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352354" w:rsidRDefault="00800DEA" w:rsidP="00E92199">
      <w:pPr>
        <w:spacing w:before="120" w:after="160" w:line="276" w:lineRule="auto"/>
        <w:jc w:val="right"/>
        <w:rPr>
          <w:rFonts w:ascii="Arial" w:hAnsi="Arial" w:cs="Arial"/>
          <w:b/>
          <w:sz w:val="16"/>
          <w:szCs w:val="16"/>
          <w:lang w:eastAsia="es-ES"/>
        </w:rPr>
      </w:pPr>
      <w:bookmarkStart w:id="0" w:name="_Hlk31875101"/>
      <w:bookmarkStart w:id="1" w:name="_Hlk29890381"/>
      <w:r w:rsidRPr="00352354">
        <w:rPr>
          <w:rFonts w:ascii="Arial" w:hAnsi="Arial" w:cs="Arial"/>
          <w:b/>
          <w:sz w:val="16"/>
          <w:szCs w:val="16"/>
          <w:lang w:eastAsia="es-ES"/>
        </w:rPr>
        <w:t>CCE-DES-FM-17</w:t>
      </w:r>
    </w:p>
    <w:p w14:paraId="7677DBC0" w14:textId="6D600A8C" w:rsidR="002A7CA0" w:rsidRDefault="002A7CA0" w:rsidP="002A7CA0">
      <w:pPr>
        <w:jc w:val="both"/>
        <w:rPr>
          <w:rFonts w:ascii="Arial" w:eastAsia="Calibri" w:hAnsi="Arial" w:cs="Arial"/>
          <w:b/>
          <w:sz w:val="22"/>
        </w:rPr>
      </w:pPr>
      <w:r>
        <w:rPr>
          <w:rFonts w:ascii="Arial" w:eastAsia="Arial" w:hAnsi="Arial" w:cs="Arial"/>
          <w:b/>
          <w:sz w:val="22"/>
        </w:rPr>
        <w:t xml:space="preserve">SOCIEDADES NUEVAS – </w:t>
      </w:r>
      <w:r w:rsidRPr="00FD1237">
        <w:rPr>
          <w:rFonts w:ascii="Arial" w:eastAsia="Calibri" w:hAnsi="Arial" w:cs="Arial"/>
          <w:b/>
          <w:sz w:val="22"/>
        </w:rPr>
        <w:t>Acreditación</w:t>
      </w:r>
      <w:r w:rsidR="00924A36">
        <w:rPr>
          <w:rFonts w:ascii="Arial" w:eastAsia="Calibri" w:hAnsi="Arial" w:cs="Arial"/>
          <w:b/>
          <w:sz w:val="22"/>
        </w:rPr>
        <w:t xml:space="preserve"> de</w:t>
      </w:r>
      <w:r w:rsidRPr="00FD1237">
        <w:rPr>
          <w:rFonts w:ascii="Arial" w:eastAsia="Calibri" w:hAnsi="Arial" w:cs="Arial"/>
          <w:b/>
          <w:sz w:val="22"/>
        </w:rPr>
        <w:t xml:space="preserve"> experiencia </w:t>
      </w:r>
      <w:r w:rsidR="007B3405">
        <w:rPr>
          <w:rFonts w:ascii="Arial" w:eastAsia="Calibri" w:hAnsi="Arial" w:cs="Arial"/>
          <w:b/>
          <w:sz w:val="22"/>
        </w:rPr>
        <w:t>– S</w:t>
      </w:r>
      <w:r w:rsidRPr="00FD1237">
        <w:rPr>
          <w:rFonts w:ascii="Arial" w:eastAsia="Calibri" w:hAnsi="Arial" w:cs="Arial"/>
          <w:b/>
          <w:sz w:val="22"/>
        </w:rPr>
        <w:t>ocios o constituyentes</w:t>
      </w:r>
    </w:p>
    <w:p w14:paraId="0F57711C" w14:textId="6939B434" w:rsidR="002A7CA0" w:rsidRDefault="002A7CA0" w:rsidP="002A7CA0">
      <w:pPr>
        <w:jc w:val="both"/>
        <w:rPr>
          <w:rFonts w:ascii="Arial" w:eastAsia="Calibri" w:hAnsi="Arial" w:cs="Arial"/>
          <w:b/>
          <w:sz w:val="22"/>
        </w:rPr>
      </w:pPr>
    </w:p>
    <w:p w14:paraId="52C5D4B0" w14:textId="17F4C7DB" w:rsidR="001B7847" w:rsidRPr="001B7847" w:rsidRDefault="001B7847" w:rsidP="0079144C">
      <w:pPr>
        <w:jc w:val="both"/>
        <w:rPr>
          <w:rFonts w:ascii="Arial" w:eastAsia="Calibri" w:hAnsi="Arial" w:cs="Arial"/>
          <w:sz w:val="20"/>
          <w:szCs w:val="20"/>
        </w:rPr>
      </w:pPr>
      <w:r w:rsidRPr="001B7847">
        <w:rPr>
          <w:rFonts w:ascii="Arial" w:eastAsia="Calibri" w:hAnsi="Arial" w:cs="Arial"/>
          <w:sz w:val="20"/>
          <w:szCs w:val="20"/>
        </w:rPr>
        <w:t xml:space="preserve">[…] </w:t>
      </w:r>
    </w:p>
    <w:p w14:paraId="6CD39CEC" w14:textId="5D4E59D9" w:rsidR="001B7847" w:rsidRDefault="001B7847" w:rsidP="0079144C">
      <w:pPr>
        <w:jc w:val="both"/>
        <w:rPr>
          <w:rFonts w:ascii="Arial" w:hAnsi="Arial" w:cs="Arial"/>
          <w:sz w:val="20"/>
          <w:szCs w:val="20"/>
        </w:rPr>
      </w:pPr>
      <w:r w:rsidRPr="001B7847">
        <w:rPr>
          <w:rFonts w:ascii="Arial" w:hAnsi="Arial"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1D9B639" w14:textId="3C08D77F" w:rsidR="001B7847" w:rsidRPr="001B7847" w:rsidRDefault="001B7847" w:rsidP="0079144C">
      <w:pPr>
        <w:jc w:val="both"/>
        <w:rPr>
          <w:rFonts w:ascii="Arial" w:hAnsi="Arial" w:cs="Arial"/>
          <w:sz w:val="20"/>
          <w:szCs w:val="20"/>
        </w:rPr>
      </w:pPr>
      <w:r>
        <w:rPr>
          <w:rFonts w:ascii="Arial" w:hAnsi="Arial" w:cs="Arial"/>
          <w:sz w:val="20"/>
          <w:szCs w:val="20"/>
        </w:rPr>
        <w:t xml:space="preserve">[…] </w:t>
      </w:r>
    </w:p>
    <w:p w14:paraId="76EB92C8" w14:textId="4CB70CF6" w:rsidR="002A7CA0" w:rsidRPr="001B7847" w:rsidRDefault="001B7847" w:rsidP="0079144C">
      <w:pPr>
        <w:jc w:val="both"/>
        <w:rPr>
          <w:rFonts w:ascii="Arial" w:eastAsia="Arial" w:hAnsi="Arial" w:cs="Arial"/>
          <w:b/>
          <w:sz w:val="20"/>
          <w:szCs w:val="20"/>
        </w:rPr>
      </w:pPr>
      <w:r w:rsidRPr="001B7847">
        <w:rPr>
          <w:rFonts w:ascii="Arial" w:hAnsi="Arial" w:cs="Arial"/>
          <w:sz w:val="20"/>
          <w:szCs w:val="20"/>
        </w:rPr>
        <w:t>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6F055CE5" w14:textId="55C75202" w:rsidR="002A7CA0" w:rsidRDefault="002A7CA0" w:rsidP="00235331">
      <w:pPr>
        <w:rPr>
          <w:rFonts w:ascii="Arial" w:eastAsia="Arial" w:hAnsi="Arial" w:cs="Arial"/>
          <w:b/>
          <w:sz w:val="22"/>
        </w:rPr>
      </w:pPr>
    </w:p>
    <w:p w14:paraId="620306DE" w14:textId="38669448" w:rsidR="005C6805" w:rsidRPr="002E58E3" w:rsidRDefault="00235331" w:rsidP="00235331">
      <w:pPr>
        <w:rPr>
          <w:rFonts w:ascii="Arial" w:eastAsia="Calibri" w:hAnsi="Arial" w:cs="Arial"/>
          <w:b/>
          <w:bCs/>
          <w:sz w:val="22"/>
          <w:szCs w:val="24"/>
          <w:lang w:eastAsia="es-ES_tradnl"/>
        </w:rPr>
      </w:pPr>
      <w:r w:rsidRPr="002E58E3">
        <w:rPr>
          <w:rFonts w:ascii="Arial" w:eastAsia="Arial" w:hAnsi="Arial" w:cs="Arial"/>
          <w:b/>
          <w:sz w:val="22"/>
        </w:rPr>
        <w:t>CAPACIDAD RESIDUAL</w:t>
      </w:r>
      <w:r w:rsidR="003559ED" w:rsidRPr="002E58E3">
        <w:rPr>
          <w:rFonts w:ascii="Arial" w:eastAsia="Arial" w:hAnsi="Arial" w:cs="Arial"/>
          <w:b/>
          <w:sz w:val="22"/>
        </w:rPr>
        <w:t xml:space="preserve"> –</w:t>
      </w:r>
      <w:r w:rsidR="003559ED" w:rsidRPr="002E58E3">
        <w:rPr>
          <w:rFonts w:ascii="Arial" w:hAnsi="Arial" w:cs="Arial"/>
          <w:b/>
          <w:color w:val="000000" w:themeColor="text1"/>
          <w:sz w:val="22"/>
          <w:lang w:val="es-ES_tradnl"/>
        </w:rPr>
        <w:t xml:space="preserve"> </w:t>
      </w:r>
      <w:r w:rsidR="00440F35">
        <w:rPr>
          <w:rFonts w:ascii="Arial" w:eastAsia="Calibri" w:hAnsi="Arial" w:cs="Arial"/>
          <w:b/>
          <w:sz w:val="22"/>
        </w:rPr>
        <w:t>Definición</w:t>
      </w:r>
      <w:r w:rsidRPr="002E58E3">
        <w:rPr>
          <w:rFonts w:ascii="Arial" w:hAnsi="Arial" w:cs="Arial"/>
          <w:b/>
          <w:color w:val="000000" w:themeColor="text1"/>
          <w:sz w:val="22"/>
          <w:lang w:val="es-ES_tradnl"/>
        </w:rPr>
        <w:t xml:space="preserve"> </w:t>
      </w:r>
      <w:r w:rsidR="00C4549C" w:rsidRPr="002E58E3">
        <w:rPr>
          <w:rFonts w:ascii="Arial" w:hAnsi="Arial" w:cs="Arial"/>
          <w:b/>
          <w:color w:val="000000" w:themeColor="text1"/>
          <w:sz w:val="22"/>
          <w:lang w:val="es-ES_tradnl"/>
        </w:rPr>
        <w:t xml:space="preserve">– </w:t>
      </w:r>
      <w:r w:rsidR="00440F35">
        <w:rPr>
          <w:rFonts w:ascii="Arial" w:eastAsia="Calibri" w:hAnsi="Arial" w:cs="Arial"/>
          <w:b/>
          <w:sz w:val="22"/>
        </w:rPr>
        <w:t xml:space="preserve">Requisito habilitante </w:t>
      </w:r>
      <w:r w:rsidR="004C1D66">
        <w:rPr>
          <w:rFonts w:ascii="Arial" w:hAnsi="Arial" w:cs="Arial"/>
          <w:b/>
          <w:color w:val="000000" w:themeColor="text1"/>
          <w:sz w:val="22"/>
          <w:lang w:val="es-ES_tradnl"/>
        </w:rPr>
        <w:t xml:space="preserve"> </w:t>
      </w:r>
    </w:p>
    <w:p w14:paraId="6C7A643A" w14:textId="3D943315" w:rsidR="003559ED" w:rsidRPr="00C53444" w:rsidRDefault="003559ED" w:rsidP="003D7759">
      <w:pPr>
        <w:rPr>
          <w:rFonts w:ascii="Arial" w:eastAsia="Calibri" w:hAnsi="Arial" w:cs="Arial"/>
          <w:b/>
          <w:bCs/>
          <w:sz w:val="22"/>
          <w:szCs w:val="24"/>
          <w:highlight w:val="yellow"/>
          <w:lang w:eastAsia="es-ES_tradnl"/>
        </w:rPr>
      </w:pPr>
    </w:p>
    <w:p w14:paraId="0BE17CA8" w14:textId="35AEE2AA" w:rsidR="00EA5964" w:rsidRDefault="00EA5964" w:rsidP="00EA5964">
      <w:pPr>
        <w:jc w:val="both"/>
        <w:rPr>
          <w:rFonts w:ascii="Arial" w:hAnsi="Arial" w:cs="Arial"/>
          <w:color w:val="000000" w:themeColor="text1"/>
          <w:sz w:val="20"/>
          <w:szCs w:val="20"/>
        </w:rPr>
      </w:pPr>
      <w:r w:rsidRPr="00EA5964">
        <w:rPr>
          <w:rFonts w:ascii="Arial" w:hAnsi="Arial" w:cs="Arial"/>
          <w:color w:val="000000" w:themeColor="text1"/>
          <w:sz w:val="20"/>
          <w:szCs w:val="20"/>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 la diferencia que existe entre el potencial de contratación que se tiene y los compromisos que haya adquirido y que se encuentren en ejecución, para la fecha de presentación de la oferta».</w:t>
      </w:r>
      <w:r>
        <w:rPr>
          <w:rFonts w:ascii="Arial" w:hAnsi="Arial" w:cs="Arial"/>
          <w:color w:val="000000" w:themeColor="text1"/>
          <w:sz w:val="20"/>
          <w:szCs w:val="20"/>
        </w:rPr>
        <w:t xml:space="preserve"> </w:t>
      </w:r>
      <w:r w:rsidRPr="00EA5964">
        <w:rPr>
          <w:rFonts w:ascii="Arial" w:hAnsi="Arial" w:cs="Arial"/>
          <w:color w:val="000000" w:themeColor="text1"/>
          <w:sz w:val="20"/>
          <w:szCs w:val="20"/>
        </w:rPr>
        <w:t>En tales términos, la capacidad residual hace referencia a la suficiencia que tiene el proponente para asumir nuevas obligaciones que se derivan del contrato objeto del proceso de contratación, en relación con las obligaciones que ya adquirió frente a otros contratos.</w:t>
      </w:r>
    </w:p>
    <w:p w14:paraId="4EE28661" w14:textId="0167A365" w:rsidR="00C62D6E" w:rsidRPr="00C62D6E" w:rsidRDefault="00C62D6E" w:rsidP="00C62D6E">
      <w:pPr>
        <w:jc w:val="both"/>
        <w:rPr>
          <w:rFonts w:ascii="Arial" w:eastAsia="Calibri" w:hAnsi="Arial" w:cs="Arial"/>
          <w:color w:val="000000" w:themeColor="text1"/>
          <w:sz w:val="20"/>
          <w:szCs w:val="20"/>
        </w:rPr>
      </w:pPr>
      <w:r w:rsidRPr="00C62D6E">
        <w:rPr>
          <w:rFonts w:ascii="Arial" w:hAnsi="Arial" w:cs="Arial"/>
          <w:color w:val="000000" w:themeColor="text1"/>
          <w:sz w:val="20"/>
          <w:szCs w:val="20"/>
        </w:rPr>
        <w:t xml:space="preserv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C62D6E">
        <w:rPr>
          <w:rFonts w:ascii="Arial" w:eastAsia="Calibri" w:hAnsi="Arial" w:cs="Arial"/>
          <w:bCs/>
          <w:color w:val="000000" w:themeColor="text1"/>
          <w:sz w:val="20"/>
          <w:szCs w:val="20"/>
        </w:rPr>
        <w:t>Organización</w:t>
      </w:r>
      <w:r w:rsidRPr="00C62D6E">
        <w:rPr>
          <w:rFonts w:ascii="Arial" w:hAnsi="Arial" w:cs="Arial"/>
          <w:color w:val="000000" w:themeColor="text1"/>
          <w:sz w:val="20"/>
          <w:szCs w:val="20"/>
        </w:rPr>
        <w:t xml:space="preserve"> –CO–.  </w:t>
      </w:r>
      <w:r w:rsidRPr="00C62D6E">
        <w:rPr>
          <w:rFonts w:ascii="Arial" w:eastAsia="Calibri" w:hAnsi="Arial" w:cs="Arial"/>
          <w:color w:val="000000" w:themeColor="text1"/>
          <w:sz w:val="20"/>
          <w:szCs w:val="20"/>
        </w:rPr>
        <w:t xml:space="preserve"> 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w:t>
      </w:r>
    </w:p>
    <w:p w14:paraId="7FF41149" w14:textId="77777777" w:rsidR="00C62D6E" w:rsidRPr="00C56058" w:rsidRDefault="00C62D6E" w:rsidP="00EA5964">
      <w:pPr>
        <w:jc w:val="both"/>
        <w:rPr>
          <w:rFonts w:ascii="Arial" w:hAnsi="Arial" w:cs="Arial"/>
          <w:color w:val="000000" w:themeColor="text1"/>
          <w:sz w:val="20"/>
          <w:szCs w:val="20"/>
        </w:rPr>
      </w:pPr>
    </w:p>
    <w:p w14:paraId="6BE634F9" w14:textId="45896F59" w:rsidR="00972020" w:rsidRDefault="00972020" w:rsidP="00440F35">
      <w:pPr>
        <w:jc w:val="both"/>
        <w:rPr>
          <w:rFonts w:ascii="Arial" w:eastAsia="Calibri" w:hAnsi="Arial" w:cs="Arial"/>
          <w:noProof/>
          <w:sz w:val="20"/>
          <w:szCs w:val="20"/>
          <w:highlight w:val="yellow"/>
          <w:lang w:val="es-ES_tradnl"/>
        </w:rPr>
      </w:pPr>
      <w:r w:rsidRPr="002E58E3">
        <w:rPr>
          <w:rFonts w:ascii="Arial" w:eastAsia="Arial" w:hAnsi="Arial" w:cs="Arial"/>
          <w:b/>
          <w:sz w:val="22"/>
        </w:rPr>
        <w:t xml:space="preserve">CAPACIDAD RESIDUAL </w:t>
      </w:r>
      <w:r w:rsidR="00440F35" w:rsidRPr="002E58E3">
        <w:rPr>
          <w:rFonts w:ascii="Arial" w:eastAsia="Arial" w:hAnsi="Arial" w:cs="Arial"/>
          <w:b/>
          <w:sz w:val="22"/>
        </w:rPr>
        <w:t>–</w:t>
      </w:r>
      <w:r w:rsidR="00440F35" w:rsidRPr="002E58E3">
        <w:rPr>
          <w:rFonts w:ascii="Arial" w:hAnsi="Arial" w:cs="Arial"/>
          <w:b/>
          <w:color w:val="000000" w:themeColor="text1"/>
          <w:sz w:val="22"/>
          <w:lang w:val="es-ES_tradnl"/>
        </w:rPr>
        <w:t xml:space="preserve"> </w:t>
      </w:r>
      <w:r w:rsidR="00440F35">
        <w:rPr>
          <w:rFonts w:ascii="Arial" w:eastAsia="Calibri" w:hAnsi="Arial" w:cs="Arial"/>
          <w:b/>
          <w:sz w:val="22"/>
        </w:rPr>
        <w:t>A</w:t>
      </w:r>
      <w:r w:rsidR="00440F35" w:rsidRPr="00FD1237">
        <w:rPr>
          <w:rFonts w:ascii="Arial" w:eastAsia="Calibri" w:hAnsi="Arial" w:cs="Arial"/>
          <w:b/>
          <w:sz w:val="22"/>
        </w:rPr>
        <w:t>creditación</w:t>
      </w:r>
      <w:r w:rsidR="00440F35" w:rsidRPr="002E58E3">
        <w:rPr>
          <w:rFonts w:ascii="Arial" w:hAnsi="Arial" w:cs="Arial"/>
          <w:b/>
          <w:color w:val="000000" w:themeColor="text1"/>
          <w:sz w:val="22"/>
          <w:lang w:val="es-ES_tradnl"/>
        </w:rPr>
        <w:t xml:space="preserve"> – </w:t>
      </w:r>
      <w:r w:rsidR="00DE5629">
        <w:rPr>
          <w:rFonts w:ascii="Arial" w:eastAsia="Calibri" w:hAnsi="Arial" w:cs="Arial"/>
          <w:b/>
          <w:sz w:val="22"/>
        </w:rPr>
        <w:t>F</w:t>
      </w:r>
      <w:r w:rsidR="00440F35" w:rsidRPr="00FD1237">
        <w:rPr>
          <w:rFonts w:ascii="Arial" w:eastAsia="Calibri" w:hAnsi="Arial" w:cs="Arial"/>
          <w:b/>
          <w:sz w:val="22"/>
        </w:rPr>
        <w:t>actor</w:t>
      </w:r>
      <w:r w:rsidR="00924A36">
        <w:rPr>
          <w:rFonts w:ascii="Arial" w:eastAsia="Calibri" w:hAnsi="Arial" w:cs="Arial"/>
          <w:b/>
          <w:sz w:val="22"/>
        </w:rPr>
        <w:t xml:space="preserve"> de</w:t>
      </w:r>
      <w:r w:rsidR="00440F35" w:rsidRPr="00FD1237">
        <w:rPr>
          <w:rFonts w:ascii="Arial" w:eastAsia="Calibri" w:hAnsi="Arial" w:cs="Arial"/>
          <w:b/>
          <w:sz w:val="22"/>
        </w:rPr>
        <w:t xml:space="preserve"> </w:t>
      </w:r>
      <w:r w:rsidR="00DE5629">
        <w:rPr>
          <w:rFonts w:ascii="Arial" w:eastAsia="Calibri" w:hAnsi="Arial" w:cs="Arial"/>
          <w:b/>
          <w:sz w:val="22"/>
        </w:rPr>
        <w:t>e</w:t>
      </w:r>
      <w:r w:rsidR="00440F35" w:rsidRPr="00FD1237">
        <w:rPr>
          <w:rFonts w:ascii="Arial" w:eastAsia="Calibri" w:hAnsi="Arial" w:cs="Arial"/>
          <w:b/>
          <w:sz w:val="22"/>
        </w:rPr>
        <w:t>xperiencia (</w:t>
      </w:r>
      <w:r w:rsidR="007B3405">
        <w:rPr>
          <w:rFonts w:ascii="Arial" w:eastAsia="Calibri" w:hAnsi="Arial" w:cs="Arial"/>
          <w:b/>
          <w:sz w:val="22"/>
        </w:rPr>
        <w:t>e</w:t>
      </w:r>
      <w:r w:rsidR="00440F35" w:rsidRPr="00FD1237">
        <w:rPr>
          <w:rFonts w:ascii="Arial" w:eastAsia="Calibri" w:hAnsi="Arial" w:cs="Arial"/>
          <w:b/>
          <w:sz w:val="22"/>
        </w:rPr>
        <w:t>)</w:t>
      </w:r>
      <w:r w:rsidR="00440F35">
        <w:rPr>
          <w:rFonts w:ascii="Arial" w:eastAsia="Calibri" w:hAnsi="Arial" w:cs="Arial"/>
          <w:b/>
          <w:sz w:val="22"/>
        </w:rPr>
        <w:t xml:space="preserve"> </w:t>
      </w:r>
      <w:r w:rsidR="00440F35" w:rsidRPr="002E58E3">
        <w:rPr>
          <w:rFonts w:ascii="Arial" w:hAnsi="Arial" w:cs="Arial"/>
          <w:b/>
          <w:color w:val="000000" w:themeColor="text1"/>
          <w:sz w:val="22"/>
          <w:lang w:val="es-ES_tradnl"/>
        </w:rPr>
        <w:t>–</w:t>
      </w:r>
      <w:r w:rsidR="00440F35">
        <w:rPr>
          <w:rFonts w:ascii="Arial" w:hAnsi="Arial" w:cs="Arial"/>
          <w:b/>
          <w:color w:val="000000" w:themeColor="text1"/>
          <w:sz w:val="22"/>
          <w:lang w:val="es-ES_tradnl"/>
        </w:rPr>
        <w:t xml:space="preserve"> Cálculo</w:t>
      </w:r>
    </w:p>
    <w:p w14:paraId="0571EDB5" w14:textId="7C9AB56B" w:rsidR="00972020" w:rsidRPr="00C62D6E" w:rsidRDefault="00C62D6E" w:rsidP="00C62D6E">
      <w:pPr>
        <w:spacing w:before="120" w:after="120"/>
        <w:jc w:val="both"/>
        <w:rPr>
          <w:rFonts w:ascii="Arial" w:hAnsi="Arial" w:cs="Arial"/>
          <w:color w:val="000000" w:themeColor="text1"/>
          <w:sz w:val="20"/>
          <w:szCs w:val="20"/>
        </w:rPr>
      </w:pPr>
      <w:r w:rsidRPr="007B3405">
        <w:rPr>
          <w:rFonts w:ascii="Arial" w:hAnsi="Arial" w:cs="Arial"/>
          <w:color w:val="000000" w:themeColor="text1"/>
          <w:sz w:val="20"/>
          <w:szCs w:val="20"/>
        </w:rPr>
        <w:t>Respecto de factor de experiencia (E), esta Agencia, en la «Guía para Determinar y Verificar la Capacidad Residual del Proponente en los Procesos de Contratación de Obra Pública» estableció una fórmula particular para su cálculo. Esta se obtiene realizando una operación aritmética de</w:t>
      </w:r>
      <w:r w:rsidRPr="00C62D6E">
        <w:rPr>
          <w:rFonts w:ascii="Arial" w:hAnsi="Arial" w:cs="Arial"/>
          <w:color w:val="000000" w:themeColor="text1"/>
          <w:sz w:val="20"/>
          <w:szCs w:val="20"/>
        </w:rPr>
        <w:t xml:space="preserve"> división del valor total en pesos de los contratos que figuran en el RUP, entre el presupuesto oficial estimado del procedimiento contractual. El cociente de esta operación «[…] indica el número de veces que el proponente ha ejecutado contratos equivalentes a la cuantía del Proceso de Contratación objeto de la acreditación de la Capacidad Residual»</w:t>
      </w:r>
      <w:r w:rsidR="00DE5629">
        <w:rPr>
          <w:rFonts w:ascii="Arial" w:hAnsi="Arial" w:cs="Arial"/>
          <w:color w:val="000000" w:themeColor="text1"/>
          <w:sz w:val="20"/>
          <w:szCs w:val="20"/>
        </w:rPr>
        <w:t>.</w:t>
      </w:r>
    </w:p>
    <w:p w14:paraId="7EB8FAE9" w14:textId="1EFF089C" w:rsidR="00972020" w:rsidRPr="00C62D6E" w:rsidRDefault="00C62D6E" w:rsidP="00C62D6E">
      <w:pPr>
        <w:spacing w:before="120" w:after="12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Pr="00C62D6E">
        <w:rPr>
          <w:rFonts w:ascii="Arial" w:hAnsi="Arial" w:cs="Arial"/>
          <w:color w:val="000000" w:themeColor="text1"/>
          <w:sz w:val="20"/>
          <w:szCs w:val="20"/>
        </w:rPr>
        <w:t xml:space="preserve">para el cálculo del factor de experiencia (E), el proponente debe diligenciar el formato correspondiente al Anexo 1 de la referida Guía. Dicho anexo consiste en una tabla en la que deben identificarse los contratos inscritos en el RUP del proponente en el segmento 72 del Clasificador UNSPSC –correspondiente a </w:t>
      </w:r>
      <w:r w:rsidRPr="00C62D6E">
        <w:rPr>
          <w:rFonts w:ascii="Arial" w:hAnsi="Arial" w:cs="Arial"/>
          <w:color w:val="000000"/>
          <w:sz w:val="20"/>
          <w:szCs w:val="20"/>
          <w:bdr w:val="none" w:sz="0" w:space="0" w:color="auto" w:frame="1"/>
        </w:rPr>
        <w:t>“Servicios de Edificación, Construcción de Instalaciones y Mantenimiento”–</w:t>
      </w:r>
      <w:r w:rsidRPr="00C62D6E">
        <w:rPr>
          <w:rFonts w:ascii="Arial" w:hAnsi="Arial" w:cs="Arial"/>
          <w:color w:val="000000" w:themeColor="text1"/>
          <w:sz w:val="20"/>
          <w:szCs w:val="20"/>
        </w:rPr>
        <w:t>, su valor total en pesos colombianos liquidados con el SMMLV y el porcentaje de participación del proponente en la ejecución de cada uno de estos contratos. Tratándose de personas jurídicas con existencia inferior a tres (3) años, de conformidad con lo dispuesto en el numeral 2.5 del artículo 2.2.1.1.1.5.2. del Decreto 1082 de 2015 es posible que las mismas acrediten la experiencia de sus accionistas, socios o constituyentes, por lo que podrán tenerse en cuenta para el cálculo de la capacidad residual.</w:t>
      </w:r>
    </w:p>
    <w:p w14:paraId="738A1762" w14:textId="77777777" w:rsidR="00972020" w:rsidRPr="00C53444" w:rsidRDefault="00972020" w:rsidP="00972020">
      <w:pPr>
        <w:jc w:val="both"/>
        <w:rPr>
          <w:rFonts w:ascii="Arial" w:eastAsia="Calibri" w:hAnsi="Arial" w:cs="Arial"/>
          <w:noProof/>
          <w:sz w:val="20"/>
          <w:szCs w:val="20"/>
          <w:highlight w:val="yellow"/>
          <w:lang w:val="es-ES_tradnl"/>
        </w:rPr>
      </w:pPr>
    </w:p>
    <w:p w14:paraId="3407C563" w14:textId="0BC62FBE" w:rsidR="00C53444" w:rsidRDefault="00C53444" w:rsidP="00C53444">
      <w:pPr>
        <w:jc w:val="both"/>
        <w:rPr>
          <w:rFonts w:ascii="Arial" w:eastAsia="Arial" w:hAnsi="Arial" w:cs="Arial"/>
          <w:b/>
          <w:sz w:val="22"/>
        </w:rPr>
      </w:pPr>
    </w:p>
    <w:p w14:paraId="4D224BDD" w14:textId="52A75D25" w:rsidR="002E58E3" w:rsidRDefault="002E58E3" w:rsidP="00C53444">
      <w:pPr>
        <w:jc w:val="both"/>
        <w:rPr>
          <w:rFonts w:ascii="Arial" w:eastAsia="Arial" w:hAnsi="Arial" w:cs="Arial"/>
          <w:b/>
          <w:sz w:val="22"/>
        </w:rPr>
      </w:pPr>
    </w:p>
    <w:p w14:paraId="79AD43A2" w14:textId="4FEC14B9" w:rsidR="002E58E3" w:rsidRDefault="002E58E3" w:rsidP="00C53444">
      <w:pPr>
        <w:jc w:val="both"/>
        <w:rPr>
          <w:rFonts w:ascii="Arial" w:eastAsia="Arial" w:hAnsi="Arial" w:cs="Arial"/>
          <w:b/>
          <w:sz w:val="22"/>
        </w:rPr>
      </w:pPr>
    </w:p>
    <w:p w14:paraId="44FBB49E" w14:textId="4A764D8D" w:rsidR="002E58E3" w:rsidRDefault="002E58E3" w:rsidP="00C53444">
      <w:pPr>
        <w:jc w:val="both"/>
        <w:rPr>
          <w:rFonts w:ascii="Arial" w:eastAsia="Arial" w:hAnsi="Arial" w:cs="Arial"/>
          <w:b/>
          <w:sz w:val="22"/>
        </w:rPr>
      </w:pPr>
    </w:p>
    <w:p w14:paraId="3789FFD4" w14:textId="474DD470" w:rsidR="002E58E3" w:rsidRDefault="002E58E3" w:rsidP="00C53444">
      <w:pPr>
        <w:jc w:val="both"/>
        <w:rPr>
          <w:rFonts w:ascii="Arial" w:eastAsia="Calibri" w:hAnsi="Arial" w:cs="Arial"/>
          <w:color w:val="000000" w:themeColor="text1"/>
          <w:sz w:val="20"/>
          <w:szCs w:val="20"/>
          <w:lang w:eastAsia="es-ES" w:bidi="es-ES"/>
        </w:rPr>
      </w:pPr>
    </w:p>
    <w:p w14:paraId="0FDBA22F" w14:textId="6E9F0CFB" w:rsidR="00C62D6E" w:rsidRDefault="00C62D6E" w:rsidP="00C53444">
      <w:pPr>
        <w:jc w:val="both"/>
        <w:rPr>
          <w:rFonts w:ascii="Arial" w:eastAsia="Calibri" w:hAnsi="Arial" w:cs="Arial"/>
          <w:color w:val="000000" w:themeColor="text1"/>
          <w:sz w:val="20"/>
          <w:szCs w:val="20"/>
          <w:lang w:eastAsia="es-ES" w:bidi="es-ES"/>
        </w:rPr>
      </w:pPr>
    </w:p>
    <w:p w14:paraId="66C1E0CF" w14:textId="0C74F87C" w:rsidR="00C62D6E" w:rsidRDefault="00C62D6E" w:rsidP="00C53444">
      <w:pPr>
        <w:jc w:val="both"/>
        <w:rPr>
          <w:rFonts w:ascii="Arial" w:eastAsia="Calibri" w:hAnsi="Arial" w:cs="Arial"/>
          <w:color w:val="000000" w:themeColor="text1"/>
          <w:sz w:val="20"/>
          <w:szCs w:val="20"/>
          <w:lang w:eastAsia="es-ES" w:bidi="es-ES"/>
        </w:rPr>
      </w:pPr>
    </w:p>
    <w:p w14:paraId="7E6D6504" w14:textId="05B4607A" w:rsidR="00C62D6E" w:rsidRDefault="00C62D6E" w:rsidP="00C53444">
      <w:pPr>
        <w:jc w:val="both"/>
        <w:rPr>
          <w:rFonts w:ascii="Arial" w:eastAsia="Calibri" w:hAnsi="Arial" w:cs="Arial"/>
          <w:color w:val="000000" w:themeColor="text1"/>
          <w:sz w:val="20"/>
          <w:szCs w:val="20"/>
          <w:lang w:eastAsia="es-ES" w:bidi="es-ES"/>
        </w:rPr>
      </w:pPr>
    </w:p>
    <w:p w14:paraId="73E5D5E0" w14:textId="101F6259" w:rsidR="00C62D6E" w:rsidRDefault="00C62D6E" w:rsidP="00C53444">
      <w:pPr>
        <w:jc w:val="both"/>
        <w:rPr>
          <w:rFonts w:ascii="Arial" w:eastAsia="Calibri" w:hAnsi="Arial" w:cs="Arial"/>
          <w:color w:val="000000" w:themeColor="text1"/>
          <w:sz w:val="20"/>
          <w:szCs w:val="20"/>
          <w:lang w:eastAsia="es-ES" w:bidi="es-ES"/>
        </w:rPr>
      </w:pPr>
    </w:p>
    <w:p w14:paraId="1F0CA083" w14:textId="57F547E4" w:rsidR="00C62D6E" w:rsidRDefault="00C62D6E" w:rsidP="00C53444">
      <w:pPr>
        <w:jc w:val="both"/>
        <w:rPr>
          <w:rFonts w:ascii="Arial" w:eastAsia="Calibri" w:hAnsi="Arial" w:cs="Arial"/>
          <w:color w:val="000000" w:themeColor="text1"/>
          <w:sz w:val="20"/>
          <w:szCs w:val="20"/>
          <w:lang w:eastAsia="es-ES" w:bidi="es-ES"/>
        </w:rPr>
      </w:pPr>
    </w:p>
    <w:p w14:paraId="77D3E2B2" w14:textId="34DE061F" w:rsidR="00C62D6E" w:rsidRDefault="00C62D6E" w:rsidP="00C53444">
      <w:pPr>
        <w:jc w:val="both"/>
        <w:rPr>
          <w:rFonts w:ascii="Arial" w:eastAsia="Calibri" w:hAnsi="Arial" w:cs="Arial"/>
          <w:color w:val="000000" w:themeColor="text1"/>
          <w:sz w:val="20"/>
          <w:szCs w:val="20"/>
          <w:lang w:eastAsia="es-ES" w:bidi="es-ES"/>
        </w:rPr>
      </w:pPr>
    </w:p>
    <w:p w14:paraId="449DB365" w14:textId="3549821E" w:rsidR="00C62D6E" w:rsidRDefault="00C62D6E" w:rsidP="00C53444">
      <w:pPr>
        <w:jc w:val="both"/>
        <w:rPr>
          <w:rFonts w:ascii="Arial" w:eastAsia="Calibri" w:hAnsi="Arial" w:cs="Arial"/>
          <w:color w:val="000000" w:themeColor="text1"/>
          <w:sz w:val="20"/>
          <w:szCs w:val="20"/>
          <w:lang w:eastAsia="es-ES" w:bidi="es-ES"/>
        </w:rPr>
      </w:pPr>
    </w:p>
    <w:p w14:paraId="60118CD1" w14:textId="54F0BA2C" w:rsidR="00C62D6E" w:rsidRDefault="00C62D6E" w:rsidP="00C53444">
      <w:pPr>
        <w:jc w:val="both"/>
        <w:rPr>
          <w:rFonts w:ascii="Arial" w:eastAsia="Calibri" w:hAnsi="Arial" w:cs="Arial"/>
          <w:color w:val="000000" w:themeColor="text1"/>
          <w:sz w:val="20"/>
          <w:szCs w:val="20"/>
          <w:lang w:eastAsia="es-ES" w:bidi="es-ES"/>
        </w:rPr>
      </w:pPr>
    </w:p>
    <w:p w14:paraId="32231402" w14:textId="77F2384D" w:rsidR="00C62D6E" w:rsidRDefault="00C62D6E" w:rsidP="00C53444">
      <w:pPr>
        <w:jc w:val="both"/>
        <w:rPr>
          <w:rFonts w:ascii="Arial" w:eastAsia="Calibri" w:hAnsi="Arial" w:cs="Arial"/>
          <w:color w:val="000000" w:themeColor="text1"/>
          <w:sz w:val="20"/>
          <w:szCs w:val="20"/>
          <w:lang w:eastAsia="es-ES" w:bidi="es-ES"/>
        </w:rPr>
      </w:pPr>
    </w:p>
    <w:p w14:paraId="2266D25F" w14:textId="15144BE2" w:rsidR="00C62D6E" w:rsidRDefault="00C62D6E" w:rsidP="00C53444">
      <w:pPr>
        <w:jc w:val="both"/>
        <w:rPr>
          <w:rFonts w:ascii="Arial" w:eastAsia="Calibri" w:hAnsi="Arial" w:cs="Arial"/>
          <w:color w:val="000000" w:themeColor="text1"/>
          <w:sz w:val="20"/>
          <w:szCs w:val="20"/>
          <w:lang w:eastAsia="es-ES" w:bidi="es-ES"/>
        </w:rPr>
      </w:pPr>
    </w:p>
    <w:p w14:paraId="46AFCD81" w14:textId="202DBCD3" w:rsidR="00C62D6E" w:rsidRDefault="00C62D6E" w:rsidP="00C53444">
      <w:pPr>
        <w:jc w:val="both"/>
        <w:rPr>
          <w:rFonts w:ascii="Arial" w:eastAsia="Calibri" w:hAnsi="Arial" w:cs="Arial"/>
          <w:color w:val="000000" w:themeColor="text1"/>
          <w:sz w:val="20"/>
          <w:szCs w:val="20"/>
          <w:lang w:eastAsia="es-ES" w:bidi="es-ES"/>
        </w:rPr>
      </w:pPr>
    </w:p>
    <w:p w14:paraId="15B1BECD" w14:textId="167D3FF1" w:rsidR="00C62D6E" w:rsidRDefault="00C62D6E" w:rsidP="00C53444">
      <w:pPr>
        <w:jc w:val="both"/>
        <w:rPr>
          <w:rFonts w:ascii="Arial" w:eastAsia="Calibri" w:hAnsi="Arial" w:cs="Arial"/>
          <w:color w:val="000000" w:themeColor="text1"/>
          <w:sz w:val="20"/>
          <w:szCs w:val="20"/>
          <w:lang w:eastAsia="es-ES" w:bidi="es-ES"/>
        </w:rPr>
      </w:pPr>
    </w:p>
    <w:p w14:paraId="5E0AB047" w14:textId="7C2DABAA" w:rsidR="00C62D6E" w:rsidRDefault="00C62D6E" w:rsidP="00C53444">
      <w:pPr>
        <w:jc w:val="both"/>
        <w:rPr>
          <w:rFonts w:ascii="Arial" w:eastAsia="Calibri" w:hAnsi="Arial" w:cs="Arial"/>
          <w:color w:val="000000" w:themeColor="text1"/>
          <w:sz w:val="20"/>
          <w:szCs w:val="20"/>
          <w:lang w:eastAsia="es-ES" w:bidi="es-ES"/>
        </w:rPr>
      </w:pPr>
    </w:p>
    <w:p w14:paraId="7F1F9AD4" w14:textId="5EB852A7" w:rsidR="00C62D6E" w:rsidRDefault="00C62D6E" w:rsidP="00C53444">
      <w:pPr>
        <w:jc w:val="both"/>
        <w:rPr>
          <w:rFonts w:ascii="Arial" w:eastAsia="Calibri" w:hAnsi="Arial" w:cs="Arial"/>
          <w:color w:val="000000" w:themeColor="text1"/>
          <w:sz w:val="20"/>
          <w:szCs w:val="20"/>
          <w:lang w:eastAsia="es-ES" w:bidi="es-ES"/>
        </w:rPr>
      </w:pPr>
    </w:p>
    <w:p w14:paraId="6047C1A8" w14:textId="22FA5EB9" w:rsidR="00C62D6E" w:rsidRDefault="00C62D6E" w:rsidP="00C53444">
      <w:pPr>
        <w:jc w:val="both"/>
        <w:rPr>
          <w:rFonts w:ascii="Arial" w:eastAsia="Calibri" w:hAnsi="Arial" w:cs="Arial"/>
          <w:color w:val="000000" w:themeColor="text1"/>
          <w:sz w:val="20"/>
          <w:szCs w:val="20"/>
          <w:lang w:eastAsia="es-ES" w:bidi="es-ES"/>
        </w:rPr>
      </w:pPr>
    </w:p>
    <w:p w14:paraId="7A10990C" w14:textId="1B69BED9" w:rsidR="00C62D6E" w:rsidRDefault="00C62D6E" w:rsidP="00C53444">
      <w:pPr>
        <w:jc w:val="both"/>
        <w:rPr>
          <w:rFonts w:ascii="Arial" w:eastAsia="Calibri" w:hAnsi="Arial" w:cs="Arial"/>
          <w:color w:val="000000" w:themeColor="text1"/>
          <w:sz w:val="20"/>
          <w:szCs w:val="20"/>
          <w:lang w:eastAsia="es-ES" w:bidi="es-ES"/>
        </w:rPr>
      </w:pPr>
    </w:p>
    <w:p w14:paraId="42CB56BC" w14:textId="4AD8B7A5" w:rsidR="00C62D6E" w:rsidRDefault="00C62D6E" w:rsidP="00C53444">
      <w:pPr>
        <w:jc w:val="both"/>
        <w:rPr>
          <w:rFonts w:ascii="Arial" w:eastAsia="Calibri" w:hAnsi="Arial" w:cs="Arial"/>
          <w:color w:val="000000" w:themeColor="text1"/>
          <w:sz w:val="20"/>
          <w:szCs w:val="20"/>
          <w:lang w:eastAsia="es-ES" w:bidi="es-ES"/>
        </w:rPr>
      </w:pPr>
    </w:p>
    <w:p w14:paraId="770A16F2" w14:textId="6BFF9991" w:rsidR="00C62D6E" w:rsidRDefault="00C62D6E" w:rsidP="00C53444">
      <w:pPr>
        <w:jc w:val="both"/>
        <w:rPr>
          <w:rFonts w:ascii="Arial" w:eastAsia="Calibri" w:hAnsi="Arial" w:cs="Arial"/>
          <w:color w:val="000000" w:themeColor="text1"/>
          <w:sz w:val="20"/>
          <w:szCs w:val="20"/>
          <w:lang w:eastAsia="es-ES" w:bidi="es-ES"/>
        </w:rPr>
      </w:pPr>
    </w:p>
    <w:p w14:paraId="47B337E7" w14:textId="3F186C9C" w:rsidR="00C62D6E" w:rsidRDefault="00C62D6E" w:rsidP="00C53444">
      <w:pPr>
        <w:jc w:val="both"/>
        <w:rPr>
          <w:rFonts w:ascii="Arial" w:eastAsia="Calibri" w:hAnsi="Arial" w:cs="Arial"/>
          <w:color w:val="000000" w:themeColor="text1"/>
          <w:sz w:val="20"/>
          <w:szCs w:val="20"/>
          <w:lang w:eastAsia="es-ES" w:bidi="es-ES"/>
        </w:rPr>
      </w:pPr>
    </w:p>
    <w:p w14:paraId="270B6EA5" w14:textId="2CFB6113" w:rsidR="00C62D6E" w:rsidRDefault="00C62D6E" w:rsidP="00C53444">
      <w:pPr>
        <w:jc w:val="both"/>
        <w:rPr>
          <w:rFonts w:ascii="Arial" w:eastAsia="Calibri" w:hAnsi="Arial" w:cs="Arial"/>
          <w:color w:val="000000" w:themeColor="text1"/>
          <w:sz w:val="20"/>
          <w:szCs w:val="20"/>
          <w:lang w:eastAsia="es-ES" w:bidi="es-ES"/>
        </w:rPr>
      </w:pPr>
    </w:p>
    <w:p w14:paraId="42C7F1D7" w14:textId="1A4B1109" w:rsidR="00C62D6E" w:rsidRDefault="00C62D6E" w:rsidP="00C53444">
      <w:pPr>
        <w:jc w:val="both"/>
        <w:rPr>
          <w:rFonts w:ascii="Arial" w:eastAsia="Calibri" w:hAnsi="Arial" w:cs="Arial"/>
          <w:color w:val="000000" w:themeColor="text1"/>
          <w:sz w:val="20"/>
          <w:szCs w:val="20"/>
          <w:lang w:eastAsia="es-ES" w:bidi="es-ES"/>
        </w:rPr>
      </w:pPr>
    </w:p>
    <w:p w14:paraId="4CD93E51" w14:textId="57CF5E52" w:rsidR="00C62D6E" w:rsidRDefault="00C62D6E" w:rsidP="00C53444">
      <w:pPr>
        <w:jc w:val="both"/>
        <w:rPr>
          <w:rFonts w:ascii="Arial" w:eastAsia="Calibri" w:hAnsi="Arial" w:cs="Arial"/>
          <w:color w:val="000000" w:themeColor="text1"/>
          <w:sz w:val="20"/>
          <w:szCs w:val="20"/>
          <w:lang w:eastAsia="es-ES" w:bidi="es-ES"/>
        </w:rPr>
      </w:pPr>
    </w:p>
    <w:p w14:paraId="49625AC9" w14:textId="0A108D85" w:rsidR="00C62D6E" w:rsidRDefault="00C62D6E" w:rsidP="00C53444">
      <w:pPr>
        <w:jc w:val="both"/>
        <w:rPr>
          <w:rFonts w:ascii="Arial" w:eastAsia="Calibri" w:hAnsi="Arial" w:cs="Arial"/>
          <w:color w:val="000000" w:themeColor="text1"/>
          <w:sz w:val="20"/>
          <w:szCs w:val="20"/>
          <w:lang w:eastAsia="es-ES" w:bidi="es-ES"/>
        </w:rPr>
      </w:pPr>
    </w:p>
    <w:p w14:paraId="3811D77F" w14:textId="46FAFC38" w:rsidR="00C62D6E" w:rsidRDefault="00C62D6E" w:rsidP="00C53444">
      <w:pPr>
        <w:jc w:val="both"/>
        <w:rPr>
          <w:rFonts w:ascii="Arial" w:eastAsia="Calibri" w:hAnsi="Arial" w:cs="Arial"/>
          <w:color w:val="000000" w:themeColor="text1"/>
          <w:sz w:val="20"/>
          <w:szCs w:val="20"/>
          <w:lang w:eastAsia="es-ES" w:bidi="es-ES"/>
        </w:rPr>
      </w:pPr>
    </w:p>
    <w:p w14:paraId="25AABB59" w14:textId="1D777DCF" w:rsidR="00C62D6E" w:rsidRDefault="00C62D6E" w:rsidP="00C53444">
      <w:pPr>
        <w:jc w:val="both"/>
        <w:rPr>
          <w:rFonts w:ascii="Arial" w:eastAsia="Calibri" w:hAnsi="Arial" w:cs="Arial"/>
          <w:color w:val="000000" w:themeColor="text1"/>
          <w:sz w:val="20"/>
          <w:szCs w:val="20"/>
          <w:lang w:eastAsia="es-ES" w:bidi="es-ES"/>
        </w:rPr>
      </w:pPr>
    </w:p>
    <w:p w14:paraId="0C223BE7" w14:textId="496D4C9D" w:rsidR="00C62D6E" w:rsidRDefault="00C62D6E" w:rsidP="00C53444">
      <w:pPr>
        <w:jc w:val="both"/>
        <w:rPr>
          <w:rFonts w:ascii="Arial" w:eastAsia="Calibri" w:hAnsi="Arial" w:cs="Arial"/>
          <w:color w:val="000000" w:themeColor="text1"/>
          <w:sz w:val="20"/>
          <w:szCs w:val="20"/>
          <w:lang w:eastAsia="es-ES" w:bidi="es-ES"/>
        </w:rPr>
      </w:pPr>
    </w:p>
    <w:p w14:paraId="0120FB9B" w14:textId="7DDAD2C0" w:rsidR="00C62D6E" w:rsidRDefault="00C62D6E" w:rsidP="00C53444">
      <w:pPr>
        <w:jc w:val="both"/>
        <w:rPr>
          <w:rFonts w:ascii="Arial" w:eastAsia="Calibri" w:hAnsi="Arial" w:cs="Arial"/>
          <w:color w:val="000000" w:themeColor="text1"/>
          <w:sz w:val="20"/>
          <w:szCs w:val="20"/>
          <w:lang w:eastAsia="es-ES" w:bidi="es-ES"/>
        </w:rPr>
      </w:pPr>
    </w:p>
    <w:p w14:paraId="4ED418F1" w14:textId="18CF85D1" w:rsidR="00C62D6E" w:rsidRDefault="00C62D6E" w:rsidP="00C53444">
      <w:pPr>
        <w:jc w:val="both"/>
        <w:rPr>
          <w:rFonts w:ascii="Arial" w:eastAsia="Calibri" w:hAnsi="Arial" w:cs="Arial"/>
          <w:color w:val="000000" w:themeColor="text1"/>
          <w:sz w:val="20"/>
          <w:szCs w:val="20"/>
          <w:lang w:eastAsia="es-ES" w:bidi="es-ES"/>
        </w:rPr>
      </w:pPr>
    </w:p>
    <w:p w14:paraId="6C4D599F" w14:textId="263B0423" w:rsidR="00C62D6E" w:rsidRDefault="00C62D6E" w:rsidP="00C53444">
      <w:pPr>
        <w:jc w:val="both"/>
        <w:rPr>
          <w:rFonts w:ascii="Arial" w:eastAsia="Calibri" w:hAnsi="Arial" w:cs="Arial"/>
          <w:color w:val="000000" w:themeColor="text1"/>
          <w:sz w:val="20"/>
          <w:szCs w:val="20"/>
          <w:lang w:eastAsia="es-ES" w:bidi="es-ES"/>
        </w:rPr>
      </w:pPr>
    </w:p>
    <w:p w14:paraId="390F789D" w14:textId="57BF7899" w:rsidR="00C62D6E" w:rsidRDefault="00C62D6E" w:rsidP="00C53444">
      <w:pPr>
        <w:jc w:val="both"/>
        <w:rPr>
          <w:rFonts w:ascii="Arial" w:eastAsia="Calibri" w:hAnsi="Arial" w:cs="Arial"/>
          <w:color w:val="000000" w:themeColor="text1"/>
          <w:sz w:val="20"/>
          <w:szCs w:val="20"/>
          <w:lang w:eastAsia="es-ES" w:bidi="es-ES"/>
        </w:rPr>
      </w:pPr>
    </w:p>
    <w:p w14:paraId="678261F7" w14:textId="77777777" w:rsidR="001B7847" w:rsidRPr="00C62D6E" w:rsidRDefault="001B7847" w:rsidP="00C53444">
      <w:pPr>
        <w:jc w:val="both"/>
        <w:rPr>
          <w:rFonts w:ascii="Arial" w:eastAsia="Calibri" w:hAnsi="Arial" w:cs="Arial"/>
          <w:color w:val="000000" w:themeColor="text1"/>
          <w:sz w:val="20"/>
          <w:szCs w:val="20"/>
          <w:lang w:eastAsia="es-ES" w:bidi="es-ES"/>
        </w:rPr>
      </w:pPr>
    </w:p>
    <w:p w14:paraId="7691F8BD" w14:textId="2C23601A" w:rsidR="006E39EA" w:rsidRPr="00352354" w:rsidRDefault="00723101" w:rsidP="00723101">
      <w:pPr>
        <w:spacing w:line="276" w:lineRule="auto"/>
        <w:jc w:val="right"/>
        <w:rPr>
          <w:rFonts w:ascii="Arial" w:eastAsia="Calibri" w:hAnsi="Arial" w:cs="Arial"/>
          <w:sz w:val="22"/>
        </w:rPr>
      </w:pPr>
      <w:r w:rsidRPr="00723101">
        <w:rPr>
          <w:rFonts w:ascii="Arial" w:eastAsia="Calibri" w:hAnsi="Arial" w:cs="Arial"/>
          <w:noProof/>
          <w:sz w:val="22"/>
          <w:lang w:val="en-US"/>
        </w:rPr>
        <w:lastRenderedPageBreak/>
        <w:drawing>
          <wp:inline distT="0" distB="0" distL="0" distR="0" wp14:anchorId="3270507F" wp14:editId="24269808">
            <wp:extent cx="3159123" cy="82867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4449" cy="832695"/>
                    </a:xfrm>
                    <a:prstGeom prst="rect">
                      <a:avLst/>
                    </a:prstGeom>
                    <a:noFill/>
                    <a:ln>
                      <a:noFill/>
                    </a:ln>
                  </pic:spPr>
                </pic:pic>
              </a:graphicData>
            </a:graphic>
          </wp:inline>
        </w:drawing>
      </w:r>
    </w:p>
    <w:p w14:paraId="285AF84A" w14:textId="0BA67327" w:rsidR="00723101" w:rsidRDefault="00723101" w:rsidP="00EB0BBE">
      <w:pPr>
        <w:rPr>
          <w:rFonts w:ascii="Arial" w:eastAsia="Calibri" w:hAnsi="Arial" w:cs="Arial"/>
          <w:sz w:val="22"/>
        </w:rPr>
      </w:pPr>
    </w:p>
    <w:p w14:paraId="66F649B7" w14:textId="09CD8A0F" w:rsidR="00723101" w:rsidRPr="00723101" w:rsidRDefault="00723101" w:rsidP="00EB0BBE">
      <w:pPr>
        <w:rPr>
          <w:rFonts w:ascii="Arial" w:eastAsia="Calibri" w:hAnsi="Arial" w:cs="Arial"/>
          <w:sz w:val="22"/>
        </w:rPr>
      </w:pPr>
      <w:r w:rsidRPr="00723101">
        <w:rPr>
          <w:rFonts w:ascii="Arial" w:eastAsia="Calibri" w:hAnsi="Arial" w:cs="Arial"/>
          <w:sz w:val="22"/>
        </w:rPr>
        <w:t>Bogot</w:t>
      </w:r>
      <w:r w:rsidRPr="00723101">
        <w:rPr>
          <w:rFonts w:ascii="Arial" w:eastAsia="Calibri" w:hAnsi="Arial" w:cs="Arial" w:hint="eastAsia"/>
          <w:sz w:val="22"/>
        </w:rPr>
        <w:t>á</w:t>
      </w:r>
      <w:r w:rsidRPr="00723101">
        <w:rPr>
          <w:rFonts w:ascii="Arial" w:eastAsia="Calibri" w:hAnsi="Arial" w:cs="Arial"/>
          <w:sz w:val="22"/>
        </w:rPr>
        <w:t>, 10 Noviembre 2021</w:t>
      </w:r>
    </w:p>
    <w:p w14:paraId="2D360D22" w14:textId="77777777" w:rsidR="00723101" w:rsidRDefault="00723101" w:rsidP="00EB0BBE">
      <w:pPr>
        <w:rPr>
          <w:rFonts w:ascii="Arial" w:eastAsia="Calibri" w:hAnsi="Arial" w:cs="Arial"/>
          <w:sz w:val="22"/>
        </w:rPr>
      </w:pPr>
    </w:p>
    <w:p w14:paraId="1F3E67BB" w14:textId="3FACE5BD" w:rsidR="00AF1718" w:rsidRPr="00352354" w:rsidRDefault="00A54C72" w:rsidP="00EB0BBE">
      <w:pPr>
        <w:rPr>
          <w:rFonts w:ascii="Arial" w:eastAsia="Calibri" w:hAnsi="Arial" w:cs="Arial"/>
          <w:sz w:val="22"/>
        </w:rPr>
      </w:pPr>
      <w:r w:rsidRPr="00352354">
        <w:rPr>
          <w:rFonts w:ascii="Arial" w:eastAsia="Calibri" w:hAnsi="Arial" w:cs="Arial"/>
          <w:sz w:val="22"/>
        </w:rPr>
        <w:t>Señor</w:t>
      </w:r>
    </w:p>
    <w:p w14:paraId="7A9ADCF5" w14:textId="6B431B7F" w:rsidR="00AF1718" w:rsidRPr="00352354" w:rsidRDefault="00604A64" w:rsidP="00EB0BBE">
      <w:pPr>
        <w:rPr>
          <w:rFonts w:ascii="Arial" w:eastAsia="Calibri" w:hAnsi="Arial" w:cs="Arial"/>
          <w:sz w:val="22"/>
          <w:lang w:val="es-ES"/>
        </w:rPr>
      </w:pPr>
      <w:r>
        <w:rPr>
          <w:rFonts w:ascii="Arial" w:eastAsia="Calibri" w:hAnsi="Arial" w:cs="Arial"/>
          <w:sz w:val="22"/>
        </w:rPr>
        <w:t xml:space="preserve">Aldemar Andrés Osorio Velásquez </w:t>
      </w:r>
      <w:r w:rsidR="00A907EF" w:rsidRPr="00352354">
        <w:rPr>
          <w:rFonts w:ascii="Arial" w:eastAsia="Calibri" w:hAnsi="Arial" w:cs="Arial"/>
          <w:sz w:val="22"/>
        </w:rPr>
        <w:t xml:space="preserve"> </w:t>
      </w:r>
      <w:r w:rsidR="00C71C51" w:rsidRPr="00352354">
        <w:rPr>
          <w:rFonts w:ascii="Arial" w:eastAsia="Calibri" w:hAnsi="Arial" w:cs="Arial"/>
          <w:sz w:val="22"/>
        </w:rPr>
        <w:t xml:space="preserve"> </w:t>
      </w:r>
    </w:p>
    <w:p w14:paraId="0C4BCB54" w14:textId="45F33765" w:rsidR="00AF1718" w:rsidRPr="00352354" w:rsidRDefault="00604A64" w:rsidP="00EB0BBE">
      <w:pPr>
        <w:rPr>
          <w:rFonts w:ascii="Arial" w:eastAsia="Calibri" w:hAnsi="Arial" w:cs="Arial"/>
          <w:sz w:val="22"/>
        </w:rPr>
      </w:pPr>
      <w:r>
        <w:rPr>
          <w:rFonts w:ascii="Arial" w:eastAsia="Calibri" w:hAnsi="Arial" w:cs="Arial"/>
          <w:sz w:val="22"/>
        </w:rPr>
        <w:t xml:space="preserve">Barrancabermeja, Santander </w:t>
      </w:r>
      <w:r w:rsidR="00A907EF" w:rsidRPr="00352354">
        <w:rPr>
          <w:rFonts w:ascii="Arial" w:eastAsia="Calibri" w:hAnsi="Arial" w:cs="Arial"/>
          <w:sz w:val="22"/>
        </w:rPr>
        <w:t xml:space="preserve"> </w:t>
      </w:r>
      <w:r w:rsidR="00195745" w:rsidRPr="00352354">
        <w:rPr>
          <w:rFonts w:ascii="Arial" w:eastAsia="Calibri" w:hAnsi="Arial" w:cs="Arial"/>
          <w:sz w:val="22"/>
        </w:rPr>
        <w:t xml:space="preserve"> </w:t>
      </w:r>
    </w:p>
    <w:p w14:paraId="52C41654" w14:textId="2D1E7C4B" w:rsidR="00AF1718" w:rsidRPr="00352354" w:rsidRDefault="00AF1718" w:rsidP="00B67F3A">
      <w:pPr>
        <w:spacing w:line="276" w:lineRule="auto"/>
        <w:rPr>
          <w:rFonts w:ascii="Arial" w:eastAsia="Calibri" w:hAnsi="Arial" w:cs="Arial"/>
          <w:sz w:val="22"/>
        </w:rPr>
      </w:pPr>
    </w:p>
    <w:p w14:paraId="059319F3" w14:textId="6BBB1527" w:rsidR="000261BB" w:rsidRDefault="000261BB" w:rsidP="00B67F3A">
      <w:pPr>
        <w:spacing w:line="276" w:lineRule="auto"/>
        <w:rPr>
          <w:rFonts w:ascii="Arial" w:eastAsia="Calibri" w:hAnsi="Arial" w:cs="Arial"/>
          <w:sz w:val="22"/>
        </w:rPr>
      </w:pPr>
    </w:p>
    <w:p w14:paraId="7FC4B24E" w14:textId="79E7331C" w:rsidR="00C62D6E" w:rsidRPr="00352354" w:rsidRDefault="00C62D6E" w:rsidP="00B67F3A">
      <w:pPr>
        <w:spacing w:line="276" w:lineRule="auto"/>
        <w:rPr>
          <w:rFonts w:ascii="Arial" w:eastAsia="Calibri" w:hAnsi="Arial" w:cs="Arial"/>
          <w:sz w:val="22"/>
        </w:rPr>
      </w:pPr>
    </w:p>
    <w:p w14:paraId="479972ED" w14:textId="77777777" w:rsidR="00AF1718" w:rsidRPr="00352354" w:rsidRDefault="00AF1718" w:rsidP="00B67F3A">
      <w:pPr>
        <w:spacing w:line="276" w:lineRule="auto"/>
        <w:rPr>
          <w:rFonts w:ascii="Arial" w:eastAsia="Calibri" w:hAnsi="Arial" w:cs="Arial"/>
          <w:sz w:val="22"/>
        </w:rPr>
      </w:pPr>
    </w:p>
    <w:p w14:paraId="5D5D21AD" w14:textId="202D8B04" w:rsidR="00DF5076" w:rsidRPr="00352354" w:rsidRDefault="00C71C51" w:rsidP="002F723E">
      <w:pPr>
        <w:spacing w:line="276" w:lineRule="auto"/>
        <w:ind w:left="2694"/>
        <w:rPr>
          <w:rFonts w:ascii="Arial" w:eastAsia="Calibri" w:hAnsi="Arial" w:cs="Arial"/>
          <w:b/>
          <w:sz w:val="22"/>
        </w:rPr>
      </w:pPr>
      <w:r w:rsidRPr="00352354">
        <w:rPr>
          <w:rFonts w:ascii="Arial" w:eastAsia="Calibri" w:hAnsi="Arial" w:cs="Arial"/>
          <w:b/>
          <w:sz w:val="22"/>
        </w:rPr>
        <w:t>Concepto C</w:t>
      </w:r>
      <w:r w:rsidR="00967D10" w:rsidRPr="00352354">
        <w:rPr>
          <w:rFonts w:ascii="Arial" w:eastAsia="Calibri" w:hAnsi="Arial" w:cs="Arial"/>
          <w:b/>
          <w:sz w:val="22"/>
        </w:rPr>
        <w:t xml:space="preserve"> –</w:t>
      </w:r>
      <w:r w:rsidR="00604A64">
        <w:rPr>
          <w:rFonts w:ascii="Arial" w:eastAsia="Calibri" w:hAnsi="Arial" w:cs="Arial"/>
          <w:b/>
          <w:sz w:val="22"/>
        </w:rPr>
        <w:t xml:space="preserve"> 635</w:t>
      </w:r>
      <w:r w:rsidRPr="00352354">
        <w:rPr>
          <w:rFonts w:ascii="Arial" w:eastAsia="Calibri" w:hAnsi="Arial" w:cs="Arial"/>
          <w:b/>
          <w:sz w:val="22"/>
        </w:rPr>
        <w:t xml:space="preserve"> </w:t>
      </w:r>
      <w:r w:rsidR="00AF1718" w:rsidRPr="00352354">
        <w:rPr>
          <w:rFonts w:ascii="Arial" w:eastAsia="Calibri" w:hAnsi="Arial" w:cs="Arial"/>
          <w:b/>
          <w:sz w:val="22"/>
        </w:rPr>
        <w:t>de 2021</w:t>
      </w:r>
    </w:p>
    <w:p w14:paraId="37719CA8" w14:textId="7C400027" w:rsidR="00AF1718" w:rsidRPr="00352354" w:rsidRDefault="00AF1718" w:rsidP="00B67F3A">
      <w:pPr>
        <w:spacing w:line="276" w:lineRule="auto"/>
        <w:rPr>
          <w:rFonts w:ascii="Arial" w:eastAsia="Calibri" w:hAnsi="Arial" w:cs="Arial"/>
          <w:sz w:val="22"/>
        </w:rPr>
      </w:pPr>
    </w:p>
    <w:p w14:paraId="3E52E0FD" w14:textId="77777777" w:rsidR="00E92199" w:rsidRPr="00352354"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2E58E3" w14:paraId="00B1888F" w14:textId="77777777" w:rsidTr="004E51E3">
        <w:tc>
          <w:tcPr>
            <w:tcW w:w="2689" w:type="dxa"/>
            <w:hideMark/>
          </w:tcPr>
          <w:p w14:paraId="6531557F" w14:textId="1160258F" w:rsidR="00AF1718" w:rsidRPr="00352354" w:rsidRDefault="00AF1718" w:rsidP="00B67F3A">
            <w:pPr>
              <w:spacing w:line="276" w:lineRule="auto"/>
              <w:rPr>
                <w:rFonts w:ascii="Arial" w:eastAsia="Calibri" w:hAnsi="Arial" w:cs="Arial"/>
                <w:sz w:val="22"/>
              </w:rPr>
            </w:pPr>
            <w:r w:rsidRPr="00352354">
              <w:rPr>
                <w:rFonts w:ascii="Arial" w:eastAsia="Calibri" w:hAnsi="Arial" w:cs="Arial"/>
                <w:b/>
                <w:sz w:val="22"/>
              </w:rPr>
              <w:t>Temas:</w:t>
            </w:r>
            <w:r w:rsidRPr="00352354">
              <w:rPr>
                <w:rFonts w:ascii="Arial" w:eastAsia="Calibri" w:hAnsi="Arial" w:cs="Arial"/>
                <w:sz w:val="22"/>
              </w:rPr>
              <w:t xml:space="preserve"> </w:t>
            </w:r>
          </w:p>
        </w:tc>
        <w:tc>
          <w:tcPr>
            <w:tcW w:w="6237" w:type="dxa"/>
            <w:hideMark/>
          </w:tcPr>
          <w:p w14:paraId="29D1DB70" w14:textId="77777777" w:rsidR="00C62D6E" w:rsidRPr="00C62D6E" w:rsidRDefault="00C62D6E" w:rsidP="00C62D6E">
            <w:pPr>
              <w:jc w:val="both"/>
              <w:rPr>
                <w:rFonts w:ascii="Arial" w:eastAsia="Calibri" w:hAnsi="Arial" w:cs="Arial"/>
                <w:noProof/>
                <w:sz w:val="20"/>
                <w:szCs w:val="20"/>
                <w:highlight w:val="yellow"/>
                <w:lang w:val="es-ES_tradnl"/>
              </w:rPr>
            </w:pPr>
            <w:r w:rsidRPr="00C62D6E">
              <w:rPr>
                <w:rFonts w:ascii="Arial" w:eastAsia="Arial" w:hAnsi="Arial" w:cs="Arial"/>
                <w:sz w:val="22"/>
              </w:rPr>
              <w:t xml:space="preserve">SOCIEDADES NUEVAS – </w:t>
            </w:r>
            <w:r w:rsidRPr="00C62D6E">
              <w:rPr>
                <w:rFonts w:ascii="Arial" w:eastAsia="Calibri" w:hAnsi="Arial" w:cs="Arial"/>
                <w:sz w:val="22"/>
              </w:rPr>
              <w:t xml:space="preserve">Acreditación de la experiencia de los socios o constituyentes / </w:t>
            </w:r>
            <w:r w:rsidRPr="00C62D6E">
              <w:rPr>
                <w:rFonts w:ascii="Arial" w:eastAsia="Arial" w:hAnsi="Arial" w:cs="Arial"/>
                <w:sz w:val="22"/>
              </w:rPr>
              <w:t>CAPACIDAD RESIDUAL –</w:t>
            </w:r>
            <w:r w:rsidRPr="00C62D6E">
              <w:rPr>
                <w:rFonts w:ascii="Arial" w:hAnsi="Arial" w:cs="Arial"/>
                <w:color w:val="000000" w:themeColor="text1"/>
                <w:sz w:val="22"/>
                <w:lang w:val="es-ES_tradnl"/>
              </w:rPr>
              <w:t xml:space="preserve"> </w:t>
            </w:r>
            <w:r w:rsidRPr="00C62D6E">
              <w:rPr>
                <w:rFonts w:ascii="Arial" w:eastAsia="Calibri" w:hAnsi="Arial" w:cs="Arial"/>
                <w:sz w:val="22"/>
              </w:rPr>
              <w:t>Definición</w:t>
            </w:r>
            <w:r w:rsidRPr="00C62D6E">
              <w:rPr>
                <w:rFonts w:ascii="Arial" w:hAnsi="Arial" w:cs="Arial"/>
                <w:color w:val="000000" w:themeColor="text1"/>
                <w:sz w:val="22"/>
                <w:lang w:val="es-ES_tradnl"/>
              </w:rPr>
              <w:t xml:space="preserve"> – </w:t>
            </w:r>
            <w:r w:rsidRPr="00C62D6E">
              <w:rPr>
                <w:rFonts w:ascii="Arial" w:eastAsia="Calibri" w:hAnsi="Arial" w:cs="Arial"/>
                <w:sz w:val="22"/>
              </w:rPr>
              <w:t xml:space="preserve">Requisito habilitante / </w:t>
            </w:r>
            <w:r w:rsidRPr="00C62D6E">
              <w:rPr>
                <w:rFonts w:ascii="Arial" w:eastAsia="Arial" w:hAnsi="Arial" w:cs="Arial"/>
                <w:sz w:val="22"/>
              </w:rPr>
              <w:t>CAPACIDAD RESIDUAL –</w:t>
            </w:r>
            <w:r w:rsidRPr="00C62D6E">
              <w:rPr>
                <w:rFonts w:ascii="Arial" w:hAnsi="Arial" w:cs="Arial"/>
                <w:color w:val="000000" w:themeColor="text1"/>
                <w:sz w:val="22"/>
                <w:lang w:val="es-ES_tradnl"/>
              </w:rPr>
              <w:t xml:space="preserve"> </w:t>
            </w:r>
            <w:r w:rsidRPr="00C62D6E">
              <w:rPr>
                <w:rFonts w:ascii="Arial" w:eastAsia="Calibri" w:hAnsi="Arial" w:cs="Arial"/>
                <w:sz w:val="22"/>
              </w:rPr>
              <w:t>Acreditación</w:t>
            </w:r>
            <w:r w:rsidRPr="00C62D6E">
              <w:rPr>
                <w:rFonts w:ascii="Arial" w:hAnsi="Arial" w:cs="Arial"/>
                <w:color w:val="000000" w:themeColor="text1"/>
                <w:sz w:val="22"/>
                <w:lang w:val="es-ES_tradnl"/>
              </w:rPr>
              <w:t xml:space="preserve"> – </w:t>
            </w:r>
            <w:r w:rsidRPr="00C62D6E">
              <w:rPr>
                <w:rFonts w:ascii="Arial" w:eastAsia="Calibri" w:hAnsi="Arial" w:cs="Arial"/>
                <w:sz w:val="22"/>
              </w:rPr>
              <w:t xml:space="preserve">El factor Experiencia (E) </w:t>
            </w:r>
            <w:r w:rsidRPr="00C62D6E">
              <w:rPr>
                <w:rFonts w:ascii="Arial" w:hAnsi="Arial" w:cs="Arial"/>
                <w:color w:val="000000" w:themeColor="text1"/>
                <w:sz w:val="22"/>
                <w:lang w:val="es-ES_tradnl"/>
              </w:rPr>
              <w:t>– Cálculo</w:t>
            </w:r>
          </w:p>
          <w:p w14:paraId="30A9E48B" w14:textId="7055436A" w:rsidR="002E1571" w:rsidRPr="002E58E3" w:rsidRDefault="002E1571" w:rsidP="002E58E3">
            <w:pPr>
              <w:spacing w:line="276" w:lineRule="auto"/>
              <w:jc w:val="both"/>
              <w:rPr>
                <w:rFonts w:ascii="Arial" w:hAnsi="Arial" w:cs="Arial"/>
                <w:b/>
                <w:color w:val="000000" w:themeColor="text1"/>
                <w:sz w:val="22"/>
              </w:rPr>
            </w:pPr>
          </w:p>
        </w:tc>
      </w:tr>
      <w:tr w:rsidR="00AF1718" w:rsidRPr="00352354" w14:paraId="0E180394" w14:textId="77777777" w:rsidTr="004E51E3">
        <w:tc>
          <w:tcPr>
            <w:tcW w:w="2689" w:type="dxa"/>
          </w:tcPr>
          <w:p w14:paraId="60116CBE" w14:textId="77777777" w:rsidR="00535CB9" w:rsidRDefault="00535CB9" w:rsidP="00B67F3A">
            <w:pPr>
              <w:spacing w:line="276" w:lineRule="auto"/>
              <w:rPr>
                <w:rFonts w:ascii="Arial" w:eastAsia="Calibri" w:hAnsi="Arial" w:cs="Arial"/>
                <w:sz w:val="22"/>
              </w:rPr>
            </w:pPr>
          </w:p>
          <w:p w14:paraId="35D0842E" w14:textId="600CA48C" w:rsidR="00AF1718" w:rsidRPr="00352354" w:rsidRDefault="00AF1718" w:rsidP="00B67F3A">
            <w:pPr>
              <w:spacing w:line="276" w:lineRule="auto"/>
              <w:rPr>
                <w:rFonts w:ascii="Arial" w:eastAsia="Calibri" w:hAnsi="Arial" w:cs="Arial"/>
                <w:sz w:val="22"/>
              </w:rPr>
            </w:pPr>
            <w:r w:rsidRPr="00352354">
              <w:rPr>
                <w:rFonts w:ascii="Arial" w:eastAsia="Calibri" w:hAnsi="Arial" w:cs="Arial"/>
                <w:sz w:val="22"/>
              </w:rPr>
              <w:t>Radicación:</w:t>
            </w:r>
          </w:p>
        </w:tc>
        <w:tc>
          <w:tcPr>
            <w:tcW w:w="6237" w:type="dxa"/>
          </w:tcPr>
          <w:p w14:paraId="7D333E82" w14:textId="77777777" w:rsidR="00535CB9" w:rsidRDefault="00535CB9" w:rsidP="00A907EF">
            <w:pPr>
              <w:spacing w:line="276" w:lineRule="auto"/>
              <w:ind w:left="1"/>
              <w:jc w:val="both"/>
              <w:rPr>
                <w:rFonts w:ascii="Arial" w:eastAsia="Calibri" w:hAnsi="Arial" w:cs="Arial"/>
                <w:sz w:val="22"/>
              </w:rPr>
            </w:pPr>
          </w:p>
          <w:p w14:paraId="1B6BB553" w14:textId="1785A5B8" w:rsidR="00AF1718" w:rsidRPr="00352354" w:rsidRDefault="00FF6BBB" w:rsidP="00A907EF">
            <w:pPr>
              <w:spacing w:line="276" w:lineRule="auto"/>
              <w:ind w:left="1"/>
              <w:jc w:val="both"/>
              <w:rPr>
                <w:rFonts w:ascii="Arial" w:eastAsia="Calibri" w:hAnsi="Arial" w:cs="Arial"/>
                <w:sz w:val="22"/>
              </w:rPr>
            </w:pPr>
            <w:r w:rsidRPr="00352354">
              <w:rPr>
                <w:rFonts w:ascii="Arial" w:eastAsia="Calibri" w:hAnsi="Arial" w:cs="Arial"/>
                <w:sz w:val="22"/>
              </w:rPr>
              <w:t xml:space="preserve">Respuesta a </w:t>
            </w:r>
            <w:r w:rsidR="00604A64">
              <w:rPr>
                <w:rFonts w:ascii="Arial" w:eastAsia="Calibri" w:hAnsi="Arial" w:cs="Arial"/>
                <w:sz w:val="22"/>
              </w:rPr>
              <w:t>la</w:t>
            </w:r>
            <w:r w:rsidR="00A907EF" w:rsidRPr="00352354">
              <w:rPr>
                <w:rFonts w:ascii="Arial" w:eastAsia="Calibri" w:hAnsi="Arial" w:cs="Arial"/>
                <w:sz w:val="22"/>
              </w:rPr>
              <w:t xml:space="preserve"> </w:t>
            </w:r>
            <w:r w:rsidRPr="00352354">
              <w:rPr>
                <w:rFonts w:ascii="Arial" w:eastAsia="Calibri" w:hAnsi="Arial" w:cs="Arial"/>
                <w:sz w:val="22"/>
              </w:rPr>
              <w:t>consulta</w:t>
            </w:r>
            <w:r w:rsidR="00A907EF" w:rsidRPr="00352354">
              <w:rPr>
                <w:rFonts w:ascii="Arial" w:eastAsia="Calibri" w:hAnsi="Arial" w:cs="Arial"/>
                <w:sz w:val="22"/>
              </w:rPr>
              <w:t xml:space="preserve"> </w:t>
            </w:r>
            <w:r w:rsidR="00C71C51" w:rsidRPr="00352354">
              <w:rPr>
                <w:rFonts w:ascii="Arial" w:eastAsia="Calibri" w:hAnsi="Arial" w:cs="Arial"/>
                <w:sz w:val="22"/>
              </w:rPr>
              <w:t>P</w:t>
            </w:r>
            <w:r w:rsidR="00604A64">
              <w:rPr>
                <w:rFonts w:ascii="Arial" w:eastAsia="Calibri" w:hAnsi="Arial" w:cs="Arial"/>
                <w:sz w:val="22"/>
              </w:rPr>
              <w:t>20210928008884</w:t>
            </w:r>
          </w:p>
        </w:tc>
      </w:tr>
    </w:tbl>
    <w:p w14:paraId="5032701F" w14:textId="548DDDB5" w:rsidR="00E658C9" w:rsidRPr="00352354" w:rsidRDefault="00E658C9" w:rsidP="00B67F3A">
      <w:pPr>
        <w:spacing w:line="276" w:lineRule="auto"/>
        <w:rPr>
          <w:rFonts w:ascii="Arial" w:eastAsia="Calibri" w:hAnsi="Arial" w:cs="Arial"/>
          <w:sz w:val="22"/>
        </w:rPr>
      </w:pPr>
    </w:p>
    <w:p w14:paraId="330D2A6B" w14:textId="77777777" w:rsidR="000261BB" w:rsidRPr="00352354" w:rsidRDefault="000261BB" w:rsidP="00145C2E">
      <w:pPr>
        <w:spacing w:after="120" w:line="276" w:lineRule="auto"/>
        <w:rPr>
          <w:rFonts w:ascii="Arial" w:eastAsia="Calibri" w:hAnsi="Arial" w:cs="Arial"/>
          <w:sz w:val="22"/>
        </w:rPr>
      </w:pPr>
    </w:p>
    <w:p w14:paraId="5585167A" w14:textId="6BCCD0E0" w:rsidR="00B20EEE" w:rsidRPr="00352354" w:rsidRDefault="00604A64" w:rsidP="00145C2E">
      <w:pPr>
        <w:spacing w:after="120" w:line="276" w:lineRule="auto"/>
        <w:rPr>
          <w:rFonts w:ascii="Arial" w:eastAsia="Calibri" w:hAnsi="Arial" w:cs="Arial"/>
          <w:sz w:val="22"/>
        </w:rPr>
      </w:pPr>
      <w:r>
        <w:rPr>
          <w:rFonts w:ascii="Arial" w:eastAsia="Calibri" w:hAnsi="Arial" w:cs="Arial"/>
          <w:sz w:val="22"/>
        </w:rPr>
        <w:t>Estimado</w:t>
      </w:r>
      <w:r w:rsidR="00AF1718" w:rsidRPr="00352354">
        <w:rPr>
          <w:rFonts w:ascii="Arial" w:eastAsia="Calibri" w:hAnsi="Arial" w:cs="Arial"/>
          <w:sz w:val="22"/>
        </w:rPr>
        <w:t xml:space="preserve"> </w:t>
      </w:r>
      <w:r w:rsidR="00C71C51" w:rsidRPr="00352354">
        <w:rPr>
          <w:rFonts w:ascii="Arial" w:eastAsia="Calibri" w:hAnsi="Arial" w:cs="Arial"/>
          <w:sz w:val="22"/>
        </w:rPr>
        <w:t xml:space="preserve">señor </w:t>
      </w:r>
      <w:r>
        <w:rPr>
          <w:rFonts w:ascii="Arial" w:eastAsia="Calibri" w:hAnsi="Arial" w:cs="Arial"/>
          <w:sz w:val="22"/>
        </w:rPr>
        <w:t>Osorio</w:t>
      </w:r>
      <w:r w:rsidR="00AF1718" w:rsidRPr="00352354">
        <w:rPr>
          <w:rFonts w:ascii="Arial" w:eastAsia="Calibri" w:hAnsi="Arial" w:cs="Arial"/>
          <w:sz w:val="22"/>
        </w:rPr>
        <w:t>,</w:t>
      </w:r>
    </w:p>
    <w:p w14:paraId="08C8CA6B" w14:textId="17DA267D" w:rsidR="00AF1718" w:rsidRPr="00352354" w:rsidRDefault="00AF1718" w:rsidP="00B67F3A">
      <w:pPr>
        <w:spacing w:line="276" w:lineRule="auto"/>
        <w:jc w:val="both"/>
        <w:rPr>
          <w:rFonts w:ascii="Arial" w:eastAsia="Calibri" w:hAnsi="Arial" w:cs="Arial"/>
          <w:sz w:val="22"/>
        </w:rPr>
      </w:pPr>
      <w:r w:rsidRPr="00352354">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sidRPr="00352354">
        <w:rPr>
          <w:rFonts w:ascii="Arial" w:eastAsia="Calibri" w:hAnsi="Arial" w:cs="Arial"/>
          <w:sz w:val="22"/>
        </w:rPr>
        <w:t xml:space="preserve">te responde su consulta del </w:t>
      </w:r>
      <w:r w:rsidR="00604A64">
        <w:rPr>
          <w:rFonts w:ascii="Arial" w:eastAsia="Calibri" w:hAnsi="Arial" w:cs="Arial"/>
          <w:sz w:val="22"/>
        </w:rPr>
        <w:t>28</w:t>
      </w:r>
      <w:r w:rsidR="0029446D" w:rsidRPr="00352354">
        <w:rPr>
          <w:rFonts w:ascii="Arial" w:eastAsia="Calibri" w:hAnsi="Arial" w:cs="Arial"/>
          <w:sz w:val="22"/>
        </w:rPr>
        <w:t xml:space="preserve"> de septiembre</w:t>
      </w:r>
      <w:r w:rsidR="00146306" w:rsidRPr="00352354">
        <w:rPr>
          <w:rFonts w:ascii="Arial" w:eastAsia="Calibri" w:hAnsi="Arial" w:cs="Arial"/>
          <w:sz w:val="22"/>
        </w:rPr>
        <w:t xml:space="preserve"> </w:t>
      </w:r>
      <w:r w:rsidRPr="00352354">
        <w:rPr>
          <w:rFonts w:ascii="Arial" w:eastAsia="Calibri" w:hAnsi="Arial" w:cs="Arial"/>
          <w:sz w:val="22"/>
        </w:rPr>
        <w:t>de 2021</w:t>
      </w:r>
      <w:r w:rsidR="00A002DA" w:rsidRPr="00352354">
        <w:rPr>
          <w:rFonts w:ascii="Arial" w:eastAsia="Calibri" w:hAnsi="Arial" w:cs="Arial"/>
          <w:sz w:val="22"/>
        </w:rPr>
        <w:t>.</w:t>
      </w:r>
    </w:p>
    <w:p w14:paraId="1A0A2BD6" w14:textId="77777777" w:rsidR="00AF1718" w:rsidRPr="00352354" w:rsidRDefault="00AF1718" w:rsidP="00B67F3A">
      <w:pPr>
        <w:spacing w:line="276" w:lineRule="auto"/>
        <w:jc w:val="both"/>
        <w:rPr>
          <w:rFonts w:ascii="Arial" w:eastAsia="Calibri" w:hAnsi="Arial" w:cs="Arial"/>
        </w:rPr>
      </w:pPr>
    </w:p>
    <w:p w14:paraId="269B720F" w14:textId="1A6521A5" w:rsidR="00722C4F" w:rsidRPr="00352354"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52354">
        <w:rPr>
          <w:rFonts w:ascii="Arial" w:eastAsia="Calibri" w:hAnsi="Arial" w:cs="Arial"/>
          <w:b/>
          <w:sz w:val="22"/>
        </w:rPr>
        <w:t>Problema planteado</w:t>
      </w:r>
      <w:bookmarkStart w:id="2" w:name="_Hlk68679800"/>
    </w:p>
    <w:p w14:paraId="616B73D6" w14:textId="77777777" w:rsidR="00440BFC" w:rsidRPr="00352354" w:rsidRDefault="00440BFC" w:rsidP="00440BFC">
      <w:pPr>
        <w:pStyle w:val="Prrafodelista"/>
        <w:tabs>
          <w:tab w:val="left" w:pos="284"/>
        </w:tabs>
        <w:spacing w:line="276" w:lineRule="auto"/>
        <w:jc w:val="both"/>
        <w:rPr>
          <w:rFonts w:ascii="Arial" w:eastAsia="Calibri" w:hAnsi="Arial" w:cs="Arial"/>
          <w:b/>
          <w:sz w:val="22"/>
        </w:rPr>
      </w:pPr>
    </w:p>
    <w:p w14:paraId="74D0443E" w14:textId="77777777" w:rsidR="0039324A" w:rsidRDefault="0039324A" w:rsidP="0039324A">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Usted formula la siguiente consulta:</w:t>
      </w:r>
    </w:p>
    <w:p w14:paraId="06A7D517" w14:textId="63F9AB6C" w:rsidR="0039324A" w:rsidRPr="00352354" w:rsidRDefault="00672538" w:rsidP="0039324A">
      <w:pPr>
        <w:spacing w:before="120"/>
        <w:ind w:left="709" w:right="709"/>
        <w:jc w:val="both"/>
        <w:rPr>
          <w:rFonts w:ascii="Arial" w:hAnsi="Arial" w:cs="Arial"/>
          <w:sz w:val="21"/>
          <w:szCs w:val="21"/>
          <w:lang w:val="es-ES"/>
        </w:rPr>
      </w:pPr>
      <w:r w:rsidRPr="00352354">
        <w:rPr>
          <w:rFonts w:ascii="Arial" w:eastAsia="Calibri" w:hAnsi="Arial" w:cs="Arial"/>
          <w:sz w:val="21"/>
          <w:szCs w:val="21"/>
        </w:rPr>
        <w:t>«</w:t>
      </w:r>
      <w:bookmarkEnd w:id="2"/>
      <w:r w:rsidR="0039324A">
        <w:rPr>
          <w:rFonts w:ascii="Arial" w:eastAsia="Calibri" w:hAnsi="Arial" w:cs="Arial"/>
          <w:sz w:val="21"/>
          <w:szCs w:val="21"/>
        </w:rPr>
        <w:t xml:space="preserve">[…] solicitamos que la Agencia Nacional de </w:t>
      </w:r>
      <w:r w:rsidR="003B25CC">
        <w:rPr>
          <w:rFonts w:ascii="Arial" w:eastAsia="Calibri" w:hAnsi="Arial" w:cs="Arial"/>
          <w:sz w:val="21"/>
          <w:szCs w:val="21"/>
        </w:rPr>
        <w:t>Contratación</w:t>
      </w:r>
      <w:r w:rsidR="0039324A">
        <w:rPr>
          <w:rFonts w:ascii="Arial" w:eastAsia="Calibri" w:hAnsi="Arial" w:cs="Arial"/>
          <w:sz w:val="21"/>
          <w:szCs w:val="21"/>
        </w:rPr>
        <w:t xml:space="preserve"> </w:t>
      </w:r>
      <w:r w:rsidR="00DC228E">
        <w:rPr>
          <w:rFonts w:ascii="Arial" w:eastAsia="Calibri" w:hAnsi="Arial" w:cs="Arial"/>
          <w:sz w:val="21"/>
          <w:szCs w:val="21"/>
        </w:rPr>
        <w:t>Pública</w:t>
      </w:r>
      <w:r w:rsidR="0039324A">
        <w:rPr>
          <w:rFonts w:ascii="Arial" w:eastAsia="Calibri" w:hAnsi="Arial" w:cs="Arial"/>
          <w:sz w:val="21"/>
          <w:szCs w:val="21"/>
        </w:rPr>
        <w:t xml:space="preserve"> – Colombia Compra Eficiente</w:t>
      </w:r>
      <w:r w:rsidR="003B25CC">
        <w:rPr>
          <w:rFonts w:ascii="Arial" w:eastAsia="Calibri" w:hAnsi="Arial" w:cs="Arial"/>
          <w:sz w:val="21"/>
          <w:szCs w:val="21"/>
        </w:rPr>
        <w:t xml:space="preserve"> nos aclare si bajo las consignas del instructivo para el cálculo del k </w:t>
      </w:r>
      <w:r w:rsidR="003B25CC" w:rsidRPr="00C50206">
        <w:rPr>
          <w:rFonts w:ascii="Arial" w:eastAsia="Calibri" w:hAnsi="Arial" w:cs="Arial"/>
          <w:sz w:val="21"/>
          <w:szCs w:val="21"/>
        </w:rPr>
        <w:t>residual es posible o no incluir todas las experiencias que se encuentran en el RUP</w:t>
      </w:r>
      <w:r w:rsidR="003B25CC">
        <w:rPr>
          <w:rFonts w:ascii="Arial" w:eastAsia="Calibri" w:hAnsi="Arial" w:cs="Arial"/>
          <w:sz w:val="21"/>
          <w:szCs w:val="21"/>
        </w:rPr>
        <w:t xml:space="preserve"> y en caso de no ser aceptadas por la entidad, presentar el formato de manera parcial solo con las experiencias propias de la firma, sin necesidad de ser retiradas del Registro. Lo anterior porque muchas entidades oficiales acogen los conceptos de Colombia Compra Eficiente y nos parece totalmente irregular que se pretenda que retiremos las experiencias del RUP para atender el capricho de la entidad»</w:t>
      </w:r>
    </w:p>
    <w:p w14:paraId="60770856" w14:textId="6C117D22" w:rsidR="006A61EC" w:rsidRPr="00352354" w:rsidRDefault="006A61EC" w:rsidP="006A61EC">
      <w:pPr>
        <w:spacing w:line="276" w:lineRule="auto"/>
        <w:jc w:val="both"/>
        <w:rPr>
          <w:rFonts w:ascii="Arial" w:eastAsia="Calibri" w:hAnsi="Arial" w:cs="Arial"/>
          <w:b/>
          <w:sz w:val="22"/>
        </w:rPr>
      </w:pPr>
    </w:p>
    <w:p w14:paraId="1BB295BA" w14:textId="25008BD9" w:rsidR="00722C4F" w:rsidRPr="00352354" w:rsidRDefault="00E7138C" w:rsidP="00A002DA">
      <w:pPr>
        <w:spacing w:line="276" w:lineRule="auto"/>
        <w:jc w:val="both"/>
        <w:rPr>
          <w:rFonts w:ascii="Arial" w:eastAsia="Calibri" w:hAnsi="Arial" w:cs="Arial"/>
          <w:b/>
          <w:sz w:val="22"/>
        </w:rPr>
      </w:pPr>
      <w:r w:rsidRPr="00352354">
        <w:rPr>
          <w:rFonts w:ascii="Arial" w:eastAsia="Calibri" w:hAnsi="Arial" w:cs="Arial"/>
          <w:b/>
          <w:sz w:val="22"/>
        </w:rPr>
        <w:t xml:space="preserve">2. </w:t>
      </w:r>
      <w:r w:rsidR="00817EA3" w:rsidRPr="00352354">
        <w:rPr>
          <w:rFonts w:ascii="Arial" w:eastAsia="Calibri" w:hAnsi="Arial" w:cs="Arial"/>
          <w:b/>
          <w:sz w:val="22"/>
        </w:rPr>
        <w:t>C</w:t>
      </w:r>
      <w:r w:rsidRPr="00352354">
        <w:rPr>
          <w:rFonts w:ascii="Arial" w:eastAsia="Calibri" w:hAnsi="Arial" w:cs="Arial"/>
          <w:b/>
          <w:sz w:val="22"/>
        </w:rPr>
        <w:t>onsideraciones</w:t>
      </w:r>
    </w:p>
    <w:p w14:paraId="2101C82B" w14:textId="77777777" w:rsidR="003A6038" w:rsidRPr="00352354" w:rsidRDefault="003A6038" w:rsidP="00EB0BBE">
      <w:pPr>
        <w:jc w:val="both"/>
        <w:rPr>
          <w:rFonts w:ascii="Arial" w:eastAsia="Calibri" w:hAnsi="Arial" w:cs="Arial"/>
          <w:b/>
          <w:sz w:val="22"/>
        </w:rPr>
      </w:pPr>
    </w:p>
    <w:p w14:paraId="00684AF3" w14:textId="54265AD0" w:rsidR="002B4C6D" w:rsidRPr="00604A64" w:rsidRDefault="00604A64" w:rsidP="00604A64">
      <w:pPr>
        <w:spacing w:after="120" w:line="276" w:lineRule="auto"/>
        <w:jc w:val="both"/>
        <w:rPr>
          <w:rFonts w:ascii="Arial" w:eastAsia="Calibri" w:hAnsi="Arial" w:cs="Arial"/>
          <w:bCs/>
          <w:sz w:val="22"/>
        </w:rPr>
      </w:pPr>
      <w:r w:rsidRPr="00604A64">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842E73">
        <w:rPr>
          <w:rFonts w:ascii="Arial" w:eastAsia="Calibri" w:hAnsi="Arial" w:cs="Arial"/>
          <w:bCs/>
          <w:sz w:val="22"/>
        </w:rPr>
        <w:t xml:space="preserve"> </w:t>
      </w:r>
      <w:r w:rsidR="00B87ABB">
        <w:rPr>
          <w:rFonts w:ascii="Arial" w:eastAsia="Calibri" w:hAnsi="Arial" w:cs="Arial"/>
          <w:bCs/>
          <w:sz w:val="22"/>
        </w:rPr>
        <w:t>Si bien e</w:t>
      </w:r>
      <w:r w:rsidR="00842E73">
        <w:rPr>
          <w:rFonts w:ascii="Arial" w:eastAsia="Calibri" w:hAnsi="Arial" w:cs="Arial"/>
          <w:bCs/>
          <w:sz w:val="22"/>
        </w:rPr>
        <w:t>stas c</w:t>
      </w:r>
      <w:r w:rsidR="00C17067">
        <w:rPr>
          <w:rFonts w:ascii="Arial" w:eastAsia="Calibri" w:hAnsi="Arial" w:cs="Arial"/>
          <w:bCs/>
          <w:sz w:val="22"/>
        </w:rPr>
        <w:t xml:space="preserve">ompetencias facultan a esta Agencia para expedir conceptos </w:t>
      </w:r>
      <w:r w:rsidR="00B87ABB">
        <w:rPr>
          <w:rFonts w:ascii="Arial" w:eastAsia="Calibri" w:hAnsi="Arial" w:cs="Arial"/>
          <w:bCs/>
          <w:sz w:val="22"/>
        </w:rPr>
        <w:t xml:space="preserve">en respuesta a las consultas que planteen los ciudadanos en ejercicio del derecho fundamental de petición, debe advertirse que tales conceptos se expiden con el alcance señalado por el artículo </w:t>
      </w:r>
      <w:r w:rsidR="002B4C6D">
        <w:rPr>
          <w:rFonts w:ascii="Arial" w:eastAsia="Calibri" w:hAnsi="Arial" w:cs="Arial"/>
          <w:bCs/>
          <w:sz w:val="22"/>
        </w:rPr>
        <w:t>28 de la Ley 1437 de 2011, sustituido por la Ley 1755 de 2015</w:t>
      </w:r>
      <w:r w:rsidR="00FA01C5">
        <w:rPr>
          <w:rFonts w:ascii="Arial" w:eastAsia="Calibri" w:hAnsi="Arial" w:cs="Arial"/>
          <w:bCs/>
          <w:sz w:val="22"/>
        </w:rPr>
        <w:t xml:space="preserve">, por lo que su contenido no resulta vinculante </w:t>
      </w:r>
      <w:r w:rsidR="00835777">
        <w:rPr>
          <w:rFonts w:ascii="Arial" w:eastAsia="Calibri" w:hAnsi="Arial" w:cs="Arial"/>
          <w:bCs/>
          <w:sz w:val="22"/>
        </w:rPr>
        <w:t xml:space="preserve">u obligatorio. </w:t>
      </w:r>
    </w:p>
    <w:p w14:paraId="3C699647" w14:textId="270EA8EC" w:rsidR="00604A64" w:rsidRPr="00604A64" w:rsidRDefault="00835777" w:rsidP="00604A64">
      <w:pPr>
        <w:spacing w:before="120" w:after="120" w:line="276" w:lineRule="auto"/>
        <w:ind w:firstLine="709"/>
        <w:jc w:val="both"/>
        <w:rPr>
          <w:rFonts w:ascii="Arial" w:eastAsia="Calibri" w:hAnsi="Arial" w:cs="Arial"/>
          <w:sz w:val="22"/>
          <w:lang w:val="es-ES"/>
        </w:rPr>
      </w:pPr>
      <w:bookmarkStart w:id="3" w:name="_Hlk61701014"/>
      <w:bookmarkStart w:id="4" w:name="_Hlk62136649"/>
      <w:r>
        <w:rPr>
          <w:rFonts w:ascii="Arial" w:eastAsia="Calibri" w:hAnsi="Arial" w:cs="Arial"/>
          <w:sz w:val="22"/>
          <w:lang w:val="es-ES"/>
        </w:rPr>
        <w:t>También e</w:t>
      </w:r>
      <w:r w:rsidR="00604A64" w:rsidRPr="00604A64">
        <w:rPr>
          <w:rFonts w:ascii="Arial" w:eastAsia="Calibri" w:hAnsi="Arial" w:cs="Arial"/>
          <w:sz w:val="22"/>
          <w:lang w:val="es-ES"/>
        </w:rPr>
        <w:t xml:space="preserve">s necesario tener en cuenta que </w:t>
      </w:r>
      <w:bookmarkStart w:id="5" w:name="_Hlk61026958"/>
      <w:r w:rsidR="00604A64" w:rsidRPr="00604A64">
        <w:rPr>
          <w:rFonts w:ascii="Arial" w:eastAsia="Calibri"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604A64" w:rsidRPr="00604A64">
        <w:rPr>
          <w:rFonts w:ascii="Arial" w:eastAsia="Calibri" w:hAnsi="Arial" w:cs="Arial"/>
          <w:bCs/>
          <w:sz w:val="22"/>
        </w:rPr>
        <w:t xml:space="preserve"> de todos los partícipes de la contratación estatal.</w:t>
      </w:r>
    </w:p>
    <w:p w14:paraId="39B6FA82" w14:textId="77777777" w:rsidR="00604A64" w:rsidRPr="00604A64" w:rsidRDefault="00604A64" w:rsidP="00604A64">
      <w:pPr>
        <w:spacing w:before="120" w:after="120" w:line="276" w:lineRule="auto"/>
        <w:ind w:firstLine="709"/>
        <w:jc w:val="both"/>
        <w:rPr>
          <w:rFonts w:ascii="Arial" w:eastAsia="Calibri" w:hAnsi="Arial" w:cs="Arial"/>
          <w:sz w:val="22"/>
          <w:lang w:val="es-ES"/>
        </w:rPr>
      </w:pPr>
      <w:r w:rsidRPr="00604A64">
        <w:rPr>
          <w:rFonts w:ascii="Arial" w:eastAsia="Calibri"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4A64">
        <w:rPr>
          <w:rFonts w:ascii="Arial" w:eastAsia="Calibri" w:hAnsi="Arial" w:cs="Arial"/>
          <w:sz w:val="22"/>
          <w:vertAlign w:val="superscript"/>
          <w:lang w:val="es-ES"/>
        </w:rPr>
        <w:footnoteReference w:id="1"/>
      </w:r>
      <w:r w:rsidRPr="00604A64">
        <w:rPr>
          <w:rFonts w:ascii="Arial" w:eastAsia="Calibri"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604A64">
        <w:rPr>
          <w:rFonts w:ascii="Arial" w:eastAsia="Calibri"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1D7FCC73" w14:textId="16AB5433" w:rsidR="00965BF9" w:rsidRDefault="00835777" w:rsidP="00965BF9">
      <w:pPr>
        <w:spacing w:after="160" w:line="276" w:lineRule="auto"/>
        <w:ind w:firstLine="709"/>
        <w:jc w:val="both"/>
        <w:rPr>
          <w:rFonts w:ascii="Arial" w:eastAsia="Calibri" w:hAnsi="Arial" w:cs="Arial"/>
          <w:bCs/>
          <w:sz w:val="22"/>
        </w:rPr>
      </w:pPr>
      <w:r>
        <w:rPr>
          <w:rFonts w:ascii="Arial" w:eastAsia="Calibri" w:hAnsi="Arial" w:cs="Arial"/>
          <w:sz w:val="22"/>
        </w:rPr>
        <w:t xml:space="preserve">Sin perjuicio de lo anterior, </w:t>
      </w:r>
      <w:r w:rsidR="0087568D">
        <w:rPr>
          <w:rFonts w:ascii="Arial" w:eastAsia="Calibri" w:hAnsi="Arial" w:cs="Arial"/>
          <w:sz w:val="22"/>
        </w:rPr>
        <w:t xml:space="preserve">en aras de satisfacer su derecho fundamental de petición se responderá su petición de consulta dentro de lo permitido por los </w:t>
      </w:r>
      <w:r w:rsidR="00DC228E">
        <w:rPr>
          <w:rFonts w:ascii="Arial" w:eastAsia="Calibri" w:hAnsi="Arial" w:cs="Arial"/>
          <w:sz w:val="22"/>
        </w:rPr>
        <w:t>límites</w:t>
      </w:r>
      <w:r w:rsidR="0087568D">
        <w:rPr>
          <w:rFonts w:ascii="Arial" w:eastAsia="Calibri" w:hAnsi="Arial" w:cs="Arial"/>
          <w:sz w:val="22"/>
        </w:rPr>
        <w:t xml:space="preserve"> de la función consultiva a atribuida a esta entidad, esto es, refiriéndonos a la </w:t>
      </w:r>
      <w:r w:rsidR="009945F6">
        <w:rPr>
          <w:rFonts w:ascii="Arial" w:eastAsia="Calibri" w:hAnsi="Arial" w:cs="Arial"/>
          <w:sz w:val="22"/>
        </w:rPr>
        <w:t>acreditación de experiencia</w:t>
      </w:r>
      <w:r w:rsidR="006067DE">
        <w:rPr>
          <w:rFonts w:ascii="Arial" w:eastAsia="Calibri" w:hAnsi="Arial" w:cs="Arial"/>
          <w:sz w:val="22"/>
        </w:rPr>
        <w:t xml:space="preserve"> </w:t>
      </w:r>
      <w:r w:rsidR="006067DE">
        <w:rPr>
          <w:rFonts w:ascii="Arial" w:eastAsia="Calibri" w:hAnsi="Arial" w:cs="Arial"/>
          <w:sz w:val="22"/>
        </w:rPr>
        <w:lastRenderedPageBreak/>
        <w:t>de los socios o constituyentes de sociedades nuevas, y sus</w:t>
      </w:r>
      <w:r w:rsidR="009945F6">
        <w:rPr>
          <w:rFonts w:ascii="Arial" w:eastAsia="Calibri" w:hAnsi="Arial" w:cs="Arial"/>
          <w:sz w:val="22"/>
        </w:rPr>
        <w:t xml:space="preserve"> efectos </w:t>
      </w:r>
      <w:r w:rsidR="006067DE">
        <w:rPr>
          <w:rFonts w:ascii="Arial" w:eastAsia="Calibri" w:hAnsi="Arial" w:cs="Arial"/>
          <w:sz w:val="22"/>
        </w:rPr>
        <w:t>respecto</w:t>
      </w:r>
      <w:r w:rsidR="009945F6">
        <w:rPr>
          <w:rFonts w:ascii="Arial" w:eastAsia="Calibri" w:hAnsi="Arial" w:cs="Arial"/>
          <w:sz w:val="22"/>
        </w:rPr>
        <w:t xml:space="preserve"> </w:t>
      </w:r>
      <w:r w:rsidR="006067DE">
        <w:rPr>
          <w:rFonts w:ascii="Arial" w:eastAsia="Calibri" w:hAnsi="Arial" w:cs="Arial"/>
          <w:sz w:val="22"/>
        </w:rPr>
        <w:t xml:space="preserve">del </w:t>
      </w:r>
      <w:r w:rsidR="009945F6">
        <w:rPr>
          <w:rFonts w:ascii="Arial" w:eastAsia="Calibri" w:hAnsi="Arial" w:cs="Arial"/>
          <w:sz w:val="22"/>
        </w:rPr>
        <w:t xml:space="preserve">cálculo de la capacidad residual o </w:t>
      </w:r>
      <w:r w:rsidR="009945F6" w:rsidRPr="00FD1237">
        <w:rPr>
          <w:rFonts w:ascii="Arial" w:eastAsia="Calibri" w:hAnsi="Arial" w:cs="Arial"/>
          <w:i/>
          <w:iCs/>
          <w:sz w:val="22"/>
        </w:rPr>
        <w:t>K</w:t>
      </w:r>
      <w:r w:rsidR="009945F6">
        <w:rPr>
          <w:rFonts w:ascii="Arial" w:eastAsia="Calibri" w:hAnsi="Arial" w:cs="Arial"/>
          <w:sz w:val="22"/>
        </w:rPr>
        <w:t xml:space="preserve"> de contratación. </w:t>
      </w:r>
      <w:r w:rsidR="00FC45F6">
        <w:rPr>
          <w:rFonts w:ascii="Arial" w:eastAsia="Calibri" w:hAnsi="Arial" w:cs="Arial"/>
          <w:sz w:val="22"/>
        </w:rPr>
        <w:t xml:space="preserve"> </w:t>
      </w:r>
      <w:r w:rsidR="00FC45F6" w:rsidRPr="00254E6E">
        <w:rPr>
          <w:rFonts w:ascii="Arial" w:eastAsia="Calibri" w:hAnsi="Arial" w:cs="Arial"/>
          <w:sz w:val="22"/>
          <w:lang w:val="es-ES"/>
        </w:rPr>
        <w:t xml:space="preserve">La Agencia Nacional de Contratación Pública </w:t>
      </w:r>
      <w:r w:rsidR="00FC45F6">
        <w:rPr>
          <w:rFonts w:ascii="Arial" w:eastAsia="Calibri" w:hAnsi="Arial" w:cs="Arial"/>
          <w:sz w:val="22"/>
          <w:lang w:val="es-ES"/>
        </w:rPr>
        <w:softHyphen/>
        <w:t>–</w:t>
      </w:r>
      <w:r w:rsidR="00FC45F6" w:rsidRPr="00254E6E">
        <w:rPr>
          <w:rFonts w:ascii="Arial" w:eastAsia="Calibri" w:hAnsi="Arial" w:cs="Arial"/>
          <w:sz w:val="22"/>
          <w:lang w:val="es-ES"/>
        </w:rPr>
        <w:t>Colombia Compra Eficiente</w:t>
      </w:r>
      <w:r w:rsidR="00FC45F6">
        <w:rPr>
          <w:rFonts w:ascii="Arial" w:eastAsia="Calibri" w:hAnsi="Arial" w:cs="Arial"/>
          <w:sz w:val="22"/>
          <w:lang w:val="es-ES"/>
        </w:rPr>
        <w:t>–</w:t>
      </w:r>
      <w:r w:rsidR="00FC45F6"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sidR="00FC45F6">
        <w:rPr>
          <w:rFonts w:ascii="Arial" w:eastAsia="Calibri" w:hAnsi="Arial" w:cs="Arial"/>
          <w:sz w:val="22"/>
          <w:lang w:val="es-ES"/>
        </w:rPr>
        <w:t>,</w:t>
      </w:r>
      <w:r w:rsidR="00FC45F6" w:rsidRPr="00254E6E">
        <w:rPr>
          <w:rFonts w:ascii="Arial" w:eastAsia="Calibri" w:hAnsi="Arial" w:cs="Arial"/>
          <w:sz w:val="22"/>
          <w:lang w:val="es-ES"/>
        </w:rPr>
        <w:t xml:space="preserve"> C-710 del 9 de diciembre de 2020,</w:t>
      </w:r>
      <w:r w:rsidR="00FC45F6">
        <w:rPr>
          <w:rFonts w:ascii="Arial" w:eastAsia="Calibri" w:hAnsi="Arial" w:cs="Arial"/>
          <w:sz w:val="22"/>
          <w:lang w:val="es-ES"/>
        </w:rPr>
        <w:t xml:space="preserve"> C-729 del 11 de diciembre de 2020,   C-103 del 24 de marzo de 2021,</w:t>
      </w:r>
      <w:r w:rsidR="00FC45F6" w:rsidRPr="00254E6E">
        <w:rPr>
          <w:rFonts w:ascii="Arial" w:eastAsia="Calibri" w:hAnsi="Arial" w:cs="Arial"/>
          <w:sz w:val="22"/>
          <w:lang w:val="es-ES"/>
        </w:rPr>
        <w:t xml:space="preserve"> </w:t>
      </w:r>
      <w:r w:rsidR="00FC45F6" w:rsidRPr="00E55B79">
        <w:rPr>
          <w:rFonts w:ascii="Arial" w:eastAsia="Calibri" w:hAnsi="Arial" w:cs="Arial"/>
          <w:sz w:val="22"/>
          <w:lang w:val="es-ES"/>
        </w:rPr>
        <w:t xml:space="preserve">C-249 de </w:t>
      </w:r>
      <w:r w:rsidR="00FC45F6">
        <w:rPr>
          <w:rFonts w:ascii="Arial" w:eastAsia="Calibri" w:hAnsi="Arial" w:cs="Arial"/>
          <w:sz w:val="22"/>
          <w:lang w:val="es-ES"/>
        </w:rPr>
        <w:t xml:space="preserve">1 de junio de </w:t>
      </w:r>
      <w:r w:rsidR="00FC45F6" w:rsidRPr="00E55B79">
        <w:rPr>
          <w:rFonts w:ascii="Arial" w:eastAsia="Calibri" w:hAnsi="Arial" w:cs="Arial"/>
          <w:sz w:val="22"/>
          <w:lang w:val="es-ES"/>
        </w:rPr>
        <w:t>2021, C-326 del 2</w:t>
      </w:r>
      <w:r w:rsidR="00FC45F6">
        <w:rPr>
          <w:rFonts w:ascii="Arial" w:eastAsia="Calibri" w:hAnsi="Arial" w:cs="Arial"/>
          <w:sz w:val="22"/>
          <w:lang w:val="es-ES"/>
        </w:rPr>
        <w:t xml:space="preserve"> de julio de </w:t>
      </w:r>
      <w:r w:rsidR="00FC45F6" w:rsidRPr="00E55B79">
        <w:rPr>
          <w:rFonts w:ascii="Arial" w:eastAsia="Calibri" w:hAnsi="Arial" w:cs="Arial"/>
          <w:sz w:val="22"/>
          <w:lang w:val="es-ES"/>
        </w:rPr>
        <w:t>2021</w:t>
      </w:r>
      <w:r w:rsidR="00FC45F6">
        <w:rPr>
          <w:rFonts w:ascii="Arial" w:eastAsia="Calibri" w:hAnsi="Arial" w:cs="Arial"/>
          <w:sz w:val="22"/>
          <w:lang w:val="es-ES"/>
        </w:rPr>
        <w:t xml:space="preserve"> y</w:t>
      </w:r>
      <w:r w:rsidR="00FC45F6" w:rsidRPr="00E55B79">
        <w:rPr>
          <w:rFonts w:ascii="Arial" w:eastAsia="Calibri" w:hAnsi="Arial" w:cs="Arial"/>
          <w:sz w:val="22"/>
          <w:lang w:val="es-ES"/>
        </w:rPr>
        <w:t xml:space="preserve"> C-358 del 19</w:t>
      </w:r>
      <w:r w:rsidR="00FC45F6">
        <w:rPr>
          <w:rFonts w:ascii="Arial" w:eastAsia="Calibri" w:hAnsi="Arial" w:cs="Arial"/>
          <w:sz w:val="22"/>
          <w:lang w:val="es-ES"/>
        </w:rPr>
        <w:t xml:space="preserve"> de julio de </w:t>
      </w:r>
      <w:r w:rsidR="00FC45F6" w:rsidRPr="00E55B79">
        <w:rPr>
          <w:rFonts w:ascii="Arial" w:eastAsia="Calibri" w:hAnsi="Arial" w:cs="Arial"/>
          <w:sz w:val="22"/>
          <w:lang w:val="es-ES"/>
        </w:rPr>
        <w:t>2021</w:t>
      </w:r>
      <w:r w:rsidR="00FC45F6">
        <w:rPr>
          <w:rFonts w:ascii="Arial" w:eastAsia="Calibri" w:hAnsi="Arial" w:cs="Arial"/>
          <w:sz w:val="22"/>
          <w:lang w:val="es-ES"/>
        </w:rPr>
        <w:t xml:space="preserve">, </w:t>
      </w:r>
      <w:r w:rsidR="00FC45F6" w:rsidRPr="00254E6E">
        <w:rPr>
          <w:rFonts w:ascii="Arial" w:eastAsia="Calibri" w:hAnsi="Arial" w:cs="Arial"/>
          <w:sz w:val="22"/>
          <w:lang w:val="es-ES"/>
        </w:rPr>
        <w:t>estudió la acreditación de la experiencia de los socios por una sociedad nueva con menos de 3 años de constitución</w:t>
      </w:r>
      <w:r w:rsidR="00FC45F6" w:rsidRPr="00254E6E">
        <w:rPr>
          <w:rStyle w:val="Refdenotaalpie"/>
          <w:rFonts w:ascii="Arial" w:eastAsia="Calibri" w:hAnsi="Arial" w:cs="Arial"/>
          <w:sz w:val="22"/>
          <w:lang w:val="es-ES"/>
        </w:rPr>
        <w:footnoteReference w:id="2"/>
      </w:r>
      <w:r w:rsidR="00FC45F6" w:rsidRPr="00254E6E">
        <w:rPr>
          <w:rFonts w:ascii="Arial" w:eastAsia="Calibri" w:hAnsi="Arial" w:cs="Arial"/>
          <w:sz w:val="22"/>
          <w:lang w:val="es-ES"/>
        </w:rPr>
        <w:t>.</w:t>
      </w:r>
      <w:r w:rsidR="00FC45F6">
        <w:rPr>
          <w:rFonts w:ascii="Arial" w:eastAsia="Calibri" w:hAnsi="Arial" w:cs="Arial"/>
          <w:sz w:val="22"/>
          <w:lang w:val="es-ES"/>
        </w:rPr>
        <w:t xml:space="preserve"> La Agencia también</w:t>
      </w:r>
      <w:r w:rsidR="00FC45F6">
        <w:rPr>
          <w:rFonts w:ascii="Arial" w:eastAsia="Calibri" w:hAnsi="Arial" w:cs="Arial"/>
          <w:sz w:val="22"/>
        </w:rPr>
        <w:t xml:space="preserve"> </w:t>
      </w:r>
      <w:r w:rsidR="00965BF9" w:rsidRPr="00965BF9">
        <w:rPr>
          <w:rFonts w:ascii="Arial" w:eastAsia="Calibri" w:hAnsi="Arial" w:cs="Arial"/>
          <w:sz w:val="22"/>
        </w:rPr>
        <w:t>se ha pronunciado sobre la experiencia como factor para determinar la capacidad residual, así como también sobre la forma en que se debe determinar esta última, en los conceptos del 27 de agosto y el 20 y 26 (2) de diciembre de 2019 −radicados Nos. 2201913000006275, 2201913000009465, 2201913000009642 y 2201913000009640−. Igualmente, en los conceptos C-022 de 20 de febrero de 2020, C-089 de 4 de abril de 2020, C-112 de 16 de marzo de 2020, C-133 de 30 de marzo de 2020, C-194 de 21 de abril de 2021, C-222 de 29 de marzo de 2020 y C – 326 de 9 de junio de 2020,</w:t>
      </w:r>
      <w:r w:rsidR="00965BF9" w:rsidRPr="00965BF9">
        <w:rPr>
          <w:rFonts w:ascii="Arial" w:eastAsia="Calibri" w:hAnsi="Arial" w:cs="Arial"/>
          <w:bCs/>
          <w:sz w:val="22"/>
        </w:rPr>
        <w:t xml:space="preserve"> C-383 del 23 de junio de 2020, </w:t>
      </w:r>
      <w:r w:rsidR="00965BF9" w:rsidRPr="00965BF9">
        <w:rPr>
          <w:rFonts w:ascii="Arial" w:eastAsia="Calibri" w:hAnsi="Arial" w:cs="Arial"/>
          <w:sz w:val="22"/>
          <w:lang w:val="es-CO"/>
        </w:rPr>
        <w:t xml:space="preserve">C-446 del 6 de julio de 2020, </w:t>
      </w:r>
      <w:r w:rsidR="00965BF9" w:rsidRPr="00965BF9">
        <w:rPr>
          <w:rFonts w:ascii="Arial" w:eastAsia="Calibri" w:hAnsi="Arial" w:cs="Arial"/>
          <w:bCs/>
          <w:sz w:val="22"/>
        </w:rPr>
        <w:t>C-461 del 13 de julio de 2020, C-668 del 20 de noviembre de 2020, C-742 del 16 de diciembre de 2020, C-045 del 5 de marzo de 2021, C-067 del 15 de marzo de 2021, C-079 del 17 de marzo de 2021, C-121 del 31 de marzo de 2021, C-143 del 09 de abril de 2021, C-202 del 07 de mayo de 2021, C-219 del 19 de mayo de 2021, C-368 del 28 de julio de 2021y C-392 del 5 de agosto del 2021. Los argumentos expuestos se reiteran a continuación.</w:t>
      </w:r>
    </w:p>
    <w:p w14:paraId="2DED68DF" w14:textId="0EEBAFDE" w:rsidR="000B1793" w:rsidRDefault="000B1793" w:rsidP="000B1793">
      <w:pPr>
        <w:spacing w:line="276" w:lineRule="auto"/>
        <w:jc w:val="both"/>
        <w:rPr>
          <w:rFonts w:ascii="Arial" w:eastAsia="Calibri" w:hAnsi="Arial" w:cs="Arial"/>
          <w:b/>
          <w:sz w:val="22"/>
        </w:rPr>
      </w:pPr>
      <w:r w:rsidRPr="00FD1237">
        <w:rPr>
          <w:rFonts w:ascii="Arial" w:eastAsia="Calibri" w:hAnsi="Arial" w:cs="Arial"/>
          <w:b/>
          <w:sz w:val="22"/>
        </w:rPr>
        <w:t>2.1. Acreditación de la experiencia de los socios o constituyentes por parte de sociedades nuevas</w:t>
      </w:r>
    </w:p>
    <w:p w14:paraId="02C683EF" w14:textId="77777777" w:rsidR="000B1793" w:rsidRPr="00FD1237" w:rsidRDefault="000B1793" w:rsidP="00FD1237">
      <w:pPr>
        <w:spacing w:line="276" w:lineRule="auto"/>
        <w:jc w:val="both"/>
        <w:rPr>
          <w:rFonts w:ascii="Arial" w:eastAsia="Calibri" w:hAnsi="Arial" w:cs="Arial"/>
          <w:b/>
          <w:sz w:val="22"/>
        </w:rPr>
      </w:pPr>
    </w:p>
    <w:p w14:paraId="2AC56D0E" w14:textId="77777777" w:rsidR="000B1793" w:rsidRPr="00254E6E" w:rsidRDefault="000B1793" w:rsidP="00FD1237">
      <w:pPr>
        <w:spacing w:after="120" w:line="276" w:lineRule="auto"/>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72F56A5B"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Por su parte, el artículo 6 de la Ley 1150 de 2007 señala que todas las personas naturales o jurídicas, nacionales o extranjeras, domiciliadas o con sucursal en Colombia, </w:t>
      </w:r>
      <w:r w:rsidRPr="00254E6E">
        <w:rPr>
          <w:rFonts w:ascii="Arial" w:hAnsi="Arial" w:cs="Arial"/>
          <w:sz w:val="22"/>
        </w:rPr>
        <w:lastRenderedPageBreak/>
        <w:t>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4BFE0EB5"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3"/>
      </w:r>
      <w:r w:rsidRPr="00254E6E">
        <w:rPr>
          <w:rFonts w:ascii="Arial" w:hAnsi="Arial" w:cs="Arial"/>
          <w:sz w:val="22"/>
        </w:rPr>
        <w:t xml:space="preserve">.  </w:t>
      </w:r>
    </w:p>
    <w:p w14:paraId="6C871416"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4"/>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51A8422"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54BD4CF" w14:textId="77777777" w:rsidR="000B1793" w:rsidRPr="00254E6E" w:rsidRDefault="000B1793" w:rsidP="000B1793">
      <w:pPr>
        <w:spacing w:after="120" w:line="276" w:lineRule="auto"/>
        <w:ind w:firstLine="709"/>
        <w:jc w:val="both"/>
        <w:rPr>
          <w:rFonts w:ascii="Arial" w:hAnsi="Arial" w:cs="Arial"/>
          <w:sz w:val="22"/>
        </w:rPr>
      </w:pPr>
      <w:bookmarkStart w:id="6"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w:t>
      </w:r>
      <w:r w:rsidRPr="00254E6E">
        <w:rPr>
          <w:rFonts w:ascii="Arial" w:hAnsi="Arial" w:cs="Arial"/>
          <w:sz w:val="22"/>
        </w:rPr>
        <w:lastRenderedPageBreak/>
        <w:t xml:space="preserve">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92FD57A"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6"/>
    <w:p w14:paraId="7B1D7FB6"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35B95384"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21C5C619"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3B4D6A13"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23EB2F33"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07E7845"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lastRenderedPageBreak/>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5ED8A025"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3784844F" w14:textId="77777777" w:rsidR="000B1793" w:rsidRPr="00DC228E" w:rsidRDefault="000B1793" w:rsidP="000B1793">
      <w:pPr>
        <w:spacing w:after="120" w:line="276" w:lineRule="auto"/>
        <w:ind w:firstLine="709"/>
        <w:jc w:val="both"/>
        <w:rPr>
          <w:rFonts w:ascii="Arial" w:hAnsi="Arial" w:cs="Arial"/>
          <w:sz w:val="22"/>
        </w:rPr>
      </w:pPr>
      <w:r w:rsidRPr="00DC228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DC228E">
        <w:rPr>
          <w:rFonts w:ascii="Arial" w:hAnsi="Arial" w:cs="Arial"/>
          <w:sz w:val="22"/>
          <w:vertAlign w:val="superscript"/>
        </w:rPr>
        <w:footnoteReference w:id="5"/>
      </w:r>
      <w:r w:rsidRPr="00DC228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1D48E82" w14:textId="77777777" w:rsidR="000B1793" w:rsidRPr="00254E6E" w:rsidRDefault="000B1793" w:rsidP="000B1793">
      <w:pPr>
        <w:spacing w:after="120" w:line="276" w:lineRule="auto"/>
        <w:ind w:firstLine="709"/>
        <w:jc w:val="both"/>
        <w:rPr>
          <w:rFonts w:ascii="Arial" w:hAnsi="Arial" w:cs="Arial"/>
          <w:sz w:val="22"/>
        </w:rPr>
      </w:pPr>
      <w:r w:rsidRPr="00DC228E">
        <w:rPr>
          <w:rFonts w:ascii="Arial" w:hAnsi="Arial" w:cs="Arial"/>
          <w:sz w:val="22"/>
        </w:rPr>
        <w:t>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r w:rsidRPr="00254E6E">
        <w:rPr>
          <w:rFonts w:ascii="Arial" w:hAnsi="Arial" w:cs="Arial"/>
          <w:sz w:val="22"/>
        </w:rPr>
        <w:t xml:space="preserve"> </w:t>
      </w:r>
    </w:p>
    <w:p w14:paraId="026BF9D5"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6"/>
      </w:r>
      <w:r w:rsidRPr="00254E6E">
        <w:rPr>
          <w:rFonts w:ascii="Arial" w:hAnsi="Arial" w:cs="Arial"/>
          <w:sz w:val="22"/>
        </w:rPr>
        <w:t xml:space="preserve">. En la actualidad, las </w:t>
      </w:r>
      <w:r w:rsidRPr="00254E6E">
        <w:rPr>
          <w:rFonts w:ascii="Arial" w:hAnsi="Arial" w:cs="Arial"/>
          <w:sz w:val="22"/>
        </w:rPr>
        <w:lastRenderedPageBreak/>
        <w:t xml:space="preserve">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035C0360" w14:textId="77777777" w:rsidR="000B1793" w:rsidRDefault="000B1793" w:rsidP="000B1793">
      <w:pPr>
        <w:spacing w:line="276" w:lineRule="auto"/>
        <w:ind w:firstLine="709"/>
        <w:jc w:val="both"/>
        <w:rPr>
          <w:rFonts w:ascii="Arial" w:hAnsi="Arial" w:cs="Arial"/>
          <w:sz w:val="22"/>
        </w:rPr>
      </w:pPr>
      <w:r w:rsidRPr="00DC228E">
        <w:rPr>
          <w:rFonts w:ascii="Arial" w:hAnsi="Arial" w:cs="Arial"/>
          <w:sz w:val="22"/>
        </w:rPr>
        <w:t xml:space="preserve">En otras palabras, </w:t>
      </w:r>
      <w:bookmarkStart w:id="7" w:name="_Hlk67498604"/>
      <w:r w:rsidRPr="00DC228E">
        <w:rPr>
          <w:rFonts w:ascii="Arial" w:hAnsi="Arial" w:cs="Arial"/>
          <w:sz w:val="22"/>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w:t>
      </w:r>
      <w:r w:rsidRPr="00254E6E">
        <w:rPr>
          <w:rFonts w:ascii="Arial" w:hAnsi="Arial" w:cs="Arial"/>
          <w:sz w:val="22"/>
        </w:rPr>
        <w:t xml:space="preserve"> que registró de sus socios no puede ser inscrita nuevamente, puesto que el RUP ha cesado sus efectos y la cámara de comercio tiene que hacer nuevamente la verificación documental de la información presentada al momento de inscribirse en el registro.  </w:t>
      </w:r>
      <w:bookmarkEnd w:id="7"/>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7BFA26AE" w14:textId="77777777" w:rsidR="000B1793" w:rsidRPr="00254E6E" w:rsidRDefault="000B1793" w:rsidP="000B1793">
      <w:pPr>
        <w:ind w:firstLine="709"/>
        <w:jc w:val="both"/>
        <w:rPr>
          <w:rFonts w:ascii="Arial" w:hAnsi="Arial" w:cs="Arial"/>
          <w:sz w:val="22"/>
        </w:rPr>
      </w:pPr>
    </w:p>
    <w:p w14:paraId="46AAE9DF" w14:textId="77777777" w:rsidR="000B1793" w:rsidRPr="00DC228E" w:rsidRDefault="000B1793" w:rsidP="000B1793">
      <w:pPr>
        <w:ind w:left="709" w:right="709"/>
        <w:jc w:val="both"/>
        <w:rPr>
          <w:rFonts w:ascii="Arial" w:hAnsi="Arial" w:cs="Arial"/>
          <w:sz w:val="21"/>
          <w:szCs w:val="21"/>
        </w:rPr>
      </w:pPr>
      <w:r w:rsidRPr="00DC228E">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5DAE6B5" w14:textId="77777777" w:rsidR="000B1793" w:rsidRPr="00DC228E" w:rsidRDefault="000B1793" w:rsidP="000B1793">
      <w:pPr>
        <w:ind w:firstLine="709"/>
        <w:jc w:val="both"/>
        <w:rPr>
          <w:rFonts w:ascii="Arial" w:hAnsi="Arial" w:cs="Arial"/>
          <w:sz w:val="22"/>
        </w:rPr>
      </w:pPr>
    </w:p>
    <w:p w14:paraId="59D1674C" w14:textId="77777777" w:rsidR="000B1793" w:rsidRPr="00254E6E" w:rsidRDefault="000B1793" w:rsidP="000B1793">
      <w:pPr>
        <w:spacing w:after="120" w:line="276" w:lineRule="auto"/>
        <w:ind w:firstLine="709"/>
        <w:jc w:val="both"/>
        <w:rPr>
          <w:rFonts w:ascii="Arial" w:hAnsi="Arial" w:cs="Arial"/>
          <w:sz w:val="22"/>
        </w:rPr>
      </w:pPr>
      <w:r w:rsidRPr="00DC228E">
        <w:rPr>
          <w:rFonts w:ascii="Arial" w:hAnsi="Arial" w:cs="Arial"/>
          <w:sz w:val="22"/>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w:t>
      </w:r>
      <w:r w:rsidRPr="00254E6E">
        <w:rPr>
          <w:rFonts w:ascii="Arial" w:hAnsi="Arial" w:cs="Arial"/>
          <w:sz w:val="22"/>
        </w:rPr>
        <w:t xml:space="preserve"> </w:t>
      </w:r>
    </w:p>
    <w:p w14:paraId="5174BBA1" w14:textId="77777777" w:rsidR="000B1793" w:rsidRPr="00254E6E" w:rsidRDefault="000B1793" w:rsidP="000B1793">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64EF458" w14:textId="77777777" w:rsidR="000B1793" w:rsidRDefault="000B1793" w:rsidP="000B1793">
      <w:pPr>
        <w:spacing w:line="276" w:lineRule="auto"/>
        <w:ind w:firstLine="709"/>
        <w:jc w:val="both"/>
        <w:rPr>
          <w:rFonts w:ascii="Arial" w:hAnsi="Arial" w:cs="Arial"/>
          <w:sz w:val="22"/>
        </w:rPr>
      </w:pPr>
      <w:r w:rsidRPr="00DC228E">
        <w:rPr>
          <w:rFonts w:ascii="Arial" w:hAnsi="Arial" w:cs="Arial"/>
          <w:sz w:val="22"/>
        </w:rPr>
        <w:lastRenderedPageBreak/>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1799D86" w14:textId="77777777" w:rsidR="002666A3" w:rsidRDefault="002666A3" w:rsidP="00FD1237">
      <w:pPr>
        <w:spacing w:line="276" w:lineRule="auto"/>
        <w:jc w:val="both"/>
        <w:rPr>
          <w:rFonts w:ascii="Arial" w:eastAsia="Calibri" w:hAnsi="Arial" w:cs="Arial"/>
          <w:b/>
          <w:sz w:val="22"/>
        </w:rPr>
      </w:pPr>
    </w:p>
    <w:p w14:paraId="773ADEEF" w14:textId="643146E5" w:rsidR="009945F6" w:rsidRPr="00FD1237" w:rsidRDefault="009945F6" w:rsidP="00FD1237">
      <w:pPr>
        <w:spacing w:after="160" w:line="276" w:lineRule="auto"/>
        <w:jc w:val="both"/>
        <w:rPr>
          <w:rFonts w:ascii="Arial" w:eastAsia="Calibri" w:hAnsi="Arial" w:cs="Arial"/>
          <w:b/>
          <w:sz w:val="22"/>
        </w:rPr>
      </w:pPr>
      <w:r w:rsidRPr="00FD1237">
        <w:rPr>
          <w:rFonts w:ascii="Arial" w:eastAsia="Calibri" w:hAnsi="Arial" w:cs="Arial"/>
          <w:b/>
          <w:sz w:val="22"/>
        </w:rPr>
        <w:t>2.</w:t>
      </w:r>
      <w:r w:rsidR="000B1793">
        <w:rPr>
          <w:rFonts w:ascii="Arial" w:eastAsia="Calibri" w:hAnsi="Arial" w:cs="Arial"/>
          <w:b/>
          <w:sz w:val="22"/>
        </w:rPr>
        <w:t>2</w:t>
      </w:r>
      <w:r w:rsidRPr="00FD1237">
        <w:rPr>
          <w:rFonts w:ascii="Arial" w:eastAsia="Calibri" w:hAnsi="Arial" w:cs="Arial"/>
          <w:b/>
          <w:sz w:val="22"/>
        </w:rPr>
        <w:t xml:space="preserve">. El factor Experiencia (E) en el cálculo y acreditación de la </w:t>
      </w:r>
      <w:r>
        <w:rPr>
          <w:rFonts w:ascii="Arial" w:eastAsia="Calibri" w:hAnsi="Arial" w:cs="Arial"/>
          <w:b/>
          <w:sz w:val="22"/>
        </w:rPr>
        <w:t>c</w:t>
      </w:r>
      <w:r w:rsidRPr="00FD1237">
        <w:rPr>
          <w:rFonts w:ascii="Arial" w:eastAsia="Calibri" w:hAnsi="Arial" w:cs="Arial"/>
          <w:b/>
          <w:sz w:val="22"/>
        </w:rPr>
        <w:t>apacidad residual</w:t>
      </w:r>
    </w:p>
    <w:p w14:paraId="65AAB099" w14:textId="77777777" w:rsidR="00E83A5C" w:rsidRPr="00BF28DB" w:rsidRDefault="00E83A5C" w:rsidP="00FD1237">
      <w:pPr>
        <w:spacing w:line="276" w:lineRule="auto"/>
        <w:jc w:val="both"/>
        <w:rPr>
          <w:rFonts w:ascii="Arial" w:hAnsi="Arial" w:cs="Arial"/>
          <w:color w:val="000000" w:themeColor="text1"/>
          <w:sz w:val="22"/>
        </w:rPr>
      </w:pPr>
      <w:r w:rsidRPr="00BF28DB">
        <w:rPr>
          <w:rFonts w:ascii="Arial" w:hAnsi="Arial" w:cs="Arial"/>
          <w:color w:val="000000" w:themeColor="text1"/>
          <w:sz w:val="22"/>
        </w:rPr>
        <w:t>De acuerdo con l</w:t>
      </w:r>
      <w:r>
        <w:rPr>
          <w:rFonts w:ascii="Arial" w:hAnsi="Arial" w:cs="Arial"/>
          <w:color w:val="000000" w:themeColor="text1"/>
          <w:sz w:val="22"/>
        </w:rPr>
        <w:t>a definición</w:t>
      </w:r>
      <w:r w:rsidRPr="00BF28DB">
        <w:rPr>
          <w:rFonts w:ascii="Arial" w:hAnsi="Arial" w:cs="Arial"/>
          <w:color w:val="000000" w:themeColor="text1"/>
          <w:sz w:val="22"/>
        </w:rPr>
        <w:t xml:space="preserve"> establecid</w:t>
      </w:r>
      <w:r>
        <w:rPr>
          <w:rFonts w:ascii="Arial" w:hAnsi="Arial" w:cs="Arial"/>
          <w:color w:val="000000" w:themeColor="text1"/>
          <w:sz w:val="22"/>
        </w:rPr>
        <w:t>a</w:t>
      </w:r>
      <w:r w:rsidRPr="00BF28DB">
        <w:rPr>
          <w:rFonts w:ascii="Arial" w:hAnsi="Arial" w:cs="Arial"/>
          <w:color w:val="000000" w:themeColor="text1"/>
          <w:sz w:val="22"/>
        </w:rPr>
        <w:t xml:space="preserve"> en el artículo 2.2.1.1.1.3.1. del Decreto 1082 de 2015, la capacidad residual es la aptitud de los oferentes para cumplir de manera oportuna y a cabalidad el objeto de un contrato de obra, sin que los demás compromisos contractuales que han adquirido afecten su habilidad </w:t>
      </w:r>
      <w:r>
        <w:rPr>
          <w:rFonts w:ascii="Arial" w:hAnsi="Arial" w:cs="Arial"/>
          <w:color w:val="000000" w:themeColor="text1"/>
          <w:sz w:val="22"/>
        </w:rPr>
        <w:t>para</w:t>
      </w:r>
      <w:r w:rsidRPr="00BF28DB">
        <w:rPr>
          <w:rFonts w:ascii="Arial" w:hAnsi="Arial" w:cs="Arial"/>
          <w:color w:val="000000" w:themeColor="text1"/>
          <w:sz w:val="22"/>
        </w:rPr>
        <w:t xml:space="preserve"> cumplir el objeto del contrato que está en proceso de selección</w:t>
      </w:r>
      <w:r w:rsidRPr="00BF28DB">
        <w:rPr>
          <w:rFonts w:ascii="Arial" w:hAnsi="Arial" w:cs="Arial"/>
          <w:color w:val="000000" w:themeColor="text1"/>
          <w:sz w:val="22"/>
          <w:szCs w:val="20"/>
          <w:vertAlign w:val="superscript"/>
        </w:rPr>
        <w:footnoteReference w:id="7"/>
      </w:r>
      <w:r w:rsidRPr="00BF28DB">
        <w:rPr>
          <w:rFonts w:ascii="Arial" w:hAnsi="Arial" w:cs="Arial"/>
          <w:color w:val="000000" w:themeColor="text1"/>
          <w:sz w:val="22"/>
        </w:rPr>
        <w:t>. Por su parte, el Consejo de Estado ha definido la capacidad residual como «</w:t>
      </w:r>
      <w:r>
        <w:rPr>
          <w:rFonts w:ascii="Arial" w:hAnsi="Arial" w:cs="Arial"/>
          <w:color w:val="000000" w:themeColor="text1"/>
          <w:sz w:val="22"/>
        </w:rPr>
        <w:t xml:space="preserve">[…] </w:t>
      </w:r>
      <w:r w:rsidRPr="00BF28DB">
        <w:rPr>
          <w:rFonts w:ascii="Arial" w:hAnsi="Arial" w:cs="Arial"/>
          <w:color w:val="000000" w:themeColor="text1"/>
          <w:sz w:val="22"/>
        </w:rPr>
        <w:t>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vertAlign w:val="superscript"/>
        </w:rPr>
        <w:footnoteReference w:id="8"/>
      </w:r>
      <w:r w:rsidRPr="00BF28DB">
        <w:rPr>
          <w:rFonts w:ascii="Arial" w:hAnsi="Arial" w:cs="Arial"/>
          <w:color w:val="000000" w:themeColor="text1"/>
          <w:sz w:val="22"/>
        </w:rPr>
        <w:t xml:space="preserve">.En </w:t>
      </w:r>
      <w:r>
        <w:rPr>
          <w:rFonts w:ascii="Arial" w:hAnsi="Arial" w:cs="Arial"/>
          <w:color w:val="000000" w:themeColor="text1"/>
          <w:sz w:val="22"/>
        </w:rPr>
        <w:t>tales términos</w:t>
      </w:r>
      <w:r w:rsidRPr="00BF28DB">
        <w:rPr>
          <w:rFonts w:ascii="Arial" w:hAnsi="Arial" w:cs="Arial"/>
          <w:color w:val="000000" w:themeColor="text1"/>
          <w:sz w:val="22"/>
        </w:rPr>
        <w:t>, la capacidad residual hace referencia a la suficiencia que tiene el proponente para asumir nuevas obligaciones que se derivan del contrato objeto del proceso de contratación, en relación con las obligaciones que ya adquirió frente a otros contratos.</w:t>
      </w:r>
      <w:r>
        <w:rPr>
          <w:rFonts w:ascii="Arial" w:hAnsi="Arial" w:cs="Arial"/>
          <w:color w:val="000000" w:themeColor="text1"/>
          <w:sz w:val="22"/>
        </w:rPr>
        <w:t xml:space="preserve"> </w:t>
      </w:r>
    </w:p>
    <w:p w14:paraId="6045C4FB" w14:textId="77777777" w:rsidR="00E83A5C" w:rsidRPr="00BF28DB" w:rsidRDefault="00E83A5C" w:rsidP="00E83A5C">
      <w:pPr>
        <w:spacing w:before="120" w:line="276" w:lineRule="auto"/>
        <w:ind w:firstLine="708"/>
        <w:jc w:val="both"/>
        <w:rPr>
          <w:rFonts w:ascii="Arial" w:hAnsi="Arial" w:cs="Arial"/>
          <w:color w:val="000000" w:themeColor="text1"/>
          <w:sz w:val="22"/>
        </w:rPr>
      </w:pPr>
      <w:r w:rsidRPr="00BF28DB">
        <w:rPr>
          <w:rFonts w:ascii="Arial" w:hAnsi="Arial" w:cs="Arial"/>
          <w:color w:val="000000" w:themeColor="text1"/>
          <w:sz w:val="22"/>
        </w:rPr>
        <w:t xml:space="preserve">El artículo 6 de la Ley 1150 de 2007 estableció como condición «para poder participar en los procesos de selección de los contratos de obra, la capacidad residual del proponente o </w:t>
      </w:r>
      <w:r w:rsidRPr="007328D2">
        <w:rPr>
          <w:rFonts w:ascii="Arial" w:hAnsi="Arial" w:cs="Arial"/>
          <w:i/>
          <w:iCs/>
          <w:color w:val="000000" w:themeColor="text1"/>
          <w:sz w:val="22"/>
        </w:rPr>
        <w:t>K</w:t>
      </w:r>
      <w:r w:rsidRPr="00BF28DB">
        <w:rPr>
          <w:rFonts w:ascii="Arial" w:hAnsi="Arial" w:cs="Arial"/>
          <w:color w:val="000000" w:themeColor="text1"/>
          <w:sz w:val="22"/>
        </w:rPr>
        <w:t xml:space="preserve"> de contratación». Además, determinó que esta debe ser igual o superior a la establecida en los pliegos de condiciones, en los siguientes términos: </w:t>
      </w:r>
    </w:p>
    <w:p w14:paraId="6FA2C47F" w14:textId="77777777" w:rsidR="00E83A5C" w:rsidRPr="00BF28DB" w:rsidRDefault="00E83A5C" w:rsidP="00E83A5C">
      <w:pPr>
        <w:spacing w:before="120"/>
        <w:ind w:right="709"/>
        <w:jc w:val="both"/>
        <w:rPr>
          <w:rFonts w:ascii="Arial" w:eastAsia="Calibri" w:hAnsi="Arial" w:cs="Arial"/>
          <w:color w:val="000000" w:themeColor="text1"/>
          <w:sz w:val="21"/>
          <w:szCs w:val="21"/>
        </w:rPr>
      </w:pPr>
    </w:p>
    <w:p w14:paraId="52592AE1" w14:textId="77777777" w:rsidR="00E83A5C" w:rsidRPr="00BF28DB" w:rsidRDefault="00E83A5C" w:rsidP="00E83A5C">
      <w:pPr>
        <w:ind w:left="708" w:right="709"/>
        <w:jc w:val="both"/>
        <w:rPr>
          <w:rFonts w:ascii="Arial" w:eastAsia="Calibri" w:hAnsi="Arial" w:cs="Arial"/>
          <w:color w:val="000000" w:themeColor="text1"/>
          <w:sz w:val="21"/>
          <w:szCs w:val="21"/>
        </w:rPr>
      </w:pPr>
      <w:r w:rsidRPr="00BF28DB">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41CEE58F" w14:textId="77777777" w:rsidR="00E83A5C" w:rsidRPr="00BF28DB" w:rsidRDefault="00E83A5C" w:rsidP="00E83A5C">
      <w:pPr>
        <w:ind w:left="708" w:right="709"/>
        <w:jc w:val="both"/>
        <w:rPr>
          <w:rFonts w:ascii="Arial" w:eastAsia="Calibri" w:hAnsi="Arial" w:cs="Arial"/>
          <w:color w:val="000000" w:themeColor="text1"/>
          <w:sz w:val="21"/>
          <w:szCs w:val="21"/>
        </w:rPr>
      </w:pPr>
    </w:p>
    <w:p w14:paraId="39498766" w14:textId="0A2A38F7" w:rsidR="00E83A5C" w:rsidRDefault="00E83A5C" w:rsidP="00E83A5C">
      <w:pPr>
        <w:ind w:left="708" w:right="709"/>
        <w:jc w:val="both"/>
        <w:rPr>
          <w:rFonts w:ascii="Arial" w:eastAsia="Calibri" w:hAnsi="Arial" w:cs="Arial"/>
          <w:color w:val="000000" w:themeColor="text1"/>
          <w:sz w:val="21"/>
          <w:szCs w:val="21"/>
        </w:rPr>
      </w:pPr>
      <w:r w:rsidRPr="00BF28DB">
        <w:rPr>
          <w:rFonts w:ascii="Arial" w:eastAsia="Calibri" w:hAnsi="Arial" w:cs="Arial"/>
          <w:color w:val="000000" w:themeColor="text1"/>
          <w:sz w:val="21"/>
          <w:szCs w:val="21"/>
        </w:rPr>
        <w:lastRenderedPageBreak/>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10D814D4" w14:textId="77777777" w:rsidR="004F4921" w:rsidRPr="00BF28DB" w:rsidRDefault="004F4921" w:rsidP="00E83A5C">
      <w:pPr>
        <w:ind w:left="708" w:right="709"/>
        <w:jc w:val="both"/>
        <w:rPr>
          <w:rFonts w:ascii="Arial" w:eastAsia="Calibri" w:hAnsi="Arial" w:cs="Arial"/>
          <w:color w:val="000000" w:themeColor="text1"/>
          <w:sz w:val="22"/>
        </w:rPr>
      </w:pPr>
    </w:p>
    <w:p w14:paraId="1F0A2E28" w14:textId="7997100A" w:rsidR="00E83A5C" w:rsidRPr="00A851FD" w:rsidRDefault="00E83A5C" w:rsidP="00FD1237">
      <w:pPr>
        <w:spacing w:line="276" w:lineRule="auto"/>
        <w:ind w:firstLine="709"/>
        <w:jc w:val="both"/>
        <w:rPr>
          <w:rFonts w:ascii="Arial" w:eastAsia="Calibri" w:hAnsi="Arial" w:cs="Arial"/>
          <w:color w:val="000000" w:themeColor="text1"/>
          <w:sz w:val="22"/>
        </w:rPr>
      </w:pPr>
      <w:r w:rsidRPr="00BF28DB">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BF28DB">
        <w:rPr>
          <w:rFonts w:ascii="Arial" w:eastAsia="Calibri" w:hAnsi="Arial" w:cs="Arial"/>
          <w:bCs/>
          <w:color w:val="000000" w:themeColor="text1"/>
          <w:sz w:val="22"/>
        </w:rPr>
        <w:t>Organización</w:t>
      </w:r>
      <w:r w:rsidRPr="00BF28DB">
        <w:rPr>
          <w:rFonts w:ascii="Arial" w:hAnsi="Arial" w:cs="Arial"/>
          <w:color w:val="000000" w:themeColor="text1"/>
          <w:sz w:val="22"/>
        </w:rPr>
        <w:t xml:space="preserve"> –CO–. </w:t>
      </w:r>
      <w:r w:rsidR="00E84F5F">
        <w:rPr>
          <w:rFonts w:ascii="Arial" w:hAnsi="Arial" w:cs="Arial"/>
          <w:color w:val="000000" w:themeColor="text1"/>
          <w:sz w:val="22"/>
        </w:rPr>
        <w:t xml:space="preserve"> </w:t>
      </w:r>
      <w:r w:rsidR="00E84F5F">
        <w:rPr>
          <w:rFonts w:ascii="Arial" w:eastAsia="Calibri" w:hAnsi="Arial" w:cs="Arial"/>
          <w:color w:val="000000" w:themeColor="text1"/>
          <w:sz w:val="22"/>
        </w:rPr>
        <w:t xml:space="preserve"> </w:t>
      </w:r>
      <w:r>
        <w:rPr>
          <w:rFonts w:ascii="Arial" w:eastAsia="Calibri" w:hAnsi="Arial" w:cs="Arial"/>
          <w:color w:val="000000" w:themeColor="text1"/>
          <w:sz w:val="22"/>
        </w:rPr>
        <w:t>Igualmente, e</w:t>
      </w:r>
      <w:r w:rsidRPr="00A851FD">
        <w:rPr>
          <w:rFonts w:ascii="Arial" w:eastAsia="Calibri" w:hAnsi="Arial" w:cs="Arial"/>
          <w:color w:val="000000" w:themeColor="text1"/>
          <w:sz w:val="22"/>
        </w:rPr>
        <w:t>l artículo 2.2.1.1.1.6.4 de</w:t>
      </w:r>
      <w:r>
        <w:rPr>
          <w:rFonts w:ascii="Arial" w:eastAsia="Calibri" w:hAnsi="Arial" w:cs="Arial"/>
          <w:color w:val="000000" w:themeColor="text1"/>
          <w:sz w:val="22"/>
        </w:rPr>
        <w:t xml:space="preserve">l Decreto 1082 de 2015, </w:t>
      </w:r>
      <w:r w:rsidRPr="00A851FD">
        <w:rPr>
          <w:rFonts w:ascii="Arial" w:eastAsia="Calibri" w:hAnsi="Arial" w:cs="Arial"/>
          <w:color w:val="000000" w:themeColor="text1"/>
          <w:sz w:val="22"/>
        </w:rPr>
        <w:t>establece que las entidades estatales deberán calcular la capacidad residual conforme a la metodología definida por Colombia Compre Eficiente y precisó que, para tale</w:t>
      </w:r>
      <w:r>
        <w:rPr>
          <w:rFonts w:ascii="Arial" w:eastAsia="Calibri" w:hAnsi="Arial" w:cs="Arial"/>
          <w:color w:val="000000" w:themeColor="text1"/>
          <w:sz w:val="22"/>
        </w:rPr>
        <w:t>s</w:t>
      </w:r>
      <w:r w:rsidRPr="00A851FD">
        <w:rPr>
          <w:rFonts w:ascii="Arial" w:eastAsia="Calibri" w:hAnsi="Arial" w:cs="Arial"/>
          <w:color w:val="000000" w:themeColor="text1"/>
          <w:sz w:val="22"/>
        </w:rPr>
        <w:t xml:space="preserve"> fines, resulta necesario tener en cuenta los factores de: i) experiencia; ii) capacidad financiera; iii) capacidad técnica; iv) capacidad de organización; y v) los saldos de los contratos en ejecución, así:</w:t>
      </w:r>
    </w:p>
    <w:p w14:paraId="64997F15" w14:textId="77777777" w:rsidR="00E83A5C" w:rsidRPr="00A851FD" w:rsidRDefault="00E83A5C" w:rsidP="00E83A5C">
      <w:pPr>
        <w:spacing w:line="276" w:lineRule="auto"/>
        <w:ind w:right="709"/>
        <w:jc w:val="both"/>
        <w:rPr>
          <w:rFonts w:ascii="Arial" w:eastAsia="Calibri" w:hAnsi="Arial" w:cs="Arial"/>
          <w:color w:val="000000" w:themeColor="text1"/>
          <w:sz w:val="21"/>
          <w:szCs w:val="21"/>
        </w:rPr>
      </w:pPr>
    </w:p>
    <w:p w14:paraId="6FAD3E90" w14:textId="77777777" w:rsidR="00E83A5C" w:rsidRPr="00A851FD" w:rsidRDefault="00E83A5C" w:rsidP="00E83A5C">
      <w:pPr>
        <w:ind w:left="708" w:right="709"/>
        <w:jc w:val="both"/>
        <w:rPr>
          <w:rFonts w:ascii="Arial" w:eastAsia="Calibri" w:hAnsi="Arial" w:cs="Arial"/>
          <w:color w:val="000000" w:themeColor="text1"/>
          <w:sz w:val="21"/>
          <w:szCs w:val="21"/>
        </w:rPr>
      </w:pPr>
      <w:r w:rsidRPr="00A851FD">
        <w:rPr>
          <w:rFonts w:ascii="Arial" w:eastAsia="Calibri" w:hAnsi="Arial" w:cs="Arial"/>
          <w:color w:val="000000" w:themeColor="text1"/>
          <w:sz w:val="21"/>
          <w:szCs w:val="21"/>
        </w:rPr>
        <w:t xml:space="preserve">Artículo 2.2.1.1.1.6.4. Capacidad Residual. El interesado en celebrar contratos de obra pública con Entidades Estatales debe acreditar su Capacidad Residual o K de Contratación con los siguientes documentos: </w:t>
      </w:r>
      <w:r>
        <w:rPr>
          <w:rFonts w:ascii="Arial" w:eastAsia="Calibri" w:hAnsi="Arial" w:cs="Arial"/>
          <w:color w:val="000000" w:themeColor="text1"/>
          <w:sz w:val="21"/>
          <w:szCs w:val="21"/>
        </w:rPr>
        <w:t>[</w:t>
      </w:r>
      <w:r w:rsidRPr="00A851FD">
        <w:rPr>
          <w:rFonts w:ascii="Arial" w:eastAsia="Calibri" w:hAnsi="Arial" w:cs="Arial"/>
          <w:color w:val="000000" w:themeColor="text1"/>
          <w:sz w:val="21"/>
          <w:szCs w:val="21"/>
        </w:rPr>
        <w:t>…</w:t>
      </w:r>
      <w:r>
        <w:rPr>
          <w:rFonts w:ascii="Arial" w:eastAsia="Calibri" w:hAnsi="Arial" w:cs="Arial"/>
          <w:color w:val="000000" w:themeColor="text1"/>
          <w:sz w:val="21"/>
          <w:szCs w:val="21"/>
        </w:rPr>
        <w:t>]</w:t>
      </w:r>
    </w:p>
    <w:p w14:paraId="644616C4" w14:textId="77777777" w:rsidR="00E83A5C" w:rsidRPr="00A851FD" w:rsidRDefault="00E83A5C" w:rsidP="00E83A5C">
      <w:pPr>
        <w:ind w:left="708" w:right="709"/>
        <w:jc w:val="both"/>
        <w:rPr>
          <w:rFonts w:ascii="Arial" w:eastAsia="Calibri" w:hAnsi="Arial" w:cs="Arial"/>
          <w:color w:val="000000" w:themeColor="text1"/>
          <w:sz w:val="21"/>
          <w:szCs w:val="21"/>
        </w:rPr>
      </w:pPr>
    </w:p>
    <w:p w14:paraId="6FE4522A" w14:textId="01B6017A" w:rsidR="00E83A5C" w:rsidRPr="00E84F5F" w:rsidRDefault="00E83A5C" w:rsidP="00E83A5C">
      <w:pPr>
        <w:ind w:left="708" w:right="709"/>
        <w:jc w:val="both"/>
        <w:rPr>
          <w:rFonts w:ascii="Arial" w:eastAsia="Calibri" w:hAnsi="Arial" w:cs="Arial"/>
          <w:color w:val="000000" w:themeColor="text1"/>
          <w:sz w:val="21"/>
          <w:szCs w:val="21"/>
        </w:rPr>
      </w:pPr>
      <w:r w:rsidRPr="00FD1237">
        <w:rPr>
          <w:rFonts w:ascii="Arial" w:eastAsia="Calibri" w:hAnsi="Arial" w:cs="Arial"/>
          <w:i/>
          <w:iCs/>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00E84F5F">
        <w:rPr>
          <w:rFonts w:ascii="Arial" w:eastAsia="Calibri" w:hAnsi="Arial" w:cs="Arial"/>
          <w:i/>
          <w:iCs/>
          <w:color w:val="000000" w:themeColor="text1"/>
          <w:sz w:val="21"/>
          <w:szCs w:val="21"/>
        </w:rPr>
        <w:t xml:space="preserve"> </w:t>
      </w:r>
      <w:r w:rsidR="00E84F5F">
        <w:rPr>
          <w:rFonts w:ascii="Arial" w:eastAsia="Calibri" w:hAnsi="Arial" w:cs="Arial"/>
          <w:color w:val="000000" w:themeColor="text1"/>
          <w:sz w:val="21"/>
          <w:szCs w:val="21"/>
        </w:rPr>
        <w:t>[Énfasis fuera de texto]</w:t>
      </w:r>
    </w:p>
    <w:p w14:paraId="253103DB" w14:textId="77777777" w:rsidR="00E83A5C" w:rsidRPr="00A851FD" w:rsidRDefault="00E83A5C" w:rsidP="00E83A5C">
      <w:pPr>
        <w:ind w:left="708" w:right="709"/>
        <w:jc w:val="both"/>
        <w:rPr>
          <w:rFonts w:ascii="Arial" w:eastAsia="Calibri" w:hAnsi="Arial" w:cs="Arial"/>
          <w:color w:val="000000" w:themeColor="text1"/>
          <w:sz w:val="21"/>
          <w:szCs w:val="21"/>
        </w:rPr>
      </w:pPr>
    </w:p>
    <w:p w14:paraId="646D9FEE" w14:textId="0F99F2AC" w:rsidR="00E83A5C" w:rsidRDefault="00E83A5C" w:rsidP="00E83A5C">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 conformidad con lo anterior, la Agencia Nacional para la Contratación Pública ‒‒ </w:t>
      </w:r>
      <w:r w:rsidRPr="00E81653">
        <w:rPr>
          <w:rFonts w:ascii="Arial" w:hAnsi="Arial" w:cs="Arial"/>
          <w:color w:val="000000" w:themeColor="text1"/>
          <w:sz w:val="22"/>
        </w:rPr>
        <w:t xml:space="preserve">Colombia Compra Eficiente expidió la </w:t>
      </w:r>
      <w:r w:rsidR="00E84F5F">
        <w:rPr>
          <w:rFonts w:ascii="Arial" w:hAnsi="Arial" w:cs="Arial"/>
          <w:color w:val="000000" w:themeColor="text1"/>
          <w:sz w:val="22"/>
        </w:rPr>
        <w:t>«</w:t>
      </w:r>
      <w:r w:rsidRPr="007328D2">
        <w:rPr>
          <w:rFonts w:ascii="Arial" w:hAnsi="Arial" w:cs="Arial"/>
          <w:i/>
          <w:iCs/>
          <w:color w:val="000000" w:themeColor="text1"/>
          <w:sz w:val="22"/>
        </w:rPr>
        <w:t>Guía para Determinar y Verificar la Capacidad Residual del Proponente en los Procesos de Contratación de Obra Pública</w:t>
      </w:r>
      <w:r w:rsidR="00E84F5F">
        <w:rPr>
          <w:rFonts w:ascii="Arial" w:hAnsi="Arial" w:cs="Arial"/>
          <w:i/>
          <w:iCs/>
          <w:color w:val="000000" w:themeColor="text1"/>
          <w:sz w:val="22"/>
        </w:rPr>
        <w:t>»</w:t>
      </w:r>
      <w:r w:rsidRPr="00106B54">
        <w:rPr>
          <w:rStyle w:val="Refdenotaalpie"/>
          <w:rFonts w:ascii="Arial" w:hAnsi="Arial" w:cs="Arial"/>
          <w:color w:val="000000" w:themeColor="text1"/>
          <w:sz w:val="22"/>
        </w:rPr>
        <w:footnoteReference w:id="9"/>
      </w:r>
      <w:r w:rsidRPr="00E81653">
        <w:rPr>
          <w:rFonts w:ascii="Arial" w:hAnsi="Arial" w:cs="Arial"/>
          <w:color w:val="000000" w:themeColor="text1"/>
          <w:sz w:val="22"/>
        </w:rPr>
        <w:t xml:space="preserve">. En este documento se establece que la capacidad residual del proponente </w:t>
      </w:r>
      <w:r>
        <w:rPr>
          <w:rFonts w:ascii="Arial" w:hAnsi="Arial" w:cs="Arial"/>
          <w:color w:val="000000" w:themeColor="text1"/>
          <w:sz w:val="22"/>
        </w:rPr>
        <w:t xml:space="preserve">(CRP) </w:t>
      </w:r>
      <w:r w:rsidRPr="00E81653">
        <w:rPr>
          <w:rFonts w:ascii="Arial" w:hAnsi="Arial" w:cs="Arial"/>
          <w:color w:val="000000" w:themeColor="text1"/>
          <w:sz w:val="22"/>
        </w:rPr>
        <w:t xml:space="preserve">se calcula según la siguiente fórmula: </w:t>
      </w:r>
    </w:p>
    <w:p w14:paraId="5C9D5037" w14:textId="77777777" w:rsidR="00E83A5C" w:rsidRPr="00E81653" w:rsidRDefault="00E83A5C" w:rsidP="00E83A5C">
      <w:pPr>
        <w:spacing w:before="120" w:line="276" w:lineRule="auto"/>
        <w:ind w:firstLine="709"/>
        <w:jc w:val="both"/>
        <w:rPr>
          <w:rFonts w:ascii="Arial" w:hAnsi="Arial" w:cs="Arial"/>
          <w:color w:val="000000" w:themeColor="text1"/>
          <w:sz w:val="22"/>
        </w:rPr>
      </w:pPr>
      <w:r w:rsidRPr="00E81653">
        <w:rPr>
          <w:noProof/>
          <w:lang w:val="en-US"/>
        </w:rPr>
        <w:lastRenderedPageBreak/>
        <w:drawing>
          <wp:inline distT="0" distB="0" distL="0" distR="0" wp14:anchorId="30A575DB" wp14:editId="56A71C36">
            <wp:extent cx="4495800" cy="7162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1A1B3742" w14:textId="77777777" w:rsidR="00E83A5C" w:rsidRPr="008A2673" w:rsidRDefault="00E83A5C" w:rsidP="00E83A5C">
      <w:pPr>
        <w:ind w:left="709" w:right="709"/>
        <w:jc w:val="both"/>
        <w:rPr>
          <w:rFonts w:ascii="Arial" w:hAnsi="Arial" w:cs="Arial"/>
          <w:color w:val="000000" w:themeColor="text1"/>
          <w:sz w:val="21"/>
          <w:szCs w:val="21"/>
        </w:rPr>
      </w:pPr>
    </w:p>
    <w:p w14:paraId="21239A52" w14:textId="1A33396D" w:rsidR="00E83A5C" w:rsidRDefault="00E83A5C" w:rsidP="00E83A5C">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Respecto de factor de experiencia (</w:t>
      </w:r>
      <w:r w:rsidRPr="007328D2">
        <w:rPr>
          <w:rFonts w:ascii="Arial" w:hAnsi="Arial" w:cs="Arial"/>
          <w:i/>
          <w:iCs/>
          <w:color w:val="000000" w:themeColor="text1"/>
          <w:sz w:val="22"/>
        </w:rPr>
        <w:t>E</w:t>
      </w:r>
      <w:r>
        <w:rPr>
          <w:rFonts w:ascii="Arial" w:hAnsi="Arial" w:cs="Arial"/>
          <w:color w:val="000000" w:themeColor="text1"/>
          <w:sz w:val="22"/>
        </w:rPr>
        <w:t xml:space="preserve">), </w:t>
      </w:r>
      <w:r w:rsidRPr="00106B54">
        <w:rPr>
          <w:rFonts w:ascii="Arial" w:hAnsi="Arial" w:cs="Arial"/>
          <w:color w:val="000000" w:themeColor="text1"/>
          <w:sz w:val="22"/>
        </w:rPr>
        <w:t xml:space="preserve">esta Agencia, en la </w:t>
      </w:r>
      <w:r w:rsidR="00465A23">
        <w:rPr>
          <w:rFonts w:ascii="Arial" w:hAnsi="Arial" w:cs="Arial"/>
          <w:color w:val="000000" w:themeColor="text1"/>
          <w:sz w:val="22"/>
        </w:rPr>
        <w:t>«</w:t>
      </w:r>
      <w:r w:rsidRPr="007328D2">
        <w:rPr>
          <w:rFonts w:ascii="Arial" w:hAnsi="Arial" w:cs="Arial"/>
          <w:i/>
          <w:iCs/>
          <w:color w:val="000000" w:themeColor="text1"/>
          <w:sz w:val="22"/>
        </w:rPr>
        <w:t>Guía para Determinar y Verificar la Capacidad Residual del Proponente en los Procesos de Contratación de Obra Pública</w:t>
      </w:r>
      <w:r w:rsidR="00465A23">
        <w:rPr>
          <w:rFonts w:ascii="Arial" w:hAnsi="Arial" w:cs="Arial"/>
          <w:i/>
          <w:iCs/>
          <w:color w:val="000000" w:themeColor="text1"/>
          <w:sz w:val="22"/>
        </w:rPr>
        <w:t>»</w:t>
      </w:r>
      <w:r w:rsidRPr="00106B54">
        <w:rPr>
          <w:rFonts w:ascii="Arial" w:hAnsi="Arial" w:cs="Arial"/>
          <w:color w:val="000000" w:themeColor="text1"/>
          <w:sz w:val="22"/>
        </w:rPr>
        <w:t xml:space="preserve"> </w:t>
      </w:r>
      <w:r>
        <w:rPr>
          <w:rFonts w:ascii="Arial" w:hAnsi="Arial" w:cs="Arial"/>
          <w:color w:val="000000" w:themeColor="text1"/>
          <w:sz w:val="22"/>
        </w:rPr>
        <w:t>estableció</w:t>
      </w:r>
      <w:r w:rsidRPr="008A2673">
        <w:rPr>
          <w:rFonts w:ascii="Arial" w:hAnsi="Arial" w:cs="Arial"/>
          <w:color w:val="000000" w:themeColor="text1"/>
          <w:sz w:val="22"/>
        </w:rPr>
        <w:t xml:space="preserve"> </w:t>
      </w:r>
      <w:r>
        <w:rPr>
          <w:rFonts w:ascii="Arial" w:hAnsi="Arial" w:cs="Arial"/>
          <w:color w:val="000000" w:themeColor="text1"/>
          <w:sz w:val="22"/>
        </w:rPr>
        <w:t>una fórmula particular para su cálculo. Esta se</w:t>
      </w:r>
      <w:r w:rsidRPr="008A2673">
        <w:rPr>
          <w:rFonts w:ascii="Arial" w:hAnsi="Arial" w:cs="Arial"/>
          <w:color w:val="000000" w:themeColor="text1"/>
          <w:sz w:val="22"/>
        </w:rPr>
        <w:t xml:space="preserve"> obtiene realizando una operación </w:t>
      </w:r>
      <w:r>
        <w:rPr>
          <w:rFonts w:ascii="Arial" w:hAnsi="Arial" w:cs="Arial"/>
          <w:color w:val="000000" w:themeColor="text1"/>
          <w:sz w:val="22"/>
        </w:rPr>
        <w:t>aritmética</w:t>
      </w:r>
      <w:r w:rsidRPr="008A2673">
        <w:rPr>
          <w:rFonts w:ascii="Arial" w:hAnsi="Arial" w:cs="Arial"/>
          <w:color w:val="000000" w:themeColor="text1"/>
          <w:sz w:val="22"/>
        </w:rPr>
        <w:t xml:space="preserve"> de división </w:t>
      </w:r>
      <w:r>
        <w:rPr>
          <w:rFonts w:ascii="Arial" w:hAnsi="Arial" w:cs="Arial"/>
          <w:color w:val="000000" w:themeColor="text1"/>
          <w:sz w:val="22"/>
        </w:rPr>
        <w:t>d</w:t>
      </w:r>
      <w:r w:rsidRPr="008A2673">
        <w:rPr>
          <w:rFonts w:ascii="Arial" w:hAnsi="Arial" w:cs="Arial"/>
          <w:color w:val="000000" w:themeColor="text1"/>
          <w:sz w:val="22"/>
        </w:rPr>
        <w:t>el valor total en pesos de los contratos que figuran en el RUP</w:t>
      </w:r>
      <w:r>
        <w:rPr>
          <w:rFonts w:ascii="Arial" w:hAnsi="Arial" w:cs="Arial"/>
          <w:color w:val="000000" w:themeColor="text1"/>
          <w:sz w:val="22"/>
        </w:rPr>
        <w:t>, entre</w:t>
      </w:r>
      <w:r w:rsidRPr="008A2673">
        <w:rPr>
          <w:rFonts w:ascii="Arial" w:hAnsi="Arial" w:cs="Arial"/>
          <w:color w:val="000000" w:themeColor="text1"/>
          <w:sz w:val="22"/>
        </w:rPr>
        <w:t xml:space="preserve"> el presupuesto oficial estimado del procedimiento contractual</w:t>
      </w:r>
      <w:r>
        <w:rPr>
          <w:rFonts w:ascii="Arial" w:hAnsi="Arial" w:cs="Arial"/>
          <w:color w:val="000000" w:themeColor="text1"/>
          <w:sz w:val="22"/>
        </w:rPr>
        <w:t>. El cociente de esta operación «[…]</w:t>
      </w:r>
      <w:r w:rsidRPr="008A2673">
        <w:rPr>
          <w:rFonts w:ascii="Arial" w:hAnsi="Arial" w:cs="Arial"/>
          <w:color w:val="000000" w:themeColor="text1"/>
          <w:sz w:val="22"/>
        </w:rPr>
        <w:t xml:space="preserve"> indica el número de veces que el proponente ha ejecutado contratos equivalentes a la cuantía del Proceso de Contratación objeto de la acreditación de la Capacidad Residual»</w:t>
      </w:r>
      <w:r>
        <w:rPr>
          <w:rFonts w:ascii="Arial" w:hAnsi="Arial" w:cs="Arial"/>
          <w:color w:val="000000" w:themeColor="text1"/>
          <w:sz w:val="22"/>
        </w:rPr>
        <w:t>. Dicha formula se expresa de la siguiente forma:</w:t>
      </w:r>
    </w:p>
    <w:p w14:paraId="6DE4103B" w14:textId="77777777" w:rsidR="00E83A5C" w:rsidRDefault="00E83A5C" w:rsidP="00E83A5C">
      <w:pPr>
        <w:spacing w:before="120" w:after="120" w:line="276" w:lineRule="auto"/>
        <w:ind w:firstLine="709"/>
        <w:jc w:val="both"/>
        <w:rPr>
          <w:rFonts w:ascii="Arial" w:hAnsi="Arial" w:cs="Arial"/>
          <w:color w:val="000000" w:themeColor="text1"/>
          <w:sz w:val="22"/>
        </w:rPr>
      </w:pPr>
      <w:r>
        <w:rPr>
          <w:rFonts w:ascii="Arial" w:hAnsi="Arial" w:cs="Arial"/>
          <w:noProof/>
          <w:color w:val="000000" w:themeColor="text1"/>
          <w:sz w:val="22"/>
          <w:lang w:val="en-US"/>
        </w:rPr>
        <w:drawing>
          <wp:inline distT="0" distB="0" distL="0" distR="0" wp14:anchorId="63F232A9" wp14:editId="11CF3DEB">
            <wp:extent cx="4858385" cy="7412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4915941" cy="749999"/>
                    </a:xfrm>
                    <a:prstGeom prst="rect">
                      <a:avLst/>
                    </a:prstGeom>
                  </pic:spPr>
                </pic:pic>
              </a:graphicData>
            </a:graphic>
          </wp:inline>
        </w:drawing>
      </w:r>
    </w:p>
    <w:p w14:paraId="614F9C78" w14:textId="77777777" w:rsidR="00E83A5C" w:rsidRDefault="00E83A5C" w:rsidP="00E83A5C">
      <w:pPr>
        <w:spacing w:before="120" w:after="120" w:line="276" w:lineRule="auto"/>
        <w:ind w:firstLine="709"/>
        <w:jc w:val="both"/>
        <w:rPr>
          <w:rFonts w:ascii="Arial" w:hAnsi="Arial" w:cs="Arial"/>
          <w:color w:val="000000" w:themeColor="text1"/>
          <w:sz w:val="22"/>
        </w:rPr>
      </w:pPr>
    </w:p>
    <w:p w14:paraId="46329D4E" w14:textId="77777777" w:rsidR="00E83A5C" w:rsidRDefault="00E83A5C" w:rsidP="00E83A5C">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Debe advertirse que, para el cálculo d</w:t>
      </w:r>
      <w:r w:rsidRPr="005576CE">
        <w:rPr>
          <w:rFonts w:ascii="Arial" w:hAnsi="Arial" w:cs="Arial"/>
          <w:color w:val="000000" w:themeColor="text1"/>
          <w:sz w:val="22"/>
        </w:rPr>
        <w:t>el factor de experiencia (E), el proponente debe diligenciar el formato correspondiente al</w:t>
      </w:r>
      <w:r>
        <w:rPr>
          <w:rFonts w:ascii="Arial" w:hAnsi="Arial" w:cs="Arial"/>
          <w:color w:val="000000" w:themeColor="text1"/>
          <w:sz w:val="22"/>
        </w:rPr>
        <w:t xml:space="preserve"> </w:t>
      </w:r>
      <w:r w:rsidRPr="005576CE">
        <w:rPr>
          <w:rFonts w:ascii="Arial" w:hAnsi="Arial" w:cs="Arial"/>
          <w:color w:val="000000" w:themeColor="text1"/>
          <w:sz w:val="22"/>
        </w:rPr>
        <w:t>Anexo 1</w:t>
      </w:r>
      <w:r>
        <w:rPr>
          <w:rFonts w:ascii="Arial" w:hAnsi="Arial" w:cs="Arial"/>
          <w:color w:val="000000" w:themeColor="text1"/>
          <w:sz w:val="22"/>
        </w:rPr>
        <w:t xml:space="preserve"> de la referida Guía. Dicho anexo consiste en una tabla en la que deben identificarse </w:t>
      </w:r>
      <w:r w:rsidRPr="005576CE">
        <w:rPr>
          <w:rFonts w:ascii="Arial" w:hAnsi="Arial" w:cs="Arial"/>
          <w:color w:val="000000" w:themeColor="text1"/>
          <w:sz w:val="22"/>
        </w:rPr>
        <w:t>los contratos inscritos</w:t>
      </w:r>
      <w:r>
        <w:rPr>
          <w:rFonts w:ascii="Arial" w:hAnsi="Arial" w:cs="Arial"/>
          <w:color w:val="000000" w:themeColor="text1"/>
          <w:sz w:val="22"/>
        </w:rPr>
        <w:t xml:space="preserve"> en el RUP del proponente</w:t>
      </w:r>
      <w:r w:rsidRPr="005576CE">
        <w:rPr>
          <w:rFonts w:ascii="Arial" w:hAnsi="Arial" w:cs="Arial"/>
          <w:color w:val="000000" w:themeColor="text1"/>
          <w:sz w:val="22"/>
        </w:rPr>
        <w:t xml:space="preserve"> en el segmento 72 </w:t>
      </w:r>
      <w:r>
        <w:rPr>
          <w:rFonts w:ascii="Arial" w:hAnsi="Arial" w:cs="Arial"/>
          <w:color w:val="000000" w:themeColor="text1"/>
          <w:sz w:val="22"/>
        </w:rPr>
        <w:t xml:space="preserve">del </w:t>
      </w:r>
      <w:r w:rsidRPr="00883BDA">
        <w:rPr>
          <w:rFonts w:ascii="Arial" w:hAnsi="Arial" w:cs="Arial"/>
          <w:color w:val="000000" w:themeColor="text1"/>
          <w:sz w:val="22"/>
        </w:rPr>
        <w:t>Clasificador</w:t>
      </w:r>
      <w:r>
        <w:rPr>
          <w:rFonts w:ascii="Arial" w:hAnsi="Arial" w:cs="Arial"/>
          <w:color w:val="000000" w:themeColor="text1"/>
          <w:sz w:val="22"/>
        </w:rPr>
        <w:t xml:space="preserve"> </w:t>
      </w:r>
      <w:r w:rsidRPr="00883BDA">
        <w:rPr>
          <w:rFonts w:ascii="Arial" w:hAnsi="Arial" w:cs="Arial"/>
          <w:color w:val="000000" w:themeColor="text1"/>
          <w:sz w:val="22"/>
        </w:rPr>
        <w:t>UNSPSC</w:t>
      </w:r>
      <w:r>
        <w:rPr>
          <w:rFonts w:ascii="Arial" w:hAnsi="Arial" w:cs="Arial"/>
          <w:color w:val="000000" w:themeColor="text1"/>
          <w:sz w:val="22"/>
        </w:rPr>
        <w:t xml:space="preserve"> –correspondiente a </w:t>
      </w:r>
      <w:r w:rsidRPr="008B79F9">
        <w:rPr>
          <w:rFonts w:ascii="Arial" w:hAnsi="Arial" w:cs="Arial"/>
          <w:color w:val="000000"/>
          <w:sz w:val="22"/>
          <w:bdr w:val="none" w:sz="0" w:space="0" w:color="auto" w:frame="1"/>
        </w:rPr>
        <w:t>“Servicios de Edificación, Construcción de Instalaciones y Mantenimiento”</w:t>
      </w:r>
      <w:r>
        <w:rPr>
          <w:rFonts w:ascii="Arial" w:hAnsi="Arial" w:cs="Arial"/>
          <w:color w:val="000000"/>
          <w:sz w:val="22"/>
          <w:bdr w:val="none" w:sz="0" w:space="0" w:color="auto" w:frame="1"/>
        </w:rPr>
        <w:t>–</w:t>
      </w:r>
      <w:r>
        <w:rPr>
          <w:rFonts w:ascii="Arial" w:hAnsi="Arial" w:cs="Arial"/>
          <w:color w:val="000000" w:themeColor="text1"/>
          <w:sz w:val="22"/>
        </w:rPr>
        <w:t>,</w:t>
      </w:r>
      <w:r w:rsidRPr="005576CE">
        <w:rPr>
          <w:rFonts w:ascii="Arial" w:hAnsi="Arial" w:cs="Arial"/>
          <w:color w:val="000000" w:themeColor="text1"/>
          <w:sz w:val="22"/>
        </w:rPr>
        <w:t xml:space="preserve"> su valor total en pesos colombianos</w:t>
      </w:r>
      <w:r>
        <w:rPr>
          <w:rFonts w:ascii="Arial" w:hAnsi="Arial" w:cs="Arial"/>
          <w:color w:val="000000" w:themeColor="text1"/>
          <w:sz w:val="22"/>
        </w:rPr>
        <w:t xml:space="preserve"> </w:t>
      </w:r>
      <w:r w:rsidRPr="005576CE">
        <w:rPr>
          <w:rFonts w:ascii="Arial" w:hAnsi="Arial" w:cs="Arial"/>
          <w:color w:val="000000" w:themeColor="text1"/>
          <w:sz w:val="22"/>
        </w:rPr>
        <w:t>liquidados con el SMMLV</w:t>
      </w:r>
      <w:r>
        <w:rPr>
          <w:rFonts w:ascii="Arial" w:hAnsi="Arial" w:cs="Arial"/>
          <w:color w:val="000000" w:themeColor="text1"/>
          <w:sz w:val="22"/>
        </w:rPr>
        <w:t xml:space="preserve"> y el porcentaje de participación del proponente en la ejecución de cada uno de estos contratos</w:t>
      </w:r>
      <w:r w:rsidRPr="005576CE">
        <w:rPr>
          <w:rFonts w:ascii="Arial" w:hAnsi="Arial" w:cs="Arial"/>
          <w:color w:val="000000" w:themeColor="text1"/>
          <w:sz w:val="22"/>
        </w:rPr>
        <w:t>.</w:t>
      </w:r>
      <w:r>
        <w:rPr>
          <w:rFonts w:ascii="Arial" w:hAnsi="Arial" w:cs="Arial"/>
          <w:color w:val="000000" w:themeColor="text1"/>
          <w:sz w:val="22"/>
        </w:rPr>
        <w:t xml:space="preserve"> Tratándose de</w:t>
      </w:r>
      <w:r w:rsidRPr="005576CE">
        <w:rPr>
          <w:rFonts w:ascii="Arial" w:hAnsi="Arial" w:cs="Arial"/>
          <w:color w:val="000000" w:themeColor="text1"/>
          <w:sz w:val="22"/>
        </w:rPr>
        <w:t xml:space="preserve"> personas jurídicas con existencia inferior a tres (3) años,</w:t>
      </w:r>
      <w:r>
        <w:rPr>
          <w:rFonts w:ascii="Arial" w:hAnsi="Arial" w:cs="Arial"/>
          <w:color w:val="000000" w:themeColor="text1"/>
          <w:sz w:val="22"/>
        </w:rPr>
        <w:t xml:space="preserve"> de conformidad con lo dispuesto en el numeral 2.5 del artículo </w:t>
      </w:r>
      <w:r w:rsidRPr="00FE204D">
        <w:rPr>
          <w:rFonts w:ascii="Arial" w:hAnsi="Arial" w:cs="Arial"/>
          <w:color w:val="000000" w:themeColor="text1"/>
          <w:sz w:val="22"/>
        </w:rPr>
        <w:t xml:space="preserve">2.2.1.1.1.5.2. </w:t>
      </w:r>
      <w:r>
        <w:rPr>
          <w:rFonts w:ascii="Arial" w:hAnsi="Arial" w:cs="Arial"/>
          <w:color w:val="000000" w:themeColor="text1"/>
          <w:sz w:val="22"/>
        </w:rPr>
        <w:t>del Decreto 1082 de 2015</w:t>
      </w:r>
      <w:r>
        <w:rPr>
          <w:rStyle w:val="Refdenotaalpie"/>
          <w:rFonts w:ascii="Arial" w:hAnsi="Arial" w:cs="Arial"/>
          <w:color w:val="000000" w:themeColor="text1"/>
          <w:sz w:val="22"/>
        </w:rPr>
        <w:footnoteReference w:id="10"/>
      </w:r>
      <w:r w:rsidRPr="005576CE">
        <w:rPr>
          <w:rFonts w:ascii="Arial" w:hAnsi="Arial" w:cs="Arial"/>
          <w:color w:val="000000" w:themeColor="text1"/>
          <w:sz w:val="22"/>
        </w:rPr>
        <w:t xml:space="preserve"> </w:t>
      </w:r>
      <w:r>
        <w:rPr>
          <w:rFonts w:ascii="Arial" w:hAnsi="Arial" w:cs="Arial"/>
          <w:color w:val="000000" w:themeColor="text1"/>
          <w:sz w:val="22"/>
        </w:rPr>
        <w:t xml:space="preserve">es posible que las mismas </w:t>
      </w:r>
      <w:r w:rsidRPr="005576CE">
        <w:rPr>
          <w:rFonts w:ascii="Arial" w:hAnsi="Arial" w:cs="Arial"/>
          <w:color w:val="000000" w:themeColor="text1"/>
          <w:sz w:val="22"/>
        </w:rPr>
        <w:t>acredit</w:t>
      </w:r>
      <w:r>
        <w:rPr>
          <w:rFonts w:ascii="Arial" w:hAnsi="Arial" w:cs="Arial"/>
          <w:color w:val="000000" w:themeColor="text1"/>
          <w:sz w:val="22"/>
        </w:rPr>
        <w:t>en</w:t>
      </w:r>
      <w:r w:rsidRPr="005576CE">
        <w:rPr>
          <w:rFonts w:ascii="Arial" w:hAnsi="Arial" w:cs="Arial"/>
          <w:color w:val="000000" w:themeColor="text1"/>
          <w:sz w:val="22"/>
        </w:rPr>
        <w:t xml:space="preserve"> la </w:t>
      </w:r>
      <w:r w:rsidRPr="005576CE">
        <w:rPr>
          <w:rFonts w:ascii="Arial" w:hAnsi="Arial" w:cs="Arial"/>
          <w:color w:val="000000" w:themeColor="text1"/>
          <w:sz w:val="22"/>
        </w:rPr>
        <w:lastRenderedPageBreak/>
        <w:t>experiencia de sus</w:t>
      </w:r>
      <w:r>
        <w:rPr>
          <w:rFonts w:ascii="Arial" w:hAnsi="Arial" w:cs="Arial"/>
          <w:color w:val="000000" w:themeColor="text1"/>
          <w:sz w:val="22"/>
        </w:rPr>
        <w:t xml:space="preserve"> </w:t>
      </w:r>
      <w:r w:rsidRPr="005576CE">
        <w:rPr>
          <w:rFonts w:ascii="Arial" w:hAnsi="Arial" w:cs="Arial"/>
          <w:color w:val="000000" w:themeColor="text1"/>
          <w:sz w:val="22"/>
        </w:rPr>
        <w:t>accionistas, socios o constituyentes</w:t>
      </w:r>
      <w:r>
        <w:rPr>
          <w:rFonts w:ascii="Arial" w:hAnsi="Arial" w:cs="Arial"/>
          <w:color w:val="000000" w:themeColor="text1"/>
          <w:sz w:val="22"/>
        </w:rPr>
        <w:t>, por lo que podrán tenerse en cuenta para el calculo de la capacidad residual</w:t>
      </w:r>
      <w:r>
        <w:rPr>
          <w:rStyle w:val="Refdenotaalpie"/>
          <w:rFonts w:ascii="Arial" w:hAnsi="Arial" w:cs="Arial"/>
          <w:color w:val="000000" w:themeColor="text1"/>
          <w:sz w:val="22"/>
        </w:rPr>
        <w:footnoteReference w:id="11"/>
      </w:r>
      <w:r>
        <w:rPr>
          <w:rFonts w:ascii="Arial" w:hAnsi="Arial" w:cs="Arial"/>
          <w:color w:val="000000" w:themeColor="text1"/>
          <w:sz w:val="22"/>
        </w:rPr>
        <w:t>.</w:t>
      </w:r>
    </w:p>
    <w:p w14:paraId="1EC9A0E4" w14:textId="3DA71098" w:rsidR="00E83A5C" w:rsidRPr="008A2673" w:rsidRDefault="00E83A5C" w:rsidP="00E83A5C">
      <w:pPr>
        <w:spacing w:line="276" w:lineRule="auto"/>
        <w:ind w:firstLine="708"/>
        <w:jc w:val="both"/>
        <w:rPr>
          <w:rFonts w:ascii="Arial" w:hAnsi="Arial" w:cs="Arial"/>
          <w:color w:val="000000" w:themeColor="text1"/>
          <w:sz w:val="21"/>
          <w:szCs w:val="21"/>
        </w:rPr>
      </w:pPr>
      <w:r>
        <w:rPr>
          <w:rFonts w:ascii="Arial" w:hAnsi="Arial" w:cs="Arial"/>
          <w:color w:val="000000" w:themeColor="text1"/>
          <w:sz w:val="22"/>
        </w:rPr>
        <w:t>Ahora bien, e</w:t>
      </w:r>
      <w:r w:rsidRPr="007328D2">
        <w:rPr>
          <w:rFonts w:ascii="Arial" w:hAnsi="Arial" w:cs="Arial"/>
          <w:color w:val="000000" w:themeColor="text1"/>
          <w:sz w:val="22"/>
        </w:rPr>
        <w:t xml:space="preserve">l cociente </w:t>
      </w:r>
      <w:r>
        <w:rPr>
          <w:rFonts w:ascii="Arial" w:hAnsi="Arial" w:cs="Arial"/>
          <w:color w:val="000000" w:themeColor="text1"/>
          <w:sz w:val="22"/>
        </w:rPr>
        <w:t>surgido de la aplicación de</w:t>
      </w:r>
      <w:r w:rsidRPr="007328D2">
        <w:rPr>
          <w:rFonts w:ascii="Arial" w:hAnsi="Arial" w:cs="Arial"/>
          <w:color w:val="000000" w:themeColor="text1"/>
          <w:sz w:val="22"/>
        </w:rPr>
        <w:t xml:space="preserve"> esta última formula</w:t>
      </w:r>
      <w:r>
        <w:rPr>
          <w:rFonts w:ascii="Arial" w:hAnsi="Arial" w:cs="Arial"/>
          <w:color w:val="000000" w:themeColor="text1"/>
          <w:sz w:val="22"/>
        </w:rPr>
        <w:t xml:space="preserve"> </w:t>
      </w:r>
      <w:r w:rsidRPr="007328D2">
        <w:rPr>
          <w:rFonts w:ascii="Arial" w:hAnsi="Arial" w:cs="Arial"/>
          <w:color w:val="000000" w:themeColor="text1"/>
          <w:sz w:val="22"/>
        </w:rPr>
        <w:t xml:space="preserve">sirve para establecer el valor que se remplazará </w:t>
      </w:r>
      <w:r>
        <w:rPr>
          <w:rFonts w:ascii="Arial" w:hAnsi="Arial" w:cs="Arial"/>
          <w:color w:val="000000" w:themeColor="text1"/>
          <w:sz w:val="22"/>
        </w:rPr>
        <w:t xml:space="preserve">en el factor </w:t>
      </w:r>
      <w:r w:rsidRPr="007328D2">
        <w:rPr>
          <w:rFonts w:ascii="Arial" w:hAnsi="Arial" w:cs="Arial"/>
          <w:i/>
          <w:iCs/>
          <w:color w:val="000000" w:themeColor="text1"/>
          <w:sz w:val="22"/>
        </w:rPr>
        <w:t>(E</w:t>
      </w:r>
      <w:r>
        <w:rPr>
          <w:rFonts w:ascii="Arial" w:hAnsi="Arial" w:cs="Arial"/>
          <w:color w:val="000000" w:themeColor="text1"/>
          <w:sz w:val="22"/>
        </w:rPr>
        <w:t xml:space="preserve">) de la fórmula establecida </w:t>
      </w:r>
      <w:r w:rsidRPr="007328D2">
        <w:rPr>
          <w:rFonts w:ascii="Arial" w:hAnsi="Arial" w:cs="Arial"/>
          <w:i/>
          <w:iCs/>
          <w:color w:val="000000" w:themeColor="text1"/>
          <w:sz w:val="22"/>
        </w:rPr>
        <w:t xml:space="preserve">supra </w:t>
      </w:r>
      <w:r>
        <w:rPr>
          <w:rFonts w:ascii="Arial" w:hAnsi="Arial" w:cs="Arial"/>
          <w:color w:val="000000" w:themeColor="text1"/>
          <w:sz w:val="22"/>
        </w:rPr>
        <w:t xml:space="preserve">para determinar la </w:t>
      </w:r>
      <w:r w:rsidRPr="007328D2">
        <w:rPr>
          <w:rFonts w:ascii="Arial" w:hAnsi="Arial" w:cs="Arial"/>
          <w:i/>
          <w:iCs/>
          <w:color w:val="000000" w:themeColor="text1"/>
          <w:sz w:val="22"/>
        </w:rPr>
        <w:t>CRP</w:t>
      </w:r>
      <w:r>
        <w:rPr>
          <w:rFonts w:ascii="Arial" w:hAnsi="Arial" w:cs="Arial"/>
          <w:color w:val="000000" w:themeColor="text1"/>
          <w:sz w:val="22"/>
        </w:rPr>
        <w:t>. Para ello es necesario revisar la tabla establecida en el literal B del numeral 4 de la referida guía. Esta tabla establece cuatro rangos dentro de los que debe ubicarse el valor obtenido al realizar el cálculo del factor (</w:t>
      </w:r>
      <w:r w:rsidRPr="007328D2">
        <w:rPr>
          <w:rFonts w:ascii="Arial" w:hAnsi="Arial" w:cs="Arial"/>
          <w:i/>
          <w:iCs/>
          <w:color w:val="000000" w:themeColor="text1"/>
          <w:sz w:val="22"/>
        </w:rPr>
        <w:t>E</w:t>
      </w:r>
      <w:r>
        <w:rPr>
          <w:rFonts w:ascii="Arial" w:hAnsi="Arial" w:cs="Arial"/>
          <w:color w:val="000000" w:themeColor="text1"/>
          <w:sz w:val="22"/>
        </w:rPr>
        <w:t xml:space="preserve">), en función de lo cual corresponde un determinado puntaje, el cual será el valor que corresponderá por el factor (E) en la </w:t>
      </w:r>
      <w:r w:rsidR="002E58E3">
        <w:rPr>
          <w:rFonts w:ascii="Arial" w:hAnsi="Arial" w:cs="Arial"/>
          <w:color w:val="000000" w:themeColor="text1"/>
          <w:sz w:val="22"/>
        </w:rPr>
        <w:t>fórmula</w:t>
      </w:r>
      <w:r>
        <w:rPr>
          <w:rFonts w:ascii="Arial" w:hAnsi="Arial" w:cs="Arial"/>
          <w:color w:val="000000" w:themeColor="text1"/>
          <w:sz w:val="22"/>
        </w:rPr>
        <w:t xml:space="preserve"> para el calcula de la </w:t>
      </w:r>
      <w:r w:rsidRPr="007328D2">
        <w:rPr>
          <w:rFonts w:ascii="Arial" w:hAnsi="Arial" w:cs="Arial"/>
          <w:i/>
          <w:iCs/>
          <w:color w:val="000000" w:themeColor="text1"/>
          <w:sz w:val="22"/>
        </w:rPr>
        <w:t>CRP</w:t>
      </w:r>
      <w:r>
        <w:rPr>
          <w:rFonts w:ascii="Arial" w:hAnsi="Arial" w:cs="Arial"/>
          <w:color w:val="000000" w:themeColor="text1"/>
          <w:sz w:val="22"/>
        </w:rPr>
        <w:t>.  La tabla consta de lo siguiente:</w:t>
      </w:r>
    </w:p>
    <w:p w14:paraId="382DFF5B" w14:textId="77777777" w:rsidR="00E83A5C" w:rsidRPr="008A2673" w:rsidRDefault="00E83A5C" w:rsidP="00E83A5C">
      <w:pPr>
        <w:ind w:left="709" w:right="709"/>
        <w:jc w:val="both"/>
        <w:rPr>
          <w:rFonts w:ascii="Arial" w:hAnsi="Arial" w:cs="Arial"/>
          <w:color w:val="000000" w:themeColor="text1"/>
          <w:sz w:val="21"/>
          <w:szCs w:val="21"/>
        </w:rPr>
      </w:pPr>
    </w:p>
    <w:tbl>
      <w:tblPr>
        <w:tblStyle w:val="Tablaconcuadrcula4-nfasis6"/>
        <w:tblW w:w="0" w:type="auto"/>
        <w:jc w:val="center"/>
        <w:tblLook w:val="04A0" w:firstRow="1" w:lastRow="0" w:firstColumn="1" w:lastColumn="0" w:noHBand="0" w:noVBand="1"/>
      </w:tblPr>
      <w:tblGrid>
        <w:gridCol w:w="1946"/>
        <w:gridCol w:w="1692"/>
        <w:gridCol w:w="2357"/>
      </w:tblGrid>
      <w:tr w:rsidR="00E83A5C" w:rsidRPr="00DE3AFA" w14:paraId="1CBE158C" w14:textId="77777777" w:rsidTr="00B465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57AA0632" w14:textId="77777777" w:rsidR="00E83A5C" w:rsidRPr="007328D2" w:rsidRDefault="00E83A5C" w:rsidP="00B4650C">
            <w:pPr>
              <w:ind w:right="709"/>
              <w:jc w:val="center"/>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Mayor a</w:t>
            </w:r>
          </w:p>
        </w:tc>
        <w:tc>
          <w:tcPr>
            <w:tcW w:w="1692" w:type="dxa"/>
          </w:tcPr>
          <w:p w14:paraId="30BC9896" w14:textId="77777777" w:rsidR="00E83A5C" w:rsidRPr="007328D2" w:rsidRDefault="00E83A5C" w:rsidP="00B4650C">
            <w:pPr>
              <w:ind w:right="-146"/>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Menor</w:t>
            </w:r>
            <w:r>
              <w:rPr>
                <w:rFonts w:ascii="Arial" w:hAnsi="Arial" w:cs="Arial"/>
                <w:i/>
                <w:iCs/>
                <w:color w:val="262626" w:themeColor="text1" w:themeTint="D9"/>
                <w:sz w:val="20"/>
                <w:szCs w:val="20"/>
              </w:rPr>
              <w:t xml:space="preserve"> o</w:t>
            </w:r>
            <w:r w:rsidRPr="007328D2">
              <w:rPr>
                <w:rFonts w:ascii="Arial" w:hAnsi="Arial" w:cs="Arial"/>
                <w:i/>
                <w:iCs/>
                <w:color w:val="262626" w:themeColor="text1" w:themeTint="D9"/>
                <w:sz w:val="20"/>
                <w:szCs w:val="20"/>
              </w:rPr>
              <w:t xml:space="preserve"> igual a</w:t>
            </w:r>
          </w:p>
        </w:tc>
        <w:tc>
          <w:tcPr>
            <w:tcW w:w="2357" w:type="dxa"/>
          </w:tcPr>
          <w:p w14:paraId="4E3685F6" w14:textId="77777777" w:rsidR="00E83A5C" w:rsidRPr="007328D2" w:rsidRDefault="00E83A5C" w:rsidP="00B4650C">
            <w:pPr>
              <w:ind w:right="709"/>
              <w:jc w:val="center"/>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Puntaje</w:t>
            </w:r>
          </w:p>
        </w:tc>
      </w:tr>
      <w:tr w:rsidR="00E83A5C" w:rsidRPr="00DE3AFA" w14:paraId="41BC14A6" w14:textId="77777777" w:rsidTr="00B46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434D53E8" w14:textId="77777777" w:rsidR="00E83A5C" w:rsidRPr="007328D2" w:rsidRDefault="00E83A5C" w:rsidP="00B4650C">
            <w:pPr>
              <w:ind w:right="709"/>
              <w:jc w:val="center"/>
              <w:rPr>
                <w:rFonts w:ascii="Arial" w:hAnsi="Arial" w:cs="Arial"/>
                <w:b w:val="0"/>
                <w:bCs w:val="0"/>
                <w:i/>
                <w:iCs/>
                <w:color w:val="262626" w:themeColor="text1" w:themeTint="D9"/>
                <w:sz w:val="20"/>
                <w:szCs w:val="20"/>
              </w:rPr>
            </w:pPr>
            <w:r w:rsidRPr="007328D2">
              <w:rPr>
                <w:rFonts w:ascii="Arial" w:hAnsi="Arial" w:cs="Arial"/>
                <w:i/>
                <w:iCs/>
                <w:color w:val="262626" w:themeColor="text1" w:themeTint="D9"/>
                <w:sz w:val="20"/>
                <w:szCs w:val="20"/>
              </w:rPr>
              <w:t>0</w:t>
            </w:r>
          </w:p>
        </w:tc>
        <w:tc>
          <w:tcPr>
            <w:tcW w:w="1692" w:type="dxa"/>
          </w:tcPr>
          <w:p w14:paraId="0898C007" w14:textId="77777777" w:rsidR="00E83A5C" w:rsidRPr="007328D2" w:rsidRDefault="00E83A5C" w:rsidP="00B4650C">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3</w:t>
            </w:r>
          </w:p>
        </w:tc>
        <w:tc>
          <w:tcPr>
            <w:tcW w:w="2357" w:type="dxa"/>
          </w:tcPr>
          <w:p w14:paraId="670B90BA" w14:textId="77777777" w:rsidR="00E83A5C" w:rsidRPr="007328D2" w:rsidRDefault="00E83A5C" w:rsidP="00B4650C">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60</w:t>
            </w:r>
          </w:p>
        </w:tc>
      </w:tr>
      <w:tr w:rsidR="00E83A5C" w:rsidRPr="00DE3AFA" w14:paraId="0E7F6DEC" w14:textId="77777777" w:rsidTr="00B4650C">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6770FF6A" w14:textId="77777777" w:rsidR="00E83A5C" w:rsidRPr="007328D2" w:rsidRDefault="00E83A5C" w:rsidP="00B4650C">
            <w:pPr>
              <w:ind w:right="709"/>
              <w:jc w:val="center"/>
              <w:rPr>
                <w:rFonts w:ascii="Arial" w:hAnsi="Arial" w:cs="Arial"/>
                <w:b w:val="0"/>
                <w:bCs w:val="0"/>
                <w:i/>
                <w:iCs/>
                <w:color w:val="262626" w:themeColor="text1" w:themeTint="D9"/>
                <w:sz w:val="20"/>
                <w:szCs w:val="20"/>
              </w:rPr>
            </w:pPr>
            <w:r w:rsidRPr="007328D2">
              <w:rPr>
                <w:rFonts w:ascii="Arial" w:hAnsi="Arial" w:cs="Arial"/>
                <w:i/>
                <w:iCs/>
                <w:color w:val="262626" w:themeColor="text1" w:themeTint="D9"/>
                <w:sz w:val="20"/>
                <w:szCs w:val="20"/>
              </w:rPr>
              <w:t>3</w:t>
            </w:r>
          </w:p>
        </w:tc>
        <w:tc>
          <w:tcPr>
            <w:tcW w:w="1692" w:type="dxa"/>
          </w:tcPr>
          <w:p w14:paraId="750380E9" w14:textId="77777777" w:rsidR="00E83A5C" w:rsidRPr="007328D2" w:rsidRDefault="00E83A5C" w:rsidP="00B4650C">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6</w:t>
            </w:r>
          </w:p>
        </w:tc>
        <w:tc>
          <w:tcPr>
            <w:tcW w:w="2357" w:type="dxa"/>
          </w:tcPr>
          <w:p w14:paraId="22757111" w14:textId="77777777" w:rsidR="00E83A5C" w:rsidRPr="007328D2" w:rsidRDefault="00E83A5C" w:rsidP="00B4650C">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80</w:t>
            </w:r>
          </w:p>
        </w:tc>
      </w:tr>
      <w:tr w:rsidR="00E83A5C" w:rsidRPr="00DE3AFA" w14:paraId="3D6E9BDF" w14:textId="77777777" w:rsidTr="00B4650C">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1946" w:type="dxa"/>
          </w:tcPr>
          <w:p w14:paraId="49A8BAEB" w14:textId="77777777" w:rsidR="00E83A5C" w:rsidRPr="007328D2" w:rsidRDefault="00E83A5C" w:rsidP="00B4650C">
            <w:pPr>
              <w:ind w:right="709"/>
              <w:jc w:val="center"/>
              <w:rPr>
                <w:rFonts w:ascii="Arial" w:hAnsi="Arial" w:cs="Arial"/>
                <w:b w:val="0"/>
                <w:bCs w:val="0"/>
                <w:i/>
                <w:iCs/>
                <w:color w:val="262626" w:themeColor="text1" w:themeTint="D9"/>
                <w:sz w:val="20"/>
                <w:szCs w:val="20"/>
              </w:rPr>
            </w:pPr>
            <w:r w:rsidRPr="007328D2">
              <w:rPr>
                <w:rFonts w:ascii="Arial" w:hAnsi="Arial" w:cs="Arial"/>
                <w:i/>
                <w:iCs/>
                <w:color w:val="262626" w:themeColor="text1" w:themeTint="D9"/>
                <w:sz w:val="20"/>
                <w:szCs w:val="20"/>
              </w:rPr>
              <w:t>6</w:t>
            </w:r>
          </w:p>
        </w:tc>
        <w:tc>
          <w:tcPr>
            <w:tcW w:w="1692" w:type="dxa"/>
          </w:tcPr>
          <w:p w14:paraId="6917AE72" w14:textId="77777777" w:rsidR="00E83A5C" w:rsidRPr="007328D2" w:rsidRDefault="00E83A5C" w:rsidP="00B4650C">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10</w:t>
            </w:r>
          </w:p>
        </w:tc>
        <w:tc>
          <w:tcPr>
            <w:tcW w:w="2357" w:type="dxa"/>
          </w:tcPr>
          <w:p w14:paraId="4C8C4CE4" w14:textId="77777777" w:rsidR="00E83A5C" w:rsidRPr="007328D2" w:rsidRDefault="00E83A5C" w:rsidP="00B4650C">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100</w:t>
            </w:r>
          </w:p>
        </w:tc>
      </w:tr>
      <w:tr w:rsidR="00E83A5C" w:rsidRPr="00DE3AFA" w14:paraId="14F46FB1" w14:textId="77777777" w:rsidTr="00B4650C">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575E9A12" w14:textId="77777777" w:rsidR="00E83A5C" w:rsidRPr="007328D2" w:rsidRDefault="00E83A5C" w:rsidP="00B4650C">
            <w:pPr>
              <w:ind w:right="709"/>
              <w:jc w:val="center"/>
              <w:rPr>
                <w:rFonts w:ascii="Arial" w:hAnsi="Arial" w:cs="Arial"/>
                <w:b w:val="0"/>
                <w:bCs w:val="0"/>
                <w:i/>
                <w:iCs/>
                <w:color w:val="262626" w:themeColor="text1" w:themeTint="D9"/>
                <w:sz w:val="20"/>
                <w:szCs w:val="20"/>
              </w:rPr>
            </w:pPr>
            <w:r w:rsidRPr="007328D2">
              <w:rPr>
                <w:rFonts w:ascii="Arial" w:hAnsi="Arial" w:cs="Arial"/>
                <w:i/>
                <w:iCs/>
                <w:color w:val="262626" w:themeColor="text1" w:themeTint="D9"/>
                <w:sz w:val="20"/>
                <w:szCs w:val="20"/>
              </w:rPr>
              <w:t>10</w:t>
            </w:r>
          </w:p>
        </w:tc>
        <w:tc>
          <w:tcPr>
            <w:tcW w:w="1692" w:type="dxa"/>
          </w:tcPr>
          <w:p w14:paraId="63497922" w14:textId="77777777" w:rsidR="00E83A5C" w:rsidRPr="007328D2" w:rsidRDefault="00E83A5C" w:rsidP="00B4650C">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Mayores</w:t>
            </w:r>
          </w:p>
        </w:tc>
        <w:tc>
          <w:tcPr>
            <w:tcW w:w="2357" w:type="dxa"/>
          </w:tcPr>
          <w:p w14:paraId="14B8E9F7" w14:textId="77777777" w:rsidR="00E83A5C" w:rsidRPr="007328D2" w:rsidRDefault="00E83A5C" w:rsidP="00B4650C">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0"/>
                <w:szCs w:val="20"/>
              </w:rPr>
            </w:pPr>
            <w:r w:rsidRPr="007328D2">
              <w:rPr>
                <w:rFonts w:ascii="Arial" w:hAnsi="Arial" w:cs="Arial"/>
                <w:i/>
                <w:iCs/>
                <w:color w:val="262626" w:themeColor="text1" w:themeTint="D9"/>
                <w:sz w:val="20"/>
                <w:szCs w:val="20"/>
              </w:rPr>
              <w:t>120</w:t>
            </w:r>
          </w:p>
        </w:tc>
      </w:tr>
    </w:tbl>
    <w:p w14:paraId="006D8D4E" w14:textId="77777777" w:rsidR="00E83A5C" w:rsidRDefault="00E83A5C" w:rsidP="00E83A5C">
      <w:pPr>
        <w:spacing w:line="276" w:lineRule="auto"/>
        <w:ind w:firstLine="709"/>
        <w:jc w:val="both"/>
        <w:rPr>
          <w:rFonts w:ascii="Arial" w:eastAsia="Arial," w:hAnsi="Arial" w:cs="Arial"/>
          <w:sz w:val="22"/>
        </w:rPr>
      </w:pPr>
    </w:p>
    <w:p w14:paraId="05D29F10" w14:textId="77777777" w:rsidR="00E83A5C" w:rsidRPr="007328D2" w:rsidRDefault="00E83A5C" w:rsidP="00E83A5C">
      <w:pPr>
        <w:spacing w:line="276" w:lineRule="auto"/>
        <w:ind w:firstLine="709"/>
        <w:jc w:val="both"/>
        <w:rPr>
          <w:sz w:val="22"/>
        </w:rPr>
      </w:pPr>
      <w:r w:rsidRPr="007328D2">
        <w:rPr>
          <w:rFonts w:ascii="Arial" w:eastAsia="Arial," w:hAnsi="Arial" w:cs="Arial"/>
          <w:sz w:val="22"/>
        </w:rPr>
        <w:t xml:space="preserve">Para facilitar la aplicación de la metodología para el cálculo de la capacidad residual, </w:t>
      </w:r>
      <w:r>
        <w:rPr>
          <w:rFonts w:ascii="Arial" w:eastAsia="Arial," w:hAnsi="Arial" w:cs="Arial"/>
          <w:sz w:val="22"/>
        </w:rPr>
        <w:t xml:space="preserve">la Agencia Nacional de Contratación Pública </w:t>
      </w:r>
      <w:r w:rsidRPr="00656DF5">
        <w:rPr>
          <w:sz w:val="22"/>
        </w:rPr>
        <w:t xml:space="preserve">– </w:t>
      </w:r>
      <w:r w:rsidRPr="007328D2">
        <w:rPr>
          <w:rFonts w:ascii="Arial" w:eastAsia="Arial," w:hAnsi="Arial" w:cs="Arial"/>
          <w:sz w:val="22"/>
        </w:rPr>
        <w:t xml:space="preserve">Colombia Compra Eficiente ha puesto a disposición de la ciudadanía una «Aplicación para establecer la Capacidad Residual», que sirve para calcular la capacidad residual en los procesos de selección, a la cual se puede acceder mediante el </w:t>
      </w:r>
      <w:r w:rsidRPr="007328D2">
        <w:rPr>
          <w:rFonts w:ascii="Arial" w:eastAsia="Arial" w:hAnsi="Arial" w:cs="Arial"/>
          <w:sz w:val="22"/>
          <w:lang w:eastAsia="es-ES" w:bidi="es-ES"/>
        </w:rPr>
        <w:t>enlace incluido en la siguiente nota al pie</w:t>
      </w:r>
      <w:r w:rsidRPr="007328D2">
        <w:rPr>
          <w:rFonts w:ascii="Arial" w:eastAsia="Arial" w:hAnsi="Arial" w:cs="Arial"/>
          <w:sz w:val="22"/>
          <w:vertAlign w:val="superscript"/>
          <w:lang w:eastAsia="es-ES" w:bidi="es-ES"/>
        </w:rPr>
        <w:footnoteReference w:id="12"/>
      </w:r>
      <w:r w:rsidRPr="007328D2">
        <w:rPr>
          <w:rFonts w:ascii="Arial" w:eastAsia="Arial" w:hAnsi="Arial" w:cs="Arial"/>
          <w:sz w:val="22"/>
          <w:lang w:eastAsia="es-ES" w:bidi="es-ES"/>
        </w:rPr>
        <w:t xml:space="preserve">. </w:t>
      </w:r>
      <w:r w:rsidRPr="007328D2">
        <w:rPr>
          <w:rFonts w:ascii="Arial" w:hAnsi="Arial" w:cs="Arial"/>
          <w:sz w:val="22"/>
        </w:rPr>
        <w:t>Sin perjuicio de la utilidad de este aplicativo, sobre el uso del mismo y la acreditación de los factores necesarios para calcular la capacidad residual, resulta pertinente traer a colación lo dispuesto en el punto 7 de la Circular Externa Única de Colombia Compra Eficiente, en el que se establece lo siguiente:</w:t>
      </w:r>
    </w:p>
    <w:p w14:paraId="7C2CE55A" w14:textId="77777777" w:rsidR="00E83A5C" w:rsidRPr="00A03FAB" w:rsidRDefault="00E83A5C" w:rsidP="00E83A5C">
      <w:pPr>
        <w:pStyle w:val="Textoindependiente"/>
        <w:spacing w:line="276" w:lineRule="auto"/>
        <w:ind w:right="51" w:firstLine="709"/>
        <w:jc w:val="both"/>
        <w:rPr>
          <w:lang w:val="es-CO"/>
        </w:rPr>
      </w:pPr>
    </w:p>
    <w:p w14:paraId="6167B067" w14:textId="77777777" w:rsidR="00E83A5C" w:rsidRPr="00A03FAB" w:rsidRDefault="00E83A5C" w:rsidP="00E83A5C">
      <w:pPr>
        <w:pStyle w:val="Textoindependiente"/>
        <w:ind w:left="709" w:right="760"/>
        <w:jc w:val="both"/>
        <w:rPr>
          <w:sz w:val="21"/>
          <w:szCs w:val="21"/>
          <w:lang w:val="es-CO"/>
        </w:rPr>
      </w:pPr>
      <w:r w:rsidRPr="00A03FAB">
        <w:rPr>
          <w:sz w:val="21"/>
          <w:szCs w:val="21"/>
          <w:lang w:val="es-CO"/>
        </w:rPr>
        <w:t xml:space="preserve">En desarrollo del artículo 2.2.1.1.1.6.4. del Decreto 1082 de 2015, Colombia Compra Eficiente expide la </w:t>
      </w:r>
      <w:r>
        <w:rPr>
          <w:sz w:val="21"/>
          <w:szCs w:val="21"/>
          <w:lang w:val="es-CO"/>
        </w:rPr>
        <w:t>«</w:t>
      </w:r>
      <w:r w:rsidRPr="00A03FAB">
        <w:rPr>
          <w:sz w:val="21"/>
          <w:szCs w:val="21"/>
          <w:lang w:val="es-CO"/>
        </w:rPr>
        <w:t>Guía para determinar y verificar la Capacidad Residual del proponente en los procesos de contratación de obra pública</w:t>
      </w:r>
      <w:r>
        <w:rPr>
          <w:sz w:val="21"/>
          <w:szCs w:val="21"/>
          <w:lang w:val="es-CO"/>
        </w:rPr>
        <w:t>»</w:t>
      </w:r>
      <w:r w:rsidRPr="00A03FAB">
        <w:rPr>
          <w:sz w:val="21"/>
          <w:szCs w:val="21"/>
          <w:lang w:val="es-CO"/>
        </w:rPr>
        <w:t>, y conjuntamente un aplicativo de Excel diseñado para facilitar el cálculo. Este aplicativo es un instrumento de apoyo que no exime a las Entidades Estatales y a los proponentes de realizar el cálculo de la Capacidad Residual en los términos de la Guía.</w:t>
      </w:r>
    </w:p>
    <w:p w14:paraId="61E74000" w14:textId="77777777" w:rsidR="00E83A5C" w:rsidRPr="00A03FAB" w:rsidRDefault="00E83A5C" w:rsidP="00E83A5C">
      <w:pPr>
        <w:pStyle w:val="Textoindependiente"/>
        <w:ind w:left="709" w:right="760"/>
        <w:jc w:val="both"/>
        <w:rPr>
          <w:sz w:val="21"/>
          <w:szCs w:val="21"/>
          <w:lang w:val="es-CO"/>
        </w:rPr>
      </w:pPr>
    </w:p>
    <w:p w14:paraId="7F8F1F01" w14:textId="77777777" w:rsidR="00E83A5C" w:rsidRPr="004032ED" w:rsidRDefault="00E83A5C" w:rsidP="00E83A5C">
      <w:pPr>
        <w:spacing w:line="276" w:lineRule="auto"/>
        <w:ind w:firstLine="708"/>
        <w:jc w:val="both"/>
        <w:rPr>
          <w:rFonts w:ascii="Arial" w:eastAsia="Arial," w:hAnsi="Arial" w:cs="Arial"/>
          <w:sz w:val="22"/>
        </w:rPr>
      </w:pPr>
      <w:r w:rsidRPr="004032ED">
        <w:rPr>
          <w:rFonts w:ascii="Arial" w:eastAsia="Arial," w:hAnsi="Arial" w:cs="Arial"/>
          <w:sz w:val="22"/>
        </w:rPr>
        <w:lastRenderedPageBreak/>
        <w:t>Conforme a lo anterior, si bien el aplicativo de Excel desarrollado por esta entidad constituye una herramienta que facilita la implementación de la metodología establecida en la guía, su uso no exime del deber de aplicar lo dispuesto en la guía.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 En todo caso, se reitera, lo que se debe aplicar es la metodología establecida en la guía, por tanto, son sus disposiciones las que deben seguirse para la determinación de la capacidad residual</w:t>
      </w:r>
    </w:p>
    <w:p w14:paraId="5B587274" w14:textId="08AFC0F0" w:rsidR="00C130A2" w:rsidRPr="00604A64" w:rsidRDefault="00C130A2" w:rsidP="00CF17DC">
      <w:pPr>
        <w:spacing w:line="276" w:lineRule="auto"/>
        <w:jc w:val="both"/>
        <w:rPr>
          <w:rFonts w:ascii="Arial" w:eastAsia="Calibri" w:hAnsi="Arial" w:cs="Arial"/>
          <w:sz w:val="22"/>
          <w:lang w:val="es-ES_tradnl"/>
        </w:rPr>
      </w:pPr>
    </w:p>
    <w:p w14:paraId="3EC6F8A1" w14:textId="5043E63E" w:rsidR="00071077" w:rsidRPr="00352354" w:rsidRDefault="00FB4DBF" w:rsidP="00071077">
      <w:pPr>
        <w:spacing w:line="276" w:lineRule="auto"/>
        <w:jc w:val="both"/>
        <w:rPr>
          <w:rFonts w:ascii="Arial" w:eastAsia="Calibri" w:hAnsi="Arial" w:cs="Arial"/>
          <w:b/>
          <w:sz w:val="22"/>
        </w:rPr>
      </w:pPr>
      <w:r w:rsidRPr="00352354">
        <w:rPr>
          <w:rFonts w:ascii="Arial" w:eastAsia="Calibri" w:hAnsi="Arial" w:cs="Arial"/>
          <w:b/>
          <w:sz w:val="22"/>
        </w:rPr>
        <w:t xml:space="preserve">3. </w:t>
      </w:r>
      <w:r w:rsidR="00305947" w:rsidRPr="00352354">
        <w:rPr>
          <w:rFonts w:ascii="Arial" w:eastAsia="Calibri" w:hAnsi="Arial" w:cs="Arial"/>
          <w:b/>
          <w:sz w:val="22"/>
        </w:rPr>
        <w:t>Respuesta</w:t>
      </w:r>
    </w:p>
    <w:p w14:paraId="7F1620BC" w14:textId="25AED26C" w:rsidR="00AC71E7" w:rsidRPr="00352354" w:rsidRDefault="007700AB" w:rsidP="007700AB">
      <w:pPr>
        <w:spacing w:before="120"/>
        <w:ind w:left="709" w:right="709"/>
        <w:jc w:val="both"/>
        <w:rPr>
          <w:rFonts w:ascii="Arial" w:hAnsi="Arial" w:cs="Arial"/>
          <w:sz w:val="21"/>
          <w:szCs w:val="21"/>
          <w:lang w:val="es-ES"/>
        </w:rPr>
      </w:pPr>
      <w:r w:rsidRPr="00352354">
        <w:rPr>
          <w:rFonts w:ascii="Arial" w:eastAsia="Calibri" w:hAnsi="Arial" w:cs="Arial"/>
          <w:sz w:val="21"/>
          <w:szCs w:val="21"/>
        </w:rPr>
        <w:t>«</w:t>
      </w:r>
      <w:r w:rsidR="00465A23">
        <w:rPr>
          <w:rFonts w:ascii="Arial" w:eastAsia="Calibri" w:hAnsi="Arial" w:cs="Arial"/>
          <w:sz w:val="21"/>
          <w:szCs w:val="21"/>
        </w:rPr>
        <w:t xml:space="preserve"> </w:t>
      </w:r>
      <w:r>
        <w:rPr>
          <w:rFonts w:ascii="Arial" w:eastAsia="Calibri" w:hAnsi="Arial" w:cs="Arial"/>
          <w:sz w:val="21"/>
          <w:szCs w:val="21"/>
        </w:rPr>
        <w:t xml:space="preserve">[…] solicitamos que la Agencia Nacional de Contratación </w:t>
      </w:r>
      <w:r w:rsidR="002E58E3">
        <w:rPr>
          <w:rFonts w:ascii="Arial" w:eastAsia="Calibri" w:hAnsi="Arial" w:cs="Arial"/>
          <w:sz w:val="21"/>
          <w:szCs w:val="21"/>
        </w:rPr>
        <w:t>Pública</w:t>
      </w:r>
      <w:r>
        <w:rPr>
          <w:rFonts w:ascii="Arial" w:eastAsia="Calibri" w:hAnsi="Arial" w:cs="Arial"/>
          <w:sz w:val="21"/>
          <w:szCs w:val="21"/>
        </w:rPr>
        <w:t xml:space="preserve"> – Colombia Compra Eficiente nos aclare si bajo las consignas del instructivo para el cálculo del k residual es posible o no incluir todas las experiencias que se encuentran en el RUP y en caso de no ser aceptadas por la entidad, presentar el formato de manera parcial solo con las experiencias propias de la firma, sin necesidad de ser retiradas del Registro. Lo anterior porque muchas entidades oficiales acogen los conceptos de Colombia Compra Eficiente y nos parece totalmente irregular que se pretenda que retiremos las experiencias del RUP para atender el capricho de la entidad»</w:t>
      </w:r>
    </w:p>
    <w:p w14:paraId="0E60C952" w14:textId="77777777" w:rsidR="00F73C2F" w:rsidRPr="00352354" w:rsidRDefault="00F73C2F" w:rsidP="00F73C2F">
      <w:pPr>
        <w:ind w:right="709"/>
        <w:jc w:val="both"/>
        <w:rPr>
          <w:rFonts w:ascii="Arial" w:eastAsia="Calibri" w:hAnsi="Arial" w:cs="Arial"/>
          <w:sz w:val="22"/>
        </w:rPr>
      </w:pPr>
    </w:p>
    <w:p w14:paraId="70AE1DF8" w14:textId="5DB17443" w:rsidR="007700AB" w:rsidRPr="007328D2" w:rsidRDefault="007700AB" w:rsidP="007700AB">
      <w:pPr>
        <w:pStyle w:val="Textoindependiente"/>
        <w:spacing w:after="120" w:line="276" w:lineRule="auto"/>
        <w:ind w:right="51"/>
        <w:jc w:val="both"/>
        <w:rPr>
          <w:sz w:val="22"/>
          <w:szCs w:val="22"/>
          <w:lang w:val="es-CO"/>
        </w:rPr>
      </w:pPr>
      <w:r>
        <w:rPr>
          <w:sz w:val="22"/>
          <w:szCs w:val="22"/>
          <w:lang w:val="es-MX"/>
        </w:rPr>
        <w:t>De conformidad con las consideraciones antes mencionadas</w:t>
      </w:r>
      <w:r w:rsidRPr="007328D2">
        <w:rPr>
          <w:sz w:val="22"/>
          <w:szCs w:val="22"/>
          <w:lang w:val="es-CO"/>
        </w:rPr>
        <w:t xml:space="preserve">, el artículo 2.2.1.1.1.6.4 del Decreto 1082 de 2015 facultó a la Agencia Nacional de Contratación Pública – Colombia Compra Eficiente para establecer la metodología para el cálculo de la capacidad residual. Dicha competencia fue ejercida mediante la expedición de la </w:t>
      </w:r>
      <w:r w:rsidRPr="007328D2">
        <w:rPr>
          <w:i/>
          <w:iCs/>
          <w:sz w:val="22"/>
          <w:szCs w:val="22"/>
          <w:lang w:val="es-CO"/>
        </w:rPr>
        <w:t>«</w:t>
      </w:r>
      <w:r w:rsidRPr="007328D2">
        <w:rPr>
          <w:i/>
          <w:iCs/>
          <w:sz w:val="22"/>
          <w:szCs w:val="22"/>
        </w:rPr>
        <w:t>Guía para Determinar y Verificar la Capacidad Residual del Proponente en los Procesos de Contratación de Obra Pública»</w:t>
      </w:r>
      <w:r w:rsidRPr="007328D2">
        <w:rPr>
          <w:sz w:val="22"/>
          <w:szCs w:val="22"/>
        </w:rPr>
        <w:t>, en la que se desarrolla una metodología que tiene en cuenta lo dispuesto en el parágrafo 1 del artículo 6 de la Ley 1150 de 2007 y el artículo 2.2.1.1.1.6.4 del Decreto 1082 de 2015, la cual resulta de obligatoria observancia tanto para las entidades como para los oferentes en los procesos de selección de obra pública.</w:t>
      </w:r>
    </w:p>
    <w:p w14:paraId="09A07FAD" w14:textId="77777777" w:rsidR="00FD795D" w:rsidRDefault="009F5C2A" w:rsidP="009F5C2A">
      <w:pPr>
        <w:pStyle w:val="NormalWeb"/>
        <w:spacing w:before="0" w:beforeAutospacing="0" w:after="120" w:afterAutospacing="0" w:line="276" w:lineRule="auto"/>
        <w:ind w:firstLine="709"/>
        <w:jc w:val="both"/>
        <w:rPr>
          <w:rFonts w:ascii="Arial" w:hAnsi="Arial" w:cs="Arial"/>
          <w:noProof/>
          <w:color w:val="000000" w:themeColor="text1"/>
          <w:sz w:val="22"/>
        </w:rPr>
      </w:pPr>
      <w:r>
        <w:rPr>
          <w:rFonts w:ascii="Arial" w:hAnsi="Arial" w:cs="Arial"/>
          <w:color w:val="000000"/>
          <w:sz w:val="22"/>
          <w:szCs w:val="22"/>
          <w:bdr w:val="none" w:sz="0" w:space="0" w:color="auto" w:frame="1"/>
        </w:rPr>
        <w:t xml:space="preserve">Sobre el </w:t>
      </w:r>
      <w:r w:rsidR="007700AB" w:rsidRPr="003460DD">
        <w:rPr>
          <w:rFonts w:ascii="Arial" w:hAnsi="Arial" w:cs="Arial"/>
          <w:color w:val="000000"/>
          <w:sz w:val="22"/>
          <w:szCs w:val="22"/>
          <w:bdr w:val="none" w:sz="0" w:space="0" w:color="auto" w:frame="1"/>
        </w:rPr>
        <w:t xml:space="preserve">factor de experiencia (E) </w:t>
      </w:r>
      <w:r>
        <w:rPr>
          <w:rFonts w:ascii="Arial" w:hAnsi="Arial" w:cs="Arial"/>
          <w:color w:val="000000"/>
          <w:sz w:val="22"/>
          <w:szCs w:val="22"/>
          <w:bdr w:val="none" w:sz="0" w:space="0" w:color="auto" w:frame="1"/>
        </w:rPr>
        <w:t xml:space="preserve">la guía señala que este </w:t>
      </w:r>
      <w:r w:rsidR="007700AB" w:rsidRPr="003460DD">
        <w:rPr>
          <w:rFonts w:ascii="Arial" w:hAnsi="Arial" w:cs="Arial"/>
          <w:color w:val="000000"/>
          <w:sz w:val="22"/>
          <w:szCs w:val="22"/>
          <w:bdr w:val="none" w:sz="0" w:space="0" w:color="auto" w:frame="1"/>
        </w:rPr>
        <w:t xml:space="preserve">se obtiene realizando una operación matemática de división </w:t>
      </w:r>
      <w:r w:rsidR="007700AB">
        <w:rPr>
          <w:rFonts w:ascii="Arial" w:hAnsi="Arial" w:cs="Arial"/>
          <w:color w:val="000000"/>
          <w:sz w:val="22"/>
          <w:szCs w:val="22"/>
          <w:bdr w:val="none" w:sz="0" w:space="0" w:color="auto" w:frame="1"/>
        </w:rPr>
        <w:t>del</w:t>
      </w:r>
      <w:r w:rsidR="007700AB" w:rsidRPr="003460DD">
        <w:rPr>
          <w:rFonts w:ascii="Arial" w:hAnsi="Arial" w:cs="Arial"/>
          <w:color w:val="000000"/>
          <w:sz w:val="22"/>
          <w:szCs w:val="22"/>
          <w:bdr w:val="none" w:sz="0" w:space="0" w:color="auto" w:frame="1"/>
        </w:rPr>
        <w:t xml:space="preserve"> valor total en pesos de los contratos que </w:t>
      </w:r>
      <w:r w:rsidR="007700AB">
        <w:rPr>
          <w:rFonts w:ascii="Arial" w:hAnsi="Arial" w:cs="Arial"/>
          <w:color w:val="000000"/>
          <w:sz w:val="22"/>
          <w:szCs w:val="22"/>
          <w:bdr w:val="none" w:sz="0" w:space="0" w:color="auto" w:frame="1"/>
        </w:rPr>
        <w:t xml:space="preserve">inscritos </w:t>
      </w:r>
      <w:r w:rsidR="007700AB" w:rsidRPr="003460DD">
        <w:rPr>
          <w:rFonts w:ascii="Arial" w:hAnsi="Arial" w:cs="Arial"/>
          <w:color w:val="000000"/>
          <w:sz w:val="22"/>
          <w:szCs w:val="22"/>
          <w:bdr w:val="none" w:sz="0" w:space="0" w:color="auto" w:frame="1"/>
        </w:rPr>
        <w:t>en el RUP</w:t>
      </w:r>
      <w:r w:rsidR="007700AB">
        <w:rPr>
          <w:rFonts w:ascii="Arial" w:hAnsi="Arial" w:cs="Arial"/>
          <w:color w:val="000000"/>
          <w:sz w:val="22"/>
          <w:szCs w:val="22"/>
          <w:bdr w:val="none" w:sz="0" w:space="0" w:color="auto" w:frame="1"/>
        </w:rPr>
        <w:t xml:space="preserve"> del proponente en el segmento 72 del Clasificador </w:t>
      </w:r>
      <w:r w:rsidR="007700AB" w:rsidRPr="00883BDA">
        <w:rPr>
          <w:rFonts w:ascii="Arial" w:hAnsi="Arial" w:cs="Arial"/>
          <w:color w:val="000000" w:themeColor="text1"/>
          <w:sz w:val="22"/>
        </w:rPr>
        <w:t>UNSPSC</w:t>
      </w:r>
      <w:r w:rsidR="007700AB">
        <w:rPr>
          <w:rFonts w:ascii="Arial" w:hAnsi="Arial" w:cs="Arial"/>
          <w:color w:val="000000" w:themeColor="text1"/>
          <w:sz w:val="22"/>
        </w:rPr>
        <w:t xml:space="preserve">, </w:t>
      </w:r>
      <w:r>
        <w:rPr>
          <w:rFonts w:ascii="Arial" w:hAnsi="Arial" w:cs="Arial"/>
          <w:color w:val="000000" w:themeColor="text1"/>
          <w:sz w:val="22"/>
        </w:rPr>
        <w:t>entre</w:t>
      </w:r>
      <w:r>
        <w:rPr>
          <w:rFonts w:ascii="Arial" w:hAnsi="Arial" w:cs="Arial"/>
          <w:color w:val="000000"/>
          <w:sz w:val="22"/>
          <w:szCs w:val="22"/>
          <w:bdr w:val="none" w:sz="0" w:space="0" w:color="auto" w:frame="1"/>
        </w:rPr>
        <w:t xml:space="preserve"> </w:t>
      </w:r>
      <w:r w:rsidRPr="003460DD">
        <w:rPr>
          <w:rFonts w:ascii="Arial" w:hAnsi="Arial" w:cs="Arial"/>
          <w:color w:val="000000"/>
          <w:sz w:val="22"/>
          <w:szCs w:val="22"/>
          <w:bdr w:val="none" w:sz="0" w:space="0" w:color="auto" w:frame="1"/>
        </w:rPr>
        <w:t>el</w:t>
      </w:r>
      <w:r w:rsidR="007700AB" w:rsidRPr="003460DD">
        <w:rPr>
          <w:rFonts w:ascii="Arial" w:hAnsi="Arial" w:cs="Arial"/>
          <w:color w:val="000000"/>
          <w:sz w:val="22"/>
          <w:szCs w:val="22"/>
          <w:bdr w:val="none" w:sz="0" w:space="0" w:color="auto" w:frame="1"/>
        </w:rPr>
        <w:t xml:space="preserve"> presupuesto oficial estimado del procedimiento contractual</w:t>
      </w:r>
      <w:r w:rsidR="007700AB">
        <w:rPr>
          <w:rFonts w:ascii="Arial" w:hAnsi="Arial" w:cs="Arial"/>
          <w:color w:val="000000"/>
          <w:sz w:val="22"/>
          <w:szCs w:val="22"/>
          <w:bdr w:val="none" w:sz="0" w:space="0" w:color="auto" w:frame="1"/>
        </w:rPr>
        <w:t xml:space="preserve"> multiplicado por el porcentaje de participación en el proponente.</w:t>
      </w:r>
      <w:r w:rsidR="007700AB" w:rsidRPr="003460DD">
        <w:rPr>
          <w:rFonts w:ascii="Arial" w:hAnsi="Arial" w:cs="Arial"/>
          <w:color w:val="000000"/>
          <w:sz w:val="22"/>
          <w:szCs w:val="22"/>
          <w:bdr w:val="none" w:sz="0" w:space="0" w:color="auto" w:frame="1"/>
        </w:rPr>
        <w:t xml:space="preserve">  </w:t>
      </w:r>
      <w:r w:rsidR="007700AB" w:rsidRPr="008B79F9">
        <w:rPr>
          <w:rFonts w:ascii="Arial" w:hAnsi="Arial" w:cs="Arial"/>
          <w:color w:val="000000"/>
          <w:sz w:val="22"/>
          <w:szCs w:val="22"/>
          <w:bdr w:val="none" w:sz="0" w:space="0" w:color="auto" w:frame="1"/>
        </w:rPr>
        <w:t>La relación indica el número de veces que el proponente ha ejecutado contratos equivalentes a la cuantía del Proceso de Contratación objeto de la acredit</w:t>
      </w:r>
      <w:r>
        <w:rPr>
          <w:rFonts w:ascii="Arial" w:hAnsi="Arial" w:cs="Arial"/>
          <w:color w:val="000000"/>
          <w:sz w:val="22"/>
          <w:szCs w:val="22"/>
          <w:bdr w:val="none" w:sz="0" w:space="0" w:color="auto" w:frame="1"/>
        </w:rPr>
        <w:t xml:space="preserve">ación de la Capacidad Residual. </w:t>
      </w:r>
      <w:r w:rsidR="007700AB" w:rsidDel="000D23BE">
        <w:rPr>
          <w:rFonts w:ascii="Arial" w:hAnsi="Arial" w:cs="Arial"/>
          <w:noProof/>
          <w:color w:val="000000" w:themeColor="text1"/>
          <w:sz w:val="22"/>
        </w:rPr>
        <w:t xml:space="preserve"> </w:t>
      </w:r>
    </w:p>
    <w:p w14:paraId="11FF4693" w14:textId="48532406" w:rsidR="007700AB" w:rsidRDefault="00465A23" w:rsidP="009F5C2A">
      <w:pPr>
        <w:pStyle w:val="NormalWeb"/>
        <w:spacing w:before="0" w:beforeAutospacing="0" w:after="120" w:afterAutospacing="0" w:line="276" w:lineRule="auto"/>
        <w:ind w:firstLine="709"/>
        <w:jc w:val="both"/>
        <w:rPr>
          <w:rFonts w:ascii="Arial" w:hAnsi="Arial" w:cs="Arial"/>
          <w:noProof/>
          <w:color w:val="000000" w:themeColor="text1"/>
          <w:sz w:val="22"/>
        </w:rPr>
      </w:pPr>
      <w:r>
        <w:rPr>
          <w:rFonts w:ascii="Arial" w:hAnsi="Arial" w:cs="Arial"/>
          <w:noProof/>
          <w:color w:val="000000" w:themeColor="text1"/>
          <w:sz w:val="22"/>
        </w:rPr>
        <w:t>Para efecto</w:t>
      </w:r>
      <w:r w:rsidR="00FD795D">
        <w:rPr>
          <w:rFonts w:ascii="Arial" w:hAnsi="Arial" w:cs="Arial"/>
          <w:noProof/>
          <w:color w:val="000000" w:themeColor="text1"/>
          <w:sz w:val="22"/>
        </w:rPr>
        <w:t>s</w:t>
      </w:r>
      <w:r>
        <w:rPr>
          <w:rFonts w:ascii="Arial" w:hAnsi="Arial" w:cs="Arial"/>
          <w:noProof/>
          <w:color w:val="000000" w:themeColor="text1"/>
          <w:sz w:val="22"/>
        </w:rPr>
        <w:t xml:space="preserve"> del calculo del factor de experiencia (E)</w:t>
      </w:r>
      <w:r w:rsidR="00830FCE">
        <w:rPr>
          <w:rFonts w:ascii="Arial" w:hAnsi="Arial" w:cs="Arial"/>
          <w:noProof/>
          <w:color w:val="000000" w:themeColor="text1"/>
          <w:sz w:val="22"/>
        </w:rPr>
        <w:t xml:space="preserve">, de conformidad con lo dispuesto en el numeral 2.5. del artículo </w:t>
      </w:r>
      <w:r w:rsidR="00830FCE" w:rsidRPr="00830FCE">
        <w:rPr>
          <w:rFonts w:ascii="Arial" w:hAnsi="Arial" w:cs="Arial"/>
          <w:noProof/>
          <w:color w:val="000000" w:themeColor="text1"/>
          <w:sz w:val="22"/>
        </w:rPr>
        <w:t>2.2.1.1.1.5.2</w:t>
      </w:r>
      <w:r w:rsidR="00830FCE">
        <w:rPr>
          <w:rFonts w:ascii="Arial" w:hAnsi="Arial" w:cs="Arial"/>
          <w:noProof/>
          <w:color w:val="000000" w:themeColor="text1"/>
          <w:sz w:val="22"/>
        </w:rPr>
        <w:t xml:space="preserve"> del Decreto 1082 de 2015, </w:t>
      </w:r>
      <w:r w:rsidR="00A2686E">
        <w:rPr>
          <w:rFonts w:ascii="Arial" w:hAnsi="Arial" w:cs="Arial"/>
          <w:noProof/>
          <w:color w:val="000000" w:themeColor="text1"/>
          <w:sz w:val="22"/>
        </w:rPr>
        <w:t>tambien podra t</w:t>
      </w:r>
      <w:r w:rsidR="00FD795D">
        <w:rPr>
          <w:rFonts w:ascii="Arial" w:hAnsi="Arial" w:cs="Arial"/>
          <w:noProof/>
          <w:color w:val="000000" w:themeColor="text1"/>
          <w:sz w:val="22"/>
        </w:rPr>
        <w:t>e</w:t>
      </w:r>
      <w:r w:rsidR="00A2686E">
        <w:rPr>
          <w:rFonts w:ascii="Arial" w:hAnsi="Arial" w:cs="Arial"/>
          <w:noProof/>
          <w:color w:val="000000" w:themeColor="text1"/>
          <w:sz w:val="22"/>
        </w:rPr>
        <w:t xml:space="preserve">nerse en cuenta la experiencia adquirida por los socios o constituyentes de la persona juridica proponente </w:t>
      </w:r>
      <w:r w:rsidR="00FD795D">
        <w:rPr>
          <w:rFonts w:ascii="Arial" w:hAnsi="Arial" w:cs="Arial"/>
          <w:noProof/>
          <w:color w:val="000000" w:themeColor="text1"/>
          <w:sz w:val="22"/>
        </w:rPr>
        <w:t xml:space="preserve">con menos de tres (3) años de constitución. Esto incluso una </w:t>
      </w:r>
      <w:r w:rsidR="00FD795D">
        <w:rPr>
          <w:rFonts w:ascii="Arial" w:hAnsi="Arial" w:cs="Arial"/>
          <w:noProof/>
          <w:color w:val="000000" w:themeColor="text1"/>
          <w:sz w:val="22"/>
        </w:rPr>
        <w:lastRenderedPageBreak/>
        <w:t xml:space="preserve">vez transcurridos los primeros tres (3) años de constitución, siempre y cuando </w:t>
      </w:r>
      <w:r w:rsidR="00DD6436">
        <w:rPr>
          <w:rFonts w:ascii="Arial" w:hAnsi="Arial" w:cs="Arial"/>
          <w:noProof/>
          <w:color w:val="000000" w:themeColor="text1"/>
          <w:sz w:val="22"/>
        </w:rPr>
        <w:t xml:space="preserve">que se haya ejercido el deber de renovación del RUP por parte de la </w:t>
      </w:r>
      <w:r w:rsidR="008F6EE1">
        <w:rPr>
          <w:rFonts w:ascii="Arial" w:hAnsi="Arial" w:cs="Arial"/>
          <w:noProof/>
          <w:color w:val="000000" w:themeColor="text1"/>
          <w:sz w:val="22"/>
        </w:rPr>
        <w:t xml:space="preserve">respectiva persona juridica. </w:t>
      </w:r>
      <w:r w:rsidR="00DD6436">
        <w:rPr>
          <w:rFonts w:ascii="Arial" w:hAnsi="Arial" w:cs="Arial"/>
          <w:noProof/>
          <w:color w:val="000000" w:themeColor="text1"/>
          <w:sz w:val="22"/>
        </w:rPr>
        <w:t xml:space="preserve"> </w:t>
      </w:r>
    </w:p>
    <w:p w14:paraId="3899D093" w14:textId="329B0A3E" w:rsidR="006B19F0" w:rsidRPr="003460DD" w:rsidRDefault="006B19F0" w:rsidP="009F5C2A">
      <w:pPr>
        <w:pStyle w:val="NormalWeb"/>
        <w:spacing w:before="0" w:beforeAutospacing="0" w:after="120" w:afterAutospacing="0" w:line="276" w:lineRule="auto"/>
        <w:ind w:firstLine="709"/>
        <w:jc w:val="both"/>
        <w:rPr>
          <w:rFonts w:ascii="Arial" w:hAnsi="Arial" w:cs="Arial"/>
          <w:color w:val="000000"/>
          <w:sz w:val="22"/>
          <w:szCs w:val="22"/>
          <w:bdr w:val="none" w:sz="0" w:space="0" w:color="auto" w:frame="1"/>
        </w:rPr>
      </w:pPr>
      <w:r>
        <w:rPr>
          <w:rFonts w:ascii="Arial" w:hAnsi="Arial" w:cs="Arial"/>
          <w:noProof/>
          <w:color w:val="000000" w:themeColor="text1"/>
          <w:sz w:val="22"/>
        </w:rPr>
        <w:t xml:space="preserve">En todo caso, debe advertirse que lo aquí señalado se </w:t>
      </w:r>
      <w:r w:rsidR="00DF49D5">
        <w:rPr>
          <w:rFonts w:ascii="Arial" w:hAnsi="Arial" w:cs="Arial"/>
          <w:noProof/>
          <w:color w:val="000000" w:themeColor="text1"/>
          <w:sz w:val="22"/>
        </w:rPr>
        <w:t>manifiesta en ejericicio de la función consultiva atribuida por los</w:t>
      </w:r>
      <w:r w:rsidRPr="00604A64">
        <w:rPr>
          <w:rFonts w:ascii="Arial" w:eastAsia="Calibri" w:hAnsi="Arial" w:cs="Arial"/>
          <w:bCs/>
          <w:sz w:val="22"/>
        </w:rPr>
        <w:t xml:space="preserve"> artículos 3.5 y 11.8 del Decreto 4170 de 2011</w:t>
      </w:r>
      <w:r w:rsidR="00F27090">
        <w:rPr>
          <w:rFonts w:ascii="Arial" w:eastAsia="Calibri" w:hAnsi="Arial" w:cs="Arial"/>
          <w:bCs/>
          <w:sz w:val="22"/>
        </w:rPr>
        <w:t>. La evaluación de l</w:t>
      </w:r>
      <w:r w:rsidR="00805416">
        <w:rPr>
          <w:rFonts w:ascii="Arial" w:eastAsia="Calibri" w:hAnsi="Arial" w:cs="Arial"/>
          <w:bCs/>
          <w:sz w:val="22"/>
        </w:rPr>
        <w:t xml:space="preserve">os requisitos habilitantes de experiencia y capacidad residual es asunto que compete a las respectivas entidades estatales que adelantan los respectivos procedimientos, </w:t>
      </w:r>
      <w:r w:rsidR="00AA45B4">
        <w:rPr>
          <w:rFonts w:ascii="Arial" w:eastAsia="Calibri" w:hAnsi="Arial" w:cs="Arial"/>
          <w:bCs/>
          <w:sz w:val="22"/>
        </w:rPr>
        <w:t xml:space="preserve">en desarrollo de las normas analizas en el presente concepto.  </w:t>
      </w:r>
    </w:p>
    <w:p w14:paraId="03A0BF6C" w14:textId="77777777" w:rsidR="00AA45B4" w:rsidRDefault="00AA45B4" w:rsidP="009A6978">
      <w:pPr>
        <w:spacing w:line="276" w:lineRule="auto"/>
        <w:jc w:val="both"/>
        <w:rPr>
          <w:rFonts w:ascii="Arial" w:eastAsia="Calibri" w:hAnsi="Arial" w:cs="Arial"/>
          <w:sz w:val="22"/>
        </w:rPr>
      </w:pPr>
    </w:p>
    <w:p w14:paraId="426B5DCA" w14:textId="614A8A19" w:rsidR="00214878" w:rsidRPr="00352354" w:rsidRDefault="00CF62EA" w:rsidP="009A6978">
      <w:pPr>
        <w:spacing w:line="276" w:lineRule="auto"/>
        <w:jc w:val="both"/>
        <w:rPr>
          <w:rFonts w:ascii="Arial" w:eastAsia="Calibri" w:hAnsi="Arial" w:cs="Arial"/>
          <w:sz w:val="22"/>
        </w:rPr>
      </w:pPr>
      <w:r w:rsidRPr="00352354">
        <w:rPr>
          <w:rFonts w:ascii="Arial" w:eastAsia="Calibri" w:hAnsi="Arial" w:cs="Arial"/>
          <w:sz w:val="22"/>
        </w:rPr>
        <w:t>E</w:t>
      </w:r>
      <w:r w:rsidR="00214878" w:rsidRPr="00352354">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Pr="00352354" w:rsidRDefault="008515EE" w:rsidP="008B11C1">
      <w:pPr>
        <w:spacing w:line="276" w:lineRule="auto"/>
        <w:jc w:val="both"/>
        <w:rPr>
          <w:rFonts w:ascii="Arial" w:eastAsia="Calibri" w:hAnsi="Arial" w:cs="Arial"/>
          <w:sz w:val="22"/>
        </w:rPr>
      </w:pPr>
    </w:p>
    <w:p w14:paraId="2D31E5AC" w14:textId="293D2EB9" w:rsidR="00214878" w:rsidRPr="00352354" w:rsidRDefault="00214878" w:rsidP="008B11C1">
      <w:pPr>
        <w:spacing w:line="276" w:lineRule="auto"/>
        <w:jc w:val="both"/>
        <w:rPr>
          <w:rFonts w:ascii="Arial" w:eastAsia="Calibri" w:hAnsi="Arial" w:cs="Arial"/>
          <w:sz w:val="22"/>
        </w:rPr>
      </w:pPr>
      <w:r w:rsidRPr="00352354">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2EEBF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Pr="00352354" w:rsidRDefault="00214878" w:rsidP="008B11C1">
      <w:pPr>
        <w:spacing w:line="276" w:lineRule="auto"/>
        <w:rPr>
          <w:rFonts w:ascii="Arial" w:eastAsia="Times New Roman" w:hAnsi="Arial" w:cs="Arial"/>
          <w:sz w:val="22"/>
          <w:lang w:eastAsia="es-CO"/>
        </w:rPr>
      </w:pPr>
      <w:r w:rsidRPr="00352354">
        <w:rPr>
          <w:rFonts w:ascii="Arial" w:eastAsia="Times New Roman" w:hAnsi="Arial" w:cs="Arial"/>
          <w:sz w:val="22"/>
          <w:lang w:eastAsia="es-CO"/>
        </w:rPr>
        <w:t>Atentamente,</w:t>
      </w:r>
    </w:p>
    <w:p w14:paraId="56DC2BE6" w14:textId="7109C3D2" w:rsidR="008D7064" w:rsidRPr="00352354" w:rsidRDefault="00723101"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1EAA4740" wp14:editId="3C5CB47C">
            <wp:extent cx="2514600" cy="1114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REPOSITORIO SUBDIRECTOR.jpg"/>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352354"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352354" w14:paraId="2E979D08" w14:textId="77777777" w:rsidTr="00C968EC">
        <w:trPr>
          <w:trHeight w:val="315"/>
        </w:trPr>
        <w:tc>
          <w:tcPr>
            <w:tcW w:w="812" w:type="dxa"/>
            <w:vAlign w:val="center"/>
          </w:tcPr>
          <w:p w14:paraId="1606F074"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352354" w:rsidRDefault="008D7064"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 xml:space="preserve">Jorge Alberto García Calume </w:t>
            </w:r>
            <w:r w:rsidR="00A60725" w:rsidRPr="00352354">
              <w:rPr>
                <w:rFonts w:ascii="Arial" w:eastAsia="Times New Roman" w:hAnsi="Arial" w:cs="Arial"/>
                <w:sz w:val="14"/>
                <w:szCs w:val="14"/>
                <w:lang w:eastAsia="es-ES"/>
              </w:rPr>
              <w:t xml:space="preserve"> </w:t>
            </w:r>
          </w:p>
          <w:p w14:paraId="6995B041" w14:textId="1D9646A3" w:rsidR="00214878" w:rsidRPr="00352354" w:rsidRDefault="00A60725"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Contratista</w:t>
            </w:r>
            <w:r w:rsidR="002B79DC" w:rsidRPr="00352354">
              <w:rPr>
                <w:rFonts w:ascii="Arial" w:eastAsia="Times New Roman" w:hAnsi="Arial" w:cs="Arial"/>
                <w:sz w:val="14"/>
                <w:szCs w:val="14"/>
                <w:lang w:eastAsia="es-ES"/>
              </w:rPr>
              <w:t xml:space="preserve"> de la Subdirección de Gestión Contractual </w:t>
            </w:r>
            <w:r w:rsidRPr="00352354">
              <w:rPr>
                <w:rFonts w:ascii="Arial" w:eastAsia="Times New Roman" w:hAnsi="Arial" w:cs="Arial"/>
                <w:sz w:val="14"/>
                <w:szCs w:val="14"/>
                <w:lang w:eastAsia="es-ES"/>
              </w:rPr>
              <w:t xml:space="preserve"> </w:t>
            </w:r>
          </w:p>
        </w:tc>
      </w:tr>
      <w:tr w:rsidR="00CA7FEF" w:rsidRPr="00352354" w14:paraId="1EFBDAAD" w14:textId="77777777" w:rsidTr="00C968EC">
        <w:trPr>
          <w:trHeight w:val="330"/>
        </w:trPr>
        <w:tc>
          <w:tcPr>
            <w:tcW w:w="812" w:type="dxa"/>
            <w:vAlign w:val="center"/>
          </w:tcPr>
          <w:p w14:paraId="09701992"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2F15DC3" w14:textId="77777777" w:rsidR="002E58E3" w:rsidRPr="002E58E3" w:rsidRDefault="002E58E3" w:rsidP="002E58E3">
            <w:pPr>
              <w:rPr>
                <w:rFonts w:ascii="Arial" w:hAnsi="Arial" w:cs="Arial"/>
                <w:color w:val="000000" w:themeColor="text1"/>
                <w:sz w:val="14"/>
                <w:szCs w:val="14"/>
                <w:lang w:eastAsia="es-ES"/>
              </w:rPr>
            </w:pPr>
            <w:r w:rsidRPr="002E58E3">
              <w:rPr>
                <w:rFonts w:ascii="Arial" w:hAnsi="Arial" w:cs="Arial"/>
                <w:color w:val="000000" w:themeColor="text1"/>
                <w:sz w:val="14"/>
                <w:szCs w:val="14"/>
                <w:lang w:eastAsia="es-ES"/>
              </w:rPr>
              <w:t>Alejandro Sarmiento Cantillo</w:t>
            </w:r>
          </w:p>
          <w:p w14:paraId="6B6BBB43" w14:textId="50A6B504" w:rsidR="005F3841" w:rsidRPr="00352354" w:rsidRDefault="002E58E3" w:rsidP="002E58E3">
            <w:pPr>
              <w:rPr>
                <w:rFonts w:ascii="Arial" w:hAnsi="Arial" w:cs="Arial"/>
                <w:sz w:val="14"/>
                <w:szCs w:val="14"/>
                <w:lang w:eastAsia="es-ES"/>
              </w:rPr>
            </w:pPr>
            <w:r w:rsidRPr="002E58E3">
              <w:rPr>
                <w:rFonts w:ascii="Arial" w:hAnsi="Arial" w:cs="Arial"/>
                <w:color w:val="000000" w:themeColor="text1"/>
                <w:sz w:val="14"/>
                <w:szCs w:val="14"/>
                <w:lang w:eastAsia="es-ES"/>
              </w:rPr>
              <w:t>Gestor T1-11 de la Subdirección de Gestión Contractual</w:t>
            </w:r>
          </w:p>
        </w:tc>
      </w:tr>
      <w:tr w:rsidR="00CA7FEF" w:rsidRPr="002B79DC" w14:paraId="24C3AA5B" w14:textId="77777777" w:rsidTr="00C968EC">
        <w:trPr>
          <w:trHeight w:val="300"/>
        </w:trPr>
        <w:tc>
          <w:tcPr>
            <w:tcW w:w="812" w:type="dxa"/>
            <w:vAlign w:val="center"/>
          </w:tcPr>
          <w:p w14:paraId="3F00D087"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352354" w:rsidRDefault="00E263C3" w:rsidP="00E263C3">
            <w:pPr>
              <w:rPr>
                <w:rFonts w:ascii="Arial" w:hAnsi="Arial" w:cs="Arial"/>
                <w:sz w:val="14"/>
                <w:szCs w:val="14"/>
                <w:lang w:eastAsia="es-ES"/>
              </w:rPr>
            </w:pPr>
            <w:r w:rsidRPr="00C56058">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352354">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5"/>
      <w:footerReference w:type="default" r:id="rId16"/>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3274" w14:textId="77777777" w:rsidR="006C123D" w:rsidRDefault="006C123D">
      <w:r>
        <w:separator/>
      </w:r>
    </w:p>
  </w:endnote>
  <w:endnote w:type="continuationSeparator" w:id="0">
    <w:p w14:paraId="1FF2D86A" w14:textId="77777777" w:rsidR="006C123D" w:rsidRDefault="006C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168B93B8" w:rsidR="009A7735" w:rsidRPr="008217B7" w:rsidRDefault="009A7735"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23101">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23101">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7777777" w:rsidR="009A7735" w:rsidRDefault="009A7735"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9A7735" w:rsidRDefault="009A7735" w:rsidP="00214878">
    <w:pPr>
      <w:pStyle w:val="Piedepgina"/>
      <w:jc w:val="center"/>
      <w:rPr>
        <w:lang w:val="es-ES"/>
      </w:rPr>
    </w:pPr>
  </w:p>
  <w:p w14:paraId="6C0EFC49" w14:textId="77777777" w:rsidR="009A7735" w:rsidRPr="00214878" w:rsidRDefault="009A7735"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274C" w14:textId="77777777" w:rsidR="006C123D" w:rsidRDefault="006C123D">
      <w:r>
        <w:separator/>
      </w:r>
    </w:p>
  </w:footnote>
  <w:footnote w:type="continuationSeparator" w:id="0">
    <w:p w14:paraId="6D7AF279" w14:textId="77777777" w:rsidR="006C123D" w:rsidRDefault="006C123D">
      <w:r>
        <w:continuationSeparator/>
      </w:r>
    </w:p>
  </w:footnote>
  <w:footnote w:id="1">
    <w:p w14:paraId="300484B6" w14:textId="77777777" w:rsidR="00604A64" w:rsidRPr="00FD1237" w:rsidRDefault="00604A64" w:rsidP="002666A3">
      <w:pPr>
        <w:pStyle w:val="Textonotapie"/>
        <w:ind w:firstLine="708"/>
        <w:jc w:val="both"/>
        <w:rPr>
          <w:rFonts w:ascii="Arial" w:hAnsi="Arial" w:cs="Arial"/>
          <w:sz w:val="18"/>
          <w:szCs w:val="18"/>
          <w:lang w:val="es-ES"/>
        </w:rPr>
      </w:pPr>
      <w:r w:rsidRPr="00FD1237">
        <w:rPr>
          <w:rStyle w:val="Refdenotaalpie"/>
          <w:rFonts w:ascii="Arial" w:hAnsi="Arial" w:cs="Arial"/>
          <w:sz w:val="18"/>
          <w:szCs w:val="18"/>
        </w:rPr>
        <w:footnoteRef/>
      </w:r>
      <w:r w:rsidRPr="00FD1237">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D1237">
        <w:rPr>
          <w:rFonts w:ascii="Arial" w:hAnsi="Arial" w:cs="Arial"/>
          <w:i/>
          <w:iCs/>
          <w:sz w:val="18"/>
          <w:szCs w:val="18"/>
        </w:rPr>
        <w:t xml:space="preserve">ibidem </w:t>
      </w:r>
      <w:r w:rsidRPr="00FD1237">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4D68011" w14:textId="77777777" w:rsidR="00FC45F6" w:rsidRPr="00FD1237" w:rsidRDefault="00FC45F6">
      <w:pPr>
        <w:pStyle w:val="Textonotapie"/>
        <w:ind w:firstLine="708"/>
        <w:jc w:val="both"/>
        <w:rPr>
          <w:rFonts w:ascii="Arial" w:hAnsi="Arial" w:cs="Arial"/>
          <w:sz w:val="18"/>
          <w:szCs w:val="18"/>
          <w:lang w:val="es-CO"/>
        </w:rPr>
      </w:pPr>
      <w:r w:rsidRPr="00FD1237">
        <w:rPr>
          <w:rStyle w:val="Refdenotaalpie"/>
          <w:rFonts w:ascii="Arial" w:hAnsi="Arial" w:cs="Arial"/>
          <w:sz w:val="18"/>
          <w:szCs w:val="18"/>
        </w:rPr>
        <w:footnoteRef/>
      </w:r>
      <w:r w:rsidRPr="00FD1237">
        <w:rPr>
          <w:rFonts w:ascii="Arial" w:hAnsi="Arial" w:cs="Arial"/>
          <w:sz w:val="18"/>
          <w:szCs w:val="18"/>
        </w:rPr>
        <w:t xml:space="preserve"> De igual forma la Agencia de Nacional de Contratación Pública -Colombia Compra Eficiente- trato el tema objeto de estudio en conceptos del año 2019, identificados con los radicados </w:t>
      </w:r>
      <w:r w:rsidRPr="00FD1237">
        <w:rPr>
          <w:rFonts w:ascii="Arial" w:eastAsia="Calibri" w:hAnsi="Arial" w:cs="Arial"/>
          <w:sz w:val="18"/>
          <w:szCs w:val="18"/>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FD1237">
        <w:rPr>
          <w:rFonts w:ascii="Arial" w:hAnsi="Arial" w:cs="Arial"/>
          <w:sz w:val="18"/>
          <w:szCs w:val="18"/>
        </w:rPr>
        <w:t xml:space="preserve">4201913000006797 del 19 de noviembre de 2019, </w:t>
      </w:r>
      <w:r w:rsidRPr="00FD1237">
        <w:rPr>
          <w:rFonts w:ascii="Arial" w:eastAsia="Calibri" w:hAnsi="Arial" w:cs="Arial"/>
          <w:sz w:val="18"/>
          <w:szCs w:val="18"/>
        </w:rPr>
        <w:t xml:space="preserve">4201912000007182 del 3 de diciembre de 2019, 4201912000007512 del 16 de diciembre de 2019, 4201912000007607 del 9 de diciembre de 2019. </w:t>
      </w:r>
    </w:p>
    <w:p w14:paraId="33FBB949" w14:textId="77777777" w:rsidR="00FC45F6" w:rsidRPr="00FD1237" w:rsidRDefault="00FC45F6">
      <w:pPr>
        <w:pStyle w:val="Textonotapie"/>
        <w:rPr>
          <w:rFonts w:ascii="Arial" w:hAnsi="Arial" w:cs="Arial"/>
          <w:sz w:val="18"/>
          <w:szCs w:val="18"/>
          <w:lang w:val="es-CO"/>
        </w:rPr>
      </w:pPr>
    </w:p>
  </w:footnote>
  <w:footnote w:id="3">
    <w:p w14:paraId="1E009A2E" w14:textId="77777777" w:rsidR="000B1793" w:rsidRPr="00FD1237" w:rsidRDefault="000B1793">
      <w:pPr>
        <w:pStyle w:val="Textonotapie"/>
        <w:ind w:firstLine="708"/>
        <w:jc w:val="both"/>
        <w:rPr>
          <w:rFonts w:ascii="Arial" w:hAnsi="Arial" w:cs="Arial"/>
          <w:sz w:val="18"/>
          <w:szCs w:val="18"/>
        </w:rPr>
      </w:pPr>
      <w:r w:rsidRPr="00FD1237">
        <w:rPr>
          <w:rStyle w:val="Refdenotaalpie"/>
          <w:rFonts w:ascii="Arial" w:hAnsi="Arial" w:cs="Arial"/>
          <w:sz w:val="18"/>
          <w:szCs w:val="18"/>
        </w:rPr>
        <w:footnoteRef/>
      </w:r>
      <w:r w:rsidRPr="00FD1237">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2791C2" w14:textId="77777777" w:rsidR="000B1793" w:rsidRPr="00FD1237" w:rsidRDefault="000B1793">
      <w:pPr>
        <w:pStyle w:val="Textonotapie"/>
        <w:ind w:firstLine="708"/>
        <w:jc w:val="both"/>
        <w:rPr>
          <w:rFonts w:ascii="Arial" w:hAnsi="Arial" w:cs="Arial"/>
          <w:sz w:val="18"/>
          <w:szCs w:val="18"/>
        </w:rPr>
      </w:pPr>
      <w:r w:rsidRPr="00FD1237">
        <w:rPr>
          <w:rFonts w:ascii="Arial" w:hAnsi="Arial" w:cs="Arial"/>
          <w:sz w:val="18"/>
          <w:szCs w:val="18"/>
        </w:rPr>
        <w:t>[…]</w:t>
      </w:r>
    </w:p>
    <w:p w14:paraId="410F780C" w14:textId="77777777" w:rsidR="000B1793" w:rsidRPr="00FD1237" w:rsidRDefault="000B1793">
      <w:pPr>
        <w:pStyle w:val="Textonotapie"/>
        <w:ind w:firstLine="708"/>
        <w:jc w:val="both"/>
        <w:rPr>
          <w:rFonts w:ascii="Arial" w:hAnsi="Arial" w:cs="Arial"/>
          <w:sz w:val="18"/>
          <w:szCs w:val="18"/>
        </w:rPr>
      </w:pPr>
      <w:r w:rsidRPr="00FD1237">
        <w:rPr>
          <w:rFonts w:ascii="Arial" w:hAnsi="Arial" w:cs="Arial"/>
          <w:sz w:val="18"/>
          <w:szCs w:val="18"/>
          <w:shd w:val="clear" w:color="auto" w:fill="FFFFFF"/>
        </w:rPr>
        <w:t>»2.1.   Bienes, obras y servicios que ofrecerá a las Entidades Estatales, identificados con el Clasificador de Bienes y Servicios en el tercer nivel</w:t>
      </w:r>
      <w:r w:rsidRPr="00FD1237">
        <w:rPr>
          <w:rFonts w:ascii="Arial" w:hAnsi="Arial" w:cs="Arial"/>
          <w:sz w:val="18"/>
          <w:szCs w:val="18"/>
        </w:rPr>
        <w:t>»</w:t>
      </w:r>
      <w:r w:rsidRPr="00FD1237">
        <w:rPr>
          <w:rFonts w:ascii="Arial" w:hAnsi="Arial" w:cs="Arial"/>
          <w:sz w:val="18"/>
          <w:szCs w:val="18"/>
          <w:shd w:val="clear" w:color="auto" w:fill="FFFFFF"/>
        </w:rPr>
        <w:t>.</w:t>
      </w:r>
    </w:p>
    <w:p w14:paraId="097D4386" w14:textId="77777777" w:rsidR="000B1793" w:rsidRPr="00FD1237" w:rsidRDefault="000B1793">
      <w:pPr>
        <w:pStyle w:val="Textonotapie"/>
        <w:ind w:firstLine="708"/>
        <w:jc w:val="both"/>
        <w:rPr>
          <w:rFonts w:ascii="Arial" w:hAnsi="Arial" w:cs="Arial"/>
          <w:sz w:val="18"/>
          <w:szCs w:val="18"/>
          <w:lang w:val="es-CO"/>
        </w:rPr>
      </w:pPr>
    </w:p>
  </w:footnote>
  <w:footnote w:id="4">
    <w:p w14:paraId="25941305" w14:textId="77777777" w:rsidR="000B1793" w:rsidRPr="00FD1237" w:rsidRDefault="000B1793">
      <w:pPr>
        <w:pStyle w:val="Textonotapie"/>
        <w:ind w:firstLine="708"/>
        <w:jc w:val="both"/>
        <w:rPr>
          <w:rFonts w:ascii="Arial" w:hAnsi="Arial" w:cs="Arial"/>
          <w:sz w:val="18"/>
          <w:szCs w:val="18"/>
        </w:rPr>
      </w:pPr>
      <w:r w:rsidRPr="00FD1237">
        <w:rPr>
          <w:rStyle w:val="Refdenotaalpie"/>
          <w:rFonts w:ascii="Arial" w:hAnsi="Arial" w:cs="Arial"/>
          <w:sz w:val="18"/>
          <w:szCs w:val="18"/>
        </w:rPr>
        <w:footnoteRef/>
      </w:r>
      <w:r w:rsidRPr="00FD1237">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CAA6828" w14:textId="77777777" w:rsidR="000B1793" w:rsidRPr="00FD1237" w:rsidRDefault="000B1793">
      <w:pPr>
        <w:pStyle w:val="Textonotapie"/>
        <w:ind w:firstLine="708"/>
        <w:jc w:val="both"/>
        <w:rPr>
          <w:rFonts w:ascii="Arial" w:hAnsi="Arial" w:cs="Arial"/>
          <w:sz w:val="18"/>
          <w:szCs w:val="18"/>
        </w:rPr>
      </w:pPr>
      <w:r w:rsidRPr="00FD1237">
        <w:rPr>
          <w:rFonts w:ascii="Arial" w:hAnsi="Arial" w:cs="Arial"/>
          <w:sz w:val="18"/>
          <w:szCs w:val="18"/>
        </w:rPr>
        <w:t>[…]</w:t>
      </w:r>
    </w:p>
    <w:p w14:paraId="706A88FD" w14:textId="77777777" w:rsidR="000B1793" w:rsidRPr="00FD1237" w:rsidRDefault="000B1793">
      <w:pPr>
        <w:pStyle w:val="Textonotapie"/>
        <w:ind w:firstLine="708"/>
        <w:jc w:val="both"/>
        <w:rPr>
          <w:rFonts w:ascii="Arial" w:hAnsi="Arial" w:cs="Arial"/>
          <w:sz w:val="18"/>
          <w:szCs w:val="18"/>
          <w:lang w:val="es-CO"/>
        </w:rPr>
      </w:pPr>
      <w:r w:rsidRPr="00FD1237">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FD1237">
        <w:rPr>
          <w:rFonts w:ascii="Arial" w:hAnsi="Arial" w:cs="Arial"/>
          <w:sz w:val="18"/>
          <w:szCs w:val="18"/>
          <w:shd w:val="clear" w:color="auto" w:fill="FFFFFF"/>
        </w:rPr>
        <w:softHyphen/>
        <w:t>ficador de Bienes y Servicios en el tercer nivel. Si la constitución del interesado es menor a 3 años, puede acreditar la experiencia de sus accionistas, socios o constituyentes</w:t>
      </w:r>
      <w:r w:rsidRPr="00FD1237">
        <w:rPr>
          <w:rFonts w:ascii="Arial" w:hAnsi="Arial" w:cs="Arial"/>
          <w:sz w:val="18"/>
          <w:szCs w:val="18"/>
        </w:rPr>
        <w:t>».</w:t>
      </w:r>
    </w:p>
  </w:footnote>
  <w:footnote w:id="5">
    <w:p w14:paraId="42165689" w14:textId="77777777" w:rsidR="000B1793" w:rsidRPr="00FD1237" w:rsidRDefault="000B1793">
      <w:pPr>
        <w:pStyle w:val="Textonotapie"/>
        <w:ind w:left="708" w:firstLine="1"/>
        <w:rPr>
          <w:rFonts w:ascii="Arial" w:hAnsi="Arial" w:cs="Arial"/>
          <w:sz w:val="18"/>
          <w:szCs w:val="18"/>
        </w:rPr>
      </w:pPr>
      <w:r w:rsidRPr="00FD1237">
        <w:rPr>
          <w:rStyle w:val="Refdenotaalpie"/>
          <w:rFonts w:ascii="Arial" w:hAnsi="Arial" w:cs="Arial"/>
          <w:sz w:val="18"/>
          <w:szCs w:val="18"/>
        </w:rPr>
        <w:footnoteRef/>
      </w:r>
      <w:r w:rsidRPr="00FD1237">
        <w:rPr>
          <w:rFonts w:ascii="Arial" w:hAnsi="Arial" w:cs="Arial"/>
          <w:sz w:val="18"/>
          <w:szCs w:val="18"/>
        </w:rPr>
        <w:t xml:space="preserve"> Colombia Compra Eficiente. Concepto del 7 de febrero de 2018, Rad. 2201813000000954.</w:t>
      </w:r>
    </w:p>
    <w:p w14:paraId="6E028CB9" w14:textId="77777777" w:rsidR="000B1793" w:rsidRPr="00FD1237" w:rsidRDefault="000B1793">
      <w:pPr>
        <w:pStyle w:val="Textonotapie"/>
        <w:ind w:left="708" w:firstLine="1"/>
        <w:rPr>
          <w:rFonts w:ascii="Arial" w:hAnsi="Arial" w:cs="Arial"/>
          <w:sz w:val="18"/>
          <w:szCs w:val="18"/>
        </w:rPr>
      </w:pPr>
    </w:p>
  </w:footnote>
  <w:footnote w:id="6">
    <w:p w14:paraId="72DD95EE" w14:textId="77777777" w:rsidR="000B1793" w:rsidRPr="00FD1237" w:rsidRDefault="000B1793">
      <w:pPr>
        <w:pStyle w:val="Textocomentario"/>
        <w:ind w:firstLine="708"/>
        <w:jc w:val="both"/>
        <w:rPr>
          <w:rFonts w:ascii="Arial" w:hAnsi="Arial" w:cs="Arial"/>
          <w:sz w:val="18"/>
          <w:szCs w:val="18"/>
          <w:lang w:val="es-CO"/>
        </w:rPr>
      </w:pPr>
      <w:r w:rsidRPr="00FD1237">
        <w:rPr>
          <w:rStyle w:val="Refdenotaalpie"/>
          <w:rFonts w:ascii="Arial" w:hAnsi="Arial" w:cs="Arial"/>
          <w:sz w:val="18"/>
          <w:szCs w:val="18"/>
        </w:rPr>
        <w:footnoteRef/>
      </w:r>
      <w:r w:rsidRPr="00FD1237">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7">
    <w:p w14:paraId="39CF1DCC" w14:textId="77777777" w:rsidR="00E83A5C" w:rsidRPr="00FD1237" w:rsidRDefault="00E83A5C">
      <w:pPr>
        <w:pStyle w:val="Textonotapie"/>
        <w:ind w:firstLine="708"/>
        <w:jc w:val="both"/>
        <w:rPr>
          <w:rFonts w:ascii="Arial" w:eastAsia="Calibri" w:hAnsi="Arial" w:cs="Arial"/>
          <w:color w:val="000000" w:themeColor="text1"/>
          <w:sz w:val="18"/>
          <w:szCs w:val="18"/>
        </w:rPr>
      </w:pPr>
      <w:r w:rsidRPr="00FD1237">
        <w:rPr>
          <w:rStyle w:val="Refdenotaalpie"/>
          <w:rFonts w:ascii="Arial" w:hAnsi="Arial" w:cs="Arial"/>
          <w:color w:val="000000" w:themeColor="text1"/>
          <w:sz w:val="18"/>
          <w:szCs w:val="18"/>
        </w:rPr>
        <w:footnoteRef/>
      </w:r>
      <w:r w:rsidRPr="00FD1237">
        <w:rPr>
          <w:rFonts w:ascii="Arial" w:hAnsi="Arial" w:cs="Arial"/>
          <w:color w:val="000000" w:themeColor="text1"/>
          <w:sz w:val="18"/>
          <w:szCs w:val="18"/>
        </w:rPr>
        <w:t xml:space="preserve"> </w:t>
      </w:r>
      <w:r w:rsidRPr="00FD1237">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9B6E044" w14:textId="77777777" w:rsidR="00E83A5C" w:rsidRPr="00FD1237" w:rsidRDefault="00E83A5C">
      <w:pPr>
        <w:pStyle w:val="Textonotapie"/>
        <w:ind w:firstLine="708"/>
        <w:jc w:val="both"/>
        <w:rPr>
          <w:rFonts w:ascii="Arial" w:eastAsia="Calibri" w:hAnsi="Arial" w:cs="Arial"/>
          <w:color w:val="000000" w:themeColor="text1"/>
          <w:sz w:val="18"/>
          <w:szCs w:val="18"/>
        </w:rPr>
      </w:pPr>
      <w:r w:rsidRPr="00FD1237">
        <w:rPr>
          <w:rFonts w:ascii="Arial" w:eastAsia="Calibri" w:hAnsi="Arial" w:cs="Arial"/>
          <w:color w:val="000000" w:themeColor="text1"/>
          <w:sz w:val="18"/>
          <w:szCs w:val="18"/>
        </w:rPr>
        <w:t>[…]</w:t>
      </w:r>
    </w:p>
    <w:p w14:paraId="57C683A4" w14:textId="77777777" w:rsidR="00E83A5C" w:rsidRPr="00FD1237" w:rsidRDefault="00E83A5C">
      <w:pPr>
        <w:pStyle w:val="Textonotapie"/>
        <w:ind w:firstLine="708"/>
        <w:jc w:val="both"/>
        <w:rPr>
          <w:rFonts w:ascii="Arial" w:hAnsi="Arial" w:cs="Arial"/>
          <w:color w:val="000000" w:themeColor="text1"/>
          <w:sz w:val="18"/>
          <w:szCs w:val="18"/>
          <w:lang w:val="es-CO"/>
        </w:rPr>
      </w:pPr>
      <w:r w:rsidRPr="00FD1237">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FD1237">
        <w:rPr>
          <w:rFonts w:ascii="Arial" w:hAnsi="Arial" w:cs="Arial"/>
          <w:color w:val="000000" w:themeColor="text1"/>
          <w:sz w:val="18"/>
          <w:szCs w:val="18"/>
          <w:lang w:val="es-CO"/>
        </w:rPr>
        <w:t xml:space="preserve"> </w:t>
      </w:r>
    </w:p>
    <w:p w14:paraId="75B51CD7" w14:textId="77777777" w:rsidR="00E83A5C" w:rsidRPr="00FD1237" w:rsidRDefault="00E83A5C">
      <w:pPr>
        <w:pStyle w:val="Textonotapie"/>
        <w:jc w:val="both"/>
        <w:rPr>
          <w:rFonts w:ascii="Arial" w:hAnsi="Arial" w:cs="Arial"/>
          <w:color w:val="000000" w:themeColor="text1"/>
          <w:sz w:val="18"/>
          <w:szCs w:val="18"/>
          <w:lang w:val="es-CO"/>
        </w:rPr>
      </w:pPr>
    </w:p>
  </w:footnote>
  <w:footnote w:id="8">
    <w:p w14:paraId="40206462" w14:textId="77777777" w:rsidR="00E83A5C" w:rsidRPr="00FD1237" w:rsidRDefault="00E83A5C">
      <w:pPr>
        <w:pStyle w:val="Textonotapie"/>
        <w:ind w:firstLine="708"/>
        <w:jc w:val="both"/>
        <w:rPr>
          <w:rFonts w:ascii="Arial" w:hAnsi="Arial" w:cs="Arial"/>
          <w:color w:val="000000" w:themeColor="text1"/>
          <w:sz w:val="18"/>
          <w:szCs w:val="18"/>
          <w:lang w:val="es-CO"/>
        </w:rPr>
      </w:pPr>
      <w:r w:rsidRPr="00FD1237">
        <w:rPr>
          <w:rFonts w:ascii="Arial" w:eastAsia="Calibri" w:hAnsi="Arial" w:cs="Arial"/>
          <w:color w:val="000000" w:themeColor="text1"/>
          <w:sz w:val="18"/>
          <w:szCs w:val="18"/>
          <w:vertAlign w:val="superscript"/>
        </w:rPr>
        <w:footnoteRef/>
      </w:r>
      <w:r w:rsidRPr="00FD1237">
        <w:rPr>
          <w:rFonts w:ascii="Arial" w:eastAsia="Calibri" w:hAnsi="Arial" w:cs="Arial"/>
          <w:color w:val="000000" w:themeColor="text1"/>
          <w:sz w:val="18"/>
          <w:szCs w:val="18"/>
          <w:vertAlign w:val="superscript"/>
        </w:rPr>
        <w:t xml:space="preserve"> </w:t>
      </w:r>
      <w:r w:rsidRPr="00FD1237">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9">
    <w:p w14:paraId="35B7DC3E" w14:textId="77777777" w:rsidR="00E83A5C" w:rsidRPr="00FD1237" w:rsidRDefault="00E83A5C">
      <w:pPr>
        <w:pStyle w:val="Textonotapie"/>
        <w:ind w:firstLine="708"/>
        <w:jc w:val="both"/>
        <w:rPr>
          <w:rFonts w:ascii="Arial" w:hAnsi="Arial" w:cs="Arial"/>
          <w:color w:val="000000" w:themeColor="text1"/>
          <w:sz w:val="18"/>
          <w:szCs w:val="18"/>
        </w:rPr>
      </w:pPr>
      <w:r w:rsidRPr="00FD1237">
        <w:rPr>
          <w:rStyle w:val="Refdenotaalpie"/>
          <w:rFonts w:ascii="Arial" w:hAnsi="Arial" w:cs="Arial"/>
          <w:color w:val="000000" w:themeColor="text1"/>
          <w:sz w:val="18"/>
          <w:szCs w:val="18"/>
        </w:rPr>
        <w:footnoteRef/>
      </w:r>
      <w:r w:rsidRPr="00FD1237">
        <w:rPr>
          <w:rFonts w:ascii="Arial" w:hAnsi="Arial" w:cs="Arial"/>
          <w:color w:val="000000" w:themeColor="text1"/>
          <w:sz w:val="18"/>
          <w:szCs w:val="18"/>
        </w:rPr>
        <w:t xml:space="preserve"> Expedida de acuerdo con el deber señalado en el 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69890BCA" w14:textId="77777777" w:rsidR="00E83A5C" w:rsidRPr="00FD1237" w:rsidRDefault="00E83A5C">
      <w:pPr>
        <w:pStyle w:val="Textonotapie"/>
        <w:ind w:firstLine="708"/>
        <w:jc w:val="both"/>
        <w:rPr>
          <w:rFonts w:ascii="Arial" w:hAnsi="Arial" w:cs="Arial"/>
          <w:color w:val="000000" w:themeColor="text1"/>
          <w:sz w:val="18"/>
          <w:szCs w:val="18"/>
        </w:rPr>
      </w:pPr>
      <w:r w:rsidRPr="00FD1237">
        <w:rPr>
          <w:rFonts w:ascii="Arial" w:hAnsi="Arial" w:cs="Arial"/>
          <w:color w:val="000000" w:themeColor="text1"/>
          <w:sz w:val="18"/>
          <w:szCs w:val="18"/>
        </w:rPr>
        <w:t>»[...]</w:t>
      </w:r>
    </w:p>
    <w:p w14:paraId="2322D391" w14:textId="334F59CD" w:rsidR="00E83A5C" w:rsidRPr="00FD1237" w:rsidRDefault="00E83A5C">
      <w:pPr>
        <w:pStyle w:val="Textonotapie"/>
        <w:ind w:firstLine="708"/>
        <w:jc w:val="both"/>
        <w:rPr>
          <w:rFonts w:ascii="Arial" w:hAnsi="Arial" w:cs="Arial"/>
          <w:color w:val="000000" w:themeColor="text1"/>
          <w:sz w:val="18"/>
          <w:szCs w:val="18"/>
          <w:lang w:val="es-ES"/>
        </w:rPr>
      </w:pPr>
      <w:r w:rsidRPr="00FD1237">
        <w:rPr>
          <w:rFonts w:ascii="Arial" w:hAnsi="Arial" w:cs="Arial"/>
          <w:color w:val="000000" w:themeColor="text1"/>
          <w:sz w:val="18"/>
          <w:szCs w:val="18"/>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 [...]».</w:t>
      </w:r>
    </w:p>
  </w:footnote>
  <w:footnote w:id="10">
    <w:p w14:paraId="0A1B190D" w14:textId="77777777" w:rsidR="00E83A5C" w:rsidRPr="00FD1237" w:rsidRDefault="00E83A5C">
      <w:pPr>
        <w:pStyle w:val="NormalWeb"/>
        <w:spacing w:before="0" w:beforeAutospacing="0" w:after="0" w:afterAutospacing="0"/>
        <w:ind w:firstLine="709"/>
        <w:jc w:val="both"/>
        <w:rPr>
          <w:rFonts w:ascii="Arial" w:hAnsi="Arial" w:cs="Arial"/>
          <w:color w:val="000000"/>
          <w:sz w:val="18"/>
          <w:szCs w:val="18"/>
        </w:rPr>
      </w:pPr>
      <w:r w:rsidRPr="00FD1237">
        <w:rPr>
          <w:rStyle w:val="Refdenotaalpie"/>
          <w:rFonts w:ascii="Arial" w:hAnsi="Arial" w:cs="Arial"/>
          <w:sz w:val="18"/>
          <w:szCs w:val="18"/>
        </w:rPr>
        <w:footnoteRef/>
      </w:r>
      <w:r w:rsidRPr="00FD1237">
        <w:rPr>
          <w:rFonts w:ascii="Arial" w:hAnsi="Arial" w:cs="Arial"/>
          <w:sz w:val="18"/>
          <w:szCs w:val="18"/>
        </w:rPr>
        <w:t xml:space="preserve"> Decreto 1082 de 2015. «</w:t>
      </w:r>
      <w:r w:rsidRPr="00FD1237">
        <w:rPr>
          <w:rStyle w:val="Textoennegrita"/>
          <w:rFonts w:ascii="Arial" w:hAnsi="Arial" w:cs="Arial"/>
          <w:color w:val="000000"/>
          <w:sz w:val="18"/>
          <w:szCs w:val="18"/>
        </w:rPr>
        <w:t>Artículo 2.2.1.1.1.5.2. </w:t>
      </w:r>
      <w:r w:rsidRPr="00FD1237">
        <w:rPr>
          <w:rStyle w:val="nfasis"/>
          <w:rFonts w:ascii="Arial" w:hAnsi="Arial" w:cs="Arial"/>
          <w:color w:val="000000"/>
          <w:sz w:val="18"/>
          <w:szCs w:val="18"/>
        </w:rPr>
        <w:t>Información para inscripción, renovación o actualización. </w:t>
      </w:r>
      <w:r w:rsidRPr="00FD1237">
        <w:rPr>
          <w:rFonts w:ascii="Arial" w:hAnsi="Arial"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C9CC41D" w14:textId="77777777" w:rsidR="00E83A5C" w:rsidRPr="00FD1237" w:rsidRDefault="00E83A5C">
      <w:pPr>
        <w:pStyle w:val="NormalWeb"/>
        <w:spacing w:before="0" w:beforeAutospacing="0" w:after="0" w:afterAutospacing="0"/>
        <w:ind w:firstLine="708"/>
        <w:jc w:val="both"/>
        <w:rPr>
          <w:rFonts w:ascii="Arial" w:hAnsi="Arial" w:cs="Arial"/>
          <w:color w:val="000000"/>
          <w:sz w:val="18"/>
          <w:szCs w:val="18"/>
        </w:rPr>
      </w:pPr>
      <w:r w:rsidRPr="00FD1237">
        <w:rPr>
          <w:rFonts w:ascii="Arial" w:hAnsi="Arial" w:cs="Arial"/>
          <w:color w:val="000000"/>
          <w:sz w:val="18"/>
          <w:szCs w:val="18"/>
        </w:rPr>
        <w:t>[…]</w:t>
      </w:r>
    </w:p>
    <w:p w14:paraId="351C75CF" w14:textId="77777777" w:rsidR="00E83A5C" w:rsidRPr="00FD1237" w:rsidRDefault="00E83A5C">
      <w:pPr>
        <w:pStyle w:val="NormalWeb"/>
        <w:spacing w:before="0" w:beforeAutospacing="0" w:after="0" w:afterAutospacing="0"/>
        <w:ind w:firstLine="708"/>
        <w:jc w:val="both"/>
        <w:rPr>
          <w:rFonts w:ascii="Arial" w:hAnsi="Arial" w:cs="Arial"/>
          <w:color w:val="000000"/>
          <w:sz w:val="18"/>
          <w:szCs w:val="18"/>
        </w:rPr>
      </w:pPr>
      <w:r w:rsidRPr="00FD1237">
        <w:rPr>
          <w:rFonts w:ascii="Arial" w:hAnsi="Arial" w:cs="Arial"/>
          <w:color w:val="000000"/>
          <w:sz w:val="18"/>
          <w:szCs w:val="18"/>
        </w:rPr>
        <w:t>»2. Si es una persona jurídica: </w:t>
      </w:r>
    </w:p>
    <w:p w14:paraId="1FE067E8" w14:textId="77777777" w:rsidR="00E83A5C" w:rsidRPr="00FD1237" w:rsidRDefault="00E83A5C">
      <w:pPr>
        <w:pStyle w:val="NormalWeb"/>
        <w:spacing w:before="0" w:beforeAutospacing="0" w:after="0" w:afterAutospacing="0"/>
        <w:jc w:val="both"/>
        <w:rPr>
          <w:rFonts w:ascii="Arial" w:hAnsi="Arial" w:cs="Arial"/>
          <w:color w:val="000000"/>
          <w:sz w:val="18"/>
          <w:szCs w:val="18"/>
        </w:rPr>
      </w:pPr>
      <w:r w:rsidRPr="00FD1237">
        <w:rPr>
          <w:rFonts w:ascii="Arial" w:hAnsi="Arial" w:cs="Arial"/>
          <w:color w:val="000000"/>
          <w:sz w:val="18"/>
          <w:szCs w:val="18"/>
        </w:rPr>
        <w:t>  </w:t>
      </w:r>
      <w:r w:rsidRPr="00FD1237">
        <w:rPr>
          <w:rFonts w:ascii="Arial" w:hAnsi="Arial" w:cs="Arial"/>
          <w:color w:val="000000"/>
          <w:sz w:val="18"/>
          <w:szCs w:val="18"/>
        </w:rPr>
        <w:tab/>
        <w:t>[…]</w:t>
      </w:r>
    </w:p>
    <w:p w14:paraId="7EFF03B9" w14:textId="77777777" w:rsidR="00E83A5C" w:rsidRPr="00FD1237" w:rsidRDefault="00E83A5C">
      <w:pPr>
        <w:pStyle w:val="NormalWeb"/>
        <w:spacing w:before="0" w:beforeAutospacing="0" w:after="0" w:afterAutospacing="0"/>
        <w:ind w:firstLine="708"/>
        <w:jc w:val="both"/>
        <w:rPr>
          <w:rFonts w:ascii="Arial" w:hAnsi="Arial" w:cs="Arial"/>
          <w:color w:val="000000"/>
          <w:sz w:val="18"/>
          <w:szCs w:val="18"/>
        </w:rPr>
      </w:pPr>
      <w:r w:rsidRPr="00FD1237">
        <w:rPr>
          <w:rFonts w:ascii="Arial" w:hAnsi="Arial"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 […]»</w:t>
      </w:r>
    </w:p>
    <w:p w14:paraId="183EC53F" w14:textId="77777777" w:rsidR="00E83A5C" w:rsidRPr="00FD1237" w:rsidRDefault="00E83A5C">
      <w:pPr>
        <w:pStyle w:val="Textonotapie"/>
        <w:rPr>
          <w:rFonts w:ascii="Arial" w:hAnsi="Arial" w:cs="Arial"/>
          <w:sz w:val="18"/>
          <w:szCs w:val="18"/>
          <w:lang w:val="es-CO"/>
        </w:rPr>
      </w:pPr>
    </w:p>
  </w:footnote>
  <w:footnote w:id="11">
    <w:p w14:paraId="3B21D13D" w14:textId="77777777" w:rsidR="00E83A5C" w:rsidRPr="00FD1237" w:rsidRDefault="00E83A5C">
      <w:pPr>
        <w:pStyle w:val="Textonotapie"/>
        <w:ind w:firstLine="708"/>
        <w:jc w:val="both"/>
        <w:rPr>
          <w:rFonts w:ascii="Arial" w:eastAsia="Calibri" w:hAnsi="Arial" w:cs="Arial"/>
          <w:color w:val="000000"/>
          <w:sz w:val="18"/>
          <w:szCs w:val="18"/>
          <w:lang w:eastAsia="es-ES_tradnl"/>
        </w:rPr>
      </w:pPr>
      <w:r w:rsidRPr="00FD1237">
        <w:rPr>
          <w:rStyle w:val="Refdenotaalpie"/>
          <w:rFonts w:ascii="Arial" w:hAnsi="Arial" w:cs="Arial"/>
          <w:sz w:val="18"/>
          <w:szCs w:val="18"/>
        </w:rPr>
        <w:footnoteRef/>
      </w:r>
      <w:r w:rsidRPr="00FD1237">
        <w:rPr>
          <w:rFonts w:ascii="Arial" w:hAnsi="Arial" w:cs="Arial"/>
          <w:sz w:val="18"/>
          <w:szCs w:val="18"/>
        </w:rPr>
        <w:t xml:space="preserve">  La Agencia Nacional de Contratación Pública ‒ Colombia Compra Eficiente se ha pronunciado en múltiples ocasiones sobre el alcance del numeral 2.5. del artículo 2.2.1.1.1.5.2 del Decreto 1082 de 2015, en torno a la posibilidad de que las personas jurídicas acrediten experiencia adquirida por sus socios o constituyentes. En particular en los conceptos </w:t>
      </w:r>
      <w:r w:rsidRPr="00FD1237">
        <w:rPr>
          <w:rFonts w:ascii="Arial" w:eastAsia="Calibri" w:hAnsi="Arial" w:cs="Arial"/>
          <w:color w:val="000000"/>
          <w:sz w:val="18"/>
          <w:szCs w:val="18"/>
          <w:lang w:eastAsia="es-ES_tradnl"/>
        </w:rPr>
        <w:t>C-511 del 18 de agosto de 2020, C-584 de 31 de agosto 2020, C-619 de 21 de septiembre 2020, C-710 del 9 de diciembre de 2020, C-717 del 10 de diciembre de 2020, C-729 del 11 de diciembre de 2020, C-008 del 15 de febrero de 2021, C-103 del 24 de marzo del 2021, C-140 del 9 de abril del 2021, C-230 del 25 de mayo de 2021, C-249 de 1 de junio de 2021, C-326 del 2 de julio de 2021, entre otros.</w:t>
      </w:r>
    </w:p>
    <w:p w14:paraId="1B64D25A" w14:textId="77777777" w:rsidR="00E83A5C" w:rsidRPr="00FD1237" w:rsidRDefault="00E83A5C">
      <w:pPr>
        <w:pStyle w:val="Textonotapie"/>
        <w:ind w:firstLine="708"/>
        <w:jc w:val="both"/>
        <w:rPr>
          <w:rFonts w:ascii="Arial" w:hAnsi="Arial" w:cs="Arial"/>
          <w:sz w:val="18"/>
          <w:szCs w:val="18"/>
          <w:lang w:val="es-CO"/>
        </w:rPr>
      </w:pPr>
    </w:p>
  </w:footnote>
  <w:footnote w:id="12">
    <w:p w14:paraId="05E67B39" w14:textId="77777777" w:rsidR="00E83A5C" w:rsidRPr="00FD1237" w:rsidRDefault="00E83A5C">
      <w:pPr>
        <w:pStyle w:val="Textonotapie"/>
        <w:ind w:firstLine="708"/>
        <w:rPr>
          <w:rFonts w:ascii="Arial" w:hAnsi="Arial" w:cs="Arial"/>
          <w:sz w:val="18"/>
          <w:szCs w:val="18"/>
          <w:lang w:val="es-CO"/>
        </w:rPr>
      </w:pPr>
      <w:r w:rsidRPr="00FD1237">
        <w:rPr>
          <w:rStyle w:val="Refdenotaalpie"/>
          <w:rFonts w:ascii="Arial" w:hAnsi="Arial" w:cs="Arial"/>
          <w:sz w:val="18"/>
          <w:szCs w:val="18"/>
        </w:rPr>
        <w:footnoteRef/>
      </w:r>
      <w:r w:rsidRPr="00FD1237">
        <w:rPr>
          <w:rFonts w:ascii="Arial" w:hAnsi="Arial" w:cs="Arial"/>
          <w:sz w:val="18"/>
          <w:szCs w:val="18"/>
        </w:rPr>
        <w:t xml:space="preserve"> </w:t>
      </w:r>
      <w:hyperlink r:id="rId1" w:history="1">
        <w:r w:rsidRPr="00FD1237">
          <w:rPr>
            <w:rStyle w:val="Hipervnculo"/>
            <w:rFonts w:ascii="Arial" w:hAnsi="Arial" w:cs="Arial"/>
            <w:color w:val="auto"/>
            <w:sz w:val="18"/>
            <w:szCs w:val="18"/>
          </w:rPr>
          <w:t>https://colombiacompra.gov.co/manuales-guias-y-pliegos-tipo/manuales-y-guias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9A7735" w:rsidRDefault="009A7735"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9A7735" w:rsidRPr="00214878" w:rsidRDefault="009A7735"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931912"/>
    <w:multiLevelType w:val="hybridMultilevel"/>
    <w:tmpl w:val="210E686A"/>
    <w:lvl w:ilvl="0" w:tplc="3E7816E8">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335E8F"/>
    <w:multiLevelType w:val="hybridMultilevel"/>
    <w:tmpl w:val="81CE24EC"/>
    <w:lvl w:ilvl="0" w:tplc="3EE652CA">
      <w:start w:val="1"/>
      <w:numFmt w:val="decimal"/>
      <w:lvlText w:val="%1."/>
      <w:lvlJc w:val="left"/>
      <w:pPr>
        <w:ind w:left="1069" w:hanging="360"/>
      </w:pPr>
      <w:rPr>
        <w:rFonts w:eastAsia="Calibri"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3"/>
  </w:num>
  <w:num w:numId="25">
    <w:abstractNumId w:val="15"/>
  </w:num>
  <w:num w:numId="26">
    <w:abstractNumId w:val="23"/>
  </w:num>
  <w:num w:numId="27">
    <w:abstractNumId w:val="7"/>
  </w:num>
  <w:num w:numId="28">
    <w:abstractNumId w:val="6"/>
  </w:num>
  <w:num w:numId="29">
    <w:abstractNumId w:val="12"/>
  </w:num>
  <w:num w:numId="30">
    <w:abstractNumId w:val="34"/>
  </w:num>
  <w:num w:numId="31">
    <w:abstractNumId w:val="28"/>
  </w:num>
  <w:num w:numId="32">
    <w:abstractNumId w:val="2"/>
  </w:num>
  <w:num w:numId="33">
    <w:abstractNumId w:val="13"/>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6739"/>
    <w:rsid w:val="00007845"/>
    <w:rsid w:val="00015DF9"/>
    <w:rsid w:val="000204BE"/>
    <w:rsid w:val="00022430"/>
    <w:rsid w:val="00022E02"/>
    <w:rsid w:val="00023BE4"/>
    <w:rsid w:val="00023C87"/>
    <w:rsid w:val="00024329"/>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26DD"/>
    <w:rsid w:val="00064B28"/>
    <w:rsid w:val="00064E2F"/>
    <w:rsid w:val="000709B9"/>
    <w:rsid w:val="00071077"/>
    <w:rsid w:val="000738A4"/>
    <w:rsid w:val="00074108"/>
    <w:rsid w:val="000743F8"/>
    <w:rsid w:val="00074E34"/>
    <w:rsid w:val="00075235"/>
    <w:rsid w:val="00077A71"/>
    <w:rsid w:val="000821B3"/>
    <w:rsid w:val="00084123"/>
    <w:rsid w:val="00084AF1"/>
    <w:rsid w:val="00086C1E"/>
    <w:rsid w:val="0009126C"/>
    <w:rsid w:val="00091F03"/>
    <w:rsid w:val="00092172"/>
    <w:rsid w:val="00092C97"/>
    <w:rsid w:val="0009351A"/>
    <w:rsid w:val="000942EB"/>
    <w:rsid w:val="000950AA"/>
    <w:rsid w:val="000A3D48"/>
    <w:rsid w:val="000A3F5C"/>
    <w:rsid w:val="000A4AA5"/>
    <w:rsid w:val="000A6FC7"/>
    <w:rsid w:val="000A785D"/>
    <w:rsid w:val="000B103F"/>
    <w:rsid w:val="000B1793"/>
    <w:rsid w:val="000B1F29"/>
    <w:rsid w:val="000B2127"/>
    <w:rsid w:val="000B5754"/>
    <w:rsid w:val="000B6AB4"/>
    <w:rsid w:val="000C0959"/>
    <w:rsid w:val="000C19E1"/>
    <w:rsid w:val="000C7696"/>
    <w:rsid w:val="000C77F0"/>
    <w:rsid w:val="000D02B3"/>
    <w:rsid w:val="000D3A92"/>
    <w:rsid w:val="000D4A92"/>
    <w:rsid w:val="000D7270"/>
    <w:rsid w:val="000E0550"/>
    <w:rsid w:val="000E1BF2"/>
    <w:rsid w:val="000E1FCB"/>
    <w:rsid w:val="000E2D78"/>
    <w:rsid w:val="000E4B5C"/>
    <w:rsid w:val="000E699E"/>
    <w:rsid w:val="000E730C"/>
    <w:rsid w:val="000E7352"/>
    <w:rsid w:val="000E7F0F"/>
    <w:rsid w:val="000F14E8"/>
    <w:rsid w:val="000F18A6"/>
    <w:rsid w:val="000F22D6"/>
    <w:rsid w:val="000F4EAF"/>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50A3"/>
    <w:rsid w:val="00155871"/>
    <w:rsid w:val="00156A2A"/>
    <w:rsid w:val="00161B7E"/>
    <w:rsid w:val="00163902"/>
    <w:rsid w:val="00166B32"/>
    <w:rsid w:val="00172E61"/>
    <w:rsid w:val="00175BAF"/>
    <w:rsid w:val="00175FDC"/>
    <w:rsid w:val="00176817"/>
    <w:rsid w:val="0018007B"/>
    <w:rsid w:val="00181463"/>
    <w:rsid w:val="001821C5"/>
    <w:rsid w:val="00186DBB"/>
    <w:rsid w:val="001929F9"/>
    <w:rsid w:val="00193DFB"/>
    <w:rsid w:val="00193EFC"/>
    <w:rsid w:val="00195745"/>
    <w:rsid w:val="001A2276"/>
    <w:rsid w:val="001A36B8"/>
    <w:rsid w:val="001A695E"/>
    <w:rsid w:val="001A6D50"/>
    <w:rsid w:val="001A7009"/>
    <w:rsid w:val="001B493A"/>
    <w:rsid w:val="001B5E28"/>
    <w:rsid w:val="001B6613"/>
    <w:rsid w:val="001B7847"/>
    <w:rsid w:val="001B786E"/>
    <w:rsid w:val="001C01AC"/>
    <w:rsid w:val="001C092E"/>
    <w:rsid w:val="001C611F"/>
    <w:rsid w:val="001C6B55"/>
    <w:rsid w:val="001D088A"/>
    <w:rsid w:val="001D175D"/>
    <w:rsid w:val="001D5178"/>
    <w:rsid w:val="001D5C4D"/>
    <w:rsid w:val="001E0B25"/>
    <w:rsid w:val="001E0E4F"/>
    <w:rsid w:val="001E1DB9"/>
    <w:rsid w:val="001E62AF"/>
    <w:rsid w:val="001F07C0"/>
    <w:rsid w:val="001F2A9C"/>
    <w:rsid w:val="001F684C"/>
    <w:rsid w:val="001F7686"/>
    <w:rsid w:val="002002A3"/>
    <w:rsid w:val="00202F2E"/>
    <w:rsid w:val="002109B6"/>
    <w:rsid w:val="0021292E"/>
    <w:rsid w:val="00212C8C"/>
    <w:rsid w:val="0021312A"/>
    <w:rsid w:val="0021354E"/>
    <w:rsid w:val="00213765"/>
    <w:rsid w:val="00214878"/>
    <w:rsid w:val="002153A9"/>
    <w:rsid w:val="00215E47"/>
    <w:rsid w:val="00220892"/>
    <w:rsid w:val="0022174A"/>
    <w:rsid w:val="00224AFF"/>
    <w:rsid w:val="00231FD9"/>
    <w:rsid w:val="00233154"/>
    <w:rsid w:val="00233D41"/>
    <w:rsid w:val="002346FC"/>
    <w:rsid w:val="00234B84"/>
    <w:rsid w:val="00235331"/>
    <w:rsid w:val="00237377"/>
    <w:rsid w:val="002411E9"/>
    <w:rsid w:val="0024158B"/>
    <w:rsid w:val="0024213C"/>
    <w:rsid w:val="00242ED7"/>
    <w:rsid w:val="0024480D"/>
    <w:rsid w:val="002451C1"/>
    <w:rsid w:val="002454B3"/>
    <w:rsid w:val="0024669C"/>
    <w:rsid w:val="002501E7"/>
    <w:rsid w:val="00250EB5"/>
    <w:rsid w:val="00252B8B"/>
    <w:rsid w:val="0025799B"/>
    <w:rsid w:val="0026125C"/>
    <w:rsid w:val="0026156A"/>
    <w:rsid w:val="0026186C"/>
    <w:rsid w:val="00261A2E"/>
    <w:rsid w:val="002630D9"/>
    <w:rsid w:val="00263252"/>
    <w:rsid w:val="002666A3"/>
    <w:rsid w:val="002706B4"/>
    <w:rsid w:val="00271593"/>
    <w:rsid w:val="00276A5B"/>
    <w:rsid w:val="00277E34"/>
    <w:rsid w:val="00280E65"/>
    <w:rsid w:val="0028451A"/>
    <w:rsid w:val="00286EF9"/>
    <w:rsid w:val="00287A42"/>
    <w:rsid w:val="00291854"/>
    <w:rsid w:val="002918F7"/>
    <w:rsid w:val="00292C5B"/>
    <w:rsid w:val="00294025"/>
    <w:rsid w:val="0029446D"/>
    <w:rsid w:val="00294A08"/>
    <w:rsid w:val="00294B09"/>
    <w:rsid w:val="002A2CEC"/>
    <w:rsid w:val="002A31F8"/>
    <w:rsid w:val="002A36A9"/>
    <w:rsid w:val="002A4D54"/>
    <w:rsid w:val="002A62A8"/>
    <w:rsid w:val="002A7B10"/>
    <w:rsid w:val="002A7CA0"/>
    <w:rsid w:val="002B3D4E"/>
    <w:rsid w:val="002B4C6D"/>
    <w:rsid w:val="002B4EBC"/>
    <w:rsid w:val="002B79DC"/>
    <w:rsid w:val="002C71CA"/>
    <w:rsid w:val="002C7B84"/>
    <w:rsid w:val="002C7E55"/>
    <w:rsid w:val="002C7E5B"/>
    <w:rsid w:val="002D1AA6"/>
    <w:rsid w:val="002D7A0C"/>
    <w:rsid w:val="002E000E"/>
    <w:rsid w:val="002E1571"/>
    <w:rsid w:val="002E1753"/>
    <w:rsid w:val="002E58E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00D0"/>
    <w:rsid w:val="0031354B"/>
    <w:rsid w:val="00313908"/>
    <w:rsid w:val="003159B5"/>
    <w:rsid w:val="00315C98"/>
    <w:rsid w:val="00316518"/>
    <w:rsid w:val="003177B8"/>
    <w:rsid w:val="00321084"/>
    <w:rsid w:val="00323084"/>
    <w:rsid w:val="00330E9B"/>
    <w:rsid w:val="0033352A"/>
    <w:rsid w:val="00333DA4"/>
    <w:rsid w:val="00333DBC"/>
    <w:rsid w:val="00334344"/>
    <w:rsid w:val="00336606"/>
    <w:rsid w:val="00342C0D"/>
    <w:rsid w:val="0034680A"/>
    <w:rsid w:val="003471F9"/>
    <w:rsid w:val="00352311"/>
    <w:rsid w:val="00352354"/>
    <w:rsid w:val="0035408A"/>
    <w:rsid w:val="003559ED"/>
    <w:rsid w:val="00356E6F"/>
    <w:rsid w:val="00356FAB"/>
    <w:rsid w:val="00361BB8"/>
    <w:rsid w:val="003644CA"/>
    <w:rsid w:val="003657FD"/>
    <w:rsid w:val="00366E1B"/>
    <w:rsid w:val="0037000E"/>
    <w:rsid w:val="0037035B"/>
    <w:rsid w:val="0037129B"/>
    <w:rsid w:val="003751BE"/>
    <w:rsid w:val="00381BD5"/>
    <w:rsid w:val="00386456"/>
    <w:rsid w:val="00386A6D"/>
    <w:rsid w:val="00387590"/>
    <w:rsid w:val="00391644"/>
    <w:rsid w:val="003925E0"/>
    <w:rsid w:val="00392F03"/>
    <w:rsid w:val="0039324A"/>
    <w:rsid w:val="003945B8"/>
    <w:rsid w:val="003A1AAE"/>
    <w:rsid w:val="003A299C"/>
    <w:rsid w:val="003A581E"/>
    <w:rsid w:val="003A6038"/>
    <w:rsid w:val="003B0B5A"/>
    <w:rsid w:val="003B0B8D"/>
    <w:rsid w:val="003B25CC"/>
    <w:rsid w:val="003B2D22"/>
    <w:rsid w:val="003B4F39"/>
    <w:rsid w:val="003B5BB8"/>
    <w:rsid w:val="003B743E"/>
    <w:rsid w:val="003B7F82"/>
    <w:rsid w:val="003C07D6"/>
    <w:rsid w:val="003D0560"/>
    <w:rsid w:val="003D14E8"/>
    <w:rsid w:val="003D41F0"/>
    <w:rsid w:val="003D456C"/>
    <w:rsid w:val="003D7759"/>
    <w:rsid w:val="003E2919"/>
    <w:rsid w:val="003F2F99"/>
    <w:rsid w:val="003F34A9"/>
    <w:rsid w:val="003F6F8C"/>
    <w:rsid w:val="00400A70"/>
    <w:rsid w:val="00400DDE"/>
    <w:rsid w:val="00405662"/>
    <w:rsid w:val="00406008"/>
    <w:rsid w:val="00407293"/>
    <w:rsid w:val="004072B5"/>
    <w:rsid w:val="00407636"/>
    <w:rsid w:val="00410870"/>
    <w:rsid w:val="00412C58"/>
    <w:rsid w:val="00414A77"/>
    <w:rsid w:val="00415395"/>
    <w:rsid w:val="0041548E"/>
    <w:rsid w:val="00416413"/>
    <w:rsid w:val="00416AC0"/>
    <w:rsid w:val="00416B88"/>
    <w:rsid w:val="00417402"/>
    <w:rsid w:val="00421001"/>
    <w:rsid w:val="0042114E"/>
    <w:rsid w:val="00425C7A"/>
    <w:rsid w:val="004268A3"/>
    <w:rsid w:val="0043152C"/>
    <w:rsid w:val="00432163"/>
    <w:rsid w:val="00434829"/>
    <w:rsid w:val="004348F9"/>
    <w:rsid w:val="00434BC9"/>
    <w:rsid w:val="00440BFC"/>
    <w:rsid w:val="00440F35"/>
    <w:rsid w:val="00441274"/>
    <w:rsid w:val="0044200A"/>
    <w:rsid w:val="004422D6"/>
    <w:rsid w:val="00443F10"/>
    <w:rsid w:val="00444865"/>
    <w:rsid w:val="00445186"/>
    <w:rsid w:val="00445F18"/>
    <w:rsid w:val="004513E8"/>
    <w:rsid w:val="004537E9"/>
    <w:rsid w:val="00454947"/>
    <w:rsid w:val="00457177"/>
    <w:rsid w:val="004619B2"/>
    <w:rsid w:val="00462527"/>
    <w:rsid w:val="00463385"/>
    <w:rsid w:val="00465A23"/>
    <w:rsid w:val="00467950"/>
    <w:rsid w:val="00473A25"/>
    <w:rsid w:val="00474EFB"/>
    <w:rsid w:val="00475159"/>
    <w:rsid w:val="00477B6D"/>
    <w:rsid w:val="00477DEE"/>
    <w:rsid w:val="00481988"/>
    <w:rsid w:val="004823BF"/>
    <w:rsid w:val="00483490"/>
    <w:rsid w:val="00485AE3"/>
    <w:rsid w:val="00487048"/>
    <w:rsid w:val="00487545"/>
    <w:rsid w:val="0048775B"/>
    <w:rsid w:val="00490869"/>
    <w:rsid w:val="0049197E"/>
    <w:rsid w:val="004A1580"/>
    <w:rsid w:val="004A214E"/>
    <w:rsid w:val="004A34D2"/>
    <w:rsid w:val="004A51B7"/>
    <w:rsid w:val="004A7D77"/>
    <w:rsid w:val="004B0F82"/>
    <w:rsid w:val="004B1AFD"/>
    <w:rsid w:val="004B6213"/>
    <w:rsid w:val="004B62BE"/>
    <w:rsid w:val="004C035A"/>
    <w:rsid w:val="004C1D66"/>
    <w:rsid w:val="004C35C3"/>
    <w:rsid w:val="004C39C9"/>
    <w:rsid w:val="004C3E24"/>
    <w:rsid w:val="004C56C4"/>
    <w:rsid w:val="004C64DF"/>
    <w:rsid w:val="004C6B9C"/>
    <w:rsid w:val="004D021E"/>
    <w:rsid w:val="004D2202"/>
    <w:rsid w:val="004D2DEF"/>
    <w:rsid w:val="004D2FE0"/>
    <w:rsid w:val="004D4D4E"/>
    <w:rsid w:val="004D6FC1"/>
    <w:rsid w:val="004E2DEA"/>
    <w:rsid w:val="004E420A"/>
    <w:rsid w:val="004E51E3"/>
    <w:rsid w:val="004E5772"/>
    <w:rsid w:val="004E6117"/>
    <w:rsid w:val="004F1A74"/>
    <w:rsid w:val="004F2FA6"/>
    <w:rsid w:val="004F30EA"/>
    <w:rsid w:val="004F3CEB"/>
    <w:rsid w:val="004F3E22"/>
    <w:rsid w:val="004F4921"/>
    <w:rsid w:val="004F6E46"/>
    <w:rsid w:val="0050193D"/>
    <w:rsid w:val="0050196E"/>
    <w:rsid w:val="00501AD2"/>
    <w:rsid w:val="00502020"/>
    <w:rsid w:val="00502A6F"/>
    <w:rsid w:val="00502A9D"/>
    <w:rsid w:val="00503226"/>
    <w:rsid w:val="0050434E"/>
    <w:rsid w:val="00504B90"/>
    <w:rsid w:val="0051074C"/>
    <w:rsid w:val="00510EAF"/>
    <w:rsid w:val="00512714"/>
    <w:rsid w:val="00513AF2"/>
    <w:rsid w:val="0051416A"/>
    <w:rsid w:val="00517425"/>
    <w:rsid w:val="00517832"/>
    <w:rsid w:val="00525C51"/>
    <w:rsid w:val="00526D46"/>
    <w:rsid w:val="00531345"/>
    <w:rsid w:val="005318F6"/>
    <w:rsid w:val="00531A19"/>
    <w:rsid w:val="0053303D"/>
    <w:rsid w:val="005356EA"/>
    <w:rsid w:val="00535CB9"/>
    <w:rsid w:val="00536637"/>
    <w:rsid w:val="0053681E"/>
    <w:rsid w:val="00537683"/>
    <w:rsid w:val="00541DD0"/>
    <w:rsid w:val="0054229C"/>
    <w:rsid w:val="00542514"/>
    <w:rsid w:val="005427CF"/>
    <w:rsid w:val="00543CC9"/>
    <w:rsid w:val="0054413A"/>
    <w:rsid w:val="0054602D"/>
    <w:rsid w:val="00546A8C"/>
    <w:rsid w:val="00546CA7"/>
    <w:rsid w:val="00550BD9"/>
    <w:rsid w:val="00550FD8"/>
    <w:rsid w:val="00551AEB"/>
    <w:rsid w:val="00553EAD"/>
    <w:rsid w:val="005564CA"/>
    <w:rsid w:val="0055704E"/>
    <w:rsid w:val="00557C64"/>
    <w:rsid w:val="005637B5"/>
    <w:rsid w:val="0056381B"/>
    <w:rsid w:val="0057006A"/>
    <w:rsid w:val="00570241"/>
    <w:rsid w:val="00572EF9"/>
    <w:rsid w:val="005747F3"/>
    <w:rsid w:val="00574D76"/>
    <w:rsid w:val="00576A4A"/>
    <w:rsid w:val="00577104"/>
    <w:rsid w:val="00577185"/>
    <w:rsid w:val="00581BE5"/>
    <w:rsid w:val="00581EEC"/>
    <w:rsid w:val="005907F9"/>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EEC"/>
    <w:rsid w:val="005B2F7D"/>
    <w:rsid w:val="005B45A0"/>
    <w:rsid w:val="005B57CE"/>
    <w:rsid w:val="005B5B7D"/>
    <w:rsid w:val="005C1E48"/>
    <w:rsid w:val="005C1FC3"/>
    <w:rsid w:val="005C3EA1"/>
    <w:rsid w:val="005C4E28"/>
    <w:rsid w:val="005C50CF"/>
    <w:rsid w:val="005C6805"/>
    <w:rsid w:val="005C6BD0"/>
    <w:rsid w:val="005C7609"/>
    <w:rsid w:val="005C7CDD"/>
    <w:rsid w:val="005D096F"/>
    <w:rsid w:val="005D1B45"/>
    <w:rsid w:val="005D25BD"/>
    <w:rsid w:val="005D2E6E"/>
    <w:rsid w:val="005D4405"/>
    <w:rsid w:val="005D4488"/>
    <w:rsid w:val="005E1398"/>
    <w:rsid w:val="005E1F76"/>
    <w:rsid w:val="005E3FDC"/>
    <w:rsid w:val="005E50EA"/>
    <w:rsid w:val="005E5A01"/>
    <w:rsid w:val="005E5AD9"/>
    <w:rsid w:val="005F05AC"/>
    <w:rsid w:val="005F3841"/>
    <w:rsid w:val="005F678C"/>
    <w:rsid w:val="00600AC5"/>
    <w:rsid w:val="00603487"/>
    <w:rsid w:val="006043A3"/>
    <w:rsid w:val="00604A64"/>
    <w:rsid w:val="00604F33"/>
    <w:rsid w:val="006067DE"/>
    <w:rsid w:val="00615A40"/>
    <w:rsid w:val="006179FF"/>
    <w:rsid w:val="0062065E"/>
    <w:rsid w:val="0062108A"/>
    <w:rsid w:val="0062127A"/>
    <w:rsid w:val="00621E35"/>
    <w:rsid w:val="0062303B"/>
    <w:rsid w:val="0062539B"/>
    <w:rsid w:val="00627D61"/>
    <w:rsid w:val="00630230"/>
    <w:rsid w:val="00632B90"/>
    <w:rsid w:val="00636072"/>
    <w:rsid w:val="006378B6"/>
    <w:rsid w:val="00637AC0"/>
    <w:rsid w:val="00640226"/>
    <w:rsid w:val="006402FD"/>
    <w:rsid w:val="00644299"/>
    <w:rsid w:val="006442AE"/>
    <w:rsid w:val="00645D51"/>
    <w:rsid w:val="006472E1"/>
    <w:rsid w:val="006535D1"/>
    <w:rsid w:val="00653A0D"/>
    <w:rsid w:val="00653AEA"/>
    <w:rsid w:val="00654AA6"/>
    <w:rsid w:val="006551DC"/>
    <w:rsid w:val="00655371"/>
    <w:rsid w:val="00656629"/>
    <w:rsid w:val="00657AFA"/>
    <w:rsid w:val="0066034E"/>
    <w:rsid w:val="006608BE"/>
    <w:rsid w:val="00660BDF"/>
    <w:rsid w:val="0066157F"/>
    <w:rsid w:val="00662A05"/>
    <w:rsid w:val="00672538"/>
    <w:rsid w:val="0067336C"/>
    <w:rsid w:val="006735A6"/>
    <w:rsid w:val="006754C6"/>
    <w:rsid w:val="00676504"/>
    <w:rsid w:val="00676EE8"/>
    <w:rsid w:val="006778AF"/>
    <w:rsid w:val="00685F97"/>
    <w:rsid w:val="00687EC0"/>
    <w:rsid w:val="00690936"/>
    <w:rsid w:val="00693F3E"/>
    <w:rsid w:val="00695958"/>
    <w:rsid w:val="00697665"/>
    <w:rsid w:val="006A07D6"/>
    <w:rsid w:val="006A5A2E"/>
    <w:rsid w:val="006A61EC"/>
    <w:rsid w:val="006A7FD0"/>
    <w:rsid w:val="006B06BF"/>
    <w:rsid w:val="006B19F0"/>
    <w:rsid w:val="006B200D"/>
    <w:rsid w:val="006B2ADC"/>
    <w:rsid w:val="006B6ED7"/>
    <w:rsid w:val="006C0B8D"/>
    <w:rsid w:val="006C1038"/>
    <w:rsid w:val="006C1231"/>
    <w:rsid w:val="006C123D"/>
    <w:rsid w:val="006C6528"/>
    <w:rsid w:val="006C68E6"/>
    <w:rsid w:val="006C731D"/>
    <w:rsid w:val="006D1878"/>
    <w:rsid w:val="006D1D47"/>
    <w:rsid w:val="006D32A2"/>
    <w:rsid w:val="006D7687"/>
    <w:rsid w:val="006D79C0"/>
    <w:rsid w:val="006E0572"/>
    <w:rsid w:val="006E0A11"/>
    <w:rsid w:val="006E0DD1"/>
    <w:rsid w:val="006E39EA"/>
    <w:rsid w:val="006E65A3"/>
    <w:rsid w:val="006F5CF0"/>
    <w:rsid w:val="006F5D44"/>
    <w:rsid w:val="006F7B68"/>
    <w:rsid w:val="006F7C6D"/>
    <w:rsid w:val="006F7E30"/>
    <w:rsid w:val="00700D9E"/>
    <w:rsid w:val="00702D5D"/>
    <w:rsid w:val="00704381"/>
    <w:rsid w:val="00704921"/>
    <w:rsid w:val="00704B0B"/>
    <w:rsid w:val="00705631"/>
    <w:rsid w:val="00710F03"/>
    <w:rsid w:val="00712A6A"/>
    <w:rsid w:val="0071396C"/>
    <w:rsid w:val="007147F4"/>
    <w:rsid w:val="00715C9E"/>
    <w:rsid w:val="00716B0A"/>
    <w:rsid w:val="0071707F"/>
    <w:rsid w:val="00722B21"/>
    <w:rsid w:val="00722C4F"/>
    <w:rsid w:val="00723101"/>
    <w:rsid w:val="00724C38"/>
    <w:rsid w:val="00727074"/>
    <w:rsid w:val="00727946"/>
    <w:rsid w:val="00727C3C"/>
    <w:rsid w:val="00730FF8"/>
    <w:rsid w:val="007343CE"/>
    <w:rsid w:val="00734B73"/>
    <w:rsid w:val="00734E1F"/>
    <w:rsid w:val="00735909"/>
    <w:rsid w:val="00737DB6"/>
    <w:rsid w:val="007403F4"/>
    <w:rsid w:val="007424A8"/>
    <w:rsid w:val="00742B9C"/>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34AD"/>
    <w:rsid w:val="00764F47"/>
    <w:rsid w:val="00766606"/>
    <w:rsid w:val="007700AB"/>
    <w:rsid w:val="00771882"/>
    <w:rsid w:val="0078122E"/>
    <w:rsid w:val="00781AA8"/>
    <w:rsid w:val="007829C2"/>
    <w:rsid w:val="0078365A"/>
    <w:rsid w:val="00783D11"/>
    <w:rsid w:val="007855D6"/>
    <w:rsid w:val="00787D3E"/>
    <w:rsid w:val="0079134A"/>
    <w:rsid w:val="0079144C"/>
    <w:rsid w:val="0079377E"/>
    <w:rsid w:val="00795113"/>
    <w:rsid w:val="007A1954"/>
    <w:rsid w:val="007A6A34"/>
    <w:rsid w:val="007B0854"/>
    <w:rsid w:val="007B1012"/>
    <w:rsid w:val="007B3405"/>
    <w:rsid w:val="007B45EA"/>
    <w:rsid w:val="007C0CCA"/>
    <w:rsid w:val="007C7CE4"/>
    <w:rsid w:val="007D1B79"/>
    <w:rsid w:val="007D3323"/>
    <w:rsid w:val="007D3DA6"/>
    <w:rsid w:val="007D4021"/>
    <w:rsid w:val="007D4803"/>
    <w:rsid w:val="007E0B27"/>
    <w:rsid w:val="007E193F"/>
    <w:rsid w:val="007E24A0"/>
    <w:rsid w:val="007E331A"/>
    <w:rsid w:val="007E6D71"/>
    <w:rsid w:val="007F1BD7"/>
    <w:rsid w:val="007F372A"/>
    <w:rsid w:val="007F44E6"/>
    <w:rsid w:val="007F7255"/>
    <w:rsid w:val="007F72CB"/>
    <w:rsid w:val="00800317"/>
    <w:rsid w:val="00800AD9"/>
    <w:rsid w:val="00800DEA"/>
    <w:rsid w:val="00801F73"/>
    <w:rsid w:val="00802FF0"/>
    <w:rsid w:val="00805416"/>
    <w:rsid w:val="008065A8"/>
    <w:rsid w:val="00811EDD"/>
    <w:rsid w:val="00813CA0"/>
    <w:rsid w:val="00816B40"/>
    <w:rsid w:val="00817EA3"/>
    <w:rsid w:val="008201C7"/>
    <w:rsid w:val="008229F3"/>
    <w:rsid w:val="00823406"/>
    <w:rsid w:val="008238DA"/>
    <w:rsid w:val="00824A6D"/>
    <w:rsid w:val="0082582B"/>
    <w:rsid w:val="008259A3"/>
    <w:rsid w:val="008268AE"/>
    <w:rsid w:val="0082768D"/>
    <w:rsid w:val="00830306"/>
    <w:rsid w:val="00830FCE"/>
    <w:rsid w:val="0083119B"/>
    <w:rsid w:val="00833A0B"/>
    <w:rsid w:val="00835777"/>
    <w:rsid w:val="00835C7D"/>
    <w:rsid w:val="0083646A"/>
    <w:rsid w:val="00836EAB"/>
    <w:rsid w:val="00837C23"/>
    <w:rsid w:val="00842E73"/>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4DC"/>
    <w:rsid w:val="008735F6"/>
    <w:rsid w:val="00874B3D"/>
    <w:rsid w:val="0087568D"/>
    <w:rsid w:val="00883319"/>
    <w:rsid w:val="00884C6D"/>
    <w:rsid w:val="00884F75"/>
    <w:rsid w:val="008865C0"/>
    <w:rsid w:val="0088776A"/>
    <w:rsid w:val="008903AE"/>
    <w:rsid w:val="008941DC"/>
    <w:rsid w:val="00894712"/>
    <w:rsid w:val="00896CE7"/>
    <w:rsid w:val="008A1444"/>
    <w:rsid w:val="008A16B3"/>
    <w:rsid w:val="008A1F4E"/>
    <w:rsid w:val="008A2171"/>
    <w:rsid w:val="008A2F4B"/>
    <w:rsid w:val="008A4522"/>
    <w:rsid w:val="008A56B5"/>
    <w:rsid w:val="008A7BB3"/>
    <w:rsid w:val="008B0FC4"/>
    <w:rsid w:val="008B11C1"/>
    <w:rsid w:val="008B3DDE"/>
    <w:rsid w:val="008B48B6"/>
    <w:rsid w:val="008B58DD"/>
    <w:rsid w:val="008B5A34"/>
    <w:rsid w:val="008B79E0"/>
    <w:rsid w:val="008C449B"/>
    <w:rsid w:val="008C5872"/>
    <w:rsid w:val="008C5FE5"/>
    <w:rsid w:val="008D1C27"/>
    <w:rsid w:val="008D1D8A"/>
    <w:rsid w:val="008D3488"/>
    <w:rsid w:val="008D4418"/>
    <w:rsid w:val="008D5921"/>
    <w:rsid w:val="008D7064"/>
    <w:rsid w:val="008E021A"/>
    <w:rsid w:val="008E1C15"/>
    <w:rsid w:val="008E49CE"/>
    <w:rsid w:val="008E7306"/>
    <w:rsid w:val="008E7DD0"/>
    <w:rsid w:val="008F53F4"/>
    <w:rsid w:val="008F6EE1"/>
    <w:rsid w:val="008F746C"/>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4A36"/>
    <w:rsid w:val="009272AE"/>
    <w:rsid w:val="009329A4"/>
    <w:rsid w:val="009329BE"/>
    <w:rsid w:val="009344B3"/>
    <w:rsid w:val="0093661C"/>
    <w:rsid w:val="00936B57"/>
    <w:rsid w:val="00941B45"/>
    <w:rsid w:val="00945A85"/>
    <w:rsid w:val="00947945"/>
    <w:rsid w:val="00950AE6"/>
    <w:rsid w:val="009513A9"/>
    <w:rsid w:val="00951524"/>
    <w:rsid w:val="0095340A"/>
    <w:rsid w:val="0095385A"/>
    <w:rsid w:val="00954AC6"/>
    <w:rsid w:val="009572EB"/>
    <w:rsid w:val="009603B4"/>
    <w:rsid w:val="00965006"/>
    <w:rsid w:val="00965BF9"/>
    <w:rsid w:val="00966595"/>
    <w:rsid w:val="00967D10"/>
    <w:rsid w:val="00967ED9"/>
    <w:rsid w:val="00971321"/>
    <w:rsid w:val="00972020"/>
    <w:rsid w:val="0097455B"/>
    <w:rsid w:val="00976CDB"/>
    <w:rsid w:val="00981254"/>
    <w:rsid w:val="00982F90"/>
    <w:rsid w:val="009839A9"/>
    <w:rsid w:val="009853D5"/>
    <w:rsid w:val="009859D4"/>
    <w:rsid w:val="00985F55"/>
    <w:rsid w:val="0098629E"/>
    <w:rsid w:val="00987A56"/>
    <w:rsid w:val="00990443"/>
    <w:rsid w:val="009945F6"/>
    <w:rsid w:val="00995AF7"/>
    <w:rsid w:val="00995D22"/>
    <w:rsid w:val="0099712A"/>
    <w:rsid w:val="009A035F"/>
    <w:rsid w:val="009A0487"/>
    <w:rsid w:val="009A6978"/>
    <w:rsid w:val="009A7735"/>
    <w:rsid w:val="009A7840"/>
    <w:rsid w:val="009A7EAF"/>
    <w:rsid w:val="009B751B"/>
    <w:rsid w:val="009C2F8F"/>
    <w:rsid w:val="009C4045"/>
    <w:rsid w:val="009C4C7B"/>
    <w:rsid w:val="009C501C"/>
    <w:rsid w:val="009C50D0"/>
    <w:rsid w:val="009C56E8"/>
    <w:rsid w:val="009C7373"/>
    <w:rsid w:val="009D02F9"/>
    <w:rsid w:val="009E1FEB"/>
    <w:rsid w:val="009E27E2"/>
    <w:rsid w:val="009E49CC"/>
    <w:rsid w:val="009E4AF0"/>
    <w:rsid w:val="009E56BA"/>
    <w:rsid w:val="009E5FD4"/>
    <w:rsid w:val="009E6E5C"/>
    <w:rsid w:val="009F12D8"/>
    <w:rsid w:val="009F15A3"/>
    <w:rsid w:val="009F2412"/>
    <w:rsid w:val="009F4463"/>
    <w:rsid w:val="009F5C2A"/>
    <w:rsid w:val="009F7D55"/>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2686E"/>
    <w:rsid w:val="00A34538"/>
    <w:rsid w:val="00A348FB"/>
    <w:rsid w:val="00A408C7"/>
    <w:rsid w:val="00A4436B"/>
    <w:rsid w:val="00A50EA1"/>
    <w:rsid w:val="00A54843"/>
    <w:rsid w:val="00A5495C"/>
    <w:rsid w:val="00A54C72"/>
    <w:rsid w:val="00A54FA1"/>
    <w:rsid w:val="00A55F1C"/>
    <w:rsid w:val="00A56DCE"/>
    <w:rsid w:val="00A60147"/>
    <w:rsid w:val="00A60595"/>
    <w:rsid w:val="00A60725"/>
    <w:rsid w:val="00A620C8"/>
    <w:rsid w:val="00A62356"/>
    <w:rsid w:val="00A64ADC"/>
    <w:rsid w:val="00A72528"/>
    <w:rsid w:val="00A737CD"/>
    <w:rsid w:val="00A75A39"/>
    <w:rsid w:val="00A76494"/>
    <w:rsid w:val="00A8084F"/>
    <w:rsid w:val="00A8663D"/>
    <w:rsid w:val="00A907EF"/>
    <w:rsid w:val="00A9550C"/>
    <w:rsid w:val="00A95A3C"/>
    <w:rsid w:val="00A95E66"/>
    <w:rsid w:val="00AA442B"/>
    <w:rsid w:val="00AA45B4"/>
    <w:rsid w:val="00AA53F8"/>
    <w:rsid w:val="00AA6D04"/>
    <w:rsid w:val="00AA707B"/>
    <w:rsid w:val="00AB31E7"/>
    <w:rsid w:val="00AB55A6"/>
    <w:rsid w:val="00AB7B09"/>
    <w:rsid w:val="00AC527D"/>
    <w:rsid w:val="00AC54C6"/>
    <w:rsid w:val="00AC654E"/>
    <w:rsid w:val="00AC71E7"/>
    <w:rsid w:val="00AC7B70"/>
    <w:rsid w:val="00AD017C"/>
    <w:rsid w:val="00AD0BB9"/>
    <w:rsid w:val="00AD0C27"/>
    <w:rsid w:val="00AD0EDA"/>
    <w:rsid w:val="00AD64EA"/>
    <w:rsid w:val="00AE3229"/>
    <w:rsid w:val="00AE3C7C"/>
    <w:rsid w:val="00AF02E3"/>
    <w:rsid w:val="00AF1718"/>
    <w:rsid w:val="00AF2440"/>
    <w:rsid w:val="00AF4CF9"/>
    <w:rsid w:val="00AF693C"/>
    <w:rsid w:val="00AF798A"/>
    <w:rsid w:val="00B00858"/>
    <w:rsid w:val="00B04223"/>
    <w:rsid w:val="00B06DB4"/>
    <w:rsid w:val="00B114C0"/>
    <w:rsid w:val="00B11CB1"/>
    <w:rsid w:val="00B174B9"/>
    <w:rsid w:val="00B17644"/>
    <w:rsid w:val="00B20EEE"/>
    <w:rsid w:val="00B2165B"/>
    <w:rsid w:val="00B221A3"/>
    <w:rsid w:val="00B22E22"/>
    <w:rsid w:val="00B23C3C"/>
    <w:rsid w:val="00B333CE"/>
    <w:rsid w:val="00B35AA5"/>
    <w:rsid w:val="00B36C98"/>
    <w:rsid w:val="00B37256"/>
    <w:rsid w:val="00B444B2"/>
    <w:rsid w:val="00B52234"/>
    <w:rsid w:val="00B525CB"/>
    <w:rsid w:val="00B53388"/>
    <w:rsid w:val="00B54C59"/>
    <w:rsid w:val="00B55E9C"/>
    <w:rsid w:val="00B56418"/>
    <w:rsid w:val="00B61BDD"/>
    <w:rsid w:val="00B61FD8"/>
    <w:rsid w:val="00B624BF"/>
    <w:rsid w:val="00B6341B"/>
    <w:rsid w:val="00B63CB2"/>
    <w:rsid w:val="00B67F3A"/>
    <w:rsid w:val="00B733B0"/>
    <w:rsid w:val="00B74072"/>
    <w:rsid w:val="00B761B6"/>
    <w:rsid w:val="00B775E8"/>
    <w:rsid w:val="00B81BD8"/>
    <w:rsid w:val="00B851DC"/>
    <w:rsid w:val="00B87ABB"/>
    <w:rsid w:val="00B91AD0"/>
    <w:rsid w:val="00BA52D6"/>
    <w:rsid w:val="00BA75AD"/>
    <w:rsid w:val="00BA7C60"/>
    <w:rsid w:val="00BB0F41"/>
    <w:rsid w:val="00BB117C"/>
    <w:rsid w:val="00BB2C01"/>
    <w:rsid w:val="00BB3E2C"/>
    <w:rsid w:val="00BB6F85"/>
    <w:rsid w:val="00BB7BE5"/>
    <w:rsid w:val="00BC1B41"/>
    <w:rsid w:val="00BC33A6"/>
    <w:rsid w:val="00BC52A5"/>
    <w:rsid w:val="00BC6BDC"/>
    <w:rsid w:val="00BD0D6C"/>
    <w:rsid w:val="00BD1EF0"/>
    <w:rsid w:val="00BD367E"/>
    <w:rsid w:val="00BD422F"/>
    <w:rsid w:val="00BD6ED0"/>
    <w:rsid w:val="00BD78FE"/>
    <w:rsid w:val="00BE03A7"/>
    <w:rsid w:val="00BE0EDB"/>
    <w:rsid w:val="00BE4FCD"/>
    <w:rsid w:val="00BE682B"/>
    <w:rsid w:val="00BF00DE"/>
    <w:rsid w:val="00BF1906"/>
    <w:rsid w:val="00BF46F6"/>
    <w:rsid w:val="00BF624E"/>
    <w:rsid w:val="00C03DC6"/>
    <w:rsid w:val="00C03F04"/>
    <w:rsid w:val="00C05841"/>
    <w:rsid w:val="00C06081"/>
    <w:rsid w:val="00C0689F"/>
    <w:rsid w:val="00C07C55"/>
    <w:rsid w:val="00C130A2"/>
    <w:rsid w:val="00C16CA7"/>
    <w:rsid w:val="00C17067"/>
    <w:rsid w:val="00C172E8"/>
    <w:rsid w:val="00C17D54"/>
    <w:rsid w:val="00C217DB"/>
    <w:rsid w:val="00C22704"/>
    <w:rsid w:val="00C22B69"/>
    <w:rsid w:val="00C242B2"/>
    <w:rsid w:val="00C343AD"/>
    <w:rsid w:val="00C3521A"/>
    <w:rsid w:val="00C3582D"/>
    <w:rsid w:val="00C35F7C"/>
    <w:rsid w:val="00C36E40"/>
    <w:rsid w:val="00C371A6"/>
    <w:rsid w:val="00C428BA"/>
    <w:rsid w:val="00C429B4"/>
    <w:rsid w:val="00C4549C"/>
    <w:rsid w:val="00C474AC"/>
    <w:rsid w:val="00C50206"/>
    <w:rsid w:val="00C51223"/>
    <w:rsid w:val="00C5124A"/>
    <w:rsid w:val="00C5128E"/>
    <w:rsid w:val="00C51714"/>
    <w:rsid w:val="00C523AA"/>
    <w:rsid w:val="00C53444"/>
    <w:rsid w:val="00C5495E"/>
    <w:rsid w:val="00C55E36"/>
    <w:rsid w:val="00C56058"/>
    <w:rsid w:val="00C56AE4"/>
    <w:rsid w:val="00C60F20"/>
    <w:rsid w:val="00C61A73"/>
    <w:rsid w:val="00C62D6E"/>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47AF"/>
    <w:rsid w:val="00CA6816"/>
    <w:rsid w:val="00CA7015"/>
    <w:rsid w:val="00CA7FEF"/>
    <w:rsid w:val="00CB1768"/>
    <w:rsid w:val="00CC00CD"/>
    <w:rsid w:val="00CC1FBB"/>
    <w:rsid w:val="00CC22E3"/>
    <w:rsid w:val="00CC34BD"/>
    <w:rsid w:val="00CC6BB9"/>
    <w:rsid w:val="00CC7FF4"/>
    <w:rsid w:val="00CD0562"/>
    <w:rsid w:val="00CD10EE"/>
    <w:rsid w:val="00CD3ACB"/>
    <w:rsid w:val="00CD5C88"/>
    <w:rsid w:val="00CE11B1"/>
    <w:rsid w:val="00CE14B9"/>
    <w:rsid w:val="00CE1F6E"/>
    <w:rsid w:val="00CE30F8"/>
    <w:rsid w:val="00CE352A"/>
    <w:rsid w:val="00CE3995"/>
    <w:rsid w:val="00CE3EC8"/>
    <w:rsid w:val="00CE5A3C"/>
    <w:rsid w:val="00CE675D"/>
    <w:rsid w:val="00CF00B7"/>
    <w:rsid w:val="00CF0FAA"/>
    <w:rsid w:val="00CF10C1"/>
    <w:rsid w:val="00CF17DC"/>
    <w:rsid w:val="00CF2489"/>
    <w:rsid w:val="00CF2BDE"/>
    <w:rsid w:val="00CF2E86"/>
    <w:rsid w:val="00CF3EC4"/>
    <w:rsid w:val="00CF415E"/>
    <w:rsid w:val="00CF482F"/>
    <w:rsid w:val="00CF4890"/>
    <w:rsid w:val="00CF62EA"/>
    <w:rsid w:val="00D00015"/>
    <w:rsid w:val="00D10740"/>
    <w:rsid w:val="00D10E69"/>
    <w:rsid w:val="00D117C5"/>
    <w:rsid w:val="00D158E4"/>
    <w:rsid w:val="00D1627F"/>
    <w:rsid w:val="00D16E39"/>
    <w:rsid w:val="00D22239"/>
    <w:rsid w:val="00D2531F"/>
    <w:rsid w:val="00D259D7"/>
    <w:rsid w:val="00D25C34"/>
    <w:rsid w:val="00D309A0"/>
    <w:rsid w:val="00D31956"/>
    <w:rsid w:val="00D32AF5"/>
    <w:rsid w:val="00D40843"/>
    <w:rsid w:val="00D412EA"/>
    <w:rsid w:val="00D41357"/>
    <w:rsid w:val="00D433FD"/>
    <w:rsid w:val="00D44C1E"/>
    <w:rsid w:val="00D50CDE"/>
    <w:rsid w:val="00D51773"/>
    <w:rsid w:val="00D52F10"/>
    <w:rsid w:val="00D531FA"/>
    <w:rsid w:val="00D60615"/>
    <w:rsid w:val="00D648B5"/>
    <w:rsid w:val="00D721FE"/>
    <w:rsid w:val="00D72E9D"/>
    <w:rsid w:val="00D73D97"/>
    <w:rsid w:val="00D74CDA"/>
    <w:rsid w:val="00D763D4"/>
    <w:rsid w:val="00D76F4F"/>
    <w:rsid w:val="00D77683"/>
    <w:rsid w:val="00D802C1"/>
    <w:rsid w:val="00D81907"/>
    <w:rsid w:val="00D82CE5"/>
    <w:rsid w:val="00D8775D"/>
    <w:rsid w:val="00D92575"/>
    <w:rsid w:val="00D92DFF"/>
    <w:rsid w:val="00D931DB"/>
    <w:rsid w:val="00DA4606"/>
    <w:rsid w:val="00DA5AB1"/>
    <w:rsid w:val="00DB36AB"/>
    <w:rsid w:val="00DB4C4A"/>
    <w:rsid w:val="00DB5657"/>
    <w:rsid w:val="00DC09FD"/>
    <w:rsid w:val="00DC228E"/>
    <w:rsid w:val="00DC2432"/>
    <w:rsid w:val="00DC5121"/>
    <w:rsid w:val="00DC5FAA"/>
    <w:rsid w:val="00DC62E5"/>
    <w:rsid w:val="00DC71AA"/>
    <w:rsid w:val="00DD07F7"/>
    <w:rsid w:val="00DD20BA"/>
    <w:rsid w:val="00DD38D8"/>
    <w:rsid w:val="00DD4605"/>
    <w:rsid w:val="00DD6436"/>
    <w:rsid w:val="00DD735D"/>
    <w:rsid w:val="00DE208B"/>
    <w:rsid w:val="00DE3119"/>
    <w:rsid w:val="00DE5629"/>
    <w:rsid w:val="00DE60EA"/>
    <w:rsid w:val="00DE6CFD"/>
    <w:rsid w:val="00DE6EFF"/>
    <w:rsid w:val="00DF02DC"/>
    <w:rsid w:val="00DF05A6"/>
    <w:rsid w:val="00DF21D4"/>
    <w:rsid w:val="00DF236B"/>
    <w:rsid w:val="00DF248A"/>
    <w:rsid w:val="00DF2D13"/>
    <w:rsid w:val="00DF49D5"/>
    <w:rsid w:val="00DF5076"/>
    <w:rsid w:val="00DF5488"/>
    <w:rsid w:val="00DF77C4"/>
    <w:rsid w:val="00E0263D"/>
    <w:rsid w:val="00E03244"/>
    <w:rsid w:val="00E0587A"/>
    <w:rsid w:val="00E100EC"/>
    <w:rsid w:val="00E115B4"/>
    <w:rsid w:val="00E13AB8"/>
    <w:rsid w:val="00E1702F"/>
    <w:rsid w:val="00E203DD"/>
    <w:rsid w:val="00E263C3"/>
    <w:rsid w:val="00E27716"/>
    <w:rsid w:val="00E27C85"/>
    <w:rsid w:val="00E315A2"/>
    <w:rsid w:val="00E318E0"/>
    <w:rsid w:val="00E33B62"/>
    <w:rsid w:val="00E354B0"/>
    <w:rsid w:val="00E357DC"/>
    <w:rsid w:val="00E429C9"/>
    <w:rsid w:val="00E442D2"/>
    <w:rsid w:val="00E44E00"/>
    <w:rsid w:val="00E461F1"/>
    <w:rsid w:val="00E51329"/>
    <w:rsid w:val="00E53964"/>
    <w:rsid w:val="00E554DC"/>
    <w:rsid w:val="00E57323"/>
    <w:rsid w:val="00E57B05"/>
    <w:rsid w:val="00E602F2"/>
    <w:rsid w:val="00E608C9"/>
    <w:rsid w:val="00E63AED"/>
    <w:rsid w:val="00E658C9"/>
    <w:rsid w:val="00E65F49"/>
    <w:rsid w:val="00E6610F"/>
    <w:rsid w:val="00E7138C"/>
    <w:rsid w:val="00E73815"/>
    <w:rsid w:val="00E7595D"/>
    <w:rsid w:val="00E77706"/>
    <w:rsid w:val="00E80C82"/>
    <w:rsid w:val="00E83A5C"/>
    <w:rsid w:val="00E84F5F"/>
    <w:rsid w:val="00E855D9"/>
    <w:rsid w:val="00E903AB"/>
    <w:rsid w:val="00E92199"/>
    <w:rsid w:val="00E95B00"/>
    <w:rsid w:val="00E96DEA"/>
    <w:rsid w:val="00EA0711"/>
    <w:rsid w:val="00EA1C4C"/>
    <w:rsid w:val="00EA4E7D"/>
    <w:rsid w:val="00EA5964"/>
    <w:rsid w:val="00EA6CBF"/>
    <w:rsid w:val="00EA728D"/>
    <w:rsid w:val="00EA76D7"/>
    <w:rsid w:val="00EB0BBE"/>
    <w:rsid w:val="00EC09EF"/>
    <w:rsid w:val="00EC7366"/>
    <w:rsid w:val="00EC7673"/>
    <w:rsid w:val="00EC77A1"/>
    <w:rsid w:val="00ED1754"/>
    <w:rsid w:val="00ED305A"/>
    <w:rsid w:val="00ED676F"/>
    <w:rsid w:val="00ED718F"/>
    <w:rsid w:val="00ED7FE6"/>
    <w:rsid w:val="00EE7B12"/>
    <w:rsid w:val="00EF1C91"/>
    <w:rsid w:val="00EF5956"/>
    <w:rsid w:val="00EF7BAE"/>
    <w:rsid w:val="00F046A7"/>
    <w:rsid w:val="00F05293"/>
    <w:rsid w:val="00F06B4B"/>
    <w:rsid w:val="00F06B82"/>
    <w:rsid w:val="00F070FE"/>
    <w:rsid w:val="00F10D45"/>
    <w:rsid w:val="00F10D90"/>
    <w:rsid w:val="00F13A3B"/>
    <w:rsid w:val="00F14031"/>
    <w:rsid w:val="00F157F7"/>
    <w:rsid w:val="00F22044"/>
    <w:rsid w:val="00F22827"/>
    <w:rsid w:val="00F27090"/>
    <w:rsid w:val="00F30541"/>
    <w:rsid w:val="00F3057D"/>
    <w:rsid w:val="00F33293"/>
    <w:rsid w:val="00F341A0"/>
    <w:rsid w:val="00F3616E"/>
    <w:rsid w:val="00F36A58"/>
    <w:rsid w:val="00F41499"/>
    <w:rsid w:val="00F4285A"/>
    <w:rsid w:val="00F444A4"/>
    <w:rsid w:val="00F45FE4"/>
    <w:rsid w:val="00F53A3E"/>
    <w:rsid w:val="00F56206"/>
    <w:rsid w:val="00F57426"/>
    <w:rsid w:val="00F6121F"/>
    <w:rsid w:val="00F61462"/>
    <w:rsid w:val="00F617C8"/>
    <w:rsid w:val="00F64252"/>
    <w:rsid w:val="00F65E96"/>
    <w:rsid w:val="00F67D6E"/>
    <w:rsid w:val="00F70C89"/>
    <w:rsid w:val="00F73C2F"/>
    <w:rsid w:val="00F74D1D"/>
    <w:rsid w:val="00F75297"/>
    <w:rsid w:val="00F77B02"/>
    <w:rsid w:val="00F80272"/>
    <w:rsid w:val="00F82A91"/>
    <w:rsid w:val="00F83681"/>
    <w:rsid w:val="00F8436F"/>
    <w:rsid w:val="00F84899"/>
    <w:rsid w:val="00F84C2E"/>
    <w:rsid w:val="00F859F0"/>
    <w:rsid w:val="00F90106"/>
    <w:rsid w:val="00F9050C"/>
    <w:rsid w:val="00F908C1"/>
    <w:rsid w:val="00F913B5"/>
    <w:rsid w:val="00F96760"/>
    <w:rsid w:val="00F97396"/>
    <w:rsid w:val="00F974BA"/>
    <w:rsid w:val="00FA01C5"/>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45F6"/>
    <w:rsid w:val="00FC750B"/>
    <w:rsid w:val="00FD1237"/>
    <w:rsid w:val="00FD4DE7"/>
    <w:rsid w:val="00FD6AF5"/>
    <w:rsid w:val="00FD71FF"/>
    <w:rsid w:val="00FD795D"/>
    <w:rsid w:val="00FE141E"/>
    <w:rsid w:val="00FE1991"/>
    <w:rsid w:val="00FE1C01"/>
    <w:rsid w:val="00FE2E07"/>
    <w:rsid w:val="00FE5042"/>
    <w:rsid w:val="00FE5986"/>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5032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character" w:customStyle="1" w:styleId="Ttulo2Car">
    <w:name w:val="Título 2 Car"/>
    <w:basedOn w:val="Fuentedeprrafopredeter"/>
    <w:link w:val="Ttulo2"/>
    <w:uiPriority w:val="9"/>
    <w:semiHidden/>
    <w:rsid w:val="00503226"/>
    <w:rPr>
      <w:rFonts w:asciiTheme="majorHAnsi" w:eastAsiaTheme="majorEastAsia" w:hAnsiTheme="majorHAnsi" w:cstheme="majorBidi"/>
      <w:color w:val="365F91" w:themeColor="accent1" w:themeShade="BF"/>
      <w:sz w:val="26"/>
      <w:szCs w:val="26"/>
      <w:lang w:val="es-MX"/>
    </w:rPr>
  </w:style>
  <w:style w:type="table" w:styleId="Tablaconcuadrcula4-nfasis6">
    <w:name w:val="Grid Table 4 Accent 6"/>
    <w:basedOn w:val="Tablanormal"/>
    <w:uiPriority w:val="49"/>
    <w:rsid w:val="00E83A5C"/>
    <w:pPr>
      <w:spacing w:after="0" w:line="240" w:lineRule="auto"/>
    </w:pPr>
    <w:rPr>
      <w:sz w:val="24"/>
      <w:szCs w:val="24"/>
    </w:rPr>
    <w:tblPr>
      <w:tblStyleRowBandSize w:val="1"/>
      <w:tblStyleColBandSize w:val="1"/>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Pr>
    <w:tblStylePr w:type="firstRow">
      <w:rPr>
        <w:b/>
        <w:bCs/>
        <w:color w:val="DBDBDB" w:themeColor="background1"/>
      </w:rPr>
      <w:tblPr/>
      <w:tcPr>
        <w:tcBorders>
          <w:top w:val="single" w:sz="4" w:space="0" w:color="F2F2F2" w:themeColor="accent6"/>
          <w:left w:val="single" w:sz="4" w:space="0" w:color="F2F2F2" w:themeColor="accent6"/>
          <w:bottom w:val="single" w:sz="4" w:space="0" w:color="F2F2F2" w:themeColor="accent6"/>
          <w:right w:val="single" w:sz="4" w:space="0" w:color="F2F2F2" w:themeColor="accent6"/>
          <w:insideH w:val="nil"/>
          <w:insideV w:val="nil"/>
        </w:tcBorders>
        <w:shd w:val="clear" w:color="auto" w:fill="F2F2F2" w:themeFill="accent6"/>
      </w:tcPr>
    </w:tblStylePr>
    <w:tblStylePr w:type="lastRow">
      <w:rPr>
        <w:b/>
        <w:bCs/>
      </w:rPr>
      <w:tblPr/>
      <w:tcPr>
        <w:tcBorders>
          <w:top w:val="double" w:sz="4" w:space="0" w:color="F2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manuales-guias-y-pliegos-tip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FFD925E-4910-4D98-9069-E833A349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E2DFA-5232-433B-AE9C-7A87E3DA47A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15</Pages>
  <Words>5204</Words>
  <Characters>28628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dcterms:created xsi:type="dcterms:W3CDTF">2021-11-16T12:39:00Z</dcterms:created>
  <dcterms:modified xsi:type="dcterms:W3CDTF">2021-11-16T12:45:00Z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