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0C1B" w14:textId="5CFE6C2D" w:rsidR="00585A49" w:rsidRPr="001A6379" w:rsidRDefault="002602E3" w:rsidP="00585A49">
      <w:pPr>
        <w:jc w:val="both"/>
        <w:rPr>
          <w:rFonts w:ascii="Arial" w:eastAsia="Calibri" w:hAnsi="Arial" w:cs="Arial"/>
          <w:b/>
          <w:sz w:val="22"/>
          <w:lang w:val="es-ES"/>
        </w:rPr>
      </w:pPr>
      <w:bookmarkStart w:id="0" w:name="_Hlk61017405"/>
      <w:r w:rsidRPr="002602E3">
        <w:rPr>
          <w:rFonts w:ascii="Arial" w:eastAsia="Calibri" w:hAnsi="Arial" w:cs="Arial"/>
          <w:b/>
          <w:sz w:val="22"/>
          <w:lang w:val="es-ES"/>
        </w:rPr>
        <w:t xml:space="preserve">DOCUMENTOS TIPO </w:t>
      </w:r>
      <w:r w:rsidR="00B7281B">
        <w:rPr>
          <w:rFonts w:ascii="Arial" w:eastAsia="Calibri" w:hAnsi="Arial" w:cs="Arial"/>
          <w:b/>
          <w:sz w:val="22"/>
          <w:lang w:val="es-ES"/>
        </w:rPr>
        <w:t>VERSIÓN</w:t>
      </w:r>
      <w:r w:rsidRPr="002602E3">
        <w:rPr>
          <w:rFonts w:ascii="Arial" w:eastAsia="Calibri" w:hAnsi="Arial" w:cs="Arial"/>
          <w:b/>
          <w:sz w:val="22"/>
          <w:lang w:val="es-ES"/>
        </w:rPr>
        <w:t xml:space="preserve"> 3 – Licitación pública para obra de infraestructura de transporte – </w:t>
      </w:r>
      <w:r w:rsidR="00B7281B">
        <w:rPr>
          <w:rFonts w:ascii="Arial" w:eastAsia="Calibri" w:hAnsi="Arial" w:cs="Arial"/>
          <w:b/>
          <w:sz w:val="22"/>
          <w:lang w:val="es-ES"/>
        </w:rPr>
        <w:t xml:space="preserve">Definición </w:t>
      </w:r>
      <w:r w:rsidR="00D27370">
        <w:rPr>
          <w:rFonts w:ascii="Arial" w:eastAsia="Calibri" w:hAnsi="Arial" w:cs="Arial"/>
          <w:b/>
          <w:sz w:val="22"/>
          <w:lang w:val="es-ES"/>
        </w:rPr>
        <w:t xml:space="preserve">de </w:t>
      </w:r>
      <w:r w:rsidR="00D27370" w:rsidRPr="002602E3">
        <w:rPr>
          <w:rFonts w:ascii="Arial" w:eastAsia="Calibri" w:hAnsi="Arial" w:cs="Arial"/>
          <w:b/>
          <w:sz w:val="22"/>
          <w:lang w:val="es-ES"/>
        </w:rPr>
        <w:t>experiencia</w:t>
      </w:r>
      <w:r w:rsidR="00B7281B">
        <w:rPr>
          <w:rFonts w:ascii="Arial" w:eastAsia="Calibri" w:hAnsi="Arial" w:cs="Arial"/>
          <w:b/>
          <w:sz w:val="22"/>
          <w:lang w:val="es-ES"/>
        </w:rPr>
        <w:t xml:space="preserve"> exigible</w:t>
      </w:r>
      <w:r w:rsidRPr="002602E3">
        <w:rPr>
          <w:rFonts w:ascii="Arial" w:eastAsia="Calibri" w:hAnsi="Arial" w:cs="Arial"/>
          <w:b/>
          <w:sz w:val="22"/>
          <w:lang w:val="es-ES"/>
        </w:rPr>
        <w:t xml:space="preserve"> </w:t>
      </w:r>
    </w:p>
    <w:p w14:paraId="7B746263" w14:textId="77777777" w:rsidR="00585A49" w:rsidRPr="001A6379" w:rsidRDefault="00585A49" w:rsidP="00585A49">
      <w:pPr>
        <w:jc w:val="both"/>
        <w:rPr>
          <w:rFonts w:ascii="Arial" w:eastAsia="Calibri" w:hAnsi="Arial" w:cs="Arial"/>
          <w:bCs/>
          <w:sz w:val="22"/>
          <w:lang w:val="es-ES"/>
        </w:rPr>
      </w:pPr>
    </w:p>
    <w:p w14:paraId="78B840FB" w14:textId="60671D5E" w:rsidR="00D27370" w:rsidRDefault="003C38F9" w:rsidP="00585A49">
      <w:pPr>
        <w:jc w:val="both"/>
        <w:rPr>
          <w:rFonts w:ascii="Arial" w:eastAsia="Calibri" w:hAnsi="Arial" w:cs="Arial"/>
          <w:b/>
          <w:sz w:val="22"/>
          <w:lang w:val="es-ES"/>
        </w:rPr>
      </w:pPr>
      <w:r w:rsidRPr="003C38F9">
        <w:rPr>
          <w:rFonts w:ascii="Arial" w:eastAsia="Calibri" w:hAnsi="Arial" w:cs="Arial"/>
          <w:bCs/>
          <w:sz w:val="20"/>
          <w:szCs w:val="20"/>
          <w:lang w:val="es-ES"/>
        </w:rPr>
        <w:t xml:space="preserve">De acuerdo con las condiciones fijadas en el «Documento Base» de la Resolución No. 240 del 27 de noviembre de 2020,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w:t>
      </w:r>
      <w:proofErr w:type="gramStart"/>
      <w:r w:rsidRPr="003C38F9">
        <w:rPr>
          <w:rFonts w:ascii="Arial" w:eastAsia="Calibri" w:hAnsi="Arial" w:cs="Arial"/>
          <w:bCs/>
          <w:sz w:val="20"/>
          <w:szCs w:val="20"/>
          <w:lang w:val="es-ES"/>
        </w:rPr>
        <w:t>de acuerdo a</w:t>
      </w:r>
      <w:proofErr w:type="gramEnd"/>
      <w:r w:rsidRPr="003C38F9">
        <w:rPr>
          <w:rFonts w:ascii="Arial" w:eastAsia="Calibri" w:hAnsi="Arial" w:cs="Arial"/>
          <w:bCs/>
          <w:sz w:val="20"/>
          <w:szCs w:val="20"/>
          <w:lang w:val="es-ES"/>
        </w:rPr>
        <w:t xml:space="preserve"> la sumatoria de los valores totales ejecutados de los contratos que cumplan con los requisitos establecidos en el pliego de condiciones.</w:t>
      </w:r>
    </w:p>
    <w:p w14:paraId="6CFE9817" w14:textId="77777777" w:rsidR="003C38F9" w:rsidRDefault="003C38F9" w:rsidP="008173F3">
      <w:pPr>
        <w:jc w:val="both"/>
        <w:rPr>
          <w:rFonts w:ascii="Arial" w:eastAsia="Calibri" w:hAnsi="Arial" w:cs="Arial"/>
          <w:b/>
          <w:sz w:val="22"/>
          <w:lang w:val="es-ES"/>
        </w:rPr>
      </w:pPr>
    </w:p>
    <w:p w14:paraId="038C83DE" w14:textId="6EDE9B74" w:rsidR="008173F3" w:rsidRDefault="00D27370" w:rsidP="008173F3">
      <w:pPr>
        <w:jc w:val="both"/>
        <w:rPr>
          <w:rFonts w:ascii="Arial" w:eastAsia="Calibri" w:hAnsi="Arial" w:cs="Arial"/>
          <w:b/>
          <w:sz w:val="22"/>
          <w:lang w:val="es-ES"/>
        </w:rPr>
      </w:pPr>
      <w:r w:rsidRPr="00D27370">
        <w:rPr>
          <w:rFonts w:ascii="Arial" w:eastAsia="Calibri" w:hAnsi="Arial" w:cs="Arial"/>
          <w:b/>
          <w:sz w:val="22"/>
          <w:lang w:val="es-ES"/>
        </w:rPr>
        <w:t>M</w:t>
      </w:r>
      <w:r>
        <w:rPr>
          <w:rFonts w:ascii="Arial" w:eastAsia="Calibri" w:hAnsi="Arial" w:cs="Arial"/>
          <w:b/>
          <w:sz w:val="22"/>
          <w:lang w:val="es-ES"/>
        </w:rPr>
        <w:t>ATRIZ</w:t>
      </w:r>
      <w:r w:rsidRPr="00D27370">
        <w:rPr>
          <w:rFonts w:ascii="Arial" w:eastAsia="Calibri" w:hAnsi="Arial" w:cs="Arial"/>
          <w:b/>
          <w:sz w:val="22"/>
          <w:lang w:val="es-ES"/>
        </w:rPr>
        <w:t xml:space="preserve"> 1 – E</w:t>
      </w:r>
      <w:r>
        <w:rPr>
          <w:rFonts w:ascii="Arial" w:eastAsia="Calibri" w:hAnsi="Arial" w:cs="Arial"/>
          <w:b/>
          <w:sz w:val="22"/>
          <w:lang w:val="es-ES"/>
        </w:rPr>
        <w:t xml:space="preserve">XPERIENCIA – Requisitos de experiencia general y específica </w:t>
      </w:r>
    </w:p>
    <w:p w14:paraId="3DD13485" w14:textId="77777777" w:rsidR="008173F3" w:rsidRPr="008173F3" w:rsidRDefault="008173F3" w:rsidP="008173F3">
      <w:pPr>
        <w:jc w:val="both"/>
        <w:rPr>
          <w:rFonts w:ascii="Arial" w:eastAsia="Calibri" w:hAnsi="Arial" w:cs="Arial"/>
          <w:b/>
          <w:sz w:val="22"/>
          <w:lang w:val="es-ES"/>
        </w:rPr>
      </w:pPr>
    </w:p>
    <w:p w14:paraId="3E5E5118" w14:textId="14AEA6FC" w:rsidR="003C38F9" w:rsidRPr="003C38F9" w:rsidRDefault="003C38F9" w:rsidP="003C38F9">
      <w:pPr>
        <w:jc w:val="both"/>
        <w:rPr>
          <w:rFonts w:ascii="Arial" w:eastAsia="Calibri" w:hAnsi="Arial" w:cs="Arial"/>
          <w:bCs/>
          <w:sz w:val="20"/>
          <w:szCs w:val="20"/>
          <w:lang w:val="es-ES"/>
        </w:rPr>
      </w:pPr>
      <w:r>
        <w:rPr>
          <w:rFonts w:ascii="Arial" w:eastAsia="Calibri" w:hAnsi="Arial" w:cs="Arial"/>
          <w:bCs/>
          <w:sz w:val="20"/>
          <w:szCs w:val="20"/>
          <w:lang w:val="es-ES"/>
        </w:rPr>
        <w:t>L</w:t>
      </w:r>
      <w:r w:rsidRPr="003C38F9">
        <w:rPr>
          <w:rFonts w:ascii="Arial" w:eastAsia="Calibri" w:hAnsi="Arial" w:cs="Arial"/>
          <w:bCs/>
          <w:sz w:val="20"/>
          <w:szCs w:val="20"/>
          <w:lang w:val="es-ES"/>
        </w:rPr>
        <w:t>a entidad estatal que adelanta un proceso de contratación de licitación de obra pública de infraestructura de transporte debe definir la experiencia exigible teniendo en cuenta las condiciones fijadas en la Matriz 1, de acuerdo con los siguientes pasos:</w:t>
      </w:r>
    </w:p>
    <w:p w14:paraId="4EB8AD7E" w14:textId="77777777" w:rsidR="003C38F9" w:rsidRDefault="003C38F9" w:rsidP="003C38F9">
      <w:pPr>
        <w:jc w:val="both"/>
        <w:rPr>
          <w:rFonts w:ascii="Arial" w:eastAsia="Calibri" w:hAnsi="Arial" w:cs="Arial"/>
          <w:bCs/>
          <w:sz w:val="20"/>
          <w:szCs w:val="20"/>
          <w:lang w:val="es-ES"/>
        </w:rPr>
      </w:pPr>
    </w:p>
    <w:p w14:paraId="4359EC72" w14:textId="3FF5AB48" w:rsidR="003C38F9" w:rsidRPr="003C38F9" w:rsidRDefault="003C38F9" w:rsidP="003C38F9">
      <w:pPr>
        <w:jc w:val="both"/>
        <w:rPr>
          <w:rFonts w:ascii="Arial" w:eastAsia="Calibri" w:hAnsi="Arial" w:cs="Arial"/>
          <w:bCs/>
          <w:sz w:val="20"/>
          <w:szCs w:val="20"/>
          <w:lang w:val="es-ES"/>
        </w:rPr>
      </w:pPr>
      <w:r w:rsidRPr="003C38F9">
        <w:rPr>
          <w:rFonts w:ascii="Arial" w:eastAsia="Calibri" w:hAnsi="Arial" w:cs="Arial"/>
          <w:bCs/>
          <w:sz w:val="20"/>
          <w:szCs w:val="20"/>
          <w:lang w:val="es-ES"/>
        </w:rPr>
        <w:t>a) Establecer si se trata de un proyecto de complejidad baja-media o alta, y en función de ello establecer la Matriz 1 aplicable.</w:t>
      </w:r>
    </w:p>
    <w:p w14:paraId="6BD0AC60" w14:textId="77777777" w:rsidR="003C38F9" w:rsidRPr="003C38F9" w:rsidRDefault="003C38F9" w:rsidP="003C38F9">
      <w:pPr>
        <w:jc w:val="both"/>
        <w:rPr>
          <w:rFonts w:ascii="Arial" w:eastAsia="Calibri" w:hAnsi="Arial" w:cs="Arial"/>
          <w:bCs/>
          <w:sz w:val="20"/>
          <w:szCs w:val="20"/>
          <w:lang w:val="es-ES"/>
        </w:rPr>
      </w:pPr>
      <w:r w:rsidRPr="003C38F9">
        <w:rPr>
          <w:rFonts w:ascii="Arial" w:eastAsia="Calibri" w:hAnsi="Arial" w:cs="Arial"/>
          <w:bCs/>
          <w:sz w:val="20"/>
          <w:szCs w:val="20"/>
          <w:lang w:val="es-ES"/>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3F71CC58" w14:textId="77777777" w:rsidR="003C38F9" w:rsidRPr="003C38F9" w:rsidRDefault="003C38F9" w:rsidP="003C38F9">
      <w:pPr>
        <w:jc w:val="both"/>
        <w:rPr>
          <w:rFonts w:ascii="Arial" w:eastAsia="Calibri" w:hAnsi="Arial" w:cs="Arial"/>
          <w:bCs/>
          <w:sz w:val="20"/>
          <w:szCs w:val="20"/>
          <w:lang w:val="es-ES"/>
        </w:rPr>
      </w:pPr>
      <w:r w:rsidRPr="003C38F9">
        <w:rPr>
          <w:rFonts w:ascii="Arial" w:eastAsia="Calibri" w:hAnsi="Arial" w:cs="Arial"/>
          <w:bCs/>
          <w:sz w:val="20"/>
          <w:szCs w:val="20"/>
          <w:lang w:val="es-ES"/>
        </w:rPr>
        <w:t xml:space="preserve">c) Definido el tipo de infraestructura, identificar la «ACTIVIDAD A CONTRATAR» acorde con la matriz 1. </w:t>
      </w:r>
    </w:p>
    <w:p w14:paraId="0BB93459" w14:textId="77777777" w:rsidR="003C38F9" w:rsidRPr="003C38F9" w:rsidRDefault="003C38F9" w:rsidP="003C38F9">
      <w:pPr>
        <w:jc w:val="both"/>
        <w:rPr>
          <w:rFonts w:ascii="Arial" w:eastAsia="Calibri" w:hAnsi="Arial" w:cs="Arial"/>
          <w:bCs/>
          <w:sz w:val="20"/>
          <w:szCs w:val="20"/>
          <w:lang w:val="es-ES"/>
        </w:rPr>
      </w:pPr>
      <w:r w:rsidRPr="003C38F9">
        <w:rPr>
          <w:rFonts w:ascii="Arial" w:eastAsia="Calibri" w:hAnsi="Arial" w:cs="Arial"/>
          <w:bCs/>
          <w:sz w:val="20"/>
          <w:szCs w:val="20"/>
          <w:lang w:val="es-ES"/>
        </w:rPr>
        <w:t xml:space="preserve">d) Identificar el rango en el cual se encuentra el proceso de contratación de acuerdo con el presupuesto oficial. </w:t>
      </w:r>
    </w:p>
    <w:p w14:paraId="5B19EEC8" w14:textId="77777777" w:rsidR="003C38F9" w:rsidRPr="003C38F9" w:rsidRDefault="003C38F9" w:rsidP="003C38F9">
      <w:pPr>
        <w:jc w:val="both"/>
        <w:rPr>
          <w:rFonts w:ascii="Arial" w:eastAsia="Calibri" w:hAnsi="Arial" w:cs="Arial"/>
          <w:bCs/>
          <w:sz w:val="20"/>
          <w:szCs w:val="20"/>
          <w:lang w:val="es-ES"/>
        </w:rPr>
      </w:pPr>
      <w:r w:rsidRPr="003C38F9">
        <w:rPr>
          <w:rFonts w:ascii="Arial" w:eastAsia="Calibri" w:hAnsi="Arial" w:cs="Arial"/>
          <w:bCs/>
          <w:sz w:val="20"/>
          <w:szCs w:val="20"/>
          <w:lang w:val="es-ES"/>
        </w:rPr>
        <w:t xml:space="preserve">e) Identificar la «experiencia general» exigible acorde con la Matriz 1 teniendo en cuenta la actividad a contratar y el rango de la cuantía del Proceso de Contratación. </w:t>
      </w:r>
    </w:p>
    <w:p w14:paraId="0CEA4E31" w14:textId="77777777" w:rsidR="003C38F9" w:rsidRPr="003C38F9" w:rsidRDefault="003C38F9" w:rsidP="003C38F9">
      <w:pPr>
        <w:jc w:val="both"/>
        <w:rPr>
          <w:rFonts w:ascii="Arial" w:eastAsia="Calibri" w:hAnsi="Arial" w:cs="Arial"/>
          <w:bCs/>
          <w:sz w:val="20"/>
          <w:szCs w:val="20"/>
          <w:lang w:val="es-ES"/>
        </w:rPr>
      </w:pPr>
      <w:r w:rsidRPr="003C38F9">
        <w:rPr>
          <w:rFonts w:ascii="Arial" w:eastAsia="Calibri" w:hAnsi="Arial" w:cs="Arial"/>
          <w:bCs/>
          <w:sz w:val="20"/>
          <w:szCs w:val="20"/>
          <w:lang w:val="es-ES"/>
        </w:rPr>
        <w:t xml:space="preserve">f) Identificar la «experiencia específica» exigible y el porcentaje de dimensionamiento que se puede solicitar acorde con la longitud a ejecutar, de acuerdo con la cuantía del proceso de contratación. Cuando en la «experiencia específica» se indiquen las siglas N.A significa que la entidad estatal no puede exigir a los proponentes experiencia específica en los procesos de contratación. </w:t>
      </w:r>
    </w:p>
    <w:p w14:paraId="710FB605" w14:textId="13C677FC" w:rsidR="00D27370" w:rsidRDefault="003C38F9" w:rsidP="003C38F9">
      <w:pPr>
        <w:jc w:val="both"/>
        <w:rPr>
          <w:rFonts w:ascii="Arial" w:eastAsia="Calibri" w:hAnsi="Arial" w:cs="Arial"/>
          <w:b/>
          <w:bCs/>
          <w:sz w:val="22"/>
          <w:lang w:val="es-ES"/>
        </w:rPr>
      </w:pPr>
      <w:r w:rsidRPr="003C38F9">
        <w:rPr>
          <w:rFonts w:ascii="Arial" w:eastAsia="Calibri" w:hAnsi="Arial" w:cs="Arial"/>
          <w:bCs/>
          <w:sz w:val="20"/>
          <w:szCs w:val="20"/>
          <w:lang w:val="es-ES"/>
        </w:rPr>
        <w:t>g) 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w:t>
      </w:r>
    </w:p>
    <w:p w14:paraId="632C3377" w14:textId="77777777" w:rsidR="003C38F9" w:rsidRDefault="003C38F9" w:rsidP="00585A49">
      <w:pPr>
        <w:jc w:val="both"/>
        <w:rPr>
          <w:rFonts w:ascii="Arial" w:eastAsia="Calibri" w:hAnsi="Arial" w:cs="Arial"/>
          <w:b/>
          <w:bCs/>
          <w:sz w:val="22"/>
          <w:lang w:val="es-ES"/>
        </w:rPr>
      </w:pPr>
    </w:p>
    <w:p w14:paraId="683401BE" w14:textId="1DE4876D" w:rsidR="00585A49" w:rsidRDefault="008173F3" w:rsidP="00585A49">
      <w:pPr>
        <w:jc w:val="both"/>
        <w:rPr>
          <w:rFonts w:ascii="Arial" w:eastAsia="Calibri" w:hAnsi="Arial" w:cs="Arial"/>
          <w:b/>
          <w:bCs/>
          <w:sz w:val="22"/>
          <w:lang w:val="es-ES"/>
        </w:rPr>
      </w:pPr>
      <w:r w:rsidRPr="008173F3">
        <w:rPr>
          <w:rFonts w:ascii="Arial" w:eastAsia="Calibri" w:hAnsi="Arial" w:cs="Arial"/>
          <w:b/>
          <w:bCs/>
          <w:sz w:val="22"/>
          <w:lang w:val="es-ES"/>
        </w:rPr>
        <w:t xml:space="preserve">SEÑALIZACIÓN </w:t>
      </w:r>
      <w:r w:rsidR="00D27370">
        <w:rPr>
          <w:rFonts w:ascii="Arial" w:eastAsia="Calibri" w:hAnsi="Arial" w:cs="Arial"/>
          <w:b/>
          <w:bCs/>
          <w:sz w:val="22"/>
          <w:lang w:val="es-ES"/>
        </w:rPr>
        <w:t>Y/</w:t>
      </w:r>
      <w:r w:rsidRPr="008173F3">
        <w:rPr>
          <w:rFonts w:ascii="Arial" w:eastAsia="Calibri" w:hAnsi="Arial" w:cs="Arial"/>
          <w:b/>
          <w:bCs/>
          <w:sz w:val="22"/>
          <w:lang w:val="es-ES"/>
        </w:rPr>
        <w:t>O</w:t>
      </w:r>
      <w:r w:rsidR="00D27370">
        <w:rPr>
          <w:rFonts w:ascii="Arial" w:eastAsia="Calibri" w:hAnsi="Arial" w:cs="Arial"/>
          <w:b/>
          <w:bCs/>
          <w:sz w:val="22"/>
          <w:lang w:val="es-ES"/>
        </w:rPr>
        <w:t xml:space="preserve"> DEMARCACIÓN DE VÍAS URBANAS – Actividad 6.16 de la Matriz 1 – Experiencia </w:t>
      </w:r>
      <w:r w:rsidRPr="008173F3">
        <w:rPr>
          <w:rFonts w:ascii="Arial" w:eastAsia="Calibri" w:hAnsi="Arial" w:cs="Arial"/>
          <w:b/>
          <w:bCs/>
          <w:sz w:val="22"/>
          <w:lang w:val="es-ES"/>
        </w:rPr>
        <w:t>– Acreditación</w:t>
      </w:r>
    </w:p>
    <w:p w14:paraId="2C61E325" w14:textId="77777777" w:rsidR="008173F3" w:rsidRPr="008173F3" w:rsidRDefault="008173F3" w:rsidP="00585A49">
      <w:pPr>
        <w:jc w:val="both"/>
        <w:rPr>
          <w:rFonts w:ascii="Arial" w:eastAsia="Calibri" w:hAnsi="Arial" w:cs="Arial"/>
          <w:b/>
          <w:bCs/>
          <w:sz w:val="22"/>
          <w:lang w:val="es-ES"/>
        </w:rPr>
      </w:pPr>
    </w:p>
    <w:p w14:paraId="23F76283" w14:textId="38D7511B" w:rsidR="003C38F9" w:rsidRDefault="0012166C" w:rsidP="00D27370">
      <w:pPr>
        <w:jc w:val="both"/>
        <w:rPr>
          <w:rFonts w:ascii="Arial" w:eastAsia="Calibri" w:hAnsi="Arial" w:cs="Arial"/>
          <w:bCs/>
          <w:sz w:val="20"/>
          <w:szCs w:val="20"/>
          <w:lang w:val="es-ES"/>
        </w:rPr>
      </w:pPr>
      <w:r>
        <w:rPr>
          <w:rFonts w:ascii="Arial" w:eastAsia="Calibri" w:hAnsi="Arial" w:cs="Arial"/>
          <w:bCs/>
          <w:sz w:val="20"/>
          <w:szCs w:val="20"/>
          <w:lang w:val="es-ES"/>
        </w:rPr>
        <w:t>L</w:t>
      </w:r>
      <w:r w:rsidR="003C38F9" w:rsidRPr="003C38F9">
        <w:rPr>
          <w:rFonts w:ascii="Arial" w:eastAsia="Calibri" w:hAnsi="Arial" w:cs="Arial"/>
          <w:bCs/>
          <w:sz w:val="20"/>
          <w:szCs w:val="20"/>
          <w:lang w:val="es-ES"/>
        </w:rPr>
        <w:t xml:space="preserve">os proyectos de alta complejidad para la señalización y/o demarcación en vías urbanas, la actividad 6.16 de la «Matriz 1 – Experiencia» exige que la experiencia general sea de «PROYECTOS QUE CORRESPONDAN O HAYAN CONTENIDO ACTIVIDADES DE: SEÑALIZACIÓN VERTICAL U HORIZONTAL O DEMARCACIÓN DE VÍAS PRIMARIAS O SECUNDARIAS O AEROPISTAS O URBANAS». A su turno, para la experiencia específica se exige que «Por lo menos uno (1) de los contratos válidos aportados como experiencia general debe acreditar el componente de señalización </w:t>
      </w:r>
      <w:r w:rsidR="003C38F9" w:rsidRPr="003C38F9">
        <w:rPr>
          <w:rFonts w:ascii="Arial" w:eastAsia="Calibri" w:hAnsi="Arial" w:cs="Arial"/>
          <w:bCs/>
          <w:sz w:val="20"/>
          <w:szCs w:val="20"/>
          <w:lang w:val="es-ES"/>
        </w:rPr>
        <w:lastRenderedPageBreak/>
        <w:t>o demarcación un valor igual o superior al 60% del componente de señalización y/o demarcación del Presupuesto oficial estimado de contratación»</w:t>
      </w:r>
      <w:r w:rsidR="003C38F9">
        <w:rPr>
          <w:rFonts w:ascii="Arial" w:eastAsia="Calibri" w:hAnsi="Arial" w:cs="Arial"/>
          <w:bCs/>
          <w:sz w:val="20"/>
          <w:szCs w:val="20"/>
          <w:lang w:val="es-ES"/>
        </w:rPr>
        <w:t>.</w:t>
      </w:r>
    </w:p>
    <w:p w14:paraId="1E6CF70E" w14:textId="612D5A8B" w:rsidR="003C38F9" w:rsidRDefault="003C38F9" w:rsidP="00D27370">
      <w:pPr>
        <w:jc w:val="both"/>
        <w:rPr>
          <w:rFonts w:ascii="Arial" w:eastAsia="Calibri" w:hAnsi="Arial" w:cs="Arial"/>
          <w:bCs/>
          <w:sz w:val="20"/>
          <w:szCs w:val="20"/>
          <w:lang w:val="es-ES"/>
        </w:rPr>
      </w:pPr>
      <w:r>
        <w:rPr>
          <w:rFonts w:ascii="Arial" w:eastAsia="Calibri" w:hAnsi="Arial" w:cs="Arial"/>
          <w:bCs/>
          <w:sz w:val="20"/>
          <w:szCs w:val="20"/>
          <w:lang w:val="es-ES"/>
        </w:rPr>
        <w:t>[…]</w:t>
      </w:r>
    </w:p>
    <w:p w14:paraId="6D54E63F" w14:textId="7052F2A5" w:rsidR="00E85058" w:rsidRPr="003C38F9" w:rsidRDefault="00D27370" w:rsidP="003C38F9">
      <w:pPr>
        <w:jc w:val="both"/>
        <w:rPr>
          <w:rFonts w:ascii="Arial" w:eastAsia="Calibri" w:hAnsi="Arial" w:cs="Arial"/>
          <w:bCs/>
          <w:sz w:val="20"/>
          <w:szCs w:val="20"/>
          <w:lang w:val="es-ES"/>
        </w:rPr>
      </w:pPr>
      <w:r w:rsidRPr="00D27370">
        <w:rPr>
          <w:rFonts w:ascii="Arial" w:eastAsia="Calibri" w:hAnsi="Arial" w:cs="Arial"/>
          <w:bCs/>
          <w:sz w:val="20"/>
          <w:szCs w:val="20"/>
          <w:lang w:val="es-ES"/>
        </w:rPr>
        <w:t xml:space="preserve"> </w:t>
      </w:r>
      <w:r w:rsidR="003C38F9">
        <w:rPr>
          <w:rFonts w:ascii="Arial" w:eastAsia="Calibri" w:hAnsi="Arial" w:cs="Arial"/>
          <w:bCs/>
          <w:sz w:val="20"/>
          <w:szCs w:val="20"/>
          <w:lang w:val="es-ES"/>
        </w:rPr>
        <w:t>E</w:t>
      </w:r>
      <w:r w:rsidR="003C38F9" w:rsidRPr="003C38F9">
        <w:rPr>
          <w:rFonts w:ascii="Arial" w:eastAsia="Calibri" w:hAnsi="Arial" w:cs="Arial"/>
          <w:bCs/>
          <w:sz w:val="20"/>
          <w:szCs w:val="20"/>
          <w:lang w:val="es-ES"/>
        </w:rPr>
        <w:t>n relación con la experiencia específica correspondiente a la actividad 6.16, tal y como lo exige la Matriz 1 – Experiencia, esta se cumple si se acredita que «Por lo menos uno (1) de los contratos válidos aportados como experiencia general debe acreditar en el componente de señalización o demarcación un valor igual o superior al 60% del Componente de Señalización y/o Demarcación del Presupuesto Oficial estimado de contratación». Lo anterior implica que por lo menos 1 de los contratos válidos aportados como experiencia general, esto es, individualmente considerado, debe acreditar actividades del componente de señalización o demarcación de vías por un valor que por lo menos sea equivalente al 60% del valor de estas mismas actividades que se van a ejecutar en el contrato a celebrar. Lo anterior implica que dicho monto no se calcula sobre el 100% del presupuesto total del proceso de contratación, pues lo relevante para estos efectos es el valor de las actividades correspondiente a los componentes de señalización y/o demarcación, cuyo valor será el utilizado para calcular el porcentaje mínimo equivalente exigido.</w:t>
      </w:r>
      <w:r w:rsidR="00585A49" w:rsidRPr="001A6379">
        <w:rPr>
          <w:rFonts w:ascii="Arial" w:eastAsia="Calibri" w:hAnsi="Arial" w:cs="Arial"/>
          <w:sz w:val="20"/>
          <w:szCs w:val="20"/>
          <w:lang w:val="es-ES"/>
        </w:rPr>
        <w:br w:type="page"/>
      </w:r>
      <w:bookmarkStart w:id="1" w:name="_Hlk67928110"/>
      <w:r w:rsidR="00E85058">
        <w:rPr>
          <w:rFonts w:ascii="_¶'DA≥ò" w:hAnsi="_¶'DA≥ò" w:cs="_¶'DA≥ò"/>
          <w:color w:val="4E4D4D"/>
          <w:sz w:val="22"/>
          <w:lang w:val="es-ES_tradnl"/>
        </w:rPr>
        <w:lastRenderedPageBreak/>
        <w:t xml:space="preserve">Bogotá, 17 </w:t>
      </w:r>
      <w:proofErr w:type="gramStart"/>
      <w:r w:rsidR="00E85058">
        <w:rPr>
          <w:rFonts w:ascii="_¶'DA≥ò" w:hAnsi="_¶'DA≥ò" w:cs="_¶'DA≥ò"/>
          <w:color w:val="4E4D4D"/>
          <w:sz w:val="22"/>
          <w:lang w:val="es-ES_tradnl"/>
        </w:rPr>
        <w:t>Noviembre</w:t>
      </w:r>
      <w:proofErr w:type="gramEnd"/>
      <w:r w:rsidR="00E85058">
        <w:rPr>
          <w:rFonts w:ascii="_¶'DA≥ò" w:hAnsi="_¶'DA≥ò" w:cs="_¶'DA≥ò"/>
          <w:color w:val="4E4D4D"/>
          <w:sz w:val="22"/>
          <w:lang w:val="es-ES_tradnl"/>
        </w:rPr>
        <w:t xml:space="preserve"> 2021</w:t>
      </w:r>
      <w:r w:rsidR="00E85058">
        <w:rPr>
          <w:rFonts w:ascii="_¶'DA≥ò" w:hAnsi="_¶'DA≥ò" w:cs="_¶'DA≥ò"/>
          <w:color w:val="4E4D4D"/>
          <w:sz w:val="22"/>
          <w:lang w:val="es-ES_tradnl"/>
        </w:rPr>
        <w:tab/>
      </w:r>
      <w:r w:rsidR="00E85058">
        <w:rPr>
          <w:rFonts w:ascii="_¶'DA≥ò" w:hAnsi="_¶'DA≥ò" w:cs="_¶'DA≥ò"/>
          <w:color w:val="4E4D4D"/>
          <w:sz w:val="22"/>
          <w:lang w:val="es-ES_tradnl"/>
        </w:rPr>
        <w:tab/>
      </w:r>
      <w:r w:rsidR="00E85058">
        <w:rPr>
          <w:rFonts w:ascii="_¶'DA≥ò" w:hAnsi="_¶'DA≥ò" w:cs="_¶'DA≥ò"/>
          <w:color w:val="4E4D4D"/>
          <w:sz w:val="22"/>
          <w:lang w:val="es-ES_tradnl"/>
        </w:rPr>
        <w:tab/>
      </w:r>
      <w:r w:rsidR="00E85058">
        <w:rPr>
          <w:rFonts w:ascii="_¶'DA≥ò" w:hAnsi="_¶'DA≥ò" w:cs="_¶'DA≥ò"/>
          <w:color w:val="4E4D4D"/>
          <w:sz w:val="22"/>
          <w:lang w:val="es-ES_tradnl"/>
        </w:rPr>
        <w:tab/>
      </w:r>
      <w:r w:rsidR="00E85058">
        <w:rPr>
          <w:rFonts w:ascii="_¶'DA≥ò" w:hAnsi="_¶'DA≥ò" w:cs="_¶'DA≥ò"/>
          <w:color w:val="4E4D4D"/>
          <w:sz w:val="22"/>
          <w:lang w:val="es-ES_tradnl"/>
        </w:rPr>
        <w:tab/>
      </w:r>
      <w:r w:rsidR="00E85058" w:rsidRPr="00E85058">
        <w:rPr>
          <w:rFonts w:ascii="_¶'DA≥ò" w:hAnsi="_¶'DA≥ò" w:cs="_¶'DA≥ò"/>
          <w:color w:val="4E4D4D"/>
          <w:sz w:val="22"/>
          <w:lang w:val="es-ES_tradnl"/>
        </w:rPr>
        <w:drawing>
          <wp:inline distT="0" distB="0" distL="0" distR="0" wp14:anchorId="5643BE98" wp14:editId="146FFEE6">
            <wp:extent cx="1887794" cy="469900"/>
            <wp:effectExtent l="0" t="0" r="508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1909805" cy="475379"/>
                    </a:xfrm>
                    <a:prstGeom prst="rect">
                      <a:avLst/>
                    </a:prstGeom>
                  </pic:spPr>
                </pic:pic>
              </a:graphicData>
            </a:graphic>
          </wp:inline>
        </w:drawing>
      </w:r>
    </w:p>
    <w:p w14:paraId="128B7718" w14:textId="77777777" w:rsidR="00E85058" w:rsidRDefault="00E85058" w:rsidP="00585A49">
      <w:pPr>
        <w:rPr>
          <w:rFonts w:ascii="Arial" w:eastAsia="Calibri" w:hAnsi="Arial" w:cs="Arial"/>
          <w:sz w:val="22"/>
          <w:lang w:val="es-ES"/>
        </w:rPr>
      </w:pPr>
    </w:p>
    <w:p w14:paraId="45ABE4C8" w14:textId="7650BDBA" w:rsidR="00585A49" w:rsidRPr="001A6379" w:rsidRDefault="00DA4B0F" w:rsidP="00585A49">
      <w:pPr>
        <w:rPr>
          <w:rFonts w:ascii="Arial" w:eastAsia="Calibri" w:hAnsi="Arial" w:cs="Arial"/>
          <w:sz w:val="22"/>
          <w:lang w:val="es-ES"/>
        </w:rPr>
      </w:pPr>
      <w:r w:rsidRPr="001A6379">
        <w:rPr>
          <w:rFonts w:ascii="Arial" w:eastAsia="Calibri" w:hAnsi="Arial" w:cs="Arial"/>
          <w:sz w:val="22"/>
          <w:lang w:val="es-ES"/>
        </w:rPr>
        <w:t>Señor</w:t>
      </w:r>
      <w:r w:rsidR="0006474B" w:rsidRPr="001A6379">
        <w:rPr>
          <w:rFonts w:ascii="Arial" w:eastAsia="Calibri" w:hAnsi="Arial" w:cs="Arial"/>
          <w:sz w:val="22"/>
          <w:lang w:val="es-ES"/>
        </w:rPr>
        <w:t>a</w:t>
      </w:r>
    </w:p>
    <w:p w14:paraId="6E7494F6" w14:textId="1847B14A" w:rsidR="00585A49" w:rsidRPr="001A6379" w:rsidRDefault="00933617" w:rsidP="00585A49">
      <w:pPr>
        <w:rPr>
          <w:rFonts w:ascii="Arial" w:eastAsia="Calibri" w:hAnsi="Arial" w:cs="Arial"/>
          <w:b/>
          <w:sz w:val="22"/>
          <w:lang w:val="es-ES"/>
        </w:rPr>
      </w:pPr>
      <w:r>
        <w:rPr>
          <w:rFonts w:ascii="Arial" w:eastAsia="Calibri" w:hAnsi="Arial" w:cs="Arial"/>
          <w:b/>
          <w:sz w:val="22"/>
          <w:lang w:val="es-ES"/>
        </w:rPr>
        <w:t>Á</w:t>
      </w:r>
      <w:r w:rsidR="0005737F">
        <w:rPr>
          <w:rFonts w:ascii="Arial" w:eastAsia="Calibri" w:hAnsi="Arial" w:cs="Arial"/>
          <w:b/>
          <w:sz w:val="22"/>
          <w:lang w:val="es-ES"/>
        </w:rPr>
        <w:t>n</w:t>
      </w:r>
      <w:r w:rsidR="0019127F">
        <w:rPr>
          <w:rFonts w:ascii="Arial" w:eastAsia="Calibri" w:hAnsi="Arial" w:cs="Arial"/>
          <w:b/>
          <w:sz w:val="22"/>
          <w:lang w:val="es-ES"/>
        </w:rPr>
        <w:t xml:space="preserve">gela Lucía </w:t>
      </w:r>
      <w:proofErr w:type="spellStart"/>
      <w:r w:rsidR="0019127F">
        <w:rPr>
          <w:rFonts w:ascii="Arial" w:eastAsia="Calibri" w:hAnsi="Arial" w:cs="Arial"/>
          <w:b/>
          <w:sz w:val="22"/>
          <w:lang w:val="es-ES"/>
        </w:rPr>
        <w:t>Hortúa</w:t>
      </w:r>
      <w:proofErr w:type="spellEnd"/>
      <w:r w:rsidR="0019127F">
        <w:rPr>
          <w:rFonts w:ascii="Arial" w:eastAsia="Calibri" w:hAnsi="Arial" w:cs="Arial"/>
          <w:b/>
          <w:sz w:val="22"/>
          <w:lang w:val="es-ES"/>
        </w:rPr>
        <w:t xml:space="preserve"> Castro</w:t>
      </w:r>
      <w:r w:rsidR="0006474B" w:rsidRPr="001A6379">
        <w:rPr>
          <w:rFonts w:ascii="Arial" w:eastAsia="Calibri" w:hAnsi="Arial" w:cs="Arial"/>
          <w:b/>
          <w:sz w:val="22"/>
          <w:lang w:val="es-ES"/>
        </w:rPr>
        <w:t xml:space="preserve"> </w:t>
      </w:r>
    </w:p>
    <w:p w14:paraId="09838613" w14:textId="162965D2" w:rsidR="00585A49" w:rsidRPr="001A6379" w:rsidRDefault="00DA4B0F" w:rsidP="00585A49">
      <w:pPr>
        <w:rPr>
          <w:rFonts w:ascii="Arial" w:eastAsia="Calibri" w:hAnsi="Arial" w:cs="Arial"/>
          <w:sz w:val="22"/>
          <w:lang w:val="es-ES"/>
        </w:rPr>
      </w:pPr>
      <w:r w:rsidRPr="001A6379">
        <w:rPr>
          <w:rFonts w:ascii="Arial" w:hAnsi="Arial" w:cs="Arial"/>
          <w:color w:val="000000" w:themeColor="text1"/>
          <w:sz w:val="22"/>
          <w:lang w:val="es-ES"/>
        </w:rPr>
        <w:t>Bogotá D.C.</w:t>
      </w:r>
      <w:r w:rsidR="00585A49" w:rsidRPr="001A6379">
        <w:rPr>
          <w:rFonts w:ascii="Arial" w:eastAsia="Calibri" w:hAnsi="Arial" w:cs="Arial"/>
          <w:sz w:val="22"/>
          <w:lang w:val="es-ES"/>
        </w:rPr>
        <w:t xml:space="preserve">  </w:t>
      </w:r>
    </w:p>
    <w:p w14:paraId="4B7364A2" w14:textId="5647BDEE" w:rsidR="00585A49" w:rsidRDefault="00585A49" w:rsidP="00585A49">
      <w:pPr>
        <w:rPr>
          <w:rFonts w:ascii="Arial" w:eastAsia="Calibri" w:hAnsi="Arial" w:cs="Arial"/>
          <w:sz w:val="22"/>
          <w:lang w:val="es-ES"/>
        </w:rPr>
      </w:pPr>
    </w:p>
    <w:p w14:paraId="194E4488" w14:textId="77777777" w:rsidR="00EA0120" w:rsidRPr="001A6379" w:rsidRDefault="00EA0120" w:rsidP="00585A49">
      <w:pPr>
        <w:rPr>
          <w:rFonts w:ascii="Arial" w:eastAsia="Calibri" w:hAnsi="Arial" w:cs="Arial"/>
          <w:sz w:val="22"/>
          <w:lang w:val="es-ES"/>
        </w:rPr>
      </w:pPr>
    </w:p>
    <w:p w14:paraId="24E8790A" w14:textId="47B264B3" w:rsidR="00585A49" w:rsidRPr="001A6379" w:rsidRDefault="00585A49" w:rsidP="00585A49">
      <w:pPr>
        <w:rPr>
          <w:rFonts w:ascii="Arial" w:eastAsia="Calibri" w:hAnsi="Arial" w:cs="Arial"/>
          <w:b/>
          <w:sz w:val="22"/>
          <w:lang w:val="es-ES"/>
        </w:rPr>
      </w:pPr>
      <w:r w:rsidRPr="001A6379">
        <w:rPr>
          <w:rFonts w:ascii="Arial" w:eastAsia="Calibri" w:hAnsi="Arial" w:cs="Arial"/>
          <w:sz w:val="22"/>
          <w:lang w:val="es-ES"/>
        </w:rPr>
        <w:t xml:space="preserve">                                            </w:t>
      </w:r>
      <w:r w:rsidRPr="001A6379">
        <w:rPr>
          <w:rFonts w:ascii="Arial" w:eastAsia="Calibri" w:hAnsi="Arial" w:cs="Arial"/>
          <w:b/>
          <w:sz w:val="22"/>
          <w:lang w:val="es-ES"/>
        </w:rPr>
        <w:t xml:space="preserve">Concepto C </w:t>
      </w:r>
      <w:r w:rsidR="008173F3" w:rsidRPr="001A6379">
        <w:rPr>
          <w:rFonts w:ascii="Arial" w:eastAsia="Calibri" w:hAnsi="Arial" w:cs="Arial"/>
          <w:b/>
          <w:sz w:val="22"/>
          <w:lang w:val="es-ES"/>
        </w:rPr>
        <w:t xml:space="preserve">– </w:t>
      </w:r>
      <w:r w:rsidR="003E27DE">
        <w:rPr>
          <w:rFonts w:ascii="Arial" w:eastAsia="Calibri" w:hAnsi="Arial" w:cs="Arial"/>
          <w:b/>
          <w:sz w:val="22"/>
          <w:lang w:val="es-ES"/>
        </w:rPr>
        <w:t>649</w:t>
      </w:r>
      <w:r w:rsidR="0006474B" w:rsidRPr="001A6379">
        <w:rPr>
          <w:rFonts w:ascii="Arial" w:eastAsia="Calibri" w:hAnsi="Arial" w:cs="Arial"/>
          <w:b/>
          <w:sz w:val="22"/>
          <w:lang w:val="es-ES"/>
        </w:rPr>
        <w:t xml:space="preserve"> </w:t>
      </w:r>
      <w:r w:rsidRPr="001A6379">
        <w:rPr>
          <w:rFonts w:ascii="Arial" w:eastAsia="Calibri" w:hAnsi="Arial" w:cs="Arial"/>
          <w:b/>
          <w:sz w:val="22"/>
          <w:lang w:val="es-ES"/>
        </w:rPr>
        <w:t>de 202</w:t>
      </w:r>
      <w:r w:rsidR="00B60BE5" w:rsidRPr="001A6379">
        <w:rPr>
          <w:rFonts w:ascii="Arial" w:eastAsia="Calibri" w:hAnsi="Arial" w:cs="Arial"/>
          <w:b/>
          <w:sz w:val="22"/>
          <w:lang w:val="es-ES"/>
        </w:rPr>
        <w:t>1</w:t>
      </w:r>
    </w:p>
    <w:p w14:paraId="0578347A" w14:textId="77777777" w:rsidR="00585A49" w:rsidRPr="001A6379" w:rsidRDefault="00585A49" w:rsidP="00585A49">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85A49" w:rsidRPr="001A6379" w14:paraId="66C0E12E" w14:textId="77777777" w:rsidTr="00D264A2">
        <w:tc>
          <w:tcPr>
            <w:tcW w:w="2689" w:type="dxa"/>
            <w:hideMark/>
          </w:tcPr>
          <w:p w14:paraId="6F81D681" w14:textId="77777777" w:rsidR="00585A49" w:rsidRPr="001A6379" w:rsidRDefault="00585A49" w:rsidP="00954F8C">
            <w:pPr>
              <w:rPr>
                <w:rFonts w:ascii="Arial" w:eastAsia="Calibri" w:hAnsi="Arial" w:cs="Arial"/>
                <w:sz w:val="22"/>
                <w:lang w:val="es-ES"/>
              </w:rPr>
            </w:pPr>
            <w:r w:rsidRPr="001A6379">
              <w:rPr>
                <w:rFonts w:ascii="Arial" w:eastAsia="Calibri" w:hAnsi="Arial" w:cs="Arial"/>
                <w:b/>
                <w:sz w:val="22"/>
                <w:lang w:val="es-ES"/>
              </w:rPr>
              <w:t>Temas:</w:t>
            </w:r>
            <w:r w:rsidRPr="001A6379">
              <w:rPr>
                <w:rFonts w:ascii="Arial" w:eastAsia="Calibri" w:hAnsi="Arial" w:cs="Arial"/>
                <w:sz w:val="22"/>
                <w:lang w:val="es-ES"/>
              </w:rPr>
              <w:t xml:space="preserve">           </w:t>
            </w:r>
          </w:p>
          <w:p w14:paraId="630EF6D1" w14:textId="77777777" w:rsidR="00585A49" w:rsidRPr="001A6379" w:rsidRDefault="00585A49" w:rsidP="00954F8C">
            <w:pPr>
              <w:rPr>
                <w:rFonts w:ascii="Arial" w:eastAsia="Calibri" w:hAnsi="Arial" w:cs="Arial"/>
                <w:sz w:val="22"/>
                <w:lang w:val="es-ES"/>
              </w:rPr>
            </w:pPr>
            <w:r w:rsidRPr="001A6379">
              <w:rPr>
                <w:rFonts w:ascii="Arial" w:eastAsia="Calibri" w:hAnsi="Arial" w:cs="Arial"/>
                <w:sz w:val="22"/>
                <w:lang w:val="es-ES"/>
              </w:rPr>
              <w:t xml:space="preserve">                           </w:t>
            </w:r>
          </w:p>
        </w:tc>
        <w:tc>
          <w:tcPr>
            <w:tcW w:w="6237" w:type="dxa"/>
            <w:hideMark/>
          </w:tcPr>
          <w:p w14:paraId="501F95C1" w14:textId="2C37A8BA" w:rsidR="00585A49" w:rsidRPr="001A6379" w:rsidRDefault="00D27370" w:rsidP="00954F8C">
            <w:pPr>
              <w:spacing w:after="120"/>
              <w:jc w:val="both"/>
              <w:rPr>
                <w:rFonts w:ascii="Arial" w:hAnsi="Arial" w:cs="Arial"/>
                <w:sz w:val="22"/>
                <w:lang w:val="es-ES"/>
              </w:rPr>
            </w:pPr>
            <w:r w:rsidRPr="00D27370">
              <w:rPr>
                <w:rFonts w:ascii="Arial" w:hAnsi="Arial" w:cs="Arial"/>
                <w:sz w:val="22"/>
                <w:lang w:val="es-ES"/>
              </w:rPr>
              <w:t xml:space="preserve">DOCUMENTOS TIPO VERSIÓN 3 – Licitación pública para obra de infraestructura de transporte – Definición de experiencia exigible </w:t>
            </w:r>
            <w:r w:rsidR="008173F3">
              <w:rPr>
                <w:rFonts w:ascii="Arial" w:hAnsi="Arial" w:cs="Arial"/>
                <w:sz w:val="22"/>
                <w:lang w:val="es-ES"/>
              </w:rPr>
              <w:t xml:space="preserve">/ </w:t>
            </w:r>
            <w:r w:rsidRPr="00D27370">
              <w:rPr>
                <w:rFonts w:ascii="Arial" w:hAnsi="Arial" w:cs="Arial"/>
                <w:sz w:val="22"/>
                <w:lang w:val="es-ES"/>
              </w:rPr>
              <w:t>MATRIZ 1 – EXPERIENCIA – Requisitos de experiencia general y específica</w:t>
            </w:r>
            <w:r w:rsidR="008173F3">
              <w:rPr>
                <w:rFonts w:ascii="Arial" w:hAnsi="Arial" w:cs="Arial"/>
                <w:sz w:val="22"/>
                <w:lang w:val="es-ES"/>
              </w:rPr>
              <w:t xml:space="preserve"> / </w:t>
            </w:r>
            <w:r w:rsidRPr="00D27370">
              <w:rPr>
                <w:rFonts w:ascii="Arial" w:hAnsi="Arial" w:cs="Arial"/>
                <w:sz w:val="22"/>
                <w:lang w:val="es-ES"/>
              </w:rPr>
              <w:t>SEÑALIZACIÓN Y/O DEMARCACIÓN DE VÍAS URBANAS – Actividad 6.16 de la Matriz 1 – Experiencia – Acreditación</w:t>
            </w:r>
          </w:p>
        </w:tc>
      </w:tr>
      <w:tr w:rsidR="00585A49" w:rsidRPr="001A6379" w14:paraId="59883EC0" w14:textId="77777777" w:rsidTr="00D264A2">
        <w:tc>
          <w:tcPr>
            <w:tcW w:w="2689" w:type="dxa"/>
          </w:tcPr>
          <w:p w14:paraId="108B9A46" w14:textId="77777777" w:rsidR="00585A49" w:rsidRPr="001A6379" w:rsidRDefault="00585A49" w:rsidP="00954F8C">
            <w:pPr>
              <w:spacing w:before="60"/>
              <w:rPr>
                <w:rFonts w:ascii="Arial" w:eastAsia="Calibri" w:hAnsi="Arial" w:cs="Arial"/>
                <w:b/>
                <w:sz w:val="22"/>
                <w:lang w:val="es-ES"/>
              </w:rPr>
            </w:pPr>
            <w:r w:rsidRPr="001A6379">
              <w:rPr>
                <w:rFonts w:ascii="Arial" w:eastAsia="Calibri" w:hAnsi="Arial" w:cs="Arial"/>
                <w:b/>
                <w:sz w:val="22"/>
                <w:lang w:val="es-ES"/>
              </w:rPr>
              <w:t>Radicación:</w:t>
            </w:r>
            <w:r w:rsidRPr="001A6379">
              <w:rPr>
                <w:rFonts w:ascii="Arial" w:eastAsia="Calibri" w:hAnsi="Arial" w:cs="Arial"/>
                <w:sz w:val="22"/>
                <w:lang w:val="es-ES"/>
              </w:rPr>
              <w:t xml:space="preserve">                              </w:t>
            </w:r>
          </w:p>
        </w:tc>
        <w:tc>
          <w:tcPr>
            <w:tcW w:w="6237" w:type="dxa"/>
          </w:tcPr>
          <w:p w14:paraId="23DA1370" w14:textId="5DD53137" w:rsidR="00585A49" w:rsidRDefault="00585A49" w:rsidP="00954F8C">
            <w:pPr>
              <w:spacing w:before="60"/>
              <w:jc w:val="both"/>
              <w:rPr>
                <w:rFonts w:ascii="Arial" w:eastAsia="Calibri" w:hAnsi="Arial" w:cs="Arial"/>
                <w:sz w:val="22"/>
                <w:lang w:val="es-ES"/>
              </w:rPr>
            </w:pPr>
            <w:r w:rsidRPr="001A6379">
              <w:rPr>
                <w:rFonts w:ascii="Arial" w:eastAsia="Calibri" w:hAnsi="Arial" w:cs="Arial"/>
                <w:sz w:val="22"/>
                <w:lang w:val="es-ES"/>
              </w:rPr>
              <w:t>Respuesta a la</w:t>
            </w:r>
            <w:r w:rsidR="00807531">
              <w:rPr>
                <w:rFonts w:ascii="Arial" w:eastAsia="Calibri" w:hAnsi="Arial" w:cs="Arial"/>
                <w:sz w:val="22"/>
                <w:lang w:val="es-ES"/>
              </w:rPr>
              <w:t>s</w:t>
            </w:r>
            <w:r w:rsidRPr="001A6379">
              <w:rPr>
                <w:rFonts w:ascii="Arial" w:eastAsia="Calibri" w:hAnsi="Arial" w:cs="Arial"/>
                <w:sz w:val="22"/>
                <w:lang w:val="es-ES"/>
              </w:rPr>
              <w:t xml:space="preserve"> </w:t>
            </w:r>
            <w:r w:rsidR="00CD2ADD">
              <w:rPr>
                <w:rFonts w:ascii="Arial" w:eastAsia="Calibri" w:hAnsi="Arial" w:cs="Arial"/>
                <w:sz w:val="22"/>
                <w:lang w:val="es-ES"/>
              </w:rPr>
              <w:t>consulta</w:t>
            </w:r>
            <w:r w:rsidR="00807531">
              <w:rPr>
                <w:rFonts w:ascii="Arial" w:eastAsia="Calibri" w:hAnsi="Arial" w:cs="Arial"/>
                <w:sz w:val="22"/>
                <w:lang w:val="es-ES"/>
              </w:rPr>
              <w:t>s acumuladas</w:t>
            </w:r>
            <w:r w:rsidR="00CD2ADD">
              <w:rPr>
                <w:rFonts w:ascii="Arial" w:eastAsia="Calibri" w:hAnsi="Arial" w:cs="Arial"/>
                <w:sz w:val="22"/>
                <w:lang w:val="es-ES"/>
              </w:rPr>
              <w:t xml:space="preserve"> P2021</w:t>
            </w:r>
            <w:r w:rsidR="00A07EE0">
              <w:rPr>
                <w:rFonts w:ascii="Arial" w:eastAsia="Calibri" w:hAnsi="Arial" w:cs="Arial"/>
                <w:sz w:val="22"/>
                <w:lang w:val="es-ES"/>
              </w:rPr>
              <w:t>1007009208</w:t>
            </w:r>
            <w:r w:rsidR="003E27DE">
              <w:rPr>
                <w:rFonts w:ascii="Arial" w:eastAsia="Calibri" w:hAnsi="Arial" w:cs="Arial"/>
                <w:sz w:val="22"/>
                <w:lang w:val="es-ES"/>
              </w:rPr>
              <w:t xml:space="preserve"> - </w:t>
            </w:r>
            <w:r w:rsidR="00807531" w:rsidRPr="00807531">
              <w:rPr>
                <w:rFonts w:ascii="Arial" w:eastAsia="Calibri" w:hAnsi="Arial" w:cs="Arial"/>
                <w:sz w:val="22"/>
                <w:lang w:val="es-ES"/>
              </w:rPr>
              <w:t>P20211007009233</w:t>
            </w:r>
          </w:p>
          <w:p w14:paraId="56AA2CDF" w14:textId="38A81929" w:rsidR="00F11E27" w:rsidRPr="001A6379" w:rsidRDefault="00F11E27" w:rsidP="00954F8C">
            <w:pPr>
              <w:spacing w:before="60"/>
              <w:jc w:val="both"/>
              <w:rPr>
                <w:rFonts w:ascii="Arial" w:eastAsia="Calibri" w:hAnsi="Arial" w:cs="Arial"/>
                <w:sz w:val="22"/>
                <w:lang w:val="es-ES"/>
              </w:rPr>
            </w:pPr>
          </w:p>
        </w:tc>
      </w:tr>
    </w:tbl>
    <w:p w14:paraId="5ADC407D" w14:textId="77777777" w:rsidR="00585A49" w:rsidRPr="001A6379" w:rsidRDefault="00585A49" w:rsidP="00585A49">
      <w:pPr>
        <w:spacing w:before="60"/>
        <w:jc w:val="both"/>
        <w:rPr>
          <w:rFonts w:ascii="Arial" w:eastAsia="Calibri" w:hAnsi="Arial" w:cs="Arial"/>
          <w:sz w:val="22"/>
          <w:lang w:val="es-ES"/>
        </w:rPr>
      </w:pPr>
    </w:p>
    <w:p w14:paraId="57D60A2E" w14:textId="690E73EB" w:rsidR="00585A49" w:rsidRPr="001A6379" w:rsidRDefault="00585A49" w:rsidP="00585A49">
      <w:pPr>
        <w:rPr>
          <w:rFonts w:ascii="Arial" w:eastAsia="Calibri" w:hAnsi="Arial" w:cs="Arial"/>
          <w:sz w:val="22"/>
          <w:lang w:val="es-ES"/>
        </w:rPr>
      </w:pPr>
      <w:r w:rsidRPr="001A6379">
        <w:rPr>
          <w:rFonts w:ascii="Arial" w:eastAsia="Calibri" w:hAnsi="Arial" w:cs="Arial"/>
          <w:sz w:val="22"/>
          <w:lang w:val="es-ES"/>
        </w:rPr>
        <w:t>Estimad</w:t>
      </w:r>
      <w:r w:rsidR="009A6374">
        <w:rPr>
          <w:rFonts w:ascii="Arial" w:eastAsia="Calibri" w:hAnsi="Arial" w:cs="Arial"/>
          <w:sz w:val="22"/>
          <w:lang w:val="es-ES"/>
        </w:rPr>
        <w:t xml:space="preserve">a señora </w:t>
      </w:r>
      <w:proofErr w:type="spellStart"/>
      <w:r w:rsidR="009A6374">
        <w:rPr>
          <w:rFonts w:ascii="Arial" w:eastAsia="Calibri" w:hAnsi="Arial" w:cs="Arial"/>
          <w:sz w:val="22"/>
          <w:lang w:val="es-ES"/>
        </w:rPr>
        <w:t>Hortúa</w:t>
      </w:r>
      <w:proofErr w:type="spellEnd"/>
      <w:r w:rsidR="009A6374">
        <w:rPr>
          <w:rFonts w:ascii="Arial" w:eastAsia="Calibri" w:hAnsi="Arial" w:cs="Arial"/>
          <w:sz w:val="22"/>
          <w:lang w:val="es-ES"/>
        </w:rPr>
        <w:t xml:space="preserve"> Castro</w:t>
      </w:r>
      <w:r w:rsidRPr="001A6379">
        <w:rPr>
          <w:rFonts w:ascii="Arial" w:eastAsia="Calibri" w:hAnsi="Arial" w:cs="Arial"/>
          <w:sz w:val="22"/>
          <w:lang w:val="es-ES"/>
        </w:rPr>
        <w:t>:</w:t>
      </w:r>
    </w:p>
    <w:p w14:paraId="49516858" w14:textId="77777777" w:rsidR="00585A49" w:rsidRPr="001A6379" w:rsidRDefault="00585A49" w:rsidP="00585A49">
      <w:pPr>
        <w:rPr>
          <w:rFonts w:ascii="Arial" w:eastAsia="Calibri" w:hAnsi="Arial" w:cs="Arial"/>
          <w:sz w:val="22"/>
          <w:lang w:val="es-ES"/>
        </w:rPr>
      </w:pPr>
    </w:p>
    <w:p w14:paraId="531CC572" w14:textId="20CAFAFF" w:rsidR="00585A49" w:rsidRPr="001A6379" w:rsidRDefault="00585A49" w:rsidP="00585A49">
      <w:pPr>
        <w:spacing w:line="276" w:lineRule="auto"/>
        <w:ind w:right="49"/>
        <w:jc w:val="both"/>
        <w:rPr>
          <w:rFonts w:ascii="Arial" w:eastAsia="Calibri" w:hAnsi="Arial" w:cs="Arial"/>
          <w:sz w:val="22"/>
          <w:lang w:val="es-ES"/>
        </w:rPr>
      </w:pPr>
      <w:r w:rsidRPr="001A6379">
        <w:rPr>
          <w:rFonts w:ascii="Arial" w:eastAsia="Calibri" w:hAnsi="Arial" w:cs="Arial"/>
          <w:sz w:val="22"/>
          <w:lang w:val="es-ES"/>
        </w:rPr>
        <w:t xml:space="preserve">En ejercicio de la competencia otorgada por el numeral 8 del artículo 11 y el numeral 5 del artículo 3 del Decreto Ley 4170 de 2011, la Agencia Nacional de Contratación Pública – Colombia Compra Eficiente responde </w:t>
      </w:r>
      <w:r w:rsidR="00D264A2">
        <w:rPr>
          <w:rFonts w:ascii="Arial" w:eastAsia="Calibri" w:hAnsi="Arial" w:cs="Arial"/>
          <w:sz w:val="22"/>
          <w:lang w:val="es-ES"/>
        </w:rPr>
        <w:t>a su</w:t>
      </w:r>
      <w:r w:rsidR="0095087A">
        <w:rPr>
          <w:rFonts w:ascii="Arial" w:eastAsia="Calibri" w:hAnsi="Arial" w:cs="Arial"/>
          <w:sz w:val="22"/>
          <w:lang w:val="es-ES"/>
        </w:rPr>
        <w:t>s</w:t>
      </w:r>
      <w:r w:rsidRPr="001A6379">
        <w:rPr>
          <w:rFonts w:ascii="Arial" w:eastAsia="Calibri" w:hAnsi="Arial" w:cs="Arial"/>
          <w:sz w:val="22"/>
          <w:lang w:val="es-ES"/>
        </w:rPr>
        <w:t xml:space="preserve"> consulta</w:t>
      </w:r>
      <w:r w:rsidR="0095087A">
        <w:rPr>
          <w:rFonts w:ascii="Arial" w:eastAsia="Calibri" w:hAnsi="Arial" w:cs="Arial"/>
          <w:sz w:val="22"/>
          <w:lang w:val="es-ES"/>
        </w:rPr>
        <w:t>s</w:t>
      </w:r>
      <w:r w:rsidRPr="001A6379">
        <w:rPr>
          <w:rFonts w:ascii="Arial" w:eastAsia="Calibri" w:hAnsi="Arial" w:cs="Arial"/>
          <w:sz w:val="22"/>
          <w:lang w:val="es-ES"/>
        </w:rPr>
        <w:t xml:space="preserve"> realizada</w:t>
      </w:r>
      <w:r w:rsidR="0095087A">
        <w:rPr>
          <w:rFonts w:ascii="Arial" w:eastAsia="Calibri" w:hAnsi="Arial" w:cs="Arial"/>
          <w:sz w:val="22"/>
          <w:lang w:val="es-ES"/>
        </w:rPr>
        <w:t>s</w:t>
      </w:r>
      <w:r w:rsidRPr="001A6379">
        <w:rPr>
          <w:rFonts w:ascii="Arial" w:eastAsia="Calibri" w:hAnsi="Arial" w:cs="Arial"/>
          <w:sz w:val="22"/>
          <w:lang w:val="es-ES"/>
        </w:rPr>
        <w:t xml:space="preserve"> el </w:t>
      </w:r>
      <w:r w:rsidR="00A07EE0">
        <w:rPr>
          <w:rFonts w:ascii="Arial" w:eastAsia="Calibri" w:hAnsi="Arial" w:cs="Arial"/>
          <w:sz w:val="22"/>
          <w:lang w:val="es-ES"/>
        </w:rPr>
        <w:t>6</w:t>
      </w:r>
      <w:r w:rsidR="005677D7" w:rsidRPr="001A6379">
        <w:rPr>
          <w:rFonts w:ascii="Arial" w:eastAsia="Calibri" w:hAnsi="Arial" w:cs="Arial"/>
          <w:sz w:val="22"/>
          <w:lang w:val="es-ES"/>
        </w:rPr>
        <w:t xml:space="preserve"> de</w:t>
      </w:r>
      <w:r w:rsidR="00CD2ADD">
        <w:rPr>
          <w:rFonts w:ascii="Arial" w:eastAsia="Calibri" w:hAnsi="Arial" w:cs="Arial"/>
          <w:sz w:val="22"/>
          <w:lang w:val="es-ES"/>
        </w:rPr>
        <w:t xml:space="preserve"> </w:t>
      </w:r>
      <w:r w:rsidR="00A07EE0">
        <w:rPr>
          <w:rFonts w:ascii="Arial" w:eastAsia="Calibri" w:hAnsi="Arial" w:cs="Arial"/>
          <w:sz w:val="22"/>
          <w:lang w:val="es-ES"/>
        </w:rPr>
        <w:t>octubre</w:t>
      </w:r>
      <w:r w:rsidRPr="001A6379">
        <w:rPr>
          <w:rFonts w:ascii="Arial" w:eastAsia="Calibri" w:hAnsi="Arial" w:cs="Arial"/>
          <w:sz w:val="22"/>
          <w:lang w:val="es-ES"/>
        </w:rPr>
        <w:t xml:space="preserve"> de 202</w:t>
      </w:r>
      <w:r w:rsidR="005677D7" w:rsidRPr="001A6379">
        <w:rPr>
          <w:rFonts w:ascii="Arial" w:eastAsia="Calibri" w:hAnsi="Arial" w:cs="Arial"/>
          <w:sz w:val="22"/>
          <w:lang w:val="es-ES"/>
        </w:rPr>
        <w:t>1</w:t>
      </w:r>
      <w:r w:rsidR="00CD2ADD">
        <w:rPr>
          <w:rFonts w:ascii="Arial" w:eastAsia="Calibri" w:hAnsi="Arial" w:cs="Arial"/>
          <w:sz w:val="22"/>
          <w:lang w:val="es-ES"/>
        </w:rPr>
        <w:t>.</w:t>
      </w:r>
      <w:r w:rsidR="00D264A2">
        <w:rPr>
          <w:rFonts w:ascii="Arial" w:eastAsia="Calibri" w:hAnsi="Arial" w:cs="Arial"/>
          <w:sz w:val="22"/>
          <w:lang w:val="es-ES"/>
        </w:rPr>
        <w:t xml:space="preserve"> </w:t>
      </w:r>
    </w:p>
    <w:p w14:paraId="11CF7937" w14:textId="77777777" w:rsidR="00585A49" w:rsidRPr="001A6379" w:rsidRDefault="00585A49" w:rsidP="00585A49">
      <w:pPr>
        <w:spacing w:line="276" w:lineRule="auto"/>
        <w:jc w:val="both"/>
        <w:rPr>
          <w:rFonts w:ascii="Arial" w:eastAsia="Calibri" w:hAnsi="Arial" w:cs="Arial"/>
          <w:sz w:val="22"/>
          <w:lang w:val="es-ES"/>
        </w:rPr>
      </w:pPr>
    </w:p>
    <w:p w14:paraId="5F69DB71" w14:textId="77777777" w:rsidR="00585A49" w:rsidRPr="001A6379" w:rsidRDefault="00585A49" w:rsidP="00585A49">
      <w:pPr>
        <w:pStyle w:val="Prrafodelista"/>
        <w:numPr>
          <w:ilvl w:val="0"/>
          <w:numId w:val="1"/>
        </w:numPr>
        <w:tabs>
          <w:tab w:val="left" w:pos="284"/>
        </w:tabs>
        <w:spacing w:line="276" w:lineRule="auto"/>
        <w:ind w:left="0" w:firstLine="0"/>
        <w:jc w:val="both"/>
        <w:rPr>
          <w:rFonts w:ascii="Arial" w:eastAsia="Calibri" w:hAnsi="Arial" w:cs="Arial"/>
          <w:b/>
          <w:sz w:val="22"/>
          <w:lang w:val="es-ES"/>
        </w:rPr>
      </w:pPr>
      <w:r w:rsidRPr="001A6379">
        <w:rPr>
          <w:rFonts w:ascii="Arial" w:eastAsia="Calibri" w:hAnsi="Arial" w:cs="Arial"/>
          <w:b/>
          <w:sz w:val="22"/>
          <w:lang w:val="es-ES"/>
        </w:rPr>
        <w:t xml:space="preserve">Problemas planteados </w:t>
      </w:r>
    </w:p>
    <w:p w14:paraId="7B145B2F" w14:textId="77777777" w:rsidR="00585A49" w:rsidRPr="001A6379" w:rsidRDefault="00585A49" w:rsidP="00585A49">
      <w:pPr>
        <w:tabs>
          <w:tab w:val="left" w:pos="426"/>
        </w:tabs>
        <w:spacing w:line="276" w:lineRule="auto"/>
        <w:jc w:val="both"/>
        <w:rPr>
          <w:rFonts w:ascii="Arial" w:eastAsia="Calibri" w:hAnsi="Arial" w:cs="Arial"/>
          <w:b/>
          <w:sz w:val="22"/>
          <w:lang w:val="es-ES"/>
        </w:rPr>
      </w:pPr>
    </w:p>
    <w:p w14:paraId="1F04B0E3" w14:textId="1FAABC42" w:rsidR="005E5C68" w:rsidRDefault="00856AD8" w:rsidP="00F11E27">
      <w:pPr>
        <w:spacing w:line="276" w:lineRule="auto"/>
        <w:jc w:val="both"/>
        <w:rPr>
          <w:rFonts w:ascii="Arial" w:eastAsia="Calibri" w:hAnsi="Arial" w:cs="Arial"/>
          <w:sz w:val="22"/>
          <w:lang w:val="es-ES"/>
        </w:rPr>
      </w:pPr>
      <w:bookmarkStart w:id="2" w:name="_Hlk73341859"/>
      <w:bookmarkStart w:id="3" w:name="_Hlk56103000"/>
      <w:r w:rsidRPr="001A6379">
        <w:rPr>
          <w:rFonts w:ascii="Arial" w:eastAsia="Calibri" w:hAnsi="Arial" w:cs="Arial"/>
          <w:sz w:val="22"/>
          <w:lang w:val="es-ES"/>
        </w:rPr>
        <w:t xml:space="preserve">Sobre </w:t>
      </w:r>
      <w:r w:rsidR="0065413F">
        <w:rPr>
          <w:rFonts w:ascii="Arial" w:eastAsia="Calibri" w:hAnsi="Arial" w:cs="Arial"/>
          <w:sz w:val="22"/>
          <w:lang w:val="es-ES"/>
        </w:rPr>
        <w:t xml:space="preserve">la experiencia específica requerida en </w:t>
      </w:r>
      <w:r w:rsidR="00A07EE0">
        <w:rPr>
          <w:rFonts w:ascii="Arial" w:eastAsia="Calibri" w:hAnsi="Arial" w:cs="Arial"/>
          <w:sz w:val="22"/>
          <w:lang w:val="es-ES"/>
        </w:rPr>
        <w:t xml:space="preserve">la </w:t>
      </w:r>
      <w:r w:rsidR="009A6374" w:rsidRPr="001A6379">
        <w:rPr>
          <w:rFonts w:ascii="Arial" w:eastAsia="Calibri" w:hAnsi="Arial" w:cs="Arial"/>
          <w:sz w:val="22"/>
          <w:lang w:val="es-ES"/>
        </w:rPr>
        <w:t>«Matriz 1 – Experiencia»</w:t>
      </w:r>
      <w:r w:rsidR="00A07EE0">
        <w:rPr>
          <w:rFonts w:ascii="Arial" w:eastAsia="Calibri" w:hAnsi="Arial" w:cs="Arial"/>
          <w:sz w:val="22"/>
          <w:lang w:val="es-ES"/>
        </w:rPr>
        <w:t xml:space="preserve"> </w:t>
      </w:r>
      <w:r w:rsidR="0007303B">
        <w:rPr>
          <w:rFonts w:ascii="Arial" w:eastAsia="Calibri" w:hAnsi="Arial" w:cs="Arial"/>
          <w:sz w:val="22"/>
          <w:lang w:val="es-ES"/>
        </w:rPr>
        <w:t xml:space="preserve">de los </w:t>
      </w:r>
      <w:r w:rsidR="00A07EE0" w:rsidRPr="001A6379">
        <w:rPr>
          <w:rFonts w:ascii="Arial" w:eastAsia="Calibri" w:hAnsi="Arial" w:cs="Arial"/>
          <w:sz w:val="22"/>
          <w:lang w:val="es-ES"/>
        </w:rPr>
        <w:t xml:space="preserve">«Documentos Tipo </w:t>
      </w:r>
      <w:r w:rsidR="00A07EE0">
        <w:rPr>
          <w:rFonts w:ascii="Arial" w:eastAsia="Calibri" w:hAnsi="Arial" w:cs="Arial"/>
          <w:sz w:val="22"/>
          <w:lang w:val="es-ES"/>
        </w:rPr>
        <w:t xml:space="preserve">para </w:t>
      </w:r>
      <w:r w:rsidR="0007303B">
        <w:rPr>
          <w:rFonts w:ascii="Arial" w:eastAsia="Calibri" w:hAnsi="Arial" w:cs="Arial"/>
          <w:sz w:val="22"/>
          <w:lang w:val="es-ES"/>
        </w:rPr>
        <w:t>L</w:t>
      </w:r>
      <w:r w:rsidR="00A07EE0">
        <w:rPr>
          <w:rFonts w:ascii="Arial" w:eastAsia="Calibri" w:hAnsi="Arial" w:cs="Arial"/>
          <w:sz w:val="22"/>
          <w:lang w:val="es-ES"/>
        </w:rPr>
        <w:t xml:space="preserve">icitación de </w:t>
      </w:r>
      <w:r w:rsidR="0007303B">
        <w:rPr>
          <w:rFonts w:ascii="Arial" w:eastAsia="Calibri" w:hAnsi="Arial" w:cs="Arial"/>
          <w:sz w:val="22"/>
          <w:lang w:val="es-ES"/>
        </w:rPr>
        <w:t>O</w:t>
      </w:r>
      <w:r w:rsidR="00A07EE0">
        <w:rPr>
          <w:rFonts w:ascii="Arial" w:eastAsia="Calibri" w:hAnsi="Arial" w:cs="Arial"/>
          <w:sz w:val="22"/>
          <w:lang w:val="es-ES"/>
        </w:rPr>
        <w:t xml:space="preserve">bras </w:t>
      </w:r>
      <w:r w:rsidR="0007303B">
        <w:rPr>
          <w:rFonts w:ascii="Arial" w:eastAsia="Calibri" w:hAnsi="Arial" w:cs="Arial"/>
          <w:sz w:val="22"/>
          <w:lang w:val="es-ES"/>
        </w:rPr>
        <w:t>P</w:t>
      </w:r>
      <w:r w:rsidR="00A07EE0">
        <w:rPr>
          <w:rFonts w:ascii="Arial" w:eastAsia="Calibri" w:hAnsi="Arial" w:cs="Arial"/>
          <w:sz w:val="22"/>
          <w:lang w:val="es-ES"/>
        </w:rPr>
        <w:t>úblicas</w:t>
      </w:r>
      <w:r w:rsidR="0007303B">
        <w:rPr>
          <w:rFonts w:ascii="Arial" w:eastAsia="Calibri" w:hAnsi="Arial" w:cs="Arial"/>
          <w:sz w:val="22"/>
          <w:lang w:val="es-ES"/>
        </w:rPr>
        <w:t xml:space="preserve"> de Infraestructura de Transporte</w:t>
      </w:r>
      <w:r w:rsidR="00A07EE0">
        <w:rPr>
          <w:rFonts w:ascii="Arial" w:eastAsia="Calibri" w:hAnsi="Arial" w:cs="Arial"/>
          <w:sz w:val="22"/>
          <w:lang w:val="es-ES"/>
        </w:rPr>
        <w:t xml:space="preserve"> </w:t>
      </w:r>
      <w:r w:rsidR="00A07EE0" w:rsidRPr="001A6379">
        <w:rPr>
          <w:rFonts w:ascii="Arial" w:eastAsia="Calibri" w:hAnsi="Arial" w:cs="Arial"/>
          <w:sz w:val="22"/>
          <w:lang w:val="es-ES"/>
        </w:rPr>
        <w:t>–Versión 3»</w:t>
      </w:r>
      <w:r w:rsidR="0007303B">
        <w:rPr>
          <w:rFonts w:ascii="Arial" w:eastAsia="Calibri" w:hAnsi="Arial" w:cs="Arial"/>
          <w:sz w:val="22"/>
          <w:lang w:val="es-ES"/>
        </w:rPr>
        <w:t xml:space="preserve">, en relación con la actividad a contratar número </w:t>
      </w:r>
      <w:r w:rsidR="0007303B" w:rsidRPr="001A6379">
        <w:rPr>
          <w:rFonts w:ascii="Arial" w:eastAsia="Calibri" w:hAnsi="Arial" w:cs="Arial"/>
          <w:sz w:val="22"/>
          <w:lang w:val="es-ES"/>
        </w:rPr>
        <w:t>«</w:t>
      </w:r>
      <w:r w:rsidR="0007303B">
        <w:rPr>
          <w:rFonts w:ascii="Arial" w:eastAsia="Calibri" w:hAnsi="Arial" w:cs="Arial"/>
          <w:sz w:val="22"/>
          <w:lang w:val="es-ES"/>
        </w:rPr>
        <w:t>6.16 PROYECTOS DE SEÑALIZACIÓN Y/O DEMARCACIÓN DE VÍAS URBANAS</w:t>
      </w:r>
      <w:r w:rsidR="0007303B" w:rsidRPr="001A6379">
        <w:rPr>
          <w:rFonts w:ascii="Arial" w:eastAsia="Calibri" w:hAnsi="Arial" w:cs="Arial"/>
          <w:sz w:val="22"/>
          <w:lang w:val="es-ES"/>
        </w:rPr>
        <w:t>»</w:t>
      </w:r>
      <w:r w:rsidR="009A6374">
        <w:rPr>
          <w:rFonts w:ascii="Arial" w:eastAsia="Calibri" w:hAnsi="Arial" w:cs="Arial"/>
          <w:sz w:val="22"/>
          <w:lang w:val="es-ES"/>
        </w:rPr>
        <w:t>;</w:t>
      </w:r>
      <w:r w:rsidR="0065413F">
        <w:rPr>
          <w:rFonts w:ascii="Arial" w:eastAsia="Calibri" w:hAnsi="Arial" w:cs="Arial"/>
          <w:sz w:val="22"/>
          <w:lang w:val="es-ES"/>
        </w:rPr>
        <w:t xml:space="preserve"> </w:t>
      </w:r>
      <w:r w:rsidR="0006474B" w:rsidRPr="001A6379">
        <w:rPr>
          <w:rFonts w:ascii="Arial" w:eastAsia="Calibri" w:hAnsi="Arial" w:cs="Arial"/>
          <w:sz w:val="22"/>
          <w:lang w:val="es-ES"/>
        </w:rPr>
        <w:t>usted solicita se</w:t>
      </w:r>
      <w:r w:rsidR="005E5C68">
        <w:rPr>
          <w:rFonts w:ascii="Arial" w:eastAsia="Calibri" w:hAnsi="Arial" w:cs="Arial"/>
          <w:sz w:val="22"/>
          <w:lang w:val="es-ES"/>
        </w:rPr>
        <w:t xml:space="preserve"> aclare</w:t>
      </w:r>
      <w:r w:rsidR="00994DD1">
        <w:rPr>
          <w:rFonts w:ascii="Arial" w:eastAsia="Calibri" w:hAnsi="Arial" w:cs="Arial"/>
          <w:sz w:val="22"/>
          <w:lang w:val="es-ES"/>
        </w:rPr>
        <w:t>n</w:t>
      </w:r>
      <w:r w:rsidR="005E5C68">
        <w:rPr>
          <w:rFonts w:ascii="Arial" w:eastAsia="Calibri" w:hAnsi="Arial" w:cs="Arial"/>
          <w:sz w:val="22"/>
          <w:lang w:val="es-ES"/>
        </w:rPr>
        <w:t xml:space="preserve"> las siguientes inquietudes: </w:t>
      </w:r>
    </w:p>
    <w:p w14:paraId="0CFC21B5" w14:textId="77777777" w:rsidR="005E5C68" w:rsidRDefault="005E5C68" w:rsidP="00F11E27">
      <w:pPr>
        <w:spacing w:line="276" w:lineRule="auto"/>
        <w:jc w:val="both"/>
        <w:rPr>
          <w:rFonts w:ascii="Arial" w:eastAsia="Calibri" w:hAnsi="Arial" w:cs="Arial"/>
          <w:sz w:val="22"/>
          <w:lang w:val="es-ES"/>
        </w:rPr>
      </w:pPr>
    </w:p>
    <w:p w14:paraId="78F5D188" w14:textId="039774F9" w:rsidR="007730BB" w:rsidRDefault="005E5C68" w:rsidP="007730BB">
      <w:pPr>
        <w:ind w:left="709" w:right="709"/>
        <w:jc w:val="both"/>
        <w:rPr>
          <w:rFonts w:ascii="Arial" w:hAnsi="Arial" w:cs="Arial"/>
          <w:color w:val="000000" w:themeColor="text1"/>
          <w:sz w:val="21"/>
          <w:szCs w:val="21"/>
          <w:lang w:val="es-ES_tradnl"/>
        </w:rPr>
      </w:pPr>
      <w:r w:rsidRPr="008918A2">
        <w:rPr>
          <w:rFonts w:ascii="Arial" w:hAnsi="Arial" w:cs="Arial"/>
          <w:color w:val="000000" w:themeColor="text1"/>
          <w:sz w:val="21"/>
          <w:szCs w:val="21"/>
          <w:lang w:val="es-ES_tradnl"/>
        </w:rPr>
        <w:t>«</w:t>
      </w:r>
      <w:r w:rsidR="007730BB">
        <w:rPr>
          <w:rFonts w:ascii="Arial" w:hAnsi="Arial" w:cs="Arial"/>
          <w:color w:val="000000" w:themeColor="text1"/>
          <w:sz w:val="21"/>
          <w:szCs w:val="21"/>
          <w:lang w:val="es-ES_tradnl"/>
        </w:rPr>
        <w:t>1. [¿]</w:t>
      </w:r>
      <w:r w:rsidR="00004DE5">
        <w:rPr>
          <w:rFonts w:ascii="Arial" w:hAnsi="Arial" w:cs="Arial"/>
          <w:color w:val="000000" w:themeColor="text1"/>
          <w:sz w:val="21"/>
          <w:szCs w:val="21"/>
          <w:lang w:val="es-ES_tradnl"/>
        </w:rPr>
        <w:t xml:space="preserve"> La experiencia específica solo se puede acreditar con un único contrato de los máximo 6 reportados en la experiencia general? o</w:t>
      </w:r>
      <w:r w:rsidR="00D66D16">
        <w:rPr>
          <w:rFonts w:ascii="Arial" w:hAnsi="Arial" w:cs="Arial"/>
          <w:color w:val="000000" w:themeColor="text1"/>
          <w:sz w:val="21"/>
          <w:szCs w:val="21"/>
          <w:lang w:val="es-ES_tradnl"/>
        </w:rPr>
        <w:t xml:space="preserve"> </w:t>
      </w:r>
    </w:p>
    <w:p w14:paraId="230C66D4" w14:textId="5EB07A00" w:rsidR="00585A49" w:rsidRPr="00D66D16" w:rsidRDefault="007730BB" w:rsidP="007730BB">
      <w:pPr>
        <w:ind w:left="709" w:right="709"/>
        <w:jc w:val="both"/>
        <w:rPr>
          <w:rFonts w:ascii="Arial" w:hAnsi="Arial" w:cs="Arial"/>
          <w:color w:val="000000" w:themeColor="text1"/>
          <w:sz w:val="21"/>
          <w:szCs w:val="21"/>
          <w:lang w:val="es-ES_tradnl"/>
        </w:rPr>
      </w:pPr>
      <w:r w:rsidRPr="008918A2">
        <w:rPr>
          <w:rFonts w:ascii="Arial" w:hAnsi="Arial" w:cs="Arial"/>
          <w:color w:val="000000" w:themeColor="text1"/>
          <w:sz w:val="21"/>
          <w:szCs w:val="21"/>
          <w:lang w:val="es-ES_tradnl"/>
        </w:rPr>
        <w:t>«</w:t>
      </w:r>
      <w:r w:rsidR="00004DE5">
        <w:rPr>
          <w:rFonts w:ascii="Arial" w:hAnsi="Arial" w:cs="Arial"/>
          <w:color w:val="000000" w:themeColor="text1"/>
          <w:sz w:val="21"/>
          <w:szCs w:val="21"/>
          <w:lang w:val="es-ES_tradnl"/>
        </w:rPr>
        <w:t>2.</w:t>
      </w:r>
      <w:r>
        <w:rPr>
          <w:rFonts w:ascii="Arial" w:hAnsi="Arial" w:cs="Arial"/>
          <w:color w:val="000000" w:themeColor="text1"/>
          <w:sz w:val="21"/>
          <w:szCs w:val="21"/>
          <w:lang w:val="es-ES_tradnl"/>
        </w:rPr>
        <w:t xml:space="preserve"> [¿] La experiencia específica se puede acreditar con la sumatoria de los valores de uno o varios de los contratos aportados en la experiencia general, respecto a las actividades relacionadas para dicha experiencia específica?</w:t>
      </w:r>
      <w:r w:rsidR="005E5C68" w:rsidRPr="008918A2">
        <w:rPr>
          <w:rFonts w:ascii="Arial" w:hAnsi="Arial" w:cs="Arial"/>
          <w:color w:val="000000" w:themeColor="text1"/>
          <w:sz w:val="21"/>
          <w:szCs w:val="21"/>
          <w:lang w:val="es-ES_tradnl"/>
        </w:rPr>
        <w:t>».</w:t>
      </w:r>
      <w:bookmarkEnd w:id="2"/>
      <w:r w:rsidR="00D700AB" w:rsidRPr="001A6379">
        <w:rPr>
          <w:rFonts w:ascii="Arial" w:eastAsia="Calibri" w:hAnsi="Arial" w:cs="Arial"/>
          <w:sz w:val="22"/>
          <w:lang w:val="es-ES"/>
        </w:rPr>
        <w:cr/>
        <w:t xml:space="preserve"> </w:t>
      </w:r>
      <w:r w:rsidR="00585A49" w:rsidRPr="001A6379">
        <w:rPr>
          <w:rFonts w:ascii="Arial" w:eastAsia="Calibri" w:hAnsi="Arial" w:cs="Arial"/>
          <w:sz w:val="22"/>
          <w:lang w:val="es-ES"/>
        </w:rPr>
        <w:t xml:space="preserve"> </w:t>
      </w:r>
    </w:p>
    <w:bookmarkEnd w:id="3"/>
    <w:p w14:paraId="2DD19DF2" w14:textId="76D3651F" w:rsidR="00585A49" w:rsidRDefault="00585A49" w:rsidP="00585A49">
      <w:pPr>
        <w:pStyle w:val="Prrafodelista"/>
        <w:numPr>
          <w:ilvl w:val="0"/>
          <w:numId w:val="1"/>
        </w:numPr>
        <w:tabs>
          <w:tab w:val="left" w:pos="426"/>
        </w:tabs>
        <w:spacing w:line="276" w:lineRule="auto"/>
        <w:ind w:left="284" w:hanging="284"/>
        <w:jc w:val="both"/>
        <w:rPr>
          <w:rFonts w:ascii="Arial" w:eastAsia="Calibri" w:hAnsi="Arial" w:cs="Arial"/>
          <w:b/>
          <w:sz w:val="22"/>
          <w:lang w:val="es-ES"/>
        </w:rPr>
      </w:pPr>
      <w:r w:rsidRPr="001A6379">
        <w:rPr>
          <w:rFonts w:ascii="Arial" w:eastAsia="Calibri" w:hAnsi="Arial" w:cs="Arial"/>
          <w:b/>
          <w:sz w:val="22"/>
          <w:lang w:val="es-ES"/>
        </w:rPr>
        <w:t>Consideraciones</w:t>
      </w:r>
    </w:p>
    <w:p w14:paraId="4B8F5A9F" w14:textId="3918CB51" w:rsidR="004722E6" w:rsidRDefault="004722E6" w:rsidP="00A47722">
      <w:pPr>
        <w:spacing w:line="276" w:lineRule="auto"/>
        <w:jc w:val="both"/>
        <w:rPr>
          <w:rFonts w:ascii="Arial" w:hAnsi="Arial" w:cs="Arial"/>
          <w:sz w:val="22"/>
          <w:lang w:val="es-ES"/>
        </w:rPr>
      </w:pPr>
      <w:bookmarkStart w:id="4" w:name="_Hlk60921449"/>
    </w:p>
    <w:p w14:paraId="3C3DFA59" w14:textId="77777777" w:rsidR="00A05ECA" w:rsidRDefault="00A05ECA" w:rsidP="00A05ECA">
      <w:pPr>
        <w:spacing w:after="120" w:line="276" w:lineRule="auto"/>
        <w:jc w:val="both"/>
        <w:rPr>
          <w:rFonts w:ascii="Arial" w:eastAsia="Calibri" w:hAnsi="Arial" w:cs="Arial"/>
          <w:color w:val="000000" w:themeColor="text1"/>
          <w:sz w:val="22"/>
          <w:lang w:val="es-ES"/>
        </w:rPr>
      </w:pPr>
      <w:r w:rsidRPr="003A4F71">
        <w:rPr>
          <w:rFonts w:ascii="Arial" w:hAnsi="Arial" w:cs="Arial"/>
          <w:sz w:val="22"/>
        </w:rPr>
        <w:t xml:space="preserve">La Agencia Nacional de Contratación Pública </w:t>
      </w:r>
      <w:r w:rsidRPr="003A4F71">
        <w:rPr>
          <w:rFonts w:ascii="Arial" w:eastAsia="Calibri" w:hAnsi="Arial" w:cs="Arial"/>
          <w:sz w:val="22"/>
        </w:rPr>
        <w:t>–</w:t>
      </w:r>
      <w:r w:rsidRPr="003A4F71">
        <w:rPr>
          <w:rFonts w:ascii="Arial" w:hAnsi="Arial" w:cs="Arial"/>
          <w:sz w:val="22"/>
        </w:rPr>
        <w:t xml:space="preserve"> Colombia Compra Eficiente se ha pronunciado en diferentes conceptos sobre la forma de establecer y acreditar la experiencia exigible en procesos de contratación adelantados con documentos tipo, en los </w:t>
      </w:r>
      <w:r>
        <w:rPr>
          <w:rFonts w:ascii="Arial" w:hAnsi="Arial" w:cs="Arial"/>
          <w:sz w:val="22"/>
        </w:rPr>
        <w:t>C</w:t>
      </w:r>
      <w:r w:rsidRPr="003A4F71">
        <w:rPr>
          <w:rFonts w:ascii="Arial" w:hAnsi="Arial" w:cs="Arial"/>
          <w:sz w:val="22"/>
        </w:rPr>
        <w:t>onceptos 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w:t>
      </w:r>
      <w:r>
        <w:rPr>
          <w:rFonts w:ascii="Arial" w:hAnsi="Arial" w:cs="Arial"/>
          <w:sz w:val="22"/>
        </w:rPr>
        <w:t>,</w:t>
      </w:r>
      <w:r w:rsidRPr="003A4F71">
        <w:rPr>
          <w:rFonts w:ascii="Arial" w:hAnsi="Arial" w:cs="Arial"/>
          <w:sz w:val="22"/>
        </w:rPr>
        <w:t xml:space="preserve"> C-698 del 19 de noviembre de 2020</w:t>
      </w:r>
      <w:r>
        <w:rPr>
          <w:rFonts w:ascii="Arial" w:hAnsi="Arial" w:cs="Arial"/>
          <w:sz w:val="22"/>
        </w:rPr>
        <w:t xml:space="preserve">, C-713 del 2 de diciembre de 2020, </w:t>
      </w:r>
      <w:r w:rsidRPr="00114D72">
        <w:rPr>
          <w:rFonts w:ascii="Arial" w:hAnsi="Arial" w:cs="Arial"/>
          <w:sz w:val="22"/>
        </w:rPr>
        <w:t>C-105 del 26 de marzo de 202</w:t>
      </w:r>
      <w:r>
        <w:rPr>
          <w:rFonts w:ascii="Arial" w:hAnsi="Arial" w:cs="Arial"/>
          <w:sz w:val="22"/>
        </w:rPr>
        <w:t>1,</w:t>
      </w:r>
      <w:r w:rsidRPr="00114D72">
        <w:rPr>
          <w:rFonts w:ascii="Arial" w:hAnsi="Arial" w:cs="Arial"/>
          <w:sz w:val="22"/>
        </w:rPr>
        <w:t xml:space="preserve"> C-152 del 12 de abril de 2021</w:t>
      </w:r>
      <w:r>
        <w:rPr>
          <w:rFonts w:ascii="Arial" w:hAnsi="Arial" w:cs="Arial"/>
          <w:sz w:val="22"/>
        </w:rPr>
        <w:t>, C-361 del 10 de agosto de 2021 y C-464 de 13 de septiembre de 2021.</w:t>
      </w:r>
    </w:p>
    <w:p w14:paraId="30B9EF71" w14:textId="7F55CD3F" w:rsidR="00A05ECA" w:rsidRPr="001A6379" w:rsidRDefault="008A7578" w:rsidP="00BC065A">
      <w:pPr>
        <w:spacing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Además</w:t>
      </w:r>
      <w:r w:rsidR="00A05ECA" w:rsidRPr="001A6379">
        <w:rPr>
          <w:rFonts w:ascii="Arial" w:eastAsia="Calibri" w:hAnsi="Arial" w:cs="Arial"/>
          <w:color w:val="000000" w:themeColor="text1"/>
          <w:sz w:val="22"/>
          <w:lang w:val="es-ES"/>
        </w:rPr>
        <w:t xml:space="preserve">, en </w:t>
      </w:r>
      <w:r w:rsidR="00A05ECA">
        <w:rPr>
          <w:rFonts w:ascii="Arial" w:eastAsia="Calibri" w:hAnsi="Arial" w:cs="Arial"/>
          <w:color w:val="000000" w:themeColor="text1"/>
          <w:sz w:val="22"/>
          <w:lang w:val="es-ES"/>
        </w:rPr>
        <w:t>los</w:t>
      </w:r>
      <w:r w:rsidR="00A05ECA" w:rsidRPr="001A6379">
        <w:rPr>
          <w:rFonts w:ascii="Arial" w:eastAsia="Calibri" w:hAnsi="Arial" w:cs="Arial"/>
          <w:color w:val="000000" w:themeColor="text1"/>
          <w:sz w:val="22"/>
          <w:lang w:val="es-ES"/>
        </w:rPr>
        <w:t xml:space="preserve"> concepto</w:t>
      </w:r>
      <w:r w:rsidR="00A05ECA">
        <w:rPr>
          <w:rFonts w:ascii="Arial" w:eastAsia="Calibri" w:hAnsi="Arial" w:cs="Arial"/>
          <w:color w:val="000000" w:themeColor="text1"/>
          <w:sz w:val="22"/>
          <w:lang w:val="es-ES"/>
        </w:rPr>
        <w:t>s</w:t>
      </w:r>
      <w:r w:rsidR="00A05ECA" w:rsidRPr="001A6379">
        <w:rPr>
          <w:rFonts w:ascii="Arial" w:eastAsia="Calibri" w:hAnsi="Arial" w:cs="Arial"/>
          <w:color w:val="000000" w:themeColor="text1"/>
          <w:sz w:val="22"/>
          <w:lang w:val="es-ES"/>
        </w:rPr>
        <w:t xml:space="preserve"> C-109 del 29 de marzo de 2021</w:t>
      </w:r>
      <w:r w:rsidR="00A05ECA">
        <w:rPr>
          <w:rFonts w:ascii="Arial" w:eastAsia="Calibri" w:hAnsi="Arial" w:cs="Arial"/>
          <w:color w:val="000000" w:themeColor="text1"/>
          <w:sz w:val="22"/>
          <w:lang w:val="es-ES"/>
        </w:rPr>
        <w:t>, C-246 de 31 de mayo de 2021 y C-331 de 22 de julio de 2021</w:t>
      </w:r>
      <w:r w:rsidR="00A05ECA" w:rsidRPr="001A6379">
        <w:rPr>
          <w:rFonts w:ascii="Arial" w:eastAsia="Calibri" w:hAnsi="Arial" w:cs="Arial"/>
          <w:color w:val="000000" w:themeColor="text1"/>
          <w:sz w:val="22"/>
          <w:lang w:val="es-ES"/>
        </w:rPr>
        <w:t xml:space="preserve">, estableció la manera en la que los proponentes deben acreditar la experiencia exigida cuando el objeto a contratar corresponde a </w:t>
      </w:r>
      <w:r w:rsidR="00A05ECA">
        <w:rPr>
          <w:rFonts w:ascii="Arial" w:eastAsia="Calibri" w:hAnsi="Arial" w:cs="Arial"/>
          <w:color w:val="000000" w:themeColor="text1"/>
          <w:sz w:val="22"/>
          <w:lang w:val="es-ES"/>
        </w:rPr>
        <w:t>una</w:t>
      </w:r>
      <w:r w:rsidR="00A05ECA" w:rsidRPr="001A6379">
        <w:rPr>
          <w:rFonts w:ascii="Arial" w:eastAsia="Calibri" w:hAnsi="Arial" w:cs="Arial"/>
          <w:color w:val="000000" w:themeColor="text1"/>
          <w:sz w:val="22"/>
          <w:lang w:val="es-ES"/>
        </w:rPr>
        <w:t xml:space="preserve"> actividad </w:t>
      </w:r>
      <w:r w:rsidR="00A05ECA">
        <w:rPr>
          <w:rFonts w:ascii="Arial" w:eastAsia="Calibri" w:hAnsi="Arial" w:cs="Arial"/>
          <w:color w:val="000000" w:themeColor="text1"/>
          <w:sz w:val="22"/>
          <w:lang w:val="es-ES"/>
        </w:rPr>
        <w:t xml:space="preserve">de las enlistadas en el tipo de obras del numeral </w:t>
      </w:r>
      <w:r w:rsidR="00A05ECA" w:rsidRPr="001A6379">
        <w:rPr>
          <w:rFonts w:ascii="Arial" w:hAnsi="Arial" w:cs="Arial"/>
          <w:sz w:val="22"/>
          <w:lang w:val="es-ES"/>
        </w:rPr>
        <w:t>«</w:t>
      </w:r>
      <w:r w:rsidR="00A05ECA">
        <w:rPr>
          <w:rFonts w:ascii="Arial" w:eastAsia="Calibri" w:hAnsi="Arial" w:cs="Arial"/>
          <w:color w:val="000000" w:themeColor="text1"/>
          <w:sz w:val="22"/>
          <w:lang w:val="es-ES"/>
        </w:rPr>
        <w:t>6. OBRAS DE INFRAESTRUCTURA VIAL URBANA</w:t>
      </w:r>
      <w:r w:rsidR="00A05ECA" w:rsidRPr="001A6379">
        <w:rPr>
          <w:rFonts w:ascii="Arial" w:hAnsi="Arial" w:cs="Arial"/>
          <w:sz w:val="22"/>
          <w:lang w:val="es-ES"/>
        </w:rPr>
        <w:t>» prevista en la «Matriz 1 – Experiencia» de los Documentos Tipo de licitación pública de infraestructura de transporte</w:t>
      </w:r>
      <w:r>
        <w:rPr>
          <w:rFonts w:ascii="Arial" w:hAnsi="Arial" w:cs="Arial"/>
          <w:sz w:val="22"/>
          <w:lang w:val="es-ES"/>
        </w:rPr>
        <w:t xml:space="preserve"> –</w:t>
      </w:r>
      <w:r w:rsidR="00A05ECA" w:rsidRPr="001A6379">
        <w:rPr>
          <w:rFonts w:ascii="Arial" w:hAnsi="Arial" w:cs="Arial"/>
          <w:sz w:val="22"/>
          <w:lang w:val="es-ES"/>
        </w:rPr>
        <w:t xml:space="preserve"> Versión 3. </w:t>
      </w:r>
      <w:r w:rsidR="00A05ECA" w:rsidRPr="001A6379">
        <w:rPr>
          <w:rFonts w:ascii="Arial" w:hAnsi="Arial" w:cs="Arial"/>
          <w:color w:val="000000" w:themeColor="text1"/>
          <w:sz w:val="22"/>
          <w:lang w:val="es-ES"/>
        </w:rPr>
        <w:t xml:space="preserve">La tesis expuesta en </w:t>
      </w:r>
      <w:r w:rsidR="00A05ECA">
        <w:rPr>
          <w:rFonts w:ascii="Arial" w:hAnsi="Arial" w:cs="Arial"/>
          <w:color w:val="000000" w:themeColor="text1"/>
          <w:sz w:val="22"/>
          <w:lang w:val="es-ES"/>
        </w:rPr>
        <w:t>los</w:t>
      </w:r>
      <w:r w:rsidR="00A05ECA" w:rsidRPr="001A6379">
        <w:rPr>
          <w:rFonts w:ascii="Arial" w:hAnsi="Arial" w:cs="Arial"/>
          <w:color w:val="000000" w:themeColor="text1"/>
          <w:sz w:val="22"/>
          <w:lang w:val="es-ES"/>
        </w:rPr>
        <w:t xml:space="preserve"> mencionado</w:t>
      </w:r>
      <w:r w:rsidR="00A05ECA">
        <w:rPr>
          <w:rFonts w:ascii="Arial" w:hAnsi="Arial" w:cs="Arial"/>
          <w:color w:val="000000" w:themeColor="text1"/>
          <w:sz w:val="22"/>
          <w:lang w:val="es-ES"/>
        </w:rPr>
        <w:t>s</w:t>
      </w:r>
      <w:r w:rsidR="00A05ECA" w:rsidRPr="001A6379">
        <w:rPr>
          <w:rFonts w:ascii="Arial" w:hAnsi="Arial" w:cs="Arial"/>
          <w:color w:val="000000" w:themeColor="text1"/>
          <w:sz w:val="22"/>
          <w:lang w:val="es-ES"/>
        </w:rPr>
        <w:t xml:space="preserve"> concepto</w:t>
      </w:r>
      <w:r w:rsidR="00A05ECA">
        <w:rPr>
          <w:rFonts w:ascii="Arial" w:hAnsi="Arial" w:cs="Arial"/>
          <w:color w:val="000000" w:themeColor="text1"/>
          <w:sz w:val="22"/>
          <w:lang w:val="es-ES"/>
        </w:rPr>
        <w:t>s</w:t>
      </w:r>
      <w:r w:rsidR="00A05ECA" w:rsidRPr="001A6379">
        <w:rPr>
          <w:rFonts w:ascii="Arial" w:hAnsi="Arial" w:cs="Arial"/>
          <w:color w:val="000000" w:themeColor="text1"/>
          <w:sz w:val="22"/>
          <w:lang w:val="es-ES"/>
        </w:rPr>
        <w:t xml:space="preserve"> </w:t>
      </w:r>
      <w:r w:rsidR="00A05ECA">
        <w:rPr>
          <w:rFonts w:ascii="Arial" w:hAnsi="Arial" w:cs="Arial"/>
          <w:color w:val="000000" w:themeColor="text1"/>
          <w:sz w:val="22"/>
          <w:lang w:val="es-ES"/>
        </w:rPr>
        <w:t xml:space="preserve">se </w:t>
      </w:r>
      <w:r w:rsidR="00A05ECA" w:rsidRPr="001A6379">
        <w:rPr>
          <w:rFonts w:ascii="Arial" w:hAnsi="Arial" w:cs="Arial"/>
          <w:color w:val="000000" w:themeColor="text1"/>
          <w:sz w:val="22"/>
          <w:lang w:val="es-ES"/>
        </w:rPr>
        <w:t>reitera a continuación y se complementa en lo pertinente</w:t>
      </w:r>
      <w:r w:rsidR="00A05ECA">
        <w:rPr>
          <w:rFonts w:ascii="Arial" w:hAnsi="Arial" w:cs="Arial"/>
          <w:color w:val="000000" w:themeColor="text1"/>
          <w:sz w:val="22"/>
          <w:lang w:val="es-ES"/>
        </w:rPr>
        <w:t>.</w:t>
      </w:r>
    </w:p>
    <w:p w14:paraId="073CA2CB" w14:textId="77777777" w:rsidR="00A05ECA" w:rsidRDefault="00A05ECA" w:rsidP="008A7578">
      <w:pPr>
        <w:spacing w:line="276" w:lineRule="auto"/>
        <w:jc w:val="both"/>
        <w:rPr>
          <w:rFonts w:ascii="Arial" w:hAnsi="Arial" w:cs="Arial"/>
          <w:sz w:val="22"/>
          <w:lang w:val="es-ES"/>
        </w:rPr>
      </w:pPr>
    </w:p>
    <w:p w14:paraId="6453634E" w14:textId="19AFF3E8" w:rsidR="00A05ECA" w:rsidRDefault="004722E6" w:rsidP="008A7578">
      <w:pPr>
        <w:spacing w:line="276" w:lineRule="auto"/>
        <w:jc w:val="both"/>
        <w:rPr>
          <w:rFonts w:ascii="Arial" w:hAnsi="Arial" w:cs="Arial"/>
          <w:b/>
          <w:bCs/>
          <w:sz w:val="22"/>
          <w:lang w:val="es-ES"/>
        </w:rPr>
      </w:pPr>
      <w:r>
        <w:rPr>
          <w:rFonts w:ascii="Arial" w:hAnsi="Arial" w:cs="Arial"/>
          <w:b/>
          <w:bCs/>
          <w:sz w:val="22"/>
          <w:lang w:val="es-ES"/>
        </w:rPr>
        <w:t xml:space="preserve">2.1. </w:t>
      </w:r>
      <w:r w:rsidR="008A7578">
        <w:rPr>
          <w:rFonts w:ascii="Arial" w:hAnsi="Arial" w:cs="Arial"/>
          <w:b/>
          <w:bCs/>
          <w:sz w:val="22"/>
          <w:lang w:val="es-ES"/>
        </w:rPr>
        <w:t>A</w:t>
      </w:r>
      <w:r w:rsidR="00A05ECA">
        <w:rPr>
          <w:rFonts w:ascii="Arial" w:hAnsi="Arial" w:cs="Arial"/>
          <w:b/>
          <w:bCs/>
          <w:sz w:val="22"/>
          <w:lang w:val="es-ES"/>
        </w:rPr>
        <w:t xml:space="preserve">creditación de la experiencia en los documentos tipo de </w:t>
      </w:r>
      <w:r w:rsidR="008A7578">
        <w:rPr>
          <w:rFonts w:ascii="Arial" w:hAnsi="Arial" w:cs="Arial"/>
          <w:b/>
          <w:bCs/>
          <w:sz w:val="22"/>
          <w:lang w:val="es-ES"/>
        </w:rPr>
        <w:t xml:space="preserve">licitación de obra pública de </w:t>
      </w:r>
      <w:r w:rsidR="00A05ECA">
        <w:rPr>
          <w:rFonts w:ascii="Arial" w:hAnsi="Arial" w:cs="Arial"/>
          <w:b/>
          <w:bCs/>
          <w:sz w:val="22"/>
          <w:lang w:val="es-ES"/>
        </w:rPr>
        <w:t xml:space="preserve">infraestructura de transporte </w:t>
      </w:r>
    </w:p>
    <w:p w14:paraId="3225F7E1" w14:textId="75A34621" w:rsidR="00A05ECA" w:rsidRDefault="00A05ECA" w:rsidP="008A7578">
      <w:pPr>
        <w:spacing w:line="276" w:lineRule="auto"/>
        <w:jc w:val="both"/>
        <w:rPr>
          <w:rFonts w:ascii="Arial" w:hAnsi="Arial" w:cs="Arial"/>
          <w:b/>
          <w:bCs/>
          <w:sz w:val="22"/>
          <w:lang w:val="es-ES"/>
        </w:rPr>
      </w:pPr>
    </w:p>
    <w:p w14:paraId="7121FA25" w14:textId="4B155729" w:rsidR="00A05ECA" w:rsidRPr="00A05ECA" w:rsidRDefault="00A05ECA" w:rsidP="00A05ECA">
      <w:pPr>
        <w:spacing w:before="120" w:line="276" w:lineRule="auto"/>
        <w:jc w:val="both"/>
        <w:rPr>
          <w:rFonts w:ascii="Arial" w:eastAsia="Calibri" w:hAnsi="Arial" w:cs="Arial"/>
          <w:sz w:val="22"/>
        </w:rPr>
      </w:pPr>
      <w:r>
        <w:rPr>
          <w:rFonts w:ascii="Arial" w:eastAsia="Calibri" w:hAnsi="Arial" w:cs="Arial"/>
          <w:sz w:val="22"/>
        </w:rPr>
        <w:t>D</w:t>
      </w:r>
      <w:r w:rsidRPr="00A05ECA">
        <w:rPr>
          <w:rFonts w:ascii="Arial" w:eastAsia="Calibri" w:hAnsi="Arial" w:cs="Arial"/>
          <w:sz w:val="22"/>
        </w:rPr>
        <w:t xml:space="preserve">e acuerdo con las condiciones fijadas en el «Documento Base» de la Resolución No. 240 del 27 de noviembre de 2020,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w:t>
      </w:r>
      <w:r w:rsidRPr="00A05ECA">
        <w:rPr>
          <w:rFonts w:ascii="Arial" w:eastAsia="Calibri" w:hAnsi="Arial" w:cs="Arial"/>
          <w:sz w:val="22"/>
        </w:rPr>
        <w:lastRenderedPageBreak/>
        <w:t xml:space="preserve">SMMLV, cuya verificación se hará de acuerdo a la sumatoria de los valores totales ejecutados de los contratos que cumplan con los requisitos establecidos en el pliego de condiciones. </w:t>
      </w:r>
    </w:p>
    <w:p w14:paraId="3F8659D3" w14:textId="77777777" w:rsidR="00A05ECA" w:rsidRPr="00A05ECA" w:rsidRDefault="00A05ECA" w:rsidP="00A05ECA">
      <w:pPr>
        <w:spacing w:before="120" w:line="276" w:lineRule="auto"/>
        <w:ind w:firstLine="708"/>
        <w:jc w:val="both"/>
        <w:rPr>
          <w:rFonts w:ascii="Arial" w:eastAsia="Calibri" w:hAnsi="Arial" w:cs="Arial"/>
          <w:sz w:val="22"/>
        </w:rPr>
      </w:pPr>
      <w:r w:rsidRPr="00A05ECA">
        <w:rPr>
          <w:rFonts w:ascii="Arial" w:eastAsia="Calibri" w:hAnsi="Arial" w:cs="Arial"/>
          <w:sz w:val="22"/>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ii) la actividad a contratar y iii) la cuantía del proceso de contratación.</w:t>
      </w:r>
    </w:p>
    <w:p w14:paraId="2030BB36" w14:textId="77777777" w:rsidR="00A05ECA" w:rsidRPr="00A05ECA" w:rsidRDefault="00A05ECA" w:rsidP="00A05ECA">
      <w:pPr>
        <w:spacing w:before="120" w:line="276" w:lineRule="auto"/>
        <w:ind w:firstLine="708"/>
        <w:jc w:val="both"/>
        <w:rPr>
          <w:rFonts w:ascii="Arial" w:eastAsia="Calibri" w:hAnsi="Arial" w:cs="Arial"/>
          <w:sz w:val="22"/>
        </w:rPr>
      </w:pPr>
      <w:r w:rsidRPr="00A05ECA">
        <w:rPr>
          <w:rFonts w:ascii="Arial" w:eastAsia="Calibri" w:hAnsi="Arial" w:cs="Arial"/>
          <w:sz w:val="22"/>
        </w:rPr>
        <w:t>En relación con 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14:paraId="088ACC01" w14:textId="77777777" w:rsidR="00A05ECA" w:rsidRPr="00A05ECA" w:rsidRDefault="00A05ECA" w:rsidP="00A05ECA">
      <w:pPr>
        <w:spacing w:before="120" w:line="276" w:lineRule="auto"/>
        <w:ind w:firstLine="708"/>
        <w:jc w:val="both"/>
        <w:rPr>
          <w:rFonts w:ascii="Arial" w:eastAsia="Calibri" w:hAnsi="Arial" w:cs="Arial"/>
          <w:sz w:val="22"/>
        </w:rPr>
      </w:pPr>
      <w:r w:rsidRPr="00A05ECA">
        <w:rPr>
          <w:rFonts w:ascii="Arial" w:eastAsia="Calibri" w:hAnsi="Arial" w:cs="Arial"/>
          <w:sz w:val="22"/>
        </w:rPr>
        <w:t>Con respecto a la actividad a contratar, la Matriz 1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Por ejemplo, para el tipo de infraestructura «1. OBRAS EN VÍAS PRIMARIAS O SECUNDARIAS» la entidad podrá verificar la experiencia requerida en su proceso, de acuerdo con las siguientes actividades: «1.1 Proyectos de construcción de vías», «1.2 Proyectos de mejoramiento de vías», «1.3 Proyectos de rehabilitación o mantenimiento de carretera», «1.4 Proyectos de demarcación o señalización (horizontal o vertical) de infraestructura de transporte» y/o «1.5 Proyectos de demarcación o señalización (horizontal o vertical) de espacio público asociado a la infraestructura de transporte».</w:t>
      </w:r>
    </w:p>
    <w:p w14:paraId="4FC0FD7B" w14:textId="0E2CD53D" w:rsidR="00A05ECA" w:rsidRPr="00A05ECA" w:rsidRDefault="00A05ECA" w:rsidP="00A05ECA">
      <w:pPr>
        <w:spacing w:before="120" w:line="276" w:lineRule="auto"/>
        <w:ind w:firstLine="708"/>
        <w:jc w:val="both"/>
        <w:rPr>
          <w:rFonts w:ascii="Arial" w:eastAsia="Calibri" w:hAnsi="Arial" w:cs="Arial"/>
          <w:sz w:val="22"/>
        </w:rPr>
      </w:pPr>
      <w:r w:rsidRPr="00A05ECA">
        <w:rPr>
          <w:rFonts w:ascii="Arial" w:eastAsia="Calibri" w:hAnsi="Arial" w:cs="Arial"/>
          <w:sz w:val="22"/>
        </w:rPr>
        <w:t xml:space="preserve">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inciso 3 </w:t>
      </w:r>
      <w:r w:rsidR="008A7578">
        <w:rPr>
          <w:rFonts w:ascii="Arial" w:eastAsia="Calibri" w:hAnsi="Arial" w:cs="Arial"/>
          <w:sz w:val="22"/>
        </w:rPr>
        <w:t xml:space="preserve">del </w:t>
      </w:r>
      <w:r w:rsidR="008A7578" w:rsidRPr="005C0456">
        <w:rPr>
          <w:rFonts w:ascii="Arial" w:eastAsia="Calibri" w:hAnsi="Arial" w:cs="Arial"/>
          <w:sz w:val="22"/>
        </w:rPr>
        <w:t>parágrafo 7 del artículo 2 de la Ley 1150 de 2007 –modificado por el artículo 1 de la Ley 2022 de 2020</w:t>
      </w:r>
      <w:r w:rsidRPr="00A05ECA">
        <w:rPr>
          <w:rFonts w:ascii="Arial" w:eastAsia="Calibri" w:hAnsi="Arial" w:cs="Arial"/>
          <w:sz w:val="22"/>
        </w:rPr>
        <w:t xml:space="preserve">, conforme al cual las condiciones habilitantes fijadas en los documentos tipo deben tener en cuenta la cuantía, la naturaleza y especialidad de la contratación. </w:t>
      </w:r>
    </w:p>
    <w:p w14:paraId="39C93D96" w14:textId="68FD4359" w:rsidR="00A05ECA" w:rsidRPr="00A05ECA" w:rsidRDefault="00A05ECA" w:rsidP="00A05ECA">
      <w:pPr>
        <w:spacing w:before="120" w:after="120" w:line="276" w:lineRule="auto"/>
        <w:ind w:firstLine="709"/>
        <w:jc w:val="both"/>
        <w:rPr>
          <w:rFonts w:ascii="Arial" w:eastAsia="Calibri" w:hAnsi="Arial" w:cs="Arial"/>
          <w:sz w:val="22"/>
        </w:rPr>
      </w:pPr>
      <w:r w:rsidRPr="00A05ECA">
        <w:rPr>
          <w:rFonts w:ascii="Arial" w:eastAsia="Calibri" w:hAnsi="Arial" w:cs="Arial"/>
          <w:sz w:val="22"/>
        </w:rPr>
        <w:lastRenderedPageBreak/>
        <w:t xml:space="preserve">Estos tres factores determinan el requisito de experiencia establecido en los documentos desarrollados por la Agencia Nacional de Contratación Pública – Colombia Compra Eficiente, e incluido en la Matriz 1, que es resultado del mandato </w:t>
      </w:r>
      <w:r w:rsidR="00BC0765">
        <w:rPr>
          <w:rFonts w:ascii="Arial" w:hAnsi="Arial" w:cs="Arial"/>
        </w:rPr>
        <w:t xml:space="preserve">en </w:t>
      </w:r>
      <w:r w:rsidR="00BC0765" w:rsidRPr="005C0456">
        <w:rPr>
          <w:rFonts w:ascii="Arial" w:eastAsia="Calibri" w:hAnsi="Arial" w:cs="Arial"/>
          <w:sz w:val="22"/>
        </w:rPr>
        <w:t>la Ley 2022 de 2020</w:t>
      </w:r>
      <w:r w:rsidRPr="00A05ECA">
        <w:rPr>
          <w:rFonts w:ascii="Arial" w:eastAsia="Calibri" w:hAnsi="Arial" w:cs="Arial"/>
          <w:sz w:val="22"/>
        </w:rPr>
        <w:t xml:space="preserve">, por lo que son de obligatorio cumplimiento. Igualmente, se encuentran sometidos a la regulación prevista en la Resolución No. 240 del 27 de noviembre de 2020 y, por tanto, la regla general es que no pueden ser alterados, modificados o adicionados en su contenido. </w:t>
      </w:r>
    </w:p>
    <w:p w14:paraId="784C7E87" w14:textId="570DA464" w:rsidR="00A05ECA" w:rsidRPr="00A05ECA" w:rsidRDefault="00A05ECA" w:rsidP="00A05ECA">
      <w:pPr>
        <w:spacing w:before="120" w:after="120" w:line="276" w:lineRule="auto"/>
        <w:ind w:firstLine="709"/>
        <w:jc w:val="both"/>
        <w:rPr>
          <w:rFonts w:ascii="Arial" w:eastAsia="Calibri" w:hAnsi="Arial" w:cs="Arial"/>
          <w:sz w:val="22"/>
        </w:rPr>
      </w:pPr>
      <w:r w:rsidRPr="00A05ECA">
        <w:rPr>
          <w:rFonts w:ascii="Arial" w:eastAsia="Calibri" w:hAnsi="Arial" w:cs="Arial"/>
          <w:sz w:val="22"/>
        </w:rPr>
        <w:t xml:space="preserve">Ahora bien, el </w:t>
      </w:r>
      <w:r w:rsidR="00BC0765">
        <w:rPr>
          <w:rFonts w:ascii="Arial" w:hAnsi="Arial" w:cs="Arial"/>
        </w:rPr>
        <w:t>«</w:t>
      </w:r>
      <w:r w:rsidR="00BC0765" w:rsidRPr="005C0456">
        <w:rPr>
          <w:rFonts w:ascii="Arial" w:eastAsia="Calibri" w:hAnsi="Arial" w:cs="Arial"/>
          <w:sz w:val="22"/>
        </w:rPr>
        <w:t xml:space="preserve">documento base» o pliego tipo </w:t>
      </w:r>
      <w:r w:rsidRPr="00A05ECA">
        <w:rPr>
          <w:rFonts w:ascii="Arial" w:eastAsia="Calibri" w:hAnsi="Arial" w:cs="Arial"/>
          <w:sz w:val="22"/>
        </w:rPr>
        <w:t>adoptado creó el numeral «3.5.1 Determinación de los requisitos mínimos de experiencia según la Matriz 1 – Experiencia», en el cual la entidad debe justificar, expresa y suficientemente la complejidad del proyecto, determinando si es de baja, media o alta complejidad, y en función de ello implementar alguna de las variantes de la «Matriz 1 – Experiencia», ya sea la de proyectos de baja–media, o la elaborada para proyectos de alta complejidad técnica. En otras palabras, a partir de la actualización de los «Documentos Tipo – Versión 3» de licitación de obra pública de infraestructura de transporte se crean dos Matrices de experiencia: i) para proyectos de baja o media complejidad técnica y ii) para proyectos de alta complejidad técnica.</w:t>
      </w:r>
    </w:p>
    <w:p w14:paraId="299EF57C" w14:textId="41688238" w:rsidR="00A05ECA" w:rsidRPr="00A05ECA" w:rsidRDefault="00A05ECA" w:rsidP="00A05ECA">
      <w:pPr>
        <w:spacing w:after="120" w:line="276" w:lineRule="auto"/>
        <w:ind w:right="51" w:firstLine="708"/>
        <w:jc w:val="both"/>
        <w:rPr>
          <w:rFonts w:ascii="Arial" w:eastAsia="Calibri" w:hAnsi="Arial" w:cs="Arial"/>
          <w:sz w:val="22"/>
        </w:rPr>
      </w:pPr>
      <w:r w:rsidRPr="00A05ECA">
        <w:rPr>
          <w:rFonts w:ascii="Arial" w:eastAsia="Calibri" w:hAnsi="Arial" w:cs="Arial"/>
          <w:sz w:val="22"/>
        </w:rPr>
        <w:t>Sin perjuicio de la implementación de este cambio, el método para determinar los requisitos de experiencia estandarizados a partir de la Matriz 1 sigue siendo el mismo que en las versiones anteriores, con la salvedad de que ahora, antes de acotar el requisito exigible, la entidad debe determinar y justificar si el proyecto es de media</w:t>
      </w:r>
      <w:r w:rsidR="00BC0765">
        <w:rPr>
          <w:rFonts w:ascii="Arial" w:eastAsia="Calibri" w:hAnsi="Arial" w:cs="Arial"/>
          <w:sz w:val="22"/>
        </w:rPr>
        <w:t>-</w:t>
      </w:r>
      <w:r w:rsidRPr="00A05ECA">
        <w:rPr>
          <w:rFonts w:ascii="Arial" w:eastAsia="Calibri" w:hAnsi="Arial" w:cs="Arial"/>
          <w:sz w:val="22"/>
        </w:rPr>
        <w:t xml:space="preserve">baja o alta complejidad técnica y en función de ello aplicar la matriz correspondiente. En ese orden,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14:paraId="523C5403" w14:textId="77777777" w:rsidR="00A05ECA" w:rsidRPr="00A05ECA" w:rsidRDefault="00A05ECA" w:rsidP="00A05ECA">
      <w:pPr>
        <w:spacing w:before="120" w:line="276" w:lineRule="auto"/>
        <w:ind w:firstLine="708"/>
        <w:jc w:val="both"/>
        <w:rPr>
          <w:rFonts w:ascii="Arial" w:eastAsia="Calibri" w:hAnsi="Arial" w:cs="Arial"/>
          <w:sz w:val="22"/>
        </w:rPr>
      </w:pPr>
      <w:r w:rsidRPr="00A05ECA">
        <w:rPr>
          <w:rFonts w:ascii="Arial" w:eastAsia="Calibri"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6F6FD93E" w14:textId="77777777" w:rsidR="00A05ECA" w:rsidRPr="00A05ECA" w:rsidRDefault="00A05ECA" w:rsidP="00A05ECA">
      <w:pPr>
        <w:spacing w:before="120" w:line="276" w:lineRule="auto"/>
        <w:ind w:firstLine="708"/>
        <w:jc w:val="both"/>
        <w:rPr>
          <w:rFonts w:ascii="Arial" w:eastAsia="Calibri" w:hAnsi="Arial" w:cs="Arial"/>
          <w:sz w:val="22"/>
        </w:rPr>
      </w:pPr>
      <w:r w:rsidRPr="00A05ECA">
        <w:rPr>
          <w:rFonts w:ascii="Arial" w:eastAsia="Calibri" w:hAnsi="Arial" w:cs="Arial"/>
          <w:sz w:val="22"/>
        </w:rPr>
        <w:t>a) Establecer si se trata de un proyecto de complejidad baja-media o alta, y en función de ello establecer la Matriz 1 aplicable.</w:t>
      </w:r>
    </w:p>
    <w:p w14:paraId="30EE1DC7" w14:textId="77777777" w:rsidR="00A05ECA" w:rsidRPr="00A05ECA" w:rsidRDefault="00A05ECA" w:rsidP="00A05ECA">
      <w:pPr>
        <w:spacing w:before="120" w:line="276" w:lineRule="auto"/>
        <w:ind w:firstLine="708"/>
        <w:jc w:val="both"/>
        <w:rPr>
          <w:rFonts w:ascii="Arial" w:eastAsia="Calibri" w:hAnsi="Arial" w:cs="Arial"/>
          <w:sz w:val="22"/>
        </w:rPr>
      </w:pPr>
      <w:r w:rsidRPr="00A05ECA">
        <w:rPr>
          <w:rFonts w:ascii="Arial" w:eastAsia="Calibri" w:hAnsi="Arial" w:cs="Arial"/>
          <w:sz w:val="22"/>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39F937AE" w14:textId="77777777" w:rsidR="00A05ECA" w:rsidRPr="00A05ECA" w:rsidRDefault="00A05ECA" w:rsidP="00A05ECA">
      <w:pPr>
        <w:spacing w:before="120" w:line="276" w:lineRule="auto"/>
        <w:ind w:firstLine="708"/>
        <w:jc w:val="both"/>
        <w:rPr>
          <w:rFonts w:ascii="Arial" w:eastAsia="Calibri" w:hAnsi="Arial" w:cs="Arial"/>
          <w:sz w:val="22"/>
        </w:rPr>
      </w:pPr>
      <w:r w:rsidRPr="00A05ECA">
        <w:rPr>
          <w:rFonts w:ascii="Arial" w:eastAsia="Calibri" w:hAnsi="Arial" w:cs="Arial"/>
          <w:sz w:val="22"/>
        </w:rPr>
        <w:t xml:space="preserve">c) Definido el tipo de infraestructura, identificar la «ACTIVIDAD A CONTRATAR» acorde con la matriz 1. </w:t>
      </w:r>
    </w:p>
    <w:p w14:paraId="28D9E6A1" w14:textId="77777777" w:rsidR="00A05ECA" w:rsidRPr="00A05ECA" w:rsidRDefault="00A05ECA" w:rsidP="00A05ECA">
      <w:pPr>
        <w:spacing w:before="120" w:line="276" w:lineRule="auto"/>
        <w:ind w:firstLine="708"/>
        <w:jc w:val="both"/>
        <w:rPr>
          <w:rFonts w:ascii="Arial" w:eastAsia="Calibri" w:hAnsi="Arial" w:cs="Arial"/>
          <w:sz w:val="22"/>
        </w:rPr>
      </w:pPr>
      <w:r w:rsidRPr="00A05ECA">
        <w:rPr>
          <w:rFonts w:ascii="Arial" w:eastAsia="Calibri" w:hAnsi="Arial" w:cs="Arial"/>
          <w:sz w:val="22"/>
        </w:rPr>
        <w:lastRenderedPageBreak/>
        <w:t xml:space="preserve">d) Identificar el rango en el cual se encuentra el proceso de contratación de acuerdo con el presupuesto oficial. </w:t>
      </w:r>
    </w:p>
    <w:p w14:paraId="4A716EDA" w14:textId="77777777" w:rsidR="00A05ECA" w:rsidRPr="00A05ECA" w:rsidRDefault="00A05ECA" w:rsidP="00A05ECA">
      <w:pPr>
        <w:spacing w:before="120" w:after="120" w:line="276" w:lineRule="auto"/>
        <w:ind w:firstLine="709"/>
        <w:jc w:val="both"/>
        <w:rPr>
          <w:rFonts w:ascii="Arial" w:eastAsia="Calibri" w:hAnsi="Arial" w:cs="Arial"/>
          <w:sz w:val="22"/>
        </w:rPr>
      </w:pPr>
      <w:r w:rsidRPr="00A05ECA">
        <w:rPr>
          <w:rFonts w:ascii="Arial" w:eastAsia="Calibri" w:hAnsi="Arial" w:cs="Arial"/>
          <w:sz w:val="22"/>
        </w:rPr>
        <w:t xml:space="preserve">e) Identificar la «experiencia general» exigible acorde con la Matriz 1 teniendo en cuenta la actividad a contratar y el rango de la cuantía del Proceso de Contratación. </w:t>
      </w:r>
    </w:p>
    <w:p w14:paraId="7CB67C28" w14:textId="77777777" w:rsidR="00A05ECA" w:rsidRPr="00A05ECA" w:rsidRDefault="00A05ECA" w:rsidP="00A05ECA">
      <w:pPr>
        <w:spacing w:after="120" w:line="276" w:lineRule="auto"/>
        <w:ind w:firstLine="709"/>
        <w:jc w:val="both"/>
        <w:rPr>
          <w:rFonts w:ascii="Arial" w:eastAsia="Calibri" w:hAnsi="Arial" w:cs="Arial"/>
          <w:sz w:val="22"/>
        </w:rPr>
      </w:pPr>
      <w:r w:rsidRPr="00A05ECA">
        <w:rPr>
          <w:rFonts w:ascii="Arial" w:eastAsia="Calibri" w:hAnsi="Arial" w:cs="Arial"/>
          <w:sz w:val="22"/>
        </w:rPr>
        <w:t xml:space="preserve">f) Identificar la «experiencia específica» exigible y el porcentaje de dimensionamiento que se puede solicitar acorde con la longitud a ejecutar, de acuerdo con la cuantía del proceso de contratación. Cuando en la «experiencia específica» se indiquen las siglas </w:t>
      </w:r>
      <w:r w:rsidRPr="00A05ECA">
        <w:rPr>
          <w:rFonts w:ascii="Arial" w:eastAsia="Calibri" w:hAnsi="Arial" w:cs="Arial"/>
          <w:i/>
          <w:iCs/>
          <w:sz w:val="22"/>
        </w:rPr>
        <w:t>N.A</w:t>
      </w:r>
      <w:r w:rsidRPr="00A05ECA">
        <w:rPr>
          <w:rFonts w:ascii="Arial" w:eastAsia="Calibri" w:hAnsi="Arial" w:cs="Arial"/>
          <w:sz w:val="22"/>
        </w:rPr>
        <w:t xml:space="preserve"> significa que la entidad estatal no puede exigir a los proponentes experiencia específica en los procesos de contratación. </w:t>
      </w:r>
    </w:p>
    <w:p w14:paraId="7FC5F7FF" w14:textId="77777777" w:rsidR="00A05ECA" w:rsidRPr="00A05ECA" w:rsidRDefault="00A05ECA" w:rsidP="00A05ECA">
      <w:pPr>
        <w:spacing w:after="120" w:line="276" w:lineRule="auto"/>
        <w:ind w:firstLine="709"/>
        <w:jc w:val="both"/>
        <w:rPr>
          <w:rFonts w:ascii="Arial" w:eastAsia="Calibri" w:hAnsi="Arial" w:cs="Arial"/>
          <w:sz w:val="22"/>
        </w:rPr>
      </w:pPr>
      <w:r w:rsidRPr="00A05ECA">
        <w:rPr>
          <w:rFonts w:ascii="Arial" w:eastAsia="Calibri" w:hAnsi="Arial" w:cs="Arial"/>
          <w:sz w:val="22"/>
        </w:rPr>
        <w:t>g) 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w:t>
      </w:r>
    </w:p>
    <w:p w14:paraId="68C8005F" w14:textId="61587BC7" w:rsidR="00A05ECA" w:rsidRPr="00A05ECA" w:rsidRDefault="00A05ECA" w:rsidP="00A05ECA">
      <w:pPr>
        <w:spacing w:before="120" w:line="276" w:lineRule="auto"/>
        <w:ind w:firstLine="708"/>
        <w:jc w:val="both"/>
        <w:rPr>
          <w:rFonts w:ascii="Arial" w:eastAsia="Calibri" w:hAnsi="Arial" w:cs="Arial"/>
          <w:sz w:val="22"/>
        </w:rPr>
      </w:pPr>
      <w:r w:rsidRPr="00A05ECA">
        <w:rPr>
          <w:rFonts w:ascii="Arial" w:eastAsia="Calibri" w:hAnsi="Arial" w:cs="Arial"/>
          <w:sz w:val="22"/>
        </w:rPr>
        <w:t xml:space="preserve">Varios de los requisitos de experiencia general y específica contemplados en la Matriz 1 exigen que los contratos que se aporten para acreditarlos den cuenta de la ejecución de cierto porcentaje de dimensionamiento respecto del proyecto ofertado, o un porcentaje del presupuesto oficial del mismo. El dimensionamiento supone que la experiencia a exigirse estará determinada por la longitud –u otra magnitud– que se pretende intervenir, de tal manera que a quienes estén interesados en participar se le exigirá, por ejemplo, acreditar experiencia específica en proyectos en donde hayan intervenido un porcentaje de dicha longitud establecida en kilómetros en la Matriz 1. De igual forma, cuando se exijan requisitos en función del porcentaje del presupuesto oficial, el valor de </w:t>
      </w:r>
      <w:r w:rsidR="00BC0765">
        <w:rPr>
          <w:rFonts w:ascii="Arial" w:eastAsia="Calibri" w:hAnsi="Arial" w:cs="Arial"/>
          <w:sz w:val="22"/>
        </w:rPr>
        <w:t>é</w:t>
      </w:r>
      <w:r w:rsidRPr="00A05ECA">
        <w:rPr>
          <w:rFonts w:ascii="Arial" w:eastAsia="Calibri" w:hAnsi="Arial" w:cs="Arial"/>
          <w:sz w:val="22"/>
        </w:rPr>
        <w:t xml:space="preserve">l o los contratos que se aporten deberán igualar o superar la equivalencia del porcentaje exigible expresado en SMMLV.  </w:t>
      </w:r>
    </w:p>
    <w:p w14:paraId="5BC33DC3" w14:textId="1A916E8B" w:rsidR="00A05ECA" w:rsidRPr="00A05ECA" w:rsidRDefault="00A05ECA" w:rsidP="00A05ECA">
      <w:pPr>
        <w:spacing w:before="120" w:after="120" w:line="276" w:lineRule="auto"/>
        <w:ind w:firstLine="708"/>
        <w:jc w:val="both"/>
        <w:rPr>
          <w:rFonts w:ascii="Arial" w:eastAsia="Calibri" w:hAnsi="Arial" w:cs="Arial"/>
          <w:color w:val="000000"/>
          <w:sz w:val="22"/>
          <w:lang w:val="es-CO"/>
        </w:rPr>
      </w:pPr>
      <w:r w:rsidRPr="00A05ECA">
        <w:rPr>
          <w:rFonts w:ascii="Arial" w:eastAsia="Calibri" w:hAnsi="Arial" w:cs="Arial"/>
          <w:color w:val="000000"/>
          <w:sz w:val="22"/>
          <w:lang w:val="es-CO"/>
        </w:rPr>
        <w:t xml:space="preserve">A manera de ejemplo, para efectos de los «Documentos Tipo – Versión 3» de licitación </w:t>
      </w:r>
      <w:r w:rsidR="00BC0765">
        <w:rPr>
          <w:rFonts w:ascii="Arial" w:eastAsia="Calibri" w:hAnsi="Arial" w:cs="Arial"/>
          <w:color w:val="000000"/>
          <w:sz w:val="22"/>
          <w:lang w:val="es-CO"/>
        </w:rPr>
        <w:t>de obra pública de infraestructura de transporte</w:t>
      </w:r>
      <w:r w:rsidRPr="00A05ECA">
        <w:rPr>
          <w:rFonts w:ascii="Arial" w:eastAsia="Calibri" w:hAnsi="Arial" w:cs="Arial"/>
          <w:color w:val="000000"/>
          <w:sz w:val="22"/>
          <w:lang w:val="es-CO"/>
        </w:rPr>
        <w:t>, se identifica la experiencia general y específica que la entidad estatal solicitará en un contrato cuyo objeto consista en proyectos de atención para obras de emergencia de estabilización de taludes o recuperación de banca, de acuerdo con las características y parámetros explicados previamente:</w:t>
      </w:r>
    </w:p>
    <w:p w14:paraId="6C254857" w14:textId="24969A87" w:rsidR="00A05ECA" w:rsidRPr="00A05ECA" w:rsidRDefault="00A05ECA" w:rsidP="00A05ECA">
      <w:pPr>
        <w:spacing w:after="120" w:line="276" w:lineRule="auto"/>
        <w:ind w:firstLine="709"/>
        <w:jc w:val="both"/>
        <w:rPr>
          <w:rFonts w:ascii="Arial" w:eastAsia="Calibri" w:hAnsi="Arial" w:cs="Arial"/>
          <w:color w:val="000000"/>
          <w:sz w:val="22"/>
          <w:lang w:val="es-CO"/>
        </w:rPr>
      </w:pPr>
      <w:r w:rsidRPr="00A05ECA">
        <w:rPr>
          <w:rFonts w:ascii="Arial" w:eastAsia="Calibri" w:hAnsi="Arial" w:cs="Arial"/>
          <w:color w:val="000000"/>
          <w:sz w:val="22"/>
          <w:lang w:val="es-CO"/>
        </w:rPr>
        <w:t xml:space="preserve">a) De acuerdo con la «Matriz 1 – Experiencia» </w:t>
      </w:r>
      <w:r w:rsidR="00BC0765">
        <w:rPr>
          <w:rFonts w:ascii="Arial" w:eastAsia="Calibri" w:hAnsi="Arial" w:cs="Arial"/>
          <w:color w:val="000000"/>
          <w:sz w:val="22"/>
          <w:lang w:val="es-CO"/>
        </w:rPr>
        <w:t xml:space="preserve">de proyectos de baja-media complejidad, </w:t>
      </w:r>
      <w:r w:rsidRPr="00A05ECA">
        <w:rPr>
          <w:rFonts w:ascii="Arial" w:eastAsia="Calibri" w:hAnsi="Arial" w:cs="Arial"/>
          <w:color w:val="000000"/>
          <w:sz w:val="22"/>
          <w:lang w:val="es-CO"/>
        </w:rPr>
        <w:t>el tipo de infraestructura que se relaciona con el objeto contractual es «4. OBRAS EN VIAS PRIMARIAS O SECUNDARIAS O TERCIARIAS O URBANAS PARA ATENCIÓN, PREVENCIÓN O MITIGACIÓN DE EMERGENCIAS DIFERENTES A CONTRATACIÓN DIRECTA».</w:t>
      </w:r>
    </w:p>
    <w:p w14:paraId="6D551E06" w14:textId="77777777" w:rsidR="00A05ECA" w:rsidRPr="00A05ECA" w:rsidRDefault="00A05ECA" w:rsidP="00A05ECA">
      <w:pPr>
        <w:spacing w:after="120" w:line="276" w:lineRule="auto"/>
        <w:ind w:firstLine="709"/>
        <w:jc w:val="both"/>
        <w:rPr>
          <w:rFonts w:ascii="Arial" w:eastAsia="Calibri" w:hAnsi="Arial" w:cs="Arial"/>
          <w:color w:val="000000"/>
          <w:sz w:val="22"/>
          <w:lang w:val="es-CO"/>
        </w:rPr>
      </w:pPr>
      <w:r w:rsidRPr="00A05ECA">
        <w:rPr>
          <w:rFonts w:ascii="Arial" w:eastAsia="Calibri" w:hAnsi="Arial" w:cs="Arial"/>
          <w:color w:val="000000"/>
          <w:sz w:val="22"/>
          <w:lang w:val="es-CO"/>
        </w:rPr>
        <w:lastRenderedPageBreak/>
        <w:t>b) La actividad que se relaciona es el numeral «4.2 PROYECTOS ATENCION OBRAS DE EMERGENCIAS MEDIANTE OBRAS DE ESTABILIZACION DE TALUDES O RECUPERACION DE BANCA».</w:t>
      </w:r>
    </w:p>
    <w:p w14:paraId="756DC616" w14:textId="77777777" w:rsidR="00A05ECA" w:rsidRPr="00A05ECA" w:rsidRDefault="00A05ECA" w:rsidP="00A05ECA">
      <w:pPr>
        <w:spacing w:after="120" w:line="276" w:lineRule="auto"/>
        <w:ind w:firstLine="709"/>
        <w:jc w:val="both"/>
        <w:rPr>
          <w:rFonts w:ascii="Arial" w:eastAsia="Calibri" w:hAnsi="Arial" w:cs="Arial"/>
          <w:color w:val="000000"/>
          <w:sz w:val="22"/>
          <w:lang w:val="es-CO"/>
        </w:rPr>
      </w:pPr>
      <w:r w:rsidRPr="00A05ECA">
        <w:rPr>
          <w:rFonts w:ascii="Arial" w:eastAsia="Calibri" w:hAnsi="Arial" w:cs="Arial"/>
          <w:color w:val="000000"/>
          <w:sz w:val="22"/>
          <w:lang w:val="es-CO"/>
        </w:rPr>
        <w:t>c) La experiencia general que se debe solicitar en este proceso de contratación es «CONSTRUCCION O MEJORAMIENTO O MANTENIMIENTO O REHABILITACIÓN DE OBRAS DE ESTABILIZACION DE TALUDES O RECUPERACION DE BANCA y ATENCION OBRAS DE EMERGENCIAS MEDIANTE LA CONSTRUCCION DE OBRAS DE ESTABILIZACION DE TALUDES O RECUPERACION DE BANCA».</w:t>
      </w:r>
    </w:p>
    <w:p w14:paraId="13C66690" w14:textId="4177BE16" w:rsidR="00A05ECA" w:rsidRDefault="00A05ECA" w:rsidP="00B012AF">
      <w:pPr>
        <w:spacing w:line="276" w:lineRule="auto"/>
        <w:ind w:firstLine="708"/>
        <w:jc w:val="both"/>
        <w:rPr>
          <w:rFonts w:ascii="Arial" w:eastAsia="Calibri" w:hAnsi="Arial" w:cs="Arial"/>
          <w:color w:val="000000"/>
          <w:sz w:val="22"/>
          <w:lang w:val="es-CO"/>
        </w:rPr>
      </w:pPr>
      <w:r w:rsidRPr="00A05ECA">
        <w:rPr>
          <w:rFonts w:ascii="Arial" w:eastAsia="Calibri" w:hAnsi="Arial" w:cs="Arial"/>
          <w:color w:val="000000"/>
          <w:sz w:val="22"/>
          <w:lang w:val="es-CO"/>
        </w:rPr>
        <w:t xml:space="preserve">d) La experiencia específica depende de la cuantía del proceso de contratación. Para contratos de menos de 100 SMMLV o entre 100 a 1.000 SMMLV, la entidad deberá exigir que por lo menos un contrato para acreditar la experiencia general corresponda a «LA CONSTRUCCION DE OBRAS DE ESTABILIZACION DE TALUDES O RECUPERACION DE BANCA» cuyo valor sea como mínimo al 70% del presupuesto oficial. Entre 1.001 y 27.000 SMMLV, la entidad deberá exigir </w:t>
      </w:r>
      <w:r w:rsidR="00BC0765">
        <w:rPr>
          <w:rFonts w:ascii="Arial" w:eastAsia="Calibri" w:hAnsi="Arial" w:cs="Arial"/>
          <w:color w:val="000000"/>
          <w:sz w:val="22"/>
          <w:lang w:val="es-CO"/>
        </w:rPr>
        <w:t xml:space="preserve">que </w:t>
      </w:r>
      <w:r w:rsidRPr="00A05ECA">
        <w:rPr>
          <w:rFonts w:ascii="Arial" w:eastAsia="Calibri" w:hAnsi="Arial" w:cs="Arial"/>
          <w:color w:val="000000"/>
          <w:sz w:val="22"/>
          <w:lang w:val="es-CO"/>
        </w:rPr>
        <w:t xml:space="preserve">por lo menos un contrato cuyo objeto corresponda al mencionado anteriormente cuyo valor sea como mínimo el 60% del presupuesto oficial. Finalmente, cuando es mayor a 27.001 SMMLV, la entidad deberá exigir que por lo menos uno de los contratos válidos aportados </w:t>
      </w:r>
      <w:r w:rsidR="007A3CBC">
        <w:rPr>
          <w:rFonts w:ascii="Arial" w:eastAsia="Calibri" w:hAnsi="Arial" w:cs="Arial"/>
          <w:color w:val="000000"/>
          <w:sz w:val="22"/>
          <w:lang w:val="es-CO"/>
        </w:rPr>
        <w:t xml:space="preserve">como experiencia general </w:t>
      </w:r>
      <w:r w:rsidRPr="00A05ECA">
        <w:rPr>
          <w:rFonts w:ascii="Arial" w:eastAsia="Calibri" w:hAnsi="Arial" w:cs="Arial"/>
          <w:color w:val="000000"/>
          <w:sz w:val="22"/>
          <w:lang w:val="es-CO"/>
        </w:rPr>
        <w:t>acredite «LA CONSTRUCCION DE OBRAS DE ESTABILIZACION DE TALUDES O RECUPERACION DE BANCA» cuyo valor sea como mínimo al 50% del presupuesto oficial</w:t>
      </w:r>
      <w:r w:rsidR="004A0214">
        <w:rPr>
          <w:rFonts w:ascii="Arial" w:eastAsia="Calibri" w:hAnsi="Arial" w:cs="Arial"/>
          <w:color w:val="000000"/>
          <w:sz w:val="22"/>
          <w:lang w:val="es-CO"/>
        </w:rPr>
        <w:t>.</w:t>
      </w:r>
    </w:p>
    <w:p w14:paraId="4003790A" w14:textId="77777777" w:rsidR="00B012AF" w:rsidRDefault="00B012AF" w:rsidP="00B012AF">
      <w:pPr>
        <w:spacing w:before="120" w:line="276" w:lineRule="auto"/>
        <w:ind w:firstLine="708"/>
        <w:jc w:val="both"/>
        <w:rPr>
          <w:rStyle w:val="normaltextrun"/>
          <w:rFonts w:ascii="Arial" w:hAnsi="Arial" w:cs="Arial"/>
          <w:color w:val="000000"/>
          <w:sz w:val="22"/>
          <w:shd w:val="clear" w:color="auto" w:fill="FFFFFF"/>
          <w:lang w:val="es-ES"/>
        </w:rPr>
      </w:pPr>
      <w:r>
        <w:rPr>
          <w:rFonts w:ascii="Arial" w:hAnsi="Arial" w:cs="Arial"/>
          <w:color w:val="000000" w:themeColor="text1"/>
          <w:sz w:val="22"/>
          <w:lang w:val="es-CO"/>
        </w:rPr>
        <w:t>De esta forma</w:t>
      </w:r>
      <w:r>
        <w:rPr>
          <w:rStyle w:val="normaltextrun"/>
          <w:rFonts w:ascii="Arial" w:hAnsi="Arial" w:cs="Arial"/>
          <w:color w:val="000000"/>
          <w:sz w:val="22"/>
          <w:shd w:val="clear" w:color="auto" w:fill="FFFFFF"/>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w:t>
      </w:r>
    </w:p>
    <w:p w14:paraId="4F2B11EB" w14:textId="77777777" w:rsidR="00A05ECA" w:rsidRDefault="00A05ECA" w:rsidP="00A47722">
      <w:pPr>
        <w:spacing w:line="276" w:lineRule="auto"/>
        <w:jc w:val="both"/>
        <w:rPr>
          <w:rFonts w:ascii="Arial" w:hAnsi="Arial" w:cs="Arial"/>
          <w:b/>
          <w:bCs/>
          <w:sz w:val="22"/>
          <w:lang w:val="es-ES"/>
        </w:rPr>
      </w:pPr>
    </w:p>
    <w:p w14:paraId="39B6D683" w14:textId="2545A4FE" w:rsidR="004722E6" w:rsidRPr="00BC065A" w:rsidRDefault="00A05ECA" w:rsidP="00A47722">
      <w:pPr>
        <w:spacing w:line="276" w:lineRule="auto"/>
        <w:jc w:val="both"/>
        <w:rPr>
          <w:rFonts w:ascii="Arial" w:hAnsi="Arial" w:cs="Arial"/>
          <w:b/>
          <w:bCs/>
          <w:sz w:val="22"/>
        </w:rPr>
      </w:pPr>
      <w:r w:rsidRPr="00BC065A">
        <w:rPr>
          <w:rFonts w:ascii="Arial" w:hAnsi="Arial" w:cs="Arial"/>
          <w:b/>
          <w:bCs/>
          <w:sz w:val="22"/>
          <w:lang w:val="es-ES"/>
        </w:rPr>
        <w:t xml:space="preserve">2.2. </w:t>
      </w:r>
      <w:r w:rsidR="004722E6" w:rsidRPr="00BC065A">
        <w:rPr>
          <w:rFonts w:ascii="Arial" w:hAnsi="Arial" w:cs="Arial"/>
          <w:b/>
          <w:bCs/>
          <w:sz w:val="22"/>
          <w:lang w:val="es-ES"/>
        </w:rPr>
        <w:t xml:space="preserve">Experiencia aplicable a los proyectos de </w:t>
      </w:r>
      <w:r w:rsidR="004A0214" w:rsidRPr="00BC065A">
        <w:rPr>
          <w:rFonts w:ascii="Arial" w:hAnsi="Arial" w:cs="Arial"/>
          <w:b/>
          <w:bCs/>
          <w:sz w:val="22"/>
          <w:lang w:val="es-ES"/>
        </w:rPr>
        <w:t xml:space="preserve">señalización </w:t>
      </w:r>
      <w:r w:rsidR="00B7768F" w:rsidRPr="00BC065A">
        <w:rPr>
          <w:rFonts w:ascii="Arial" w:hAnsi="Arial" w:cs="Arial"/>
          <w:b/>
          <w:bCs/>
          <w:sz w:val="22"/>
          <w:lang w:val="es-ES"/>
        </w:rPr>
        <w:t>y/</w:t>
      </w:r>
      <w:r w:rsidR="004A0214" w:rsidRPr="00BC065A">
        <w:rPr>
          <w:rFonts w:ascii="Arial" w:hAnsi="Arial" w:cs="Arial"/>
          <w:b/>
          <w:bCs/>
          <w:sz w:val="22"/>
          <w:lang w:val="es-ES"/>
        </w:rPr>
        <w:t xml:space="preserve">o </w:t>
      </w:r>
      <w:r w:rsidR="004722E6" w:rsidRPr="00BC065A">
        <w:rPr>
          <w:rFonts w:ascii="Arial" w:hAnsi="Arial" w:cs="Arial"/>
          <w:b/>
          <w:bCs/>
          <w:sz w:val="22"/>
          <w:lang w:val="es-ES"/>
        </w:rPr>
        <w:t xml:space="preserve">demarcación </w:t>
      </w:r>
      <w:r w:rsidR="004A0214" w:rsidRPr="00BC065A">
        <w:rPr>
          <w:rFonts w:ascii="Arial" w:hAnsi="Arial" w:cs="Arial"/>
          <w:b/>
          <w:bCs/>
          <w:sz w:val="22"/>
          <w:lang w:val="es-ES"/>
        </w:rPr>
        <w:t>de vías</w:t>
      </w:r>
      <w:r w:rsidR="00B7768F" w:rsidRPr="00BC065A">
        <w:rPr>
          <w:rFonts w:ascii="Arial" w:hAnsi="Arial" w:cs="Arial"/>
          <w:b/>
          <w:bCs/>
          <w:sz w:val="22"/>
          <w:lang w:val="es-ES"/>
        </w:rPr>
        <w:t xml:space="preserve"> urbanas</w:t>
      </w:r>
    </w:p>
    <w:p w14:paraId="6C962B8D" w14:textId="77777777" w:rsidR="004722E6" w:rsidRPr="00A47722" w:rsidRDefault="004722E6" w:rsidP="00A47722">
      <w:pPr>
        <w:spacing w:line="276" w:lineRule="auto"/>
        <w:jc w:val="both"/>
        <w:rPr>
          <w:rFonts w:ascii="Arial" w:hAnsi="Arial" w:cs="Arial"/>
          <w:b/>
          <w:bCs/>
          <w:sz w:val="22"/>
          <w:lang w:val="es-ES"/>
        </w:rPr>
      </w:pPr>
    </w:p>
    <w:p w14:paraId="7DA8053A" w14:textId="076BFC67" w:rsidR="009476DF" w:rsidRPr="001A6379" w:rsidRDefault="008F5D02" w:rsidP="00BC065A">
      <w:pPr>
        <w:spacing w:after="120" w:line="276" w:lineRule="auto"/>
        <w:jc w:val="both"/>
        <w:rPr>
          <w:rFonts w:ascii="Arial" w:eastAsia="Calibri" w:hAnsi="Arial" w:cs="Arial"/>
          <w:sz w:val="22"/>
          <w:lang w:val="es-ES"/>
        </w:rPr>
      </w:pPr>
      <w:bookmarkStart w:id="5" w:name="_Hlk67647659"/>
      <w:bookmarkEnd w:id="4"/>
      <w:r>
        <w:rPr>
          <w:rFonts w:ascii="Arial" w:eastAsia="Calibri" w:hAnsi="Arial" w:cs="Arial"/>
          <w:sz w:val="22"/>
          <w:lang w:val="es-ES"/>
        </w:rPr>
        <w:t>Teniendo en cuenta los parámetros anteriores, r</w:t>
      </w:r>
      <w:r w:rsidR="009476DF" w:rsidRPr="001A6379">
        <w:rPr>
          <w:rFonts w:ascii="Arial" w:eastAsia="Calibri" w:hAnsi="Arial" w:cs="Arial"/>
          <w:sz w:val="22"/>
          <w:lang w:val="es-ES"/>
        </w:rPr>
        <w:t>especto a la consulta sobre los proyectos de alta complejidad para la señalización</w:t>
      </w:r>
      <w:r w:rsidR="002770D6">
        <w:rPr>
          <w:rFonts w:ascii="Arial" w:eastAsia="Calibri" w:hAnsi="Arial" w:cs="Arial"/>
          <w:sz w:val="22"/>
          <w:lang w:val="es-ES"/>
        </w:rPr>
        <w:t xml:space="preserve"> y/o demarcación</w:t>
      </w:r>
      <w:r w:rsidR="009476DF" w:rsidRPr="001A6379">
        <w:rPr>
          <w:rFonts w:ascii="Arial" w:eastAsia="Calibri" w:hAnsi="Arial" w:cs="Arial"/>
          <w:sz w:val="22"/>
          <w:lang w:val="es-ES"/>
        </w:rPr>
        <w:t xml:space="preserve"> en vías urbanas, la</w:t>
      </w:r>
      <w:r w:rsidR="00407A69" w:rsidRPr="001A6379">
        <w:rPr>
          <w:rFonts w:ascii="Arial" w:eastAsia="Calibri" w:hAnsi="Arial" w:cs="Arial"/>
          <w:sz w:val="22"/>
          <w:lang w:val="es-ES"/>
        </w:rPr>
        <w:t xml:space="preserve"> </w:t>
      </w:r>
      <w:r w:rsidR="009476DF" w:rsidRPr="001A6379">
        <w:rPr>
          <w:rFonts w:ascii="Arial" w:eastAsia="Calibri" w:hAnsi="Arial" w:cs="Arial"/>
          <w:sz w:val="22"/>
          <w:lang w:val="es-ES"/>
        </w:rPr>
        <w:t>actividad 6.1</w:t>
      </w:r>
      <w:r w:rsidR="002770D6">
        <w:rPr>
          <w:rFonts w:ascii="Arial" w:eastAsia="Calibri" w:hAnsi="Arial" w:cs="Arial"/>
          <w:sz w:val="22"/>
          <w:lang w:val="es-ES"/>
        </w:rPr>
        <w:t>6</w:t>
      </w:r>
      <w:r w:rsidR="009476DF" w:rsidRPr="001A6379">
        <w:rPr>
          <w:rFonts w:ascii="Arial" w:eastAsia="Calibri" w:hAnsi="Arial" w:cs="Arial"/>
          <w:sz w:val="22"/>
          <w:lang w:val="es-ES"/>
        </w:rPr>
        <w:t xml:space="preserve"> de la </w:t>
      </w:r>
      <w:r w:rsidR="00407A69" w:rsidRPr="001A6379">
        <w:rPr>
          <w:rFonts w:ascii="Arial" w:eastAsia="Calibri" w:hAnsi="Arial" w:cs="Arial"/>
          <w:sz w:val="22"/>
          <w:lang w:val="es-ES"/>
        </w:rPr>
        <w:t>«M</w:t>
      </w:r>
      <w:r w:rsidR="009476DF" w:rsidRPr="001A6379">
        <w:rPr>
          <w:rFonts w:ascii="Arial" w:eastAsia="Calibri" w:hAnsi="Arial" w:cs="Arial"/>
          <w:sz w:val="22"/>
          <w:lang w:val="es-ES"/>
        </w:rPr>
        <w:t>atriz 1</w:t>
      </w:r>
      <w:r w:rsidR="00407A69" w:rsidRPr="001A6379">
        <w:rPr>
          <w:rFonts w:ascii="Arial" w:eastAsia="Calibri" w:hAnsi="Arial" w:cs="Arial"/>
          <w:sz w:val="22"/>
          <w:lang w:val="es-ES"/>
        </w:rPr>
        <w:t xml:space="preserve"> – Experiencia»</w:t>
      </w:r>
      <w:r w:rsidR="009476DF" w:rsidRPr="001A6379">
        <w:rPr>
          <w:rFonts w:ascii="Arial" w:eastAsia="Calibri" w:hAnsi="Arial" w:cs="Arial"/>
          <w:sz w:val="22"/>
          <w:lang w:val="es-ES"/>
        </w:rPr>
        <w:t xml:space="preserve"> exige </w:t>
      </w:r>
      <w:r w:rsidR="00B012AF">
        <w:rPr>
          <w:rFonts w:ascii="Arial" w:eastAsia="Calibri" w:hAnsi="Arial" w:cs="Arial"/>
          <w:sz w:val="22"/>
          <w:lang w:val="es-ES"/>
        </w:rPr>
        <w:t xml:space="preserve">que la </w:t>
      </w:r>
      <w:r w:rsidR="009476DF" w:rsidRPr="001A6379">
        <w:rPr>
          <w:rFonts w:ascii="Arial" w:eastAsia="Calibri" w:hAnsi="Arial" w:cs="Arial"/>
          <w:sz w:val="22"/>
          <w:lang w:val="es-ES"/>
        </w:rPr>
        <w:t>experiencia</w:t>
      </w:r>
      <w:r w:rsidR="00B012AF">
        <w:rPr>
          <w:rFonts w:ascii="Arial" w:eastAsia="Calibri" w:hAnsi="Arial" w:cs="Arial"/>
          <w:sz w:val="22"/>
          <w:lang w:val="es-ES"/>
        </w:rPr>
        <w:t xml:space="preserve"> general sea de </w:t>
      </w:r>
      <w:r w:rsidR="00B012AF" w:rsidRPr="001A6379">
        <w:rPr>
          <w:rFonts w:ascii="Arial" w:eastAsia="Calibri" w:hAnsi="Arial" w:cs="Arial"/>
          <w:sz w:val="22"/>
          <w:lang w:val="es-ES"/>
        </w:rPr>
        <w:t>«</w:t>
      </w:r>
      <w:r w:rsidR="00B012AF" w:rsidRPr="00B012AF">
        <w:rPr>
          <w:rFonts w:ascii="Arial" w:eastAsia="Calibri" w:hAnsi="Arial" w:cs="Arial"/>
          <w:sz w:val="22"/>
          <w:lang w:val="es-ES"/>
        </w:rPr>
        <w:t>PROYECTOS QUE CORRESPONDAN O HAYAN CONTENIDO ACTIVIDADES DE: SEÑALIZACIÓN VERTI</w:t>
      </w:r>
      <w:r w:rsidR="001F7736">
        <w:rPr>
          <w:rFonts w:ascii="Arial" w:eastAsia="Calibri" w:hAnsi="Arial" w:cs="Arial"/>
          <w:sz w:val="22"/>
          <w:lang w:val="es-ES"/>
        </w:rPr>
        <w:t>C</w:t>
      </w:r>
      <w:r w:rsidR="00B012AF" w:rsidRPr="00B012AF">
        <w:rPr>
          <w:rFonts w:ascii="Arial" w:eastAsia="Calibri" w:hAnsi="Arial" w:cs="Arial"/>
          <w:sz w:val="22"/>
          <w:lang w:val="es-ES"/>
        </w:rPr>
        <w:t>AL U HORIZONTAL O DEMARCACIÓN DE VÍAS PRIMARIAS O SECUNDARIAS O AEROPISTAS O URBANAS</w:t>
      </w:r>
      <w:r w:rsidR="00B012AF" w:rsidRPr="001A6379">
        <w:rPr>
          <w:rFonts w:ascii="Arial" w:eastAsia="Calibri" w:hAnsi="Arial" w:cs="Arial"/>
          <w:sz w:val="22"/>
          <w:lang w:val="es-ES"/>
        </w:rPr>
        <w:t>»</w:t>
      </w:r>
      <w:r w:rsidR="00B012AF" w:rsidRPr="00B012AF">
        <w:rPr>
          <w:rFonts w:ascii="Arial" w:eastAsia="Calibri" w:hAnsi="Arial" w:cs="Arial"/>
          <w:sz w:val="22"/>
          <w:lang w:val="es-ES"/>
        </w:rPr>
        <w:t>.</w:t>
      </w:r>
      <w:r w:rsidR="00B012AF">
        <w:rPr>
          <w:rFonts w:ascii="Arial" w:eastAsia="Calibri" w:hAnsi="Arial" w:cs="Arial"/>
          <w:sz w:val="22"/>
          <w:lang w:val="es-ES"/>
        </w:rPr>
        <w:t xml:space="preserve"> A su turno, para la experiencia</w:t>
      </w:r>
      <w:r w:rsidR="009476DF" w:rsidRPr="001A6379">
        <w:rPr>
          <w:rFonts w:ascii="Arial" w:eastAsia="Calibri" w:hAnsi="Arial" w:cs="Arial"/>
          <w:sz w:val="22"/>
          <w:lang w:val="es-ES"/>
        </w:rPr>
        <w:t xml:space="preserve"> específica </w:t>
      </w:r>
      <w:r>
        <w:rPr>
          <w:rFonts w:ascii="Arial" w:eastAsia="Calibri" w:hAnsi="Arial" w:cs="Arial"/>
          <w:sz w:val="22"/>
          <w:lang w:val="es-ES"/>
        </w:rPr>
        <w:t xml:space="preserve">se </w:t>
      </w:r>
      <w:r w:rsidR="00605E11">
        <w:rPr>
          <w:rFonts w:ascii="Arial" w:eastAsia="Calibri" w:hAnsi="Arial" w:cs="Arial"/>
          <w:sz w:val="22"/>
          <w:lang w:val="es-ES"/>
        </w:rPr>
        <w:t xml:space="preserve">exige </w:t>
      </w:r>
      <w:r w:rsidR="009476DF" w:rsidRPr="001A6379">
        <w:rPr>
          <w:rFonts w:ascii="Arial" w:eastAsia="Calibri" w:hAnsi="Arial" w:cs="Arial"/>
          <w:sz w:val="22"/>
          <w:lang w:val="es-ES"/>
        </w:rPr>
        <w:t>que «</w:t>
      </w:r>
      <w:r w:rsidR="009476DF" w:rsidRPr="00BC065A">
        <w:rPr>
          <w:rFonts w:ascii="Arial" w:eastAsia="Calibri" w:hAnsi="Arial" w:cs="Arial"/>
          <w:sz w:val="22"/>
          <w:lang w:val="es-ES"/>
        </w:rPr>
        <w:t>Por lo menos uno (1) de los contratos válidos aportados como experiencia general</w:t>
      </w:r>
      <w:r w:rsidR="002770D6" w:rsidRPr="00BC065A">
        <w:rPr>
          <w:rFonts w:ascii="Arial" w:eastAsia="Calibri" w:hAnsi="Arial" w:cs="Arial"/>
          <w:sz w:val="22"/>
          <w:lang w:val="es-ES"/>
        </w:rPr>
        <w:t xml:space="preserve"> debe acreditar el componente de señalización o demarcación un valor igual o superior al 6</w:t>
      </w:r>
      <w:r w:rsidR="009476DF" w:rsidRPr="00BC065A">
        <w:rPr>
          <w:rFonts w:ascii="Arial" w:eastAsia="Calibri" w:hAnsi="Arial" w:cs="Arial"/>
          <w:sz w:val="22"/>
          <w:lang w:val="es-ES"/>
        </w:rPr>
        <w:t xml:space="preserve">0% </w:t>
      </w:r>
      <w:r w:rsidR="009476DF" w:rsidRPr="00BC065A">
        <w:rPr>
          <w:rFonts w:ascii="Arial" w:eastAsia="Calibri" w:hAnsi="Arial" w:cs="Arial"/>
          <w:sz w:val="22"/>
          <w:lang w:val="es-ES"/>
        </w:rPr>
        <w:lastRenderedPageBreak/>
        <w:t>del</w:t>
      </w:r>
      <w:r w:rsidR="002770D6" w:rsidRPr="00BC065A">
        <w:rPr>
          <w:rFonts w:ascii="Arial" w:eastAsia="Calibri" w:hAnsi="Arial" w:cs="Arial"/>
          <w:sz w:val="22"/>
          <w:lang w:val="es-ES"/>
        </w:rPr>
        <w:t xml:space="preserve"> componente de señalización y/o demarcación</w:t>
      </w:r>
      <w:r w:rsidR="009476DF" w:rsidRPr="00BC065A">
        <w:rPr>
          <w:rFonts w:ascii="Arial" w:eastAsia="Calibri" w:hAnsi="Arial" w:cs="Arial"/>
          <w:sz w:val="22"/>
          <w:lang w:val="es-ES"/>
        </w:rPr>
        <w:t xml:space="preserve"> del </w:t>
      </w:r>
      <w:bookmarkStart w:id="6" w:name="_Hlk67587763"/>
      <w:r w:rsidR="004A0214" w:rsidRPr="00BC065A">
        <w:rPr>
          <w:rFonts w:ascii="Arial" w:eastAsia="Calibri" w:hAnsi="Arial" w:cs="Arial"/>
          <w:sz w:val="22"/>
          <w:lang w:val="es-ES"/>
        </w:rPr>
        <w:t>Presupuesto oficial</w:t>
      </w:r>
      <w:r w:rsidR="002770D6" w:rsidRPr="00796D6C">
        <w:rPr>
          <w:rFonts w:ascii="Arial" w:eastAsia="Calibri" w:hAnsi="Arial" w:cs="Arial"/>
          <w:sz w:val="22"/>
          <w:lang w:val="es-ES"/>
        </w:rPr>
        <w:t xml:space="preserve"> estimado de contratación</w:t>
      </w:r>
      <w:r w:rsidR="009476DF" w:rsidRPr="001A6379">
        <w:rPr>
          <w:rFonts w:ascii="Arial" w:eastAsia="Calibri" w:hAnsi="Arial" w:cs="Arial"/>
          <w:sz w:val="22"/>
          <w:lang w:val="es-ES"/>
        </w:rPr>
        <w:t>»</w:t>
      </w:r>
      <w:bookmarkEnd w:id="6"/>
      <w:r w:rsidR="009476DF" w:rsidRPr="001A6379">
        <w:rPr>
          <w:rFonts w:ascii="Arial" w:eastAsia="Calibri" w:hAnsi="Arial" w:cs="Arial"/>
          <w:sz w:val="22"/>
          <w:lang w:val="es-ES"/>
        </w:rPr>
        <w:t xml:space="preserve"> (Énfasis fuera de texto). </w:t>
      </w:r>
    </w:p>
    <w:p w14:paraId="13F6CA47" w14:textId="3DB02B97" w:rsidR="00B012AF" w:rsidRPr="00B012AF" w:rsidRDefault="00FC3AD8" w:rsidP="00B012AF">
      <w:pPr>
        <w:tabs>
          <w:tab w:val="left" w:pos="426"/>
        </w:tabs>
        <w:spacing w:line="276" w:lineRule="auto"/>
        <w:jc w:val="both"/>
        <w:rPr>
          <w:rFonts w:ascii="Arial" w:eastAsia="Calibri" w:hAnsi="Arial" w:cs="Arial"/>
          <w:color w:val="000000"/>
          <w:sz w:val="22"/>
        </w:rPr>
      </w:pPr>
      <w:bookmarkStart w:id="7" w:name="_Hlk61699623"/>
      <w:bookmarkEnd w:id="5"/>
      <w:r w:rsidRPr="001A6379">
        <w:rPr>
          <w:rFonts w:ascii="Arial" w:eastAsia="Calibri" w:hAnsi="Arial" w:cs="Arial"/>
          <w:color w:val="000000" w:themeColor="text1"/>
          <w:sz w:val="22"/>
          <w:lang w:val="es-ES"/>
        </w:rPr>
        <w:tab/>
      </w:r>
      <w:r w:rsidRPr="001A6379">
        <w:rPr>
          <w:rFonts w:ascii="Arial" w:eastAsia="Calibri" w:hAnsi="Arial" w:cs="Arial"/>
          <w:color w:val="000000" w:themeColor="text1"/>
          <w:sz w:val="22"/>
          <w:lang w:val="es-ES"/>
        </w:rPr>
        <w:tab/>
      </w:r>
      <w:r w:rsidR="00CC33C5">
        <w:rPr>
          <w:rFonts w:ascii="Arial" w:eastAsia="Calibri" w:hAnsi="Arial" w:cs="Arial"/>
          <w:color w:val="000000" w:themeColor="text1"/>
          <w:sz w:val="22"/>
          <w:lang w:val="es-ES"/>
        </w:rPr>
        <w:t>En relación con la experiencia anterior</w:t>
      </w:r>
      <w:r w:rsidRPr="001A6379">
        <w:rPr>
          <w:rFonts w:ascii="Arial" w:eastAsia="Calibri" w:hAnsi="Arial" w:cs="Arial"/>
          <w:color w:val="000000" w:themeColor="text1"/>
          <w:sz w:val="22"/>
          <w:lang w:val="es-ES"/>
        </w:rPr>
        <w:t>, el numeral 3.5.2 del documento base dispone que los contratos aportados para acreditar la experiencia</w:t>
      </w:r>
      <w:r w:rsidR="0033071B">
        <w:rPr>
          <w:rFonts w:ascii="Arial" w:eastAsia="Calibri" w:hAnsi="Arial" w:cs="Arial"/>
          <w:color w:val="000000" w:themeColor="text1"/>
          <w:sz w:val="22"/>
          <w:lang w:val="es-ES"/>
        </w:rPr>
        <w:t xml:space="preserve"> deben cumplir ciertos requisitos establecidos en los literales A - H, para poder ser evaluados según los parámetros </w:t>
      </w:r>
      <w:r w:rsidRPr="001A6379">
        <w:rPr>
          <w:rFonts w:ascii="Arial" w:eastAsia="Calibri" w:hAnsi="Arial" w:cs="Arial"/>
          <w:color w:val="000000" w:themeColor="text1"/>
          <w:sz w:val="22"/>
          <w:lang w:val="es-ES"/>
        </w:rPr>
        <w:t>establecido</w:t>
      </w:r>
      <w:r w:rsidR="0033071B">
        <w:rPr>
          <w:rFonts w:ascii="Arial" w:eastAsia="Calibri" w:hAnsi="Arial" w:cs="Arial"/>
          <w:color w:val="000000" w:themeColor="text1"/>
          <w:sz w:val="22"/>
          <w:lang w:val="es-ES"/>
        </w:rPr>
        <w:t>s</w:t>
      </w:r>
      <w:r w:rsidRPr="001A6379">
        <w:rPr>
          <w:rFonts w:ascii="Arial" w:eastAsia="Calibri" w:hAnsi="Arial" w:cs="Arial"/>
          <w:color w:val="000000" w:themeColor="text1"/>
          <w:sz w:val="22"/>
          <w:lang w:val="es-ES"/>
        </w:rPr>
        <w:t xml:space="preserve"> en la Matriz 1 – Experiencia. Este numeral regula </w:t>
      </w:r>
      <w:r w:rsidRPr="001A6379">
        <w:rPr>
          <w:rFonts w:ascii="Arial" w:hAnsi="Arial" w:cs="Arial"/>
          <w:sz w:val="22"/>
          <w:lang w:val="es-ES"/>
        </w:rPr>
        <w:t xml:space="preserve">las «características de los contratos presentados para acreditar la experiencia exigida», que son reglas conforme a las cuales se debe evaluar la validez de los contratos presentados para acreditar la experiencia y cumplir con el requisito establecido en la Matriz 1. Dentro de las características dispuestas se destaca </w:t>
      </w:r>
      <w:r w:rsidR="00B012AF">
        <w:rPr>
          <w:rFonts w:ascii="Arial" w:hAnsi="Arial" w:cs="Arial"/>
          <w:sz w:val="22"/>
          <w:lang w:val="es-ES"/>
        </w:rPr>
        <w:t xml:space="preserve">que </w:t>
      </w:r>
      <w:r w:rsidR="00B012AF" w:rsidRPr="00B012AF">
        <w:rPr>
          <w:rFonts w:ascii="Arial" w:eastAsia="Calibri" w:hAnsi="Arial" w:cs="Arial"/>
          <w:sz w:val="22"/>
        </w:rPr>
        <w:t xml:space="preserve">los proponentes deben acreditar el cumplimiento de las condiciones fijadas con mínimo uno –1– y máximo seis –6– contratos, que debieron terminar antes de la fecha de cierre del proceso de selección. Así se desprende del literal C del numeral 3.5.2 del documento base, el cual establece lo siguiente: </w:t>
      </w:r>
      <w:r w:rsidR="00B012AF" w:rsidRPr="00B012AF">
        <w:rPr>
          <w:rFonts w:ascii="Arial" w:eastAsia="Calibri" w:hAnsi="Arial" w:cs="Arial"/>
          <w:color w:val="000000"/>
          <w:sz w:val="22"/>
        </w:rPr>
        <w:t xml:space="preserve"> </w:t>
      </w:r>
    </w:p>
    <w:p w14:paraId="7DBAC64E" w14:textId="77777777" w:rsidR="00B012AF" w:rsidRPr="00B012AF" w:rsidRDefault="00B012AF" w:rsidP="00B012AF">
      <w:pPr>
        <w:tabs>
          <w:tab w:val="left" w:pos="426"/>
        </w:tabs>
        <w:spacing w:line="276" w:lineRule="auto"/>
        <w:jc w:val="both"/>
        <w:rPr>
          <w:rFonts w:ascii="Arial" w:eastAsia="Calibri" w:hAnsi="Arial" w:cs="Arial"/>
          <w:bCs/>
          <w:color w:val="000000"/>
          <w:sz w:val="22"/>
        </w:rPr>
      </w:pPr>
      <w:r w:rsidRPr="00B012AF">
        <w:rPr>
          <w:rFonts w:ascii="Arial" w:eastAsia="Calibri" w:hAnsi="Arial" w:cs="Arial"/>
          <w:bCs/>
          <w:color w:val="000000"/>
          <w:sz w:val="22"/>
        </w:rPr>
        <w:t xml:space="preserve">  </w:t>
      </w:r>
    </w:p>
    <w:p w14:paraId="0156873D" w14:textId="77777777" w:rsidR="00B012AF" w:rsidRPr="00B012AF" w:rsidRDefault="00B012AF" w:rsidP="00B012AF">
      <w:pPr>
        <w:spacing w:after="120"/>
        <w:ind w:left="709" w:right="709"/>
        <w:jc w:val="both"/>
        <w:rPr>
          <w:rFonts w:ascii="Arial" w:eastAsia="Calibri" w:hAnsi="Arial" w:cs="Arial"/>
          <w:sz w:val="21"/>
          <w:szCs w:val="21"/>
        </w:rPr>
      </w:pPr>
      <w:r w:rsidRPr="00B012AF">
        <w:rPr>
          <w:rFonts w:ascii="Arial" w:eastAsia="Calibri" w:hAnsi="Arial" w:cs="Arial"/>
          <w:sz w:val="21"/>
          <w:szCs w:val="21"/>
        </w:rPr>
        <w:t>3.5.2.</w:t>
      </w:r>
      <w:r w:rsidRPr="00B012AF">
        <w:rPr>
          <w:rFonts w:ascii="Arial" w:eastAsia="Calibri" w:hAnsi="Arial" w:cs="Arial"/>
          <w:sz w:val="21"/>
          <w:szCs w:val="21"/>
        </w:rPr>
        <w:tab/>
        <w:t xml:space="preserve">CARACTERÍSTICAS DE LOS CONTRATOS PRESENTADOS PARA ACREDITAR LA EXPERIENCIA EXIGIDA </w:t>
      </w:r>
    </w:p>
    <w:p w14:paraId="6F8EEE06" w14:textId="77777777" w:rsidR="00B012AF" w:rsidRPr="00B012AF" w:rsidRDefault="00B012AF" w:rsidP="00B012AF">
      <w:pPr>
        <w:ind w:left="709" w:right="709"/>
        <w:jc w:val="both"/>
        <w:rPr>
          <w:rFonts w:ascii="Arial" w:eastAsia="Calibri" w:hAnsi="Arial" w:cs="Arial"/>
          <w:sz w:val="21"/>
          <w:szCs w:val="21"/>
        </w:rPr>
      </w:pPr>
      <w:r w:rsidRPr="00B012AF">
        <w:rPr>
          <w:rFonts w:ascii="Arial" w:eastAsia="Calibri" w:hAnsi="Arial" w:cs="Arial"/>
          <w:sz w:val="21"/>
          <w:szCs w:val="21"/>
        </w:rPr>
        <w:t>Los contratos para acreditar la experiencia exigida deberán cumplir las siguientes características:</w:t>
      </w:r>
    </w:p>
    <w:p w14:paraId="594E453B" w14:textId="77777777" w:rsidR="00B012AF" w:rsidRPr="00B012AF" w:rsidRDefault="00B012AF" w:rsidP="00B012AF">
      <w:pPr>
        <w:spacing w:after="120"/>
        <w:ind w:firstLine="709"/>
        <w:jc w:val="both"/>
        <w:rPr>
          <w:rFonts w:ascii="Arial" w:eastAsia="Calibri" w:hAnsi="Arial" w:cs="Arial"/>
          <w:sz w:val="21"/>
          <w:szCs w:val="21"/>
        </w:rPr>
      </w:pPr>
      <w:r w:rsidRPr="00B012AF">
        <w:rPr>
          <w:rFonts w:ascii="Arial" w:eastAsia="Calibri" w:hAnsi="Arial" w:cs="Arial"/>
          <w:sz w:val="21"/>
          <w:szCs w:val="21"/>
        </w:rPr>
        <w:t>[…]</w:t>
      </w:r>
    </w:p>
    <w:p w14:paraId="2AC2C0C7" w14:textId="77777777" w:rsidR="00B012AF" w:rsidRPr="00B012AF" w:rsidRDefault="00B012AF" w:rsidP="00B012AF">
      <w:pPr>
        <w:ind w:left="708" w:right="709"/>
        <w:jc w:val="both"/>
        <w:rPr>
          <w:rFonts w:ascii="Arial" w:eastAsia="Calibri" w:hAnsi="Arial" w:cs="Arial"/>
          <w:sz w:val="21"/>
          <w:szCs w:val="21"/>
        </w:rPr>
      </w:pPr>
      <w:r w:rsidRPr="00B012AF">
        <w:rPr>
          <w:rFonts w:ascii="Arial" w:eastAsia="Calibri" w:hAnsi="Arial" w:cs="Arial"/>
          <w:sz w:val="21"/>
          <w:szCs w:val="21"/>
        </w:rPr>
        <w:t xml:space="preserve">C. El proponente podrá acreditar la experiencia con mínimo uno (1) y máximo seis (6) contratos, los cuales serán evaluados teniendo en cuenta la tabla incluida en el numeral 3.5.8 del pliego de condiciones, así como el contenido establecido en la Matriz 1 – Experiencia. </w:t>
      </w:r>
      <w:r w:rsidRPr="00B012AF">
        <w:rPr>
          <w:rFonts w:ascii="Arial" w:eastAsia="Calibri" w:hAnsi="Arial" w:cs="Arial"/>
          <w:sz w:val="21"/>
          <w:szCs w:val="21"/>
          <w:highlight w:val="lightGray"/>
        </w:rPr>
        <w:t>[En los procesos estructurados por lotes, el proponente podrá aportar mínimo uno (1) y máximo seis (6) contratos para cada uno de los lotes o podrá aportar los mismos para todos los lotes]</w:t>
      </w:r>
      <w:r w:rsidRPr="00B012AF">
        <w:rPr>
          <w:rFonts w:ascii="Arial" w:eastAsia="Calibri" w:hAnsi="Arial" w:cs="Arial"/>
          <w:sz w:val="21"/>
          <w:szCs w:val="21"/>
        </w:rPr>
        <w:t xml:space="preserve"> </w:t>
      </w:r>
    </w:p>
    <w:p w14:paraId="704F59B0" w14:textId="77777777" w:rsidR="00AF463F" w:rsidRDefault="00AF463F" w:rsidP="00FC3AD8">
      <w:pPr>
        <w:tabs>
          <w:tab w:val="left" w:pos="426"/>
        </w:tabs>
        <w:spacing w:line="276" w:lineRule="auto"/>
        <w:jc w:val="both"/>
        <w:rPr>
          <w:rFonts w:ascii="Arial" w:hAnsi="Arial" w:cs="Arial"/>
          <w:sz w:val="22"/>
          <w:lang w:val="es-ES"/>
        </w:rPr>
      </w:pPr>
    </w:p>
    <w:p w14:paraId="3198D531" w14:textId="4C3815DE" w:rsidR="00AF463F" w:rsidRPr="00AF463F" w:rsidRDefault="00AF463F" w:rsidP="00AF463F">
      <w:pPr>
        <w:tabs>
          <w:tab w:val="left" w:pos="426"/>
        </w:tabs>
        <w:spacing w:line="276" w:lineRule="auto"/>
        <w:jc w:val="both"/>
        <w:rPr>
          <w:rFonts w:ascii="Arial" w:eastAsia="Calibri" w:hAnsi="Arial" w:cs="Arial"/>
          <w:sz w:val="22"/>
        </w:rPr>
      </w:pPr>
      <w:r>
        <w:rPr>
          <w:rFonts w:ascii="Arial" w:eastAsia="Calibri" w:hAnsi="Arial" w:cs="Arial"/>
          <w:sz w:val="22"/>
        </w:rPr>
        <w:tab/>
      </w:r>
      <w:r w:rsidR="00CC33C5">
        <w:rPr>
          <w:rFonts w:ascii="Arial" w:eastAsia="Calibri" w:hAnsi="Arial" w:cs="Arial"/>
          <w:sz w:val="22"/>
        </w:rPr>
        <w:tab/>
      </w:r>
      <w:r w:rsidRPr="00AF463F">
        <w:rPr>
          <w:rFonts w:ascii="Arial" w:eastAsia="Calibri" w:hAnsi="Arial" w:cs="Arial"/>
          <w:sz w:val="22"/>
        </w:rPr>
        <w:t xml:space="preserve">En esta medida, para los </w:t>
      </w:r>
      <w:r w:rsidRPr="00AF463F">
        <w:rPr>
          <w:rFonts w:ascii="Arial" w:eastAsia="Calibri" w:hAnsi="Arial" w:cs="Arial"/>
          <w:color w:val="000000"/>
          <w:sz w:val="22"/>
        </w:rPr>
        <w:t xml:space="preserve">«Documentos Tipo – Versión 3» </w:t>
      </w:r>
      <w:r w:rsidRPr="00AF463F">
        <w:rPr>
          <w:rFonts w:ascii="Arial" w:eastAsia="Calibri" w:hAnsi="Arial" w:cs="Arial"/>
          <w:sz w:val="22"/>
        </w:rPr>
        <w:t xml:space="preserve">adoptados mediante </w:t>
      </w:r>
      <w:r w:rsidRPr="00AF463F">
        <w:rPr>
          <w:rFonts w:ascii="Arial" w:eastAsia="Calibri" w:hAnsi="Arial" w:cs="Arial"/>
          <w:bCs/>
          <w:color w:val="000000"/>
          <w:sz w:val="22"/>
        </w:rPr>
        <w:t>la Resolución No. 240 del 27 de noviembre de 2020</w:t>
      </w:r>
      <w:r w:rsidRPr="00AF463F">
        <w:rPr>
          <w:rFonts w:ascii="Arial" w:eastAsia="Calibri" w:hAnsi="Arial" w:cs="Arial"/>
          <w:sz w:val="22"/>
        </w:rPr>
        <w:t>, modificados mediante la Resolución No. 161 del 17 de junio de 2021, los proponentes deben acreditar el requisito de experiencia</w:t>
      </w:r>
      <w:r w:rsidR="00D16D0A">
        <w:rPr>
          <w:rFonts w:ascii="Arial" w:eastAsia="Calibri" w:hAnsi="Arial" w:cs="Arial"/>
          <w:sz w:val="22"/>
        </w:rPr>
        <w:t xml:space="preserve"> </w:t>
      </w:r>
      <w:r w:rsidRPr="00AF463F">
        <w:rPr>
          <w:rFonts w:ascii="Arial" w:eastAsia="Calibri" w:hAnsi="Arial" w:cs="Arial"/>
          <w:sz w:val="22"/>
        </w:rPr>
        <w:t>presentando entre uno y seis contratos. Naturalmente, los contratos aportados por los proponentes deben evaluarse conforme a la tabla del numeral 3.5.8 del pliego tipo. Este numeral prescribe que:</w:t>
      </w:r>
    </w:p>
    <w:p w14:paraId="4F379004" w14:textId="77777777" w:rsidR="00AF463F" w:rsidRPr="00AF463F" w:rsidRDefault="00AF463F" w:rsidP="00AF463F">
      <w:pPr>
        <w:spacing w:line="276" w:lineRule="auto"/>
        <w:ind w:firstLine="708"/>
        <w:jc w:val="both"/>
        <w:rPr>
          <w:rFonts w:ascii="Arial" w:eastAsia="Calibri" w:hAnsi="Arial" w:cs="Arial"/>
          <w:sz w:val="22"/>
        </w:rPr>
      </w:pPr>
    </w:p>
    <w:p w14:paraId="219CD3C7" w14:textId="77777777" w:rsidR="00AF463F" w:rsidRPr="00AF463F" w:rsidRDefault="00AF463F" w:rsidP="00AF463F">
      <w:pPr>
        <w:tabs>
          <w:tab w:val="left" w:pos="-142"/>
        </w:tabs>
        <w:autoSpaceDE w:val="0"/>
        <w:autoSpaceDN w:val="0"/>
        <w:adjustRightInd w:val="0"/>
        <w:spacing w:after="240"/>
        <w:ind w:left="709" w:right="709"/>
        <w:jc w:val="both"/>
        <w:outlineLvl w:val="2"/>
        <w:rPr>
          <w:rFonts w:ascii="Arial" w:eastAsia="Arial" w:hAnsi="Arial" w:cs="Arial"/>
          <w:sz w:val="21"/>
          <w:szCs w:val="21"/>
          <w:lang w:val="es-CO" w:eastAsia="es-ES"/>
        </w:rPr>
      </w:pPr>
      <w:bookmarkStart w:id="8" w:name="_Hlk64651232"/>
      <w:bookmarkStart w:id="9" w:name="_Ref533083945"/>
      <w:bookmarkStart w:id="10" w:name="_Toc49416222"/>
      <w:r w:rsidRPr="00AF463F">
        <w:rPr>
          <w:rFonts w:ascii="Arial" w:eastAsia="Arial" w:hAnsi="Arial" w:cs="Arial"/>
          <w:sz w:val="21"/>
          <w:szCs w:val="21"/>
          <w:lang w:val="es-CO" w:eastAsia="es-ES"/>
        </w:rPr>
        <w:t>3.5.8</w:t>
      </w:r>
      <w:bookmarkEnd w:id="8"/>
      <w:r w:rsidRPr="00AF463F">
        <w:rPr>
          <w:rFonts w:ascii="Arial" w:eastAsia="Arial" w:hAnsi="Arial" w:cs="Arial"/>
          <w:sz w:val="21"/>
          <w:szCs w:val="21"/>
          <w:lang w:val="es-CO" w:eastAsia="es-ES"/>
        </w:rPr>
        <w:t>. RELACIÓN DE LOS CONTRATOS FRENTE AL PRESUPUESTO OFICIAL</w:t>
      </w:r>
      <w:bookmarkEnd w:id="9"/>
      <w:bookmarkEnd w:id="10"/>
      <w:r w:rsidRPr="00AF463F">
        <w:rPr>
          <w:rFonts w:ascii="Arial" w:eastAsia="Arial" w:hAnsi="Arial" w:cs="Arial"/>
          <w:sz w:val="21"/>
          <w:szCs w:val="21"/>
          <w:lang w:val="es-CO" w:eastAsia="es-ES"/>
        </w:rPr>
        <w:t xml:space="preserve"> </w:t>
      </w:r>
    </w:p>
    <w:p w14:paraId="18754978" w14:textId="77777777" w:rsidR="00AF463F" w:rsidRPr="00AF463F" w:rsidRDefault="00AF463F" w:rsidP="00AF463F">
      <w:pPr>
        <w:ind w:left="709" w:right="709"/>
        <w:jc w:val="both"/>
        <w:rPr>
          <w:rFonts w:ascii="Arial" w:eastAsia="Arial" w:hAnsi="Arial" w:cs="Arial"/>
          <w:sz w:val="21"/>
          <w:szCs w:val="21"/>
          <w:lang w:val="es-ES"/>
        </w:rPr>
      </w:pPr>
      <w:r w:rsidRPr="00AF463F">
        <w:rPr>
          <w:rFonts w:ascii="Arial" w:eastAsia="Calibri" w:hAnsi="Arial" w:cs="Arial"/>
          <w:sz w:val="21"/>
          <w:szCs w:val="21"/>
          <w:lang w:val="es-ES"/>
        </w:rPr>
        <w:t>La</w:t>
      </w:r>
      <w:r w:rsidRPr="00AF463F">
        <w:rPr>
          <w:rFonts w:ascii="Arial" w:eastAsia="Arial" w:hAnsi="Arial" w:cs="Arial"/>
          <w:sz w:val="21"/>
          <w:szCs w:val="21"/>
          <w:lang w:val="es-ES"/>
        </w:rPr>
        <w:t xml:space="preserve"> </w:t>
      </w:r>
      <w:r w:rsidRPr="00AF463F">
        <w:rPr>
          <w:rFonts w:ascii="Arial" w:eastAsia="Calibri" w:hAnsi="Arial" w:cs="Arial"/>
          <w:sz w:val="21"/>
          <w:szCs w:val="21"/>
          <w:lang w:val="es-ES"/>
        </w:rPr>
        <w:t>verificación del número de contratos para acreditar la experiencia</w:t>
      </w:r>
      <w:r w:rsidRPr="00AF463F">
        <w:rPr>
          <w:rFonts w:ascii="Arial" w:eastAsia="Arial" w:hAnsi="Arial" w:cs="Arial"/>
          <w:sz w:val="21"/>
          <w:szCs w:val="21"/>
          <w:lang w:val="es-ES"/>
        </w:rPr>
        <w:t xml:space="preserve"> </w:t>
      </w:r>
      <w:r w:rsidRPr="00AF463F">
        <w:rPr>
          <w:rFonts w:ascii="Arial" w:eastAsia="Calibri" w:hAnsi="Arial" w:cs="Arial"/>
          <w:sz w:val="21"/>
          <w:szCs w:val="21"/>
          <w:lang w:val="es-ES"/>
        </w:rPr>
        <w:t>se</w:t>
      </w:r>
      <w:r w:rsidRPr="00AF463F">
        <w:rPr>
          <w:rFonts w:ascii="Arial" w:eastAsia="Arial" w:hAnsi="Arial" w:cs="Arial"/>
          <w:sz w:val="21"/>
          <w:szCs w:val="21"/>
          <w:lang w:val="es-ES"/>
        </w:rPr>
        <w:t xml:space="preserve"> </w:t>
      </w:r>
      <w:r w:rsidRPr="00AF463F">
        <w:rPr>
          <w:rFonts w:ascii="Arial" w:eastAsia="Calibri" w:hAnsi="Arial" w:cs="Arial"/>
          <w:sz w:val="21"/>
          <w:szCs w:val="21"/>
          <w:lang w:val="es-ES"/>
        </w:rPr>
        <w:t>realizará</w:t>
      </w:r>
      <w:r w:rsidRPr="00AF463F">
        <w:rPr>
          <w:rFonts w:ascii="Arial" w:eastAsia="Arial" w:hAnsi="Arial" w:cs="Arial"/>
          <w:sz w:val="21"/>
          <w:szCs w:val="21"/>
          <w:lang w:val="es-ES"/>
        </w:rPr>
        <w:t xml:space="preserve"> </w:t>
      </w:r>
      <w:r w:rsidRPr="00AF463F">
        <w:rPr>
          <w:rFonts w:ascii="Arial" w:eastAsia="Calibri" w:hAnsi="Arial" w:cs="Arial"/>
          <w:sz w:val="21"/>
          <w:szCs w:val="21"/>
          <w:lang w:val="es-ES"/>
        </w:rPr>
        <w:t>de</w:t>
      </w:r>
      <w:r w:rsidRPr="00AF463F">
        <w:rPr>
          <w:rFonts w:ascii="Arial" w:eastAsia="Arial" w:hAnsi="Arial" w:cs="Arial"/>
          <w:sz w:val="21"/>
          <w:szCs w:val="21"/>
          <w:lang w:val="es-ES"/>
        </w:rPr>
        <w:t xml:space="preserve"> </w:t>
      </w:r>
      <w:r w:rsidRPr="00AF463F">
        <w:rPr>
          <w:rFonts w:ascii="Arial" w:eastAsia="Calibri" w:hAnsi="Arial" w:cs="Arial"/>
          <w:sz w:val="21"/>
          <w:szCs w:val="21"/>
          <w:lang w:val="es-ES"/>
        </w:rPr>
        <w:t>la</w:t>
      </w:r>
      <w:r w:rsidRPr="00AF463F">
        <w:rPr>
          <w:rFonts w:ascii="Arial" w:eastAsia="Arial" w:hAnsi="Arial" w:cs="Arial"/>
          <w:sz w:val="21"/>
          <w:szCs w:val="21"/>
          <w:lang w:val="es-ES"/>
        </w:rPr>
        <w:t xml:space="preserve"> </w:t>
      </w:r>
      <w:r w:rsidRPr="00AF463F">
        <w:rPr>
          <w:rFonts w:ascii="Arial" w:eastAsia="Calibri" w:hAnsi="Arial" w:cs="Arial"/>
          <w:sz w:val="21"/>
          <w:szCs w:val="21"/>
          <w:lang w:val="es-ES"/>
        </w:rPr>
        <w:t>siguiente</w:t>
      </w:r>
      <w:r w:rsidRPr="00AF463F">
        <w:rPr>
          <w:rFonts w:ascii="Arial" w:eastAsia="Arial" w:hAnsi="Arial" w:cs="Arial"/>
          <w:sz w:val="21"/>
          <w:szCs w:val="21"/>
          <w:lang w:val="es-ES"/>
        </w:rPr>
        <w:t xml:space="preserve"> </w:t>
      </w:r>
      <w:r w:rsidRPr="00AF463F">
        <w:rPr>
          <w:rFonts w:ascii="Arial" w:eastAsia="Calibri" w:hAnsi="Arial" w:cs="Arial"/>
          <w:sz w:val="21"/>
          <w:szCs w:val="21"/>
          <w:lang w:val="es-ES"/>
        </w:rPr>
        <w:t>manera:</w:t>
      </w:r>
    </w:p>
    <w:p w14:paraId="669041B4" w14:textId="77777777" w:rsidR="00AF463F" w:rsidRPr="00AF463F" w:rsidRDefault="00AF463F" w:rsidP="00AF463F">
      <w:pPr>
        <w:ind w:left="709" w:right="709"/>
        <w:jc w:val="both"/>
        <w:rPr>
          <w:rFonts w:ascii="Arial" w:eastAsia="Calibri" w:hAnsi="Arial" w:cs="Arial"/>
          <w:sz w:val="21"/>
          <w:szCs w:val="21"/>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AF463F" w:rsidRPr="00AF463F" w14:paraId="529B2CB3" w14:textId="77777777" w:rsidTr="00AF463F">
        <w:trPr>
          <w:trHeight w:val="737"/>
        </w:trPr>
        <w:tc>
          <w:tcPr>
            <w:tcW w:w="3055" w:type="dxa"/>
            <w:tcBorders>
              <w:top w:val="double" w:sz="4" w:space="0" w:color="auto"/>
              <w:left w:val="double" w:sz="4" w:space="0" w:color="auto"/>
              <w:bottom w:val="single" w:sz="4" w:space="0" w:color="000000"/>
              <w:right w:val="single" w:sz="4" w:space="0" w:color="000000"/>
            </w:tcBorders>
            <w:shd w:val="clear" w:color="auto" w:fill="404040"/>
            <w:vAlign w:val="center"/>
            <w:hideMark/>
          </w:tcPr>
          <w:p w14:paraId="473590AC" w14:textId="77777777" w:rsidR="00AF463F" w:rsidRPr="00AF463F" w:rsidRDefault="00AF463F" w:rsidP="00AF463F">
            <w:pPr>
              <w:spacing w:line="256" w:lineRule="auto"/>
              <w:ind w:left="-85" w:right="-48"/>
              <w:jc w:val="center"/>
              <w:rPr>
                <w:rFonts w:ascii="Arial" w:eastAsia="Arial" w:hAnsi="Arial" w:cs="Arial"/>
                <w:b/>
                <w:bCs/>
                <w:sz w:val="16"/>
                <w:szCs w:val="16"/>
                <w:lang w:val="es-ES"/>
              </w:rPr>
            </w:pPr>
            <w:r w:rsidRPr="00AF463F">
              <w:rPr>
                <w:rFonts w:ascii="Arial" w:eastAsia="Calibri" w:hAnsi="Arial" w:cs="Arial"/>
                <w:b/>
                <w:bCs/>
                <w:color w:val="FFFFFF"/>
                <w:sz w:val="16"/>
                <w:szCs w:val="16"/>
                <w:lang w:val="es-ES"/>
              </w:rPr>
              <w:lastRenderedPageBreak/>
              <w:t>Número</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de</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contratos</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con</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los</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cuales</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el</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Proponente</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cumple</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la</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experiencia</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acreditada</w:t>
            </w:r>
          </w:p>
        </w:tc>
        <w:tc>
          <w:tcPr>
            <w:tcW w:w="4192" w:type="dxa"/>
            <w:tcBorders>
              <w:top w:val="double" w:sz="4" w:space="0" w:color="auto"/>
              <w:left w:val="single" w:sz="4" w:space="0" w:color="000000"/>
              <w:bottom w:val="single" w:sz="4" w:space="0" w:color="000000"/>
              <w:right w:val="double" w:sz="4" w:space="0" w:color="auto"/>
            </w:tcBorders>
            <w:shd w:val="clear" w:color="auto" w:fill="404040"/>
            <w:vAlign w:val="center"/>
            <w:hideMark/>
          </w:tcPr>
          <w:p w14:paraId="6CFC011B" w14:textId="77777777" w:rsidR="00AF463F" w:rsidRPr="00AF463F" w:rsidRDefault="00AF463F" w:rsidP="00AF463F">
            <w:pPr>
              <w:spacing w:line="256" w:lineRule="auto"/>
              <w:ind w:left="-27" w:right="30"/>
              <w:jc w:val="center"/>
              <w:rPr>
                <w:rFonts w:ascii="Arial" w:eastAsia="Arial" w:hAnsi="Arial" w:cs="Arial"/>
                <w:b/>
                <w:bCs/>
                <w:color w:val="FFFFFF"/>
                <w:sz w:val="16"/>
                <w:szCs w:val="16"/>
                <w:lang w:val="es-ES"/>
              </w:rPr>
            </w:pPr>
            <w:proofErr w:type="gramStart"/>
            <w:r w:rsidRPr="00AF463F">
              <w:rPr>
                <w:rFonts w:ascii="Arial" w:eastAsia="Calibri" w:hAnsi="Arial" w:cs="Arial"/>
                <w:b/>
                <w:bCs/>
                <w:color w:val="FFFFFF"/>
                <w:sz w:val="16"/>
                <w:szCs w:val="16"/>
                <w:lang w:val="es-ES"/>
              </w:rPr>
              <w:t>Valor</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mínimo</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a</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certificar</w:t>
            </w:r>
            <w:proofErr w:type="gramEnd"/>
          </w:p>
          <w:p w14:paraId="1AC354DC" w14:textId="77777777" w:rsidR="00AF463F" w:rsidRPr="00AF463F" w:rsidRDefault="00AF463F" w:rsidP="00AF463F">
            <w:pPr>
              <w:spacing w:line="256" w:lineRule="auto"/>
              <w:ind w:left="-27" w:right="30"/>
              <w:jc w:val="center"/>
              <w:rPr>
                <w:rFonts w:ascii="Arial" w:eastAsia="Arial" w:hAnsi="Arial" w:cs="Arial"/>
                <w:b/>
                <w:bCs/>
                <w:sz w:val="16"/>
                <w:szCs w:val="16"/>
                <w:lang w:val="es-ES"/>
              </w:rPr>
            </w:pPr>
            <w:r w:rsidRPr="00AF463F">
              <w:rPr>
                <w:rFonts w:ascii="Arial" w:eastAsia="Calibri" w:hAnsi="Arial" w:cs="Arial"/>
                <w:b/>
                <w:bCs/>
                <w:color w:val="FFFFFF"/>
                <w:sz w:val="16"/>
                <w:szCs w:val="16"/>
                <w:lang w:val="es-ES"/>
              </w:rPr>
              <w:t>(como</w:t>
            </w:r>
            <w:r w:rsidRPr="00AF463F">
              <w:rPr>
                <w:rFonts w:ascii="Arial" w:eastAsia="Arial" w:hAnsi="Arial" w:cs="Arial"/>
                <w:b/>
                <w:bCs/>
                <w:color w:val="FFFFFF"/>
                <w:sz w:val="16"/>
                <w:szCs w:val="16"/>
                <w:lang w:val="es-ES"/>
              </w:rPr>
              <w:t xml:space="preserve"> % </w:t>
            </w:r>
            <w:r w:rsidRPr="00AF463F">
              <w:rPr>
                <w:rFonts w:ascii="Arial" w:eastAsia="Calibri" w:hAnsi="Arial" w:cs="Arial"/>
                <w:b/>
                <w:bCs/>
                <w:color w:val="FFFFFF"/>
                <w:sz w:val="16"/>
                <w:szCs w:val="16"/>
                <w:lang w:val="es-ES"/>
              </w:rPr>
              <w:t>del</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Presupuesto</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Oficial</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de</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obra</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expresado</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en</w:t>
            </w:r>
            <w:r w:rsidRPr="00AF463F">
              <w:rPr>
                <w:rFonts w:ascii="Arial" w:eastAsia="Arial" w:hAnsi="Arial" w:cs="Arial"/>
                <w:b/>
                <w:bCs/>
                <w:color w:val="FFFFFF"/>
                <w:sz w:val="16"/>
                <w:szCs w:val="16"/>
                <w:lang w:val="es-ES"/>
              </w:rPr>
              <w:t xml:space="preserve"> </w:t>
            </w:r>
            <w:r w:rsidRPr="00AF463F">
              <w:rPr>
                <w:rFonts w:ascii="Arial" w:eastAsia="Calibri" w:hAnsi="Arial" w:cs="Arial"/>
                <w:b/>
                <w:bCs/>
                <w:color w:val="FFFFFF"/>
                <w:sz w:val="16"/>
                <w:szCs w:val="16"/>
                <w:lang w:val="es-ES"/>
              </w:rPr>
              <w:t>SMMLV)</w:t>
            </w:r>
          </w:p>
        </w:tc>
      </w:tr>
      <w:tr w:rsidR="00AF463F" w:rsidRPr="00AF463F" w14:paraId="1293914C" w14:textId="77777777" w:rsidTr="00AF463F">
        <w:tc>
          <w:tcPr>
            <w:tcW w:w="3055" w:type="dxa"/>
            <w:tcBorders>
              <w:top w:val="single" w:sz="4" w:space="0" w:color="000000"/>
              <w:left w:val="double" w:sz="4" w:space="0" w:color="000000"/>
              <w:bottom w:val="single" w:sz="4" w:space="0" w:color="000000"/>
              <w:right w:val="single" w:sz="4" w:space="0" w:color="000000"/>
            </w:tcBorders>
            <w:vAlign w:val="center"/>
            <w:hideMark/>
          </w:tcPr>
          <w:p w14:paraId="260EB262" w14:textId="77777777" w:rsidR="00AF463F" w:rsidRPr="00AF463F" w:rsidRDefault="00AF463F" w:rsidP="00AF463F">
            <w:pPr>
              <w:spacing w:line="256" w:lineRule="auto"/>
              <w:ind w:left="709" w:right="709"/>
              <w:jc w:val="center"/>
              <w:rPr>
                <w:rFonts w:ascii="Arial" w:eastAsia="Arial" w:hAnsi="Arial" w:cs="Arial"/>
                <w:sz w:val="16"/>
                <w:szCs w:val="16"/>
                <w:lang w:val="es-ES"/>
              </w:rPr>
            </w:pPr>
            <w:r w:rsidRPr="00AF463F">
              <w:rPr>
                <w:rFonts w:ascii="Arial" w:eastAsia="Calibri" w:hAnsi="Arial" w:cs="Arial"/>
                <w:sz w:val="16"/>
                <w:szCs w:val="16"/>
                <w:lang w:val="es-ES"/>
              </w:rPr>
              <w:t>De</w:t>
            </w:r>
            <w:r w:rsidRPr="00AF463F">
              <w:rPr>
                <w:rFonts w:ascii="Arial" w:eastAsia="Arial" w:hAnsi="Arial" w:cs="Arial"/>
                <w:sz w:val="16"/>
                <w:szCs w:val="16"/>
                <w:lang w:val="es-ES"/>
              </w:rPr>
              <w:t xml:space="preserve"> </w:t>
            </w:r>
            <w:r w:rsidRPr="00AF463F">
              <w:rPr>
                <w:rFonts w:ascii="Arial" w:eastAsia="Calibri" w:hAnsi="Arial" w:cs="Arial"/>
                <w:sz w:val="16"/>
                <w:szCs w:val="16"/>
                <w:lang w:val="es-ES"/>
              </w:rPr>
              <w:t>1</w:t>
            </w:r>
            <w:r w:rsidRPr="00AF463F">
              <w:rPr>
                <w:rFonts w:ascii="Arial" w:eastAsia="Arial" w:hAnsi="Arial" w:cs="Arial"/>
                <w:sz w:val="16"/>
                <w:szCs w:val="16"/>
                <w:lang w:val="es-ES"/>
              </w:rPr>
              <w:t xml:space="preserve"> </w:t>
            </w:r>
            <w:r w:rsidRPr="00AF463F">
              <w:rPr>
                <w:rFonts w:ascii="Arial" w:eastAsia="Calibri" w:hAnsi="Arial" w:cs="Arial"/>
                <w:sz w:val="16"/>
                <w:szCs w:val="16"/>
                <w:lang w:val="es-ES"/>
              </w:rPr>
              <w:t>hasta</w:t>
            </w:r>
            <w:r w:rsidRPr="00AF463F">
              <w:rPr>
                <w:rFonts w:ascii="Arial" w:eastAsia="Arial" w:hAnsi="Arial" w:cs="Arial"/>
                <w:sz w:val="16"/>
                <w:szCs w:val="16"/>
                <w:lang w:val="es-ES"/>
              </w:rPr>
              <w:t xml:space="preserve"> </w:t>
            </w:r>
            <w:r w:rsidRPr="00AF463F">
              <w:rPr>
                <w:rFonts w:ascii="Arial" w:eastAsia="Calibri" w:hAnsi="Arial" w:cs="Arial"/>
                <w:sz w:val="16"/>
                <w:szCs w:val="16"/>
                <w:lang w:val="es-ES"/>
              </w:rPr>
              <w:t>2</w:t>
            </w:r>
          </w:p>
        </w:tc>
        <w:tc>
          <w:tcPr>
            <w:tcW w:w="4192" w:type="dxa"/>
            <w:tcBorders>
              <w:top w:val="single" w:sz="4" w:space="0" w:color="000000"/>
              <w:left w:val="single" w:sz="4" w:space="0" w:color="000000"/>
              <w:bottom w:val="single" w:sz="4" w:space="0" w:color="000000"/>
              <w:right w:val="double" w:sz="4" w:space="0" w:color="000000"/>
            </w:tcBorders>
            <w:vAlign w:val="center"/>
            <w:hideMark/>
          </w:tcPr>
          <w:p w14:paraId="1CDE2DE6" w14:textId="77777777" w:rsidR="00AF463F" w:rsidRPr="00AF463F" w:rsidRDefault="00AF463F" w:rsidP="00AF463F">
            <w:pPr>
              <w:spacing w:line="256" w:lineRule="auto"/>
              <w:ind w:left="709" w:right="709"/>
              <w:jc w:val="center"/>
              <w:rPr>
                <w:rFonts w:ascii="Arial" w:eastAsia="Arial" w:hAnsi="Arial" w:cs="Arial"/>
                <w:sz w:val="16"/>
                <w:szCs w:val="16"/>
                <w:lang w:val="es-ES"/>
              </w:rPr>
            </w:pPr>
            <w:r w:rsidRPr="00AF463F">
              <w:rPr>
                <w:rFonts w:ascii="Arial" w:eastAsia="Calibri" w:hAnsi="Arial" w:cs="Arial"/>
                <w:sz w:val="16"/>
                <w:szCs w:val="16"/>
                <w:lang w:val="es-ES"/>
              </w:rPr>
              <w:t>75%</w:t>
            </w:r>
          </w:p>
        </w:tc>
      </w:tr>
      <w:tr w:rsidR="00AF463F" w:rsidRPr="00AF463F" w14:paraId="6C9083A5" w14:textId="77777777" w:rsidTr="00AF463F">
        <w:tc>
          <w:tcPr>
            <w:tcW w:w="3055" w:type="dxa"/>
            <w:tcBorders>
              <w:top w:val="single" w:sz="4" w:space="0" w:color="000000"/>
              <w:left w:val="double" w:sz="4" w:space="0" w:color="000000"/>
              <w:bottom w:val="single" w:sz="4" w:space="0" w:color="000000"/>
              <w:right w:val="single" w:sz="4" w:space="0" w:color="000000"/>
            </w:tcBorders>
            <w:vAlign w:val="center"/>
            <w:hideMark/>
          </w:tcPr>
          <w:p w14:paraId="4239C1B0" w14:textId="77777777" w:rsidR="00AF463F" w:rsidRPr="00AF463F" w:rsidRDefault="00AF463F" w:rsidP="00AF463F">
            <w:pPr>
              <w:spacing w:line="256" w:lineRule="auto"/>
              <w:ind w:left="709" w:right="709"/>
              <w:jc w:val="center"/>
              <w:rPr>
                <w:rFonts w:ascii="Arial" w:eastAsia="Arial" w:hAnsi="Arial" w:cs="Arial"/>
                <w:sz w:val="16"/>
                <w:szCs w:val="16"/>
                <w:lang w:val="es-ES"/>
              </w:rPr>
            </w:pPr>
            <w:r w:rsidRPr="00AF463F">
              <w:rPr>
                <w:rFonts w:ascii="Arial" w:eastAsia="Calibri" w:hAnsi="Arial" w:cs="Arial"/>
                <w:sz w:val="16"/>
                <w:szCs w:val="16"/>
                <w:lang w:val="es-ES"/>
              </w:rPr>
              <w:t>De</w:t>
            </w:r>
            <w:r w:rsidRPr="00AF463F">
              <w:rPr>
                <w:rFonts w:ascii="Arial" w:eastAsia="Arial" w:hAnsi="Arial" w:cs="Arial"/>
                <w:sz w:val="16"/>
                <w:szCs w:val="16"/>
                <w:lang w:val="es-ES"/>
              </w:rPr>
              <w:t xml:space="preserve"> </w:t>
            </w:r>
            <w:r w:rsidRPr="00AF463F">
              <w:rPr>
                <w:rFonts w:ascii="Arial" w:eastAsia="Calibri" w:hAnsi="Arial" w:cs="Arial"/>
                <w:sz w:val="16"/>
                <w:szCs w:val="16"/>
                <w:lang w:val="es-ES"/>
              </w:rPr>
              <w:t>3</w:t>
            </w:r>
            <w:r w:rsidRPr="00AF463F">
              <w:rPr>
                <w:rFonts w:ascii="Arial" w:eastAsia="Arial" w:hAnsi="Arial" w:cs="Arial"/>
                <w:sz w:val="16"/>
                <w:szCs w:val="16"/>
                <w:lang w:val="es-ES"/>
              </w:rPr>
              <w:t xml:space="preserve"> </w:t>
            </w:r>
            <w:r w:rsidRPr="00AF463F">
              <w:rPr>
                <w:rFonts w:ascii="Arial" w:eastAsia="Calibri" w:hAnsi="Arial" w:cs="Arial"/>
                <w:sz w:val="16"/>
                <w:szCs w:val="16"/>
                <w:lang w:val="es-ES"/>
              </w:rPr>
              <w:t>hasta</w:t>
            </w:r>
            <w:r w:rsidRPr="00AF463F">
              <w:rPr>
                <w:rFonts w:ascii="Arial" w:eastAsia="Arial" w:hAnsi="Arial" w:cs="Arial"/>
                <w:sz w:val="16"/>
                <w:szCs w:val="16"/>
                <w:lang w:val="es-ES"/>
              </w:rPr>
              <w:t xml:space="preserve"> </w:t>
            </w:r>
            <w:r w:rsidRPr="00AF463F">
              <w:rPr>
                <w:rFonts w:ascii="Arial" w:eastAsia="Calibri" w:hAnsi="Arial" w:cs="Arial"/>
                <w:sz w:val="16"/>
                <w:szCs w:val="16"/>
                <w:lang w:val="es-ES"/>
              </w:rPr>
              <w:t>4</w:t>
            </w:r>
          </w:p>
        </w:tc>
        <w:tc>
          <w:tcPr>
            <w:tcW w:w="4192" w:type="dxa"/>
            <w:tcBorders>
              <w:top w:val="single" w:sz="4" w:space="0" w:color="000000"/>
              <w:left w:val="single" w:sz="4" w:space="0" w:color="000000"/>
              <w:bottom w:val="single" w:sz="4" w:space="0" w:color="000000"/>
              <w:right w:val="double" w:sz="4" w:space="0" w:color="000000"/>
            </w:tcBorders>
            <w:vAlign w:val="center"/>
            <w:hideMark/>
          </w:tcPr>
          <w:p w14:paraId="3CC855CE" w14:textId="77777777" w:rsidR="00AF463F" w:rsidRPr="00AF463F" w:rsidRDefault="00AF463F" w:rsidP="00AF463F">
            <w:pPr>
              <w:spacing w:line="256" w:lineRule="auto"/>
              <w:ind w:left="709" w:right="709"/>
              <w:jc w:val="center"/>
              <w:rPr>
                <w:rFonts w:ascii="Arial" w:eastAsia="Arial" w:hAnsi="Arial" w:cs="Arial"/>
                <w:sz w:val="16"/>
                <w:szCs w:val="16"/>
                <w:lang w:val="es-ES"/>
              </w:rPr>
            </w:pPr>
            <w:r w:rsidRPr="00AF463F">
              <w:rPr>
                <w:rFonts w:ascii="Arial" w:eastAsia="Calibri" w:hAnsi="Arial" w:cs="Arial"/>
                <w:sz w:val="16"/>
                <w:szCs w:val="16"/>
                <w:lang w:val="es-ES"/>
              </w:rPr>
              <w:t>120%</w:t>
            </w:r>
          </w:p>
        </w:tc>
      </w:tr>
      <w:tr w:rsidR="00AF463F" w:rsidRPr="00AF463F" w14:paraId="69024870" w14:textId="77777777" w:rsidTr="00AF463F">
        <w:tc>
          <w:tcPr>
            <w:tcW w:w="3055" w:type="dxa"/>
            <w:tcBorders>
              <w:top w:val="single" w:sz="4" w:space="0" w:color="000000"/>
              <w:left w:val="double" w:sz="4" w:space="0" w:color="auto"/>
              <w:bottom w:val="double" w:sz="4" w:space="0" w:color="auto"/>
              <w:right w:val="single" w:sz="4" w:space="0" w:color="000000"/>
            </w:tcBorders>
            <w:vAlign w:val="center"/>
            <w:hideMark/>
          </w:tcPr>
          <w:p w14:paraId="7F17398A" w14:textId="77777777" w:rsidR="00AF463F" w:rsidRPr="00AF463F" w:rsidRDefault="00AF463F" w:rsidP="00AF463F">
            <w:pPr>
              <w:spacing w:line="256" w:lineRule="auto"/>
              <w:ind w:left="709" w:right="709"/>
              <w:jc w:val="center"/>
              <w:rPr>
                <w:rFonts w:ascii="Arial" w:eastAsia="Arial" w:hAnsi="Arial" w:cs="Arial"/>
                <w:sz w:val="16"/>
                <w:szCs w:val="16"/>
                <w:lang w:val="es-ES"/>
              </w:rPr>
            </w:pPr>
            <w:r w:rsidRPr="00AF463F">
              <w:rPr>
                <w:rFonts w:ascii="Arial" w:eastAsia="Calibri" w:hAnsi="Arial" w:cs="Arial"/>
                <w:sz w:val="16"/>
                <w:szCs w:val="16"/>
                <w:lang w:val="es-ES"/>
              </w:rPr>
              <w:t>De</w:t>
            </w:r>
            <w:r w:rsidRPr="00AF463F">
              <w:rPr>
                <w:rFonts w:ascii="Arial" w:eastAsia="Arial" w:hAnsi="Arial" w:cs="Arial"/>
                <w:sz w:val="16"/>
                <w:szCs w:val="16"/>
                <w:lang w:val="es-ES"/>
              </w:rPr>
              <w:t xml:space="preserve"> </w:t>
            </w:r>
            <w:r w:rsidRPr="00AF463F">
              <w:rPr>
                <w:rFonts w:ascii="Arial" w:eastAsia="Calibri" w:hAnsi="Arial" w:cs="Arial"/>
                <w:sz w:val="16"/>
                <w:szCs w:val="16"/>
                <w:lang w:val="es-ES"/>
              </w:rPr>
              <w:t>5</w:t>
            </w:r>
            <w:r w:rsidRPr="00AF463F">
              <w:rPr>
                <w:rFonts w:ascii="Arial" w:eastAsia="Arial" w:hAnsi="Arial" w:cs="Arial"/>
                <w:sz w:val="16"/>
                <w:szCs w:val="16"/>
                <w:lang w:val="es-ES"/>
              </w:rPr>
              <w:t xml:space="preserve"> </w:t>
            </w:r>
            <w:r w:rsidRPr="00AF463F">
              <w:rPr>
                <w:rFonts w:ascii="Arial" w:eastAsia="Calibri" w:hAnsi="Arial" w:cs="Arial"/>
                <w:sz w:val="16"/>
                <w:szCs w:val="16"/>
                <w:lang w:val="es-ES"/>
              </w:rPr>
              <w:t>hasta</w:t>
            </w:r>
            <w:r w:rsidRPr="00AF463F">
              <w:rPr>
                <w:rFonts w:ascii="Arial" w:eastAsia="Arial" w:hAnsi="Arial" w:cs="Arial"/>
                <w:sz w:val="16"/>
                <w:szCs w:val="16"/>
                <w:lang w:val="es-ES"/>
              </w:rPr>
              <w:t xml:space="preserve"> </w:t>
            </w:r>
            <w:r w:rsidRPr="00AF463F">
              <w:rPr>
                <w:rFonts w:ascii="Arial" w:eastAsia="Calibri" w:hAnsi="Arial" w:cs="Arial"/>
                <w:sz w:val="16"/>
                <w:szCs w:val="16"/>
                <w:lang w:val="es-ES"/>
              </w:rPr>
              <w:t>6</w:t>
            </w:r>
          </w:p>
        </w:tc>
        <w:tc>
          <w:tcPr>
            <w:tcW w:w="4192" w:type="dxa"/>
            <w:tcBorders>
              <w:top w:val="single" w:sz="4" w:space="0" w:color="000000"/>
              <w:left w:val="single" w:sz="4" w:space="0" w:color="000000"/>
              <w:bottom w:val="double" w:sz="4" w:space="0" w:color="auto"/>
              <w:right w:val="double" w:sz="4" w:space="0" w:color="auto"/>
            </w:tcBorders>
            <w:vAlign w:val="center"/>
            <w:hideMark/>
          </w:tcPr>
          <w:p w14:paraId="390752DA" w14:textId="77777777" w:rsidR="00AF463F" w:rsidRPr="00AF463F" w:rsidRDefault="00AF463F" w:rsidP="00AF463F">
            <w:pPr>
              <w:spacing w:line="256" w:lineRule="auto"/>
              <w:ind w:left="709" w:right="709"/>
              <w:jc w:val="center"/>
              <w:rPr>
                <w:rFonts w:ascii="Arial" w:eastAsia="Arial" w:hAnsi="Arial" w:cs="Arial"/>
                <w:sz w:val="16"/>
                <w:szCs w:val="16"/>
                <w:lang w:val="es-ES"/>
              </w:rPr>
            </w:pPr>
            <w:r w:rsidRPr="00AF463F">
              <w:rPr>
                <w:rFonts w:ascii="Arial" w:eastAsia="Calibri" w:hAnsi="Arial" w:cs="Arial"/>
                <w:sz w:val="16"/>
                <w:szCs w:val="16"/>
                <w:lang w:val="es-ES"/>
              </w:rPr>
              <w:t>150%</w:t>
            </w:r>
          </w:p>
        </w:tc>
      </w:tr>
    </w:tbl>
    <w:p w14:paraId="17A1E953" w14:textId="77777777" w:rsidR="00AF463F" w:rsidRPr="00AF463F" w:rsidRDefault="00AF463F" w:rsidP="00AF463F">
      <w:pPr>
        <w:ind w:left="709" w:right="709"/>
        <w:jc w:val="both"/>
        <w:rPr>
          <w:rFonts w:ascii="Arial" w:eastAsia="Calibri" w:hAnsi="Arial" w:cs="Arial"/>
          <w:sz w:val="21"/>
          <w:szCs w:val="21"/>
          <w:lang w:val="es-ES_tradnl"/>
        </w:rPr>
      </w:pPr>
    </w:p>
    <w:p w14:paraId="3980D990" w14:textId="77777777" w:rsidR="00AF463F" w:rsidRPr="00AF463F" w:rsidRDefault="00AF463F" w:rsidP="00AF463F">
      <w:pPr>
        <w:spacing w:after="120"/>
        <w:ind w:left="709" w:right="709"/>
        <w:jc w:val="both"/>
        <w:rPr>
          <w:rFonts w:ascii="Arial" w:eastAsia="Calibri" w:hAnsi="Arial" w:cs="Arial"/>
          <w:sz w:val="21"/>
          <w:szCs w:val="21"/>
          <w:lang w:val="es-ES"/>
        </w:rPr>
      </w:pPr>
      <w:r w:rsidRPr="00AF463F">
        <w:rPr>
          <w:rFonts w:ascii="Arial" w:eastAsia="Calibri" w:hAnsi="Arial" w:cs="Arial"/>
          <w:sz w:val="21"/>
          <w:szCs w:val="21"/>
          <w:lang w:val="es-ES"/>
        </w:rPr>
        <w:t>La verificación se hará con base en la sumatoria de los valores totales ejecutados (incluido IVA) en SMMLV de los contratos que cumplan con los requisitos establecidos en este pliego de condiciones.</w:t>
      </w:r>
    </w:p>
    <w:p w14:paraId="1F273CEF" w14:textId="77777777" w:rsidR="00AF463F" w:rsidRPr="00AF463F" w:rsidRDefault="00AF463F" w:rsidP="00AF463F">
      <w:pPr>
        <w:spacing w:after="120"/>
        <w:ind w:left="709" w:right="709"/>
        <w:jc w:val="both"/>
        <w:rPr>
          <w:rFonts w:ascii="Arial" w:eastAsia="Calibri" w:hAnsi="Arial" w:cs="Arial"/>
          <w:sz w:val="21"/>
          <w:szCs w:val="21"/>
          <w:lang w:val="es-ES"/>
        </w:rPr>
      </w:pPr>
      <w:r w:rsidRPr="00AF463F">
        <w:rPr>
          <w:rFonts w:ascii="Arial" w:eastAsia="Calibri" w:hAnsi="Arial" w:cs="Arial"/>
          <w:sz w:val="21"/>
          <w:szCs w:val="21"/>
          <w:lang w:val="es-ES"/>
        </w:rPr>
        <w:t>El proponente cumple el requisito de experiencia si la sumatoria de los valores totales ejecutados (incluido IVA) de los contratos expresados en SMMLV es mayor o igual al valor mínimo a certificar establecido en la tabla anterior.</w:t>
      </w:r>
    </w:p>
    <w:p w14:paraId="3F596B93" w14:textId="77777777" w:rsidR="00AF463F" w:rsidRPr="00AF463F" w:rsidRDefault="00AF463F" w:rsidP="00AF463F">
      <w:pPr>
        <w:ind w:left="709" w:right="709"/>
        <w:jc w:val="both"/>
        <w:rPr>
          <w:rFonts w:ascii="Arial" w:eastAsia="Calibri" w:hAnsi="Arial" w:cs="Arial"/>
          <w:sz w:val="21"/>
          <w:szCs w:val="21"/>
          <w:lang w:val="es-ES"/>
        </w:rPr>
      </w:pPr>
      <w:r w:rsidRPr="00AF463F">
        <w:rPr>
          <w:rFonts w:ascii="Arial" w:eastAsia="Calibri" w:hAnsi="Arial" w:cs="Arial"/>
          <w:sz w:val="21"/>
          <w:szCs w:val="21"/>
          <w:lang w:val="es-ES"/>
        </w:rPr>
        <w:t>En caso de que el número de contratos con los cuales el proponente acredita la experiencia no satisfaga el porcentaje mínimo a certificar establecido en la tabla anterior, se calificará la propuesta como no hábil y el proponente podrá subsanarla en los términos establecidos en la sección 1.6.</w:t>
      </w:r>
    </w:p>
    <w:p w14:paraId="6480BC91" w14:textId="77777777" w:rsidR="00AF463F" w:rsidRPr="00AF463F" w:rsidRDefault="00AF463F" w:rsidP="00AF463F">
      <w:pPr>
        <w:ind w:left="709" w:right="709"/>
        <w:jc w:val="both"/>
        <w:rPr>
          <w:rFonts w:ascii="Arial" w:eastAsia="Calibri" w:hAnsi="Arial" w:cs="Arial"/>
          <w:sz w:val="21"/>
          <w:szCs w:val="21"/>
          <w:lang w:val="es-ES"/>
        </w:rPr>
      </w:pPr>
      <w:r w:rsidRPr="00AF463F">
        <w:rPr>
          <w:rFonts w:ascii="Arial" w:eastAsia="Calibri" w:hAnsi="Arial" w:cs="Arial"/>
          <w:sz w:val="21"/>
          <w:szCs w:val="21"/>
          <w:lang w:val="es-ES"/>
        </w:rPr>
        <w:t>[…]</w:t>
      </w:r>
    </w:p>
    <w:p w14:paraId="39CF0288" w14:textId="77777777" w:rsidR="00AF463F" w:rsidRPr="00AF463F" w:rsidRDefault="00AF463F" w:rsidP="00AF463F">
      <w:pPr>
        <w:spacing w:line="276" w:lineRule="auto"/>
        <w:ind w:firstLine="708"/>
        <w:jc w:val="both"/>
        <w:rPr>
          <w:rFonts w:ascii="Arial" w:eastAsia="Calibri" w:hAnsi="Arial" w:cs="Arial"/>
          <w:sz w:val="22"/>
        </w:rPr>
      </w:pPr>
      <w:r w:rsidRPr="00AF463F">
        <w:rPr>
          <w:rFonts w:ascii="Arial" w:eastAsia="Calibri" w:hAnsi="Arial" w:cs="Arial"/>
          <w:sz w:val="22"/>
        </w:rPr>
        <w:t xml:space="preserve"> </w:t>
      </w:r>
    </w:p>
    <w:p w14:paraId="55A0FEE9" w14:textId="1EABB2D4" w:rsidR="00AF463F" w:rsidRPr="00AF463F" w:rsidRDefault="00AF463F" w:rsidP="00AF463F">
      <w:pPr>
        <w:spacing w:after="120" w:line="276" w:lineRule="auto"/>
        <w:ind w:firstLine="709"/>
        <w:jc w:val="both"/>
        <w:rPr>
          <w:rFonts w:ascii="Arial" w:eastAsia="Calibri" w:hAnsi="Arial" w:cs="Arial"/>
          <w:sz w:val="22"/>
          <w:shd w:val="clear" w:color="auto" w:fill="FFFFFF"/>
        </w:rPr>
      </w:pPr>
      <w:r w:rsidRPr="00AF463F">
        <w:rPr>
          <w:rFonts w:ascii="Arial" w:eastAsia="Calibri" w:hAnsi="Arial" w:cs="Arial"/>
          <w:sz w:val="22"/>
        </w:rPr>
        <w:t xml:space="preserve">Como se observa, </w:t>
      </w:r>
      <w:bookmarkStart w:id="11" w:name="_Hlk64883089"/>
      <w:r w:rsidRPr="00AF463F">
        <w:rPr>
          <w:rFonts w:ascii="Arial" w:eastAsia="Calibri" w:hAnsi="Arial" w:cs="Arial"/>
          <w:sz w:val="22"/>
        </w:rPr>
        <w:t xml:space="preserve">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w:t>
      </w:r>
      <w:r w:rsidRPr="00AF463F">
        <w:rPr>
          <w:rFonts w:ascii="Arial" w:eastAsia="Calibri" w:hAnsi="Arial" w:cs="Arial"/>
          <w:sz w:val="22"/>
          <w:shd w:val="clear" w:color="auto" w:fill="FFFFFF"/>
        </w:rPr>
        <w:t>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bookmarkEnd w:id="11"/>
    </w:p>
    <w:p w14:paraId="1C6012E1" w14:textId="6D634EC5" w:rsidR="00AF463F" w:rsidRPr="00AF463F" w:rsidRDefault="00AF463F" w:rsidP="00AF463F">
      <w:pPr>
        <w:tabs>
          <w:tab w:val="left" w:pos="426"/>
        </w:tabs>
        <w:spacing w:after="120" w:line="276" w:lineRule="auto"/>
        <w:jc w:val="both"/>
        <w:rPr>
          <w:rFonts w:ascii="Arial" w:eastAsia="Calibri" w:hAnsi="Arial" w:cs="Arial"/>
          <w:sz w:val="22"/>
          <w:shd w:val="clear" w:color="auto" w:fill="FFFFFF"/>
        </w:rPr>
      </w:pPr>
      <w:r w:rsidRPr="00AF463F">
        <w:rPr>
          <w:rFonts w:ascii="Arial" w:eastAsia="Calibri" w:hAnsi="Arial" w:cs="Arial"/>
          <w:sz w:val="22"/>
          <w:shd w:val="clear" w:color="auto" w:fill="FFFFFF"/>
        </w:rPr>
        <w:tab/>
      </w:r>
      <w:r w:rsidRPr="00AF463F">
        <w:rPr>
          <w:rFonts w:ascii="Arial" w:eastAsia="Calibri" w:hAnsi="Arial" w:cs="Arial"/>
          <w:sz w:val="22"/>
          <w:shd w:val="clear" w:color="auto" w:fill="FFFFFF"/>
        </w:rPr>
        <w:tab/>
        <w:t>De esta manera</w:t>
      </w:r>
      <w:r w:rsidR="00CC33C5">
        <w:rPr>
          <w:rFonts w:ascii="Arial" w:eastAsia="Calibri" w:hAnsi="Arial" w:cs="Arial"/>
          <w:sz w:val="22"/>
          <w:shd w:val="clear" w:color="auto" w:fill="FFFFFF"/>
        </w:rPr>
        <w:t>,</w:t>
      </w:r>
      <w:r w:rsidRPr="00AF463F">
        <w:rPr>
          <w:rFonts w:ascii="Arial" w:eastAsia="Calibri" w:hAnsi="Arial" w:cs="Arial"/>
          <w:sz w:val="22"/>
          <w:shd w:val="clear" w:color="auto" w:fill="FFFFFF"/>
        </w:rPr>
        <w:t xml:space="preserve"> el documento base dispone que quienes acrediten la experiencia mediante 1 ó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 debe ser superior al 150% del valor del presupuesto oficial. </w:t>
      </w:r>
    </w:p>
    <w:p w14:paraId="51318AF4" w14:textId="77777777" w:rsidR="00CC33C5" w:rsidRDefault="00AF463F" w:rsidP="001F7736">
      <w:pPr>
        <w:spacing w:after="120" w:line="276" w:lineRule="auto"/>
        <w:ind w:firstLine="708"/>
        <w:jc w:val="both"/>
        <w:rPr>
          <w:rFonts w:ascii="Arial" w:eastAsia="Calibri" w:hAnsi="Arial" w:cs="Arial"/>
          <w:sz w:val="22"/>
          <w:shd w:val="clear" w:color="auto" w:fill="FFFFFF"/>
        </w:rPr>
      </w:pPr>
      <w:r w:rsidRPr="00AF463F">
        <w:rPr>
          <w:rFonts w:ascii="Arial" w:eastAsia="Calibri" w:hAnsi="Arial" w:cs="Arial"/>
          <w:sz w:val="22"/>
          <w:shd w:val="clear" w:color="auto" w:fill="FFFFFF"/>
        </w:rPr>
        <w:t>Por tanto, el número de los contratos para acreditar la experiencia condiciona el valor mínimo que deben certificar para el correspondiente requisito habilitante. Si sumados los valores ejecutados de los contratos aportados el resultado es inferior al valor porcentual aplicable a la cantidad de contratos empleados, no es posible habilitar al proponente</w:t>
      </w:r>
      <w:r>
        <w:rPr>
          <w:rFonts w:ascii="Arial" w:eastAsia="Calibri" w:hAnsi="Arial" w:cs="Arial"/>
          <w:sz w:val="22"/>
          <w:shd w:val="clear" w:color="auto" w:fill="FFFFFF"/>
        </w:rPr>
        <w:t xml:space="preserve">. </w:t>
      </w:r>
      <w:bookmarkEnd w:id="7"/>
    </w:p>
    <w:p w14:paraId="3D02E02C" w14:textId="004ED557" w:rsidR="00037732" w:rsidRPr="005C0456" w:rsidRDefault="00D16D0A" w:rsidP="001F7736">
      <w:pPr>
        <w:spacing w:after="120" w:line="276" w:lineRule="auto"/>
        <w:ind w:firstLine="708"/>
        <w:jc w:val="both"/>
        <w:rPr>
          <w:rFonts w:ascii="Arial" w:eastAsia="Calibri" w:hAnsi="Arial" w:cs="Arial"/>
          <w:sz w:val="22"/>
          <w:lang w:val="es-ES"/>
        </w:rPr>
      </w:pPr>
      <w:r w:rsidRPr="00BC065A">
        <w:rPr>
          <w:rFonts w:ascii="Arial" w:eastAsia="Calibri" w:hAnsi="Arial" w:cs="Arial"/>
          <w:sz w:val="22"/>
          <w:shd w:val="clear" w:color="auto" w:fill="FFFFFF"/>
        </w:rPr>
        <w:t>A su turno</w:t>
      </w:r>
      <w:r w:rsidRPr="005C0456">
        <w:rPr>
          <w:rFonts w:ascii="Arial" w:eastAsia="Calibri" w:hAnsi="Arial" w:cs="Arial"/>
          <w:sz w:val="22"/>
          <w:shd w:val="clear" w:color="auto" w:fill="FFFFFF"/>
        </w:rPr>
        <w:t xml:space="preserve">, </w:t>
      </w:r>
      <w:r w:rsidR="002F7D10" w:rsidRPr="005C0456">
        <w:rPr>
          <w:rFonts w:ascii="Arial" w:eastAsia="Calibri" w:hAnsi="Arial" w:cs="Arial"/>
          <w:sz w:val="22"/>
          <w:shd w:val="clear" w:color="auto" w:fill="FFFFFF"/>
        </w:rPr>
        <w:t xml:space="preserve">en relación con </w:t>
      </w:r>
      <w:r w:rsidRPr="005C0456">
        <w:rPr>
          <w:rFonts w:ascii="Arial" w:eastAsia="Calibri" w:hAnsi="Arial" w:cs="Arial"/>
          <w:sz w:val="22"/>
          <w:shd w:val="clear" w:color="auto" w:fill="FFFFFF"/>
        </w:rPr>
        <w:t xml:space="preserve">la </w:t>
      </w:r>
      <w:r w:rsidRPr="005C0456">
        <w:rPr>
          <w:rFonts w:ascii="Arial" w:eastAsia="Calibri" w:hAnsi="Arial" w:cs="Arial"/>
          <w:b/>
          <w:bCs/>
          <w:sz w:val="22"/>
          <w:shd w:val="clear" w:color="auto" w:fill="FFFFFF"/>
        </w:rPr>
        <w:t>experiencia específica</w:t>
      </w:r>
      <w:r w:rsidR="002F7D10" w:rsidRPr="00BC065A">
        <w:rPr>
          <w:rFonts w:ascii="Arial" w:eastAsia="Calibri" w:hAnsi="Arial" w:cs="Arial"/>
          <w:sz w:val="22"/>
          <w:shd w:val="clear" w:color="auto" w:fill="FFFFFF"/>
        </w:rPr>
        <w:t xml:space="preserve"> correspondiente a la actividad 6.16</w:t>
      </w:r>
      <w:r w:rsidR="002F7D10" w:rsidRPr="005C0456">
        <w:rPr>
          <w:rFonts w:ascii="Arial" w:eastAsia="Calibri" w:hAnsi="Arial" w:cs="Arial"/>
          <w:sz w:val="22"/>
          <w:shd w:val="clear" w:color="auto" w:fill="FFFFFF"/>
        </w:rPr>
        <w:t>,</w:t>
      </w:r>
      <w:r w:rsidRPr="005C0456">
        <w:rPr>
          <w:rFonts w:ascii="Arial" w:eastAsia="Calibri" w:hAnsi="Arial" w:cs="Arial"/>
          <w:sz w:val="22"/>
          <w:shd w:val="clear" w:color="auto" w:fill="FFFFFF"/>
        </w:rPr>
        <w:t xml:space="preserve"> tal y como lo exige la Matriz 1 – Experiencia,</w:t>
      </w:r>
      <w:r w:rsidR="002F7D10" w:rsidRPr="005C0456">
        <w:rPr>
          <w:rFonts w:ascii="Arial" w:eastAsia="Calibri" w:hAnsi="Arial" w:cs="Arial"/>
          <w:sz w:val="22"/>
          <w:shd w:val="clear" w:color="auto" w:fill="FFFFFF"/>
        </w:rPr>
        <w:t xml:space="preserve"> esta se cumple si se acredita que «</w:t>
      </w:r>
      <w:r w:rsidR="00796D6C" w:rsidRPr="005C0456">
        <w:rPr>
          <w:rFonts w:ascii="Arial" w:eastAsia="Calibri" w:hAnsi="Arial" w:cs="Arial"/>
          <w:sz w:val="22"/>
          <w:shd w:val="clear" w:color="auto" w:fill="FFFFFF"/>
        </w:rPr>
        <w:t xml:space="preserve">Por </w:t>
      </w:r>
      <w:r w:rsidR="00796D6C" w:rsidRPr="005C0456">
        <w:rPr>
          <w:rFonts w:ascii="Arial" w:eastAsia="Calibri" w:hAnsi="Arial" w:cs="Arial"/>
          <w:sz w:val="22"/>
          <w:shd w:val="clear" w:color="auto" w:fill="FFFFFF"/>
        </w:rPr>
        <w:lastRenderedPageBreak/>
        <w:t xml:space="preserve">lo menos uno (1) de los contratos válidos aportados como experiencia general debe acreditar en el componente de señalización o demarcación un valor igual o superior al </w:t>
      </w:r>
      <w:r w:rsidR="00796D6C" w:rsidRPr="005C0456">
        <w:rPr>
          <w:rFonts w:ascii="Arial" w:eastAsia="Calibri" w:hAnsi="Arial" w:cs="Arial"/>
          <w:b/>
          <w:bCs/>
          <w:sz w:val="22"/>
          <w:shd w:val="clear" w:color="auto" w:fill="FFFFFF"/>
        </w:rPr>
        <w:t>60% del Componente de Señalización y/o Demarcación del Presupuesto Oficial</w:t>
      </w:r>
      <w:r w:rsidR="00796D6C" w:rsidRPr="00BC065A">
        <w:rPr>
          <w:rFonts w:ascii="Arial" w:eastAsia="Calibri" w:hAnsi="Arial" w:cs="Arial"/>
          <w:sz w:val="22"/>
          <w:shd w:val="clear" w:color="auto" w:fill="FFFFFF"/>
        </w:rPr>
        <w:t xml:space="preserve"> estimado de contratación</w:t>
      </w:r>
      <w:r w:rsidR="002F7D10" w:rsidRPr="005C0456">
        <w:rPr>
          <w:rFonts w:ascii="Arial" w:eastAsia="Calibri" w:hAnsi="Arial" w:cs="Arial"/>
          <w:sz w:val="22"/>
          <w:lang w:val="es-ES"/>
        </w:rPr>
        <w:t>». Lo anterior implica que</w:t>
      </w:r>
      <w:r w:rsidRPr="005C0456">
        <w:rPr>
          <w:rFonts w:ascii="Arial" w:eastAsia="Calibri" w:hAnsi="Arial" w:cs="Arial"/>
          <w:sz w:val="22"/>
          <w:shd w:val="clear" w:color="auto" w:fill="FFFFFF"/>
        </w:rPr>
        <w:t xml:space="preserve"> por lo menos 1 de los contratos válidos aportados como experiencia general</w:t>
      </w:r>
      <w:r w:rsidR="002F7D10" w:rsidRPr="005C0456">
        <w:rPr>
          <w:rFonts w:ascii="Arial" w:eastAsia="Calibri" w:hAnsi="Arial" w:cs="Arial"/>
          <w:sz w:val="22"/>
          <w:shd w:val="clear" w:color="auto" w:fill="FFFFFF"/>
        </w:rPr>
        <w:t>, esto es, individualmente considerado,</w:t>
      </w:r>
      <w:r w:rsidRPr="005C0456">
        <w:rPr>
          <w:rFonts w:ascii="Arial" w:eastAsia="Calibri" w:hAnsi="Arial" w:cs="Arial"/>
          <w:sz w:val="22"/>
          <w:shd w:val="clear" w:color="auto" w:fill="FFFFFF"/>
        </w:rPr>
        <w:t xml:space="preserve"> debe acreditar actividades del componente de señalización o demarcación de vías por un valor que por lo menos sea equivalente al 60% del valor</w:t>
      </w:r>
      <w:r w:rsidR="002F7D10" w:rsidRPr="005C0456">
        <w:rPr>
          <w:rFonts w:ascii="Arial" w:eastAsia="Calibri" w:hAnsi="Arial" w:cs="Arial"/>
          <w:sz w:val="22"/>
          <w:shd w:val="clear" w:color="auto" w:fill="FFFFFF"/>
        </w:rPr>
        <w:t xml:space="preserve"> </w:t>
      </w:r>
      <w:r w:rsidR="00796D6C" w:rsidRPr="005C0456">
        <w:rPr>
          <w:rFonts w:ascii="Arial" w:eastAsia="Calibri" w:hAnsi="Arial" w:cs="Arial"/>
          <w:sz w:val="22"/>
          <w:shd w:val="clear" w:color="auto" w:fill="FFFFFF"/>
        </w:rPr>
        <w:t xml:space="preserve">de </w:t>
      </w:r>
      <w:r w:rsidR="002F7D10" w:rsidRPr="005C0456">
        <w:rPr>
          <w:rFonts w:ascii="Arial" w:eastAsia="Calibri" w:hAnsi="Arial" w:cs="Arial"/>
          <w:sz w:val="22"/>
          <w:shd w:val="clear" w:color="auto" w:fill="FFFFFF"/>
        </w:rPr>
        <w:t>estas mismas actividades que se van a ejecutar en el contrato a celebrar</w:t>
      </w:r>
      <w:r w:rsidR="001503B0" w:rsidRPr="005C0456">
        <w:rPr>
          <w:rFonts w:ascii="Arial" w:eastAsia="Calibri" w:hAnsi="Arial" w:cs="Arial"/>
          <w:sz w:val="22"/>
          <w:shd w:val="clear" w:color="auto" w:fill="FFFFFF"/>
        </w:rPr>
        <w:t xml:space="preserve">. Lo anterior implica que dicho </w:t>
      </w:r>
      <w:r w:rsidR="004D0071" w:rsidRPr="005C0456">
        <w:rPr>
          <w:rFonts w:ascii="Arial" w:eastAsia="Calibri" w:hAnsi="Arial" w:cs="Arial"/>
          <w:sz w:val="22"/>
          <w:shd w:val="clear" w:color="auto" w:fill="FFFFFF"/>
        </w:rPr>
        <w:t>monto</w:t>
      </w:r>
      <w:r w:rsidR="001503B0" w:rsidRPr="005C0456">
        <w:rPr>
          <w:rFonts w:ascii="Arial" w:eastAsia="Calibri" w:hAnsi="Arial" w:cs="Arial"/>
          <w:sz w:val="22"/>
          <w:shd w:val="clear" w:color="auto" w:fill="FFFFFF"/>
        </w:rPr>
        <w:t xml:space="preserve"> no se calcula sobre </w:t>
      </w:r>
      <w:r w:rsidR="008D19BF" w:rsidRPr="005C0456">
        <w:rPr>
          <w:rFonts w:ascii="Arial" w:eastAsia="Calibri" w:hAnsi="Arial" w:cs="Arial"/>
          <w:sz w:val="22"/>
          <w:shd w:val="clear" w:color="auto" w:fill="FFFFFF"/>
        </w:rPr>
        <w:t xml:space="preserve">el 100% del presupuesto total </w:t>
      </w:r>
      <w:r w:rsidR="001503B0" w:rsidRPr="005C0456">
        <w:rPr>
          <w:rFonts w:ascii="Arial" w:eastAsia="Calibri" w:hAnsi="Arial" w:cs="Arial"/>
          <w:sz w:val="22"/>
          <w:shd w:val="clear" w:color="auto" w:fill="FFFFFF"/>
        </w:rPr>
        <w:t>del proceso de contratación</w:t>
      </w:r>
      <w:r w:rsidR="008D19BF" w:rsidRPr="005C0456">
        <w:rPr>
          <w:rFonts w:ascii="Arial" w:eastAsia="Calibri" w:hAnsi="Arial" w:cs="Arial"/>
          <w:sz w:val="22"/>
          <w:shd w:val="clear" w:color="auto" w:fill="FFFFFF"/>
        </w:rPr>
        <w:t xml:space="preserve">, pues lo </w:t>
      </w:r>
      <w:r w:rsidR="00796D6C" w:rsidRPr="005C0456">
        <w:rPr>
          <w:rFonts w:ascii="Arial" w:eastAsia="Calibri" w:hAnsi="Arial" w:cs="Arial"/>
          <w:sz w:val="22"/>
          <w:shd w:val="clear" w:color="auto" w:fill="FFFFFF"/>
        </w:rPr>
        <w:t xml:space="preserve">relevante para estos efectos </w:t>
      </w:r>
      <w:r w:rsidR="008D19BF" w:rsidRPr="005C0456">
        <w:rPr>
          <w:rFonts w:ascii="Arial" w:eastAsia="Calibri" w:hAnsi="Arial" w:cs="Arial"/>
          <w:sz w:val="22"/>
          <w:shd w:val="clear" w:color="auto" w:fill="FFFFFF"/>
        </w:rPr>
        <w:t xml:space="preserve">es el </w:t>
      </w:r>
      <w:r w:rsidR="001503B0" w:rsidRPr="005C0456">
        <w:rPr>
          <w:rFonts w:ascii="Arial" w:eastAsia="Calibri" w:hAnsi="Arial" w:cs="Arial"/>
          <w:sz w:val="22"/>
          <w:shd w:val="clear" w:color="auto" w:fill="FFFFFF"/>
        </w:rPr>
        <w:t xml:space="preserve">valor de las actividades correspondiente a los </w:t>
      </w:r>
      <w:r w:rsidR="008D19BF" w:rsidRPr="005C0456">
        <w:rPr>
          <w:rFonts w:ascii="Arial" w:eastAsia="Calibri" w:hAnsi="Arial" w:cs="Arial"/>
          <w:sz w:val="22"/>
          <w:shd w:val="clear" w:color="auto" w:fill="FFFFFF"/>
        </w:rPr>
        <w:t>componente</w:t>
      </w:r>
      <w:r w:rsidR="001503B0" w:rsidRPr="005C0456">
        <w:rPr>
          <w:rFonts w:ascii="Arial" w:eastAsia="Calibri" w:hAnsi="Arial" w:cs="Arial"/>
          <w:sz w:val="22"/>
          <w:shd w:val="clear" w:color="auto" w:fill="FFFFFF"/>
        </w:rPr>
        <w:t>s</w:t>
      </w:r>
      <w:r w:rsidR="008D19BF" w:rsidRPr="005C0456">
        <w:rPr>
          <w:rFonts w:ascii="Arial" w:eastAsia="Calibri" w:hAnsi="Arial" w:cs="Arial"/>
          <w:sz w:val="22"/>
          <w:shd w:val="clear" w:color="auto" w:fill="FFFFFF"/>
        </w:rPr>
        <w:t xml:space="preserve"> de señalización y/o demarcación, cuyo </w:t>
      </w:r>
      <w:r w:rsidR="004D0071" w:rsidRPr="005C0456">
        <w:rPr>
          <w:rFonts w:ascii="Arial" w:eastAsia="Calibri" w:hAnsi="Arial" w:cs="Arial"/>
          <w:sz w:val="22"/>
          <w:shd w:val="clear" w:color="auto" w:fill="FFFFFF"/>
        </w:rPr>
        <w:t>valor</w:t>
      </w:r>
      <w:r w:rsidR="008D19BF" w:rsidRPr="005C0456">
        <w:rPr>
          <w:rFonts w:ascii="Arial" w:eastAsia="Calibri" w:hAnsi="Arial" w:cs="Arial"/>
          <w:sz w:val="22"/>
          <w:shd w:val="clear" w:color="auto" w:fill="FFFFFF"/>
        </w:rPr>
        <w:t xml:space="preserve"> </w:t>
      </w:r>
      <w:r w:rsidR="00796D6C" w:rsidRPr="005C0456">
        <w:rPr>
          <w:rFonts w:ascii="Arial" w:eastAsia="Calibri" w:hAnsi="Arial" w:cs="Arial"/>
          <w:sz w:val="22"/>
          <w:shd w:val="clear" w:color="auto" w:fill="FFFFFF"/>
        </w:rPr>
        <w:t xml:space="preserve">será el utilizado </w:t>
      </w:r>
      <w:r w:rsidR="008D19BF" w:rsidRPr="005C0456">
        <w:rPr>
          <w:rFonts w:ascii="Arial" w:eastAsia="Calibri" w:hAnsi="Arial" w:cs="Arial"/>
          <w:sz w:val="22"/>
          <w:shd w:val="clear" w:color="auto" w:fill="FFFFFF"/>
        </w:rPr>
        <w:t>para calcular el porcentaje mínimo equivalente exigido</w:t>
      </w:r>
      <w:r w:rsidR="008D19BF" w:rsidRPr="005C0456">
        <w:rPr>
          <w:rFonts w:ascii="Arial" w:eastAsia="Calibri" w:hAnsi="Arial" w:cs="Arial"/>
          <w:sz w:val="22"/>
          <w:lang w:val="es-ES"/>
        </w:rPr>
        <w:t xml:space="preserve">. </w:t>
      </w:r>
    </w:p>
    <w:p w14:paraId="6DF22D0E" w14:textId="5C1E9F54" w:rsidR="003C07B0" w:rsidRDefault="001503B0" w:rsidP="005C0456">
      <w:pPr>
        <w:spacing w:line="276" w:lineRule="auto"/>
        <w:ind w:firstLine="709"/>
        <w:jc w:val="both"/>
        <w:rPr>
          <w:rFonts w:ascii="Arial" w:eastAsia="Calibri" w:hAnsi="Arial" w:cs="Arial"/>
          <w:sz w:val="22"/>
          <w:shd w:val="clear" w:color="auto" w:fill="FFFFFF"/>
        </w:rPr>
      </w:pPr>
      <w:r w:rsidRPr="005C0456">
        <w:rPr>
          <w:rFonts w:ascii="Arial" w:eastAsia="Calibri" w:hAnsi="Arial" w:cs="Arial"/>
          <w:sz w:val="22"/>
          <w:lang w:val="es-ES"/>
        </w:rPr>
        <w:t>Para clarificar lo expresado anteriormente se propone el siguiente ejemplo. Una entidad estatal adelanta un proceso contractual en el que</w:t>
      </w:r>
      <w:r w:rsidR="008D19BF" w:rsidRPr="005C0456">
        <w:rPr>
          <w:rFonts w:ascii="Arial" w:eastAsia="Calibri" w:hAnsi="Arial" w:cs="Arial"/>
          <w:sz w:val="22"/>
          <w:lang w:val="es-ES"/>
        </w:rPr>
        <w:t xml:space="preserve"> el presupuesto oficial </w:t>
      </w:r>
      <w:r w:rsidRPr="005C0456">
        <w:rPr>
          <w:rFonts w:ascii="Arial" w:eastAsia="Calibri" w:hAnsi="Arial" w:cs="Arial"/>
          <w:sz w:val="22"/>
          <w:lang w:val="es-ES"/>
        </w:rPr>
        <w:t xml:space="preserve">total </w:t>
      </w:r>
      <w:r w:rsidR="008D19BF" w:rsidRPr="005C0456">
        <w:rPr>
          <w:rFonts w:ascii="Arial" w:eastAsia="Calibri" w:hAnsi="Arial" w:cs="Arial"/>
          <w:sz w:val="22"/>
          <w:lang w:val="es-ES"/>
        </w:rPr>
        <w:t>de la contratación es de $1</w:t>
      </w:r>
      <w:r w:rsidR="006873EB" w:rsidRPr="005C0456">
        <w:rPr>
          <w:rFonts w:ascii="Arial" w:eastAsia="Calibri" w:hAnsi="Arial" w:cs="Arial"/>
          <w:sz w:val="22"/>
          <w:lang w:val="es-ES"/>
        </w:rPr>
        <w:t>.</w:t>
      </w:r>
      <w:r w:rsidR="008D19BF" w:rsidRPr="005C0456">
        <w:rPr>
          <w:rFonts w:ascii="Arial" w:eastAsia="Calibri" w:hAnsi="Arial" w:cs="Arial"/>
          <w:sz w:val="22"/>
          <w:lang w:val="es-ES"/>
        </w:rPr>
        <w:t>00</w:t>
      </w:r>
      <w:r w:rsidR="006873EB" w:rsidRPr="005C0456">
        <w:rPr>
          <w:rFonts w:ascii="Arial" w:eastAsia="Calibri" w:hAnsi="Arial" w:cs="Arial"/>
          <w:sz w:val="22"/>
          <w:lang w:val="es-ES"/>
        </w:rPr>
        <w:t>0</w:t>
      </w:r>
      <w:r w:rsidR="008D19BF" w:rsidRPr="005C0456">
        <w:rPr>
          <w:rFonts w:ascii="Arial" w:eastAsia="Calibri" w:hAnsi="Arial" w:cs="Arial"/>
          <w:sz w:val="22"/>
          <w:lang w:val="es-ES"/>
        </w:rPr>
        <w:t xml:space="preserve"> millones, </w:t>
      </w:r>
      <w:r w:rsidR="00037732" w:rsidRPr="005C0456">
        <w:rPr>
          <w:rFonts w:ascii="Arial" w:eastAsia="Calibri" w:hAnsi="Arial" w:cs="Arial"/>
          <w:sz w:val="22"/>
          <w:lang w:val="es-ES"/>
        </w:rPr>
        <w:t>pero para el componente de señalización y demarcación</w:t>
      </w:r>
      <w:r w:rsidRPr="005C0456">
        <w:rPr>
          <w:rFonts w:ascii="Arial" w:eastAsia="Calibri" w:hAnsi="Arial" w:cs="Arial"/>
          <w:sz w:val="22"/>
          <w:lang w:val="es-ES"/>
        </w:rPr>
        <w:t xml:space="preserve"> </w:t>
      </w:r>
      <w:r w:rsidR="00037732" w:rsidRPr="005C0456">
        <w:rPr>
          <w:rFonts w:ascii="Arial" w:eastAsia="Calibri" w:hAnsi="Arial" w:cs="Arial"/>
          <w:sz w:val="22"/>
          <w:lang w:val="es-ES"/>
        </w:rPr>
        <w:t>se estimó en $60</w:t>
      </w:r>
      <w:r w:rsidR="006873EB" w:rsidRPr="005C0456">
        <w:rPr>
          <w:rFonts w:ascii="Arial" w:eastAsia="Calibri" w:hAnsi="Arial" w:cs="Arial"/>
          <w:sz w:val="22"/>
          <w:lang w:val="es-ES"/>
        </w:rPr>
        <w:t>0</w:t>
      </w:r>
      <w:r w:rsidR="00037732" w:rsidRPr="005C0456">
        <w:rPr>
          <w:rFonts w:ascii="Arial" w:eastAsia="Calibri" w:hAnsi="Arial" w:cs="Arial"/>
          <w:sz w:val="22"/>
          <w:lang w:val="es-ES"/>
        </w:rPr>
        <w:t xml:space="preserve"> millones</w:t>
      </w:r>
      <w:r w:rsidR="004D0071" w:rsidRPr="005C0456">
        <w:rPr>
          <w:rFonts w:ascii="Arial" w:eastAsia="Calibri" w:hAnsi="Arial" w:cs="Arial"/>
          <w:sz w:val="22"/>
          <w:lang w:val="es-ES"/>
        </w:rPr>
        <w:t>.</w:t>
      </w:r>
      <w:r w:rsidR="00037732" w:rsidRPr="005C0456">
        <w:rPr>
          <w:rFonts w:ascii="Arial" w:eastAsia="Calibri" w:hAnsi="Arial" w:cs="Arial"/>
          <w:sz w:val="22"/>
          <w:lang w:val="es-ES"/>
        </w:rPr>
        <w:t xml:space="preserve"> </w:t>
      </w:r>
      <w:r w:rsidR="004D0071" w:rsidRPr="005C0456">
        <w:rPr>
          <w:rFonts w:ascii="Arial" w:eastAsia="Calibri" w:hAnsi="Arial" w:cs="Arial"/>
          <w:sz w:val="22"/>
          <w:lang w:val="es-ES"/>
        </w:rPr>
        <w:t>P</w:t>
      </w:r>
      <w:r w:rsidR="008D19BF" w:rsidRPr="005C0456">
        <w:rPr>
          <w:rFonts w:ascii="Arial" w:eastAsia="Calibri" w:hAnsi="Arial" w:cs="Arial"/>
          <w:sz w:val="22"/>
          <w:lang w:val="es-ES"/>
        </w:rPr>
        <w:t xml:space="preserve">ara acreditar la experiencia </w:t>
      </w:r>
      <w:r w:rsidR="00037732" w:rsidRPr="005C0456">
        <w:rPr>
          <w:rFonts w:ascii="Arial" w:eastAsia="Calibri" w:hAnsi="Arial" w:cs="Arial"/>
          <w:sz w:val="22"/>
          <w:lang w:val="es-ES"/>
        </w:rPr>
        <w:t>específica</w:t>
      </w:r>
      <w:r w:rsidR="004D0071" w:rsidRPr="005C0456">
        <w:rPr>
          <w:rFonts w:ascii="Arial" w:eastAsia="Calibri" w:hAnsi="Arial" w:cs="Arial"/>
          <w:sz w:val="22"/>
          <w:lang w:val="es-ES"/>
        </w:rPr>
        <w:t xml:space="preserve"> en este caso, de acuerdo con los parámetros anteriores, el proponente </w:t>
      </w:r>
      <w:r w:rsidR="00037732" w:rsidRPr="005C0456">
        <w:rPr>
          <w:rFonts w:ascii="Arial" w:eastAsia="Calibri" w:hAnsi="Arial" w:cs="Arial"/>
          <w:sz w:val="22"/>
          <w:lang w:val="es-ES"/>
        </w:rPr>
        <w:t>deberá aportar un contrato válido</w:t>
      </w:r>
      <w:r w:rsidR="004D0071" w:rsidRPr="005C0456">
        <w:rPr>
          <w:rFonts w:ascii="Arial" w:eastAsia="Calibri" w:hAnsi="Arial" w:cs="Arial"/>
          <w:sz w:val="22"/>
          <w:lang w:val="es-ES"/>
        </w:rPr>
        <w:t xml:space="preserve"> que cumpla con la experiencia general y </w:t>
      </w:r>
      <w:r w:rsidR="00037732" w:rsidRPr="005C0456">
        <w:rPr>
          <w:rFonts w:ascii="Arial" w:eastAsia="Calibri" w:hAnsi="Arial" w:cs="Arial"/>
          <w:sz w:val="22"/>
          <w:lang w:val="es-ES"/>
        </w:rPr>
        <w:t xml:space="preserve">que acredite </w:t>
      </w:r>
      <w:r w:rsidR="00783633" w:rsidRPr="00BC065A">
        <w:rPr>
          <w:rFonts w:ascii="Arial" w:eastAsia="Calibri" w:hAnsi="Arial" w:cs="Arial"/>
          <w:sz w:val="22"/>
          <w:lang w:val="es-ES"/>
        </w:rPr>
        <w:t>la ejecución de</w:t>
      </w:r>
      <w:r w:rsidR="004D0071" w:rsidRPr="00BC065A">
        <w:rPr>
          <w:rFonts w:ascii="Arial" w:eastAsia="Calibri" w:hAnsi="Arial" w:cs="Arial"/>
          <w:sz w:val="22"/>
          <w:lang w:val="es-ES"/>
        </w:rPr>
        <w:t xml:space="preserve"> </w:t>
      </w:r>
      <w:r w:rsidR="00037732" w:rsidRPr="005C0456">
        <w:rPr>
          <w:rFonts w:ascii="Arial" w:eastAsia="Calibri" w:hAnsi="Arial" w:cs="Arial"/>
          <w:sz w:val="22"/>
          <w:lang w:val="es-ES"/>
        </w:rPr>
        <w:t xml:space="preserve">actividades del </w:t>
      </w:r>
      <w:r w:rsidR="008D19BF" w:rsidRPr="005C0456">
        <w:rPr>
          <w:rFonts w:ascii="Arial" w:eastAsia="Calibri" w:hAnsi="Arial" w:cs="Arial"/>
          <w:sz w:val="22"/>
          <w:lang w:val="es-ES"/>
        </w:rPr>
        <w:t xml:space="preserve">componente de señalización y demarcación </w:t>
      </w:r>
      <w:r w:rsidR="00037732" w:rsidRPr="005C0456">
        <w:rPr>
          <w:rFonts w:ascii="Arial" w:eastAsia="Calibri" w:hAnsi="Arial" w:cs="Arial"/>
          <w:sz w:val="22"/>
          <w:lang w:val="es-ES"/>
        </w:rPr>
        <w:t>por un valor igual o superior a $36</w:t>
      </w:r>
      <w:r w:rsidR="006873EB" w:rsidRPr="005C0456">
        <w:rPr>
          <w:rFonts w:ascii="Arial" w:eastAsia="Calibri" w:hAnsi="Arial" w:cs="Arial"/>
          <w:sz w:val="22"/>
          <w:lang w:val="es-ES"/>
        </w:rPr>
        <w:t>0</w:t>
      </w:r>
      <w:r w:rsidR="00037732" w:rsidRPr="005C0456">
        <w:rPr>
          <w:rFonts w:ascii="Arial" w:eastAsia="Calibri" w:hAnsi="Arial" w:cs="Arial"/>
          <w:sz w:val="22"/>
          <w:lang w:val="es-ES"/>
        </w:rPr>
        <w:t xml:space="preserve"> millones, esto es, a por lo menos el 60% del valor asignado al componente de señalización y demarcación</w:t>
      </w:r>
      <w:r w:rsidR="004D0071" w:rsidRPr="005C0456">
        <w:rPr>
          <w:rFonts w:ascii="Arial" w:eastAsia="Calibri" w:hAnsi="Arial" w:cs="Arial"/>
          <w:sz w:val="22"/>
          <w:lang w:val="es-ES"/>
        </w:rPr>
        <w:t xml:space="preserve"> en el presupuesto del proceso de contratación.</w:t>
      </w:r>
      <w:r w:rsidR="008D19BF">
        <w:rPr>
          <w:rFonts w:ascii="Arial" w:eastAsia="Calibri" w:hAnsi="Arial" w:cs="Arial"/>
          <w:sz w:val="22"/>
          <w:lang w:val="es-ES"/>
        </w:rPr>
        <w:t xml:space="preserve">  </w:t>
      </w:r>
      <w:r w:rsidR="008D19BF" w:rsidRPr="001A6379">
        <w:rPr>
          <w:rFonts w:ascii="Arial" w:eastAsia="Calibri" w:hAnsi="Arial" w:cs="Arial"/>
          <w:sz w:val="22"/>
          <w:lang w:val="es-ES"/>
        </w:rPr>
        <w:t xml:space="preserve"> </w:t>
      </w:r>
      <w:r w:rsidR="00D16D0A">
        <w:rPr>
          <w:rFonts w:ascii="Arial" w:eastAsia="Calibri" w:hAnsi="Arial" w:cs="Arial"/>
          <w:sz w:val="22"/>
          <w:shd w:val="clear" w:color="auto" w:fill="FFFFFF"/>
        </w:rPr>
        <w:t xml:space="preserve"> </w:t>
      </w:r>
    </w:p>
    <w:p w14:paraId="6B203442" w14:textId="77777777" w:rsidR="006873EB" w:rsidRPr="001A6379" w:rsidRDefault="006873EB" w:rsidP="00BC065A">
      <w:pPr>
        <w:spacing w:line="276" w:lineRule="auto"/>
        <w:ind w:firstLine="709"/>
        <w:jc w:val="both"/>
        <w:rPr>
          <w:rFonts w:ascii="Arial" w:hAnsi="Arial" w:cs="Arial"/>
          <w:sz w:val="22"/>
          <w:lang w:val="es-ES"/>
        </w:rPr>
      </w:pPr>
    </w:p>
    <w:p w14:paraId="3A7BF0D6" w14:textId="77777777" w:rsidR="00585A49" w:rsidRPr="001A6379" w:rsidRDefault="00585A49" w:rsidP="00585A49">
      <w:pPr>
        <w:pStyle w:val="Prrafodelista"/>
        <w:numPr>
          <w:ilvl w:val="0"/>
          <w:numId w:val="1"/>
        </w:numPr>
        <w:tabs>
          <w:tab w:val="left" w:pos="284"/>
        </w:tabs>
        <w:spacing w:line="276" w:lineRule="auto"/>
        <w:ind w:left="0" w:firstLine="0"/>
        <w:jc w:val="both"/>
        <w:rPr>
          <w:rFonts w:ascii="Arial" w:eastAsia="Calibri" w:hAnsi="Arial" w:cs="Arial"/>
          <w:sz w:val="22"/>
          <w:lang w:val="es-ES"/>
        </w:rPr>
      </w:pPr>
      <w:r w:rsidRPr="001A6379">
        <w:rPr>
          <w:rFonts w:ascii="Arial" w:eastAsia="Calibri" w:hAnsi="Arial" w:cs="Arial"/>
          <w:b/>
          <w:sz w:val="22"/>
          <w:lang w:val="es-ES"/>
        </w:rPr>
        <w:t>Respuestas</w:t>
      </w:r>
    </w:p>
    <w:p w14:paraId="3FD30BB2" w14:textId="77777777" w:rsidR="00585A49" w:rsidRPr="001A6379" w:rsidRDefault="00585A49" w:rsidP="00585A49">
      <w:pPr>
        <w:spacing w:line="276" w:lineRule="auto"/>
        <w:ind w:right="709"/>
        <w:jc w:val="both"/>
        <w:rPr>
          <w:rFonts w:ascii="Arial" w:eastAsia="Calibri" w:hAnsi="Arial" w:cs="Arial"/>
          <w:iCs/>
          <w:sz w:val="22"/>
          <w:lang w:val="es-ES"/>
        </w:rPr>
      </w:pPr>
    </w:p>
    <w:p w14:paraId="5075F9D2" w14:textId="06806D83" w:rsidR="006873EB" w:rsidRPr="005C0456" w:rsidRDefault="006873EB" w:rsidP="005C0456">
      <w:pPr>
        <w:spacing w:after="120" w:line="276" w:lineRule="auto"/>
        <w:jc w:val="both"/>
        <w:rPr>
          <w:rFonts w:ascii="Arial" w:eastAsia="Calibri" w:hAnsi="Arial" w:cs="Arial"/>
          <w:sz w:val="22"/>
          <w:lang w:val="es-ES"/>
        </w:rPr>
      </w:pPr>
      <w:r w:rsidRPr="001A6379">
        <w:rPr>
          <w:rFonts w:ascii="Arial" w:eastAsia="Calibri" w:hAnsi="Arial" w:cs="Arial"/>
          <w:sz w:val="22"/>
          <w:lang w:val="es-ES"/>
        </w:rPr>
        <w:t xml:space="preserve">Sobre </w:t>
      </w:r>
      <w:r>
        <w:rPr>
          <w:rFonts w:ascii="Arial" w:eastAsia="Calibri" w:hAnsi="Arial" w:cs="Arial"/>
          <w:sz w:val="22"/>
          <w:lang w:val="es-ES"/>
        </w:rPr>
        <w:t xml:space="preserve">la experiencia específica requerida en la </w:t>
      </w:r>
      <w:r w:rsidRPr="001A6379">
        <w:rPr>
          <w:rFonts w:ascii="Arial" w:eastAsia="Calibri" w:hAnsi="Arial" w:cs="Arial"/>
          <w:sz w:val="22"/>
          <w:lang w:val="es-ES"/>
        </w:rPr>
        <w:t>«Matriz 1 – Experiencia»</w:t>
      </w:r>
      <w:r>
        <w:rPr>
          <w:rFonts w:ascii="Arial" w:eastAsia="Calibri" w:hAnsi="Arial" w:cs="Arial"/>
          <w:sz w:val="22"/>
          <w:lang w:val="es-ES"/>
        </w:rPr>
        <w:t xml:space="preserve"> de los </w:t>
      </w:r>
      <w:r w:rsidRPr="001A6379">
        <w:rPr>
          <w:rFonts w:ascii="Arial" w:eastAsia="Calibri" w:hAnsi="Arial" w:cs="Arial"/>
          <w:sz w:val="22"/>
          <w:lang w:val="es-ES"/>
        </w:rPr>
        <w:t xml:space="preserve">«Documentos Tipo </w:t>
      </w:r>
      <w:r>
        <w:rPr>
          <w:rFonts w:ascii="Arial" w:eastAsia="Calibri" w:hAnsi="Arial" w:cs="Arial"/>
          <w:sz w:val="22"/>
          <w:lang w:val="es-ES"/>
        </w:rPr>
        <w:t xml:space="preserve">para Licitación de Obras Públicas de Infraestructura de Transporte </w:t>
      </w:r>
      <w:r w:rsidRPr="001A6379">
        <w:rPr>
          <w:rFonts w:ascii="Arial" w:eastAsia="Calibri" w:hAnsi="Arial" w:cs="Arial"/>
          <w:sz w:val="22"/>
          <w:lang w:val="es-ES"/>
        </w:rPr>
        <w:t>–Versión 3»</w:t>
      </w:r>
      <w:r>
        <w:rPr>
          <w:rFonts w:ascii="Arial" w:eastAsia="Calibri" w:hAnsi="Arial" w:cs="Arial"/>
          <w:sz w:val="22"/>
          <w:lang w:val="es-ES"/>
        </w:rPr>
        <w:t xml:space="preserve">, en relación con la actividad a contratar número </w:t>
      </w:r>
      <w:r w:rsidRPr="001A6379">
        <w:rPr>
          <w:rFonts w:ascii="Arial" w:eastAsia="Calibri" w:hAnsi="Arial" w:cs="Arial"/>
          <w:sz w:val="22"/>
          <w:lang w:val="es-ES"/>
        </w:rPr>
        <w:t>«</w:t>
      </w:r>
      <w:r>
        <w:rPr>
          <w:rFonts w:ascii="Arial" w:eastAsia="Calibri" w:hAnsi="Arial" w:cs="Arial"/>
          <w:sz w:val="22"/>
          <w:lang w:val="es-ES"/>
        </w:rPr>
        <w:t>6.16 PROYECTOS DE SEÑALIZACIÓN Y/O DEMARCACIÓN DE VÍAS URBANAS</w:t>
      </w:r>
      <w:r w:rsidRPr="001A6379">
        <w:rPr>
          <w:rFonts w:ascii="Arial" w:eastAsia="Calibri" w:hAnsi="Arial" w:cs="Arial"/>
          <w:sz w:val="22"/>
          <w:lang w:val="es-ES"/>
        </w:rPr>
        <w:t>»</w:t>
      </w:r>
      <w:r>
        <w:rPr>
          <w:rFonts w:ascii="Arial" w:eastAsia="Calibri" w:hAnsi="Arial" w:cs="Arial"/>
          <w:sz w:val="22"/>
          <w:lang w:val="es-ES"/>
        </w:rPr>
        <w:t xml:space="preserve">; </w:t>
      </w:r>
      <w:r w:rsidRPr="001A6379">
        <w:rPr>
          <w:rFonts w:ascii="Arial" w:eastAsia="Calibri" w:hAnsi="Arial" w:cs="Arial"/>
          <w:sz w:val="22"/>
          <w:lang w:val="es-ES"/>
        </w:rPr>
        <w:t>usted solicita se</w:t>
      </w:r>
      <w:r>
        <w:rPr>
          <w:rFonts w:ascii="Arial" w:eastAsia="Calibri" w:hAnsi="Arial" w:cs="Arial"/>
          <w:sz w:val="22"/>
          <w:lang w:val="es-ES"/>
        </w:rPr>
        <w:t xml:space="preserve"> aclaren las siguientes inquietudes:</w:t>
      </w:r>
    </w:p>
    <w:p w14:paraId="278701AD" w14:textId="77777777" w:rsidR="006873EB" w:rsidRDefault="006873EB" w:rsidP="0060296D">
      <w:pPr>
        <w:ind w:left="709" w:right="709"/>
        <w:jc w:val="both"/>
        <w:rPr>
          <w:rFonts w:ascii="Arial" w:hAnsi="Arial" w:cs="Arial"/>
          <w:color w:val="000000" w:themeColor="text1"/>
          <w:sz w:val="21"/>
          <w:szCs w:val="21"/>
          <w:lang w:val="es-ES_tradnl"/>
        </w:rPr>
      </w:pPr>
    </w:p>
    <w:p w14:paraId="7F75C285" w14:textId="67D9BF26" w:rsidR="00585A49" w:rsidRDefault="00362F15" w:rsidP="0060296D">
      <w:pPr>
        <w:ind w:left="709" w:right="709"/>
        <w:jc w:val="both"/>
        <w:rPr>
          <w:rFonts w:ascii="Arial" w:hAnsi="Arial" w:cs="Arial"/>
          <w:sz w:val="21"/>
          <w:szCs w:val="21"/>
          <w:lang w:val="es-ES"/>
        </w:rPr>
      </w:pPr>
      <w:r w:rsidRPr="008918A2">
        <w:rPr>
          <w:rFonts w:ascii="Arial" w:hAnsi="Arial" w:cs="Arial"/>
          <w:color w:val="000000" w:themeColor="text1"/>
          <w:sz w:val="21"/>
          <w:szCs w:val="21"/>
          <w:lang w:val="es-ES_tradnl"/>
        </w:rPr>
        <w:t>«</w:t>
      </w:r>
      <w:r w:rsidR="002F01E8">
        <w:rPr>
          <w:rFonts w:ascii="Arial" w:hAnsi="Arial" w:cs="Arial"/>
          <w:color w:val="000000" w:themeColor="text1"/>
          <w:sz w:val="21"/>
          <w:szCs w:val="21"/>
          <w:lang w:val="es-ES_tradnl"/>
        </w:rPr>
        <w:t xml:space="preserve">1. [¿] La experiencia específica solo se puede acreditar con un único contrato </w:t>
      </w:r>
      <w:proofErr w:type="gramStart"/>
      <w:r w:rsidR="002F01E8">
        <w:rPr>
          <w:rFonts w:ascii="Arial" w:hAnsi="Arial" w:cs="Arial"/>
          <w:color w:val="000000" w:themeColor="text1"/>
          <w:sz w:val="21"/>
          <w:szCs w:val="21"/>
          <w:lang w:val="es-ES_tradnl"/>
        </w:rPr>
        <w:t>de los máximo</w:t>
      </w:r>
      <w:proofErr w:type="gramEnd"/>
      <w:r w:rsidR="002F01E8">
        <w:rPr>
          <w:rFonts w:ascii="Arial" w:hAnsi="Arial" w:cs="Arial"/>
          <w:color w:val="000000" w:themeColor="text1"/>
          <w:sz w:val="21"/>
          <w:szCs w:val="21"/>
          <w:lang w:val="es-ES_tradnl"/>
        </w:rPr>
        <w:t xml:space="preserve"> 6 reportados en la experiencia general</w:t>
      </w:r>
      <w:r w:rsidR="00C97EC6" w:rsidRPr="00C97EC6">
        <w:rPr>
          <w:rFonts w:ascii="Arial" w:hAnsi="Arial" w:cs="Arial"/>
          <w:sz w:val="21"/>
          <w:szCs w:val="21"/>
          <w:lang w:val="es-ES"/>
        </w:rPr>
        <w:t>»</w:t>
      </w:r>
      <w:r w:rsidR="00EB5DC0" w:rsidRPr="001A6379">
        <w:rPr>
          <w:rFonts w:ascii="Arial" w:hAnsi="Arial" w:cs="Arial"/>
          <w:sz w:val="21"/>
          <w:szCs w:val="21"/>
          <w:lang w:val="es-ES"/>
        </w:rPr>
        <w:t>.</w:t>
      </w:r>
      <w:r w:rsidR="002E2785">
        <w:rPr>
          <w:rFonts w:ascii="Arial" w:hAnsi="Arial" w:cs="Arial"/>
          <w:sz w:val="21"/>
          <w:szCs w:val="21"/>
          <w:lang w:val="es-ES"/>
        </w:rPr>
        <w:t xml:space="preserve"> o</w:t>
      </w:r>
    </w:p>
    <w:p w14:paraId="58844C72" w14:textId="77777777" w:rsidR="002E2785" w:rsidRDefault="002E2785" w:rsidP="002E2785">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2. [¿] </w:t>
      </w:r>
      <w:proofErr w:type="gramStart"/>
      <w:r>
        <w:rPr>
          <w:rFonts w:ascii="Arial" w:hAnsi="Arial" w:cs="Arial"/>
          <w:color w:val="000000" w:themeColor="text1"/>
          <w:sz w:val="21"/>
          <w:szCs w:val="21"/>
          <w:lang w:val="es-ES_tradnl"/>
        </w:rPr>
        <w:t>La experiencia específica se puede acreditar con la sumatoria de los valores de uno o varios de los contratos aportados en la experiencia general, respecto a las actividades relacionadas para dicha experiencia específica?</w:t>
      </w:r>
      <w:proofErr w:type="gramEnd"/>
    </w:p>
    <w:p w14:paraId="63B46C1D" w14:textId="77777777" w:rsidR="00585A49" w:rsidRPr="001A6379" w:rsidRDefault="00585A49" w:rsidP="00585A49">
      <w:pPr>
        <w:spacing w:line="276" w:lineRule="auto"/>
        <w:ind w:right="709"/>
        <w:jc w:val="both"/>
        <w:rPr>
          <w:rFonts w:ascii="Arial" w:eastAsia="Calibri" w:hAnsi="Arial" w:cs="Arial"/>
          <w:sz w:val="22"/>
          <w:lang w:val="es-ES"/>
        </w:rPr>
      </w:pPr>
    </w:p>
    <w:p w14:paraId="381239F8" w14:textId="18ABE158" w:rsidR="00FD3378" w:rsidRPr="005C0456" w:rsidRDefault="002E2785" w:rsidP="005C0456">
      <w:pPr>
        <w:spacing w:after="120" w:line="276" w:lineRule="auto"/>
        <w:jc w:val="both"/>
        <w:rPr>
          <w:rFonts w:ascii="Arial" w:eastAsia="Calibri" w:hAnsi="Arial" w:cs="Arial"/>
          <w:sz w:val="22"/>
        </w:rPr>
      </w:pPr>
      <w:bookmarkStart w:id="12" w:name="_Hlk61701154"/>
      <w:bookmarkStart w:id="13" w:name="_Hlk57650395"/>
      <w:r w:rsidRPr="005C0456">
        <w:rPr>
          <w:rFonts w:ascii="Arial" w:eastAsia="Calibri" w:hAnsi="Arial" w:cs="Arial"/>
          <w:sz w:val="22"/>
        </w:rPr>
        <w:t xml:space="preserve">Para los procesos de contratación de proyectos de obra </w:t>
      </w:r>
      <w:r w:rsidR="00177B80" w:rsidRPr="005C0456">
        <w:rPr>
          <w:rFonts w:ascii="Arial" w:eastAsia="Calibri" w:hAnsi="Arial" w:cs="Arial"/>
          <w:sz w:val="22"/>
        </w:rPr>
        <w:t xml:space="preserve">pública </w:t>
      </w:r>
      <w:r w:rsidRPr="005C0456">
        <w:rPr>
          <w:rFonts w:ascii="Arial" w:eastAsia="Calibri" w:hAnsi="Arial" w:cs="Arial"/>
          <w:sz w:val="22"/>
        </w:rPr>
        <w:t>de infraestructura de transporte de alta complejidad que utilizan</w:t>
      </w:r>
      <w:r w:rsidR="001F7736" w:rsidRPr="005C0456">
        <w:rPr>
          <w:rFonts w:ascii="Arial" w:eastAsia="Calibri" w:hAnsi="Arial" w:cs="Arial"/>
          <w:sz w:val="22"/>
        </w:rPr>
        <w:t xml:space="preserve"> los </w:t>
      </w:r>
      <w:r w:rsidR="001F7736" w:rsidRPr="005C0456">
        <w:rPr>
          <w:rFonts w:ascii="Arial" w:eastAsia="Calibri" w:hAnsi="Arial" w:cs="Arial"/>
          <w:color w:val="000000"/>
          <w:sz w:val="22"/>
        </w:rPr>
        <w:t xml:space="preserve">«Documentos Tipo </w:t>
      </w:r>
      <w:r w:rsidR="00177B80" w:rsidRPr="005C0456">
        <w:rPr>
          <w:rFonts w:ascii="Arial" w:eastAsia="Calibri" w:hAnsi="Arial" w:cs="Arial"/>
          <w:color w:val="000000"/>
          <w:sz w:val="22"/>
        </w:rPr>
        <w:t xml:space="preserve">de licitación </w:t>
      </w:r>
      <w:r w:rsidR="001F7736" w:rsidRPr="005C0456">
        <w:rPr>
          <w:rFonts w:ascii="Arial" w:eastAsia="Calibri" w:hAnsi="Arial" w:cs="Arial"/>
          <w:color w:val="000000"/>
          <w:sz w:val="22"/>
        </w:rPr>
        <w:t xml:space="preserve">– Versión 3» </w:t>
      </w:r>
      <w:r w:rsidR="001F7736" w:rsidRPr="005C0456">
        <w:rPr>
          <w:rFonts w:ascii="Arial" w:eastAsia="Calibri" w:hAnsi="Arial" w:cs="Arial"/>
          <w:sz w:val="22"/>
        </w:rPr>
        <w:t xml:space="preserve">adoptados mediante </w:t>
      </w:r>
      <w:r w:rsidR="001F7736" w:rsidRPr="005C0456">
        <w:rPr>
          <w:rFonts w:ascii="Arial" w:eastAsia="Calibri" w:hAnsi="Arial" w:cs="Arial"/>
          <w:bCs/>
          <w:color w:val="000000"/>
          <w:sz w:val="22"/>
        </w:rPr>
        <w:t>la Resolución No. 240 del 27 de noviembre de 2020</w:t>
      </w:r>
      <w:r w:rsidR="001F7736" w:rsidRPr="005C0456">
        <w:rPr>
          <w:rFonts w:ascii="Arial" w:eastAsia="Calibri" w:hAnsi="Arial" w:cs="Arial"/>
          <w:sz w:val="22"/>
        </w:rPr>
        <w:t xml:space="preserve">, modificados </w:t>
      </w:r>
      <w:r w:rsidR="001F7736" w:rsidRPr="005C0456">
        <w:rPr>
          <w:rFonts w:ascii="Arial" w:eastAsia="Calibri" w:hAnsi="Arial" w:cs="Arial"/>
          <w:sz w:val="22"/>
        </w:rPr>
        <w:lastRenderedPageBreak/>
        <w:t xml:space="preserve">mediante la Resolución No. 161 del 17 de junio de 2021, los proponentes deben acreditar el requisito de experiencia presentando entre uno y seis contratos, según el literal C del numeral 3.5.2, del Documento Base. </w:t>
      </w:r>
    </w:p>
    <w:p w14:paraId="3BE97EC9" w14:textId="77777777" w:rsidR="00177B80" w:rsidRPr="005C0456" w:rsidRDefault="00177B80" w:rsidP="00177B80">
      <w:pPr>
        <w:spacing w:after="120" w:line="276" w:lineRule="auto"/>
        <w:ind w:firstLine="708"/>
        <w:jc w:val="both"/>
        <w:rPr>
          <w:rFonts w:ascii="Arial" w:eastAsia="Calibri" w:hAnsi="Arial" w:cs="Arial"/>
          <w:sz w:val="22"/>
          <w:lang w:val="es-ES"/>
        </w:rPr>
      </w:pPr>
      <w:r w:rsidRPr="005C0456">
        <w:rPr>
          <w:rFonts w:ascii="Arial" w:eastAsia="Calibri" w:hAnsi="Arial" w:cs="Arial"/>
          <w:sz w:val="22"/>
          <w:shd w:val="clear" w:color="auto" w:fill="FFFFFF"/>
        </w:rPr>
        <w:t xml:space="preserve">A su turno, en relación con la </w:t>
      </w:r>
      <w:r w:rsidRPr="005C0456">
        <w:rPr>
          <w:rFonts w:ascii="Arial" w:eastAsia="Calibri" w:hAnsi="Arial" w:cs="Arial"/>
          <w:b/>
          <w:bCs/>
          <w:sz w:val="22"/>
          <w:shd w:val="clear" w:color="auto" w:fill="FFFFFF"/>
        </w:rPr>
        <w:t>experiencia específica</w:t>
      </w:r>
      <w:r w:rsidRPr="005C0456">
        <w:rPr>
          <w:rFonts w:ascii="Arial" w:eastAsia="Calibri" w:hAnsi="Arial" w:cs="Arial"/>
          <w:sz w:val="22"/>
          <w:shd w:val="clear" w:color="auto" w:fill="FFFFFF"/>
        </w:rPr>
        <w:t xml:space="preserve"> correspondiente a la actividad 6.16, tal y como lo exige la Matriz 1 – Experiencia, esta se cumple si se acredita que «Por lo menos uno (1) de los contratos válidos aportados como experiencia general debe acreditar en el componente de señalización o demarcación un valor igual o superior al </w:t>
      </w:r>
      <w:r w:rsidRPr="005C0456">
        <w:rPr>
          <w:rFonts w:ascii="Arial" w:eastAsia="Calibri" w:hAnsi="Arial" w:cs="Arial"/>
          <w:b/>
          <w:bCs/>
          <w:sz w:val="22"/>
          <w:shd w:val="clear" w:color="auto" w:fill="FFFFFF"/>
        </w:rPr>
        <w:t>60% del Componente de Señalización y/o Demarcación del Presupuesto Oficial</w:t>
      </w:r>
      <w:r w:rsidRPr="005C0456">
        <w:rPr>
          <w:rFonts w:ascii="Arial" w:eastAsia="Calibri" w:hAnsi="Arial" w:cs="Arial"/>
          <w:sz w:val="22"/>
          <w:shd w:val="clear" w:color="auto" w:fill="FFFFFF"/>
        </w:rPr>
        <w:t xml:space="preserve"> estimado de contratación</w:t>
      </w:r>
      <w:r w:rsidRPr="005C0456">
        <w:rPr>
          <w:rFonts w:ascii="Arial" w:eastAsia="Calibri" w:hAnsi="Arial" w:cs="Arial"/>
          <w:sz w:val="22"/>
          <w:lang w:val="es-ES"/>
        </w:rPr>
        <w:t>». Lo anterior implica que</w:t>
      </w:r>
      <w:r w:rsidRPr="005C0456">
        <w:rPr>
          <w:rFonts w:ascii="Arial" w:eastAsia="Calibri" w:hAnsi="Arial" w:cs="Arial"/>
          <w:sz w:val="22"/>
          <w:shd w:val="clear" w:color="auto" w:fill="FFFFFF"/>
        </w:rPr>
        <w:t xml:space="preserve"> por lo menos 1 de los contratos válidos aportados como experiencia general, esto es, </w:t>
      </w:r>
      <w:r w:rsidRPr="005C0456">
        <w:rPr>
          <w:rFonts w:ascii="Arial" w:eastAsia="Calibri" w:hAnsi="Arial" w:cs="Arial"/>
          <w:i/>
          <w:iCs/>
          <w:sz w:val="22"/>
          <w:shd w:val="clear" w:color="auto" w:fill="FFFFFF"/>
        </w:rPr>
        <w:t>individualmente considerado</w:t>
      </w:r>
      <w:r w:rsidRPr="005C0456">
        <w:rPr>
          <w:rFonts w:ascii="Arial" w:eastAsia="Calibri" w:hAnsi="Arial" w:cs="Arial"/>
          <w:sz w:val="22"/>
          <w:shd w:val="clear" w:color="auto" w:fill="FFFFFF"/>
        </w:rPr>
        <w:t>, debe acreditar actividades del componente de señalización o demarcación de vías por un valor que por lo menos sea equivalente al 60% del valor de estas mismas actividades que se van a ejecutar en el contrato a celebrar. Lo anterior implica que dicho monto no se calcula sobre el 100% del presupuesto total del proceso de contratación, pues lo relevante para estos efectos es el valor de las actividades correspondiente a los componentes de señalización y/o demarcación, cuyo valor será el utilizado para calcular el porcentaje mínimo equivalente exigido</w:t>
      </w:r>
      <w:r w:rsidRPr="005C0456">
        <w:rPr>
          <w:rFonts w:ascii="Arial" w:eastAsia="Calibri" w:hAnsi="Arial" w:cs="Arial"/>
          <w:sz w:val="22"/>
          <w:lang w:val="es-ES"/>
        </w:rPr>
        <w:t xml:space="preserve">. </w:t>
      </w:r>
    </w:p>
    <w:p w14:paraId="00E773C6" w14:textId="428A3C66" w:rsidR="00177B80" w:rsidRDefault="00177B80" w:rsidP="005C0456">
      <w:pPr>
        <w:spacing w:after="120" w:line="276" w:lineRule="auto"/>
        <w:ind w:firstLine="708"/>
        <w:jc w:val="both"/>
        <w:rPr>
          <w:rFonts w:ascii="Arial" w:eastAsia="Calibri" w:hAnsi="Arial" w:cs="Arial"/>
          <w:sz w:val="22"/>
          <w:lang w:val="es-ES"/>
        </w:rPr>
      </w:pPr>
      <w:r w:rsidRPr="005C0456">
        <w:rPr>
          <w:rFonts w:ascii="Arial" w:eastAsia="Calibri" w:hAnsi="Arial" w:cs="Arial"/>
          <w:sz w:val="22"/>
          <w:lang w:val="es-ES"/>
        </w:rPr>
        <w:t>Para clarificar lo expresado anteriormente se propone el siguiente ejemplo. Una entidad estatal adelanta un proceso contractual en el que el presupuesto oficial total de la contratación es de $1</w:t>
      </w:r>
      <w:r w:rsidR="006873EB" w:rsidRPr="005C0456">
        <w:rPr>
          <w:rFonts w:ascii="Arial" w:eastAsia="Calibri" w:hAnsi="Arial" w:cs="Arial"/>
          <w:sz w:val="22"/>
          <w:lang w:val="es-ES"/>
        </w:rPr>
        <w:t>.</w:t>
      </w:r>
      <w:r w:rsidRPr="005C0456">
        <w:rPr>
          <w:rFonts w:ascii="Arial" w:eastAsia="Calibri" w:hAnsi="Arial" w:cs="Arial"/>
          <w:sz w:val="22"/>
          <w:lang w:val="es-ES"/>
        </w:rPr>
        <w:t>00</w:t>
      </w:r>
      <w:r w:rsidR="006873EB" w:rsidRPr="005C0456">
        <w:rPr>
          <w:rFonts w:ascii="Arial" w:eastAsia="Calibri" w:hAnsi="Arial" w:cs="Arial"/>
          <w:sz w:val="22"/>
          <w:lang w:val="es-ES"/>
        </w:rPr>
        <w:t>0</w:t>
      </w:r>
      <w:r w:rsidRPr="005C0456">
        <w:rPr>
          <w:rFonts w:ascii="Arial" w:eastAsia="Calibri" w:hAnsi="Arial" w:cs="Arial"/>
          <w:sz w:val="22"/>
          <w:lang w:val="es-ES"/>
        </w:rPr>
        <w:t xml:space="preserve"> millones, pero para el componente de señalización y demarcación se estimó en $60</w:t>
      </w:r>
      <w:r w:rsidR="006873EB" w:rsidRPr="005C0456">
        <w:rPr>
          <w:rFonts w:ascii="Arial" w:eastAsia="Calibri" w:hAnsi="Arial" w:cs="Arial"/>
          <w:sz w:val="22"/>
          <w:lang w:val="es-ES"/>
        </w:rPr>
        <w:t>0</w:t>
      </w:r>
      <w:r w:rsidRPr="005C0456">
        <w:rPr>
          <w:rFonts w:ascii="Arial" w:eastAsia="Calibri" w:hAnsi="Arial" w:cs="Arial"/>
          <w:sz w:val="22"/>
          <w:lang w:val="es-ES"/>
        </w:rPr>
        <w:t xml:space="preserve"> millones. Para acreditar la experiencia específica en este caso, de acuerdo con los parámetros anteriores, el proponente deberá aportar un contrato válido que cumpla con la experiencia general y que acredite </w:t>
      </w:r>
      <w:r w:rsidR="00B53EB5" w:rsidRPr="005C0456">
        <w:rPr>
          <w:rFonts w:ascii="Arial" w:eastAsia="Calibri" w:hAnsi="Arial" w:cs="Arial"/>
          <w:sz w:val="22"/>
          <w:lang w:val="es-ES"/>
        </w:rPr>
        <w:t>la ejecución de</w:t>
      </w:r>
      <w:r w:rsidRPr="005C0456">
        <w:rPr>
          <w:rFonts w:ascii="Arial" w:eastAsia="Calibri" w:hAnsi="Arial" w:cs="Arial"/>
          <w:sz w:val="22"/>
          <w:lang w:val="es-ES"/>
        </w:rPr>
        <w:t xml:space="preserve"> actividades del componente de señalización y demarcación por un valor igual o superior a $36</w:t>
      </w:r>
      <w:r w:rsidR="006873EB" w:rsidRPr="005C0456">
        <w:rPr>
          <w:rFonts w:ascii="Arial" w:eastAsia="Calibri" w:hAnsi="Arial" w:cs="Arial"/>
          <w:sz w:val="22"/>
          <w:lang w:val="es-ES"/>
        </w:rPr>
        <w:t>0</w:t>
      </w:r>
      <w:r w:rsidRPr="005C0456">
        <w:rPr>
          <w:rFonts w:ascii="Arial" w:eastAsia="Calibri" w:hAnsi="Arial" w:cs="Arial"/>
          <w:sz w:val="22"/>
          <w:lang w:val="es-ES"/>
        </w:rPr>
        <w:t xml:space="preserve"> millones, esto es, </w:t>
      </w:r>
      <w:r w:rsidR="000B7BEF" w:rsidRPr="005C0456">
        <w:rPr>
          <w:rFonts w:ascii="Arial" w:eastAsia="Calibri" w:hAnsi="Arial" w:cs="Arial"/>
          <w:sz w:val="22"/>
          <w:lang w:val="es-ES"/>
        </w:rPr>
        <w:t>de</w:t>
      </w:r>
      <w:r w:rsidRPr="005C0456">
        <w:rPr>
          <w:rFonts w:ascii="Arial" w:eastAsia="Calibri" w:hAnsi="Arial" w:cs="Arial"/>
          <w:sz w:val="22"/>
          <w:lang w:val="es-ES"/>
        </w:rPr>
        <w:t xml:space="preserve"> por lo menos el 60% del valor asignado al componente de señalización y demarcación en el presupuesto del proceso de contratación. </w:t>
      </w:r>
      <w:r w:rsidR="00B53EB5" w:rsidRPr="005C0456">
        <w:rPr>
          <w:rFonts w:ascii="Arial" w:eastAsia="Calibri" w:hAnsi="Arial" w:cs="Arial"/>
          <w:sz w:val="22"/>
          <w:lang w:val="es-ES"/>
        </w:rPr>
        <w:t>Por ello</w:t>
      </w:r>
      <w:r w:rsidRPr="005C0456">
        <w:rPr>
          <w:rFonts w:ascii="Arial" w:eastAsia="Calibri" w:hAnsi="Arial" w:cs="Arial"/>
          <w:sz w:val="22"/>
          <w:lang w:val="es-ES"/>
        </w:rPr>
        <w:t xml:space="preserve">, </w:t>
      </w:r>
      <w:r w:rsidR="000B7BEF" w:rsidRPr="005C0456">
        <w:rPr>
          <w:rFonts w:ascii="Arial" w:eastAsia="Calibri" w:hAnsi="Arial" w:cs="Arial"/>
          <w:sz w:val="22"/>
          <w:lang w:val="es-ES"/>
        </w:rPr>
        <w:t xml:space="preserve">esta </w:t>
      </w:r>
      <w:r w:rsidRPr="005C0456">
        <w:rPr>
          <w:rFonts w:ascii="Arial" w:eastAsia="Calibri" w:hAnsi="Arial" w:cs="Arial"/>
          <w:sz w:val="22"/>
          <w:lang w:val="es-ES"/>
        </w:rPr>
        <w:t xml:space="preserve">experiencia específica solo se puede acreditar con un único contrato </w:t>
      </w:r>
      <w:proofErr w:type="gramStart"/>
      <w:r w:rsidRPr="005C0456">
        <w:rPr>
          <w:rFonts w:ascii="Arial" w:eastAsia="Calibri" w:hAnsi="Arial" w:cs="Arial"/>
          <w:sz w:val="22"/>
          <w:lang w:val="es-ES"/>
        </w:rPr>
        <w:t>de los</w:t>
      </w:r>
      <w:r w:rsidR="006873EB" w:rsidRPr="005C0456">
        <w:rPr>
          <w:rFonts w:ascii="Arial" w:eastAsia="Calibri" w:hAnsi="Arial" w:cs="Arial"/>
          <w:sz w:val="22"/>
          <w:lang w:val="es-ES"/>
        </w:rPr>
        <w:t xml:space="preserve"> </w:t>
      </w:r>
      <w:r w:rsidRPr="005C0456">
        <w:rPr>
          <w:rFonts w:ascii="Arial" w:eastAsia="Calibri" w:hAnsi="Arial" w:cs="Arial"/>
          <w:sz w:val="22"/>
          <w:lang w:val="es-ES"/>
        </w:rPr>
        <w:t>máximo</w:t>
      </w:r>
      <w:proofErr w:type="gramEnd"/>
      <w:r w:rsidRPr="005C0456">
        <w:rPr>
          <w:rFonts w:ascii="Arial" w:eastAsia="Calibri" w:hAnsi="Arial" w:cs="Arial"/>
          <w:sz w:val="22"/>
          <w:lang w:val="es-ES"/>
        </w:rPr>
        <w:t xml:space="preserve"> 6 </w:t>
      </w:r>
      <w:r w:rsidR="00CF3480" w:rsidRPr="005C0456">
        <w:rPr>
          <w:rFonts w:ascii="Arial" w:eastAsia="Calibri" w:hAnsi="Arial" w:cs="Arial"/>
          <w:sz w:val="22"/>
          <w:lang w:val="es-ES"/>
        </w:rPr>
        <w:t>aportados por el proponente.</w:t>
      </w:r>
    </w:p>
    <w:bookmarkEnd w:id="12"/>
    <w:bookmarkEnd w:id="13"/>
    <w:p w14:paraId="28687B4A" w14:textId="77777777" w:rsidR="00585A49" w:rsidRPr="001A6379" w:rsidRDefault="00585A49" w:rsidP="00585A49">
      <w:pPr>
        <w:spacing w:after="120" w:line="276" w:lineRule="auto"/>
        <w:jc w:val="both"/>
        <w:rPr>
          <w:rFonts w:ascii="Arial" w:eastAsia="Calibri" w:hAnsi="Arial" w:cs="Arial"/>
          <w:sz w:val="22"/>
          <w:lang w:val="es-ES"/>
        </w:rPr>
      </w:pPr>
      <w:r w:rsidRPr="001A6379">
        <w:rPr>
          <w:rFonts w:ascii="Arial" w:eastAsia="Calibri" w:hAnsi="Arial" w:cs="Arial"/>
          <w:sz w:val="22"/>
          <w:lang w:val="es-ES"/>
        </w:rPr>
        <w:t>Este concepto tiene el alcance previsto en el artículo 28 del Código de Procedimiento Administrativo y de lo Contencioso Administrativo.</w:t>
      </w:r>
    </w:p>
    <w:p w14:paraId="4B4E923C" w14:textId="77777777" w:rsidR="00585A49" w:rsidRPr="001A6379" w:rsidRDefault="00585A49" w:rsidP="00585A49">
      <w:pPr>
        <w:jc w:val="both"/>
        <w:rPr>
          <w:rFonts w:ascii="Arial" w:eastAsia="Calibri" w:hAnsi="Arial" w:cs="Arial"/>
          <w:sz w:val="22"/>
          <w:lang w:val="es-ES"/>
        </w:rPr>
      </w:pPr>
      <w:r w:rsidRPr="001A6379">
        <w:rPr>
          <w:noProof/>
          <w:lang w:val="es-ES"/>
        </w:rPr>
        <mc:AlternateContent>
          <mc:Choice Requires="wps">
            <w:drawing>
              <wp:anchor distT="0" distB="0" distL="114300" distR="114300" simplePos="0" relativeHeight="251659264" behindDoc="0" locked="0" layoutInCell="1" allowOverlap="1" wp14:anchorId="568A4A2C" wp14:editId="124C615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6CE5F7"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204CE529" w14:textId="77777777" w:rsidR="00585A49" w:rsidRPr="001A6379" w:rsidRDefault="00585A49" w:rsidP="00585A49">
      <w:pPr>
        <w:rPr>
          <w:rFonts w:ascii="Arial" w:eastAsia="Times New Roman" w:hAnsi="Arial" w:cs="Arial"/>
          <w:sz w:val="22"/>
          <w:lang w:val="es-ES" w:eastAsia="es-CO"/>
        </w:rPr>
      </w:pPr>
      <w:r w:rsidRPr="001A6379">
        <w:rPr>
          <w:rFonts w:ascii="Arial" w:eastAsia="Times New Roman" w:hAnsi="Arial" w:cs="Arial"/>
          <w:sz w:val="22"/>
          <w:lang w:val="es-ES" w:eastAsia="es-CO"/>
        </w:rPr>
        <w:t>Atentamente,</w:t>
      </w:r>
    </w:p>
    <w:p w14:paraId="410015CF" w14:textId="77777777" w:rsidR="00585A49" w:rsidRPr="001A6379" w:rsidRDefault="00585A49" w:rsidP="00585A49">
      <w:pPr>
        <w:rPr>
          <w:rFonts w:ascii="Arial" w:eastAsia="Times New Roman" w:hAnsi="Arial" w:cs="Arial"/>
          <w:sz w:val="22"/>
          <w:lang w:val="es-ES" w:eastAsia="es-CO"/>
        </w:rPr>
      </w:pPr>
    </w:p>
    <w:p w14:paraId="3B517DB7" w14:textId="3AE45D40" w:rsidR="00585A49" w:rsidRPr="001A6379" w:rsidRDefault="00FA5A4C" w:rsidP="00585A49">
      <w:pPr>
        <w:jc w:val="center"/>
        <w:rPr>
          <w:rFonts w:ascii="Arial" w:eastAsia="Times New Roman" w:hAnsi="Arial" w:cs="Arial"/>
          <w:sz w:val="22"/>
          <w:lang w:val="es-ES" w:eastAsia="es-CO"/>
        </w:rPr>
      </w:pPr>
      <w:r>
        <w:rPr>
          <w:rFonts w:ascii="Arial" w:hAnsi="Arial" w:cs="Arial"/>
          <w:noProof/>
          <w:lang w:val="en-US"/>
        </w:rPr>
        <w:lastRenderedPageBreak/>
        <w:drawing>
          <wp:inline distT="0" distB="0" distL="0" distR="0" wp14:anchorId="65DA2F4C" wp14:editId="7E5568A6">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r w:rsidR="00585A49" w:rsidRPr="001A6379">
        <w:rPr>
          <w:noProof/>
          <w:lang w:val="es-ES"/>
        </w:rPr>
        <w:t xml:space="preserve"> </w:t>
      </w:r>
    </w:p>
    <w:p w14:paraId="7348A41D" w14:textId="77777777" w:rsidR="00585A49" w:rsidRPr="001A6379" w:rsidRDefault="00585A49" w:rsidP="005C0456">
      <w:pPr>
        <w:rPr>
          <w:rFonts w:ascii="Arial" w:eastAsia="Times New Roman"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4413"/>
      </w:tblGrid>
      <w:tr w:rsidR="00585A49" w:rsidRPr="001A6379" w14:paraId="32C5CE54" w14:textId="77777777" w:rsidTr="00954F8C">
        <w:trPr>
          <w:trHeight w:val="315"/>
        </w:trPr>
        <w:tc>
          <w:tcPr>
            <w:tcW w:w="488" w:type="dxa"/>
            <w:vAlign w:val="center"/>
            <w:hideMark/>
          </w:tcPr>
          <w:p w14:paraId="44CCD582" w14:textId="77777777"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0127C881" w14:textId="589A2B34" w:rsidR="00585A49" w:rsidRPr="001A6379" w:rsidRDefault="00E72F07" w:rsidP="00954F8C">
            <w:pPr>
              <w:rPr>
                <w:rFonts w:ascii="Arial" w:eastAsia="Times New Roman" w:hAnsi="Arial" w:cs="Arial"/>
                <w:sz w:val="16"/>
                <w:szCs w:val="16"/>
                <w:lang w:val="es-ES" w:eastAsia="es-ES"/>
              </w:rPr>
            </w:pPr>
            <w:r>
              <w:rPr>
                <w:rFonts w:ascii="Arial" w:eastAsia="Times New Roman" w:hAnsi="Arial" w:cs="Arial"/>
                <w:sz w:val="16"/>
                <w:szCs w:val="16"/>
                <w:lang w:val="es-ES" w:eastAsia="es-ES"/>
              </w:rPr>
              <w:t>Felipe Bastidas Paredes</w:t>
            </w:r>
          </w:p>
          <w:p w14:paraId="6E439C08" w14:textId="59F47B9E" w:rsidR="00585A49" w:rsidRPr="001A6379" w:rsidRDefault="000D4C8E" w:rsidP="00954F8C">
            <w:pPr>
              <w:rPr>
                <w:rFonts w:ascii="Arial" w:eastAsia="Times New Roman" w:hAnsi="Arial" w:cs="Arial"/>
                <w:sz w:val="16"/>
                <w:szCs w:val="16"/>
                <w:lang w:val="es-ES" w:eastAsia="es-ES"/>
              </w:rPr>
            </w:pPr>
            <w:r>
              <w:rPr>
                <w:rFonts w:ascii="Arial" w:eastAsia="Times New Roman" w:hAnsi="Arial" w:cs="Arial"/>
                <w:sz w:val="16"/>
                <w:szCs w:val="16"/>
                <w:lang w:val="es-ES" w:eastAsia="es-ES"/>
              </w:rPr>
              <w:t>Contratista de la Subdirección de Gestión Contractual</w:t>
            </w:r>
          </w:p>
        </w:tc>
      </w:tr>
      <w:tr w:rsidR="00585A49" w:rsidRPr="001A6379" w14:paraId="749BD554" w14:textId="77777777" w:rsidTr="00954F8C">
        <w:trPr>
          <w:trHeight w:val="330"/>
        </w:trPr>
        <w:tc>
          <w:tcPr>
            <w:tcW w:w="488" w:type="dxa"/>
            <w:vAlign w:val="center"/>
            <w:hideMark/>
          </w:tcPr>
          <w:p w14:paraId="69892F6D" w14:textId="5F5BF58D"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Revis</w:t>
            </w:r>
            <w:r w:rsidR="00D84CD9">
              <w:rPr>
                <w:rFonts w:ascii="Arial" w:eastAsia="Times New Roman" w:hAnsi="Arial" w:cs="Arial"/>
                <w:sz w:val="16"/>
                <w:szCs w:val="16"/>
                <w:lang w:val="es-ES" w:eastAsia="es-ES"/>
              </w:rPr>
              <w:t>aron</w:t>
            </w:r>
            <w:r w:rsidRPr="001A6379">
              <w:rPr>
                <w:rFonts w:ascii="Arial" w:eastAsia="Times New Roman" w:hAnsi="Arial" w:cs="Arial"/>
                <w:sz w:val="16"/>
                <w:szCs w:val="16"/>
                <w:lang w:val="es-ES" w:eastAsia="es-ES"/>
              </w:rPr>
              <w:t>:</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1CEE32" w14:textId="77777777" w:rsidR="00D84CD9" w:rsidRPr="00485F24" w:rsidRDefault="00D84CD9" w:rsidP="00D84CD9">
            <w:pPr>
              <w:rPr>
                <w:rFonts w:ascii="Arial" w:eastAsia="Times New Roman" w:hAnsi="Arial" w:cs="Arial"/>
                <w:sz w:val="16"/>
                <w:szCs w:val="16"/>
                <w:lang w:eastAsia="es-ES"/>
              </w:rPr>
            </w:pPr>
            <w:r w:rsidRPr="00485F24">
              <w:rPr>
                <w:rFonts w:ascii="Arial" w:eastAsia="Times New Roman" w:hAnsi="Arial" w:cs="Arial"/>
                <w:sz w:val="16"/>
                <w:szCs w:val="16"/>
                <w:lang w:eastAsia="es-ES"/>
              </w:rPr>
              <w:t>Karlo Fernández Cala</w:t>
            </w:r>
          </w:p>
          <w:p w14:paraId="5B195AD5" w14:textId="26EACF81" w:rsidR="00D84CD9" w:rsidRDefault="00D84CD9" w:rsidP="00D84CD9">
            <w:pPr>
              <w:rPr>
                <w:rFonts w:ascii="Arial" w:eastAsia="Times New Roman" w:hAnsi="Arial" w:cs="Arial"/>
                <w:sz w:val="16"/>
                <w:szCs w:val="16"/>
                <w:lang w:val="es-ES" w:eastAsia="es-ES"/>
              </w:rPr>
            </w:pPr>
            <w:r w:rsidRPr="00485F24">
              <w:rPr>
                <w:rFonts w:ascii="Arial" w:eastAsia="Times New Roman" w:hAnsi="Arial" w:cs="Arial"/>
                <w:sz w:val="16"/>
                <w:szCs w:val="16"/>
                <w:lang w:eastAsia="es-ES"/>
              </w:rPr>
              <w:t>Gestor T1-15 de la Dirección General</w:t>
            </w:r>
          </w:p>
          <w:p w14:paraId="4EED4A4E" w14:textId="13D12F89"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 xml:space="preserve">Sebastián Ramírez Grisales </w:t>
            </w:r>
          </w:p>
          <w:p w14:paraId="004866C9" w14:textId="3F5AB62C" w:rsidR="00F71D0F" w:rsidRPr="001A6379" w:rsidRDefault="00585A49" w:rsidP="00F71D0F">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Gestor T1-15 de la Subdirección de Gestión Contractual</w:t>
            </w:r>
          </w:p>
        </w:tc>
      </w:tr>
      <w:tr w:rsidR="00585A49" w:rsidRPr="001A6379" w14:paraId="09C22A4D" w14:textId="77777777" w:rsidTr="00954F8C">
        <w:trPr>
          <w:trHeight w:val="300"/>
        </w:trPr>
        <w:tc>
          <w:tcPr>
            <w:tcW w:w="488" w:type="dxa"/>
            <w:vAlign w:val="center"/>
            <w:hideMark/>
          </w:tcPr>
          <w:p w14:paraId="1953ED15" w14:textId="77777777"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BB0057" w14:textId="77777777"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Jorge Augusto Tirado Navarro</w:t>
            </w:r>
          </w:p>
          <w:p w14:paraId="7808EEE8" w14:textId="77777777"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Subdirector de Gestión Contractual ANCP – CCE</w:t>
            </w:r>
          </w:p>
        </w:tc>
      </w:tr>
      <w:bookmarkEnd w:id="0"/>
      <w:bookmarkEnd w:id="1"/>
    </w:tbl>
    <w:p w14:paraId="77805263" w14:textId="77777777" w:rsidR="00335C02" w:rsidRPr="001A6379" w:rsidRDefault="00335C02" w:rsidP="00457886">
      <w:pPr>
        <w:rPr>
          <w:lang w:val="es-ES"/>
        </w:rPr>
      </w:pPr>
    </w:p>
    <w:sectPr w:rsidR="00335C02" w:rsidRPr="001A6379" w:rsidSect="00954F8C">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AAF96" w14:textId="77777777" w:rsidR="00121C0F" w:rsidRDefault="00121C0F" w:rsidP="00585A49">
      <w:r>
        <w:separator/>
      </w:r>
    </w:p>
  </w:endnote>
  <w:endnote w:type="continuationSeparator" w:id="0">
    <w:p w14:paraId="5025502A" w14:textId="77777777" w:rsidR="00121C0F" w:rsidRDefault="00121C0F" w:rsidP="0058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_¶'DA≥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1B0B" w14:textId="77777777" w:rsidR="00954F8C" w:rsidRDefault="00954F8C" w:rsidP="00954F8C">
    <w:pPr>
      <w:pStyle w:val="Sinespaciado"/>
      <w:rPr>
        <w:rFonts w:ascii="Arial" w:hAnsi="Arial" w:cs="Arial"/>
        <w:sz w:val="18"/>
        <w:szCs w:val="18"/>
      </w:rPr>
    </w:pPr>
  </w:p>
  <w:p w14:paraId="4ED52EC4" w14:textId="77777777" w:rsidR="00954F8C" w:rsidRDefault="00954F8C" w:rsidP="00954F8C">
    <w:pPr>
      <w:pStyle w:val="Sinespaciado"/>
      <w:rPr>
        <w:rFonts w:ascii="Arial" w:hAnsi="Arial" w:cs="Arial"/>
        <w:sz w:val="18"/>
        <w:szCs w:val="18"/>
      </w:rPr>
    </w:pPr>
  </w:p>
  <w:p w14:paraId="636FF0C3" w14:textId="77777777" w:rsidR="00954F8C" w:rsidRPr="005A79FE" w:rsidRDefault="00954F8C" w:rsidP="00954F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587467B1" w14:textId="77777777" w:rsidR="00954F8C" w:rsidRDefault="00954F8C" w:rsidP="00954F8C">
    <w:pPr>
      <w:pStyle w:val="Piedepgina"/>
      <w:jc w:val="center"/>
      <w:rPr>
        <w:lang w:val="es-ES"/>
      </w:rPr>
    </w:pPr>
    <w:r>
      <w:rPr>
        <w:noProof/>
      </w:rPr>
      <w:drawing>
        <wp:inline distT="0" distB="0" distL="0" distR="0" wp14:anchorId="13CBB78B" wp14:editId="094D07B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04BADF00" w14:textId="77777777" w:rsidR="00954F8C" w:rsidRDefault="00954F8C" w:rsidP="00954F8C">
    <w:pPr>
      <w:pStyle w:val="Piedepgina"/>
      <w:jc w:val="center"/>
      <w:rPr>
        <w:lang w:val="es-ES"/>
      </w:rPr>
    </w:pPr>
  </w:p>
  <w:p w14:paraId="1009B37B" w14:textId="77777777" w:rsidR="00954F8C" w:rsidRPr="007B0854" w:rsidRDefault="00954F8C" w:rsidP="00954F8C">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92408" w14:textId="77777777" w:rsidR="00121C0F" w:rsidRDefault="00121C0F" w:rsidP="00585A49">
      <w:r>
        <w:separator/>
      </w:r>
    </w:p>
  </w:footnote>
  <w:footnote w:type="continuationSeparator" w:id="0">
    <w:p w14:paraId="4259AA68" w14:textId="77777777" w:rsidR="00121C0F" w:rsidRDefault="00121C0F" w:rsidP="00585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9F15" w14:textId="77777777" w:rsidR="00954F8C" w:rsidRDefault="00954F8C">
    <w:pPr>
      <w:pStyle w:val="Encabezado"/>
    </w:pPr>
  </w:p>
  <w:p w14:paraId="30B3DC05" w14:textId="77777777" w:rsidR="00954F8C" w:rsidRDefault="00954F8C">
    <w:pPr>
      <w:pStyle w:val="Encabezado"/>
    </w:pPr>
  </w:p>
  <w:p w14:paraId="7F0C7B29" w14:textId="77777777" w:rsidR="00954F8C" w:rsidRDefault="00954F8C">
    <w:pPr>
      <w:pStyle w:val="Encabezado"/>
    </w:pPr>
    <w:r>
      <w:rPr>
        <w:noProof/>
        <w:lang w:val="en-US"/>
      </w:rPr>
      <w:drawing>
        <wp:anchor distT="0" distB="0" distL="114300" distR="114300" simplePos="0" relativeHeight="251659264" behindDoc="1" locked="0" layoutInCell="1" allowOverlap="1" wp14:anchorId="65325909" wp14:editId="578E93DF">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DDE1D0" w14:textId="77777777" w:rsidR="00954F8C" w:rsidRDefault="00954F8C">
    <w:pPr>
      <w:pStyle w:val="Encabezado"/>
    </w:pPr>
  </w:p>
  <w:p w14:paraId="072C9D3E" w14:textId="77777777" w:rsidR="00954F8C" w:rsidRDefault="00954F8C">
    <w:pPr>
      <w:pStyle w:val="Encabezado"/>
    </w:pPr>
  </w:p>
  <w:p w14:paraId="5598FB3C" w14:textId="77777777" w:rsidR="00954F8C" w:rsidRDefault="00954F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D9E6E3F"/>
    <w:multiLevelType w:val="hybridMultilevel"/>
    <w:tmpl w:val="854EA874"/>
    <w:lvl w:ilvl="0" w:tplc="1AD6EBD2">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49"/>
    <w:rsid w:val="00004DE5"/>
    <w:rsid w:val="00015455"/>
    <w:rsid w:val="00033F25"/>
    <w:rsid w:val="000370F9"/>
    <w:rsid w:val="00037732"/>
    <w:rsid w:val="00044C69"/>
    <w:rsid w:val="00053391"/>
    <w:rsid w:val="0005737F"/>
    <w:rsid w:val="000616D8"/>
    <w:rsid w:val="0006474B"/>
    <w:rsid w:val="00071B1B"/>
    <w:rsid w:val="000728FB"/>
    <w:rsid w:val="0007303B"/>
    <w:rsid w:val="0009134B"/>
    <w:rsid w:val="00091A12"/>
    <w:rsid w:val="000A4AA3"/>
    <w:rsid w:val="000B0F85"/>
    <w:rsid w:val="000B441F"/>
    <w:rsid w:val="000B547D"/>
    <w:rsid w:val="000B7BEF"/>
    <w:rsid w:val="000C4A36"/>
    <w:rsid w:val="000D4C8E"/>
    <w:rsid w:val="000D769C"/>
    <w:rsid w:val="000E021D"/>
    <w:rsid w:val="000E5921"/>
    <w:rsid w:val="000F63AB"/>
    <w:rsid w:val="00100C76"/>
    <w:rsid w:val="0012166C"/>
    <w:rsid w:val="00121C0F"/>
    <w:rsid w:val="00124EA4"/>
    <w:rsid w:val="00125FC6"/>
    <w:rsid w:val="001266B5"/>
    <w:rsid w:val="00136DC1"/>
    <w:rsid w:val="00146445"/>
    <w:rsid w:val="001472EF"/>
    <w:rsid w:val="001501A7"/>
    <w:rsid w:val="001503B0"/>
    <w:rsid w:val="00160B74"/>
    <w:rsid w:val="001656C7"/>
    <w:rsid w:val="00165891"/>
    <w:rsid w:val="001705BE"/>
    <w:rsid w:val="001773D1"/>
    <w:rsid w:val="00177B80"/>
    <w:rsid w:val="00180388"/>
    <w:rsid w:val="00182BA9"/>
    <w:rsid w:val="00191069"/>
    <w:rsid w:val="0019127F"/>
    <w:rsid w:val="001938FC"/>
    <w:rsid w:val="00194026"/>
    <w:rsid w:val="00196393"/>
    <w:rsid w:val="0019663C"/>
    <w:rsid w:val="001A6379"/>
    <w:rsid w:val="001A7129"/>
    <w:rsid w:val="001B0652"/>
    <w:rsid w:val="001C3166"/>
    <w:rsid w:val="001C5BF6"/>
    <w:rsid w:val="001D2849"/>
    <w:rsid w:val="001E4B5D"/>
    <w:rsid w:val="001E6B05"/>
    <w:rsid w:val="001F7736"/>
    <w:rsid w:val="002060D3"/>
    <w:rsid w:val="002074D6"/>
    <w:rsid w:val="00211DED"/>
    <w:rsid w:val="0021667C"/>
    <w:rsid w:val="00233094"/>
    <w:rsid w:val="00243035"/>
    <w:rsid w:val="00245D97"/>
    <w:rsid w:val="002602E3"/>
    <w:rsid w:val="002675F1"/>
    <w:rsid w:val="002770D6"/>
    <w:rsid w:val="00285A24"/>
    <w:rsid w:val="0028752A"/>
    <w:rsid w:val="00296BB4"/>
    <w:rsid w:val="002B0DF6"/>
    <w:rsid w:val="002B1F02"/>
    <w:rsid w:val="002B4A86"/>
    <w:rsid w:val="002C1E47"/>
    <w:rsid w:val="002D108B"/>
    <w:rsid w:val="002E2785"/>
    <w:rsid w:val="002F01E8"/>
    <w:rsid w:val="002F1FF8"/>
    <w:rsid w:val="002F7D10"/>
    <w:rsid w:val="00300394"/>
    <w:rsid w:val="00300997"/>
    <w:rsid w:val="00307AB1"/>
    <w:rsid w:val="00321E1E"/>
    <w:rsid w:val="0033071B"/>
    <w:rsid w:val="00330772"/>
    <w:rsid w:val="00335C02"/>
    <w:rsid w:val="00347F5E"/>
    <w:rsid w:val="00362F15"/>
    <w:rsid w:val="00363F89"/>
    <w:rsid w:val="00367868"/>
    <w:rsid w:val="0037606E"/>
    <w:rsid w:val="00380ABA"/>
    <w:rsid w:val="00384310"/>
    <w:rsid w:val="003873A2"/>
    <w:rsid w:val="00392832"/>
    <w:rsid w:val="003A129A"/>
    <w:rsid w:val="003A52C0"/>
    <w:rsid w:val="003B346B"/>
    <w:rsid w:val="003B776C"/>
    <w:rsid w:val="003C07B0"/>
    <w:rsid w:val="003C38F9"/>
    <w:rsid w:val="003C590F"/>
    <w:rsid w:val="003C63A2"/>
    <w:rsid w:val="003E1B8F"/>
    <w:rsid w:val="003E2348"/>
    <w:rsid w:val="003E27DE"/>
    <w:rsid w:val="003F3821"/>
    <w:rsid w:val="00407A69"/>
    <w:rsid w:val="00407BC5"/>
    <w:rsid w:val="00411076"/>
    <w:rsid w:val="004136CC"/>
    <w:rsid w:val="00414489"/>
    <w:rsid w:val="004161C3"/>
    <w:rsid w:val="00446B27"/>
    <w:rsid w:val="00446F1D"/>
    <w:rsid w:val="00451EF6"/>
    <w:rsid w:val="00457886"/>
    <w:rsid w:val="004618C7"/>
    <w:rsid w:val="004722E6"/>
    <w:rsid w:val="00474597"/>
    <w:rsid w:val="00480574"/>
    <w:rsid w:val="004878F9"/>
    <w:rsid w:val="004A0214"/>
    <w:rsid w:val="004B3162"/>
    <w:rsid w:val="004B3DF2"/>
    <w:rsid w:val="004C38BB"/>
    <w:rsid w:val="004C7ABE"/>
    <w:rsid w:val="004D0071"/>
    <w:rsid w:val="004D030C"/>
    <w:rsid w:val="004F1D41"/>
    <w:rsid w:val="004F23DF"/>
    <w:rsid w:val="004F2553"/>
    <w:rsid w:val="004F3F1D"/>
    <w:rsid w:val="004F7335"/>
    <w:rsid w:val="005002B4"/>
    <w:rsid w:val="0050142D"/>
    <w:rsid w:val="0050749B"/>
    <w:rsid w:val="00512D56"/>
    <w:rsid w:val="005159D4"/>
    <w:rsid w:val="00516E2B"/>
    <w:rsid w:val="0052276C"/>
    <w:rsid w:val="005316F8"/>
    <w:rsid w:val="00532612"/>
    <w:rsid w:val="00537CA0"/>
    <w:rsid w:val="00542CE7"/>
    <w:rsid w:val="005452E6"/>
    <w:rsid w:val="00551334"/>
    <w:rsid w:val="0055149D"/>
    <w:rsid w:val="005548E1"/>
    <w:rsid w:val="00563DA0"/>
    <w:rsid w:val="005677D7"/>
    <w:rsid w:val="00582592"/>
    <w:rsid w:val="00582789"/>
    <w:rsid w:val="00585A49"/>
    <w:rsid w:val="0058635C"/>
    <w:rsid w:val="00587ACD"/>
    <w:rsid w:val="00587D51"/>
    <w:rsid w:val="00592898"/>
    <w:rsid w:val="00592B9A"/>
    <w:rsid w:val="00593B97"/>
    <w:rsid w:val="00597A9F"/>
    <w:rsid w:val="005A14CE"/>
    <w:rsid w:val="005A34D1"/>
    <w:rsid w:val="005A46E5"/>
    <w:rsid w:val="005B5061"/>
    <w:rsid w:val="005B5638"/>
    <w:rsid w:val="005C0456"/>
    <w:rsid w:val="005C55FF"/>
    <w:rsid w:val="005C6C32"/>
    <w:rsid w:val="005D6DA9"/>
    <w:rsid w:val="005E1932"/>
    <w:rsid w:val="005E5C68"/>
    <w:rsid w:val="005F7629"/>
    <w:rsid w:val="00601874"/>
    <w:rsid w:val="0060296D"/>
    <w:rsid w:val="00605E11"/>
    <w:rsid w:val="00612B5E"/>
    <w:rsid w:val="006131C6"/>
    <w:rsid w:val="00621B03"/>
    <w:rsid w:val="00624E27"/>
    <w:rsid w:val="00630FF0"/>
    <w:rsid w:val="00635B7E"/>
    <w:rsid w:val="00636E18"/>
    <w:rsid w:val="006373CE"/>
    <w:rsid w:val="0064121F"/>
    <w:rsid w:val="0065413F"/>
    <w:rsid w:val="00664A8E"/>
    <w:rsid w:val="006667EB"/>
    <w:rsid w:val="006756AF"/>
    <w:rsid w:val="006873EB"/>
    <w:rsid w:val="006905EE"/>
    <w:rsid w:val="00694830"/>
    <w:rsid w:val="00696340"/>
    <w:rsid w:val="006B1B98"/>
    <w:rsid w:val="006B4181"/>
    <w:rsid w:val="006C0417"/>
    <w:rsid w:val="006C0860"/>
    <w:rsid w:val="006C5402"/>
    <w:rsid w:val="006D113D"/>
    <w:rsid w:val="006D4471"/>
    <w:rsid w:val="006F48B2"/>
    <w:rsid w:val="006F4AF3"/>
    <w:rsid w:val="0070352D"/>
    <w:rsid w:val="00704140"/>
    <w:rsid w:val="007203B0"/>
    <w:rsid w:val="00724564"/>
    <w:rsid w:val="007277D9"/>
    <w:rsid w:val="00734DB8"/>
    <w:rsid w:val="007357C9"/>
    <w:rsid w:val="00735909"/>
    <w:rsid w:val="007373CD"/>
    <w:rsid w:val="00750926"/>
    <w:rsid w:val="00752F11"/>
    <w:rsid w:val="007730BB"/>
    <w:rsid w:val="00781902"/>
    <w:rsid w:val="00783633"/>
    <w:rsid w:val="007945AB"/>
    <w:rsid w:val="00796D6C"/>
    <w:rsid w:val="007A17A3"/>
    <w:rsid w:val="007A3CBC"/>
    <w:rsid w:val="007C2875"/>
    <w:rsid w:val="007D0035"/>
    <w:rsid w:val="007D021F"/>
    <w:rsid w:val="007D3788"/>
    <w:rsid w:val="007F4ECF"/>
    <w:rsid w:val="007F6628"/>
    <w:rsid w:val="007F6BAE"/>
    <w:rsid w:val="00802865"/>
    <w:rsid w:val="00807531"/>
    <w:rsid w:val="008173F3"/>
    <w:rsid w:val="00823A9C"/>
    <w:rsid w:val="0083328C"/>
    <w:rsid w:val="0084149A"/>
    <w:rsid w:val="00841EA2"/>
    <w:rsid w:val="0084410B"/>
    <w:rsid w:val="0084413D"/>
    <w:rsid w:val="00845BB0"/>
    <w:rsid w:val="008471A7"/>
    <w:rsid w:val="0085517F"/>
    <w:rsid w:val="00856AD8"/>
    <w:rsid w:val="00872048"/>
    <w:rsid w:val="0088102B"/>
    <w:rsid w:val="00881FC0"/>
    <w:rsid w:val="00882875"/>
    <w:rsid w:val="00885EE6"/>
    <w:rsid w:val="00890104"/>
    <w:rsid w:val="00890445"/>
    <w:rsid w:val="0089300B"/>
    <w:rsid w:val="008A2197"/>
    <w:rsid w:val="008A2ACD"/>
    <w:rsid w:val="008A2D58"/>
    <w:rsid w:val="008A3F4D"/>
    <w:rsid w:val="008A51B3"/>
    <w:rsid w:val="008A7578"/>
    <w:rsid w:val="008C2764"/>
    <w:rsid w:val="008D19BF"/>
    <w:rsid w:val="008E4BF5"/>
    <w:rsid w:val="008E7471"/>
    <w:rsid w:val="008F43F8"/>
    <w:rsid w:val="008F5D02"/>
    <w:rsid w:val="00900C3B"/>
    <w:rsid w:val="00900C6F"/>
    <w:rsid w:val="0091081B"/>
    <w:rsid w:val="00916892"/>
    <w:rsid w:val="00933617"/>
    <w:rsid w:val="009347D3"/>
    <w:rsid w:val="00934826"/>
    <w:rsid w:val="009368C2"/>
    <w:rsid w:val="00946065"/>
    <w:rsid w:val="00946A46"/>
    <w:rsid w:val="009476DF"/>
    <w:rsid w:val="009502D2"/>
    <w:rsid w:val="0095087A"/>
    <w:rsid w:val="00954F8C"/>
    <w:rsid w:val="00964B6D"/>
    <w:rsid w:val="00970892"/>
    <w:rsid w:val="00983A1E"/>
    <w:rsid w:val="00991B91"/>
    <w:rsid w:val="009939C1"/>
    <w:rsid w:val="00994DD1"/>
    <w:rsid w:val="009A6374"/>
    <w:rsid w:val="009A7A58"/>
    <w:rsid w:val="009B3689"/>
    <w:rsid w:val="009C420F"/>
    <w:rsid w:val="009E0B92"/>
    <w:rsid w:val="009E1F48"/>
    <w:rsid w:val="009E3E5D"/>
    <w:rsid w:val="00A00293"/>
    <w:rsid w:val="00A04518"/>
    <w:rsid w:val="00A05ECA"/>
    <w:rsid w:val="00A07EE0"/>
    <w:rsid w:val="00A268AF"/>
    <w:rsid w:val="00A344FD"/>
    <w:rsid w:val="00A35F84"/>
    <w:rsid w:val="00A45B67"/>
    <w:rsid w:val="00A475F1"/>
    <w:rsid w:val="00A47722"/>
    <w:rsid w:val="00A717FB"/>
    <w:rsid w:val="00A746E2"/>
    <w:rsid w:val="00A85C2E"/>
    <w:rsid w:val="00A86353"/>
    <w:rsid w:val="00A911B7"/>
    <w:rsid w:val="00A9450C"/>
    <w:rsid w:val="00A945D6"/>
    <w:rsid w:val="00AA7407"/>
    <w:rsid w:val="00AB1F41"/>
    <w:rsid w:val="00AB237A"/>
    <w:rsid w:val="00AB27A0"/>
    <w:rsid w:val="00AB600B"/>
    <w:rsid w:val="00AC766D"/>
    <w:rsid w:val="00AD013B"/>
    <w:rsid w:val="00AD3A1F"/>
    <w:rsid w:val="00AD76C2"/>
    <w:rsid w:val="00AE6499"/>
    <w:rsid w:val="00AE6C0D"/>
    <w:rsid w:val="00AE7536"/>
    <w:rsid w:val="00AF3EFF"/>
    <w:rsid w:val="00AF463F"/>
    <w:rsid w:val="00B012AF"/>
    <w:rsid w:val="00B07755"/>
    <w:rsid w:val="00B10B74"/>
    <w:rsid w:val="00B47E04"/>
    <w:rsid w:val="00B5097E"/>
    <w:rsid w:val="00B53EB5"/>
    <w:rsid w:val="00B60BE5"/>
    <w:rsid w:val="00B66D06"/>
    <w:rsid w:val="00B7281B"/>
    <w:rsid w:val="00B7768F"/>
    <w:rsid w:val="00B8210F"/>
    <w:rsid w:val="00B877F9"/>
    <w:rsid w:val="00B93B80"/>
    <w:rsid w:val="00B95D63"/>
    <w:rsid w:val="00BB6656"/>
    <w:rsid w:val="00BC065A"/>
    <w:rsid w:val="00BC0765"/>
    <w:rsid w:val="00BD5563"/>
    <w:rsid w:val="00BD794B"/>
    <w:rsid w:val="00BD7E10"/>
    <w:rsid w:val="00BE34D6"/>
    <w:rsid w:val="00BE5E42"/>
    <w:rsid w:val="00BF1B08"/>
    <w:rsid w:val="00BF77B6"/>
    <w:rsid w:val="00C04773"/>
    <w:rsid w:val="00C124CA"/>
    <w:rsid w:val="00C12552"/>
    <w:rsid w:val="00C1265D"/>
    <w:rsid w:val="00C14AA3"/>
    <w:rsid w:val="00C17D08"/>
    <w:rsid w:val="00C209D8"/>
    <w:rsid w:val="00C21140"/>
    <w:rsid w:val="00C26E81"/>
    <w:rsid w:val="00C33805"/>
    <w:rsid w:val="00C3565D"/>
    <w:rsid w:val="00C435BB"/>
    <w:rsid w:val="00C45F93"/>
    <w:rsid w:val="00C56AB3"/>
    <w:rsid w:val="00C57539"/>
    <w:rsid w:val="00C60D8D"/>
    <w:rsid w:val="00C75174"/>
    <w:rsid w:val="00C771DD"/>
    <w:rsid w:val="00C81800"/>
    <w:rsid w:val="00C83656"/>
    <w:rsid w:val="00C84FE1"/>
    <w:rsid w:val="00C968C2"/>
    <w:rsid w:val="00C97EC6"/>
    <w:rsid w:val="00CB62F6"/>
    <w:rsid w:val="00CB62FC"/>
    <w:rsid w:val="00CC33C5"/>
    <w:rsid w:val="00CD2ADD"/>
    <w:rsid w:val="00CD3606"/>
    <w:rsid w:val="00CE0AE3"/>
    <w:rsid w:val="00CF3480"/>
    <w:rsid w:val="00CF416E"/>
    <w:rsid w:val="00CF7A57"/>
    <w:rsid w:val="00D031F0"/>
    <w:rsid w:val="00D128CC"/>
    <w:rsid w:val="00D16A0A"/>
    <w:rsid w:val="00D16D0A"/>
    <w:rsid w:val="00D2344A"/>
    <w:rsid w:val="00D264A2"/>
    <w:rsid w:val="00D27370"/>
    <w:rsid w:val="00D35B7C"/>
    <w:rsid w:val="00D373F8"/>
    <w:rsid w:val="00D530AE"/>
    <w:rsid w:val="00D5411F"/>
    <w:rsid w:val="00D61A3C"/>
    <w:rsid w:val="00D65B15"/>
    <w:rsid w:val="00D66D16"/>
    <w:rsid w:val="00D67AAC"/>
    <w:rsid w:val="00D700AB"/>
    <w:rsid w:val="00D76891"/>
    <w:rsid w:val="00D83687"/>
    <w:rsid w:val="00D83E59"/>
    <w:rsid w:val="00D84CD9"/>
    <w:rsid w:val="00D9082F"/>
    <w:rsid w:val="00D916F1"/>
    <w:rsid w:val="00D92272"/>
    <w:rsid w:val="00DA1E01"/>
    <w:rsid w:val="00DA4B0F"/>
    <w:rsid w:val="00DA6755"/>
    <w:rsid w:val="00DA68C6"/>
    <w:rsid w:val="00DA70DE"/>
    <w:rsid w:val="00DB128B"/>
    <w:rsid w:val="00DB50EC"/>
    <w:rsid w:val="00DC4BC3"/>
    <w:rsid w:val="00DC7CD3"/>
    <w:rsid w:val="00DE3AFB"/>
    <w:rsid w:val="00DE76B5"/>
    <w:rsid w:val="00DF391F"/>
    <w:rsid w:val="00E04C2F"/>
    <w:rsid w:val="00E077BC"/>
    <w:rsid w:val="00E15514"/>
    <w:rsid w:val="00E1780E"/>
    <w:rsid w:val="00E3081D"/>
    <w:rsid w:val="00E46193"/>
    <w:rsid w:val="00E50133"/>
    <w:rsid w:val="00E57187"/>
    <w:rsid w:val="00E708BE"/>
    <w:rsid w:val="00E72F07"/>
    <w:rsid w:val="00E77FDE"/>
    <w:rsid w:val="00E803F0"/>
    <w:rsid w:val="00E80657"/>
    <w:rsid w:val="00E82F9C"/>
    <w:rsid w:val="00E85058"/>
    <w:rsid w:val="00E85064"/>
    <w:rsid w:val="00E85B8D"/>
    <w:rsid w:val="00E93BAA"/>
    <w:rsid w:val="00E949AA"/>
    <w:rsid w:val="00EA0120"/>
    <w:rsid w:val="00EA1343"/>
    <w:rsid w:val="00EB0513"/>
    <w:rsid w:val="00EB5DC0"/>
    <w:rsid w:val="00ED01BC"/>
    <w:rsid w:val="00ED396F"/>
    <w:rsid w:val="00EE7044"/>
    <w:rsid w:val="00EF5067"/>
    <w:rsid w:val="00F04ADA"/>
    <w:rsid w:val="00F11E27"/>
    <w:rsid w:val="00F12C4E"/>
    <w:rsid w:val="00F225ED"/>
    <w:rsid w:val="00F260E3"/>
    <w:rsid w:val="00F308FF"/>
    <w:rsid w:val="00F326F0"/>
    <w:rsid w:val="00F4030F"/>
    <w:rsid w:val="00F67A56"/>
    <w:rsid w:val="00F70894"/>
    <w:rsid w:val="00F71D0F"/>
    <w:rsid w:val="00F80A04"/>
    <w:rsid w:val="00F91A6D"/>
    <w:rsid w:val="00F96754"/>
    <w:rsid w:val="00FA202F"/>
    <w:rsid w:val="00FA4E35"/>
    <w:rsid w:val="00FA5A4C"/>
    <w:rsid w:val="00FB20D3"/>
    <w:rsid w:val="00FB2D6D"/>
    <w:rsid w:val="00FB3F7E"/>
    <w:rsid w:val="00FC1AC0"/>
    <w:rsid w:val="00FC3AD8"/>
    <w:rsid w:val="00FC43B2"/>
    <w:rsid w:val="00FC4EEC"/>
    <w:rsid w:val="00FD3378"/>
    <w:rsid w:val="00FF04AC"/>
    <w:rsid w:val="00FF76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263B"/>
  <w15:chartTrackingRefBased/>
  <w15:docId w15:val="{CDA9E061-EAA7-4AD2-B742-B710E7E0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F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85A49"/>
    <w:pPr>
      <w:tabs>
        <w:tab w:val="center" w:pos="4419"/>
        <w:tab w:val="right" w:pos="8838"/>
      </w:tabs>
    </w:pPr>
  </w:style>
  <w:style w:type="character" w:customStyle="1" w:styleId="PiedepginaCar">
    <w:name w:val="Pie de página Car"/>
    <w:basedOn w:val="Fuentedeprrafopredeter"/>
    <w:link w:val="Piedepgina"/>
    <w:uiPriority w:val="99"/>
    <w:rsid w:val="00585A49"/>
    <w:rPr>
      <w:sz w:val="24"/>
      <w:lang w:val="es-MX"/>
    </w:rPr>
  </w:style>
  <w:style w:type="paragraph" w:styleId="Encabezado">
    <w:name w:val="header"/>
    <w:basedOn w:val="Normal"/>
    <w:link w:val="EncabezadoCar"/>
    <w:uiPriority w:val="99"/>
    <w:unhideWhenUsed/>
    <w:rsid w:val="00585A49"/>
    <w:pPr>
      <w:tabs>
        <w:tab w:val="center" w:pos="4252"/>
        <w:tab w:val="right" w:pos="8504"/>
      </w:tabs>
    </w:pPr>
  </w:style>
  <w:style w:type="character" w:customStyle="1" w:styleId="EncabezadoCar">
    <w:name w:val="Encabezado Car"/>
    <w:basedOn w:val="Fuentedeprrafopredeter"/>
    <w:link w:val="Encabezado"/>
    <w:uiPriority w:val="99"/>
    <w:rsid w:val="00585A49"/>
    <w:rPr>
      <w:sz w:val="24"/>
      <w:lang w:val="es-MX"/>
    </w:rPr>
  </w:style>
  <w:style w:type="table" w:styleId="Tablaconcuadrcula">
    <w:name w:val="Table Grid"/>
    <w:basedOn w:val="Tablanormal"/>
    <w:uiPriority w:val="59"/>
    <w:rsid w:val="00585A4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85A49"/>
    <w:pPr>
      <w:ind w:left="720"/>
      <w:contextualSpacing/>
    </w:pPr>
  </w:style>
  <w:style w:type="paragraph" w:styleId="Sinespaciado">
    <w:name w:val="No Spacing"/>
    <w:uiPriority w:val="1"/>
    <w:qFormat/>
    <w:rsid w:val="00585A4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85A4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85A49"/>
    <w:rPr>
      <w:sz w:val="20"/>
      <w:szCs w:val="20"/>
    </w:rPr>
  </w:style>
  <w:style w:type="character" w:customStyle="1" w:styleId="TextonotapieCar1">
    <w:name w:val="Texto nota pie Car1"/>
    <w:basedOn w:val="Fuentedeprrafopredeter"/>
    <w:uiPriority w:val="99"/>
    <w:semiHidden/>
    <w:rsid w:val="00585A49"/>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85A49"/>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585A49"/>
    <w:rPr>
      <w:vertAlign w:val="superscript"/>
    </w:rPr>
  </w:style>
  <w:style w:type="paragraph" w:customStyle="1" w:styleId="Appelnotedebasde">
    <w:name w:val="Appel note de bas de..."/>
    <w:basedOn w:val="Normal"/>
    <w:link w:val="Refdenotaalpie"/>
    <w:uiPriority w:val="99"/>
    <w:rsid w:val="00585A49"/>
    <w:pPr>
      <w:spacing w:after="160" w:line="240" w:lineRule="exact"/>
    </w:pPr>
    <w:rPr>
      <w:sz w:val="22"/>
      <w:vertAlign w:val="superscript"/>
      <w:lang w:val="es-ES"/>
    </w:rPr>
  </w:style>
  <w:style w:type="character" w:customStyle="1" w:styleId="normaltextrun">
    <w:name w:val="normaltextrun"/>
    <w:basedOn w:val="Fuentedeprrafopredeter"/>
    <w:rsid w:val="00585A49"/>
  </w:style>
  <w:style w:type="paragraph" w:styleId="Textodeglobo">
    <w:name w:val="Balloon Text"/>
    <w:basedOn w:val="Normal"/>
    <w:link w:val="TextodegloboCar"/>
    <w:uiPriority w:val="99"/>
    <w:semiHidden/>
    <w:unhideWhenUsed/>
    <w:rsid w:val="006948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830"/>
    <w:rPr>
      <w:rFonts w:ascii="Segoe UI" w:hAnsi="Segoe UI" w:cs="Segoe UI"/>
      <w:sz w:val="18"/>
      <w:szCs w:val="18"/>
      <w:lang w:val="es-MX"/>
    </w:rPr>
  </w:style>
  <w:style w:type="character" w:styleId="Refdecomentario">
    <w:name w:val="annotation reference"/>
    <w:basedOn w:val="Fuentedeprrafopredeter"/>
    <w:uiPriority w:val="99"/>
    <w:semiHidden/>
    <w:unhideWhenUsed/>
    <w:rsid w:val="00694830"/>
    <w:rPr>
      <w:sz w:val="16"/>
      <w:szCs w:val="16"/>
    </w:rPr>
  </w:style>
  <w:style w:type="paragraph" w:styleId="Textocomentario">
    <w:name w:val="annotation text"/>
    <w:basedOn w:val="Normal"/>
    <w:link w:val="TextocomentarioCar"/>
    <w:uiPriority w:val="99"/>
    <w:unhideWhenUsed/>
    <w:rsid w:val="00694830"/>
    <w:rPr>
      <w:sz w:val="20"/>
      <w:szCs w:val="20"/>
    </w:rPr>
  </w:style>
  <w:style w:type="character" w:customStyle="1" w:styleId="TextocomentarioCar">
    <w:name w:val="Texto comentario Car"/>
    <w:basedOn w:val="Fuentedeprrafopredeter"/>
    <w:link w:val="Textocomentario"/>
    <w:uiPriority w:val="99"/>
    <w:rsid w:val="0069483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94830"/>
    <w:rPr>
      <w:b/>
      <w:bCs/>
    </w:rPr>
  </w:style>
  <w:style w:type="character" w:customStyle="1" w:styleId="AsuntodelcomentarioCar">
    <w:name w:val="Asunto del comentario Car"/>
    <w:basedOn w:val="TextocomentarioCar"/>
    <w:link w:val="Asuntodelcomentario"/>
    <w:uiPriority w:val="99"/>
    <w:semiHidden/>
    <w:rsid w:val="00694830"/>
    <w:rPr>
      <w:b/>
      <w:bCs/>
      <w:sz w:val="20"/>
      <w:szCs w:val="20"/>
      <w:lang w:val="es-MX"/>
    </w:rPr>
  </w:style>
  <w:style w:type="character" w:customStyle="1" w:styleId="eop">
    <w:name w:val="eop"/>
    <w:basedOn w:val="Fuentedeprrafopredeter"/>
    <w:rsid w:val="003C07B0"/>
  </w:style>
  <w:style w:type="table" w:customStyle="1" w:styleId="Tablaconcuadrcula1">
    <w:name w:val="Tabla con cuadrícula1"/>
    <w:basedOn w:val="Tablanormal"/>
    <w:next w:val="Tablaconcuadrcula"/>
    <w:uiPriority w:val="39"/>
    <w:rsid w:val="0023309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
    <w:name w:val="Car1"/>
    <w:basedOn w:val="Normal"/>
    <w:next w:val="Textonotapie"/>
    <w:uiPriority w:val="99"/>
    <w:unhideWhenUsed/>
    <w:qFormat/>
    <w:rsid w:val="00233094"/>
    <w:rPr>
      <w:sz w:val="20"/>
      <w:szCs w:val="20"/>
    </w:rPr>
  </w:style>
  <w:style w:type="paragraph" w:styleId="Revisin">
    <w:name w:val="Revision"/>
    <w:hidden/>
    <w:uiPriority w:val="99"/>
    <w:semiHidden/>
    <w:rsid w:val="00C26E81"/>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48993">
      <w:bodyDiv w:val="1"/>
      <w:marLeft w:val="0"/>
      <w:marRight w:val="0"/>
      <w:marTop w:val="0"/>
      <w:marBottom w:val="0"/>
      <w:divBdr>
        <w:top w:val="none" w:sz="0" w:space="0" w:color="auto"/>
        <w:left w:val="none" w:sz="0" w:space="0" w:color="auto"/>
        <w:bottom w:val="none" w:sz="0" w:space="0" w:color="auto"/>
        <w:right w:val="none" w:sz="0" w:space="0" w:color="auto"/>
      </w:divBdr>
    </w:div>
    <w:div w:id="455023006">
      <w:bodyDiv w:val="1"/>
      <w:marLeft w:val="0"/>
      <w:marRight w:val="0"/>
      <w:marTop w:val="0"/>
      <w:marBottom w:val="0"/>
      <w:divBdr>
        <w:top w:val="none" w:sz="0" w:space="0" w:color="auto"/>
        <w:left w:val="none" w:sz="0" w:space="0" w:color="auto"/>
        <w:bottom w:val="none" w:sz="0" w:space="0" w:color="auto"/>
        <w:right w:val="none" w:sz="0" w:space="0" w:color="auto"/>
      </w:divBdr>
    </w:div>
    <w:div w:id="908342264">
      <w:bodyDiv w:val="1"/>
      <w:marLeft w:val="0"/>
      <w:marRight w:val="0"/>
      <w:marTop w:val="0"/>
      <w:marBottom w:val="0"/>
      <w:divBdr>
        <w:top w:val="none" w:sz="0" w:space="0" w:color="auto"/>
        <w:left w:val="none" w:sz="0" w:space="0" w:color="auto"/>
        <w:bottom w:val="none" w:sz="0" w:space="0" w:color="auto"/>
        <w:right w:val="none" w:sz="0" w:space="0" w:color="auto"/>
      </w:divBdr>
    </w:div>
    <w:div w:id="985666457">
      <w:bodyDiv w:val="1"/>
      <w:marLeft w:val="0"/>
      <w:marRight w:val="0"/>
      <w:marTop w:val="0"/>
      <w:marBottom w:val="0"/>
      <w:divBdr>
        <w:top w:val="none" w:sz="0" w:space="0" w:color="auto"/>
        <w:left w:val="none" w:sz="0" w:space="0" w:color="auto"/>
        <w:bottom w:val="none" w:sz="0" w:space="0" w:color="auto"/>
        <w:right w:val="none" w:sz="0" w:space="0" w:color="auto"/>
      </w:divBdr>
    </w:div>
    <w:div w:id="1220943927">
      <w:bodyDiv w:val="1"/>
      <w:marLeft w:val="0"/>
      <w:marRight w:val="0"/>
      <w:marTop w:val="0"/>
      <w:marBottom w:val="0"/>
      <w:divBdr>
        <w:top w:val="none" w:sz="0" w:space="0" w:color="auto"/>
        <w:left w:val="none" w:sz="0" w:space="0" w:color="auto"/>
        <w:bottom w:val="none" w:sz="0" w:space="0" w:color="auto"/>
        <w:right w:val="none" w:sz="0" w:space="0" w:color="auto"/>
      </w:divBdr>
    </w:div>
    <w:div w:id="1244533645">
      <w:bodyDiv w:val="1"/>
      <w:marLeft w:val="0"/>
      <w:marRight w:val="0"/>
      <w:marTop w:val="0"/>
      <w:marBottom w:val="0"/>
      <w:divBdr>
        <w:top w:val="none" w:sz="0" w:space="0" w:color="auto"/>
        <w:left w:val="none" w:sz="0" w:space="0" w:color="auto"/>
        <w:bottom w:val="none" w:sz="0" w:space="0" w:color="auto"/>
        <w:right w:val="none" w:sz="0" w:space="0" w:color="auto"/>
      </w:divBdr>
    </w:div>
    <w:div w:id="1341353621">
      <w:bodyDiv w:val="1"/>
      <w:marLeft w:val="0"/>
      <w:marRight w:val="0"/>
      <w:marTop w:val="0"/>
      <w:marBottom w:val="0"/>
      <w:divBdr>
        <w:top w:val="none" w:sz="0" w:space="0" w:color="auto"/>
        <w:left w:val="none" w:sz="0" w:space="0" w:color="auto"/>
        <w:bottom w:val="none" w:sz="0" w:space="0" w:color="auto"/>
        <w:right w:val="none" w:sz="0" w:space="0" w:color="auto"/>
      </w:divBdr>
    </w:div>
    <w:div w:id="1368800575">
      <w:bodyDiv w:val="1"/>
      <w:marLeft w:val="0"/>
      <w:marRight w:val="0"/>
      <w:marTop w:val="0"/>
      <w:marBottom w:val="0"/>
      <w:divBdr>
        <w:top w:val="none" w:sz="0" w:space="0" w:color="auto"/>
        <w:left w:val="none" w:sz="0" w:space="0" w:color="auto"/>
        <w:bottom w:val="none" w:sz="0" w:space="0" w:color="auto"/>
        <w:right w:val="none" w:sz="0" w:space="0" w:color="auto"/>
      </w:divBdr>
    </w:div>
    <w:div w:id="1453013080">
      <w:bodyDiv w:val="1"/>
      <w:marLeft w:val="0"/>
      <w:marRight w:val="0"/>
      <w:marTop w:val="0"/>
      <w:marBottom w:val="0"/>
      <w:divBdr>
        <w:top w:val="none" w:sz="0" w:space="0" w:color="auto"/>
        <w:left w:val="none" w:sz="0" w:space="0" w:color="auto"/>
        <w:bottom w:val="none" w:sz="0" w:space="0" w:color="auto"/>
        <w:right w:val="none" w:sz="0" w:space="0" w:color="auto"/>
      </w:divBdr>
    </w:div>
    <w:div w:id="1849907399">
      <w:bodyDiv w:val="1"/>
      <w:marLeft w:val="0"/>
      <w:marRight w:val="0"/>
      <w:marTop w:val="0"/>
      <w:marBottom w:val="0"/>
      <w:divBdr>
        <w:top w:val="none" w:sz="0" w:space="0" w:color="auto"/>
        <w:left w:val="none" w:sz="0" w:space="0" w:color="auto"/>
        <w:bottom w:val="none" w:sz="0" w:space="0" w:color="auto"/>
        <w:right w:val="none" w:sz="0" w:space="0" w:color="auto"/>
      </w:divBdr>
    </w:div>
    <w:div w:id="21370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ABE4D61-133D-4C00-8BFA-E3E0CA1CDB01}">
  <ds:schemaRefs>
    <ds:schemaRef ds:uri="http://schemas.openxmlformats.org/officeDocument/2006/bibliography"/>
  </ds:schemaRefs>
</ds:datastoreItem>
</file>

<file path=customXml/itemProps2.xml><?xml version="1.0" encoding="utf-8"?>
<ds:datastoreItem xmlns:ds="http://schemas.openxmlformats.org/officeDocument/2006/customXml" ds:itemID="{8DF72CD7-990E-49A7-B467-B14722AB8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D64F0-05B5-49D0-8ADD-DE2FC2DE2CB4}">
  <ds:schemaRefs>
    <ds:schemaRef ds:uri="http://schemas.microsoft.com/sharepoint/v3/contenttype/forms"/>
  </ds:schemaRefs>
</ds:datastoreItem>
</file>

<file path=customXml/itemProps4.xml><?xml version="1.0" encoding="utf-8"?>
<ds:datastoreItem xmlns:ds="http://schemas.openxmlformats.org/officeDocument/2006/customXml" ds:itemID="{1854E785-AA95-4D3B-9492-3CAEE6FBCC4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4772</Words>
  <Characters>26250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Montoya Penagos</dc:creator>
  <cp:keywords/>
  <dc:description/>
  <cp:lastModifiedBy>Felipe Bastidas Paredes</cp:lastModifiedBy>
  <cp:revision>7</cp:revision>
  <dcterms:created xsi:type="dcterms:W3CDTF">2021-11-17T16:50:00Z</dcterms:created>
  <dcterms:modified xsi:type="dcterms:W3CDTF">2021-11-17T19:27:00Z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