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8918A2"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8918A2">
        <w:rPr>
          <w:rFonts w:ascii="Arial" w:hAnsi="Arial" w:cs="Arial"/>
          <w:bCs/>
          <w:color w:val="000000" w:themeColor="text1"/>
          <w:sz w:val="16"/>
          <w:szCs w:val="16"/>
          <w:lang w:val="es-ES_tradnl" w:eastAsia="es-ES"/>
        </w:rPr>
        <w:t>CCE-DES-FM-17</w:t>
      </w:r>
      <w:bookmarkEnd w:id="0"/>
      <w:bookmarkEnd w:id="1"/>
    </w:p>
    <w:p w14:paraId="153DCCCC" w14:textId="77777777" w:rsidR="00DB5767" w:rsidRPr="008918A2" w:rsidRDefault="00DB5767" w:rsidP="00C978D4">
      <w:pPr>
        <w:jc w:val="both"/>
        <w:rPr>
          <w:rFonts w:ascii="Arial" w:hAnsi="Arial" w:cs="Arial"/>
          <w:noProof/>
          <w:color w:val="000000" w:themeColor="text1"/>
          <w:sz w:val="22"/>
          <w:lang w:val="es-ES_tradnl"/>
        </w:rPr>
      </w:pPr>
    </w:p>
    <w:p w14:paraId="0AFBDDEC" w14:textId="77777777" w:rsidR="00C43265" w:rsidRDefault="00C43265" w:rsidP="00C43265">
      <w:pPr>
        <w:jc w:val="both"/>
        <w:rPr>
          <w:rFonts w:ascii="Arial" w:eastAsia="Calibri" w:hAnsi="Arial" w:cs="Arial"/>
          <w:b/>
          <w:color w:val="000000" w:themeColor="text1"/>
          <w:sz w:val="22"/>
        </w:rPr>
      </w:pPr>
      <w:r w:rsidRPr="009816A2">
        <w:rPr>
          <w:rFonts w:ascii="Arial" w:eastAsia="Calibri" w:hAnsi="Arial" w:cs="Arial"/>
          <w:b/>
          <w:color w:val="000000" w:themeColor="text1"/>
          <w:sz w:val="22"/>
        </w:rPr>
        <w:t>CAPACIDAD RESIDUAL</w:t>
      </w:r>
      <w:r>
        <w:rPr>
          <w:rFonts w:ascii="Arial" w:eastAsia="Calibri" w:hAnsi="Arial" w:cs="Arial"/>
          <w:b/>
          <w:color w:val="000000" w:themeColor="text1"/>
          <w:sz w:val="22"/>
        </w:rPr>
        <w:t xml:space="preserve"> </w:t>
      </w:r>
      <w:r w:rsidRPr="009816A2">
        <w:rPr>
          <w:rFonts w:ascii="Arial" w:eastAsia="Calibri" w:hAnsi="Arial" w:cs="Arial"/>
          <w:b/>
          <w:color w:val="000000" w:themeColor="text1"/>
          <w:sz w:val="22"/>
        </w:rPr>
        <w:t>–</w:t>
      </w:r>
      <w:r>
        <w:rPr>
          <w:rFonts w:ascii="Arial" w:eastAsia="Calibri" w:hAnsi="Arial" w:cs="Arial"/>
          <w:b/>
          <w:color w:val="000000" w:themeColor="text1"/>
          <w:sz w:val="22"/>
        </w:rPr>
        <w:t xml:space="preserve"> Ley 1150 de 2007 </w:t>
      </w:r>
      <w:r w:rsidRPr="009816A2">
        <w:rPr>
          <w:rFonts w:ascii="Arial" w:eastAsia="Calibri" w:hAnsi="Arial" w:cs="Arial"/>
          <w:b/>
          <w:color w:val="000000" w:themeColor="text1"/>
          <w:sz w:val="22"/>
        </w:rPr>
        <w:t>–</w:t>
      </w:r>
      <w:r>
        <w:rPr>
          <w:rFonts w:ascii="Arial" w:eastAsia="Calibri" w:hAnsi="Arial" w:cs="Arial"/>
          <w:b/>
          <w:color w:val="000000" w:themeColor="text1"/>
          <w:sz w:val="22"/>
        </w:rPr>
        <w:t xml:space="preserve"> Decreto 1082 de 2015</w:t>
      </w:r>
    </w:p>
    <w:p w14:paraId="7B7D6778" w14:textId="77777777" w:rsidR="00C43265" w:rsidRDefault="00C43265" w:rsidP="00C43265">
      <w:pPr>
        <w:jc w:val="both"/>
        <w:rPr>
          <w:rFonts w:ascii="Arial" w:eastAsia="Calibri" w:hAnsi="Arial" w:cs="Arial"/>
          <w:b/>
          <w:color w:val="000000" w:themeColor="text1"/>
          <w:sz w:val="22"/>
        </w:rPr>
      </w:pPr>
    </w:p>
    <w:p w14:paraId="14F76467" w14:textId="77777777" w:rsidR="00C43265" w:rsidRPr="00076813" w:rsidRDefault="00C43265" w:rsidP="00C43265">
      <w:pPr>
        <w:jc w:val="both"/>
        <w:rPr>
          <w:rFonts w:ascii="Arial" w:eastAsia="Calibri" w:hAnsi="Arial" w:cs="Arial"/>
          <w:bCs/>
          <w:color w:val="000000" w:themeColor="text1"/>
          <w:sz w:val="20"/>
          <w:szCs w:val="20"/>
          <w:lang w:val="es-ES"/>
        </w:rPr>
      </w:pPr>
      <w:r w:rsidRPr="00076813">
        <w:rPr>
          <w:rFonts w:ascii="Arial" w:eastAsia="Calibri" w:hAnsi="Arial" w:cs="Arial"/>
          <w:bCs/>
          <w:color w:val="000000" w:themeColor="text1"/>
          <w:sz w:val="20"/>
          <w:szCs w:val="20"/>
          <w:lang w:val="es-ES"/>
        </w:rPr>
        <w:t>De acuerdo con lo establecido en el artículo 2.2.1.1.1.3.1. del Decreto 1082 de 2015, la capacidad residual es la aptitud de los oferentes para cumplir de manera oportuna y a cabalidad el objeto de un contrato de obra, sin que los demás compromisos contractuales que han adquirido afecten su habilidad para cumplir el objeto del contrato que está en proceso de selección. Por su parte, el Consejo de Estado ha definido la capacidad residual como «la diferencia que existe entre el potencial de contratación que se tiene y los compromisos que haya adquirido y que se encuentren en ejecución, para la fecha de presentación de la oferta».</w:t>
      </w:r>
    </w:p>
    <w:p w14:paraId="71D375FE" w14:textId="77777777" w:rsidR="00C43265" w:rsidRDefault="00C43265" w:rsidP="00C43265">
      <w:pPr>
        <w:jc w:val="both"/>
        <w:rPr>
          <w:rFonts w:ascii="Arial" w:eastAsia="Calibri" w:hAnsi="Arial" w:cs="Arial"/>
          <w:bCs/>
          <w:color w:val="000000" w:themeColor="text1"/>
          <w:sz w:val="20"/>
          <w:szCs w:val="20"/>
          <w:lang w:val="es-ES"/>
        </w:rPr>
      </w:pPr>
    </w:p>
    <w:p w14:paraId="5862826A" w14:textId="77777777" w:rsidR="00C43265" w:rsidRPr="009816A2" w:rsidRDefault="00C43265" w:rsidP="00C43265">
      <w:pPr>
        <w:jc w:val="both"/>
        <w:rPr>
          <w:rFonts w:ascii="Arial" w:eastAsia="Calibri" w:hAnsi="Arial" w:cs="Arial"/>
          <w:bCs/>
          <w:color w:val="000000" w:themeColor="text1"/>
          <w:sz w:val="20"/>
          <w:szCs w:val="20"/>
          <w:lang w:val="es-ES"/>
        </w:rPr>
      </w:pPr>
      <w:r w:rsidRPr="00076813">
        <w:rPr>
          <w:rFonts w:ascii="Arial" w:eastAsia="Calibri" w:hAnsi="Arial" w:cs="Arial"/>
          <w:bCs/>
          <w:color w:val="000000" w:themeColor="text1"/>
          <w:sz w:val="20"/>
          <w:szCs w:val="20"/>
          <w:lang w:val="es-ES"/>
        </w:rPr>
        <w:t>En atención a lo anterior, la capacidad residual hace referencia a la suficiencia que tiene el proponente para asumir nuevas obligaciones que se derivan del contrato objeto del proceso de contratación, en relación con las obligaciones que ya adquirió frente a otros contratos. De esta manera, el artículo 6 de la Ley 1150 de 2007 estableció como condición «para poder participar en los procesos de selección de los contratos de obra, la capacidad residual del proponente o K de contratación»</w:t>
      </w:r>
      <w:r>
        <w:rPr>
          <w:rFonts w:ascii="Arial" w:eastAsia="Calibri" w:hAnsi="Arial" w:cs="Arial"/>
          <w:bCs/>
          <w:color w:val="000000" w:themeColor="text1"/>
          <w:sz w:val="20"/>
          <w:szCs w:val="20"/>
          <w:lang w:val="es-ES"/>
        </w:rPr>
        <w:t xml:space="preserve">. </w:t>
      </w:r>
    </w:p>
    <w:p w14:paraId="56320123" w14:textId="77777777" w:rsidR="00C43265" w:rsidRDefault="00C43265" w:rsidP="00C43265">
      <w:pPr>
        <w:jc w:val="both"/>
        <w:rPr>
          <w:rFonts w:ascii="Arial" w:eastAsia="Calibri" w:hAnsi="Arial" w:cs="Arial"/>
          <w:b/>
          <w:color w:val="000000" w:themeColor="text1"/>
          <w:sz w:val="22"/>
        </w:rPr>
      </w:pPr>
    </w:p>
    <w:p w14:paraId="57627361" w14:textId="77777777" w:rsidR="00C43265" w:rsidRDefault="00C43265" w:rsidP="00C43265">
      <w:pPr>
        <w:jc w:val="both"/>
        <w:rPr>
          <w:rFonts w:ascii="Arial" w:eastAsia="Calibri" w:hAnsi="Arial" w:cs="Arial"/>
          <w:b/>
          <w:color w:val="000000" w:themeColor="text1"/>
          <w:sz w:val="22"/>
        </w:rPr>
      </w:pPr>
      <w:r w:rsidRPr="009816A2">
        <w:rPr>
          <w:rFonts w:ascii="Arial" w:eastAsia="Calibri" w:hAnsi="Arial" w:cs="Arial"/>
          <w:b/>
          <w:color w:val="000000" w:themeColor="text1"/>
          <w:sz w:val="22"/>
        </w:rPr>
        <w:t>CAPACIDAD RESIDUAL</w:t>
      </w:r>
      <w:r>
        <w:rPr>
          <w:rFonts w:ascii="Arial" w:eastAsia="Calibri" w:hAnsi="Arial" w:cs="Arial"/>
          <w:b/>
          <w:color w:val="000000" w:themeColor="text1"/>
          <w:sz w:val="22"/>
        </w:rPr>
        <w:t xml:space="preserve"> </w:t>
      </w:r>
      <w:r w:rsidRPr="009816A2">
        <w:rPr>
          <w:rFonts w:ascii="Arial" w:eastAsia="Calibri" w:hAnsi="Arial" w:cs="Arial"/>
          <w:b/>
          <w:color w:val="000000" w:themeColor="text1"/>
          <w:sz w:val="22"/>
        </w:rPr>
        <w:t>–</w:t>
      </w:r>
      <w:r>
        <w:rPr>
          <w:rFonts w:ascii="Arial" w:eastAsia="Calibri" w:hAnsi="Arial" w:cs="Arial"/>
          <w:b/>
          <w:color w:val="000000" w:themeColor="text1"/>
          <w:sz w:val="22"/>
        </w:rPr>
        <w:t xml:space="preserve"> Capacidad de Organización </w:t>
      </w:r>
      <w:r w:rsidRPr="009816A2">
        <w:rPr>
          <w:rFonts w:ascii="Arial" w:eastAsia="Calibri" w:hAnsi="Arial" w:cs="Arial"/>
          <w:b/>
          <w:color w:val="000000" w:themeColor="text1"/>
          <w:sz w:val="22"/>
        </w:rPr>
        <w:t>–</w:t>
      </w:r>
      <w:r>
        <w:rPr>
          <w:rFonts w:ascii="Arial" w:eastAsia="Calibri" w:hAnsi="Arial" w:cs="Arial"/>
          <w:b/>
          <w:color w:val="000000" w:themeColor="text1"/>
          <w:sz w:val="22"/>
        </w:rPr>
        <w:t xml:space="preserve"> Ley 1150 de 2007 </w:t>
      </w:r>
      <w:r w:rsidRPr="009816A2">
        <w:rPr>
          <w:rFonts w:ascii="Arial" w:eastAsia="Calibri" w:hAnsi="Arial" w:cs="Arial"/>
          <w:b/>
          <w:color w:val="000000" w:themeColor="text1"/>
          <w:sz w:val="22"/>
        </w:rPr>
        <w:t>–</w:t>
      </w:r>
      <w:r>
        <w:rPr>
          <w:rFonts w:ascii="Arial" w:eastAsia="Calibri" w:hAnsi="Arial" w:cs="Arial"/>
          <w:b/>
          <w:color w:val="000000" w:themeColor="text1"/>
          <w:sz w:val="22"/>
        </w:rPr>
        <w:t xml:space="preserve"> Decreto 1082 de 2015</w:t>
      </w:r>
    </w:p>
    <w:p w14:paraId="76F13E01" w14:textId="77777777" w:rsidR="00C43265" w:rsidRPr="00932406" w:rsidRDefault="00C43265" w:rsidP="00C43265">
      <w:pPr>
        <w:jc w:val="both"/>
        <w:rPr>
          <w:rFonts w:ascii="Arial" w:eastAsia="Calibri" w:hAnsi="Arial" w:cs="Arial"/>
          <w:bCs/>
          <w:color w:val="000000" w:themeColor="text1"/>
          <w:sz w:val="20"/>
          <w:szCs w:val="20"/>
          <w:lang w:val="es-ES"/>
        </w:rPr>
      </w:pPr>
    </w:p>
    <w:p w14:paraId="1FE4B08A" w14:textId="77777777" w:rsidR="00C43265" w:rsidRDefault="00C43265" w:rsidP="00C43265">
      <w:pPr>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 xml:space="preserve">[…] </w:t>
      </w:r>
      <w:r w:rsidRPr="00932406">
        <w:rPr>
          <w:rFonts w:ascii="Arial" w:eastAsia="Calibri" w:hAnsi="Arial" w:cs="Arial"/>
          <w:bCs/>
          <w:color w:val="000000" w:themeColor="text1"/>
          <w:sz w:val="20"/>
          <w:szCs w:val="20"/>
          <w:lang w:val="es-ES"/>
        </w:rPr>
        <w:t xml:space="preserve">el artículo 72 de la Ley 1682 de 2013, por la cual se adoptan medidas y disposiciones para los proyectos de infraestructura de transporte, estableció que la capacidad residual del proponente se debe calcular mediante la evaluación de los siguientes factores: Experiencia –E–, Capacidad Financiera –CF–, Capacidad Técnica –CT– y Capacidad de Organización –CO–. </w:t>
      </w:r>
    </w:p>
    <w:p w14:paraId="2355617F" w14:textId="77777777" w:rsidR="00C43265" w:rsidRDefault="00C43265" w:rsidP="00C43265">
      <w:pPr>
        <w:jc w:val="both"/>
        <w:rPr>
          <w:rFonts w:ascii="Arial" w:eastAsia="Calibri" w:hAnsi="Arial" w:cs="Arial"/>
          <w:bCs/>
          <w:color w:val="000000" w:themeColor="text1"/>
          <w:sz w:val="20"/>
          <w:szCs w:val="20"/>
          <w:lang w:val="es-ES"/>
        </w:rPr>
      </w:pPr>
    </w:p>
    <w:p w14:paraId="1D8A03EE" w14:textId="77777777" w:rsidR="00C43265" w:rsidRDefault="00C43265" w:rsidP="00C43265">
      <w:pPr>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w:t>
      </w:r>
    </w:p>
    <w:p w14:paraId="52C57D2E" w14:textId="77777777" w:rsidR="00C43265" w:rsidRPr="00932406" w:rsidRDefault="00C43265" w:rsidP="00C43265">
      <w:pPr>
        <w:jc w:val="both"/>
        <w:rPr>
          <w:rFonts w:ascii="Arial" w:eastAsia="Calibri" w:hAnsi="Arial" w:cs="Arial"/>
          <w:bCs/>
          <w:color w:val="000000" w:themeColor="text1"/>
          <w:sz w:val="20"/>
          <w:szCs w:val="20"/>
          <w:lang w:val="es-ES"/>
        </w:rPr>
      </w:pPr>
    </w:p>
    <w:p w14:paraId="7D601EA1" w14:textId="77777777" w:rsidR="00C43265" w:rsidRPr="00932406" w:rsidRDefault="00C43265" w:rsidP="00C43265">
      <w:pPr>
        <w:jc w:val="both"/>
        <w:rPr>
          <w:rFonts w:ascii="Arial" w:eastAsia="Calibri" w:hAnsi="Arial" w:cs="Arial"/>
          <w:bCs/>
          <w:color w:val="000000" w:themeColor="text1"/>
          <w:sz w:val="20"/>
          <w:szCs w:val="20"/>
          <w:lang w:val="es-ES"/>
        </w:rPr>
      </w:pPr>
      <w:r w:rsidRPr="00932406">
        <w:rPr>
          <w:rFonts w:ascii="Arial" w:eastAsia="Calibri" w:hAnsi="Arial" w:cs="Arial"/>
          <w:bCs/>
          <w:color w:val="000000" w:themeColor="text1"/>
          <w:sz w:val="20"/>
          <w:szCs w:val="20"/>
          <w:lang w:val="es-ES"/>
        </w:rPr>
        <w:t>De esta manera, la capacidad de organización está en función de los ingresos operacionales del proponente. De ahí que tanto el Documento Tipo como el Decreto 1082 de 2015, soliciten el estado de resultados, puesto que mediante este documento se relacionan los ingresos, costos y gastos en los que incurrió el proponente, de tal forma que se puedan evidenciar los ingresos operacionales que ha obtenido en un determinado periodo de tiempo</w:t>
      </w:r>
    </w:p>
    <w:p w14:paraId="6B840D48" w14:textId="77777777" w:rsidR="00C43265" w:rsidRDefault="00C43265" w:rsidP="00C43265">
      <w:pPr>
        <w:jc w:val="both"/>
        <w:rPr>
          <w:rFonts w:ascii="Arial" w:eastAsia="Calibri" w:hAnsi="Arial" w:cs="Arial"/>
          <w:b/>
          <w:color w:val="000000" w:themeColor="text1"/>
          <w:sz w:val="22"/>
        </w:rPr>
      </w:pPr>
    </w:p>
    <w:p w14:paraId="43FE7AAB" w14:textId="77777777" w:rsidR="00C43265" w:rsidRPr="009816A2" w:rsidRDefault="00C43265" w:rsidP="00C43265">
      <w:pPr>
        <w:jc w:val="both"/>
        <w:rPr>
          <w:rFonts w:ascii="Arial" w:eastAsia="Calibri" w:hAnsi="Arial" w:cs="Arial"/>
          <w:b/>
          <w:color w:val="000000" w:themeColor="text1"/>
          <w:sz w:val="22"/>
        </w:rPr>
      </w:pPr>
      <w:r w:rsidRPr="009816A2">
        <w:rPr>
          <w:rFonts w:ascii="Arial" w:eastAsia="Calibri" w:hAnsi="Arial" w:cs="Arial"/>
          <w:b/>
          <w:color w:val="000000" w:themeColor="text1"/>
          <w:sz w:val="22"/>
        </w:rPr>
        <w:t>DOCUMENTOS TIPO</w:t>
      </w:r>
      <w:r w:rsidRPr="009816A2">
        <w:rPr>
          <w:rFonts w:ascii="Arial" w:eastAsia="Calibri" w:hAnsi="Arial" w:cs="Arial"/>
          <w:b/>
          <w:color w:val="000000" w:themeColor="text1"/>
          <w:sz w:val="22"/>
        </w:rPr>
        <w:softHyphen/>
      </w:r>
      <w:r>
        <w:rPr>
          <w:rFonts w:ascii="Arial" w:eastAsia="Calibri" w:hAnsi="Arial" w:cs="Arial"/>
          <w:b/>
          <w:color w:val="000000" w:themeColor="text1"/>
          <w:sz w:val="22"/>
        </w:rPr>
        <w:t xml:space="preserve"> – Versión 3</w:t>
      </w:r>
      <w:r w:rsidRPr="009816A2">
        <w:rPr>
          <w:rFonts w:ascii="Arial" w:eastAsia="Calibri" w:hAnsi="Arial" w:cs="Arial"/>
          <w:b/>
          <w:color w:val="000000" w:themeColor="text1"/>
          <w:sz w:val="22"/>
        </w:rPr>
        <w:t xml:space="preserve"> – Capacidad residual – Capacidad </w:t>
      </w:r>
      <w:r>
        <w:rPr>
          <w:rFonts w:ascii="Arial" w:eastAsia="Calibri" w:hAnsi="Arial" w:cs="Arial"/>
          <w:b/>
          <w:color w:val="000000" w:themeColor="text1"/>
          <w:sz w:val="22"/>
        </w:rPr>
        <w:t xml:space="preserve">de </w:t>
      </w:r>
      <w:r w:rsidRPr="009816A2">
        <w:rPr>
          <w:rFonts w:ascii="Arial" w:eastAsia="Calibri" w:hAnsi="Arial" w:cs="Arial"/>
          <w:b/>
          <w:color w:val="000000" w:themeColor="text1"/>
          <w:sz w:val="22"/>
        </w:rPr>
        <w:t>organizaci</w:t>
      </w:r>
      <w:r>
        <w:rPr>
          <w:rFonts w:ascii="Arial" w:eastAsia="Calibri" w:hAnsi="Arial" w:cs="Arial"/>
          <w:b/>
          <w:color w:val="000000" w:themeColor="text1"/>
          <w:sz w:val="22"/>
        </w:rPr>
        <w:t>ón</w:t>
      </w:r>
    </w:p>
    <w:p w14:paraId="14B4C12C" w14:textId="77777777" w:rsidR="00C43265" w:rsidRDefault="00C43265" w:rsidP="00C43265">
      <w:pPr>
        <w:jc w:val="both"/>
        <w:rPr>
          <w:rFonts w:ascii="Arial" w:eastAsia="Calibri" w:hAnsi="Arial" w:cs="Arial"/>
          <w:bCs/>
          <w:color w:val="000000" w:themeColor="text1"/>
          <w:sz w:val="20"/>
          <w:szCs w:val="20"/>
        </w:rPr>
      </w:pPr>
    </w:p>
    <w:p w14:paraId="756380A9" w14:textId="77777777" w:rsidR="00C43265" w:rsidRDefault="00C43265" w:rsidP="00C43265">
      <w:pPr>
        <w:jc w:val="both"/>
        <w:rPr>
          <w:rFonts w:ascii="Arial" w:hAnsi="Arial" w:cs="Arial"/>
          <w:color w:val="000000" w:themeColor="text1"/>
          <w:sz w:val="20"/>
          <w:szCs w:val="20"/>
        </w:rPr>
      </w:pPr>
      <w:r w:rsidRPr="00004C76">
        <w:rPr>
          <w:rFonts w:ascii="Arial" w:hAnsi="Arial" w:cs="Arial"/>
          <w:bCs/>
          <w:color w:val="000000" w:themeColor="text1"/>
          <w:sz w:val="20"/>
          <w:szCs w:val="20"/>
        </w:rPr>
        <w:t>De acuerdo con lo establecido en los Documentos Tipo para licitación de obra pública de infraestructura de transporte –- Versión 3, en el numeral 3.10.2, literal A, del Documento Base (versiones 4 y 5), para la acreditación del estado de resultados de los proponentes que cuentan con RUP solo se requiere aportar el estado de resultados del año en que el proponente obtuvo mayor ingreso operacional en los últimos cinco (05) años, debidamente firmado por el representante legal, contador y revisor fiscal y/o contador independiente (externo), si están obligados a tenerlos, y la copia de la tarjeta profesional y certificado de antecedentes disciplinarios vigentes de los contadores públicos, revisores fiscales, contadores independientes (externos), quienes suscribieron dichos documentos de conformidad con el artículo 37 de la Ley 222 de 1995, sin que el Documento Tipo exija el dictamen del estado de resultados señalado en el artículo 38 de la Ley 122 de 1995</w:t>
      </w:r>
      <w:r w:rsidRPr="00CA66DF">
        <w:rPr>
          <w:rFonts w:ascii="Arial" w:hAnsi="Arial" w:cs="Arial"/>
          <w:color w:val="000000" w:themeColor="text1"/>
          <w:sz w:val="20"/>
          <w:szCs w:val="20"/>
        </w:rPr>
        <w:t>.</w:t>
      </w:r>
    </w:p>
    <w:p w14:paraId="054BBEC5" w14:textId="77777777" w:rsidR="00C43265" w:rsidRPr="000F7006" w:rsidRDefault="00C43265" w:rsidP="00C43265">
      <w:pPr>
        <w:jc w:val="both"/>
        <w:rPr>
          <w:rFonts w:ascii="Arial" w:hAnsi="Arial" w:cs="Arial"/>
          <w:b/>
          <w:color w:val="000000" w:themeColor="text1"/>
          <w:sz w:val="20"/>
          <w:szCs w:val="20"/>
        </w:rPr>
      </w:pPr>
    </w:p>
    <w:p w14:paraId="3D4956BD" w14:textId="77777777" w:rsidR="00EF7419" w:rsidRDefault="00EF7419" w:rsidP="00C43265">
      <w:pPr>
        <w:jc w:val="both"/>
        <w:rPr>
          <w:rFonts w:ascii="Arial" w:hAnsi="Arial" w:cs="Arial"/>
          <w:b/>
          <w:color w:val="000000" w:themeColor="text1"/>
          <w:sz w:val="22"/>
        </w:rPr>
      </w:pPr>
    </w:p>
    <w:p w14:paraId="049B0C10" w14:textId="77777777" w:rsidR="00EF7419" w:rsidRDefault="00EF7419" w:rsidP="00C43265">
      <w:pPr>
        <w:jc w:val="both"/>
        <w:rPr>
          <w:rFonts w:ascii="Arial" w:hAnsi="Arial" w:cs="Arial"/>
          <w:b/>
          <w:color w:val="000000" w:themeColor="text1"/>
          <w:sz w:val="22"/>
        </w:rPr>
      </w:pPr>
    </w:p>
    <w:p w14:paraId="45E24A48" w14:textId="41917750" w:rsidR="00C43265" w:rsidRPr="000F7006" w:rsidRDefault="00C43265" w:rsidP="00C43265">
      <w:pPr>
        <w:jc w:val="both"/>
        <w:rPr>
          <w:rFonts w:ascii="Arial" w:hAnsi="Arial" w:cs="Arial"/>
          <w:b/>
          <w:color w:val="000000" w:themeColor="text1"/>
          <w:sz w:val="22"/>
        </w:rPr>
      </w:pPr>
      <w:r w:rsidRPr="000F7006">
        <w:rPr>
          <w:rFonts w:ascii="Arial" w:hAnsi="Arial" w:cs="Arial"/>
          <w:b/>
          <w:color w:val="000000" w:themeColor="text1"/>
          <w:sz w:val="22"/>
        </w:rPr>
        <w:lastRenderedPageBreak/>
        <w:t>INALTERABILIDAD</w:t>
      </w:r>
      <w:r>
        <w:rPr>
          <w:rFonts w:ascii="Arial" w:hAnsi="Arial" w:cs="Arial"/>
          <w:b/>
          <w:color w:val="000000" w:themeColor="text1"/>
          <w:sz w:val="22"/>
        </w:rPr>
        <w:t xml:space="preserve"> –</w:t>
      </w:r>
      <w:r w:rsidRPr="000F7006">
        <w:rPr>
          <w:rFonts w:ascii="Arial" w:hAnsi="Arial" w:cs="Arial"/>
          <w:b/>
          <w:color w:val="000000" w:themeColor="text1"/>
          <w:sz w:val="22"/>
        </w:rPr>
        <w:t xml:space="preserve"> Documento</w:t>
      </w:r>
      <w:r>
        <w:rPr>
          <w:rFonts w:ascii="Arial" w:hAnsi="Arial" w:cs="Arial"/>
          <w:b/>
          <w:color w:val="000000" w:themeColor="text1"/>
          <w:sz w:val="22"/>
        </w:rPr>
        <w:t>s</w:t>
      </w:r>
      <w:r w:rsidRPr="000F7006">
        <w:rPr>
          <w:rFonts w:ascii="Arial" w:hAnsi="Arial" w:cs="Arial"/>
          <w:b/>
          <w:color w:val="000000" w:themeColor="text1"/>
          <w:sz w:val="22"/>
        </w:rPr>
        <w:t xml:space="preserve"> Tipo</w:t>
      </w:r>
      <w:r>
        <w:rPr>
          <w:rFonts w:ascii="Arial" w:hAnsi="Arial" w:cs="Arial"/>
          <w:b/>
          <w:color w:val="000000" w:themeColor="text1"/>
          <w:sz w:val="22"/>
        </w:rPr>
        <w:t xml:space="preserve"> – Licitación Pública</w:t>
      </w:r>
    </w:p>
    <w:p w14:paraId="15488746" w14:textId="77777777" w:rsidR="00C43265" w:rsidRPr="000F7006" w:rsidRDefault="00C43265" w:rsidP="00C43265">
      <w:pPr>
        <w:ind w:firstLine="708"/>
        <w:jc w:val="both"/>
        <w:rPr>
          <w:rFonts w:ascii="Arial" w:hAnsi="Arial" w:cs="Arial"/>
          <w:bCs/>
          <w:color w:val="000000" w:themeColor="text1"/>
          <w:sz w:val="22"/>
        </w:rPr>
      </w:pPr>
    </w:p>
    <w:p w14:paraId="1A7A371D" w14:textId="4FC968E9" w:rsidR="00C43265" w:rsidRDefault="00C43265" w:rsidP="00C43265">
      <w:pPr>
        <w:tabs>
          <w:tab w:val="left" w:pos="709"/>
        </w:tabs>
        <w:jc w:val="both"/>
        <w:rPr>
          <w:rFonts w:ascii="Arial" w:eastAsia="Calibri" w:hAnsi="Arial" w:cs="Arial"/>
          <w:sz w:val="20"/>
          <w:szCs w:val="20"/>
          <w:shd w:val="clear" w:color="auto" w:fill="FFFFFF"/>
          <w:lang w:val="es-ES"/>
        </w:rPr>
      </w:pPr>
      <w:r w:rsidRPr="00E30DF1">
        <w:rPr>
          <w:rFonts w:ascii="Arial" w:eastAsia="Calibri" w:hAnsi="Arial" w:cs="Arial"/>
          <w:sz w:val="20"/>
          <w:szCs w:val="20"/>
          <w:shd w:val="clear" w:color="auto" w:fill="FFFFFF"/>
          <w:lang w:val="es-ES"/>
        </w:rPr>
        <w:t xml:space="preserve">La regla de inalterabilidad de los Documentos Tipo, consagrada en los artículos 2.2.1.2.6.1.4, 2.2.1.2.6.2.3 y 2.2.1.2.6.3.4 del Decreto 1082 de 2015,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w:t>
      </w:r>
      <w:r w:rsidR="00F31DE3">
        <w:rPr>
          <w:rFonts w:ascii="Arial" w:eastAsia="Calibri" w:hAnsi="Arial" w:cs="Arial"/>
          <w:sz w:val="20"/>
          <w:szCs w:val="20"/>
          <w:shd w:val="clear" w:color="auto" w:fill="FFFFFF"/>
          <w:lang w:val="es-ES"/>
        </w:rPr>
        <w:t>haya adoptado</w:t>
      </w:r>
      <w:r w:rsidRPr="00E30DF1">
        <w:rPr>
          <w:rFonts w:ascii="Arial" w:eastAsia="Calibri" w:hAnsi="Arial" w:cs="Arial"/>
          <w:sz w:val="20"/>
          <w:szCs w:val="20"/>
          <w:shd w:val="clear" w:color="auto" w:fill="FFFFFF"/>
          <w:lang w:val="es-ES"/>
        </w:rPr>
        <w:t xml:space="preserve"> el Gobierno Nacional, en ejercicio del mandato establecido en el artículo 4 de la Ley 1882 de 2018</w:t>
      </w:r>
      <w:r w:rsidR="005C4588">
        <w:rPr>
          <w:rFonts w:ascii="Arial" w:eastAsia="Calibri" w:hAnsi="Arial" w:cs="Arial"/>
          <w:sz w:val="20"/>
          <w:szCs w:val="20"/>
          <w:shd w:val="clear" w:color="auto" w:fill="FFFFFF"/>
          <w:lang w:val="es-ES"/>
        </w:rPr>
        <w:t xml:space="preserve"> o la Agencia Nacional de Contratación Pública – Colombia Compra Eficiente en virtud del artículo 1 de la Ley 2022 de 2020</w:t>
      </w:r>
      <w:r w:rsidRPr="00E30DF1">
        <w:rPr>
          <w:rFonts w:ascii="Arial" w:eastAsia="Calibri" w:hAnsi="Arial" w:cs="Arial"/>
          <w:sz w:val="20"/>
          <w:szCs w:val="20"/>
          <w:shd w:val="clear" w:color="auto" w:fill="FFFFFF"/>
          <w:lang w:val="es-ES"/>
        </w:rPr>
        <w:t>, son de obligatorio cumplimiento para las entidades sometidas al Estatuto General de Contratación de la Administración Pública que adelanten procesos que deban regirse por su contenido, y no pueden variarse los requisitos fijados en ellos</w:t>
      </w:r>
      <w:r w:rsidRPr="00A105E3">
        <w:rPr>
          <w:rFonts w:ascii="Arial" w:eastAsia="Calibri" w:hAnsi="Arial" w:cs="Arial"/>
          <w:sz w:val="20"/>
          <w:szCs w:val="20"/>
          <w:shd w:val="clear" w:color="auto" w:fill="FFFFFF"/>
          <w:lang w:val="es-ES"/>
        </w:rPr>
        <w:t xml:space="preserve">.  </w:t>
      </w:r>
    </w:p>
    <w:p w14:paraId="2DAD23EE" w14:textId="77777777" w:rsidR="00C770C5" w:rsidRPr="00C43265" w:rsidRDefault="00C770C5" w:rsidP="00B95C30">
      <w:pPr>
        <w:spacing w:line="276" w:lineRule="auto"/>
        <w:jc w:val="both"/>
        <w:rPr>
          <w:rFonts w:ascii="Arial" w:hAnsi="Arial" w:cs="Arial"/>
          <w:noProof/>
          <w:color w:val="000000" w:themeColor="text1"/>
          <w:sz w:val="22"/>
          <w:lang w:val="es-ES"/>
        </w:rPr>
      </w:pPr>
    </w:p>
    <w:p w14:paraId="537C2030" w14:textId="77777777" w:rsidR="002412BC" w:rsidRDefault="002412BC" w:rsidP="00B95C30">
      <w:pPr>
        <w:spacing w:line="276" w:lineRule="auto"/>
        <w:jc w:val="both"/>
        <w:rPr>
          <w:rFonts w:ascii="Arial" w:hAnsi="Arial" w:cs="Arial"/>
          <w:noProof/>
          <w:color w:val="000000" w:themeColor="text1"/>
          <w:sz w:val="22"/>
          <w:lang w:val="es-ES_tradnl"/>
        </w:rPr>
      </w:pPr>
    </w:p>
    <w:p w14:paraId="7AFF957F" w14:textId="77777777" w:rsidR="002412BC" w:rsidRDefault="002412BC" w:rsidP="00B95C30">
      <w:pPr>
        <w:spacing w:line="276" w:lineRule="auto"/>
        <w:jc w:val="both"/>
        <w:rPr>
          <w:rFonts w:ascii="Arial" w:hAnsi="Arial" w:cs="Arial"/>
          <w:noProof/>
          <w:color w:val="000000" w:themeColor="text1"/>
          <w:sz w:val="22"/>
          <w:lang w:val="es-ES_tradnl"/>
        </w:rPr>
      </w:pPr>
    </w:p>
    <w:p w14:paraId="24B98A71" w14:textId="77777777" w:rsidR="002412BC" w:rsidRDefault="002412BC" w:rsidP="00B95C30">
      <w:pPr>
        <w:spacing w:line="276" w:lineRule="auto"/>
        <w:jc w:val="both"/>
        <w:rPr>
          <w:rFonts w:ascii="Arial" w:hAnsi="Arial" w:cs="Arial"/>
          <w:noProof/>
          <w:color w:val="000000" w:themeColor="text1"/>
          <w:sz w:val="22"/>
          <w:lang w:val="es-ES_tradnl"/>
        </w:rPr>
      </w:pPr>
    </w:p>
    <w:p w14:paraId="24A7FC60" w14:textId="77777777" w:rsidR="002412BC" w:rsidRDefault="002412BC" w:rsidP="00B95C30">
      <w:pPr>
        <w:spacing w:line="276" w:lineRule="auto"/>
        <w:jc w:val="both"/>
        <w:rPr>
          <w:rFonts w:ascii="Arial" w:hAnsi="Arial" w:cs="Arial"/>
          <w:noProof/>
          <w:color w:val="000000" w:themeColor="text1"/>
          <w:sz w:val="22"/>
          <w:lang w:val="es-ES_tradnl"/>
        </w:rPr>
      </w:pPr>
    </w:p>
    <w:p w14:paraId="4EC67316" w14:textId="77777777" w:rsidR="002412BC" w:rsidRDefault="002412BC" w:rsidP="00B95C30">
      <w:pPr>
        <w:spacing w:line="276" w:lineRule="auto"/>
        <w:jc w:val="both"/>
        <w:rPr>
          <w:rFonts w:ascii="Arial" w:hAnsi="Arial" w:cs="Arial"/>
          <w:noProof/>
          <w:color w:val="000000" w:themeColor="text1"/>
          <w:sz w:val="22"/>
          <w:lang w:val="es-ES_tradnl"/>
        </w:rPr>
      </w:pPr>
    </w:p>
    <w:p w14:paraId="7DB2CAE5" w14:textId="77777777" w:rsidR="002412BC" w:rsidRDefault="002412BC" w:rsidP="00B95C30">
      <w:pPr>
        <w:spacing w:line="276" w:lineRule="auto"/>
        <w:jc w:val="both"/>
        <w:rPr>
          <w:rFonts w:ascii="Arial" w:hAnsi="Arial" w:cs="Arial"/>
          <w:noProof/>
          <w:color w:val="000000" w:themeColor="text1"/>
          <w:sz w:val="22"/>
          <w:lang w:val="es-ES_tradnl"/>
        </w:rPr>
      </w:pPr>
    </w:p>
    <w:p w14:paraId="66C107DA" w14:textId="77777777" w:rsidR="002412BC" w:rsidRDefault="002412BC" w:rsidP="00B95C30">
      <w:pPr>
        <w:spacing w:line="276" w:lineRule="auto"/>
        <w:jc w:val="both"/>
        <w:rPr>
          <w:rFonts w:ascii="Arial" w:hAnsi="Arial" w:cs="Arial"/>
          <w:noProof/>
          <w:color w:val="000000" w:themeColor="text1"/>
          <w:sz w:val="22"/>
          <w:lang w:val="es-ES_tradnl"/>
        </w:rPr>
      </w:pPr>
    </w:p>
    <w:p w14:paraId="27D4FB00" w14:textId="77777777" w:rsidR="002412BC" w:rsidRDefault="002412BC" w:rsidP="00B95C30">
      <w:pPr>
        <w:spacing w:line="276" w:lineRule="auto"/>
        <w:jc w:val="both"/>
        <w:rPr>
          <w:rFonts w:ascii="Arial" w:hAnsi="Arial" w:cs="Arial"/>
          <w:noProof/>
          <w:color w:val="000000" w:themeColor="text1"/>
          <w:sz w:val="22"/>
          <w:lang w:val="es-ES_tradnl"/>
        </w:rPr>
      </w:pPr>
    </w:p>
    <w:p w14:paraId="1C73F5DD" w14:textId="77777777" w:rsidR="002412BC" w:rsidRDefault="002412BC" w:rsidP="00B95C30">
      <w:pPr>
        <w:spacing w:line="276" w:lineRule="auto"/>
        <w:jc w:val="both"/>
        <w:rPr>
          <w:rFonts w:ascii="Arial" w:hAnsi="Arial" w:cs="Arial"/>
          <w:noProof/>
          <w:color w:val="000000" w:themeColor="text1"/>
          <w:sz w:val="22"/>
          <w:lang w:val="es-ES_tradnl"/>
        </w:rPr>
      </w:pPr>
    </w:p>
    <w:p w14:paraId="0584F73B" w14:textId="77777777" w:rsidR="002412BC" w:rsidRDefault="002412BC" w:rsidP="00B95C30">
      <w:pPr>
        <w:spacing w:line="276" w:lineRule="auto"/>
        <w:jc w:val="both"/>
        <w:rPr>
          <w:rFonts w:ascii="Arial" w:hAnsi="Arial" w:cs="Arial"/>
          <w:noProof/>
          <w:color w:val="000000" w:themeColor="text1"/>
          <w:sz w:val="22"/>
          <w:lang w:val="es-ES_tradnl"/>
        </w:rPr>
      </w:pPr>
    </w:p>
    <w:p w14:paraId="6EA71D26" w14:textId="77777777" w:rsidR="002412BC" w:rsidRDefault="002412BC" w:rsidP="00B95C30">
      <w:pPr>
        <w:spacing w:line="276" w:lineRule="auto"/>
        <w:jc w:val="both"/>
        <w:rPr>
          <w:rFonts w:ascii="Arial" w:hAnsi="Arial" w:cs="Arial"/>
          <w:noProof/>
          <w:color w:val="000000" w:themeColor="text1"/>
          <w:sz w:val="22"/>
          <w:lang w:val="es-ES_tradnl"/>
        </w:rPr>
      </w:pPr>
    </w:p>
    <w:p w14:paraId="195BCAA6" w14:textId="77777777" w:rsidR="002412BC" w:rsidRDefault="002412BC" w:rsidP="00B95C30">
      <w:pPr>
        <w:spacing w:line="276" w:lineRule="auto"/>
        <w:jc w:val="both"/>
        <w:rPr>
          <w:rFonts w:ascii="Arial" w:hAnsi="Arial" w:cs="Arial"/>
          <w:noProof/>
          <w:color w:val="000000" w:themeColor="text1"/>
          <w:sz w:val="22"/>
          <w:lang w:val="es-ES_tradnl"/>
        </w:rPr>
      </w:pPr>
    </w:p>
    <w:p w14:paraId="71D648CC" w14:textId="77777777" w:rsidR="002412BC" w:rsidRDefault="002412BC" w:rsidP="00B95C30">
      <w:pPr>
        <w:spacing w:line="276" w:lineRule="auto"/>
        <w:jc w:val="both"/>
        <w:rPr>
          <w:rFonts w:ascii="Arial" w:hAnsi="Arial" w:cs="Arial"/>
          <w:noProof/>
          <w:color w:val="000000" w:themeColor="text1"/>
          <w:sz w:val="22"/>
          <w:lang w:val="es-ES_tradnl"/>
        </w:rPr>
      </w:pPr>
    </w:p>
    <w:p w14:paraId="3A05CE97" w14:textId="77777777" w:rsidR="002412BC" w:rsidRDefault="002412BC" w:rsidP="00B95C30">
      <w:pPr>
        <w:spacing w:line="276" w:lineRule="auto"/>
        <w:jc w:val="both"/>
        <w:rPr>
          <w:rFonts w:ascii="Arial" w:hAnsi="Arial" w:cs="Arial"/>
          <w:noProof/>
          <w:color w:val="000000" w:themeColor="text1"/>
          <w:sz w:val="22"/>
          <w:lang w:val="es-ES_tradnl"/>
        </w:rPr>
      </w:pPr>
    </w:p>
    <w:p w14:paraId="45EDE146" w14:textId="77777777" w:rsidR="002412BC" w:rsidRDefault="002412BC" w:rsidP="00B95C30">
      <w:pPr>
        <w:spacing w:line="276" w:lineRule="auto"/>
        <w:jc w:val="both"/>
        <w:rPr>
          <w:rFonts w:ascii="Arial" w:hAnsi="Arial" w:cs="Arial"/>
          <w:noProof/>
          <w:color w:val="000000" w:themeColor="text1"/>
          <w:sz w:val="22"/>
          <w:lang w:val="es-ES_tradnl"/>
        </w:rPr>
      </w:pPr>
    </w:p>
    <w:p w14:paraId="502A838E" w14:textId="77777777" w:rsidR="002412BC" w:rsidRDefault="002412BC" w:rsidP="00B95C30">
      <w:pPr>
        <w:spacing w:line="276" w:lineRule="auto"/>
        <w:jc w:val="both"/>
        <w:rPr>
          <w:rFonts w:ascii="Arial" w:hAnsi="Arial" w:cs="Arial"/>
          <w:noProof/>
          <w:color w:val="000000" w:themeColor="text1"/>
          <w:sz w:val="22"/>
          <w:lang w:val="es-ES_tradnl"/>
        </w:rPr>
      </w:pPr>
    </w:p>
    <w:p w14:paraId="1A94C759" w14:textId="77777777" w:rsidR="002412BC" w:rsidRDefault="002412BC" w:rsidP="00B95C30">
      <w:pPr>
        <w:spacing w:line="276" w:lineRule="auto"/>
        <w:jc w:val="both"/>
        <w:rPr>
          <w:rFonts w:ascii="Arial" w:hAnsi="Arial" w:cs="Arial"/>
          <w:noProof/>
          <w:color w:val="000000" w:themeColor="text1"/>
          <w:sz w:val="22"/>
          <w:lang w:val="es-ES_tradnl"/>
        </w:rPr>
      </w:pPr>
    </w:p>
    <w:p w14:paraId="005BF33F" w14:textId="77777777" w:rsidR="002412BC" w:rsidRDefault="002412BC" w:rsidP="00B95C30">
      <w:pPr>
        <w:spacing w:line="276" w:lineRule="auto"/>
        <w:jc w:val="both"/>
        <w:rPr>
          <w:rFonts w:ascii="Arial" w:hAnsi="Arial" w:cs="Arial"/>
          <w:noProof/>
          <w:color w:val="000000" w:themeColor="text1"/>
          <w:sz w:val="22"/>
          <w:lang w:val="es-ES_tradnl"/>
        </w:rPr>
      </w:pPr>
    </w:p>
    <w:p w14:paraId="3114179C" w14:textId="77777777" w:rsidR="002412BC" w:rsidRDefault="002412BC" w:rsidP="00B95C30">
      <w:pPr>
        <w:spacing w:line="276" w:lineRule="auto"/>
        <w:jc w:val="both"/>
        <w:rPr>
          <w:rFonts w:ascii="Arial" w:hAnsi="Arial" w:cs="Arial"/>
          <w:noProof/>
          <w:color w:val="000000" w:themeColor="text1"/>
          <w:sz w:val="22"/>
          <w:lang w:val="es-ES_tradnl"/>
        </w:rPr>
      </w:pPr>
    </w:p>
    <w:p w14:paraId="5C4DCF4A" w14:textId="77777777" w:rsidR="002412BC" w:rsidRDefault="002412BC" w:rsidP="00B95C30">
      <w:pPr>
        <w:spacing w:line="276" w:lineRule="auto"/>
        <w:jc w:val="both"/>
        <w:rPr>
          <w:rFonts w:ascii="Arial" w:hAnsi="Arial" w:cs="Arial"/>
          <w:noProof/>
          <w:color w:val="000000" w:themeColor="text1"/>
          <w:sz w:val="22"/>
          <w:lang w:val="es-ES_tradnl"/>
        </w:rPr>
      </w:pPr>
    </w:p>
    <w:p w14:paraId="5EEEE4A6" w14:textId="77777777" w:rsidR="002412BC" w:rsidRDefault="002412BC" w:rsidP="00B95C30">
      <w:pPr>
        <w:spacing w:line="276" w:lineRule="auto"/>
        <w:jc w:val="both"/>
        <w:rPr>
          <w:rFonts w:ascii="Arial" w:hAnsi="Arial" w:cs="Arial"/>
          <w:noProof/>
          <w:color w:val="000000" w:themeColor="text1"/>
          <w:sz w:val="22"/>
          <w:lang w:val="es-ES_tradnl"/>
        </w:rPr>
      </w:pPr>
    </w:p>
    <w:p w14:paraId="195E440B" w14:textId="77777777" w:rsidR="002412BC" w:rsidRDefault="002412BC" w:rsidP="00B95C30">
      <w:pPr>
        <w:spacing w:line="276" w:lineRule="auto"/>
        <w:jc w:val="both"/>
        <w:rPr>
          <w:rFonts w:ascii="Arial" w:hAnsi="Arial" w:cs="Arial"/>
          <w:noProof/>
          <w:color w:val="000000" w:themeColor="text1"/>
          <w:sz w:val="22"/>
          <w:lang w:val="es-ES_tradnl"/>
        </w:rPr>
      </w:pPr>
    </w:p>
    <w:p w14:paraId="4F1BF421" w14:textId="77777777" w:rsidR="002412BC" w:rsidRDefault="002412BC" w:rsidP="00B95C30">
      <w:pPr>
        <w:spacing w:line="276" w:lineRule="auto"/>
        <w:jc w:val="both"/>
        <w:rPr>
          <w:rFonts w:ascii="Arial" w:hAnsi="Arial" w:cs="Arial"/>
          <w:noProof/>
          <w:color w:val="000000" w:themeColor="text1"/>
          <w:sz w:val="22"/>
          <w:lang w:val="es-ES_tradnl"/>
        </w:rPr>
      </w:pPr>
    </w:p>
    <w:p w14:paraId="621DDB34" w14:textId="77777777" w:rsidR="002412BC" w:rsidRDefault="002412BC" w:rsidP="00B95C30">
      <w:pPr>
        <w:spacing w:line="276" w:lineRule="auto"/>
        <w:jc w:val="both"/>
        <w:rPr>
          <w:rFonts w:ascii="Arial" w:hAnsi="Arial" w:cs="Arial"/>
          <w:noProof/>
          <w:color w:val="000000" w:themeColor="text1"/>
          <w:sz w:val="22"/>
          <w:lang w:val="es-ES_tradnl"/>
        </w:rPr>
      </w:pPr>
    </w:p>
    <w:p w14:paraId="7AE6E130" w14:textId="77777777" w:rsidR="002412BC" w:rsidRDefault="002412BC" w:rsidP="00B95C30">
      <w:pPr>
        <w:spacing w:line="276" w:lineRule="auto"/>
        <w:jc w:val="both"/>
        <w:rPr>
          <w:rFonts w:ascii="Arial" w:hAnsi="Arial" w:cs="Arial"/>
          <w:noProof/>
          <w:color w:val="000000" w:themeColor="text1"/>
          <w:sz w:val="22"/>
          <w:lang w:val="es-ES_tradnl"/>
        </w:rPr>
      </w:pPr>
    </w:p>
    <w:p w14:paraId="7B40B204" w14:textId="77777777" w:rsidR="001058F2" w:rsidRDefault="001058F2" w:rsidP="00A66211">
      <w:pPr>
        <w:spacing w:line="276" w:lineRule="auto"/>
        <w:jc w:val="both"/>
        <w:rPr>
          <w:rFonts w:ascii="Arial" w:hAnsi="Arial" w:cs="Arial"/>
          <w:noProof/>
          <w:color w:val="000000" w:themeColor="text1"/>
          <w:sz w:val="22"/>
          <w:lang w:val="es-ES_tradnl"/>
        </w:rPr>
      </w:pPr>
    </w:p>
    <w:p w14:paraId="496FE7E2" w14:textId="77777777" w:rsidR="001058F2" w:rsidRDefault="001058F2" w:rsidP="00A66211">
      <w:pPr>
        <w:spacing w:line="276" w:lineRule="auto"/>
        <w:jc w:val="both"/>
        <w:rPr>
          <w:rFonts w:ascii="Arial" w:hAnsi="Arial" w:cs="Arial"/>
          <w:noProof/>
          <w:color w:val="000000" w:themeColor="text1"/>
          <w:sz w:val="22"/>
          <w:lang w:val="es-ES_tradnl"/>
        </w:rPr>
      </w:pPr>
    </w:p>
    <w:p w14:paraId="0AF13B42" w14:textId="77777777" w:rsidR="001058F2" w:rsidRDefault="001058F2" w:rsidP="00A66211">
      <w:pPr>
        <w:spacing w:line="276" w:lineRule="auto"/>
        <w:jc w:val="both"/>
        <w:rPr>
          <w:rFonts w:ascii="Arial" w:hAnsi="Arial" w:cs="Arial"/>
          <w:noProof/>
          <w:color w:val="000000" w:themeColor="text1"/>
          <w:sz w:val="22"/>
          <w:lang w:val="es-ES_tradnl"/>
        </w:rPr>
      </w:pPr>
    </w:p>
    <w:p w14:paraId="0CC7601B" w14:textId="77777777" w:rsidR="004E713E" w:rsidRDefault="004E713E" w:rsidP="00A66211">
      <w:pPr>
        <w:spacing w:line="276" w:lineRule="auto"/>
        <w:jc w:val="both"/>
        <w:rPr>
          <w:rFonts w:ascii="Arial" w:hAnsi="Arial" w:cs="Arial"/>
          <w:noProof/>
          <w:color w:val="000000" w:themeColor="text1"/>
          <w:sz w:val="22"/>
          <w:lang w:val="es-ES_tradnl"/>
        </w:rPr>
      </w:pPr>
    </w:p>
    <w:p w14:paraId="15EF8B06" w14:textId="6C73B91B" w:rsidR="00A66211" w:rsidRPr="004B36FB" w:rsidRDefault="00A66211" w:rsidP="00A66211">
      <w:pPr>
        <w:spacing w:line="276" w:lineRule="auto"/>
        <w:jc w:val="both"/>
        <w:rPr>
          <w:rFonts w:ascii="Arial" w:eastAsia="Calibri" w:hAnsi="Arial" w:cs="Arial"/>
          <w:noProof/>
          <w:color w:val="000000" w:themeColor="text1"/>
          <w:sz w:val="20"/>
          <w:lang w:val="es-ES_tradnl"/>
        </w:rPr>
      </w:pPr>
      <w:r w:rsidRPr="004B36FB">
        <w:rPr>
          <w:rFonts w:ascii="Arial" w:hAnsi="Arial" w:cs="Arial"/>
          <w:noProof/>
          <w:color w:val="000000" w:themeColor="text1"/>
          <w:sz w:val="22"/>
          <w:lang w:val="es-ES_tradnl"/>
        </w:rPr>
        <w:lastRenderedPageBreak/>
        <w:t xml:space="preserve">Bogotá D.C., </w:t>
      </w:r>
      <w:r w:rsidR="001806DE">
        <w:rPr>
          <w:rFonts w:ascii="Arial" w:hAnsi="Arial" w:cs="Arial"/>
          <w:b/>
          <w:color w:val="000000" w:themeColor="text1"/>
          <w:sz w:val="22"/>
          <w:lang w:val="es-ES_tradnl"/>
        </w:rPr>
        <w:t>18/11/2021 16:53:23</w:t>
      </w:r>
    </w:p>
    <w:p w14:paraId="38BEFEF7" w14:textId="2F919497" w:rsidR="001806DE" w:rsidRDefault="001806DE" w:rsidP="001806DE">
      <w:pPr>
        <w:jc w:val="right"/>
      </w:pPr>
      <w:r>
        <w:fldChar w:fldCharType="begin"/>
      </w:r>
      <w:r>
        <w:instrText xml:space="preserve"> INCLUDEPICTURE "/var/folders/5l/v1rdjm0x1x9416lmbj7_vjt40000gn/T/com.microsoft.Word/WebArchiveCopyPasteTempFiles/page1image1786144" \* MERGEFORMATINET </w:instrText>
      </w:r>
      <w:r>
        <w:fldChar w:fldCharType="separate"/>
      </w:r>
      <w:r>
        <w:rPr>
          <w:noProof/>
        </w:rPr>
        <w:drawing>
          <wp:inline distT="0" distB="0" distL="0" distR="0" wp14:anchorId="0F6F37DE" wp14:editId="534F9846">
            <wp:extent cx="2398395" cy="609600"/>
            <wp:effectExtent l="0" t="0" r="1905" b="0"/>
            <wp:docPr id="4" name="Imagen 4" descr="page1image1786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861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8395" cy="609600"/>
                    </a:xfrm>
                    <a:prstGeom prst="rect">
                      <a:avLst/>
                    </a:prstGeom>
                    <a:noFill/>
                    <a:ln>
                      <a:noFill/>
                    </a:ln>
                  </pic:spPr>
                </pic:pic>
              </a:graphicData>
            </a:graphic>
          </wp:inline>
        </w:drawing>
      </w:r>
      <w:r>
        <w:fldChar w:fldCharType="end"/>
      </w:r>
    </w:p>
    <w:p w14:paraId="6A8A869B" w14:textId="77777777" w:rsidR="00B95C30" w:rsidRPr="008918A2" w:rsidRDefault="00B95C30" w:rsidP="001806DE">
      <w:pPr>
        <w:jc w:val="right"/>
        <w:rPr>
          <w:rFonts w:ascii="Arial" w:hAnsi="Arial" w:cs="Arial"/>
          <w:b/>
          <w:color w:val="000000" w:themeColor="text1"/>
          <w:sz w:val="22"/>
          <w:lang w:val="es-ES_tradnl"/>
        </w:rPr>
      </w:pPr>
    </w:p>
    <w:p w14:paraId="5F5AE9EF" w14:textId="3C568FBD" w:rsidR="00B95C30" w:rsidRPr="008918A2" w:rsidRDefault="00BE4FBF" w:rsidP="00B95C30">
      <w:pPr>
        <w:jc w:val="both"/>
        <w:rPr>
          <w:rFonts w:ascii="Arial" w:eastAsia="Calibri" w:hAnsi="Arial" w:cs="Arial"/>
          <w:color w:val="000000" w:themeColor="text1"/>
          <w:sz w:val="22"/>
          <w:lang w:val="es-ES_tradnl"/>
        </w:rPr>
      </w:pPr>
      <w:r w:rsidRPr="008918A2">
        <w:rPr>
          <w:rFonts w:ascii="Arial" w:eastAsia="Calibri" w:hAnsi="Arial" w:cs="Arial"/>
          <w:color w:val="000000" w:themeColor="text1"/>
          <w:sz w:val="22"/>
          <w:lang w:val="es-ES_tradnl"/>
        </w:rPr>
        <w:t>Señor</w:t>
      </w:r>
    </w:p>
    <w:p w14:paraId="5534D9BC" w14:textId="181DDD82" w:rsidR="00F7084F" w:rsidRPr="008918A2" w:rsidRDefault="00A453C7" w:rsidP="00B95C30">
      <w:pPr>
        <w:jc w:val="both"/>
        <w:rPr>
          <w:rFonts w:ascii="Arial" w:eastAsia="Calibri" w:hAnsi="Arial" w:cs="Arial"/>
          <w:b/>
          <w:color w:val="000000" w:themeColor="text1"/>
          <w:sz w:val="22"/>
          <w:lang w:val="es-ES_tradnl"/>
        </w:rPr>
      </w:pPr>
      <w:proofErr w:type="spellStart"/>
      <w:r>
        <w:rPr>
          <w:rFonts w:ascii="Arial" w:eastAsia="Calibri" w:hAnsi="Arial" w:cs="Arial"/>
          <w:b/>
          <w:color w:val="000000" w:themeColor="text1"/>
          <w:sz w:val="22"/>
          <w:lang w:val="es-ES_tradnl"/>
        </w:rPr>
        <w:t>Gian</w:t>
      </w:r>
      <w:proofErr w:type="spellEnd"/>
      <w:r>
        <w:rPr>
          <w:rFonts w:ascii="Arial" w:eastAsia="Calibri" w:hAnsi="Arial" w:cs="Arial"/>
          <w:b/>
          <w:color w:val="000000" w:themeColor="text1"/>
          <w:sz w:val="22"/>
          <w:lang w:val="es-ES_tradnl"/>
        </w:rPr>
        <w:t xml:space="preserve"> Carlo </w:t>
      </w:r>
      <w:proofErr w:type="spellStart"/>
      <w:r>
        <w:rPr>
          <w:rFonts w:ascii="Arial" w:eastAsia="Calibri" w:hAnsi="Arial" w:cs="Arial"/>
          <w:b/>
          <w:color w:val="000000" w:themeColor="text1"/>
          <w:sz w:val="22"/>
          <w:lang w:val="es-ES_tradnl"/>
        </w:rPr>
        <w:t>Suescún</w:t>
      </w:r>
      <w:proofErr w:type="spellEnd"/>
      <w:r>
        <w:rPr>
          <w:rFonts w:ascii="Arial" w:eastAsia="Calibri" w:hAnsi="Arial" w:cs="Arial"/>
          <w:b/>
          <w:color w:val="000000" w:themeColor="text1"/>
          <w:sz w:val="22"/>
          <w:lang w:val="es-ES_tradnl"/>
        </w:rPr>
        <w:t xml:space="preserve"> Sanabria</w:t>
      </w:r>
    </w:p>
    <w:p w14:paraId="09D4AEA8" w14:textId="61B2E137" w:rsidR="00B95C30" w:rsidRPr="008918A2" w:rsidRDefault="00821538"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Bogotá, D.C.</w:t>
      </w:r>
    </w:p>
    <w:p w14:paraId="3F3D1203" w14:textId="77777777" w:rsidR="00B95C30" w:rsidRPr="008918A2" w:rsidRDefault="00B95C30" w:rsidP="00B95C30">
      <w:pPr>
        <w:jc w:val="both"/>
        <w:rPr>
          <w:rFonts w:ascii="Arial" w:eastAsia="Calibri" w:hAnsi="Arial" w:cs="Arial"/>
          <w:color w:val="000000" w:themeColor="text1"/>
          <w:sz w:val="22"/>
          <w:lang w:val="es-ES_tradnl"/>
        </w:rPr>
      </w:pPr>
    </w:p>
    <w:p w14:paraId="24E8D2A9" w14:textId="77777777" w:rsidR="00B95C30" w:rsidRPr="008918A2" w:rsidRDefault="00B95C30" w:rsidP="00B95C30">
      <w:pPr>
        <w:jc w:val="both"/>
        <w:rPr>
          <w:rFonts w:ascii="Arial" w:eastAsia="Calibri" w:hAnsi="Arial" w:cs="Arial"/>
          <w:color w:val="000000" w:themeColor="text1"/>
          <w:sz w:val="22"/>
          <w:lang w:val="es-ES_tradnl"/>
        </w:rPr>
      </w:pPr>
    </w:p>
    <w:p w14:paraId="12E66182" w14:textId="0EE77686" w:rsidR="00B95C30" w:rsidRPr="008918A2" w:rsidRDefault="00B95C30" w:rsidP="00B95C30">
      <w:pPr>
        <w:jc w:val="center"/>
        <w:rPr>
          <w:rFonts w:ascii="Arial" w:eastAsia="Calibri" w:hAnsi="Arial" w:cs="Arial"/>
          <w:b/>
          <w:bCs/>
          <w:color w:val="000000" w:themeColor="text1"/>
          <w:sz w:val="22"/>
          <w:lang w:val="es-ES_tradnl"/>
        </w:rPr>
      </w:pPr>
      <w:r w:rsidRPr="001D639C">
        <w:rPr>
          <w:rFonts w:ascii="Arial" w:eastAsia="Calibri" w:hAnsi="Arial" w:cs="Arial"/>
          <w:b/>
          <w:bCs/>
          <w:color w:val="000000" w:themeColor="text1"/>
          <w:sz w:val="22"/>
          <w:lang w:val="es-ES_tradnl"/>
        </w:rPr>
        <w:t xml:space="preserve">Concepto C ‒ </w:t>
      </w:r>
      <w:r w:rsidR="00A66211">
        <w:rPr>
          <w:rFonts w:ascii="Arial" w:eastAsia="Calibri" w:hAnsi="Arial" w:cs="Arial"/>
          <w:b/>
          <w:bCs/>
          <w:color w:val="000000" w:themeColor="text1"/>
          <w:sz w:val="22"/>
          <w:lang w:val="es-ES_tradnl"/>
        </w:rPr>
        <w:t>642</w:t>
      </w:r>
      <w:r w:rsidRPr="001D639C">
        <w:rPr>
          <w:rFonts w:ascii="Arial" w:eastAsia="Calibri" w:hAnsi="Arial" w:cs="Arial"/>
          <w:b/>
          <w:bCs/>
          <w:color w:val="000000" w:themeColor="text1"/>
          <w:sz w:val="22"/>
          <w:lang w:val="es-ES_tradnl"/>
        </w:rPr>
        <w:t xml:space="preserve"> de 202</w:t>
      </w:r>
      <w:r w:rsidR="00092B71" w:rsidRPr="001D639C">
        <w:rPr>
          <w:rFonts w:ascii="Arial" w:eastAsia="Calibri" w:hAnsi="Arial" w:cs="Arial"/>
          <w:b/>
          <w:bCs/>
          <w:color w:val="000000" w:themeColor="text1"/>
          <w:sz w:val="22"/>
          <w:lang w:val="es-ES_tradnl"/>
        </w:rPr>
        <w:t>1</w:t>
      </w:r>
    </w:p>
    <w:p w14:paraId="2B376FFA" w14:textId="77777777" w:rsidR="00B95C30" w:rsidRPr="008918A2" w:rsidRDefault="00B95C30" w:rsidP="00B95C30">
      <w:pPr>
        <w:jc w:val="both"/>
        <w:rPr>
          <w:rFonts w:ascii="Arial" w:eastAsia="Calibri" w:hAnsi="Arial" w:cs="Arial"/>
          <w:color w:val="000000" w:themeColor="text1"/>
          <w:sz w:val="22"/>
          <w:lang w:val="es-ES_tradnl"/>
        </w:rPr>
      </w:pPr>
    </w:p>
    <w:p w14:paraId="08CF82B2" w14:textId="77777777" w:rsidR="00B95C30" w:rsidRPr="008918A2" w:rsidRDefault="00B95C30" w:rsidP="00B95C30">
      <w:pPr>
        <w:jc w:val="both"/>
        <w:rPr>
          <w:rFonts w:ascii="Arial" w:eastAsia="Calibri" w:hAnsi="Arial" w:cs="Arial"/>
          <w:color w:val="000000" w:themeColor="text1"/>
          <w:sz w:val="22"/>
          <w:lang w:val="es-ES_tradnl"/>
        </w:rPr>
      </w:pPr>
    </w:p>
    <w:p w14:paraId="1BD594F9" w14:textId="77777777" w:rsidR="00B95C30" w:rsidRPr="008918A2"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8918A2" w14:paraId="19DFC051" w14:textId="77777777" w:rsidTr="008F4163">
        <w:tc>
          <w:tcPr>
            <w:tcW w:w="2689" w:type="dxa"/>
          </w:tcPr>
          <w:p w14:paraId="6BC0D1AC" w14:textId="77777777" w:rsidR="00B95C30" w:rsidRPr="008918A2" w:rsidRDefault="00B95C30" w:rsidP="008F4163">
            <w:pPr>
              <w:jc w:val="both"/>
              <w:rPr>
                <w:rFonts w:ascii="Arial" w:eastAsia="Calibri" w:hAnsi="Arial" w:cs="Arial"/>
                <w:color w:val="000000" w:themeColor="text1"/>
                <w:sz w:val="22"/>
                <w:lang w:val="es-ES_tradnl"/>
              </w:rPr>
            </w:pPr>
            <w:r w:rsidRPr="008918A2">
              <w:rPr>
                <w:rFonts w:ascii="Arial" w:eastAsia="Calibri" w:hAnsi="Arial" w:cs="Arial"/>
                <w:b/>
                <w:color w:val="000000" w:themeColor="text1"/>
                <w:sz w:val="22"/>
                <w:lang w:val="es-ES_tradnl"/>
              </w:rPr>
              <w:t>Temas:</w:t>
            </w:r>
            <w:r w:rsidRPr="008918A2">
              <w:rPr>
                <w:rFonts w:ascii="Arial" w:eastAsia="Calibri" w:hAnsi="Arial" w:cs="Arial"/>
                <w:color w:val="000000" w:themeColor="text1"/>
                <w:sz w:val="22"/>
                <w:lang w:val="es-ES_tradnl"/>
              </w:rPr>
              <w:t xml:space="preserve">                                      </w:t>
            </w:r>
          </w:p>
        </w:tc>
        <w:tc>
          <w:tcPr>
            <w:tcW w:w="6237" w:type="dxa"/>
          </w:tcPr>
          <w:p w14:paraId="5F389CAF" w14:textId="05B7F195" w:rsidR="00B95C30" w:rsidRPr="00B23535" w:rsidRDefault="00F25C55" w:rsidP="008F4163">
            <w:pPr>
              <w:jc w:val="both"/>
              <w:rPr>
                <w:rFonts w:ascii="Arial" w:eastAsia="Calibri" w:hAnsi="Arial" w:cs="Arial"/>
                <w:color w:val="000000" w:themeColor="text1"/>
                <w:sz w:val="22"/>
                <w:lang w:val="es-ES_tradnl"/>
              </w:rPr>
            </w:pPr>
            <w:r w:rsidRPr="00E30DF1">
              <w:rPr>
                <w:rFonts w:ascii="Arial" w:eastAsia="Calibri" w:hAnsi="Arial" w:cs="Arial"/>
                <w:sz w:val="22"/>
                <w:lang w:val="es-ES_tradnl"/>
              </w:rPr>
              <w:t>CAPACIDAD RESIDUAL – Ley 1150 de 2007 – Decreto 1082 de 2015 / CAPACIDAD RESIDUAL – Capacidad de Organización – Ley 1150 de 2007 – Decreto 1082 de 2015 / DOCUMENTOS TIPO</w:t>
            </w:r>
            <w:r w:rsidR="001C5446">
              <w:rPr>
                <w:rFonts w:ascii="Arial" w:eastAsia="Calibri" w:hAnsi="Arial" w:cs="Arial"/>
                <w:sz w:val="22"/>
                <w:lang w:val="es-ES_tradnl"/>
              </w:rPr>
              <w:t xml:space="preserve"> </w:t>
            </w:r>
            <w:r w:rsidRPr="00E30DF1">
              <w:rPr>
                <w:rFonts w:ascii="Arial" w:eastAsia="Calibri" w:hAnsi="Arial" w:cs="Arial"/>
                <w:sz w:val="22"/>
                <w:lang w:val="es-ES_tradnl"/>
              </w:rPr>
              <w:t>– Versión 3 – Capacidad residual – Capacidad de organización / INALTERABILIDAD – Documentos Tipo – Licitación Pública</w:t>
            </w:r>
            <w:r>
              <w:rPr>
                <w:rFonts w:ascii="Arial" w:eastAsia="Calibri" w:hAnsi="Arial" w:cs="Arial"/>
                <w:sz w:val="22"/>
                <w:lang w:val="es-ES_tradnl"/>
              </w:rPr>
              <w:t>.</w:t>
            </w:r>
          </w:p>
        </w:tc>
      </w:tr>
      <w:tr w:rsidR="00B95C30" w:rsidRPr="008918A2" w14:paraId="27CD52AB" w14:textId="77777777" w:rsidTr="008F4163">
        <w:tc>
          <w:tcPr>
            <w:tcW w:w="2689" w:type="dxa"/>
          </w:tcPr>
          <w:p w14:paraId="37E195A1" w14:textId="1BA218D5" w:rsidR="00B95C30" w:rsidRPr="008918A2" w:rsidRDefault="00B95C30" w:rsidP="008F4163">
            <w:pPr>
              <w:spacing w:before="120"/>
              <w:jc w:val="both"/>
              <w:rPr>
                <w:rFonts w:ascii="Arial" w:eastAsia="Calibri" w:hAnsi="Arial" w:cs="Arial"/>
                <w:b/>
                <w:color w:val="000000" w:themeColor="text1"/>
                <w:sz w:val="22"/>
                <w:lang w:val="es-ES_tradnl"/>
              </w:rPr>
            </w:pPr>
            <w:r w:rsidRPr="008918A2">
              <w:rPr>
                <w:rFonts w:ascii="Arial" w:eastAsia="Calibri" w:hAnsi="Arial" w:cs="Arial"/>
                <w:b/>
                <w:color w:val="000000" w:themeColor="text1"/>
                <w:sz w:val="22"/>
                <w:lang w:val="es-ES_tradnl"/>
              </w:rPr>
              <w:t>Radicación:</w:t>
            </w:r>
            <w:r w:rsidRPr="008918A2">
              <w:rPr>
                <w:rFonts w:ascii="Arial" w:eastAsia="Calibri" w:hAnsi="Arial" w:cs="Arial"/>
                <w:color w:val="000000" w:themeColor="text1"/>
                <w:sz w:val="22"/>
                <w:lang w:val="es-ES_tradnl"/>
              </w:rPr>
              <w:t xml:space="preserve">                              </w:t>
            </w:r>
          </w:p>
        </w:tc>
        <w:tc>
          <w:tcPr>
            <w:tcW w:w="6237" w:type="dxa"/>
          </w:tcPr>
          <w:p w14:paraId="64360FC9" w14:textId="3B35993C" w:rsidR="00B95C30" w:rsidRPr="008918A2" w:rsidRDefault="00B95C30" w:rsidP="008F4163">
            <w:pPr>
              <w:spacing w:before="120"/>
              <w:jc w:val="both"/>
              <w:rPr>
                <w:rFonts w:ascii="Arial" w:eastAsia="Calibri" w:hAnsi="Arial" w:cs="Arial"/>
                <w:color w:val="000000" w:themeColor="text1"/>
                <w:sz w:val="22"/>
                <w:lang w:val="es-ES_tradnl"/>
              </w:rPr>
            </w:pPr>
            <w:r w:rsidRPr="008918A2">
              <w:rPr>
                <w:rFonts w:ascii="Arial" w:eastAsia="Calibri" w:hAnsi="Arial" w:cs="Arial"/>
                <w:color w:val="000000" w:themeColor="text1"/>
                <w:sz w:val="22"/>
                <w:lang w:val="es-ES_tradnl"/>
              </w:rPr>
              <w:t xml:space="preserve">Respuesta a consulta # </w:t>
            </w:r>
            <w:r w:rsidR="00CA6576" w:rsidRPr="00CA6576">
              <w:rPr>
                <w:rFonts w:ascii="Arial" w:eastAsia="Calibri" w:hAnsi="Arial" w:cs="Arial"/>
                <w:color w:val="000000" w:themeColor="text1"/>
                <w:sz w:val="22"/>
                <w:lang w:val="es-ES_tradnl"/>
              </w:rPr>
              <w:t>P20211005009124</w:t>
            </w:r>
          </w:p>
          <w:p w14:paraId="09088B1B" w14:textId="77777777" w:rsidR="00B95C30" w:rsidRPr="008918A2" w:rsidRDefault="00B95C30" w:rsidP="008F4163">
            <w:pPr>
              <w:spacing w:before="120"/>
              <w:jc w:val="both"/>
              <w:rPr>
                <w:rFonts w:ascii="Arial" w:eastAsia="Calibri" w:hAnsi="Arial" w:cs="Arial"/>
                <w:color w:val="000000" w:themeColor="text1"/>
                <w:sz w:val="22"/>
                <w:lang w:val="es-ES_tradnl"/>
              </w:rPr>
            </w:pPr>
            <w:r w:rsidRPr="008918A2">
              <w:rPr>
                <w:rFonts w:ascii="Arial" w:eastAsia="Calibri" w:hAnsi="Arial" w:cs="Arial"/>
                <w:color w:val="000000" w:themeColor="text1"/>
                <w:sz w:val="22"/>
                <w:lang w:val="es-ES_tradnl"/>
              </w:rPr>
              <w:t xml:space="preserve"> </w:t>
            </w:r>
          </w:p>
        </w:tc>
      </w:tr>
    </w:tbl>
    <w:p w14:paraId="1CF4AEA0" w14:textId="2B5C94C9" w:rsidR="003C3339" w:rsidRPr="008918A2" w:rsidRDefault="003C3339" w:rsidP="003C3339">
      <w:pPr>
        <w:jc w:val="both"/>
        <w:rPr>
          <w:rFonts w:ascii="Arial" w:eastAsia="Calibri" w:hAnsi="Arial" w:cs="Arial"/>
          <w:color w:val="000000" w:themeColor="text1"/>
          <w:sz w:val="22"/>
          <w:lang w:val="es-ES_tradnl"/>
        </w:rPr>
      </w:pPr>
      <w:r w:rsidRPr="008918A2">
        <w:rPr>
          <w:rFonts w:ascii="Arial" w:eastAsia="Calibri" w:hAnsi="Arial" w:cs="Arial"/>
          <w:color w:val="000000" w:themeColor="text1"/>
          <w:sz w:val="22"/>
          <w:lang w:val="es-ES_tradnl"/>
        </w:rPr>
        <w:t>Estimad</w:t>
      </w:r>
      <w:r w:rsidR="00032675">
        <w:rPr>
          <w:rFonts w:ascii="Arial" w:eastAsia="Calibri" w:hAnsi="Arial" w:cs="Arial"/>
          <w:color w:val="000000" w:themeColor="text1"/>
          <w:sz w:val="22"/>
          <w:lang w:val="es-ES_tradnl"/>
        </w:rPr>
        <w:t>o</w:t>
      </w:r>
      <w:r w:rsidRPr="008918A2">
        <w:rPr>
          <w:rFonts w:ascii="Arial" w:eastAsia="Calibri" w:hAnsi="Arial" w:cs="Arial"/>
          <w:color w:val="000000" w:themeColor="text1"/>
          <w:sz w:val="22"/>
          <w:lang w:val="es-ES_tradnl"/>
        </w:rPr>
        <w:t xml:space="preserve"> </w:t>
      </w:r>
      <w:r w:rsidR="0063732C" w:rsidRPr="008918A2">
        <w:rPr>
          <w:rFonts w:ascii="Arial" w:eastAsia="Calibri" w:hAnsi="Arial" w:cs="Arial"/>
          <w:color w:val="000000" w:themeColor="text1"/>
          <w:sz w:val="22"/>
          <w:lang w:val="es-ES_tradnl"/>
        </w:rPr>
        <w:t>señor</w:t>
      </w:r>
      <w:r w:rsidR="00BE4FBF" w:rsidRPr="008918A2">
        <w:rPr>
          <w:rFonts w:ascii="Arial" w:eastAsia="Calibri" w:hAnsi="Arial" w:cs="Arial"/>
          <w:color w:val="000000" w:themeColor="text1"/>
          <w:sz w:val="22"/>
          <w:lang w:val="es-ES_tradnl"/>
        </w:rPr>
        <w:t xml:space="preserve"> </w:t>
      </w:r>
      <w:proofErr w:type="spellStart"/>
      <w:r w:rsidR="00032675">
        <w:rPr>
          <w:rFonts w:ascii="Arial" w:eastAsia="Calibri" w:hAnsi="Arial" w:cs="Arial"/>
          <w:color w:val="000000" w:themeColor="text1"/>
          <w:sz w:val="22"/>
          <w:lang w:val="es-ES_tradnl"/>
        </w:rPr>
        <w:t>Suescún</w:t>
      </w:r>
      <w:proofErr w:type="spellEnd"/>
      <w:r w:rsidRPr="008918A2">
        <w:rPr>
          <w:rFonts w:ascii="Arial" w:eastAsia="Calibri" w:hAnsi="Arial" w:cs="Arial"/>
          <w:color w:val="000000" w:themeColor="text1"/>
          <w:sz w:val="22"/>
          <w:lang w:val="es-ES_tradnl"/>
        </w:rPr>
        <w:t>:</w:t>
      </w:r>
    </w:p>
    <w:p w14:paraId="1EAE5543" w14:textId="77777777" w:rsidR="00DD5B04" w:rsidRPr="008918A2" w:rsidRDefault="00DD5B04" w:rsidP="00DF76A2">
      <w:pPr>
        <w:jc w:val="both"/>
        <w:rPr>
          <w:rFonts w:ascii="Arial" w:eastAsia="Calibri" w:hAnsi="Arial" w:cs="Arial"/>
          <w:color w:val="000000" w:themeColor="text1"/>
          <w:sz w:val="22"/>
          <w:lang w:val="es-ES_tradnl"/>
        </w:rPr>
      </w:pPr>
    </w:p>
    <w:p w14:paraId="2109B2D3" w14:textId="4AD10A0F" w:rsidR="00DD5B04" w:rsidRPr="008918A2" w:rsidRDefault="00DD5B04" w:rsidP="00DF76A2">
      <w:pPr>
        <w:spacing w:line="276" w:lineRule="auto"/>
        <w:jc w:val="both"/>
        <w:rPr>
          <w:rFonts w:ascii="Arial" w:eastAsia="Calibri" w:hAnsi="Arial" w:cs="Arial"/>
          <w:color w:val="000000" w:themeColor="text1"/>
          <w:sz w:val="22"/>
          <w:lang w:val="es-ES_tradnl"/>
        </w:rPr>
      </w:pPr>
      <w:r w:rsidRPr="008918A2">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8918A2">
        <w:rPr>
          <w:rFonts w:ascii="Arial" w:eastAsia="Calibri" w:hAnsi="Arial" w:cs="Arial"/>
          <w:color w:val="000000" w:themeColor="text1"/>
          <w:sz w:val="22"/>
          <w:lang w:val="es-ES_tradnl"/>
        </w:rPr>
        <w:t xml:space="preserve"> </w:t>
      </w:r>
      <w:r w:rsidRPr="008918A2">
        <w:rPr>
          <w:rFonts w:ascii="Arial" w:eastAsia="Calibri" w:hAnsi="Arial" w:cs="Arial"/>
          <w:color w:val="000000" w:themeColor="text1"/>
          <w:sz w:val="22"/>
          <w:lang w:val="es-ES_tradnl"/>
        </w:rPr>
        <w:t xml:space="preserve">responde su consulta del </w:t>
      </w:r>
      <w:r w:rsidR="003A3907">
        <w:rPr>
          <w:rFonts w:ascii="Arial" w:eastAsia="Calibri" w:hAnsi="Arial" w:cs="Arial"/>
          <w:color w:val="000000" w:themeColor="text1"/>
          <w:sz w:val="22"/>
          <w:lang w:val="es-ES_tradnl"/>
        </w:rPr>
        <w:t>5</w:t>
      </w:r>
      <w:r w:rsidR="00FD4AF3" w:rsidRPr="008918A2">
        <w:rPr>
          <w:rFonts w:ascii="Arial" w:eastAsia="Calibri" w:hAnsi="Arial" w:cs="Arial"/>
          <w:color w:val="000000" w:themeColor="text1"/>
          <w:sz w:val="22"/>
          <w:lang w:val="es-ES_tradnl"/>
        </w:rPr>
        <w:t xml:space="preserve"> de </w:t>
      </w:r>
      <w:r w:rsidR="003A3907">
        <w:rPr>
          <w:rFonts w:ascii="Arial" w:eastAsia="Calibri" w:hAnsi="Arial" w:cs="Arial"/>
          <w:color w:val="000000" w:themeColor="text1"/>
          <w:sz w:val="22"/>
          <w:lang w:val="es-ES_tradnl"/>
        </w:rPr>
        <w:t>octubre</w:t>
      </w:r>
      <w:r w:rsidRPr="008918A2">
        <w:rPr>
          <w:rFonts w:ascii="Arial" w:eastAsia="Calibri" w:hAnsi="Arial" w:cs="Arial"/>
          <w:color w:val="000000" w:themeColor="text1"/>
          <w:sz w:val="22"/>
          <w:lang w:val="es-ES_tradnl"/>
        </w:rPr>
        <w:t xml:space="preserve"> del</w:t>
      </w:r>
      <w:r w:rsidR="007E74BF" w:rsidRPr="008918A2">
        <w:rPr>
          <w:rFonts w:ascii="Arial" w:eastAsia="Calibri" w:hAnsi="Arial" w:cs="Arial"/>
          <w:color w:val="000000" w:themeColor="text1"/>
          <w:sz w:val="22"/>
          <w:lang w:val="es-ES_tradnl"/>
        </w:rPr>
        <w:t xml:space="preserve"> </w:t>
      </w:r>
      <w:r w:rsidRPr="008918A2">
        <w:rPr>
          <w:rFonts w:ascii="Arial" w:eastAsia="Calibri" w:hAnsi="Arial" w:cs="Arial"/>
          <w:color w:val="000000" w:themeColor="text1"/>
          <w:sz w:val="22"/>
          <w:lang w:val="es-ES_tradnl"/>
        </w:rPr>
        <w:t>202</w:t>
      </w:r>
      <w:r w:rsidR="00FB0880" w:rsidRPr="008918A2">
        <w:rPr>
          <w:rFonts w:ascii="Arial" w:eastAsia="Calibri" w:hAnsi="Arial" w:cs="Arial"/>
          <w:color w:val="000000" w:themeColor="text1"/>
          <w:sz w:val="22"/>
          <w:lang w:val="es-ES_tradnl"/>
        </w:rPr>
        <w:t>1</w:t>
      </w:r>
      <w:r w:rsidR="008C3C57" w:rsidRPr="008918A2">
        <w:rPr>
          <w:rFonts w:ascii="Arial" w:eastAsia="Calibri" w:hAnsi="Arial" w:cs="Arial"/>
          <w:color w:val="000000" w:themeColor="text1"/>
          <w:sz w:val="22"/>
          <w:lang w:val="es-ES_tradnl"/>
        </w:rPr>
        <w:t>.</w:t>
      </w:r>
    </w:p>
    <w:p w14:paraId="0C1E0712" w14:textId="77777777" w:rsidR="00DD5B04" w:rsidRPr="008918A2"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8918A2"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8918A2">
        <w:rPr>
          <w:rFonts w:ascii="Arial" w:eastAsia="Calibri" w:hAnsi="Arial" w:cs="Arial"/>
          <w:b/>
          <w:color w:val="000000" w:themeColor="text1"/>
          <w:sz w:val="22"/>
          <w:lang w:val="es-ES_tradnl"/>
        </w:rPr>
        <w:t xml:space="preserve">Problema planteado </w:t>
      </w:r>
    </w:p>
    <w:p w14:paraId="224B43D3" w14:textId="77777777" w:rsidR="00DD5B04" w:rsidRPr="008918A2"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232C34EA" w:rsidR="00443B55" w:rsidRPr="008918A2" w:rsidRDefault="00DD5B04" w:rsidP="0099583D">
      <w:pPr>
        <w:spacing w:line="276" w:lineRule="auto"/>
        <w:jc w:val="both"/>
        <w:rPr>
          <w:rFonts w:ascii="Arial" w:hAnsi="Arial" w:cs="Arial"/>
          <w:color w:val="000000" w:themeColor="text1"/>
          <w:sz w:val="22"/>
          <w:lang w:val="es-ES_tradnl"/>
        </w:rPr>
      </w:pPr>
      <w:r w:rsidRPr="008918A2">
        <w:rPr>
          <w:rFonts w:ascii="Arial" w:hAnsi="Arial" w:cs="Arial"/>
          <w:color w:val="000000" w:themeColor="text1"/>
          <w:sz w:val="22"/>
          <w:lang w:val="es-ES_tradnl"/>
        </w:rPr>
        <w:t xml:space="preserve">Usted </w:t>
      </w:r>
      <w:r w:rsidR="00B422C0" w:rsidRPr="008918A2">
        <w:rPr>
          <w:rFonts w:ascii="Arial" w:hAnsi="Arial" w:cs="Arial"/>
          <w:color w:val="000000" w:themeColor="text1"/>
          <w:sz w:val="22"/>
          <w:lang w:val="es-ES_tradnl"/>
        </w:rPr>
        <w:t>formula</w:t>
      </w:r>
      <w:r w:rsidR="006D46A3" w:rsidRPr="008918A2">
        <w:rPr>
          <w:rFonts w:ascii="Arial" w:hAnsi="Arial" w:cs="Arial"/>
          <w:color w:val="000000" w:themeColor="text1"/>
          <w:sz w:val="22"/>
          <w:lang w:val="es-ES_tradnl"/>
        </w:rPr>
        <w:t xml:space="preserve"> la siguiente</w:t>
      </w:r>
      <w:r w:rsidR="00C028F5" w:rsidRPr="008918A2">
        <w:rPr>
          <w:rFonts w:ascii="Arial" w:hAnsi="Arial" w:cs="Arial"/>
          <w:color w:val="000000" w:themeColor="text1"/>
          <w:sz w:val="22"/>
          <w:lang w:val="es-ES_tradnl"/>
        </w:rPr>
        <w:t xml:space="preserve"> </w:t>
      </w:r>
      <w:r w:rsidR="00B95894">
        <w:rPr>
          <w:rFonts w:ascii="Arial" w:hAnsi="Arial" w:cs="Arial"/>
          <w:color w:val="000000" w:themeColor="text1"/>
          <w:sz w:val="22"/>
          <w:lang w:val="es-ES_tradnl"/>
        </w:rPr>
        <w:t>consulta</w:t>
      </w:r>
      <w:r w:rsidR="00234197">
        <w:rPr>
          <w:rFonts w:ascii="Arial" w:hAnsi="Arial" w:cs="Arial"/>
          <w:color w:val="000000" w:themeColor="text1"/>
          <w:sz w:val="22"/>
          <w:lang w:val="es-ES_tradnl"/>
        </w:rPr>
        <w:t xml:space="preserve">, </w:t>
      </w:r>
      <w:r w:rsidR="00127697">
        <w:rPr>
          <w:rFonts w:ascii="Arial" w:hAnsi="Arial" w:cs="Arial"/>
          <w:color w:val="000000" w:themeColor="text1"/>
          <w:sz w:val="22"/>
          <w:lang w:val="es-ES_tradnl"/>
        </w:rPr>
        <w:t>sobre</w:t>
      </w:r>
      <w:r w:rsidR="00C868BB">
        <w:rPr>
          <w:rFonts w:ascii="Arial" w:hAnsi="Arial" w:cs="Arial"/>
          <w:color w:val="000000" w:themeColor="text1"/>
          <w:sz w:val="22"/>
          <w:lang w:val="es-ES_tradnl"/>
        </w:rPr>
        <w:t xml:space="preserve"> lo </w:t>
      </w:r>
      <w:r w:rsidR="00DA12C1">
        <w:rPr>
          <w:rFonts w:ascii="Arial" w:hAnsi="Arial" w:cs="Arial"/>
          <w:color w:val="000000" w:themeColor="text1"/>
          <w:sz w:val="22"/>
          <w:lang w:val="es-ES_tradnl"/>
        </w:rPr>
        <w:t xml:space="preserve">establecido </w:t>
      </w:r>
      <w:r w:rsidR="00873742">
        <w:rPr>
          <w:rFonts w:ascii="Arial" w:hAnsi="Arial" w:cs="Arial"/>
          <w:color w:val="000000" w:themeColor="text1"/>
          <w:sz w:val="22"/>
          <w:lang w:val="es-ES_tradnl"/>
        </w:rPr>
        <w:t>en el</w:t>
      </w:r>
      <w:r w:rsidR="00C868BB">
        <w:rPr>
          <w:rFonts w:ascii="Arial" w:hAnsi="Arial" w:cs="Arial"/>
          <w:color w:val="000000" w:themeColor="text1"/>
          <w:sz w:val="22"/>
          <w:lang w:val="es-ES_tradnl"/>
        </w:rPr>
        <w:t xml:space="preserve"> pliego tipo de licitación de obra pública de infraestructura de transporte</w:t>
      </w:r>
      <w:r w:rsidR="00B422C0" w:rsidRPr="008918A2">
        <w:rPr>
          <w:rFonts w:ascii="Arial" w:hAnsi="Arial" w:cs="Arial"/>
          <w:color w:val="000000" w:themeColor="text1"/>
          <w:sz w:val="22"/>
          <w:lang w:val="es-ES_tradnl"/>
        </w:rPr>
        <w:t>:</w:t>
      </w:r>
      <w:r w:rsidR="007E18DF" w:rsidRPr="008918A2">
        <w:rPr>
          <w:rFonts w:ascii="Arial" w:hAnsi="Arial" w:cs="Arial"/>
          <w:color w:val="000000" w:themeColor="text1"/>
          <w:sz w:val="22"/>
          <w:lang w:val="es-ES_tradnl"/>
        </w:rPr>
        <w:t xml:space="preserve"> </w:t>
      </w:r>
    </w:p>
    <w:p w14:paraId="559EE20C" w14:textId="77777777" w:rsidR="00443B55" w:rsidRPr="008918A2" w:rsidRDefault="00443B55" w:rsidP="0099583D">
      <w:pPr>
        <w:spacing w:line="276" w:lineRule="auto"/>
        <w:jc w:val="both"/>
        <w:rPr>
          <w:rFonts w:ascii="Arial" w:hAnsi="Arial" w:cs="Arial"/>
          <w:color w:val="000000" w:themeColor="text1"/>
          <w:sz w:val="22"/>
          <w:lang w:val="es-ES_tradnl"/>
        </w:rPr>
      </w:pPr>
    </w:p>
    <w:p w14:paraId="12E12D26" w14:textId="362F1CCE" w:rsidR="00AF07A5" w:rsidRDefault="001C79A4" w:rsidP="00E31679">
      <w:pPr>
        <w:ind w:left="709" w:right="709"/>
        <w:jc w:val="both"/>
        <w:rPr>
          <w:rFonts w:ascii="Arial" w:hAnsi="Arial" w:cs="Arial"/>
          <w:color w:val="000000" w:themeColor="text1"/>
          <w:sz w:val="21"/>
          <w:szCs w:val="21"/>
          <w:lang w:val="es-ES_tradnl"/>
        </w:rPr>
      </w:pPr>
      <w:r w:rsidRPr="008918A2">
        <w:rPr>
          <w:rFonts w:ascii="Arial" w:hAnsi="Arial" w:cs="Arial"/>
          <w:color w:val="000000" w:themeColor="text1"/>
          <w:sz w:val="21"/>
          <w:szCs w:val="21"/>
          <w:lang w:val="es-ES_tradnl"/>
        </w:rPr>
        <w:t>«</w:t>
      </w:r>
      <w:r w:rsidR="00234197" w:rsidRPr="00234197">
        <w:rPr>
          <w:rFonts w:ascii="Arial" w:hAnsi="Arial" w:cs="Arial"/>
          <w:color w:val="000000" w:themeColor="text1"/>
          <w:sz w:val="21"/>
          <w:szCs w:val="21"/>
          <w:lang w:val="es-ES_tradnl"/>
        </w:rPr>
        <w:t>¿Los estados financieros necesarios para acreditar la capacidad de organización para el cálculo de la capacidad residual deben contener obligatoriamente las firmas de representante legal, contador y revisor fiscal (o auditor independiente)?</w:t>
      </w:r>
      <w:r w:rsidR="00234197">
        <w:rPr>
          <w:rFonts w:ascii="Arial" w:hAnsi="Arial" w:cs="Arial"/>
          <w:color w:val="000000" w:themeColor="text1"/>
          <w:sz w:val="21"/>
          <w:szCs w:val="21"/>
          <w:lang w:val="es-ES_tradnl"/>
        </w:rPr>
        <w:t>»</w:t>
      </w:r>
    </w:p>
    <w:p w14:paraId="138EEE9A" w14:textId="77777777" w:rsidR="00234197" w:rsidRPr="00234197" w:rsidRDefault="00234197" w:rsidP="00E31679">
      <w:pPr>
        <w:ind w:left="709" w:right="709"/>
        <w:jc w:val="both"/>
        <w:rPr>
          <w:rFonts w:ascii="Arial" w:hAnsi="Arial" w:cs="Arial"/>
          <w:color w:val="000000" w:themeColor="text1"/>
          <w:sz w:val="21"/>
          <w:szCs w:val="21"/>
        </w:rPr>
      </w:pPr>
    </w:p>
    <w:p w14:paraId="124D2DCA" w14:textId="77777777" w:rsidR="00DD5B04" w:rsidRPr="008918A2"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8918A2">
        <w:rPr>
          <w:rFonts w:ascii="Arial" w:eastAsia="Calibri" w:hAnsi="Arial" w:cs="Arial"/>
          <w:b/>
          <w:color w:val="000000" w:themeColor="text1"/>
          <w:sz w:val="22"/>
          <w:lang w:val="es-ES_tradnl"/>
        </w:rPr>
        <w:t>Consideraciones</w:t>
      </w:r>
    </w:p>
    <w:p w14:paraId="4F091680" w14:textId="77777777" w:rsidR="00A87DAB" w:rsidRDefault="00A87DAB" w:rsidP="00A87DAB">
      <w:pPr>
        <w:spacing w:line="276" w:lineRule="auto"/>
        <w:jc w:val="both"/>
        <w:rPr>
          <w:rFonts w:ascii="Arial" w:eastAsia="Calibri" w:hAnsi="Arial" w:cs="Arial"/>
          <w:sz w:val="22"/>
        </w:rPr>
      </w:pPr>
    </w:p>
    <w:p w14:paraId="662EB850" w14:textId="2CDA965C" w:rsidR="00C64A66" w:rsidRPr="00A70F57" w:rsidRDefault="00C64A66" w:rsidP="00A87DAB">
      <w:pPr>
        <w:spacing w:line="276" w:lineRule="auto"/>
        <w:jc w:val="both"/>
        <w:rPr>
          <w:rFonts w:ascii="Arial" w:eastAsia="Calibri" w:hAnsi="Arial" w:cs="Arial"/>
          <w:sz w:val="22"/>
        </w:rPr>
      </w:pPr>
      <w:r w:rsidRPr="00A70F57">
        <w:rPr>
          <w:rFonts w:ascii="Arial" w:eastAsia="Calibri" w:hAnsi="Arial" w:cs="Arial"/>
          <w:sz w:val="22"/>
        </w:rPr>
        <w:t xml:space="preserve">Para responder su consulta, </w:t>
      </w:r>
      <w:r w:rsidR="00F8029F">
        <w:rPr>
          <w:rFonts w:ascii="Arial" w:eastAsia="Calibri" w:hAnsi="Arial" w:cs="Arial"/>
          <w:sz w:val="22"/>
        </w:rPr>
        <w:t>se</w:t>
      </w:r>
      <w:r w:rsidRPr="00A70F57">
        <w:rPr>
          <w:rFonts w:ascii="Arial" w:eastAsia="Calibri" w:hAnsi="Arial" w:cs="Arial"/>
          <w:sz w:val="22"/>
        </w:rPr>
        <w:t xml:space="preserve"> analizará</w:t>
      </w:r>
      <w:r w:rsidR="00F8029F">
        <w:rPr>
          <w:rFonts w:ascii="Arial" w:eastAsia="Calibri" w:hAnsi="Arial" w:cs="Arial"/>
          <w:sz w:val="22"/>
        </w:rPr>
        <w:t>n</w:t>
      </w:r>
      <w:r>
        <w:rPr>
          <w:rFonts w:ascii="Arial" w:eastAsia="Calibri" w:hAnsi="Arial" w:cs="Arial"/>
          <w:sz w:val="22"/>
        </w:rPr>
        <w:t xml:space="preserve"> los siguientes aspectos: i) </w:t>
      </w:r>
      <w:r w:rsidR="00105610">
        <w:rPr>
          <w:rFonts w:ascii="Arial" w:eastAsia="Calibri" w:hAnsi="Arial" w:cs="Arial"/>
          <w:sz w:val="22"/>
        </w:rPr>
        <w:t>C</w:t>
      </w:r>
      <w:r w:rsidRPr="00A70F57">
        <w:rPr>
          <w:rFonts w:ascii="Arial" w:eastAsia="Calibri" w:hAnsi="Arial" w:cs="Arial"/>
          <w:sz w:val="22"/>
        </w:rPr>
        <w:t xml:space="preserve">apacidad </w:t>
      </w:r>
      <w:r w:rsidR="00105610">
        <w:rPr>
          <w:rFonts w:ascii="Arial" w:eastAsia="Calibri" w:hAnsi="Arial" w:cs="Arial"/>
          <w:sz w:val="22"/>
        </w:rPr>
        <w:t>R</w:t>
      </w:r>
      <w:r w:rsidRPr="00A70F57">
        <w:rPr>
          <w:rFonts w:ascii="Arial" w:eastAsia="Calibri" w:hAnsi="Arial" w:cs="Arial"/>
          <w:sz w:val="22"/>
        </w:rPr>
        <w:t xml:space="preserve">esidual: información financiera requerida para calcular la </w:t>
      </w:r>
      <w:r w:rsidR="00105610">
        <w:rPr>
          <w:rFonts w:ascii="Arial" w:eastAsia="Calibri" w:hAnsi="Arial" w:cs="Arial"/>
          <w:sz w:val="22"/>
        </w:rPr>
        <w:t>C</w:t>
      </w:r>
      <w:r w:rsidRPr="00A70F57">
        <w:rPr>
          <w:rFonts w:ascii="Arial" w:eastAsia="Calibri" w:hAnsi="Arial" w:cs="Arial"/>
          <w:sz w:val="22"/>
        </w:rPr>
        <w:t xml:space="preserve">apacidad de </w:t>
      </w:r>
      <w:r w:rsidR="00105610">
        <w:rPr>
          <w:rFonts w:ascii="Arial" w:eastAsia="Calibri" w:hAnsi="Arial" w:cs="Arial"/>
          <w:sz w:val="22"/>
        </w:rPr>
        <w:t>O</w:t>
      </w:r>
      <w:r w:rsidRPr="00A70F57">
        <w:rPr>
          <w:rFonts w:ascii="Arial" w:eastAsia="Calibri" w:hAnsi="Arial" w:cs="Arial"/>
          <w:sz w:val="22"/>
        </w:rPr>
        <w:t>rganización,</w:t>
      </w:r>
      <w:r>
        <w:rPr>
          <w:rFonts w:ascii="Arial" w:eastAsia="Calibri" w:hAnsi="Arial" w:cs="Arial"/>
          <w:sz w:val="22"/>
        </w:rPr>
        <w:t xml:space="preserve"> ii) a</w:t>
      </w:r>
      <w:r w:rsidRPr="00A70F57">
        <w:rPr>
          <w:rFonts w:ascii="Arial" w:eastAsia="Calibri" w:hAnsi="Arial" w:cs="Arial"/>
          <w:sz w:val="22"/>
        </w:rPr>
        <w:t>creditación del factor Capacidad de Organización (CO) en las versiones 1,</w:t>
      </w:r>
      <w:r>
        <w:rPr>
          <w:rFonts w:ascii="Arial" w:eastAsia="Calibri" w:hAnsi="Arial" w:cs="Arial"/>
          <w:sz w:val="22"/>
        </w:rPr>
        <w:t xml:space="preserve"> </w:t>
      </w:r>
      <w:r w:rsidRPr="00A70F57">
        <w:rPr>
          <w:rFonts w:ascii="Arial" w:eastAsia="Calibri" w:hAnsi="Arial" w:cs="Arial"/>
          <w:sz w:val="22"/>
        </w:rPr>
        <w:t xml:space="preserve">2 y 3 de los </w:t>
      </w:r>
      <w:r w:rsidRPr="00A70F57">
        <w:rPr>
          <w:rFonts w:ascii="Arial" w:eastAsia="Calibri" w:hAnsi="Arial" w:cs="Arial"/>
          <w:sz w:val="22"/>
        </w:rPr>
        <w:lastRenderedPageBreak/>
        <w:t>Documentos Tipo de licitación de obra pública de infraestructura de transporte</w:t>
      </w:r>
      <w:r w:rsidR="00B332E2">
        <w:rPr>
          <w:rFonts w:ascii="Arial" w:eastAsia="Calibri" w:hAnsi="Arial" w:cs="Arial"/>
          <w:sz w:val="22"/>
        </w:rPr>
        <w:t xml:space="preserve"> </w:t>
      </w:r>
      <w:r>
        <w:rPr>
          <w:rFonts w:ascii="Arial" w:eastAsia="Calibri" w:hAnsi="Arial" w:cs="Arial"/>
          <w:sz w:val="22"/>
        </w:rPr>
        <w:t>y</w:t>
      </w:r>
      <w:r w:rsidRPr="00A70F57">
        <w:rPr>
          <w:rFonts w:ascii="Arial" w:eastAsia="Calibri" w:hAnsi="Arial" w:cs="Arial"/>
          <w:sz w:val="22"/>
        </w:rPr>
        <w:t xml:space="preserve"> i</w:t>
      </w:r>
      <w:r w:rsidR="00B332E2">
        <w:rPr>
          <w:rFonts w:ascii="Arial" w:eastAsia="Calibri" w:hAnsi="Arial" w:cs="Arial"/>
          <w:sz w:val="22"/>
        </w:rPr>
        <w:t>ii</w:t>
      </w:r>
      <w:r w:rsidRPr="00A70F57">
        <w:rPr>
          <w:rFonts w:ascii="Arial" w:eastAsia="Calibri" w:hAnsi="Arial" w:cs="Arial"/>
          <w:sz w:val="22"/>
        </w:rPr>
        <w:t xml:space="preserve">) </w:t>
      </w:r>
      <w:r>
        <w:rPr>
          <w:rFonts w:ascii="Arial" w:eastAsia="Calibri" w:hAnsi="Arial" w:cs="Arial"/>
          <w:sz w:val="22"/>
        </w:rPr>
        <w:t>regla de inalterabilidad de los Documentos Tipo.</w:t>
      </w:r>
    </w:p>
    <w:p w14:paraId="2961BC04" w14:textId="2CA7ACA3" w:rsidR="00C64A66" w:rsidRDefault="00C64A66" w:rsidP="00C64A66">
      <w:pPr>
        <w:spacing w:before="120" w:line="276" w:lineRule="auto"/>
        <w:ind w:firstLine="709"/>
        <w:jc w:val="both"/>
        <w:rPr>
          <w:rFonts w:ascii="Arial" w:hAnsi="Arial" w:cs="Arial"/>
          <w:bCs/>
          <w:color w:val="000000" w:themeColor="text1"/>
          <w:sz w:val="22"/>
        </w:rPr>
      </w:pPr>
      <w:r w:rsidRPr="00606FE0">
        <w:rPr>
          <w:rFonts w:ascii="Arial" w:eastAsia="Calibri" w:hAnsi="Arial" w:cs="Arial"/>
          <w:sz w:val="22"/>
          <w:lang w:val="es-ES_tradnl"/>
        </w:rPr>
        <w:t>La Agencia Nacional de Contratación Pública − Colombia Compra Eficiente se ha pronunciado en diferentes oportunidades sobre los requisitos para acreditar la capacidad residual en los Documentos Tipo</w:t>
      </w:r>
      <w:r w:rsidRPr="00606FE0">
        <w:rPr>
          <w:rFonts w:ascii="Arial" w:eastAsia="Calibri" w:hAnsi="Arial" w:cs="Arial"/>
          <w:bCs/>
          <w:sz w:val="22"/>
        </w:rPr>
        <w:t xml:space="preserve"> </w:t>
      </w:r>
      <w:r w:rsidRPr="00606FE0">
        <w:rPr>
          <w:rFonts w:ascii="Arial" w:hAnsi="Arial" w:cs="Arial"/>
          <w:bCs/>
          <w:color w:val="000000" w:themeColor="text1"/>
          <w:sz w:val="22"/>
        </w:rPr>
        <w:t>para licitación de obra pública de infraestructura de transporte</w:t>
      </w:r>
      <w:r>
        <w:rPr>
          <w:rFonts w:ascii="Arial" w:hAnsi="Arial" w:cs="Arial"/>
          <w:bCs/>
          <w:color w:val="000000" w:themeColor="text1"/>
          <w:sz w:val="22"/>
        </w:rPr>
        <w:t>,</w:t>
      </w:r>
      <w:r w:rsidRPr="00606FE0">
        <w:rPr>
          <w:rFonts w:ascii="Arial" w:hAnsi="Arial" w:cs="Arial"/>
          <w:bCs/>
          <w:color w:val="000000" w:themeColor="text1"/>
          <w:sz w:val="22"/>
        </w:rPr>
        <w:t xml:space="preserve"> en sus </w:t>
      </w:r>
      <w:r>
        <w:rPr>
          <w:rFonts w:ascii="Arial" w:hAnsi="Arial" w:cs="Arial"/>
          <w:bCs/>
          <w:color w:val="000000" w:themeColor="text1"/>
          <w:sz w:val="22"/>
        </w:rPr>
        <w:t xml:space="preserve">distintas versiones, </w:t>
      </w:r>
      <w:r w:rsidRPr="00606FE0">
        <w:rPr>
          <w:rFonts w:ascii="Arial" w:eastAsia="Calibri" w:hAnsi="Arial" w:cs="Arial"/>
          <w:bCs/>
          <w:sz w:val="22"/>
        </w:rPr>
        <w:t>en</w:t>
      </w:r>
      <w:r w:rsidRPr="00606FE0">
        <w:rPr>
          <w:rFonts w:ascii="Arial" w:eastAsia="Calibri" w:hAnsi="Arial" w:cs="Arial"/>
          <w:sz w:val="22"/>
          <w:lang w:val="es-ES_tradnl"/>
        </w:rPr>
        <w:t xml:space="preserve"> los</w:t>
      </w:r>
      <w:r w:rsidRPr="00606FE0">
        <w:rPr>
          <w:rFonts w:ascii="Arial" w:eastAsia="Calibri" w:hAnsi="Arial" w:cs="Arial"/>
          <w:bCs/>
          <w:sz w:val="22"/>
        </w:rPr>
        <w:t xml:space="preserve"> </w:t>
      </w:r>
      <w:r w:rsidRPr="00547F95">
        <w:rPr>
          <w:rFonts w:ascii="Arial" w:eastAsia="Calibri" w:hAnsi="Arial" w:cs="Arial"/>
          <w:sz w:val="22"/>
        </w:rPr>
        <w:t>conceptos C</w:t>
      </w:r>
      <w:r w:rsidRPr="00547F95">
        <w:rPr>
          <w:rFonts w:ascii="Arial" w:hAnsi="Arial" w:cs="Arial"/>
          <w:bCs/>
          <w:color w:val="000000" w:themeColor="text1"/>
          <w:sz w:val="22"/>
        </w:rPr>
        <w:t>-389 del 21 de julio de 2020, C-393 del 21 de julio de 2020, C-461 del 13 de julio de 2020, C-742 del 16 de diciembre de 2020</w:t>
      </w:r>
      <w:r w:rsidRPr="00547F95">
        <w:rPr>
          <w:rFonts w:ascii="Arial" w:eastAsia="Calibri" w:hAnsi="Arial" w:cs="Arial"/>
          <w:sz w:val="22"/>
        </w:rPr>
        <w:t>, C-067 del 15 de marzo de 2021, C-170</w:t>
      </w:r>
      <w:r>
        <w:rPr>
          <w:rFonts w:ascii="Arial" w:eastAsia="Calibri" w:hAnsi="Arial" w:cs="Arial"/>
          <w:sz w:val="22"/>
        </w:rPr>
        <w:t xml:space="preserve"> del 20 de abril de 2021</w:t>
      </w:r>
      <w:r w:rsidR="000F42B1">
        <w:rPr>
          <w:rFonts w:ascii="Arial" w:eastAsia="Calibri" w:hAnsi="Arial" w:cs="Arial"/>
          <w:sz w:val="22"/>
        </w:rPr>
        <w:t xml:space="preserve"> y C-467 del 7 de septiembre de 2021,</w:t>
      </w:r>
      <w:r>
        <w:rPr>
          <w:rFonts w:ascii="Arial" w:eastAsia="Calibri" w:hAnsi="Arial" w:cs="Arial"/>
          <w:sz w:val="22"/>
        </w:rPr>
        <w:t xml:space="preserve"> entre otros. De igual manera, ha analizado la inalterabilidad de los Documentos Tipo en conceptos como el C-179 del 28 de abril de 2021, C-287 del 18 de junio de 2021 y C- 428 del 20 de agosto de 2021, entre otros. L</w:t>
      </w:r>
      <w:r w:rsidRPr="00606FE0">
        <w:rPr>
          <w:rFonts w:ascii="Arial" w:hAnsi="Arial" w:cs="Arial"/>
          <w:color w:val="000000" w:themeColor="text1"/>
          <w:sz w:val="22"/>
        </w:rPr>
        <w:t>a</w:t>
      </w:r>
      <w:r>
        <w:rPr>
          <w:rFonts w:ascii="Arial" w:hAnsi="Arial" w:cs="Arial"/>
          <w:color w:val="000000" w:themeColor="text1"/>
          <w:sz w:val="22"/>
        </w:rPr>
        <w:t>s</w:t>
      </w:r>
      <w:r w:rsidRPr="00606FE0">
        <w:rPr>
          <w:rFonts w:ascii="Arial" w:hAnsi="Arial" w:cs="Arial"/>
          <w:color w:val="000000" w:themeColor="text1"/>
          <w:sz w:val="22"/>
        </w:rPr>
        <w:t xml:space="preserve"> tesis desarrollada</w:t>
      </w:r>
      <w:r>
        <w:rPr>
          <w:rFonts w:ascii="Arial" w:hAnsi="Arial" w:cs="Arial"/>
          <w:color w:val="000000" w:themeColor="text1"/>
          <w:sz w:val="22"/>
        </w:rPr>
        <w:t xml:space="preserve">s en dichos conceptos se reiteran </w:t>
      </w:r>
      <w:r w:rsidRPr="00606FE0">
        <w:rPr>
          <w:rFonts w:ascii="Arial" w:hAnsi="Arial" w:cs="Arial"/>
          <w:bCs/>
          <w:color w:val="000000" w:themeColor="text1"/>
          <w:sz w:val="22"/>
        </w:rPr>
        <w:t>y se complementa</w:t>
      </w:r>
      <w:r>
        <w:rPr>
          <w:rFonts w:ascii="Arial" w:hAnsi="Arial" w:cs="Arial"/>
          <w:bCs/>
          <w:color w:val="000000" w:themeColor="text1"/>
          <w:sz w:val="22"/>
        </w:rPr>
        <w:t>n</w:t>
      </w:r>
      <w:r w:rsidRPr="00606FE0">
        <w:rPr>
          <w:rFonts w:ascii="Arial" w:hAnsi="Arial" w:cs="Arial"/>
          <w:bCs/>
          <w:color w:val="000000" w:themeColor="text1"/>
          <w:sz w:val="22"/>
        </w:rPr>
        <w:t xml:space="preserve"> en lo pertinente.</w:t>
      </w:r>
      <w:r>
        <w:rPr>
          <w:rFonts w:ascii="Arial" w:hAnsi="Arial" w:cs="Arial"/>
          <w:bCs/>
          <w:color w:val="000000" w:themeColor="text1"/>
          <w:sz w:val="22"/>
        </w:rPr>
        <w:t xml:space="preserve"> </w:t>
      </w:r>
    </w:p>
    <w:p w14:paraId="2576AEF6" w14:textId="77777777" w:rsidR="00C64A66" w:rsidRDefault="00C64A66" w:rsidP="00C64A66">
      <w:pPr>
        <w:tabs>
          <w:tab w:val="left" w:pos="426"/>
        </w:tabs>
        <w:spacing w:line="276" w:lineRule="auto"/>
        <w:jc w:val="both"/>
        <w:rPr>
          <w:rFonts w:ascii="Arial" w:eastAsia="Calibri" w:hAnsi="Arial" w:cs="Arial"/>
          <w:b/>
          <w:bCs/>
          <w:sz w:val="22"/>
        </w:rPr>
      </w:pPr>
    </w:p>
    <w:p w14:paraId="5522CE1C" w14:textId="77777777" w:rsidR="00C64A66" w:rsidRPr="00A70F57" w:rsidRDefault="00C64A66" w:rsidP="00C64A66">
      <w:pPr>
        <w:tabs>
          <w:tab w:val="left" w:pos="426"/>
        </w:tabs>
        <w:spacing w:line="276" w:lineRule="auto"/>
        <w:jc w:val="both"/>
        <w:rPr>
          <w:rFonts w:ascii="Arial" w:eastAsia="Calibri" w:hAnsi="Arial" w:cs="Arial"/>
          <w:b/>
          <w:bCs/>
          <w:sz w:val="22"/>
        </w:rPr>
      </w:pPr>
      <w:r w:rsidRPr="00A70F57">
        <w:rPr>
          <w:rFonts w:ascii="Arial" w:eastAsia="Calibri" w:hAnsi="Arial" w:cs="Arial"/>
          <w:b/>
          <w:bCs/>
          <w:sz w:val="22"/>
        </w:rPr>
        <w:t>2.1. Capacidad residual</w:t>
      </w:r>
      <w:r>
        <w:rPr>
          <w:rFonts w:ascii="Arial" w:eastAsia="Calibri" w:hAnsi="Arial" w:cs="Arial"/>
          <w:b/>
          <w:bCs/>
          <w:sz w:val="22"/>
        </w:rPr>
        <w:t>.</w:t>
      </w:r>
      <w:r w:rsidRPr="00A70F57">
        <w:rPr>
          <w:rFonts w:ascii="Arial" w:eastAsia="Calibri" w:hAnsi="Arial" w:cs="Arial"/>
          <w:b/>
          <w:bCs/>
          <w:sz w:val="22"/>
        </w:rPr>
        <w:t xml:space="preserve"> </w:t>
      </w:r>
      <w:r>
        <w:rPr>
          <w:rFonts w:ascii="Arial" w:eastAsia="Calibri" w:hAnsi="Arial" w:cs="Arial"/>
          <w:b/>
          <w:bCs/>
          <w:sz w:val="22"/>
        </w:rPr>
        <w:t>I</w:t>
      </w:r>
      <w:r w:rsidRPr="00A70F57">
        <w:rPr>
          <w:rFonts w:ascii="Arial" w:eastAsia="Calibri" w:hAnsi="Arial" w:cs="Arial"/>
          <w:b/>
          <w:bCs/>
          <w:sz w:val="22"/>
        </w:rPr>
        <w:t>nformación financiera requerida para calcular la capacidad de organización</w:t>
      </w:r>
    </w:p>
    <w:p w14:paraId="3349F199" w14:textId="77777777" w:rsidR="00C64A66" w:rsidRPr="00A70F57" w:rsidRDefault="00C64A66" w:rsidP="00C64A66">
      <w:pPr>
        <w:tabs>
          <w:tab w:val="left" w:pos="426"/>
        </w:tabs>
        <w:spacing w:before="120" w:after="120" w:line="276" w:lineRule="auto"/>
        <w:jc w:val="both"/>
        <w:rPr>
          <w:rFonts w:ascii="Arial" w:hAnsi="Arial" w:cs="Arial"/>
          <w:iCs/>
          <w:sz w:val="22"/>
        </w:rPr>
      </w:pPr>
      <w:r w:rsidRPr="00A70F57">
        <w:rPr>
          <w:rFonts w:ascii="Arial" w:hAnsi="Arial" w:cs="Arial"/>
          <w:iCs/>
          <w:sz w:val="22"/>
        </w:rPr>
        <w:t>De acuerdo con lo establecido en el artículo 2.2.1.1.1.3.1. del Decreto 1082 de 2015, la capacidad residual es la aptitud de los oferentes para cumplir de manera oportuna y a cabalidad el objeto de un contrato de obra, sin que los demás compromisos contractuales que han adquirido afecten su habilidad para cumplir el objeto del contrato que está en proceso de selección. Por su parte, el Consejo de Estado ha definido la capacidad residual como «la diferencia que existe entre el potencial de contratación que se tiene y los compromisos que haya adquirido y que se encuentren en ejecución, para la fecha de presentación de la oferta»</w:t>
      </w:r>
      <w:r w:rsidRPr="00A70F57">
        <w:rPr>
          <w:rFonts w:ascii="Arial" w:eastAsia="Calibri" w:hAnsi="Arial" w:cs="Arial"/>
          <w:color w:val="000000" w:themeColor="text1"/>
          <w:sz w:val="22"/>
          <w:vertAlign w:val="superscript"/>
        </w:rPr>
        <w:footnoteReference w:id="2"/>
      </w:r>
      <w:r w:rsidRPr="00A70F57">
        <w:rPr>
          <w:rFonts w:ascii="Arial" w:hAnsi="Arial" w:cs="Arial"/>
          <w:color w:val="000000" w:themeColor="text1"/>
          <w:sz w:val="22"/>
        </w:rPr>
        <w:t>.</w:t>
      </w:r>
    </w:p>
    <w:p w14:paraId="36C643DD" w14:textId="77777777" w:rsidR="00C64A66" w:rsidRPr="00A70F57" w:rsidRDefault="00C64A66" w:rsidP="00C64A66">
      <w:pPr>
        <w:tabs>
          <w:tab w:val="left" w:pos="709"/>
        </w:tabs>
        <w:spacing w:before="120" w:after="120" w:line="276" w:lineRule="auto"/>
        <w:jc w:val="both"/>
        <w:rPr>
          <w:rFonts w:ascii="Arial" w:hAnsi="Arial" w:cs="Arial"/>
          <w:color w:val="000000" w:themeColor="text1"/>
          <w:sz w:val="22"/>
        </w:rPr>
      </w:pPr>
      <w:r w:rsidRPr="00A70F57">
        <w:rPr>
          <w:rFonts w:ascii="Arial" w:hAnsi="Arial" w:cs="Arial"/>
          <w:iCs/>
          <w:sz w:val="22"/>
        </w:rPr>
        <w:tab/>
        <w:t>En atención a lo anterior, la capacidad residual hace referencia a la suficiencia que tiene el proponente para asumir nuevas obligaciones que se derivan del contrato objeto del proceso de contratación, en relación con las obligaciones que ya adquirió frente a otros contratos.</w:t>
      </w:r>
      <w:r>
        <w:rPr>
          <w:rFonts w:ascii="Arial" w:hAnsi="Arial" w:cs="Arial"/>
          <w:iCs/>
          <w:sz w:val="22"/>
        </w:rPr>
        <w:t xml:space="preserve"> </w:t>
      </w:r>
      <w:r>
        <w:rPr>
          <w:rFonts w:ascii="Arial" w:hAnsi="Arial" w:cs="Arial"/>
          <w:color w:val="000000" w:themeColor="text1"/>
          <w:sz w:val="22"/>
        </w:rPr>
        <w:t>De esta manera, e</w:t>
      </w:r>
      <w:r w:rsidRPr="00A70F57">
        <w:rPr>
          <w:rFonts w:ascii="Arial" w:hAnsi="Arial" w:cs="Arial"/>
          <w:color w:val="000000" w:themeColor="text1"/>
          <w:sz w:val="22"/>
        </w:rPr>
        <w:t xml:space="preserve">l artículo 6 de la Ley 1150 de 2007 estableció como condición «para poder participar en los procesos de selección de los contratos de obra, la capacidad residual del proponente o K de contratación». Además, determinó que esta debe ser igual o superior a la establecida en los pliegos de condiciones, en los siguientes términos: </w:t>
      </w:r>
    </w:p>
    <w:p w14:paraId="6F26417C" w14:textId="77777777" w:rsidR="00C64A66" w:rsidRDefault="00C64A66" w:rsidP="00C64A66">
      <w:pPr>
        <w:ind w:left="708" w:right="709"/>
        <w:jc w:val="both"/>
        <w:rPr>
          <w:rFonts w:ascii="Arial" w:eastAsia="Calibri" w:hAnsi="Arial" w:cs="Arial"/>
          <w:color w:val="000000" w:themeColor="text1"/>
          <w:sz w:val="22"/>
        </w:rPr>
      </w:pPr>
    </w:p>
    <w:p w14:paraId="29AB27D6" w14:textId="77777777" w:rsidR="00C64A66" w:rsidRPr="00C0223D" w:rsidRDefault="00C64A66" w:rsidP="00C64A66">
      <w:pPr>
        <w:ind w:left="708" w:right="709"/>
        <w:jc w:val="both"/>
        <w:rPr>
          <w:rFonts w:ascii="Arial" w:eastAsia="Calibri" w:hAnsi="Arial" w:cs="Arial"/>
          <w:color w:val="000000" w:themeColor="text1"/>
          <w:sz w:val="21"/>
          <w:szCs w:val="21"/>
        </w:rPr>
      </w:pPr>
      <w:r w:rsidRPr="00C0223D">
        <w:rPr>
          <w:rFonts w:ascii="Arial" w:eastAsia="Calibri" w:hAnsi="Arial" w:cs="Arial"/>
          <w:color w:val="000000" w:themeColor="text1"/>
          <w:sz w:val="21"/>
          <w:szCs w:val="21"/>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262404E6" w14:textId="77777777" w:rsidR="00C64A66" w:rsidRPr="00C0223D" w:rsidRDefault="00C64A66" w:rsidP="00C64A66">
      <w:pPr>
        <w:ind w:left="708" w:right="709"/>
        <w:jc w:val="both"/>
        <w:rPr>
          <w:rFonts w:ascii="Arial" w:eastAsia="Calibri" w:hAnsi="Arial" w:cs="Arial"/>
          <w:color w:val="000000" w:themeColor="text1"/>
          <w:sz w:val="21"/>
          <w:szCs w:val="21"/>
        </w:rPr>
      </w:pPr>
    </w:p>
    <w:p w14:paraId="4EDCC252" w14:textId="77777777" w:rsidR="00C64A66" w:rsidRPr="00C0223D" w:rsidRDefault="00C64A66" w:rsidP="00C64A66">
      <w:pPr>
        <w:ind w:left="708" w:right="709"/>
        <w:jc w:val="both"/>
        <w:rPr>
          <w:rFonts w:ascii="Arial" w:eastAsia="Calibri" w:hAnsi="Arial" w:cs="Arial"/>
          <w:color w:val="000000" w:themeColor="text1"/>
          <w:sz w:val="21"/>
          <w:szCs w:val="21"/>
        </w:rPr>
      </w:pPr>
      <w:r w:rsidRPr="00C0223D">
        <w:rPr>
          <w:rFonts w:ascii="Arial" w:eastAsia="Calibri" w:hAnsi="Arial" w:cs="Arial"/>
          <w:color w:val="000000" w:themeColor="text1"/>
          <w:sz w:val="21"/>
          <w:szCs w:val="21"/>
        </w:rPr>
        <w:lastRenderedPageBreak/>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4ED16B7A" w14:textId="77777777" w:rsidR="00AD5745" w:rsidRDefault="00AD5745" w:rsidP="00AD5745">
      <w:pPr>
        <w:spacing w:line="276" w:lineRule="auto"/>
        <w:ind w:firstLine="709"/>
        <w:jc w:val="both"/>
        <w:rPr>
          <w:rFonts w:ascii="Arial" w:hAnsi="Arial" w:cs="Arial"/>
          <w:color w:val="000000" w:themeColor="text1"/>
          <w:sz w:val="22"/>
        </w:rPr>
      </w:pPr>
    </w:p>
    <w:p w14:paraId="0617AAAB" w14:textId="37A4F82B" w:rsidR="00C64A66" w:rsidRPr="00A70F57" w:rsidRDefault="00C64A66" w:rsidP="00AD5745">
      <w:pPr>
        <w:spacing w:line="276" w:lineRule="auto"/>
        <w:ind w:firstLine="709"/>
        <w:jc w:val="both"/>
        <w:rPr>
          <w:rFonts w:ascii="Arial" w:hAnsi="Arial" w:cs="Arial"/>
          <w:color w:val="000000" w:themeColor="text1"/>
          <w:sz w:val="22"/>
        </w:rPr>
      </w:pPr>
      <w:r w:rsidRPr="00A70F57">
        <w:rPr>
          <w:rFonts w:ascii="Arial" w:hAnsi="Arial" w:cs="Arial"/>
          <w:color w:val="000000" w:themeColor="text1"/>
          <w:sz w:val="22"/>
        </w:rPr>
        <w:t xml:space="preserve">Por su parte, el artículo 72 de la Ley 1682 de 2013, por la cual se adoptan medidas y disposiciones para los proyectos de infraestructura de transporte, estableció que la capacidad residual del proponente se debe calcular mediante la evaluación de los siguientes factores: Experiencia –E–, Capacidad Financiera –CF–, Capacidad Técnica –CT– y Capacidad de </w:t>
      </w:r>
      <w:r w:rsidRPr="00A70F57">
        <w:rPr>
          <w:rFonts w:ascii="Arial" w:eastAsia="Calibri" w:hAnsi="Arial" w:cs="Arial"/>
          <w:bCs/>
          <w:color w:val="000000" w:themeColor="text1"/>
          <w:sz w:val="22"/>
        </w:rPr>
        <w:t>Organización</w:t>
      </w:r>
      <w:r w:rsidRPr="00A70F57">
        <w:rPr>
          <w:rFonts w:ascii="Arial" w:hAnsi="Arial" w:cs="Arial"/>
          <w:color w:val="000000" w:themeColor="text1"/>
          <w:sz w:val="22"/>
        </w:rPr>
        <w:t xml:space="preserve"> –CO–. </w:t>
      </w:r>
    </w:p>
    <w:p w14:paraId="54FB24A8" w14:textId="250FEF4C" w:rsidR="00C64A66" w:rsidRDefault="00C64A66" w:rsidP="00C64A66">
      <w:pPr>
        <w:spacing w:before="120" w:line="276" w:lineRule="auto"/>
        <w:ind w:firstLine="709"/>
        <w:jc w:val="both"/>
        <w:rPr>
          <w:rFonts w:ascii="Arial" w:eastAsia="Calibri" w:hAnsi="Arial" w:cs="Arial"/>
          <w:color w:val="000000" w:themeColor="text1"/>
          <w:sz w:val="22"/>
        </w:rPr>
      </w:pPr>
      <w:r w:rsidRPr="00A70F57">
        <w:rPr>
          <w:rFonts w:ascii="Arial" w:eastAsia="Calibri" w:hAnsi="Arial" w:cs="Arial"/>
          <w:color w:val="000000" w:themeColor="text1"/>
          <w:sz w:val="22"/>
        </w:rPr>
        <w:t>Igualmente, el artículo 2.2.1.1.1.6.4 del Decreto 1082 de 2015 establece que las entidades estatales deberán calcular la capacidad residual conforme a la metodología definida por Colombia Compre Eficiente</w:t>
      </w:r>
      <w:r w:rsidR="001F3744">
        <w:rPr>
          <w:rFonts w:ascii="Arial" w:eastAsia="Calibri" w:hAnsi="Arial" w:cs="Arial"/>
          <w:color w:val="000000" w:themeColor="text1"/>
          <w:sz w:val="22"/>
        </w:rPr>
        <w:t>,</w:t>
      </w:r>
      <w:r w:rsidRPr="00A70F57">
        <w:rPr>
          <w:rFonts w:ascii="Arial" w:eastAsia="Calibri" w:hAnsi="Arial" w:cs="Arial"/>
          <w:color w:val="000000" w:themeColor="text1"/>
          <w:sz w:val="22"/>
        </w:rPr>
        <w:t xml:space="preserve"> y precisó que, para tales fines, resulta necesario tener en cuenta los factores de: Experiencia (E), Capacidad Financiera (CF), Capacidad Técnica (CT), Capacidad de Organización (CO), y los saldos de los contratos en ejecución (SCE), así:</w:t>
      </w:r>
    </w:p>
    <w:p w14:paraId="41BA2642" w14:textId="77777777" w:rsidR="00C64A66" w:rsidRPr="00A70F57" w:rsidRDefault="00C64A66" w:rsidP="00C64A66">
      <w:pPr>
        <w:spacing w:line="276" w:lineRule="auto"/>
        <w:ind w:firstLine="709"/>
        <w:jc w:val="both"/>
        <w:rPr>
          <w:rFonts w:ascii="Arial" w:eastAsia="Calibri" w:hAnsi="Arial" w:cs="Arial"/>
          <w:color w:val="000000" w:themeColor="text1"/>
          <w:sz w:val="22"/>
        </w:rPr>
      </w:pPr>
    </w:p>
    <w:p w14:paraId="1D5A9B07" w14:textId="77777777" w:rsidR="00C64A66" w:rsidRDefault="00C64A66" w:rsidP="00C64A66">
      <w:pPr>
        <w:ind w:left="708" w:right="709"/>
        <w:jc w:val="both"/>
        <w:rPr>
          <w:rFonts w:ascii="Arial" w:eastAsia="Calibri" w:hAnsi="Arial" w:cs="Arial"/>
          <w:color w:val="000000" w:themeColor="text1"/>
          <w:sz w:val="21"/>
          <w:szCs w:val="21"/>
        </w:rPr>
      </w:pPr>
      <w:r w:rsidRPr="00D75806">
        <w:rPr>
          <w:rFonts w:ascii="Arial" w:eastAsia="Calibri" w:hAnsi="Arial" w:cs="Arial"/>
          <w:color w:val="000000" w:themeColor="text1"/>
          <w:sz w:val="21"/>
          <w:szCs w:val="21"/>
        </w:rPr>
        <w:t>Artículo 2.2.1.1.1.6.4. Capacidad Residual. El interesado en celebrar contratos de obra pública con Entidades Estatales debe acreditar su Capacidad Residual o K de Contratación con los siguientes documentos: […]</w:t>
      </w:r>
    </w:p>
    <w:p w14:paraId="37FA2858" w14:textId="77777777" w:rsidR="00C64A66" w:rsidRPr="00D75806" w:rsidRDefault="00C64A66" w:rsidP="00C64A66">
      <w:pPr>
        <w:ind w:left="708" w:right="709"/>
        <w:jc w:val="both"/>
        <w:rPr>
          <w:rFonts w:ascii="Arial" w:eastAsia="Calibri" w:hAnsi="Arial" w:cs="Arial"/>
          <w:color w:val="000000" w:themeColor="text1"/>
          <w:sz w:val="21"/>
          <w:szCs w:val="21"/>
        </w:rPr>
      </w:pPr>
    </w:p>
    <w:p w14:paraId="12EA98C7" w14:textId="77777777" w:rsidR="00C64A66" w:rsidRDefault="00C64A66" w:rsidP="00C64A66">
      <w:pPr>
        <w:ind w:left="708" w:right="709"/>
        <w:jc w:val="both"/>
        <w:rPr>
          <w:rFonts w:ascii="Arial" w:eastAsia="Calibri" w:hAnsi="Arial" w:cs="Arial"/>
          <w:color w:val="000000" w:themeColor="text1"/>
          <w:sz w:val="21"/>
          <w:szCs w:val="21"/>
        </w:rPr>
      </w:pPr>
      <w:r w:rsidRPr="00D75806">
        <w:rPr>
          <w:rFonts w:ascii="Arial" w:eastAsia="Calibri" w:hAnsi="Arial" w:cs="Arial"/>
          <w:color w:val="000000" w:themeColor="text1"/>
          <w:sz w:val="21"/>
          <w:szCs w:val="21"/>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p>
    <w:p w14:paraId="4CF3D7D8" w14:textId="77777777" w:rsidR="00C64A66" w:rsidRPr="00D75806" w:rsidRDefault="00C64A66" w:rsidP="00C64A66">
      <w:pPr>
        <w:ind w:left="708" w:right="709"/>
        <w:jc w:val="both"/>
        <w:rPr>
          <w:rFonts w:ascii="Arial" w:eastAsia="Calibri" w:hAnsi="Arial" w:cs="Arial"/>
          <w:color w:val="000000" w:themeColor="text1"/>
          <w:sz w:val="21"/>
          <w:szCs w:val="21"/>
        </w:rPr>
      </w:pPr>
    </w:p>
    <w:p w14:paraId="41AC533C" w14:textId="77777777" w:rsidR="00C64A66" w:rsidRPr="00A70F57" w:rsidRDefault="00C64A66" w:rsidP="00C64A66">
      <w:pPr>
        <w:spacing w:line="276" w:lineRule="auto"/>
        <w:ind w:firstLine="709"/>
        <w:jc w:val="both"/>
        <w:rPr>
          <w:rFonts w:ascii="Arial" w:hAnsi="Arial" w:cs="Arial"/>
          <w:color w:val="000000" w:themeColor="text1"/>
          <w:sz w:val="22"/>
        </w:rPr>
      </w:pPr>
      <w:r w:rsidRPr="00A70F57">
        <w:rPr>
          <w:rFonts w:ascii="Arial" w:hAnsi="Arial" w:cs="Arial"/>
          <w:color w:val="000000" w:themeColor="text1"/>
          <w:sz w:val="22"/>
        </w:rPr>
        <w:t xml:space="preserve">De conformidad con lo anterior, la Agencia Nacional para la Contratación Pública ‒‒ Colombia Compra Eficiente expidió la Guía para Determinar y Verificar la Capacidad Residual del Proponente en los Procesos de Contratación de Obra Pública. En este documento se establece que la capacidad residual del proponente se calcula según la siguiente fórmula: </w:t>
      </w:r>
    </w:p>
    <w:p w14:paraId="0B01EF81" w14:textId="77777777" w:rsidR="00C64A66" w:rsidRPr="00A70F57" w:rsidRDefault="00C64A66" w:rsidP="00C64A66">
      <w:pPr>
        <w:spacing w:line="276" w:lineRule="auto"/>
        <w:jc w:val="both"/>
        <w:rPr>
          <w:rFonts w:ascii="Arial" w:hAnsi="Arial" w:cs="Arial"/>
          <w:color w:val="000000" w:themeColor="text1"/>
          <w:sz w:val="22"/>
        </w:rPr>
      </w:pPr>
    </w:p>
    <w:p w14:paraId="644DDF02" w14:textId="77777777" w:rsidR="00C64A66" w:rsidRPr="00A70F57" w:rsidRDefault="00C64A66" w:rsidP="00C64A66">
      <w:pPr>
        <w:spacing w:line="276" w:lineRule="auto"/>
        <w:jc w:val="center"/>
        <w:rPr>
          <w:rFonts w:ascii="Arial" w:hAnsi="Arial" w:cs="Arial"/>
          <w:color w:val="000000" w:themeColor="text1"/>
          <w:sz w:val="22"/>
        </w:rPr>
      </w:pPr>
      <w:r w:rsidRPr="00A70F57">
        <w:rPr>
          <w:rFonts w:ascii="Arial" w:hAnsi="Arial" w:cs="Arial"/>
          <w:noProof/>
          <w:sz w:val="22"/>
          <w:lang w:val="en-US"/>
        </w:rPr>
        <w:drawing>
          <wp:inline distT="0" distB="0" distL="0" distR="0" wp14:anchorId="66B1AF73" wp14:editId="49A4ACAA">
            <wp:extent cx="4495800" cy="716280"/>
            <wp:effectExtent l="0" t="0" r="0" b="7620"/>
            <wp:docPr id="5" name="Imagen 5"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495801" cy="716280"/>
                    </a:xfrm>
                    <a:prstGeom prst="rect">
                      <a:avLst/>
                    </a:prstGeom>
                  </pic:spPr>
                </pic:pic>
              </a:graphicData>
            </a:graphic>
          </wp:inline>
        </w:drawing>
      </w:r>
    </w:p>
    <w:p w14:paraId="1A7143F1" w14:textId="77777777" w:rsidR="00C64A66" w:rsidRPr="00A70F57" w:rsidRDefault="00C64A66" w:rsidP="00C64A66">
      <w:pPr>
        <w:spacing w:line="276" w:lineRule="auto"/>
        <w:jc w:val="both"/>
        <w:rPr>
          <w:rFonts w:ascii="Arial" w:eastAsia="Calibri" w:hAnsi="Arial" w:cs="Arial"/>
          <w:bCs/>
          <w:color w:val="000000" w:themeColor="text1"/>
          <w:sz w:val="22"/>
        </w:rPr>
      </w:pPr>
      <w:r w:rsidRPr="00A70F57">
        <w:rPr>
          <w:rFonts w:ascii="Arial" w:eastAsia="Calibri" w:hAnsi="Arial" w:cs="Arial"/>
          <w:bCs/>
          <w:color w:val="000000" w:themeColor="text1"/>
          <w:sz w:val="22"/>
        </w:rPr>
        <w:tab/>
      </w:r>
    </w:p>
    <w:p w14:paraId="064843D4" w14:textId="77777777" w:rsidR="00C64A66" w:rsidRPr="00A70F57" w:rsidRDefault="00C64A66" w:rsidP="00C64A66">
      <w:pPr>
        <w:autoSpaceDE w:val="0"/>
        <w:autoSpaceDN w:val="0"/>
        <w:adjustRightInd w:val="0"/>
        <w:spacing w:line="276" w:lineRule="auto"/>
        <w:ind w:firstLine="708"/>
        <w:jc w:val="both"/>
        <w:rPr>
          <w:rFonts w:ascii="Arial" w:hAnsi="Arial" w:cs="Arial"/>
          <w:sz w:val="22"/>
        </w:rPr>
      </w:pPr>
      <w:r>
        <w:rPr>
          <w:rFonts w:ascii="Arial" w:hAnsi="Arial" w:cs="Arial"/>
          <w:sz w:val="22"/>
        </w:rPr>
        <w:t>Como se observa, la</w:t>
      </w:r>
      <w:r w:rsidRPr="00A70F57">
        <w:rPr>
          <w:rFonts w:ascii="Arial" w:hAnsi="Arial" w:cs="Arial"/>
          <w:sz w:val="22"/>
        </w:rPr>
        <w:t xml:space="preserve"> Capacidad de organización (CO) corresponde a uno de los factores para calcular la capacidad residual del proponente en los procesos de obra pública.  </w:t>
      </w:r>
      <w:r w:rsidRPr="00A70F57">
        <w:rPr>
          <w:rFonts w:ascii="Arial" w:hAnsi="Arial" w:cs="Arial"/>
          <w:sz w:val="22"/>
        </w:rPr>
        <w:lastRenderedPageBreak/>
        <w:t>Para su verificación se examinan los ingresos operacionales teniendo en cuenta lo siguiente:</w:t>
      </w:r>
    </w:p>
    <w:p w14:paraId="1D5ED63D" w14:textId="77777777" w:rsidR="00C64A66" w:rsidRPr="00A70F57" w:rsidRDefault="00C64A66" w:rsidP="00C64A66">
      <w:pPr>
        <w:autoSpaceDE w:val="0"/>
        <w:autoSpaceDN w:val="0"/>
        <w:adjustRightInd w:val="0"/>
        <w:rPr>
          <w:rFonts w:ascii="Arial" w:hAnsi="Arial" w:cs="Arial"/>
          <w:color w:val="58595B"/>
          <w:sz w:val="22"/>
        </w:rPr>
      </w:pPr>
    </w:p>
    <w:tbl>
      <w:tblPr>
        <w:tblStyle w:val="Tablaconcuadrcula2"/>
        <w:tblW w:w="7366" w:type="dxa"/>
        <w:tblInd w:w="709" w:type="dxa"/>
        <w:tblLook w:val="04A0" w:firstRow="1" w:lastRow="0" w:firstColumn="1" w:lastColumn="0" w:noHBand="0" w:noVBand="1"/>
      </w:tblPr>
      <w:tblGrid>
        <w:gridCol w:w="4053"/>
        <w:gridCol w:w="3313"/>
      </w:tblGrid>
      <w:tr w:rsidR="00C64A66" w:rsidRPr="00A70F57" w14:paraId="10CFEB50" w14:textId="77777777" w:rsidTr="00C84BD2">
        <w:tc>
          <w:tcPr>
            <w:tcW w:w="4053" w:type="dxa"/>
            <w:shd w:val="clear" w:color="auto" w:fill="D9D9D9"/>
          </w:tcPr>
          <w:p w14:paraId="5A4D9ACE" w14:textId="77777777" w:rsidR="00C64A66" w:rsidRPr="00A70F57" w:rsidRDefault="00C64A66" w:rsidP="00C84BD2">
            <w:pPr>
              <w:widowControl w:val="0"/>
              <w:tabs>
                <w:tab w:val="left" w:pos="993"/>
              </w:tabs>
              <w:autoSpaceDE w:val="0"/>
              <w:autoSpaceDN w:val="0"/>
              <w:spacing w:before="120" w:line="276" w:lineRule="auto"/>
              <w:ind w:right="51"/>
              <w:jc w:val="center"/>
              <w:rPr>
                <w:rFonts w:ascii="Arial" w:eastAsia="Arial" w:hAnsi="Arial" w:cs="Arial"/>
                <w:b/>
                <w:bCs/>
                <w:sz w:val="22"/>
                <w:lang w:val="es-ES" w:eastAsia="es-ES" w:bidi="es-ES"/>
              </w:rPr>
            </w:pPr>
            <w:r w:rsidRPr="00A70F57">
              <w:rPr>
                <w:rFonts w:ascii="Arial" w:eastAsia="Arial" w:hAnsi="Arial" w:cs="Arial"/>
                <w:b/>
                <w:bCs/>
                <w:sz w:val="22"/>
                <w:lang w:val="es-ES" w:eastAsia="es-ES" w:bidi="es-ES"/>
              </w:rPr>
              <w:t>Años de información financiera</w:t>
            </w:r>
          </w:p>
        </w:tc>
        <w:tc>
          <w:tcPr>
            <w:tcW w:w="3313" w:type="dxa"/>
            <w:shd w:val="clear" w:color="auto" w:fill="D9D9D9"/>
          </w:tcPr>
          <w:p w14:paraId="6E38B6F6" w14:textId="77777777" w:rsidR="00C64A66" w:rsidRPr="00A70F57" w:rsidRDefault="00C64A66" w:rsidP="00C84BD2">
            <w:pPr>
              <w:widowControl w:val="0"/>
              <w:tabs>
                <w:tab w:val="left" w:pos="993"/>
              </w:tabs>
              <w:autoSpaceDE w:val="0"/>
              <w:autoSpaceDN w:val="0"/>
              <w:spacing w:before="120" w:line="276" w:lineRule="auto"/>
              <w:ind w:right="51"/>
              <w:jc w:val="center"/>
              <w:rPr>
                <w:rFonts w:ascii="Arial" w:eastAsia="Arial" w:hAnsi="Arial" w:cs="Arial"/>
                <w:b/>
                <w:bCs/>
                <w:sz w:val="22"/>
                <w:lang w:val="es-ES" w:eastAsia="es-ES" w:bidi="es-ES"/>
              </w:rPr>
            </w:pPr>
            <w:r w:rsidRPr="00A70F57">
              <w:rPr>
                <w:rFonts w:ascii="Arial" w:eastAsia="Arial" w:hAnsi="Arial" w:cs="Arial"/>
                <w:b/>
                <w:bCs/>
                <w:sz w:val="22"/>
                <w:lang w:val="es-ES" w:eastAsia="es-ES" w:bidi="es-ES"/>
              </w:rPr>
              <w:t>Capacidad de organización</w:t>
            </w:r>
          </w:p>
        </w:tc>
      </w:tr>
      <w:tr w:rsidR="00C64A66" w:rsidRPr="00A70F57" w14:paraId="68FA0D3B" w14:textId="77777777" w:rsidTr="00C84BD2">
        <w:tc>
          <w:tcPr>
            <w:tcW w:w="4053" w:type="dxa"/>
          </w:tcPr>
          <w:p w14:paraId="13831DED" w14:textId="77777777" w:rsidR="00C64A66" w:rsidRPr="00A70F57" w:rsidRDefault="00C64A66" w:rsidP="00C84BD2">
            <w:pPr>
              <w:widowControl w:val="0"/>
              <w:tabs>
                <w:tab w:val="left" w:pos="993"/>
              </w:tabs>
              <w:autoSpaceDE w:val="0"/>
              <w:autoSpaceDN w:val="0"/>
              <w:spacing w:before="120" w:line="276" w:lineRule="auto"/>
              <w:ind w:right="51"/>
              <w:jc w:val="both"/>
              <w:rPr>
                <w:rFonts w:ascii="Arial" w:eastAsia="Arial" w:hAnsi="Arial" w:cs="Arial"/>
                <w:sz w:val="22"/>
                <w:lang w:val="es-ES" w:eastAsia="es-ES" w:bidi="es-ES"/>
              </w:rPr>
            </w:pPr>
            <w:r w:rsidRPr="00A70F57">
              <w:rPr>
                <w:rFonts w:ascii="Arial" w:eastAsia="Arial" w:hAnsi="Arial" w:cs="Arial"/>
                <w:sz w:val="22"/>
                <w:lang w:val="es-ES" w:eastAsia="es-ES" w:bidi="es-ES"/>
              </w:rPr>
              <w:t>Cinco (5) años o más</w:t>
            </w:r>
          </w:p>
        </w:tc>
        <w:tc>
          <w:tcPr>
            <w:tcW w:w="3313" w:type="dxa"/>
          </w:tcPr>
          <w:p w14:paraId="281FD9FA" w14:textId="77777777" w:rsidR="00C64A66" w:rsidRPr="00A70F57" w:rsidRDefault="00C64A66" w:rsidP="00C84BD2">
            <w:pPr>
              <w:widowControl w:val="0"/>
              <w:tabs>
                <w:tab w:val="left" w:pos="993"/>
              </w:tabs>
              <w:autoSpaceDE w:val="0"/>
              <w:autoSpaceDN w:val="0"/>
              <w:spacing w:before="120" w:line="276" w:lineRule="auto"/>
              <w:ind w:right="51"/>
              <w:jc w:val="both"/>
              <w:rPr>
                <w:rFonts w:ascii="Arial" w:eastAsia="Arial" w:hAnsi="Arial" w:cs="Arial"/>
                <w:sz w:val="22"/>
                <w:lang w:val="es-ES" w:eastAsia="es-ES" w:bidi="es-ES"/>
              </w:rPr>
            </w:pPr>
            <w:r w:rsidRPr="00A70F57">
              <w:rPr>
                <w:rFonts w:ascii="Arial" w:eastAsia="Arial" w:hAnsi="Arial" w:cs="Arial"/>
                <w:sz w:val="22"/>
                <w:lang w:val="es-ES" w:eastAsia="es-ES" w:bidi="es-ES"/>
              </w:rPr>
              <w:t>Mayor ingreso operacional de los últimos cinco años</w:t>
            </w:r>
          </w:p>
        </w:tc>
      </w:tr>
      <w:tr w:rsidR="00C64A66" w:rsidRPr="00A70F57" w14:paraId="1398DDCD" w14:textId="77777777" w:rsidTr="00C84BD2">
        <w:tc>
          <w:tcPr>
            <w:tcW w:w="4053" w:type="dxa"/>
          </w:tcPr>
          <w:p w14:paraId="5BDA803A" w14:textId="77777777" w:rsidR="00C64A66" w:rsidRPr="00A70F57" w:rsidRDefault="00C64A66" w:rsidP="00C84BD2">
            <w:pPr>
              <w:widowControl w:val="0"/>
              <w:tabs>
                <w:tab w:val="left" w:pos="993"/>
              </w:tabs>
              <w:autoSpaceDE w:val="0"/>
              <w:autoSpaceDN w:val="0"/>
              <w:spacing w:before="120" w:line="276" w:lineRule="auto"/>
              <w:ind w:right="51"/>
              <w:jc w:val="both"/>
              <w:rPr>
                <w:rFonts w:ascii="Arial" w:eastAsia="Arial" w:hAnsi="Arial" w:cs="Arial"/>
                <w:sz w:val="22"/>
                <w:lang w:val="es-ES" w:eastAsia="es-ES" w:bidi="es-ES"/>
              </w:rPr>
            </w:pPr>
            <w:r w:rsidRPr="00A70F57">
              <w:rPr>
                <w:rFonts w:ascii="Arial" w:eastAsia="Arial" w:hAnsi="Arial" w:cs="Arial"/>
                <w:sz w:val="22"/>
                <w:lang w:val="es-ES" w:eastAsia="es-ES" w:bidi="es-ES"/>
              </w:rPr>
              <w:t>Entre uno (1) y cinco (5) años</w:t>
            </w:r>
          </w:p>
        </w:tc>
        <w:tc>
          <w:tcPr>
            <w:tcW w:w="3313" w:type="dxa"/>
          </w:tcPr>
          <w:p w14:paraId="68760B35" w14:textId="77777777" w:rsidR="00C64A66" w:rsidRPr="00A70F57" w:rsidRDefault="00C64A66" w:rsidP="00C84BD2">
            <w:pPr>
              <w:widowControl w:val="0"/>
              <w:tabs>
                <w:tab w:val="left" w:pos="993"/>
              </w:tabs>
              <w:autoSpaceDE w:val="0"/>
              <w:autoSpaceDN w:val="0"/>
              <w:spacing w:before="120" w:line="276" w:lineRule="auto"/>
              <w:ind w:right="51"/>
              <w:jc w:val="both"/>
              <w:rPr>
                <w:rFonts w:ascii="Arial" w:eastAsia="Arial" w:hAnsi="Arial" w:cs="Arial"/>
                <w:sz w:val="22"/>
                <w:lang w:val="es-ES" w:eastAsia="es-ES" w:bidi="es-ES"/>
              </w:rPr>
            </w:pPr>
            <w:r w:rsidRPr="00A70F57">
              <w:rPr>
                <w:rFonts w:ascii="Arial" w:eastAsia="Arial" w:hAnsi="Arial" w:cs="Arial"/>
                <w:sz w:val="22"/>
                <w:lang w:val="es-ES" w:eastAsia="es-ES" w:bidi="es-ES"/>
              </w:rPr>
              <w:t>Mayor ingreso operacional de los años de vida del oferente</w:t>
            </w:r>
          </w:p>
        </w:tc>
      </w:tr>
      <w:tr w:rsidR="00C64A66" w:rsidRPr="00A70F57" w14:paraId="2B3A5366" w14:textId="77777777" w:rsidTr="00C84BD2">
        <w:tc>
          <w:tcPr>
            <w:tcW w:w="4053" w:type="dxa"/>
          </w:tcPr>
          <w:p w14:paraId="6A81CA60" w14:textId="77777777" w:rsidR="00C64A66" w:rsidRPr="00A70F57" w:rsidRDefault="00C64A66" w:rsidP="00C84BD2">
            <w:pPr>
              <w:widowControl w:val="0"/>
              <w:tabs>
                <w:tab w:val="left" w:pos="993"/>
              </w:tabs>
              <w:autoSpaceDE w:val="0"/>
              <w:autoSpaceDN w:val="0"/>
              <w:spacing w:before="120" w:line="276" w:lineRule="auto"/>
              <w:ind w:right="51"/>
              <w:jc w:val="both"/>
              <w:rPr>
                <w:rFonts w:ascii="Arial" w:eastAsia="Arial" w:hAnsi="Arial" w:cs="Arial"/>
                <w:sz w:val="22"/>
                <w:lang w:val="es-ES" w:eastAsia="es-ES" w:bidi="es-ES"/>
              </w:rPr>
            </w:pPr>
            <w:r w:rsidRPr="00A70F57">
              <w:rPr>
                <w:rFonts w:ascii="Arial" w:eastAsia="Arial" w:hAnsi="Arial" w:cs="Arial"/>
                <w:sz w:val="22"/>
                <w:lang w:val="es-ES" w:eastAsia="es-ES" w:bidi="es-ES"/>
              </w:rPr>
              <w:t>Menos de un (1) año</w:t>
            </w:r>
          </w:p>
        </w:tc>
        <w:tc>
          <w:tcPr>
            <w:tcW w:w="3313" w:type="dxa"/>
          </w:tcPr>
          <w:p w14:paraId="103DBAF7" w14:textId="77777777" w:rsidR="00C64A66" w:rsidRPr="00A70F57" w:rsidRDefault="00C64A66" w:rsidP="00C84BD2">
            <w:pPr>
              <w:widowControl w:val="0"/>
              <w:tabs>
                <w:tab w:val="left" w:pos="993"/>
              </w:tabs>
              <w:autoSpaceDE w:val="0"/>
              <w:autoSpaceDN w:val="0"/>
              <w:spacing w:before="120" w:line="276" w:lineRule="auto"/>
              <w:ind w:right="51"/>
              <w:jc w:val="both"/>
              <w:rPr>
                <w:rFonts w:ascii="Arial" w:eastAsia="Arial" w:hAnsi="Arial" w:cs="Arial"/>
                <w:sz w:val="22"/>
                <w:lang w:val="es-ES" w:eastAsia="es-ES" w:bidi="es-ES"/>
              </w:rPr>
            </w:pPr>
            <w:r w:rsidRPr="00A70F57">
              <w:rPr>
                <w:rFonts w:ascii="Arial" w:eastAsia="Arial" w:hAnsi="Arial" w:cs="Arial"/>
                <w:sz w:val="22"/>
                <w:lang w:val="es-ES" w:eastAsia="es-ES" w:bidi="es-ES"/>
              </w:rPr>
              <w:t>USD 125.000</w:t>
            </w:r>
          </w:p>
        </w:tc>
      </w:tr>
    </w:tbl>
    <w:p w14:paraId="779E3656" w14:textId="77777777" w:rsidR="00C64A66" w:rsidRDefault="00C64A66" w:rsidP="001F3744">
      <w:pPr>
        <w:spacing w:line="276" w:lineRule="auto"/>
        <w:ind w:firstLine="709"/>
        <w:jc w:val="both"/>
        <w:rPr>
          <w:rFonts w:ascii="Arial" w:hAnsi="Arial" w:cs="Arial"/>
          <w:color w:val="000000" w:themeColor="text1"/>
          <w:sz w:val="22"/>
        </w:rPr>
      </w:pPr>
    </w:p>
    <w:p w14:paraId="0B97699F" w14:textId="7676E24D" w:rsidR="00C64A66" w:rsidRPr="00A70F57" w:rsidRDefault="00C64A66" w:rsidP="001F3744">
      <w:pPr>
        <w:spacing w:line="276" w:lineRule="auto"/>
        <w:ind w:firstLine="709"/>
        <w:jc w:val="both"/>
        <w:rPr>
          <w:rFonts w:ascii="Arial" w:hAnsi="Arial" w:cs="Arial"/>
          <w:color w:val="000000" w:themeColor="text1"/>
          <w:sz w:val="22"/>
        </w:rPr>
      </w:pPr>
      <w:r>
        <w:rPr>
          <w:rFonts w:ascii="Arial" w:hAnsi="Arial" w:cs="Arial"/>
          <w:color w:val="000000" w:themeColor="text1"/>
          <w:sz w:val="22"/>
        </w:rPr>
        <w:t>En armonía con lo anterior, e</w:t>
      </w:r>
      <w:r w:rsidRPr="00A70F57">
        <w:rPr>
          <w:rFonts w:ascii="Arial" w:hAnsi="Arial" w:cs="Arial"/>
          <w:color w:val="000000" w:themeColor="text1"/>
          <w:sz w:val="22"/>
        </w:rPr>
        <w:t>l análisis consiste en revisar el mayor ingreso operacional del proponente que reflejará la capacidad real de organización del mismo. En términos de la Sociedad Colombiana de Ingenieros – SCI «En la medida que una empresa constructora haya sido capaz de ejecutar contratos de obra de mayor cuantía y mayor cantidad, significa que esa empresa ha ido superando niveles de crecimiento y por lo tanto ha obtenido una mayor Capacidad de Organización (Co).</w:t>
      </w:r>
      <w:r w:rsidRPr="00A70F57">
        <w:rPr>
          <w:rFonts w:ascii="Arial" w:hAnsi="Arial" w:cs="Arial"/>
          <w:sz w:val="22"/>
        </w:rPr>
        <w:t xml:space="preserve"> </w:t>
      </w:r>
      <w:r w:rsidRPr="00A70F57">
        <w:rPr>
          <w:rFonts w:ascii="Arial" w:hAnsi="Arial" w:cs="Arial"/>
          <w:color w:val="000000" w:themeColor="text1"/>
          <w:sz w:val="22"/>
        </w:rPr>
        <w:t>Esta capacidad del proponente, considera la Sociedad Colombiana de Ingenieros –SCI-, debe determinarse con base en los ingresos brutos operacionales relacionados exclusivamente con la actividad de la construcción […]</w:t>
      </w:r>
      <w:r w:rsidR="005746DE" w:rsidRPr="00A70F57">
        <w:rPr>
          <w:rFonts w:ascii="Arial" w:hAnsi="Arial" w:cs="Arial"/>
          <w:color w:val="000000" w:themeColor="text1"/>
          <w:sz w:val="22"/>
        </w:rPr>
        <w:t>»</w:t>
      </w:r>
      <w:r w:rsidRPr="00A70F57">
        <w:rPr>
          <w:rStyle w:val="Refdenotaalpie"/>
          <w:rFonts w:ascii="Arial" w:hAnsi="Arial" w:cs="Arial"/>
          <w:color w:val="000000" w:themeColor="text1"/>
          <w:sz w:val="22"/>
        </w:rPr>
        <w:footnoteReference w:id="3"/>
      </w:r>
      <w:r w:rsidRPr="00A70F57">
        <w:rPr>
          <w:rFonts w:ascii="Arial" w:hAnsi="Arial" w:cs="Arial"/>
          <w:color w:val="000000" w:themeColor="text1"/>
          <w:sz w:val="22"/>
        </w:rPr>
        <w:t xml:space="preserve">. </w:t>
      </w:r>
    </w:p>
    <w:p w14:paraId="4ABBAD49" w14:textId="3AB0BD17" w:rsidR="00C64A66" w:rsidRPr="00A70F57" w:rsidRDefault="00C64A66" w:rsidP="00C64A66">
      <w:pPr>
        <w:spacing w:before="120" w:line="276" w:lineRule="auto"/>
        <w:ind w:firstLine="709"/>
        <w:jc w:val="both"/>
        <w:rPr>
          <w:rFonts w:ascii="Arial" w:hAnsi="Arial" w:cs="Arial"/>
          <w:color w:val="000000" w:themeColor="text1"/>
          <w:sz w:val="22"/>
        </w:rPr>
      </w:pPr>
      <w:r w:rsidRPr="00A70F57">
        <w:rPr>
          <w:rFonts w:ascii="Arial" w:hAnsi="Arial" w:cs="Arial"/>
          <w:color w:val="000000" w:themeColor="text1"/>
          <w:sz w:val="22"/>
        </w:rPr>
        <w:t>De esta manera, la capacidad de organización está en función de los ingresos operacionales del proponente. De ahí que tanto el Documento Tipo</w:t>
      </w:r>
      <w:r w:rsidR="005E18E0">
        <w:rPr>
          <w:rFonts w:ascii="Arial" w:hAnsi="Arial" w:cs="Arial"/>
          <w:color w:val="000000" w:themeColor="text1"/>
          <w:sz w:val="22"/>
        </w:rPr>
        <w:t>,</w:t>
      </w:r>
      <w:r w:rsidRPr="00A70F57">
        <w:rPr>
          <w:rFonts w:ascii="Arial" w:hAnsi="Arial" w:cs="Arial"/>
          <w:color w:val="000000" w:themeColor="text1"/>
          <w:sz w:val="22"/>
        </w:rPr>
        <w:t xml:space="preserve"> como el Decreto 1082 de 2015, soliciten el estado de resultados, puesto que mediante este documento se relacionan los ingresos, costos y gastos en los que incurrió el proponente, de tal forma que se puedan evidenciar los ingresos operacionales que ha obtenido en un determinado per</w:t>
      </w:r>
      <w:r w:rsidR="005E18E0">
        <w:rPr>
          <w:rFonts w:ascii="Arial" w:hAnsi="Arial" w:cs="Arial"/>
          <w:color w:val="000000" w:themeColor="text1"/>
          <w:sz w:val="22"/>
        </w:rPr>
        <w:t>í</w:t>
      </w:r>
      <w:r w:rsidRPr="00A70F57">
        <w:rPr>
          <w:rFonts w:ascii="Arial" w:hAnsi="Arial" w:cs="Arial"/>
          <w:color w:val="000000" w:themeColor="text1"/>
          <w:sz w:val="22"/>
        </w:rPr>
        <w:t xml:space="preserve">odo. </w:t>
      </w:r>
    </w:p>
    <w:p w14:paraId="1CF3B006" w14:textId="77777777" w:rsidR="00C64A66" w:rsidRDefault="00C64A66" w:rsidP="00C64A66">
      <w:pPr>
        <w:spacing w:before="120" w:line="276" w:lineRule="auto"/>
        <w:ind w:firstLine="709"/>
        <w:jc w:val="both"/>
        <w:rPr>
          <w:rFonts w:ascii="Arial" w:eastAsia="Calibri" w:hAnsi="Arial" w:cs="Arial"/>
          <w:bCs/>
          <w:color w:val="000000" w:themeColor="text1"/>
          <w:sz w:val="22"/>
        </w:rPr>
      </w:pPr>
      <w:r w:rsidRPr="00A70F57">
        <w:rPr>
          <w:rFonts w:ascii="Arial" w:eastAsia="Calibri" w:hAnsi="Arial" w:cs="Arial"/>
          <w:bCs/>
          <w:color w:val="000000" w:themeColor="text1"/>
          <w:sz w:val="22"/>
        </w:rPr>
        <w:t>Así las cosas, definido el alcance del requisito habilitante de capacidad residual en los procesos de contratación, y el de la capacidad de organización como uno de sus factores, a continuación se explicará la forma en que se reguló este requisito en los Documentos Tipo de licitación de obra pública de infraestructura de transporte</w:t>
      </w:r>
      <w:r>
        <w:rPr>
          <w:rFonts w:ascii="Arial" w:eastAsia="Calibri" w:hAnsi="Arial" w:cs="Arial"/>
          <w:bCs/>
          <w:color w:val="000000" w:themeColor="text1"/>
          <w:sz w:val="22"/>
        </w:rPr>
        <w:t xml:space="preserve"> en su</w:t>
      </w:r>
      <w:r w:rsidRPr="00A70F57">
        <w:rPr>
          <w:rFonts w:ascii="Arial" w:eastAsia="Calibri" w:hAnsi="Arial" w:cs="Arial"/>
          <w:bCs/>
          <w:color w:val="000000" w:themeColor="text1"/>
          <w:sz w:val="22"/>
        </w:rPr>
        <w:t xml:space="preserve"> Versión 1, Versión 2 y Versión 3</w:t>
      </w:r>
      <w:r>
        <w:rPr>
          <w:rFonts w:ascii="Arial" w:eastAsia="Calibri" w:hAnsi="Arial" w:cs="Arial"/>
          <w:bCs/>
          <w:color w:val="000000" w:themeColor="text1"/>
          <w:sz w:val="22"/>
        </w:rPr>
        <w:t>, ya que el proceso de desarrollo de este contenido de los documentos tipo es útil para entender el alcance de lo regulado en la última versión</w:t>
      </w:r>
      <w:r w:rsidRPr="00A70F57">
        <w:rPr>
          <w:rFonts w:ascii="Arial" w:eastAsia="Calibri" w:hAnsi="Arial" w:cs="Arial"/>
          <w:bCs/>
          <w:color w:val="000000" w:themeColor="text1"/>
          <w:sz w:val="22"/>
        </w:rPr>
        <w:t xml:space="preserve">. </w:t>
      </w:r>
      <w:r>
        <w:rPr>
          <w:rFonts w:ascii="Arial" w:eastAsia="Calibri" w:hAnsi="Arial" w:cs="Arial"/>
          <w:bCs/>
          <w:color w:val="000000" w:themeColor="text1"/>
          <w:sz w:val="22"/>
        </w:rPr>
        <w:t>Con fundamento en lo anterior</w:t>
      </w:r>
      <w:r w:rsidRPr="00A70F57">
        <w:rPr>
          <w:rFonts w:ascii="Arial" w:eastAsia="Calibri" w:hAnsi="Arial" w:cs="Arial"/>
          <w:bCs/>
          <w:color w:val="000000" w:themeColor="text1"/>
          <w:sz w:val="22"/>
        </w:rPr>
        <w:t xml:space="preserve">, se analizarán los principales cambios referidos a la acreditación de la capacidad de organización en la nueva versión de los Documentos Tipo de licitación de obra pública de infraestructura de transporte, centrando el análisis específicamente en </w:t>
      </w:r>
      <w:r w:rsidRPr="00A70F57">
        <w:rPr>
          <w:rFonts w:ascii="Arial" w:eastAsia="Calibri" w:hAnsi="Arial" w:cs="Arial"/>
          <w:bCs/>
          <w:color w:val="000000" w:themeColor="text1"/>
          <w:sz w:val="22"/>
        </w:rPr>
        <w:lastRenderedPageBreak/>
        <w:t xml:space="preserve">el Documento Base codificado con las versiones 4 y 5 </w:t>
      </w:r>
      <w:r>
        <w:rPr>
          <w:rFonts w:ascii="Arial" w:eastAsia="Calibri" w:hAnsi="Arial" w:cs="Arial"/>
          <w:bCs/>
          <w:color w:val="000000" w:themeColor="text1"/>
          <w:sz w:val="22"/>
        </w:rPr>
        <w:t>–</w:t>
      </w:r>
      <w:r w:rsidRPr="00A70F57">
        <w:rPr>
          <w:rFonts w:ascii="Arial" w:eastAsia="Calibri" w:hAnsi="Arial" w:cs="Arial"/>
          <w:bCs/>
          <w:color w:val="000000" w:themeColor="text1"/>
          <w:sz w:val="22"/>
        </w:rPr>
        <w:t>vigente actualmente</w:t>
      </w:r>
      <w:r>
        <w:rPr>
          <w:rFonts w:ascii="Arial" w:eastAsia="Calibri" w:hAnsi="Arial" w:cs="Arial"/>
          <w:bCs/>
          <w:color w:val="000000" w:themeColor="text1"/>
          <w:sz w:val="22"/>
        </w:rPr>
        <w:t>–</w:t>
      </w:r>
      <w:r w:rsidRPr="00A70F57">
        <w:rPr>
          <w:rFonts w:ascii="Arial" w:eastAsia="Calibri" w:hAnsi="Arial" w:cs="Arial"/>
          <w:bCs/>
          <w:color w:val="000000" w:themeColor="text1"/>
          <w:sz w:val="22"/>
        </w:rPr>
        <w:t>.</w:t>
      </w:r>
      <w:r>
        <w:rPr>
          <w:rFonts w:ascii="Arial" w:eastAsia="Calibri" w:hAnsi="Arial" w:cs="Arial"/>
          <w:bCs/>
          <w:color w:val="000000" w:themeColor="text1"/>
          <w:sz w:val="22"/>
        </w:rPr>
        <w:t xml:space="preserve"> En todo caso, se aclara que la regulación de este aspecto en el documento tipo de licitación – Versión 3 se ha mantenido inalterado, pese a las variaciones del Documento Base. </w:t>
      </w:r>
    </w:p>
    <w:p w14:paraId="4BB49C3D" w14:textId="77777777" w:rsidR="00C64A66" w:rsidRPr="002B0611" w:rsidRDefault="00C64A66" w:rsidP="00C64A66">
      <w:pPr>
        <w:spacing w:line="276" w:lineRule="auto"/>
        <w:ind w:firstLine="709"/>
        <w:jc w:val="both"/>
        <w:rPr>
          <w:rFonts w:ascii="Arial" w:eastAsia="Calibri" w:hAnsi="Arial" w:cs="Arial"/>
          <w:bCs/>
          <w:color w:val="000000" w:themeColor="text1"/>
          <w:sz w:val="22"/>
        </w:rPr>
      </w:pPr>
    </w:p>
    <w:p w14:paraId="6ADAA3A1" w14:textId="77777777" w:rsidR="00C64A66" w:rsidRDefault="00C64A66" w:rsidP="00C64A66">
      <w:pPr>
        <w:tabs>
          <w:tab w:val="left" w:pos="426"/>
        </w:tabs>
        <w:spacing w:line="276" w:lineRule="auto"/>
        <w:jc w:val="both"/>
        <w:rPr>
          <w:rFonts w:ascii="Arial" w:eastAsia="Calibri" w:hAnsi="Arial" w:cs="Arial"/>
          <w:b/>
          <w:sz w:val="22"/>
        </w:rPr>
      </w:pPr>
      <w:r w:rsidRPr="00A70F57">
        <w:rPr>
          <w:rFonts w:ascii="Arial" w:eastAsia="Calibri" w:hAnsi="Arial" w:cs="Arial"/>
          <w:b/>
          <w:sz w:val="22"/>
        </w:rPr>
        <w:t>2.2.</w:t>
      </w:r>
      <w:r w:rsidRPr="00A70F57">
        <w:rPr>
          <w:rFonts w:ascii="Arial" w:eastAsia="Calibri" w:hAnsi="Arial" w:cs="Arial"/>
          <w:b/>
          <w:sz w:val="22"/>
        </w:rPr>
        <w:tab/>
        <w:t>Acreditación del factor Capacidad de Organización (CO) en las versiones 1,</w:t>
      </w:r>
      <w:r>
        <w:rPr>
          <w:rFonts w:ascii="Arial" w:eastAsia="Calibri" w:hAnsi="Arial" w:cs="Arial"/>
          <w:b/>
          <w:sz w:val="22"/>
        </w:rPr>
        <w:t xml:space="preserve"> </w:t>
      </w:r>
      <w:r w:rsidRPr="00A70F57">
        <w:rPr>
          <w:rFonts w:ascii="Arial" w:eastAsia="Calibri" w:hAnsi="Arial" w:cs="Arial"/>
          <w:b/>
          <w:sz w:val="22"/>
        </w:rPr>
        <w:t>2 y 3 de los Documentos Tipo de licitación de obra pública de infraestructura de transporte</w:t>
      </w:r>
    </w:p>
    <w:p w14:paraId="60C43EAA" w14:textId="77777777" w:rsidR="00C64A66" w:rsidRDefault="00C64A66" w:rsidP="00C64A66">
      <w:pPr>
        <w:spacing w:line="276" w:lineRule="auto"/>
        <w:jc w:val="both"/>
        <w:rPr>
          <w:rFonts w:ascii="Arial" w:eastAsia="Calibri" w:hAnsi="Arial" w:cs="Arial"/>
          <w:color w:val="000000"/>
          <w:sz w:val="22"/>
          <w:lang w:val="es-ES_tradnl" w:eastAsia="es-ES"/>
        </w:rPr>
      </w:pPr>
    </w:p>
    <w:p w14:paraId="63A4DE3E" w14:textId="048DD3F5" w:rsidR="00C64A66" w:rsidRPr="00BB79F6" w:rsidRDefault="009C56FF" w:rsidP="00C64A66">
      <w:pPr>
        <w:spacing w:line="276" w:lineRule="auto"/>
        <w:jc w:val="both"/>
        <w:rPr>
          <w:rFonts w:ascii="Arial" w:eastAsia="Calibri" w:hAnsi="Arial" w:cs="Arial"/>
          <w:color w:val="000000"/>
          <w:sz w:val="22"/>
          <w:lang w:val="es-ES_tradnl" w:eastAsia="es-ES"/>
        </w:rPr>
      </w:pPr>
      <w:r>
        <w:rPr>
          <w:rFonts w:ascii="Arial" w:eastAsia="Calibri" w:hAnsi="Arial" w:cs="Arial"/>
          <w:color w:val="000000"/>
          <w:sz w:val="22"/>
          <w:lang w:val="es-ES_tradnl" w:eastAsia="es-ES"/>
        </w:rPr>
        <w:t>E</w:t>
      </w:r>
      <w:r w:rsidR="00C64A66">
        <w:rPr>
          <w:rFonts w:ascii="Arial" w:eastAsia="Calibri" w:hAnsi="Arial" w:cs="Arial"/>
          <w:color w:val="000000"/>
          <w:sz w:val="22"/>
          <w:lang w:val="es-ES_tradnl" w:eastAsia="es-ES"/>
        </w:rPr>
        <w:t>s pertinente resaltar que</w:t>
      </w:r>
      <w:r w:rsidR="00C64A66" w:rsidRPr="00BB79F6">
        <w:rPr>
          <w:rFonts w:ascii="Arial" w:eastAsia="Calibri" w:hAnsi="Arial" w:cs="Arial"/>
          <w:color w:val="000000"/>
          <w:sz w:val="22"/>
          <w:lang w:val="es-ES_tradnl" w:eastAsia="es-ES"/>
        </w:rPr>
        <w:t xml:space="preserve"> en materia de infraestructura de transporte</w:t>
      </w:r>
      <w:r w:rsidR="000979C5">
        <w:rPr>
          <w:rFonts w:ascii="Arial" w:eastAsia="Calibri" w:hAnsi="Arial" w:cs="Arial"/>
          <w:color w:val="000000"/>
          <w:sz w:val="22"/>
          <w:lang w:val="es-ES_tradnl" w:eastAsia="es-ES"/>
        </w:rPr>
        <w:t>,</w:t>
      </w:r>
      <w:r w:rsidR="00C64A66" w:rsidRPr="00BB79F6">
        <w:rPr>
          <w:rFonts w:ascii="Arial" w:eastAsia="Calibri" w:hAnsi="Arial" w:cs="Arial"/>
          <w:color w:val="000000"/>
          <w:sz w:val="22"/>
          <w:lang w:val="es-ES_tradnl" w:eastAsia="es-ES"/>
        </w:rPr>
        <w:t xml:space="preserve"> en la modalidad de licitación pública, la Agencia Nacional de Contratación Pública - Colombia Compra Eficiente, hasta el momento</w:t>
      </w:r>
      <w:r w:rsidR="00E03122">
        <w:rPr>
          <w:rFonts w:ascii="Arial" w:eastAsia="Calibri" w:hAnsi="Arial" w:cs="Arial"/>
          <w:color w:val="000000"/>
          <w:sz w:val="22"/>
          <w:lang w:val="es-ES_tradnl" w:eastAsia="es-ES"/>
        </w:rPr>
        <w:t>,</w:t>
      </w:r>
      <w:r w:rsidR="00C64A66" w:rsidRPr="00BB79F6">
        <w:rPr>
          <w:rFonts w:ascii="Arial" w:eastAsia="Calibri" w:hAnsi="Arial" w:cs="Arial"/>
          <w:color w:val="000000"/>
          <w:sz w:val="22"/>
          <w:lang w:val="es-ES_tradnl" w:eastAsia="es-ES"/>
        </w:rPr>
        <w:t xml:space="preserve"> ha adoptado y actualizado los siguientes documentos tipo</w:t>
      </w:r>
      <w:r w:rsidR="00E03122">
        <w:rPr>
          <w:rFonts w:ascii="Arial" w:eastAsia="Calibri" w:hAnsi="Arial" w:cs="Arial"/>
          <w:color w:val="000000"/>
          <w:sz w:val="22"/>
          <w:lang w:val="es-ES_tradnl" w:eastAsia="es-ES"/>
        </w:rPr>
        <w:t>,</w:t>
      </w:r>
      <w:r w:rsidR="00C64A66" w:rsidRPr="00BB79F6">
        <w:rPr>
          <w:rFonts w:ascii="Arial" w:eastAsia="Calibri" w:hAnsi="Arial" w:cs="Arial"/>
          <w:color w:val="000000"/>
          <w:sz w:val="22"/>
          <w:lang w:val="es-ES_tradnl" w:eastAsia="es-ES"/>
        </w:rPr>
        <w:t xml:space="preserve"> que son obligatorios para todas las entidades sometidas al Estatuto General de Contratación de la Administración Pública: </w:t>
      </w:r>
    </w:p>
    <w:p w14:paraId="46EECC3C" w14:textId="77777777" w:rsidR="00C64A66" w:rsidRPr="00BB79F6" w:rsidRDefault="00C64A66" w:rsidP="00C64A66">
      <w:pPr>
        <w:spacing w:before="120" w:line="276" w:lineRule="auto"/>
        <w:ind w:firstLine="709"/>
        <w:jc w:val="both"/>
        <w:rPr>
          <w:rFonts w:ascii="Arial" w:eastAsia="Calibri" w:hAnsi="Arial" w:cs="Arial"/>
          <w:color w:val="000000"/>
          <w:sz w:val="22"/>
          <w:lang w:val="es-ES_tradnl" w:eastAsia="es-ES"/>
        </w:rPr>
      </w:pPr>
      <w:r w:rsidRPr="00BB79F6">
        <w:rPr>
          <w:rFonts w:ascii="Arial" w:eastAsia="Calibri" w:hAnsi="Arial" w:cs="Arial"/>
          <w:color w:val="000000"/>
          <w:sz w:val="22"/>
          <w:lang w:val="es-ES_tradnl" w:eastAsia="es-ES"/>
        </w:rPr>
        <w:t xml:space="preserve">i) Documentos tipo para licitación de obra pública de infraestructura de transporte –Versión 1–, implementados mediante la Resolución No. 1798 de 2019, obligatorios para los procesos cuyo aviso de convocatoria se haya publicado desde el 1 de abril de 2019. </w:t>
      </w:r>
    </w:p>
    <w:p w14:paraId="521E0039" w14:textId="77777777" w:rsidR="00C64A66" w:rsidRPr="00BB79F6" w:rsidRDefault="00C64A66" w:rsidP="00C64A66">
      <w:pPr>
        <w:spacing w:before="120" w:line="276" w:lineRule="auto"/>
        <w:ind w:firstLine="709"/>
        <w:jc w:val="both"/>
        <w:rPr>
          <w:rFonts w:ascii="Arial" w:eastAsia="Calibri" w:hAnsi="Arial" w:cs="Arial"/>
          <w:color w:val="000000"/>
          <w:sz w:val="22"/>
          <w:lang w:val="es-ES_tradnl" w:eastAsia="es-ES"/>
        </w:rPr>
      </w:pPr>
      <w:r w:rsidRPr="00BB79F6">
        <w:rPr>
          <w:rFonts w:ascii="Arial" w:eastAsia="Calibri" w:hAnsi="Arial" w:cs="Arial"/>
          <w:color w:val="000000"/>
          <w:sz w:val="22"/>
          <w:lang w:val="es-ES_tradnl" w:eastAsia="es-ES"/>
        </w:rPr>
        <w:t>ii) Documentos tipo para licitación de obra pública de infraestructura de transporte –Versión 2–, actualizados mediante la Resolución No. 045 de 2020</w:t>
      </w:r>
      <w:r w:rsidRPr="00BB79F6">
        <w:rPr>
          <w:rStyle w:val="Refdenotaalpie"/>
          <w:rFonts w:ascii="Arial" w:eastAsia="Calibri" w:hAnsi="Arial" w:cs="Arial"/>
          <w:color w:val="000000"/>
          <w:sz w:val="22"/>
          <w:lang w:val="es-ES_tradnl" w:eastAsia="es-ES"/>
        </w:rPr>
        <w:footnoteReference w:id="4"/>
      </w:r>
      <w:r w:rsidRPr="00BB79F6">
        <w:rPr>
          <w:rFonts w:ascii="Arial" w:eastAsia="Calibri" w:hAnsi="Arial" w:cs="Arial"/>
          <w:color w:val="000000"/>
          <w:sz w:val="22"/>
          <w:lang w:val="es-ES_tradnl" w:eastAsia="es-ES"/>
        </w:rPr>
        <w:t>, obligatorios para los procesos cuyo aviso de convocatoria se haya publicado desde el 10 de marzo de 2020.</w:t>
      </w:r>
    </w:p>
    <w:p w14:paraId="63FB7028" w14:textId="77777777" w:rsidR="00C64A66" w:rsidRPr="00613C45" w:rsidRDefault="00C64A66" w:rsidP="00C64A66">
      <w:pPr>
        <w:spacing w:before="120" w:line="276" w:lineRule="auto"/>
        <w:ind w:firstLine="709"/>
        <w:jc w:val="both"/>
        <w:rPr>
          <w:rFonts w:ascii="Arial" w:eastAsia="Calibri" w:hAnsi="Arial" w:cs="Arial"/>
          <w:color w:val="000000"/>
          <w:sz w:val="22"/>
          <w:lang w:val="es-ES_tradnl" w:eastAsia="es-ES"/>
        </w:rPr>
      </w:pPr>
      <w:r w:rsidRPr="00BB79F6">
        <w:rPr>
          <w:rFonts w:ascii="Arial" w:eastAsia="Calibri" w:hAnsi="Arial" w:cs="Arial"/>
          <w:color w:val="000000"/>
          <w:sz w:val="22"/>
          <w:lang w:val="es-ES_tradnl" w:eastAsia="es-ES"/>
        </w:rPr>
        <w:t>iii) Documentos tipo para licitación de obra pública de infraestructura de transporte –Versión 3–, actualizados mediante la Resolución No. 240 de 2020</w:t>
      </w:r>
      <w:r w:rsidRPr="00BB79F6">
        <w:rPr>
          <w:rStyle w:val="Refdenotaalpie"/>
          <w:rFonts w:ascii="Arial" w:eastAsia="Calibri" w:hAnsi="Arial" w:cs="Arial"/>
          <w:color w:val="000000"/>
          <w:sz w:val="22"/>
          <w:lang w:val="es-ES_tradnl" w:eastAsia="es-ES"/>
        </w:rPr>
        <w:footnoteReference w:id="5"/>
      </w:r>
      <w:r w:rsidRPr="00BB79F6">
        <w:rPr>
          <w:rFonts w:ascii="Arial" w:eastAsia="Calibri" w:hAnsi="Arial" w:cs="Arial"/>
          <w:color w:val="000000"/>
          <w:sz w:val="22"/>
          <w:lang w:val="es-ES_tradnl" w:eastAsia="es-ES"/>
        </w:rPr>
        <w:t xml:space="preserve"> obligatorios para los procesos cuyo aviso de convocatoria se haya publicado desde el 1 de enero de 2021</w:t>
      </w:r>
      <w:r>
        <w:rPr>
          <w:rStyle w:val="Refdenotaalpie"/>
          <w:rFonts w:ascii="Arial" w:eastAsia="Calibri" w:hAnsi="Arial" w:cs="Arial"/>
          <w:color w:val="000000"/>
          <w:sz w:val="22"/>
          <w:lang w:val="es-ES_tradnl" w:eastAsia="es-ES"/>
        </w:rPr>
        <w:footnoteReference w:id="6"/>
      </w:r>
      <w:r w:rsidRPr="00BB79F6">
        <w:rPr>
          <w:rFonts w:ascii="Arial" w:eastAsia="Calibri" w:hAnsi="Arial" w:cs="Arial"/>
          <w:color w:val="000000"/>
          <w:sz w:val="22"/>
          <w:lang w:val="es-ES_tradnl" w:eastAsia="es-ES"/>
        </w:rPr>
        <w:t>.   Estos Documentos Tipo, a su vez, fueron modificados mediante la Resolución No. 161 de 2021 en aspectos relacionados con los criterios de desempate y tratamiento de datos personales para procesos cuyo aviso de convocatoria se haya publicado desde el 28 de junio de 2021</w:t>
      </w:r>
      <w:r>
        <w:rPr>
          <w:rStyle w:val="Refdenotaalpie"/>
          <w:rFonts w:ascii="Arial" w:eastAsia="Calibri" w:hAnsi="Arial" w:cs="Arial"/>
          <w:color w:val="000000"/>
          <w:sz w:val="22"/>
          <w:lang w:val="es-ES_tradnl" w:eastAsia="es-ES"/>
        </w:rPr>
        <w:footnoteReference w:id="7"/>
      </w:r>
      <w:r>
        <w:rPr>
          <w:rFonts w:ascii="Arial" w:eastAsia="Calibri" w:hAnsi="Arial" w:cs="Arial"/>
          <w:color w:val="000000"/>
          <w:sz w:val="22"/>
          <w:lang w:val="es-ES_tradnl" w:eastAsia="es-ES"/>
        </w:rPr>
        <w:t>. No obstante, como se indicó, esta última modificación no varió lo relacionado con la capacidad de organización, como componente de la capacidad residual.</w:t>
      </w:r>
    </w:p>
    <w:p w14:paraId="400AAC7C" w14:textId="43B237D2" w:rsidR="00C64A66" w:rsidRPr="00BD77F0" w:rsidRDefault="00C64A66" w:rsidP="00C64A66">
      <w:pPr>
        <w:spacing w:before="120" w:line="276" w:lineRule="auto"/>
        <w:ind w:firstLine="708"/>
        <w:jc w:val="both"/>
        <w:rPr>
          <w:rFonts w:ascii="Arial" w:eastAsia="Calibri" w:hAnsi="Arial" w:cs="Arial"/>
          <w:bCs/>
          <w:color w:val="000000" w:themeColor="text1"/>
          <w:sz w:val="22"/>
        </w:rPr>
      </w:pPr>
      <w:r>
        <w:rPr>
          <w:rFonts w:ascii="Arial" w:eastAsia="Calibri" w:hAnsi="Arial" w:cs="Arial"/>
          <w:bCs/>
          <w:color w:val="000000" w:themeColor="text1"/>
          <w:sz w:val="22"/>
        </w:rPr>
        <w:t>Ahora bien</w:t>
      </w:r>
      <w:r w:rsidRPr="00E81653">
        <w:rPr>
          <w:rFonts w:ascii="Arial" w:eastAsia="Calibri" w:hAnsi="Arial" w:cs="Arial"/>
          <w:bCs/>
          <w:color w:val="000000" w:themeColor="text1"/>
          <w:sz w:val="22"/>
        </w:rPr>
        <w:t>, respecto de</w:t>
      </w:r>
      <w:r>
        <w:rPr>
          <w:rFonts w:ascii="Arial" w:eastAsia="Calibri" w:hAnsi="Arial" w:cs="Arial"/>
          <w:bCs/>
          <w:color w:val="000000" w:themeColor="text1"/>
          <w:sz w:val="22"/>
        </w:rPr>
        <w:t>l requisito de la capacidad residual o K de contratación</w:t>
      </w:r>
      <w:r w:rsidR="009264D5">
        <w:rPr>
          <w:rFonts w:ascii="Arial" w:eastAsia="Calibri" w:hAnsi="Arial" w:cs="Arial"/>
          <w:bCs/>
          <w:color w:val="000000" w:themeColor="text1"/>
          <w:sz w:val="22"/>
        </w:rPr>
        <w:t>,</w:t>
      </w:r>
      <w:r w:rsidRPr="00BD77F0">
        <w:rPr>
          <w:rFonts w:ascii="Arial" w:eastAsia="Calibri" w:hAnsi="Arial" w:cs="Arial"/>
          <w:bCs/>
          <w:color w:val="000000" w:themeColor="text1"/>
          <w:sz w:val="22"/>
        </w:rPr>
        <w:t xml:space="preserve"> </w:t>
      </w:r>
      <w:r>
        <w:rPr>
          <w:rFonts w:ascii="Arial" w:eastAsia="Calibri" w:hAnsi="Arial" w:cs="Arial"/>
          <w:bCs/>
          <w:color w:val="000000" w:themeColor="text1"/>
          <w:sz w:val="22"/>
        </w:rPr>
        <w:t xml:space="preserve">se realizaron ajustes en cuanto a la verificación de la capacidad de organización en cada una de las versiones antes descritas.  </w:t>
      </w:r>
      <w:r w:rsidRPr="00BD77F0">
        <w:rPr>
          <w:rFonts w:ascii="Arial" w:eastAsia="Calibri" w:hAnsi="Arial" w:cs="Arial"/>
          <w:bCs/>
          <w:color w:val="000000" w:themeColor="text1"/>
          <w:sz w:val="22"/>
        </w:rPr>
        <w:t>En estos documentos la Agencia precisa los requisitos en relación con los proponentes obligados a tener RUP, de conformidad con lo estable</w:t>
      </w:r>
      <w:r>
        <w:rPr>
          <w:rFonts w:ascii="Arial" w:eastAsia="Calibri" w:hAnsi="Arial" w:cs="Arial"/>
          <w:bCs/>
          <w:color w:val="000000" w:themeColor="text1"/>
          <w:sz w:val="22"/>
        </w:rPr>
        <w:t xml:space="preserve">cido en </w:t>
      </w:r>
      <w:r>
        <w:rPr>
          <w:rFonts w:ascii="Arial" w:eastAsia="Calibri" w:hAnsi="Arial" w:cs="Arial"/>
          <w:bCs/>
          <w:color w:val="000000" w:themeColor="text1"/>
          <w:sz w:val="22"/>
        </w:rPr>
        <w:lastRenderedPageBreak/>
        <w:t xml:space="preserve">el Decreto 1082 de 2015. Siguiendo esta misma línea, a continuación se explicará la forma en que se reguló este requisito en los Documentos Tipo de licitación de obra pública de infraestructura – Versión 1, Versión 2 y Versión 3, teniendo en cuenta que los Documentos Base que hacen parte de cada una de estas versiones también tienen una codificación que ha variado con los cambios realizados, estando vigente a partir del 28 de junio de 2021 el «Documento Base» – Versión 5 que pertenece a los Documentos Tipo </w:t>
      </w:r>
      <w:r w:rsidRPr="00A70F57">
        <w:rPr>
          <w:rFonts w:ascii="Arial" w:hAnsi="Arial" w:cs="Arial"/>
          <w:bCs/>
          <w:color w:val="000000" w:themeColor="text1"/>
          <w:sz w:val="22"/>
        </w:rPr>
        <w:t>para licitación de obra pública de infraestructura de transporte</w:t>
      </w:r>
      <w:r>
        <w:rPr>
          <w:rFonts w:ascii="Arial" w:eastAsia="Calibri" w:hAnsi="Arial" w:cs="Arial"/>
          <w:bCs/>
          <w:color w:val="000000" w:themeColor="text1"/>
          <w:sz w:val="22"/>
        </w:rPr>
        <w:t xml:space="preserve"> – Versión 3.</w:t>
      </w:r>
    </w:p>
    <w:p w14:paraId="7487F7D8" w14:textId="537A9EA8" w:rsidR="00C64A66" w:rsidRPr="00515265" w:rsidRDefault="00C64A66" w:rsidP="00C64A66">
      <w:pPr>
        <w:spacing w:before="120" w:line="276" w:lineRule="auto"/>
        <w:ind w:firstLine="708"/>
        <w:jc w:val="both"/>
        <w:rPr>
          <w:rFonts w:ascii="Arial" w:eastAsia="Calibri" w:hAnsi="Arial" w:cs="Arial"/>
          <w:bCs/>
          <w:color w:val="000000" w:themeColor="text1"/>
          <w:sz w:val="22"/>
        </w:rPr>
      </w:pPr>
      <w:r>
        <w:rPr>
          <w:rFonts w:ascii="Arial" w:hAnsi="Arial" w:cs="Arial"/>
          <w:bCs/>
          <w:color w:val="000000" w:themeColor="text1"/>
          <w:sz w:val="22"/>
        </w:rPr>
        <w:t>Así, en</w:t>
      </w:r>
      <w:r w:rsidRPr="00A70F57">
        <w:rPr>
          <w:rFonts w:ascii="Arial" w:hAnsi="Arial" w:cs="Arial"/>
          <w:bCs/>
          <w:color w:val="000000" w:themeColor="text1"/>
          <w:sz w:val="22"/>
        </w:rPr>
        <w:t xml:space="preserve"> los Documentos Tipo para licitación de obra pública de infraestructura de transporte </w:t>
      </w:r>
      <w:r w:rsidRPr="00E30DF1">
        <w:rPr>
          <w:rFonts w:ascii="Arial" w:hAnsi="Arial" w:cs="Arial"/>
          <w:bCs/>
          <w:i/>
          <w:iCs/>
          <w:color w:val="000000" w:themeColor="text1"/>
          <w:sz w:val="22"/>
        </w:rPr>
        <w:t>Versión 1</w:t>
      </w:r>
      <w:r w:rsidRPr="00E30DF1">
        <w:rPr>
          <w:rFonts w:ascii="Arial" w:hAnsi="Arial" w:cs="Arial"/>
          <w:bCs/>
          <w:color w:val="000000" w:themeColor="text1"/>
          <w:sz w:val="22"/>
        </w:rPr>
        <w:t>,</w:t>
      </w:r>
      <w:r w:rsidRPr="00A70F57">
        <w:rPr>
          <w:rFonts w:ascii="Arial" w:hAnsi="Arial" w:cs="Arial"/>
          <w:bCs/>
          <w:color w:val="000000" w:themeColor="text1"/>
          <w:sz w:val="22"/>
        </w:rPr>
        <w:t xml:space="preserve"> el Documento Base establecía que</w:t>
      </w:r>
      <w:r w:rsidR="006F79DC">
        <w:rPr>
          <w:rFonts w:ascii="Arial" w:hAnsi="Arial" w:cs="Arial"/>
          <w:bCs/>
          <w:color w:val="000000" w:themeColor="text1"/>
          <w:sz w:val="22"/>
        </w:rPr>
        <w:t>,</w:t>
      </w:r>
      <w:r w:rsidRPr="00A70F57">
        <w:rPr>
          <w:rFonts w:ascii="Arial" w:hAnsi="Arial" w:cs="Arial"/>
          <w:bCs/>
          <w:color w:val="000000" w:themeColor="text1"/>
          <w:sz w:val="22"/>
        </w:rPr>
        <w:t xml:space="preserve"> para acreditar la capacidad residual</w:t>
      </w:r>
      <w:r w:rsidR="006F79DC">
        <w:rPr>
          <w:rFonts w:ascii="Arial" w:hAnsi="Arial" w:cs="Arial"/>
          <w:bCs/>
          <w:color w:val="000000" w:themeColor="text1"/>
          <w:sz w:val="22"/>
        </w:rPr>
        <w:t>,</w:t>
      </w:r>
      <w:r w:rsidRPr="00A70F57">
        <w:rPr>
          <w:rFonts w:ascii="Arial" w:hAnsi="Arial" w:cs="Arial"/>
          <w:bCs/>
          <w:color w:val="000000" w:themeColor="text1"/>
          <w:sz w:val="22"/>
        </w:rPr>
        <w:t xml:space="preserve"> </w:t>
      </w:r>
      <w:r>
        <w:rPr>
          <w:rFonts w:ascii="Arial" w:hAnsi="Arial" w:cs="Arial"/>
          <w:bCs/>
          <w:color w:val="000000" w:themeColor="text1"/>
          <w:sz w:val="22"/>
        </w:rPr>
        <w:t xml:space="preserve">el proponente </w:t>
      </w:r>
      <w:r w:rsidRPr="00515265">
        <w:rPr>
          <w:rFonts w:ascii="Arial" w:hAnsi="Arial" w:cs="Arial"/>
          <w:bCs/>
          <w:color w:val="000000" w:themeColor="text1"/>
          <w:sz w:val="22"/>
        </w:rPr>
        <w:t>debía</w:t>
      </w:r>
      <w:r w:rsidRPr="00515265">
        <w:rPr>
          <w:rFonts w:ascii="Arial" w:eastAsia="Calibri" w:hAnsi="Arial" w:cs="Arial"/>
          <w:bCs/>
          <w:color w:val="000000" w:themeColor="text1"/>
          <w:sz w:val="22"/>
        </w:rPr>
        <w:t xml:space="preserve"> presentar los siguientes documentos:</w:t>
      </w:r>
    </w:p>
    <w:p w14:paraId="1F3C21C4" w14:textId="77777777" w:rsidR="00C64A66" w:rsidRPr="00515265" w:rsidRDefault="00C64A66" w:rsidP="00C64A66">
      <w:pPr>
        <w:spacing w:before="120" w:line="276" w:lineRule="auto"/>
        <w:ind w:firstLine="708"/>
        <w:jc w:val="both"/>
        <w:rPr>
          <w:rFonts w:ascii="Arial" w:eastAsia="Calibri" w:hAnsi="Arial" w:cs="Arial"/>
          <w:bCs/>
          <w:color w:val="000000" w:themeColor="text1"/>
          <w:sz w:val="22"/>
        </w:rPr>
      </w:pPr>
      <w:r w:rsidRPr="00515265">
        <w:rPr>
          <w:rFonts w:ascii="Arial" w:eastAsia="Calibri" w:hAnsi="Arial" w:cs="Arial"/>
          <w:bCs/>
          <w:color w:val="000000" w:themeColor="text1"/>
          <w:sz w:val="22"/>
        </w:rPr>
        <w:t>i) Estado de resultados integral –estado de resultados o pérdida o ganancias–, del año en que hayan obtenido el mayor ingreso operacional en los últimos cinco (5) años, debidamente firmado por el representante legal, contador y revisor fiscal y/o contador independiente –externo–, si está obligados a tenerlos.</w:t>
      </w:r>
    </w:p>
    <w:p w14:paraId="60E81F43" w14:textId="77777777" w:rsidR="00C64A66" w:rsidRPr="00515265" w:rsidRDefault="00C64A66" w:rsidP="00C64A66">
      <w:pPr>
        <w:spacing w:before="120" w:line="276" w:lineRule="auto"/>
        <w:ind w:firstLine="708"/>
        <w:jc w:val="both"/>
        <w:rPr>
          <w:rFonts w:ascii="Arial" w:eastAsia="Calibri" w:hAnsi="Arial" w:cs="Arial"/>
          <w:bCs/>
          <w:color w:val="000000" w:themeColor="text1"/>
          <w:sz w:val="22"/>
        </w:rPr>
      </w:pPr>
      <w:r w:rsidRPr="00515265">
        <w:rPr>
          <w:rFonts w:ascii="Arial" w:eastAsia="Calibri" w:hAnsi="Arial" w:cs="Arial"/>
          <w:bCs/>
          <w:color w:val="000000" w:themeColor="text1"/>
          <w:sz w:val="22"/>
        </w:rPr>
        <w:t xml:space="preserve">ii) Información financiera auditada y aprobada por el máximo órgano social que pretende acreditar el proponente. </w:t>
      </w:r>
    </w:p>
    <w:p w14:paraId="44043CFC" w14:textId="77777777" w:rsidR="00C64A66" w:rsidRPr="00515265" w:rsidRDefault="00C64A66" w:rsidP="00C64A66">
      <w:pPr>
        <w:spacing w:before="120" w:line="276" w:lineRule="auto"/>
        <w:ind w:firstLine="708"/>
        <w:jc w:val="both"/>
        <w:rPr>
          <w:rFonts w:ascii="Arial" w:eastAsia="Calibri" w:hAnsi="Arial" w:cs="Arial"/>
          <w:bCs/>
          <w:color w:val="000000" w:themeColor="text1"/>
          <w:sz w:val="22"/>
        </w:rPr>
      </w:pPr>
      <w:r w:rsidRPr="00515265">
        <w:rPr>
          <w:rFonts w:ascii="Arial" w:eastAsia="Calibri" w:hAnsi="Arial" w:cs="Arial"/>
          <w:bCs/>
          <w:color w:val="000000" w:themeColor="text1"/>
          <w:sz w:val="22"/>
        </w:rPr>
        <w:t>iii) Certificación de los estados financieros de la que trata el artículo 37 de la ley 222 de 1995, en la cual el representante legal y contador público, bajo cuya responsabilidad se hubiesen preparado los estados financieros, declaren que se han verificado previamente las afirmaciones contenidas en ellos, conforme al reglamento, y que las mismas se han tomado fielmente de los libros.</w:t>
      </w:r>
    </w:p>
    <w:p w14:paraId="71A45BBF" w14:textId="35DEC16F" w:rsidR="00C64A66" w:rsidRPr="00515265" w:rsidRDefault="00C64A66" w:rsidP="00C64A66">
      <w:pPr>
        <w:spacing w:before="120" w:line="276" w:lineRule="auto"/>
        <w:ind w:firstLine="708"/>
        <w:jc w:val="both"/>
        <w:rPr>
          <w:rFonts w:ascii="Arial" w:eastAsia="Calibri" w:hAnsi="Arial" w:cs="Arial"/>
          <w:bCs/>
          <w:color w:val="000000" w:themeColor="text1"/>
          <w:sz w:val="22"/>
        </w:rPr>
      </w:pPr>
      <w:r w:rsidRPr="00515265">
        <w:rPr>
          <w:rFonts w:ascii="Arial" w:eastAsia="Calibri" w:hAnsi="Arial" w:cs="Arial"/>
          <w:bCs/>
          <w:color w:val="000000" w:themeColor="text1"/>
          <w:sz w:val="22"/>
        </w:rPr>
        <w:t xml:space="preserve">iv) Dictamen del revisor fiscal o, a falta de </w:t>
      </w:r>
      <w:r w:rsidR="00211820">
        <w:rPr>
          <w:rFonts w:ascii="Arial" w:eastAsia="Calibri" w:hAnsi="Arial" w:cs="Arial"/>
          <w:bCs/>
          <w:color w:val="000000" w:themeColor="text1"/>
          <w:sz w:val="22"/>
        </w:rPr>
        <w:t>e</w:t>
      </w:r>
      <w:r w:rsidRPr="00515265">
        <w:rPr>
          <w:rFonts w:ascii="Arial" w:eastAsia="Calibri" w:hAnsi="Arial" w:cs="Arial"/>
          <w:bCs/>
          <w:color w:val="000000" w:themeColor="text1"/>
          <w:sz w:val="22"/>
        </w:rPr>
        <w:t xml:space="preserve">ste, del contador público independiente cuando el proponente esté obligado a ello, del año o en que haya obtenido el mayor Ingreso Operacional en los últimos cinco (5) años, en los términos descritos en el artículo 38 de la Ley 222 de 1995. </w:t>
      </w:r>
    </w:p>
    <w:p w14:paraId="4960A42C" w14:textId="77777777" w:rsidR="00C64A66" w:rsidRPr="000258A6" w:rsidRDefault="00C64A66" w:rsidP="00C64A66">
      <w:pPr>
        <w:spacing w:before="120" w:line="276" w:lineRule="auto"/>
        <w:ind w:firstLine="708"/>
        <w:jc w:val="both"/>
        <w:rPr>
          <w:rFonts w:ascii="Arial" w:eastAsia="Calibri" w:hAnsi="Arial" w:cs="Arial"/>
          <w:bCs/>
          <w:color w:val="000000" w:themeColor="text1"/>
          <w:sz w:val="22"/>
        </w:rPr>
      </w:pPr>
      <w:r w:rsidRPr="00515265">
        <w:rPr>
          <w:rFonts w:ascii="Arial" w:eastAsia="Calibri" w:hAnsi="Arial" w:cs="Arial"/>
          <w:bCs/>
          <w:color w:val="000000" w:themeColor="text1"/>
          <w:sz w:val="22"/>
        </w:rPr>
        <w:t>v) Copia de la tarjeta profesional y certificado de antecedentes disciplinarios vigentes de los contadores públicos, revisores fiscales, contadores independientes (externos), quienes suscribieron los documentos anteriores.</w:t>
      </w:r>
      <w:r w:rsidRPr="000258A6">
        <w:rPr>
          <w:rFonts w:ascii="Arial" w:eastAsia="Calibri" w:hAnsi="Arial" w:cs="Arial"/>
          <w:bCs/>
          <w:color w:val="000000" w:themeColor="text1"/>
          <w:sz w:val="22"/>
        </w:rPr>
        <w:t xml:space="preserve"> </w:t>
      </w:r>
      <w:r w:rsidRPr="000258A6">
        <w:rPr>
          <w:rFonts w:ascii="Arial" w:hAnsi="Arial" w:cs="Arial"/>
          <w:color w:val="000000" w:themeColor="text1"/>
          <w:sz w:val="22"/>
        </w:rPr>
        <w:t xml:space="preserve"> </w:t>
      </w:r>
    </w:p>
    <w:p w14:paraId="1B871A82" w14:textId="77777777" w:rsidR="00C64A66" w:rsidRPr="00A70F57" w:rsidRDefault="00C64A66" w:rsidP="00C64A66">
      <w:pPr>
        <w:spacing w:before="120" w:line="276" w:lineRule="auto"/>
        <w:ind w:firstLine="708"/>
        <w:jc w:val="both"/>
        <w:rPr>
          <w:rFonts w:ascii="Arial" w:hAnsi="Arial" w:cs="Arial"/>
          <w:bCs/>
          <w:color w:val="000000" w:themeColor="text1"/>
          <w:sz w:val="22"/>
        </w:rPr>
      </w:pPr>
      <w:r>
        <w:rPr>
          <w:rFonts w:ascii="Arial" w:hAnsi="Arial" w:cs="Arial"/>
          <w:bCs/>
          <w:color w:val="000000" w:themeColor="text1"/>
          <w:sz w:val="22"/>
        </w:rPr>
        <w:t>De otro lado, e</w:t>
      </w:r>
      <w:r w:rsidRPr="00A70F57">
        <w:rPr>
          <w:rFonts w:ascii="Arial" w:hAnsi="Arial" w:cs="Arial"/>
          <w:bCs/>
          <w:color w:val="000000" w:themeColor="text1"/>
          <w:sz w:val="22"/>
        </w:rPr>
        <w:t xml:space="preserve">n los Documentos Tipo para licitación de obra pública de infraestructura de transporte </w:t>
      </w:r>
      <w:r w:rsidRPr="00E30DF1">
        <w:rPr>
          <w:rFonts w:ascii="Arial" w:hAnsi="Arial" w:cs="Arial"/>
          <w:bCs/>
          <w:i/>
          <w:iCs/>
          <w:color w:val="000000" w:themeColor="text1"/>
          <w:sz w:val="22"/>
        </w:rPr>
        <w:t>Versión 2</w:t>
      </w:r>
      <w:r w:rsidRPr="00A70F57">
        <w:rPr>
          <w:rFonts w:ascii="Arial" w:hAnsi="Arial" w:cs="Arial"/>
          <w:bCs/>
          <w:color w:val="000000" w:themeColor="text1"/>
          <w:sz w:val="22"/>
        </w:rPr>
        <w:t>, en el Documento Base</w:t>
      </w:r>
      <w:r>
        <w:rPr>
          <w:rFonts w:ascii="Arial" w:hAnsi="Arial" w:cs="Arial"/>
          <w:bCs/>
          <w:color w:val="000000" w:themeColor="text1"/>
          <w:sz w:val="22"/>
        </w:rPr>
        <w:t xml:space="preserve"> en sus versiones 2 y 3, en el </w:t>
      </w:r>
      <w:r w:rsidRPr="00515265">
        <w:rPr>
          <w:rFonts w:ascii="Arial" w:hAnsi="Arial" w:cs="Arial"/>
          <w:bCs/>
          <w:color w:val="000000" w:themeColor="text1"/>
          <w:sz w:val="22"/>
        </w:rPr>
        <w:t>numeral 3.11 y 3.10, respectivamente</w:t>
      </w:r>
      <w:r>
        <w:rPr>
          <w:rFonts w:ascii="Arial" w:hAnsi="Arial" w:cs="Arial"/>
          <w:bCs/>
          <w:color w:val="000000" w:themeColor="text1"/>
          <w:sz w:val="22"/>
        </w:rPr>
        <w:t xml:space="preserve">, </w:t>
      </w:r>
      <w:r w:rsidRPr="00A70F57">
        <w:rPr>
          <w:rFonts w:ascii="Arial" w:hAnsi="Arial" w:cs="Arial"/>
          <w:sz w:val="22"/>
        </w:rPr>
        <w:t xml:space="preserve">se ajustaron los requisitos quedando instaurados únicamente </w:t>
      </w:r>
      <w:r w:rsidRPr="00A70F57">
        <w:rPr>
          <w:rFonts w:ascii="Arial" w:hAnsi="Arial" w:cs="Arial"/>
          <w:bCs/>
          <w:color w:val="000000" w:themeColor="text1"/>
          <w:sz w:val="22"/>
        </w:rPr>
        <w:t>los documentos señalados en los numerales i) y v) antes mencionados</w:t>
      </w:r>
      <w:r>
        <w:rPr>
          <w:rFonts w:ascii="Arial" w:hAnsi="Arial" w:cs="Arial"/>
          <w:bCs/>
          <w:color w:val="000000" w:themeColor="text1"/>
          <w:sz w:val="22"/>
        </w:rPr>
        <w:t>.</w:t>
      </w:r>
    </w:p>
    <w:p w14:paraId="29109DA2" w14:textId="77777777" w:rsidR="00C64A66" w:rsidRPr="00A569DF" w:rsidRDefault="00C64A66" w:rsidP="00C64A66">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De esta manera</w:t>
      </w:r>
      <w:r w:rsidRPr="00A569DF">
        <w:rPr>
          <w:rFonts w:ascii="Arial" w:hAnsi="Arial" w:cs="Arial"/>
          <w:color w:val="000000" w:themeColor="text1"/>
          <w:sz w:val="22"/>
        </w:rPr>
        <w:t xml:space="preserve">, </w:t>
      </w:r>
      <w:r>
        <w:rPr>
          <w:rFonts w:ascii="Arial" w:hAnsi="Arial" w:cs="Arial"/>
          <w:color w:val="000000" w:themeColor="text1"/>
          <w:sz w:val="22"/>
        </w:rPr>
        <w:t xml:space="preserve">conforme a la </w:t>
      </w:r>
      <w:r>
        <w:rPr>
          <w:rFonts w:ascii="Arial" w:hAnsi="Arial" w:cs="Arial"/>
          <w:i/>
          <w:iCs/>
          <w:color w:val="000000" w:themeColor="text1"/>
          <w:sz w:val="22"/>
        </w:rPr>
        <w:t xml:space="preserve">Versión 2, </w:t>
      </w:r>
      <w:r w:rsidRPr="00A569DF">
        <w:rPr>
          <w:rFonts w:ascii="Arial" w:hAnsi="Arial" w:cs="Arial"/>
          <w:color w:val="000000" w:themeColor="text1"/>
          <w:sz w:val="22"/>
        </w:rPr>
        <w:t xml:space="preserve">se </w:t>
      </w:r>
      <w:r>
        <w:rPr>
          <w:rFonts w:ascii="Arial" w:hAnsi="Arial" w:cs="Arial"/>
          <w:color w:val="000000" w:themeColor="text1"/>
          <w:sz w:val="22"/>
        </w:rPr>
        <w:t>establece</w:t>
      </w:r>
      <w:r w:rsidRPr="00A569DF">
        <w:rPr>
          <w:rFonts w:ascii="Arial" w:hAnsi="Arial" w:cs="Arial"/>
          <w:color w:val="000000" w:themeColor="text1"/>
          <w:sz w:val="22"/>
        </w:rPr>
        <w:t xml:space="preserve"> que los proponentes obligados a tener RUP deben presentar los siguientes documentos: i) el estado de resultados integral (estado de resultados o pérdida o ganancias), del año en que hayan obtenido el mayor ingreso operacional en los últimos cinco (5) años, debidamente firmado por el interesado o su representante legal y el revisor fiscal si está obligado a tenerlo, o el </w:t>
      </w:r>
      <w:r w:rsidRPr="00A569DF">
        <w:rPr>
          <w:rFonts w:ascii="Arial" w:hAnsi="Arial" w:cs="Arial"/>
          <w:color w:val="000000" w:themeColor="text1"/>
          <w:sz w:val="22"/>
        </w:rPr>
        <w:lastRenderedPageBreak/>
        <w:t>auditor o contador si no está obligado a tener revisor fiscal y ii) copia de la tarjeta profesional y certificado de antecedentes disciplinarios vigentes de los contadores públicos, revisores fiscales, contadores independientes (externos), quienes suscribieron los documentos señalados en el presente literal.</w:t>
      </w:r>
    </w:p>
    <w:p w14:paraId="7D7C105D" w14:textId="17423255" w:rsidR="00C64A66" w:rsidRPr="00A569DF" w:rsidRDefault="00C64A66" w:rsidP="00C64A66">
      <w:pPr>
        <w:spacing w:before="120" w:line="276" w:lineRule="auto"/>
        <w:ind w:firstLine="709"/>
        <w:jc w:val="both"/>
        <w:rPr>
          <w:rFonts w:ascii="Arial" w:hAnsi="Arial" w:cs="Arial"/>
          <w:color w:val="000000" w:themeColor="text1"/>
          <w:sz w:val="22"/>
        </w:rPr>
      </w:pPr>
      <w:r w:rsidRPr="00A569DF">
        <w:rPr>
          <w:rFonts w:ascii="Arial" w:hAnsi="Arial" w:cs="Arial"/>
          <w:color w:val="000000" w:themeColor="text1"/>
          <w:sz w:val="22"/>
        </w:rPr>
        <w:t xml:space="preserve">De la lectura de estos últimos requisitos se advierte que para los proponentes obligados a tener RUP no </w:t>
      </w:r>
      <w:r>
        <w:rPr>
          <w:rFonts w:ascii="Arial" w:hAnsi="Arial" w:cs="Arial"/>
          <w:color w:val="000000" w:themeColor="text1"/>
          <w:sz w:val="22"/>
        </w:rPr>
        <w:t>sería</w:t>
      </w:r>
      <w:r w:rsidRPr="00A569DF">
        <w:rPr>
          <w:rFonts w:ascii="Arial" w:hAnsi="Arial" w:cs="Arial"/>
          <w:color w:val="000000" w:themeColor="text1"/>
          <w:sz w:val="22"/>
        </w:rPr>
        <w:t xml:space="preserve"> necesario presentar los siguientes documentos: i) la información financiera auditada y aprobada por el máximo órgano social que pretende acreditar el proponente, ii) la certificación de los estados financieros de que trata el artículo 37 de la Ley 222 de 1995, en la cual el representante legal y contador público, bajo cuya responsabilidad se hubiesen preparado los estados financieros, declaren que se han verificado previamente las afirmaciones contenidas en ellos, conforme al reglamento, y que las mismas se han tomado fielmente de los libros</w:t>
      </w:r>
      <w:r w:rsidR="00CB0E2E">
        <w:rPr>
          <w:rFonts w:ascii="Arial" w:hAnsi="Arial" w:cs="Arial"/>
          <w:color w:val="000000" w:themeColor="text1"/>
          <w:sz w:val="22"/>
        </w:rPr>
        <w:t>,</w:t>
      </w:r>
      <w:r w:rsidRPr="00A569DF">
        <w:rPr>
          <w:rFonts w:ascii="Arial" w:hAnsi="Arial" w:cs="Arial"/>
          <w:color w:val="000000" w:themeColor="text1"/>
          <w:sz w:val="22"/>
        </w:rPr>
        <w:t xml:space="preserve"> </w:t>
      </w:r>
      <w:r w:rsidR="00CB0E2E">
        <w:rPr>
          <w:rFonts w:ascii="Arial" w:hAnsi="Arial" w:cs="Arial"/>
          <w:color w:val="000000" w:themeColor="text1"/>
          <w:sz w:val="22"/>
        </w:rPr>
        <w:t xml:space="preserve">y </w:t>
      </w:r>
      <w:r w:rsidRPr="00A569DF">
        <w:rPr>
          <w:rFonts w:ascii="Arial" w:hAnsi="Arial" w:cs="Arial"/>
          <w:color w:val="000000" w:themeColor="text1"/>
          <w:sz w:val="22"/>
        </w:rPr>
        <w:t>iii) el dictamen del revisor fiscal o, a falta de éste, del contador público independiente, cuando el proponente esté obligado a ello, del año en que haya obtenido el mayor ingreso operacional en los últimos cinco (5) años, en los términos descritos en el artículo 38 de la Ley 222 de 1995.</w:t>
      </w:r>
    </w:p>
    <w:p w14:paraId="1B8CA8B0" w14:textId="77777777" w:rsidR="00C64A66" w:rsidRPr="00A569DF" w:rsidRDefault="00C64A66" w:rsidP="00C64A66">
      <w:pPr>
        <w:spacing w:before="120" w:line="276" w:lineRule="auto"/>
        <w:ind w:firstLine="709"/>
        <w:jc w:val="both"/>
        <w:rPr>
          <w:rFonts w:ascii="Arial" w:hAnsi="Arial" w:cs="Arial"/>
          <w:color w:val="000000" w:themeColor="text1"/>
          <w:sz w:val="22"/>
        </w:rPr>
      </w:pPr>
      <w:r w:rsidRPr="00A569DF">
        <w:rPr>
          <w:rFonts w:ascii="Arial" w:hAnsi="Arial" w:cs="Arial"/>
          <w:color w:val="000000" w:themeColor="text1"/>
          <w:sz w:val="22"/>
        </w:rPr>
        <w:t>Las razones para eliminar estos documentos se fundamenta</w:t>
      </w:r>
      <w:r>
        <w:rPr>
          <w:rFonts w:ascii="Arial" w:hAnsi="Arial" w:cs="Arial"/>
          <w:color w:val="000000" w:themeColor="text1"/>
          <w:sz w:val="22"/>
        </w:rPr>
        <w:t>ron</w:t>
      </w:r>
      <w:r w:rsidRPr="00A569DF">
        <w:rPr>
          <w:rFonts w:ascii="Arial" w:hAnsi="Arial" w:cs="Arial"/>
          <w:color w:val="000000" w:themeColor="text1"/>
          <w:sz w:val="22"/>
        </w:rPr>
        <w:t xml:space="preserve"> en lo previsto en el artículo 2.2.1.1.1.6.4. del Decreto 1082 de 2015, que indica que para acreditar la capacidad residual solo se requiere presentar: «[…] 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w:t>
      </w:r>
      <w:r w:rsidRPr="00A569DF">
        <w:rPr>
          <w:rFonts w:ascii="Arial" w:hAnsi="Arial" w:cs="Arial"/>
          <w:i/>
          <w:iCs/>
          <w:color w:val="000000" w:themeColor="text1"/>
          <w:sz w:val="22"/>
        </w:rPr>
        <w:t>Si se trata de proponentes obligados a tener RUP, las Entidades Estatales solo deben solicitar como documento adicional el estado de resultados del año en que el proponente obtuvo el mayor ingreso operacional en los últimos cinco (5) años</w:t>
      </w:r>
      <w:r w:rsidRPr="00A569DF">
        <w:rPr>
          <w:rFonts w:ascii="Arial" w:hAnsi="Arial" w:cs="Arial"/>
          <w:color w:val="000000" w:themeColor="text1"/>
          <w:sz w:val="22"/>
          <w:vertAlign w:val="superscript"/>
        </w:rPr>
        <w:footnoteReference w:id="8"/>
      </w:r>
      <w:r w:rsidRPr="00A569DF">
        <w:rPr>
          <w:rFonts w:ascii="Arial" w:hAnsi="Arial" w:cs="Arial"/>
          <w:color w:val="000000" w:themeColor="text1"/>
          <w:sz w:val="22"/>
        </w:rPr>
        <w:t xml:space="preserve">». </w:t>
      </w:r>
    </w:p>
    <w:p w14:paraId="7E3026CD" w14:textId="77777777" w:rsidR="00C64A66" w:rsidRPr="00A569DF" w:rsidRDefault="00C64A66" w:rsidP="00C64A66">
      <w:pPr>
        <w:spacing w:before="120" w:after="120" w:line="276" w:lineRule="auto"/>
        <w:ind w:firstLine="709"/>
        <w:jc w:val="both"/>
        <w:rPr>
          <w:rFonts w:ascii="Arial" w:hAnsi="Arial" w:cs="Arial"/>
          <w:color w:val="000000" w:themeColor="text1"/>
          <w:sz w:val="22"/>
        </w:rPr>
      </w:pPr>
      <w:r w:rsidRPr="00A569DF">
        <w:rPr>
          <w:rFonts w:ascii="Arial" w:hAnsi="Arial" w:cs="Arial"/>
          <w:color w:val="000000" w:themeColor="text1"/>
          <w:sz w:val="22"/>
        </w:rPr>
        <w:lastRenderedPageBreak/>
        <w:t>En este sentido,</w:t>
      </w:r>
      <w:r>
        <w:rPr>
          <w:rFonts w:ascii="Arial" w:hAnsi="Arial" w:cs="Arial"/>
          <w:color w:val="000000" w:themeColor="text1"/>
          <w:sz w:val="22"/>
        </w:rPr>
        <w:t xml:space="preserve"> se consideró que</w:t>
      </w:r>
      <w:r w:rsidRPr="00A569DF">
        <w:rPr>
          <w:rFonts w:ascii="Arial" w:hAnsi="Arial" w:cs="Arial"/>
          <w:color w:val="000000" w:themeColor="text1"/>
          <w:sz w:val="22"/>
        </w:rPr>
        <w:t xml:space="preserve"> el Decreto reglamentario de forma expresa indica los documentos necesarios para acreditar la capacidad residual, sin prever la exigencia de presentar la información financiera auditada y aprobada por el máximo órgano social que pretende acreditar el proponente. </w:t>
      </w:r>
    </w:p>
    <w:p w14:paraId="184D6F86" w14:textId="77777777" w:rsidR="00C64A66" w:rsidRPr="00A70F57" w:rsidRDefault="00C64A66" w:rsidP="00C64A66">
      <w:pPr>
        <w:spacing w:after="160" w:line="259" w:lineRule="auto"/>
        <w:ind w:firstLine="708"/>
        <w:jc w:val="both"/>
        <w:rPr>
          <w:rFonts w:ascii="Arial" w:hAnsi="Arial" w:cs="Arial"/>
          <w:bCs/>
          <w:color w:val="000000" w:themeColor="text1"/>
          <w:sz w:val="22"/>
        </w:rPr>
      </w:pPr>
      <w:r w:rsidRPr="00A70F57">
        <w:rPr>
          <w:rFonts w:ascii="Arial" w:hAnsi="Arial" w:cs="Arial"/>
          <w:bCs/>
          <w:color w:val="000000" w:themeColor="text1"/>
          <w:sz w:val="22"/>
        </w:rPr>
        <w:t xml:space="preserve">Posteriormente, en la </w:t>
      </w:r>
      <w:r w:rsidRPr="00E30DF1">
        <w:rPr>
          <w:rFonts w:ascii="Arial" w:hAnsi="Arial" w:cs="Arial"/>
          <w:bCs/>
          <w:i/>
          <w:iCs/>
          <w:color w:val="000000" w:themeColor="text1"/>
          <w:sz w:val="22"/>
        </w:rPr>
        <w:t>Versión 3</w:t>
      </w:r>
      <w:r w:rsidRPr="00A70F57">
        <w:rPr>
          <w:rFonts w:ascii="Arial" w:hAnsi="Arial" w:cs="Arial"/>
          <w:bCs/>
          <w:color w:val="000000" w:themeColor="text1"/>
          <w:sz w:val="22"/>
        </w:rPr>
        <w:t xml:space="preserve"> </w:t>
      </w:r>
      <w:r>
        <w:rPr>
          <w:rFonts w:ascii="Arial" w:hAnsi="Arial" w:cs="Arial"/>
          <w:bCs/>
          <w:color w:val="000000" w:themeColor="text1"/>
          <w:sz w:val="22"/>
        </w:rPr>
        <w:t xml:space="preserve">de </w:t>
      </w:r>
      <w:r w:rsidRPr="00A70F57">
        <w:rPr>
          <w:rFonts w:ascii="Arial" w:hAnsi="Arial" w:cs="Arial"/>
          <w:bCs/>
          <w:color w:val="000000" w:themeColor="text1"/>
          <w:sz w:val="22"/>
        </w:rPr>
        <w:t xml:space="preserve">los Documentos Tipo para licitación de obra pública de infraestructura de transporte, el </w:t>
      </w:r>
      <w:r w:rsidRPr="007A4F15">
        <w:rPr>
          <w:rFonts w:ascii="Arial" w:hAnsi="Arial" w:cs="Arial"/>
          <w:bCs/>
          <w:i/>
          <w:color w:val="000000" w:themeColor="text1"/>
          <w:sz w:val="22"/>
        </w:rPr>
        <w:t>Documento Base</w:t>
      </w:r>
      <w:r w:rsidRPr="00A70F57">
        <w:rPr>
          <w:rFonts w:ascii="Arial" w:hAnsi="Arial" w:cs="Arial"/>
          <w:bCs/>
          <w:color w:val="000000" w:themeColor="text1"/>
          <w:sz w:val="22"/>
        </w:rPr>
        <w:t xml:space="preserve"> codificado </w:t>
      </w:r>
      <w:r w:rsidRPr="00A70F57">
        <w:rPr>
          <w:rFonts w:ascii="Arial" w:hAnsi="Arial" w:cs="Arial"/>
          <w:sz w:val="22"/>
        </w:rPr>
        <w:t xml:space="preserve">con la </w:t>
      </w:r>
      <w:r w:rsidRPr="00A70F57">
        <w:rPr>
          <w:rFonts w:ascii="Arial" w:hAnsi="Arial" w:cs="Arial"/>
          <w:i/>
          <w:sz w:val="22"/>
        </w:rPr>
        <w:t>versión 4</w:t>
      </w:r>
      <w:r>
        <w:rPr>
          <w:rFonts w:ascii="Arial" w:hAnsi="Arial" w:cs="Arial"/>
          <w:sz w:val="22"/>
        </w:rPr>
        <w:t xml:space="preserve">, </w:t>
      </w:r>
      <w:r w:rsidRPr="00A70F57">
        <w:rPr>
          <w:rFonts w:ascii="Arial" w:hAnsi="Arial" w:cs="Arial"/>
          <w:sz w:val="22"/>
        </w:rPr>
        <w:t>vigen</w:t>
      </w:r>
      <w:r>
        <w:rPr>
          <w:rFonts w:ascii="Arial" w:hAnsi="Arial" w:cs="Arial"/>
          <w:sz w:val="22"/>
        </w:rPr>
        <w:t>te hasta el 27 de junio de 2021</w:t>
      </w:r>
      <w:r w:rsidRPr="00A70F57">
        <w:rPr>
          <w:rFonts w:ascii="Arial" w:hAnsi="Arial" w:cs="Arial"/>
          <w:sz w:val="22"/>
        </w:rPr>
        <w:t xml:space="preserve">, así como el codificado con la </w:t>
      </w:r>
      <w:r w:rsidRPr="007A4F15">
        <w:rPr>
          <w:rFonts w:ascii="Arial" w:hAnsi="Arial" w:cs="Arial"/>
          <w:i/>
          <w:sz w:val="22"/>
        </w:rPr>
        <w:t>versión 5</w:t>
      </w:r>
      <w:r>
        <w:rPr>
          <w:rFonts w:ascii="Arial" w:hAnsi="Arial" w:cs="Arial"/>
          <w:sz w:val="22"/>
        </w:rPr>
        <w:t xml:space="preserve">, </w:t>
      </w:r>
      <w:r w:rsidRPr="00A70F57">
        <w:rPr>
          <w:rFonts w:ascii="Arial" w:hAnsi="Arial" w:cs="Arial"/>
          <w:sz w:val="22"/>
        </w:rPr>
        <w:t>vigente a partir del 28 de junio de 2021</w:t>
      </w:r>
      <w:r>
        <w:rPr>
          <w:rStyle w:val="Refdenotaalpie"/>
          <w:rFonts w:ascii="Arial" w:hAnsi="Arial" w:cs="Arial"/>
          <w:sz w:val="22"/>
        </w:rPr>
        <w:footnoteReference w:id="9"/>
      </w:r>
      <w:r w:rsidRPr="00A70F57">
        <w:rPr>
          <w:rFonts w:ascii="Arial" w:hAnsi="Arial" w:cs="Arial"/>
          <w:sz w:val="22"/>
        </w:rPr>
        <w:t xml:space="preserve">, establecen </w:t>
      </w:r>
      <w:r>
        <w:rPr>
          <w:rFonts w:ascii="Arial" w:hAnsi="Arial" w:cs="Arial"/>
          <w:sz w:val="22"/>
        </w:rPr>
        <w:t xml:space="preserve">idénticamente </w:t>
      </w:r>
      <w:r w:rsidRPr="00A70F57">
        <w:rPr>
          <w:rFonts w:ascii="Arial" w:hAnsi="Arial" w:cs="Arial"/>
          <w:sz w:val="22"/>
        </w:rPr>
        <w:t>en el numeral 3.11.2.</w:t>
      </w:r>
      <w:r>
        <w:rPr>
          <w:rFonts w:ascii="Arial" w:hAnsi="Arial" w:cs="Arial"/>
          <w:sz w:val="22"/>
        </w:rPr>
        <w:t>,</w:t>
      </w:r>
      <w:r w:rsidRPr="00A70F57">
        <w:rPr>
          <w:rFonts w:ascii="Arial" w:hAnsi="Arial" w:cs="Arial"/>
          <w:sz w:val="22"/>
        </w:rPr>
        <w:t xml:space="preserve"> literal A, que para acreditar el factor de capacidad de organización (CO) el proponente obligado a tener RUP debe presentar los siguientes documentos:</w:t>
      </w:r>
    </w:p>
    <w:p w14:paraId="6DBC34A1" w14:textId="77777777" w:rsidR="00C64A66" w:rsidRPr="003332D8" w:rsidRDefault="00C64A66" w:rsidP="00C64A66">
      <w:pPr>
        <w:ind w:left="708" w:right="709"/>
        <w:jc w:val="both"/>
        <w:rPr>
          <w:rFonts w:ascii="Arial" w:hAnsi="Arial" w:cs="Arial"/>
          <w:sz w:val="21"/>
          <w:szCs w:val="21"/>
        </w:rPr>
      </w:pPr>
      <w:r w:rsidRPr="003332D8">
        <w:rPr>
          <w:rFonts w:ascii="Arial" w:hAnsi="Arial" w:cs="Arial"/>
          <w:sz w:val="21"/>
          <w:szCs w:val="21"/>
        </w:rPr>
        <w:t>i.  Estado de resultados integral (estado de resultado o pérdida o ganancias), del año en que hayan obtenido el mayor ingreso operacional en los últimos cinco (5) años, debidamente firmado por el representante legal, contador y revisor fiscal y/o contador independiente (externo), si están obligados a tenerlos. Esto teniendo en cuenta el artículo 37 de la Ley 222 de 1995.</w:t>
      </w:r>
    </w:p>
    <w:p w14:paraId="683BF33B" w14:textId="77777777" w:rsidR="00C64A66" w:rsidRPr="003332D8" w:rsidRDefault="00C64A66" w:rsidP="00C64A66">
      <w:pPr>
        <w:pStyle w:val="Prrafodelista"/>
        <w:ind w:left="1080"/>
        <w:jc w:val="both"/>
        <w:rPr>
          <w:rFonts w:ascii="Arial" w:hAnsi="Arial" w:cs="Arial"/>
          <w:sz w:val="21"/>
          <w:szCs w:val="21"/>
        </w:rPr>
      </w:pPr>
    </w:p>
    <w:p w14:paraId="5EEF0A41" w14:textId="77777777" w:rsidR="00C64A66" w:rsidRDefault="00C64A66" w:rsidP="00C64A66">
      <w:pPr>
        <w:ind w:left="708" w:right="709"/>
        <w:jc w:val="both"/>
        <w:rPr>
          <w:rFonts w:ascii="Arial" w:hAnsi="Arial" w:cs="Arial"/>
          <w:sz w:val="21"/>
          <w:szCs w:val="21"/>
        </w:rPr>
      </w:pPr>
      <w:r w:rsidRPr="003332D8">
        <w:rPr>
          <w:rFonts w:ascii="Arial" w:hAnsi="Arial" w:cs="Arial"/>
          <w:sz w:val="21"/>
          <w:szCs w:val="21"/>
        </w:rPr>
        <w:t>ii. Copia de la tarjeta profesional y certificado de antecedentes disciplinarios vigentes de los Contadores Públicos, Revisores Fiscales, Contadores independientes (externos), quienes suscribieron los documentos señalados en el presente literal.</w:t>
      </w:r>
    </w:p>
    <w:p w14:paraId="13694811" w14:textId="77777777" w:rsidR="00C64A66" w:rsidRDefault="00C64A66" w:rsidP="00C64A66">
      <w:pPr>
        <w:ind w:left="708" w:right="709"/>
        <w:jc w:val="both"/>
        <w:rPr>
          <w:rFonts w:ascii="Arial" w:hAnsi="Arial" w:cs="Arial"/>
          <w:sz w:val="21"/>
          <w:szCs w:val="21"/>
        </w:rPr>
      </w:pPr>
    </w:p>
    <w:p w14:paraId="48FE6F98" w14:textId="77777777" w:rsidR="00C64A66" w:rsidRDefault="00C64A66" w:rsidP="00C64A66">
      <w:pPr>
        <w:spacing w:before="120" w:line="276" w:lineRule="auto"/>
        <w:ind w:firstLine="708"/>
        <w:jc w:val="both"/>
        <w:rPr>
          <w:rFonts w:ascii="Arial" w:hAnsi="Arial" w:cs="Arial"/>
          <w:sz w:val="22"/>
        </w:rPr>
      </w:pPr>
      <w:r w:rsidRPr="00E30DF1">
        <w:rPr>
          <w:rFonts w:ascii="Arial" w:hAnsi="Arial" w:cs="Arial"/>
          <w:sz w:val="22"/>
        </w:rPr>
        <w:t xml:space="preserve">Como se advierte, la </w:t>
      </w:r>
      <w:r w:rsidRPr="00E30DF1">
        <w:rPr>
          <w:rFonts w:ascii="Arial" w:hAnsi="Arial" w:cs="Arial"/>
          <w:i/>
          <w:iCs/>
          <w:sz w:val="22"/>
        </w:rPr>
        <w:t xml:space="preserve">versión 3 </w:t>
      </w:r>
      <w:r w:rsidRPr="00E30DF1">
        <w:rPr>
          <w:rFonts w:ascii="Arial" w:hAnsi="Arial" w:cs="Arial"/>
          <w:sz w:val="22"/>
        </w:rPr>
        <w:t xml:space="preserve">de los documentos tipo mantiene el enfoque regulativo establecido en la </w:t>
      </w:r>
      <w:r w:rsidRPr="00E30DF1">
        <w:rPr>
          <w:rFonts w:ascii="Arial" w:hAnsi="Arial" w:cs="Arial"/>
          <w:i/>
          <w:iCs/>
          <w:sz w:val="22"/>
        </w:rPr>
        <w:t>Versión 2</w:t>
      </w:r>
      <w:r w:rsidRPr="00E30DF1">
        <w:rPr>
          <w:rFonts w:ascii="Arial" w:hAnsi="Arial" w:cs="Arial"/>
          <w:sz w:val="22"/>
        </w:rPr>
        <w:t xml:space="preserve">. En efecto, </w:t>
      </w:r>
      <w:r w:rsidRPr="00E30DF1">
        <w:rPr>
          <w:rFonts w:ascii="Arial" w:eastAsia="Calibri" w:hAnsi="Arial" w:cs="Arial"/>
          <w:color w:val="000000" w:themeColor="text1"/>
          <w:sz w:val="22"/>
        </w:rPr>
        <w:t>c</w:t>
      </w:r>
      <w:r w:rsidRPr="00E56801">
        <w:rPr>
          <w:rFonts w:ascii="Arial" w:eastAsia="Calibri" w:hAnsi="Arial" w:cs="Arial"/>
          <w:color w:val="000000" w:themeColor="text1"/>
          <w:sz w:val="22"/>
        </w:rPr>
        <w:t xml:space="preserve">ontinuando con el análisis anterior, el </w:t>
      </w:r>
      <w:r w:rsidRPr="00E56801">
        <w:rPr>
          <w:rFonts w:ascii="Arial" w:hAnsi="Arial" w:cs="Arial"/>
          <w:sz w:val="22"/>
        </w:rPr>
        <w:t>numeral 3.11.2., literal A del Documento Base (versiones 4</w:t>
      </w:r>
      <w:r w:rsidRPr="00E30DF1">
        <w:rPr>
          <w:rFonts w:ascii="Arial" w:hAnsi="Arial" w:cs="Arial"/>
          <w:sz w:val="22"/>
        </w:rPr>
        <w:t xml:space="preserve"> y 5) de los Documentos Tipo </w:t>
      </w:r>
      <w:r w:rsidRPr="00E30DF1">
        <w:rPr>
          <w:rFonts w:ascii="Arial" w:hAnsi="Arial" w:cs="Arial"/>
          <w:bCs/>
          <w:color w:val="000000" w:themeColor="text1"/>
          <w:sz w:val="22"/>
        </w:rPr>
        <w:t xml:space="preserve">para licitación de obra pública de infraestructura de transporte – Versión 3, al referirse al estado de resultados dentro de la capacidad de organización para determinar la capacidad residual hace una remisión al artículo 37 de la Ley 222 de 1995.  El artículo en mención señala que </w:t>
      </w:r>
      <w:r w:rsidRPr="00E30DF1">
        <w:rPr>
          <w:rFonts w:ascii="Arial" w:hAnsi="Arial" w:cs="Arial"/>
          <w:sz w:val="22"/>
        </w:rPr>
        <w:t>«El representante legal y el contador público bajo cuya responsabilidad se hubiesen preparado los estados financieros deberán certificar aquellos que se pongan a disposición de los asociados o de terceros. La certificación consiste en declarar que se han verificado previamente las afirmaciones contenidas en ellos, conforme al reglamento, y que las mismas se han tomado fielmente de los libros».</w:t>
      </w:r>
      <w:r w:rsidRPr="00E56801">
        <w:rPr>
          <w:rFonts w:ascii="Arial" w:hAnsi="Arial" w:cs="Arial"/>
          <w:sz w:val="22"/>
        </w:rPr>
        <w:t xml:space="preserve"> Además</w:t>
      </w:r>
      <w:r>
        <w:rPr>
          <w:rFonts w:ascii="Arial" w:hAnsi="Arial" w:cs="Arial"/>
          <w:sz w:val="22"/>
        </w:rPr>
        <w:t xml:space="preserve">, vale reiterar que, entre otras cosas, a diferencia de la </w:t>
      </w:r>
      <w:r>
        <w:rPr>
          <w:rFonts w:ascii="Arial" w:hAnsi="Arial" w:cs="Arial"/>
          <w:i/>
          <w:iCs/>
          <w:sz w:val="22"/>
        </w:rPr>
        <w:t xml:space="preserve">versión 1, </w:t>
      </w:r>
      <w:r>
        <w:rPr>
          <w:rFonts w:ascii="Arial" w:hAnsi="Arial" w:cs="Arial"/>
          <w:sz w:val="22"/>
        </w:rPr>
        <w:t>no se hace referencia a la necesidad de que dicho estado de resultados se aporte de acuerdo con el artículo 38 de la Ley 222 de 1995.</w:t>
      </w:r>
    </w:p>
    <w:p w14:paraId="640BF5A1" w14:textId="77777777" w:rsidR="00C64A66" w:rsidRDefault="00C64A66" w:rsidP="00C64A66">
      <w:pPr>
        <w:spacing w:before="120" w:after="120" w:line="276" w:lineRule="auto"/>
        <w:ind w:firstLine="708"/>
        <w:jc w:val="both"/>
        <w:rPr>
          <w:rFonts w:ascii="Arial" w:hAnsi="Arial" w:cs="Arial"/>
          <w:color w:val="000000" w:themeColor="text1"/>
          <w:sz w:val="22"/>
        </w:rPr>
      </w:pPr>
      <w:r>
        <w:rPr>
          <w:rFonts w:ascii="Arial" w:hAnsi="Arial" w:cs="Arial"/>
          <w:color w:val="000000" w:themeColor="text1"/>
          <w:sz w:val="22"/>
        </w:rPr>
        <w:t>En línea con lo anterior</w:t>
      </w:r>
      <w:r w:rsidRPr="009F2C1B">
        <w:rPr>
          <w:rFonts w:ascii="Arial" w:hAnsi="Arial" w:cs="Arial"/>
          <w:color w:val="000000" w:themeColor="text1"/>
          <w:sz w:val="22"/>
        </w:rPr>
        <w:t xml:space="preserve">, es importante señalar que de acuerdo con la Ley 43 de 1990, normativa que reglamenta la profesión de contador público, el artículo 10 señala que la firma de un contador público en los actos propios de su profesión hará presumir, salvo prueba en contrario, que el acto respectivo se ajusta a los requisitos legales. De igual forma, </w:t>
      </w:r>
      <w:r w:rsidRPr="009F2C1B">
        <w:rPr>
          <w:rFonts w:ascii="Arial" w:hAnsi="Arial" w:cs="Arial"/>
          <w:color w:val="000000" w:themeColor="text1"/>
          <w:sz w:val="22"/>
        </w:rPr>
        <w:lastRenderedPageBreak/>
        <w:t>tratándose de balances, se presumirá además que los saldos se han tomado fielmente de los libros, que éstos se ajustan a las normas legales y que las cifras registrados en ellos reflejan en forma fidedigna la correspondiente situación financiera en la fecha del balance</w:t>
      </w:r>
      <w:r w:rsidRPr="009F2C1B">
        <w:rPr>
          <w:rStyle w:val="Refdenotaalpie"/>
          <w:rFonts w:ascii="Arial" w:hAnsi="Arial" w:cs="Arial"/>
          <w:color w:val="000000" w:themeColor="text1"/>
          <w:sz w:val="22"/>
        </w:rPr>
        <w:footnoteReference w:id="10"/>
      </w:r>
      <w:r w:rsidRPr="009F2C1B">
        <w:rPr>
          <w:rFonts w:ascii="Arial" w:hAnsi="Arial" w:cs="Arial"/>
          <w:color w:val="000000" w:themeColor="text1"/>
          <w:sz w:val="22"/>
        </w:rPr>
        <w:t>.</w:t>
      </w:r>
      <w:r>
        <w:rPr>
          <w:rFonts w:ascii="Arial" w:hAnsi="Arial" w:cs="Arial"/>
          <w:color w:val="000000" w:themeColor="text1"/>
          <w:sz w:val="22"/>
        </w:rPr>
        <w:t xml:space="preserve"> </w:t>
      </w:r>
    </w:p>
    <w:p w14:paraId="39DB1268" w14:textId="77777777" w:rsidR="00C64A66" w:rsidRDefault="00C64A66" w:rsidP="00C64A66">
      <w:pPr>
        <w:spacing w:before="120" w:after="120" w:line="276" w:lineRule="auto"/>
        <w:ind w:firstLine="708"/>
        <w:jc w:val="both"/>
        <w:rPr>
          <w:rFonts w:ascii="Arial" w:hAnsi="Arial" w:cs="Arial"/>
          <w:sz w:val="22"/>
        </w:rPr>
      </w:pPr>
      <w:r>
        <w:rPr>
          <w:rFonts w:ascii="Arial" w:hAnsi="Arial" w:cs="Arial"/>
          <w:color w:val="000000" w:themeColor="text1"/>
          <w:sz w:val="22"/>
        </w:rPr>
        <w:t xml:space="preserve">En armonía con lo anterior, la Corte Constitucional, en la sentencia C-861 de 2008, reconoce que la profesión de contador público tiene un importante riesgo social en las relaciones económicas entre el Estado y los particulares y, por tanto, es necesario que tengan una mayor responsabilidad frente a los documentos que suscriben. Así lo </w:t>
      </w:r>
      <w:r>
        <w:rPr>
          <w:rFonts w:ascii="Arial" w:hAnsi="Arial" w:cs="Arial"/>
          <w:sz w:val="22"/>
        </w:rPr>
        <w:t xml:space="preserve">determinó en los siguientes términos:  </w:t>
      </w:r>
    </w:p>
    <w:p w14:paraId="245DEF5B" w14:textId="77777777" w:rsidR="00C64A66" w:rsidRDefault="00C64A66" w:rsidP="00C64A66">
      <w:pPr>
        <w:tabs>
          <w:tab w:val="left" w:pos="8222"/>
        </w:tabs>
        <w:spacing w:before="120"/>
        <w:ind w:left="709" w:right="709"/>
        <w:jc w:val="both"/>
        <w:rPr>
          <w:rFonts w:ascii="Arial" w:hAnsi="Arial" w:cs="Arial"/>
          <w:sz w:val="21"/>
          <w:szCs w:val="21"/>
          <w:shd w:val="clear" w:color="auto" w:fill="FFFFFF"/>
        </w:rPr>
      </w:pPr>
      <w:r>
        <w:rPr>
          <w:rFonts w:ascii="Arial" w:hAnsi="Arial" w:cs="Arial"/>
          <w:sz w:val="21"/>
          <w:szCs w:val="21"/>
          <w:shd w:val="clear" w:color="auto" w:fill="FFFFFF"/>
        </w:rPr>
        <w:t>A los Contadores Públicos por el hecho de dar fe pública se les impone un mayor nivel de responsabilidad, pues con el ejercicio de su actividad pueden ocasionar un riesgo social al poner en peligro intereses tan importantes como el orden y la seguridad en las relaciones económicas entre el Estado y los particulares, o de éstos entre sí, de manera que se otorga un mayor ámbito de libertad a quienes no causan tal riesgo, evitando con ello una innecesaria y excesiva regulación de la profesión arte u oficio desarrollada por éstos últimos y obedeciendo así a criterios equitativos de equivalencia entre el interés protegido y las limitaciones fijadas. La decisión que adoptó el legislador de conferir una función fedante a los Contadores Públicos, obedece a una finalidad de interés general</w:t>
      </w:r>
      <w:r>
        <w:rPr>
          <w:rStyle w:val="Refdenotaalpie"/>
          <w:rFonts w:ascii="Arial" w:hAnsi="Arial" w:cs="Arial"/>
          <w:sz w:val="21"/>
          <w:szCs w:val="21"/>
          <w:shd w:val="clear" w:color="auto" w:fill="FFFFFF"/>
        </w:rPr>
        <w:footnoteReference w:id="11"/>
      </w:r>
      <w:r>
        <w:rPr>
          <w:rFonts w:ascii="Arial" w:hAnsi="Arial" w:cs="Arial"/>
          <w:sz w:val="21"/>
          <w:szCs w:val="21"/>
          <w:shd w:val="clear" w:color="auto" w:fill="FFFFFF"/>
        </w:rPr>
        <w:t>.</w:t>
      </w:r>
    </w:p>
    <w:p w14:paraId="42B44C27" w14:textId="77777777" w:rsidR="00C64A66" w:rsidRDefault="00C64A66" w:rsidP="00C64A66">
      <w:pPr>
        <w:spacing w:line="276" w:lineRule="auto"/>
        <w:jc w:val="both"/>
        <w:rPr>
          <w:rFonts w:ascii="Arial" w:hAnsi="Arial" w:cs="Arial"/>
          <w:color w:val="000000" w:themeColor="text1"/>
          <w:sz w:val="22"/>
        </w:rPr>
      </w:pPr>
      <w:r>
        <w:rPr>
          <w:rFonts w:ascii="Arial" w:hAnsi="Arial" w:cs="Arial"/>
          <w:color w:val="000000" w:themeColor="text1"/>
          <w:sz w:val="22"/>
        </w:rPr>
        <w:tab/>
      </w:r>
    </w:p>
    <w:p w14:paraId="19DA42B2" w14:textId="77777777" w:rsidR="00C64A66" w:rsidRPr="009F2C1B" w:rsidRDefault="00C64A66" w:rsidP="00C64A66">
      <w:pPr>
        <w:spacing w:after="120" w:line="276" w:lineRule="auto"/>
        <w:ind w:firstLine="708"/>
        <w:jc w:val="both"/>
        <w:rPr>
          <w:rFonts w:ascii="Arial" w:hAnsi="Arial" w:cs="Arial"/>
          <w:color w:val="000000" w:themeColor="text1"/>
          <w:sz w:val="22"/>
        </w:rPr>
      </w:pPr>
      <w:r>
        <w:rPr>
          <w:rFonts w:ascii="Arial" w:hAnsi="Arial" w:cs="Arial"/>
          <w:color w:val="000000" w:themeColor="text1"/>
          <w:sz w:val="22"/>
        </w:rPr>
        <w:t xml:space="preserve">De este modo, en virtud de la </w:t>
      </w:r>
      <w:r w:rsidRPr="009F2C1B">
        <w:rPr>
          <w:rFonts w:ascii="Arial" w:hAnsi="Arial" w:cs="Arial"/>
          <w:color w:val="000000" w:themeColor="text1"/>
          <w:sz w:val="22"/>
        </w:rPr>
        <w:t xml:space="preserve">Ley 43 de 1990, todos los actos firmados por los contadores públicos se presumen acordes con los requisitos legales. Sin dejar de lado, que los balances generales también se presumen que se han tomado fielmente de los libros y que las cifras registradas en ellos reflejan en forma fidedigna la correspondiente situación financiera en la fecha del balance. En este sentido, todos los documentos suscritos por el contador dan fe pública que el documento está acorde con la normativa y, por tanto, para que sea válido este documento no se requerirán requisitos adicionales, como la aprobación del máximo órgano social o el dictamen del revisor fiscal o del contador público. </w:t>
      </w:r>
    </w:p>
    <w:p w14:paraId="653D67ED" w14:textId="24449CB2" w:rsidR="00C64A66" w:rsidRDefault="00C64A66" w:rsidP="00C64A66">
      <w:pPr>
        <w:tabs>
          <w:tab w:val="left" w:pos="6663"/>
        </w:tabs>
        <w:spacing w:before="120" w:line="276" w:lineRule="auto"/>
        <w:ind w:firstLine="708"/>
        <w:jc w:val="both"/>
        <w:rPr>
          <w:rFonts w:ascii="Arial" w:hAnsi="Arial" w:cs="Arial"/>
          <w:color w:val="000000" w:themeColor="text1"/>
          <w:sz w:val="22"/>
        </w:rPr>
      </w:pPr>
      <w:r w:rsidRPr="00E30DF1">
        <w:rPr>
          <w:rFonts w:ascii="Arial" w:hAnsi="Arial" w:cs="Arial"/>
          <w:color w:val="000000" w:themeColor="text1"/>
          <w:sz w:val="22"/>
        </w:rPr>
        <w:t xml:space="preserve">De acuerdo con lo señalado anteriormente, y teniendo en cuenta el contenido de los documentos tipo de licitación de obra pública de infraestructura de transporte – </w:t>
      </w:r>
      <w:r w:rsidRPr="00E30DF1">
        <w:rPr>
          <w:rFonts w:ascii="Arial" w:hAnsi="Arial" w:cs="Arial"/>
          <w:i/>
          <w:iCs/>
          <w:color w:val="000000" w:themeColor="text1"/>
          <w:sz w:val="22"/>
        </w:rPr>
        <w:t>versión 3</w:t>
      </w:r>
      <w:r w:rsidRPr="00E30DF1">
        <w:rPr>
          <w:rFonts w:ascii="Arial" w:hAnsi="Arial" w:cs="Arial"/>
          <w:color w:val="000000" w:themeColor="text1"/>
          <w:sz w:val="22"/>
        </w:rPr>
        <w:t xml:space="preserve">,  para acreditar la capacidad organizacional </w:t>
      </w:r>
      <w:r>
        <w:rPr>
          <w:rFonts w:ascii="Arial" w:hAnsi="Arial" w:cs="Arial"/>
          <w:color w:val="000000" w:themeColor="text1"/>
          <w:sz w:val="22"/>
        </w:rPr>
        <w:t xml:space="preserve">de los proponentes que cuentan con RUP </w:t>
      </w:r>
      <w:r w:rsidRPr="00E30DF1">
        <w:rPr>
          <w:rFonts w:ascii="Arial" w:hAnsi="Arial" w:cs="Arial"/>
          <w:color w:val="000000" w:themeColor="text1"/>
          <w:sz w:val="22"/>
        </w:rPr>
        <w:t xml:space="preserve">solo se requiere aportar el estado de resultados del año en que el proponente obtuvo mayor </w:t>
      </w:r>
      <w:r w:rsidRPr="00E30DF1">
        <w:rPr>
          <w:rFonts w:ascii="Arial" w:hAnsi="Arial" w:cs="Arial"/>
          <w:color w:val="000000" w:themeColor="text1"/>
          <w:sz w:val="22"/>
        </w:rPr>
        <w:lastRenderedPageBreak/>
        <w:t xml:space="preserve">ingreso operacional </w:t>
      </w:r>
      <w:r>
        <w:rPr>
          <w:rFonts w:ascii="Arial" w:hAnsi="Arial" w:cs="Arial"/>
          <w:color w:val="000000" w:themeColor="text1"/>
          <w:sz w:val="22"/>
        </w:rPr>
        <w:t xml:space="preserve">en los últimos 5 años </w:t>
      </w:r>
      <w:r w:rsidRPr="00E30DF1">
        <w:rPr>
          <w:rFonts w:ascii="Arial" w:hAnsi="Arial" w:cs="Arial"/>
          <w:sz w:val="22"/>
        </w:rPr>
        <w:t>debidamente firmado por el representante legal, contador y revisor fiscal y/o contador independiente (externo), si están obligados a tenerlos</w:t>
      </w:r>
      <w:r w:rsidRPr="00E30DF1">
        <w:rPr>
          <w:rFonts w:ascii="Arial" w:hAnsi="Arial" w:cs="Arial"/>
          <w:color w:val="000000" w:themeColor="text1"/>
          <w:sz w:val="22"/>
        </w:rPr>
        <w:t xml:space="preserve">, y la copia de la tarjeta profesional y certificado de antecedentes disciplinarios vigentes de los contadores públicos, revisores fiscales, contadores independientes (externos), quienes suscribieron dichos documentos, de conformidad con el artículo 37 de la Ley 222 de 1995, sin que el Documento Tipo exija el dictamen del estado de resultados señalado en el artículo 38 de la Ley 122 de 1995, por lo </w:t>
      </w:r>
      <w:r w:rsidRPr="00E56801">
        <w:rPr>
          <w:rFonts w:ascii="Arial" w:hAnsi="Arial" w:cs="Arial"/>
          <w:color w:val="000000" w:themeColor="text1"/>
          <w:sz w:val="22"/>
        </w:rPr>
        <w:t>que el requisito se acredita en los términos establecidos en los documentos tipo.</w:t>
      </w:r>
    </w:p>
    <w:p w14:paraId="7FC8D0F3" w14:textId="77777777" w:rsidR="00C64A66" w:rsidRDefault="00C64A66" w:rsidP="00C64A66">
      <w:pPr>
        <w:tabs>
          <w:tab w:val="left" w:pos="6663"/>
        </w:tabs>
        <w:spacing w:line="276" w:lineRule="auto"/>
        <w:ind w:firstLine="708"/>
        <w:jc w:val="both"/>
        <w:rPr>
          <w:rFonts w:ascii="Arial" w:hAnsi="Arial" w:cs="Arial"/>
          <w:color w:val="000000" w:themeColor="text1"/>
          <w:sz w:val="22"/>
        </w:rPr>
      </w:pPr>
    </w:p>
    <w:p w14:paraId="56050305" w14:textId="4E038454" w:rsidR="00C64A66" w:rsidRDefault="00C64A66" w:rsidP="00C64A66">
      <w:pPr>
        <w:jc w:val="both"/>
        <w:rPr>
          <w:rFonts w:ascii="Arial" w:hAnsi="Arial" w:cs="Arial"/>
          <w:b/>
          <w:color w:val="000000" w:themeColor="text1"/>
          <w:sz w:val="22"/>
        </w:rPr>
      </w:pPr>
      <w:r w:rsidRPr="009F2C1B">
        <w:rPr>
          <w:rFonts w:ascii="Arial" w:hAnsi="Arial" w:cs="Arial"/>
          <w:b/>
          <w:color w:val="000000" w:themeColor="text1"/>
          <w:sz w:val="22"/>
        </w:rPr>
        <w:t>2.</w:t>
      </w:r>
      <w:r w:rsidR="004C2A33">
        <w:rPr>
          <w:rFonts w:ascii="Arial" w:hAnsi="Arial" w:cs="Arial"/>
          <w:b/>
          <w:color w:val="000000" w:themeColor="text1"/>
          <w:sz w:val="22"/>
        </w:rPr>
        <w:t>3</w:t>
      </w:r>
      <w:r w:rsidRPr="009F2C1B">
        <w:rPr>
          <w:rFonts w:ascii="Arial" w:hAnsi="Arial" w:cs="Arial"/>
          <w:b/>
          <w:color w:val="000000" w:themeColor="text1"/>
          <w:sz w:val="22"/>
        </w:rPr>
        <w:t xml:space="preserve">. </w:t>
      </w:r>
      <w:r>
        <w:rPr>
          <w:rFonts w:ascii="Arial" w:hAnsi="Arial" w:cs="Arial"/>
          <w:b/>
          <w:color w:val="000000" w:themeColor="text1"/>
          <w:sz w:val="22"/>
        </w:rPr>
        <w:t xml:space="preserve">Regla </w:t>
      </w:r>
      <w:r w:rsidRPr="009F2C1B">
        <w:rPr>
          <w:rFonts w:ascii="Arial" w:hAnsi="Arial" w:cs="Arial"/>
          <w:b/>
          <w:color w:val="000000" w:themeColor="text1"/>
          <w:sz w:val="22"/>
        </w:rPr>
        <w:t>de inalterabilidad de los Documentos Tipo</w:t>
      </w:r>
    </w:p>
    <w:p w14:paraId="1951C3B1" w14:textId="77777777" w:rsidR="00C64A66" w:rsidRPr="009F2C1B" w:rsidRDefault="00C64A66" w:rsidP="00C64A66">
      <w:pPr>
        <w:jc w:val="both"/>
        <w:rPr>
          <w:rFonts w:ascii="Arial" w:hAnsi="Arial" w:cs="Arial"/>
          <w:b/>
          <w:color w:val="000000" w:themeColor="text1"/>
          <w:sz w:val="22"/>
        </w:rPr>
      </w:pPr>
    </w:p>
    <w:p w14:paraId="70CD0DDA" w14:textId="767B7955" w:rsidR="00C64A66" w:rsidRPr="00D81EEF" w:rsidRDefault="00590EDE" w:rsidP="00C64A66">
      <w:pPr>
        <w:spacing w:line="276" w:lineRule="auto"/>
        <w:jc w:val="both"/>
        <w:rPr>
          <w:rFonts w:ascii="Arial" w:hAnsi="Arial" w:cs="Arial"/>
          <w:sz w:val="22"/>
          <w:shd w:val="clear" w:color="auto" w:fill="FFFFFF"/>
          <w:lang w:val="es-ES"/>
        </w:rPr>
      </w:pPr>
      <w:r>
        <w:rPr>
          <w:rFonts w:ascii="Arial" w:eastAsia="Calibri" w:hAnsi="Arial" w:cs="Arial"/>
          <w:sz w:val="22"/>
          <w:shd w:val="clear" w:color="auto" w:fill="FFFFFF"/>
          <w:lang w:val="es-ES"/>
        </w:rPr>
        <w:t>E</w:t>
      </w:r>
      <w:r w:rsidR="00C64A66">
        <w:rPr>
          <w:rFonts w:ascii="Arial" w:eastAsia="Calibri" w:hAnsi="Arial" w:cs="Arial"/>
          <w:sz w:val="22"/>
          <w:shd w:val="clear" w:color="auto" w:fill="FFFFFF"/>
          <w:lang w:val="es-ES"/>
        </w:rPr>
        <w:t xml:space="preserve">s importante tener en cuenta la inalterabilidad de los Documentos Tipo adoptados por la Agencia Nacional de Contratación Pública – Colombia Compra Eficiente. </w:t>
      </w:r>
      <w:bookmarkStart w:id="2" w:name="_Hlk81911911"/>
      <w:r w:rsidR="00C64A66">
        <w:rPr>
          <w:rFonts w:ascii="Arial" w:eastAsia="Calibri" w:hAnsi="Arial" w:cs="Arial"/>
          <w:sz w:val="22"/>
          <w:shd w:val="clear" w:color="auto" w:fill="FFFFFF"/>
          <w:lang w:val="es-ES"/>
        </w:rPr>
        <w:t>La regla de inalterabilidad de los Documentos Tipo, consagrada en l</w:t>
      </w:r>
      <w:r w:rsidR="00C64A66" w:rsidRPr="00D81EEF">
        <w:rPr>
          <w:rFonts w:ascii="Arial" w:eastAsia="Calibri" w:hAnsi="Arial" w:cs="Arial"/>
          <w:sz w:val="22"/>
          <w:shd w:val="clear" w:color="auto" w:fill="FFFFFF"/>
          <w:lang w:val="es-ES"/>
        </w:rPr>
        <w:t>os artículos 2.2.1.2.6.1.4, 2.2.1.2.6.2.3 y 2.2.1.2.6.3.4 del Decreto 1082 de 2015</w:t>
      </w:r>
      <w:r w:rsidR="00C64A66">
        <w:rPr>
          <w:rFonts w:ascii="Arial" w:eastAsia="Calibri" w:hAnsi="Arial" w:cs="Arial"/>
          <w:sz w:val="22"/>
          <w:shd w:val="clear" w:color="auto" w:fill="FFFFFF"/>
          <w:lang w:val="es-ES"/>
        </w:rPr>
        <w:t xml:space="preserve">, </w:t>
      </w:r>
      <w:r w:rsidR="00C64A66" w:rsidRPr="00D81EEF">
        <w:rPr>
          <w:rFonts w:ascii="Arial" w:eastAsia="Calibri" w:hAnsi="Arial" w:cs="Arial"/>
          <w:sz w:val="22"/>
          <w:shd w:val="clear" w:color="auto" w:fill="FFFFFF"/>
          <w:lang w:val="es-ES"/>
        </w:rPr>
        <w:t xml:space="preserve">consiste en que las entidades estatales no pueden incluir o modificar en los documentos del proceso las condiciones habilitantes, los factores técnicos y económicos de escogencia y los sistemas de ponderación distintos a los señalados en los Documentos Tipo. </w:t>
      </w:r>
      <w:r w:rsidR="006A1EBE" w:rsidRPr="006A1EBE">
        <w:rPr>
          <w:rFonts w:ascii="Arial" w:hAnsi="Arial" w:cs="Arial"/>
          <w:sz w:val="22"/>
          <w:shd w:val="clear" w:color="auto" w:fill="FFFFFF"/>
          <w:lang w:val="es-ES"/>
        </w:rPr>
        <w:t>En consecuencia, las condiciones establecidas en los documentos que haya adoptado el Gobierno Nacional, en ejercicio del mandato establecido en el artículo 4 de la Ley 1882 de 2018 o la Agencia Nacional de Contratación Pública – Colombia Compra Eficiente en virtud del artículo 1 de la Ley 2022 de 2020,</w:t>
      </w:r>
      <w:r w:rsidR="00C64A66" w:rsidRPr="00D81EEF">
        <w:rPr>
          <w:rFonts w:ascii="Arial" w:hAnsi="Arial" w:cs="Arial"/>
          <w:sz w:val="22"/>
          <w:shd w:val="clear" w:color="auto" w:fill="FFFFFF"/>
          <w:lang w:val="es-ES"/>
        </w:rPr>
        <w:t xml:space="preserve"> son de obligatorio cumplimiento para las entidades sometidas al Estatuto General de Contratación de la Administración Pública que adelanten procesos que deban regirse por su contenido, y no pueden variarse los requisitos fijados en ellos</w:t>
      </w:r>
      <w:bookmarkEnd w:id="2"/>
      <w:r w:rsidR="00C64A66" w:rsidRPr="00D81EEF">
        <w:rPr>
          <w:rFonts w:ascii="Arial" w:hAnsi="Arial" w:cs="Arial"/>
          <w:sz w:val="22"/>
          <w:shd w:val="clear" w:color="auto" w:fill="FFFFFF"/>
          <w:lang w:val="es-ES"/>
        </w:rPr>
        <w:t xml:space="preserve">. </w:t>
      </w:r>
      <w:r w:rsidR="00C64A66">
        <w:rPr>
          <w:rFonts w:ascii="Arial" w:hAnsi="Arial" w:cs="Arial"/>
          <w:sz w:val="22"/>
          <w:shd w:val="clear" w:color="auto" w:fill="FFFFFF"/>
          <w:lang w:val="es-ES"/>
        </w:rPr>
        <w:t xml:space="preserve"> </w:t>
      </w:r>
    </w:p>
    <w:p w14:paraId="05995903" w14:textId="77777777" w:rsidR="00C64A66" w:rsidRDefault="00C64A66" w:rsidP="00C64A66">
      <w:pPr>
        <w:spacing w:before="120" w:line="276" w:lineRule="auto"/>
        <w:ind w:firstLine="708"/>
        <w:jc w:val="both"/>
        <w:rPr>
          <w:rFonts w:ascii="Arial" w:eastAsia="Calibri" w:hAnsi="Arial" w:cs="Arial"/>
          <w:noProof/>
          <w:sz w:val="22"/>
          <w:lang w:val="es-ES_tradnl"/>
        </w:rPr>
      </w:pPr>
      <w:r w:rsidRPr="00D81EEF">
        <w:rPr>
          <w:rFonts w:ascii="Arial" w:hAnsi="Arial" w:cs="Arial"/>
          <w:sz w:val="22"/>
          <w:shd w:val="clear" w:color="auto" w:fill="FFFFFF"/>
          <w:lang w:val="es-ES"/>
        </w:rPr>
        <w:t>Sin perjuicio de lo anterior, debe tenerse en cuenta que en relación con los documentos tipo expedidos o actualizados luego de la vigencia de la Ley 2022 de 2020</w:t>
      </w:r>
      <w:r>
        <w:rPr>
          <w:rStyle w:val="Refdenotaalpie"/>
          <w:rFonts w:ascii="Arial" w:hAnsi="Arial" w:cs="Arial"/>
          <w:sz w:val="22"/>
          <w:shd w:val="clear" w:color="auto" w:fill="FFFFFF"/>
          <w:lang w:val="es-ES"/>
        </w:rPr>
        <w:footnoteReference w:id="12"/>
      </w:r>
      <w:r w:rsidRPr="00D81EEF">
        <w:rPr>
          <w:rFonts w:ascii="Arial" w:hAnsi="Arial" w:cs="Arial"/>
          <w:sz w:val="22"/>
          <w:shd w:val="clear" w:color="auto" w:fill="FFFFFF"/>
          <w:lang w:val="es-ES"/>
        </w:rPr>
        <w:t xml:space="preserve">, el fundamento de la inalterabilidad de su contenido se deriva de lo establecido en </w:t>
      </w:r>
      <w:r>
        <w:rPr>
          <w:rFonts w:ascii="Arial" w:hAnsi="Arial" w:cs="Arial"/>
          <w:sz w:val="22"/>
          <w:shd w:val="clear" w:color="auto" w:fill="FFFFFF"/>
          <w:lang w:val="es-ES"/>
        </w:rPr>
        <w:t>dicha</w:t>
      </w:r>
      <w:r w:rsidRPr="00D81EEF">
        <w:rPr>
          <w:rFonts w:ascii="Arial" w:hAnsi="Arial" w:cs="Arial"/>
          <w:sz w:val="22"/>
          <w:shd w:val="clear" w:color="auto" w:fill="FFFFFF"/>
          <w:lang w:val="es-ES"/>
        </w:rPr>
        <w:t xml:space="preserve"> ley y particularmente lo prescrito en cada una de las resoluciones que adoptan los documentos tipo</w:t>
      </w:r>
      <w:r w:rsidRPr="00D81EEF">
        <w:rPr>
          <w:rFonts w:ascii="Arial" w:eastAsia="Calibri" w:hAnsi="Arial" w:cs="Arial"/>
          <w:noProof/>
          <w:sz w:val="22"/>
          <w:lang w:val="es-ES_tradnl"/>
        </w:rPr>
        <w:t>. En tal sentido, en relación con los documentos tipo de obra de infraestructura de transporte en la modalidad de licitación –Versión 3–</w:t>
      </w:r>
      <w:r>
        <w:rPr>
          <w:rFonts w:ascii="Arial" w:eastAsia="Calibri" w:hAnsi="Arial" w:cs="Arial"/>
          <w:noProof/>
          <w:sz w:val="22"/>
          <w:lang w:val="es-ES_tradnl"/>
        </w:rPr>
        <w:t>,</w:t>
      </w:r>
      <w:r w:rsidRPr="00D81EEF">
        <w:rPr>
          <w:rFonts w:ascii="Arial" w:eastAsia="Calibri" w:hAnsi="Arial" w:cs="Arial"/>
          <w:noProof/>
          <w:sz w:val="22"/>
          <w:lang w:val="es-ES_tradnl"/>
        </w:rPr>
        <w:t xml:space="preserve">  el artículo 3 de</w:t>
      </w:r>
      <w:r>
        <w:rPr>
          <w:rFonts w:ascii="Arial" w:eastAsia="Calibri" w:hAnsi="Arial" w:cs="Arial"/>
          <w:noProof/>
          <w:sz w:val="22"/>
          <w:lang w:val="es-ES_tradnl"/>
        </w:rPr>
        <w:t xml:space="preserve"> la Resolución No. 240 </w:t>
      </w:r>
      <w:r>
        <w:rPr>
          <w:rFonts w:ascii="Arial" w:eastAsia="Calibri" w:hAnsi="Arial" w:cs="Arial"/>
          <w:noProof/>
          <w:sz w:val="22"/>
          <w:lang w:val="es-ES_tradnl"/>
        </w:rPr>
        <w:lastRenderedPageBreak/>
        <w:t xml:space="preserve">de 2020 </w:t>
      </w:r>
      <w:r w:rsidRPr="00D81EEF">
        <w:rPr>
          <w:rFonts w:ascii="Arial" w:eastAsia="Calibri" w:hAnsi="Arial" w:cs="Arial"/>
          <w:noProof/>
          <w:sz w:val="22"/>
          <w:lang w:val="es-ES_tradnl"/>
        </w:rPr>
        <w:t>dispone la inalterabilidad de los documentos tipo en los siguientes términos: «Las entidades estatales contratantes no podrán incluir o modificar dentro de lo</w:t>
      </w:r>
      <w:r w:rsidRPr="00526519">
        <w:rPr>
          <w:rFonts w:ascii="Arial" w:eastAsia="Calibri" w:hAnsi="Arial" w:cs="Arial"/>
          <w:noProof/>
          <w:sz w:val="22"/>
          <w:lang w:val="es-ES_tradnl"/>
        </w:rPr>
        <w:t>s documentos del proceso de selección las condiciones habilitantes, los factores técnicos y económicos de escogencia y los sistemas de ponderación que han sido definidos y señalados en los Documentos Tipo».</w:t>
      </w:r>
    </w:p>
    <w:p w14:paraId="66F88275" w14:textId="256AE2AF" w:rsidR="00C64A66" w:rsidRDefault="00C64A66" w:rsidP="00C64A66">
      <w:pPr>
        <w:spacing w:before="120" w:line="276" w:lineRule="auto"/>
        <w:ind w:firstLine="708"/>
        <w:jc w:val="both"/>
        <w:rPr>
          <w:rFonts w:ascii="Arial" w:hAnsi="Arial" w:cs="Arial"/>
          <w:bCs/>
          <w:color w:val="000000" w:themeColor="text1"/>
          <w:sz w:val="22"/>
        </w:rPr>
      </w:pPr>
      <w:r w:rsidRPr="000D5703">
        <w:rPr>
          <w:rFonts w:ascii="Arial" w:eastAsia="Calibri" w:hAnsi="Arial" w:cs="Arial"/>
          <w:noProof/>
          <w:sz w:val="22"/>
          <w:lang w:val="es-ES_tradnl"/>
        </w:rPr>
        <w:t>De tal manera que las versiones 4 y 5 del Documento Base</w:t>
      </w:r>
      <w:r>
        <w:rPr>
          <w:rFonts w:ascii="Arial" w:eastAsia="Calibri" w:hAnsi="Arial" w:cs="Arial"/>
          <w:noProof/>
          <w:sz w:val="22"/>
          <w:lang w:val="es-ES_tradnl"/>
        </w:rPr>
        <w:t>,</w:t>
      </w:r>
      <w:r w:rsidRPr="000D5703">
        <w:rPr>
          <w:rFonts w:ascii="Arial" w:eastAsia="Calibri" w:hAnsi="Arial" w:cs="Arial"/>
          <w:noProof/>
          <w:sz w:val="22"/>
          <w:lang w:val="es-ES_tradnl"/>
        </w:rPr>
        <w:t xml:space="preserve"> pertenececiente</w:t>
      </w:r>
      <w:r>
        <w:rPr>
          <w:rFonts w:ascii="Arial" w:eastAsia="Calibri" w:hAnsi="Arial" w:cs="Arial"/>
          <w:noProof/>
          <w:sz w:val="22"/>
          <w:lang w:val="es-ES_tradnl"/>
        </w:rPr>
        <w:t>s</w:t>
      </w:r>
      <w:r w:rsidRPr="000D5703">
        <w:rPr>
          <w:rFonts w:ascii="Arial" w:eastAsia="Calibri" w:hAnsi="Arial" w:cs="Arial"/>
          <w:noProof/>
          <w:sz w:val="22"/>
          <w:lang w:val="es-ES_tradnl"/>
        </w:rPr>
        <w:t xml:space="preserve"> a la Versión 3 de los Documentos Tipo</w:t>
      </w:r>
      <w:r>
        <w:rPr>
          <w:rFonts w:ascii="Arial" w:eastAsia="Calibri" w:hAnsi="Arial" w:cs="Arial"/>
          <w:noProof/>
          <w:sz w:val="22"/>
          <w:lang w:val="es-ES_tradnl"/>
        </w:rPr>
        <w:t xml:space="preserve"> </w:t>
      </w:r>
      <w:r w:rsidRPr="00D76CC1">
        <w:rPr>
          <w:rFonts w:ascii="Arial" w:hAnsi="Arial" w:cs="Arial"/>
          <w:bCs/>
          <w:color w:val="000000" w:themeColor="text1"/>
          <w:sz w:val="22"/>
        </w:rPr>
        <w:t xml:space="preserve">para licitación de obra pública de infraestructura de transporte </w:t>
      </w:r>
      <w:r>
        <w:rPr>
          <w:rFonts w:ascii="Arial" w:hAnsi="Arial" w:cs="Arial"/>
          <w:bCs/>
          <w:color w:val="000000" w:themeColor="text1"/>
          <w:sz w:val="22"/>
        </w:rPr>
        <w:t>–</w:t>
      </w:r>
      <w:r w:rsidRPr="00D76CC1">
        <w:rPr>
          <w:rFonts w:ascii="Arial" w:hAnsi="Arial" w:cs="Arial"/>
          <w:bCs/>
          <w:color w:val="000000" w:themeColor="text1"/>
          <w:sz w:val="22"/>
        </w:rPr>
        <w:t xml:space="preserve"> Versión 3</w:t>
      </w:r>
      <w:r>
        <w:rPr>
          <w:rFonts w:ascii="Arial" w:hAnsi="Arial" w:cs="Arial"/>
          <w:bCs/>
          <w:color w:val="000000" w:themeColor="text1"/>
          <w:sz w:val="22"/>
        </w:rPr>
        <w:t xml:space="preserve">, respecto del estado de resultados solo exigen </w:t>
      </w:r>
      <w:r w:rsidRPr="00EE750F">
        <w:rPr>
          <w:rFonts w:ascii="Arial" w:hAnsi="Arial" w:cs="Arial"/>
          <w:color w:val="000000" w:themeColor="text1"/>
          <w:sz w:val="22"/>
        </w:rPr>
        <w:t xml:space="preserve">aportar el estado de resultados del año en que el proponente obtuvo mayor ingreso operacional </w:t>
      </w:r>
      <w:r>
        <w:rPr>
          <w:rFonts w:ascii="Arial" w:hAnsi="Arial" w:cs="Arial"/>
          <w:color w:val="000000" w:themeColor="text1"/>
          <w:sz w:val="22"/>
        </w:rPr>
        <w:t xml:space="preserve">en los últimos 5 años </w:t>
      </w:r>
      <w:r w:rsidRPr="00EE750F">
        <w:rPr>
          <w:rFonts w:ascii="Arial" w:hAnsi="Arial" w:cs="Arial"/>
          <w:sz w:val="22"/>
        </w:rPr>
        <w:t>debidamente firmado por el representante legal, contador y revisor fiscal y/o contador independiente (externo), si están obligados a tenerlos</w:t>
      </w:r>
      <w:r w:rsidRPr="00EE750F">
        <w:rPr>
          <w:rFonts w:ascii="Arial" w:hAnsi="Arial" w:cs="Arial"/>
          <w:color w:val="000000" w:themeColor="text1"/>
          <w:sz w:val="22"/>
        </w:rPr>
        <w:t>, y la copia de la tarjeta profesional y certificado de antecedentes disciplinarios vigentes de los contadores públicos, revisores fiscales, contadores independientes (externos), quienes suscribieron dichos documentos, de conformidad con el artículo 37 de la Ley 222 de 1995, sin que el Documento Tipo exija el dictamen del estado de resultados señalado en el artículo 38 de la Ley 122 de 1995</w:t>
      </w:r>
      <w:r>
        <w:rPr>
          <w:rFonts w:ascii="Arial" w:hAnsi="Arial" w:cs="Arial"/>
          <w:bCs/>
          <w:color w:val="000000" w:themeColor="text1"/>
          <w:sz w:val="22"/>
        </w:rPr>
        <w:t xml:space="preserve">. </w:t>
      </w:r>
    </w:p>
    <w:p w14:paraId="10871D3B" w14:textId="0DECC0B4" w:rsidR="001C3E34" w:rsidRDefault="001C3E34" w:rsidP="00C64A66">
      <w:pPr>
        <w:spacing w:before="120" w:line="276" w:lineRule="auto"/>
        <w:ind w:firstLine="708"/>
        <w:jc w:val="both"/>
        <w:rPr>
          <w:rFonts w:ascii="Arial" w:hAnsi="Arial" w:cs="Arial"/>
          <w:bCs/>
          <w:color w:val="000000" w:themeColor="text1"/>
          <w:sz w:val="22"/>
        </w:rPr>
      </w:pPr>
      <w:r>
        <w:rPr>
          <w:rFonts w:ascii="Arial" w:hAnsi="Arial" w:cs="Arial"/>
          <w:bCs/>
          <w:color w:val="000000" w:themeColor="text1"/>
          <w:sz w:val="22"/>
        </w:rPr>
        <w:t xml:space="preserve">En conclusión, el artículo </w:t>
      </w:r>
      <w:r w:rsidR="00C96FC4" w:rsidRPr="00C96FC4">
        <w:rPr>
          <w:rFonts w:ascii="Arial" w:hAnsi="Arial" w:cs="Arial"/>
          <w:bCs/>
          <w:color w:val="000000" w:themeColor="text1"/>
          <w:sz w:val="22"/>
        </w:rPr>
        <w:t>2.2.1.1.1.6.4.</w:t>
      </w:r>
      <w:r w:rsidR="00C96FC4">
        <w:rPr>
          <w:rFonts w:ascii="Arial" w:hAnsi="Arial" w:cs="Arial"/>
          <w:bCs/>
          <w:color w:val="000000" w:themeColor="text1"/>
          <w:sz w:val="22"/>
        </w:rPr>
        <w:t xml:space="preserve"> del Decreto 1082 de 2015</w:t>
      </w:r>
      <w:r w:rsidR="00CB4581">
        <w:rPr>
          <w:rFonts w:ascii="Arial" w:hAnsi="Arial" w:cs="Arial"/>
          <w:bCs/>
          <w:color w:val="000000" w:themeColor="text1"/>
          <w:sz w:val="22"/>
        </w:rPr>
        <w:t xml:space="preserve"> es la norma que establece que «</w:t>
      </w:r>
      <w:r w:rsidR="00CB4581" w:rsidRPr="00CB4581">
        <w:rPr>
          <w:rFonts w:ascii="Arial" w:hAnsi="Arial" w:cs="Arial"/>
          <w:bCs/>
          <w:color w:val="000000" w:themeColor="text1"/>
          <w:sz w:val="22"/>
        </w:rPr>
        <w:t xml:space="preserve">Los estados financieros deben estar suscritos por el interesado o su representante legal </w:t>
      </w:r>
      <w:r w:rsidR="00CB4581" w:rsidRPr="008D2AF3">
        <w:rPr>
          <w:rFonts w:ascii="Arial" w:hAnsi="Arial" w:cs="Arial"/>
          <w:bCs/>
          <w:i/>
          <w:iCs/>
          <w:color w:val="000000" w:themeColor="text1"/>
          <w:sz w:val="22"/>
        </w:rPr>
        <w:t>y el revisor fiscal si está obligado a tenerlo, o el auditor o contador si no está obligado a tener revisor fiscal</w:t>
      </w:r>
      <w:r w:rsidR="00CB4581">
        <w:rPr>
          <w:rFonts w:ascii="Arial" w:hAnsi="Arial" w:cs="Arial"/>
          <w:bCs/>
          <w:color w:val="000000" w:themeColor="text1"/>
          <w:sz w:val="22"/>
        </w:rPr>
        <w:t>»</w:t>
      </w:r>
      <w:r w:rsidR="008D2AF3">
        <w:rPr>
          <w:rFonts w:ascii="Arial" w:hAnsi="Arial" w:cs="Arial"/>
          <w:bCs/>
          <w:color w:val="000000" w:themeColor="text1"/>
          <w:sz w:val="22"/>
        </w:rPr>
        <w:t xml:space="preserve"> (cursiva fuera de texto), como parte de la documentación que debe aportarse para </w:t>
      </w:r>
      <w:r w:rsidR="008D2AF3" w:rsidRPr="008D2AF3">
        <w:rPr>
          <w:rFonts w:ascii="Arial" w:hAnsi="Arial" w:cs="Arial"/>
          <w:bCs/>
          <w:color w:val="000000" w:themeColor="text1"/>
          <w:sz w:val="22"/>
        </w:rPr>
        <w:t xml:space="preserve">acreditar </w:t>
      </w:r>
      <w:r w:rsidR="00441BD1">
        <w:rPr>
          <w:rFonts w:ascii="Arial" w:hAnsi="Arial" w:cs="Arial"/>
          <w:bCs/>
          <w:color w:val="000000" w:themeColor="text1"/>
          <w:sz w:val="22"/>
        </w:rPr>
        <w:t>la</w:t>
      </w:r>
      <w:r w:rsidR="008D2AF3" w:rsidRPr="008D2AF3">
        <w:rPr>
          <w:rFonts w:ascii="Arial" w:hAnsi="Arial" w:cs="Arial"/>
          <w:bCs/>
          <w:color w:val="000000" w:themeColor="text1"/>
          <w:sz w:val="22"/>
        </w:rPr>
        <w:t xml:space="preserve"> Capacidad Residual o K de Contratación</w:t>
      </w:r>
      <w:r w:rsidR="00CB4581" w:rsidRPr="00CB4581">
        <w:rPr>
          <w:rFonts w:ascii="Arial" w:hAnsi="Arial" w:cs="Arial"/>
          <w:bCs/>
          <w:color w:val="000000" w:themeColor="text1"/>
          <w:sz w:val="22"/>
        </w:rPr>
        <w:t>.</w:t>
      </w:r>
      <w:r>
        <w:rPr>
          <w:rFonts w:ascii="Arial" w:hAnsi="Arial" w:cs="Arial"/>
          <w:bCs/>
          <w:color w:val="000000" w:themeColor="text1"/>
          <w:sz w:val="22"/>
        </w:rPr>
        <w:t xml:space="preserve"> </w:t>
      </w:r>
      <w:r w:rsidR="00E64509">
        <w:rPr>
          <w:rFonts w:ascii="Arial" w:hAnsi="Arial" w:cs="Arial"/>
          <w:bCs/>
          <w:color w:val="000000" w:themeColor="text1"/>
          <w:sz w:val="22"/>
        </w:rPr>
        <w:t xml:space="preserve">En consecuencia, lo que hace actualmente el </w:t>
      </w:r>
      <w:r w:rsidR="004064D7">
        <w:rPr>
          <w:rFonts w:ascii="Arial" w:hAnsi="Arial" w:cs="Arial"/>
          <w:bCs/>
          <w:color w:val="000000" w:themeColor="text1"/>
          <w:sz w:val="22"/>
        </w:rPr>
        <w:t xml:space="preserve">numeral 3.10.2 de los Documentos Tipo de Licitación de Obra Pública de Infraestructura de Transporte, Versión 3, es confirmar lo que establece la precitada disposición reglamentaria. </w:t>
      </w:r>
      <w:r w:rsidR="005842A0">
        <w:rPr>
          <w:rFonts w:ascii="Arial" w:hAnsi="Arial" w:cs="Arial"/>
          <w:bCs/>
          <w:color w:val="000000" w:themeColor="text1"/>
          <w:sz w:val="22"/>
        </w:rPr>
        <w:t>De esta</w:t>
      </w:r>
      <w:r w:rsidR="004064D7">
        <w:rPr>
          <w:rFonts w:ascii="Arial" w:hAnsi="Arial" w:cs="Arial"/>
          <w:bCs/>
          <w:color w:val="000000" w:themeColor="text1"/>
          <w:sz w:val="22"/>
        </w:rPr>
        <w:t xml:space="preserve"> se desprende</w:t>
      </w:r>
      <w:r w:rsidR="005842A0">
        <w:rPr>
          <w:rFonts w:ascii="Arial" w:hAnsi="Arial" w:cs="Arial"/>
          <w:bCs/>
          <w:color w:val="000000" w:themeColor="text1"/>
          <w:sz w:val="22"/>
        </w:rPr>
        <w:t xml:space="preserve"> </w:t>
      </w:r>
      <w:r w:rsidR="004064D7">
        <w:rPr>
          <w:rFonts w:ascii="Arial" w:hAnsi="Arial" w:cs="Arial"/>
          <w:bCs/>
          <w:color w:val="000000" w:themeColor="text1"/>
          <w:sz w:val="22"/>
        </w:rPr>
        <w:t xml:space="preserve">la obligatoriedad de que los estados financieros </w:t>
      </w:r>
      <w:r w:rsidR="006544B1">
        <w:rPr>
          <w:rFonts w:ascii="Arial" w:hAnsi="Arial" w:cs="Arial"/>
          <w:bCs/>
          <w:color w:val="000000" w:themeColor="text1"/>
          <w:sz w:val="22"/>
        </w:rPr>
        <w:t xml:space="preserve">estén suscritos </w:t>
      </w:r>
      <w:r w:rsidR="009842F0">
        <w:rPr>
          <w:rFonts w:ascii="Arial" w:hAnsi="Arial" w:cs="Arial"/>
          <w:bCs/>
          <w:color w:val="000000" w:themeColor="text1"/>
          <w:sz w:val="22"/>
        </w:rPr>
        <w:t xml:space="preserve">«[…] </w:t>
      </w:r>
      <w:r w:rsidR="006544B1" w:rsidRPr="006544B1">
        <w:rPr>
          <w:rFonts w:ascii="Arial" w:hAnsi="Arial" w:cs="Arial"/>
          <w:bCs/>
          <w:color w:val="000000" w:themeColor="text1"/>
          <w:sz w:val="22"/>
        </w:rPr>
        <w:t>por el interesado o su representante legal y el revisor fiscal si está obligado a tenerlo, o el auditor o contador si no está obligado a tener revisor fiscal</w:t>
      </w:r>
      <w:r w:rsidR="009842F0">
        <w:rPr>
          <w:rFonts w:ascii="Arial" w:hAnsi="Arial" w:cs="Arial"/>
          <w:bCs/>
          <w:color w:val="000000" w:themeColor="text1"/>
          <w:sz w:val="22"/>
        </w:rPr>
        <w:t>».</w:t>
      </w:r>
      <w:r w:rsidR="00BF3C08">
        <w:rPr>
          <w:rFonts w:ascii="Arial" w:hAnsi="Arial" w:cs="Arial"/>
          <w:bCs/>
          <w:color w:val="000000" w:themeColor="text1"/>
          <w:sz w:val="22"/>
        </w:rPr>
        <w:t xml:space="preserve"> Por lo tanto, la remisión efectuada en el numeral 3.10.2</w:t>
      </w:r>
      <w:r w:rsidR="00C21D98">
        <w:rPr>
          <w:rFonts w:ascii="Arial" w:hAnsi="Arial" w:cs="Arial"/>
          <w:bCs/>
          <w:color w:val="000000" w:themeColor="text1"/>
          <w:sz w:val="22"/>
        </w:rPr>
        <w:t>, literal A, subnumeral II,</w:t>
      </w:r>
      <w:r w:rsidR="00BF3C08">
        <w:rPr>
          <w:rFonts w:ascii="Arial" w:hAnsi="Arial" w:cs="Arial"/>
          <w:bCs/>
          <w:color w:val="000000" w:themeColor="text1"/>
          <w:sz w:val="22"/>
        </w:rPr>
        <w:t xml:space="preserve"> del documento base</w:t>
      </w:r>
      <w:r w:rsidR="00C21D98">
        <w:rPr>
          <w:rFonts w:ascii="Arial" w:hAnsi="Arial" w:cs="Arial"/>
          <w:bCs/>
          <w:color w:val="000000" w:themeColor="text1"/>
          <w:sz w:val="22"/>
        </w:rPr>
        <w:t xml:space="preserve">, al artículo </w:t>
      </w:r>
      <w:r w:rsidR="008A3013">
        <w:rPr>
          <w:rFonts w:ascii="Arial" w:hAnsi="Arial" w:cs="Arial"/>
          <w:bCs/>
          <w:color w:val="000000" w:themeColor="text1"/>
          <w:sz w:val="22"/>
        </w:rPr>
        <w:t xml:space="preserve">37 de la Ley 222 de 1995 debe entenderse en armonía con lo que también dispone el artículo </w:t>
      </w:r>
      <w:r w:rsidR="008A3013" w:rsidRPr="00C96FC4">
        <w:rPr>
          <w:rFonts w:ascii="Arial" w:hAnsi="Arial" w:cs="Arial"/>
          <w:bCs/>
          <w:color w:val="000000" w:themeColor="text1"/>
          <w:sz w:val="22"/>
        </w:rPr>
        <w:t>2.2.1.1.1.6.4.</w:t>
      </w:r>
      <w:r w:rsidR="008A3013">
        <w:rPr>
          <w:rFonts w:ascii="Arial" w:hAnsi="Arial" w:cs="Arial"/>
          <w:bCs/>
          <w:color w:val="000000" w:themeColor="text1"/>
          <w:sz w:val="22"/>
        </w:rPr>
        <w:t xml:space="preserve"> del Decreto 1082 de 2015, enunciado normativo que hace parte del sistema de compras y contratación pública.  </w:t>
      </w:r>
    </w:p>
    <w:p w14:paraId="15497407" w14:textId="77777777" w:rsidR="00A9734F" w:rsidRPr="00A9734F" w:rsidRDefault="00A9734F" w:rsidP="00510DE9">
      <w:pPr>
        <w:tabs>
          <w:tab w:val="left" w:pos="0"/>
        </w:tabs>
        <w:jc w:val="both"/>
        <w:rPr>
          <w:rFonts w:ascii="Arial" w:eastAsia="Calibri" w:hAnsi="Arial" w:cs="Arial"/>
          <w:b/>
          <w:color w:val="000000" w:themeColor="text1"/>
          <w:sz w:val="22"/>
        </w:rPr>
      </w:pPr>
    </w:p>
    <w:p w14:paraId="37CA9805" w14:textId="7B3C1B57" w:rsidR="00DD5B04" w:rsidRPr="008918A2" w:rsidRDefault="004177A6" w:rsidP="00510DE9">
      <w:pPr>
        <w:tabs>
          <w:tab w:val="left" w:pos="0"/>
        </w:tabs>
        <w:jc w:val="both"/>
        <w:rPr>
          <w:rFonts w:ascii="Arial" w:eastAsia="Calibri" w:hAnsi="Arial" w:cs="Arial"/>
          <w:b/>
          <w:color w:val="000000" w:themeColor="text1"/>
          <w:sz w:val="22"/>
          <w:lang w:val="es-ES_tradnl"/>
        </w:rPr>
      </w:pPr>
      <w:r w:rsidRPr="008918A2">
        <w:rPr>
          <w:rFonts w:ascii="Arial" w:eastAsia="Calibri" w:hAnsi="Arial" w:cs="Arial"/>
          <w:b/>
          <w:color w:val="000000" w:themeColor="text1"/>
          <w:sz w:val="22"/>
          <w:lang w:val="es-ES_tradnl"/>
        </w:rPr>
        <w:t>3</w:t>
      </w:r>
      <w:r w:rsidR="00B011A9" w:rsidRPr="008918A2">
        <w:rPr>
          <w:rFonts w:ascii="Arial" w:eastAsia="Calibri" w:hAnsi="Arial" w:cs="Arial"/>
          <w:b/>
          <w:color w:val="000000" w:themeColor="text1"/>
          <w:sz w:val="22"/>
          <w:lang w:val="es-ES_tradnl"/>
        </w:rPr>
        <w:t xml:space="preserve">. </w:t>
      </w:r>
      <w:r w:rsidR="00DD5B04" w:rsidRPr="008918A2">
        <w:rPr>
          <w:rFonts w:ascii="Arial" w:eastAsia="Calibri" w:hAnsi="Arial" w:cs="Arial"/>
          <w:b/>
          <w:color w:val="000000" w:themeColor="text1"/>
          <w:sz w:val="22"/>
          <w:lang w:val="es-ES_tradnl"/>
        </w:rPr>
        <w:t>Respuesta</w:t>
      </w:r>
    </w:p>
    <w:p w14:paraId="0B74D5B8" w14:textId="7F0A7F13" w:rsidR="00C4581D" w:rsidRPr="008918A2" w:rsidRDefault="00C4581D" w:rsidP="00510DE9">
      <w:pPr>
        <w:tabs>
          <w:tab w:val="left" w:pos="0"/>
        </w:tabs>
        <w:jc w:val="both"/>
        <w:rPr>
          <w:rFonts w:ascii="Arial" w:eastAsia="Calibri" w:hAnsi="Arial" w:cs="Arial"/>
          <w:color w:val="000000" w:themeColor="text1"/>
          <w:sz w:val="22"/>
          <w:lang w:val="es-ES_tradnl"/>
        </w:rPr>
      </w:pPr>
    </w:p>
    <w:p w14:paraId="4A60881D" w14:textId="77777777" w:rsidR="002455CD" w:rsidRDefault="002455CD" w:rsidP="002455CD">
      <w:pPr>
        <w:ind w:left="709" w:right="709"/>
        <w:jc w:val="both"/>
        <w:rPr>
          <w:rFonts w:ascii="Arial" w:hAnsi="Arial" w:cs="Arial"/>
          <w:color w:val="000000" w:themeColor="text1"/>
          <w:sz w:val="21"/>
          <w:szCs w:val="21"/>
          <w:lang w:val="es-ES_tradnl"/>
        </w:rPr>
      </w:pPr>
      <w:r w:rsidRPr="008918A2">
        <w:rPr>
          <w:rFonts w:ascii="Arial" w:hAnsi="Arial" w:cs="Arial"/>
          <w:color w:val="000000" w:themeColor="text1"/>
          <w:sz w:val="21"/>
          <w:szCs w:val="21"/>
          <w:lang w:val="es-ES_tradnl"/>
        </w:rPr>
        <w:t>«</w:t>
      </w:r>
      <w:r w:rsidRPr="00234197">
        <w:rPr>
          <w:rFonts w:ascii="Arial" w:hAnsi="Arial" w:cs="Arial"/>
          <w:color w:val="000000" w:themeColor="text1"/>
          <w:sz w:val="21"/>
          <w:szCs w:val="21"/>
          <w:lang w:val="es-ES_tradnl"/>
        </w:rPr>
        <w:t>¿Los estados financieros necesarios para acreditar la capacidad de organización para el cálculo de la capacidad residual deben contener obligatoriamente las firmas de representante legal, contador y revisor fiscal (o auditor independiente)?</w:t>
      </w:r>
      <w:r>
        <w:rPr>
          <w:rFonts w:ascii="Arial" w:hAnsi="Arial" w:cs="Arial"/>
          <w:color w:val="000000" w:themeColor="text1"/>
          <w:sz w:val="21"/>
          <w:szCs w:val="21"/>
          <w:lang w:val="es-ES_tradnl"/>
        </w:rPr>
        <w:t>»</w:t>
      </w:r>
    </w:p>
    <w:p w14:paraId="62DDBC1C" w14:textId="77777777" w:rsidR="00CC3C22" w:rsidRPr="008918A2" w:rsidRDefault="00CC3C22" w:rsidP="00770566">
      <w:pPr>
        <w:ind w:left="709" w:right="709"/>
        <w:jc w:val="both"/>
        <w:rPr>
          <w:rFonts w:ascii="Arial" w:hAnsi="Arial" w:cs="Arial"/>
          <w:color w:val="000000" w:themeColor="text1"/>
          <w:sz w:val="21"/>
          <w:szCs w:val="21"/>
          <w:lang w:val="es-ES_tradnl"/>
        </w:rPr>
      </w:pPr>
    </w:p>
    <w:p w14:paraId="0BD5DC0F" w14:textId="0FF6AB9A" w:rsidR="00F66349" w:rsidRDefault="00631221" w:rsidP="005833EC">
      <w:pPr>
        <w:spacing w:before="120" w:line="276" w:lineRule="auto"/>
        <w:jc w:val="both"/>
        <w:rPr>
          <w:rFonts w:ascii="Arial" w:hAnsi="Arial" w:cs="Arial"/>
          <w:bCs/>
          <w:color w:val="000000" w:themeColor="text1"/>
          <w:sz w:val="22"/>
        </w:rPr>
      </w:pPr>
      <w:r>
        <w:rPr>
          <w:rFonts w:ascii="Arial" w:hAnsi="Arial" w:cs="Arial"/>
          <w:bCs/>
          <w:color w:val="000000" w:themeColor="text1"/>
          <w:sz w:val="22"/>
          <w:lang w:val="es-ES_tradnl"/>
        </w:rPr>
        <w:lastRenderedPageBreak/>
        <w:t xml:space="preserve">El </w:t>
      </w:r>
      <w:r>
        <w:rPr>
          <w:rFonts w:ascii="Arial" w:hAnsi="Arial" w:cs="Arial"/>
          <w:bCs/>
          <w:color w:val="000000" w:themeColor="text1"/>
          <w:sz w:val="22"/>
        </w:rPr>
        <w:t>e</w:t>
      </w:r>
      <w:r w:rsidRPr="00631221">
        <w:rPr>
          <w:rFonts w:ascii="Arial" w:hAnsi="Arial" w:cs="Arial"/>
          <w:bCs/>
          <w:color w:val="000000" w:themeColor="text1"/>
          <w:sz w:val="22"/>
        </w:rPr>
        <w:t xml:space="preserve">stado de resultados integral </w:t>
      </w:r>
      <w:r w:rsidR="003D3A3A">
        <w:rPr>
          <w:rFonts w:ascii="Arial" w:hAnsi="Arial" w:cs="Arial"/>
          <w:bCs/>
          <w:color w:val="000000" w:themeColor="text1"/>
          <w:sz w:val="22"/>
        </w:rPr>
        <w:softHyphen/>
      </w:r>
      <w:r w:rsidR="003D3A3A">
        <w:rPr>
          <w:rFonts w:ascii="Arial" w:hAnsi="Arial" w:cs="Arial"/>
          <w:bCs/>
          <w:color w:val="000000" w:themeColor="text1"/>
          <w:sz w:val="22"/>
        </w:rPr>
        <w:softHyphen/>
        <w:t>–</w:t>
      </w:r>
      <w:r w:rsidRPr="00631221">
        <w:rPr>
          <w:rFonts w:ascii="Arial" w:hAnsi="Arial" w:cs="Arial"/>
          <w:bCs/>
          <w:color w:val="000000" w:themeColor="text1"/>
          <w:sz w:val="22"/>
        </w:rPr>
        <w:t>estado de resultado o pérdida o ganancias</w:t>
      </w:r>
      <w:r w:rsidR="003D3A3A">
        <w:rPr>
          <w:rFonts w:ascii="Arial" w:hAnsi="Arial" w:cs="Arial"/>
          <w:bCs/>
          <w:color w:val="000000" w:themeColor="text1"/>
          <w:sz w:val="22"/>
        </w:rPr>
        <w:t>–</w:t>
      </w:r>
      <w:r w:rsidRPr="00631221">
        <w:rPr>
          <w:rFonts w:ascii="Arial" w:hAnsi="Arial" w:cs="Arial"/>
          <w:bCs/>
          <w:color w:val="000000" w:themeColor="text1"/>
          <w:sz w:val="22"/>
        </w:rPr>
        <w:t xml:space="preserve">, del año en que hayan obtenido el mayor ingreso operacional en los últimos cinco (5) años, </w:t>
      </w:r>
      <w:r>
        <w:rPr>
          <w:rFonts w:ascii="Arial" w:hAnsi="Arial" w:cs="Arial"/>
          <w:bCs/>
          <w:color w:val="000000" w:themeColor="text1"/>
          <w:sz w:val="22"/>
        </w:rPr>
        <w:t xml:space="preserve">debe estar </w:t>
      </w:r>
      <w:r w:rsidRPr="00631221">
        <w:rPr>
          <w:rFonts w:ascii="Arial" w:hAnsi="Arial" w:cs="Arial"/>
          <w:bCs/>
          <w:color w:val="000000" w:themeColor="text1"/>
          <w:sz w:val="22"/>
        </w:rPr>
        <w:t>debidamente firmado por el representante legal, contador y revisor fiscal y/o contador independiente (externo), si están obligados a tenerlos.</w:t>
      </w:r>
      <w:r w:rsidR="005833EC">
        <w:rPr>
          <w:rFonts w:ascii="Arial" w:hAnsi="Arial" w:cs="Arial"/>
          <w:bCs/>
          <w:color w:val="000000" w:themeColor="text1"/>
          <w:sz w:val="22"/>
        </w:rPr>
        <w:t xml:space="preserve"> </w:t>
      </w:r>
      <w:r w:rsidR="00E90DCB">
        <w:rPr>
          <w:rFonts w:ascii="Arial" w:hAnsi="Arial" w:cs="Arial"/>
          <w:bCs/>
          <w:color w:val="000000" w:themeColor="text1"/>
          <w:sz w:val="22"/>
        </w:rPr>
        <w:t>Lo anterior, por cuanto</w:t>
      </w:r>
      <w:r w:rsidR="005833EC">
        <w:rPr>
          <w:rFonts w:ascii="Arial" w:hAnsi="Arial" w:cs="Arial"/>
          <w:bCs/>
          <w:color w:val="000000" w:themeColor="text1"/>
          <w:sz w:val="22"/>
        </w:rPr>
        <w:t xml:space="preserve"> el artículo </w:t>
      </w:r>
      <w:r w:rsidR="005833EC" w:rsidRPr="00C96FC4">
        <w:rPr>
          <w:rFonts w:ascii="Arial" w:hAnsi="Arial" w:cs="Arial"/>
          <w:bCs/>
          <w:color w:val="000000" w:themeColor="text1"/>
          <w:sz w:val="22"/>
        </w:rPr>
        <w:t>2.2.1.1.1.6.4.</w:t>
      </w:r>
      <w:r w:rsidR="005833EC">
        <w:rPr>
          <w:rFonts w:ascii="Arial" w:hAnsi="Arial" w:cs="Arial"/>
          <w:bCs/>
          <w:color w:val="000000" w:themeColor="text1"/>
          <w:sz w:val="22"/>
        </w:rPr>
        <w:t xml:space="preserve"> del Decreto 1082 de 2015 establece que «</w:t>
      </w:r>
      <w:r w:rsidR="005833EC" w:rsidRPr="00CB4581">
        <w:rPr>
          <w:rFonts w:ascii="Arial" w:hAnsi="Arial" w:cs="Arial"/>
          <w:bCs/>
          <w:color w:val="000000" w:themeColor="text1"/>
          <w:sz w:val="22"/>
        </w:rPr>
        <w:t xml:space="preserve">Los estados financieros deben estar suscritos por el interesado o su representante legal </w:t>
      </w:r>
      <w:r w:rsidR="005833EC" w:rsidRPr="008D2AF3">
        <w:rPr>
          <w:rFonts w:ascii="Arial" w:hAnsi="Arial" w:cs="Arial"/>
          <w:bCs/>
          <w:i/>
          <w:iCs/>
          <w:color w:val="000000" w:themeColor="text1"/>
          <w:sz w:val="22"/>
        </w:rPr>
        <w:t>y el revisor fiscal si está obligado a tenerlo, o el auditor o contador si no está obligado a tener revisor fiscal</w:t>
      </w:r>
      <w:r w:rsidR="005833EC">
        <w:rPr>
          <w:rFonts w:ascii="Arial" w:hAnsi="Arial" w:cs="Arial"/>
          <w:bCs/>
          <w:color w:val="000000" w:themeColor="text1"/>
          <w:sz w:val="22"/>
        </w:rPr>
        <w:t xml:space="preserve">» (cursiva fuera de texto), como parte de la documentación que debe aportarse para </w:t>
      </w:r>
      <w:r w:rsidR="005833EC" w:rsidRPr="008D2AF3">
        <w:rPr>
          <w:rFonts w:ascii="Arial" w:hAnsi="Arial" w:cs="Arial"/>
          <w:bCs/>
          <w:color w:val="000000" w:themeColor="text1"/>
          <w:sz w:val="22"/>
        </w:rPr>
        <w:t xml:space="preserve">acreditar </w:t>
      </w:r>
      <w:r w:rsidR="00441BD1">
        <w:rPr>
          <w:rFonts w:ascii="Arial" w:hAnsi="Arial" w:cs="Arial"/>
          <w:bCs/>
          <w:color w:val="000000" w:themeColor="text1"/>
          <w:sz w:val="22"/>
        </w:rPr>
        <w:t>la</w:t>
      </w:r>
      <w:r w:rsidR="005833EC" w:rsidRPr="008D2AF3">
        <w:rPr>
          <w:rFonts w:ascii="Arial" w:hAnsi="Arial" w:cs="Arial"/>
          <w:bCs/>
          <w:color w:val="000000" w:themeColor="text1"/>
          <w:sz w:val="22"/>
        </w:rPr>
        <w:t xml:space="preserve"> Capacidad Residual o K de Contratación</w:t>
      </w:r>
      <w:r w:rsidR="005833EC" w:rsidRPr="00CB4581">
        <w:rPr>
          <w:rFonts w:ascii="Arial" w:hAnsi="Arial" w:cs="Arial"/>
          <w:bCs/>
          <w:color w:val="000000" w:themeColor="text1"/>
          <w:sz w:val="22"/>
        </w:rPr>
        <w:t>.</w:t>
      </w:r>
      <w:r w:rsidR="005833EC">
        <w:rPr>
          <w:rFonts w:ascii="Arial" w:hAnsi="Arial" w:cs="Arial"/>
          <w:bCs/>
          <w:color w:val="000000" w:themeColor="text1"/>
          <w:sz w:val="22"/>
        </w:rPr>
        <w:t xml:space="preserve"> En consecuencia, lo que hace actualmente el numeral 3.10.2 de los Documentos Tipo de Licitación de Obra Pública de Infraestructura de Transporte, Versión 3, es confirmar lo que establece la precitada disposición reglamentaria. </w:t>
      </w:r>
      <w:r w:rsidR="005842A0">
        <w:rPr>
          <w:rFonts w:ascii="Arial" w:hAnsi="Arial" w:cs="Arial"/>
          <w:bCs/>
          <w:color w:val="000000" w:themeColor="text1"/>
          <w:sz w:val="22"/>
        </w:rPr>
        <w:t>De esta se desprende</w:t>
      </w:r>
      <w:r w:rsidR="005833EC">
        <w:rPr>
          <w:rFonts w:ascii="Arial" w:hAnsi="Arial" w:cs="Arial"/>
          <w:bCs/>
          <w:color w:val="000000" w:themeColor="text1"/>
          <w:sz w:val="22"/>
        </w:rPr>
        <w:t xml:space="preserve"> la obligatoriedad de que los estados financieros estén suscritos «[…] </w:t>
      </w:r>
      <w:r w:rsidR="005833EC" w:rsidRPr="006544B1">
        <w:rPr>
          <w:rFonts w:ascii="Arial" w:hAnsi="Arial" w:cs="Arial"/>
          <w:bCs/>
          <w:color w:val="000000" w:themeColor="text1"/>
          <w:sz w:val="22"/>
        </w:rPr>
        <w:t>por el interesado o su representante legal y el revisor fiscal si está obligado a tenerlo, o el auditor o contador si no está obligado a tener revisor fiscal</w:t>
      </w:r>
      <w:r w:rsidR="005833EC">
        <w:rPr>
          <w:rFonts w:ascii="Arial" w:hAnsi="Arial" w:cs="Arial"/>
          <w:bCs/>
          <w:color w:val="000000" w:themeColor="text1"/>
          <w:sz w:val="22"/>
        </w:rPr>
        <w:t xml:space="preserve">». Por lo tanto, la remisión efectuada en el numeral 3.10.2, literal A, subnumeral II, del documento base, al artículo 37 de la Ley 222 de 1995 debe entenderse en armonía con lo que también dispone el artículo </w:t>
      </w:r>
      <w:r w:rsidR="005833EC" w:rsidRPr="00C96FC4">
        <w:rPr>
          <w:rFonts w:ascii="Arial" w:hAnsi="Arial" w:cs="Arial"/>
          <w:bCs/>
          <w:color w:val="000000" w:themeColor="text1"/>
          <w:sz w:val="22"/>
        </w:rPr>
        <w:t>2.2.1.1.1.6.4.</w:t>
      </w:r>
      <w:r w:rsidR="005833EC">
        <w:rPr>
          <w:rFonts w:ascii="Arial" w:hAnsi="Arial" w:cs="Arial"/>
          <w:bCs/>
          <w:color w:val="000000" w:themeColor="text1"/>
          <w:sz w:val="22"/>
        </w:rPr>
        <w:t xml:space="preserve"> del Decreto 1082 de 2015, enunciado normativo que hace parte del sistema de compras y contratación pública.  </w:t>
      </w:r>
    </w:p>
    <w:p w14:paraId="71AFCF23" w14:textId="5ED1B254" w:rsidR="00F66349" w:rsidRDefault="00F66349" w:rsidP="00F66349">
      <w:pPr>
        <w:tabs>
          <w:tab w:val="left" w:pos="6663"/>
        </w:tabs>
        <w:spacing w:before="120" w:line="276" w:lineRule="auto"/>
        <w:ind w:firstLine="708"/>
        <w:jc w:val="both"/>
        <w:rPr>
          <w:rFonts w:ascii="Arial" w:hAnsi="Arial" w:cs="Arial"/>
          <w:color w:val="000000" w:themeColor="text1"/>
          <w:sz w:val="22"/>
        </w:rPr>
      </w:pPr>
      <w:r w:rsidRPr="00E30DF1">
        <w:rPr>
          <w:rFonts w:ascii="Arial" w:hAnsi="Arial" w:cs="Arial"/>
          <w:color w:val="000000" w:themeColor="text1"/>
          <w:sz w:val="22"/>
        </w:rPr>
        <w:t xml:space="preserve">De acuerdo con lo señalado anteriormente, y teniendo en cuenta el contenido de los documentos tipo de licitación de obra pública de infraestructura de transporte – </w:t>
      </w:r>
      <w:r w:rsidRPr="00E30DF1">
        <w:rPr>
          <w:rFonts w:ascii="Arial" w:hAnsi="Arial" w:cs="Arial"/>
          <w:i/>
          <w:iCs/>
          <w:color w:val="000000" w:themeColor="text1"/>
          <w:sz w:val="22"/>
        </w:rPr>
        <w:t>versión 3</w:t>
      </w:r>
      <w:r w:rsidRPr="00E30DF1">
        <w:rPr>
          <w:rFonts w:ascii="Arial" w:hAnsi="Arial" w:cs="Arial"/>
          <w:color w:val="000000" w:themeColor="text1"/>
          <w:sz w:val="22"/>
        </w:rPr>
        <w:t xml:space="preserve">,  para acreditar la capacidad organizacional </w:t>
      </w:r>
      <w:r>
        <w:rPr>
          <w:rFonts w:ascii="Arial" w:hAnsi="Arial" w:cs="Arial"/>
          <w:color w:val="000000" w:themeColor="text1"/>
          <w:sz w:val="22"/>
        </w:rPr>
        <w:t xml:space="preserve">de los proponentes que cuentan con RUP </w:t>
      </w:r>
      <w:r w:rsidRPr="00E30DF1">
        <w:rPr>
          <w:rFonts w:ascii="Arial" w:hAnsi="Arial" w:cs="Arial"/>
          <w:color w:val="000000" w:themeColor="text1"/>
          <w:sz w:val="22"/>
        </w:rPr>
        <w:t xml:space="preserve">solo se requiere aportar el estado de resultados del año en que el proponente obtuvo mayor ingreso operacional </w:t>
      </w:r>
      <w:r>
        <w:rPr>
          <w:rFonts w:ascii="Arial" w:hAnsi="Arial" w:cs="Arial"/>
          <w:color w:val="000000" w:themeColor="text1"/>
          <w:sz w:val="22"/>
        </w:rPr>
        <w:t xml:space="preserve">en los últimos 5 años </w:t>
      </w:r>
      <w:r w:rsidRPr="00E30DF1">
        <w:rPr>
          <w:rFonts w:ascii="Arial" w:hAnsi="Arial" w:cs="Arial"/>
          <w:sz w:val="22"/>
        </w:rPr>
        <w:t>debidamente firmado por el representante legal, contador y revisor fiscal y/o contador independiente (externo), si están obligados a tenerlos</w:t>
      </w:r>
      <w:r w:rsidRPr="00E30DF1">
        <w:rPr>
          <w:rFonts w:ascii="Arial" w:hAnsi="Arial" w:cs="Arial"/>
          <w:color w:val="000000" w:themeColor="text1"/>
          <w:sz w:val="22"/>
        </w:rPr>
        <w:t xml:space="preserve">, y la copia de la tarjeta profesional y certificado de antecedentes disciplinarios vigentes de los contadores públicos, revisores fiscales, contadores independientes (externos), quienes suscribieron dichos documentos, de conformidad con el artículo 37 de la Ley 222 de 1995, sin que </w:t>
      </w:r>
      <w:r w:rsidR="004C2A33">
        <w:rPr>
          <w:rFonts w:ascii="Arial" w:hAnsi="Arial" w:cs="Arial"/>
          <w:color w:val="000000" w:themeColor="text1"/>
          <w:sz w:val="22"/>
        </w:rPr>
        <w:t>se</w:t>
      </w:r>
      <w:r w:rsidRPr="00E30DF1">
        <w:rPr>
          <w:rFonts w:ascii="Arial" w:hAnsi="Arial" w:cs="Arial"/>
          <w:color w:val="000000" w:themeColor="text1"/>
          <w:sz w:val="22"/>
        </w:rPr>
        <w:t xml:space="preserve"> exija el dictamen del estado de resultados señalado en el artículo 38 de la Ley 122 de 1995, por lo </w:t>
      </w:r>
      <w:r w:rsidRPr="00E56801">
        <w:rPr>
          <w:rFonts w:ascii="Arial" w:hAnsi="Arial" w:cs="Arial"/>
          <w:color w:val="000000" w:themeColor="text1"/>
          <w:sz w:val="22"/>
        </w:rPr>
        <w:t>que el requisito se acredita en los términos establecidos en los documentos tipo.</w:t>
      </w:r>
    </w:p>
    <w:p w14:paraId="2DDB4266" w14:textId="77777777" w:rsidR="00B25703" w:rsidRPr="005833EC" w:rsidRDefault="00B25703" w:rsidP="00DF76A2">
      <w:pPr>
        <w:spacing w:line="276" w:lineRule="auto"/>
        <w:jc w:val="both"/>
        <w:rPr>
          <w:rFonts w:ascii="Arial" w:hAnsi="Arial" w:cs="Arial"/>
          <w:color w:val="000000" w:themeColor="text1"/>
          <w:sz w:val="22"/>
        </w:rPr>
      </w:pPr>
    </w:p>
    <w:p w14:paraId="7B2C921D" w14:textId="6360A462" w:rsidR="00DD5B04" w:rsidRPr="008918A2" w:rsidRDefault="00DD5B04" w:rsidP="00DF76A2">
      <w:pPr>
        <w:spacing w:line="276" w:lineRule="auto"/>
        <w:jc w:val="both"/>
        <w:rPr>
          <w:rFonts w:ascii="Arial" w:hAnsi="Arial" w:cs="Arial"/>
          <w:color w:val="000000" w:themeColor="text1"/>
          <w:sz w:val="22"/>
          <w:lang w:val="es-ES_tradnl"/>
        </w:rPr>
      </w:pPr>
      <w:r w:rsidRPr="008918A2">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8918A2"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8918A2"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8918A2">
        <w:rPr>
          <w:rFonts w:ascii="Arial" w:hAnsi="Arial" w:cs="Arial"/>
          <w:color w:val="000000" w:themeColor="text1"/>
          <w:sz w:val="22"/>
          <w:szCs w:val="22"/>
          <w:lang w:val="es-ES_tradnl"/>
        </w:rPr>
        <w:t>Atentamente,</w:t>
      </w:r>
    </w:p>
    <w:p w14:paraId="692FC307" w14:textId="210AA6B5" w:rsidR="00921304" w:rsidRPr="008918A2"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7DCEE8DF" w:rsidR="00921304" w:rsidRPr="008918A2" w:rsidRDefault="009B0BF8"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lastRenderedPageBreak/>
        <w:drawing>
          <wp:inline distT="0" distB="0" distL="0" distR="0" wp14:anchorId="05C8BEE8" wp14:editId="0150828E">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5CBAE239" w14:textId="77777777" w:rsidR="00425C43" w:rsidRPr="008918A2" w:rsidRDefault="00425C43" w:rsidP="00B37657">
      <w:pPr>
        <w:jc w:val="center"/>
        <w:rPr>
          <w:rFonts w:ascii="Arial" w:hAnsi="Arial" w:cs="Arial"/>
          <w:color w:val="000000" w:themeColor="text1"/>
          <w:sz w:val="18"/>
          <w:szCs w:val="20"/>
          <w:lang w:val="es-ES_tradnl" w:eastAsia="es-CO"/>
        </w:rPr>
      </w:pPr>
    </w:p>
    <w:p w14:paraId="49730030" w14:textId="217D35F3" w:rsidR="00DD5B04" w:rsidRPr="008918A2"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8918A2" w14:paraId="0C7DC5F7" w14:textId="77777777" w:rsidTr="008F4163">
        <w:trPr>
          <w:trHeight w:val="315"/>
        </w:trPr>
        <w:tc>
          <w:tcPr>
            <w:tcW w:w="812" w:type="dxa"/>
            <w:vAlign w:val="center"/>
            <w:hideMark/>
          </w:tcPr>
          <w:p w14:paraId="5BDB1AC9" w14:textId="77777777" w:rsidR="00DD5B04" w:rsidRPr="008918A2" w:rsidRDefault="00DD5B04" w:rsidP="00DF76A2">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8918A2" w:rsidRDefault="00DD5B04" w:rsidP="00DF76A2">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Cristian Andrés Díaz Díez</w:t>
            </w:r>
          </w:p>
          <w:p w14:paraId="240C71FD" w14:textId="31312C95" w:rsidR="00DD5B04" w:rsidRPr="008918A2" w:rsidRDefault="00DD5B04" w:rsidP="00DF76A2">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Contratista</w:t>
            </w:r>
            <w:r w:rsidR="00FF0050" w:rsidRPr="008918A2">
              <w:rPr>
                <w:rFonts w:ascii="Arial" w:hAnsi="Arial" w:cs="Arial"/>
                <w:color w:val="000000" w:themeColor="text1"/>
                <w:sz w:val="16"/>
                <w:szCs w:val="16"/>
                <w:lang w:val="es-ES_tradnl" w:eastAsia="es-ES"/>
              </w:rPr>
              <w:t xml:space="preserve"> de la </w:t>
            </w:r>
            <w:r w:rsidRPr="008918A2">
              <w:rPr>
                <w:rFonts w:ascii="Arial" w:hAnsi="Arial" w:cs="Arial"/>
                <w:color w:val="000000" w:themeColor="text1"/>
                <w:sz w:val="16"/>
                <w:szCs w:val="16"/>
                <w:lang w:val="es-ES_tradnl" w:eastAsia="es-ES"/>
              </w:rPr>
              <w:t>Subdirección de Gestión Contractual</w:t>
            </w:r>
          </w:p>
        </w:tc>
      </w:tr>
      <w:tr w:rsidR="00DD5B04" w:rsidRPr="008918A2" w14:paraId="2F8FD650" w14:textId="77777777" w:rsidTr="008F4163">
        <w:trPr>
          <w:trHeight w:val="330"/>
        </w:trPr>
        <w:tc>
          <w:tcPr>
            <w:tcW w:w="812" w:type="dxa"/>
            <w:vAlign w:val="center"/>
            <w:hideMark/>
          </w:tcPr>
          <w:p w14:paraId="50203A0B" w14:textId="77777777" w:rsidR="00DD5B04" w:rsidRPr="008918A2" w:rsidRDefault="00DD5B04" w:rsidP="00DF76A2">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7604E20" w14:textId="77777777" w:rsidR="0060304F" w:rsidRPr="008918A2" w:rsidRDefault="0060304F" w:rsidP="0060304F">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Jorge Augusto Tirado Navarro</w:t>
            </w:r>
          </w:p>
          <w:p w14:paraId="130B3228" w14:textId="44A2086E" w:rsidR="00DD5B04" w:rsidRPr="008918A2" w:rsidRDefault="0060304F" w:rsidP="0060304F">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Subdirector de Gestión Contractual</w:t>
            </w:r>
          </w:p>
        </w:tc>
      </w:tr>
      <w:tr w:rsidR="00DD5B04" w:rsidRPr="008918A2" w14:paraId="0FCBCA4A" w14:textId="77777777" w:rsidTr="008F4163">
        <w:trPr>
          <w:trHeight w:val="300"/>
        </w:trPr>
        <w:tc>
          <w:tcPr>
            <w:tcW w:w="812" w:type="dxa"/>
            <w:vAlign w:val="center"/>
            <w:hideMark/>
          </w:tcPr>
          <w:p w14:paraId="3C1D943A" w14:textId="77777777" w:rsidR="00DD5B04" w:rsidRPr="008918A2" w:rsidRDefault="00DD5B04" w:rsidP="00DF76A2">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8918A2" w:rsidRDefault="00C05A61" w:rsidP="00DF76A2">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 xml:space="preserve">Jorge </w:t>
            </w:r>
            <w:r w:rsidR="00647A36" w:rsidRPr="008918A2">
              <w:rPr>
                <w:rFonts w:ascii="Arial" w:hAnsi="Arial" w:cs="Arial"/>
                <w:color w:val="000000" w:themeColor="text1"/>
                <w:sz w:val="16"/>
                <w:szCs w:val="16"/>
                <w:lang w:val="es-ES_tradnl" w:eastAsia="es-ES"/>
              </w:rPr>
              <w:t xml:space="preserve">Augusto </w:t>
            </w:r>
            <w:r w:rsidRPr="008918A2">
              <w:rPr>
                <w:rFonts w:ascii="Arial" w:hAnsi="Arial" w:cs="Arial"/>
                <w:color w:val="000000" w:themeColor="text1"/>
                <w:sz w:val="16"/>
                <w:szCs w:val="16"/>
                <w:lang w:val="es-ES_tradnl" w:eastAsia="es-ES"/>
              </w:rPr>
              <w:t>Tirado Navarro</w:t>
            </w:r>
          </w:p>
          <w:p w14:paraId="1ADC483B" w14:textId="77CBA2AF" w:rsidR="00DD5B04" w:rsidRPr="008918A2" w:rsidRDefault="00DD5B04" w:rsidP="00DF76A2">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Subdirector de Gestión Contractual</w:t>
            </w:r>
          </w:p>
        </w:tc>
      </w:tr>
    </w:tbl>
    <w:p w14:paraId="35B56F46" w14:textId="77777777" w:rsidR="00746E08" w:rsidRPr="008918A2" w:rsidRDefault="00746E08" w:rsidP="00215B8E">
      <w:pPr>
        <w:jc w:val="both"/>
        <w:rPr>
          <w:rFonts w:ascii="Arial" w:hAnsi="Arial" w:cs="Arial"/>
          <w:lang w:val="es-ES_tradnl"/>
        </w:rPr>
      </w:pPr>
    </w:p>
    <w:sectPr w:rsidR="00746E08" w:rsidRPr="008918A2" w:rsidSect="005D791B">
      <w:headerReference w:type="default" r:id="rId15"/>
      <w:footerReference w:type="default" r:id="rId16"/>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79152" w14:textId="77777777" w:rsidR="00DF38E2" w:rsidRDefault="00DF38E2">
      <w:r>
        <w:separator/>
      </w:r>
    </w:p>
  </w:endnote>
  <w:endnote w:type="continuationSeparator" w:id="0">
    <w:p w14:paraId="3DE78552" w14:textId="77777777" w:rsidR="00DF38E2" w:rsidRDefault="00DF38E2">
      <w:r>
        <w:continuationSeparator/>
      </w:r>
    </w:p>
  </w:endnote>
  <w:endnote w:type="continuationNotice" w:id="1">
    <w:p w14:paraId="71A1F3F5" w14:textId="77777777" w:rsidR="00DF38E2" w:rsidRDefault="00DF3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F32A8" w14:textId="77777777" w:rsidR="00DF38E2" w:rsidRDefault="00DF38E2">
      <w:r>
        <w:separator/>
      </w:r>
    </w:p>
  </w:footnote>
  <w:footnote w:type="continuationSeparator" w:id="0">
    <w:p w14:paraId="2C7FB422" w14:textId="77777777" w:rsidR="00DF38E2" w:rsidRDefault="00DF38E2">
      <w:r>
        <w:continuationSeparator/>
      </w:r>
    </w:p>
  </w:footnote>
  <w:footnote w:type="continuationNotice" w:id="1">
    <w:p w14:paraId="1DB91278" w14:textId="77777777" w:rsidR="00DF38E2" w:rsidRDefault="00DF38E2"/>
  </w:footnote>
  <w:footnote w:id="2">
    <w:p w14:paraId="4D80C016" w14:textId="77777777" w:rsidR="00C64A66" w:rsidRPr="00040F03" w:rsidRDefault="00C64A66" w:rsidP="00C64A66">
      <w:pPr>
        <w:pStyle w:val="Textonotapie"/>
        <w:ind w:firstLine="708"/>
        <w:jc w:val="both"/>
        <w:rPr>
          <w:rFonts w:ascii="Arial" w:hAnsi="Arial" w:cs="Arial"/>
          <w:color w:val="000000" w:themeColor="text1"/>
          <w:sz w:val="19"/>
          <w:szCs w:val="19"/>
          <w:lang w:val="es-CO"/>
        </w:rPr>
      </w:pPr>
      <w:r w:rsidRPr="00040F03">
        <w:rPr>
          <w:rFonts w:ascii="Arial" w:eastAsia="Calibri" w:hAnsi="Arial" w:cs="Arial"/>
          <w:color w:val="000000" w:themeColor="text1"/>
          <w:sz w:val="19"/>
          <w:szCs w:val="19"/>
          <w:vertAlign w:val="superscript"/>
        </w:rPr>
        <w:footnoteRef/>
      </w:r>
      <w:r w:rsidRPr="00040F03">
        <w:rPr>
          <w:rFonts w:ascii="Arial" w:eastAsia="Calibri" w:hAnsi="Arial" w:cs="Arial"/>
          <w:color w:val="000000" w:themeColor="text1"/>
          <w:sz w:val="19"/>
          <w:szCs w:val="19"/>
          <w:vertAlign w:val="superscript"/>
        </w:rPr>
        <w:t xml:space="preserve"> </w:t>
      </w:r>
      <w:r w:rsidRPr="00040F03">
        <w:rPr>
          <w:rFonts w:ascii="Arial" w:eastAsia="Calibri" w:hAnsi="Arial" w:cs="Arial"/>
          <w:color w:val="000000" w:themeColor="text1"/>
          <w:sz w:val="19"/>
          <w:szCs w:val="19"/>
        </w:rPr>
        <w:t xml:space="preserve">CONSEJO DE ESTADO. Sección Tercera. Sentencia del 26 de junio de 2003. Rad. 13.354. C.P: María Elena Giraldo Gómez. </w:t>
      </w:r>
    </w:p>
  </w:footnote>
  <w:footnote w:id="3">
    <w:p w14:paraId="5F55ED06" w14:textId="77777777" w:rsidR="00C64A66" w:rsidRPr="00040F03" w:rsidRDefault="00C64A66" w:rsidP="00C64A66">
      <w:pPr>
        <w:pStyle w:val="Textonotapie"/>
        <w:ind w:firstLine="709"/>
        <w:jc w:val="both"/>
        <w:rPr>
          <w:rFonts w:ascii="Arial" w:hAnsi="Arial" w:cs="Arial"/>
          <w:sz w:val="19"/>
          <w:szCs w:val="19"/>
        </w:rPr>
      </w:pPr>
      <w:r w:rsidRPr="00040F03">
        <w:rPr>
          <w:rStyle w:val="Refdenotaalpie"/>
          <w:rFonts w:ascii="Arial" w:hAnsi="Arial" w:cs="Arial"/>
          <w:sz w:val="19"/>
          <w:szCs w:val="19"/>
        </w:rPr>
        <w:footnoteRef/>
      </w:r>
      <w:r w:rsidRPr="00040F03">
        <w:rPr>
          <w:rFonts w:ascii="Arial" w:hAnsi="Arial" w:cs="Arial"/>
          <w:sz w:val="19"/>
          <w:szCs w:val="19"/>
        </w:rPr>
        <w:t xml:space="preserve"> Sociedad Colombiana de Ingenieros. Concepto técnico. Capacidad de Contratación Para Constructores. Febrero 2014. </w:t>
      </w:r>
    </w:p>
    <w:p w14:paraId="7E72E1A2" w14:textId="77777777" w:rsidR="00C64A66" w:rsidRPr="00040F03" w:rsidRDefault="00C64A66" w:rsidP="00C64A66">
      <w:pPr>
        <w:pStyle w:val="Textonotapie"/>
        <w:ind w:firstLine="709"/>
        <w:jc w:val="both"/>
        <w:rPr>
          <w:rFonts w:ascii="Arial" w:hAnsi="Arial" w:cs="Arial"/>
          <w:sz w:val="19"/>
          <w:szCs w:val="19"/>
          <w:lang w:val="es-CO"/>
        </w:rPr>
      </w:pPr>
    </w:p>
  </w:footnote>
  <w:footnote w:id="4">
    <w:p w14:paraId="1846F79E" w14:textId="77777777" w:rsidR="00C64A66" w:rsidRPr="00040F03" w:rsidRDefault="00C64A66" w:rsidP="00C64A66">
      <w:pPr>
        <w:pStyle w:val="Textonotapie"/>
        <w:ind w:firstLine="708"/>
        <w:jc w:val="both"/>
        <w:rPr>
          <w:rFonts w:ascii="Arial" w:hAnsi="Arial" w:cs="Arial"/>
          <w:sz w:val="19"/>
          <w:szCs w:val="19"/>
          <w:lang w:val="es-ES"/>
        </w:rPr>
      </w:pPr>
      <w:r w:rsidRPr="00040F03">
        <w:rPr>
          <w:rStyle w:val="Refdenotaalpie"/>
          <w:rFonts w:ascii="Arial" w:hAnsi="Arial" w:cs="Arial"/>
          <w:sz w:val="19"/>
          <w:szCs w:val="19"/>
        </w:rPr>
        <w:footnoteRef/>
      </w:r>
      <w:r w:rsidRPr="00040F03">
        <w:rPr>
          <w:rFonts w:ascii="Arial" w:hAnsi="Arial" w:cs="Arial"/>
          <w:sz w:val="19"/>
          <w:szCs w:val="19"/>
        </w:rPr>
        <w:t xml:space="preserve"> E</w:t>
      </w:r>
      <w:r w:rsidRPr="00040F03">
        <w:rPr>
          <w:rFonts w:ascii="Arial" w:hAnsi="Arial" w:cs="Arial"/>
          <w:sz w:val="19"/>
          <w:szCs w:val="19"/>
          <w:lang w:val="es-ES"/>
        </w:rPr>
        <w:t>sta resolución actualizó los Documentos Tipo - Versión 1 mediante los Documentos Tipo - Versión 2 y derogó la Resolución No. 1798 de 2019.</w:t>
      </w:r>
    </w:p>
  </w:footnote>
  <w:footnote w:id="5">
    <w:p w14:paraId="7596344C" w14:textId="77777777" w:rsidR="00C64A66" w:rsidRPr="00040F03" w:rsidRDefault="00C64A66" w:rsidP="00C64A66">
      <w:pPr>
        <w:pStyle w:val="Textonotapie"/>
        <w:ind w:firstLine="708"/>
        <w:jc w:val="both"/>
        <w:rPr>
          <w:rFonts w:ascii="Arial" w:hAnsi="Arial" w:cs="Arial"/>
          <w:sz w:val="19"/>
          <w:szCs w:val="19"/>
        </w:rPr>
      </w:pPr>
    </w:p>
    <w:p w14:paraId="1E6147E4" w14:textId="77777777" w:rsidR="00C64A66" w:rsidRPr="00040F03" w:rsidRDefault="00C64A66" w:rsidP="00C64A66">
      <w:pPr>
        <w:pStyle w:val="Textonotapie"/>
        <w:ind w:firstLine="708"/>
        <w:jc w:val="both"/>
        <w:rPr>
          <w:rFonts w:ascii="Arial" w:hAnsi="Arial" w:cs="Arial"/>
          <w:sz w:val="19"/>
          <w:szCs w:val="19"/>
          <w:lang w:val="es-ES"/>
        </w:rPr>
      </w:pPr>
      <w:r w:rsidRPr="00040F03">
        <w:rPr>
          <w:rStyle w:val="Refdenotaalpie"/>
          <w:rFonts w:ascii="Arial" w:hAnsi="Arial" w:cs="Arial"/>
          <w:sz w:val="19"/>
          <w:szCs w:val="19"/>
        </w:rPr>
        <w:footnoteRef/>
      </w:r>
      <w:r w:rsidRPr="00040F03">
        <w:rPr>
          <w:rFonts w:ascii="Arial" w:hAnsi="Arial" w:cs="Arial"/>
          <w:sz w:val="19"/>
          <w:szCs w:val="19"/>
        </w:rPr>
        <w:t xml:space="preserve"> E</w:t>
      </w:r>
      <w:r w:rsidRPr="00040F03">
        <w:rPr>
          <w:rFonts w:ascii="Arial" w:hAnsi="Arial" w:cs="Arial"/>
          <w:sz w:val="19"/>
          <w:szCs w:val="19"/>
          <w:lang w:val="es-ES"/>
        </w:rPr>
        <w:t>sta resolución actualizó los Documentos Tipo - Versión 2 mediante los Documentos Tipo - Versión 3 y derogó la Resolución No. 045 de 2020.</w:t>
      </w:r>
    </w:p>
  </w:footnote>
  <w:footnote w:id="6">
    <w:p w14:paraId="150FA81C" w14:textId="77777777" w:rsidR="00C64A66" w:rsidRPr="00040F03" w:rsidRDefault="00C64A66" w:rsidP="00C64A66">
      <w:pPr>
        <w:pStyle w:val="Textonotapie"/>
        <w:ind w:firstLine="708"/>
        <w:jc w:val="both"/>
        <w:rPr>
          <w:rFonts w:ascii="Arial" w:hAnsi="Arial" w:cs="Arial"/>
          <w:sz w:val="19"/>
          <w:szCs w:val="19"/>
        </w:rPr>
      </w:pPr>
    </w:p>
    <w:p w14:paraId="14B0E914" w14:textId="77777777" w:rsidR="00C64A66" w:rsidRDefault="00C64A66" w:rsidP="00C64A66">
      <w:pPr>
        <w:pStyle w:val="Textonotapie"/>
        <w:ind w:firstLine="708"/>
        <w:jc w:val="both"/>
        <w:rPr>
          <w:rFonts w:ascii="Arial" w:hAnsi="Arial" w:cs="Arial"/>
          <w:sz w:val="19"/>
          <w:szCs w:val="19"/>
          <w:lang w:val="es-ES"/>
        </w:rPr>
      </w:pPr>
      <w:r w:rsidRPr="00040F03">
        <w:rPr>
          <w:rStyle w:val="Refdenotaalpie"/>
          <w:rFonts w:ascii="Arial" w:hAnsi="Arial" w:cs="Arial"/>
          <w:sz w:val="19"/>
          <w:szCs w:val="19"/>
        </w:rPr>
        <w:footnoteRef/>
      </w:r>
      <w:r w:rsidRPr="00040F03">
        <w:rPr>
          <w:rFonts w:ascii="Arial" w:hAnsi="Arial" w:cs="Arial"/>
          <w:sz w:val="19"/>
          <w:szCs w:val="19"/>
        </w:rPr>
        <w:t xml:space="preserve"> </w:t>
      </w:r>
      <w:r w:rsidRPr="00040F03">
        <w:rPr>
          <w:rFonts w:ascii="Arial" w:hAnsi="Arial" w:cs="Arial"/>
          <w:sz w:val="19"/>
          <w:szCs w:val="19"/>
          <w:lang w:val="es-ES"/>
        </w:rPr>
        <w:t>En virtud de esta modificación el Documento Base fue codificado con la versión 4.</w:t>
      </w:r>
    </w:p>
    <w:p w14:paraId="61EA72DD" w14:textId="77777777" w:rsidR="00C64A66" w:rsidRPr="00040F03" w:rsidRDefault="00C64A66" w:rsidP="00C64A66">
      <w:pPr>
        <w:pStyle w:val="Textonotapie"/>
        <w:ind w:firstLine="708"/>
        <w:jc w:val="both"/>
        <w:rPr>
          <w:rFonts w:ascii="Arial" w:hAnsi="Arial" w:cs="Arial"/>
          <w:sz w:val="19"/>
          <w:szCs w:val="19"/>
          <w:lang w:val="es-ES"/>
        </w:rPr>
      </w:pPr>
    </w:p>
  </w:footnote>
  <w:footnote w:id="7">
    <w:p w14:paraId="7A4576E0" w14:textId="77777777" w:rsidR="00C64A66" w:rsidRPr="00040F03" w:rsidRDefault="00C64A66" w:rsidP="00C64A66">
      <w:pPr>
        <w:pStyle w:val="Textonotapie"/>
        <w:ind w:firstLine="708"/>
        <w:jc w:val="both"/>
        <w:rPr>
          <w:rFonts w:ascii="Arial" w:hAnsi="Arial" w:cs="Arial"/>
          <w:sz w:val="19"/>
          <w:szCs w:val="19"/>
          <w:lang w:val="es-ES"/>
        </w:rPr>
      </w:pPr>
      <w:r w:rsidRPr="00040F03">
        <w:rPr>
          <w:rStyle w:val="Refdenotaalpie"/>
          <w:rFonts w:ascii="Arial" w:hAnsi="Arial" w:cs="Arial"/>
          <w:sz w:val="19"/>
          <w:szCs w:val="19"/>
        </w:rPr>
        <w:footnoteRef/>
      </w:r>
      <w:r w:rsidRPr="00040F03">
        <w:rPr>
          <w:rFonts w:ascii="Arial" w:hAnsi="Arial" w:cs="Arial"/>
          <w:sz w:val="19"/>
          <w:szCs w:val="19"/>
        </w:rPr>
        <w:t xml:space="preserve"> </w:t>
      </w:r>
      <w:r w:rsidRPr="00040F03">
        <w:rPr>
          <w:rFonts w:ascii="Arial" w:hAnsi="Arial" w:cs="Arial"/>
          <w:sz w:val="19"/>
          <w:szCs w:val="19"/>
          <w:lang w:val="es-ES"/>
        </w:rPr>
        <w:t>En virtud de esta modificación el Documento Base fue codificado con la versión 5.</w:t>
      </w:r>
    </w:p>
    <w:p w14:paraId="55EE7379" w14:textId="77777777" w:rsidR="00C64A66" w:rsidRPr="00040F03" w:rsidRDefault="00C64A66" w:rsidP="00C64A66">
      <w:pPr>
        <w:pStyle w:val="Textonotapie"/>
        <w:jc w:val="both"/>
        <w:rPr>
          <w:rFonts w:ascii="Arial" w:hAnsi="Arial" w:cs="Arial"/>
          <w:sz w:val="19"/>
          <w:szCs w:val="19"/>
          <w:lang w:val="es-ES"/>
        </w:rPr>
      </w:pPr>
    </w:p>
  </w:footnote>
  <w:footnote w:id="8">
    <w:p w14:paraId="37D0CBCA" w14:textId="77777777" w:rsidR="00C64A66" w:rsidRPr="00040F03" w:rsidRDefault="00C64A66" w:rsidP="00C64A66">
      <w:pPr>
        <w:pStyle w:val="NormalWeb"/>
        <w:shd w:val="clear" w:color="auto" w:fill="FFFFFF"/>
        <w:spacing w:before="0" w:beforeAutospacing="0" w:after="0" w:afterAutospacing="0"/>
        <w:ind w:firstLine="708"/>
        <w:jc w:val="both"/>
        <w:rPr>
          <w:rFonts w:ascii="Arial" w:eastAsia="Calibri" w:hAnsi="Arial" w:cs="Arial"/>
          <w:color w:val="000000" w:themeColor="text1"/>
          <w:sz w:val="19"/>
          <w:szCs w:val="19"/>
          <w:lang w:val="es-MX" w:eastAsia="en-US"/>
        </w:rPr>
      </w:pPr>
      <w:r w:rsidRPr="00040F03">
        <w:rPr>
          <w:rStyle w:val="Refdenotaalpie"/>
          <w:rFonts w:ascii="Arial" w:hAnsi="Arial" w:cs="Arial"/>
          <w:sz w:val="19"/>
          <w:szCs w:val="19"/>
        </w:rPr>
        <w:footnoteRef/>
      </w:r>
      <w:r w:rsidRPr="00040F03">
        <w:rPr>
          <w:rFonts w:ascii="Arial" w:hAnsi="Arial" w:cs="Arial"/>
          <w:sz w:val="19"/>
          <w:szCs w:val="19"/>
        </w:rPr>
        <w:t xml:space="preserve"> </w:t>
      </w:r>
      <w:r w:rsidRPr="00040F03">
        <w:rPr>
          <w:rFonts w:ascii="Arial" w:eastAsia="Calibri" w:hAnsi="Arial" w:cs="Arial"/>
          <w:color w:val="000000" w:themeColor="text1"/>
          <w:sz w:val="19"/>
          <w:szCs w:val="19"/>
          <w:lang w:val="es-MX" w:eastAsia="en-US"/>
        </w:rPr>
        <w:t>Decreto 1082 de 2015. «Artículo 2.2.1.1.1.6.4. Capacidad Residual. El interesado en celebrar contratos de obra pública con Entidades Estatales debe acreditar su Capacidad Residual o K de Contratación con los siguientes documentos:</w:t>
      </w:r>
    </w:p>
    <w:p w14:paraId="6026CE43" w14:textId="77777777" w:rsidR="00C64A66" w:rsidRPr="00040F03" w:rsidRDefault="00C64A66" w:rsidP="00C64A66">
      <w:pPr>
        <w:shd w:val="clear" w:color="auto" w:fill="FFFFFF"/>
        <w:ind w:firstLine="709"/>
        <w:jc w:val="both"/>
        <w:rPr>
          <w:rFonts w:ascii="Arial" w:eastAsia="Calibri" w:hAnsi="Arial" w:cs="Arial"/>
          <w:color w:val="000000" w:themeColor="text1"/>
          <w:sz w:val="19"/>
          <w:szCs w:val="19"/>
        </w:rPr>
      </w:pPr>
      <w:r w:rsidRPr="00040F03">
        <w:rPr>
          <w:rFonts w:ascii="Arial" w:eastAsia="Calibri" w:hAnsi="Arial" w:cs="Arial"/>
          <w:color w:val="000000" w:themeColor="text1"/>
          <w:sz w:val="19"/>
          <w:szCs w:val="19"/>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4BC3BDED" w14:textId="77777777" w:rsidR="00C64A66" w:rsidRPr="00040F03" w:rsidRDefault="00C64A66" w:rsidP="00C64A66">
      <w:pPr>
        <w:shd w:val="clear" w:color="auto" w:fill="FFFFFF"/>
        <w:ind w:firstLine="709"/>
        <w:jc w:val="both"/>
        <w:rPr>
          <w:rFonts w:ascii="Arial" w:eastAsia="Calibri" w:hAnsi="Arial" w:cs="Arial"/>
          <w:color w:val="000000" w:themeColor="text1"/>
          <w:sz w:val="19"/>
          <w:szCs w:val="19"/>
        </w:rPr>
      </w:pPr>
      <w:r w:rsidRPr="00040F03">
        <w:rPr>
          <w:rFonts w:ascii="Arial" w:eastAsia="Calibri" w:hAnsi="Arial" w:cs="Arial"/>
          <w:color w:val="000000" w:themeColor="text1"/>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2F5A01EB" w14:textId="77777777" w:rsidR="00C64A66" w:rsidRPr="00040F03" w:rsidRDefault="00C64A66" w:rsidP="00C64A66">
      <w:pPr>
        <w:shd w:val="clear" w:color="auto" w:fill="FFFFFF"/>
        <w:ind w:firstLine="708"/>
        <w:jc w:val="both"/>
        <w:rPr>
          <w:rFonts w:ascii="Arial" w:eastAsia="Calibri" w:hAnsi="Arial" w:cs="Arial"/>
          <w:color w:val="000000" w:themeColor="text1"/>
          <w:sz w:val="19"/>
          <w:szCs w:val="19"/>
        </w:rPr>
      </w:pPr>
      <w:r w:rsidRPr="00040F03">
        <w:rPr>
          <w:rFonts w:ascii="Arial" w:eastAsia="Calibri" w:hAnsi="Arial" w:cs="Arial"/>
          <w:color w:val="000000" w:themeColor="text1"/>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14:paraId="2B085F87" w14:textId="77777777" w:rsidR="00C64A66" w:rsidRPr="00040F03" w:rsidRDefault="00C64A66" w:rsidP="00C64A66">
      <w:pPr>
        <w:shd w:val="clear" w:color="auto" w:fill="FFFFFF"/>
        <w:ind w:firstLine="708"/>
        <w:jc w:val="both"/>
        <w:rPr>
          <w:rFonts w:ascii="Arial" w:eastAsia="Calibri" w:hAnsi="Arial" w:cs="Arial"/>
          <w:color w:val="000000" w:themeColor="text1"/>
          <w:sz w:val="19"/>
          <w:szCs w:val="19"/>
        </w:rPr>
      </w:pPr>
    </w:p>
  </w:footnote>
  <w:footnote w:id="9">
    <w:p w14:paraId="7B4578A2" w14:textId="77777777" w:rsidR="00C64A66" w:rsidRPr="00040F03" w:rsidRDefault="00C64A66" w:rsidP="00C64A66">
      <w:pPr>
        <w:pStyle w:val="Textonotapie"/>
        <w:ind w:firstLine="708"/>
        <w:jc w:val="both"/>
        <w:rPr>
          <w:rFonts w:ascii="Arial" w:hAnsi="Arial" w:cs="Arial"/>
          <w:sz w:val="19"/>
          <w:szCs w:val="19"/>
          <w:lang w:val="es-ES"/>
        </w:rPr>
      </w:pPr>
      <w:r w:rsidRPr="00040F03">
        <w:rPr>
          <w:rStyle w:val="Refdenotaalpie"/>
          <w:rFonts w:ascii="Arial" w:hAnsi="Arial" w:cs="Arial"/>
          <w:sz w:val="19"/>
          <w:szCs w:val="19"/>
        </w:rPr>
        <w:footnoteRef/>
      </w:r>
      <w:r w:rsidRPr="00040F03">
        <w:rPr>
          <w:rFonts w:ascii="Arial" w:hAnsi="Arial" w:cs="Arial"/>
          <w:sz w:val="19"/>
          <w:szCs w:val="19"/>
        </w:rPr>
        <w:t xml:space="preserve"> De acuerdo con la Resolución 161 de 2021 por la cual se modifican los Documentos Tipo adoptados por la Agencia Nacional de Contratación Pública- Colombia Compra Eficiente.</w:t>
      </w:r>
    </w:p>
  </w:footnote>
  <w:footnote w:id="10">
    <w:p w14:paraId="3331E0B4" w14:textId="77777777" w:rsidR="00C64A66" w:rsidRPr="00040F03" w:rsidRDefault="00C64A66" w:rsidP="00C64A66">
      <w:pPr>
        <w:pStyle w:val="Textonotapie"/>
        <w:ind w:firstLine="708"/>
        <w:jc w:val="both"/>
        <w:rPr>
          <w:rFonts w:ascii="Arial" w:eastAsia="Calibri" w:hAnsi="Arial" w:cs="Arial"/>
          <w:color w:val="000000" w:themeColor="text1"/>
          <w:sz w:val="19"/>
          <w:szCs w:val="19"/>
        </w:rPr>
      </w:pPr>
      <w:r w:rsidRPr="00040F03">
        <w:rPr>
          <w:rStyle w:val="Refdenotaalpie"/>
          <w:rFonts w:ascii="Arial" w:hAnsi="Arial" w:cs="Arial"/>
          <w:sz w:val="19"/>
          <w:szCs w:val="19"/>
        </w:rPr>
        <w:footnoteRef/>
      </w:r>
      <w:r w:rsidRPr="00040F03">
        <w:rPr>
          <w:rFonts w:ascii="Arial" w:hAnsi="Arial" w:cs="Arial"/>
          <w:sz w:val="19"/>
          <w:szCs w:val="19"/>
        </w:rPr>
        <w:t xml:space="preserve"> </w:t>
      </w:r>
      <w:r w:rsidRPr="00040F03">
        <w:rPr>
          <w:rFonts w:ascii="Arial" w:eastAsia="Calibri" w:hAnsi="Arial" w:cs="Arial"/>
          <w:color w:val="000000" w:themeColor="text1"/>
          <w:sz w:val="19"/>
          <w:szCs w:val="19"/>
        </w:rPr>
        <w:t>Ley 43 de 1990: «Artículo 10. De la fe pública. La atestación o firma de un Contador Público en los actos propios de su profesión hará presumir, salvo prueba en contrario, que el acto respectivo se ajusta a los requisitos legales, lo mismo que a los estatutarios en casos de personas jurídicas. Tratándose de balances, se presumirá además que los saldos se han tomado fielmente de los libros, que éstos se ajustan a las normas legales y que las cifras registradas en ellos reflejan en forma fidedigna la correspondiente situación financiera en la fecha del balance. Parágrafo. Los Contadores Públicos, cuando otorguen fe pública en materia contable, se asimilarán a funcionarios públicos para efectos de las sanciones penales por los delitos que cometieren en el ejercicio de las actividades propias de su profesión, sin perjuicio de las responsabilidades de orden civil que hubiere lugar conforme a las leyes».</w:t>
      </w:r>
    </w:p>
    <w:p w14:paraId="1B862AFD" w14:textId="77777777" w:rsidR="00C64A66" w:rsidRPr="00040F03" w:rsidRDefault="00C64A66" w:rsidP="00C64A66">
      <w:pPr>
        <w:pStyle w:val="Textonotapie"/>
        <w:ind w:firstLine="708"/>
        <w:jc w:val="both"/>
        <w:rPr>
          <w:rFonts w:ascii="Arial" w:eastAsia="Calibri" w:hAnsi="Arial" w:cs="Arial"/>
          <w:color w:val="000000" w:themeColor="text1"/>
          <w:sz w:val="19"/>
          <w:szCs w:val="19"/>
        </w:rPr>
      </w:pPr>
    </w:p>
  </w:footnote>
  <w:footnote w:id="11">
    <w:p w14:paraId="052BFE56" w14:textId="77777777" w:rsidR="00C64A66" w:rsidRPr="00040F03" w:rsidRDefault="00C64A66" w:rsidP="00C64A66">
      <w:pPr>
        <w:pStyle w:val="Textonotapie"/>
        <w:ind w:firstLine="708"/>
        <w:jc w:val="both"/>
        <w:rPr>
          <w:rFonts w:ascii="Arial" w:eastAsia="Calibri" w:hAnsi="Arial" w:cs="Arial"/>
          <w:color w:val="000000" w:themeColor="text1"/>
          <w:sz w:val="19"/>
          <w:szCs w:val="19"/>
        </w:rPr>
      </w:pPr>
      <w:r w:rsidRPr="00040F03">
        <w:rPr>
          <w:rStyle w:val="Refdenotaalpie"/>
          <w:rFonts w:ascii="Arial" w:hAnsi="Arial" w:cs="Arial"/>
          <w:sz w:val="19"/>
          <w:szCs w:val="19"/>
        </w:rPr>
        <w:footnoteRef/>
      </w:r>
      <w:r w:rsidRPr="00040F03">
        <w:rPr>
          <w:rFonts w:ascii="Arial" w:hAnsi="Arial" w:cs="Arial"/>
          <w:sz w:val="19"/>
          <w:szCs w:val="19"/>
        </w:rPr>
        <w:t xml:space="preserve"> </w:t>
      </w:r>
      <w:r w:rsidRPr="00040F03">
        <w:rPr>
          <w:rFonts w:ascii="Arial" w:eastAsia="Calibri" w:hAnsi="Arial" w:cs="Arial"/>
          <w:color w:val="000000" w:themeColor="text1"/>
          <w:sz w:val="19"/>
          <w:szCs w:val="19"/>
        </w:rPr>
        <w:t>CORTE CONSTITUCIONAL. Sentencia C- 861 de 2008. M.P. Mauricio González Cuervo.</w:t>
      </w:r>
    </w:p>
  </w:footnote>
  <w:footnote w:id="12">
    <w:p w14:paraId="03C8D53B" w14:textId="77777777" w:rsidR="00C64A66" w:rsidRPr="00E30DF1" w:rsidRDefault="00C64A66" w:rsidP="00C64A66">
      <w:pPr>
        <w:pStyle w:val="Textonotapie"/>
        <w:ind w:firstLine="708"/>
        <w:jc w:val="both"/>
        <w:rPr>
          <w:rFonts w:ascii="Arial" w:hAnsi="Arial" w:cs="Arial"/>
          <w:sz w:val="19"/>
          <w:szCs w:val="19"/>
        </w:rPr>
      </w:pPr>
      <w:r w:rsidRPr="00E30DF1">
        <w:rPr>
          <w:rStyle w:val="Refdenotaalpie"/>
          <w:rFonts w:ascii="Arial" w:hAnsi="Arial" w:cs="Arial"/>
          <w:sz w:val="19"/>
          <w:szCs w:val="19"/>
        </w:rPr>
        <w:footnoteRef/>
      </w:r>
      <w:r w:rsidRPr="00E30DF1">
        <w:rPr>
          <w:rFonts w:ascii="Arial" w:hAnsi="Arial" w:cs="Arial"/>
          <w:sz w:val="19"/>
          <w:szCs w:val="19"/>
        </w:rPr>
        <w:t xml:space="preserve"> </w:t>
      </w:r>
      <w:r>
        <w:rPr>
          <w:rFonts w:ascii="Arial" w:hAnsi="Arial" w:cs="Arial"/>
          <w:sz w:val="19"/>
          <w:szCs w:val="19"/>
        </w:rPr>
        <w:t>Ley 2022 de 2020. «</w:t>
      </w:r>
      <w:r w:rsidRPr="00E30DF1">
        <w:rPr>
          <w:rFonts w:ascii="Arial" w:hAnsi="Arial" w:cs="Arial"/>
          <w:sz w:val="19"/>
          <w:szCs w:val="19"/>
        </w:rPr>
        <w:t>A</w:t>
      </w:r>
      <w:r>
        <w:rPr>
          <w:rFonts w:ascii="Arial" w:hAnsi="Arial" w:cs="Arial"/>
          <w:sz w:val="19"/>
          <w:szCs w:val="19"/>
        </w:rPr>
        <w:t>rtículo</w:t>
      </w:r>
      <w:r w:rsidRPr="00E30DF1">
        <w:rPr>
          <w:rFonts w:ascii="Arial" w:hAnsi="Arial" w:cs="Arial"/>
          <w:sz w:val="19"/>
          <w:szCs w:val="19"/>
        </w:rPr>
        <w:t xml:space="preserve"> 1o. Modifíquese el artículo 4o de la Ley 1882 de 2018, el cual quedará así:</w:t>
      </w:r>
    </w:p>
    <w:p w14:paraId="4AA8DD73" w14:textId="77777777" w:rsidR="00C64A66" w:rsidRPr="00E30DF1" w:rsidRDefault="00C64A66" w:rsidP="00C64A66">
      <w:pPr>
        <w:pStyle w:val="Textonotapie"/>
        <w:ind w:firstLine="708"/>
        <w:jc w:val="both"/>
        <w:rPr>
          <w:rFonts w:ascii="Arial" w:hAnsi="Arial" w:cs="Arial"/>
          <w:sz w:val="19"/>
          <w:szCs w:val="19"/>
        </w:rPr>
      </w:pPr>
      <w:r>
        <w:rPr>
          <w:rFonts w:ascii="Arial" w:hAnsi="Arial" w:cs="Arial"/>
          <w:sz w:val="19"/>
          <w:szCs w:val="19"/>
        </w:rPr>
        <w:t>»</w:t>
      </w:r>
      <w:r w:rsidRPr="00E30DF1">
        <w:rPr>
          <w:rFonts w:ascii="Arial" w:hAnsi="Arial" w:cs="Arial"/>
          <w:sz w:val="19"/>
          <w:szCs w:val="19"/>
        </w:rPr>
        <w:t>Artículo 4o. Adiciónese el siguiente parágrafo al artículo 2o de la Ley 1150 de 2007.</w:t>
      </w:r>
    </w:p>
    <w:p w14:paraId="4B445447" w14:textId="77777777" w:rsidR="00C64A66" w:rsidRPr="00E30DF1" w:rsidRDefault="00C64A66" w:rsidP="00C64A66">
      <w:pPr>
        <w:pStyle w:val="Textonotapie"/>
        <w:ind w:firstLine="708"/>
        <w:jc w:val="both"/>
        <w:rPr>
          <w:rFonts w:ascii="Arial" w:hAnsi="Arial" w:cs="Arial"/>
          <w:sz w:val="19"/>
          <w:szCs w:val="19"/>
        </w:rPr>
      </w:pPr>
      <w:r>
        <w:rPr>
          <w:rFonts w:ascii="Arial" w:hAnsi="Arial" w:cs="Arial"/>
          <w:sz w:val="19"/>
          <w:szCs w:val="19"/>
        </w:rPr>
        <w:t>»</w:t>
      </w:r>
      <w:r w:rsidRPr="00E30DF1">
        <w:rPr>
          <w:rFonts w:ascii="Arial" w:hAnsi="Arial" w:cs="Arial"/>
          <w:sz w:val="19"/>
          <w:szCs w:val="19"/>
        </w:rPr>
        <w:t>P</w:t>
      </w:r>
      <w:r w:rsidRPr="00040F03">
        <w:rPr>
          <w:rFonts w:ascii="Arial" w:hAnsi="Arial" w:cs="Arial"/>
          <w:sz w:val="19"/>
          <w:szCs w:val="19"/>
        </w:rPr>
        <w:t>arágrafo</w:t>
      </w:r>
      <w:r w:rsidRPr="00E30DF1">
        <w:rPr>
          <w:rFonts w:ascii="Arial" w:hAnsi="Arial" w:cs="Arial"/>
          <w:sz w:val="19"/>
          <w:szCs w:val="19"/>
        </w:rPr>
        <w:t xml:space="preserve">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1761F6EC" w14:textId="77777777" w:rsidR="00C64A66" w:rsidRDefault="00C64A66" w:rsidP="00C64A66">
      <w:pPr>
        <w:pStyle w:val="Textonotapie"/>
        <w:ind w:firstLine="708"/>
        <w:jc w:val="both"/>
        <w:rPr>
          <w:rFonts w:ascii="Arial" w:hAnsi="Arial" w:cs="Arial"/>
          <w:sz w:val="19"/>
          <w:szCs w:val="19"/>
        </w:rPr>
      </w:pPr>
      <w:r>
        <w:rPr>
          <w:rFonts w:ascii="Arial" w:hAnsi="Arial" w:cs="Arial"/>
          <w:sz w:val="19"/>
          <w:szCs w:val="19"/>
        </w:rPr>
        <w:t>»</w:t>
      </w:r>
      <w:r w:rsidRPr="00E30DF1">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244A6805" w14:textId="77777777" w:rsidR="00C64A66" w:rsidRPr="00E30DF1" w:rsidRDefault="00C64A66" w:rsidP="00C64A66">
      <w:pPr>
        <w:pStyle w:val="Textonotapie"/>
        <w:ind w:firstLine="708"/>
        <w:jc w:val="both"/>
        <w:rPr>
          <w:rFonts w:ascii="Arial" w:hAnsi="Arial" w:cs="Arial"/>
          <w:sz w:val="19"/>
          <w:szCs w:val="19"/>
        </w:rPr>
      </w:pPr>
      <w:r>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0"/>
  </w:num>
  <w:num w:numId="2">
    <w:abstractNumId w:val="8"/>
  </w:num>
  <w:num w:numId="3">
    <w:abstractNumId w:val="13"/>
  </w:num>
  <w:num w:numId="4">
    <w:abstractNumId w:val="17"/>
  </w:num>
  <w:num w:numId="5">
    <w:abstractNumId w:val="2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4"/>
  </w:num>
  <w:num w:numId="19">
    <w:abstractNumId w:val="2"/>
  </w:num>
  <w:num w:numId="20">
    <w:abstractNumId w:val="25"/>
  </w:num>
  <w:num w:numId="21">
    <w:abstractNumId w:val="15"/>
  </w:num>
  <w:num w:numId="22">
    <w:abstractNumId w:val="6"/>
  </w:num>
  <w:num w:numId="23">
    <w:abstractNumId w:val="4"/>
  </w:num>
  <w:num w:numId="24">
    <w:abstractNumId w:val="23"/>
  </w:num>
  <w:num w:numId="25">
    <w:abstractNumId w:val="18"/>
  </w:num>
  <w:num w:numId="26">
    <w:abstractNumId w:val="21"/>
  </w:num>
  <w:num w:numId="27">
    <w:abstractNumId w:val="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47A2"/>
    <w:rsid w:val="000051AF"/>
    <w:rsid w:val="000059D3"/>
    <w:rsid w:val="00005B6D"/>
    <w:rsid w:val="0000600A"/>
    <w:rsid w:val="00006081"/>
    <w:rsid w:val="0000619E"/>
    <w:rsid w:val="00007750"/>
    <w:rsid w:val="000077FD"/>
    <w:rsid w:val="00007E37"/>
    <w:rsid w:val="00010C40"/>
    <w:rsid w:val="000112B4"/>
    <w:rsid w:val="00011DCC"/>
    <w:rsid w:val="00012532"/>
    <w:rsid w:val="00012B9E"/>
    <w:rsid w:val="00012F37"/>
    <w:rsid w:val="00012FBA"/>
    <w:rsid w:val="00013C6B"/>
    <w:rsid w:val="0001406B"/>
    <w:rsid w:val="000143F8"/>
    <w:rsid w:val="00014624"/>
    <w:rsid w:val="00015B44"/>
    <w:rsid w:val="00016081"/>
    <w:rsid w:val="000165AC"/>
    <w:rsid w:val="00016651"/>
    <w:rsid w:val="000171A2"/>
    <w:rsid w:val="00017A97"/>
    <w:rsid w:val="00017B65"/>
    <w:rsid w:val="00017FDA"/>
    <w:rsid w:val="00020158"/>
    <w:rsid w:val="000207E0"/>
    <w:rsid w:val="000209E2"/>
    <w:rsid w:val="00020F8F"/>
    <w:rsid w:val="00021A95"/>
    <w:rsid w:val="0002256F"/>
    <w:rsid w:val="00023DAE"/>
    <w:rsid w:val="00024896"/>
    <w:rsid w:val="000255FA"/>
    <w:rsid w:val="000256F7"/>
    <w:rsid w:val="00025D0A"/>
    <w:rsid w:val="000263F0"/>
    <w:rsid w:val="00026407"/>
    <w:rsid w:val="00026608"/>
    <w:rsid w:val="00027787"/>
    <w:rsid w:val="000278D2"/>
    <w:rsid w:val="00030DFB"/>
    <w:rsid w:val="00031262"/>
    <w:rsid w:val="00031364"/>
    <w:rsid w:val="000315E1"/>
    <w:rsid w:val="0003236E"/>
    <w:rsid w:val="00032675"/>
    <w:rsid w:val="0003339A"/>
    <w:rsid w:val="000341F2"/>
    <w:rsid w:val="00035046"/>
    <w:rsid w:val="000351F2"/>
    <w:rsid w:val="00036E03"/>
    <w:rsid w:val="000402D3"/>
    <w:rsid w:val="000406DB"/>
    <w:rsid w:val="0004094D"/>
    <w:rsid w:val="00041029"/>
    <w:rsid w:val="00041357"/>
    <w:rsid w:val="0004149B"/>
    <w:rsid w:val="00041FC6"/>
    <w:rsid w:val="00042961"/>
    <w:rsid w:val="00042C25"/>
    <w:rsid w:val="00042D03"/>
    <w:rsid w:val="00043086"/>
    <w:rsid w:val="000430A0"/>
    <w:rsid w:val="0004379E"/>
    <w:rsid w:val="000437CE"/>
    <w:rsid w:val="00043D3B"/>
    <w:rsid w:val="0004418C"/>
    <w:rsid w:val="00044204"/>
    <w:rsid w:val="0004477A"/>
    <w:rsid w:val="000449D4"/>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474D"/>
    <w:rsid w:val="0005564E"/>
    <w:rsid w:val="00055CB9"/>
    <w:rsid w:val="00056F66"/>
    <w:rsid w:val="0005702F"/>
    <w:rsid w:val="000601EA"/>
    <w:rsid w:val="00061010"/>
    <w:rsid w:val="00061D06"/>
    <w:rsid w:val="000625D1"/>
    <w:rsid w:val="00062CDD"/>
    <w:rsid w:val="00062DB3"/>
    <w:rsid w:val="00063472"/>
    <w:rsid w:val="000640AF"/>
    <w:rsid w:val="00064940"/>
    <w:rsid w:val="00064CAE"/>
    <w:rsid w:val="00064DB7"/>
    <w:rsid w:val="00064FA7"/>
    <w:rsid w:val="00065195"/>
    <w:rsid w:val="0006536C"/>
    <w:rsid w:val="0006626E"/>
    <w:rsid w:val="00070AF1"/>
    <w:rsid w:val="000714DE"/>
    <w:rsid w:val="0007254F"/>
    <w:rsid w:val="0007357C"/>
    <w:rsid w:val="00073990"/>
    <w:rsid w:val="00073C30"/>
    <w:rsid w:val="00074305"/>
    <w:rsid w:val="000744D0"/>
    <w:rsid w:val="00074B2A"/>
    <w:rsid w:val="00074EEE"/>
    <w:rsid w:val="000753D5"/>
    <w:rsid w:val="00075B3E"/>
    <w:rsid w:val="00076456"/>
    <w:rsid w:val="00076F3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7CA"/>
    <w:rsid w:val="000914D6"/>
    <w:rsid w:val="00091569"/>
    <w:rsid w:val="00092B71"/>
    <w:rsid w:val="00092CDB"/>
    <w:rsid w:val="00092DCA"/>
    <w:rsid w:val="000942EB"/>
    <w:rsid w:val="00095B70"/>
    <w:rsid w:val="0009617E"/>
    <w:rsid w:val="0009628D"/>
    <w:rsid w:val="0009670F"/>
    <w:rsid w:val="000979C5"/>
    <w:rsid w:val="000979CF"/>
    <w:rsid w:val="000A03C8"/>
    <w:rsid w:val="000A05F2"/>
    <w:rsid w:val="000A06C4"/>
    <w:rsid w:val="000A0861"/>
    <w:rsid w:val="000A0EC4"/>
    <w:rsid w:val="000A0ED1"/>
    <w:rsid w:val="000A12DB"/>
    <w:rsid w:val="000A17C8"/>
    <w:rsid w:val="000A1B74"/>
    <w:rsid w:val="000A20D7"/>
    <w:rsid w:val="000A2128"/>
    <w:rsid w:val="000A362F"/>
    <w:rsid w:val="000A38F9"/>
    <w:rsid w:val="000A3B49"/>
    <w:rsid w:val="000A46FE"/>
    <w:rsid w:val="000A47E6"/>
    <w:rsid w:val="000A52C0"/>
    <w:rsid w:val="000A5AAF"/>
    <w:rsid w:val="000A5F97"/>
    <w:rsid w:val="000A648E"/>
    <w:rsid w:val="000A7268"/>
    <w:rsid w:val="000A73BB"/>
    <w:rsid w:val="000A73E8"/>
    <w:rsid w:val="000A7EF4"/>
    <w:rsid w:val="000B0A15"/>
    <w:rsid w:val="000B103F"/>
    <w:rsid w:val="000B1437"/>
    <w:rsid w:val="000B1470"/>
    <w:rsid w:val="000B244D"/>
    <w:rsid w:val="000B2B86"/>
    <w:rsid w:val="000B3051"/>
    <w:rsid w:val="000B404C"/>
    <w:rsid w:val="000B419B"/>
    <w:rsid w:val="000B5781"/>
    <w:rsid w:val="000B5CB1"/>
    <w:rsid w:val="000B7377"/>
    <w:rsid w:val="000B75F4"/>
    <w:rsid w:val="000C0185"/>
    <w:rsid w:val="000C0D2D"/>
    <w:rsid w:val="000C0F81"/>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34E"/>
    <w:rsid w:val="000C7476"/>
    <w:rsid w:val="000C7480"/>
    <w:rsid w:val="000C7711"/>
    <w:rsid w:val="000C7AA2"/>
    <w:rsid w:val="000D00A5"/>
    <w:rsid w:val="000D0462"/>
    <w:rsid w:val="000D053D"/>
    <w:rsid w:val="000D06EB"/>
    <w:rsid w:val="000D0ED2"/>
    <w:rsid w:val="000D135A"/>
    <w:rsid w:val="000D17E1"/>
    <w:rsid w:val="000D1CEB"/>
    <w:rsid w:val="000D2563"/>
    <w:rsid w:val="000D25BF"/>
    <w:rsid w:val="000D2FE4"/>
    <w:rsid w:val="000D3FDC"/>
    <w:rsid w:val="000D490B"/>
    <w:rsid w:val="000D4E38"/>
    <w:rsid w:val="000D50DB"/>
    <w:rsid w:val="000D6288"/>
    <w:rsid w:val="000D728B"/>
    <w:rsid w:val="000D7541"/>
    <w:rsid w:val="000D75E1"/>
    <w:rsid w:val="000E22CF"/>
    <w:rsid w:val="000E2977"/>
    <w:rsid w:val="000E2CC0"/>
    <w:rsid w:val="000E30AC"/>
    <w:rsid w:val="000E3B46"/>
    <w:rsid w:val="000E3E11"/>
    <w:rsid w:val="000E4596"/>
    <w:rsid w:val="000E4B94"/>
    <w:rsid w:val="000E4D50"/>
    <w:rsid w:val="000E5041"/>
    <w:rsid w:val="000E5768"/>
    <w:rsid w:val="000E5843"/>
    <w:rsid w:val="000E6139"/>
    <w:rsid w:val="000E63B7"/>
    <w:rsid w:val="000E653C"/>
    <w:rsid w:val="000E6BE1"/>
    <w:rsid w:val="000E7E0B"/>
    <w:rsid w:val="000F0136"/>
    <w:rsid w:val="000F078A"/>
    <w:rsid w:val="000F122D"/>
    <w:rsid w:val="000F1450"/>
    <w:rsid w:val="000F14E8"/>
    <w:rsid w:val="000F1BBD"/>
    <w:rsid w:val="000F290F"/>
    <w:rsid w:val="000F42B1"/>
    <w:rsid w:val="000F4403"/>
    <w:rsid w:val="000F480B"/>
    <w:rsid w:val="000F4E17"/>
    <w:rsid w:val="000F5615"/>
    <w:rsid w:val="000F6578"/>
    <w:rsid w:val="000F6F92"/>
    <w:rsid w:val="000F7E8F"/>
    <w:rsid w:val="000F7FBB"/>
    <w:rsid w:val="001000FB"/>
    <w:rsid w:val="00100A9E"/>
    <w:rsid w:val="00100F6A"/>
    <w:rsid w:val="001012D5"/>
    <w:rsid w:val="00102605"/>
    <w:rsid w:val="00102686"/>
    <w:rsid w:val="00102745"/>
    <w:rsid w:val="00103345"/>
    <w:rsid w:val="00103795"/>
    <w:rsid w:val="00103915"/>
    <w:rsid w:val="001039AA"/>
    <w:rsid w:val="00103EA0"/>
    <w:rsid w:val="00104149"/>
    <w:rsid w:val="00104F1C"/>
    <w:rsid w:val="001051E5"/>
    <w:rsid w:val="00105610"/>
    <w:rsid w:val="001058F2"/>
    <w:rsid w:val="00105A74"/>
    <w:rsid w:val="00105ACB"/>
    <w:rsid w:val="00105AEF"/>
    <w:rsid w:val="00105E5E"/>
    <w:rsid w:val="00106259"/>
    <w:rsid w:val="001068EB"/>
    <w:rsid w:val="00106CD1"/>
    <w:rsid w:val="00106F65"/>
    <w:rsid w:val="001078CE"/>
    <w:rsid w:val="00110F61"/>
    <w:rsid w:val="001111BD"/>
    <w:rsid w:val="0011165A"/>
    <w:rsid w:val="00111B2B"/>
    <w:rsid w:val="00112774"/>
    <w:rsid w:val="00112B2E"/>
    <w:rsid w:val="00113003"/>
    <w:rsid w:val="00113062"/>
    <w:rsid w:val="001131FF"/>
    <w:rsid w:val="00113705"/>
    <w:rsid w:val="00113975"/>
    <w:rsid w:val="00113CFC"/>
    <w:rsid w:val="00113F6C"/>
    <w:rsid w:val="00113FEA"/>
    <w:rsid w:val="00114A22"/>
    <w:rsid w:val="00114E9D"/>
    <w:rsid w:val="0011507B"/>
    <w:rsid w:val="00116328"/>
    <w:rsid w:val="001163CF"/>
    <w:rsid w:val="001166C5"/>
    <w:rsid w:val="001174C9"/>
    <w:rsid w:val="00117CF9"/>
    <w:rsid w:val="00117E69"/>
    <w:rsid w:val="001204B3"/>
    <w:rsid w:val="00120CCE"/>
    <w:rsid w:val="00121103"/>
    <w:rsid w:val="00121BAB"/>
    <w:rsid w:val="00121E3C"/>
    <w:rsid w:val="00122B23"/>
    <w:rsid w:val="00122B7E"/>
    <w:rsid w:val="00123E27"/>
    <w:rsid w:val="00123FB5"/>
    <w:rsid w:val="0012400F"/>
    <w:rsid w:val="001249DC"/>
    <w:rsid w:val="0012572D"/>
    <w:rsid w:val="00125BED"/>
    <w:rsid w:val="00125C59"/>
    <w:rsid w:val="00125D4F"/>
    <w:rsid w:val="00127004"/>
    <w:rsid w:val="00127697"/>
    <w:rsid w:val="00127AF2"/>
    <w:rsid w:val="00127EDC"/>
    <w:rsid w:val="00127F42"/>
    <w:rsid w:val="00127F6D"/>
    <w:rsid w:val="00130355"/>
    <w:rsid w:val="00130365"/>
    <w:rsid w:val="001304E5"/>
    <w:rsid w:val="00131B5A"/>
    <w:rsid w:val="00132C30"/>
    <w:rsid w:val="00132EFD"/>
    <w:rsid w:val="00133AED"/>
    <w:rsid w:val="00134522"/>
    <w:rsid w:val="00134808"/>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AE6"/>
    <w:rsid w:val="00141DBF"/>
    <w:rsid w:val="00142EFD"/>
    <w:rsid w:val="00143330"/>
    <w:rsid w:val="00144335"/>
    <w:rsid w:val="0014502F"/>
    <w:rsid w:val="00145282"/>
    <w:rsid w:val="001453B0"/>
    <w:rsid w:val="001454D9"/>
    <w:rsid w:val="00145D8E"/>
    <w:rsid w:val="00146083"/>
    <w:rsid w:val="001462F7"/>
    <w:rsid w:val="001471AB"/>
    <w:rsid w:val="00147F35"/>
    <w:rsid w:val="00150005"/>
    <w:rsid w:val="00151AEB"/>
    <w:rsid w:val="00151B99"/>
    <w:rsid w:val="00151DF3"/>
    <w:rsid w:val="00151E79"/>
    <w:rsid w:val="001521B2"/>
    <w:rsid w:val="00152EDD"/>
    <w:rsid w:val="00153491"/>
    <w:rsid w:val="0015361C"/>
    <w:rsid w:val="0015372F"/>
    <w:rsid w:val="00153BFB"/>
    <w:rsid w:val="0015407E"/>
    <w:rsid w:val="0015448E"/>
    <w:rsid w:val="00154A6F"/>
    <w:rsid w:val="00155D08"/>
    <w:rsid w:val="001561F3"/>
    <w:rsid w:val="0015623B"/>
    <w:rsid w:val="00156BE5"/>
    <w:rsid w:val="00157232"/>
    <w:rsid w:val="00160401"/>
    <w:rsid w:val="00160D4E"/>
    <w:rsid w:val="00161DDA"/>
    <w:rsid w:val="00161E62"/>
    <w:rsid w:val="00161F1C"/>
    <w:rsid w:val="0016200B"/>
    <w:rsid w:val="0016204B"/>
    <w:rsid w:val="00163D7A"/>
    <w:rsid w:val="00164281"/>
    <w:rsid w:val="00165703"/>
    <w:rsid w:val="00166204"/>
    <w:rsid w:val="0016685F"/>
    <w:rsid w:val="0016712F"/>
    <w:rsid w:val="00167503"/>
    <w:rsid w:val="001676A9"/>
    <w:rsid w:val="00167A15"/>
    <w:rsid w:val="00167A50"/>
    <w:rsid w:val="00167D1A"/>
    <w:rsid w:val="00167DF5"/>
    <w:rsid w:val="00170001"/>
    <w:rsid w:val="00172198"/>
    <w:rsid w:val="00172612"/>
    <w:rsid w:val="00172817"/>
    <w:rsid w:val="001734E3"/>
    <w:rsid w:val="001736A7"/>
    <w:rsid w:val="001742BF"/>
    <w:rsid w:val="001742E1"/>
    <w:rsid w:val="00175E49"/>
    <w:rsid w:val="0017649F"/>
    <w:rsid w:val="0017655B"/>
    <w:rsid w:val="00177840"/>
    <w:rsid w:val="001805C1"/>
    <w:rsid w:val="001806DE"/>
    <w:rsid w:val="00180826"/>
    <w:rsid w:val="00180A2E"/>
    <w:rsid w:val="001813AF"/>
    <w:rsid w:val="001829CD"/>
    <w:rsid w:val="00182A1D"/>
    <w:rsid w:val="00182F01"/>
    <w:rsid w:val="00183874"/>
    <w:rsid w:val="00184219"/>
    <w:rsid w:val="00184F27"/>
    <w:rsid w:val="0018519B"/>
    <w:rsid w:val="00185966"/>
    <w:rsid w:val="00185A2D"/>
    <w:rsid w:val="00185AFE"/>
    <w:rsid w:val="00185E78"/>
    <w:rsid w:val="00186A4F"/>
    <w:rsid w:val="00187177"/>
    <w:rsid w:val="00187ABD"/>
    <w:rsid w:val="00190396"/>
    <w:rsid w:val="001904E3"/>
    <w:rsid w:val="0019087A"/>
    <w:rsid w:val="00190CCC"/>
    <w:rsid w:val="00190E13"/>
    <w:rsid w:val="00191C5A"/>
    <w:rsid w:val="00191CEB"/>
    <w:rsid w:val="00191E63"/>
    <w:rsid w:val="00192019"/>
    <w:rsid w:val="00192D68"/>
    <w:rsid w:val="0019388B"/>
    <w:rsid w:val="00193ADE"/>
    <w:rsid w:val="00193B9A"/>
    <w:rsid w:val="001940ED"/>
    <w:rsid w:val="001946AE"/>
    <w:rsid w:val="001946D5"/>
    <w:rsid w:val="00194E8C"/>
    <w:rsid w:val="001962EC"/>
    <w:rsid w:val="001963DD"/>
    <w:rsid w:val="001965DB"/>
    <w:rsid w:val="00196D01"/>
    <w:rsid w:val="00196DC9"/>
    <w:rsid w:val="00196E95"/>
    <w:rsid w:val="00197758"/>
    <w:rsid w:val="00197891"/>
    <w:rsid w:val="001A0236"/>
    <w:rsid w:val="001A0915"/>
    <w:rsid w:val="001A0AF8"/>
    <w:rsid w:val="001A1490"/>
    <w:rsid w:val="001A18D5"/>
    <w:rsid w:val="001A1A38"/>
    <w:rsid w:val="001A1BE0"/>
    <w:rsid w:val="001A1D4A"/>
    <w:rsid w:val="001A201F"/>
    <w:rsid w:val="001A3011"/>
    <w:rsid w:val="001A4A9B"/>
    <w:rsid w:val="001A4DAF"/>
    <w:rsid w:val="001A54CD"/>
    <w:rsid w:val="001A5D74"/>
    <w:rsid w:val="001A66DF"/>
    <w:rsid w:val="001A67D0"/>
    <w:rsid w:val="001A6863"/>
    <w:rsid w:val="001A7591"/>
    <w:rsid w:val="001A75B1"/>
    <w:rsid w:val="001A7B06"/>
    <w:rsid w:val="001B0366"/>
    <w:rsid w:val="001B0444"/>
    <w:rsid w:val="001B096B"/>
    <w:rsid w:val="001B0F9F"/>
    <w:rsid w:val="001B123C"/>
    <w:rsid w:val="001B1A0D"/>
    <w:rsid w:val="001B1BF1"/>
    <w:rsid w:val="001B1E12"/>
    <w:rsid w:val="001B2083"/>
    <w:rsid w:val="001B2456"/>
    <w:rsid w:val="001B2C14"/>
    <w:rsid w:val="001B3CC4"/>
    <w:rsid w:val="001B449C"/>
    <w:rsid w:val="001B4AA2"/>
    <w:rsid w:val="001B4ADE"/>
    <w:rsid w:val="001B5530"/>
    <w:rsid w:val="001B599D"/>
    <w:rsid w:val="001B5EF8"/>
    <w:rsid w:val="001B6C54"/>
    <w:rsid w:val="001B71E8"/>
    <w:rsid w:val="001B787E"/>
    <w:rsid w:val="001C07C6"/>
    <w:rsid w:val="001C120D"/>
    <w:rsid w:val="001C19CD"/>
    <w:rsid w:val="001C22D5"/>
    <w:rsid w:val="001C2515"/>
    <w:rsid w:val="001C26FB"/>
    <w:rsid w:val="001C33C1"/>
    <w:rsid w:val="001C3E30"/>
    <w:rsid w:val="001C3E34"/>
    <w:rsid w:val="001C3E5C"/>
    <w:rsid w:val="001C5072"/>
    <w:rsid w:val="001C5446"/>
    <w:rsid w:val="001C5B2A"/>
    <w:rsid w:val="001C600B"/>
    <w:rsid w:val="001C64F9"/>
    <w:rsid w:val="001C6898"/>
    <w:rsid w:val="001C6DD8"/>
    <w:rsid w:val="001C76FA"/>
    <w:rsid w:val="001C79A4"/>
    <w:rsid w:val="001C7C7B"/>
    <w:rsid w:val="001D03BB"/>
    <w:rsid w:val="001D068D"/>
    <w:rsid w:val="001D1194"/>
    <w:rsid w:val="001D12D1"/>
    <w:rsid w:val="001D15DF"/>
    <w:rsid w:val="001D2EEE"/>
    <w:rsid w:val="001D30F3"/>
    <w:rsid w:val="001D31A0"/>
    <w:rsid w:val="001D338E"/>
    <w:rsid w:val="001D51DD"/>
    <w:rsid w:val="001D56E9"/>
    <w:rsid w:val="001D639C"/>
    <w:rsid w:val="001D7616"/>
    <w:rsid w:val="001D796A"/>
    <w:rsid w:val="001D7A84"/>
    <w:rsid w:val="001D7BF1"/>
    <w:rsid w:val="001D7C79"/>
    <w:rsid w:val="001E003B"/>
    <w:rsid w:val="001E192A"/>
    <w:rsid w:val="001E1A88"/>
    <w:rsid w:val="001E1CC4"/>
    <w:rsid w:val="001E1D38"/>
    <w:rsid w:val="001E28A0"/>
    <w:rsid w:val="001E2A95"/>
    <w:rsid w:val="001E3FFE"/>
    <w:rsid w:val="001E4258"/>
    <w:rsid w:val="001E5140"/>
    <w:rsid w:val="001E51C2"/>
    <w:rsid w:val="001E5D6A"/>
    <w:rsid w:val="001E6A94"/>
    <w:rsid w:val="001E70FB"/>
    <w:rsid w:val="001E780A"/>
    <w:rsid w:val="001F0D15"/>
    <w:rsid w:val="001F0FA0"/>
    <w:rsid w:val="001F1194"/>
    <w:rsid w:val="001F1349"/>
    <w:rsid w:val="001F1863"/>
    <w:rsid w:val="001F2356"/>
    <w:rsid w:val="001F2A68"/>
    <w:rsid w:val="001F3744"/>
    <w:rsid w:val="001F3A05"/>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E44"/>
    <w:rsid w:val="002037AA"/>
    <w:rsid w:val="00203FE3"/>
    <w:rsid w:val="002042D8"/>
    <w:rsid w:val="00204379"/>
    <w:rsid w:val="00204515"/>
    <w:rsid w:val="00204BF5"/>
    <w:rsid w:val="00204E6B"/>
    <w:rsid w:val="002053EF"/>
    <w:rsid w:val="002058D4"/>
    <w:rsid w:val="00206172"/>
    <w:rsid w:val="0020632A"/>
    <w:rsid w:val="0020697F"/>
    <w:rsid w:val="0020726E"/>
    <w:rsid w:val="002110EB"/>
    <w:rsid w:val="00211338"/>
    <w:rsid w:val="00211388"/>
    <w:rsid w:val="0021148C"/>
    <w:rsid w:val="00211694"/>
    <w:rsid w:val="00211820"/>
    <w:rsid w:val="0021201A"/>
    <w:rsid w:val="00212545"/>
    <w:rsid w:val="002127DF"/>
    <w:rsid w:val="002138FE"/>
    <w:rsid w:val="00213A1F"/>
    <w:rsid w:val="00213C63"/>
    <w:rsid w:val="00214502"/>
    <w:rsid w:val="002145E7"/>
    <w:rsid w:val="00214741"/>
    <w:rsid w:val="00214938"/>
    <w:rsid w:val="0021539A"/>
    <w:rsid w:val="00215852"/>
    <w:rsid w:val="00215B01"/>
    <w:rsid w:val="00215B8E"/>
    <w:rsid w:val="00216264"/>
    <w:rsid w:val="002169A0"/>
    <w:rsid w:val="002176B6"/>
    <w:rsid w:val="0021792D"/>
    <w:rsid w:val="00217DB8"/>
    <w:rsid w:val="002202CE"/>
    <w:rsid w:val="0022032A"/>
    <w:rsid w:val="0022194E"/>
    <w:rsid w:val="00221CEF"/>
    <w:rsid w:val="002220B1"/>
    <w:rsid w:val="002221CE"/>
    <w:rsid w:val="00222BE8"/>
    <w:rsid w:val="00222DC1"/>
    <w:rsid w:val="00222DFB"/>
    <w:rsid w:val="00223102"/>
    <w:rsid w:val="002232CB"/>
    <w:rsid w:val="00224022"/>
    <w:rsid w:val="00226055"/>
    <w:rsid w:val="0022609C"/>
    <w:rsid w:val="0022613F"/>
    <w:rsid w:val="0022614F"/>
    <w:rsid w:val="00226236"/>
    <w:rsid w:val="002270C9"/>
    <w:rsid w:val="00227A8B"/>
    <w:rsid w:val="0023074D"/>
    <w:rsid w:val="0023146B"/>
    <w:rsid w:val="002315A0"/>
    <w:rsid w:val="00231748"/>
    <w:rsid w:val="00231EC7"/>
    <w:rsid w:val="00232E15"/>
    <w:rsid w:val="00233079"/>
    <w:rsid w:val="00233718"/>
    <w:rsid w:val="0023382C"/>
    <w:rsid w:val="00233977"/>
    <w:rsid w:val="00233C58"/>
    <w:rsid w:val="00233C71"/>
    <w:rsid w:val="00234197"/>
    <w:rsid w:val="002345B6"/>
    <w:rsid w:val="002347A6"/>
    <w:rsid w:val="00234B84"/>
    <w:rsid w:val="002355B1"/>
    <w:rsid w:val="00236016"/>
    <w:rsid w:val="00236963"/>
    <w:rsid w:val="00237065"/>
    <w:rsid w:val="00237589"/>
    <w:rsid w:val="0023758D"/>
    <w:rsid w:val="002375A7"/>
    <w:rsid w:val="00237EFF"/>
    <w:rsid w:val="00240171"/>
    <w:rsid w:val="0024019A"/>
    <w:rsid w:val="00240EC1"/>
    <w:rsid w:val="0024120F"/>
    <w:rsid w:val="002412BC"/>
    <w:rsid w:val="0024131D"/>
    <w:rsid w:val="002415B8"/>
    <w:rsid w:val="00242D5F"/>
    <w:rsid w:val="00242D62"/>
    <w:rsid w:val="002430D0"/>
    <w:rsid w:val="002431D7"/>
    <w:rsid w:val="00244058"/>
    <w:rsid w:val="00244861"/>
    <w:rsid w:val="002453E7"/>
    <w:rsid w:val="002455CD"/>
    <w:rsid w:val="00245718"/>
    <w:rsid w:val="00245E07"/>
    <w:rsid w:val="002467F2"/>
    <w:rsid w:val="00246CEC"/>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5F14"/>
    <w:rsid w:val="00256835"/>
    <w:rsid w:val="002569F0"/>
    <w:rsid w:val="00256C01"/>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2E0"/>
    <w:rsid w:val="0026471F"/>
    <w:rsid w:val="0026480D"/>
    <w:rsid w:val="002653A6"/>
    <w:rsid w:val="00265BEF"/>
    <w:rsid w:val="00265C13"/>
    <w:rsid w:val="00265F47"/>
    <w:rsid w:val="002661F1"/>
    <w:rsid w:val="00266DB6"/>
    <w:rsid w:val="00271168"/>
    <w:rsid w:val="002711A4"/>
    <w:rsid w:val="00271230"/>
    <w:rsid w:val="00271F13"/>
    <w:rsid w:val="00272945"/>
    <w:rsid w:val="0027482E"/>
    <w:rsid w:val="00274DB5"/>
    <w:rsid w:val="00275BB1"/>
    <w:rsid w:val="0027770B"/>
    <w:rsid w:val="00277933"/>
    <w:rsid w:val="00277F8D"/>
    <w:rsid w:val="00277FA7"/>
    <w:rsid w:val="00280046"/>
    <w:rsid w:val="00280B4F"/>
    <w:rsid w:val="00280F3D"/>
    <w:rsid w:val="0028106A"/>
    <w:rsid w:val="002816AF"/>
    <w:rsid w:val="00281EB4"/>
    <w:rsid w:val="00282E03"/>
    <w:rsid w:val="0028308E"/>
    <w:rsid w:val="002834E9"/>
    <w:rsid w:val="00283A52"/>
    <w:rsid w:val="00283C5E"/>
    <w:rsid w:val="00283E26"/>
    <w:rsid w:val="0028428F"/>
    <w:rsid w:val="00284CFC"/>
    <w:rsid w:val="00285832"/>
    <w:rsid w:val="00285969"/>
    <w:rsid w:val="00285E14"/>
    <w:rsid w:val="0028663B"/>
    <w:rsid w:val="00286CEC"/>
    <w:rsid w:val="002870F9"/>
    <w:rsid w:val="002871A9"/>
    <w:rsid w:val="00287505"/>
    <w:rsid w:val="00287BDB"/>
    <w:rsid w:val="00290781"/>
    <w:rsid w:val="00291784"/>
    <w:rsid w:val="002919A1"/>
    <w:rsid w:val="002920DF"/>
    <w:rsid w:val="002925F5"/>
    <w:rsid w:val="002928A3"/>
    <w:rsid w:val="002929BB"/>
    <w:rsid w:val="00293DA0"/>
    <w:rsid w:val="00294368"/>
    <w:rsid w:val="00294B78"/>
    <w:rsid w:val="0029501B"/>
    <w:rsid w:val="00295416"/>
    <w:rsid w:val="00295949"/>
    <w:rsid w:val="00295D7C"/>
    <w:rsid w:val="0029624A"/>
    <w:rsid w:val="00296922"/>
    <w:rsid w:val="00296DF4"/>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B1C"/>
    <w:rsid w:val="002A55FE"/>
    <w:rsid w:val="002A6AFB"/>
    <w:rsid w:val="002A733D"/>
    <w:rsid w:val="002A774A"/>
    <w:rsid w:val="002A78F3"/>
    <w:rsid w:val="002A7D84"/>
    <w:rsid w:val="002A7E5C"/>
    <w:rsid w:val="002A7F6D"/>
    <w:rsid w:val="002B0D83"/>
    <w:rsid w:val="002B1342"/>
    <w:rsid w:val="002B1540"/>
    <w:rsid w:val="002B1F83"/>
    <w:rsid w:val="002B27C8"/>
    <w:rsid w:val="002B2A7F"/>
    <w:rsid w:val="002B330B"/>
    <w:rsid w:val="002B39BE"/>
    <w:rsid w:val="002B438C"/>
    <w:rsid w:val="002B48DB"/>
    <w:rsid w:val="002B4B34"/>
    <w:rsid w:val="002B541A"/>
    <w:rsid w:val="002B5DC8"/>
    <w:rsid w:val="002B5EAB"/>
    <w:rsid w:val="002B5F2E"/>
    <w:rsid w:val="002B6407"/>
    <w:rsid w:val="002B6416"/>
    <w:rsid w:val="002B6459"/>
    <w:rsid w:val="002B6F22"/>
    <w:rsid w:val="002B7014"/>
    <w:rsid w:val="002B73B0"/>
    <w:rsid w:val="002B73C7"/>
    <w:rsid w:val="002B7C6A"/>
    <w:rsid w:val="002C24B4"/>
    <w:rsid w:val="002C24E7"/>
    <w:rsid w:val="002C29EA"/>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1555"/>
    <w:rsid w:val="002D19BB"/>
    <w:rsid w:val="002D1A9B"/>
    <w:rsid w:val="002D1D79"/>
    <w:rsid w:val="002D20F8"/>
    <w:rsid w:val="002D22BD"/>
    <w:rsid w:val="002D22C5"/>
    <w:rsid w:val="002D302A"/>
    <w:rsid w:val="002D36C6"/>
    <w:rsid w:val="002D37C1"/>
    <w:rsid w:val="002D444B"/>
    <w:rsid w:val="002D46B4"/>
    <w:rsid w:val="002D49C2"/>
    <w:rsid w:val="002D4A45"/>
    <w:rsid w:val="002D4B42"/>
    <w:rsid w:val="002D4B43"/>
    <w:rsid w:val="002D5A1B"/>
    <w:rsid w:val="002D6558"/>
    <w:rsid w:val="002D65BC"/>
    <w:rsid w:val="002D6A88"/>
    <w:rsid w:val="002D6C30"/>
    <w:rsid w:val="002D7FEE"/>
    <w:rsid w:val="002E055C"/>
    <w:rsid w:val="002E1050"/>
    <w:rsid w:val="002E107E"/>
    <w:rsid w:val="002E18E5"/>
    <w:rsid w:val="002E1953"/>
    <w:rsid w:val="002E2C3F"/>
    <w:rsid w:val="002E2CB5"/>
    <w:rsid w:val="002E2CDE"/>
    <w:rsid w:val="002E2D7D"/>
    <w:rsid w:val="002E32D0"/>
    <w:rsid w:val="002E3580"/>
    <w:rsid w:val="002E3913"/>
    <w:rsid w:val="002E3D76"/>
    <w:rsid w:val="002E40A1"/>
    <w:rsid w:val="002E48EC"/>
    <w:rsid w:val="002E4B44"/>
    <w:rsid w:val="002E4ECB"/>
    <w:rsid w:val="002E4F23"/>
    <w:rsid w:val="002E635A"/>
    <w:rsid w:val="002E6D68"/>
    <w:rsid w:val="002E6E2B"/>
    <w:rsid w:val="002E7847"/>
    <w:rsid w:val="002E79FB"/>
    <w:rsid w:val="002F0073"/>
    <w:rsid w:val="002F1C67"/>
    <w:rsid w:val="002F1CA3"/>
    <w:rsid w:val="002F240B"/>
    <w:rsid w:val="002F2F50"/>
    <w:rsid w:val="002F33EC"/>
    <w:rsid w:val="002F34E3"/>
    <w:rsid w:val="002F3601"/>
    <w:rsid w:val="002F40E2"/>
    <w:rsid w:val="002F45F6"/>
    <w:rsid w:val="002F5A6F"/>
    <w:rsid w:val="002F692F"/>
    <w:rsid w:val="002F7031"/>
    <w:rsid w:val="002F7961"/>
    <w:rsid w:val="002F7B66"/>
    <w:rsid w:val="003007B6"/>
    <w:rsid w:val="00300A52"/>
    <w:rsid w:val="00300CB4"/>
    <w:rsid w:val="00300E24"/>
    <w:rsid w:val="0030248C"/>
    <w:rsid w:val="0030257B"/>
    <w:rsid w:val="00303105"/>
    <w:rsid w:val="003033BA"/>
    <w:rsid w:val="00303C19"/>
    <w:rsid w:val="00303DFA"/>
    <w:rsid w:val="0030415A"/>
    <w:rsid w:val="003043A3"/>
    <w:rsid w:val="0030462D"/>
    <w:rsid w:val="003047E3"/>
    <w:rsid w:val="00304BD4"/>
    <w:rsid w:val="0030500A"/>
    <w:rsid w:val="003052EB"/>
    <w:rsid w:val="00305AF1"/>
    <w:rsid w:val="00305FCB"/>
    <w:rsid w:val="003063C3"/>
    <w:rsid w:val="003069DC"/>
    <w:rsid w:val="00306B44"/>
    <w:rsid w:val="00307C44"/>
    <w:rsid w:val="0031088E"/>
    <w:rsid w:val="00310D01"/>
    <w:rsid w:val="00311376"/>
    <w:rsid w:val="00311A1F"/>
    <w:rsid w:val="00311B47"/>
    <w:rsid w:val="00311D52"/>
    <w:rsid w:val="00312190"/>
    <w:rsid w:val="003125E0"/>
    <w:rsid w:val="0031271D"/>
    <w:rsid w:val="00312B50"/>
    <w:rsid w:val="003132BB"/>
    <w:rsid w:val="00313337"/>
    <w:rsid w:val="00313447"/>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4EAD"/>
    <w:rsid w:val="003251A8"/>
    <w:rsid w:val="003254B1"/>
    <w:rsid w:val="00325AD9"/>
    <w:rsid w:val="00325D98"/>
    <w:rsid w:val="0032682A"/>
    <w:rsid w:val="00327A5C"/>
    <w:rsid w:val="0033092C"/>
    <w:rsid w:val="00330EEF"/>
    <w:rsid w:val="0033122A"/>
    <w:rsid w:val="003315AC"/>
    <w:rsid w:val="00331932"/>
    <w:rsid w:val="00331F74"/>
    <w:rsid w:val="00332382"/>
    <w:rsid w:val="00332453"/>
    <w:rsid w:val="0033251B"/>
    <w:rsid w:val="00333A88"/>
    <w:rsid w:val="00335B15"/>
    <w:rsid w:val="00335B21"/>
    <w:rsid w:val="00335D3F"/>
    <w:rsid w:val="00336104"/>
    <w:rsid w:val="003364E6"/>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35D"/>
    <w:rsid w:val="00344760"/>
    <w:rsid w:val="003454E8"/>
    <w:rsid w:val="00345574"/>
    <w:rsid w:val="003461AC"/>
    <w:rsid w:val="0034680A"/>
    <w:rsid w:val="00346C62"/>
    <w:rsid w:val="00347202"/>
    <w:rsid w:val="0034778E"/>
    <w:rsid w:val="00347A5A"/>
    <w:rsid w:val="003501E2"/>
    <w:rsid w:val="00351591"/>
    <w:rsid w:val="00351E10"/>
    <w:rsid w:val="00352583"/>
    <w:rsid w:val="003533F4"/>
    <w:rsid w:val="003536F6"/>
    <w:rsid w:val="00353C59"/>
    <w:rsid w:val="00353DA6"/>
    <w:rsid w:val="00353DD5"/>
    <w:rsid w:val="00355131"/>
    <w:rsid w:val="003555F9"/>
    <w:rsid w:val="00355F74"/>
    <w:rsid w:val="003560DB"/>
    <w:rsid w:val="003564DB"/>
    <w:rsid w:val="00356F87"/>
    <w:rsid w:val="00357E83"/>
    <w:rsid w:val="00360CF3"/>
    <w:rsid w:val="003616AB"/>
    <w:rsid w:val="0036194D"/>
    <w:rsid w:val="00361A59"/>
    <w:rsid w:val="00362B7D"/>
    <w:rsid w:val="00363348"/>
    <w:rsid w:val="00363857"/>
    <w:rsid w:val="00363D59"/>
    <w:rsid w:val="003640F7"/>
    <w:rsid w:val="0036594A"/>
    <w:rsid w:val="00365D3A"/>
    <w:rsid w:val="003664FF"/>
    <w:rsid w:val="00366BD2"/>
    <w:rsid w:val="003670B8"/>
    <w:rsid w:val="003704A3"/>
    <w:rsid w:val="003706F2"/>
    <w:rsid w:val="0037091B"/>
    <w:rsid w:val="0037124F"/>
    <w:rsid w:val="003722F0"/>
    <w:rsid w:val="00372AED"/>
    <w:rsid w:val="00373827"/>
    <w:rsid w:val="0037401C"/>
    <w:rsid w:val="0037507B"/>
    <w:rsid w:val="00375A41"/>
    <w:rsid w:val="00375C7C"/>
    <w:rsid w:val="00377027"/>
    <w:rsid w:val="00377135"/>
    <w:rsid w:val="00380272"/>
    <w:rsid w:val="003805DB"/>
    <w:rsid w:val="0038152A"/>
    <w:rsid w:val="00382BAD"/>
    <w:rsid w:val="00383579"/>
    <w:rsid w:val="003835FD"/>
    <w:rsid w:val="00384DF1"/>
    <w:rsid w:val="00384FF3"/>
    <w:rsid w:val="00385FD2"/>
    <w:rsid w:val="00386456"/>
    <w:rsid w:val="003865A9"/>
    <w:rsid w:val="0039092B"/>
    <w:rsid w:val="00390BD9"/>
    <w:rsid w:val="00390F32"/>
    <w:rsid w:val="00391285"/>
    <w:rsid w:val="0039135E"/>
    <w:rsid w:val="003924A4"/>
    <w:rsid w:val="0039285D"/>
    <w:rsid w:val="0039319C"/>
    <w:rsid w:val="00393577"/>
    <w:rsid w:val="00393CAE"/>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851"/>
    <w:rsid w:val="003A3907"/>
    <w:rsid w:val="003A39DD"/>
    <w:rsid w:val="003A40DB"/>
    <w:rsid w:val="003A4199"/>
    <w:rsid w:val="003A41C5"/>
    <w:rsid w:val="003A4841"/>
    <w:rsid w:val="003A4A8E"/>
    <w:rsid w:val="003A563C"/>
    <w:rsid w:val="003A581E"/>
    <w:rsid w:val="003A6160"/>
    <w:rsid w:val="003A65A5"/>
    <w:rsid w:val="003A72F5"/>
    <w:rsid w:val="003A78E5"/>
    <w:rsid w:val="003B0341"/>
    <w:rsid w:val="003B10C7"/>
    <w:rsid w:val="003B1961"/>
    <w:rsid w:val="003B1E57"/>
    <w:rsid w:val="003B2EF3"/>
    <w:rsid w:val="003B4C61"/>
    <w:rsid w:val="003B534F"/>
    <w:rsid w:val="003B5391"/>
    <w:rsid w:val="003B570B"/>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E8A"/>
    <w:rsid w:val="003C622C"/>
    <w:rsid w:val="003C6505"/>
    <w:rsid w:val="003C73C7"/>
    <w:rsid w:val="003C7CFB"/>
    <w:rsid w:val="003D050B"/>
    <w:rsid w:val="003D0B98"/>
    <w:rsid w:val="003D0C3C"/>
    <w:rsid w:val="003D0DE5"/>
    <w:rsid w:val="003D1351"/>
    <w:rsid w:val="003D1795"/>
    <w:rsid w:val="003D21C1"/>
    <w:rsid w:val="003D23FE"/>
    <w:rsid w:val="003D3A3A"/>
    <w:rsid w:val="003D3B15"/>
    <w:rsid w:val="003D3B2E"/>
    <w:rsid w:val="003D4101"/>
    <w:rsid w:val="003D484D"/>
    <w:rsid w:val="003D49CB"/>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3D8A"/>
    <w:rsid w:val="003F4599"/>
    <w:rsid w:val="003F45E1"/>
    <w:rsid w:val="003F4F6C"/>
    <w:rsid w:val="003F559E"/>
    <w:rsid w:val="003F6181"/>
    <w:rsid w:val="003F6BFC"/>
    <w:rsid w:val="003F6EAE"/>
    <w:rsid w:val="003F7343"/>
    <w:rsid w:val="003F7400"/>
    <w:rsid w:val="00400002"/>
    <w:rsid w:val="00400054"/>
    <w:rsid w:val="004016A3"/>
    <w:rsid w:val="00401B31"/>
    <w:rsid w:val="0040202B"/>
    <w:rsid w:val="00402B7F"/>
    <w:rsid w:val="00402DE1"/>
    <w:rsid w:val="00402EEB"/>
    <w:rsid w:val="004037C2"/>
    <w:rsid w:val="00404041"/>
    <w:rsid w:val="004040D4"/>
    <w:rsid w:val="00404AA8"/>
    <w:rsid w:val="00404B43"/>
    <w:rsid w:val="00404C61"/>
    <w:rsid w:val="00405487"/>
    <w:rsid w:val="00405B8A"/>
    <w:rsid w:val="00405E87"/>
    <w:rsid w:val="00406000"/>
    <w:rsid w:val="0040602B"/>
    <w:rsid w:val="0040606C"/>
    <w:rsid w:val="004060DC"/>
    <w:rsid w:val="004064D7"/>
    <w:rsid w:val="00406DF5"/>
    <w:rsid w:val="00406F35"/>
    <w:rsid w:val="004077D0"/>
    <w:rsid w:val="00407A7A"/>
    <w:rsid w:val="00407ABC"/>
    <w:rsid w:val="00407F1E"/>
    <w:rsid w:val="00410A88"/>
    <w:rsid w:val="00410CC8"/>
    <w:rsid w:val="00411317"/>
    <w:rsid w:val="00411692"/>
    <w:rsid w:val="00411A9E"/>
    <w:rsid w:val="0041259F"/>
    <w:rsid w:val="00412B1B"/>
    <w:rsid w:val="00412B4D"/>
    <w:rsid w:val="00412C51"/>
    <w:rsid w:val="00412E19"/>
    <w:rsid w:val="00413262"/>
    <w:rsid w:val="0041329C"/>
    <w:rsid w:val="004139F4"/>
    <w:rsid w:val="00413FFA"/>
    <w:rsid w:val="00414246"/>
    <w:rsid w:val="00414452"/>
    <w:rsid w:val="004146FF"/>
    <w:rsid w:val="00414D9A"/>
    <w:rsid w:val="00415194"/>
    <w:rsid w:val="00415816"/>
    <w:rsid w:val="00415B88"/>
    <w:rsid w:val="00415D32"/>
    <w:rsid w:val="004160A2"/>
    <w:rsid w:val="0041674B"/>
    <w:rsid w:val="004170D7"/>
    <w:rsid w:val="004177A6"/>
    <w:rsid w:val="00417AC7"/>
    <w:rsid w:val="00417C23"/>
    <w:rsid w:val="00417EFD"/>
    <w:rsid w:val="004200EE"/>
    <w:rsid w:val="00420786"/>
    <w:rsid w:val="004209D2"/>
    <w:rsid w:val="00420D6E"/>
    <w:rsid w:val="0042158C"/>
    <w:rsid w:val="00421617"/>
    <w:rsid w:val="00421BD2"/>
    <w:rsid w:val="00421E00"/>
    <w:rsid w:val="00421FCB"/>
    <w:rsid w:val="00422117"/>
    <w:rsid w:val="00422DCA"/>
    <w:rsid w:val="00423D04"/>
    <w:rsid w:val="00423F9F"/>
    <w:rsid w:val="00424602"/>
    <w:rsid w:val="00425C43"/>
    <w:rsid w:val="004273FA"/>
    <w:rsid w:val="004275A7"/>
    <w:rsid w:val="00430186"/>
    <w:rsid w:val="00430F17"/>
    <w:rsid w:val="00430F7D"/>
    <w:rsid w:val="0043260C"/>
    <w:rsid w:val="0043269A"/>
    <w:rsid w:val="004333C2"/>
    <w:rsid w:val="00434787"/>
    <w:rsid w:val="00434C13"/>
    <w:rsid w:val="00434D8B"/>
    <w:rsid w:val="00435703"/>
    <w:rsid w:val="00435BD5"/>
    <w:rsid w:val="00436323"/>
    <w:rsid w:val="0043683F"/>
    <w:rsid w:val="00436B4C"/>
    <w:rsid w:val="00436F40"/>
    <w:rsid w:val="004370FA"/>
    <w:rsid w:val="00440096"/>
    <w:rsid w:val="004403DD"/>
    <w:rsid w:val="00440CF3"/>
    <w:rsid w:val="00440DB0"/>
    <w:rsid w:val="00440DDC"/>
    <w:rsid w:val="00440FAD"/>
    <w:rsid w:val="00441291"/>
    <w:rsid w:val="00441BD1"/>
    <w:rsid w:val="00441C68"/>
    <w:rsid w:val="00441E04"/>
    <w:rsid w:val="004420AB"/>
    <w:rsid w:val="004422D6"/>
    <w:rsid w:val="004427AC"/>
    <w:rsid w:val="00442AFD"/>
    <w:rsid w:val="00442C7D"/>
    <w:rsid w:val="00442D13"/>
    <w:rsid w:val="00442D4D"/>
    <w:rsid w:val="0044374D"/>
    <w:rsid w:val="00443B55"/>
    <w:rsid w:val="00443D27"/>
    <w:rsid w:val="0044500B"/>
    <w:rsid w:val="00446037"/>
    <w:rsid w:val="00446270"/>
    <w:rsid w:val="004462FD"/>
    <w:rsid w:val="0044642F"/>
    <w:rsid w:val="0044742D"/>
    <w:rsid w:val="0044772C"/>
    <w:rsid w:val="004503A3"/>
    <w:rsid w:val="00450846"/>
    <w:rsid w:val="00451A52"/>
    <w:rsid w:val="0045271D"/>
    <w:rsid w:val="00452755"/>
    <w:rsid w:val="00452803"/>
    <w:rsid w:val="004529C6"/>
    <w:rsid w:val="00452EAD"/>
    <w:rsid w:val="004533D1"/>
    <w:rsid w:val="004534D1"/>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6EF0"/>
    <w:rsid w:val="00457031"/>
    <w:rsid w:val="0046002B"/>
    <w:rsid w:val="00460915"/>
    <w:rsid w:val="00460946"/>
    <w:rsid w:val="004614A9"/>
    <w:rsid w:val="00461841"/>
    <w:rsid w:val="00461D5F"/>
    <w:rsid w:val="00461E97"/>
    <w:rsid w:val="0046268F"/>
    <w:rsid w:val="0046284F"/>
    <w:rsid w:val="00462B10"/>
    <w:rsid w:val="00462C04"/>
    <w:rsid w:val="0046320A"/>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34CF"/>
    <w:rsid w:val="0047586C"/>
    <w:rsid w:val="00475C5A"/>
    <w:rsid w:val="00475C9C"/>
    <w:rsid w:val="0047676B"/>
    <w:rsid w:val="0047773C"/>
    <w:rsid w:val="00477C5F"/>
    <w:rsid w:val="00480050"/>
    <w:rsid w:val="0048011C"/>
    <w:rsid w:val="004808DE"/>
    <w:rsid w:val="00481AC4"/>
    <w:rsid w:val="00481DC1"/>
    <w:rsid w:val="00482507"/>
    <w:rsid w:val="0048268A"/>
    <w:rsid w:val="004835CA"/>
    <w:rsid w:val="004836F8"/>
    <w:rsid w:val="004836FE"/>
    <w:rsid w:val="00484A39"/>
    <w:rsid w:val="00484F0F"/>
    <w:rsid w:val="00484F40"/>
    <w:rsid w:val="0048540C"/>
    <w:rsid w:val="00485EE3"/>
    <w:rsid w:val="004861B4"/>
    <w:rsid w:val="00486226"/>
    <w:rsid w:val="00486BD0"/>
    <w:rsid w:val="00486D00"/>
    <w:rsid w:val="00486FF7"/>
    <w:rsid w:val="00487263"/>
    <w:rsid w:val="0048727E"/>
    <w:rsid w:val="0048734F"/>
    <w:rsid w:val="004874E6"/>
    <w:rsid w:val="00487EC1"/>
    <w:rsid w:val="0049029D"/>
    <w:rsid w:val="0049030C"/>
    <w:rsid w:val="004903C0"/>
    <w:rsid w:val="00490F15"/>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03"/>
    <w:rsid w:val="00496786"/>
    <w:rsid w:val="0049695B"/>
    <w:rsid w:val="00496D8F"/>
    <w:rsid w:val="00497463"/>
    <w:rsid w:val="004A054C"/>
    <w:rsid w:val="004A08D1"/>
    <w:rsid w:val="004A156E"/>
    <w:rsid w:val="004A16C1"/>
    <w:rsid w:val="004A1CE2"/>
    <w:rsid w:val="004A34D2"/>
    <w:rsid w:val="004A4301"/>
    <w:rsid w:val="004A4D93"/>
    <w:rsid w:val="004A58EE"/>
    <w:rsid w:val="004A59B7"/>
    <w:rsid w:val="004A6051"/>
    <w:rsid w:val="004A623B"/>
    <w:rsid w:val="004A6A04"/>
    <w:rsid w:val="004A6A52"/>
    <w:rsid w:val="004A70C4"/>
    <w:rsid w:val="004B0A44"/>
    <w:rsid w:val="004B0F0B"/>
    <w:rsid w:val="004B2197"/>
    <w:rsid w:val="004B298A"/>
    <w:rsid w:val="004B2BB8"/>
    <w:rsid w:val="004B3996"/>
    <w:rsid w:val="004B4C8E"/>
    <w:rsid w:val="004B50CB"/>
    <w:rsid w:val="004B578D"/>
    <w:rsid w:val="004B5BE7"/>
    <w:rsid w:val="004B5E2D"/>
    <w:rsid w:val="004B65BE"/>
    <w:rsid w:val="004B666E"/>
    <w:rsid w:val="004B6C07"/>
    <w:rsid w:val="004B74D3"/>
    <w:rsid w:val="004B755E"/>
    <w:rsid w:val="004B788E"/>
    <w:rsid w:val="004B7E5D"/>
    <w:rsid w:val="004C0E8C"/>
    <w:rsid w:val="004C22F7"/>
    <w:rsid w:val="004C2A33"/>
    <w:rsid w:val="004C2B27"/>
    <w:rsid w:val="004C3929"/>
    <w:rsid w:val="004C5212"/>
    <w:rsid w:val="004C5EF0"/>
    <w:rsid w:val="004C64C9"/>
    <w:rsid w:val="004C7226"/>
    <w:rsid w:val="004C74C9"/>
    <w:rsid w:val="004C7915"/>
    <w:rsid w:val="004C7D70"/>
    <w:rsid w:val="004D02F9"/>
    <w:rsid w:val="004D03FE"/>
    <w:rsid w:val="004D0438"/>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6F69"/>
    <w:rsid w:val="004E023F"/>
    <w:rsid w:val="004E0546"/>
    <w:rsid w:val="004E0742"/>
    <w:rsid w:val="004E0C64"/>
    <w:rsid w:val="004E0F6B"/>
    <w:rsid w:val="004E1545"/>
    <w:rsid w:val="004E1F1C"/>
    <w:rsid w:val="004E2A35"/>
    <w:rsid w:val="004E2CCF"/>
    <w:rsid w:val="004E34CF"/>
    <w:rsid w:val="004E3B71"/>
    <w:rsid w:val="004E3BD6"/>
    <w:rsid w:val="004E40CE"/>
    <w:rsid w:val="004E5736"/>
    <w:rsid w:val="004E5A3C"/>
    <w:rsid w:val="004E5B36"/>
    <w:rsid w:val="004E5D5D"/>
    <w:rsid w:val="004E6045"/>
    <w:rsid w:val="004E6F43"/>
    <w:rsid w:val="004E713E"/>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6A9"/>
    <w:rsid w:val="004F7AC9"/>
    <w:rsid w:val="0050062F"/>
    <w:rsid w:val="00500E74"/>
    <w:rsid w:val="0050160F"/>
    <w:rsid w:val="0050284E"/>
    <w:rsid w:val="0050306F"/>
    <w:rsid w:val="00503EA9"/>
    <w:rsid w:val="00503FC1"/>
    <w:rsid w:val="005052B0"/>
    <w:rsid w:val="00505DCB"/>
    <w:rsid w:val="00506800"/>
    <w:rsid w:val="005075CA"/>
    <w:rsid w:val="00507B06"/>
    <w:rsid w:val="00507BF1"/>
    <w:rsid w:val="0051074C"/>
    <w:rsid w:val="00510DE9"/>
    <w:rsid w:val="005111E2"/>
    <w:rsid w:val="00511231"/>
    <w:rsid w:val="00512B88"/>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2BF"/>
    <w:rsid w:val="00520899"/>
    <w:rsid w:val="00520922"/>
    <w:rsid w:val="005209FC"/>
    <w:rsid w:val="00520C09"/>
    <w:rsid w:val="00521A30"/>
    <w:rsid w:val="00521D7C"/>
    <w:rsid w:val="00521F5F"/>
    <w:rsid w:val="005224E5"/>
    <w:rsid w:val="005226EE"/>
    <w:rsid w:val="00523903"/>
    <w:rsid w:val="005239B6"/>
    <w:rsid w:val="00523C45"/>
    <w:rsid w:val="00523F41"/>
    <w:rsid w:val="00524165"/>
    <w:rsid w:val="00524215"/>
    <w:rsid w:val="005246E7"/>
    <w:rsid w:val="00524B08"/>
    <w:rsid w:val="00524C38"/>
    <w:rsid w:val="00524FD2"/>
    <w:rsid w:val="00525621"/>
    <w:rsid w:val="00526431"/>
    <w:rsid w:val="0052647A"/>
    <w:rsid w:val="00527532"/>
    <w:rsid w:val="00527DEB"/>
    <w:rsid w:val="00527E57"/>
    <w:rsid w:val="00527F2C"/>
    <w:rsid w:val="00530405"/>
    <w:rsid w:val="00530522"/>
    <w:rsid w:val="005305E5"/>
    <w:rsid w:val="0053086F"/>
    <w:rsid w:val="00530CBA"/>
    <w:rsid w:val="00530F38"/>
    <w:rsid w:val="00531F26"/>
    <w:rsid w:val="0053277C"/>
    <w:rsid w:val="005327C0"/>
    <w:rsid w:val="0053289E"/>
    <w:rsid w:val="00533101"/>
    <w:rsid w:val="00533CA9"/>
    <w:rsid w:val="005346AD"/>
    <w:rsid w:val="00534EFB"/>
    <w:rsid w:val="00534F60"/>
    <w:rsid w:val="005357F1"/>
    <w:rsid w:val="00535D15"/>
    <w:rsid w:val="00536053"/>
    <w:rsid w:val="005369E6"/>
    <w:rsid w:val="005371AC"/>
    <w:rsid w:val="00537672"/>
    <w:rsid w:val="005376B5"/>
    <w:rsid w:val="0053772F"/>
    <w:rsid w:val="00537A70"/>
    <w:rsid w:val="00537B64"/>
    <w:rsid w:val="00537B77"/>
    <w:rsid w:val="00540C4C"/>
    <w:rsid w:val="00541469"/>
    <w:rsid w:val="00541571"/>
    <w:rsid w:val="0054182C"/>
    <w:rsid w:val="00541B1F"/>
    <w:rsid w:val="0054275A"/>
    <w:rsid w:val="005428B8"/>
    <w:rsid w:val="005428BE"/>
    <w:rsid w:val="00542BD7"/>
    <w:rsid w:val="00543084"/>
    <w:rsid w:val="00543584"/>
    <w:rsid w:val="00543A9E"/>
    <w:rsid w:val="0054413A"/>
    <w:rsid w:val="00544288"/>
    <w:rsid w:val="005446BB"/>
    <w:rsid w:val="00544D65"/>
    <w:rsid w:val="00544DA5"/>
    <w:rsid w:val="00544F43"/>
    <w:rsid w:val="0054511F"/>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426D"/>
    <w:rsid w:val="00554D57"/>
    <w:rsid w:val="00554F29"/>
    <w:rsid w:val="005551AA"/>
    <w:rsid w:val="005564CA"/>
    <w:rsid w:val="005568BD"/>
    <w:rsid w:val="005568EA"/>
    <w:rsid w:val="00557140"/>
    <w:rsid w:val="0055715A"/>
    <w:rsid w:val="0055729E"/>
    <w:rsid w:val="00557984"/>
    <w:rsid w:val="00557A3F"/>
    <w:rsid w:val="005601BE"/>
    <w:rsid w:val="005608B4"/>
    <w:rsid w:val="00560C87"/>
    <w:rsid w:val="00560F51"/>
    <w:rsid w:val="00561249"/>
    <w:rsid w:val="0056182B"/>
    <w:rsid w:val="00561A88"/>
    <w:rsid w:val="00561AF3"/>
    <w:rsid w:val="00561E0B"/>
    <w:rsid w:val="00562141"/>
    <w:rsid w:val="00562D86"/>
    <w:rsid w:val="005640CA"/>
    <w:rsid w:val="00564704"/>
    <w:rsid w:val="00564712"/>
    <w:rsid w:val="00564FC1"/>
    <w:rsid w:val="005657A8"/>
    <w:rsid w:val="00565952"/>
    <w:rsid w:val="00566866"/>
    <w:rsid w:val="00566CDE"/>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BA3"/>
    <w:rsid w:val="005746DE"/>
    <w:rsid w:val="00574708"/>
    <w:rsid w:val="00574D81"/>
    <w:rsid w:val="005756AA"/>
    <w:rsid w:val="0057696F"/>
    <w:rsid w:val="005774FE"/>
    <w:rsid w:val="0058040C"/>
    <w:rsid w:val="00580D6D"/>
    <w:rsid w:val="00580FD8"/>
    <w:rsid w:val="005813DE"/>
    <w:rsid w:val="00581796"/>
    <w:rsid w:val="00581B45"/>
    <w:rsid w:val="00582480"/>
    <w:rsid w:val="00582805"/>
    <w:rsid w:val="0058290E"/>
    <w:rsid w:val="00582CAB"/>
    <w:rsid w:val="00582FA6"/>
    <w:rsid w:val="005833EC"/>
    <w:rsid w:val="005836D5"/>
    <w:rsid w:val="0058375E"/>
    <w:rsid w:val="00584233"/>
    <w:rsid w:val="005842A0"/>
    <w:rsid w:val="005842D0"/>
    <w:rsid w:val="005845FB"/>
    <w:rsid w:val="005855AE"/>
    <w:rsid w:val="00585829"/>
    <w:rsid w:val="00585CA8"/>
    <w:rsid w:val="00585DC0"/>
    <w:rsid w:val="00586412"/>
    <w:rsid w:val="005864B9"/>
    <w:rsid w:val="005866C4"/>
    <w:rsid w:val="00590EDE"/>
    <w:rsid w:val="00590F1A"/>
    <w:rsid w:val="00591070"/>
    <w:rsid w:val="00591C03"/>
    <w:rsid w:val="00591E2A"/>
    <w:rsid w:val="005923C4"/>
    <w:rsid w:val="00592B6F"/>
    <w:rsid w:val="00593EA2"/>
    <w:rsid w:val="00593F75"/>
    <w:rsid w:val="005940A0"/>
    <w:rsid w:val="0059429A"/>
    <w:rsid w:val="0059455B"/>
    <w:rsid w:val="00594CBE"/>
    <w:rsid w:val="0059508E"/>
    <w:rsid w:val="00595B12"/>
    <w:rsid w:val="00596AF7"/>
    <w:rsid w:val="00596CCE"/>
    <w:rsid w:val="00596E37"/>
    <w:rsid w:val="005A094C"/>
    <w:rsid w:val="005A1976"/>
    <w:rsid w:val="005A2120"/>
    <w:rsid w:val="005A2501"/>
    <w:rsid w:val="005A2C80"/>
    <w:rsid w:val="005A3066"/>
    <w:rsid w:val="005A38E2"/>
    <w:rsid w:val="005A3B35"/>
    <w:rsid w:val="005A3C4B"/>
    <w:rsid w:val="005A3E5A"/>
    <w:rsid w:val="005A43F3"/>
    <w:rsid w:val="005A496F"/>
    <w:rsid w:val="005A4A56"/>
    <w:rsid w:val="005A4DC2"/>
    <w:rsid w:val="005A5608"/>
    <w:rsid w:val="005A5A3D"/>
    <w:rsid w:val="005A6035"/>
    <w:rsid w:val="005A60BF"/>
    <w:rsid w:val="005A6B75"/>
    <w:rsid w:val="005A6E00"/>
    <w:rsid w:val="005A718A"/>
    <w:rsid w:val="005A7418"/>
    <w:rsid w:val="005A7885"/>
    <w:rsid w:val="005B12B2"/>
    <w:rsid w:val="005B143B"/>
    <w:rsid w:val="005B19BD"/>
    <w:rsid w:val="005B1E45"/>
    <w:rsid w:val="005B21C4"/>
    <w:rsid w:val="005B2A28"/>
    <w:rsid w:val="005B35AB"/>
    <w:rsid w:val="005B3621"/>
    <w:rsid w:val="005B3EBE"/>
    <w:rsid w:val="005B4948"/>
    <w:rsid w:val="005B4FF1"/>
    <w:rsid w:val="005B501D"/>
    <w:rsid w:val="005B54CC"/>
    <w:rsid w:val="005B6D72"/>
    <w:rsid w:val="005B71BB"/>
    <w:rsid w:val="005B74AD"/>
    <w:rsid w:val="005B7E96"/>
    <w:rsid w:val="005C0429"/>
    <w:rsid w:val="005C084F"/>
    <w:rsid w:val="005C0EE9"/>
    <w:rsid w:val="005C16A8"/>
    <w:rsid w:val="005C1716"/>
    <w:rsid w:val="005C1954"/>
    <w:rsid w:val="005C1C0B"/>
    <w:rsid w:val="005C2011"/>
    <w:rsid w:val="005C3EA3"/>
    <w:rsid w:val="005C44DE"/>
    <w:rsid w:val="005C4588"/>
    <w:rsid w:val="005C5011"/>
    <w:rsid w:val="005C5241"/>
    <w:rsid w:val="005C529E"/>
    <w:rsid w:val="005C57BA"/>
    <w:rsid w:val="005C5C52"/>
    <w:rsid w:val="005C5D3D"/>
    <w:rsid w:val="005C5F05"/>
    <w:rsid w:val="005C6186"/>
    <w:rsid w:val="005C7E45"/>
    <w:rsid w:val="005C7F3E"/>
    <w:rsid w:val="005D06D3"/>
    <w:rsid w:val="005D0C3B"/>
    <w:rsid w:val="005D1051"/>
    <w:rsid w:val="005D1606"/>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7F2"/>
    <w:rsid w:val="005D791B"/>
    <w:rsid w:val="005D7CF2"/>
    <w:rsid w:val="005D7F92"/>
    <w:rsid w:val="005E062C"/>
    <w:rsid w:val="005E0D7B"/>
    <w:rsid w:val="005E1595"/>
    <w:rsid w:val="005E1895"/>
    <w:rsid w:val="005E18E0"/>
    <w:rsid w:val="005E1F1D"/>
    <w:rsid w:val="005E20FE"/>
    <w:rsid w:val="005E2423"/>
    <w:rsid w:val="005E273D"/>
    <w:rsid w:val="005E29AC"/>
    <w:rsid w:val="005E3278"/>
    <w:rsid w:val="005E363B"/>
    <w:rsid w:val="005E3736"/>
    <w:rsid w:val="005E3B29"/>
    <w:rsid w:val="005E4B72"/>
    <w:rsid w:val="005E52C9"/>
    <w:rsid w:val="005E6398"/>
    <w:rsid w:val="005E681E"/>
    <w:rsid w:val="005F2D8B"/>
    <w:rsid w:val="005F305B"/>
    <w:rsid w:val="005F3361"/>
    <w:rsid w:val="005F3B47"/>
    <w:rsid w:val="005F3C4B"/>
    <w:rsid w:val="005F4481"/>
    <w:rsid w:val="005F47AC"/>
    <w:rsid w:val="005F49AF"/>
    <w:rsid w:val="005F4A50"/>
    <w:rsid w:val="005F4A58"/>
    <w:rsid w:val="005F54DF"/>
    <w:rsid w:val="005F5888"/>
    <w:rsid w:val="005F5984"/>
    <w:rsid w:val="005F5EAB"/>
    <w:rsid w:val="005F6CE2"/>
    <w:rsid w:val="005F6EC8"/>
    <w:rsid w:val="005F6F24"/>
    <w:rsid w:val="005F72E9"/>
    <w:rsid w:val="005F780B"/>
    <w:rsid w:val="00600473"/>
    <w:rsid w:val="0060139A"/>
    <w:rsid w:val="006013C9"/>
    <w:rsid w:val="00602931"/>
    <w:rsid w:val="00602B45"/>
    <w:rsid w:val="0060304F"/>
    <w:rsid w:val="006030B7"/>
    <w:rsid w:val="00603499"/>
    <w:rsid w:val="006035F5"/>
    <w:rsid w:val="00603CC2"/>
    <w:rsid w:val="006047D1"/>
    <w:rsid w:val="006048A4"/>
    <w:rsid w:val="00604A55"/>
    <w:rsid w:val="00604D4E"/>
    <w:rsid w:val="00604E3E"/>
    <w:rsid w:val="00605AC3"/>
    <w:rsid w:val="00606908"/>
    <w:rsid w:val="00607996"/>
    <w:rsid w:val="00607A37"/>
    <w:rsid w:val="00607E9F"/>
    <w:rsid w:val="0061085E"/>
    <w:rsid w:val="00611398"/>
    <w:rsid w:val="006113B4"/>
    <w:rsid w:val="0061186D"/>
    <w:rsid w:val="00612322"/>
    <w:rsid w:val="006123C0"/>
    <w:rsid w:val="00613191"/>
    <w:rsid w:val="006133F9"/>
    <w:rsid w:val="006134B3"/>
    <w:rsid w:val="00613DE1"/>
    <w:rsid w:val="0061401F"/>
    <w:rsid w:val="00614166"/>
    <w:rsid w:val="00614176"/>
    <w:rsid w:val="00614817"/>
    <w:rsid w:val="006149CC"/>
    <w:rsid w:val="006157A9"/>
    <w:rsid w:val="0061591D"/>
    <w:rsid w:val="00615ED0"/>
    <w:rsid w:val="0061604C"/>
    <w:rsid w:val="00616C2B"/>
    <w:rsid w:val="00616D7F"/>
    <w:rsid w:val="006178D1"/>
    <w:rsid w:val="00620719"/>
    <w:rsid w:val="006212C9"/>
    <w:rsid w:val="00621D0C"/>
    <w:rsid w:val="00621E89"/>
    <w:rsid w:val="00622229"/>
    <w:rsid w:val="00622470"/>
    <w:rsid w:val="00622725"/>
    <w:rsid w:val="00622B63"/>
    <w:rsid w:val="00622E4B"/>
    <w:rsid w:val="006231AA"/>
    <w:rsid w:val="00623482"/>
    <w:rsid w:val="00623AC2"/>
    <w:rsid w:val="00623EBC"/>
    <w:rsid w:val="00624A8E"/>
    <w:rsid w:val="00625642"/>
    <w:rsid w:val="00625DF2"/>
    <w:rsid w:val="006266D7"/>
    <w:rsid w:val="0062691F"/>
    <w:rsid w:val="00626D42"/>
    <w:rsid w:val="00626EE3"/>
    <w:rsid w:val="006274AD"/>
    <w:rsid w:val="00627519"/>
    <w:rsid w:val="00627532"/>
    <w:rsid w:val="006302AA"/>
    <w:rsid w:val="006310C3"/>
    <w:rsid w:val="00631221"/>
    <w:rsid w:val="0063161E"/>
    <w:rsid w:val="00631BB5"/>
    <w:rsid w:val="00631DCA"/>
    <w:rsid w:val="00631DD0"/>
    <w:rsid w:val="00632B46"/>
    <w:rsid w:val="00633B54"/>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0A06"/>
    <w:rsid w:val="00640E88"/>
    <w:rsid w:val="00641078"/>
    <w:rsid w:val="00641242"/>
    <w:rsid w:val="00642126"/>
    <w:rsid w:val="00642A32"/>
    <w:rsid w:val="00642F7C"/>
    <w:rsid w:val="006433D5"/>
    <w:rsid w:val="00643412"/>
    <w:rsid w:val="00645CEB"/>
    <w:rsid w:val="00645E63"/>
    <w:rsid w:val="00645ED5"/>
    <w:rsid w:val="00646031"/>
    <w:rsid w:val="00646B20"/>
    <w:rsid w:val="00646D0F"/>
    <w:rsid w:val="00647A36"/>
    <w:rsid w:val="00647DCC"/>
    <w:rsid w:val="00647EFA"/>
    <w:rsid w:val="00647F14"/>
    <w:rsid w:val="00650027"/>
    <w:rsid w:val="00650E89"/>
    <w:rsid w:val="00651B9C"/>
    <w:rsid w:val="00651C47"/>
    <w:rsid w:val="00652E70"/>
    <w:rsid w:val="0065339A"/>
    <w:rsid w:val="00653469"/>
    <w:rsid w:val="0065443A"/>
    <w:rsid w:val="006544B1"/>
    <w:rsid w:val="00654A38"/>
    <w:rsid w:val="00655301"/>
    <w:rsid w:val="00655371"/>
    <w:rsid w:val="00655507"/>
    <w:rsid w:val="006564A5"/>
    <w:rsid w:val="00656C4B"/>
    <w:rsid w:val="006572A7"/>
    <w:rsid w:val="006573EA"/>
    <w:rsid w:val="006577C9"/>
    <w:rsid w:val="00660510"/>
    <w:rsid w:val="006606A4"/>
    <w:rsid w:val="00661029"/>
    <w:rsid w:val="006610C3"/>
    <w:rsid w:val="00661118"/>
    <w:rsid w:val="0066135A"/>
    <w:rsid w:val="00661A38"/>
    <w:rsid w:val="0066272D"/>
    <w:rsid w:val="00662E58"/>
    <w:rsid w:val="00662F39"/>
    <w:rsid w:val="006635A0"/>
    <w:rsid w:val="00663D26"/>
    <w:rsid w:val="00664351"/>
    <w:rsid w:val="00665968"/>
    <w:rsid w:val="00665BF7"/>
    <w:rsid w:val="0066609C"/>
    <w:rsid w:val="006660F0"/>
    <w:rsid w:val="00666178"/>
    <w:rsid w:val="0066639E"/>
    <w:rsid w:val="00666473"/>
    <w:rsid w:val="006666B4"/>
    <w:rsid w:val="00666B49"/>
    <w:rsid w:val="00666C72"/>
    <w:rsid w:val="00666E6C"/>
    <w:rsid w:val="0066707F"/>
    <w:rsid w:val="00667ED8"/>
    <w:rsid w:val="0067064C"/>
    <w:rsid w:val="00670B0F"/>
    <w:rsid w:val="00670B20"/>
    <w:rsid w:val="00670E12"/>
    <w:rsid w:val="00670F27"/>
    <w:rsid w:val="00671C52"/>
    <w:rsid w:val="00672E80"/>
    <w:rsid w:val="0067333F"/>
    <w:rsid w:val="006739E4"/>
    <w:rsid w:val="00673ECF"/>
    <w:rsid w:val="0067426B"/>
    <w:rsid w:val="00674A1B"/>
    <w:rsid w:val="00674D08"/>
    <w:rsid w:val="00674F1C"/>
    <w:rsid w:val="006754F8"/>
    <w:rsid w:val="00676127"/>
    <w:rsid w:val="00676AED"/>
    <w:rsid w:val="00677212"/>
    <w:rsid w:val="006778E7"/>
    <w:rsid w:val="00677F26"/>
    <w:rsid w:val="006800EE"/>
    <w:rsid w:val="006802A7"/>
    <w:rsid w:val="0068059E"/>
    <w:rsid w:val="006807E3"/>
    <w:rsid w:val="00680A86"/>
    <w:rsid w:val="006811C9"/>
    <w:rsid w:val="006812CE"/>
    <w:rsid w:val="00681FC3"/>
    <w:rsid w:val="006826C1"/>
    <w:rsid w:val="00682C89"/>
    <w:rsid w:val="006832B8"/>
    <w:rsid w:val="006837B2"/>
    <w:rsid w:val="00683800"/>
    <w:rsid w:val="00683CA9"/>
    <w:rsid w:val="00684462"/>
    <w:rsid w:val="00684C0D"/>
    <w:rsid w:val="00684C8A"/>
    <w:rsid w:val="00684CF5"/>
    <w:rsid w:val="0068553E"/>
    <w:rsid w:val="00685A9D"/>
    <w:rsid w:val="00685D37"/>
    <w:rsid w:val="00685E7B"/>
    <w:rsid w:val="00686551"/>
    <w:rsid w:val="00686CAB"/>
    <w:rsid w:val="0068717F"/>
    <w:rsid w:val="006871CC"/>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1C0"/>
    <w:rsid w:val="00697665"/>
    <w:rsid w:val="00697C9A"/>
    <w:rsid w:val="00697E68"/>
    <w:rsid w:val="00697FC1"/>
    <w:rsid w:val="006A0274"/>
    <w:rsid w:val="006A1EBE"/>
    <w:rsid w:val="006A1F43"/>
    <w:rsid w:val="006A27BC"/>
    <w:rsid w:val="006A2A43"/>
    <w:rsid w:val="006A2BF1"/>
    <w:rsid w:val="006A2F9A"/>
    <w:rsid w:val="006A34E4"/>
    <w:rsid w:val="006A3A5A"/>
    <w:rsid w:val="006A44CF"/>
    <w:rsid w:val="006A457D"/>
    <w:rsid w:val="006A4C06"/>
    <w:rsid w:val="006A55EE"/>
    <w:rsid w:val="006A575B"/>
    <w:rsid w:val="006A59DE"/>
    <w:rsid w:val="006A64C6"/>
    <w:rsid w:val="006A6655"/>
    <w:rsid w:val="006A6BF9"/>
    <w:rsid w:val="006A7AB8"/>
    <w:rsid w:val="006A7B43"/>
    <w:rsid w:val="006A7CB5"/>
    <w:rsid w:val="006A7FD0"/>
    <w:rsid w:val="006B025C"/>
    <w:rsid w:val="006B08ED"/>
    <w:rsid w:val="006B2170"/>
    <w:rsid w:val="006B2534"/>
    <w:rsid w:val="006B2CB2"/>
    <w:rsid w:val="006B347D"/>
    <w:rsid w:val="006B3505"/>
    <w:rsid w:val="006B3E19"/>
    <w:rsid w:val="006B4488"/>
    <w:rsid w:val="006B4D5D"/>
    <w:rsid w:val="006B4F56"/>
    <w:rsid w:val="006B50C4"/>
    <w:rsid w:val="006B53AE"/>
    <w:rsid w:val="006B58B4"/>
    <w:rsid w:val="006B67AC"/>
    <w:rsid w:val="006B786A"/>
    <w:rsid w:val="006B7E4E"/>
    <w:rsid w:val="006C003A"/>
    <w:rsid w:val="006C0D2C"/>
    <w:rsid w:val="006C1008"/>
    <w:rsid w:val="006C107C"/>
    <w:rsid w:val="006C189C"/>
    <w:rsid w:val="006C2454"/>
    <w:rsid w:val="006C2551"/>
    <w:rsid w:val="006C37CA"/>
    <w:rsid w:val="006C40D2"/>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4FF2"/>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16DF"/>
    <w:rsid w:val="006E2C34"/>
    <w:rsid w:val="006E359B"/>
    <w:rsid w:val="006E39D1"/>
    <w:rsid w:val="006E3A8B"/>
    <w:rsid w:val="006E3B05"/>
    <w:rsid w:val="006E437F"/>
    <w:rsid w:val="006E4D5B"/>
    <w:rsid w:val="006E597D"/>
    <w:rsid w:val="006E602F"/>
    <w:rsid w:val="006E6720"/>
    <w:rsid w:val="006E6EC5"/>
    <w:rsid w:val="006E7275"/>
    <w:rsid w:val="006E77B8"/>
    <w:rsid w:val="006E7AAF"/>
    <w:rsid w:val="006F06B8"/>
    <w:rsid w:val="006F0F74"/>
    <w:rsid w:val="006F13BA"/>
    <w:rsid w:val="006F15CC"/>
    <w:rsid w:val="006F15F6"/>
    <w:rsid w:val="006F36EA"/>
    <w:rsid w:val="006F4147"/>
    <w:rsid w:val="006F4315"/>
    <w:rsid w:val="006F4CB0"/>
    <w:rsid w:val="006F4F78"/>
    <w:rsid w:val="006F547E"/>
    <w:rsid w:val="006F5CCF"/>
    <w:rsid w:val="006F6F04"/>
    <w:rsid w:val="006F71F5"/>
    <w:rsid w:val="006F79DC"/>
    <w:rsid w:val="007000A6"/>
    <w:rsid w:val="00700610"/>
    <w:rsid w:val="0070138A"/>
    <w:rsid w:val="0070157E"/>
    <w:rsid w:val="00701D0B"/>
    <w:rsid w:val="007030D4"/>
    <w:rsid w:val="00703279"/>
    <w:rsid w:val="00703B61"/>
    <w:rsid w:val="00703E11"/>
    <w:rsid w:val="00704102"/>
    <w:rsid w:val="0070437C"/>
    <w:rsid w:val="0070461C"/>
    <w:rsid w:val="00705631"/>
    <w:rsid w:val="00705818"/>
    <w:rsid w:val="00705F62"/>
    <w:rsid w:val="00706BC6"/>
    <w:rsid w:val="007075EC"/>
    <w:rsid w:val="0070773F"/>
    <w:rsid w:val="00707A2E"/>
    <w:rsid w:val="00707ED3"/>
    <w:rsid w:val="007101B7"/>
    <w:rsid w:val="00710668"/>
    <w:rsid w:val="00711019"/>
    <w:rsid w:val="007110F4"/>
    <w:rsid w:val="007112B1"/>
    <w:rsid w:val="0071130F"/>
    <w:rsid w:val="00712714"/>
    <w:rsid w:val="007129AB"/>
    <w:rsid w:val="00712B63"/>
    <w:rsid w:val="00713526"/>
    <w:rsid w:val="00713FC5"/>
    <w:rsid w:val="00714DCA"/>
    <w:rsid w:val="00715BBF"/>
    <w:rsid w:val="00715C29"/>
    <w:rsid w:val="00715CBD"/>
    <w:rsid w:val="00715EAA"/>
    <w:rsid w:val="00716119"/>
    <w:rsid w:val="007161B9"/>
    <w:rsid w:val="007162E1"/>
    <w:rsid w:val="00716497"/>
    <w:rsid w:val="00716630"/>
    <w:rsid w:val="00716CAD"/>
    <w:rsid w:val="00716F18"/>
    <w:rsid w:val="00717363"/>
    <w:rsid w:val="00717786"/>
    <w:rsid w:val="00717ACB"/>
    <w:rsid w:val="00720DAF"/>
    <w:rsid w:val="0072138B"/>
    <w:rsid w:val="00721BFF"/>
    <w:rsid w:val="0072220F"/>
    <w:rsid w:val="00723475"/>
    <w:rsid w:val="007236C4"/>
    <w:rsid w:val="00724635"/>
    <w:rsid w:val="00724F21"/>
    <w:rsid w:val="00724FBB"/>
    <w:rsid w:val="00725134"/>
    <w:rsid w:val="0072554B"/>
    <w:rsid w:val="0072571F"/>
    <w:rsid w:val="007257F3"/>
    <w:rsid w:val="00725AFD"/>
    <w:rsid w:val="00726603"/>
    <w:rsid w:val="007266AC"/>
    <w:rsid w:val="00727B1D"/>
    <w:rsid w:val="00727DDC"/>
    <w:rsid w:val="00730CD6"/>
    <w:rsid w:val="00730F74"/>
    <w:rsid w:val="0073114B"/>
    <w:rsid w:val="00732151"/>
    <w:rsid w:val="00732EBC"/>
    <w:rsid w:val="00734952"/>
    <w:rsid w:val="00734990"/>
    <w:rsid w:val="00734FF5"/>
    <w:rsid w:val="00735B78"/>
    <w:rsid w:val="00735DA7"/>
    <w:rsid w:val="00736700"/>
    <w:rsid w:val="007368B4"/>
    <w:rsid w:val="007378E0"/>
    <w:rsid w:val="0074040E"/>
    <w:rsid w:val="00740529"/>
    <w:rsid w:val="00740876"/>
    <w:rsid w:val="00741358"/>
    <w:rsid w:val="00741626"/>
    <w:rsid w:val="00742332"/>
    <w:rsid w:val="00742886"/>
    <w:rsid w:val="00742DD2"/>
    <w:rsid w:val="007437C6"/>
    <w:rsid w:val="007441A2"/>
    <w:rsid w:val="00744E80"/>
    <w:rsid w:val="00745035"/>
    <w:rsid w:val="0074531C"/>
    <w:rsid w:val="00745547"/>
    <w:rsid w:val="007459D0"/>
    <w:rsid w:val="0074623A"/>
    <w:rsid w:val="00746420"/>
    <w:rsid w:val="00746A60"/>
    <w:rsid w:val="00746E04"/>
    <w:rsid w:val="00746E08"/>
    <w:rsid w:val="00746E3D"/>
    <w:rsid w:val="007473B9"/>
    <w:rsid w:val="00747570"/>
    <w:rsid w:val="00747C96"/>
    <w:rsid w:val="00747EC7"/>
    <w:rsid w:val="00750075"/>
    <w:rsid w:val="007502EC"/>
    <w:rsid w:val="00750382"/>
    <w:rsid w:val="0075094E"/>
    <w:rsid w:val="00750FA8"/>
    <w:rsid w:val="00750FB5"/>
    <w:rsid w:val="007520F0"/>
    <w:rsid w:val="007522E8"/>
    <w:rsid w:val="007529DB"/>
    <w:rsid w:val="007534AD"/>
    <w:rsid w:val="007535E9"/>
    <w:rsid w:val="00753A21"/>
    <w:rsid w:val="00753BAC"/>
    <w:rsid w:val="0075463B"/>
    <w:rsid w:val="00754A0B"/>
    <w:rsid w:val="00754D46"/>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6D49"/>
    <w:rsid w:val="00766ECC"/>
    <w:rsid w:val="007672F3"/>
    <w:rsid w:val="007677B5"/>
    <w:rsid w:val="007678B1"/>
    <w:rsid w:val="00770566"/>
    <w:rsid w:val="007708A8"/>
    <w:rsid w:val="00771358"/>
    <w:rsid w:val="00772100"/>
    <w:rsid w:val="00772275"/>
    <w:rsid w:val="00772D59"/>
    <w:rsid w:val="007734E4"/>
    <w:rsid w:val="0077380D"/>
    <w:rsid w:val="00773BC8"/>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4AFB"/>
    <w:rsid w:val="00794DD2"/>
    <w:rsid w:val="00795647"/>
    <w:rsid w:val="007963F6"/>
    <w:rsid w:val="00796DC8"/>
    <w:rsid w:val="00796E80"/>
    <w:rsid w:val="0079744F"/>
    <w:rsid w:val="0079776F"/>
    <w:rsid w:val="007979AD"/>
    <w:rsid w:val="00797A9C"/>
    <w:rsid w:val="007A09A4"/>
    <w:rsid w:val="007A0EAB"/>
    <w:rsid w:val="007A2341"/>
    <w:rsid w:val="007A2754"/>
    <w:rsid w:val="007A38A1"/>
    <w:rsid w:val="007A3BBE"/>
    <w:rsid w:val="007A4766"/>
    <w:rsid w:val="007A5947"/>
    <w:rsid w:val="007A717B"/>
    <w:rsid w:val="007A7714"/>
    <w:rsid w:val="007B013C"/>
    <w:rsid w:val="007B0313"/>
    <w:rsid w:val="007B06BD"/>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4F7D"/>
    <w:rsid w:val="007B5428"/>
    <w:rsid w:val="007B59B7"/>
    <w:rsid w:val="007B6975"/>
    <w:rsid w:val="007B6C64"/>
    <w:rsid w:val="007B6EC8"/>
    <w:rsid w:val="007B6F81"/>
    <w:rsid w:val="007B7D01"/>
    <w:rsid w:val="007B7EA2"/>
    <w:rsid w:val="007C097D"/>
    <w:rsid w:val="007C0AF2"/>
    <w:rsid w:val="007C1360"/>
    <w:rsid w:val="007C1672"/>
    <w:rsid w:val="007C17AE"/>
    <w:rsid w:val="007C312A"/>
    <w:rsid w:val="007C3538"/>
    <w:rsid w:val="007C3570"/>
    <w:rsid w:val="007C38B1"/>
    <w:rsid w:val="007C3F3B"/>
    <w:rsid w:val="007C4241"/>
    <w:rsid w:val="007C425E"/>
    <w:rsid w:val="007C55FF"/>
    <w:rsid w:val="007C6339"/>
    <w:rsid w:val="007C753F"/>
    <w:rsid w:val="007C75F7"/>
    <w:rsid w:val="007C7B4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867"/>
    <w:rsid w:val="007D7CFC"/>
    <w:rsid w:val="007E0812"/>
    <w:rsid w:val="007E0825"/>
    <w:rsid w:val="007E18DF"/>
    <w:rsid w:val="007E214A"/>
    <w:rsid w:val="007E238D"/>
    <w:rsid w:val="007E2C36"/>
    <w:rsid w:val="007E350D"/>
    <w:rsid w:val="007E368B"/>
    <w:rsid w:val="007E3856"/>
    <w:rsid w:val="007E3ACA"/>
    <w:rsid w:val="007E3F4A"/>
    <w:rsid w:val="007E564D"/>
    <w:rsid w:val="007E5C4A"/>
    <w:rsid w:val="007E64D4"/>
    <w:rsid w:val="007E66E9"/>
    <w:rsid w:val="007E69F2"/>
    <w:rsid w:val="007E6A2A"/>
    <w:rsid w:val="007E7432"/>
    <w:rsid w:val="007E74BF"/>
    <w:rsid w:val="007E7657"/>
    <w:rsid w:val="007E7D2E"/>
    <w:rsid w:val="007F14D3"/>
    <w:rsid w:val="007F1D9D"/>
    <w:rsid w:val="007F1E28"/>
    <w:rsid w:val="007F1F63"/>
    <w:rsid w:val="007F22A0"/>
    <w:rsid w:val="007F2902"/>
    <w:rsid w:val="007F2903"/>
    <w:rsid w:val="007F2F90"/>
    <w:rsid w:val="007F320F"/>
    <w:rsid w:val="007F3320"/>
    <w:rsid w:val="007F3AC1"/>
    <w:rsid w:val="007F4976"/>
    <w:rsid w:val="007F4B40"/>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4D61"/>
    <w:rsid w:val="008059C6"/>
    <w:rsid w:val="00805AD7"/>
    <w:rsid w:val="00805BD6"/>
    <w:rsid w:val="00805DE3"/>
    <w:rsid w:val="00807C35"/>
    <w:rsid w:val="00807D96"/>
    <w:rsid w:val="00807F35"/>
    <w:rsid w:val="00807F69"/>
    <w:rsid w:val="008100F7"/>
    <w:rsid w:val="00810206"/>
    <w:rsid w:val="0081022B"/>
    <w:rsid w:val="00811898"/>
    <w:rsid w:val="00811CDC"/>
    <w:rsid w:val="008124D8"/>
    <w:rsid w:val="00813A7B"/>
    <w:rsid w:val="00813F04"/>
    <w:rsid w:val="0081513E"/>
    <w:rsid w:val="00815DA5"/>
    <w:rsid w:val="00816221"/>
    <w:rsid w:val="0081766B"/>
    <w:rsid w:val="0082042F"/>
    <w:rsid w:val="008205AC"/>
    <w:rsid w:val="00820705"/>
    <w:rsid w:val="00820CBF"/>
    <w:rsid w:val="00820CF5"/>
    <w:rsid w:val="00820FA8"/>
    <w:rsid w:val="008212FD"/>
    <w:rsid w:val="00821351"/>
    <w:rsid w:val="00821489"/>
    <w:rsid w:val="00821538"/>
    <w:rsid w:val="008217B7"/>
    <w:rsid w:val="0082239B"/>
    <w:rsid w:val="0082292E"/>
    <w:rsid w:val="00822D06"/>
    <w:rsid w:val="00822EC4"/>
    <w:rsid w:val="0082348D"/>
    <w:rsid w:val="008236BE"/>
    <w:rsid w:val="008241CE"/>
    <w:rsid w:val="00825240"/>
    <w:rsid w:val="00825B43"/>
    <w:rsid w:val="0082640A"/>
    <w:rsid w:val="00826F71"/>
    <w:rsid w:val="008278EF"/>
    <w:rsid w:val="00827CC0"/>
    <w:rsid w:val="00827CD3"/>
    <w:rsid w:val="008306AB"/>
    <w:rsid w:val="00831026"/>
    <w:rsid w:val="0083119B"/>
    <w:rsid w:val="00831BAE"/>
    <w:rsid w:val="00832216"/>
    <w:rsid w:val="00832513"/>
    <w:rsid w:val="00832AD3"/>
    <w:rsid w:val="00832CD0"/>
    <w:rsid w:val="00833430"/>
    <w:rsid w:val="00833ADA"/>
    <w:rsid w:val="00834128"/>
    <w:rsid w:val="0083417F"/>
    <w:rsid w:val="00835143"/>
    <w:rsid w:val="0083569B"/>
    <w:rsid w:val="00835741"/>
    <w:rsid w:val="00836E74"/>
    <w:rsid w:val="00836EAB"/>
    <w:rsid w:val="00837673"/>
    <w:rsid w:val="008377D7"/>
    <w:rsid w:val="00837937"/>
    <w:rsid w:val="00837D82"/>
    <w:rsid w:val="00840893"/>
    <w:rsid w:val="00840E88"/>
    <w:rsid w:val="0084102C"/>
    <w:rsid w:val="008410B1"/>
    <w:rsid w:val="00841308"/>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79"/>
    <w:rsid w:val="00850D82"/>
    <w:rsid w:val="00850F79"/>
    <w:rsid w:val="0085100B"/>
    <w:rsid w:val="0085304C"/>
    <w:rsid w:val="008533E7"/>
    <w:rsid w:val="008536BB"/>
    <w:rsid w:val="00853A3C"/>
    <w:rsid w:val="00853EE0"/>
    <w:rsid w:val="0085433A"/>
    <w:rsid w:val="008548CA"/>
    <w:rsid w:val="008563B0"/>
    <w:rsid w:val="008568FE"/>
    <w:rsid w:val="00856C06"/>
    <w:rsid w:val="0085790B"/>
    <w:rsid w:val="008579B9"/>
    <w:rsid w:val="00857C95"/>
    <w:rsid w:val="00857E78"/>
    <w:rsid w:val="00860AEF"/>
    <w:rsid w:val="00860B18"/>
    <w:rsid w:val="00860D5E"/>
    <w:rsid w:val="0086122C"/>
    <w:rsid w:val="00861310"/>
    <w:rsid w:val="00861F53"/>
    <w:rsid w:val="0086264E"/>
    <w:rsid w:val="0086289E"/>
    <w:rsid w:val="008629CB"/>
    <w:rsid w:val="00862C72"/>
    <w:rsid w:val="0086394E"/>
    <w:rsid w:val="00863F8A"/>
    <w:rsid w:val="00863FB1"/>
    <w:rsid w:val="00863FE3"/>
    <w:rsid w:val="008640C4"/>
    <w:rsid w:val="00864241"/>
    <w:rsid w:val="0086465A"/>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AC6"/>
    <w:rsid w:val="00872F97"/>
    <w:rsid w:val="00873742"/>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C44"/>
    <w:rsid w:val="00882E39"/>
    <w:rsid w:val="008850EB"/>
    <w:rsid w:val="00885228"/>
    <w:rsid w:val="008857E3"/>
    <w:rsid w:val="00885E06"/>
    <w:rsid w:val="00886DF2"/>
    <w:rsid w:val="00886FB9"/>
    <w:rsid w:val="00887057"/>
    <w:rsid w:val="00887080"/>
    <w:rsid w:val="00887C79"/>
    <w:rsid w:val="0089107B"/>
    <w:rsid w:val="008913CC"/>
    <w:rsid w:val="008914AE"/>
    <w:rsid w:val="008918A2"/>
    <w:rsid w:val="008919CF"/>
    <w:rsid w:val="00891F84"/>
    <w:rsid w:val="00891FC3"/>
    <w:rsid w:val="008928EC"/>
    <w:rsid w:val="00892A15"/>
    <w:rsid w:val="00892C44"/>
    <w:rsid w:val="00892E5D"/>
    <w:rsid w:val="0089338A"/>
    <w:rsid w:val="008935CF"/>
    <w:rsid w:val="0089436B"/>
    <w:rsid w:val="00894436"/>
    <w:rsid w:val="00894BB1"/>
    <w:rsid w:val="008951D0"/>
    <w:rsid w:val="00895442"/>
    <w:rsid w:val="0089582D"/>
    <w:rsid w:val="008959C6"/>
    <w:rsid w:val="0089606D"/>
    <w:rsid w:val="00896129"/>
    <w:rsid w:val="00896316"/>
    <w:rsid w:val="0089774F"/>
    <w:rsid w:val="00897875"/>
    <w:rsid w:val="008979F4"/>
    <w:rsid w:val="00897B8F"/>
    <w:rsid w:val="008A00D9"/>
    <w:rsid w:val="008A07D5"/>
    <w:rsid w:val="008A1FB7"/>
    <w:rsid w:val="008A229A"/>
    <w:rsid w:val="008A2A23"/>
    <w:rsid w:val="008A2AF5"/>
    <w:rsid w:val="008A2B5A"/>
    <w:rsid w:val="008A3013"/>
    <w:rsid w:val="008A3F9D"/>
    <w:rsid w:val="008A43B0"/>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47A6"/>
    <w:rsid w:val="008B522C"/>
    <w:rsid w:val="008B5C7C"/>
    <w:rsid w:val="008B63FE"/>
    <w:rsid w:val="008B658D"/>
    <w:rsid w:val="008B672C"/>
    <w:rsid w:val="008B7101"/>
    <w:rsid w:val="008B7108"/>
    <w:rsid w:val="008C047A"/>
    <w:rsid w:val="008C065F"/>
    <w:rsid w:val="008C0743"/>
    <w:rsid w:val="008C0B4C"/>
    <w:rsid w:val="008C0F69"/>
    <w:rsid w:val="008C11F0"/>
    <w:rsid w:val="008C1DBA"/>
    <w:rsid w:val="008C24E7"/>
    <w:rsid w:val="008C2500"/>
    <w:rsid w:val="008C2918"/>
    <w:rsid w:val="008C2CAC"/>
    <w:rsid w:val="008C3C57"/>
    <w:rsid w:val="008C3E2A"/>
    <w:rsid w:val="008C3EC6"/>
    <w:rsid w:val="008C45BD"/>
    <w:rsid w:val="008C4B19"/>
    <w:rsid w:val="008C62D4"/>
    <w:rsid w:val="008C6B89"/>
    <w:rsid w:val="008C6B97"/>
    <w:rsid w:val="008C6D53"/>
    <w:rsid w:val="008C7EF7"/>
    <w:rsid w:val="008D0615"/>
    <w:rsid w:val="008D18AA"/>
    <w:rsid w:val="008D1A2A"/>
    <w:rsid w:val="008D1ADE"/>
    <w:rsid w:val="008D2AF3"/>
    <w:rsid w:val="008D35D9"/>
    <w:rsid w:val="008D3B36"/>
    <w:rsid w:val="008D3B85"/>
    <w:rsid w:val="008D462D"/>
    <w:rsid w:val="008D6084"/>
    <w:rsid w:val="008D64AC"/>
    <w:rsid w:val="008D66CA"/>
    <w:rsid w:val="008D69B1"/>
    <w:rsid w:val="008D7338"/>
    <w:rsid w:val="008D785E"/>
    <w:rsid w:val="008D7D66"/>
    <w:rsid w:val="008E0012"/>
    <w:rsid w:val="008E08C2"/>
    <w:rsid w:val="008E0DF7"/>
    <w:rsid w:val="008E0FAD"/>
    <w:rsid w:val="008E11E4"/>
    <w:rsid w:val="008E1252"/>
    <w:rsid w:val="008E1347"/>
    <w:rsid w:val="008E16E0"/>
    <w:rsid w:val="008E1C15"/>
    <w:rsid w:val="008E1C9A"/>
    <w:rsid w:val="008E1DF5"/>
    <w:rsid w:val="008E28BD"/>
    <w:rsid w:val="008E2BE6"/>
    <w:rsid w:val="008E30C4"/>
    <w:rsid w:val="008E38B4"/>
    <w:rsid w:val="008E3BA4"/>
    <w:rsid w:val="008E44AB"/>
    <w:rsid w:val="008E4CAE"/>
    <w:rsid w:val="008E5179"/>
    <w:rsid w:val="008E57FE"/>
    <w:rsid w:val="008E6420"/>
    <w:rsid w:val="008E6598"/>
    <w:rsid w:val="008E710F"/>
    <w:rsid w:val="008E7214"/>
    <w:rsid w:val="008E7497"/>
    <w:rsid w:val="008E7884"/>
    <w:rsid w:val="008E7D6E"/>
    <w:rsid w:val="008F1056"/>
    <w:rsid w:val="008F23D9"/>
    <w:rsid w:val="008F2E8D"/>
    <w:rsid w:val="008F361D"/>
    <w:rsid w:val="008F387B"/>
    <w:rsid w:val="008F3DD9"/>
    <w:rsid w:val="008F409B"/>
    <w:rsid w:val="008F4163"/>
    <w:rsid w:val="008F4814"/>
    <w:rsid w:val="008F4B18"/>
    <w:rsid w:val="008F4DA6"/>
    <w:rsid w:val="008F538E"/>
    <w:rsid w:val="008F5A20"/>
    <w:rsid w:val="008F5ABA"/>
    <w:rsid w:val="008F6157"/>
    <w:rsid w:val="008F71AB"/>
    <w:rsid w:val="008F7905"/>
    <w:rsid w:val="008F7989"/>
    <w:rsid w:val="00900912"/>
    <w:rsid w:val="00901F1D"/>
    <w:rsid w:val="009028E8"/>
    <w:rsid w:val="00902E5C"/>
    <w:rsid w:val="0090363E"/>
    <w:rsid w:val="009046E5"/>
    <w:rsid w:val="009047C5"/>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396"/>
    <w:rsid w:val="00923F56"/>
    <w:rsid w:val="00924770"/>
    <w:rsid w:val="00925229"/>
    <w:rsid w:val="00925346"/>
    <w:rsid w:val="00925743"/>
    <w:rsid w:val="0092579F"/>
    <w:rsid w:val="00925D65"/>
    <w:rsid w:val="009264D5"/>
    <w:rsid w:val="00927E8D"/>
    <w:rsid w:val="00927F23"/>
    <w:rsid w:val="009307CD"/>
    <w:rsid w:val="00931364"/>
    <w:rsid w:val="00931365"/>
    <w:rsid w:val="00931451"/>
    <w:rsid w:val="009314FA"/>
    <w:rsid w:val="0093194F"/>
    <w:rsid w:val="00931BF3"/>
    <w:rsid w:val="00931C55"/>
    <w:rsid w:val="00933333"/>
    <w:rsid w:val="0093349A"/>
    <w:rsid w:val="0093360C"/>
    <w:rsid w:val="009338BA"/>
    <w:rsid w:val="00933EF7"/>
    <w:rsid w:val="00933FCB"/>
    <w:rsid w:val="009346C8"/>
    <w:rsid w:val="00934CEC"/>
    <w:rsid w:val="00934E69"/>
    <w:rsid w:val="00935E70"/>
    <w:rsid w:val="0093609A"/>
    <w:rsid w:val="00936125"/>
    <w:rsid w:val="00937401"/>
    <w:rsid w:val="009376FB"/>
    <w:rsid w:val="00937D6B"/>
    <w:rsid w:val="00940477"/>
    <w:rsid w:val="00940876"/>
    <w:rsid w:val="00940A53"/>
    <w:rsid w:val="00940F3C"/>
    <w:rsid w:val="009410E0"/>
    <w:rsid w:val="00941FA9"/>
    <w:rsid w:val="009439B6"/>
    <w:rsid w:val="009444B4"/>
    <w:rsid w:val="00944644"/>
    <w:rsid w:val="00944968"/>
    <w:rsid w:val="00946A24"/>
    <w:rsid w:val="009470D4"/>
    <w:rsid w:val="00947337"/>
    <w:rsid w:val="00947E6E"/>
    <w:rsid w:val="009512FA"/>
    <w:rsid w:val="009516A9"/>
    <w:rsid w:val="00951E57"/>
    <w:rsid w:val="00952350"/>
    <w:rsid w:val="00952505"/>
    <w:rsid w:val="00952FBB"/>
    <w:rsid w:val="00953018"/>
    <w:rsid w:val="009533E2"/>
    <w:rsid w:val="00953554"/>
    <w:rsid w:val="0095385A"/>
    <w:rsid w:val="00954F3A"/>
    <w:rsid w:val="009551B8"/>
    <w:rsid w:val="0095780A"/>
    <w:rsid w:val="009578C3"/>
    <w:rsid w:val="009579E4"/>
    <w:rsid w:val="00957AA4"/>
    <w:rsid w:val="00957ACB"/>
    <w:rsid w:val="00957F27"/>
    <w:rsid w:val="00960BDB"/>
    <w:rsid w:val="0096105C"/>
    <w:rsid w:val="0096147D"/>
    <w:rsid w:val="00961D53"/>
    <w:rsid w:val="00961E5F"/>
    <w:rsid w:val="009625C6"/>
    <w:rsid w:val="009629B5"/>
    <w:rsid w:val="00962A50"/>
    <w:rsid w:val="00963550"/>
    <w:rsid w:val="00963C19"/>
    <w:rsid w:val="00964138"/>
    <w:rsid w:val="009648D6"/>
    <w:rsid w:val="00964B3F"/>
    <w:rsid w:val="00964C98"/>
    <w:rsid w:val="00971441"/>
    <w:rsid w:val="00971555"/>
    <w:rsid w:val="009715D4"/>
    <w:rsid w:val="0097179A"/>
    <w:rsid w:val="00971B0A"/>
    <w:rsid w:val="009731F4"/>
    <w:rsid w:val="009732A4"/>
    <w:rsid w:val="00973C05"/>
    <w:rsid w:val="00973DC6"/>
    <w:rsid w:val="009744FF"/>
    <w:rsid w:val="0097494E"/>
    <w:rsid w:val="00974999"/>
    <w:rsid w:val="00974B58"/>
    <w:rsid w:val="00974CBD"/>
    <w:rsid w:val="009753C3"/>
    <w:rsid w:val="00975445"/>
    <w:rsid w:val="00975460"/>
    <w:rsid w:val="009761ED"/>
    <w:rsid w:val="0098022F"/>
    <w:rsid w:val="009810DE"/>
    <w:rsid w:val="00981B91"/>
    <w:rsid w:val="009822D7"/>
    <w:rsid w:val="009827E6"/>
    <w:rsid w:val="00982F84"/>
    <w:rsid w:val="009831C3"/>
    <w:rsid w:val="0098427D"/>
    <w:rsid w:val="009842F0"/>
    <w:rsid w:val="00984567"/>
    <w:rsid w:val="00985102"/>
    <w:rsid w:val="009854BC"/>
    <w:rsid w:val="00985A66"/>
    <w:rsid w:val="0098606C"/>
    <w:rsid w:val="009865D5"/>
    <w:rsid w:val="009876F2"/>
    <w:rsid w:val="00987C77"/>
    <w:rsid w:val="00987FED"/>
    <w:rsid w:val="00990345"/>
    <w:rsid w:val="00990701"/>
    <w:rsid w:val="0099119C"/>
    <w:rsid w:val="0099137A"/>
    <w:rsid w:val="0099211C"/>
    <w:rsid w:val="009927C6"/>
    <w:rsid w:val="00992B5C"/>
    <w:rsid w:val="00993013"/>
    <w:rsid w:val="00993B78"/>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A01E4"/>
    <w:rsid w:val="009A0917"/>
    <w:rsid w:val="009A0A33"/>
    <w:rsid w:val="009A1351"/>
    <w:rsid w:val="009A1723"/>
    <w:rsid w:val="009A2041"/>
    <w:rsid w:val="009A2435"/>
    <w:rsid w:val="009A35DC"/>
    <w:rsid w:val="009A38AB"/>
    <w:rsid w:val="009A39EE"/>
    <w:rsid w:val="009A3D47"/>
    <w:rsid w:val="009A4D63"/>
    <w:rsid w:val="009A5356"/>
    <w:rsid w:val="009A5468"/>
    <w:rsid w:val="009A5D99"/>
    <w:rsid w:val="009A608C"/>
    <w:rsid w:val="009A653C"/>
    <w:rsid w:val="009A6FDF"/>
    <w:rsid w:val="009A715F"/>
    <w:rsid w:val="009A76D6"/>
    <w:rsid w:val="009B0BF8"/>
    <w:rsid w:val="009B2374"/>
    <w:rsid w:val="009B2E29"/>
    <w:rsid w:val="009B3140"/>
    <w:rsid w:val="009B3163"/>
    <w:rsid w:val="009B422F"/>
    <w:rsid w:val="009B4620"/>
    <w:rsid w:val="009B46BC"/>
    <w:rsid w:val="009B4D1A"/>
    <w:rsid w:val="009B519D"/>
    <w:rsid w:val="009B558B"/>
    <w:rsid w:val="009B6D21"/>
    <w:rsid w:val="009B6E85"/>
    <w:rsid w:val="009B78ED"/>
    <w:rsid w:val="009C0E1B"/>
    <w:rsid w:val="009C12AB"/>
    <w:rsid w:val="009C181C"/>
    <w:rsid w:val="009C1A44"/>
    <w:rsid w:val="009C1C7F"/>
    <w:rsid w:val="009C1EC7"/>
    <w:rsid w:val="009C2210"/>
    <w:rsid w:val="009C28A2"/>
    <w:rsid w:val="009C2BAE"/>
    <w:rsid w:val="009C3239"/>
    <w:rsid w:val="009C3828"/>
    <w:rsid w:val="009C3AD3"/>
    <w:rsid w:val="009C3AF4"/>
    <w:rsid w:val="009C3D2C"/>
    <w:rsid w:val="009C4832"/>
    <w:rsid w:val="009C4987"/>
    <w:rsid w:val="009C4FDE"/>
    <w:rsid w:val="009C523F"/>
    <w:rsid w:val="009C52E2"/>
    <w:rsid w:val="009C56FF"/>
    <w:rsid w:val="009C5905"/>
    <w:rsid w:val="009C59BF"/>
    <w:rsid w:val="009C5E4F"/>
    <w:rsid w:val="009C5F64"/>
    <w:rsid w:val="009C5F82"/>
    <w:rsid w:val="009C60EA"/>
    <w:rsid w:val="009C6BFC"/>
    <w:rsid w:val="009C70F8"/>
    <w:rsid w:val="009C78A3"/>
    <w:rsid w:val="009C7E68"/>
    <w:rsid w:val="009D00D7"/>
    <w:rsid w:val="009D0156"/>
    <w:rsid w:val="009D05DA"/>
    <w:rsid w:val="009D11F6"/>
    <w:rsid w:val="009D1A14"/>
    <w:rsid w:val="009D1E2A"/>
    <w:rsid w:val="009D1FA0"/>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D7BF4"/>
    <w:rsid w:val="009E06C3"/>
    <w:rsid w:val="009E0703"/>
    <w:rsid w:val="009E1035"/>
    <w:rsid w:val="009E16DA"/>
    <w:rsid w:val="009E1CD4"/>
    <w:rsid w:val="009E2391"/>
    <w:rsid w:val="009E3704"/>
    <w:rsid w:val="009E476A"/>
    <w:rsid w:val="009E4E05"/>
    <w:rsid w:val="009E5680"/>
    <w:rsid w:val="009E56FF"/>
    <w:rsid w:val="009E5CB1"/>
    <w:rsid w:val="009E5E56"/>
    <w:rsid w:val="009E61EA"/>
    <w:rsid w:val="009E6990"/>
    <w:rsid w:val="009E6FEE"/>
    <w:rsid w:val="009F002C"/>
    <w:rsid w:val="009F00B9"/>
    <w:rsid w:val="009F060F"/>
    <w:rsid w:val="009F0781"/>
    <w:rsid w:val="009F0850"/>
    <w:rsid w:val="009F170C"/>
    <w:rsid w:val="009F1BDF"/>
    <w:rsid w:val="009F1EAE"/>
    <w:rsid w:val="009F2848"/>
    <w:rsid w:val="009F369D"/>
    <w:rsid w:val="009F36FE"/>
    <w:rsid w:val="009F399F"/>
    <w:rsid w:val="009F4990"/>
    <w:rsid w:val="009F4F25"/>
    <w:rsid w:val="009F59C2"/>
    <w:rsid w:val="009F7263"/>
    <w:rsid w:val="009F76EA"/>
    <w:rsid w:val="009F78EB"/>
    <w:rsid w:val="009F7DB2"/>
    <w:rsid w:val="009F7F32"/>
    <w:rsid w:val="009F7FEB"/>
    <w:rsid w:val="00A003D5"/>
    <w:rsid w:val="00A0056C"/>
    <w:rsid w:val="00A00EDF"/>
    <w:rsid w:val="00A00F5E"/>
    <w:rsid w:val="00A0120D"/>
    <w:rsid w:val="00A01852"/>
    <w:rsid w:val="00A0188B"/>
    <w:rsid w:val="00A01C35"/>
    <w:rsid w:val="00A01E73"/>
    <w:rsid w:val="00A023E7"/>
    <w:rsid w:val="00A02B88"/>
    <w:rsid w:val="00A03160"/>
    <w:rsid w:val="00A036AC"/>
    <w:rsid w:val="00A03A1F"/>
    <w:rsid w:val="00A03C54"/>
    <w:rsid w:val="00A03DE5"/>
    <w:rsid w:val="00A041BC"/>
    <w:rsid w:val="00A0447F"/>
    <w:rsid w:val="00A046D2"/>
    <w:rsid w:val="00A04A54"/>
    <w:rsid w:val="00A058B8"/>
    <w:rsid w:val="00A05B4B"/>
    <w:rsid w:val="00A066C3"/>
    <w:rsid w:val="00A06754"/>
    <w:rsid w:val="00A0696E"/>
    <w:rsid w:val="00A069E0"/>
    <w:rsid w:val="00A06E4A"/>
    <w:rsid w:val="00A070E9"/>
    <w:rsid w:val="00A078FB"/>
    <w:rsid w:val="00A1036D"/>
    <w:rsid w:val="00A1069F"/>
    <w:rsid w:val="00A10ACA"/>
    <w:rsid w:val="00A10D08"/>
    <w:rsid w:val="00A113EB"/>
    <w:rsid w:val="00A11E78"/>
    <w:rsid w:val="00A12038"/>
    <w:rsid w:val="00A12355"/>
    <w:rsid w:val="00A1237C"/>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232"/>
    <w:rsid w:val="00A17584"/>
    <w:rsid w:val="00A17769"/>
    <w:rsid w:val="00A17EA2"/>
    <w:rsid w:val="00A20264"/>
    <w:rsid w:val="00A20997"/>
    <w:rsid w:val="00A210D4"/>
    <w:rsid w:val="00A213DD"/>
    <w:rsid w:val="00A21454"/>
    <w:rsid w:val="00A216CE"/>
    <w:rsid w:val="00A22025"/>
    <w:rsid w:val="00A22498"/>
    <w:rsid w:val="00A22571"/>
    <w:rsid w:val="00A2298D"/>
    <w:rsid w:val="00A23EAB"/>
    <w:rsid w:val="00A24560"/>
    <w:rsid w:val="00A24C11"/>
    <w:rsid w:val="00A25924"/>
    <w:rsid w:val="00A25B0F"/>
    <w:rsid w:val="00A25BBB"/>
    <w:rsid w:val="00A275AC"/>
    <w:rsid w:val="00A27FB6"/>
    <w:rsid w:val="00A30121"/>
    <w:rsid w:val="00A30368"/>
    <w:rsid w:val="00A3043A"/>
    <w:rsid w:val="00A30968"/>
    <w:rsid w:val="00A30E02"/>
    <w:rsid w:val="00A30F6A"/>
    <w:rsid w:val="00A31C3E"/>
    <w:rsid w:val="00A34538"/>
    <w:rsid w:val="00A34677"/>
    <w:rsid w:val="00A3540F"/>
    <w:rsid w:val="00A35630"/>
    <w:rsid w:val="00A35914"/>
    <w:rsid w:val="00A36189"/>
    <w:rsid w:val="00A37975"/>
    <w:rsid w:val="00A37E73"/>
    <w:rsid w:val="00A37FB6"/>
    <w:rsid w:val="00A409BC"/>
    <w:rsid w:val="00A409E2"/>
    <w:rsid w:val="00A4104A"/>
    <w:rsid w:val="00A41081"/>
    <w:rsid w:val="00A411CA"/>
    <w:rsid w:val="00A42080"/>
    <w:rsid w:val="00A42096"/>
    <w:rsid w:val="00A4213F"/>
    <w:rsid w:val="00A426F3"/>
    <w:rsid w:val="00A42939"/>
    <w:rsid w:val="00A42FDF"/>
    <w:rsid w:val="00A430A9"/>
    <w:rsid w:val="00A431FE"/>
    <w:rsid w:val="00A4383A"/>
    <w:rsid w:val="00A439E5"/>
    <w:rsid w:val="00A4414E"/>
    <w:rsid w:val="00A4497A"/>
    <w:rsid w:val="00A44AB5"/>
    <w:rsid w:val="00A44BE8"/>
    <w:rsid w:val="00A44C96"/>
    <w:rsid w:val="00A44CDD"/>
    <w:rsid w:val="00A44F54"/>
    <w:rsid w:val="00A453C7"/>
    <w:rsid w:val="00A4566E"/>
    <w:rsid w:val="00A45F9B"/>
    <w:rsid w:val="00A46574"/>
    <w:rsid w:val="00A47849"/>
    <w:rsid w:val="00A500B1"/>
    <w:rsid w:val="00A506E0"/>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B1F"/>
    <w:rsid w:val="00A61C60"/>
    <w:rsid w:val="00A62589"/>
    <w:rsid w:val="00A62AD0"/>
    <w:rsid w:val="00A62C3A"/>
    <w:rsid w:val="00A6319C"/>
    <w:rsid w:val="00A63812"/>
    <w:rsid w:val="00A63DF7"/>
    <w:rsid w:val="00A6454D"/>
    <w:rsid w:val="00A64F2F"/>
    <w:rsid w:val="00A6551D"/>
    <w:rsid w:val="00A6611E"/>
    <w:rsid w:val="00A66211"/>
    <w:rsid w:val="00A668BA"/>
    <w:rsid w:val="00A66FA7"/>
    <w:rsid w:val="00A67E16"/>
    <w:rsid w:val="00A67EB1"/>
    <w:rsid w:val="00A703CC"/>
    <w:rsid w:val="00A70C5C"/>
    <w:rsid w:val="00A710A2"/>
    <w:rsid w:val="00A71EA7"/>
    <w:rsid w:val="00A72653"/>
    <w:rsid w:val="00A730AD"/>
    <w:rsid w:val="00A73855"/>
    <w:rsid w:val="00A73D64"/>
    <w:rsid w:val="00A74216"/>
    <w:rsid w:val="00A74360"/>
    <w:rsid w:val="00A744B4"/>
    <w:rsid w:val="00A751E3"/>
    <w:rsid w:val="00A7536B"/>
    <w:rsid w:val="00A753B9"/>
    <w:rsid w:val="00A7549A"/>
    <w:rsid w:val="00A75504"/>
    <w:rsid w:val="00A75FD7"/>
    <w:rsid w:val="00A765B4"/>
    <w:rsid w:val="00A7677B"/>
    <w:rsid w:val="00A77168"/>
    <w:rsid w:val="00A7723B"/>
    <w:rsid w:val="00A773C3"/>
    <w:rsid w:val="00A776D0"/>
    <w:rsid w:val="00A7793C"/>
    <w:rsid w:val="00A77D21"/>
    <w:rsid w:val="00A77FAF"/>
    <w:rsid w:val="00A80085"/>
    <w:rsid w:val="00A8043B"/>
    <w:rsid w:val="00A80DA0"/>
    <w:rsid w:val="00A81323"/>
    <w:rsid w:val="00A820CB"/>
    <w:rsid w:val="00A82342"/>
    <w:rsid w:val="00A8236F"/>
    <w:rsid w:val="00A83BEF"/>
    <w:rsid w:val="00A84443"/>
    <w:rsid w:val="00A8487F"/>
    <w:rsid w:val="00A849A3"/>
    <w:rsid w:val="00A84A0E"/>
    <w:rsid w:val="00A8575D"/>
    <w:rsid w:val="00A861F4"/>
    <w:rsid w:val="00A86ADE"/>
    <w:rsid w:val="00A86E0B"/>
    <w:rsid w:val="00A87894"/>
    <w:rsid w:val="00A87DAB"/>
    <w:rsid w:val="00A90F12"/>
    <w:rsid w:val="00A90FF0"/>
    <w:rsid w:val="00A91DAA"/>
    <w:rsid w:val="00A93101"/>
    <w:rsid w:val="00A93239"/>
    <w:rsid w:val="00A9413E"/>
    <w:rsid w:val="00A94293"/>
    <w:rsid w:val="00A9496E"/>
    <w:rsid w:val="00A949F0"/>
    <w:rsid w:val="00A94BDE"/>
    <w:rsid w:val="00A94FCA"/>
    <w:rsid w:val="00A95E4C"/>
    <w:rsid w:val="00A96C60"/>
    <w:rsid w:val="00A9734F"/>
    <w:rsid w:val="00A9740B"/>
    <w:rsid w:val="00A9766C"/>
    <w:rsid w:val="00A977F8"/>
    <w:rsid w:val="00A979DB"/>
    <w:rsid w:val="00A97C93"/>
    <w:rsid w:val="00AA06C6"/>
    <w:rsid w:val="00AA08E7"/>
    <w:rsid w:val="00AA0A06"/>
    <w:rsid w:val="00AA1351"/>
    <w:rsid w:val="00AA184C"/>
    <w:rsid w:val="00AA1AF4"/>
    <w:rsid w:val="00AA1C84"/>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AC6"/>
    <w:rsid w:val="00AB5C19"/>
    <w:rsid w:val="00AB724B"/>
    <w:rsid w:val="00AB726C"/>
    <w:rsid w:val="00AB72B4"/>
    <w:rsid w:val="00AB7A7A"/>
    <w:rsid w:val="00AC02AA"/>
    <w:rsid w:val="00AC0537"/>
    <w:rsid w:val="00AC0A84"/>
    <w:rsid w:val="00AC1508"/>
    <w:rsid w:val="00AC2A0B"/>
    <w:rsid w:val="00AC2BEE"/>
    <w:rsid w:val="00AC2CA8"/>
    <w:rsid w:val="00AC2E53"/>
    <w:rsid w:val="00AC4462"/>
    <w:rsid w:val="00AC484F"/>
    <w:rsid w:val="00AC4B20"/>
    <w:rsid w:val="00AC55C7"/>
    <w:rsid w:val="00AC56F2"/>
    <w:rsid w:val="00AC5D9D"/>
    <w:rsid w:val="00AC71C3"/>
    <w:rsid w:val="00AD09F7"/>
    <w:rsid w:val="00AD1B3B"/>
    <w:rsid w:val="00AD1EFA"/>
    <w:rsid w:val="00AD2072"/>
    <w:rsid w:val="00AD2439"/>
    <w:rsid w:val="00AD2DBD"/>
    <w:rsid w:val="00AD2FBF"/>
    <w:rsid w:val="00AD340E"/>
    <w:rsid w:val="00AD455D"/>
    <w:rsid w:val="00AD463C"/>
    <w:rsid w:val="00AD4F60"/>
    <w:rsid w:val="00AD5044"/>
    <w:rsid w:val="00AD5114"/>
    <w:rsid w:val="00AD5745"/>
    <w:rsid w:val="00AD6236"/>
    <w:rsid w:val="00AD69D5"/>
    <w:rsid w:val="00AD74EE"/>
    <w:rsid w:val="00AD7619"/>
    <w:rsid w:val="00AD7770"/>
    <w:rsid w:val="00AE1772"/>
    <w:rsid w:val="00AE1990"/>
    <w:rsid w:val="00AE25E8"/>
    <w:rsid w:val="00AE2AD4"/>
    <w:rsid w:val="00AE2CA7"/>
    <w:rsid w:val="00AE2E59"/>
    <w:rsid w:val="00AE2F1D"/>
    <w:rsid w:val="00AE4C81"/>
    <w:rsid w:val="00AE4CF8"/>
    <w:rsid w:val="00AE586F"/>
    <w:rsid w:val="00AE62FE"/>
    <w:rsid w:val="00AE6582"/>
    <w:rsid w:val="00AE6D6C"/>
    <w:rsid w:val="00AE6DC5"/>
    <w:rsid w:val="00AE74CB"/>
    <w:rsid w:val="00AE7686"/>
    <w:rsid w:val="00AE799A"/>
    <w:rsid w:val="00AF07A5"/>
    <w:rsid w:val="00AF0E81"/>
    <w:rsid w:val="00AF117A"/>
    <w:rsid w:val="00AF16CA"/>
    <w:rsid w:val="00AF186E"/>
    <w:rsid w:val="00AF19DF"/>
    <w:rsid w:val="00AF1D41"/>
    <w:rsid w:val="00AF26CF"/>
    <w:rsid w:val="00AF3124"/>
    <w:rsid w:val="00AF344D"/>
    <w:rsid w:val="00AF39B3"/>
    <w:rsid w:val="00AF3C1F"/>
    <w:rsid w:val="00AF4402"/>
    <w:rsid w:val="00AF4639"/>
    <w:rsid w:val="00AF4E92"/>
    <w:rsid w:val="00AF554B"/>
    <w:rsid w:val="00AF5C9B"/>
    <w:rsid w:val="00AF5D53"/>
    <w:rsid w:val="00AF5E2D"/>
    <w:rsid w:val="00AF644B"/>
    <w:rsid w:val="00AF67EE"/>
    <w:rsid w:val="00AF69EB"/>
    <w:rsid w:val="00AF6CA6"/>
    <w:rsid w:val="00AF6EB6"/>
    <w:rsid w:val="00AF7796"/>
    <w:rsid w:val="00B011A9"/>
    <w:rsid w:val="00B01BAF"/>
    <w:rsid w:val="00B024ED"/>
    <w:rsid w:val="00B026B8"/>
    <w:rsid w:val="00B02EB3"/>
    <w:rsid w:val="00B02FCB"/>
    <w:rsid w:val="00B033F8"/>
    <w:rsid w:val="00B03C1E"/>
    <w:rsid w:val="00B04400"/>
    <w:rsid w:val="00B046C2"/>
    <w:rsid w:val="00B04835"/>
    <w:rsid w:val="00B04B71"/>
    <w:rsid w:val="00B05A55"/>
    <w:rsid w:val="00B05DE1"/>
    <w:rsid w:val="00B06595"/>
    <w:rsid w:val="00B06862"/>
    <w:rsid w:val="00B10109"/>
    <w:rsid w:val="00B1085E"/>
    <w:rsid w:val="00B10FD1"/>
    <w:rsid w:val="00B112D5"/>
    <w:rsid w:val="00B11378"/>
    <w:rsid w:val="00B120A8"/>
    <w:rsid w:val="00B1219D"/>
    <w:rsid w:val="00B12735"/>
    <w:rsid w:val="00B12F44"/>
    <w:rsid w:val="00B13342"/>
    <w:rsid w:val="00B13B68"/>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168"/>
    <w:rsid w:val="00B1741D"/>
    <w:rsid w:val="00B17447"/>
    <w:rsid w:val="00B1771D"/>
    <w:rsid w:val="00B17B91"/>
    <w:rsid w:val="00B20209"/>
    <w:rsid w:val="00B203C9"/>
    <w:rsid w:val="00B2088D"/>
    <w:rsid w:val="00B208FF"/>
    <w:rsid w:val="00B21271"/>
    <w:rsid w:val="00B22E22"/>
    <w:rsid w:val="00B22F5F"/>
    <w:rsid w:val="00B23353"/>
    <w:rsid w:val="00B23535"/>
    <w:rsid w:val="00B23813"/>
    <w:rsid w:val="00B23FD9"/>
    <w:rsid w:val="00B24591"/>
    <w:rsid w:val="00B245D5"/>
    <w:rsid w:val="00B245EF"/>
    <w:rsid w:val="00B24C36"/>
    <w:rsid w:val="00B24D9F"/>
    <w:rsid w:val="00B24F94"/>
    <w:rsid w:val="00B25126"/>
    <w:rsid w:val="00B25703"/>
    <w:rsid w:val="00B25A52"/>
    <w:rsid w:val="00B25FC3"/>
    <w:rsid w:val="00B2692F"/>
    <w:rsid w:val="00B270F8"/>
    <w:rsid w:val="00B27875"/>
    <w:rsid w:val="00B3008D"/>
    <w:rsid w:val="00B30884"/>
    <w:rsid w:val="00B30E11"/>
    <w:rsid w:val="00B30EAE"/>
    <w:rsid w:val="00B30EEB"/>
    <w:rsid w:val="00B311E4"/>
    <w:rsid w:val="00B31423"/>
    <w:rsid w:val="00B317AE"/>
    <w:rsid w:val="00B323E0"/>
    <w:rsid w:val="00B32D31"/>
    <w:rsid w:val="00B32DC0"/>
    <w:rsid w:val="00B332E2"/>
    <w:rsid w:val="00B3346C"/>
    <w:rsid w:val="00B334D9"/>
    <w:rsid w:val="00B335E4"/>
    <w:rsid w:val="00B33C23"/>
    <w:rsid w:val="00B345B4"/>
    <w:rsid w:val="00B346D9"/>
    <w:rsid w:val="00B348B1"/>
    <w:rsid w:val="00B34A28"/>
    <w:rsid w:val="00B35046"/>
    <w:rsid w:val="00B35B6A"/>
    <w:rsid w:val="00B368EC"/>
    <w:rsid w:val="00B36BE9"/>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304"/>
    <w:rsid w:val="00B4792C"/>
    <w:rsid w:val="00B50CAE"/>
    <w:rsid w:val="00B512AD"/>
    <w:rsid w:val="00B5196C"/>
    <w:rsid w:val="00B525CB"/>
    <w:rsid w:val="00B52697"/>
    <w:rsid w:val="00B52935"/>
    <w:rsid w:val="00B54215"/>
    <w:rsid w:val="00B54D8F"/>
    <w:rsid w:val="00B55857"/>
    <w:rsid w:val="00B55C69"/>
    <w:rsid w:val="00B56851"/>
    <w:rsid w:val="00B56D6E"/>
    <w:rsid w:val="00B572F7"/>
    <w:rsid w:val="00B574C3"/>
    <w:rsid w:val="00B57B9D"/>
    <w:rsid w:val="00B57DAF"/>
    <w:rsid w:val="00B60094"/>
    <w:rsid w:val="00B6022C"/>
    <w:rsid w:val="00B6040C"/>
    <w:rsid w:val="00B614F8"/>
    <w:rsid w:val="00B61994"/>
    <w:rsid w:val="00B61B18"/>
    <w:rsid w:val="00B61FD4"/>
    <w:rsid w:val="00B6235B"/>
    <w:rsid w:val="00B627C3"/>
    <w:rsid w:val="00B62880"/>
    <w:rsid w:val="00B633B6"/>
    <w:rsid w:val="00B63872"/>
    <w:rsid w:val="00B63CB2"/>
    <w:rsid w:val="00B64246"/>
    <w:rsid w:val="00B64EDB"/>
    <w:rsid w:val="00B65938"/>
    <w:rsid w:val="00B65C8A"/>
    <w:rsid w:val="00B65CE2"/>
    <w:rsid w:val="00B660AD"/>
    <w:rsid w:val="00B66109"/>
    <w:rsid w:val="00B66349"/>
    <w:rsid w:val="00B673E2"/>
    <w:rsid w:val="00B67CED"/>
    <w:rsid w:val="00B67FBF"/>
    <w:rsid w:val="00B70832"/>
    <w:rsid w:val="00B71376"/>
    <w:rsid w:val="00B716D7"/>
    <w:rsid w:val="00B72110"/>
    <w:rsid w:val="00B72353"/>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80C72"/>
    <w:rsid w:val="00B816FB"/>
    <w:rsid w:val="00B81964"/>
    <w:rsid w:val="00B81E6F"/>
    <w:rsid w:val="00B82017"/>
    <w:rsid w:val="00B82123"/>
    <w:rsid w:val="00B8220F"/>
    <w:rsid w:val="00B8225B"/>
    <w:rsid w:val="00B82BB5"/>
    <w:rsid w:val="00B83182"/>
    <w:rsid w:val="00B839F0"/>
    <w:rsid w:val="00B851E4"/>
    <w:rsid w:val="00B854CE"/>
    <w:rsid w:val="00B85681"/>
    <w:rsid w:val="00B857EB"/>
    <w:rsid w:val="00B858AD"/>
    <w:rsid w:val="00B85E29"/>
    <w:rsid w:val="00B86162"/>
    <w:rsid w:val="00B8672E"/>
    <w:rsid w:val="00B86877"/>
    <w:rsid w:val="00B8695D"/>
    <w:rsid w:val="00B86E66"/>
    <w:rsid w:val="00B873BA"/>
    <w:rsid w:val="00B8746F"/>
    <w:rsid w:val="00B8760D"/>
    <w:rsid w:val="00B87706"/>
    <w:rsid w:val="00B87BDA"/>
    <w:rsid w:val="00B90A49"/>
    <w:rsid w:val="00B90A73"/>
    <w:rsid w:val="00B91B8E"/>
    <w:rsid w:val="00B92531"/>
    <w:rsid w:val="00B92618"/>
    <w:rsid w:val="00B92751"/>
    <w:rsid w:val="00B92B69"/>
    <w:rsid w:val="00B92CC6"/>
    <w:rsid w:val="00B935C9"/>
    <w:rsid w:val="00B93E3D"/>
    <w:rsid w:val="00B9525F"/>
    <w:rsid w:val="00B95464"/>
    <w:rsid w:val="00B9589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42C"/>
    <w:rsid w:val="00BA3982"/>
    <w:rsid w:val="00BA405F"/>
    <w:rsid w:val="00BA4771"/>
    <w:rsid w:val="00BA482B"/>
    <w:rsid w:val="00BA5027"/>
    <w:rsid w:val="00BA665B"/>
    <w:rsid w:val="00BA6C48"/>
    <w:rsid w:val="00BA6FE8"/>
    <w:rsid w:val="00BA732D"/>
    <w:rsid w:val="00BA7370"/>
    <w:rsid w:val="00BA778B"/>
    <w:rsid w:val="00BB0888"/>
    <w:rsid w:val="00BB0DF1"/>
    <w:rsid w:val="00BB0E9B"/>
    <w:rsid w:val="00BB1A75"/>
    <w:rsid w:val="00BB2841"/>
    <w:rsid w:val="00BB300F"/>
    <w:rsid w:val="00BB32C9"/>
    <w:rsid w:val="00BB35C5"/>
    <w:rsid w:val="00BB39D8"/>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209F"/>
    <w:rsid w:val="00BC2647"/>
    <w:rsid w:val="00BC2898"/>
    <w:rsid w:val="00BC2928"/>
    <w:rsid w:val="00BC29BD"/>
    <w:rsid w:val="00BC2BB1"/>
    <w:rsid w:val="00BC34A3"/>
    <w:rsid w:val="00BC3FF9"/>
    <w:rsid w:val="00BC4834"/>
    <w:rsid w:val="00BC4A97"/>
    <w:rsid w:val="00BC4BBC"/>
    <w:rsid w:val="00BC5A25"/>
    <w:rsid w:val="00BC5FDD"/>
    <w:rsid w:val="00BC68B4"/>
    <w:rsid w:val="00BC7277"/>
    <w:rsid w:val="00BC7DC0"/>
    <w:rsid w:val="00BD0140"/>
    <w:rsid w:val="00BD02CC"/>
    <w:rsid w:val="00BD088E"/>
    <w:rsid w:val="00BD0F18"/>
    <w:rsid w:val="00BD12A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2BC3"/>
    <w:rsid w:val="00BE3442"/>
    <w:rsid w:val="00BE37CD"/>
    <w:rsid w:val="00BE41B1"/>
    <w:rsid w:val="00BE47B2"/>
    <w:rsid w:val="00BE48C7"/>
    <w:rsid w:val="00BE4F66"/>
    <w:rsid w:val="00BE4FBF"/>
    <w:rsid w:val="00BE5172"/>
    <w:rsid w:val="00BE5238"/>
    <w:rsid w:val="00BE5742"/>
    <w:rsid w:val="00BE57B3"/>
    <w:rsid w:val="00BE6074"/>
    <w:rsid w:val="00BE6D73"/>
    <w:rsid w:val="00BE7257"/>
    <w:rsid w:val="00BF020D"/>
    <w:rsid w:val="00BF0532"/>
    <w:rsid w:val="00BF0609"/>
    <w:rsid w:val="00BF0EE8"/>
    <w:rsid w:val="00BF10ED"/>
    <w:rsid w:val="00BF1DD2"/>
    <w:rsid w:val="00BF23A3"/>
    <w:rsid w:val="00BF2A7E"/>
    <w:rsid w:val="00BF3331"/>
    <w:rsid w:val="00BF3A45"/>
    <w:rsid w:val="00BF3C08"/>
    <w:rsid w:val="00BF3E98"/>
    <w:rsid w:val="00BF436F"/>
    <w:rsid w:val="00BF5899"/>
    <w:rsid w:val="00BF5C05"/>
    <w:rsid w:val="00BF6FC6"/>
    <w:rsid w:val="00BF7C52"/>
    <w:rsid w:val="00BF7F99"/>
    <w:rsid w:val="00C00713"/>
    <w:rsid w:val="00C009A0"/>
    <w:rsid w:val="00C01F74"/>
    <w:rsid w:val="00C02558"/>
    <w:rsid w:val="00C0285F"/>
    <w:rsid w:val="00C028F5"/>
    <w:rsid w:val="00C02F35"/>
    <w:rsid w:val="00C03305"/>
    <w:rsid w:val="00C03515"/>
    <w:rsid w:val="00C03738"/>
    <w:rsid w:val="00C037A6"/>
    <w:rsid w:val="00C04221"/>
    <w:rsid w:val="00C043F5"/>
    <w:rsid w:val="00C044E3"/>
    <w:rsid w:val="00C04607"/>
    <w:rsid w:val="00C04BDB"/>
    <w:rsid w:val="00C04E66"/>
    <w:rsid w:val="00C052C6"/>
    <w:rsid w:val="00C05A61"/>
    <w:rsid w:val="00C05FBA"/>
    <w:rsid w:val="00C05FEE"/>
    <w:rsid w:val="00C06CCF"/>
    <w:rsid w:val="00C0794D"/>
    <w:rsid w:val="00C10E78"/>
    <w:rsid w:val="00C1159D"/>
    <w:rsid w:val="00C1233E"/>
    <w:rsid w:val="00C12FB3"/>
    <w:rsid w:val="00C138BC"/>
    <w:rsid w:val="00C13D85"/>
    <w:rsid w:val="00C14639"/>
    <w:rsid w:val="00C14E82"/>
    <w:rsid w:val="00C14FF6"/>
    <w:rsid w:val="00C15257"/>
    <w:rsid w:val="00C15567"/>
    <w:rsid w:val="00C15A85"/>
    <w:rsid w:val="00C1637C"/>
    <w:rsid w:val="00C1641B"/>
    <w:rsid w:val="00C165FC"/>
    <w:rsid w:val="00C16DCE"/>
    <w:rsid w:val="00C176D5"/>
    <w:rsid w:val="00C17D24"/>
    <w:rsid w:val="00C2082C"/>
    <w:rsid w:val="00C20EB0"/>
    <w:rsid w:val="00C21004"/>
    <w:rsid w:val="00C21005"/>
    <w:rsid w:val="00C214C3"/>
    <w:rsid w:val="00C21D98"/>
    <w:rsid w:val="00C220B6"/>
    <w:rsid w:val="00C22D7C"/>
    <w:rsid w:val="00C22DDE"/>
    <w:rsid w:val="00C2338B"/>
    <w:rsid w:val="00C233CE"/>
    <w:rsid w:val="00C237DD"/>
    <w:rsid w:val="00C238F4"/>
    <w:rsid w:val="00C2393A"/>
    <w:rsid w:val="00C23A99"/>
    <w:rsid w:val="00C245EE"/>
    <w:rsid w:val="00C24AE1"/>
    <w:rsid w:val="00C24B8D"/>
    <w:rsid w:val="00C24BD7"/>
    <w:rsid w:val="00C25813"/>
    <w:rsid w:val="00C26C71"/>
    <w:rsid w:val="00C27143"/>
    <w:rsid w:val="00C27490"/>
    <w:rsid w:val="00C27D37"/>
    <w:rsid w:val="00C309E8"/>
    <w:rsid w:val="00C32017"/>
    <w:rsid w:val="00C32571"/>
    <w:rsid w:val="00C325CD"/>
    <w:rsid w:val="00C3322E"/>
    <w:rsid w:val="00C333B2"/>
    <w:rsid w:val="00C337F5"/>
    <w:rsid w:val="00C3383E"/>
    <w:rsid w:val="00C33B90"/>
    <w:rsid w:val="00C34161"/>
    <w:rsid w:val="00C34B5F"/>
    <w:rsid w:val="00C358D4"/>
    <w:rsid w:val="00C365C6"/>
    <w:rsid w:val="00C366F4"/>
    <w:rsid w:val="00C36785"/>
    <w:rsid w:val="00C36C0E"/>
    <w:rsid w:val="00C3711C"/>
    <w:rsid w:val="00C37256"/>
    <w:rsid w:val="00C37A7B"/>
    <w:rsid w:val="00C37DC1"/>
    <w:rsid w:val="00C37FFE"/>
    <w:rsid w:val="00C40B50"/>
    <w:rsid w:val="00C419E3"/>
    <w:rsid w:val="00C419F4"/>
    <w:rsid w:val="00C41E6A"/>
    <w:rsid w:val="00C42247"/>
    <w:rsid w:val="00C428E7"/>
    <w:rsid w:val="00C43265"/>
    <w:rsid w:val="00C438A2"/>
    <w:rsid w:val="00C439BE"/>
    <w:rsid w:val="00C4539B"/>
    <w:rsid w:val="00C45466"/>
    <w:rsid w:val="00C455C1"/>
    <w:rsid w:val="00C4581D"/>
    <w:rsid w:val="00C46294"/>
    <w:rsid w:val="00C46599"/>
    <w:rsid w:val="00C47472"/>
    <w:rsid w:val="00C500F0"/>
    <w:rsid w:val="00C504A7"/>
    <w:rsid w:val="00C506C9"/>
    <w:rsid w:val="00C50A16"/>
    <w:rsid w:val="00C51C9A"/>
    <w:rsid w:val="00C51DE0"/>
    <w:rsid w:val="00C52C68"/>
    <w:rsid w:val="00C52D98"/>
    <w:rsid w:val="00C52DA1"/>
    <w:rsid w:val="00C53007"/>
    <w:rsid w:val="00C53D24"/>
    <w:rsid w:val="00C54640"/>
    <w:rsid w:val="00C547A6"/>
    <w:rsid w:val="00C54A3A"/>
    <w:rsid w:val="00C55C32"/>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8CD"/>
    <w:rsid w:val="00C63DDD"/>
    <w:rsid w:val="00C63E99"/>
    <w:rsid w:val="00C649B8"/>
    <w:rsid w:val="00C64A64"/>
    <w:rsid w:val="00C64A66"/>
    <w:rsid w:val="00C65151"/>
    <w:rsid w:val="00C653BE"/>
    <w:rsid w:val="00C657F4"/>
    <w:rsid w:val="00C6598D"/>
    <w:rsid w:val="00C660FE"/>
    <w:rsid w:val="00C66119"/>
    <w:rsid w:val="00C66292"/>
    <w:rsid w:val="00C672A3"/>
    <w:rsid w:val="00C672F1"/>
    <w:rsid w:val="00C673D0"/>
    <w:rsid w:val="00C6742E"/>
    <w:rsid w:val="00C67B0B"/>
    <w:rsid w:val="00C67C0E"/>
    <w:rsid w:val="00C67F7A"/>
    <w:rsid w:val="00C70012"/>
    <w:rsid w:val="00C70622"/>
    <w:rsid w:val="00C70BF6"/>
    <w:rsid w:val="00C71E2A"/>
    <w:rsid w:val="00C733BA"/>
    <w:rsid w:val="00C760DC"/>
    <w:rsid w:val="00C76D48"/>
    <w:rsid w:val="00C770C5"/>
    <w:rsid w:val="00C8082B"/>
    <w:rsid w:val="00C81A88"/>
    <w:rsid w:val="00C81D46"/>
    <w:rsid w:val="00C82298"/>
    <w:rsid w:val="00C82DC7"/>
    <w:rsid w:val="00C8331F"/>
    <w:rsid w:val="00C833B4"/>
    <w:rsid w:val="00C84284"/>
    <w:rsid w:val="00C84954"/>
    <w:rsid w:val="00C84B8C"/>
    <w:rsid w:val="00C84E33"/>
    <w:rsid w:val="00C85682"/>
    <w:rsid w:val="00C85FFC"/>
    <w:rsid w:val="00C861FC"/>
    <w:rsid w:val="00C868BB"/>
    <w:rsid w:val="00C86C87"/>
    <w:rsid w:val="00C9005E"/>
    <w:rsid w:val="00C90111"/>
    <w:rsid w:val="00C9038E"/>
    <w:rsid w:val="00C9077B"/>
    <w:rsid w:val="00C90CA9"/>
    <w:rsid w:val="00C90F88"/>
    <w:rsid w:val="00C915F2"/>
    <w:rsid w:val="00C917B1"/>
    <w:rsid w:val="00C9193C"/>
    <w:rsid w:val="00C91B77"/>
    <w:rsid w:val="00C91B8E"/>
    <w:rsid w:val="00C920E2"/>
    <w:rsid w:val="00C9370F"/>
    <w:rsid w:val="00C93765"/>
    <w:rsid w:val="00C93877"/>
    <w:rsid w:val="00C93D8C"/>
    <w:rsid w:val="00C93E07"/>
    <w:rsid w:val="00C946CC"/>
    <w:rsid w:val="00C959BD"/>
    <w:rsid w:val="00C95DFE"/>
    <w:rsid w:val="00C95F44"/>
    <w:rsid w:val="00C96389"/>
    <w:rsid w:val="00C96D1B"/>
    <w:rsid w:val="00C96FC4"/>
    <w:rsid w:val="00C97106"/>
    <w:rsid w:val="00C978D4"/>
    <w:rsid w:val="00CA0031"/>
    <w:rsid w:val="00CA0413"/>
    <w:rsid w:val="00CA043A"/>
    <w:rsid w:val="00CA0E51"/>
    <w:rsid w:val="00CA1691"/>
    <w:rsid w:val="00CA41E7"/>
    <w:rsid w:val="00CA4A99"/>
    <w:rsid w:val="00CA5520"/>
    <w:rsid w:val="00CA5812"/>
    <w:rsid w:val="00CA5BD4"/>
    <w:rsid w:val="00CA5C14"/>
    <w:rsid w:val="00CA6576"/>
    <w:rsid w:val="00CA7019"/>
    <w:rsid w:val="00CA76FC"/>
    <w:rsid w:val="00CA7E7B"/>
    <w:rsid w:val="00CB0236"/>
    <w:rsid w:val="00CB0516"/>
    <w:rsid w:val="00CB0CB1"/>
    <w:rsid w:val="00CB0E2E"/>
    <w:rsid w:val="00CB1881"/>
    <w:rsid w:val="00CB1969"/>
    <w:rsid w:val="00CB19E3"/>
    <w:rsid w:val="00CB2C3A"/>
    <w:rsid w:val="00CB2D38"/>
    <w:rsid w:val="00CB2F5E"/>
    <w:rsid w:val="00CB3C9D"/>
    <w:rsid w:val="00CB4137"/>
    <w:rsid w:val="00CB4581"/>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74"/>
    <w:rsid w:val="00CC21AC"/>
    <w:rsid w:val="00CC232E"/>
    <w:rsid w:val="00CC2514"/>
    <w:rsid w:val="00CC2D34"/>
    <w:rsid w:val="00CC2F69"/>
    <w:rsid w:val="00CC315F"/>
    <w:rsid w:val="00CC3C22"/>
    <w:rsid w:val="00CC3D38"/>
    <w:rsid w:val="00CC40C3"/>
    <w:rsid w:val="00CC414A"/>
    <w:rsid w:val="00CC4CB4"/>
    <w:rsid w:val="00CC4E5D"/>
    <w:rsid w:val="00CC50AE"/>
    <w:rsid w:val="00CC5FFE"/>
    <w:rsid w:val="00CC61B7"/>
    <w:rsid w:val="00CC61CA"/>
    <w:rsid w:val="00CC69EC"/>
    <w:rsid w:val="00CC71D3"/>
    <w:rsid w:val="00CC743D"/>
    <w:rsid w:val="00CD02ED"/>
    <w:rsid w:val="00CD050A"/>
    <w:rsid w:val="00CD0AE0"/>
    <w:rsid w:val="00CD0F92"/>
    <w:rsid w:val="00CD1017"/>
    <w:rsid w:val="00CD205D"/>
    <w:rsid w:val="00CD2A22"/>
    <w:rsid w:val="00CD2B50"/>
    <w:rsid w:val="00CD3172"/>
    <w:rsid w:val="00CD4399"/>
    <w:rsid w:val="00CD4506"/>
    <w:rsid w:val="00CD520B"/>
    <w:rsid w:val="00CD53D4"/>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093F"/>
    <w:rsid w:val="00CF1226"/>
    <w:rsid w:val="00CF1ABB"/>
    <w:rsid w:val="00CF1E1D"/>
    <w:rsid w:val="00CF24FE"/>
    <w:rsid w:val="00CF287F"/>
    <w:rsid w:val="00CF35D0"/>
    <w:rsid w:val="00CF3B57"/>
    <w:rsid w:val="00CF3DD5"/>
    <w:rsid w:val="00CF4AF7"/>
    <w:rsid w:val="00CF4D20"/>
    <w:rsid w:val="00CF73F8"/>
    <w:rsid w:val="00CF7928"/>
    <w:rsid w:val="00CF7CA2"/>
    <w:rsid w:val="00D00911"/>
    <w:rsid w:val="00D00A8E"/>
    <w:rsid w:val="00D00DE0"/>
    <w:rsid w:val="00D00F79"/>
    <w:rsid w:val="00D012BF"/>
    <w:rsid w:val="00D01760"/>
    <w:rsid w:val="00D0368E"/>
    <w:rsid w:val="00D03AC3"/>
    <w:rsid w:val="00D03D2D"/>
    <w:rsid w:val="00D03E7B"/>
    <w:rsid w:val="00D0401A"/>
    <w:rsid w:val="00D043AA"/>
    <w:rsid w:val="00D047E0"/>
    <w:rsid w:val="00D04B9F"/>
    <w:rsid w:val="00D04D43"/>
    <w:rsid w:val="00D04FFB"/>
    <w:rsid w:val="00D055FE"/>
    <w:rsid w:val="00D058E9"/>
    <w:rsid w:val="00D0612A"/>
    <w:rsid w:val="00D07DE9"/>
    <w:rsid w:val="00D1060D"/>
    <w:rsid w:val="00D10D14"/>
    <w:rsid w:val="00D10E7C"/>
    <w:rsid w:val="00D11182"/>
    <w:rsid w:val="00D1137B"/>
    <w:rsid w:val="00D11508"/>
    <w:rsid w:val="00D11807"/>
    <w:rsid w:val="00D11DB3"/>
    <w:rsid w:val="00D12664"/>
    <w:rsid w:val="00D12D82"/>
    <w:rsid w:val="00D12F77"/>
    <w:rsid w:val="00D1306E"/>
    <w:rsid w:val="00D130B7"/>
    <w:rsid w:val="00D134CD"/>
    <w:rsid w:val="00D13837"/>
    <w:rsid w:val="00D14B5F"/>
    <w:rsid w:val="00D14E13"/>
    <w:rsid w:val="00D14F23"/>
    <w:rsid w:val="00D160F6"/>
    <w:rsid w:val="00D16740"/>
    <w:rsid w:val="00D16A8B"/>
    <w:rsid w:val="00D16E39"/>
    <w:rsid w:val="00D171DE"/>
    <w:rsid w:val="00D172A4"/>
    <w:rsid w:val="00D17951"/>
    <w:rsid w:val="00D17AD8"/>
    <w:rsid w:val="00D2104A"/>
    <w:rsid w:val="00D21A58"/>
    <w:rsid w:val="00D21BB5"/>
    <w:rsid w:val="00D21FFC"/>
    <w:rsid w:val="00D222FD"/>
    <w:rsid w:val="00D223B6"/>
    <w:rsid w:val="00D223E8"/>
    <w:rsid w:val="00D224E1"/>
    <w:rsid w:val="00D22DC8"/>
    <w:rsid w:val="00D23FAF"/>
    <w:rsid w:val="00D2477B"/>
    <w:rsid w:val="00D2522A"/>
    <w:rsid w:val="00D2531C"/>
    <w:rsid w:val="00D25428"/>
    <w:rsid w:val="00D2553E"/>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5A45"/>
    <w:rsid w:val="00D466C9"/>
    <w:rsid w:val="00D47275"/>
    <w:rsid w:val="00D517F6"/>
    <w:rsid w:val="00D51AB7"/>
    <w:rsid w:val="00D51E15"/>
    <w:rsid w:val="00D52B7E"/>
    <w:rsid w:val="00D52E2F"/>
    <w:rsid w:val="00D52F59"/>
    <w:rsid w:val="00D53445"/>
    <w:rsid w:val="00D53A2E"/>
    <w:rsid w:val="00D53E3E"/>
    <w:rsid w:val="00D54620"/>
    <w:rsid w:val="00D54868"/>
    <w:rsid w:val="00D5564C"/>
    <w:rsid w:val="00D55904"/>
    <w:rsid w:val="00D5614E"/>
    <w:rsid w:val="00D5616F"/>
    <w:rsid w:val="00D57940"/>
    <w:rsid w:val="00D60327"/>
    <w:rsid w:val="00D60D6D"/>
    <w:rsid w:val="00D61384"/>
    <w:rsid w:val="00D61526"/>
    <w:rsid w:val="00D61C39"/>
    <w:rsid w:val="00D61F81"/>
    <w:rsid w:val="00D620A6"/>
    <w:rsid w:val="00D623C0"/>
    <w:rsid w:val="00D62BE6"/>
    <w:rsid w:val="00D63359"/>
    <w:rsid w:val="00D63766"/>
    <w:rsid w:val="00D63912"/>
    <w:rsid w:val="00D63923"/>
    <w:rsid w:val="00D6451B"/>
    <w:rsid w:val="00D64B57"/>
    <w:rsid w:val="00D651A1"/>
    <w:rsid w:val="00D656F7"/>
    <w:rsid w:val="00D65DEA"/>
    <w:rsid w:val="00D6650F"/>
    <w:rsid w:val="00D66579"/>
    <w:rsid w:val="00D676D3"/>
    <w:rsid w:val="00D67B06"/>
    <w:rsid w:val="00D67BC7"/>
    <w:rsid w:val="00D70058"/>
    <w:rsid w:val="00D701F1"/>
    <w:rsid w:val="00D705D2"/>
    <w:rsid w:val="00D705D3"/>
    <w:rsid w:val="00D70E00"/>
    <w:rsid w:val="00D70F7C"/>
    <w:rsid w:val="00D70FA1"/>
    <w:rsid w:val="00D715AC"/>
    <w:rsid w:val="00D71851"/>
    <w:rsid w:val="00D718CF"/>
    <w:rsid w:val="00D728F5"/>
    <w:rsid w:val="00D72B7E"/>
    <w:rsid w:val="00D72E9D"/>
    <w:rsid w:val="00D73249"/>
    <w:rsid w:val="00D73419"/>
    <w:rsid w:val="00D73881"/>
    <w:rsid w:val="00D73CA9"/>
    <w:rsid w:val="00D74066"/>
    <w:rsid w:val="00D746E2"/>
    <w:rsid w:val="00D751B7"/>
    <w:rsid w:val="00D7524B"/>
    <w:rsid w:val="00D75396"/>
    <w:rsid w:val="00D759C0"/>
    <w:rsid w:val="00D75E99"/>
    <w:rsid w:val="00D765CE"/>
    <w:rsid w:val="00D766C7"/>
    <w:rsid w:val="00D7692B"/>
    <w:rsid w:val="00D769E0"/>
    <w:rsid w:val="00D7734F"/>
    <w:rsid w:val="00D7791D"/>
    <w:rsid w:val="00D8039E"/>
    <w:rsid w:val="00D8044C"/>
    <w:rsid w:val="00D805D6"/>
    <w:rsid w:val="00D8075E"/>
    <w:rsid w:val="00D80860"/>
    <w:rsid w:val="00D80B75"/>
    <w:rsid w:val="00D80D4C"/>
    <w:rsid w:val="00D81782"/>
    <w:rsid w:val="00D8184D"/>
    <w:rsid w:val="00D81A7B"/>
    <w:rsid w:val="00D8223C"/>
    <w:rsid w:val="00D82B57"/>
    <w:rsid w:val="00D82CE5"/>
    <w:rsid w:val="00D831E3"/>
    <w:rsid w:val="00D8342C"/>
    <w:rsid w:val="00D83F9F"/>
    <w:rsid w:val="00D84983"/>
    <w:rsid w:val="00D84C00"/>
    <w:rsid w:val="00D85494"/>
    <w:rsid w:val="00D8582C"/>
    <w:rsid w:val="00D85D61"/>
    <w:rsid w:val="00D8616D"/>
    <w:rsid w:val="00D869BF"/>
    <w:rsid w:val="00D8711B"/>
    <w:rsid w:val="00D87384"/>
    <w:rsid w:val="00D90683"/>
    <w:rsid w:val="00D90B2A"/>
    <w:rsid w:val="00D91483"/>
    <w:rsid w:val="00D915C8"/>
    <w:rsid w:val="00D9310B"/>
    <w:rsid w:val="00D931F3"/>
    <w:rsid w:val="00D93726"/>
    <w:rsid w:val="00D93F3E"/>
    <w:rsid w:val="00D9405B"/>
    <w:rsid w:val="00D944AC"/>
    <w:rsid w:val="00D94942"/>
    <w:rsid w:val="00D94E5D"/>
    <w:rsid w:val="00D95145"/>
    <w:rsid w:val="00D9614B"/>
    <w:rsid w:val="00D96594"/>
    <w:rsid w:val="00D967CB"/>
    <w:rsid w:val="00D968D4"/>
    <w:rsid w:val="00D96C40"/>
    <w:rsid w:val="00D96EE0"/>
    <w:rsid w:val="00D97BD1"/>
    <w:rsid w:val="00D97E8F"/>
    <w:rsid w:val="00DA00C3"/>
    <w:rsid w:val="00DA01E9"/>
    <w:rsid w:val="00DA06B8"/>
    <w:rsid w:val="00DA12C1"/>
    <w:rsid w:val="00DA14A9"/>
    <w:rsid w:val="00DA286D"/>
    <w:rsid w:val="00DA2969"/>
    <w:rsid w:val="00DA29B7"/>
    <w:rsid w:val="00DA2E5F"/>
    <w:rsid w:val="00DA337C"/>
    <w:rsid w:val="00DA4842"/>
    <w:rsid w:val="00DA4C97"/>
    <w:rsid w:val="00DA52BB"/>
    <w:rsid w:val="00DA5989"/>
    <w:rsid w:val="00DA5AB1"/>
    <w:rsid w:val="00DA5F9D"/>
    <w:rsid w:val="00DA69B2"/>
    <w:rsid w:val="00DA7462"/>
    <w:rsid w:val="00DA7AD0"/>
    <w:rsid w:val="00DB02D7"/>
    <w:rsid w:val="00DB03CC"/>
    <w:rsid w:val="00DB12D4"/>
    <w:rsid w:val="00DB1445"/>
    <w:rsid w:val="00DB14F0"/>
    <w:rsid w:val="00DB1745"/>
    <w:rsid w:val="00DB19BB"/>
    <w:rsid w:val="00DB1AFF"/>
    <w:rsid w:val="00DB219A"/>
    <w:rsid w:val="00DB229C"/>
    <w:rsid w:val="00DB3165"/>
    <w:rsid w:val="00DB420F"/>
    <w:rsid w:val="00DB4292"/>
    <w:rsid w:val="00DB4DB7"/>
    <w:rsid w:val="00DB5023"/>
    <w:rsid w:val="00DB5767"/>
    <w:rsid w:val="00DB6E46"/>
    <w:rsid w:val="00DB7117"/>
    <w:rsid w:val="00DB7760"/>
    <w:rsid w:val="00DB7DD4"/>
    <w:rsid w:val="00DC00B4"/>
    <w:rsid w:val="00DC0195"/>
    <w:rsid w:val="00DC0759"/>
    <w:rsid w:val="00DC0954"/>
    <w:rsid w:val="00DC0DF8"/>
    <w:rsid w:val="00DC15BA"/>
    <w:rsid w:val="00DC18CD"/>
    <w:rsid w:val="00DC1A68"/>
    <w:rsid w:val="00DC246C"/>
    <w:rsid w:val="00DC30B8"/>
    <w:rsid w:val="00DC3F5B"/>
    <w:rsid w:val="00DC478F"/>
    <w:rsid w:val="00DC61AC"/>
    <w:rsid w:val="00DC62E5"/>
    <w:rsid w:val="00DC6D70"/>
    <w:rsid w:val="00DC6F33"/>
    <w:rsid w:val="00DC7349"/>
    <w:rsid w:val="00DC7389"/>
    <w:rsid w:val="00DC7402"/>
    <w:rsid w:val="00DD0EA9"/>
    <w:rsid w:val="00DD14D8"/>
    <w:rsid w:val="00DD1599"/>
    <w:rsid w:val="00DD16F1"/>
    <w:rsid w:val="00DD1B03"/>
    <w:rsid w:val="00DD1E43"/>
    <w:rsid w:val="00DD2A62"/>
    <w:rsid w:val="00DD2F2F"/>
    <w:rsid w:val="00DD2F7A"/>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3119"/>
    <w:rsid w:val="00DE3C24"/>
    <w:rsid w:val="00DE3FF0"/>
    <w:rsid w:val="00DE4105"/>
    <w:rsid w:val="00DE5189"/>
    <w:rsid w:val="00DE63F8"/>
    <w:rsid w:val="00DE7108"/>
    <w:rsid w:val="00DE74AC"/>
    <w:rsid w:val="00DE78D1"/>
    <w:rsid w:val="00DE78FF"/>
    <w:rsid w:val="00DF0263"/>
    <w:rsid w:val="00DF0EB4"/>
    <w:rsid w:val="00DF158B"/>
    <w:rsid w:val="00DF1733"/>
    <w:rsid w:val="00DF193C"/>
    <w:rsid w:val="00DF1E36"/>
    <w:rsid w:val="00DF236B"/>
    <w:rsid w:val="00DF2A91"/>
    <w:rsid w:val="00DF3889"/>
    <w:rsid w:val="00DF38E2"/>
    <w:rsid w:val="00DF3CC9"/>
    <w:rsid w:val="00DF4451"/>
    <w:rsid w:val="00DF49FF"/>
    <w:rsid w:val="00DF4FFB"/>
    <w:rsid w:val="00DF5236"/>
    <w:rsid w:val="00DF6232"/>
    <w:rsid w:val="00DF651F"/>
    <w:rsid w:val="00DF6F43"/>
    <w:rsid w:val="00DF71EA"/>
    <w:rsid w:val="00DF752F"/>
    <w:rsid w:val="00DF76A2"/>
    <w:rsid w:val="00DF786B"/>
    <w:rsid w:val="00E00B7A"/>
    <w:rsid w:val="00E01519"/>
    <w:rsid w:val="00E02186"/>
    <w:rsid w:val="00E025C2"/>
    <w:rsid w:val="00E026BB"/>
    <w:rsid w:val="00E027C5"/>
    <w:rsid w:val="00E03122"/>
    <w:rsid w:val="00E03124"/>
    <w:rsid w:val="00E031C3"/>
    <w:rsid w:val="00E03951"/>
    <w:rsid w:val="00E03DB8"/>
    <w:rsid w:val="00E03F17"/>
    <w:rsid w:val="00E03F9B"/>
    <w:rsid w:val="00E0420C"/>
    <w:rsid w:val="00E04EDD"/>
    <w:rsid w:val="00E05B0B"/>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52AF"/>
    <w:rsid w:val="00E16382"/>
    <w:rsid w:val="00E1699C"/>
    <w:rsid w:val="00E16E75"/>
    <w:rsid w:val="00E171A8"/>
    <w:rsid w:val="00E1746D"/>
    <w:rsid w:val="00E17FF4"/>
    <w:rsid w:val="00E2012A"/>
    <w:rsid w:val="00E205A2"/>
    <w:rsid w:val="00E20BA4"/>
    <w:rsid w:val="00E210D0"/>
    <w:rsid w:val="00E21887"/>
    <w:rsid w:val="00E21CC0"/>
    <w:rsid w:val="00E23137"/>
    <w:rsid w:val="00E23980"/>
    <w:rsid w:val="00E23FDF"/>
    <w:rsid w:val="00E241E9"/>
    <w:rsid w:val="00E254C3"/>
    <w:rsid w:val="00E257C3"/>
    <w:rsid w:val="00E259C8"/>
    <w:rsid w:val="00E25CB3"/>
    <w:rsid w:val="00E25DA4"/>
    <w:rsid w:val="00E26237"/>
    <w:rsid w:val="00E26A4A"/>
    <w:rsid w:val="00E26CB8"/>
    <w:rsid w:val="00E26D16"/>
    <w:rsid w:val="00E26FCF"/>
    <w:rsid w:val="00E27165"/>
    <w:rsid w:val="00E275D9"/>
    <w:rsid w:val="00E3044A"/>
    <w:rsid w:val="00E30E49"/>
    <w:rsid w:val="00E315A4"/>
    <w:rsid w:val="00E31679"/>
    <w:rsid w:val="00E31A4A"/>
    <w:rsid w:val="00E31CD4"/>
    <w:rsid w:val="00E3344A"/>
    <w:rsid w:val="00E33B29"/>
    <w:rsid w:val="00E33B62"/>
    <w:rsid w:val="00E3403D"/>
    <w:rsid w:val="00E343FD"/>
    <w:rsid w:val="00E344BD"/>
    <w:rsid w:val="00E3452B"/>
    <w:rsid w:val="00E34E6C"/>
    <w:rsid w:val="00E353E2"/>
    <w:rsid w:val="00E35F21"/>
    <w:rsid w:val="00E36345"/>
    <w:rsid w:val="00E36C86"/>
    <w:rsid w:val="00E36CEB"/>
    <w:rsid w:val="00E37A28"/>
    <w:rsid w:val="00E400C7"/>
    <w:rsid w:val="00E40430"/>
    <w:rsid w:val="00E40690"/>
    <w:rsid w:val="00E40AEB"/>
    <w:rsid w:val="00E40E82"/>
    <w:rsid w:val="00E41141"/>
    <w:rsid w:val="00E4143A"/>
    <w:rsid w:val="00E424C8"/>
    <w:rsid w:val="00E4251D"/>
    <w:rsid w:val="00E43D00"/>
    <w:rsid w:val="00E443B4"/>
    <w:rsid w:val="00E445E4"/>
    <w:rsid w:val="00E44EDE"/>
    <w:rsid w:val="00E457CB"/>
    <w:rsid w:val="00E45D47"/>
    <w:rsid w:val="00E45DE4"/>
    <w:rsid w:val="00E45E63"/>
    <w:rsid w:val="00E4759C"/>
    <w:rsid w:val="00E50A7B"/>
    <w:rsid w:val="00E50B0B"/>
    <w:rsid w:val="00E50C57"/>
    <w:rsid w:val="00E510FE"/>
    <w:rsid w:val="00E514BA"/>
    <w:rsid w:val="00E51E25"/>
    <w:rsid w:val="00E51F38"/>
    <w:rsid w:val="00E5205B"/>
    <w:rsid w:val="00E521AE"/>
    <w:rsid w:val="00E529A3"/>
    <w:rsid w:val="00E52C48"/>
    <w:rsid w:val="00E52EB3"/>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811"/>
    <w:rsid w:val="00E57FB0"/>
    <w:rsid w:val="00E601BE"/>
    <w:rsid w:val="00E60A44"/>
    <w:rsid w:val="00E60B5F"/>
    <w:rsid w:val="00E60DC8"/>
    <w:rsid w:val="00E613AE"/>
    <w:rsid w:val="00E61429"/>
    <w:rsid w:val="00E61ABB"/>
    <w:rsid w:val="00E61FD7"/>
    <w:rsid w:val="00E623E6"/>
    <w:rsid w:val="00E62C76"/>
    <w:rsid w:val="00E630A2"/>
    <w:rsid w:val="00E630C0"/>
    <w:rsid w:val="00E63107"/>
    <w:rsid w:val="00E6312C"/>
    <w:rsid w:val="00E634E6"/>
    <w:rsid w:val="00E63B43"/>
    <w:rsid w:val="00E63B74"/>
    <w:rsid w:val="00E63DCE"/>
    <w:rsid w:val="00E64509"/>
    <w:rsid w:val="00E64700"/>
    <w:rsid w:val="00E65074"/>
    <w:rsid w:val="00E65E70"/>
    <w:rsid w:val="00E66087"/>
    <w:rsid w:val="00E66D79"/>
    <w:rsid w:val="00E66FF9"/>
    <w:rsid w:val="00E6706F"/>
    <w:rsid w:val="00E673A2"/>
    <w:rsid w:val="00E67856"/>
    <w:rsid w:val="00E679C8"/>
    <w:rsid w:val="00E70314"/>
    <w:rsid w:val="00E724E7"/>
    <w:rsid w:val="00E72B41"/>
    <w:rsid w:val="00E7347B"/>
    <w:rsid w:val="00E73792"/>
    <w:rsid w:val="00E73AC6"/>
    <w:rsid w:val="00E73D03"/>
    <w:rsid w:val="00E7471C"/>
    <w:rsid w:val="00E7498A"/>
    <w:rsid w:val="00E7514E"/>
    <w:rsid w:val="00E76537"/>
    <w:rsid w:val="00E77784"/>
    <w:rsid w:val="00E7781A"/>
    <w:rsid w:val="00E77AF5"/>
    <w:rsid w:val="00E820F4"/>
    <w:rsid w:val="00E82263"/>
    <w:rsid w:val="00E823F9"/>
    <w:rsid w:val="00E82C1F"/>
    <w:rsid w:val="00E83671"/>
    <w:rsid w:val="00E840EE"/>
    <w:rsid w:val="00E84314"/>
    <w:rsid w:val="00E84352"/>
    <w:rsid w:val="00E84925"/>
    <w:rsid w:val="00E849CA"/>
    <w:rsid w:val="00E84A71"/>
    <w:rsid w:val="00E8556F"/>
    <w:rsid w:val="00E86556"/>
    <w:rsid w:val="00E86567"/>
    <w:rsid w:val="00E86D35"/>
    <w:rsid w:val="00E86DC2"/>
    <w:rsid w:val="00E86E32"/>
    <w:rsid w:val="00E86F2E"/>
    <w:rsid w:val="00E8732E"/>
    <w:rsid w:val="00E9011F"/>
    <w:rsid w:val="00E903FC"/>
    <w:rsid w:val="00E906EB"/>
    <w:rsid w:val="00E90DCB"/>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17BC"/>
    <w:rsid w:val="00EA2744"/>
    <w:rsid w:val="00EA37B9"/>
    <w:rsid w:val="00EA39F7"/>
    <w:rsid w:val="00EA3DC2"/>
    <w:rsid w:val="00EA434E"/>
    <w:rsid w:val="00EA4757"/>
    <w:rsid w:val="00EA4ECB"/>
    <w:rsid w:val="00EA560B"/>
    <w:rsid w:val="00EA5669"/>
    <w:rsid w:val="00EA5CC6"/>
    <w:rsid w:val="00EA63EF"/>
    <w:rsid w:val="00EA6719"/>
    <w:rsid w:val="00EA793F"/>
    <w:rsid w:val="00EA7B3D"/>
    <w:rsid w:val="00EA7CBF"/>
    <w:rsid w:val="00EB0A89"/>
    <w:rsid w:val="00EB1573"/>
    <w:rsid w:val="00EB1910"/>
    <w:rsid w:val="00EB2564"/>
    <w:rsid w:val="00EB2D83"/>
    <w:rsid w:val="00EB2E97"/>
    <w:rsid w:val="00EB3416"/>
    <w:rsid w:val="00EB4AE1"/>
    <w:rsid w:val="00EB52F4"/>
    <w:rsid w:val="00EB5694"/>
    <w:rsid w:val="00EB5779"/>
    <w:rsid w:val="00EB5D2F"/>
    <w:rsid w:val="00EB5EB7"/>
    <w:rsid w:val="00EB67F1"/>
    <w:rsid w:val="00EB6ADA"/>
    <w:rsid w:val="00EB72CD"/>
    <w:rsid w:val="00EB749A"/>
    <w:rsid w:val="00EB76B6"/>
    <w:rsid w:val="00EB7D8A"/>
    <w:rsid w:val="00EC04F7"/>
    <w:rsid w:val="00EC05E2"/>
    <w:rsid w:val="00EC0E84"/>
    <w:rsid w:val="00EC16E2"/>
    <w:rsid w:val="00EC1CE7"/>
    <w:rsid w:val="00EC1DAE"/>
    <w:rsid w:val="00EC26F1"/>
    <w:rsid w:val="00EC3C94"/>
    <w:rsid w:val="00EC44DF"/>
    <w:rsid w:val="00EC4525"/>
    <w:rsid w:val="00EC4FB9"/>
    <w:rsid w:val="00EC5393"/>
    <w:rsid w:val="00EC5741"/>
    <w:rsid w:val="00EC5DA3"/>
    <w:rsid w:val="00EC6014"/>
    <w:rsid w:val="00EC6565"/>
    <w:rsid w:val="00EC6B3E"/>
    <w:rsid w:val="00EC73DE"/>
    <w:rsid w:val="00EC7637"/>
    <w:rsid w:val="00EC7C07"/>
    <w:rsid w:val="00EC7CF2"/>
    <w:rsid w:val="00ED046C"/>
    <w:rsid w:val="00ED053A"/>
    <w:rsid w:val="00ED0AF0"/>
    <w:rsid w:val="00ED1F03"/>
    <w:rsid w:val="00ED249D"/>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1258"/>
    <w:rsid w:val="00EE13DA"/>
    <w:rsid w:val="00EE1668"/>
    <w:rsid w:val="00EE1C10"/>
    <w:rsid w:val="00EE1EDB"/>
    <w:rsid w:val="00EE24E2"/>
    <w:rsid w:val="00EE2D51"/>
    <w:rsid w:val="00EE366D"/>
    <w:rsid w:val="00EE5454"/>
    <w:rsid w:val="00EE59B5"/>
    <w:rsid w:val="00EE5FB7"/>
    <w:rsid w:val="00EE6783"/>
    <w:rsid w:val="00EE678B"/>
    <w:rsid w:val="00EE7B54"/>
    <w:rsid w:val="00EE7C47"/>
    <w:rsid w:val="00EE7C88"/>
    <w:rsid w:val="00EE7C8B"/>
    <w:rsid w:val="00EF0209"/>
    <w:rsid w:val="00EF0A58"/>
    <w:rsid w:val="00EF0EA4"/>
    <w:rsid w:val="00EF1E97"/>
    <w:rsid w:val="00EF2436"/>
    <w:rsid w:val="00EF2547"/>
    <w:rsid w:val="00EF2B2B"/>
    <w:rsid w:val="00EF2E1C"/>
    <w:rsid w:val="00EF2FD6"/>
    <w:rsid w:val="00EF326A"/>
    <w:rsid w:val="00EF397D"/>
    <w:rsid w:val="00EF3A16"/>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419"/>
    <w:rsid w:val="00EF7506"/>
    <w:rsid w:val="00EF760B"/>
    <w:rsid w:val="00EF7BF4"/>
    <w:rsid w:val="00F0030F"/>
    <w:rsid w:val="00F00674"/>
    <w:rsid w:val="00F01657"/>
    <w:rsid w:val="00F01E67"/>
    <w:rsid w:val="00F02744"/>
    <w:rsid w:val="00F02BD9"/>
    <w:rsid w:val="00F02BFD"/>
    <w:rsid w:val="00F02CC2"/>
    <w:rsid w:val="00F02D25"/>
    <w:rsid w:val="00F03C3D"/>
    <w:rsid w:val="00F0435D"/>
    <w:rsid w:val="00F04580"/>
    <w:rsid w:val="00F04ECA"/>
    <w:rsid w:val="00F04F8B"/>
    <w:rsid w:val="00F05E59"/>
    <w:rsid w:val="00F06E19"/>
    <w:rsid w:val="00F06F84"/>
    <w:rsid w:val="00F073D5"/>
    <w:rsid w:val="00F076E7"/>
    <w:rsid w:val="00F07A86"/>
    <w:rsid w:val="00F07AA1"/>
    <w:rsid w:val="00F07D80"/>
    <w:rsid w:val="00F105AE"/>
    <w:rsid w:val="00F10618"/>
    <w:rsid w:val="00F1108B"/>
    <w:rsid w:val="00F114FA"/>
    <w:rsid w:val="00F11768"/>
    <w:rsid w:val="00F11951"/>
    <w:rsid w:val="00F12262"/>
    <w:rsid w:val="00F12564"/>
    <w:rsid w:val="00F12AF8"/>
    <w:rsid w:val="00F12C52"/>
    <w:rsid w:val="00F13381"/>
    <w:rsid w:val="00F13828"/>
    <w:rsid w:val="00F13E10"/>
    <w:rsid w:val="00F13E62"/>
    <w:rsid w:val="00F13F51"/>
    <w:rsid w:val="00F148B7"/>
    <w:rsid w:val="00F14EA9"/>
    <w:rsid w:val="00F15242"/>
    <w:rsid w:val="00F15505"/>
    <w:rsid w:val="00F15BFF"/>
    <w:rsid w:val="00F16E4F"/>
    <w:rsid w:val="00F170A7"/>
    <w:rsid w:val="00F17244"/>
    <w:rsid w:val="00F17388"/>
    <w:rsid w:val="00F20742"/>
    <w:rsid w:val="00F20931"/>
    <w:rsid w:val="00F20ECE"/>
    <w:rsid w:val="00F213A0"/>
    <w:rsid w:val="00F21D54"/>
    <w:rsid w:val="00F21EF4"/>
    <w:rsid w:val="00F23113"/>
    <w:rsid w:val="00F23255"/>
    <w:rsid w:val="00F23393"/>
    <w:rsid w:val="00F23759"/>
    <w:rsid w:val="00F24644"/>
    <w:rsid w:val="00F252E7"/>
    <w:rsid w:val="00F25947"/>
    <w:rsid w:val="00F25C55"/>
    <w:rsid w:val="00F262D6"/>
    <w:rsid w:val="00F2674A"/>
    <w:rsid w:val="00F26CCF"/>
    <w:rsid w:val="00F26F33"/>
    <w:rsid w:val="00F273D5"/>
    <w:rsid w:val="00F2748A"/>
    <w:rsid w:val="00F300A8"/>
    <w:rsid w:val="00F302C6"/>
    <w:rsid w:val="00F30400"/>
    <w:rsid w:val="00F3079E"/>
    <w:rsid w:val="00F30FFD"/>
    <w:rsid w:val="00F31289"/>
    <w:rsid w:val="00F319D7"/>
    <w:rsid w:val="00F31DE3"/>
    <w:rsid w:val="00F3399B"/>
    <w:rsid w:val="00F33F4B"/>
    <w:rsid w:val="00F346ED"/>
    <w:rsid w:val="00F34945"/>
    <w:rsid w:val="00F34E1E"/>
    <w:rsid w:val="00F3570C"/>
    <w:rsid w:val="00F363A4"/>
    <w:rsid w:val="00F36765"/>
    <w:rsid w:val="00F368FF"/>
    <w:rsid w:val="00F37068"/>
    <w:rsid w:val="00F37F3F"/>
    <w:rsid w:val="00F40992"/>
    <w:rsid w:val="00F40F72"/>
    <w:rsid w:val="00F41596"/>
    <w:rsid w:val="00F41D8B"/>
    <w:rsid w:val="00F42121"/>
    <w:rsid w:val="00F424B3"/>
    <w:rsid w:val="00F428B1"/>
    <w:rsid w:val="00F428B4"/>
    <w:rsid w:val="00F4345D"/>
    <w:rsid w:val="00F4387B"/>
    <w:rsid w:val="00F45921"/>
    <w:rsid w:val="00F45B91"/>
    <w:rsid w:val="00F46639"/>
    <w:rsid w:val="00F46E5D"/>
    <w:rsid w:val="00F476FD"/>
    <w:rsid w:val="00F4771E"/>
    <w:rsid w:val="00F50183"/>
    <w:rsid w:val="00F50D92"/>
    <w:rsid w:val="00F51585"/>
    <w:rsid w:val="00F51765"/>
    <w:rsid w:val="00F51A51"/>
    <w:rsid w:val="00F51BC6"/>
    <w:rsid w:val="00F51CB4"/>
    <w:rsid w:val="00F52324"/>
    <w:rsid w:val="00F52950"/>
    <w:rsid w:val="00F52C9D"/>
    <w:rsid w:val="00F533F1"/>
    <w:rsid w:val="00F53ED8"/>
    <w:rsid w:val="00F55185"/>
    <w:rsid w:val="00F554B1"/>
    <w:rsid w:val="00F55679"/>
    <w:rsid w:val="00F561E3"/>
    <w:rsid w:val="00F565E6"/>
    <w:rsid w:val="00F56AFA"/>
    <w:rsid w:val="00F575E2"/>
    <w:rsid w:val="00F579FF"/>
    <w:rsid w:val="00F600E0"/>
    <w:rsid w:val="00F605EC"/>
    <w:rsid w:val="00F60F60"/>
    <w:rsid w:val="00F61217"/>
    <w:rsid w:val="00F612CE"/>
    <w:rsid w:val="00F6133C"/>
    <w:rsid w:val="00F61405"/>
    <w:rsid w:val="00F62227"/>
    <w:rsid w:val="00F62386"/>
    <w:rsid w:val="00F624A7"/>
    <w:rsid w:val="00F62AB6"/>
    <w:rsid w:val="00F62BDF"/>
    <w:rsid w:val="00F65A3C"/>
    <w:rsid w:val="00F66009"/>
    <w:rsid w:val="00F66282"/>
    <w:rsid w:val="00F66349"/>
    <w:rsid w:val="00F6639E"/>
    <w:rsid w:val="00F670E9"/>
    <w:rsid w:val="00F67AF1"/>
    <w:rsid w:val="00F67D8B"/>
    <w:rsid w:val="00F700AE"/>
    <w:rsid w:val="00F701C5"/>
    <w:rsid w:val="00F7084F"/>
    <w:rsid w:val="00F70961"/>
    <w:rsid w:val="00F70A8F"/>
    <w:rsid w:val="00F70E45"/>
    <w:rsid w:val="00F71397"/>
    <w:rsid w:val="00F7237C"/>
    <w:rsid w:val="00F72389"/>
    <w:rsid w:val="00F72516"/>
    <w:rsid w:val="00F72FB4"/>
    <w:rsid w:val="00F735E5"/>
    <w:rsid w:val="00F736AF"/>
    <w:rsid w:val="00F73B82"/>
    <w:rsid w:val="00F73E80"/>
    <w:rsid w:val="00F7469C"/>
    <w:rsid w:val="00F7492E"/>
    <w:rsid w:val="00F74945"/>
    <w:rsid w:val="00F749A3"/>
    <w:rsid w:val="00F74AE8"/>
    <w:rsid w:val="00F76C11"/>
    <w:rsid w:val="00F77021"/>
    <w:rsid w:val="00F770AB"/>
    <w:rsid w:val="00F77E61"/>
    <w:rsid w:val="00F80221"/>
    <w:rsid w:val="00F8029F"/>
    <w:rsid w:val="00F80A0A"/>
    <w:rsid w:val="00F80C81"/>
    <w:rsid w:val="00F815AC"/>
    <w:rsid w:val="00F838C5"/>
    <w:rsid w:val="00F83B33"/>
    <w:rsid w:val="00F83CAE"/>
    <w:rsid w:val="00F840BF"/>
    <w:rsid w:val="00F8427A"/>
    <w:rsid w:val="00F843DF"/>
    <w:rsid w:val="00F84646"/>
    <w:rsid w:val="00F84899"/>
    <w:rsid w:val="00F85585"/>
    <w:rsid w:val="00F859F0"/>
    <w:rsid w:val="00F85CC1"/>
    <w:rsid w:val="00F86B5D"/>
    <w:rsid w:val="00F86F01"/>
    <w:rsid w:val="00F87144"/>
    <w:rsid w:val="00F87634"/>
    <w:rsid w:val="00F87C13"/>
    <w:rsid w:val="00F87C5A"/>
    <w:rsid w:val="00F87E29"/>
    <w:rsid w:val="00F87F18"/>
    <w:rsid w:val="00F87F68"/>
    <w:rsid w:val="00F90C4D"/>
    <w:rsid w:val="00F90C56"/>
    <w:rsid w:val="00F9167D"/>
    <w:rsid w:val="00F91CB2"/>
    <w:rsid w:val="00F927E8"/>
    <w:rsid w:val="00F9289C"/>
    <w:rsid w:val="00F92FC1"/>
    <w:rsid w:val="00F932D1"/>
    <w:rsid w:val="00F93DBC"/>
    <w:rsid w:val="00F93E41"/>
    <w:rsid w:val="00F93F1B"/>
    <w:rsid w:val="00F94644"/>
    <w:rsid w:val="00F952E4"/>
    <w:rsid w:val="00F9537B"/>
    <w:rsid w:val="00F96079"/>
    <w:rsid w:val="00F963FC"/>
    <w:rsid w:val="00F97CF1"/>
    <w:rsid w:val="00FA015F"/>
    <w:rsid w:val="00FA0FAC"/>
    <w:rsid w:val="00FA10F7"/>
    <w:rsid w:val="00FA140C"/>
    <w:rsid w:val="00FA1DA2"/>
    <w:rsid w:val="00FA2357"/>
    <w:rsid w:val="00FA289A"/>
    <w:rsid w:val="00FA3414"/>
    <w:rsid w:val="00FA347A"/>
    <w:rsid w:val="00FA3CDE"/>
    <w:rsid w:val="00FA49B7"/>
    <w:rsid w:val="00FA5043"/>
    <w:rsid w:val="00FA60C1"/>
    <w:rsid w:val="00FA65A3"/>
    <w:rsid w:val="00FA6F8B"/>
    <w:rsid w:val="00FA727C"/>
    <w:rsid w:val="00FA7A30"/>
    <w:rsid w:val="00FB033F"/>
    <w:rsid w:val="00FB0880"/>
    <w:rsid w:val="00FB12E3"/>
    <w:rsid w:val="00FB1570"/>
    <w:rsid w:val="00FB193B"/>
    <w:rsid w:val="00FB1FBC"/>
    <w:rsid w:val="00FB27B7"/>
    <w:rsid w:val="00FB282A"/>
    <w:rsid w:val="00FB35E3"/>
    <w:rsid w:val="00FB47FB"/>
    <w:rsid w:val="00FB4C98"/>
    <w:rsid w:val="00FB4CE3"/>
    <w:rsid w:val="00FB583C"/>
    <w:rsid w:val="00FB630E"/>
    <w:rsid w:val="00FB6738"/>
    <w:rsid w:val="00FB691B"/>
    <w:rsid w:val="00FB6BE6"/>
    <w:rsid w:val="00FB6E96"/>
    <w:rsid w:val="00FB731C"/>
    <w:rsid w:val="00FB7628"/>
    <w:rsid w:val="00FC05A0"/>
    <w:rsid w:val="00FC0811"/>
    <w:rsid w:val="00FC09B3"/>
    <w:rsid w:val="00FC1196"/>
    <w:rsid w:val="00FC15EB"/>
    <w:rsid w:val="00FC162C"/>
    <w:rsid w:val="00FC18DC"/>
    <w:rsid w:val="00FC2477"/>
    <w:rsid w:val="00FC2AC4"/>
    <w:rsid w:val="00FC2F73"/>
    <w:rsid w:val="00FC325F"/>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4AE"/>
    <w:rsid w:val="00FD0DFA"/>
    <w:rsid w:val="00FD1890"/>
    <w:rsid w:val="00FD1994"/>
    <w:rsid w:val="00FD3508"/>
    <w:rsid w:val="00FD393C"/>
    <w:rsid w:val="00FD3AFF"/>
    <w:rsid w:val="00FD3C57"/>
    <w:rsid w:val="00FD43BB"/>
    <w:rsid w:val="00FD4AF3"/>
    <w:rsid w:val="00FD6DC5"/>
    <w:rsid w:val="00FD72B1"/>
    <w:rsid w:val="00FD798D"/>
    <w:rsid w:val="00FE141E"/>
    <w:rsid w:val="00FE144E"/>
    <w:rsid w:val="00FE1768"/>
    <w:rsid w:val="00FE1DD5"/>
    <w:rsid w:val="00FE24F4"/>
    <w:rsid w:val="00FE2560"/>
    <w:rsid w:val="00FE2E21"/>
    <w:rsid w:val="00FE35D0"/>
    <w:rsid w:val="00FE42ED"/>
    <w:rsid w:val="00FE43AD"/>
    <w:rsid w:val="00FE4E06"/>
    <w:rsid w:val="00FE55A7"/>
    <w:rsid w:val="00FE5C5A"/>
    <w:rsid w:val="00FE6432"/>
    <w:rsid w:val="00FE72A0"/>
    <w:rsid w:val="00FF0050"/>
    <w:rsid w:val="00FF045F"/>
    <w:rsid w:val="00FF13D4"/>
    <w:rsid w:val="00FF2053"/>
    <w:rsid w:val="00FF3B37"/>
    <w:rsid w:val="00FF3CC7"/>
    <w:rsid w:val="00FF3D6F"/>
    <w:rsid w:val="00FF4BD8"/>
    <w:rsid w:val="00FF4D11"/>
    <w:rsid w:val="00FF5214"/>
    <w:rsid w:val="00FF596E"/>
    <w:rsid w:val="00FF5B59"/>
    <w:rsid w:val="00FF5BFD"/>
    <w:rsid w:val="00FF6095"/>
    <w:rsid w:val="00FF62FE"/>
    <w:rsid w:val="00FF6553"/>
    <w:rsid w:val="00FF70BD"/>
    <w:rsid w:val="00FF712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6DE"/>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Normal11pt">
    <w:name w:val="Normal + 11 pt"/>
    <w:aliases w:val="Negro,Justificado,Izquierda:  -0,95 cm,Derecha:  0,04 cm"/>
    <w:basedOn w:val="Normal"/>
    <w:uiPriority w:val="99"/>
    <w:rsid w:val="00B67CED"/>
    <w:pPr>
      <w:ind w:left="-540"/>
      <w:jc w:val="both"/>
    </w:pPr>
    <w:rPr>
      <w:rFonts w:ascii="Arial" w:hAnsi="Arial" w:cs="Arial"/>
      <w:color w:val="000000"/>
      <w:sz w:val="22"/>
      <w:szCs w:val="22"/>
      <w:lang w:val="es-ES_tradnl" w:eastAsia="es-ES"/>
    </w:rPr>
  </w:style>
  <w:style w:type="table" w:customStyle="1" w:styleId="Tablaconcuadrcula2">
    <w:name w:val="Tabla con cuadrícula2"/>
    <w:basedOn w:val="Tablanormal"/>
    <w:next w:val="Tablaconcuadrcula"/>
    <w:uiPriority w:val="39"/>
    <w:rsid w:val="00C64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571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02460894">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302024">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7869905">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8576">
      <w:bodyDiv w:val="1"/>
      <w:marLeft w:val="0"/>
      <w:marRight w:val="0"/>
      <w:marTop w:val="0"/>
      <w:marBottom w:val="0"/>
      <w:divBdr>
        <w:top w:val="none" w:sz="0" w:space="0" w:color="auto"/>
        <w:left w:val="none" w:sz="0" w:space="0" w:color="auto"/>
        <w:bottom w:val="none" w:sz="0" w:space="0" w:color="auto"/>
        <w:right w:val="none" w:sz="0" w:space="0" w:color="auto"/>
      </w:divBdr>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808774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09464">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23923409">
      <w:bodyDiv w:val="1"/>
      <w:marLeft w:val="0"/>
      <w:marRight w:val="0"/>
      <w:marTop w:val="0"/>
      <w:marBottom w:val="0"/>
      <w:divBdr>
        <w:top w:val="none" w:sz="0" w:space="0" w:color="auto"/>
        <w:left w:val="none" w:sz="0" w:space="0" w:color="auto"/>
        <w:bottom w:val="none" w:sz="0" w:space="0" w:color="auto"/>
        <w:right w:val="none" w:sz="0" w:space="0" w:color="auto"/>
      </w:divBdr>
      <w:divsChild>
        <w:div w:id="1102531850">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04449">
      <w:bodyDiv w:val="1"/>
      <w:marLeft w:val="0"/>
      <w:marRight w:val="0"/>
      <w:marTop w:val="0"/>
      <w:marBottom w:val="0"/>
      <w:divBdr>
        <w:top w:val="none" w:sz="0" w:space="0" w:color="auto"/>
        <w:left w:val="none" w:sz="0" w:space="0" w:color="auto"/>
        <w:bottom w:val="none" w:sz="0" w:space="0" w:color="auto"/>
        <w:right w:val="none" w:sz="0" w:space="0" w:color="auto"/>
      </w:divBdr>
      <w:divsChild>
        <w:div w:id="657536732">
          <w:marLeft w:val="0"/>
          <w:marRight w:val="0"/>
          <w:marTop w:val="0"/>
          <w:marBottom w:val="0"/>
          <w:divBdr>
            <w:top w:val="none" w:sz="0" w:space="0" w:color="auto"/>
            <w:left w:val="none" w:sz="0" w:space="0" w:color="auto"/>
            <w:bottom w:val="none" w:sz="0" w:space="0" w:color="auto"/>
            <w:right w:val="none" w:sz="0" w:space="0" w:color="auto"/>
          </w:divBdr>
          <w:divsChild>
            <w:div w:id="1142191947">
              <w:marLeft w:val="0"/>
              <w:marRight w:val="0"/>
              <w:marTop w:val="0"/>
              <w:marBottom w:val="0"/>
              <w:divBdr>
                <w:top w:val="none" w:sz="0" w:space="0" w:color="auto"/>
                <w:left w:val="none" w:sz="0" w:space="0" w:color="auto"/>
                <w:bottom w:val="none" w:sz="0" w:space="0" w:color="auto"/>
                <w:right w:val="none" w:sz="0" w:space="0" w:color="auto"/>
              </w:divBdr>
              <w:divsChild>
                <w:div w:id="910889857">
                  <w:marLeft w:val="0"/>
                  <w:marRight w:val="0"/>
                  <w:marTop w:val="0"/>
                  <w:marBottom w:val="0"/>
                  <w:divBdr>
                    <w:top w:val="none" w:sz="0" w:space="0" w:color="auto"/>
                    <w:left w:val="none" w:sz="0" w:space="0" w:color="auto"/>
                    <w:bottom w:val="none" w:sz="0" w:space="0" w:color="auto"/>
                    <w:right w:val="none" w:sz="0" w:space="0" w:color="auto"/>
                  </w:divBdr>
                  <w:divsChild>
                    <w:div w:id="985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5226916">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244893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0116619">
      <w:bodyDiv w:val="1"/>
      <w:marLeft w:val="0"/>
      <w:marRight w:val="0"/>
      <w:marTop w:val="0"/>
      <w:marBottom w:val="0"/>
      <w:divBdr>
        <w:top w:val="none" w:sz="0" w:space="0" w:color="auto"/>
        <w:left w:val="none" w:sz="0" w:space="0" w:color="auto"/>
        <w:bottom w:val="none" w:sz="0" w:space="0" w:color="auto"/>
        <w:right w:val="none" w:sz="0" w:space="0" w:color="auto"/>
      </w:divBdr>
      <w:divsChild>
        <w:div w:id="1127353483">
          <w:marLeft w:val="0"/>
          <w:marRight w:val="0"/>
          <w:marTop w:val="0"/>
          <w:marBottom w:val="0"/>
          <w:divBdr>
            <w:top w:val="none" w:sz="0" w:space="0" w:color="auto"/>
            <w:left w:val="none" w:sz="0" w:space="0" w:color="auto"/>
            <w:bottom w:val="none" w:sz="0" w:space="0" w:color="auto"/>
            <w:right w:val="none" w:sz="0" w:space="0" w:color="auto"/>
          </w:divBdr>
          <w:divsChild>
            <w:div w:id="1721127380">
              <w:marLeft w:val="0"/>
              <w:marRight w:val="0"/>
              <w:marTop w:val="0"/>
              <w:marBottom w:val="0"/>
              <w:divBdr>
                <w:top w:val="none" w:sz="0" w:space="0" w:color="auto"/>
                <w:left w:val="none" w:sz="0" w:space="0" w:color="auto"/>
                <w:bottom w:val="none" w:sz="0" w:space="0" w:color="auto"/>
                <w:right w:val="none" w:sz="0" w:space="0" w:color="auto"/>
              </w:divBdr>
              <w:divsChild>
                <w:div w:id="1112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0184555">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4843">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5781306">
      <w:bodyDiv w:val="1"/>
      <w:marLeft w:val="0"/>
      <w:marRight w:val="0"/>
      <w:marTop w:val="0"/>
      <w:marBottom w:val="0"/>
      <w:divBdr>
        <w:top w:val="none" w:sz="0" w:space="0" w:color="auto"/>
        <w:left w:val="none" w:sz="0" w:space="0" w:color="auto"/>
        <w:bottom w:val="none" w:sz="0" w:space="0" w:color="auto"/>
        <w:right w:val="none" w:sz="0" w:space="0" w:color="auto"/>
      </w:divBdr>
      <w:divsChild>
        <w:div w:id="2097171223">
          <w:marLeft w:val="0"/>
          <w:marRight w:val="0"/>
          <w:marTop w:val="0"/>
          <w:marBottom w:val="0"/>
          <w:divBdr>
            <w:top w:val="none" w:sz="0" w:space="0" w:color="auto"/>
            <w:left w:val="none" w:sz="0" w:space="0" w:color="auto"/>
            <w:bottom w:val="none" w:sz="0" w:space="0" w:color="auto"/>
            <w:right w:val="none" w:sz="0" w:space="0" w:color="auto"/>
          </w:divBdr>
          <w:divsChild>
            <w:div w:id="1085880871">
              <w:marLeft w:val="0"/>
              <w:marRight w:val="0"/>
              <w:marTop w:val="0"/>
              <w:marBottom w:val="0"/>
              <w:divBdr>
                <w:top w:val="none" w:sz="0" w:space="0" w:color="auto"/>
                <w:left w:val="none" w:sz="0" w:space="0" w:color="auto"/>
                <w:bottom w:val="none" w:sz="0" w:space="0" w:color="auto"/>
                <w:right w:val="none" w:sz="0" w:space="0" w:color="auto"/>
              </w:divBdr>
              <w:divsChild>
                <w:div w:id="791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68028863">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175090">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412970">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3987252">
      <w:bodyDiv w:val="1"/>
      <w:marLeft w:val="0"/>
      <w:marRight w:val="0"/>
      <w:marTop w:val="0"/>
      <w:marBottom w:val="0"/>
      <w:divBdr>
        <w:top w:val="none" w:sz="0" w:space="0" w:color="auto"/>
        <w:left w:val="none" w:sz="0" w:space="0" w:color="auto"/>
        <w:bottom w:val="none" w:sz="0" w:space="0" w:color="auto"/>
        <w:right w:val="none" w:sz="0" w:space="0" w:color="auto"/>
      </w:divBdr>
      <w:divsChild>
        <w:div w:id="1574850735">
          <w:marLeft w:val="0"/>
          <w:marRight w:val="0"/>
          <w:marTop w:val="0"/>
          <w:marBottom w:val="0"/>
          <w:divBdr>
            <w:top w:val="none" w:sz="0" w:space="0" w:color="auto"/>
            <w:left w:val="none" w:sz="0" w:space="0" w:color="auto"/>
            <w:bottom w:val="none" w:sz="0" w:space="0" w:color="auto"/>
            <w:right w:val="none" w:sz="0" w:space="0" w:color="auto"/>
          </w:divBdr>
          <w:divsChild>
            <w:div w:id="2128235891">
              <w:marLeft w:val="0"/>
              <w:marRight w:val="0"/>
              <w:marTop w:val="0"/>
              <w:marBottom w:val="0"/>
              <w:divBdr>
                <w:top w:val="none" w:sz="0" w:space="0" w:color="auto"/>
                <w:left w:val="none" w:sz="0" w:space="0" w:color="auto"/>
                <w:bottom w:val="none" w:sz="0" w:space="0" w:color="auto"/>
                <w:right w:val="none" w:sz="0" w:space="0" w:color="auto"/>
              </w:divBdr>
              <w:divsChild>
                <w:div w:id="11023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4810899">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6753994">
      <w:bodyDiv w:val="1"/>
      <w:marLeft w:val="0"/>
      <w:marRight w:val="0"/>
      <w:marTop w:val="0"/>
      <w:marBottom w:val="0"/>
      <w:divBdr>
        <w:top w:val="none" w:sz="0" w:space="0" w:color="auto"/>
        <w:left w:val="none" w:sz="0" w:space="0" w:color="auto"/>
        <w:bottom w:val="none" w:sz="0" w:space="0" w:color="auto"/>
        <w:right w:val="none" w:sz="0" w:space="0" w:color="auto"/>
      </w:divBdr>
      <w:divsChild>
        <w:div w:id="1906526119">
          <w:marLeft w:val="0"/>
          <w:marRight w:val="0"/>
          <w:marTop w:val="0"/>
          <w:marBottom w:val="0"/>
          <w:divBdr>
            <w:top w:val="none" w:sz="0" w:space="0" w:color="auto"/>
            <w:left w:val="none" w:sz="0" w:space="0" w:color="auto"/>
            <w:bottom w:val="none" w:sz="0" w:space="0" w:color="auto"/>
            <w:right w:val="none" w:sz="0" w:space="0" w:color="auto"/>
          </w:divBdr>
        </w:div>
      </w:divsChild>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42476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1238">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05650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295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3233147">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741930">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F3755B04-2548-44D4-A286-3FD08797CF04}"/>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89</TotalTime>
  <Pages>15</Pages>
  <Words>5371</Words>
  <Characters>28576</Characters>
  <Application>Microsoft Office Word</Application>
  <DocSecurity>0</DocSecurity>
  <Lines>539</Lines>
  <Paragraphs>116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113</cp:revision>
  <cp:lastPrinted>2021-01-20T13:01:00Z</cp:lastPrinted>
  <dcterms:created xsi:type="dcterms:W3CDTF">2021-10-12T14:36:00Z</dcterms:created>
  <dcterms:modified xsi:type="dcterms:W3CDTF">2021-11-18T22:03:00Z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