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05D3" w14:textId="77777777" w:rsidR="00D36E83" w:rsidRPr="00D80CCB" w:rsidRDefault="00D36E83" w:rsidP="00D36E83">
      <w:pPr>
        <w:ind w:firstLine="709"/>
        <w:jc w:val="right"/>
        <w:rPr>
          <w:rFonts w:ascii="Arial" w:eastAsia="Calibri" w:hAnsi="Arial" w:cs="Arial"/>
          <w:b/>
          <w:color w:val="000000"/>
          <w:sz w:val="20"/>
          <w:szCs w:val="20"/>
          <w:lang w:val="es-ES_tradnl" w:eastAsia="es-ES_tradnl"/>
        </w:rPr>
      </w:pPr>
      <w:bookmarkStart w:id="0" w:name="_Hlk28946138"/>
      <w:bookmarkStart w:id="1" w:name="_Hlk29548183"/>
      <w:r w:rsidRPr="00D80CCB">
        <w:rPr>
          <w:rFonts w:ascii="Arial" w:eastAsia="Times New Roman" w:hAnsi="Arial" w:cs="Arial"/>
          <w:bCs/>
          <w:color w:val="000000"/>
          <w:sz w:val="16"/>
          <w:szCs w:val="16"/>
          <w:lang w:val="es-ES_tradnl" w:eastAsia="es-ES"/>
        </w:rPr>
        <w:t>CCE-DES-FM-17</w:t>
      </w:r>
      <w:bookmarkEnd w:id="0"/>
      <w:bookmarkEnd w:id="1"/>
    </w:p>
    <w:p w14:paraId="794E5ED8"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15807875" w14:textId="77777777" w:rsidR="006E3895" w:rsidRPr="00B865D7" w:rsidRDefault="006E3895" w:rsidP="006E3895">
      <w:pPr>
        <w:jc w:val="both"/>
        <w:rPr>
          <w:rFonts w:ascii="Arial" w:eastAsia="Calibri" w:hAnsi="Arial" w:cs="Arial"/>
          <w:b/>
          <w:sz w:val="22"/>
          <w:lang w:val="es-ES_tradnl"/>
        </w:rPr>
      </w:pPr>
      <w:r w:rsidRPr="00B865D7">
        <w:rPr>
          <w:rFonts w:ascii="Arial" w:eastAsia="Calibri" w:hAnsi="Arial" w:cs="Arial"/>
          <w:b/>
          <w:sz w:val="22"/>
          <w:lang w:val="es-ES_tradnl"/>
        </w:rPr>
        <w:t>CAPACIDAD FINANCIERA y CAPACIDAD ORGANIZACIONAL – Conceptos – Requisitos habilitantes</w:t>
      </w:r>
    </w:p>
    <w:p w14:paraId="7C99CE6E" w14:textId="77777777" w:rsidR="006E3895" w:rsidRPr="00B865D7" w:rsidRDefault="006E3895" w:rsidP="006E3895">
      <w:pPr>
        <w:jc w:val="both"/>
        <w:rPr>
          <w:rFonts w:ascii="Arial" w:eastAsia="Calibri" w:hAnsi="Arial" w:cs="Arial"/>
          <w:b/>
          <w:sz w:val="22"/>
          <w:lang w:val="es-ES_tradnl"/>
        </w:rPr>
      </w:pPr>
    </w:p>
    <w:p w14:paraId="33915F6D" w14:textId="77777777" w:rsidR="006E3895" w:rsidRPr="00B865D7" w:rsidRDefault="006E3895" w:rsidP="006E3895">
      <w:pPr>
        <w:jc w:val="both"/>
        <w:rPr>
          <w:rFonts w:ascii="Arial" w:hAnsi="Arial" w:cs="Arial"/>
          <w:color w:val="000000" w:themeColor="text1"/>
          <w:sz w:val="20"/>
          <w:szCs w:val="20"/>
          <w:lang w:val="es-ES_tradnl"/>
        </w:rPr>
      </w:pPr>
      <w:r w:rsidRPr="00B865D7">
        <w:rPr>
          <w:rFonts w:ascii="Arial" w:hAnsi="Arial" w:cs="Arial"/>
          <w:color w:val="000000" w:themeColor="text1"/>
          <w:sz w:val="20"/>
          <w:szCs w:val="20"/>
          <w:lang w:val="es-ES_tradnl"/>
        </w:rPr>
        <w:t>La capacidad financiera se deriva del comportamiento contable de la empresa, su liquidez y endeudamiento, para determinar que sus recursos y solidez financiera le permita cumplir los compromisos que adquiera. 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6B06B009" w14:textId="77777777" w:rsidR="006E3895" w:rsidRPr="00B865D7" w:rsidRDefault="006E3895" w:rsidP="006E3895">
      <w:pPr>
        <w:jc w:val="both"/>
        <w:rPr>
          <w:rFonts w:ascii="Arial" w:hAnsi="Arial" w:cs="Arial"/>
          <w:color w:val="000000" w:themeColor="text1"/>
          <w:sz w:val="20"/>
          <w:szCs w:val="20"/>
          <w:lang w:val="es-ES_tradnl"/>
        </w:rPr>
      </w:pPr>
    </w:p>
    <w:p w14:paraId="7A9C487F" w14:textId="77777777" w:rsidR="006E3895" w:rsidRPr="00B865D7" w:rsidRDefault="006E3895" w:rsidP="006E3895">
      <w:pPr>
        <w:jc w:val="both"/>
        <w:rPr>
          <w:rFonts w:ascii="Arial" w:eastAsia="Calibri" w:hAnsi="Arial" w:cs="Arial"/>
          <w:b/>
          <w:sz w:val="22"/>
          <w:lang w:val="es-ES_tradnl"/>
        </w:rPr>
      </w:pPr>
      <w:r w:rsidRPr="00B865D7">
        <w:rPr>
          <w:rFonts w:ascii="Arial" w:eastAsia="Calibri" w:hAnsi="Arial" w:cs="Arial"/>
          <w:b/>
          <w:sz w:val="22"/>
          <w:lang w:val="es-ES_tradnl"/>
        </w:rPr>
        <w:t>DECRETO 399 DE 2021 – Finalidad – Reactivación económica</w:t>
      </w:r>
    </w:p>
    <w:p w14:paraId="58961A75" w14:textId="77777777" w:rsidR="006E3895" w:rsidRPr="00B865D7" w:rsidRDefault="006E3895" w:rsidP="006E3895">
      <w:pPr>
        <w:spacing w:line="276" w:lineRule="auto"/>
        <w:jc w:val="both"/>
        <w:rPr>
          <w:rFonts w:ascii="Arial" w:hAnsi="Arial" w:cs="Arial"/>
          <w:noProof/>
          <w:color w:val="000000" w:themeColor="text1"/>
          <w:sz w:val="22"/>
          <w:lang w:val="es-ES_tradnl"/>
        </w:rPr>
      </w:pPr>
    </w:p>
    <w:p w14:paraId="1181F11E" w14:textId="77777777" w:rsidR="006E3895" w:rsidRPr="00B865D7" w:rsidRDefault="006E3895" w:rsidP="006E3895">
      <w:pPr>
        <w:jc w:val="both"/>
        <w:rPr>
          <w:rFonts w:ascii="Arial" w:hAnsi="Arial" w:cs="Arial"/>
          <w:noProof/>
          <w:color w:val="000000" w:themeColor="text1"/>
          <w:sz w:val="22"/>
          <w:lang w:val="es-ES_tradnl"/>
        </w:rPr>
      </w:pPr>
      <w:r w:rsidRPr="00B865D7">
        <w:rPr>
          <w:rFonts w:ascii="Arial" w:hAnsi="Arial" w:cs="Arial"/>
          <w:color w:val="000000" w:themeColor="text1"/>
          <w:sz w:val="20"/>
          <w:szCs w:val="20"/>
          <w:lang w:val="es-ES_tradnl"/>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w:t>
      </w:r>
    </w:p>
    <w:p w14:paraId="410BD3FB" w14:textId="77777777" w:rsidR="006E3895" w:rsidRPr="00B865D7" w:rsidRDefault="006E3895" w:rsidP="006E3895">
      <w:pPr>
        <w:jc w:val="both"/>
        <w:rPr>
          <w:rFonts w:ascii="Arial" w:eastAsia="Calibri" w:hAnsi="Arial" w:cs="Arial"/>
          <w:b/>
          <w:sz w:val="22"/>
          <w:lang w:val="es-ES_tradnl"/>
        </w:rPr>
      </w:pPr>
    </w:p>
    <w:p w14:paraId="7DD013FB" w14:textId="77777777" w:rsidR="006E3895" w:rsidRPr="00B865D7" w:rsidRDefault="006E3895" w:rsidP="006E3895">
      <w:pPr>
        <w:jc w:val="both"/>
        <w:rPr>
          <w:rFonts w:ascii="Arial" w:eastAsia="Calibri" w:hAnsi="Arial" w:cs="Arial"/>
          <w:b/>
          <w:sz w:val="22"/>
          <w:lang w:val="es-ES_tradnl"/>
        </w:rPr>
      </w:pPr>
      <w:r w:rsidRPr="00B865D7">
        <w:rPr>
          <w:rFonts w:ascii="Arial" w:eastAsia="Calibri" w:hAnsi="Arial" w:cs="Arial"/>
          <w:b/>
          <w:sz w:val="22"/>
          <w:lang w:val="es-ES_tradnl"/>
        </w:rPr>
        <w:t>DECRETOS 399 Y 579 DE 2021 – Información – Capacidad financiera – Capacidad organizacional – RUP</w:t>
      </w:r>
    </w:p>
    <w:p w14:paraId="329B6F2F" w14:textId="77777777" w:rsidR="006E3895" w:rsidRPr="00B865D7" w:rsidRDefault="006E3895" w:rsidP="006E3895">
      <w:pPr>
        <w:spacing w:line="276" w:lineRule="auto"/>
        <w:jc w:val="both"/>
        <w:rPr>
          <w:rFonts w:ascii="Arial" w:hAnsi="Arial" w:cs="Arial"/>
          <w:noProof/>
          <w:color w:val="000000" w:themeColor="text1"/>
          <w:sz w:val="22"/>
          <w:lang w:val="es-ES_tradnl"/>
        </w:rPr>
      </w:pPr>
    </w:p>
    <w:p w14:paraId="1005203D" w14:textId="77777777" w:rsidR="006E3895" w:rsidRPr="00B865D7" w:rsidRDefault="006E3895" w:rsidP="006E3895">
      <w:pPr>
        <w:jc w:val="both"/>
        <w:rPr>
          <w:rFonts w:ascii="Arial" w:eastAsia="Calibri" w:hAnsi="Arial" w:cs="Arial"/>
          <w:color w:val="000000" w:themeColor="text1"/>
          <w:sz w:val="20"/>
          <w:szCs w:val="20"/>
          <w:lang w:val="es-ES_tradnl"/>
        </w:rPr>
      </w:pPr>
      <w:r w:rsidRPr="00B865D7">
        <w:rPr>
          <w:rFonts w:ascii="Arial" w:eastAsia="Calibri" w:hAnsi="Arial"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Además, dicho parágrafo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B865D7">
        <w:rPr>
          <w:rFonts w:ascii="Arial" w:eastAsia="Calibri" w:hAnsi="Arial" w:cs="Arial"/>
          <w:color w:val="000000" w:themeColor="text1"/>
          <w:sz w:val="20"/>
          <w:szCs w:val="20"/>
          <w:lang w:val="es-ES_tradnl"/>
        </w:rPr>
        <w:t>que</w:t>
      </w:r>
      <w:proofErr w:type="gramEnd"/>
      <w:r w:rsidRPr="00B865D7">
        <w:rPr>
          <w:rFonts w:ascii="Arial" w:eastAsia="Calibri" w:hAnsi="Arial" w:cs="Arial"/>
          <w:color w:val="000000" w:themeColor="text1"/>
          <w:sz w:val="20"/>
          <w:szCs w:val="20"/>
          <w:lang w:val="es-ES_tradnl"/>
        </w:rPr>
        <w:t xml:space="preserve"> si el proponente tiene registrada la información de dichos años en la cámara de comercio, no deberá presentar esta información.</w:t>
      </w:r>
    </w:p>
    <w:p w14:paraId="2FB2868C" w14:textId="77777777" w:rsidR="006E3895" w:rsidRPr="00B865D7" w:rsidRDefault="006E3895" w:rsidP="006E3895">
      <w:pPr>
        <w:jc w:val="both"/>
        <w:rPr>
          <w:rFonts w:ascii="Arial" w:eastAsia="Calibri" w:hAnsi="Arial" w:cs="Arial"/>
          <w:b/>
          <w:sz w:val="22"/>
          <w:lang w:val="es-ES_tradnl"/>
        </w:rPr>
      </w:pPr>
    </w:p>
    <w:p w14:paraId="6EE08026" w14:textId="77777777" w:rsidR="006E3895" w:rsidRPr="00B865D7" w:rsidRDefault="006E3895" w:rsidP="006E3895">
      <w:pPr>
        <w:jc w:val="both"/>
        <w:rPr>
          <w:rFonts w:ascii="Arial" w:eastAsia="Calibri" w:hAnsi="Arial" w:cs="Arial"/>
          <w:b/>
          <w:sz w:val="22"/>
          <w:lang w:val="es-ES_tradnl"/>
        </w:rPr>
      </w:pPr>
      <w:r w:rsidRPr="00B865D7">
        <w:rPr>
          <w:rFonts w:ascii="Arial" w:eastAsia="Calibri" w:hAnsi="Arial" w:cs="Arial"/>
          <w:b/>
          <w:sz w:val="22"/>
          <w:lang w:val="es-ES_tradnl"/>
        </w:rPr>
        <w:t>MEJOR AÑO FISCAL – Decretos 399 y 579 de 2021 – Capacidad financiera – Capacidad organizacional – Interpretación</w:t>
      </w:r>
    </w:p>
    <w:p w14:paraId="35A12319" w14:textId="77777777" w:rsidR="006E3895" w:rsidRPr="00B865D7" w:rsidRDefault="006E3895" w:rsidP="006E3895">
      <w:pPr>
        <w:spacing w:line="276" w:lineRule="auto"/>
        <w:jc w:val="both"/>
        <w:rPr>
          <w:rFonts w:ascii="Arial" w:hAnsi="Arial" w:cs="Arial"/>
          <w:noProof/>
          <w:color w:val="000000" w:themeColor="text1"/>
          <w:sz w:val="22"/>
          <w:lang w:val="es-ES_tradnl"/>
        </w:rPr>
      </w:pPr>
    </w:p>
    <w:p w14:paraId="01CC4223" w14:textId="77777777" w:rsidR="006E3895" w:rsidRPr="00B865D7" w:rsidRDefault="006E3895" w:rsidP="006E3895">
      <w:pPr>
        <w:jc w:val="both"/>
        <w:rPr>
          <w:rFonts w:ascii="Arial" w:hAnsi="Arial" w:cs="Arial"/>
          <w:color w:val="000000" w:themeColor="text1"/>
          <w:sz w:val="20"/>
          <w:szCs w:val="20"/>
          <w:lang w:val="es-ES_tradnl"/>
        </w:rPr>
      </w:pPr>
      <w:r w:rsidRPr="00B865D7">
        <w:rPr>
          <w:rFonts w:ascii="Arial" w:hAnsi="Arial" w:cs="Arial"/>
          <w:color w:val="000000" w:themeColor="text1"/>
          <w:sz w:val="20"/>
          <w:szCs w:val="20"/>
          <w:lang w:val="es-ES_tradnl"/>
        </w:rPr>
        <w:t>[…]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1411FA35" w14:textId="77777777" w:rsidR="006E3895" w:rsidRPr="00B865D7" w:rsidRDefault="006E3895" w:rsidP="006E3895">
      <w:pPr>
        <w:jc w:val="both"/>
        <w:rPr>
          <w:rFonts w:ascii="Arial" w:hAnsi="Arial" w:cs="Arial"/>
          <w:color w:val="000000" w:themeColor="text1"/>
          <w:sz w:val="20"/>
          <w:szCs w:val="20"/>
          <w:lang w:val="es-ES_tradnl"/>
        </w:rPr>
      </w:pPr>
    </w:p>
    <w:p w14:paraId="10B86D4B" w14:textId="77777777" w:rsidR="006E3895" w:rsidRPr="00B865D7" w:rsidRDefault="006E3895" w:rsidP="006E3895">
      <w:pPr>
        <w:jc w:val="both"/>
        <w:rPr>
          <w:rFonts w:ascii="Arial" w:hAnsi="Arial" w:cs="Arial"/>
          <w:color w:val="000000" w:themeColor="text1"/>
          <w:sz w:val="20"/>
          <w:szCs w:val="20"/>
          <w:lang w:val="es-ES_tradnl"/>
        </w:rPr>
      </w:pPr>
      <w:r w:rsidRPr="00B865D7">
        <w:rPr>
          <w:rFonts w:ascii="Arial" w:hAnsi="Arial" w:cs="Arial"/>
          <w:color w:val="000000" w:themeColor="text1"/>
          <w:sz w:val="20"/>
          <w:szCs w:val="20"/>
          <w:lang w:val="es-ES_tradnl"/>
        </w:rPr>
        <w:t>[…]</w:t>
      </w:r>
    </w:p>
    <w:p w14:paraId="0E459CE8" w14:textId="77777777" w:rsidR="006E3895" w:rsidRPr="00B865D7" w:rsidRDefault="006E3895" w:rsidP="006E3895">
      <w:pPr>
        <w:jc w:val="both"/>
        <w:rPr>
          <w:rFonts w:ascii="Arial" w:hAnsi="Arial" w:cs="Arial"/>
          <w:color w:val="000000" w:themeColor="text1"/>
          <w:sz w:val="20"/>
          <w:szCs w:val="20"/>
          <w:lang w:val="es-ES_tradnl"/>
        </w:rPr>
      </w:pPr>
    </w:p>
    <w:p w14:paraId="1FA12EC6" w14:textId="77777777" w:rsidR="006E3895" w:rsidRPr="00C02014" w:rsidRDefault="006E3895" w:rsidP="006E3895">
      <w:pPr>
        <w:jc w:val="both"/>
        <w:rPr>
          <w:rFonts w:ascii="Arial" w:hAnsi="Arial" w:cs="Arial"/>
          <w:noProof/>
          <w:color w:val="000000" w:themeColor="text1"/>
          <w:sz w:val="22"/>
          <w:lang w:val="es-ES_tradnl"/>
        </w:rPr>
      </w:pPr>
      <w:r w:rsidRPr="00B865D7">
        <w:rPr>
          <w:rFonts w:ascii="Arial" w:hAnsi="Arial" w:cs="Arial"/>
          <w:color w:val="000000" w:themeColor="text1"/>
          <w:sz w:val="20"/>
          <w:szCs w:val="20"/>
          <w:lang w:val="es-ES_tradnl"/>
        </w:rPr>
        <w:t>Por lo tanto, el parágrafo transitorio, agregado al artículo 2.2.1.1.1.6.2. del Decreto 1082 de 2015 por el artículo 6 del Decreto 399 de 2021 y sustituido por el artículo 3 del Decreto 579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3E572915"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0CFDA6E"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0FB7299"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96819BF"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69B076C5"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1C96139" w14:textId="0AC99CA0"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738A5819" w14:textId="1D62BD35"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7001531F" w14:textId="7DDEC74A"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66906BF9" w14:textId="4D8B26AB"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6E574795" w14:textId="25621AB0"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3FA699A5" w14:textId="75612242"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2A6C3D95" w14:textId="77777777"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15A392A3"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F3D4344"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2C4A6F8E"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EA66AFC"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11631B91" w14:textId="4DFA8C32" w:rsidR="00D36E83"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1FE13966" w14:textId="1E63D2BA"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7697E6C9" w14:textId="3C7D9638"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38F8BD15" w14:textId="397AA732"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316CF777" w14:textId="3C5E62F4"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0C06F280" w14:textId="0191D366"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52679AB0" w14:textId="6BA63956"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62F29705" w14:textId="0F98818C"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68AE8C75" w14:textId="0B4F51FA"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7D08A5C1" w14:textId="4FCBD752"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5A104884" w14:textId="3DBAE717"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46402FDA" w14:textId="27789783"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585943D8" w14:textId="738CABB4" w:rsidR="006E3895"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76A40A5B" w14:textId="77777777" w:rsidR="006E3895" w:rsidRPr="00D80CCB" w:rsidRDefault="006E3895" w:rsidP="00D36E83">
      <w:pPr>
        <w:spacing w:line="276" w:lineRule="auto"/>
        <w:ind w:firstLine="709"/>
        <w:jc w:val="both"/>
        <w:rPr>
          <w:rFonts w:ascii="Arial" w:eastAsia="Times New Roman" w:hAnsi="Arial" w:cs="Arial"/>
          <w:noProof/>
          <w:color w:val="000000"/>
          <w:sz w:val="22"/>
          <w:szCs w:val="24"/>
          <w:lang w:val="es-ES_tradnl" w:eastAsia="es-ES_tradnl"/>
        </w:rPr>
      </w:pPr>
    </w:p>
    <w:p w14:paraId="2225513C"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0CAA302F"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2647FBD6" w14:textId="09AA3400" w:rsidR="009425F8" w:rsidRPr="00D80CCB" w:rsidRDefault="009425F8" w:rsidP="00775578">
      <w:pPr>
        <w:spacing w:line="276" w:lineRule="auto"/>
        <w:rPr>
          <w:rFonts w:ascii="Arial" w:eastAsia="Times New Roman" w:hAnsi="Arial" w:cs="Arial"/>
          <w:noProof/>
          <w:color w:val="000000"/>
          <w:sz w:val="22"/>
          <w:szCs w:val="24"/>
          <w:lang w:val="es-ES_tradnl" w:eastAsia="es-ES_tradnl"/>
        </w:rPr>
      </w:pPr>
    </w:p>
    <w:p w14:paraId="0F893AA1" w14:textId="77777777" w:rsidR="00197636" w:rsidRDefault="00197636" w:rsidP="009425F8">
      <w:pPr>
        <w:spacing w:line="276" w:lineRule="auto"/>
        <w:jc w:val="right"/>
        <w:rPr>
          <w:rFonts w:ascii="Arial" w:hAnsi="Arial" w:cs="Arial"/>
          <w:sz w:val="16"/>
          <w:szCs w:val="16"/>
        </w:rPr>
      </w:pPr>
    </w:p>
    <w:p w14:paraId="45AD9688" w14:textId="53855E30" w:rsidR="00197636" w:rsidRDefault="00197636" w:rsidP="00D36E83">
      <w:pPr>
        <w:ind w:firstLine="709"/>
        <w:jc w:val="both"/>
        <w:rPr>
          <w:rFonts w:ascii="Arial" w:eastAsia="Times New Roman" w:hAnsi="Arial" w:cs="Arial"/>
          <w:b/>
          <w:color w:val="000000"/>
          <w:sz w:val="22"/>
          <w:szCs w:val="24"/>
          <w:lang w:val="es-ES_tradnl" w:eastAsia="es-ES_tradnl"/>
        </w:rPr>
      </w:pPr>
    </w:p>
    <w:p w14:paraId="3E7B3A45" w14:textId="187732F3" w:rsidR="00DE4DF2" w:rsidRDefault="00DE4DF2" w:rsidP="00D36E83">
      <w:pPr>
        <w:ind w:firstLine="709"/>
        <w:jc w:val="both"/>
        <w:rPr>
          <w:rFonts w:ascii="Arial" w:eastAsia="Times New Roman" w:hAnsi="Arial" w:cs="Arial"/>
          <w:b/>
          <w:color w:val="000000"/>
          <w:sz w:val="22"/>
          <w:szCs w:val="24"/>
          <w:lang w:val="es-ES_tradnl" w:eastAsia="es-ES_tradnl"/>
        </w:rPr>
      </w:pPr>
    </w:p>
    <w:p w14:paraId="2FEA4B80" w14:textId="515361D1" w:rsidR="00DE4DF2" w:rsidRPr="00D80CCB" w:rsidRDefault="00DE4DF2" w:rsidP="00DE4DF2">
      <w:pPr>
        <w:ind w:firstLine="709"/>
        <w:jc w:val="right"/>
        <w:rPr>
          <w:rFonts w:ascii="Arial" w:eastAsia="Times New Roman" w:hAnsi="Arial" w:cs="Arial"/>
          <w:b/>
          <w:color w:val="000000"/>
          <w:sz w:val="22"/>
          <w:szCs w:val="24"/>
          <w:lang w:val="es-ES_tradnl" w:eastAsia="es-ES_tradnl"/>
        </w:rPr>
      </w:pPr>
      <w:r>
        <w:rPr>
          <w:noProof/>
        </w:rPr>
        <w:drawing>
          <wp:inline distT="0" distB="0" distL="0" distR="0" wp14:anchorId="06DC6566" wp14:editId="537E3FA1">
            <wp:extent cx="2476500" cy="6096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476500" cy="609600"/>
                    </a:xfrm>
                    <a:prstGeom prst="rect">
                      <a:avLst/>
                    </a:prstGeom>
                  </pic:spPr>
                </pic:pic>
              </a:graphicData>
            </a:graphic>
          </wp:inline>
        </w:drawing>
      </w:r>
    </w:p>
    <w:p w14:paraId="571454DA" w14:textId="77777777" w:rsidR="00DE4DF2" w:rsidRPr="006C1B8C" w:rsidRDefault="00DE4DF2" w:rsidP="00DE4DF2">
      <w:pPr>
        <w:spacing w:line="276" w:lineRule="auto"/>
        <w:jc w:val="right"/>
        <w:rPr>
          <w:rFonts w:ascii="Arial" w:eastAsia="Times New Roman" w:hAnsi="Arial" w:cs="Arial"/>
          <w:noProof/>
          <w:color w:val="000000"/>
          <w:sz w:val="16"/>
          <w:szCs w:val="16"/>
          <w:lang w:val="es-ES_tradnl" w:eastAsia="es-ES_tradnl"/>
        </w:rPr>
      </w:pPr>
      <w:r w:rsidRPr="006C1B8C">
        <w:rPr>
          <w:rFonts w:ascii="Arial" w:hAnsi="Arial" w:cs="Arial"/>
          <w:sz w:val="16"/>
          <w:szCs w:val="16"/>
        </w:rPr>
        <w:t>CCE-DES-FM-17</w:t>
      </w:r>
    </w:p>
    <w:p w14:paraId="26709783" w14:textId="4B40B991" w:rsidR="00DE4DF2" w:rsidRDefault="00DE4DF2" w:rsidP="00D36E83">
      <w:pPr>
        <w:jc w:val="both"/>
        <w:rPr>
          <w:rFonts w:ascii="Arial" w:eastAsia="Calibri" w:hAnsi="Arial" w:cs="Arial"/>
          <w:bCs/>
          <w:color w:val="000000"/>
          <w:sz w:val="22"/>
          <w:szCs w:val="24"/>
          <w:lang w:val="es-ES_tradnl" w:eastAsia="es-ES_tradnl"/>
        </w:rPr>
      </w:pPr>
      <w:r w:rsidRPr="00B865D7">
        <w:rPr>
          <w:rFonts w:ascii="Arial" w:eastAsia="Calibri" w:hAnsi="Arial" w:cs="Arial"/>
          <w:color w:val="000000" w:themeColor="text1"/>
          <w:sz w:val="22"/>
          <w:lang w:val="es-ES_tradnl"/>
        </w:rPr>
        <w:t>Bogotá,</w:t>
      </w:r>
      <w:r>
        <w:rPr>
          <w:rFonts w:ascii="Arial" w:eastAsia="Calibri" w:hAnsi="Arial" w:cs="Arial"/>
          <w:color w:val="000000" w:themeColor="text1"/>
          <w:sz w:val="22"/>
          <w:lang w:val="es-ES_tradnl"/>
        </w:rPr>
        <w:t xml:space="preserve"> 03 noviembre 2021</w:t>
      </w:r>
    </w:p>
    <w:p w14:paraId="3B30B81F" w14:textId="77777777" w:rsidR="00DE4DF2" w:rsidRDefault="00DE4DF2" w:rsidP="00D36E83">
      <w:pPr>
        <w:jc w:val="both"/>
        <w:rPr>
          <w:rFonts w:ascii="Arial" w:eastAsia="Calibri" w:hAnsi="Arial" w:cs="Arial"/>
          <w:bCs/>
          <w:color w:val="000000"/>
          <w:sz w:val="22"/>
          <w:szCs w:val="24"/>
          <w:lang w:val="es-ES_tradnl" w:eastAsia="es-ES_tradnl"/>
        </w:rPr>
      </w:pPr>
    </w:p>
    <w:p w14:paraId="3FA82527" w14:textId="77777777" w:rsidR="00DE4DF2" w:rsidRDefault="00DE4DF2" w:rsidP="00D36E83">
      <w:pPr>
        <w:jc w:val="both"/>
        <w:rPr>
          <w:rFonts w:ascii="Arial" w:eastAsia="Calibri" w:hAnsi="Arial" w:cs="Arial"/>
          <w:bCs/>
          <w:color w:val="000000"/>
          <w:sz w:val="22"/>
          <w:szCs w:val="24"/>
          <w:lang w:val="es-ES_tradnl" w:eastAsia="es-ES_tradnl"/>
        </w:rPr>
      </w:pPr>
    </w:p>
    <w:p w14:paraId="0BC64200" w14:textId="3CD7D8E2" w:rsidR="00D36E83" w:rsidRPr="00D80CCB" w:rsidRDefault="00D36E83" w:rsidP="00D36E83">
      <w:pPr>
        <w:jc w:val="both"/>
        <w:rPr>
          <w:rFonts w:ascii="Arial" w:eastAsia="Calibri" w:hAnsi="Arial" w:cs="Arial"/>
          <w:bCs/>
          <w:color w:val="000000"/>
          <w:sz w:val="22"/>
          <w:szCs w:val="24"/>
          <w:lang w:val="es-ES_tradnl" w:eastAsia="es-ES_tradnl"/>
        </w:rPr>
      </w:pPr>
      <w:r w:rsidRPr="00D80CCB">
        <w:rPr>
          <w:rFonts w:ascii="Arial" w:eastAsia="Calibri" w:hAnsi="Arial" w:cs="Arial"/>
          <w:bCs/>
          <w:color w:val="000000"/>
          <w:sz w:val="22"/>
          <w:szCs w:val="24"/>
          <w:lang w:val="es-ES_tradnl" w:eastAsia="es-ES_tradnl"/>
        </w:rPr>
        <w:t>Señor</w:t>
      </w:r>
      <w:r w:rsidR="00775578" w:rsidRPr="00D80CCB">
        <w:rPr>
          <w:rFonts w:ascii="Arial" w:eastAsia="Calibri" w:hAnsi="Arial" w:cs="Arial"/>
          <w:bCs/>
          <w:color w:val="000000"/>
          <w:sz w:val="22"/>
          <w:szCs w:val="24"/>
          <w:lang w:val="es-ES_tradnl" w:eastAsia="es-ES_tradnl"/>
        </w:rPr>
        <w:t>a</w:t>
      </w:r>
    </w:p>
    <w:p w14:paraId="2DA36821" w14:textId="1E9AFD0B" w:rsidR="00D36E83" w:rsidRDefault="00775578" w:rsidP="00775578">
      <w:pPr>
        <w:jc w:val="both"/>
        <w:rPr>
          <w:rFonts w:ascii="Arial" w:eastAsia="Calibri" w:hAnsi="Arial" w:cs="Arial"/>
          <w:b/>
          <w:color w:val="000000"/>
          <w:sz w:val="22"/>
          <w:szCs w:val="24"/>
          <w:lang w:val="es-ES_tradnl" w:eastAsia="es-ES_tradnl"/>
        </w:rPr>
      </w:pPr>
      <w:r w:rsidRPr="006C1B8C">
        <w:rPr>
          <w:rFonts w:ascii="Arial" w:eastAsia="Calibri" w:hAnsi="Arial" w:cs="Arial"/>
          <w:b/>
          <w:color w:val="000000"/>
          <w:sz w:val="22"/>
          <w:szCs w:val="24"/>
          <w:lang w:val="es-ES_tradnl" w:eastAsia="es-ES_tradnl"/>
        </w:rPr>
        <w:t>Andrea Rendón Mesa</w:t>
      </w:r>
    </w:p>
    <w:p w14:paraId="3AEA5E92" w14:textId="02F84FFD" w:rsidR="00197636" w:rsidRPr="006C1B8C" w:rsidRDefault="00197636" w:rsidP="00775578">
      <w:pPr>
        <w:jc w:val="both"/>
        <w:rPr>
          <w:rFonts w:ascii="Arial" w:eastAsia="Calibri" w:hAnsi="Arial" w:cs="Arial"/>
          <w:bCs/>
          <w:color w:val="000000"/>
          <w:sz w:val="22"/>
          <w:szCs w:val="24"/>
          <w:lang w:val="es-ES_tradnl" w:eastAsia="es-ES_tradnl"/>
        </w:rPr>
      </w:pPr>
      <w:r w:rsidRPr="006C1B8C">
        <w:rPr>
          <w:rFonts w:ascii="Arial" w:eastAsia="Calibri" w:hAnsi="Arial" w:cs="Arial"/>
          <w:bCs/>
          <w:color w:val="000000"/>
          <w:sz w:val="22"/>
          <w:szCs w:val="24"/>
          <w:lang w:val="es-ES_tradnl" w:eastAsia="es-ES_tradnl"/>
        </w:rPr>
        <w:t>Ciudad</w:t>
      </w:r>
    </w:p>
    <w:p w14:paraId="70DE927A" w14:textId="77777777" w:rsidR="00D36E83" w:rsidRPr="00D80CCB" w:rsidRDefault="00D36E83" w:rsidP="00D36E83">
      <w:pPr>
        <w:ind w:firstLine="709"/>
        <w:jc w:val="both"/>
        <w:rPr>
          <w:rFonts w:ascii="Arial" w:eastAsia="Calibri" w:hAnsi="Arial" w:cs="Arial"/>
          <w:color w:val="000000"/>
          <w:sz w:val="22"/>
          <w:szCs w:val="24"/>
          <w:lang w:val="es-ES_tradnl" w:eastAsia="es-ES_tradnl"/>
        </w:rPr>
      </w:pPr>
    </w:p>
    <w:p w14:paraId="25A64004" w14:textId="60296D68" w:rsidR="00D36E83" w:rsidRPr="00D80CCB" w:rsidRDefault="00D36E83" w:rsidP="00D36E83">
      <w:pPr>
        <w:ind w:firstLine="709"/>
        <w:rPr>
          <w:rFonts w:ascii="Arial" w:eastAsia="Calibri" w:hAnsi="Arial" w:cs="Arial"/>
          <w:b/>
          <w:bCs/>
          <w:color w:val="000000"/>
          <w:sz w:val="22"/>
          <w:szCs w:val="24"/>
          <w:lang w:val="es-ES_tradnl" w:eastAsia="es-ES_tradnl"/>
        </w:rPr>
      </w:pPr>
      <w:r w:rsidRPr="00D80CCB">
        <w:rPr>
          <w:rFonts w:ascii="Arial" w:eastAsia="Calibri" w:hAnsi="Arial" w:cs="Arial"/>
          <w:b/>
          <w:bCs/>
          <w:color w:val="000000"/>
          <w:sz w:val="22"/>
          <w:szCs w:val="24"/>
          <w:lang w:val="es-ES_tradnl" w:eastAsia="es-ES_tradnl"/>
        </w:rPr>
        <w:t xml:space="preserve">                                 Concepto C ‒ </w:t>
      </w:r>
      <w:r w:rsidR="00F87C15">
        <w:rPr>
          <w:rFonts w:ascii="Arial" w:eastAsia="Calibri" w:hAnsi="Arial" w:cs="Arial"/>
          <w:b/>
          <w:bCs/>
          <w:color w:val="000000"/>
          <w:sz w:val="22"/>
          <w:szCs w:val="24"/>
          <w:lang w:val="es-ES_tradnl" w:eastAsia="es-ES_tradnl"/>
        </w:rPr>
        <w:t>620</w:t>
      </w:r>
      <w:r w:rsidR="00775578" w:rsidRPr="00D80CCB">
        <w:rPr>
          <w:rFonts w:ascii="Arial" w:eastAsia="Calibri" w:hAnsi="Arial" w:cs="Arial"/>
          <w:b/>
          <w:bCs/>
          <w:color w:val="000000"/>
          <w:sz w:val="22"/>
          <w:szCs w:val="24"/>
          <w:lang w:val="es-ES_tradnl" w:eastAsia="es-ES_tradnl"/>
        </w:rPr>
        <w:t xml:space="preserve"> </w:t>
      </w:r>
      <w:r w:rsidRPr="00D80CCB">
        <w:rPr>
          <w:rFonts w:ascii="Arial" w:eastAsia="Calibri" w:hAnsi="Arial" w:cs="Arial"/>
          <w:b/>
          <w:bCs/>
          <w:color w:val="000000"/>
          <w:sz w:val="22"/>
          <w:szCs w:val="24"/>
          <w:lang w:val="es-ES_tradnl" w:eastAsia="es-ES_tradnl"/>
        </w:rPr>
        <w:t>de 2021</w:t>
      </w:r>
    </w:p>
    <w:p w14:paraId="75F2B04B" w14:textId="77777777" w:rsidR="00D36E83" w:rsidRPr="00D80CCB" w:rsidRDefault="00D36E83" w:rsidP="00D36E83">
      <w:pPr>
        <w:ind w:firstLine="709"/>
        <w:jc w:val="both"/>
        <w:rPr>
          <w:rFonts w:ascii="Arial" w:eastAsia="Calibri" w:hAnsi="Arial" w:cs="Arial"/>
          <w:color w:val="000000"/>
          <w:sz w:val="22"/>
          <w:szCs w:val="24"/>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36E83" w:rsidRPr="00D80CCB" w14:paraId="7BE9E8D1" w14:textId="77777777" w:rsidTr="00FB18E1">
        <w:tc>
          <w:tcPr>
            <w:tcW w:w="2689" w:type="dxa"/>
          </w:tcPr>
          <w:p w14:paraId="7A621B16" w14:textId="77777777" w:rsidR="00D36E83" w:rsidRPr="00D80CCB" w:rsidRDefault="00D36E83" w:rsidP="00D36E83">
            <w:pPr>
              <w:jc w:val="both"/>
              <w:rPr>
                <w:rFonts w:ascii="Arial" w:eastAsia="Calibri" w:hAnsi="Arial" w:cs="Arial"/>
                <w:color w:val="000000"/>
                <w:sz w:val="22"/>
                <w:szCs w:val="24"/>
                <w:lang w:val="es-ES_tradnl" w:eastAsia="es-ES_tradnl"/>
              </w:rPr>
            </w:pPr>
            <w:r w:rsidRPr="00D80CCB">
              <w:rPr>
                <w:rFonts w:ascii="Arial" w:eastAsia="Calibri" w:hAnsi="Arial" w:cs="Arial"/>
                <w:b/>
                <w:color w:val="000000"/>
                <w:sz w:val="22"/>
                <w:szCs w:val="24"/>
                <w:lang w:val="es-ES_tradnl" w:eastAsia="es-ES_tradnl"/>
              </w:rPr>
              <w:t>Temas:</w:t>
            </w:r>
            <w:r w:rsidRPr="00D80CCB">
              <w:rPr>
                <w:rFonts w:ascii="Arial" w:eastAsia="Calibri" w:hAnsi="Arial" w:cs="Arial"/>
                <w:color w:val="000000"/>
                <w:sz w:val="22"/>
                <w:szCs w:val="24"/>
                <w:lang w:val="es-ES_tradnl" w:eastAsia="es-ES_tradnl"/>
              </w:rPr>
              <w:t xml:space="preserve">                                      </w:t>
            </w:r>
          </w:p>
        </w:tc>
        <w:tc>
          <w:tcPr>
            <w:tcW w:w="6237" w:type="dxa"/>
          </w:tcPr>
          <w:p w14:paraId="06E78BC6" w14:textId="1BFC5CF1" w:rsidR="00D36E83" w:rsidRPr="00D80CCB" w:rsidRDefault="006E3895" w:rsidP="006E3895">
            <w:pPr>
              <w:ind w:firstLine="0"/>
              <w:jc w:val="both"/>
              <w:rPr>
                <w:rFonts w:ascii="Arial" w:eastAsia="Calibri" w:hAnsi="Arial" w:cs="Arial"/>
                <w:color w:val="000000"/>
                <w:sz w:val="22"/>
                <w:szCs w:val="24"/>
                <w:lang w:val="es-ES_tradnl" w:eastAsia="es-ES_tradnl"/>
              </w:rPr>
            </w:pPr>
            <w:r w:rsidRPr="00B865D7">
              <w:rPr>
                <w:rFonts w:ascii="Arial" w:eastAsia="Calibri" w:hAnsi="Arial" w:cs="Arial"/>
                <w:bCs/>
                <w:sz w:val="22"/>
                <w:lang w:val="es-ES_tradnl"/>
              </w:rPr>
              <w:t xml:space="preserve">CAPACIDAD FINANCIERA y CAPACIDAD ORGANIZACIONAL – Conceptos – Requisitos habilitantes / DECRETO 399 DE 2021 – Finalidad – Reactivación económica / DECRETOS 399 Y 579 DE 2021 – Información – Capacidad financiera – Capacidad organizacional / MEJOR AÑO FISCAL – Decreto 399 Y 579 DE </w:t>
            </w:r>
            <w:r w:rsidRPr="00C8590C">
              <w:rPr>
                <w:rFonts w:ascii="Arial" w:eastAsia="Calibri" w:hAnsi="Arial" w:cs="Arial"/>
                <w:bCs/>
                <w:sz w:val="22"/>
                <w:lang w:val="es-ES_tradnl"/>
              </w:rPr>
              <w:t>2021 – Capacidad financiera – Capacidad organizacional – Interpretación/</w:t>
            </w:r>
            <w:r w:rsidRPr="00C8590C">
              <w:rPr>
                <w:rFonts w:ascii="Arial" w:eastAsia="Calibri" w:hAnsi="Arial" w:cs="Arial"/>
                <w:bCs/>
                <w:color w:val="000000" w:themeColor="text1"/>
                <w:sz w:val="22"/>
                <w:lang w:val="es-ES_tradnl"/>
              </w:rPr>
              <w:t xml:space="preserve"> </w:t>
            </w:r>
          </w:p>
        </w:tc>
      </w:tr>
      <w:tr w:rsidR="00D36E83" w:rsidRPr="00D80CCB" w14:paraId="71AA3FAF" w14:textId="77777777" w:rsidTr="00FB18E1">
        <w:trPr>
          <w:trHeight w:val="67"/>
        </w:trPr>
        <w:tc>
          <w:tcPr>
            <w:tcW w:w="2689" w:type="dxa"/>
          </w:tcPr>
          <w:p w14:paraId="57959B7A" w14:textId="77777777" w:rsidR="00D36E83" w:rsidRPr="00D80CCB" w:rsidRDefault="00D36E83" w:rsidP="00D36E83">
            <w:pPr>
              <w:spacing w:before="120"/>
              <w:jc w:val="both"/>
              <w:rPr>
                <w:rFonts w:ascii="Arial" w:eastAsia="Calibri" w:hAnsi="Arial" w:cs="Arial"/>
                <w:b/>
                <w:color w:val="000000"/>
                <w:sz w:val="22"/>
                <w:lang w:val="es-ES_tradnl" w:eastAsia="es-ES_tradnl"/>
              </w:rPr>
            </w:pPr>
            <w:r w:rsidRPr="00D80CCB">
              <w:rPr>
                <w:rFonts w:ascii="Arial" w:eastAsia="Calibri" w:hAnsi="Arial" w:cs="Arial"/>
                <w:b/>
                <w:color w:val="000000"/>
                <w:sz w:val="22"/>
                <w:lang w:val="es-ES_tradnl" w:eastAsia="es-ES_tradnl"/>
              </w:rPr>
              <w:t>Radicación:</w:t>
            </w:r>
            <w:r w:rsidRPr="00D80CCB">
              <w:rPr>
                <w:rFonts w:ascii="Arial" w:eastAsia="Calibri" w:hAnsi="Arial" w:cs="Arial"/>
                <w:color w:val="000000"/>
                <w:sz w:val="22"/>
                <w:lang w:val="es-ES_tradnl" w:eastAsia="es-ES_tradnl"/>
              </w:rPr>
              <w:t xml:space="preserve">                              </w:t>
            </w:r>
          </w:p>
        </w:tc>
        <w:tc>
          <w:tcPr>
            <w:tcW w:w="6237" w:type="dxa"/>
          </w:tcPr>
          <w:p w14:paraId="217A7369" w14:textId="6F6B75D2" w:rsidR="00D36E83" w:rsidRPr="00D80CCB" w:rsidRDefault="00D36E83" w:rsidP="00DC7A4A">
            <w:pPr>
              <w:spacing w:before="120"/>
              <w:ind w:firstLine="0"/>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 xml:space="preserve">Respuesta a consulta # </w:t>
            </w:r>
            <w:r w:rsidRPr="00D80CCB">
              <w:rPr>
                <w:rFonts w:ascii="Arial" w:eastAsia="Times New Roman" w:hAnsi="Arial" w:cs="Arial"/>
                <w:color w:val="000000"/>
                <w:sz w:val="22"/>
                <w:lang w:val="es-CO" w:eastAsia="es-CO"/>
              </w:rPr>
              <w:t>P2021</w:t>
            </w:r>
            <w:r w:rsidR="00F87C15">
              <w:rPr>
                <w:rFonts w:ascii="Arial" w:eastAsia="Times New Roman" w:hAnsi="Arial" w:cs="Arial"/>
                <w:color w:val="000000"/>
                <w:sz w:val="22"/>
                <w:lang w:val="es-CO" w:eastAsia="es-CO"/>
              </w:rPr>
              <w:t>0921008638</w:t>
            </w:r>
          </w:p>
        </w:tc>
      </w:tr>
    </w:tbl>
    <w:p w14:paraId="2B5A13C9" w14:textId="0B214680" w:rsidR="00D36E83" w:rsidRDefault="00D36E83" w:rsidP="00D36E83">
      <w:pPr>
        <w:ind w:firstLine="709"/>
        <w:jc w:val="both"/>
        <w:rPr>
          <w:rFonts w:ascii="Arial" w:eastAsia="Calibri" w:hAnsi="Arial" w:cs="Arial"/>
          <w:color w:val="000000"/>
          <w:sz w:val="22"/>
          <w:szCs w:val="24"/>
          <w:lang w:val="es-ES_tradnl" w:eastAsia="es-ES_tradnl"/>
        </w:rPr>
      </w:pPr>
    </w:p>
    <w:p w14:paraId="169A48B7" w14:textId="77777777" w:rsidR="00197636" w:rsidRPr="00D80CCB" w:rsidRDefault="00197636" w:rsidP="00D36E83">
      <w:pPr>
        <w:ind w:firstLine="709"/>
        <w:jc w:val="both"/>
        <w:rPr>
          <w:rFonts w:ascii="Arial" w:eastAsia="Calibri" w:hAnsi="Arial" w:cs="Arial"/>
          <w:color w:val="000000"/>
          <w:sz w:val="22"/>
          <w:szCs w:val="24"/>
          <w:lang w:val="es-ES_tradnl" w:eastAsia="es-ES_tradnl"/>
        </w:rPr>
      </w:pPr>
    </w:p>
    <w:p w14:paraId="39B5DF8F" w14:textId="122E7C06" w:rsidR="00D36E83" w:rsidRPr="00D80CCB" w:rsidRDefault="00D36E83" w:rsidP="00D36E83">
      <w:pPr>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Estimad</w:t>
      </w:r>
      <w:r w:rsidR="00775578" w:rsidRPr="00D80CCB">
        <w:rPr>
          <w:rFonts w:ascii="Arial" w:eastAsia="Calibri" w:hAnsi="Arial" w:cs="Arial"/>
          <w:color w:val="000000"/>
          <w:sz w:val="22"/>
          <w:szCs w:val="24"/>
          <w:lang w:val="es-ES_tradnl" w:eastAsia="es-ES_tradnl"/>
        </w:rPr>
        <w:t>a</w:t>
      </w:r>
      <w:r w:rsidRPr="00D80CCB">
        <w:rPr>
          <w:rFonts w:ascii="Arial" w:eastAsia="Calibri" w:hAnsi="Arial" w:cs="Arial"/>
          <w:color w:val="000000"/>
          <w:sz w:val="22"/>
          <w:szCs w:val="24"/>
          <w:lang w:val="es-ES_tradnl" w:eastAsia="es-ES_tradnl"/>
        </w:rPr>
        <w:t xml:space="preserve"> señora</w:t>
      </w:r>
      <w:r w:rsidR="00775578" w:rsidRPr="00D80CCB">
        <w:rPr>
          <w:rFonts w:ascii="Arial" w:eastAsia="Calibri" w:hAnsi="Arial" w:cs="Arial"/>
          <w:color w:val="000000"/>
          <w:sz w:val="22"/>
          <w:szCs w:val="24"/>
          <w:lang w:val="es-ES_tradnl" w:eastAsia="es-ES_tradnl"/>
        </w:rPr>
        <w:t xml:space="preserve"> Rendón</w:t>
      </w:r>
      <w:r w:rsidRPr="00D80CCB">
        <w:rPr>
          <w:rFonts w:ascii="Arial" w:eastAsia="Calibri" w:hAnsi="Arial" w:cs="Arial"/>
          <w:color w:val="000000"/>
          <w:sz w:val="22"/>
          <w:szCs w:val="24"/>
          <w:lang w:val="es-ES_tradnl" w:eastAsia="es-ES_tradnl"/>
        </w:rPr>
        <w:t>:</w:t>
      </w:r>
    </w:p>
    <w:p w14:paraId="114E4D1D" w14:textId="77777777" w:rsidR="00D36E83" w:rsidRPr="00D80CCB" w:rsidRDefault="00D36E83" w:rsidP="00D36E83">
      <w:pPr>
        <w:ind w:firstLine="709"/>
        <w:jc w:val="both"/>
        <w:rPr>
          <w:rFonts w:ascii="Arial" w:eastAsia="Calibri" w:hAnsi="Arial" w:cs="Arial"/>
          <w:color w:val="000000"/>
          <w:sz w:val="22"/>
          <w:szCs w:val="24"/>
          <w:lang w:val="es-ES_tradnl" w:eastAsia="es-ES_tradnl"/>
        </w:rPr>
      </w:pPr>
    </w:p>
    <w:p w14:paraId="03F1150D" w14:textId="1A02E58E" w:rsidR="00D36E83" w:rsidRPr="00D80CCB" w:rsidRDefault="00D36E83" w:rsidP="00D36E83">
      <w:pPr>
        <w:spacing w:line="276" w:lineRule="auto"/>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775578" w:rsidRPr="00D80CCB">
        <w:rPr>
          <w:rFonts w:ascii="Arial" w:eastAsia="Calibri" w:hAnsi="Arial" w:cs="Arial"/>
          <w:color w:val="000000"/>
          <w:sz w:val="22"/>
          <w:szCs w:val="24"/>
          <w:lang w:val="es-ES_tradnl" w:eastAsia="es-ES_tradnl"/>
        </w:rPr>
        <w:t>2</w:t>
      </w:r>
      <w:r w:rsidR="00C512FE" w:rsidRPr="00D80CCB">
        <w:rPr>
          <w:rFonts w:ascii="Arial" w:eastAsia="Calibri" w:hAnsi="Arial" w:cs="Arial"/>
          <w:color w:val="000000"/>
          <w:sz w:val="22"/>
          <w:szCs w:val="24"/>
          <w:lang w:val="es-ES_tradnl" w:eastAsia="es-ES_tradnl"/>
        </w:rPr>
        <w:t>3</w:t>
      </w:r>
      <w:r w:rsidR="00775578" w:rsidRPr="00D80CCB">
        <w:rPr>
          <w:rFonts w:ascii="Arial" w:eastAsia="Calibri" w:hAnsi="Arial" w:cs="Arial"/>
          <w:color w:val="000000"/>
          <w:sz w:val="22"/>
          <w:szCs w:val="24"/>
          <w:lang w:val="es-ES_tradnl" w:eastAsia="es-ES_tradnl"/>
        </w:rPr>
        <w:t xml:space="preserve"> de septiembre</w:t>
      </w:r>
      <w:r w:rsidRPr="00D80CCB">
        <w:rPr>
          <w:rFonts w:ascii="Arial" w:eastAsia="Calibri" w:hAnsi="Arial" w:cs="Arial"/>
          <w:color w:val="000000"/>
          <w:sz w:val="22"/>
          <w:szCs w:val="24"/>
          <w:lang w:val="es-ES_tradnl" w:eastAsia="es-ES_tradnl"/>
        </w:rPr>
        <w:t xml:space="preserve"> de 2021.</w:t>
      </w:r>
    </w:p>
    <w:p w14:paraId="52C13A16" w14:textId="77777777" w:rsidR="00D36E83" w:rsidRPr="00D80CCB" w:rsidRDefault="00D36E83" w:rsidP="00D36E83">
      <w:pPr>
        <w:spacing w:line="276" w:lineRule="auto"/>
        <w:ind w:firstLine="709"/>
        <w:jc w:val="both"/>
        <w:rPr>
          <w:rFonts w:ascii="Arial" w:eastAsia="Calibri" w:hAnsi="Arial" w:cs="Arial"/>
          <w:b/>
          <w:color w:val="000000"/>
          <w:sz w:val="22"/>
          <w:szCs w:val="24"/>
          <w:lang w:val="es-ES_tradnl" w:eastAsia="es-ES_tradnl"/>
        </w:rPr>
      </w:pPr>
    </w:p>
    <w:p w14:paraId="59DE37D4" w14:textId="77777777" w:rsidR="00D36E83" w:rsidRPr="00D80CCB" w:rsidRDefault="00D36E83" w:rsidP="00D36E83">
      <w:pPr>
        <w:numPr>
          <w:ilvl w:val="0"/>
          <w:numId w:val="13"/>
        </w:numPr>
        <w:tabs>
          <w:tab w:val="left" w:pos="0"/>
          <w:tab w:val="left" w:pos="142"/>
          <w:tab w:val="left" w:pos="284"/>
        </w:tabs>
        <w:spacing w:line="276" w:lineRule="auto"/>
        <w:ind w:left="0" w:firstLine="0"/>
        <w:contextualSpacing/>
        <w:jc w:val="both"/>
        <w:rPr>
          <w:rFonts w:ascii="Arial" w:eastAsia="Calibri" w:hAnsi="Arial" w:cs="Arial"/>
          <w:b/>
          <w:color w:val="000000"/>
          <w:sz w:val="22"/>
          <w:lang w:val="es-ES_tradnl"/>
        </w:rPr>
      </w:pPr>
      <w:r w:rsidRPr="00D80CCB">
        <w:rPr>
          <w:rFonts w:ascii="Arial" w:eastAsia="Calibri" w:hAnsi="Arial" w:cs="Arial"/>
          <w:b/>
          <w:color w:val="000000"/>
          <w:sz w:val="22"/>
          <w:lang w:val="es-ES_tradnl"/>
        </w:rPr>
        <w:t xml:space="preserve">Problema planteado </w:t>
      </w:r>
    </w:p>
    <w:p w14:paraId="3643E96C" w14:textId="77777777" w:rsidR="00F47033" w:rsidRPr="00D80CCB" w:rsidRDefault="00F47033" w:rsidP="00F47033">
      <w:pPr>
        <w:spacing w:line="276" w:lineRule="auto"/>
        <w:jc w:val="both"/>
        <w:rPr>
          <w:rFonts w:ascii="Arial" w:eastAsia="Times New Roman" w:hAnsi="Arial" w:cs="Arial"/>
          <w:color w:val="000000"/>
          <w:sz w:val="22"/>
          <w:szCs w:val="24"/>
          <w:lang w:val="es-ES_tradnl" w:eastAsia="es-ES_tradnl"/>
        </w:rPr>
      </w:pPr>
    </w:p>
    <w:p w14:paraId="665E9D36" w14:textId="1D15E3A3" w:rsidR="00F47033" w:rsidRPr="00D80CCB" w:rsidRDefault="00F47033" w:rsidP="00F47033">
      <w:pPr>
        <w:spacing w:line="276" w:lineRule="auto"/>
        <w:jc w:val="both"/>
        <w:rPr>
          <w:rFonts w:ascii="Arial" w:eastAsia="Times New Roman" w:hAnsi="Arial" w:cs="Arial"/>
          <w:color w:val="000000"/>
          <w:sz w:val="22"/>
          <w:szCs w:val="24"/>
          <w:lang w:val="es-ES_tradnl" w:eastAsia="es-ES_tradnl"/>
        </w:rPr>
      </w:pPr>
      <w:r w:rsidRPr="00D80CCB">
        <w:rPr>
          <w:rFonts w:ascii="Arial" w:eastAsia="Times New Roman" w:hAnsi="Arial" w:cs="Arial"/>
          <w:color w:val="000000"/>
          <w:sz w:val="22"/>
          <w:szCs w:val="24"/>
          <w:lang w:val="es-ES_tradnl" w:eastAsia="es-ES_tradnl"/>
        </w:rPr>
        <w:t>De acuerdo con lo establecido en el Decreto 579 de 2021, usted formula las siguientes preguntas:</w:t>
      </w:r>
    </w:p>
    <w:p w14:paraId="56C21DAC" w14:textId="77777777" w:rsidR="00F47033" w:rsidRPr="00D80CCB" w:rsidRDefault="00F47033" w:rsidP="00F47033">
      <w:pPr>
        <w:spacing w:line="276" w:lineRule="auto"/>
        <w:jc w:val="both"/>
        <w:rPr>
          <w:rFonts w:ascii="Arial" w:eastAsia="Times New Roman" w:hAnsi="Arial" w:cs="Arial"/>
          <w:color w:val="000000"/>
          <w:sz w:val="22"/>
          <w:szCs w:val="24"/>
          <w:lang w:val="es-ES_tradnl" w:eastAsia="es-ES_tradnl"/>
        </w:rPr>
      </w:pPr>
    </w:p>
    <w:p w14:paraId="6FF92F64" w14:textId="29FEE179" w:rsidR="00F47033" w:rsidRPr="00D80CCB" w:rsidRDefault="00006E80" w:rsidP="00F47033">
      <w:pPr>
        <w:ind w:left="709" w:right="709"/>
        <w:jc w:val="both"/>
        <w:rPr>
          <w:rFonts w:ascii="Arial" w:eastAsia="Times New Roman" w:hAnsi="Arial" w:cs="Arial"/>
          <w:color w:val="000000"/>
          <w:sz w:val="21"/>
          <w:szCs w:val="21"/>
          <w:lang w:val="es-ES_tradnl" w:eastAsia="es-ES_tradnl"/>
        </w:rPr>
      </w:pPr>
      <w:r>
        <w:rPr>
          <w:rFonts w:ascii="Arial" w:eastAsia="Times New Roman" w:hAnsi="Arial" w:cs="Arial"/>
          <w:color w:val="000000"/>
          <w:sz w:val="21"/>
          <w:szCs w:val="21"/>
          <w:lang w:val="es-ES_tradnl" w:eastAsia="es-ES_tradnl"/>
        </w:rPr>
        <w:t>«</w:t>
      </w:r>
      <w:r w:rsidR="00F47033" w:rsidRPr="00D80CCB">
        <w:rPr>
          <w:rFonts w:ascii="Arial" w:eastAsia="Times New Roman" w:hAnsi="Arial" w:cs="Arial"/>
          <w:color w:val="000000"/>
          <w:sz w:val="21"/>
          <w:szCs w:val="21"/>
          <w:lang w:val="es-ES_tradnl" w:eastAsia="es-ES_tradnl"/>
        </w:rPr>
        <w:t>1.</w:t>
      </w:r>
      <w:r w:rsidR="00F47033" w:rsidRPr="00D80CCB">
        <w:rPr>
          <w:rFonts w:ascii="Arial" w:eastAsia="Times New Roman" w:hAnsi="Arial" w:cs="Arial"/>
          <w:color w:val="000000"/>
          <w:sz w:val="21"/>
          <w:szCs w:val="21"/>
          <w:lang w:val="es-ES_tradnl" w:eastAsia="es-ES_tradnl"/>
        </w:rPr>
        <w:tab/>
        <w:t>Si bien es cierto, el proponente puede acreditar los indicadores de capacidad financiera y organizacional en cualquiera de las ultimas 3 vigencias, solicitamos que se aclare si la entidad debe realizar un análisis para establecer indicadores para cada vigencia, tomando bases de datos que correspondan a cada una, o por el contrario, resulta más apropiado fijar indicadores que correspondan a lo más reciente y que refleje la realidad de mercado, permitiendo que el oferente cumpla con cualquiera de las 3 vigencias.</w:t>
      </w:r>
    </w:p>
    <w:p w14:paraId="459BFC59" w14:textId="77777777" w:rsidR="00F47033" w:rsidRPr="00D80CCB" w:rsidRDefault="00F47033" w:rsidP="00F47033">
      <w:pPr>
        <w:ind w:left="709" w:right="709"/>
        <w:jc w:val="both"/>
        <w:rPr>
          <w:rFonts w:ascii="Arial" w:eastAsia="Times New Roman" w:hAnsi="Arial" w:cs="Arial"/>
          <w:color w:val="000000"/>
          <w:sz w:val="21"/>
          <w:szCs w:val="21"/>
          <w:lang w:val="es-ES_tradnl" w:eastAsia="es-ES_tradnl"/>
        </w:rPr>
      </w:pPr>
    </w:p>
    <w:p w14:paraId="6D69FF3D" w14:textId="321C991A" w:rsidR="00F47033" w:rsidRPr="00D80CCB" w:rsidRDefault="00F47033" w:rsidP="00F47033">
      <w:pPr>
        <w:ind w:left="709" w:right="709"/>
        <w:jc w:val="both"/>
        <w:rPr>
          <w:rFonts w:ascii="Arial" w:eastAsia="Times New Roman" w:hAnsi="Arial" w:cs="Arial"/>
          <w:color w:val="000000"/>
          <w:sz w:val="21"/>
          <w:szCs w:val="21"/>
          <w:lang w:val="es-ES_tradnl" w:eastAsia="es-ES_tradnl"/>
        </w:rPr>
      </w:pPr>
      <w:r w:rsidRPr="00D80CCB">
        <w:rPr>
          <w:rFonts w:ascii="Arial" w:eastAsia="Times New Roman" w:hAnsi="Arial" w:cs="Arial"/>
          <w:color w:val="000000"/>
          <w:sz w:val="21"/>
          <w:szCs w:val="21"/>
          <w:lang w:val="es-ES_tradnl" w:eastAsia="es-ES_tradnl"/>
        </w:rPr>
        <w:lastRenderedPageBreak/>
        <w:t>2.</w:t>
      </w:r>
      <w:r w:rsidRPr="00D80CCB">
        <w:rPr>
          <w:rFonts w:ascii="Arial" w:eastAsia="Times New Roman" w:hAnsi="Arial" w:cs="Arial"/>
          <w:color w:val="000000"/>
          <w:sz w:val="21"/>
          <w:szCs w:val="21"/>
          <w:lang w:val="es-ES_tradnl" w:eastAsia="es-ES_tradnl"/>
        </w:rPr>
        <w:tab/>
        <w:t>En el caso donde se presentan figuras asociativas como consorcios y uniones temporales, donde cada integrante tiene un porcentaje de participación, ¿La ponderación de sus indicadores financieros debe hacerse comparándolos en la misma vigencia cumpliendo con el principio de uniformidad y el valor del dinero en el tiempo, o se debe comparar con el resultado más favorable para cada de sus asociados, uno independiente si la vigencia de cada uno es diferente? Por ejemplo, en la unión temporal ficta conformada por los proponentes A&amp;B, ¿se podría evaluar la liquidez de A durante la vigencia 2018 y la liquidez de B durante la vigencia 2020 y ponderando estos dos datos?</w:t>
      </w:r>
    </w:p>
    <w:p w14:paraId="33B1BAC3" w14:textId="77777777" w:rsidR="00D36E83" w:rsidRPr="00D80CCB" w:rsidRDefault="00D36E83" w:rsidP="00F47033">
      <w:pPr>
        <w:ind w:right="709"/>
        <w:jc w:val="both"/>
        <w:rPr>
          <w:rFonts w:ascii="Arial" w:eastAsia="Times New Roman" w:hAnsi="Arial" w:cs="Arial"/>
          <w:color w:val="000000"/>
          <w:sz w:val="21"/>
          <w:szCs w:val="21"/>
          <w:lang w:val="es-ES_tradnl" w:eastAsia="es-ES_tradnl"/>
        </w:rPr>
      </w:pPr>
    </w:p>
    <w:p w14:paraId="44569698" w14:textId="77777777" w:rsidR="00D36E83" w:rsidRPr="00D80CCB" w:rsidRDefault="00D36E83" w:rsidP="00D36E83">
      <w:pPr>
        <w:numPr>
          <w:ilvl w:val="0"/>
          <w:numId w:val="13"/>
        </w:numPr>
        <w:tabs>
          <w:tab w:val="left" w:pos="0"/>
          <w:tab w:val="left" w:pos="284"/>
        </w:tabs>
        <w:ind w:left="0" w:firstLine="0"/>
        <w:contextualSpacing/>
        <w:jc w:val="both"/>
        <w:rPr>
          <w:rFonts w:ascii="Arial" w:eastAsia="Calibri" w:hAnsi="Arial" w:cs="Arial"/>
          <w:b/>
          <w:color w:val="000000"/>
          <w:sz w:val="22"/>
          <w:lang w:val="es-ES_tradnl"/>
        </w:rPr>
      </w:pPr>
      <w:r w:rsidRPr="00D80CCB">
        <w:rPr>
          <w:rFonts w:ascii="Arial" w:eastAsia="Calibri" w:hAnsi="Arial" w:cs="Arial"/>
          <w:b/>
          <w:color w:val="000000"/>
          <w:sz w:val="22"/>
          <w:lang w:val="es-ES_tradnl"/>
        </w:rPr>
        <w:t>Consideraciones</w:t>
      </w:r>
    </w:p>
    <w:p w14:paraId="48DC1132" w14:textId="77777777" w:rsidR="00D36E83" w:rsidRPr="00D80CCB" w:rsidRDefault="00D36E83" w:rsidP="00D36E83">
      <w:pPr>
        <w:spacing w:line="276" w:lineRule="auto"/>
        <w:ind w:firstLine="709"/>
        <w:jc w:val="both"/>
        <w:rPr>
          <w:rFonts w:ascii="Arial" w:eastAsia="Calibri" w:hAnsi="Arial" w:cs="Arial"/>
          <w:color w:val="000000"/>
          <w:sz w:val="22"/>
          <w:lang w:val="es-ES_tradnl" w:eastAsia="es-ES_tradnl"/>
        </w:rPr>
      </w:pPr>
    </w:p>
    <w:p w14:paraId="3D8C8C0C" w14:textId="703BCAD7" w:rsidR="00D36E83" w:rsidRPr="00D80CCB" w:rsidRDefault="00D36E83" w:rsidP="00D36E83">
      <w:pPr>
        <w:spacing w:before="120" w:line="276" w:lineRule="auto"/>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 xml:space="preserve">La Subdirección de Gestión Contractual responderá la consulta, luego de analizar los siguientes temas: i) </w:t>
      </w:r>
      <w:r w:rsidR="00ED0845" w:rsidRPr="00D80CCB">
        <w:rPr>
          <w:rFonts w:ascii="Arial" w:eastAsia="Calibri" w:hAnsi="Arial" w:cs="Arial"/>
          <w:color w:val="000000"/>
          <w:sz w:val="22"/>
          <w:lang w:val="es-ES_tradnl" w:eastAsia="es-ES_tradnl"/>
        </w:rPr>
        <w:t>estudios previos y del sector en el Estatuto General de Contratación de la Administración Pública</w:t>
      </w:r>
      <w:r w:rsidR="00B52F07" w:rsidRPr="00D80CCB">
        <w:rPr>
          <w:rFonts w:ascii="Arial" w:eastAsia="Calibri" w:hAnsi="Arial" w:cs="Arial"/>
          <w:color w:val="000000"/>
          <w:sz w:val="22"/>
          <w:lang w:val="es-ES_tradnl" w:eastAsia="es-ES_tradnl"/>
        </w:rPr>
        <w:t>; ii)</w:t>
      </w:r>
      <w:r w:rsidR="00ED0845" w:rsidRPr="00D80CCB">
        <w:rPr>
          <w:rFonts w:ascii="Arial" w:eastAsia="Calibri" w:hAnsi="Arial" w:cs="Arial"/>
          <w:color w:val="000000"/>
          <w:sz w:val="22"/>
          <w:lang w:val="es-ES_tradnl" w:eastAsia="es-ES_tradnl"/>
        </w:rPr>
        <w:t xml:space="preserve">   </w:t>
      </w:r>
      <w:r w:rsidRPr="00D80CCB">
        <w:rPr>
          <w:rFonts w:ascii="Arial" w:eastAsia="Calibri" w:hAnsi="Arial" w:cs="Arial"/>
          <w:color w:val="000000"/>
          <w:sz w:val="22"/>
          <w:lang w:val="es-ES_tradnl" w:eastAsia="es-ES_tradnl"/>
        </w:rPr>
        <w:t>requisitos habilitantes de capacidad financiera y organizacional, i</w:t>
      </w:r>
      <w:r w:rsidR="00B52F07" w:rsidRPr="00D80CCB">
        <w:rPr>
          <w:rFonts w:ascii="Arial" w:eastAsia="Calibri" w:hAnsi="Arial" w:cs="Arial"/>
          <w:color w:val="000000"/>
          <w:sz w:val="22"/>
          <w:lang w:val="es-ES_tradnl" w:eastAsia="es-ES_tradnl"/>
        </w:rPr>
        <w:t>i</w:t>
      </w:r>
      <w:r w:rsidRPr="00D80CCB">
        <w:rPr>
          <w:rFonts w:ascii="Arial" w:eastAsia="Calibri" w:hAnsi="Arial" w:cs="Arial"/>
          <w:color w:val="000000"/>
          <w:sz w:val="22"/>
          <w:lang w:val="es-ES_tradnl" w:eastAsia="es-ES_tradnl"/>
        </w:rPr>
        <w:t>i) modificaciones introducidas por los Decretos 399 de 2021 y 579 de 2021, y verificación de la capacidad financiera y organizacional</w:t>
      </w:r>
      <w:r w:rsidR="00DD3DB9" w:rsidRPr="00D80CCB">
        <w:rPr>
          <w:rFonts w:ascii="Arial" w:eastAsia="Calibri" w:hAnsi="Arial" w:cs="Arial"/>
          <w:color w:val="000000"/>
          <w:sz w:val="22"/>
          <w:lang w:val="es-ES_tradnl" w:eastAsia="es-ES_tradnl"/>
        </w:rPr>
        <w:t>, profundizando en su aplicación frente a los proponentes plurales</w:t>
      </w:r>
      <w:r w:rsidRPr="00D80CCB">
        <w:rPr>
          <w:rFonts w:ascii="Arial" w:eastAsia="Calibri" w:hAnsi="Arial" w:cs="Arial"/>
          <w:color w:val="000000"/>
          <w:sz w:val="22"/>
          <w:lang w:val="es-ES_tradnl" w:eastAsia="es-ES_tradnl"/>
        </w:rPr>
        <w:t>.</w:t>
      </w:r>
    </w:p>
    <w:p w14:paraId="53E57CE1" w14:textId="77777777" w:rsidR="00D36E83" w:rsidRPr="00D80CCB" w:rsidRDefault="00D36E83" w:rsidP="00D36E83">
      <w:pPr>
        <w:spacing w:line="276" w:lineRule="auto"/>
        <w:jc w:val="both"/>
        <w:rPr>
          <w:rFonts w:ascii="Arial" w:eastAsia="Calibri" w:hAnsi="Arial" w:cs="Arial"/>
          <w:color w:val="000000"/>
          <w:sz w:val="22"/>
          <w:lang w:val="es-ES_tradnl" w:eastAsia="es-ES_tradnl"/>
        </w:rPr>
      </w:pPr>
    </w:p>
    <w:p w14:paraId="090FB80A" w14:textId="77777777" w:rsidR="00173CD9" w:rsidRPr="00D80CCB" w:rsidRDefault="00682892" w:rsidP="00682892">
      <w:pPr>
        <w:spacing w:after="120" w:line="276" w:lineRule="auto"/>
        <w:ind w:firstLine="709"/>
        <w:jc w:val="both"/>
        <w:rPr>
          <w:rStyle w:val="normaltextrun"/>
          <w:rFonts w:ascii="Arial" w:hAnsi="Arial" w:cs="Arial"/>
          <w:color w:val="000000"/>
          <w:sz w:val="22"/>
          <w:shd w:val="clear" w:color="auto" w:fill="FFFFFF"/>
          <w:lang w:val="es-ES"/>
        </w:rPr>
      </w:pPr>
      <w:r w:rsidRPr="00D80CCB">
        <w:rPr>
          <w:rFonts w:ascii="Arial" w:eastAsia="Calibri" w:hAnsi="Arial" w:cs="Arial"/>
          <w:color w:val="000000" w:themeColor="text1"/>
          <w:sz w:val="22"/>
          <w:lang w:val="es-ES_tradnl"/>
        </w:rPr>
        <w:t xml:space="preserve">La Agencia Nacional de Contratación Pública – Colombia Compra Eficiente, </w:t>
      </w:r>
      <w:r w:rsidR="00173CD9" w:rsidRPr="00D80CCB">
        <w:rPr>
          <w:rFonts w:ascii="Arial" w:eastAsia="Calibri" w:hAnsi="Arial" w:cs="Arial"/>
          <w:color w:val="000000" w:themeColor="text1"/>
          <w:sz w:val="22"/>
          <w:lang w:val="es-ES_tradnl"/>
        </w:rPr>
        <w:t xml:space="preserve">se pronunció </w:t>
      </w:r>
      <w:r w:rsidR="00173CD9" w:rsidRPr="00D80CCB">
        <w:rPr>
          <w:rStyle w:val="normaltextrun"/>
          <w:rFonts w:ascii="Arial" w:hAnsi="Arial" w:cs="Arial"/>
          <w:color w:val="000000"/>
          <w:sz w:val="22"/>
          <w:shd w:val="clear" w:color="auto" w:fill="FFFFFF"/>
          <w:lang w:val="es-ES"/>
        </w:rPr>
        <w:t xml:space="preserve">sobre el deber de elaborar análisis del sector en los Conceptos 2202013000000037 del 7 de enero de 2020, C-387 del 23 de junio de 2020, </w:t>
      </w:r>
      <w:r w:rsidR="00173CD9" w:rsidRPr="00D80CCB">
        <w:rPr>
          <w:rStyle w:val="normaltextrun"/>
          <w:rFonts w:ascii="Arial" w:hAnsi="Arial" w:cs="Arial"/>
          <w:color w:val="181818"/>
          <w:sz w:val="22"/>
          <w:shd w:val="clear" w:color="auto" w:fill="FFFFFF"/>
        </w:rPr>
        <w:t>C-415 del 7 de julio,</w:t>
      </w:r>
      <w:r w:rsidR="00173CD9" w:rsidRPr="00D80CCB">
        <w:rPr>
          <w:rStyle w:val="normaltextrun"/>
          <w:rFonts w:ascii="Arial" w:hAnsi="Arial" w:cs="Arial"/>
          <w:color w:val="000000"/>
          <w:sz w:val="22"/>
          <w:shd w:val="clear" w:color="auto" w:fill="FFFFFF"/>
        </w:rPr>
        <w:t xml:space="preserve"> C-387 del 23 de junio de 2020,</w:t>
      </w:r>
      <w:r w:rsidR="00173CD9" w:rsidRPr="00D80CCB">
        <w:rPr>
          <w:rStyle w:val="normaltextrun"/>
          <w:rFonts w:ascii="Arial" w:hAnsi="Arial" w:cs="Arial"/>
          <w:color w:val="181818"/>
          <w:sz w:val="22"/>
          <w:shd w:val="clear" w:color="auto" w:fill="FFFFFF"/>
        </w:rPr>
        <w:t> </w:t>
      </w:r>
      <w:r w:rsidR="00173CD9" w:rsidRPr="00D80CCB">
        <w:rPr>
          <w:rStyle w:val="normaltextrun"/>
          <w:rFonts w:ascii="Arial" w:hAnsi="Arial" w:cs="Arial"/>
          <w:color w:val="000000"/>
          <w:sz w:val="22"/>
          <w:shd w:val="clear" w:color="auto" w:fill="FFFFFF"/>
        </w:rPr>
        <w:t>C-443 del 7 de julio de 2020,</w:t>
      </w:r>
      <w:r w:rsidR="00173CD9" w:rsidRPr="00D80CCB">
        <w:rPr>
          <w:rStyle w:val="normaltextrun"/>
          <w:rFonts w:ascii="Arial" w:hAnsi="Arial" w:cs="Arial"/>
          <w:color w:val="000000"/>
          <w:sz w:val="22"/>
          <w:shd w:val="clear" w:color="auto" w:fill="FFFFFF"/>
          <w:lang w:val="es-ES"/>
        </w:rPr>
        <w:t xml:space="preserve"> C-223 del 29 de abril de 2020, C-671 de 23 de noviembre de 2020, C-215 del 12 de mayo de 2021 y C-294 del 10 de septiembre de 2021.</w:t>
      </w:r>
    </w:p>
    <w:p w14:paraId="1EBE1FEB" w14:textId="0E2A527D" w:rsidR="00035726" w:rsidRDefault="00173CD9" w:rsidP="00AD3975">
      <w:pPr>
        <w:spacing w:line="276" w:lineRule="auto"/>
        <w:ind w:firstLine="709"/>
        <w:jc w:val="both"/>
        <w:rPr>
          <w:rFonts w:ascii="Arial" w:hAnsi="Arial" w:cs="Arial"/>
          <w:color w:val="000000" w:themeColor="text1"/>
          <w:sz w:val="22"/>
          <w:lang w:val="es-ES_tradnl"/>
        </w:rPr>
      </w:pPr>
      <w:r w:rsidRPr="00D80CCB">
        <w:rPr>
          <w:rStyle w:val="normaltextrun"/>
          <w:rFonts w:ascii="Arial" w:hAnsi="Arial" w:cs="Arial"/>
          <w:color w:val="000000"/>
          <w:sz w:val="22"/>
          <w:shd w:val="clear" w:color="auto" w:fill="FFFFFF"/>
          <w:lang w:val="es-ES"/>
        </w:rPr>
        <w:t xml:space="preserve">De igual forma, </w:t>
      </w:r>
      <w:r w:rsidR="00682892" w:rsidRPr="00D80CCB">
        <w:rPr>
          <w:rFonts w:ascii="Arial" w:hAnsi="Arial" w:cs="Arial"/>
          <w:color w:val="000000" w:themeColor="text1"/>
          <w:sz w:val="22"/>
          <w:lang w:val="es-ES_tradnl"/>
        </w:rPr>
        <w:t xml:space="preserve">estudió la acreditación de los indicadores de capacidad financiera y organizacional, entre otros, </w:t>
      </w:r>
      <w:r w:rsidR="00682892" w:rsidRPr="00D80CCB">
        <w:rPr>
          <w:rFonts w:ascii="Arial" w:eastAsia="Calibri" w:hAnsi="Arial" w:cs="Arial"/>
          <w:color w:val="000000" w:themeColor="text1"/>
          <w:sz w:val="22"/>
          <w:lang w:val="es-ES_tradnl"/>
        </w:rPr>
        <w:t xml:space="preserve">en los conceptos No. 4201912000006798 del 24 de octubre de 2019, C-002 del 12 de febrero de 2020, C-089 del 4 de marzo de 2020, C-099 del 06 de abril de 2020, C-166 del 14 de abril de 2020, C-233 del 16 de abril de 2020, C-326 del 9 de junio de 2020 y C-140 del 9 de abril de 2021. </w:t>
      </w:r>
      <w:r w:rsidR="00682892" w:rsidRPr="00D80CCB">
        <w:rPr>
          <w:rFonts w:ascii="Arial" w:hAnsi="Arial" w:cs="Arial"/>
          <w:color w:val="000000" w:themeColor="text1"/>
          <w:sz w:val="22"/>
          <w:lang w:val="es-ES_tradnl"/>
        </w:rPr>
        <w:t>Adicionalmente, en los conceptos C-288 del 17 de junio de 2021, C-353 del 19 de julio de 2021, C-366 del 26 de julio de 2021, C-372 del 28 de julio de 2021, C-406 del 13 de agosto de 2021, C-407, C-443 y C 540 del 25 de agosto de 2021 y C-558 del 2 de septiembre de 2021, se analizó la definición del «mejor año fiscal» y la forma en que se efectuará la verificación de las ofertas, a la luz de las modificaciones introducidas mediante los Decretos 399 y 579 de 2021. Algunas de las consideraciones de estos conceptos, se reiteran y complementan a continuación.</w:t>
      </w:r>
    </w:p>
    <w:p w14:paraId="027CE3FA" w14:textId="77777777" w:rsidR="000E4527" w:rsidRPr="00D80CCB" w:rsidRDefault="000E4527" w:rsidP="006C1B8C">
      <w:pPr>
        <w:spacing w:line="276" w:lineRule="auto"/>
        <w:ind w:firstLine="709"/>
        <w:jc w:val="both"/>
        <w:rPr>
          <w:rFonts w:ascii="Arial" w:eastAsia="Calibri" w:hAnsi="Arial" w:cs="Arial"/>
          <w:color w:val="000000" w:themeColor="text1"/>
          <w:sz w:val="22"/>
          <w:lang w:val="es-ES_tradnl"/>
        </w:rPr>
      </w:pPr>
    </w:p>
    <w:p w14:paraId="7EDB4200" w14:textId="412751A8" w:rsidR="00035726" w:rsidRPr="00D80CCB" w:rsidRDefault="00035726" w:rsidP="00035726">
      <w:pPr>
        <w:spacing w:line="276" w:lineRule="auto"/>
        <w:jc w:val="both"/>
        <w:rPr>
          <w:rFonts w:ascii="Arial" w:eastAsia="Calibri" w:hAnsi="Arial" w:cs="Arial"/>
          <w:b/>
          <w:bCs/>
          <w:sz w:val="22"/>
          <w:lang w:val="es-ES_tradnl"/>
        </w:rPr>
      </w:pPr>
      <w:r w:rsidRPr="00D80CCB">
        <w:rPr>
          <w:rFonts w:ascii="Arial" w:eastAsia="Calibri" w:hAnsi="Arial" w:cs="Arial"/>
          <w:b/>
          <w:bCs/>
          <w:color w:val="000000" w:themeColor="text1"/>
          <w:sz w:val="22"/>
          <w:lang w:val="es-ES_tradnl"/>
        </w:rPr>
        <w:t xml:space="preserve">2.1.  </w:t>
      </w:r>
      <w:r w:rsidRPr="00D80CCB">
        <w:rPr>
          <w:rFonts w:ascii="Arial" w:eastAsia="Calibri" w:hAnsi="Arial" w:cs="Arial"/>
          <w:b/>
          <w:bCs/>
          <w:sz w:val="22"/>
          <w:lang w:val="es-ES_tradnl"/>
        </w:rPr>
        <w:t xml:space="preserve">Estudios previos y del sector en el Estatuto General de Contratación de la Administración Pública   </w:t>
      </w:r>
    </w:p>
    <w:p w14:paraId="3C7FECB7" w14:textId="1C7469E8" w:rsidR="00035726" w:rsidRPr="00D80CCB" w:rsidRDefault="00035726" w:rsidP="00035726">
      <w:pPr>
        <w:spacing w:line="276" w:lineRule="auto"/>
        <w:jc w:val="both"/>
        <w:rPr>
          <w:rFonts w:ascii="Arial" w:eastAsia="Calibri" w:hAnsi="Arial" w:cs="Arial"/>
          <w:b/>
          <w:bCs/>
          <w:sz w:val="22"/>
          <w:lang w:val="es-ES_tradnl"/>
        </w:rPr>
      </w:pPr>
    </w:p>
    <w:p w14:paraId="3A130721" w14:textId="7381D53A" w:rsidR="00A35B7E" w:rsidRPr="00D80CCB" w:rsidRDefault="00035726" w:rsidP="00035726">
      <w:pPr>
        <w:spacing w:after="120" w:line="276" w:lineRule="auto"/>
        <w:jc w:val="both"/>
        <w:rPr>
          <w:rFonts w:ascii="Arial" w:hAnsi="Arial" w:cs="Arial"/>
          <w:sz w:val="22"/>
        </w:rPr>
      </w:pPr>
      <w:bookmarkStart w:id="2" w:name="_Hlk54011258"/>
      <w:r w:rsidRPr="00D80CCB">
        <w:rPr>
          <w:rFonts w:ascii="Arial" w:hAnsi="Arial" w:cs="Arial"/>
          <w:bCs/>
          <w:sz w:val="22"/>
        </w:rPr>
        <w:lastRenderedPageBreak/>
        <w:t xml:space="preserve">El Estatuto General de Contratación de la Administración Pública contiene disposiciones que exigen a las entidades estatales el deber de realizar  una planeación precontractual adecuada, que se erige como  </w:t>
      </w:r>
      <w:r w:rsidRPr="00D80CCB">
        <w:rPr>
          <w:rFonts w:ascii="Arial" w:eastAsia="Calibri" w:hAnsi="Arial" w:cs="Arial"/>
          <w:bCs/>
          <w:sz w:val="22"/>
          <w:lang w:val="es-ES_tradnl"/>
        </w:rPr>
        <w:t>una herramienta de gerencia pública</w:t>
      </w:r>
      <w:r w:rsidRPr="00D80CCB">
        <w:rPr>
          <w:rFonts w:ascii="Arial" w:hAnsi="Arial" w:cs="Arial"/>
          <w:bCs/>
          <w:sz w:val="22"/>
        </w:rPr>
        <w:t xml:space="preserve"> para que los procesos de contratación satisfagan las necesidades de la Administración, identificando </w:t>
      </w:r>
      <w:r w:rsidRPr="00D80CCB">
        <w:rPr>
          <w:rFonts w:ascii="Arial" w:eastAsia="Calibri" w:hAnsi="Arial" w:cs="Arial"/>
          <w:bCs/>
          <w:sz w:val="22"/>
          <w:lang w:val="es-ES_tradnl"/>
        </w:rPr>
        <w:t xml:space="preserve">cuál es la mejor manera de hacerlo, </w:t>
      </w:r>
      <w:r w:rsidRPr="00D80CCB">
        <w:rPr>
          <w:rFonts w:ascii="Arial" w:hAnsi="Arial" w:cs="Arial"/>
          <w:bCs/>
          <w:sz w:val="22"/>
        </w:rPr>
        <w:t xml:space="preserve"> propendiendo por la continua y eficiente prestación de los servicios públicos que permitan la efectividad de los derechos e intereses de los administrados, siendo innegable la importancia de </w:t>
      </w:r>
      <w:bookmarkEnd w:id="2"/>
      <w:r w:rsidRPr="00D80CCB">
        <w:rPr>
          <w:rFonts w:ascii="Arial" w:hAnsi="Arial" w:cs="Arial"/>
          <w:sz w:val="22"/>
        </w:rPr>
        <w:t>los estudios y documentos previos</w:t>
      </w:r>
      <w:r w:rsidRPr="00D80CCB">
        <w:rPr>
          <w:rStyle w:val="Refdenotaalpie"/>
          <w:rFonts w:ascii="Arial" w:hAnsi="Arial" w:cs="Arial"/>
          <w:sz w:val="22"/>
        </w:rPr>
        <w:footnoteReference w:id="1"/>
      </w:r>
      <w:r w:rsidRPr="00D80CCB">
        <w:rPr>
          <w:rFonts w:ascii="Arial" w:hAnsi="Arial" w:cs="Arial"/>
          <w:sz w:val="22"/>
        </w:rPr>
        <w:t>, pues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D80CCB">
        <w:rPr>
          <w:rFonts w:ascii="Arial" w:hAnsi="Arial" w:cs="Arial"/>
          <w:sz w:val="22"/>
          <w:vertAlign w:val="superscript"/>
        </w:rPr>
        <w:footnoteReference w:id="2"/>
      </w:r>
      <w:r w:rsidRPr="00D80CCB">
        <w:rPr>
          <w:rFonts w:ascii="Arial" w:hAnsi="Arial" w:cs="Arial"/>
          <w:sz w:val="22"/>
        </w:rPr>
        <w:t xml:space="preserve">. </w:t>
      </w:r>
    </w:p>
    <w:p w14:paraId="12A905EB" w14:textId="464620D9" w:rsidR="00035726" w:rsidRPr="00D80CCB" w:rsidRDefault="00035726" w:rsidP="00A35B7E">
      <w:pPr>
        <w:spacing w:after="120" w:line="276" w:lineRule="auto"/>
        <w:ind w:firstLine="709"/>
        <w:jc w:val="both"/>
        <w:rPr>
          <w:rFonts w:ascii="Arial" w:hAnsi="Arial" w:cs="Arial"/>
          <w:sz w:val="22"/>
          <w:lang w:val="es-ES_tradnl"/>
        </w:rPr>
      </w:pPr>
      <w:r w:rsidRPr="00D80CCB">
        <w:rPr>
          <w:rFonts w:ascii="Arial" w:hAnsi="Arial" w:cs="Arial"/>
          <w:sz w:val="22"/>
        </w:rPr>
        <w:t xml:space="preserve">En este sentido, el Decreto Único Reglamentario del Sector Administrativo de Planeación Nacional –Decreto 1082 de 2015–, dispone en el artículo 2.2.1.1.2.1.1 el contenido mínimo de los estudios y documentos previos, dentro de los que se encuentran los criterios para seleccionar la oferta </w:t>
      </w:r>
      <w:proofErr w:type="spellStart"/>
      <w:r w:rsidRPr="00D80CCB">
        <w:rPr>
          <w:rFonts w:ascii="Arial" w:hAnsi="Arial" w:cs="Arial"/>
          <w:sz w:val="22"/>
        </w:rPr>
        <w:t>mas</w:t>
      </w:r>
      <w:proofErr w:type="spellEnd"/>
      <w:r w:rsidRPr="00D80CCB">
        <w:rPr>
          <w:rFonts w:ascii="Arial" w:hAnsi="Arial" w:cs="Arial"/>
          <w:sz w:val="22"/>
        </w:rPr>
        <w:t xml:space="preserve"> favorable</w:t>
      </w:r>
      <w:r w:rsidRPr="00D80CCB">
        <w:rPr>
          <w:rStyle w:val="Refdenotaalpie"/>
          <w:rFonts w:ascii="Arial" w:hAnsi="Arial" w:cs="Arial"/>
          <w:sz w:val="22"/>
        </w:rPr>
        <w:footnoteReference w:id="3"/>
      </w:r>
      <w:r w:rsidRPr="00D80CCB">
        <w:rPr>
          <w:rFonts w:ascii="Arial" w:hAnsi="Arial" w:cs="Arial"/>
          <w:sz w:val="22"/>
        </w:rPr>
        <w:t>, en armonía con el artículo</w:t>
      </w:r>
      <w:r w:rsidRPr="00D80CCB">
        <w:rPr>
          <w:rFonts w:ascii="Arial" w:hAnsi="Arial" w:cs="Arial"/>
          <w:sz w:val="22"/>
          <w:lang w:val="es-ES_tradnl"/>
        </w:rPr>
        <w:t xml:space="preserve"> 5 de la Ley 1150 de 2007, el cual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consagrando el principio de selección objetiva, en virtud del cual se escogerá el ofrecimiento más favorable para la entidad, con base en condiciones adecuadas y proporcionales a la naturaleza del contrato, correspondiendo a las entidades la estructuración detallada de las mismas.</w:t>
      </w:r>
    </w:p>
    <w:p w14:paraId="4105CB09" w14:textId="2DBF137C" w:rsidR="00FE6398" w:rsidRPr="00D80CCB" w:rsidRDefault="00FE6398" w:rsidP="00FE6398">
      <w:pPr>
        <w:spacing w:before="120" w:line="276" w:lineRule="auto"/>
        <w:ind w:firstLine="709"/>
        <w:jc w:val="both"/>
        <w:rPr>
          <w:rFonts w:ascii="Arial" w:eastAsia="Calibri" w:hAnsi="Arial" w:cs="Arial"/>
          <w:bCs/>
          <w:sz w:val="22"/>
          <w:lang w:val="es-ES_tradnl"/>
        </w:rPr>
      </w:pPr>
      <w:r w:rsidRPr="00D80CCB">
        <w:rPr>
          <w:rFonts w:ascii="Arial" w:eastAsia="Calibri" w:hAnsi="Arial" w:cs="Arial"/>
          <w:bCs/>
          <w:sz w:val="22"/>
          <w:lang w:val="es-ES_tradnl"/>
        </w:rPr>
        <w:lastRenderedPageBreak/>
        <w:t xml:space="preserve">De acuerdo con las normas citadas, </w:t>
      </w:r>
      <w:bookmarkStart w:id="3" w:name="_Hlk36140682"/>
      <w:r w:rsidRPr="00D80CCB">
        <w:rPr>
          <w:rFonts w:ascii="Arial" w:eastAsia="Calibri" w:hAnsi="Arial" w:cs="Arial"/>
          <w:bCs/>
          <w:sz w:val="22"/>
          <w:lang w:val="es-ES_tradnl"/>
        </w:rPr>
        <w:t>la entidad debe realizar el análisis necesario para conocer el sector relativo al objeto del proceso de contratación, que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164AE021" w14:textId="1BA23730" w:rsidR="00FE6398" w:rsidRPr="00D80CCB" w:rsidRDefault="00FE6398" w:rsidP="00FE6398">
      <w:pPr>
        <w:spacing w:before="120" w:line="276" w:lineRule="auto"/>
        <w:ind w:firstLine="709"/>
        <w:jc w:val="both"/>
        <w:rPr>
          <w:rFonts w:ascii="Arial" w:eastAsia="Calibri" w:hAnsi="Arial" w:cs="Arial"/>
          <w:bCs/>
          <w:sz w:val="22"/>
          <w:lang w:val="es-ES_tradnl"/>
        </w:rPr>
      </w:pPr>
      <w:r w:rsidRPr="00D80CCB">
        <w:rPr>
          <w:rFonts w:ascii="Arial" w:eastAsia="Calibri" w:hAnsi="Arial" w:cs="Arial"/>
          <w:bCs/>
          <w:sz w:val="22"/>
          <w:lang w:val="es-ES_tradnl"/>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51850CE2" w14:textId="70170529" w:rsidR="00FE6398" w:rsidRPr="00D80CCB" w:rsidRDefault="00FE6398" w:rsidP="00FE6398">
      <w:pPr>
        <w:spacing w:before="120" w:line="276" w:lineRule="auto"/>
        <w:ind w:firstLine="709"/>
        <w:jc w:val="both"/>
        <w:rPr>
          <w:rFonts w:ascii="Arial" w:eastAsia="Calibri" w:hAnsi="Arial" w:cs="Arial"/>
          <w:bCs/>
          <w:sz w:val="22"/>
          <w:lang w:val="es-ES_tradnl"/>
        </w:rPr>
      </w:pPr>
      <w:r w:rsidRPr="00D80CCB">
        <w:rPr>
          <w:rFonts w:ascii="Arial" w:eastAsia="Calibri" w:hAnsi="Arial" w:cs="Arial"/>
          <w:bCs/>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w:t>
      </w:r>
    </w:p>
    <w:p w14:paraId="180C29E7" w14:textId="4E289426" w:rsidR="00FE6398" w:rsidRPr="00D80CCB" w:rsidRDefault="00FE6398" w:rsidP="00FE6398">
      <w:pPr>
        <w:spacing w:before="120" w:after="120" w:line="276" w:lineRule="auto"/>
        <w:ind w:firstLine="709"/>
        <w:jc w:val="both"/>
        <w:rPr>
          <w:rFonts w:ascii="Arial" w:eastAsia="Calibri" w:hAnsi="Arial" w:cs="Arial"/>
          <w:bCs/>
          <w:sz w:val="22"/>
          <w:lang w:val="es-ES_tradnl"/>
        </w:rPr>
      </w:pPr>
      <w:bookmarkStart w:id="4" w:name="_Hlk82533234"/>
      <w:bookmarkEnd w:id="3"/>
      <w:r w:rsidRPr="00D80CCB">
        <w:rPr>
          <w:rFonts w:ascii="Arial" w:eastAsia="Calibri" w:hAnsi="Arial" w:cs="Arial"/>
          <w:bCs/>
          <w:sz w:val="22"/>
          <w:lang w:val="es-ES_tradnl"/>
        </w:rPr>
        <w:t>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dicho instrumento, se recomienda que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bookmarkEnd w:id="4"/>
      <w:r w:rsidR="00943BC7" w:rsidRPr="00D80CCB">
        <w:rPr>
          <w:rFonts w:ascii="Arial" w:eastAsia="Calibri" w:hAnsi="Arial" w:cs="Arial"/>
          <w:bCs/>
          <w:sz w:val="22"/>
          <w:lang w:val="es-ES_tradnl"/>
        </w:rPr>
        <w:t xml:space="preserve">, teniendo en cuenta – como lo precisa la «Guía para la Elaboración de Estudios del Sector» -  que, «el </w:t>
      </w:r>
      <w:r w:rsidR="00D01B09" w:rsidRPr="00D80CCB">
        <w:rPr>
          <w:rFonts w:ascii="Arial" w:eastAsia="Calibri" w:hAnsi="Arial" w:cs="Arial"/>
          <w:bCs/>
          <w:sz w:val="22"/>
          <w:lang w:val="es-ES_tradnl"/>
        </w:rPr>
        <w:t>número</w:t>
      </w:r>
      <w:r w:rsidR="00943BC7" w:rsidRPr="00D80CCB">
        <w:rPr>
          <w:rFonts w:ascii="Arial" w:eastAsia="Calibri" w:hAnsi="Arial" w:cs="Arial"/>
          <w:bCs/>
          <w:sz w:val="22"/>
          <w:lang w:val="es-ES_tradnl"/>
        </w:rPr>
        <w:t xml:space="preserve"> de datos que compone la muestra incide significativamente en </w:t>
      </w:r>
      <w:r w:rsidR="00943BC7" w:rsidRPr="00D80CCB">
        <w:rPr>
          <w:rFonts w:ascii="Arial" w:eastAsia="Calibri" w:hAnsi="Arial" w:cs="Arial"/>
          <w:bCs/>
          <w:sz w:val="22"/>
          <w:lang w:val="es-ES_tradnl"/>
        </w:rPr>
        <w:lastRenderedPageBreak/>
        <w:t xml:space="preserve">la calidad del </w:t>
      </w:r>
      <w:proofErr w:type="spellStart"/>
      <w:r w:rsidR="00943BC7" w:rsidRPr="00D80CCB">
        <w:rPr>
          <w:rFonts w:ascii="Arial" w:eastAsia="Calibri" w:hAnsi="Arial" w:cs="Arial"/>
          <w:bCs/>
          <w:sz w:val="22"/>
          <w:lang w:val="es-ES_tradnl"/>
        </w:rPr>
        <w:t>análisis</w:t>
      </w:r>
      <w:proofErr w:type="spellEnd"/>
      <w:r w:rsidR="00943BC7" w:rsidRPr="00D80CCB">
        <w:rPr>
          <w:rFonts w:ascii="Arial" w:eastAsia="Calibri" w:hAnsi="Arial" w:cs="Arial"/>
          <w:bCs/>
          <w:sz w:val="22"/>
          <w:lang w:val="es-ES_tradnl"/>
        </w:rPr>
        <w:t xml:space="preserve">», en efecto, entre </w:t>
      </w:r>
      <w:proofErr w:type="spellStart"/>
      <w:r w:rsidR="00943BC7" w:rsidRPr="00D80CCB">
        <w:rPr>
          <w:rFonts w:ascii="Arial" w:eastAsia="Calibri" w:hAnsi="Arial" w:cs="Arial"/>
          <w:bCs/>
          <w:sz w:val="22"/>
          <w:lang w:val="es-ES_tradnl"/>
        </w:rPr>
        <w:t>mas</w:t>
      </w:r>
      <w:proofErr w:type="spellEnd"/>
      <w:r w:rsidR="00943BC7" w:rsidRPr="00D80CCB">
        <w:rPr>
          <w:rFonts w:ascii="Arial" w:eastAsia="Calibri" w:hAnsi="Arial" w:cs="Arial"/>
          <w:bCs/>
          <w:sz w:val="22"/>
          <w:lang w:val="es-ES_tradnl"/>
        </w:rPr>
        <w:t xml:space="preserve"> amplio y juicioso resulte el estudio del sector, </w:t>
      </w:r>
      <w:r w:rsidR="00CA6297" w:rsidRPr="00D80CCB">
        <w:rPr>
          <w:rFonts w:ascii="Arial" w:eastAsia="Calibri" w:hAnsi="Arial" w:cs="Arial"/>
          <w:bCs/>
          <w:sz w:val="22"/>
          <w:lang w:val="es-ES_tradnl"/>
        </w:rPr>
        <w:t xml:space="preserve">mejores condiciones se proyectarán para el proceso de selección. </w:t>
      </w:r>
    </w:p>
    <w:p w14:paraId="7954CF40" w14:textId="09AB0850" w:rsidR="00035726" w:rsidRPr="00D80CCB" w:rsidRDefault="00035726" w:rsidP="00035726">
      <w:pPr>
        <w:spacing w:after="120" w:line="276" w:lineRule="auto"/>
        <w:ind w:firstLine="709"/>
        <w:jc w:val="both"/>
        <w:rPr>
          <w:rFonts w:ascii="Arial" w:hAnsi="Arial" w:cs="Arial"/>
          <w:sz w:val="22"/>
          <w:lang w:val="es-ES_tradnl"/>
        </w:rPr>
      </w:pPr>
      <w:r w:rsidRPr="00D80CCB">
        <w:rPr>
          <w:rFonts w:ascii="Arial" w:hAnsi="Arial" w:cs="Arial"/>
          <w:sz w:val="22"/>
          <w:lang w:val="es-ES_tradnl"/>
        </w:rPr>
        <w:t xml:space="preserve">Por lo anterior, atañe como regla general a las entidades efectuar el análisis sobre los diferentes aspectos que incidirán en la futura contratación, incluidos los criterios para efectuar la evaluación de las ofertas, máxime cuando estas últimas son definitorias dentro del procedimiento contractual, debiendo corresponder a los requisitos previamente plasmados, de modo que se garanticen los fines </w:t>
      </w:r>
      <w:r w:rsidR="00B52F07" w:rsidRPr="00D80CCB">
        <w:rPr>
          <w:rFonts w:ascii="Arial" w:hAnsi="Arial" w:cs="Arial"/>
          <w:sz w:val="22"/>
          <w:lang w:val="es-ES_tradnl"/>
        </w:rPr>
        <w:t>de</w:t>
      </w:r>
      <w:r w:rsidRPr="00D80CCB">
        <w:rPr>
          <w:rFonts w:ascii="Arial" w:hAnsi="Arial" w:cs="Arial"/>
          <w:sz w:val="22"/>
          <w:lang w:val="es-ES_tradnl"/>
        </w:rPr>
        <w:t xml:space="preserve"> la contratación</w:t>
      </w:r>
      <w:r w:rsidR="00B52F07" w:rsidRPr="00D80CCB">
        <w:rPr>
          <w:rFonts w:ascii="Arial" w:hAnsi="Arial" w:cs="Arial"/>
          <w:sz w:val="22"/>
          <w:lang w:val="es-ES_tradnl"/>
        </w:rPr>
        <w:t xml:space="preserve"> que se proyecta</w:t>
      </w:r>
      <w:r w:rsidRPr="00D80CCB">
        <w:rPr>
          <w:rFonts w:ascii="Arial" w:hAnsi="Arial" w:cs="Arial"/>
          <w:sz w:val="22"/>
          <w:lang w:val="es-ES_tradnl"/>
        </w:rPr>
        <w:t>.</w:t>
      </w:r>
    </w:p>
    <w:p w14:paraId="3DA9733A" w14:textId="21FF47D3" w:rsidR="00035726" w:rsidRDefault="00035726" w:rsidP="00035726">
      <w:pPr>
        <w:spacing w:before="120" w:line="276" w:lineRule="auto"/>
        <w:ind w:firstLine="709"/>
        <w:jc w:val="both"/>
        <w:rPr>
          <w:rFonts w:ascii="Arial" w:hAnsi="Arial" w:cs="Arial"/>
          <w:sz w:val="22"/>
        </w:rPr>
      </w:pPr>
      <w:r w:rsidRPr="00D80CCB">
        <w:rPr>
          <w:rFonts w:ascii="Arial" w:hAnsi="Arial" w:cs="Arial"/>
          <w:sz w:val="22"/>
        </w:rPr>
        <w:t>De lo anterior se desprende que, las entidades no están  relevadas de su deber de análisis dentro de los procesos de contratación</w:t>
      </w:r>
      <w:r w:rsidR="00430ED4" w:rsidRPr="00D80CCB">
        <w:rPr>
          <w:rFonts w:ascii="Arial" w:hAnsi="Arial" w:cs="Arial"/>
          <w:sz w:val="22"/>
        </w:rPr>
        <w:t xml:space="preserve"> – </w:t>
      </w:r>
      <w:r w:rsidR="00173CD9" w:rsidRPr="00D80CCB">
        <w:rPr>
          <w:rFonts w:ascii="Arial" w:hAnsi="Arial" w:cs="Arial"/>
          <w:sz w:val="22"/>
        </w:rPr>
        <w:t xml:space="preserve">con independencia de que </w:t>
      </w:r>
      <w:r w:rsidR="00430ED4" w:rsidRPr="00D80CCB">
        <w:rPr>
          <w:rFonts w:ascii="Arial" w:hAnsi="Arial" w:cs="Arial"/>
          <w:sz w:val="22"/>
        </w:rPr>
        <w:t>apliquen o no documentos tipo al proceso de selección que adelanten</w:t>
      </w:r>
      <w:r w:rsidR="00430ED4" w:rsidRPr="00D80CCB">
        <w:rPr>
          <w:rStyle w:val="Refdenotaalpie"/>
          <w:rFonts w:ascii="Arial" w:hAnsi="Arial" w:cs="Arial"/>
          <w:sz w:val="22"/>
        </w:rPr>
        <w:footnoteReference w:id="4"/>
      </w:r>
      <w:r w:rsidR="00430ED4" w:rsidRPr="00D80CCB">
        <w:rPr>
          <w:rFonts w:ascii="Arial" w:hAnsi="Arial" w:cs="Arial"/>
          <w:sz w:val="22"/>
        </w:rPr>
        <w:t xml:space="preserve"> – especialmente </w:t>
      </w:r>
      <w:r w:rsidRPr="00D80CCB">
        <w:rPr>
          <w:rFonts w:ascii="Arial" w:hAnsi="Arial" w:cs="Arial"/>
          <w:sz w:val="22"/>
        </w:rPr>
        <w:t>en la construcción de los indicadores que determinarán la capacidad financiera y organizacional, así como la forma en la que se efectuará la evaluación de estos aspectos, permitiendo que los posibles oferentes conozcan como es debido, la totalidad de las condiciones que regirán el procedimiento de selección y que permitirán la consecución de los fines que se proponen alcanzar las entidades al desarrollar los procesos de selección.</w:t>
      </w:r>
    </w:p>
    <w:p w14:paraId="59731F00" w14:textId="77777777" w:rsidR="006C1B8C" w:rsidRPr="00D80CCB" w:rsidRDefault="006C1B8C" w:rsidP="00035726">
      <w:pPr>
        <w:spacing w:before="120" w:line="276" w:lineRule="auto"/>
        <w:ind w:firstLine="709"/>
        <w:jc w:val="both"/>
        <w:rPr>
          <w:rFonts w:ascii="Arial" w:hAnsi="Arial" w:cs="Arial"/>
          <w:sz w:val="22"/>
        </w:rPr>
      </w:pPr>
    </w:p>
    <w:p w14:paraId="113F6034" w14:textId="7BFDBFB2" w:rsidR="00D36E83" w:rsidRPr="00D80CCB" w:rsidRDefault="00D36E83" w:rsidP="00D36E83">
      <w:pPr>
        <w:tabs>
          <w:tab w:val="left" w:pos="426"/>
        </w:tabs>
        <w:spacing w:line="276" w:lineRule="auto"/>
        <w:jc w:val="both"/>
        <w:rPr>
          <w:rFonts w:ascii="Arial" w:eastAsia="Calibri" w:hAnsi="Arial" w:cs="Arial"/>
          <w:b/>
          <w:bCs/>
          <w:color w:val="000000"/>
          <w:sz w:val="22"/>
          <w:lang w:val="es-ES_tradnl" w:eastAsia="es-ES_tradnl"/>
        </w:rPr>
      </w:pPr>
      <w:r w:rsidRPr="00D80CCB">
        <w:rPr>
          <w:rFonts w:ascii="Arial" w:eastAsia="Calibri" w:hAnsi="Arial" w:cs="Arial"/>
          <w:b/>
          <w:color w:val="000000"/>
          <w:sz w:val="22"/>
          <w:szCs w:val="24"/>
          <w:lang w:val="es-ES_tradnl" w:eastAsia="es-ES_tradnl"/>
        </w:rPr>
        <w:t>2.</w:t>
      </w:r>
      <w:r w:rsidR="00682AE5">
        <w:rPr>
          <w:rFonts w:ascii="Arial" w:eastAsia="Calibri" w:hAnsi="Arial" w:cs="Arial"/>
          <w:b/>
          <w:color w:val="000000"/>
          <w:sz w:val="22"/>
          <w:szCs w:val="24"/>
          <w:lang w:val="es-ES_tradnl" w:eastAsia="es-ES_tradnl"/>
        </w:rPr>
        <w:t>2</w:t>
      </w:r>
      <w:r w:rsidRPr="00D80CCB">
        <w:rPr>
          <w:rFonts w:ascii="Arial" w:eastAsia="Calibri" w:hAnsi="Arial" w:cs="Arial"/>
          <w:b/>
          <w:color w:val="000000"/>
          <w:sz w:val="22"/>
          <w:szCs w:val="24"/>
          <w:lang w:val="es-ES_tradnl" w:eastAsia="es-ES_tradnl"/>
        </w:rPr>
        <w:t>. R</w:t>
      </w:r>
      <w:r w:rsidRPr="00D80CCB">
        <w:rPr>
          <w:rFonts w:ascii="Arial" w:eastAsia="Calibri" w:hAnsi="Arial" w:cs="Arial"/>
          <w:b/>
          <w:bCs/>
          <w:color w:val="000000"/>
          <w:sz w:val="22"/>
          <w:lang w:val="es-ES_tradnl" w:eastAsia="es-ES_tradnl"/>
        </w:rPr>
        <w:t>equisitos habilitantes de capacidad financiera y organizacional</w:t>
      </w:r>
    </w:p>
    <w:p w14:paraId="475A6423" w14:textId="77777777" w:rsidR="00D36E83" w:rsidRPr="00D80CCB" w:rsidRDefault="00D36E83" w:rsidP="006C1B8C">
      <w:pPr>
        <w:tabs>
          <w:tab w:val="left" w:pos="426"/>
        </w:tabs>
        <w:ind w:firstLine="709"/>
        <w:jc w:val="both"/>
        <w:rPr>
          <w:rFonts w:ascii="Arial" w:eastAsia="Calibri" w:hAnsi="Arial" w:cs="Arial"/>
          <w:b/>
          <w:color w:val="000000"/>
          <w:sz w:val="22"/>
          <w:szCs w:val="24"/>
          <w:lang w:val="es-ES_tradnl" w:eastAsia="es-ES_tradnl"/>
        </w:rPr>
      </w:pPr>
    </w:p>
    <w:p w14:paraId="71C063DC" w14:textId="77777777" w:rsidR="00D36E83" w:rsidRPr="00D80CCB" w:rsidRDefault="00D36E83" w:rsidP="00D36E83">
      <w:pPr>
        <w:spacing w:line="276" w:lineRule="auto"/>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La Ley 1150 de 2007, en el artículo 5, exige el cumplimiento de los requisitos habilitantes en los procesos de selección. A través de ellos las entidades fijan unos requisitos mínimos que debe tener y acreditar el proponente, para que pueda verificarse su aptitud para participar en el procedimiento de contratación y, si se le adjudica, ejecutar el contrato estatal</w:t>
      </w:r>
      <w:r w:rsidRPr="00D80CCB">
        <w:rPr>
          <w:rFonts w:ascii="Arial" w:eastAsia="Calibri" w:hAnsi="Arial" w:cs="Arial"/>
          <w:color w:val="000000"/>
          <w:sz w:val="22"/>
          <w:szCs w:val="24"/>
          <w:vertAlign w:val="superscript"/>
          <w:lang w:val="es-ES_tradnl" w:eastAsia="es-ES_tradnl"/>
        </w:rPr>
        <w:footnoteReference w:id="5"/>
      </w:r>
      <w:r w:rsidRPr="00D80CCB">
        <w:rPr>
          <w:rFonts w:ascii="Arial" w:eastAsia="Calibri" w:hAnsi="Arial" w:cs="Arial"/>
          <w:color w:val="000000"/>
          <w:sz w:val="22"/>
          <w:szCs w:val="24"/>
          <w:lang w:val="es-ES_tradnl" w:eastAsia="es-ES_tradnl"/>
        </w:rPr>
        <w:t xml:space="preserve">. Dentro de los requisitos habilitantes se destaca la «capacidad financiera» y la </w:t>
      </w:r>
      <w:r w:rsidRPr="00D80CCB">
        <w:rPr>
          <w:rFonts w:ascii="Arial" w:eastAsia="Calibri" w:hAnsi="Arial" w:cs="Arial"/>
          <w:color w:val="000000"/>
          <w:sz w:val="22"/>
          <w:szCs w:val="24"/>
          <w:lang w:val="es-ES_tradnl" w:eastAsia="es-ES_tradnl"/>
        </w:rPr>
        <w:lastRenderedPageBreak/>
        <w:t>«capacidad organizacional». La entidad, como responsable de la estructuración de su procedimiento de selección, es autónoma para requerir la capacidad financiera y la capacidad organizacional necesarias, de acuerdo con la naturaleza del contrato que se pretende suscribir y a su valor. Para esto, la entidad, según el artículo 2.2.1.1.1.6.2. del Decreto 1082 de 2015, debe tener en cuenta el estudio del sector y sus componentes, como por ejemplo la identificación de riesgos, así como el precio del bien, obra o servicio a contratar</w:t>
      </w:r>
      <w:r w:rsidRPr="00D80CCB">
        <w:rPr>
          <w:rFonts w:ascii="Arial" w:eastAsia="Calibri" w:hAnsi="Arial" w:cs="Arial"/>
          <w:color w:val="000000"/>
          <w:sz w:val="22"/>
          <w:szCs w:val="24"/>
          <w:vertAlign w:val="superscript"/>
          <w:lang w:val="es-ES_tradnl" w:eastAsia="es-ES_tradnl"/>
        </w:rPr>
        <w:footnoteReference w:id="6"/>
      </w:r>
      <w:r w:rsidRPr="00D80CCB">
        <w:rPr>
          <w:rFonts w:ascii="Arial" w:eastAsia="Calibri" w:hAnsi="Arial" w:cs="Arial"/>
          <w:color w:val="000000"/>
          <w:sz w:val="22"/>
          <w:szCs w:val="24"/>
          <w:lang w:val="es-ES_tradnl" w:eastAsia="es-ES_tradnl"/>
        </w:rPr>
        <w:t>.</w:t>
      </w:r>
    </w:p>
    <w:p w14:paraId="7CC3E442" w14:textId="77777777" w:rsidR="00D36E83" w:rsidRPr="00D80CCB" w:rsidRDefault="00D36E83" w:rsidP="00D36E83">
      <w:pPr>
        <w:spacing w:before="120" w:after="120" w:line="276" w:lineRule="auto"/>
        <w:ind w:firstLine="708"/>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D80CCB">
        <w:rPr>
          <w:rFonts w:ascii="Arial" w:eastAsia="Calibri" w:hAnsi="Arial" w:cs="Arial"/>
          <w:color w:val="000000"/>
          <w:sz w:val="22"/>
          <w:szCs w:val="24"/>
          <w:vertAlign w:val="superscript"/>
          <w:lang w:val="es-ES_tradnl" w:eastAsia="es-ES_tradnl"/>
        </w:rPr>
        <w:footnoteReference w:id="7"/>
      </w:r>
      <w:r w:rsidRPr="00D80CCB">
        <w:rPr>
          <w:rFonts w:ascii="Arial" w:eastAsia="Calibri" w:hAnsi="Arial" w:cs="Arial"/>
          <w:color w:val="000000"/>
          <w:sz w:val="22"/>
          <w:szCs w:val="24"/>
          <w:lang w:val="es-ES_tradnl" w:eastAsia="es-ES_tradnl"/>
        </w:rPr>
        <w:t xml:space="preserve">. </w:t>
      </w:r>
    </w:p>
    <w:p w14:paraId="0218A334" w14:textId="77777777" w:rsidR="00D36E83" w:rsidRPr="00D80CCB" w:rsidRDefault="00D36E83" w:rsidP="00D36E83">
      <w:pPr>
        <w:spacing w:before="120" w:after="120" w:line="276" w:lineRule="auto"/>
        <w:ind w:firstLine="708"/>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D80CCB">
        <w:rPr>
          <w:rFonts w:ascii="Arial" w:eastAsia="Calibri" w:hAnsi="Arial" w:cs="Arial"/>
          <w:color w:val="000000"/>
          <w:sz w:val="22"/>
          <w:szCs w:val="24"/>
          <w:vertAlign w:val="superscript"/>
          <w:lang w:val="es-ES_tradnl" w:eastAsia="es-ES_tradnl"/>
        </w:rPr>
        <w:footnoteReference w:id="8"/>
      </w:r>
      <w:r w:rsidRPr="00D80CCB">
        <w:rPr>
          <w:rFonts w:ascii="Arial" w:eastAsia="Calibri" w:hAnsi="Arial" w:cs="Arial"/>
          <w:color w:val="000000"/>
          <w:sz w:val="22"/>
          <w:szCs w:val="24"/>
          <w:lang w:val="es-ES_tradnl" w:eastAsia="es-ES_tradnl"/>
        </w:rPr>
        <w:t xml:space="preserve">. </w:t>
      </w:r>
    </w:p>
    <w:p w14:paraId="0639B2AC" w14:textId="77777777" w:rsidR="00D36E83" w:rsidRPr="00D80CCB" w:rsidRDefault="00D36E83" w:rsidP="00D36E83">
      <w:pPr>
        <w:spacing w:before="120" w:after="120" w:line="276" w:lineRule="auto"/>
        <w:ind w:firstLine="709"/>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 xml:space="preserve">Respecto de la capacidad financiera, esta debe inscribirse en el RUP con los estados financieros del proponente, suscritos por el representante legal y el revisor fiscal, si cuenta con él. Si es una sociedad no obligada a tenerlo estos documentos también deben suscribirse por el auditor o contador. De este modo, lo que se verifica con el RUP es que el proponente tenga los indicadores financieros solicitados por la entidad, que le permitan satisfacer la necesidad que se contratará una vez desarrollado el procedimiento de </w:t>
      </w:r>
      <w:r w:rsidRPr="00D80CCB">
        <w:rPr>
          <w:rFonts w:ascii="Arial" w:eastAsia="Calibri" w:hAnsi="Arial" w:cs="Arial"/>
          <w:color w:val="000000"/>
          <w:sz w:val="22"/>
          <w:szCs w:val="24"/>
          <w:lang w:val="es-ES_tradnl" w:eastAsia="es-ES_tradnl"/>
        </w:rPr>
        <w:lastRenderedPageBreak/>
        <w:t>selección. Por otro lado, la capacidad organizacional evalúa la rentabilidad de la empresa, que es directamente proporcional a su organización interna, y también se verifica con el RUP, de acuerdo con los indicadores financieros y organizacionales señalados en el artículo 2.2.1.1.1.5.3. del Decreto 1082 de 2015.</w:t>
      </w:r>
    </w:p>
    <w:p w14:paraId="6E882D7A" w14:textId="77777777" w:rsidR="00D36E83" w:rsidRPr="00D80CCB" w:rsidRDefault="00D36E83" w:rsidP="00D36E83">
      <w:pPr>
        <w:spacing w:line="276" w:lineRule="auto"/>
        <w:ind w:firstLine="708"/>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La Agencia Nacional de Contratación Pública – Colombia Compra Eficiente puso a disposición de los interesados el «Manual para determinar y verificar los requisitos habilitantes en los procesos de contratación». En él se plantean definiciones para cada requisito habilitante y se indican lineamientos orientadores que las entidades pueden considerar para establecerlos, en este caso, para exigir la capacidad financiera y la capacidad organizacional. 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D80CCB">
        <w:rPr>
          <w:rFonts w:ascii="Arial" w:eastAsia="Calibri" w:hAnsi="Arial" w:cs="Arial"/>
          <w:color w:val="000000"/>
          <w:sz w:val="22"/>
          <w:szCs w:val="24"/>
          <w:vertAlign w:val="superscript"/>
          <w:lang w:val="es-ES_tradnl" w:eastAsia="es-ES_tradnl"/>
        </w:rPr>
        <w:footnoteReference w:id="9"/>
      </w:r>
      <w:r w:rsidRPr="00D80CCB">
        <w:rPr>
          <w:rFonts w:ascii="Arial" w:eastAsia="Calibri" w:hAnsi="Arial" w:cs="Arial"/>
          <w:color w:val="000000"/>
          <w:sz w:val="22"/>
          <w:szCs w:val="24"/>
          <w:lang w:val="es-ES_tradnl" w:eastAsia="es-ES_tradnl"/>
        </w:rPr>
        <w:t>.</w:t>
      </w:r>
    </w:p>
    <w:p w14:paraId="79458C9B" w14:textId="77777777" w:rsidR="00D36E83" w:rsidRPr="00D80CCB" w:rsidRDefault="00D36E83" w:rsidP="00D36E83">
      <w:pPr>
        <w:spacing w:before="120" w:line="276" w:lineRule="auto"/>
        <w:ind w:firstLine="709"/>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Ahora bien, la capacidad organizacional también se mide a través de indicadores: i) rentabilidad del patrimonio y ii)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D80CCB">
        <w:rPr>
          <w:rFonts w:ascii="Arial" w:eastAsia="Calibri" w:hAnsi="Arial" w:cs="Arial"/>
          <w:color w:val="000000"/>
          <w:sz w:val="22"/>
          <w:szCs w:val="24"/>
          <w:vertAlign w:val="superscript"/>
          <w:lang w:val="es-ES_tradnl" w:eastAsia="es-ES_tradnl"/>
        </w:rPr>
        <w:footnoteReference w:id="10"/>
      </w:r>
      <w:r w:rsidRPr="00D80CCB">
        <w:rPr>
          <w:rFonts w:ascii="Arial" w:eastAsia="Calibri" w:hAnsi="Arial" w:cs="Arial"/>
          <w:color w:val="000000"/>
          <w:sz w:val="22"/>
          <w:szCs w:val="24"/>
          <w:lang w:val="es-ES_tradnl" w:eastAsia="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7C300B91" w14:textId="77777777" w:rsidR="00D36E83" w:rsidRPr="00D80CCB" w:rsidRDefault="00D36E83" w:rsidP="00D36E83">
      <w:pPr>
        <w:spacing w:line="276" w:lineRule="auto"/>
        <w:ind w:firstLine="709"/>
        <w:jc w:val="both"/>
        <w:rPr>
          <w:rFonts w:ascii="Arial" w:eastAsia="Calibri" w:hAnsi="Arial" w:cs="Arial"/>
          <w:color w:val="000000"/>
          <w:sz w:val="22"/>
          <w:lang w:val="es-ES_tradnl" w:eastAsia="es-ES_tradnl"/>
        </w:rPr>
      </w:pPr>
    </w:p>
    <w:p w14:paraId="5A38C438" w14:textId="50AFFDF5" w:rsidR="00D36E83" w:rsidRPr="00D80CCB" w:rsidRDefault="00D36E83" w:rsidP="00D36E83">
      <w:pPr>
        <w:spacing w:line="276" w:lineRule="auto"/>
        <w:jc w:val="both"/>
        <w:rPr>
          <w:rFonts w:ascii="Arial" w:eastAsia="Calibri" w:hAnsi="Arial" w:cs="Arial"/>
          <w:b/>
          <w:bCs/>
          <w:color w:val="000000"/>
          <w:sz w:val="22"/>
          <w:lang w:val="es-ES_tradnl" w:eastAsia="es-ES_tradnl"/>
        </w:rPr>
      </w:pPr>
      <w:r w:rsidRPr="00D80CCB">
        <w:rPr>
          <w:rFonts w:ascii="Arial" w:eastAsia="Calibri" w:hAnsi="Arial" w:cs="Arial"/>
          <w:b/>
          <w:bCs/>
          <w:color w:val="000000"/>
          <w:sz w:val="22"/>
          <w:lang w:val="es-ES_tradnl" w:eastAsia="es-ES_tradnl"/>
        </w:rPr>
        <w:t>2.</w:t>
      </w:r>
      <w:r w:rsidR="000E4527">
        <w:rPr>
          <w:rFonts w:ascii="Arial" w:eastAsia="Calibri" w:hAnsi="Arial" w:cs="Arial"/>
          <w:b/>
          <w:bCs/>
          <w:color w:val="000000"/>
          <w:sz w:val="22"/>
          <w:lang w:val="es-ES_tradnl" w:eastAsia="es-ES_tradnl"/>
        </w:rPr>
        <w:t>3</w:t>
      </w:r>
      <w:r w:rsidRPr="00D80CCB">
        <w:rPr>
          <w:rFonts w:ascii="Arial" w:eastAsia="Calibri" w:hAnsi="Arial" w:cs="Arial"/>
          <w:b/>
          <w:bCs/>
          <w:color w:val="000000"/>
          <w:sz w:val="22"/>
          <w:lang w:val="es-ES_tradnl" w:eastAsia="es-ES_tradnl"/>
        </w:rPr>
        <w:t>. Modificaciones introducidas por los Decretos 399 de 2021 y 579 de 2021, y verificación de la capacidad financiera y organizacional</w:t>
      </w:r>
      <w:r w:rsidR="003A1C25" w:rsidRPr="00D80CCB">
        <w:rPr>
          <w:rFonts w:ascii="Arial" w:eastAsia="Calibri" w:hAnsi="Arial" w:cs="Arial"/>
          <w:b/>
          <w:bCs/>
          <w:color w:val="000000"/>
          <w:sz w:val="22"/>
          <w:lang w:val="es-ES_tradnl" w:eastAsia="es-ES_tradnl"/>
        </w:rPr>
        <w:t>:</w:t>
      </w:r>
      <w:r w:rsidR="00DD3DB9" w:rsidRPr="00D80CCB">
        <w:rPr>
          <w:rFonts w:ascii="Arial" w:eastAsia="Calibri" w:hAnsi="Arial" w:cs="Arial"/>
          <w:b/>
          <w:bCs/>
          <w:color w:val="000000"/>
          <w:sz w:val="22"/>
          <w:lang w:val="es-ES_tradnl" w:eastAsia="es-ES_tradnl"/>
        </w:rPr>
        <w:t xml:space="preserve"> </w:t>
      </w:r>
      <w:r w:rsidR="003A1C25" w:rsidRPr="00D80CCB">
        <w:rPr>
          <w:rFonts w:ascii="Arial" w:eastAsia="Calibri" w:hAnsi="Arial" w:cs="Arial"/>
          <w:b/>
          <w:bCs/>
          <w:color w:val="000000"/>
          <w:sz w:val="22"/>
          <w:lang w:val="es-ES_tradnl" w:eastAsia="es-ES_tradnl"/>
        </w:rPr>
        <w:t>s</w:t>
      </w:r>
      <w:r w:rsidR="00DD3DB9" w:rsidRPr="00D80CCB">
        <w:rPr>
          <w:rFonts w:ascii="Arial" w:eastAsia="Calibri" w:hAnsi="Arial" w:cs="Arial"/>
          <w:b/>
          <w:bCs/>
          <w:color w:val="000000"/>
          <w:sz w:val="22"/>
          <w:lang w:val="es-ES_tradnl" w:eastAsia="es-ES_tradnl"/>
        </w:rPr>
        <w:t>u aplicación frente a los proponentes plurales</w:t>
      </w:r>
    </w:p>
    <w:p w14:paraId="4ECC6CA3" w14:textId="77777777" w:rsidR="00D36E83" w:rsidRPr="00D80CCB" w:rsidRDefault="00D36E83" w:rsidP="00D36E83">
      <w:pPr>
        <w:spacing w:line="276" w:lineRule="auto"/>
        <w:ind w:firstLine="709"/>
        <w:jc w:val="both"/>
        <w:rPr>
          <w:rFonts w:ascii="Arial" w:eastAsia="Calibri" w:hAnsi="Arial" w:cs="Arial"/>
          <w:color w:val="000000"/>
          <w:sz w:val="22"/>
          <w:lang w:val="es-ES_tradnl" w:eastAsia="es-ES_tradnl"/>
        </w:rPr>
      </w:pPr>
    </w:p>
    <w:p w14:paraId="13709052" w14:textId="77777777" w:rsidR="00D36E83" w:rsidRPr="00D80CCB" w:rsidRDefault="00D36E83" w:rsidP="00D36E83">
      <w:pPr>
        <w:spacing w:line="276" w:lineRule="auto"/>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lastRenderedPageBreak/>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D80CCB">
        <w:rPr>
          <w:rFonts w:ascii="Arial" w:eastAsia="Calibri" w:hAnsi="Arial" w:cs="Arial"/>
          <w:i/>
          <w:iCs/>
          <w:color w:val="000000"/>
          <w:sz w:val="22"/>
          <w:lang w:val="es-ES_tradnl" w:eastAsia="es-ES_tradnl"/>
        </w:rPr>
        <w:t>julio</w:t>
      </w:r>
      <w:r w:rsidRPr="00D80CCB">
        <w:rPr>
          <w:rFonts w:ascii="Arial" w:eastAsia="Calibri" w:hAnsi="Arial" w:cs="Arial"/>
          <w:color w:val="000000"/>
          <w:sz w:val="22"/>
          <w:lang w:val="es-ES_tradnl" w:eastAsia="es-ES_tradnl"/>
        </w:rPr>
        <w:t xml:space="preserve"> de 2021</w:t>
      </w:r>
      <w:r w:rsidRPr="00D80CCB">
        <w:rPr>
          <w:rFonts w:ascii="Arial" w:eastAsia="Calibri" w:hAnsi="Arial" w:cs="Arial"/>
          <w:color w:val="000000"/>
          <w:sz w:val="22"/>
          <w:vertAlign w:val="superscript"/>
          <w:lang w:val="es-ES_tradnl" w:eastAsia="es-ES_tradnl"/>
        </w:rPr>
        <w:footnoteReference w:id="11"/>
      </w:r>
      <w:r w:rsidRPr="00D80CCB">
        <w:rPr>
          <w:rFonts w:ascii="Arial" w:eastAsia="Calibri" w:hAnsi="Arial" w:cs="Arial"/>
          <w:color w:val="000000"/>
          <w:sz w:val="22"/>
          <w:lang w:val="es-ES_tradnl" w:eastAsia="es-ES_tradnl"/>
        </w:rPr>
        <w:t xml:space="preserve"> las entidades estatales deberán tener en cuenta los datos sobre la capacidad financiera y organizacional de los últimos tres años, consignada en el RUP. Así lo justifica textualmente el reglamento mencionado, en sus consideraciones:</w:t>
      </w:r>
    </w:p>
    <w:p w14:paraId="605D4ADE"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760DFF83"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12102EC4"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11DED785"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los sectores económicos han sufrido efectos negativos a causa de esta.</w:t>
      </w:r>
    </w:p>
    <w:p w14:paraId="2CFEB347"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423079D8"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58BF1F25"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371AB9D1"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lastRenderedPageBreak/>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7574592" w14:textId="77777777" w:rsidR="00D36E83" w:rsidRPr="00D80CCB" w:rsidRDefault="00D36E83" w:rsidP="00D36E83">
      <w:pPr>
        <w:spacing w:line="276" w:lineRule="auto"/>
        <w:ind w:firstLine="709"/>
        <w:jc w:val="both"/>
        <w:rPr>
          <w:rFonts w:ascii="Arial" w:eastAsia="Calibri" w:hAnsi="Arial" w:cs="Arial"/>
          <w:color w:val="000000"/>
          <w:sz w:val="22"/>
          <w:lang w:val="es-ES_tradnl" w:eastAsia="es-ES_tradnl"/>
        </w:rPr>
      </w:pPr>
    </w:p>
    <w:p w14:paraId="0A149FD3" w14:textId="4ACA853C" w:rsidR="00D36E83" w:rsidRPr="00D80CCB" w:rsidRDefault="00D36E83" w:rsidP="00D36E83">
      <w:pPr>
        <w:spacing w:line="276" w:lineRule="auto"/>
        <w:ind w:firstLine="708"/>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D80CCB">
        <w:rPr>
          <w:rFonts w:ascii="Arial" w:eastAsia="Calibri" w:hAnsi="Arial" w:cs="Arial"/>
          <w:color w:val="000000"/>
          <w:sz w:val="22"/>
          <w:vertAlign w:val="superscript"/>
          <w:lang w:val="es-ES_tradnl" w:eastAsia="es-ES_tradnl"/>
        </w:rPr>
        <w:footnoteReference w:id="12"/>
      </w:r>
      <w:r w:rsidRPr="00D80CCB">
        <w:rPr>
          <w:rFonts w:ascii="Arial" w:eastAsia="Calibri" w:hAnsi="Arial" w:cs="Arial"/>
          <w:color w:val="000000"/>
          <w:sz w:val="22"/>
          <w:lang w:val="es-ES_tradnl" w:eastAsia="es-ES_tradnl"/>
        </w:rPr>
        <w:t xml:space="preserve">. El parágrafo transitorio 1 establece que desde el 1 de junio de 2021 los interesados en inscribirse en el RUP deben reportar la información contable y los estados financieros de los tres últimos años fiscales. </w:t>
      </w:r>
      <w:r w:rsidR="00DE2333" w:rsidRPr="00D80CCB">
        <w:rPr>
          <w:rFonts w:ascii="Arial" w:eastAsia="Calibri" w:hAnsi="Arial" w:cs="Arial"/>
          <w:color w:val="000000"/>
          <w:sz w:val="22"/>
          <w:lang w:val="es-ES_tradnl" w:eastAsia="es-ES_tradnl"/>
        </w:rPr>
        <w:t>Sin embargo</w:t>
      </w:r>
      <w:r w:rsidRPr="00D80CCB">
        <w:rPr>
          <w:rFonts w:ascii="Arial" w:eastAsia="Calibri" w:hAnsi="Arial" w:cs="Arial"/>
          <w:color w:val="000000"/>
          <w:sz w:val="22"/>
          <w:lang w:val="es-ES_tradnl" w:eastAsia="es-ES_tradnl"/>
        </w:rPr>
        <w:t>,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54441474" w14:textId="56663AEB"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lastRenderedPageBreak/>
        <w:t>El parágrafo transitorio 2 establece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Igualmente, señala que, si la información del interesado correspondiente a los años 2019 y/o 2020 reposa en la cámara de comercio, no se tendrá que presentar de nuevo, porque conservará firmeza para efectos de su certificación.</w:t>
      </w:r>
    </w:p>
    <w:p w14:paraId="52D185D3" w14:textId="357588EE"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D80CCB">
        <w:rPr>
          <w:rFonts w:ascii="Arial" w:eastAsia="Times New Roman" w:hAnsi="Arial" w:cs="Arial"/>
          <w:color w:val="000000"/>
          <w:sz w:val="22"/>
          <w:lang w:val="es-ES_tradnl" w:eastAsia="es-ES_tradnl"/>
        </w:rPr>
        <w:t xml:space="preserve">[…] </w:t>
      </w:r>
      <w:r w:rsidRPr="00D80CCB">
        <w:rPr>
          <w:rFonts w:ascii="Arial" w:eastAsia="Calibri" w:hAnsi="Arial" w:cs="Arial"/>
          <w:color w:val="000000"/>
          <w:sz w:val="22"/>
          <w:lang w:val="es-ES_tradnl" w:eastAsia="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D80CCB">
        <w:rPr>
          <w:rFonts w:ascii="Arial" w:eastAsia="Times New Roman" w:hAnsi="Arial" w:cs="Arial"/>
          <w:color w:val="000000"/>
          <w:sz w:val="22"/>
          <w:lang w:val="es-ES_tradnl" w:eastAsia="es-ES_tradnl"/>
        </w:rPr>
        <w:t>c</w:t>
      </w:r>
      <w:r w:rsidRPr="00D80CCB">
        <w:rPr>
          <w:rFonts w:ascii="Arial" w:eastAsia="Calibri" w:hAnsi="Arial" w:cs="Arial"/>
          <w:color w:val="000000"/>
          <w:sz w:val="22"/>
          <w:lang w:val="es-ES_tradnl" w:eastAsia="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w:t>
      </w:r>
      <w:r w:rsidR="00771889" w:rsidRPr="00D80CCB">
        <w:rPr>
          <w:rFonts w:ascii="Arial" w:eastAsia="Calibri" w:hAnsi="Arial" w:cs="Arial"/>
          <w:color w:val="000000"/>
          <w:sz w:val="22"/>
          <w:lang w:val="es-ES_tradnl" w:eastAsia="es-ES_tradnl"/>
        </w:rPr>
        <w:t>do</w:t>
      </w:r>
      <w:r w:rsidRPr="00D80CCB">
        <w:rPr>
          <w:rFonts w:ascii="Arial" w:eastAsia="Calibri" w:hAnsi="Arial" w:cs="Arial"/>
          <w:color w:val="000000"/>
          <w:sz w:val="22"/>
          <w:lang w:val="es-ES_tradnl" w:eastAsia="es-ES_tradnl"/>
        </w:rPr>
        <w:t>res de capacidad organizacional son: i) la rentabilidad del patrimonio y ii) la rentabilidad del activo. El segundo parágrafo transitorio establece que «El</w:t>
      </w:r>
      <w:r w:rsidRPr="00D80CCB">
        <w:rPr>
          <w:rFonts w:ascii="Arial" w:eastAsia="Times New Roman" w:hAnsi="Arial" w:cs="Arial"/>
          <w:color w:val="000000"/>
          <w:sz w:val="22"/>
          <w:lang w:val="es-ES_tradnl" w:eastAsia="es-ES_tradnl"/>
        </w:rPr>
        <w:t xml:space="preserve"> </w:t>
      </w:r>
      <w:r w:rsidRPr="00D80CCB">
        <w:rPr>
          <w:rFonts w:ascii="Arial" w:eastAsia="Calibri" w:hAnsi="Arial" w:cs="Arial"/>
          <w:color w:val="000000"/>
          <w:sz w:val="22"/>
          <w:lang w:val="es-ES_tradnl" w:eastAsia="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4B07C7C5"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De otro lado, el artículo 6 del Decreto 399 de 2021 adiciona un parágrafo transitorio –sustituido después por el artículo 3 del Decreto 579 de 2021– al artículo 2.2.1.1.1.6.2. del Decreto 1082 de 2015</w:t>
      </w:r>
      <w:r w:rsidRPr="00D80CCB">
        <w:rPr>
          <w:rFonts w:ascii="Arial" w:eastAsia="Calibri" w:hAnsi="Arial" w:cs="Arial"/>
          <w:color w:val="000000"/>
          <w:sz w:val="22"/>
          <w:vertAlign w:val="superscript"/>
          <w:lang w:val="es-ES_tradnl" w:eastAsia="es-ES_tradnl"/>
        </w:rPr>
        <w:footnoteReference w:id="13"/>
      </w:r>
      <w:r w:rsidRPr="00D80CCB">
        <w:rPr>
          <w:rFonts w:ascii="Arial" w:eastAsia="Calibri" w:hAnsi="Arial" w:cs="Arial"/>
          <w:color w:val="000000"/>
          <w:sz w:val="22"/>
          <w:lang w:val="es-ES_tradnl" w:eastAsia="es-ES_tradnl"/>
        </w:rPr>
        <w:t>, con el siguiente contenido:</w:t>
      </w:r>
    </w:p>
    <w:p w14:paraId="04879B6C"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61624351"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w:t>
      </w:r>
      <w:r w:rsidRPr="00D80CCB">
        <w:rPr>
          <w:rFonts w:ascii="Arial" w:eastAsia="Calibri" w:hAnsi="Arial" w:cs="Arial"/>
          <w:color w:val="000000"/>
          <w:sz w:val="21"/>
          <w:szCs w:val="21"/>
          <w:lang w:val="es-ES_tradnl" w:eastAsia="es-ES_tradnl"/>
        </w:rPr>
        <w:lastRenderedPageBreak/>
        <w:t xml:space="preserve">de capacidad financiera y organizacional teniendo en cuenta la información que conste en el Registro Único de Proponentes. En todo caso, se establecerán indicadores proporcionales al procedimiento de contratación. </w:t>
      </w:r>
    </w:p>
    <w:p w14:paraId="11BD6667"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2A0E2714"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7BFE03CD" w14:textId="77777777" w:rsidR="00D36E83" w:rsidRPr="00D80CCB" w:rsidRDefault="00D36E83" w:rsidP="00D36E83">
      <w:pPr>
        <w:spacing w:line="276" w:lineRule="auto"/>
        <w:ind w:firstLine="709"/>
        <w:jc w:val="both"/>
        <w:rPr>
          <w:rFonts w:ascii="Arial" w:eastAsia="Calibri" w:hAnsi="Arial" w:cs="Arial"/>
          <w:color w:val="000000"/>
          <w:sz w:val="22"/>
          <w:lang w:val="es-ES_tradnl" w:eastAsia="es-ES_tradnl"/>
        </w:rPr>
      </w:pPr>
    </w:p>
    <w:p w14:paraId="5AE4D1FF" w14:textId="77777777" w:rsidR="00D36E83" w:rsidRPr="00D80CCB" w:rsidRDefault="00D36E83" w:rsidP="00D36E83">
      <w:pPr>
        <w:spacing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Como se observa, el parágrafo transitorio, agregado al artículo 2.2.1.1.1.6.2. del Decreto 1082 de 2015 por el artículo 6 del Decreto 399 de 2021 y sustituido por el artículo 3 del Decreto 579 de 2021, establece que:</w:t>
      </w:r>
    </w:p>
    <w:p w14:paraId="17590DAA"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4E6DE70F"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6945FC0B"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3CE32AC8"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 xml:space="preserve">iv) A partir de la fecha establecida anteriormente, la evaluación de los indicadores de capacidad </w:t>
      </w:r>
      <w:r w:rsidRPr="00D80CCB">
        <w:rPr>
          <w:rFonts w:ascii="Arial" w:eastAsia="Calibri" w:hAnsi="Arial" w:cs="Arial"/>
          <w:i/>
          <w:iCs/>
          <w:color w:val="000000"/>
          <w:sz w:val="22"/>
          <w:lang w:val="es-ES_tradnl" w:eastAsia="es-ES_tradnl"/>
        </w:rPr>
        <w:t>financiera –</w:t>
      </w:r>
      <w:r w:rsidRPr="00D80CCB">
        <w:rPr>
          <w:rFonts w:ascii="Arial" w:eastAsia="Calibri" w:hAnsi="Arial" w:cs="Arial"/>
          <w:color w:val="000000"/>
          <w:sz w:val="22"/>
          <w:lang w:val="es-ES_tradnl" w:eastAsia="es-ES_tradnl"/>
        </w:rPr>
        <w:t xml:space="preserve">índice de liquidez, índice de endeudamiento y razón de cobertura de intereses– y </w:t>
      </w:r>
      <w:r w:rsidRPr="00D80CCB">
        <w:rPr>
          <w:rFonts w:ascii="Arial" w:eastAsia="Calibri" w:hAnsi="Arial" w:cs="Arial"/>
          <w:i/>
          <w:iCs/>
          <w:color w:val="000000"/>
          <w:sz w:val="22"/>
          <w:lang w:val="es-ES_tradnl" w:eastAsia="es-ES_tradnl"/>
        </w:rPr>
        <w:t>organizacional</w:t>
      </w:r>
      <w:r w:rsidRPr="00D80CCB">
        <w:rPr>
          <w:rFonts w:ascii="Arial" w:eastAsia="Calibri" w:hAnsi="Arial" w:cs="Arial"/>
          <w:color w:val="000000"/>
          <w:sz w:val="22"/>
          <w:lang w:val="es-ES_tradnl" w:eastAsia="es-ES_tradnl"/>
        </w:rPr>
        <w:t xml:space="preserve"> –rentabilidad del patrimonio y rentabilidad del activo–, se deberá realizar por parte de las entidades estatales «teniendo en cuenta </w:t>
      </w:r>
      <w:r w:rsidRPr="00D80CCB">
        <w:rPr>
          <w:rFonts w:ascii="Arial" w:eastAsia="Calibri" w:hAnsi="Arial" w:cs="Arial"/>
          <w:i/>
          <w:iCs/>
          <w:color w:val="000000"/>
          <w:sz w:val="22"/>
          <w:lang w:val="es-ES_tradnl" w:eastAsia="es-ES_tradnl"/>
        </w:rPr>
        <w:t>el mejor año fiscal que se refleje en el registro</w:t>
      </w:r>
      <w:r w:rsidRPr="00D80CCB">
        <w:rPr>
          <w:rFonts w:ascii="Arial" w:eastAsia="Calibri" w:hAnsi="Arial" w:cs="Arial"/>
          <w:color w:val="000000"/>
          <w:sz w:val="22"/>
          <w:lang w:val="es-ES_tradnl" w:eastAsia="es-ES_tradnl"/>
        </w:rPr>
        <w:t xml:space="preserve"> de cada proponente» (énfasis fuera de texto). </w:t>
      </w:r>
    </w:p>
    <w:p w14:paraId="71ED0D00"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 xml:space="preserve">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w:t>
      </w:r>
      <w:r w:rsidRPr="00D80CCB">
        <w:rPr>
          <w:rFonts w:ascii="Arial" w:eastAsia="Calibri" w:hAnsi="Arial" w:cs="Arial"/>
          <w:color w:val="000000"/>
          <w:sz w:val="22"/>
          <w:lang w:val="es-ES_tradnl" w:eastAsia="es-ES_tradnl"/>
        </w:rPr>
        <w:lastRenderedPageBreak/>
        <w:t>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D80CCB">
        <w:rPr>
          <w:rFonts w:ascii="Arial" w:eastAsia="Times New Roman" w:hAnsi="Arial" w:cs="Arial"/>
          <w:color w:val="000000"/>
          <w:sz w:val="22"/>
          <w:lang w:val="es-ES_tradnl" w:eastAsia="es-ES_tradnl"/>
        </w:rPr>
        <w:t xml:space="preserve">[…] </w:t>
      </w:r>
      <w:r w:rsidRPr="00D80CCB">
        <w:rPr>
          <w:rFonts w:ascii="Arial" w:eastAsia="Calibri" w:hAnsi="Arial" w:cs="Arial"/>
          <w:color w:val="000000"/>
          <w:sz w:val="22"/>
          <w:lang w:val="es-ES_tradnl" w:eastAsia="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2E18AABE"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D80CCB">
        <w:rPr>
          <w:rFonts w:ascii="Arial" w:eastAsia="Calibri" w:hAnsi="Arial" w:cs="Arial"/>
          <w:i/>
          <w:iCs/>
          <w:color w:val="000000"/>
          <w:sz w:val="22"/>
          <w:lang w:val="es-ES_tradnl" w:eastAsia="es-ES_tradnl"/>
        </w:rPr>
        <w:t>por cada indicador</w:t>
      </w:r>
      <w:r w:rsidRPr="00D80CCB">
        <w:rPr>
          <w:rFonts w:ascii="Arial" w:eastAsia="Calibri" w:hAnsi="Arial" w:cs="Arial"/>
          <w:color w:val="000000"/>
          <w:sz w:val="22"/>
          <w:lang w:val="es-ES_tradnl" w:eastAsia="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registrados en el RUP le permita al proponente cumplir con dichos requisitos habilitantes. </w:t>
      </w:r>
    </w:p>
    <w:p w14:paraId="56B5458B"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0339D644" w14:textId="77777777" w:rsidR="00D36E83" w:rsidRPr="00D80CCB" w:rsidRDefault="00D36E83" w:rsidP="00D36E83">
      <w:pPr>
        <w:spacing w:before="120" w:line="276" w:lineRule="auto"/>
        <w:ind w:firstLine="709"/>
        <w:jc w:val="both"/>
        <w:rPr>
          <w:rFonts w:ascii="Arial" w:eastAsia="Times New Roman" w:hAnsi="Arial" w:cs="Arial"/>
          <w:color w:val="000000"/>
          <w:sz w:val="22"/>
          <w:lang w:val="es-ES_tradnl" w:eastAsia="es-ES_tradnl"/>
        </w:rPr>
      </w:pPr>
      <w:r w:rsidRPr="00D80CCB">
        <w:rPr>
          <w:rFonts w:ascii="Arial" w:eastAsia="Calibri" w:hAnsi="Arial" w:cs="Arial"/>
          <w:color w:val="000000"/>
          <w:sz w:val="22"/>
          <w:lang w:val="es-ES_tradnl" w:eastAsia="es-ES_tradnl"/>
        </w:rPr>
        <w:t xml:space="preserve">Por consiguiente, respecto a los procesos de selección cuyo acto administrativo de apertura o invitación haya sido publicado a partir del 1 de julio de 2021, las entidades estatales deben evaluar los indicadores de la capacidad financiera teniendo en cuenta el mejor año fiscal que se refleje en el RUP, </w:t>
      </w:r>
      <w:r w:rsidRPr="00D80CCB">
        <w:rPr>
          <w:rFonts w:ascii="Arial" w:eastAsia="Calibri" w:hAnsi="Arial" w:cs="Arial"/>
          <w:noProof/>
          <w:color w:val="000000"/>
          <w:sz w:val="22"/>
          <w:lang w:val="es-ES_tradnl" w:eastAsia="es-ES_tradnl"/>
        </w:rPr>
        <w:t>es decir, aquel año en el que se evidencie el mayor índice de liquidez, menor índice de endeudamiento y mayor cobertura de intereses, mientras que en lo concerniente a capacidad organizacional, será aquel en el que se evidencie</w:t>
      </w:r>
      <w:r w:rsidRPr="00D80CCB">
        <w:rPr>
          <w:rFonts w:ascii="Arial" w:eastAsia="Times New Roman" w:hAnsi="Arial" w:cs="Arial"/>
          <w:color w:val="000000"/>
          <w:sz w:val="22"/>
          <w:lang w:val="es-CO" w:eastAsia="es-ES_tradnl"/>
        </w:rPr>
        <w:t xml:space="preserve"> mayor rentabilidad sobre el patrimonio</w:t>
      </w:r>
      <w:r w:rsidRPr="00D80CCB">
        <w:rPr>
          <w:rFonts w:ascii="Arial" w:eastAsia="Times New Roman" w:hAnsi="Arial" w:cs="Arial"/>
          <w:color w:val="000000"/>
          <w:sz w:val="22"/>
          <w:lang w:val="es-ES_tradnl" w:eastAsia="es-ES_tradnl"/>
        </w:rPr>
        <w:t xml:space="preserve"> y  </w:t>
      </w:r>
      <w:r w:rsidRPr="00D80CCB">
        <w:rPr>
          <w:rFonts w:ascii="Arial" w:eastAsia="Times New Roman" w:hAnsi="Arial" w:cs="Arial"/>
          <w:color w:val="000000"/>
          <w:sz w:val="22"/>
          <w:lang w:val="es-CO" w:eastAsia="es-ES_tradnl"/>
        </w:rPr>
        <w:t xml:space="preserve">mayor rentabilidad sobre activos, </w:t>
      </w:r>
      <w:r w:rsidRPr="00D80CCB">
        <w:rPr>
          <w:rFonts w:ascii="Arial" w:eastAsia="Times New Roman" w:hAnsi="Arial" w:cs="Arial"/>
          <w:color w:val="000000"/>
          <w:sz w:val="22"/>
          <w:lang w:val="es-ES_tradnl" w:eastAsia="es-ES_tradnl"/>
        </w:rPr>
        <w:t xml:space="preserve">debiendo este último ser </w:t>
      </w:r>
      <w:r w:rsidRPr="00D80CCB">
        <w:rPr>
          <w:rFonts w:ascii="Arial" w:eastAsia="Times New Roman" w:hAnsi="Arial" w:cs="Arial"/>
          <w:color w:val="000000"/>
          <w:sz w:val="22"/>
          <w:lang w:val="es-CO" w:eastAsia="es-ES_tradnl"/>
        </w:rPr>
        <w:t xml:space="preserve">menor o igual que el </w:t>
      </w:r>
      <w:r w:rsidRPr="00D80CCB">
        <w:rPr>
          <w:rFonts w:ascii="Arial" w:eastAsia="Times New Roman" w:hAnsi="Arial" w:cs="Arial"/>
          <w:color w:val="000000"/>
          <w:sz w:val="22"/>
          <w:lang w:val="es-ES_tradnl" w:eastAsia="es-ES_tradnl"/>
        </w:rPr>
        <w:t>primero.</w:t>
      </w:r>
    </w:p>
    <w:p w14:paraId="60EC1ACE" w14:textId="3C4E7287" w:rsidR="00BD234D" w:rsidRPr="00D80CCB" w:rsidRDefault="00BD234D" w:rsidP="00BD234D">
      <w:pPr>
        <w:spacing w:before="120" w:line="276" w:lineRule="auto"/>
        <w:ind w:firstLine="709"/>
        <w:jc w:val="both"/>
        <w:rPr>
          <w:rFonts w:ascii="Arial" w:eastAsia="Calibri" w:hAnsi="Arial" w:cs="Arial"/>
          <w:color w:val="000000"/>
          <w:sz w:val="22"/>
          <w:lang w:val="es-ES_tradnl" w:eastAsia="es-ES_tradnl"/>
        </w:rPr>
      </w:pPr>
      <w:bookmarkStart w:id="5" w:name="_Hlk81469948"/>
      <w:r w:rsidRPr="00D80CCB">
        <w:rPr>
          <w:rFonts w:ascii="Arial" w:eastAsia="Calibri" w:hAnsi="Arial" w:cs="Arial"/>
          <w:color w:val="000000"/>
          <w:sz w:val="22"/>
          <w:lang w:val="es-ES_tradnl" w:eastAsia="es-ES_tradnl"/>
        </w:rPr>
        <w:t xml:space="preserve">Aunado a lo anterior, siendo el espíritu de la norma propender por la reactivación económica, la posibilidad de tener un margen de tres (3) años de información en el certificado del RUP permite que no se tome necesariamente el periodo inmediatamente </w:t>
      </w:r>
      <w:r w:rsidRPr="00D80CCB">
        <w:rPr>
          <w:rFonts w:ascii="Arial" w:eastAsia="Calibri" w:hAnsi="Arial" w:cs="Arial"/>
          <w:color w:val="000000"/>
          <w:sz w:val="22"/>
          <w:lang w:val="es-ES_tradnl" w:eastAsia="es-ES_tradnl"/>
        </w:rPr>
        <w:lastRenderedPageBreak/>
        <w:t xml:space="preserve">anterior, pensando en aquellos </w:t>
      </w:r>
      <w:r w:rsidR="00EC0CB7" w:rsidRPr="00D80CCB">
        <w:rPr>
          <w:rFonts w:ascii="Arial" w:eastAsia="Calibri" w:hAnsi="Arial" w:cs="Arial"/>
          <w:color w:val="000000"/>
          <w:sz w:val="22"/>
          <w:lang w:val="es-ES_tradnl" w:eastAsia="es-ES_tradnl"/>
        </w:rPr>
        <w:t xml:space="preserve">oferentes </w:t>
      </w:r>
      <w:proofErr w:type="gramStart"/>
      <w:r w:rsidR="00EC0CB7" w:rsidRPr="00D80CCB">
        <w:rPr>
          <w:rFonts w:ascii="Arial" w:eastAsia="Calibri" w:hAnsi="Arial" w:cs="Arial"/>
          <w:color w:val="000000"/>
          <w:sz w:val="22"/>
          <w:lang w:val="es-ES_tradnl" w:eastAsia="es-ES_tradnl"/>
        </w:rPr>
        <w:t>que</w:t>
      </w:r>
      <w:proofErr w:type="gramEnd"/>
      <w:r w:rsidRPr="00D80CCB">
        <w:rPr>
          <w:rFonts w:ascii="Arial" w:eastAsia="Calibri" w:hAnsi="Arial" w:cs="Arial"/>
          <w:color w:val="000000"/>
          <w:sz w:val="22"/>
          <w:lang w:val="es-ES_tradnl" w:eastAsia="es-ES_tradnl"/>
        </w:rPr>
        <w:t xml:space="preserve"> afectados por las consecuencias económicas de la pandemia, reflejarán dicho periodo como desfavorable. Al respecto, conviene </w:t>
      </w:r>
      <w:r w:rsidR="000E7C0F" w:rsidRPr="00D80CCB">
        <w:rPr>
          <w:rFonts w:ascii="Arial" w:eastAsia="Calibri" w:hAnsi="Arial" w:cs="Arial"/>
          <w:color w:val="000000"/>
          <w:sz w:val="22"/>
          <w:lang w:val="es-ES_tradnl" w:eastAsia="es-ES_tradnl"/>
        </w:rPr>
        <w:t>precisar que</w:t>
      </w:r>
      <w:r w:rsidRPr="00D80CCB">
        <w:rPr>
          <w:rFonts w:ascii="Arial" w:eastAsia="Calibri" w:hAnsi="Arial" w:cs="Arial"/>
          <w:color w:val="000000"/>
          <w:sz w:val="22"/>
          <w:lang w:val="es-ES_tradnl" w:eastAsia="es-ES_tradnl"/>
        </w:rPr>
        <w:t xml:space="preserve"> la norma señala que se tendrá en cuenta «el mejor año fiscal» en singular; en efecto, no se alude a una mezcla de vigencias, se especifica «el mejor», correspondiendo a un solo año, dentro del cual se verificarán en su conjunto todos los indicadores, correspondiendo a las entidades estatales el deber de análisis desde todas las perspectivas del proceso, verificando que efectivamente el futuro contratista pueda cumplir con las obligaciones que adquirirá.</w:t>
      </w:r>
    </w:p>
    <w:p w14:paraId="4281F9D9" w14:textId="04A03B3A" w:rsidR="005E156B" w:rsidRPr="00D80CCB" w:rsidRDefault="005E156B" w:rsidP="005E156B">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Ahora bien, la norma analizada en el presente concepto aplica tanto a los proponentes individuales como plurales, pues dado que el parágrafo transitorio del artículo 2.2.1.1.1.6.2 del Decreto 1082 del 2015 no realiza distinciones al respecto, tampoco sería lícito al intérprete distinguir. No obstante, tratándose de consorcios y uniones temporales una de las dificultades para aplicar la disposición radica en que los proponentes plurales no están obligados a la inscripción en el registro único de proponentes, especialmente, cuando carecen de personería jurídica a pesar de tener capacidad contractual. 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circunscrita a un contrato estatal, que una vez liquidado, estas formas asociativas dejan de tener vigencia para el tráfico jurídico con la entidad estatal […]»</w:t>
      </w:r>
      <w:r w:rsidRPr="00D80CCB">
        <w:rPr>
          <w:rFonts w:ascii="Arial" w:eastAsia="Calibri" w:hAnsi="Arial" w:cs="Arial"/>
          <w:color w:val="000000"/>
          <w:sz w:val="22"/>
          <w:vertAlign w:val="superscript"/>
          <w:lang w:val="es-ES_tradnl" w:eastAsia="es-ES_tradnl"/>
        </w:rPr>
        <w:footnoteReference w:id="14"/>
      </w:r>
      <w:r w:rsidRPr="00D80CCB">
        <w:rPr>
          <w:rFonts w:ascii="Arial" w:eastAsia="Calibri" w:hAnsi="Arial" w:cs="Arial"/>
          <w:color w:val="000000"/>
          <w:sz w:val="22"/>
          <w:lang w:val="es-ES_tradnl" w:eastAsia="es-ES_tradnl"/>
        </w:rPr>
        <w:t xml:space="preserve">.  </w:t>
      </w:r>
    </w:p>
    <w:p w14:paraId="0F5AD360" w14:textId="77777777" w:rsidR="005E156B" w:rsidRPr="00D80CCB" w:rsidRDefault="005E156B" w:rsidP="005E156B">
      <w:pPr>
        <w:spacing w:before="120" w:after="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Dado que los consorcios y las uniones temporales carecen de RUP, cuando la norma se refiere a que «</w:t>
      </w:r>
      <w:r w:rsidRPr="00D80CCB">
        <w:rPr>
          <w:rFonts w:ascii="Arial" w:eastAsia="Times New Roman" w:hAnsi="Arial" w:cs="Arial"/>
          <w:sz w:val="22"/>
          <w:lang w:val="es-ES_tradnl" w:eastAsia="es-ES_tradnl"/>
        </w:rPr>
        <w:t xml:space="preserve">[…] </w:t>
      </w:r>
      <w:r w:rsidRPr="00D80CCB">
        <w:rPr>
          <w:rFonts w:ascii="Arial" w:eastAsia="Calibri" w:hAnsi="Arial" w:cs="Arial"/>
          <w:color w:val="000000"/>
          <w:sz w:val="22"/>
          <w:lang w:val="es-ES_tradnl" w:eastAsia="es-ES_tradnl"/>
        </w:rPr>
        <w:t xml:space="preserve">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44B7FFD5" w14:textId="5DBE1A79" w:rsidR="0054024A" w:rsidRPr="00D80CCB" w:rsidRDefault="005E156B" w:rsidP="00C3581C">
      <w:pPr>
        <w:spacing w:after="120" w:line="276" w:lineRule="auto"/>
        <w:ind w:firstLine="709"/>
        <w:jc w:val="both"/>
        <w:rPr>
          <w:rFonts w:ascii="Arial" w:eastAsia="Calibri" w:hAnsi="Arial" w:cs="Arial"/>
          <w:color w:val="000000"/>
          <w:sz w:val="22"/>
          <w:lang w:val="es-ES_tradnl" w:eastAsia="es-ES_tradnl"/>
        </w:rPr>
      </w:pPr>
      <w:r w:rsidRPr="00D80CCB">
        <w:rPr>
          <w:rFonts w:ascii="Arial" w:eastAsia="Times New Roman" w:hAnsi="Arial" w:cs="Arial"/>
          <w:color w:val="000000"/>
          <w:sz w:val="22"/>
          <w:lang w:val="es-ES_tradnl" w:eastAsia="es-ES_tradnl"/>
        </w:rPr>
        <w:t>A</w:t>
      </w:r>
      <w:r w:rsidRPr="00D80CCB">
        <w:rPr>
          <w:rFonts w:ascii="Arial" w:eastAsia="Calibri" w:hAnsi="Arial" w:cs="Arial"/>
          <w:color w:val="000000"/>
          <w:sz w:val="22"/>
          <w:lang w:val="es-ES_tradnl" w:eastAsia="es-ES_tradnl"/>
        </w:rPr>
        <w:t xml:space="preserve">unado a lo expuesto, si se pensara en tomar un año en común para todos los integrantes del proponente plural, llevado a la práctica, podría presentarse el caso hipotético de escoger el antepenúltimo año reflejado en el RUP, pero uno de los integrantes puede resultar ser una empresa con un año de constituida que para la vigencia escogida no existía. Incluso, puede ser que el mejor año fiscal para uno de los integrantes del proponente plural </w:t>
      </w:r>
      <w:r w:rsidRPr="00D80CCB">
        <w:rPr>
          <w:rFonts w:ascii="Arial" w:eastAsia="Calibri" w:hAnsi="Arial" w:cs="Arial"/>
          <w:color w:val="000000"/>
          <w:sz w:val="22"/>
          <w:lang w:val="es-ES_tradnl" w:eastAsia="es-ES_tradnl"/>
        </w:rPr>
        <w:lastRenderedPageBreak/>
        <w:t>resulte ser el peor para otro, de modo que se desdibujaría el propósito del Decreto 399 de 2021 modificado por el Decreto 579 de 2021, que precisamente busca la reactivación económica del país y con ello, ampliar la posibilidad de acceso a los procesos de contratación pública.</w:t>
      </w:r>
      <w:r w:rsidR="00E95437">
        <w:rPr>
          <w:rFonts w:ascii="Arial" w:eastAsia="Calibri" w:hAnsi="Arial" w:cs="Arial"/>
          <w:color w:val="000000"/>
          <w:sz w:val="22"/>
          <w:lang w:val="es-ES_tradnl" w:eastAsia="es-ES_tradnl"/>
        </w:rPr>
        <w:t xml:space="preserve"> </w:t>
      </w:r>
      <w:r w:rsidR="00105C88" w:rsidRPr="00D80CCB">
        <w:rPr>
          <w:rFonts w:ascii="Arial" w:eastAsia="Calibri" w:hAnsi="Arial" w:cs="Arial"/>
          <w:color w:val="000000"/>
          <w:sz w:val="22"/>
          <w:lang w:val="es-ES_tradnl" w:eastAsia="es-ES_tradnl"/>
        </w:rPr>
        <w:t>Teniendo en cuenta lo anterior, esta Agencia considera que la evaluación de los indicadores financieros y organizacio</w:t>
      </w:r>
      <w:r w:rsidR="00692C04">
        <w:rPr>
          <w:rFonts w:ascii="Arial" w:eastAsia="Calibri" w:hAnsi="Arial" w:cs="Arial"/>
          <w:color w:val="000000"/>
          <w:sz w:val="22"/>
          <w:lang w:val="es-ES_tradnl" w:eastAsia="es-ES_tradnl"/>
        </w:rPr>
        <w:t>nales</w:t>
      </w:r>
      <w:r w:rsidR="00105C88" w:rsidRPr="00D80CCB">
        <w:rPr>
          <w:rFonts w:ascii="Arial" w:eastAsia="Calibri" w:hAnsi="Arial" w:cs="Arial"/>
          <w:color w:val="000000"/>
          <w:sz w:val="22"/>
          <w:lang w:val="es-ES_tradnl" w:eastAsia="es-ES_tradnl"/>
        </w:rPr>
        <w:t xml:space="preserve"> se deben realizar con el mejor año fiscal que se refleje en el RUP de cada uno de los integrantes del consorcio o la unión temporal, pues son ellos quienes cuentan con dicho registro.</w:t>
      </w:r>
    </w:p>
    <w:bookmarkEnd w:id="5"/>
    <w:p w14:paraId="6AEC7528" w14:textId="77777777" w:rsidR="00D36E83" w:rsidRPr="00D80CCB" w:rsidRDefault="00D36E83" w:rsidP="00D36E83">
      <w:pPr>
        <w:tabs>
          <w:tab w:val="left" w:pos="0"/>
        </w:tabs>
        <w:jc w:val="both"/>
        <w:rPr>
          <w:rFonts w:ascii="Arial" w:eastAsia="Calibri" w:hAnsi="Arial" w:cs="Arial"/>
          <w:b/>
          <w:color w:val="000000"/>
          <w:sz w:val="22"/>
          <w:szCs w:val="24"/>
          <w:lang w:val="es-ES_tradnl" w:eastAsia="es-ES_tradnl"/>
        </w:rPr>
      </w:pPr>
      <w:r w:rsidRPr="00D80CCB">
        <w:rPr>
          <w:rFonts w:ascii="Arial" w:eastAsia="Calibri" w:hAnsi="Arial" w:cs="Arial"/>
          <w:b/>
          <w:color w:val="000000"/>
          <w:sz w:val="22"/>
          <w:szCs w:val="24"/>
          <w:lang w:val="es-ES_tradnl" w:eastAsia="es-ES_tradnl"/>
        </w:rPr>
        <w:t>3. Respuesta</w:t>
      </w:r>
    </w:p>
    <w:p w14:paraId="0C57625D" w14:textId="77777777" w:rsidR="00D36E83" w:rsidRPr="00D80CCB" w:rsidRDefault="00D36E83" w:rsidP="00D36E83">
      <w:pPr>
        <w:tabs>
          <w:tab w:val="left" w:pos="0"/>
        </w:tabs>
        <w:ind w:firstLine="709"/>
        <w:jc w:val="both"/>
        <w:rPr>
          <w:rFonts w:ascii="Arial" w:eastAsia="Calibri" w:hAnsi="Arial" w:cs="Arial"/>
          <w:b/>
          <w:color w:val="000000"/>
          <w:sz w:val="22"/>
          <w:szCs w:val="24"/>
          <w:lang w:val="es-ES_tradnl" w:eastAsia="es-ES_tradnl"/>
        </w:rPr>
      </w:pPr>
    </w:p>
    <w:p w14:paraId="50C8FD65" w14:textId="5A04A40E" w:rsidR="00D01B09" w:rsidRPr="00D80CCB" w:rsidRDefault="00D36E83" w:rsidP="00D01B09">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w:t>
      </w:r>
      <w:r w:rsidR="00D01B09" w:rsidRPr="00D80CCB">
        <w:rPr>
          <w:rFonts w:ascii="Arial" w:eastAsia="Calibri" w:hAnsi="Arial" w:cs="Arial"/>
          <w:color w:val="000000"/>
          <w:sz w:val="21"/>
          <w:szCs w:val="21"/>
          <w:lang w:val="es-ES_tradnl" w:eastAsia="es-ES_tradnl"/>
        </w:rPr>
        <w:t>1.</w:t>
      </w:r>
      <w:r w:rsidR="00D01B09" w:rsidRPr="00D80CCB">
        <w:rPr>
          <w:rFonts w:ascii="Arial" w:eastAsia="Calibri" w:hAnsi="Arial" w:cs="Arial"/>
          <w:color w:val="000000"/>
          <w:sz w:val="21"/>
          <w:szCs w:val="21"/>
          <w:lang w:val="es-ES_tradnl" w:eastAsia="es-ES_tradnl"/>
        </w:rPr>
        <w:tab/>
        <w:t>Si bien es cierto, el proponente puede acreditar los indicadores de capacidad financiera y organizacional en cualquiera de las ultimas 3 vigencias, solicitamos que se aclare si la entidad debe realizar un análisis para establecer indicadores para cada vigencia, tomando bases de datos que correspondan a cada una, o por el contrario, resulta más apropiado fijar indicadores que correspondan a lo más reciente y que refleje la realidad de mercado, permitiendo que el oferente cumpla con cualquiera de las 3 vigencias».</w:t>
      </w:r>
    </w:p>
    <w:p w14:paraId="1AFE14CE" w14:textId="77777777" w:rsidR="00D01B09" w:rsidRPr="00D80CCB" w:rsidRDefault="00D01B09" w:rsidP="00D01B09">
      <w:pPr>
        <w:spacing w:after="120" w:line="276" w:lineRule="auto"/>
        <w:jc w:val="both"/>
        <w:rPr>
          <w:rFonts w:ascii="Arial" w:eastAsia="Calibri" w:hAnsi="Arial" w:cs="Arial"/>
          <w:color w:val="000000"/>
          <w:sz w:val="22"/>
          <w:szCs w:val="24"/>
          <w:lang w:val="es-ES_tradnl" w:eastAsia="es-ES_tradnl"/>
        </w:rPr>
      </w:pPr>
    </w:p>
    <w:p w14:paraId="18D5BC79" w14:textId="5AAC31C4" w:rsidR="00D01B09" w:rsidRPr="00D80CCB" w:rsidRDefault="00D01B09" w:rsidP="00D01B09">
      <w:pPr>
        <w:spacing w:after="120" w:line="276" w:lineRule="auto"/>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Las entidades estatales en ejercicio del deber de análisis que les compete y de acuerdo con la normativa correspondiente, son las responsables de determinar la forma en que efectuarán los estudios previos y el análisis del sector dentro de los procesos de selección que adelanten, debiendo tener en cuenta, entre otros, el valor del proceso de contratación, la naturaleza del objeto a contratar, el tipo de contrato y los posibles riesgos, incluyendo el estudio de la oferta y la demanda.</w:t>
      </w:r>
    </w:p>
    <w:p w14:paraId="5AA6A9C2" w14:textId="3C296CD3" w:rsidR="00D01B09" w:rsidRPr="00D80CCB" w:rsidRDefault="00D01B09" w:rsidP="00D01B09">
      <w:pPr>
        <w:spacing w:after="120" w:line="276" w:lineRule="auto"/>
        <w:ind w:firstLine="709"/>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 xml:space="preserve">En cuanto al estudio de la oferta, este implica la identificación de los proveedores y su comportamiento financiero, por ejemplo, podrá examinarse si existieron circunstancias excepcionales que lograron alterar el comportamiento financiero habitual, como aquellos posibles proveedores que se vieron afectados por la situación de pandemia actual, revisando su comportamiento histórico, pero atendiendo también a la realidad y a la dinámica actual del sector correspondiente. Para tal fin, conviene recordar que en la «Guía para la Elaboración de Estudios del Sector» se destaca que, el </w:t>
      </w:r>
      <w:r w:rsidR="00006E80" w:rsidRPr="00D80CCB">
        <w:rPr>
          <w:rFonts w:ascii="Arial" w:eastAsia="Calibri" w:hAnsi="Arial" w:cs="Arial"/>
          <w:color w:val="000000"/>
          <w:sz w:val="22"/>
          <w:szCs w:val="24"/>
          <w:lang w:val="es-ES_tradnl" w:eastAsia="es-ES_tradnl"/>
        </w:rPr>
        <w:t>n</w:t>
      </w:r>
      <w:r w:rsidR="00006E80">
        <w:rPr>
          <w:rFonts w:ascii="Arial" w:eastAsia="Calibri" w:hAnsi="Arial" w:cs="Arial"/>
          <w:color w:val="000000"/>
          <w:sz w:val="22"/>
          <w:szCs w:val="24"/>
          <w:lang w:val="es-ES_tradnl" w:eastAsia="es-ES_tradnl"/>
        </w:rPr>
        <w:t>ú</w:t>
      </w:r>
      <w:r w:rsidR="00006E80" w:rsidRPr="00D80CCB">
        <w:rPr>
          <w:rFonts w:ascii="Arial" w:eastAsia="Calibri" w:hAnsi="Arial" w:cs="Arial"/>
          <w:color w:val="000000"/>
          <w:sz w:val="22"/>
          <w:szCs w:val="24"/>
          <w:lang w:val="es-ES_tradnl" w:eastAsia="es-ES_tradnl"/>
        </w:rPr>
        <w:t>mero</w:t>
      </w:r>
      <w:r w:rsidRPr="00D80CCB">
        <w:rPr>
          <w:rFonts w:ascii="Arial" w:eastAsia="Calibri" w:hAnsi="Arial" w:cs="Arial"/>
          <w:color w:val="000000"/>
          <w:sz w:val="22"/>
          <w:szCs w:val="24"/>
          <w:lang w:val="es-ES_tradnl" w:eastAsia="es-ES_tradnl"/>
        </w:rPr>
        <w:t xml:space="preserve"> de datos que compone la muestra contenida en los estudios previos incide significativamente en la calidad del </w:t>
      </w:r>
      <w:r w:rsidR="00006E80" w:rsidRPr="00D80CCB">
        <w:rPr>
          <w:rFonts w:ascii="Arial" w:eastAsia="Calibri" w:hAnsi="Arial" w:cs="Arial"/>
          <w:color w:val="000000"/>
          <w:sz w:val="22"/>
          <w:szCs w:val="24"/>
          <w:lang w:val="es-ES_tradnl" w:eastAsia="es-ES_tradnl"/>
        </w:rPr>
        <w:t>análisis</w:t>
      </w:r>
      <w:r w:rsidRPr="00D80CCB">
        <w:rPr>
          <w:rFonts w:ascii="Arial" w:eastAsia="Calibri" w:hAnsi="Arial" w:cs="Arial"/>
          <w:color w:val="000000"/>
          <w:sz w:val="22"/>
          <w:szCs w:val="24"/>
          <w:lang w:val="es-ES_tradnl" w:eastAsia="es-ES_tradnl"/>
        </w:rPr>
        <w:t xml:space="preserve"> de la </w:t>
      </w:r>
      <w:r w:rsidR="00006E80" w:rsidRPr="00D80CCB">
        <w:rPr>
          <w:rFonts w:ascii="Arial" w:eastAsia="Calibri" w:hAnsi="Arial" w:cs="Arial"/>
          <w:color w:val="000000"/>
          <w:sz w:val="22"/>
          <w:szCs w:val="24"/>
          <w:lang w:val="es-ES_tradnl" w:eastAsia="es-ES_tradnl"/>
        </w:rPr>
        <w:t>información</w:t>
      </w:r>
      <w:r w:rsidRPr="00D80CCB">
        <w:rPr>
          <w:rFonts w:ascii="Arial" w:eastAsia="Calibri" w:hAnsi="Arial" w:cs="Arial"/>
          <w:color w:val="000000"/>
          <w:sz w:val="22"/>
          <w:szCs w:val="24"/>
          <w:lang w:val="es-ES_tradnl" w:eastAsia="es-ES_tradnl"/>
        </w:rPr>
        <w:t xml:space="preserve">, en efecto, entre </w:t>
      </w:r>
      <w:proofErr w:type="gramStart"/>
      <w:r w:rsidRPr="00D80CCB">
        <w:rPr>
          <w:rFonts w:ascii="Arial" w:eastAsia="Calibri" w:hAnsi="Arial" w:cs="Arial"/>
          <w:color w:val="000000"/>
          <w:sz w:val="22"/>
          <w:szCs w:val="24"/>
          <w:lang w:val="es-ES_tradnl" w:eastAsia="es-ES_tradnl"/>
        </w:rPr>
        <w:t xml:space="preserve">mayor </w:t>
      </w:r>
      <w:r w:rsidR="00006E80" w:rsidRPr="00D80CCB">
        <w:rPr>
          <w:rFonts w:ascii="Arial" w:eastAsia="Calibri" w:hAnsi="Arial" w:cs="Arial"/>
          <w:color w:val="000000"/>
          <w:sz w:val="22"/>
          <w:szCs w:val="24"/>
          <w:lang w:val="es-ES_tradnl" w:eastAsia="es-ES_tradnl"/>
        </w:rPr>
        <w:t>información</w:t>
      </w:r>
      <w:proofErr w:type="gramEnd"/>
      <w:r w:rsidRPr="00D80CCB">
        <w:rPr>
          <w:rFonts w:ascii="Arial" w:eastAsia="Calibri" w:hAnsi="Arial" w:cs="Arial"/>
          <w:color w:val="000000"/>
          <w:sz w:val="22"/>
          <w:szCs w:val="24"/>
          <w:lang w:val="es-ES_tradnl" w:eastAsia="es-ES_tradnl"/>
        </w:rPr>
        <w:t xml:space="preserve"> recopile la entidad estatal, mayor solidez ostentarán las condiciones del respectivo análisis.</w:t>
      </w:r>
    </w:p>
    <w:p w14:paraId="1E3F15FA" w14:textId="3337200D" w:rsidR="00D01B09" w:rsidRPr="00D80CCB" w:rsidRDefault="00D01B09" w:rsidP="00D01B09">
      <w:pPr>
        <w:spacing w:after="120" w:line="276" w:lineRule="auto"/>
        <w:ind w:firstLine="709"/>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 xml:space="preserve">De acuerdo con lo anterior, para cada proceso de selección las entidades deberán efectuar los estudios previos proporcionales a las condiciones de la futura contratación, sin desestimar la diversa información que puede incluirse en el análisis respectivo,  recordando que el propósito de los Decretos 399 y 579 de 2021 es propender por la reactivación económica y brindar herramientas adicionales a las entidades estatales para que, «en su deber de planeación y de análisis del sector, determinen los requisitos habilitantes exigibles en sus procedimientos de selección, particularmente, en relación con la capacidad </w:t>
      </w:r>
      <w:r w:rsidRPr="00D80CCB">
        <w:rPr>
          <w:rFonts w:ascii="Arial" w:eastAsia="Calibri" w:hAnsi="Arial" w:cs="Arial"/>
          <w:color w:val="000000"/>
          <w:sz w:val="22"/>
          <w:szCs w:val="24"/>
          <w:lang w:val="es-ES_tradnl" w:eastAsia="es-ES_tradnl"/>
        </w:rPr>
        <w:lastRenderedPageBreak/>
        <w:t xml:space="preserve">financiera y organizacional de los proponentes. Lo anterior, teniendo en cuenta la situación actual derivada de la pandemia del COVID-19», empero, dichos requisitos también deberán </w:t>
      </w:r>
      <w:r w:rsidR="00D80CCB" w:rsidRPr="00D80CCB">
        <w:rPr>
          <w:rFonts w:ascii="Arial" w:eastAsia="Calibri" w:hAnsi="Arial" w:cs="Arial"/>
          <w:color w:val="000000"/>
          <w:sz w:val="22"/>
          <w:szCs w:val="24"/>
          <w:lang w:val="es-ES_tradnl" w:eastAsia="es-ES_tradnl"/>
        </w:rPr>
        <w:t>garantizar la</w:t>
      </w:r>
      <w:r w:rsidRPr="00D80CCB">
        <w:rPr>
          <w:rFonts w:ascii="Arial" w:eastAsia="Calibri" w:hAnsi="Arial" w:cs="Arial"/>
          <w:color w:val="000000"/>
          <w:sz w:val="22"/>
          <w:szCs w:val="24"/>
          <w:lang w:val="es-ES_tradnl" w:eastAsia="es-ES_tradnl"/>
        </w:rPr>
        <w:t xml:space="preserve"> capacidad </w:t>
      </w:r>
      <w:r w:rsidR="006C1B8C" w:rsidRPr="00D80CCB">
        <w:rPr>
          <w:rFonts w:ascii="Arial" w:eastAsia="Calibri" w:hAnsi="Arial" w:cs="Arial"/>
          <w:color w:val="000000"/>
          <w:sz w:val="22"/>
          <w:szCs w:val="24"/>
          <w:lang w:val="es-ES_tradnl" w:eastAsia="es-ES_tradnl"/>
        </w:rPr>
        <w:t>suficiente de</w:t>
      </w:r>
      <w:r w:rsidRPr="00D80CCB">
        <w:rPr>
          <w:rFonts w:ascii="Arial" w:eastAsia="Calibri" w:hAnsi="Arial" w:cs="Arial"/>
          <w:color w:val="000000"/>
          <w:sz w:val="22"/>
          <w:szCs w:val="24"/>
          <w:lang w:val="es-ES_tradnl" w:eastAsia="es-ES_tradnl"/>
        </w:rPr>
        <w:t xml:space="preserve"> los posibles oferentes para dar cumplimiento al futuro contrato.</w:t>
      </w:r>
    </w:p>
    <w:p w14:paraId="6B7375D5" w14:textId="5FB9C3EA" w:rsidR="00D01B09" w:rsidRPr="00D80CCB" w:rsidRDefault="00D01B09" w:rsidP="00D01B09">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«2.</w:t>
      </w:r>
      <w:r w:rsidRPr="00D80CCB">
        <w:rPr>
          <w:rFonts w:ascii="Arial" w:eastAsia="Calibri" w:hAnsi="Arial" w:cs="Arial"/>
          <w:color w:val="000000"/>
          <w:sz w:val="21"/>
          <w:szCs w:val="21"/>
          <w:lang w:val="es-ES_tradnl" w:eastAsia="es-ES_tradnl"/>
        </w:rPr>
        <w:tab/>
        <w:t>En el caso donde se presentan figuras asociativas como consorcios y uniones temporales, donde cada integrante tiene un porcentaje de participación, ¿La ponderación de sus indicadores financieros debe hacerse comparándolos en la misma vigencia cumpliendo con el principio de uniformidad y el valor del dinero en el tiempo, o se debe comparar con el resultado más favorable para cada de sus asociados, uno independiente si la vigencia de cada uno es diferente? Por ejemplo, en la unión temporal ficta conformada por los proponentes A&amp;B, ¿se podría evaluar la liquidez de A durante la vigencia 2018 y la liquidez de B durante la vigencia 2020 y ponderando estos dos datos?»</w:t>
      </w:r>
    </w:p>
    <w:p w14:paraId="477C5102" w14:textId="77777777" w:rsidR="00D01B09" w:rsidRPr="00D80CCB" w:rsidRDefault="00D01B09" w:rsidP="00D01B09">
      <w:pPr>
        <w:spacing w:line="276" w:lineRule="auto"/>
        <w:jc w:val="both"/>
        <w:rPr>
          <w:rFonts w:ascii="Arial" w:eastAsia="Calibri" w:hAnsi="Arial" w:cs="Arial"/>
          <w:color w:val="000000"/>
          <w:sz w:val="22"/>
          <w:szCs w:val="24"/>
          <w:lang w:val="es-ES_tradnl" w:eastAsia="es-ES_tradnl"/>
        </w:rPr>
      </w:pPr>
    </w:p>
    <w:p w14:paraId="25564922" w14:textId="77777777" w:rsidR="00D80CCB" w:rsidRPr="00D80CCB" w:rsidRDefault="00D01B09" w:rsidP="00D80CCB">
      <w:pPr>
        <w:spacing w:after="120" w:line="276" w:lineRule="auto"/>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 xml:space="preserve">Si bien, como regla general para la evaluación de proponentes personas naturales o jurídicas - no plurales -, la verificación de los indicadores de capacidad financiera y organizacional se efectuará por las entidades contratantes dentro de un año fiscal que resulte ser el mejor de los reflejados en el RUP, sin la posibilidad de seleccionar indicadores de diferentes vigencias; dado que los consorcios y las uniones temporales carecen de RUP, y que el artículo 2.2.1.1.1.6.2 del Decreto 1082 del 2015 aplica tanto a proponentes individuales como a proponentes plurales, cuando la norma se refiere a que «[…] las Entidades Estatales evaluarán estos indicadores, teniendo en cuenta el mejor año fiscal que se refleje en el registro de cada proponente», es necesario aplicar excepcionalmente los efectos de esta última expresión a los miembros del consorcio o la unión temporal que cuenten con la información vigente y en firme en el RUP.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38DE5C94" w14:textId="7929DD27" w:rsidR="00D80CCB" w:rsidRPr="00D80CCB" w:rsidRDefault="00D01B09" w:rsidP="006C1B8C">
      <w:pPr>
        <w:spacing w:after="120" w:line="276" w:lineRule="auto"/>
        <w:ind w:firstLine="709"/>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En suma, la totalidad de los indicadores de cada integrante del proponente plural se seleccionarán dentro del mejor año fiscal que se identifique particularmente, en efecto, no será viable mezclar indicadores de diferentes vigencias individualmente.  Empero, excepcionalmente y para efectos de la aplicación de la normativa referida, no necesariamente deberá coincidir «el mejor año fiscal» seleccionado para cada integrante, en consecuencia, la evaluación de los indicadores financieros y organizaciones se debe realizar con el mejor año fiscal que se refleje en el RUP de cada uno de los integrantes del consorcio o la unión temporal, pues son ellos quienes cuentan con dicho registro.</w:t>
      </w:r>
    </w:p>
    <w:p w14:paraId="5A9448AB" w14:textId="77777777" w:rsidR="00D80CCB" w:rsidRPr="00D80CCB" w:rsidRDefault="00D80CCB" w:rsidP="00D80CCB">
      <w:pPr>
        <w:spacing w:line="276" w:lineRule="auto"/>
        <w:jc w:val="both"/>
        <w:rPr>
          <w:rFonts w:ascii="Arial" w:eastAsia="Calibri" w:hAnsi="Arial" w:cs="Arial"/>
          <w:color w:val="000000"/>
          <w:sz w:val="22"/>
          <w:szCs w:val="24"/>
          <w:lang w:val="es-ES_tradnl" w:eastAsia="es-ES_tradnl"/>
        </w:rPr>
      </w:pPr>
    </w:p>
    <w:p w14:paraId="629CA220" w14:textId="52EFF4EF" w:rsidR="00D36E83" w:rsidRPr="00D80CCB" w:rsidRDefault="00D36E83" w:rsidP="00D80CCB">
      <w:pPr>
        <w:spacing w:line="276" w:lineRule="auto"/>
        <w:jc w:val="both"/>
        <w:rPr>
          <w:rFonts w:ascii="Arial" w:eastAsia="Calibri" w:hAnsi="Arial" w:cs="Arial"/>
          <w:color w:val="000000"/>
          <w:sz w:val="22"/>
          <w:szCs w:val="24"/>
          <w:lang w:val="es-ES_tradnl" w:eastAsia="es-ES_tradnl"/>
        </w:rPr>
      </w:pPr>
      <w:r w:rsidRPr="00D80CCB">
        <w:rPr>
          <w:rFonts w:ascii="Arial" w:eastAsia="Times New Roman" w:hAnsi="Arial" w:cs="Arial"/>
          <w:color w:val="000000"/>
          <w:sz w:val="22"/>
          <w:szCs w:val="24"/>
          <w:lang w:val="es-ES_tradnl" w:eastAsia="es-ES_tradnl"/>
        </w:rPr>
        <w:t>Este concepto tiene el alcance previsto en el artículo 28 del Código de Procedimiento Administrativo y de lo Contencioso Administrativo.</w:t>
      </w:r>
    </w:p>
    <w:p w14:paraId="2E0485E9" w14:textId="77777777" w:rsidR="00D36E83" w:rsidRPr="00D80CCB" w:rsidRDefault="00D36E83" w:rsidP="00D36E83">
      <w:pPr>
        <w:spacing w:line="276" w:lineRule="auto"/>
        <w:jc w:val="both"/>
        <w:rPr>
          <w:rFonts w:ascii="Arial" w:eastAsia="Times New Roman" w:hAnsi="Arial" w:cs="Arial"/>
          <w:color w:val="000000"/>
          <w:sz w:val="22"/>
          <w:szCs w:val="24"/>
          <w:lang w:val="es-ES_tradnl" w:eastAsia="es-ES_tradnl"/>
        </w:rPr>
      </w:pPr>
    </w:p>
    <w:p w14:paraId="7E91FEC7" w14:textId="77777777" w:rsidR="00D36E83" w:rsidRPr="00D80CCB" w:rsidRDefault="00D36E83" w:rsidP="00D36E83">
      <w:pPr>
        <w:spacing w:line="276" w:lineRule="auto"/>
        <w:ind w:firstLine="709"/>
        <w:jc w:val="both"/>
        <w:rPr>
          <w:rFonts w:ascii="Arial" w:eastAsia="Times New Roman" w:hAnsi="Arial" w:cs="Arial"/>
          <w:color w:val="000000"/>
          <w:sz w:val="22"/>
          <w:lang w:val="es-ES_tradnl" w:eastAsia="es-CO"/>
        </w:rPr>
      </w:pPr>
    </w:p>
    <w:p w14:paraId="41E80EE8" w14:textId="77777777" w:rsidR="00D36E83" w:rsidRPr="00D80CCB" w:rsidRDefault="00D36E83" w:rsidP="00BB4AE6">
      <w:pPr>
        <w:spacing w:line="276" w:lineRule="auto"/>
        <w:jc w:val="both"/>
        <w:rPr>
          <w:rFonts w:ascii="Arial" w:eastAsia="Times New Roman" w:hAnsi="Arial" w:cs="Arial"/>
          <w:color w:val="000000"/>
          <w:sz w:val="22"/>
          <w:lang w:val="es-ES_tradnl" w:eastAsia="es-CO"/>
        </w:rPr>
      </w:pPr>
      <w:r w:rsidRPr="00D80CCB">
        <w:rPr>
          <w:rFonts w:ascii="Arial" w:eastAsia="Times New Roman" w:hAnsi="Arial" w:cs="Arial"/>
          <w:color w:val="000000"/>
          <w:sz w:val="22"/>
          <w:lang w:val="es-ES_tradnl" w:eastAsia="es-CO"/>
        </w:rPr>
        <w:t>Atentamente,</w:t>
      </w:r>
    </w:p>
    <w:p w14:paraId="0DB47975" w14:textId="0F6E9E94" w:rsidR="00D36E83" w:rsidRDefault="00D36E83" w:rsidP="00D36E83">
      <w:pPr>
        <w:ind w:firstLine="709"/>
        <w:jc w:val="center"/>
        <w:rPr>
          <w:rFonts w:ascii="Arial" w:eastAsia="Times New Roman" w:hAnsi="Arial" w:cs="Arial"/>
          <w:sz w:val="22"/>
          <w:szCs w:val="24"/>
          <w:lang w:val="es-CO" w:eastAsia="es-CO"/>
        </w:rPr>
      </w:pPr>
    </w:p>
    <w:p w14:paraId="21C653E8" w14:textId="34300214" w:rsidR="00DE4DF2" w:rsidRDefault="00DE4DF2" w:rsidP="00D36E83">
      <w:pPr>
        <w:ind w:firstLine="709"/>
        <w:jc w:val="center"/>
        <w:rPr>
          <w:rFonts w:ascii="Arial" w:eastAsia="Times New Roman" w:hAnsi="Arial" w:cs="Arial"/>
          <w:sz w:val="22"/>
          <w:szCs w:val="24"/>
          <w:lang w:val="es-CO" w:eastAsia="es-CO"/>
        </w:rPr>
      </w:pPr>
    </w:p>
    <w:p w14:paraId="30CC97AD" w14:textId="33E39C98" w:rsidR="00DE4DF2" w:rsidRPr="00D80CCB" w:rsidRDefault="00DE4DF2" w:rsidP="00DE4DF2">
      <w:pPr>
        <w:ind w:firstLine="709"/>
        <w:jc w:val="center"/>
        <w:rPr>
          <w:rFonts w:ascii="Arial" w:eastAsia="Times New Roman" w:hAnsi="Arial" w:cs="Arial"/>
          <w:sz w:val="22"/>
          <w:szCs w:val="24"/>
          <w:lang w:val="es-CO" w:eastAsia="es-CO"/>
        </w:rPr>
      </w:pPr>
      <w:r w:rsidRPr="00A02DEF">
        <w:rPr>
          <w:rFonts w:ascii="Arial" w:hAnsi="Arial" w:cs="Arial"/>
          <w:noProof/>
          <w:lang w:val="es-CO" w:eastAsia="es-CO"/>
        </w:rPr>
        <w:drawing>
          <wp:inline distT="0" distB="0" distL="0" distR="0" wp14:anchorId="3DFB3767" wp14:editId="69894F7E">
            <wp:extent cx="2514600" cy="120967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209675"/>
                    </a:xfrm>
                    <a:prstGeom prst="rect">
                      <a:avLst/>
                    </a:prstGeom>
                  </pic:spPr>
                </pic:pic>
              </a:graphicData>
            </a:graphic>
          </wp:inline>
        </w:drawing>
      </w:r>
    </w:p>
    <w:p w14:paraId="4A088766" w14:textId="77777777" w:rsidR="00D80CCB" w:rsidRPr="00D80CCB" w:rsidRDefault="00D80CCB" w:rsidP="00D36E83">
      <w:pPr>
        <w:ind w:firstLine="709"/>
        <w:jc w:val="center"/>
        <w:rPr>
          <w:rFonts w:ascii="Arial" w:eastAsia="Times New Roman" w:hAnsi="Arial" w:cs="Arial"/>
          <w:sz w:val="22"/>
          <w:szCs w:val="24"/>
          <w:lang w:val="es-CO" w:eastAsia="es-CO"/>
        </w:rPr>
      </w:pPr>
    </w:p>
    <w:p w14:paraId="5FA43E2A" w14:textId="77777777" w:rsidR="00D36E83" w:rsidRPr="00D80CCB" w:rsidRDefault="00D36E83" w:rsidP="00D36E83">
      <w:pPr>
        <w:ind w:firstLine="709"/>
        <w:rPr>
          <w:rFonts w:ascii="Arial" w:eastAsia="Times New Roman" w:hAnsi="Arial" w:cs="Arial"/>
          <w:sz w:val="22"/>
          <w:szCs w:val="24"/>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66"/>
      </w:tblGrid>
      <w:tr w:rsidR="00D80CCB" w:rsidRPr="00D80CCB" w14:paraId="4A0CA657" w14:textId="77777777" w:rsidTr="00C46988">
        <w:trPr>
          <w:trHeight w:val="318"/>
        </w:trPr>
        <w:tc>
          <w:tcPr>
            <w:tcW w:w="882" w:type="dxa"/>
            <w:vAlign w:val="center"/>
            <w:hideMark/>
          </w:tcPr>
          <w:p w14:paraId="36B84F6C"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Elaboró:</w:t>
            </w:r>
          </w:p>
        </w:tc>
        <w:tc>
          <w:tcPr>
            <w:tcW w:w="4766" w:type="dxa"/>
            <w:tcBorders>
              <w:top w:val="nil"/>
              <w:left w:val="nil"/>
              <w:bottom w:val="dotted" w:sz="4" w:space="0" w:color="7F7F7F" w:themeColor="text1" w:themeTint="80"/>
              <w:right w:val="nil"/>
            </w:tcBorders>
            <w:vAlign w:val="center"/>
            <w:hideMark/>
          </w:tcPr>
          <w:p w14:paraId="57CBC07E"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eastAsia="es-CO"/>
              </w:rPr>
              <w:t>Alfredo Benavides Zarate</w:t>
            </w:r>
          </w:p>
          <w:p w14:paraId="3EA48EF2"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Contratista de la Subdirección de Gestión Contractual</w:t>
            </w:r>
          </w:p>
        </w:tc>
      </w:tr>
      <w:tr w:rsidR="00D80CCB" w:rsidRPr="00D80CCB" w14:paraId="7F2F1F36" w14:textId="77777777" w:rsidTr="00C46988">
        <w:trPr>
          <w:trHeight w:val="334"/>
        </w:trPr>
        <w:tc>
          <w:tcPr>
            <w:tcW w:w="882" w:type="dxa"/>
            <w:vAlign w:val="center"/>
            <w:hideMark/>
          </w:tcPr>
          <w:p w14:paraId="62563BEF"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Revisó: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214621FC" w14:textId="77777777" w:rsidR="00D80CCB" w:rsidRPr="00D80CCB" w:rsidRDefault="00D80CCB" w:rsidP="00C46988">
            <w:pPr>
              <w:jc w:val="both"/>
              <w:rPr>
                <w:rFonts w:ascii="Arial" w:hAnsi="Arial" w:cs="Arial"/>
                <w:color w:val="000000"/>
                <w:sz w:val="16"/>
                <w:szCs w:val="16"/>
                <w:lang w:val="es-ES_tradnl" w:eastAsia="es-ES"/>
              </w:rPr>
            </w:pPr>
            <w:r w:rsidRPr="00D80CCB">
              <w:rPr>
                <w:rFonts w:ascii="Arial" w:hAnsi="Arial" w:cs="Arial"/>
                <w:color w:val="000000"/>
                <w:sz w:val="16"/>
                <w:szCs w:val="16"/>
                <w:lang w:val="es-ES_tradnl" w:eastAsia="es-ES"/>
              </w:rPr>
              <w:t>Alejandro Sarmiento Cantillo</w:t>
            </w:r>
          </w:p>
          <w:p w14:paraId="1A927214"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sz w:val="16"/>
                <w:szCs w:val="16"/>
                <w:lang w:val="es-ES_tradnl" w:eastAsia="es-ES"/>
              </w:rPr>
              <w:t>Gestor T1-11 de la Subdirección de Gestión Contractual</w:t>
            </w:r>
          </w:p>
        </w:tc>
      </w:tr>
      <w:tr w:rsidR="00D80CCB" w:rsidRPr="00B30798" w14:paraId="7A1D64E1" w14:textId="77777777" w:rsidTr="00C46988">
        <w:trPr>
          <w:trHeight w:val="303"/>
        </w:trPr>
        <w:tc>
          <w:tcPr>
            <w:tcW w:w="882" w:type="dxa"/>
            <w:vAlign w:val="center"/>
            <w:hideMark/>
          </w:tcPr>
          <w:p w14:paraId="4DCD526D"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Aprobó: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58E00A85"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Jorge Augusto Tirado Navarro</w:t>
            </w:r>
          </w:p>
          <w:p w14:paraId="260071E0" w14:textId="77777777" w:rsidR="00D80CCB" w:rsidRPr="00B30798"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Subdirector de Gestión Contractual ANCP – CCE</w:t>
            </w:r>
          </w:p>
        </w:tc>
      </w:tr>
    </w:tbl>
    <w:p w14:paraId="3AF1C818" w14:textId="57BC3727" w:rsidR="00D36E83" w:rsidRPr="00D80CCB" w:rsidRDefault="00D36E83" w:rsidP="00D36E83">
      <w:pPr>
        <w:tabs>
          <w:tab w:val="left" w:pos="0"/>
        </w:tabs>
        <w:jc w:val="both"/>
        <w:rPr>
          <w:rFonts w:ascii="Arial" w:eastAsia="Times New Roman" w:hAnsi="Arial" w:cs="Arial"/>
          <w:sz w:val="22"/>
          <w:szCs w:val="24"/>
          <w:lang w:val="pl-PL" w:eastAsia="es-CO"/>
        </w:rPr>
      </w:pPr>
    </w:p>
    <w:p w14:paraId="085A31AB" w14:textId="77777777" w:rsidR="006C5955" w:rsidRPr="00D36E83" w:rsidRDefault="006C5955" w:rsidP="00D36E83"/>
    <w:p w14:paraId="5BC7432D" w14:textId="77777777" w:rsidR="00D01B09" w:rsidRPr="00D36E83" w:rsidRDefault="00D01B09"/>
    <w:sectPr w:rsidR="00D01B09" w:rsidRPr="00D36E83"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E6E7" w14:textId="77777777" w:rsidR="00B721A3" w:rsidRDefault="00B721A3" w:rsidP="008C487C">
      <w:r>
        <w:separator/>
      </w:r>
    </w:p>
  </w:endnote>
  <w:endnote w:type="continuationSeparator" w:id="0">
    <w:p w14:paraId="04F0FEE9" w14:textId="77777777" w:rsidR="00B721A3" w:rsidRDefault="00B721A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C11BCD" w:rsidRDefault="00C11BCD" w:rsidP="0043588C">
    <w:pPr>
      <w:pStyle w:val="Sinespaciado"/>
      <w:jc w:val="right"/>
      <w:rPr>
        <w:rFonts w:ascii="Arial" w:hAnsi="Arial" w:cs="Arial"/>
        <w:sz w:val="18"/>
        <w:szCs w:val="18"/>
      </w:rPr>
    </w:pPr>
  </w:p>
  <w:p w14:paraId="709352A1" w14:textId="77777777" w:rsidR="00C11BCD" w:rsidRDefault="00C11BCD" w:rsidP="0043588C">
    <w:pPr>
      <w:pStyle w:val="Sinespaciado"/>
      <w:jc w:val="right"/>
      <w:rPr>
        <w:rFonts w:ascii="Arial" w:hAnsi="Arial" w:cs="Arial"/>
        <w:sz w:val="18"/>
        <w:szCs w:val="18"/>
      </w:rPr>
    </w:pPr>
  </w:p>
  <w:p w14:paraId="3D3EB348" w14:textId="39D1E702" w:rsidR="00C11BCD" w:rsidRPr="00D36E83" w:rsidRDefault="00C11BCD" w:rsidP="0043588C">
    <w:pPr>
      <w:pStyle w:val="Piedepgina"/>
      <w:jc w:val="right"/>
      <w:rPr>
        <w:rFonts w:ascii="Arial" w:hAnsi="Arial" w:cs="Arial"/>
        <w:color w:val="7F7F7F"/>
        <w:sz w:val="16"/>
        <w:szCs w:val="16"/>
      </w:rPr>
    </w:pPr>
    <w:r w:rsidRPr="00D36E83">
      <w:rPr>
        <w:rFonts w:ascii="Arial" w:hAnsi="Arial" w:cs="Arial"/>
        <w:bCs/>
        <w:color w:val="7F7F7F"/>
        <w:sz w:val="16"/>
        <w:szCs w:val="16"/>
      </w:rPr>
      <w:t xml:space="preserve">Página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PAGE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3</w:t>
    </w:r>
    <w:r w:rsidRPr="00D36E83">
      <w:rPr>
        <w:rFonts w:ascii="Arial" w:hAnsi="Arial" w:cs="Arial"/>
        <w:b/>
        <w:bCs/>
        <w:color w:val="7F7F7F"/>
        <w:sz w:val="16"/>
        <w:szCs w:val="16"/>
      </w:rPr>
      <w:fldChar w:fldCharType="end"/>
    </w:r>
    <w:r w:rsidRPr="00D36E83">
      <w:rPr>
        <w:rFonts w:ascii="Arial" w:hAnsi="Arial" w:cs="Arial"/>
        <w:color w:val="7F7F7F"/>
        <w:sz w:val="16"/>
        <w:szCs w:val="16"/>
      </w:rPr>
      <w:t xml:space="preserve"> de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NUMPAGES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12</w:t>
    </w:r>
    <w:r w:rsidRPr="00D36E83">
      <w:rPr>
        <w:rFonts w:ascii="Arial" w:hAnsi="Arial" w:cs="Arial"/>
        <w:b/>
        <w:bCs/>
        <w:color w:val="7F7F7F"/>
        <w:sz w:val="16"/>
        <w:szCs w:val="16"/>
      </w:rPr>
      <w:fldChar w:fldCharType="end"/>
    </w:r>
  </w:p>
  <w:p w14:paraId="29709EEF" w14:textId="77777777" w:rsidR="00C11BCD" w:rsidRDefault="00C11BCD"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C11BCD" w:rsidRPr="00E756AC" w:rsidRDefault="00C11BCD" w:rsidP="0043588C">
    <w:pPr>
      <w:pStyle w:val="Piedepgina"/>
      <w:jc w:val="center"/>
      <w:rPr>
        <w:sz w:val="18"/>
        <w:szCs w:val="18"/>
        <w:lang w:val="es-ES"/>
      </w:rPr>
    </w:pPr>
  </w:p>
  <w:p w14:paraId="428179B1" w14:textId="77777777" w:rsidR="00C11BCD" w:rsidRPr="00E756AC" w:rsidRDefault="00C11BCD"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7FBC" w14:textId="77777777" w:rsidR="00B721A3" w:rsidRDefault="00B721A3" w:rsidP="008C487C">
      <w:r>
        <w:separator/>
      </w:r>
    </w:p>
  </w:footnote>
  <w:footnote w:type="continuationSeparator" w:id="0">
    <w:p w14:paraId="5F77306A" w14:textId="77777777" w:rsidR="00B721A3" w:rsidRDefault="00B721A3" w:rsidP="008C487C">
      <w:r>
        <w:continuationSeparator/>
      </w:r>
    </w:p>
  </w:footnote>
  <w:footnote w:id="1">
    <w:p w14:paraId="28B64852" w14:textId="77777777" w:rsidR="00035726" w:rsidRPr="00F213E7" w:rsidRDefault="00035726" w:rsidP="00035726">
      <w:pPr>
        <w:spacing w:after="120" w:line="276" w:lineRule="auto"/>
        <w:ind w:firstLine="709"/>
        <w:jc w:val="both"/>
        <w:rPr>
          <w:rFonts w:ascii="Arial" w:eastAsia="Calibri" w:hAnsi="Arial" w:cs="Arial"/>
          <w:color w:val="000000" w:themeColor="text1"/>
          <w:sz w:val="19"/>
          <w:szCs w:val="19"/>
          <w:lang w:val="es-ES_tradnl"/>
        </w:rPr>
      </w:pPr>
      <w:r w:rsidRPr="00F213E7">
        <w:rPr>
          <w:rStyle w:val="Refdenotaalpie"/>
          <w:rFonts w:ascii="Arial" w:hAnsi="Arial" w:cs="Arial"/>
          <w:sz w:val="19"/>
          <w:szCs w:val="19"/>
        </w:rPr>
        <w:footnoteRef/>
      </w:r>
      <w:r w:rsidRPr="00F213E7">
        <w:rPr>
          <w:rFonts w:ascii="Arial" w:hAnsi="Arial" w:cs="Arial"/>
          <w:sz w:val="19"/>
          <w:szCs w:val="19"/>
        </w:rPr>
        <w:t xml:space="preserve"> </w:t>
      </w:r>
      <w:r w:rsidRPr="00F213E7">
        <w:rPr>
          <w:rFonts w:ascii="Arial" w:eastAsia="Calibri" w:hAnsi="Arial" w:cs="Arial"/>
          <w:color w:val="000000" w:themeColor="text1"/>
          <w:sz w:val="19"/>
          <w:szCs w:val="19"/>
          <w:lang w:val="es-ES_tradnl"/>
        </w:rPr>
        <w:t xml:space="preserve">La </w:t>
      </w:r>
      <w:r w:rsidRPr="00142F24">
        <w:rPr>
          <w:rFonts w:ascii="Arial" w:eastAsia="Calibri" w:hAnsi="Arial" w:cs="Arial"/>
          <w:color w:val="000000" w:themeColor="text1"/>
          <w:sz w:val="19"/>
          <w:szCs w:val="19"/>
          <w:lang w:val="es-ES_tradnl"/>
        </w:rPr>
        <w:t>Agencia Nacional de Contratación Pública – Colombia Compra Eficiente se ha pronunciado sobre el deber de elaborar análisis del sector y su regulación en el Estatuto General de Contratación de la Administración Pública, mediante los conceptos 2202013000000037 del 7 de enero de 2020, C-223 del 29 de abril de 2020, C-387 del 23 de junio de 2020, C-443 del 7 de julio de 2020, C – 148 de 2021 y C- 215 del 21 de mayo de 2021.</w:t>
      </w:r>
      <w:r w:rsidRPr="00F213E7">
        <w:rPr>
          <w:rFonts w:ascii="Arial" w:eastAsia="Calibri" w:hAnsi="Arial" w:cs="Arial"/>
          <w:color w:val="000000" w:themeColor="text1"/>
          <w:sz w:val="19"/>
          <w:szCs w:val="19"/>
          <w:lang w:val="es-ES_tradnl"/>
        </w:rPr>
        <w:t xml:space="preserve"> </w:t>
      </w:r>
    </w:p>
    <w:p w14:paraId="740139DE" w14:textId="77777777" w:rsidR="00035726" w:rsidRPr="00F213E7" w:rsidRDefault="00035726" w:rsidP="00035726">
      <w:pPr>
        <w:pStyle w:val="Textonotapie"/>
        <w:rPr>
          <w:rFonts w:ascii="Arial" w:hAnsi="Arial" w:cs="Arial"/>
          <w:sz w:val="19"/>
          <w:szCs w:val="19"/>
          <w:lang w:val="es-ES_tradnl"/>
        </w:rPr>
      </w:pPr>
    </w:p>
  </w:footnote>
  <w:footnote w:id="2">
    <w:p w14:paraId="6E15EFCF" w14:textId="77777777" w:rsidR="00035726" w:rsidRDefault="00035726" w:rsidP="00035726">
      <w:pPr>
        <w:ind w:firstLine="709"/>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position w:val="6"/>
          <w:sz w:val="19"/>
          <w:szCs w:val="19"/>
        </w:rPr>
        <w:t xml:space="preserve"> </w:t>
      </w:r>
      <w:r w:rsidRPr="00F213E7">
        <w:rPr>
          <w:rFonts w:ascii="Arial" w:hAnsi="Arial" w:cs="Arial"/>
          <w:sz w:val="19"/>
          <w:szCs w:val="19"/>
        </w:rPr>
        <w:t>DEIK ACOSTAMADIEDO, Carolina, Guía de Contratación Estatal: Deber de planeación y modalidades de selección, Buenos Aires, 2015, p. 59.</w:t>
      </w:r>
    </w:p>
    <w:p w14:paraId="5A9DC345" w14:textId="77777777" w:rsidR="00035726" w:rsidRPr="00F213E7" w:rsidRDefault="00035726" w:rsidP="00035726">
      <w:pPr>
        <w:ind w:firstLine="709"/>
        <w:rPr>
          <w:rFonts w:ascii="Arial" w:hAnsi="Arial" w:cs="Arial"/>
          <w:sz w:val="19"/>
          <w:szCs w:val="19"/>
        </w:rPr>
      </w:pPr>
    </w:p>
  </w:footnote>
  <w:footnote w:id="3">
    <w:p w14:paraId="71591DA2" w14:textId="77777777" w:rsidR="00035726" w:rsidRPr="00F213E7" w:rsidRDefault="00035726" w:rsidP="00035726">
      <w:pPr>
        <w:pStyle w:val="Textonotapie"/>
        <w:tabs>
          <w:tab w:val="left" w:pos="910"/>
        </w:tabs>
        <w:ind w:firstLine="709"/>
        <w:jc w:val="both"/>
        <w:rPr>
          <w:rFonts w:ascii="Arial" w:hAnsi="Arial" w:cs="Arial"/>
          <w:sz w:val="19"/>
          <w:szCs w:val="19"/>
          <w:lang w:val="es-CO"/>
        </w:rPr>
      </w:pPr>
      <w:r w:rsidRPr="00F213E7">
        <w:rPr>
          <w:rStyle w:val="Refdenotaalpie"/>
          <w:rFonts w:ascii="Arial" w:hAnsi="Arial" w:cs="Arial"/>
          <w:sz w:val="19"/>
          <w:szCs w:val="19"/>
        </w:rPr>
        <w:footnoteRef/>
      </w:r>
      <w:r w:rsidRPr="00F213E7">
        <w:rPr>
          <w:rFonts w:ascii="Arial" w:hAnsi="Arial" w:cs="Arial"/>
          <w:sz w:val="19"/>
          <w:szCs w:val="19"/>
          <w:lang w:val="es-ES_tradnl"/>
        </w:rPr>
        <w:tab/>
      </w:r>
      <w:r w:rsidRPr="00F213E7">
        <w:rPr>
          <w:rFonts w:ascii="Arial" w:hAnsi="Arial" w:cs="Arial"/>
          <w:sz w:val="19"/>
          <w:szCs w:val="19"/>
          <w:lang w:val="es-CO"/>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02D2BB74" w14:textId="77777777" w:rsidR="00035726" w:rsidRPr="00F213E7" w:rsidRDefault="00035726" w:rsidP="00035726">
      <w:pPr>
        <w:pStyle w:val="Textonotapie"/>
        <w:tabs>
          <w:tab w:val="left" w:pos="910"/>
        </w:tabs>
        <w:jc w:val="both"/>
        <w:rPr>
          <w:rFonts w:ascii="Arial" w:hAnsi="Arial" w:cs="Arial"/>
          <w:sz w:val="19"/>
          <w:szCs w:val="19"/>
          <w:lang w:val="es-CO"/>
        </w:rPr>
      </w:pPr>
      <w:r w:rsidRPr="00F213E7">
        <w:rPr>
          <w:rFonts w:ascii="Arial" w:hAnsi="Arial" w:cs="Arial"/>
          <w:sz w:val="19"/>
          <w:szCs w:val="19"/>
          <w:lang w:val="es-CO"/>
        </w:rPr>
        <w:t>[…]</w:t>
      </w:r>
    </w:p>
    <w:p w14:paraId="696DFE52" w14:textId="77777777" w:rsidR="00035726" w:rsidRPr="00F213E7" w:rsidRDefault="00035726" w:rsidP="00035726">
      <w:pPr>
        <w:pStyle w:val="Textonotapie"/>
        <w:tabs>
          <w:tab w:val="left" w:pos="910"/>
        </w:tabs>
        <w:jc w:val="both"/>
        <w:rPr>
          <w:rFonts w:ascii="Arial" w:hAnsi="Arial" w:cs="Arial"/>
          <w:sz w:val="19"/>
          <w:szCs w:val="19"/>
          <w:lang w:val="es-CO"/>
        </w:rPr>
      </w:pPr>
      <w:r w:rsidRPr="00F213E7">
        <w:rPr>
          <w:rFonts w:ascii="Arial" w:hAnsi="Arial" w:cs="Arial"/>
          <w:sz w:val="19"/>
          <w:szCs w:val="19"/>
          <w:lang w:val="es-CO"/>
        </w:rPr>
        <w:t xml:space="preserve">5. Los criterios para seleccionar la oferta más favorable. </w:t>
      </w:r>
    </w:p>
    <w:p w14:paraId="3BC27DF0" w14:textId="77777777" w:rsidR="00035726" w:rsidRPr="00F213E7" w:rsidRDefault="00035726" w:rsidP="00035726">
      <w:pPr>
        <w:pStyle w:val="Textonotapie"/>
        <w:tabs>
          <w:tab w:val="left" w:pos="910"/>
        </w:tabs>
        <w:jc w:val="both"/>
        <w:rPr>
          <w:rFonts w:ascii="Arial" w:hAnsi="Arial" w:cs="Arial"/>
          <w:sz w:val="19"/>
          <w:szCs w:val="19"/>
          <w:lang w:val="es-CO"/>
        </w:rPr>
      </w:pPr>
      <w:r w:rsidRPr="00F213E7">
        <w:rPr>
          <w:rFonts w:ascii="Arial" w:hAnsi="Arial" w:cs="Arial"/>
          <w:sz w:val="19"/>
          <w:szCs w:val="19"/>
          <w:lang w:val="es-CO"/>
        </w:rPr>
        <w:t>[…]</w:t>
      </w:r>
    </w:p>
    <w:p w14:paraId="2F662B1E" w14:textId="77777777" w:rsidR="00035726" w:rsidRPr="00F213E7" w:rsidRDefault="00035726" w:rsidP="00035726">
      <w:pPr>
        <w:pStyle w:val="Textonotapie"/>
        <w:tabs>
          <w:tab w:val="left" w:pos="910"/>
        </w:tabs>
        <w:rPr>
          <w:rFonts w:ascii="Arial" w:hAnsi="Arial" w:cs="Arial"/>
          <w:sz w:val="19"/>
          <w:szCs w:val="19"/>
          <w:lang w:val="es-CO"/>
        </w:rPr>
      </w:pPr>
    </w:p>
  </w:footnote>
  <w:footnote w:id="4">
    <w:p w14:paraId="0BBF6E8F" w14:textId="00F0ED5A" w:rsidR="00430ED4" w:rsidRPr="006B009F" w:rsidRDefault="00430ED4" w:rsidP="00430ED4">
      <w:pPr>
        <w:ind w:firstLine="709"/>
        <w:jc w:val="both"/>
        <w:rPr>
          <w:rFonts w:ascii="Arial" w:hAnsi="Arial" w:cs="Arial"/>
          <w:color w:val="000000" w:themeColor="text1"/>
          <w:sz w:val="22"/>
        </w:rPr>
      </w:pPr>
      <w:r w:rsidRPr="00430ED4">
        <w:rPr>
          <w:rStyle w:val="Refdenotaalpie"/>
          <w:rFonts w:ascii="Arial" w:hAnsi="Arial" w:cs="Arial"/>
          <w:sz w:val="19"/>
          <w:szCs w:val="19"/>
        </w:rPr>
        <w:footnoteRef/>
      </w:r>
      <w:r w:rsidRPr="00430ED4">
        <w:rPr>
          <w:rFonts w:ascii="Arial" w:hAnsi="Arial" w:cs="Arial"/>
          <w:sz w:val="19"/>
          <w:szCs w:val="19"/>
        </w:rPr>
        <w:t xml:space="preserve"> </w:t>
      </w:r>
      <w:r>
        <w:rPr>
          <w:rFonts w:ascii="Arial" w:hAnsi="Arial" w:cs="Arial"/>
          <w:color w:val="000000" w:themeColor="text1"/>
          <w:sz w:val="19"/>
          <w:szCs w:val="19"/>
          <w:lang w:val="es-ES_tradnl"/>
        </w:rPr>
        <w:t>Cuando l</w:t>
      </w:r>
      <w:r w:rsidRPr="00430ED4">
        <w:rPr>
          <w:rFonts w:ascii="Arial" w:hAnsi="Arial" w:cs="Arial"/>
          <w:color w:val="000000" w:themeColor="text1"/>
          <w:sz w:val="19"/>
          <w:szCs w:val="19"/>
          <w:lang w:val="es-ES_tradnl"/>
        </w:rPr>
        <w:t xml:space="preserve">os procesos de contratación se rigen por documentos tipo, </w:t>
      </w:r>
      <w:r w:rsidRPr="00430ED4">
        <w:rPr>
          <w:rFonts w:ascii="Arial" w:hAnsi="Arial" w:cs="Arial"/>
          <w:color w:val="000000" w:themeColor="text1"/>
          <w:sz w:val="19"/>
          <w:szCs w:val="19"/>
        </w:rPr>
        <w:t xml:space="preserve">como lo ha indicado esta Subdirección en otros pronunciamientos, a pesar de contar con requisitos habilitantes e índices financieros con efectos obligatorios y carácter inalterable, </w:t>
      </w:r>
      <w:r>
        <w:rPr>
          <w:rFonts w:ascii="Arial" w:hAnsi="Arial" w:cs="Arial"/>
          <w:color w:val="000000" w:themeColor="text1"/>
          <w:sz w:val="19"/>
          <w:szCs w:val="19"/>
        </w:rPr>
        <w:t xml:space="preserve">las entidades </w:t>
      </w:r>
      <w:r w:rsidRPr="00430ED4">
        <w:rPr>
          <w:rFonts w:ascii="Arial" w:hAnsi="Arial" w:cs="Arial"/>
          <w:color w:val="000000" w:themeColor="text1"/>
          <w:sz w:val="19"/>
          <w:szCs w:val="19"/>
        </w:rPr>
        <w:t>no se encuentran exent</w:t>
      </w:r>
      <w:r>
        <w:rPr>
          <w:rFonts w:ascii="Arial" w:hAnsi="Arial" w:cs="Arial"/>
          <w:color w:val="000000" w:themeColor="text1"/>
          <w:sz w:val="19"/>
          <w:szCs w:val="19"/>
        </w:rPr>
        <w:t>a</w:t>
      </w:r>
      <w:r w:rsidRPr="00430ED4">
        <w:rPr>
          <w:rFonts w:ascii="Arial" w:hAnsi="Arial" w:cs="Arial"/>
          <w:color w:val="000000" w:themeColor="text1"/>
          <w:sz w:val="19"/>
          <w:szCs w:val="19"/>
        </w:rPr>
        <w:t xml:space="preserve">s de la obligación de realizar un análisis del sector en el que tendrá lugar la contratación. </w:t>
      </w:r>
      <w:r>
        <w:rPr>
          <w:rFonts w:ascii="Arial" w:hAnsi="Arial" w:cs="Arial"/>
          <w:color w:val="000000" w:themeColor="text1"/>
          <w:sz w:val="19"/>
          <w:szCs w:val="19"/>
        </w:rPr>
        <w:t xml:space="preserve">En aplicación de </w:t>
      </w:r>
      <w:r w:rsidRPr="00430ED4">
        <w:rPr>
          <w:rFonts w:ascii="Arial" w:hAnsi="Arial" w:cs="Arial"/>
          <w:color w:val="000000" w:themeColor="text1"/>
          <w:sz w:val="19"/>
          <w:szCs w:val="19"/>
        </w:rPr>
        <w:t xml:space="preserve">los artículos 2.2.1.1.2.1.1 y 2.2.1.1.1.6.1 del Decreto 1082 del 2015, evidenciando el cumplimiento de estos requisitos dentro de los </w:t>
      </w:r>
      <w:r w:rsidRPr="00430ED4">
        <w:rPr>
          <w:rFonts w:ascii="Arial" w:hAnsi="Arial" w:cs="Arial"/>
          <w:i/>
          <w:iCs/>
          <w:color w:val="000000" w:themeColor="text1"/>
          <w:sz w:val="19"/>
          <w:szCs w:val="19"/>
        </w:rPr>
        <w:t>Documentos del Proceso</w:t>
      </w:r>
      <w:r>
        <w:rPr>
          <w:rFonts w:ascii="Arial" w:hAnsi="Arial" w:cs="Arial"/>
          <w:i/>
          <w:iCs/>
          <w:color w:val="000000" w:themeColor="text1"/>
          <w:sz w:val="19"/>
          <w:szCs w:val="19"/>
        </w:rPr>
        <w:t xml:space="preserve">, </w:t>
      </w:r>
      <w:r w:rsidRPr="00430ED4">
        <w:rPr>
          <w:rFonts w:ascii="Arial" w:hAnsi="Arial" w:cs="Arial"/>
          <w:color w:val="000000" w:themeColor="text1"/>
          <w:sz w:val="19"/>
          <w:szCs w:val="19"/>
        </w:rPr>
        <w:t>que incluyen los estudios y documentos previos, el estudio de sector, así como cualquiera de sus anexos</w:t>
      </w:r>
      <w:r>
        <w:rPr>
          <w:rFonts w:ascii="Arial" w:hAnsi="Arial" w:cs="Arial"/>
          <w:color w:val="000000" w:themeColor="text1"/>
          <w:sz w:val="19"/>
          <w:szCs w:val="19"/>
        </w:rPr>
        <w:t>.</w:t>
      </w:r>
    </w:p>
    <w:p w14:paraId="7643122C" w14:textId="4A012865" w:rsidR="00430ED4" w:rsidRPr="00430ED4" w:rsidRDefault="00430ED4">
      <w:pPr>
        <w:pStyle w:val="Textonotapie"/>
        <w:rPr>
          <w:lang w:val="es-ES_tradnl"/>
        </w:rPr>
      </w:pPr>
    </w:p>
  </w:footnote>
  <w:footnote w:id="5">
    <w:p w14:paraId="7889598E" w14:textId="77777777" w:rsidR="00D36E83" w:rsidRPr="00AC7A12" w:rsidRDefault="00D36E83" w:rsidP="00D36E83">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83DA0E9" w14:textId="77777777" w:rsidR="00D36E83" w:rsidRPr="00AC7A12" w:rsidRDefault="00D36E83" w:rsidP="00D36E83">
      <w:pPr>
        <w:pStyle w:val="Textonotapie"/>
        <w:jc w:val="both"/>
        <w:rPr>
          <w:rFonts w:ascii="Arial" w:hAnsi="Arial" w:cs="Arial"/>
          <w:sz w:val="19"/>
          <w:szCs w:val="19"/>
        </w:rPr>
      </w:pPr>
      <w:r w:rsidRPr="00AC7A12">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F52DC17" w14:textId="77777777" w:rsidR="00D36E83" w:rsidRPr="00AC7A12" w:rsidRDefault="00D36E83" w:rsidP="00D36E83">
      <w:pPr>
        <w:pStyle w:val="Textonotapie"/>
        <w:jc w:val="both"/>
        <w:rPr>
          <w:rFonts w:ascii="Arial" w:hAnsi="Arial" w:cs="Arial"/>
          <w:sz w:val="19"/>
          <w:szCs w:val="19"/>
        </w:rPr>
      </w:pPr>
      <w:r w:rsidRPr="00AC7A12">
        <w:rPr>
          <w:rFonts w:ascii="Arial" w:hAnsi="Arial" w:cs="Arial"/>
          <w:sz w:val="19"/>
          <w:szCs w:val="19"/>
        </w:rPr>
        <w:t>»[...]».</w:t>
      </w:r>
    </w:p>
    <w:p w14:paraId="28D24934" w14:textId="77777777" w:rsidR="00D36E83" w:rsidRPr="00AC7A12" w:rsidRDefault="00D36E83" w:rsidP="00D36E83">
      <w:pPr>
        <w:pStyle w:val="Textonotapie"/>
        <w:jc w:val="both"/>
        <w:rPr>
          <w:rFonts w:ascii="Arial" w:hAnsi="Arial" w:cs="Arial"/>
          <w:sz w:val="19"/>
          <w:szCs w:val="19"/>
          <w:lang w:val="es-ES"/>
        </w:rPr>
      </w:pPr>
    </w:p>
  </w:footnote>
  <w:footnote w:id="6">
    <w:p w14:paraId="264F2AA1" w14:textId="77777777" w:rsidR="00D36E83" w:rsidRPr="00AC7A12" w:rsidRDefault="00D36E83" w:rsidP="006C1B8C">
      <w:pPr>
        <w:pStyle w:val="Textonotapie"/>
        <w:ind w:firstLine="708"/>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6233B0E" w14:textId="77777777" w:rsidR="00D36E83" w:rsidRPr="00AC7A12" w:rsidRDefault="00D36E83" w:rsidP="00D36E83">
      <w:pPr>
        <w:pStyle w:val="Textonotapie"/>
        <w:jc w:val="both"/>
        <w:rPr>
          <w:rFonts w:ascii="Arial" w:hAnsi="Arial" w:cs="Arial"/>
          <w:sz w:val="19"/>
          <w:szCs w:val="19"/>
          <w:lang w:val="es-ES"/>
        </w:rPr>
      </w:pPr>
    </w:p>
  </w:footnote>
  <w:footnote w:id="7">
    <w:p w14:paraId="509D5663" w14:textId="77777777" w:rsidR="00D36E83" w:rsidRPr="00AC7A12" w:rsidRDefault="00D36E83" w:rsidP="006C1B8C">
      <w:pPr>
        <w:pStyle w:val="Textonotapie"/>
        <w:ind w:firstLine="708"/>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Disponible en:</w:t>
      </w:r>
    </w:p>
    <w:p w14:paraId="3F07E6B0" w14:textId="77777777" w:rsidR="00D36E83" w:rsidRPr="00AC7A12" w:rsidRDefault="00D36E83" w:rsidP="00D36E83">
      <w:pPr>
        <w:pStyle w:val="Textonotapie"/>
        <w:jc w:val="both"/>
        <w:rPr>
          <w:rFonts w:ascii="Arial" w:hAnsi="Arial" w:cs="Arial"/>
          <w:sz w:val="19"/>
          <w:szCs w:val="19"/>
          <w:lang w:val="es-ES"/>
        </w:rPr>
      </w:pPr>
      <w:r w:rsidRPr="00AC7A12">
        <w:rPr>
          <w:rFonts w:ascii="Arial" w:hAnsi="Arial" w:cs="Arial"/>
          <w:sz w:val="19"/>
          <w:szCs w:val="19"/>
          <w:lang w:val="es-ES"/>
        </w:rPr>
        <w:t>https://www.colombiacompra.gov.co/sites/cce_public/files/cce_documents/cce_manual_requisitos_habilitantes.pdf</w:t>
      </w:r>
    </w:p>
  </w:footnote>
  <w:footnote w:id="8">
    <w:p w14:paraId="2D29B5CC" w14:textId="77777777" w:rsidR="00D36E83" w:rsidRPr="00AC7A12" w:rsidRDefault="00D36E83" w:rsidP="00D36E83">
      <w:pPr>
        <w:pStyle w:val="Textonotapie"/>
        <w:jc w:val="both"/>
        <w:rPr>
          <w:rFonts w:ascii="Arial" w:hAnsi="Arial" w:cs="Arial"/>
          <w:sz w:val="19"/>
          <w:szCs w:val="19"/>
        </w:rPr>
      </w:pPr>
    </w:p>
    <w:p w14:paraId="34300E01" w14:textId="77777777" w:rsidR="00D36E83" w:rsidRPr="00AC7A12" w:rsidRDefault="00D36E83" w:rsidP="006C1B8C">
      <w:pPr>
        <w:pStyle w:val="Textonotapie"/>
        <w:ind w:firstLine="708"/>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Ibíd.</w:t>
      </w:r>
    </w:p>
  </w:footnote>
  <w:footnote w:id="9">
    <w:p w14:paraId="418B69D3" w14:textId="61840D4E" w:rsidR="00D36E83" w:rsidRPr="00AC7A12" w:rsidRDefault="00445BB2" w:rsidP="00D36E83">
      <w:pPr>
        <w:pStyle w:val="Textonotapie"/>
        <w:jc w:val="both"/>
        <w:rPr>
          <w:rFonts w:ascii="Arial" w:hAnsi="Arial" w:cs="Arial"/>
          <w:sz w:val="19"/>
          <w:szCs w:val="19"/>
        </w:rPr>
      </w:pPr>
      <w:r>
        <w:rPr>
          <w:rFonts w:ascii="Arial" w:hAnsi="Arial" w:cs="Arial"/>
          <w:sz w:val="19"/>
          <w:szCs w:val="19"/>
        </w:rPr>
        <w:tab/>
      </w:r>
      <w:r w:rsidR="00D36E83" w:rsidRPr="00AC7A12">
        <w:rPr>
          <w:rStyle w:val="Refdenotaalpie"/>
          <w:rFonts w:ascii="Arial" w:hAnsi="Arial" w:cs="Arial"/>
          <w:sz w:val="19"/>
          <w:szCs w:val="19"/>
        </w:rPr>
        <w:footnoteRef/>
      </w:r>
      <w:r w:rsidR="00D36E83" w:rsidRPr="00AC7A12">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1C67909B" w14:textId="77777777" w:rsidR="00D36E83" w:rsidRPr="00AC7A12" w:rsidRDefault="00D36E83" w:rsidP="00D36E83">
      <w:pPr>
        <w:pStyle w:val="Textonotapie"/>
        <w:jc w:val="both"/>
        <w:rPr>
          <w:rFonts w:ascii="Arial" w:hAnsi="Arial" w:cs="Arial"/>
          <w:sz w:val="19"/>
          <w:szCs w:val="19"/>
        </w:rPr>
      </w:pPr>
      <w:r w:rsidRPr="00AC7A12">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10">
    <w:p w14:paraId="4C2352B0" w14:textId="77777777" w:rsidR="00D36E83" w:rsidRPr="00AC7A12" w:rsidRDefault="00D36E83" w:rsidP="00D36E83">
      <w:pPr>
        <w:pStyle w:val="Textonotapie"/>
        <w:jc w:val="both"/>
        <w:rPr>
          <w:rFonts w:ascii="Arial" w:hAnsi="Arial" w:cs="Arial"/>
          <w:sz w:val="19"/>
          <w:szCs w:val="19"/>
        </w:rPr>
      </w:pPr>
    </w:p>
    <w:p w14:paraId="0228159D" w14:textId="77777777" w:rsidR="00D36E83" w:rsidRPr="00AC7A12" w:rsidRDefault="00D36E83" w:rsidP="006C1B8C">
      <w:pPr>
        <w:pStyle w:val="Textonotapie"/>
        <w:ind w:firstLine="708"/>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11">
    <w:p w14:paraId="56D1DC2F" w14:textId="77777777" w:rsidR="00D36E83" w:rsidRPr="00AC7A12" w:rsidRDefault="00D36E83" w:rsidP="00D36E83">
      <w:pPr>
        <w:pStyle w:val="Textonotapie"/>
        <w:jc w:val="both"/>
        <w:rPr>
          <w:rFonts w:ascii="Arial" w:hAnsi="Arial" w:cs="Arial"/>
          <w:sz w:val="19"/>
          <w:szCs w:val="19"/>
        </w:rPr>
      </w:pPr>
    </w:p>
    <w:p w14:paraId="4BF8E11A" w14:textId="77777777" w:rsidR="00D36E83" w:rsidRPr="00AC7A12" w:rsidRDefault="00D36E83" w:rsidP="006C1B8C">
      <w:pPr>
        <w:pStyle w:val="Textonotapie"/>
        <w:ind w:firstLine="708"/>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Pr>
          <w:rFonts w:ascii="Arial" w:hAnsi="Arial" w:cs="Arial"/>
          <w:sz w:val="19"/>
          <w:szCs w:val="19"/>
        </w:rPr>
        <w:t>En efecto</w:t>
      </w:r>
      <w:r w:rsidRPr="00AC7A12">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AC7A12">
        <w:rPr>
          <w:rFonts w:ascii="Arial" w:hAnsi="Arial" w:cs="Arial"/>
          <w:i/>
          <w:iCs/>
          <w:sz w:val="19"/>
          <w:szCs w:val="19"/>
          <w:lang w:val="es-ES"/>
        </w:rPr>
        <w:t>julio</w:t>
      </w:r>
      <w:r w:rsidRPr="00AC7A1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12">
    <w:p w14:paraId="25E06DC0" w14:textId="77777777" w:rsidR="00D36E83" w:rsidRPr="00AC7A12" w:rsidRDefault="00D36E83" w:rsidP="006C1B8C">
      <w:pPr>
        <w:pStyle w:val="Textonotapie"/>
        <w:ind w:firstLine="708"/>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2DDF2748" w14:textId="77777777" w:rsidR="00D36E83" w:rsidRPr="00AC7A12" w:rsidRDefault="00D36E83" w:rsidP="00D36E83">
      <w:pPr>
        <w:pStyle w:val="Textonotapie"/>
        <w:jc w:val="both"/>
        <w:rPr>
          <w:rFonts w:ascii="Arial" w:hAnsi="Arial" w:cs="Arial"/>
          <w:sz w:val="19"/>
          <w:szCs w:val="19"/>
          <w:lang w:val="es-ES"/>
        </w:rPr>
      </w:pPr>
      <w:r w:rsidRPr="00AC7A12">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64F2C866" w14:textId="77777777" w:rsidR="00D36E83" w:rsidRPr="00AC7A12" w:rsidRDefault="00D36E83" w:rsidP="006C1B8C">
      <w:pPr>
        <w:pStyle w:val="Textonotapie"/>
        <w:ind w:firstLine="708"/>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50FEE9B0" w14:textId="77777777" w:rsidR="00D36E83" w:rsidRPr="00AC7A12" w:rsidRDefault="00D36E83" w:rsidP="006C1B8C">
      <w:pPr>
        <w:pStyle w:val="Textonotapie"/>
        <w:ind w:firstLine="708"/>
        <w:jc w:val="both"/>
        <w:rPr>
          <w:rFonts w:ascii="Arial" w:hAnsi="Arial" w:cs="Arial"/>
          <w:sz w:val="19"/>
          <w:szCs w:val="19"/>
          <w:lang w:val="es-ES"/>
        </w:rPr>
      </w:pPr>
      <w:r w:rsidRPr="00AC7A12">
        <w:rPr>
          <w:rFonts w:ascii="Arial" w:hAnsi="Arial" w:cs="Arial"/>
          <w:sz w:val="19"/>
          <w:szCs w:val="19"/>
          <w:lang w:val="es-ES"/>
        </w:rPr>
        <w:t>»El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5E57EFB5" w14:textId="77777777" w:rsidR="00D36E83" w:rsidRPr="00AC7A12" w:rsidRDefault="00D36E83" w:rsidP="006C1B8C">
      <w:pPr>
        <w:pStyle w:val="Textonotapie"/>
        <w:ind w:firstLine="708"/>
        <w:jc w:val="both"/>
        <w:rPr>
          <w:rFonts w:ascii="Arial" w:hAnsi="Arial" w:cs="Arial"/>
          <w:sz w:val="19"/>
          <w:szCs w:val="19"/>
          <w:lang w:val="es-ES"/>
        </w:rPr>
      </w:pPr>
      <w:r w:rsidRPr="00AC7A12">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6E93ECBC" w14:textId="77777777" w:rsidR="00D36E83" w:rsidRPr="00AC7A12" w:rsidRDefault="00D36E83" w:rsidP="006C1B8C">
      <w:pPr>
        <w:pStyle w:val="Textonotapie"/>
        <w:ind w:firstLine="708"/>
        <w:jc w:val="both"/>
        <w:rPr>
          <w:rFonts w:ascii="Arial" w:hAnsi="Arial" w:cs="Arial"/>
          <w:sz w:val="19"/>
          <w:szCs w:val="19"/>
          <w:lang w:val="es-ES"/>
        </w:rPr>
      </w:pPr>
      <w:r w:rsidRPr="00AC7A12">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3BEDDD69" w14:textId="77777777" w:rsidR="00D36E83" w:rsidRPr="00AC7A12" w:rsidRDefault="00D36E83" w:rsidP="006C1B8C">
      <w:pPr>
        <w:pStyle w:val="Textonotapie"/>
        <w:ind w:firstLine="708"/>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2F53DB63" w14:textId="77777777" w:rsidR="00D36E83" w:rsidRPr="00AC7A12" w:rsidRDefault="00D36E83" w:rsidP="006C1B8C">
      <w:pPr>
        <w:pStyle w:val="Textonotapie"/>
        <w:ind w:firstLine="708"/>
        <w:jc w:val="both"/>
        <w:rPr>
          <w:rFonts w:ascii="Arial" w:hAnsi="Arial" w:cs="Arial"/>
          <w:sz w:val="19"/>
          <w:szCs w:val="19"/>
          <w:lang w:val="es-CO"/>
        </w:rPr>
      </w:pPr>
      <w:r w:rsidRPr="00AC7A12">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3">
    <w:p w14:paraId="3F14416D" w14:textId="77777777" w:rsidR="00D36E83" w:rsidRPr="00AC7A12" w:rsidRDefault="00D36E83" w:rsidP="006C1B8C">
      <w:pPr>
        <w:pStyle w:val="Textonotapie"/>
        <w:ind w:firstLine="708"/>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Debe recordarse que el artículo 2.2.1.1.1.6.2. del Decreto 1082 de 2015 prevé lo siguiente: «</w:t>
      </w:r>
      <w:r w:rsidRPr="00AC7A12">
        <w:rPr>
          <w:rFonts w:ascii="Arial" w:hAnsi="Arial" w:cs="Arial"/>
          <w:sz w:val="19"/>
          <w:szCs w:val="19"/>
        </w:rPr>
        <w:t xml:space="preserve"> </w:t>
      </w:r>
      <w:r w:rsidRPr="00AC7A12">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4">
    <w:p w14:paraId="3133469E" w14:textId="77777777" w:rsidR="005E156B" w:rsidRPr="009B57A0" w:rsidRDefault="005E156B" w:rsidP="005E156B">
      <w:pPr>
        <w:pStyle w:val="Textonotapie"/>
        <w:ind w:firstLine="708"/>
        <w:jc w:val="both"/>
        <w:rPr>
          <w:rFonts w:ascii="Arial" w:hAnsi="Arial" w:cs="Arial"/>
          <w:sz w:val="19"/>
          <w:szCs w:val="19"/>
          <w:lang w:val="es-ES_tradnl"/>
        </w:rPr>
      </w:pPr>
      <w:r w:rsidRPr="001067BF">
        <w:rPr>
          <w:rStyle w:val="Refdenotaalpie"/>
          <w:rFonts w:ascii="Arial" w:hAnsi="Arial" w:cs="Arial"/>
          <w:sz w:val="19"/>
          <w:szCs w:val="19"/>
        </w:rPr>
        <w:footnoteRef/>
      </w:r>
      <w:r w:rsidRPr="001067BF">
        <w:rPr>
          <w:rFonts w:ascii="Arial" w:hAnsi="Arial" w:cs="Arial"/>
          <w:sz w:val="19"/>
          <w:szCs w:val="19"/>
        </w:rPr>
        <w:t xml:space="preserve"> </w:t>
      </w:r>
      <w:r>
        <w:rPr>
          <w:rFonts w:ascii="Arial" w:hAnsi="Arial" w:cs="Arial"/>
          <w:sz w:val="19"/>
          <w:szCs w:val="19"/>
        </w:rPr>
        <w:t xml:space="preserve">DÁVILA VINUEZA, Luis Guillermo. Régimen jurídico de la contratación estatal. 3ª ed. Bogotá: Legis, 2016. p.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C11BCD" w:rsidRDefault="00C11BCD">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B24F85"/>
    <w:multiLevelType w:val="hybridMultilevel"/>
    <w:tmpl w:val="8638AC78"/>
    <w:lvl w:ilvl="0" w:tplc="2D6AA4D8">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5"/>
  </w:num>
  <w:num w:numId="9">
    <w:abstractNumId w:val="2"/>
  </w:num>
  <w:num w:numId="10">
    <w:abstractNumId w:val="6"/>
  </w:num>
  <w:num w:numId="11">
    <w:abstractNumId w:val="9"/>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6E80"/>
    <w:rsid w:val="00007FF7"/>
    <w:rsid w:val="00010D30"/>
    <w:rsid w:val="000205D6"/>
    <w:rsid w:val="0003091B"/>
    <w:rsid w:val="000333A2"/>
    <w:rsid w:val="00035726"/>
    <w:rsid w:val="00040C88"/>
    <w:rsid w:val="00040D6E"/>
    <w:rsid w:val="00042C0C"/>
    <w:rsid w:val="00044FF2"/>
    <w:rsid w:val="000514D4"/>
    <w:rsid w:val="00054D4A"/>
    <w:rsid w:val="00055688"/>
    <w:rsid w:val="00060575"/>
    <w:rsid w:val="00061E92"/>
    <w:rsid w:val="00061EE4"/>
    <w:rsid w:val="00062291"/>
    <w:rsid w:val="00062B0D"/>
    <w:rsid w:val="0006519B"/>
    <w:rsid w:val="00066AF6"/>
    <w:rsid w:val="000707A0"/>
    <w:rsid w:val="00081A72"/>
    <w:rsid w:val="00082589"/>
    <w:rsid w:val="0008616B"/>
    <w:rsid w:val="00086A16"/>
    <w:rsid w:val="00086C02"/>
    <w:rsid w:val="00090D92"/>
    <w:rsid w:val="00093069"/>
    <w:rsid w:val="00094F86"/>
    <w:rsid w:val="00097117"/>
    <w:rsid w:val="00097CD6"/>
    <w:rsid w:val="000A1DBA"/>
    <w:rsid w:val="000A6338"/>
    <w:rsid w:val="000A7A2D"/>
    <w:rsid w:val="000B4552"/>
    <w:rsid w:val="000B4C69"/>
    <w:rsid w:val="000B4E6D"/>
    <w:rsid w:val="000B6B73"/>
    <w:rsid w:val="000C0E39"/>
    <w:rsid w:val="000D088F"/>
    <w:rsid w:val="000D2220"/>
    <w:rsid w:val="000D392A"/>
    <w:rsid w:val="000D5464"/>
    <w:rsid w:val="000E4527"/>
    <w:rsid w:val="000E4A3C"/>
    <w:rsid w:val="000E6867"/>
    <w:rsid w:val="000E7C0F"/>
    <w:rsid w:val="000E7F3A"/>
    <w:rsid w:val="000F5F52"/>
    <w:rsid w:val="001056C0"/>
    <w:rsid w:val="00105C88"/>
    <w:rsid w:val="00107607"/>
    <w:rsid w:val="001117F5"/>
    <w:rsid w:val="001120C8"/>
    <w:rsid w:val="00112597"/>
    <w:rsid w:val="00113AD4"/>
    <w:rsid w:val="00116557"/>
    <w:rsid w:val="00117289"/>
    <w:rsid w:val="0012660D"/>
    <w:rsid w:val="00131937"/>
    <w:rsid w:val="001321AB"/>
    <w:rsid w:val="00133D22"/>
    <w:rsid w:val="00135E98"/>
    <w:rsid w:val="00137B0D"/>
    <w:rsid w:val="00137DDF"/>
    <w:rsid w:val="00140E57"/>
    <w:rsid w:val="00141C64"/>
    <w:rsid w:val="0014462B"/>
    <w:rsid w:val="0014628D"/>
    <w:rsid w:val="00147E4A"/>
    <w:rsid w:val="001556C8"/>
    <w:rsid w:val="001573A6"/>
    <w:rsid w:val="00160687"/>
    <w:rsid w:val="00160AB9"/>
    <w:rsid w:val="00164E79"/>
    <w:rsid w:val="00166272"/>
    <w:rsid w:val="001669C9"/>
    <w:rsid w:val="00173047"/>
    <w:rsid w:val="00173342"/>
    <w:rsid w:val="00173CD9"/>
    <w:rsid w:val="0017558C"/>
    <w:rsid w:val="0017603D"/>
    <w:rsid w:val="00177397"/>
    <w:rsid w:val="00180881"/>
    <w:rsid w:val="001810AD"/>
    <w:rsid w:val="0018144F"/>
    <w:rsid w:val="00181A3E"/>
    <w:rsid w:val="00182BF2"/>
    <w:rsid w:val="001848A7"/>
    <w:rsid w:val="00186C26"/>
    <w:rsid w:val="001901E3"/>
    <w:rsid w:val="00190B79"/>
    <w:rsid w:val="00190F26"/>
    <w:rsid w:val="00192084"/>
    <w:rsid w:val="00194C50"/>
    <w:rsid w:val="0019703E"/>
    <w:rsid w:val="00197636"/>
    <w:rsid w:val="001A0536"/>
    <w:rsid w:val="001A6A98"/>
    <w:rsid w:val="001B13DF"/>
    <w:rsid w:val="001B2E5D"/>
    <w:rsid w:val="001B5D63"/>
    <w:rsid w:val="001B6C66"/>
    <w:rsid w:val="001C3D71"/>
    <w:rsid w:val="001C4850"/>
    <w:rsid w:val="001E4AEB"/>
    <w:rsid w:val="001E5DBB"/>
    <w:rsid w:val="001F0373"/>
    <w:rsid w:val="001F1051"/>
    <w:rsid w:val="001F3010"/>
    <w:rsid w:val="001F34A8"/>
    <w:rsid w:val="001F7297"/>
    <w:rsid w:val="002034AD"/>
    <w:rsid w:val="00210E00"/>
    <w:rsid w:val="00212C92"/>
    <w:rsid w:val="00213B48"/>
    <w:rsid w:val="002166C0"/>
    <w:rsid w:val="00220F87"/>
    <w:rsid w:val="002218CE"/>
    <w:rsid w:val="00222032"/>
    <w:rsid w:val="002239B4"/>
    <w:rsid w:val="00225C5F"/>
    <w:rsid w:val="00227257"/>
    <w:rsid w:val="0023180C"/>
    <w:rsid w:val="0023225E"/>
    <w:rsid w:val="00234C6C"/>
    <w:rsid w:val="00236264"/>
    <w:rsid w:val="0023774F"/>
    <w:rsid w:val="0024753F"/>
    <w:rsid w:val="00247D11"/>
    <w:rsid w:val="002511E0"/>
    <w:rsid w:val="002516D4"/>
    <w:rsid w:val="002551A3"/>
    <w:rsid w:val="00265031"/>
    <w:rsid w:val="00266277"/>
    <w:rsid w:val="00267CE7"/>
    <w:rsid w:val="00272F63"/>
    <w:rsid w:val="0027329E"/>
    <w:rsid w:val="00273B05"/>
    <w:rsid w:val="00274370"/>
    <w:rsid w:val="00281E4E"/>
    <w:rsid w:val="00284C12"/>
    <w:rsid w:val="00286834"/>
    <w:rsid w:val="002928EE"/>
    <w:rsid w:val="002959FA"/>
    <w:rsid w:val="002972F3"/>
    <w:rsid w:val="002A21FC"/>
    <w:rsid w:val="002A365B"/>
    <w:rsid w:val="002A4002"/>
    <w:rsid w:val="002A4BCA"/>
    <w:rsid w:val="002A517F"/>
    <w:rsid w:val="002B27BC"/>
    <w:rsid w:val="002B282F"/>
    <w:rsid w:val="002B3600"/>
    <w:rsid w:val="002B4B30"/>
    <w:rsid w:val="002E6804"/>
    <w:rsid w:val="002E7390"/>
    <w:rsid w:val="002E7BC2"/>
    <w:rsid w:val="002F5479"/>
    <w:rsid w:val="002F63BB"/>
    <w:rsid w:val="002F701E"/>
    <w:rsid w:val="00302F9F"/>
    <w:rsid w:val="00304386"/>
    <w:rsid w:val="003051E7"/>
    <w:rsid w:val="00307876"/>
    <w:rsid w:val="003141AC"/>
    <w:rsid w:val="00314F61"/>
    <w:rsid w:val="003163C5"/>
    <w:rsid w:val="003174DA"/>
    <w:rsid w:val="00325E03"/>
    <w:rsid w:val="003401FE"/>
    <w:rsid w:val="00340A7A"/>
    <w:rsid w:val="00346D80"/>
    <w:rsid w:val="00346F88"/>
    <w:rsid w:val="00346F8E"/>
    <w:rsid w:val="00351536"/>
    <w:rsid w:val="00360470"/>
    <w:rsid w:val="00360F9A"/>
    <w:rsid w:val="003639A5"/>
    <w:rsid w:val="00371192"/>
    <w:rsid w:val="003750DA"/>
    <w:rsid w:val="00384629"/>
    <w:rsid w:val="00385513"/>
    <w:rsid w:val="00386679"/>
    <w:rsid w:val="00387E9E"/>
    <w:rsid w:val="00390DCF"/>
    <w:rsid w:val="00397FF3"/>
    <w:rsid w:val="003A00C3"/>
    <w:rsid w:val="003A00DA"/>
    <w:rsid w:val="003A0C33"/>
    <w:rsid w:val="003A1C25"/>
    <w:rsid w:val="003A2944"/>
    <w:rsid w:val="003A633B"/>
    <w:rsid w:val="003B0DEF"/>
    <w:rsid w:val="003B604C"/>
    <w:rsid w:val="003C200C"/>
    <w:rsid w:val="003C2074"/>
    <w:rsid w:val="003C2D3E"/>
    <w:rsid w:val="003C3ADB"/>
    <w:rsid w:val="003C5196"/>
    <w:rsid w:val="003C5E88"/>
    <w:rsid w:val="003D11B5"/>
    <w:rsid w:val="003D134C"/>
    <w:rsid w:val="003D1697"/>
    <w:rsid w:val="003D2ABF"/>
    <w:rsid w:val="003D5BA5"/>
    <w:rsid w:val="003D69A5"/>
    <w:rsid w:val="003D6D9F"/>
    <w:rsid w:val="003E0079"/>
    <w:rsid w:val="003E09D5"/>
    <w:rsid w:val="003E14F9"/>
    <w:rsid w:val="003F3119"/>
    <w:rsid w:val="003F3C60"/>
    <w:rsid w:val="003F4D44"/>
    <w:rsid w:val="003F6D32"/>
    <w:rsid w:val="00405F92"/>
    <w:rsid w:val="00406B09"/>
    <w:rsid w:val="004265FC"/>
    <w:rsid w:val="00430B5A"/>
    <w:rsid w:val="00430ED4"/>
    <w:rsid w:val="00431328"/>
    <w:rsid w:val="00433B17"/>
    <w:rsid w:val="0043588C"/>
    <w:rsid w:val="0043606A"/>
    <w:rsid w:val="00437A8B"/>
    <w:rsid w:val="0044207D"/>
    <w:rsid w:val="00443937"/>
    <w:rsid w:val="00444005"/>
    <w:rsid w:val="00445988"/>
    <w:rsid w:val="00445BB2"/>
    <w:rsid w:val="00447FE5"/>
    <w:rsid w:val="00450614"/>
    <w:rsid w:val="0045082C"/>
    <w:rsid w:val="00450B83"/>
    <w:rsid w:val="00456CED"/>
    <w:rsid w:val="004617B8"/>
    <w:rsid w:val="0046504E"/>
    <w:rsid w:val="00467C8E"/>
    <w:rsid w:val="004758FE"/>
    <w:rsid w:val="00481DE3"/>
    <w:rsid w:val="004830C8"/>
    <w:rsid w:val="004837AB"/>
    <w:rsid w:val="00483A2F"/>
    <w:rsid w:val="00483C0A"/>
    <w:rsid w:val="00487ADF"/>
    <w:rsid w:val="00490DBF"/>
    <w:rsid w:val="00494F12"/>
    <w:rsid w:val="00496F96"/>
    <w:rsid w:val="00497571"/>
    <w:rsid w:val="004A0003"/>
    <w:rsid w:val="004A13B5"/>
    <w:rsid w:val="004A46B5"/>
    <w:rsid w:val="004A5382"/>
    <w:rsid w:val="004A6E34"/>
    <w:rsid w:val="004A6EE1"/>
    <w:rsid w:val="004B1BEE"/>
    <w:rsid w:val="004B22E7"/>
    <w:rsid w:val="004B2AB8"/>
    <w:rsid w:val="004B6AD7"/>
    <w:rsid w:val="004C1BA6"/>
    <w:rsid w:val="004D04EB"/>
    <w:rsid w:val="004D0DA3"/>
    <w:rsid w:val="004D3C91"/>
    <w:rsid w:val="004D770C"/>
    <w:rsid w:val="004E3243"/>
    <w:rsid w:val="004E370E"/>
    <w:rsid w:val="004F006C"/>
    <w:rsid w:val="004F0A29"/>
    <w:rsid w:val="004F3D32"/>
    <w:rsid w:val="004F407C"/>
    <w:rsid w:val="004F4387"/>
    <w:rsid w:val="004F7059"/>
    <w:rsid w:val="004F7A45"/>
    <w:rsid w:val="004F7F85"/>
    <w:rsid w:val="00501FCD"/>
    <w:rsid w:val="005029C2"/>
    <w:rsid w:val="00502A41"/>
    <w:rsid w:val="00506B56"/>
    <w:rsid w:val="00510BF5"/>
    <w:rsid w:val="0051467B"/>
    <w:rsid w:val="00515265"/>
    <w:rsid w:val="00517E74"/>
    <w:rsid w:val="00521BA7"/>
    <w:rsid w:val="00525051"/>
    <w:rsid w:val="005252E2"/>
    <w:rsid w:val="00526D27"/>
    <w:rsid w:val="0054024A"/>
    <w:rsid w:val="005409D3"/>
    <w:rsid w:val="00546BE0"/>
    <w:rsid w:val="005511D5"/>
    <w:rsid w:val="00551564"/>
    <w:rsid w:val="00552C59"/>
    <w:rsid w:val="0055390E"/>
    <w:rsid w:val="00554E71"/>
    <w:rsid w:val="00560F5F"/>
    <w:rsid w:val="00575DC6"/>
    <w:rsid w:val="00580859"/>
    <w:rsid w:val="00585FB5"/>
    <w:rsid w:val="00591586"/>
    <w:rsid w:val="005940B2"/>
    <w:rsid w:val="005A0936"/>
    <w:rsid w:val="005A1143"/>
    <w:rsid w:val="005A14BC"/>
    <w:rsid w:val="005A3EDE"/>
    <w:rsid w:val="005B3F0E"/>
    <w:rsid w:val="005B4DB4"/>
    <w:rsid w:val="005B6484"/>
    <w:rsid w:val="005B6F36"/>
    <w:rsid w:val="005C298B"/>
    <w:rsid w:val="005C29D9"/>
    <w:rsid w:val="005D3442"/>
    <w:rsid w:val="005D426A"/>
    <w:rsid w:val="005E156B"/>
    <w:rsid w:val="005E73C9"/>
    <w:rsid w:val="005E7551"/>
    <w:rsid w:val="005F1007"/>
    <w:rsid w:val="005F5D19"/>
    <w:rsid w:val="005F6CBF"/>
    <w:rsid w:val="006062E0"/>
    <w:rsid w:val="00606FE0"/>
    <w:rsid w:val="0061332C"/>
    <w:rsid w:val="006135E6"/>
    <w:rsid w:val="00615659"/>
    <w:rsid w:val="00616FE1"/>
    <w:rsid w:val="00617DF2"/>
    <w:rsid w:val="00621810"/>
    <w:rsid w:val="00632EA5"/>
    <w:rsid w:val="00641087"/>
    <w:rsid w:val="00642D69"/>
    <w:rsid w:val="00655094"/>
    <w:rsid w:val="006550F8"/>
    <w:rsid w:val="00656926"/>
    <w:rsid w:val="0065701C"/>
    <w:rsid w:val="00660BC7"/>
    <w:rsid w:val="00661CE0"/>
    <w:rsid w:val="00662792"/>
    <w:rsid w:val="00666ED7"/>
    <w:rsid w:val="0067152F"/>
    <w:rsid w:val="00671A31"/>
    <w:rsid w:val="00672F75"/>
    <w:rsid w:val="006734CA"/>
    <w:rsid w:val="006818B6"/>
    <w:rsid w:val="006824B8"/>
    <w:rsid w:val="00682892"/>
    <w:rsid w:val="00682AE5"/>
    <w:rsid w:val="006834EE"/>
    <w:rsid w:val="00683BD5"/>
    <w:rsid w:val="00692C04"/>
    <w:rsid w:val="00693348"/>
    <w:rsid w:val="006A602E"/>
    <w:rsid w:val="006A7743"/>
    <w:rsid w:val="006B6339"/>
    <w:rsid w:val="006B6C6A"/>
    <w:rsid w:val="006C15D5"/>
    <w:rsid w:val="006C1B8C"/>
    <w:rsid w:val="006C234F"/>
    <w:rsid w:val="006C3D0C"/>
    <w:rsid w:val="006C3FBC"/>
    <w:rsid w:val="006C5955"/>
    <w:rsid w:val="006D31E1"/>
    <w:rsid w:val="006D343E"/>
    <w:rsid w:val="006D359C"/>
    <w:rsid w:val="006D519D"/>
    <w:rsid w:val="006D5A84"/>
    <w:rsid w:val="006E2710"/>
    <w:rsid w:val="006E3895"/>
    <w:rsid w:val="006E63F1"/>
    <w:rsid w:val="006F1FD7"/>
    <w:rsid w:val="006F39D0"/>
    <w:rsid w:val="006F6897"/>
    <w:rsid w:val="006F7484"/>
    <w:rsid w:val="006F7746"/>
    <w:rsid w:val="00711157"/>
    <w:rsid w:val="00715B7E"/>
    <w:rsid w:val="00730CDB"/>
    <w:rsid w:val="00736C89"/>
    <w:rsid w:val="007413C5"/>
    <w:rsid w:val="00745744"/>
    <w:rsid w:val="007462F1"/>
    <w:rsid w:val="0075032A"/>
    <w:rsid w:val="007708B1"/>
    <w:rsid w:val="00770D7D"/>
    <w:rsid w:val="00771889"/>
    <w:rsid w:val="00772497"/>
    <w:rsid w:val="00775578"/>
    <w:rsid w:val="007756D5"/>
    <w:rsid w:val="00776241"/>
    <w:rsid w:val="00776F45"/>
    <w:rsid w:val="00784474"/>
    <w:rsid w:val="00785688"/>
    <w:rsid w:val="00787F0A"/>
    <w:rsid w:val="00791377"/>
    <w:rsid w:val="007917E6"/>
    <w:rsid w:val="007928D4"/>
    <w:rsid w:val="00792B9C"/>
    <w:rsid w:val="00793E3A"/>
    <w:rsid w:val="00795512"/>
    <w:rsid w:val="007A4F15"/>
    <w:rsid w:val="007A5340"/>
    <w:rsid w:val="007B6FDF"/>
    <w:rsid w:val="007C0C73"/>
    <w:rsid w:val="007C7892"/>
    <w:rsid w:val="007D03DD"/>
    <w:rsid w:val="007D27F3"/>
    <w:rsid w:val="007D4C7B"/>
    <w:rsid w:val="007D62C7"/>
    <w:rsid w:val="007E10EB"/>
    <w:rsid w:val="007E1611"/>
    <w:rsid w:val="007E6A15"/>
    <w:rsid w:val="007F7AC6"/>
    <w:rsid w:val="00803061"/>
    <w:rsid w:val="00806B4E"/>
    <w:rsid w:val="00807EEE"/>
    <w:rsid w:val="0081087D"/>
    <w:rsid w:val="00810F65"/>
    <w:rsid w:val="008135F4"/>
    <w:rsid w:val="00813893"/>
    <w:rsid w:val="008149E7"/>
    <w:rsid w:val="00814F3D"/>
    <w:rsid w:val="008218D6"/>
    <w:rsid w:val="0082266E"/>
    <w:rsid w:val="00822C43"/>
    <w:rsid w:val="008234E2"/>
    <w:rsid w:val="00824361"/>
    <w:rsid w:val="008327EE"/>
    <w:rsid w:val="0083350D"/>
    <w:rsid w:val="00835417"/>
    <w:rsid w:val="00842E74"/>
    <w:rsid w:val="00843BE5"/>
    <w:rsid w:val="0084777B"/>
    <w:rsid w:val="00856B64"/>
    <w:rsid w:val="00857DEF"/>
    <w:rsid w:val="008602F0"/>
    <w:rsid w:val="00863DD9"/>
    <w:rsid w:val="00866446"/>
    <w:rsid w:val="0086741B"/>
    <w:rsid w:val="00870BDD"/>
    <w:rsid w:val="00880204"/>
    <w:rsid w:val="008840CA"/>
    <w:rsid w:val="00886F29"/>
    <w:rsid w:val="00887F70"/>
    <w:rsid w:val="0089027D"/>
    <w:rsid w:val="00892517"/>
    <w:rsid w:val="008927FE"/>
    <w:rsid w:val="00892A25"/>
    <w:rsid w:val="00897D5D"/>
    <w:rsid w:val="00897DAB"/>
    <w:rsid w:val="008A0633"/>
    <w:rsid w:val="008A1724"/>
    <w:rsid w:val="008A3386"/>
    <w:rsid w:val="008A37D8"/>
    <w:rsid w:val="008A53F2"/>
    <w:rsid w:val="008B09B1"/>
    <w:rsid w:val="008C1CE8"/>
    <w:rsid w:val="008C24B6"/>
    <w:rsid w:val="008C3E5B"/>
    <w:rsid w:val="008C487C"/>
    <w:rsid w:val="008C4C28"/>
    <w:rsid w:val="008C5224"/>
    <w:rsid w:val="008D07ED"/>
    <w:rsid w:val="008D0BF9"/>
    <w:rsid w:val="008D2CBA"/>
    <w:rsid w:val="008D40D6"/>
    <w:rsid w:val="008E0FCC"/>
    <w:rsid w:val="008E2FE3"/>
    <w:rsid w:val="008E5F34"/>
    <w:rsid w:val="008F2267"/>
    <w:rsid w:val="008F3EE2"/>
    <w:rsid w:val="008F4FBB"/>
    <w:rsid w:val="008F5D30"/>
    <w:rsid w:val="008F6B23"/>
    <w:rsid w:val="00910B3C"/>
    <w:rsid w:val="00911243"/>
    <w:rsid w:val="0091226B"/>
    <w:rsid w:val="00912EA2"/>
    <w:rsid w:val="00913D52"/>
    <w:rsid w:val="00913DCA"/>
    <w:rsid w:val="009161B8"/>
    <w:rsid w:val="0091627F"/>
    <w:rsid w:val="00916488"/>
    <w:rsid w:val="009223EA"/>
    <w:rsid w:val="009231E0"/>
    <w:rsid w:val="00926E16"/>
    <w:rsid w:val="00933EF5"/>
    <w:rsid w:val="00935BE4"/>
    <w:rsid w:val="00935F01"/>
    <w:rsid w:val="009425F8"/>
    <w:rsid w:val="00943BC7"/>
    <w:rsid w:val="0094508D"/>
    <w:rsid w:val="009506A7"/>
    <w:rsid w:val="009549DD"/>
    <w:rsid w:val="0095686F"/>
    <w:rsid w:val="00960CAB"/>
    <w:rsid w:val="00962D6C"/>
    <w:rsid w:val="0096333C"/>
    <w:rsid w:val="00965D9D"/>
    <w:rsid w:val="00967230"/>
    <w:rsid w:val="00972C13"/>
    <w:rsid w:val="00976F3B"/>
    <w:rsid w:val="00980729"/>
    <w:rsid w:val="009812D7"/>
    <w:rsid w:val="00982E99"/>
    <w:rsid w:val="0098491A"/>
    <w:rsid w:val="00993357"/>
    <w:rsid w:val="00993BFE"/>
    <w:rsid w:val="00993CE0"/>
    <w:rsid w:val="00995931"/>
    <w:rsid w:val="009963CB"/>
    <w:rsid w:val="009A3D14"/>
    <w:rsid w:val="009A5714"/>
    <w:rsid w:val="009A5A15"/>
    <w:rsid w:val="009A5DA7"/>
    <w:rsid w:val="009A764B"/>
    <w:rsid w:val="009B1AEC"/>
    <w:rsid w:val="009B2845"/>
    <w:rsid w:val="009B57A0"/>
    <w:rsid w:val="009C59BA"/>
    <w:rsid w:val="009C6F56"/>
    <w:rsid w:val="009D1D57"/>
    <w:rsid w:val="009D1DE1"/>
    <w:rsid w:val="009D5504"/>
    <w:rsid w:val="009E2544"/>
    <w:rsid w:val="009E2770"/>
    <w:rsid w:val="009E2D72"/>
    <w:rsid w:val="009E41C2"/>
    <w:rsid w:val="009E4A43"/>
    <w:rsid w:val="009E6C5F"/>
    <w:rsid w:val="009F2261"/>
    <w:rsid w:val="009F3537"/>
    <w:rsid w:val="009F7EC6"/>
    <w:rsid w:val="00A13A3A"/>
    <w:rsid w:val="00A13C4B"/>
    <w:rsid w:val="00A25657"/>
    <w:rsid w:val="00A27907"/>
    <w:rsid w:val="00A329B6"/>
    <w:rsid w:val="00A32C19"/>
    <w:rsid w:val="00A35B7E"/>
    <w:rsid w:val="00A35F03"/>
    <w:rsid w:val="00A367A1"/>
    <w:rsid w:val="00A37CBD"/>
    <w:rsid w:val="00A415D2"/>
    <w:rsid w:val="00A4372E"/>
    <w:rsid w:val="00A460BA"/>
    <w:rsid w:val="00A510F6"/>
    <w:rsid w:val="00A54F89"/>
    <w:rsid w:val="00A651C9"/>
    <w:rsid w:val="00A657F1"/>
    <w:rsid w:val="00A6700F"/>
    <w:rsid w:val="00A70F57"/>
    <w:rsid w:val="00A758DC"/>
    <w:rsid w:val="00A75B4C"/>
    <w:rsid w:val="00A80739"/>
    <w:rsid w:val="00A83829"/>
    <w:rsid w:val="00A85AFF"/>
    <w:rsid w:val="00A92401"/>
    <w:rsid w:val="00A95100"/>
    <w:rsid w:val="00AA2A39"/>
    <w:rsid w:val="00AA3B21"/>
    <w:rsid w:val="00AA615B"/>
    <w:rsid w:val="00AA6B2A"/>
    <w:rsid w:val="00AA7209"/>
    <w:rsid w:val="00AB0DED"/>
    <w:rsid w:val="00AB254D"/>
    <w:rsid w:val="00AB2FA8"/>
    <w:rsid w:val="00AB5F84"/>
    <w:rsid w:val="00AC0C81"/>
    <w:rsid w:val="00AC5FE7"/>
    <w:rsid w:val="00AD3975"/>
    <w:rsid w:val="00AD5FA4"/>
    <w:rsid w:val="00AD7725"/>
    <w:rsid w:val="00AE13A1"/>
    <w:rsid w:val="00AE194E"/>
    <w:rsid w:val="00AE1CAD"/>
    <w:rsid w:val="00AE355C"/>
    <w:rsid w:val="00AE668A"/>
    <w:rsid w:val="00AE6858"/>
    <w:rsid w:val="00AF185A"/>
    <w:rsid w:val="00AF2203"/>
    <w:rsid w:val="00AF4523"/>
    <w:rsid w:val="00AF5C62"/>
    <w:rsid w:val="00AF6D01"/>
    <w:rsid w:val="00AF7270"/>
    <w:rsid w:val="00AF7DE1"/>
    <w:rsid w:val="00AF7F8A"/>
    <w:rsid w:val="00B0135B"/>
    <w:rsid w:val="00B100E5"/>
    <w:rsid w:val="00B1203B"/>
    <w:rsid w:val="00B139DC"/>
    <w:rsid w:val="00B17BC5"/>
    <w:rsid w:val="00B2158C"/>
    <w:rsid w:val="00B2365C"/>
    <w:rsid w:val="00B24E57"/>
    <w:rsid w:val="00B2594C"/>
    <w:rsid w:val="00B259A3"/>
    <w:rsid w:val="00B26E57"/>
    <w:rsid w:val="00B30582"/>
    <w:rsid w:val="00B30D96"/>
    <w:rsid w:val="00B33648"/>
    <w:rsid w:val="00B35792"/>
    <w:rsid w:val="00B44EB3"/>
    <w:rsid w:val="00B46660"/>
    <w:rsid w:val="00B47CBC"/>
    <w:rsid w:val="00B502EC"/>
    <w:rsid w:val="00B5123E"/>
    <w:rsid w:val="00B522C4"/>
    <w:rsid w:val="00B52B0E"/>
    <w:rsid w:val="00B52F07"/>
    <w:rsid w:val="00B5337D"/>
    <w:rsid w:val="00B62DD9"/>
    <w:rsid w:val="00B637F2"/>
    <w:rsid w:val="00B63A7D"/>
    <w:rsid w:val="00B65290"/>
    <w:rsid w:val="00B67C63"/>
    <w:rsid w:val="00B70E26"/>
    <w:rsid w:val="00B71106"/>
    <w:rsid w:val="00B721A3"/>
    <w:rsid w:val="00B77186"/>
    <w:rsid w:val="00B77C40"/>
    <w:rsid w:val="00B84E9D"/>
    <w:rsid w:val="00B9767F"/>
    <w:rsid w:val="00B97D95"/>
    <w:rsid w:val="00BA0E41"/>
    <w:rsid w:val="00BA6091"/>
    <w:rsid w:val="00BA7E78"/>
    <w:rsid w:val="00BB0EA7"/>
    <w:rsid w:val="00BB3DBA"/>
    <w:rsid w:val="00BB4AE6"/>
    <w:rsid w:val="00BB59F9"/>
    <w:rsid w:val="00BC15B8"/>
    <w:rsid w:val="00BC3D32"/>
    <w:rsid w:val="00BC5279"/>
    <w:rsid w:val="00BC6C4E"/>
    <w:rsid w:val="00BC71A3"/>
    <w:rsid w:val="00BD0A88"/>
    <w:rsid w:val="00BD234D"/>
    <w:rsid w:val="00BD23BD"/>
    <w:rsid w:val="00BD5341"/>
    <w:rsid w:val="00BD58A7"/>
    <w:rsid w:val="00BD7FF3"/>
    <w:rsid w:val="00BE1E33"/>
    <w:rsid w:val="00BE2AD3"/>
    <w:rsid w:val="00BE2B56"/>
    <w:rsid w:val="00BE36F7"/>
    <w:rsid w:val="00BE4E4A"/>
    <w:rsid w:val="00BF06AC"/>
    <w:rsid w:val="00BF1787"/>
    <w:rsid w:val="00BF2443"/>
    <w:rsid w:val="00BF49F7"/>
    <w:rsid w:val="00C003AD"/>
    <w:rsid w:val="00C00831"/>
    <w:rsid w:val="00C02C92"/>
    <w:rsid w:val="00C02D09"/>
    <w:rsid w:val="00C03689"/>
    <w:rsid w:val="00C069D0"/>
    <w:rsid w:val="00C11BCD"/>
    <w:rsid w:val="00C12201"/>
    <w:rsid w:val="00C13418"/>
    <w:rsid w:val="00C1405A"/>
    <w:rsid w:val="00C22412"/>
    <w:rsid w:val="00C24EAC"/>
    <w:rsid w:val="00C25E14"/>
    <w:rsid w:val="00C266A5"/>
    <w:rsid w:val="00C32446"/>
    <w:rsid w:val="00C3581C"/>
    <w:rsid w:val="00C40C84"/>
    <w:rsid w:val="00C4526C"/>
    <w:rsid w:val="00C50B1B"/>
    <w:rsid w:val="00C512FE"/>
    <w:rsid w:val="00C52801"/>
    <w:rsid w:val="00C6210F"/>
    <w:rsid w:val="00C70C7D"/>
    <w:rsid w:val="00C745C6"/>
    <w:rsid w:val="00C75D22"/>
    <w:rsid w:val="00C75DB8"/>
    <w:rsid w:val="00C76A82"/>
    <w:rsid w:val="00C76D92"/>
    <w:rsid w:val="00C964DE"/>
    <w:rsid w:val="00C96C57"/>
    <w:rsid w:val="00C97F69"/>
    <w:rsid w:val="00CA3C3B"/>
    <w:rsid w:val="00CA5790"/>
    <w:rsid w:val="00CA6297"/>
    <w:rsid w:val="00CA634C"/>
    <w:rsid w:val="00CB004E"/>
    <w:rsid w:val="00CB7787"/>
    <w:rsid w:val="00CC1134"/>
    <w:rsid w:val="00CC3C9A"/>
    <w:rsid w:val="00CC61B2"/>
    <w:rsid w:val="00CD05DC"/>
    <w:rsid w:val="00CD3C6F"/>
    <w:rsid w:val="00CD5DF3"/>
    <w:rsid w:val="00CE1403"/>
    <w:rsid w:val="00CE153F"/>
    <w:rsid w:val="00CF183E"/>
    <w:rsid w:val="00CF2202"/>
    <w:rsid w:val="00CF326B"/>
    <w:rsid w:val="00CF4AFB"/>
    <w:rsid w:val="00CF605F"/>
    <w:rsid w:val="00CF6C6F"/>
    <w:rsid w:val="00D01B09"/>
    <w:rsid w:val="00D058DF"/>
    <w:rsid w:val="00D0763E"/>
    <w:rsid w:val="00D12644"/>
    <w:rsid w:val="00D1531B"/>
    <w:rsid w:val="00D15EAB"/>
    <w:rsid w:val="00D24682"/>
    <w:rsid w:val="00D24F06"/>
    <w:rsid w:val="00D25AEF"/>
    <w:rsid w:val="00D349EE"/>
    <w:rsid w:val="00D36E83"/>
    <w:rsid w:val="00D3779A"/>
    <w:rsid w:val="00D404BB"/>
    <w:rsid w:val="00D41A7D"/>
    <w:rsid w:val="00D421E8"/>
    <w:rsid w:val="00D43ADB"/>
    <w:rsid w:val="00D43ECF"/>
    <w:rsid w:val="00D53370"/>
    <w:rsid w:val="00D54E52"/>
    <w:rsid w:val="00D56022"/>
    <w:rsid w:val="00D56763"/>
    <w:rsid w:val="00D56D47"/>
    <w:rsid w:val="00D644D8"/>
    <w:rsid w:val="00D7088A"/>
    <w:rsid w:val="00D70FB4"/>
    <w:rsid w:val="00D74A1C"/>
    <w:rsid w:val="00D76E57"/>
    <w:rsid w:val="00D80CCB"/>
    <w:rsid w:val="00D815C1"/>
    <w:rsid w:val="00D822D9"/>
    <w:rsid w:val="00D838D1"/>
    <w:rsid w:val="00D84DC5"/>
    <w:rsid w:val="00D85C85"/>
    <w:rsid w:val="00D87665"/>
    <w:rsid w:val="00D87808"/>
    <w:rsid w:val="00D923D3"/>
    <w:rsid w:val="00D92F6C"/>
    <w:rsid w:val="00D93CB6"/>
    <w:rsid w:val="00D95879"/>
    <w:rsid w:val="00D95C0B"/>
    <w:rsid w:val="00D961FC"/>
    <w:rsid w:val="00D97A6B"/>
    <w:rsid w:val="00DA2FA3"/>
    <w:rsid w:val="00DA585A"/>
    <w:rsid w:val="00DA681A"/>
    <w:rsid w:val="00DB3F57"/>
    <w:rsid w:val="00DB751D"/>
    <w:rsid w:val="00DC0138"/>
    <w:rsid w:val="00DC1941"/>
    <w:rsid w:val="00DC22C6"/>
    <w:rsid w:val="00DC59FA"/>
    <w:rsid w:val="00DC679E"/>
    <w:rsid w:val="00DC7A4A"/>
    <w:rsid w:val="00DD0E98"/>
    <w:rsid w:val="00DD1A92"/>
    <w:rsid w:val="00DD265C"/>
    <w:rsid w:val="00DD2D2E"/>
    <w:rsid w:val="00DD3DB9"/>
    <w:rsid w:val="00DE0B3C"/>
    <w:rsid w:val="00DE0E26"/>
    <w:rsid w:val="00DE2333"/>
    <w:rsid w:val="00DE4DF2"/>
    <w:rsid w:val="00DE6220"/>
    <w:rsid w:val="00DE64DE"/>
    <w:rsid w:val="00DE7AB4"/>
    <w:rsid w:val="00DF0661"/>
    <w:rsid w:val="00DF2F9C"/>
    <w:rsid w:val="00DF4D86"/>
    <w:rsid w:val="00DF54A0"/>
    <w:rsid w:val="00DF6644"/>
    <w:rsid w:val="00DF7F6E"/>
    <w:rsid w:val="00E0053A"/>
    <w:rsid w:val="00E01D84"/>
    <w:rsid w:val="00E030B1"/>
    <w:rsid w:val="00E0556E"/>
    <w:rsid w:val="00E06637"/>
    <w:rsid w:val="00E137BB"/>
    <w:rsid w:val="00E16313"/>
    <w:rsid w:val="00E17AA0"/>
    <w:rsid w:val="00E204B4"/>
    <w:rsid w:val="00E221EC"/>
    <w:rsid w:val="00E3199C"/>
    <w:rsid w:val="00E33820"/>
    <w:rsid w:val="00E35B0E"/>
    <w:rsid w:val="00E42425"/>
    <w:rsid w:val="00E53A9A"/>
    <w:rsid w:val="00E62E6F"/>
    <w:rsid w:val="00E6312F"/>
    <w:rsid w:val="00E63ADB"/>
    <w:rsid w:val="00E64988"/>
    <w:rsid w:val="00E64A38"/>
    <w:rsid w:val="00E650D8"/>
    <w:rsid w:val="00E756AC"/>
    <w:rsid w:val="00E8381A"/>
    <w:rsid w:val="00E85358"/>
    <w:rsid w:val="00E87596"/>
    <w:rsid w:val="00E87794"/>
    <w:rsid w:val="00E95437"/>
    <w:rsid w:val="00E96422"/>
    <w:rsid w:val="00EA24BB"/>
    <w:rsid w:val="00EA3B7D"/>
    <w:rsid w:val="00EA5A59"/>
    <w:rsid w:val="00EB3D8F"/>
    <w:rsid w:val="00EB5184"/>
    <w:rsid w:val="00EC0064"/>
    <w:rsid w:val="00EC092E"/>
    <w:rsid w:val="00EC0CB7"/>
    <w:rsid w:val="00EC1F05"/>
    <w:rsid w:val="00EC28A2"/>
    <w:rsid w:val="00EC2D8F"/>
    <w:rsid w:val="00ED0845"/>
    <w:rsid w:val="00ED0FE3"/>
    <w:rsid w:val="00ED1F11"/>
    <w:rsid w:val="00ED3EF0"/>
    <w:rsid w:val="00ED5E06"/>
    <w:rsid w:val="00EE121F"/>
    <w:rsid w:val="00EE2707"/>
    <w:rsid w:val="00EF2CA6"/>
    <w:rsid w:val="00EF4DC4"/>
    <w:rsid w:val="00EF553C"/>
    <w:rsid w:val="00F007B0"/>
    <w:rsid w:val="00F0422A"/>
    <w:rsid w:val="00F0523A"/>
    <w:rsid w:val="00F10319"/>
    <w:rsid w:val="00F117B1"/>
    <w:rsid w:val="00F12D75"/>
    <w:rsid w:val="00F134F9"/>
    <w:rsid w:val="00F17AD4"/>
    <w:rsid w:val="00F218E0"/>
    <w:rsid w:val="00F21DDD"/>
    <w:rsid w:val="00F24382"/>
    <w:rsid w:val="00F24C62"/>
    <w:rsid w:val="00F2677A"/>
    <w:rsid w:val="00F26DB6"/>
    <w:rsid w:val="00F27497"/>
    <w:rsid w:val="00F33F55"/>
    <w:rsid w:val="00F34138"/>
    <w:rsid w:val="00F3642B"/>
    <w:rsid w:val="00F3784C"/>
    <w:rsid w:val="00F379D7"/>
    <w:rsid w:val="00F37C91"/>
    <w:rsid w:val="00F41276"/>
    <w:rsid w:val="00F4230D"/>
    <w:rsid w:val="00F45997"/>
    <w:rsid w:val="00F466B5"/>
    <w:rsid w:val="00F47033"/>
    <w:rsid w:val="00F47FCE"/>
    <w:rsid w:val="00F501D2"/>
    <w:rsid w:val="00F5266F"/>
    <w:rsid w:val="00F55AB2"/>
    <w:rsid w:val="00F55C60"/>
    <w:rsid w:val="00F56447"/>
    <w:rsid w:val="00F573FF"/>
    <w:rsid w:val="00F619ED"/>
    <w:rsid w:val="00F64055"/>
    <w:rsid w:val="00F67011"/>
    <w:rsid w:val="00F710C6"/>
    <w:rsid w:val="00F848D2"/>
    <w:rsid w:val="00F87C15"/>
    <w:rsid w:val="00F87FD4"/>
    <w:rsid w:val="00F911E4"/>
    <w:rsid w:val="00F9481A"/>
    <w:rsid w:val="00F964FD"/>
    <w:rsid w:val="00F96AB1"/>
    <w:rsid w:val="00F97692"/>
    <w:rsid w:val="00F9783F"/>
    <w:rsid w:val="00F978B3"/>
    <w:rsid w:val="00FA2523"/>
    <w:rsid w:val="00FA282C"/>
    <w:rsid w:val="00FA547C"/>
    <w:rsid w:val="00FA589F"/>
    <w:rsid w:val="00FB44F1"/>
    <w:rsid w:val="00FB603A"/>
    <w:rsid w:val="00FC755D"/>
    <w:rsid w:val="00FD376E"/>
    <w:rsid w:val="00FD724A"/>
    <w:rsid w:val="00FE00F9"/>
    <w:rsid w:val="00FE02A9"/>
    <w:rsid w:val="00FE22E3"/>
    <w:rsid w:val="00FE3DFF"/>
    <w:rsid w:val="00FE6398"/>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2">
    <w:name w:val="heading 2"/>
    <w:basedOn w:val="Normal"/>
    <w:link w:val="Ttulo2Car"/>
    <w:uiPriority w:val="9"/>
    <w:qFormat/>
    <w:rsid w:val="0054024A"/>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36E83"/>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5E156B"/>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5E156B"/>
  </w:style>
  <w:style w:type="character" w:customStyle="1" w:styleId="Ttulo2Car">
    <w:name w:val="Título 2 Car"/>
    <w:basedOn w:val="Fuentedeprrafopredeter"/>
    <w:link w:val="Ttulo2"/>
    <w:uiPriority w:val="9"/>
    <w:rsid w:val="0054024A"/>
    <w:rPr>
      <w:rFonts w:ascii="Times New Roman" w:eastAsia="Times New Roman" w:hAnsi="Times New Roman" w:cs="Times New Roman"/>
      <w:b/>
      <w:bCs/>
      <w:sz w:val="36"/>
      <w:szCs w:val="3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922">
      <w:bodyDiv w:val="1"/>
      <w:marLeft w:val="0"/>
      <w:marRight w:val="0"/>
      <w:marTop w:val="0"/>
      <w:marBottom w:val="0"/>
      <w:divBdr>
        <w:top w:val="none" w:sz="0" w:space="0" w:color="auto"/>
        <w:left w:val="none" w:sz="0" w:space="0" w:color="auto"/>
        <w:bottom w:val="none" w:sz="0" w:space="0" w:color="auto"/>
        <w:right w:val="none" w:sz="0" w:space="0" w:color="auto"/>
      </w:divBdr>
      <w:divsChild>
        <w:div w:id="1026060282">
          <w:marLeft w:val="0"/>
          <w:marRight w:val="0"/>
          <w:marTop w:val="0"/>
          <w:marBottom w:val="0"/>
          <w:divBdr>
            <w:top w:val="none" w:sz="0" w:space="0" w:color="auto"/>
            <w:left w:val="none" w:sz="0" w:space="0" w:color="auto"/>
            <w:bottom w:val="none" w:sz="0" w:space="0" w:color="auto"/>
            <w:right w:val="none" w:sz="0" w:space="0" w:color="auto"/>
          </w:divBdr>
          <w:divsChild>
            <w:div w:id="832569599">
              <w:marLeft w:val="0"/>
              <w:marRight w:val="0"/>
              <w:marTop w:val="0"/>
              <w:marBottom w:val="0"/>
              <w:divBdr>
                <w:top w:val="none" w:sz="0" w:space="0" w:color="auto"/>
                <w:left w:val="none" w:sz="0" w:space="0" w:color="auto"/>
                <w:bottom w:val="none" w:sz="0" w:space="0" w:color="auto"/>
                <w:right w:val="none" w:sz="0" w:space="0" w:color="auto"/>
              </w:divBdr>
              <w:divsChild>
                <w:div w:id="1106585163">
                  <w:marLeft w:val="0"/>
                  <w:marRight w:val="0"/>
                  <w:marTop w:val="0"/>
                  <w:marBottom w:val="0"/>
                  <w:divBdr>
                    <w:top w:val="none" w:sz="0" w:space="0" w:color="auto"/>
                    <w:left w:val="none" w:sz="0" w:space="0" w:color="auto"/>
                    <w:bottom w:val="none" w:sz="0" w:space="0" w:color="auto"/>
                    <w:right w:val="none" w:sz="0" w:space="0" w:color="auto"/>
                  </w:divBdr>
                  <w:divsChild>
                    <w:div w:id="713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31472336">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89674861">
      <w:bodyDiv w:val="1"/>
      <w:marLeft w:val="0"/>
      <w:marRight w:val="0"/>
      <w:marTop w:val="0"/>
      <w:marBottom w:val="0"/>
      <w:divBdr>
        <w:top w:val="none" w:sz="0" w:space="0" w:color="auto"/>
        <w:left w:val="none" w:sz="0" w:space="0" w:color="auto"/>
        <w:bottom w:val="none" w:sz="0" w:space="0" w:color="auto"/>
        <w:right w:val="none" w:sz="0" w:space="0" w:color="auto"/>
      </w:divBdr>
    </w:div>
    <w:div w:id="21101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5B11D4D-2FF0-42E2-B7B4-9CFCE4F7B1FA}">
  <ds:schemaRefs>
    <ds:schemaRef ds:uri="http://schemas.openxmlformats.org/officeDocument/2006/bibliography"/>
  </ds:schemaRefs>
</ds:datastoreItem>
</file>

<file path=customXml/itemProps3.xml><?xml version="1.0" encoding="utf-8"?>
<ds:datastoreItem xmlns:ds="http://schemas.openxmlformats.org/officeDocument/2006/customXml" ds:itemID="{C249CA26-5068-4BEC-A473-10196A53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6470</Words>
  <Characters>35589</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alfredo benavides zarate</cp:lastModifiedBy>
  <cp:revision>4</cp:revision>
  <cp:lastPrinted>2020-03-17T17:42:00Z</cp:lastPrinted>
  <dcterms:created xsi:type="dcterms:W3CDTF">2021-11-03T20:36:00Z</dcterms:created>
  <dcterms:modified xsi:type="dcterms:W3CDTF">2021-11-05T05:39:00Z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