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E6F4" w14:textId="41328D45" w:rsidR="00BF0EE2" w:rsidRPr="005E0250" w:rsidRDefault="00214878" w:rsidP="005E0250">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BF0EE2">
        <w:rPr>
          <w:rFonts w:ascii="Arial" w:hAnsi="Arial" w:cs="Arial"/>
          <w:b/>
          <w:sz w:val="16"/>
          <w:szCs w:val="16"/>
          <w:lang w:eastAsia="es-ES"/>
        </w:rPr>
        <w:t>CCE-DES-FM-17</w:t>
      </w:r>
      <w:bookmarkEnd w:id="0"/>
      <w:bookmarkEnd w:id="1"/>
    </w:p>
    <w:p w14:paraId="1C002A39" w14:textId="18BB50FF" w:rsidR="004B5A38" w:rsidRPr="00BF0EE2" w:rsidRDefault="004E7B4A" w:rsidP="00A41CA1">
      <w:pPr>
        <w:jc w:val="both"/>
        <w:rPr>
          <w:rFonts w:ascii="Arial" w:eastAsia="Calibri" w:hAnsi="Arial" w:cs="Arial"/>
          <w:b/>
          <w:color w:val="000000"/>
          <w:sz w:val="22"/>
          <w:lang w:val="es-ES_tradnl"/>
        </w:rPr>
      </w:pPr>
      <w:r w:rsidRPr="00BF0EE2">
        <w:rPr>
          <w:rFonts w:ascii="Arial" w:hAnsi="Arial" w:cs="Arial"/>
          <w:b/>
          <w:sz w:val="22"/>
          <w:lang w:eastAsia="es-ES"/>
        </w:rPr>
        <w:t xml:space="preserve">DOCUMENTOS TIPO </w:t>
      </w:r>
      <w:r w:rsidR="00C35521" w:rsidRPr="00BF0EE2">
        <w:rPr>
          <w:rFonts w:ascii="Arial" w:hAnsi="Arial" w:cs="Arial"/>
          <w:b/>
          <w:sz w:val="22"/>
          <w:lang w:eastAsia="es-ES"/>
        </w:rPr>
        <w:t>–</w:t>
      </w:r>
      <w:r w:rsidR="00721597">
        <w:rPr>
          <w:rFonts w:ascii="Arial" w:hAnsi="Arial" w:cs="Arial"/>
          <w:b/>
          <w:sz w:val="22"/>
          <w:lang w:eastAsia="es-ES"/>
        </w:rPr>
        <w:t xml:space="preserve"> </w:t>
      </w:r>
      <w:r w:rsidRPr="00BF0EE2">
        <w:rPr>
          <w:rFonts w:ascii="Arial" w:hAnsi="Arial" w:cs="Arial"/>
          <w:b/>
          <w:sz w:val="22"/>
          <w:lang w:eastAsia="es-ES"/>
        </w:rPr>
        <w:t>Fundamento normativo</w:t>
      </w:r>
      <w:r w:rsidR="005B2D2A" w:rsidRPr="00BF0EE2">
        <w:rPr>
          <w:rFonts w:ascii="Arial" w:eastAsia="Calibri" w:hAnsi="Arial" w:cs="Arial"/>
          <w:b/>
          <w:color w:val="000000"/>
          <w:sz w:val="22"/>
          <w:lang w:val="es-ES_tradnl"/>
        </w:rPr>
        <w:t xml:space="preserve"> </w:t>
      </w:r>
      <w:r w:rsidR="005B2D2A" w:rsidRPr="00BF0EE2">
        <w:rPr>
          <w:rFonts w:ascii="Arial" w:hAnsi="Arial" w:cs="Arial"/>
          <w:b/>
          <w:sz w:val="22"/>
          <w:lang w:eastAsia="es-ES"/>
        </w:rPr>
        <w:t>–</w:t>
      </w:r>
      <w:r w:rsidR="007A453C">
        <w:rPr>
          <w:rFonts w:ascii="Arial" w:hAnsi="Arial" w:cs="Arial"/>
          <w:b/>
          <w:sz w:val="22"/>
          <w:lang w:eastAsia="es-ES"/>
        </w:rPr>
        <w:t xml:space="preserve"> Obligatoriedad</w:t>
      </w:r>
      <w:r w:rsidRPr="00BF0EE2">
        <w:rPr>
          <w:rFonts w:ascii="Arial" w:hAnsi="Arial" w:cs="Arial"/>
          <w:b/>
          <w:sz w:val="22"/>
          <w:lang w:eastAsia="es-ES"/>
        </w:rPr>
        <w:t xml:space="preserve"> </w:t>
      </w:r>
      <w:r w:rsidR="005B2D2A" w:rsidRPr="00BF0EE2">
        <w:rPr>
          <w:rFonts w:ascii="Arial" w:hAnsi="Arial" w:cs="Arial"/>
          <w:b/>
          <w:sz w:val="22"/>
          <w:lang w:eastAsia="es-ES"/>
        </w:rPr>
        <w:t xml:space="preserve"> </w:t>
      </w:r>
    </w:p>
    <w:p w14:paraId="6A60B2CA" w14:textId="77777777" w:rsidR="007E3480" w:rsidRPr="00BF0EE2" w:rsidRDefault="007E3480" w:rsidP="004B5A38">
      <w:pPr>
        <w:rPr>
          <w:rFonts w:ascii="Arial" w:hAnsi="Arial" w:cs="Arial"/>
          <w:b/>
          <w:sz w:val="22"/>
          <w:lang w:eastAsia="es-ES"/>
        </w:rPr>
      </w:pPr>
      <w:r w:rsidRPr="00BF0EE2">
        <w:rPr>
          <w:rFonts w:ascii="Arial" w:hAnsi="Arial" w:cs="Arial"/>
          <w:b/>
          <w:sz w:val="22"/>
          <w:lang w:eastAsia="es-ES"/>
        </w:rPr>
        <w:t xml:space="preserve"> </w:t>
      </w:r>
    </w:p>
    <w:p w14:paraId="58D1A8AA" w14:textId="5A3F3D49" w:rsidR="008253F6" w:rsidRPr="00C03724" w:rsidRDefault="00C03724" w:rsidP="00C03724">
      <w:pPr>
        <w:jc w:val="both"/>
        <w:rPr>
          <w:rFonts w:ascii="Arial" w:eastAsia="Calibri" w:hAnsi="Arial" w:cs="Arial"/>
          <w:color w:val="000000" w:themeColor="text1"/>
          <w:sz w:val="20"/>
          <w:szCs w:val="20"/>
        </w:rPr>
      </w:pPr>
      <w:r w:rsidRPr="00C03724">
        <w:rPr>
          <w:rFonts w:ascii="Arial" w:hAnsi="Arial" w:cs="Arial"/>
          <w:sz w:val="20"/>
          <w:szCs w:val="20"/>
          <w:lang w:eastAsia="es-ES"/>
        </w:rPr>
        <w:t xml:space="preserve">[…] </w:t>
      </w:r>
      <w:r w:rsidRPr="00C03724">
        <w:rPr>
          <w:rFonts w:ascii="Arial" w:eastAsia="Calibri" w:hAnsi="Arial" w:cs="Arial"/>
          <w:color w:val="000000" w:themeColor="text1"/>
          <w:sz w:val="20"/>
          <w:szCs w:val="20"/>
        </w:rPr>
        <w:t>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w:t>
      </w:r>
    </w:p>
    <w:p w14:paraId="471F0C89" w14:textId="77777777" w:rsidR="00C03724" w:rsidRPr="004E7B4A" w:rsidRDefault="00C03724" w:rsidP="00C03724">
      <w:pPr>
        <w:jc w:val="both"/>
        <w:rPr>
          <w:rFonts w:ascii="Arial" w:hAnsi="Arial" w:cs="Arial"/>
          <w:b/>
          <w:sz w:val="20"/>
          <w:szCs w:val="20"/>
          <w:highlight w:val="magenta"/>
          <w:lang w:val="es-ES_tradnl" w:eastAsia="es-ES"/>
        </w:rPr>
      </w:pPr>
    </w:p>
    <w:p w14:paraId="74F6CCC5" w14:textId="553B0E00" w:rsidR="008324F7" w:rsidRDefault="008324F7" w:rsidP="007D7B2D">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DOCUMENTO</w:t>
      </w:r>
      <w:r w:rsidR="00BE59E7">
        <w:rPr>
          <w:rFonts w:ascii="Arial" w:hAnsi="Arial" w:cs="Arial"/>
          <w:b/>
          <w:bCs/>
          <w:color w:val="000000" w:themeColor="text1"/>
          <w:sz w:val="22"/>
          <w:lang w:val="es-ES_tradnl"/>
        </w:rPr>
        <w:t>S</w:t>
      </w:r>
      <w:r>
        <w:rPr>
          <w:rFonts w:ascii="Arial" w:hAnsi="Arial" w:cs="Arial"/>
          <w:b/>
          <w:bCs/>
          <w:color w:val="000000" w:themeColor="text1"/>
          <w:sz w:val="22"/>
          <w:lang w:val="es-ES_tradnl"/>
        </w:rPr>
        <w:t xml:space="preserve"> TIPO – Inalterabilidad – Excepciones </w:t>
      </w:r>
    </w:p>
    <w:p w14:paraId="0C9A2F55" w14:textId="77777777" w:rsidR="008324F7" w:rsidRDefault="008324F7" w:rsidP="007D7B2D">
      <w:pPr>
        <w:jc w:val="both"/>
        <w:rPr>
          <w:rFonts w:ascii="Arial" w:hAnsi="Arial" w:cs="Arial"/>
          <w:b/>
          <w:bCs/>
          <w:color w:val="000000" w:themeColor="text1"/>
          <w:sz w:val="22"/>
          <w:lang w:val="es-ES_tradnl"/>
        </w:rPr>
      </w:pPr>
    </w:p>
    <w:p w14:paraId="0A2A821A" w14:textId="767FB85E" w:rsidR="00C03724" w:rsidRPr="00BE59E7" w:rsidRDefault="00C03724" w:rsidP="00BE59E7">
      <w:pPr>
        <w:jc w:val="both"/>
        <w:rPr>
          <w:rFonts w:ascii="Arial" w:eastAsia="Calibri" w:hAnsi="Arial" w:cs="Arial"/>
          <w:color w:val="000000"/>
          <w:sz w:val="20"/>
          <w:szCs w:val="20"/>
          <w:lang w:val="es-ES_tradnl"/>
        </w:rPr>
      </w:pPr>
      <w:r w:rsidRPr="00BE59E7">
        <w:rPr>
          <w:rFonts w:ascii="Arial" w:eastAsia="Calibri" w:hAnsi="Arial" w:cs="Arial"/>
          <w:color w:val="000000"/>
          <w:sz w:val="20"/>
          <w:szCs w:val="20"/>
          <w:lang w:val="es-ES_tradnl"/>
        </w:rPr>
        <w:t>Todas las resoluciones expedidas por la Agencia Nacional de Contratación Pública – Colombia Compra Eficiente, mediante las cuales se han adoptado los pliegos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1BCDCD27" w14:textId="77777777" w:rsidR="00C03724" w:rsidRPr="00BE59E7" w:rsidRDefault="00C03724" w:rsidP="00BE59E7">
      <w:pPr>
        <w:jc w:val="both"/>
        <w:rPr>
          <w:rFonts w:ascii="Arial" w:eastAsia="Calibri" w:hAnsi="Arial" w:cs="Arial"/>
          <w:color w:val="000000"/>
          <w:sz w:val="20"/>
          <w:szCs w:val="20"/>
          <w:lang w:val="es-ES_tradnl"/>
        </w:rPr>
      </w:pPr>
      <w:r w:rsidRPr="00BE59E7">
        <w:rPr>
          <w:rFonts w:ascii="Arial" w:eastAsia="Calibri" w:hAnsi="Arial" w:cs="Arial"/>
          <w:color w:val="000000"/>
          <w:sz w:val="20"/>
          <w:szCs w:val="20"/>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p>
    <w:p w14:paraId="0B9D106A" w14:textId="77777777" w:rsidR="008324F7" w:rsidRPr="008324F7" w:rsidRDefault="008324F7" w:rsidP="008324F7">
      <w:pPr>
        <w:jc w:val="both"/>
        <w:rPr>
          <w:rFonts w:ascii="Arial" w:hAnsi="Arial" w:cs="Arial"/>
          <w:b/>
          <w:bCs/>
          <w:color w:val="000000" w:themeColor="text1"/>
          <w:sz w:val="20"/>
          <w:szCs w:val="20"/>
          <w:lang w:val="es-ES_tradnl"/>
        </w:rPr>
      </w:pPr>
    </w:p>
    <w:p w14:paraId="7952BBB7" w14:textId="17692C58" w:rsidR="007D7B2D" w:rsidRPr="0083419E" w:rsidRDefault="007D7B2D" w:rsidP="007D7B2D">
      <w:pPr>
        <w:jc w:val="both"/>
        <w:rPr>
          <w:rFonts w:ascii="Arial" w:hAnsi="Arial" w:cs="Arial"/>
          <w:b/>
          <w:bCs/>
          <w:color w:val="000000" w:themeColor="text1"/>
          <w:sz w:val="22"/>
          <w:lang w:val="es-ES_tradnl"/>
        </w:rPr>
      </w:pPr>
      <w:r w:rsidRPr="0083419E">
        <w:rPr>
          <w:rFonts w:ascii="Arial" w:hAnsi="Arial" w:cs="Arial"/>
          <w:b/>
          <w:bCs/>
          <w:color w:val="000000" w:themeColor="text1"/>
          <w:sz w:val="22"/>
          <w:lang w:val="es-ES_tradnl"/>
        </w:rPr>
        <w:t xml:space="preserve">MATRIZ 1 </w:t>
      </w:r>
      <w:r w:rsidR="00BE59E7">
        <w:rPr>
          <w:rFonts w:ascii="Arial" w:hAnsi="Arial" w:cs="Arial"/>
          <w:b/>
          <w:bCs/>
          <w:color w:val="000000" w:themeColor="text1"/>
          <w:sz w:val="22"/>
          <w:lang w:val="es-ES_tradnl"/>
        </w:rPr>
        <w:t>DE</w:t>
      </w:r>
      <w:r w:rsidRPr="0083419E">
        <w:rPr>
          <w:rFonts w:ascii="Arial" w:hAnsi="Arial" w:cs="Arial"/>
          <w:b/>
          <w:bCs/>
          <w:color w:val="000000" w:themeColor="text1"/>
          <w:sz w:val="22"/>
          <w:lang w:val="es-ES_tradnl"/>
        </w:rPr>
        <w:t xml:space="preserve"> EXPERIENCIA –</w:t>
      </w:r>
      <w:r w:rsidR="00C03724">
        <w:rPr>
          <w:rFonts w:ascii="Arial" w:hAnsi="Arial" w:cs="Arial"/>
          <w:b/>
          <w:bCs/>
          <w:color w:val="000000" w:themeColor="text1"/>
          <w:sz w:val="22"/>
          <w:lang w:val="es-ES_tradnl"/>
        </w:rPr>
        <w:t xml:space="preserve"> </w:t>
      </w:r>
      <w:r w:rsidRPr="0083419E">
        <w:rPr>
          <w:rFonts w:ascii="Arial" w:hAnsi="Arial" w:cs="Arial"/>
          <w:b/>
          <w:bCs/>
          <w:color w:val="000000" w:themeColor="text1"/>
          <w:sz w:val="22"/>
          <w:lang w:val="es-ES_tradnl"/>
        </w:rPr>
        <w:t xml:space="preserve">Condiciones de experiencia – Aplicación </w:t>
      </w:r>
      <w:r w:rsidR="00BE59E7">
        <w:rPr>
          <w:rFonts w:ascii="Arial" w:hAnsi="Arial" w:cs="Arial"/>
          <w:b/>
          <w:bCs/>
          <w:color w:val="000000" w:themeColor="text1"/>
          <w:sz w:val="22"/>
          <w:lang w:val="es-ES_tradnl"/>
        </w:rPr>
        <w:t>–</w:t>
      </w:r>
      <w:r w:rsidRPr="0083419E">
        <w:rPr>
          <w:rFonts w:ascii="Arial" w:hAnsi="Arial" w:cs="Arial"/>
          <w:b/>
          <w:bCs/>
          <w:color w:val="000000" w:themeColor="text1"/>
          <w:sz w:val="22"/>
          <w:lang w:val="es-ES_tradnl"/>
        </w:rPr>
        <w:t xml:space="preserve"> </w:t>
      </w:r>
      <w:r w:rsidR="00BE59E7">
        <w:rPr>
          <w:rFonts w:ascii="Arial" w:hAnsi="Arial" w:cs="Arial"/>
          <w:b/>
          <w:bCs/>
          <w:color w:val="000000" w:themeColor="text1"/>
          <w:sz w:val="22"/>
          <w:lang w:val="es-ES_tradnl"/>
        </w:rPr>
        <w:t>D</w:t>
      </w:r>
      <w:r w:rsidRPr="0083419E">
        <w:rPr>
          <w:rFonts w:ascii="Arial" w:hAnsi="Arial" w:cs="Arial"/>
          <w:b/>
          <w:bCs/>
          <w:color w:val="000000" w:themeColor="text1"/>
          <w:sz w:val="22"/>
          <w:lang w:val="es-ES_tradnl"/>
        </w:rPr>
        <w:t>ocumentos tipo</w:t>
      </w:r>
    </w:p>
    <w:p w14:paraId="3D091E44" w14:textId="5109DEDB" w:rsidR="007D7B2D" w:rsidRPr="007D7B2D" w:rsidRDefault="007D7B2D" w:rsidP="00BE59E7">
      <w:pPr>
        <w:spacing w:line="276" w:lineRule="auto"/>
        <w:jc w:val="both"/>
        <w:rPr>
          <w:rFonts w:ascii="Arial" w:hAnsi="Arial" w:cs="Arial"/>
          <w:b/>
          <w:sz w:val="22"/>
          <w:lang w:val="es-ES_tradnl" w:eastAsia="es-ES"/>
        </w:rPr>
      </w:pPr>
    </w:p>
    <w:p w14:paraId="0EA415B8" w14:textId="295A9D88" w:rsidR="00CE4B30" w:rsidRPr="00BE59E7" w:rsidRDefault="007A453C" w:rsidP="00BE59E7">
      <w:pPr>
        <w:jc w:val="both"/>
        <w:rPr>
          <w:rFonts w:ascii="Arial" w:eastAsia="Times New Roman" w:hAnsi="Arial" w:cs="Arial"/>
          <w:sz w:val="20"/>
          <w:szCs w:val="20"/>
          <w:shd w:val="clear" w:color="auto" w:fill="FFFFFF"/>
          <w:lang w:val="es-ES_tradnl" w:eastAsia="es-MX"/>
        </w:rPr>
      </w:pPr>
      <w:r>
        <w:rPr>
          <w:rFonts w:ascii="Arial" w:eastAsia="Times New Roman" w:hAnsi="Arial" w:cs="Arial"/>
          <w:sz w:val="20"/>
          <w:szCs w:val="20"/>
          <w:shd w:val="clear" w:color="auto" w:fill="FFFFFF"/>
          <w:lang w:val="es-ES_tradnl" w:eastAsia="es-MX"/>
        </w:rPr>
        <w:t>[…]</w:t>
      </w:r>
      <w:r w:rsidR="00BE59E7">
        <w:rPr>
          <w:rFonts w:ascii="Arial" w:eastAsia="Times New Roman" w:hAnsi="Arial" w:cs="Arial"/>
          <w:sz w:val="20"/>
          <w:szCs w:val="20"/>
          <w:shd w:val="clear" w:color="auto" w:fill="FFFFFF"/>
          <w:lang w:val="es-ES_tradnl" w:eastAsia="es-MX"/>
        </w:rPr>
        <w:t xml:space="preserve"> </w:t>
      </w:r>
      <w:r w:rsidR="00CE4B30" w:rsidRPr="00CE4B30">
        <w:rPr>
          <w:rFonts w:ascii="Arial" w:hAnsi="Arial" w:cs="Arial"/>
          <w:color w:val="0D0D0D" w:themeColor="text1" w:themeTint="F2"/>
          <w:sz w:val="20"/>
          <w:szCs w:val="20"/>
        </w:rPr>
        <w:t xml:space="preserve">Uno de los elementos comunes a los diferentes documentos tipo es la «Matriz 1 – Experiencia». Esta consta de unas celdas en las que se describe la experiencia requerida en relación con el objeto a contratar, definiendo además qué tipo de actividades relacionadas con infraestructura de transporte deben acogerse a los pliegos tipo. Por otro lado, encontramos el «Anexo 3 – Glosario», el cual contiene las definiciones de los términos usados en los documentos del proceso. Utilizando estos dos documentos, la entidad estatal puede definir si el objeto a contratarse debe emplear los documentos tipo. </w:t>
      </w:r>
    </w:p>
    <w:p w14:paraId="60F30D09" w14:textId="77777777" w:rsidR="00CE4B30" w:rsidRPr="00CE4B30" w:rsidRDefault="00CE4B30" w:rsidP="00BE59E7">
      <w:pPr>
        <w:jc w:val="both"/>
        <w:rPr>
          <w:rFonts w:ascii="Arial" w:hAnsi="Arial" w:cs="Arial"/>
          <w:color w:val="0D0D0D" w:themeColor="text1" w:themeTint="F2"/>
          <w:sz w:val="20"/>
          <w:szCs w:val="20"/>
        </w:rPr>
      </w:pPr>
      <w:r w:rsidRPr="00CE4B30">
        <w:rPr>
          <w:rFonts w:ascii="Arial" w:hAnsi="Arial" w:cs="Arial"/>
          <w:color w:val="0D0D0D" w:themeColor="text1" w:themeTint="F2"/>
          <w:sz w:val="20"/>
          <w:szCs w:val="20"/>
        </w:rPr>
        <w:t xml:space="preserve">[…] la Matriz 1, en el marco de la aplicación de los documentos tipo de infraestructura de transporte, cumple una doble función. Por un lado, estandariza las condiciones de experiencia, conforme al parágrafo 7 del artículo 2 de la Ley 1150 de 2007. De otro lado, determina el ámbito de aplicación más concreto de los documentos tipo respecto de objetos contractuales asociados, ya que son las actividades descritas en la mencionada matriz las que, obligatoriamente, deben contratarse aplicando su contenido. </w:t>
      </w:r>
    </w:p>
    <w:p w14:paraId="4DF47E7B" w14:textId="60D48AEF" w:rsidR="00B44CA2" w:rsidRPr="00CE4B30" w:rsidRDefault="00CE4B30" w:rsidP="00BE59E7">
      <w:pPr>
        <w:jc w:val="both"/>
        <w:rPr>
          <w:rFonts w:ascii="Arial" w:eastAsia="Calibri" w:hAnsi="Arial" w:cs="Arial"/>
          <w:sz w:val="20"/>
          <w:szCs w:val="20"/>
        </w:rPr>
      </w:pPr>
      <w:r w:rsidRPr="00CE4B30">
        <w:rPr>
          <w:rFonts w:ascii="Arial" w:hAnsi="Arial" w:cs="Arial"/>
          <w:color w:val="0D0D0D" w:themeColor="text1" w:themeTint="F2"/>
          <w:sz w:val="20"/>
          <w:szCs w:val="20"/>
        </w:rPr>
        <w:lastRenderedPageBreak/>
        <w:t>De esta manera, para saber si una obra pública debe contratarse aplicando documentos tipo, la entidad debe verificar los que se hayan expedido para la modalidad de selección en la que debe celebrarse el proceso, subsumiendo el objeto en los tipos de proyectos de infraestructura previstos en la matriz de experiencia. De esta manera, si el objeto encuadra materialmente dentro de alguno de los tipos de obra y las actividades concretas señaladas en la matriz, se aplicarán los documentos tipo.</w:t>
      </w:r>
    </w:p>
    <w:p w14:paraId="11DD7CA2" w14:textId="0EFF0CB0" w:rsidR="007D7B2D" w:rsidRPr="00CE4B30" w:rsidRDefault="007D7B2D" w:rsidP="00CE4B30">
      <w:pPr>
        <w:rPr>
          <w:rFonts w:ascii="Arial" w:eastAsia="Times New Roman" w:hAnsi="Arial" w:cs="Arial"/>
          <w:sz w:val="20"/>
          <w:szCs w:val="20"/>
          <w:shd w:val="clear" w:color="auto" w:fill="FFFFFF"/>
          <w:lang w:val="es-ES_tradnl" w:eastAsia="es-MX"/>
        </w:rPr>
      </w:pPr>
    </w:p>
    <w:p w14:paraId="6996631F" w14:textId="7A33DB5D" w:rsidR="007D7B2D" w:rsidRDefault="007D7B2D" w:rsidP="008253F6">
      <w:pPr>
        <w:rPr>
          <w:rFonts w:ascii="Arial" w:eastAsia="Times New Roman" w:hAnsi="Arial" w:cs="Arial"/>
          <w:sz w:val="20"/>
          <w:szCs w:val="20"/>
          <w:shd w:val="clear" w:color="auto" w:fill="FFFFFF"/>
          <w:lang w:val="es-ES_tradnl" w:eastAsia="es-MX"/>
        </w:rPr>
      </w:pPr>
    </w:p>
    <w:p w14:paraId="5E953830" w14:textId="23051236" w:rsidR="005E0250" w:rsidRDefault="005E0250" w:rsidP="00DF0F8E">
      <w:pPr>
        <w:rPr>
          <w:rFonts w:ascii="Arial" w:eastAsia="Times New Roman" w:hAnsi="Arial" w:cs="Arial"/>
          <w:sz w:val="20"/>
          <w:szCs w:val="20"/>
          <w:shd w:val="clear" w:color="auto" w:fill="FFFFFF"/>
          <w:lang w:val="es-ES_tradnl" w:eastAsia="es-MX"/>
        </w:rPr>
      </w:pPr>
    </w:p>
    <w:p w14:paraId="4CB6C517" w14:textId="12EA8566" w:rsidR="007A453C" w:rsidRDefault="007A453C" w:rsidP="00DF0F8E">
      <w:pPr>
        <w:rPr>
          <w:rFonts w:ascii="Arial" w:eastAsia="Calibri" w:hAnsi="Arial" w:cs="Arial"/>
          <w:sz w:val="22"/>
        </w:rPr>
      </w:pPr>
    </w:p>
    <w:p w14:paraId="4A0C480F" w14:textId="77777777" w:rsidR="00E00060" w:rsidRDefault="00E00060" w:rsidP="00DF0F8E">
      <w:pPr>
        <w:rPr>
          <w:rFonts w:ascii="Arial" w:eastAsia="Calibri" w:hAnsi="Arial" w:cs="Arial"/>
          <w:sz w:val="22"/>
        </w:rPr>
      </w:pPr>
    </w:p>
    <w:p w14:paraId="1FA3B05E" w14:textId="092FE386" w:rsidR="005E0250" w:rsidRDefault="005E0250" w:rsidP="00DF0F8E">
      <w:pPr>
        <w:rPr>
          <w:rFonts w:ascii="Arial" w:eastAsia="Calibri" w:hAnsi="Arial" w:cs="Arial"/>
          <w:sz w:val="22"/>
        </w:rPr>
      </w:pPr>
    </w:p>
    <w:p w14:paraId="129364AD" w14:textId="277A661D" w:rsidR="00E00060" w:rsidRDefault="00E00060" w:rsidP="00DF0F8E">
      <w:pPr>
        <w:rPr>
          <w:rFonts w:ascii="Arial" w:eastAsia="Calibri" w:hAnsi="Arial" w:cs="Arial"/>
          <w:sz w:val="22"/>
        </w:rPr>
      </w:pPr>
    </w:p>
    <w:p w14:paraId="1DAC264D" w14:textId="42C31710" w:rsidR="00C03724" w:rsidRDefault="00C03724" w:rsidP="00DF0F8E">
      <w:pPr>
        <w:rPr>
          <w:rFonts w:ascii="Arial" w:eastAsia="Calibri" w:hAnsi="Arial" w:cs="Arial"/>
          <w:sz w:val="22"/>
        </w:rPr>
      </w:pPr>
    </w:p>
    <w:p w14:paraId="5158A0A5" w14:textId="5807C4ED" w:rsidR="00C03724" w:rsidRDefault="00C03724" w:rsidP="00DF0F8E">
      <w:pPr>
        <w:rPr>
          <w:rFonts w:ascii="Arial" w:eastAsia="Calibri" w:hAnsi="Arial" w:cs="Arial"/>
          <w:sz w:val="22"/>
        </w:rPr>
      </w:pPr>
    </w:p>
    <w:p w14:paraId="3D1AA771" w14:textId="4A93774F" w:rsidR="00C03724" w:rsidRDefault="00C03724" w:rsidP="00DF0F8E">
      <w:pPr>
        <w:rPr>
          <w:rFonts w:ascii="Arial" w:eastAsia="Calibri" w:hAnsi="Arial" w:cs="Arial"/>
          <w:sz w:val="22"/>
        </w:rPr>
      </w:pPr>
    </w:p>
    <w:p w14:paraId="1654FDAC" w14:textId="538F7479" w:rsidR="00C03724" w:rsidRDefault="00C03724" w:rsidP="00DF0F8E">
      <w:pPr>
        <w:rPr>
          <w:rFonts w:ascii="Arial" w:eastAsia="Calibri" w:hAnsi="Arial" w:cs="Arial"/>
          <w:sz w:val="22"/>
        </w:rPr>
      </w:pPr>
    </w:p>
    <w:p w14:paraId="41742438" w14:textId="3274FCD5" w:rsidR="00C03724" w:rsidRDefault="00C03724" w:rsidP="00DF0F8E">
      <w:pPr>
        <w:rPr>
          <w:rFonts w:ascii="Arial" w:eastAsia="Calibri" w:hAnsi="Arial" w:cs="Arial"/>
          <w:sz w:val="22"/>
        </w:rPr>
      </w:pPr>
    </w:p>
    <w:p w14:paraId="4D144827" w14:textId="03945583" w:rsidR="00C03724" w:rsidRDefault="00C03724" w:rsidP="00DF0F8E">
      <w:pPr>
        <w:rPr>
          <w:rFonts w:ascii="Arial" w:eastAsia="Calibri" w:hAnsi="Arial" w:cs="Arial"/>
          <w:sz w:val="22"/>
        </w:rPr>
      </w:pPr>
    </w:p>
    <w:p w14:paraId="6CA1377D" w14:textId="6795149B" w:rsidR="00C03724" w:rsidRDefault="00C03724" w:rsidP="00DF0F8E">
      <w:pPr>
        <w:rPr>
          <w:rFonts w:ascii="Arial" w:eastAsia="Calibri" w:hAnsi="Arial" w:cs="Arial"/>
          <w:sz w:val="22"/>
        </w:rPr>
      </w:pPr>
    </w:p>
    <w:p w14:paraId="5D4475AB" w14:textId="6912B072" w:rsidR="00C03724" w:rsidRDefault="00C03724" w:rsidP="00DF0F8E">
      <w:pPr>
        <w:rPr>
          <w:rFonts w:ascii="Arial" w:eastAsia="Calibri" w:hAnsi="Arial" w:cs="Arial"/>
          <w:sz w:val="22"/>
        </w:rPr>
      </w:pPr>
    </w:p>
    <w:p w14:paraId="0D07EC98" w14:textId="3F18A119" w:rsidR="00C03724" w:rsidRDefault="00C03724" w:rsidP="00DF0F8E">
      <w:pPr>
        <w:rPr>
          <w:rFonts w:ascii="Arial" w:eastAsia="Calibri" w:hAnsi="Arial" w:cs="Arial"/>
          <w:sz w:val="22"/>
        </w:rPr>
      </w:pPr>
    </w:p>
    <w:p w14:paraId="2EE8FFD2" w14:textId="051F60E0" w:rsidR="00C03724" w:rsidRDefault="00C03724" w:rsidP="00DF0F8E">
      <w:pPr>
        <w:rPr>
          <w:rFonts w:ascii="Arial" w:eastAsia="Calibri" w:hAnsi="Arial" w:cs="Arial"/>
          <w:sz w:val="22"/>
        </w:rPr>
      </w:pPr>
    </w:p>
    <w:p w14:paraId="1FD4265A" w14:textId="246EEDED" w:rsidR="00C03724" w:rsidRDefault="00C03724" w:rsidP="00DF0F8E">
      <w:pPr>
        <w:rPr>
          <w:rFonts w:ascii="Arial" w:eastAsia="Calibri" w:hAnsi="Arial" w:cs="Arial"/>
          <w:sz w:val="22"/>
        </w:rPr>
      </w:pPr>
    </w:p>
    <w:p w14:paraId="4EAA5D89" w14:textId="76A2A9BA" w:rsidR="00C03724" w:rsidRDefault="00C03724" w:rsidP="00DF0F8E">
      <w:pPr>
        <w:rPr>
          <w:rFonts w:ascii="Arial" w:eastAsia="Calibri" w:hAnsi="Arial" w:cs="Arial"/>
          <w:sz w:val="22"/>
        </w:rPr>
      </w:pPr>
    </w:p>
    <w:p w14:paraId="59563BDB" w14:textId="5E4CC5BC" w:rsidR="00C03724" w:rsidRDefault="00C03724" w:rsidP="00DF0F8E">
      <w:pPr>
        <w:rPr>
          <w:rFonts w:ascii="Arial" w:eastAsia="Calibri" w:hAnsi="Arial" w:cs="Arial"/>
          <w:sz w:val="22"/>
        </w:rPr>
      </w:pPr>
    </w:p>
    <w:p w14:paraId="424A9C9B" w14:textId="71F5A37B" w:rsidR="00C03724" w:rsidRDefault="00C03724" w:rsidP="00DF0F8E">
      <w:pPr>
        <w:rPr>
          <w:rFonts w:ascii="Arial" w:eastAsia="Calibri" w:hAnsi="Arial" w:cs="Arial"/>
          <w:sz w:val="22"/>
        </w:rPr>
      </w:pPr>
    </w:p>
    <w:p w14:paraId="778D9D1E" w14:textId="37BEF69D" w:rsidR="00C03724" w:rsidRDefault="00C03724" w:rsidP="00DF0F8E">
      <w:pPr>
        <w:rPr>
          <w:rFonts w:ascii="Arial" w:eastAsia="Calibri" w:hAnsi="Arial" w:cs="Arial"/>
          <w:sz w:val="22"/>
        </w:rPr>
      </w:pPr>
    </w:p>
    <w:p w14:paraId="3407ADF1" w14:textId="21813320" w:rsidR="00C03724" w:rsidRDefault="00C03724" w:rsidP="00DF0F8E">
      <w:pPr>
        <w:rPr>
          <w:rFonts w:ascii="Arial" w:eastAsia="Calibri" w:hAnsi="Arial" w:cs="Arial"/>
          <w:sz w:val="22"/>
        </w:rPr>
      </w:pPr>
    </w:p>
    <w:p w14:paraId="74930F50" w14:textId="13EDF44B" w:rsidR="00C03724" w:rsidRDefault="00C03724" w:rsidP="00DF0F8E">
      <w:pPr>
        <w:rPr>
          <w:rFonts w:ascii="Arial" w:eastAsia="Calibri" w:hAnsi="Arial" w:cs="Arial"/>
          <w:sz w:val="22"/>
        </w:rPr>
      </w:pPr>
    </w:p>
    <w:p w14:paraId="2AC18B5B" w14:textId="103BB810" w:rsidR="00C03724" w:rsidRDefault="00C03724" w:rsidP="00DF0F8E">
      <w:pPr>
        <w:rPr>
          <w:rFonts w:ascii="Arial" w:eastAsia="Calibri" w:hAnsi="Arial" w:cs="Arial"/>
          <w:sz w:val="22"/>
        </w:rPr>
      </w:pPr>
    </w:p>
    <w:p w14:paraId="5E10F136" w14:textId="2D196326" w:rsidR="00C03724" w:rsidRDefault="00C03724" w:rsidP="00DF0F8E">
      <w:pPr>
        <w:rPr>
          <w:rFonts w:ascii="Arial" w:eastAsia="Calibri" w:hAnsi="Arial" w:cs="Arial"/>
          <w:sz w:val="22"/>
        </w:rPr>
      </w:pPr>
    </w:p>
    <w:p w14:paraId="41FD7156" w14:textId="12E3B40A" w:rsidR="00C03724" w:rsidRDefault="00C03724" w:rsidP="00DF0F8E">
      <w:pPr>
        <w:rPr>
          <w:rFonts w:ascii="Arial" w:eastAsia="Calibri" w:hAnsi="Arial" w:cs="Arial"/>
          <w:sz w:val="22"/>
        </w:rPr>
      </w:pPr>
    </w:p>
    <w:p w14:paraId="447E9037" w14:textId="6BBF408B" w:rsidR="00C03724" w:rsidRDefault="00C03724" w:rsidP="00DF0F8E">
      <w:pPr>
        <w:rPr>
          <w:rFonts w:ascii="Arial" w:eastAsia="Calibri" w:hAnsi="Arial" w:cs="Arial"/>
          <w:sz w:val="22"/>
        </w:rPr>
      </w:pPr>
    </w:p>
    <w:p w14:paraId="231BFE72" w14:textId="43D90937" w:rsidR="00C03724" w:rsidRDefault="00C03724" w:rsidP="00DF0F8E">
      <w:pPr>
        <w:rPr>
          <w:rFonts w:ascii="Arial" w:eastAsia="Calibri" w:hAnsi="Arial" w:cs="Arial"/>
          <w:sz w:val="22"/>
        </w:rPr>
      </w:pPr>
    </w:p>
    <w:p w14:paraId="78435DF1" w14:textId="1690660E" w:rsidR="00CE4B30" w:rsidRDefault="00CE4B30" w:rsidP="00DF0F8E">
      <w:pPr>
        <w:rPr>
          <w:rFonts w:ascii="Arial" w:eastAsia="Calibri" w:hAnsi="Arial" w:cs="Arial"/>
          <w:sz w:val="22"/>
        </w:rPr>
      </w:pPr>
    </w:p>
    <w:p w14:paraId="3CA7E859" w14:textId="42B95C4E" w:rsidR="00CE4B30" w:rsidRDefault="00CE4B30" w:rsidP="00DF0F8E">
      <w:pPr>
        <w:rPr>
          <w:rFonts w:ascii="Arial" w:eastAsia="Calibri" w:hAnsi="Arial" w:cs="Arial"/>
          <w:sz w:val="22"/>
        </w:rPr>
      </w:pPr>
    </w:p>
    <w:p w14:paraId="5C16E40A" w14:textId="0B219D3A" w:rsidR="00CE4B30" w:rsidRDefault="00CE4B30" w:rsidP="00DF0F8E">
      <w:pPr>
        <w:rPr>
          <w:rFonts w:ascii="Arial" w:eastAsia="Calibri" w:hAnsi="Arial" w:cs="Arial"/>
          <w:sz w:val="22"/>
        </w:rPr>
      </w:pPr>
    </w:p>
    <w:p w14:paraId="23997138" w14:textId="4E90A290" w:rsidR="00CE4B30" w:rsidRDefault="00CE4B30" w:rsidP="00DF0F8E">
      <w:pPr>
        <w:rPr>
          <w:rFonts w:ascii="Arial" w:eastAsia="Calibri" w:hAnsi="Arial" w:cs="Arial"/>
          <w:sz w:val="22"/>
        </w:rPr>
      </w:pPr>
    </w:p>
    <w:p w14:paraId="1DB94B4D" w14:textId="27B494CA" w:rsidR="00CE4B30" w:rsidRDefault="00CE4B30" w:rsidP="00DF0F8E">
      <w:pPr>
        <w:rPr>
          <w:rFonts w:ascii="Arial" w:eastAsia="Calibri" w:hAnsi="Arial" w:cs="Arial"/>
          <w:sz w:val="22"/>
        </w:rPr>
      </w:pPr>
    </w:p>
    <w:p w14:paraId="55BCD090" w14:textId="41C3E890" w:rsidR="00CE4B30" w:rsidRDefault="00CE4B30" w:rsidP="00DF0F8E">
      <w:pPr>
        <w:rPr>
          <w:rFonts w:ascii="Arial" w:eastAsia="Calibri" w:hAnsi="Arial" w:cs="Arial"/>
          <w:sz w:val="22"/>
        </w:rPr>
      </w:pPr>
    </w:p>
    <w:p w14:paraId="13BDA48C" w14:textId="3B036334" w:rsidR="00CE4B30" w:rsidRDefault="00CE4B30" w:rsidP="00DF0F8E">
      <w:pPr>
        <w:rPr>
          <w:rFonts w:ascii="Arial" w:eastAsia="Calibri" w:hAnsi="Arial" w:cs="Arial"/>
          <w:sz w:val="22"/>
        </w:rPr>
      </w:pPr>
    </w:p>
    <w:p w14:paraId="0C0195AA" w14:textId="7EF4721A" w:rsidR="00CE4B30" w:rsidRDefault="00CE4B30" w:rsidP="00DF0F8E">
      <w:pPr>
        <w:rPr>
          <w:rFonts w:ascii="Arial" w:eastAsia="Calibri" w:hAnsi="Arial" w:cs="Arial"/>
          <w:sz w:val="22"/>
        </w:rPr>
      </w:pPr>
    </w:p>
    <w:p w14:paraId="02CA48FC" w14:textId="5152F866" w:rsidR="00CE4B30" w:rsidRDefault="00CE4B30" w:rsidP="00DF0F8E">
      <w:pPr>
        <w:rPr>
          <w:rFonts w:ascii="Arial" w:eastAsia="Calibri" w:hAnsi="Arial" w:cs="Arial"/>
          <w:sz w:val="22"/>
        </w:rPr>
      </w:pPr>
    </w:p>
    <w:p w14:paraId="77103CD7" w14:textId="6D82CFD0" w:rsidR="00CE4B30" w:rsidRDefault="00CE4B30" w:rsidP="00DF0F8E">
      <w:pPr>
        <w:rPr>
          <w:rFonts w:ascii="Arial" w:eastAsia="Calibri" w:hAnsi="Arial" w:cs="Arial"/>
          <w:sz w:val="22"/>
        </w:rPr>
      </w:pPr>
    </w:p>
    <w:p w14:paraId="4E6B46CA" w14:textId="4F58D97E" w:rsidR="00CE4B30" w:rsidRDefault="00CE4B30" w:rsidP="00DF0F8E">
      <w:pPr>
        <w:rPr>
          <w:rFonts w:ascii="Arial" w:eastAsia="Calibri" w:hAnsi="Arial" w:cs="Arial"/>
          <w:sz w:val="22"/>
        </w:rPr>
      </w:pPr>
    </w:p>
    <w:p w14:paraId="1E9C939D" w14:textId="0F32F1BF" w:rsidR="00CE4B30" w:rsidRDefault="00CE4B30" w:rsidP="00DF0F8E">
      <w:pPr>
        <w:rPr>
          <w:rFonts w:ascii="Arial" w:eastAsia="Calibri" w:hAnsi="Arial" w:cs="Arial"/>
          <w:sz w:val="22"/>
        </w:rPr>
      </w:pPr>
    </w:p>
    <w:p w14:paraId="3070DE4A" w14:textId="05CDB006" w:rsidR="00CE4B30" w:rsidRDefault="00DF355B" w:rsidP="00DF355B">
      <w:pPr>
        <w:jc w:val="right"/>
        <w:rPr>
          <w:rFonts w:ascii="Arial" w:eastAsia="Calibri" w:hAnsi="Arial" w:cs="Arial"/>
          <w:sz w:val="22"/>
        </w:rPr>
      </w:pPr>
      <w:r w:rsidRPr="00DF355B">
        <w:rPr>
          <w:rFonts w:ascii="Arial" w:eastAsia="Calibri" w:hAnsi="Arial" w:cs="Arial"/>
          <w:noProof/>
          <w:sz w:val="22"/>
          <w:lang w:val="en-US"/>
        </w:rPr>
        <w:lastRenderedPageBreak/>
        <w:drawing>
          <wp:inline distT="0" distB="0" distL="0" distR="0" wp14:anchorId="66F6BF34" wp14:editId="5C39BC92">
            <wp:extent cx="2906395" cy="733425"/>
            <wp:effectExtent l="0" t="0" r="825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0724" cy="737041"/>
                    </a:xfrm>
                    <a:prstGeom prst="rect">
                      <a:avLst/>
                    </a:prstGeom>
                    <a:noFill/>
                    <a:ln>
                      <a:noFill/>
                    </a:ln>
                  </pic:spPr>
                </pic:pic>
              </a:graphicData>
            </a:graphic>
          </wp:inline>
        </w:drawing>
      </w:r>
    </w:p>
    <w:p w14:paraId="4890699D" w14:textId="7F41FF71" w:rsidR="00DF355B" w:rsidRDefault="00DF355B" w:rsidP="00DF0F8E">
      <w:pPr>
        <w:rPr>
          <w:rFonts w:ascii="Arial" w:eastAsia="Calibri" w:hAnsi="Arial" w:cs="Arial"/>
          <w:sz w:val="22"/>
        </w:rPr>
      </w:pPr>
    </w:p>
    <w:p w14:paraId="23BD9DDD" w14:textId="3808D576" w:rsidR="00DF355B" w:rsidRPr="00DF355B" w:rsidRDefault="00DF355B" w:rsidP="00DF0F8E">
      <w:pPr>
        <w:rPr>
          <w:rFonts w:ascii="Arial" w:eastAsia="Calibri" w:hAnsi="Arial" w:cs="Arial"/>
          <w:bCs/>
          <w:sz w:val="22"/>
          <w:lang w:val="es-ES"/>
        </w:rPr>
      </w:pPr>
      <w:r w:rsidRPr="00DF355B">
        <w:rPr>
          <w:rFonts w:ascii="Arial" w:eastAsia="Calibri" w:hAnsi="Arial" w:cs="Arial"/>
          <w:bCs/>
          <w:sz w:val="22"/>
          <w:lang w:val="es-ES"/>
        </w:rPr>
        <w:t>Bogot</w:t>
      </w:r>
      <w:r w:rsidRPr="00DF355B">
        <w:rPr>
          <w:rFonts w:ascii="Arial" w:eastAsia="Calibri" w:hAnsi="Arial" w:cs="Arial" w:hint="eastAsia"/>
          <w:bCs/>
          <w:sz w:val="22"/>
          <w:lang w:val="es-ES"/>
        </w:rPr>
        <w:t>á</w:t>
      </w:r>
      <w:r w:rsidRPr="00DF355B">
        <w:rPr>
          <w:rFonts w:ascii="Arial" w:eastAsia="Calibri" w:hAnsi="Arial" w:cs="Arial"/>
          <w:bCs/>
          <w:sz w:val="22"/>
          <w:lang w:val="es-ES"/>
        </w:rPr>
        <w:t xml:space="preserve">, 17 </w:t>
      </w:r>
      <w:proofErr w:type="gramStart"/>
      <w:r w:rsidRPr="00DF355B">
        <w:rPr>
          <w:rFonts w:ascii="Arial" w:eastAsia="Calibri" w:hAnsi="Arial" w:cs="Arial"/>
          <w:bCs/>
          <w:sz w:val="22"/>
          <w:lang w:val="es-ES"/>
        </w:rPr>
        <w:t>Noviembre</w:t>
      </w:r>
      <w:proofErr w:type="gramEnd"/>
      <w:r w:rsidRPr="00DF355B">
        <w:rPr>
          <w:rFonts w:ascii="Arial" w:eastAsia="Calibri" w:hAnsi="Arial" w:cs="Arial"/>
          <w:bCs/>
          <w:sz w:val="22"/>
          <w:lang w:val="es-ES"/>
        </w:rPr>
        <w:t xml:space="preserve"> 2021</w:t>
      </w:r>
    </w:p>
    <w:p w14:paraId="09B8BF83" w14:textId="77777777" w:rsidR="00DF355B" w:rsidRDefault="00DF355B" w:rsidP="00DF0F8E">
      <w:pPr>
        <w:rPr>
          <w:rFonts w:ascii="Arial" w:eastAsia="Calibri" w:hAnsi="Arial" w:cs="Arial"/>
          <w:sz w:val="22"/>
        </w:rPr>
      </w:pPr>
    </w:p>
    <w:p w14:paraId="1F3E67BB" w14:textId="59B82D8F" w:rsidR="00AF1718" w:rsidRPr="009242C9" w:rsidRDefault="00AF1718" w:rsidP="00DF0F8E">
      <w:pPr>
        <w:rPr>
          <w:rFonts w:ascii="Arial" w:eastAsia="Calibri" w:hAnsi="Arial" w:cs="Arial"/>
          <w:sz w:val="22"/>
        </w:rPr>
      </w:pPr>
      <w:r w:rsidRPr="009242C9">
        <w:rPr>
          <w:rFonts w:ascii="Arial" w:eastAsia="Calibri" w:hAnsi="Arial" w:cs="Arial"/>
          <w:sz w:val="22"/>
        </w:rPr>
        <w:t>Señor</w:t>
      </w:r>
    </w:p>
    <w:p w14:paraId="479972ED" w14:textId="05C44892" w:rsidR="00AF1718" w:rsidRPr="00EA6975" w:rsidRDefault="00EA6975" w:rsidP="00DF0F8E">
      <w:pPr>
        <w:rPr>
          <w:rFonts w:ascii="Arial" w:eastAsia="Calibri" w:hAnsi="Arial" w:cs="Arial"/>
          <w:bCs/>
          <w:sz w:val="22"/>
          <w:lang w:val="es-ES"/>
        </w:rPr>
      </w:pPr>
      <w:r w:rsidRPr="00EA6975">
        <w:rPr>
          <w:rFonts w:ascii="Arial" w:eastAsia="Calibri" w:hAnsi="Arial" w:cs="Arial"/>
          <w:bCs/>
          <w:sz w:val="22"/>
          <w:lang w:val="es-ES"/>
        </w:rPr>
        <w:t xml:space="preserve">José </w:t>
      </w:r>
      <w:proofErr w:type="spellStart"/>
      <w:r w:rsidRPr="00EA6975">
        <w:rPr>
          <w:rFonts w:ascii="Arial" w:eastAsia="Calibri" w:hAnsi="Arial" w:cs="Arial"/>
          <w:bCs/>
          <w:sz w:val="22"/>
          <w:lang w:val="es-ES"/>
        </w:rPr>
        <w:t>L</w:t>
      </w:r>
      <w:r w:rsidR="00416A8C">
        <w:rPr>
          <w:rFonts w:ascii="Arial" w:eastAsia="Calibri" w:hAnsi="Arial" w:cs="Arial"/>
          <w:bCs/>
          <w:sz w:val="22"/>
          <w:lang w:val="es-ES"/>
        </w:rPr>
        <w:t>á</w:t>
      </w:r>
      <w:r w:rsidRPr="00EA6975">
        <w:rPr>
          <w:rFonts w:ascii="Arial" w:eastAsia="Calibri" w:hAnsi="Arial" w:cs="Arial"/>
          <w:bCs/>
          <w:sz w:val="22"/>
          <w:lang w:val="es-ES"/>
        </w:rPr>
        <w:t>cides</w:t>
      </w:r>
      <w:proofErr w:type="spellEnd"/>
      <w:r w:rsidRPr="00EA6975">
        <w:rPr>
          <w:rFonts w:ascii="Arial" w:eastAsia="Calibri" w:hAnsi="Arial" w:cs="Arial"/>
          <w:bCs/>
          <w:sz w:val="22"/>
          <w:lang w:val="es-ES"/>
        </w:rPr>
        <w:t xml:space="preserve"> Puello Rubio </w:t>
      </w:r>
      <w:r w:rsidR="00F478C6" w:rsidRPr="00EA6975">
        <w:rPr>
          <w:rFonts w:ascii="Arial" w:eastAsia="Calibri" w:hAnsi="Arial" w:cs="Arial"/>
          <w:bCs/>
          <w:sz w:val="22"/>
          <w:lang w:val="es-ES"/>
        </w:rPr>
        <w:t xml:space="preserve"> </w:t>
      </w:r>
      <w:r w:rsidR="00791625" w:rsidRPr="00EA6975">
        <w:rPr>
          <w:rFonts w:ascii="Arial" w:eastAsia="Calibri" w:hAnsi="Arial" w:cs="Arial"/>
          <w:bCs/>
          <w:sz w:val="22"/>
          <w:lang w:val="es-ES"/>
        </w:rPr>
        <w:t xml:space="preserve"> </w:t>
      </w:r>
      <w:r w:rsidR="00847CF9" w:rsidRPr="00EA6975">
        <w:rPr>
          <w:rFonts w:ascii="Arial" w:eastAsia="Calibri" w:hAnsi="Arial" w:cs="Arial"/>
          <w:bCs/>
          <w:sz w:val="22"/>
          <w:lang w:val="es-ES"/>
        </w:rPr>
        <w:t xml:space="preserve"> </w:t>
      </w:r>
    </w:p>
    <w:p w14:paraId="050026FD" w14:textId="72A11F91" w:rsidR="004D6F1F" w:rsidRPr="00EA6B99" w:rsidRDefault="00EA6975" w:rsidP="00791625">
      <w:pPr>
        <w:rPr>
          <w:rFonts w:ascii="Arial" w:eastAsia="Calibri" w:hAnsi="Arial" w:cs="Arial"/>
          <w:bCs/>
          <w:sz w:val="22"/>
          <w:lang w:val="es-ES"/>
        </w:rPr>
      </w:pPr>
      <w:r>
        <w:rPr>
          <w:rFonts w:ascii="Arial" w:eastAsia="Calibri" w:hAnsi="Arial" w:cs="Arial"/>
          <w:bCs/>
          <w:sz w:val="22"/>
          <w:lang w:val="es-ES"/>
        </w:rPr>
        <w:t>Bogotá D.C</w:t>
      </w:r>
      <w:r w:rsidR="00BD2E1E" w:rsidRPr="00EA6B99">
        <w:rPr>
          <w:rFonts w:ascii="Arial" w:eastAsia="Calibri" w:hAnsi="Arial" w:cs="Arial"/>
          <w:bCs/>
          <w:sz w:val="22"/>
          <w:lang w:val="es-ES"/>
        </w:rPr>
        <w:t xml:space="preserve"> </w:t>
      </w:r>
      <w:r w:rsidR="00866AEB" w:rsidRPr="00EA6B99">
        <w:rPr>
          <w:rFonts w:ascii="Arial" w:eastAsia="Calibri" w:hAnsi="Arial" w:cs="Arial"/>
          <w:bCs/>
          <w:sz w:val="22"/>
          <w:lang w:val="es-ES"/>
        </w:rPr>
        <w:t xml:space="preserve"> </w:t>
      </w:r>
    </w:p>
    <w:p w14:paraId="4634B70A" w14:textId="048B7A5D" w:rsidR="00E00060" w:rsidRDefault="00E00060" w:rsidP="00DF0F8E">
      <w:pPr>
        <w:rPr>
          <w:rFonts w:ascii="Arial" w:eastAsia="Calibri" w:hAnsi="Arial" w:cs="Arial"/>
          <w:b/>
          <w:sz w:val="22"/>
          <w:lang w:val="es-ES"/>
        </w:rPr>
      </w:pPr>
    </w:p>
    <w:p w14:paraId="3085E497" w14:textId="77777777" w:rsidR="00E00060" w:rsidRPr="009242C9" w:rsidRDefault="00E00060" w:rsidP="00DF0F8E">
      <w:pPr>
        <w:rPr>
          <w:rFonts w:ascii="Arial" w:eastAsia="Calibri" w:hAnsi="Arial" w:cs="Arial"/>
          <w:b/>
          <w:sz w:val="22"/>
          <w:lang w:val="es-ES"/>
        </w:rPr>
      </w:pPr>
    </w:p>
    <w:p w14:paraId="25167302" w14:textId="73FAFFC5" w:rsidR="00A60A14" w:rsidRDefault="00A60A14" w:rsidP="00DF0F8E">
      <w:pPr>
        <w:rPr>
          <w:rFonts w:ascii="Arial" w:eastAsia="Calibri" w:hAnsi="Arial" w:cs="Arial"/>
          <w:sz w:val="22"/>
          <w:highlight w:val="magenta"/>
        </w:rPr>
      </w:pPr>
    </w:p>
    <w:p w14:paraId="7F3317FB" w14:textId="77777777" w:rsidR="007E2330" w:rsidRPr="00D25BEF" w:rsidRDefault="007E2330" w:rsidP="00DF0F8E">
      <w:pPr>
        <w:rPr>
          <w:rFonts w:ascii="Arial" w:eastAsia="Calibri" w:hAnsi="Arial" w:cs="Arial"/>
          <w:sz w:val="22"/>
          <w:highlight w:val="magenta"/>
        </w:rPr>
      </w:pPr>
    </w:p>
    <w:p w14:paraId="7D584E11" w14:textId="2572E8E9" w:rsidR="00BA6907" w:rsidRDefault="00847CF9">
      <w:pPr>
        <w:ind w:left="2124" w:firstLine="570"/>
        <w:rPr>
          <w:rFonts w:ascii="Arial" w:eastAsia="Calibri" w:hAnsi="Arial" w:cs="Arial"/>
          <w:b/>
          <w:sz w:val="22"/>
        </w:rPr>
      </w:pPr>
      <w:r>
        <w:rPr>
          <w:rFonts w:ascii="Arial" w:eastAsia="Calibri" w:hAnsi="Arial" w:cs="Arial"/>
          <w:b/>
          <w:sz w:val="22"/>
        </w:rPr>
        <w:t>Concepto C</w:t>
      </w:r>
      <w:r w:rsidR="00FA0A16">
        <w:rPr>
          <w:rFonts w:ascii="Arial" w:eastAsia="Calibri" w:hAnsi="Arial" w:cs="Arial"/>
          <w:b/>
          <w:sz w:val="22"/>
        </w:rPr>
        <w:t>–</w:t>
      </w:r>
      <w:r w:rsidR="00EA6975">
        <w:rPr>
          <w:rFonts w:ascii="Arial" w:eastAsia="Calibri" w:hAnsi="Arial" w:cs="Arial"/>
          <w:b/>
          <w:sz w:val="22"/>
        </w:rPr>
        <w:t>643</w:t>
      </w:r>
      <w:r w:rsidR="00AF1718" w:rsidRPr="009242C9">
        <w:rPr>
          <w:rFonts w:ascii="Arial" w:eastAsia="Calibri" w:hAnsi="Arial" w:cs="Arial"/>
          <w:b/>
          <w:sz w:val="22"/>
        </w:rPr>
        <w:t xml:space="preserve"> de 2021</w:t>
      </w:r>
    </w:p>
    <w:p w14:paraId="4995282A" w14:textId="77777777" w:rsidR="00B41E91" w:rsidRDefault="00B41E91">
      <w:pPr>
        <w:ind w:left="2124" w:firstLine="570"/>
        <w:rPr>
          <w:rFonts w:ascii="Arial" w:eastAsia="Calibri" w:hAnsi="Arial" w:cs="Arial"/>
          <w:b/>
          <w:sz w:val="22"/>
        </w:rPr>
      </w:pPr>
    </w:p>
    <w:p w14:paraId="37719CA8" w14:textId="77777777" w:rsidR="00AF1718" w:rsidRPr="00D25BEF" w:rsidRDefault="00AF1718" w:rsidP="00DF0F8E">
      <w:pPr>
        <w:rPr>
          <w:rFonts w:ascii="Arial" w:eastAsia="Calibri" w:hAnsi="Arial" w:cs="Arial"/>
          <w:sz w:val="22"/>
          <w:highlight w:val="magenta"/>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791625" w:rsidRPr="00D25BEF" w14:paraId="00B1888F" w14:textId="0DD23CAF" w:rsidTr="00BA6907">
        <w:tc>
          <w:tcPr>
            <w:tcW w:w="2689" w:type="dxa"/>
            <w:hideMark/>
          </w:tcPr>
          <w:p w14:paraId="1C9397C0" w14:textId="5CD0567D" w:rsidR="00791625" w:rsidRPr="009242C9" w:rsidRDefault="00791625" w:rsidP="00DF0F8E">
            <w:pPr>
              <w:rPr>
                <w:rFonts w:ascii="Arial" w:eastAsia="Calibri" w:hAnsi="Arial" w:cs="Arial"/>
                <w:sz w:val="22"/>
              </w:rPr>
            </w:pPr>
            <w:r w:rsidRPr="009242C9">
              <w:rPr>
                <w:rFonts w:ascii="Arial" w:eastAsia="Calibri" w:hAnsi="Arial" w:cs="Arial"/>
                <w:b/>
                <w:sz w:val="22"/>
              </w:rPr>
              <w:t>Temas:</w:t>
            </w:r>
            <w:r w:rsidRPr="009242C9">
              <w:rPr>
                <w:rFonts w:ascii="Arial" w:eastAsia="Calibri" w:hAnsi="Arial" w:cs="Arial"/>
                <w:sz w:val="22"/>
              </w:rPr>
              <w:t xml:space="preserve">  </w:t>
            </w:r>
          </w:p>
          <w:p w14:paraId="6531557F" w14:textId="3F92F245" w:rsidR="00791625" w:rsidRPr="00D25BEF" w:rsidRDefault="00791625" w:rsidP="00DF0F8E">
            <w:pPr>
              <w:rPr>
                <w:rFonts w:ascii="Arial" w:eastAsia="Calibri" w:hAnsi="Arial" w:cs="Arial"/>
                <w:sz w:val="22"/>
                <w:highlight w:val="magenta"/>
              </w:rPr>
            </w:pPr>
            <w:r w:rsidRPr="00D25BEF">
              <w:rPr>
                <w:rFonts w:ascii="Arial" w:eastAsia="Calibri" w:hAnsi="Arial" w:cs="Arial"/>
                <w:sz w:val="22"/>
                <w:highlight w:val="magenta"/>
              </w:rPr>
              <w:t xml:space="preserve"> </w:t>
            </w:r>
          </w:p>
        </w:tc>
        <w:tc>
          <w:tcPr>
            <w:tcW w:w="6237" w:type="dxa"/>
            <w:hideMark/>
          </w:tcPr>
          <w:p w14:paraId="30951D2F" w14:textId="77777777" w:rsidR="00CE4B30" w:rsidRPr="00CE4B30" w:rsidRDefault="00CE4B30" w:rsidP="00CE4B30">
            <w:pPr>
              <w:jc w:val="both"/>
              <w:rPr>
                <w:rFonts w:ascii="Arial" w:hAnsi="Arial" w:cs="Arial"/>
                <w:bCs/>
                <w:color w:val="000000" w:themeColor="text1"/>
                <w:sz w:val="22"/>
                <w:lang w:val="es-ES_tradnl"/>
              </w:rPr>
            </w:pPr>
            <w:r w:rsidRPr="00CE4B30">
              <w:rPr>
                <w:rFonts w:ascii="Arial" w:hAnsi="Arial" w:cs="Arial"/>
                <w:sz w:val="22"/>
                <w:lang w:eastAsia="es-ES"/>
              </w:rPr>
              <w:t>DOCUMENTOS TIPO – Fundamento normativo</w:t>
            </w:r>
            <w:r w:rsidRPr="00CE4B30">
              <w:rPr>
                <w:rFonts w:ascii="Arial" w:eastAsia="Calibri" w:hAnsi="Arial" w:cs="Arial"/>
                <w:color w:val="000000"/>
                <w:sz w:val="22"/>
                <w:lang w:val="es-ES_tradnl"/>
              </w:rPr>
              <w:t xml:space="preserve"> </w:t>
            </w:r>
            <w:r w:rsidRPr="00CE4B30">
              <w:rPr>
                <w:rFonts w:ascii="Arial" w:hAnsi="Arial" w:cs="Arial"/>
                <w:sz w:val="22"/>
                <w:lang w:eastAsia="es-ES"/>
              </w:rPr>
              <w:t>– Obligatoriedad</w:t>
            </w:r>
            <w:r w:rsidR="00B41E91" w:rsidRPr="00CE4B30">
              <w:rPr>
                <w:rFonts w:ascii="Arial" w:hAnsi="Arial" w:cs="Arial"/>
                <w:sz w:val="22"/>
                <w:lang w:eastAsia="es-ES"/>
              </w:rPr>
              <w:t xml:space="preserve"> / </w:t>
            </w:r>
            <w:r w:rsidRPr="00CE4B30">
              <w:rPr>
                <w:rFonts w:ascii="Arial" w:hAnsi="Arial" w:cs="Arial"/>
                <w:bCs/>
                <w:color w:val="000000" w:themeColor="text1"/>
                <w:sz w:val="22"/>
                <w:lang w:val="es-ES_tradnl"/>
              </w:rPr>
              <w:t>DOCUMENTO TIPO – Inalterabilidad – Excepciones</w:t>
            </w:r>
            <w:r w:rsidR="00B41E91" w:rsidRPr="00CE4B30">
              <w:rPr>
                <w:rFonts w:ascii="Arial" w:hAnsi="Arial" w:cs="Arial"/>
                <w:bCs/>
                <w:color w:val="000000" w:themeColor="text1"/>
                <w:sz w:val="22"/>
                <w:lang w:val="es-ES_tradnl"/>
              </w:rPr>
              <w:t xml:space="preserve"> / </w:t>
            </w:r>
            <w:r w:rsidRPr="00CE4B30">
              <w:rPr>
                <w:rFonts w:ascii="Arial" w:hAnsi="Arial" w:cs="Arial"/>
                <w:bCs/>
                <w:color w:val="000000" w:themeColor="text1"/>
                <w:sz w:val="22"/>
                <w:lang w:val="es-ES_tradnl"/>
              </w:rPr>
              <w:t>MATRIZ 1 – EXPERIENCIA – Condiciones de experiencia – Aplicación - documentos tipo</w:t>
            </w:r>
          </w:p>
          <w:p w14:paraId="30A9E48B" w14:textId="24717B54" w:rsidR="00791625" w:rsidRPr="00CE4B30" w:rsidRDefault="00791625" w:rsidP="007D7B2D">
            <w:pPr>
              <w:spacing w:line="276" w:lineRule="auto"/>
              <w:jc w:val="both"/>
              <w:rPr>
                <w:rFonts w:ascii="Arial" w:hAnsi="Arial" w:cs="Arial"/>
                <w:sz w:val="22"/>
                <w:lang w:val="es-ES_tradnl" w:eastAsia="es-ES"/>
              </w:rPr>
            </w:pPr>
          </w:p>
        </w:tc>
        <w:tc>
          <w:tcPr>
            <w:tcW w:w="6237" w:type="dxa"/>
          </w:tcPr>
          <w:p w14:paraId="556ECBEE" w14:textId="77777777" w:rsidR="00791625" w:rsidRPr="00FC281D" w:rsidRDefault="00791625" w:rsidP="00EA6B99">
            <w:pPr>
              <w:spacing w:after="120" w:line="276" w:lineRule="auto"/>
              <w:jc w:val="both"/>
              <w:rPr>
                <w:rFonts w:ascii="Arial" w:hAnsi="Arial" w:cs="Arial"/>
                <w:sz w:val="22"/>
                <w:lang w:eastAsia="es-ES"/>
              </w:rPr>
            </w:pPr>
          </w:p>
        </w:tc>
      </w:tr>
      <w:tr w:rsidR="00791625" w:rsidRPr="00004AC0" w14:paraId="0E180394" w14:textId="169258CF" w:rsidTr="00BA6907">
        <w:tc>
          <w:tcPr>
            <w:tcW w:w="2689" w:type="dxa"/>
          </w:tcPr>
          <w:p w14:paraId="36E4AEC5" w14:textId="77777777" w:rsidR="00BA6907" w:rsidRDefault="00BA6907" w:rsidP="00DF0F8E">
            <w:pPr>
              <w:rPr>
                <w:rFonts w:ascii="Arial" w:eastAsia="Calibri" w:hAnsi="Arial" w:cs="Arial"/>
                <w:b/>
                <w:sz w:val="22"/>
              </w:rPr>
            </w:pPr>
          </w:p>
          <w:p w14:paraId="35D0842E" w14:textId="668FD4D4" w:rsidR="00791625" w:rsidRPr="00004AC0" w:rsidRDefault="00791625" w:rsidP="00DF0F8E">
            <w:pPr>
              <w:rPr>
                <w:rFonts w:ascii="Arial" w:eastAsia="Calibri" w:hAnsi="Arial" w:cs="Arial"/>
                <w:b/>
                <w:sz w:val="22"/>
              </w:rPr>
            </w:pPr>
            <w:r w:rsidRPr="00004AC0">
              <w:rPr>
                <w:rFonts w:ascii="Arial" w:eastAsia="Calibri" w:hAnsi="Arial" w:cs="Arial"/>
                <w:b/>
                <w:sz w:val="22"/>
              </w:rPr>
              <w:t>Radicación:</w:t>
            </w:r>
            <w:r w:rsidRPr="00004AC0">
              <w:rPr>
                <w:rFonts w:ascii="Arial" w:eastAsia="Calibri" w:hAnsi="Arial" w:cs="Arial"/>
                <w:sz w:val="22"/>
              </w:rPr>
              <w:t xml:space="preserve"> </w:t>
            </w:r>
          </w:p>
        </w:tc>
        <w:tc>
          <w:tcPr>
            <w:tcW w:w="6237" w:type="dxa"/>
          </w:tcPr>
          <w:p w14:paraId="644C2F40" w14:textId="77777777" w:rsidR="00BA6907" w:rsidRDefault="00BA6907" w:rsidP="00791625">
            <w:pPr>
              <w:jc w:val="both"/>
              <w:rPr>
                <w:rFonts w:ascii="Arial" w:eastAsia="Calibri" w:hAnsi="Arial" w:cs="Arial"/>
                <w:sz w:val="22"/>
              </w:rPr>
            </w:pPr>
          </w:p>
          <w:p w14:paraId="1B6BB553" w14:textId="4BB1ED17" w:rsidR="00791625" w:rsidRPr="00004AC0" w:rsidRDefault="00791625" w:rsidP="00EA6975">
            <w:pPr>
              <w:jc w:val="both"/>
              <w:rPr>
                <w:rFonts w:ascii="Arial" w:eastAsia="Calibri" w:hAnsi="Arial" w:cs="Arial"/>
                <w:sz w:val="22"/>
              </w:rPr>
            </w:pPr>
            <w:r>
              <w:rPr>
                <w:rFonts w:ascii="Arial" w:eastAsia="Calibri" w:hAnsi="Arial" w:cs="Arial"/>
                <w:sz w:val="22"/>
              </w:rPr>
              <w:t xml:space="preserve">Respuesta </w:t>
            </w:r>
            <w:r w:rsidRPr="00004AC0">
              <w:rPr>
                <w:rFonts w:ascii="Arial" w:eastAsia="Calibri" w:hAnsi="Arial" w:cs="Arial"/>
                <w:sz w:val="22"/>
              </w:rPr>
              <w:t>a la consulta</w:t>
            </w:r>
            <w:r w:rsidR="00F478C6">
              <w:rPr>
                <w:rFonts w:ascii="Arial" w:eastAsia="Calibri" w:hAnsi="Arial" w:cs="Arial"/>
                <w:sz w:val="22"/>
              </w:rPr>
              <w:t xml:space="preserve"> P2021</w:t>
            </w:r>
            <w:r w:rsidR="00EA6975">
              <w:rPr>
                <w:rFonts w:ascii="Arial" w:eastAsia="Calibri" w:hAnsi="Arial" w:cs="Arial"/>
                <w:sz w:val="22"/>
              </w:rPr>
              <w:t>20211005009133</w:t>
            </w:r>
            <w:r w:rsidRPr="00004AC0">
              <w:rPr>
                <w:rFonts w:ascii="Arial" w:eastAsia="Calibri" w:hAnsi="Arial" w:cs="Arial"/>
                <w:sz w:val="22"/>
              </w:rPr>
              <w:t xml:space="preserve">. </w:t>
            </w:r>
          </w:p>
        </w:tc>
        <w:tc>
          <w:tcPr>
            <w:tcW w:w="6237" w:type="dxa"/>
          </w:tcPr>
          <w:p w14:paraId="0765AD88" w14:textId="77777777" w:rsidR="00791625" w:rsidRPr="00004AC0" w:rsidRDefault="00791625" w:rsidP="00143A66">
            <w:pPr>
              <w:jc w:val="both"/>
              <w:rPr>
                <w:rFonts w:ascii="Arial" w:eastAsia="Calibri" w:hAnsi="Arial" w:cs="Arial"/>
                <w:sz w:val="22"/>
              </w:rPr>
            </w:pPr>
          </w:p>
        </w:tc>
      </w:tr>
    </w:tbl>
    <w:p w14:paraId="4A4DF0C0" w14:textId="77777777" w:rsidR="00AF1718" w:rsidRPr="00004AC0" w:rsidRDefault="00AF1718" w:rsidP="00DF0F8E">
      <w:pPr>
        <w:jc w:val="both"/>
        <w:rPr>
          <w:rFonts w:ascii="Arial" w:eastAsia="Calibri" w:hAnsi="Arial" w:cs="Arial"/>
          <w:sz w:val="22"/>
        </w:rPr>
      </w:pPr>
    </w:p>
    <w:p w14:paraId="2B19C121" w14:textId="77777777" w:rsidR="00AF1718" w:rsidRPr="00D25BEF" w:rsidRDefault="00AF1718" w:rsidP="00DF0F8E">
      <w:pPr>
        <w:rPr>
          <w:rFonts w:ascii="Arial" w:eastAsia="Calibri" w:hAnsi="Arial" w:cs="Arial"/>
          <w:sz w:val="22"/>
          <w:highlight w:val="magenta"/>
        </w:rPr>
      </w:pPr>
    </w:p>
    <w:p w14:paraId="43822C27" w14:textId="77777777" w:rsidR="00E00060" w:rsidRDefault="00E00060" w:rsidP="008B1764">
      <w:pPr>
        <w:spacing w:line="276" w:lineRule="auto"/>
        <w:rPr>
          <w:rFonts w:ascii="Arial" w:eastAsia="Calibri" w:hAnsi="Arial" w:cs="Arial"/>
          <w:sz w:val="22"/>
        </w:rPr>
      </w:pPr>
    </w:p>
    <w:p w14:paraId="1612DE7D" w14:textId="283BB54B" w:rsidR="00AF1718" w:rsidRPr="009242C9" w:rsidRDefault="007E2330" w:rsidP="008B1764">
      <w:pPr>
        <w:spacing w:line="276" w:lineRule="auto"/>
        <w:rPr>
          <w:rFonts w:ascii="Arial" w:eastAsia="Calibri" w:hAnsi="Arial" w:cs="Arial"/>
          <w:sz w:val="22"/>
        </w:rPr>
      </w:pPr>
      <w:r>
        <w:rPr>
          <w:rFonts w:ascii="Arial" w:eastAsia="Calibri" w:hAnsi="Arial" w:cs="Arial"/>
          <w:sz w:val="22"/>
        </w:rPr>
        <w:t>Estimado señor Puello</w:t>
      </w:r>
      <w:r w:rsidR="000D37B2">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1A0A2BD6" w14:textId="2E6EAE9B" w:rsidR="00AF1718" w:rsidRPr="009242C9" w:rsidRDefault="00AF1718" w:rsidP="008B1764">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 xml:space="preserve">te responde </w:t>
      </w:r>
      <w:r w:rsidR="00F478C6">
        <w:rPr>
          <w:rFonts w:ascii="Arial" w:eastAsia="Calibri" w:hAnsi="Arial" w:cs="Arial"/>
          <w:sz w:val="22"/>
        </w:rPr>
        <w:t xml:space="preserve">la </w:t>
      </w:r>
      <w:r w:rsidR="00D25BEF" w:rsidRPr="009242C9">
        <w:rPr>
          <w:rFonts w:ascii="Arial" w:eastAsia="Calibri" w:hAnsi="Arial" w:cs="Arial"/>
          <w:sz w:val="22"/>
        </w:rPr>
        <w:t>consulta</w:t>
      </w:r>
      <w:r w:rsidR="00847CF9">
        <w:rPr>
          <w:rFonts w:ascii="Arial" w:eastAsia="Calibri" w:hAnsi="Arial" w:cs="Arial"/>
          <w:sz w:val="22"/>
        </w:rPr>
        <w:t xml:space="preserve"> del </w:t>
      </w:r>
      <w:r w:rsidR="00EA6975">
        <w:rPr>
          <w:rFonts w:ascii="Arial" w:eastAsia="Calibri" w:hAnsi="Arial" w:cs="Arial"/>
          <w:sz w:val="22"/>
        </w:rPr>
        <w:t>05 de octubre</w:t>
      </w:r>
      <w:r w:rsidRPr="00004AC0">
        <w:rPr>
          <w:rFonts w:ascii="Arial" w:eastAsia="Calibri" w:hAnsi="Arial" w:cs="Arial"/>
          <w:sz w:val="22"/>
        </w:rPr>
        <w:t xml:space="preserve"> de 2021.</w:t>
      </w:r>
    </w:p>
    <w:p w14:paraId="0423D3E8" w14:textId="77777777" w:rsidR="00735EB6" w:rsidRPr="00D25BEF" w:rsidRDefault="00735EB6" w:rsidP="008B1764">
      <w:pPr>
        <w:spacing w:line="276" w:lineRule="auto"/>
        <w:jc w:val="both"/>
        <w:rPr>
          <w:rFonts w:ascii="Arial" w:eastAsia="Calibri" w:hAnsi="Arial" w:cs="Arial"/>
          <w:sz w:val="22"/>
          <w:highlight w:val="magenta"/>
        </w:rPr>
      </w:pPr>
    </w:p>
    <w:p w14:paraId="2B178A13" w14:textId="2FF95CC9" w:rsidR="00AF1718" w:rsidRPr="005D0519" w:rsidRDefault="00AF1718" w:rsidP="008B1764">
      <w:pPr>
        <w:pStyle w:val="Prrafodelista"/>
        <w:tabs>
          <w:tab w:val="left" w:pos="284"/>
        </w:tabs>
        <w:spacing w:line="276" w:lineRule="auto"/>
        <w:ind w:left="0"/>
        <w:jc w:val="both"/>
        <w:rPr>
          <w:rFonts w:ascii="Arial" w:eastAsia="Calibri" w:hAnsi="Arial" w:cs="Arial"/>
          <w:b/>
          <w:sz w:val="22"/>
        </w:rPr>
      </w:pPr>
      <w:r w:rsidRPr="005D0519">
        <w:rPr>
          <w:rFonts w:ascii="Arial" w:eastAsia="Calibri" w:hAnsi="Arial" w:cs="Arial"/>
          <w:b/>
          <w:sz w:val="22"/>
        </w:rPr>
        <w:t>1. Problema planteado</w:t>
      </w:r>
    </w:p>
    <w:p w14:paraId="26CBCC38" w14:textId="77777777" w:rsidR="00735EB6" w:rsidRPr="00D25BEF" w:rsidRDefault="00735EB6" w:rsidP="008B1764">
      <w:pPr>
        <w:tabs>
          <w:tab w:val="left" w:pos="426"/>
        </w:tabs>
        <w:spacing w:line="276" w:lineRule="auto"/>
        <w:jc w:val="both"/>
        <w:rPr>
          <w:rFonts w:ascii="Arial" w:eastAsia="Calibri" w:hAnsi="Arial" w:cs="Arial"/>
          <w:sz w:val="22"/>
          <w:highlight w:val="magenta"/>
        </w:rPr>
      </w:pPr>
      <w:bookmarkStart w:id="4" w:name="_Hlk68679800"/>
    </w:p>
    <w:p w14:paraId="07285B48" w14:textId="50C979FE" w:rsidR="00EA6975" w:rsidRDefault="00FA0A16" w:rsidP="00A41CA1">
      <w:pPr>
        <w:spacing w:line="276" w:lineRule="auto"/>
        <w:jc w:val="both"/>
        <w:rPr>
          <w:rFonts w:ascii="Arial" w:eastAsia="Calibri" w:hAnsi="Arial" w:cs="Arial"/>
          <w:sz w:val="22"/>
        </w:rPr>
      </w:pPr>
      <w:r w:rsidRPr="00AE24B8">
        <w:rPr>
          <w:rFonts w:ascii="Arial" w:eastAsia="Calibri" w:hAnsi="Arial" w:cs="Arial"/>
          <w:sz w:val="22"/>
        </w:rPr>
        <w:t>En relación con</w:t>
      </w:r>
      <w:r w:rsidR="00866AEB" w:rsidRPr="00AE24B8">
        <w:rPr>
          <w:rFonts w:ascii="Arial" w:eastAsia="Calibri" w:hAnsi="Arial" w:cs="Arial"/>
          <w:sz w:val="22"/>
        </w:rPr>
        <w:t xml:space="preserve"> </w:t>
      </w:r>
      <w:r w:rsidR="00F010C4" w:rsidRPr="00AE24B8">
        <w:rPr>
          <w:rFonts w:ascii="Arial" w:eastAsia="Calibri" w:hAnsi="Arial" w:cs="Arial"/>
          <w:sz w:val="22"/>
        </w:rPr>
        <w:t xml:space="preserve">el ámbito de aplicación de </w:t>
      </w:r>
      <w:r w:rsidR="002B5788" w:rsidRPr="00AE24B8">
        <w:rPr>
          <w:rFonts w:ascii="Arial" w:eastAsia="Calibri" w:hAnsi="Arial" w:cs="Arial"/>
          <w:sz w:val="22"/>
        </w:rPr>
        <w:t xml:space="preserve">los </w:t>
      </w:r>
      <w:r w:rsidR="00F010C4" w:rsidRPr="00AE24B8">
        <w:rPr>
          <w:rFonts w:ascii="Arial" w:eastAsia="Calibri" w:hAnsi="Arial" w:cs="Arial"/>
          <w:sz w:val="22"/>
        </w:rPr>
        <w:t>documentos tipo</w:t>
      </w:r>
      <w:r w:rsidR="00F478C6" w:rsidRPr="00AE24B8">
        <w:rPr>
          <w:rFonts w:ascii="Arial" w:eastAsia="Calibri" w:hAnsi="Arial" w:cs="Arial"/>
          <w:sz w:val="22"/>
        </w:rPr>
        <w:t xml:space="preserve"> </w:t>
      </w:r>
      <w:r w:rsidR="00AE24B8" w:rsidRPr="00AE24B8">
        <w:rPr>
          <w:rFonts w:ascii="Arial" w:eastAsia="Calibri" w:hAnsi="Arial" w:cs="Arial"/>
          <w:sz w:val="22"/>
        </w:rPr>
        <w:t xml:space="preserve">de infraestructura de transporte, </w:t>
      </w:r>
      <w:r w:rsidR="00946D1D" w:rsidRPr="00AE24B8">
        <w:rPr>
          <w:rFonts w:ascii="Arial" w:eastAsia="Calibri" w:hAnsi="Arial" w:cs="Arial"/>
          <w:sz w:val="22"/>
        </w:rPr>
        <w:t xml:space="preserve">usted realiza la siguiente </w:t>
      </w:r>
      <w:r w:rsidR="00EA6975">
        <w:rPr>
          <w:rFonts w:ascii="Arial" w:eastAsia="Calibri" w:hAnsi="Arial" w:cs="Arial"/>
          <w:sz w:val="22"/>
        </w:rPr>
        <w:t>pregunta</w:t>
      </w:r>
      <w:r w:rsidR="00946D1D" w:rsidRPr="00AE24B8">
        <w:rPr>
          <w:rFonts w:ascii="Arial" w:eastAsia="Calibri" w:hAnsi="Arial" w:cs="Arial"/>
          <w:sz w:val="22"/>
        </w:rPr>
        <w:t>:</w:t>
      </w:r>
    </w:p>
    <w:p w14:paraId="2AB179B4" w14:textId="77777777" w:rsidR="00EA6975" w:rsidRDefault="00EA6975" w:rsidP="00A41CA1">
      <w:pPr>
        <w:spacing w:line="276" w:lineRule="auto"/>
        <w:jc w:val="both"/>
        <w:rPr>
          <w:rFonts w:ascii="Arial" w:eastAsia="Calibri" w:hAnsi="Arial" w:cs="Arial"/>
          <w:sz w:val="22"/>
        </w:rPr>
      </w:pPr>
    </w:p>
    <w:p w14:paraId="01828238" w14:textId="1A7621FE" w:rsidR="00716A58" w:rsidRPr="00A41CA1" w:rsidRDefault="00AE24B8" w:rsidP="00EA6975">
      <w:pPr>
        <w:spacing w:line="276" w:lineRule="auto"/>
        <w:ind w:left="709" w:right="709"/>
        <w:jc w:val="both"/>
        <w:rPr>
          <w:rFonts w:ascii="Arial" w:eastAsia="Calibri" w:hAnsi="Arial" w:cs="Arial"/>
          <w:sz w:val="22"/>
        </w:rPr>
      </w:pPr>
      <w:r w:rsidRPr="00EA6975">
        <w:rPr>
          <w:rFonts w:ascii="Arial" w:eastAsia="Calibri" w:hAnsi="Arial" w:cs="Arial"/>
          <w:sz w:val="21"/>
          <w:szCs w:val="21"/>
        </w:rPr>
        <w:t>«</w:t>
      </w:r>
      <w:bookmarkEnd w:id="4"/>
      <w:r w:rsidR="00EA6975" w:rsidRPr="00EA6975">
        <w:rPr>
          <w:rFonts w:ascii="Arial" w:eastAsia="Calibri" w:hAnsi="Arial" w:cs="Arial"/>
          <w:sz w:val="21"/>
          <w:szCs w:val="21"/>
        </w:rPr>
        <w:t>Les solicito información en cu</w:t>
      </w:r>
      <w:r w:rsidR="00416A8C">
        <w:rPr>
          <w:rFonts w:ascii="Arial" w:eastAsia="Calibri" w:hAnsi="Arial" w:cs="Arial"/>
          <w:sz w:val="21"/>
          <w:szCs w:val="21"/>
        </w:rPr>
        <w:t>á</w:t>
      </w:r>
      <w:r w:rsidR="00EA6975" w:rsidRPr="00EA6975">
        <w:rPr>
          <w:rFonts w:ascii="Arial" w:eastAsia="Calibri" w:hAnsi="Arial" w:cs="Arial"/>
          <w:sz w:val="21"/>
          <w:szCs w:val="21"/>
        </w:rPr>
        <w:t>nto, c</w:t>
      </w:r>
      <w:r w:rsidR="00416A8C">
        <w:rPr>
          <w:rFonts w:ascii="Arial" w:eastAsia="Calibri" w:hAnsi="Arial" w:cs="Arial"/>
          <w:sz w:val="21"/>
          <w:szCs w:val="21"/>
        </w:rPr>
        <w:t>ó</w:t>
      </w:r>
      <w:r w:rsidR="00EA6975" w:rsidRPr="00EA6975">
        <w:rPr>
          <w:rFonts w:ascii="Arial" w:eastAsia="Calibri" w:hAnsi="Arial" w:cs="Arial"/>
          <w:sz w:val="21"/>
          <w:szCs w:val="21"/>
        </w:rPr>
        <w:t>mo</w:t>
      </w:r>
      <w:r w:rsidR="00416A8C">
        <w:rPr>
          <w:rFonts w:ascii="Arial" w:eastAsia="Calibri" w:hAnsi="Arial" w:cs="Arial"/>
          <w:sz w:val="21"/>
          <w:szCs w:val="21"/>
        </w:rPr>
        <w:t>,</w:t>
      </w:r>
      <w:r w:rsidR="00EA6975" w:rsidRPr="00EA6975">
        <w:rPr>
          <w:rFonts w:ascii="Arial" w:eastAsia="Calibri" w:hAnsi="Arial" w:cs="Arial"/>
          <w:sz w:val="21"/>
          <w:szCs w:val="21"/>
        </w:rPr>
        <w:t xml:space="preserve"> cu</w:t>
      </w:r>
      <w:r w:rsidR="00416A8C">
        <w:rPr>
          <w:rFonts w:ascii="Arial" w:eastAsia="Calibri" w:hAnsi="Arial" w:cs="Arial"/>
          <w:sz w:val="21"/>
          <w:szCs w:val="21"/>
        </w:rPr>
        <w:t>á</w:t>
      </w:r>
      <w:r w:rsidR="00EA6975" w:rsidRPr="00EA6975">
        <w:rPr>
          <w:rFonts w:ascii="Arial" w:eastAsia="Calibri" w:hAnsi="Arial" w:cs="Arial"/>
          <w:sz w:val="21"/>
          <w:szCs w:val="21"/>
        </w:rPr>
        <w:t>ndo</w:t>
      </w:r>
      <w:r w:rsidR="00EA6975">
        <w:rPr>
          <w:rFonts w:ascii="Arial" w:eastAsia="Calibri" w:hAnsi="Arial" w:cs="Arial"/>
          <w:sz w:val="22"/>
        </w:rPr>
        <w:t xml:space="preserve"> y en qué tipo de proyectos hoy en día se deben usar los pliegos tipo</w:t>
      </w:r>
      <w:r w:rsidR="00BA6907" w:rsidRPr="00A41CA1">
        <w:rPr>
          <w:rFonts w:ascii="Arial" w:eastAsia="Calibri" w:hAnsi="Arial" w:cs="Arial"/>
          <w:sz w:val="22"/>
        </w:rPr>
        <w:t>»</w:t>
      </w:r>
      <w:r w:rsidRPr="00A41CA1">
        <w:rPr>
          <w:rFonts w:ascii="Arial" w:eastAsia="Calibri" w:hAnsi="Arial" w:cs="Arial"/>
          <w:sz w:val="22"/>
        </w:rPr>
        <w:t>.</w:t>
      </w:r>
    </w:p>
    <w:p w14:paraId="017BB4E5" w14:textId="77777777" w:rsidR="00716A58" w:rsidRPr="00716A58" w:rsidRDefault="00716A58" w:rsidP="00716A58">
      <w:pPr>
        <w:pStyle w:val="Prrafodelista"/>
        <w:tabs>
          <w:tab w:val="left" w:pos="426"/>
        </w:tabs>
        <w:spacing w:line="276" w:lineRule="auto"/>
        <w:ind w:left="1069" w:right="709"/>
        <w:jc w:val="both"/>
        <w:rPr>
          <w:rFonts w:ascii="Arial" w:eastAsia="Calibri" w:hAnsi="Arial" w:cs="Arial"/>
          <w:sz w:val="21"/>
          <w:szCs w:val="21"/>
        </w:rPr>
      </w:pPr>
    </w:p>
    <w:p w14:paraId="18E8F447" w14:textId="0501A1DC" w:rsidR="00505907" w:rsidRDefault="00E7138C" w:rsidP="008B1764">
      <w:pPr>
        <w:tabs>
          <w:tab w:val="left" w:pos="426"/>
        </w:tabs>
        <w:spacing w:line="276" w:lineRule="auto"/>
        <w:jc w:val="both"/>
        <w:rPr>
          <w:rFonts w:ascii="Arial" w:eastAsia="Calibri" w:hAnsi="Arial" w:cs="Arial"/>
          <w:b/>
          <w:sz w:val="22"/>
        </w:rPr>
      </w:pPr>
      <w:r w:rsidRPr="00CF6238">
        <w:rPr>
          <w:rFonts w:ascii="Arial" w:eastAsia="Calibri" w:hAnsi="Arial" w:cs="Arial"/>
          <w:b/>
          <w:sz w:val="22"/>
        </w:rPr>
        <w:t>2. Consideraciones</w:t>
      </w:r>
      <w:r w:rsidR="005D0519">
        <w:rPr>
          <w:rFonts w:ascii="Arial" w:eastAsia="Calibri" w:hAnsi="Arial" w:cs="Arial"/>
          <w:b/>
          <w:sz w:val="22"/>
        </w:rPr>
        <w:t xml:space="preserve"> </w:t>
      </w:r>
    </w:p>
    <w:p w14:paraId="76DC9031" w14:textId="743DBF5C" w:rsidR="007D7B2D" w:rsidRDefault="007D7B2D" w:rsidP="00EA6975">
      <w:pPr>
        <w:spacing w:before="120" w:line="276" w:lineRule="auto"/>
        <w:jc w:val="both"/>
        <w:rPr>
          <w:rFonts w:ascii="Arial" w:eastAsia="Calibri" w:hAnsi="Arial" w:cs="Arial"/>
          <w:color w:val="000000" w:themeColor="text1"/>
          <w:sz w:val="22"/>
          <w:lang w:val="es-ES_tradnl"/>
        </w:rPr>
      </w:pPr>
      <w:r w:rsidRPr="00B00AFD">
        <w:rPr>
          <w:rFonts w:ascii="Arial" w:eastAsia="Calibri" w:hAnsi="Arial" w:cs="Arial"/>
          <w:color w:val="000000" w:themeColor="text1"/>
          <w:sz w:val="22"/>
          <w:lang w:val="es-ES_tradnl"/>
        </w:rPr>
        <w:t xml:space="preserve">La Agencia Nacional de Contratación Pública – Colombia Compra Eficiente ha estudiado del ámbito de aplicación de los documentos tipo en los conceptos C-645 del 6 de noviembre </w:t>
      </w:r>
      <w:r w:rsidRPr="00B00AFD">
        <w:rPr>
          <w:rFonts w:ascii="Arial" w:eastAsia="Calibri" w:hAnsi="Arial" w:cs="Arial"/>
          <w:color w:val="000000" w:themeColor="text1"/>
          <w:sz w:val="22"/>
          <w:lang w:val="es-ES_tradnl"/>
        </w:rPr>
        <w:lastRenderedPageBreak/>
        <w:t>de 2020, C-673 del 11 de noviembre de 2020, C-692 del 27 de noviembre de 2020, C-778 del 18 de enero de 2021, C-021 del 22 de febrero de 2021, C-091 del 23 de marzo de 2021, C-200 del 14 de mayo de 2021, C-231 del 24 de mayo de 2021, C-267 de 2 de junio de 2021</w:t>
      </w:r>
      <w:r w:rsidR="00E53184">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C-370 del 28 de julio de 2021</w:t>
      </w:r>
      <w:r w:rsidR="00E53184">
        <w:rPr>
          <w:rFonts w:ascii="Arial" w:eastAsia="Calibri" w:hAnsi="Arial" w:cs="Arial"/>
          <w:color w:val="000000" w:themeColor="text1"/>
          <w:sz w:val="22"/>
          <w:lang w:val="es-ES_tradnl"/>
        </w:rPr>
        <w:t xml:space="preserve"> y C-380 del 29 de julio de 2021</w:t>
      </w:r>
      <w:r>
        <w:rPr>
          <w:rFonts w:ascii="Arial" w:eastAsia="Calibri" w:hAnsi="Arial" w:cs="Arial"/>
          <w:color w:val="000000" w:themeColor="text1"/>
          <w:sz w:val="22"/>
          <w:lang w:val="es-ES_tradnl"/>
        </w:rPr>
        <w:t xml:space="preserve">, </w:t>
      </w:r>
      <w:r w:rsidRPr="00B00AFD">
        <w:rPr>
          <w:rFonts w:ascii="Arial" w:eastAsia="Calibri" w:hAnsi="Arial" w:cs="Arial"/>
          <w:color w:val="000000" w:themeColor="text1"/>
          <w:sz w:val="22"/>
          <w:lang w:val="es-ES_tradnl"/>
        </w:rPr>
        <w:t>entre otros. En lo pertinente, las tesis expuestas en los conceptos mencionados se reiteran a continuación</w:t>
      </w:r>
      <w:r w:rsidR="00AE24B8">
        <w:rPr>
          <w:rFonts w:ascii="Arial" w:eastAsia="Calibri" w:hAnsi="Arial" w:cs="Arial"/>
          <w:color w:val="000000" w:themeColor="text1"/>
          <w:sz w:val="22"/>
          <w:lang w:val="es-ES_tradnl"/>
        </w:rPr>
        <w:t>:</w:t>
      </w:r>
    </w:p>
    <w:p w14:paraId="73BDDCC6" w14:textId="7F672574" w:rsidR="00782B2F" w:rsidRPr="007D7B2D" w:rsidRDefault="00782B2F" w:rsidP="00782B2F">
      <w:pPr>
        <w:spacing w:line="276" w:lineRule="auto"/>
        <w:jc w:val="both"/>
        <w:rPr>
          <w:rFonts w:ascii="Arial" w:eastAsia="Calibri" w:hAnsi="Arial" w:cs="Arial"/>
          <w:sz w:val="22"/>
          <w:lang w:val="es-ES_tradnl"/>
        </w:rPr>
      </w:pPr>
    </w:p>
    <w:p w14:paraId="0913614F" w14:textId="77777777" w:rsidR="005E4288" w:rsidRPr="008918A2" w:rsidRDefault="005E4288" w:rsidP="005E4288">
      <w:pPr>
        <w:spacing w:line="276" w:lineRule="auto"/>
        <w:jc w:val="both"/>
        <w:rPr>
          <w:rFonts w:ascii="Arial" w:eastAsia="Arial" w:hAnsi="Arial" w:cs="Arial"/>
          <w:b/>
          <w:bCs/>
          <w:color w:val="000000"/>
          <w:sz w:val="22"/>
          <w:lang w:val="es-ES_tradnl"/>
        </w:rPr>
      </w:pPr>
      <w:r w:rsidRPr="005E4288">
        <w:rPr>
          <w:rFonts w:ascii="Arial" w:eastAsia="Arial" w:hAnsi="Arial" w:cs="Arial"/>
          <w:b/>
          <w:bCs/>
          <w:color w:val="000000"/>
          <w:sz w:val="22"/>
          <w:lang w:val="es-ES_tradnl"/>
        </w:rPr>
        <w:t>2.1. Fundamento normativo de los documentos tipo adoptados hasta la actualidad.</w:t>
      </w:r>
    </w:p>
    <w:p w14:paraId="4788D21D" w14:textId="77777777" w:rsidR="005E4288" w:rsidRPr="008918A2" w:rsidRDefault="005E4288" w:rsidP="005E4288">
      <w:pPr>
        <w:spacing w:line="276" w:lineRule="auto"/>
        <w:jc w:val="both"/>
        <w:rPr>
          <w:rFonts w:ascii="Arial" w:eastAsia="Arial" w:hAnsi="Arial" w:cs="Arial"/>
          <w:b/>
          <w:bCs/>
          <w:color w:val="000000"/>
          <w:sz w:val="22"/>
          <w:lang w:val="es-ES_tradnl"/>
        </w:rPr>
      </w:pPr>
    </w:p>
    <w:p w14:paraId="66F18823" w14:textId="77777777" w:rsidR="005E4288" w:rsidRPr="008918A2" w:rsidRDefault="005E4288" w:rsidP="005E4288">
      <w:pPr>
        <w:spacing w:after="120" w:line="276" w:lineRule="auto"/>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8918A2">
        <w:rPr>
          <w:rStyle w:val="Refdenotaalpie"/>
          <w:rFonts w:ascii="Arial" w:eastAsia="Calibri" w:hAnsi="Arial" w:cs="Arial"/>
          <w:color w:val="000000"/>
          <w:sz w:val="22"/>
          <w:lang w:val="es-ES_tradnl"/>
        </w:rPr>
        <w:footnoteReference w:id="1"/>
      </w:r>
      <w:r w:rsidRPr="008918A2">
        <w:rPr>
          <w:rFonts w:ascii="Arial" w:eastAsia="Calibri"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5B008C3E" w14:textId="77777777" w:rsidR="005E4288" w:rsidRPr="008918A2" w:rsidRDefault="005E4288" w:rsidP="007E2330">
      <w:pPr>
        <w:spacing w:before="120" w:after="120" w:line="276" w:lineRule="auto"/>
        <w:ind w:firstLine="709"/>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3F110515" w14:textId="77777777" w:rsidR="005E4288" w:rsidRPr="008918A2" w:rsidRDefault="005E4288" w:rsidP="007E2330">
      <w:pPr>
        <w:spacing w:before="120" w:after="120" w:line="276" w:lineRule="auto"/>
        <w:ind w:firstLine="709"/>
        <w:jc w:val="both"/>
        <w:rPr>
          <w:rFonts w:ascii="Arial" w:eastAsia="Calibri" w:hAnsi="Arial" w:cs="Arial"/>
          <w:color w:val="000000"/>
          <w:sz w:val="22"/>
          <w:lang w:val="es-ES_tradnl"/>
        </w:rPr>
      </w:pPr>
      <w:r w:rsidRPr="008918A2">
        <w:rPr>
          <w:rFonts w:ascii="Arial" w:eastAsia="Calibri"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918A2">
        <w:rPr>
          <w:rStyle w:val="Refdenotaalpie"/>
          <w:rFonts w:ascii="Arial" w:eastAsia="Calibri" w:hAnsi="Arial" w:cs="Arial"/>
          <w:color w:val="000000"/>
          <w:sz w:val="22"/>
          <w:lang w:val="es-ES_tradnl"/>
        </w:rPr>
        <w:footnoteReference w:id="2"/>
      </w:r>
      <w:r w:rsidRPr="008918A2">
        <w:rPr>
          <w:rFonts w:ascii="Arial" w:eastAsia="Calibri" w:hAnsi="Arial" w:cs="Arial"/>
          <w:color w:val="000000"/>
          <w:sz w:val="22"/>
          <w:lang w:val="es-ES_tradnl"/>
        </w:rPr>
        <w:t>.</w:t>
      </w:r>
    </w:p>
    <w:p w14:paraId="0AFCD950" w14:textId="2CF68469" w:rsidR="005E4288" w:rsidRPr="008918A2" w:rsidRDefault="005E4288" w:rsidP="007E2330">
      <w:pPr>
        <w:spacing w:before="120" w:after="120" w:line="276" w:lineRule="auto"/>
        <w:ind w:firstLine="709"/>
        <w:jc w:val="both"/>
        <w:rPr>
          <w:rFonts w:ascii="Arial" w:eastAsia="Calibri" w:hAnsi="Arial" w:cs="Arial"/>
          <w:color w:val="000000"/>
          <w:sz w:val="22"/>
          <w:lang w:val="es-ES_tradnl"/>
        </w:rPr>
      </w:pPr>
      <w:r w:rsidRPr="008918A2">
        <w:rPr>
          <w:rFonts w:ascii="Arial" w:eastAsia="Calibri" w:hAnsi="Arial" w:cs="Arial"/>
          <w:color w:val="000000"/>
          <w:sz w:val="22"/>
          <w:lang w:val="es-ES_tradnl"/>
        </w:rPr>
        <w:lastRenderedPageBreak/>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1298E02" w14:textId="2B1BA14D" w:rsidR="005E4288" w:rsidRPr="008918A2" w:rsidRDefault="005E4288" w:rsidP="007E2330">
      <w:pPr>
        <w:spacing w:before="120" w:after="120" w:line="276" w:lineRule="auto"/>
        <w:ind w:firstLine="709"/>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De la norma descrita se concluía lo siguiente: i) la adopción de los documentos tipo estaba en cabeza del gobierno nacional. ii) </w:t>
      </w:r>
      <w:r>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stos debían relacionarse con procesos de obra públicas, interventoría para las obras públicas, interventoría para consultoría de estudios y diseños y, finalmente, consultoría en ingeniería para obras. iii) </w:t>
      </w:r>
      <w:r>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ran de obligatorio cumplimiento por parte de todas las entidades sometidas al Estatuto General de Contratación de la Administración Pública. iv) </w:t>
      </w:r>
      <w:r>
        <w:rPr>
          <w:rFonts w:ascii="Arial" w:eastAsia="Calibri" w:hAnsi="Arial" w:cs="Arial"/>
          <w:color w:val="000000"/>
          <w:sz w:val="22"/>
          <w:lang w:val="es-ES_tradnl"/>
        </w:rPr>
        <w:t>E</w:t>
      </w:r>
      <w:r w:rsidRPr="008918A2">
        <w:rPr>
          <w:rFonts w:ascii="Arial" w:eastAsia="Calibri" w:hAnsi="Arial" w:cs="Arial"/>
          <w:color w:val="000000"/>
          <w:sz w:val="22"/>
          <w:lang w:val="es-ES_tradnl"/>
        </w:rPr>
        <w:t xml:space="preserve">n los documentos tipo se indicarían las condiciones generales de los requisitos habilitantes, así como los factores técnicos y económicos de escogencia, según correspondiera para cada modalidad de selección. v) </w:t>
      </w:r>
      <w:r>
        <w:rPr>
          <w:rFonts w:ascii="Arial" w:eastAsia="Calibri" w:hAnsi="Arial" w:cs="Arial"/>
          <w:color w:val="000000"/>
          <w:sz w:val="22"/>
          <w:lang w:val="es-ES_tradnl"/>
        </w:rPr>
        <w:t>El</w:t>
      </w:r>
      <w:r w:rsidRPr="008918A2">
        <w:rPr>
          <w:rFonts w:ascii="Arial" w:eastAsia="Calibri" w:hAnsi="Arial" w:cs="Arial"/>
          <w:color w:val="000000"/>
          <w:sz w:val="22"/>
          <w:lang w:val="es-ES_tradnl"/>
        </w:rPr>
        <w:t xml:space="preserve"> gobierno nacional tenía la facultad de adoptar documentos tipo en otros contratos o procesos de selección</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w:t>
      </w:r>
      <w:r>
        <w:rPr>
          <w:rFonts w:ascii="Arial" w:eastAsia="Calibri" w:hAnsi="Arial" w:cs="Arial"/>
          <w:color w:val="000000"/>
          <w:sz w:val="22"/>
          <w:lang w:val="es-ES_tradnl"/>
        </w:rPr>
        <w:t>P</w:t>
      </w:r>
      <w:r w:rsidRPr="008918A2">
        <w:rPr>
          <w:rFonts w:ascii="Arial" w:eastAsia="Calibri" w:hAnsi="Arial" w:cs="Arial"/>
          <w:color w:val="000000"/>
          <w:sz w:val="22"/>
          <w:lang w:val="es-ES_tradnl"/>
        </w:rPr>
        <w:t xml:space="preserve">or último, vi) los documentos tipo serían adoptados por categorías de acuerdo con la cuantía de la contratación. </w:t>
      </w:r>
    </w:p>
    <w:p w14:paraId="5239A231" w14:textId="03D30883" w:rsidR="005E4288" w:rsidRPr="008918A2" w:rsidRDefault="005E4288" w:rsidP="007E2330">
      <w:pPr>
        <w:spacing w:before="120" w:after="120" w:line="276" w:lineRule="auto"/>
        <w:ind w:firstLine="709"/>
        <w:jc w:val="both"/>
        <w:rPr>
          <w:rFonts w:ascii="Arial" w:eastAsia="Calibri" w:hAnsi="Arial" w:cs="Arial"/>
          <w:color w:val="000000"/>
          <w:sz w:val="22"/>
          <w:lang w:val="es-ES_tradnl"/>
        </w:rPr>
      </w:pPr>
      <w:r w:rsidRPr="008918A2">
        <w:rPr>
          <w:rFonts w:ascii="Arial" w:eastAsia="Calibri" w:hAnsi="Arial" w:cs="Arial"/>
          <w:color w:val="000000"/>
          <w:sz w:val="22"/>
          <w:lang w:val="es-ES_tradnl"/>
        </w:rPr>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8918A2">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5"/>
      <w:r w:rsidRPr="008918A2">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8918A2">
        <w:rPr>
          <w:rStyle w:val="Refdenotaalpie"/>
          <w:rFonts w:ascii="Arial" w:eastAsia="Calibri" w:hAnsi="Arial" w:cs="Arial"/>
          <w:color w:val="000000"/>
          <w:sz w:val="22"/>
          <w:lang w:val="es-ES_tradnl"/>
        </w:rPr>
        <w:footnoteReference w:id="3"/>
      </w:r>
      <w:r w:rsidRPr="008918A2">
        <w:rPr>
          <w:rFonts w:ascii="Arial" w:eastAsia="Calibri" w:hAnsi="Arial" w:cs="Arial"/>
          <w:color w:val="000000"/>
          <w:sz w:val="22"/>
          <w:lang w:val="es-ES_tradnl"/>
        </w:rPr>
        <w:t>.</w:t>
      </w:r>
    </w:p>
    <w:p w14:paraId="081005E0" w14:textId="29463F21" w:rsidR="005E4288" w:rsidRPr="008918A2" w:rsidRDefault="005E4288" w:rsidP="007E2330">
      <w:pPr>
        <w:spacing w:before="120" w:after="120" w:line="276" w:lineRule="auto"/>
        <w:ind w:firstLine="709"/>
        <w:jc w:val="both"/>
        <w:rPr>
          <w:rFonts w:ascii="Arial" w:eastAsia="Calibri" w:hAnsi="Arial" w:cs="Arial"/>
          <w:color w:val="000000"/>
          <w:sz w:val="22"/>
          <w:lang w:val="es-ES_tradnl"/>
        </w:rPr>
      </w:pPr>
      <w:r w:rsidRPr="008918A2">
        <w:rPr>
          <w:rFonts w:ascii="Arial" w:eastAsia="Calibri" w:hAnsi="Arial" w:cs="Arial"/>
          <w:color w:val="000000"/>
          <w:sz w:val="22"/>
          <w:lang w:val="es-ES_tradnl"/>
        </w:rPr>
        <w:lastRenderedPageBreak/>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w:t>
      </w:r>
      <w:r>
        <w:rPr>
          <w:rFonts w:ascii="Arial" w:eastAsia="Calibri" w:hAnsi="Arial" w:cs="Arial"/>
          <w:color w:val="000000"/>
          <w:sz w:val="22"/>
          <w:lang w:val="es-ES_tradnl"/>
        </w:rPr>
        <w:t>iniciar</w:t>
      </w:r>
      <w:r w:rsidRPr="008918A2">
        <w:rPr>
          <w:rFonts w:ascii="Arial" w:eastAsia="Calibri" w:hAnsi="Arial" w:cs="Arial"/>
          <w:color w:val="000000"/>
          <w:sz w:val="22"/>
          <w:lang w:val="es-ES_tradnl"/>
        </w:rPr>
        <w:t xml:space="preserve"> un proceso de convocatoria para satisfacer sus necesidades para la adquisición de un bien</w:t>
      </w:r>
      <w:r>
        <w:rPr>
          <w:rFonts w:ascii="Arial" w:eastAsia="Calibri" w:hAnsi="Arial" w:cs="Arial"/>
          <w:color w:val="000000"/>
          <w:sz w:val="22"/>
          <w:lang w:val="es-ES_tradnl"/>
        </w:rPr>
        <w:t>, obra</w:t>
      </w:r>
      <w:r w:rsidRPr="008918A2">
        <w:rPr>
          <w:rFonts w:ascii="Arial" w:eastAsia="Calibri" w:hAnsi="Arial" w:cs="Arial"/>
          <w:color w:val="000000"/>
          <w:sz w:val="22"/>
          <w:lang w:val="es-ES_tradnl"/>
        </w:rPr>
        <w:t xml:space="preserve"> o servicio</w:t>
      </w:r>
      <w:r>
        <w:rPr>
          <w:rFonts w:ascii="Arial" w:eastAsia="Calibri" w:hAnsi="Arial" w:cs="Arial"/>
          <w:color w:val="000000"/>
          <w:sz w:val="22"/>
          <w:lang w:val="es-ES_tradnl"/>
        </w:rPr>
        <w:t>,</w:t>
      </w:r>
      <w:r w:rsidRPr="008918A2">
        <w:rPr>
          <w:rFonts w:ascii="Arial" w:eastAsia="Calibri" w:hAnsi="Arial" w:cs="Arial"/>
          <w:color w:val="000000"/>
          <w:sz w:val="22"/>
          <w:lang w:val="es-ES_tradnl"/>
        </w:rPr>
        <w:t xml:space="preserve"> y además se incluyen en la minuta del contrato las condiciones particulares del negocio jurídico a celebrar.</w:t>
      </w:r>
    </w:p>
    <w:p w14:paraId="69BE0E35" w14:textId="705481D5" w:rsidR="005E4288" w:rsidRDefault="005E4288" w:rsidP="007E2330">
      <w:pPr>
        <w:spacing w:before="120" w:after="120" w:line="276" w:lineRule="auto"/>
        <w:ind w:firstLine="709"/>
        <w:jc w:val="both"/>
        <w:rPr>
          <w:rFonts w:ascii="Arial" w:eastAsia="Calibri" w:hAnsi="Arial" w:cs="Arial"/>
          <w:sz w:val="22"/>
          <w:lang w:val="es-ES_tradnl"/>
        </w:rPr>
      </w:pPr>
      <w:r w:rsidRPr="008918A2">
        <w:rPr>
          <w:rFonts w:ascii="Arial" w:eastAsia="Calibri" w:hAnsi="Arial" w:cs="Arial"/>
          <w:color w:val="000000"/>
          <w:sz w:val="22"/>
          <w:lang w:val="es-ES_tradnl"/>
        </w:rPr>
        <w:t xml:space="preserve">Explicado el proceso para adoptar los documentos tipo en virtud de la Ley 1882 de 2018 y estudiada su constitucionalidad, de acuerdo con el pronunciamiento de la Corte Constitucional, a </w:t>
      </w:r>
      <w:r w:rsidR="00416A8C" w:rsidRPr="008918A2">
        <w:rPr>
          <w:rFonts w:ascii="Arial" w:eastAsia="Calibri" w:hAnsi="Arial" w:cs="Arial"/>
          <w:color w:val="000000"/>
          <w:sz w:val="22"/>
          <w:lang w:val="es-ES_tradnl"/>
        </w:rPr>
        <w:t>continuación,</w:t>
      </w:r>
      <w:r w:rsidRPr="008918A2">
        <w:rPr>
          <w:rFonts w:ascii="Arial" w:eastAsia="Calibri" w:hAnsi="Arial" w:cs="Arial"/>
          <w:color w:val="000000"/>
          <w:sz w:val="22"/>
          <w:lang w:val="es-ES_tradnl"/>
        </w:rPr>
        <w:t xml:space="preserve"> se identificarán los documentos tipo adoptados por el gobierno nacional en virtud de esta ley. </w:t>
      </w:r>
      <w:r w:rsidRPr="008918A2">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3B33EB0F" w14:textId="77777777" w:rsidR="005E4288" w:rsidRPr="008918A2" w:rsidRDefault="005E4288" w:rsidP="00FC631C">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sz w:val="22"/>
          <w:lang w:val="es-ES_tradnl"/>
        </w:rPr>
        <w:t>Posteriormente,</w:t>
      </w:r>
      <w:r w:rsidRPr="008918A2">
        <w:rPr>
          <w:rFonts w:ascii="Arial" w:eastAsia="Calibri" w:hAnsi="Arial" w:cs="Arial"/>
          <w:sz w:val="22"/>
          <w:lang w:val="es-ES_tradnl"/>
        </w:rPr>
        <w:t xml:space="preserv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918A2" w:rsidDel="00A434AB">
        <w:rPr>
          <w:rFonts w:ascii="Arial" w:eastAsia="Calibri" w:hAnsi="Arial" w:cs="Arial"/>
          <w:sz w:val="22"/>
          <w:lang w:val="es-ES_tradnl"/>
        </w:rPr>
        <w:t xml:space="preserve"> </w:t>
      </w:r>
      <w:r w:rsidRPr="008918A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6" w:name="_Hlk37841850"/>
      <w:r w:rsidRPr="008918A2">
        <w:rPr>
          <w:rFonts w:ascii="Arial" w:eastAsia="Calibri" w:hAnsi="Arial" w:cs="Arial"/>
          <w:sz w:val="22"/>
          <w:lang w:val="es-ES_tradnl"/>
        </w:rPr>
        <w:t xml:space="preserve">– Colombia Compra Eficiente, </w:t>
      </w:r>
      <w:bookmarkEnd w:id="6"/>
      <w:r w:rsidRPr="008918A2">
        <w:rPr>
          <w:rFonts w:ascii="Arial" w:eastAsia="Calibri" w:hAnsi="Arial" w:cs="Arial"/>
          <w:sz w:val="22"/>
          <w:lang w:val="es-ES_tradnl"/>
        </w:rPr>
        <w:t>por medio de la Resolución 1798 de 1 de abril de 2019 –derogada por la Resolución 045 del 14 de febrero de 2020–, la Resolución 044 del 14 de febrero de 2020 y la Resolución 094 del 21 de mayo de 2020.</w:t>
      </w:r>
    </w:p>
    <w:p w14:paraId="51CD7631" w14:textId="77777777" w:rsidR="005E4288" w:rsidRDefault="005E4288" w:rsidP="00FC631C">
      <w:pPr>
        <w:pStyle w:val="Normal11pt"/>
        <w:spacing w:before="120" w:after="120" w:line="276" w:lineRule="auto"/>
        <w:ind w:left="0" w:firstLine="709"/>
        <w:rPr>
          <w:rFonts w:eastAsia="Calibri"/>
          <w:color w:val="000000" w:themeColor="text1"/>
        </w:rPr>
      </w:pPr>
      <w:r w:rsidRPr="008918A2">
        <w:rPr>
          <w:rFonts w:eastAsia="Calibri"/>
          <w:color w:val="000000" w:themeColor="text1"/>
        </w:rPr>
        <w:t>Por otra parte</w:t>
      </w:r>
      <w:r w:rsidRPr="008918A2">
        <w:rPr>
          <w:rFonts w:eastAsia="Calibri"/>
          <w:i/>
          <w:iCs/>
          <w:color w:val="000000" w:themeColor="text1"/>
        </w:rPr>
        <w:t>,</w:t>
      </w:r>
      <w:r w:rsidRPr="008918A2">
        <w:rPr>
          <w:rFonts w:eastAsia="Calibri"/>
          <w:color w:val="000000" w:themeColor="text1"/>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523C042D" w14:textId="7151BDA6" w:rsidR="005E4288" w:rsidRPr="008918A2" w:rsidRDefault="005E4288" w:rsidP="00240AD0">
      <w:pPr>
        <w:pStyle w:val="Normal11pt"/>
        <w:spacing w:before="120" w:after="120" w:line="276" w:lineRule="auto"/>
        <w:ind w:left="0" w:firstLine="709"/>
        <w:rPr>
          <w:rFonts w:eastAsia="Calibri"/>
          <w:color w:val="000000" w:themeColor="text1"/>
        </w:rPr>
      </w:pPr>
      <w:r w:rsidRPr="008918A2">
        <w:rPr>
          <w:rFonts w:eastAsia="Calibri"/>
          <w:color w:val="000000" w:themeColor="text1"/>
        </w:rPr>
        <w:lastRenderedPageBreak/>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w:t>
      </w:r>
      <w:r w:rsidR="00240AD0">
        <w:rPr>
          <w:rFonts w:eastAsia="Calibri"/>
          <w:color w:val="000000" w:themeColor="text1"/>
        </w:rPr>
        <w:t xml:space="preserve"> y</w:t>
      </w:r>
      <w:r w:rsidRPr="008918A2">
        <w:rPr>
          <w:rFonts w:eastAsia="Calibri"/>
          <w:color w:val="000000" w:themeColor="text1"/>
        </w:rPr>
        <w:t xml:space="preserve"> la Resolución 269 de 2020, «Por la cual se adopta el documento tipo para los procesos de gestión catastral con enfoque multipropósito que se celebren a través de contratos interadministrativos»</w:t>
      </w:r>
      <w:r w:rsidR="00240AD0">
        <w:rPr>
          <w:rFonts w:eastAsia="Calibri"/>
          <w:color w:val="000000" w:themeColor="text1"/>
        </w:rPr>
        <w:t xml:space="preserve">. </w:t>
      </w:r>
      <w:r w:rsidR="00240AD0" w:rsidRPr="00886931">
        <w:rPr>
          <w:rFonts w:eastAsia="Calibri"/>
          <w:color w:val="000000" w:themeColor="text1"/>
        </w:rPr>
        <w:t xml:space="preserve">Finalmente es del caso mencionar que recientemente la Agencia Nacional de </w:t>
      </w:r>
      <w:r w:rsidR="00CF4D4B" w:rsidRPr="00886931">
        <w:rPr>
          <w:rFonts w:eastAsia="Calibri"/>
          <w:color w:val="000000" w:themeColor="text1"/>
        </w:rPr>
        <w:t>Contratación</w:t>
      </w:r>
      <w:r w:rsidR="00240AD0" w:rsidRPr="00886931">
        <w:rPr>
          <w:rFonts w:eastAsia="Calibri"/>
          <w:color w:val="000000" w:themeColor="text1"/>
        </w:rPr>
        <w:t xml:space="preserve"> Publica – Colombia Compra Eficiente mediante la Resolución 304 del 13 de octubre de 2021, modific</w:t>
      </w:r>
      <w:r w:rsidR="00886931" w:rsidRPr="00886931">
        <w:rPr>
          <w:rFonts w:eastAsia="Calibri"/>
          <w:color w:val="000000" w:themeColor="text1"/>
        </w:rPr>
        <w:t>ó</w:t>
      </w:r>
      <w:r w:rsidR="00240AD0" w:rsidRPr="00886931">
        <w:rPr>
          <w:rFonts w:eastAsia="Calibri"/>
          <w:color w:val="000000" w:themeColor="text1"/>
        </w:rPr>
        <w:t xml:space="preserve"> algunas disposiciones de los diferentes Documentos Tipo adoptados, </w:t>
      </w:r>
      <w:r w:rsidR="00CF4D4B" w:rsidRPr="00886931">
        <w:rPr>
          <w:rFonts w:eastAsia="Calibri"/>
          <w:color w:val="000000" w:themeColor="text1"/>
        </w:rPr>
        <w:t xml:space="preserve">las cuales </w:t>
      </w:r>
      <w:r w:rsidR="00886931" w:rsidRPr="00886931">
        <w:rPr>
          <w:rFonts w:eastAsia="Calibri"/>
          <w:color w:val="000000" w:themeColor="text1"/>
        </w:rPr>
        <w:t>se</w:t>
      </w:r>
      <w:r w:rsidR="00CF4D4B" w:rsidRPr="00886931">
        <w:rPr>
          <w:rFonts w:eastAsia="Calibri"/>
          <w:color w:val="000000" w:themeColor="text1"/>
        </w:rPr>
        <w:t xml:space="preserve"> aplicar</w:t>
      </w:r>
      <w:r w:rsidR="00886931" w:rsidRPr="00886931">
        <w:rPr>
          <w:rFonts w:eastAsia="Calibri"/>
          <w:color w:val="000000" w:themeColor="text1"/>
        </w:rPr>
        <w:t>á</w:t>
      </w:r>
      <w:r w:rsidR="00CF4D4B" w:rsidRPr="00886931">
        <w:rPr>
          <w:rFonts w:eastAsia="Calibri"/>
          <w:color w:val="000000" w:themeColor="text1"/>
        </w:rPr>
        <w:t>n a los procesos de contratación cuyo aviso de convocatoria se publique a partir del 2 de noviembre de 2021.</w:t>
      </w:r>
      <w:r w:rsidR="00CF4D4B">
        <w:rPr>
          <w:rFonts w:eastAsia="Calibri"/>
          <w:color w:val="000000" w:themeColor="text1"/>
        </w:rPr>
        <w:t xml:space="preserve"> </w:t>
      </w:r>
    </w:p>
    <w:p w14:paraId="63790C09" w14:textId="08583619" w:rsidR="005E4288" w:rsidRDefault="005E4288" w:rsidP="00FC631C">
      <w:pPr>
        <w:pStyle w:val="Normal11pt"/>
        <w:spacing w:before="120" w:line="276" w:lineRule="auto"/>
        <w:ind w:left="0" w:firstLine="709"/>
        <w:rPr>
          <w:rFonts w:eastAsia="Calibri"/>
          <w:color w:val="000000" w:themeColor="text1"/>
        </w:rPr>
      </w:pPr>
      <w:r w:rsidRPr="008918A2">
        <w:rPr>
          <w:rFonts w:eastAsia="Calibri"/>
          <w:color w:val="000000" w:themeColor="text1"/>
        </w:rPr>
        <w:t xml:space="preserve">En síntesis, hasta el momento se han expedido los siguientes documentos tipo que son obligatorios para todas las entidades sometidas al Estatuto General de Contratación de la Administración Pública: </w:t>
      </w:r>
    </w:p>
    <w:p w14:paraId="30672445"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7FE74221"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ii) Documentos tipo para licitación de obra pública de infraestructura de transporte –versión 2–, obligatorios para los procesos cuyo aviso de convocatoria se haya publicado desde el 10 de marzo de 2020.</w:t>
      </w:r>
    </w:p>
    <w:p w14:paraId="65E0EEBC"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iii) Documentos tipo para licitación de obra pública de infraestructura de transporte –versión 3–, obligatorios para los procesos cuyo aviso de convocatoria se haya publicado desde el 1 de enero de 2021.</w:t>
      </w:r>
    </w:p>
    <w:p w14:paraId="0133A128"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34BA1C80"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62E43157"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lastRenderedPageBreak/>
        <w:t>vi) Documentos tipo para procesos de mínima cuantía de infraestructura de transporte, obligatorios para los procesos cuya invitación pública se haya publicado a partir del 10 de junio de 2020.</w:t>
      </w:r>
    </w:p>
    <w:p w14:paraId="6745CFF3"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7C4790AA"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viii)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6085BF78" w14:textId="77777777" w:rsidR="00047DB1" w:rsidRPr="00047DB1" w:rsidRDefault="00047DB1" w:rsidP="00FC631C">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ix) Documentos tipo para procesos de licitación pública para obras de infraestructura de agua potable y saneamiento básico, obligatorios para los procesos cuyo aviso de convocatoria se haya publicado desde el 11 de diciembre de 2020.</w:t>
      </w:r>
    </w:p>
    <w:p w14:paraId="060F4639" w14:textId="77777777" w:rsidR="00047DB1" w:rsidRPr="00047DB1" w:rsidRDefault="00047DB1" w:rsidP="00047DB1">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1305B434" w14:textId="77777777" w:rsidR="00047DB1" w:rsidRPr="00047DB1" w:rsidRDefault="00047DB1" w:rsidP="00047DB1">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12E9A33E" w14:textId="28282B1C" w:rsidR="00240AD0" w:rsidRPr="00047DB1" w:rsidRDefault="00047DB1" w:rsidP="00240AD0">
      <w:pPr>
        <w:spacing w:before="120" w:after="120" w:line="276" w:lineRule="auto"/>
        <w:ind w:firstLine="709"/>
        <w:jc w:val="both"/>
        <w:rPr>
          <w:rFonts w:ascii="Arial" w:eastAsia="Calibri" w:hAnsi="Arial" w:cs="Arial"/>
          <w:color w:val="000000"/>
          <w:sz w:val="22"/>
          <w:lang w:val="es-ES_tradnl" w:eastAsia="es-ES"/>
        </w:rPr>
      </w:pPr>
      <w:r w:rsidRPr="00047DB1">
        <w:rPr>
          <w:rFonts w:ascii="Arial" w:eastAsia="Calibri" w:hAnsi="Arial" w:cs="Arial"/>
          <w:color w:val="000000"/>
          <w:sz w:val="22"/>
          <w:lang w:val="es-ES_tradnl" w:eastAsia="es-ES"/>
        </w:rPr>
        <w:t>xii) Documentos tipo para los procesos de licitación de obra pública de infraestructura social, concretamente, para infraestructura en el sector educativo, obligatorios para los procesos cuyo aviso de convocatoria se publiquen desde el 2 de noviembre de 2021.</w:t>
      </w:r>
    </w:p>
    <w:p w14:paraId="40E25D80" w14:textId="77777777" w:rsidR="005E4288" w:rsidRPr="008918A2" w:rsidRDefault="005E4288" w:rsidP="00FC631C">
      <w:pPr>
        <w:pStyle w:val="Normal11pt"/>
        <w:spacing w:before="120" w:line="276" w:lineRule="auto"/>
        <w:ind w:left="0" w:firstLine="709"/>
        <w:rPr>
          <w:rFonts w:eastAsia="Calibri"/>
          <w:lang w:eastAsia="en-US"/>
        </w:rPr>
      </w:pPr>
      <w:r w:rsidRPr="008918A2">
        <w:rPr>
          <w:rFonts w:eastAsia="Calibri"/>
          <w:color w:val="000000" w:themeColor="text1"/>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773B9BC9" w14:textId="77777777" w:rsidR="00AE24B8" w:rsidRPr="005E4288" w:rsidRDefault="00AE24B8" w:rsidP="00AE24B8">
      <w:pPr>
        <w:shd w:val="clear" w:color="auto" w:fill="FFFFFF"/>
        <w:spacing w:line="276" w:lineRule="auto"/>
        <w:jc w:val="both"/>
        <w:textAlignment w:val="baseline"/>
        <w:rPr>
          <w:rFonts w:ascii="Arial" w:eastAsia="Times New Roman" w:hAnsi="Arial" w:cs="Arial"/>
          <w:b/>
          <w:bCs/>
          <w:color w:val="000000"/>
          <w:sz w:val="22"/>
          <w:lang w:val="es-ES_tradnl" w:eastAsia="es-CO"/>
        </w:rPr>
      </w:pPr>
    </w:p>
    <w:p w14:paraId="44D467A1" w14:textId="77777777" w:rsidR="00AE24B8" w:rsidRPr="00085F3B" w:rsidRDefault="00AE24B8" w:rsidP="00AE24B8">
      <w:pPr>
        <w:shd w:val="clear" w:color="auto" w:fill="FFFFFF"/>
        <w:spacing w:line="276" w:lineRule="auto"/>
        <w:jc w:val="both"/>
        <w:textAlignment w:val="baseline"/>
        <w:rPr>
          <w:rFonts w:ascii="Arial" w:eastAsia="Times New Roman" w:hAnsi="Arial" w:cs="Arial"/>
          <w:b/>
          <w:bCs/>
          <w:color w:val="000000"/>
          <w:sz w:val="22"/>
          <w:lang w:eastAsia="es-CO"/>
        </w:rPr>
      </w:pPr>
      <w:r>
        <w:rPr>
          <w:rFonts w:ascii="Arial" w:eastAsia="Times New Roman" w:hAnsi="Arial" w:cs="Arial"/>
          <w:b/>
          <w:bCs/>
          <w:color w:val="000000"/>
          <w:sz w:val="22"/>
          <w:lang w:eastAsia="es-CO"/>
        </w:rPr>
        <w:t xml:space="preserve">2.2. </w:t>
      </w:r>
      <w:r w:rsidRPr="00085F3B">
        <w:rPr>
          <w:rFonts w:ascii="Arial" w:eastAsia="Times New Roman" w:hAnsi="Arial" w:cs="Arial"/>
          <w:b/>
          <w:bCs/>
          <w:color w:val="000000"/>
          <w:sz w:val="22"/>
          <w:lang w:eastAsia="es-CO"/>
        </w:rPr>
        <w:t xml:space="preserve">Inalterabilidad de los documentos tipo de licitación para obra pública de infraestructura de transporte y sus excepciones </w:t>
      </w:r>
    </w:p>
    <w:p w14:paraId="23985DD6" w14:textId="77777777" w:rsidR="00AE24B8" w:rsidRPr="00085F3B" w:rsidRDefault="00AE24B8" w:rsidP="00AE24B8">
      <w:pPr>
        <w:shd w:val="clear" w:color="auto" w:fill="FFFFFF"/>
        <w:spacing w:line="276" w:lineRule="auto"/>
        <w:textAlignment w:val="baseline"/>
        <w:rPr>
          <w:rFonts w:ascii="Arial" w:eastAsia="Times New Roman" w:hAnsi="Arial" w:cs="Arial"/>
          <w:b/>
          <w:bCs/>
          <w:color w:val="000000"/>
          <w:sz w:val="22"/>
          <w:lang w:eastAsia="es-CO"/>
        </w:rPr>
      </w:pPr>
    </w:p>
    <w:p w14:paraId="2754A61F" w14:textId="77777777" w:rsidR="00AE24B8" w:rsidRPr="004C512E" w:rsidRDefault="00AE24B8" w:rsidP="00FC631C">
      <w:pPr>
        <w:spacing w:after="120" w:line="276" w:lineRule="auto"/>
        <w:jc w:val="both"/>
        <w:rPr>
          <w:rFonts w:ascii="Arial" w:eastAsia="Calibri" w:hAnsi="Arial" w:cs="Arial"/>
          <w:color w:val="000000"/>
          <w:sz w:val="22"/>
          <w:lang w:val="es-ES_tradnl"/>
        </w:rPr>
      </w:pPr>
      <w:r w:rsidRPr="004C512E">
        <w:rPr>
          <w:rFonts w:ascii="Arial" w:eastAsia="Calibri" w:hAnsi="Arial" w:cs="Arial"/>
          <w:color w:val="000000"/>
          <w:sz w:val="22"/>
          <w:lang w:val="es-ES_tradnl"/>
        </w:rPr>
        <w:t>Todas las resoluciones</w:t>
      </w:r>
      <w:r w:rsidRPr="004C512E">
        <w:rPr>
          <w:rFonts w:ascii="Arial" w:eastAsia="Calibri" w:hAnsi="Arial" w:cs="Arial"/>
          <w:color w:val="000000"/>
          <w:sz w:val="22"/>
          <w:vertAlign w:val="superscript"/>
          <w:lang w:val="es-ES_tradnl"/>
        </w:rPr>
        <w:footnoteReference w:id="4"/>
      </w:r>
      <w:r w:rsidRPr="004C512E">
        <w:rPr>
          <w:rFonts w:ascii="Arial" w:eastAsia="Calibri" w:hAnsi="Arial" w:cs="Arial"/>
          <w:color w:val="000000"/>
          <w:sz w:val="22"/>
          <w:lang w:val="es-ES_tradnl"/>
        </w:rPr>
        <w:t xml:space="preserve"> expedidas por la Agencia Nacional de Contratación Pública – Colombia Compra Eficiente, mediante las cuales se han adoptado los pliegos tipo, </w:t>
      </w:r>
      <w:r w:rsidRPr="004C512E">
        <w:rPr>
          <w:rFonts w:ascii="Arial" w:eastAsia="Calibri" w:hAnsi="Arial" w:cs="Arial"/>
          <w:color w:val="000000"/>
          <w:sz w:val="22"/>
          <w:lang w:val="es-ES_tradnl"/>
        </w:rPr>
        <w:lastRenderedPageBreak/>
        <w:t xml:space="preserve">consagran la regla de la inalterabilidad. Esta prohibición consiste en que las entidades estatales no pueden incluir o modificar en los </w:t>
      </w:r>
      <w:r w:rsidRPr="004C512E">
        <w:rPr>
          <w:rFonts w:ascii="Arial" w:eastAsia="Calibri" w:hAnsi="Arial" w:cs="Arial"/>
          <w:i/>
          <w:iCs/>
          <w:color w:val="000000"/>
          <w:sz w:val="22"/>
          <w:lang w:val="es-ES_tradnl"/>
        </w:rPr>
        <w:t>Documentos del Proceso</w:t>
      </w:r>
      <w:r w:rsidRPr="004C512E">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575C2C2" w14:textId="77777777" w:rsidR="00AE24B8" w:rsidRPr="004C512E" w:rsidRDefault="00AE24B8" w:rsidP="00FC631C">
      <w:pPr>
        <w:spacing w:before="120" w:after="120" w:line="276" w:lineRule="auto"/>
        <w:ind w:firstLine="709"/>
        <w:jc w:val="both"/>
        <w:rPr>
          <w:rFonts w:ascii="Arial" w:eastAsia="Calibri" w:hAnsi="Arial" w:cs="Arial"/>
          <w:color w:val="000000"/>
          <w:sz w:val="22"/>
          <w:lang w:val="es-ES_tradnl"/>
        </w:rPr>
      </w:pPr>
      <w:r w:rsidRPr="004C512E">
        <w:rPr>
          <w:rFonts w:ascii="Arial" w:eastAsia="Calibri" w:hAnsi="Arial" w:cs="Arial"/>
          <w:color w:val="000000"/>
          <w:sz w:val="22"/>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p>
    <w:p w14:paraId="41BD81F7" w14:textId="77777777" w:rsidR="00AE24B8" w:rsidRPr="004C512E" w:rsidRDefault="00AE24B8" w:rsidP="00FC631C">
      <w:pPr>
        <w:spacing w:before="120" w:after="120" w:line="276" w:lineRule="auto"/>
        <w:ind w:firstLine="709"/>
        <w:jc w:val="both"/>
        <w:rPr>
          <w:rFonts w:ascii="Arial" w:eastAsia="Calibri" w:hAnsi="Arial" w:cs="Arial"/>
          <w:bCs/>
          <w:color w:val="000000"/>
          <w:sz w:val="22"/>
          <w:lang w:val="es-ES_tradnl"/>
        </w:rPr>
      </w:pPr>
      <w:r w:rsidRPr="004C512E">
        <w:rPr>
          <w:rFonts w:ascii="Arial" w:eastAsia="Calibri" w:hAnsi="Arial" w:cs="Arial"/>
          <w:bCs/>
          <w:color w:val="000000"/>
          <w:sz w:val="22"/>
          <w:lang w:val="es-ES_tradnl"/>
        </w:rPr>
        <w:t xml:space="preserve">Además, las entidades estatales deben garantizar el </w:t>
      </w:r>
      <w:r w:rsidRPr="004C512E">
        <w:rPr>
          <w:rFonts w:ascii="Arial" w:eastAsia="Calibri" w:hAnsi="Arial" w:cs="Arial"/>
          <w:bCs/>
          <w:i/>
          <w:iCs/>
          <w:color w:val="000000"/>
          <w:sz w:val="22"/>
          <w:lang w:val="es-ES_tradnl"/>
        </w:rPr>
        <w:t>principio de economía</w:t>
      </w:r>
      <w:r w:rsidRPr="004C512E">
        <w:rPr>
          <w:rFonts w:ascii="Arial" w:eastAsia="Calibri" w:hAnsi="Arial" w:cs="Arial"/>
          <w:bCs/>
          <w:color w:val="000000"/>
          <w:sz w:val="22"/>
          <w:lang w:val="es-ES_tradnl"/>
        </w:rPr>
        <w:t>, del cual se desprende que no pueden exigir documentos o requisitos más allá de los que permitan la Constitución, la ley y los reglamentos. Este postulado ha sido recogido no solo en la contratación estatal</w:t>
      </w:r>
      <w:r w:rsidRPr="004C512E">
        <w:rPr>
          <w:rFonts w:ascii="Arial" w:eastAsia="Calibri" w:hAnsi="Arial" w:cs="Arial"/>
          <w:bCs/>
          <w:color w:val="000000"/>
          <w:sz w:val="22"/>
          <w:vertAlign w:val="superscript"/>
          <w:lang w:val="es-ES_tradnl"/>
        </w:rPr>
        <w:footnoteReference w:id="5"/>
      </w:r>
      <w:r w:rsidRPr="004C512E">
        <w:rPr>
          <w:rFonts w:ascii="Arial" w:eastAsia="Calibri" w:hAnsi="Arial" w:cs="Arial"/>
          <w:bCs/>
          <w:color w:val="000000"/>
          <w:sz w:val="22"/>
          <w:lang w:val="es-ES_tradnl"/>
        </w:rPr>
        <w:t xml:space="preserve"> sino además en la normativa </w:t>
      </w:r>
      <w:proofErr w:type="spellStart"/>
      <w:r w:rsidRPr="004C512E">
        <w:rPr>
          <w:rFonts w:ascii="Arial" w:eastAsia="Calibri" w:hAnsi="Arial" w:cs="Arial"/>
          <w:bCs/>
          <w:color w:val="000000"/>
          <w:sz w:val="22"/>
          <w:lang w:val="es-ES_tradnl"/>
        </w:rPr>
        <w:t>antitrámites</w:t>
      </w:r>
      <w:proofErr w:type="spellEnd"/>
      <w:r w:rsidRPr="004C512E">
        <w:rPr>
          <w:rFonts w:ascii="Arial" w:eastAsia="Calibri" w:hAnsi="Arial" w:cs="Arial"/>
          <w:bCs/>
          <w:color w:val="000000"/>
          <w:sz w:val="22"/>
          <w:vertAlign w:val="superscript"/>
          <w:lang w:val="es-ES_tradnl"/>
        </w:rPr>
        <w:footnoteReference w:id="6"/>
      </w:r>
      <w:r w:rsidRPr="004C512E">
        <w:rPr>
          <w:rFonts w:ascii="Arial" w:eastAsia="Calibri" w:hAnsi="Arial" w:cs="Arial"/>
          <w:bCs/>
          <w:color w:val="000000"/>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1E2FB361" w14:textId="4E1A8F77" w:rsidR="00AE24B8" w:rsidRPr="004C512E" w:rsidRDefault="00AE24B8" w:rsidP="00FC631C">
      <w:pPr>
        <w:spacing w:before="120" w:after="120" w:line="276" w:lineRule="auto"/>
        <w:ind w:firstLine="709"/>
        <w:jc w:val="both"/>
        <w:rPr>
          <w:rFonts w:ascii="Arial" w:eastAsia="Calibri" w:hAnsi="Arial" w:cs="Arial"/>
          <w:color w:val="000000"/>
          <w:sz w:val="22"/>
        </w:rPr>
      </w:pPr>
      <w:r w:rsidRPr="004C512E">
        <w:rPr>
          <w:rFonts w:ascii="Arial" w:eastAsia="Calibri" w:hAnsi="Arial" w:cs="Arial"/>
          <w:color w:val="000000"/>
          <w:sz w:val="22"/>
        </w:rPr>
        <w:t>Adicionalmente, la parte introductoria de los documentos tipo dispone que los aspectos incluidos en corchetes y resaltado</w:t>
      </w:r>
      <w:r w:rsidR="00651871">
        <w:rPr>
          <w:rFonts w:ascii="Arial" w:eastAsia="Calibri" w:hAnsi="Arial" w:cs="Arial"/>
          <w:color w:val="000000"/>
          <w:sz w:val="22"/>
        </w:rPr>
        <w:t>s</w:t>
      </w:r>
      <w:r w:rsidR="004A5898">
        <w:rPr>
          <w:rFonts w:ascii="Arial" w:eastAsia="Calibri" w:hAnsi="Arial" w:cs="Arial"/>
          <w:color w:val="000000"/>
          <w:sz w:val="22"/>
        </w:rPr>
        <w:t xml:space="preserve"> en</w:t>
      </w:r>
      <w:r w:rsidRPr="004C512E">
        <w:rPr>
          <w:rFonts w:ascii="Arial" w:eastAsia="Calibri" w:hAnsi="Arial" w:cs="Arial"/>
          <w:color w:val="000000"/>
          <w:sz w:val="22"/>
        </w:rPr>
        <w:t xml:space="preserve"> gris deben ser diligenciados por la entidad. </w:t>
      </w:r>
      <w:r w:rsidRPr="004C512E">
        <w:rPr>
          <w:rFonts w:ascii="Arial" w:eastAsia="Calibri" w:hAnsi="Arial" w:cs="Arial"/>
          <w:color w:val="000000"/>
          <w:sz w:val="22"/>
        </w:rPr>
        <w:lastRenderedPageBreak/>
        <w:t xml:space="preserve">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de condiciones. </w:t>
      </w:r>
    </w:p>
    <w:p w14:paraId="27015121" w14:textId="3C4598CB" w:rsidR="00AE24B8" w:rsidRPr="004C512E" w:rsidRDefault="00AE24B8" w:rsidP="00FC631C">
      <w:pPr>
        <w:spacing w:before="120" w:after="120" w:line="276" w:lineRule="auto"/>
        <w:ind w:firstLine="709"/>
        <w:jc w:val="both"/>
        <w:rPr>
          <w:rFonts w:ascii="Arial" w:eastAsia="Calibri" w:hAnsi="Arial" w:cs="Arial"/>
          <w:sz w:val="22"/>
        </w:rPr>
      </w:pPr>
      <w:r w:rsidRPr="004C512E">
        <w:rPr>
          <w:rFonts w:ascii="Arial" w:eastAsia="Calibri" w:hAnsi="Arial" w:cs="Arial"/>
          <w:sz w:val="22"/>
        </w:rPr>
        <w:t>Asimismo, en los documentos tipo se prevé</w:t>
      </w:r>
      <w:r w:rsidR="009D16CC">
        <w:rPr>
          <w:rFonts w:ascii="Arial" w:eastAsia="Calibri" w:hAnsi="Arial" w:cs="Arial"/>
          <w:sz w:val="22"/>
        </w:rPr>
        <w:t>n</w:t>
      </w:r>
      <w:r w:rsidRPr="004C512E">
        <w:rPr>
          <w:rFonts w:ascii="Arial" w:eastAsia="Calibri" w:hAnsi="Arial" w:cs="Arial"/>
          <w:sz w:val="22"/>
        </w:rPr>
        <w:t xml:space="preserve"> los eventos en los que el objeto contractual incluye bienes o servicios adicionales a la obra pública. En este caso, la entidad estatal puede complementar experiencia adicional para evaluar la idoneidad respecto de los bienes o servicios ajenos a la obra pública. No obstante,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78921E00" w14:textId="77777777" w:rsidR="00AE24B8" w:rsidRPr="004C512E" w:rsidRDefault="00AE24B8" w:rsidP="00FC631C">
      <w:pPr>
        <w:spacing w:before="120" w:after="120" w:line="276" w:lineRule="auto"/>
        <w:ind w:firstLine="709"/>
        <w:jc w:val="both"/>
        <w:rPr>
          <w:rFonts w:ascii="Arial" w:eastAsia="Calibri" w:hAnsi="Arial" w:cs="Arial"/>
          <w:bCs/>
          <w:sz w:val="22"/>
        </w:rPr>
      </w:pPr>
      <w:r w:rsidRPr="004C512E">
        <w:rPr>
          <w:rFonts w:ascii="Arial" w:eastAsia="Calibri" w:hAnsi="Arial" w:cs="Arial"/>
          <w:bCs/>
          <w:sz w:val="22"/>
        </w:rPr>
        <w:t>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1895DCFD" w14:textId="77777777" w:rsidR="00AE24B8" w:rsidRPr="004C512E" w:rsidRDefault="00AE24B8" w:rsidP="00FC631C">
      <w:pPr>
        <w:spacing w:before="120" w:after="120" w:line="276" w:lineRule="auto"/>
        <w:ind w:firstLine="709"/>
        <w:jc w:val="both"/>
        <w:rPr>
          <w:rFonts w:ascii="Arial" w:eastAsia="Calibri" w:hAnsi="Arial" w:cs="Arial"/>
          <w:bCs/>
          <w:sz w:val="22"/>
        </w:rPr>
      </w:pPr>
      <w:r w:rsidRPr="004C512E">
        <w:rPr>
          <w:rFonts w:ascii="Arial" w:eastAsia="Calibri" w:hAnsi="Arial" w:cs="Arial"/>
          <w:bCs/>
          <w:sz w:val="22"/>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484B9A78" w14:textId="069C0880" w:rsidR="00AE24B8" w:rsidRPr="004C512E" w:rsidRDefault="00AE24B8" w:rsidP="00FC631C">
      <w:pPr>
        <w:spacing w:before="120" w:after="120" w:line="276" w:lineRule="auto"/>
        <w:ind w:firstLine="709"/>
        <w:jc w:val="both"/>
        <w:rPr>
          <w:rFonts w:ascii="Arial" w:eastAsia="Calibri" w:hAnsi="Arial" w:cs="Arial"/>
          <w:sz w:val="22"/>
        </w:rPr>
      </w:pPr>
      <w:r w:rsidRPr="004C512E">
        <w:rPr>
          <w:rFonts w:ascii="Arial" w:eastAsia="Calibri" w:hAnsi="Arial" w:cs="Arial"/>
          <w:sz w:val="22"/>
        </w:rPr>
        <w:t>Con todo, la regla de inalterabilidad de los documentos tipo debe armoniza</w:t>
      </w:r>
      <w:r w:rsidR="00D63D01">
        <w:rPr>
          <w:rFonts w:ascii="Arial" w:eastAsia="Calibri" w:hAnsi="Arial" w:cs="Arial"/>
          <w:sz w:val="22"/>
        </w:rPr>
        <w:t>r</w:t>
      </w:r>
      <w:r w:rsidRPr="004C512E">
        <w:rPr>
          <w:rFonts w:ascii="Arial" w:eastAsia="Calibri" w:hAnsi="Arial" w:cs="Arial"/>
          <w:sz w:val="22"/>
        </w:rPr>
        <w:t xml:space="preserve">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w:t>
      </w:r>
      <w:r w:rsidRPr="004C512E">
        <w:rPr>
          <w:rFonts w:ascii="Arial" w:eastAsia="Calibri" w:hAnsi="Arial" w:cs="Arial"/>
          <w:sz w:val="22"/>
        </w:rPr>
        <w:lastRenderedPageBreak/>
        <w:t xml:space="preserve">de los documentos tipo, sin distingo de la formalidad de la que se sirva para ello los actores de la contratación pública. </w:t>
      </w:r>
    </w:p>
    <w:p w14:paraId="1771CF27" w14:textId="4443B183" w:rsidR="00AE24B8" w:rsidRDefault="00AE24B8" w:rsidP="00FC631C">
      <w:pPr>
        <w:spacing w:before="120" w:after="120" w:line="276" w:lineRule="auto"/>
        <w:ind w:firstLine="709"/>
        <w:jc w:val="both"/>
        <w:rPr>
          <w:rFonts w:ascii="Arial" w:eastAsia="Calibri" w:hAnsi="Arial" w:cs="Arial"/>
          <w:sz w:val="22"/>
        </w:rPr>
      </w:pPr>
      <w:r w:rsidRPr="004C512E">
        <w:rPr>
          <w:rFonts w:ascii="Arial" w:eastAsia="Calibri" w:hAnsi="Arial" w:cs="Arial"/>
          <w:sz w:val="22"/>
        </w:rPr>
        <w:t xml:space="preserve">El carácter inalterable de los documentos tipo no puede, entonces, hacerse extensivo a los aspectos materiales de tales documentos, esto es, el tamaño y tipo de letra, las márgenes o las expresiones que pretenden hacer más comprensible el documento, como es el caso de aquellas que informan que una expresión larga será referida con otra similar pero más corta. </w:t>
      </w:r>
      <w:r w:rsidR="00512238">
        <w:rPr>
          <w:rFonts w:ascii="Arial" w:eastAsia="Calibri" w:hAnsi="Arial" w:cs="Arial"/>
          <w:sz w:val="22"/>
        </w:rPr>
        <w:t>Lo anterior considerando que</w:t>
      </w:r>
      <w:r w:rsidRPr="004C512E">
        <w:rPr>
          <w:rFonts w:ascii="Arial" w:eastAsia="Calibri" w:hAnsi="Arial" w:cs="Arial"/>
          <w:sz w:val="22"/>
        </w:rPr>
        <w:t xml:space="preserve"> estos aspectos en nada afectan la aplicación y alcance de los documentos tipos; en otras palabras, porque no afectan su contenido esencial y, mucho menos, las obligaciones, deberes y derechos que se derivan para las partes contratantes.</w:t>
      </w:r>
    </w:p>
    <w:p w14:paraId="4C91DDC9" w14:textId="0C038FD7" w:rsidR="006D25A2" w:rsidRDefault="006D25A2" w:rsidP="00FC631C">
      <w:pPr>
        <w:tabs>
          <w:tab w:val="left" w:pos="709"/>
        </w:tabs>
        <w:spacing w:before="120" w:after="120" w:line="276" w:lineRule="auto"/>
        <w:ind w:firstLine="709"/>
        <w:jc w:val="both"/>
        <w:rPr>
          <w:rFonts w:ascii="Arial" w:eastAsia="Calibri" w:hAnsi="Arial" w:cs="Arial"/>
          <w:bCs/>
          <w:sz w:val="22"/>
          <w:lang w:val="es-ES"/>
        </w:rPr>
      </w:pPr>
      <w:r>
        <w:rPr>
          <w:rFonts w:ascii="Arial" w:eastAsia="Calibri" w:hAnsi="Arial" w:cs="Arial"/>
          <w:bCs/>
          <w:sz w:val="22"/>
          <w:lang w:val="es-ES"/>
        </w:rPr>
        <w:t xml:space="preserve">Es importante tener en cuenta que, conforme a </w:t>
      </w:r>
      <w:r w:rsidRPr="00B43DF7">
        <w:rPr>
          <w:rFonts w:ascii="Arial" w:eastAsia="Calibri" w:hAnsi="Arial" w:cs="Arial"/>
          <w:bCs/>
          <w:sz w:val="22"/>
          <w:lang w:val="es-ES"/>
        </w:rPr>
        <w:t>la «Guía para la comprensión e implementación de los Documentos Tipo de obra pública de infraestructura de transporte bajo las diferentes modalidades de contratación vigentes»</w:t>
      </w:r>
      <w:r>
        <w:rPr>
          <w:rFonts w:ascii="Arial" w:eastAsia="Calibri" w:hAnsi="Arial" w:cs="Arial"/>
          <w:bCs/>
          <w:sz w:val="22"/>
          <w:lang w:val="es-ES"/>
        </w:rPr>
        <w:t>, los interesados en el proceso de selección deben denunciar ante las autoridades competentes las irregularidades que se presenten con la aplicación de los documentos tipo</w:t>
      </w:r>
      <w:r>
        <w:rPr>
          <w:rStyle w:val="Refdenotaalpie"/>
          <w:rFonts w:ascii="Arial" w:eastAsia="Calibri" w:hAnsi="Arial" w:cs="Arial"/>
          <w:sz w:val="22"/>
          <w:lang w:val="es-ES" w:eastAsia="es-ES" w:bidi="es-ES"/>
        </w:rPr>
        <w:footnoteReference w:id="7"/>
      </w:r>
      <w:r>
        <w:rPr>
          <w:rFonts w:ascii="Arial" w:eastAsia="Calibri" w:hAnsi="Arial" w:cs="Arial"/>
          <w:bCs/>
          <w:sz w:val="22"/>
          <w:lang w:val="es-ES"/>
        </w:rPr>
        <w:t xml:space="preserve">. Esto aplica a las modificaciones del documento base, los anexos, los formatos, las matrices y los formularios, en los cuales la entidad contratante cambie su contenido violando el principio de inalterabilidad explicado </w:t>
      </w:r>
      <w:r w:rsidRPr="00DC44C8">
        <w:rPr>
          <w:rFonts w:ascii="Arial" w:eastAsia="Calibri" w:hAnsi="Arial" w:cs="Arial"/>
          <w:bCs/>
          <w:i/>
          <w:iCs/>
          <w:sz w:val="22"/>
          <w:lang w:val="es-ES"/>
        </w:rPr>
        <w:t>ut supra</w:t>
      </w:r>
      <w:r>
        <w:rPr>
          <w:rFonts w:ascii="Arial" w:eastAsia="Calibri" w:hAnsi="Arial" w:cs="Arial"/>
          <w:bCs/>
          <w:sz w:val="22"/>
          <w:lang w:val="es-ES"/>
        </w:rPr>
        <w:t>.</w:t>
      </w:r>
    </w:p>
    <w:p w14:paraId="12F6404A" w14:textId="0E4765C9" w:rsidR="006D25A2" w:rsidRDefault="006D25A2" w:rsidP="00FC631C">
      <w:pPr>
        <w:tabs>
          <w:tab w:val="left" w:pos="709"/>
        </w:tabs>
        <w:spacing w:before="120" w:after="120" w:line="276" w:lineRule="auto"/>
        <w:ind w:firstLine="709"/>
        <w:jc w:val="both"/>
        <w:rPr>
          <w:rFonts w:ascii="Arial" w:eastAsia="Calibri" w:hAnsi="Arial" w:cs="Arial"/>
          <w:bCs/>
          <w:sz w:val="22"/>
        </w:rPr>
      </w:pPr>
      <w:r>
        <w:rPr>
          <w:rFonts w:ascii="Arial" w:eastAsia="Calibri" w:hAnsi="Arial" w:cs="Arial"/>
          <w:bCs/>
          <w:sz w:val="22"/>
          <w:lang w:val="es-ES"/>
        </w:rPr>
        <w:t>Sin perjuicio de las labores de seguimiento d</w:t>
      </w:r>
      <w:r w:rsidRPr="002B067A">
        <w:rPr>
          <w:rFonts w:ascii="Arial" w:eastAsia="Calibri" w:hAnsi="Arial" w:cs="Arial"/>
          <w:bCs/>
          <w:sz w:val="22"/>
          <w:lang w:val="es-ES"/>
        </w:rPr>
        <w:t xml:space="preserve">el Observatorio Oficial de Contratación Estatal </w:t>
      </w:r>
      <w:r>
        <w:rPr>
          <w:rFonts w:ascii="Arial" w:eastAsia="Calibri" w:hAnsi="Arial" w:cs="Arial"/>
          <w:bCs/>
          <w:sz w:val="22"/>
          <w:lang w:val="es-ES"/>
        </w:rPr>
        <w:t xml:space="preserve">sobre la adecuada implementación de los documentos tipo, </w:t>
      </w:r>
      <w:r w:rsidRPr="009F488D">
        <w:rPr>
          <w:rFonts w:ascii="Arial" w:eastAsia="Calibri" w:hAnsi="Arial" w:cs="Arial"/>
          <w:bCs/>
          <w:sz w:val="22"/>
        </w:rPr>
        <w:t>el Decreto Ley 4170 de 2011</w:t>
      </w:r>
      <w:r>
        <w:rPr>
          <w:rFonts w:ascii="Arial" w:eastAsia="Calibri" w:hAnsi="Arial" w:cs="Arial"/>
          <w:bCs/>
          <w:sz w:val="22"/>
        </w:rPr>
        <w:t>, «</w:t>
      </w:r>
      <w:r w:rsidRPr="009F488D">
        <w:rPr>
          <w:rFonts w:ascii="Arial" w:eastAsia="Calibri" w:hAnsi="Arial" w:cs="Arial"/>
          <w:bCs/>
          <w:sz w:val="22"/>
        </w:rPr>
        <w:t xml:space="preserve">Por el cual se crea la Agencia Nacional de Contratación Pública </w:t>
      </w:r>
      <w:r>
        <w:rPr>
          <w:rFonts w:ascii="Arial" w:eastAsia="Calibri" w:hAnsi="Arial" w:cs="Arial"/>
          <w:bCs/>
          <w:sz w:val="22"/>
        </w:rPr>
        <w:t xml:space="preserve">– </w:t>
      </w:r>
      <w:r w:rsidRPr="009F488D">
        <w:rPr>
          <w:rFonts w:ascii="Arial" w:eastAsia="Calibri" w:hAnsi="Arial" w:cs="Arial"/>
          <w:bCs/>
          <w:sz w:val="22"/>
        </w:rPr>
        <w:t>Colombia Compra Eficiente, se determinan sus objetivos y estructura</w:t>
      </w:r>
      <w:r>
        <w:rPr>
          <w:rFonts w:ascii="Arial" w:eastAsia="Calibri" w:hAnsi="Arial" w:cs="Arial"/>
          <w:bCs/>
          <w:sz w:val="22"/>
        </w:rPr>
        <w:t>»</w:t>
      </w:r>
      <w:r w:rsidRPr="009F488D">
        <w:rPr>
          <w:rFonts w:ascii="Arial" w:eastAsia="Calibri" w:hAnsi="Arial" w:cs="Arial"/>
          <w:bCs/>
          <w:sz w:val="22"/>
        </w:rPr>
        <w:t xml:space="preserve">, no </w:t>
      </w:r>
      <w:r>
        <w:rPr>
          <w:rFonts w:ascii="Arial" w:eastAsia="Calibri" w:hAnsi="Arial" w:cs="Arial"/>
          <w:bCs/>
          <w:sz w:val="22"/>
        </w:rPr>
        <w:t xml:space="preserve">atribuyó a la entidad </w:t>
      </w:r>
      <w:r w:rsidRPr="009F488D">
        <w:rPr>
          <w:rFonts w:ascii="Arial" w:eastAsia="Calibri" w:hAnsi="Arial" w:cs="Arial"/>
          <w:bCs/>
          <w:sz w:val="22"/>
        </w:rPr>
        <w:t>competencias de control, investigación y seguimiento</w:t>
      </w:r>
      <w:r>
        <w:rPr>
          <w:rFonts w:ascii="Arial" w:eastAsia="Calibri" w:hAnsi="Arial" w:cs="Arial"/>
          <w:bCs/>
          <w:sz w:val="22"/>
        </w:rPr>
        <w:t xml:space="preserve"> en la aplicación de los documentos tipo. Por ello, la guía explica que la Agencia «[…] </w:t>
      </w:r>
      <w:r w:rsidRPr="000F2666">
        <w:rPr>
          <w:rFonts w:ascii="Arial" w:eastAsia="Calibri" w:hAnsi="Arial" w:cs="Arial"/>
          <w:bCs/>
          <w:sz w:val="22"/>
        </w:rPr>
        <w:t>no es competente para sancionar el incumplimiento de la normativa,</w:t>
      </w:r>
      <w:r>
        <w:rPr>
          <w:rFonts w:ascii="Arial" w:eastAsia="Calibri" w:hAnsi="Arial" w:cs="Arial"/>
          <w:bCs/>
          <w:sz w:val="22"/>
        </w:rPr>
        <w:t xml:space="preserve"> </w:t>
      </w:r>
      <w:r w:rsidRPr="000F2666">
        <w:rPr>
          <w:rFonts w:ascii="Arial" w:eastAsia="Calibri" w:hAnsi="Arial" w:cs="Arial"/>
          <w:bCs/>
          <w:sz w:val="22"/>
        </w:rPr>
        <w:t>y por ello su labor se limita a impartir políticas públicas en temas de contratación estatal y hacer el</w:t>
      </w:r>
      <w:r>
        <w:rPr>
          <w:rFonts w:ascii="Arial" w:eastAsia="Calibri" w:hAnsi="Arial" w:cs="Arial"/>
          <w:bCs/>
          <w:sz w:val="22"/>
        </w:rPr>
        <w:t xml:space="preserve"> </w:t>
      </w:r>
      <w:r w:rsidRPr="000F2666">
        <w:rPr>
          <w:rFonts w:ascii="Arial" w:eastAsia="Calibri" w:hAnsi="Arial" w:cs="Arial"/>
          <w:bCs/>
          <w:sz w:val="22"/>
        </w:rPr>
        <w:t>seguimiento estadístico a la implementación de los documentos tipo</w:t>
      </w:r>
      <w:r>
        <w:rPr>
          <w:rFonts w:ascii="Arial" w:eastAsia="Calibri" w:hAnsi="Arial" w:cs="Arial"/>
          <w:bCs/>
          <w:sz w:val="22"/>
        </w:rPr>
        <w:t>»</w:t>
      </w:r>
      <w:r>
        <w:rPr>
          <w:rStyle w:val="Refdenotaalpie"/>
          <w:rFonts w:ascii="Arial" w:eastAsia="Calibri" w:hAnsi="Arial" w:cs="Arial"/>
          <w:bCs/>
          <w:sz w:val="22"/>
        </w:rPr>
        <w:footnoteReference w:id="8"/>
      </w:r>
      <w:r>
        <w:rPr>
          <w:rFonts w:ascii="Arial" w:eastAsia="Calibri" w:hAnsi="Arial" w:cs="Arial"/>
          <w:bCs/>
          <w:sz w:val="22"/>
        </w:rPr>
        <w:t>.</w:t>
      </w:r>
    </w:p>
    <w:p w14:paraId="3CD182C0" w14:textId="0C0D0950" w:rsidR="006D25A2" w:rsidRPr="006D25A2" w:rsidRDefault="006D25A2" w:rsidP="00FC631C">
      <w:pPr>
        <w:spacing w:before="120" w:line="276" w:lineRule="auto"/>
        <w:ind w:firstLine="709"/>
        <w:jc w:val="both"/>
        <w:rPr>
          <w:rFonts w:ascii="Arial" w:eastAsia="Calibri" w:hAnsi="Arial" w:cs="Arial"/>
          <w:sz w:val="22"/>
        </w:rPr>
      </w:pPr>
      <w:r w:rsidRPr="006D25A2">
        <w:rPr>
          <w:rFonts w:ascii="Arial" w:eastAsia="Calibri" w:hAnsi="Arial" w:cs="Arial"/>
          <w:bCs/>
          <w:sz w:val="22"/>
        </w:rPr>
        <w:t xml:space="preserve">Por estas razones, sea que afecten el contrato, el procedimiento de selección o al funcionario encargado de adelantarlo, </w:t>
      </w:r>
      <w:r w:rsidRPr="00A41CA1">
        <w:rPr>
          <w:rStyle w:val="normaltextrun"/>
          <w:rFonts w:ascii="Arial" w:hAnsi="Arial" w:cs="Arial"/>
          <w:color w:val="000000"/>
          <w:sz w:val="22"/>
          <w:shd w:val="clear" w:color="auto" w:fill="FFFFFF"/>
        </w:rPr>
        <w:t xml:space="preserve">Colombia Compra Eficiente carece de atribuciones para determinar las consecuencias jurídicas que produce la violación del principio de inalterabilidad. Esto en la medida que la calificación de posibles vicios de invalidantes o la </w:t>
      </w:r>
      <w:r w:rsidRPr="00A41CA1">
        <w:rPr>
          <w:rStyle w:val="normaltextrun"/>
          <w:rFonts w:ascii="Arial" w:hAnsi="Arial" w:cs="Arial"/>
          <w:color w:val="000000"/>
          <w:sz w:val="22"/>
          <w:shd w:val="clear" w:color="auto" w:fill="FFFFFF"/>
        </w:rPr>
        <w:lastRenderedPageBreak/>
        <w:t>investigación de presuntas faltas disciplinarias corresponde a las autoridades judiciales y de control, respectivamente.</w:t>
      </w:r>
    </w:p>
    <w:p w14:paraId="38165612" w14:textId="77777777" w:rsidR="00301AA5" w:rsidRDefault="00301AA5" w:rsidP="00A41CA1">
      <w:pPr>
        <w:pStyle w:val="Normal11pt"/>
        <w:spacing w:line="276" w:lineRule="auto"/>
        <w:ind w:left="0"/>
        <w:rPr>
          <w:rFonts w:eastAsia="Calibri"/>
          <w:color w:val="000000" w:themeColor="text1"/>
        </w:rPr>
      </w:pPr>
    </w:p>
    <w:p w14:paraId="674CDF47" w14:textId="7086B775" w:rsidR="00301AA5" w:rsidRPr="00301AA5" w:rsidRDefault="00301AA5" w:rsidP="00301AA5">
      <w:pPr>
        <w:shd w:val="clear" w:color="auto" w:fill="FFFFFF"/>
        <w:spacing w:line="276" w:lineRule="auto"/>
        <w:jc w:val="both"/>
        <w:rPr>
          <w:rFonts w:ascii="Arial" w:eastAsia="Calibri" w:hAnsi="Arial" w:cs="Arial"/>
          <w:b/>
          <w:color w:val="000000" w:themeColor="text1"/>
          <w:sz w:val="22"/>
          <w:lang w:val="es-CO" w:eastAsia="es-ES_tradnl"/>
        </w:rPr>
      </w:pPr>
      <w:r w:rsidRPr="00301AA5">
        <w:rPr>
          <w:rFonts w:ascii="Arial" w:eastAsia="Calibri" w:hAnsi="Arial" w:cs="Arial"/>
          <w:b/>
          <w:color w:val="000000" w:themeColor="text1"/>
          <w:sz w:val="22"/>
          <w:lang w:val="es-CO" w:eastAsia="es-ES_tradnl"/>
        </w:rPr>
        <w:t>2.</w:t>
      </w:r>
      <w:r w:rsidR="003A78B6">
        <w:rPr>
          <w:rFonts w:ascii="Arial" w:eastAsia="Calibri" w:hAnsi="Arial" w:cs="Arial"/>
          <w:b/>
          <w:color w:val="000000" w:themeColor="text1"/>
          <w:sz w:val="22"/>
          <w:lang w:val="es-CO" w:eastAsia="es-ES_tradnl"/>
        </w:rPr>
        <w:t>3</w:t>
      </w:r>
      <w:r w:rsidRPr="00301AA5">
        <w:rPr>
          <w:rFonts w:ascii="Arial" w:eastAsia="Calibri" w:hAnsi="Arial" w:cs="Arial"/>
          <w:b/>
          <w:color w:val="000000" w:themeColor="text1"/>
          <w:sz w:val="22"/>
          <w:lang w:val="es-CO" w:eastAsia="es-ES_tradnl"/>
        </w:rPr>
        <w:t xml:space="preserve">. Aplicación de la </w:t>
      </w:r>
      <w:r w:rsidR="003A78B6">
        <w:rPr>
          <w:rFonts w:ascii="Arial" w:eastAsia="Calibri" w:hAnsi="Arial" w:cs="Arial"/>
          <w:b/>
          <w:color w:val="000000" w:themeColor="text1"/>
          <w:sz w:val="22"/>
          <w:lang w:val="es-CO" w:eastAsia="es-ES_tradnl"/>
        </w:rPr>
        <w:t>«</w:t>
      </w:r>
      <w:r w:rsidRPr="00301AA5">
        <w:rPr>
          <w:rFonts w:ascii="Arial" w:eastAsia="Calibri" w:hAnsi="Arial" w:cs="Arial"/>
          <w:b/>
          <w:color w:val="000000" w:themeColor="text1"/>
          <w:sz w:val="22"/>
          <w:lang w:val="es-CO" w:eastAsia="es-ES_tradnl"/>
        </w:rPr>
        <w:t>Matriz 1 – Experiencia</w:t>
      </w:r>
      <w:r w:rsidR="003A78B6">
        <w:rPr>
          <w:rFonts w:ascii="Arial" w:eastAsia="Calibri" w:hAnsi="Arial" w:cs="Arial"/>
          <w:b/>
          <w:color w:val="000000" w:themeColor="text1"/>
          <w:sz w:val="22"/>
          <w:lang w:val="es-CO" w:eastAsia="es-ES_tradnl"/>
        </w:rPr>
        <w:t>»</w:t>
      </w:r>
      <w:r w:rsidRPr="00301AA5">
        <w:rPr>
          <w:rFonts w:ascii="Arial" w:eastAsia="Calibri" w:hAnsi="Arial" w:cs="Arial"/>
          <w:b/>
          <w:color w:val="000000" w:themeColor="text1"/>
          <w:sz w:val="22"/>
          <w:lang w:val="es-CO" w:eastAsia="es-ES_tradnl"/>
        </w:rPr>
        <w:t xml:space="preserve"> para proyectos de infraestructura de transporte</w:t>
      </w:r>
    </w:p>
    <w:p w14:paraId="0B1EA37A" w14:textId="77777777" w:rsidR="00301AA5" w:rsidRPr="00301AA5" w:rsidRDefault="00301AA5" w:rsidP="00301AA5">
      <w:pPr>
        <w:spacing w:line="276" w:lineRule="auto"/>
        <w:ind w:right="51"/>
        <w:jc w:val="both"/>
        <w:rPr>
          <w:rFonts w:ascii="Arial" w:eastAsia="Calibri" w:hAnsi="Arial" w:cs="Arial"/>
          <w:sz w:val="22"/>
        </w:rPr>
      </w:pPr>
    </w:p>
    <w:p w14:paraId="31723C63" w14:textId="6FA8E574" w:rsidR="00301AA5" w:rsidRPr="00301AA5" w:rsidRDefault="00301AA5" w:rsidP="00E274C9">
      <w:pPr>
        <w:spacing w:after="120" w:line="276" w:lineRule="auto"/>
        <w:jc w:val="both"/>
        <w:rPr>
          <w:rFonts w:ascii="Arial" w:hAnsi="Arial" w:cs="Arial"/>
          <w:color w:val="0D0D0D" w:themeColor="text1" w:themeTint="F2"/>
          <w:sz w:val="22"/>
        </w:rPr>
      </w:pPr>
      <w:r w:rsidRPr="00FC631C">
        <w:rPr>
          <w:rFonts w:ascii="Arial" w:hAnsi="Arial" w:cs="Arial"/>
          <w:color w:val="0D0D0D" w:themeColor="text1" w:themeTint="F2"/>
          <w:sz w:val="22"/>
        </w:rPr>
        <w:t xml:space="preserve">De acuerdo con lo expuesto, los documentos tipo establecen las condiciones habilitantes, los factores técnicos y económicos de escogencia y los sistemas de ponderación de carácter obligatorio para las entidades estatales sometidas al Estatuto General de la Contratación Pública que adelanten procesos de selección </w:t>
      </w:r>
      <w:r w:rsidR="00227133" w:rsidRPr="00FC631C">
        <w:rPr>
          <w:rFonts w:ascii="Arial" w:hAnsi="Arial" w:cs="Arial"/>
          <w:color w:val="0D0D0D" w:themeColor="text1" w:themeTint="F2"/>
          <w:sz w:val="22"/>
        </w:rPr>
        <w:t>para obra pública</w:t>
      </w:r>
      <w:r w:rsidRPr="00FC631C">
        <w:rPr>
          <w:rFonts w:ascii="Arial" w:hAnsi="Arial" w:cs="Arial"/>
          <w:color w:val="0D0D0D" w:themeColor="text1" w:themeTint="F2"/>
          <w:sz w:val="22"/>
        </w:rPr>
        <w:t xml:space="preserve"> de infraestructura de transporte</w:t>
      </w:r>
      <w:r w:rsidR="00227133" w:rsidRPr="00FC631C">
        <w:rPr>
          <w:rFonts w:ascii="Arial" w:hAnsi="Arial" w:cs="Arial"/>
          <w:color w:val="0D0D0D" w:themeColor="text1" w:themeTint="F2"/>
          <w:sz w:val="22"/>
        </w:rPr>
        <w:t xml:space="preserve"> en la</w:t>
      </w:r>
      <w:r w:rsidR="00A8393D" w:rsidRPr="00FC631C">
        <w:rPr>
          <w:rFonts w:ascii="Arial" w:hAnsi="Arial" w:cs="Arial"/>
          <w:color w:val="0D0D0D" w:themeColor="text1" w:themeTint="F2"/>
          <w:sz w:val="22"/>
        </w:rPr>
        <w:t>s</w:t>
      </w:r>
      <w:r w:rsidR="00227133" w:rsidRPr="00FC631C">
        <w:rPr>
          <w:rFonts w:ascii="Arial" w:hAnsi="Arial" w:cs="Arial"/>
          <w:color w:val="0D0D0D" w:themeColor="text1" w:themeTint="F2"/>
          <w:sz w:val="22"/>
        </w:rPr>
        <w:t xml:space="preserve"> modalidades mencionadas en el considerando 2.1</w:t>
      </w:r>
      <w:r w:rsidRPr="00FC631C">
        <w:rPr>
          <w:rFonts w:ascii="Arial" w:hAnsi="Arial" w:cs="Arial"/>
          <w:color w:val="0D0D0D" w:themeColor="text1" w:themeTint="F2"/>
          <w:sz w:val="22"/>
        </w:rPr>
        <w:t>. Estos consisten en un grupo de documentos, conformados por un documento base, anexos,</w:t>
      </w:r>
      <w:r w:rsidRPr="00301AA5">
        <w:rPr>
          <w:rFonts w:ascii="Arial" w:hAnsi="Arial" w:cs="Arial"/>
          <w:color w:val="0D0D0D" w:themeColor="text1" w:themeTint="F2"/>
          <w:sz w:val="22"/>
        </w:rPr>
        <w:t xml:space="preserve"> matrices, formatos y formularios, que sirven tanto a las entidades para elaborar los documentos del proceso, como a los proponentes para conformar y presentar sus ofertas. </w:t>
      </w:r>
    </w:p>
    <w:p w14:paraId="06837D3B" w14:textId="7BCB7079"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301AA5">
        <w:rPr>
          <w:rFonts w:ascii="Arial" w:hAnsi="Arial" w:cs="Arial"/>
          <w:color w:val="0D0D0D" w:themeColor="text1" w:themeTint="F2"/>
          <w:sz w:val="22"/>
        </w:rPr>
        <w:t xml:space="preserve">Uno de los elementos comunes a los diferentes documentos tipo es la «Matriz 1 – Experiencia». Esta consta de unas celdas en las que se describe la experiencia requerida en relación con el objeto a contratar, definiendo además qué tipo de actividades relacionadas con infraestructura de transporte deben acogerse a los pliegos tipo. Por otro lado, encontramos el «Anexo 3 – </w:t>
      </w:r>
      <w:r w:rsidRPr="00FC631C">
        <w:rPr>
          <w:rFonts w:ascii="Arial" w:hAnsi="Arial" w:cs="Arial"/>
          <w:color w:val="0D0D0D" w:themeColor="text1" w:themeTint="F2"/>
          <w:sz w:val="22"/>
        </w:rPr>
        <w:t>Glosario», el cual contiene las definiciones de los términos usados en los documentos del proceso. Utilizando estos dos documentos, la entidad estatal puede definir si el objeto a contratarse debe emplear los documentos tipo.</w:t>
      </w:r>
      <w:r w:rsidRPr="00301AA5">
        <w:rPr>
          <w:rFonts w:ascii="Arial" w:hAnsi="Arial" w:cs="Arial"/>
          <w:color w:val="0D0D0D" w:themeColor="text1" w:themeTint="F2"/>
          <w:sz w:val="22"/>
        </w:rPr>
        <w:t xml:space="preserve"> </w:t>
      </w:r>
    </w:p>
    <w:p w14:paraId="7D67FD0C" w14:textId="77777777"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301AA5">
        <w:rPr>
          <w:rFonts w:ascii="Arial" w:hAnsi="Arial" w:cs="Arial"/>
          <w:color w:val="0D0D0D" w:themeColor="text1" w:themeTint="F2"/>
          <w:sz w:val="22"/>
        </w:rPr>
        <w:t>En los documentos tipo relacionados con el sector de infraestructura de transporte, de acuerdo con las condiciones fijadas en los «Documentos Base o Pliego Tipo», la acreditación del requisito habilitante de experiencia se aborda desde distintos criterios. Especialmente, se destaca que los contratos presentados por los proponentes deben corresponder a la actividad o actividades de experiencia general y específica que la entidad exija en el pliego de condiciones de acuerdo con los parámetros señalados en la Matriz 1.</w:t>
      </w:r>
    </w:p>
    <w:p w14:paraId="1963B38B" w14:textId="680B8F4D"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301AA5">
        <w:rPr>
          <w:rFonts w:ascii="Arial" w:hAnsi="Arial" w:cs="Arial"/>
          <w:color w:val="0D0D0D" w:themeColor="text1" w:themeTint="F2"/>
          <w:sz w:val="22"/>
        </w:rPr>
        <w:t xml:space="preserve">Por ejemplo, tratándose de los documentos tipo de licitación de obras públicas de infraestructura de transporte, la Matriz 1 es el documento que estandariza las condiciones de experiencia general y/o experiencia específica que deben requerir las entidades estatales de acuerdo con: i) el tipo de obra de infraestructura de transporte, ii) la actividad a contratar y iii) la cuantía del proceso de contratación. Dicha Matriz 1 está constituida por ocho (8) tipos de obras de infraestructura de transporte, identificadas con un número y su descripción, los cuales son: </w:t>
      </w:r>
      <w:r w:rsidR="002B23AD" w:rsidRPr="002B23AD">
        <w:rPr>
          <w:rFonts w:ascii="Arial" w:hAnsi="Arial" w:cs="Arial"/>
          <w:color w:val="0D0D0D" w:themeColor="text1" w:themeTint="F2"/>
          <w:sz w:val="22"/>
        </w:rPr>
        <w:t>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w:t>
      </w:r>
      <w:r w:rsidRPr="00301AA5">
        <w:rPr>
          <w:rFonts w:ascii="Arial" w:hAnsi="Arial" w:cs="Arial"/>
          <w:color w:val="0D0D0D" w:themeColor="text1" w:themeTint="F2"/>
          <w:sz w:val="22"/>
        </w:rPr>
        <w:t xml:space="preserve">. Para cada uno de estos tipos de obras o infraestructura, contempla una serie de actividades, en función de las cuales se establecen los requisitos de </w:t>
      </w:r>
      <w:r w:rsidRPr="00301AA5">
        <w:rPr>
          <w:rFonts w:ascii="Arial" w:hAnsi="Arial" w:cs="Arial"/>
          <w:color w:val="0D0D0D" w:themeColor="text1" w:themeTint="F2"/>
          <w:sz w:val="22"/>
        </w:rPr>
        <w:lastRenderedPageBreak/>
        <w:t>experiencia general y espec</w:t>
      </w:r>
      <w:r w:rsidR="00697564">
        <w:rPr>
          <w:rFonts w:ascii="Arial" w:hAnsi="Arial" w:cs="Arial"/>
          <w:color w:val="0D0D0D" w:themeColor="text1" w:themeTint="F2"/>
          <w:sz w:val="22"/>
        </w:rPr>
        <w:t>í</w:t>
      </w:r>
      <w:r w:rsidRPr="00301AA5">
        <w:rPr>
          <w:rFonts w:ascii="Arial" w:hAnsi="Arial" w:cs="Arial"/>
          <w:color w:val="0D0D0D" w:themeColor="text1" w:themeTint="F2"/>
          <w:sz w:val="22"/>
        </w:rPr>
        <w:t>fica que las entidades deben exigir cuando contraten objetos contractuales que impliquen el desarrollo de tales actividades.</w:t>
      </w:r>
    </w:p>
    <w:p w14:paraId="072C3FE4" w14:textId="07C2EEE2" w:rsidR="00301AA5" w:rsidRPr="00FC631C" w:rsidRDefault="00301AA5" w:rsidP="00E274C9">
      <w:pPr>
        <w:spacing w:before="120" w:after="120" w:line="276" w:lineRule="auto"/>
        <w:ind w:firstLine="709"/>
        <w:jc w:val="both"/>
        <w:rPr>
          <w:rFonts w:ascii="Arial" w:hAnsi="Arial" w:cs="Arial"/>
          <w:color w:val="0D0D0D" w:themeColor="text1" w:themeTint="F2"/>
          <w:sz w:val="22"/>
        </w:rPr>
      </w:pPr>
      <w:r w:rsidRPr="00FC631C">
        <w:rPr>
          <w:rFonts w:ascii="Arial" w:hAnsi="Arial" w:cs="Arial"/>
          <w:color w:val="0D0D0D" w:themeColor="text1" w:themeTint="F2"/>
          <w:sz w:val="22"/>
        </w:rPr>
        <w:t>Conforme a lo anterior, la Matriz 1, en el marco de la aplicación de los documentos tipo de infraestructura de transporte, cumple una doble función. Por un lado, estandariza</w:t>
      </w:r>
      <w:r w:rsidR="002B23AD" w:rsidRPr="00FC631C">
        <w:rPr>
          <w:rFonts w:ascii="Arial" w:hAnsi="Arial" w:cs="Arial"/>
          <w:color w:val="0D0D0D" w:themeColor="text1" w:themeTint="F2"/>
          <w:sz w:val="22"/>
        </w:rPr>
        <w:t xml:space="preserve"> </w:t>
      </w:r>
      <w:r w:rsidRPr="00FC631C">
        <w:rPr>
          <w:rFonts w:ascii="Arial" w:hAnsi="Arial" w:cs="Arial"/>
          <w:color w:val="0D0D0D" w:themeColor="text1" w:themeTint="F2"/>
          <w:sz w:val="22"/>
        </w:rPr>
        <w:t xml:space="preserve">las condiciones de experiencia, conforme al parágrafo 7 del artículo 2 de la Ley 1150 de 2007. De otro lado, determina el ámbito de aplicación más concreto de los documentos tipo respecto de objetos contractuales asociados, ya que son las actividades descritas en </w:t>
      </w:r>
      <w:r w:rsidR="00612643" w:rsidRPr="00FC631C">
        <w:rPr>
          <w:rFonts w:ascii="Arial" w:hAnsi="Arial" w:cs="Arial"/>
          <w:color w:val="0D0D0D" w:themeColor="text1" w:themeTint="F2"/>
          <w:sz w:val="22"/>
        </w:rPr>
        <w:t>la mencionada matriz</w:t>
      </w:r>
      <w:r w:rsidRPr="00FC631C">
        <w:rPr>
          <w:rFonts w:ascii="Arial" w:hAnsi="Arial" w:cs="Arial"/>
          <w:color w:val="0D0D0D" w:themeColor="text1" w:themeTint="F2"/>
          <w:sz w:val="22"/>
        </w:rPr>
        <w:t xml:space="preserve"> las que, obligatoriamente, deben contratarse aplicando </w:t>
      </w:r>
      <w:r w:rsidR="002B23AD" w:rsidRPr="00FC631C">
        <w:rPr>
          <w:rFonts w:ascii="Arial" w:hAnsi="Arial" w:cs="Arial"/>
          <w:color w:val="0D0D0D" w:themeColor="text1" w:themeTint="F2"/>
          <w:sz w:val="22"/>
        </w:rPr>
        <w:t>su contenido</w:t>
      </w:r>
      <w:r w:rsidRPr="00FC631C">
        <w:rPr>
          <w:rFonts w:ascii="Arial" w:hAnsi="Arial" w:cs="Arial"/>
          <w:color w:val="0D0D0D" w:themeColor="text1" w:themeTint="F2"/>
          <w:sz w:val="22"/>
        </w:rPr>
        <w:t xml:space="preserve">. </w:t>
      </w:r>
    </w:p>
    <w:p w14:paraId="479BD1F0" w14:textId="5C530E18" w:rsidR="00301AA5" w:rsidRPr="00301AA5" w:rsidRDefault="00301AA5" w:rsidP="00E274C9">
      <w:pPr>
        <w:spacing w:before="120" w:after="120" w:line="276" w:lineRule="auto"/>
        <w:ind w:firstLine="709"/>
        <w:jc w:val="both"/>
        <w:rPr>
          <w:rFonts w:ascii="Arial" w:hAnsi="Arial" w:cs="Arial"/>
          <w:color w:val="0D0D0D" w:themeColor="text1" w:themeTint="F2"/>
          <w:sz w:val="22"/>
        </w:rPr>
      </w:pPr>
      <w:r w:rsidRPr="00FC631C">
        <w:rPr>
          <w:rFonts w:ascii="Arial" w:hAnsi="Arial" w:cs="Arial"/>
          <w:color w:val="0D0D0D" w:themeColor="text1" w:themeTint="F2"/>
          <w:sz w:val="22"/>
        </w:rPr>
        <w:t>De esta manera, para saber si una obra pública</w:t>
      </w:r>
      <w:r w:rsidR="002B23AD" w:rsidRPr="00FC631C">
        <w:rPr>
          <w:rFonts w:ascii="Arial" w:hAnsi="Arial" w:cs="Arial"/>
          <w:color w:val="0D0D0D" w:themeColor="text1" w:themeTint="F2"/>
          <w:sz w:val="22"/>
        </w:rPr>
        <w:t xml:space="preserve"> </w:t>
      </w:r>
      <w:r w:rsidRPr="00FC631C">
        <w:rPr>
          <w:rFonts w:ascii="Arial" w:hAnsi="Arial" w:cs="Arial"/>
          <w:color w:val="0D0D0D" w:themeColor="text1" w:themeTint="F2"/>
          <w:sz w:val="22"/>
        </w:rPr>
        <w:t xml:space="preserve">debe contratarse aplicando documentos tipo, la entidad debe verificar los que se hayan expedido para la modalidad de selección en la que debe celebrarse el proceso, subsumiendo el objeto en los tipos de proyectos de infraestructura </w:t>
      </w:r>
      <w:r w:rsidR="002B23AD" w:rsidRPr="00FC631C">
        <w:rPr>
          <w:rFonts w:ascii="Arial" w:hAnsi="Arial" w:cs="Arial"/>
          <w:color w:val="0D0D0D" w:themeColor="text1" w:themeTint="F2"/>
          <w:sz w:val="22"/>
        </w:rPr>
        <w:t>previstos en la matriz de experiencia</w:t>
      </w:r>
      <w:r w:rsidRPr="00FC631C">
        <w:rPr>
          <w:rFonts w:ascii="Arial" w:hAnsi="Arial" w:cs="Arial"/>
          <w:color w:val="0D0D0D" w:themeColor="text1" w:themeTint="F2"/>
          <w:sz w:val="22"/>
        </w:rPr>
        <w:t xml:space="preserve">. De esta manera, si el objeto encuadra materialmente dentro de alguno de los tipos de obra y las actividades concretas señaladas en </w:t>
      </w:r>
      <w:r w:rsidR="002B23AD" w:rsidRPr="00FC631C">
        <w:rPr>
          <w:rFonts w:ascii="Arial" w:hAnsi="Arial" w:cs="Arial"/>
          <w:color w:val="0D0D0D" w:themeColor="text1" w:themeTint="F2"/>
          <w:sz w:val="22"/>
        </w:rPr>
        <w:t>la matriz</w:t>
      </w:r>
      <w:r w:rsidRPr="00FC631C">
        <w:rPr>
          <w:rFonts w:ascii="Arial" w:hAnsi="Arial" w:cs="Arial"/>
          <w:color w:val="0D0D0D" w:themeColor="text1" w:themeTint="F2"/>
          <w:sz w:val="22"/>
        </w:rPr>
        <w:t>, se aplicar</w:t>
      </w:r>
      <w:r w:rsidR="002B23AD" w:rsidRPr="00FC631C">
        <w:rPr>
          <w:rFonts w:ascii="Arial" w:hAnsi="Arial" w:cs="Arial"/>
          <w:color w:val="0D0D0D" w:themeColor="text1" w:themeTint="F2"/>
          <w:sz w:val="22"/>
        </w:rPr>
        <w:t>án</w:t>
      </w:r>
      <w:r w:rsidRPr="00FC631C">
        <w:rPr>
          <w:rFonts w:ascii="Arial" w:hAnsi="Arial" w:cs="Arial"/>
          <w:color w:val="0D0D0D" w:themeColor="text1" w:themeTint="F2"/>
          <w:sz w:val="22"/>
        </w:rPr>
        <w:t xml:space="preserve"> los documentos tipo. En este sentido, </w:t>
      </w:r>
      <w:r w:rsidR="002B23AD" w:rsidRPr="00FC631C">
        <w:rPr>
          <w:rFonts w:ascii="Arial" w:hAnsi="Arial" w:cs="Arial"/>
          <w:color w:val="0D0D0D" w:themeColor="text1" w:themeTint="F2"/>
          <w:sz w:val="22"/>
        </w:rPr>
        <w:t>el pliego de condiciones o la invitación, según corresponda,</w:t>
      </w:r>
      <w:r w:rsidRPr="00FC631C">
        <w:rPr>
          <w:rFonts w:ascii="Arial" w:eastAsia="Calibri" w:hAnsi="Arial" w:cs="Arial"/>
          <w:sz w:val="22"/>
        </w:rPr>
        <w:t xml:space="preserve"> indica que la entidad establecerá las condiciones de experiencia, tanto general como específica en las actividades</w:t>
      </w:r>
      <w:r w:rsidRPr="00301AA5">
        <w:rPr>
          <w:rFonts w:ascii="Arial" w:eastAsia="Calibri" w:hAnsi="Arial" w:cs="Arial"/>
          <w:sz w:val="22"/>
        </w:rPr>
        <w:t xml:space="preserve"> que van a contratar. En este contexto, la entidad no podrá </w:t>
      </w:r>
      <w:r w:rsidR="002B23AD">
        <w:rPr>
          <w:rFonts w:ascii="Arial" w:eastAsia="Calibri" w:hAnsi="Arial" w:cs="Arial"/>
          <w:sz w:val="22"/>
        </w:rPr>
        <w:t>modificar</w:t>
      </w:r>
      <w:r w:rsidRPr="00301AA5">
        <w:rPr>
          <w:rFonts w:ascii="Arial" w:eastAsia="Calibri" w:hAnsi="Arial" w:cs="Arial"/>
          <w:sz w:val="22"/>
        </w:rPr>
        <w:t xml:space="preserve"> las</w:t>
      </w:r>
      <w:r w:rsidR="002B23AD">
        <w:rPr>
          <w:rFonts w:ascii="Arial" w:eastAsia="Calibri" w:hAnsi="Arial" w:cs="Arial"/>
          <w:sz w:val="22"/>
        </w:rPr>
        <w:t xml:space="preserve"> condiciones</w:t>
      </w:r>
      <w:r w:rsidRPr="00301AA5">
        <w:rPr>
          <w:rFonts w:ascii="Arial" w:eastAsia="Calibri" w:hAnsi="Arial" w:cs="Arial"/>
          <w:sz w:val="22"/>
        </w:rPr>
        <w:t xml:space="preserve"> previstas en la </w:t>
      </w:r>
      <w:r w:rsidR="002B23AD" w:rsidRPr="00301AA5">
        <w:rPr>
          <w:rFonts w:ascii="Arial" w:eastAsia="Calibri" w:hAnsi="Arial" w:cs="Arial"/>
          <w:sz w:val="22"/>
        </w:rPr>
        <w:t>matriz de experiencia</w:t>
      </w:r>
      <w:r w:rsidR="002B23AD">
        <w:rPr>
          <w:rFonts w:ascii="Arial" w:eastAsia="Calibri" w:hAnsi="Arial" w:cs="Arial"/>
          <w:sz w:val="22"/>
        </w:rPr>
        <w:t>, salvo los aspectos entre corchetes y resaltados en gris</w:t>
      </w:r>
      <w:r w:rsidRPr="00301AA5">
        <w:rPr>
          <w:rFonts w:ascii="Arial" w:eastAsia="Calibri" w:hAnsi="Arial" w:cs="Arial"/>
          <w:sz w:val="22"/>
        </w:rPr>
        <w:t>.</w:t>
      </w:r>
    </w:p>
    <w:p w14:paraId="244DF450" w14:textId="79509F2F" w:rsidR="00A8393D" w:rsidRPr="000D0EC1" w:rsidRDefault="00A8393D" w:rsidP="00FC631C">
      <w:pPr>
        <w:spacing w:before="120" w:line="276" w:lineRule="auto"/>
        <w:ind w:firstLine="709"/>
        <w:jc w:val="both"/>
        <w:rPr>
          <w:rFonts w:ascii="Arial" w:hAnsi="Arial" w:cs="Arial"/>
          <w:sz w:val="22"/>
        </w:rPr>
      </w:pPr>
      <w:r>
        <w:rPr>
          <w:rFonts w:ascii="Arial" w:hAnsi="Arial" w:cs="Arial"/>
          <w:sz w:val="22"/>
        </w:rPr>
        <w:t>Por ejemplo</w:t>
      </w:r>
      <w:r w:rsidRPr="000D0EC1">
        <w:rPr>
          <w:rFonts w:ascii="Arial" w:hAnsi="Arial" w:cs="Arial"/>
          <w:sz w:val="22"/>
        </w:rPr>
        <w:t xml:space="preserve">, la entidad estatal que adelanta un proceso de contratación de licitación de obra pública de infraestructura de transporte debe definir la experiencia exigible teniendo en cuenta las condiciones fijadas en la </w:t>
      </w:r>
      <w:r>
        <w:rPr>
          <w:rFonts w:ascii="Arial" w:hAnsi="Arial" w:cs="Arial"/>
          <w:sz w:val="22"/>
        </w:rPr>
        <w:t>M</w:t>
      </w:r>
      <w:r w:rsidRPr="000D0EC1">
        <w:rPr>
          <w:rFonts w:ascii="Arial" w:hAnsi="Arial" w:cs="Arial"/>
          <w:sz w:val="22"/>
        </w:rPr>
        <w:t>atriz 1, de acuerdo con los siguientes pasos:</w:t>
      </w:r>
    </w:p>
    <w:p w14:paraId="5DA26519" w14:textId="77777777" w:rsidR="00A8393D" w:rsidRPr="000D0EC1" w:rsidRDefault="00A8393D" w:rsidP="00FC631C">
      <w:pPr>
        <w:spacing w:before="120" w:after="120" w:line="276" w:lineRule="auto"/>
        <w:ind w:firstLine="708"/>
        <w:jc w:val="both"/>
        <w:rPr>
          <w:rFonts w:ascii="Arial" w:hAnsi="Arial" w:cs="Arial"/>
          <w:sz w:val="22"/>
        </w:rPr>
      </w:pPr>
      <w:r w:rsidRPr="000D0EC1">
        <w:rPr>
          <w:rFonts w:ascii="Arial" w:hAnsi="Arial" w:cs="Arial"/>
          <w:sz w:val="22"/>
        </w:rPr>
        <w:t>a) Establecer si</w:t>
      </w:r>
      <w:r>
        <w:rPr>
          <w:rFonts w:ascii="Arial" w:hAnsi="Arial" w:cs="Arial"/>
          <w:sz w:val="22"/>
        </w:rPr>
        <w:t xml:space="preserve"> se</w:t>
      </w:r>
      <w:r w:rsidRPr="000D0EC1">
        <w:rPr>
          <w:rFonts w:ascii="Arial" w:hAnsi="Arial" w:cs="Arial"/>
          <w:sz w:val="22"/>
        </w:rPr>
        <w:t xml:space="preserve"> trata de un proyecto de complejidad baja-media o alta, y en función de ello establecer la </w:t>
      </w:r>
      <w:r>
        <w:rPr>
          <w:rFonts w:ascii="Arial" w:hAnsi="Arial" w:cs="Arial"/>
          <w:sz w:val="22"/>
        </w:rPr>
        <w:t>M</w:t>
      </w:r>
      <w:r w:rsidRPr="000D0EC1">
        <w:rPr>
          <w:rFonts w:ascii="Arial" w:hAnsi="Arial" w:cs="Arial"/>
          <w:sz w:val="22"/>
        </w:rPr>
        <w:t>atriz 1 aplicable</w:t>
      </w:r>
      <w:r>
        <w:rPr>
          <w:rFonts w:ascii="Arial" w:hAnsi="Arial" w:cs="Arial"/>
          <w:sz w:val="22"/>
        </w:rPr>
        <w:t>.</w:t>
      </w:r>
    </w:p>
    <w:p w14:paraId="3A0D4739" w14:textId="5D410099" w:rsidR="00A8393D" w:rsidRPr="000D0EC1" w:rsidRDefault="00A8393D" w:rsidP="00FC631C">
      <w:pPr>
        <w:spacing w:before="120" w:after="120" w:line="276" w:lineRule="auto"/>
        <w:ind w:firstLine="708"/>
        <w:jc w:val="both"/>
        <w:rPr>
          <w:rFonts w:ascii="Arial" w:hAnsi="Arial" w:cs="Arial"/>
          <w:sz w:val="22"/>
        </w:rPr>
      </w:pPr>
      <w:r w:rsidRPr="000D0EC1">
        <w:rPr>
          <w:rFonts w:ascii="Arial" w:hAnsi="Arial" w:cs="Arial"/>
          <w:sz w:val="22"/>
        </w:rPr>
        <w:t xml:space="preserve"> b) Identificada la respectiva </w:t>
      </w:r>
      <w:r>
        <w:rPr>
          <w:rFonts w:ascii="Arial" w:hAnsi="Arial" w:cs="Arial"/>
          <w:sz w:val="22"/>
        </w:rPr>
        <w:t>M</w:t>
      </w:r>
      <w:r w:rsidRPr="000D0EC1">
        <w:rPr>
          <w:rFonts w:ascii="Arial" w:hAnsi="Arial" w:cs="Arial"/>
          <w:sz w:val="22"/>
        </w:rPr>
        <w:t>atriz 1, la entidad deberá determinar el tipo de infraestructura sobre l</w:t>
      </w:r>
      <w:r w:rsidR="00E5290A">
        <w:rPr>
          <w:rFonts w:ascii="Arial" w:hAnsi="Arial" w:cs="Arial"/>
          <w:sz w:val="22"/>
        </w:rPr>
        <w:t>a</w:t>
      </w:r>
      <w:r w:rsidRPr="000D0EC1">
        <w:rPr>
          <w:rFonts w:ascii="Arial" w:hAnsi="Arial" w:cs="Arial"/>
          <w:sz w:val="22"/>
        </w:rPr>
        <w:t xml:space="preserve"> cual recae la obra a ejecutar. Al respecto esta matriz contiene ocho (8) secciones que corresponden a los tipos de infraestructura estandarizados.</w:t>
      </w:r>
    </w:p>
    <w:p w14:paraId="2A723910" w14:textId="77777777" w:rsidR="00A8393D" w:rsidRPr="000D0EC1" w:rsidRDefault="00A8393D" w:rsidP="00FC631C">
      <w:pPr>
        <w:spacing w:before="120" w:after="120" w:line="276" w:lineRule="auto"/>
        <w:ind w:firstLine="708"/>
        <w:jc w:val="both"/>
        <w:rPr>
          <w:rFonts w:ascii="Arial" w:hAnsi="Arial" w:cs="Arial"/>
          <w:sz w:val="22"/>
        </w:rPr>
      </w:pPr>
      <w:r w:rsidRPr="000D0EC1">
        <w:rPr>
          <w:rFonts w:ascii="Arial" w:hAnsi="Arial" w:cs="Arial"/>
          <w:sz w:val="22"/>
        </w:rPr>
        <w:t xml:space="preserve">c) Definido el tipo de infraestructura, identificar la </w:t>
      </w:r>
      <w:r w:rsidRPr="000D0EC1">
        <w:rPr>
          <w:rFonts w:ascii="Arial" w:eastAsia="Calibri" w:hAnsi="Arial" w:cs="Arial"/>
          <w:sz w:val="22"/>
        </w:rPr>
        <w:t>«</w:t>
      </w:r>
      <w:r w:rsidRPr="000D0EC1">
        <w:rPr>
          <w:rFonts w:ascii="Arial" w:hAnsi="Arial" w:cs="Arial"/>
          <w:sz w:val="22"/>
        </w:rPr>
        <w:t>ACTIVIDAD A CONTRATAR</w:t>
      </w:r>
      <w:r w:rsidRPr="000D0EC1">
        <w:rPr>
          <w:rFonts w:ascii="Arial" w:eastAsia="Calibri" w:hAnsi="Arial" w:cs="Arial"/>
          <w:sz w:val="22"/>
        </w:rPr>
        <w:t>»</w:t>
      </w:r>
      <w:r w:rsidRPr="000D0EC1">
        <w:rPr>
          <w:rFonts w:ascii="Arial" w:hAnsi="Arial" w:cs="Arial"/>
          <w:sz w:val="22"/>
        </w:rPr>
        <w:t xml:space="preserve"> acorde con la </w:t>
      </w:r>
      <w:r>
        <w:rPr>
          <w:rFonts w:ascii="Arial" w:hAnsi="Arial" w:cs="Arial"/>
          <w:sz w:val="22"/>
        </w:rPr>
        <w:t>m</w:t>
      </w:r>
      <w:r w:rsidRPr="000D0EC1">
        <w:rPr>
          <w:rFonts w:ascii="Arial" w:hAnsi="Arial" w:cs="Arial"/>
          <w:sz w:val="22"/>
        </w:rPr>
        <w:t xml:space="preserve">atriz 1. </w:t>
      </w:r>
    </w:p>
    <w:p w14:paraId="7B03EF1B" w14:textId="77777777" w:rsidR="00A8393D" w:rsidRPr="000D0EC1" w:rsidRDefault="00A8393D" w:rsidP="00FC631C">
      <w:pPr>
        <w:spacing w:before="120" w:after="120" w:line="276" w:lineRule="auto"/>
        <w:ind w:firstLine="708"/>
        <w:jc w:val="both"/>
        <w:rPr>
          <w:rFonts w:ascii="Arial" w:hAnsi="Arial" w:cs="Arial"/>
          <w:sz w:val="22"/>
        </w:rPr>
      </w:pPr>
      <w:r w:rsidRPr="000D0EC1">
        <w:rPr>
          <w:rFonts w:ascii="Arial" w:hAnsi="Arial" w:cs="Arial"/>
          <w:sz w:val="22"/>
        </w:rPr>
        <w:t xml:space="preserve">c) Identificar el rango en el cual se encuentra el proceso de contratación de acuerdo con el presupuesto oficial. </w:t>
      </w:r>
    </w:p>
    <w:p w14:paraId="60F8C5E9" w14:textId="77777777" w:rsidR="00A8393D" w:rsidRPr="000D0EC1" w:rsidRDefault="00A8393D" w:rsidP="00A8393D">
      <w:pPr>
        <w:spacing w:before="120" w:after="120" w:line="276" w:lineRule="auto"/>
        <w:ind w:firstLine="709"/>
        <w:jc w:val="both"/>
        <w:rPr>
          <w:rFonts w:ascii="Arial" w:hAnsi="Arial" w:cs="Arial"/>
          <w:sz w:val="22"/>
        </w:rPr>
      </w:pPr>
      <w:r w:rsidRPr="000D0EC1">
        <w:rPr>
          <w:rFonts w:ascii="Arial" w:hAnsi="Arial" w:cs="Arial"/>
          <w:sz w:val="22"/>
        </w:rPr>
        <w:t xml:space="preserve">d) Identificar la </w:t>
      </w:r>
      <w:r w:rsidRPr="000D0EC1">
        <w:rPr>
          <w:rFonts w:ascii="Arial" w:eastAsia="Calibri" w:hAnsi="Arial" w:cs="Arial"/>
          <w:sz w:val="22"/>
        </w:rPr>
        <w:t>«</w:t>
      </w:r>
      <w:r w:rsidRPr="000D0EC1">
        <w:rPr>
          <w:rFonts w:ascii="Arial" w:hAnsi="Arial" w:cs="Arial"/>
          <w:sz w:val="22"/>
        </w:rPr>
        <w:t>experiencia general</w:t>
      </w:r>
      <w:r w:rsidRPr="000D0EC1">
        <w:rPr>
          <w:rFonts w:ascii="Arial" w:eastAsia="Calibri" w:hAnsi="Arial" w:cs="Arial"/>
          <w:sz w:val="22"/>
        </w:rPr>
        <w:t>»</w:t>
      </w:r>
      <w:r w:rsidRPr="000D0EC1">
        <w:rPr>
          <w:rFonts w:ascii="Arial" w:hAnsi="Arial" w:cs="Arial"/>
          <w:sz w:val="22"/>
        </w:rPr>
        <w:t xml:space="preserve"> exigible acorde con la </w:t>
      </w:r>
      <w:r>
        <w:rPr>
          <w:rFonts w:ascii="Arial" w:hAnsi="Arial" w:cs="Arial"/>
          <w:sz w:val="22"/>
        </w:rPr>
        <w:t>M</w:t>
      </w:r>
      <w:r w:rsidRPr="000D0EC1">
        <w:rPr>
          <w:rFonts w:ascii="Arial" w:hAnsi="Arial" w:cs="Arial"/>
          <w:sz w:val="22"/>
        </w:rPr>
        <w:t xml:space="preserve">atriz 1 teniendo en cuenta la actividad a contratar y el rango de la cuantía del Proceso de Contratación. </w:t>
      </w:r>
    </w:p>
    <w:p w14:paraId="42CD5316" w14:textId="77777777" w:rsidR="00A8393D" w:rsidRPr="000D0EC1" w:rsidRDefault="00A8393D" w:rsidP="00FC631C">
      <w:pPr>
        <w:spacing w:before="120" w:after="120" w:line="276" w:lineRule="auto"/>
        <w:ind w:firstLine="709"/>
        <w:jc w:val="both"/>
        <w:rPr>
          <w:rFonts w:ascii="Arial" w:hAnsi="Arial" w:cs="Arial"/>
          <w:sz w:val="22"/>
        </w:rPr>
      </w:pPr>
      <w:r w:rsidRPr="000D0EC1">
        <w:rPr>
          <w:rFonts w:ascii="Arial" w:hAnsi="Arial" w:cs="Arial"/>
          <w:sz w:val="22"/>
        </w:rPr>
        <w:t xml:space="preserve">e) Identificar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exigible y el porcentaje de dimensionamiento que se puede solicitar acorde con la longitud a ejecutar, de acuerdo con la cuantía del proceso de contratación. Cuando en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se indiquen las siglas </w:t>
      </w:r>
      <w:r w:rsidRPr="000D0EC1">
        <w:rPr>
          <w:rFonts w:ascii="Arial" w:hAnsi="Arial" w:cs="Arial"/>
          <w:i/>
          <w:iCs/>
          <w:sz w:val="22"/>
        </w:rPr>
        <w:t>N.A</w:t>
      </w:r>
      <w:r w:rsidRPr="000D0EC1">
        <w:rPr>
          <w:rFonts w:ascii="Arial" w:hAnsi="Arial" w:cs="Arial"/>
          <w:sz w:val="22"/>
        </w:rPr>
        <w:t xml:space="preserve"> significa que la entidad estatal no puede exigir a los proponentes experiencia específica en los procesos de contratación. </w:t>
      </w:r>
    </w:p>
    <w:p w14:paraId="59F94BDB" w14:textId="77777777" w:rsidR="00A8393D" w:rsidRPr="000D0EC1" w:rsidRDefault="00A8393D" w:rsidP="00FC631C">
      <w:pPr>
        <w:spacing w:before="120" w:after="120" w:line="276" w:lineRule="auto"/>
        <w:ind w:firstLine="709"/>
        <w:jc w:val="both"/>
        <w:rPr>
          <w:rFonts w:ascii="Arial" w:hAnsi="Arial" w:cs="Arial"/>
          <w:sz w:val="22"/>
        </w:rPr>
      </w:pPr>
      <w:r w:rsidRPr="000D0EC1">
        <w:rPr>
          <w:rFonts w:ascii="Arial" w:hAnsi="Arial" w:cs="Arial"/>
          <w:sz w:val="22"/>
        </w:rPr>
        <w:lastRenderedPageBreak/>
        <w:t xml:space="preserve">f) Establecidos los requisitos de experiencia exigibles, la entidad deberá consignarlos en los apartados grises entre corchetes del literal A del numeral 3.5.2 del documento base, </w:t>
      </w:r>
      <w:r>
        <w:rPr>
          <w:rFonts w:ascii="Arial" w:hAnsi="Arial" w:cs="Arial"/>
          <w:sz w:val="22"/>
        </w:rPr>
        <w:t>para que</w:t>
      </w:r>
      <w:r w:rsidRPr="000D0EC1">
        <w:rPr>
          <w:rFonts w:ascii="Arial" w:hAnsi="Arial" w:cs="Arial"/>
          <w:sz w:val="22"/>
        </w:rPr>
        <w:t xml:space="preserve"> los oferentes puedan conocer los requisitos de experiencia general y espec</w:t>
      </w:r>
      <w:r>
        <w:rPr>
          <w:rFonts w:ascii="Arial" w:hAnsi="Arial" w:cs="Arial"/>
          <w:sz w:val="22"/>
        </w:rPr>
        <w:t>í</w:t>
      </w:r>
      <w:r w:rsidRPr="000D0EC1">
        <w:rPr>
          <w:rFonts w:ascii="Arial" w:hAnsi="Arial" w:cs="Arial"/>
          <w:sz w:val="22"/>
        </w:rPr>
        <w:t xml:space="preserve">fica </w:t>
      </w:r>
      <w:r>
        <w:rPr>
          <w:rFonts w:ascii="Arial" w:hAnsi="Arial" w:cs="Arial"/>
          <w:sz w:val="22"/>
        </w:rPr>
        <w:t>exigidos</w:t>
      </w:r>
      <w:r w:rsidRPr="000D0EC1">
        <w:rPr>
          <w:rFonts w:ascii="Arial" w:hAnsi="Arial" w:cs="Arial"/>
          <w:sz w:val="22"/>
        </w:rPr>
        <w:t xml:space="preserve"> por la entidad.</w:t>
      </w:r>
    </w:p>
    <w:p w14:paraId="11034D81" w14:textId="437C5696" w:rsidR="00301AA5" w:rsidRPr="00301AA5" w:rsidRDefault="00D25852" w:rsidP="00FC631C">
      <w:pPr>
        <w:spacing w:before="120" w:line="276" w:lineRule="auto"/>
        <w:ind w:firstLine="709"/>
        <w:jc w:val="both"/>
        <w:rPr>
          <w:rFonts w:ascii="Arial" w:eastAsia="Times New Roman" w:hAnsi="Arial" w:cs="Arial"/>
          <w:color w:val="0D0D0D"/>
          <w:sz w:val="22"/>
          <w:szCs w:val="24"/>
          <w:bdr w:val="none" w:sz="0" w:space="0" w:color="auto" w:frame="1"/>
          <w:lang w:val="es-CO" w:eastAsia="es-CO"/>
        </w:rPr>
      </w:pPr>
      <w:r>
        <w:rPr>
          <w:rFonts w:ascii="Arial" w:eastAsia="Arial" w:hAnsi="Arial" w:cs="Arial"/>
          <w:color w:val="000000"/>
          <w:sz w:val="22"/>
          <w:lang w:val="es-ES" w:eastAsia="es-ES" w:bidi="es-ES"/>
        </w:rPr>
        <w:t>Por tanto</w:t>
      </w:r>
      <w:r w:rsidR="00301AA5" w:rsidRPr="00301AA5">
        <w:rPr>
          <w:rFonts w:ascii="Arial" w:eastAsia="Arial" w:hAnsi="Arial" w:cs="Arial"/>
          <w:color w:val="000000"/>
          <w:sz w:val="22"/>
          <w:lang w:val="es-ES" w:eastAsia="es-ES" w:bidi="es-ES"/>
        </w:rPr>
        <w:t xml:space="preserve">, para determinar si procede la aplicación de los documentos tipo de infraestructura de transporte y la experiencia que se exigirá, le corresponde a la entidad seguir los pasos expuestos, identificando, de manera preliminar, el tipo de infraestructura sobre la cual recae el objeto a contratar, acorde con lo señalado en la </w:t>
      </w:r>
      <w:r w:rsidR="00301AA5" w:rsidRPr="00301AA5">
        <w:rPr>
          <w:rFonts w:ascii="Arial" w:eastAsia="Calibri" w:hAnsi="Arial" w:cs="Arial"/>
          <w:sz w:val="22"/>
        </w:rPr>
        <w:t xml:space="preserve">«Matriz 1 – Experiencia». </w:t>
      </w:r>
      <w:r w:rsidR="003B17C7">
        <w:rPr>
          <w:rFonts w:ascii="Arial" w:eastAsia="Calibri" w:hAnsi="Arial" w:cs="Arial"/>
          <w:color w:val="000000" w:themeColor="text1"/>
          <w:sz w:val="22"/>
          <w:lang w:val="es-CO" w:eastAsia="es-ES_tradnl"/>
        </w:rPr>
        <w:t>En todo caso</w:t>
      </w:r>
      <w:r w:rsidR="00301AA5" w:rsidRPr="00301AA5">
        <w:rPr>
          <w:rFonts w:ascii="Arial" w:eastAsia="Times New Roman" w:hAnsi="Arial" w:cs="Arial"/>
          <w:sz w:val="22"/>
          <w:szCs w:val="24"/>
          <w:lang w:val="es-CO" w:eastAsia="es-ES_tradnl"/>
        </w:rPr>
        <w:t xml:space="preserve">, debe advertirse que es la entidad contratante, al momento de adelantar sus actividades de planeación de cada proceso contractual, quien debe determinar si de acuerdo con las particularidades del contrato a ejecutar, este encaja o no dentro de alguna de las actividades de la </w:t>
      </w:r>
      <w:r w:rsidR="00A8393D">
        <w:rPr>
          <w:rFonts w:ascii="Arial" w:eastAsia="Times New Roman" w:hAnsi="Arial" w:cs="Arial"/>
          <w:sz w:val="22"/>
          <w:szCs w:val="24"/>
          <w:lang w:val="es-CO" w:eastAsia="es-ES_tradnl"/>
        </w:rPr>
        <w:t>m</w:t>
      </w:r>
      <w:r w:rsidR="00301AA5" w:rsidRPr="00301AA5">
        <w:rPr>
          <w:rFonts w:ascii="Arial" w:eastAsia="Times New Roman" w:hAnsi="Arial" w:cs="Arial"/>
          <w:sz w:val="22"/>
          <w:szCs w:val="24"/>
          <w:lang w:val="es-CO" w:eastAsia="es-ES_tradnl"/>
        </w:rPr>
        <w:t>atriz 1</w:t>
      </w:r>
      <w:r w:rsidR="00A8393D">
        <w:rPr>
          <w:rFonts w:ascii="Arial" w:eastAsia="Times New Roman" w:hAnsi="Arial" w:cs="Arial"/>
          <w:sz w:val="22"/>
          <w:szCs w:val="24"/>
          <w:lang w:val="es-CO" w:eastAsia="es-ES_tradnl"/>
        </w:rPr>
        <w:t>. Esto</w:t>
      </w:r>
      <w:r w:rsidR="00301AA5" w:rsidRPr="00301AA5">
        <w:rPr>
          <w:rFonts w:ascii="Arial" w:eastAsia="Times New Roman" w:hAnsi="Arial" w:cs="Arial"/>
          <w:sz w:val="22"/>
          <w:szCs w:val="24"/>
          <w:lang w:val="es-CO" w:eastAsia="es-ES_tradnl"/>
        </w:rPr>
        <w:t xml:space="preserve"> sin que pueda apartarse de su aplicación cuando materialmente el objeto a contratar corresponde con alguna actividad contemplada en </w:t>
      </w:r>
      <w:r w:rsidR="006C69F5">
        <w:rPr>
          <w:rFonts w:ascii="Arial" w:eastAsia="Times New Roman" w:hAnsi="Arial" w:cs="Arial"/>
          <w:sz w:val="22"/>
          <w:szCs w:val="24"/>
          <w:lang w:val="es-CO" w:eastAsia="es-ES_tradnl"/>
        </w:rPr>
        <w:t>la matriz</w:t>
      </w:r>
      <w:r w:rsidR="00301AA5" w:rsidRPr="00301AA5">
        <w:rPr>
          <w:rFonts w:ascii="Arial" w:eastAsia="Times New Roman" w:hAnsi="Arial" w:cs="Arial"/>
          <w:sz w:val="22"/>
          <w:szCs w:val="24"/>
          <w:lang w:val="es-CO" w:eastAsia="es-ES_tradnl"/>
        </w:rPr>
        <w:t xml:space="preserve">. </w:t>
      </w:r>
    </w:p>
    <w:p w14:paraId="1104235E" w14:textId="231103E1" w:rsidR="00442720" w:rsidRPr="00A41CA1" w:rsidRDefault="00442720" w:rsidP="00972A33">
      <w:pPr>
        <w:widowControl w:val="0"/>
        <w:autoSpaceDE w:val="0"/>
        <w:autoSpaceDN w:val="0"/>
        <w:spacing w:line="276" w:lineRule="auto"/>
        <w:ind w:right="51"/>
        <w:jc w:val="both"/>
        <w:rPr>
          <w:rFonts w:ascii="Arial" w:eastAsia="Arial" w:hAnsi="Arial" w:cs="Arial"/>
          <w:sz w:val="22"/>
          <w:lang w:val="es-CO" w:eastAsia="es-ES" w:bidi="es-ES"/>
        </w:rPr>
      </w:pPr>
    </w:p>
    <w:p w14:paraId="50ACAD28" w14:textId="07F0EA5D" w:rsidR="00305947" w:rsidRDefault="00305947" w:rsidP="00E71381">
      <w:pPr>
        <w:spacing w:line="276" w:lineRule="auto"/>
        <w:jc w:val="both"/>
        <w:rPr>
          <w:rFonts w:ascii="Arial" w:eastAsia="Calibri" w:hAnsi="Arial" w:cs="Arial"/>
          <w:b/>
          <w:sz w:val="22"/>
        </w:rPr>
      </w:pPr>
      <w:r w:rsidRPr="0014392D">
        <w:rPr>
          <w:rFonts w:ascii="Arial" w:eastAsia="Calibri" w:hAnsi="Arial" w:cs="Arial"/>
          <w:b/>
          <w:sz w:val="22"/>
        </w:rPr>
        <w:t>3. Respuesta</w:t>
      </w:r>
      <w:r w:rsidR="001D0521">
        <w:rPr>
          <w:rFonts w:ascii="Arial" w:eastAsia="Calibri" w:hAnsi="Arial" w:cs="Arial"/>
          <w:b/>
          <w:sz w:val="22"/>
        </w:rPr>
        <w:t xml:space="preserve">. </w:t>
      </w:r>
    </w:p>
    <w:p w14:paraId="405BABA1" w14:textId="6654CF46" w:rsidR="00234CAF" w:rsidRDefault="00234CAF" w:rsidP="00E71381">
      <w:pPr>
        <w:spacing w:line="276" w:lineRule="auto"/>
        <w:jc w:val="both"/>
        <w:rPr>
          <w:rFonts w:ascii="Arial" w:eastAsia="Calibri" w:hAnsi="Arial" w:cs="Arial"/>
          <w:b/>
          <w:sz w:val="22"/>
        </w:rPr>
      </w:pPr>
    </w:p>
    <w:p w14:paraId="62FDC01C" w14:textId="484D1A8F" w:rsidR="00A85E48" w:rsidRPr="00A41CA1" w:rsidRDefault="00A85E48" w:rsidP="00A85E48">
      <w:pPr>
        <w:spacing w:line="276" w:lineRule="auto"/>
        <w:ind w:left="709" w:right="709"/>
        <w:jc w:val="both"/>
        <w:rPr>
          <w:rFonts w:ascii="Arial" w:eastAsia="Calibri" w:hAnsi="Arial" w:cs="Arial"/>
          <w:sz w:val="22"/>
        </w:rPr>
      </w:pPr>
      <w:r w:rsidRPr="00EA6975">
        <w:rPr>
          <w:rFonts w:ascii="Arial" w:eastAsia="Calibri" w:hAnsi="Arial" w:cs="Arial"/>
          <w:sz w:val="21"/>
          <w:szCs w:val="21"/>
        </w:rPr>
        <w:t>«Les solicito información en cu</w:t>
      </w:r>
      <w:r w:rsidR="00416A8C">
        <w:rPr>
          <w:rFonts w:ascii="Arial" w:eastAsia="Calibri" w:hAnsi="Arial" w:cs="Arial"/>
          <w:sz w:val="21"/>
          <w:szCs w:val="21"/>
        </w:rPr>
        <w:t>á</w:t>
      </w:r>
      <w:r w:rsidRPr="00EA6975">
        <w:rPr>
          <w:rFonts w:ascii="Arial" w:eastAsia="Calibri" w:hAnsi="Arial" w:cs="Arial"/>
          <w:sz w:val="21"/>
          <w:szCs w:val="21"/>
        </w:rPr>
        <w:t>nto, c</w:t>
      </w:r>
      <w:r w:rsidR="00416A8C">
        <w:rPr>
          <w:rFonts w:ascii="Arial" w:eastAsia="Calibri" w:hAnsi="Arial" w:cs="Arial"/>
          <w:sz w:val="21"/>
          <w:szCs w:val="21"/>
        </w:rPr>
        <w:t>ó</w:t>
      </w:r>
      <w:r w:rsidRPr="00EA6975">
        <w:rPr>
          <w:rFonts w:ascii="Arial" w:eastAsia="Calibri" w:hAnsi="Arial" w:cs="Arial"/>
          <w:sz w:val="21"/>
          <w:szCs w:val="21"/>
        </w:rPr>
        <w:t>mo</w:t>
      </w:r>
      <w:r w:rsidR="00416A8C">
        <w:rPr>
          <w:rFonts w:ascii="Arial" w:eastAsia="Calibri" w:hAnsi="Arial" w:cs="Arial"/>
          <w:sz w:val="21"/>
          <w:szCs w:val="21"/>
        </w:rPr>
        <w:t>,</w:t>
      </w:r>
      <w:r w:rsidRPr="00EA6975">
        <w:rPr>
          <w:rFonts w:ascii="Arial" w:eastAsia="Calibri" w:hAnsi="Arial" w:cs="Arial"/>
          <w:sz w:val="21"/>
          <w:szCs w:val="21"/>
        </w:rPr>
        <w:t xml:space="preserve"> cu</w:t>
      </w:r>
      <w:r w:rsidR="00416A8C">
        <w:rPr>
          <w:rFonts w:ascii="Arial" w:eastAsia="Calibri" w:hAnsi="Arial" w:cs="Arial"/>
          <w:sz w:val="21"/>
          <w:szCs w:val="21"/>
        </w:rPr>
        <w:t>á</w:t>
      </w:r>
      <w:r w:rsidRPr="00EA6975">
        <w:rPr>
          <w:rFonts w:ascii="Arial" w:eastAsia="Calibri" w:hAnsi="Arial" w:cs="Arial"/>
          <w:sz w:val="21"/>
          <w:szCs w:val="21"/>
        </w:rPr>
        <w:t>ndo</w:t>
      </w:r>
      <w:r>
        <w:rPr>
          <w:rFonts w:ascii="Arial" w:eastAsia="Calibri" w:hAnsi="Arial" w:cs="Arial"/>
          <w:sz w:val="22"/>
        </w:rPr>
        <w:t xml:space="preserve"> y en qué tipo de proyectos hoy en día se deben usar los pliegos tipo</w:t>
      </w:r>
      <w:r w:rsidRPr="00A41CA1">
        <w:rPr>
          <w:rFonts w:ascii="Arial" w:eastAsia="Calibri" w:hAnsi="Arial" w:cs="Arial"/>
          <w:sz w:val="22"/>
        </w:rPr>
        <w:t>».</w:t>
      </w:r>
    </w:p>
    <w:p w14:paraId="612EA3C5" w14:textId="204ED8BB" w:rsidR="00F615FA" w:rsidRPr="00A85E48" w:rsidRDefault="00F615FA" w:rsidP="00A41CA1">
      <w:pPr>
        <w:spacing w:line="276" w:lineRule="auto"/>
        <w:jc w:val="both"/>
        <w:rPr>
          <w:rFonts w:ascii="Arial" w:eastAsia="Calibri" w:hAnsi="Arial" w:cs="Arial"/>
          <w:sz w:val="22"/>
          <w:lang w:eastAsia="es-ES" w:bidi="es-ES"/>
        </w:rPr>
      </w:pPr>
    </w:p>
    <w:p w14:paraId="022A0EBE" w14:textId="77777777" w:rsidR="00A85E48" w:rsidRDefault="00A85E48" w:rsidP="00A85E48">
      <w:pPr>
        <w:spacing w:after="120" w:line="276" w:lineRule="auto"/>
        <w:jc w:val="both"/>
        <w:rPr>
          <w:rFonts w:ascii="Arial" w:eastAsia="Calibri" w:hAnsi="Arial" w:cs="Arial"/>
          <w:sz w:val="22"/>
        </w:rPr>
      </w:pPr>
      <w:r>
        <w:rPr>
          <w:rFonts w:ascii="Arial" w:eastAsia="Calibri" w:hAnsi="Arial" w:cs="Arial"/>
          <w:sz w:val="22"/>
          <w:lang w:val="es-ES" w:eastAsia="es-ES" w:bidi="es-ES"/>
        </w:rPr>
        <w:t xml:space="preserve">De conformidad con las consideraciones antes mencionadas, se precisa que los diferentes documentos tipo expedidos por esta Agencia y de obligatorio cumplimiento para las entidades sometidas al Estatuto General de Contratación de la Administración Publica, se deberán adoptar </w:t>
      </w:r>
      <w:r w:rsidR="00C1255C" w:rsidRPr="004A1547">
        <w:rPr>
          <w:rStyle w:val="normaltextrun"/>
          <w:rFonts w:ascii="Arial" w:hAnsi="Arial" w:cs="Arial"/>
          <w:color w:val="000000"/>
          <w:sz w:val="22"/>
          <w:shd w:val="clear" w:color="auto" w:fill="FFFFFF"/>
        </w:rPr>
        <w:t xml:space="preserve">siempre que el objeto esté relacionado con alguna de las actividades mencionadas </w:t>
      </w:r>
      <w:r>
        <w:rPr>
          <w:rStyle w:val="normaltextrun"/>
          <w:rFonts w:ascii="Arial" w:hAnsi="Arial" w:cs="Arial"/>
          <w:color w:val="000000"/>
          <w:sz w:val="22"/>
          <w:shd w:val="clear" w:color="auto" w:fill="FFFFFF"/>
        </w:rPr>
        <w:t xml:space="preserve">en la «Matriz 1 – Experiencia». Por tanto, </w:t>
      </w:r>
      <w:r w:rsidR="003B17C7" w:rsidRPr="004A1547">
        <w:rPr>
          <w:rFonts w:ascii="Arial" w:eastAsia="Arial" w:hAnsi="Arial" w:cs="Arial"/>
          <w:color w:val="000000"/>
          <w:sz w:val="22"/>
          <w:lang w:val="es-ES" w:eastAsia="es-ES" w:bidi="es-ES"/>
        </w:rPr>
        <w:t xml:space="preserve">le corresponde a la entidad seguir los pasos expuestos, identificando, de manera preliminar, el tipo de infraestructura sobre la cual recae el objeto a contratar, acorde con lo señalado en la </w:t>
      </w:r>
      <w:r w:rsidR="003B17C7" w:rsidRPr="004A1547">
        <w:rPr>
          <w:rFonts w:ascii="Arial" w:eastAsia="Calibri" w:hAnsi="Arial" w:cs="Arial"/>
          <w:sz w:val="22"/>
        </w:rPr>
        <w:t xml:space="preserve">«Matriz 1 – Experiencia». </w:t>
      </w:r>
    </w:p>
    <w:p w14:paraId="27D1EF92" w14:textId="03B6F7CD" w:rsidR="00820C54" w:rsidRDefault="00A85E48" w:rsidP="00FC631C">
      <w:pPr>
        <w:spacing w:before="120" w:after="120" w:line="276" w:lineRule="auto"/>
        <w:ind w:firstLine="709"/>
        <w:jc w:val="both"/>
        <w:rPr>
          <w:rFonts w:ascii="Arial" w:eastAsia="Times New Roman" w:hAnsi="Arial" w:cs="Arial"/>
          <w:sz w:val="22"/>
          <w:szCs w:val="24"/>
          <w:lang w:val="es-CO" w:eastAsia="es-ES_tradnl"/>
        </w:rPr>
      </w:pPr>
      <w:r>
        <w:rPr>
          <w:rFonts w:ascii="Arial" w:eastAsia="Calibri" w:hAnsi="Arial" w:cs="Arial"/>
          <w:sz w:val="22"/>
        </w:rPr>
        <w:t>E</w:t>
      </w:r>
      <w:r w:rsidR="003B17C7" w:rsidRPr="004A1547">
        <w:rPr>
          <w:rFonts w:ascii="Arial" w:eastAsia="Calibri" w:hAnsi="Arial" w:cs="Arial"/>
          <w:color w:val="000000" w:themeColor="text1"/>
          <w:sz w:val="22"/>
          <w:lang w:val="es-CO" w:eastAsia="es-ES_tradnl"/>
        </w:rPr>
        <w:t>n todo caso</w:t>
      </w:r>
      <w:r w:rsidR="003B17C7" w:rsidRPr="004A1547">
        <w:rPr>
          <w:rFonts w:ascii="Arial" w:eastAsia="Times New Roman" w:hAnsi="Arial" w:cs="Arial"/>
          <w:sz w:val="22"/>
          <w:szCs w:val="24"/>
          <w:lang w:val="es-CO" w:eastAsia="es-ES_tradnl"/>
        </w:rPr>
        <w:t xml:space="preserve">, debe advertirse que es la entidad contratante, al momento de adelantar sus actividades de planeación de cada proceso contractual, quien debe determinar si de acuerdo con las particularidades del contrato a ejecutar, este </w:t>
      </w:r>
      <w:r w:rsidR="00897065" w:rsidRPr="004A1547">
        <w:rPr>
          <w:rFonts w:ascii="Arial" w:eastAsia="Times New Roman" w:hAnsi="Arial" w:cs="Arial"/>
          <w:sz w:val="22"/>
          <w:szCs w:val="24"/>
          <w:lang w:val="es-CO" w:eastAsia="es-ES_tradnl"/>
        </w:rPr>
        <w:t xml:space="preserve">se </w:t>
      </w:r>
      <w:r w:rsidR="003B17C7" w:rsidRPr="004A1547">
        <w:rPr>
          <w:rFonts w:ascii="Arial" w:eastAsia="Times New Roman" w:hAnsi="Arial" w:cs="Arial"/>
          <w:sz w:val="22"/>
          <w:szCs w:val="24"/>
          <w:lang w:val="es-CO" w:eastAsia="es-ES_tradnl"/>
        </w:rPr>
        <w:t>enc</w:t>
      </w:r>
      <w:r w:rsidR="00897065" w:rsidRPr="004A1547">
        <w:rPr>
          <w:rFonts w:ascii="Arial" w:eastAsia="Times New Roman" w:hAnsi="Arial" w:cs="Arial"/>
          <w:sz w:val="22"/>
          <w:szCs w:val="24"/>
          <w:lang w:val="es-CO" w:eastAsia="es-ES_tradnl"/>
        </w:rPr>
        <w:t>uadra</w:t>
      </w:r>
      <w:r w:rsidR="003B17C7" w:rsidRPr="004A1547">
        <w:rPr>
          <w:rFonts w:ascii="Arial" w:eastAsia="Times New Roman" w:hAnsi="Arial" w:cs="Arial"/>
          <w:sz w:val="22"/>
          <w:szCs w:val="24"/>
          <w:lang w:val="es-CO" w:eastAsia="es-ES_tradnl"/>
        </w:rPr>
        <w:t xml:space="preserve"> o no dentro de alguna de las actividades de la </w:t>
      </w:r>
      <w:r w:rsidR="00FB53C9">
        <w:rPr>
          <w:rFonts w:ascii="Arial" w:eastAsia="Times New Roman" w:hAnsi="Arial" w:cs="Arial"/>
          <w:sz w:val="22"/>
          <w:szCs w:val="24"/>
          <w:lang w:val="es-CO" w:eastAsia="es-ES_tradnl"/>
        </w:rPr>
        <w:t xml:space="preserve">respectiva </w:t>
      </w:r>
      <w:r w:rsidR="003B17C7" w:rsidRPr="004A1547">
        <w:rPr>
          <w:rFonts w:ascii="Arial" w:eastAsia="Times New Roman" w:hAnsi="Arial" w:cs="Arial"/>
          <w:sz w:val="22"/>
          <w:szCs w:val="24"/>
          <w:lang w:val="es-CO" w:eastAsia="es-ES_tradnl"/>
        </w:rPr>
        <w:t xml:space="preserve">matriz. </w:t>
      </w:r>
      <w:r w:rsidR="00897065" w:rsidRPr="004A1547">
        <w:rPr>
          <w:rFonts w:ascii="Arial" w:eastAsia="Times New Roman" w:hAnsi="Arial" w:cs="Arial"/>
          <w:sz w:val="22"/>
          <w:szCs w:val="24"/>
          <w:lang w:val="es-CO" w:eastAsia="es-ES_tradnl"/>
        </w:rPr>
        <w:t>Lo anterior</w:t>
      </w:r>
      <w:r w:rsidR="003B17C7" w:rsidRPr="004A1547">
        <w:rPr>
          <w:rFonts w:ascii="Arial" w:eastAsia="Times New Roman" w:hAnsi="Arial" w:cs="Arial"/>
          <w:sz w:val="22"/>
          <w:szCs w:val="24"/>
          <w:lang w:val="es-CO" w:eastAsia="es-ES_tradnl"/>
        </w:rPr>
        <w:t xml:space="preserve"> sin que pueda apartarse de su aplicación cuando materialmente el objeto a contratar corresponde con alguna actividad contemplada en ella.</w:t>
      </w:r>
      <w:r w:rsidR="003B17C7" w:rsidRPr="00301AA5">
        <w:rPr>
          <w:rFonts w:ascii="Arial" w:eastAsia="Times New Roman" w:hAnsi="Arial" w:cs="Arial"/>
          <w:sz w:val="22"/>
          <w:szCs w:val="24"/>
          <w:lang w:val="es-CO" w:eastAsia="es-ES_tradnl"/>
        </w:rPr>
        <w:t xml:space="preserve"> </w:t>
      </w:r>
    </w:p>
    <w:p w14:paraId="5D786878" w14:textId="5542C3B7" w:rsidR="00FC631C" w:rsidRPr="00284E94" w:rsidRDefault="00427B8C" w:rsidP="00FC631C">
      <w:pPr>
        <w:spacing w:before="120" w:after="120" w:line="276" w:lineRule="auto"/>
        <w:ind w:firstLine="709"/>
        <w:jc w:val="both"/>
        <w:rPr>
          <w:rFonts w:ascii="Arial" w:eastAsia="Times New Roman" w:hAnsi="Arial" w:cs="Arial"/>
          <w:sz w:val="22"/>
          <w:szCs w:val="24"/>
          <w:lang w:val="es-CO" w:eastAsia="es-ES_tradnl"/>
        </w:rPr>
      </w:pPr>
      <w:r>
        <w:rPr>
          <w:rFonts w:ascii="Arial" w:eastAsia="Times New Roman" w:hAnsi="Arial" w:cs="Arial"/>
          <w:sz w:val="22"/>
          <w:szCs w:val="24"/>
          <w:lang w:val="es-CO" w:eastAsia="es-ES_tradnl"/>
        </w:rPr>
        <w:t xml:space="preserve">A </w:t>
      </w:r>
      <w:r w:rsidR="00721597">
        <w:rPr>
          <w:rFonts w:ascii="Arial" w:eastAsia="Times New Roman" w:hAnsi="Arial" w:cs="Arial"/>
          <w:sz w:val="22"/>
          <w:szCs w:val="24"/>
          <w:lang w:val="es-CO" w:eastAsia="es-ES_tradnl"/>
        </w:rPr>
        <w:t>continuación,</w:t>
      </w:r>
      <w:r w:rsidR="001C3EF7">
        <w:rPr>
          <w:rFonts w:ascii="Arial" w:eastAsia="Times New Roman" w:hAnsi="Arial" w:cs="Arial"/>
          <w:sz w:val="22"/>
          <w:szCs w:val="24"/>
          <w:lang w:val="es-CO" w:eastAsia="es-ES_tradnl"/>
        </w:rPr>
        <w:t xml:space="preserve"> y para efectos de responder a la pregunta formulada, </w:t>
      </w:r>
      <w:r>
        <w:rPr>
          <w:rFonts w:ascii="Arial" w:eastAsia="Times New Roman" w:hAnsi="Arial" w:cs="Arial"/>
          <w:sz w:val="22"/>
          <w:szCs w:val="24"/>
          <w:lang w:val="es-CO" w:eastAsia="es-ES_tradnl"/>
        </w:rPr>
        <w:t>se indica</w:t>
      </w:r>
      <w:r w:rsidR="00284E94">
        <w:rPr>
          <w:rFonts w:ascii="Arial" w:eastAsia="Times New Roman" w:hAnsi="Arial" w:cs="Arial"/>
          <w:sz w:val="22"/>
          <w:szCs w:val="24"/>
          <w:lang w:val="es-CO" w:eastAsia="es-ES_tradnl"/>
        </w:rPr>
        <w:t xml:space="preserve">n los documentos tipo </w:t>
      </w:r>
      <w:r w:rsidR="00E42F80">
        <w:rPr>
          <w:rFonts w:ascii="Arial" w:eastAsia="Times New Roman" w:hAnsi="Arial" w:cs="Arial"/>
          <w:sz w:val="22"/>
          <w:szCs w:val="24"/>
          <w:lang w:val="es-CO" w:eastAsia="es-ES_tradnl"/>
        </w:rPr>
        <w:t>implementados y desarrollados por</w:t>
      </w:r>
      <w:r w:rsidR="00284E94">
        <w:rPr>
          <w:rFonts w:ascii="Arial" w:eastAsia="Times New Roman" w:hAnsi="Arial" w:cs="Arial"/>
          <w:sz w:val="22"/>
          <w:szCs w:val="24"/>
          <w:lang w:val="es-CO" w:eastAsia="es-ES_tradnl"/>
        </w:rPr>
        <w:t xml:space="preserve"> esta Agencia y su aplicabilidad de acuerdo a su vigencia: </w:t>
      </w:r>
    </w:p>
    <w:p w14:paraId="39B62801" w14:textId="20A0EEF3" w:rsidR="00284E94" w:rsidRPr="00613C45" w:rsidRDefault="00284E94" w:rsidP="00FC631C">
      <w:pPr>
        <w:spacing w:before="120" w:after="120" w:line="276" w:lineRule="auto"/>
        <w:ind w:firstLine="709"/>
        <w:jc w:val="both"/>
        <w:rPr>
          <w:rFonts w:ascii="Arial" w:eastAsia="Calibri" w:hAnsi="Arial" w:cs="Arial"/>
          <w:color w:val="000000"/>
          <w:sz w:val="22"/>
          <w:lang w:val="es-ES_tradnl" w:eastAsia="es-ES"/>
        </w:rPr>
      </w:pPr>
      <w:r w:rsidRPr="00613C45">
        <w:rPr>
          <w:rFonts w:ascii="Arial" w:eastAsia="Calibri" w:hAnsi="Arial" w:cs="Arial"/>
          <w:color w:val="000000"/>
          <w:sz w:val="22"/>
          <w:lang w:val="es-ES_tradnl" w:eastAsia="es-ES"/>
        </w:rPr>
        <w:t>i) Documentos tipo para licitación de obra pública de infraestructura de transporte –versión 3–, obligatorios para los procesos cuyo aviso de convocatoria se haya publicado desde el 1 de enero de 2021.</w:t>
      </w:r>
    </w:p>
    <w:p w14:paraId="7CD18D4C" w14:textId="265636C3" w:rsidR="00284E94" w:rsidRPr="00613C45" w:rsidRDefault="00284E94" w:rsidP="00FC631C">
      <w:pPr>
        <w:spacing w:before="120" w:after="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lastRenderedPageBreak/>
        <w:t>ii</w:t>
      </w:r>
      <w:r w:rsidRPr="00613C45">
        <w:rPr>
          <w:rFonts w:ascii="Arial" w:eastAsia="Calibri" w:hAnsi="Arial" w:cs="Arial"/>
          <w:color w:val="000000"/>
          <w:sz w:val="22"/>
          <w:lang w:val="es-ES_tradnl" w:eastAsia="es-ES"/>
        </w:rPr>
        <w:t xml:space="preserve">) Documentos tipo para procesos de selección abreviada de menor cuantía de infraestructura de transporte –versión 2–, obligatorios para los procesos cuyo aviso de convocatoria se haya publicado desde el 1 de enero de 2021. </w:t>
      </w:r>
    </w:p>
    <w:p w14:paraId="0E269625" w14:textId="017DA505" w:rsidR="00284E94" w:rsidRPr="00613C45" w:rsidRDefault="002F36CC" w:rsidP="00FC631C">
      <w:pPr>
        <w:spacing w:before="120" w:after="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iii</w:t>
      </w:r>
      <w:r w:rsidR="00284E94" w:rsidRPr="00613C45">
        <w:rPr>
          <w:rFonts w:ascii="Arial" w:eastAsia="Calibri" w:hAnsi="Arial" w:cs="Arial"/>
          <w:color w:val="000000"/>
          <w:sz w:val="22"/>
          <w:lang w:val="es-ES_tradnl" w:eastAsia="es-ES"/>
        </w:rPr>
        <w:t>) Documentos tipo para procesos de mínima cuantía de infraestructura de transporte, obligatorios para los procesos cuya invitación pública se haya publicado a partir del 10 de junio de 2020.</w:t>
      </w:r>
    </w:p>
    <w:p w14:paraId="795AD4E4" w14:textId="6A4D2889" w:rsidR="00284E94" w:rsidRDefault="00E42F80" w:rsidP="00FC631C">
      <w:pPr>
        <w:spacing w:before="120" w:after="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iv</w:t>
      </w:r>
      <w:r w:rsidR="00284E94" w:rsidRPr="00613C45">
        <w:rPr>
          <w:rFonts w:ascii="Arial" w:eastAsia="Calibri" w:hAnsi="Arial" w:cs="Arial"/>
          <w:color w:val="000000"/>
          <w:sz w:val="22"/>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2CA62BA9" w14:textId="40478D61" w:rsidR="00284E94" w:rsidRPr="00613C45" w:rsidRDefault="00E42F80" w:rsidP="00FC631C">
      <w:pPr>
        <w:spacing w:before="120" w:after="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v</w:t>
      </w:r>
      <w:r w:rsidR="00284E94">
        <w:rPr>
          <w:rFonts w:ascii="Arial" w:eastAsia="Calibri" w:hAnsi="Arial" w:cs="Arial"/>
          <w:color w:val="000000"/>
          <w:sz w:val="22"/>
          <w:lang w:val="es-ES_tradnl" w:eastAsia="es-ES"/>
        </w:rPr>
        <w:t>) D</w:t>
      </w:r>
      <w:r w:rsidR="00284E94" w:rsidRPr="00613C45">
        <w:rPr>
          <w:rFonts w:ascii="Arial" w:eastAsia="Calibri" w:hAnsi="Arial" w:cs="Arial"/>
          <w:color w:val="000000"/>
          <w:sz w:val="22"/>
          <w:lang w:val="es-ES_tradnl" w:eastAsia="es-ES"/>
        </w:rPr>
        <w:t>ocumentos tipo para los procesos de selección de concurso de</w:t>
      </w:r>
      <w:r w:rsidR="00284E94">
        <w:rPr>
          <w:rFonts w:ascii="Arial" w:eastAsia="Calibri" w:hAnsi="Arial" w:cs="Arial"/>
          <w:color w:val="000000"/>
          <w:sz w:val="22"/>
          <w:lang w:val="es-ES_tradnl" w:eastAsia="es-ES"/>
        </w:rPr>
        <w:t xml:space="preserve"> </w:t>
      </w:r>
      <w:r w:rsidR="00284E94" w:rsidRPr="00613C45">
        <w:rPr>
          <w:rFonts w:ascii="Arial" w:eastAsia="Calibri" w:hAnsi="Arial" w:cs="Arial"/>
          <w:color w:val="000000"/>
          <w:sz w:val="22"/>
          <w:lang w:val="es-ES_tradnl" w:eastAsia="es-ES"/>
        </w:rPr>
        <w:t>méritos, para contratar la consultoría de estudios de ingeniería de infraestruc</w:t>
      </w:r>
      <w:r w:rsidR="00284E94">
        <w:rPr>
          <w:rFonts w:ascii="Arial" w:eastAsia="Calibri" w:hAnsi="Arial" w:cs="Arial"/>
          <w:color w:val="000000"/>
          <w:sz w:val="22"/>
          <w:lang w:val="es-ES_tradnl" w:eastAsia="es-ES"/>
        </w:rPr>
        <w:t>t</w:t>
      </w:r>
      <w:r w:rsidR="00284E94" w:rsidRPr="00613C45">
        <w:rPr>
          <w:rFonts w:ascii="Arial" w:eastAsia="Calibri" w:hAnsi="Arial" w:cs="Arial"/>
          <w:color w:val="000000"/>
          <w:sz w:val="22"/>
          <w:lang w:val="es-ES_tradnl" w:eastAsia="es-ES"/>
        </w:rPr>
        <w:t>ura de transpor</w:t>
      </w:r>
      <w:r w:rsidR="00284E94">
        <w:rPr>
          <w:rFonts w:ascii="Arial" w:eastAsia="Calibri" w:hAnsi="Arial" w:cs="Arial"/>
          <w:color w:val="000000"/>
          <w:sz w:val="22"/>
          <w:lang w:val="es-ES_tradnl" w:eastAsia="es-ES"/>
        </w:rPr>
        <w:t>t</w:t>
      </w:r>
      <w:r w:rsidR="00284E94" w:rsidRPr="00613C45">
        <w:rPr>
          <w:rFonts w:ascii="Arial" w:eastAsia="Calibri" w:hAnsi="Arial" w:cs="Arial"/>
          <w:color w:val="000000"/>
          <w:sz w:val="22"/>
          <w:lang w:val="es-ES_tradnl" w:eastAsia="es-ES"/>
        </w:rPr>
        <w:t xml:space="preserve">e, obligatorios para los procesos cuyo aviso de convocatoria se haya publicado desde el </w:t>
      </w:r>
      <w:r w:rsidR="00284E94">
        <w:rPr>
          <w:rFonts w:ascii="Arial" w:eastAsia="Calibri" w:hAnsi="Arial" w:cs="Arial"/>
          <w:color w:val="000000"/>
          <w:sz w:val="22"/>
          <w:lang w:val="es-ES_tradnl" w:eastAsia="es-ES"/>
        </w:rPr>
        <w:t>9</w:t>
      </w:r>
      <w:r w:rsidR="00284E94" w:rsidRPr="00613C45">
        <w:rPr>
          <w:rFonts w:ascii="Arial" w:eastAsia="Calibri" w:hAnsi="Arial" w:cs="Arial"/>
          <w:color w:val="000000"/>
          <w:sz w:val="22"/>
          <w:lang w:val="es-ES_tradnl" w:eastAsia="es-ES"/>
        </w:rPr>
        <w:t xml:space="preserve"> de </w:t>
      </w:r>
      <w:r w:rsidR="00284E94">
        <w:rPr>
          <w:rFonts w:ascii="Arial" w:eastAsia="Calibri" w:hAnsi="Arial" w:cs="Arial"/>
          <w:color w:val="000000"/>
          <w:sz w:val="22"/>
          <w:lang w:val="es-ES_tradnl" w:eastAsia="es-ES"/>
        </w:rPr>
        <w:t>agosto</w:t>
      </w:r>
      <w:r w:rsidR="00284E94" w:rsidRPr="00613C45">
        <w:rPr>
          <w:rFonts w:ascii="Arial" w:eastAsia="Calibri" w:hAnsi="Arial" w:cs="Arial"/>
          <w:color w:val="000000"/>
          <w:sz w:val="22"/>
          <w:lang w:val="es-ES_tradnl" w:eastAsia="es-ES"/>
        </w:rPr>
        <w:t xml:space="preserve"> de 2021.</w:t>
      </w:r>
    </w:p>
    <w:p w14:paraId="7DE5BD8B" w14:textId="72CEA733" w:rsidR="00284E94" w:rsidRPr="00613C45" w:rsidRDefault="00E42F80" w:rsidP="00FC631C">
      <w:pPr>
        <w:spacing w:before="120" w:after="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vi</w:t>
      </w:r>
      <w:r w:rsidR="00284E94" w:rsidRPr="00613C45">
        <w:rPr>
          <w:rFonts w:ascii="Arial" w:eastAsia="Calibri" w:hAnsi="Arial" w:cs="Arial"/>
          <w:color w:val="000000"/>
          <w:sz w:val="22"/>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71A584D0" w14:textId="79B40661" w:rsidR="00284E94" w:rsidRPr="00613C45" w:rsidRDefault="00E42F80" w:rsidP="00284E94">
      <w:pPr>
        <w:spacing w:before="120" w:after="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vii</w:t>
      </w:r>
      <w:r w:rsidR="00284E94" w:rsidRPr="00613C45">
        <w:rPr>
          <w:rFonts w:ascii="Arial" w:eastAsia="Calibri" w:hAnsi="Arial" w:cs="Arial"/>
          <w:color w:val="000000"/>
          <w:sz w:val="22"/>
          <w:lang w:val="es-ES_tradnl"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75E5218F" w14:textId="07FA7271" w:rsidR="00284E94" w:rsidRPr="00613C45" w:rsidRDefault="00E42F80" w:rsidP="00284E94">
      <w:pPr>
        <w:spacing w:before="120" w:after="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viii</w:t>
      </w:r>
      <w:r w:rsidR="00284E94" w:rsidRPr="00613C45">
        <w:rPr>
          <w:rFonts w:ascii="Arial" w:eastAsia="Calibri" w:hAnsi="Arial" w:cs="Arial"/>
          <w:color w:val="000000"/>
          <w:sz w:val="22"/>
          <w:lang w:val="es-ES_tradnl" w:eastAsia="es-ES"/>
        </w:rPr>
        <w:t xml:space="preserve">) Documentos tipo para procesos de gestión catastral con enfoque multipropósito que se celebren a través de contratos interadministrativos, </w:t>
      </w:r>
      <w:r w:rsidR="00284E94">
        <w:rPr>
          <w:rFonts w:ascii="Arial" w:eastAsia="Calibri" w:hAnsi="Arial" w:cs="Arial"/>
          <w:color w:val="000000"/>
          <w:sz w:val="22"/>
          <w:lang w:val="es-ES_tradnl" w:eastAsia="es-ES"/>
        </w:rPr>
        <w:t xml:space="preserve">obligatorios para los contratos celebrados </w:t>
      </w:r>
      <w:r w:rsidR="00284E94" w:rsidRPr="00613C45">
        <w:rPr>
          <w:rFonts w:ascii="Arial" w:eastAsia="Calibri" w:hAnsi="Arial" w:cs="Arial"/>
          <w:color w:val="000000"/>
          <w:sz w:val="22"/>
          <w:lang w:val="es-ES_tradnl" w:eastAsia="es-ES"/>
        </w:rPr>
        <w:t>a partir del 1 de febrero de 2021.</w:t>
      </w:r>
    </w:p>
    <w:p w14:paraId="221FEB04" w14:textId="1418A729" w:rsidR="00427B8C" w:rsidRDefault="00E42F80" w:rsidP="00FC631C">
      <w:pPr>
        <w:spacing w:before="120" w:line="276" w:lineRule="auto"/>
        <w:ind w:firstLine="709"/>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ix</w:t>
      </w:r>
      <w:r w:rsidR="00284E94">
        <w:rPr>
          <w:rFonts w:ascii="Arial" w:eastAsia="Calibri" w:hAnsi="Arial" w:cs="Arial"/>
          <w:color w:val="000000"/>
          <w:sz w:val="22"/>
          <w:lang w:val="es-ES_tradnl" w:eastAsia="es-ES"/>
        </w:rPr>
        <w:t>) D</w:t>
      </w:r>
      <w:r w:rsidR="00284E94" w:rsidRPr="00654CCA">
        <w:rPr>
          <w:rFonts w:ascii="Arial" w:eastAsia="Calibri" w:hAnsi="Arial" w:cs="Arial"/>
          <w:color w:val="000000"/>
          <w:sz w:val="22"/>
          <w:lang w:val="es-ES_tradnl" w:eastAsia="es-ES"/>
        </w:rPr>
        <w:t>ocumentos tipo para los procesos de licitación de obra pública de infraestructura social</w:t>
      </w:r>
      <w:r w:rsidR="00284E94">
        <w:rPr>
          <w:rFonts w:ascii="Arial" w:eastAsia="Calibri" w:hAnsi="Arial" w:cs="Arial"/>
          <w:color w:val="000000"/>
          <w:sz w:val="22"/>
          <w:lang w:val="es-ES_tradnl" w:eastAsia="es-ES"/>
        </w:rPr>
        <w:t xml:space="preserve">, concretamente, para infraestructura en el sector educativo, </w:t>
      </w:r>
      <w:r w:rsidR="00284E94" w:rsidRPr="00613C45">
        <w:rPr>
          <w:rFonts w:ascii="Arial" w:eastAsia="Calibri" w:hAnsi="Arial" w:cs="Arial"/>
          <w:color w:val="000000"/>
          <w:sz w:val="22"/>
          <w:lang w:val="es-ES_tradnl" w:eastAsia="es-ES"/>
        </w:rPr>
        <w:t xml:space="preserve">obligatorios para los procesos cuyo aviso de convocatoria se </w:t>
      </w:r>
      <w:r w:rsidR="00284E94">
        <w:rPr>
          <w:rFonts w:ascii="Arial" w:eastAsia="Calibri" w:hAnsi="Arial" w:cs="Arial"/>
          <w:color w:val="000000"/>
          <w:sz w:val="22"/>
          <w:lang w:val="es-ES_tradnl" w:eastAsia="es-ES"/>
        </w:rPr>
        <w:t>publiquen</w:t>
      </w:r>
      <w:r w:rsidR="00284E94" w:rsidRPr="00613C45">
        <w:rPr>
          <w:rFonts w:ascii="Arial" w:eastAsia="Calibri" w:hAnsi="Arial" w:cs="Arial"/>
          <w:color w:val="000000"/>
          <w:sz w:val="22"/>
          <w:lang w:val="es-ES_tradnl" w:eastAsia="es-ES"/>
        </w:rPr>
        <w:t xml:space="preserve"> desde el </w:t>
      </w:r>
      <w:r w:rsidR="00284E94">
        <w:rPr>
          <w:rFonts w:ascii="Arial" w:eastAsia="Calibri" w:hAnsi="Arial" w:cs="Arial"/>
          <w:color w:val="000000"/>
          <w:sz w:val="22"/>
          <w:lang w:val="es-ES_tradnl" w:eastAsia="es-ES"/>
        </w:rPr>
        <w:t>2</w:t>
      </w:r>
      <w:r w:rsidR="00284E94" w:rsidRPr="00613C45">
        <w:rPr>
          <w:rFonts w:ascii="Arial" w:eastAsia="Calibri" w:hAnsi="Arial" w:cs="Arial"/>
          <w:color w:val="000000"/>
          <w:sz w:val="22"/>
          <w:lang w:val="es-ES_tradnl" w:eastAsia="es-ES"/>
        </w:rPr>
        <w:t xml:space="preserve"> de </w:t>
      </w:r>
      <w:r w:rsidR="00284E94">
        <w:rPr>
          <w:rFonts w:ascii="Arial" w:eastAsia="Calibri" w:hAnsi="Arial" w:cs="Arial"/>
          <w:color w:val="000000"/>
          <w:sz w:val="22"/>
          <w:lang w:val="es-ES_tradnl" w:eastAsia="es-ES"/>
        </w:rPr>
        <w:t>noviembre</w:t>
      </w:r>
      <w:r w:rsidR="00284E94" w:rsidRPr="00613C45">
        <w:rPr>
          <w:rFonts w:ascii="Arial" w:eastAsia="Calibri" w:hAnsi="Arial" w:cs="Arial"/>
          <w:color w:val="000000"/>
          <w:sz w:val="22"/>
          <w:lang w:val="es-ES_tradnl" w:eastAsia="es-ES"/>
        </w:rPr>
        <w:t xml:space="preserve"> de </w:t>
      </w:r>
      <w:r w:rsidR="00284E94">
        <w:rPr>
          <w:rFonts w:ascii="Arial" w:eastAsia="Calibri" w:hAnsi="Arial" w:cs="Arial"/>
          <w:color w:val="000000"/>
          <w:sz w:val="22"/>
          <w:lang w:val="es-ES_tradnl" w:eastAsia="es-ES"/>
        </w:rPr>
        <w:t>2021.</w:t>
      </w:r>
    </w:p>
    <w:p w14:paraId="10D18FA9" w14:textId="77777777" w:rsidR="00FC631C" w:rsidRPr="00E42F80" w:rsidRDefault="00FC631C" w:rsidP="00FC631C">
      <w:pPr>
        <w:spacing w:before="120" w:line="276" w:lineRule="auto"/>
        <w:ind w:firstLine="709"/>
        <w:jc w:val="both"/>
        <w:rPr>
          <w:rFonts w:ascii="Arial" w:eastAsia="Calibri" w:hAnsi="Arial" w:cs="Arial"/>
          <w:color w:val="000000"/>
          <w:sz w:val="22"/>
          <w:lang w:val="es-ES_tradnl" w:eastAsia="es-ES"/>
        </w:rPr>
      </w:pPr>
    </w:p>
    <w:p w14:paraId="426B5DCA" w14:textId="3B5623DB" w:rsidR="00214878" w:rsidRPr="0014392D" w:rsidRDefault="00214878">
      <w:pPr>
        <w:spacing w:line="276" w:lineRule="auto"/>
        <w:jc w:val="both"/>
        <w:rPr>
          <w:rFonts w:ascii="Arial" w:eastAsia="Calibri" w:hAnsi="Arial" w:cs="Arial"/>
          <w:sz w:val="22"/>
        </w:rPr>
      </w:pPr>
      <w:r w:rsidRPr="0014392D">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CAE9096"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E18D53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57FC6667" w14:textId="1F27B692" w:rsidR="009C0366" w:rsidRPr="00D35139" w:rsidRDefault="00DF355B" w:rsidP="00D35139">
      <w:pPr>
        <w:spacing w:line="276" w:lineRule="auto"/>
        <w:jc w:val="center"/>
        <w:rPr>
          <w:rFonts w:ascii="Arial" w:hAnsi="Arial" w:cs="Arial"/>
          <w:noProof/>
          <w:lang w:val="en-US"/>
        </w:rPr>
      </w:pPr>
      <w:r>
        <w:rPr>
          <w:rFonts w:ascii="Arial" w:hAnsi="Arial" w:cs="Arial"/>
          <w:noProof/>
          <w:lang w:val="en-US"/>
        </w:rPr>
        <w:drawing>
          <wp:inline distT="0" distB="0" distL="0" distR="0" wp14:anchorId="5193BBE1" wp14:editId="4914DF16">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 SUBDIRECTOR.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6E54A1" w14:paraId="2E979D08" w14:textId="77777777" w:rsidTr="00C968EC">
        <w:trPr>
          <w:trHeight w:val="315"/>
        </w:trPr>
        <w:tc>
          <w:tcPr>
            <w:tcW w:w="812" w:type="dxa"/>
            <w:vAlign w:val="center"/>
          </w:tcPr>
          <w:p w14:paraId="1606F074"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lastRenderedPageBreak/>
              <w:t>Elaboró:</w:t>
            </w:r>
          </w:p>
        </w:tc>
        <w:tc>
          <w:tcPr>
            <w:tcW w:w="4413" w:type="dxa"/>
            <w:tcBorders>
              <w:bottom w:val="dotted" w:sz="4" w:space="0" w:color="7F7F7F" w:themeColor="text1" w:themeTint="80"/>
            </w:tcBorders>
            <w:vAlign w:val="center"/>
          </w:tcPr>
          <w:p w14:paraId="2343580D" w14:textId="7D6B0B75" w:rsidR="00214878" w:rsidRPr="006E54A1" w:rsidRDefault="008D7064"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 xml:space="preserve">Jorge Alberto García Calume </w:t>
            </w:r>
            <w:r w:rsidR="00A60725" w:rsidRPr="006E54A1">
              <w:rPr>
                <w:rFonts w:ascii="Arial" w:eastAsia="Times New Roman" w:hAnsi="Arial" w:cs="Arial"/>
                <w:sz w:val="14"/>
                <w:szCs w:val="14"/>
                <w:lang w:eastAsia="es-ES"/>
              </w:rPr>
              <w:t xml:space="preserve"> </w:t>
            </w:r>
          </w:p>
          <w:p w14:paraId="6995B041" w14:textId="5DBB425B" w:rsidR="00214878" w:rsidRPr="006E54A1" w:rsidRDefault="00A60725" w:rsidP="004B2EF6">
            <w:pPr>
              <w:rPr>
                <w:rFonts w:ascii="Arial" w:eastAsia="Times New Roman" w:hAnsi="Arial" w:cs="Arial"/>
                <w:sz w:val="14"/>
                <w:szCs w:val="14"/>
                <w:lang w:eastAsia="es-ES"/>
              </w:rPr>
            </w:pPr>
            <w:r w:rsidRPr="006E54A1">
              <w:rPr>
                <w:rFonts w:ascii="Arial" w:eastAsia="Times New Roman" w:hAnsi="Arial" w:cs="Arial"/>
                <w:sz w:val="14"/>
                <w:szCs w:val="14"/>
                <w:lang w:eastAsia="es-ES"/>
              </w:rPr>
              <w:t>Contratista</w:t>
            </w:r>
            <w:r w:rsidR="004B2EF6" w:rsidRPr="006E54A1">
              <w:rPr>
                <w:rFonts w:ascii="Arial" w:eastAsia="Times New Roman" w:hAnsi="Arial" w:cs="Arial"/>
                <w:sz w:val="14"/>
                <w:szCs w:val="14"/>
                <w:lang w:eastAsia="es-ES"/>
              </w:rPr>
              <w:t xml:space="preserve"> de la Subdirección de Gestión Contractual </w:t>
            </w:r>
            <w:r w:rsidRPr="006E54A1">
              <w:rPr>
                <w:rFonts w:ascii="Arial" w:eastAsia="Times New Roman" w:hAnsi="Arial" w:cs="Arial"/>
                <w:sz w:val="14"/>
                <w:szCs w:val="14"/>
                <w:lang w:eastAsia="es-ES"/>
              </w:rPr>
              <w:t xml:space="preserve"> </w:t>
            </w:r>
          </w:p>
        </w:tc>
      </w:tr>
      <w:tr w:rsidR="00CA7FEF" w:rsidRPr="006E54A1" w14:paraId="1EFBDAAD" w14:textId="77777777" w:rsidTr="00C968EC">
        <w:trPr>
          <w:trHeight w:val="330"/>
        </w:trPr>
        <w:tc>
          <w:tcPr>
            <w:tcW w:w="812" w:type="dxa"/>
            <w:vAlign w:val="center"/>
          </w:tcPr>
          <w:p w14:paraId="09701992" w14:textId="2354D3BE" w:rsidR="00214878" w:rsidRPr="006E54A1" w:rsidRDefault="001C3EF7" w:rsidP="00DF0F8E">
            <w:pPr>
              <w:rPr>
                <w:rFonts w:ascii="Arial" w:eastAsia="Times New Roman" w:hAnsi="Arial" w:cs="Arial"/>
                <w:sz w:val="14"/>
                <w:szCs w:val="14"/>
                <w:lang w:eastAsia="es-ES"/>
              </w:rPr>
            </w:pPr>
            <w:r>
              <w:rPr>
                <w:rFonts w:ascii="Arial" w:eastAsia="Times New Roman" w:hAnsi="Arial" w:cs="Arial"/>
                <w:sz w:val="14"/>
                <w:szCs w:val="14"/>
                <w:lang w:eastAsia="es-ES"/>
              </w:rPr>
              <w:t>Revisó</w:t>
            </w:r>
            <w:r w:rsidR="00214878" w:rsidRPr="006E54A1">
              <w:rPr>
                <w:rFonts w:ascii="Arial" w:eastAsia="Times New Roman" w:hAnsi="Arial" w:cs="Arial"/>
                <w:sz w:val="14"/>
                <w:szCs w:val="14"/>
                <w:lang w:eastAsia="es-ES"/>
              </w:rPr>
              <w:t>:</w:t>
            </w:r>
          </w:p>
        </w:tc>
        <w:tc>
          <w:tcPr>
            <w:tcW w:w="4413" w:type="dxa"/>
            <w:tcBorders>
              <w:top w:val="dotted" w:sz="4" w:space="0" w:color="7F7F7F" w:themeColor="text1" w:themeTint="80"/>
              <w:bottom w:val="dotted" w:sz="4" w:space="0" w:color="7F7F7F" w:themeColor="text1" w:themeTint="80"/>
            </w:tcBorders>
            <w:vAlign w:val="center"/>
          </w:tcPr>
          <w:p w14:paraId="350ECC8D" w14:textId="77777777" w:rsidR="001C3EF7" w:rsidRPr="002E58E3" w:rsidRDefault="001C3EF7" w:rsidP="001C3EF7">
            <w:pPr>
              <w:rPr>
                <w:rFonts w:ascii="Arial" w:hAnsi="Arial" w:cs="Arial"/>
                <w:color w:val="000000" w:themeColor="text1"/>
                <w:sz w:val="14"/>
                <w:szCs w:val="14"/>
                <w:lang w:eastAsia="es-ES"/>
              </w:rPr>
            </w:pPr>
            <w:r w:rsidRPr="002E58E3">
              <w:rPr>
                <w:rFonts w:ascii="Arial" w:hAnsi="Arial" w:cs="Arial"/>
                <w:color w:val="000000" w:themeColor="text1"/>
                <w:sz w:val="14"/>
                <w:szCs w:val="14"/>
                <w:lang w:eastAsia="es-ES"/>
              </w:rPr>
              <w:t>Alejandro Sarmiento Cantillo</w:t>
            </w:r>
          </w:p>
          <w:p w14:paraId="6B6BBB43" w14:textId="13CA07EE" w:rsidR="00291D34" w:rsidRPr="00291D34" w:rsidRDefault="001C3EF7" w:rsidP="001C3EF7">
            <w:pPr>
              <w:rPr>
                <w:rFonts w:ascii="Arial" w:hAnsi="Arial" w:cs="Arial"/>
                <w:sz w:val="14"/>
                <w:szCs w:val="14"/>
                <w:lang w:eastAsia="es-ES"/>
              </w:rPr>
            </w:pPr>
            <w:r w:rsidRPr="002E58E3">
              <w:rPr>
                <w:rFonts w:ascii="Arial" w:hAnsi="Arial" w:cs="Arial"/>
                <w:color w:val="000000" w:themeColor="text1"/>
                <w:sz w:val="14"/>
                <w:szCs w:val="14"/>
                <w:lang w:eastAsia="es-ES"/>
              </w:rPr>
              <w:t>Gestor T1-11 de la Subdirección de Gestión Contractual</w:t>
            </w:r>
          </w:p>
        </w:tc>
      </w:tr>
      <w:tr w:rsidR="00CA7FEF" w:rsidRPr="006E54A1" w14:paraId="24C3AA5B" w14:textId="77777777" w:rsidTr="00C968EC">
        <w:trPr>
          <w:trHeight w:val="300"/>
        </w:trPr>
        <w:tc>
          <w:tcPr>
            <w:tcW w:w="812" w:type="dxa"/>
            <w:vAlign w:val="center"/>
          </w:tcPr>
          <w:p w14:paraId="3F00D087" w14:textId="4D885B74" w:rsidR="00291D34" w:rsidRPr="006E54A1" w:rsidRDefault="00291D34" w:rsidP="00DF0F8E">
            <w:pPr>
              <w:rPr>
                <w:rFonts w:ascii="Arial" w:eastAsia="Times New Roman" w:hAnsi="Arial" w:cs="Arial"/>
                <w:sz w:val="14"/>
                <w:szCs w:val="14"/>
                <w:lang w:eastAsia="es-ES"/>
              </w:rPr>
            </w:pPr>
            <w:r>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3F04EF7" w14:textId="07397FED" w:rsidR="00291D34" w:rsidRPr="006E54A1" w:rsidRDefault="0014392D" w:rsidP="00DF0F8E">
            <w:pPr>
              <w:rPr>
                <w:rFonts w:ascii="Arial" w:hAnsi="Arial" w:cs="Arial"/>
                <w:sz w:val="14"/>
                <w:szCs w:val="14"/>
                <w:lang w:eastAsia="es-ES"/>
              </w:rPr>
            </w:pPr>
            <w:r w:rsidRPr="006E54A1">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845C24">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5DF2" w14:textId="77777777" w:rsidR="00AE08CE" w:rsidRDefault="00AE08CE">
      <w:r>
        <w:separator/>
      </w:r>
    </w:p>
  </w:endnote>
  <w:endnote w:type="continuationSeparator" w:id="0">
    <w:p w14:paraId="1AC30F8E" w14:textId="77777777" w:rsidR="00AE08CE" w:rsidRDefault="00AE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166C593F"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F355B">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F355B">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8303" w14:textId="77777777" w:rsidR="00AE08CE" w:rsidRDefault="00AE08CE">
      <w:r>
        <w:separator/>
      </w:r>
    </w:p>
  </w:footnote>
  <w:footnote w:type="continuationSeparator" w:id="0">
    <w:p w14:paraId="2EEB8215" w14:textId="77777777" w:rsidR="00AE08CE" w:rsidRDefault="00AE08CE">
      <w:r>
        <w:continuationSeparator/>
      </w:r>
    </w:p>
  </w:footnote>
  <w:footnote w:id="1">
    <w:p w14:paraId="4729CFD7" w14:textId="77777777" w:rsidR="005E4288" w:rsidRPr="00B17168" w:rsidRDefault="005E4288" w:rsidP="005E4288">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A174ADE" w14:textId="77777777" w:rsidR="005E4288" w:rsidRPr="00B17168" w:rsidRDefault="005E4288" w:rsidP="005E4288">
      <w:pPr>
        <w:pStyle w:val="Textonotapie"/>
        <w:ind w:firstLine="709"/>
        <w:jc w:val="both"/>
        <w:rPr>
          <w:rFonts w:ascii="Arial" w:hAnsi="Arial" w:cs="Arial"/>
          <w:sz w:val="19"/>
          <w:szCs w:val="19"/>
          <w:lang w:val="es-CO"/>
        </w:rPr>
      </w:pPr>
    </w:p>
  </w:footnote>
  <w:footnote w:id="2">
    <w:p w14:paraId="5A9FDF5E" w14:textId="77777777" w:rsidR="005E4288" w:rsidRPr="00B17168" w:rsidRDefault="005E4288" w:rsidP="005E4288">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w:t>
      </w:r>
      <w:r w:rsidRPr="00B17168">
        <w:rPr>
          <w:rFonts w:ascii="Arial" w:hAnsi="Arial" w:cs="Arial"/>
          <w:sz w:val="19"/>
          <w:szCs w:val="19"/>
          <w:lang w:val="es-CO"/>
        </w:rPr>
        <w:t xml:space="preserve">Ley 1882 de 2018: «Artículo 4. </w:t>
      </w:r>
      <w:r w:rsidRPr="00B1716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249063F" w14:textId="77777777" w:rsidR="005E4288" w:rsidRPr="00B17168" w:rsidRDefault="005E4288" w:rsidP="005E4288">
      <w:pPr>
        <w:pStyle w:val="Textonotapie"/>
        <w:ind w:firstLine="709"/>
        <w:jc w:val="both"/>
        <w:rPr>
          <w:rFonts w:ascii="Arial" w:hAnsi="Arial" w:cs="Arial"/>
          <w:sz w:val="19"/>
          <w:szCs w:val="19"/>
          <w:lang w:val="es-CO"/>
        </w:rPr>
      </w:pPr>
      <w:r w:rsidRPr="00B17168">
        <w:rPr>
          <w:rFonts w:ascii="Arial" w:hAnsi="Arial" w:cs="Arial"/>
          <w:sz w:val="19"/>
          <w:szCs w:val="19"/>
          <w:lang w:val="es-CO"/>
        </w:rPr>
        <w:t>»La facultad de adoptar documentos tipo la tendrá el Gobierno nacional, cuando lo considere necesario, en relación con otros contratos o procesos de selección.</w:t>
      </w:r>
    </w:p>
    <w:p w14:paraId="06816459" w14:textId="77777777" w:rsidR="005E4288" w:rsidRPr="00B17168" w:rsidRDefault="005E4288" w:rsidP="005E4288">
      <w:pPr>
        <w:pStyle w:val="Textonotapie"/>
        <w:ind w:firstLine="709"/>
        <w:jc w:val="both"/>
        <w:rPr>
          <w:rFonts w:ascii="Arial" w:hAnsi="Arial" w:cs="Arial"/>
          <w:sz w:val="19"/>
          <w:szCs w:val="19"/>
          <w:lang w:val="es-CO"/>
        </w:rPr>
      </w:pPr>
      <w:r w:rsidRPr="00B17168">
        <w:rPr>
          <w:rFonts w:ascii="Arial" w:hAnsi="Arial" w:cs="Arial"/>
          <w:sz w:val="19"/>
          <w:szCs w:val="19"/>
          <w:lang w:val="es-CO"/>
        </w:rPr>
        <w:t>»Los pliegos tipo se adoptarán por categorías de acuerdo con la cuantía de la contratación, según la reglamentación que expida el Gobierno nacional».</w:t>
      </w:r>
    </w:p>
    <w:p w14:paraId="2CF36C6C" w14:textId="77777777" w:rsidR="005E4288" w:rsidRPr="00B17168" w:rsidRDefault="005E4288" w:rsidP="005E4288">
      <w:pPr>
        <w:pStyle w:val="Textonotapie"/>
        <w:ind w:firstLine="709"/>
        <w:jc w:val="both"/>
        <w:rPr>
          <w:rFonts w:ascii="Arial" w:hAnsi="Arial" w:cs="Arial"/>
          <w:sz w:val="19"/>
          <w:szCs w:val="19"/>
          <w:lang w:val="es-CO"/>
        </w:rPr>
      </w:pPr>
    </w:p>
  </w:footnote>
  <w:footnote w:id="3">
    <w:p w14:paraId="119326A8" w14:textId="77777777" w:rsidR="005E4288" w:rsidRPr="00B17168" w:rsidRDefault="005E4288" w:rsidP="005E4288">
      <w:pPr>
        <w:pStyle w:val="Textonotapie"/>
        <w:ind w:firstLine="709"/>
        <w:jc w:val="both"/>
        <w:rPr>
          <w:rFonts w:ascii="Arial" w:hAnsi="Arial" w:cs="Arial"/>
          <w:sz w:val="19"/>
          <w:szCs w:val="19"/>
        </w:rPr>
      </w:pPr>
      <w:r w:rsidRPr="00B17168">
        <w:rPr>
          <w:rStyle w:val="Refdenotaalpie"/>
          <w:rFonts w:ascii="Arial" w:hAnsi="Arial" w:cs="Arial"/>
          <w:sz w:val="19"/>
          <w:szCs w:val="19"/>
        </w:rPr>
        <w:footnoteRef/>
      </w:r>
      <w:r w:rsidRPr="00B17168">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53EB014" w14:textId="77777777" w:rsidR="005E4288" w:rsidRPr="00B17168" w:rsidRDefault="005E4288" w:rsidP="005E4288">
      <w:pPr>
        <w:pStyle w:val="Textonotapie"/>
        <w:ind w:firstLine="709"/>
        <w:jc w:val="both"/>
        <w:rPr>
          <w:rFonts w:ascii="Arial" w:hAnsi="Arial" w:cs="Arial"/>
          <w:sz w:val="19"/>
          <w:szCs w:val="19"/>
        </w:rPr>
      </w:pPr>
    </w:p>
  </w:footnote>
  <w:footnote w:id="4">
    <w:p w14:paraId="487BF4E9" w14:textId="3F070473" w:rsidR="00AE24B8" w:rsidRDefault="00AE24B8" w:rsidP="00AE24B8">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En cuanto a las resoluciones vigentes, dicha regla se observa en el artículo 3 de las Resoluciones </w:t>
      </w:r>
      <w:bookmarkStart w:id="7" w:name="_Hlk82363077"/>
      <w:r>
        <w:rPr>
          <w:rFonts w:ascii="Arial" w:hAnsi="Arial" w:cs="Arial"/>
          <w:sz w:val="19"/>
          <w:szCs w:val="19"/>
          <w:lang w:val="es-ES"/>
        </w:rPr>
        <w:t>240 de 2020, 241 de 2020, así como en el artículo 2 de la Resolución 094 de 2020</w:t>
      </w:r>
      <w:bookmarkEnd w:id="7"/>
      <w:r>
        <w:rPr>
          <w:rFonts w:ascii="Arial" w:hAnsi="Arial" w:cs="Arial"/>
          <w:sz w:val="19"/>
          <w:szCs w:val="19"/>
          <w:lang w:val="es-ES"/>
        </w:rPr>
        <w:t>.</w:t>
      </w:r>
    </w:p>
    <w:p w14:paraId="566F5F44" w14:textId="77777777" w:rsidR="00AE24B8" w:rsidRDefault="00AE24B8" w:rsidP="00AE24B8">
      <w:pPr>
        <w:pStyle w:val="Textonotapie"/>
        <w:ind w:firstLine="709"/>
        <w:jc w:val="both"/>
        <w:rPr>
          <w:rFonts w:ascii="Arial" w:hAnsi="Arial" w:cs="Arial"/>
          <w:sz w:val="19"/>
          <w:szCs w:val="19"/>
          <w:lang w:val="es-ES"/>
        </w:rPr>
      </w:pPr>
    </w:p>
  </w:footnote>
  <w:footnote w:id="5">
    <w:p w14:paraId="09A69EA1" w14:textId="77777777" w:rsidR="00AE24B8" w:rsidRPr="004C512E" w:rsidRDefault="00AE24B8" w:rsidP="00AE24B8">
      <w:pPr>
        <w:pStyle w:val="Textonotapie"/>
        <w:ind w:firstLine="709"/>
        <w:jc w:val="both"/>
        <w:rPr>
          <w:rFonts w:ascii="Arial" w:hAnsi="Arial" w:cs="Arial"/>
          <w:color w:val="000000"/>
          <w:sz w:val="19"/>
          <w:szCs w:val="19"/>
        </w:rPr>
      </w:pPr>
      <w:r w:rsidRPr="004C512E">
        <w:rPr>
          <w:rStyle w:val="Refdenotaalpie"/>
          <w:rFonts w:ascii="Arial" w:hAnsi="Arial" w:cs="Arial"/>
          <w:color w:val="000000"/>
          <w:sz w:val="19"/>
          <w:szCs w:val="19"/>
        </w:rPr>
        <w:footnoteRef/>
      </w:r>
      <w:r w:rsidRPr="004C512E">
        <w:rPr>
          <w:rFonts w:ascii="Arial" w:hAnsi="Arial" w:cs="Arial"/>
          <w:color w:val="000000"/>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82041AE" w14:textId="77777777" w:rsidR="00AE24B8" w:rsidRPr="004C512E" w:rsidRDefault="00AE24B8" w:rsidP="00AE24B8">
      <w:pPr>
        <w:pStyle w:val="Textonotapie"/>
        <w:ind w:firstLine="709"/>
        <w:jc w:val="both"/>
        <w:rPr>
          <w:rFonts w:ascii="Arial" w:hAnsi="Arial" w:cs="Arial"/>
          <w:color w:val="000000"/>
          <w:sz w:val="19"/>
          <w:szCs w:val="19"/>
        </w:rPr>
      </w:pPr>
    </w:p>
  </w:footnote>
  <w:footnote w:id="6">
    <w:p w14:paraId="68849D14" w14:textId="77777777" w:rsidR="00AE24B8" w:rsidRPr="004C512E" w:rsidRDefault="00AE24B8" w:rsidP="00AE24B8">
      <w:pPr>
        <w:ind w:firstLine="709"/>
        <w:jc w:val="both"/>
        <w:rPr>
          <w:rFonts w:ascii="Arial" w:hAnsi="Arial" w:cs="Arial"/>
          <w:color w:val="000000"/>
          <w:sz w:val="19"/>
          <w:szCs w:val="19"/>
          <w:lang w:val="es-ES"/>
        </w:rPr>
      </w:pPr>
      <w:r w:rsidRPr="004C512E">
        <w:rPr>
          <w:rStyle w:val="Refdenotaalpie"/>
          <w:rFonts w:ascii="Arial" w:hAnsi="Arial" w:cs="Arial"/>
          <w:color w:val="000000"/>
          <w:sz w:val="19"/>
          <w:szCs w:val="19"/>
        </w:rPr>
        <w:footnoteRef/>
      </w:r>
      <w:r w:rsidRPr="004C512E">
        <w:rPr>
          <w:rFonts w:ascii="Arial" w:hAnsi="Arial" w:cs="Arial"/>
          <w:color w:val="000000"/>
          <w:sz w:val="19"/>
          <w:szCs w:val="19"/>
        </w:rPr>
        <w:t xml:space="preserve"> </w:t>
      </w:r>
      <w:r w:rsidRPr="004C512E">
        <w:rPr>
          <w:rFonts w:ascii="Arial" w:hAnsi="Arial" w:cs="Arial"/>
          <w:color w:val="000000"/>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428B058C" w14:textId="77777777" w:rsidR="00AE24B8" w:rsidRPr="004C512E" w:rsidRDefault="00AE24B8" w:rsidP="00AE24B8">
      <w:pPr>
        <w:ind w:firstLine="709"/>
        <w:jc w:val="both"/>
        <w:rPr>
          <w:rFonts w:ascii="Arial" w:hAnsi="Arial" w:cs="Arial"/>
          <w:color w:val="000000"/>
          <w:sz w:val="19"/>
          <w:szCs w:val="19"/>
          <w:lang w:val="es-ES"/>
        </w:rPr>
      </w:pPr>
    </w:p>
  </w:footnote>
  <w:footnote w:id="7">
    <w:p w14:paraId="6B2AFEE7" w14:textId="77777777" w:rsidR="006D25A2" w:rsidRPr="00806285" w:rsidRDefault="006D25A2" w:rsidP="006D25A2">
      <w:pPr>
        <w:pStyle w:val="Textonotapie"/>
        <w:ind w:firstLine="708"/>
        <w:jc w:val="both"/>
        <w:rPr>
          <w:rFonts w:ascii="Arial" w:hAnsi="Arial" w:cs="Arial"/>
          <w:bCs/>
          <w:sz w:val="19"/>
          <w:szCs w:val="19"/>
          <w:lang w:val="es-ES"/>
        </w:rPr>
      </w:pPr>
      <w:r w:rsidRPr="00DC44C8">
        <w:rPr>
          <w:rStyle w:val="Refdenotaalpie"/>
          <w:rFonts w:ascii="Arial" w:hAnsi="Arial" w:cs="Arial"/>
          <w:sz w:val="19"/>
          <w:szCs w:val="19"/>
        </w:rPr>
        <w:footnoteRef/>
      </w:r>
      <w:r w:rsidRPr="00DC44C8">
        <w:rPr>
          <w:rFonts w:ascii="Arial" w:hAnsi="Arial" w:cs="Arial"/>
          <w:sz w:val="19"/>
          <w:szCs w:val="19"/>
        </w:rPr>
        <w:t xml:space="preserve"> </w:t>
      </w:r>
      <w:r w:rsidRPr="00806285">
        <w:rPr>
          <w:rFonts w:ascii="Arial" w:hAnsi="Arial" w:cs="Arial"/>
          <w:bCs/>
          <w:sz w:val="19"/>
          <w:szCs w:val="19"/>
          <w:lang w:val="es-ES"/>
        </w:rPr>
        <w:t xml:space="preserve">Sobre este aspecto, </w:t>
      </w:r>
      <w:r>
        <w:rPr>
          <w:rFonts w:ascii="Arial" w:hAnsi="Arial" w:cs="Arial"/>
          <w:bCs/>
          <w:sz w:val="19"/>
          <w:szCs w:val="19"/>
          <w:lang w:val="es-ES"/>
        </w:rPr>
        <w:t>la guía explica que «</w:t>
      </w:r>
      <w:r w:rsidRPr="00806285">
        <w:rPr>
          <w:rFonts w:ascii="Arial" w:hAnsi="Arial" w:cs="Arial"/>
          <w:bCs/>
          <w:sz w:val="19"/>
          <w:szCs w:val="19"/>
          <w:lang w:val="es-CO"/>
        </w:rPr>
        <w:t>Quien incumpla los parámetros definidos en el Decreto 1082 de 2015 y en los Documentos Tipo responderá ante las autoridades correspondientes. Por tanto, quien evidencie el incumplimiento de las condiciones de los Documentos Tipo debe hacer la denuncia correspondiente a las autoridades competentes. Por tal razón, es importante resaltar la labor colaborativa que realizan los interesados en los procesos de selección, para establecer e identificar las oportunidades de mejora, e identificar las situaciones contrarias a la normativa vigente</w:t>
      </w:r>
      <w:r>
        <w:rPr>
          <w:rFonts w:ascii="Arial" w:hAnsi="Arial" w:cs="Arial"/>
          <w:bCs/>
          <w:sz w:val="19"/>
          <w:szCs w:val="19"/>
          <w:lang w:val="es-CO"/>
        </w:rPr>
        <w:t xml:space="preserve">» (Cfr. </w:t>
      </w:r>
      <w:hyperlink r:id="rId1" w:history="1">
        <w:r w:rsidRPr="00DC44C8">
          <w:rPr>
            <w:rStyle w:val="Hipervnculo"/>
            <w:rFonts w:ascii="Arial" w:hAnsi="Arial" w:cs="Arial"/>
            <w:bCs/>
            <w:color w:val="0E63A8" w:themeColor="text2"/>
            <w:sz w:val="19"/>
            <w:szCs w:val="19"/>
            <w:lang w:val="es-CO"/>
          </w:rPr>
          <w:t>https://www.colombiacompra.gov.co/sites/cce_public/files/cce_documents/guia_para_la_comprension_e_implementacion_de_los_documentos_tipo_obra_publica_de_infraestructura_transporte_-_cce-eicp-gi12.pdf</w:t>
        </w:r>
      </w:hyperlink>
      <w:r>
        <w:rPr>
          <w:rFonts w:ascii="Arial" w:hAnsi="Arial" w:cs="Arial"/>
          <w:bCs/>
          <w:sz w:val="19"/>
          <w:szCs w:val="19"/>
          <w:lang w:val="es-CO"/>
        </w:rPr>
        <w:t>)</w:t>
      </w:r>
      <w:r w:rsidRPr="00806285">
        <w:rPr>
          <w:rFonts w:ascii="Arial" w:hAnsi="Arial" w:cs="Arial"/>
          <w:bCs/>
          <w:sz w:val="19"/>
          <w:szCs w:val="19"/>
          <w:lang w:val="es-CO"/>
        </w:rPr>
        <w:t xml:space="preserve">. </w:t>
      </w:r>
      <w:r w:rsidRPr="00806285">
        <w:rPr>
          <w:rFonts w:ascii="Arial" w:hAnsi="Arial" w:cs="Arial"/>
          <w:bCs/>
          <w:sz w:val="19"/>
          <w:szCs w:val="19"/>
          <w:lang w:val="es-ES"/>
        </w:rPr>
        <w:t xml:space="preserve"> </w:t>
      </w:r>
      <w:r w:rsidRPr="00806285">
        <w:rPr>
          <w:rFonts w:ascii="Arial" w:hAnsi="Arial" w:cs="Arial"/>
          <w:sz w:val="19"/>
          <w:szCs w:val="19"/>
          <w:lang w:val="es-CO"/>
        </w:rPr>
        <w:t xml:space="preserve">  </w:t>
      </w:r>
    </w:p>
    <w:p w14:paraId="6B81D0A3" w14:textId="77777777" w:rsidR="006D25A2" w:rsidRPr="00DC44C8" w:rsidRDefault="006D25A2" w:rsidP="006D25A2">
      <w:pPr>
        <w:pStyle w:val="Textonotapie"/>
        <w:ind w:firstLine="708"/>
        <w:jc w:val="both"/>
        <w:rPr>
          <w:rFonts w:ascii="Arial" w:hAnsi="Arial" w:cs="Arial"/>
          <w:sz w:val="19"/>
          <w:szCs w:val="19"/>
          <w:lang w:val="es-ES"/>
        </w:rPr>
      </w:pPr>
    </w:p>
  </w:footnote>
  <w:footnote w:id="8">
    <w:p w14:paraId="6E2DECA1" w14:textId="77777777" w:rsidR="006D25A2" w:rsidRPr="00DC44C8" w:rsidRDefault="006D25A2" w:rsidP="006D25A2">
      <w:pPr>
        <w:pStyle w:val="Textonotapie"/>
        <w:ind w:firstLine="708"/>
        <w:jc w:val="both"/>
        <w:rPr>
          <w:rFonts w:ascii="Arial" w:hAnsi="Arial" w:cs="Arial"/>
          <w:sz w:val="19"/>
          <w:szCs w:val="19"/>
          <w:lang w:val="es-ES"/>
        </w:rPr>
      </w:pPr>
      <w:r w:rsidRPr="00DC44C8">
        <w:rPr>
          <w:rStyle w:val="Refdenotaalpie"/>
          <w:rFonts w:ascii="Arial" w:hAnsi="Arial" w:cs="Arial"/>
          <w:sz w:val="19"/>
          <w:szCs w:val="19"/>
        </w:rPr>
        <w:footnoteRef/>
      </w:r>
      <w:r w:rsidRPr="00DC44C8">
        <w:rPr>
          <w:rFonts w:ascii="Arial" w:hAnsi="Arial" w:cs="Arial"/>
          <w:sz w:val="19"/>
          <w:szCs w:val="19"/>
        </w:rPr>
        <w:t xml:space="preserve"> </w:t>
      </w:r>
      <w:r>
        <w:rPr>
          <w:rFonts w:ascii="Arial" w:hAnsi="Arial" w:cs="Arial"/>
          <w:sz w:val="19"/>
          <w:szCs w:val="19"/>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6817AF"/>
    <w:multiLevelType w:val="multilevel"/>
    <w:tmpl w:val="6C660E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0D60CBB"/>
    <w:multiLevelType w:val="multilevel"/>
    <w:tmpl w:val="6C660E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584BC3"/>
    <w:multiLevelType w:val="hybridMultilevel"/>
    <w:tmpl w:val="0812EBB2"/>
    <w:lvl w:ilvl="0" w:tplc="D0088260">
      <w:start w:val="1"/>
      <w:numFmt w:val="decimal"/>
      <w:lvlText w:val="%1."/>
      <w:lvlJc w:val="left"/>
      <w:pPr>
        <w:ind w:left="1069" w:hanging="360"/>
      </w:pPr>
      <w:rPr>
        <w:rFonts w:hint="default"/>
        <w:b w:val="0"/>
        <w:sz w:val="21"/>
        <w:szCs w:val="2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2"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51B4EC2"/>
    <w:multiLevelType w:val="multilevel"/>
    <w:tmpl w:val="E050E366"/>
    <w:lvl w:ilvl="0">
      <w:start w:val="1"/>
      <w:numFmt w:val="decimal"/>
      <w:lvlText w:val="%1."/>
      <w:lvlJc w:val="left"/>
      <w:pPr>
        <w:ind w:left="1069" w:hanging="360"/>
      </w:pPr>
      <w:rPr>
        <w:rFonts w:hint="default"/>
      </w:rPr>
    </w:lvl>
    <w:lvl w:ilvl="1">
      <w:start w:val="1"/>
      <w:numFmt w:val="decimal"/>
      <w:isLgl/>
      <w:lvlText w:val="%1.%2."/>
      <w:lvlJc w:val="left"/>
      <w:pPr>
        <w:ind w:left="7383"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E280756"/>
    <w:multiLevelType w:val="multilevel"/>
    <w:tmpl w:val="D79AA686"/>
    <w:lvl w:ilvl="0">
      <w:start w:val="1"/>
      <w:numFmt w:val="decimal"/>
      <w:lvlText w:val="%1."/>
      <w:lvlJc w:val="left"/>
      <w:pPr>
        <w:ind w:left="525" w:hanging="360"/>
        <w:jc w:val="righ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2244" w:hanging="425"/>
      </w:pPr>
      <w:rPr>
        <w:rFonts w:hint="default"/>
        <w:lang w:val="es-ES" w:eastAsia="en-US" w:bidi="ar-SA"/>
      </w:rPr>
    </w:lvl>
    <w:lvl w:ilvl="3">
      <w:numFmt w:val="bullet"/>
      <w:lvlText w:val="•"/>
      <w:lvlJc w:val="left"/>
      <w:pPr>
        <w:ind w:left="3106" w:hanging="425"/>
      </w:pPr>
      <w:rPr>
        <w:rFonts w:hint="default"/>
        <w:lang w:val="es-ES" w:eastAsia="en-US" w:bidi="ar-SA"/>
      </w:rPr>
    </w:lvl>
    <w:lvl w:ilvl="4">
      <w:numFmt w:val="bullet"/>
      <w:lvlText w:val="•"/>
      <w:lvlJc w:val="left"/>
      <w:pPr>
        <w:ind w:left="3968" w:hanging="425"/>
      </w:pPr>
      <w:rPr>
        <w:rFonts w:hint="default"/>
        <w:lang w:val="es-ES" w:eastAsia="en-US" w:bidi="ar-SA"/>
      </w:rPr>
    </w:lvl>
    <w:lvl w:ilvl="5">
      <w:numFmt w:val="bullet"/>
      <w:lvlText w:val="•"/>
      <w:lvlJc w:val="left"/>
      <w:pPr>
        <w:ind w:left="4830" w:hanging="425"/>
      </w:pPr>
      <w:rPr>
        <w:rFonts w:hint="default"/>
        <w:lang w:val="es-ES" w:eastAsia="en-US" w:bidi="ar-SA"/>
      </w:rPr>
    </w:lvl>
    <w:lvl w:ilvl="6">
      <w:numFmt w:val="bullet"/>
      <w:lvlText w:val="•"/>
      <w:lvlJc w:val="left"/>
      <w:pPr>
        <w:ind w:left="5692" w:hanging="425"/>
      </w:pPr>
      <w:rPr>
        <w:rFonts w:hint="default"/>
        <w:lang w:val="es-ES" w:eastAsia="en-US" w:bidi="ar-SA"/>
      </w:rPr>
    </w:lvl>
    <w:lvl w:ilvl="7">
      <w:numFmt w:val="bullet"/>
      <w:lvlText w:val="•"/>
      <w:lvlJc w:val="left"/>
      <w:pPr>
        <w:ind w:left="6554" w:hanging="425"/>
      </w:pPr>
      <w:rPr>
        <w:rFonts w:hint="default"/>
        <w:lang w:val="es-ES" w:eastAsia="en-US" w:bidi="ar-SA"/>
      </w:rPr>
    </w:lvl>
    <w:lvl w:ilvl="8">
      <w:numFmt w:val="bullet"/>
      <w:lvlText w:val="•"/>
      <w:lvlJc w:val="left"/>
      <w:pPr>
        <w:ind w:left="7416" w:hanging="425"/>
      </w:pPr>
      <w:rPr>
        <w:rFonts w:hint="default"/>
        <w:lang w:val="es-ES" w:eastAsia="en-US" w:bidi="ar-SA"/>
      </w:rPr>
    </w:lvl>
  </w:abstractNum>
  <w:num w:numId="1">
    <w:abstractNumId w:val="5"/>
  </w:num>
  <w:num w:numId="2">
    <w:abstractNumId w:val="4"/>
  </w:num>
  <w:num w:numId="3">
    <w:abstractNumId w:val="7"/>
  </w:num>
  <w:num w:numId="4">
    <w:abstractNumId w:val="9"/>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4"/>
  </w:num>
  <w:num w:numId="10">
    <w:abstractNumId w:val="13"/>
  </w:num>
  <w:num w:numId="11">
    <w:abstractNumId w:val="17"/>
  </w:num>
  <w:num w:numId="12">
    <w:abstractNumId w:val="16"/>
  </w:num>
  <w:num w:numId="13">
    <w:abstractNumId w:val="8"/>
  </w:num>
  <w:num w:numId="14">
    <w:abstractNumId w:val="12"/>
  </w:num>
  <w:num w:numId="15">
    <w:abstractNumId w:val="11"/>
  </w:num>
  <w:num w:numId="16">
    <w:abstractNumId w:val="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F9B"/>
    <w:rsid w:val="00004AC0"/>
    <w:rsid w:val="0000537F"/>
    <w:rsid w:val="00007845"/>
    <w:rsid w:val="00015DF9"/>
    <w:rsid w:val="000162C3"/>
    <w:rsid w:val="00016DCE"/>
    <w:rsid w:val="00023000"/>
    <w:rsid w:val="00023BE4"/>
    <w:rsid w:val="00023C87"/>
    <w:rsid w:val="0002455A"/>
    <w:rsid w:val="0002551F"/>
    <w:rsid w:val="00031FC6"/>
    <w:rsid w:val="0003324A"/>
    <w:rsid w:val="00033B21"/>
    <w:rsid w:val="00035210"/>
    <w:rsid w:val="00036204"/>
    <w:rsid w:val="00043688"/>
    <w:rsid w:val="0004523D"/>
    <w:rsid w:val="00047DB1"/>
    <w:rsid w:val="00053410"/>
    <w:rsid w:val="00056788"/>
    <w:rsid w:val="00060398"/>
    <w:rsid w:val="00062EA8"/>
    <w:rsid w:val="00064E2F"/>
    <w:rsid w:val="00065BD4"/>
    <w:rsid w:val="000709B9"/>
    <w:rsid w:val="00074108"/>
    <w:rsid w:val="00074665"/>
    <w:rsid w:val="000754F9"/>
    <w:rsid w:val="00083466"/>
    <w:rsid w:val="00086C1E"/>
    <w:rsid w:val="00086FD4"/>
    <w:rsid w:val="00091D97"/>
    <w:rsid w:val="00091F03"/>
    <w:rsid w:val="0009351A"/>
    <w:rsid w:val="000942EB"/>
    <w:rsid w:val="00094C59"/>
    <w:rsid w:val="000950AA"/>
    <w:rsid w:val="000A3D48"/>
    <w:rsid w:val="000A711E"/>
    <w:rsid w:val="000A785D"/>
    <w:rsid w:val="000B103F"/>
    <w:rsid w:val="000B2127"/>
    <w:rsid w:val="000B6AB4"/>
    <w:rsid w:val="000C0959"/>
    <w:rsid w:val="000C19E1"/>
    <w:rsid w:val="000C3AD6"/>
    <w:rsid w:val="000C3D67"/>
    <w:rsid w:val="000C7EFD"/>
    <w:rsid w:val="000D02B3"/>
    <w:rsid w:val="000D0CE3"/>
    <w:rsid w:val="000D37B2"/>
    <w:rsid w:val="000D3A92"/>
    <w:rsid w:val="000D4A92"/>
    <w:rsid w:val="000E1BF2"/>
    <w:rsid w:val="000E4B5C"/>
    <w:rsid w:val="000E699E"/>
    <w:rsid w:val="000E730C"/>
    <w:rsid w:val="000F14E8"/>
    <w:rsid w:val="000F18A6"/>
    <w:rsid w:val="00101D47"/>
    <w:rsid w:val="00103915"/>
    <w:rsid w:val="0010483C"/>
    <w:rsid w:val="00110320"/>
    <w:rsid w:val="001103A2"/>
    <w:rsid w:val="00113958"/>
    <w:rsid w:val="00121CD3"/>
    <w:rsid w:val="00122B23"/>
    <w:rsid w:val="00123889"/>
    <w:rsid w:val="00125924"/>
    <w:rsid w:val="001332FB"/>
    <w:rsid w:val="001353DC"/>
    <w:rsid w:val="0013568D"/>
    <w:rsid w:val="00136B87"/>
    <w:rsid w:val="0013799F"/>
    <w:rsid w:val="00137BCE"/>
    <w:rsid w:val="00137FFA"/>
    <w:rsid w:val="00141FAC"/>
    <w:rsid w:val="001428A2"/>
    <w:rsid w:val="001437AF"/>
    <w:rsid w:val="0014392D"/>
    <w:rsid w:val="00143A66"/>
    <w:rsid w:val="001447A1"/>
    <w:rsid w:val="00146667"/>
    <w:rsid w:val="0015440E"/>
    <w:rsid w:val="00160F0C"/>
    <w:rsid w:val="00161B7E"/>
    <w:rsid w:val="00166ABB"/>
    <w:rsid w:val="00166B32"/>
    <w:rsid w:val="0017007F"/>
    <w:rsid w:val="00175FDC"/>
    <w:rsid w:val="0018007B"/>
    <w:rsid w:val="001819EF"/>
    <w:rsid w:val="001821C5"/>
    <w:rsid w:val="00193EFC"/>
    <w:rsid w:val="001A3B23"/>
    <w:rsid w:val="001A43FB"/>
    <w:rsid w:val="001A695E"/>
    <w:rsid w:val="001A7009"/>
    <w:rsid w:val="001B493A"/>
    <w:rsid w:val="001C01AC"/>
    <w:rsid w:val="001C12E3"/>
    <w:rsid w:val="001C3EF7"/>
    <w:rsid w:val="001C47C6"/>
    <w:rsid w:val="001C67D0"/>
    <w:rsid w:val="001C6B55"/>
    <w:rsid w:val="001D0521"/>
    <w:rsid w:val="001E0106"/>
    <w:rsid w:val="001E0B25"/>
    <w:rsid w:val="001E3A55"/>
    <w:rsid w:val="001E62AF"/>
    <w:rsid w:val="001E7A56"/>
    <w:rsid w:val="001F2468"/>
    <w:rsid w:val="001F29DD"/>
    <w:rsid w:val="001F2A9C"/>
    <w:rsid w:val="002002A3"/>
    <w:rsid w:val="0020089D"/>
    <w:rsid w:val="00202F2E"/>
    <w:rsid w:val="002106C7"/>
    <w:rsid w:val="00210BA1"/>
    <w:rsid w:val="0021312A"/>
    <w:rsid w:val="00213765"/>
    <w:rsid w:val="00214878"/>
    <w:rsid w:val="00220DCB"/>
    <w:rsid w:val="00224AFF"/>
    <w:rsid w:val="00227133"/>
    <w:rsid w:val="00230492"/>
    <w:rsid w:val="00231C01"/>
    <w:rsid w:val="002330A3"/>
    <w:rsid w:val="002346FC"/>
    <w:rsid w:val="00234B84"/>
    <w:rsid w:val="00234CAF"/>
    <w:rsid w:val="00237377"/>
    <w:rsid w:val="00240AD0"/>
    <w:rsid w:val="002411E9"/>
    <w:rsid w:val="002422E2"/>
    <w:rsid w:val="00242ED7"/>
    <w:rsid w:val="0024480D"/>
    <w:rsid w:val="002454B3"/>
    <w:rsid w:val="00245A8B"/>
    <w:rsid w:val="00250EB5"/>
    <w:rsid w:val="0025153E"/>
    <w:rsid w:val="0025502B"/>
    <w:rsid w:val="00255AFA"/>
    <w:rsid w:val="0026156A"/>
    <w:rsid w:val="0026186C"/>
    <w:rsid w:val="00261A2E"/>
    <w:rsid w:val="002630D9"/>
    <w:rsid w:val="002706B4"/>
    <w:rsid w:val="0027296B"/>
    <w:rsid w:val="0027359F"/>
    <w:rsid w:val="00280E65"/>
    <w:rsid w:val="00283E11"/>
    <w:rsid w:val="00284E94"/>
    <w:rsid w:val="00286DB6"/>
    <w:rsid w:val="00287A42"/>
    <w:rsid w:val="002918F7"/>
    <w:rsid w:val="00291D34"/>
    <w:rsid w:val="002932EB"/>
    <w:rsid w:val="00293C69"/>
    <w:rsid w:val="00294025"/>
    <w:rsid w:val="00294A08"/>
    <w:rsid w:val="002A36A9"/>
    <w:rsid w:val="002A4D54"/>
    <w:rsid w:val="002A72FB"/>
    <w:rsid w:val="002B1F1E"/>
    <w:rsid w:val="002B23AD"/>
    <w:rsid w:val="002B3D4E"/>
    <w:rsid w:val="002B5788"/>
    <w:rsid w:val="002B681C"/>
    <w:rsid w:val="002C3D5A"/>
    <w:rsid w:val="002C567D"/>
    <w:rsid w:val="002C60E5"/>
    <w:rsid w:val="002C71CA"/>
    <w:rsid w:val="002C7E55"/>
    <w:rsid w:val="002C7E5B"/>
    <w:rsid w:val="002D1AA6"/>
    <w:rsid w:val="002D7662"/>
    <w:rsid w:val="002D7A0C"/>
    <w:rsid w:val="002E1753"/>
    <w:rsid w:val="002E6F9C"/>
    <w:rsid w:val="002E7375"/>
    <w:rsid w:val="002E79A9"/>
    <w:rsid w:val="002F2195"/>
    <w:rsid w:val="002F33C3"/>
    <w:rsid w:val="002F36CC"/>
    <w:rsid w:val="003011A3"/>
    <w:rsid w:val="00301AA5"/>
    <w:rsid w:val="00303001"/>
    <w:rsid w:val="003033BA"/>
    <w:rsid w:val="00305947"/>
    <w:rsid w:val="00306259"/>
    <w:rsid w:val="003067C4"/>
    <w:rsid w:val="00313908"/>
    <w:rsid w:val="00314939"/>
    <w:rsid w:val="003159B5"/>
    <w:rsid w:val="00315C98"/>
    <w:rsid w:val="00315D81"/>
    <w:rsid w:val="0032142F"/>
    <w:rsid w:val="00323084"/>
    <w:rsid w:val="00323E51"/>
    <w:rsid w:val="0033352A"/>
    <w:rsid w:val="00333DBC"/>
    <w:rsid w:val="00341A74"/>
    <w:rsid w:val="0034680A"/>
    <w:rsid w:val="003471F9"/>
    <w:rsid w:val="0034781E"/>
    <w:rsid w:val="00352311"/>
    <w:rsid w:val="003544BB"/>
    <w:rsid w:val="0035574B"/>
    <w:rsid w:val="00356E6F"/>
    <w:rsid w:val="003600DB"/>
    <w:rsid w:val="00362481"/>
    <w:rsid w:val="00362FC9"/>
    <w:rsid w:val="00363113"/>
    <w:rsid w:val="003644CA"/>
    <w:rsid w:val="003651F1"/>
    <w:rsid w:val="003657FD"/>
    <w:rsid w:val="00372B16"/>
    <w:rsid w:val="003751BE"/>
    <w:rsid w:val="00376566"/>
    <w:rsid w:val="00385468"/>
    <w:rsid w:val="00386456"/>
    <w:rsid w:val="00387590"/>
    <w:rsid w:val="00392F03"/>
    <w:rsid w:val="003945B8"/>
    <w:rsid w:val="00395355"/>
    <w:rsid w:val="00395C94"/>
    <w:rsid w:val="00395FBF"/>
    <w:rsid w:val="003A1AAE"/>
    <w:rsid w:val="003A581E"/>
    <w:rsid w:val="003A78B6"/>
    <w:rsid w:val="003B0B5A"/>
    <w:rsid w:val="003B17C7"/>
    <w:rsid w:val="003B4F39"/>
    <w:rsid w:val="003C0C02"/>
    <w:rsid w:val="003C43B0"/>
    <w:rsid w:val="003C44BC"/>
    <w:rsid w:val="003C4E7C"/>
    <w:rsid w:val="003C7776"/>
    <w:rsid w:val="003C7A96"/>
    <w:rsid w:val="003D14E8"/>
    <w:rsid w:val="003D2AA2"/>
    <w:rsid w:val="003D4BB2"/>
    <w:rsid w:val="003D7DB6"/>
    <w:rsid w:val="003E2E1F"/>
    <w:rsid w:val="003E4ED2"/>
    <w:rsid w:val="003F2F99"/>
    <w:rsid w:val="003F6F8C"/>
    <w:rsid w:val="00400DDE"/>
    <w:rsid w:val="00405662"/>
    <w:rsid w:val="004058CB"/>
    <w:rsid w:val="00410870"/>
    <w:rsid w:val="004110F1"/>
    <w:rsid w:val="00414A77"/>
    <w:rsid w:val="00416A8C"/>
    <w:rsid w:val="00416B88"/>
    <w:rsid w:val="00417402"/>
    <w:rsid w:val="0042132A"/>
    <w:rsid w:val="004244B4"/>
    <w:rsid w:val="00424964"/>
    <w:rsid w:val="00426EA5"/>
    <w:rsid w:val="00427B8C"/>
    <w:rsid w:val="00430990"/>
    <w:rsid w:val="0043152C"/>
    <w:rsid w:val="00431C82"/>
    <w:rsid w:val="00432163"/>
    <w:rsid w:val="00434BC9"/>
    <w:rsid w:val="004422D6"/>
    <w:rsid w:val="00442720"/>
    <w:rsid w:val="00443F10"/>
    <w:rsid w:val="00445F18"/>
    <w:rsid w:val="004513E8"/>
    <w:rsid w:val="00462527"/>
    <w:rsid w:val="00462A3E"/>
    <w:rsid w:val="0046320D"/>
    <w:rsid w:val="0046742B"/>
    <w:rsid w:val="00467950"/>
    <w:rsid w:val="004711A6"/>
    <w:rsid w:val="00477B6D"/>
    <w:rsid w:val="00482FCA"/>
    <w:rsid w:val="00483490"/>
    <w:rsid w:val="00487048"/>
    <w:rsid w:val="0048706D"/>
    <w:rsid w:val="00490869"/>
    <w:rsid w:val="0049197E"/>
    <w:rsid w:val="0049309B"/>
    <w:rsid w:val="00493EF0"/>
    <w:rsid w:val="004A1547"/>
    <w:rsid w:val="004A34D2"/>
    <w:rsid w:val="004A51B7"/>
    <w:rsid w:val="004A5898"/>
    <w:rsid w:val="004B2EF6"/>
    <w:rsid w:val="004B5A38"/>
    <w:rsid w:val="004B6213"/>
    <w:rsid w:val="004B62BE"/>
    <w:rsid w:val="004B639A"/>
    <w:rsid w:val="004C35C3"/>
    <w:rsid w:val="004C56C4"/>
    <w:rsid w:val="004C64DF"/>
    <w:rsid w:val="004D021E"/>
    <w:rsid w:val="004D2202"/>
    <w:rsid w:val="004D2FE0"/>
    <w:rsid w:val="004D6F1F"/>
    <w:rsid w:val="004E2C1F"/>
    <w:rsid w:val="004E2DEA"/>
    <w:rsid w:val="004E420A"/>
    <w:rsid w:val="004E6117"/>
    <w:rsid w:val="004E6356"/>
    <w:rsid w:val="004E7B4A"/>
    <w:rsid w:val="004F1A74"/>
    <w:rsid w:val="004F2D5F"/>
    <w:rsid w:val="004F39DB"/>
    <w:rsid w:val="004F3CEB"/>
    <w:rsid w:val="004F3E22"/>
    <w:rsid w:val="004F4C0F"/>
    <w:rsid w:val="0050193D"/>
    <w:rsid w:val="00501AD2"/>
    <w:rsid w:val="00504B90"/>
    <w:rsid w:val="00505907"/>
    <w:rsid w:val="00507523"/>
    <w:rsid w:val="00507B55"/>
    <w:rsid w:val="0051074C"/>
    <w:rsid w:val="00512238"/>
    <w:rsid w:val="00512714"/>
    <w:rsid w:val="00513AF2"/>
    <w:rsid w:val="0051416A"/>
    <w:rsid w:val="00517832"/>
    <w:rsid w:val="00525C51"/>
    <w:rsid w:val="005356EA"/>
    <w:rsid w:val="0053681E"/>
    <w:rsid w:val="0054229C"/>
    <w:rsid w:val="005427CF"/>
    <w:rsid w:val="00542E18"/>
    <w:rsid w:val="0054413A"/>
    <w:rsid w:val="00546CA7"/>
    <w:rsid w:val="00550FD8"/>
    <w:rsid w:val="00553A50"/>
    <w:rsid w:val="00553EAD"/>
    <w:rsid w:val="005541AF"/>
    <w:rsid w:val="00555237"/>
    <w:rsid w:val="005564CA"/>
    <w:rsid w:val="00557010"/>
    <w:rsid w:val="00557C64"/>
    <w:rsid w:val="0056302E"/>
    <w:rsid w:val="005637B5"/>
    <w:rsid w:val="00565602"/>
    <w:rsid w:val="00566674"/>
    <w:rsid w:val="00572EF9"/>
    <w:rsid w:val="00576385"/>
    <w:rsid w:val="005776D4"/>
    <w:rsid w:val="005838F7"/>
    <w:rsid w:val="005909E4"/>
    <w:rsid w:val="00592B9B"/>
    <w:rsid w:val="005A3893"/>
    <w:rsid w:val="005A4AEC"/>
    <w:rsid w:val="005A7711"/>
    <w:rsid w:val="005B0CD4"/>
    <w:rsid w:val="005B11C6"/>
    <w:rsid w:val="005B2D2A"/>
    <w:rsid w:val="005B57CE"/>
    <w:rsid w:val="005C1678"/>
    <w:rsid w:val="005C275C"/>
    <w:rsid w:val="005C50CF"/>
    <w:rsid w:val="005C7CDD"/>
    <w:rsid w:val="005D0519"/>
    <w:rsid w:val="005D1B45"/>
    <w:rsid w:val="005D25BD"/>
    <w:rsid w:val="005D3A16"/>
    <w:rsid w:val="005D5E67"/>
    <w:rsid w:val="005D69B0"/>
    <w:rsid w:val="005E0250"/>
    <w:rsid w:val="005E1364"/>
    <w:rsid w:val="005E3FDC"/>
    <w:rsid w:val="005E4288"/>
    <w:rsid w:val="005E46CB"/>
    <w:rsid w:val="005E55D7"/>
    <w:rsid w:val="005E5AD9"/>
    <w:rsid w:val="005F3C3F"/>
    <w:rsid w:val="005F7D6A"/>
    <w:rsid w:val="005F7D83"/>
    <w:rsid w:val="00600AC5"/>
    <w:rsid w:val="006018AF"/>
    <w:rsid w:val="00604DF6"/>
    <w:rsid w:val="00604F33"/>
    <w:rsid w:val="00605BB2"/>
    <w:rsid w:val="00606441"/>
    <w:rsid w:val="00606730"/>
    <w:rsid w:val="00612643"/>
    <w:rsid w:val="00612D54"/>
    <w:rsid w:val="00614FAA"/>
    <w:rsid w:val="00615A40"/>
    <w:rsid w:val="0062065E"/>
    <w:rsid w:val="00621149"/>
    <w:rsid w:val="0062127A"/>
    <w:rsid w:val="00621E35"/>
    <w:rsid w:val="0062303B"/>
    <w:rsid w:val="00636072"/>
    <w:rsid w:val="00642B0D"/>
    <w:rsid w:val="00644299"/>
    <w:rsid w:val="00645D51"/>
    <w:rsid w:val="00651871"/>
    <w:rsid w:val="006535D1"/>
    <w:rsid w:val="00654AA6"/>
    <w:rsid w:val="00655371"/>
    <w:rsid w:val="00656629"/>
    <w:rsid w:val="00656F2D"/>
    <w:rsid w:val="006629E7"/>
    <w:rsid w:val="00662A05"/>
    <w:rsid w:val="006735A6"/>
    <w:rsid w:val="006754C6"/>
    <w:rsid w:val="00676EE8"/>
    <w:rsid w:val="00685F97"/>
    <w:rsid w:val="00687EC0"/>
    <w:rsid w:val="00690936"/>
    <w:rsid w:val="00697564"/>
    <w:rsid w:val="00697665"/>
    <w:rsid w:val="006A4711"/>
    <w:rsid w:val="006A627A"/>
    <w:rsid w:val="006A7FD0"/>
    <w:rsid w:val="006B0278"/>
    <w:rsid w:val="006B3A0D"/>
    <w:rsid w:val="006B6ED7"/>
    <w:rsid w:val="006C0BAA"/>
    <w:rsid w:val="006C1231"/>
    <w:rsid w:val="006C68E6"/>
    <w:rsid w:val="006C69F5"/>
    <w:rsid w:val="006D0AAC"/>
    <w:rsid w:val="006D0FC1"/>
    <w:rsid w:val="006D1878"/>
    <w:rsid w:val="006D1926"/>
    <w:rsid w:val="006D25A2"/>
    <w:rsid w:val="006D32A2"/>
    <w:rsid w:val="006D7687"/>
    <w:rsid w:val="006D79C0"/>
    <w:rsid w:val="006E0572"/>
    <w:rsid w:val="006E4BFE"/>
    <w:rsid w:val="006E54A1"/>
    <w:rsid w:val="006E5923"/>
    <w:rsid w:val="006F0C04"/>
    <w:rsid w:val="006F3626"/>
    <w:rsid w:val="00700D9E"/>
    <w:rsid w:val="00702F38"/>
    <w:rsid w:val="00704381"/>
    <w:rsid w:val="00705631"/>
    <w:rsid w:val="007134AE"/>
    <w:rsid w:val="007149C8"/>
    <w:rsid w:val="00716A58"/>
    <w:rsid w:val="0071707F"/>
    <w:rsid w:val="00717AB2"/>
    <w:rsid w:val="00721597"/>
    <w:rsid w:val="00727C3C"/>
    <w:rsid w:val="00731BBE"/>
    <w:rsid w:val="00734B73"/>
    <w:rsid w:val="00735EB6"/>
    <w:rsid w:val="00737DB6"/>
    <w:rsid w:val="007424A8"/>
    <w:rsid w:val="00742DD2"/>
    <w:rsid w:val="00744529"/>
    <w:rsid w:val="007452CF"/>
    <w:rsid w:val="0075010E"/>
    <w:rsid w:val="00751379"/>
    <w:rsid w:val="00754451"/>
    <w:rsid w:val="007552C4"/>
    <w:rsid w:val="0075538F"/>
    <w:rsid w:val="0075647A"/>
    <w:rsid w:val="00756B38"/>
    <w:rsid w:val="007575ED"/>
    <w:rsid w:val="007609E9"/>
    <w:rsid w:val="007618B2"/>
    <w:rsid w:val="00763132"/>
    <w:rsid w:val="007634AD"/>
    <w:rsid w:val="00764F47"/>
    <w:rsid w:val="00771390"/>
    <w:rsid w:val="007801EC"/>
    <w:rsid w:val="0078122E"/>
    <w:rsid w:val="00781AA8"/>
    <w:rsid w:val="00782B2F"/>
    <w:rsid w:val="0078365A"/>
    <w:rsid w:val="0078391E"/>
    <w:rsid w:val="00784CAB"/>
    <w:rsid w:val="0079134A"/>
    <w:rsid w:val="00791625"/>
    <w:rsid w:val="00795113"/>
    <w:rsid w:val="007A453C"/>
    <w:rsid w:val="007A645F"/>
    <w:rsid w:val="007A6A34"/>
    <w:rsid w:val="007A7B73"/>
    <w:rsid w:val="007B0854"/>
    <w:rsid w:val="007B1869"/>
    <w:rsid w:val="007D1654"/>
    <w:rsid w:val="007D2317"/>
    <w:rsid w:val="007D3323"/>
    <w:rsid w:val="007D568C"/>
    <w:rsid w:val="007D7B2D"/>
    <w:rsid w:val="007E193F"/>
    <w:rsid w:val="007E2330"/>
    <w:rsid w:val="007E24A0"/>
    <w:rsid w:val="007E331A"/>
    <w:rsid w:val="007E3480"/>
    <w:rsid w:val="007E4C84"/>
    <w:rsid w:val="007E6D71"/>
    <w:rsid w:val="007F1C74"/>
    <w:rsid w:val="007F5937"/>
    <w:rsid w:val="007F7255"/>
    <w:rsid w:val="007F72CB"/>
    <w:rsid w:val="00801F73"/>
    <w:rsid w:val="00802FF0"/>
    <w:rsid w:val="00805ED9"/>
    <w:rsid w:val="008065A8"/>
    <w:rsid w:val="00806F37"/>
    <w:rsid w:val="00810875"/>
    <w:rsid w:val="00811A8B"/>
    <w:rsid w:val="00811EDD"/>
    <w:rsid w:val="00816B40"/>
    <w:rsid w:val="00820C54"/>
    <w:rsid w:val="008229F3"/>
    <w:rsid w:val="00823A79"/>
    <w:rsid w:val="00824A6D"/>
    <w:rsid w:val="008253F6"/>
    <w:rsid w:val="00830498"/>
    <w:rsid w:val="0083119B"/>
    <w:rsid w:val="008324F7"/>
    <w:rsid w:val="00833339"/>
    <w:rsid w:val="00835C7D"/>
    <w:rsid w:val="00836EAB"/>
    <w:rsid w:val="00837625"/>
    <w:rsid w:val="00837C23"/>
    <w:rsid w:val="008431E7"/>
    <w:rsid w:val="00844741"/>
    <w:rsid w:val="00845C24"/>
    <w:rsid w:val="0084692D"/>
    <w:rsid w:val="00847CF9"/>
    <w:rsid w:val="0085092D"/>
    <w:rsid w:val="00854B8E"/>
    <w:rsid w:val="00856165"/>
    <w:rsid w:val="008615FD"/>
    <w:rsid w:val="00862405"/>
    <w:rsid w:val="00863745"/>
    <w:rsid w:val="008662E2"/>
    <w:rsid w:val="00866AEB"/>
    <w:rsid w:val="00871A33"/>
    <w:rsid w:val="00874B3D"/>
    <w:rsid w:val="008774D6"/>
    <w:rsid w:val="00877E03"/>
    <w:rsid w:val="00881026"/>
    <w:rsid w:val="00882A90"/>
    <w:rsid w:val="00884F75"/>
    <w:rsid w:val="008865C0"/>
    <w:rsid w:val="00886931"/>
    <w:rsid w:val="0088776A"/>
    <w:rsid w:val="008903AE"/>
    <w:rsid w:val="008941DC"/>
    <w:rsid w:val="00894712"/>
    <w:rsid w:val="00896CE7"/>
    <w:rsid w:val="00897065"/>
    <w:rsid w:val="008A0BEF"/>
    <w:rsid w:val="008A29B2"/>
    <w:rsid w:val="008A56B5"/>
    <w:rsid w:val="008A7BB3"/>
    <w:rsid w:val="008B1764"/>
    <w:rsid w:val="008B79E0"/>
    <w:rsid w:val="008C2A2A"/>
    <w:rsid w:val="008C449B"/>
    <w:rsid w:val="008C513F"/>
    <w:rsid w:val="008C5FE5"/>
    <w:rsid w:val="008D4B7C"/>
    <w:rsid w:val="008D7064"/>
    <w:rsid w:val="008E121D"/>
    <w:rsid w:val="008E1C15"/>
    <w:rsid w:val="008E3555"/>
    <w:rsid w:val="008E679D"/>
    <w:rsid w:val="008F010D"/>
    <w:rsid w:val="008F53F4"/>
    <w:rsid w:val="00901339"/>
    <w:rsid w:val="00902872"/>
    <w:rsid w:val="009047C5"/>
    <w:rsid w:val="00905611"/>
    <w:rsid w:val="009101AA"/>
    <w:rsid w:val="00911BF7"/>
    <w:rsid w:val="00913398"/>
    <w:rsid w:val="00913B77"/>
    <w:rsid w:val="00916DB5"/>
    <w:rsid w:val="0092191C"/>
    <w:rsid w:val="00921955"/>
    <w:rsid w:val="009242C9"/>
    <w:rsid w:val="00925A6B"/>
    <w:rsid w:val="009271DF"/>
    <w:rsid w:val="00932ABE"/>
    <w:rsid w:val="00933102"/>
    <w:rsid w:val="00933C4A"/>
    <w:rsid w:val="00941B45"/>
    <w:rsid w:val="00941BB1"/>
    <w:rsid w:val="00946D1D"/>
    <w:rsid w:val="00947945"/>
    <w:rsid w:val="00951524"/>
    <w:rsid w:val="00951B2A"/>
    <w:rsid w:val="0095385A"/>
    <w:rsid w:val="00954AC6"/>
    <w:rsid w:val="0095720E"/>
    <w:rsid w:val="009604E6"/>
    <w:rsid w:val="00965006"/>
    <w:rsid w:val="00966595"/>
    <w:rsid w:val="00967DBE"/>
    <w:rsid w:val="00971321"/>
    <w:rsid w:val="00972A33"/>
    <w:rsid w:val="00975289"/>
    <w:rsid w:val="00975427"/>
    <w:rsid w:val="009769F6"/>
    <w:rsid w:val="0098114E"/>
    <w:rsid w:val="00981254"/>
    <w:rsid w:val="009859D4"/>
    <w:rsid w:val="0098629E"/>
    <w:rsid w:val="009A1AA8"/>
    <w:rsid w:val="009A7EAF"/>
    <w:rsid w:val="009B3E7E"/>
    <w:rsid w:val="009B42A9"/>
    <w:rsid w:val="009C0366"/>
    <w:rsid w:val="009C2258"/>
    <w:rsid w:val="009C50D0"/>
    <w:rsid w:val="009C7814"/>
    <w:rsid w:val="009D16CC"/>
    <w:rsid w:val="009D2131"/>
    <w:rsid w:val="009D4072"/>
    <w:rsid w:val="009F12D8"/>
    <w:rsid w:val="009F509D"/>
    <w:rsid w:val="009F6A00"/>
    <w:rsid w:val="00A06772"/>
    <w:rsid w:val="00A074BF"/>
    <w:rsid w:val="00A0798E"/>
    <w:rsid w:val="00A12E39"/>
    <w:rsid w:val="00A1500F"/>
    <w:rsid w:val="00A17103"/>
    <w:rsid w:val="00A205E9"/>
    <w:rsid w:val="00A23EDF"/>
    <w:rsid w:val="00A241AD"/>
    <w:rsid w:val="00A24322"/>
    <w:rsid w:val="00A24560"/>
    <w:rsid w:val="00A24FCF"/>
    <w:rsid w:val="00A27285"/>
    <w:rsid w:val="00A31BC6"/>
    <w:rsid w:val="00A31C86"/>
    <w:rsid w:val="00A34538"/>
    <w:rsid w:val="00A41CA1"/>
    <w:rsid w:val="00A44694"/>
    <w:rsid w:val="00A45F5D"/>
    <w:rsid w:val="00A47488"/>
    <w:rsid w:val="00A500CA"/>
    <w:rsid w:val="00A5039E"/>
    <w:rsid w:val="00A50E6B"/>
    <w:rsid w:val="00A50EA1"/>
    <w:rsid w:val="00A54843"/>
    <w:rsid w:val="00A54FA1"/>
    <w:rsid w:val="00A562DC"/>
    <w:rsid w:val="00A5668B"/>
    <w:rsid w:val="00A60725"/>
    <w:rsid w:val="00A60A14"/>
    <w:rsid w:val="00A620C8"/>
    <w:rsid w:val="00A64ADC"/>
    <w:rsid w:val="00A67F5B"/>
    <w:rsid w:val="00A737CD"/>
    <w:rsid w:val="00A8084F"/>
    <w:rsid w:val="00A8393D"/>
    <w:rsid w:val="00A85E48"/>
    <w:rsid w:val="00A8663D"/>
    <w:rsid w:val="00A95A3C"/>
    <w:rsid w:val="00A95E66"/>
    <w:rsid w:val="00A9638B"/>
    <w:rsid w:val="00A963CA"/>
    <w:rsid w:val="00AA442B"/>
    <w:rsid w:val="00AA6B90"/>
    <w:rsid w:val="00AA6D04"/>
    <w:rsid w:val="00AA707B"/>
    <w:rsid w:val="00AA72EA"/>
    <w:rsid w:val="00AB177F"/>
    <w:rsid w:val="00AB31E7"/>
    <w:rsid w:val="00AB3864"/>
    <w:rsid w:val="00AB4030"/>
    <w:rsid w:val="00AB7B09"/>
    <w:rsid w:val="00AC050B"/>
    <w:rsid w:val="00AD0EDA"/>
    <w:rsid w:val="00AE08CE"/>
    <w:rsid w:val="00AE1155"/>
    <w:rsid w:val="00AE24B8"/>
    <w:rsid w:val="00AE2D9F"/>
    <w:rsid w:val="00AE3C7C"/>
    <w:rsid w:val="00AE4236"/>
    <w:rsid w:val="00AF16AE"/>
    <w:rsid w:val="00AF1718"/>
    <w:rsid w:val="00AF2440"/>
    <w:rsid w:val="00AF798A"/>
    <w:rsid w:val="00B004FA"/>
    <w:rsid w:val="00B018CF"/>
    <w:rsid w:val="00B0201A"/>
    <w:rsid w:val="00B03356"/>
    <w:rsid w:val="00B04EDB"/>
    <w:rsid w:val="00B11CB1"/>
    <w:rsid w:val="00B12F6F"/>
    <w:rsid w:val="00B159A0"/>
    <w:rsid w:val="00B2165B"/>
    <w:rsid w:val="00B22E22"/>
    <w:rsid w:val="00B26B8B"/>
    <w:rsid w:val="00B333CE"/>
    <w:rsid w:val="00B33532"/>
    <w:rsid w:val="00B34ABE"/>
    <w:rsid w:val="00B36C98"/>
    <w:rsid w:val="00B41E91"/>
    <w:rsid w:val="00B44CA2"/>
    <w:rsid w:val="00B44CCE"/>
    <w:rsid w:val="00B525CB"/>
    <w:rsid w:val="00B53388"/>
    <w:rsid w:val="00B559B6"/>
    <w:rsid w:val="00B56418"/>
    <w:rsid w:val="00B61BDD"/>
    <w:rsid w:val="00B61DEA"/>
    <w:rsid w:val="00B61FD8"/>
    <w:rsid w:val="00B6341B"/>
    <w:rsid w:val="00B63CB2"/>
    <w:rsid w:val="00B64AAF"/>
    <w:rsid w:val="00B65ABA"/>
    <w:rsid w:val="00B7217B"/>
    <w:rsid w:val="00B74072"/>
    <w:rsid w:val="00B76B00"/>
    <w:rsid w:val="00B76CEF"/>
    <w:rsid w:val="00B77832"/>
    <w:rsid w:val="00B851DC"/>
    <w:rsid w:val="00B85288"/>
    <w:rsid w:val="00B93513"/>
    <w:rsid w:val="00B950F5"/>
    <w:rsid w:val="00BA0E77"/>
    <w:rsid w:val="00BA62F5"/>
    <w:rsid w:val="00BA6907"/>
    <w:rsid w:val="00BA71CD"/>
    <w:rsid w:val="00BA753C"/>
    <w:rsid w:val="00BB2C01"/>
    <w:rsid w:val="00BB6501"/>
    <w:rsid w:val="00BC1B41"/>
    <w:rsid w:val="00BC294B"/>
    <w:rsid w:val="00BC744A"/>
    <w:rsid w:val="00BD0D6C"/>
    <w:rsid w:val="00BD1EF0"/>
    <w:rsid w:val="00BD2E1E"/>
    <w:rsid w:val="00BD422F"/>
    <w:rsid w:val="00BD5D8F"/>
    <w:rsid w:val="00BD6D17"/>
    <w:rsid w:val="00BD78FE"/>
    <w:rsid w:val="00BE0EDB"/>
    <w:rsid w:val="00BE3E4F"/>
    <w:rsid w:val="00BE59E7"/>
    <w:rsid w:val="00BE78C0"/>
    <w:rsid w:val="00BF0EE2"/>
    <w:rsid w:val="00BF1906"/>
    <w:rsid w:val="00BF46F6"/>
    <w:rsid w:val="00BF624E"/>
    <w:rsid w:val="00BF7F4C"/>
    <w:rsid w:val="00C01CC6"/>
    <w:rsid w:val="00C03724"/>
    <w:rsid w:val="00C03DC6"/>
    <w:rsid w:val="00C07C55"/>
    <w:rsid w:val="00C1017B"/>
    <w:rsid w:val="00C1255C"/>
    <w:rsid w:val="00C12D0B"/>
    <w:rsid w:val="00C14851"/>
    <w:rsid w:val="00C14C9E"/>
    <w:rsid w:val="00C1549C"/>
    <w:rsid w:val="00C17413"/>
    <w:rsid w:val="00C17D54"/>
    <w:rsid w:val="00C2238B"/>
    <w:rsid w:val="00C22B69"/>
    <w:rsid w:val="00C33B29"/>
    <w:rsid w:val="00C343AD"/>
    <w:rsid w:val="00C34B22"/>
    <w:rsid w:val="00C35521"/>
    <w:rsid w:val="00C35F7C"/>
    <w:rsid w:val="00C371A6"/>
    <w:rsid w:val="00C4135A"/>
    <w:rsid w:val="00C5124A"/>
    <w:rsid w:val="00C5128E"/>
    <w:rsid w:val="00C523AA"/>
    <w:rsid w:val="00C528E6"/>
    <w:rsid w:val="00C61E9B"/>
    <w:rsid w:val="00C623A4"/>
    <w:rsid w:val="00C63CB2"/>
    <w:rsid w:val="00C67FE4"/>
    <w:rsid w:val="00C7160E"/>
    <w:rsid w:val="00C762CE"/>
    <w:rsid w:val="00C80EFF"/>
    <w:rsid w:val="00C8626F"/>
    <w:rsid w:val="00C90578"/>
    <w:rsid w:val="00C913C9"/>
    <w:rsid w:val="00C914CD"/>
    <w:rsid w:val="00C93A8A"/>
    <w:rsid w:val="00C93EB1"/>
    <w:rsid w:val="00C968EC"/>
    <w:rsid w:val="00CA19A2"/>
    <w:rsid w:val="00CA3F2F"/>
    <w:rsid w:val="00CA6816"/>
    <w:rsid w:val="00CA7FEF"/>
    <w:rsid w:val="00CB345A"/>
    <w:rsid w:val="00CB459F"/>
    <w:rsid w:val="00CB5A11"/>
    <w:rsid w:val="00CB5B9A"/>
    <w:rsid w:val="00CB6A82"/>
    <w:rsid w:val="00CC00CD"/>
    <w:rsid w:val="00CC1660"/>
    <w:rsid w:val="00CC7BB6"/>
    <w:rsid w:val="00CC7FF4"/>
    <w:rsid w:val="00CD37C0"/>
    <w:rsid w:val="00CD3ACB"/>
    <w:rsid w:val="00CD5C88"/>
    <w:rsid w:val="00CE1459"/>
    <w:rsid w:val="00CE14B9"/>
    <w:rsid w:val="00CE1F6E"/>
    <w:rsid w:val="00CE20F7"/>
    <w:rsid w:val="00CE3521"/>
    <w:rsid w:val="00CE352A"/>
    <w:rsid w:val="00CE4B30"/>
    <w:rsid w:val="00CE675D"/>
    <w:rsid w:val="00CF10C1"/>
    <w:rsid w:val="00CF197D"/>
    <w:rsid w:val="00CF2489"/>
    <w:rsid w:val="00CF2BDE"/>
    <w:rsid w:val="00CF2E86"/>
    <w:rsid w:val="00CF415E"/>
    <w:rsid w:val="00CF4D4B"/>
    <w:rsid w:val="00CF6238"/>
    <w:rsid w:val="00CF68ED"/>
    <w:rsid w:val="00D10740"/>
    <w:rsid w:val="00D10E69"/>
    <w:rsid w:val="00D117C5"/>
    <w:rsid w:val="00D11B68"/>
    <w:rsid w:val="00D15C48"/>
    <w:rsid w:val="00D160C4"/>
    <w:rsid w:val="00D1627F"/>
    <w:rsid w:val="00D16E39"/>
    <w:rsid w:val="00D20B01"/>
    <w:rsid w:val="00D2531F"/>
    <w:rsid w:val="00D25852"/>
    <w:rsid w:val="00D25BEF"/>
    <w:rsid w:val="00D25C34"/>
    <w:rsid w:val="00D309A0"/>
    <w:rsid w:val="00D30AEA"/>
    <w:rsid w:val="00D35139"/>
    <w:rsid w:val="00D41357"/>
    <w:rsid w:val="00D433FD"/>
    <w:rsid w:val="00D44475"/>
    <w:rsid w:val="00D50AF2"/>
    <w:rsid w:val="00D51773"/>
    <w:rsid w:val="00D52F10"/>
    <w:rsid w:val="00D5622C"/>
    <w:rsid w:val="00D5689F"/>
    <w:rsid w:val="00D571FF"/>
    <w:rsid w:val="00D63D01"/>
    <w:rsid w:val="00D63E6B"/>
    <w:rsid w:val="00D64D78"/>
    <w:rsid w:val="00D72E9D"/>
    <w:rsid w:val="00D73D97"/>
    <w:rsid w:val="00D74CDA"/>
    <w:rsid w:val="00D77060"/>
    <w:rsid w:val="00D77683"/>
    <w:rsid w:val="00D802C1"/>
    <w:rsid w:val="00D81907"/>
    <w:rsid w:val="00D82CE5"/>
    <w:rsid w:val="00D8402E"/>
    <w:rsid w:val="00D84EE3"/>
    <w:rsid w:val="00D978FC"/>
    <w:rsid w:val="00DA3351"/>
    <w:rsid w:val="00DA4E96"/>
    <w:rsid w:val="00DA5AB1"/>
    <w:rsid w:val="00DB36AB"/>
    <w:rsid w:val="00DB614C"/>
    <w:rsid w:val="00DC01E4"/>
    <w:rsid w:val="00DC0452"/>
    <w:rsid w:val="00DC2BFF"/>
    <w:rsid w:val="00DC5121"/>
    <w:rsid w:val="00DC5443"/>
    <w:rsid w:val="00DC62E5"/>
    <w:rsid w:val="00DD07F7"/>
    <w:rsid w:val="00DD10BC"/>
    <w:rsid w:val="00DD20BA"/>
    <w:rsid w:val="00DD30CE"/>
    <w:rsid w:val="00DD4684"/>
    <w:rsid w:val="00DD735D"/>
    <w:rsid w:val="00DE3119"/>
    <w:rsid w:val="00DE533D"/>
    <w:rsid w:val="00DF02DC"/>
    <w:rsid w:val="00DF0F8E"/>
    <w:rsid w:val="00DF236B"/>
    <w:rsid w:val="00DF248A"/>
    <w:rsid w:val="00DF2D13"/>
    <w:rsid w:val="00DF355B"/>
    <w:rsid w:val="00DF5477"/>
    <w:rsid w:val="00E00060"/>
    <w:rsid w:val="00E13AB8"/>
    <w:rsid w:val="00E13DF6"/>
    <w:rsid w:val="00E13F01"/>
    <w:rsid w:val="00E144B9"/>
    <w:rsid w:val="00E16729"/>
    <w:rsid w:val="00E274C9"/>
    <w:rsid w:val="00E27776"/>
    <w:rsid w:val="00E27C85"/>
    <w:rsid w:val="00E31B50"/>
    <w:rsid w:val="00E33B62"/>
    <w:rsid w:val="00E357DC"/>
    <w:rsid w:val="00E429C9"/>
    <w:rsid w:val="00E42F80"/>
    <w:rsid w:val="00E44B29"/>
    <w:rsid w:val="00E44E00"/>
    <w:rsid w:val="00E522C5"/>
    <w:rsid w:val="00E5290A"/>
    <w:rsid w:val="00E53184"/>
    <w:rsid w:val="00E53964"/>
    <w:rsid w:val="00E5678C"/>
    <w:rsid w:val="00E57323"/>
    <w:rsid w:val="00E57B05"/>
    <w:rsid w:val="00E602F2"/>
    <w:rsid w:val="00E63AED"/>
    <w:rsid w:val="00E65F49"/>
    <w:rsid w:val="00E6610F"/>
    <w:rsid w:val="00E67ED7"/>
    <w:rsid w:val="00E70041"/>
    <w:rsid w:val="00E71381"/>
    <w:rsid w:val="00E7138C"/>
    <w:rsid w:val="00E7285F"/>
    <w:rsid w:val="00E7595D"/>
    <w:rsid w:val="00E80C82"/>
    <w:rsid w:val="00E90F4B"/>
    <w:rsid w:val="00E93373"/>
    <w:rsid w:val="00E94339"/>
    <w:rsid w:val="00EA2412"/>
    <w:rsid w:val="00EA4E7D"/>
    <w:rsid w:val="00EA6975"/>
    <w:rsid w:val="00EA6B99"/>
    <w:rsid w:val="00EA76D7"/>
    <w:rsid w:val="00EB57FD"/>
    <w:rsid w:val="00ED7FE6"/>
    <w:rsid w:val="00EE3116"/>
    <w:rsid w:val="00EE4614"/>
    <w:rsid w:val="00EF18B4"/>
    <w:rsid w:val="00EF6D6C"/>
    <w:rsid w:val="00EF7D7B"/>
    <w:rsid w:val="00EF7DB4"/>
    <w:rsid w:val="00F010C4"/>
    <w:rsid w:val="00F01D75"/>
    <w:rsid w:val="00F03745"/>
    <w:rsid w:val="00F05293"/>
    <w:rsid w:val="00F05E4F"/>
    <w:rsid w:val="00F1106A"/>
    <w:rsid w:val="00F13A3B"/>
    <w:rsid w:val="00F13F48"/>
    <w:rsid w:val="00F215EC"/>
    <w:rsid w:val="00F22044"/>
    <w:rsid w:val="00F22341"/>
    <w:rsid w:val="00F23D55"/>
    <w:rsid w:val="00F26F92"/>
    <w:rsid w:val="00F30790"/>
    <w:rsid w:val="00F31BEB"/>
    <w:rsid w:val="00F36A58"/>
    <w:rsid w:val="00F4285A"/>
    <w:rsid w:val="00F444A4"/>
    <w:rsid w:val="00F44D9B"/>
    <w:rsid w:val="00F45FE4"/>
    <w:rsid w:val="00F478C6"/>
    <w:rsid w:val="00F57426"/>
    <w:rsid w:val="00F615FA"/>
    <w:rsid w:val="00F617C8"/>
    <w:rsid w:val="00F63E8C"/>
    <w:rsid w:val="00F64252"/>
    <w:rsid w:val="00F66646"/>
    <w:rsid w:val="00F70C89"/>
    <w:rsid w:val="00F735D5"/>
    <w:rsid w:val="00F73BDB"/>
    <w:rsid w:val="00F7402A"/>
    <w:rsid w:val="00F74D1D"/>
    <w:rsid w:val="00F75287"/>
    <w:rsid w:val="00F75297"/>
    <w:rsid w:val="00F756F8"/>
    <w:rsid w:val="00F77524"/>
    <w:rsid w:val="00F8291A"/>
    <w:rsid w:val="00F82CE2"/>
    <w:rsid w:val="00F83681"/>
    <w:rsid w:val="00F8436F"/>
    <w:rsid w:val="00F84899"/>
    <w:rsid w:val="00F859F0"/>
    <w:rsid w:val="00F9050C"/>
    <w:rsid w:val="00F91245"/>
    <w:rsid w:val="00F91CCC"/>
    <w:rsid w:val="00F974BA"/>
    <w:rsid w:val="00FA0A16"/>
    <w:rsid w:val="00FA0C11"/>
    <w:rsid w:val="00FA7689"/>
    <w:rsid w:val="00FA799D"/>
    <w:rsid w:val="00FA7D4C"/>
    <w:rsid w:val="00FB0241"/>
    <w:rsid w:val="00FB23A3"/>
    <w:rsid w:val="00FB289E"/>
    <w:rsid w:val="00FB46F8"/>
    <w:rsid w:val="00FB53C9"/>
    <w:rsid w:val="00FC180A"/>
    <w:rsid w:val="00FC281D"/>
    <w:rsid w:val="00FC53A8"/>
    <w:rsid w:val="00FC5BBC"/>
    <w:rsid w:val="00FC631C"/>
    <w:rsid w:val="00FC63FE"/>
    <w:rsid w:val="00FE141E"/>
    <w:rsid w:val="00FE2198"/>
    <w:rsid w:val="00FE3005"/>
    <w:rsid w:val="00FE6340"/>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1"/>
    <w:qFormat/>
    <w:rsid w:val="00431C82"/>
    <w:pPr>
      <w:widowControl w:val="0"/>
      <w:autoSpaceDE w:val="0"/>
      <w:autoSpaceDN w:val="0"/>
      <w:ind w:left="5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03324A"/>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03324A"/>
    <w:rPr>
      <w:rFonts w:ascii="Arial" w:eastAsia="Arial" w:hAnsi="Arial" w:cs="Arial"/>
      <w:lang w:val="es-ES" w:eastAsia="es-ES" w:bidi="es-ES"/>
    </w:rPr>
  </w:style>
  <w:style w:type="character" w:customStyle="1" w:styleId="Ttulo1Car">
    <w:name w:val="Título 1 Car"/>
    <w:basedOn w:val="Fuentedeprrafopredeter"/>
    <w:link w:val="Ttulo1"/>
    <w:uiPriority w:val="1"/>
    <w:rsid w:val="00431C82"/>
    <w:rPr>
      <w:rFonts w:ascii="Arial" w:eastAsia="Arial" w:hAnsi="Arial" w:cs="Arial"/>
      <w:b/>
      <w:bCs/>
      <w:lang w:val="es-ES"/>
    </w:rPr>
  </w:style>
  <w:style w:type="table" w:customStyle="1" w:styleId="Tablaconcuadrcula1">
    <w:name w:val="Tabla con cuadrícula1"/>
    <w:basedOn w:val="Tablanormal"/>
    <w:next w:val="Tablaconcuadrcula"/>
    <w:uiPriority w:val="39"/>
    <w:rsid w:val="00BD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F75287"/>
  </w:style>
  <w:style w:type="paragraph" w:customStyle="1" w:styleId="Normal11pt">
    <w:name w:val="Normal + 11 pt"/>
    <w:aliases w:val="Negro,Justificado,Izquierda:  -0,95 cm,Derecha:  0,04 cm"/>
    <w:basedOn w:val="Normal"/>
    <w:uiPriority w:val="99"/>
    <w:rsid w:val="00782B2F"/>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guia_para_la_comprension_e_implementacion_de_los_documentos_tipo_obra_publica_de_infraestructura_transporte_-_cce-eicp-gi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4FC75-A347-403A-888F-AE84ED1EEE83}">
  <ds:schemaRefs>
    <ds:schemaRef ds:uri="http://schemas.openxmlformats.org/officeDocument/2006/bibliography"/>
  </ds:schemaRefs>
</ds:datastoreItem>
</file>

<file path=customXml/itemProps2.xml><?xml version="1.0" encoding="utf-8"?>
<ds:datastoreItem xmlns:ds="http://schemas.openxmlformats.org/officeDocument/2006/customXml" ds:itemID="{1AE8E3A6-77E7-4328-9AEA-266054033C2E}">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a6cb9e4b-f1d1-4245-83ec-6cad768d538a"/>
    <ds:schemaRef ds:uri="http://schemas.microsoft.com/office/2006/metadata/properties"/>
    <ds:schemaRef ds:uri="9d85dbaf-23eb-4e57-a637-93dcacc8b1a1"/>
    <ds:schemaRef ds:uri="http://www.w3.org/XML/1998/namespace"/>
    <ds:schemaRef ds:uri="http://purl.org/dc/term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84F210B-08DB-4814-A709-93A2F56B5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16</Pages>
  <Words>5696</Words>
  <Characters>31330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2021-11-25T20:44:00Z</dcterms:created>
  <dcterms:modified xsi:type="dcterms:W3CDTF">2021-11-25T20:44:00Z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