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3C4C" w14:textId="5CA10468" w:rsidR="006E39EA" w:rsidRPr="00E92199" w:rsidRDefault="00800DEA" w:rsidP="00CC79DE">
      <w:pPr>
        <w:spacing w:before="120"/>
        <w:jc w:val="right"/>
        <w:rPr>
          <w:rFonts w:ascii="Arial" w:hAnsi="Arial" w:cs="Arial"/>
          <w:b/>
          <w:sz w:val="16"/>
          <w:szCs w:val="16"/>
          <w:lang w:eastAsia="es-ES"/>
        </w:rPr>
      </w:pPr>
      <w:bookmarkStart w:id="0" w:name="_Hlk31875101"/>
      <w:bookmarkStart w:id="1" w:name="_Hlk29890381"/>
      <w:r w:rsidRPr="00D35139">
        <w:rPr>
          <w:rFonts w:ascii="Arial" w:hAnsi="Arial" w:cs="Arial"/>
          <w:b/>
          <w:sz w:val="16"/>
          <w:szCs w:val="16"/>
          <w:lang w:eastAsia="es-ES"/>
        </w:rPr>
        <w:t>CCE-DES-FM-17</w:t>
      </w:r>
    </w:p>
    <w:p w14:paraId="620306DE" w14:textId="603BC548" w:rsidR="005C6805" w:rsidRPr="00440BFC" w:rsidRDefault="003559ED" w:rsidP="00CC79DE">
      <w:pPr>
        <w:rPr>
          <w:rFonts w:ascii="Arial" w:eastAsia="Calibri" w:hAnsi="Arial" w:cs="Arial"/>
          <w:b/>
          <w:bCs/>
          <w:sz w:val="22"/>
          <w:szCs w:val="24"/>
          <w:lang w:eastAsia="es-ES_tradnl"/>
        </w:rPr>
      </w:pPr>
      <w:r w:rsidRPr="00440BFC">
        <w:rPr>
          <w:rFonts w:ascii="Arial" w:eastAsia="Arial" w:hAnsi="Arial" w:cs="Arial"/>
          <w:b/>
          <w:sz w:val="22"/>
        </w:rPr>
        <w:t>DOCUMENTOS TIPO –</w:t>
      </w:r>
      <w:r w:rsidRPr="00440BFC">
        <w:rPr>
          <w:rFonts w:ascii="Arial" w:hAnsi="Arial" w:cs="Arial"/>
          <w:b/>
          <w:color w:val="000000" w:themeColor="text1"/>
          <w:sz w:val="22"/>
          <w:lang w:val="es-ES_tradnl"/>
        </w:rPr>
        <w:t xml:space="preserve"> </w:t>
      </w:r>
      <w:r w:rsidR="00EA0711">
        <w:rPr>
          <w:rFonts w:ascii="Arial" w:eastAsia="Calibri" w:hAnsi="Arial" w:cs="Arial"/>
          <w:b/>
          <w:bCs/>
          <w:sz w:val="22"/>
          <w:szCs w:val="24"/>
          <w:lang w:eastAsia="es-ES_tradnl"/>
        </w:rPr>
        <w:t>Obligatoriedad</w:t>
      </w:r>
      <w:r w:rsidRPr="00440BFC">
        <w:rPr>
          <w:rFonts w:ascii="Arial" w:eastAsia="Calibri" w:hAnsi="Arial" w:cs="Arial"/>
          <w:b/>
          <w:bCs/>
          <w:sz w:val="22"/>
          <w:szCs w:val="24"/>
          <w:lang w:eastAsia="es-ES_tradnl"/>
        </w:rPr>
        <w:t xml:space="preserve"> </w:t>
      </w:r>
      <w:r w:rsidR="002B4EBC">
        <w:rPr>
          <w:rFonts w:ascii="Arial" w:eastAsia="Calibri" w:hAnsi="Arial" w:cs="Arial"/>
          <w:b/>
          <w:bCs/>
          <w:sz w:val="22"/>
          <w:szCs w:val="24"/>
          <w:lang w:eastAsia="es-ES_tradnl"/>
        </w:rPr>
        <w:t xml:space="preserve">– </w:t>
      </w:r>
      <w:r w:rsidR="00EA0711">
        <w:rPr>
          <w:rFonts w:ascii="Arial" w:eastAsia="Calibri" w:hAnsi="Arial" w:cs="Arial"/>
          <w:b/>
          <w:bCs/>
          <w:sz w:val="22"/>
          <w:szCs w:val="24"/>
          <w:lang w:eastAsia="es-ES_tradnl"/>
        </w:rPr>
        <w:t xml:space="preserve">Inalterabilidad </w:t>
      </w:r>
    </w:p>
    <w:p w14:paraId="6C7A643A" w14:textId="3D943315" w:rsidR="003559ED" w:rsidRPr="00440BFC" w:rsidRDefault="003559ED" w:rsidP="00CC79DE">
      <w:pPr>
        <w:rPr>
          <w:rFonts w:ascii="Arial" w:eastAsia="Calibri" w:hAnsi="Arial" w:cs="Arial"/>
          <w:b/>
          <w:bCs/>
          <w:sz w:val="22"/>
          <w:szCs w:val="24"/>
          <w:lang w:eastAsia="es-ES_tradnl"/>
        </w:rPr>
      </w:pPr>
    </w:p>
    <w:p w14:paraId="0FDAD8EF" w14:textId="22280772" w:rsidR="00E92199" w:rsidRDefault="00EA0711" w:rsidP="00CC79DE">
      <w:pPr>
        <w:jc w:val="both"/>
        <w:rPr>
          <w:rFonts w:ascii="Arial" w:eastAsia="Calibri" w:hAnsi="Arial" w:cs="Arial"/>
          <w:noProof/>
          <w:sz w:val="20"/>
          <w:szCs w:val="20"/>
          <w:lang w:val="es-ES_tradnl"/>
        </w:rPr>
      </w:pPr>
      <w:r w:rsidRPr="00EA0711">
        <w:rPr>
          <w:rFonts w:ascii="Arial" w:eastAsia="Calibri" w:hAnsi="Arial" w:cs="Arial"/>
          <w:noProof/>
          <w:color w:val="000000"/>
          <w:sz w:val="20"/>
          <w:szCs w:val="20"/>
          <w:shd w:val="clear" w:color="auto" w:fill="FFFFFF"/>
        </w:rPr>
        <w:t xml:space="preserve">[…] dadas las características  de obligatoriedad e inalterabilidad que ostentan los documentos tipo, </w:t>
      </w:r>
      <w:r w:rsidRPr="00EA0711">
        <w:rPr>
          <w:rFonts w:ascii="Arial" w:eastAsia="Calibri" w:hAnsi="Arial" w:cs="Arial"/>
          <w:noProof/>
          <w:sz w:val="20"/>
          <w:szCs w:val="20"/>
          <w:lang w:val="es-ES_tradnl"/>
        </w:rPr>
        <w:t xml:space="preserve">es deber de las entidades sometidas al Estatuto General de la Contratación de la Administración Pública su utilización en los procesos de selección que adelanten, quedando vedadas de la posibilidad </w:t>
      </w:r>
      <w:r w:rsidR="003E3083" w:rsidRPr="003E3083">
        <w:rPr>
          <w:rFonts w:ascii="Arial" w:eastAsia="Calibri" w:hAnsi="Arial" w:cs="Arial"/>
          <w:noProof/>
          <w:sz w:val="20"/>
          <w:szCs w:val="20"/>
          <w:lang w:val="es-ES_tradnl"/>
        </w:rPr>
        <w:t xml:space="preserve">de apartarse de su implementación en el proceso de selección donde apliquen o </w:t>
      </w:r>
      <w:r w:rsidRPr="003E3083">
        <w:rPr>
          <w:rFonts w:ascii="Arial" w:eastAsia="Calibri" w:hAnsi="Arial" w:cs="Arial"/>
          <w:noProof/>
          <w:sz w:val="20"/>
          <w:szCs w:val="20"/>
          <w:lang w:val="es-ES_tradnl"/>
        </w:rPr>
        <w:t>de efectuar modificaciones a las condiciones habilitantes, factores de escogencia y sistemas de ponderación contenidos en los mismos, por lo que solo podrán realizar modificaciones en los lugares</w:t>
      </w:r>
      <w:r w:rsidRPr="00EA0711">
        <w:rPr>
          <w:rFonts w:ascii="Arial" w:eastAsia="Calibri" w:hAnsi="Arial" w:cs="Arial"/>
          <w:noProof/>
          <w:sz w:val="20"/>
          <w:szCs w:val="20"/>
          <w:lang w:val="es-ES_tradnl"/>
        </w:rPr>
        <w:t xml:space="preserve"> en que expresamente lo establezcan y permitan los Documentos Tipo.</w:t>
      </w:r>
    </w:p>
    <w:p w14:paraId="74B275E8" w14:textId="77777777" w:rsidR="00C8061B" w:rsidRDefault="00C8061B" w:rsidP="00CC79DE">
      <w:pPr>
        <w:jc w:val="both"/>
        <w:rPr>
          <w:rFonts w:ascii="Arial" w:eastAsia="Calibri" w:hAnsi="Arial" w:cs="Arial"/>
          <w:noProof/>
          <w:sz w:val="20"/>
          <w:szCs w:val="20"/>
          <w:lang w:val="es-ES_tradnl"/>
        </w:rPr>
      </w:pPr>
    </w:p>
    <w:p w14:paraId="4AAD9E63" w14:textId="3DD8989E" w:rsidR="00D73D9F" w:rsidRDefault="00E92199" w:rsidP="00CC79DE">
      <w:pPr>
        <w:tabs>
          <w:tab w:val="left" w:pos="426"/>
        </w:tabs>
        <w:jc w:val="both"/>
        <w:rPr>
          <w:rFonts w:ascii="Arial" w:eastAsia="Calibri" w:hAnsi="Arial" w:cs="Arial"/>
          <w:noProof/>
          <w:sz w:val="20"/>
          <w:szCs w:val="20"/>
          <w:lang w:val="es-ES_tradnl"/>
        </w:rPr>
      </w:pPr>
      <w:r w:rsidRPr="00E92199">
        <w:rPr>
          <w:rFonts w:ascii="Arial" w:eastAsia="Calibri" w:hAnsi="Arial" w:cs="Arial"/>
          <w:noProof/>
          <w:sz w:val="20"/>
          <w:szCs w:val="20"/>
          <w:lang w:val="es-ES_tradnl"/>
        </w:rPr>
        <w:t xml:space="preserve">[…] la introducción del  Documento Base del documento tipo de licitación de obra infraestructura de transporte ‒ versión 3, señala claramente que </w:t>
      </w:r>
      <w:r w:rsidR="003E3083" w:rsidRPr="003E3083">
        <w:rPr>
          <w:rFonts w:ascii="Arial" w:eastAsia="Calibri" w:hAnsi="Arial" w:cs="Arial"/>
          <w:noProof/>
          <w:sz w:val="20"/>
          <w:szCs w:val="20"/>
          <w:lang w:val="es-ES_tradnl"/>
        </w:rPr>
        <w:t>«</w:t>
      </w:r>
      <w:r w:rsidR="003E3083" w:rsidRPr="003E3083">
        <w:rPr>
          <w:rFonts w:ascii="Arial" w:eastAsia="Calibri" w:hAnsi="Arial" w:cs="Arial"/>
          <w:noProof/>
          <w:sz w:val="20"/>
          <w:szCs w:val="20"/>
          <w:highlight w:val="lightGray"/>
          <w:lang w:val="es-ES_tradnl"/>
        </w:rPr>
        <w:t>[La entidad no podrá modificar los Formatos, Anexos, Matrices y Formularios, ni solicitar soportes o requisitos adicionales a los establecidos en el documento tipo]</w:t>
      </w:r>
      <w:r w:rsidR="003E3083" w:rsidRPr="003E3083">
        <w:rPr>
          <w:rFonts w:ascii="Arial" w:eastAsia="Calibri" w:hAnsi="Arial" w:cs="Arial"/>
          <w:noProof/>
          <w:sz w:val="20"/>
          <w:szCs w:val="20"/>
          <w:lang w:val="es-ES_tradnl"/>
        </w:rPr>
        <w:t>»</w:t>
      </w:r>
      <w:r w:rsidR="00D73D9F">
        <w:rPr>
          <w:rFonts w:ascii="Arial" w:eastAsia="Calibri" w:hAnsi="Arial" w:cs="Arial"/>
          <w:noProof/>
          <w:sz w:val="20"/>
          <w:szCs w:val="20"/>
          <w:lang w:val="es-ES_tradnl"/>
        </w:rPr>
        <w:t>.</w:t>
      </w:r>
      <w:r w:rsidR="003E3083">
        <w:rPr>
          <w:rFonts w:ascii="Arial" w:eastAsia="Calibri" w:hAnsi="Arial" w:cs="Arial"/>
          <w:noProof/>
          <w:sz w:val="20"/>
          <w:szCs w:val="20"/>
          <w:lang w:val="es-ES_tradnl"/>
        </w:rPr>
        <w:t xml:space="preserve"> </w:t>
      </w:r>
      <w:r w:rsidR="00D73D9F" w:rsidRPr="00D73D9F">
        <w:rPr>
          <w:rFonts w:ascii="Arial" w:eastAsia="Calibri" w:hAnsi="Arial" w:cs="Arial"/>
          <w:noProof/>
          <w:sz w:val="20"/>
          <w:szCs w:val="20"/>
          <w:lang w:val="es-ES_tradnl"/>
        </w:rPr>
        <w:t>De igual manera, señala que los aspectos incluidos en corchetes y resaltados en gris deben ser diligenciados por la Entidad, es decir, la entidad puede modificar o estructurar los aspectos que cumplen con estos parámetros o aquellos que expresamente señalan los documentos que deben ser definidos por la entidad. Por regla general, los aspectos relacionados con el objeto, su alcance y especificaciones técnicas necesarias para la ejecución de la obra deben ser configurados por la entidad, con excepción de aquellos establecidos en los Documentos Tipo, sin la posibilidad de establecer reglas o requisitos adicionales para la acreditación de los requisitos habilitantes y de asignación de puntaje, porque han sido definidos en los documentos tipo.</w:t>
      </w:r>
    </w:p>
    <w:p w14:paraId="3963B785" w14:textId="45ACB0B4" w:rsidR="000C400F" w:rsidRDefault="000C400F" w:rsidP="00CC79DE">
      <w:pPr>
        <w:tabs>
          <w:tab w:val="left" w:pos="426"/>
        </w:tabs>
        <w:jc w:val="both"/>
        <w:rPr>
          <w:rFonts w:ascii="Arial" w:eastAsia="Calibri" w:hAnsi="Arial" w:cs="Arial"/>
          <w:noProof/>
          <w:sz w:val="20"/>
          <w:szCs w:val="20"/>
          <w:lang w:val="es-ES_tradnl"/>
        </w:rPr>
      </w:pPr>
    </w:p>
    <w:p w14:paraId="458777E4" w14:textId="2FFAD72C" w:rsidR="000C400F" w:rsidRPr="000C400F" w:rsidRDefault="000C400F" w:rsidP="000C400F">
      <w:pPr>
        <w:jc w:val="both"/>
        <w:rPr>
          <w:rFonts w:ascii="Arial" w:hAnsi="Arial" w:cs="Arial"/>
          <w:b/>
          <w:sz w:val="22"/>
        </w:rPr>
      </w:pPr>
      <w:r w:rsidRPr="000C400F">
        <w:rPr>
          <w:rFonts w:ascii="Arial" w:hAnsi="Arial" w:cs="Arial"/>
          <w:b/>
          <w:sz w:val="22"/>
        </w:rPr>
        <w:t xml:space="preserve">FACTOR CALIDAD – </w:t>
      </w:r>
      <w:r w:rsidR="00460793">
        <w:rPr>
          <w:rFonts w:ascii="Arial" w:hAnsi="Arial" w:cs="Arial"/>
          <w:b/>
          <w:sz w:val="22"/>
        </w:rPr>
        <w:t>Formatos-</w:t>
      </w:r>
      <w:r w:rsidR="00737474">
        <w:rPr>
          <w:rFonts w:ascii="Arial" w:hAnsi="Arial" w:cs="Arial"/>
          <w:b/>
          <w:sz w:val="22"/>
        </w:rPr>
        <w:t xml:space="preserve"> Obligatoriedad -</w:t>
      </w:r>
      <w:r w:rsidR="00460793">
        <w:rPr>
          <w:rFonts w:ascii="Arial" w:hAnsi="Arial" w:cs="Arial"/>
          <w:b/>
          <w:sz w:val="22"/>
        </w:rPr>
        <w:t xml:space="preserve"> </w:t>
      </w:r>
      <w:r w:rsidRPr="000C400F">
        <w:rPr>
          <w:rFonts w:ascii="Arial" w:hAnsi="Arial" w:cs="Arial"/>
          <w:b/>
          <w:sz w:val="22"/>
        </w:rPr>
        <w:t xml:space="preserve">Inalterabilidad – Formato 7D </w:t>
      </w:r>
    </w:p>
    <w:p w14:paraId="790F2DAE" w14:textId="7D6228C8" w:rsidR="000C400F" w:rsidRPr="004E350C" w:rsidRDefault="000C400F" w:rsidP="000C400F">
      <w:pPr>
        <w:jc w:val="both"/>
        <w:rPr>
          <w:rFonts w:ascii="Arial" w:eastAsia="Calibri" w:hAnsi="Arial" w:cs="Arial"/>
          <w:b/>
        </w:rPr>
      </w:pPr>
    </w:p>
    <w:p w14:paraId="565873D5" w14:textId="77777777" w:rsidR="000C400F" w:rsidRPr="000C400F" w:rsidRDefault="000C400F" w:rsidP="000C400F">
      <w:pPr>
        <w:autoSpaceDE w:val="0"/>
        <w:autoSpaceDN w:val="0"/>
        <w:adjustRightInd w:val="0"/>
        <w:jc w:val="both"/>
        <w:rPr>
          <w:rFonts w:ascii="Arial" w:eastAsia="Calibri" w:hAnsi="Arial" w:cs="Arial"/>
          <w:bCs/>
          <w:sz w:val="20"/>
          <w:szCs w:val="20"/>
        </w:rPr>
      </w:pPr>
      <w:r w:rsidRPr="000C400F">
        <w:rPr>
          <w:rFonts w:ascii="Arial" w:eastAsia="Calibri" w:hAnsi="Arial" w:cs="Arial"/>
          <w:bCs/>
          <w:sz w:val="20"/>
          <w:szCs w:val="20"/>
        </w:rPr>
        <w:t>Todos los formatos como parte integral de los «Documentos Tipo», ostentan las características de obligatoriedad e inalterabilidad que los distingue, salvo en aquellos aspectos donde expresamente se faculte a las entidades contratantes o a los proponentes para su diligenciamiento, como ocurre con los espacios señalados entre corchetes y resaltados en gris en el Formato 7D, para diligenciamiento exclusivo por parte de los oferentes, en consecuencia, no se admite injerencia alguna por parte de la entidad para efectos de adicionar o suprimir sus elementos.</w:t>
      </w:r>
    </w:p>
    <w:p w14:paraId="0D03B84B" w14:textId="77777777" w:rsidR="000C400F" w:rsidRPr="000C400F" w:rsidRDefault="000C400F" w:rsidP="00CC79DE">
      <w:pPr>
        <w:tabs>
          <w:tab w:val="left" w:pos="426"/>
        </w:tabs>
        <w:jc w:val="both"/>
        <w:rPr>
          <w:rFonts w:ascii="Arial" w:eastAsia="Calibri" w:hAnsi="Arial" w:cs="Arial"/>
          <w:noProof/>
          <w:sz w:val="20"/>
          <w:szCs w:val="20"/>
        </w:rPr>
      </w:pPr>
    </w:p>
    <w:p w14:paraId="41EE2D41" w14:textId="145374F2" w:rsidR="00EA0711" w:rsidRDefault="00EA0711" w:rsidP="00CC79DE">
      <w:pPr>
        <w:jc w:val="both"/>
        <w:rPr>
          <w:rFonts w:ascii="Arial" w:hAnsi="Arial" w:cs="Arial"/>
          <w:sz w:val="20"/>
          <w:szCs w:val="20"/>
        </w:rPr>
      </w:pPr>
    </w:p>
    <w:p w14:paraId="1244D072" w14:textId="3EC31F1A" w:rsidR="00761CAA" w:rsidRPr="00761CAA" w:rsidRDefault="00761CAA" w:rsidP="00CC79DE">
      <w:pPr>
        <w:jc w:val="both"/>
        <w:rPr>
          <w:rFonts w:ascii="Arial" w:hAnsi="Arial" w:cs="Arial"/>
          <w:b/>
          <w:sz w:val="22"/>
        </w:rPr>
      </w:pPr>
      <w:r>
        <w:rPr>
          <w:rFonts w:ascii="Arial" w:hAnsi="Arial" w:cs="Arial"/>
          <w:b/>
          <w:sz w:val="22"/>
        </w:rPr>
        <w:t>GARANT</w:t>
      </w:r>
      <w:r w:rsidR="0041218E">
        <w:rPr>
          <w:rFonts w:ascii="Arial" w:hAnsi="Arial" w:cs="Arial"/>
          <w:b/>
          <w:sz w:val="22"/>
        </w:rPr>
        <w:t>Í</w:t>
      </w:r>
      <w:r>
        <w:rPr>
          <w:rFonts w:ascii="Arial" w:hAnsi="Arial" w:cs="Arial"/>
          <w:b/>
          <w:sz w:val="22"/>
        </w:rPr>
        <w:t xml:space="preserve">A ADICIONAL O SUPLEMENTARIA – </w:t>
      </w:r>
      <w:r w:rsidR="00800DEA">
        <w:rPr>
          <w:rFonts w:ascii="Arial" w:hAnsi="Arial" w:cs="Arial"/>
          <w:b/>
          <w:sz w:val="22"/>
        </w:rPr>
        <w:t xml:space="preserve">Documentos tipo – Formato </w:t>
      </w:r>
      <w:r w:rsidR="00D73D9F">
        <w:rPr>
          <w:rFonts w:ascii="Arial" w:hAnsi="Arial" w:cs="Arial"/>
          <w:b/>
          <w:sz w:val="22"/>
        </w:rPr>
        <w:t>7D</w:t>
      </w:r>
      <w:r w:rsidR="00071287">
        <w:rPr>
          <w:rFonts w:ascii="Arial" w:hAnsi="Arial" w:cs="Arial"/>
          <w:b/>
          <w:sz w:val="22"/>
        </w:rPr>
        <w:t xml:space="preserve"> – Diligenciamiento</w:t>
      </w:r>
      <w:r w:rsidR="00800DEA">
        <w:rPr>
          <w:rFonts w:ascii="Arial" w:hAnsi="Arial" w:cs="Arial"/>
          <w:b/>
          <w:sz w:val="22"/>
        </w:rPr>
        <w:t xml:space="preserve"> </w:t>
      </w:r>
      <w:r w:rsidR="000C400F">
        <w:rPr>
          <w:rFonts w:ascii="Arial" w:hAnsi="Arial" w:cs="Arial"/>
          <w:b/>
          <w:sz w:val="22"/>
        </w:rPr>
        <w:t xml:space="preserve">- </w:t>
      </w:r>
      <w:r w:rsidR="000C400F" w:rsidRPr="000C400F">
        <w:rPr>
          <w:rFonts w:ascii="Arial" w:hAnsi="Arial" w:cs="Arial"/>
          <w:b/>
          <w:sz w:val="22"/>
        </w:rPr>
        <w:t>Suficiencia para obtención de puntaje</w:t>
      </w:r>
      <w:r w:rsidR="00460793">
        <w:rPr>
          <w:rFonts w:ascii="Arial" w:hAnsi="Arial" w:cs="Arial"/>
          <w:b/>
          <w:sz w:val="22"/>
        </w:rPr>
        <w:t xml:space="preserve"> - Tope</w:t>
      </w:r>
    </w:p>
    <w:p w14:paraId="636D1B20" w14:textId="00FF57DD" w:rsidR="00361BB8" w:rsidRDefault="00361BB8" w:rsidP="00CC79DE">
      <w:pPr>
        <w:rPr>
          <w:rFonts w:ascii="Arial" w:eastAsia="Calibri" w:hAnsi="Arial" w:cs="Arial"/>
          <w:sz w:val="22"/>
        </w:rPr>
      </w:pPr>
    </w:p>
    <w:p w14:paraId="068D41D7" w14:textId="6060FBB2" w:rsidR="00E92199" w:rsidRDefault="00800DEA" w:rsidP="00CC79DE">
      <w:pPr>
        <w:jc w:val="both"/>
        <w:rPr>
          <w:rFonts w:ascii="Arial" w:eastAsiaTheme="minorEastAsia" w:hAnsi="Arial" w:cs="Arial"/>
          <w:sz w:val="20"/>
          <w:szCs w:val="20"/>
        </w:rPr>
      </w:pPr>
      <w:r w:rsidRPr="00E92199">
        <w:rPr>
          <w:rFonts w:ascii="Arial" w:eastAsiaTheme="minorEastAsia" w:hAnsi="Arial" w:cs="Arial"/>
          <w:sz w:val="20"/>
          <w:szCs w:val="20"/>
        </w:rPr>
        <w:t xml:space="preserve">[…] </w:t>
      </w:r>
      <w:r w:rsidR="00E92199" w:rsidRPr="00E92199">
        <w:rPr>
          <w:rFonts w:ascii="Arial" w:hAnsi="Arial" w:cs="Arial"/>
          <w:sz w:val="20"/>
          <w:szCs w:val="20"/>
        </w:rPr>
        <w:t xml:space="preserve">en los documentos tipo se reconoce que la «garantía adicional o suplementaria» está asociada a la estabilidad y calidad de la obra. De igual forma, el proponente ofertará la vigencia de la garantía adicional a partir del vencimiento del plazo del amparo de estabilidad y calidad de la obra. En virtud de lo dispuesto en </w:t>
      </w:r>
      <w:r w:rsidR="00E92199" w:rsidRPr="00E92199">
        <w:rPr>
          <w:rFonts w:ascii="Arial" w:eastAsia="Calibri" w:hAnsi="Arial" w:cs="Arial"/>
          <w:sz w:val="20"/>
          <w:szCs w:val="20"/>
          <w:lang w:eastAsia="es-ES_tradnl"/>
        </w:rPr>
        <w:t xml:space="preserve">el artículo 2.2.1.2.3.1.7 </w:t>
      </w:r>
      <w:r w:rsidR="00E92199" w:rsidRPr="00E92199">
        <w:rPr>
          <w:rFonts w:ascii="Arial" w:hAnsi="Arial" w:cs="Arial"/>
          <w:sz w:val="20"/>
          <w:szCs w:val="20"/>
        </w:rPr>
        <w:t>Decreto 1082 de 2015 este amparo cubre a la Entidad Estatal de los perjuicios ocasionados por cualquier tipo de daño o deterioro, imputable al contratista, sufrido por la obra entregada a satisfacción.</w:t>
      </w:r>
      <w:r w:rsidR="00E92199" w:rsidRPr="00E92199">
        <w:rPr>
          <w:rFonts w:ascii="Arial" w:eastAsia="Calibri" w:hAnsi="Arial" w:cs="Arial"/>
          <w:sz w:val="20"/>
          <w:szCs w:val="20"/>
          <w:lang w:eastAsia="es-ES_tradnl"/>
        </w:rPr>
        <w:t xml:space="preserve"> Para este factor, la entidad otorgará el puntaje que determine de acuerdo con el número de meses que el proponente ofrezca como vigencia de la garantía adicional. </w:t>
      </w:r>
      <w:r w:rsidR="00E92199" w:rsidRPr="00E92199">
        <w:rPr>
          <w:rFonts w:ascii="Arial" w:eastAsia="Arial" w:hAnsi="Arial" w:cs="Arial"/>
          <w:sz w:val="20"/>
          <w:szCs w:val="20"/>
        </w:rPr>
        <w:t xml:space="preserve">Por tanto, le corresponde al oferente diligenciar el «Formato 7D – Garantía suplementaria o adicional», donde indicará bajo la gravedad de juramento cuál es el compromiso que asume respecto del número de meses de la garantía suplementaria o adicional. Para lo anterior, este formato contiene la siguiente nota en corchetes y resaltado en gris: </w:t>
      </w:r>
      <w:r w:rsidR="00E92199" w:rsidRPr="00E92199">
        <w:rPr>
          <w:rFonts w:ascii="Arial" w:eastAsiaTheme="minorEastAsia" w:hAnsi="Arial" w:cs="Arial"/>
          <w:sz w:val="20"/>
          <w:szCs w:val="20"/>
        </w:rPr>
        <w:t xml:space="preserve">La garantía adicional o suplementaria será otorgada por el término de </w:t>
      </w:r>
      <w:r w:rsidR="00E92199" w:rsidRPr="00E92199">
        <w:rPr>
          <w:rFonts w:ascii="Arial" w:eastAsiaTheme="minorEastAsia" w:hAnsi="Arial" w:cs="Arial"/>
          <w:sz w:val="20"/>
          <w:szCs w:val="20"/>
          <w:highlight w:val="lightGray"/>
        </w:rPr>
        <w:t>[Señalar el número de meses que no supere el plazo establecido en el documento base]</w:t>
      </w:r>
      <w:r w:rsidR="00E92199" w:rsidRPr="00E92199">
        <w:rPr>
          <w:rFonts w:ascii="Arial" w:eastAsiaTheme="minorEastAsia" w:hAnsi="Arial" w:cs="Arial"/>
          <w:sz w:val="20"/>
          <w:szCs w:val="20"/>
        </w:rPr>
        <w:t>.</w:t>
      </w:r>
    </w:p>
    <w:p w14:paraId="51354F2C" w14:textId="3F3B8BEA" w:rsidR="00E92199" w:rsidRPr="00E92199" w:rsidRDefault="00E92199" w:rsidP="00CC79DE">
      <w:pPr>
        <w:jc w:val="both"/>
        <w:rPr>
          <w:rFonts w:ascii="Arial" w:eastAsiaTheme="minorEastAsia" w:hAnsi="Arial" w:cs="Arial"/>
          <w:sz w:val="20"/>
          <w:szCs w:val="20"/>
        </w:rPr>
      </w:pPr>
    </w:p>
    <w:p w14:paraId="3EDBB103" w14:textId="77777777" w:rsidR="00C6675D" w:rsidRPr="00E92199" w:rsidRDefault="00C6675D" w:rsidP="00CC79DE">
      <w:pPr>
        <w:jc w:val="both"/>
        <w:rPr>
          <w:rFonts w:ascii="Arial" w:eastAsiaTheme="minorEastAsia" w:hAnsi="Arial" w:cs="Arial"/>
          <w:sz w:val="20"/>
          <w:szCs w:val="20"/>
        </w:rPr>
      </w:pPr>
    </w:p>
    <w:p w14:paraId="0113DB3B" w14:textId="77777777" w:rsidR="00460793" w:rsidRDefault="00460793" w:rsidP="00CC79DE">
      <w:pPr>
        <w:jc w:val="both"/>
        <w:rPr>
          <w:rFonts w:ascii="Arial" w:eastAsiaTheme="minorEastAsia" w:hAnsi="Arial" w:cs="Arial"/>
          <w:sz w:val="20"/>
          <w:szCs w:val="20"/>
        </w:rPr>
      </w:pPr>
    </w:p>
    <w:p w14:paraId="398E1B06" w14:textId="70875BA3" w:rsidR="00460793" w:rsidRDefault="00460793" w:rsidP="00CC79DE">
      <w:pPr>
        <w:jc w:val="both"/>
        <w:rPr>
          <w:rFonts w:ascii="Arial" w:eastAsiaTheme="minorEastAsia" w:hAnsi="Arial" w:cs="Arial"/>
          <w:sz w:val="20"/>
          <w:szCs w:val="20"/>
        </w:rPr>
      </w:pPr>
      <w:r w:rsidRPr="00460793">
        <w:rPr>
          <w:rFonts w:ascii="Arial" w:eastAsiaTheme="minorEastAsia" w:hAnsi="Arial" w:cs="Arial"/>
          <w:sz w:val="20"/>
          <w:szCs w:val="20"/>
        </w:rPr>
        <w:t xml:space="preserve">En ese orden, los proponentes estarán en la libertad de ofertar el número de meses de garantía adicional que este en capacidad de ofrecer, sin rebasar el tope establecido por la entidad.  </w:t>
      </w:r>
    </w:p>
    <w:p w14:paraId="13D37B99" w14:textId="77777777" w:rsidR="00071287" w:rsidRDefault="00071287" w:rsidP="00CC79DE">
      <w:pPr>
        <w:jc w:val="both"/>
        <w:rPr>
          <w:rFonts w:ascii="Arial" w:eastAsiaTheme="minorEastAsia" w:hAnsi="Arial" w:cs="Arial"/>
          <w:sz w:val="20"/>
          <w:szCs w:val="20"/>
        </w:rPr>
      </w:pPr>
    </w:p>
    <w:p w14:paraId="7691F8BD" w14:textId="73991D26" w:rsidR="006E39EA" w:rsidRDefault="00E92199" w:rsidP="00CC79DE">
      <w:pPr>
        <w:jc w:val="both"/>
        <w:rPr>
          <w:rFonts w:ascii="Arial" w:eastAsiaTheme="minorEastAsia" w:hAnsi="Arial" w:cs="Arial"/>
          <w:sz w:val="20"/>
          <w:szCs w:val="20"/>
        </w:rPr>
      </w:pPr>
      <w:r w:rsidRPr="00E92199">
        <w:rPr>
          <w:rFonts w:ascii="Arial" w:eastAsiaTheme="minorEastAsia" w:hAnsi="Arial" w:cs="Arial"/>
          <w:sz w:val="20"/>
          <w:szCs w:val="20"/>
        </w:rPr>
        <w:t>En todo caso, se reitera que de acuerdo con lo establecido en el documento base, la asignación del puntaje correspondiente al factor de calidad se hace en función del número de meses ofertados de vigencia de la garantía suplementaria o adicional, y no en relación con la frecuencia del seguimiento durante el término de vigencia de aquella. En ese sentido la evaluación del factor de calidad de la garantía suplementaría está determinada por los meses durante los cuales el contratista ofrece</w:t>
      </w:r>
      <w:r w:rsidR="00071287">
        <w:rPr>
          <w:rFonts w:ascii="Arial" w:eastAsiaTheme="minorEastAsia" w:hAnsi="Arial" w:cs="Arial"/>
          <w:sz w:val="20"/>
          <w:szCs w:val="20"/>
        </w:rPr>
        <w:t xml:space="preserve"> mantener la garantía adicional respetando el tope establecido por la entidad en el documento base, </w:t>
      </w:r>
      <w:r w:rsidR="00071287" w:rsidRPr="00E92199">
        <w:rPr>
          <w:rFonts w:ascii="Arial" w:eastAsiaTheme="minorEastAsia" w:hAnsi="Arial" w:cs="Arial"/>
          <w:sz w:val="20"/>
          <w:szCs w:val="20"/>
        </w:rPr>
        <w:t>independientemente</w:t>
      </w:r>
      <w:r w:rsidRPr="00E92199">
        <w:rPr>
          <w:rFonts w:ascii="Arial" w:eastAsiaTheme="minorEastAsia" w:hAnsi="Arial" w:cs="Arial"/>
          <w:sz w:val="20"/>
          <w:szCs w:val="20"/>
        </w:rPr>
        <w:t xml:space="preserve"> de la frecuencia del seguimient</w:t>
      </w:r>
      <w:r w:rsidR="00071287">
        <w:rPr>
          <w:rFonts w:ascii="Arial" w:eastAsiaTheme="minorEastAsia" w:hAnsi="Arial" w:cs="Arial"/>
          <w:sz w:val="20"/>
          <w:szCs w:val="20"/>
        </w:rPr>
        <w:t>o que indique en el Formato 7D.</w:t>
      </w:r>
    </w:p>
    <w:p w14:paraId="701DA5CE" w14:textId="54EC3985" w:rsidR="000C400F" w:rsidRDefault="000C400F" w:rsidP="00CC79DE">
      <w:pPr>
        <w:jc w:val="both"/>
        <w:rPr>
          <w:rFonts w:ascii="Arial" w:eastAsiaTheme="minorEastAsia" w:hAnsi="Arial" w:cs="Arial"/>
          <w:sz w:val="20"/>
          <w:szCs w:val="20"/>
        </w:rPr>
      </w:pPr>
    </w:p>
    <w:p w14:paraId="05679835" w14:textId="2D810A4F" w:rsidR="000C400F" w:rsidRDefault="000C400F" w:rsidP="00CC79DE">
      <w:pPr>
        <w:jc w:val="both"/>
        <w:rPr>
          <w:rFonts w:ascii="Arial" w:eastAsiaTheme="minorEastAsia" w:hAnsi="Arial" w:cs="Arial"/>
          <w:sz w:val="20"/>
          <w:szCs w:val="20"/>
        </w:rPr>
      </w:pPr>
      <w:r>
        <w:rPr>
          <w:rFonts w:ascii="Arial" w:hAnsi="Arial" w:cs="Arial"/>
          <w:b/>
          <w:sz w:val="22"/>
        </w:rPr>
        <w:t>GARANTÍA ADICIONAL O SUPLEMENTARIA – Formato 7D – Frecuencia de seguimiento - Regla supletiva</w:t>
      </w:r>
    </w:p>
    <w:p w14:paraId="5860ED6E" w14:textId="7A4B14AA" w:rsidR="003569FD" w:rsidRDefault="003569FD" w:rsidP="00CC79DE">
      <w:pPr>
        <w:jc w:val="both"/>
        <w:rPr>
          <w:rFonts w:ascii="Arial" w:eastAsiaTheme="minorEastAsia" w:hAnsi="Arial" w:cs="Arial"/>
          <w:sz w:val="20"/>
          <w:szCs w:val="20"/>
        </w:rPr>
      </w:pPr>
    </w:p>
    <w:p w14:paraId="78D4C5B8" w14:textId="2692EA89" w:rsidR="000C400F" w:rsidRPr="000C400F" w:rsidRDefault="000C400F" w:rsidP="000C400F">
      <w:pPr>
        <w:autoSpaceDE w:val="0"/>
        <w:autoSpaceDN w:val="0"/>
        <w:adjustRightInd w:val="0"/>
        <w:jc w:val="both"/>
        <w:rPr>
          <w:rFonts w:ascii="Arial" w:hAnsi="Arial" w:cs="Arial"/>
          <w:color w:val="000000"/>
          <w:sz w:val="20"/>
          <w:szCs w:val="20"/>
        </w:rPr>
      </w:pPr>
      <w:r w:rsidRPr="000C400F">
        <w:rPr>
          <w:rFonts w:ascii="Arial" w:hAnsi="Arial" w:cs="Arial"/>
          <w:color w:val="000000"/>
          <w:sz w:val="20"/>
          <w:szCs w:val="20"/>
        </w:rPr>
        <w:t xml:space="preserve">[…] la garantía suplementaria o adicional prevista en el Formato 7D opera una vez haya expirado la garantía de calidad y estabilidad de la obra, y tiene un carácter supletivo frente al seguimiento.  Esto significa que, </w:t>
      </w:r>
      <w:r>
        <w:rPr>
          <w:rFonts w:ascii="Arial" w:hAnsi="Arial" w:cs="Arial"/>
          <w:color w:val="000000"/>
          <w:sz w:val="20"/>
          <w:szCs w:val="20"/>
        </w:rPr>
        <w:t>en primer lugar</w:t>
      </w:r>
      <w:r w:rsidRPr="000C400F">
        <w:rPr>
          <w:rFonts w:ascii="Arial" w:hAnsi="Arial" w:cs="Arial"/>
          <w:color w:val="000000"/>
          <w:sz w:val="20"/>
          <w:szCs w:val="20"/>
        </w:rPr>
        <w:t xml:space="preserve">, el seguimiento a esta garantía </w:t>
      </w:r>
      <w:r>
        <w:rPr>
          <w:rFonts w:ascii="Arial" w:hAnsi="Arial" w:cs="Arial"/>
          <w:color w:val="000000"/>
          <w:sz w:val="20"/>
          <w:szCs w:val="20"/>
        </w:rPr>
        <w:t xml:space="preserve">debe realizarlo la entidad estatal, pues </w:t>
      </w:r>
      <w:r w:rsidRPr="000C400F">
        <w:rPr>
          <w:rFonts w:ascii="Arial" w:hAnsi="Arial" w:cs="Arial"/>
          <w:color w:val="000000"/>
          <w:sz w:val="20"/>
          <w:szCs w:val="20"/>
        </w:rPr>
        <w:t xml:space="preserve">tiene carácter vinculante </w:t>
      </w:r>
      <w:r w:rsidR="00737474">
        <w:rPr>
          <w:rFonts w:ascii="Arial" w:hAnsi="Arial" w:cs="Arial"/>
          <w:color w:val="000000"/>
          <w:sz w:val="20"/>
          <w:szCs w:val="20"/>
        </w:rPr>
        <w:t>para aquella</w:t>
      </w:r>
      <w:r w:rsidR="002F3B3F">
        <w:rPr>
          <w:rFonts w:ascii="Arial" w:hAnsi="Arial" w:cs="Arial"/>
          <w:color w:val="000000"/>
          <w:sz w:val="20"/>
          <w:szCs w:val="20"/>
        </w:rPr>
        <w:t xml:space="preserve">, quien </w:t>
      </w:r>
      <w:r w:rsidRPr="000C400F">
        <w:rPr>
          <w:rFonts w:ascii="Arial" w:hAnsi="Arial" w:cs="Arial"/>
          <w:color w:val="000000"/>
          <w:sz w:val="20"/>
          <w:szCs w:val="20"/>
        </w:rPr>
        <w:t>debe hacer el seguimiento de su cumplimiento conforme a lo indicado en el numeral 4 del artículo 4 de la Ley 80 de 1993; no obstante, en aquellos casos en que la entidad estatal no designe a una persona para realizar el seguimiento, lo hará el contratista de manera supletiva en la frecuencia que se haya comprometido en el Formato 7D.</w:t>
      </w:r>
    </w:p>
    <w:p w14:paraId="2D64BDE3" w14:textId="77777777" w:rsidR="003569FD" w:rsidRPr="000C400F" w:rsidRDefault="003569FD" w:rsidP="00CC79DE">
      <w:pPr>
        <w:jc w:val="both"/>
        <w:rPr>
          <w:rFonts w:ascii="Arial" w:eastAsiaTheme="minorEastAsia" w:hAnsi="Arial" w:cs="Arial"/>
          <w:sz w:val="20"/>
          <w:szCs w:val="20"/>
        </w:rPr>
      </w:pPr>
    </w:p>
    <w:p w14:paraId="6C3553A5" w14:textId="77777777" w:rsidR="00F61483" w:rsidRDefault="00F61483" w:rsidP="00892B83">
      <w:pPr>
        <w:tabs>
          <w:tab w:val="left" w:pos="709"/>
        </w:tabs>
        <w:spacing w:line="276" w:lineRule="auto"/>
        <w:jc w:val="right"/>
        <w:rPr>
          <w:rFonts w:ascii="Arial" w:hAnsi="Arial" w:cs="Arial"/>
          <w:b/>
          <w:bCs/>
          <w:sz w:val="18"/>
          <w:szCs w:val="18"/>
          <w:lang w:val="es-CO"/>
        </w:rPr>
      </w:pPr>
    </w:p>
    <w:p w14:paraId="50887135" w14:textId="77777777" w:rsidR="00F61483" w:rsidRDefault="00F61483" w:rsidP="00892B83">
      <w:pPr>
        <w:tabs>
          <w:tab w:val="left" w:pos="709"/>
        </w:tabs>
        <w:spacing w:line="276" w:lineRule="auto"/>
        <w:jc w:val="right"/>
        <w:rPr>
          <w:rFonts w:ascii="Arial" w:hAnsi="Arial" w:cs="Arial"/>
          <w:b/>
          <w:bCs/>
          <w:sz w:val="18"/>
          <w:szCs w:val="18"/>
          <w:lang w:val="es-CO"/>
        </w:rPr>
      </w:pPr>
    </w:p>
    <w:p w14:paraId="4EFA2F1F" w14:textId="77777777" w:rsidR="00F61483" w:rsidRDefault="00F61483" w:rsidP="00892B83">
      <w:pPr>
        <w:tabs>
          <w:tab w:val="left" w:pos="709"/>
        </w:tabs>
        <w:spacing w:line="276" w:lineRule="auto"/>
        <w:jc w:val="right"/>
        <w:rPr>
          <w:rFonts w:ascii="Arial" w:hAnsi="Arial" w:cs="Arial"/>
          <w:b/>
          <w:bCs/>
          <w:sz w:val="18"/>
          <w:szCs w:val="18"/>
          <w:lang w:val="es-CO"/>
        </w:rPr>
      </w:pPr>
    </w:p>
    <w:p w14:paraId="514DE248" w14:textId="77777777" w:rsidR="00F61483" w:rsidRDefault="00F61483" w:rsidP="00892B83">
      <w:pPr>
        <w:tabs>
          <w:tab w:val="left" w:pos="709"/>
        </w:tabs>
        <w:spacing w:line="276" w:lineRule="auto"/>
        <w:jc w:val="right"/>
        <w:rPr>
          <w:rFonts w:ascii="Arial" w:hAnsi="Arial" w:cs="Arial"/>
          <w:b/>
          <w:bCs/>
          <w:sz w:val="18"/>
          <w:szCs w:val="18"/>
          <w:lang w:val="es-CO"/>
        </w:rPr>
      </w:pPr>
    </w:p>
    <w:p w14:paraId="68BC7427" w14:textId="77777777" w:rsidR="00F61483" w:rsidRDefault="00F61483" w:rsidP="00892B83">
      <w:pPr>
        <w:tabs>
          <w:tab w:val="left" w:pos="709"/>
        </w:tabs>
        <w:spacing w:line="276" w:lineRule="auto"/>
        <w:jc w:val="right"/>
        <w:rPr>
          <w:rFonts w:ascii="Arial" w:hAnsi="Arial" w:cs="Arial"/>
          <w:b/>
          <w:bCs/>
          <w:sz w:val="18"/>
          <w:szCs w:val="18"/>
          <w:lang w:val="es-CO"/>
        </w:rPr>
      </w:pPr>
    </w:p>
    <w:p w14:paraId="22E4451F" w14:textId="77777777" w:rsidR="00F61483" w:rsidRDefault="00F61483" w:rsidP="00892B83">
      <w:pPr>
        <w:tabs>
          <w:tab w:val="left" w:pos="709"/>
        </w:tabs>
        <w:spacing w:line="276" w:lineRule="auto"/>
        <w:jc w:val="right"/>
        <w:rPr>
          <w:rFonts w:ascii="Arial" w:hAnsi="Arial" w:cs="Arial"/>
          <w:b/>
          <w:bCs/>
          <w:sz w:val="18"/>
          <w:szCs w:val="18"/>
          <w:lang w:val="es-CO"/>
        </w:rPr>
      </w:pPr>
    </w:p>
    <w:p w14:paraId="6E715E22" w14:textId="77777777" w:rsidR="00F61483" w:rsidRDefault="00F61483" w:rsidP="00892B83">
      <w:pPr>
        <w:tabs>
          <w:tab w:val="left" w:pos="709"/>
        </w:tabs>
        <w:spacing w:line="276" w:lineRule="auto"/>
        <w:jc w:val="right"/>
        <w:rPr>
          <w:rFonts w:ascii="Arial" w:hAnsi="Arial" w:cs="Arial"/>
          <w:b/>
          <w:bCs/>
          <w:sz w:val="18"/>
          <w:szCs w:val="18"/>
          <w:lang w:val="es-CO"/>
        </w:rPr>
      </w:pPr>
    </w:p>
    <w:p w14:paraId="2C4E9818" w14:textId="77777777" w:rsidR="00F61483" w:rsidRDefault="00F61483" w:rsidP="00892B83">
      <w:pPr>
        <w:tabs>
          <w:tab w:val="left" w:pos="709"/>
        </w:tabs>
        <w:spacing w:line="276" w:lineRule="auto"/>
        <w:jc w:val="right"/>
        <w:rPr>
          <w:rFonts w:ascii="Arial" w:hAnsi="Arial" w:cs="Arial"/>
          <w:b/>
          <w:bCs/>
          <w:sz w:val="18"/>
          <w:szCs w:val="18"/>
          <w:lang w:val="es-CO"/>
        </w:rPr>
      </w:pPr>
    </w:p>
    <w:p w14:paraId="1418599F" w14:textId="77777777" w:rsidR="00F61483" w:rsidRDefault="00F61483" w:rsidP="00892B83">
      <w:pPr>
        <w:tabs>
          <w:tab w:val="left" w:pos="709"/>
        </w:tabs>
        <w:spacing w:line="276" w:lineRule="auto"/>
        <w:jc w:val="right"/>
        <w:rPr>
          <w:rFonts w:ascii="Arial" w:hAnsi="Arial" w:cs="Arial"/>
          <w:b/>
          <w:bCs/>
          <w:sz w:val="18"/>
          <w:szCs w:val="18"/>
          <w:lang w:val="es-CO"/>
        </w:rPr>
      </w:pPr>
    </w:p>
    <w:p w14:paraId="0E1AA099" w14:textId="77777777" w:rsidR="00F61483" w:rsidRDefault="00F61483" w:rsidP="00892B83">
      <w:pPr>
        <w:tabs>
          <w:tab w:val="left" w:pos="709"/>
        </w:tabs>
        <w:spacing w:line="276" w:lineRule="auto"/>
        <w:jc w:val="right"/>
        <w:rPr>
          <w:rFonts w:ascii="Arial" w:hAnsi="Arial" w:cs="Arial"/>
          <w:b/>
          <w:bCs/>
          <w:sz w:val="18"/>
          <w:szCs w:val="18"/>
          <w:lang w:val="es-CO"/>
        </w:rPr>
      </w:pPr>
    </w:p>
    <w:p w14:paraId="5E1EB4E7" w14:textId="77777777" w:rsidR="00F61483" w:rsidRDefault="00F61483" w:rsidP="00892B83">
      <w:pPr>
        <w:tabs>
          <w:tab w:val="left" w:pos="709"/>
        </w:tabs>
        <w:spacing w:line="276" w:lineRule="auto"/>
        <w:jc w:val="right"/>
        <w:rPr>
          <w:rFonts w:ascii="Arial" w:hAnsi="Arial" w:cs="Arial"/>
          <w:b/>
          <w:bCs/>
          <w:sz w:val="18"/>
          <w:szCs w:val="18"/>
          <w:lang w:val="es-CO"/>
        </w:rPr>
      </w:pPr>
    </w:p>
    <w:p w14:paraId="644DD06E" w14:textId="77777777" w:rsidR="00F61483" w:rsidRDefault="00F61483" w:rsidP="00892B83">
      <w:pPr>
        <w:tabs>
          <w:tab w:val="left" w:pos="709"/>
        </w:tabs>
        <w:spacing w:line="276" w:lineRule="auto"/>
        <w:jc w:val="right"/>
        <w:rPr>
          <w:rFonts w:ascii="Arial" w:hAnsi="Arial" w:cs="Arial"/>
          <w:b/>
          <w:bCs/>
          <w:sz w:val="18"/>
          <w:szCs w:val="18"/>
          <w:lang w:val="es-CO"/>
        </w:rPr>
      </w:pPr>
    </w:p>
    <w:p w14:paraId="374FAAA6" w14:textId="77777777" w:rsidR="00F61483" w:rsidRDefault="00F61483" w:rsidP="00892B83">
      <w:pPr>
        <w:tabs>
          <w:tab w:val="left" w:pos="709"/>
        </w:tabs>
        <w:spacing w:line="276" w:lineRule="auto"/>
        <w:jc w:val="right"/>
        <w:rPr>
          <w:rFonts w:ascii="Arial" w:hAnsi="Arial" w:cs="Arial"/>
          <w:b/>
          <w:bCs/>
          <w:sz w:val="18"/>
          <w:szCs w:val="18"/>
          <w:lang w:val="es-CO"/>
        </w:rPr>
      </w:pPr>
    </w:p>
    <w:p w14:paraId="23BF5CA5" w14:textId="77777777" w:rsidR="00F61483" w:rsidRDefault="00F61483" w:rsidP="00892B83">
      <w:pPr>
        <w:tabs>
          <w:tab w:val="left" w:pos="709"/>
        </w:tabs>
        <w:spacing w:line="276" w:lineRule="auto"/>
        <w:jc w:val="right"/>
        <w:rPr>
          <w:rFonts w:ascii="Arial" w:hAnsi="Arial" w:cs="Arial"/>
          <w:b/>
          <w:bCs/>
          <w:sz w:val="18"/>
          <w:szCs w:val="18"/>
          <w:lang w:val="es-CO"/>
        </w:rPr>
      </w:pPr>
    </w:p>
    <w:p w14:paraId="034241B6" w14:textId="77777777" w:rsidR="00F61483" w:rsidRDefault="00F61483" w:rsidP="00892B83">
      <w:pPr>
        <w:tabs>
          <w:tab w:val="left" w:pos="709"/>
        </w:tabs>
        <w:spacing w:line="276" w:lineRule="auto"/>
        <w:jc w:val="right"/>
        <w:rPr>
          <w:rFonts w:ascii="Arial" w:hAnsi="Arial" w:cs="Arial"/>
          <w:b/>
          <w:bCs/>
          <w:sz w:val="18"/>
          <w:szCs w:val="18"/>
          <w:lang w:val="es-CO"/>
        </w:rPr>
      </w:pPr>
    </w:p>
    <w:p w14:paraId="5CBB7842" w14:textId="77777777" w:rsidR="00F61483" w:rsidRDefault="00F61483" w:rsidP="00892B83">
      <w:pPr>
        <w:tabs>
          <w:tab w:val="left" w:pos="709"/>
        </w:tabs>
        <w:spacing w:line="276" w:lineRule="auto"/>
        <w:jc w:val="right"/>
        <w:rPr>
          <w:rFonts w:ascii="Arial" w:hAnsi="Arial" w:cs="Arial"/>
          <w:b/>
          <w:bCs/>
          <w:sz w:val="18"/>
          <w:szCs w:val="18"/>
          <w:lang w:val="es-CO"/>
        </w:rPr>
      </w:pPr>
    </w:p>
    <w:p w14:paraId="1303908E" w14:textId="77777777" w:rsidR="00F61483" w:rsidRDefault="00F61483" w:rsidP="00892B83">
      <w:pPr>
        <w:tabs>
          <w:tab w:val="left" w:pos="709"/>
        </w:tabs>
        <w:spacing w:line="276" w:lineRule="auto"/>
        <w:jc w:val="right"/>
        <w:rPr>
          <w:rFonts w:ascii="Arial" w:hAnsi="Arial" w:cs="Arial"/>
          <w:b/>
          <w:bCs/>
          <w:sz w:val="18"/>
          <w:szCs w:val="18"/>
          <w:lang w:val="es-CO"/>
        </w:rPr>
      </w:pPr>
    </w:p>
    <w:p w14:paraId="02B6C01D" w14:textId="77777777" w:rsidR="00F61483" w:rsidRDefault="00F61483" w:rsidP="00892B83">
      <w:pPr>
        <w:tabs>
          <w:tab w:val="left" w:pos="709"/>
        </w:tabs>
        <w:spacing w:line="276" w:lineRule="auto"/>
        <w:jc w:val="right"/>
        <w:rPr>
          <w:rFonts w:ascii="Arial" w:hAnsi="Arial" w:cs="Arial"/>
          <w:b/>
          <w:bCs/>
          <w:sz w:val="18"/>
          <w:szCs w:val="18"/>
          <w:lang w:val="es-CO"/>
        </w:rPr>
      </w:pPr>
    </w:p>
    <w:p w14:paraId="479665FE" w14:textId="77777777" w:rsidR="00F61483" w:rsidRDefault="00F61483" w:rsidP="00892B83">
      <w:pPr>
        <w:tabs>
          <w:tab w:val="left" w:pos="709"/>
        </w:tabs>
        <w:spacing w:line="276" w:lineRule="auto"/>
        <w:jc w:val="right"/>
        <w:rPr>
          <w:rFonts w:ascii="Arial" w:hAnsi="Arial" w:cs="Arial"/>
          <w:b/>
          <w:bCs/>
          <w:sz w:val="18"/>
          <w:szCs w:val="18"/>
          <w:lang w:val="es-CO"/>
        </w:rPr>
      </w:pPr>
    </w:p>
    <w:p w14:paraId="25F7E1EE" w14:textId="77777777" w:rsidR="00F61483" w:rsidRDefault="00F61483" w:rsidP="00892B83">
      <w:pPr>
        <w:tabs>
          <w:tab w:val="left" w:pos="709"/>
        </w:tabs>
        <w:spacing w:line="276" w:lineRule="auto"/>
        <w:jc w:val="right"/>
        <w:rPr>
          <w:rFonts w:ascii="Arial" w:hAnsi="Arial" w:cs="Arial"/>
          <w:b/>
          <w:bCs/>
          <w:sz w:val="18"/>
          <w:szCs w:val="18"/>
          <w:lang w:val="es-CO"/>
        </w:rPr>
      </w:pPr>
    </w:p>
    <w:p w14:paraId="5D130F68" w14:textId="77777777" w:rsidR="00F61483" w:rsidRDefault="00F61483" w:rsidP="00892B83">
      <w:pPr>
        <w:tabs>
          <w:tab w:val="left" w:pos="709"/>
        </w:tabs>
        <w:spacing w:line="276" w:lineRule="auto"/>
        <w:jc w:val="right"/>
        <w:rPr>
          <w:rFonts w:ascii="Arial" w:hAnsi="Arial" w:cs="Arial"/>
          <w:b/>
          <w:bCs/>
          <w:sz w:val="18"/>
          <w:szCs w:val="18"/>
          <w:lang w:val="es-CO"/>
        </w:rPr>
      </w:pPr>
    </w:p>
    <w:p w14:paraId="0361866C" w14:textId="77777777" w:rsidR="00F61483" w:rsidRDefault="00F61483" w:rsidP="00892B83">
      <w:pPr>
        <w:tabs>
          <w:tab w:val="left" w:pos="709"/>
        </w:tabs>
        <w:spacing w:line="276" w:lineRule="auto"/>
        <w:jc w:val="right"/>
        <w:rPr>
          <w:rFonts w:ascii="Arial" w:hAnsi="Arial" w:cs="Arial"/>
          <w:b/>
          <w:bCs/>
          <w:sz w:val="18"/>
          <w:szCs w:val="18"/>
          <w:lang w:val="es-CO"/>
        </w:rPr>
      </w:pPr>
    </w:p>
    <w:p w14:paraId="5E7BF5C1" w14:textId="77777777" w:rsidR="00F61483" w:rsidRDefault="00F61483" w:rsidP="00892B83">
      <w:pPr>
        <w:tabs>
          <w:tab w:val="left" w:pos="709"/>
        </w:tabs>
        <w:spacing w:line="276" w:lineRule="auto"/>
        <w:jc w:val="right"/>
        <w:rPr>
          <w:rFonts w:ascii="Arial" w:hAnsi="Arial" w:cs="Arial"/>
          <w:b/>
          <w:bCs/>
          <w:sz w:val="18"/>
          <w:szCs w:val="18"/>
          <w:lang w:val="es-CO"/>
        </w:rPr>
      </w:pPr>
    </w:p>
    <w:p w14:paraId="2E346942" w14:textId="77777777" w:rsidR="00F61483" w:rsidRDefault="00F61483" w:rsidP="00892B83">
      <w:pPr>
        <w:tabs>
          <w:tab w:val="left" w:pos="709"/>
        </w:tabs>
        <w:spacing w:line="276" w:lineRule="auto"/>
        <w:jc w:val="right"/>
        <w:rPr>
          <w:rFonts w:ascii="Arial" w:hAnsi="Arial" w:cs="Arial"/>
          <w:b/>
          <w:bCs/>
          <w:sz w:val="18"/>
          <w:szCs w:val="18"/>
          <w:lang w:val="es-CO"/>
        </w:rPr>
      </w:pPr>
    </w:p>
    <w:p w14:paraId="1F8D5B9B" w14:textId="77777777" w:rsidR="00F61483" w:rsidRDefault="00F61483" w:rsidP="00892B83">
      <w:pPr>
        <w:tabs>
          <w:tab w:val="left" w:pos="709"/>
        </w:tabs>
        <w:spacing w:line="276" w:lineRule="auto"/>
        <w:jc w:val="right"/>
        <w:rPr>
          <w:rFonts w:ascii="Arial" w:hAnsi="Arial" w:cs="Arial"/>
          <w:b/>
          <w:bCs/>
          <w:sz w:val="18"/>
          <w:szCs w:val="18"/>
          <w:lang w:val="es-CO"/>
        </w:rPr>
      </w:pPr>
    </w:p>
    <w:p w14:paraId="530D42A4" w14:textId="77777777" w:rsidR="00F61483" w:rsidRDefault="00F61483" w:rsidP="00892B83">
      <w:pPr>
        <w:tabs>
          <w:tab w:val="left" w:pos="709"/>
        </w:tabs>
        <w:spacing w:line="276" w:lineRule="auto"/>
        <w:jc w:val="right"/>
        <w:rPr>
          <w:rFonts w:ascii="Arial" w:hAnsi="Arial" w:cs="Arial"/>
          <w:b/>
          <w:bCs/>
          <w:sz w:val="18"/>
          <w:szCs w:val="18"/>
          <w:lang w:val="es-CO"/>
        </w:rPr>
      </w:pPr>
    </w:p>
    <w:p w14:paraId="429ECA33" w14:textId="77777777" w:rsidR="00F61483" w:rsidRDefault="00F61483" w:rsidP="00892B83">
      <w:pPr>
        <w:tabs>
          <w:tab w:val="left" w:pos="709"/>
        </w:tabs>
        <w:spacing w:line="276" w:lineRule="auto"/>
        <w:jc w:val="right"/>
        <w:rPr>
          <w:rFonts w:ascii="Arial" w:hAnsi="Arial" w:cs="Arial"/>
          <w:b/>
          <w:bCs/>
          <w:sz w:val="18"/>
          <w:szCs w:val="18"/>
          <w:lang w:val="es-CO"/>
        </w:rPr>
      </w:pPr>
    </w:p>
    <w:p w14:paraId="3B3A9164" w14:textId="77777777" w:rsidR="00F61483" w:rsidRDefault="00F61483" w:rsidP="00892B83">
      <w:pPr>
        <w:tabs>
          <w:tab w:val="left" w:pos="709"/>
        </w:tabs>
        <w:spacing w:line="276" w:lineRule="auto"/>
        <w:jc w:val="right"/>
        <w:rPr>
          <w:rFonts w:ascii="Arial" w:hAnsi="Arial" w:cs="Arial"/>
          <w:b/>
          <w:bCs/>
          <w:sz w:val="18"/>
          <w:szCs w:val="18"/>
          <w:lang w:val="es-CO"/>
        </w:rPr>
      </w:pPr>
    </w:p>
    <w:p w14:paraId="08EE0FF0" w14:textId="5728038E" w:rsidR="003E6461" w:rsidRPr="00830BF0" w:rsidRDefault="00830BF0" w:rsidP="00830BF0">
      <w:pPr>
        <w:tabs>
          <w:tab w:val="left" w:pos="709"/>
        </w:tabs>
        <w:spacing w:line="276" w:lineRule="auto"/>
        <w:jc w:val="right"/>
        <w:rPr>
          <w:rFonts w:ascii="Arial" w:hAnsi="Arial" w:cs="Arial"/>
          <w:b/>
          <w:bCs/>
          <w:sz w:val="18"/>
          <w:szCs w:val="18"/>
          <w:lang w:val="es-CO"/>
        </w:rPr>
      </w:pPr>
      <w:r>
        <w:rPr>
          <w:rFonts w:ascii="Arial" w:hAnsi="Arial" w:cs="Arial"/>
          <w:b/>
          <w:bCs/>
          <w:noProof/>
          <w:sz w:val="18"/>
          <w:szCs w:val="18"/>
          <w:lang w:val="es-CO"/>
        </w:rPr>
        <w:lastRenderedPageBreak/>
        <w:drawing>
          <wp:anchor distT="0" distB="0" distL="114300" distR="114300" simplePos="0" relativeHeight="251658240" behindDoc="1" locked="0" layoutInCell="1" allowOverlap="1" wp14:anchorId="3ED9F45F" wp14:editId="7080678B">
            <wp:simplePos x="0" y="0"/>
            <wp:positionH relativeFrom="column">
              <wp:posOffset>3205802</wp:posOffset>
            </wp:positionH>
            <wp:positionV relativeFrom="paragraph">
              <wp:posOffset>-719247</wp:posOffset>
            </wp:positionV>
            <wp:extent cx="2816000" cy="806400"/>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stretch>
                      <a:fillRect/>
                    </a:stretch>
                  </pic:blipFill>
                  <pic:spPr>
                    <a:xfrm>
                      <a:off x="0" y="0"/>
                      <a:ext cx="2816000" cy="806400"/>
                    </a:xfrm>
                    <a:prstGeom prst="rect">
                      <a:avLst/>
                    </a:prstGeom>
                  </pic:spPr>
                </pic:pic>
              </a:graphicData>
            </a:graphic>
            <wp14:sizeRelH relativeFrom="page">
              <wp14:pctWidth>0</wp14:pctWidth>
            </wp14:sizeRelH>
            <wp14:sizeRelV relativeFrom="page">
              <wp14:pctHeight>0</wp14:pctHeight>
            </wp14:sizeRelV>
          </wp:anchor>
        </w:drawing>
      </w:r>
    </w:p>
    <w:p w14:paraId="28FAA148" w14:textId="77777777" w:rsidR="003E6461" w:rsidRDefault="003E6461" w:rsidP="00EB0BBE">
      <w:pPr>
        <w:rPr>
          <w:rFonts w:ascii="Arial" w:eastAsia="Calibri" w:hAnsi="Arial" w:cs="Arial"/>
          <w:sz w:val="22"/>
        </w:rPr>
      </w:pPr>
    </w:p>
    <w:p w14:paraId="6FD17A9C" w14:textId="4EE5C0CB" w:rsidR="00892B83" w:rsidRPr="00830BF0" w:rsidRDefault="00830BF0" w:rsidP="00830BF0">
      <w:pPr>
        <w:spacing w:before="100" w:beforeAutospacing="1" w:after="100" w:afterAutospacing="1"/>
        <w:rPr>
          <w:rFonts w:ascii="Times New Roman" w:eastAsia="Times New Roman" w:hAnsi="Times New Roman" w:cs="Times New Roman"/>
          <w:szCs w:val="24"/>
          <w:lang w:val="es-CO" w:eastAsia="es-MX"/>
        </w:rPr>
      </w:pPr>
      <w:proofErr w:type="spellStart"/>
      <w:r w:rsidRPr="00830BF0">
        <w:rPr>
          <w:rFonts w:ascii="ArialMT" w:eastAsia="Times New Roman" w:hAnsi="ArialMT" w:cs="Times New Roman"/>
          <w:color w:val="4C4C4C"/>
          <w:sz w:val="22"/>
          <w:lang w:val="es-CO" w:eastAsia="es-MX"/>
        </w:rPr>
        <w:t>Bogota</w:t>
      </w:r>
      <w:proofErr w:type="spellEnd"/>
      <w:r w:rsidRPr="00830BF0">
        <w:rPr>
          <w:rFonts w:ascii="ArialMT" w:eastAsia="Times New Roman" w:hAnsi="ArialMT" w:cs="Times New Roman"/>
          <w:color w:val="4C4C4C"/>
          <w:sz w:val="22"/>
          <w:lang w:val="es-CO" w:eastAsia="es-MX"/>
        </w:rPr>
        <w:t>́, 29 Octubr</w:t>
      </w:r>
      <w:r>
        <w:rPr>
          <w:rFonts w:ascii="ArialMT" w:eastAsia="Times New Roman" w:hAnsi="ArialMT" w:cs="Times New Roman"/>
          <w:color w:val="4C4C4C"/>
          <w:sz w:val="22"/>
          <w:lang w:val="es-CO" w:eastAsia="es-MX"/>
        </w:rPr>
        <w:t>e</w:t>
      </w:r>
      <w:r w:rsidRPr="00830BF0">
        <w:rPr>
          <w:rFonts w:ascii="ArialMT" w:eastAsia="Times New Roman" w:hAnsi="ArialMT" w:cs="Times New Roman"/>
          <w:color w:val="4C4C4C"/>
          <w:sz w:val="22"/>
          <w:lang w:val="es-CO" w:eastAsia="es-MX"/>
        </w:rPr>
        <w:t xml:space="preserve"> 2021</w:t>
      </w:r>
    </w:p>
    <w:p w14:paraId="231BE941" w14:textId="77777777" w:rsidR="003E6461" w:rsidRDefault="003E6461" w:rsidP="00EB0BBE">
      <w:pPr>
        <w:rPr>
          <w:rFonts w:ascii="Arial" w:eastAsia="Calibri" w:hAnsi="Arial" w:cs="Arial"/>
          <w:sz w:val="22"/>
        </w:rPr>
      </w:pPr>
    </w:p>
    <w:p w14:paraId="49783DD7" w14:textId="1FE3502C" w:rsidR="00CF54E6" w:rsidRPr="00A32FFB" w:rsidRDefault="00CF54E6" w:rsidP="00CF54E6">
      <w:pPr>
        <w:spacing w:line="276" w:lineRule="auto"/>
        <w:jc w:val="both"/>
        <w:outlineLvl w:val="0"/>
        <w:rPr>
          <w:rFonts w:ascii="Arial" w:eastAsia="Calibri" w:hAnsi="Arial" w:cs="Arial"/>
          <w:sz w:val="22"/>
          <w:lang w:val="es-ES"/>
        </w:rPr>
      </w:pPr>
      <w:r w:rsidRPr="00A32FFB">
        <w:rPr>
          <w:rFonts w:ascii="Arial" w:eastAsia="Calibri" w:hAnsi="Arial" w:cs="Arial"/>
          <w:sz w:val="22"/>
          <w:lang w:val="es-ES"/>
        </w:rPr>
        <w:t>Señor</w:t>
      </w:r>
    </w:p>
    <w:p w14:paraId="24E93BEC" w14:textId="20D95EC1" w:rsidR="00CF54E6" w:rsidRDefault="001973B7" w:rsidP="00CF54E6">
      <w:pPr>
        <w:spacing w:line="276" w:lineRule="auto"/>
        <w:jc w:val="both"/>
        <w:rPr>
          <w:rFonts w:ascii="Arial" w:hAnsi="Arial" w:cs="Arial"/>
          <w:b/>
          <w:bCs/>
          <w:sz w:val="22"/>
          <w:lang w:val="es-CO"/>
        </w:rPr>
      </w:pPr>
      <w:r>
        <w:rPr>
          <w:rFonts w:ascii="Arial" w:hAnsi="Arial" w:cs="Arial"/>
          <w:b/>
          <w:bCs/>
          <w:sz w:val="22"/>
          <w:lang w:val="es-CO"/>
        </w:rPr>
        <w:t xml:space="preserve">Carlos González Gómez </w:t>
      </w:r>
    </w:p>
    <w:p w14:paraId="52C41654" w14:textId="5325B82D" w:rsidR="00AF1718" w:rsidRPr="0067722F" w:rsidRDefault="00A22A44" w:rsidP="00CF54E6">
      <w:pPr>
        <w:spacing w:line="276" w:lineRule="auto"/>
        <w:jc w:val="both"/>
        <w:rPr>
          <w:rFonts w:ascii="Arial" w:hAnsi="Arial" w:cs="Arial"/>
          <w:sz w:val="22"/>
          <w:lang w:val="es-CO"/>
        </w:rPr>
      </w:pPr>
      <w:r w:rsidRPr="0067722F">
        <w:rPr>
          <w:rFonts w:ascii="Arial" w:hAnsi="Arial" w:cs="Arial"/>
          <w:sz w:val="22"/>
          <w:lang w:val="es-CO"/>
        </w:rPr>
        <w:t>Barrancabermeja</w:t>
      </w:r>
      <w:r w:rsidR="00590087" w:rsidRPr="0067722F">
        <w:rPr>
          <w:rFonts w:ascii="Arial" w:hAnsi="Arial" w:cs="Arial"/>
          <w:sz w:val="22"/>
          <w:lang w:val="es-CO"/>
        </w:rPr>
        <w:t>, Santander</w:t>
      </w:r>
    </w:p>
    <w:p w14:paraId="059319F3" w14:textId="77777777" w:rsidR="000261BB" w:rsidRPr="003F6F8C" w:rsidRDefault="000261BB" w:rsidP="00B67F3A">
      <w:pPr>
        <w:spacing w:line="276" w:lineRule="auto"/>
        <w:rPr>
          <w:rFonts w:ascii="Arial" w:eastAsia="Calibri" w:hAnsi="Arial" w:cs="Arial"/>
          <w:sz w:val="22"/>
        </w:rPr>
      </w:pPr>
    </w:p>
    <w:p w14:paraId="479972ED" w14:textId="77777777" w:rsidR="00AF1718" w:rsidRPr="003F6F8C" w:rsidRDefault="00AF1718" w:rsidP="00B67F3A">
      <w:pPr>
        <w:spacing w:line="276" w:lineRule="auto"/>
        <w:rPr>
          <w:rFonts w:ascii="Arial" w:eastAsia="Calibri" w:hAnsi="Arial" w:cs="Arial"/>
          <w:sz w:val="22"/>
        </w:rPr>
      </w:pPr>
    </w:p>
    <w:p w14:paraId="5D5D21AD" w14:textId="75CE57B3" w:rsidR="00DF5076" w:rsidRPr="003F6F8C" w:rsidRDefault="00C71C51" w:rsidP="002F723E">
      <w:pPr>
        <w:spacing w:line="276" w:lineRule="auto"/>
        <w:ind w:left="2694"/>
        <w:rPr>
          <w:rFonts w:ascii="Arial" w:eastAsia="Calibri" w:hAnsi="Arial" w:cs="Arial"/>
          <w:b/>
          <w:sz w:val="22"/>
        </w:rPr>
      </w:pPr>
      <w:r>
        <w:rPr>
          <w:rFonts w:ascii="Arial" w:eastAsia="Calibri" w:hAnsi="Arial" w:cs="Arial"/>
          <w:b/>
          <w:sz w:val="22"/>
        </w:rPr>
        <w:t>Concepto C</w:t>
      </w:r>
      <w:r w:rsidR="00967D10">
        <w:rPr>
          <w:rFonts w:ascii="Arial" w:eastAsia="Calibri" w:hAnsi="Arial" w:cs="Arial"/>
          <w:b/>
          <w:sz w:val="22"/>
        </w:rPr>
        <w:t xml:space="preserve"> –</w:t>
      </w:r>
      <w:r w:rsidR="00892B83">
        <w:rPr>
          <w:rFonts w:ascii="Arial" w:eastAsia="Calibri" w:hAnsi="Arial" w:cs="Arial"/>
          <w:b/>
          <w:sz w:val="22"/>
        </w:rPr>
        <w:t xml:space="preserve"> </w:t>
      </w:r>
      <w:r w:rsidR="00FD22AE">
        <w:rPr>
          <w:rFonts w:ascii="Arial" w:eastAsia="Calibri" w:hAnsi="Arial" w:cs="Arial"/>
          <w:b/>
          <w:sz w:val="22"/>
        </w:rPr>
        <w:t xml:space="preserve">623 </w:t>
      </w:r>
      <w:r w:rsidR="00AF1718" w:rsidRPr="003F6F8C">
        <w:rPr>
          <w:rFonts w:ascii="Arial" w:eastAsia="Calibri" w:hAnsi="Arial" w:cs="Arial"/>
          <w:b/>
          <w:sz w:val="22"/>
        </w:rPr>
        <w:t>de 2021</w:t>
      </w:r>
    </w:p>
    <w:p w14:paraId="3E52E0FD" w14:textId="77777777" w:rsidR="00E92199" w:rsidRPr="003F6F8C" w:rsidRDefault="00E92199" w:rsidP="00B67F3A">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3F6F8C" w14:paraId="00B1888F" w14:textId="77777777" w:rsidTr="004E51E3">
        <w:tc>
          <w:tcPr>
            <w:tcW w:w="2689" w:type="dxa"/>
            <w:hideMark/>
          </w:tcPr>
          <w:p w14:paraId="6531557F" w14:textId="1160258F" w:rsidR="00AF1718" w:rsidRPr="003F6F8C" w:rsidRDefault="00AF1718" w:rsidP="00B67F3A">
            <w:pPr>
              <w:spacing w:line="276" w:lineRule="auto"/>
              <w:rPr>
                <w:rFonts w:ascii="Arial" w:eastAsia="Calibri" w:hAnsi="Arial" w:cs="Arial"/>
                <w:sz w:val="22"/>
              </w:rPr>
            </w:pPr>
            <w:r w:rsidRPr="003F6F8C">
              <w:rPr>
                <w:rFonts w:ascii="Arial" w:eastAsia="Calibri" w:hAnsi="Arial" w:cs="Arial"/>
                <w:b/>
                <w:sz w:val="22"/>
              </w:rPr>
              <w:t>Temas:</w:t>
            </w:r>
            <w:r w:rsidRPr="003F6F8C">
              <w:rPr>
                <w:rFonts w:ascii="Arial" w:eastAsia="Calibri" w:hAnsi="Arial" w:cs="Arial"/>
                <w:sz w:val="22"/>
              </w:rPr>
              <w:t xml:space="preserve"> </w:t>
            </w:r>
          </w:p>
        </w:tc>
        <w:tc>
          <w:tcPr>
            <w:tcW w:w="6237" w:type="dxa"/>
            <w:hideMark/>
          </w:tcPr>
          <w:p w14:paraId="30A9E48B" w14:textId="7180C53C" w:rsidR="000261BB" w:rsidRPr="00E92199" w:rsidRDefault="00E92199" w:rsidP="002F723E">
            <w:pPr>
              <w:spacing w:after="120"/>
              <w:jc w:val="both"/>
              <w:rPr>
                <w:rFonts w:ascii="Arial" w:hAnsi="Arial" w:cs="Arial"/>
                <w:sz w:val="22"/>
              </w:rPr>
            </w:pPr>
            <w:r w:rsidRPr="00E92199">
              <w:rPr>
                <w:rFonts w:ascii="Arial" w:eastAsia="Arial" w:hAnsi="Arial" w:cs="Arial"/>
                <w:sz w:val="22"/>
              </w:rPr>
              <w:t>DOCUMENTOS TIPO –</w:t>
            </w:r>
            <w:r w:rsidRPr="00E92199">
              <w:rPr>
                <w:rFonts w:ascii="Arial" w:hAnsi="Arial" w:cs="Arial"/>
                <w:color w:val="000000" w:themeColor="text1"/>
                <w:sz w:val="22"/>
                <w:lang w:val="es-ES_tradnl"/>
              </w:rPr>
              <w:t xml:space="preserve"> </w:t>
            </w:r>
            <w:r w:rsidRPr="00E92199">
              <w:rPr>
                <w:rFonts w:ascii="Arial" w:eastAsia="Calibri" w:hAnsi="Arial" w:cs="Arial"/>
                <w:bCs/>
                <w:sz w:val="22"/>
                <w:szCs w:val="24"/>
                <w:lang w:eastAsia="es-ES_tradnl"/>
              </w:rPr>
              <w:t>Obligatoriedad – Inalterabilidad</w:t>
            </w:r>
            <w:r w:rsidR="00460793">
              <w:rPr>
                <w:rFonts w:ascii="Arial" w:eastAsia="Calibri" w:hAnsi="Arial" w:cs="Arial"/>
                <w:bCs/>
                <w:sz w:val="22"/>
                <w:szCs w:val="24"/>
                <w:lang w:eastAsia="es-ES_tradnl"/>
              </w:rPr>
              <w:t xml:space="preserve"> / FACTOR CALIDAD- Formatos - </w:t>
            </w:r>
            <w:r w:rsidR="00737474">
              <w:rPr>
                <w:rFonts w:ascii="Arial" w:eastAsia="Calibri" w:hAnsi="Arial" w:cs="Arial"/>
                <w:bCs/>
                <w:sz w:val="22"/>
                <w:szCs w:val="24"/>
                <w:lang w:eastAsia="es-ES_tradnl"/>
              </w:rPr>
              <w:t xml:space="preserve">Obligatoriedad - </w:t>
            </w:r>
            <w:r w:rsidR="00460793">
              <w:rPr>
                <w:rFonts w:ascii="Arial" w:eastAsia="Calibri" w:hAnsi="Arial" w:cs="Arial"/>
                <w:bCs/>
                <w:sz w:val="22"/>
                <w:szCs w:val="24"/>
                <w:lang w:eastAsia="es-ES_tradnl"/>
              </w:rPr>
              <w:t>Inalterabilidad - Formato 7D</w:t>
            </w:r>
            <w:r w:rsidRPr="00E92199">
              <w:rPr>
                <w:rFonts w:ascii="Arial" w:eastAsia="Calibri" w:hAnsi="Arial" w:cs="Arial"/>
                <w:bCs/>
                <w:sz w:val="22"/>
                <w:szCs w:val="24"/>
                <w:lang w:eastAsia="es-ES_tradnl"/>
              </w:rPr>
              <w:t xml:space="preserve"> / </w:t>
            </w:r>
            <w:r w:rsidRPr="00E92199">
              <w:rPr>
                <w:rFonts w:ascii="Arial" w:hAnsi="Arial" w:cs="Arial"/>
                <w:sz w:val="22"/>
              </w:rPr>
              <w:t>GARANTIA ADICIONAL O SUPLEMENTARIA – Documentos tipo – Formato 7D –</w:t>
            </w:r>
            <w:r>
              <w:rPr>
                <w:rFonts w:ascii="Arial" w:hAnsi="Arial" w:cs="Arial"/>
                <w:sz w:val="22"/>
              </w:rPr>
              <w:t>Frecuencia de seguimiento</w:t>
            </w:r>
            <w:r w:rsidR="00460793">
              <w:rPr>
                <w:rFonts w:ascii="Arial" w:hAnsi="Arial" w:cs="Arial"/>
                <w:sz w:val="22"/>
              </w:rPr>
              <w:t xml:space="preserve"> - Suficiencia para obtención de puntaje - Tope / </w:t>
            </w:r>
            <w:r w:rsidR="00460793" w:rsidRPr="00460793">
              <w:rPr>
                <w:rFonts w:ascii="Arial" w:hAnsi="Arial" w:cs="Arial"/>
                <w:sz w:val="22"/>
              </w:rPr>
              <w:t>GARANTÍA ADICIONAL O SUPLEMENTARIA – Formato 7D – Frecuencia de seguimiento - Regla supletiva</w:t>
            </w:r>
          </w:p>
        </w:tc>
      </w:tr>
      <w:tr w:rsidR="00AF1718" w:rsidRPr="009A4A28" w14:paraId="0E180394" w14:textId="77777777" w:rsidTr="004E51E3">
        <w:tc>
          <w:tcPr>
            <w:tcW w:w="2689" w:type="dxa"/>
          </w:tcPr>
          <w:p w14:paraId="35D0842E" w14:textId="479A2990" w:rsidR="00AF1718" w:rsidRPr="00906FED" w:rsidRDefault="00AF1718" w:rsidP="00B67F3A">
            <w:pPr>
              <w:spacing w:line="276" w:lineRule="auto"/>
              <w:rPr>
                <w:rFonts w:ascii="Arial" w:eastAsia="Calibri" w:hAnsi="Arial" w:cs="Arial"/>
                <w:sz w:val="22"/>
              </w:rPr>
            </w:pPr>
            <w:r w:rsidRPr="00906FED">
              <w:rPr>
                <w:rFonts w:ascii="Arial" w:eastAsia="Calibri" w:hAnsi="Arial" w:cs="Arial"/>
                <w:sz w:val="22"/>
              </w:rPr>
              <w:t>Radicación:</w:t>
            </w:r>
          </w:p>
        </w:tc>
        <w:tc>
          <w:tcPr>
            <w:tcW w:w="6237" w:type="dxa"/>
          </w:tcPr>
          <w:p w14:paraId="1B6BB553" w14:textId="08076744" w:rsidR="00AF1718" w:rsidRPr="00AF1718" w:rsidRDefault="00FF6BBB" w:rsidP="00892B83">
            <w:pPr>
              <w:spacing w:line="276" w:lineRule="auto"/>
              <w:ind w:left="1"/>
              <w:jc w:val="both"/>
              <w:rPr>
                <w:rFonts w:ascii="Arial" w:eastAsia="Calibri" w:hAnsi="Arial" w:cs="Arial"/>
                <w:sz w:val="22"/>
              </w:rPr>
            </w:pPr>
            <w:r w:rsidRPr="00906FED">
              <w:rPr>
                <w:rFonts w:ascii="Arial" w:eastAsia="Calibri" w:hAnsi="Arial" w:cs="Arial"/>
                <w:sz w:val="22"/>
              </w:rPr>
              <w:t xml:space="preserve">Respuesta a </w:t>
            </w:r>
            <w:r w:rsidR="000261BB">
              <w:rPr>
                <w:rFonts w:ascii="Arial" w:eastAsia="Calibri" w:hAnsi="Arial" w:cs="Arial"/>
                <w:sz w:val="22"/>
              </w:rPr>
              <w:t xml:space="preserve">la </w:t>
            </w:r>
            <w:r w:rsidRPr="00FD22AE">
              <w:rPr>
                <w:rFonts w:ascii="Arial" w:eastAsia="Calibri" w:hAnsi="Arial" w:cs="Arial"/>
                <w:sz w:val="22"/>
              </w:rPr>
              <w:t>consulta</w:t>
            </w:r>
            <w:r w:rsidR="00AF1718" w:rsidRPr="00FD22AE">
              <w:rPr>
                <w:rFonts w:ascii="Arial" w:eastAsia="Calibri" w:hAnsi="Arial" w:cs="Arial"/>
                <w:sz w:val="22"/>
              </w:rPr>
              <w:t xml:space="preserve"> # </w:t>
            </w:r>
            <w:r w:rsidR="00A15F44" w:rsidRPr="00FD22AE">
              <w:rPr>
                <w:rFonts w:ascii="Arial" w:eastAsia="Calibri" w:hAnsi="Arial" w:cs="Arial"/>
                <w:sz w:val="22"/>
              </w:rPr>
              <w:t>P20210923008756</w:t>
            </w:r>
          </w:p>
        </w:tc>
      </w:tr>
    </w:tbl>
    <w:p w14:paraId="5032701F" w14:textId="548DDDB5" w:rsidR="00E658C9" w:rsidRDefault="00E658C9" w:rsidP="00B67F3A">
      <w:pPr>
        <w:spacing w:line="276" w:lineRule="auto"/>
        <w:rPr>
          <w:rFonts w:ascii="Arial" w:eastAsia="Calibri" w:hAnsi="Arial" w:cs="Arial"/>
          <w:sz w:val="22"/>
        </w:rPr>
      </w:pPr>
    </w:p>
    <w:p w14:paraId="330D2A6B" w14:textId="77777777" w:rsidR="000261BB" w:rsidRDefault="000261BB" w:rsidP="0067722F">
      <w:pPr>
        <w:spacing w:line="276" w:lineRule="auto"/>
        <w:rPr>
          <w:rFonts w:ascii="Arial" w:eastAsia="Calibri" w:hAnsi="Arial" w:cs="Arial"/>
          <w:sz w:val="22"/>
        </w:rPr>
      </w:pPr>
    </w:p>
    <w:p w14:paraId="5585167A" w14:textId="288565A2" w:rsidR="00B20EEE" w:rsidRPr="00AF1718" w:rsidRDefault="00AF1718" w:rsidP="00145C2E">
      <w:pPr>
        <w:spacing w:after="120" w:line="276" w:lineRule="auto"/>
        <w:rPr>
          <w:rFonts w:ascii="Arial" w:eastAsia="Calibri" w:hAnsi="Arial" w:cs="Arial"/>
          <w:sz w:val="22"/>
        </w:rPr>
      </w:pPr>
      <w:r w:rsidRPr="00AF1718">
        <w:rPr>
          <w:rFonts w:ascii="Arial" w:eastAsia="Calibri" w:hAnsi="Arial" w:cs="Arial"/>
          <w:sz w:val="22"/>
        </w:rPr>
        <w:t xml:space="preserve">Estimado </w:t>
      </w:r>
      <w:r w:rsidR="00C71C51">
        <w:rPr>
          <w:rFonts w:ascii="Arial" w:eastAsia="Calibri" w:hAnsi="Arial" w:cs="Arial"/>
          <w:sz w:val="22"/>
        </w:rPr>
        <w:t xml:space="preserve">señor </w:t>
      </w:r>
      <w:r w:rsidR="00590087">
        <w:rPr>
          <w:rFonts w:ascii="Arial" w:eastAsia="Calibri" w:hAnsi="Arial" w:cs="Arial"/>
          <w:sz w:val="22"/>
        </w:rPr>
        <w:t>González</w:t>
      </w:r>
    </w:p>
    <w:p w14:paraId="08C8CA6B" w14:textId="77CD8303" w:rsidR="00AF1718" w:rsidRPr="00AF1718" w:rsidRDefault="00AF1718" w:rsidP="00B67F3A">
      <w:pPr>
        <w:spacing w:line="276" w:lineRule="auto"/>
        <w:jc w:val="both"/>
        <w:rPr>
          <w:rFonts w:ascii="Arial" w:eastAsia="Calibri" w:hAnsi="Arial" w:cs="Arial"/>
          <w:sz w:val="22"/>
        </w:rPr>
      </w:pPr>
      <w:r w:rsidRPr="00AF1718">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4F2FA6">
        <w:rPr>
          <w:rFonts w:ascii="Arial" w:eastAsia="Calibri" w:hAnsi="Arial" w:cs="Arial"/>
          <w:sz w:val="22"/>
        </w:rPr>
        <w:t xml:space="preserve">te responde su consulta del </w:t>
      </w:r>
      <w:r w:rsidR="00C8061B">
        <w:rPr>
          <w:rFonts w:ascii="Arial" w:eastAsia="Calibri" w:hAnsi="Arial" w:cs="Arial"/>
          <w:sz w:val="22"/>
        </w:rPr>
        <w:t xml:space="preserve">23 </w:t>
      </w:r>
      <w:r w:rsidR="0072181F">
        <w:rPr>
          <w:rFonts w:ascii="Arial" w:eastAsia="Calibri" w:hAnsi="Arial" w:cs="Arial"/>
          <w:sz w:val="22"/>
        </w:rPr>
        <w:t>de septiembre</w:t>
      </w:r>
      <w:r w:rsidR="00146306">
        <w:rPr>
          <w:rFonts w:ascii="Arial" w:eastAsia="Calibri" w:hAnsi="Arial" w:cs="Arial"/>
          <w:sz w:val="22"/>
        </w:rPr>
        <w:t xml:space="preserve"> </w:t>
      </w:r>
      <w:r w:rsidRPr="00AF1718">
        <w:rPr>
          <w:rFonts w:ascii="Arial" w:eastAsia="Calibri" w:hAnsi="Arial" w:cs="Arial"/>
          <w:sz w:val="22"/>
        </w:rPr>
        <w:t>de 2021</w:t>
      </w:r>
      <w:r w:rsidR="00A002DA">
        <w:rPr>
          <w:rFonts w:ascii="Arial" w:eastAsia="Calibri" w:hAnsi="Arial" w:cs="Arial"/>
          <w:sz w:val="22"/>
        </w:rPr>
        <w:t>.</w:t>
      </w:r>
    </w:p>
    <w:p w14:paraId="1A0A2BD6" w14:textId="77777777" w:rsidR="00AF1718" w:rsidRPr="009A4A28" w:rsidRDefault="00AF1718" w:rsidP="00B67F3A">
      <w:pPr>
        <w:spacing w:line="276" w:lineRule="auto"/>
        <w:jc w:val="both"/>
        <w:rPr>
          <w:rFonts w:ascii="Arial" w:eastAsia="Calibri" w:hAnsi="Arial" w:cs="Arial"/>
        </w:rPr>
      </w:pPr>
    </w:p>
    <w:p w14:paraId="269B720F" w14:textId="1A6521A5" w:rsidR="00722C4F" w:rsidRDefault="00AF1718" w:rsidP="00440BFC">
      <w:pPr>
        <w:pStyle w:val="Prrafodelista"/>
        <w:numPr>
          <w:ilvl w:val="0"/>
          <w:numId w:val="33"/>
        </w:numPr>
        <w:tabs>
          <w:tab w:val="left" w:pos="284"/>
        </w:tabs>
        <w:spacing w:line="276" w:lineRule="auto"/>
        <w:ind w:left="360"/>
        <w:jc w:val="both"/>
        <w:rPr>
          <w:rFonts w:ascii="Arial" w:eastAsia="Calibri" w:hAnsi="Arial" w:cs="Arial"/>
          <w:b/>
          <w:sz w:val="22"/>
        </w:rPr>
      </w:pPr>
      <w:r w:rsidRPr="003F6F8C">
        <w:rPr>
          <w:rFonts w:ascii="Arial" w:eastAsia="Calibri" w:hAnsi="Arial" w:cs="Arial"/>
          <w:b/>
          <w:sz w:val="22"/>
        </w:rPr>
        <w:t>Problema planteado</w:t>
      </w:r>
      <w:bookmarkStart w:id="2" w:name="_Hlk68679800"/>
    </w:p>
    <w:p w14:paraId="616B73D6" w14:textId="77777777" w:rsidR="00440BFC" w:rsidRPr="002F723E" w:rsidRDefault="00440BFC" w:rsidP="00440BFC">
      <w:pPr>
        <w:pStyle w:val="Prrafodelista"/>
        <w:tabs>
          <w:tab w:val="left" w:pos="284"/>
        </w:tabs>
        <w:spacing w:line="276" w:lineRule="auto"/>
        <w:jc w:val="both"/>
        <w:rPr>
          <w:rFonts w:ascii="Arial" w:eastAsia="Calibri" w:hAnsi="Arial" w:cs="Arial"/>
          <w:b/>
          <w:sz w:val="22"/>
        </w:rPr>
      </w:pPr>
    </w:p>
    <w:p w14:paraId="46B94649" w14:textId="741B9464" w:rsidR="00172E61" w:rsidRDefault="003B0B8D" w:rsidP="00672538">
      <w:pPr>
        <w:spacing w:line="276" w:lineRule="auto"/>
        <w:jc w:val="both"/>
        <w:rPr>
          <w:rFonts w:ascii="Arial" w:eastAsia="Calibri" w:hAnsi="Arial" w:cs="Arial"/>
          <w:sz w:val="22"/>
        </w:rPr>
      </w:pPr>
      <w:r>
        <w:rPr>
          <w:rFonts w:ascii="Arial" w:eastAsia="Calibri" w:hAnsi="Arial" w:cs="Arial"/>
          <w:sz w:val="22"/>
        </w:rPr>
        <w:t>En</w:t>
      </w:r>
      <w:r w:rsidR="00672538">
        <w:rPr>
          <w:rFonts w:ascii="Arial" w:eastAsia="Calibri" w:hAnsi="Arial" w:cs="Arial"/>
          <w:sz w:val="22"/>
        </w:rPr>
        <w:t xml:space="preserve"> relación con la garantía suplementaria</w:t>
      </w:r>
      <w:r w:rsidR="0072181F">
        <w:rPr>
          <w:rFonts w:ascii="Arial" w:eastAsia="Calibri" w:hAnsi="Arial" w:cs="Arial"/>
          <w:sz w:val="22"/>
        </w:rPr>
        <w:t xml:space="preserve"> o adicional</w:t>
      </w:r>
      <w:r w:rsidR="00A13D9F">
        <w:rPr>
          <w:rFonts w:ascii="Arial" w:eastAsia="Calibri" w:hAnsi="Arial" w:cs="Arial"/>
          <w:sz w:val="22"/>
        </w:rPr>
        <w:t xml:space="preserve"> de los «Documentos Tipo – Versión 3» de licitación para obra pública de infraestructura de transporte</w:t>
      </w:r>
      <w:r w:rsidR="00672538">
        <w:rPr>
          <w:rFonts w:ascii="Arial" w:eastAsia="Calibri" w:hAnsi="Arial" w:cs="Arial"/>
          <w:sz w:val="22"/>
        </w:rPr>
        <w:t>, usted realiza la</w:t>
      </w:r>
      <w:r w:rsidR="00A13D9F">
        <w:rPr>
          <w:rFonts w:ascii="Arial" w:eastAsia="Calibri" w:hAnsi="Arial" w:cs="Arial"/>
          <w:sz w:val="22"/>
        </w:rPr>
        <w:t>s</w:t>
      </w:r>
      <w:r w:rsidR="00672538">
        <w:rPr>
          <w:rFonts w:ascii="Arial" w:eastAsia="Calibri" w:hAnsi="Arial" w:cs="Arial"/>
          <w:sz w:val="22"/>
        </w:rPr>
        <w:t xml:space="preserve"> siguiente</w:t>
      </w:r>
      <w:r w:rsidR="00A13D9F">
        <w:rPr>
          <w:rFonts w:ascii="Arial" w:eastAsia="Calibri" w:hAnsi="Arial" w:cs="Arial"/>
          <w:sz w:val="22"/>
        </w:rPr>
        <w:t>s</w:t>
      </w:r>
      <w:r w:rsidR="00672538">
        <w:rPr>
          <w:rFonts w:ascii="Arial" w:eastAsia="Calibri" w:hAnsi="Arial" w:cs="Arial"/>
          <w:sz w:val="22"/>
        </w:rPr>
        <w:t xml:space="preserve"> </w:t>
      </w:r>
      <w:r w:rsidR="00A13D9F">
        <w:rPr>
          <w:rFonts w:ascii="Arial" w:eastAsia="Calibri" w:hAnsi="Arial" w:cs="Arial"/>
          <w:sz w:val="22"/>
        </w:rPr>
        <w:t>preguntas</w:t>
      </w:r>
      <w:r w:rsidR="00672538">
        <w:rPr>
          <w:rFonts w:ascii="Arial" w:eastAsia="Calibri" w:hAnsi="Arial" w:cs="Arial"/>
          <w:sz w:val="22"/>
        </w:rPr>
        <w:t xml:space="preserve">: </w:t>
      </w:r>
    </w:p>
    <w:p w14:paraId="7E46F76E" w14:textId="79071BF1" w:rsidR="00892B83" w:rsidRDefault="00892B83" w:rsidP="00672538">
      <w:pPr>
        <w:spacing w:line="276" w:lineRule="auto"/>
        <w:jc w:val="both"/>
        <w:rPr>
          <w:rFonts w:ascii="Arial" w:eastAsia="Calibri" w:hAnsi="Arial" w:cs="Arial"/>
          <w:sz w:val="22"/>
        </w:rPr>
      </w:pPr>
    </w:p>
    <w:p w14:paraId="0C65DD4D" w14:textId="1ABCEE42" w:rsidR="00892B83" w:rsidRPr="00892B83" w:rsidRDefault="00892B83" w:rsidP="00892B83">
      <w:pPr>
        <w:ind w:left="709" w:right="709"/>
        <w:jc w:val="both"/>
        <w:rPr>
          <w:rFonts w:ascii="Arial" w:eastAsia="Calibri" w:hAnsi="Arial" w:cs="Arial"/>
          <w:sz w:val="21"/>
          <w:szCs w:val="21"/>
        </w:rPr>
      </w:pPr>
      <w:r w:rsidRPr="00892B83">
        <w:rPr>
          <w:rFonts w:ascii="Arial" w:eastAsia="Calibri" w:hAnsi="Arial" w:cs="Arial"/>
          <w:sz w:val="21"/>
          <w:szCs w:val="21"/>
        </w:rPr>
        <w:t>«1. ¿Cuáles son los términos de referencia mediante los cuales, cualquier entidad debe entregar los puntos que haya designado ponderar por ofrecimiento y cumplimiento de los requisitos del formato 7D, garantía suplementaria y/o adicional?</w:t>
      </w:r>
    </w:p>
    <w:p w14:paraId="3AE78AB8"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2. ¿A qué se refiere el pliego de condiciones versión 3 y/o la Colombia Compra Eficiente, cuando hace referencia al texto “…en la frecuencia que determine en el Formato 7D…”?</w:t>
      </w:r>
    </w:p>
    <w:p w14:paraId="5FC19413"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lastRenderedPageBreak/>
        <w:t>Aclaración detallada: Sobre la pregunta particular, se solicita que esa entidad, indique si dentro de dicho formato 7D, el oferente puede colocar la frecuencia a liberalidad sin limitación alguna.</w:t>
      </w:r>
    </w:p>
    <w:p w14:paraId="205A97F0"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3. ¿Existe alguna delimitación al plazo y/o periodicidad respecto del compromiso de realizar seguimiento, por parte del contratista y/u oferente y que deba quedar plasmado dentro de dicho formato 7D?</w:t>
      </w:r>
    </w:p>
    <w:p w14:paraId="4E838F67"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Aclaración detallada: Sobre la pregunta particular, se solicita que esa entidad, indique si dentro del formato 7D en el texto [señalar el periodo de tiempo], el oferente al momento de su diligenciamiento puede incluir que el seguimiento se debe realizar 1 vez cada 10 o 15 o 20 meses, es decir, si el oferente no está limitado ni condicionado para incluir el número de meses que indiquen la frecuencia mediante los cuales realizará sus visitas de seguimiento.</w:t>
      </w:r>
    </w:p>
    <w:p w14:paraId="28214B9E"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4. ¿La entidad puede delimitar el tiempo de aplicación de visitas y/o seguimiento dentro del formato 7D para responsabilidad del oferente?</w:t>
      </w:r>
    </w:p>
    <w:p w14:paraId="205EC724"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Aclaración detallada: Sobre la pregunta particular, se solicita que esa entidad, indique si dentro del formato 7D en el texto [señalar el periodo de tiempo], cualquier entidad puede delimitar que su diligenciamiento y/o seguimiento y/o visitas, se realicen una (01) vez cada 2 o 3 o 6 meses, es decir, cada periodo que la entidad desee imponer.</w:t>
      </w:r>
    </w:p>
    <w:p w14:paraId="6F0A6247"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5. ¿Los pliegos tipo, son un documento guía o son un documento rector, sobre el cual todas las entidades obligadas en su aplicación, deben ceñirse de manera estricta al cumplimiento de todos y cada uno de sus exigencias y al texto mismo definido dentro de estos?</w:t>
      </w:r>
    </w:p>
    <w:p w14:paraId="7C693274"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Aclaración detallada: Sobre la pregunta particular, se solicita que esa entidad, indique si cualquier entidad, puede apartarse de los pliegos tipo, so pena de argumentar interpretación y, además, argumentar que los pliegos tipo solo constituyen un documento de marco de referencia, pero es la entidad la que frente a necesidades específicas y posibles vacíos en los pliegos tipo, puede incluir detalles y/o requisitos específicos que se ajusten a sus necesidades. Aclarando, que la situación aquí descrita se ajusta a la construcción de una obra de infraestructura del transporte contenida dentro la matriz de experiencia de los pliegos tipo versión 3 y dentro del proceso de licitación se asumieron los pliego tipo.</w:t>
      </w:r>
    </w:p>
    <w:p w14:paraId="6AC1854C"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6. Las condiciones del seguimiento del cual habla el pliego tipo Versión 3, en el ítem FACTOR DE CALIDAD, subitem GARANTIA SUPLEMENTARIA Y/O ADICIONAL, en concordancia con el numeral 4 del artículo 4 de la Ley 80, dentro del cual se menciona que el seguimiento y/o visitas tendrán un plazo de cada 06 meses y cito textualmente “Las revisiones periódicas a que se refiere el presente numeral deberán llevarse a cabo por lo menos una vez cada seis (6) meses durante el término de vigencia de las garantías”.</w:t>
      </w:r>
    </w:p>
    <w:p w14:paraId="1D23A9E0"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¿El anterior seguimiento de por lo menos una vez cada seis (6) meses, durante el término de vigencia de las garantías sean estas ordinarias y/o adicionales, es de obligatorio para los oferentes y/o contratistas o dicha norma es obligatoria para las entidades estatales?</w:t>
      </w:r>
    </w:p>
    <w:p w14:paraId="7C38B41D"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Aclaración detallada: Sobre la pregunta particular, se solicita que esa entidad, indique si a lo que se hace referencia sobre las visitas cada 6 meses que se incluye tanto en los pliegos tipo como en el numeral 4 del artículo 4 de la Ley 80, es obligatorio para ENTIDADES ESTATLES y/u OFERENTES – CONTRATISTAS.</w:t>
      </w:r>
    </w:p>
    <w:p w14:paraId="2662B027"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lastRenderedPageBreak/>
        <w:t>7. ¿Los pliegos tipo pueden ser modificados por cualquier entidad, ya sea en su texto y/o introduciendo condiciones de evaluación, delimitaciones y/o requisitos fuera del documento matriz?</w:t>
      </w:r>
    </w:p>
    <w:p w14:paraId="330C8623"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8. ¿Puede una entidad, modificar y/o incluir cualquier adicional, dentro de los pliegos tipo mediante adenda y/o en respuesta a observaciones de cualquier oferente, argumentando que tanto los pliegos tipo como las respuestas a oferentes son documentos integrales del proceso de contratación y como tal son vinculantes dentro de un proceso de licitacion?</w:t>
      </w:r>
    </w:p>
    <w:p w14:paraId="0282A883"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Aclaración detallada: A modo de ejemplo general, se plantea el siguiente escenario sin detalle especifico alguno, solo para ilustración en profundidad de la anterior pregunta planteada:</w:t>
      </w:r>
    </w:p>
    <w:p w14:paraId="69875B1E"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a) Una entidad por designación legal, tiene que implementar el pliego tipo versión 3, dentro de un proceso de licitación de INFRESTRUCTURA DE TRANSPORTE.</w:t>
      </w:r>
    </w:p>
    <w:p w14:paraId="08BF6A37"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b) Dentro de dicho proceso y como es de elección particular en términos de ley, la entidad selecciona el factor de calidad como GARANTIA SUPEMENTARIA Y/O ADICIONAL y para evaluación del mismo le asigna un puntaje ponderado de 5 puntos.</w:t>
      </w:r>
    </w:p>
    <w:p w14:paraId="325A8212"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c) Un oferente antes de la presentación de ofertas, pregunta lo siguiente:</w:t>
      </w:r>
    </w:p>
    <w:p w14:paraId="553CA7F5"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“Según el FORMATO 7D – GARANTIA SUPLEMENTARIA O ADICIONAL se indica lo siguiente:</w:t>
      </w:r>
    </w:p>
    <w:p w14:paraId="13043D6B"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“…Adicionalmente, cuando la entidad no realice la designación de una persona para realizar el seguimiento al cumplimiento de la garantía en los términos del numeral 4 del artículo 4 de la Ley 80 de 1993, manifiesto el compromiso de realizar seguimiento al menos [señalar el número de veces] cada [señalar el periodo de tiempo] durante la vigencia de la Garantía Suplementaria o Adicional ofrecida.”</w:t>
      </w:r>
    </w:p>
    <w:p w14:paraId="24B4FC6D"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Solicitamos a la entidad aclarar el número de veces y la periodicidad con la que se debe realizar el seguimiento de la garantía Suplementaria o Adicional ofrecida.”</w:t>
      </w:r>
    </w:p>
    <w:p w14:paraId="4E44B12C"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d) Frente a dicha pregunta la entidad responde lo siguiente:</w:t>
      </w:r>
    </w:p>
    <w:p w14:paraId="3C4DBB14"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La entidad se permite aclarar, que la periodicidad para realizar el seguimiento de la Garantía será de dos (02) veces al año.</w:t>
      </w:r>
    </w:p>
    <w:p w14:paraId="0D0EBCCB"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9. ¿Es discrecional la potestad de la entidad para delimitar dicho plazo dentro del factor de calidad GARANTIA SUPLEMENTARIA Y/O ADICIONAL, señalando la periodicidad para seguimiento de dicho factor?</w:t>
      </w:r>
    </w:p>
    <w:p w14:paraId="096D7903"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10. ¿Si la entidad, condiciona dicho plazo para seguimiento y que así debe incluirse dentro dicho formato 7D, estaría incluyendo requisitos y parámetros de evaluación diferentes a los contenidos dentro del pliego tipo?</w:t>
      </w:r>
    </w:p>
    <w:p w14:paraId="47C82395" w14:textId="77777777" w:rsidR="00892B83" w:rsidRPr="00892B83" w:rsidRDefault="00892B83" w:rsidP="00892B83">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11. ¿Si la entidad, condiciona dicho plazo para seguimiento, estaría modificado el pliego tipo?</w:t>
      </w:r>
    </w:p>
    <w:p w14:paraId="6409ED82" w14:textId="1F57F956" w:rsidR="00892B83" w:rsidRDefault="00892B83" w:rsidP="0067722F">
      <w:pPr>
        <w:shd w:val="clear" w:color="auto" w:fill="FFFFFF"/>
        <w:ind w:left="709" w:right="709"/>
        <w:jc w:val="both"/>
        <w:rPr>
          <w:rFonts w:ascii="Arial" w:hAnsi="Arial" w:cs="Arial"/>
          <w:color w:val="0D0D0D"/>
          <w:sz w:val="21"/>
          <w:szCs w:val="21"/>
          <w:bdr w:val="none" w:sz="0" w:space="0" w:color="auto" w:frame="1"/>
          <w:lang w:eastAsia="es-CO"/>
        </w:rPr>
      </w:pPr>
      <w:r w:rsidRPr="00892B83">
        <w:rPr>
          <w:rFonts w:ascii="Arial" w:hAnsi="Arial" w:cs="Arial"/>
          <w:color w:val="0D0D0D"/>
          <w:sz w:val="21"/>
          <w:szCs w:val="21"/>
          <w:bdr w:val="none" w:sz="0" w:space="0" w:color="auto" w:frame="1"/>
          <w:lang w:eastAsia="es-CO"/>
        </w:rPr>
        <w:t>12. ¿Puede una entidad, negar la asignación de puntaje por factor de calidad a un oferente, sea el que fuere ponderado, si dicho oferente no cumple dentro del formato 7D, con la delimitación de periodicidad para realizar el seguimiento de la Garantía suplementaria y/o adicional, en los términos que haya decidido delimitar la entidad, en cualquier proceso de licitación?»</w:t>
      </w:r>
    </w:p>
    <w:p w14:paraId="0D051550" w14:textId="61B33582" w:rsidR="00D73D9F" w:rsidRPr="00892B83" w:rsidRDefault="00D73D9F" w:rsidP="0067722F">
      <w:pPr>
        <w:shd w:val="clear" w:color="auto" w:fill="FFFFFF"/>
        <w:ind w:right="709"/>
        <w:jc w:val="both"/>
        <w:rPr>
          <w:rFonts w:ascii="Arial" w:hAnsi="Arial" w:cs="Arial"/>
          <w:color w:val="0D0D0D"/>
          <w:sz w:val="21"/>
          <w:szCs w:val="21"/>
          <w:bdr w:val="none" w:sz="0" w:space="0" w:color="auto" w:frame="1"/>
          <w:lang w:eastAsia="es-CO"/>
        </w:rPr>
      </w:pPr>
    </w:p>
    <w:bookmarkEnd w:id="2"/>
    <w:p w14:paraId="3426C5F7" w14:textId="426A4F91" w:rsidR="00F61483" w:rsidRPr="00C8061B" w:rsidRDefault="00E7138C" w:rsidP="0067722F">
      <w:pPr>
        <w:spacing w:line="276" w:lineRule="auto"/>
        <w:jc w:val="both"/>
        <w:rPr>
          <w:rFonts w:ascii="Arial" w:eastAsia="Calibri" w:hAnsi="Arial" w:cs="Arial"/>
          <w:b/>
          <w:sz w:val="22"/>
        </w:rPr>
      </w:pPr>
      <w:r w:rsidRPr="001E1DB9">
        <w:rPr>
          <w:rFonts w:ascii="Arial" w:eastAsia="Calibri" w:hAnsi="Arial" w:cs="Arial"/>
          <w:b/>
          <w:sz w:val="22"/>
        </w:rPr>
        <w:t xml:space="preserve">2. </w:t>
      </w:r>
      <w:r w:rsidR="00817EA3" w:rsidRPr="001E1DB9">
        <w:rPr>
          <w:rFonts w:ascii="Arial" w:eastAsia="Calibri" w:hAnsi="Arial" w:cs="Arial"/>
          <w:b/>
          <w:sz w:val="22"/>
        </w:rPr>
        <w:t>C</w:t>
      </w:r>
      <w:r w:rsidRPr="001E1DB9">
        <w:rPr>
          <w:rFonts w:ascii="Arial" w:eastAsia="Calibri" w:hAnsi="Arial" w:cs="Arial"/>
          <w:b/>
          <w:sz w:val="22"/>
        </w:rPr>
        <w:t>onsideraciones</w:t>
      </w:r>
    </w:p>
    <w:p w14:paraId="4DE22DE6" w14:textId="77777777" w:rsidR="00A13D9F" w:rsidRDefault="00A13D9F" w:rsidP="0067722F">
      <w:pPr>
        <w:spacing w:before="120" w:line="276" w:lineRule="auto"/>
        <w:jc w:val="both"/>
        <w:rPr>
          <w:rFonts w:ascii="Arial" w:eastAsia="Calibri" w:hAnsi="Arial" w:cs="Arial"/>
          <w:sz w:val="22"/>
        </w:rPr>
      </w:pPr>
    </w:p>
    <w:p w14:paraId="6DF28CF4" w14:textId="0112E24C" w:rsidR="00321A6D" w:rsidRPr="00321A6D" w:rsidRDefault="00321A6D" w:rsidP="00C8061B">
      <w:pPr>
        <w:spacing w:before="120" w:after="120" w:line="276" w:lineRule="auto"/>
        <w:jc w:val="both"/>
        <w:rPr>
          <w:rFonts w:ascii="Arial" w:eastAsia="Calibri" w:hAnsi="Arial" w:cs="Arial"/>
          <w:b/>
          <w:sz w:val="22"/>
        </w:rPr>
      </w:pPr>
      <w:r w:rsidRPr="00B86532">
        <w:rPr>
          <w:rFonts w:ascii="Arial" w:eastAsia="Calibri" w:hAnsi="Arial" w:cs="Arial"/>
          <w:sz w:val="22"/>
        </w:rPr>
        <w:lastRenderedPageBreak/>
        <w:t>Para absolver los interrogantes formulados, esta dependencia analizará los siguientes temas:</w:t>
      </w:r>
      <w:r>
        <w:rPr>
          <w:rFonts w:ascii="Arial" w:eastAsia="Calibri" w:hAnsi="Arial" w:cs="Arial"/>
          <w:sz w:val="22"/>
        </w:rPr>
        <w:t xml:space="preserve"> i) f</w:t>
      </w:r>
      <w:r w:rsidRPr="00321A6D">
        <w:rPr>
          <w:rFonts w:ascii="Arial" w:eastAsia="Calibri" w:hAnsi="Arial" w:cs="Arial"/>
          <w:sz w:val="22"/>
        </w:rPr>
        <w:t>undamento normativo</w:t>
      </w:r>
      <w:r w:rsidR="007D59CF">
        <w:rPr>
          <w:rFonts w:ascii="Arial" w:eastAsia="Calibri" w:hAnsi="Arial" w:cs="Arial"/>
          <w:sz w:val="22"/>
        </w:rPr>
        <w:t xml:space="preserve"> de los documentos tipo para obra pública de infraestructura de transporte; </w:t>
      </w:r>
      <w:r>
        <w:rPr>
          <w:rFonts w:ascii="Arial" w:eastAsia="Calibri" w:hAnsi="Arial" w:cs="Arial"/>
          <w:sz w:val="22"/>
        </w:rPr>
        <w:t xml:space="preserve">ii) </w:t>
      </w:r>
      <w:r w:rsidR="0080456B">
        <w:rPr>
          <w:rFonts w:ascii="Arial" w:eastAsia="Calibri" w:hAnsi="Arial" w:cs="Arial"/>
          <w:sz w:val="22"/>
        </w:rPr>
        <w:t>o</w:t>
      </w:r>
      <w:r w:rsidR="007D59CF" w:rsidRPr="007D59CF">
        <w:rPr>
          <w:rFonts w:ascii="Arial" w:eastAsia="Calibri" w:hAnsi="Arial" w:cs="Arial"/>
          <w:sz w:val="22"/>
        </w:rPr>
        <w:t>bligatoriedad e inalterabilidad de los documentos tipo de infraestructura de transporte</w:t>
      </w:r>
      <w:r w:rsidR="0080456B">
        <w:rPr>
          <w:rFonts w:ascii="Arial" w:eastAsia="Calibri" w:hAnsi="Arial" w:cs="Arial"/>
          <w:sz w:val="22"/>
        </w:rPr>
        <w:t>; iii) a</w:t>
      </w:r>
      <w:r w:rsidR="0080456B" w:rsidRPr="0080456B">
        <w:rPr>
          <w:rFonts w:ascii="Arial" w:eastAsia="Calibri" w:hAnsi="Arial" w:cs="Arial"/>
          <w:sz w:val="22"/>
        </w:rPr>
        <w:t>creditación del factor de calidad «garantía suplementaria o adicional» durante el procedimiento de selección</w:t>
      </w:r>
      <w:r w:rsidR="00BD5F69">
        <w:rPr>
          <w:rFonts w:ascii="Arial" w:eastAsia="Calibri" w:hAnsi="Arial" w:cs="Arial"/>
          <w:sz w:val="22"/>
        </w:rPr>
        <w:t xml:space="preserve">. </w:t>
      </w:r>
    </w:p>
    <w:p w14:paraId="70784595" w14:textId="534A5B7D" w:rsidR="002B4EBC" w:rsidRDefault="00333DA4" w:rsidP="0067722F">
      <w:pPr>
        <w:spacing w:line="276" w:lineRule="auto"/>
        <w:ind w:firstLine="708"/>
        <w:jc w:val="both"/>
        <w:rPr>
          <w:rFonts w:ascii="Arial" w:eastAsia="Calibri" w:hAnsi="Arial" w:cs="Arial"/>
          <w:sz w:val="22"/>
        </w:rPr>
      </w:pPr>
      <w:r w:rsidRPr="001F7686">
        <w:rPr>
          <w:rFonts w:ascii="Arial" w:eastAsia="Calibri" w:hAnsi="Arial" w:cs="Arial"/>
          <w:sz w:val="22"/>
        </w:rPr>
        <w:t xml:space="preserve">La </w:t>
      </w:r>
      <w:r w:rsidR="00925BC4">
        <w:rPr>
          <w:rFonts w:ascii="Arial" w:eastAsia="Calibri" w:hAnsi="Arial" w:cs="Arial"/>
          <w:sz w:val="22"/>
        </w:rPr>
        <w:t xml:space="preserve"> </w:t>
      </w:r>
      <w:r w:rsidRPr="001F7686">
        <w:rPr>
          <w:rFonts w:ascii="Arial" w:eastAsia="Calibri" w:hAnsi="Arial" w:cs="Arial"/>
          <w:sz w:val="22"/>
        </w:rPr>
        <w:t>Agencia Nacional</w:t>
      </w:r>
      <w:r w:rsidRPr="00E013AA">
        <w:rPr>
          <w:rFonts w:ascii="Arial" w:eastAsia="Calibri" w:hAnsi="Arial" w:cs="Arial"/>
          <w:sz w:val="22"/>
        </w:rPr>
        <w:t xml:space="preserve"> de Contratación Pública − Colombia Compra Eficiente </w:t>
      </w:r>
      <w:r w:rsidR="002109B6" w:rsidRPr="00964916">
        <w:rPr>
          <w:rFonts w:ascii="Arial" w:eastAsia="Calibri" w:hAnsi="Arial" w:cs="Arial"/>
          <w:color w:val="000000" w:themeColor="text1"/>
          <w:sz w:val="22"/>
        </w:rPr>
        <w:t>a</w:t>
      </w:r>
      <w:r w:rsidR="002109B6" w:rsidRPr="002109B6">
        <w:rPr>
          <w:rFonts w:ascii="Arial" w:eastAsia="Calibri" w:hAnsi="Arial" w:cs="Arial"/>
          <w:color w:val="000000" w:themeColor="text1"/>
          <w:sz w:val="22"/>
        </w:rPr>
        <w:t xml:space="preserve">nalizó </w:t>
      </w:r>
      <w:r w:rsidR="00B221A3">
        <w:rPr>
          <w:rFonts w:ascii="Arial" w:hAnsi="Arial" w:cs="Arial"/>
          <w:sz w:val="22"/>
        </w:rPr>
        <w:t xml:space="preserve">el </w:t>
      </w:r>
      <w:r w:rsidR="00B221A3" w:rsidRPr="003A18A7">
        <w:rPr>
          <w:rFonts w:ascii="Arial" w:hAnsi="Arial" w:cs="Arial"/>
          <w:bCs/>
          <w:sz w:val="22"/>
        </w:rPr>
        <w:t>factor de calidad</w:t>
      </w:r>
      <w:r w:rsidR="00B221A3">
        <w:rPr>
          <w:rFonts w:ascii="Arial" w:hAnsi="Arial" w:cs="Arial"/>
          <w:bCs/>
          <w:sz w:val="22"/>
        </w:rPr>
        <w:t xml:space="preserve">, en relación con la opción de la garantía suplementaria o adicional </w:t>
      </w:r>
      <w:r w:rsidR="00B221A3" w:rsidRPr="003A18A7">
        <w:rPr>
          <w:rFonts w:ascii="Arial" w:hAnsi="Arial" w:cs="Arial"/>
          <w:bCs/>
          <w:sz w:val="22"/>
        </w:rPr>
        <w:t xml:space="preserve">en procesos de selección </w:t>
      </w:r>
      <w:r w:rsidR="00B221A3">
        <w:rPr>
          <w:rFonts w:ascii="Arial" w:hAnsi="Arial" w:cs="Arial"/>
          <w:bCs/>
          <w:sz w:val="22"/>
        </w:rPr>
        <w:t>regidos por</w:t>
      </w:r>
      <w:r w:rsidR="00B221A3" w:rsidRPr="003A18A7">
        <w:rPr>
          <w:rFonts w:ascii="Arial" w:hAnsi="Arial" w:cs="Arial"/>
          <w:bCs/>
          <w:sz w:val="22"/>
        </w:rPr>
        <w:t xml:space="preserve"> documentos tipo</w:t>
      </w:r>
      <w:r w:rsidR="00B221A3" w:rsidRPr="002109B6">
        <w:rPr>
          <w:rFonts w:ascii="Arial" w:eastAsia="Calibri" w:hAnsi="Arial" w:cs="Arial"/>
          <w:color w:val="000000" w:themeColor="text1"/>
          <w:sz w:val="22"/>
        </w:rPr>
        <w:t xml:space="preserve"> </w:t>
      </w:r>
      <w:r w:rsidRPr="00E013AA">
        <w:rPr>
          <w:rFonts w:ascii="Arial" w:eastAsia="Calibri" w:hAnsi="Arial" w:cs="Arial"/>
          <w:sz w:val="22"/>
        </w:rPr>
        <w:t xml:space="preserve">en los </w:t>
      </w:r>
      <w:r w:rsidR="00D73D9F">
        <w:rPr>
          <w:rFonts w:ascii="Arial" w:eastAsia="Calibri" w:hAnsi="Arial" w:cs="Arial"/>
          <w:sz w:val="22"/>
        </w:rPr>
        <w:t>c</w:t>
      </w:r>
      <w:r w:rsidRPr="00E013AA">
        <w:rPr>
          <w:rFonts w:ascii="Arial" w:eastAsia="Calibri" w:hAnsi="Arial" w:cs="Arial"/>
          <w:sz w:val="22"/>
        </w:rPr>
        <w:t>onceptos</w:t>
      </w:r>
      <w:r w:rsidR="00722B21">
        <w:rPr>
          <w:rFonts w:ascii="Arial" w:eastAsia="Calibri" w:hAnsi="Arial" w:cs="Arial"/>
          <w:sz w:val="22"/>
        </w:rPr>
        <w:t xml:space="preserve"> </w:t>
      </w:r>
      <w:r w:rsidR="00EA6CBF" w:rsidRPr="00B20EEE">
        <w:rPr>
          <w:rFonts w:ascii="Arial" w:eastAsia="Arial" w:hAnsi="Arial" w:cs="Arial"/>
          <w:sz w:val="22"/>
        </w:rPr>
        <w:t xml:space="preserve">C-294 del 18 de mayo de 2020; C-276 y C-277 del 26 de mayo de 2020; </w:t>
      </w:r>
      <w:r w:rsidR="00EA6CBF" w:rsidRPr="00B20EEE">
        <w:rPr>
          <w:rFonts w:ascii="Arial" w:eastAsia="Calibri" w:hAnsi="Arial" w:cs="Arial"/>
          <w:bCs/>
          <w:sz w:val="22"/>
        </w:rPr>
        <w:t xml:space="preserve">C-278 del 26 de mayo de 2020; </w:t>
      </w:r>
      <w:r w:rsidR="00EA6CBF" w:rsidRPr="00B20EEE">
        <w:rPr>
          <w:rFonts w:ascii="Arial" w:eastAsia="Arial" w:hAnsi="Arial" w:cs="Arial"/>
          <w:sz w:val="22"/>
        </w:rPr>
        <w:t>C–380 y C–381 del 1 de junio de 2020; C-404 del 12 de junio de 2020, C-352 del 30 de junio de 2020, C-430 del 7 de julio de 2020, C-431 del 9 de julio de 2020, C-481 del 27 de julio de 2020, C-478 del 30 de julio de 2020, C-540 del 19 de agosto de 2020, C-520 del 25 de agosto de 2020, C-6</w:t>
      </w:r>
      <w:r w:rsidR="006378B6">
        <w:rPr>
          <w:rFonts w:ascii="Arial" w:eastAsia="Arial" w:hAnsi="Arial" w:cs="Arial"/>
          <w:sz w:val="22"/>
        </w:rPr>
        <w:t xml:space="preserve">82 del 25 de noviembre de 2020, C-766 del 8 de enero de 2021, C-001 del 10 de febrero de 2021, </w:t>
      </w:r>
      <w:r w:rsidR="00B221A3">
        <w:rPr>
          <w:rFonts w:ascii="Arial" w:hAnsi="Arial" w:cs="Arial"/>
          <w:sz w:val="22"/>
        </w:rPr>
        <w:t>C-046 del 08 de marzo de 2021</w:t>
      </w:r>
      <w:r w:rsidR="00892B83">
        <w:rPr>
          <w:rFonts w:ascii="Arial" w:hAnsi="Arial" w:cs="Arial"/>
          <w:sz w:val="22"/>
        </w:rPr>
        <w:t xml:space="preserve">, </w:t>
      </w:r>
      <w:r w:rsidR="006378B6">
        <w:rPr>
          <w:rFonts w:ascii="Arial" w:hAnsi="Arial" w:cs="Arial"/>
          <w:sz w:val="22"/>
        </w:rPr>
        <w:t>C-301 del 16 de junio de 2021</w:t>
      </w:r>
      <w:r w:rsidR="00C83A28">
        <w:rPr>
          <w:rFonts w:ascii="Arial" w:hAnsi="Arial" w:cs="Arial"/>
          <w:sz w:val="22"/>
        </w:rPr>
        <w:t>, C-380 del 29 de julio de 2021</w:t>
      </w:r>
      <w:r w:rsidR="00892B83">
        <w:rPr>
          <w:rFonts w:ascii="Arial" w:hAnsi="Arial" w:cs="Arial"/>
          <w:sz w:val="22"/>
        </w:rPr>
        <w:t xml:space="preserve"> </w:t>
      </w:r>
      <w:r w:rsidR="00892B83" w:rsidRPr="00FF3E2C">
        <w:rPr>
          <w:rFonts w:ascii="Arial" w:hAnsi="Arial" w:cs="Arial"/>
          <w:sz w:val="22"/>
        </w:rPr>
        <w:t xml:space="preserve">y C-506 del 20 de septiembre de 2021. </w:t>
      </w:r>
      <w:r w:rsidR="00892B83" w:rsidRPr="00FF3E2C">
        <w:rPr>
          <w:rFonts w:ascii="Arial" w:eastAsia="Calibri" w:hAnsi="Arial" w:cs="Arial"/>
          <w:sz w:val="22"/>
        </w:rPr>
        <w:t xml:space="preserve">Las tesis </w:t>
      </w:r>
      <w:r w:rsidRPr="00FF3E2C">
        <w:rPr>
          <w:rFonts w:ascii="Arial" w:eastAsia="Calibri" w:hAnsi="Arial" w:cs="Arial"/>
          <w:sz w:val="22"/>
        </w:rPr>
        <w:t>expue</w:t>
      </w:r>
      <w:r w:rsidR="00892B83" w:rsidRPr="00FF3E2C">
        <w:rPr>
          <w:rFonts w:ascii="Arial" w:eastAsia="Calibri" w:hAnsi="Arial" w:cs="Arial"/>
          <w:sz w:val="22"/>
        </w:rPr>
        <w:t>stas en los anteriores conceptos se reiteran a continuación</w:t>
      </w:r>
      <w:r w:rsidR="00892B83">
        <w:rPr>
          <w:rFonts w:ascii="Arial" w:eastAsia="Calibri" w:hAnsi="Arial" w:cs="Arial"/>
          <w:sz w:val="22"/>
        </w:rPr>
        <w:t xml:space="preserve"> y se complementan en los pertinente.</w:t>
      </w:r>
    </w:p>
    <w:p w14:paraId="66A4AED0" w14:textId="77777777" w:rsidR="00C8061B" w:rsidRDefault="00C8061B" w:rsidP="0067722F">
      <w:pPr>
        <w:spacing w:line="276" w:lineRule="auto"/>
        <w:ind w:firstLine="708"/>
        <w:jc w:val="both"/>
        <w:rPr>
          <w:rFonts w:ascii="Arial" w:eastAsia="Calibri" w:hAnsi="Arial" w:cs="Arial"/>
          <w:sz w:val="22"/>
        </w:rPr>
      </w:pPr>
    </w:p>
    <w:p w14:paraId="0187AB28" w14:textId="5597C184" w:rsidR="00F61483" w:rsidRDefault="002B4EBC" w:rsidP="00A13D9F">
      <w:pPr>
        <w:tabs>
          <w:tab w:val="left" w:pos="426"/>
        </w:tabs>
        <w:spacing w:line="276" w:lineRule="auto"/>
        <w:jc w:val="both"/>
        <w:rPr>
          <w:rFonts w:ascii="Arial" w:hAnsi="Arial" w:cs="Arial"/>
          <w:color w:val="0D0D0D"/>
          <w:sz w:val="22"/>
          <w:bdr w:val="none" w:sz="0" w:space="0" w:color="auto" w:frame="1"/>
          <w:lang w:eastAsia="es-CO"/>
        </w:rPr>
      </w:pPr>
      <w:r w:rsidRPr="004B1AFD">
        <w:rPr>
          <w:rFonts w:ascii="Arial" w:eastAsia="Calibri" w:hAnsi="Arial" w:cs="Arial"/>
          <w:b/>
          <w:noProof/>
          <w:sz w:val="22"/>
          <w:lang w:val="es-ES_tradnl"/>
        </w:rPr>
        <w:t>2.1</w:t>
      </w:r>
      <w:r w:rsidR="00FF3E2C">
        <w:rPr>
          <w:rFonts w:ascii="Arial" w:eastAsia="Calibri" w:hAnsi="Arial" w:cs="Arial"/>
          <w:b/>
          <w:noProof/>
          <w:sz w:val="22"/>
          <w:lang w:val="es-ES_tradnl"/>
        </w:rPr>
        <w:t>.</w:t>
      </w:r>
      <w:r w:rsidR="00A13D9F">
        <w:rPr>
          <w:rFonts w:ascii="Arial" w:eastAsia="Calibri" w:hAnsi="Arial" w:cs="Arial"/>
          <w:b/>
          <w:noProof/>
          <w:sz w:val="22"/>
          <w:lang w:val="es-ES_tradnl"/>
        </w:rPr>
        <w:t xml:space="preserve"> </w:t>
      </w:r>
      <w:r w:rsidR="00A13D9F" w:rsidRPr="00A13D9F">
        <w:rPr>
          <w:rFonts w:ascii="Arial" w:eastAsia="Calibri" w:hAnsi="Arial" w:cs="Arial"/>
          <w:b/>
          <w:noProof/>
          <w:sz w:val="22"/>
          <w:lang w:val="es-ES_tradnl"/>
        </w:rPr>
        <w:t>Fundamento normativo de los documentos tipo para obra pública de infraestructura de transporte</w:t>
      </w:r>
    </w:p>
    <w:p w14:paraId="2A050005" w14:textId="77777777" w:rsidR="00F61483" w:rsidRDefault="00F61483" w:rsidP="00A13D9F">
      <w:pPr>
        <w:tabs>
          <w:tab w:val="left" w:pos="426"/>
        </w:tabs>
        <w:spacing w:line="276" w:lineRule="auto"/>
        <w:jc w:val="both"/>
        <w:rPr>
          <w:rFonts w:ascii="Arial" w:eastAsia="Calibri" w:hAnsi="Arial" w:cs="Arial"/>
          <w:b/>
          <w:noProof/>
          <w:sz w:val="22"/>
          <w:lang w:val="es-ES_tradnl"/>
        </w:rPr>
      </w:pPr>
    </w:p>
    <w:p w14:paraId="3D6E968C" w14:textId="77777777" w:rsidR="00A13D9F" w:rsidRPr="000418EA" w:rsidRDefault="00A13D9F" w:rsidP="00A13D9F">
      <w:pPr>
        <w:shd w:val="clear" w:color="auto" w:fill="FFFFFF"/>
        <w:spacing w:line="276" w:lineRule="auto"/>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Los pliegos tipo surgen en el 2007 cuando el legislador facultó al Gobierno Nacional para adoptarlos en la compra o suministro de bienes de características técnicas uniformes</w:t>
      </w:r>
      <w:r w:rsidRPr="000418EA">
        <w:rPr>
          <w:rFonts w:ascii="Arial" w:hAnsi="Arial" w:cs="Arial"/>
          <w:color w:val="0D0D0D"/>
          <w:sz w:val="22"/>
          <w:bdr w:val="none" w:sz="0" w:space="0" w:color="auto" w:frame="1"/>
          <w:vertAlign w:val="superscript"/>
          <w:lang w:eastAsia="es-CO"/>
        </w:rPr>
        <w:footnoteReference w:id="1"/>
      </w:r>
      <w:r w:rsidRPr="000418EA">
        <w:rPr>
          <w:rFonts w:ascii="Arial" w:hAnsi="Arial" w:cs="Arial"/>
          <w:color w:val="0D0D0D"/>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0418EA">
        <w:rPr>
          <w:rFonts w:ascii="Arial" w:hAnsi="Arial" w:cs="Arial"/>
          <w:color w:val="0D0D0D"/>
          <w:sz w:val="22"/>
          <w:bdr w:val="none" w:sz="0" w:space="0" w:color="auto" w:frame="1"/>
          <w:vertAlign w:val="superscript"/>
          <w:lang w:eastAsia="es-CO"/>
        </w:rPr>
        <w:footnoteReference w:id="2"/>
      </w:r>
      <w:r w:rsidRPr="000418EA">
        <w:rPr>
          <w:rFonts w:ascii="Arial" w:hAnsi="Arial" w:cs="Arial"/>
          <w:color w:val="0D0D0D"/>
          <w:sz w:val="22"/>
          <w:bdr w:val="none" w:sz="0" w:space="0" w:color="auto" w:frame="1"/>
          <w:lang w:eastAsia="es-CO"/>
        </w:rPr>
        <w:t>. </w:t>
      </w:r>
    </w:p>
    <w:p w14:paraId="56924B34" w14:textId="77777777" w:rsidR="00A13D9F" w:rsidRPr="000418EA" w:rsidRDefault="00A13D9F" w:rsidP="00A13D9F">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 xml:space="preserve">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w:t>
      </w:r>
      <w:r w:rsidRPr="000418EA">
        <w:rPr>
          <w:rFonts w:ascii="Arial" w:hAnsi="Arial" w:cs="Arial"/>
          <w:color w:val="0D0D0D"/>
          <w:sz w:val="22"/>
          <w:bdr w:val="none" w:sz="0" w:space="0" w:color="auto" w:frame="1"/>
          <w:lang w:eastAsia="es-CO"/>
        </w:rPr>
        <w:lastRenderedPageBreak/>
        <w:t>que redundará en la agilidad y claridad de los procedimientos»</w:t>
      </w:r>
      <w:r w:rsidRPr="000418EA">
        <w:rPr>
          <w:rFonts w:ascii="Arial" w:hAnsi="Arial" w:cs="Arial"/>
          <w:color w:val="0D0D0D"/>
          <w:sz w:val="22"/>
          <w:bdr w:val="none" w:sz="0" w:space="0" w:color="auto" w:frame="1"/>
          <w:vertAlign w:val="superscript"/>
          <w:lang w:eastAsia="es-CO"/>
        </w:rPr>
        <w:footnoteReference w:id="3"/>
      </w:r>
      <w:r w:rsidRPr="000418EA">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0418EA">
        <w:rPr>
          <w:rFonts w:ascii="Arial" w:hAnsi="Arial" w:cs="Arial"/>
          <w:color w:val="0D0D0D"/>
          <w:sz w:val="22"/>
          <w:bdr w:val="none" w:sz="0" w:space="0" w:color="auto" w:frame="1"/>
          <w:vertAlign w:val="superscript"/>
          <w:lang w:eastAsia="es-CO"/>
        </w:rPr>
        <w:footnoteReference w:id="4"/>
      </w:r>
      <w:r w:rsidRPr="000418EA">
        <w:rPr>
          <w:rFonts w:ascii="Arial" w:hAnsi="Arial" w:cs="Arial"/>
          <w:color w:val="0D0D0D"/>
          <w:sz w:val="22"/>
          <w:bdr w:val="none" w:sz="0" w:space="0" w:color="auto" w:frame="1"/>
          <w:lang w:eastAsia="es-CO"/>
        </w:rPr>
        <w:t>. </w:t>
      </w:r>
    </w:p>
    <w:p w14:paraId="455BFBA2" w14:textId="77777777" w:rsidR="00A13D9F" w:rsidRPr="000418EA" w:rsidRDefault="00A13D9F" w:rsidP="00A13D9F">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74D14559" w14:textId="77777777" w:rsidR="00A13D9F" w:rsidRPr="000418EA" w:rsidRDefault="00A13D9F" w:rsidP="00A13D9F">
      <w:pPr>
        <w:shd w:val="clear" w:color="auto" w:fill="FFFFFF"/>
        <w:spacing w:line="276" w:lineRule="auto"/>
        <w:ind w:firstLine="709"/>
        <w:jc w:val="both"/>
        <w:rPr>
          <w:rFonts w:ascii="Arial" w:hAnsi="Arial" w:cs="Arial"/>
          <w:color w:val="000000"/>
          <w:sz w:val="22"/>
          <w:lang w:eastAsia="es-CO"/>
        </w:rPr>
      </w:pPr>
    </w:p>
    <w:p w14:paraId="1B5E5CD2" w14:textId="77777777" w:rsidR="00A13D9F" w:rsidRPr="000418EA" w:rsidRDefault="00A13D9F" w:rsidP="00A13D9F">
      <w:pPr>
        <w:shd w:val="clear" w:color="auto" w:fill="FFFFFF"/>
        <w:ind w:left="709" w:right="709"/>
        <w:jc w:val="both"/>
        <w:rPr>
          <w:rFonts w:ascii="Arial" w:hAnsi="Arial" w:cs="Arial"/>
          <w:color w:val="0D0D0D"/>
          <w:sz w:val="21"/>
          <w:szCs w:val="21"/>
          <w:bdr w:val="none" w:sz="0" w:space="0" w:color="auto" w:frame="1"/>
          <w:lang w:eastAsia="es-CO"/>
        </w:rPr>
      </w:pPr>
      <w:r w:rsidRPr="000418EA">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0418EA">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0418EA">
        <w:rPr>
          <w:rFonts w:ascii="Arial" w:hAnsi="Arial" w:cs="Arial"/>
          <w:color w:val="0D0D0D"/>
          <w:sz w:val="21"/>
          <w:szCs w:val="21"/>
          <w:bdr w:val="none" w:sz="0" w:space="0" w:color="auto" w:frame="1"/>
          <w:lang w:eastAsia="es-CO"/>
        </w:rPr>
        <w:t> […] </w:t>
      </w:r>
      <w:r w:rsidRPr="000418EA">
        <w:rPr>
          <w:rFonts w:ascii="Arial" w:hAnsi="Arial" w:cs="Arial"/>
          <w:i/>
          <w:iCs/>
          <w:color w:val="0D0D0D"/>
          <w:sz w:val="21"/>
          <w:szCs w:val="21"/>
          <w:bdr w:val="none" w:sz="0" w:space="0" w:color="auto" w:frame="1"/>
          <w:lang w:eastAsia="es-CO"/>
        </w:rPr>
        <w:t>teniendo en cuenta la naturaleza y cuantía de los contratos</w:t>
      </w:r>
      <w:r w:rsidRPr="000418EA">
        <w:rPr>
          <w:rFonts w:ascii="Arial" w:hAnsi="Arial" w:cs="Arial"/>
          <w:color w:val="0D0D0D"/>
          <w:sz w:val="21"/>
          <w:szCs w:val="21"/>
          <w:bdr w:val="none" w:sz="0" w:space="0" w:color="auto" w:frame="1"/>
          <w:lang w:eastAsia="es-CO"/>
        </w:rPr>
        <w:t> […]. (Énfasis fuera de texto) </w:t>
      </w:r>
    </w:p>
    <w:p w14:paraId="0E1BB6F0" w14:textId="77777777" w:rsidR="00A13D9F" w:rsidRPr="000418EA" w:rsidRDefault="00A13D9F" w:rsidP="00A13D9F">
      <w:pPr>
        <w:shd w:val="clear" w:color="auto" w:fill="FFFFFF"/>
        <w:spacing w:line="276" w:lineRule="auto"/>
        <w:ind w:left="709" w:right="709"/>
        <w:jc w:val="both"/>
        <w:rPr>
          <w:rFonts w:ascii="Arial" w:hAnsi="Arial" w:cs="Arial"/>
          <w:color w:val="000000"/>
          <w:sz w:val="22"/>
          <w:lang w:eastAsia="es-CO"/>
        </w:rPr>
      </w:pPr>
    </w:p>
    <w:p w14:paraId="5845D613" w14:textId="77777777" w:rsidR="00A13D9F" w:rsidRPr="000418EA" w:rsidRDefault="00A13D9F" w:rsidP="00A13D9F">
      <w:pPr>
        <w:shd w:val="clear" w:color="auto" w:fill="FFFFFF"/>
        <w:spacing w:line="276" w:lineRule="auto"/>
        <w:ind w:firstLine="708"/>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Sin embargo, el 22 de julio de 2020, el Gobierno Nacional sancionó la Ley 2022, llamada la «ley de pliegos tipo», que rige a partir de su publicación y cuyo artículo 1 modific</w:t>
      </w:r>
      <w:r>
        <w:rPr>
          <w:rFonts w:ascii="Arial" w:hAnsi="Arial" w:cs="Arial"/>
          <w:color w:val="0D0D0D"/>
          <w:sz w:val="22"/>
          <w:bdr w:val="none" w:sz="0" w:space="0" w:color="auto" w:frame="1"/>
          <w:lang w:eastAsia="es-CO"/>
        </w:rPr>
        <w:t>ó</w:t>
      </w:r>
      <w:r w:rsidRPr="000418EA">
        <w:rPr>
          <w:rFonts w:ascii="Arial" w:hAnsi="Arial" w:cs="Arial"/>
          <w:color w:val="0D0D0D"/>
          <w:sz w:val="22"/>
          <w:bdr w:val="none" w:sz="0" w:space="0" w:color="auto" w:frame="1"/>
          <w:lang w:eastAsia="es-CO"/>
        </w:rPr>
        <w:t xml:space="preserve">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0418EA">
        <w:rPr>
          <w:rFonts w:ascii="Arial" w:hAnsi="Arial" w:cs="Arial"/>
          <w:color w:val="0D0D0D"/>
          <w:sz w:val="22"/>
          <w:bdr w:val="none" w:sz="0" w:space="0" w:color="auto" w:frame="1"/>
          <w:vertAlign w:val="superscript"/>
          <w:lang w:eastAsia="es-CO"/>
        </w:rPr>
        <w:footnoteReference w:id="5"/>
      </w:r>
      <w:r w:rsidRPr="000418EA">
        <w:rPr>
          <w:rFonts w:ascii="Arial" w:hAnsi="Arial" w:cs="Arial"/>
          <w:color w:val="0D0D0D"/>
          <w:sz w:val="22"/>
          <w:bdr w:val="none" w:sz="0" w:space="0" w:color="auto" w:frame="1"/>
          <w:lang w:eastAsia="es-CO"/>
        </w:rPr>
        <w:t>.  </w:t>
      </w:r>
    </w:p>
    <w:p w14:paraId="0A327C49" w14:textId="77777777" w:rsidR="00A13D9F" w:rsidRPr="000418EA" w:rsidRDefault="00A13D9F" w:rsidP="00A13D9F">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4DD6A6C7" w14:textId="77777777" w:rsidR="00A13D9F" w:rsidRPr="000418EA" w:rsidRDefault="00A13D9F" w:rsidP="00A13D9F">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 xml:space="preserve">En ejercicio de la competencia conferida por el citado parágrafo, el Gobierno Nacional expidió el Decreto 342 de 2019, </w:t>
      </w:r>
      <w:r>
        <w:rPr>
          <w:rFonts w:ascii="Arial" w:hAnsi="Arial" w:cs="Arial"/>
          <w:color w:val="0D0D0D"/>
          <w:sz w:val="22"/>
          <w:bdr w:val="none" w:sz="0" w:space="0" w:color="auto" w:frame="1"/>
          <w:lang w:eastAsia="es-CO"/>
        </w:rPr>
        <w:t>mediante el cual</w:t>
      </w:r>
      <w:r w:rsidRPr="000418EA">
        <w:rPr>
          <w:rFonts w:ascii="Arial" w:hAnsi="Arial" w:cs="Arial"/>
          <w:color w:val="0D0D0D"/>
          <w:sz w:val="22"/>
          <w:bdr w:val="none" w:sz="0" w:space="0" w:color="auto" w:frame="1"/>
          <w:lang w:eastAsia="es-CO"/>
        </w:rPr>
        <w:t xml:space="preserv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3EC90B37" w14:textId="77777777" w:rsidR="00A13D9F" w:rsidRPr="000418EA" w:rsidRDefault="00A13D9F" w:rsidP="00A13D9F">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41C01E8A" w14:textId="77777777" w:rsidR="00A13D9F" w:rsidRPr="000418EA" w:rsidRDefault="00A13D9F" w:rsidP="00A13D9F">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 xml:space="preserve">El Gobierno Nacional mediante el artículo 2.2.1.2.6.1.3 del Decreto 1082 de 2015, adicionado por el Decreto 342 de 2019, facultó a la Agencia Nacional de Contratación Pública – Colombia Compra Eficiente, para que en coordinación con el Departamento </w:t>
      </w:r>
      <w:r w:rsidRPr="000418EA">
        <w:rPr>
          <w:rFonts w:ascii="Arial" w:hAnsi="Arial" w:cs="Arial"/>
          <w:color w:val="0D0D0D"/>
          <w:sz w:val="22"/>
          <w:bdr w:val="none" w:sz="0" w:space="0" w:color="auto" w:frame="1"/>
          <w:lang w:eastAsia="es-CO"/>
        </w:rPr>
        <w:lastRenderedPageBreak/>
        <w:t>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02605AA5" w14:textId="77777777" w:rsidR="00A13D9F" w:rsidRPr="000418EA" w:rsidRDefault="00A13D9F" w:rsidP="00A13D9F">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w:t>
      </w:r>
      <w:r>
        <w:rPr>
          <w:rFonts w:ascii="Arial" w:hAnsi="Arial" w:cs="Arial"/>
          <w:color w:val="0D0D0D"/>
          <w:sz w:val="22"/>
          <w:bdr w:val="none" w:sz="0" w:space="0" w:color="auto" w:frame="1"/>
          <w:lang w:eastAsia="es-CO"/>
        </w:rPr>
        <w:t>con el objetivo</w:t>
      </w:r>
      <w:r w:rsidRPr="000418EA">
        <w:rPr>
          <w:rFonts w:ascii="Arial" w:hAnsi="Arial" w:cs="Arial"/>
          <w:color w:val="0D0D0D"/>
          <w:sz w:val="22"/>
          <w:bdr w:val="none" w:sz="0" w:space="0" w:color="auto" w:frame="1"/>
          <w:lang w:eastAsia="es-CO"/>
        </w:rPr>
        <w:t xml:space="preserve">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45821C7F" w14:textId="77777777" w:rsidR="00A13D9F" w:rsidRPr="000418EA" w:rsidRDefault="00A13D9F" w:rsidP="00A13D9F">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El Gobierno Nacional ejerció nuevamente la competencia prevista en el citado artículo 4 de la Ley 1882 de 2018, expidiendo el Decreto 2096 de 2019. Mediante ese Decreto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2B8C0297" w14:textId="77777777" w:rsidR="00A13D9F" w:rsidRPr="000418EA" w:rsidRDefault="00A13D9F" w:rsidP="00A13D9F">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El artículo 2.2.1.2.6.2.2 del Decreto</w:t>
      </w:r>
      <w:r>
        <w:rPr>
          <w:rFonts w:ascii="Arial" w:hAnsi="Arial" w:cs="Arial"/>
          <w:color w:val="0D0D0D"/>
          <w:sz w:val="22"/>
          <w:bdr w:val="none" w:sz="0" w:space="0" w:color="auto" w:frame="1"/>
          <w:lang w:eastAsia="es-CO"/>
        </w:rPr>
        <w:t xml:space="preserve"> mencionado</w:t>
      </w:r>
      <w:r w:rsidRPr="000418EA">
        <w:rPr>
          <w:rFonts w:ascii="Arial" w:hAnsi="Arial" w:cs="Arial"/>
          <w:color w:val="0D0D0D"/>
          <w:sz w:val="22"/>
          <w:bdr w:val="none" w:sz="0" w:space="0" w:color="auto" w:frame="1"/>
          <w:lang w:eastAsia="es-CO"/>
        </w:rPr>
        <w:t xml:space="preserve"> contiene el listado de los documentos tipo aplicables a los procesos de selección abreviada de menor cuantía para la contratación de obra pública de infraestructura de transporte. Además, el 2.2.1.2.6.2.3 </w:t>
      </w:r>
      <w:r w:rsidRPr="000418EA">
        <w:rPr>
          <w:rFonts w:ascii="Arial" w:hAnsi="Arial" w:cs="Arial"/>
          <w:i/>
          <w:iCs/>
          <w:color w:val="0D0D0D"/>
          <w:sz w:val="22"/>
          <w:bdr w:val="none" w:sz="0" w:space="0" w:color="auto" w:frame="1"/>
          <w:lang w:eastAsia="es-CO"/>
        </w:rPr>
        <w:t>ibidem</w:t>
      </w:r>
      <w:r w:rsidRPr="000418EA">
        <w:rPr>
          <w:rFonts w:ascii="Arial" w:hAnsi="Arial" w:cs="Arial"/>
          <w:color w:val="0D0D0D"/>
          <w:sz w:val="22"/>
          <w:bdr w:val="none" w:sz="0" w:space="0" w:color="auto" w:frame="1"/>
          <w:lang w:eastAsia="es-CO"/>
        </w:rPr>
        <w:t xml:space="preserve">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354C2C27" w14:textId="77777777" w:rsidR="00A13D9F" w:rsidRPr="000418EA" w:rsidRDefault="00A13D9F" w:rsidP="00A13D9F">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4646B114" w14:textId="77777777" w:rsidR="00A13D9F" w:rsidRPr="000418EA" w:rsidRDefault="00A13D9F" w:rsidP="00A13D9F">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 xml:space="preserve">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w:t>
      </w:r>
      <w:r w:rsidRPr="000418EA">
        <w:rPr>
          <w:rFonts w:ascii="Arial" w:hAnsi="Arial" w:cs="Arial"/>
          <w:color w:val="0D0D0D"/>
          <w:sz w:val="22"/>
          <w:bdr w:val="none" w:sz="0" w:space="0" w:color="auto" w:frame="1"/>
          <w:lang w:eastAsia="es-CO"/>
        </w:rPr>
        <w:lastRenderedPageBreak/>
        <w:t>la expedición de la Resolución No. 094 del 21 de mayo de 2020 que implementó los documentos tipo para esta modalidad de selección. </w:t>
      </w:r>
    </w:p>
    <w:p w14:paraId="21042F19" w14:textId="5CA0A006" w:rsidR="00A13D9F" w:rsidRDefault="00A13D9F" w:rsidP="00A13D9F">
      <w:pPr>
        <w:spacing w:before="120" w:line="276" w:lineRule="auto"/>
        <w:ind w:firstLine="709"/>
        <w:jc w:val="both"/>
        <w:rPr>
          <w:rFonts w:ascii="Arial" w:hAnsi="Arial" w:cs="Arial"/>
          <w:color w:val="0D0D0D"/>
          <w:sz w:val="22"/>
          <w:bdr w:val="none" w:sz="0" w:space="0" w:color="auto" w:frame="1"/>
          <w:lang w:val="es-ES_tradnl" w:eastAsia="es-CO"/>
        </w:rPr>
      </w:pPr>
      <w:r w:rsidRPr="000418EA">
        <w:rPr>
          <w:rFonts w:ascii="Arial" w:hAnsi="Arial" w:cs="Arial"/>
          <w:color w:val="0D0D0D"/>
          <w:sz w:val="22"/>
          <w:bdr w:val="none" w:sz="0" w:space="0" w:color="auto" w:frame="1"/>
          <w:lang w:val="es-ES_tradnl" w:eastAsia="es-CO"/>
        </w:rPr>
        <w:t xml:space="preserve">Ahora bien, esta Agencia consciente de la afectación económica que causaron las medidas adoptadas para contener la pandemia COVID – 19 en el país, </w:t>
      </w:r>
      <w:r w:rsidR="0067722F">
        <w:rPr>
          <w:rFonts w:ascii="Arial" w:hAnsi="Arial" w:cs="Arial"/>
          <w:color w:val="0D0D0D"/>
          <w:sz w:val="22"/>
          <w:bdr w:val="none" w:sz="0" w:space="0" w:color="auto" w:frame="1"/>
          <w:lang w:val="es-ES_tradnl" w:eastAsia="es-CO"/>
        </w:rPr>
        <w:t>decidió</w:t>
      </w:r>
      <w:r w:rsidRPr="000418EA">
        <w:rPr>
          <w:rFonts w:ascii="Arial" w:hAnsi="Arial" w:cs="Arial"/>
          <w:color w:val="0D0D0D"/>
          <w:sz w:val="22"/>
          <w:bdr w:val="none" w:sz="0" w:space="0" w:color="auto" w:frame="1"/>
          <w:lang w:val="es-ES_tradnl" w:eastAsia="es-CO"/>
        </w:rPr>
        <w:t xml:space="preserve"> actualizar los documentos tipo para los procesos de licitación de obra pública y selección abreviada de menor cuantía de infraestructura de transporte y, en consecuencia, </w:t>
      </w:r>
      <w:r w:rsidR="0067722F">
        <w:rPr>
          <w:rFonts w:ascii="Arial" w:hAnsi="Arial" w:cs="Arial"/>
          <w:color w:val="0D0D0D"/>
          <w:sz w:val="22"/>
          <w:bdr w:val="none" w:sz="0" w:space="0" w:color="auto" w:frame="1"/>
          <w:lang w:val="es-ES_tradnl" w:eastAsia="es-CO"/>
        </w:rPr>
        <w:t>adoptó</w:t>
      </w:r>
      <w:r w:rsidRPr="000418EA">
        <w:rPr>
          <w:rFonts w:ascii="Arial" w:hAnsi="Arial" w:cs="Arial"/>
          <w:color w:val="0D0D0D"/>
          <w:sz w:val="22"/>
          <w:bdr w:val="none" w:sz="0" w:space="0" w:color="auto" w:frame="1"/>
          <w:lang w:val="es-ES_tradnl" w:eastAsia="es-CO"/>
        </w:rPr>
        <w:t xml:space="preserve"> medidas en apoyo a la industria nacional. Por tanto, bajo la competencia prevista en la Ley 2022 de 2020, Colombia Compra Eficiente </w:t>
      </w:r>
      <w:r w:rsidR="0067722F">
        <w:rPr>
          <w:rFonts w:ascii="Arial" w:hAnsi="Arial" w:cs="Arial"/>
          <w:color w:val="0D0D0D"/>
          <w:sz w:val="22"/>
          <w:bdr w:val="none" w:sz="0" w:space="0" w:color="auto" w:frame="1"/>
          <w:lang w:val="es-ES_tradnl" w:eastAsia="es-CO"/>
        </w:rPr>
        <w:t>ex</w:t>
      </w:r>
      <w:r w:rsidR="005E7B0B">
        <w:rPr>
          <w:rFonts w:ascii="Arial" w:hAnsi="Arial" w:cs="Arial"/>
          <w:color w:val="0D0D0D"/>
          <w:sz w:val="22"/>
          <w:bdr w:val="none" w:sz="0" w:space="0" w:color="auto" w:frame="1"/>
          <w:lang w:val="es-ES_tradnl" w:eastAsia="es-CO"/>
        </w:rPr>
        <w:t>pidió</w:t>
      </w:r>
      <w:r w:rsidRPr="000418EA">
        <w:rPr>
          <w:rFonts w:ascii="Arial" w:hAnsi="Arial" w:cs="Arial"/>
          <w:color w:val="0D0D0D"/>
          <w:sz w:val="22"/>
          <w:bdr w:val="none" w:sz="0" w:space="0" w:color="auto" w:frame="1"/>
          <w:lang w:val="es-ES_tradnl" w:eastAsia="es-CO"/>
        </w:rPr>
        <w:t xml:space="preserve"> las Resoluciones No. 240 y 241 del 27 de noviembre 2020 </w:t>
      </w:r>
      <w:r>
        <w:rPr>
          <w:rFonts w:ascii="Arial" w:hAnsi="Arial" w:cs="Arial"/>
          <w:color w:val="0D0D0D"/>
          <w:sz w:val="22"/>
          <w:bdr w:val="none" w:sz="0" w:space="0" w:color="auto" w:frame="1"/>
          <w:lang w:val="es-ES_tradnl" w:eastAsia="es-CO"/>
        </w:rPr>
        <w:t>mediante</w:t>
      </w:r>
      <w:r w:rsidRPr="000418EA">
        <w:rPr>
          <w:rFonts w:ascii="Arial" w:hAnsi="Arial" w:cs="Arial"/>
          <w:color w:val="0D0D0D"/>
          <w:sz w:val="22"/>
          <w:bdr w:val="none" w:sz="0" w:space="0" w:color="auto" w:frame="1"/>
          <w:lang w:val="es-ES_tradnl" w:eastAsia="es-CO"/>
        </w:rPr>
        <w:t xml:space="preserve"> las cuales se </w:t>
      </w:r>
      <w:r w:rsidR="005E7B0B">
        <w:rPr>
          <w:rFonts w:ascii="Arial" w:hAnsi="Arial" w:cs="Arial"/>
          <w:color w:val="0D0D0D"/>
          <w:sz w:val="22"/>
          <w:bdr w:val="none" w:sz="0" w:space="0" w:color="auto" w:frame="1"/>
          <w:lang w:val="es-ES_tradnl" w:eastAsia="es-CO"/>
        </w:rPr>
        <w:t>adoptaron</w:t>
      </w:r>
      <w:r w:rsidRPr="000418EA">
        <w:rPr>
          <w:rFonts w:ascii="Arial" w:hAnsi="Arial" w:cs="Arial"/>
          <w:color w:val="0D0D0D"/>
          <w:sz w:val="22"/>
          <w:bdr w:val="none" w:sz="0" w:space="0" w:color="auto" w:frame="1"/>
          <w:lang w:val="es-ES_tradnl" w:eastAsia="es-CO"/>
        </w:rPr>
        <w:t xml:space="preserve"> los documentos tipo de licitación de obra pública – versión 3 y de selección abreviada de menor cuantía – versión 2 de infraestructura de transporte, los cuales son obligatorios a partir del 1º de enero de 2021. </w:t>
      </w:r>
    </w:p>
    <w:p w14:paraId="388F9BF6" w14:textId="6CC309F0" w:rsidR="00A13D9F" w:rsidRDefault="00A13D9F" w:rsidP="00A13D9F">
      <w:pPr>
        <w:spacing w:before="120" w:line="276" w:lineRule="auto"/>
        <w:ind w:firstLine="709"/>
        <w:jc w:val="both"/>
        <w:rPr>
          <w:rFonts w:ascii="Arial" w:hAnsi="Arial" w:cs="Arial"/>
          <w:color w:val="0D0D0D"/>
          <w:sz w:val="22"/>
          <w:bdr w:val="none" w:sz="0" w:space="0" w:color="auto" w:frame="1"/>
          <w:lang w:val="es-ES_tradnl" w:eastAsia="es-CO"/>
        </w:rPr>
      </w:pPr>
      <w:r>
        <w:rPr>
          <w:rFonts w:ascii="Arial" w:hAnsi="Arial" w:cs="Arial"/>
          <w:color w:val="0D0D0D"/>
          <w:sz w:val="22"/>
          <w:bdr w:val="none" w:sz="0" w:space="0" w:color="auto" w:frame="1"/>
          <w:lang w:val="es-ES_tradnl" w:eastAsia="es-CO"/>
        </w:rPr>
        <w:t>Adicionalmente</w:t>
      </w:r>
      <w:r w:rsidRPr="000418EA">
        <w:rPr>
          <w:rFonts w:ascii="Arial" w:hAnsi="Arial" w:cs="Arial"/>
          <w:color w:val="0D0D0D"/>
          <w:sz w:val="22"/>
          <w:bdr w:val="none" w:sz="0" w:space="0" w:color="auto" w:frame="1"/>
          <w:lang w:val="es-ES_tradnl" w:eastAsia="es-CO"/>
        </w:rPr>
        <w:t xml:space="preserve">, con la expedición de la Ley de Emprendimiento, estos se </w:t>
      </w:r>
      <w:r w:rsidR="00B42559">
        <w:rPr>
          <w:rFonts w:ascii="Arial" w:hAnsi="Arial" w:cs="Arial"/>
          <w:color w:val="0D0D0D"/>
          <w:sz w:val="22"/>
          <w:bdr w:val="none" w:sz="0" w:space="0" w:color="auto" w:frame="1"/>
          <w:lang w:val="es-ES_tradnl" w:eastAsia="es-CO"/>
        </w:rPr>
        <w:t>modifica</w:t>
      </w:r>
      <w:r w:rsidRPr="000418EA">
        <w:rPr>
          <w:rFonts w:ascii="Arial" w:hAnsi="Arial" w:cs="Arial"/>
          <w:color w:val="0D0D0D"/>
          <w:sz w:val="22"/>
          <w:bdr w:val="none" w:sz="0" w:space="0" w:color="auto" w:frame="1"/>
          <w:lang w:val="es-ES_tradnl" w:eastAsia="es-CO"/>
        </w:rPr>
        <w:t>ron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w:t>
      </w:r>
      <w:r>
        <w:rPr>
          <w:rFonts w:ascii="Arial" w:hAnsi="Arial" w:cs="Arial"/>
          <w:color w:val="0D0D0D"/>
          <w:sz w:val="22"/>
          <w:bdr w:val="none" w:sz="0" w:space="0" w:color="auto" w:frame="1"/>
          <w:lang w:val="es-ES_tradnl" w:eastAsia="es-CO"/>
        </w:rPr>
        <w:t xml:space="preserve"> Por último, para ajustar el contenido a las normas de la regla de origen del Decreto 680 del 22 de junio de 2021, recientemente la Agencia modificó los documentos tipo mediante la Resolución No. 304 del 13 de octubre de 2021, la cual comienza a regir para los procesos de contratación cuyo aviso de convocatoria se publique a partir del 2 de noviembre de 2021.</w:t>
      </w:r>
    </w:p>
    <w:p w14:paraId="4E3145A5" w14:textId="77777777" w:rsidR="00EE2BD9" w:rsidRPr="00255959" w:rsidRDefault="00EE2BD9" w:rsidP="0067722F">
      <w:pPr>
        <w:spacing w:line="276" w:lineRule="auto"/>
        <w:ind w:firstLine="709"/>
        <w:jc w:val="both"/>
        <w:rPr>
          <w:rFonts w:ascii="Arial" w:hAnsi="Arial" w:cs="Arial"/>
          <w:color w:val="0D0D0D"/>
          <w:sz w:val="22"/>
          <w:bdr w:val="none" w:sz="0" w:space="0" w:color="auto" w:frame="1"/>
          <w:lang w:val="es-ES_tradnl" w:eastAsia="es-CO"/>
        </w:rPr>
      </w:pPr>
    </w:p>
    <w:p w14:paraId="0335534D" w14:textId="2FD79844" w:rsidR="00EE2BD9" w:rsidRDefault="002B4EBC" w:rsidP="00EE2BD9">
      <w:pPr>
        <w:shd w:val="clear" w:color="auto" w:fill="FFFFFF"/>
        <w:spacing w:line="276" w:lineRule="auto"/>
        <w:jc w:val="both"/>
        <w:textAlignment w:val="baseline"/>
        <w:rPr>
          <w:rFonts w:ascii="Arial" w:hAnsi="Arial" w:cs="Arial"/>
          <w:b/>
          <w:bCs/>
          <w:color w:val="000000"/>
          <w:sz w:val="22"/>
          <w:lang w:val="es-CO" w:eastAsia="es-CO"/>
        </w:rPr>
      </w:pPr>
      <w:r>
        <w:rPr>
          <w:rFonts w:ascii="Arial" w:eastAsia="Calibri" w:hAnsi="Arial" w:cs="Arial"/>
          <w:b/>
          <w:bCs/>
          <w:sz w:val="22"/>
          <w:lang w:val="es-ES_tradnl"/>
        </w:rPr>
        <w:t>2.2.</w:t>
      </w:r>
      <w:r w:rsidR="00EE2BD9">
        <w:rPr>
          <w:rFonts w:ascii="Arial" w:hAnsi="Arial" w:cs="Arial"/>
          <w:b/>
          <w:bCs/>
          <w:color w:val="000000"/>
          <w:sz w:val="22"/>
          <w:lang w:eastAsia="es-CO"/>
        </w:rPr>
        <w:t xml:space="preserve"> </w:t>
      </w:r>
      <w:r w:rsidR="00427E90">
        <w:rPr>
          <w:rFonts w:ascii="Arial" w:hAnsi="Arial" w:cs="Arial"/>
          <w:b/>
          <w:bCs/>
          <w:color w:val="000000"/>
          <w:sz w:val="22"/>
          <w:lang w:eastAsia="es-CO"/>
        </w:rPr>
        <w:t>Obligatoriedad e i</w:t>
      </w:r>
      <w:r w:rsidR="00EE2BD9">
        <w:rPr>
          <w:rFonts w:ascii="Arial" w:hAnsi="Arial" w:cs="Arial"/>
          <w:b/>
          <w:bCs/>
          <w:color w:val="000000"/>
          <w:sz w:val="22"/>
          <w:lang w:eastAsia="es-CO"/>
        </w:rPr>
        <w:t xml:space="preserve">nalterabilidad de los documentos tipo de infraestructura de transporte </w:t>
      </w:r>
    </w:p>
    <w:p w14:paraId="2FC96A25" w14:textId="41C6E24F" w:rsidR="00EE2BD9" w:rsidRDefault="00EE2BD9" w:rsidP="00EE2BD9">
      <w:pPr>
        <w:shd w:val="clear" w:color="auto" w:fill="FFFFFF"/>
        <w:spacing w:line="276" w:lineRule="auto"/>
        <w:textAlignment w:val="baseline"/>
        <w:rPr>
          <w:rFonts w:ascii="Arial" w:hAnsi="Arial" w:cs="Arial"/>
          <w:b/>
          <w:bCs/>
          <w:color w:val="000000"/>
          <w:sz w:val="22"/>
          <w:lang w:eastAsia="es-CO"/>
        </w:rPr>
      </w:pPr>
    </w:p>
    <w:p w14:paraId="0B2C4160" w14:textId="46B161D5" w:rsidR="00642C9D" w:rsidRPr="00333FFB" w:rsidRDefault="00642C9D" w:rsidP="0067722F">
      <w:pPr>
        <w:spacing w:after="120" w:line="276" w:lineRule="auto"/>
        <w:jc w:val="both"/>
        <w:rPr>
          <w:rFonts w:ascii="Arial" w:eastAsia="Calibri" w:hAnsi="Arial" w:cs="Arial"/>
          <w:sz w:val="22"/>
          <w:lang w:val="es-ES_tradnl"/>
        </w:rPr>
      </w:pPr>
      <w:r>
        <w:rPr>
          <w:rFonts w:ascii="Arial" w:eastAsia="Calibri" w:hAnsi="Arial" w:cs="Arial"/>
          <w:sz w:val="22"/>
        </w:rPr>
        <w:t xml:space="preserve">Conforme a lo analizado en numeral precedente, al igual que la Ley 1882 de 2018, la Ley 2022 de 2020 reitera la </w:t>
      </w:r>
      <w:r w:rsidRPr="00F6642D">
        <w:rPr>
          <w:rFonts w:ascii="Arial" w:eastAsia="Calibri" w:hAnsi="Arial" w:cs="Arial"/>
          <w:i/>
          <w:sz w:val="22"/>
        </w:rPr>
        <w:t>obligatoriedad</w:t>
      </w:r>
      <w:r>
        <w:rPr>
          <w:rFonts w:ascii="Arial" w:eastAsia="Calibri" w:hAnsi="Arial" w:cs="Arial"/>
          <w:sz w:val="22"/>
        </w:rPr>
        <w:t xml:space="preserve"> de</w:t>
      </w:r>
      <w:r w:rsidRPr="001A1A18">
        <w:rPr>
          <w:rFonts w:ascii="Arial" w:eastAsia="Calibri" w:hAnsi="Arial" w:cs="Arial"/>
          <w:sz w:val="22"/>
        </w:rPr>
        <w:t xml:space="preserve"> los documentos tipo </w:t>
      </w:r>
      <w:r>
        <w:rPr>
          <w:rFonts w:ascii="Arial" w:eastAsia="Calibri" w:hAnsi="Arial" w:cs="Arial"/>
          <w:sz w:val="22"/>
        </w:rPr>
        <w:t>por parte de todas las entidades estatales sometidas al</w:t>
      </w:r>
      <w:r w:rsidRPr="001A1A18">
        <w:rPr>
          <w:rFonts w:ascii="Arial" w:eastAsia="Calibri" w:hAnsi="Arial" w:cs="Arial"/>
          <w:sz w:val="22"/>
        </w:rPr>
        <w:t xml:space="preserve"> Estatuto General de la Contratación de la Administración Pública.  </w:t>
      </w:r>
      <w:r>
        <w:rPr>
          <w:rFonts w:ascii="Arial" w:eastAsia="Calibri" w:hAnsi="Arial" w:cs="Arial"/>
          <w:sz w:val="22"/>
          <w:lang w:val="es-ES_tradnl"/>
        </w:rPr>
        <w:t>Lo anterior</w:t>
      </w:r>
      <w:r w:rsidRPr="00B53E7C">
        <w:rPr>
          <w:rFonts w:ascii="Arial" w:eastAsia="Calibri" w:hAnsi="Arial" w:cs="Arial"/>
          <w:sz w:val="22"/>
          <w:lang w:val="es-ES_tradnl"/>
        </w:rPr>
        <w:t xml:space="preserve"> significa que </w:t>
      </w:r>
      <w:r w:rsidR="00222E78">
        <w:rPr>
          <w:rFonts w:ascii="Arial" w:eastAsia="Calibri" w:hAnsi="Arial" w:cs="Arial"/>
          <w:sz w:val="22"/>
          <w:lang w:val="es-ES_tradnl"/>
        </w:rPr>
        <w:t>estos</w:t>
      </w:r>
      <w:r w:rsidRPr="00B53E7C">
        <w:rPr>
          <w:rFonts w:ascii="Arial" w:eastAsia="Calibri" w:hAnsi="Arial" w:cs="Arial"/>
          <w:sz w:val="22"/>
          <w:lang w:val="es-ES_tradnl"/>
        </w:rPr>
        <w:t xml:space="preserve"> son </w:t>
      </w:r>
      <w:r>
        <w:rPr>
          <w:rFonts w:ascii="Arial" w:eastAsia="Calibri" w:hAnsi="Arial" w:cs="Arial"/>
          <w:sz w:val="22"/>
          <w:lang w:val="es-ES_tradnl"/>
        </w:rPr>
        <w:t>vinculantes</w:t>
      </w:r>
      <w:r w:rsidRPr="00B53E7C">
        <w:rPr>
          <w:rFonts w:ascii="Arial" w:eastAsia="Calibri" w:hAnsi="Arial" w:cs="Arial"/>
          <w:sz w:val="22"/>
          <w:lang w:val="es-ES_tradnl"/>
        </w:rPr>
        <w:t xml:space="preserve"> para las entidades </w:t>
      </w:r>
      <w:r>
        <w:rPr>
          <w:rFonts w:ascii="Arial" w:eastAsia="Calibri" w:hAnsi="Arial" w:cs="Arial"/>
          <w:sz w:val="22"/>
          <w:lang w:val="es-ES_tradnl"/>
        </w:rPr>
        <w:t xml:space="preserve">que se rijan por </w:t>
      </w:r>
      <w:r w:rsidRPr="00B53E7C">
        <w:rPr>
          <w:rFonts w:ascii="Arial" w:eastAsia="Calibri" w:hAnsi="Arial" w:cs="Arial"/>
          <w:sz w:val="22"/>
          <w:lang w:val="es-ES_tradnl"/>
        </w:rPr>
        <w:t>la Ley 80 de 1993 al momento de adelantar los procesos de selección, teniendo en cuenta el ámbito de aplicación de estos</w:t>
      </w:r>
      <w:r>
        <w:rPr>
          <w:rStyle w:val="Refdenotaalpie"/>
          <w:rFonts w:ascii="Arial" w:eastAsia="Calibri" w:hAnsi="Arial" w:cs="Arial"/>
          <w:sz w:val="22"/>
          <w:lang w:val="es-ES_tradnl"/>
        </w:rPr>
        <w:footnoteReference w:id="6"/>
      </w:r>
      <w:r>
        <w:rPr>
          <w:rFonts w:ascii="Arial" w:eastAsia="Calibri" w:hAnsi="Arial" w:cs="Arial"/>
          <w:sz w:val="22"/>
          <w:lang w:val="es-ES_tradnl"/>
        </w:rPr>
        <w:t>.</w:t>
      </w:r>
      <w:r w:rsidRPr="00B53E7C">
        <w:rPr>
          <w:rFonts w:ascii="Arial" w:eastAsia="Calibri" w:hAnsi="Arial" w:cs="Arial"/>
          <w:sz w:val="22"/>
          <w:lang w:val="es-ES_tradnl"/>
        </w:rPr>
        <w:t xml:space="preserve"> </w:t>
      </w:r>
      <w:r>
        <w:rPr>
          <w:rFonts w:ascii="Arial" w:eastAsia="Calibri" w:hAnsi="Arial" w:cs="Arial"/>
          <w:sz w:val="22"/>
          <w:lang w:val="es-ES_tradnl"/>
        </w:rPr>
        <w:t>De esta manera</w:t>
      </w:r>
      <w:r w:rsidRPr="00333FFB">
        <w:rPr>
          <w:rFonts w:ascii="Arial" w:eastAsia="Calibri" w:hAnsi="Arial" w:cs="Arial"/>
          <w:sz w:val="22"/>
          <w:lang w:val="es-ES_tradnl"/>
        </w:rPr>
        <w:t xml:space="preserve">, con la finalidad de realizar un desarrollo armónico y ajustado a la </w:t>
      </w:r>
      <w:r>
        <w:rPr>
          <w:rFonts w:ascii="Arial" w:eastAsia="Calibri" w:hAnsi="Arial" w:cs="Arial"/>
          <w:sz w:val="22"/>
          <w:lang w:val="es-ES_tradnl"/>
        </w:rPr>
        <w:t>l</w:t>
      </w:r>
      <w:r w:rsidRPr="00333FFB">
        <w:rPr>
          <w:rFonts w:ascii="Arial" w:eastAsia="Calibri" w:hAnsi="Arial" w:cs="Arial"/>
          <w:sz w:val="22"/>
          <w:lang w:val="es-ES_tradnl"/>
        </w:rPr>
        <w:t>ey que otorga esta competencia, la Agencia Nacional de Contratación Pública</w:t>
      </w:r>
      <w:r>
        <w:rPr>
          <w:rFonts w:ascii="Arial" w:eastAsia="Calibri" w:hAnsi="Arial" w:cs="Arial"/>
          <w:sz w:val="22"/>
          <w:lang w:val="es-ES_tradnl"/>
        </w:rPr>
        <w:t xml:space="preserve"> – Colombia Compra Eficiente</w:t>
      </w:r>
      <w:r w:rsidRPr="00333FFB">
        <w:rPr>
          <w:rFonts w:ascii="Arial" w:eastAsia="Calibri" w:hAnsi="Arial" w:cs="Arial"/>
          <w:sz w:val="22"/>
          <w:lang w:val="es-ES_tradnl"/>
        </w:rPr>
        <w:t xml:space="preserve"> expidió la Resolución 240 del 27 de noviembre de 2020, «Por la cual se actualizan los Documentos Tipo para los procesos de selección de licitación de obra pública de infraestructura de transporte y se deroga la Resolución 0045 de 2020». </w:t>
      </w:r>
    </w:p>
    <w:p w14:paraId="237E781A" w14:textId="03DAE99D" w:rsidR="00642C9D" w:rsidRDefault="00642C9D" w:rsidP="00642C9D">
      <w:pPr>
        <w:pStyle w:val="xmsonospacing"/>
        <w:spacing w:before="120" w:beforeAutospacing="0" w:after="120" w:afterAutospacing="0" w:line="276" w:lineRule="auto"/>
        <w:ind w:firstLine="708"/>
        <w:jc w:val="both"/>
      </w:pPr>
      <w:r>
        <w:rPr>
          <w:rFonts w:ascii="Arial" w:eastAsia="Calibri" w:hAnsi="Arial" w:cs="Arial"/>
          <w:color w:val="000000" w:themeColor="text1"/>
          <w:sz w:val="22"/>
          <w:szCs w:val="22"/>
          <w:lang w:val="es-ES_tradnl" w:eastAsia="es-ES"/>
        </w:rPr>
        <w:lastRenderedPageBreak/>
        <w:t>E</w:t>
      </w:r>
      <w:r w:rsidR="00467F4F">
        <w:rPr>
          <w:rFonts w:ascii="Arial" w:eastAsia="Calibri" w:hAnsi="Arial" w:cs="Arial"/>
          <w:color w:val="000000" w:themeColor="text1"/>
          <w:sz w:val="22"/>
          <w:szCs w:val="22"/>
          <w:lang w:val="es-ES_tradnl" w:eastAsia="es-ES"/>
        </w:rPr>
        <w:t>l artículo 2 de e</w:t>
      </w:r>
      <w:r>
        <w:rPr>
          <w:rFonts w:ascii="Arial" w:eastAsia="Calibri" w:hAnsi="Arial" w:cs="Arial"/>
          <w:color w:val="000000" w:themeColor="text1"/>
          <w:sz w:val="22"/>
          <w:szCs w:val="22"/>
          <w:lang w:val="es-ES_tradnl" w:eastAsia="es-ES"/>
        </w:rPr>
        <w:t>sta</w:t>
      </w:r>
      <w:r w:rsidRPr="001A1A18">
        <w:rPr>
          <w:rFonts w:ascii="Arial" w:eastAsia="Calibri" w:hAnsi="Arial" w:cs="Arial"/>
          <w:color w:val="000000" w:themeColor="text1"/>
          <w:sz w:val="22"/>
          <w:szCs w:val="22"/>
          <w:lang w:val="es-ES_tradnl" w:eastAsia="es-ES"/>
        </w:rPr>
        <w:t xml:space="preserve"> resoluci</w:t>
      </w:r>
      <w:r>
        <w:rPr>
          <w:rFonts w:ascii="Arial" w:eastAsia="Calibri" w:hAnsi="Arial" w:cs="Arial"/>
          <w:color w:val="000000" w:themeColor="text1"/>
          <w:sz w:val="22"/>
          <w:szCs w:val="22"/>
          <w:lang w:val="es-ES_tradnl" w:eastAsia="es-ES"/>
        </w:rPr>
        <w:t>ón</w:t>
      </w:r>
      <w:r w:rsidRPr="001A1A18">
        <w:rPr>
          <w:rFonts w:ascii="Arial" w:eastAsia="Calibri" w:hAnsi="Arial" w:cs="Arial"/>
          <w:color w:val="000000" w:themeColor="text1"/>
          <w:sz w:val="22"/>
          <w:szCs w:val="22"/>
          <w:lang w:val="es-ES_tradnl" w:eastAsia="es-ES"/>
        </w:rPr>
        <w:t xml:space="preserve"> </w:t>
      </w:r>
      <w:r w:rsidRPr="001A1A18">
        <w:rPr>
          <w:rFonts w:ascii="Arial" w:hAnsi="Arial" w:cs="Arial"/>
          <w:color w:val="000000"/>
          <w:sz w:val="22"/>
          <w:szCs w:val="22"/>
          <w:bdr w:val="none" w:sz="0" w:space="0" w:color="auto" w:frame="1"/>
        </w:rPr>
        <w:t xml:space="preserve">reitera el alcance de la </w:t>
      </w:r>
      <w:r>
        <w:rPr>
          <w:rFonts w:ascii="Arial" w:hAnsi="Arial" w:cs="Arial"/>
          <w:color w:val="000000"/>
          <w:sz w:val="22"/>
          <w:szCs w:val="22"/>
          <w:bdr w:val="none" w:sz="0" w:space="0" w:color="auto" w:frame="1"/>
        </w:rPr>
        <w:t>fuerza vinculante</w:t>
      </w:r>
      <w:r w:rsidRPr="001A1A18">
        <w:rPr>
          <w:rFonts w:ascii="Arial" w:hAnsi="Arial" w:cs="Arial"/>
          <w:color w:val="000000"/>
          <w:sz w:val="22"/>
          <w:szCs w:val="22"/>
          <w:bdr w:val="none" w:sz="0" w:space="0" w:color="auto" w:frame="1"/>
        </w:rPr>
        <w:t xml:space="preserve"> de los documentos tipo en la materia</w:t>
      </w:r>
      <w:r w:rsidRPr="001A1A18">
        <w:rPr>
          <w:rFonts w:ascii="Arial" w:eastAsia="Calibri" w:hAnsi="Arial" w:cs="Arial"/>
          <w:color w:val="000000" w:themeColor="text1"/>
          <w:sz w:val="22"/>
          <w:szCs w:val="22"/>
          <w:lang w:val="es-ES_tradnl" w:eastAsia="es-ES"/>
        </w:rPr>
        <w:t xml:space="preserve"> y establece parámetros obligatorios para </w:t>
      </w:r>
      <w:bookmarkStart w:id="3" w:name="_Hlk71652815"/>
      <w:r w:rsidRPr="001A1A18">
        <w:rPr>
          <w:rFonts w:ascii="Arial" w:eastAsia="Calibri" w:hAnsi="Arial" w:cs="Arial"/>
          <w:color w:val="000000" w:themeColor="text1"/>
          <w:sz w:val="22"/>
          <w:szCs w:val="22"/>
          <w:lang w:val="es-ES_tradnl" w:eastAsia="es-ES"/>
        </w:rPr>
        <w:t>las entidades estatales</w:t>
      </w:r>
      <w:bookmarkEnd w:id="3"/>
      <w:r w:rsidRPr="001A1A18">
        <w:rPr>
          <w:rFonts w:ascii="Arial" w:eastAsia="Calibri" w:hAnsi="Arial" w:cs="Arial"/>
          <w:color w:val="000000" w:themeColor="text1"/>
          <w:sz w:val="22"/>
          <w:szCs w:val="22"/>
          <w:lang w:val="es-ES_tradnl" w:eastAsia="es-ES"/>
        </w:rPr>
        <w:t xml:space="preserve"> </w:t>
      </w:r>
      <w:r w:rsidR="00467F4F">
        <w:rPr>
          <w:rFonts w:ascii="Arial" w:eastAsia="Calibri" w:hAnsi="Arial" w:cs="Arial"/>
          <w:color w:val="000000" w:themeColor="text1"/>
          <w:sz w:val="22"/>
          <w:szCs w:val="22"/>
          <w:lang w:val="es-ES_tradnl" w:eastAsia="es-ES"/>
        </w:rPr>
        <w:t>sometidas a</w:t>
      </w:r>
      <w:r w:rsidRPr="001A1A18">
        <w:rPr>
          <w:rFonts w:ascii="Arial" w:eastAsia="Calibri" w:hAnsi="Arial" w:cs="Arial"/>
          <w:color w:val="000000" w:themeColor="text1"/>
          <w:sz w:val="22"/>
          <w:szCs w:val="22"/>
          <w:lang w:val="es-ES_tradnl" w:eastAsia="es-ES"/>
        </w:rPr>
        <w:t>l Estatuto General de Contratación de la Administración Pública</w:t>
      </w:r>
      <w:r w:rsidR="00467F4F">
        <w:rPr>
          <w:rFonts w:ascii="Arial" w:eastAsia="Calibri" w:hAnsi="Arial" w:cs="Arial"/>
          <w:color w:val="000000" w:themeColor="text1"/>
          <w:sz w:val="22"/>
          <w:szCs w:val="22"/>
          <w:lang w:val="es-ES_tradnl" w:eastAsia="es-ES"/>
        </w:rPr>
        <w:t xml:space="preserve"> que adelanten procesos de selección de obra pública de infraestructura de transporte</w:t>
      </w:r>
      <w:r w:rsidRPr="001A1A18">
        <w:rPr>
          <w:rFonts w:ascii="Arial" w:eastAsia="Calibri" w:hAnsi="Arial" w:cs="Arial"/>
          <w:color w:val="000000" w:themeColor="text1"/>
          <w:sz w:val="22"/>
          <w:szCs w:val="22"/>
          <w:lang w:val="es-ES_tradnl" w:eastAsia="es-ES"/>
        </w:rPr>
        <w:t xml:space="preserve">. </w:t>
      </w:r>
      <w:r w:rsidR="00467F4F">
        <w:rPr>
          <w:rFonts w:ascii="Arial" w:eastAsia="Calibri" w:hAnsi="Arial" w:cs="Arial"/>
          <w:color w:val="000000" w:themeColor="text1"/>
          <w:sz w:val="22"/>
          <w:szCs w:val="22"/>
          <w:lang w:val="es-ES_tradnl" w:eastAsia="es-ES"/>
        </w:rPr>
        <w:t>De esta manera</w:t>
      </w:r>
      <w:r w:rsidRPr="001A1A18">
        <w:rPr>
          <w:rFonts w:ascii="Arial" w:eastAsia="Calibri" w:hAnsi="Arial" w:cs="Arial"/>
          <w:color w:val="000000" w:themeColor="text1"/>
          <w:sz w:val="22"/>
          <w:szCs w:val="22"/>
          <w:lang w:val="es-ES_tradnl" w:eastAsia="es-ES"/>
        </w:rPr>
        <w:t>,</w:t>
      </w:r>
      <w:r w:rsidR="00467F4F">
        <w:rPr>
          <w:rFonts w:ascii="Arial" w:eastAsia="Calibri" w:hAnsi="Arial" w:cs="Arial"/>
          <w:color w:val="000000" w:themeColor="text1"/>
          <w:sz w:val="22"/>
          <w:szCs w:val="22"/>
          <w:lang w:val="es-ES_tradnl" w:eastAsia="es-ES"/>
        </w:rPr>
        <w:t xml:space="preserve"> conforme a las notas introductorias del pliego de condiciones,</w:t>
      </w:r>
      <w:r w:rsidRPr="001A1A18">
        <w:rPr>
          <w:rFonts w:ascii="Arial" w:eastAsia="Calibri" w:hAnsi="Arial" w:cs="Arial"/>
          <w:color w:val="000000" w:themeColor="text1"/>
          <w:sz w:val="22"/>
          <w:szCs w:val="22"/>
          <w:lang w:val="es-ES_tradnl" w:eastAsia="es-ES"/>
        </w:rPr>
        <w:t xml:space="preserve"> para determinar el ámbito de aplicación de los documentos tipo debe acudirse a la «Matriz 1 – Experiencia», en la que se contemplan las clases de obra de infraestructura aplicables al sector</w:t>
      </w:r>
      <w:r w:rsidR="00E9535F">
        <w:rPr>
          <w:rStyle w:val="Refdenotaalpie"/>
          <w:rFonts w:ascii="Arial" w:eastAsia="Calibri" w:hAnsi="Arial" w:cs="Arial"/>
          <w:color w:val="000000" w:themeColor="text1"/>
          <w:sz w:val="22"/>
          <w:szCs w:val="22"/>
          <w:lang w:val="es-ES_tradnl" w:eastAsia="es-ES"/>
        </w:rPr>
        <w:footnoteReference w:id="7"/>
      </w:r>
      <w:r w:rsidRPr="001A1A18">
        <w:rPr>
          <w:rFonts w:ascii="Arial" w:eastAsia="Calibri" w:hAnsi="Arial" w:cs="Arial"/>
          <w:color w:val="000000" w:themeColor="text1"/>
          <w:sz w:val="22"/>
          <w:szCs w:val="22"/>
          <w:lang w:val="es-ES_tradnl" w:eastAsia="es-ES"/>
        </w:rPr>
        <w:t>.</w:t>
      </w:r>
      <w:r>
        <w:rPr>
          <w:rFonts w:ascii="Arial" w:eastAsia="Calibri" w:hAnsi="Arial" w:cs="Arial"/>
          <w:color w:val="000000" w:themeColor="text1"/>
          <w:sz w:val="22"/>
          <w:szCs w:val="22"/>
          <w:lang w:val="es-ES_tradnl" w:eastAsia="es-ES"/>
        </w:rPr>
        <w:t xml:space="preserve"> </w:t>
      </w:r>
    </w:p>
    <w:p w14:paraId="45D24D2B" w14:textId="16625A50" w:rsidR="00642C9D" w:rsidRPr="00D55602" w:rsidRDefault="00642C9D" w:rsidP="00642C9D">
      <w:pPr>
        <w:tabs>
          <w:tab w:val="left" w:pos="426"/>
        </w:tabs>
        <w:spacing w:before="120" w:after="120" w:line="276" w:lineRule="auto"/>
        <w:jc w:val="both"/>
        <w:rPr>
          <w:rFonts w:ascii="Arial" w:hAnsi="Arial" w:cs="Arial"/>
          <w:color w:val="0D0D0D" w:themeColor="text1" w:themeTint="F2"/>
          <w:sz w:val="22"/>
        </w:rPr>
      </w:pPr>
      <w:r>
        <w:rPr>
          <w:rFonts w:ascii="Arial" w:hAnsi="Arial" w:cs="Arial"/>
          <w:color w:val="0D0D0D" w:themeColor="text1" w:themeTint="F2"/>
          <w:sz w:val="22"/>
        </w:rPr>
        <w:tab/>
      </w:r>
      <w:r w:rsidR="00467F4F">
        <w:rPr>
          <w:rFonts w:ascii="Arial" w:hAnsi="Arial" w:cs="Arial"/>
          <w:color w:val="0D0D0D" w:themeColor="text1" w:themeTint="F2"/>
          <w:sz w:val="22"/>
        </w:rPr>
        <w:tab/>
      </w:r>
      <w:r w:rsidRPr="00D55602">
        <w:rPr>
          <w:rFonts w:ascii="Arial" w:hAnsi="Arial" w:cs="Arial"/>
          <w:color w:val="0D0D0D" w:themeColor="text1" w:themeTint="F2"/>
          <w:sz w:val="22"/>
        </w:rPr>
        <w:t xml:space="preserve">Conforme a lo anterior, en el marco de los documentos tipo de infraestructura de transporte, </w:t>
      </w:r>
      <w:r w:rsidR="00467F4F">
        <w:rPr>
          <w:rFonts w:ascii="Arial" w:hAnsi="Arial" w:cs="Arial"/>
          <w:color w:val="0D0D0D" w:themeColor="text1" w:themeTint="F2"/>
          <w:sz w:val="22"/>
        </w:rPr>
        <w:t xml:space="preserve">la Matriz 1 </w:t>
      </w:r>
      <w:r w:rsidRPr="00D55602">
        <w:rPr>
          <w:rFonts w:ascii="Arial" w:hAnsi="Arial" w:cs="Arial"/>
          <w:color w:val="0D0D0D" w:themeColor="text1" w:themeTint="F2"/>
          <w:sz w:val="22"/>
        </w:rPr>
        <w:t xml:space="preserve">cumple una doble función. Por un lado, sirve para estandarizar las condiciones de experiencia, conforme al parágrafo 7 del artículo 2 de la Ley 1150 de 2007. De otro lado, permite determinar el ámbito de aplicación de los documentos tipo respecto de objetos contractuales asociados, ya que son las actividades descritas en esta las que, obligatoriamente, deben contratarse aplicando documentos tipo. </w:t>
      </w:r>
    </w:p>
    <w:p w14:paraId="0FDFE558" w14:textId="58756B3C" w:rsidR="00642C9D" w:rsidRDefault="00642C9D" w:rsidP="0067722F">
      <w:pPr>
        <w:shd w:val="clear" w:color="auto" w:fill="FFFFFF"/>
        <w:spacing w:after="120" w:line="276" w:lineRule="auto"/>
        <w:ind w:firstLine="708"/>
        <w:jc w:val="both"/>
        <w:textAlignment w:val="baseline"/>
        <w:rPr>
          <w:rFonts w:ascii="Arial" w:hAnsi="Arial" w:cs="Arial"/>
          <w:b/>
          <w:bCs/>
          <w:color w:val="000000"/>
          <w:sz w:val="22"/>
          <w:lang w:eastAsia="es-CO"/>
        </w:rPr>
      </w:pPr>
      <w:r w:rsidRPr="00F55644">
        <w:rPr>
          <w:rFonts w:ascii="Arial" w:eastAsia="Calibri" w:hAnsi="Arial" w:cs="Arial"/>
          <w:sz w:val="22"/>
        </w:rPr>
        <w:t xml:space="preserve">De acuerdo con lo expuesto, </w:t>
      </w:r>
      <w:r w:rsidR="003463D9">
        <w:rPr>
          <w:rFonts w:ascii="Arial" w:eastAsia="Calibri" w:hAnsi="Arial" w:cs="Arial"/>
          <w:sz w:val="22"/>
        </w:rPr>
        <w:t>el carácter vinculante</w:t>
      </w:r>
      <w:r w:rsidRPr="00F55644">
        <w:rPr>
          <w:rFonts w:ascii="Arial" w:eastAsia="Calibri" w:hAnsi="Arial" w:cs="Arial"/>
          <w:sz w:val="22"/>
        </w:rPr>
        <w:t xml:space="preserve"> de </w:t>
      </w:r>
      <w:r w:rsidRPr="00F55644">
        <w:rPr>
          <w:rFonts w:ascii="Arial" w:hAnsi="Arial" w:cs="Arial"/>
          <w:color w:val="000000"/>
          <w:sz w:val="22"/>
          <w:bdr w:val="none" w:sz="0" w:space="0" w:color="auto" w:frame="1"/>
        </w:rPr>
        <w:t xml:space="preserve">los documentos tipo </w:t>
      </w:r>
      <w:r>
        <w:rPr>
          <w:rFonts w:ascii="Arial" w:hAnsi="Arial" w:cs="Arial"/>
          <w:color w:val="000000"/>
          <w:sz w:val="22"/>
          <w:bdr w:val="none" w:sz="0" w:space="0" w:color="auto" w:frame="1"/>
        </w:rPr>
        <w:t>de infraestructura de transporte</w:t>
      </w:r>
      <w:r w:rsidRPr="00F55644">
        <w:rPr>
          <w:rFonts w:ascii="Arial" w:hAnsi="Arial" w:cs="Arial"/>
          <w:color w:val="000000"/>
          <w:sz w:val="22"/>
          <w:bdr w:val="none" w:sz="0" w:space="0" w:color="auto" w:frame="1"/>
        </w:rPr>
        <w:t xml:space="preserve"> se determina teniendo en cuenta los siguientes aspectos:</w:t>
      </w:r>
      <w:r w:rsidRPr="00F55644">
        <w:rPr>
          <w:rFonts w:ascii="Arial" w:eastAsia="Calibri" w:hAnsi="Arial" w:cs="Arial"/>
          <w:sz w:val="22"/>
        </w:rPr>
        <w:t xml:space="preserve"> i) los </w:t>
      </w:r>
      <w:r w:rsidRPr="00F55644">
        <w:rPr>
          <w:rFonts w:ascii="Arial" w:eastAsia="Calibri" w:hAnsi="Arial" w:cs="Arial"/>
          <w:i/>
          <w:sz w:val="22"/>
        </w:rPr>
        <w:t>sujetos obligados</w:t>
      </w:r>
      <w:r>
        <w:rPr>
          <w:rFonts w:ascii="Arial" w:eastAsia="Calibri" w:hAnsi="Arial" w:cs="Arial"/>
          <w:sz w:val="22"/>
        </w:rPr>
        <w:t>, dado que</w:t>
      </w:r>
      <w:r w:rsidR="00345AC9">
        <w:rPr>
          <w:rFonts w:ascii="Arial" w:eastAsia="Calibri" w:hAnsi="Arial" w:cs="Arial"/>
          <w:sz w:val="22"/>
        </w:rPr>
        <w:t xml:space="preserve"> el contenido de</w:t>
      </w:r>
      <w:r w:rsidRPr="00F55644">
        <w:rPr>
          <w:rFonts w:ascii="Arial" w:eastAsia="Calibri" w:hAnsi="Arial" w:cs="Arial"/>
          <w:sz w:val="22"/>
        </w:rPr>
        <w:t xml:space="preserve"> los documentos tipo </w:t>
      </w:r>
      <w:r w:rsidR="00345AC9">
        <w:rPr>
          <w:rFonts w:ascii="Arial" w:hAnsi="Arial" w:cs="Arial"/>
          <w:color w:val="000000"/>
          <w:sz w:val="22"/>
          <w:bdr w:val="none" w:sz="0" w:space="0" w:color="auto" w:frame="1"/>
        </w:rPr>
        <w:t>es imperativo</w:t>
      </w:r>
      <w:r w:rsidRPr="00F55644">
        <w:rPr>
          <w:rFonts w:ascii="Arial" w:hAnsi="Arial" w:cs="Arial"/>
          <w:color w:val="000000"/>
          <w:sz w:val="22"/>
          <w:bdr w:val="none" w:sz="0" w:space="0" w:color="auto" w:frame="1"/>
        </w:rPr>
        <w:t xml:space="preserve"> para las entidades estatales cuyos contratos se rijan por el Estatuto General de la Contratación Pública</w:t>
      </w:r>
      <w:r>
        <w:rPr>
          <w:rFonts w:ascii="Arial" w:hAnsi="Arial" w:cs="Arial"/>
          <w:color w:val="000000"/>
          <w:sz w:val="22"/>
          <w:bdr w:val="none" w:sz="0" w:space="0" w:color="auto" w:frame="1"/>
        </w:rPr>
        <w:t xml:space="preserve"> de conformidad con lo establecido en el artículo 1 de la Ley 2022 de 2020</w:t>
      </w:r>
      <w:r w:rsidRPr="00F55644">
        <w:rPr>
          <w:rFonts w:ascii="Arial" w:hAnsi="Arial" w:cs="Arial"/>
          <w:color w:val="000000"/>
          <w:sz w:val="22"/>
          <w:bdr w:val="none" w:sz="0" w:space="0" w:color="auto" w:frame="1"/>
        </w:rPr>
        <w:t xml:space="preserve">; ii) la </w:t>
      </w:r>
      <w:r w:rsidRPr="00F55644">
        <w:rPr>
          <w:rFonts w:ascii="Arial" w:hAnsi="Arial" w:cs="Arial"/>
          <w:i/>
          <w:color w:val="000000"/>
          <w:sz w:val="22"/>
          <w:bdr w:val="none" w:sz="0" w:space="0" w:color="auto" w:frame="1"/>
        </w:rPr>
        <w:t>modalidad de selección</w:t>
      </w:r>
      <w:r>
        <w:rPr>
          <w:rFonts w:ascii="Arial" w:hAnsi="Arial" w:cs="Arial"/>
          <w:color w:val="000000"/>
          <w:sz w:val="22"/>
          <w:bdr w:val="none" w:sz="0" w:space="0" w:color="auto" w:frame="1"/>
        </w:rPr>
        <w:t xml:space="preserve">, ya que </w:t>
      </w:r>
      <w:r w:rsidRPr="00F55644">
        <w:rPr>
          <w:rFonts w:ascii="Arial" w:hAnsi="Arial" w:cs="Arial"/>
          <w:color w:val="000000"/>
          <w:sz w:val="22"/>
          <w:bdr w:val="none" w:sz="0" w:space="0" w:color="auto" w:frame="1"/>
        </w:rPr>
        <w:t>es necesario que el proceso de contratación deba adelantarse mediante la modalidad que establecen los documentos tipo</w:t>
      </w:r>
      <w:r w:rsidR="00345AC9">
        <w:rPr>
          <w:rFonts w:ascii="Arial" w:hAnsi="Arial" w:cs="Arial"/>
          <w:color w:val="000000"/>
          <w:sz w:val="22"/>
          <w:bdr w:val="none" w:sz="0" w:space="0" w:color="auto" w:frame="1"/>
        </w:rPr>
        <w:t xml:space="preserve"> según corresponda</w:t>
      </w:r>
      <w:r w:rsidRPr="00F55644">
        <w:rPr>
          <w:rFonts w:ascii="Arial" w:hAnsi="Arial" w:cs="Arial"/>
          <w:color w:val="000000"/>
          <w:sz w:val="22"/>
          <w:bdr w:val="none" w:sz="0" w:space="0" w:color="auto" w:frame="1"/>
        </w:rPr>
        <w:t>, verbigracia, licitación pública, selección abreviada de menor cuant</w:t>
      </w:r>
      <w:r>
        <w:rPr>
          <w:rFonts w:ascii="Arial" w:hAnsi="Arial" w:cs="Arial"/>
          <w:color w:val="000000"/>
          <w:sz w:val="22"/>
          <w:bdr w:val="none" w:sz="0" w:space="0" w:color="auto" w:frame="1"/>
        </w:rPr>
        <w:t>ía o</w:t>
      </w:r>
      <w:r w:rsidRPr="00F55644">
        <w:rPr>
          <w:rFonts w:ascii="Arial" w:hAnsi="Arial" w:cs="Arial"/>
          <w:color w:val="000000"/>
          <w:sz w:val="22"/>
          <w:bdr w:val="none" w:sz="0" w:space="0" w:color="auto" w:frame="1"/>
        </w:rPr>
        <w:t xml:space="preserve"> mínima cuantía</w:t>
      </w:r>
      <w:r>
        <w:rPr>
          <w:rFonts w:ascii="Arial" w:hAnsi="Arial" w:cs="Arial"/>
          <w:color w:val="000000"/>
          <w:sz w:val="22"/>
          <w:bdr w:val="none" w:sz="0" w:space="0" w:color="auto" w:frame="1"/>
        </w:rPr>
        <w:t xml:space="preserve">; y </w:t>
      </w:r>
      <w:r w:rsidRPr="00F55644">
        <w:rPr>
          <w:rFonts w:ascii="Arial" w:hAnsi="Arial" w:cs="Arial"/>
          <w:color w:val="000000"/>
          <w:sz w:val="22"/>
          <w:bdr w:val="none" w:sz="0" w:space="0" w:color="auto" w:frame="1"/>
        </w:rPr>
        <w:t>ii</w:t>
      </w:r>
      <w:r>
        <w:rPr>
          <w:rFonts w:ascii="Arial" w:hAnsi="Arial" w:cs="Arial"/>
          <w:color w:val="000000"/>
          <w:sz w:val="22"/>
          <w:bdr w:val="none" w:sz="0" w:space="0" w:color="auto" w:frame="1"/>
        </w:rPr>
        <w:t>i</w:t>
      </w:r>
      <w:r w:rsidRPr="00F55644">
        <w:rPr>
          <w:rFonts w:ascii="Arial" w:hAnsi="Arial" w:cs="Arial"/>
          <w:color w:val="000000"/>
          <w:sz w:val="22"/>
          <w:bdr w:val="none" w:sz="0" w:space="0" w:color="auto" w:frame="1"/>
        </w:rPr>
        <w:t xml:space="preserve">) el </w:t>
      </w:r>
      <w:r w:rsidRPr="00F55644">
        <w:rPr>
          <w:rFonts w:ascii="Arial" w:hAnsi="Arial" w:cs="Arial"/>
          <w:i/>
          <w:color w:val="000000"/>
          <w:sz w:val="22"/>
          <w:bdr w:val="none" w:sz="0" w:space="0" w:color="auto" w:frame="1"/>
        </w:rPr>
        <w:t>objeto</w:t>
      </w:r>
      <w:r w:rsidRPr="00F55644">
        <w:rPr>
          <w:rFonts w:ascii="Arial" w:hAnsi="Arial" w:cs="Arial"/>
          <w:color w:val="000000"/>
          <w:sz w:val="22"/>
          <w:bdr w:val="none" w:sz="0" w:space="0" w:color="auto" w:frame="1"/>
        </w:rPr>
        <w:t xml:space="preserve"> del proceso de contratación</w:t>
      </w:r>
      <w:r>
        <w:rPr>
          <w:rFonts w:ascii="Arial" w:hAnsi="Arial" w:cs="Arial"/>
          <w:color w:val="000000"/>
          <w:sz w:val="22"/>
          <w:bdr w:val="none" w:sz="0" w:space="0" w:color="auto" w:frame="1"/>
        </w:rPr>
        <w:t>, en la medida que</w:t>
      </w:r>
      <w:r w:rsidRPr="00F55644">
        <w:rPr>
          <w:rFonts w:ascii="Arial" w:hAnsi="Arial" w:cs="Arial"/>
          <w:color w:val="000000"/>
          <w:sz w:val="22"/>
          <w:bdr w:val="none" w:sz="0" w:space="0" w:color="auto" w:frame="1"/>
        </w:rPr>
        <w:t xml:space="preserve"> las actividades a contratar deben estar incluidas en la </w:t>
      </w:r>
      <w:r w:rsidR="00222E78">
        <w:rPr>
          <w:rFonts w:ascii="Arial" w:hAnsi="Arial" w:cs="Arial"/>
          <w:color w:val="000000"/>
          <w:sz w:val="22"/>
          <w:bdr w:val="none" w:sz="0" w:space="0" w:color="auto" w:frame="1"/>
        </w:rPr>
        <w:t>«</w:t>
      </w:r>
      <w:r w:rsidRPr="00F55644">
        <w:rPr>
          <w:rFonts w:ascii="Arial" w:hAnsi="Arial" w:cs="Arial"/>
          <w:color w:val="000000"/>
          <w:sz w:val="22"/>
          <w:bdr w:val="none" w:sz="0" w:space="0" w:color="auto" w:frame="1"/>
        </w:rPr>
        <w:t xml:space="preserve">Matriz 1 </w:t>
      </w:r>
      <w:r w:rsidR="00222E78">
        <w:rPr>
          <w:rFonts w:ascii="Arial" w:hAnsi="Arial" w:cs="Arial"/>
          <w:color w:val="000000"/>
          <w:sz w:val="22"/>
          <w:bdr w:val="none" w:sz="0" w:space="0" w:color="auto" w:frame="1"/>
        </w:rPr>
        <w:t>–</w:t>
      </w:r>
      <w:r w:rsidRPr="00F55644">
        <w:rPr>
          <w:rFonts w:ascii="Arial" w:hAnsi="Arial" w:cs="Arial"/>
          <w:color w:val="000000"/>
          <w:sz w:val="22"/>
          <w:bdr w:val="none" w:sz="0" w:space="0" w:color="auto" w:frame="1"/>
        </w:rPr>
        <w:t xml:space="preserve"> Experiencia</w:t>
      </w:r>
      <w:r w:rsidR="00222E78">
        <w:rPr>
          <w:rFonts w:ascii="Arial" w:hAnsi="Arial" w:cs="Arial"/>
          <w:color w:val="000000"/>
          <w:sz w:val="22"/>
          <w:bdr w:val="none" w:sz="0" w:space="0" w:color="auto" w:frame="1"/>
        </w:rPr>
        <w:t>»</w:t>
      </w:r>
      <w:r w:rsidRPr="00F55644">
        <w:rPr>
          <w:rFonts w:ascii="Arial" w:hAnsi="Arial" w:cs="Arial"/>
          <w:color w:val="000000"/>
          <w:sz w:val="22"/>
          <w:bdr w:val="none" w:sz="0" w:space="0" w:color="auto" w:frame="1"/>
        </w:rPr>
        <w:t xml:space="preserve">, la cual define el ámbito de aplicación </w:t>
      </w:r>
      <w:r w:rsidR="00345AC9">
        <w:rPr>
          <w:rFonts w:ascii="Arial" w:hAnsi="Arial" w:cs="Arial"/>
          <w:color w:val="000000"/>
          <w:sz w:val="22"/>
          <w:bdr w:val="none" w:sz="0" w:space="0" w:color="auto" w:frame="1"/>
        </w:rPr>
        <w:t>en cada caso concreto</w:t>
      </w:r>
      <w:r w:rsidRPr="00F55644">
        <w:rPr>
          <w:rFonts w:ascii="Arial" w:hAnsi="Arial" w:cs="Arial"/>
          <w:color w:val="000000"/>
          <w:sz w:val="22"/>
          <w:bdr w:val="none" w:sz="0" w:space="0" w:color="auto" w:frame="1"/>
        </w:rPr>
        <w:t>.</w:t>
      </w:r>
    </w:p>
    <w:p w14:paraId="5CF9D79F" w14:textId="2B9FC71F" w:rsidR="00EE2BD9" w:rsidRDefault="00345AC9" w:rsidP="0067722F">
      <w:pPr>
        <w:shd w:val="clear" w:color="auto" w:fill="FFFFFF"/>
        <w:spacing w:line="276" w:lineRule="auto"/>
        <w:ind w:firstLine="708"/>
        <w:jc w:val="both"/>
        <w:textAlignment w:val="baseline"/>
        <w:rPr>
          <w:rFonts w:ascii="Arial" w:hAnsi="Arial" w:cs="Arial"/>
          <w:b/>
          <w:bCs/>
          <w:color w:val="000000"/>
          <w:sz w:val="22"/>
          <w:lang w:eastAsia="es-CO"/>
        </w:rPr>
      </w:pPr>
      <w:bookmarkStart w:id="4" w:name="_Hlk72774853"/>
      <w:r>
        <w:rPr>
          <w:rFonts w:ascii="Arial" w:hAnsi="Arial" w:cs="Arial"/>
          <w:bCs/>
          <w:sz w:val="22"/>
          <w:lang w:val="es-ES_tradnl"/>
        </w:rPr>
        <w:t>Por otra parte, e</w:t>
      </w:r>
      <w:r w:rsidR="00EE2BD9">
        <w:rPr>
          <w:rFonts w:ascii="Arial" w:hAnsi="Arial" w:cs="Arial"/>
          <w:bCs/>
          <w:sz w:val="22"/>
          <w:lang w:val="es-ES_tradnl"/>
        </w:rPr>
        <w:t xml:space="preserve">l </w:t>
      </w:r>
      <w:bookmarkStart w:id="5" w:name="_Hlk81313863"/>
      <w:r w:rsidR="00EE2BD9">
        <w:rPr>
          <w:rFonts w:ascii="Arial" w:hAnsi="Arial" w:cs="Arial"/>
          <w:bCs/>
          <w:sz w:val="22"/>
          <w:lang w:val="es-ES_tradnl"/>
        </w:rPr>
        <w:t xml:space="preserve">artículo 2.2.1.2.6.1.4 del Decreto 1082 de 2015 </w:t>
      </w:r>
      <w:bookmarkEnd w:id="5"/>
      <w:r w:rsidR="00EE2BD9">
        <w:rPr>
          <w:rFonts w:ascii="Arial" w:hAnsi="Arial" w:cs="Arial"/>
          <w:bCs/>
          <w:sz w:val="22"/>
          <w:lang w:val="es-ES_tradnl"/>
        </w:rPr>
        <w:t>dispone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00EE2BD9">
        <w:rPr>
          <w:rStyle w:val="Refdenotaalpie"/>
          <w:rFonts w:ascii="Arial" w:hAnsi="Arial" w:cs="Arial"/>
          <w:bCs/>
          <w:sz w:val="22"/>
          <w:lang w:val="es-ES_tradnl"/>
        </w:rPr>
        <w:footnoteReference w:id="8"/>
      </w:r>
      <w:r w:rsidR="00EE2BD9">
        <w:rPr>
          <w:rFonts w:ascii="Arial" w:hAnsi="Arial" w:cs="Arial"/>
          <w:bCs/>
          <w:sz w:val="22"/>
          <w:lang w:val="es-ES_tradnl"/>
        </w:rPr>
        <w:t>. En consecuencia</w:t>
      </w:r>
      <w:bookmarkStart w:id="6" w:name="_Hlk64290904"/>
      <w:r w:rsidR="00EE2BD9">
        <w:rPr>
          <w:rFonts w:ascii="Arial" w:hAnsi="Arial" w:cs="Arial"/>
          <w:bCs/>
          <w:sz w:val="22"/>
          <w:lang w:val="es-ES_tradnl"/>
        </w:rPr>
        <w:t xml:space="preserve">, las condiciones establecidas en los documentos que adopte la Agencia, en </w:t>
      </w:r>
      <w:r w:rsidR="00EE2BD9">
        <w:rPr>
          <w:rFonts w:ascii="Arial" w:hAnsi="Arial" w:cs="Arial"/>
          <w:bCs/>
          <w:sz w:val="22"/>
          <w:lang w:val="es-ES_tradnl"/>
        </w:rPr>
        <w:lastRenderedPageBreak/>
        <w:t>ejercicio del mandato establecido en el artículo 1 de la Ley 2022 de 2020, como se dijo en el numeral anterior, son de obligatorio cumplimiento para las entidades sometidas al Estatuto General de Contratación de la Administración pública que adelanten procesos que deban regirse por su contenido y no pueden variarse los requisitos fijados en ellos.</w:t>
      </w:r>
      <w:bookmarkEnd w:id="6"/>
      <w:r w:rsidR="00EE2BD9">
        <w:rPr>
          <w:rFonts w:ascii="Arial" w:hAnsi="Arial" w:cs="Arial"/>
          <w:bCs/>
          <w:sz w:val="22"/>
          <w:lang w:val="es-ES_tradnl"/>
        </w:rPr>
        <w:t xml:space="preserve"> </w:t>
      </w:r>
    </w:p>
    <w:p w14:paraId="77D1D8DB" w14:textId="77777777" w:rsidR="00EE2BD9" w:rsidRDefault="00EE2BD9" w:rsidP="00EE2BD9">
      <w:pPr>
        <w:spacing w:before="120" w:line="276" w:lineRule="auto"/>
        <w:ind w:firstLine="709"/>
        <w:jc w:val="both"/>
        <w:rPr>
          <w:rFonts w:ascii="Arial" w:eastAsia="Calibri" w:hAnsi="Arial" w:cs="Arial"/>
          <w:bCs/>
          <w:sz w:val="22"/>
          <w:lang w:val="es-ES_tradnl" w:eastAsia="es-ES_tradnl"/>
        </w:rPr>
      </w:pPr>
      <w:r>
        <w:rPr>
          <w:rFonts w:ascii="Arial" w:hAnsi="Arial" w:cs="Arial"/>
          <w:bCs/>
          <w:sz w:val="22"/>
          <w:lang w:val="es-ES_tradnl"/>
        </w:rPr>
        <w:t xml:space="preserve">Esta prohibición la ratifica el </w:t>
      </w:r>
      <w:bookmarkStart w:id="7" w:name="_Hlk81313856"/>
      <w:r>
        <w:rPr>
          <w:rFonts w:ascii="Arial" w:hAnsi="Arial" w:cs="Arial"/>
          <w:bCs/>
          <w:sz w:val="22"/>
          <w:lang w:val="es-ES_tradnl"/>
        </w:rPr>
        <w:t>artículo 3 de la Resolución No. 240 de 2020</w:t>
      </w:r>
      <w:bookmarkEnd w:id="7"/>
      <w:r>
        <w:rPr>
          <w:rFonts w:ascii="Arial" w:hAnsi="Arial" w:cs="Arial"/>
          <w:bCs/>
          <w:sz w:val="22"/>
          <w:lang w:val="es-ES_tradnl"/>
        </w:rPr>
        <w:t xml:space="preserve">, mediante la cual se implementaron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bookmarkEnd w:id="4"/>
    <w:p w14:paraId="4879518E" w14:textId="53C040EA" w:rsidR="00EE2BD9" w:rsidRDefault="00EE2BD9" w:rsidP="00EE2BD9">
      <w:pPr>
        <w:spacing w:before="120" w:line="276" w:lineRule="auto"/>
        <w:ind w:firstLine="708"/>
        <w:jc w:val="both"/>
        <w:rPr>
          <w:rFonts w:ascii="Arial" w:eastAsia="Times New Roman" w:hAnsi="Arial" w:cs="Arial"/>
          <w:bCs/>
          <w:sz w:val="22"/>
          <w:lang w:val="es-ES_tradnl"/>
        </w:rPr>
      </w:pPr>
      <w:r>
        <w:rPr>
          <w:rFonts w:ascii="Arial" w:hAnsi="Arial" w:cs="Arial"/>
          <w:bCs/>
          <w:sz w:val="22"/>
          <w:lang w:val="es-ES_tradnl"/>
        </w:rPr>
        <w:t xml:space="preserve">Además, las entidades estatales deben garantizar el </w:t>
      </w:r>
      <w:r>
        <w:rPr>
          <w:rFonts w:ascii="Arial" w:hAnsi="Arial" w:cs="Arial"/>
          <w:bCs/>
          <w:i/>
          <w:iCs/>
          <w:sz w:val="22"/>
          <w:lang w:val="es-ES_tradnl"/>
        </w:rPr>
        <w:t>principio de economía</w:t>
      </w:r>
      <w:r>
        <w:rPr>
          <w:rFonts w:ascii="Arial" w:hAnsi="Arial" w:cs="Arial"/>
          <w:bCs/>
          <w:sz w:val="22"/>
          <w:lang w:val="es-ES_tradnl"/>
        </w:rPr>
        <w:t xml:space="preserve">, del cual se desprende que no pueden exigir documentos o requisitos más allá de los que permitan la Constitución, la ley y los reglamentos. Este postulado </w:t>
      </w:r>
      <w:r w:rsidR="00B722C9">
        <w:rPr>
          <w:rFonts w:ascii="Arial" w:hAnsi="Arial" w:cs="Arial"/>
          <w:bCs/>
          <w:sz w:val="22"/>
          <w:lang w:val="es-ES_tradnl"/>
        </w:rPr>
        <w:t>tiene su fundamento</w:t>
      </w:r>
      <w:r>
        <w:rPr>
          <w:rFonts w:ascii="Arial" w:hAnsi="Arial" w:cs="Arial"/>
          <w:bCs/>
          <w:sz w:val="22"/>
          <w:lang w:val="es-ES_tradnl"/>
        </w:rPr>
        <w:t xml:space="preserve"> no solo en la contratación estatal</w:t>
      </w:r>
      <w:r>
        <w:rPr>
          <w:rStyle w:val="Refdenotaalpie"/>
          <w:rFonts w:ascii="Arial" w:hAnsi="Arial" w:cs="Arial"/>
          <w:bCs/>
          <w:sz w:val="22"/>
          <w:lang w:val="es-ES_tradnl"/>
        </w:rPr>
        <w:footnoteReference w:id="9"/>
      </w:r>
      <w:r>
        <w:rPr>
          <w:rFonts w:ascii="Arial" w:hAnsi="Arial" w:cs="Arial"/>
          <w:bCs/>
          <w:sz w:val="22"/>
          <w:lang w:val="es-ES_tradnl"/>
        </w:rPr>
        <w:t xml:space="preserve"> sino además en la normativa </w:t>
      </w:r>
      <w:proofErr w:type="spellStart"/>
      <w:r>
        <w:rPr>
          <w:rFonts w:ascii="Arial" w:hAnsi="Arial" w:cs="Arial"/>
          <w:bCs/>
          <w:sz w:val="22"/>
          <w:lang w:val="es-ES_tradnl"/>
        </w:rPr>
        <w:t>antitrámites</w:t>
      </w:r>
      <w:proofErr w:type="spellEnd"/>
      <w:r>
        <w:rPr>
          <w:rFonts w:ascii="Arial" w:hAnsi="Arial" w:cs="Arial"/>
          <w:bCs/>
          <w:sz w:val="22"/>
          <w:lang w:val="es-ES_tradnl"/>
        </w:rPr>
        <w:t>, pues se inscribe dentro de la tendencia de simplificación y racionalización de los procedimientos administrativos</w:t>
      </w:r>
      <w:r>
        <w:rPr>
          <w:rStyle w:val="Refdenotaalpie"/>
          <w:rFonts w:ascii="Arial" w:hAnsi="Arial" w:cs="Arial"/>
          <w:bCs/>
          <w:sz w:val="22"/>
          <w:lang w:val="es-ES_tradnl"/>
        </w:rPr>
        <w:footnoteReference w:id="10"/>
      </w:r>
      <w:r>
        <w:rPr>
          <w:rFonts w:ascii="Arial" w:hAnsi="Arial" w:cs="Arial"/>
          <w:bCs/>
          <w:sz w:val="22"/>
          <w:lang w:val="es-ES_tradnl"/>
        </w:rPr>
        <w:t>. De ahí que cuando las autoridades solicitan la entrega de documentación innecesaria, menoscaban el principio de economía.</w:t>
      </w:r>
    </w:p>
    <w:p w14:paraId="713A8222" w14:textId="77777777" w:rsidR="00EE2BD9" w:rsidRDefault="00EE2BD9" w:rsidP="00EE2BD9">
      <w:pPr>
        <w:spacing w:before="120" w:line="276" w:lineRule="auto"/>
        <w:ind w:firstLine="709"/>
        <w:jc w:val="both"/>
        <w:rPr>
          <w:rFonts w:ascii="Arial" w:hAnsi="Arial" w:cs="Arial"/>
          <w:sz w:val="22"/>
          <w:lang w:val="es-CO"/>
        </w:rPr>
      </w:pPr>
      <w:r>
        <w:rPr>
          <w:rFonts w:ascii="Arial" w:hAnsi="Arial" w:cs="Arial"/>
          <w:sz w:val="22"/>
        </w:rPr>
        <w:t xml:space="preserve">Por su parte, la parte introductoria de los documentos tipo dispone que los aspectos incluidos en corchetes y resaltado gris </w:t>
      </w:r>
      <w:r>
        <w:rPr>
          <w:rFonts w:ascii="Arial" w:hAnsi="Arial" w:cs="Arial"/>
          <w:sz w:val="22"/>
          <w:highlight w:val="lightGray"/>
        </w:rPr>
        <w:t>–[texto de ejemplo]–</w:t>
      </w:r>
      <w:r>
        <w:rPr>
          <w:rFonts w:ascii="Arial" w:hAnsi="Arial" w:cs="Arial"/>
          <w:sz w:val="22"/>
        </w:rPr>
        <w:t xml:space="preserve">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w:t>
      </w:r>
    </w:p>
    <w:p w14:paraId="6C9F527A" w14:textId="77777777" w:rsidR="00EE2BD9" w:rsidRDefault="00EE2BD9" w:rsidP="00EE2BD9">
      <w:pPr>
        <w:spacing w:before="120" w:line="276" w:lineRule="auto"/>
        <w:ind w:firstLine="709"/>
        <w:jc w:val="both"/>
        <w:rPr>
          <w:rFonts w:ascii="Arial" w:hAnsi="Arial" w:cs="Arial"/>
          <w:bCs/>
          <w:sz w:val="22"/>
        </w:rPr>
      </w:pPr>
      <w:r>
        <w:rPr>
          <w:rFonts w:ascii="Arial" w:hAnsi="Arial" w:cs="Arial"/>
          <w:bCs/>
          <w:sz w:val="22"/>
        </w:rPr>
        <w:lastRenderedPageBreak/>
        <w:t>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372C038A" w14:textId="7E1B2C79" w:rsidR="00EE2BD9" w:rsidRDefault="00EE2BD9" w:rsidP="00EE2BD9">
      <w:pPr>
        <w:spacing w:before="120" w:line="276" w:lineRule="auto"/>
        <w:ind w:firstLine="709"/>
        <w:jc w:val="both"/>
        <w:rPr>
          <w:rFonts w:ascii="Arial" w:hAnsi="Arial" w:cs="Arial"/>
          <w:sz w:val="22"/>
        </w:rPr>
      </w:pPr>
      <w:r>
        <w:rPr>
          <w:rFonts w:ascii="Arial" w:hAnsi="Arial" w:cs="Arial"/>
          <w:sz w:val="22"/>
        </w:rPr>
        <w:t>Además, el artículo 3 de la Resolución No. 240 de 2020 prevé los eventos en los que el objeto contractual incluye bienes o servicios adicionales a la obra pública de infraestructura de transporte</w:t>
      </w:r>
      <w:r>
        <w:rPr>
          <w:rStyle w:val="Refdenotaalpie"/>
          <w:rFonts w:ascii="Arial" w:hAnsi="Arial" w:cs="Arial"/>
          <w:sz w:val="22"/>
        </w:rPr>
        <w:footnoteReference w:id="11"/>
      </w:r>
      <w:r>
        <w:rPr>
          <w:rFonts w:ascii="Arial" w:hAnsi="Arial" w:cs="Arial"/>
          <w:sz w:val="22"/>
        </w:rPr>
        <w:t xml:space="preserv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ii) conservar los requisitos exigidos en los documentos tipo, iii) abstenerse de pedir experiencia exclusiva con entidades estatales, experiencia previa en un territorio específico, limitada en el tiempo o que incluya volúmenes o cantidades de obra específica, </w:t>
      </w:r>
      <w:r w:rsidR="00CD6009">
        <w:rPr>
          <w:rFonts w:ascii="Arial" w:hAnsi="Arial" w:cs="Arial"/>
          <w:sz w:val="22"/>
        </w:rPr>
        <w:t xml:space="preserve">y </w:t>
      </w:r>
      <w:r>
        <w:rPr>
          <w:rFonts w:ascii="Arial" w:hAnsi="Arial" w:cs="Arial"/>
          <w:sz w:val="22"/>
        </w:rPr>
        <w:t xml:space="preserve">iv) clasificar la experiencia requerida solo hasta el tercer nivel del Clasificador de Bienes y Servicios e incluir exclusivamente los códigos que estén relacionados directamente con el objeto a contratar. </w:t>
      </w:r>
    </w:p>
    <w:p w14:paraId="2E908A4B" w14:textId="77777777" w:rsidR="00EE2BD9" w:rsidRDefault="00EE2BD9" w:rsidP="00EE2BD9">
      <w:pPr>
        <w:spacing w:before="120" w:line="276" w:lineRule="auto"/>
        <w:ind w:firstLine="709"/>
        <w:jc w:val="both"/>
        <w:rPr>
          <w:rFonts w:ascii="Arial" w:hAnsi="Arial" w:cs="Arial"/>
          <w:bCs/>
          <w:sz w:val="22"/>
        </w:rPr>
      </w:pPr>
      <w:r>
        <w:rPr>
          <w:rFonts w:ascii="Arial" w:hAnsi="Arial" w:cs="Arial"/>
          <w:bCs/>
          <w:sz w:val="22"/>
        </w:rPr>
        <w:t xml:space="preserve">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w:t>
      </w:r>
      <w:r>
        <w:rPr>
          <w:rFonts w:ascii="Arial" w:hAnsi="Arial" w:cs="Arial"/>
          <w:bCs/>
          <w:sz w:val="22"/>
        </w:rPr>
        <w:lastRenderedPageBreak/>
        <w:t>además, cuando el pliego tipo de forma expresa lo permita, es decir, en los aspectos incluidos en corchetes y resaltados en gris.</w:t>
      </w:r>
    </w:p>
    <w:p w14:paraId="7A162BD2" w14:textId="77777777" w:rsidR="00EE2BD9" w:rsidRDefault="00EE2BD9" w:rsidP="00EE2BD9">
      <w:pPr>
        <w:spacing w:before="120" w:line="276" w:lineRule="auto"/>
        <w:ind w:firstLine="709"/>
        <w:jc w:val="both"/>
        <w:rPr>
          <w:rFonts w:ascii="Arial" w:hAnsi="Arial" w:cs="Arial"/>
          <w:bCs/>
          <w:sz w:val="22"/>
        </w:rPr>
      </w:pPr>
      <w:r>
        <w:rPr>
          <w:rFonts w:ascii="Arial" w:hAnsi="Arial" w:cs="Arial"/>
          <w:bCs/>
          <w:sz w:val="22"/>
        </w:rPr>
        <w:t xml:space="preserve">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3F9C098E" w14:textId="77777777" w:rsidR="00EE2BD9" w:rsidRDefault="00EE2BD9" w:rsidP="00EE2BD9">
      <w:pPr>
        <w:spacing w:before="120" w:line="276" w:lineRule="auto"/>
        <w:ind w:firstLine="709"/>
        <w:jc w:val="both"/>
        <w:rPr>
          <w:rFonts w:ascii="Arial" w:hAnsi="Arial" w:cs="Arial"/>
          <w:sz w:val="22"/>
        </w:rPr>
      </w:pPr>
      <w:r>
        <w:rPr>
          <w:rFonts w:ascii="Arial" w:hAnsi="Arial" w:cs="Arial"/>
          <w:sz w:val="22"/>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En relación con el principio constitucional </w:t>
      </w:r>
      <w:r>
        <w:rPr>
          <w:rFonts w:ascii="Arial" w:hAnsi="Arial" w:cs="Arial"/>
          <w:i/>
          <w:iCs/>
          <w:sz w:val="22"/>
        </w:rPr>
        <w:t>sub examine</w:t>
      </w:r>
      <w:r>
        <w:rPr>
          <w:rFonts w:ascii="Arial" w:hAnsi="Arial" w:cs="Arial"/>
          <w:sz w:val="22"/>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Pr>
          <w:rStyle w:val="Refdenotaalpie"/>
          <w:rFonts w:ascii="Arial" w:hAnsi="Arial" w:cs="Arial"/>
          <w:sz w:val="22"/>
        </w:rPr>
        <w:footnoteReference w:id="12"/>
      </w:r>
      <w:r>
        <w:rPr>
          <w:rFonts w:ascii="Arial" w:hAnsi="Arial" w:cs="Arial"/>
          <w:sz w:val="22"/>
        </w:rPr>
        <w:t xml:space="preserve">. </w:t>
      </w:r>
    </w:p>
    <w:p w14:paraId="60276693" w14:textId="11873D48" w:rsidR="00EE2BD9" w:rsidRDefault="00EE2BD9" w:rsidP="00EE2BD9">
      <w:pPr>
        <w:spacing w:before="120" w:line="276" w:lineRule="auto"/>
        <w:ind w:firstLine="709"/>
        <w:jc w:val="both"/>
        <w:rPr>
          <w:rFonts w:ascii="Arial" w:hAnsi="Arial" w:cs="Arial"/>
          <w:sz w:val="22"/>
        </w:rPr>
      </w:pPr>
      <w:r>
        <w:rPr>
          <w:rFonts w:ascii="Arial" w:hAnsi="Arial" w:cs="Arial"/>
          <w:sz w:val="22"/>
        </w:rPr>
        <w:t>De acuerdo con lo anterior, el carácter inalterable de los documentos tipo no puede hacerse extensivo a los aspectos simplemente formales de tales documentos, esto es, el tamaño y tipo de letra, l</w:t>
      </w:r>
      <w:r w:rsidR="00B13F5E">
        <w:rPr>
          <w:rFonts w:ascii="Arial" w:hAnsi="Arial" w:cs="Arial"/>
          <w:sz w:val="22"/>
        </w:rPr>
        <w:t>o</w:t>
      </w:r>
      <w:r>
        <w:rPr>
          <w:rFonts w:ascii="Arial" w:hAnsi="Arial" w:cs="Arial"/>
          <w:sz w:val="22"/>
        </w:rPr>
        <w:t>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49EE75DE" w14:textId="05791B4A" w:rsidR="00222E78" w:rsidRDefault="00222E78" w:rsidP="0067722F">
      <w:pPr>
        <w:tabs>
          <w:tab w:val="left" w:pos="426"/>
        </w:tabs>
        <w:spacing w:before="120" w:line="276" w:lineRule="auto"/>
        <w:ind w:firstLine="709"/>
        <w:jc w:val="both"/>
        <w:rPr>
          <w:rFonts w:ascii="Arial" w:eastAsia="Calibri" w:hAnsi="Arial" w:cs="Arial"/>
          <w:noProof/>
          <w:sz w:val="22"/>
          <w:lang w:val="es-ES_tradnl"/>
        </w:rPr>
      </w:pPr>
      <w:r>
        <w:rPr>
          <w:rFonts w:ascii="Arial" w:eastAsia="Calibri" w:hAnsi="Arial" w:cs="Arial"/>
          <w:noProof/>
          <w:color w:val="000000"/>
          <w:sz w:val="22"/>
          <w:shd w:val="clear" w:color="auto" w:fill="FFFFFF"/>
        </w:rPr>
        <w:t>En resumen</w:t>
      </w:r>
      <w:r w:rsidRPr="00DF3046">
        <w:rPr>
          <w:rFonts w:ascii="Arial" w:eastAsia="Calibri" w:hAnsi="Arial" w:cs="Arial"/>
          <w:noProof/>
          <w:color w:val="000000"/>
          <w:sz w:val="22"/>
          <w:shd w:val="clear" w:color="auto" w:fill="FFFFFF"/>
        </w:rPr>
        <w:t xml:space="preserve">, dadas las características de obligatoriedad e inalterabilidad que ostentan los documentos tipo, </w:t>
      </w:r>
      <w:r w:rsidRPr="00DF3046">
        <w:rPr>
          <w:rFonts w:ascii="Arial" w:eastAsia="Calibri" w:hAnsi="Arial" w:cs="Arial"/>
          <w:noProof/>
          <w:sz w:val="22"/>
          <w:lang w:val="es-ES_tradnl"/>
        </w:rPr>
        <w:t xml:space="preserve">las entidades sometidas al Estatuto General de la Contratación de la Administración Pública </w:t>
      </w:r>
      <w:r>
        <w:rPr>
          <w:rFonts w:ascii="Arial" w:eastAsia="Calibri" w:hAnsi="Arial" w:cs="Arial"/>
          <w:noProof/>
          <w:sz w:val="22"/>
          <w:lang w:val="es-ES_tradnl"/>
        </w:rPr>
        <w:t>deben aplicarlos</w:t>
      </w:r>
      <w:r w:rsidRPr="00DF3046">
        <w:rPr>
          <w:rFonts w:ascii="Arial" w:eastAsia="Calibri" w:hAnsi="Arial" w:cs="Arial"/>
          <w:noProof/>
          <w:sz w:val="22"/>
          <w:lang w:val="es-ES_tradnl"/>
        </w:rPr>
        <w:t xml:space="preserve"> en los procesos de selección que adelanten</w:t>
      </w:r>
      <w:r>
        <w:rPr>
          <w:rFonts w:ascii="Arial" w:eastAsia="Calibri" w:hAnsi="Arial" w:cs="Arial"/>
          <w:noProof/>
          <w:sz w:val="22"/>
          <w:lang w:val="es-ES_tradnl"/>
        </w:rPr>
        <w:t>. Por tanto, queda</w:t>
      </w:r>
      <w:r w:rsidRPr="00DF3046">
        <w:rPr>
          <w:rFonts w:ascii="Arial" w:eastAsia="Calibri" w:hAnsi="Arial" w:cs="Arial"/>
          <w:noProof/>
          <w:sz w:val="22"/>
          <w:lang w:val="es-ES_tradnl"/>
        </w:rPr>
        <w:t xml:space="preserve"> </w:t>
      </w:r>
      <w:r w:rsidR="00E9535F">
        <w:rPr>
          <w:rFonts w:ascii="Arial" w:eastAsia="Calibri" w:hAnsi="Arial" w:cs="Arial"/>
          <w:noProof/>
          <w:sz w:val="22"/>
          <w:lang w:val="es-ES_tradnl"/>
        </w:rPr>
        <w:t>proscrita</w:t>
      </w:r>
      <w:r w:rsidRPr="00DF3046">
        <w:rPr>
          <w:rFonts w:ascii="Arial" w:eastAsia="Calibri" w:hAnsi="Arial" w:cs="Arial"/>
          <w:noProof/>
          <w:sz w:val="22"/>
          <w:lang w:val="es-ES_tradnl"/>
        </w:rPr>
        <w:t xml:space="preserve"> la posibilidad de apartarse de su implementación en el proceso de selección donde apliquen o efectuar modificaciones a las condiciones habilitantes, factores de escogencia y sistemas de ponderación contenidos en los mismos, </w:t>
      </w:r>
      <w:r w:rsidRPr="00DF3046">
        <w:rPr>
          <w:rFonts w:ascii="Arial" w:eastAsia="Calibri" w:hAnsi="Arial" w:cs="Arial"/>
          <w:noProof/>
          <w:sz w:val="22"/>
          <w:lang w:val="es-ES_tradnl"/>
        </w:rPr>
        <w:lastRenderedPageBreak/>
        <w:t>por lo que solo podrán modifica</w:t>
      </w:r>
      <w:r>
        <w:rPr>
          <w:rFonts w:ascii="Arial" w:eastAsia="Calibri" w:hAnsi="Arial" w:cs="Arial"/>
          <w:noProof/>
          <w:sz w:val="22"/>
          <w:lang w:val="es-ES_tradnl"/>
        </w:rPr>
        <w:t>r</w:t>
      </w:r>
      <w:r w:rsidRPr="00DF3046">
        <w:rPr>
          <w:rFonts w:ascii="Arial" w:eastAsia="Calibri" w:hAnsi="Arial" w:cs="Arial"/>
          <w:noProof/>
          <w:sz w:val="22"/>
          <w:lang w:val="es-ES_tradnl"/>
        </w:rPr>
        <w:t>s</w:t>
      </w:r>
      <w:r>
        <w:rPr>
          <w:rFonts w:ascii="Arial" w:eastAsia="Calibri" w:hAnsi="Arial" w:cs="Arial"/>
          <w:noProof/>
          <w:sz w:val="22"/>
          <w:lang w:val="es-ES_tradnl"/>
        </w:rPr>
        <w:t>e</w:t>
      </w:r>
      <w:r w:rsidRPr="00DF3046">
        <w:rPr>
          <w:rFonts w:ascii="Arial" w:eastAsia="Calibri" w:hAnsi="Arial" w:cs="Arial"/>
          <w:noProof/>
          <w:sz w:val="22"/>
          <w:lang w:val="es-ES_tradnl"/>
        </w:rPr>
        <w:t xml:space="preserve"> en los lugares en que expresamente lo permitan los </w:t>
      </w:r>
      <w:r w:rsidR="00E9535F" w:rsidRPr="00DF3046">
        <w:rPr>
          <w:rFonts w:ascii="Arial" w:eastAsia="Calibri" w:hAnsi="Arial" w:cs="Arial"/>
          <w:noProof/>
          <w:sz w:val="22"/>
          <w:lang w:val="es-ES_tradnl"/>
        </w:rPr>
        <w:t>documentos tipo</w:t>
      </w:r>
      <w:r w:rsidRPr="00DF3046">
        <w:rPr>
          <w:rFonts w:ascii="Arial" w:eastAsia="Calibri" w:hAnsi="Arial" w:cs="Arial"/>
          <w:noProof/>
          <w:sz w:val="22"/>
          <w:lang w:val="es-ES_tradnl"/>
        </w:rPr>
        <w:t>.</w:t>
      </w:r>
    </w:p>
    <w:p w14:paraId="51F0538E" w14:textId="12188941" w:rsidR="00EE2BD9" w:rsidRDefault="00EE2BD9" w:rsidP="0067722F">
      <w:pPr>
        <w:spacing w:line="276" w:lineRule="auto"/>
        <w:jc w:val="both"/>
        <w:rPr>
          <w:rFonts w:ascii="Arial" w:eastAsia="Calibri" w:hAnsi="Arial" w:cs="Arial"/>
          <w:b/>
          <w:bCs/>
          <w:sz w:val="22"/>
          <w:lang w:val="es-ES_tradnl"/>
        </w:rPr>
      </w:pPr>
    </w:p>
    <w:p w14:paraId="486D4F25" w14:textId="290A1950" w:rsidR="002B4EBC" w:rsidRDefault="00E9535F" w:rsidP="00E9535F">
      <w:pPr>
        <w:spacing w:line="276" w:lineRule="auto"/>
        <w:jc w:val="both"/>
        <w:rPr>
          <w:rFonts w:ascii="Arial" w:eastAsia="Calibri" w:hAnsi="Arial" w:cs="Arial"/>
          <w:b/>
          <w:bCs/>
          <w:sz w:val="22"/>
          <w:lang w:val="es-ES_tradnl"/>
        </w:rPr>
      </w:pPr>
      <w:r>
        <w:rPr>
          <w:rFonts w:ascii="Arial" w:eastAsia="Calibri" w:hAnsi="Arial" w:cs="Arial"/>
          <w:b/>
          <w:bCs/>
          <w:sz w:val="22"/>
          <w:lang w:val="es-ES_tradnl"/>
        </w:rPr>
        <w:t xml:space="preserve">2.3. </w:t>
      </w:r>
      <w:r w:rsidR="002B4EBC" w:rsidRPr="002B4EBC">
        <w:rPr>
          <w:rFonts w:ascii="Arial" w:eastAsia="Calibri" w:hAnsi="Arial" w:cs="Arial"/>
          <w:b/>
          <w:bCs/>
          <w:sz w:val="22"/>
          <w:lang w:val="es-ES_tradnl"/>
        </w:rPr>
        <w:t>Acreditación de</w:t>
      </w:r>
      <w:r w:rsidR="002B4EBC">
        <w:rPr>
          <w:rFonts w:ascii="Arial" w:eastAsia="Calibri" w:hAnsi="Arial" w:cs="Arial"/>
          <w:b/>
          <w:bCs/>
          <w:sz w:val="22"/>
          <w:lang w:val="es-ES_tradnl"/>
        </w:rPr>
        <w:t xml:space="preserve">l factor de calidad </w:t>
      </w:r>
      <w:r w:rsidR="00321A6D">
        <w:rPr>
          <w:rFonts w:ascii="Arial" w:eastAsia="Calibri" w:hAnsi="Arial" w:cs="Arial"/>
          <w:b/>
          <w:bCs/>
          <w:sz w:val="22"/>
          <w:lang w:val="es-ES_tradnl"/>
        </w:rPr>
        <w:t>«</w:t>
      </w:r>
      <w:r w:rsidR="002B4EBC">
        <w:rPr>
          <w:rFonts w:ascii="Arial" w:eastAsia="Calibri" w:hAnsi="Arial" w:cs="Arial"/>
          <w:b/>
          <w:bCs/>
          <w:sz w:val="22"/>
          <w:lang w:val="es-ES_tradnl"/>
        </w:rPr>
        <w:t>garantía suplementaria o adicional</w:t>
      </w:r>
      <w:r w:rsidR="00321A6D">
        <w:rPr>
          <w:rFonts w:ascii="Arial" w:eastAsia="Calibri" w:hAnsi="Arial" w:cs="Arial"/>
          <w:b/>
          <w:bCs/>
          <w:sz w:val="22"/>
          <w:lang w:val="es-ES_tradnl"/>
        </w:rPr>
        <w:t>»</w:t>
      </w:r>
      <w:r w:rsidR="002B4EBC">
        <w:rPr>
          <w:rFonts w:ascii="Arial" w:eastAsia="Calibri" w:hAnsi="Arial" w:cs="Arial"/>
          <w:b/>
          <w:bCs/>
          <w:sz w:val="22"/>
          <w:lang w:val="es-ES_tradnl"/>
        </w:rPr>
        <w:t xml:space="preserve"> durante el procedimiento de selección</w:t>
      </w:r>
    </w:p>
    <w:p w14:paraId="0379D8F3" w14:textId="77777777" w:rsidR="00E9535F" w:rsidRPr="00EA0711" w:rsidRDefault="00E9535F" w:rsidP="0067722F">
      <w:pPr>
        <w:spacing w:line="276" w:lineRule="auto"/>
        <w:jc w:val="both"/>
        <w:rPr>
          <w:rFonts w:ascii="Arial" w:eastAsia="Calibri" w:hAnsi="Arial" w:cs="Arial"/>
          <w:sz w:val="22"/>
          <w:lang w:val="es-ES_tradnl"/>
        </w:rPr>
      </w:pPr>
    </w:p>
    <w:p w14:paraId="58EEB47E" w14:textId="40E248AE" w:rsidR="00233D41" w:rsidRPr="00A8162E" w:rsidRDefault="00702D5D" w:rsidP="0067722F">
      <w:pPr>
        <w:spacing w:after="120" w:line="276" w:lineRule="auto"/>
        <w:jc w:val="both"/>
        <w:rPr>
          <w:rFonts w:ascii="Arial" w:hAnsi="Arial" w:cs="Arial"/>
          <w:sz w:val="22"/>
        </w:rPr>
      </w:pPr>
      <w:r>
        <w:rPr>
          <w:rFonts w:ascii="Arial" w:hAnsi="Arial" w:cs="Arial"/>
          <w:sz w:val="22"/>
        </w:rPr>
        <w:t>En el marco de los documentos tipo, l</w:t>
      </w:r>
      <w:r w:rsidR="00233D41" w:rsidRPr="00A8162E">
        <w:rPr>
          <w:rFonts w:ascii="Arial" w:hAnsi="Arial" w:cs="Arial"/>
          <w:sz w:val="22"/>
        </w:rPr>
        <w:t>a «Gara</w:t>
      </w:r>
      <w:r w:rsidR="009603B4">
        <w:rPr>
          <w:rFonts w:ascii="Arial" w:hAnsi="Arial" w:cs="Arial"/>
          <w:sz w:val="22"/>
        </w:rPr>
        <w:t xml:space="preserve">ntía Suplementaria o Adicional» </w:t>
      </w:r>
      <w:r w:rsidR="00233D41" w:rsidRPr="00A8162E">
        <w:rPr>
          <w:rFonts w:ascii="Arial" w:hAnsi="Arial" w:cs="Arial"/>
          <w:sz w:val="22"/>
        </w:rPr>
        <w:t>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w:t>
      </w:r>
      <w:r w:rsidR="00274B3E">
        <w:rPr>
          <w:rFonts w:ascii="Arial" w:hAnsi="Arial" w:cs="Arial"/>
          <w:sz w:val="22"/>
        </w:rPr>
        <w:t>,</w:t>
      </w:r>
      <w:r w:rsidR="00233D41" w:rsidRPr="00A8162E">
        <w:rPr>
          <w:rFonts w:ascii="Arial" w:hAnsi="Arial" w:cs="Arial"/>
          <w:sz w:val="22"/>
        </w:rPr>
        <w:t xml:space="preserv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r w:rsidR="00761CAA">
        <w:rPr>
          <w:rFonts w:ascii="Arial" w:hAnsi="Arial" w:cs="Arial"/>
          <w:sz w:val="22"/>
        </w:rPr>
        <w:t xml:space="preserve">. </w:t>
      </w:r>
    </w:p>
    <w:p w14:paraId="588F33D8" w14:textId="688DE821" w:rsidR="00233D41" w:rsidRPr="00A8162E" w:rsidRDefault="00233D41" w:rsidP="002F77A1">
      <w:pPr>
        <w:spacing w:before="120" w:after="120" w:line="276" w:lineRule="auto"/>
        <w:ind w:firstLine="709"/>
        <w:jc w:val="both"/>
        <w:rPr>
          <w:rFonts w:ascii="Arial" w:hAnsi="Arial" w:cs="Arial"/>
          <w:sz w:val="22"/>
        </w:rPr>
      </w:pPr>
      <w:r w:rsidRPr="00A8162E">
        <w:rPr>
          <w:rFonts w:ascii="Arial" w:hAnsi="Arial" w:cs="Arial"/>
          <w:sz w:val="22"/>
        </w:rPr>
        <w:t>La Ley 1480 de 2011, en el artículo 13, señala que los productores y proveedores podrán otorgar garantías suplementarias a la legal, cuando amplíen o mejoren la cobertura de esta, de forma gratuita u onerosa. As</w:t>
      </w:r>
      <w:r w:rsidR="00274B3E">
        <w:rPr>
          <w:rFonts w:ascii="Arial" w:hAnsi="Arial" w:cs="Arial"/>
          <w:sz w:val="22"/>
        </w:rPr>
        <w:t xml:space="preserve">í </w:t>
      </w:r>
      <w:r w:rsidRPr="00A8162E">
        <w:rPr>
          <w:rFonts w:ascii="Arial" w:hAnsi="Arial" w:cs="Arial"/>
          <w:sz w:val="22"/>
        </w:rPr>
        <w:t>mismo, señala que también podrán otorgar este tipo de garantías terceros especializados que cuenten con la infraestructura y recursos adecuados para cumplir con la garantía</w:t>
      </w:r>
      <w:r w:rsidRPr="00A8162E">
        <w:rPr>
          <w:rStyle w:val="Refdenotaalpie"/>
          <w:rFonts w:ascii="Arial" w:hAnsi="Arial" w:cs="Arial"/>
          <w:sz w:val="22"/>
        </w:rPr>
        <w:footnoteReference w:id="13"/>
      </w:r>
      <w:r w:rsidRPr="00A8162E">
        <w:rPr>
          <w:rFonts w:ascii="Arial" w:hAnsi="Arial" w:cs="Arial"/>
          <w:sz w:val="22"/>
        </w:rPr>
        <w:t>. De este modo, la normativa también ha definido a las garantías suplementarias como aquellas que ofrecen los productores o proveedores de un bien o servicio, por el término adicional al previsto en la garantía legal.</w:t>
      </w:r>
    </w:p>
    <w:p w14:paraId="115A8F1D" w14:textId="52562BE6" w:rsidR="00060721" w:rsidRDefault="00233D41" w:rsidP="002F77A1">
      <w:pPr>
        <w:spacing w:before="120" w:after="120" w:line="276" w:lineRule="auto"/>
        <w:ind w:firstLine="709"/>
        <w:jc w:val="both"/>
        <w:rPr>
          <w:rFonts w:ascii="Arial" w:eastAsiaTheme="minorEastAsia" w:hAnsi="Arial" w:cs="Arial"/>
          <w:sz w:val="22"/>
        </w:rPr>
      </w:pPr>
      <w:r w:rsidRPr="00A8162E">
        <w:rPr>
          <w:rFonts w:ascii="Arial" w:hAnsi="Arial" w:cs="Arial"/>
          <w:sz w:val="22"/>
        </w:rPr>
        <w:t xml:space="preserve">Por otro lado, en los documentos tipo se reconoce que la «garantía adicional o suplementaria» está asociada a la estabilidad y calidad de la obra. </w:t>
      </w:r>
      <w:r w:rsidR="00FE2E07">
        <w:rPr>
          <w:rFonts w:ascii="Arial" w:hAnsi="Arial" w:cs="Arial"/>
          <w:sz w:val="22"/>
        </w:rPr>
        <w:t>De igual forma,</w:t>
      </w:r>
      <w:r w:rsidRPr="00A8162E">
        <w:rPr>
          <w:rFonts w:ascii="Arial" w:hAnsi="Arial" w:cs="Arial"/>
          <w:sz w:val="22"/>
        </w:rPr>
        <w:t xml:space="preserve"> el proponente ofertará la vigencia de la garantía adicional a partir del vencimiento del plazo del amparo de estabilidad y calidad de la obra. En virtud </w:t>
      </w:r>
      <w:r>
        <w:rPr>
          <w:rFonts w:ascii="Arial" w:hAnsi="Arial" w:cs="Arial"/>
          <w:sz w:val="22"/>
        </w:rPr>
        <w:t xml:space="preserve">de lo dispuesto en </w:t>
      </w:r>
      <w:r w:rsidRPr="0025799B">
        <w:rPr>
          <w:rFonts w:ascii="Arial" w:eastAsia="Calibri" w:hAnsi="Arial" w:cs="Arial"/>
          <w:sz w:val="22"/>
          <w:szCs w:val="24"/>
          <w:lang w:eastAsia="es-ES_tradnl"/>
        </w:rPr>
        <w:t xml:space="preserve">el artículo 2.2.1.2.3.1.7 </w:t>
      </w:r>
      <w:r w:rsidR="0080762F">
        <w:rPr>
          <w:rFonts w:ascii="Arial" w:eastAsia="Calibri" w:hAnsi="Arial" w:cs="Arial"/>
          <w:sz w:val="22"/>
          <w:szCs w:val="24"/>
          <w:lang w:eastAsia="es-ES_tradnl"/>
        </w:rPr>
        <w:t xml:space="preserve">del </w:t>
      </w:r>
      <w:r w:rsidRPr="00A8162E">
        <w:rPr>
          <w:rFonts w:ascii="Arial" w:hAnsi="Arial" w:cs="Arial"/>
          <w:sz w:val="22"/>
        </w:rPr>
        <w:t>Decreto 1082 de 2015</w:t>
      </w:r>
      <w:r w:rsidR="00274B3E">
        <w:rPr>
          <w:rFonts w:ascii="Arial" w:hAnsi="Arial" w:cs="Arial"/>
          <w:sz w:val="22"/>
        </w:rPr>
        <w:t>,</w:t>
      </w:r>
      <w:r w:rsidRPr="00A8162E">
        <w:rPr>
          <w:rFonts w:ascii="Arial" w:hAnsi="Arial" w:cs="Arial"/>
          <w:sz w:val="22"/>
        </w:rPr>
        <w:t xml:space="preserve"> este amparo cubre a la Entidad Estatal de los perjuicios ocasionados por cualquier tipo de daño o deterioro, imputable al contratista, sufrido por la obra entregada a satisfacción</w:t>
      </w:r>
      <w:r w:rsidRPr="00A8162E">
        <w:rPr>
          <w:rStyle w:val="Refdenotaalpie"/>
          <w:rFonts w:ascii="Arial" w:hAnsi="Arial" w:cs="Arial"/>
          <w:sz w:val="22"/>
        </w:rPr>
        <w:footnoteReference w:id="14"/>
      </w:r>
      <w:r w:rsidRPr="00A8162E">
        <w:rPr>
          <w:rFonts w:ascii="Arial" w:hAnsi="Arial" w:cs="Arial"/>
          <w:sz w:val="22"/>
        </w:rPr>
        <w:t>.</w:t>
      </w:r>
      <w:r>
        <w:rPr>
          <w:rFonts w:ascii="Arial" w:eastAsia="Calibri" w:hAnsi="Arial" w:cs="Arial"/>
          <w:sz w:val="22"/>
          <w:szCs w:val="24"/>
          <w:lang w:eastAsia="es-ES_tradnl"/>
        </w:rPr>
        <w:t xml:space="preserve"> </w:t>
      </w:r>
      <w:r w:rsidR="00C05841">
        <w:rPr>
          <w:rFonts w:ascii="Arial" w:eastAsia="Calibri" w:hAnsi="Arial" w:cs="Arial"/>
          <w:sz w:val="22"/>
          <w:szCs w:val="24"/>
          <w:lang w:eastAsia="es-ES_tradnl"/>
        </w:rPr>
        <w:t>P</w:t>
      </w:r>
      <w:r w:rsidR="00FB4DBF" w:rsidRPr="00205DC0">
        <w:rPr>
          <w:rFonts w:ascii="Arial" w:eastAsia="Calibri" w:hAnsi="Arial" w:cs="Arial"/>
          <w:sz w:val="22"/>
          <w:szCs w:val="24"/>
          <w:lang w:eastAsia="es-ES_tradnl"/>
        </w:rPr>
        <w:t>ara este factor</w:t>
      </w:r>
      <w:r w:rsidR="00FB4DBF">
        <w:rPr>
          <w:rFonts w:ascii="Arial" w:eastAsia="Calibri" w:hAnsi="Arial" w:cs="Arial"/>
          <w:sz w:val="22"/>
          <w:szCs w:val="24"/>
          <w:lang w:eastAsia="es-ES_tradnl"/>
        </w:rPr>
        <w:t>,</w:t>
      </w:r>
      <w:r w:rsidR="00FB4DBF" w:rsidRPr="00205DC0">
        <w:rPr>
          <w:rFonts w:ascii="Arial" w:eastAsia="Calibri" w:hAnsi="Arial" w:cs="Arial"/>
          <w:sz w:val="22"/>
          <w:szCs w:val="24"/>
          <w:lang w:eastAsia="es-ES_tradnl"/>
        </w:rPr>
        <w:t xml:space="preserve"> </w:t>
      </w:r>
      <w:r w:rsidR="00C05841">
        <w:rPr>
          <w:rFonts w:ascii="Arial" w:eastAsia="Calibri" w:hAnsi="Arial" w:cs="Arial"/>
          <w:sz w:val="22"/>
          <w:szCs w:val="24"/>
          <w:lang w:eastAsia="es-ES_tradnl"/>
        </w:rPr>
        <w:t>la entidad</w:t>
      </w:r>
      <w:r w:rsidR="00C05841" w:rsidRPr="00C05841">
        <w:rPr>
          <w:rFonts w:ascii="Arial" w:eastAsia="Calibri" w:hAnsi="Arial" w:cs="Arial"/>
          <w:sz w:val="22"/>
          <w:szCs w:val="24"/>
          <w:lang w:eastAsia="es-ES_tradnl"/>
        </w:rPr>
        <w:t xml:space="preserve"> </w:t>
      </w:r>
      <w:r w:rsidR="00C05841" w:rsidRPr="00205DC0">
        <w:rPr>
          <w:rFonts w:ascii="Arial" w:eastAsia="Calibri" w:hAnsi="Arial" w:cs="Arial"/>
          <w:sz w:val="22"/>
          <w:szCs w:val="24"/>
          <w:lang w:eastAsia="es-ES_tradnl"/>
        </w:rPr>
        <w:t>otorgará el puntaje</w:t>
      </w:r>
      <w:r w:rsidR="00C05841">
        <w:rPr>
          <w:rFonts w:ascii="Arial" w:eastAsia="Calibri" w:hAnsi="Arial" w:cs="Arial"/>
          <w:sz w:val="22"/>
          <w:szCs w:val="24"/>
          <w:lang w:eastAsia="es-ES_tradnl"/>
        </w:rPr>
        <w:t xml:space="preserve"> </w:t>
      </w:r>
      <w:r w:rsidR="00C05841" w:rsidRPr="00205DC0">
        <w:rPr>
          <w:rFonts w:ascii="Arial" w:eastAsia="Calibri" w:hAnsi="Arial" w:cs="Arial"/>
          <w:sz w:val="22"/>
          <w:szCs w:val="24"/>
          <w:lang w:eastAsia="es-ES_tradnl"/>
        </w:rPr>
        <w:t xml:space="preserve">que determine </w:t>
      </w:r>
      <w:r w:rsidR="00FB4DBF" w:rsidRPr="00205DC0">
        <w:rPr>
          <w:rFonts w:ascii="Arial" w:eastAsia="Calibri" w:hAnsi="Arial" w:cs="Arial"/>
          <w:sz w:val="22"/>
          <w:szCs w:val="24"/>
          <w:lang w:eastAsia="es-ES_tradnl"/>
        </w:rPr>
        <w:t xml:space="preserve">de acuerdo con el número de meses que el proponente ofrezca </w:t>
      </w:r>
      <w:r w:rsidR="00FB4DBF" w:rsidRPr="00205DC0">
        <w:rPr>
          <w:rFonts w:ascii="Arial" w:eastAsia="Calibri" w:hAnsi="Arial" w:cs="Arial"/>
          <w:sz w:val="22"/>
          <w:szCs w:val="24"/>
          <w:lang w:eastAsia="es-ES_tradnl"/>
        </w:rPr>
        <w:lastRenderedPageBreak/>
        <w:t xml:space="preserve">como vigencia de la </w:t>
      </w:r>
      <w:r w:rsidR="00FB4DBF" w:rsidRPr="009E56BA">
        <w:rPr>
          <w:rFonts w:ascii="Arial" w:eastAsia="Calibri" w:hAnsi="Arial" w:cs="Arial"/>
          <w:sz w:val="22"/>
          <w:szCs w:val="24"/>
          <w:lang w:eastAsia="es-ES_tradnl"/>
        </w:rPr>
        <w:t xml:space="preserve">garantía adicional. </w:t>
      </w:r>
      <w:r w:rsidR="00FB4DBF" w:rsidRPr="009E56BA">
        <w:rPr>
          <w:rFonts w:ascii="Arial" w:eastAsia="Arial" w:hAnsi="Arial" w:cs="Arial"/>
          <w:sz w:val="22"/>
        </w:rPr>
        <w:t>P</w:t>
      </w:r>
      <w:r w:rsidR="005C7609" w:rsidRPr="009E56BA">
        <w:rPr>
          <w:rFonts w:ascii="Arial" w:eastAsia="Arial" w:hAnsi="Arial" w:cs="Arial"/>
          <w:sz w:val="22"/>
        </w:rPr>
        <w:t xml:space="preserve">or tanto, le corresponde al oferente </w:t>
      </w:r>
      <w:r w:rsidR="00FB4DBF" w:rsidRPr="009E56BA">
        <w:rPr>
          <w:rFonts w:ascii="Arial" w:eastAsia="Arial" w:hAnsi="Arial" w:cs="Arial"/>
          <w:sz w:val="22"/>
        </w:rPr>
        <w:t xml:space="preserve">diligenciar </w:t>
      </w:r>
      <w:bookmarkStart w:id="8" w:name="_Hlk64235172"/>
      <w:r w:rsidR="00FB4DBF" w:rsidRPr="009E56BA">
        <w:rPr>
          <w:rFonts w:ascii="Arial" w:eastAsia="Arial" w:hAnsi="Arial" w:cs="Arial"/>
          <w:sz w:val="22"/>
        </w:rPr>
        <w:t>el «</w:t>
      </w:r>
      <w:r w:rsidR="00474EFB">
        <w:rPr>
          <w:rFonts w:ascii="Arial" w:eastAsia="Arial" w:hAnsi="Arial" w:cs="Arial"/>
          <w:sz w:val="22"/>
        </w:rPr>
        <w:t>F</w:t>
      </w:r>
      <w:r w:rsidR="00474EFB" w:rsidRPr="009E56BA">
        <w:rPr>
          <w:rFonts w:ascii="Arial" w:eastAsia="Arial" w:hAnsi="Arial" w:cs="Arial"/>
          <w:sz w:val="22"/>
        </w:rPr>
        <w:t xml:space="preserve">ormato </w:t>
      </w:r>
      <w:r w:rsidR="00FB4DBF" w:rsidRPr="009E56BA">
        <w:rPr>
          <w:rFonts w:ascii="Arial" w:eastAsia="Arial" w:hAnsi="Arial" w:cs="Arial"/>
          <w:sz w:val="22"/>
        </w:rPr>
        <w:t>7D – Garantía su</w:t>
      </w:r>
      <w:r w:rsidR="00FB4DBF">
        <w:rPr>
          <w:rFonts w:ascii="Arial" w:eastAsia="Arial" w:hAnsi="Arial" w:cs="Arial"/>
          <w:sz w:val="22"/>
        </w:rPr>
        <w:t>plementaria o adicional»</w:t>
      </w:r>
      <w:r w:rsidR="00E96DEA">
        <w:rPr>
          <w:rFonts w:ascii="Arial" w:eastAsia="Arial" w:hAnsi="Arial" w:cs="Arial"/>
          <w:sz w:val="22"/>
        </w:rPr>
        <w:t xml:space="preserve">, donde </w:t>
      </w:r>
      <w:r w:rsidR="00FB4DBF">
        <w:rPr>
          <w:rFonts w:ascii="Arial" w:eastAsia="Arial" w:hAnsi="Arial" w:cs="Arial"/>
          <w:sz w:val="22"/>
        </w:rPr>
        <w:t>indicar</w:t>
      </w:r>
      <w:r w:rsidR="00E96DEA">
        <w:rPr>
          <w:rFonts w:ascii="Arial" w:eastAsia="Arial" w:hAnsi="Arial" w:cs="Arial"/>
          <w:sz w:val="22"/>
        </w:rPr>
        <w:t>á</w:t>
      </w:r>
      <w:r w:rsidR="00FB4DBF">
        <w:rPr>
          <w:rFonts w:ascii="Arial" w:eastAsia="Arial" w:hAnsi="Arial" w:cs="Arial"/>
          <w:sz w:val="22"/>
        </w:rPr>
        <w:t xml:space="preserve"> bajo la gravedad de juramento cuál es el compromiso que asume respecto del número de meses de la </w:t>
      </w:r>
      <w:r w:rsidR="00FB4DBF" w:rsidRPr="001F1971">
        <w:rPr>
          <w:rFonts w:ascii="Arial" w:eastAsia="Arial" w:hAnsi="Arial" w:cs="Arial"/>
          <w:sz w:val="22"/>
        </w:rPr>
        <w:t>garantía suplementaria o adicional</w:t>
      </w:r>
      <w:r w:rsidR="00E96DEA">
        <w:rPr>
          <w:rFonts w:ascii="Arial" w:eastAsia="Arial" w:hAnsi="Arial" w:cs="Arial"/>
          <w:sz w:val="22"/>
        </w:rPr>
        <w:t xml:space="preserve">. </w:t>
      </w:r>
      <w:r w:rsidR="00702D5D">
        <w:rPr>
          <w:rFonts w:ascii="Arial" w:eastAsia="Arial" w:hAnsi="Arial" w:cs="Arial"/>
          <w:sz w:val="22"/>
        </w:rPr>
        <w:t>Para lo anterior, e</w:t>
      </w:r>
      <w:r w:rsidR="00E96DEA">
        <w:rPr>
          <w:rFonts w:ascii="Arial" w:eastAsia="Arial" w:hAnsi="Arial" w:cs="Arial"/>
          <w:sz w:val="22"/>
        </w:rPr>
        <w:t xml:space="preserve">ste </w:t>
      </w:r>
      <w:r w:rsidR="00FB4DBF" w:rsidRPr="001F1971">
        <w:rPr>
          <w:rFonts w:ascii="Arial" w:eastAsia="Arial" w:hAnsi="Arial" w:cs="Arial"/>
          <w:sz w:val="22"/>
        </w:rPr>
        <w:t xml:space="preserve">formato contiene la siguiente nota en corchetes y resaltado en gris: </w:t>
      </w:r>
      <w:r w:rsidR="00FB4DBF" w:rsidRPr="001F1971">
        <w:rPr>
          <w:rFonts w:ascii="Arial" w:eastAsiaTheme="minorEastAsia" w:hAnsi="Arial" w:cs="Arial"/>
          <w:sz w:val="22"/>
        </w:rPr>
        <w:t xml:space="preserve">La garantía adicional o suplementaria será otorgada por el término de </w:t>
      </w:r>
      <w:r w:rsidR="00FB4DBF" w:rsidRPr="001F1971">
        <w:rPr>
          <w:rFonts w:ascii="Arial" w:eastAsiaTheme="minorEastAsia" w:hAnsi="Arial" w:cs="Arial"/>
          <w:sz w:val="22"/>
          <w:highlight w:val="lightGray"/>
        </w:rPr>
        <w:t>[Señalar el número de meses que no supere el plazo establecido en el documento base]</w:t>
      </w:r>
      <w:r w:rsidR="00FB4DBF" w:rsidRPr="001F1971">
        <w:rPr>
          <w:rFonts w:ascii="Arial" w:eastAsiaTheme="minorEastAsia" w:hAnsi="Arial" w:cs="Arial"/>
          <w:sz w:val="22"/>
        </w:rPr>
        <w:t>.</w:t>
      </w:r>
      <w:bookmarkStart w:id="9" w:name="_Hlk61008215"/>
      <w:bookmarkEnd w:id="8"/>
    </w:p>
    <w:p w14:paraId="36982475" w14:textId="77777777" w:rsidR="00B15F4A" w:rsidRDefault="00702D5D" w:rsidP="002F77A1">
      <w:pPr>
        <w:spacing w:before="120" w:after="120" w:line="276" w:lineRule="auto"/>
        <w:ind w:firstLine="709"/>
        <w:jc w:val="both"/>
        <w:rPr>
          <w:rFonts w:ascii="Arial" w:eastAsia="Calibri" w:hAnsi="Arial" w:cs="Arial"/>
          <w:sz w:val="22"/>
          <w:szCs w:val="24"/>
          <w:lang w:eastAsia="es-ES_tradnl"/>
        </w:rPr>
      </w:pPr>
      <w:r>
        <w:rPr>
          <w:rFonts w:ascii="Arial" w:eastAsia="Calibri" w:hAnsi="Arial" w:cs="Arial"/>
          <w:sz w:val="22"/>
          <w:szCs w:val="24"/>
          <w:lang w:eastAsia="es-ES_tradnl"/>
        </w:rPr>
        <w:t xml:space="preserve">De otro lado, </w:t>
      </w:r>
      <w:r>
        <w:rPr>
          <w:rFonts w:ascii="Arial" w:eastAsia="Calibri" w:hAnsi="Arial" w:cs="Arial"/>
          <w:sz w:val="22"/>
          <w:szCs w:val="24"/>
          <w:lang w:val="es-ES_tradnl" w:eastAsia="es-ES_tradnl"/>
        </w:rPr>
        <w:t>e</w:t>
      </w:r>
      <w:r w:rsidR="004C39C9" w:rsidRPr="00FF31F1">
        <w:rPr>
          <w:rFonts w:ascii="Arial" w:eastAsia="Calibri" w:hAnsi="Arial" w:cs="Arial"/>
          <w:sz w:val="22"/>
          <w:szCs w:val="24"/>
          <w:lang w:val="es-ES_tradnl" w:eastAsia="es-ES_tradnl"/>
        </w:rPr>
        <w:t xml:space="preserve">l numeral 4.2.4 del </w:t>
      </w:r>
      <w:r w:rsidR="004C39C9">
        <w:rPr>
          <w:rFonts w:ascii="Arial" w:eastAsia="Calibri" w:hAnsi="Arial" w:cs="Arial"/>
          <w:sz w:val="22"/>
          <w:szCs w:val="24"/>
          <w:lang w:val="es-ES_tradnl" w:eastAsia="es-ES_tradnl"/>
        </w:rPr>
        <w:t>D</w:t>
      </w:r>
      <w:r w:rsidR="004C39C9" w:rsidRPr="00FF31F1">
        <w:rPr>
          <w:rFonts w:ascii="Arial" w:eastAsia="Calibri" w:hAnsi="Arial" w:cs="Arial"/>
          <w:sz w:val="22"/>
          <w:szCs w:val="24"/>
          <w:lang w:val="es-ES_tradnl" w:eastAsia="es-ES_tradnl"/>
        </w:rPr>
        <w:t xml:space="preserve">ocumento </w:t>
      </w:r>
      <w:r w:rsidR="004C39C9">
        <w:rPr>
          <w:rFonts w:ascii="Arial" w:eastAsia="Calibri" w:hAnsi="Arial" w:cs="Arial"/>
          <w:sz w:val="22"/>
          <w:szCs w:val="24"/>
          <w:lang w:val="es-ES_tradnl" w:eastAsia="es-ES_tradnl"/>
        </w:rPr>
        <w:t>B</w:t>
      </w:r>
      <w:r w:rsidR="004C39C9" w:rsidRPr="00FF31F1">
        <w:rPr>
          <w:rFonts w:ascii="Arial" w:eastAsia="Calibri" w:hAnsi="Arial" w:cs="Arial"/>
          <w:sz w:val="22"/>
          <w:szCs w:val="24"/>
          <w:lang w:val="es-ES_tradnl" w:eastAsia="es-ES_tradnl"/>
        </w:rPr>
        <w:t>ase</w:t>
      </w:r>
      <w:r w:rsidR="004C39C9">
        <w:rPr>
          <w:rFonts w:ascii="Arial" w:eastAsia="Calibri" w:hAnsi="Arial" w:cs="Arial"/>
          <w:sz w:val="22"/>
          <w:szCs w:val="24"/>
          <w:lang w:val="es-ES_tradnl" w:eastAsia="es-ES_tradnl"/>
        </w:rPr>
        <w:t xml:space="preserve"> de </w:t>
      </w:r>
      <w:r w:rsidR="009E27E2">
        <w:rPr>
          <w:rFonts w:ascii="Arial" w:eastAsia="Calibri" w:hAnsi="Arial" w:cs="Arial"/>
          <w:sz w:val="22"/>
          <w:szCs w:val="24"/>
          <w:lang w:val="es-ES_tradnl" w:eastAsia="es-ES_tradnl"/>
        </w:rPr>
        <w:t>licitación</w:t>
      </w:r>
      <w:r w:rsidR="004C39C9">
        <w:rPr>
          <w:rFonts w:ascii="Arial" w:eastAsia="Calibri" w:hAnsi="Arial" w:cs="Arial"/>
          <w:sz w:val="22"/>
          <w:szCs w:val="24"/>
          <w:lang w:val="es-ES_tradnl" w:eastAsia="es-ES_tradnl"/>
        </w:rPr>
        <w:t xml:space="preserve"> de obra pública – versión 3</w:t>
      </w:r>
      <w:r w:rsidR="004C39C9" w:rsidRPr="00FF31F1">
        <w:rPr>
          <w:rFonts w:ascii="Arial" w:eastAsia="Calibri" w:hAnsi="Arial" w:cs="Arial"/>
          <w:sz w:val="22"/>
          <w:szCs w:val="24"/>
          <w:lang w:val="es-ES_tradnl" w:eastAsia="es-ES_tradnl"/>
        </w:rPr>
        <w:t xml:space="preserve"> dispone que «Las entidades incluirán obligatoriamente este factor de calidad en los procesos de contratación que correspondan a construcción, de conformidad con la noción establecida en el artículo 12 de la Ley 1682 de 2013 y según la Matriz 1 de experiencia, por lo que solo aplicará cuando se trate de obras nuevas y se haya exigido el amparo de estabilidad y calidad de las obras […]». </w:t>
      </w:r>
      <w:r w:rsidR="005428CA" w:rsidRPr="003C5438">
        <w:rPr>
          <w:rFonts w:ascii="Arial" w:eastAsia="Calibri" w:hAnsi="Arial" w:cs="Arial"/>
          <w:sz w:val="22"/>
          <w:szCs w:val="24"/>
          <w:lang w:val="es-ES_tradnl" w:eastAsia="es-ES_tradnl"/>
        </w:rPr>
        <w:t>En tal sentido, aclara que esta opción del factor de calidad no</w:t>
      </w:r>
      <w:r w:rsidR="005428CA" w:rsidRPr="003C5438">
        <w:rPr>
          <w:rFonts w:ascii="Arial" w:eastAsia="Calibri" w:hAnsi="Arial" w:cs="Arial"/>
          <w:sz w:val="22"/>
          <w:szCs w:val="24"/>
          <w:lang w:eastAsia="es-ES_tradnl"/>
        </w:rPr>
        <w:t xml:space="preserve"> aplicará para obras de mantenimiento, mejoramiento</w:t>
      </w:r>
      <w:r w:rsidR="005428CA">
        <w:rPr>
          <w:rFonts w:ascii="Arial" w:eastAsia="Calibri" w:hAnsi="Arial" w:cs="Arial"/>
          <w:sz w:val="22"/>
          <w:szCs w:val="24"/>
          <w:lang w:eastAsia="es-ES_tradnl"/>
        </w:rPr>
        <w:t xml:space="preserve"> o rehabilitación, etc</w:t>
      </w:r>
      <w:r w:rsidR="005428CA" w:rsidRPr="005428CA">
        <w:rPr>
          <w:rFonts w:ascii="Arial" w:eastAsia="Calibri" w:hAnsi="Arial" w:cs="Arial"/>
          <w:sz w:val="22"/>
          <w:szCs w:val="24"/>
          <w:lang w:eastAsia="es-ES_tradnl"/>
        </w:rPr>
        <w:t>.</w:t>
      </w:r>
    </w:p>
    <w:p w14:paraId="1402D70F" w14:textId="62716120" w:rsidR="001E1DB9" w:rsidRDefault="00F163C8" w:rsidP="0067722F">
      <w:pPr>
        <w:spacing w:before="120" w:line="276" w:lineRule="auto"/>
        <w:jc w:val="both"/>
        <w:rPr>
          <w:rFonts w:ascii="Arial" w:eastAsia="Arial" w:hAnsi="Arial" w:cs="Arial"/>
          <w:sz w:val="22"/>
        </w:rPr>
      </w:pPr>
      <w:r>
        <w:rPr>
          <w:rFonts w:ascii="Arial" w:eastAsia="Calibri" w:hAnsi="Arial" w:cs="Arial"/>
          <w:sz w:val="22"/>
          <w:szCs w:val="24"/>
          <w:lang w:eastAsia="es-ES_tradnl"/>
        </w:rPr>
        <w:tab/>
      </w:r>
      <w:r w:rsidR="00274B3E">
        <w:rPr>
          <w:rFonts w:ascii="Arial" w:eastAsia="Calibri" w:hAnsi="Arial" w:cs="Arial"/>
          <w:sz w:val="22"/>
          <w:szCs w:val="24"/>
          <w:lang w:eastAsia="es-ES_tradnl"/>
        </w:rPr>
        <w:t>Igualmente</w:t>
      </w:r>
      <w:r w:rsidR="004C39C9" w:rsidRPr="00205DC0">
        <w:rPr>
          <w:rFonts w:ascii="Arial" w:eastAsia="Calibri" w:hAnsi="Arial" w:cs="Arial"/>
          <w:sz w:val="22"/>
          <w:szCs w:val="24"/>
          <w:lang w:eastAsia="es-ES_tradnl"/>
        </w:rPr>
        <w:t xml:space="preserve">, establece que la entidad otorgará el puntaje que determine para este factor de acuerdo con el número </w:t>
      </w:r>
      <w:r w:rsidR="004C39C9" w:rsidRPr="00152AD5">
        <w:rPr>
          <w:rFonts w:ascii="Arial" w:eastAsia="Calibri" w:hAnsi="Arial" w:cs="Arial"/>
          <w:sz w:val="22"/>
          <w:szCs w:val="24"/>
          <w:lang w:eastAsia="es-ES_tradnl"/>
        </w:rPr>
        <w:t>de meses que el proponente ofrezca como vigencia de la garantía adicional</w:t>
      </w:r>
      <w:r w:rsidR="00152AD5" w:rsidRPr="00152AD5">
        <w:rPr>
          <w:rFonts w:ascii="Arial" w:eastAsia="Calibri" w:hAnsi="Arial" w:cs="Arial"/>
          <w:sz w:val="22"/>
          <w:szCs w:val="24"/>
          <w:lang w:eastAsia="es-ES_tradnl"/>
        </w:rPr>
        <w:t xml:space="preserve">. Sobre este punto es importante precisar que </w:t>
      </w:r>
      <w:r w:rsidR="00152AD5">
        <w:rPr>
          <w:rFonts w:ascii="Arial" w:eastAsia="Calibri" w:hAnsi="Arial" w:cs="Arial"/>
          <w:sz w:val="22"/>
          <w:szCs w:val="24"/>
          <w:lang w:eastAsia="es-ES_tradnl"/>
        </w:rPr>
        <w:t>el número de meses ofertados como garantía adicion</w:t>
      </w:r>
      <w:r w:rsidR="00913C8E">
        <w:rPr>
          <w:rFonts w:ascii="Arial" w:eastAsia="Calibri" w:hAnsi="Arial" w:cs="Arial"/>
          <w:sz w:val="22"/>
          <w:szCs w:val="24"/>
          <w:lang w:eastAsia="es-ES_tradnl"/>
        </w:rPr>
        <w:t xml:space="preserve">al deben estar dentro del tope </w:t>
      </w:r>
      <w:r w:rsidR="00152AD5">
        <w:rPr>
          <w:rFonts w:ascii="Arial" w:eastAsia="Calibri" w:hAnsi="Arial" w:cs="Arial"/>
          <w:sz w:val="22"/>
          <w:szCs w:val="24"/>
          <w:lang w:eastAsia="es-ES_tradnl"/>
        </w:rPr>
        <w:t xml:space="preserve">establecido por la entidad en </w:t>
      </w:r>
      <w:r w:rsidR="000C6F8D">
        <w:rPr>
          <w:rFonts w:ascii="Arial" w:eastAsia="Calibri" w:hAnsi="Arial" w:cs="Arial"/>
          <w:sz w:val="22"/>
          <w:szCs w:val="24"/>
          <w:lang w:eastAsia="es-ES_tradnl"/>
        </w:rPr>
        <w:t xml:space="preserve"> </w:t>
      </w:r>
      <w:r w:rsidR="00593652">
        <w:rPr>
          <w:rFonts w:ascii="Arial" w:eastAsia="Calibri" w:hAnsi="Arial" w:cs="Arial"/>
          <w:sz w:val="22"/>
          <w:szCs w:val="24"/>
          <w:lang w:eastAsia="es-ES_tradnl"/>
        </w:rPr>
        <w:t xml:space="preserve">el </w:t>
      </w:r>
      <w:r w:rsidR="003E54F9">
        <w:rPr>
          <w:rFonts w:ascii="Arial" w:eastAsia="Calibri" w:hAnsi="Arial" w:cs="Arial"/>
          <w:sz w:val="22"/>
          <w:szCs w:val="24"/>
          <w:lang w:eastAsia="es-ES_tradnl"/>
        </w:rPr>
        <w:t xml:space="preserve">numeral </w:t>
      </w:r>
      <w:r w:rsidR="00593652">
        <w:rPr>
          <w:rFonts w:ascii="Arial" w:eastAsia="Calibri" w:hAnsi="Arial" w:cs="Arial"/>
          <w:sz w:val="22"/>
          <w:szCs w:val="24"/>
          <w:lang w:eastAsia="es-ES_tradnl"/>
        </w:rPr>
        <w:t>4.2.4</w:t>
      </w:r>
      <w:r w:rsidR="003E54F9" w:rsidRPr="003E54F9">
        <w:rPr>
          <w:rFonts w:ascii="Arial" w:eastAsia="Calibri" w:hAnsi="Arial" w:cs="Arial"/>
          <w:sz w:val="22"/>
          <w:szCs w:val="24"/>
          <w:lang w:eastAsia="es-ES_tradnl"/>
        </w:rPr>
        <w:t xml:space="preserve"> </w:t>
      </w:r>
      <w:r w:rsidR="003E54F9">
        <w:rPr>
          <w:rFonts w:ascii="Arial" w:eastAsia="Calibri" w:hAnsi="Arial" w:cs="Arial"/>
          <w:sz w:val="22"/>
          <w:szCs w:val="24"/>
          <w:lang w:eastAsia="es-ES_tradnl"/>
        </w:rPr>
        <w:t>del pliego tipo</w:t>
      </w:r>
      <w:r w:rsidR="00274B3E">
        <w:rPr>
          <w:rFonts w:ascii="Arial" w:eastAsia="Calibri" w:hAnsi="Arial" w:cs="Arial"/>
          <w:sz w:val="22"/>
          <w:szCs w:val="24"/>
          <w:lang w:eastAsia="es-ES_tradnl"/>
        </w:rPr>
        <w:t>, el cual</w:t>
      </w:r>
      <w:r w:rsidR="00593652">
        <w:rPr>
          <w:rFonts w:ascii="Arial" w:eastAsia="Calibri" w:hAnsi="Arial" w:cs="Arial"/>
          <w:sz w:val="22"/>
          <w:szCs w:val="24"/>
          <w:lang w:eastAsia="es-ES_tradnl"/>
        </w:rPr>
        <w:t xml:space="preserve"> </w:t>
      </w:r>
      <w:r w:rsidR="002E7617">
        <w:rPr>
          <w:rFonts w:ascii="Arial" w:eastAsia="Calibri" w:hAnsi="Arial" w:cs="Arial"/>
          <w:sz w:val="22"/>
          <w:szCs w:val="24"/>
          <w:lang w:eastAsia="es-ES_tradnl"/>
        </w:rPr>
        <w:t>establece</w:t>
      </w:r>
      <w:r w:rsidR="003E54F9">
        <w:rPr>
          <w:rFonts w:ascii="Arial" w:hAnsi="Arial" w:cs="Arial"/>
          <w:sz w:val="21"/>
          <w:szCs w:val="21"/>
          <w:shd w:val="clear" w:color="auto" w:fill="FFFFFF"/>
          <w:lang w:val="es-ES_tradnl"/>
        </w:rPr>
        <w:t xml:space="preserve"> que</w:t>
      </w:r>
      <w:r w:rsidR="00913C8E" w:rsidRPr="00913C8E">
        <w:rPr>
          <w:rFonts w:ascii="Arial" w:hAnsi="Arial" w:cs="Arial"/>
          <w:sz w:val="21"/>
          <w:szCs w:val="21"/>
          <w:shd w:val="clear" w:color="auto" w:fill="FFFFFF"/>
          <w:lang w:val="es-ES_tradnl"/>
        </w:rPr>
        <w:t xml:space="preserve"> </w:t>
      </w:r>
      <w:r w:rsidR="003E54F9" w:rsidRPr="0067722F">
        <w:rPr>
          <w:rFonts w:ascii="Arial" w:hAnsi="Arial" w:cs="Arial"/>
          <w:sz w:val="22"/>
          <w:shd w:val="clear" w:color="auto" w:fill="FFFFFF"/>
          <w:lang w:val="es-ES_tradnl"/>
        </w:rPr>
        <w:t>«</w:t>
      </w:r>
      <w:r w:rsidR="00913C8E" w:rsidRPr="0067722F">
        <w:rPr>
          <w:rFonts w:ascii="Arial" w:hAnsi="Arial" w:cs="Arial"/>
          <w:sz w:val="22"/>
          <w:highlight w:val="lightGray"/>
          <w:shd w:val="clear" w:color="auto" w:fill="FFFFFF"/>
          <w:lang w:val="es-ES_tradnl"/>
        </w:rPr>
        <w:t>[la entidad deberá indicar el valor en meses máximo que será posible ofertar por parte del proponente.]</w:t>
      </w:r>
      <w:r w:rsidR="003E54F9" w:rsidRPr="0067722F">
        <w:rPr>
          <w:rFonts w:ascii="Arial" w:hAnsi="Arial" w:cs="Arial"/>
          <w:sz w:val="22"/>
          <w:shd w:val="clear" w:color="auto" w:fill="FFFFFF"/>
          <w:lang w:val="es-ES_tradnl"/>
        </w:rPr>
        <w:t>»</w:t>
      </w:r>
      <w:r>
        <w:rPr>
          <w:rFonts w:ascii="Arial" w:eastAsia="Arial" w:hAnsi="Arial" w:cs="Arial"/>
          <w:sz w:val="22"/>
        </w:rPr>
        <w:t xml:space="preserve"> </w:t>
      </w:r>
      <w:r w:rsidR="00221DB1">
        <w:rPr>
          <w:rFonts w:ascii="Arial" w:eastAsia="Arial" w:hAnsi="Arial" w:cs="Arial"/>
          <w:sz w:val="22"/>
        </w:rPr>
        <w:t>Así las cosas</w:t>
      </w:r>
      <w:r w:rsidR="00B15F4A" w:rsidRPr="00A8162E">
        <w:rPr>
          <w:rFonts w:ascii="Arial" w:eastAsia="Arial" w:hAnsi="Arial" w:cs="Arial"/>
          <w:sz w:val="22"/>
        </w:rPr>
        <w:t>, los proponentes estarán en la libertad de ofertar el n</w:t>
      </w:r>
      <w:r w:rsidR="00B15F4A">
        <w:rPr>
          <w:rFonts w:ascii="Arial" w:eastAsia="Arial" w:hAnsi="Arial" w:cs="Arial"/>
          <w:sz w:val="22"/>
        </w:rPr>
        <w:t>ú</w:t>
      </w:r>
      <w:r w:rsidR="00B15F4A" w:rsidRPr="00A8162E">
        <w:rPr>
          <w:rFonts w:ascii="Arial" w:eastAsia="Arial" w:hAnsi="Arial" w:cs="Arial"/>
          <w:sz w:val="22"/>
        </w:rPr>
        <w:t>mero de meses de garantía adicional que est</w:t>
      </w:r>
      <w:r w:rsidR="00274B3E">
        <w:rPr>
          <w:rFonts w:ascii="Arial" w:eastAsia="Arial" w:hAnsi="Arial" w:cs="Arial"/>
          <w:sz w:val="22"/>
        </w:rPr>
        <w:t>én</w:t>
      </w:r>
      <w:r w:rsidR="00B15F4A" w:rsidRPr="00A8162E">
        <w:rPr>
          <w:rFonts w:ascii="Arial" w:eastAsia="Arial" w:hAnsi="Arial" w:cs="Arial"/>
          <w:sz w:val="22"/>
        </w:rPr>
        <w:t xml:space="preserve"> en capacidad de ofrecer, sin rebasar el tope establecido por la e</w:t>
      </w:r>
      <w:r w:rsidR="00B15F4A">
        <w:rPr>
          <w:rFonts w:ascii="Arial" w:eastAsia="Arial" w:hAnsi="Arial" w:cs="Arial"/>
          <w:sz w:val="22"/>
        </w:rPr>
        <w:t>ntidad.</w:t>
      </w:r>
      <w:r w:rsidR="002E7617">
        <w:rPr>
          <w:rFonts w:ascii="Arial" w:eastAsia="Arial" w:hAnsi="Arial" w:cs="Arial"/>
          <w:sz w:val="22"/>
        </w:rPr>
        <w:t xml:space="preserve"> </w:t>
      </w:r>
      <w:r w:rsidR="003E54F9">
        <w:rPr>
          <w:rFonts w:ascii="Arial" w:eastAsia="Arial" w:hAnsi="Arial" w:cs="Arial"/>
          <w:sz w:val="22"/>
        </w:rPr>
        <w:t>Por otra parte</w:t>
      </w:r>
      <w:bookmarkEnd w:id="9"/>
      <w:r w:rsidR="00702D5D">
        <w:rPr>
          <w:rFonts w:ascii="Arial" w:eastAsia="Arial" w:hAnsi="Arial" w:cs="Arial"/>
          <w:sz w:val="22"/>
        </w:rPr>
        <w:t>, e</w:t>
      </w:r>
      <w:r w:rsidR="00E96DEA" w:rsidRPr="00E96DEA">
        <w:rPr>
          <w:rFonts w:ascii="Arial" w:eastAsia="Arial" w:hAnsi="Arial" w:cs="Arial"/>
          <w:sz w:val="22"/>
        </w:rPr>
        <w:t xml:space="preserve">n cuanto a </w:t>
      </w:r>
      <w:r w:rsidR="00291854" w:rsidRPr="00E96DEA">
        <w:rPr>
          <w:rFonts w:ascii="Arial" w:eastAsia="Arial" w:hAnsi="Arial" w:cs="Arial"/>
          <w:sz w:val="22"/>
        </w:rPr>
        <w:t xml:space="preserve">la frecuencia </w:t>
      </w:r>
      <w:r w:rsidR="00E96DEA">
        <w:rPr>
          <w:rFonts w:ascii="Arial" w:eastAsia="Arial" w:hAnsi="Arial" w:cs="Arial"/>
          <w:sz w:val="22"/>
        </w:rPr>
        <w:t xml:space="preserve">para </w:t>
      </w:r>
      <w:r w:rsidR="00291854" w:rsidRPr="00E96DEA">
        <w:rPr>
          <w:rFonts w:ascii="Arial" w:eastAsia="Arial" w:hAnsi="Arial" w:cs="Arial"/>
          <w:sz w:val="22"/>
        </w:rPr>
        <w:t xml:space="preserve">el seguimiento a la garantía adicional o suplementaria, </w:t>
      </w:r>
      <w:r w:rsidR="00D32AF5" w:rsidRPr="00E96DEA">
        <w:rPr>
          <w:rFonts w:ascii="Arial" w:eastAsia="Arial" w:hAnsi="Arial" w:cs="Arial"/>
          <w:sz w:val="22"/>
        </w:rPr>
        <w:t xml:space="preserve">el </w:t>
      </w:r>
      <w:r w:rsidR="000E7F0F" w:rsidRPr="00E96DEA">
        <w:rPr>
          <w:rFonts w:ascii="Arial" w:eastAsia="Arial" w:hAnsi="Arial" w:cs="Arial"/>
          <w:sz w:val="22"/>
        </w:rPr>
        <w:t>«</w:t>
      </w:r>
      <w:r w:rsidR="004C39C9">
        <w:rPr>
          <w:rFonts w:ascii="Arial" w:eastAsia="Arial" w:hAnsi="Arial" w:cs="Arial"/>
          <w:sz w:val="22"/>
        </w:rPr>
        <w:t>D</w:t>
      </w:r>
      <w:r w:rsidR="00D32AF5" w:rsidRPr="00E96DEA">
        <w:rPr>
          <w:rFonts w:ascii="Arial" w:eastAsia="Arial" w:hAnsi="Arial" w:cs="Arial"/>
          <w:sz w:val="22"/>
        </w:rPr>
        <w:t xml:space="preserve">ocumento </w:t>
      </w:r>
      <w:r w:rsidR="009E27E2">
        <w:rPr>
          <w:rFonts w:ascii="Arial" w:eastAsia="Arial" w:hAnsi="Arial" w:cs="Arial"/>
          <w:sz w:val="22"/>
        </w:rPr>
        <w:t>B</w:t>
      </w:r>
      <w:r w:rsidR="00D32AF5" w:rsidRPr="00E96DEA">
        <w:rPr>
          <w:rFonts w:ascii="Arial" w:eastAsia="Arial" w:hAnsi="Arial" w:cs="Arial"/>
          <w:sz w:val="22"/>
        </w:rPr>
        <w:t>ase</w:t>
      </w:r>
      <w:r w:rsidR="000E7F0F" w:rsidRPr="00E96DEA">
        <w:rPr>
          <w:rFonts w:ascii="Arial" w:eastAsia="Arial" w:hAnsi="Arial" w:cs="Arial"/>
          <w:sz w:val="22"/>
        </w:rPr>
        <w:t>»</w:t>
      </w:r>
      <w:r w:rsidR="00593652">
        <w:rPr>
          <w:rFonts w:ascii="Arial" w:eastAsia="Arial" w:hAnsi="Arial" w:cs="Arial"/>
          <w:sz w:val="22"/>
        </w:rPr>
        <w:t xml:space="preserve"> estableció en el numeral IX, lo siguiente:</w:t>
      </w:r>
      <w:r w:rsidR="00D32AF5" w:rsidRPr="00E96DEA">
        <w:rPr>
          <w:rFonts w:ascii="Arial" w:eastAsia="Arial" w:hAnsi="Arial" w:cs="Arial"/>
          <w:sz w:val="22"/>
        </w:rPr>
        <w:t xml:space="preserve"> </w:t>
      </w:r>
    </w:p>
    <w:p w14:paraId="722C3819" w14:textId="77777777" w:rsidR="003E54F9" w:rsidRPr="00E96DEA" w:rsidRDefault="003E54F9" w:rsidP="0067722F">
      <w:pPr>
        <w:spacing w:line="276" w:lineRule="auto"/>
        <w:ind w:firstLine="709"/>
        <w:jc w:val="both"/>
        <w:rPr>
          <w:rFonts w:ascii="Arial" w:eastAsia="Arial" w:hAnsi="Arial" w:cs="Arial"/>
          <w:sz w:val="22"/>
        </w:rPr>
      </w:pPr>
    </w:p>
    <w:p w14:paraId="23C18CB1" w14:textId="7319E22D" w:rsidR="00D32AF5" w:rsidRDefault="00593652" w:rsidP="00C8061B">
      <w:pPr>
        <w:ind w:left="709" w:right="709"/>
        <w:jc w:val="both"/>
        <w:rPr>
          <w:rFonts w:ascii="Arial" w:eastAsia="Calibri" w:hAnsi="Arial" w:cs="Arial"/>
          <w:sz w:val="21"/>
          <w:szCs w:val="21"/>
        </w:rPr>
      </w:pPr>
      <w:r>
        <w:rPr>
          <w:rFonts w:ascii="Arial" w:eastAsia="Calibri" w:hAnsi="Arial" w:cs="Arial"/>
          <w:sz w:val="21"/>
          <w:szCs w:val="21"/>
        </w:rPr>
        <w:t xml:space="preserve">IX.  </w:t>
      </w:r>
      <w:r w:rsidR="00D32AF5" w:rsidRPr="00E96DEA">
        <w:rPr>
          <w:rFonts w:ascii="Arial" w:eastAsia="Calibri" w:hAnsi="Arial" w:cs="Arial"/>
          <w:sz w:val="21"/>
          <w:szCs w:val="21"/>
        </w:rPr>
        <w:t>E</w:t>
      </w:r>
      <w:r w:rsidR="00D32AF5" w:rsidRPr="00E96DEA">
        <w:rPr>
          <w:rFonts w:ascii="Arial" w:hAnsi="Arial" w:cs="Arial"/>
          <w:sz w:val="21"/>
          <w:szCs w:val="21"/>
          <w:shd w:val="clear" w:color="auto" w:fill="FFFFFF"/>
          <w:lang w:val="es-ES_tradnl"/>
        </w:rPr>
        <w:t>l seguimiento al cumplimiento de la Garantía Suplementaria se realizará en los términos del numeral 4 del artículo 4 de la Ley 80 de 1993</w:t>
      </w:r>
      <w:r w:rsidR="00291854" w:rsidRPr="00E96DEA">
        <w:rPr>
          <w:rStyle w:val="Refdenotaalpie"/>
          <w:rFonts w:ascii="Arial" w:hAnsi="Arial" w:cs="Arial"/>
          <w:sz w:val="21"/>
          <w:szCs w:val="21"/>
          <w:shd w:val="clear" w:color="auto" w:fill="FFFFFF"/>
          <w:lang w:val="es-ES_tradnl"/>
        </w:rPr>
        <w:footnoteReference w:id="15"/>
      </w:r>
      <w:r w:rsidR="00D32AF5" w:rsidRPr="00E96DEA">
        <w:rPr>
          <w:rFonts w:ascii="Arial" w:hAnsi="Arial" w:cs="Arial"/>
          <w:sz w:val="21"/>
          <w:szCs w:val="21"/>
          <w:shd w:val="clear" w:color="auto" w:fill="FFFFFF"/>
          <w:lang w:val="es-ES_tradnl"/>
        </w:rPr>
        <w:t xml:space="preserve"> por la persona designada por la entidad. Cuando no se realice la designación, el contratista deberá realizar el seguimiento como mínimo en la frecuencia que determine en el Formato 7D – Garantía Suplementaria o Adicional durante la vigencia de la Garantía Suplementaria o Adicional ofrecida</w:t>
      </w:r>
      <w:r w:rsidR="00D32AF5" w:rsidRPr="00E96DEA">
        <w:rPr>
          <w:rFonts w:ascii="Arial" w:eastAsia="Calibri" w:hAnsi="Arial" w:cs="Arial"/>
          <w:sz w:val="21"/>
          <w:szCs w:val="21"/>
        </w:rPr>
        <w:t xml:space="preserve">. </w:t>
      </w:r>
    </w:p>
    <w:p w14:paraId="03F51847" w14:textId="77777777" w:rsidR="004C39C9" w:rsidRPr="00E96DEA" w:rsidRDefault="004C39C9" w:rsidP="00C8061B">
      <w:pPr>
        <w:ind w:left="709" w:right="709"/>
        <w:jc w:val="both"/>
        <w:rPr>
          <w:rFonts w:ascii="Arial" w:eastAsia="Calibri" w:hAnsi="Arial" w:cs="Arial"/>
          <w:sz w:val="22"/>
        </w:rPr>
      </w:pPr>
    </w:p>
    <w:p w14:paraId="28A67081" w14:textId="4ED11B48" w:rsidR="004C39C9" w:rsidRDefault="00D32AF5" w:rsidP="002F77A1">
      <w:pPr>
        <w:spacing w:line="276" w:lineRule="auto"/>
        <w:ind w:firstLine="709"/>
        <w:jc w:val="both"/>
        <w:rPr>
          <w:rFonts w:ascii="Arial" w:eastAsia="Calibri" w:hAnsi="Arial" w:cs="Arial"/>
          <w:sz w:val="22"/>
        </w:rPr>
      </w:pPr>
      <w:r w:rsidRPr="00E96DEA">
        <w:rPr>
          <w:rFonts w:ascii="Arial" w:eastAsia="Calibri" w:hAnsi="Arial" w:cs="Arial"/>
          <w:sz w:val="22"/>
        </w:rPr>
        <w:lastRenderedPageBreak/>
        <w:t>Por su parte el Formulario 7D</w:t>
      </w:r>
      <w:r w:rsidR="00E96DEA">
        <w:rPr>
          <w:rFonts w:ascii="Arial" w:eastAsia="Calibri" w:hAnsi="Arial" w:cs="Arial"/>
          <w:sz w:val="22"/>
        </w:rPr>
        <w:t>,</w:t>
      </w:r>
      <w:r w:rsidRPr="00E96DEA">
        <w:rPr>
          <w:rFonts w:ascii="Arial" w:eastAsia="Calibri" w:hAnsi="Arial" w:cs="Arial"/>
          <w:sz w:val="22"/>
        </w:rPr>
        <w:t xml:space="preserve"> </w:t>
      </w:r>
      <w:r w:rsidR="00E96DEA">
        <w:rPr>
          <w:rFonts w:ascii="Arial" w:eastAsia="Calibri" w:hAnsi="Arial" w:cs="Arial"/>
          <w:sz w:val="22"/>
        </w:rPr>
        <w:t xml:space="preserve">a diligenciar por el oferente, </w:t>
      </w:r>
      <w:r w:rsidRPr="00E96DEA">
        <w:rPr>
          <w:rFonts w:ascii="Arial" w:eastAsia="Calibri" w:hAnsi="Arial" w:cs="Arial"/>
          <w:sz w:val="22"/>
        </w:rPr>
        <w:t xml:space="preserve">señaló: </w:t>
      </w:r>
    </w:p>
    <w:p w14:paraId="471066C8" w14:textId="77777777" w:rsidR="003E54F9" w:rsidRPr="00E96DEA" w:rsidRDefault="003E54F9" w:rsidP="002F77A1">
      <w:pPr>
        <w:spacing w:line="276" w:lineRule="auto"/>
        <w:ind w:firstLine="709"/>
        <w:jc w:val="both"/>
        <w:rPr>
          <w:rFonts w:ascii="Arial" w:eastAsia="Calibri" w:hAnsi="Arial" w:cs="Arial"/>
          <w:sz w:val="22"/>
        </w:rPr>
      </w:pPr>
    </w:p>
    <w:p w14:paraId="1F66A622" w14:textId="780A926A" w:rsidR="00D32AF5" w:rsidRPr="002F77A1" w:rsidRDefault="00D32AF5" w:rsidP="0067722F">
      <w:pPr>
        <w:ind w:left="709" w:right="709"/>
        <w:jc w:val="both"/>
        <w:rPr>
          <w:rFonts w:eastAsiaTheme="minorEastAsia" w:cs="Arial"/>
          <w:sz w:val="20"/>
          <w:szCs w:val="20"/>
        </w:rPr>
      </w:pPr>
      <w:r w:rsidRPr="00E96DEA">
        <w:rPr>
          <w:rFonts w:ascii="Arial" w:hAnsi="Arial" w:cs="Arial"/>
          <w:sz w:val="21"/>
          <w:szCs w:val="21"/>
          <w:shd w:val="clear" w:color="auto" w:fill="FFFFFF"/>
          <w:lang w:val="es-ES_tradnl"/>
        </w:rPr>
        <w:t xml:space="preserve">Adicionalmente, cuando la entidad no realice la designación de una persona para realizar el seguimiento al cumplimiento de la garantía en los términos del numeral 4 del artículo 4 de la Ley 80 de 1993, manifiesto el compromiso de realizar seguimiento al menos </w:t>
      </w:r>
      <w:r w:rsidRPr="00CD0562">
        <w:rPr>
          <w:rFonts w:ascii="Arial" w:hAnsi="Arial" w:cs="Arial"/>
          <w:sz w:val="21"/>
          <w:szCs w:val="21"/>
          <w:highlight w:val="lightGray"/>
          <w:shd w:val="clear" w:color="auto" w:fill="FFFFFF"/>
          <w:lang w:val="es-ES_tradnl"/>
        </w:rPr>
        <w:t>[señalar el número de veces]</w:t>
      </w:r>
      <w:r w:rsidRPr="00E96DEA">
        <w:rPr>
          <w:rFonts w:ascii="Arial" w:hAnsi="Arial" w:cs="Arial"/>
          <w:sz w:val="21"/>
          <w:szCs w:val="21"/>
          <w:shd w:val="clear" w:color="auto" w:fill="FFFFFF"/>
          <w:lang w:val="es-ES_tradnl"/>
        </w:rPr>
        <w:t xml:space="preserve"> cada </w:t>
      </w:r>
      <w:r w:rsidRPr="00CD0562">
        <w:rPr>
          <w:rFonts w:ascii="Arial" w:hAnsi="Arial" w:cs="Arial"/>
          <w:sz w:val="21"/>
          <w:szCs w:val="21"/>
          <w:highlight w:val="lightGray"/>
          <w:shd w:val="clear" w:color="auto" w:fill="FFFFFF"/>
          <w:lang w:val="es-ES_tradnl"/>
        </w:rPr>
        <w:t>[señalar el periodo de tiempo]</w:t>
      </w:r>
      <w:r w:rsidRPr="00E96DEA">
        <w:rPr>
          <w:rFonts w:ascii="Arial" w:hAnsi="Arial" w:cs="Arial"/>
          <w:sz w:val="21"/>
          <w:szCs w:val="21"/>
          <w:shd w:val="clear" w:color="auto" w:fill="FFFFFF"/>
          <w:lang w:val="es-ES_tradnl"/>
        </w:rPr>
        <w:t xml:space="preserve"> durante la vigencia de la Garantía Suplementaria o Adicional ofrecida</w:t>
      </w:r>
      <w:r w:rsidRPr="00E96DEA">
        <w:rPr>
          <w:rFonts w:eastAsiaTheme="minorEastAsia" w:cs="Arial"/>
          <w:sz w:val="20"/>
          <w:szCs w:val="20"/>
        </w:rPr>
        <w:t>.</w:t>
      </w:r>
    </w:p>
    <w:p w14:paraId="306DE15E" w14:textId="77777777" w:rsidR="003E54F9" w:rsidRDefault="003E54F9" w:rsidP="0067722F">
      <w:pPr>
        <w:spacing w:line="276" w:lineRule="auto"/>
        <w:ind w:firstLine="709"/>
        <w:jc w:val="both"/>
        <w:rPr>
          <w:rFonts w:ascii="Arial" w:eastAsiaTheme="minorEastAsia" w:hAnsi="Arial" w:cs="Arial"/>
          <w:sz w:val="22"/>
        </w:rPr>
      </w:pPr>
    </w:p>
    <w:p w14:paraId="3E9F51DC" w14:textId="0FA10C9F" w:rsidR="00862FD9" w:rsidRPr="00152AD5" w:rsidRDefault="00A62356" w:rsidP="002F77A1">
      <w:pPr>
        <w:spacing w:before="120" w:after="120" w:line="276" w:lineRule="auto"/>
        <w:ind w:firstLine="709"/>
        <w:jc w:val="both"/>
        <w:rPr>
          <w:rFonts w:ascii="Arial" w:eastAsiaTheme="minorEastAsia" w:hAnsi="Arial" w:cs="Arial"/>
          <w:sz w:val="22"/>
        </w:rPr>
      </w:pPr>
      <w:r w:rsidRPr="00152AD5">
        <w:rPr>
          <w:rFonts w:ascii="Arial" w:eastAsiaTheme="minorEastAsia" w:hAnsi="Arial" w:cs="Arial"/>
          <w:sz w:val="22"/>
        </w:rPr>
        <w:t>E</w:t>
      </w:r>
      <w:r w:rsidR="00862FD9" w:rsidRPr="00152AD5">
        <w:rPr>
          <w:rFonts w:ascii="Arial" w:eastAsiaTheme="minorEastAsia" w:hAnsi="Arial" w:cs="Arial"/>
          <w:sz w:val="22"/>
        </w:rPr>
        <w:t>n virtud de lo dispuesto en el numeral 4 del artículo 4 de la Ley 80 de 1993, corresponde a la entidad contratante realizar revisiones periódicas para verificar que se cumplan las condiciones de calidad de la obra, las cuales deberán realizar, como mínimo, cada seis (6) meses durante el término de vigencia de la garantía.</w:t>
      </w:r>
      <w:r w:rsidRPr="00152AD5">
        <w:rPr>
          <w:rFonts w:ascii="Arial" w:eastAsiaTheme="minorEastAsia" w:hAnsi="Arial" w:cs="Arial"/>
          <w:sz w:val="22"/>
        </w:rPr>
        <w:t xml:space="preserve"> A efectos de aplicar este seguimiento respecto de la garantía suplementaria, el apartado transcrito del Documento Base hace referencia al deber de la entidad de designar a una persona que se encargue de verificar el cumplimiento de esta garantía de acuerdo con la frecuencia mínima indicada en la norma, sin perjuicio que la entidad disponga realizar </w:t>
      </w:r>
      <w:r w:rsidR="00702D5D" w:rsidRPr="00152AD5">
        <w:rPr>
          <w:rFonts w:ascii="Arial" w:eastAsiaTheme="minorEastAsia" w:hAnsi="Arial" w:cs="Arial"/>
          <w:sz w:val="22"/>
        </w:rPr>
        <w:t>las revisiones</w:t>
      </w:r>
      <w:r w:rsidRPr="00152AD5">
        <w:rPr>
          <w:rFonts w:ascii="Arial" w:eastAsiaTheme="minorEastAsia" w:hAnsi="Arial" w:cs="Arial"/>
          <w:sz w:val="22"/>
        </w:rPr>
        <w:t xml:space="preserve"> </w:t>
      </w:r>
      <w:r w:rsidR="00702D5D" w:rsidRPr="00152AD5">
        <w:rPr>
          <w:rFonts w:ascii="Arial" w:eastAsiaTheme="minorEastAsia" w:hAnsi="Arial" w:cs="Arial"/>
          <w:sz w:val="22"/>
        </w:rPr>
        <w:t xml:space="preserve">con </w:t>
      </w:r>
      <w:r w:rsidRPr="00152AD5">
        <w:rPr>
          <w:rFonts w:ascii="Arial" w:eastAsiaTheme="minorEastAsia" w:hAnsi="Arial" w:cs="Arial"/>
          <w:sz w:val="22"/>
        </w:rPr>
        <w:t xml:space="preserve">una frecuencia menor. </w:t>
      </w:r>
    </w:p>
    <w:p w14:paraId="01382BE0" w14:textId="07B34E4D" w:rsidR="00FA128B" w:rsidRDefault="00702D5D" w:rsidP="002F77A1">
      <w:pPr>
        <w:spacing w:before="120" w:after="120" w:line="276" w:lineRule="auto"/>
        <w:ind w:firstLine="709"/>
        <w:jc w:val="both"/>
        <w:rPr>
          <w:rFonts w:ascii="Arial" w:eastAsiaTheme="minorEastAsia" w:hAnsi="Arial" w:cs="Arial"/>
          <w:sz w:val="22"/>
        </w:rPr>
      </w:pPr>
      <w:r w:rsidRPr="00152AD5">
        <w:rPr>
          <w:rFonts w:ascii="Arial" w:eastAsiaTheme="minorEastAsia" w:hAnsi="Arial" w:cs="Arial"/>
          <w:sz w:val="22"/>
        </w:rPr>
        <w:t xml:space="preserve">Como se establece en el </w:t>
      </w:r>
      <w:r w:rsidR="003E54F9">
        <w:rPr>
          <w:rFonts w:ascii="Arial" w:eastAsiaTheme="minorEastAsia" w:hAnsi="Arial" w:cs="Arial"/>
          <w:sz w:val="22"/>
        </w:rPr>
        <w:t>d</w:t>
      </w:r>
      <w:r w:rsidR="003E54F9" w:rsidRPr="00152AD5">
        <w:rPr>
          <w:rFonts w:ascii="Arial" w:eastAsiaTheme="minorEastAsia" w:hAnsi="Arial" w:cs="Arial"/>
          <w:sz w:val="22"/>
        </w:rPr>
        <w:t xml:space="preserve">ocumento </w:t>
      </w:r>
      <w:r w:rsidR="003E54F9">
        <w:rPr>
          <w:rFonts w:ascii="Arial" w:eastAsiaTheme="minorEastAsia" w:hAnsi="Arial" w:cs="Arial"/>
          <w:sz w:val="22"/>
        </w:rPr>
        <w:t>b</w:t>
      </w:r>
      <w:r w:rsidR="003E54F9" w:rsidRPr="00152AD5">
        <w:rPr>
          <w:rFonts w:ascii="Arial" w:eastAsiaTheme="minorEastAsia" w:hAnsi="Arial" w:cs="Arial"/>
          <w:sz w:val="22"/>
        </w:rPr>
        <w:t>ase</w:t>
      </w:r>
      <w:r w:rsidRPr="00152AD5">
        <w:rPr>
          <w:rFonts w:ascii="Arial" w:eastAsiaTheme="minorEastAsia" w:hAnsi="Arial" w:cs="Arial"/>
          <w:sz w:val="22"/>
        </w:rPr>
        <w:t>, e</w:t>
      </w:r>
      <w:r w:rsidR="00B761B6" w:rsidRPr="00152AD5">
        <w:rPr>
          <w:rFonts w:ascii="Arial" w:eastAsiaTheme="minorEastAsia" w:hAnsi="Arial" w:cs="Arial"/>
          <w:sz w:val="22"/>
        </w:rPr>
        <w:t xml:space="preserve">n el evento </w:t>
      </w:r>
      <w:r w:rsidR="00274B3E">
        <w:rPr>
          <w:rFonts w:ascii="Arial" w:eastAsiaTheme="minorEastAsia" w:hAnsi="Arial" w:cs="Arial"/>
          <w:sz w:val="22"/>
        </w:rPr>
        <w:t xml:space="preserve">de </w:t>
      </w:r>
      <w:r w:rsidR="00B761B6" w:rsidRPr="00152AD5">
        <w:rPr>
          <w:rFonts w:ascii="Arial" w:eastAsiaTheme="minorEastAsia" w:hAnsi="Arial" w:cs="Arial"/>
          <w:sz w:val="22"/>
        </w:rPr>
        <w:t xml:space="preserve">que la entidad no realice </w:t>
      </w:r>
      <w:r w:rsidR="00864A61" w:rsidRPr="00152AD5">
        <w:rPr>
          <w:rFonts w:ascii="Arial" w:eastAsiaTheme="minorEastAsia" w:hAnsi="Arial" w:cs="Arial"/>
          <w:sz w:val="22"/>
        </w:rPr>
        <w:t xml:space="preserve">la anterior designación, </w:t>
      </w:r>
      <w:r w:rsidR="00B761B6" w:rsidRPr="00152AD5">
        <w:rPr>
          <w:rFonts w:ascii="Arial" w:eastAsiaTheme="minorEastAsia" w:hAnsi="Arial" w:cs="Arial"/>
          <w:sz w:val="22"/>
        </w:rPr>
        <w:t xml:space="preserve">el oferente debe proponer </w:t>
      </w:r>
      <w:r w:rsidR="00850EFF" w:rsidRPr="00152AD5">
        <w:rPr>
          <w:rFonts w:ascii="Arial" w:eastAsiaTheme="minorEastAsia" w:hAnsi="Arial" w:cs="Arial"/>
          <w:sz w:val="22"/>
        </w:rPr>
        <w:t xml:space="preserve">de manera autónoma y libre </w:t>
      </w:r>
      <w:r w:rsidR="00B761B6" w:rsidRPr="00152AD5">
        <w:rPr>
          <w:rFonts w:ascii="Arial" w:eastAsiaTheme="minorEastAsia" w:hAnsi="Arial" w:cs="Arial"/>
          <w:sz w:val="22"/>
        </w:rPr>
        <w:t xml:space="preserve">en el Formato 7D </w:t>
      </w:r>
      <w:r w:rsidR="00864A61" w:rsidRPr="00152AD5">
        <w:rPr>
          <w:rFonts w:ascii="Arial" w:eastAsiaTheme="minorEastAsia" w:hAnsi="Arial" w:cs="Arial"/>
          <w:sz w:val="22"/>
        </w:rPr>
        <w:t>una frecuencia</w:t>
      </w:r>
      <w:r w:rsidR="00CB1768" w:rsidRPr="00152AD5">
        <w:rPr>
          <w:rFonts w:ascii="Arial" w:eastAsiaTheme="minorEastAsia" w:hAnsi="Arial" w:cs="Arial"/>
          <w:sz w:val="22"/>
        </w:rPr>
        <w:t xml:space="preserve"> mínima</w:t>
      </w:r>
      <w:r w:rsidR="00850EFF" w:rsidRPr="00152AD5">
        <w:rPr>
          <w:rFonts w:ascii="Arial" w:eastAsiaTheme="minorEastAsia" w:hAnsi="Arial" w:cs="Arial"/>
          <w:sz w:val="22"/>
        </w:rPr>
        <w:t xml:space="preserve"> al momento de presentar la oferta</w:t>
      </w:r>
      <w:r w:rsidR="00B761B6" w:rsidRPr="00152AD5">
        <w:rPr>
          <w:rFonts w:ascii="Arial" w:eastAsiaTheme="minorEastAsia" w:hAnsi="Arial" w:cs="Arial"/>
          <w:sz w:val="22"/>
        </w:rPr>
        <w:t xml:space="preserve">. </w:t>
      </w:r>
      <w:r w:rsidR="00850EFF" w:rsidRPr="00152AD5">
        <w:rPr>
          <w:rFonts w:ascii="Arial" w:eastAsiaTheme="minorEastAsia" w:hAnsi="Arial" w:cs="Arial"/>
          <w:sz w:val="22"/>
        </w:rPr>
        <w:t>En este caso</w:t>
      </w:r>
      <w:r w:rsidR="00274B3E">
        <w:rPr>
          <w:rFonts w:ascii="Arial" w:eastAsiaTheme="minorEastAsia" w:hAnsi="Arial" w:cs="Arial"/>
          <w:sz w:val="22"/>
        </w:rPr>
        <w:t>,</w:t>
      </w:r>
      <w:r w:rsidR="00850EFF" w:rsidRPr="00152AD5">
        <w:rPr>
          <w:rFonts w:ascii="Arial" w:eastAsiaTheme="minorEastAsia" w:hAnsi="Arial" w:cs="Arial"/>
          <w:sz w:val="22"/>
        </w:rPr>
        <w:t xml:space="preserve"> el seguimiento de la garantía suplementaria lo realizará el contratista en los términos de la frecuencia ofrecida</w:t>
      </w:r>
      <w:r w:rsidR="000626DD" w:rsidRPr="00152AD5">
        <w:rPr>
          <w:rFonts w:ascii="Arial" w:eastAsiaTheme="minorEastAsia" w:hAnsi="Arial" w:cs="Arial"/>
          <w:sz w:val="22"/>
        </w:rPr>
        <w:t>,</w:t>
      </w:r>
      <w:r w:rsidR="00850EFF" w:rsidRPr="00152AD5">
        <w:rPr>
          <w:rFonts w:ascii="Arial" w:eastAsiaTheme="minorEastAsia" w:hAnsi="Arial" w:cs="Arial"/>
          <w:sz w:val="22"/>
        </w:rPr>
        <w:t xml:space="preserve"> </w:t>
      </w:r>
      <w:r w:rsidR="000626DD" w:rsidRPr="00152AD5">
        <w:rPr>
          <w:rFonts w:ascii="Arial" w:eastAsiaTheme="minorEastAsia" w:hAnsi="Arial" w:cs="Arial"/>
          <w:sz w:val="22"/>
        </w:rPr>
        <w:t>o</w:t>
      </w:r>
      <w:r w:rsidR="00CB1768" w:rsidRPr="00152AD5">
        <w:rPr>
          <w:rFonts w:ascii="Arial" w:eastAsiaTheme="minorEastAsia" w:hAnsi="Arial" w:cs="Arial"/>
          <w:sz w:val="22"/>
        </w:rPr>
        <w:t>bligándo</w:t>
      </w:r>
      <w:r w:rsidR="00850EFF" w:rsidRPr="00152AD5">
        <w:rPr>
          <w:rFonts w:ascii="Arial" w:eastAsiaTheme="minorEastAsia" w:hAnsi="Arial" w:cs="Arial"/>
          <w:sz w:val="22"/>
        </w:rPr>
        <w:t>se</w:t>
      </w:r>
      <w:r w:rsidR="00CB1768" w:rsidRPr="00152AD5">
        <w:rPr>
          <w:rFonts w:ascii="Arial" w:eastAsiaTheme="minorEastAsia" w:hAnsi="Arial" w:cs="Arial"/>
          <w:sz w:val="22"/>
        </w:rPr>
        <w:t xml:space="preserve"> </w:t>
      </w:r>
      <w:r w:rsidR="00FA128B" w:rsidRPr="00152AD5">
        <w:rPr>
          <w:rFonts w:ascii="Arial" w:eastAsiaTheme="minorEastAsia" w:hAnsi="Arial" w:cs="Arial"/>
          <w:sz w:val="22"/>
        </w:rPr>
        <w:t xml:space="preserve">a realizar el seguimiento en </w:t>
      </w:r>
      <w:r w:rsidR="00CB1768" w:rsidRPr="00152AD5">
        <w:rPr>
          <w:rFonts w:ascii="Arial" w:eastAsiaTheme="minorEastAsia" w:hAnsi="Arial" w:cs="Arial"/>
          <w:sz w:val="22"/>
        </w:rPr>
        <w:t xml:space="preserve">los </w:t>
      </w:r>
      <w:r w:rsidR="00FA128B" w:rsidRPr="00152AD5">
        <w:rPr>
          <w:rFonts w:ascii="Arial" w:eastAsiaTheme="minorEastAsia" w:hAnsi="Arial" w:cs="Arial"/>
          <w:sz w:val="22"/>
        </w:rPr>
        <w:t>términos</w:t>
      </w:r>
      <w:r w:rsidR="00CB1768" w:rsidRPr="00152AD5">
        <w:rPr>
          <w:rFonts w:ascii="Arial" w:eastAsiaTheme="minorEastAsia" w:hAnsi="Arial" w:cs="Arial"/>
          <w:sz w:val="22"/>
        </w:rPr>
        <w:t xml:space="preserve"> </w:t>
      </w:r>
      <w:r w:rsidR="004B1AFD" w:rsidRPr="00152AD5">
        <w:rPr>
          <w:rFonts w:ascii="Arial" w:eastAsiaTheme="minorEastAsia" w:hAnsi="Arial" w:cs="Arial"/>
          <w:sz w:val="22"/>
        </w:rPr>
        <w:t xml:space="preserve">indicados </w:t>
      </w:r>
      <w:r w:rsidR="006C6528" w:rsidRPr="00152AD5">
        <w:rPr>
          <w:rFonts w:ascii="Arial" w:eastAsiaTheme="minorEastAsia" w:hAnsi="Arial" w:cs="Arial"/>
          <w:sz w:val="22"/>
        </w:rPr>
        <w:t>por él</w:t>
      </w:r>
      <w:r w:rsidR="00FA128B" w:rsidRPr="00152AD5">
        <w:rPr>
          <w:rFonts w:ascii="Arial" w:eastAsiaTheme="minorEastAsia" w:hAnsi="Arial" w:cs="Arial"/>
          <w:sz w:val="22"/>
        </w:rPr>
        <w:t>, pero solo cuando la entidad</w:t>
      </w:r>
      <w:r w:rsidR="00071077" w:rsidRPr="00152AD5">
        <w:rPr>
          <w:rFonts w:ascii="Arial" w:eastAsiaTheme="minorEastAsia" w:hAnsi="Arial" w:cs="Arial"/>
          <w:sz w:val="22"/>
        </w:rPr>
        <w:t xml:space="preserve"> no</w:t>
      </w:r>
      <w:r w:rsidR="00FA128B" w:rsidRPr="00152AD5">
        <w:rPr>
          <w:rFonts w:ascii="Arial" w:eastAsiaTheme="minorEastAsia" w:hAnsi="Arial" w:cs="Arial"/>
          <w:sz w:val="22"/>
        </w:rPr>
        <w:t xml:space="preserve"> ha designado una persona para hacerlo, </w:t>
      </w:r>
      <w:r w:rsidR="00CB1768" w:rsidRPr="00152AD5">
        <w:rPr>
          <w:rFonts w:ascii="Arial" w:eastAsiaTheme="minorEastAsia" w:hAnsi="Arial" w:cs="Arial"/>
          <w:sz w:val="22"/>
        </w:rPr>
        <w:t>de acuerdo con el</w:t>
      </w:r>
      <w:r w:rsidR="00FA128B" w:rsidRPr="00152AD5">
        <w:rPr>
          <w:rFonts w:ascii="Arial" w:eastAsiaTheme="minorEastAsia" w:hAnsi="Arial" w:cs="Arial"/>
          <w:sz w:val="22"/>
        </w:rPr>
        <w:t xml:space="preserve"> numeral 4 del artículo 4 de la Ley 80 de 1993</w:t>
      </w:r>
      <w:r w:rsidR="00CB1768" w:rsidRPr="00152AD5">
        <w:rPr>
          <w:rFonts w:ascii="Arial" w:eastAsiaTheme="minorEastAsia" w:hAnsi="Arial" w:cs="Arial"/>
          <w:sz w:val="22"/>
        </w:rPr>
        <w:t xml:space="preserve">, </w:t>
      </w:r>
      <w:r w:rsidR="00FA128B" w:rsidRPr="00152AD5">
        <w:rPr>
          <w:rFonts w:ascii="Arial" w:eastAsiaTheme="minorEastAsia" w:hAnsi="Arial" w:cs="Arial"/>
          <w:sz w:val="22"/>
        </w:rPr>
        <w:t>el Documento Base</w:t>
      </w:r>
      <w:r w:rsidR="00CB1768" w:rsidRPr="00152AD5">
        <w:rPr>
          <w:rFonts w:ascii="Arial" w:eastAsiaTheme="minorEastAsia" w:hAnsi="Arial" w:cs="Arial"/>
          <w:sz w:val="22"/>
        </w:rPr>
        <w:t xml:space="preserve"> y el Formato 7D</w:t>
      </w:r>
      <w:r w:rsidR="00FA128B" w:rsidRPr="00152AD5">
        <w:rPr>
          <w:rFonts w:ascii="Arial" w:eastAsiaTheme="minorEastAsia" w:hAnsi="Arial" w:cs="Arial"/>
          <w:sz w:val="22"/>
        </w:rPr>
        <w:t xml:space="preserve">. </w:t>
      </w:r>
    </w:p>
    <w:p w14:paraId="3952D46D" w14:textId="70338619" w:rsidR="00071287" w:rsidRPr="00071287" w:rsidRDefault="00071287" w:rsidP="002F77A1">
      <w:pPr>
        <w:spacing w:before="120" w:after="120" w:line="276" w:lineRule="auto"/>
        <w:ind w:firstLine="709"/>
        <w:jc w:val="both"/>
        <w:rPr>
          <w:rFonts w:ascii="Arial" w:eastAsiaTheme="minorEastAsia" w:hAnsi="Arial" w:cs="Arial"/>
          <w:sz w:val="22"/>
        </w:rPr>
      </w:pPr>
      <w:r w:rsidRPr="00071287">
        <w:rPr>
          <w:rFonts w:ascii="Arial" w:eastAsiaTheme="minorEastAsia" w:hAnsi="Arial" w:cs="Arial"/>
          <w:sz w:val="22"/>
        </w:rPr>
        <w:t>En todo caso, se reitera que</w:t>
      </w:r>
      <w:r w:rsidR="009A5CA2">
        <w:rPr>
          <w:rFonts w:ascii="Arial" w:eastAsiaTheme="minorEastAsia" w:hAnsi="Arial" w:cs="Arial"/>
          <w:sz w:val="22"/>
        </w:rPr>
        <w:t>,</w:t>
      </w:r>
      <w:r w:rsidRPr="00071287">
        <w:rPr>
          <w:rFonts w:ascii="Arial" w:eastAsiaTheme="minorEastAsia" w:hAnsi="Arial" w:cs="Arial"/>
          <w:sz w:val="22"/>
        </w:rPr>
        <w:t xml:space="preserve"> de acuerdo con lo establecido en el documento base, la asignación del puntaje correspondiente al factor de calidad se hace en función del número de meses ofertados de vigencia de la garantía suplementaria o adicional, y no en relación con la frecuencia del seguimiento durante el término de vigencia de aquella. En ese sentido</w:t>
      </w:r>
      <w:r w:rsidR="009A5CA2">
        <w:rPr>
          <w:rFonts w:ascii="Arial" w:eastAsiaTheme="minorEastAsia" w:hAnsi="Arial" w:cs="Arial"/>
          <w:sz w:val="22"/>
        </w:rPr>
        <w:t>,</w:t>
      </w:r>
      <w:r w:rsidRPr="00071287">
        <w:rPr>
          <w:rFonts w:ascii="Arial" w:eastAsiaTheme="minorEastAsia" w:hAnsi="Arial" w:cs="Arial"/>
          <w:sz w:val="22"/>
        </w:rPr>
        <w:t xml:space="preserve"> la evaluación del factor de calidad de la garantía suplementaría está determinada por los meses durante los cuales el contratista ofrece mantener la garantía adicional</w:t>
      </w:r>
      <w:r w:rsidR="009A5CA2">
        <w:rPr>
          <w:rFonts w:ascii="Arial" w:eastAsiaTheme="minorEastAsia" w:hAnsi="Arial" w:cs="Arial"/>
          <w:sz w:val="22"/>
        </w:rPr>
        <w:t>,</w:t>
      </w:r>
      <w:r w:rsidRPr="00071287">
        <w:rPr>
          <w:rFonts w:ascii="Arial" w:eastAsiaTheme="minorEastAsia" w:hAnsi="Arial" w:cs="Arial"/>
          <w:sz w:val="22"/>
        </w:rPr>
        <w:t xml:space="preserve"> respetando el tope establecido por la entidad en el documento base, independientemente de la frecuencia del seguimiento que indique en el Formato 7D.</w:t>
      </w:r>
    </w:p>
    <w:p w14:paraId="1FEED73F" w14:textId="440F06D0" w:rsidR="003E54F9" w:rsidRDefault="003E54F9" w:rsidP="0067722F">
      <w:pPr>
        <w:tabs>
          <w:tab w:val="left" w:pos="426"/>
        </w:tabs>
        <w:spacing w:after="120" w:line="276" w:lineRule="auto"/>
        <w:jc w:val="both"/>
        <w:rPr>
          <w:rFonts w:ascii="Arial" w:eastAsia="Calibri" w:hAnsi="Arial" w:cs="Arial"/>
          <w:sz w:val="22"/>
        </w:rPr>
      </w:pPr>
      <w:r>
        <w:rPr>
          <w:rFonts w:ascii="Arial" w:eastAsia="Arial" w:hAnsi="Arial" w:cs="Arial"/>
          <w:sz w:val="22"/>
        </w:rPr>
        <w:tab/>
      </w:r>
      <w:r w:rsidR="00F163C8">
        <w:rPr>
          <w:rFonts w:ascii="Arial" w:eastAsia="Arial" w:hAnsi="Arial" w:cs="Arial"/>
          <w:sz w:val="22"/>
        </w:rPr>
        <w:tab/>
      </w:r>
      <w:r w:rsidR="009F4103">
        <w:rPr>
          <w:rFonts w:ascii="Arial" w:eastAsia="Arial" w:hAnsi="Arial" w:cs="Arial"/>
          <w:sz w:val="22"/>
        </w:rPr>
        <w:t xml:space="preserve">En síntesis, </w:t>
      </w:r>
      <w:r w:rsidRPr="00F77B02">
        <w:rPr>
          <w:rFonts w:ascii="Arial" w:eastAsia="Calibri" w:hAnsi="Arial" w:cs="Arial"/>
          <w:sz w:val="22"/>
        </w:rPr>
        <w:t>al tenor</w:t>
      </w:r>
      <w:r>
        <w:rPr>
          <w:rFonts w:ascii="Arial" w:eastAsia="Calibri" w:hAnsi="Arial" w:cs="Arial"/>
          <w:sz w:val="22"/>
        </w:rPr>
        <w:t xml:space="preserve"> del </w:t>
      </w:r>
      <w:r w:rsidRPr="00FF31F1">
        <w:rPr>
          <w:rFonts w:ascii="Arial" w:eastAsia="Calibri" w:hAnsi="Arial" w:cs="Arial"/>
          <w:sz w:val="22"/>
          <w:szCs w:val="24"/>
          <w:lang w:val="es-ES_tradnl" w:eastAsia="es-ES_tradnl"/>
        </w:rPr>
        <w:t xml:space="preserve">numeral 4.2.4 del </w:t>
      </w:r>
      <w:r>
        <w:rPr>
          <w:rFonts w:ascii="Arial" w:eastAsia="Calibri" w:hAnsi="Arial" w:cs="Arial"/>
          <w:sz w:val="22"/>
          <w:szCs w:val="24"/>
          <w:lang w:val="es-ES_tradnl" w:eastAsia="es-ES_tradnl"/>
        </w:rPr>
        <w:t>D</w:t>
      </w:r>
      <w:r w:rsidRPr="00FF31F1">
        <w:rPr>
          <w:rFonts w:ascii="Arial" w:eastAsia="Calibri" w:hAnsi="Arial" w:cs="Arial"/>
          <w:sz w:val="22"/>
          <w:szCs w:val="24"/>
          <w:lang w:val="es-ES_tradnl" w:eastAsia="es-ES_tradnl"/>
        </w:rPr>
        <w:t xml:space="preserve">ocumento </w:t>
      </w:r>
      <w:r>
        <w:rPr>
          <w:rFonts w:ascii="Arial" w:eastAsia="Calibri" w:hAnsi="Arial" w:cs="Arial"/>
          <w:sz w:val="22"/>
          <w:szCs w:val="24"/>
          <w:lang w:val="es-ES_tradnl" w:eastAsia="es-ES_tradnl"/>
        </w:rPr>
        <w:t>B</w:t>
      </w:r>
      <w:r w:rsidRPr="00FF31F1">
        <w:rPr>
          <w:rFonts w:ascii="Arial" w:eastAsia="Calibri" w:hAnsi="Arial" w:cs="Arial"/>
          <w:sz w:val="22"/>
          <w:szCs w:val="24"/>
          <w:lang w:val="es-ES_tradnl" w:eastAsia="es-ES_tradnl"/>
        </w:rPr>
        <w:t>ase</w:t>
      </w:r>
      <w:r>
        <w:rPr>
          <w:rFonts w:ascii="Arial" w:eastAsia="Calibri" w:hAnsi="Arial" w:cs="Arial"/>
          <w:sz w:val="22"/>
        </w:rPr>
        <w:t xml:space="preserve"> y del Formato 7D, de los documentos tipo de licitación de infraestructura de transporte – Versión 3, se </w:t>
      </w:r>
      <w:r w:rsidR="00F163C8">
        <w:rPr>
          <w:rFonts w:ascii="Arial" w:eastAsia="Calibri" w:hAnsi="Arial" w:cs="Arial"/>
          <w:sz w:val="22"/>
        </w:rPr>
        <w:t>encuentra</w:t>
      </w:r>
      <w:r>
        <w:rPr>
          <w:rFonts w:ascii="Arial" w:eastAsia="Calibri" w:hAnsi="Arial" w:cs="Arial"/>
          <w:sz w:val="22"/>
        </w:rPr>
        <w:t xml:space="preserve"> que al ofertar la garantía suplementaria mediante dicho formato, corresponde al proponente indicar una frecuencia en la que se compromete a realizar el seguimiento a la misma, cuando la entidad no designe una persona para hacerlo conforme al numeral 4 del artículo 4 de la Ley 80 de 1993. Dicha frecuencia debe ser establecida por el proponente en el Formato 7D señalando en qué período se compromete a hacer las revisiones; siempre que </w:t>
      </w:r>
      <w:r>
        <w:rPr>
          <w:rFonts w:ascii="Arial" w:eastAsia="Calibri" w:hAnsi="Arial" w:cs="Arial"/>
          <w:sz w:val="22"/>
        </w:rPr>
        <w:lastRenderedPageBreak/>
        <w:t xml:space="preserve">la entidad no designe a alguien para hacerlo. </w:t>
      </w:r>
      <w:r>
        <w:rPr>
          <w:rFonts w:ascii="Arial" w:eastAsiaTheme="minorEastAsia" w:hAnsi="Arial" w:cs="Arial"/>
          <w:sz w:val="22"/>
        </w:rPr>
        <w:t xml:space="preserve">De esta manera el oferente debe proponer </w:t>
      </w:r>
      <w:r w:rsidRPr="008E7DD0">
        <w:rPr>
          <w:rFonts w:ascii="Arial" w:eastAsiaTheme="minorEastAsia" w:hAnsi="Arial" w:cs="Arial"/>
          <w:sz w:val="22"/>
        </w:rPr>
        <w:t>de manera autónoma y libre</w:t>
      </w:r>
      <w:r>
        <w:rPr>
          <w:rFonts w:ascii="Arial" w:eastAsiaTheme="minorEastAsia" w:hAnsi="Arial" w:cs="Arial"/>
          <w:sz w:val="22"/>
        </w:rPr>
        <w:t xml:space="preserve"> en el Formato indicado una frecuencia mínima</w:t>
      </w:r>
      <w:r w:rsidRPr="00850EFF">
        <w:rPr>
          <w:rFonts w:ascii="Arial" w:eastAsiaTheme="minorEastAsia" w:hAnsi="Arial" w:cs="Arial"/>
          <w:sz w:val="22"/>
        </w:rPr>
        <w:t xml:space="preserve"> </w:t>
      </w:r>
      <w:r>
        <w:rPr>
          <w:rFonts w:ascii="Arial" w:eastAsiaTheme="minorEastAsia" w:hAnsi="Arial" w:cs="Arial"/>
          <w:sz w:val="22"/>
        </w:rPr>
        <w:t xml:space="preserve">al momento de presentar la oferta, donde </w:t>
      </w:r>
      <w:r w:rsidRPr="00BA52D6">
        <w:rPr>
          <w:rFonts w:ascii="Arial" w:eastAsiaTheme="minorEastAsia" w:hAnsi="Arial" w:cs="Arial"/>
          <w:sz w:val="22"/>
        </w:rPr>
        <w:t xml:space="preserve">el seguimiento de la </w:t>
      </w:r>
      <w:r>
        <w:rPr>
          <w:rFonts w:ascii="Arial" w:eastAsiaTheme="minorEastAsia" w:hAnsi="Arial" w:cs="Arial"/>
          <w:sz w:val="22"/>
        </w:rPr>
        <w:t>g</w:t>
      </w:r>
      <w:r w:rsidRPr="00BA52D6">
        <w:rPr>
          <w:rFonts w:ascii="Arial" w:eastAsiaTheme="minorEastAsia" w:hAnsi="Arial" w:cs="Arial"/>
          <w:sz w:val="22"/>
        </w:rPr>
        <w:t xml:space="preserve">arantía </w:t>
      </w:r>
      <w:r>
        <w:rPr>
          <w:rFonts w:ascii="Arial" w:eastAsiaTheme="minorEastAsia" w:hAnsi="Arial" w:cs="Arial"/>
          <w:sz w:val="22"/>
        </w:rPr>
        <w:t>s</w:t>
      </w:r>
      <w:r w:rsidRPr="00BA52D6">
        <w:rPr>
          <w:rFonts w:ascii="Arial" w:eastAsiaTheme="minorEastAsia" w:hAnsi="Arial" w:cs="Arial"/>
          <w:sz w:val="22"/>
        </w:rPr>
        <w:t>uplementaria</w:t>
      </w:r>
      <w:r>
        <w:rPr>
          <w:rFonts w:ascii="Arial" w:eastAsiaTheme="minorEastAsia" w:hAnsi="Arial" w:cs="Arial"/>
          <w:sz w:val="22"/>
        </w:rPr>
        <w:t xml:space="preserve"> lo realizará </w:t>
      </w:r>
      <w:r w:rsidRPr="00BA52D6">
        <w:rPr>
          <w:rFonts w:ascii="Arial" w:eastAsiaTheme="minorEastAsia" w:hAnsi="Arial" w:cs="Arial"/>
          <w:sz w:val="22"/>
        </w:rPr>
        <w:t>el contratista</w:t>
      </w:r>
      <w:r>
        <w:rPr>
          <w:rFonts w:ascii="Arial" w:eastAsiaTheme="minorEastAsia" w:hAnsi="Arial" w:cs="Arial"/>
          <w:sz w:val="22"/>
        </w:rPr>
        <w:t xml:space="preserve"> en los términos de la frecuencia </w:t>
      </w:r>
      <w:r w:rsidRPr="008E7DD0">
        <w:rPr>
          <w:rFonts w:ascii="Arial" w:eastAsiaTheme="minorEastAsia" w:hAnsi="Arial" w:cs="Arial"/>
          <w:sz w:val="22"/>
        </w:rPr>
        <w:t>ofre</w:t>
      </w:r>
      <w:r>
        <w:rPr>
          <w:rFonts w:ascii="Arial" w:eastAsiaTheme="minorEastAsia" w:hAnsi="Arial" w:cs="Arial"/>
          <w:sz w:val="22"/>
        </w:rPr>
        <w:t xml:space="preserve">cida obligándose </w:t>
      </w:r>
      <w:r w:rsidRPr="00F77B02">
        <w:rPr>
          <w:rFonts w:ascii="Arial" w:eastAsiaTheme="minorEastAsia" w:hAnsi="Arial" w:cs="Arial"/>
          <w:sz w:val="22"/>
        </w:rPr>
        <w:t xml:space="preserve">a realizar el seguimiento en </w:t>
      </w:r>
      <w:r>
        <w:rPr>
          <w:rFonts w:ascii="Arial" w:eastAsiaTheme="minorEastAsia" w:hAnsi="Arial" w:cs="Arial"/>
          <w:sz w:val="22"/>
        </w:rPr>
        <w:t xml:space="preserve">los </w:t>
      </w:r>
      <w:r w:rsidRPr="00F77B02">
        <w:rPr>
          <w:rFonts w:ascii="Arial" w:eastAsiaTheme="minorEastAsia" w:hAnsi="Arial" w:cs="Arial"/>
          <w:sz w:val="22"/>
        </w:rPr>
        <w:t>términos</w:t>
      </w:r>
      <w:r>
        <w:rPr>
          <w:rFonts w:ascii="Arial" w:eastAsiaTheme="minorEastAsia" w:hAnsi="Arial" w:cs="Arial"/>
          <w:sz w:val="22"/>
        </w:rPr>
        <w:t xml:space="preserve"> por él indicados</w:t>
      </w:r>
      <w:r w:rsidRPr="00F77B02">
        <w:rPr>
          <w:rFonts w:ascii="Arial" w:eastAsiaTheme="minorEastAsia" w:hAnsi="Arial" w:cs="Arial"/>
          <w:sz w:val="22"/>
        </w:rPr>
        <w:t>.</w:t>
      </w:r>
    </w:p>
    <w:p w14:paraId="28C448F4" w14:textId="5D308856" w:rsidR="003E54F9" w:rsidRDefault="003E54F9" w:rsidP="0067722F">
      <w:pPr>
        <w:tabs>
          <w:tab w:val="left" w:pos="426"/>
        </w:tabs>
        <w:spacing w:line="276" w:lineRule="auto"/>
        <w:ind w:firstLine="709"/>
        <w:jc w:val="both"/>
        <w:rPr>
          <w:rFonts w:ascii="Arial" w:eastAsia="Calibri" w:hAnsi="Arial" w:cs="Arial"/>
          <w:sz w:val="22"/>
        </w:rPr>
      </w:pPr>
      <w:r>
        <w:rPr>
          <w:rFonts w:ascii="Arial" w:eastAsia="Calibri" w:hAnsi="Arial" w:cs="Arial"/>
          <w:sz w:val="22"/>
        </w:rPr>
        <w:t>Sin embargo, la frecuencia ofertada por el proponente no determina el puntaje correspondiente por este factor de calidad, pues ello depende del número de meses de garantía adicional ofrecida por el proponente, siendo este el factor de evaluación que será tenido en cuenta por la entidad. Por lo anterior</w:t>
      </w:r>
      <w:r w:rsidR="00E17F6D">
        <w:rPr>
          <w:rFonts w:ascii="Arial" w:eastAsia="Calibri" w:hAnsi="Arial" w:cs="Arial"/>
          <w:sz w:val="22"/>
        </w:rPr>
        <w:t>,</w:t>
      </w:r>
      <w:r>
        <w:rPr>
          <w:rFonts w:ascii="Arial" w:eastAsia="Calibri" w:hAnsi="Arial" w:cs="Arial"/>
          <w:sz w:val="22"/>
        </w:rPr>
        <w:t xml:space="preserve"> se infiere que el proponente al ofrecer otorgar la garantía adicional o suplementaria por un determinado número de meses hará el o los seguimientos igualmente dentro del lapso ofrecido por él. Por lo anterior, para la asignación de puntaje basta que el Formato 7D se presente debidamente suscrito y diligenciado, otorgándose el puntaje de acuerdo con los meses de cobertura de la garantía suplementaria o adicional. </w:t>
      </w:r>
    </w:p>
    <w:p w14:paraId="74DCBE9A" w14:textId="77777777" w:rsidR="002F77A1" w:rsidRPr="002F77A1" w:rsidRDefault="002F77A1" w:rsidP="0067722F">
      <w:pPr>
        <w:spacing w:line="276" w:lineRule="auto"/>
        <w:ind w:firstLine="709"/>
        <w:jc w:val="both"/>
        <w:rPr>
          <w:rFonts w:ascii="Arial" w:eastAsia="Calibri" w:hAnsi="Arial" w:cs="Arial"/>
          <w:sz w:val="22"/>
          <w:szCs w:val="24"/>
          <w:lang w:eastAsia="es-ES_tradnl"/>
        </w:rPr>
      </w:pPr>
    </w:p>
    <w:p w14:paraId="02F7BE55" w14:textId="73512709" w:rsidR="00FC4013" w:rsidRDefault="00FB4DBF" w:rsidP="003E54F9">
      <w:pPr>
        <w:spacing w:line="276" w:lineRule="auto"/>
        <w:jc w:val="both"/>
        <w:rPr>
          <w:rFonts w:ascii="Arial" w:eastAsia="Calibri" w:hAnsi="Arial" w:cs="Arial"/>
          <w:b/>
          <w:sz w:val="22"/>
        </w:rPr>
      </w:pPr>
      <w:r>
        <w:rPr>
          <w:rFonts w:ascii="Arial" w:eastAsia="Calibri" w:hAnsi="Arial" w:cs="Arial"/>
          <w:b/>
          <w:sz w:val="22"/>
        </w:rPr>
        <w:t xml:space="preserve">3. </w:t>
      </w:r>
      <w:r w:rsidR="00305947" w:rsidRPr="00FB4DBF">
        <w:rPr>
          <w:rFonts w:ascii="Arial" w:eastAsia="Calibri" w:hAnsi="Arial" w:cs="Arial"/>
          <w:b/>
          <w:sz w:val="22"/>
        </w:rPr>
        <w:t>Respuesta</w:t>
      </w:r>
    </w:p>
    <w:p w14:paraId="0B53823A" w14:textId="77777777" w:rsidR="00F163C8" w:rsidRDefault="00F163C8" w:rsidP="0067722F">
      <w:pPr>
        <w:spacing w:line="276" w:lineRule="auto"/>
        <w:jc w:val="both"/>
        <w:rPr>
          <w:rFonts w:ascii="Arial" w:eastAsia="Calibri" w:hAnsi="Arial" w:cs="Arial"/>
          <w:b/>
          <w:sz w:val="22"/>
        </w:rPr>
      </w:pPr>
    </w:p>
    <w:p w14:paraId="38D97947" w14:textId="61F6667F" w:rsidR="00FC4013" w:rsidRPr="0067722F" w:rsidRDefault="00FC4013" w:rsidP="00F163C8">
      <w:pPr>
        <w:shd w:val="clear" w:color="auto" w:fill="FFFFFF"/>
        <w:ind w:left="709" w:right="709"/>
        <w:jc w:val="both"/>
        <w:rPr>
          <w:rFonts w:ascii="Arial" w:hAnsi="Arial" w:cs="Arial"/>
          <w:color w:val="0D0D0D"/>
          <w:sz w:val="22"/>
          <w:bdr w:val="none" w:sz="0" w:space="0" w:color="auto" w:frame="1"/>
          <w:lang w:eastAsia="es-CO"/>
        </w:rPr>
      </w:pPr>
      <w:r w:rsidRPr="002D2FFD">
        <w:rPr>
          <w:rFonts w:ascii="Arial" w:hAnsi="Arial" w:cs="Arial"/>
          <w:color w:val="0D0D0D"/>
          <w:sz w:val="21"/>
          <w:szCs w:val="21"/>
          <w:bdr w:val="none" w:sz="0" w:space="0" w:color="auto" w:frame="1"/>
          <w:lang w:eastAsia="es-CO"/>
        </w:rPr>
        <w:t>1. ¿Cuáles son los términos de referencia mediante los cuales, cualquier entidad debe entregar los puntos que haya designado ponderar por ofrecimiento y cumplimiento de los requisitos del formato 7D, garantía suplementaria y/o adicional?</w:t>
      </w:r>
    </w:p>
    <w:p w14:paraId="44C71417" w14:textId="77777777" w:rsidR="00F163C8" w:rsidRPr="0067722F" w:rsidRDefault="00F163C8" w:rsidP="0067722F">
      <w:pPr>
        <w:shd w:val="clear" w:color="auto" w:fill="FFFFFF"/>
        <w:ind w:left="709" w:right="709"/>
        <w:jc w:val="both"/>
        <w:rPr>
          <w:rFonts w:ascii="Arial" w:hAnsi="Arial" w:cs="Arial"/>
          <w:color w:val="0D0D0D"/>
          <w:sz w:val="22"/>
          <w:bdr w:val="none" w:sz="0" w:space="0" w:color="auto" w:frame="1"/>
          <w:lang w:eastAsia="es-CO"/>
        </w:rPr>
      </w:pPr>
    </w:p>
    <w:p w14:paraId="34A5613A" w14:textId="7D6E622B" w:rsidR="00B5744B" w:rsidRPr="00FC4013" w:rsidRDefault="006A1F7F" w:rsidP="0067722F">
      <w:pPr>
        <w:spacing w:after="120" w:line="276" w:lineRule="auto"/>
        <w:jc w:val="both"/>
        <w:rPr>
          <w:rFonts w:ascii="Arial" w:eastAsia="Calibri" w:hAnsi="Arial" w:cs="Arial"/>
          <w:color w:val="000000" w:themeColor="text1"/>
          <w:sz w:val="22"/>
        </w:rPr>
      </w:pPr>
      <w:r>
        <w:rPr>
          <w:rFonts w:ascii="Arial" w:eastAsia="Calibri" w:hAnsi="Arial" w:cs="Arial"/>
          <w:sz w:val="22"/>
        </w:rPr>
        <w:t xml:space="preserve">La asignación del puntaje por el factor calidad </w:t>
      </w:r>
      <w:r w:rsidR="00B5744B">
        <w:rPr>
          <w:rFonts w:ascii="Arial" w:eastAsia="Calibri" w:hAnsi="Arial" w:cs="Arial"/>
          <w:sz w:val="22"/>
        </w:rPr>
        <w:t>se encuentra establecida en e</w:t>
      </w:r>
      <w:r w:rsidR="00FC4013">
        <w:rPr>
          <w:rFonts w:ascii="Arial" w:eastAsia="Calibri" w:hAnsi="Arial" w:cs="Arial"/>
          <w:color w:val="000000" w:themeColor="text1"/>
          <w:sz w:val="22"/>
        </w:rPr>
        <w:t>l</w:t>
      </w:r>
      <w:r w:rsidR="00E67BE3">
        <w:rPr>
          <w:rFonts w:ascii="Arial" w:eastAsia="Calibri" w:hAnsi="Arial" w:cs="Arial"/>
          <w:color w:val="000000" w:themeColor="text1"/>
          <w:sz w:val="22"/>
        </w:rPr>
        <w:t xml:space="preserve"> en el capítulo IV del</w:t>
      </w:r>
      <w:r w:rsidR="00FC4013">
        <w:rPr>
          <w:rFonts w:ascii="Arial" w:eastAsia="Calibri" w:hAnsi="Arial" w:cs="Arial"/>
          <w:color w:val="000000" w:themeColor="text1"/>
          <w:sz w:val="22"/>
        </w:rPr>
        <w:t xml:space="preserve"> </w:t>
      </w:r>
      <w:r w:rsidR="00F163C8">
        <w:rPr>
          <w:rFonts w:ascii="Arial" w:eastAsia="Calibri" w:hAnsi="Arial" w:cs="Arial"/>
          <w:color w:val="000000" w:themeColor="text1"/>
          <w:sz w:val="22"/>
        </w:rPr>
        <w:t xml:space="preserve">documento base </w:t>
      </w:r>
      <w:r w:rsidR="00F163C8" w:rsidRPr="00FC4013">
        <w:rPr>
          <w:rFonts w:ascii="Arial" w:eastAsia="Calibri" w:hAnsi="Arial" w:cs="Arial"/>
          <w:color w:val="000000" w:themeColor="text1"/>
          <w:sz w:val="22"/>
        </w:rPr>
        <w:t xml:space="preserve">de licitación de obras de infraestructura de transporte – </w:t>
      </w:r>
      <w:r w:rsidR="00F163C8">
        <w:rPr>
          <w:rFonts w:ascii="Arial" w:eastAsia="Calibri" w:hAnsi="Arial" w:cs="Arial"/>
          <w:color w:val="000000" w:themeColor="text1"/>
          <w:sz w:val="22"/>
        </w:rPr>
        <w:t>V</w:t>
      </w:r>
      <w:r w:rsidR="00F163C8" w:rsidRPr="00FC4013">
        <w:rPr>
          <w:rFonts w:ascii="Arial" w:eastAsia="Calibri" w:hAnsi="Arial" w:cs="Arial"/>
          <w:color w:val="000000" w:themeColor="text1"/>
          <w:sz w:val="22"/>
        </w:rPr>
        <w:t>ersión 3</w:t>
      </w:r>
      <w:r w:rsidR="009A5CA2">
        <w:rPr>
          <w:rFonts w:ascii="Arial" w:eastAsia="Calibri" w:hAnsi="Arial" w:cs="Arial"/>
          <w:color w:val="000000" w:themeColor="text1"/>
          <w:sz w:val="22"/>
        </w:rPr>
        <w:t>,</w:t>
      </w:r>
      <w:r w:rsidR="00FC4013">
        <w:rPr>
          <w:rFonts w:ascii="Arial" w:eastAsia="Calibri" w:hAnsi="Arial" w:cs="Arial"/>
          <w:color w:val="000000" w:themeColor="text1"/>
          <w:sz w:val="22"/>
        </w:rPr>
        <w:t xml:space="preserve"> </w:t>
      </w:r>
      <w:r w:rsidR="00B5744B">
        <w:rPr>
          <w:rFonts w:ascii="Arial" w:eastAsia="Calibri" w:hAnsi="Arial" w:cs="Arial"/>
          <w:color w:val="000000" w:themeColor="text1"/>
          <w:sz w:val="22"/>
        </w:rPr>
        <w:t xml:space="preserve">donde </w:t>
      </w:r>
      <w:r w:rsidR="00FC4013">
        <w:rPr>
          <w:rFonts w:ascii="Arial" w:eastAsia="Calibri" w:hAnsi="Arial" w:cs="Arial"/>
          <w:color w:val="000000" w:themeColor="text1"/>
          <w:sz w:val="22"/>
        </w:rPr>
        <w:t>establece</w:t>
      </w:r>
      <w:r w:rsidR="00FC4013" w:rsidRPr="00FC4013">
        <w:rPr>
          <w:rFonts w:ascii="Arial" w:eastAsia="Calibri" w:hAnsi="Arial" w:cs="Arial"/>
          <w:color w:val="000000" w:themeColor="text1"/>
          <w:sz w:val="22"/>
        </w:rPr>
        <w:t xml:space="preserve"> los criterios de evaluación, asignación de puntaje y criterios de desempate a aplicarse en el correspondie</w:t>
      </w:r>
      <w:r>
        <w:rPr>
          <w:rFonts w:ascii="Arial" w:eastAsia="Calibri" w:hAnsi="Arial" w:cs="Arial"/>
          <w:color w:val="000000" w:themeColor="text1"/>
          <w:sz w:val="22"/>
        </w:rPr>
        <w:t>nte proceso de selección</w:t>
      </w:r>
      <w:r w:rsidR="009A5CA2">
        <w:rPr>
          <w:rFonts w:ascii="Arial" w:eastAsia="Calibri" w:hAnsi="Arial" w:cs="Arial"/>
          <w:color w:val="000000" w:themeColor="text1"/>
          <w:sz w:val="22"/>
        </w:rPr>
        <w:t>. Allí</w:t>
      </w:r>
      <w:r>
        <w:rPr>
          <w:rFonts w:ascii="Arial" w:eastAsia="Calibri" w:hAnsi="Arial" w:cs="Arial"/>
          <w:color w:val="000000" w:themeColor="text1"/>
          <w:sz w:val="22"/>
        </w:rPr>
        <w:t xml:space="preserve"> señala </w:t>
      </w:r>
      <w:r w:rsidR="00FC4013" w:rsidRPr="00FC4013">
        <w:rPr>
          <w:rFonts w:ascii="Arial" w:eastAsia="Calibri" w:hAnsi="Arial" w:cs="Arial"/>
          <w:color w:val="000000" w:themeColor="text1"/>
          <w:sz w:val="22"/>
        </w:rPr>
        <w:t xml:space="preserve">que la entidad respectiva calificará las ofertas que hayan cumplido con los requisitos habilitantes con los siguientes puntajes máximos: i) oferta económica </w:t>
      </w:r>
      <w:r w:rsidR="00F163C8">
        <w:rPr>
          <w:rFonts w:ascii="Arial" w:eastAsia="Calibri" w:hAnsi="Arial" w:cs="Arial"/>
          <w:color w:val="000000" w:themeColor="text1"/>
          <w:sz w:val="22"/>
        </w:rPr>
        <w:t>–</w:t>
      </w:r>
      <w:r w:rsidR="00FC4013" w:rsidRPr="00FC4013">
        <w:rPr>
          <w:rFonts w:ascii="Arial" w:eastAsia="Calibri" w:hAnsi="Arial" w:cs="Arial"/>
          <w:color w:val="000000" w:themeColor="text1"/>
          <w:sz w:val="22"/>
        </w:rPr>
        <w:t>60 puntos</w:t>
      </w:r>
      <w:r w:rsidR="00F163C8">
        <w:rPr>
          <w:rFonts w:ascii="Arial" w:eastAsia="Calibri" w:hAnsi="Arial" w:cs="Arial"/>
          <w:color w:val="000000" w:themeColor="text1"/>
          <w:sz w:val="22"/>
        </w:rPr>
        <w:t>–</w:t>
      </w:r>
      <w:r w:rsidR="00FC4013" w:rsidRPr="00FC4013">
        <w:rPr>
          <w:rFonts w:ascii="Arial" w:eastAsia="Calibri" w:hAnsi="Arial" w:cs="Arial"/>
          <w:color w:val="000000" w:themeColor="text1"/>
          <w:sz w:val="22"/>
        </w:rPr>
        <w:t xml:space="preserve">, ii) </w:t>
      </w:r>
      <w:r w:rsidR="00FC4013" w:rsidRPr="00B5744B">
        <w:rPr>
          <w:rFonts w:ascii="Arial" w:eastAsia="Calibri" w:hAnsi="Arial" w:cs="Arial"/>
          <w:i/>
          <w:color w:val="000000" w:themeColor="text1"/>
          <w:sz w:val="22"/>
        </w:rPr>
        <w:t>factor de calidad</w:t>
      </w:r>
      <w:r w:rsidR="00FC4013" w:rsidRPr="00FC4013">
        <w:rPr>
          <w:rFonts w:ascii="Arial" w:eastAsia="Calibri" w:hAnsi="Arial" w:cs="Arial"/>
          <w:color w:val="000000" w:themeColor="text1"/>
          <w:sz w:val="22"/>
        </w:rPr>
        <w:t xml:space="preserve"> </w:t>
      </w:r>
      <w:r w:rsidR="00F163C8">
        <w:rPr>
          <w:rFonts w:ascii="Arial" w:eastAsia="Calibri" w:hAnsi="Arial" w:cs="Arial"/>
          <w:color w:val="000000" w:themeColor="text1"/>
          <w:sz w:val="22"/>
        </w:rPr>
        <w:t>–</w:t>
      </w:r>
      <w:r w:rsidR="00FC4013" w:rsidRPr="00FC4013">
        <w:rPr>
          <w:rFonts w:ascii="Arial" w:eastAsia="Calibri" w:hAnsi="Arial" w:cs="Arial"/>
          <w:color w:val="000000" w:themeColor="text1"/>
          <w:sz w:val="22"/>
        </w:rPr>
        <w:t>19 puntos</w:t>
      </w:r>
      <w:r w:rsidR="00F163C8">
        <w:rPr>
          <w:rFonts w:ascii="Arial" w:eastAsia="Calibri" w:hAnsi="Arial" w:cs="Arial"/>
          <w:color w:val="000000" w:themeColor="text1"/>
          <w:sz w:val="22"/>
        </w:rPr>
        <w:t>–</w:t>
      </w:r>
      <w:r w:rsidR="00FC4013" w:rsidRPr="00FC4013">
        <w:rPr>
          <w:rFonts w:ascii="Arial" w:eastAsia="Calibri" w:hAnsi="Arial" w:cs="Arial"/>
          <w:color w:val="000000" w:themeColor="text1"/>
          <w:sz w:val="22"/>
        </w:rPr>
        <w:t xml:space="preserve">, iii) apoyo a la industria nacional </w:t>
      </w:r>
      <w:r w:rsidR="00F163C8">
        <w:rPr>
          <w:rFonts w:ascii="Arial" w:eastAsia="Calibri" w:hAnsi="Arial" w:cs="Arial"/>
          <w:color w:val="000000" w:themeColor="text1"/>
          <w:sz w:val="22"/>
        </w:rPr>
        <w:t>–</w:t>
      </w:r>
      <w:r w:rsidR="00FC4013" w:rsidRPr="00FC4013">
        <w:rPr>
          <w:rFonts w:ascii="Arial" w:eastAsia="Calibri" w:hAnsi="Arial" w:cs="Arial"/>
          <w:color w:val="000000" w:themeColor="text1"/>
          <w:sz w:val="22"/>
        </w:rPr>
        <w:t>20 puntos</w:t>
      </w:r>
      <w:r w:rsidR="00F163C8">
        <w:rPr>
          <w:rFonts w:ascii="Arial" w:eastAsia="Calibri" w:hAnsi="Arial" w:cs="Arial"/>
          <w:color w:val="000000" w:themeColor="text1"/>
          <w:sz w:val="22"/>
        </w:rPr>
        <w:t>–</w:t>
      </w:r>
      <w:r w:rsidR="00FC4013" w:rsidRPr="00FC4013">
        <w:rPr>
          <w:rFonts w:ascii="Arial" w:eastAsia="Calibri" w:hAnsi="Arial" w:cs="Arial"/>
          <w:color w:val="000000" w:themeColor="text1"/>
          <w:sz w:val="22"/>
        </w:rPr>
        <w:t xml:space="preserve"> y iv) vinculación de personas con discapacidad </w:t>
      </w:r>
      <w:r w:rsidR="00F163C8">
        <w:rPr>
          <w:rFonts w:ascii="Arial" w:eastAsia="Calibri" w:hAnsi="Arial" w:cs="Arial"/>
          <w:color w:val="000000" w:themeColor="text1"/>
          <w:sz w:val="22"/>
        </w:rPr>
        <w:t>–</w:t>
      </w:r>
      <w:r w:rsidR="00FC4013" w:rsidRPr="00FC4013">
        <w:rPr>
          <w:rFonts w:ascii="Arial" w:eastAsia="Calibri" w:hAnsi="Arial" w:cs="Arial"/>
          <w:color w:val="000000" w:themeColor="text1"/>
          <w:sz w:val="22"/>
        </w:rPr>
        <w:t>1 punto</w:t>
      </w:r>
      <w:r w:rsidR="00F163C8">
        <w:rPr>
          <w:rFonts w:ascii="Arial" w:eastAsia="Calibri" w:hAnsi="Arial" w:cs="Arial"/>
          <w:color w:val="000000" w:themeColor="text1"/>
          <w:sz w:val="22"/>
        </w:rPr>
        <w:t>–</w:t>
      </w:r>
      <w:r w:rsidR="00FC4013" w:rsidRPr="00FC4013">
        <w:rPr>
          <w:rStyle w:val="Refdenotaalpie"/>
          <w:rFonts w:ascii="Arial" w:eastAsia="Calibri" w:hAnsi="Arial" w:cs="Arial"/>
          <w:color w:val="000000" w:themeColor="text1"/>
          <w:sz w:val="22"/>
        </w:rPr>
        <w:footnoteReference w:id="16"/>
      </w:r>
      <w:r w:rsidR="00FC4013" w:rsidRPr="00FC4013">
        <w:rPr>
          <w:rFonts w:ascii="Arial" w:eastAsia="Calibri" w:hAnsi="Arial" w:cs="Arial"/>
          <w:color w:val="000000" w:themeColor="text1"/>
          <w:sz w:val="22"/>
        </w:rPr>
        <w:t>.</w:t>
      </w:r>
    </w:p>
    <w:p w14:paraId="35C1B042" w14:textId="0EB91378" w:rsidR="00FC4013" w:rsidRPr="006A1F7F" w:rsidRDefault="00B5744B" w:rsidP="002F77A1">
      <w:pPr>
        <w:autoSpaceDE w:val="0"/>
        <w:autoSpaceDN w:val="0"/>
        <w:adjustRightInd w:val="0"/>
        <w:spacing w:before="120" w:after="120" w:line="276" w:lineRule="auto"/>
        <w:ind w:firstLine="708"/>
        <w:jc w:val="both"/>
        <w:rPr>
          <w:rFonts w:ascii="Arial" w:eastAsia="Calibri" w:hAnsi="Arial" w:cs="Arial"/>
          <w:sz w:val="22"/>
          <w:lang w:val="es-ES"/>
        </w:rPr>
      </w:pPr>
      <w:r>
        <w:rPr>
          <w:rFonts w:ascii="Arial" w:eastAsia="Calibri" w:hAnsi="Arial" w:cs="Arial"/>
          <w:sz w:val="22"/>
        </w:rPr>
        <w:t>Específicamente</w:t>
      </w:r>
      <w:r w:rsidR="00FF3E2C">
        <w:rPr>
          <w:rFonts w:ascii="Arial" w:eastAsia="Calibri" w:hAnsi="Arial" w:cs="Arial"/>
          <w:sz w:val="22"/>
        </w:rPr>
        <w:t>,</w:t>
      </w:r>
      <w:r>
        <w:rPr>
          <w:rFonts w:ascii="Arial" w:eastAsia="Calibri" w:hAnsi="Arial" w:cs="Arial"/>
          <w:sz w:val="22"/>
        </w:rPr>
        <w:t xml:space="preserve"> e</w:t>
      </w:r>
      <w:r w:rsidR="006A1F7F" w:rsidRPr="006A1F7F">
        <w:rPr>
          <w:rFonts w:ascii="Arial" w:eastAsia="Calibri" w:hAnsi="Arial" w:cs="Arial"/>
          <w:sz w:val="22"/>
        </w:rPr>
        <w:t>l factor de calidad</w:t>
      </w:r>
      <w:r w:rsidR="00FC4013" w:rsidRPr="006A1F7F">
        <w:rPr>
          <w:rFonts w:ascii="Arial" w:eastAsia="Calibri" w:hAnsi="Arial" w:cs="Arial"/>
          <w:sz w:val="22"/>
          <w:lang w:val="es-ES"/>
        </w:rPr>
        <w:t xml:space="preserve"> </w:t>
      </w:r>
      <w:r>
        <w:rPr>
          <w:rFonts w:ascii="Arial" w:eastAsia="Calibri" w:hAnsi="Arial" w:cs="Arial"/>
          <w:sz w:val="22"/>
          <w:lang w:val="es-ES"/>
        </w:rPr>
        <w:t xml:space="preserve">se encuentra descrito </w:t>
      </w:r>
      <w:r w:rsidR="00FC4013" w:rsidRPr="006A1F7F">
        <w:rPr>
          <w:rFonts w:ascii="Arial" w:eastAsia="Calibri" w:hAnsi="Arial" w:cs="Arial"/>
          <w:sz w:val="22"/>
          <w:lang w:val="es-ES"/>
        </w:rPr>
        <w:t xml:space="preserve">el numeral 4.2. </w:t>
      </w:r>
      <w:r>
        <w:rPr>
          <w:rFonts w:ascii="Arial" w:eastAsia="Calibri" w:hAnsi="Arial" w:cs="Arial"/>
          <w:sz w:val="22"/>
          <w:lang w:val="es-ES"/>
        </w:rPr>
        <w:t xml:space="preserve">y </w:t>
      </w:r>
      <w:r w:rsidR="00FC4013" w:rsidRPr="006A1F7F">
        <w:rPr>
          <w:rFonts w:ascii="Arial" w:eastAsia="Calibri" w:hAnsi="Arial" w:cs="Arial"/>
          <w:sz w:val="22"/>
          <w:lang w:val="es-ES"/>
        </w:rPr>
        <w:t xml:space="preserve">establece </w:t>
      </w:r>
      <w:r w:rsidRPr="006A1F7F">
        <w:rPr>
          <w:rFonts w:ascii="Arial" w:eastAsia="Calibri" w:hAnsi="Arial" w:cs="Arial"/>
          <w:sz w:val="22"/>
          <w:lang w:val="es-ES"/>
        </w:rPr>
        <w:t>que,</w:t>
      </w:r>
      <w:r w:rsidR="00FC4013" w:rsidRPr="006A1F7F">
        <w:rPr>
          <w:rFonts w:ascii="Arial" w:eastAsia="Calibri" w:hAnsi="Arial" w:cs="Arial"/>
          <w:sz w:val="22"/>
          <w:lang w:val="es-ES"/>
        </w:rPr>
        <w:t xml:space="preserve"> de acuerdo con la justificación consignada en el estudio del sector, estudios y documentos previos, la entidad contratante deberá elegir una o máximo tres de las cuatro opciones previstas para evaluar el factor calidad</w:t>
      </w:r>
      <w:r w:rsidR="009A5CA2">
        <w:rPr>
          <w:rFonts w:ascii="Arial" w:eastAsia="Calibri" w:hAnsi="Arial" w:cs="Arial"/>
          <w:sz w:val="22"/>
          <w:lang w:val="es-ES"/>
        </w:rPr>
        <w:t>. Est</w:t>
      </w:r>
      <w:r w:rsidR="00F163C8">
        <w:rPr>
          <w:rFonts w:ascii="Arial" w:eastAsia="Calibri" w:hAnsi="Arial" w:cs="Arial"/>
          <w:sz w:val="22"/>
          <w:lang w:val="es-ES"/>
        </w:rPr>
        <w:t>e consiste en</w:t>
      </w:r>
      <w:r w:rsidR="00FC4013" w:rsidRPr="006A1F7F">
        <w:rPr>
          <w:rFonts w:ascii="Arial" w:eastAsia="Calibri" w:hAnsi="Arial" w:cs="Arial"/>
          <w:sz w:val="22"/>
          <w:lang w:val="es-ES"/>
        </w:rPr>
        <w:t xml:space="preserve">: (i) implementación del programa de gerencia de proyectos; (ii) disponibilidad y condiciones funcionales de la </w:t>
      </w:r>
      <w:r w:rsidR="00FC4013" w:rsidRPr="006A1F7F">
        <w:rPr>
          <w:rFonts w:ascii="Arial" w:eastAsia="Calibri" w:hAnsi="Arial" w:cs="Arial"/>
          <w:sz w:val="22"/>
          <w:lang w:val="es-ES"/>
        </w:rPr>
        <w:lastRenderedPageBreak/>
        <w:t>maquinaria de obra; (iii) presentación de un plan de calidad y</w:t>
      </w:r>
      <w:r w:rsidR="00FC4013" w:rsidRPr="006A1F7F">
        <w:rPr>
          <w:rFonts w:ascii="Arial" w:eastAsia="Calibri" w:hAnsi="Arial" w:cs="Arial"/>
          <w:sz w:val="22"/>
        </w:rPr>
        <w:t xml:space="preserve">/o </w:t>
      </w:r>
      <w:r w:rsidR="00FC4013" w:rsidRPr="006A1F7F">
        <w:rPr>
          <w:rFonts w:ascii="Arial" w:eastAsia="Calibri" w:hAnsi="Arial" w:cs="Arial"/>
          <w:sz w:val="22"/>
          <w:lang w:val="es-ES"/>
        </w:rPr>
        <w:t xml:space="preserve">(iv) </w:t>
      </w:r>
      <w:r w:rsidR="00FC4013" w:rsidRPr="006A1F7F">
        <w:rPr>
          <w:rFonts w:ascii="Arial" w:eastAsia="Calibri" w:hAnsi="Arial" w:cs="Arial"/>
          <w:i/>
          <w:sz w:val="22"/>
          <w:lang w:val="es-ES"/>
        </w:rPr>
        <w:t>garantía suplementaria o adicional</w:t>
      </w:r>
      <w:r w:rsidR="00FC4013" w:rsidRPr="006A1F7F">
        <w:rPr>
          <w:rFonts w:ascii="Arial" w:eastAsia="Calibri" w:hAnsi="Arial" w:cs="Arial"/>
          <w:sz w:val="22"/>
          <w:lang w:val="es-ES"/>
        </w:rPr>
        <w:t xml:space="preserve"> por cuenta del Contratista. </w:t>
      </w:r>
    </w:p>
    <w:p w14:paraId="40E518BB" w14:textId="10CA7297" w:rsidR="00FC4013" w:rsidRDefault="00FC4013" w:rsidP="00F163C8">
      <w:pPr>
        <w:autoSpaceDE w:val="0"/>
        <w:autoSpaceDN w:val="0"/>
        <w:adjustRightInd w:val="0"/>
        <w:spacing w:before="120" w:line="276" w:lineRule="auto"/>
        <w:ind w:firstLine="708"/>
        <w:jc w:val="both"/>
        <w:rPr>
          <w:rFonts w:ascii="Arial" w:eastAsia="Arial" w:hAnsi="Arial" w:cs="Arial"/>
          <w:sz w:val="22"/>
        </w:rPr>
      </w:pPr>
      <w:r w:rsidRPr="006A1F7F">
        <w:rPr>
          <w:rFonts w:ascii="Arial" w:eastAsia="Calibri" w:hAnsi="Arial" w:cs="Arial"/>
          <w:sz w:val="22"/>
          <w:lang w:val="es-ES"/>
        </w:rPr>
        <w:t>La garantía suplementaria o adic</w:t>
      </w:r>
      <w:r w:rsidR="00913C8E">
        <w:rPr>
          <w:rFonts w:ascii="Arial" w:eastAsia="Calibri" w:hAnsi="Arial" w:cs="Arial"/>
          <w:sz w:val="22"/>
          <w:lang w:val="es-ES"/>
        </w:rPr>
        <w:t>ional por cuenta del c</w:t>
      </w:r>
      <w:r w:rsidRPr="006A1F7F">
        <w:rPr>
          <w:rFonts w:ascii="Arial" w:eastAsia="Calibri" w:hAnsi="Arial" w:cs="Arial"/>
          <w:sz w:val="22"/>
          <w:lang w:val="es-ES"/>
        </w:rPr>
        <w:t>ontratista</w:t>
      </w:r>
      <w:r w:rsidR="00B5744B">
        <w:rPr>
          <w:rFonts w:ascii="Arial" w:eastAsia="Calibri" w:hAnsi="Arial" w:cs="Arial"/>
          <w:sz w:val="22"/>
          <w:lang w:val="es-ES"/>
        </w:rPr>
        <w:t xml:space="preserve">, a su vez, </w:t>
      </w:r>
      <w:r w:rsidR="009A5CA2">
        <w:rPr>
          <w:rFonts w:ascii="Arial" w:eastAsia="Calibri" w:hAnsi="Arial" w:cs="Arial"/>
          <w:sz w:val="22"/>
          <w:lang w:val="es-ES"/>
        </w:rPr>
        <w:t xml:space="preserve">se encuentra </w:t>
      </w:r>
      <w:r w:rsidR="00B5744B">
        <w:rPr>
          <w:rFonts w:ascii="Arial" w:eastAsia="Calibri" w:hAnsi="Arial" w:cs="Arial"/>
          <w:sz w:val="22"/>
          <w:lang w:val="es-ES"/>
        </w:rPr>
        <w:t>regulada</w:t>
      </w:r>
      <w:r w:rsidRPr="006A1F7F">
        <w:rPr>
          <w:rFonts w:ascii="Arial" w:eastAsia="Calibri" w:hAnsi="Arial" w:cs="Arial"/>
          <w:sz w:val="22"/>
          <w:lang w:val="es-ES"/>
        </w:rPr>
        <w:t xml:space="preserve"> en el numeral 4.2.4., en el que se precisa que </w:t>
      </w:r>
      <w:r w:rsidR="00F163C8" w:rsidRPr="006A1F7F">
        <w:rPr>
          <w:rFonts w:ascii="Arial" w:eastAsia="Calibri" w:hAnsi="Arial" w:cs="Arial"/>
          <w:sz w:val="22"/>
          <w:lang w:val="es-ES"/>
        </w:rPr>
        <w:t xml:space="preserve">este factor de calidad </w:t>
      </w:r>
      <w:r w:rsidRPr="006A1F7F">
        <w:rPr>
          <w:rFonts w:ascii="Arial" w:eastAsia="Calibri" w:hAnsi="Arial" w:cs="Arial"/>
          <w:sz w:val="22"/>
          <w:lang w:val="es-ES"/>
        </w:rPr>
        <w:t xml:space="preserve">será </w:t>
      </w:r>
      <w:r w:rsidRPr="006A1F7F">
        <w:rPr>
          <w:rFonts w:ascii="Arial" w:eastAsia="Calibri" w:hAnsi="Arial" w:cs="Arial"/>
          <w:i/>
          <w:sz w:val="22"/>
          <w:lang w:val="es-ES"/>
        </w:rPr>
        <w:t>obligatorio</w:t>
      </w:r>
      <w:r w:rsidRPr="006A1F7F">
        <w:rPr>
          <w:rFonts w:ascii="Arial" w:eastAsia="Calibri" w:hAnsi="Arial" w:cs="Arial"/>
          <w:sz w:val="22"/>
          <w:lang w:val="es-ES"/>
        </w:rPr>
        <w:t xml:space="preserve"> cuando se trate de obras nuevas </w:t>
      </w:r>
      <w:r w:rsidRPr="006A1F7F">
        <w:rPr>
          <w:rFonts w:ascii="Arial" w:hAnsi="Arial" w:cs="Arial"/>
          <w:color w:val="000000"/>
          <w:sz w:val="22"/>
        </w:rPr>
        <w:t xml:space="preserve">en las que se haya exigido el amparo de estabilidad y calidad de las obras. De igual modo, señala que </w:t>
      </w:r>
      <w:r w:rsidRPr="006A1F7F">
        <w:rPr>
          <w:rFonts w:ascii="Arial" w:eastAsia="Calibri" w:hAnsi="Arial" w:cs="Arial"/>
          <w:sz w:val="22"/>
          <w:lang w:val="es-ES"/>
        </w:rPr>
        <w:t>el puntaje que se le asignará será de mínimo cinco (5), sin perjuicio de incluir un puntaje superior para este factor.</w:t>
      </w:r>
      <w:r w:rsidR="006A1F7F">
        <w:rPr>
          <w:rFonts w:ascii="Arial" w:eastAsia="Calibri" w:hAnsi="Arial" w:cs="Arial"/>
          <w:sz w:val="22"/>
          <w:lang w:val="es-ES"/>
        </w:rPr>
        <w:t xml:space="preserve"> </w:t>
      </w:r>
      <w:r w:rsidR="00B5744B">
        <w:rPr>
          <w:rFonts w:ascii="Arial" w:eastAsia="Arial" w:hAnsi="Arial" w:cs="Arial"/>
          <w:sz w:val="22"/>
        </w:rPr>
        <w:t>El medio para la obtención del puntaje es el Formato 7D, el cual deberá ser diligenciado y presentado en la oferta por los</w:t>
      </w:r>
      <w:r w:rsidR="00500C4E">
        <w:rPr>
          <w:rFonts w:ascii="Arial" w:eastAsia="Arial" w:hAnsi="Arial" w:cs="Arial"/>
          <w:sz w:val="22"/>
        </w:rPr>
        <w:t xml:space="preserve"> proponentes que deseen obtener el puntaje señalado por la entidad por el factor calidad.</w:t>
      </w:r>
    </w:p>
    <w:p w14:paraId="660E019B" w14:textId="77777777" w:rsidR="00F163C8" w:rsidRPr="002F77A1" w:rsidRDefault="00F163C8" w:rsidP="0067722F">
      <w:pPr>
        <w:autoSpaceDE w:val="0"/>
        <w:autoSpaceDN w:val="0"/>
        <w:adjustRightInd w:val="0"/>
        <w:spacing w:line="276" w:lineRule="auto"/>
        <w:ind w:firstLine="708"/>
        <w:jc w:val="both"/>
        <w:rPr>
          <w:rFonts w:ascii="Arial" w:eastAsia="Arial" w:hAnsi="Arial" w:cs="Arial"/>
        </w:rPr>
      </w:pPr>
    </w:p>
    <w:p w14:paraId="2FF29B12" w14:textId="77777777" w:rsidR="00FC4013" w:rsidRPr="002D2FFD" w:rsidRDefault="00FC4013" w:rsidP="0067722F">
      <w:pPr>
        <w:shd w:val="clear" w:color="auto" w:fill="FFFFFF"/>
        <w:spacing w:after="120"/>
        <w:ind w:left="709" w:right="709"/>
        <w:jc w:val="both"/>
        <w:rPr>
          <w:rFonts w:ascii="Arial" w:hAnsi="Arial" w:cs="Arial"/>
          <w:color w:val="0D0D0D"/>
          <w:sz w:val="21"/>
          <w:szCs w:val="21"/>
          <w:bdr w:val="none" w:sz="0" w:space="0" w:color="auto" w:frame="1"/>
          <w:lang w:eastAsia="es-CO"/>
        </w:rPr>
      </w:pPr>
      <w:r w:rsidRPr="002D2FFD">
        <w:rPr>
          <w:rFonts w:ascii="Arial" w:hAnsi="Arial" w:cs="Arial"/>
          <w:color w:val="0D0D0D"/>
          <w:sz w:val="21"/>
          <w:szCs w:val="21"/>
          <w:bdr w:val="none" w:sz="0" w:space="0" w:color="auto" w:frame="1"/>
          <w:lang w:eastAsia="es-CO"/>
        </w:rPr>
        <w:t>2. ¿A qué se refiere el pliego de condiciones versión 3 y/o la Colombia Compra</w:t>
      </w:r>
    </w:p>
    <w:p w14:paraId="242F1887" w14:textId="733797DD" w:rsidR="00FC4013" w:rsidRPr="002D2FFD" w:rsidRDefault="00FC4013"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2D2FFD">
        <w:rPr>
          <w:rFonts w:ascii="Arial" w:hAnsi="Arial" w:cs="Arial"/>
          <w:color w:val="0D0D0D"/>
          <w:sz w:val="21"/>
          <w:szCs w:val="21"/>
          <w:bdr w:val="none" w:sz="0" w:space="0" w:color="auto" w:frame="1"/>
          <w:lang w:eastAsia="es-CO"/>
        </w:rPr>
        <w:t>Eficiente, cuando hace referencia al texto “…en la frecuencia que determine en el</w:t>
      </w:r>
      <w:r>
        <w:rPr>
          <w:rFonts w:ascii="Arial" w:hAnsi="Arial" w:cs="Arial"/>
          <w:color w:val="0D0D0D"/>
          <w:sz w:val="21"/>
          <w:szCs w:val="21"/>
          <w:bdr w:val="none" w:sz="0" w:space="0" w:color="auto" w:frame="1"/>
          <w:lang w:eastAsia="es-CO"/>
        </w:rPr>
        <w:t xml:space="preserve"> </w:t>
      </w:r>
      <w:r w:rsidRPr="002D2FFD">
        <w:rPr>
          <w:rFonts w:ascii="Arial" w:hAnsi="Arial" w:cs="Arial"/>
          <w:color w:val="0D0D0D"/>
          <w:sz w:val="21"/>
          <w:szCs w:val="21"/>
          <w:bdr w:val="none" w:sz="0" w:space="0" w:color="auto" w:frame="1"/>
          <w:lang w:eastAsia="es-CO"/>
        </w:rPr>
        <w:t>Formato 7D…”?</w:t>
      </w:r>
    </w:p>
    <w:p w14:paraId="35F391EB" w14:textId="072BECB4" w:rsidR="00845A51" w:rsidRDefault="00FC4013"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2D2FFD">
        <w:rPr>
          <w:rFonts w:ascii="Arial" w:hAnsi="Arial" w:cs="Arial"/>
          <w:color w:val="0D0D0D"/>
          <w:sz w:val="21"/>
          <w:szCs w:val="21"/>
          <w:bdr w:val="none" w:sz="0" w:space="0" w:color="auto" w:frame="1"/>
          <w:lang w:eastAsia="es-CO"/>
        </w:rPr>
        <w:t>Aclaración detallada: Sobre la pregunta particular, se solicita que esa entidad, indique si dentro de dicho formato 7D, el oferente puede colocar la frecuencia a liberalidad sin limitación alguna.</w:t>
      </w:r>
    </w:p>
    <w:p w14:paraId="19D3F7FA" w14:textId="77777777" w:rsidR="00845A51" w:rsidRPr="002D2FFD" w:rsidRDefault="00845A51"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2D2FFD">
        <w:rPr>
          <w:rFonts w:ascii="Arial" w:hAnsi="Arial" w:cs="Arial"/>
          <w:color w:val="0D0D0D"/>
          <w:sz w:val="21"/>
          <w:szCs w:val="21"/>
          <w:bdr w:val="none" w:sz="0" w:space="0" w:color="auto" w:frame="1"/>
          <w:lang w:eastAsia="es-CO"/>
        </w:rPr>
        <w:t>3. ¿Existe alguna delimitación al plazo y/o periodicidad respecto del compromiso de</w:t>
      </w:r>
      <w:r>
        <w:rPr>
          <w:rFonts w:ascii="Arial" w:hAnsi="Arial" w:cs="Arial"/>
          <w:color w:val="0D0D0D"/>
          <w:sz w:val="21"/>
          <w:szCs w:val="21"/>
          <w:bdr w:val="none" w:sz="0" w:space="0" w:color="auto" w:frame="1"/>
          <w:lang w:eastAsia="es-CO"/>
        </w:rPr>
        <w:t xml:space="preserve"> </w:t>
      </w:r>
      <w:r w:rsidRPr="002D2FFD">
        <w:rPr>
          <w:rFonts w:ascii="Arial" w:hAnsi="Arial" w:cs="Arial"/>
          <w:color w:val="0D0D0D"/>
          <w:sz w:val="21"/>
          <w:szCs w:val="21"/>
          <w:bdr w:val="none" w:sz="0" w:space="0" w:color="auto" w:frame="1"/>
          <w:lang w:eastAsia="es-CO"/>
        </w:rPr>
        <w:t>realizar seguimiento, por parte del contratista y/u oferente y que deba quedar</w:t>
      </w:r>
    </w:p>
    <w:p w14:paraId="73DCFA20" w14:textId="77777777" w:rsidR="00845A51" w:rsidRPr="002D2FFD" w:rsidRDefault="00845A51"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2D2FFD">
        <w:rPr>
          <w:rFonts w:ascii="Arial" w:hAnsi="Arial" w:cs="Arial"/>
          <w:color w:val="0D0D0D"/>
          <w:sz w:val="21"/>
          <w:szCs w:val="21"/>
          <w:bdr w:val="none" w:sz="0" w:space="0" w:color="auto" w:frame="1"/>
          <w:lang w:eastAsia="es-CO"/>
        </w:rPr>
        <w:t>plasmado dentro de dicho formato 7D?</w:t>
      </w:r>
    </w:p>
    <w:p w14:paraId="6FD7E594" w14:textId="1893B34F" w:rsidR="00FC4013" w:rsidRDefault="00845A51" w:rsidP="00F163C8">
      <w:pPr>
        <w:shd w:val="clear" w:color="auto" w:fill="FFFFFF"/>
        <w:spacing w:before="120"/>
        <w:ind w:left="709" w:right="709"/>
        <w:jc w:val="both"/>
        <w:rPr>
          <w:rFonts w:ascii="Arial" w:hAnsi="Arial" w:cs="Arial"/>
          <w:color w:val="0D0D0D"/>
          <w:sz w:val="21"/>
          <w:szCs w:val="21"/>
          <w:bdr w:val="none" w:sz="0" w:space="0" w:color="auto" w:frame="1"/>
          <w:lang w:eastAsia="es-CO"/>
        </w:rPr>
      </w:pPr>
      <w:r w:rsidRPr="002D2FFD">
        <w:rPr>
          <w:rFonts w:ascii="Arial" w:hAnsi="Arial" w:cs="Arial"/>
          <w:color w:val="0D0D0D"/>
          <w:sz w:val="21"/>
          <w:szCs w:val="21"/>
          <w:bdr w:val="none" w:sz="0" w:space="0" w:color="auto" w:frame="1"/>
          <w:lang w:eastAsia="es-CO"/>
        </w:rPr>
        <w:t>Aclaración detallada: Sobre la pregunta particular, se solicita que esa entidad, indique si dentro del formato 7D en el texto [señalar el periodo de tiempo], el oferente al momento de su diligenciamiento puede incluir que el seguimiento se debe realizar 1 vez cada 10 o 15 o 20 meses, es decir, si el oferente no está limitado ni condicionado para incluir el número de meses que indiquen la frecuencia mediante los cuales realizará sus visitas de seguimiento.</w:t>
      </w:r>
    </w:p>
    <w:p w14:paraId="75529B83" w14:textId="77777777" w:rsidR="00F163C8" w:rsidRDefault="00F163C8" w:rsidP="0067722F">
      <w:pPr>
        <w:shd w:val="clear" w:color="auto" w:fill="FFFFFF"/>
        <w:ind w:left="709" w:right="709"/>
        <w:jc w:val="both"/>
        <w:rPr>
          <w:rFonts w:ascii="Arial" w:hAnsi="Arial" w:cs="Arial"/>
          <w:b/>
          <w:color w:val="000000"/>
        </w:rPr>
      </w:pPr>
    </w:p>
    <w:p w14:paraId="58182547" w14:textId="419AC8E5" w:rsidR="00643774" w:rsidRDefault="00845A51" w:rsidP="0067722F">
      <w:pPr>
        <w:autoSpaceDE w:val="0"/>
        <w:autoSpaceDN w:val="0"/>
        <w:adjustRightInd w:val="0"/>
        <w:spacing w:after="120" w:line="276" w:lineRule="auto"/>
        <w:jc w:val="both"/>
        <w:rPr>
          <w:rFonts w:ascii="Arial" w:hAnsi="Arial" w:cs="Arial"/>
          <w:color w:val="000000"/>
          <w:sz w:val="22"/>
        </w:rPr>
      </w:pPr>
      <w:r>
        <w:rPr>
          <w:rFonts w:ascii="Arial" w:hAnsi="Arial" w:cs="Arial"/>
          <w:color w:val="000000"/>
          <w:sz w:val="22"/>
        </w:rPr>
        <w:t xml:space="preserve">El texto </w:t>
      </w:r>
      <w:r w:rsidR="00E67BE3">
        <w:rPr>
          <w:rFonts w:ascii="Arial" w:hAnsi="Arial" w:cs="Arial"/>
          <w:color w:val="000000"/>
          <w:sz w:val="22"/>
        </w:rPr>
        <w:t>«</w:t>
      </w:r>
      <w:r>
        <w:rPr>
          <w:rFonts w:ascii="Arial" w:hAnsi="Arial" w:cs="Arial"/>
          <w:color w:val="000000"/>
          <w:sz w:val="22"/>
        </w:rPr>
        <w:t>en la frecuencia que determine el Formato 7D» contenido en el numeral IX del numeral 4.2.4 del Documento Base, se</w:t>
      </w:r>
      <w:r w:rsidR="00FC4013" w:rsidRPr="00500C4E">
        <w:rPr>
          <w:rFonts w:ascii="Arial" w:hAnsi="Arial" w:cs="Arial"/>
          <w:color w:val="000000"/>
          <w:sz w:val="22"/>
        </w:rPr>
        <w:t xml:space="preserve"> refiere a la </w:t>
      </w:r>
      <w:r w:rsidR="00E67BE3">
        <w:rPr>
          <w:rFonts w:ascii="Arial" w:hAnsi="Arial" w:cs="Arial"/>
          <w:color w:val="000000"/>
          <w:sz w:val="22"/>
        </w:rPr>
        <w:t>periodicidad</w:t>
      </w:r>
      <w:r w:rsidR="00FC4013" w:rsidRPr="00500C4E">
        <w:rPr>
          <w:rFonts w:ascii="Arial" w:hAnsi="Arial" w:cs="Arial"/>
          <w:color w:val="000000"/>
          <w:sz w:val="22"/>
        </w:rPr>
        <w:t xml:space="preserve"> con la que el </w:t>
      </w:r>
      <w:r w:rsidR="00500C4E">
        <w:rPr>
          <w:rFonts w:ascii="Arial" w:hAnsi="Arial" w:cs="Arial"/>
          <w:color w:val="000000"/>
          <w:sz w:val="22"/>
        </w:rPr>
        <w:t xml:space="preserve">contratista realizará </w:t>
      </w:r>
      <w:r w:rsidR="00FC4013" w:rsidRPr="00500C4E">
        <w:rPr>
          <w:rFonts w:ascii="Arial" w:hAnsi="Arial" w:cs="Arial"/>
          <w:color w:val="000000"/>
          <w:sz w:val="22"/>
        </w:rPr>
        <w:t>el seguimiento a la gar</w:t>
      </w:r>
      <w:r w:rsidR="00500C4E">
        <w:rPr>
          <w:rFonts w:ascii="Arial" w:hAnsi="Arial" w:cs="Arial"/>
          <w:color w:val="000000"/>
          <w:sz w:val="22"/>
        </w:rPr>
        <w:t>antía suplementaria o adicional que ofreció en el proceso de selecci</w:t>
      </w:r>
      <w:r w:rsidR="00643774">
        <w:rPr>
          <w:rFonts w:ascii="Arial" w:hAnsi="Arial" w:cs="Arial"/>
          <w:color w:val="000000"/>
          <w:sz w:val="22"/>
        </w:rPr>
        <w:t>ón</w:t>
      </w:r>
      <w:r w:rsidR="009A5CA2">
        <w:rPr>
          <w:rFonts w:ascii="Arial" w:hAnsi="Arial" w:cs="Arial"/>
          <w:color w:val="000000"/>
          <w:sz w:val="22"/>
        </w:rPr>
        <w:t>. Lo anterior significa</w:t>
      </w:r>
      <w:r w:rsidR="00500C4E">
        <w:rPr>
          <w:rFonts w:ascii="Arial" w:hAnsi="Arial" w:cs="Arial"/>
          <w:color w:val="000000"/>
          <w:sz w:val="22"/>
        </w:rPr>
        <w:t xml:space="preserve"> que e</w:t>
      </w:r>
      <w:r w:rsidR="00FC4013" w:rsidRPr="00500C4E">
        <w:rPr>
          <w:rFonts w:ascii="Arial" w:hAnsi="Arial" w:cs="Arial"/>
          <w:color w:val="000000"/>
          <w:sz w:val="22"/>
        </w:rPr>
        <w:t>sta frecuencia estará previamente determinada en el compromiso que el contratista asumió en el proceso de selección en calidad de proponente al ofrecer esta garantía mediante el Formato 7D</w:t>
      </w:r>
      <w:r w:rsidR="00643774">
        <w:rPr>
          <w:rFonts w:ascii="Arial" w:hAnsi="Arial" w:cs="Arial"/>
          <w:color w:val="000000"/>
          <w:sz w:val="22"/>
        </w:rPr>
        <w:t>.</w:t>
      </w:r>
    </w:p>
    <w:p w14:paraId="0B0AD493" w14:textId="1AD79060" w:rsidR="00000CD3" w:rsidRDefault="002E5D84" w:rsidP="002F77A1">
      <w:pPr>
        <w:autoSpaceDE w:val="0"/>
        <w:autoSpaceDN w:val="0"/>
        <w:adjustRightInd w:val="0"/>
        <w:spacing w:before="120" w:after="120" w:line="276" w:lineRule="auto"/>
        <w:ind w:firstLine="708"/>
        <w:jc w:val="both"/>
        <w:rPr>
          <w:rFonts w:ascii="Arial" w:hAnsi="Arial" w:cs="Arial"/>
          <w:color w:val="000000"/>
          <w:sz w:val="22"/>
        </w:rPr>
      </w:pPr>
      <w:r>
        <w:rPr>
          <w:rFonts w:ascii="Arial" w:hAnsi="Arial" w:cs="Arial"/>
          <w:color w:val="000000"/>
          <w:sz w:val="22"/>
        </w:rPr>
        <w:t>El oferente</w:t>
      </w:r>
      <w:r w:rsidR="009A5CA2">
        <w:rPr>
          <w:rFonts w:ascii="Arial" w:hAnsi="Arial" w:cs="Arial"/>
          <w:color w:val="000000"/>
          <w:sz w:val="22"/>
        </w:rPr>
        <w:t>,</w:t>
      </w:r>
      <w:r>
        <w:rPr>
          <w:rFonts w:ascii="Arial" w:hAnsi="Arial" w:cs="Arial"/>
          <w:color w:val="000000"/>
          <w:sz w:val="22"/>
        </w:rPr>
        <w:t xml:space="preserve"> único autorizado por los Documentos tipo para diligenciar el Formato 7D dentro de su oferta, cuenta con la potestad discrecional para definir la </w:t>
      </w:r>
      <w:r w:rsidR="00E67BE3">
        <w:rPr>
          <w:rFonts w:ascii="Arial" w:hAnsi="Arial" w:cs="Arial"/>
          <w:color w:val="000000"/>
          <w:sz w:val="22"/>
        </w:rPr>
        <w:t xml:space="preserve">periodicidad </w:t>
      </w:r>
      <w:r w:rsidR="009A5CA2">
        <w:rPr>
          <w:rFonts w:ascii="Arial" w:hAnsi="Arial" w:cs="Arial"/>
          <w:color w:val="000000"/>
          <w:sz w:val="22"/>
        </w:rPr>
        <w:t>con</w:t>
      </w:r>
      <w:r>
        <w:rPr>
          <w:rFonts w:ascii="Arial" w:hAnsi="Arial" w:cs="Arial"/>
          <w:color w:val="000000"/>
          <w:sz w:val="22"/>
        </w:rPr>
        <w:t xml:space="preserve"> la cual realizará el seguimiento a la garantía suplementaria</w:t>
      </w:r>
      <w:r w:rsidR="00E412B7">
        <w:rPr>
          <w:rFonts w:ascii="Arial" w:hAnsi="Arial" w:cs="Arial"/>
          <w:color w:val="000000"/>
          <w:sz w:val="22"/>
        </w:rPr>
        <w:t xml:space="preserve"> durante su vigencia</w:t>
      </w:r>
      <w:r w:rsidR="00E67BE3">
        <w:rPr>
          <w:rFonts w:ascii="Arial" w:hAnsi="Arial" w:cs="Arial"/>
          <w:color w:val="000000"/>
          <w:sz w:val="22"/>
        </w:rPr>
        <w:t xml:space="preserve"> bajo los principios de lealtad y buena fe</w:t>
      </w:r>
      <w:r w:rsidR="009A5CA2">
        <w:rPr>
          <w:rFonts w:ascii="Arial" w:hAnsi="Arial" w:cs="Arial"/>
          <w:color w:val="000000"/>
          <w:sz w:val="22"/>
        </w:rPr>
        <w:t>. Esto, por cuanto</w:t>
      </w:r>
      <w:r w:rsidR="00E412B7">
        <w:rPr>
          <w:rFonts w:ascii="Arial" w:hAnsi="Arial" w:cs="Arial"/>
          <w:color w:val="000000"/>
          <w:sz w:val="22"/>
        </w:rPr>
        <w:t xml:space="preserve"> el pliego de condiciones no establece ninguna limitación al respecto. </w:t>
      </w:r>
    </w:p>
    <w:p w14:paraId="5A107711" w14:textId="6343FC00" w:rsidR="00B962FF" w:rsidRDefault="00B962FF" w:rsidP="00E67BE3">
      <w:pPr>
        <w:spacing w:before="120" w:line="276" w:lineRule="auto"/>
        <w:ind w:firstLine="709"/>
        <w:jc w:val="both"/>
        <w:rPr>
          <w:rFonts w:ascii="Arial" w:eastAsiaTheme="minorEastAsia" w:hAnsi="Arial" w:cs="Arial"/>
          <w:sz w:val="22"/>
        </w:rPr>
      </w:pPr>
      <w:r w:rsidRPr="00152AD5">
        <w:rPr>
          <w:rFonts w:ascii="Arial" w:eastAsiaTheme="minorEastAsia" w:hAnsi="Arial" w:cs="Arial"/>
          <w:sz w:val="22"/>
        </w:rPr>
        <w:t>En todo caso, de acuerdo con lo establecido en el documento base, la asignación del puntaje correspondiente al factor de calidad se</w:t>
      </w:r>
      <w:r w:rsidR="00AF1059">
        <w:rPr>
          <w:rFonts w:ascii="Arial" w:eastAsiaTheme="minorEastAsia" w:hAnsi="Arial" w:cs="Arial"/>
          <w:sz w:val="22"/>
        </w:rPr>
        <w:t xml:space="preserve"> realiza</w:t>
      </w:r>
      <w:r w:rsidRPr="00152AD5">
        <w:rPr>
          <w:rFonts w:ascii="Arial" w:eastAsiaTheme="minorEastAsia" w:hAnsi="Arial" w:cs="Arial"/>
          <w:sz w:val="22"/>
        </w:rPr>
        <w:t xml:space="preserve"> en función del número de meses </w:t>
      </w:r>
      <w:r w:rsidRPr="00152AD5">
        <w:rPr>
          <w:rFonts w:ascii="Arial" w:eastAsiaTheme="minorEastAsia" w:hAnsi="Arial" w:cs="Arial"/>
          <w:sz w:val="22"/>
        </w:rPr>
        <w:lastRenderedPageBreak/>
        <w:t>ofertados de vigencia de la garantía suplementaria o adicional, no en relación con la frecuencia del seguimiento durante el término de vigencia de aquella</w:t>
      </w:r>
      <w:r>
        <w:rPr>
          <w:rFonts w:ascii="Arial" w:eastAsiaTheme="minorEastAsia" w:hAnsi="Arial" w:cs="Arial"/>
          <w:sz w:val="22"/>
        </w:rPr>
        <w:t>. En ese sentido</w:t>
      </w:r>
      <w:r w:rsidR="00D34176">
        <w:rPr>
          <w:rFonts w:ascii="Arial" w:eastAsiaTheme="minorEastAsia" w:hAnsi="Arial" w:cs="Arial"/>
          <w:sz w:val="22"/>
        </w:rPr>
        <w:t>,</w:t>
      </w:r>
      <w:r>
        <w:rPr>
          <w:rFonts w:ascii="Arial" w:eastAsiaTheme="minorEastAsia" w:hAnsi="Arial" w:cs="Arial"/>
          <w:sz w:val="22"/>
        </w:rPr>
        <w:t xml:space="preserve"> la evaluación del factor de calidad de la garantía suplementaría está determinada por los meses durante los cuales el contratista ofrece mantener la garantía adicional</w:t>
      </w:r>
      <w:r w:rsidR="00D34176">
        <w:rPr>
          <w:rFonts w:ascii="Arial" w:eastAsiaTheme="minorEastAsia" w:hAnsi="Arial" w:cs="Arial"/>
          <w:sz w:val="22"/>
        </w:rPr>
        <w:t>,</w:t>
      </w:r>
      <w:r>
        <w:rPr>
          <w:rFonts w:ascii="Arial" w:eastAsiaTheme="minorEastAsia" w:hAnsi="Arial" w:cs="Arial"/>
          <w:sz w:val="22"/>
        </w:rPr>
        <w:t xml:space="preserve"> respetando el tope establecido en el pliego de condiciones, independientemente de la frecuencia del seguimiento que indique en el Formato 7D</w:t>
      </w:r>
      <w:r w:rsidR="00AF1059">
        <w:rPr>
          <w:rFonts w:ascii="Arial" w:eastAsiaTheme="minorEastAsia" w:hAnsi="Arial" w:cs="Arial"/>
          <w:sz w:val="22"/>
        </w:rPr>
        <w:t xml:space="preserve">. Como se explicó anteriormente, esta última </w:t>
      </w:r>
      <w:r>
        <w:rPr>
          <w:rFonts w:ascii="Arial" w:eastAsiaTheme="minorEastAsia" w:hAnsi="Arial" w:cs="Arial"/>
          <w:sz w:val="22"/>
        </w:rPr>
        <w:t>se aplicará de manera supletiva cuando la entidad no designe una persona para realizar el seguimiento.</w:t>
      </w:r>
    </w:p>
    <w:p w14:paraId="3995D2D9" w14:textId="77777777" w:rsidR="00E67BE3" w:rsidRPr="002F77A1" w:rsidRDefault="00E67BE3" w:rsidP="0067722F">
      <w:pPr>
        <w:spacing w:line="276" w:lineRule="auto"/>
        <w:ind w:firstLine="709"/>
        <w:jc w:val="both"/>
        <w:rPr>
          <w:rFonts w:ascii="Arial" w:eastAsiaTheme="minorEastAsia" w:hAnsi="Arial" w:cs="Arial"/>
          <w:sz w:val="22"/>
        </w:rPr>
      </w:pPr>
    </w:p>
    <w:p w14:paraId="42F782FA" w14:textId="77777777" w:rsidR="00FC4013" w:rsidRPr="002D2FFD" w:rsidRDefault="00FC4013" w:rsidP="0067722F">
      <w:pPr>
        <w:shd w:val="clear" w:color="auto" w:fill="FFFFFF"/>
        <w:spacing w:after="120"/>
        <w:ind w:left="709" w:right="709"/>
        <w:jc w:val="both"/>
        <w:rPr>
          <w:rFonts w:ascii="Arial" w:hAnsi="Arial" w:cs="Arial"/>
          <w:color w:val="0D0D0D"/>
          <w:sz w:val="21"/>
          <w:szCs w:val="21"/>
          <w:bdr w:val="none" w:sz="0" w:space="0" w:color="auto" w:frame="1"/>
          <w:lang w:eastAsia="es-CO"/>
        </w:rPr>
      </w:pPr>
      <w:r w:rsidRPr="002D2FFD">
        <w:rPr>
          <w:rFonts w:ascii="Arial" w:hAnsi="Arial" w:cs="Arial"/>
          <w:color w:val="0D0D0D"/>
          <w:sz w:val="21"/>
          <w:szCs w:val="21"/>
          <w:bdr w:val="none" w:sz="0" w:space="0" w:color="auto" w:frame="1"/>
          <w:lang w:eastAsia="es-CO"/>
        </w:rPr>
        <w:t>4. ¿La entidad puede delimitar el tiempo de aplicación de visitas y/o seguimiento dentro del formato 7D para responsabilidad del oferente?</w:t>
      </w:r>
    </w:p>
    <w:p w14:paraId="2C688A5C" w14:textId="77777777" w:rsidR="00FC4013" w:rsidRPr="002D2FFD" w:rsidRDefault="00FC4013" w:rsidP="0067722F">
      <w:pPr>
        <w:shd w:val="clear" w:color="auto" w:fill="FFFFFF"/>
        <w:ind w:left="709" w:right="709"/>
        <w:jc w:val="both"/>
        <w:rPr>
          <w:rFonts w:ascii="Arial" w:hAnsi="Arial" w:cs="Arial"/>
          <w:color w:val="0D0D0D"/>
          <w:sz w:val="21"/>
          <w:szCs w:val="21"/>
          <w:bdr w:val="none" w:sz="0" w:space="0" w:color="auto" w:frame="1"/>
          <w:lang w:eastAsia="es-CO"/>
        </w:rPr>
      </w:pPr>
      <w:r w:rsidRPr="002D2FFD">
        <w:rPr>
          <w:rFonts w:ascii="Arial" w:hAnsi="Arial" w:cs="Arial"/>
          <w:color w:val="0D0D0D"/>
          <w:sz w:val="21"/>
          <w:szCs w:val="21"/>
          <w:bdr w:val="none" w:sz="0" w:space="0" w:color="auto" w:frame="1"/>
          <w:lang w:eastAsia="es-CO"/>
        </w:rPr>
        <w:t>Aclaración detallada: Sobre la pregunta particular, se solicita que esa entidad, indique si dentro del formato 7D en el texto [señalar el periodo de tiempo], cualquier entidad puede delimitar que su diligenciamiento y/o seguimiento y/o visitas, se realicen una (01) vez cada 2 o 3 o 6 meses, es decir, cada periodo que la entidad desee imponer.</w:t>
      </w:r>
    </w:p>
    <w:p w14:paraId="4190C795" w14:textId="77777777" w:rsidR="00FC4013" w:rsidRDefault="00FC4013" w:rsidP="0067722F">
      <w:pPr>
        <w:shd w:val="clear" w:color="auto" w:fill="FFFFFF"/>
        <w:ind w:left="709" w:right="709"/>
        <w:jc w:val="both"/>
        <w:rPr>
          <w:rFonts w:ascii="Arial" w:hAnsi="Arial" w:cs="Arial"/>
          <w:b/>
          <w:color w:val="000000"/>
        </w:rPr>
      </w:pPr>
    </w:p>
    <w:p w14:paraId="6A458900" w14:textId="0DFC196A" w:rsidR="00FC4013" w:rsidRPr="00F0190D" w:rsidRDefault="00E67BE3" w:rsidP="0067722F">
      <w:pPr>
        <w:spacing w:after="120" w:line="276" w:lineRule="auto"/>
        <w:jc w:val="both"/>
        <w:rPr>
          <w:rFonts w:ascii="Arial" w:eastAsia="Calibri" w:hAnsi="Arial" w:cs="Arial"/>
          <w:color w:val="000000"/>
          <w:sz w:val="22"/>
        </w:rPr>
      </w:pPr>
      <w:r w:rsidRPr="00E67BE3">
        <w:rPr>
          <w:rFonts w:ascii="Arial" w:hAnsi="Arial" w:cs="Arial"/>
          <w:color w:val="000000"/>
          <w:sz w:val="22"/>
        </w:rPr>
        <w:t xml:space="preserve">La entidad </w:t>
      </w:r>
      <w:r>
        <w:rPr>
          <w:rFonts w:ascii="Arial" w:hAnsi="Arial" w:cs="Arial"/>
          <w:color w:val="000000"/>
          <w:sz w:val="22"/>
        </w:rPr>
        <w:t xml:space="preserve">no </w:t>
      </w:r>
      <w:r w:rsidRPr="00E67BE3">
        <w:rPr>
          <w:rFonts w:ascii="Arial" w:hAnsi="Arial" w:cs="Arial"/>
          <w:color w:val="000000"/>
          <w:sz w:val="22"/>
        </w:rPr>
        <w:t xml:space="preserve">puede delimitar </w:t>
      </w:r>
      <w:r>
        <w:rPr>
          <w:rFonts w:ascii="Arial" w:hAnsi="Arial" w:cs="Arial"/>
          <w:color w:val="000000"/>
          <w:sz w:val="22"/>
        </w:rPr>
        <w:t xml:space="preserve">la periodicidad del </w:t>
      </w:r>
      <w:r w:rsidRPr="00E67BE3">
        <w:rPr>
          <w:rFonts w:ascii="Arial" w:hAnsi="Arial" w:cs="Arial"/>
          <w:color w:val="000000"/>
          <w:sz w:val="22"/>
        </w:rPr>
        <w:t>seguimiento dentro del formato 7D</w:t>
      </w:r>
      <w:r w:rsidR="00FC4013" w:rsidRPr="00F0190D">
        <w:rPr>
          <w:rFonts w:ascii="Arial" w:hAnsi="Arial" w:cs="Arial"/>
          <w:color w:val="000000"/>
          <w:sz w:val="22"/>
        </w:rPr>
        <w:t xml:space="preserve">. </w:t>
      </w:r>
      <w:r w:rsidR="00FC4013" w:rsidRPr="00F0190D">
        <w:rPr>
          <w:rFonts w:ascii="Arial" w:eastAsia="Calibri" w:hAnsi="Arial" w:cs="Arial"/>
          <w:color w:val="000000"/>
          <w:sz w:val="22"/>
        </w:rPr>
        <w:t>Todos los formatos</w:t>
      </w:r>
      <w:r w:rsidR="00D34176">
        <w:rPr>
          <w:rFonts w:ascii="Arial" w:eastAsia="Calibri" w:hAnsi="Arial" w:cs="Arial"/>
          <w:color w:val="000000"/>
          <w:sz w:val="22"/>
        </w:rPr>
        <w:t>,</w:t>
      </w:r>
      <w:r w:rsidR="00FC4013" w:rsidRPr="00F0190D">
        <w:rPr>
          <w:rFonts w:ascii="Arial" w:eastAsia="Calibri" w:hAnsi="Arial" w:cs="Arial"/>
          <w:color w:val="000000"/>
          <w:sz w:val="22"/>
        </w:rPr>
        <w:t xml:space="preserve"> como parte integral de los «Documentos Tipo», ostentan las características de obligatoriedad e inalterabilidad que los distingue, salvo en aquellos aspectos donde expresamente se faculte a las entidades contratantes o a los proponentes para su diligenciamiento</w:t>
      </w:r>
      <w:r w:rsidR="00D34176">
        <w:rPr>
          <w:rFonts w:ascii="Arial" w:eastAsia="Calibri" w:hAnsi="Arial" w:cs="Arial"/>
          <w:color w:val="000000"/>
          <w:sz w:val="22"/>
        </w:rPr>
        <w:t xml:space="preserve">. </w:t>
      </w:r>
      <w:r w:rsidR="007846C5">
        <w:rPr>
          <w:rFonts w:ascii="Arial" w:eastAsia="Calibri" w:hAnsi="Arial" w:cs="Arial"/>
          <w:color w:val="000000"/>
          <w:sz w:val="22"/>
        </w:rPr>
        <w:t>Lo anterior se extiende</w:t>
      </w:r>
      <w:r w:rsidR="00FC4013" w:rsidRPr="00F0190D">
        <w:rPr>
          <w:rFonts w:ascii="Arial" w:eastAsia="Calibri" w:hAnsi="Arial" w:cs="Arial"/>
          <w:color w:val="000000"/>
          <w:sz w:val="22"/>
        </w:rPr>
        <w:t xml:space="preserve"> </w:t>
      </w:r>
      <w:r w:rsidR="007846C5">
        <w:rPr>
          <w:rFonts w:ascii="Arial" w:eastAsia="Calibri" w:hAnsi="Arial" w:cs="Arial"/>
          <w:color w:val="000000"/>
          <w:sz w:val="22"/>
        </w:rPr>
        <w:t>a</w:t>
      </w:r>
      <w:r w:rsidR="005C4795">
        <w:rPr>
          <w:rFonts w:ascii="Arial" w:eastAsia="Calibri" w:hAnsi="Arial" w:cs="Arial"/>
          <w:color w:val="000000"/>
          <w:sz w:val="22"/>
        </w:rPr>
        <w:t>l Formato 7D</w:t>
      </w:r>
      <w:r w:rsidR="00D34176">
        <w:rPr>
          <w:rFonts w:ascii="Arial" w:eastAsia="Calibri" w:hAnsi="Arial" w:cs="Arial"/>
          <w:color w:val="000000"/>
          <w:sz w:val="22"/>
        </w:rPr>
        <w:t>,</w:t>
      </w:r>
      <w:r w:rsidR="005C4795">
        <w:rPr>
          <w:rFonts w:ascii="Arial" w:eastAsia="Calibri" w:hAnsi="Arial" w:cs="Arial"/>
          <w:color w:val="000000"/>
          <w:sz w:val="22"/>
        </w:rPr>
        <w:t xml:space="preserve"> en el cual los únicos facultados para el diligenciamiento de </w:t>
      </w:r>
      <w:r w:rsidR="005C4795" w:rsidRPr="00F0190D">
        <w:rPr>
          <w:rFonts w:ascii="Arial" w:eastAsia="Calibri" w:hAnsi="Arial" w:cs="Arial"/>
          <w:color w:val="000000"/>
          <w:sz w:val="22"/>
        </w:rPr>
        <w:t>los espacios señalados entre</w:t>
      </w:r>
      <w:r w:rsidR="008F3AB1">
        <w:rPr>
          <w:rFonts w:ascii="Arial" w:eastAsia="Calibri" w:hAnsi="Arial" w:cs="Arial"/>
          <w:color w:val="000000"/>
          <w:sz w:val="22"/>
        </w:rPr>
        <w:t xml:space="preserve"> corchetes y resaltados en gris</w:t>
      </w:r>
      <w:r w:rsidR="005C4795">
        <w:rPr>
          <w:rFonts w:ascii="Arial" w:eastAsia="Calibri" w:hAnsi="Arial" w:cs="Arial"/>
          <w:color w:val="000000"/>
          <w:sz w:val="22"/>
        </w:rPr>
        <w:t xml:space="preserve"> son los oferentes, sin que se admita</w:t>
      </w:r>
      <w:r w:rsidR="00FC4013" w:rsidRPr="00F0190D">
        <w:rPr>
          <w:rFonts w:ascii="Arial" w:eastAsia="Calibri" w:hAnsi="Arial" w:cs="Arial"/>
          <w:color w:val="000000"/>
          <w:sz w:val="22"/>
        </w:rPr>
        <w:t xml:space="preserve"> injerencia alguna </w:t>
      </w:r>
      <w:r w:rsidR="005C4795">
        <w:rPr>
          <w:rFonts w:ascii="Arial" w:eastAsia="Calibri" w:hAnsi="Arial" w:cs="Arial"/>
          <w:color w:val="000000"/>
          <w:sz w:val="22"/>
        </w:rPr>
        <w:t xml:space="preserve">de la entidad estatal </w:t>
      </w:r>
      <w:r w:rsidR="008F3AB1">
        <w:rPr>
          <w:rFonts w:ascii="Arial" w:eastAsia="Calibri" w:hAnsi="Arial" w:cs="Arial"/>
          <w:color w:val="000000"/>
          <w:sz w:val="22"/>
        </w:rPr>
        <w:t xml:space="preserve">para efectos de adicionar </w:t>
      </w:r>
      <w:r w:rsidR="00FC4013" w:rsidRPr="00F0190D">
        <w:rPr>
          <w:rFonts w:ascii="Arial" w:eastAsia="Calibri" w:hAnsi="Arial" w:cs="Arial"/>
          <w:color w:val="000000"/>
          <w:sz w:val="22"/>
        </w:rPr>
        <w:t>o su</w:t>
      </w:r>
      <w:r w:rsidR="008F3AB1">
        <w:rPr>
          <w:rFonts w:ascii="Arial" w:eastAsia="Calibri" w:hAnsi="Arial" w:cs="Arial"/>
          <w:color w:val="000000"/>
          <w:sz w:val="22"/>
        </w:rPr>
        <w:t>primir sus</w:t>
      </w:r>
      <w:r w:rsidR="00FC4013" w:rsidRPr="00F0190D">
        <w:rPr>
          <w:rFonts w:ascii="Arial" w:eastAsia="Calibri" w:hAnsi="Arial" w:cs="Arial"/>
          <w:color w:val="000000"/>
          <w:sz w:val="22"/>
        </w:rPr>
        <w:t xml:space="preserve"> elementos</w:t>
      </w:r>
      <w:r w:rsidR="008F3AB1">
        <w:rPr>
          <w:rFonts w:ascii="Arial" w:eastAsia="Calibri" w:hAnsi="Arial" w:cs="Arial"/>
          <w:color w:val="000000"/>
          <w:sz w:val="22"/>
        </w:rPr>
        <w:t>.</w:t>
      </w:r>
    </w:p>
    <w:p w14:paraId="3066CFE2" w14:textId="4436159E" w:rsidR="008F3AB1" w:rsidRDefault="008F3AB1" w:rsidP="007846C5">
      <w:pPr>
        <w:spacing w:before="120" w:line="276" w:lineRule="auto"/>
        <w:ind w:firstLine="708"/>
        <w:jc w:val="both"/>
        <w:rPr>
          <w:rFonts w:ascii="Arial" w:eastAsia="Calibri" w:hAnsi="Arial" w:cs="Arial"/>
          <w:color w:val="000000"/>
          <w:sz w:val="22"/>
          <w:lang w:val="es-ES_tradnl"/>
        </w:rPr>
      </w:pPr>
      <w:r>
        <w:rPr>
          <w:rFonts w:ascii="Arial" w:eastAsia="Calibri" w:hAnsi="Arial" w:cs="Arial"/>
          <w:color w:val="000000"/>
          <w:sz w:val="22"/>
        </w:rPr>
        <w:t>Por su parte, e</w:t>
      </w:r>
      <w:r w:rsidR="00FC4013" w:rsidRPr="00F0190D">
        <w:rPr>
          <w:rFonts w:ascii="Arial" w:eastAsia="Calibri" w:hAnsi="Arial" w:cs="Arial"/>
          <w:color w:val="000000"/>
          <w:sz w:val="22"/>
          <w:lang w:val="es-ES_tradnl"/>
        </w:rPr>
        <w:t xml:space="preserve">l documento base no contiene un espacio entre corchetes y resaltado en gris para que las entidades establezcan límites a la frecuencia de seguimiento de la garantía suplementaria que </w:t>
      </w:r>
      <w:r w:rsidR="00F0190D">
        <w:rPr>
          <w:rFonts w:ascii="Arial" w:eastAsia="Calibri" w:hAnsi="Arial" w:cs="Arial"/>
          <w:color w:val="000000"/>
          <w:sz w:val="22"/>
          <w:lang w:val="es-ES_tradnl"/>
        </w:rPr>
        <w:t>ofrece</w:t>
      </w:r>
      <w:r w:rsidR="00FC4013" w:rsidRPr="00F0190D">
        <w:rPr>
          <w:rFonts w:ascii="Arial" w:eastAsia="Calibri" w:hAnsi="Arial" w:cs="Arial"/>
          <w:color w:val="000000"/>
          <w:sz w:val="22"/>
          <w:lang w:val="es-ES_tradnl"/>
        </w:rPr>
        <w:t xml:space="preserve"> el proponente en e</w:t>
      </w:r>
      <w:r w:rsidR="00F0190D">
        <w:rPr>
          <w:rFonts w:ascii="Arial" w:eastAsia="Calibri" w:hAnsi="Arial" w:cs="Arial"/>
          <w:color w:val="000000"/>
          <w:sz w:val="22"/>
          <w:lang w:val="es-ES_tradnl"/>
        </w:rPr>
        <w:t>l Formato 7D, como ocurre con el plazo máximo a ofertar por concepto de esta garantía en el literal V.</w:t>
      </w:r>
      <w:r w:rsidR="00FC4013" w:rsidRPr="00F0190D">
        <w:rPr>
          <w:rFonts w:ascii="Arial" w:eastAsia="Calibri" w:hAnsi="Arial" w:cs="Arial"/>
          <w:color w:val="000000"/>
          <w:sz w:val="22"/>
          <w:lang w:val="es-ES_tradnl"/>
        </w:rPr>
        <w:t xml:space="preserve"> </w:t>
      </w:r>
      <w:r>
        <w:rPr>
          <w:rFonts w:ascii="Arial" w:eastAsia="Calibri" w:hAnsi="Arial" w:cs="Arial"/>
          <w:color w:val="000000"/>
          <w:sz w:val="22"/>
          <w:lang w:val="es-ES_tradnl"/>
        </w:rPr>
        <w:t>Por otro lado, como</w:t>
      </w:r>
      <w:r w:rsidR="005C4795">
        <w:rPr>
          <w:rFonts w:ascii="Arial" w:eastAsia="Calibri" w:hAnsi="Arial" w:cs="Arial"/>
          <w:color w:val="000000"/>
          <w:sz w:val="22"/>
          <w:lang w:val="es-ES_tradnl"/>
        </w:rPr>
        <w:t xml:space="preserve"> se mencionó, el seguimiento</w:t>
      </w:r>
      <w:r>
        <w:rPr>
          <w:rFonts w:ascii="Arial" w:eastAsia="Calibri" w:hAnsi="Arial" w:cs="Arial"/>
          <w:color w:val="000000"/>
          <w:sz w:val="22"/>
          <w:lang w:val="es-ES_tradnl"/>
        </w:rPr>
        <w:t xml:space="preserve"> de la garantía adicional</w:t>
      </w:r>
      <w:r w:rsidR="005C4795">
        <w:rPr>
          <w:rFonts w:ascii="Arial" w:eastAsia="Calibri" w:hAnsi="Arial" w:cs="Arial"/>
          <w:color w:val="000000"/>
          <w:sz w:val="22"/>
          <w:lang w:val="es-ES_tradnl"/>
        </w:rPr>
        <w:t xml:space="preserve"> depende exclusivamente de l</w:t>
      </w:r>
      <w:r>
        <w:rPr>
          <w:rFonts w:ascii="Arial" w:eastAsia="Calibri" w:hAnsi="Arial" w:cs="Arial"/>
          <w:color w:val="000000"/>
          <w:sz w:val="22"/>
          <w:lang w:val="es-ES_tradnl"/>
        </w:rPr>
        <w:t xml:space="preserve">o que </w:t>
      </w:r>
      <w:r w:rsidR="007846C5">
        <w:rPr>
          <w:rFonts w:ascii="Arial" w:eastAsia="Calibri" w:hAnsi="Arial" w:cs="Arial"/>
          <w:color w:val="000000"/>
          <w:sz w:val="22"/>
          <w:lang w:val="es-ES_tradnl"/>
        </w:rPr>
        <w:t>el participante va a ofertar</w:t>
      </w:r>
      <w:r w:rsidR="00D34176">
        <w:rPr>
          <w:rFonts w:ascii="Arial" w:eastAsia="Calibri" w:hAnsi="Arial" w:cs="Arial"/>
          <w:color w:val="000000"/>
          <w:sz w:val="22"/>
          <w:lang w:val="es-ES_tradnl"/>
        </w:rPr>
        <w:t>,</w:t>
      </w:r>
      <w:r>
        <w:rPr>
          <w:rFonts w:ascii="Arial" w:eastAsia="Calibri" w:hAnsi="Arial" w:cs="Arial"/>
          <w:color w:val="000000"/>
          <w:sz w:val="22"/>
          <w:lang w:val="es-ES_tradnl"/>
        </w:rPr>
        <w:t xml:space="preserve"> sin que la entidad esté facultada para establecer limitaciones al respecto.</w:t>
      </w:r>
    </w:p>
    <w:p w14:paraId="37D0538C" w14:textId="77777777" w:rsidR="007846C5" w:rsidRPr="002F77A1" w:rsidRDefault="007846C5" w:rsidP="0067722F">
      <w:pPr>
        <w:spacing w:line="276" w:lineRule="auto"/>
        <w:ind w:firstLine="708"/>
        <w:jc w:val="both"/>
        <w:rPr>
          <w:rFonts w:ascii="Arial" w:eastAsia="Calibri" w:hAnsi="Arial" w:cs="Arial"/>
          <w:color w:val="000000"/>
          <w:sz w:val="22"/>
          <w:lang w:val="es-ES_tradnl"/>
        </w:rPr>
      </w:pPr>
    </w:p>
    <w:p w14:paraId="3C2BE222" w14:textId="025C72BD" w:rsidR="00FC4013" w:rsidRPr="002D2FFD" w:rsidRDefault="00FC4013" w:rsidP="0067722F">
      <w:pPr>
        <w:shd w:val="clear" w:color="auto" w:fill="FFFFFF"/>
        <w:spacing w:after="120"/>
        <w:ind w:left="709" w:right="709"/>
        <w:jc w:val="both"/>
        <w:rPr>
          <w:rFonts w:ascii="Arial" w:hAnsi="Arial" w:cs="Arial"/>
          <w:color w:val="0D0D0D"/>
          <w:sz w:val="21"/>
          <w:szCs w:val="21"/>
          <w:bdr w:val="none" w:sz="0" w:space="0" w:color="auto" w:frame="1"/>
          <w:lang w:eastAsia="es-CO"/>
        </w:rPr>
      </w:pPr>
      <w:r w:rsidRPr="002D2FFD">
        <w:rPr>
          <w:rFonts w:ascii="Arial" w:hAnsi="Arial" w:cs="Arial"/>
          <w:color w:val="0D0D0D"/>
          <w:sz w:val="21"/>
          <w:szCs w:val="21"/>
          <w:bdr w:val="none" w:sz="0" w:space="0" w:color="auto" w:frame="1"/>
          <w:lang w:eastAsia="es-CO"/>
        </w:rPr>
        <w:t>5. ¿Los pliegos tipo, son un documento guía o son un documento rector, sobre el cual todas las entidades obligadas en su aplicación, deben ceñirse de manera estricta al cumplimiento de todos y cada uno de sus exigencias y al texto mismo definido dentro de estos?</w:t>
      </w:r>
    </w:p>
    <w:p w14:paraId="144DC7C6" w14:textId="56BBEB90" w:rsidR="00C8716A" w:rsidRDefault="00FC4013"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2D2FFD">
        <w:rPr>
          <w:rFonts w:ascii="Arial" w:hAnsi="Arial" w:cs="Arial"/>
          <w:color w:val="0D0D0D"/>
          <w:sz w:val="21"/>
          <w:szCs w:val="21"/>
          <w:bdr w:val="none" w:sz="0" w:space="0" w:color="auto" w:frame="1"/>
          <w:lang w:eastAsia="es-CO"/>
        </w:rPr>
        <w:t xml:space="preserve">Aclaración detallada: Sobre la pregunta particular, se solicita que esa entidad, indique si cualquier entidad, puede apartarse de los pliegos tipo, so pena de argumentar interpretación y, además, argumentar que los pliegos tipo solo constituyen un documento de marco de referencia, pero es la entidad la que frente a necesidades específicas y posibles vacíos en los pliegos tipo, puede incluir detalles y/o requisitos específicos que se ajusten a sus necesidades. </w:t>
      </w:r>
      <w:r w:rsidRPr="002D2FFD">
        <w:rPr>
          <w:rFonts w:ascii="Arial" w:hAnsi="Arial" w:cs="Arial"/>
          <w:color w:val="0D0D0D"/>
          <w:sz w:val="21"/>
          <w:szCs w:val="21"/>
          <w:bdr w:val="none" w:sz="0" w:space="0" w:color="auto" w:frame="1"/>
          <w:lang w:eastAsia="es-CO"/>
        </w:rPr>
        <w:lastRenderedPageBreak/>
        <w:t>Aclarando, que la situación aquí descrita se ajusta a la construcción de una obra de infraestructura del transporte contenida dentro la matriz de experiencia de los pliegos tipo versión 3 y dentro del proceso de licitación se asumieron los pliego tipo.</w:t>
      </w:r>
    </w:p>
    <w:p w14:paraId="17A2D775" w14:textId="4E8A3BB6" w:rsidR="00C8716A" w:rsidRDefault="00C8716A"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2D2FFD">
        <w:rPr>
          <w:rFonts w:ascii="Arial" w:hAnsi="Arial" w:cs="Arial"/>
          <w:color w:val="0D0D0D"/>
          <w:sz w:val="21"/>
          <w:szCs w:val="21"/>
          <w:bdr w:val="none" w:sz="0" w:space="0" w:color="auto" w:frame="1"/>
          <w:lang w:eastAsia="es-CO"/>
        </w:rPr>
        <w:t>7. ¿Los pliegos tipo pueden ser modificados por cualquier entidad, ya sea en su texto y/o introduciendo condiciones de evaluación, delimitaciones y/o requisitos fuera del documento matriz?</w:t>
      </w:r>
    </w:p>
    <w:p w14:paraId="258DC9F0" w14:textId="6ACC44A2" w:rsidR="00C8716A" w:rsidRPr="003C3C08" w:rsidRDefault="00C8716A"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3C3C08">
        <w:rPr>
          <w:rFonts w:ascii="Arial" w:hAnsi="Arial" w:cs="Arial"/>
          <w:color w:val="0D0D0D"/>
          <w:sz w:val="21"/>
          <w:szCs w:val="21"/>
          <w:bdr w:val="none" w:sz="0" w:space="0" w:color="auto" w:frame="1"/>
          <w:lang w:eastAsia="es-CO"/>
        </w:rPr>
        <w:t>8. ¿Puede una entidad, modificar y/o incluir cualquier adicional, dentro de los pliegos tipo mediante adenda y/o en respuesta a observaciones de cualquier oferente, argumentando que tanto los pliegos tipo como las respuestas a oferentes son documentos integrales del proceso de contratación y como tal son vinculantes</w:t>
      </w:r>
      <w:r>
        <w:rPr>
          <w:rFonts w:ascii="Arial" w:hAnsi="Arial" w:cs="Arial"/>
          <w:color w:val="0D0D0D"/>
          <w:sz w:val="21"/>
          <w:szCs w:val="21"/>
          <w:bdr w:val="none" w:sz="0" w:space="0" w:color="auto" w:frame="1"/>
          <w:lang w:eastAsia="es-CO"/>
        </w:rPr>
        <w:t xml:space="preserve"> </w:t>
      </w:r>
      <w:r w:rsidRPr="003C3C08">
        <w:rPr>
          <w:rFonts w:ascii="Arial" w:hAnsi="Arial" w:cs="Arial"/>
          <w:color w:val="0D0D0D"/>
          <w:sz w:val="21"/>
          <w:szCs w:val="21"/>
          <w:bdr w:val="none" w:sz="0" w:space="0" w:color="auto" w:frame="1"/>
          <w:lang w:eastAsia="es-CO"/>
        </w:rPr>
        <w:t>dentro de un proceso de licitacion?</w:t>
      </w:r>
    </w:p>
    <w:p w14:paraId="4B88D56D" w14:textId="77777777" w:rsidR="00C8716A" w:rsidRPr="003C3C08" w:rsidRDefault="00C8716A"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3C3C08">
        <w:rPr>
          <w:rFonts w:ascii="Arial" w:hAnsi="Arial" w:cs="Arial"/>
          <w:color w:val="0D0D0D"/>
          <w:sz w:val="21"/>
          <w:szCs w:val="21"/>
          <w:bdr w:val="none" w:sz="0" w:space="0" w:color="auto" w:frame="1"/>
          <w:lang w:eastAsia="es-CO"/>
        </w:rPr>
        <w:t>Aclaración detallada: A modo de ejemplo general, se plantea el siguiente escenario sin detalle especifico alguno, solo para ilustración en profundidad de la anterior pregunta planteada:</w:t>
      </w:r>
    </w:p>
    <w:p w14:paraId="5B709D40" w14:textId="77777777" w:rsidR="00C8716A" w:rsidRPr="003C3C08" w:rsidRDefault="00C8716A"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3C3C08">
        <w:rPr>
          <w:rFonts w:ascii="Arial" w:hAnsi="Arial" w:cs="Arial"/>
          <w:color w:val="0D0D0D"/>
          <w:sz w:val="21"/>
          <w:szCs w:val="21"/>
          <w:bdr w:val="none" w:sz="0" w:space="0" w:color="auto" w:frame="1"/>
          <w:lang w:eastAsia="es-CO"/>
        </w:rPr>
        <w:t>a) Una entidad por designación legal, tiene que implementar el pliego tipo versión 3, dentro de un proceso de licitación de INFRESTRUCTURA DE TRANSPORTE.</w:t>
      </w:r>
    </w:p>
    <w:p w14:paraId="0A4D7440" w14:textId="77777777" w:rsidR="00C8716A" w:rsidRPr="003C3C08" w:rsidRDefault="00C8716A"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3C3C08">
        <w:rPr>
          <w:rFonts w:ascii="Arial" w:hAnsi="Arial" w:cs="Arial"/>
          <w:color w:val="0D0D0D"/>
          <w:sz w:val="21"/>
          <w:szCs w:val="21"/>
          <w:bdr w:val="none" w:sz="0" w:space="0" w:color="auto" w:frame="1"/>
          <w:lang w:eastAsia="es-CO"/>
        </w:rPr>
        <w:t>b) Dentro de dicho proceso y como es de elección particular en términos de ley, la entidad selecciona el factor de calidad como GARANTIA SUPEMENTARIA Y/O ADICIONAL y para evaluación del mismo le asigna un puntaje ponderado de 5 puntos.</w:t>
      </w:r>
    </w:p>
    <w:p w14:paraId="5871601D" w14:textId="77777777" w:rsidR="00C8716A" w:rsidRPr="003C3C08" w:rsidRDefault="00C8716A"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3C3C08">
        <w:rPr>
          <w:rFonts w:ascii="Arial" w:hAnsi="Arial" w:cs="Arial"/>
          <w:color w:val="0D0D0D"/>
          <w:sz w:val="21"/>
          <w:szCs w:val="21"/>
          <w:bdr w:val="none" w:sz="0" w:space="0" w:color="auto" w:frame="1"/>
          <w:lang w:eastAsia="es-CO"/>
        </w:rPr>
        <w:t>c) Un oferente antes de la presentación de ofertas, pregunta lo siguiente:</w:t>
      </w:r>
    </w:p>
    <w:p w14:paraId="10812077" w14:textId="77777777" w:rsidR="00C8716A" w:rsidRPr="003C3C08" w:rsidRDefault="00C8716A"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3C3C08">
        <w:rPr>
          <w:rFonts w:ascii="Arial" w:hAnsi="Arial" w:cs="Arial"/>
          <w:color w:val="0D0D0D"/>
          <w:sz w:val="21"/>
          <w:szCs w:val="21"/>
          <w:bdr w:val="none" w:sz="0" w:space="0" w:color="auto" w:frame="1"/>
          <w:lang w:eastAsia="es-CO"/>
        </w:rPr>
        <w:t>“Según el FORMATO 7D – GARANTIA SUPLEMENTARIA O ADICIONAL se indica lo</w:t>
      </w:r>
      <w:r>
        <w:rPr>
          <w:rFonts w:ascii="Arial" w:hAnsi="Arial" w:cs="Arial"/>
          <w:color w:val="0D0D0D"/>
          <w:sz w:val="21"/>
          <w:szCs w:val="21"/>
          <w:bdr w:val="none" w:sz="0" w:space="0" w:color="auto" w:frame="1"/>
          <w:lang w:eastAsia="es-CO"/>
        </w:rPr>
        <w:t xml:space="preserve"> </w:t>
      </w:r>
      <w:r w:rsidRPr="003C3C08">
        <w:rPr>
          <w:rFonts w:ascii="Arial" w:hAnsi="Arial" w:cs="Arial"/>
          <w:color w:val="0D0D0D"/>
          <w:sz w:val="21"/>
          <w:szCs w:val="21"/>
          <w:bdr w:val="none" w:sz="0" w:space="0" w:color="auto" w:frame="1"/>
          <w:lang w:eastAsia="es-CO"/>
        </w:rPr>
        <w:t>siguiente:</w:t>
      </w:r>
    </w:p>
    <w:p w14:paraId="44C7263C" w14:textId="77777777" w:rsidR="00C8716A" w:rsidRPr="003C3C08" w:rsidRDefault="00C8716A"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3C3C08">
        <w:rPr>
          <w:rFonts w:ascii="Arial" w:hAnsi="Arial" w:cs="Arial"/>
          <w:color w:val="0D0D0D"/>
          <w:sz w:val="21"/>
          <w:szCs w:val="21"/>
          <w:bdr w:val="none" w:sz="0" w:space="0" w:color="auto" w:frame="1"/>
          <w:lang w:eastAsia="es-CO"/>
        </w:rPr>
        <w:t>“…Adicionalmente, cuando la entidad no realice la designación de una persona para realizar el seguimiento al cumplimiento de la garantía en los términos del numeral 4 del artículo 4 de la Ley 80 de 1993, manifiesto el compromiso de realizar seguimiento al menos [señalar el número de veces] cada [señalar el periodo de tiempo] durante la vigencia de la Garantía Suplementaria o Adicional ofrecida.”</w:t>
      </w:r>
    </w:p>
    <w:p w14:paraId="27129DB2" w14:textId="77777777" w:rsidR="00C8716A" w:rsidRPr="003C3C08" w:rsidRDefault="00C8716A"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3C3C08">
        <w:rPr>
          <w:rFonts w:ascii="Arial" w:hAnsi="Arial" w:cs="Arial"/>
          <w:color w:val="0D0D0D"/>
          <w:sz w:val="21"/>
          <w:szCs w:val="21"/>
          <w:bdr w:val="none" w:sz="0" w:space="0" w:color="auto" w:frame="1"/>
          <w:lang w:eastAsia="es-CO"/>
        </w:rPr>
        <w:t>Solicitamos a la entidad aclarar el número de veces y la periodicidad con la que se debe realizar el seguimiento de la garantía Suplementaria o Adicional ofrecida.”</w:t>
      </w:r>
    </w:p>
    <w:p w14:paraId="10387D99" w14:textId="77777777" w:rsidR="00C8716A" w:rsidRPr="003C3C08" w:rsidRDefault="00C8716A"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3C3C08">
        <w:rPr>
          <w:rFonts w:ascii="Arial" w:hAnsi="Arial" w:cs="Arial"/>
          <w:color w:val="0D0D0D"/>
          <w:sz w:val="21"/>
          <w:szCs w:val="21"/>
          <w:bdr w:val="none" w:sz="0" w:space="0" w:color="auto" w:frame="1"/>
          <w:lang w:eastAsia="es-CO"/>
        </w:rPr>
        <w:t>d) Frente a dicha pregunta la entidad responde lo siguiente:</w:t>
      </w:r>
    </w:p>
    <w:p w14:paraId="62802347" w14:textId="11422DA2" w:rsidR="00B76167" w:rsidRDefault="00C8716A"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3C3C08">
        <w:rPr>
          <w:rFonts w:ascii="Arial" w:hAnsi="Arial" w:cs="Arial"/>
          <w:color w:val="0D0D0D"/>
          <w:sz w:val="21"/>
          <w:szCs w:val="21"/>
          <w:bdr w:val="none" w:sz="0" w:space="0" w:color="auto" w:frame="1"/>
          <w:lang w:eastAsia="es-CO"/>
        </w:rPr>
        <w:t>La entidad se permite aclarar, que la periodicidad para realizar el seguimiento de la</w:t>
      </w:r>
      <w:r>
        <w:rPr>
          <w:rFonts w:ascii="Arial" w:hAnsi="Arial" w:cs="Arial"/>
          <w:color w:val="0D0D0D"/>
          <w:sz w:val="21"/>
          <w:szCs w:val="21"/>
          <w:bdr w:val="none" w:sz="0" w:space="0" w:color="auto" w:frame="1"/>
          <w:lang w:eastAsia="es-CO"/>
        </w:rPr>
        <w:t xml:space="preserve"> </w:t>
      </w:r>
      <w:r w:rsidRPr="003C3C08">
        <w:rPr>
          <w:rFonts w:ascii="Arial" w:hAnsi="Arial" w:cs="Arial"/>
          <w:color w:val="0D0D0D"/>
          <w:sz w:val="21"/>
          <w:szCs w:val="21"/>
          <w:bdr w:val="none" w:sz="0" w:space="0" w:color="auto" w:frame="1"/>
          <w:lang w:eastAsia="es-CO"/>
        </w:rPr>
        <w:t>Garantía será de dos (02) veces al año.</w:t>
      </w:r>
    </w:p>
    <w:p w14:paraId="6CFFFCE2" w14:textId="32FEC154" w:rsidR="00B76167" w:rsidRPr="003C3C08" w:rsidRDefault="00B76167"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3C3C08">
        <w:rPr>
          <w:rFonts w:ascii="Arial" w:hAnsi="Arial" w:cs="Arial"/>
          <w:color w:val="0D0D0D"/>
          <w:sz w:val="21"/>
          <w:szCs w:val="21"/>
          <w:bdr w:val="none" w:sz="0" w:space="0" w:color="auto" w:frame="1"/>
          <w:lang w:eastAsia="es-CO"/>
        </w:rPr>
        <w:t>9. ¿Es discrecional la potestad de la entidad para delimitar dicho plazo dentro del factor de calidad GARANTIA SUPLEMENTARIA Y/O ADICIONAL, señalando la</w:t>
      </w:r>
      <w:r>
        <w:rPr>
          <w:rFonts w:ascii="Arial" w:hAnsi="Arial" w:cs="Arial"/>
          <w:color w:val="0D0D0D"/>
          <w:sz w:val="21"/>
          <w:szCs w:val="21"/>
          <w:bdr w:val="none" w:sz="0" w:space="0" w:color="auto" w:frame="1"/>
          <w:lang w:eastAsia="es-CO"/>
        </w:rPr>
        <w:t xml:space="preserve"> </w:t>
      </w:r>
      <w:r w:rsidRPr="003C3C08">
        <w:rPr>
          <w:rFonts w:ascii="Arial" w:hAnsi="Arial" w:cs="Arial"/>
          <w:color w:val="0D0D0D"/>
          <w:sz w:val="21"/>
          <w:szCs w:val="21"/>
          <w:bdr w:val="none" w:sz="0" w:space="0" w:color="auto" w:frame="1"/>
          <w:lang w:eastAsia="es-CO"/>
        </w:rPr>
        <w:t>periodicidad para seguimiento de dicho factor?</w:t>
      </w:r>
    </w:p>
    <w:p w14:paraId="03D19E78" w14:textId="5609D6A7" w:rsidR="00B76167" w:rsidRPr="003C3C08" w:rsidRDefault="00B76167" w:rsidP="002F77A1">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3C3C08">
        <w:rPr>
          <w:rFonts w:ascii="Arial" w:hAnsi="Arial" w:cs="Arial"/>
          <w:color w:val="0D0D0D"/>
          <w:sz w:val="21"/>
          <w:szCs w:val="21"/>
          <w:bdr w:val="none" w:sz="0" w:space="0" w:color="auto" w:frame="1"/>
          <w:lang w:eastAsia="es-CO"/>
        </w:rPr>
        <w:t>10. ¿Si la entidad, condiciona dicho plazo para seguimiento y que así debe incluirse</w:t>
      </w:r>
      <w:r>
        <w:rPr>
          <w:rFonts w:ascii="Arial" w:hAnsi="Arial" w:cs="Arial"/>
          <w:color w:val="0D0D0D"/>
          <w:sz w:val="21"/>
          <w:szCs w:val="21"/>
          <w:bdr w:val="none" w:sz="0" w:space="0" w:color="auto" w:frame="1"/>
          <w:lang w:eastAsia="es-CO"/>
        </w:rPr>
        <w:t xml:space="preserve"> </w:t>
      </w:r>
      <w:r w:rsidRPr="003C3C08">
        <w:rPr>
          <w:rFonts w:ascii="Arial" w:hAnsi="Arial" w:cs="Arial"/>
          <w:color w:val="0D0D0D"/>
          <w:sz w:val="21"/>
          <w:szCs w:val="21"/>
          <w:bdr w:val="none" w:sz="0" w:space="0" w:color="auto" w:frame="1"/>
          <w:lang w:eastAsia="es-CO"/>
        </w:rPr>
        <w:t>dentro dicho formato 7D, estaría incluyendo requisitos y parámetros de evaluación</w:t>
      </w:r>
      <w:r>
        <w:rPr>
          <w:rFonts w:ascii="Arial" w:hAnsi="Arial" w:cs="Arial"/>
          <w:color w:val="0D0D0D"/>
          <w:sz w:val="21"/>
          <w:szCs w:val="21"/>
          <w:bdr w:val="none" w:sz="0" w:space="0" w:color="auto" w:frame="1"/>
          <w:lang w:eastAsia="es-CO"/>
        </w:rPr>
        <w:t xml:space="preserve"> </w:t>
      </w:r>
      <w:r w:rsidRPr="003C3C08">
        <w:rPr>
          <w:rFonts w:ascii="Arial" w:hAnsi="Arial" w:cs="Arial"/>
          <w:color w:val="0D0D0D"/>
          <w:sz w:val="21"/>
          <w:szCs w:val="21"/>
          <w:bdr w:val="none" w:sz="0" w:space="0" w:color="auto" w:frame="1"/>
          <w:lang w:eastAsia="es-CO"/>
        </w:rPr>
        <w:t>diferentes a los contenidos dentro del pliego tipo?</w:t>
      </w:r>
    </w:p>
    <w:p w14:paraId="36E31715" w14:textId="44089E44" w:rsidR="00B76167" w:rsidRDefault="00B76167" w:rsidP="007846C5">
      <w:pPr>
        <w:shd w:val="clear" w:color="auto" w:fill="FFFFFF"/>
        <w:spacing w:before="120"/>
        <w:ind w:left="709" w:right="709"/>
        <w:jc w:val="both"/>
        <w:rPr>
          <w:rFonts w:ascii="Arial" w:hAnsi="Arial" w:cs="Arial"/>
          <w:color w:val="0D0D0D"/>
          <w:sz w:val="21"/>
          <w:szCs w:val="21"/>
          <w:bdr w:val="none" w:sz="0" w:space="0" w:color="auto" w:frame="1"/>
          <w:lang w:eastAsia="es-CO"/>
        </w:rPr>
      </w:pPr>
      <w:r w:rsidRPr="003C3C08">
        <w:rPr>
          <w:rFonts w:ascii="Arial" w:hAnsi="Arial" w:cs="Arial"/>
          <w:color w:val="0D0D0D"/>
          <w:sz w:val="21"/>
          <w:szCs w:val="21"/>
          <w:bdr w:val="none" w:sz="0" w:space="0" w:color="auto" w:frame="1"/>
          <w:lang w:eastAsia="es-CO"/>
        </w:rPr>
        <w:lastRenderedPageBreak/>
        <w:t>11. ¿Si la entidad, condiciona dicho plazo para seguimiento, estaría modificado el pliego tipo?</w:t>
      </w:r>
    </w:p>
    <w:p w14:paraId="4DB0082C" w14:textId="77777777" w:rsidR="007846C5" w:rsidRPr="003C3C08" w:rsidRDefault="007846C5" w:rsidP="0067722F">
      <w:pPr>
        <w:shd w:val="clear" w:color="auto" w:fill="FFFFFF"/>
        <w:spacing w:line="276" w:lineRule="auto"/>
        <w:ind w:right="709"/>
        <w:jc w:val="both"/>
        <w:rPr>
          <w:rFonts w:ascii="Arial" w:hAnsi="Arial" w:cs="Arial"/>
          <w:color w:val="0D0D0D"/>
          <w:sz w:val="21"/>
          <w:szCs w:val="21"/>
          <w:bdr w:val="none" w:sz="0" w:space="0" w:color="auto" w:frame="1"/>
          <w:lang w:eastAsia="es-CO"/>
        </w:rPr>
      </w:pPr>
    </w:p>
    <w:p w14:paraId="0ECC2523" w14:textId="2E109C20" w:rsidR="00294E58" w:rsidRPr="00294E58" w:rsidRDefault="00294E58" w:rsidP="0067722F">
      <w:pPr>
        <w:spacing w:after="120" w:line="276" w:lineRule="auto"/>
        <w:jc w:val="both"/>
        <w:rPr>
          <w:rFonts w:ascii="Arial" w:eastAsia="Calibri" w:hAnsi="Arial" w:cs="Arial"/>
          <w:sz w:val="22"/>
        </w:rPr>
      </w:pPr>
      <w:r>
        <w:rPr>
          <w:rFonts w:ascii="Arial" w:eastAsia="Calibri" w:hAnsi="Arial" w:cs="Arial"/>
          <w:sz w:val="22"/>
        </w:rPr>
        <w:t>De acuerdo con lo expuesto en las consideraciones de este concepto, l</w:t>
      </w:r>
      <w:r w:rsidR="008F3AB1" w:rsidRPr="00B53E7C">
        <w:rPr>
          <w:rFonts w:ascii="Arial" w:eastAsia="Calibri" w:hAnsi="Arial" w:cs="Arial"/>
          <w:sz w:val="22"/>
          <w:lang w:val="es-ES_tradnl"/>
        </w:rPr>
        <w:t xml:space="preserve">os documentos tipo son </w:t>
      </w:r>
      <w:r w:rsidR="007846C5">
        <w:rPr>
          <w:rFonts w:ascii="Arial" w:eastAsia="Calibri" w:hAnsi="Arial" w:cs="Arial"/>
          <w:sz w:val="22"/>
          <w:lang w:val="es-ES_tradnl"/>
        </w:rPr>
        <w:t>vinculantes</w:t>
      </w:r>
      <w:r w:rsidR="008F3AB1" w:rsidRPr="00B53E7C">
        <w:rPr>
          <w:rFonts w:ascii="Arial" w:eastAsia="Calibri" w:hAnsi="Arial" w:cs="Arial"/>
          <w:sz w:val="22"/>
          <w:lang w:val="es-ES_tradnl"/>
        </w:rPr>
        <w:t xml:space="preserve"> </w:t>
      </w:r>
      <w:r w:rsidR="008F3AB1" w:rsidRPr="008F3AB1">
        <w:rPr>
          <w:rFonts w:ascii="Arial" w:eastAsia="Calibri" w:hAnsi="Arial" w:cs="Arial"/>
          <w:sz w:val="22"/>
          <w:lang w:val="es-ES_tradnl"/>
        </w:rPr>
        <w:t xml:space="preserve">para las entidades estatales cuyos contratos se rijan por el Estatuto General de la Contratación Pública, que adelanten procesos de contratación mediante la modalidad que establecen los documentos tipo para cada sector y </w:t>
      </w:r>
      <w:r w:rsidR="00C8716A">
        <w:rPr>
          <w:rFonts w:ascii="Arial" w:eastAsia="Calibri" w:hAnsi="Arial" w:cs="Arial"/>
          <w:sz w:val="22"/>
          <w:lang w:val="es-ES_tradnl"/>
        </w:rPr>
        <w:t>que las activi</w:t>
      </w:r>
      <w:r>
        <w:rPr>
          <w:rFonts w:ascii="Arial" w:eastAsia="Calibri" w:hAnsi="Arial" w:cs="Arial"/>
          <w:sz w:val="22"/>
          <w:lang w:val="es-ES_tradnl"/>
        </w:rPr>
        <w:t xml:space="preserve">dades a contratar se enmarquen dentro de la </w:t>
      </w:r>
      <w:r w:rsidR="007846C5">
        <w:rPr>
          <w:rFonts w:ascii="Arial" w:eastAsia="Calibri" w:hAnsi="Arial" w:cs="Arial"/>
          <w:sz w:val="22"/>
          <w:lang w:val="es-ES_tradnl"/>
        </w:rPr>
        <w:t>«</w:t>
      </w:r>
      <w:r>
        <w:rPr>
          <w:rFonts w:ascii="Arial" w:eastAsia="Calibri" w:hAnsi="Arial" w:cs="Arial"/>
          <w:sz w:val="22"/>
          <w:lang w:val="es-ES_tradnl"/>
        </w:rPr>
        <w:t xml:space="preserve">Matriz 1 </w:t>
      </w:r>
      <w:r w:rsidR="007846C5">
        <w:rPr>
          <w:rFonts w:ascii="Arial" w:eastAsia="Calibri" w:hAnsi="Arial" w:cs="Arial"/>
          <w:sz w:val="22"/>
          <w:lang w:val="es-ES_tradnl"/>
        </w:rPr>
        <w:t>–</w:t>
      </w:r>
      <w:r>
        <w:rPr>
          <w:rFonts w:ascii="Arial" w:eastAsia="Calibri" w:hAnsi="Arial" w:cs="Arial"/>
          <w:sz w:val="22"/>
          <w:lang w:val="es-ES_tradnl"/>
        </w:rPr>
        <w:t xml:space="preserve"> Experiencia</w:t>
      </w:r>
      <w:r w:rsidR="007846C5">
        <w:rPr>
          <w:rFonts w:ascii="Arial" w:eastAsia="Calibri" w:hAnsi="Arial" w:cs="Arial"/>
          <w:sz w:val="22"/>
          <w:lang w:val="es-ES_tradnl"/>
        </w:rPr>
        <w:t>»</w:t>
      </w:r>
      <w:r w:rsidR="00B13059">
        <w:rPr>
          <w:rFonts w:ascii="Arial" w:eastAsia="Calibri" w:hAnsi="Arial" w:cs="Arial"/>
          <w:sz w:val="22"/>
          <w:lang w:val="es-ES_tradnl"/>
        </w:rPr>
        <w:t>.</w:t>
      </w:r>
      <w:r w:rsidR="007846C5">
        <w:rPr>
          <w:rFonts w:ascii="Arial" w:eastAsia="Calibri" w:hAnsi="Arial" w:cs="Arial"/>
          <w:sz w:val="22"/>
          <w:lang w:val="es-ES_tradnl"/>
        </w:rPr>
        <w:t xml:space="preserve"> Esto </w:t>
      </w:r>
      <w:r w:rsidRPr="00294E58">
        <w:rPr>
          <w:rFonts w:ascii="Arial" w:eastAsia="Calibri" w:hAnsi="Arial" w:cs="Arial"/>
          <w:sz w:val="22"/>
        </w:rPr>
        <w:t>implica que</w:t>
      </w:r>
      <w:r w:rsidR="007846C5">
        <w:rPr>
          <w:rFonts w:ascii="Arial" w:eastAsia="Calibri" w:hAnsi="Arial" w:cs="Arial"/>
          <w:sz w:val="22"/>
        </w:rPr>
        <w:t>, cuando se cumplan las condiciones anteriormente mencionadas,</w:t>
      </w:r>
      <w:r w:rsidRPr="00294E58">
        <w:rPr>
          <w:rFonts w:ascii="Arial" w:eastAsia="Calibri" w:hAnsi="Arial" w:cs="Arial"/>
          <w:sz w:val="22"/>
        </w:rPr>
        <w:t xml:space="preserve"> las entidades estatales t</w:t>
      </w:r>
      <w:r w:rsidR="007846C5">
        <w:rPr>
          <w:rFonts w:ascii="Arial" w:eastAsia="Calibri" w:hAnsi="Arial" w:cs="Arial"/>
          <w:sz w:val="22"/>
        </w:rPr>
        <w:t>ienen</w:t>
      </w:r>
      <w:r w:rsidRPr="00294E58">
        <w:rPr>
          <w:rFonts w:ascii="Arial" w:eastAsia="Calibri" w:hAnsi="Arial" w:cs="Arial"/>
          <w:sz w:val="22"/>
        </w:rPr>
        <w:t xml:space="preserve"> </w:t>
      </w:r>
      <w:r>
        <w:rPr>
          <w:rFonts w:ascii="Arial" w:eastAsia="Calibri" w:hAnsi="Arial" w:cs="Arial"/>
          <w:sz w:val="22"/>
        </w:rPr>
        <w:t>el deber legal de</w:t>
      </w:r>
      <w:r w:rsidRPr="00294E58">
        <w:rPr>
          <w:rFonts w:ascii="Arial" w:eastAsia="Calibri" w:hAnsi="Arial" w:cs="Arial"/>
          <w:sz w:val="22"/>
        </w:rPr>
        <w:t xml:space="preserve"> adelantar los procesos de contratación bajo las condiciones establecidas en los documentos tipo que ri</w:t>
      </w:r>
      <w:r>
        <w:rPr>
          <w:rFonts w:ascii="Arial" w:eastAsia="Calibri" w:hAnsi="Arial" w:cs="Arial"/>
          <w:sz w:val="22"/>
        </w:rPr>
        <w:t>jan para el objeto a contratar</w:t>
      </w:r>
      <w:r w:rsidR="007846C5">
        <w:rPr>
          <w:rFonts w:ascii="Arial" w:eastAsia="Calibri" w:hAnsi="Arial" w:cs="Arial"/>
          <w:sz w:val="22"/>
        </w:rPr>
        <w:t>. Por lo demás,</w:t>
      </w:r>
      <w:r>
        <w:rPr>
          <w:rFonts w:ascii="Arial" w:eastAsia="Calibri" w:hAnsi="Arial" w:cs="Arial"/>
          <w:sz w:val="22"/>
        </w:rPr>
        <w:t xml:space="preserve"> la inalterabilidad </w:t>
      </w:r>
      <w:r w:rsidR="007846C5">
        <w:rPr>
          <w:rFonts w:ascii="Arial" w:eastAsia="Calibri" w:hAnsi="Arial" w:cs="Arial"/>
          <w:sz w:val="22"/>
        </w:rPr>
        <w:t>restringe</w:t>
      </w:r>
      <w:r>
        <w:rPr>
          <w:rFonts w:ascii="Arial" w:eastAsia="Calibri" w:hAnsi="Arial" w:cs="Arial"/>
          <w:sz w:val="22"/>
        </w:rPr>
        <w:t xml:space="preserve"> la variación de l</w:t>
      </w:r>
      <w:r w:rsidRPr="00294E58">
        <w:rPr>
          <w:rFonts w:ascii="Arial" w:eastAsia="Calibri" w:hAnsi="Arial" w:cs="Arial"/>
          <w:sz w:val="22"/>
        </w:rPr>
        <w:t>os requisitos fijados en ellos, por lo que las entidades públicas carecen de la facultad de modificarlos, con excepción de aquellos aspectos que pueden diligenciar</w:t>
      </w:r>
      <w:r w:rsidR="00D34176">
        <w:rPr>
          <w:rFonts w:ascii="Arial" w:eastAsia="Calibri" w:hAnsi="Arial" w:cs="Arial"/>
          <w:sz w:val="22"/>
        </w:rPr>
        <w:t>. E</w:t>
      </w:r>
      <w:r w:rsidRPr="00294E58">
        <w:rPr>
          <w:rFonts w:ascii="Arial" w:eastAsia="Calibri" w:hAnsi="Arial" w:cs="Arial"/>
          <w:sz w:val="22"/>
        </w:rPr>
        <w:t>s decir, las descripciones que están incluidas entre corchetes y resaltadas en gris en cada uno de los documentos tipo.</w:t>
      </w:r>
    </w:p>
    <w:p w14:paraId="4BD8CC0C" w14:textId="2A04C5C2" w:rsidR="00B13059" w:rsidRDefault="00B13059" w:rsidP="000E5799">
      <w:pPr>
        <w:tabs>
          <w:tab w:val="left" w:pos="426"/>
        </w:tabs>
        <w:spacing w:before="120" w:after="120" w:line="276" w:lineRule="auto"/>
        <w:ind w:firstLine="709"/>
        <w:jc w:val="both"/>
        <w:rPr>
          <w:rFonts w:ascii="Arial" w:eastAsia="Calibri" w:hAnsi="Arial" w:cs="Arial"/>
          <w:noProof/>
          <w:sz w:val="22"/>
          <w:lang w:val="es-ES_tradnl"/>
        </w:rPr>
      </w:pPr>
      <w:r w:rsidRPr="00DF3046">
        <w:rPr>
          <w:rFonts w:ascii="Arial" w:eastAsia="Calibri" w:hAnsi="Arial" w:cs="Arial"/>
          <w:noProof/>
          <w:color w:val="000000"/>
          <w:sz w:val="22"/>
          <w:shd w:val="clear" w:color="auto" w:fill="FFFFFF"/>
        </w:rPr>
        <w:t xml:space="preserve">En línea con lo anterior, dadas las características  de obligatoriedad e inalterabilidad que ostentan los documentos tipo, </w:t>
      </w:r>
      <w:r w:rsidRPr="00DF3046">
        <w:rPr>
          <w:rFonts w:ascii="Arial" w:eastAsia="Calibri" w:hAnsi="Arial" w:cs="Arial"/>
          <w:noProof/>
          <w:sz w:val="22"/>
          <w:lang w:val="es-ES_tradnl"/>
        </w:rPr>
        <w:t>es deber de las entidades sometidas al Estatuto General de la Contratación de la Administración Pública su utilización en los procesos de selección que adelanten</w:t>
      </w:r>
      <w:r w:rsidR="00D34176">
        <w:rPr>
          <w:rFonts w:ascii="Arial" w:eastAsia="Calibri" w:hAnsi="Arial" w:cs="Arial"/>
          <w:noProof/>
          <w:sz w:val="22"/>
          <w:lang w:val="es-ES_tradnl"/>
        </w:rPr>
        <w:t>.</w:t>
      </w:r>
      <w:r w:rsidRPr="00DF3046">
        <w:rPr>
          <w:rFonts w:ascii="Arial" w:eastAsia="Calibri" w:hAnsi="Arial" w:cs="Arial"/>
          <w:noProof/>
          <w:sz w:val="22"/>
          <w:lang w:val="es-ES_tradnl"/>
        </w:rPr>
        <w:t xml:space="preserve"> </w:t>
      </w:r>
      <w:r w:rsidR="00D34176">
        <w:rPr>
          <w:rFonts w:ascii="Arial" w:eastAsia="Calibri" w:hAnsi="Arial" w:cs="Arial"/>
          <w:noProof/>
          <w:sz w:val="22"/>
          <w:lang w:val="es-ES_tradnl"/>
        </w:rPr>
        <w:t>De manera que quedan</w:t>
      </w:r>
      <w:r w:rsidRPr="00DF3046">
        <w:rPr>
          <w:rFonts w:ascii="Arial" w:eastAsia="Calibri" w:hAnsi="Arial" w:cs="Arial"/>
          <w:noProof/>
          <w:sz w:val="22"/>
          <w:lang w:val="es-ES_tradnl"/>
        </w:rPr>
        <w:t xml:space="preserve"> vedadas de la posibilidad de apartarse de su implementación en el proceso de selección donde apliquen o efectuar modificaciones a las condiciones habilitantes, factores de escogencia y sistemas de ponderación contenidos en los mismos, por lo que </w:t>
      </w:r>
      <w:r w:rsidR="006F1F20">
        <w:rPr>
          <w:rFonts w:ascii="Arial" w:eastAsia="Calibri" w:hAnsi="Arial" w:cs="Arial"/>
          <w:noProof/>
          <w:sz w:val="22"/>
          <w:lang w:val="es-ES_tradnl"/>
        </w:rPr>
        <w:t>las adendas no podrán recaer sobre estos aspectos, sino sobre los que sean modificables de acuerdo con lo que expresamente establezcan</w:t>
      </w:r>
      <w:r w:rsidR="00294E58">
        <w:rPr>
          <w:rFonts w:ascii="Arial" w:eastAsia="Calibri" w:hAnsi="Arial" w:cs="Arial"/>
          <w:noProof/>
          <w:sz w:val="22"/>
          <w:lang w:val="es-ES_tradnl"/>
        </w:rPr>
        <w:t xml:space="preserve"> y permit</w:t>
      </w:r>
      <w:r w:rsidR="006F1F20">
        <w:rPr>
          <w:rFonts w:ascii="Arial" w:eastAsia="Calibri" w:hAnsi="Arial" w:cs="Arial"/>
          <w:noProof/>
          <w:sz w:val="22"/>
          <w:lang w:val="es-ES_tradnl"/>
        </w:rPr>
        <w:t xml:space="preserve">an los </w:t>
      </w:r>
      <w:r w:rsidR="00AF1059">
        <w:rPr>
          <w:rFonts w:ascii="Arial" w:eastAsia="Calibri" w:hAnsi="Arial" w:cs="Arial"/>
          <w:noProof/>
          <w:sz w:val="22"/>
          <w:lang w:val="es-ES_tradnl"/>
        </w:rPr>
        <w:t>documentos tipo</w:t>
      </w:r>
      <w:r w:rsidR="006F1F20">
        <w:rPr>
          <w:rFonts w:ascii="Arial" w:eastAsia="Calibri" w:hAnsi="Arial" w:cs="Arial"/>
          <w:noProof/>
          <w:sz w:val="22"/>
          <w:lang w:val="es-ES_tradnl"/>
        </w:rPr>
        <w:t>.</w:t>
      </w:r>
    </w:p>
    <w:p w14:paraId="2A209CDF" w14:textId="4E4234B1" w:rsidR="006F1F20" w:rsidRDefault="00B76167" w:rsidP="000C3872">
      <w:pPr>
        <w:spacing w:before="120" w:line="276" w:lineRule="auto"/>
        <w:ind w:firstLine="708"/>
        <w:jc w:val="both"/>
        <w:rPr>
          <w:rFonts w:ascii="Arial" w:eastAsia="Calibri" w:hAnsi="Arial" w:cs="Arial"/>
          <w:color w:val="000000"/>
          <w:sz w:val="22"/>
          <w:lang w:val="es-ES_tradnl"/>
        </w:rPr>
      </w:pPr>
      <w:r>
        <w:rPr>
          <w:rFonts w:ascii="Arial" w:eastAsia="Calibri" w:hAnsi="Arial" w:cs="Arial"/>
          <w:noProof/>
          <w:sz w:val="22"/>
          <w:lang w:val="es-ES_tradnl"/>
        </w:rPr>
        <w:t>D</w:t>
      </w:r>
      <w:r w:rsidR="00616FE7">
        <w:rPr>
          <w:rFonts w:ascii="Arial" w:eastAsia="Calibri" w:hAnsi="Arial" w:cs="Arial"/>
          <w:noProof/>
          <w:sz w:val="22"/>
          <w:lang w:val="es-ES_tradnl"/>
        </w:rPr>
        <w:t xml:space="preserve">e </w:t>
      </w:r>
      <w:r w:rsidR="00D34176">
        <w:rPr>
          <w:rFonts w:ascii="Arial" w:eastAsia="Calibri" w:hAnsi="Arial" w:cs="Arial"/>
          <w:noProof/>
          <w:sz w:val="22"/>
          <w:lang w:val="es-ES_tradnl"/>
        </w:rPr>
        <w:t xml:space="preserve">conformidad </w:t>
      </w:r>
      <w:r w:rsidR="00616FE7">
        <w:rPr>
          <w:rFonts w:ascii="Arial" w:eastAsia="Calibri" w:hAnsi="Arial" w:cs="Arial"/>
          <w:noProof/>
          <w:sz w:val="22"/>
          <w:lang w:val="es-ES_tradnl"/>
        </w:rPr>
        <w:t xml:space="preserve">con lo establecido en los </w:t>
      </w:r>
      <w:r w:rsidR="00AF1059">
        <w:rPr>
          <w:rFonts w:ascii="Arial" w:eastAsia="Calibri" w:hAnsi="Arial" w:cs="Arial"/>
          <w:noProof/>
          <w:sz w:val="22"/>
          <w:lang w:val="es-ES_tradnl"/>
        </w:rPr>
        <w:t xml:space="preserve">documentos tipo </w:t>
      </w:r>
      <w:r w:rsidR="00616FE7">
        <w:rPr>
          <w:rFonts w:ascii="Arial" w:eastAsia="Calibri" w:hAnsi="Arial" w:cs="Arial"/>
          <w:noProof/>
          <w:sz w:val="22"/>
          <w:lang w:val="es-ES_tradnl"/>
        </w:rPr>
        <w:t xml:space="preserve">para licitación de obra pública de infrastructura de transporte, </w:t>
      </w:r>
      <w:r w:rsidR="00616FE7">
        <w:rPr>
          <w:rFonts w:ascii="Arial" w:eastAsia="Calibri" w:hAnsi="Arial" w:cs="Arial"/>
          <w:color w:val="000000"/>
          <w:sz w:val="22"/>
          <w:lang w:val="es-ES_tradnl"/>
        </w:rPr>
        <w:t>el seguimiento de la garantía suplementaria o adicional</w:t>
      </w:r>
      <w:r>
        <w:rPr>
          <w:rFonts w:ascii="Arial" w:eastAsia="Calibri" w:hAnsi="Arial" w:cs="Arial"/>
          <w:color w:val="000000"/>
          <w:sz w:val="22"/>
          <w:lang w:val="es-ES_tradnl"/>
        </w:rPr>
        <w:t xml:space="preserve"> es </w:t>
      </w:r>
      <w:proofErr w:type="spellStart"/>
      <w:r>
        <w:rPr>
          <w:rFonts w:ascii="Arial" w:eastAsia="Calibri" w:hAnsi="Arial" w:cs="Arial"/>
          <w:color w:val="000000"/>
          <w:sz w:val="22"/>
          <w:lang w:val="es-ES_tradnl"/>
        </w:rPr>
        <w:t>supletivo</w:t>
      </w:r>
      <w:proofErr w:type="spellEnd"/>
      <w:r>
        <w:rPr>
          <w:rFonts w:ascii="Arial" w:eastAsia="Calibri" w:hAnsi="Arial" w:cs="Arial"/>
          <w:color w:val="000000"/>
          <w:sz w:val="22"/>
          <w:lang w:val="es-ES_tradnl"/>
        </w:rPr>
        <w:t xml:space="preserve"> y</w:t>
      </w:r>
      <w:r w:rsidR="00616FE7">
        <w:rPr>
          <w:rFonts w:ascii="Arial" w:eastAsia="Calibri" w:hAnsi="Arial" w:cs="Arial"/>
          <w:color w:val="000000"/>
          <w:sz w:val="22"/>
          <w:lang w:val="es-ES_tradnl"/>
        </w:rPr>
        <w:t xml:space="preserve"> depende exclusivamente de lo que el </w:t>
      </w:r>
      <w:r w:rsidR="000C3872">
        <w:rPr>
          <w:rFonts w:ascii="Arial" w:eastAsia="Calibri" w:hAnsi="Arial" w:cs="Arial"/>
          <w:color w:val="000000"/>
          <w:sz w:val="22"/>
          <w:lang w:val="es-ES_tradnl"/>
        </w:rPr>
        <w:t>participante va a ofertar</w:t>
      </w:r>
      <w:r w:rsidR="006819F5">
        <w:rPr>
          <w:rFonts w:ascii="Arial" w:eastAsia="Calibri" w:hAnsi="Arial" w:cs="Arial"/>
          <w:color w:val="000000"/>
          <w:sz w:val="22"/>
          <w:lang w:val="es-ES_tradnl"/>
        </w:rPr>
        <w:t>. Así, el oferente</w:t>
      </w:r>
      <w:r w:rsidR="00616FE7">
        <w:rPr>
          <w:rFonts w:ascii="Arial" w:eastAsia="Calibri" w:hAnsi="Arial" w:cs="Arial"/>
          <w:color w:val="000000"/>
          <w:sz w:val="22"/>
          <w:lang w:val="es-ES_tradnl"/>
        </w:rPr>
        <w:t xml:space="preserve"> t</w:t>
      </w:r>
      <w:r w:rsidR="006819F5">
        <w:rPr>
          <w:rFonts w:ascii="Arial" w:eastAsia="Calibri" w:hAnsi="Arial" w:cs="Arial"/>
          <w:color w:val="000000"/>
          <w:sz w:val="22"/>
          <w:lang w:val="es-ES_tradnl"/>
        </w:rPr>
        <w:t>iene</w:t>
      </w:r>
      <w:r w:rsidR="00616FE7">
        <w:rPr>
          <w:rFonts w:ascii="Arial" w:eastAsia="Calibri" w:hAnsi="Arial" w:cs="Arial"/>
          <w:color w:val="000000"/>
          <w:sz w:val="22"/>
          <w:lang w:val="es-ES_tradnl"/>
        </w:rPr>
        <w:t xml:space="preserve"> la libertad </w:t>
      </w:r>
      <w:r w:rsidR="006819F5">
        <w:rPr>
          <w:rFonts w:ascii="Arial" w:eastAsia="Calibri" w:hAnsi="Arial" w:cs="Arial"/>
          <w:color w:val="000000"/>
          <w:sz w:val="22"/>
          <w:lang w:val="es-ES_tradnl"/>
        </w:rPr>
        <w:t xml:space="preserve">de </w:t>
      </w:r>
      <w:r w:rsidR="00616FE7">
        <w:rPr>
          <w:rFonts w:ascii="Arial" w:eastAsia="Calibri" w:hAnsi="Arial" w:cs="Arial"/>
          <w:color w:val="000000"/>
          <w:sz w:val="22"/>
          <w:lang w:val="es-ES_tradnl"/>
        </w:rPr>
        <w:t>establecer el per</w:t>
      </w:r>
      <w:r w:rsidR="006819F5">
        <w:rPr>
          <w:rFonts w:ascii="Arial" w:eastAsia="Calibri" w:hAnsi="Arial" w:cs="Arial"/>
          <w:color w:val="000000"/>
          <w:sz w:val="22"/>
          <w:lang w:val="es-ES_tradnl"/>
        </w:rPr>
        <w:t>í</w:t>
      </w:r>
      <w:r w:rsidR="00616FE7">
        <w:rPr>
          <w:rFonts w:ascii="Arial" w:eastAsia="Calibri" w:hAnsi="Arial" w:cs="Arial"/>
          <w:color w:val="000000"/>
          <w:sz w:val="22"/>
          <w:lang w:val="es-ES_tradnl"/>
        </w:rPr>
        <w:t>odo de seguimiento en el Formato 7D, sin que la entidad esté facultada para establecer limitaciones al respecto mediante la modificación del formato, mediante adendas o mediante las respuestas a las observaciones.</w:t>
      </w:r>
    </w:p>
    <w:p w14:paraId="5CC863E3" w14:textId="77777777" w:rsidR="000C3872" w:rsidRDefault="000C3872" w:rsidP="0067722F">
      <w:pPr>
        <w:spacing w:line="276" w:lineRule="auto"/>
        <w:ind w:firstLine="708"/>
        <w:jc w:val="both"/>
        <w:rPr>
          <w:rFonts w:ascii="Arial" w:eastAsia="Calibri" w:hAnsi="Arial" w:cs="Arial"/>
          <w:color w:val="000000"/>
          <w:sz w:val="22"/>
          <w:lang w:val="es-ES_tradnl"/>
        </w:rPr>
      </w:pPr>
    </w:p>
    <w:p w14:paraId="1CC55C3E" w14:textId="77777777" w:rsidR="00FC4013" w:rsidRPr="002D2FFD" w:rsidRDefault="00FC4013" w:rsidP="0067722F">
      <w:pPr>
        <w:shd w:val="clear" w:color="auto" w:fill="FFFFFF"/>
        <w:spacing w:after="120"/>
        <w:ind w:left="709" w:right="709"/>
        <w:jc w:val="both"/>
        <w:rPr>
          <w:rFonts w:ascii="Arial" w:hAnsi="Arial" w:cs="Arial"/>
          <w:color w:val="0D0D0D"/>
          <w:sz w:val="21"/>
          <w:szCs w:val="21"/>
          <w:bdr w:val="none" w:sz="0" w:space="0" w:color="auto" w:frame="1"/>
          <w:lang w:eastAsia="es-CO"/>
        </w:rPr>
      </w:pPr>
      <w:r w:rsidRPr="002D2FFD">
        <w:rPr>
          <w:rFonts w:ascii="Arial" w:hAnsi="Arial" w:cs="Arial"/>
          <w:color w:val="0D0D0D"/>
          <w:sz w:val="21"/>
          <w:szCs w:val="21"/>
          <w:bdr w:val="none" w:sz="0" w:space="0" w:color="auto" w:frame="1"/>
          <w:lang w:eastAsia="es-CO"/>
        </w:rPr>
        <w:t>6. Las condiciones del seguimiento del cual habla el pliego tipo Versión 3, en el ítem</w:t>
      </w:r>
      <w:r>
        <w:rPr>
          <w:rFonts w:ascii="Arial" w:hAnsi="Arial" w:cs="Arial"/>
          <w:color w:val="0D0D0D"/>
          <w:sz w:val="21"/>
          <w:szCs w:val="21"/>
          <w:bdr w:val="none" w:sz="0" w:space="0" w:color="auto" w:frame="1"/>
          <w:lang w:eastAsia="es-CO"/>
        </w:rPr>
        <w:t xml:space="preserve"> </w:t>
      </w:r>
      <w:r w:rsidRPr="002D2FFD">
        <w:rPr>
          <w:rFonts w:ascii="Arial" w:hAnsi="Arial" w:cs="Arial"/>
          <w:color w:val="0D0D0D"/>
          <w:sz w:val="21"/>
          <w:szCs w:val="21"/>
          <w:bdr w:val="none" w:sz="0" w:space="0" w:color="auto" w:frame="1"/>
          <w:lang w:eastAsia="es-CO"/>
        </w:rPr>
        <w:t>FACTOR DE CALIDAD, subitem GARANTIA SUPLEMENTARIA Y/O ADICIONAL, en concordancia con el numeral 4 del artículo 4 de la Ley 80, dentro del cual se menciona que el seguimiento y/o visitas tendrán un plazo de cada 06 meses y cito textualmente “Las revisiones periódicas a que se refiere el presente numeral deberán llevarse a cabo por lo menos una vez cada seis (6) meses durante el término de vigencia de las garantías”.</w:t>
      </w:r>
    </w:p>
    <w:p w14:paraId="5A707CA8" w14:textId="77777777" w:rsidR="00FC4013" w:rsidRPr="002D2FFD" w:rsidRDefault="00FC4013" w:rsidP="000E5799">
      <w:pPr>
        <w:shd w:val="clear" w:color="auto" w:fill="FFFFFF"/>
        <w:spacing w:before="120" w:after="120"/>
        <w:ind w:left="709" w:right="709"/>
        <w:jc w:val="both"/>
        <w:rPr>
          <w:rFonts w:ascii="Arial" w:hAnsi="Arial" w:cs="Arial"/>
          <w:color w:val="0D0D0D"/>
          <w:sz w:val="21"/>
          <w:szCs w:val="21"/>
          <w:bdr w:val="none" w:sz="0" w:space="0" w:color="auto" w:frame="1"/>
          <w:lang w:eastAsia="es-CO"/>
        </w:rPr>
      </w:pPr>
      <w:r w:rsidRPr="002D2FFD">
        <w:rPr>
          <w:rFonts w:ascii="Arial" w:hAnsi="Arial" w:cs="Arial"/>
          <w:color w:val="0D0D0D"/>
          <w:sz w:val="21"/>
          <w:szCs w:val="21"/>
          <w:bdr w:val="none" w:sz="0" w:space="0" w:color="auto" w:frame="1"/>
          <w:lang w:eastAsia="es-CO"/>
        </w:rPr>
        <w:t xml:space="preserve">¿El anterior seguimiento de por lo menos una vez cada seis (6) meses, durante el término de vigencia de las garantías sean estas ordinarias y/o adicionales, es </w:t>
      </w:r>
      <w:r w:rsidRPr="002D2FFD">
        <w:rPr>
          <w:rFonts w:ascii="Arial" w:hAnsi="Arial" w:cs="Arial"/>
          <w:color w:val="0D0D0D"/>
          <w:sz w:val="21"/>
          <w:szCs w:val="21"/>
          <w:bdr w:val="none" w:sz="0" w:space="0" w:color="auto" w:frame="1"/>
          <w:lang w:eastAsia="es-CO"/>
        </w:rPr>
        <w:lastRenderedPageBreak/>
        <w:t>de obligatorio para los oferentes y/o contratistas o dicha norma es obligatoria para las entidades estatales?</w:t>
      </w:r>
    </w:p>
    <w:p w14:paraId="2ED6C5A6" w14:textId="075329E1" w:rsidR="00FC4013" w:rsidRDefault="00FC4013" w:rsidP="000C3872">
      <w:pPr>
        <w:shd w:val="clear" w:color="auto" w:fill="FFFFFF"/>
        <w:spacing w:before="120"/>
        <w:ind w:left="709" w:right="709"/>
        <w:jc w:val="both"/>
        <w:rPr>
          <w:rFonts w:ascii="Arial" w:hAnsi="Arial" w:cs="Arial"/>
          <w:color w:val="0D0D0D"/>
          <w:sz w:val="21"/>
          <w:szCs w:val="21"/>
          <w:bdr w:val="none" w:sz="0" w:space="0" w:color="auto" w:frame="1"/>
          <w:lang w:eastAsia="es-CO"/>
        </w:rPr>
      </w:pPr>
      <w:r w:rsidRPr="002D2FFD">
        <w:rPr>
          <w:rFonts w:ascii="Arial" w:hAnsi="Arial" w:cs="Arial"/>
          <w:color w:val="0D0D0D"/>
          <w:sz w:val="21"/>
          <w:szCs w:val="21"/>
          <w:bdr w:val="none" w:sz="0" w:space="0" w:color="auto" w:frame="1"/>
          <w:lang w:eastAsia="es-CO"/>
        </w:rPr>
        <w:t>Aclaración detallada: Sobre la pregunta particular, se solicita que esa entidad, indique si a lo que se hace referencia sobre las visitas cada 6 meses que se incluye tanto en los pliegos tipo como en el numeral 4 del artículo 4 de la Ley 80, es obligatorio para ENTIDADES ESTATLES y/u OFERENTES – CONTRATISTAS.</w:t>
      </w:r>
    </w:p>
    <w:p w14:paraId="1C7A4221" w14:textId="77777777" w:rsidR="000C3872" w:rsidRPr="0067722F" w:rsidRDefault="000C3872" w:rsidP="0067722F">
      <w:pPr>
        <w:shd w:val="clear" w:color="auto" w:fill="FFFFFF"/>
        <w:spacing w:line="276" w:lineRule="auto"/>
        <w:ind w:left="709" w:right="709"/>
        <w:jc w:val="both"/>
        <w:rPr>
          <w:rFonts w:ascii="Arial" w:hAnsi="Arial" w:cs="Arial"/>
          <w:b/>
          <w:color w:val="000000"/>
          <w:sz w:val="22"/>
        </w:rPr>
      </w:pPr>
    </w:p>
    <w:p w14:paraId="63325393" w14:textId="44E3CC2D" w:rsidR="00FC4013" w:rsidRPr="00B13059" w:rsidRDefault="00FC4013" w:rsidP="0067722F">
      <w:pPr>
        <w:autoSpaceDE w:val="0"/>
        <w:autoSpaceDN w:val="0"/>
        <w:adjustRightInd w:val="0"/>
        <w:spacing w:after="120" w:line="276" w:lineRule="auto"/>
        <w:jc w:val="both"/>
        <w:rPr>
          <w:rFonts w:ascii="Arial" w:hAnsi="Arial" w:cs="Arial"/>
          <w:color w:val="000000"/>
          <w:sz w:val="22"/>
        </w:rPr>
      </w:pPr>
      <w:r w:rsidRPr="00B13059">
        <w:rPr>
          <w:rFonts w:ascii="Arial" w:hAnsi="Arial" w:cs="Arial"/>
          <w:color w:val="000000"/>
          <w:sz w:val="22"/>
        </w:rPr>
        <w:t>El artículo 4 de la Ley 80 de 1993 contiene los derechos y deberes de las entidades estatales</w:t>
      </w:r>
      <w:r w:rsidR="000C3872">
        <w:rPr>
          <w:rFonts w:ascii="Arial" w:hAnsi="Arial" w:cs="Arial"/>
          <w:color w:val="000000"/>
          <w:sz w:val="22"/>
        </w:rPr>
        <w:t>.</w:t>
      </w:r>
      <w:r w:rsidRPr="00B13059">
        <w:rPr>
          <w:rFonts w:ascii="Arial" w:hAnsi="Arial" w:cs="Arial"/>
          <w:color w:val="000000"/>
          <w:sz w:val="22"/>
        </w:rPr>
        <w:t xml:space="preserve"> </w:t>
      </w:r>
      <w:r w:rsidR="000C3872">
        <w:rPr>
          <w:rFonts w:ascii="Arial" w:hAnsi="Arial" w:cs="Arial"/>
          <w:color w:val="000000"/>
          <w:sz w:val="22"/>
        </w:rPr>
        <w:t>P</w:t>
      </w:r>
      <w:r w:rsidRPr="00B13059">
        <w:rPr>
          <w:rFonts w:ascii="Arial" w:hAnsi="Arial" w:cs="Arial"/>
          <w:color w:val="000000"/>
          <w:sz w:val="22"/>
        </w:rPr>
        <w:t xml:space="preserve">or su parte, los derechos y deberes de los contratistas se encuentran en el artículo 5 </w:t>
      </w:r>
      <w:r w:rsidRPr="0067722F">
        <w:rPr>
          <w:rFonts w:ascii="Arial" w:hAnsi="Arial" w:cs="Arial"/>
          <w:i/>
          <w:iCs/>
          <w:color w:val="000000"/>
          <w:sz w:val="22"/>
        </w:rPr>
        <w:t>ibídem</w:t>
      </w:r>
      <w:r w:rsidRPr="00B13059">
        <w:rPr>
          <w:rFonts w:ascii="Arial" w:hAnsi="Arial" w:cs="Arial"/>
          <w:color w:val="000000"/>
          <w:sz w:val="22"/>
        </w:rPr>
        <w:t xml:space="preserve">. </w:t>
      </w:r>
      <w:r w:rsidR="002C45D9">
        <w:rPr>
          <w:rFonts w:ascii="Arial" w:hAnsi="Arial" w:cs="Arial"/>
          <w:color w:val="000000"/>
          <w:sz w:val="22"/>
        </w:rPr>
        <w:t>Por consiguiente</w:t>
      </w:r>
      <w:r w:rsidRPr="00B13059">
        <w:rPr>
          <w:rFonts w:ascii="Arial" w:hAnsi="Arial" w:cs="Arial"/>
          <w:color w:val="000000"/>
          <w:sz w:val="22"/>
        </w:rPr>
        <w:t xml:space="preserve">, </w:t>
      </w:r>
      <w:r w:rsidR="006819F5">
        <w:rPr>
          <w:rFonts w:ascii="Arial" w:hAnsi="Arial" w:cs="Arial"/>
          <w:color w:val="000000"/>
          <w:sz w:val="22"/>
        </w:rPr>
        <w:t xml:space="preserve">el </w:t>
      </w:r>
      <w:r w:rsidR="002C45D9">
        <w:rPr>
          <w:rFonts w:ascii="Arial" w:hAnsi="Arial" w:cs="Arial"/>
          <w:color w:val="000000"/>
          <w:sz w:val="22"/>
        </w:rPr>
        <w:t xml:space="preserve">deber señalado en </w:t>
      </w:r>
      <w:r w:rsidRPr="00B13059">
        <w:rPr>
          <w:rFonts w:ascii="Arial" w:hAnsi="Arial" w:cs="Arial"/>
          <w:color w:val="000000"/>
          <w:sz w:val="22"/>
        </w:rPr>
        <w:t xml:space="preserve">el numeral 4 del artículo 4 </w:t>
      </w:r>
      <w:r w:rsidR="002C45D9">
        <w:rPr>
          <w:rFonts w:ascii="Arial" w:hAnsi="Arial" w:cs="Arial"/>
          <w:color w:val="000000"/>
          <w:sz w:val="22"/>
        </w:rPr>
        <w:t xml:space="preserve">de la Ley 80 de 1993 corresponde </w:t>
      </w:r>
      <w:r w:rsidR="000C3872">
        <w:rPr>
          <w:rFonts w:ascii="Arial" w:hAnsi="Arial" w:cs="Arial"/>
          <w:color w:val="000000"/>
          <w:sz w:val="22"/>
        </w:rPr>
        <w:t xml:space="preserve">únicamente </w:t>
      </w:r>
      <w:r w:rsidR="002C45D9">
        <w:rPr>
          <w:rFonts w:ascii="Arial" w:hAnsi="Arial" w:cs="Arial"/>
          <w:color w:val="000000"/>
          <w:sz w:val="22"/>
        </w:rPr>
        <w:t>a</w:t>
      </w:r>
      <w:r w:rsidRPr="00B13059">
        <w:rPr>
          <w:rFonts w:ascii="Arial" w:hAnsi="Arial" w:cs="Arial"/>
          <w:color w:val="000000"/>
          <w:sz w:val="22"/>
        </w:rPr>
        <w:t xml:space="preserve"> las entidades estatales. </w:t>
      </w:r>
    </w:p>
    <w:p w14:paraId="27BF1E53" w14:textId="7C4A6B43" w:rsidR="00275DB5" w:rsidRDefault="002C45D9" w:rsidP="000E5799">
      <w:pPr>
        <w:autoSpaceDE w:val="0"/>
        <w:autoSpaceDN w:val="0"/>
        <w:adjustRightInd w:val="0"/>
        <w:spacing w:before="120" w:after="120" w:line="276" w:lineRule="auto"/>
        <w:ind w:firstLine="708"/>
        <w:jc w:val="both"/>
        <w:rPr>
          <w:rFonts w:ascii="Arial" w:hAnsi="Arial" w:cs="Arial"/>
          <w:color w:val="000000"/>
          <w:sz w:val="22"/>
        </w:rPr>
      </w:pPr>
      <w:r>
        <w:rPr>
          <w:rFonts w:ascii="Arial" w:hAnsi="Arial" w:cs="Arial"/>
          <w:color w:val="000000"/>
          <w:sz w:val="22"/>
        </w:rPr>
        <w:t>Al respecto, c</w:t>
      </w:r>
      <w:r w:rsidR="00FC4013" w:rsidRPr="00E51556">
        <w:rPr>
          <w:rFonts w:ascii="Arial" w:hAnsi="Arial" w:cs="Arial"/>
          <w:color w:val="000000"/>
          <w:sz w:val="22"/>
        </w:rPr>
        <w:t xml:space="preserve">onviene precisar que las revisiones periódicas a las obras ejecutadas durante el término de vigencia de las garantías, </w:t>
      </w:r>
      <w:r w:rsidR="00E51556" w:rsidRPr="00E51556">
        <w:rPr>
          <w:rFonts w:ascii="Arial" w:hAnsi="Arial" w:cs="Arial"/>
          <w:color w:val="000000"/>
          <w:sz w:val="22"/>
        </w:rPr>
        <w:t>es un deber legal de las entidades estatales de acuerdo con lo establecido en el numeral 4 del artículo 4 de la Ley 80 de 1993</w:t>
      </w:r>
      <w:r w:rsidR="00E51556">
        <w:rPr>
          <w:rFonts w:ascii="Arial" w:hAnsi="Arial" w:cs="Arial"/>
          <w:color w:val="000000"/>
          <w:sz w:val="22"/>
        </w:rPr>
        <w:t xml:space="preserve">. </w:t>
      </w:r>
      <w:r>
        <w:rPr>
          <w:rFonts w:ascii="Arial" w:hAnsi="Arial" w:cs="Arial"/>
          <w:color w:val="000000"/>
          <w:sz w:val="22"/>
        </w:rPr>
        <w:t xml:space="preserve">De modo que, en </w:t>
      </w:r>
      <w:r w:rsidR="00393C53">
        <w:rPr>
          <w:rFonts w:ascii="Arial" w:hAnsi="Arial" w:cs="Arial"/>
          <w:color w:val="000000"/>
          <w:sz w:val="22"/>
        </w:rPr>
        <w:t>el caso de la garantía legal de calidad y estabilidad de la obra,</w:t>
      </w:r>
      <w:r w:rsidR="00275DB5">
        <w:rPr>
          <w:rFonts w:ascii="Arial" w:hAnsi="Arial" w:cs="Arial"/>
          <w:color w:val="000000"/>
          <w:sz w:val="22"/>
        </w:rPr>
        <w:t xml:space="preserve"> establecida en el numeral 7.2.2. del documento base, </w:t>
      </w:r>
      <w:r w:rsidR="00393C53">
        <w:rPr>
          <w:rFonts w:ascii="Arial" w:hAnsi="Arial" w:cs="Arial"/>
          <w:color w:val="000000"/>
          <w:sz w:val="22"/>
        </w:rPr>
        <w:t xml:space="preserve">el </w:t>
      </w:r>
      <w:r w:rsidR="00393C53" w:rsidRPr="00393C53">
        <w:rPr>
          <w:rFonts w:ascii="Arial" w:hAnsi="Arial" w:cs="Arial"/>
          <w:color w:val="000000"/>
          <w:sz w:val="22"/>
        </w:rPr>
        <w:t xml:space="preserve">artículo 2.2.1.2.3.1.14. del Decreto 1082 de 2015 </w:t>
      </w:r>
      <w:r>
        <w:rPr>
          <w:rFonts w:ascii="Arial" w:hAnsi="Arial" w:cs="Arial"/>
          <w:color w:val="000000"/>
          <w:sz w:val="22"/>
        </w:rPr>
        <w:t>señala</w:t>
      </w:r>
      <w:r w:rsidR="000C3872">
        <w:rPr>
          <w:rFonts w:ascii="Arial" w:hAnsi="Arial" w:cs="Arial"/>
          <w:color w:val="000000"/>
          <w:sz w:val="22"/>
        </w:rPr>
        <w:t xml:space="preserve"> –por regla general–</w:t>
      </w:r>
      <w:r>
        <w:rPr>
          <w:rFonts w:ascii="Arial" w:hAnsi="Arial" w:cs="Arial"/>
          <w:color w:val="000000"/>
          <w:sz w:val="22"/>
        </w:rPr>
        <w:t xml:space="preserve"> una vigencia mínima de</w:t>
      </w:r>
      <w:r w:rsidR="00393C53" w:rsidRPr="00393C53">
        <w:rPr>
          <w:rFonts w:ascii="Arial" w:hAnsi="Arial" w:cs="Arial"/>
          <w:color w:val="000000"/>
          <w:sz w:val="22"/>
        </w:rPr>
        <w:t xml:space="preserve"> cinco (5) años</w:t>
      </w:r>
      <w:r w:rsidR="006819F5">
        <w:rPr>
          <w:rFonts w:ascii="Arial" w:hAnsi="Arial" w:cs="Arial"/>
          <w:color w:val="000000"/>
          <w:sz w:val="22"/>
        </w:rPr>
        <w:t>,</w:t>
      </w:r>
      <w:r w:rsidR="00393C53" w:rsidRPr="00393C53">
        <w:rPr>
          <w:rFonts w:ascii="Arial" w:hAnsi="Arial" w:cs="Arial"/>
          <w:color w:val="000000"/>
          <w:sz w:val="22"/>
        </w:rPr>
        <w:t xml:space="preserve"> contados a partir de la fecha en la cual la Entidad Estatal recibe a satisfacción la obra</w:t>
      </w:r>
      <w:r w:rsidR="003F1231" w:rsidRPr="003F1231">
        <w:rPr>
          <w:rStyle w:val="Refdenotaalpie"/>
          <w:rFonts w:ascii="Arial" w:hAnsi="Arial" w:cs="Arial"/>
          <w:color w:val="000000"/>
          <w:sz w:val="22"/>
        </w:rPr>
        <w:footnoteReference w:id="17"/>
      </w:r>
      <w:r w:rsidR="00393C53" w:rsidRPr="003F1231">
        <w:rPr>
          <w:rFonts w:ascii="Arial" w:hAnsi="Arial" w:cs="Arial"/>
          <w:color w:val="000000"/>
          <w:sz w:val="22"/>
        </w:rPr>
        <w:t>.</w:t>
      </w:r>
      <w:r w:rsidR="00393C53" w:rsidRPr="00393C53">
        <w:rPr>
          <w:rFonts w:ascii="Arial" w:hAnsi="Arial" w:cs="Arial"/>
          <w:color w:val="000000"/>
          <w:sz w:val="22"/>
        </w:rPr>
        <w:t xml:space="preserve"> Lo que </w:t>
      </w:r>
      <w:r w:rsidR="00D10C4B">
        <w:rPr>
          <w:rFonts w:ascii="Arial" w:hAnsi="Arial" w:cs="Arial"/>
          <w:color w:val="000000"/>
          <w:sz w:val="22"/>
        </w:rPr>
        <w:t>significa</w:t>
      </w:r>
      <w:r w:rsidR="00393C53" w:rsidRPr="00393C53">
        <w:rPr>
          <w:rFonts w:ascii="Arial" w:hAnsi="Arial" w:cs="Arial"/>
          <w:color w:val="000000"/>
          <w:sz w:val="22"/>
        </w:rPr>
        <w:t xml:space="preserve"> que, si el término de esta garantía fue establecido con la vigencia mínima, es decir, 5 años, la entidad estatal tendrá que realizar al menos una revisión cada 6 meses dura</w:t>
      </w:r>
      <w:r w:rsidR="0063778D">
        <w:rPr>
          <w:rFonts w:ascii="Arial" w:hAnsi="Arial" w:cs="Arial"/>
          <w:color w:val="000000"/>
          <w:sz w:val="22"/>
        </w:rPr>
        <w:t>nte es</w:t>
      </w:r>
      <w:r w:rsidR="006819F5">
        <w:rPr>
          <w:rFonts w:ascii="Arial" w:hAnsi="Arial" w:cs="Arial"/>
          <w:color w:val="000000"/>
          <w:sz w:val="22"/>
        </w:rPr>
        <w:t xml:space="preserve">e </w:t>
      </w:r>
      <w:r w:rsidR="00894063">
        <w:rPr>
          <w:rFonts w:ascii="Arial" w:hAnsi="Arial" w:cs="Arial"/>
          <w:color w:val="000000"/>
          <w:sz w:val="22"/>
        </w:rPr>
        <w:t>período</w:t>
      </w:r>
      <w:r w:rsidR="0063778D">
        <w:rPr>
          <w:rFonts w:ascii="Arial" w:hAnsi="Arial" w:cs="Arial"/>
          <w:color w:val="000000"/>
          <w:sz w:val="22"/>
        </w:rPr>
        <w:t xml:space="preserve">. Cabe aclarar </w:t>
      </w:r>
      <w:r w:rsidR="0063778D" w:rsidRPr="00393C53">
        <w:rPr>
          <w:rFonts w:ascii="Arial" w:hAnsi="Arial" w:cs="Arial"/>
          <w:color w:val="000000"/>
          <w:sz w:val="22"/>
        </w:rPr>
        <w:t>que</w:t>
      </w:r>
      <w:r w:rsidR="00393C53" w:rsidRPr="00393C53">
        <w:rPr>
          <w:rFonts w:ascii="Arial" w:hAnsi="Arial" w:cs="Arial"/>
          <w:color w:val="000000"/>
          <w:sz w:val="22"/>
        </w:rPr>
        <w:t xml:space="preserve"> en este caso la revisión tiene que ser realizada por la persona que designe la entidad</w:t>
      </w:r>
      <w:r w:rsidR="000C3872">
        <w:rPr>
          <w:rFonts w:ascii="Arial" w:hAnsi="Arial" w:cs="Arial"/>
          <w:color w:val="000000"/>
          <w:sz w:val="22"/>
        </w:rPr>
        <w:t>,</w:t>
      </w:r>
      <w:r w:rsidR="00393C53" w:rsidRPr="00393C53">
        <w:rPr>
          <w:rFonts w:ascii="Arial" w:hAnsi="Arial" w:cs="Arial"/>
          <w:color w:val="000000"/>
          <w:sz w:val="22"/>
        </w:rPr>
        <w:t xml:space="preserve"> </w:t>
      </w:r>
      <w:r w:rsidR="00894063">
        <w:rPr>
          <w:rFonts w:ascii="Arial" w:hAnsi="Arial" w:cs="Arial"/>
          <w:color w:val="000000"/>
          <w:sz w:val="22"/>
        </w:rPr>
        <w:t>y no</w:t>
      </w:r>
      <w:r w:rsidR="00393C53" w:rsidRPr="00393C53">
        <w:rPr>
          <w:rFonts w:ascii="Arial" w:hAnsi="Arial" w:cs="Arial"/>
          <w:color w:val="000000"/>
          <w:sz w:val="22"/>
        </w:rPr>
        <w:t xml:space="preserve"> por el contratista.</w:t>
      </w:r>
      <w:r w:rsidR="00393C53">
        <w:rPr>
          <w:rFonts w:ascii="Arial" w:hAnsi="Arial" w:cs="Arial"/>
          <w:color w:val="000000"/>
          <w:sz w:val="22"/>
        </w:rPr>
        <w:t xml:space="preserve">  </w:t>
      </w:r>
    </w:p>
    <w:p w14:paraId="2E5E737C" w14:textId="2EE5720B" w:rsidR="00FC4013" w:rsidRDefault="00393C53" w:rsidP="000C3872">
      <w:pPr>
        <w:autoSpaceDE w:val="0"/>
        <w:autoSpaceDN w:val="0"/>
        <w:adjustRightInd w:val="0"/>
        <w:spacing w:before="120" w:line="276" w:lineRule="auto"/>
        <w:ind w:firstLine="708"/>
        <w:jc w:val="both"/>
        <w:rPr>
          <w:rFonts w:ascii="Arial" w:hAnsi="Arial" w:cs="Arial"/>
          <w:color w:val="000000"/>
          <w:sz w:val="22"/>
        </w:rPr>
      </w:pPr>
      <w:r>
        <w:rPr>
          <w:rFonts w:ascii="Arial" w:hAnsi="Arial" w:cs="Arial"/>
          <w:color w:val="000000"/>
          <w:sz w:val="22"/>
        </w:rPr>
        <w:t>A</w:t>
      </w:r>
      <w:r w:rsidR="0024024C">
        <w:rPr>
          <w:rFonts w:ascii="Arial" w:hAnsi="Arial" w:cs="Arial"/>
          <w:color w:val="000000"/>
          <w:sz w:val="22"/>
        </w:rPr>
        <w:t xml:space="preserve">hora, </w:t>
      </w:r>
      <w:r w:rsidR="002F3B3F" w:rsidRPr="002F3B3F">
        <w:rPr>
          <w:rFonts w:ascii="Arial" w:hAnsi="Arial" w:cs="Arial"/>
          <w:color w:val="000000"/>
          <w:sz w:val="22"/>
        </w:rPr>
        <w:t>la garantía suplementaria o adicional prevista en el Formato 7D opera una vez haya expirado la garantía de calidad y estabilidad de la obra, y tiene un carácter supletivo frente al seguimiento. E</w:t>
      </w:r>
      <w:r w:rsidR="006819F5">
        <w:rPr>
          <w:rFonts w:ascii="Arial" w:hAnsi="Arial" w:cs="Arial"/>
          <w:color w:val="000000"/>
          <w:sz w:val="22"/>
        </w:rPr>
        <w:t xml:space="preserve">llo quiere decir </w:t>
      </w:r>
      <w:r w:rsidR="002F3B3F" w:rsidRPr="002F3B3F">
        <w:rPr>
          <w:rFonts w:ascii="Arial" w:hAnsi="Arial" w:cs="Arial"/>
          <w:color w:val="000000"/>
          <w:sz w:val="22"/>
        </w:rPr>
        <w:t xml:space="preserve">que el seguimiento a esta garantía debe realizarlo la entidad estatal, pues tiene carácter vinculante para </w:t>
      </w:r>
      <w:r w:rsidR="002E709C">
        <w:rPr>
          <w:rFonts w:ascii="Arial" w:hAnsi="Arial" w:cs="Arial"/>
          <w:color w:val="000000"/>
          <w:sz w:val="22"/>
        </w:rPr>
        <w:t>aquella</w:t>
      </w:r>
      <w:r w:rsidR="002F3B3F" w:rsidRPr="002F3B3F">
        <w:rPr>
          <w:rFonts w:ascii="Arial" w:hAnsi="Arial" w:cs="Arial"/>
          <w:color w:val="000000"/>
          <w:sz w:val="22"/>
        </w:rPr>
        <w:t>, quien debe hacer el seguimiento de su cumplimiento conforme a lo indicado en el numeral 4 del artículo 4 de la Ley 80 de 1993</w:t>
      </w:r>
      <w:r w:rsidR="006819F5">
        <w:rPr>
          <w:rFonts w:ascii="Arial" w:hAnsi="Arial" w:cs="Arial"/>
          <w:color w:val="000000"/>
          <w:sz w:val="22"/>
        </w:rPr>
        <w:t>. N</w:t>
      </w:r>
      <w:r w:rsidR="002F3B3F" w:rsidRPr="002F3B3F">
        <w:rPr>
          <w:rFonts w:ascii="Arial" w:hAnsi="Arial" w:cs="Arial"/>
          <w:color w:val="000000"/>
          <w:sz w:val="22"/>
        </w:rPr>
        <w:t xml:space="preserve">o obstante, en aquellos casos en que la entidad estatal no designe a </w:t>
      </w:r>
      <w:r w:rsidR="002F3B3F" w:rsidRPr="002F3B3F">
        <w:rPr>
          <w:rFonts w:ascii="Arial" w:hAnsi="Arial" w:cs="Arial"/>
          <w:color w:val="000000"/>
          <w:sz w:val="22"/>
        </w:rPr>
        <w:lastRenderedPageBreak/>
        <w:t>una persona para realizar el seguimiento, lo hará el contratista de manera supletiva en la frecuencia que se haya comprometido en el Formato 7D</w:t>
      </w:r>
      <w:r w:rsidR="002F3B3F">
        <w:rPr>
          <w:rFonts w:ascii="Arial" w:hAnsi="Arial" w:cs="Arial"/>
          <w:color w:val="000000"/>
          <w:sz w:val="22"/>
        </w:rPr>
        <w:t>.</w:t>
      </w:r>
    </w:p>
    <w:p w14:paraId="3354E7E4" w14:textId="77777777" w:rsidR="000C3872" w:rsidRPr="000E5799" w:rsidRDefault="000C3872" w:rsidP="0067722F">
      <w:pPr>
        <w:autoSpaceDE w:val="0"/>
        <w:autoSpaceDN w:val="0"/>
        <w:adjustRightInd w:val="0"/>
        <w:spacing w:line="276" w:lineRule="auto"/>
        <w:ind w:firstLine="708"/>
        <w:jc w:val="both"/>
        <w:rPr>
          <w:rFonts w:ascii="Arial" w:hAnsi="Arial" w:cs="Arial"/>
          <w:b/>
          <w:color w:val="000000"/>
        </w:rPr>
      </w:pPr>
    </w:p>
    <w:p w14:paraId="1EE09F53" w14:textId="77777777" w:rsidR="00FC4013" w:rsidRPr="003C3C08" w:rsidRDefault="00FC4013" w:rsidP="0067722F">
      <w:pPr>
        <w:shd w:val="clear" w:color="auto" w:fill="FFFFFF"/>
        <w:ind w:left="709" w:right="709"/>
        <w:jc w:val="both"/>
        <w:rPr>
          <w:rFonts w:ascii="Arial" w:hAnsi="Arial" w:cs="Arial"/>
          <w:color w:val="0D0D0D"/>
          <w:sz w:val="21"/>
          <w:szCs w:val="21"/>
          <w:bdr w:val="none" w:sz="0" w:space="0" w:color="auto" w:frame="1"/>
          <w:lang w:eastAsia="es-CO"/>
        </w:rPr>
      </w:pPr>
      <w:r w:rsidRPr="003C3C08">
        <w:rPr>
          <w:rFonts w:ascii="Arial" w:hAnsi="Arial" w:cs="Arial"/>
          <w:color w:val="0D0D0D"/>
          <w:sz w:val="21"/>
          <w:szCs w:val="21"/>
          <w:bdr w:val="none" w:sz="0" w:space="0" w:color="auto" w:frame="1"/>
          <w:lang w:eastAsia="es-CO"/>
        </w:rPr>
        <w:t>12. ¿Puede una entidad, negar la asignación de puntaje por factor de calidad a un</w:t>
      </w:r>
      <w:r>
        <w:rPr>
          <w:rFonts w:ascii="Arial" w:hAnsi="Arial" w:cs="Arial"/>
          <w:color w:val="0D0D0D"/>
          <w:sz w:val="21"/>
          <w:szCs w:val="21"/>
          <w:bdr w:val="none" w:sz="0" w:space="0" w:color="auto" w:frame="1"/>
          <w:lang w:eastAsia="es-CO"/>
        </w:rPr>
        <w:t xml:space="preserve"> </w:t>
      </w:r>
      <w:r w:rsidRPr="003C3C08">
        <w:rPr>
          <w:rFonts w:ascii="Arial" w:hAnsi="Arial" w:cs="Arial"/>
          <w:color w:val="0D0D0D"/>
          <w:sz w:val="21"/>
          <w:szCs w:val="21"/>
          <w:bdr w:val="none" w:sz="0" w:space="0" w:color="auto" w:frame="1"/>
          <w:lang w:eastAsia="es-CO"/>
        </w:rPr>
        <w:t>oferente, sea el que fuere ponderado, si dicho oferente no cumple dentro del formato 7D, con la delimitación de periodicidad para realizar el seguimiento de la Garantía suplementaria y/o adicional, en los términos que haya decidido delimitar la entidad, en cualquier proceso de licitación?</w:t>
      </w:r>
    </w:p>
    <w:p w14:paraId="2A4D00A1" w14:textId="77777777" w:rsidR="00FC4013" w:rsidRDefault="00FC4013" w:rsidP="0067722F">
      <w:pPr>
        <w:autoSpaceDE w:val="0"/>
        <w:autoSpaceDN w:val="0"/>
        <w:adjustRightInd w:val="0"/>
        <w:rPr>
          <w:rFonts w:ascii="Arial" w:hAnsi="Arial" w:cs="Arial"/>
          <w:b/>
          <w:color w:val="000000"/>
        </w:rPr>
      </w:pPr>
    </w:p>
    <w:p w14:paraId="5DEB34F1" w14:textId="01F3E8C0" w:rsidR="00412C58" w:rsidRDefault="005747F3" w:rsidP="0067722F">
      <w:pPr>
        <w:tabs>
          <w:tab w:val="left" w:pos="426"/>
        </w:tabs>
        <w:spacing w:before="120" w:after="120" w:line="276" w:lineRule="auto"/>
        <w:jc w:val="both"/>
        <w:rPr>
          <w:rFonts w:ascii="Arial" w:eastAsia="Calibri" w:hAnsi="Arial" w:cs="Arial"/>
          <w:sz w:val="22"/>
        </w:rPr>
      </w:pPr>
      <w:r>
        <w:rPr>
          <w:rFonts w:ascii="Arial" w:eastAsia="Calibri" w:hAnsi="Arial" w:cs="Arial"/>
          <w:sz w:val="22"/>
        </w:rPr>
        <w:t>En concepto de esta Subdirección, c</w:t>
      </w:r>
      <w:r w:rsidR="00F77B02" w:rsidRPr="00F77B02">
        <w:rPr>
          <w:rFonts w:ascii="Arial" w:eastAsia="Calibri" w:hAnsi="Arial" w:cs="Arial"/>
          <w:sz w:val="22"/>
        </w:rPr>
        <w:t>onforme a las consideraciones antes indicadas y al tenor</w:t>
      </w:r>
      <w:r w:rsidR="00F77B02">
        <w:rPr>
          <w:rFonts w:ascii="Arial" w:eastAsia="Calibri" w:hAnsi="Arial" w:cs="Arial"/>
          <w:sz w:val="22"/>
        </w:rPr>
        <w:t xml:space="preserve"> del </w:t>
      </w:r>
      <w:r w:rsidR="00F77B02" w:rsidRPr="00FF31F1">
        <w:rPr>
          <w:rFonts w:ascii="Arial" w:eastAsia="Calibri" w:hAnsi="Arial" w:cs="Arial"/>
          <w:sz w:val="22"/>
          <w:szCs w:val="24"/>
          <w:lang w:val="es-ES_tradnl" w:eastAsia="es-ES_tradnl"/>
        </w:rPr>
        <w:t xml:space="preserve">numeral 4.2.4 del </w:t>
      </w:r>
      <w:r w:rsidR="00F77B02">
        <w:rPr>
          <w:rFonts w:ascii="Arial" w:eastAsia="Calibri" w:hAnsi="Arial" w:cs="Arial"/>
          <w:sz w:val="22"/>
          <w:szCs w:val="24"/>
          <w:lang w:val="es-ES_tradnl" w:eastAsia="es-ES_tradnl"/>
        </w:rPr>
        <w:t>D</w:t>
      </w:r>
      <w:r w:rsidR="00F77B02" w:rsidRPr="00FF31F1">
        <w:rPr>
          <w:rFonts w:ascii="Arial" w:eastAsia="Calibri" w:hAnsi="Arial" w:cs="Arial"/>
          <w:sz w:val="22"/>
          <w:szCs w:val="24"/>
          <w:lang w:val="es-ES_tradnl" w:eastAsia="es-ES_tradnl"/>
        </w:rPr>
        <w:t xml:space="preserve">ocumento </w:t>
      </w:r>
      <w:r w:rsidR="00F77B02">
        <w:rPr>
          <w:rFonts w:ascii="Arial" w:eastAsia="Calibri" w:hAnsi="Arial" w:cs="Arial"/>
          <w:sz w:val="22"/>
          <w:szCs w:val="24"/>
          <w:lang w:val="es-ES_tradnl" w:eastAsia="es-ES_tradnl"/>
        </w:rPr>
        <w:t>B</w:t>
      </w:r>
      <w:r w:rsidR="00F77B02" w:rsidRPr="00FF31F1">
        <w:rPr>
          <w:rFonts w:ascii="Arial" w:eastAsia="Calibri" w:hAnsi="Arial" w:cs="Arial"/>
          <w:sz w:val="22"/>
          <w:szCs w:val="24"/>
          <w:lang w:val="es-ES_tradnl" w:eastAsia="es-ES_tradnl"/>
        </w:rPr>
        <w:t>ase</w:t>
      </w:r>
      <w:r w:rsidR="00260125">
        <w:rPr>
          <w:rFonts w:ascii="Arial" w:eastAsia="Calibri" w:hAnsi="Arial" w:cs="Arial"/>
          <w:sz w:val="22"/>
        </w:rPr>
        <w:t xml:space="preserve"> y del Formato 7D, de los D</w:t>
      </w:r>
      <w:r w:rsidR="00F77B02">
        <w:rPr>
          <w:rFonts w:ascii="Arial" w:eastAsia="Calibri" w:hAnsi="Arial" w:cs="Arial"/>
          <w:sz w:val="22"/>
        </w:rPr>
        <w:t>ocumentos tipo de</w:t>
      </w:r>
      <w:r>
        <w:rPr>
          <w:rFonts w:ascii="Arial" w:eastAsia="Calibri" w:hAnsi="Arial" w:cs="Arial"/>
          <w:sz w:val="22"/>
        </w:rPr>
        <w:t xml:space="preserve"> licitación de</w:t>
      </w:r>
      <w:r w:rsidR="00F77B02">
        <w:rPr>
          <w:rFonts w:ascii="Arial" w:eastAsia="Calibri" w:hAnsi="Arial" w:cs="Arial"/>
          <w:sz w:val="22"/>
        </w:rPr>
        <w:t xml:space="preserve"> infraestructura de transporte</w:t>
      </w:r>
      <w:r>
        <w:rPr>
          <w:rFonts w:ascii="Arial" w:eastAsia="Calibri" w:hAnsi="Arial" w:cs="Arial"/>
          <w:sz w:val="22"/>
        </w:rPr>
        <w:t xml:space="preserve"> –</w:t>
      </w:r>
      <w:r w:rsidR="00F77B02">
        <w:rPr>
          <w:rFonts w:ascii="Arial" w:eastAsia="Calibri" w:hAnsi="Arial" w:cs="Arial"/>
          <w:sz w:val="22"/>
        </w:rPr>
        <w:t xml:space="preserve"> </w:t>
      </w:r>
      <w:r>
        <w:rPr>
          <w:rFonts w:ascii="Arial" w:eastAsia="Calibri" w:hAnsi="Arial" w:cs="Arial"/>
          <w:sz w:val="22"/>
        </w:rPr>
        <w:t>V</w:t>
      </w:r>
      <w:r w:rsidR="00F77B02">
        <w:rPr>
          <w:rFonts w:ascii="Arial" w:eastAsia="Calibri" w:hAnsi="Arial" w:cs="Arial"/>
          <w:sz w:val="22"/>
        </w:rPr>
        <w:t xml:space="preserve">ersión 3, se </w:t>
      </w:r>
      <w:r w:rsidR="000C3872">
        <w:rPr>
          <w:rFonts w:ascii="Arial" w:eastAsia="Calibri" w:hAnsi="Arial" w:cs="Arial"/>
          <w:sz w:val="22"/>
        </w:rPr>
        <w:t xml:space="preserve">observa </w:t>
      </w:r>
      <w:r w:rsidR="00F77B02">
        <w:rPr>
          <w:rFonts w:ascii="Arial" w:eastAsia="Calibri" w:hAnsi="Arial" w:cs="Arial"/>
          <w:sz w:val="22"/>
        </w:rPr>
        <w:t xml:space="preserve">que </w:t>
      </w:r>
      <w:r w:rsidR="00407636">
        <w:rPr>
          <w:rFonts w:ascii="Arial" w:eastAsia="Calibri" w:hAnsi="Arial" w:cs="Arial"/>
          <w:sz w:val="22"/>
        </w:rPr>
        <w:t>al ofertar la garantía suplementar</w:t>
      </w:r>
      <w:r w:rsidR="00412C58">
        <w:rPr>
          <w:rFonts w:ascii="Arial" w:eastAsia="Calibri" w:hAnsi="Arial" w:cs="Arial"/>
          <w:sz w:val="22"/>
        </w:rPr>
        <w:t>i</w:t>
      </w:r>
      <w:r w:rsidR="00407636">
        <w:rPr>
          <w:rFonts w:ascii="Arial" w:eastAsia="Calibri" w:hAnsi="Arial" w:cs="Arial"/>
          <w:sz w:val="22"/>
        </w:rPr>
        <w:t xml:space="preserve">a mediante </w:t>
      </w:r>
      <w:r w:rsidR="00F77B02">
        <w:rPr>
          <w:rFonts w:ascii="Arial" w:eastAsia="Calibri" w:hAnsi="Arial" w:cs="Arial"/>
          <w:sz w:val="22"/>
        </w:rPr>
        <w:t>dicho formato</w:t>
      </w:r>
      <w:r w:rsidR="00407636">
        <w:rPr>
          <w:rFonts w:ascii="Arial" w:eastAsia="Calibri" w:hAnsi="Arial" w:cs="Arial"/>
          <w:sz w:val="22"/>
        </w:rPr>
        <w:t xml:space="preserve">, </w:t>
      </w:r>
      <w:r w:rsidR="00407636" w:rsidRPr="00260125">
        <w:rPr>
          <w:rFonts w:ascii="Arial" w:eastAsia="Calibri" w:hAnsi="Arial" w:cs="Arial"/>
          <w:sz w:val="22"/>
        </w:rPr>
        <w:t xml:space="preserve">corresponde al proponente indicar una frecuencia en la que se compromete a realizar el seguimiento </w:t>
      </w:r>
      <w:r w:rsidR="00334344" w:rsidRPr="00260125">
        <w:rPr>
          <w:rFonts w:ascii="Arial" w:eastAsia="Calibri" w:hAnsi="Arial" w:cs="Arial"/>
          <w:sz w:val="22"/>
        </w:rPr>
        <w:t xml:space="preserve">a </w:t>
      </w:r>
      <w:r w:rsidR="00407636" w:rsidRPr="00260125">
        <w:rPr>
          <w:rFonts w:ascii="Arial" w:eastAsia="Calibri" w:hAnsi="Arial" w:cs="Arial"/>
          <w:sz w:val="22"/>
        </w:rPr>
        <w:t>l</w:t>
      </w:r>
      <w:r w:rsidR="00334344" w:rsidRPr="00260125">
        <w:rPr>
          <w:rFonts w:ascii="Arial" w:eastAsia="Calibri" w:hAnsi="Arial" w:cs="Arial"/>
          <w:sz w:val="22"/>
        </w:rPr>
        <w:t>a</w:t>
      </w:r>
      <w:r w:rsidR="00407636" w:rsidRPr="00260125">
        <w:rPr>
          <w:rFonts w:ascii="Arial" w:eastAsia="Calibri" w:hAnsi="Arial" w:cs="Arial"/>
          <w:sz w:val="22"/>
        </w:rPr>
        <w:t xml:space="preserve"> mism</w:t>
      </w:r>
      <w:r w:rsidR="00334344" w:rsidRPr="00260125">
        <w:rPr>
          <w:rFonts w:ascii="Arial" w:eastAsia="Calibri" w:hAnsi="Arial" w:cs="Arial"/>
          <w:sz w:val="22"/>
        </w:rPr>
        <w:t>a</w:t>
      </w:r>
      <w:r w:rsidR="00407636" w:rsidRPr="00260125">
        <w:rPr>
          <w:rFonts w:ascii="Arial" w:eastAsia="Calibri" w:hAnsi="Arial" w:cs="Arial"/>
          <w:sz w:val="22"/>
        </w:rPr>
        <w:t>, cuando la entidad no designe una persona para hacerlo</w:t>
      </w:r>
      <w:r w:rsidR="006819F5">
        <w:rPr>
          <w:rFonts w:ascii="Arial" w:eastAsia="Calibri" w:hAnsi="Arial" w:cs="Arial"/>
          <w:sz w:val="22"/>
        </w:rPr>
        <w:t>,</w:t>
      </w:r>
      <w:r w:rsidR="00407636" w:rsidRPr="00260125">
        <w:rPr>
          <w:rFonts w:ascii="Arial" w:eastAsia="Calibri" w:hAnsi="Arial" w:cs="Arial"/>
          <w:sz w:val="22"/>
        </w:rPr>
        <w:t xml:space="preserve"> conforme al numeral 4 del artículo 4 de la Ley 80 de 1993. Dicha frecuencia debe ser establecida por el proponente en el Formato 7D</w:t>
      </w:r>
      <w:r w:rsidR="006819F5">
        <w:rPr>
          <w:rFonts w:ascii="Arial" w:eastAsia="Calibri" w:hAnsi="Arial" w:cs="Arial"/>
          <w:sz w:val="22"/>
        </w:rPr>
        <w:t>,</w:t>
      </w:r>
      <w:r w:rsidR="00407636" w:rsidRPr="00260125">
        <w:rPr>
          <w:rFonts w:ascii="Arial" w:eastAsia="Calibri" w:hAnsi="Arial" w:cs="Arial"/>
          <w:sz w:val="22"/>
        </w:rPr>
        <w:t xml:space="preserve"> señalando en qué per</w:t>
      </w:r>
      <w:r w:rsidR="00FC750B" w:rsidRPr="00260125">
        <w:rPr>
          <w:rFonts w:ascii="Arial" w:eastAsia="Calibri" w:hAnsi="Arial" w:cs="Arial"/>
          <w:sz w:val="22"/>
        </w:rPr>
        <w:t>í</w:t>
      </w:r>
      <w:r w:rsidR="00407636" w:rsidRPr="00260125">
        <w:rPr>
          <w:rFonts w:ascii="Arial" w:eastAsia="Calibri" w:hAnsi="Arial" w:cs="Arial"/>
          <w:sz w:val="22"/>
        </w:rPr>
        <w:t>odo se compromete a hacer las revisiones</w:t>
      </w:r>
      <w:r w:rsidR="00334344" w:rsidRPr="00260125">
        <w:rPr>
          <w:rFonts w:ascii="Arial" w:eastAsia="Calibri" w:hAnsi="Arial" w:cs="Arial"/>
          <w:sz w:val="22"/>
        </w:rPr>
        <w:t xml:space="preserve">; siempre que </w:t>
      </w:r>
      <w:r w:rsidR="00407636" w:rsidRPr="00260125">
        <w:rPr>
          <w:rFonts w:ascii="Arial" w:eastAsia="Calibri" w:hAnsi="Arial" w:cs="Arial"/>
          <w:sz w:val="22"/>
        </w:rPr>
        <w:t>la entidad no design</w:t>
      </w:r>
      <w:r w:rsidRPr="00260125">
        <w:rPr>
          <w:rFonts w:ascii="Arial" w:eastAsia="Calibri" w:hAnsi="Arial" w:cs="Arial"/>
          <w:sz w:val="22"/>
        </w:rPr>
        <w:t>e</w:t>
      </w:r>
      <w:r w:rsidR="00407636" w:rsidRPr="00260125">
        <w:rPr>
          <w:rFonts w:ascii="Arial" w:eastAsia="Calibri" w:hAnsi="Arial" w:cs="Arial"/>
          <w:sz w:val="22"/>
        </w:rPr>
        <w:t xml:space="preserve"> </w:t>
      </w:r>
      <w:r w:rsidR="00334344" w:rsidRPr="00260125">
        <w:rPr>
          <w:rFonts w:ascii="Arial" w:eastAsia="Calibri" w:hAnsi="Arial" w:cs="Arial"/>
          <w:sz w:val="22"/>
        </w:rPr>
        <w:t xml:space="preserve">a </w:t>
      </w:r>
      <w:r w:rsidR="00407636" w:rsidRPr="00260125">
        <w:rPr>
          <w:rFonts w:ascii="Arial" w:eastAsia="Calibri" w:hAnsi="Arial" w:cs="Arial"/>
          <w:sz w:val="22"/>
        </w:rPr>
        <w:t xml:space="preserve">alguien para hacerlo. </w:t>
      </w:r>
      <w:r w:rsidR="006819F5">
        <w:rPr>
          <w:rFonts w:ascii="Arial" w:eastAsiaTheme="minorEastAsia" w:hAnsi="Arial" w:cs="Arial"/>
          <w:sz w:val="22"/>
        </w:rPr>
        <w:t>En ese sentido,</w:t>
      </w:r>
      <w:r w:rsidR="00C429B4" w:rsidRPr="00260125">
        <w:rPr>
          <w:rFonts w:ascii="Arial" w:eastAsiaTheme="minorEastAsia" w:hAnsi="Arial" w:cs="Arial"/>
          <w:sz w:val="22"/>
        </w:rPr>
        <w:t xml:space="preserve"> e</w:t>
      </w:r>
      <w:r w:rsidR="00412C58" w:rsidRPr="00260125">
        <w:rPr>
          <w:rFonts w:ascii="Arial" w:eastAsiaTheme="minorEastAsia" w:hAnsi="Arial" w:cs="Arial"/>
          <w:sz w:val="22"/>
        </w:rPr>
        <w:t xml:space="preserve">l oferente debe proponer de manera autónoma y libre </w:t>
      </w:r>
      <w:r w:rsidR="00C429B4" w:rsidRPr="00260125">
        <w:rPr>
          <w:rFonts w:ascii="Arial" w:eastAsiaTheme="minorEastAsia" w:hAnsi="Arial" w:cs="Arial"/>
          <w:sz w:val="22"/>
        </w:rPr>
        <w:t>en el Formato indicado</w:t>
      </w:r>
      <w:r w:rsidR="00412C58" w:rsidRPr="00260125">
        <w:rPr>
          <w:rFonts w:ascii="Arial" w:eastAsiaTheme="minorEastAsia" w:hAnsi="Arial" w:cs="Arial"/>
          <w:sz w:val="22"/>
        </w:rPr>
        <w:t xml:space="preserve"> una frecuencia mínima al </w:t>
      </w:r>
      <w:r w:rsidR="00C429B4" w:rsidRPr="00260125">
        <w:rPr>
          <w:rFonts w:ascii="Arial" w:eastAsiaTheme="minorEastAsia" w:hAnsi="Arial" w:cs="Arial"/>
          <w:sz w:val="22"/>
        </w:rPr>
        <w:t>momento de presentar la oferta</w:t>
      </w:r>
      <w:r w:rsidR="006819F5">
        <w:rPr>
          <w:rFonts w:ascii="Arial" w:eastAsiaTheme="minorEastAsia" w:hAnsi="Arial" w:cs="Arial"/>
          <w:sz w:val="22"/>
        </w:rPr>
        <w:t>. E</w:t>
      </w:r>
      <w:r w:rsidR="00412C58" w:rsidRPr="00260125">
        <w:rPr>
          <w:rFonts w:ascii="Arial" w:eastAsiaTheme="minorEastAsia" w:hAnsi="Arial" w:cs="Arial"/>
          <w:sz w:val="22"/>
        </w:rPr>
        <w:t>l seguimiento de la garantía suplementaria lo realizará el contratista en los términos de la frecuencia ofre</w:t>
      </w:r>
      <w:r w:rsidR="00C429B4" w:rsidRPr="00260125">
        <w:rPr>
          <w:rFonts w:ascii="Arial" w:eastAsiaTheme="minorEastAsia" w:hAnsi="Arial" w:cs="Arial"/>
          <w:sz w:val="22"/>
        </w:rPr>
        <w:t>cida</w:t>
      </w:r>
      <w:r w:rsidR="006819F5">
        <w:rPr>
          <w:rFonts w:ascii="Arial" w:eastAsiaTheme="minorEastAsia" w:hAnsi="Arial" w:cs="Arial"/>
          <w:sz w:val="22"/>
        </w:rPr>
        <w:t>,</w:t>
      </w:r>
      <w:r w:rsidR="00C429B4" w:rsidRPr="00260125">
        <w:rPr>
          <w:rFonts w:ascii="Arial" w:eastAsiaTheme="minorEastAsia" w:hAnsi="Arial" w:cs="Arial"/>
          <w:sz w:val="22"/>
        </w:rPr>
        <w:t xml:space="preserve"> o</w:t>
      </w:r>
      <w:r w:rsidR="00412C58" w:rsidRPr="00260125">
        <w:rPr>
          <w:rFonts w:ascii="Arial" w:eastAsiaTheme="minorEastAsia" w:hAnsi="Arial" w:cs="Arial"/>
          <w:sz w:val="22"/>
        </w:rPr>
        <w:t xml:space="preserve">bligándose a </w:t>
      </w:r>
      <w:r w:rsidR="006819F5">
        <w:rPr>
          <w:rFonts w:ascii="Arial" w:eastAsiaTheme="minorEastAsia" w:hAnsi="Arial" w:cs="Arial"/>
          <w:sz w:val="22"/>
        </w:rPr>
        <w:t>cumplir con</w:t>
      </w:r>
      <w:r w:rsidR="00412C58" w:rsidRPr="00260125">
        <w:rPr>
          <w:rFonts w:ascii="Arial" w:eastAsiaTheme="minorEastAsia" w:hAnsi="Arial" w:cs="Arial"/>
          <w:sz w:val="22"/>
        </w:rPr>
        <w:t xml:space="preserve"> los términos por él indicados.</w:t>
      </w:r>
    </w:p>
    <w:p w14:paraId="0D3A7CB9" w14:textId="0534B458" w:rsidR="00407636" w:rsidRDefault="005747F3" w:rsidP="0067722F">
      <w:pPr>
        <w:tabs>
          <w:tab w:val="left" w:pos="426"/>
        </w:tabs>
        <w:spacing w:before="120" w:line="276" w:lineRule="auto"/>
        <w:ind w:firstLine="709"/>
        <w:jc w:val="both"/>
        <w:rPr>
          <w:rFonts w:ascii="Arial" w:eastAsia="Calibri" w:hAnsi="Arial" w:cs="Arial"/>
          <w:sz w:val="22"/>
        </w:rPr>
      </w:pPr>
      <w:r>
        <w:rPr>
          <w:rFonts w:ascii="Arial" w:eastAsia="Calibri" w:hAnsi="Arial" w:cs="Arial"/>
          <w:sz w:val="22"/>
        </w:rPr>
        <w:t>Sin embargo</w:t>
      </w:r>
      <w:r w:rsidR="00967D10">
        <w:rPr>
          <w:rFonts w:ascii="Arial" w:eastAsia="Calibri" w:hAnsi="Arial" w:cs="Arial"/>
          <w:sz w:val="22"/>
        </w:rPr>
        <w:t>, la frecuencia ofertada por el proponente no determina el puntaje correspondiente por este factor de calidad</w:t>
      </w:r>
      <w:r w:rsidR="006819F5">
        <w:rPr>
          <w:rFonts w:ascii="Arial" w:eastAsia="Calibri" w:hAnsi="Arial" w:cs="Arial"/>
          <w:sz w:val="22"/>
        </w:rPr>
        <w:t>. Esto</w:t>
      </w:r>
      <w:r w:rsidR="00967D10">
        <w:rPr>
          <w:rFonts w:ascii="Arial" w:eastAsia="Calibri" w:hAnsi="Arial" w:cs="Arial"/>
          <w:sz w:val="22"/>
        </w:rPr>
        <w:t xml:space="preserve"> depende del número de meses de garantía</w:t>
      </w:r>
      <w:r>
        <w:rPr>
          <w:rFonts w:ascii="Arial" w:eastAsia="Calibri" w:hAnsi="Arial" w:cs="Arial"/>
          <w:sz w:val="22"/>
        </w:rPr>
        <w:t xml:space="preserve"> adicional</w:t>
      </w:r>
      <w:r w:rsidR="00967D10">
        <w:rPr>
          <w:rFonts w:ascii="Arial" w:eastAsia="Calibri" w:hAnsi="Arial" w:cs="Arial"/>
          <w:sz w:val="22"/>
        </w:rPr>
        <w:t xml:space="preserve"> o</w:t>
      </w:r>
      <w:r w:rsidR="00727946">
        <w:rPr>
          <w:rFonts w:ascii="Arial" w:eastAsia="Calibri" w:hAnsi="Arial" w:cs="Arial"/>
          <w:sz w:val="22"/>
        </w:rPr>
        <w:t>frecid</w:t>
      </w:r>
      <w:r>
        <w:rPr>
          <w:rFonts w:ascii="Arial" w:eastAsia="Calibri" w:hAnsi="Arial" w:cs="Arial"/>
          <w:sz w:val="22"/>
        </w:rPr>
        <w:t>a</w:t>
      </w:r>
      <w:r w:rsidR="00727946">
        <w:rPr>
          <w:rFonts w:ascii="Arial" w:eastAsia="Calibri" w:hAnsi="Arial" w:cs="Arial"/>
          <w:sz w:val="22"/>
        </w:rPr>
        <w:t xml:space="preserve"> por el proponente, </w:t>
      </w:r>
      <w:r w:rsidR="0037129B">
        <w:rPr>
          <w:rFonts w:ascii="Arial" w:eastAsia="Calibri" w:hAnsi="Arial" w:cs="Arial"/>
          <w:sz w:val="22"/>
        </w:rPr>
        <w:t>siendo este el factor de evaluación que será tenido en cuenta por la entidad. Por lo anterior</w:t>
      </w:r>
      <w:r w:rsidR="006819F5">
        <w:rPr>
          <w:rFonts w:ascii="Arial" w:eastAsia="Calibri" w:hAnsi="Arial" w:cs="Arial"/>
          <w:sz w:val="22"/>
        </w:rPr>
        <w:t>,</w:t>
      </w:r>
      <w:r w:rsidR="0037129B">
        <w:rPr>
          <w:rFonts w:ascii="Arial" w:eastAsia="Calibri" w:hAnsi="Arial" w:cs="Arial"/>
          <w:sz w:val="22"/>
        </w:rPr>
        <w:t xml:space="preserve"> se infiere que el proponente</w:t>
      </w:r>
      <w:r w:rsidR="006819F5">
        <w:rPr>
          <w:rFonts w:ascii="Arial" w:eastAsia="Calibri" w:hAnsi="Arial" w:cs="Arial"/>
          <w:sz w:val="22"/>
        </w:rPr>
        <w:t>,</w:t>
      </w:r>
      <w:r w:rsidR="0037129B">
        <w:rPr>
          <w:rFonts w:ascii="Arial" w:eastAsia="Calibri" w:hAnsi="Arial" w:cs="Arial"/>
          <w:sz w:val="22"/>
        </w:rPr>
        <w:t xml:space="preserve"> al </w:t>
      </w:r>
      <w:r>
        <w:rPr>
          <w:rFonts w:ascii="Arial" w:eastAsia="Calibri" w:hAnsi="Arial" w:cs="Arial"/>
          <w:sz w:val="22"/>
        </w:rPr>
        <w:t xml:space="preserve">ofrecer </w:t>
      </w:r>
      <w:r w:rsidR="0037129B">
        <w:rPr>
          <w:rFonts w:ascii="Arial" w:eastAsia="Calibri" w:hAnsi="Arial" w:cs="Arial"/>
          <w:sz w:val="22"/>
        </w:rPr>
        <w:t>otorgar la garantía adicional o suplementaria por un determinado número de meses</w:t>
      </w:r>
      <w:r w:rsidR="006819F5">
        <w:rPr>
          <w:rFonts w:ascii="Arial" w:eastAsia="Calibri" w:hAnsi="Arial" w:cs="Arial"/>
          <w:sz w:val="22"/>
        </w:rPr>
        <w:t>,</w:t>
      </w:r>
      <w:r w:rsidR="0037129B">
        <w:rPr>
          <w:rFonts w:ascii="Arial" w:eastAsia="Calibri" w:hAnsi="Arial" w:cs="Arial"/>
          <w:sz w:val="22"/>
        </w:rPr>
        <w:t xml:space="preserve"> </w:t>
      </w:r>
      <w:r w:rsidR="006819F5">
        <w:rPr>
          <w:rFonts w:ascii="Arial" w:eastAsia="Calibri" w:hAnsi="Arial" w:cs="Arial"/>
          <w:sz w:val="22"/>
        </w:rPr>
        <w:t>realizará</w:t>
      </w:r>
      <w:r w:rsidR="006E0DD1">
        <w:rPr>
          <w:rFonts w:ascii="Arial" w:eastAsia="Calibri" w:hAnsi="Arial" w:cs="Arial"/>
          <w:sz w:val="22"/>
        </w:rPr>
        <w:t xml:space="preserve"> los seguimientos igualmente </w:t>
      </w:r>
      <w:r w:rsidR="0037129B">
        <w:rPr>
          <w:rFonts w:ascii="Arial" w:eastAsia="Calibri" w:hAnsi="Arial" w:cs="Arial"/>
          <w:sz w:val="22"/>
        </w:rPr>
        <w:t>dentro d</w:t>
      </w:r>
      <w:r w:rsidR="006E0DD1">
        <w:rPr>
          <w:rFonts w:ascii="Arial" w:eastAsia="Calibri" w:hAnsi="Arial" w:cs="Arial"/>
          <w:sz w:val="22"/>
        </w:rPr>
        <w:t xml:space="preserve">el lapso </w:t>
      </w:r>
      <w:r w:rsidR="0031354B">
        <w:rPr>
          <w:rFonts w:ascii="Arial" w:eastAsia="Calibri" w:hAnsi="Arial" w:cs="Arial"/>
          <w:sz w:val="22"/>
        </w:rPr>
        <w:t>ofrecido</w:t>
      </w:r>
      <w:r>
        <w:rPr>
          <w:rFonts w:ascii="Arial" w:eastAsia="Calibri" w:hAnsi="Arial" w:cs="Arial"/>
          <w:sz w:val="22"/>
        </w:rPr>
        <w:t xml:space="preserve"> </w:t>
      </w:r>
      <w:r w:rsidR="00657AFA">
        <w:rPr>
          <w:rFonts w:ascii="Arial" w:eastAsia="Calibri" w:hAnsi="Arial" w:cs="Arial"/>
          <w:sz w:val="22"/>
        </w:rPr>
        <w:t>por él</w:t>
      </w:r>
      <w:r>
        <w:rPr>
          <w:rFonts w:ascii="Arial" w:eastAsia="Calibri" w:hAnsi="Arial" w:cs="Arial"/>
          <w:sz w:val="22"/>
        </w:rPr>
        <w:t xml:space="preserve">. </w:t>
      </w:r>
      <w:r w:rsidR="00657AFA">
        <w:rPr>
          <w:rFonts w:ascii="Arial" w:eastAsia="Calibri" w:hAnsi="Arial" w:cs="Arial"/>
          <w:sz w:val="22"/>
        </w:rPr>
        <w:t>Por lo anterior, para la asignación de puntaje</w:t>
      </w:r>
      <w:r w:rsidR="007B7D62">
        <w:rPr>
          <w:rFonts w:ascii="Arial" w:eastAsia="Calibri" w:hAnsi="Arial" w:cs="Arial"/>
          <w:sz w:val="22"/>
        </w:rPr>
        <w:t>,</w:t>
      </w:r>
      <w:r w:rsidR="00657AFA">
        <w:rPr>
          <w:rFonts w:ascii="Arial" w:eastAsia="Calibri" w:hAnsi="Arial" w:cs="Arial"/>
          <w:sz w:val="22"/>
        </w:rPr>
        <w:t xml:space="preserve"> basta que el Formato 7D se presente debidamente suscrito y diligenciado, otorgándose el puntaje de acuerdo con los meses de cobertura de la garantía suplementaria o adicional. </w:t>
      </w:r>
    </w:p>
    <w:p w14:paraId="007FA5EC" w14:textId="77777777" w:rsidR="00967D10" w:rsidRPr="00412C58" w:rsidRDefault="00967D10" w:rsidP="0067722F">
      <w:pPr>
        <w:tabs>
          <w:tab w:val="left" w:pos="426"/>
        </w:tabs>
        <w:spacing w:line="276" w:lineRule="auto"/>
        <w:jc w:val="both"/>
        <w:rPr>
          <w:rFonts w:ascii="Arial" w:eastAsia="Calibri" w:hAnsi="Arial" w:cs="Arial"/>
          <w:b/>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6B5DCA" w14:textId="027BE431" w:rsidR="00214878" w:rsidRPr="00737DB6" w:rsidRDefault="00CF62EA" w:rsidP="0067722F">
      <w:pPr>
        <w:spacing w:before="120" w:line="276" w:lineRule="auto"/>
        <w:jc w:val="both"/>
        <w:rPr>
          <w:rFonts w:ascii="Arial" w:eastAsia="Calibri" w:hAnsi="Arial" w:cs="Arial"/>
          <w:sz w:val="22"/>
        </w:rPr>
      </w:pPr>
      <w:r>
        <w:rPr>
          <w:rFonts w:ascii="Arial" w:eastAsia="Calibri" w:hAnsi="Arial" w:cs="Arial"/>
          <w:sz w:val="22"/>
        </w:rPr>
        <w:t>E</w:t>
      </w:r>
      <w:r w:rsidR="00214878" w:rsidRPr="00737DB6">
        <w:rPr>
          <w:rFonts w:ascii="Arial" w:eastAsia="Calibri" w:hAnsi="Arial" w:cs="Arial"/>
          <w:sz w:val="22"/>
        </w:rPr>
        <w:t>ste concepto tiene el alcance previsto en el artículo 28 del Código de Procedimiento Administrativo y de lo Contencioso Administrativo.</w:t>
      </w:r>
    </w:p>
    <w:p w14:paraId="2B363F9B" w14:textId="77777777" w:rsidR="008515EE" w:rsidRDefault="008515EE" w:rsidP="008B11C1">
      <w:pPr>
        <w:spacing w:line="276" w:lineRule="auto"/>
        <w:jc w:val="both"/>
        <w:rPr>
          <w:rFonts w:ascii="Arial" w:eastAsia="Calibri" w:hAnsi="Arial" w:cs="Arial"/>
          <w:sz w:val="22"/>
        </w:rPr>
      </w:pPr>
    </w:p>
    <w:p w14:paraId="7DDC6849" w14:textId="53149CFE" w:rsidR="00847C80" w:rsidRDefault="00214878" w:rsidP="008B11C1">
      <w:pPr>
        <w:spacing w:line="276" w:lineRule="auto"/>
        <w:rPr>
          <w:rFonts w:ascii="Arial" w:eastAsia="Times New Roman" w:hAnsi="Arial" w:cs="Arial"/>
          <w:sz w:val="22"/>
          <w:lang w:eastAsia="es-CO"/>
        </w:rPr>
      </w:pPr>
      <w:r w:rsidRPr="39D2D54E">
        <w:rPr>
          <w:rFonts w:ascii="Arial" w:eastAsia="Times New Roman" w:hAnsi="Arial" w:cs="Arial"/>
          <w:sz w:val="22"/>
          <w:lang w:eastAsia="es-CO"/>
        </w:rPr>
        <w:t>Atentamente,</w:t>
      </w:r>
    </w:p>
    <w:p w14:paraId="56DC2BE6" w14:textId="51F735FD" w:rsidR="008D7064" w:rsidRDefault="00AF1059" w:rsidP="0054602D">
      <w:pPr>
        <w:spacing w:line="276" w:lineRule="auto"/>
        <w:jc w:val="center"/>
        <w:rPr>
          <w:rFonts w:ascii="Arial" w:eastAsia="Times New Roman" w:hAnsi="Arial" w:cs="Arial"/>
          <w:sz w:val="22"/>
          <w:lang w:eastAsia="es-CO"/>
        </w:rPr>
      </w:pPr>
      <w:r>
        <w:rPr>
          <w:noProof/>
        </w:rPr>
        <w:lastRenderedPageBreak/>
        <w:drawing>
          <wp:inline distT="0" distB="0" distL="0" distR="0" wp14:anchorId="1976F8C9" wp14:editId="44BFF60E">
            <wp:extent cx="2498725" cy="124777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2"/>
                    <a:srcRect l="6194" r="6194"/>
                    <a:stretch>
                      <a:fillRect/>
                    </a:stretch>
                  </pic:blipFill>
                  <pic:spPr bwMode="auto">
                    <a:xfrm>
                      <a:off x="0" y="0"/>
                      <a:ext cx="2498725" cy="1247775"/>
                    </a:xfrm>
                    <a:prstGeom prst="rect">
                      <a:avLst/>
                    </a:prstGeom>
                    <a:ln>
                      <a:noFill/>
                    </a:ln>
                    <a:extLst>
                      <a:ext uri="{53640926-AAD7-44d8-BBD7-CCE9431645EC}">
                        <a14:shadowObscured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E60E1C2" w14:textId="77777777" w:rsidR="0054602D" w:rsidRPr="002B79DC" w:rsidRDefault="0054602D" w:rsidP="0054602D">
      <w:pPr>
        <w:spacing w:line="276" w:lineRule="auto"/>
        <w:jc w:val="center"/>
        <w:rPr>
          <w:rFonts w:ascii="Arial" w:eastAsia="Times New Roman" w:hAnsi="Arial" w:cs="Arial"/>
          <w:sz w:val="14"/>
          <w:szCs w:val="1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2B79DC" w14:paraId="2E979D08" w14:textId="77777777" w:rsidTr="00C968EC">
        <w:trPr>
          <w:trHeight w:val="315"/>
        </w:trPr>
        <w:tc>
          <w:tcPr>
            <w:tcW w:w="812" w:type="dxa"/>
            <w:vAlign w:val="center"/>
          </w:tcPr>
          <w:p w14:paraId="1606F074" w14:textId="77777777" w:rsidR="00214878" w:rsidRPr="002B79DC" w:rsidRDefault="00214878"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0351A623" w:rsidR="00214878" w:rsidRPr="002B79DC" w:rsidRDefault="00260125" w:rsidP="00AF2440">
            <w:pPr>
              <w:rPr>
                <w:rFonts w:ascii="Arial" w:eastAsia="Times New Roman" w:hAnsi="Arial" w:cs="Arial"/>
                <w:sz w:val="14"/>
                <w:szCs w:val="14"/>
                <w:lang w:eastAsia="es-ES"/>
              </w:rPr>
            </w:pPr>
            <w:r>
              <w:rPr>
                <w:rFonts w:ascii="Arial" w:eastAsia="Times New Roman" w:hAnsi="Arial" w:cs="Arial"/>
                <w:sz w:val="14"/>
                <w:szCs w:val="14"/>
                <w:lang w:eastAsia="es-ES"/>
              </w:rPr>
              <w:t>Guillermo Escolar Flórez</w:t>
            </w:r>
            <w:r w:rsidR="008D7064" w:rsidRPr="002B79DC">
              <w:rPr>
                <w:rFonts w:ascii="Arial" w:eastAsia="Times New Roman" w:hAnsi="Arial" w:cs="Arial"/>
                <w:sz w:val="14"/>
                <w:szCs w:val="14"/>
                <w:lang w:eastAsia="es-ES"/>
              </w:rPr>
              <w:t xml:space="preserve"> </w:t>
            </w:r>
            <w:r w:rsidR="00A60725" w:rsidRPr="002B79DC">
              <w:rPr>
                <w:rFonts w:ascii="Arial" w:eastAsia="Times New Roman" w:hAnsi="Arial" w:cs="Arial"/>
                <w:sz w:val="14"/>
                <w:szCs w:val="14"/>
                <w:lang w:eastAsia="es-ES"/>
              </w:rPr>
              <w:t xml:space="preserve"> </w:t>
            </w:r>
          </w:p>
          <w:p w14:paraId="6995B041" w14:textId="1D9646A3" w:rsidR="00214878" w:rsidRPr="002B79DC" w:rsidRDefault="00A60725"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Contratista</w:t>
            </w:r>
            <w:r w:rsidR="002B79DC">
              <w:rPr>
                <w:rFonts w:ascii="Arial" w:eastAsia="Times New Roman" w:hAnsi="Arial" w:cs="Arial"/>
                <w:sz w:val="14"/>
                <w:szCs w:val="14"/>
                <w:lang w:eastAsia="es-ES"/>
              </w:rPr>
              <w:t xml:space="preserve"> de la Subdirección de Gestión Contractual </w:t>
            </w:r>
            <w:r w:rsidRPr="002B79DC">
              <w:rPr>
                <w:rFonts w:ascii="Arial" w:eastAsia="Times New Roman" w:hAnsi="Arial" w:cs="Arial"/>
                <w:sz w:val="14"/>
                <w:szCs w:val="14"/>
                <w:lang w:eastAsia="es-ES"/>
              </w:rPr>
              <w:t xml:space="preserve"> </w:t>
            </w:r>
          </w:p>
        </w:tc>
      </w:tr>
      <w:tr w:rsidR="00CA7FEF" w:rsidRPr="002B79DC" w14:paraId="1EFBDAAD" w14:textId="77777777" w:rsidTr="00C968EC">
        <w:trPr>
          <w:trHeight w:val="330"/>
        </w:trPr>
        <w:tc>
          <w:tcPr>
            <w:tcW w:w="812" w:type="dxa"/>
            <w:vAlign w:val="center"/>
          </w:tcPr>
          <w:p w14:paraId="09701992" w14:textId="77777777" w:rsidR="00214878" w:rsidRPr="002B79DC" w:rsidRDefault="00214878"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32A97F4B" w14:textId="77777777" w:rsidR="00AF1059" w:rsidRDefault="00A54BEB" w:rsidP="00AF2440">
            <w:pPr>
              <w:rPr>
                <w:rFonts w:ascii="Arial" w:hAnsi="Arial" w:cs="Arial"/>
                <w:sz w:val="14"/>
                <w:szCs w:val="14"/>
                <w:lang w:eastAsia="es-ES"/>
              </w:rPr>
            </w:pPr>
            <w:r w:rsidRPr="00A54BEB">
              <w:rPr>
                <w:rFonts w:ascii="Arial" w:hAnsi="Arial" w:cs="Arial"/>
                <w:sz w:val="14"/>
                <w:szCs w:val="14"/>
                <w:lang w:eastAsia="es-ES"/>
              </w:rPr>
              <w:t xml:space="preserve">Juan David Montoya Penagos </w:t>
            </w:r>
          </w:p>
          <w:p w14:paraId="6B6BBB43" w14:textId="7BFB8C6C" w:rsidR="005F3841" w:rsidRPr="00260125" w:rsidRDefault="00A54BEB" w:rsidP="00AF2440">
            <w:pPr>
              <w:rPr>
                <w:rFonts w:ascii="Arial" w:hAnsi="Arial" w:cs="Arial"/>
                <w:sz w:val="14"/>
                <w:szCs w:val="14"/>
                <w:highlight w:val="yellow"/>
                <w:lang w:eastAsia="es-ES"/>
              </w:rPr>
            </w:pPr>
            <w:r w:rsidRPr="00A54BEB">
              <w:rPr>
                <w:rFonts w:ascii="Arial" w:hAnsi="Arial" w:cs="Arial"/>
                <w:sz w:val="14"/>
                <w:szCs w:val="14"/>
                <w:lang w:eastAsia="es-ES"/>
              </w:rPr>
              <w:t>Gestor T1-15 de la Subdirección de Gestión Contractual</w:t>
            </w:r>
          </w:p>
        </w:tc>
      </w:tr>
      <w:tr w:rsidR="00CA7FEF" w:rsidRPr="002B79DC" w14:paraId="24C3AA5B" w14:textId="77777777" w:rsidTr="00C968EC">
        <w:trPr>
          <w:trHeight w:val="300"/>
        </w:trPr>
        <w:tc>
          <w:tcPr>
            <w:tcW w:w="812" w:type="dxa"/>
            <w:vAlign w:val="center"/>
          </w:tcPr>
          <w:p w14:paraId="3F00D087" w14:textId="77777777" w:rsidR="00214878" w:rsidRPr="002B79DC" w:rsidRDefault="00214878" w:rsidP="00AF2440">
            <w:pPr>
              <w:rPr>
                <w:rFonts w:ascii="Arial" w:eastAsia="Times New Roman" w:hAnsi="Arial" w:cs="Arial"/>
                <w:sz w:val="14"/>
                <w:szCs w:val="14"/>
                <w:lang w:eastAsia="es-ES"/>
              </w:rPr>
            </w:pPr>
            <w:r w:rsidRPr="002B79DC">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0F91E22C" w14:textId="77777777" w:rsidR="00AF1059" w:rsidRPr="00AF1059" w:rsidRDefault="00AF1059" w:rsidP="00AF1059">
            <w:pPr>
              <w:rPr>
                <w:rFonts w:ascii="Arial" w:hAnsi="Arial" w:cs="Arial"/>
                <w:sz w:val="14"/>
                <w:szCs w:val="14"/>
                <w:lang w:eastAsia="es-ES"/>
              </w:rPr>
            </w:pPr>
            <w:r w:rsidRPr="00AF1059">
              <w:rPr>
                <w:rFonts w:ascii="Arial" w:hAnsi="Arial" w:cs="Arial"/>
                <w:sz w:val="14"/>
                <w:szCs w:val="14"/>
                <w:lang w:eastAsia="es-ES"/>
              </w:rPr>
              <w:t>Jorge Augusto Tirado Navarro</w:t>
            </w:r>
          </w:p>
          <w:p w14:paraId="1D1409AB" w14:textId="47B66DB8" w:rsidR="00214878" w:rsidRPr="002B79DC" w:rsidRDefault="00AF1059" w:rsidP="00AF2440">
            <w:pPr>
              <w:rPr>
                <w:rFonts w:ascii="Arial" w:eastAsia="Times New Roman" w:hAnsi="Arial" w:cs="Arial"/>
                <w:sz w:val="14"/>
                <w:szCs w:val="14"/>
                <w:lang w:eastAsia="es-ES"/>
              </w:rPr>
            </w:pPr>
            <w:r w:rsidRPr="00AF1059">
              <w:rPr>
                <w:rFonts w:ascii="Arial" w:hAnsi="Arial" w:cs="Arial"/>
                <w:sz w:val="14"/>
                <w:szCs w:val="14"/>
                <w:lang w:eastAsia="es-ES"/>
              </w:rPr>
              <w:t>Subdirector de Gestión Contractual ANCP – CCE</w:t>
            </w:r>
          </w:p>
        </w:tc>
      </w:tr>
      <w:bookmarkEnd w:id="0"/>
      <w:bookmarkEnd w:id="1"/>
    </w:tbl>
    <w:p w14:paraId="0EEB665C" w14:textId="77777777" w:rsidR="00737DB6" w:rsidRPr="002B79DC" w:rsidRDefault="00737DB6" w:rsidP="004A214E">
      <w:pPr>
        <w:spacing w:before="120" w:after="120" w:line="276" w:lineRule="auto"/>
        <w:rPr>
          <w:rFonts w:ascii="Arial" w:hAnsi="Arial" w:cs="Arial"/>
          <w:sz w:val="14"/>
          <w:szCs w:val="14"/>
        </w:rPr>
      </w:pPr>
    </w:p>
    <w:sectPr w:rsidR="00737DB6" w:rsidRPr="002B79DC"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B392" w14:textId="77777777" w:rsidR="00E46382" w:rsidRDefault="00E46382">
      <w:r>
        <w:separator/>
      </w:r>
    </w:p>
  </w:endnote>
  <w:endnote w:type="continuationSeparator" w:id="0">
    <w:p w14:paraId="21CA62FE" w14:textId="77777777" w:rsidR="00E46382" w:rsidRDefault="00E4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6D0FBFE0" w:rsidR="005F6462" w:rsidRPr="008217B7" w:rsidRDefault="005F6462"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61ED9">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61ED9">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218ACE78" w14:textId="77777777" w:rsidR="005F6462" w:rsidRDefault="005F6462" w:rsidP="00214878">
    <w:pPr>
      <w:pStyle w:val="Piedepgina"/>
      <w:jc w:val="center"/>
      <w:rPr>
        <w:lang w:val="es-ES"/>
      </w:rPr>
    </w:pPr>
    <w:r>
      <w:rPr>
        <w:noProof/>
        <w:lang w:val="en-US"/>
      </w:rPr>
      <w:drawing>
        <wp:inline distT="0" distB="0" distL="0" distR="0" wp14:anchorId="53C58075" wp14:editId="1308803E">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5F6462" w:rsidRDefault="005F6462" w:rsidP="00214878">
    <w:pPr>
      <w:pStyle w:val="Piedepgina"/>
      <w:jc w:val="center"/>
      <w:rPr>
        <w:lang w:val="es-ES"/>
      </w:rPr>
    </w:pPr>
  </w:p>
  <w:p w14:paraId="6C0EFC49" w14:textId="77777777" w:rsidR="005F6462" w:rsidRPr="00214878" w:rsidRDefault="005F6462"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A1FA" w14:textId="77777777" w:rsidR="00E46382" w:rsidRDefault="00E46382">
      <w:r>
        <w:separator/>
      </w:r>
    </w:p>
  </w:footnote>
  <w:footnote w:type="continuationSeparator" w:id="0">
    <w:p w14:paraId="2AFDE9A7" w14:textId="77777777" w:rsidR="00E46382" w:rsidRDefault="00E46382">
      <w:r>
        <w:continuationSeparator/>
      </w:r>
    </w:p>
  </w:footnote>
  <w:footnote w:id="1">
    <w:p w14:paraId="785F09F3" w14:textId="77777777" w:rsidR="00A13D9F" w:rsidRPr="000910EA" w:rsidRDefault="00A13D9F" w:rsidP="00A13D9F">
      <w:pPr>
        <w:pStyle w:val="Textonotapie"/>
        <w:ind w:firstLine="709"/>
        <w:jc w:val="both"/>
        <w:rPr>
          <w:rFonts w:ascii="Arial" w:eastAsia="Times New Roman" w:hAnsi="Arial" w:cs="Arial"/>
          <w:sz w:val="19"/>
          <w:szCs w:val="19"/>
          <w:bdr w:val="none" w:sz="0" w:space="0" w:color="auto" w:frame="1"/>
          <w:lang w:eastAsia="es-CO"/>
        </w:rPr>
      </w:pPr>
      <w:r w:rsidRPr="000910EA">
        <w:rPr>
          <w:rStyle w:val="Refdenotaalpie"/>
        </w:rPr>
        <w:footnoteRef/>
      </w:r>
      <w:r w:rsidRPr="000910EA">
        <w:t xml:space="preserve"> </w:t>
      </w:r>
      <w:r w:rsidRPr="000910EA">
        <w:rPr>
          <w:rFonts w:ascii="Arial" w:eastAsia="Times New Roman" w:hAnsi="Arial" w:cs="Arial"/>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710DAA75" w14:textId="77777777" w:rsidR="00A13D9F" w:rsidRPr="000910EA" w:rsidRDefault="00A13D9F" w:rsidP="00A13D9F">
      <w:pPr>
        <w:pStyle w:val="Textonotapie"/>
        <w:ind w:firstLine="709"/>
      </w:pPr>
    </w:p>
  </w:footnote>
  <w:footnote w:id="2">
    <w:p w14:paraId="34513C05" w14:textId="77777777" w:rsidR="00A13D9F" w:rsidRPr="000910EA" w:rsidRDefault="00A13D9F" w:rsidP="00A13D9F">
      <w:pPr>
        <w:pStyle w:val="Textonotapie"/>
        <w:ind w:firstLine="709"/>
        <w:rPr>
          <w:rFonts w:ascii="Arial" w:eastAsia="Times New Roman" w:hAnsi="Arial" w:cs="Arial"/>
          <w:sz w:val="19"/>
          <w:szCs w:val="19"/>
          <w:bdr w:val="none" w:sz="0" w:space="0" w:color="auto" w:frame="1"/>
          <w:lang w:eastAsia="es-CO"/>
        </w:rPr>
      </w:pPr>
      <w:r w:rsidRPr="000910EA">
        <w:rPr>
          <w:rStyle w:val="Refdenotaalpie"/>
        </w:rPr>
        <w:footnoteRef/>
      </w:r>
      <w:r w:rsidRPr="000910EA">
        <w:t xml:space="preserve"> </w:t>
      </w:r>
      <w:r w:rsidRPr="000910EA">
        <w:rPr>
          <w:rFonts w:ascii="Arial" w:eastAsia="Times New Roman" w:hAnsi="Arial" w:cs="Arial"/>
          <w:sz w:val="19"/>
          <w:szCs w:val="19"/>
          <w:bdr w:val="none" w:sz="0" w:space="0" w:color="auto" w:frame="1"/>
          <w:lang w:eastAsia="es-CO"/>
        </w:rPr>
        <w:t>Diario Oficial. Gaceta del Congreso 458 de 2005.  </w:t>
      </w:r>
    </w:p>
    <w:p w14:paraId="2B786CDA" w14:textId="77777777" w:rsidR="00A13D9F" w:rsidRPr="000910EA" w:rsidRDefault="00A13D9F" w:rsidP="00A13D9F">
      <w:pPr>
        <w:pStyle w:val="Textonotapie"/>
        <w:ind w:firstLine="709"/>
      </w:pPr>
    </w:p>
  </w:footnote>
  <w:footnote w:id="3">
    <w:p w14:paraId="45F4A34A" w14:textId="77777777" w:rsidR="00A13D9F" w:rsidRPr="000910EA" w:rsidRDefault="00A13D9F" w:rsidP="00A13D9F">
      <w:pPr>
        <w:pStyle w:val="Textonotapie"/>
        <w:ind w:firstLine="709"/>
      </w:pPr>
      <w:r w:rsidRPr="000910EA">
        <w:rPr>
          <w:rStyle w:val="Refdenotaalpie"/>
        </w:rPr>
        <w:footnoteRef/>
      </w:r>
      <w:r w:rsidRPr="000910EA">
        <w:t xml:space="preserve"> </w:t>
      </w:r>
      <w:r w:rsidRPr="000910EA">
        <w:rPr>
          <w:rFonts w:ascii="Arial" w:hAnsi="Arial" w:cs="Arial"/>
          <w:sz w:val="19"/>
          <w:szCs w:val="19"/>
        </w:rPr>
        <w:t>Ibidem</w:t>
      </w:r>
    </w:p>
    <w:p w14:paraId="55291B48" w14:textId="77777777" w:rsidR="00A13D9F" w:rsidRPr="000910EA" w:rsidRDefault="00A13D9F" w:rsidP="00A13D9F">
      <w:pPr>
        <w:pStyle w:val="Textonotapie"/>
        <w:ind w:firstLine="709"/>
      </w:pPr>
    </w:p>
  </w:footnote>
  <w:footnote w:id="4">
    <w:p w14:paraId="53D6A847" w14:textId="0A12DEEF" w:rsidR="00A13D9F" w:rsidRPr="0067722F" w:rsidRDefault="00A13D9F" w:rsidP="007774E3">
      <w:pPr>
        <w:shd w:val="clear" w:color="auto" w:fill="FFFFFF"/>
        <w:ind w:firstLine="709"/>
        <w:jc w:val="both"/>
        <w:textAlignment w:val="baseline"/>
        <w:rPr>
          <w:rFonts w:ascii="Arial" w:hAnsi="Arial" w:cs="Arial"/>
          <w:sz w:val="19"/>
          <w:szCs w:val="19"/>
          <w:bdr w:val="none" w:sz="0" w:space="0" w:color="auto" w:frame="1"/>
          <w:lang w:eastAsia="es-CO"/>
        </w:rPr>
      </w:pPr>
      <w:r w:rsidRPr="000910EA">
        <w:rPr>
          <w:rStyle w:val="Refdenotaalpie"/>
        </w:rPr>
        <w:footnoteRef/>
      </w:r>
      <w:r w:rsidRPr="000910EA">
        <w:t xml:space="preserve"> </w:t>
      </w:r>
      <w:r w:rsidRPr="000910EA">
        <w:rPr>
          <w:rFonts w:ascii="Arial" w:hAnsi="Arial" w:cs="Arial"/>
          <w:sz w:val="19"/>
          <w:szCs w:val="19"/>
          <w:bdr w:val="none" w:sz="0" w:space="0" w:color="auto" w:frame="1"/>
          <w:lang w:eastAsia="es-CO"/>
        </w:rPr>
        <w:t>Diario Oficial. Gaceta del Congreso 416 de 2007, Informe de Conciliación Senado. </w:t>
      </w:r>
    </w:p>
  </w:footnote>
  <w:footnote w:id="5">
    <w:p w14:paraId="6D02888D" w14:textId="77777777" w:rsidR="00A13D9F" w:rsidRPr="000910EA" w:rsidRDefault="00A13D9F" w:rsidP="00A13D9F">
      <w:pPr>
        <w:shd w:val="clear" w:color="auto" w:fill="FFFFFF"/>
        <w:ind w:firstLine="709"/>
        <w:jc w:val="both"/>
        <w:textAlignment w:val="baseline"/>
        <w:rPr>
          <w:rFonts w:ascii="Calibri" w:hAnsi="Calibri" w:cs="Calibri"/>
          <w:sz w:val="20"/>
          <w:szCs w:val="20"/>
          <w:lang w:eastAsia="es-CO"/>
        </w:rPr>
      </w:pPr>
      <w:r w:rsidRPr="000910EA">
        <w:rPr>
          <w:rStyle w:val="Refdenotaalpie"/>
        </w:rPr>
        <w:footnoteRef/>
      </w:r>
      <w:r w:rsidRPr="000910EA">
        <w:t xml:space="preserve"> </w:t>
      </w:r>
      <w:r w:rsidRPr="000910EA">
        <w:rPr>
          <w:rFonts w:ascii="Arial" w:hAnsi="Arial" w:cs="Arial"/>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153D847C" w14:textId="77777777" w:rsidR="00A13D9F" w:rsidRPr="000910EA" w:rsidRDefault="00A13D9F" w:rsidP="00A13D9F">
      <w:pPr>
        <w:shd w:val="clear" w:color="auto" w:fill="FFFFFF"/>
        <w:ind w:firstLine="709"/>
        <w:jc w:val="both"/>
        <w:textAlignment w:val="baseline"/>
        <w:rPr>
          <w:rFonts w:ascii="Calibri" w:hAnsi="Calibri" w:cs="Calibri"/>
          <w:sz w:val="20"/>
          <w:szCs w:val="20"/>
          <w:lang w:eastAsia="es-CO"/>
        </w:rPr>
      </w:pPr>
      <w:r w:rsidRPr="000910EA">
        <w:rPr>
          <w:rFonts w:ascii="Arial" w:hAnsi="Arial" w:cs="Arial"/>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741034E1" w14:textId="77777777" w:rsidR="00A13D9F" w:rsidRPr="000910EA" w:rsidRDefault="00A13D9F" w:rsidP="00A13D9F">
      <w:pPr>
        <w:shd w:val="clear" w:color="auto" w:fill="FFFFFF"/>
        <w:ind w:firstLine="709"/>
        <w:jc w:val="both"/>
        <w:textAlignment w:val="baseline"/>
        <w:rPr>
          <w:rFonts w:ascii="Calibri" w:hAnsi="Calibri" w:cs="Calibri"/>
          <w:sz w:val="20"/>
          <w:szCs w:val="20"/>
          <w:lang w:eastAsia="es-CO"/>
        </w:rPr>
      </w:pPr>
      <w:r w:rsidRPr="000910EA">
        <w:rPr>
          <w:rFonts w:ascii="Arial" w:hAnsi="Arial" w:cs="Arial"/>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2CC97F8B" w14:textId="77777777" w:rsidR="00A13D9F" w:rsidRPr="000910EA" w:rsidRDefault="00A13D9F" w:rsidP="00A13D9F">
      <w:pPr>
        <w:shd w:val="clear" w:color="auto" w:fill="FFFFFF"/>
        <w:ind w:firstLine="709"/>
        <w:jc w:val="both"/>
        <w:textAlignment w:val="baseline"/>
        <w:rPr>
          <w:rFonts w:ascii="Calibri" w:hAnsi="Calibri" w:cs="Calibri"/>
          <w:sz w:val="20"/>
          <w:szCs w:val="20"/>
          <w:lang w:eastAsia="es-CO"/>
        </w:rPr>
      </w:pPr>
      <w:r w:rsidRPr="000910EA">
        <w:rPr>
          <w:rFonts w:ascii="Arial" w:hAnsi="Arial" w:cs="Arial"/>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23D1258A" w14:textId="20F627CA" w:rsidR="00A13D9F" w:rsidRPr="0067722F" w:rsidRDefault="00A13D9F" w:rsidP="0067722F">
      <w:pPr>
        <w:shd w:val="clear" w:color="auto" w:fill="FFFFFF"/>
        <w:ind w:firstLine="708"/>
        <w:jc w:val="both"/>
        <w:textAlignment w:val="baseline"/>
        <w:rPr>
          <w:rFonts w:ascii="Calibri" w:hAnsi="Calibri" w:cs="Calibri"/>
          <w:lang w:eastAsia="es-CO"/>
        </w:rPr>
      </w:pPr>
      <w:r w:rsidRPr="000910EA">
        <w:rPr>
          <w:rFonts w:ascii="Arial" w:hAnsi="Arial" w:cs="Arial"/>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38A0829B" w14:textId="32D6C27D" w:rsidR="00642C9D" w:rsidRPr="00A54BEB" w:rsidRDefault="00642C9D" w:rsidP="0067722F">
      <w:pPr>
        <w:pStyle w:val="Textonotapie"/>
        <w:ind w:firstLine="709"/>
        <w:jc w:val="both"/>
        <w:rPr>
          <w:rFonts w:ascii="Arial" w:hAnsi="Arial" w:cs="Arial"/>
          <w:sz w:val="19"/>
          <w:szCs w:val="19"/>
          <w:lang w:val="es-ES_tradnl"/>
        </w:rPr>
      </w:pPr>
      <w:r w:rsidRPr="00A54BEB">
        <w:rPr>
          <w:rStyle w:val="Refdenotaalpie"/>
          <w:rFonts w:ascii="Arial" w:hAnsi="Arial" w:cs="Arial"/>
          <w:sz w:val="19"/>
          <w:szCs w:val="19"/>
        </w:rPr>
        <w:footnoteRef/>
      </w:r>
      <w:r w:rsidRPr="00A54BEB">
        <w:rPr>
          <w:rFonts w:ascii="Arial" w:hAnsi="Arial" w:cs="Arial"/>
          <w:sz w:val="19"/>
          <w:szCs w:val="19"/>
        </w:rPr>
        <w:t xml:space="preserve"> </w:t>
      </w:r>
      <w:r w:rsidRPr="00A54BEB">
        <w:rPr>
          <w:rFonts w:ascii="Arial" w:hAnsi="Arial" w:cs="Arial"/>
          <w:color w:val="000000"/>
          <w:sz w:val="19"/>
          <w:szCs w:val="19"/>
          <w:bdr w:val="none" w:sz="0" w:space="0" w:color="auto" w:frame="1"/>
        </w:rPr>
        <w:t>Por tanto, estos documentos no serían obligatorios para los contratos de entidades públicas que no se rijan por la Ley 80 de 1993. Sin embargo, estas pueden observar los documentos tipo de forma facultativa, como una forma de adoptar e incorporar políticas de buenas prácticas contractuales. </w:t>
      </w:r>
    </w:p>
  </w:footnote>
  <w:footnote w:id="7">
    <w:p w14:paraId="29964300" w14:textId="41C75FE3" w:rsidR="00E9535F" w:rsidRPr="0067722F" w:rsidRDefault="00E9535F" w:rsidP="0067722F">
      <w:pPr>
        <w:pStyle w:val="Textonotapie"/>
        <w:ind w:firstLine="708"/>
        <w:jc w:val="both"/>
        <w:rPr>
          <w:rFonts w:ascii="Arial" w:hAnsi="Arial" w:cs="Arial"/>
          <w:sz w:val="19"/>
          <w:szCs w:val="19"/>
        </w:rPr>
      </w:pPr>
      <w:r w:rsidRPr="0067722F">
        <w:rPr>
          <w:rStyle w:val="Refdenotaalpie"/>
          <w:rFonts w:ascii="Arial" w:hAnsi="Arial" w:cs="Arial"/>
          <w:sz w:val="19"/>
          <w:szCs w:val="19"/>
        </w:rPr>
        <w:footnoteRef/>
      </w:r>
      <w:r w:rsidRPr="0067722F">
        <w:rPr>
          <w:rFonts w:ascii="Arial" w:hAnsi="Arial" w:cs="Arial"/>
          <w:sz w:val="19"/>
          <w:szCs w:val="19"/>
        </w:rPr>
        <w:t xml:space="preserve"> </w:t>
      </w:r>
      <w:r>
        <w:rPr>
          <w:rFonts w:ascii="Arial" w:hAnsi="Arial" w:cs="Arial"/>
          <w:sz w:val="19"/>
          <w:szCs w:val="19"/>
        </w:rPr>
        <w:t>En efecto, el inciso final de la parte introductoria del documento base dispone que «</w:t>
      </w:r>
      <w:r w:rsidRPr="00E9535F">
        <w:rPr>
          <w:rFonts w:ascii="Arial" w:hAnsi="Arial" w:cs="Arial"/>
          <w:sz w:val="19"/>
          <w:szCs w:val="19"/>
        </w:rPr>
        <w:t>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r>
        <w:rPr>
          <w:rFonts w:ascii="Arial" w:hAnsi="Arial" w:cs="Arial"/>
          <w:sz w:val="19"/>
          <w:szCs w:val="19"/>
        </w:rPr>
        <w:t>»</w:t>
      </w:r>
      <w:r w:rsidRPr="00E9535F">
        <w:rPr>
          <w:rFonts w:ascii="Arial" w:hAnsi="Arial" w:cs="Arial"/>
          <w:sz w:val="19"/>
          <w:szCs w:val="19"/>
        </w:rPr>
        <w:t>.</w:t>
      </w:r>
      <w:r>
        <w:rPr>
          <w:rFonts w:ascii="Arial" w:hAnsi="Arial" w:cs="Arial"/>
          <w:sz w:val="19"/>
          <w:szCs w:val="19"/>
        </w:rPr>
        <w:t xml:space="preserve"> </w:t>
      </w:r>
    </w:p>
  </w:footnote>
  <w:footnote w:id="8">
    <w:p w14:paraId="5442453C" w14:textId="77777777" w:rsidR="00EE2BD9" w:rsidRDefault="00EE2BD9" w:rsidP="00EE2BD9">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0D670423" w14:textId="77777777" w:rsidR="00EE2BD9" w:rsidRDefault="00EE2BD9" w:rsidP="00EE2BD9">
      <w:pPr>
        <w:pStyle w:val="Textonotapie"/>
        <w:ind w:firstLine="708"/>
        <w:rPr>
          <w:rFonts w:ascii="Arial" w:hAnsi="Arial" w:cs="Arial"/>
          <w:sz w:val="19"/>
          <w:szCs w:val="19"/>
          <w:lang w:val="es-CO"/>
        </w:rPr>
      </w:pPr>
      <w:r>
        <w:rPr>
          <w:rFonts w:ascii="Arial" w:hAnsi="Arial" w:cs="Arial"/>
          <w:sz w:val="19"/>
          <w:szCs w:val="19"/>
        </w:rPr>
        <w:t xml:space="preserve"> </w:t>
      </w:r>
    </w:p>
  </w:footnote>
  <w:footnote w:id="9">
    <w:p w14:paraId="4416776D" w14:textId="77777777" w:rsidR="00EE2BD9" w:rsidRDefault="00EE2BD9" w:rsidP="00EE2BD9">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2CF059BB" w14:textId="77777777" w:rsidR="00EE2BD9" w:rsidRDefault="00EE2BD9" w:rsidP="00EE2BD9">
      <w:pPr>
        <w:pStyle w:val="Textonotapie"/>
        <w:ind w:firstLine="709"/>
        <w:jc w:val="both"/>
        <w:rPr>
          <w:rFonts w:ascii="Arial" w:hAnsi="Arial" w:cs="Arial"/>
          <w:color w:val="000000" w:themeColor="text1"/>
          <w:sz w:val="19"/>
          <w:szCs w:val="19"/>
        </w:rPr>
      </w:pPr>
    </w:p>
  </w:footnote>
  <w:footnote w:id="10">
    <w:p w14:paraId="27669132" w14:textId="19B1C852" w:rsidR="00EE2BD9" w:rsidRDefault="00EE2BD9" w:rsidP="007774E3">
      <w:pPr>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footnote>
  <w:footnote w:id="11">
    <w:p w14:paraId="24DCF293" w14:textId="77777777" w:rsidR="00EE2BD9" w:rsidRDefault="00EE2BD9" w:rsidP="00EE2BD9">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La norma dispone que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4B52A8D9" w14:textId="77777777" w:rsidR="00EE2BD9" w:rsidRDefault="00EE2BD9" w:rsidP="00EE2BD9">
      <w:pPr>
        <w:pStyle w:val="Textonotapie"/>
        <w:ind w:firstLine="708"/>
        <w:jc w:val="both"/>
        <w:rPr>
          <w:rFonts w:ascii="Arial" w:hAnsi="Arial" w:cs="Arial"/>
          <w:sz w:val="19"/>
          <w:szCs w:val="19"/>
        </w:rPr>
      </w:pPr>
      <w:r>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3D24768E" w14:textId="77777777" w:rsidR="00EE2BD9" w:rsidRDefault="00EE2BD9" w:rsidP="00EE2BD9">
      <w:pPr>
        <w:pStyle w:val="Textonotapie"/>
        <w:ind w:firstLine="708"/>
        <w:jc w:val="both"/>
        <w:rPr>
          <w:rFonts w:ascii="Arial" w:hAnsi="Arial" w:cs="Arial"/>
          <w:sz w:val="19"/>
          <w:szCs w:val="19"/>
        </w:rPr>
      </w:pPr>
      <w:r>
        <w:rPr>
          <w:rFonts w:ascii="Arial" w:hAnsi="Arial" w:cs="Arial"/>
          <w:sz w:val="19"/>
          <w:szCs w:val="19"/>
        </w:rPr>
        <w:t xml:space="preserve">»2. Conservar los requisitos exigidos en los Documentos Tipo.  </w:t>
      </w:r>
    </w:p>
    <w:p w14:paraId="3AE50ABD" w14:textId="77777777" w:rsidR="00EE2BD9" w:rsidRDefault="00EE2BD9" w:rsidP="00EE2BD9">
      <w:pPr>
        <w:pStyle w:val="Textonotapie"/>
        <w:ind w:firstLine="708"/>
        <w:jc w:val="both"/>
        <w:rPr>
          <w:rFonts w:ascii="Arial" w:hAnsi="Arial" w:cs="Arial"/>
          <w:sz w:val="19"/>
          <w:szCs w:val="19"/>
        </w:rPr>
      </w:pPr>
      <w:r>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p>
    <w:p w14:paraId="7FD9D6BD" w14:textId="77777777" w:rsidR="00EE2BD9" w:rsidRDefault="00EE2BD9" w:rsidP="00EE2BD9">
      <w:pPr>
        <w:pStyle w:val="Textonotapie"/>
        <w:ind w:firstLine="708"/>
        <w:jc w:val="both"/>
        <w:rPr>
          <w:lang w:val="es-CO"/>
        </w:rPr>
      </w:pPr>
      <w:r>
        <w:rPr>
          <w:rFonts w:ascii="Arial" w:hAnsi="Arial" w:cs="Arial"/>
          <w:sz w:val="19"/>
          <w:szCs w:val="19"/>
        </w:rPr>
        <w:t>»4. Clasificar la experiencia requerida solo hasta el tercer nivel del Clasificador de Bienes y Servicios e incluir exclusivamente los códigos que estén relacionados directamente con el objeto a contratar».</w:t>
      </w:r>
      <w:r>
        <w:t xml:space="preserve">  </w:t>
      </w:r>
    </w:p>
  </w:footnote>
  <w:footnote w:id="12">
    <w:p w14:paraId="790DAF58" w14:textId="7B9CF30F" w:rsidR="00EE2BD9" w:rsidRPr="0067722F" w:rsidRDefault="00EE2BD9" w:rsidP="007774E3">
      <w:pPr>
        <w:ind w:firstLine="708"/>
        <w:jc w:val="both"/>
        <w:rPr>
          <w:rFonts w:ascii="Arial" w:hAnsi="Arial" w:cs="Arial"/>
          <w:color w:val="000000" w:themeColor="text1"/>
          <w:sz w:val="19"/>
          <w:szCs w:val="19"/>
          <w:lang w:val="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 (63.854), cuya ponente fue Marta Nubia Velásquez Rico.</w:t>
      </w:r>
    </w:p>
  </w:footnote>
  <w:footnote w:id="13">
    <w:p w14:paraId="468F186A" w14:textId="5BF8F382" w:rsidR="005F6462" w:rsidRPr="00A54BEB" w:rsidRDefault="005F6462" w:rsidP="00233D41">
      <w:pPr>
        <w:pStyle w:val="Textonotapie"/>
        <w:ind w:firstLine="708"/>
        <w:jc w:val="both"/>
        <w:rPr>
          <w:rFonts w:ascii="Arial" w:hAnsi="Arial" w:cs="Arial"/>
          <w:sz w:val="19"/>
          <w:szCs w:val="19"/>
        </w:rPr>
      </w:pPr>
      <w:r w:rsidRPr="00A54BEB">
        <w:rPr>
          <w:rStyle w:val="Refdenotaalpie"/>
          <w:rFonts w:ascii="Arial" w:hAnsi="Arial" w:cs="Arial"/>
          <w:sz w:val="19"/>
          <w:szCs w:val="19"/>
        </w:rPr>
        <w:footnoteRef/>
      </w:r>
      <w:r w:rsidRPr="00A54BEB">
        <w:rPr>
          <w:rFonts w:ascii="Arial" w:hAnsi="Arial" w:cs="Arial"/>
          <w:sz w:val="19"/>
          <w:szCs w:val="19"/>
        </w:rPr>
        <w:t xml:space="preserve"> Ley 1480 de 2011: «Artículo 13. Garantías suplementarias. 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14:paraId="7AA86EA6" w14:textId="77777777" w:rsidR="005F6462" w:rsidRPr="00A54BEB" w:rsidRDefault="005F6462" w:rsidP="00233D41">
      <w:pPr>
        <w:pStyle w:val="Textonotapie"/>
        <w:ind w:firstLine="708"/>
        <w:rPr>
          <w:rFonts w:ascii="Arial" w:hAnsi="Arial" w:cs="Arial"/>
          <w:sz w:val="19"/>
          <w:szCs w:val="19"/>
          <w:lang w:val="es-CO"/>
        </w:rPr>
      </w:pPr>
    </w:p>
  </w:footnote>
  <w:footnote w:id="14">
    <w:p w14:paraId="2AA9D5D6" w14:textId="77777777" w:rsidR="005F6462" w:rsidRPr="00A54BEB" w:rsidRDefault="005F6462" w:rsidP="00913C8E">
      <w:pPr>
        <w:ind w:left="709" w:right="709"/>
        <w:jc w:val="both"/>
        <w:rPr>
          <w:rFonts w:ascii="Arial" w:hAnsi="Arial" w:cs="Arial"/>
          <w:sz w:val="19"/>
          <w:szCs w:val="19"/>
          <w:shd w:val="clear" w:color="auto" w:fill="FFFFFF"/>
        </w:rPr>
      </w:pPr>
      <w:r w:rsidRPr="00A54BEB">
        <w:rPr>
          <w:rStyle w:val="Refdenotaalpie"/>
          <w:rFonts w:ascii="Arial" w:hAnsi="Arial" w:cs="Arial"/>
          <w:sz w:val="19"/>
          <w:szCs w:val="19"/>
        </w:rPr>
        <w:footnoteRef/>
      </w:r>
      <w:r w:rsidRPr="00A54BEB">
        <w:rPr>
          <w:rFonts w:ascii="Arial" w:hAnsi="Arial" w:cs="Arial"/>
          <w:sz w:val="19"/>
          <w:szCs w:val="19"/>
        </w:rPr>
        <w:t xml:space="preserve"> Decreto 1082 de 2015: «Artículo 2.2.1.2.3.1.7. Garantía de cumplimiento</w:t>
      </w:r>
      <w:r w:rsidRPr="00A54BEB">
        <w:rPr>
          <w:rStyle w:val="nfasis"/>
          <w:rFonts w:ascii="Arial" w:hAnsi="Arial" w:cs="Arial"/>
          <w:sz w:val="19"/>
          <w:szCs w:val="19"/>
          <w:shd w:val="clear" w:color="auto" w:fill="FFFFFF"/>
        </w:rPr>
        <w:t xml:space="preserve">. </w:t>
      </w:r>
      <w:r w:rsidRPr="00A54BEB">
        <w:rPr>
          <w:rFonts w:ascii="Arial" w:hAnsi="Arial" w:cs="Arial"/>
          <w:sz w:val="19"/>
          <w:szCs w:val="19"/>
          <w:shd w:val="clear" w:color="auto" w:fill="FFFFFF"/>
        </w:rPr>
        <w:t>La garantía de cumplimiento del contrato debe cubrir:</w:t>
      </w:r>
    </w:p>
    <w:p w14:paraId="507D2C36" w14:textId="77777777" w:rsidR="005F6462" w:rsidRPr="00A54BEB" w:rsidRDefault="005F6462" w:rsidP="00233D41">
      <w:pPr>
        <w:pStyle w:val="Textonotapie"/>
        <w:ind w:firstLine="708"/>
        <w:jc w:val="both"/>
        <w:rPr>
          <w:rFonts w:ascii="Arial" w:hAnsi="Arial" w:cs="Arial"/>
          <w:color w:val="333333"/>
          <w:sz w:val="19"/>
          <w:szCs w:val="19"/>
          <w:shd w:val="clear" w:color="auto" w:fill="FFFFFF"/>
        </w:rPr>
      </w:pPr>
      <w:r w:rsidRPr="00A54BEB">
        <w:rPr>
          <w:rFonts w:ascii="Arial" w:hAnsi="Arial" w:cs="Arial"/>
          <w:color w:val="333333"/>
          <w:sz w:val="19"/>
          <w:szCs w:val="19"/>
          <w:shd w:val="clear" w:color="auto" w:fill="FFFFFF"/>
        </w:rPr>
        <w:t>[…]</w:t>
      </w:r>
    </w:p>
    <w:p w14:paraId="6D15F9AB" w14:textId="376C0D7F" w:rsidR="005F6462" w:rsidRPr="00A54BEB" w:rsidRDefault="005F6462" w:rsidP="00233D41">
      <w:pPr>
        <w:pStyle w:val="Textonotapie"/>
        <w:ind w:firstLine="708"/>
        <w:jc w:val="both"/>
        <w:rPr>
          <w:rFonts w:ascii="Arial" w:hAnsi="Arial" w:cs="Arial"/>
          <w:sz w:val="19"/>
          <w:szCs w:val="19"/>
          <w:shd w:val="clear" w:color="auto" w:fill="FFFFFF"/>
        </w:rPr>
      </w:pPr>
      <w:r w:rsidRPr="00A54BEB">
        <w:rPr>
          <w:rFonts w:ascii="Arial" w:hAnsi="Arial" w:cs="Arial"/>
          <w:color w:val="333333"/>
          <w:sz w:val="19"/>
          <w:szCs w:val="19"/>
          <w:shd w:val="clear" w:color="auto" w:fill="FFFFFF"/>
        </w:rPr>
        <w:t>»</w:t>
      </w:r>
      <w:r w:rsidRPr="00A54BEB">
        <w:rPr>
          <w:rFonts w:ascii="Arial" w:hAnsi="Arial" w:cs="Arial"/>
          <w:sz w:val="19"/>
          <w:szCs w:val="19"/>
          <w:shd w:val="clear" w:color="auto" w:fill="FFFFFF"/>
        </w:rPr>
        <w:t>Estabilidad y calidad de la obra. Este amparo cubre a la Entidad Estatal de los perjuicios ocasionados por cualquier tipo de daño o deterioro, imputable al contratista, sufrido por la obra entregada a satisfacción».</w:t>
      </w:r>
    </w:p>
    <w:p w14:paraId="474E8073" w14:textId="77777777" w:rsidR="005F6462" w:rsidRPr="00A54BEB" w:rsidRDefault="005F6462" w:rsidP="00233D41">
      <w:pPr>
        <w:pStyle w:val="Textonotapie"/>
        <w:ind w:firstLine="708"/>
        <w:jc w:val="both"/>
        <w:rPr>
          <w:rFonts w:ascii="Arial" w:hAnsi="Arial" w:cs="Arial"/>
          <w:sz w:val="19"/>
          <w:szCs w:val="19"/>
          <w:lang w:val="es-CO"/>
        </w:rPr>
      </w:pPr>
    </w:p>
  </w:footnote>
  <w:footnote w:id="15">
    <w:p w14:paraId="4ABFCC59" w14:textId="3D10C14F" w:rsidR="005F6462" w:rsidRPr="00A54BEB" w:rsidRDefault="005F6462">
      <w:pPr>
        <w:pStyle w:val="Textonotapie"/>
        <w:ind w:left="680"/>
        <w:jc w:val="both"/>
        <w:rPr>
          <w:rFonts w:ascii="Arial" w:hAnsi="Arial" w:cs="Arial"/>
          <w:sz w:val="19"/>
          <w:szCs w:val="19"/>
          <w:shd w:val="clear" w:color="auto" w:fill="FFFFFF"/>
        </w:rPr>
      </w:pPr>
      <w:r w:rsidRPr="00A54BEB">
        <w:rPr>
          <w:rStyle w:val="Refdenotaalpie"/>
          <w:rFonts w:ascii="Arial" w:hAnsi="Arial" w:cs="Arial"/>
          <w:sz w:val="19"/>
          <w:szCs w:val="19"/>
        </w:rPr>
        <w:footnoteRef/>
      </w:r>
      <w:r w:rsidRPr="00A54BEB">
        <w:rPr>
          <w:rFonts w:ascii="Arial" w:hAnsi="Arial" w:cs="Arial"/>
          <w:sz w:val="19"/>
          <w:szCs w:val="19"/>
        </w:rPr>
        <w:t xml:space="preserve"> Ley 80 de 1993: </w:t>
      </w:r>
      <w:r w:rsidRPr="00A54BEB">
        <w:rPr>
          <w:rFonts w:ascii="Arial" w:hAnsi="Arial" w:cs="Arial"/>
          <w:sz w:val="19"/>
          <w:szCs w:val="19"/>
          <w:shd w:val="clear" w:color="auto" w:fill="FFFFFF"/>
        </w:rPr>
        <w:t xml:space="preserve">«Artículo 4. De los derechos y deberes de las entidades estatales. </w:t>
      </w:r>
      <w:r w:rsidRPr="00A54BEB">
        <w:rPr>
          <w:rStyle w:val="Textoennegrita"/>
          <w:rFonts w:ascii="Arial" w:hAnsi="Arial" w:cs="Arial"/>
          <w:color w:val="000000"/>
          <w:sz w:val="19"/>
          <w:szCs w:val="19"/>
        </w:rPr>
        <w:t> </w:t>
      </w:r>
      <w:r w:rsidRPr="00A54BEB">
        <w:rPr>
          <w:rFonts w:ascii="Arial" w:hAnsi="Arial" w:cs="Arial"/>
          <w:color w:val="000000"/>
          <w:sz w:val="19"/>
          <w:szCs w:val="19"/>
        </w:rPr>
        <w:t>Para la consecución de los fines de que trata el artículo anterior, las entidades estatales:</w:t>
      </w:r>
    </w:p>
    <w:p w14:paraId="1CC55B81" w14:textId="3E816A6B" w:rsidR="005F6462" w:rsidRPr="00A54BEB" w:rsidRDefault="005F6462" w:rsidP="00EB0BBE">
      <w:pPr>
        <w:pStyle w:val="Textonotapie"/>
        <w:ind w:firstLine="680"/>
        <w:jc w:val="both"/>
        <w:rPr>
          <w:rFonts w:ascii="Arial" w:hAnsi="Arial" w:cs="Arial"/>
          <w:sz w:val="19"/>
          <w:szCs w:val="19"/>
          <w:shd w:val="clear" w:color="auto" w:fill="FFFFFF"/>
        </w:rPr>
      </w:pPr>
      <w:r w:rsidRPr="00A54BEB">
        <w:rPr>
          <w:rFonts w:ascii="Arial" w:hAnsi="Arial" w:cs="Arial"/>
          <w:sz w:val="19"/>
          <w:szCs w:val="19"/>
          <w:shd w:val="clear" w:color="auto" w:fill="FFFFFF"/>
        </w:rPr>
        <w:t>[…]</w:t>
      </w:r>
    </w:p>
    <w:p w14:paraId="349E5615" w14:textId="0ECB1C71" w:rsidR="005F6462" w:rsidRPr="00A54BEB" w:rsidRDefault="005F6462" w:rsidP="00EB0BBE">
      <w:pPr>
        <w:pStyle w:val="Textonotapie"/>
        <w:ind w:firstLine="680"/>
        <w:jc w:val="both"/>
        <w:rPr>
          <w:rFonts w:ascii="Arial" w:hAnsi="Arial" w:cs="Arial"/>
          <w:sz w:val="19"/>
          <w:szCs w:val="19"/>
          <w:shd w:val="clear" w:color="auto" w:fill="FFFFFF"/>
        </w:rPr>
      </w:pPr>
      <w:r w:rsidRPr="00A54BEB">
        <w:rPr>
          <w:rFonts w:ascii="Arial" w:hAnsi="Arial" w:cs="Arial"/>
          <w:sz w:val="19"/>
          <w:szCs w:val="19"/>
          <w:shd w:val="clear" w:color="auto" w:fill="FFFFFF"/>
        </w:rPr>
        <w:t xml:space="preserve">» 4º. Adelantaran revisiones periódicas de las obras ejecutadas, servicios prestados, o bienes suministrados, para verificar que ellos cumplan con las condiciones de calidad ofrecidas por los contratistas, y promoverán las acciones de responsabilidad contra estos y sus garantes cuando dichas condiciones no se cumplan. </w:t>
      </w:r>
    </w:p>
    <w:p w14:paraId="1D0B3B57" w14:textId="3E70E978" w:rsidR="005F6462" w:rsidRPr="00A54BEB" w:rsidRDefault="005F6462" w:rsidP="00EB0BBE">
      <w:pPr>
        <w:pStyle w:val="Textonotapie"/>
        <w:ind w:firstLine="680"/>
        <w:jc w:val="both"/>
        <w:rPr>
          <w:rFonts w:ascii="Arial" w:hAnsi="Arial" w:cs="Arial"/>
          <w:sz w:val="19"/>
          <w:szCs w:val="19"/>
          <w:lang w:val="es-ES"/>
        </w:rPr>
      </w:pPr>
      <w:r w:rsidRPr="00A54BEB">
        <w:rPr>
          <w:rFonts w:ascii="Arial" w:hAnsi="Arial" w:cs="Arial"/>
          <w:sz w:val="19"/>
          <w:szCs w:val="19"/>
          <w:shd w:val="clear" w:color="auto" w:fill="FFFFFF"/>
        </w:rPr>
        <w:t xml:space="preserve">» Las revisiones periódicas a que se refiere el presente numeral deberán llevarse a cabo por lo menos una vez cada seis (6) meses durante el termino de vigencia de las garantías». </w:t>
      </w:r>
    </w:p>
  </w:footnote>
  <w:footnote w:id="16">
    <w:p w14:paraId="30EC9748" w14:textId="6E6C3BDD" w:rsidR="005F6462" w:rsidRPr="00A54BEB" w:rsidRDefault="005F6462" w:rsidP="00FC4013">
      <w:pPr>
        <w:pStyle w:val="Textonotapie"/>
        <w:ind w:firstLine="708"/>
        <w:jc w:val="both"/>
        <w:rPr>
          <w:rFonts w:ascii="Arial" w:hAnsi="Arial" w:cs="Arial"/>
          <w:sz w:val="19"/>
          <w:szCs w:val="19"/>
          <w:lang w:val="es-CO"/>
        </w:rPr>
      </w:pPr>
      <w:r w:rsidRPr="00A54BEB">
        <w:rPr>
          <w:rStyle w:val="Refdenotaalpie"/>
          <w:rFonts w:ascii="Arial" w:hAnsi="Arial" w:cs="Arial"/>
          <w:sz w:val="19"/>
          <w:szCs w:val="19"/>
        </w:rPr>
        <w:footnoteRef/>
      </w:r>
      <w:r w:rsidRPr="00A54BEB">
        <w:rPr>
          <w:rFonts w:ascii="Arial" w:hAnsi="Arial" w:cs="Arial"/>
          <w:sz w:val="19"/>
          <w:szCs w:val="19"/>
        </w:rPr>
        <w:t xml:space="preserve"> </w:t>
      </w:r>
      <w:r w:rsidRPr="00A54BEB">
        <w:rPr>
          <w:rFonts w:ascii="Arial" w:eastAsia="Calibri" w:hAnsi="Arial" w:cs="Arial"/>
          <w:color w:val="000000" w:themeColor="text1"/>
          <w:sz w:val="19"/>
          <w:szCs w:val="19"/>
        </w:rPr>
        <w:t xml:space="preserve">De similar forma se hará cuando el objeto del contrato deba desarrollarse en el Archipiélago de San Andrés, con la siguiente variación:  i) oferta económica </w:t>
      </w:r>
      <w:r w:rsidR="00E67BE3">
        <w:rPr>
          <w:rFonts w:ascii="Arial" w:eastAsia="Calibri" w:hAnsi="Arial" w:cs="Arial"/>
          <w:color w:val="000000" w:themeColor="text1"/>
          <w:sz w:val="19"/>
          <w:szCs w:val="19"/>
        </w:rPr>
        <w:t>–</w:t>
      </w:r>
      <w:r w:rsidRPr="00A54BEB">
        <w:rPr>
          <w:rFonts w:ascii="Arial" w:eastAsia="Calibri" w:hAnsi="Arial" w:cs="Arial"/>
          <w:color w:val="000000" w:themeColor="text1"/>
          <w:sz w:val="19"/>
          <w:szCs w:val="19"/>
        </w:rPr>
        <w:t>55 puntos</w:t>
      </w:r>
      <w:r w:rsidR="00E67BE3">
        <w:rPr>
          <w:rFonts w:ascii="Arial" w:eastAsia="Calibri" w:hAnsi="Arial" w:cs="Arial"/>
          <w:color w:val="000000" w:themeColor="text1"/>
          <w:sz w:val="19"/>
          <w:szCs w:val="19"/>
        </w:rPr>
        <w:t>–</w:t>
      </w:r>
      <w:r w:rsidRPr="00A54BEB">
        <w:rPr>
          <w:rFonts w:ascii="Arial" w:eastAsia="Calibri" w:hAnsi="Arial" w:cs="Arial"/>
          <w:color w:val="000000" w:themeColor="text1"/>
          <w:sz w:val="19"/>
          <w:szCs w:val="19"/>
        </w:rPr>
        <w:t xml:space="preserve">, ii) factor de calidad </w:t>
      </w:r>
      <w:r w:rsidR="00E67BE3">
        <w:rPr>
          <w:rFonts w:ascii="Arial" w:eastAsia="Calibri" w:hAnsi="Arial" w:cs="Arial"/>
          <w:color w:val="000000" w:themeColor="text1"/>
          <w:sz w:val="19"/>
          <w:szCs w:val="19"/>
        </w:rPr>
        <w:t>–</w:t>
      </w:r>
      <w:r w:rsidRPr="00A54BEB">
        <w:rPr>
          <w:rFonts w:ascii="Arial" w:eastAsia="Calibri" w:hAnsi="Arial" w:cs="Arial"/>
          <w:color w:val="000000" w:themeColor="text1"/>
          <w:sz w:val="19"/>
          <w:szCs w:val="19"/>
        </w:rPr>
        <w:t>19 puntos</w:t>
      </w:r>
      <w:r w:rsidR="00E67BE3">
        <w:rPr>
          <w:rFonts w:ascii="Arial" w:eastAsia="Calibri" w:hAnsi="Arial" w:cs="Arial"/>
          <w:color w:val="000000" w:themeColor="text1"/>
          <w:sz w:val="19"/>
          <w:szCs w:val="19"/>
        </w:rPr>
        <w:t>–</w:t>
      </w:r>
      <w:r w:rsidRPr="00A54BEB">
        <w:rPr>
          <w:rFonts w:ascii="Arial" w:eastAsia="Calibri" w:hAnsi="Arial" w:cs="Arial"/>
          <w:color w:val="000000" w:themeColor="text1"/>
          <w:sz w:val="19"/>
          <w:szCs w:val="19"/>
        </w:rPr>
        <w:t xml:space="preserve">, iii) apoyo a la industria nacional </w:t>
      </w:r>
      <w:r w:rsidR="00E67BE3">
        <w:rPr>
          <w:rFonts w:ascii="Arial" w:eastAsia="Calibri" w:hAnsi="Arial" w:cs="Arial"/>
          <w:color w:val="000000" w:themeColor="text1"/>
          <w:sz w:val="19"/>
          <w:szCs w:val="19"/>
        </w:rPr>
        <w:t>–</w:t>
      </w:r>
      <w:r w:rsidRPr="00A54BEB">
        <w:rPr>
          <w:rFonts w:ascii="Arial" w:eastAsia="Calibri" w:hAnsi="Arial" w:cs="Arial"/>
          <w:color w:val="000000" w:themeColor="text1"/>
          <w:sz w:val="19"/>
          <w:szCs w:val="19"/>
        </w:rPr>
        <w:t>20 puntos</w:t>
      </w:r>
      <w:r w:rsidR="00E67BE3">
        <w:rPr>
          <w:rFonts w:ascii="Arial" w:eastAsia="Calibri" w:hAnsi="Arial" w:cs="Arial"/>
          <w:color w:val="000000" w:themeColor="text1"/>
          <w:sz w:val="19"/>
          <w:szCs w:val="19"/>
        </w:rPr>
        <w:t>–</w:t>
      </w:r>
      <w:r w:rsidRPr="00A54BEB">
        <w:rPr>
          <w:rFonts w:ascii="Arial" w:eastAsia="Calibri" w:hAnsi="Arial" w:cs="Arial"/>
          <w:color w:val="000000" w:themeColor="text1"/>
          <w:sz w:val="19"/>
          <w:szCs w:val="19"/>
        </w:rPr>
        <w:t xml:space="preserve">, iv) vinculación de personas con discapacidad </w:t>
      </w:r>
      <w:r w:rsidR="00E67BE3">
        <w:rPr>
          <w:rFonts w:ascii="Arial" w:eastAsia="Calibri" w:hAnsi="Arial" w:cs="Arial"/>
          <w:color w:val="000000" w:themeColor="text1"/>
          <w:sz w:val="19"/>
          <w:szCs w:val="19"/>
        </w:rPr>
        <w:t>–</w:t>
      </w:r>
      <w:r w:rsidRPr="00A54BEB">
        <w:rPr>
          <w:rFonts w:ascii="Arial" w:eastAsia="Calibri" w:hAnsi="Arial" w:cs="Arial"/>
          <w:color w:val="000000" w:themeColor="text1"/>
          <w:sz w:val="19"/>
          <w:szCs w:val="19"/>
        </w:rPr>
        <w:t>1 punto</w:t>
      </w:r>
      <w:r w:rsidR="00E67BE3">
        <w:rPr>
          <w:rFonts w:ascii="Arial" w:eastAsia="Calibri" w:hAnsi="Arial" w:cs="Arial"/>
          <w:color w:val="000000" w:themeColor="text1"/>
          <w:sz w:val="19"/>
          <w:szCs w:val="19"/>
        </w:rPr>
        <w:t>–</w:t>
      </w:r>
      <w:r w:rsidRPr="00A54BEB">
        <w:rPr>
          <w:rFonts w:ascii="Arial" w:eastAsia="Calibri" w:hAnsi="Arial" w:cs="Arial"/>
          <w:color w:val="000000" w:themeColor="text1"/>
          <w:sz w:val="19"/>
          <w:szCs w:val="19"/>
        </w:rPr>
        <w:t xml:space="preserve"> y v) Tarjeta de Circulación y Residencia “OCCRE” </w:t>
      </w:r>
      <w:r w:rsidR="00E67BE3">
        <w:rPr>
          <w:rFonts w:ascii="Arial" w:eastAsia="Calibri" w:hAnsi="Arial" w:cs="Arial"/>
          <w:color w:val="000000" w:themeColor="text1"/>
          <w:sz w:val="19"/>
          <w:szCs w:val="19"/>
        </w:rPr>
        <w:t>–</w:t>
      </w:r>
      <w:r w:rsidRPr="00A54BEB">
        <w:rPr>
          <w:rFonts w:ascii="Arial" w:eastAsia="Calibri" w:hAnsi="Arial" w:cs="Arial"/>
          <w:color w:val="000000" w:themeColor="text1"/>
          <w:sz w:val="19"/>
          <w:szCs w:val="19"/>
        </w:rPr>
        <w:t>5 puntos</w:t>
      </w:r>
      <w:r w:rsidR="00E67BE3">
        <w:rPr>
          <w:rFonts w:ascii="Arial" w:eastAsia="Calibri" w:hAnsi="Arial" w:cs="Arial"/>
          <w:color w:val="000000" w:themeColor="text1"/>
          <w:sz w:val="19"/>
          <w:szCs w:val="19"/>
        </w:rPr>
        <w:t>–</w:t>
      </w:r>
      <w:r w:rsidRPr="00A54BEB">
        <w:rPr>
          <w:rFonts w:ascii="Arial" w:eastAsia="Calibri" w:hAnsi="Arial" w:cs="Arial"/>
          <w:color w:val="000000" w:themeColor="text1"/>
          <w:sz w:val="19"/>
          <w:szCs w:val="19"/>
        </w:rPr>
        <w:t>, en aplicación del artículo 67 de la Ley 915 de 2004.</w:t>
      </w:r>
    </w:p>
  </w:footnote>
  <w:footnote w:id="17">
    <w:p w14:paraId="08CAC755" w14:textId="693BF22B" w:rsidR="005F6462" w:rsidRPr="00A54BEB" w:rsidRDefault="005F6462" w:rsidP="0067722F">
      <w:pPr>
        <w:pStyle w:val="NormalWeb"/>
        <w:shd w:val="clear" w:color="auto" w:fill="FFFFFF"/>
        <w:spacing w:before="0" w:beforeAutospacing="0" w:after="0" w:afterAutospacing="0"/>
        <w:ind w:firstLine="709"/>
        <w:jc w:val="both"/>
        <w:rPr>
          <w:rFonts w:ascii="Arial" w:hAnsi="Arial" w:cs="Arial"/>
          <w:sz w:val="19"/>
          <w:szCs w:val="19"/>
        </w:rPr>
      </w:pPr>
      <w:r w:rsidRPr="00A54BEB">
        <w:rPr>
          <w:rStyle w:val="Refdenotaalpie"/>
          <w:rFonts w:ascii="Arial" w:hAnsi="Arial" w:cs="Arial"/>
          <w:sz w:val="19"/>
          <w:szCs w:val="19"/>
        </w:rPr>
        <w:footnoteRef/>
      </w:r>
      <w:r w:rsidRPr="00A54BEB">
        <w:rPr>
          <w:rFonts w:ascii="Arial" w:hAnsi="Arial" w:cs="Arial"/>
          <w:sz w:val="19"/>
          <w:szCs w:val="19"/>
        </w:rPr>
        <w:t xml:space="preserve"> De acuerdo con el artículo 2.2.1.2.3.1.14. del Decreto 1082 de 2015, la vigencia de la garantía no puede ser inferior a cinco (5), lo que indica que puede ser superior a este plazo.  Sin embargo, también establece que la vigencia podrá ser inferior a cinco (5) años, en el siguiente evento:</w:t>
      </w:r>
    </w:p>
    <w:p w14:paraId="664DBD27" w14:textId="49417A02" w:rsidR="005F6462" w:rsidRPr="00A54BEB" w:rsidRDefault="005F6462" w:rsidP="0067722F">
      <w:pPr>
        <w:pStyle w:val="NormalWeb"/>
        <w:shd w:val="clear" w:color="auto" w:fill="FFFFFF"/>
        <w:spacing w:before="0" w:beforeAutospacing="0" w:after="0" w:afterAutospacing="0"/>
        <w:ind w:firstLine="708"/>
        <w:jc w:val="both"/>
        <w:rPr>
          <w:rFonts w:ascii="Arial" w:hAnsi="Arial" w:cs="Arial"/>
          <w:sz w:val="19"/>
          <w:szCs w:val="19"/>
          <w:lang w:eastAsia="en-US"/>
        </w:rPr>
      </w:pPr>
      <w:r w:rsidRPr="00A54BEB">
        <w:rPr>
          <w:rFonts w:ascii="Arial" w:hAnsi="Arial" w:cs="Arial"/>
          <w:sz w:val="19"/>
          <w:szCs w:val="19"/>
        </w:rPr>
        <w:t>«</w:t>
      </w:r>
      <w:r w:rsidRPr="00A54BEB">
        <w:rPr>
          <w:rFonts w:ascii="Arial" w:hAnsi="Arial" w:cs="Arial"/>
          <w:sz w:val="19"/>
          <w:szCs w:val="19"/>
          <w:lang w:eastAsia="en-US"/>
        </w:rPr>
        <w:t>La Entidad Estatal puede aceptar que esta garantía tenga una vigencia inferior a cinco (5) años previa justificación técnica de un experto en la materia objeto del contrato, lo cual se debe reflejar en los documentos del proceso. Como consecuencia del análisis anterior y según la complejidad técnica del contrato a celebrar, esta garantía podrá tener una vigencia inferior a cinco (5) años y en todo caso de mínimo un (1) año. </w:t>
      </w:r>
    </w:p>
    <w:p w14:paraId="4F5E60A0" w14:textId="6FF267C7" w:rsidR="005F6462" w:rsidRPr="00A54BEB" w:rsidRDefault="005F6462" w:rsidP="0067722F">
      <w:pPr>
        <w:shd w:val="clear" w:color="auto" w:fill="FFFFFF"/>
        <w:ind w:firstLine="708"/>
        <w:jc w:val="both"/>
        <w:rPr>
          <w:rFonts w:ascii="Arial" w:eastAsia="Times New Roman" w:hAnsi="Arial" w:cs="Arial"/>
          <w:sz w:val="19"/>
          <w:szCs w:val="19"/>
          <w:lang w:val="es-CO"/>
        </w:rPr>
      </w:pPr>
      <w:r w:rsidRPr="00A54BEB">
        <w:rPr>
          <w:rFonts w:ascii="Arial" w:eastAsia="Times New Roman" w:hAnsi="Arial" w:cs="Arial"/>
          <w:sz w:val="19"/>
          <w:szCs w:val="19"/>
          <w:lang w:val="es-CO"/>
        </w:rPr>
        <w:t>Para establecer la complejidad técnica del proyecto, y por ende la vigencia de la garantía de estabilidad y calidad de la obra por un término inferior a los cinco (5) años, la justificación técnica del experto en la materia objeto del contrato tendrá en consideración variables como las siguientes: el tipo de actividades que serán realizadas, la experticia técnica requerida, el alcance físico de las obras, entre otros, pero sin limitarse únicamente a la cuantía del proceso​»</w:t>
      </w:r>
      <w:r w:rsidR="000C3872">
        <w:rPr>
          <w:rFonts w:ascii="Arial" w:eastAsia="Times New Roman" w:hAnsi="Arial" w:cs="Arial"/>
          <w:sz w:val="19"/>
          <w:szCs w:val="19"/>
          <w:lang w:val="es-CO"/>
        </w:rPr>
        <w:t>.</w:t>
      </w:r>
    </w:p>
    <w:p w14:paraId="72ADC3B2" w14:textId="77777777" w:rsidR="005F6462" w:rsidRPr="00A54BEB" w:rsidRDefault="005F6462" w:rsidP="003F1231">
      <w:pPr>
        <w:pStyle w:val="Textonotapie"/>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5F6462" w:rsidRDefault="005F6462"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5F6462" w:rsidRPr="00214878" w:rsidRDefault="005F6462"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5"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2"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1"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24"/>
  </w:num>
  <w:num w:numId="5">
    <w:abstractNumId w:val="2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
  </w:num>
  <w:num w:numId="9">
    <w:abstractNumId w:val="28"/>
  </w:num>
  <w:num w:numId="10">
    <w:abstractNumId w:val="21"/>
  </w:num>
  <w:num w:numId="11">
    <w:abstractNumId w:val="18"/>
  </w:num>
  <w:num w:numId="12">
    <w:abstractNumId w:val="1"/>
  </w:num>
  <w:num w:numId="13">
    <w:abstractNumId w:val="19"/>
  </w:num>
  <w:num w:numId="14">
    <w:abstractNumId w:val="23"/>
  </w:num>
  <w:num w:numId="15">
    <w:abstractNumId w:val="2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 w:numId="24">
    <w:abstractNumId w:val="31"/>
  </w:num>
  <w:num w:numId="25">
    <w:abstractNumId w:val="14"/>
  </w:num>
  <w:num w:numId="26">
    <w:abstractNumId w:val="22"/>
  </w:num>
  <w:num w:numId="27">
    <w:abstractNumId w:val="6"/>
  </w:num>
  <w:num w:numId="28">
    <w:abstractNumId w:val="5"/>
  </w:num>
  <w:num w:numId="29">
    <w:abstractNumId w:val="11"/>
  </w:num>
  <w:num w:numId="30">
    <w:abstractNumId w:val="32"/>
  </w:num>
  <w:num w:numId="31">
    <w:abstractNumId w:val="27"/>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CD3"/>
    <w:rsid w:val="00000DDB"/>
    <w:rsid w:val="00002386"/>
    <w:rsid w:val="00007845"/>
    <w:rsid w:val="00015DF9"/>
    <w:rsid w:val="00022430"/>
    <w:rsid w:val="00023BE4"/>
    <w:rsid w:val="00023C87"/>
    <w:rsid w:val="0002551F"/>
    <w:rsid w:val="000261BB"/>
    <w:rsid w:val="000268D8"/>
    <w:rsid w:val="0003099A"/>
    <w:rsid w:val="00031FC6"/>
    <w:rsid w:val="0003293F"/>
    <w:rsid w:val="00033B21"/>
    <w:rsid w:val="00033F9B"/>
    <w:rsid w:val="00035210"/>
    <w:rsid w:val="00036204"/>
    <w:rsid w:val="0004125C"/>
    <w:rsid w:val="00043688"/>
    <w:rsid w:val="0004523D"/>
    <w:rsid w:val="00051B4F"/>
    <w:rsid w:val="0005490A"/>
    <w:rsid w:val="00054A7B"/>
    <w:rsid w:val="00056788"/>
    <w:rsid w:val="00060398"/>
    <w:rsid w:val="00060721"/>
    <w:rsid w:val="000626DD"/>
    <w:rsid w:val="00064B28"/>
    <w:rsid w:val="00064E2F"/>
    <w:rsid w:val="000709B9"/>
    <w:rsid w:val="00071077"/>
    <w:rsid w:val="00071287"/>
    <w:rsid w:val="000738A4"/>
    <w:rsid w:val="00074108"/>
    <w:rsid w:val="000743F8"/>
    <w:rsid w:val="00075235"/>
    <w:rsid w:val="00077A71"/>
    <w:rsid w:val="000821B3"/>
    <w:rsid w:val="00084AF1"/>
    <w:rsid w:val="00086C1E"/>
    <w:rsid w:val="000902E3"/>
    <w:rsid w:val="0009126C"/>
    <w:rsid w:val="00091F03"/>
    <w:rsid w:val="00092172"/>
    <w:rsid w:val="00092C97"/>
    <w:rsid w:val="0009351A"/>
    <w:rsid w:val="000942EB"/>
    <w:rsid w:val="000950AA"/>
    <w:rsid w:val="00095F29"/>
    <w:rsid w:val="000A0382"/>
    <w:rsid w:val="000A1DB4"/>
    <w:rsid w:val="000A20ED"/>
    <w:rsid w:val="000A3D48"/>
    <w:rsid w:val="000A4AA5"/>
    <w:rsid w:val="000A6FC7"/>
    <w:rsid w:val="000A785D"/>
    <w:rsid w:val="000B103F"/>
    <w:rsid w:val="000B1F29"/>
    <w:rsid w:val="000B2127"/>
    <w:rsid w:val="000B3C08"/>
    <w:rsid w:val="000B5754"/>
    <w:rsid w:val="000B6AB4"/>
    <w:rsid w:val="000C0959"/>
    <w:rsid w:val="000C19E1"/>
    <w:rsid w:val="000C3861"/>
    <w:rsid w:val="000C3872"/>
    <w:rsid w:val="000C400F"/>
    <w:rsid w:val="000C6F8D"/>
    <w:rsid w:val="000C7696"/>
    <w:rsid w:val="000C77F0"/>
    <w:rsid w:val="000D02B3"/>
    <w:rsid w:val="000D3A92"/>
    <w:rsid w:val="000D4A92"/>
    <w:rsid w:val="000E0550"/>
    <w:rsid w:val="000E1BF2"/>
    <w:rsid w:val="000E1FCB"/>
    <w:rsid w:val="000E2D78"/>
    <w:rsid w:val="000E4B5C"/>
    <w:rsid w:val="000E5799"/>
    <w:rsid w:val="000E699E"/>
    <w:rsid w:val="000E730C"/>
    <w:rsid w:val="000E7352"/>
    <w:rsid w:val="000E7F0F"/>
    <w:rsid w:val="000F14E8"/>
    <w:rsid w:val="000F18A6"/>
    <w:rsid w:val="000F22D6"/>
    <w:rsid w:val="000F4EAF"/>
    <w:rsid w:val="00101C4D"/>
    <w:rsid w:val="00103915"/>
    <w:rsid w:val="001055F3"/>
    <w:rsid w:val="001069A9"/>
    <w:rsid w:val="00110320"/>
    <w:rsid w:val="001103A2"/>
    <w:rsid w:val="00112839"/>
    <w:rsid w:val="00113958"/>
    <w:rsid w:val="00113AFB"/>
    <w:rsid w:val="00121CD3"/>
    <w:rsid w:val="00122B23"/>
    <w:rsid w:val="00123889"/>
    <w:rsid w:val="00125924"/>
    <w:rsid w:val="00125C5F"/>
    <w:rsid w:val="00130EF4"/>
    <w:rsid w:val="001353DC"/>
    <w:rsid w:val="0013568D"/>
    <w:rsid w:val="0013799F"/>
    <w:rsid w:val="00137FFA"/>
    <w:rsid w:val="00140570"/>
    <w:rsid w:val="001407F6"/>
    <w:rsid w:val="00140A32"/>
    <w:rsid w:val="00141FAC"/>
    <w:rsid w:val="001428A2"/>
    <w:rsid w:val="00145C2E"/>
    <w:rsid w:val="00146306"/>
    <w:rsid w:val="00151923"/>
    <w:rsid w:val="00152AD5"/>
    <w:rsid w:val="001550A3"/>
    <w:rsid w:val="00156A2A"/>
    <w:rsid w:val="00161B7E"/>
    <w:rsid w:val="00163902"/>
    <w:rsid w:val="00166B32"/>
    <w:rsid w:val="00172E61"/>
    <w:rsid w:val="001737C9"/>
    <w:rsid w:val="00175FDC"/>
    <w:rsid w:val="00176817"/>
    <w:rsid w:val="0018007B"/>
    <w:rsid w:val="001821C5"/>
    <w:rsid w:val="00185A27"/>
    <w:rsid w:val="001929F9"/>
    <w:rsid w:val="00193DFB"/>
    <w:rsid w:val="00193EFC"/>
    <w:rsid w:val="00195745"/>
    <w:rsid w:val="001973B7"/>
    <w:rsid w:val="001A1A18"/>
    <w:rsid w:val="001A2276"/>
    <w:rsid w:val="001A36B8"/>
    <w:rsid w:val="001A695E"/>
    <w:rsid w:val="001A6D50"/>
    <w:rsid w:val="001A7009"/>
    <w:rsid w:val="001B493A"/>
    <w:rsid w:val="001B5E28"/>
    <w:rsid w:val="001B6613"/>
    <w:rsid w:val="001C01AC"/>
    <w:rsid w:val="001C092E"/>
    <w:rsid w:val="001C611F"/>
    <w:rsid w:val="001C6B55"/>
    <w:rsid w:val="001D088A"/>
    <w:rsid w:val="001D175D"/>
    <w:rsid w:val="001D5178"/>
    <w:rsid w:val="001D5C4D"/>
    <w:rsid w:val="001E0B25"/>
    <w:rsid w:val="001E0E4F"/>
    <w:rsid w:val="001E1DB9"/>
    <w:rsid w:val="001E62AF"/>
    <w:rsid w:val="001F07C0"/>
    <w:rsid w:val="001F2A9C"/>
    <w:rsid w:val="001F6CA5"/>
    <w:rsid w:val="001F7686"/>
    <w:rsid w:val="002002A3"/>
    <w:rsid w:val="00202A08"/>
    <w:rsid w:val="00202F2E"/>
    <w:rsid w:val="002109B6"/>
    <w:rsid w:val="0021312A"/>
    <w:rsid w:val="0021354E"/>
    <w:rsid w:val="00213765"/>
    <w:rsid w:val="00214878"/>
    <w:rsid w:val="00215E47"/>
    <w:rsid w:val="0022174A"/>
    <w:rsid w:val="00221DB1"/>
    <w:rsid w:val="00222E78"/>
    <w:rsid w:val="00224AFF"/>
    <w:rsid w:val="00233154"/>
    <w:rsid w:val="00233D41"/>
    <w:rsid w:val="002346FC"/>
    <w:rsid w:val="00234B84"/>
    <w:rsid w:val="00237377"/>
    <w:rsid w:val="0024024C"/>
    <w:rsid w:val="00240C0E"/>
    <w:rsid w:val="002411E9"/>
    <w:rsid w:val="0024158B"/>
    <w:rsid w:val="0024213C"/>
    <w:rsid w:val="00242ED7"/>
    <w:rsid w:val="0024480D"/>
    <w:rsid w:val="002451C1"/>
    <w:rsid w:val="002454B3"/>
    <w:rsid w:val="0024669C"/>
    <w:rsid w:val="002501E7"/>
    <w:rsid w:val="00250EB5"/>
    <w:rsid w:val="00252B8B"/>
    <w:rsid w:val="0025799B"/>
    <w:rsid w:val="00260125"/>
    <w:rsid w:val="0026156A"/>
    <w:rsid w:val="0026186C"/>
    <w:rsid w:val="00261A2E"/>
    <w:rsid w:val="002630D9"/>
    <w:rsid w:val="00263252"/>
    <w:rsid w:val="002706B4"/>
    <w:rsid w:val="00271593"/>
    <w:rsid w:val="00274B3E"/>
    <w:rsid w:val="00275DB5"/>
    <w:rsid w:val="00277E34"/>
    <w:rsid w:val="00280E65"/>
    <w:rsid w:val="0028451A"/>
    <w:rsid w:val="00286EF9"/>
    <w:rsid w:val="00287A42"/>
    <w:rsid w:val="00291854"/>
    <w:rsid w:val="002918F7"/>
    <w:rsid w:val="00294025"/>
    <w:rsid w:val="00294A08"/>
    <w:rsid w:val="00294B09"/>
    <w:rsid w:val="00294E58"/>
    <w:rsid w:val="002A2CEC"/>
    <w:rsid w:val="002A31F8"/>
    <w:rsid w:val="002A36A9"/>
    <w:rsid w:val="002A4D54"/>
    <w:rsid w:val="002A62A8"/>
    <w:rsid w:val="002B207F"/>
    <w:rsid w:val="002B3D4E"/>
    <w:rsid w:val="002B4EBC"/>
    <w:rsid w:val="002B79DC"/>
    <w:rsid w:val="002C45D9"/>
    <w:rsid w:val="002C71CA"/>
    <w:rsid w:val="002C7B84"/>
    <w:rsid w:val="002C7E55"/>
    <w:rsid w:val="002C7E5B"/>
    <w:rsid w:val="002D1AA6"/>
    <w:rsid w:val="002D7A0C"/>
    <w:rsid w:val="002E000E"/>
    <w:rsid w:val="002E1753"/>
    <w:rsid w:val="002E5D84"/>
    <w:rsid w:val="002E709C"/>
    <w:rsid w:val="002E7375"/>
    <w:rsid w:val="002E7617"/>
    <w:rsid w:val="002E79A9"/>
    <w:rsid w:val="002F2195"/>
    <w:rsid w:val="002F3127"/>
    <w:rsid w:val="002F33C3"/>
    <w:rsid w:val="002F3B3F"/>
    <w:rsid w:val="002F723E"/>
    <w:rsid w:val="002F77A1"/>
    <w:rsid w:val="00300384"/>
    <w:rsid w:val="003011A3"/>
    <w:rsid w:val="00302E0A"/>
    <w:rsid w:val="00303001"/>
    <w:rsid w:val="003033BA"/>
    <w:rsid w:val="00305947"/>
    <w:rsid w:val="00306259"/>
    <w:rsid w:val="003067C4"/>
    <w:rsid w:val="00306FCD"/>
    <w:rsid w:val="0031354B"/>
    <w:rsid w:val="00313908"/>
    <w:rsid w:val="003159B5"/>
    <w:rsid w:val="00315C98"/>
    <w:rsid w:val="00316518"/>
    <w:rsid w:val="003177B8"/>
    <w:rsid w:val="00321084"/>
    <w:rsid w:val="00321A6D"/>
    <w:rsid w:val="00323084"/>
    <w:rsid w:val="00330E9B"/>
    <w:rsid w:val="0033352A"/>
    <w:rsid w:val="00333538"/>
    <w:rsid w:val="00333DA4"/>
    <w:rsid w:val="00333DBC"/>
    <w:rsid w:val="00334344"/>
    <w:rsid w:val="00342C0D"/>
    <w:rsid w:val="00345AC9"/>
    <w:rsid w:val="003463D9"/>
    <w:rsid w:val="0034680A"/>
    <w:rsid w:val="00346DA2"/>
    <w:rsid w:val="003471F9"/>
    <w:rsid w:val="00350DDF"/>
    <w:rsid w:val="00352311"/>
    <w:rsid w:val="0035408A"/>
    <w:rsid w:val="003559ED"/>
    <w:rsid w:val="003569FD"/>
    <w:rsid w:val="00356E6F"/>
    <w:rsid w:val="00356FAB"/>
    <w:rsid w:val="00361BB8"/>
    <w:rsid w:val="003644CA"/>
    <w:rsid w:val="003657FD"/>
    <w:rsid w:val="00366E1B"/>
    <w:rsid w:val="00367DDB"/>
    <w:rsid w:val="0037000E"/>
    <w:rsid w:val="0037129B"/>
    <w:rsid w:val="003751BE"/>
    <w:rsid w:val="00386456"/>
    <w:rsid w:val="00387590"/>
    <w:rsid w:val="00391644"/>
    <w:rsid w:val="003925E0"/>
    <w:rsid w:val="00392F03"/>
    <w:rsid w:val="00393C53"/>
    <w:rsid w:val="003945B8"/>
    <w:rsid w:val="003A1AAE"/>
    <w:rsid w:val="003A299C"/>
    <w:rsid w:val="003A581E"/>
    <w:rsid w:val="003A6038"/>
    <w:rsid w:val="003B0B5A"/>
    <w:rsid w:val="003B0B8D"/>
    <w:rsid w:val="003B2D22"/>
    <w:rsid w:val="003B4F39"/>
    <w:rsid w:val="003B5BB8"/>
    <w:rsid w:val="003B743E"/>
    <w:rsid w:val="003B7F82"/>
    <w:rsid w:val="003C07D6"/>
    <w:rsid w:val="003C5438"/>
    <w:rsid w:val="003D14E8"/>
    <w:rsid w:val="003D456C"/>
    <w:rsid w:val="003D7759"/>
    <w:rsid w:val="003E2919"/>
    <w:rsid w:val="003E3083"/>
    <w:rsid w:val="003E54F9"/>
    <w:rsid w:val="003E6461"/>
    <w:rsid w:val="003F1231"/>
    <w:rsid w:val="003F2F99"/>
    <w:rsid w:val="003F5766"/>
    <w:rsid w:val="003F6F8C"/>
    <w:rsid w:val="00400DDE"/>
    <w:rsid w:val="00405662"/>
    <w:rsid w:val="00406008"/>
    <w:rsid w:val="00407293"/>
    <w:rsid w:val="00407636"/>
    <w:rsid w:val="00410870"/>
    <w:rsid w:val="00411B30"/>
    <w:rsid w:val="0041218E"/>
    <w:rsid w:val="0041247F"/>
    <w:rsid w:val="00412C58"/>
    <w:rsid w:val="00414A77"/>
    <w:rsid w:val="00415395"/>
    <w:rsid w:val="00416413"/>
    <w:rsid w:val="00416AC0"/>
    <w:rsid w:val="00416B88"/>
    <w:rsid w:val="00417402"/>
    <w:rsid w:val="00421001"/>
    <w:rsid w:val="0042114E"/>
    <w:rsid w:val="00425C7A"/>
    <w:rsid w:val="004268A3"/>
    <w:rsid w:val="00427E90"/>
    <w:rsid w:val="0043152C"/>
    <w:rsid w:val="00432163"/>
    <w:rsid w:val="00434829"/>
    <w:rsid w:val="004348F9"/>
    <w:rsid w:val="00434BC9"/>
    <w:rsid w:val="00440BFC"/>
    <w:rsid w:val="00441274"/>
    <w:rsid w:val="0044200A"/>
    <w:rsid w:val="004422D6"/>
    <w:rsid w:val="00443F10"/>
    <w:rsid w:val="00444865"/>
    <w:rsid w:val="00445186"/>
    <w:rsid w:val="00445F18"/>
    <w:rsid w:val="004513E8"/>
    <w:rsid w:val="004537E9"/>
    <w:rsid w:val="00454947"/>
    <w:rsid w:val="00457177"/>
    <w:rsid w:val="00460793"/>
    <w:rsid w:val="004619B2"/>
    <w:rsid w:val="00462527"/>
    <w:rsid w:val="00463385"/>
    <w:rsid w:val="00466E78"/>
    <w:rsid w:val="00467950"/>
    <w:rsid w:val="00467F4F"/>
    <w:rsid w:val="00473A25"/>
    <w:rsid w:val="00474EFB"/>
    <w:rsid w:val="00475159"/>
    <w:rsid w:val="00477B6D"/>
    <w:rsid w:val="00477DEE"/>
    <w:rsid w:val="00481988"/>
    <w:rsid w:val="004823BF"/>
    <w:rsid w:val="00483490"/>
    <w:rsid w:val="00485AE3"/>
    <w:rsid w:val="00487048"/>
    <w:rsid w:val="0048775B"/>
    <w:rsid w:val="00490869"/>
    <w:rsid w:val="0049197E"/>
    <w:rsid w:val="004A1580"/>
    <w:rsid w:val="004A214E"/>
    <w:rsid w:val="004A34D2"/>
    <w:rsid w:val="004A51B7"/>
    <w:rsid w:val="004B0F82"/>
    <w:rsid w:val="004B1AFD"/>
    <w:rsid w:val="004B6213"/>
    <w:rsid w:val="004B62BE"/>
    <w:rsid w:val="004C035A"/>
    <w:rsid w:val="004C35C3"/>
    <w:rsid w:val="004C39C9"/>
    <w:rsid w:val="004C3E24"/>
    <w:rsid w:val="004C56C4"/>
    <w:rsid w:val="004C64DF"/>
    <w:rsid w:val="004C6B9C"/>
    <w:rsid w:val="004D021E"/>
    <w:rsid w:val="004D2202"/>
    <w:rsid w:val="004D2FE0"/>
    <w:rsid w:val="004D4D4E"/>
    <w:rsid w:val="004E2DEA"/>
    <w:rsid w:val="004E420A"/>
    <w:rsid w:val="004E51E3"/>
    <w:rsid w:val="004E5772"/>
    <w:rsid w:val="004E6117"/>
    <w:rsid w:val="004F128E"/>
    <w:rsid w:val="004F1A74"/>
    <w:rsid w:val="004F2FA6"/>
    <w:rsid w:val="004F3CEB"/>
    <w:rsid w:val="004F3E22"/>
    <w:rsid w:val="004F4091"/>
    <w:rsid w:val="004F6E46"/>
    <w:rsid w:val="004F7336"/>
    <w:rsid w:val="00500C4E"/>
    <w:rsid w:val="0050193D"/>
    <w:rsid w:val="0050196E"/>
    <w:rsid w:val="00501AD2"/>
    <w:rsid w:val="00502A6F"/>
    <w:rsid w:val="00502A9D"/>
    <w:rsid w:val="0050434E"/>
    <w:rsid w:val="00504B90"/>
    <w:rsid w:val="0051074C"/>
    <w:rsid w:val="00510EAF"/>
    <w:rsid w:val="00511ACB"/>
    <w:rsid w:val="00512714"/>
    <w:rsid w:val="00513AF2"/>
    <w:rsid w:val="0051416A"/>
    <w:rsid w:val="00516EA3"/>
    <w:rsid w:val="00517425"/>
    <w:rsid w:val="00517832"/>
    <w:rsid w:val="00525C51"/>
    <w:rsid w:val="00526D46"/>
    <w:rsid w:val="00531345"/>
    <w:rsid w:val="005318F6"/>
    <w:rsid w:val="00531A19"/>
    <w:rsid w:val="0053303D"/>
    <w:rsid w:val="005356EA"/>
    <w:rsid w:val="00536637"/>
    <w:rsid w:val="0053681E"/>
    <w:rsid w:val="00537683"/>
    <w:rsid w:val="00541DD0"/>
    <w:rsid w:val="0054229C"/>
    <w:rsid w:val="00542514"/>
    <w:rsid w:val="005427CF"/>
    <w:rsid w:val="005428CA"/>
    <w:rsid w:val="0054315A"/>
    <w:rsid w:val="00543CC9"/>
    <w:rsid w:val="0054413A"/>
    <w:rsid w:val="0054602D"/>
    <w:rsid w:val="00546A8C"/>
    <w:rsid w:val="00546CA7"/>
    <w:rsid w:val="00550BD9"/>
    <w:rsid w:val="00550FD8"/>
    <w:rsid w:val="00551AEB"/>
    <w:rsid w:val="00553EAD"/>
    <w:rsid w:val="005546BF"/>
    <w:rsid w:val="005564CA"/>
    <w:rsid w:val="00557C64"/>
    <w:rsid w:val="005637B5"/>
    <w:rsid w:val="0057006A"/>
    <w:rsid w:val="00570241"/>
    <w:rsid w:val="00572EF9"/>
    <w:rsid w:val="005747F3"/>
    <w:rsid w:val="00574D76"/>
    <w:rsid w:val="00576A4A"/>
    <w:rsid w:val="00577104"/>
    <w:rsid w:val="00577185"/>
    <w:rsid w:val="00581EEC"/>
    <w:rsid w:val="00590087"/>
    <w:rsid w:val="005909E4"/>
    <w:rsid w:val="00590CFC"/>
    <w:rsid w:val="00592702"/>
    <w:rsid w:val="00592E79"/>
    <w:rsid w:val="00593652"/>
    <w:rsid w:val="00595AF8"/>
    <w:rsid w:val="005A0AC1"/>
    <w:rsid w:val="005A1E1D"/>
    <w:rsid w:val="005A3893"/>
    <w:rsid w:val="005A4AEC"/>
    <w:rsid w:val="005A7711"/>
    <w:rsid w:val="005B0CD4"/>
    <w:rsid w:val="005B11C6"/>
    <w:rsid w:val="005B20E7"/>
    <w:rsid w:val="005B27C3"/>
    <w:rsid w:val="005B2CF7"/>
    <w:rsid w:val="005B2F7D"/>
    <w:rsid w:val="005B37EA"/>
    <w:rsid w:val="005B57CE"/>
    <w:rsid w:val="005B5B7D"/>
    <w:rsid w:val="005C1FC3"/>
    <w:rsid w:val="005C3EA1"/>
    <w:rsid w:val="005C4795"/>
    <w:rsid w:val="005C4E28"/>
    <w:rsid w:val="005C50CF"/>
    <w:rsid w:val="005C6805"/>
    <w:rsid w:val="005C6BD0"/>
    <w:rsid w:val="005C7609"/>
    <w:rsid w:val="005C7CDD"/>
    <w:rsid w:val="005D096F"/>
    <w:rsid w:val="005D1B45"/>
    <w:rsid w:val="005D25BD"/>
    <w:rsid w:val="005D2E6E"/>
    <w:rsid w:val="005D4405"/>
    <w:rsid w:val="005D4488"/>
    <w:rsid w:val="005E3FDC"/>
    <w:rsid w:val="005E5A01"/>
    <w:rsid w:val="005E5AD9"/>
    <w:rsid w:val="005E7B0B"/>
    <w:rsid w:val="005F05AC"/>
    <w:rsid w:val="005F3841"/>
    <w:rsid w:val="005F6462"/>
    <w:rsid w:val="00600AC5"/>
    <w:rsid w:val="00601EE4"/>
    <w:rsid w:val="00603487"/>
    <w:rsid w:val="006043A3"/>
    <w:rsid w:val="00604F33"/>
    <w:rsid w:val="00615A40"/>
    <w:rsid w:val="00616FE7"/>
    <w:rsid w:val="0062065E"/>
    <w:rsid w:val="0062127A"/>
    <w:rsid w:val="00621E35"/>
    <w:rsid w:val="0062303B"/>
    <w:rsid w:val="0062539B"/>
    <w:rsid w:val="00627D61"/>
    <w:rsid w:val="00630230"/>
    <w:rsid w:val="00632B90"/>
    <w:rsid w:val="00636072"/>
    <w:rsid w:val="0063778D"/>
    <w:rsid w:val="006378B6"/>
    <w:rsid w:val="00637AC0"/>
    <w:rsid w:val="00640226"/>
    <w:rsid w:val="006402FD"/>
    <w:rsid w:val="00642C9D"/>
    <w:rsid w:val="00643774"/>
    <w:rsid w:val="00644299"/>
    <w:rsid w:val="006442AE"/>
    <w:rsid w:val="00645D51"/>
    <w:rsid w:val="006535D1"/>
    <w:rsid w:val="00653A0D"/>
    <w:rsid w:val="00654AA6"/>
    <w:rsid w:val="006551DC"/>
    <w:rsid w:val="00655371"/>
    <w:rsid w:val="00656629"/>
    <w:rsid w:val="00657AFA"/>
    <w:rsid w:val="0066034E"/>
    <w:rsid w:val="006608BE"/>
    <w:rsid w:val="00660E4B"/>
    <w:rsid w:val="00662A05"/>
    <w:rsid w:val="00672538"/>
    <w:rsid w:val="0067336C"/>
    <w:rsid w:val="006735A6"/>
    <w:rsid w:val="006754C6"/>
    <w:rsid w:val="00676504"/>
    <w:rsid w:val="00676EE8"/>
    <w:rsid w:val="0067722F"/>
    <w:rsid w:val="006778AF"/>
    <w:rsid w:val="006819F5"/>
    <w:rsid w:val="00685F97"/>
    <w:rsid w:val="00687EC0"/>
    <w:rsid w:val="00690936"/>
    <w:rsid w:val="00695958"/>
    <w:rsid w:val="00697665"/>
    <w:rsid w:val="006A07D6"/>
    <w:rsid w:val="006A1F7F"/>
    <w:rsid w:val="006A5A2E"/>
    <w:rsid w:val="006A61EC"/>
    <w:rsid w:val="006A7FD0"/>
    <w:rsid w:val="006B06BF"/>
    <w:rsid w:val="006B200D"/>
    <w:rsid w:val="006B2ADC"/>
    <w:rsid w:val="006B6ED7"/>
    <w:rsid w:val="006C0B8D"/>
    <w:rsid w:val="006C1038"/>
    <w:rsid w:val="006C1231"/>
    <w:rsid w:val="006C6528"/>
    <w:rsid w:val="006C68E6"/>
    <w:rsid w:val="006C731D"/>
    <w:rsid w:val="006D1702"/>
    <w:rsid w:val="006D1878"/>
    <w:rsid w:val="006D1D47"/>
    <w:rsid w:val="006D32A2"/>
    <w:rsid w:val="006D7687"/>
    <w:rsid w:val="006D79C0"/>
    <w:rsid w:val="006E0572"/>
    <w:rsid w:val="006E0DD1"/>
    <w:rsid w:val="006E39EA"/>
    <w:rsid w:val="006E65A3"/>
    <w:rsid w:val="006E75A3"/>
    <w:rsid w:val="006F1F20"/>
    <w:rsid w:val="006F5CF0"/>
    <w:rsid w:val="006F5D44"/>
    <w:rsid w:val="006F6BD6"/>
    <w:rsid w:val="006F7B68"/>
    <w:rsid w:val="006F7C6D"/>
    <w:rsid w:val="006F7E30"/>
    <w:rsid w:val="00700D9E"/>
    <w:rsid w:val="00702D5D"/>
    <w:rsid w:val="00704381"/>
    <w:rsid w:val="00704921"/>
    <w:rsid w:val="00704B0B"/>
    <w:rsid w:val="00705631"/>
    <w:rsid w:val="00710F03"/>
    <w:rsid w:val="00712A6A"/>
    <w:rsid w:val="007147F4"/>
    <w:rsid w:val="00715C9E"/>
    <w:rsid w:val="00716B0A"/>
    <w:rsid w:val="0071707F"/>
    <w:rsid w:val="0072181F"/>
    <w:rsid w:val="00722B21"/>
    <w:rsid w:val="00722C4F"/>
    <w:rsid w:val="00724C38"/>
    <w:rsid w:val="00727074"/>
    <w:rsid w:val="00727946"/>
    <w:rsid w:val="00727C3C"/>
    <w:rsid w:val="007343CE"/>
    <w:rsid w:val="00734B73"/>
    <w:rsid w:val="00734E1F"/>
    <w:rsid w:val="00735909"/>
    <w:rsid w:val="00737474"/>
    <w:rsid w:val="00737DB6"/>
    <w:rsid w:val="007403F4"/>
    <w:rsid w:val="007424A8"/>
    <w:rsid w:val="00742DD2"/>
    <w:rsid w:val="00744529"/>
    <w:rsid w:val="00744CB8"/>
    <w:rsid w:val="00744E2B"/>
    <w:rsid w:val="007452CF"/>
    <w:rsid w:val="00746C4F"/>
    <w:rsid w:val="00746D5B"/>
    <w:rsid w:val="0075010E"/>
    <w:rsid w:val="0075101C"/>
    <w:rsid w:val="00751CDD"/>
    <w:rsid w:val="0075639F"/>
    <w:rsid w:val="0075647A"/>
    <w:rsid w:val="00756B38"/>
    <w:rsid w:val="00756EC8"/>
    <w:rsid w:val="007575ED"/>
    <w:rsid w:val="007609E9"/>
    <w:rsid w:val="007618B2"/>
    <w:rsid w:val="00761CAA"/>
    <w:rsid w:val="007634AD"/>
    <w:rsid w:val="00764F47"/>
    <w:rsid w:val="0076747D"/>
    <w:rsid w:val="00771882"/>
    <w:rsid w:val="007774E3"/>
    <w:rsid w:val="0078122E"/>
    <w:rsid w:val="00781AA8"/>
    <w:rsid w:val="0078365A"/>
    <w:rsid w:val="00783D11"/>
    <w:rsid w:val="007846C5"/>
    <w:rsid w:val="00787D3E"/>
    <w:rsid w:val="0079134A"/>
    <w:rsid w:val="0079377E"/>
    <w:rsid w:val="00795113"/>
    <w:rsid w:val="007A1954"/>
    <w:rsid w:val="007A6A34"/>
    <w:rsid w:val="007B0854"/>
    <w:rsid w:val="007B45EA"/>
    <w:rsid w:val="007B7D62"/>
    <w:rsid w:val="007C0CCA"/>
    <w:rsid w:val="007C7CE4"/>
    <w:rsid w:val="007D1B79"/>
    <w:rsid w:val="007D3323"/>
    <w:rsid w:val="007D4021"/>
    <w:rsid w:val="007D4803"/>
    <w:rsid w:val="007D59CF"/>
    <w:rsid w:val="007E0B27"/>
    <w:rsid w:val="007E193F"/>
    <w:rsid w:val="007E24A0"/>
    <w:rsid w:val="007E331A"/>
    <w:rsid w:val="007E6D71"/>
    <w:rsid w:val="007F44E6"/>
    <w:rsid w:val="007F7255"/>
    <w:rsid w:val="007F72CB"/>
    <w:rsid w:val="00800317"/>
    <w:rsid w:val="00800AD9"/>
    <w:rsid w:val="00800DEA"/>
    <w:rsid w:val="00801F73"/>
    <w:rsid w:val="00802FF0"/>
    <w:rsid w:val="0080456B"/>
    <w:rsid w:val="008065A8"/>
    <w:rsid w:val="0080762F"/>
    <w:rsid w:val="00811EDD"/>
    <w:rsid w:val="00816B40"/>
    <w:rsid w:val="00817EA3"/>
    <w:rsid w:val="008201C7"/>
    <w:rsid w:val="008229F3"/>
    <w:rsid w:val="00823406"/>
    <w:rsid w:val="008238DA"/>
    <w:rsid w:val="00824A6D"/>
    <w:rsid w:val="008259A3"/>
    <w:rsid w:val="0082768D"/>
    <w:rsid w:val="00830306"/>
    <w:rsid w:val="00830BF0"/>
    <w:rsid w:val="0083119B"/>
    <w:rsid w:val="00833A0B"/>
    <w:rsid w:val="00835C7D"/>
    <w:rsid w:val="0083646A"/>
    <w:rsid w:val="00836EAB"/>
    <w:rsid w:val="00837C23"/>
    <w:rsid w:val="00845A51"/>
    <w:rsid w:val="00847C80"/>
    <w:rsid w:val="008502A5"/>
    <w:rsid w:val="0085092D"/>
    <w:rsid w:val="00850EFF"/>
    <w:rsid w:val="008515EE"/>
    <w:rsid w:val="008537E9"/>
    <w:rsid w:val="00854B8E"/>
    <w:rsid w:val="008574D1"/>
    <w:rsid w:val="008615FD"/>
    <w:rsid w:val="00862405"/>
    <w:rsid w:val="00862FD9"/>
    <w:rsid w:val="00864A61"/>
    <w:rsid w:val="008659FF"/>
    <w:rsid w:val="008662E2"/>
    <w:rsid w:val="00871A33"/>
    <w:rsid w:val="0087201C"/>
    <w:rsid w:val="008735F6"/>
    <w:rsid w:val="00874B3D"/>
    <w:rsid w:val="00884F75"/>
    <w:rsid w:val="008865C0"/>
    <w:rsid w:val="00886C7B"/>
    <w:rsid w:val="0088776A"/>
    <w:rsid w:val="008903AE"/>
    <w:rsid w:val="00892B83"/>
    <w:rsid w:val="00894063"/>
    <w:rsid w:val="008941DC"/>
    <w:rsid w:val="00894712"/>
    <w:rsid w:val="00896CE7"/>
    <w:rsid w:val="008A1444"/>
    <w:rsid w:val="008A1F4E"/>
    <w:rsid w:val="008A2F4B"/>
    <w:rsid w:val="008A4522"/>
    <w:rsid w:val="008A56B5"/>
    <w:rsid w:val="008A7BB3"/>
    <w:rsid w:val="008B0FC4"/>
    <w:rsid w:val="008B11C1"/>
    <w:rsid w:val="008B3DDE"/>
    <w:rsid w:val="008B48B6"/>
    <w:rsid w:val="008B58DD"/>
    <w:rsid w:val="008B79E0"/>
    <w:rsid w:val="008C449B"/>
    <w:rsid w:val="008C5872"/>
    <w:rsid w:val="008C5FE5"/>
    <w:rsid w:val="008D1C27"/>
    <w:rsid w:val="008D3488"/>
    <w:rsid w:val="008D4418"/>
    <w:rsid w:val="008D5921"/>
    <w:rsid w:val="008D7064"/>
    <w:rsid w:val="008E021A"/>
    <w:rsid w:val="008E1C15"/>
    <w:rsid w:val="008E65F4"/>
    <w:rsid w:val="008E7DD0"/>
    <w:rsid w:val="008F3AB1"/>
    <w:rsid w:val="008F53F4"/>
    <w:rsid w:val="00901339"/>
    <w:rsid w:val="00902872"/>
    <w:rsid w:val="009047C5"/>
    <w:rsid w:val="00906FED"/>
    <w:rsid w:val="009101AA"/>
    <w:rsid w:val="00911BF7"/>
    <w:rsid w:val="009123E9"/>
    <w:rsid w:val="009125D0"/>
    <w:rsid w:val="00913B77"/>
    <w:rsid w:val="00913C8E"/>
    <w:rsid w:val="00916DB5"/>
    <w:rsid w:val="009170FB"/>
    <w:rsid w:val="00921955"/>
    <w:rsid w:val="00921D40"/>
    <w:rsid w:val="00923BCA"/>
    <w:rsid w:val="00925BC4"/>
    <w:rsid w:val="009272AE"/>
    <w:rsid w:val="009329A4"/>
    <w:rsid w:val="009329BE"/>
    <w:rsid w:val="009344B3"/>
    <w:rsid w:val="0093661C"/>
    <w:rsid w:val="00936B57"/>
    <w:rsid w:val="00941B45"/>
    <w:rsid w:val="00945A85"/>
    <w:rsid w:val="00947197"/>
    <w:rsid w:val="00947945"/>
    <w:rsid w:val="00950AE6"/>
    <w:rsid w:val="009513A9"/>
    <w:rsid w:val="00951524"/>
    <w:rsid w:val="0095340A"/>
    <w:rsid w:val="0095385A"/>
    <w:rsid w:val="00954AC6"/>
    <w:rsid w:val="009603B4"/>
    <w:rsid w:val="00965006"/>
    <w:rsid w:val="00966595"/>
    <w:rsid w:val="00967D10"/>
    <w:rsid w:val="00967ED9"/>
    <w:rsid w:val="00971321"/>
    <w:rsid w:val="00973C2B"/>
    <w:rsid w:val="0097455B"/>
    <w:rsid w:val="00976CDB"/>
    <w:rsid w:val="00981254"/>
    <w:rsid w:val="00982F90"/>
    <w:rsid w:val="009839A9"/>
    <w:rsid w:val="009853D5"/>
    <w:rsid w:val="009859D4"/>
    <w:rsid w:val="00985F55"/>
    <w:rsid w:val="0098629E"/>
    <w:rsid w:val="00990443"/>
    <w:rsid w:val="00995D22"/>
    <w:rsid w:val="009A035F"/>
    <w:rsid w:val="009A0487"/>
    <w:rsid w:val="009A5CA2"/>
    <w:rsid w:val="009A6978"/>
    <w:rsid w:val="009A7840"/>
    <w:rsid w:val="009A7EAF"/>
    <w:rsid w:val="009B751B"/>
    <w:rsid w:val="009C2F8F"/>
    <w:rsid w:val="009C4045"/>
    <w:rsid w:val="009C501C"/>
    <w:rsid w:val="009C50D0"/>
    <w:rsid w:val="009C7373"/>
    <w:rsid w:val="009D02F9"/>
    <w:rsid w:val="009E1FEB"/>
    <w:rsid w:val="009E27E2"/>
    <w:rsid w:val="009E49CC"/>
    <w:rsid w:val="009E4AF0"/>
    <w:rsid w:val="009E56BA"/>
    <w:rsid w:val="009E5FD4"/>
    <w:rsid w:val="009E6E5C"/>
    <w:rsid w:val="009F12D8"/>
    <w:rsid w:val="009F15A3"/>
    <w:rsid w:val="009F2412"/>
    <w:rsid w:val="009F4103"/>
    <w:rsid w:val="009F7D55"/>
    <w:rsid w:val="00A002DA"/>
    <w:rsid w:val="00A06772"/>
    <w:rsid w:val="00A074BF"/>
    <w:rsid w:val="00A0798E"/>
    <w:rsid w:val="00A12E39"/>
    <w:rsid w:val="00A13D9F"/>
    <w:rsid w:val="00A1500F"/>
    <w:rsid w:val="00A15F44"/>
    <w:rsid w:val="00A17103"/>
    <w:rsid w:val="00A22A44"/>
    <w:rsid w:val="00A23EDF"/>
    <w:rsid w:val="00A241AD"/>
    <w:rsid w:val="00A24322"/>
    <w:rsid w:val="00A24560"/>
    <w:rsid w:val="00A24780"/>
    <w:rsid w:val="00A24FCF"/>
    <w:rsid w:val="00A257F1"/>
    <w:rsid w:val="00A27EBA"/>
    <w:rsid w:val="00A34538"/>
    <w:rsid w:val="00A348FB"/>
    <w:rsid w:val="00A408C7"/>
    <w:rsid w:val="00A413DA"/>
    <w:rsid w:val="00A4436B"/>
    <w:rsid w:val="00A504F9"/>
    <w:rsid w:val="00A50EA1"/>
    <w:rsid w:val="00A54843"/>
    <w:rsid w:val="00A5495C"/>
    <w:rsid w:val="00A54BEB"/>
    <w:rsid w:val="00A54C72"/>
    <w:rsid w:val="00A54FA1"/>
    <w:rsid w:val="00A56DCE"/>
    <w:rsid w:val="00A60147"/>
    <w:rsid w:val="00A60595"/>
    <w:rsid w:val="00A60725"/>
    <w:rsid w:val="00A620C8"/>
    <w:rsid w:val="00A62356"/>
    <w:rsid w:val="00A64ADC"/>
    <w:rsid w:val="00A72528"/>
    <w:rsid w:val="00A737CD"/>
    <w:rsid w:val="00A75A39"/>
    <w:rsid w:val="00A76494"/>
    <w:rsid w:val="00A8084F"/>
    <w:rsid w:val="00A8663D"/>
    <w:rsid w:val="00A9550C"/>
    <w:rsid w:val="00A95A3C"/>
    <w:rsid w:val="00A95E66"/>
    <w:rsid w:val="00AA442B"/>
    <w:rsid w:val="00AA6D04"/>
    <w:rsid w:val="00AA707B"/>
    <w:rsid w:val="00AB31E7"/>
    <w:rsid w:val="00AB41A9"/>
    <w:rsid w:val="00AB55A6"/>
    <w:rsid w:val="00AB7B09"/>
    <w:rsid w:val="00AC1C9A"/>
    <w:rsid w:val="00AC54C6"/>
    <w:rsid w:val="00AC654E"/>
    <w:rsid w:val="00AC7B70"/>
    <w:rsid w:val="00AD017C"/>
    <w:rsid w:val="00AD0BB9"/>
    <w:rsid w:val="00AD0C27"/>
    <w:rsid w:val="00AD0EDA"/>
    <w:rsid w:val="00AD64EA"/>
    <w:rsid w:val="00AE3229"/>
    <w:rsid w:val="00AE3C7C"/>
    <w:rsid w:val="00AF02E3"/>
    <w:rsid w:val="00AF1059"/>
    <w:rsid w:val="00AF1718"/>
    <w:rsid w:val="00AF2440"/>
    <w:rsid w:val="00AF4CF9"/>
    <w:rsid w:val="00AF693C"/>
    <w:rsid w:val="00AF798A"/>
    <w:rsid w:val="00B04223"/>
    <w:rsid w:val="00B05FD5"/>
    <w:rsid w:val="00B06DB4"/>
    <w:rsid w:val="00B114C0"/>
    <w:rsid w:val="00B11CB1"/>
    <w:rsid w:val="00B13059"/>
    <w:rsid w:val="00B13F5E"/>
    <w:rsid w:val="00B15F4A"/>
    <w:rsid w:val="00B174B9"/>
    <w:rsid w:val="00B17644"/>
    <w:rsid w:val="00B17EC0"/>
    <w:rsid w:val="00B20EEE"/>
    <w:rsid w:val="00B2165B"/>
    <w:rsid w:val="00B221A3"/>
    <w:rsid w:val="00B22E22"/>
    <w:rsid w:val="00B23C3C"/>
    <w:rsid w:val="00B333CE"/>
    <w:rsid w:val="00B35AA5"/>
    <w:rsid w:val="00B36C98"/>
    <w:rsid w:val="00B37256"/>
    <w:rsid w:val="00B42559"/>
    <w:rsid w:val="00B444B2"/>
    <w:rsid w:val="00B46173"/>
    <w:rsid w:val="00B52462"/>
    <w:rsid w:val="00B525CB"/>
    <w:rsid w:val="00B53388"/>
    <w:rsid w:val="00B53816"/>
    <w:rsid w:val="00B54C59"/>
    <w:rsid w:val="00B55E9C"/>
    <w:rsid w:val="00B56418"/>
    <w:rsid w:val="00B5744B"/>
    <w:rsid w:val="00B61BDD"/>
    <w:rsid w:val="00B61FD8"/>
    <w:rsid w:val="00B624BF"/>
    <w:rsid w:val="00B6341B"/>
    <w:rsid w:val="00B63CB2"/>
    <w:rsid w:val="00B67F3A"/>
    <w:rsid w:val="00B722C9"/>
    <w:rsid w:val="00B72E99"/>
    <w:rsid w:val="00B74072"/>
    <w:rsid w:val="00B76167"/>
    <w:rsid w:val="00B761B6"/>
    <w:rsid w:val="00B775E8"/>
    <w:rsid w:val="00B800BA"/>
    <w:rsid w:val="00B81BD8"/>
    <w:rsid w:val="00B851DC"/>
    <w:rsid w:val="00B86854"/>
    <w:rsid w:val="00B91AD0"/>
    <w:rsid w:val="00B962FF"/>
    <w:rsid w:val="00BA52D6"/>
    <w:rsid w:val="00BA75AD"/>
    <w:rsid w:val="00BA7C60"/>
    <w:rsid w:val="00BB2C01"/>
    <w:rsid w:val="00BB3E2C"/>
    <w:rsid w:val="00BB6F85"/>
    <w:rsid w:val="00BC1B41"/>
    <w:rsid w:val="00BC52A5"/>
    <w:rsid w:val="00BC6BDC"/>
    <w:rsid w:val="00BD0D6C"/>
    <w:rsid w:val="00BD1EF0"/>
    <w:rsid w:val="00BD367E"/>
    <w:rsid w:val="00BD422F"/>
    <w:rsid w:val="00BD5F69"/>
    <w:rsid w:val="00BD6ED0"/>
    <w:rsid w:val="00BD78FE"/>
    <w:rsid w:val="00BE03A7"/>
    <w:rsid w:val="00BE0EDB"/>
    <w:rsid w:val="00BE4A79"/>
    <w:rsid w:val="00BF00DE"/>
    <w:rsid w:val="00BF1906"/>
    <w:rsid w:val="00BF46F6"/>
    <w:rsid w:val="00BF624E"/>
    <w:rsid w:val="00C03DC6"/>
    <w:rsid w:val="00C05841"/>
    <w:rsid w:val="00C0689F"/>
    <w:rsid w:val="00C074B4"/>
    <w:rsid w:val="00C07C55"/>
    <w:rsid w:val="00C172E8"/>
    <w:rsid w:val="00C17D54"/>
    <w:rsid w:val="00C217DB"/>
    <w:rsid w:val="00C22704"/>
    <w:rsid w:val="00C22B69"/>
    <w:rsid w:val="00C343AD"/>
    <w:rsid w:val="00C3521A"/>
    <w:rsid w:val="00C35F7C"/>
    <w:rsid w:val="00C36E40"/>
    <w:rsid w:val="00C371A6"/>
    <w:rsid w:val="00C429B4"/>
    <w:rsid w:val="00C474AC"/>
    <w:rsid w:val="00C5124A"/>
    <w:rsid w:val="00C5128E"/>
    <w:rsid w:val="00C523AA"/>
    <w:rsid w:val="00C5495E"/>
    <w:rsid w:val="00C55E36"/>
    <w:rsid w:val="00C56AE4"/>
    <w:rsid w:val="00C60F20"/>
    <w:rsid w:val="00C61A73"/>
    <w:rsid w:val="00C61ED9"/>
    <w:rsid w:val="00C64FD0"/>
    <w:rsid w:val="00C6675D"/>
    <w:rsid w:val="00C6768A"/>
    <w:rsid w:val="00C67FE4"/>
    <w:rsid w:val="00C7160E"/>
    <w:rsid w:val="00C71C51"/>
    <w:rsid w:val="00C77A9F"/>
    <w:rsid w:val="00C8061B"/>
    <w:rsid w:val="00C80C66"/>
    <w:rsid w:val="00C82793"/>
    <w:rsid w:val="00C83A28"/>
    <w:rsid w:val="00C85959"/>
    <w:rsid w:val="00C85EF8"/>
    <w:rsid w:val="00C8716A"/>
    <w:rsid w:val="00C914CD"/>
    <w:rsid w:val="00C93A8A"/>
    <w:rsid w:val="00C93E70"/>
    <w:rsid w:val="00C968EC"/>
    <w:rsid w:val="00C97A89"/>
    <w:rsid w:val="00CA14F9"/>
    <w:rsid w:val="00CA3F2F"/>
    <w:rsid w:val="00CA6816"/>
    <w:rsid w:val="00CA7D82"/>
    <w:rsid w:val="00CA7FEF"/>
    <w:rsid w:val="00CB1768"/>
    <w:rsid w:val="00CC00CD"/>
    <w:rsid w:val="00CC1FBB"/>
    <w:rsid w:val="00CC22E3"/>
    <w:rsid w:val="00CC79DE"/>
    <w:rsid w:val="00CC7FF4"/>
    <w:rsid w:val="00CD0562"/>
    <w:rsid w:val="00CD10EE"/>
    <w:rsid w:val="00CD3ACB"/>
    <w:rsid w:val="00CD5C88"/>
    <w:rsid w:val="00CD6009"/>
    <w:rsid w:val="00CE11B1"/>
    <w:rsid w:val="00CE14B9"/>
    <w:rsid w:val="00CE1F6E"/>
    <w:rsid w:val="00CE352A"/>
    <w:rsid w:val="00CE3995"/>
    <w:rsid w:val="00CE675D"/>
    <w:rsid w:val="00CF10C1"/>
    <w:rsid w:val="00CF2489"/>
    <w:rsid w:val="00CF2BDE"/>
    <w:rsid w:val="00CF2E86"/>
    <w:rsid w:val="00CF3EC4"/>
    <w:rsid w:val="00CF415E"/>
    <w:rsid w:val="00CF482F"/>
    <w:rsid w:val="00CF4890"/>
    <w:rsid w:val="00CF54E6"/>
    <w:rsid w:val="00CF62EA"/>
    <w:rsid w:val="00D00015"/>
    <w:rsid w:val="00D10740"/>
    <w:rsid w:val="00D10C4B"/>
    <w:rsid w:val="00D10C4C"/>
    <w:rsid w:val="00D10E69"/>
    <w:rsid w:val="00D117C5"/>
    <w:rsid w:val="00D1627F"/>
    <w:rsid w:val="00D16E39"/>
    <w:rsid w:val="00D22239"/>
    <w:rsid w:val="00D2531F"/>
    <w:rsid w:val="00D259D7"/>
    <w:rsid w:val="00D25C34"/>
    <w:rsid w:val="00D309A0"/>
    <w:rsid w:val="00D31956"/>
    <w:rsid w:val="00D32AF5"/>
    <w:rsid w:val="00D34176"/>
    <w:rsid w:val="00D40843"/>
    <w:rsid w:val="00D41357"/>
    <w:rsid w:val="00D433FD"/>
    <w:rsid w:val="00D44C1E"/>
    <w:rsid w:val="00D45789"/>
    <w:rsid w:val="00D50CDE"/>
    <w:rsid w:val="00D51773"/>
    <w:rsid w:val="00D52F10"/>
    <w:rsid w:val="00D531FA"/>
    <w:rsid w:val="00D55602"/>
    <w:rsid w:val="00D60615"/>
    <w:rsid w:val="00D648B5"/>
    <w:rsid w:val="00D721FE"/>
    <w:rsid w:val="00D72E9D"/>
    <w:rsid w:val="00D73D97"/>
    <w:rsid w:val="00D73D9F"/>
    <w:rsid w:val="00D74CDA"/>
    <w:rsid w:val="00D75DF3"/>
    <w:rsid w:val="00D763D4"/>
    <w:rsid w:val="00D76F4F"/>
    <w:rsid w:val="00D77683"/>
    <w:rsid w:val="00D802C1"/>
    <w:rsid w:val="00D81907"/>
    <w:rsid w:val="00D82CE5"/>
    <w:rsid w:val="00D8775D"/>
    <w:rsid w:val="00D92575"/>
    <w:rsid w:val="00D97C64"/>
    <w:rsid w:val="00DA3E32"/>
    <w:rsid w:val="00DA4606"/>
    <w:rsid w:val="00DA5AB1"/>
    <w:rsid w:val="00DB36AB"/>
    <w:rsid w:val="00DB4C4A"/>
    <w:rsid w:val="00DB5657"/>
    <w:rsid w:val="00DC09FD"/>
    <w:rsid w:val="00DC2432"/>
    <w:rsid w:val="00DC5121"/>
    <w:rsid w:val="00DC5FAA"/>
    <w:rsid w:val="00DC62E5"/>
    <w:rsid w:val="00DD07F7"/>
    <w:rsid w:val="00DD20BA"/>
    <w:rsid w:val="00DD38D8"/>
    <w:rsid w:val="00DD4605"/>
    <w:rsid w:val="00DD735D"/>
    <w:rsid w:val="00DE208B"/>
    <w:rsid w:val="00DE3119"/>
    <w:rsid w:val="00DE60EA"/>
    <w:rsid w:val="00DE6CFD"/>
    <w:rsid w:val="00DF02DC"/>
    <w:rsid w:val="00DF05A6"/>
    <w:rsid w:val="00DF21D4"/>
    <w:rsid w:val="00DF236B"/>
    <w:rsid w:val="00DF248A"/>
    <w:rsid w:val="00DF2D13"/>
    <w:rsid w:val="00DF3046"/>
    <w:rsid w:val="00DF5076"/>
    <w:rsid w:val="00DF5488"/>
    <w:rsid w:val="00E03244"/>
    <w:rsid w:val="00E0587A"/>
    <w:rsid w:val="00E100EC"/>
    <w:rsid w:val="00E115B4"/>
    <w:rsid w:val="00E13AB8"/>
    <w:rsid w:val="00E17F6D"/>
    <w:rsid w:val="00E203DD"/>
    <w:rsid w:val="00E263C3"/>
    <w:rsid w:val="00E27716"/>
    <w:rsid w:val="00E27C85"/>
    <w:rsid w:val="00E315A2"/>
    <w:rsid w:val="00E318E0"/>
    <w:rsid w:val="00E33B62"/>
    <w:rsid w:val="00E357DC"/>
    <w:rsid w:val="00E412B7"/>
    <w:rsid w:val="00E429C9"/>
    <w:rsid w:val="00E44E00"/>
    <w:rsid w:val="00E461F1"/>
    <w:rsid w:val="00E46382"/>
    <w:rsid w:val="00E51329"/>
    <w:rsid w:val="00E51556"/>
    <w:rsid w:val="00E53964"/>
    <w:rsid w:val="00E554DC"/>
    <w:rsid w:val="00E57323"/>
    <w:rsid w:val="00E57B05"/>
    <w:rsid w:val="00E602F2"/>
    <w:rsid w:val="00E608C9"/>
    <w:rsid w:val="00E62A61"/>
    <w:rsid w:val="00E63AED"/>
    <w:rsid w:val="00E658C9"/>
    <w:rsid w:val="00E65F49"/>
    <w:rsid w:val="00E6610F"/>
    <w:rsid w:val="00E67BE3"/>
    <w:rsid w:val="00E7138C"/>
    <w:rsid w:val="00E73815"/>
    <w:rsid w:val="00E7595D"/>
    <w:rsid w:val="00E77706"/>
    <w:rsid w:val="00E80C82"/>
    <w:rsid w:val="00E855D9"/>
    <w:rsid w:val="00E903AB"/>
    <w:rsid w:val="00E92199"/>
    <w:rsid w:val="00E93948"/>
    <w:rsid w:val="00E9535F"/>
    <w:rsid w:val="00E95B00"/>
    <w:rsid w:val="00E96DEA"/>
    <w:rsid w:val="00E97CD5"/>
    <w:rsid w:val="00EA0711"/>
    <w:rsid w:val="00EA1C4C"/>
    <w:rsid w:val="00EA4E7D"/>
    <w:rsid w:val="00EA6CBF"/>
    <w:rsid w:val="00EA728D"/>
    <w:rsid w:val="00EA76D7"/>
    <w:rsid w:val="00EB0BBE"/>
    <w:rsid w:val="00EB5248"/>
    <w:rsid w:val="00EC7366"/>
    <w:rsid w:val="00EC7673"/>
    <w:rsid w:val="00ED1754"/>
    <w:rsid w:val="00ED305A"/>
    <w:rsid w:val="00ED676F"/>
    <w:rsid w:val="00ED718F"/>
    <w:rsid w:val="00ED7FE6"/>
    <w:rsid w:val="00EE2BD9"/>
    <w:rsid w:val="00EE7B12"/>
    <w:rsid w:val="00EF1C91"/>
    <w:rsid w:val="00EF5956"/>
    <w:rsid w:val="00EF7BAE"/>
    <w:rsid w:val="00F0190D"/>
    <w:rsid w:val="00F046A7"/>
    <w:rsid w:val="00F05293"/>
    <w:rsid w:val="00F06B82"/>
    <w:rsid w:val="00F070FE"/>
    <w:rsid w:val="00F10D45"/>
    <w:rsid w:val="00F13A3B"/>
    <w:rsid w:val="00F14031"/>
    <w:rsid w:val="00F157F7"/>
    <w:rsid w:val="00F163C8"/>
    <w:rsid w:val="00F22044"/>
    <w:rsid w:val="00F22827"/>
    <w:rsid w:val="00F30541"/>
    <w:rsid w:val="00F3057D"/>
    <w:rsid w:val="00F30772"/>
    <w:rsid w:val="00F33293"/>
    <w:rsid w:val="00F341A0"/>
    <w:rsid w:val="00F36A58"/>
    <w:rsid w:val="00F41499"/>
    <w:rsid w:val="00F4285A"/>
    <w:rsid w:val="00F444A4"/>
    <w:rsid w:val="00F45FE4"/>
    <w:rsid w:val="00F53A3E"/>
    <w:rsid w:val="00F55644"/>
    <w:rsid w:val="00F57426"/>
    <w:rsid w:val="00F6121F"/>
    <w:rsid w:val="00F61462"/>
    <w:rsid w:val="00F61483"/>
    <w:rsid w:val="00F617C8"/>
    <w:rsid w:val="00F61BBD"/>
    <w:rsid w:val="00F64252"/>
    <w:rsid w:val="00F65E96"/>
    <w:rsid w:val="00F6642D"/>
    <w:rsid w:val="00F67D6E"/>
    <w:rsid w:val="00F70C89"/>
    <w:rsid w:val="00F74D1D"/>
    <w:rsid w:val="00F75297"/>
    <w:rsid w:val="00F77B02"/>
    <w:rsid w:val="00F80272"/>
    <w:rsid w:val="00F83681"/>
    <w:rsid w:val="00F8436F"/>
    <w:rsid w:val="00F84899"/>
    <w:rsid w:val="00F84C2E"/>
    <w:rsid w:val="00F859F0"/>
    <w:rsid w:val="00F9050C"/>
    <w:rsid w:val="00F908C1"/>
    <w:rsid w:val="00F913B5"/>
    <w:rsid w:val="00F96760"/>
    <w:rsid w:val="00F97396"/>
    <w:rsid w:val="00F974BA"/>
    <w:rsid w:val="00FA128B"/>
    <w:rsid w:val="00FA1EB2"/>
    <w:rsid w:val="00FA2D53"/>
    <w:rsid w:val="00FA4AE4"/>
    <w:rsid w:val="00FA4D0C"/>
    <w:rsid w:val="00FA6E00"/>
    <w:rsid w:val="00FA7208"/>
    <w:rsid w:val="00FA7689"/>
    <w:rsid w:val="00FA7D4C"/>
    <w:rsid w:val="00FB2490"/>
    <w:rsid w:val="00FB289E"/>
    <w:rsid w:val="00FB46F8"/>
    <w:rsid w:val="00FB4DBF"/>
    <w:rsid w:val="00FB52A0"/>
    <w:rsid w:val="00FC0CF3"/>
    <w:rsid w:val="00FC180A"/>
    <w:rsid w:val="00FC4013"/>
    <w:rsid w:val="00FC750B"/>
    <w:rsid w:val="00FD22AE"/>
    <w:rsid w:val="00FD4DE7"/>
    <w:rsid w:val="00FD6AF5"/>
    <w:rsid w:val="00FD71FF"/>
    <w:rsid w:val="00FE141E"/>
    <w:rsid w:val="00FE1991"/>
    <w:rsid w:val="00FE2E07"/>
    <w:rsid w:val="00FE5042"/>
    <w:rsid w:val="00FE6583"/>
    <w:rsid w:val="00FE6C03"/>
    <w:rsid w:val="00FF3E2C"/>
    <w:rsid w:val="00FF4936"/>
    <w:rsid w:val="00FF4BB8"/>
    <w:rsid w:val="00FF4FDD"/>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 w:type="paragraph" w:customStyle="1" w:styleId="xmsonospacing">
    <w:name w:val="x_msonospacing"/>
    <w:basedOn w:val="Normal"/>
    <w:rsid w:val="00D55602"/>
    <w:pPr>
      <w:spacing w:before="100" w:beforeAutospacing="1" w:after="100" w:afterAutospacing="1"/>
    </w:pPr>
    <w:rPr>
      <w:rFonts w:ascii="Times New Roman" w:eastAsia="Times New Roman" w:hAnsi="Times New Roman" w:cs="Times New Roman"/>
      <w:szCs w:val="24"/>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1019573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020203048">
      <w:bodyDiv w:val="1"/>
      <w:marLeft w:val="0"/>
      <w:marRight w:val="0"/>
      <w:marTop w:val="0"/>
      <w:marBottom w:val="0"/>
      <w:divBdr>
        <w:top w:val="none" w:sz="0" w:space="0" w:color="auto"/>
        <w:left w:val="none" w:sz="0" w:space="0" w:color="auto"/>
        <w:bottom w:val="none" w:sz="0" w:space="0" w:color="auto"/>
        <w:right w:val="none" w:sz="0" w:space="0" w:color="auto"/>
      </w:divBdr>
    </w:div>
    <w:div w:id="1089036503">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25148738">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1807821409">
      <w:bodyDiv w:val="1"/>
      <w:marLeft w:val="0"/>
      <w:marRight w:val="0"/>
      <w:marTop w:val="0"/>
      <w:marBottom w:val="0"/>
      <w:divBdr>
        <w:top w:val="none" w:sz="0" w:space="0" w:color="auto"/>
        <w:left w:val="none" w:sz="0" w:space="0" w:color="auto"/>
        <w:bottom w:val="none" w:sz="0" w:space="0" w:color="auto"/>
        <w:right w:val="none" w:sz="0" w:space="0" w:color="auto"/>
      </w:divBdr>
    </w:div>
    <w:div w:id="1833525111">
      <w:bodyDiv w:val="1"/>
      <w:marLeft w:val="0"/>
      <w:marRight w:val="0"/>
      <w:marTop w:val="0"/>
      <w:marBottom w:val="0"/>
      <w:divBdr>
        <w:top w:val="none" w:sz="0" w:space="0" w:color="auto"/>
        <w:left w:val="none" w:sz="0" w:space="0" w:color="auto"/>
        <w:bottom w:val="none" w:sz="0" w:space="0" w:color="auto"/>
        <w:right w:val="none" w:sz="0" w:space="0" w:color="auto"/>
      </w:divBdr>
      <w:divsChild>
        <w:div w:id="186606538">
          <w:marLeft w:val="0"/>
          <w:marRight w:val="0"/>
          <w:marTop w:val="0"/>
          <w:marBottom w:val="0"/>
          <w:divBdr>
            <w:top w:val="none" w:sz="0" w:space="0" w:color="auto"/>
            <w:left w:val="none" w:sz="0" w:space="0" w:color="auto"/>
            <w:bottom w:val="none" w:sz="0" w:space="0" w:color="auto"/>
            <w:right w:val="none" w:sz="0" w:space="0" w:color="auto"/>
          </w:divBdr>
          <w:divsChild>
            <w:div w:id="1528372486">
              <w:marLeft w:val="0"/>
              <w:marRight w:val="0"/>
              <w:marTop w:val="0"/>
              <w:marBottom w:val="0"/>
              <w:divBdr>
                <w:top w:val="none" w:sz="0" w:space="0" w:color="auto"/>
                <w:left w:val="none" w:sz="0" w:space="0" w:color="auto"/>
                <w:bottom w:val="none" w:sz="0" w:space="0" w:color="auto"/>
                <w:right w:val="none" w:sz="0" w:space="0" w:color="auto"/>
              </w:divBdr>
              <w:divsChild>
                <w:div w:id="16120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8D8BA83-666D-4837-99E3-4F6E6880F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B946D-14BD-4417-BFCD-EA4303C022F6}">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125</TotalTime>
  <Pages>25</Pages>
  <Words>9617</Words>
  <Characters>52898</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Andrea Ramírez</cp:lastModifiedBy>
  <cp:revision>108</cp:revision>
  <dcterms:created xsi:type="dcterms:W3CDTF">2021-11-08T15:18:00Z</dcterms:created>
  <dcterms:modified xsi:type="dcterms:W3CDTF">2021-11-26T16:16:00Z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