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A32FFB" w:rsidRDefault="00BE1E33" w:rsidP="00A32FFB">
      <w:pPr>
        <w:spacing w:line="276" w:lineRule="auto"/>
        <w:jc w:val="right"/>
        <w:rPr>
          <w:rFonts w:ascii="Arial" w:hAnsi="Arial" w:cs="Arial"/>
          <w:bCs/>
          <w:sz w:val="22"/>
          <w:lang w:val="es-ES_tradnl" w:eastAsia="es-ES"/>
        </w:rPr>
      </w:pPr>
      <w:bookmarkStart w:id="0" w:name="_Hlk28946138"/>
      <w:bookmarkStart w:id="1" w:name="_Hlk29548183"/>
      <w:r w:rsidRPr="00A32FFB">
        <w:rPr>
          <w:rFonts w:ascii="Arial" w:hAnsi="Arial" w:cs="Arial"/>
          <w:bCs/>
          <w:sz w:val="22"/>
          <w:lang w:val="es-ES_tradnl" w:eastAsia="es-ES"/>
        </w:rPr>
        <w:t>CCE-DES-FM-17</w:t>
      </w:r>
    </w:p>
    <w:p w14:paraId="33812368" w14:textId="179C323F" w:rsidR="002039E8" w:rsidRDefault="002039E8" w:rsidP="00A32FFB">
      <w:pPr>
        <w:spacing w:line="276" w:lineRule="auto"/>
        <w:jc w:val="both"/>
        <w:rPr>
          <w:rFonts w:ascii="Arial" w:eastAsia="Calibri" w:hAnsi="Arial" w:cs="Arial"/>
          <w:b/>
          <w:sz w:val="20"/>
          <w:szCs w:val="20"/>
          <w:lang w:val="es-ES_tradnl"/>
        </w:rPr>
      </w:pPr>
    </w:p>
    <w:p w14:paraId="2A74BD1B" w14:textId="7D152D6A" w:rsidR="000C1BCA" w:rsidRDefault="008866F2" w:rsidP="000C1BCA">
      <w:pPr>
        <w:jc w:val="both"/>
        <w:rPr>
          <w:rFonts w:ascii="Arial" w:hAnsi="Arial" w:cs="Arial"/>
          <w:b/>
          <w:bCs/>
          <w:sz w:val="22"/>
        </w:rPr>
      </w:pPr>
      <w:r w:rsidRPr="008866F2">
        <w:rPr>
          <w:rFonts w:ascii="Arial" w:hAnsi="Arial" w:cs="Arial"/>
          <w:b/>
          <w:bCs/>
          <w:sz w:val="22"/>
        </w:rPr>
        <w:t xml:space="preserve">DECRETO 92 DE 2017 – Contratos del artículo 355 de la Constitución Política </w:t>
      </w:r>
    </w:p>
    <w:p w14:paraId="3BE5CEA1" w14:textId="77777777" w:rsidR="008866F2" w:rsidRPr="00EC54A4" w:rsidRDefault="008866F2" w:rsidP="000C1BCA">
      <w:pPr>
        <w:jc w:val="both"/>
        <w:rPr>
          <w:rFonts w:ascii="Arial" w:eastAsia="Calibri" w:hAnsi="Arial" w:cs="Arial"/>
          <w:sz w:val="20"/>
          <w:szCs w:val="20"/>
        </w:rPr>
      </w:pPr>
    </w:p>
    <w:p w14:paraId="787F0980" w14:textId="77777777" w:rsidR="003D5230" w:rsidRPr="003D5230" w:rsidRDefault="003D5230" w:rsidP="003D5230">
      <w:pPr>
        <w:jc w:val="both"/>
        <w:rPr>
          <w:rFonts w:ascii="Arial" w:eastAsia="Calibri" w:hAnsi="Arial" w:cs="Arial"/>
          <w:sz w:val="20"/>
          <w:szCs w:val="20"/>
          <w:lang w:val="es-CO"/>
        </w:rPr>
      </w:pPr>
      <w:r w:rsidRPr="003D5230">
        <w:rPr>
          <w:rFonts w:ascii="Arial" w:eastAsia="Calibri" w:hAnsi="Arial" w:cs="Arial"/>
          <w:sz w:val="20"/>
          <w:szCs w:val="20"/>
          <w:lang w:val="es-CO"/>
        </w:rPr>
        <w:t>El Decreto 92 de 2017 desarrolló los contratos previstos en el inciso segundo del artículo 355 de la Constitución Política, así como los convenios de asociación del artículo 96 de la Ley 489 de 1998.  Teniendo en cuenta la consulta planteada, el análisis en esta ocasión se centrará en los contratos del artículo 355 de la Constitución Política de 1991 reglamentados en el Decreto 92 de 2017.</w:t>
      </w:r>
    </w:p>
    <w:p w14:paraId="74C2515E" w14:textId="77777777" w:rsidR="003D5230" w:rsidRDefault="003D5230" w:rsidP="003D5230">
      <w:pPr>
        <w:jc w:val="both"/>
        <w:rPr>
          <w:rFonts w:ascii="Arial" w:eastAsia="Calibri" w:hAnsi="Arial" w:cs="Arial"/>
          <w:sz w:val="20"/>
          <w:szCs w:val="20"/>
          <w:lang w:val="es-CO"/>
        </w:rPr>
      </w:pPr>
    </w:p>
    <w:p w14:paraId="3C9C7B45" w14:textId="50FC291E" w:rsidR="003D5230" w:rsidRPr="003D5230" w:rsidRDefault="003D5230" w:rsidP="003D5230">
      <w:pPr>
        <w:jc w:val="both"/>
        <w:rPr>
          <w:rFonts w:ascii="Arial" w:eastAsia="Calibri" w:hAnsi="Arial" w:cs="Arial"/>
          <w:sz w:val="20"/>
          <w:szCs w:val="20"/>
          <w:lang w:val="es-CO"/>
        </w:rPr>
      </w:pPr>
      <w:r w:rsidRPr="003D5230">
        <w:rPr>
          <w:rFonts w:ascii="Arial" w:eastAsia="Calibri" w:hAnsi="Arial" w:cs="Arial"/>
          <w:sz w:val="20"/>
          <w:szCs w:val="20"/>
          <w:lang w:val="es-CO"/>
        </w:rPr>
        <w:t>El artículo 355 de la Constitución Política proscribe cualquier  tipo de donación por parte del Estado a personas de derecho privado, y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14:paraId="7017BE5A" w14:textId="5E3994D9" w:rsidR="00CD0C74" w:rsidRDefault="00CD0C74" w:rsidP="000C1BCA">
      <w:pPr>
        <w:jc w:val="both"/>
        <w:rPr>
          <w:rFonts w:ascii="Arial" w:eastAsia="Calibri" w:hAnsi="Arial" w:cs="Arial"/>
          <w:sz w:val="20"/>
          <w:szCs w:val="20"/>
        </w:rPr>
      </w:pPr>
    </w:p>
    <w:p w14:paraId="0697F51A" w14:textId="02ABC199" w:rsidR="000805C7" w:rsidRDefault="000805C7" w:rsidP="000805C7">
      <w:pPr>
        <w:jc w:val="both"/>
        <w:rPr>
          <w:rFonts w:ascii="Arial" w:hAnsi="Arial" w:cs="Arial"/>
          <w:b/>
          <w:bCs/>
          <w:sz w:val="22"/>
        </w:rPr>
      </w:pPr>
      <w:r w:rsidRPr="008866F2">
        <w:rPr>
          <w:rFonts w:ascii="Arial" w:hAnsi="Arial" w:cs="Arial"/>
          <w:b/>
          <w:bCs/>
          <w:sz w:val="22"/>
        </w:rPr>
        <w:t xml:space="preserve">DECRETO 92 DE 2017 – Contratos </w:t>
      </w:r>
      <w:r>
        <w:rPr>
          <w:rFonts w:ascii="Arial" w:hAnsi="Arial" w:cs="Arial"/>
          <w:b/>
          <w:bCs/>
          <w:sz w:val="22"/>
        </w:rPr>
        <w:t xml:space="preserve">de colaboración </w:t>
      </w:r>
      <w:r w:rsidRPr="008866F2">
        <w:rPr>
          <w:rFonts w:ascii="Arial" w:hAnsi="Arial" w:cs="Arial"/>
          <w:b/>
          <w:bCs/>
          <w:sz w:val="22"/>
        </w:rPr>
        <w:t xml:space="preserve">– </w:t>
      </w:r>
      <w:r>
        <w:rPr>
          <w:rFonts w:ascii="Arial" w:hAnsi="Arial" w:cs="Arial"/>
          <w:b/>
          <w:bCs/>
          <w:sz w:val="22"/>
        </w:rPr>
        <w:t>Autorización a representante legal</w:t>
      </w:r>
    </w:p>
    <w:p w14:paraId="0EA29E0C" w14:textId="77777777" w:rsidR="000805C7" w:rsidRPr="00EC54A4" w:rsidRDefault="000805C7" w:rsidP="000805C7">
      <w:pPr>
        <w:jc w:val="both"/>
        <w:rPr>
          <w:rFonts w:ascii="Arial" w:eastAsia="Calibri" w:hAnsi="Arial" w:cs="Arial"/>
          <w:sz w:val="20"/>
          <w:szCs w:val="20"/>
        </w:rPr>
      </w:pPr>
    </w:p>
    <w:p w14:paraId="783B7612" w14:textId="77777777" w:rsidR="003D5230" w:rsidRPr="00EC54A4" w:rsidRDefault="003D5230" w:rsidP="003D5230">
      <w:pPr>
        <w:jc w:val="both"/>
        <w:rPr>
          <w:rFonts w:ascii="Arial" w:eastAsia="Calibri" w:hAnsi="Arial" w:cs="Arial"/>
          <w:sz w:val="20"/>
          <w:szCs w:val="20"/>
        </w:rPr>
      </w:pPr>
      <w:r w:rsidRPr="008C0606">
        <w:rPr>
          <w:rFonts w:ascii="Arial" w:eastAsia="Calibri" w:hAnsi="Arial" w:cs="Arial"/>
          <w:sz w:val="20"/>
          <w:szCs w:val="20"/>
        </w:rPr>
        <w:t>La  autorización previa y expresa del representante legal para cada contrato en particular que la Entidad Estatal planee suscribir bajo esta modalidad, atiende a la importancia que implica la ejecución de un programa previsto en el Plan de Desarrollo para cualquier Entidad Estatal, lo cual, también define el motivo por el cual la Entidad Estatal debe utilizar el procedimiento especial del artículo 355 de la Constitución Política y no el Sistema de Compra Pública, independientemente de si existe solo una ESAL que pueda desarrollar el objeto del proceso o si existen varias ESAL que lo pueden hacer,  indicando la necesidad de adelantar un proceso competitivo entre ellas, , por tal razón, dicha autorización debe acreditarse en los Documentos del Proceso</w:t>
      </w:r>
      <w:r w:rsidRPr="00EC54A4">
        <w:rPr>
          <w:rFonts w:ascii="Arial" w:eastAsia="Calibri" w:hAnsi="Arial" w:cs="Arial"/>
          <w:sz w:val="20"/>
          <w:szCs w:val="20"/>
        </w:rPr>
        <w:t>.</w:t>
      </w:r>
    </w:p>
    <w:p w14:paraId="53B5697E" w14:textId="77777777" w:rsidR="000805C7" w:rsidRPr="00EC54A4" w:rsidRDefault="000805C7" w:rsidP="000805C7">
      <w:pPr>
        <w:jc w:val="both"/>
        <w:rPr>
          <w:rFonts w:ascii="Arial" w:eastAsia="Calibri" w:hAnsi="Arial" w:cs="Arial"/>
          <w:sz w:val="20"/>
          <w:szCs w:val="20"/>
        </w:rPr>
      </w:pPr>
    </w:p>
    <w:p w14:paraId="25B70E2D" w14:textId="331C445E" w:rsidR="00CD0C74" w:rsidRDefault="003375DE" w:rsidP="00CD0C74">
      <w:pPr>
        <w:jc w:val="both"/>
        <w:rPr>
          <w:rFonts w:ascii="Arial" w:eastAsia="Calibri" w:hAnsi="Arial" w:cs="Arial"/>
          <w:b/>
          <w:sz w:val="22"/>
          <w:lang w:val="es-ES_tradnl"/>
        </w:rPr>
      </w:pPr>
      <w:r w:rsidRPr="003375DE">
        <w:rPr>
          <w:rFonts w:ascii="Arial" w:eastAsia="Calibri" w:hAnsi="Arial" w:cs="Arial"/>
          <w:b/>
          <w:sz w:val="22"/>
          <w:lang w:val="es-ES_tradnl"/>
        </w:rPr>
        <w:t xml:space="preserve">CONTRATOS DE COLABORACIÓN – Decreto 92 de 2017 </w:t>
      </w:r>
      <w:r w:rsidR="00250E6E">
        <w:rPr>
          <w:rFonts w:ascii="Arial" w:eastAsia="Calibri" w:hAnsi="Arial" w:cs="Arial"/>
          <w:b/>
          <w:sz w:val="22"/>
          <w:lang w:val="es-ES_tradnl"/>
        </w:rPr>
        <w:t>–</w:t>
      </w:r>
      <w:r w:rsidRPr="003375DE">
        <w:rPr>
          <w:rFonts w:ascii="Arial" w:eastAsia="Calibri" w:hAnsi="Arial" w:cs="Arial"/>
          <w:b/>
          <w:sz w:val="22"/>
          <w:lang w:val="es-ES_tradnl"/>
        </w:rPr>
        <w:t xml:space="preserve"> Suspensión provisional de algunos artículos </w:t>
      </w:r>
      <w:r w:rsidR="00250E6E">
        <w:rPr>
          <w:rFonts w:ascii="Arial" w:eastAsia="Calibri" w:hAnsi="Arial" w:cs="Arial"/>
          <w:b/>
          <w:sz w:val="22"/>
          <w:lang w:val="es-ES_tradnl"/>
        </w:rPr>
        <w:t>–</w:t>
      </w:r>
      <w:r w:rsidRPr="003375DE">
        <w:rPr>
          <w:rFonts w:ascii="Arial" w:eastAsia="Calibri" w:hAnsi="Arial" w:cs="Arial"/>
          <w:b/>
          <w:sz w:val="22"/>
          <w:lang w:val="es-ES_tradnl"/>
        </w:rPr>
        <w:t xml:space="preserve"> Aplicación actual</w:t>
      </w:r>
    </w:p>
    <w:p w14:paraId="5297B425" w14:textId="77777777" w:rsidR="000F4923" w:rsidRPr="003362D7" w:rsidRDefault="000F4923" w:rsidP="00CD0C74">
      <w:pPr>
        <w:jc w:val="both"/>
        <w:rPr>
          <w:rFonts w:ascii="Arial" w:eastAsia="Calibri" w:hAnsi="Arial" w:cs="Arial"/>
          <w:sz w:val="20"/>
          <w:szCs w:val="20"/>
        </w:rPr>
      </w:pPr>
    </w:p>
    <w:p w14:paraId="70559F1A" w14:textId="316158C6" w:rsidR="000F4923" w:rsidRPr="000F4923" w:rsidRDefault="000F4923" w:rsidP="000F4923">
      <w:pPr>
        <w:jc w:val="both"/>
        <w:rPr>
          <w:rFonts w:ascii="Arial" w:eastAsia="Calibri" w:hAnsi="Arial" w:cs="Arial"/>
          <w:sz w:val="20"/>
          <w:szCs w:val="20"/>
        </w:rPr>
      </w:pPr>
      <w:r w:rsidRPr="000F4923">
        <w:rPr>
          <w:rFonts w:ascii="Arial" w:eastAsia="Calibri" w:hAnsi="Arial" w:cs="Arial"/>
          <w:sz w:val="20"/>
          <w:szCs w:val="20"/>
        </w:rPr>
        <w:t xml:space="preserve">De conformidad con el auto </w:t>
      </w:r>
      <w:r w:rsidR="00584C2A">
        <w:rPr>
          <w:rFonts w:ascii="Arial" w:eastAsia="Calibri" w:hAnsi="Arial" w:cs="Arial"/>
          <w:sz w:val="20"/>
          <w:szCs w:val="20"/>
        </w:rPr>
        <w:t>d</w:t>
      </w:r>
      <w:r w:rsidRPr="000F4923">
        <w:rPr>
          <w:rFonts w:ascii="Arial" w:eastAsia="Calibri" w:hAnsi="Arial" w:cs="Arial"/>
          <w:sz w:val="20"/>
          <w:szCs w:val="20"/>
        </w:rPr>
        <w:t>e suspensión provisional del 6 de agosto de 2019, emitido por el Consejo de Estado, la contratación con entidades sin ánimo de lucro se sigue rigiendo por el Decreto 92 de 2017, salvo lo que fue objeto de suspensión provisional, es decir, el segundo inciso del artículo 1; los literales a y c del artículo 2; el quinto inciso del artículo 2; el segundo inciso del artículo 3 y el inciso final del artículo 4.</w:t>
      </w:r>
    </w:p>
    <w:p w14:paraId="1FC5A98D" w14:textId="77777777" w:rsidR="000F4923" w:rsidRPr="000F4923" w:rsidRDefault="000F4923" w:rsidP="000F4923">
      <w:pPr>
        <w:jc w:val="both"/>
        <w:rPr>
          <w:rFonts w:ascii="Arial" w:eastAsia="Calibri" w:hAnsi="Arial" w:cs="Arial"/>
          <w:sz w:val="20"/>
          <w:szCs w:val="20"/>
        </w:rPr>
      </w:pPr>
    </w:p>
    <w:p w14:paraId="207EA3F7" w14:textId="7E9766D6" w:rsidR="000C1BCA" w:rsidRPr="003362D7" w:rsidRDefault="000F4923" w:rsidP="000F4923">
      <w:pPr>
        <w:jc w:val="both"/>
        <w:rPr>
          <w:rFonts w:ascii="Arial" w:eastAsia="Calibri" w:hAnsi="Arial" w:cs="Arial"/>
          <w:sz w:val="20"/>
          <w:szCs w:val="20"/>
        </w:rPr>
      </w:pPr>
      <w:r w:rsidRPr="000F4923">
        <w:rPr>
          <w:rFonts w:ascii="Arial" w:eastAsia="Calibri" w:hAnsi="Arial" w:cs="Arial"/>
          <w:sz w:val="20"/>
          <w:szCs w:val="20"/>
        </w:rPr>
        <w:t xml:space="preserve">Por lo tanto, las entidades públicas que desean celebrar contratos de interés público, en los términos del artículo 355 de la Constitución Política, deberán contratar con ESAL de reconocida idoneidad, teniendo en cuenta las siguientes características del proceso: i) no se debe condicionar el proceso de contratación a la inexistencia de oferta en el mercado de bienes y servicios; ii) tampoco debe condicionar a que la contratación con las ESAL garantice la optimización de los recursos públicos en términos de eficiencia, eficacia, economía y manejo del riesgo; iii) el objeto del contrato debe estar acorde con el Plan Nacional o Seccional de Desarrollo y no necesariamente estar previstos directamente en ellos;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v) el contrato no puede establecer una relación conmutativa, en la cual, haya una contraprestación directa a favor de la entidad, ni </w:t>
      </w:r>
      <w:r w:rsidRPr="000F4923">
        <w:rPr>
          <w:rFonts w:ascii="Arial" w:eastAsia="Calibri" w:hAnsi="Arial" w:cs="Arial"/>
          <w:sz w:val="20"/>
          <w:szCs w:val="20"/>
        </w:rPr>
        <w:lastRenderedPageBreak/>
        <w:t>instrucciones precisas dadas por esta al contratista para cumplir con el objeto del contrato y vi) el representante legal debe autorizar de manera previa y expresa la contratación con ESAL a través del procedimiento especial establecido en el Decreto 92 de 2007, y acreditar tal circunstancia en los Documentos del Proceso.</w:t>
      </w:r>
    </w:p>
    <w:p w14:paraId="4DBD8B90" w14:textId="70CDC953" w:rsidR="00411B67" w:rsidRPr="000805C7" w:rsidRDefault="00411B67">
      <w:pPr>
        <w:spacing w:after="160" w:line="259" w:lineRule="auto"/>
        <w:rPr>
          <w:rFonts w:ascii="Arial" w:hAnsi="Arial" w:cs="Arial"/>
          <w:b/>
          <w:bCs/>
          <w:sz w:val="22"/>
          <w:lang w:val="es-ES_tradnl"/>
        </w:rPr>
      </w:pPr>
    </w:p>
    <w:p w14:paraId="08589637" w14:textId="77777777" w:rsidR="00A81952" w:rsidRDefault="00A81952" w:rsidP="00A32FFB">
      <w:pPr>
        <w:tabs>
          <w:tab w:val="left" w:pos="709"/>
        </w:tabs>
        <w:spacing w:line="276" w:lineRule="auto"/>
        <w:jc w:val="right"/>
        <w:rPr>
          <w:rFonts w:ascii="Arial" w:hAnsi="Arial" w:cs="Arial"/>
          <w:b/>
          <w:bCs/>
          <w:sz w:val="16"/>
          <w:szCs w:val="16"/>
          <w:lang w:val="es-CO"/>
        </w:rPr>
      </w:pPr>
    </w:p>
    <w:p w14:paraId="6B52F29B" w14:textId="77777777" w:rsidR="00A81952" w:rsidRDefault="00A81952" w:rsidP="00A32FFB">
      <w:pPr>
        <w:tabs>
          <w:tab w:val="left" w:pos="709"/>
        </w:tabs>
        <w:spacing w:line="276" w:lineRule="auto"/>
        <w:jc w:val="right"/>
        <w:rPr>
          <w:rFonts w:ascii="Arial" w:hAnsi="Arial" w:cs="Arial"/>
          <w:b/>
          <w:bCs/>
          <w:sz w:val="16"/>
          <w:szCs w:val="16"/>
          <w:lang w:val="es-CO"/>
        </w:rPr>
      </w:pPr>
    </w:p>
    <w:p w14:paraId="49420730" w14:textId="77777777" w:rsidR="000805C7" w:rsidRDefault="000805C7">
      <w:pPr>
        <w:spacing w:after="160" w:line="259" w:lineRule="auto"/>
        <w:rPr>
          <w:rFonts w:ascii="Arial" w:hAnsi="Arial" w:cs="Arial"/>
          <w:b/>
          <w:bCs/>
          <w:sz w:val="16"/>
          <w:szCs w:val="16"/>
          <w:lang w:val="es-CO"/>
        </w:rPr>
      </w:pPr>
      <w:r>
        <w:rPr>
          <w:rFonts w:ascii="Arial" w:hAnsi="Arial" w:cs="Arial"/>
          <w:b/>
          <w:bCs/>
          <w:sz w:val="16"/>
          <w:szCs w:val="16"/>
          <w:lang w:val="es-CO"/>
        </w:rPr>
        <w:br w:type="page"/>
      </w:r>
    </w:p>
    <w:p w14:paraId="6943051C" w14:textId="602315EB" w:rsidR="000805C7" w:rsidRDefault="008B147A" w:rsidP="00A32FFB">
      <w:pPr>
        <w:tabs>
          <w:tab w:val="left" w:pos="709"/>
        </w:tabs>
        <w:spacing w:line="276" w:lineRule="auto"/>
        <w:jc w:val="right"/>
        <w:rPr>
          <w:rFonts w:ascii="Arial" w:hAnsi="Arial" w:cs="Arial"/>
          <w:b/>
          <w:bCs/>
          <w:sz w:val="16"/>
          <w:szCs w:val="16"/>
          <w:lang w:val="es-CO"/>
        </w:rPr>
      </w:pPr>
      <w:r>
        <w:rPr>
          <w:rFonts w:ascii="Arial" w:hAnsi="Arial" w:cs="Arial"/>
          <w:b/>
          <w:bCs/>
          <w:noProof/>
          <w:sz w:val="16"/>
          <w:szCs w:val="16"/>
          <w:lang w:val="es-CO"/>
        </w:rPr>
        <w:lastRenderedPageBreak/>
        <w:drawing>
          <wp:anchor distT="0" distB="0" distL="114300" distR="114300" simplePos="0" relativeHeight="251660288" behindDoc="1" locked="0" layoutInCell="1" allowOverlap="1" wp14:anchorId="3D0CD234" wp14:editId="248318FC">
            <wp:simplePos x="0" y="0"/>
            <wp:positionH relativeFrom="column">
              <wp:posOffset>2916368</wp:posOffset>
            </wp:positionH>
            <wp:positionV relativeFrom="paragraph">
              <wp:posOffset>-756066</wp:posOffset>
            </wp:positionV>
            <wp:extent cx="2895600" cy="850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895600" cy="850900"/>
                    </a:xfrm>
                    <a:prstGeom prst="rect">
                      <a:avLst/>
                    </a:prstGeom>
                  </pic:spPr>
                </pic:pic>
              </a:graphicData>
            </a:graphic>
            <wp14:sizeRelH relativeFrom="page">
              <wp14:pctWidth>0</wp14:pctWidth>
            </wp14:sizeRelH>
            <wp14:sizeRelV relativeFrom="page">
              <wp14:pctHeight>0</wp14:pctHeight>
            </wp14:sizeRelV>
          </wp:anchor>
        </w:drawing>
      </w:r>
    </w:p>
    <w:p w14:paraId="6EDECE02" w14:textId="2B39EAC0" w:rsidR="00E35B0E" w:rsidRPr="00A32FFB" w:rsidRDefault="00E35B0E" w:rsidP="00A32FFB">
      <w:pPr>
        <w:spacing w:line="276" w:lineRule="auto"/>
        <w:outlineLvl w:val="0"/>
        <w:rPr>
          <w:rFonts w:ascii="Arial" w:hAnsi="Arial" w:cs="Arial"/>
          <w:sz w:val="22"/>
          <w:lang w:val="es-CO"/>
        </w:rPr>
      </w:pPr>
    </w:p>
    <w:p w14:paraId="3DE0250D" w14:textId="77777777" w:rsidR="00113AD4" w:rsidRPr="00A32FFB" w:rsidRDefault="00113AD4" w:rsidP="00A32FFB">
      <w:pPr>
        <w:spacing w:line="276" w:lineRule="auto"/>
        <w:rPr>
          <w:rFonts w:ascii="Arial" w:hAnsi="Arial" w:cs="Arial"/>
          <w:sz w:val="22"/>
        </w:rPr>
      </w:pPr>
    </w:p>
    <w:p w14:paraId="02E55ABE" w14:textId="28E6A980" w:rsidR="00514D39" w:rsidRPr="008B147A" w:rsidRDefault="008B147A" w:rsidP="008B147A">
      <w:pPr>
        <w:pStyle w:val="NormalWeb"/>
      </w:pPr>
      <w:proofErr w:type="spellStart"/>
      <w:r>
        <w:rPr>
          <w:rFonts w:ascii="ArialMT" w:hAnsi="ArialMT"/>
          <w:color w:val="4C4C4C"/>
          <w:sz w:val="22"/>
          <w:szCs w:val="22"/>
        </w:rPr>
        <w:t>Bogota</w:t>
      </w:r>
      <w:proofErr w:type="spellEnd"/>
      <w:r>
        <w:rPr>
          <w:rFonts w:ascii="ArialMT" w:hAnsi="ArialMT"/>
          <w:color w:val="4C4C4C"/>
          <w:sz w:val="22"/>
          <w:szCs w:val="22"/>
        </w:rPr>
        <w:t xml:space="preserve">́, 29 Octubre 2021 </w:t>
      </w:r>
    </w:p>
    <w:p w14:paraId="2FB95CBC" w14:textId="77777777" w:rsidR="00A81952" w:rsidRPr="00B86532" w:rsidRDefault="00A81952" w:rsidP="008B147A">
      <w:pPr>
        <w:spacing w:line="276" w:lineRule="auto"/>
        <w:jc w:val="center"/>
        <w:rPr>
          <w:rFonts w:ascii="Arial" w:hAnsi="Arial" w:cs="Arial"/>
          <w:b/>
        </w:rPr>
      </w:pPr>
    </w:p>
    <w:p w14:paraId="2F155547" w14:textId="77777777" w:rsidR="00BA292F" w:rsidRPr="00882568" w:rsidRDefault="00BA292F" w:rsidP="00BA292F">
      <w:pPr>
        <w:spacing w:line="276" w:lineRule="auto"/>
        <w:jc w:val="both"/>
        <w:rPr>
          <w:rFonts w:ascii="Arial" w:eastAsia="Calibri" w:hAnsi="Arial" w:cs="Arial"/>
          <w:sz w:val="22"/>
          <w:lang w:val="es-ES"/>
        </w:rPr>
      </w:pPr>
      <w:r w:rsidRPr="00882568">
        <w:rPr>
          <w:rFonts w:ascii="Arial" w:eastAsia="Calibri" w:hAnsi="Arial" w:cs="Arial"/>
          <w:sz w:val="22"/>
          <w:lang w:val="es-ES"/>
        </w:rPr>
        <w:t>Señor</w:t>
      </w:r>
    </w:p>
    <w:p w14:paraId="60754DC5" w14:textId="77777777" w:rsidR="00BA292F" w:rsidRPr="00882568" w:rsidRDefault="00BA292F" w:rsidP="00BA292F">
      <w:pPr>
        <w:spacing w:line="276" w:lineRule="auto"/>
        <w:jc w:val="both"/>
        <w:rPr>
          <w:rFonts w:ascii="Arial" w:eastAsia="Calibri" w:hAnsi="Arial" w:cs="Arial"/>
          <w:b/>
          <w:bCs/>
          <w:sz w:val="22"/>
          <w:lang w:val="es-ES"/>
        </w:rPr>
      </w:pPr>
      <w:r w:rsidRPr="00882568">
        <w:rPr>
          <w:rFonts w:ascii="Arial" w:eastAsia="Calibri" w:hAnsi="Arial" w:cs="Arial"/>
          <w:b/>
          <w:bCs/>
          <w:sz w:val="22"/>
          <w:lang w:val="es-ES"/>
        </w:rPr>
        <w:t>ALEX ALBERTO ESTUPIÑAN GONZÁLEZ</w:t>
      </w:r>
    </w:p>
    <w:p w14:paraId="0973DE01" w14:textId="0F357BA0" w:rsidR="00E35B0E" w:rsidRPr="00882568" w:rsidRDefault="00BA292F" w:rsidP="00BA292F">
      <w:pPr>
        <w:spacing w:line="276" w:lineRule="auto"/>
        <w:jc w:val="both"/>
        <w:rPr>
          <w:rFonts w:ascii="Arial" w:eastAsia="Calibri" w:hAnsi="Arial" w:cs="Arial"/>
          <w:b/>
          <w:bCs/>
          <w:sz w:val="22"/>
          <w:lang w:val="es-ES"/>
        </w:rPr>
      </w:pPr>
      <w:r w:rsidRPr="00882568">
        <w:rPr>
          <w:rFonts w:ascii="Arial" w:eastAsia="Calibri" w:hAnsi="Arial" w:cs="Arial"/>
          <w:b/>
          <w:bCs/>
          <w:sz w:val="22"/>
          <w:lang w:val="es-ES"/>
        </w:rPr>
        <w:t>BOGOTÁ D.C.</w:t>
      </w:r>
    </w:p>
    <w:p w14:paraId="3D1882E9" w14:textId="77777777" w:rsidR="00E35B0E" w:rsidRPr="00882568" w:rsidRDefault="00E35B0E" w:rsidP="00A32FFB">
      <w:pPr>
        <w:spacing w:line="276" w:lineRule="auto"/>
        <w:jc w:val="both"/>
        <w:rPr>
          <w:rFonts w:ascii="Arial" w:eastAsia="Calibri" w:hAnsi="Arial" w:cs="Arial"/>
          <w:sz w:val="22"/>
          <w:lang w:val="es-ES"/>
        </w:rPr>
      </w:pPr>
    </w:p>
    <w:p w14:paraId="70630779" w14:textId="0F318CD6" w:rsidR="00E35B0E" w:rsidRPr="00882568" w:rsidRDefault="00E35B0E" w:rsidP="00A32FFB">
      <w:pPr>
        <w:spacing w:line="276" w:lineRule="auto"/>
        <w:ind w:firstLine="2694"/>
        <w:jc w:val="both"/>
        <w:outlineLvl w:val="0"/>
        <w:rPr>
          <w:rFonts w:ascii="Arial" w:eastAsia="Calibri" w:hAnsi="Arial" w:cs="Arial"/>
          <w:b/>
          <w:sz w:val="22"/>
          <w:lang w:val="es-ES"/>
        </w:rPr>
      </w:pPr>
      <w:r w:rsidRPr="00882568">
        <w:rPr>
          <w:rFonts w:ascii="Arial" w:eastAsia="Calibri" w:hAnsi="Arial" w:cs="Arial"/>
          <w:b/>
          <w:sz w:val="22"/>
          <w:lang w:val="es-ES"/>
        </w:rPr>
        <w:t xml:space="preserve">Concepto C – </w:t>
      </w:r>
      <w:r w:rsidR="00EB6666" w:rsidRPr="00882568">
        <w:rPr>
          <w:rFonts w:ascii="Arial" w:eastAsia="Calibri" w:hAnsi="Arial" w:cs="Arial"/>
          <w:b/>
          <w:sz w:val="22"/>
          <w:lang w:val="es-ES"/>
        </w:rPr>
        <w:t>609</w:t>
      </w:r>
      <w:r w:rsidRPr="00882568">
        <w:rPr>
          <w:rFonts w:ascii="Arial" w:eastAsia="Calibri" w:hAnsi="Arial" w:cs="Arial"/>
          <w:b/>
          <w:sz w:val="22"/>
          <w:lang w:val="es-ES"/>
        </w:rPr>
        <w:t xml:space="preserve"> de 2021</w:t>
      </w:r>
    </w:p>
    <w:p w14:paraId="234727AD" w14:textId="77777777" w:rsidR="00BE1E33" w:rsidRPr="00882568"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CB2DA9" w:rsidRPr="00882568" w14:paraId="2553E4F3" w14:textId="77777777" w:rsidTr="00F41276">
        <w:tc>
          <w:tcPr>
            <w:tcW w:w="3261" w:type="dxa"/>
            <w:hideMark/>
          </w:tcPr>
          <w:p w14:paraId="7BC9E971" w14:textId="77777777" w:rsidR="00CB2DA9" w:rsidRPr="00882568" w:rsidRDefault="00CB2DA9" w:rsidP="00CB2DA9">
            <w:pPr>
              <w:spacing w:line="276" w:lineRule="auto"/>
              <w:rPr>
                <w:rFonts w:ascii="Arial" w:eastAsia="Calibri" w:hAnsi="Arial" w:cs="Arial"/>
                <w:sz w:val="22"/>
                <w:lang w:val="es-ES_tradnl"/>
              </w:rPr>
            </w:pPr>
            <w:r w:rsidRPr="00882568">
              <w:rPr>
                <w:rFonts w:ascii="Arial" w:eastAsia="Calibri" w:hAnsi="Arial" w:cs="Arial"/>
                <w:b/>
                <w:sz w:val="22"/>
                <w:lang w:val="es-ES_tradnl"/>
              </w:rPr>
              <w:t>Temas:</w:t>
            </w:r>
            <w:r w:rsidRPr="00882568">
              <w:rPr>
                <w:rFonts w:ascii="Arial" w:eastAsia="Calibri" w:hAnsi="Arial" w:cs="Arial"/>
                <w:sz w:val="22"/>
                <w:lang w:val="es-ES_tradnl"/>
              </w:rPr>
              <w:t xml:space="preserve">           </w:t>
            </w:r>
          </w:p>
          <w:p w14:paraId="0C0D8CD7" w14:textId="77777777" w:rsidR="00CB2DA9" w:rsidRPr="00882568" w:rsidRDefault="00CB2DA9" w:rsidP="00CB2DA9">
            <w:pPr>
              <w:spacing w:line="276" w:lineRule="auto"/>
              <w:rPr>
                <w:rFonts w:ascii="Arial" w:eastAsia="Calibri" w:hAnsi="Arial" w:cs="Arial"/>
                <w:sz w:val="22"/>
                <w:lang w:val="es-ES_tradnl"/>
              </w:rPr>
            </w:pPr>
            <w:r w:rsidRPr="00882568">
              <w:rPr>
                <w:rFonts w:ascii="Arial" w:eastAsia="Calibri" w:hAnsi="Arial" w:cs="Arial"/>
                <w:sz w:val="22"/>
                <w:lang w:val="es-ES_tradnl"/>
              </w:rPr>
              <w:t xml:space="preserve">                           </w:t>
            </w:r>
          </w:p>
        </w:tc>
        <w:tc>
          <w:tcPr>
            <w:tcW w:w="5665" w:type="dxa"/>
            <w:hideMark/>
          </w:tcPr>
          <w:p w14:paraId="0F35FDBD" w14:textId="307C2BAD" w:rsidR="00CB2DA9" w:rsidRPr="00882568" w:rsidRDefault="00CB2DA9" w:rsidP="00CB2DA9">
            <w:pPr>
              <w:spacing w:line="276" w:lineRule="auto"/>
              <w:jc w:val="both"/>
              <w:rPr>
                <w:rFonts w:ascii="Arial" w:eastAsia="Calibri" w:hAnsi="Arial" w:cs="Arial"/>
                <w:sz w:val="22"/>
                <w:lang w:val="es-ES_tradnl"/>
              </w:rPr>
            </w:pPr>
            <w:r w:rsidRPr="00882568">
              <w:rPr>
                <w:rFonts w:ascii="Arial" w:eastAsia="Calibri" w:hAnsi="Arial" w:cs="Arial"/>
                <w:bCs/>
                <w:sz w:val="22"/>
              </w:rPr>
              <w:t>DECRETO 92 DE 2017 – Contratos del artículo 355 de la Constitución Política /</w:t>
            </w:r>
            <w:r w:rsidR="00BC52AE" w:rsidRPr="00882568">
              <w:rPr>
                <w:rFonts w:ascii="Arial" w:eastAsia="Calibri" w:hAnsi="Arial" w:cs="Arial"/>
                <w:bCs/>
                <w:sz w:val="22"/>
              </w:rPr>
              <w:t xml:space="preserve"> DECRETO 92 DE 2017 – Contratos de colaboración – Autorización a representante legal /</w:t>
            </w:r>
            <w:r w:rsidRPr="00882568">
              <w:rPr>
                <w:rFonts w:ascii="Arial" w:eastAsia="Calibri" w:hAnsi="Arial" w:cs="Arial"/>
                <w:bCs/>
                <w:sz w:val="22"/>
              </w:rPr>
              <w:t xml:space="preserve"> CONTRATOS DE COLABORACIÓN –- Decreto 92 de 2017 - Suspensión provisional de algunos artículos - Aplicación actual</w:t>
            </w:r>
          </w:p>
        </w:tc>
      </w:tr>
      <w:tr w:rsidR="00CB2DA9" w:rsidRPr="00882568" w14:paraId="20F2A3B6" w14:textId="77777777" w:rsidTr="00F41276">
        <w:tc>
          <w:tcPr>
            <w:tcW w:w="3261" w:type="dxa"/>
          </w:tcPr>
          <w:p w14:paraId="1E82F4FA" w14:textId="64FF75E0" w:rsidR="00CB2DA9" w:rsidRPr="00882568" w:rsidRDefault="00CB2DA9" w:rsidP="00CB2DA9">
            <w:pPr>
              <w:spacing w:before="120" w:line="276" w:lineRule="auto"/>
              <w:rPr>
                <w:rFonts w:ascii="Arial" w:eastAsia="Calibri" w:hAnsi="Arial" w:cs="Arial"/>
                <w:b/>
                <w:sz w:val="22"/>
                <w:lang w:val="es-ES_tradnl"/>
              </w:rPr>
            </w:pPr>
            <w:r w:rsidRPr="00882568">
              <w:rPr>
                <w:rFonts w:ascii="Arial" w:eastAsia="Calibri" w:hAnsi="Arial" w:cs="Arial"/>
                <w:b/>
                <w:sz w:val="22"/>
                <w:lang w:val="es-ES_tradnl"/>
              </w:rPr>
              <w:t xml:space="preserve"> Radicación:</w:t>
            </w:r>
            <w:r w:rsidRPr="00882568">
              <w:rPr>
                <w:rFonts w:ascii="Arial" w:eastAsia="Calibri" w:hAnsi="Arial" w:cs="Arial"/>
                <w:sz w:val="22"/>
                <w:lang w:val="es-ES_tradnl"/>
              </w:rPr>
              <w:t xml:space="preserve">                              </w:t>
            </w:r>
          </w:p>
        </w:tc>
        <w:tc>
          <w:tcPr>
            <w:tcW w:w="5665" w:type="dxa"/>
          </w:tcPr>
          <w:p w14:paraId="20FCE53A" w14:textId="25C05B17" w:rsidR="00CB2DA9" w:rsidRPr="00882568" w:rsidRDefault="00CB2DA9" w:rsidP="00CB2DA9">
            <w:pPr>
              <w:spacing w:before="120" w:line="276" w:lineRule="auto"/>
              <w:jc w:val="both"/>
              <w:rPr>
                <w:rFonts w:ascii="Arial" w:eastAsia="Calibri" w:hAnsi="Arial" w:cs="Arial"/>
                <w:sz w:val="22"/>
                <w:lang w:val="es-ES_tradnl"/>
              </w:rPr>
            </w:pPr>
            <w:r w:rsidRPr="00882568">
              <w:rPr>
                <w:rFonts w:ascii="Arial" w:eastAsia="Calibri" w:hAnsi="Arial" w:cs="Arial"/>
                <w:sz w:val="22"/>
                <w:lang w:val="es-ES_tradnl"/>
              </w:rPr>
              <w:t xml:space="preserve">Respuesta a consulta </w:t>
            </w:r>
            <w:r w:rsidR="00DC7810" w:rsidRPr="00882568">
              <w:rPr>
                <w:rFonts w:ascii="Arial" w:eastAsia="Calibri" w:hAnsi="Arial" w:cs="Arial"/>
                <w:sz w:val="22"/>
                <w:lang w:val="es-ES_tradnl"/>
              </w:rPr>
              <w:t>P20210827007760</w:t>
            </w:r>
            <w:r w:rsidRPr="00882568">
              <w:rPr>
                <w:rFonts w:ascii="Arial" w:eastAsia="Calibri" w:hAnsi="Arial" w:cs="Arial"/>
                <w:sz w:val="22"/>
                <w:lang w:val="es-ES_tradnl"/>
              </w:rPr>
              <w:t>.</w:t>
            </w:r>
          </w:p>
        </w:tc>
      </w:tr>
      <w:tr w:rsidR="00CB2DA9" w:rsidRPr="00882568" w14:paraId="27C2F130" w14:textId="77777777" w:rsidTr="00F41276">
        <w:tc>
          <w:tcPr>
            <w:tcW w:w="3261" w:type="dxa"/>
          </w:tcPr>
          <w:p w14:paraId="2CAB0965" w14:textId="77777777" w:rsidR="00CB2DA9" w:rsidRPr="00882568" w:rsidRDefault="00CB2DA9" w:rsidP="00CB2DA9">
            <w:pPr>
              <w:spacing w:before="120" w:line="276" w:lineRule="auto"/>
              <w:rPr>
                <w:rFonts w:ascii="Arial" w:eastAsia="Calibri" w:hAnsi="Arial" w:cs="Arial"/>
                <w:b/>
                <w:sz w:val="22"/>
                <w:lang w:val="es-ES_tradnl"/>
              </w:rPr>
            </w:pPr>
          </w:p>
        </w:tc>
        <w:tc>
          <w:tcPr>
            <w:tcW w:w="5665" w:type="dxa"/>
          </w:tcPr>
          <w:p w14:paraId="38942E59" w14:textId="77777777" w:rsidR="00CB2DA9" w:rsidRPr="00882568" w:rsidRDefault="00CB2DA9" w:rsidP="00CB2DA9">
            <w:pPr>
              <w:spacing w:before="120" w:line="276" w:lineRule="auto"/>
              <w:jc w:val="both"/>
              <w:rPr>
                <w:rFonts w:ascii="Arial" w:eastAsia="Calibri" w:hAnsi="Arial" w:cs="Arial"/>
                <w:sz w:val="22"/>
                <w:lang w:val="es-ES_tradnl"/>
              </w:rPr>
            </w:pPr>
          </w:p>
        </w:tc>
      </w:tr>
    </w:tbl>
    <w:p w14:paraId="06248123" w14:textId="77777777" w:rsidR="00BE1E33" w:rsidRPr="00882568" w:rsidRDefault="00BE1E33" w:rsidP="00A32FFB">
      <w:pPr>
        <w:spacing w:line="276" w:lineRule="auto"/>
        <w:jc w:val="both"/>
        <w:rPr>
          <w:rFonts w:ascii="Arial" w:eastAsia="Calibri" w:hAnsi="Arial" w:cs="Arial"/>
          <w:sz w:val="22"/>
          <w:lang w:val="es-ES_tradnl"/>
        </w:rPr>
      </w:pPr>
    </w:p>
    <w:p w14:paraId="324E86EA" w14:textId="0668C23D" w:rsidR="00702098" w:rsidRPr="00882568" w:rsidRDefault="00702098" w:rsidP="00702098">
      <w:pPr>
        <w:spacing w:line="276" w:lineRule="auto"/>
        <w:jc w:val="both"/>
        <w:rPr>
          <w:rFonts w:ascii="Arial" w:eastAsia="Calibri" w:hAnsi="Arial" w:cs="Arial"/>
          <w:sz w:val="22"/>
          <w:lang w:val="es-ES_tradnl"/>
        </w:rPr>
      </w:pPr>
      <w:r w:rsidRPr="00882568">
        <w:rPr>
          <w:rFonts w:ascii="Arial" w:eastAsia="Calibri" w:hAnsi="Arial" w:cs="Arial"/>
          <w:sz w:val="22"/>
          <w:lang w:val="es-ES_tradnl"/>
        </w:rPr>
        <w:t xml:space="preserve">Estimado señor </w:t>
      </w:r>
      <w:proofErr w:type="spellStart"/>
      <w:r w:rsidRPr="00882568">
        <w:rPr>
          <w:rFonts w:ascii="Arial" w:eastAsia="Calibri" w:hAnsi="Arial" w:cs="Arial"/>
          <w:sz w:val="22"/>
          <w:lang w:val="es-ES_tradnl"/>
        </w:rPr>
        <w:t>Estupiñan</w:t>
      </w:r>
      <w:proofErr w:type="spellEnd"/>
      <w:r w:rsidRPr="00882568">
        <w:rPr>
          <w:rFonts w:ascii="Arial" w:eastAsia="Calibri" w:hAnsi="Arial" w:cs="Arial"/>
          <w:sz w:val="22"/>
          <w:lang w:val="es-ES_tradnl"/>
        </w:rPr>
        <w:t>:</w:t>
      </w:r>
    </w:p>
    <w:p w14:paraId="7BF04FFC" w14:textId="77777777" w:rsidR="00702098" w:rsidRPr="00882568" w:rsidRDefault="00702098" w:rsidP="00702098">
      <w:pPr>
        <w:spacing w:line="276" w:lineRule="auto"/>
        <w:jc w:val="both"/>
        <w:rPr>
          <w:rFonts w:ascii="Arial" w:eastAsia="Calibri" w:hAnsi="Arial" w:cs="Arial"/>
          <w:sz w:val="22"/>
          <w:lang w:val="es-ES_tradnl"/>
        </w:rPr>
      </w:pPr>
    </w:p>
    <w:p w14:paraId="286A9CEF" w14:textId="0CFEC94A" w:rsidR="00BE1E33" w:rsidRPr="00882568" w:rsidRDefault="00702098" w:rsidP="00702098">
      <w:pPr>
        <w:spacing w:line="276" w:lineRule="auto"/>
        <w:jc w:val="both"/>
        <w:rPr>
          <w:rFonts w:ascii="Arial" w:eastAsia="Calibri" w:hAnsi="Arial" w:cs="Arial"/>
          <w:sz w:val="22"/>
          <w:lang w:val="es-ES_tradnl"/>
        </w:rPr>
      </w:pPr>
      <w:r w:rsidRPr="00882568">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2B4A2F" w:rsidRPr="00882568">
        <w:rPr>
          <w:rFonts w:ascii="Arial" w:eastAsia="Calibri" w:hAnsi="Arial" w:cs="Arial"/>
          <w:sz w:val="22"/>
          <w:lang w:val="es-ES_tradnl"/>
        </w:rPr>
        <w:t>16</w:t>
      </w:r>
      <w:r w:rsidRPr="00882568">
        <w:rPr>
          <w:rFonts w:ascii="Arial" w:eastAsia="Calibri" w:hAnsi="Arial" w:cs="Arial"/>
          <w:sz w:val="22"/>
          <w:lang w:val="es-ES_tradnl"/>
        </w:rPr>
        <w:t xml:space="preserve"> de septiembre de 2021</w:t>
      </w:r>
      <w:r w:rsidR="00731B46" w:rsidRPr="00882568">
        <w:rPr>
          <w:rFonts w:ascii="Arial" w:eastAsia="Calibri" w:hAnsi="Arial" w:cs="Arial"/>
          <w:sz w:val="22"/>
          <w:lang w:val="es-ES_tradnl"/>
        </w:rPr>
        <w:t>.</w:t>
      </w:r>
    </w:p>
    <w:p w14:paraId="1D13401D" w14:textId="77777777" w:rsidR="00BE1E33" w:rsidRPr="00882568" w:rsidRDefault="00BE1E33" w:rsidP="00A32FFB">
      <w:pPr>
        <w:spacing w:line="276" w:lineRule="auto"/>
        <w:jc w:val="both"/>
        <w:rPr>
          <w:rFonts w:ascii="Arial" w:eastAsia="Calibri" w:hAnsi="Arial" w:cs="Arial"/>
          <w:sz w:val="22"/>
          <w:lang w:val="es-ES_tradnl"/>
        </w:rPr>
      </w:pPr>
    </w:p>
    <w:p w14:paraId="068F505C" w14:textId="3FEA74AE" w:rsidR="00BE1E33" w:rsidRPr="00882568" w:rsidRDefault="00BE1E33" w:rsidP="00250E6E">
      <w:pPr>
        <w:pStyle w:val="Prrafodelista"/>
        <w:numPr>
          <w:ilvl w:val="0"/>
          <w:numId w:val="1"/>
        </w:numPr>
        <w:tabs>
          <w:tab w:val="left" w:pos="284"/>
        </w:tabs>
        <w:spacing w:line="276" w:lineRule="auto"/>
        <w:ind w:left="0" w:firstLine="0"/>
        <w:contextualSpacing w:val="0"/>
        <w:jc w:val="both"/>
        <w:rPr>
          <w:rFonts w:ascii="Arial" w:eastAsia="Calibri" w:hAnsi="Arial" w:cs="Arial"/>
          <w:b/>
          <w:sz w:val="22"/>
          <w:lang w:val="es-ES_tradnl"/>
        </w:rPr>
      </w:pPr>
      <w:r w:rsidRPr="00882568">
        <w:rPr>
          <w:rFonts w:ascii="Arial" w:eastAsia="Calibri" w:hAnsi="Arial" w:cs="Arial"/>
          <w:b/>
          <w:sz w:val="22"/>
          <w:lang w:val="es-ES_tradnl"/>
        </w:rPr>
        <w:t xml:space="preserve">Problema planteado </w:t>
      </w:r>
    </w:p>
    <w:p w14:paraId="208B0AAF" w14:textId="77777777" w:rsidR="00250E6E" w:rsidRPr="00882568" w:rsidRDefault="00250E6E" w:rsidP="00C1766E">
      <w:pPr>
        <w:pStyle w:val="Prrafodelista"/>
        <w:tabs>
          <w:tab w:val="left" w:pos="284"/>
        </w:tabs>
        <w:spacing w:line="276" w:lineRule="auto"/>
        <w:ind w:left="0"/>
        <w:contextualSpacing w:val="0"/>
        <w:jc w:val="both"/>
        <w:rPr>
          <w:rFonts w:ascii="Arial" w:eastAsia="Calibri" w:hAnsi="Arial" w:cs="Arial"/>
          <w:b/>
          <w:sz w:val="22"/>
          <w:lang w:val="es-ES_tradnl"/>
        </w:rPr>
      </w:pPr>
    </w:p>
    <w:p w14:paraId="01D456EE" w14:textId="11259C64" w:rsidR="00250E6E" w:rsidRPr="00882568" w:rsidRDefault="00250E6E" w:rsidP="00250E6E">
      <w:pPr>
        <w:pStyle w:val="NormalWeb"/>
        <w:shd w:val="clear" w:color="auto" w:fill="FFFFFF"/>
        <w:spacing w:before="0" w:beforeAutospacing="0" w:after="0" w:afterAutospacing="0" w:line="276" w:lineRule="auto"/>
        <w:jc w:val="both"/>
        <w:rPr>
          <w:rFonts w:ascii="Arial" w:eastAsia="Calibri" w:hAnsi="Arial" w:cs="Arial"/>
          <w:sz w:val="22"/>
          <w:szCs w:val="22"/>
          <w:lang w:val="es-ES" w:eastAsia="en-US"/>
        </w:rPr>
      </w:pPr>
      <w:r w:rsidRPr="00882568">
        <w:rPr>
          <w:rFonts w:ascii="Arial" w:eastAsia="Calibri" w:hAnsi="Arial" w:cs="Arial"/>
          <w:sz w:val="22"/>
          <w:szCs w:val="22"/>
          <w:lang w:val="es-ES" w:eastAsia="en-US"/>
        </w:rPr>
        <w:t>El peticionario planteó el siguiente problema:</w:t>
      </w:r>
    </w:p>
    <w:p w14:paraId="6AED605F" w14:textId="77777777" w:rsidR="00250E6E" w:rsidRPr="00882568" w:rsidRDefault="00250E6E" w:rsidP="00C1766E">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p>
    <w:p w14:paraId="5336FB36" w14:textId="2F97179F" w:rsidR="008571D0" w:rsidRPr="00882568" w:rsidRDefault="006015CA" w:rsidP="00250E6E">
      <w:pPr>
        <w:ind w:left="709" w:right="709"/>
        <w:jc w:val="both"/>
        <w:rPr>
          <w:rFonts w:ascii="Arial" w:eastAsia="Times New Roman" w:hAnsi="Arial" w:cs="Arial"/>
          <w:bCs/>
          <w:color w:val="000000"/>
          <w:sz w:val="21"/>
          <w:szCs w:val="21"/>
          <w:lang w:eastAsia="es-CO"/>
        </w:rPr>
      </w:pPr>
      <w:r w:rsidRPr="00882568">
        <w:rPr>
          <w:rFonts w:ascii="Arial" w:eastAsia="Times New Roman" w:hAnsi="Arial" w:cs="Arial"/>
          <w:bCs/>
          <w:color w:val="000000"/>
          <w:sz w:val="21"/>
          <w:szCs w:val="21"/>
          <w:lang w:eastAsia="es-CO"/>
        </w:rPr>
        <w:t>En aplicación del decreto 092-2017 y teniendo en cuenta la suspensión provisional de algunos numerales e incisos del artículo segundo del mismo, se requiere saber y obtener claridad para determinar en que casos definidos en el decreto es necesario la expedición de una aprobación del representante legal de la Entidad Estatal para suscribir contratos en el marco de mencionada norma. Aplicaría la expedición de dicha autorización para el trámite del proceso</w:t>
      </w:r>
      <w:r w:rsidR="00855601" w:rsidRPr="00882568">
        <w:rPr>
          <w:rFonts w:ascii="Arial" w:eastAsia="Times New Roman" w:hAnsi="Arial" w:cs="Arial"/>
          <w:bCs/>
          <w:color w:val="000000"/>
          <w:sz w:val="21"/>
          <w:szCs w:val="21"/>
          <w:lang w:eastAsia="es-CO"/>
        </w:rPr>
        <w:t xml:space="preserve"> </w:t>
      </w:r>
      <w:r w:rsidRPr="00882568">
        <w:rPr>
          <w:rFonts w:ascii="Arial" w:eastAsia="Times New Roman" w:hAnsi="Arial" w:cs="Arial"/>
          <w:bCs/>
          <w:color w:val="000000"/>
          <w:sz w:val="21"/>
          <w:szCs w:val="21"/>
          <w:lang w:eastAsia="es-CO"/>
        </w:rPr>
        <w:t>competitivo</w:t>
      </w:r>
      <w:r w:rsidR="008571D0" w:rsidRPr="00882568">
        <w:rPr>
          <w:rFonts w:ascii="Arial" w:eastAsia="Times New Roman" w:hAnsi="Arial" w:cs="Arial"/>
          <w:bCs/>
          <w:color w:val="000000"/>
          <w:sz w:val="21"/>
          <w:szCs w:val="21"/>
          <w:lang w:eastAsia="es-CO"/>
        </w:rPr>
        <w:t>.</w:t>
      </w:r>
    </w:p>
    <w:p w14:paraId="5271F305" w14:textId="77777777" w:rsidR="00250E6E" w:rsidRPr="00882568" w:rsidRDefault="00250E6E" w:rsidP="00C1766E">
      <w:pPr>
        <w:ind w:left="709" w:right="709"/>
        <w:jc w:val="both"/>
        <w:rPr>
          <w:rFonts w:ascii="Arial" w:eastAsia="Times New Roman" w:hAnsi="Arial" w:cs="Arial"/>
          <w:bCs/>
          <w:color w:val="000000"/>
          <w:sz w:val="21"/>
          <w:szCs w:val="21"/>
          <w:lang w:eastAsia="es-CO"/>
        </w:rPr>
      </w:pPr>
    </w:p>
    <w:p w14:paraId="1EC7A5F3" w14:textId="32ABE0FF" w:rsidR="00A51430" w:rsidRPr="00882568" w:rsidRDefault="00BE1E33" w:rsidP="00403BF0">
      <w:pPr>
        <w:pStyle w:val="Prrafodelista"/>
        <w:numPr>
          <w:ilvl w:val="0"/>
          <w:numId w:val="1"/>
        </w:numPr>
        <w:tabs>
          <w:tab w:val="left" w:pos="426"/>
        </w:tabs>
        <w:spacing w:line="276" w:lineRule="auto"/>
        <w:ind w:left="284" w:hanging="284"/>
        <w:contextualSpacing w:val="0"/>
        <w:jc w:val="both"/>
        <w:rPr>
          <w:rFonts w:ascii="Arial" w:eastAsia="Calibri" w:hAnsi="Arial" w:cs="Arial"/>
          <w:b/>
          <w:sz w:val="22"/>
          <w:lang w:val="es-ES_tradnl"/>
        </w:rPr>
      </w:pPr>
      <w:r w:rsidRPr="00882568">
        <w:rPr>
          <w:rFonts w:ascii="Arial" w:eastAsia="Calibri" w:hAnsi="Arial" w:cs="Arial"/>
          <w:b/>
          <w:sz w:val="22"/>
          <w:lang w:val="es-ES_tradnl"/>
        </w:rPr>
        <w:t>Consideraciones</w:t>
      </w:r>
    </w:p>
    <w:p w14:paraId="42F5C2DA" w14:textId="2E454205" w:rsidR="00D032F2" w:rsidRPr="00882568" w:rsidRDefault="00EF7E7F" w:rsidP="00EF45F9">
      <w:pPr>
        <w:spacing w:before="120" w:after="120" w:line="276" w:lineRule="auto"/>
        <w:jc w:val="both"/>
        <w:rPr>
          <w:rFonts w:ascii="Arial" w:hAnsi="Arial" w:cs="Arial"/>
          <w:sz w:val="22"/>
        </w:rPr>
      </w:pPr>
      <w:r w:rsidRPr="00882568">
        <w:rPr>
          <w:rFonts w:ascii="Arial" w:hAnsi="Arial" w:cs="Arial"/>
          <w:sz w:val="22"/>
        </w:rPr>
        <w:lastRenderedPageBreak/>
        <w:t>P</w:t>
      </w:r>
      <w:r w:rsidR="00B2288F" w:rsidRPr="00882568">
        <w:rPr>
          <w:rFonts w:ascii="Arial" w:hAnsi="Arial" w:cs="Arial"/>
          <w:sz w:val="22"/>
        </w:rPr>
        <w:t xml:space="preserve">ara </w:t>
      </w:r>
      <w:r w:rsidR="00250E6E" w:rsidRPr="00882568">
        <w:rPr>
          <w:rFonts w:ascii="Arial" w:hAnsi="Arial" w:cs="Arial"/>
          <w:sz w:val="22"/>
        </w:rPr>
        <w:t xml:space="preserve">resolver </w:t>
      </w:r>
      <w:r w:rsidR="00D032F2" w:rsidRPr="00882568">
        <w:rPr>
          <w:rFonts w:ascii="Arial" w:hAnsi="Arial" w:cs="Arial"/>
          <w:sz w:val="22"/>
        </w:rPr>
        <w:t>los interrogantes formulados, esta dependencia analizará los siguientes temas: i) el artículo 355 de la Constitución Política y el Decreto 92 de 2017; y ii) el régimen aplicable luego del auto de suspensión provisional del Consejo de Estado.</w:t>
      </w:r>
    </w:p>
    <w:p w14:paraId="569B3711" w14:textId="16C7CD1C" w:rsidR="00A81952" w:rsidRPr="00882568" w:rsidRDefault="00D032F2" w:rsidP="00250E6E">
      <w:pPr>
        <w:spacing w:before="120" w:after="120" w:line="276" w:lineRule="auto"/>
        <w:ind w:firstLine="708"/>
        <w:contextualSpacing/>
        <w:jc w:val="both"/>
        <w:rPr>
          <w:rFonts w:ascii="Arial" w:hAnsi="Arial" w:cs="Arial"/>
          <w:bCs/>
          <w:color w:val="000000" w:themeColor="text1"/>
          <w:sz w:val="22"/>
        </w:rPr>
      </w:pPr>
      <w:r w:rsidRPr="00882568">
        <w:rPr>
          <w:rFonts w:ascii="Arial" w:hAnsi="Arial" w:cs="Arial"/>
          <w:sz w:val="22"/>
        </w:rPr>
        <w:t>La Agencia Nacional de Contratación Pública – Colombia Compra Eficiente se ha pronunciado en diferentes conceptos sobre la contratación con entidades privadas sin ánimo de lucro y de reconocida idoneidad –desde ahora ESAL–</w:t>
      </w:r>
      <w:r w:rsidR="00250E6E" w:rsidRPr="00882568">
        <w:rPr>
          <w:rFonts w:ascii="Arial" w:hAnsi="Arial" w:cs="Arial"/>
          <w:sz w:val="22"/>
        </w:rPr>
        <w:t>, con fundamento en el Decreto autónomo 92 de 2017</w:t>
      </w:r>
      <w:r w:rsidRPr="00882568">
        <w:rPr>
          <w:rFonts w:ascii="Arial" w:hAnsi="Arial" w:cs="Arial"/>
          <w:sz w:val="22"/>
        </w:rPr>
        <w:t>, en particular en los Conceptos 4201912000008310 del 26 de diciembre de 2019, 4201912000007899 del</w:t>
      </w:r>
      <w:r w:rsidR="00250E6E" w:rsidRPr="00882568">
        <w:rPr>
          <w:rFonts w:ascii="Arial" w:hAnsi="Arial" w:cs="Arial"/>
          <w:sz w:val="22"/>
        </w:rPr>
        <w:t xml:space="preserve"> </w:t>
      </w:r>
      <w:r w:rsidRPr="00882568">
        <w:rPr>
          <w:rFonts w:ascii="Arial" w:hAnsi="Arial" w:cs="Arial"/>
          <w:sz w:val="22"/>
        </w:rPr>
        <w:t>27 de diciembre de 2019, 4201912000007901 del 27 de diciembre de 2019, C-070 04 de marzo de 2020, C-094 del 04 de marzo de 2020, C-086 del 16 de marzo de 2020,</w:t>
      </w:r>
      <w:r w:rsidR="00EF45F9" w:rsidRPr="00882568">
        <w:rPr>
          <w:rFonts w:ascii="Arial" w:hAnsi="Arial" w:cs="Arial"/>
          <w:sz w:val="22"/>
        </w:rPr>
        <w:t xml:space="preserve"> </w:t>
      </w:r>
      <w:r w:rsidRPr="00882568">
        <w:rPr>
          <w:rFonts w:ascii="Arial" w:hAnsi="Arial" w:cs="Arial"/>
          <w:sz w:val="22"/>
        </w:rPr>
        <w:t>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y C- 537 del 27  de septiembre de 2021. Las tesis propuestas en tales conceptos se reiteran a continuación y se complementan en l</w:t>
      </w:r>
      <w:r w:rsidR="00606FE0" w:rsidRPr="00882568">
        <w:rPr>
          <w:rFonts w:ascii="Arial" w:hAnsi="Arial" w:cs="Arial"/>
          <w:bCs/>
          <w:color w:val="000000" w:themeColor="text1"/>
          <w:sz w:val="22"/>
        </w:rPr>
        <w:t xml:space="preserve">o pertinente. </w:t>
      </w:r>
    </w:p>
    <w:p w14:paraId="7B1849E3" w14:textId="77777777" w:rsidR="00250E6E" w:rsidRPr="00882568" w:rsidRDefault="00250E6E" w:rsidP="00C1766E">
      <w:pPr>
        <w:spacing w:before="120" w:after="120" w:line="276" w:lineRule="auto"/>
        <w:ind w:firstLine="708"/>
        <w:contextualSpacing/>
        <w:jc w:val="both"/>
        <w:rPr>
          <w:rFonts w:ascii="Arial" w:hAnsi="Arial" w:cs="Arial"/>
          <w:bCs/>
          <w:color w:val="000000" w:themeColor="text1"/>
          <w:sz w:val="22"/>
        </w:rPr>
      </w:pPr>
    </w:p>
    <w:p w14:paraId="4A50FC86" w14:textId="0A14604D" w:rsidR="00A51430" w:rsidRPr="00882568" w:rsidRDefault="00FC3C38" w:rsidP="00250E6E">
      <w:pPr>
        <w:spacing w:before="120" w:after="120" w:line="276" w:lineRule="auto"/>
        <w:contextualSpacing/>
        <w:jc w:val="both"/>
        <w:rPr>
          <w:rFonts w:ascii="Arial" w:eastAsia="Calibri" w:hAnsi="Arial" w:cs="Arial"/>
          <w:b/>
          <w:bCs/>
          <w:sz w:val="22"/>
          <w:lang w:val="es-CO"/>
        </w:rPr>
      </w:pPr>
      <w:r w:rsidRPr="00882568">
        <w:rPr>
          <w:rFonts w:ascii="Arial" w:eastAsia="Calibri" w:hAnsi="Arial" w:cs="Arial"/>
          <w:b/>
          <w:bCs/>
          <w:sz w:val="22"/>
          <w:lang w:val="es-CO"/>
        </w:rPr>
        <w:t xml:space="preserve">2.1 </w:t>
      </w:r>
      <w:r w:rsidR="00D032F2" w:rsidRPr="00882568">
        <w:rPr>
          <w:rFonts w:ascii="Arial" w:eastAsia="Calibri" w:hAnsi="Arial" w:cs="Arial"/>
          <w:b/>
          <w:bCs/>
          <w:sz w:val="22"/>
          <w:lang w:val="es-CO"/>
        </w:rPr>
        <w:t>El artículo 355 de la Constitución Política y el Decreto 92 del 2017</w:t>
      </w:r>
    </w:p>
    <w:p w14:paraId="7FB82313" w14:textId="77777777" w:rsidR="00250E6E" w:rsidRPr="00882568" w:rsidRDefault="00250E6E" w:rsidP="00C1766E">
      <w:pPr>
        <w:spacing w:before="120" w:after="120" w:line="276" w:lineRule="auto"/>
        <w:contextualSpacing/>
        <w:jc w:val="both"/>
        <w:rPr>
          <w:rFonts w:ascii="Arial" w:eastAsia="Calibri" w:hAnsi="Arial" w:cs="Arial"/>
          <w:b/>
          <w:bCs/>
          <w:sz w:val="22"/>
          <w:lang w:val="es-CO"/>
        </w:rPr>
      </w:pPr>
    </w:p>
    <w:p w14:paraId="2484EC32" w14:textId="6EEFB7DC" w:rsidR="00B30F17" w:rsidRPr="00882568" w:rsidRDefault="00B30F17" w:rsidP="006C10D3">
      <w:pPr>
        <w:spacing w:before="120" w:after="120" w:line="276" w:lineRule="auto"/>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El Decreto 92 de 2017 desarrolló los contratos previstos en el inciso segundo del artículo 355 de la Constitución Política, así como los convenios de asociación del artículo 96 de la Ley 489 de 1998.  Teniendo en cuenta la consulta planteada, el análisis en esta ocasión se centrará en los contratos del artículo 355 de la Constitución Política de 1991 reglamentados en el Decreto 92 de 2017.</w:t>
      </w:r>
    </w:p>
    <w:p w14:paraId="1A65F942" w14:textId="77777777" w:rsidR="00B30F17" w:rsidRPr="00882568" w:rsidRDefault="00B30F17" w:rsidP="006C10D3">
      <w:pPr>
        <w:spacing w:before="120" w:after="120" w:line="276" w:lineRule="auto"/>
        <w:ind w:firstLine="708"/>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El artículo 355 de la Constitución Política proscribe cualquier  tipo de donación por parte del Estado a personas de derecho privado, y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14:paraId="55180A34" w14:textId="569CE057" w:rsidR="00B30F17" w:rsidRPr="00882568" w:rsidRDefault="00B30F17" w:rsidP="006C10D3">
      <w:pPr>
        <w:spacing w:before="120" w:after="120" w:line="276" w:lineRule="auto"/>
        <w:ind w:firstLine="708"/>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 xml:space="preserve">En desarrollo del mandato reglamentario señalado en esta disposición constitucional, el Gobierno Nacional expidió el Decreto 92 de 2017, el cual dispone las reglas para las contrataciones que realicen las entidades estatales con las entidades privadas sin ánimo de lucro </w:t>
      </w:r>
      <w:r w:rsidR="00250E6E" w:rsidRPr="00882568">
        <w:rPr>
          <w:rFonts w:ascii="Arial" w:eastAsia="Times New Roman" w:hAnsi="Arial" w:cs="Arial"/>
          <w:color w:val="000000"/>
          <w:sz w:val="22"/>
          <w:shd w:val="clear" w:color="auto" w:fill="FFFFFF"/>
          <w:lang w:val="es-CO" w:eastAsia="es-MX"/>
        </w:rPr>
        <w:t>–</w:t>
      </w:r>
      <w:r w:rsidRPr="00882568">
        <w:rPr>
          <w:rFonts w:ascii="Arial" w:eastAsia="Times New Roman" w:hAnsi="Arial" w:cs="Arial"/>
          <w:color w:val="000000"/>
          <w:sz w:val="22"/>
          <w:shd w:val="clear" w:color="auto" w:fill="FFFFFF"/>
          <w:lang w:val="es-CO" w:eastAsia="es-MX"/>
        </w:rPr>
        <w:t xml:space="preserve"> ESAL. Tal como se mencionó, el Decreto regula dos           eventos: i) los </w:t>
      </w:r>
      <w:r w:rsidRPr="00882568">
        <w:rPr>
          <w:rFonts w:ascii="Arial" w:eastAsia="Times New Roman" w:hAnsi="Arial" w:cs="Arial"/>
          <w:i/>
          <w:iCs/>
          <w:color w:val="000000"/>
          <w:sz w:val="22"/>
          <w:shd w:val="clear" w:color="auto" w:fill="FFFFFF"/>
          <w:lang w:val="es-CO" w:eastAsia="es-MX"/>
        </w:rPr>
        <w:t>contratos de colaboración o de interés público</w:t>
      </w:r>
      <w:r w:rsidRPr="00882568">
        <w:rPr>
          <w:rFonts w:ascii="Arial" w:eastAsia="Times New Roman" w:hAnsi="Arial" w:cs="Arial"/>
          <w:color w:val="000000"/>
          <w:sz w:val="22"/>
          <w:shd w:val="clear" w:color="auto" w:fill="FFFFFF"/>
          <w:lang w:val="es-CO" w:eastAsia="es-MX"/>
        </w:rPr>
        <w:t xml:space="preserve">, con el fin impulsar programas </w:t>
      </w:r>
      <w:r w:rsidRPr="00882568">
        <w:rPr>
          <w:rFonts w:ascii="Arial" w:eastAsia="Times New Roman" w:hAnsi="Arial" w:cs="Arial"/>
          <w:color w:val="000000"/>
          <w:sz w:val="22"/>
          <w:shd w:val="clear" w:color="auto" w:fill="FFFFFF"/>
          <w:lang w:val="es-CO" w:eastAsia="es-MX"/>
        </w:rPr>
        <w:lastRenderedPageBreak/>
        <w:t xml:space="preserve">y actividades de interés público de acuerdo con el Plan Nacional o los planes seccionales de desarrollo, en los términos del artículo 355 de la Constitución Política, reglamentados en los artículos 2, 3 y 4 del Decreto 92 de 2017; y ii) los </w:t>
      </w:r>
      <w:r w:rsidRPr="00882568">
        <w:rPr>
          <w:rFonts w:ascii="Arial" w:eastAsia="Times New Roman" w:hAnsi="Arial" w:cs="Arial"/>
          <w:i/>
          <w:iCs/>
          <w:color w:val="000000"/>
          <w:sz w:val="22"/>
          <w:shd w:val="clear" w:color="auto" w:fill="FFFFFF"/>
          <w:lang w:val="es-CO" w:eastAsia="es-MX"/>
        </w:rPr>
        <w:t>convenios de asociación</w:t>
      </w:r>
      <w:r w:rsidRPr="00882568">
        <w:rPr>
          <w:rFonts w:ascii="Arial" w:eastAsia="Times New Roman" w:hAnsi="Arial" w:cs="Arial"/>
          <w:color w:val="000000"/>
          <w:sz w:val="22"/>
          <w:shd w:val="clear" w:color="auto" w:fill="FFFFFF"/>
          <w:lang w:val="es-CO" w:eastAsia="es-MX"/>
        </w:rPr>
        <w:t xml:space="preserve">, para el desarrollo conjunto de actividades relacionadas con las funciones de las entidades estatales, en desarrollo del artículo 96 de la Ley 489  de 1998, reglamentados en </w:t>
      </w:r>
      <w:r w:rsidR="00250E6E" w:rsidRPr="00882568">
        <w:rPr>
          <w:rFonts w:ascii="Arial" w:eastAsia="Times New Roman" w:hAnsi="Arial" w:cs="Arial"/>
          <w:color w:val="000000"/>
          <w:sz w:val="22"/>
          <w:shd w:val="clear" w:color="auto" w:fill="FFFFFF"/>
          <w:lang w:val="es-CO" w:eastAsia="es-MX"/>
        </w:rPr>
        <w:t>el</w:t>
      </w:r>
      <w:r w:rsidRPr="00882568">
        <w:rPr>
          <w:rFonts w:ascii="Arial" w:eastAsia="Times New Roman" w:hAnsi="Arial" w:cs="Arial"/>
          <w:color w:val="000000"/>
          <w:sz w:val="22"/>
          <w:shd w:val="clear" w:color="auto" w:fill="FFFFFF"/>
          <w:lang w:val="es-CO" w:eastAsia="es-MX"/>
        </w:rPr>
        <w:t xml:space="preserve"> artículo 5</w:t>
      </w:r>
      <w:r w:rsidR="00250E6E" w:rsidRPr="00882568">
        <w:rPr>
          <w:rFonts w:ascii="Arial" w:eastAsia="Times New Roman" w:hAnsi="Arial" w:cs="Arial"/>
          <w:color w:val="000000"/>
          <w:sz w:val="22"/>
          <w:shd w:val="clear" w:color="auto" w:fill="FFFFFF"/>
          <w:lang w:val="es-CO" w:eastAsia="es-MX"/>
        </w:rPr>
        <w:t xml:space="preserve"> </w:t>
      </w:r>
      <w:r w:rsidRPr="00882568">
        <w:rPr>
          <w:rFonts w:ascii="Arial" w:eastAsia="Times New Roman" w:hAnsi="Arial" w:cs="Arial"/>
          <w:color w:val="000000"/>
          <w:sz w:val="22"/>
          <w:shd w:val="clear" w:color="auto" w:fill="FFFFFF"/>
          <w:lang w:val="es-CO" w:eastAsia="es-MX"/>
        </w:rPr>
        <w:t xml:space="preserve">del Decreto 92 de 2007.  </w:t>
      </w:r>
    </w:p>
    <w:p w14:paraId="164C53B2" w14:textId="532A0755" w:rsidR="00B30F17" w:rsidRPr="00882568" w:rsidRDefault="00250E6E" w:rsidP="006C10D3">
      <w:pPr>
        <w:spacing w:before="120" w:after="120" w:line="276" w:lineRule="auto"/>
        <w:ind w:firstLine="708"/>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De esta manera, e</w:t>
      </w:r>
      <w:r w:rsidR="00B30F17" w:rsidRPr="00882568">
        <w:rPr>
          <w:rFonts w:ascii="Arial" w:eastAsia="Times New Roman" w:hAnsi="Arial" w:cs="Arial"/>
          <w:color w:val="000000"/>
          <w:sz w:val="22"/>
          <w:shd w:val="clear" w:color="auto" w:fill="FFFFFF"/>
          <w:lang w:val="es-CO" w:eastAsia="es-MX"/>
        </w:rPr>
        <w:t>s posible diferenciar los convenios de asociación, regulados en el artículo 5, de los contratos de colaboración, establecidos en el artículo 2 del Decreto 92 de 2017. En efecto, el artículo 5 expresamente señala que los convenios de asociación son distintos a los contratos a los que hace referencia el artículo 2 y están regidos por el artículo 96 de la Ley 489 de 1998 y los artículos 5o, 6o, 7o y 8</w:t>
      </w:r>
      <w:r w:rsidRPr="00882568">
        <w:rPr>
          <w:rFonts w:ascii="Arial" w:eastAsia="Times New Roman" w:hAnsi="Arial" w:cs="Arial"/>
          <w:color w:val="000000"/>
          <w:sz w:val="22"/>
          <w:shd w:val="clear" w:color="auto" w:fill="FFFFFF"/>
          <w:lang w:val="es-CO" w:eastAsia="es-MX"/>
        </w:rPr>
        <w:t>o</w:t>
      </w:r>
      <w:r w:rsidR="00B30F17" w:rsidRPr="00882568">
        <w:rPr>
          <w:rFonts w:ascii="Arial" w:eastAsia="Times New Roman" w:hAnsi="Arial" w:cs="Arial"/>
          <w:color w:val="000000"/>
          <w:sz w:val="22"/>
          <w:shd w:val="clear" w:color="auto" w:fill="FFFFFF"/>
          <w:lang w:val="es-CO" w:eastAsia="es-MX"/>
        </w:rPr>
        <w:t>.</w:t>
      </w:r>
    </w:p>
    <w:p w14:paraId="09338F3C" w14:textId="0FCF5510" w:rsidR="00B30F17" w:rsidRPr="00882568" w:rsidRDefault="00B30F17" w:rsidP="006C10D3">
      <w:pPr>
        <w:spacing w:before="120" w:after="120" w:line="276" w:lineRule="auto"/>
        <w:ind w:firstLine="708"/>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 xml:space="preserve">En complemento de lo anterior, es oportuno señalar que los </w:t>
      </w:r>
      <w:r w:rsidRPr="00882568">
        <w:rPr>
          <w:rFonts w:ascii="Arial" w:eastAsia="Times New Roman" w:hAnsi="Arial" w:cs="Arial"/>
          <w:i/>
          <w:iCs/>
          <w:color w:val="000000"/>
          <w:sz w:val="22"/>
          <w:shd w:val="clear" w:color="auto" w:fill="FFFFFF"/>
          <w:lang w:val="es-CO" w:eastAsia="es-MX"/>
        </w:rPr>
        <w:t>contratos de colaboración</w:t>
      </w:r>
      <w:r w:rsidRPr="00882568">
        <w:rPr>
          <w:rFonts w:ascii="Arial" w:eastAsia="Times New Roman" w:hAnsi="Arial" w:cs="Arial"/>
          <w:color w:val="000000"/>
          <w:sz w:val="22"/>
          <w:shd w:val="clear" w:color="auto" w:fill="FFFFFF"/>
          <w:lang w:val="es-CO" w:eastAsia="es-MX"/>
        </w:rPr>
        <w:t xml:space="preserve"> tienen como objeto promover acciones de fomento social en beneficio de los sectores más desprotegidos de la población</w:t>
      </w:r>
      <w:r w:rsidR="00250E6E" w:rsidRPr="00882568">
        <w:rPr>
          <w:rFonts w:ascii="Arial" w:eastAsia="Times New Roman" w:hAnsi="Arial" w:cs="Arial"/>
          <w:color w:val="000000"/>
          <w:sz w:val="22"/>
          <w:shd w:val="clear" w:color="auto" w:fill="FFFFFF"/>
          <w:lang w:val="es-CO" w:eastAsia="es-MX"/>
        </w:rPr>
        <w:t>, acordes con los</w:t>
      </w:r>
      <w:r w:rsidRPr="00882568">
        <w:rPr>
          <w:rFonts w:ascii="Arial" w:eastAsia="Times New Roman" w:hAnsi="Arial" w:cs="Arial"/>
          <w:color w:val="000000"/>
          <w:sz w:val="22"/>
          <w:shd w:val="clear" w:color="auto" w:fill="FFFFFF"/>
          <w:lang w:val="es-CO" w:eastAsia="es-MX"/>
        </w:rPr>
        <w:t xml:space="preserve"> planes de desarrollo. Por este motivo, no dan lugar a una contraprestación directa a favor de la entidad y tampoco a una relación conmutativa entre esta y la ESAL. Ello, por cuanto el beneficio real y directo lo reciben, en últimas, los terceros beneficiarios de este tipo de acciones de fomento. </w:t>
      </w:r>
    </w:p>
    <w:p w14:paraId="1A0AB3C9" w14:textId="1FFEF053" w:rsidR="00B30F17" w:rsidRPr="00882568" w:rsidRDefault="00B30F17" w:rsidP="006C10D3">
      <w:pPr>
        <w:spacing w:before="120" w:after="120" w:line="276" w:lineRule="auto"/>
        <w:ind w:firstLine="708"/>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Para celebrar estos contratos y seleccionar la entidad sin ánimo de lucro contratista, según lo establecen los artículos 2, 3 y 4 del Decreto 92 de 2017, la entidad debe verificar el cumplimiento de los siguientes requisitos: i) que el objeto del contrato corresponda a  programas y actividades de interés público acordes con el Plan Nacional o Seccional de Desarrollo;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iii) que la ESAL sea de reconocida idoneidad, es decir, cuando «es adecuada y apropiada para desarrollar las actividades que son objeto del Proceso de Contratación y cuenta con experiencia en el objeto a contratar. En consecuencia, el objeto estatutario de la entidad sin ánimo de lucro le deberá permitir a esta desarrollar el objeto del Proceso de Contratación que adelantará la Entidad Estatal del Gobierno nacional, departamental, distrital y municipal»; iv) cuando en la etapa de planeación identifique que el programa o actividad de interés público que se requiere desarrollar es ofrecido por más de una Entidad sin ánimo de lucro, se deberá adelantar un proceso competitivo; y v) que se cuente con la autorización previa y expresa del representante legal de la entidad estatal para cada proceso</w:t>
      </w:r>
      <w:r w:rsidR="00AB1F54" w:rsidRPr="00882568">
        <w:rPr>
          <w:rFonts w:ascii="Arial" w:eastAsia="Times New Roman" w:hAnsi="Arial" w:cs="Arial"/>
          <w:color w:val="000000"/>
          <w:sz w:val="22"/>
          <w:shd w:val="clear" w:color="auto" w:fill="FFFFFF"/>
          <w:lang w:val="es-CO" w:eastAsia="es-MX"/>
        </w:rPr>
        <w:t xml:space="preserve"> contractual en</w:t>
      </w:r>
      <w:r w:rsidRPr="00882568">
        <w:rPr>
          <w:rFonts w:ascii="Arial" w:eastAsia="Times New Roman" w:hAnsi="Arial" w:cs="Arial"/>
          <w:color w:val="000000"/>
          <w:sz w:val="22"/>
          <w:shd w:val="clear" w:color="auto" w:fill="FFFFFF"/>
          <w:lang w:val="es-CO" w:eastAsia="es-MX"/>
        </w:rPr>
        <w:t xml:space="preserve"> particular. </w:t>
      </w:r>
    </w:p>
    <w:p w14:paraId="21375093" w14:textId="28F2B4B5" w:rsidR="00403BF0" w:rsidRPr="00882568" w:rsidRDefault="00B30F17" w:rsidP="00403BF0">
      <w:pPr>
        <w:spacing w:before="120" w:after="120" w:line="276" w:lineRule="auto"/>
        <w:ind w:firstLine="709"/>
        <w:jc w:val="both"/>
        <w:rPr>
          <w:rFonts w:ascii="Arial" w:eastAsia="Times New Roman" w:hAnsi="Arial" w:cs="Arial"/>
          <w:color w:val="000000"/>
          <w:sz w:val="22"/>
          <w:shd w:val="clear" w:color="auto" w:fill="FFFFFF"/>
          <w:lang w:val="es-CO" w:eastAsia="es-MX"/>
        </w:rPr>
      </w:pPr>
      <w:r w:rsidRPr="00882568">
        <w:rPr>
          <w:rFonts w:ascii="Arial" w:eastAsia="Times New Roman" w:hAnsi="Arial" w:cs="Arial"/>
          <w:color w:val="000000"/>
          <w:sz w:val="22"/>
          <w:shd w:val="clear" w:color="auto" w:fill="FFFFFF"/>
          <w:lang w:val="es-CO" w:eastAsia="es-MX"/>
        </w:rPr>
        <w:t xml:space="preserve">La autorización previa y expresa del representante legal para cada contrato en particular que la </w:t>
      </w:r>
      <w:r w:rsidR="00AB1F54" w:rsidRPr="00882568">
        <w:rPr>
          <w:rFonts w:ascii="Arial" w:eastAsia="Times New Roman" w:hAnsi="Arial" w:cs="Arial"/>
          <w:color w:val="000000"/>
          <w:sz w:val="22"/>
          <w:shd w:val="clear" w:color="auto" w:fill="FFFFFF"/>
          <w:lang w:val="es-CO" w:eastAsia="es-MX"/>
        </w:rPr>
        <w:t>e</w:t>
      </w:r>
      <w:r w:rsidRPr="00882568">
        <w:rPr>
          <w:rFonts w:ascii="Arial" w:eastAsia="Times New Roman" w:hAnsi="Arial" w:cs="Arial"/>
          <w:color w:val="000000"/>
          <w:sz w:val="22"/>
          <w:shd w:val="clear" w:color="auto" w:fill="FFFFFF"/>
          <w:lang w:val="es-CO" w:eastAsia="es-MX"/>
        </w:rPr>
        <w:t xml:space="preserve">ntidad </w:t>
      </w:r>
      <w:r w:rsidR="00AB1F54" w:rsidRPr="00882568">
        <w:rPr>
          <w:rFonts w:ascii="Arial" w:eastAsia="Times New Roman" w:hAnsi="Arial" w:cs="Arial"/>
          <w:color w:val="000000"/>
          <w:sz w:val="22"/>
          <w:shd w:val="clear" w:color="auto" w:fill="FFFFFF"/>
          <w:lang w:val="es-CO" w:eastAsia="es-MX"/>
        </w:rPr>
        <w:t>e</w:t>
      </w:r>
      <w:r w:rsidRPr="00882568">
        <w:rPr>
          <w:rFonts w:ascii="Arial" w:eastAsia="Times New Roman" w:hAnsi="Arial" w:cs="Arial"/>
          <w:color w:val="000000"/>
          <w:sz w:val="22"/>
          <w:shd w:val="clear" w:color="auto" w:fill="FFFFFF"/>
          <w:lang w:val="es-CO" w:eastAsia="es-MX"/>
        </w:rPr>
        <w:t xml:space="preserve">statal planee suscribir bajo esta modalidad, atiende a la importancia que implica la ejecución de un programa </w:t>
      </w:r>
      <w:r w:rsidR="00AB1F54" w:rsidRPr="00882568">
        <w:rPr>
          <w:rFonts w:ascii="Arial" w:eastAsia="Times New Roman" w:hAnsi="Arial" w:cs="Arial"/>
          <w:color w:val="000000"/>
          <w:sz w:val="22"/>
          <w:shd w:val="clear" w:color="auto" w:fill="FFFFFF"/>
          <w:lang w:val="es-CO" w:eastAsia="es-MX"/>
        </w:rPr>
        <w:t>que resulte acorde con</w:t>
      </w:r>
      <w:r w:rsidRPr="00882568">
        <w:rPr>
          <w:rFonts w:ascii="Arial" w:eastAsia="Times New Roman" w:hAnsi="Arial" w:cs="Arial"/>
          <w:color w:val="000000"/>
          <w:sz w:val="22"/>
          <w:shd w:val="clear" w:color="auto" w:fill="FFFFFF"/>
          <w:lang w:val="es-CO" w:eastAsia="es-MX"/>
        </w:rPr>
        <w:t xml:space="preserve"> el Plan de </w:t>
      </w:r>
      <w:r w:rsidRPr="00882568">
        <w:rPr>
          <w:rFonts w:ascii="Arial" w:eastAsia="Times New Roman" w:hAnsi="Arial" w:cs="Arial"/>
          <w:color w:val="000000"/>
          <w:sz w:val="22"/>
          <w:shd w:val="clear" w:color="auto" w:fill="FFFFFF"/>
          <w:lang w:val="es-CO" w:eastAsia="es-MX"/>
        </w:rPr>
        <w:lastRenderedPageBreak/>
        <w:t xml:space="preserve">Desarrollo para cualquier </w:t>
      </w:r>
      <w:r w:rsidR="00AB1F54" w:rsidRPr="00882568">
        <w:rPr>
          <w:rFonts w:ascii="Arial" w:eastAsia="Times New Roman" w:hAnsi="Arial" w:cs="Arial"/>
          <w:color w:val="000000"/>
          <w:sz w:val="22"/>
          <w:shd w:val="clear" w:color="auto" w:fill="FFFFFF"/>
          <w:lang w:val="es-CO" w:eastAsia="es-MX"/>
        </w:rPr>
        <w:t>e</w:t>
      </w:r>
      <w:r w:rsidRPr="00882568">
        <w:rPr>
          <w:rFonts w:ascii="Arial" w:eastAsia="Times New Roman" w:hAnsi="Arial" w:cs="Arial"/>
          <w:color w:val="000000"/>
          <w:sz w:val="22"/>
          <w:shd w:val="clear" w:color="auto" w:fill="FFFFFF"/>
          <w:lang w:val="es-CO" w:eastAsia="es-MX"/>
        </w:rPr>
        <w:t xml:space="preserve">ntidad </w:t>
      </w:r>
      <w:r w:rsidR="00AB1F54" w:rsidRPr="00882568">
        <w:rPr>
          <w:rFonts w:ascii="Arial" w:eastAsia="Times New Roman" w:hAnsi="Arial" w:cs="Arial"/>
          <w:color w:val="000000"/>
          <w:sz w:val="22"/>
          <w:shd w:val="clear" w:color="auto" w:fill="FFFFFF"/>
          <w:lang w:val="es-CO" w:eastAsia="es-MX"/>
        </w:rPr>
        <w:t>e</w:t>
      </w:r>
      <w:r w:rsidRPr="00882568">
        <w:rPr>
          <w:rFonts w:ascii="Arial" w:eastAsia="Times New Roman" w:hAnsi="Arial" w:cs="Arial"/>
          <w:color w:val="000000"/>
          <w:sz w:val="22"/>
          <w:shd w:val="clear" w:color="auto" w:fill="FFFFFF"/>
          <w:lang w:val="es-CO" w:eastAsia="es-MX"/>
        </w:rPr>
        <w:t xml:space="preserve">statal. Lo anterior también define el motivo por el cual la </w:t>
      </w:r>
      <w:r w:rsidR="00AB1F54" w:rsidRPr="00882568">
        <w:rPr>
          <w:rFonts w:ascii="Arial" w:eastAsia="Times New Roman" w:hAnsi="Arial" w:cs="Arial"/>
          <w:color w:val="000000"/>
          <w:sz w:val="22"/>
          <w:shd w:val="clear" w:color="auto" w:fill="FFFFFF"/>
          <w:lang w:val="es-CO" w:eastAsia="es-MX"/>
        </w:rPr>
        <w:t>e</w:t>
      </w:r>
      <w:r w:rsidRPr="00882568">
        <w:rPr>
          <w:rFonts w:ascii="Arial" w:eastAsia="Times New Roman" w:hAnsi="Arial" w:cs="Arial"/>
          <w:color w:val="000000"/>
          <w:sz w:val="22"/>
          <w:shd w:val="clear" w:color="auto" w:fill="FFFFFF"/>
          <w:lang w:val="es-CO" w:eastAsia="es-MX"/>
        </w:rPr>
        <w:t xml:space="preserve">ntidad debe utilizar el procedimiento especial del artículo 355 de la Constitución Política y no el Sistema de Compra Pública, independientemente de si existe solo una ESAL que pueda desarrollar el objeto del proceso, o si existen varias ESAL que lo pueden hacer, indicando la necesidad de adelantar un proceso competitivo entre ellas. </w:t>
      </w:r>
    </w:p>
    <w:p w14:paraId="2F02F840" w14:textId="020B39DB" w:rsidR="005327AA" w:rsidRPr="00882568" w:rsidRDefault="00403BF0" w:rsidP="00C1766E">
      <w:pPr>
        <w:spacing w:before="120" w:after="120" w:line="276" w:lineRule="auto"/>
        <w:ind w:firstLine="709"/>
        <w:jc w:val="both"/>
        <w:rPr>
          <w:rFonts w:ascii="Arial" w:eastAsia="Times New Roman" w:hAnsi="Arial" w:cs="Arial"/>
          <w:color w:val="000000"/>
          <w:sz w:val="22"/>
          <w:lang w:val="es-CO" w:eastAsia="es-MX"/>
        </w:rPr>
      </w:pPr>
      <w:r w:rsidRPr="00882568">
        <w:rPr>
          <w:rFonts w:ascii="Arial" w:eastAsia="Times New Roman" w:hAnsi="Arial" w:cs="Arial"/>
          <w:color w:val="000000"/>
          <w:sz w:val="22"/>
          <w:shd w:val="clear" w:color="auto" w:fill="FFFFFF"/>
          <w:lang w:val="es-CO" w:eastAsia="es-MX"/>
        </w:rPr>
        <w:t xml:space="preserve">Además, el requisito consistente en contar con la autorización previa </w:t>
      </w:r>
      <w:r w:rsidR="001E6077" w:rsidRPr="00882568">
        <w:rPr>
          <w:rFonts w:ascii="Arial" w:eastAsia="Times New Roman" w:hAnsi="Arial" w:cs="Arial"/>
          <w:color w:val="000000"/>
          <w:sz w:val="22"/>
          <w:shd w:val="clear" w:color="auto" w:fill="FFFFFF"/>
          <w:lang w:val="es-CO" w:eastAsia="es-MX"/>
        </w:rPr>
        <w:t>y expresa por parte del representante legal y que esta conste en los Documentos del proceso, es una exigencia que se establece de forma precisa en los incisos finales del artículo 2 del Decreto 92 de 2017</w:t>
      </w:r>
      <w:r w:rsidRPr="00882568">
        <w:rPr>
          <w:rStyle w:val="Refdenotaalpie"/>
          <w:rFonts w:ascii="Arial" w:eastAsia="Times New Roman" w:hAnsi="Arial" w:cs="Arial"/>
          <w:color w:val="000000"/>
          <w:sz w:val="22"/>
          <w:shd w:val="clear" w:color="auto" w:fill="FFFFFF"/>
          <w:lang w:val="es-CO" w:eastAsia="es-MX"/>
        </w:rPr>
        <w:footnoteReference w:id="1"/>
      </w:r>
      <w:r w:rsidR="000A62D7" w:rsidRPr="00882568">
        <w:rPr>
          <w:rFonts w:ascii="Arial" w:eastAsia="Times New Roman" w:hAnsi="Arial" w:cs="Arial"/>
          <w:color w:val="000000"/>
          <w:sz w:val="22"/>
          <w:lang w:val="es-CO" w:eastAsia="es-MX"/>
        </w:rPr>
        <w:t>.</w:t>
      </w:r>
      <w:r w:rsidR="001E6077" w:rsidRPr="00882568">
        <w:rPr>
          <w:rFonts w:ascii="Arial" w:eastAsia="Times New Roman" w:hAnsi="Arial" w:cs="Arial"/>
          <w:color w:val="000000"/>
          <w:sz w:val="22"/>
          <w:lang w:val="es-CO" w:eastAsia="es-MX"/>
        </w:rPr>
        <w:t xml:space="preserve"> Además, como se advierte, el requisito se establece para cada contrato en particular que la entidad planee suscribir, siempre que se trate de uno de los </w:t>
      </w:r>
      <w:r w:rsidR="001E6077" w:rsidRPr="00882568">
        <w:rPr>
          <w:rFonts w:ascii="Arial" w:eastAsia="Times New Roman" w:hAnsi="Arial" w:cs="Arial"/>
          <w:i/>
          <w:iCs/>
          <w:color w:val="000000"/>
          <w:sz w:val="22"/>
          <w:lang w:val="es-CO" w:eastAsia="es-MX"/>
        </w:rPr>
        <w:t>convenios de colaboración</w:t>
      </w:r>
      <w:r w:rsidR="001E6077" w:rsidRPr="00882568">
        <w:rPr>
          <w:rFonts w:ascii="Arial" w:eastAsia="Times New Roman" w:hAnsi="Arial" w:cs="Arial"/>
          <w:color w:val="000000"/>
          <w:sz w:val="22"/>
          <w:lang w:val="es-CO" w:eastAsia="es-MX"/>
        </w:rPr>
        <w:t xml:space="preserve"> regulados en el artículo 2 </w:t>
      </w:r>
      <w:r w:rsidR="001E6077" w:rsidRPr="00882568">
        <w:rPr>
          <w:rFonts w:ascii="Arial" w:eastAsia="Times New Roman" w:hAnsi="Arial" w:cs="Arial"/>
          <w:i/>
          <w:iCs/>
          <w:color w:val="000000"/>
          <w:sz w:val="22"/>
          <w:lang w:val="es-CO" w:eastAsia="es-MX"/>
        </w:rPr>
        <w:t>ibidem</w:t>
      </w:r>
      <w:r w:rsidR="001E6077" w:rsidRPr="00882568">
        <w:rPr>
          <w:rFonts w:ascii="Arial" w:eastAsia="Times New Roman" w:hAnsi="Arial" w:cs="Arial"/>
          <w:color w:val="000000"/>
          <w:sz w:val="22"/>
          <w:lang w:val="es-CO" w:eastAsia="es-MX"/>
        </w:rPr>
        <w:t xml:space="preserve">, por lo que la norma no distingue en el sentido de definir si aplica para procesos competitivos o no competitivos, por lo que aplicará en cualquiera de los supuestos. Sin embargo, cabe aclarar que dicha exigencia no aplicaría para los </w:t>
      </w:r>
      <w:r w:rsidR="001E6077" w:rsidRPr="00882568">
        <w:rPr>
          <w:rFonts w:ascii="Arial" w:eastAsia="Times New Roman" w:hAnsi="Arial" w:cs="Arial"/>
          <w:i/>
          <w:iCs/>
          <w:color w:val="000000"/>
          <w:sz w:val="22"/>
          <w:lang w:val="es-CO" w:eastAsia="es-MX"/>
        </w:rPr>
        <w:t xml:space="preserve">convenios de asociación </w:t>
      </w:r>
      <w:r w:rsidR="001E6077" w:rsidRPr="00882568">
        <w:rPr>
          <w:rFonts w:ascii="Arial" w:eastAsia="Times New Roman" w:hAnsi="Arial" w:cs="Arial"/>
          <w:color w:val="000000"/>
          <w:sz w:val="22"/>
          <w:lang w:val="es-CO" w:eastAsia="es-MX"/>
        </w:rPr>
        <w:t>de que trata el artículo 5 de dicho decreto, toda vez que como lo establece este último artículo «estos convenios de asociación son distintos a los contratos a los que hace referencia el artículo </w:t>
      </w:r>
      <w:hyperlink r:id="rId12" w:anchor="2" w:history="1">
        <w:r w:rsidR="001E6077" w:rsidRPr="00882568">
          <w:rPr>
            <w:rFonts w:ascii="Arial" w:eastAsia="Times New Roman" w:hAnsi="Arial" w:cs="Arial"/>
            <w:color w:val="000000"/>
            <w:sz w:val="22"/>
            <w:lang w:val="es-CO" w:eastAsia="es-MX"/>
          </w:rPr>
          <w:t>2</w:t>
        </w:r>
      </w:hyperlink>
      <w:r w:rsidR="001E6077" w:rsidRPr="00882568">
        <w:rPr>
          <w:rFonts w:ascii="Arial" w:eastAsia="Times New Roman" w:hAnsi="Arial" w:cs="Arial"/>
          <w:color w:val="000000"/>
          <w:sz w:val="22"/>
          <w:lang w:val="es-CO" w:eastAsia="es-MX"/>
        </w:rPr>
        <w:t>o y están regidos por el artículo </w:t>
      </w:r>
      <w:hyperlink r:id="rId13" w:anchor="96" w:history="1">
        <w:r w:rsidR="001E6077" w:rsidRPr="00882568">
          <w:rPr>
            <w:rFonts w:ascii="Arial" w:eastAsia="Times New Roman" w:hAnsi="Arial" w:cs="Arial"/>
            <w:color w:val="000000"/>
            <w:sz w:val="22"/>
            <w:lang w:val="es-CO" w:eastAsia="es-MX"/>
          </w:rPr>
          <w:t>96</w:t>
        </w:r>
      </w:hyperlink>
      <w:r w:rsidR="001E6077" w:rsidRPr="00882568">
        <w:rPr>
          <w:rFonts w:ascii="Arial" w:eastAsia="Times New Roman" w:hAnsi="Arial" w:cs="Arial"/>
          <w:color w:val="000000"/>
          <w:sz w:val="22"/>
          <w:lang w:val="es-CO" w:eastAsia="es-MX"/>
        </w:rPr>
        <w:t> de la Ley 489 de 1998 y los artículos </w:t>
      </w:r>
      <w:hyperlink r:id="rId14" w:anchor="5" w:history="1">
        <w:r w:rsidR="001E6077" w:rsidRPr="00882568">
          <w:rPr>
            <w:rFonts w:ascii="Arial" w:eastAsia="Times New Roman" w:hAnsi="Arial" w:cs="Arial"/>
            <w:color w:val="000000"/>
            <w:sz w:val="22"/>
            <w:lang w:val="es-CO" w:eastAsia="es-MX"/>
          </w:rPr>
          <w:t>5</w:t>
        </w:r>
      </w:hyperlink>
      <w:r w:rsidR="001E6077" w:rsidRPr="00882568">
        <w:rPr>
          <w:rFonts w:ascii="Arial" w:eastAsia="Times New Roman" w:hAnsi="Arial" w:cs="Arial"/>
          <w:color w:val="000000"/>
          <w:sz w:val="22"/>
          <w:lang w:val="es-CO" w:eastAsia="es-MX"/>
        </w:rPr>
        <w:t>o, </w:t>
      </w:r>
      <w:hyperlink r:id="rId15" w:anchor="6" w:history="1">
        <w:r w:rsidR="001E6077" w:rsidRPr="00882568">
          <w:rPr>
            <w:rFonts w:ascii="Arial" w:eastAsia="Times New Roman" w:hAnsi="Arial" w:cs="Arial"/>
            <w:color w:val="000000"/>
            <w:sz w:val="22"/>
            <w:lang w:val="es-CO" w:eastAsia="es-MX"/>
          </w:rPr>
          <w:t>6</w:t>
        </w:r>
      </w:hyperlink>
      <w:r w:rsidR="001E6077" w:rsidRPr="00882568">
        <w:rPr>
          <w:rFonts w:ascii="Arial" w:eastAsia="Times New Roman" w:hAnsi="Arial" w:cs="Arial"/>
          <w:color w:val="000000"/>
          <w:sz w:val="22"/>
          <w:lang w:val="es-CO" w:eastAsia="es-MX"/>
        </w:rPr>
        <w:t>o, </w:t>
      </w:r>
      <w:hyperlink r:id="rId16" w:anchor="7" w:history="1">
        <w:r w:rsidR="001E6077" w:rsidRPr="00882568">
          <w:rPr>
            <w:rFonts w:ascii="Arial" w:eastAsia="Times New Roman" w:hAnsi="Arial" w:cs="Arial"/>
            <w:color w:val="000000"/>
            <w:sz w:val="22"/>
            <w:lang w:val="es-CO" w:eastAsia="es-MX"/>
          </w:rPr>
          <w:t>7</w:t>
        </w:r>
      </w:hyperlink>
      <w:r w:rsidR="001E6077" w:rsidRPr="00882568">
        <w:rPr>
          <w:rFonts w:ascii="Arial" w:eastAsia="Times New Roman" w:hAnsi="Arial" w:cs="Arial"/>
          <w:color w:val="000000"/>
          <w:sz w:val="22"/>
          <w:lang w:val="es-CO" w:eastAsia="es-MX"/>
        </w:rPr>
        <w:t>o y </w:t>
      </w:r>
      <w:hyperlink r:id="rId17" w:anchor="8" w:history="1">
        <w:r w:rsidR="001E6077" w:rsidRPr="00882568">
          <w:rPr>
            <w:rFonts w:ascii="Arial" w:eastAsia="Times New Roman" w:hAnsi="Arial" w:cs="Arial"/>
            <w:color w:val="000000"/>
            <w:sz w:val="22"/>
            <w:lang w:val="es-CO" w:eastAsia="es-MX"/>
          </w:rPr>
          <w:t>8</w:t>
        </w:r>
      </w:hyperlink>
      <w:r w:rsidR="001E6077" w:rsidRPr="00882568">
        <w:rPr>
          <w:rFonts w:ascii="Arial" w:eastAsia="Times New Roman" w:hAnsi="Arial" w:cs="Arial"/>
          <w:color w:val="000000"/>
          <w:sz w:val="22"/>
          <w:lang w:val="es-CO" w:eastAsia="es-MX"/>
        </w:rPr>
        <w:t>o del presente decreto».</w:t>
      </w:r>
    </w:p>
    <w:p w14:paraId="25A3456D" w14:textId="77777777" w:rsidR="00AB1F54" w:rsidRPr="00882568" w:rsidRDefault="00AB1F54" w:rsidP="00C1766E">
      <w:pPr>
        <w:spacing w:before="120" w:after="120" w:line="276" w:lineRule="auto"/>
        <w:ind w:firstLine="708"/>
        <w:contextualSpacing/>
        <w:jc w:val="both"/>
        <w:rPr>
          <w:rFonts w:ascii="Arial" w:eastAsia="Times New Roman" w:hAnsi="Arial" w:cs="Arial"/>
          <w:color w:val="000000"/>
          <w:szCs w:val="24"/>
          <w:lang w:val="es-CO" w:eastAsia="es-MX"/>
        </w:rPr>
      </w:pPr>
    </w:p>
    <w:p w14:paraId="4DCA273F" w14:textId="58F89833" w:rsidR="005327AA" w:rsidRPr="00882568" w:rsidRDefault="00855601" w:rsidP="00AB1F54">
      <w:pPr>
        <w:spacing w:before="120" w:after="120" w:line="276" w:lineRule="auto"/>
        <w:contextualSpacing/>
        <w:jc w:val="both"/>
        <w:rPr>
          <w:rFonts w:ascii="Arial" w:hAnsi="Arial" w:cs="Arial"/>
          <w:b/>
          <w:sz w:val="22"/>
        </w:rPr>
      </w:pPr>
      <w:r w:rsidRPr="00882568">
        <w:rPr>
          <w:rFonts w:ascii="Arial" w:hAnsi="Arial" w:cs="Arial"/>
          <w:b/>
          <w:sz w:val="22"/>
        </w:rPr>
        <w:t xml:space="preserve">2.2. </w:t>
      </w:r>
      <w:r w:rsidR="00251372" w:rsidRPr="00882568">
        <w:rPr>
          <w:rFonts w:ascii="Arial" w:hAnsi="Arial" w:cs="Arial"/>
          <w:b/>
          <w:sz w:val="22"/>
        </w:rPr>
        <w:t>Régimen aplicable luego del auto de suspensión provisional del Consejo de Estado</w:t>
      </w:r>
    </w:p>
    <w:p w14:paraId="5423B0CA" w14:textId="77777777" w:rsidR="00AB1F54" w:rsidRPr="00882568" w:rsidRDefault="00AB1F54" w:rsidP="00C1766E">
      <w:pPr>
        <w:spacing w:before="120" w:after="120" w:line="276" w:lineRule="auto"/>
        <w:contextualSpacing/>
        <w:jc w:val="both"/>
        <w:rPr>
          <w:rFonts w:ascii="Arial" w:hAnsi="Arial" w:cs="Arial"/>
          <w:b/>
          <w:sz w:val="22"/>
        </w:rPr>
      </w:pPr>
    </w:p>
    <w:p w14:paraId="7D16C70B" w14:textId="53F3B3BE" w:rsidR="007C24B3" w:rsidRPr="00882568" w:rsidRDefault="007C24B3" w:rsidP="006C10D3">
      <w:pPr>
        <w:tabs>
          <w:tab w:val="left" w:pos="426"/>
        </w:tabs>
        <w:spacing w:before="120" w:after="120" w:line="276" w:lineRule="auto"/>
        <w:jc w:val="both"/>
        <w:rPr>
          <w:rFonts w:ascii="Arial" w:hAnsi="Arial" w:cs="Arial"/>
          <w:bCs/>
          <w:sz w:val="22"/>
        </w:rPr>
      </w:pPr>
      <w:r w:rsidRPr="00882568">
        <w:rPr>
          <w:rFonts w:ascii="Arial" w:hAnsi="Arial" w:cs="Arial"/>
          <w:bCs/>
          <w:sz w:val="22"/>
        </w:rPr>
        <w:t>El Consejo de Estado, en el Auto del 6 de agosto de 2019 de la Sección Tercera, Subsección A, Consejero Ponente Carlos Alberto Zambrano Barrera –Expediente 62.003</w:t>
      </w:r>
      <w:r w:rsidR="00AB1F54" w:rsidRPr="00882568">
        <w:rPr>
          <w:rFonts w:ascii="Arial" w:hAnsi="Arial" w:cs="Arial"/>
          <w:bCs/>
          <w:sz w:val="22"/>
        </w:rPr>
        <w:t>–</w:t>
      </w:r>
      <w:r w:rsidRPr="00882568">
        <w:rPr>
          <w:rFonts w:ascii="Arial" w:hAnsi="Arial" w:cs="Arial"/>
          <w:bCs/>
          <w:sz w:val="22"/>
        </w:rPr>
        <w:t>, estudió la solicitud de suspensión provisional del segundo inciso del artículo 1; los literales a y c del artículo 2; el quinto inciso del artículo 2; el segundo inciso del artículo 3; el inciso final del artículo 4 y el artículo 5 del Decreto 92 de 2017.</w:t>
      </w:r>
    </w:p>
    <w:p w14:paraId="0A1AB6E7" w14:textId="24744457" w:rsidR="003372DB" w:rsidRPr="00882568" w:rsidRDefault="006C10D3" w:rsidP="00AB1F54">
      <w:pPr>
        <w:tabs>
          <w:tab w:val="left" w:pos="426"/>
        </w:tabs>
        <w:spacing w:before="120" w:after="120" w:line="276" w:lineRule="auto"/>
        <w:contextualSpacing/>
        <w:jc w:val="both"/>
        <w:rPr>
          <w:rFonts w:ascii="Arial" w:hAnsi="Arial" w:cs="Arial"/>
          <w:bCs/>
          <w:sz w:val="22"/>
        </w:rPr>
      </w:pPr>
      <w:r w:rsidRPr="00882568">
        <w:rPr>
          <w:rFonts w:ascii="Arial" w:hAnsi="Arial" w:cs="Arial"/>
          <w:bCs/>
          <w:sz w:val="22"/>
        </w:rPr>
        <w:tab/>
      </w:r>
      <w:r w:rsidR="007C24B3" w:rsidRPr="00882568">
        <w:rPr>
          <w:rFonts w:ascii="Arial" w:hAnsi="Arial" w:cs="Arial"/>
          <w:bCs/>
          <w:sz w:val="22"/>
        </w:rPr>
        <w:t xml:space="preserve">La primera norma que estudió el Consejo de Estado fue el inciso 2 del artículo 1 del Decreto 92 de 2017, el cual establece que la interpretación de las expresiones que se </w:t>
      </w:r>
      <w:r w:rsidR="007C24B3" w:rsidRPr="00882568">
        <w:rPr>
          <w:rFonts w:ascii="Arial" w:hAnsi="Arial" w:cs="Arial"/>
          <w:bCs/>
          <w:sz w:val="22"/>
        </w:rPr>
        <w:lastRenderedPageBreak/>
        <w:t>encuentran en mayúsculas en el Decreto 92 de 2017 se harían de conformidad con la guía que expida la Agencia Nacional de Contratación Pública. Esa Corporación señaló que esta disposición, así como el inciso segundo del artículo 3 del Decreto 92 de 2017, exceden la potestad reglamentaria, que está exclusivamente asignada al Presidente de la República, toda vez que la esencia de la facultad reglamentaria es de carácter permanente, inalienable, intransferible e irrenunciable. Por ello, el Presidente no la puede delegar en una entidad como la Agencia Nacional de Contratación Pública – Colombia Compra Eficiente, para que a través de una guía reglamente los vacíos de un Decreto. Al respecto señal</w:t>
      </w:r>
      <w:r w:rsidR="00AB1F54" w:rsidRPr="00882568">
        <w:rPr>
          <w:rFonts w:ascii="Arial" w:hAnsi="Arial" w:cs="Arial"/>
          <w:bCs/>
          <w:sz w:val="22"/>
        </w:rPr>
        <w:t>ó</w:t>
      </w:r>
      <w:r w:rsidR="00590C4F" w:rsidRPr="00882568">
        <w:rPr>
          <w:rFonts w:ascii="Arial" w:hAnsi="Arial" w:cs="Arial"/>
          <w:bCs/>
          <w:sz w:val="22"/>
        </w:rPr>
        <w:t>:</w:t>
      </w:r>
    </w:p>
    <w:p w14:paraId="0806AC5B" w14:textId="77777777" w:rsidR="00AB1F54" w:rsidRPr="00882568" w:rsidRDefault="00AB1F54" w:rsidP="00C1766E">
      <w:pPr>
        <w:tabs>
          <w:tab w:val="left" w:pos="426"/>
        </w:tabs>
        <w:spacing w:before="120" w:after="120" w:line="276" w:lineRule="auto"/>
        <w:contextualSpacing/>
        <w:jc w:val="both"/>
        <w:rPr>
          <w:rFonts w:ascii="Arial" w:hAnsi="Arial" w:cs="Arial"/>
          <w:bCs/>
          <w:sz w:val="22"/>
        </w:rPr>
      </w:pPr>
    </w:p>
    <w:p w14:paraId="7383BD88" w14:textId="030EDB15" w:rsidR="003372DB" w:rsidRPr="00882568" w:rsidRDefault="00167B6F" w:rsidP="00AB1F54">
      <w:pPr>
        <w:spacing w:before="120" w:after="120"/>
        <w:ind w:left="709" w:right="709"/>
        <w:contextualSpacing/>
        <w:jc w:val="both"/>
        <w:rPr>
          <w:rFonts w:ascii="Arial" w:eastAsia="Times New Roman" w:hAnsi="Arial" w:cs="Arial"/>
          <w:sz w:val="21"/>
          <w:szCs w:val="21"/>
          <w:lang w:val="es-ES" w:eastAsia="es-CO"/>
        </w:rPr>
      </w:pPr>
      <w:r w:rsidRPr="00882568">
        <w:rPr>
          <w:rFonts w:ascii="Arial" w:eastAsia="Times New Roman" w:hAnsi="Arial" w:cs="Arial"/>
          <w:sz w:val="21"/>
          <w:szCs w:val="21"/>
          <w:lang w:val="es-ES" w:eastAsia="es-CO"/>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r w:rsidR="00590C4F" w:rsidRPr="00882568">
        <w:rPr>
          <w:rFonts w:ascii="Arial" w:eastAsia="Times New Roman" w:hAnsi="Arial" w:cs="Arial"/>
          <w:sz w:val="21"/>
          <w:szCs w:val="21"/>
          <w:lang w:val="es-ES" w:eastAsia="es-CO"/>
        </w:rPr>
        <w:t>.</w:t>
      </w:r>
    </w:p>
    <w:p w14:paraId="6BF754B2" w14:textId="77777777" w:rsidR="00AB1F54" w:rsidRPr="00882568" w:rsidRDefault="00AB1F54" w:rsidP="00C1766E">
      <w:pPr>
        <w:spacing w:before="120" w:after="120"/>
        <w:ind w:left="709" w:right="709"/>
        <w:contextualSpacing/>
        <w:jc w:val="both"/>
        <w:rPr>
          <w:rFonts w:ascii="Arial" w:eastAsia="Times New Roman" w:hAnsi="Arial" w:cs="Arial"/>
          <w:sz w:val="21"/>
          <w:szCs w:val="21"/>
          <w:lang w:val="es-ES" w:eastAsia="es-CO"/>
        </w:rPr>
      </w:pPr>
    </w:p>
    <w:p w14:paraId="43F6C84A" w14:textId="64D92E64" w:rsidR="00E57453" w:rsidRPr="00882568" w:rsidRDefault="00E57453" w:rsidP="006C10D3">
      <w:pPr>
        <w:pStyle w:val="Textoindependiente"/>
        <w:spacing w:before="120" w:after="120" w:line="276" w:lineRule="auto"/>
        <w:ind w:right="107" w:firstLine="708"/>
        <w:jc w:val="both"/>
        <w:rPr>
          <w:color w:val="000000" w:themeColor="text1"/>
          <w:lang w:val="es-MX"/>
        </w:rPr>
      </w:pPr>
      <w:r w:rsidRPr="00882568">
        <w:rPr>
          <w:color w:val="000000" w:themeColor="text1"/>
          <w:lang w:val="es-MX"/>
        </w:rPr>
        <w:t>En virtud de este análisis, el Consejo de Estado suspendió provisionalmente el segundo inciso del artículo primero y el segundo inciso del artículo 3, lo que significa que los contratos celebrados con entidades sin ánimo de lucro no tienen que aplicar la «Guía para la contratación con entidades privadas sin ánimo de lucro y de reconocida idoneidad», expedida por la Agencia Nacional de Contratación Pública</w:t>
      </w:r>
      <w:r w:rsidR="00AB1F54" w:rsidRPr="00882568">
        <w:rPr>
          <w:color w:val="000000" w:themeColor="text1"/>
          <w:lang w:val="es-MX"/>
        </w:rPr>
        <w:t xml:space="preserve"> </w:t>
      </w:r>
      <w:r w:rsidRPr="00882568">
        <w:rPr>
          <w:color w:val="000000" w:themeColor="text1"/>
          <w:lang w:val="es-MX"/>
        </w:rPr>
        <w:t>–</w:t>
      </w:r>
      <w:r w:rsidR="00AB1F54" w:rsidRPr="00882568">
        <w:rPr>
          <w:color w:val="000000" w:themeColor="text1"/>
          <w:lang w:val="es-MX"/>
        </w:rPr>
        <w:t xml:space="preserve"> </w:t>
      </w:r>
      <w:r w:rsidRPr="00882568">
        <w:rPr>
          <w:color w:val="000000" w:themeColor="text1"/>
          <w:lang w:val="es-MX"/>
        </w:rPr>
        <w:t xml:space="preserve">Colombia Compra Eficiente. </w:t>
      </w:r>
    </w:p>
    <w:p w14:paraId="6D6EA741" w14:textId="77777777" w:rsidR="00E57453" w:rsidRPr="00882568" w:rsidRDefault="00E57453" w:rsidP="006C10D3">
      <w:pPr>
        <w:pStyle w:val="Textoindependiente"/>
        <w:spacing w:before="120" w:after="120" w:line="276" w:lineRule="auto"/>
        <w:ind w:right="107" w:firstLine="708"/>
        <w:jc w:val="both"/>
        <w:rPr>
          <w:color w:val="000000" w:themeColor="text1"/>
          <w:lang w:val="es-MX"/>
        </w:rPr>
      </w:pPr>
      <w:r w:rsidRPr="00882568">
        <w:rPr>
          <w:color w:val="000000" w:themeColor="text1"/>
          <w:lang w:val="es-MX"/>
        </w:rPr>
        <w:t xml:space="preserve">La segunda norma que analizó el Consejo de Estado fue el literal a), del artículo 2, del Decreto 92, el cual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 . </w:t>
      </w:r>
    </w:p>
    <w:p w14:paraId="205C2B72" w14:textId="3EEB9F93" w:rsidR="0031769D" w:rsidRPr="00882568" w:rsidRDefault="00E57453" w:rsidP="00C1766E">
      <w:pPr>
        <w:pStyle w:val="Textoindependiente"/>
        <w:spacing w:after="120" w:line="276" w:lineRule="auto"/>
        <w:ind w:right="107" w:firstLine="708"/>
        <w:contextualSpacing/>
        <w:jc w:val="both"/>
      </w:pPr>
      <w:r w:rsidRPr="00882568">
        <w:rPr>
          <w:color w:val="000000" w:themeColor="text1"/>
          <w:lang w:val="es-MX"/>
        </w:rPr>
        <w:t>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w:t>
      </w:r>
      <w:r w:rsidR="0031769D" w:rsidRPr="00882568">
        <w:t>:</w:t>
      </w:r>
    </w:p>
    <w:p w14:paraId="7D644ABD" w14:textId="77777777" w:rsidR="00AB1F54" w:rsidRPr="00882568" w:rsidRDefault="00AB1F54" w:rsidP="00AB1F54">
      <w:pPr>
        <w:spacing w:after="120"/>
        <w:ind w:left="709" w:right="709"/>
        <w:contextualSpacing/>
        <w:jc w:val="both"/>
        <w:rPr>
          <w:rFonts w:ascii="Arial" w:eastAsia="Times New Roman" w:hAnsi="Arial" w:cs="Arial"/>
          <w:sz w:val="21"/>
          <w:szCs w:val="21"/>
          <w:lang w:eastAsia="es-CO"/>
        </w:rPr>
      </w:pPr>
    </w:p>
    <w:p w14:paraId="6BAD71E6" w14:textId="0B942BE0" w:rsidR="0031769D" w:rsidRPr="00882568" w:rsidRDefault="00595FB0" w:rsidP="00AB1F54">
      <w:pPr>
        <w:spacing w:after="120"/>
        <w:ind w:left="709" w:right="709"/>
        <w:contextualSpacing/>
        <w:jc w:val="both"/>
        <w:rPr>
          <w:rFonts w:ascii="Arial" w:eastAsia="Times New Roman" w:hAnsi="Arial" w:cs="Arial"/>
          <w:sz w:val="21"/>
          <w:szCs w:val="21"/>
          <w:lang w:val="es-ES" w:eastAsia="es-CO"/>
        </w:rPr>
      </w:pPr>
      <w:r w:rsidRPr="00882568">
        <w:rPr>
          <w:rFonts w:ascii="Arial" w:eastAsia="Times New Roman" w:hAnsi="Arial" w:cs="Arial"/>
          <w:sz w:val="21"/>
          <w:szCs w:val="21"/>
          <w:lang w:val="es-ES" w:eastAsia="es-CO"/>
        </w:rPr>
        <w:t>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w:t>
      </w:r>
      <w:r w:rsidR="0031769D" w:rsidRPr="00882568">
        <w:rPr>
          <w:rFonts w:ascii="Arial" w:eastAsia="Times New Roman" w:hAnsi="Arial" w:cs="Arial"/>
          <w:sz w:val="21"/>
          <w:szCs w:val="21"/>
          <w:lang w:val="es-ES" w:eastAsia="es-CO"/>
        </w:rPr>
        <w:t>.</w:t>
      </w:r>
    </w:p>
    <w:p w14:paraId="4E63E38D" w14:textId="77777777" w:rsidR="00AB1F54" w:rsidRPr="00882568" w:rsidRDefault="00AB1F54" w:rsidP="00C1766E">
      <w:pPr>
        <w:spacing w:after="120"/>
        <w:ind w:left="709" w:right="709"/>
        <w:contextualSpacing/>
        <w:jc w:val="both"/>
        <w:rPr>
          <w:rFonts w:ascii="Arial" w:eastAsia="Times New Roman" w:hAnsi="Arial" w:cs="Arial"/>
          <w:sz w:val="21"/>
          <w:szCs w:val="21"/>
          <w:lang w:val="es-ES" w:eastAsia="es-CO"/>
        </w:rPr>
      </w:pPr>
    </w:p>
    <w:p w14:paraId="364C08D7" w14:textId="691D7462" w:rsidR="00D51BF2" w:rsidRPr="00882568" w:rsidRDefault="00CA0DF4" w:rsidP="00AB1F54">
      <w:pPr>
        <w:spacing w:before="120" w:after="120" w:line="276" w:lineRule="auto"/>
        <w:ind w:firstLine="708"/>
        <w:contextualSpacing/>
        <w:jc w:val="both"/>
        <w:rPr>
          <w:rFonts w:ascii="Arial" w:hAnsi="Arial" w:cs="Arial"/>
          <w:color w:val="000000" w:themeColor="text1"/>
          <w:sz w:val="22"/>
          <w:lang w:val="es-ES"/>
        </w:rPr>
      </w:pPr>
      <w:r w:rsidRPr="00882568">
        <w:rPr>
          <w:rFonts w:ascii="Arial" w:eastAsia="Calibri" w:hAnsi="Arial" w:cs="Arial"/>
          <w:color w:val="000000" w:themeColor="text1"/>
          <w:sz w:val="22"/>
          <w:lang w:val="es-ES_tradnl"/>
        </w:rPr>
        <w:t>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w:t>
      </w:r>
      <w:r w:rsidR="00DC275A" w:rsidRPr="00882568">
        <w:rPr>
          <w:rFonts w:ascii="Arial" w:hAnsi="Arial" w:cs="Arial"/>
          <w:color w:val="000000" w:themeColor="text1"/>
          <w:sz w:val="22"/>
          <w:lang w:val="es-ES"/>
        </w:rPr>
        <w:t>:</w:t>
      </w:r>
    </w:p>
    <w:p w14:paraId="2A06BD7A" w14:textId="77777777" w:rsidR="00AB1F54" w:rsidRPr="00882568" w:rsidRDefault="00AB1F54" w:rsidP="00C1766E">
      <w:pPr>
        <w:spacing w:before="120" w:after="120" w:line="276" w:lineRule="auto"/>
        <w:ind w:firstLine="708"/>
        <w:contextualSpacing/>
        <w:jc w:val="both"/>
        <w:rPr>
          <w:rFonts w:ascii="Arial" w:hAnsi="Arial" w:cs="Arial"/>
          <w:sz w:val="22"/>
        </w:rPr>
      </w:pPr>
    </w:p>
    <w:p w14:paraId="4148DB27" w14:textId="548A1B78" w:rsidR="00C60977" w:rsidRPr="00882568" w:rsidRDefault="000F6E7E" w:rsidP="00AB1F54">
      <w:pPr>
        <w:spacing w:before="120" w:after="120"/>
        <w:ind w:left="709" w:right="709"/>
        <w:contextualSpacing/>
        <w:jc w:val="both"/>
        <w:rPr>
          <w:rFonts w:ascii="Arial" w:eastAsia="Times New Roman" w:hAnsi="Arial" w:cs="Arial"/>
          <w:sz w:val="21"/>
          <w:szCs w:val="21"/>
          <w:lang w:val="es-ES" w:eastAsia="es-CO"/>
        </w:rPr>
      </w:pPr>
      <w:r w:rsidRPr="00882568">
        <w:rPr>
          <w:rFonts w:ascii="Arial" w:eastAsia="Times New Roman" w:hAnsi="Arial" w:cs="Arial"/>
          <w:sz w:val="21"/>
          <w:szCs w:val="21"/>
          <w:lang w:val="es-ES" w:eastAsia="es-CO"/>
        </w:rPr>
        <w:t>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w:t>
      </w:r>
      <w:r w:rsidR="00C60977" w:rsidRPr="00882568">
        <w:rPr>
          <w:rFonts w:ascii="Arial" w:eastAsia="Times New Roman" w:hAnsi="Arial" w:cs="Arial"/>
          <w:sz w:val="21"/>
          <w:szCs w:val="21"/>
          <w:lang w:val="es-ES" w:eastAsia="es-CO"/>
        </w:rPr>
        <w:t>.</w:t>
      </w:r>
    </w:p>
    <w:p w14:paraId="514CA508" w14:textId="77777777" w:rsidR="00AB1F54" w:rsidRPr="00882568" w:rsidRDefault="00AB1F54" w:rsidP="00C1766E">
      <w:pPr>
        <w:spacing w:before="120" w:after="120"/>
        <w:ind w:left="709" w:right="709"/>
        <w:contextualSpacing/>
        <w:jc w:val="both"/>
        <w:rPr>
          <w:rFonts w:ascii="Arial" w:eastAsia="Times New Roman" w:hAnsi="Arial" w:cs="Arial"/>
          <w:sz w:val="21"/>
          <w:szCs w:val="21"/>
          <w:lang w:val="es-ES" w:eastAsia="es-CO"/>
        </w:rPr>
      </w:pPr>
    </w:p>
    <w:p w14:paraId="129C92C3" w14:textId="77777777" w:rsidR="00B34BE9" w:rsidRPr="00882568" w:rsidRDefault="00B34BE9" w:rsidP="006C10D3">
      <w:pPr>
        <w:spacing w:before="120" w:after="120" w:line="276" w:lineRule="auto"/>
        <w:ind w:firstLine="708"/>
        <w:jc w:val="both"/>
        <w:rPr>
          <w:rFonts w:ascii="Arial" w:eastAsia="Arial" w:hAnsi="Arial" w:cs="Arial"/>
          <w:sz w:val="22"/>
          <w:lang w:val="es-ES"/>
        </w:rPr>
      </w:pPr>
      <w:r w:rsidRPr="00882568">
        <w:rPr>
          <w:rFonts w:ascii="Arial" w:eastAsia="Arial" w:hAnsi="Arial" w:cs="Arial"/>
          <w:sz w:val="22"/>
          <w:lang w:val="es-ES"/>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92 de 2017.</w:t>
      </w:r>
    </w:p>
    <w:p w14:paraId="63157089" w14:textId="5143B3B4" w:rsidR="0041172F" w:rsidRPr="00882568" w:rsidRDefault="00B34BE9" w:rsidP="00251372">
      <w:pPr>
        <w:spacing w:before="120" w:after="120" w:line="276" w:lineRule="auto"/>
        <w:ind w:firstLine="708"/>
        <w:contextualSpacing/>
        <w:jc w:val="both"/>
        <w:rPr>
          <w:rFonts w:ascii="Arial" w:hAnsi="Arial" w:cs="Arial"/>
          <w:color w:val="000000" w:themeColor="text1"/>
          <w:sz w:val="22"/>
          <w:lang w:val="es-CO"/>
        </w:rPr>
      </w:pPr>
      <w:r w:rsidRPr="00882568">
        <w:rPr>
          <w:rFonts w:ascii="Arial" w:eastAsia="Arial" w:hAnsi="Arial" w:cs="Arial"/>
          <w:sz w:val="22"/>
          <w:lang w:val="es-ES"/>
        </w:rPr>
        <w:t xml:space="preserve">En tercer lugar, el Consejo de Estado examinó el literal c) y el inciso 5 del artículo 2 del Decreto,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Lo anterior, considerando que se desconocería la naturaleza de las entidades sin ánimo de lucro, lo cual implica que ellas no participan en el mercado </w:t>
      </w:r>
      <w:r w:rsidRPr="00882568">
        <w:rPr>
          <w:rFonts w:ascii="Arial" w:eastAsia="Arial" w:hAnsi="Arial" w:cs="Arial"/>
          <w:sz w:val="22"/>
          <w:lang w:val="es-ES"/>
        </w:rPr>
        <w:lastRenderedPageBreak/>
        <w:t>de bienes y servicios de la misma forma que las demás sociedades. En este sentido, el Consejo de Estado manifestó</w:t>
      </w:r>
      <w:r w:rsidR="0041172F" w:rsidRPr="00882568">
        <w:rPr>
          <w:rFonts w:ascii="Arial" w:hAnsi="Arial" w:cs="Arial"/>
          <w:color w:val="000000" w:themeColor="text1"/>
          <w:sz w:val="22"/>
          <w:lang w:val="es-CO"/>
        </w:rPr>
        <w:t>:</w:t>
      </w:r>
    </w:p>
    <w:p w14:paraId="2D51D4FC" w14:textId="77777777" w:rsidR="00251372" w:rsidRPr="00882568" w:rsidRDefault="00251372" w:rsidP="00C1766E">
      <w:pPr>
        <w:spacing w:before="120" w:after="120" w:line="276" w:lineRule="auto"/>
        <w:ind w:firstLine="708"/>
        <w:contextualSpacing/>
        <w:jc w:val="both"/>
        <w:rPr>
          <w:rFonts w:ascii="Arial" w:hAnsi="Arial" w:cs="Arial"/>
          <w:color w:val="000000" w:themeColor="text1"/>
          <w:sz w:val="22"/>
          <w:lang w:val="es-CO"/>
        </w:rPr>
      </w:pPr>
    </w:p>
    <w:p w14:paraId="474F46B2" w14:textId="3764A429" w:rsidR="00E56F2B" w:rsidRPr="00882568" w:rsidRDefault="008B1930" w:rsidP="00251372">
      <w:pPr>
        <w:spacing w:before="120" w:after="120"/>
        <w:ind w:left="709" w:right="709"/>
        <w:contextualSpacing/>
        <w:jc w:val="both"/>
        <w:rPr>
          <w:rFonts w:ascii="Arial" w:hAnsi="Arial" w:cs="Arial"/>
          <w:sz w:val="21"/>
          <w:szCs w:val="21"/>
          <w:lang w:val="es-ES_tradnl"/>
        </w:rPr>
      </w:pPr>
      <w:bookmarkStart w:id="2" w:name="_Hlk84939568"/>
      <w:r w:rsidRPr="00882568">
        <w:rPr>
          <w:rFonts w:ascii="Arial" w:eastAsia="Times New Roman" w:hAnsi="Arial" w:cs="Arial"/>
          <w:sz w:val="21"/>
          <w:szCs w:val="21"/>
          <w:lang w:val="es-ES" w:eastAsia="es-CO"/>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r w:rsidR="00E56F2B" w:rsidRPr="00882568">
        <w:rPr>
          <w:rFonts w:ascii="Arial" w:hAnsi="Arial" w:cs="Arial"/>
          <w:sz w:val="21"/>
          <w:szCs w:val="21"/>
          <w:lang w:val="es-ES_tradnl"/>
        </w:rPr>
        <w:t>.</w:t>
      </w:r>
      <w:bookmarkEnd w:id="2"/>
    </w:p>
    <w:p w14:paraId="2AFA7FDA" w14:textId="77777777" w:rsidR="00251372" w:rsidRPr="00882568" w:rsidRDefault="00251372" w:rsidP="00C1766E">
      <w:pPr>
        <w:spacing w:before="120" w:after="120"/>
        <w:ind w:left="709" w:right="709"/>
        <w:contextualSpacing/>
        <w:jc w:val="both"/>
        <w:rPr>
          <w:rFonts w:ascii="Arial" w:hAnsi="Arial" w:cs="Arial"/>
          <w:sz w:val="21"/>
          <w:szCs w:val="21"/>
          <w:lang w:val="es-ES_tradnl"/>
        </w:rPr>
      </w:pPr>
    </w:p>
    <w:p w14:paraId="444DE4DD" w14:textId="55F0F83D" w:rsidR="00F05715" w:rsidRPr="00882568" w:rsidRDefault="00F05715" w:rsidP="006C10D3">
      <w:pPr>
        <w:pStyle w:val="Textoindependiente"/>
        <w:spacing w:before="120" w:after="120" w:line="276" w:lineRule="auto"/>
        <w:ind w:right="108" w:firstLine="708"/>
        <w:jc w:val="both"/>
        <w:rPr>
          <w:color w:val="000000" w:themeColor="text1"/>
        </w:rPr>
      </w:pPr>
      <w:r w:rsidRPr="00882568">
        <w:rPr>
          <w:color w:val="000000" w:themeColor="text1"/>
        </w:rPr>
        <w:t>Así las cosas, se suspendió provisionalmente el literal c) y el inciso 5º del artículo 2 del Decreto 92 de 2017, razón por la cual los procesos de contratación con entidades privadas sin ánimo de lucro no quedan condicionados</w:t>
      </w:r>
      <w:r w:rsidR="00251372" w:rsidRPr="00882568">
        <w:rPr>
          <w:color w:val="000000" w:themeColor="text1"/>
        </w:rPr>
        <w:t>, como requisito obligatorio,</w:t>
      </w:r>
      <w:r w:rsidRPr="00882568">
        <w:rPr>
          <w:color w:val="000000" w:themeColor="text1"/>
        </w:rPr>
        <w:t xml:space="preserve"> a la inexistencia de oferta en el mercado de bienes y servicios, ni a que la ESAL garantice la mejor oferta y la optimización de los recursos públicos. Esto, atendiendo a que esas condiciones son propias de la contratación del Estatuto General de Contratación de la Administración Pública y no del régimen jurídico especial que establece el artículo 355 de la Constitución Política.</w:t>
      </w:r>
    </w:p>
    <w:p w14:paraId="07CDB6C8" w14:textId="75896FE2" w:rsidR="00F41559" w:rsidRPr="00882568" w:rsidRDefault="00F05715" w:rsidP="00251372">
      <w:pPr>
        <w:pStyle w:val="Textoindependiente"/>
        <w:spacing w:before="120" w:after="120" w:line="276" w:lineRule="auto"/>
        <w:ind w:right="108" w:firstLine="708"/>
        <w:contextualSpacing/>
        <w:jc w:val="both"/>
        <w:rPr>
          <w:rFonts w:eastAsia="Times New Roman"/>
          <w:bCs/>
          <w:color w:val="000000" w:themeColor="text1"/>
          <w:lang w:eastAsia="es-ES_tradnl"/>
        </w:rPr>
      </w:pPr>
      <w:r w:rsidRPr="00882568">
        <w:rPr>
          <w:color w:val="000000" w:themeColor="text1"/>
        </w:rPr>
        <w:t>La cuarta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 Para la Sala, esta norma vulnera el principio de igualdad, por establecer un privilegio para determinadas personas jurídicas o naturales que ejecuten únicamente las actividades allí previstas, contratándolas sin realizar un proceso competitivo. El Consejo de Estado se pronunció en los siguientes términos</w:t>
      </w:r>
      <w:r w:rsidR="00F41559" w:rsidRPr="00882568">
        <w:rPr>
          <w:rFonts w:eastAsia="Times New Roman"/>
          <w:bCs/>
          <w:color w:val="000000" w:themeColor="text1"/>
          <w:lang w:eastAsia="es-ES_tradnl"/>
        </w:rPr>
        <w:t>.</w:t>
      </w:r>
    </w:p>
    <w:p w14:paraId="5214D8D1" w14:textId="77777777" w:rsidR="00251372" w:rsidRPr="00882568" w:rsidRDefault="00251372" w:rsidP="00C1766E">
      <w:pPr>
        <w:pStyle w:val="Textoindependiente"/>
        <w:spacing w:line="276" w:lineRule="auto"/>
        <w:ind w:right="108" w:firstLine="708"/>
        <w:contextualSpacing/>
        <w:jc w:val="both"/>
        <w:rPr>
          <w:rFonts w:eastAsia="Times New Roman"/>
          <w:bCs/>
          <w:color w:val="000000" w:themeColor="text1"/>
          <w:lang w:eastAsia="es-ES_tradnl"/>
        </w:rPr>
      </w:pPr>
    </w:p>
    <w:p w14:paraId="69E1EBAA" w14:textId="04CEAE8F" w:rsidR="00F05715" w:rsidRPr="00882568" w:rsidRDefault="00B33972" w:rsidP="00C1766E">
      <w:pPr>
        <w:ind w:left="709" w:right="709"/>
        <w:contextualSpacing/>
        <w:jc w:val="both"/>
        <w:rPr>
          <w:rFonts w:ascii="Arial" w:hAnsi="Arial" w:cs="Arial"/>
          <w:sz w:val="21"/>
          <w:szCs w:val="21"/>
          <w:lang w:val="es-ES_tradnl"/>
        </w:rPr>
      </w:pPr>
      <w:proofErr w:type="gramStart"/>
      <w:r w:rsidRPr="00882568">
        <w:rPr>
          <w:rFonts w:ascii="Arial" w:eastAsia="Times New Roman" w:hAnsi="Arial" w:cs="Arial"/>
          <w:sz w:val="21"/>
          <w:szCs w:val="21"/>
          <w:lang w:val="es-ES" w:eastAsia="es-CO"/>
        </w:rPr>
        <w:t>Puestas</w:t>
      </w:r>
      <w:proofErr w:type="gramEnd"/>
      <w:r w:rsidRPr="00882568">
        <w:rPr>
          <w:rFonts w:ascii="Arial" w:eastAsia="Times New Roman" w:hAnsi="Arial" w:cs="Arial"/>
          <w:sz w:val="21"/>
          <w:szCs w:val="21"/>
          <w:lang w:val="es-ES" w:eastAsia="es-CO"/>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w:t>
      </w:r>
      <w:r w:rsidRPr="00882568">
        <w:rPr>
          <w:rFonts w:ascii="Arial" w:eastAsia="Times New Roman" w:hAnsi="Arial" w:cs="Arial"/>
          <w:sz w:val="21"/>
          <w:szCs w:val="21"/>
          <w:lang w:val="es-ES" w:eastAsia="es-CO"/>
        </w:rPr>
        <w:lastRenderedPageBreak/>
        <w:t>con este tipo de actividades (artísticas, culturales, deportivas y de promoción a la diversidad étnica) frente a las actividades de interés público de otra naturaleza</w:t>
      </w:r>
      <w:r w:rsidR="00F05715" w:rsidRPr="00882568">
        <w:rPr>
          <w:rFonts w:ascii="Arial" w:hAnsi="Arial" w:cs="Arial"/>
          <w:sz w:val="21"/>
          <w:szCs w:val="21"/>
          <w:lang w:val="es-ES_tradnl"/>
        </w:rPr>
        <w:t>.</w:t>
      </w:r>
    </w:p>
    <w:p w14:paraId="080B5541" w14:textId="77777777" w:rsidR="00251372" w:rsidRPr="00882568" w:rsidRDefault="00251372" w:rsidP="00C1766E">
      <w:pPr>
        <w:ind w:left="709" w:right="709"/>
        <w:contextualSpacing/>
        <w:jc w:val="both"/>
        <w:rPr>
          <w:rFonts w:ascii="Arial" w:hAnsi="Arial" w:cs="Arial"/>
          <w:sz w:val="21"/>
          <w:szCs w:val="21"/>
          <w:lang w:val="es-ES_tradnl"/>
        </w:rPr>
      </w:pPr>
    </w:p>
    <w:p w14:paraId="1EA274AD" w14:textId="773B62BA" w:rsidR="00633098" w:rsidRPr="00882568" w:rsidRDefault="0066570D" w:rsidP="00251372">
      <w:pPr>
        <w:pStyle w:val="Textoindependiente"/>
        <w:spacing w:before="120" w:after="120" w:line="276" w:lineRule="auto"/>
        <w:ind w:right="108" w:firstLine="708"/>
        <w:contextualSpacing/>
        <w:jc w:val="both"/>
        <w:rPr>
          <w:color w:val="000000" w:themeColor="text1"/>
        </w:rPr>
      </w:pPr>
      <w:r w:rsidRPr="00882568">
        <w:rPr>
          <w:color w:val="000000" w:themeColor="text1"/>
        </w:rPr>
        <w:t>Por último, en quinto 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w:t>
      </w:r>
    </w:p>
    <w:p w14:paraId="7EF32EB7" w14:textId="29B720FC" w:rsidR="0033686A" w:rsidRPr="00882568" w:rsidRDefault="00251372" w:rsidP="00403BF0">
      <w:pPr>
        <w:spacing w:before="120" w:after="120" w:line="276" w:lineRule="auto"/>
        <w:jc w:val="both"/>
        <w:rPr>
          <w:rFonts w:ascii="Arial" w:eastAsia="Times New Roman" w:hAnsi="Arial" w:cs="Arial"/>
          <w:bCs/>
          <w:color w:val="000000" w:themeColor="text1"/>
          <w:sz w:val="22"/>
          <w:lang w:val="es-ES" w:eastAsia="es-ES_tradnl"/>
        </w:rPr>
      </w:pPr>
      <w:r w:rsidRPr="00882568">
        <w:rPr>
          <w:color w:val="000000" w:themeColor="text1"/>
        </w:rPr>
        <w:tab/>
      </w:r>
      <w:r w:rsidRPr="00882568">
        <w:rPr>
          <w:rFonts w:ascii="Arial" w:hAnsi="Arial" w:cs="Arial"/>
          <w:color w:val="000000" w:themeColor="text1"/>
        </w:rPr>
        <w:t xml:space="preserve">Sin perjuicio de los efectos </w:t>
      </w:r>
      <w:r w:rsidRPr="00882568">
        <w:rPr>
          <w:rFonts w:ascii="Arial" w:eastAsia="Times New Roman" w:hAnsi="Arial" w:cs="Arial"/>
          <w:bCs/>
          <w:color w:val="000000" w:themeColor="text1"/>
          <w:sz w:val="22"/>
          <w:lang w:val="es-ES" w:eastAsia="es-ES_tradnl"/>
        </w:rPr>
        <w:t>d</w:t>
      </w:r>
      <w:r w:rsidR="0033686A" w:rsidRPr="00882568">
        <w:rPr>
          <w:rFonts w:ascii="Arial" w:eastAsia="Times New Roman" w:hAnsi="Arial" w:cs="Arial"/>
          <w:bCs/>
          <w:color w:val="000000" w:themeColor="text1"/>
          <w:sz w:val="22"/>
          <w:lang w:val="es-ES" w:eastAsia="es-ES_tradnl"/>
        </w:rPr>
        <w:t xml:space="preserve">el auto </w:t>
      </w:r>
      <w:r w:rsidR="00E60369">
        <w:rPr>
          <w:rFonts w:ascii="Arial" w:eastAsia="Times New Roman" w:hAnsi="Arial" w:cs="Arial"/>
          <w:bCs/>
          <w:color w:val="000000" w:themeColor="text1"/>
          <w:sz w:val="22"/>
          <w:lang w:val="es-ES" w:eastAsia="es-ES_tradnl"/>
        </w:rPr>
        <w:t>d</w:t>
      </w:r>
      <w:r w:rsidR="0033686A" w:rsidRPr="00882568">
        <w:rPr>
          <w:rFonts w:ascii="Arial" w:eastAsia="Times New Roman" w:hAnsi="Arial" w:cs="Arial"/>
          <w:bCs/>
          <w:color w:val="000000" w:themeColor="text1"/>
          <w:sz w:val="22"/>
          <w:lang w:val="es-ES" w:eastAsia="es-ES_tradnl"/>
        </w:rPr>
        <w:t xml:space="preserve">e suspensión provisional del 6 de agosto de 2019, la contratación con entidades sin ánimo de lucro se sigue rigiendo por el Decreto 92 de 2017, salvo lo que fue objeto de suspensión provisional, es decir, el segundo inciso del artículo 1; los literales a y c del artículo 2; el quinto inciso del artículo 2; el segundo inciso del artículo 3 y el inciso final del artículo 4. </w:t>
      </w:r>
    </w:p>
    <w:p w14:paraId="3924F427" w14:textId="46FC2B10" w:rsidR="00505F59" w:rsidRPr="00882568" w:rsidRDefault="0033686A" w:rsidP="006C10D3">
      <w:pPr>
        <w:spacing w:before="120" w:after="120" w:line="276" w:lineRule="auto"/>
        <w:ind w:firstLine="708"/>
        <w:jc w:val="both"/>
        <w:rPr>
          <w:rFonts w:ascii="Arial" w:hAnsi="Arial" w:cs="Arial"/>
          <w:color w:val="000000" w:themeColor="text1"/>
          <w:sz w:val="22"/>
        </w:rPr>
      </w:pPr>
      <w:r w:rsidRPr="00882568">
        <w:rPr>
          <w:rFonts w:ascii="Arial" w:eastAsia="Times New Roman" w:hAnsi="Arial" w:cs="Arial"/>
          <w:bCs/>
          <w:color w:val="000000" w:themeColor="text1"/>
          <w:sz w:val="22"/>
          <w:lang w:val="es-ES" w:eastAsia="es-ES_tradnl"/>
        </w:rPr>
        <w:t xml:space="preserve"> Por tanto, las entidades públicas que desean celebrar </w:t>
      </w:r>
      <w:r w:rsidRPr="00882568">
        <w:rPr>
          <w:rFonts w:ascii="Arial" w:eastAsia="Times New Roman" w:hAnsi="Arial" w:cs="Arial"/>
          <w:bCs/>
          <w:i/>
          <w:iCs/>
          <w:color w:val="000000" w:themeColor="text1"/>
          <w:sz w:val="22"/>
          <w:lang w:val="es-ES" w:eastAsia="es-ES_tradnl"/>
        </w:rPr>
        <w:t>contratos de interés público</w:t>
      </w:r>
      <w:r w:rsidRPr="00882568">
        <w:rPr>
          <w:rFonts w:ascii="Arial" w:eastAsia="Times New Roman" w:hAnsi="Arial" w:cs="Arial"/>
          <w:bCs/>
          <w:color w:val="000000" w:themeColor="text1"/>
          <w:sz w:val="22"/>
          <w:lang w:val="es-ES" w:eastAsia="es-ES_tradnl"/>
        </w:rPr>
        <w:t>, en los términos del artículo 355 de la Constitución Política, deberán contratar con ESAL de reconocida idoneidad, teniendo en cuenta las siguientes características del proceso: i) no se debe condicionar el proceso de contratación a la inexistencia de oferta en el mercado de bienes y servicios; ii) tampoco debe condicionar a que la contratación con las ESAL garantice la optimización de los recursos públicos en términos de eficiencia, eficacia, economía y manejo del riesgo; iii) el objeto del contrato debe estar acorde con el Plan Nacional o Seccional de Desarrollo y no necesariamente estar previstos directamente en ellos;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v) el contrato no puede establecer una relación conmutativa, en la cual, haya una contraprestación directa a favor de la entidad, ni instrucciones precisas dadas por esta al contratista para cumplir con el objeto del contrato y vi) el representante legal debe autorizar de manera previa y expresa la contratación con ESAL a través del procedimiento especial establecido en el Decreto 92 de 2007, y acreditar tal circunstancia en los Documentos del Proceso</w:t>
      </w:r>
      <w:r w:rsidR="00D828B4" w:rsidRPr="00882568">
        <w:rPr>
          <w:rFonts w:ascii="Arial" w:hAnsi="Arial" w:cs="Arial"/>
          <w:color w:val="000000" w:themeColor="text1"/>
          <w:sz w:val="22"/>
        </w:rPr>
        <w:t>.</w:t>
      </w:r>
    </w:p>
    <w:p w14:paraId="530CE0AC" w14:textId="77777777" w:rsidR="00251372" w:rsidRPr="00882568" w:rsidRDefault="00251372" w:rsidP="00C1766E">
      <w:pPr>
        <w:spacing w:line="276" w:lineRule="auto"/>
        <w:ind w:firstLine="708"/>
        <w:jc w:val="both"/>
        <w:rPr>
          <w:rFonts w:ascii="Arial" w:hAnsi="Arial" w:cs="Arial"/>
          <w:color w:val="000000" w:themeColor="text1"/>
          <w:sz w:val="22"/>
        </w:rPr>
      </w:pPr>
    </w:p>
    <w:p w14:paraId="4AF1BC29" w14:textId="30141AD9" w:rsidR="00A86FD8" w:rsidRPr="00882568" w:rsidRDefault="00BC26AF" w:rsidP="00C1766E">
      <w:pPr>
        <w:pStyle w:val="Textoindependiente"/>
        <w:spacing w:line="276" w:lineRule="auto"/>
        <w:ind w:right="107"/>
        <w:jc w:val="both"/>
        <w:rPr>
          <w:rFonts w:eastAsia="Times New Roman"/>
          <w:bCs/>
          <w:color w:val="000000" w:themeColor="text1"/>
          <w:lang w:eastAsia="es-ES_tradnl"/>
        </w:rPr>
      </w:pPr>
      <w:r w:rsidRPr="00882568">
        <w:rPr>
          <w:b/>
          <w:color w:val="000000" w:themeColor="text1"/>
        </w:rPr>
        <w:t xml:space="preserve">3. </w:t>
      </w:r>
      <w:r w:rsidR="00F31211" w:rsidRPr="00882568">
        <w:rPr>
          <w:b/>
          <w:color w:val="000000" w:themeColor="text1"/>
        </w:rPr>
        <w:t>Respuesta</w:t>
      </w:r>
      <w:r w:rsidR="00F31211" w:rsidRPr="00882568">
        <w:rPr>
          <w:rFonts w:eastAsia="Times New Roman"/>
          <w:bCs/>
          <w:color w:val="000000" w:themeColor="text1"/>
          <w:lang w:eastAsia="es-ES_tradnl"/>
        </w:rPr>
        <w:t xml:space="preserve"> </w:t>
      </w:r>
    </w:p>
    <w:p w14:paraId="0E56D40C" w14:textId="77777777" w:rsidR="00251372" w:rsidRPr="00882568" w:rsidRDefault="00251372" w:rsidP="00C1766E">
      <w:pPr>
        <w:pStyle w:val="Textoindependiente"/>
        <w:ind w:right="107"/>
        <w:jc w:val="both"/>
        <w:rPr>
          <w:rFonts w:eastAsia="Times New Roman"/>
          <w:bCs/>
          <w:color w:val="000000" w:themeColor="text1"/>
          <w:lang w:eastAsia="es-ES_tradnl"/>
        </w:rPr>
      </w:pPr>
    </w:p>
    <w:p w14:paraId="360C72F3" w14:textId="6DA61DF2" w:rsidR="000C1BCA" w:rsidRPr="00882568" w:rsidRDefault="00A86FD8" w:rsidP="00C1766E">
      <w:pPr>
        <w:ind w:left="709" w:right="709"/>
        <w:jc w:val="both"/>
        <w:rPr>
          <w:rFonts w:ascii="Arial" w:eastAsia="Times New Roman" w:hAnsi="Arial" w:cs="Arial"/>
          <w:bCs/>
          <w:color w:val="000000"/>
          <w:sz w:val="21"/>
          <w:szCs w:val="21"/>
          <w:lang w:eastAsia="es-CO"/>
        </w:rPr>
      </w:pPr>
      <w:r w:rsidRPr="00882568">
        <w:rPr>
          <w:rFonts w:ascii="Arial" w:eastAsia="Times New Roman" w:hAnsi="Arial" w:cs="Arial"/>
          <w:bCs/>
          <w:color w:val="000000"/>
          <w:sz w:val="21"/>
          <w:szCs w:val="21"/>
          <w:lang w:eastAsia="es-CO"/>
        </w:rPr>
        <w:t xml:space="preserve">«En aplicación del decreto 092-2017 y teniendo en cuenta la suspensión provisional de algunos numerales e incisos del artículo segundo del mismo, se </w:t>
      </w:r>
      <w:r w:rsidRPr="00882568">
        <w:rPr>
          <w:rFonts w:ascii="Arial" w:eastAsia="Times New Roman" w:hAnsi="Arial" w:cs="Arial"/>
          <w:bCs/>
          <w:color w:val="000000"/>
          <w:sz w:val="21"/>
          <w:szCs w:val="21"/>
          <w:lang w:eastAsia="es-CO"/>
        </w:rPr>
        <w:lastRenderedPageBreak/>
        <w:t>requiere saber y obtener claridad para determinar en que casos definidos en el decreto es necesario la expedición de una aprobación del representante legal de la Entidad Estatal para suscribir contratos en el marco de mencionada norma. Aplicaría la expedición de dicha autorización para el trámite del proceso competitivo».</w:t>
      </w:r>
    </w:p>
    <w:p w14:paraId="02EA2402" w14:textId="77777777" w:rsidR="00251372" w:rsidRPr="00882568" w:rsidRDefault="00251372" w:rsidP="00C1766E">
      <w:pPr>
        <w:jc w:val="both"/>
        <w:rPr>
          <w:rFonts w:ascii="Arial" w:hAnsi="Arial" w:cs="Arial"/>
          <w:sz w:val="22"/>
        </w:rPr>
      </w:pPr>
    </w:p>
    <w:p w14:paraId="136C92D3" w14:textId="150E2E53" w:rsidR="00BD5431" w:rsidRPr="00882568" w:rsidRDefault="00BD5431" w:rsidP="00251372">
      <w:pPr>
        <w:spacing w:after="120" w:line="276" w:lineRule="auto"/>
        <w:jc w:val="both"/>
        <w:rPr>
          <w:rFonts w:ascii="Arial" w:hAnsi="Arial" w:cs="Arial"/>
          <w:sz w:val="22"/>
        </w:rPr>
      </w:pPr>
      <w:r w:rsidRPr="00882568">
        <w:rPr>
          <w:rFonts w:ascii="Arial" w:hAnsi="Arial" w:cs="Arial"/>
          <w:sz w:val="22"/>
        </w:rPr>
        <w:t xml:space="preserve">Conforme a lo expuesto en torno a la suspensión provisional de las normas señaladas, esta Subdirección considera que la autorización previa y expresa del representante legal para cada contrato en particular que la </w:t>
      </w:r>
      <w:r w:rsidR="009831FA" w:rsidRPr="00882568">
        <w:rPr>
          <w:rFonts w:ascii="Arial" w:hAnsi="Arial" w:cs="Arial"/>
          <w:sz w:val="22"/>
        </w:rPr>
        <w:t>e</w:t>
      </w:r>
      <w:r w:rsidRPr="00882568">
        <w:rPr>
          <w:rFonts w:ascii="Arial" w:hAnsi="Arial" w:cs="Arial"/>
          <w:sz w:val="22"/>
        </w:rPr>
        <w:t xml:space="preserve">ntidad </w:t>
      </w:r>
      <w:r w:rsidR="009831FA" w:rsidRPr="00882568">
        <w:rPr>
          <w:rFonts w:ascii="Arial" w:hAnsi="Arial" w:cs="Arial"/>
          <w:sz w:val="22"/>
        </w:rPr>
        <w:t>e</w:t>
      </w:r>
      <w:r w:rsidRPr="00882568">
        <w:rPr>
          <w:rFonts w:ascii="Arial" w:hAnsi="Arial" w:cs="Arial"/>
          <w:sz w:val="22"/>
        </w:rPr>
        <w:t>statal planee suscribir bajo la modalidad establecida en los artículos 2, 3 y 4 del Decreto 92 de 2007 con una ESAL de reconocida idoneidad, aplica independientemente de si existe solo una ESAL que pueda desarrollar el objeto del proceso o si existen varias ESAL que lo pueden hacer, indicando la necesidad de adelantar un proceso competitivo entre ellas.  Esto, por cuanto el aparte del artículo 2 que se refiere a la autorización en mención, no fue suspendido por el Consejo de Estado en el Auto del 6 de agosto de 2019.</w:t>
      </w:r>
    </w:p>
    <w:p w14:paraId="4CFBB913" w14:textId="62BBA88C" w:rsidR="001E6077" w:rsidRPr="00882568" w:rsidRDefault="001E6077" w:rsidP="001E6077">
      <w:pPr>
        <w:spacing w:before="120" w:after="120" w:line="276" w:lineRule="auto"/>
        <w:ind w:firstLine="709"/>
        <w:jc w:val="both"/>
        <w:rPr>
          <w:rFonts w:ascii="Arial" w:eastAsia="Times New Roman" w:hAnsi="Arial" w:cs="Arial"/>
          <w:color w:val="000000"/>
          <w:sz w:val="22"/>
          <w:lang w:val="es-CO" w:eastAsia="es-MX"/>
        </w:rPr>
      </w:pPr>
      <w:r w:rsidRPr="00882568">
        <w:rPr>
          <w:rFonts w:ascii="Arial" w:eastAsia="Times New Roman" w:hAnsi="Arial" w:cs="Arial"/>
          <w:color w:val="000000"/>
          <w:sz w:val="22"/>
          <w:shd w:val="clear" w:color="auto" w:fill="FFFFFF"/>
          <w:lang w:val="es-CO" w:eastAsia="es-MX"/>
        </w:rPr>
        <w:t>Además, el requisito consistente en contar con la autorización previa y expresa por parte del representante legal y que esta conste en los Documentos del proceso, es una exigencia que se establece de forma precisa en los incisos finales del artículo 2 del Decreto 92 de 2017</w:t>
      </w:r>
      <w:r w:rsidRPr="00882568">
        <w:rPr>
          <w:rStyle w:val="Refdenotaalpie"/>
          <w:rFonts w:ascii="Arial" w:eastAsia="Times New Roman" w:hAnsi="Arial" w:cs="Arial"/>
          <w:color w:val="000000"/>
          <w:sz w:val="22"/>
          <w:shd w:val="clear" w:color="auto" w:fill="FFFFFF"/>
          <w:lang w:val="es-CO" w:eastAsia="es-MX"/>
        </w:rPr>
        <w:footnoteReference w:id="2"/>
      </w:r>
      <w:r w:rsidRPr="00882568">
        <w:rPr>
          <w:rFonts w:ascii="Arial" w:eastAsia="Times New Roman" w:hAnsi="Arial" w:cs="Arial"/>
          <w:color w:val="000000"/>
          <w:sz w:val="22"/>
          <w:lang w:val="es-CO" w:eastAsia="es-MX"/>
        </w:rPr>
        <w:t xml:space="preserve">. Además, como se advierte, el requisito se establece para cada contrato en particular que la entidad planee suscribir, siempre que se trate de uno de los </w:t>
      </w:r>
      <w:r w:rsidRPr="00882568">
        <w:rPr>
          <w:rFonts w:ascii="Arial" w:eastAsia="Times New Roman" w:hAnsi="Arial" w:cs="Arial"/>
          <w:i/>
          <w:iCs/>
          <w:color w:val="000000"/>
          <w:sz w:val="22"/>
          <w:lang w:val="es-CO" w:eastAsia="es-MX"/>
        </w:rPr>
        <w:t>convenios de colaboración</w:t>
      </w:r>
      <w:r w:rsidRPr="00882568">
        <w:rPr>
          <w:rFonts w:ascii="Arial" w:eastAsia="Times New Roman" w:hAnsi="Arial" w:cs="Arial"/>
          <w:color w:val="000000"/>
          <w:sz w:val="22"/>
          <w:lang w:val="es-CO" w:eastAsia="es-MX"/>
        </w:rPr>
        <w:t xml:space="preserve"> regulados en el artículo 2 </w:t>
      </w:r>
      <w:r w:rsidRPr="00882568">
        <w:rPr>
          <w:rFonts w:ascii="Arial" w:eastAsia="Times New Roman" w:hAnsi="Arial" w:cs="Arial"/>
          <w:i/>
          <w:iCs/>
          <w:color w:val="000000"/>
          <w:sz w:val="22"/>
          <w:lang w:val="es-CO" w:eastAsia="es-MX"/>
        </w:rPr>
        <w:t>ibidem</w:t>
      </w:r>
      <w:r w:rsidRPr="00882568">
        <w:rPr>
          <w:rFonts w:ascii="Arial" w:eastAsia="Times New Roman" w:hAnsi="Arial" w:cs="Arial"/>
          <w:color w:val="000000"/>
          <w:sz w:val="22"/>
          <w:lang w:val="es-CO" w:eastAsia="es-MX"/>
        </w:rPr>
        <w:t xml:space="preserve">, por lo que la norma no distingue en el sentido de definir si aplica para procesos competitivos o no competitivos, por lo que aplicará en cualquiera de los supuestos. Sin embargo, cabe aclarar que dicha exigencia no aplicaría para los </w:t>
      </w:r>
      <w:r w:rsidRPr="00882568">
        <w:rPr>
          <w:rFonts w:ascii="Arial" w:eastAsia="Times New Roman" w:hAnsi="Arial" w:cs="Arial"/>
          <w:i/>
          <w:iCs/>
          <w:color w:val="000000"/>
          <w:sz w:val="22"/>
          <w:lang w:val="es-CO" w:eastAsia="es-MX"/>
        </w:rPr>
        <w:t xml:space="preserve">convenios de asociación </w:t>
      </w:r>
      <w:r w:rsidRPr="00882568">
        <w:rPr>
          <w:rFonts w:ascii="Arial" w:eastAsia="Times New Roman" w:hAnsi="Arial" w:cs="Arial"/>
          <w:color w:val="000000"/>
          <w:sz w:val="22"/>
          <w:lang w:val="es-CO" w:eastAsia="es-MX"/>
        </w:rPr>
        <w:t>de que trata el artículo 5 de dicho decreto, toda vez que como lo establece este último artículo «estos convenios de asociación son distintos a los contratos a los que hace referencia el artículo </w:t>
      </w:r>
      <w:hyperlink r:id="rId18" w:anchor="2" w:history="1">
        <w:r w:rsidRPr="00882568">
          <w:rPr>
            <w:rFonts w:ascii="Arial" w:eastAsia="Times New Roman" w:hAnsi="Arial" w:cs="Arial"/>
            <w:color w:val="000000"/>
            <w:sz w:val="22"/>
            <w:lang w:val="es-CO" w:eastAsia="es-MX"/>
          </w:rPr>
          <w:t>2</w:t>
        </w:r>
      </w:hyperlink>
      <w:r w:rsidRPr="00882568">
        <w:rPr>
          <w:rFonts w:ascii="Arial" w:eastAsia="Times New Roman" w:hAnsi="Arial" w:cs="Arial"/>
          <w:color w:val="000000"/>
          <w:sz w:val="22"/>
          <w:lang w:val="es-CO" w:eastAsia="es-MX"/>
        </w:rPr>
        <w:t>o y están regidos por el artículo </w:t>
      </w:r>
      <w:hyperlink r:id="rId19" w:anchor="96" w:history="1">
        <w:r w:rsidRPr="00882568">
          <w:rPr>
            <w:rFonts w:ascii="Arial" w:eastAsia="Times New Roman" w:hAnsi="Arial" w:cs="Arial"/>
            <w:color w:val="000000"/>
            <w:sz w:val="22"/>
            <w:lang w:val="es-CO" w:eastAsia="es-MX"/>
          </w:rPr>
          <w:t>96</w:t>
        </w:r>
      </w:hyperlink>
      <w:r w:rsidRPr="00882568">
        <w:rPr>
          <w:rFonts w:ascii="Arial" w:eastAsia="Times New Roman" w:hAnsi="Arial" w:cs="Arial"/>
          <w:color w:val="000000"/>
          <w:sz w:val="22"/>
          <w:lang w:val="es-CO" w:eastAsia="es-MX"/>
        </w:rPr>
        <w:t> de la Ley 489 de 1998 y los artículos </w:t>
      </w:r>
      <w:hyperlink r:id="rId20" w:anchor="5" w:history="1">
        <w:r w:rsidRPr="00882568">
          <w:rPr>
            <w:rFonts w:ascii="Arial" w:eastAsia="Times New Roman" w:hAnsi="Arial" w:cs="Arial"/>
            <w:color w:val="000000"/>
            <w:sz w:val="22"/>
            <w:lang w:val="es-CO" w:eastAsia="es-MX"/>
          </w:rPr>
          <w:t>5</w:t>
        </w:r>
      </w:hyperlink>
      <w:r w:rsidRPr="00882568">
        <w:rPr>
          <w:rFonts w:ascii="Arial" w:eastAsia="Times New Roman" w:hAnsi="Arial" w:cs="Arial"/>
          <w:color w:val="000000"/>
          <w:sz w:val="22"/>
          <w:lang w:val="es-CO" w:eastAsia="es-MX"/>
        </w:rPr>
        <w:t>o, </w:t>
      </w:r>
      <w:hyperlink r:id="rId21" w:anchor="6" w:history="1">
        <w:r w:rsidRPr="00882568">
          <w:rPr>
            <w:rFonts w:ascii="Arial" w:eastAsia="Times New Roman" w:hAnsi="Arial" w:cs="Arial"/>
            <w:color w:val="000000"/>
            <w:sz w:val="22"/>
            <w:lang w:val="es-CO" w:eastAsia="es-MX"/>
          </w:rPr>
          <w:t>6</w:t>
        </w:r>
      </w:hyperlink>
      <w:r w:rsidRPr="00882568">
        <w:rPr>
          <w:rFonts w:ascii="Arial" w:eastAsia="Times New Roman" w:hAnsi="Arial" w:cs="Arial"/>
          <w:color w:val="000000"/>
          <w:sz w:val="22"/>
          <w:lang w:val="es-CO" w:eastAsia="es-MX"/>
        </w:rPr>
        <w:t>o, </w:t>
      </w:r>
      <w:hyperlink r:id="rId22" w:anchor="7" w:history="1">
        <w:r w:rsidRPr="00882568">
          <w:rPr>
            <w:rFonts w:ascii="Arial" w:eastAsia="Times New Roman" w:hAnsi="Arial" w:cs="Arial"/>
            <w:color w:val="000000"/>
            <w:sz w:val="22"/>
            <w:lang w:val="es-CO" w:eastAsia="es-MX"/>
          </w:rPr>
          <w:t>7</w:t>
        </w:r>
      </w:hyperlink>
      <w:r w:rsidRPr="00882568">
        <w:rPr>
          <w:rFonts w:ascii="Arial" w:eastAsia="Times New Roman" w:hAnsi="Arial" w:cs="Arial"/>
          <w:color w:val="000000"/>
          <w:sz w:val="22"/>
          <w:lang w:val="es-CO" w:eastAsia="es-MX"/>
        </w:rPr>
        <w:t>o y </w:t>
      </w:r>
      <w:hyperlink r:id="rId23" w:anchor="8" w:history="1">
        <w:r w:rsidRPr="00882568">
          <w:rPr>
            <w:rFonts w:ascii="Arial" w:eastAsia="Times New Roman" w:hAnsi="Arial" w:cs="Arial"/>
            <w:color w:val="000000"/>
            <w:sz w:val="22"/>
            <w:lang w:val="es-CO" w:eastAsia="es-MX"/>
          </w:rPr>
          <w:t>8</w:t>
        </w:r>
      </w:hyperlink>
      <w:r w:rsidRPr="00882568">
        <w:rPr>
          <w:rFonts w:ascii="Arial" w:eastAsia="Times New Roman" w:hAnsi="Arial" w:cs="Arial"/>
          <w:color w:val="000000"/>
          <w:sz w:val="22"/>
          <w:lang w:val="es-CO" w:eastAsia="es-MX"/>
        </w:rPr>
        <w:t>o del presente decreto».</w:t>
      </w:r>
    </w:p>
    <w:p w14:paraId="29E4FA1D" w14:textId="6FF7EF88" w:rsidR="001E6077" w:rsidRPr="00882568" w:rsidRDefault="001E6077" w:rsidP="00C1766E">
      <w:pPr>
        <w:spacing w:after="120" w:line="276" w:lineRule="auto"/>
        <w:jc w:val="both"/>
        <w:rPr>
          <w:rFonts w:ascii="Arial" w:hAnsi="Arial" w:cs="Arial"/>
          <w:sz w:val="22"/>
          <w:lang w:val="es-CO"/>
        </w:rPr>
      </w:pPr>
    </w:p>
    <w:p w14:paraId="138D33A2" w14:textId="67CA0858" w:rsidR="00BE1E33" w:rsidRPr="00882568" w:rsidRDefault="00BD5431" w:rsidP="006C10D3">
      <w:pPr>
        <w:spacing w:before="120" w:after="120" w:line="276" w:lineRule="auto"/>
        <w:jc w:val="both"/>
        <w:rPr>
          <w:rFonts w:ascii="Arial" w:eastAsia="Times New Roman" w:hAnsi="Arial" w:cs="Arial"/>
          <w:sz w:val="22"/>
          <w:bdr w:val="none" w:sz="0" w:space="0" w:color="auto" w:frame="1"/>
          <w:shd w:val="clear" w:color="auto" w:fill="FFFFFF"/>
          <w:lang w:val="es-ES_tradnl" w:eastAsia="es-ES_tradnl"/>
        </w:rPr>
      </w:pPr>
      <w:r w:rsidRPr="00882568">
        <w:rPr>
          <w:rFonts w:ascii="Arial" w:hAnsi="Arial" w:cs="Arial"/>
          <w:sz w:val="22"/>
        </w:rPr>
        <w:lastRenderedPageBreak/>
        <w:t>Este concepto tiene el alcance previsto en el artículo 28 del Código de Procedimiento Administrativo y de lo Contencioso Administrativo</w:t>
      </w:r>
      <w:r w:rsidR="00BE1E33" w:rsidRPr="00882568">
        <w:rPr>
          <w:rFonts w:ascii="Arial" w:eastAsia="Times New Roman" w:hAnsi="Arial" w:cs="Arial"/>
          <w:sz w:val="22"/>
          <w:bdr w:val="none" w:sz="0" w:space="0" w:color="auto" w:frame="1"/>
          <w:shd w:val="clear" w:color="auto" w:fill="FFFFFF"/>
          <w:lang w:val="es-ES_tradnl" w:eastAsia="es-ES_tradnl"/>
        </w:rPr>
        <w:t>.</w:t>
      </w:r>
    </w:p>
    <w:p w14:paraId="3430DAF9" w14:textId="77777777" w:rsidR="00F61FCE" w:rsidRPr="00882568" w:rsidRDefault="00F61FCE" w:rsidP="00F61FCE">
      <w:pPr>
        <w:spacing w:line="276" w:lineRule="auto"/>
        <w:ind w:firstLine="708"/>
        <w:jc w:val="both"/>
        <w:rPr>
          <w:rFonts w:ascii="Arial" w:eastAsia="Calibri" w:hAnsi="Arial" w:cs="Arial"/>
          <w:sz w:val="22"/>
          <w:lang w:val="es-ES_tradnl"/>
        </w:rPr>
      </w:pPr>
    </w:p>
    <w:p w14:paraId="1C8F6984" w14:textId="7A9DFDB4" w:rsidR="00BE1E33" w:rsidRPr="00882568" w:rsidRDefault="00BE1E33" w:rsidP="005879D1">
      <w:pPr>
        <w:spacing w:line="276" w:lineRule="auto"/>
        <w:jc w:val="both"/>
        <w:rPr>
          <w:rFonts w:ascii="Arial" w:eastAsia="Times New Roman" w:hAnsi="Arial" w:cs="Arial"/>
          <w:sz w:val="22"/>
          <w:lang w:val="es-ES_tradnl" w:eastAsia="es-CO"/>
        </w:rPr>
      </w:pPr>
      <w:r w:rsidRPr="00882568">
        <w:rPr>
          <w:rFonts w:ascii="Arial" w:eastAsia="Times New Roman" w:hAnsi="Arial" w:cs="Arial"/>
          <w:sz w:val="22"/>
          <w:lang w:val="es-ES_tradnl" w:eastAsia="es-CO"/>
        </w:rPr>
        <w:t>Atentamente,</w:t>
      </w:r>
      <w:bookmarkEnd w:id="0"/>
      <w:bookmarkEnd w:id="1"/>
    </w:p>
    <w:p w14:paraId="48978F5B" w14:textId="746D3318" w:rsidR="00CC1F37" w:rsidRPr="00882568" w:rsidRDefault="00346F88" w:rsidP="003C3527">
      <w:pPr>
        <w:spacing w:line="276" w:lineRule="auto"/>
        <w:jc w:val="center"/>
        <w:rPr>
          <w:rFonts w:ascii="Arial" w:eastAsia="Times New Roman" w:hAnsi="Arial" w:cs="Arial"/>
          <w:sz w:val="22"/>
          <w:lang w:val="es-ES_tradnl" w:eastAsia="es-CO"/>
        </w:rPr>
      </w:pPr>
      <w:r w:rsidRPr="00882568">
        <w:rPr>
          <w:rFonts w:ascii="Arial" w:hAnsi="Arial" w:cs="Arial"/>
          <w:sz w:val="22"/>
          <w:shd w:val="clear" w:color="auto" w:fill="FFFFFF"/>
          <w:lang w:val="es-ES_tradnl"/>
        </w:rPr>
        <w:br/>
      </w:r>
    </w:p>
    <w:p w14:paraId="2EB5F282" w14:textId="17417790" w:rsidR="003C3527" w:rsidRPr="00882568" w:rsidRDefault="003C3527" w:rsidP="003C3527">
      <w:pPr>
        <w:spacing w:line="276" w:lineRule="auto"/>
        <w:jc w:val="center"/>
        <w:rPr>
          <w:rFonts w:ascii="Arial" w:eastAsia="Times New Roman" w:hAnsi="Arial" w:cs="Arial"/>
          <w:sz w:val="22"/>
          <w:lang w:val="es-ES_tradnl" w:eastAsia="es-CO"/>
        </w:rPr>
      </w:pPr>
    </w:p>
    <w:p w14:paraId="199139DA" w14:textId="75AC0467" w:rsidR="003C3527" w:rsidRPr="00882568" w:rsidRDefault="004D158A" w:rsidP="004D158A">
      <w:pPr>
        <w:spacing w:line="276" w:lineRule="auto"/>
        <w:jc w:val="center"/>
        <w:rPr>
          <w:rFonts w:ascii="Arial" w:eastAsia="Times New Roman" w:hAnsi="Arial" w:cs="Arial"/>
          <w:sz w:val="22"/>
          <w:lang w:val="es-ES_tradnl" w:eastAsia="es-CO"/>
        </w:rPr>
      </w:pPr>
      <w:r>
        <w:rPr>
          <w:rFonts w:ascii="Arial" w:eastAsia="Times New Roman" w:hAnsi="Arial" w:cs="Arial"/>
          <w:noProof/>
          <w:sz w:val="22"/>
          <w:lang w:val="es-ES_tradnl" w:eastAsia="es-CO"/>
        </w:rPr>
        <w:drawing>
          <wp:inline distT="0" distB="0" distL="0" distR="0" wp14:anchorId="64640A8E" wp14:editId="0F6A9067">
            <wp:extent cx="3177769" cy="1282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4">
                      <a:extLst>
                        <a:ext uri="{28A0092B-C50C-407E-A947-70E740481C1C}">
                          <a14:useLocalDpi xmlns:a14="http://schemas.microsoft.com/office/drawing/2010/main" val="0"/>
                        </a:ext>
                      </a:extLst>
                    </a:blip>
                    <a:srcRect l="2653" r="3629" b="-4"/>
                    <a:stretch/>
                  </pic:blipFill>
                  <pic:spPr bwMode="auto">
                    <a:xfrm>
                      <a:off x="0" y="0"/>
                      <a:ext cx="3177911" cy="1282757"/>
                    </a:xfrm>
                    <a:prstGeom prst="rect">
                      <a:avLst/>
                    </a:prstGeom>
                    <a:ln>
                      <a:noFill/>
                    </a:ln>
                    <a:extLst>
                      <a:ext uri="{53640926-AAD7-44D8-BBD7-CCE9431645EC}">
                        <a14:shadowObscured xmlns:a14="http://schemas.microsoft.com/office/drawing/2010/main"/>
                      </a:ext>
                    </a:extLst>
                  </pic:spPr>
                </pic:pic>
              </a:graphicData>
            </a:graphic>
          </wp:inline>
        </w:drawing>
      </w:r>
    </w:p>
    <w:p w14:paraId="14828428" w14:textId="77777777" w:rsidR="003C3527" w:rsidRPr="00882568" w:rsidRDefault="003C3527" w:rsidP="003C3527">
      <w:pPr>
        <w:spacing w:line="276" w:lineRule="auto"/>
        <w:jc w:val="center"/>
        <w:rPr>
          <w:rFonts w:ascii="Arial" w:eastAsia="Times New Roman" w:hAnsi="Arial" w:cs="Arial"/>
          <w:sz w:val="22"/>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C1F37" w:rsidRPr="00882568" w14:paraId="683673C7" w14:textId="77777777" w:rsidTr="00551BFD">
        <w:trPr>
          <w:trHeight w:val="315"/>
        </w:trPr>
        <w:tc>
          <w:tcPr>
            <w:tcW w:w="812" w:type="dxa"/>
            <w:vAlign w:val="center"/>
            <w:hideMark/>
          </w:tcPr>
          <w:p w14:paraId="4F941762" w14:textId="77777777" w:rsidR="00CC1F37" w:rsidRPr="00882568" w:rsidRDefault="00CC1F37" w:rsidP="00551BFD">
            <w:pPr>
              <w:rPr>
                <w:rFonts w:ascii="Arial" w:eastAsia="Times New Roman" w:hAnsi="Arial" w:cs="Arial"/>
                <w:sz w:val="16"/>
                <w:szCs w:val="16"/>
                <w:lang w:val="es-ES_tradnl" w:eastAsia="es-ES"/>
              </w:rPr>
            </w:pPr>
            <w:r w:rsidRPr="00882568">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51DF91" w14:textId="77777777" w:rsidR="00CC1F37" w:rsidRPr="00882568" w:rsidRDefault="00CC1F37" w:rsidP="00551BFD">
            <w:pPr>
              <w:rPr>
                <w:rFonts w:ascii="Arial" w:eastAsia="Times New Roman" w:hAnsi="Arial" w:cs="Arial"/>
                <w:sz w:val="16"/>
                <w:szCs w:val="16"/>
                <w:lang w:val="es-ES_tradnl" w:eastAsia="es-ES"/>
              </w:rPr>
            </w:pPr>
            <w:r w:rsidRPr="00882568">
              <w:rPr>
                <w:rFonts w:ascii="Arial" w:eastAsia="Times New Roman" w:hAnsi="Arial" w:cs="Arial"/>
                <w:sz w:val="16"/>
                <w:szCs w:val="16"/>
                <w:lang w:val="es-ES_tradnl" w:eastAsia="es-ES"/>
              </w:rPr>
              <w:t>Guillermo Escolar Flórez</w:t>
            </w:r>
          </w:p>
          <w:p w14:paraId="02FABD22" w14:textId="77777777" w:rsidR="00CC1F37" w:rsidRPr="00882568" w:rsidRDefault="00CC1F37" w:rsidP="00551BFD">
            <w:pPr>
              <w:rPr>
                <w:rFonts w:ascii="Arial" w:eastAsia="Times New Roman" w:hAnsi="Arial" w:cs="Arial"/>
                <w:sz w:val="16"/>
                <w:szCs w:val="16"/>
                <w:lang w:val="es-ES_tradnl" w:eastAsia="es-ES"/>
              </w:rPr>
            </w:pPr>
            <w:r w:rsidRPr="00882568">
              <w:rPr>
                <w:rFonts w:ascii="Arial" w:eastAsia="Times New Roman" w:hAnsi="Arial" w:cs="Arial"/>
                <w:sz w:val="16"/>
                <w:szCs w:val="16"/>
                <w:lang w:val="es-ES_tradnl" w:eastAsia="es-ES"/>
              </w:rPr>
              <w:t>Contratista de la Subdirección de Gestión Contractual</w:t>
            </w:r>
          </w:p>
        </w:tc>
      </w:tr>
      <w:tr w:rsidR="00CC1F37" w:rsidRPr="00882568" w14:paraId="63F0310B" w14:textId="77777777" w:rsidTr="00551BFD">
        <w:trPr>
          <w:trHeight w:val="330"/>
        </w:trPr>
        <w:tc>
          <w:tcPr>
            <w:tcW w:w="812" w:type="dxa"/>
            <w:vAlign w:val="center"/>
            <w:hideMark/>
          </w:tcPr>
          <w:p w14:paraId="0C047C81" w14:textId="77777777" w:rsidR="00CC1F37" w:rsidRPr="00882568" w:rsidRDefault="00CC1F37" w:rsidP="00551BFD">
            <w:pPr>
              <w:rPr>
                <w:rFonts w:ascii="Arial" w:eastAsia="Times New Roman" w:hAnsi="Arial" w:cs="Arial"/>
                <w:sz w:val="16"/>
                <w:szCs w:val="16"/>
                <w:lang w:val="es-ES_tradnl" w:eastAsia="es-ES"/>
              </w:rPr>
            </w:pPr>
            <w:r w:rsidRPr="00882568">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2917DD" w14:textId="77777777" w:rsidR="00CC1F37" w:rsidRPr="00882568" w:rsidRDefault="00CC1F37" w:rsidP="00551BFD">
            <w:pPr>
              <w:rPr>
                <w:rFonts w:ascii="Arial" w:eastAsia="Times New Roman" w:hAnsi="Arial" w:cs="Arial"/>
                <w:color w:val="000000" w:themeColor="text1"/>
                <w:sz w:val="16"/>
                <w:szCs w:val="16"/>
                <w:lang w:val="es-ES_tradnl" w:eastAsia="es-ES"/>
              </w:rPr>
            </w:pPr>
            <w:r w:rsidRPr="00882568">
              <w:rPr>
                <w:rFonts w:ascii="Arial" w:eastAsia="Times New Roman" w:hAnsi="Arial" w:cs="Arial"/>
                <w:color w:val="000000" w:themeColor="text1"/>
                <w:sz w:val="16"/>
                <w:szCs w:val="16"/>
                <w:lang w:val="es-ES_tradnl" w:eastAsia="es-ES"/>
              </w:rPr>
              <w:t>Sebastián Ramírez Grisales</w:t>
            </w:r>
          </w:p>
          <w:p w14:paraId="7A853932" w14:textId="77777777" w:rsidR="00CC1F37" w:rsidRPr="00882568" w:rsidRDefault="00CC1F37" w:rsidP="00551BFD">
            <w:pPr>
              <w:rPr>
                <w:rFonts w:ascii="Arial" w:eastAsia="Times New Roman" w:hAnsi="Arial" w:cs="Arial"/>
                <w:sz w:val="16"/>
                <w:szCs w:val="16"/>
                <w:lang w:val="es-ES_tradnl" w:eastAsia="es-ES"/>
              </w:rPr>
            </w:pPr>
            <w:r w:rsidRPr="00882568">
              <w:rPr>
                <w:rFonts w:ascii="Arial" w:hAnsi="Arial" w:cs="Arial"/>
                <w:sz w:val="16"/>
                <w:szCs w:val="16"/>
                <w:lang w:val="es-ES_tradnl" w:eastAsia="es-ES"/>
              </w:rPr>
              <w:t>Gestor T1-15 de la Subdirección de Gestión Contractual</w:t>
            </w:r>
          </w:p>
        </w:tc>
      </w:tr>
      <w:tr w:rsidR="00CC1F37" w:rsidRPr="00ED1F11" w14:paraId="795EFC13" w14:textId="77777777" w:rsidTr="00551BFD">
        <w:trPr>
          <w:trHeight w:val="89"/>
        </w:trPr>
        <w:tc>
          <w:tcPr>
            <w:tcW w:w="812" w:type="dxa"/>
            <w:vAlign w:val="center"/>
            <w:hideMark/>
          </w:tcPr>
          <w:p w14:paraId="109652D5" w14:textId="77777777" w:rsidR="00CC1F37" w:rsidRPr="00882568" w:rsidRDefault="00CC1F37" w:rsidP="00551BFD">
            <w:pPr>
              <w:rPr>
                <w:rFonts w:ascii="Arial" w:eastAsia="Times New Roman" w:hAnsi="Arial" w:cs="Arial"/>
                <w:sz w:val="16"/>
                <w:szCs w:val="16"/>
                <w:lang w:val="es-ES_tradnl" w:eastAsia="es-ES"/>
              </w:rPr>
            </w:pPr>
            <w:r w:rsidRPr="00882568">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66DF1" w14:textId="77777777" w:rsidR="00467ED7" w:rsidRPr="00882568" w:rsidRDefault="00467ED7" w:rsidP="00551BFD">
            <w:pPr>
              <w:jc w:val="both"/>
              <w:textAlignment w:val="baseline"/>
              <w:rPr>
                <w:rFonts w:ascii="Segoe UI" w:hAnsi="Segoe UI" w:cs="Segoe UI"/>
                <w:sz w:val="16"/>
                <w:szCs w:val="16"/>
                <w:lang w:eastAsia="es-CO"/>
              </w:rPr>
            </w:pPr>
            <w:r w:rsidRPr="00882568">
              <w:rPr>
                <w:rFonts w:ascii="Arial" w:hAnsi="Arial" w:cs="Arial"/>
                <w:sz w:val="16"/>
                <w:szCs w:val="16"/>
                <w:lang w:eastAsia="es-CO"/>
              </w:rPr>
              <w:t>Juan David Marín López</w:t>
            </w:r>
          </w:p>
          <w:p w14:paraId="4A3BF626" w14:textId="5751C151" w:rsidR="00CC1F37" w:rsidRPr="00ED1F11" w:rsidRDefault="00467ED7" w:rsidP="00551BFD">
            <w:pPr>
              <w:rPr>
                <w:rFonts w:ascii="Arial" w:eastAsia="Times New Roman" w:hAnsi="Arial" w:cs="Arial"/>
                <w:sz w:val="16"/>
                <w:szCs w:val="16"/>
                <w:lang w:val="es-ES_tradnl" w:eastAsia="es-ES"/>
              </w:rPr>
            </w:pPr>
            <w:r w:rsidRPr="00882568">
              <w:rPr>
                <w:rFonts w:ascii="Arial" w:hAnsi="Arial" w:cs="Arial"/>
                <w:sz w:val="16"/>
                <w:szCs w:val="16"/>
                <w:lang w:eastAsia="es-CO"/>
              </w:rPr>
              <w:t>Subdirector de Gestión Contractual ANCP -CCE (E)</w:t>
            </w:r>
          </w:p>
        </w:tc>
      </w:tr>
    </w:tbl>
    <w:p w14:paraId="4BF950CC" w14:textId="67DA48F5" w:rsidR="00CC1F37" w:rsidRPr="00C523F2" w:rsidRDefault="00551BFD" w:rsidP="00CC1F37">
      <w:pPr>
        <w:spacing w:line="276" w:lineRule="auto"/>
        <w:rPr>
          <w:rFonts w:ascii="Arial" w:eastAsia="Times New Roman" w:hAnsi="Arial" w:cs="Arial"/>
          <w:sz w:val="22"/>
          <w:lang w:val="es-ES_tradnl" w:eastAsia="es-CO"/>
        </w:rPr>
      </w:pPr>
      <w:r>
        <w:rPr>
          <w:rFonts w:ascii="Arial" w:eastAsia="Times New Roman" w:hAnsi="Arial" w:cs="Arial"/>
          <w:sz w:val="22"/>
          <w:lang w:val="es-ES_tradnl" w:eastAsia="es-CO"/>
        </w:rPr>
        <w:br w:type="textWrapping" w:clear="all"/>
      </w:r>
    </w:p>
    <w:p w14:paraId="369D9187" w14:textId="77777777" w:rsidR="00CC1F37" w:rsidRDefault="00CC1F37" w:rsidP="00CC1F37">
      <w:pPr>
        <w:spacing w:line="276" w:lineRule="auto"/>
        <w:rPr>
          <w:rFonts w:ascii="Arial" w:hAnsi="Arial" w:cs="Arial"/>
          <w:sz w:val="22"/>
          <w:lang w:val="es-CO"/>
        </w:rPr>
      </w:pPr>
    </w:p>
    <w:p w14:paraId="085A31AB" w14:textId="77777777" w:rsidR="006C5955" w:rsidRDefault="006C5955" w:rsidP="0025163D">
      <w:pPr>
        <w:spacing w:line="276" w:lineRule="auto"/>
        <w:rPr>
          <w:rFonts w:ascii="Arial" w:hAnsi="Arial" w:cs="Arial"/>
          <w:sz w:val="22"/>
          <w:lang w:val="es-CO"/>
        </w:rPr>
      </w:pPr>
    </w:p>
    <w:p w14:paraId="7F04A43B" w14:textId="77777777" w:rsidR="00A02EE3" w:rsidRDefault="00A02EE3" w:rsidP="0025163D">
      <w:pPr>
        <w:spacing w:line="276" w:lineRule="auto"/>
        <w:rPr>
          <w:rFonts w:ascii="Arial" w:hAnsi="Arial" w:cs="Arial"/>
          <w:sz w:val="22"/>
          <w:lang w:val="es-CO"/>
        </w:rPr>
      </w:pPr>
    </w:p>
    <w:p w14:paraId="35DF0522" w14:textId="77777777" w:rsidR="00A02EE3" w:rsidRPr="002D28E0" w:rsidRDefault="00A02EE3" w:rsidP="0025163D">
      <w:pPr>
        <w:spacing w:line="276" w:lineRule="auto"/>
        <w:rPr>
          <w:rFonts w:ascii="Arial" w:hAnsi="Arial" w:cs="Arial"/>
          <w:sz w:val="22"/>
          <w:lang w:val="es-CO"/>
        </w:rPr>
      </w:pPr>
    </w:p>
    <w:sectPr w:rsidR="00A02EE3" w:rsidRPr="002D28E0" w:rsidSect="0043588C">
      <w:headerReference w:type="default" r:id="rId25"/>
      <w:footerReference w:type="default" r:id="rId2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797F" w14:textId="77777777" w:rsidR="00C370F3" w:rsidRDefault="00C370F3" w:rsidP="008C487C">
      <w:r>
        <w:separator/>
      </w:r>
    </w:p>
  </w:endnote>
  <w:endnote w:type="continuationSeparator" w:id="0">
    <w:p w14:paraId="2861E343" w14:textId="77777777" w:rsidR="00C370F3" w:rsidRDefault="00C370F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D2E82" w:rsidRDefault="00AD2E82" w:rsidP="0043588C">
    <w:pPr>
      <w:pStyle w:val="Sinespaciado"/>
      <w:jc w:val="right"/>
      <w:rPr>
        <w:rFonts w:ascii="Arial" w:hAnsi="Arial" w:cs="Arial"/>
        <w:sz w:val="18"/>
        <w:szCs w:val="18"/>
      </w:rPr>
    </w:pPr>
  </w:p>
  <w:p w14:paraId="709352A1" w14:textId="77777777" w:rsidR="00AD2E82" w:rsidRDefault="00AD2E82" w:rsidP="0043588C">
    <w:pPr>
      <w:pStyle w:val="Sinespaciado"/>
      <w:jc w:val="right"/>
      <w:rPr>
        <w:rFonts w:ascii="Arial" w:hAnsi="Arial" w:cs="Arial"/>
        <w:sz w:val="18"/>
        <w:szCs w:val="18"/>
      </w:rPr>
    </w:pPr>
  </w:p>
  <w:p w14:paraId="3D3EB348" w14:textId="4EB6F1E4" w:rsidR="00AD2E82" w:rsidRPr="008217B7" w:rsidRDefault="00AD2E82"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751F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751F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AD2E82" w:rsidRDefault="00AD2E82"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D2E82" w:rsidRPr="00E756AC" w:rsidRDefault="00AD2E82" w:rsidP="0043588C">
    <w:pPr>
      <w:pStyle w:val="Piedepgina"/>
      <w:jc w:val="center"/>
      <w:rPr>
        <w:sz w:val="18"/>
        <w:szCs w:val="18"/>
        <w:lang w:val="es-ES"/>
      </w:rPr>
    </w:pPr>
  </w:p>
  <w:p w14:paraId="428179B1" w14:textId="77777777" w:rsidR="00AD2E82" w:rsidRPr="00E756AC" w:rsidRDefault="00AD2E82"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2869" w14:textId="77777777" w:rsidR="00C370F3" w:rsidRDefault="00C370F3" w:rsidP="008C487C">
      <w:r>
        <w:separator/>
      </w:r>
    </w:p>
  </w:footnote>
  <w:footnote w:type="continuationSeparator" w:id="0">
    <w:p w14:paraId="3DF3E249" w14:textId="77777777" w:rsidR="00C370F3" w:rsidRDefault="00C370F3" w:rsidP="008C487C">
      <w:r>
        <w:continuationSeparator/>
      </w:r>
    </w:p>
  </w:footnote>
  <w:footnote w:id="1">
    <w:p w14:paraId="1CDD1408" w14:textId="3A499765" w:rsidR="00403BF0" w:rsidRDefault="00403BF0" w:rsidP="00403BF0">
      <w:pPr>
        <w:pStyle w:val="NormalWeb"/>
        <w:spacing w:before="0" w:beforeAutospacing="0" w:after="0" w:afterAutospacing="0"/>
        <w:ind w:firstLine="708"/>
        <w:jc w:val="both"/>
        <w:rPr>
          <w:rFonts w:ascii="Arial" w:hAnsi="Arial" w:cs="Arial"/>
          <w:color w:val="000000" w:themeColor="text1"/>
          <w:sz w:val="19"/>
          <w:szCs w:val="19"/>
        </w:rPr>
      </w:pPr>
      <w:r w:rsidRPr="00C1766E">
        <w:rPr>
          <w:rStyle w:val="Refdenotaalpie"/>
          <w:rFonts w:ascii="Arial" w:hAnsi="Arial" w:cs="Arial"/>
          <w:color w:val="000000" w:themeColor="text1"/>
          <w:sz w:val="19"/>
          <w:szCs w:val="19"/>
        </w:rPr>
        <w:footnoteRef/>
      </w:r>
      <w:r w:rsidRPr="00C1766E">
        <w:rPr>
          <w:rFonts w:ascii="Arial" w:hAnsi="Arial" w:cs="Arial"/>
          <w:color w:val="000000" w:themeColor="text1"/>
          <w:sz w:val="19"/>
          <w:szCs w:val="19"/>
        </w:rPr>
        <w:t xml:space="preserve"> </w:t>
      </w:r>
      <w:r>
        <w:rPr>
          <w:rFonts w:ascii="Arial" w:hAnsi="Arial" w:cs="Arial"/>
          <w:color w:val="000000" w:themeColor="text1"/>
          <w:sz w:val="19"/>
          <w:szCs w:val="19"/>
        </w:rPr>
        <w:t>Decreto 92 de 2017: «A</w:t>
      </w:r>
      <w:r w:rsidRPr="00403BF0">
        <w:rPr>
          <w:rFonts w:ascii="Arial" w:hAnsi="Arial" w:cs="Arial"/>
          <w:color w:val="000000" w:themeColor="text1"/>
          <w:sz w:val="19"/>
          <w:szCs w:val="19"/>
        </w:rPr>
        <w:t xml:space="preserve">rtículo 2o. procedencia de la contratación con entidades privadas sin ánimo de lucro y de reconocida idoneidad. Las Entidades Estatales del Gobierno nacional, departamental, distrital y municipal pueden contratar con entidades privadas sin ánimo de lucro y de reconocida idoneidad en los términos del artículo 355 de la Constitución Política y del presente decreto, siempre que el Proceso de Contratación reúna las siguientes condiciones: </w:t>
      </w:r>
    </w:p>
    <w:p w14:paraId="504AF93E" w14:textId="6E95B206" w:rsidR="00403BF0" w:rsidRDefault="00403BF0" w:rsidP="00403BF0">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21E90A7F" w14:textId="3441DAD4" w:rsidR="00403BF0" w:rsidRPr="00C1766E" w:rsidRDefault="00403BF0" w:rsidP="00C1766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C1766E">
        <w:rPr>
          <w:rFonts w:ascii="Arial" w:hAnsi="Arial" w:cs="Arial"/>
          <w:color w:val="000000" w:themeColor="text1"/>
          <w:sz w:val="19"/>
          <w:szCs w:val="19"/>
        </w:rPr>
        <w:t>Estas Entidades Estatales pueden contratar con entidades privadas sin ánimo de lucro y de reconocida idoneidad en los términos del presente decreto, previa autorización expresa de su representante legal para cada contrato en particular que la Entidad Estatal planee suscribir bajo esta modalidad. El representante legal de la Entidad Estatal no podrá delegar la función de otorgar esta autorización.</w:t>
      </w:r>
    </w:p>
    <w:p w14:paraId="04446B54" w14:textId="607200F7" w:rsidR="00403BF0" w:rsidRPr="00C1766E" w:rsidRDefault="00403BF0" w:rsidP="00C1766E">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C1766E">
        <w:rPr>
          <w:rFonts w:ascii="Arial" w:hAnsi="Arial" w:cs="Arial"/>
          <w:color w:val="000000" w:themeColor="text1"/>
          <w:sz w:val="19"/>
          <w:szCs w:val="19"/>
        </w:rPr>
        <w:t>La Entidad Estatal deberá acreditar en los Documentos del Proceso la autorización respectiva</w:t>
      </w:r>
      <w:r>
        <w:rPr>
          <w:rFonts w:ascii="Arial" w:hAnsi="Arial" w:cs="Arial"/>
          <w:color w:val="000000" w:themeColor="text1"/>
          <w:sz w:val="19"/>
          <w:szCs w:val="19"/>
        </w:rPr>
        <w:t>»</w:t>
      </w:r>
      <w:r w:rsidRPr="00C1766E">
        <w:rPr>
          <w:rFonts w:ascii="Arial" w:hAnsi="Arial" w:cs="Arial"/>
          <w:color w:val="000000" w:themeColor="text1"/>
          <w:sz w:val="19"/>
          <w:szCs w:val="19"/>
        </w:rPr>
        <w:t>.</w:t>
      </w:r>
    </w:p>
    <w:p w14:paraId="312EE7E8" w14:textId="4FD62A0A" w:rsidR="00403BF0" w:rsidRPr="00C1766E" w:rsidRDefault="00403BF0" w:rsidP="00C1766E">
      <w:pPr>
        <w:pStyle w:val="Textonotapie"/>
        <w:ind w:firstLine="708"/>
        <w:rPr>
          <w:rFonts w:ascii="Arial" w:hAnsi="Arial" w:cs="Arial"/>
          <w:color w:val="000000" w:themeColor="text1"/>
          <w:sz w:val="19"/>
          <w:szCs w:val="19"/>
          <w:lang w:val="es-CO"/>
        </w:rPr>
      </w:pPr>
    </w:p>
  </w:footnote>
  <w:footnote w:id="2">
    <w:p w14:paraId="15AD2840" w14:textId="77777777" w:rsidR="001E6077" w:rsidRDefault="001E6077" w:rsidP="001E6077">
      <w:pPr>
        <w:pStyle w:val="NormalWeb"/>
        <w:spacing w:before="0" w:beforeAutospacing="0" w:after="0" w:afterAutospacing="0"/>
        <w:ind w:firstLine="708"/>
        <w:jc w:val="both"/>
        <w:rPr>
          <w:rFonts w:ascii="Arial" w:hAnsi="Arial" w:cs="Arial"/>
          <w:color w:val="000000" w:themeColor="text1"/>
          <w:sz w:val="19"/>
          <w:szCs w:val="19"/>
        </w:rPr>
      </w:pPr>
      <w:r w:rsidRPr="007B06D2">
        <w:rPr>
          <w:rStyle w:val="Refdenotaalpie"/>
          <w:rFonts w:ascii="Arial" w:hAnsi="Arial" w:cs="Arial"/>
          <w:color w:val="000000" w:themeColor="text1"/>
          <w:sz w:val="19"/>
          <w:szCs w:val="19"/>
        </w:rPr>
        <w:footnoteRef/>
      </w:r>
      <w:r w:rsidRPr="007B06D2">
        <w:rPr>
          <w:rFonts w:ascii="Arial" w:hAnsi="Arial" w:cs="Arial"/>
          <w:color w:val="000000" w:themeColor="text1"/>
          <w:sz w:val="19"/>
          <w:szCs w:val="19"/>
        </w:rPr>
        <w:t xml:space="preserve"> </w:t>
      </w:r>
      <w:r>
        <w:rPr>
          <w:rFonts w:ascii="Arial" w:hAnsi="Arial" w:cs="Arial"/>
          <w:color w:val="000000" w:themeColor="text1"/>
          <w:sz w:val="19"/>
          <w:szCs w:val="19"/>
        </w:rPr>
        <w:t>Decreto 92 de 2017: «A</w:t>
      </w:r>
      <w:r w:rsidRPr="00403BF0">
        <w:rPr>
          <w:rFonts w:ascii="Arial" w:hAnsi="Arial" w:cs="Arial"/>
          <w:color w:val="000000" w:themeColor="text1"/>
          <w:sz w:val="19"/>
          <w:szCs w:val="19"/>
        </w:rPr>
        <w:t xml:space="preserve">rtículo 2o. procedencia de la contratación con entidades privadas sin ánimo de lucro y de reconocida idoneidad. Las Entidades Estatales del Gobierno nacional, departamental, distrital y municipal pueden contratar con entidades privadas sin ánimo de lucro y de reconocida idoneidad en los términos del artículo 355 de la Constitución Política y del presente decreto, siempre que el Proceso de Contratación reúna las siguientes condiciones: </w:t>
      </w:r>
    </w:p>
    <w:p w14:paraId="2EEDCBD5" w14:textId="77777777" w:rsidR="001E6077" w:rsidRDefault="001E6077" w:rsidP="001E6077">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73B18723" w14:textId="77777777" w:rsidR="001E6077" w:rsidRPr="007B06D2" w:rsidRDefault="001E6077" w:rsidP="001E6077">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7B06D2">
        <w:rPr>
          <w:rFonts w:ascii="Arial" w:hAnsi="Arial" w:cs="Arial"/>
          <w:color w:val="000000" w:themeColor="text1"/>
          <w:sz w:val="19"/>
          <w:szCs w:val="19"/>
        </w:rPr>
        <w:t>Estas Entidades Estatales pueden contratar con entidades privadas sin ánimo de lucro y de reconocida idoneidad en los términos del presente decreto, previa autorización expresa de su representante legal para cada contrato en particular que la Entidad Estatal planee suscribir bajo esta modalidad. El representante legal de la Entidad Estatal no podrá delegar la función de otorgar esta autorización.</w:t>
      </w:r>
    </w:p>
    <w:p w14:paraId="7C9A44F8" w14:textId="77777777" w:rsidR="001E6077" w:rsidRPr="007B06D2" w:rsidRDefault="001E6077" w:rsidP="001E6077">
      <w:pPr>
        <w:pStyle w:val="NormalWeb"/>
        <w:spacing w:before="0" w:beforeAutospacing="0" w:after="0" w:afterAutospacing="0"/>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7B06D2">
        <w:rPr>
          <w:rFonts w:ascii="Arial" w:hAnsi="Arial" w:cs="Arial"/>
          <w:color w:val="000000" w:themeColor="text1"/>
          <w:sz w:val="19"/>
          <w:szCs w:val="19"/>
        </w:rPr>
        <w:t>La Entidad Estatal deberá acreditar en los Documentos del Proceso la autorización respectiva</w:t>
      </w:r>
      <w:r>
        <w:rPr>
          <w:rFonts w:ascii="Arial" w:hAnsi="Arial" w:cs="Arial"/>
          <w:color w:val="000000" w:themeColor="text1"/>
          <w:sz w:val="19"/>
          <w:szCs w:val="19"/>
        </w:rPr>
        <w:t>»</w:t>
      </w:r>
      <w:r w:rsidRPr="007B06D2">
        <w:rPr>
          <w:rFonts w:ascii="Arial" w:hAnsi="Arial" w:cs="Arial"/>
          <w:color w:val="000000" w:themeColor="text1"/>
          <w:sz w:val="19"/>
          <w:szCs w:val="19"/>
        </w:rPr>
        <w:t>.</w:t>
      </w:r>
    </w:p>
    <w:p w14:paraId="4554D6A7" w14:textId="77777777" w:rsidR="001E6077" w:rsidRPr="007B06D2" w:rsidRDefault="001E6077" w:rsidP="001E6077">
      <w:pPr>
        <w:pStyle w:val="Textonotapie"/>
        <w:ind w:firstLine="708"/>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D2E82" w:rsidRDefault="00AD2E82">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4E9"/>
    <w:rsid w:val="00001319"/>
    <w:rsid w:val="00004A75"/>
    <w:rsid w:val="00007FF7"/>
    <w:rsid w:val="00010D30"/>
    <w:rsid w:val="000205D6"/>
    <w:rsid w:val="000207A0"/>
    <w:rsid w:val="000208F4"/>
    <w:rsid w:val="00020A0F"/>
    <w:rsid w:val="0002170C"/>
    <w:rsid w:val="0002648F"/>
    <w:rsid w:val="00027B72"/>
    <w:rsid w:val="0003091B"/>
    <w:rsid w:val="000333A2"/>
    <w:rsid w:val="00033D5A"/>
    <w:rsid w:val="00034D05"/>
    <w:rsid w:val="00034D71"/>
    <w:rsid w:val="00040C88"/>
    <w:rsid w:val="00040D6E"/>
    <w:rsid w:val="00042C0C"/>
    <w:rsid w:val="00044B5E"/>
    <w:rsid w:val="00044FF2"/>
    <w:rsid w:val="000514D4"/>
    <w:rsid w:val="00055688"/>
    <w:rsid w:val="00060575"/>
    <w:rsid w:val="00061E92"/>
    <w:rsid w:val="00061EE4"/>
    <w:rsid w:val="00062291"/>
    <w:rsid w:val="00062B0D"/>
    <w:rsid w:val="0006519B"/>
    <w:rsid w:val="00066EDE"/>
    <w:rsid w:val="000707A0"/>
    <w:rsid w:val="00074C3D"/>
    <w:rsid w:val="000757F8"/>
    <w:rsid w:val="00075BBA"/>
    <w:rsid w:val="000805C7"/>
    <w:rsid w:val="00082589"/>
    <w:rsid w:val="00084010"/>
    <w:rsid w:val="00086A16"/>
    <w:rsid w:val="00086C02"/>
    <w:rsid w:val="00090D92"/>
    <w:rsid w:val="00093069"/>
    <w:rsid w:val="00094F86"/>
    <w:rsid w:val="00097117"/>
    <w:rsid w:val="00097CD6"/>
    <w:rsid w:val="000A12B4"/>
    <w:rsid w:val="000A1329"/>
    <w:rsid w:val="000A1DBA"/>
    <w:rsid w:val="000A62D7"/>
    <w:rsid w:val="000A6338"/>
    <w:rsid w:val="000A7A2D"/>
    <w:rsid w:val="000B09B5"/>
    <w:rsid w:val="000B3AB2"/>
    <w:rsid w:val="000B4552"/>
    <w:rsid w:val="000B4C69"/>
    <w:rsid w:val="000B4E6D"/>
    <w:rsid w:val="000C0E39"/>
    <w:rsid w:val="000C1BCA"/>
    <w:rsid w:val="000C506A"/>
    <w:rsid w:val="000C5D2D"/>
    <w:rsid w:val="000C67EA"/>
    <w:rsid w:val="000D088F"/>
    <w:rsid w:val="000D2220"/>
    <w:rsid w:val="000D2FE0"/>
    <w:rsid w:val="000D3508"/>
    <w:rsid w:val="000D392A"/>
    <w:rsid w:val="000D5464"/>
    <w:rsid w:val="000D5552"/>
    <w:rsid w:val="000D7BBD"/>
    <w:rsid w:val="000E22BE"/>
    <w:rsid w:val="000E2B47"/>
    <w:rsid w:val="000E4A3C"/>
    <w:rsid w:val="000E6867"/>
    <w:rsid w:val="000E7F3A"/>
    <w:rsid w:val="000F2DC7"/>
    <w:rsid w:val="000F479E"/>
    <w:rsid w:val="000F4923"/>
    <w:rsid w:val="000F5F52"/>
    <w:rsid w:val="000F6E7E"/>
    <w:rsid w:val="000F74C7"/>
    <w:rsid w:val="00103CB5"/>
    <w:rsid w:val="001056C0"/>
    <w:rsid w:val="00107607"/>
    <w:rsid w:val="00107CF1"/>
    <w:rsid w:val="001120C8"/>
    <w:rsid w:val="00112597"/>
    <w:rsid w:val="00113AD4"/>
    <w:rsid w:val="00116557"/>
    <w:rsid w:val="00117289"/>
    <w:rsid w:val="0012089B"/>
    <w:rsid w:val="001236B9"/>
    <w:rsid w:val="00125C97"/>
    <w:rsid w:val="00127B2C"/>
    <w:rsid w:val="00131937"/>
    <w:rsid w:val="001321AB"/>
    <w:rsid w:val="00132CEF"/>
    <w:rsid w:val="00133D22"/>
    <w:rsid w:val="00135571"/>
    <w:rsid w:val="00135E98"/>
    <w:rsid w:val="00137B0D"/>
    <w:rsid w:val="00137DDF"/>
    <w:rsid w:val="00140E57"/>
    <w:rsid w:val="00141330"/>
    <w:rsid w:val="00141C64"/>
    <w:rsid w:val="0014462B"/>
    <w:rsid w:val="00144A25"/>
    <w:rsid w:val="0014628D"/>
    <w:rsid w:val="00147E4A"/>
    <w:rsid w:val="001502BC"/>
    <w:rsid w:val="00154101"/>
    <w:rsid w:val="001556C8"/>
    <w:rsid w:val="001573A6"/>
    <w:rsid w:val="00160687"/>
    <w:rsid w:val="00160AB9"/>
    <w:rsid w:val="0016251D"/>
    <w:rsid w:val="00164E79"/>
    <w:rsid w:val="00166272"/>
    <w:rsid w:val="00167B6F"/>
    <w:rsid w:val="001725C8"/>
    <w:rsid w:val="00173047"/>
    <w:rsid w:val="00173342"/>
    <w:rsid w:val="0017558C"/>
    <w:rsid w:val="0017603D"/>
    <w:rsid w:val="00177397"/>
    <w:rsid w:val="00180881"/>
    <w:rsid w:val="00180AD1"/>
    <w:rsid w:val="001810AD"/>
    <w:rsid w:val="0018144F"/>
    <w:rsid w:val="00181A3E"/>
    <w:rsid w:val="00182BF2"/>
    <w:rsid w:val="001848A7"/>
    <w:rsid w:val="001901E3"/>
    <w:rsid w:val="00190B79"/>
    <w:rsid w:val="00190F26"/>
    <w:rsid w:val="00192084"/>
    <w:rsid w:val="0019433A"/>
    <w:rsid w:val="00194C50"/>
    <w:rsid w:val="001A0536"/>
    <w:rsid w:val="001A075A"/>
    <w:rsid w:val="001A6A98"/>
    <w:rsid w:val="001A77DE"/>
    <w:rsid w:val="001B13DF"/>
    <w:rsid w:val="001B2E5D"/>
    <w:rsid w:val="001B2EA2"/>
    <w:rsid w:val="001B329B"/>
    <w:rsid w:val="001B5D63"/>
    <w:rsid w:val="001B6C66"/>
    <w:rsid w:val="001C4850"/>
    <w:rsid w:val="001C507E"/>
    <w:rsid w:val="001C628A"/>
    <w:rsid w:val="001E4AEB"/>
    <w:rsid w:val="001E5DBB"/>
    <w:rsid w:val="001E6077"/>
    <w:rsid w:val="001F1051"/>
    <w:rsid w:val="001F3010"/>
    <w:rsid w:val="001F34A8"/>
    <w:rsid w:val="001F4CFB"/>
    <w:rsid w:val="001F7297"/>
    <w:rsid w:val="002034AD"/>
    <w:rsid w:val="002039E8"/>
    <w:rsid w:val="002044D6"/>
    <w:rsid w:val="00212C92"/>
    <w:rsid w:val="00213B48"/>
    <w:rsid w:val="002166C0"/>
    <w:rsid w:val="00220F87"/>
    <w:rsid w:val="002218CE"/>
    <w:rsid w:val="00222032"/>
    <w:rsid w:val="002239B4"/>
    <w:rsid w:val="00225C5F"/>
    <w:rsid w:val="00227257"/>
    <w:rsid w:val="00230B24"/>
    <w:rsid w:val="0023180C"/>
    <w:rsid w:val="002321B7"/>
    <w:rsid w:val="0023225E"/>
    <w:rsid w:val="00233B2D"/>
    <w:rsid w:val="00234C6C"/>
    <w:rsid w:val="00236264"/>
    <w:rsid w:val="0023774F"/>
    <w:rsid w:val="00242DDD"/>
    <w:rsid w:val="00247D11"/>
    <w:rsid w:val="00250E6E"/>
    <w:rsid w:val="002511E0"/>
    <w:rsid w:val="00251372"/>
    <w:rsid w:val="0025163D"/>
    <w:rsid w:val="002516D4"/>
    <w:rsid w:val="00253E3B"/>
    <w:rsid w:val="00254F28"/>
    <w:rsid w:val="002551A3"/>
    <w:rsid w:val="00265031"/>
    <w:rsid w:val="00266277"/>
    <w:rsid w:val="00272F63"/>
    <w:rsid w:val="0027329E"/>
    <w:rsid w:val="00273B05"/>
    <w:rsid w:val="00274370"/>
    <w:rsid w:val="0027622B"/>
    <w:rsid w:val="00280A81"/>
    <w:rsid w:val="00281E4E"/>
    <w:rsid w:val="00284C12"/>
    <w:rsid w:val="00286834"/>
    <w:rsid w:val="002928EE"/>
    <w:rsid w:val="002959FA"/>
    <w:rsid w:val="00296330"/>
    <w:rsid w:val="002972F3"/>
    <w:rsid w:val="002A365B"/>
    <w:rsid w:val="002A4002"/>
    <w:rsid w:val="002A4BCA"/>
    <w:rsid w:val="002A517F"/>
    <w:rsid w:val="002A75AB"/>
    <w:rsid w:val="002B27BC"/>
    <w:rsid w:val="002B282F"/>
    <w:rsid w:val="002B4A2F"/>
    <w:rsid w:val="002B4B30"/>
    <w:rsid w:val="002C1261"/>
    <w:rsid w:val="002C7D43"/>
    <w:rsid w:val="002D1A52"/>
    <w:rsid w:val="002D28E0"/>
    <w:rsid w:val="002D7E44"/>
    <w:rsid w:val="002E12BA"/>
    <w:rsid w:val="002E5CE0"/>
    <w:rsid w:val="002E6804"/>
    <w:rsid w:val="002E7390"/>
    <w:rsid w:val="002E79B6"/>
    <w:rsid w:val="002E7BC2"/>
    <w:rsid w:val="002F3529"/>
    <w:rsid w:val="002F52CA"/>
    <w:rsid w:val="002F5479"/>
    <w:rsid w:val="002F63BB"/>
    <w:rsid w:val="002F701E"/>
    <w:rsid w:val="002F76C8"/>
    <w:rsid w:val="00302F9F"/>
    <w:rsid w:val="00304386"/>
    <w:rsid w:val="003051E7"/>
    <w:rsid w:val="003067AC"/>
    <w:rsid w:val="003141AC"/>
    <w:rsid w:val="00314F61"/>
    <w:rsid w:val="003163C5"/>
    <w:rsid w:val="003174DA"/>
    <w:rsid w:val="0031769D"/>
    <w:rsid w:val="00325E03"/>
    <w:rsid w:val="00326EC9"/>
    <w:rsid w:val="003362D7"/>
    <w:rsid w:val="0033686A"/>
    <w:rsid w:val="003372DB"/>
    <w:rsid w:val="003375DE"/>
    <w:rsid w:val="003401FE"/>
    <w:rsid w:val="00340A7A"/>
    <w:rsid w:val="00346D80"/>
    <w:rsid w:val="00346F88"/>
    <w:rsid w:val="00346F8E"/>
    <w:rsid w:val="00351536"/>
    <w:rsid w:val="00360470"/>
    <w:rsid w:val="00360F9A"/>
    <w:rsid w:val="00361782"/>
    <w:rsid w:val="00371192"/>
    <w:rsid w:val="003750DA"/>
    <w:rsid w:val="00375A50"/>
    <w:rsid w:val="003827FB"/>
    <w:rsid w:val="00384629"/>
    <w:rsid w:val="00385513"/>
    <w:rsid w:val="00386679"/>
    <w:rsid w:val="00386B88"/>
    <w:rsid w:val="00387E9E"/>
    <w:rsid w:val="00390DCF"/>
    <w:rsid w:val="00393B92"/>
    <w:rsid w:val="00396210"/>
    <w:rsid w:val="00397FF3"/>
    <w:rsid w:val="003A00C3"/>
    <w:rsid w:val="003A00DA"/>
    <w:rsid w:val="003A0C33"/>
    <w:rsid w:val="003A2944"/>
    <w:rsid w:val="003A3731"/>
    <w:rsid w:val="003A633B"/>
    <w:rsid w:val="003B0DEF"/>
    <w:rsid w:val="003B604C"/>
    <w:rsid w:val="003C0237"/>
    <w:rsid w:val="003C200C"/>
    <w:rsid w:val="003C2074"/>
    <w:rsid w:val="003C3527"/>
    <w:rsid w:val="003C3ADB"/>
    <w:rsid w:val="003C5E88"/>
    <w:rsid w:val="003D11B5"/>
    <w:rsid w:val="003D134C"/>
    <w:rsid w:val="003D5230"/>
    <w:rsid w:val="003D69A5"/>
    <w:rsid w:val="003D6D9F"/>
    <w:rsid w:val="003E0079"/>
    <w:rsid w:val="003E09D5"/>
    <w:rsid w:val="003E14F9"/>
    <w:rsid w:val="003F045D"/>
    <w:rsid w:val="003F3119"/>
    <w:rsid w:val="003F3C60"/>
    <w:rsid w:val="003F4D44"/>
    <w:rsid w:val="003F6D32"/>
    <w:rsid w:val="00401CBE"/>
    <w:rsid w:val="00403BF0"/>
    <w:rsid w:val="00405088"/>
    <w:rsid w:val="00405714"/>
    <w:rsid w:val="00405F92"/>
    <w:rsid w:val="0040662C"/>
    <w:rsid w:val="00406B09"/>
    <w:rsid w:val="0041172F"/>
    <w:rsid w:val="00411B67"/>
    <w:rsid w:val="00420A70"/>
    <w:rsid w:val="00421B11"/>
    <w:rsid w:val="004265FC"/>
    <w:rsid w:val="00430B5A"/>
    <w:rsid w:val="00431328"/>
    <w:rsid w:val="00433B17"/>
    <w:rsid w:val="0043588C"/>
    <w:rsid w:val="004377A2"/>
    <w:rsid w:val="00437A8B"/>
    <w:rsid w:val="00440B11"/>
    <w:rsid w:val="0044207D"/>
    <w:rsid w:val="00443184"/>
    <w:rsid w:val="00443937"/>
    <w:rsid w:val="00445988"/>
    <w:rsid w:val="00447FE5"/>
    <w:rsid w:val="004503C9"/>
    <w:rsid w:val="00450614"/>
    <w:rsid w:val="0045082C"/>
    <w:rsid w:val="00450B83"/>
    <w:rsid w:val="004535E3"/>
    <w:rsid w:val="00456CED"/>
    <w:rsid w:val="004617B8"/>
    <w:rsid w:val="0046504E"/>
    <w:rsid w:val="00467C8E"/>
    <w:rsid w:val="00467ED7"/>
    <w:rsid w:val="00470775"/>
    <w:rsid w:val="00470E04"/>
    <w:rsid w:val="004758FE"/>
    <w:rsid w:val="00481DE3"/>
    <w:rsid w:val="004830C8"/>
    <w:rsid w:val="004837AB"/>
    <w:rsid w:val="00483A2F"/>
    <w:rsid w:val="00483C0A"/>
    <w:rsid w:val="00487ADF"/>
    <w:rsid w:val="00490DBF"/>
    <w:rsid w:val="00494F12"/>
    <w:rsid w:val="00497571"/>
    <w:rsid w:val="004A13B5"/>
    <w:rsid w:val="004A46B5"/>
    <w:rsid w:val="004A5382"/>
    <w:rsid w:val="004A6279"/>
    <w:rsid w:val="004A6E34"/>
    <w:rsid w:val="004A6EE1"/>
    <w:rsid w:val="004B1BEE"/>
    <w:rsid w:val="004B22E7"/>
    <w:rsid w:val="004B2659"/>
    <w:rsid w:val="004B2AB8"/>
    <w:rsid w:val="004B6AD7"/>
    <w:rsid w:val="004C1BA6"/>
    <w:rsid w:val="004C3D5C"/>
    <w:rsid w:val="004D04EB"/>
    <w:rsid w:val="004D0DA3"/>
    <w:rsid w:val="004D158A"/>
    <w:rsid w:val="004D3C91"/>
    <w:rsid w:val="004D770C"/>
    <w:rsid w:val="004E0A28"/>
    <w:rsid w:val="004E3243"/>
    <w:rsid w:val="004E370E"/>
    <w:rsid w:val="004E402A"/>
    <w:rsid w:val="004E5D3D"/>
    <w:rsid w:val="004F006C"/>
    <w:rsid w:val="004F02CA"/>
    <w:rsid w:val="004F0A29"/>
    <w:rsid w:val="004F285F"/>
    <w:rsid w:val="004F3D32"/>
    <w:rsid w:val="004F407C"/>
    <w:rsid w:val="004F4387"/>
    <w:rsid w:val="004F7059"/>
    <w:rsid w:val="004F7A45"/>
    <w:rsid w:val="004F7F85"/>
    <w:rsid w:val="005015C9"/>
    <w:rsid w:val="00501FCD"/>
    <w:rsid w:val="005029C2"/>
    <w:rsid w:val="00502A41"/>
    <w:rsid w:val="00505F59"/>
    <w:rsid w:val="00506B56"/>
    <w:rsid w:val="00510BF5"/>
    <w:rsid w:val="0051467B"/>
    <w:rsid w:val="00514D39"/>
    <w:rsid w:val="00515265"/>
    <w:rsid w:val="00517B8C"/>
    <w:rsid w:val="00517E74"/>
    <w:rsid w:val="00521BA7"/>
    <w:rsid w:val="00522E71"/>
    <w:rsid w:val="005233AE"/>
    <w:rsid w:val="00525051"/>
    <w:rsid w:val="005252E2"/>
    <w:rsid w:val="00526D27"/>
    <w:rsid w:val="00530EAD"/>
    <w:rsid w:val="005327AA"/>
    <w:rsid w:val="00534AE0"/>
    <w:rsid w:val="005400BD"/>
    <w:rsid w:val="005409D3"/>
    <w:rsid w:val="00540BBE"/>
    <w:rsid w:val="00541B55"/>
    <w:rsid w:val="0054577D"/>
    <w:rsid w:val="00546BE0"/>
    <w:rsid w:val="005511D5"/>
    <w:rsid w:val="00551564"/>
    <w:rsid w:val="00551BFD"/>
    <w:rsid w:val="005534DD"/>
    <w:rsid w:val="0055390E"/>
    <w:rsid w:val="005548C5"/>
    <w:rsid w:val="00554E71"/>
    <w:rsid w:val="00560F5F"/>
    <w:rsid w:val="00561350"/>
    <w:rsid w:val="00563E22"/>
    <w:rsid w:val="0056768C"/>
    <w:rsid w:val="00575DC6"/>
    <w:rsid w:val="00580859"/>
    <w:rsid w:val="0058233D"/>
    <w:rsid w:val="0058306B"/>
    <w:rsid w:val="00584C2A"/>
    <w:rsid w:val="00585FB5"/>
    <w:rsid w:val="005875EC"/>
    <w:rsid w:val="005879D1"/>
    <w:rsid w:val="00590C4F"/>
    <w:rsid w:val="00591586"/>
    <w:rsid w:val="005940B2"/>
    <w:rsid w:val="00595FB0"/>
    <w:rsid w:val="005A0936"/>
    <w:rsid w:val="005A10AF"/>
    <w:rsid w:val="005A1143"/>
    <w:rsid w:val="005A14BC"/>
    <w:rsid w:val="005A28DB"/>
    <w:rsid w:val="005A3EDE"/>
    <w:rsid w:val="005A41F0"/>
    <w:rsid w:val="005A4C16"/>
    <w:rsid w:val="005A70C4"/>
    <w:rsid w:val="005B2FE6"/>
    <w:rsid w:val="005B3F0E"/>
    <w:rsid w:val="005B4DB4"/>
    <w:rsid w:val="005B6484"/>
    <w:rsid w:val="005B6F36"/>
    <w:rsid w:val="005B753D"/>
    <w:rsid w:val="005C214C"/>
    <w:rsid w:val="005C298B"/>
    <w:rsid w:val="005C29D9"/>
    <w:rsid w:val="005D2B9C"/>
    <w:rsid w:val="005D2DF1"/>
    <w:rsid w:val="005D3438"/>
    <w:rsid w:val="005D3442"/>
    <w:rsid w:val="005D426A"/>
    <w:rsid w:val="005D4B7E"/>
    <w:rsid w:val="005D5DDE"/>
    <w:rsid w:val="005E28C5"/>
    <w:rsid w:val="005E7551"/>
    <w:rsid w:val="005F1007"/>
    <w:rsid w:val="005F5D19"/>
    <w:rsid w:val="005F6834"/>
    <w:rsid w:val="005F6CBF"/>
    <w:rsid w:val="006015CA"/>
    <w:rsid w:val="006025BD"/>
    <w:rsid w:val="00602DD2"/>
    <w:rsid w:val="00605672"/>
    <w:rsid w:val="00606103"/>
    <w:rsid w:val="006062E0"/>
    <w:rsid w:val="00606FE0"/>
    <w:rsid w:val="0061332C"/>
    <w:rsid w:val="006135E6"/>
    <w:rsid w:val="00615659"/>
    <w:rsid w:val="00616FE1"/>
    <w:rsid w:val="00617345"/>
    <w:rsid w:val="00617DF2"/>
    <w:rsid w:val="00621810"/>
    <w:rsid w:val="00624F67"/>
    <w:rsid w:val="00632EA5"/>
    <w:rsid w:val="00633098"/>
    <w:rsid w:val="00641087"/>
    <w:rsid w:val="00642D69"/>
    <w:rsid w:val="00643E6E"/>
    <w:rsid w:val="00644070"/>
    <w:rsid w:val="00645447"/>
    <w:rsid w:val="00650546"/>
    <w:rsid w:val="00651D32"/>
    <w:rsid w:val="006520B9"/>
    <w:rsid w:val="006550F8"/>
    <w:rsid w:val="00656926"/>
    <w:rsid w:val="0065701C"/>
    <w:rsid w:val="006606E6"/>
    <w:rsid w:val="00660BC7"/>
    <w:rsid w:val="00661CE0"/>
    <w:rsid w:val="00662792"/>
    <w:rsid w:val="0066570D"/>
    <w:rsid w:val="00666ED7"/>
    <w:rsid w:val="0067121B"/>
    <w:rsid w:val="0067152F"/>
    <w:rsid w:val="00671A31"/>
    <w:rsid w:val="00672F75"/>
    <w:rsid w:val="006734CA"/>
    <w:rsid w:val="006744F1"/>
    <w:rsid w:val="0067459C"/>
    <w:rsid w:val="006818B6"/>
    <w:rsid w:val="006824B8"/>
    <w:rsid w:val="006834EE"/>
    <w:rsid w:val="00683BD5"/>
    <w:rsid w:val="00693348"/>
    <w:rsid w:val="00693E9C"/>
    <w:rsid w:val="006A1142"/>
    <w:rsid w:val="006A602E"/>
    <w:rsid w:val="006A6A20"/>
    <w:rsid w:val="006A718B"/>
    <w:rsid w:val="006A7743"/>
    <w:rsid w:val="006B0B79"/>
    <w:rsid w:val="006B6339"/>
    <w:rsid w:val="006B6C6A"/>
    <w:rsid w:val="006C10D3"/>
    <w:rsid w:val="006C1567"/>
    <w:rsid w:val="006C15D5"/>
    <w:rsid w:val="006C234F"/>
    <w:rsid w:val="006C386E"/>
    <w:rsid w:val="006C3D0C"/>
    <w:rsid w:val="006C3FBC"/>
    <w:rsid w:val="006C5955"/>
    <w:rsid w:val="006D31E1"/>
    <w:rsid w:val="006D343E"/>
    <w:rsid w:val="006D359C"/>
    <w:rsid w:val="006D519D"/>
    <w:rsid w:val="006E1202"/>
    <w:rsid w:val="006E2710"/>
    <w:rsid w:val="006E4EA2"/>
    <w:rsid w:val="006E58AC"/>
    <w:rsid w:val="006E63F1"/>
    <w:rsid w:val="006E7542"/>
    <w:rsid w:val="006E7B2F"/>
    <w:rsid w:val="006F1FD7"/>
    <w:rsid w:val="006F39D0"/>
    <w:rsid w:val="006F6897"/>
    <w:rsid w:val="006F7484"/>
    <w:rsid w:val="006F7746"/>
    <w:rsid w:val="00702098"/>
    <w:rsid w:val="007040FA"/>
    <w:rsid w:val="00706B53"/>
    <w:rsid w:val="007071B1"/>
    <w:rsid w:val="00711157"/>
    <w:rsid w:val="00714E2B"/>
    <w:rsid w:val="00715B7E"/>
    <w:rsid w:val="007173B7"/>
    <w:rsid w:val="00720D29"/>
    <w:rsid w:val="007263DB"/>
    <w:rsid w:val="00730CDB"/>
    <w:rsid w:val="00731B46"/>
    <w:rsid w:val="00731BB1"/>
    <w:rsid w:val="00736C89"/>
    <w:rsid w:val="007413C5"/>
    <w:rsid w:val="00745744"/>
    <w:rsid w:val="007462F1"/>
    <w:rsid w:val="007478EA"/>
    <w:rsid w:val="0075032A"/>
    <w:rsid w:val="007708B1"/>
    <w:rsid w:val="00770D7D"/>
    <w:rsid w:val="00772497"/>
    <w:rsid w:val="007756D5"/>
    <w:rsid w:val="00776241"/>
    <w:rsid w:val="00776CA9"/>
    <w:rsid w:val="00776F45"/>
    <w:rsid w:val="00784474"/>
    <w:rsid w:val="00787F0A"/>
    <w:rsid w:val="00791377"/>
    <w:rsid w:val="007917E6"/>
    <w:rsid w:val="007928D4"/>
    <w:rsid w:val="00792B9C"/>
    <w:rsid w:val="00795512"/>
    <w:rsid w:val="007A4F15"/>
    <w:rsid w:val="007A5340"/>
    <w:rsid w:val="007B5FA8"/>
    <w:rsid w:val="007B6C2E"/>
    <w:rsid w:val="007B6FDF"/>
    <w:rsid w:val="007B7789"/>
    <w:rsid w:val="007C0C73"/>
    <w:rsid w:val="007C24B3"/>
    <w:rsid w:val="007C25D9"/>
    <w:rsid w:val="007C7892"/>
    <w:rsid w:val="007D03DD"/>
    <w:rsid w:val="007D0C7B"/>
    <w:rsid w:val="007D27F3"/>
    <w:rsid w:val="007D4C7B"/>
    <w:rsid w:val="007D62C7"/>
    <w:rsid w:val="007E101C"/>
    <w:rsid w:val="007E10EB"/>
    <w:rsid w:val="007E1611"/>
    <w:rsid w:val="007E1898"/>
    <w:rsid w:val="007E4719"/>
    <w:rsid w:val="007E4B98"/>
    <w:rsid w:val="007E6A15"/>
    <w:rsid w:val="007E6A27"/>
    <w:rsid w:val="007F6AA7"/>
    <w:rsid w:val="007F7AC6"/>
    <w:rsid w:val="00803061"/>
    <w:rsid w:val="00807EEE"/>
    <w:rsid w:val="0081087D"/>
    <w:rsid w:val="00810F65"/>
    <w:rsid w:val="00811D78"/>
    <w:rsid w:val="008135F4"/>
    <w:rsid w:val="00813893"/>
    <w:rsid w:val="008149E7"/>
    <w:rsid w:val="008218D6"/>
    <w:rsid w:val="0082266E"/>
    <w:rsid w:val="008234E2"/>
    <w:rsid w:val="00824361"/>
    <w:rsid w:val="008327EE"/>
    <w:rsid w:val="0083350D"/>
    <w:rsid w:val="00834968"/>
    <w:rsid w:val="00835417"/>
    <w:rsid w:val="0083591C"/>
    <w:rsid w:val="00842E74"/>
    <w:rsid w:val="0084355F"/>
    <w:rsid w:val="0084374B"/>
    <w:rsid w:val="00843BE5"/>
    <w:rsid w:val="0084777B"/>
    <w:rsid w:val="0085034A"/>
    <w:rsid w:val="0085037B"/>
    <w:rsid w:val="00855601"/>
    <w:rsid w:val="00856B64"/>
    <w:rsid w:val="008571D0"/>
    <w:rsid w:val="00857DEF"/>
    <w:rsid w:val="008602F0"/>
    <w:rsid w:val="00861F13"/>
    <w:rsid w:val="00862C81"/>
    <w:rsid w:val="00863DD9"/>
    <w:rsid w:val="00866446"/>
    <w:rsid w:val="0086741B"/>
    <w:rsid w:val="00870BDD"/>
    <w:rsid w:val="00872638"/>
    <w:rsid w:val="008771C4"/>
    <w:rsid w:val="00880204"/>
    <w:rsid w:val="00882568"/>
    <w:rsid w:val="008840CA"/>
    <w:rsid w:val="008866F2"/>
    <w:rsid w:val="00886F29"/>
    <w:rsid w:val="00887F70"/>
    <w:rsid w:val="0089027D"/>
    <w:rsid w:val="00892517"/>
    <w:rsid w:val="008927FE"/>
    <w:rsid w:val="00892A25"/>
    <w:rsid w:val="00892BE6"/>
    <w:rsid w:val="008979A7"/>
    <w:rsid w:val="00897DAB"/>
    <w:rsid w:val="008A0633"/>
    <w:rsid w:val="008A1724"/>
    <w:rsid w:val="008A27BC"/>
    <w:rsid w:val="008A3386"/>
    <w:rsid w:val="008A37D8"/>
    <w:rsid w:val="008A53F2"/>
    <w:rsid w:val="008B09B1"/>
    <w:rsid w:val="008B09D2"/>
    <w:rsid w:val="008B147A"/>
    <w:rsid w:val="008B1930"/>
    <w:rsid w:val="008B628B"/>
    <w:rsid w:val="008C0606"/>
    <w:rsid w:val="008C1CE8"/>
    <w:rsid w:val="008C24B6"/>
    <w:rsid w:val="008C3987"/>
    <w:rsid w:val="008C3E5B"/>
    <w:rsid w:val="008C487C"/>
    <w:rsid w:val="008C4C28"/>
    <w:rsid w:val="008C5224"/>
    <w:rsid w:val="008D07ED"/>
    <w:rsid w:val="008D0BF9"/>
    <w:rsid w:val="008D2CBA"/>
    <w:rsid w:val="008D40D6"/>
    <w:rsid w:val="008D4381"/>
    <w:rsid w:val="008E0FCC"/>
    <w:rsid w:val="008E2FE3"/>
    <w:rsid w:val="008E5F34"/>
    <w:rsid w:val="008F0FBE"/>
    <w:rsid w:val="008F2267"/>
    <w:rsid w:val="008F3EE2"/>
    <w:rsid w:val="008F4CB7"/>
    <w:rsid w:val="008F4FBB"/>
    <w:rsid w:val="008F5D30"/>
    <w:rsid w:val="008F6B23"/>
    <w:rsid w:val="00910B3C"/>
    <w:rsid w:val="00911243"/>
    <w:rsid w:val="0091226B"/>
    <w:rsid w:val="00912EA2"/>
    <w:rsid w:val="009161B8"/>
    <w:rsid w:val="0091627F"/>
    <w:rsid w:val="00916488"/>
    <w:rsid w:val="00916D06"/>
    <w:rsid w:val="009223EA"/>
    <w:rsid w:val="009231E0"/>
    <w:rsid w:val="00924365"/>
    <w:rsid w:val="00926E16"/>
    <w:rsid w:val="009270B9"/>
    <w:rsid w:val="00933EF5"/>
    <w:rsid w:val="00934E53"/>
    <w:rsid w:val="00935BE4"/>
    <w:rsid w:val="00935CAE"/>
    <w:rsid w:val="00935F01"/>
    <w:rsid w:val="009363FC"/>
    <w:rsid w:val="0094508D"/>
    <w:rsid w:val="009506A7"/>
    <w:rsid w:val="009549DD"/>
    <w:rsid w:val="0095686F"/>
    <w:rsid w:val="00957214"/>
    <w:rsid w:val="00960CAB"/>
    <w:rsid w:val="00961879"/>
    <w:rsid w:val="00962D6C"/>
    <w:rsid w:val="0096333C"/>
    <w:rsid w:val="009655F6"/>
    <w:rsid w:val="00965D9D"/>
    <w:rsid w:val="00967230"/>
    <w:rsid w:val="00967B56"/>
    <w:rsid w:val="00967F81"/>
    <w:rsid w:val="00972C13"/>
    <w:rsid w:val="00974EE3"/>
    <w:rsid w:val="00976F3B"/>
    <w:rsid w:val="00980729"/>
    <w:rsid w:val="009812D7"/>
    <w:rsid w:val="00982E99"/>
    <w:rsid w:val="009831FA"/>
    <w:rsid w:val="009832A1"/>
    <w:rsid w:val="0098491A"/>
    <w:rsid w:val="0099267F"/>
    <w:rsid w:val="00993BFE"/>
    <w:rsid w:val="00993CE0"/>
    <w:rsid w:val="00995931"/>
    <w:rsid w:val="009963CB"/>
    <w:rsid w:val="009A3D14"/>
    <w:rsid w:val="009A5714"/>
    <w:rsid w:val="009A5A15"/>
    <w:rsid w:val="009A5DA7"/>
    <w:rsid w:val="009A764B"/>
    <w:rsid w:val="009B0FED"/>
    <w:rsid w:val="009B1AEC"/>
    <w:rsid w:val="009B1BCD"/>
    <w:rsid w:val="009B2845"/>
    <w:rsid w:val="009B30BD"/>
    <w:rsid w:val="009C0FAC"/>
    <w:rsid w:val="009C59BA"/>
    <w:rsid w:val="009C6F56"/>
    <w:rsid w:val="009D1D57"/>
    <w:rsid w:val="009D1DE1"/>
    <w:rsid w:val="009D266A"/>
    <w:rsid w:val="009D32D2"/>
    <w:rsid w:val="009D386C"/>
    <w:rsid w:val="009D39BD"/>
    <w:rsid w:val="009D6FEF"/>
    <w:rsid w:val="009E14F0"/>
    <w:rsid w:val="009E2544"/>
    <w:rsid w:val="009E2770"/>
    <w:rsid w:val="009E2D72"/>
    <w:rsid w:val="009E41C2"/>
    <w:rsid w:val="009E4A43"/>
    <w:rsid w:val="009E6C5F"/>
    <w:rsid w:val="009F1AE4"/>
    <w:rsid w:val="009F2261"/>
    <w:rsid w:val="009F3537"/>
    <w:rsid w:val="00A02EE3"/>
    <w:rsid w:val="00A05091"/>
    <w:rsid w:val="00A12450"/>
    <w:rsid w:val="00A13C4B"/>
    <w:rsid w:val="00A13CEC"/>
    <w:rsid w:val="00A25657"/>
    <w:rsid w:val="00A27907"/>
    <w:rsid w:val="00A31880"/>
    <w:rsid w:val="00A329B6"/>
    <w:rsid w:val="00A32C19"/>
    <w:rsid w:val="00A32FFB"/>
    <w:rsid w:val="00A367A1"/>
    <w:rsid w:val="00A37482"/>
    <w:rsid w:val="00A37CBD"/>
    <w:rsid w:val="00A415D2"/>
    <w:rsid w:val="00A4372E"/>
    <w:rsid w:val="00A460BA"/>
    <w:rsid w:val="00A47EC1"/>
    <w:rsid w:val="00A510F6"/>
    <w:rsid w:val="00A51430"/>
    <w:rsid w:val="00A53684"/>
    <w:rsid w:val="00A54F89"/>
    <w:rsid w:val="00A56D19"/>
    <w:rsid w:val="00A645A9"/>
    <w:rsid w:val="00A651C9"/>
    <w:rsid w:val="00A657F1"/>
    <w:rsid w:val="00A65B37"/>
    <w:rsid w:val="00A6700F"/>
    <w:rsid w:val="00A70F57"/>
    <w:rsid w:val="00A733E0"/>
    <w:rsid w:val="00A758DC"/>
    <w:rsid w:val="00A75B4C"/>
    <w:rsid w:val="00A762A2"/>
    <w:rsid w:val="00A76331"/>
    <w:rsid w:val="00A765EA"/>
    <w:rsid w:val="00A80739"/>
    <w:rsid w:val="00A81952"/>
    <w:rsid w:val="00A83829"/>
    <w:rsid w:val="00A85AFF"/>
    <w:rsid w:val="00A86FD8"/>
    <w:rsid w:val="00A87029"/>
    <w:rsid w:val="00A9106B"/>
    <w:rsid w:val="00A95100"/>
    <w:rsid w:val="00A965E3"/>
    <w:rsid w:val="00AA0D01"/>
    <w:rsid w:val="00AA2A39"/>
    <w:rsid w:val="00AA451B"/>
    <w:rsid w:val="00AA615B"/>
    <w:rsid w:val="00AA653C"/>
    <w:rsid w:val="00AA6B2A"/>
    <w:rsid w:val="00AA7209"/>
    <w:rsid w:val="00AB0DED"/>
    <w:rsid w:val="00AB1F54"/>
    <w:rsid w:val="00AB254D"/>
    <w:rsid w:val="00AB5F84"/>
    <w:rsid w:val="00AC0C81"/>
    <w:rsid w:val="00AC20C4"/>
    <w:rsid w:val="00AC5FE7"/>
    <w:rsid w:val="00AD21C2"/>
    <w:rsid w:val="00AD2E82"/>
    <w:rsid w:val="00AD5FA4"/>
    <w:rsid w:val="00AD7725"/>
    <w:rsid w:val="00AE13A1"/>
    <w:rsid w:val="00AE194E"/>
    <w:rsid w:val="00AE1CAD"/>
    <w:rsid w:val="00AE355C"/>
    <w:rsid w:val="00AE6142"/>
    <w:rsid w:val="00AE65C4"/>
    <w:rsid w:val="00AE668A"/>
    <w:rsid w:val="00AE6858"/>
    <w:rsid w:val="00AF185A"/>
    <w:rsid w:val="00AF2203"/>
    <w:rsid w:val="00AF4523"/>
    <w:rsid w:val="00AF5C62"/>
    <w:rsid w:val="00AF6D01"/>
    <w:rsid w:val="00AF7270"/>
    <w:rsid w:val="00AF7DE1"/>
    <w:rsid w:val="00AF7F8A"/>
    <w:rsid w:val="00B00B72"/>
    <w:rsid w:val="00B0135B"/>
    <w:rsid w:val="00B0745E"/>
    <w:rsid w:val="00B1005D"/>
    <w:rsid w:val="00B100E5"/>
    <w:rsid w:val="00B139DC"/>
    <w:rsid w:val="00B17BC5"/>
    <w:rsid w:val="00B2158C"/>
    <w:rsid w:val="00B215D3"/>
    <w:rsid w:val="00B2288F"/>
    <w:rsid w:val="00B2365C"/>
    <w:rsid w:val="00B24E57"/>
    <w:rsid w:val="00B2594C"/>
    <w:rsid w:val="00B259A3"/>
    <w:rsid w:val="00B26E57"/>
    <w:rsid w:val="00B30582"/>
    <w:rsid w:val="00B30D96"/>
    <w:rsid w:val="00B30F17"/>
    <w:rsid w:val="00B33648"/>
    <w:rsid w:val="00B33972"/>
    <w:rsid w:val="00B34BE9"/>
    <w:rsid w:val="00B35792"/>
    <w:rsid w:val="00B406AA"/>
    <w:rsid w:val="00B40911"/>
    <w:rsid w:val="00B40E44"/>
    <w:rsid w:val="00B411C7"/>
    <w:rsid w:val="00B43CD5"/>
    <w:rsid w:val="00B44EB3"/>
    <w:rsid w:val="00B46660"/>
    <w:rsid w:val="00B47CBC"/>
    <w:rsid w:val="00B502EC"/>
    <w:rsid w:val="00B506DA"/>
    <w:rsid w:val="00B5123E"/>
    <w:rsid w:val="00B522C4"/>
    <w:rsid w:val="00B52B0E"/>
    <w:rsid w:val="00B5337D"/>
    <w:rsid w:val="00B56215"/>
    <w:rsid w:val="00B619D5"/>
    <w:rsid w:val="00B62DD9"/>
    <w:rsid w:val="00B63157"/>
    <w:rsid w:val="00B63A7D"/>
    <w:rsid w:val="00B65290"/>
    <w:rsid w:val="00B67C63"/>
    <w:rsid w:val="00B70E26"/>
    <w:rsid w:val="00B718F1"/>
    <w:rsid w:val="00B71D17"/>
    <w:rsid w:val="00B751F7"/>
    <w:rsid w:val="00B77186"/>
    <w:rsid w:val="00B771D4"/>
    <w:rsid w:val="00B773C6"/>
    <w:rsid w:val="00B77C40"/>
    <w:rsid w:val="00B81CA8"/>
    <w:rsid w:val="00B81F75"/>
    <w:rsid w:val="00B84BE3"/>
    <w:rsid w:val="00B84E9D"/>
    <w:rsid w:val="00B863F6"/>
    <w:rsid w:val="00B91902"/>
    <w:rsid w:val="00B9397D"/>
    <w:rsid w:val="00B94423"/>
    <w:rsid w:val="00B9767F"/>
    <w:rsid w:val="00B97D95"/>
    <w:rsid w:val="00BA292F"/>
    <w:rsid w:val="00BA59EC"/>
    <w:rsid w:val="00BA6091"/>
    <w:rsid w:val="00BA7E78"/>
    <w:rsid w:val="00BB0EA7"/>
    <w:rsid w:val="00BB3DBA"/>
    <w:rsid w:val="00BB59F9"/>
    <w:rsid w:val="00BC15B8"/>
    <w:rsid w:val="00BC214E"/>
    <w:rsid w:val="00BC26AF"/>
    <w:rsid w:val="00BC3D32"/>
    <w:rsid w:val="00BC5279"/>
    <w:rsid w:val="00BC52AE"/>
    <w:rsid w:val="00BC6627"/>
    <w:rsid w:val="00BC6C4E"/>
    <w:rsid w:val="00BC71A3"/>
    <w:rsid w:val="00BD0990"/>
    <w:rsid w:val="00BD0A88"/>
    <w:rsid w:val="00BD23BD"/>
    <w:rsid w:val="00BD26D1"/>
    <w:rsid w:val="00BD5341"/>
    <w:rsid w:val="00BD5431"/>
    <w:rsid w:val="00BD58A7"/>
    <w:rsid w:val="00BD7FF3"/>
    <w:rsid w:val="00BE1E33"/>
    <w:rsid w:val="00BE2AD3"/>
    <w:rsid w:val="00BE2B56"/>
    <w:rsid w:val="00BE36F7"/>
    <w:rsid w:val="00BE3CD6"/>
    <w:rsid w:val="00BE4E4A"/>
    <w:rsid w:val="00BE50B7"/>
    <w:rsid w:val="00BF1787"/>
    <w:rsid w:val="00BF2443"/>
    <w:rsid w:val="00C0011D"/>
    <w:rsid w:val="00C00831"/>
    <w:rsid w:val="00C02D09"/>
    <w:rsid w:val="00C03689"/>
    <w:rsid w:val="00C069D0"/>
    <w:rsid w:val="00C11BCD"/>
    <w:rsid w:val="00C12201"/>
    <w:rsid w:val="00C13418"/>
    <w:rsid w:val="00C1405A"/>
    <w:rsid w:val="00C174EF"/>
    <w:rsid w:val="00C1766E"/>
    <w:rsid w:val="00C22412"/>
    <w:rsid w:val="00C247F3"/>
    <w:rsid w:val="00C24EAC"/>
    <w:rsid w:val="00C25E14"/>
    <w:rsid w:val="00C26186"/>
    <w:rsid w:val="00C266A5"/>
    <w:rsid w:val="00C31ED6"/>
    <w:rsid w:val="00C32446"/>
    <w:rsid w:val="00C370F3"/>
    <w:rsid w:val="00C40C84"/>
    <w:rsid w:val="00C4526C"/>
    <w:rsid w:val="00C50B1B"/>
    <w:rsid w:val="00C52801"/>
    <w:rsid w:val="00C60977"/>
    <w:rsid w:val="00C6210F"/>
    <w:rsid w:val="00C63CE5"/>
    <w:rsid w:val="00C64535"/>
    <w:rsid w:val="00C70C7D"/>
    <w:rsid w:val="00C71242"/>
    <w:rsid w:val="00C745C6"/>
    <w:rsid w:val="00C75D22"/>
    <w:rsid w:val="00C75DB8"/>
    <w:rsid w:val="00C76A82"/>
    <w:rsid w:val="00C76D92"/>
    <w:rsid w:val="00C843A8"/>
    <w:rsid w:val="00C90134"/>
    <w:rsid w:val="00C909D4"/>
    <w:rsid w:val="00C92B82"/>
    <w:rsid w:val="00C964DE"/>
    <w:rsid w:val="00C96C57"/>
    <w:rsid w:val="00C97F69"/>
    <w:rsid w:val="00CA0586"/>
    <w:rsid w:val="00CA0DF4"/>
    <w:rsid w:val="00CA3C3B"/>
    <w:rsid w:val="00CA5790"/>
    <w:rsid w:val="00CA634C"/>
    <w:rsid w:val="00CB004E"/>
    <w:rsid w:val="00CB0D87"/>
    <w:rsid w:val="00CB2DA9"/>
    <w:rsid w:val="00CB7787"/>
    <w:rsid w:val="00CC1134"/>
    <w:rsid w:val="00CC1F37"/>
    <w:rsid w:val="00CC24A3"/>
    <w:rsid w:val="00CC3C9A"/>
    <w:rsid w:val="00CC3DEC"/>
    <w:rsid w:val="00CD05DC"/>
    <w:rsid w:val="00CD0C74"/>
    <w:rsid w:val="00CD1CFD"/>
    <w:rsid w:val="00CD3C6F"/>
    <w:rsid w:val="00CD5DF3"/>
    <w:rsid w:val="00CD69D9"/>
    <w:rsid w:val="00CE153F"/>
    <w:rsid w:val="00CE58C4"/>
    <w:rsid w:val="00CE605E"/>
    <w:rsid w:val="00CF183E"/>
    <w:rsid w:val="00CF326B"/>
    <w:rsid w:val="00CF56D7"/>
    <w:rsid w:val="00CF605F"/>
    <w:rsid w:val="00CF6C6F"/>
    <w:rsid w:val="00D032F2"/>
    <w:rsid w:val="00D04D3F"/>
    <w:rsid w:val="00D058DF"/>
    <w:rsid w:val="00D05F7D"/>
    <w:rsid w:val="00D0763E"/>
    <w:rsid w:val="00D12644"/>
    <w:rsid w:val="00D13774"/>
    <w:rsid w:val="00D1531B"/>
    <w:rsid w:val="00D15EAB"/>
    <w:rsid w:val="00D21851"/>
    <w:rsid w:val="00D22CDB"/>
    <w:rsid w:val="00D24682"/>
    <w:rsid w:val="00D246AF"/>
    <w:rsid w:val="00D24F06"/>
    <w:rsid w:val="00D25102"/>
    <w:rsid w:val="00D25AEF"/>
    <w:rsid w:val="00D349EE"/>
    <w:rsid w:val="00D3779A"/>
    <w:rsid w:val="00D404BB"/>
    <w:rsid w:val="00D421E8"/>
    <w:rsid w:val="00D43ADB"/>
    <w:rsid w:val="00D43ECF"/>
    <w:rsid w:val="00D45FF5"/>
    <w:rsid w:val="00D516F2"/>
    <w:rsid w:val="00D51BF2"/>
    <w:rsid w:val="00D5473B"/>
    <w:rsid w:val="00D56763"/>
    <w:rsid w:val="00D56766"/>
    <w:rsid w:val="00D56CC4"/>
    <w:rsid w:val="00D56D47"/>
    <w:rsid w:val="00D644D8"/>
    <w:rsid w:val="00D648B0"/>
    <w:rsid w:val="00D7088A"/>
    <w:rsid w:val="00D70FB4"/>
    <w:rsid w:val="00D74A1C"/>
    <w:rsid w:val="00D75BD6"/>
    <w:rsid w:val="00D76E57"/>
    <w:rsid w:val="00D815C1"/>
    <w:rsid w:val="00D822D9"/>
    <w:rsid w:val="00D828B4"/>
    <w:rsid w:val="00D838D1"/>
    <w:rsid w:val="00D843FF"/>
    <w:rsid w:val="00D84DC5"/>
    <w:rsid w:val="00D85C85"/>
    <w:rsid w:val="00D8724A"/>
    <w:rsid w:val="00D87665"/>
    <w:rsid w:val="00D87808"/>
    <w:rsid w:val="00D923D3"/>
    <w:rsid w:val="00D92F6C"/>
    <w:rsid w:val="00D93CB6"/>
    <w:rsid w:val="00D949D4"/>
    <w:rsid w:val="00D95879"/>
    <w:rsid w:val="00D95C0B"/>
    <w:rsid w:val="00D961FC"/>
    <w:rsid w:val="00D97A6B"/>
    <w:rsid w:val="00DA2FA3"/>
    <w:rsid w:val="00DA3254"/>
    <w:rsid w:val="00DA585A"/>
    <w:rsid w:val="00DA681A"/>
    <w:rsid w:val="00DB3F57"/>
    <w:rsid w:val="00DB4079"/>
    <w:rsid w:val="00DB7208"/>
    <w:rsid w:val="00DB751D"/>
    <w:rsid w:val="00DC0138"/>
    <w:rsid w:val="00DC0F98"/>
    <w:rsid w:val="00DC10EA"/>
    <w:rsid w:val="00DC1941"/>
    <w:rsid w:val="00DC1FAD"/>
    <w:rsid w:val="00DC22C6"/>
    <w:rsid w:val="00DC275A"/>
    <w:rsid w:val="00DC4913"/>
    <w:rsid w:val="00DC4BB8"/>
    <w:rsid w:val="00DC59FA"/>
    <w:rsid w:val="00DC679E"/>
    <w:rsid w:val="00DC7810"/>
    <w:rsid w:val="00DD0E98"/>
    <w:rsid w:val="00DD1A92"/>
    <w:rsid w:val="00DD265C"/>
    <w:rsid w:val="00DD2D2E"/>
    <w:rsid w:val="00DD582A"/>
    <w:rsid w:val="00DE0A9A"/>
    <w:rsid w:val="00DE0E26"/>
    <w:rsid w:val="00DE6220"/>
    <w:rsid w:val="00DE64DE"/>
    <w:rsid w:val="00DE7AB4"/>
    <w:rsid w:val="00DF0661"/>
    <w:rsid w:val="00DF2F9C"/>
    <w:rsid w:val="00DF4D86"/>
    <w:rsid w:val="00DF5FDD"/>
    <w:rsid w:val="00DF6644"/>
    <w:rsid w:val="00DF6A51"/>
    <w:rsid w:val="00DF7BCF"/>
    <w:rsid w:val="00DF7F6E"/>
    <w:rsid w:val="00E0053A"/>
    <w:rsid w:val="00E01D84"/>
    <w:rsid w:val="00E01E05"/>
    <w:rsid w:val="00E030B1"/>
    <w:rsid w:val="00E0556E"/>
    <w:rsid w:val="00E05B0B"/>
    <w:rsid w:val="00E06637"/>
    <w:rsid w:val="00E137BB"/>
    <w:rsid w:val="00E16A8F"/>
    <w:rsid w:val="00E16D8B"/>
    <w:rsid w:val="00E17AA0"/>
    <w:rsid w:val="00E204B4"/>
    <w:rsid w:val="00E221EC"/>
    <w:rsid w:val="00E30022"/>
    <w:rsid w:val="00E3199C"/>
    <w:rsid w:val="00E33820"/>
    <w:rsid w:val="00E34A66"/>
    <w:rsid w:val="00E35B0E"/>
    <w:rsid w:val="00E42425"/>
    <w:rsid w:val="00E50942"/>
    <w:rsid w:val="00E53A9A"/>
    <w:rsid w:val="00E53ED1"/>
    <w:rsid w:val="00E5460B"/>
    <w:rsid w:val="00E54BB4"/>
    <w:rsid w:val="00E56F2B"/>
    <w:rsid w:val="00E57453"/>
    <w:rsid w:val="00E60369"/>
    <w:rsid w:val="00E62E6F"/>
    <w:rsid w:val="00E6312F"/>
    <w:rsid w:val="00E63ADB"/>
    <w:rsid w:val="00E64988"/>
    <w:rsid w:val="00E64A38"/>
    <w:rsid w:val="00E650D8"/>
    <w:rsid w:val="00E664DA"/>
    <w:rsid w:val="00E75356"/>
    <w:rsid w:val="00E756AC"/>
    <w:rsid w:val="00E834AF"/>
    <w:rsid w:val="00E8381A"/>
    <w:rsid w:val="00E85358"/>
    <w:rsid w:val="00E861B6"/>
    <w:rsid w:val="00E8702F"/>
    <w:rsid w:val="00E87596"/>
    <w:rsid w:val="00E87794"/>
    <w:rsid w:val="00E92144"/>
    <w:rsid w:val="00E96422"/>
    <w:rsid w:val="00E972BE"/>
    <w:rsid w:val="00EA142F"/>
    <w:rsid w:val="00EA2206"/>
    <w:rsid w:val="00EA3B7D"/>
    <w:rsid w:val="00EA4081"/>
    <w:rsid w:val="00EA5A59"/>
    <w:rsid w:val="00EB1EAF"/>
    <w:rsid w:val="00EB3D8F"/>
    <w:rsid w:val="00EB42D3"/>
    <w:rsid w:val="00EB5184"/>
    <w:rsid w:val="00EB6666"/>
    <w:rsid w:val="00EB67D6"/>
    <w:rsid w:val="00EB79B1"/>
    <w:rsid w:val="00EC092E"/>
    <w:rsid w:val="00EC1F05"/>
    <w:rsid w:val="00EC28A2"/>
    <w:rsid w:val="00EC2D8F"/>
    <w:rsid w:val="00EC54A4"/>
    <w:rsid w:val="00ED0FE3"/>
    <w:rsid w:val="00ED1F11"/>
    <w:rsid w:val="00ED2621"/>
    <w:rsid w:val="00ED3EF0"/>
    <w:rsid w:val="00ED5854"/>
    <w:rsid w:val="00ED5E06"/>
    <w:rsid w:val="00EE121F"/>
    <w:rsid w:val="00EE2707"/>
    <w:rsid w:val="00EF2CA6"/>
    <w:rsid w:val="00EF45F9"/>
    <w:rsid w:val="00EF4DC4"/>
    <w:rsid w:val="00EF553C"/>
    <w:rsid w:val="00EF7E7F"/>
    <w:rsid w:val="00F0422A"/>
    <w:rsid w:val="00F0523A"/>
    <w:rsid w:val="00F05715"/>
    <w:rsid w:val="00F0717E"/>
    <w:rsid w:val="00F10D9B"/>
    <w:rsid w:val="00F117B1"/>
    <w:rsid w:val="00F12D75"/>
    <w:rsid w:val="00F134F9"/>
    <w:rsid w:val="00F17AD4"/>
    <w:rsid w:val="00F20444"/>
    <w:rsid w:val="00F218E0"/>
    <w:rsid w:val="00F21DDD"/>
    <w:rsid w:val="00F23CE5"/>
    <w:rsid w:val="00F24382"/>
    <w:rsid w:val="00F24C62"/>
    <w:rsid w:val="00F267C7"/>
    <w:rsid w:val="00F26DB6"/>
    <w:rsid w:val="00F271AD"/>
    <w:rsid w:val="00F27497"/>
    <w:rsid w:val="00F31211"/>
    <w:rsid w:val="00F32BE3"/>
    <w:rsid w:val="00F33F55"/>
    <w:rsid w:val="00F34138"/>
    <w:rsid w:val="00F3642B"/>
    <w:rsid w:val="00F3784C"/>
    <w:rsid w:val="00F379D7"/>
    <w:rsid w:val="00F41276"/>
    <w:rsid w:val="00F41559"/>
    <w:rsid w:val="00F418A2"/>
    <w:rsid w:val="00F4230D"/>
    <w:rsid w:val="00F45997"/>
    <w:rsid w:val="00F47FCE"/>
    <w:rsid w:val="00F501D2"/>
    <w:rsid w:val="00F5266F"/>
    <w:rsid w:val="00F55AB2"/>
    <w:rsid w:val="00F55C60"/>
    <w:rsid w:val="00F56447"/>
    <w:rsid w:val="00F573FF"/>
    <w:rsid w:val="00F619ED"/>
    <w:rsid w:val="00F61FCE"/>
    <w:rsid w:val="00F64055"/>
    <w:rsid w:val="00F64BF6"/>
    <w:rsid w:val="00F659B8"/>
    <w:rsid w:val="00F67011"/>
    <w:rsid w:val="00F710C6"/>
    <w:rsid w:val="00F7140B"/>
    <w:rsid w:val="00F72278"/>
    <w:rsid w:val="00F72327"/>
    <w:rsid w:val="00F8284E"/>
    <w:rsid w:val="00F848D2"/>
    <w:rsid w:val="00F87FD4"/>
    <w:rsid w:val="00F911E4"/>
    <w:rsid w:val="00F9481A"/>
    <w:rsid w:val="00F964FD"/>
    <w:rsid w:val="00F96AB1"/>
    <w:rsid w:val="00F97692"/>
    <w:rsid w:val="00F9783F"/>
    <w:rsid w:val="00F978B3"/>
    <w:rsid w:val="00FA2523"/>
    <w:rsid w:val="00FA282C"/>
    <w:rsid w:val="00FA547C"/>
    <w:rsid w:val="00FA7068"/>
    <w:rsid w:val="00FB0CCD"/>
    <w:rsid w:val="00FB44F1"/>
    <w:rsid w:val="00FB45B5"/>
    <w:rsid w:val="00FB603A"/>
    <w:rsid w:val="00FB701D"/>
    <w:rsid w:val="00FC194C"/>
    <w:rsid w:val="00FC3C38"/>
    <w:rsid w:val="00FC755D"/>
    <w:rsid w:val="00FD376E"/>
    <w:rsid w:val="00FD724A"/>
    <w:rsid w:val="00FE00F9"/>
    <w:rsid w:val="00FE0A3C"/>
    <w:rsid w:val="00FE22E3"/>
    <w:rsid w:val="00FE3DFF"/>
    <w:rsid w:val="00FE49E8"/>
    <w:rsid w:val="00FF0CEE"/>
    <w:rsid w:val="00FF3341"/>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 w:type="paragraph" w:customStyle="1" w:styleId="sangradetindependiente">
    <w:name w:val="sangradetindependiente"/>
    <w:basedOn w:val="Normal"/>
    <w:rsid w:val="00C90134"/>
    <w:pPr>
      <w:spacing w:before="100" w:beforeAutospacing="1" w:after="100" w:afterAutospacing="1"/>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022193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34173315">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84912133">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443843941">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13209550">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47812145">
      <w:bodyDiv w:val="1"/>
      <w:marLeft w:val="0"/>
      <w:marRight w:val="0"/>
      <w:marTop w:val="0"/>
      <w:marBottom w:val="0"/>
      <w:divBdr>
        <w:top w:val="none" w:sz="0" w:space="0" w:color="auto"/>
        <w:left w:val="none" w:sz="0" w:space="0" w:color="auto"/>
        <w:bottom w:val="none" w:sz="0" w:space="0" w:color="auto"/>
        <w:right w:val="none" w:sz="0" w:space="0" w:color="auto"/>
      </w:divBdr>
    </w:div>
    <w:div w:id="2017534547">
      <w:bodyDiv w:val="1"/>
      <w:marLeft w:val="0"/>
      <w:marRight w:val="0"/>
      <w:marTop w:val="0"/>
      <w:marBottom w:val="0"/>
      <w:divBdr>
        <w:top w:val="none" w:sz="0" w:space="0" w:color="auto"/>
        <w:left w:val="none" w:sz="0" w:space="0" w:color="auto"/>
        <w:bottom w:val="none" w:sz="0" w:space="0" w:color="auto"/>
        <w:right w:val="none" w:sz="0" w:space="0" w:color="auto"/>
      </w:divBdr>
      <w:divsChild>
        <w:div w:id="442531191">
          <w:marLeft w:val="0"/>
          <w:marRight w:val="0"/>
          <w:marTop w:val="0"/>
          <w:marBottom w:val="0"/>
          <w:divBdr>
            <w:top w:val="none" w:sz="0" w:space="0" w:color="auto"/>
            <w:left w:val="none" w:sz="0" w:space="0" w:color="auto"/>
            <w:bottom w:val="none" w:sz="0" w:space="0" w:color="auto"/>
            <w:right w:val="none" w:sz="0" w:space="0" w:color="auto"/>
          </w:divBdr>
          <w:divsChild>
            <w:div w:id="150026181">
              <w:marLeft w:val="0"/>
              <w:marRight w:val="0"/>
              <w:marTop w:val="0"/>
              <w:marBottom w:val="0"/>
              <w:divBdr>
                <w:top w:val="none" w:sz="0" w:space="0" w:color="auto"/>
                <w:left w:val="none" w:sz="0" w:space="0" w:color="auto"/>
                <w:bottom w:val="none" w:sz="0" w:space="0" w:color="auto"/>
                <w:right w:val="none" w:sz="0" w:space="0" w:color="auto"/>
              </w:divBdr>
              <w:divsChild>
                <w:div w:id="18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489_1998_pr002.html" TargetMode="External"/><Relationship Id="rId18" Type="http://schemas.openxmlformats.org/officeDocument/2006/relationships/hyperlink" Target="http://www.secretariasenado.gov.co/senado/basedoc/decreto_0092_2017.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cretariasenado.gov.co/senado/basedoc/decreto_0092_2017.html" TargetMode="External"/><Relationship Id="rId7" Type="http://schemas.openxmlformats.org/officeDocument/2006/relationships/settings" Target="settings.xml"/><Relationship Id="rId12" Type="http://schemas.openxmlformats.org/officeDocument/2006/relationships/hyperlink" Target="http://www.secretariasenado.gov.co/senado/basedoc/decreto_0092_2017.html" TargetMode="External"/><Relationship Id="rId17" Type="http://schemas.openxmlformats.org/officeDocument/2006/relationships/hyperlink" Target="http://www.secretariasenado.gov.co/senado/basedoc/decreto_0092_2017.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cretariasenado.gov.co/senado/basedoc/decreto_0092_2017.html" TargetMode="External"/><Relationship Id="rId20" Type="http://schemas.openxmlformats.org/officeDocument/2006/relationships/hyperlink" Target="http://www.secretariasenado.gov.co/senado/basedoc/decreto_0092_201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secretariasenado.gov.co/senado/basedoc/decreto_0092_2017.html" TargetMode="External"/><Relationship Id="rId23" Type="http://schemas.openxmlformats.org/officeDocument/2006/relationships/hyperlink" Target="http://www.secretariasenado.gov.co/senado/basedoc/decreto_0092_2017.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cretariasenado.gov.co/senado/basedoc/ley_0489_1998_pr0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decreto_0092_2017.html" TargetMode="External"/><Relationship Id="rId22" Type="http://schemas.openxmlformats.org/officeDocument/2006/relationships/hyperlink" Target="http://www.secretariasenado.gov.co/senado/basedoc/decreto_0092_2017.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C2BC1C9-A6EA-4C3B-AF4E-10342A43F48C}">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40AD33A9-CEDA-484A-9DB1-66D223C273C1}"/>
</file>

<file path=docProps/app.xml><?xml version="1.0" encoding="utf-8"?>
<Properties xmlns="http://schemas.openxmlformats.org/officeDocument/2006/extended-properties" xmlns:vt="http://schemas.openxmlformats.org/officeDocument/2006/docPropsVTypes">
  <Template>Normal.dotm</Template>
  <TotalTime>439</TotalTime>
  <Pages>12</Pages>
  <Words>4568</Words>
  <Characters>25125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cp:lastModifiedBy>
  <cp:revision>114</cp:revision>
  <cp:lastPrinted>2021-08-12T22:16:00Z</cp:lastPrinted>
  <dcterms:created xsi:type="dcterms:W3CDTF">2021-09-28T16:58:00Z</dcterms:created>
  <dcterms:modified xsi:type="dcterms:W3CDTF">2021-11-26T16:25:00Z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