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E9C5" w14:textId="77777777" w:rsidR="00DA5F4C" w:rsidRPr="0020782C" w:rsidRDefault="00DA5F4C" w:rsidP="00B52AA3">
      <w:pPr>
        <w:jc w:val="right"/>
        <w:rPr>
          <w:rFonts w:ascii="Arial" w:hAnsi="Arial" w:cs="Arial"/>
          <w:b/>
          <w:sz w:val="16"/>
          <w:szCs w:val="16"/>
          <w:lang w:eastAsia="es-ES"/>
        </w:rPr>
      </w:pPr>
      <w:r w:rsidRPr="0020782C">
        <w:rPr>
          <w:rFonts w:ascii="Arial" w:hAnsi="Arial" w:cs="Arial"/>
          <w:b/>
          <w:sz w:val="16"/>
          <w:szCs w:val="16"/>
          <w:lang w:eastAsia="es-ES"/>
        </w:rPr>
        <w:t>CCE-DES-FM-17</w:t>
      </w:r>
    </w:p>
    <w:p w14:paraId="423F7B3F" w14:textId="77777777" w:rsidR="00DA5F4C" w:rsidRPr="0020782C" w:rsidRDefault="00DA5F4C" w:rsidP="00B52AA3">
      <w:pPr>
        <w:jc w:val="both"/>
        <w:rPr>
          <w:rFonts w:ascii="Arial" w:eastAsia="Calibri" w:hAnsi="Arial" w:cs="Arial"/>
          <w:b/>
          <w:sz w:val="16"/>
          <w:szCs w:val="16"/>
        </w:rPr>
      </w:pPr>
    </w:p>
    <w:p w14:paraId="24E1D825" w14:textId="6C5320E9" w:rsidR="005675C8" w:rsidRPr="0020782C" w:rsidRDefault="005675C8" w:rsidP="063DB410">
      <w:pPr>
        <w:jc w:val="both"/>
        <w:rPr>
          <w:rFonts w:ascii="Arial" w:eastAsia="Calibri" w:hAnsi="Arial" w:cs="Arial"/>
          <w:b/>
          <w:bCs/>
          <w:sz w:val="22"/>
        </w:rPr>
      </w:pPr>
      <w:r w:rsidRPr="063DB410">
        <w:rPr>
          <w:rFonts w:ascii="Arial" w:eastAsia="Calibri" w:hAnsi="Arial" w:cs="Arial"/>
          <w:b/>
          <w:bCs/>
          <w:sz w:val="22"/>
        </w:rPr>
        <w:t>CONTRATO</w:t>
      </w:r>
      <w:r w:rsidR="1555FD4D" w:rsidRPr="063DB410">
        <w:rPr>
          <w:rFonts w:ascii="Arial" w:eastAsia="Calibri" w:hAnsi="Arial" w:cs="Arial"/>
          <w:b/>
          <w:bCs/>
          <w:sz w:val="22"/>
        </w:rPr>
        <w:t xml:space="preserve"> </w:t>
      </w:r>
      <w:r w:rsidRPr="063DB410">
        <w:rPr>
          <w:rFonts w:ascii="Arial" w:eastAsia="Calibri" w:hAnsi="Arial" w:cs="Arial"/>
          <w:b/>
          <w:bCs/>
          <w:sz w:val="22"/>
        </w:rPr>
        <w:t xml:space="preserve">ESTATAL </w:t>
      </w:r>
      <w:bookmarkStart w:id="0" w:name="_Hlk39676694"/>
      <w:r w:rsidR="00542DF7" w:rsidRPr="063DB410">
        <w:rPr>
          <w:rFonts w:ascii="Arial" w:eastAsia="Calibri" w:hAnsi="Arial" w:cs="Arial"/>
          <w:b/>
          <w:bCs/>
          <w:sz w:val="22"/>
        </w:rPr>
        <w:t>–</w:t>
      </w:r>
      <w:bookmarkEnd w:id="0"/>
      <w:r w:rsidRPr="063DB410">
        <w:rPr>
          <w:rFonts w:ascii="Arial" w:eastAsia="Calibri" w:hAnsi="Arial" w:cs="Arial"/>
          <w:b/>
          <w:bCs/>
          <w:sz w:val="22"/>
        </w:rPr>
        <w:t xml:space="preserve"> Ejercicio </w:t>
      </w:r>
      <w:r w:rsidR="1AE03D5D" w:rsidRPr="063DB410">
        <w:rPr>
          <w:rFonts w:ascii="Arial" w:eastAsia="Calibri" w:hAnsi="Arial" w:cs="Arial"/>
          <w:b/>
          <w:bCs/>
          <w:sz w:val="22"/>
        </w:rPr>
        <w:t>– F</w:t>
      </w:r>
      <w:r w:rsidRPr="063DB410">
        <w:rPr>
          <w:rFonts w:ascii="Arial" w:eastAsia="Calibri" w:hAnsi="Arial" w:cs="Arial"/>
          <w:b/>
          <w:bCs/>
          <w:sz w:val="22"/>
        </w:rPr>
        <w:t>unciones de control y vigilancia</w:t>
      </w:r>
    </w:p>
    <w:p w14:paraId="072DDC89" w14:textId="77777777" w:rsidR="005675C8" w:rsidRPr="0020782C" w:rsidRDefault="005675C8" w:rsidP="00B52AA3">
      <w:pPr>
        <w:jc w:val="both"/>
        <w:rPr>
          <w:rFonts w:ascii="Arial" w:eastAsia="Calibri" w:hAnsi="Arial" w:cs="Arial"/>
          <w:bCs/>
          <w:sz w:val="20"/>
          <w:szCs w:val="20"/>
        </w:rPr>
      </w:pPr>
    </w:p>
    <w:p w14:paraId="05722620" w14:textId="025D6881" w:rsidR="005675C8" w:rsidRPr="0020782C" w:rsidRDefault="00FF6BD4" w:rsidP="00B52AA3">
      <w:pPr>
        <w:jc w:val="both"/>
        <w:rPr>
          <w:rFonts w:ascii="Arial" w:eastAsia="Calibri" w:hAnsi="Arial" w:cs="Arial"/>
          <w:bCs/>
          <w:sz w:val="20"/>
          <w:szCs w:val="20"/>
        </w:rPr>
      </w:pPr>
      <w:r w:rsidRPr="00FF6BD4">
        <w:rPr>
          <w:rFonts w:ascii="Arial" w:eastAsia="Calibri" w:hAnsi="Arial" w:cs="Arial"/>
          <w:bCs/>
          <w:sz w:val="20"/>
          <w:szCs w:val="20"/>
        </w:rPr>
        <w:t>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072D4F81" w14:textId="77777777" w:rsidR="005675C8" w:rsidRPr="0020782C" w:rsidRDefault="005675C8" w:rsidP="00B52AA3">
      <w:pPr>
        <w:jc w:val="both"/>
        <w:rPr>
          <w:rFonts w:ascii="Arial" w:eastAsia="Calibri" w:hAnsi="Arial" w:cs="Arial"/>
          <w:b/>
          <w:sz w:val="20"/>
          <w:szCs w:val="20"/>
          <w:highlight w:val="yellow"/>
        </w:rPr>
      </w:pPr>
    </w:p>
    <w:p w14:paraId="704FABFA" w14:textId="49A15C8E" w:rsidR="005675C8" w:rsidRPr="0020782C" w:rsidRDefault="005675C8" w:rsidP="063DB410">
      <w:pPr>
        <w:jc w:val="both"/>
        <w:rPr>
          <w:rFonts w:ascii="Arial" w:eastAsia="Calibri" w:hAnsi="Arial" w:cs="Arial"/>
          <w:b/>
          <w:bCs/>
          <w:sz w:val="22"/>
        </w:rPr>
      </w:pPr>
      <w:r w:rsidRPr="063DB410">
        <w:rPr>
          <w:rFonts w:ascii="Arial" w:eastAsia="Calibri" w:hAnsi="Arial" w:cs="Arial"/>
          <w:b/>
          <w:bCs/>
          <w:sz w:val="22"/>
        </w:rPr>
        <w:t xml:space="preserve">CONTRATO ESTATAL </w:t>
      </w:r>
      <w:r w:rsidR="00542DF7" w:rsidRPr="063DB410">
        <w:rPr>
          <w:rFonts w:ascii="Arial" w:eastAsia="Calibri" w:hAnsi="Arial" w:cs="Arial"/>
          <w:b/>
          <w:bCs/>
          <w:sz w:val="22"/>
        </w:rPr>
        <w:t>–</w:t>
      </w:r>
      <w:r w:rsidRPr="063DB410">
        <w:rPr>
          <w:rFonts w:ascii="Arial" w:eastAsia="Calibri" w:hAnsi="Arial" w:cs="Arial"/>
          <w:b/>
          <w:bCs/>
          <w:sz w:val="22"/>
        </w:rPr>
        <w:t xml:space="preserve"> Funciones de control y vigilancia</w:t>
      </w:r>
    </w:p>
    <w:p w14:paraId="3B8584CA" w14:textId="77777777" w:rsidR="005675C8" w:rsidRPr="0020782C" w:rsidRDefault="005675C8" w:rsidP="00B52AA3">
      <w:pPr>
        <w:jc w:val="both"/>
        <w:rPr>
          <w:rFonts w:ascii="Arial" w:eastAsia="Calibri" w:hAnsi="Arial" w:cs="Arial"/>
          <w:b/>
          <w:sz w:val="20"/>
          <w:szCs w:val="20"/>
        </w:rPr>
      </w:pPr>
    </w:p>
    <w:p w14:paraId="2AB3829B" w14:textId="1E0042D2" w:rsidR="005675C8" w:rsidRDefault="00FF6BD4" w:rsidP="00B52AA3">
      <w:pPr>
        <w:jc w:val="both"/>
        <w:rPr>
          <w:rFonts w:ascii="Arial" w:hAnsi="Arial" w:cs="Arial"/>
          <w:sz w:val="20"/>
          <w:szCs w:val="20"/>
        </w:rPr>
      </w:pPr>
      <w:r w:rsidRPr="00FF6BD4">
        <w:rPr>
          <w:rFonts w:ascii="Arial" w:hAnsi="Arial" w:cs="Arial"/>
          <w:sz w:val="20"/>
          <w:szCs w:val="20"/>
          <w:lang w:val="es-ES"/>
        </w:rPr>
        <w:t xml:space="preserve">El seguimiento de la ejecución del contrato para la dirección, control y vigilancia de su correcto cumplimiento es un deber legal que permite a las entidades estatales tomar medidas orientadas a la satisfacción de los fines de la contratación. </w:t>
      </w:r>
      <w:r w:rsidRPr="00FF6BD4">
        <w:rPr>
          <w:rFonts w:ascii="Arial" w:hAnsi="Arial" w:cs="Arial"/>
          <w:sz w:val="20"/>
          <w:szCs w:val="20"/>
        </w:rPr>
        <w:t>Por esto, el EGCAP alude a la obligación mencionada, que guarda relación con el principio de responsabilidad que rige la celebración y ejecución de los contratos estatales</w:t>
      </w:r>
      <w:r>
        <w:rPr>
          <w:rFonts w:ascii="Arial" w:hAnsi="Arial" w:cs="Arial"/>
          <w:sz w:val="20"/>
          <w:szCs w:val="20"/>
        </w:rPr>
        <w:t>.</w:t>
      </w:r>
    </w:p>
    <w:p w14:paraId="0B102B17" w14:textId="77777777" w:rsidR="00FF6BD4" w:rsidRPr="0020782C" w:rsidRDefault="00FF6BD4" w:rsidP="00B52AA3">
      <w:pPr>
        <w:jc w:val="both"/>
        <w:rPr>
          <w:rFonts w:ascii="Arial" w:eastAsia="Calibri" w:hAnsi="Arial" w:cs="Arial"/>
          <w:b/>
          <w:sz w:val="20"/>
          <w:szCs w:val="20"/>
        </w:rPr>
      </w:pPr>
    </w:p>
    <w:p w14:paraId="43A634F9" w14:textId="14DC98ED" w:rsidR="005675C8" w:rsidRPr="0020782C" w:rsidRDefault="005675C8" w:rsidP="063DB410">
      <w:pPr>
        <w:jc w:val="both"/>
        <w:rPr>
          <w:rFonts w:ascii="Arial" w:eastAsia="Calibri" w:hAnsi="Arial" w:cs="Arial"/>
          <w:b/>
          <w:bCs/>
          <w:sz w:val="22"/>
        </w:rPr>
      </w:pPr>
      <w:r w:rsidRPr="063DB410">
        <w:rPr>
          <w:rFonts w:ascii="Arial" w:eastAsia="Calibri" w:hAnsi="Arial" w:cs="Arial"/>
          <w:b/>
          <w:bCs/>
          <w:sz w:val="22"/>
        </w:rPr>
        <w:t xml:space="preserve">SUPERVISIÓN </w:t>
      </w:r>
      <w:r w:rsidR="00542DF7" w:rsidRPr="063DB410">
        <w:rPr>
          <w:rFonts w:ascii="Arial" w:eastAsia="Calibri" w:hAnsi="Arial" w:cs="Arial"/>
          <w:b/>
          <w:bCs/>
          <w:sz w:val="22"/>
        </w:rPr>
        <w:t>–</w:t>
      </w:r>
      <w:r w:rsidRPr="063DB410">
        <w:rPr>
          <w:rFonts w:ascii="Arial" w:eastAsia="Calibri" w:hAnsi="Arial" w:cs="Arial"/>
          <w:b/>
          <w:bCs/>
          <w:sz w:val="22"/>
        </w:rPr>
        <w:t xml:space="preserve"> </w:t>
      </w:r>
      <w:r w:rsidR="03BAD97A" w:rsidRPr="063DB410">
        <w:rPr>
          <w:rFonts w:ascii="Arial" w:eastAsia="Calibri" w:hAnsi="Arial" w:cs="Arial"/>
          <w:b/>
          <w:bCs/>
          <w:sz w:val="22"/>
        </w:rPr>
        <w:t xml:space="preserve">Ejercicio – Contratista </w:t>
      </w:r>
      <w:r w:rsidR="004C735F" w:rsidRPr="063DB410">
        <w:rPr>
          <w:rFonts w:ascii="Arial" w:eastAsia="Calibri" w:hAnsi="Arial" w:cs="Arial"/>
          <w:b/>
          <w:bCs/>
          <w:sz w:val="22"/>
        </w:rPr>
        <w:t>– Apoyo a la supervisión</w:t>
      </w:r>
    </w:p>
    <w:p w14:paraId="5A4B04EE" w14:textId="77777777" w:rsidR="005675C8" w:rsidRPr="0020782C" w:rsidRDefault="005675C8" w:rsidP="00B52AA3">
      <w:pPr>
        <w:jc w:val="both"/>
        <w:rPr>
          <w:rFonts w:ascii="Arial" w:hAnsi="Arial" w:cs="Arial"/>
          <w:sz w:val="20"/>
          <w:szCs w:val="20"/>
          <w:highlight w:val="yellow"/>
        </w:rPr>
      </w:pPr>
    </w:p>
    <w:p w14:paraId="5A4DFB89" w14:textId="0A9B4452" w:rsidR="00AA4986" w:rsidRPr="00AA4986" w:rsidRDefault="00AA4986" w:rsidP="00AA4986">
      <w:pPr>
        <w:jc w:val="both"/>
        <w:rPr>
          <w:rFonts w:ascii="Arial" w:hAnsi="Arial" w:cs="Arial"/>
          <w:bCs/>
          <w:sz w:val="20"/>
          <w:szCs w:val="20"/>
        </w:rPr>
      </w:pPr>
      <w:r>
        <w:rPr>
          <w:rFonts w:ascii="Arial" w:hAnsi="Arial" w:cs="Arial"/>
          <w:bCs/>
          <w:sz w:val="20"/>
          <w:szCs w:val="20"/>
        </w:rPr>
        <w:t xml:space="preserve">[..] </w:t>
      </w:r>
      <w:r w:rsidRPr="00AA4986">
        <w:rPr>
          <w:rFonts w:ascii="Arial" w:hAnsi="Arial" w:cs="Arial"/>
          <w:bCs/>
          <w:sz w:val="20"/>
          <w:szCs w:val="20"/>
        </w:rPr>
        <w:t xml:space="preserve">la responsabilidad por el control y vigilancia de la ejecución del contrato está a cargo de la entidad estatal contratante y, por tanto, es esta quien debe supervisar los contratos mediante sus funcionarios o servidores públicos, y únicamente puede contratar personal en caso de necesitarlo como apoyo a su gestión en la supervisión. De este modo, el contratista podría fungir de apoyo a la supervisión del contrato, en la medida en que el contrato de prestación de servicios profesionales y de apoyo a la gestión tenga como objeto obligaciones dirigidas a apoyar dicha actividad de supervisión de contratos. En tal sentido, los contratistas no pueden asumir de forma íntegra, directa y excluyente la actividad de supervisión de los contratos estatales.  </w:t>
      </w:r>
    </w:p>
    <w:p w14:paraId="21AA6A10" w14:textId="21B3B8D0" w:rsidR="0094229E" w:rsidRDefault="0094229E" w:rsidP="00B52AA3">
      <w:pPr>
        <w:jc w:val="both"/>
        <w:rPr>
          <w:rFonts w:ascii="Arial" w:hAnsi="Arial" w:cs="Arial"/>
          <w:sz w:val="20"/>
          <w:szCs w:val="20"/>
          <w:lang w:val="es-CO"/>
        </w:rPr>
      </w:pPr>
    </w:p>
    <w:p w14:paraId="26443A12" w14:textId="01E89605" w:rsidR="00EC1CA3" w:rsidRPr="007064B6" w:rsidRDefault="00EC1CA3" w:rsidP="00EC1CA3">
      <w:pPr>
        <w:jc w:val="both"/>
        <w:rPr>
          <w:rFonts w:ascii="Arial" w:hAnsi="Arial" w:cs="Arial"/>
          <w:b/>
          <w:bCs/>
          <w:color w:val="000000" w:themeColor="text1"/>
          <w:sz w:val="22"/>
        </w:rPr>
      </w:pPr>
      <w:r w:rsidRPr="42188172">
        <w:rPr>
          <w:rFonts w:ascii="Arial" w:eastAsia="Calibri" w:hAnsi="Arial" w:cs="Arial"/>
          <w:b/>
          <w:bCs/>
          <w:color w:val="000000" w:themeColor="text1"/>
          <w:sz w:val="22"/>
        </w:rPr>
        <w:t>CONTRATO DE PRESTACIÓN DE SERVICIOS – Persona jurídica – Persona natural</w:t>
      </w:r>
    </w:p>
    <w:p w14:paraId="06C5C49B" w14:textId="77777777" w:rsidR="0094229E" w:rsidRPr="0020782C" w:rsidRDefault="0094229E" w:rsidP="00B52AA3">
      <w:pPr>
        <w:jc w:val="both"/>
        <w:rPr>
          <w:rFonts w:ascii="Arial" w:hAnsi="Arial" w:cs="Arial"/>
          <w:sz w:val="20"/>
          <w:szCs w:val="20"/>
        </w:rPr>
      </w:pPr>
    </w:p>
    <w:p w14:paraId="629A324C" w14:textId="77777777" w:rsidR="00B623A1" w:rsidRPr="00B623A1" w:rsidRDefault="00B623A1" w:rsidP="00B623A1">
      <w:pPr>
        <w:jc w:val="both"/>
        <w:rPr>
          <w:rFonts w:ascii="Arial" w:hAnsi="Arial" w:cs="Arial"/>
          <w:sz w:val="20"/>
          <w:szCs w:val="20"/>
        </w:rPr>
      </w:pPr>
      <w:r w:rsidRPr="00B623A1">
        <w:rPr>
          <w:rFonts w:ascii="Arial" w:hAnsi="Arial" w:cs="Arial"/>
          <w:sz w:val="20"/>
          <w:szCs w:val="20"/>
        </w:rPr>
        <w:t xml:space="preserve">Por disposición del artículo 2.2.1.2.1.4.9. del Decreto 1082 de 2015, los contratos de prestación de servicios y de apoyo a la gestión pueden celebrarse tanto con personas naturales como jurídicas. Esta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7930B9BC" w14:textId="77777777" w:rsidR="005675C8" w:rsidRPr="0020782C" w:rsidRDefault="005675C8" w:rsidP="005675C8">
      <w:pPr>
        <w:rPr>
          <w:rFonts w:ascii="Arial" w:hAnsi="Arial" w:cs="Arial"/>
          <w:sz w:val="20"/>
          <w:szCs w:val="20"/>
        </w:rPr>
      </w:pPr>
    </w:p>
    <w:p w14:paraId="33068629" w14:textId="77777777" w:rsidR="00D64D97" w:rsidRDefault="00D64D97" w:rsidP="00D64D97">
      <w:pPr>
        <w:pStyle w:val="Default"/>
        <w:rPr>
          <w:color w:val="auto"/>
        </w:rPr>
      </w:pPr>
    </w:p>
    <w:p w14:paraId="1ED8EE13" w14:textId="77777777" w:rsidR="00D64D97" w:rsidRDefault="00D64D97" w:rsidP="00D64D97">
      <w:pPr>
        <w:pStyle w:val="Default"/>
        <w:rPr>
          <w:color w:val="auto"/>
        </w:rPr>
      </w:pPr>
    </w:p>
    <w:p w14:paraId="312D4DEE" w14:textId="77777777" w:rsidR="00D64D97" w:rsidRDefault="00D64D97" w:rsidP="00D64D97">
      <w:pPr>
        <w:pStyle w:val="Default"/>
        <w:rPr>
          <w:color w:val="auto"/>
        </w:rPr>
      </w:pPr>
    </w:p>
    <w:p w14:paraId="2C0F1173" w14:textId="77777777" w:rsidR="00D64D97" w:rsidRDefault="00D64D97" w:rsidP="00D64D97">
      <w:pPr>
        <w:pStyle w:val="Default"/>
        <w:rPr>
          <w:color w:val="auto"/>
        </w:rPr>
      </w:pPr>
    </w:p>
    <w:p w14:paraId="4F587E30" w14:textId="77777777" w:rsidR="00D64D97" w:rsidRDefault="00D64D97" w:rsidP="00D64D97">
      <w:pPr>
        <w:pStyle w:val="Default"/>
        <w:rPr>
          <w:color w:val="auto"/>
        </w:rPr>
      </w:pPr>
    </w:p>
    <w:p w14:paraId="707BE1A3" w14:textId="77777777" w:rsidR="00594DF0" w:rsidRDefault="00594DF0" w:rsidP="00D64D97">
      <w:pPr>
        <w:pStyle w:val="Default"/>
        <w:rPr>
          <w:rFonts w:eastAsia="Calibri"/>
          <w:sz w:val="22"/>
        </w:rPr>
      </w:pPr>
    </w:p>
    <w:p w14:paraId="2A6F6631" w14:textId="77777777" w:rsidR="00594DF0" w:rsidRDefault="00594DF0" w:rsidP="00D64D97">
      <w:pPr>
        <w:pStyle w:val="Default"/>
        <w:rPr>
          <w:rFonts w:eastAsia="Calibri"/>
          <w:sz w:val="22"/>
        </w:rPr>
      </w:pPr>
    </w:p>
    <w:p w14:paraId="1575E294" w14:textId="58EEA9AB" w:rsidR="00594DF0" w:rsidRDefault="00F635E4" w:rsidP="00F635E4">
      <w:pPr>
        <w:pStyle w:val="Default"/>
        <w:jc w:val="right"/>
        <w:rPr>
          <w:rFonts w:eastAsia="Calibri"/>
          <w:sz w:val="22"/>
        </w:rPr>
      </w:pPr>
      <w:r>
        <w:rPr>
          <w:noProof/>
        </w:rPr>
        <w:drawing>
          <wp:inline distT="0" distB="0" distL="0" distR="0" wp14:anchorId="56EFE2EE" wp14:editId="561A8FBF">
            <wp:extent cx="1924050" cy="542418"/>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52443" t="33128" r="15649" b="52480"/>
                    <a:stretch/>
                  </pic:blipFill>
                  <pic:spPr bwMode="auto">
                    <a:xfrm>
                      <a:off x="0" y="0"/>
                      <a:ext cx="1930035" cy="544105"/>
                    </a:xfrm>
                    <a:prstGeom prst="rect">
                      <a:avLst/>
                    </a:prstGeom>
                    <a:ln>
                      <a:noFill/>
                    </a:ln>
                    <a:extLst>
                      <a:ext uri="{53640926-AAD7-44D8-BBD7-CCE9431645EC}">
                        <a14:shadowObscured xmlns:a14="http://schemas.microsoft.com/office/drawing/2010/main"/>
                      </a:ext>
                    </a:extLst>
                  </pic:spPr>
                </pic:pic>
              </a:graphicData>
            </a:graphic>
          </wp:inline>
        </w:drawing>
      </w:r>
    </w:p>
    <w:p w14:paraId="26114E5C" w14:textId="77777777" w:rsidR="00594DF0" w:rsidRDefault="00594DF0" w:rsidP="00D64D97">
      <w:pPr>
        <w:pStyle w:val="Default"/>
        <w:rPr>
          <w:rFonts w:eastAsia="Calibri"/>
          <w:sz w:val="22"/>
        </w:rPr>
      </w:pPr>
    </w:p>
    <w:p w14:paraId="5C4BD510" w14:textId="66820BF3" w:rsidR="005675C8" w:rsidRPr="00D64D97" w:rsidRDefault="005675C8" w:rsidP="00D64D97">
      <w:pPr>
        <w:pStyle w:val="Default"/>
      </w:pPr>
      <w:r w:rsidRPr="0020782C">
        <w:rPr>
          <w:rFonts w:eastAsia="Calibri"/>
          <w:sz w:val="22"/>
        </w:rPr>
        <w:t>Señor</w:t>
      </w:r>
      <w:r w:rsidR="005F6C66" w:rsidRPr="0020782C">
        <w:rPr>
          <w:rFonts w:eastAsia="Calibri"/>
          <w:sz w:val="22"/>
        </w:rPr>
        <w:t>a</w:t>
      </w:r>
    </w:p>
    <w:p w14:paraId="77B67E47" w14:textId="2B17370B" w:rsidR="003F437E" w:rsidRPr="0020782C" w:rsidRDefault="00DD61C4" w:rsidP="005675C8">
      <w:pPr>
        <w:rPr>
          <w:rFonts w:ascii="Arial" w:eastAsia="Calibri" w:hAnsi="Arial" w:cs="Arial"/>
          <w:b/>
          <w:sz w:val="22"/>
        </w:rPr>
      </w:pPr>
      <w:r>
        <w:rPr>
          <w:rFonts w:ascii="Arial" w:eastAsia="Calibri" w:hAnsi="Arial" w:cs="Arial"/>
          <w:b/>
          <w:sz w:val="22"/>
        </w:rPr>
        <w:t>Adriana Montealegre Riaño</w:t>
      </w:r>
    </w:p>
    <w:p w14:paraId="1486D94E" w14:textId="26B39E9B" w:rsidR="005675C8" w:rsidRPr="0020782C" w:rsidRDefault="00DD61C4" w:rsidP="005675C8">
      <w:pPr>
        <w:rPr>
          <w:rFonts w:ascii="Arial" w:eastAsia="Calibri" w:hAnsi="Arial" w:cs="Arial"/>
          <w:sz w:val="22"/>
        </w:rPr>
      </w:pPr>
      <w:r>
        <w:rPr>
          <w:rFonts w:ascii="Arial" w:eastAsia="Calibri" w:hAnsi="Arial" w:cs="Arial"/>
          <w:sz w:val="22"/>
        </w:rPr>
        <w:t>Bogotá</w:t>
      </w:r>
      <w:r w:rsidR="00B178D0">
        <w:rPr>
          <w:rFonts w:ascii="Arial" w:eastAsia="Calibri" w:hAnsi="Arial" w:cs="Arial"/>
          <w:sz w:val="22"/>
        </w:rPr>
        <w:t>,</w:t>
      </w:r>
      <w:r>
        <w:rPr>
          <w:rFonts w:ascii="Arial" w:eastAsia="Calibri" w:hAnsi="Arial" w:cs="Arial"/>
          <w:sz w:val="22"/>
        </w:rPr>
        <w:t xml:space="preserve"> D.C.</w:t>
      </w:r>
    </w:p>
    <w:p w14:paraId="26000787" w14:textId="77777777" w:rsidR="005675C8" w:rsidRPr="0020782C" w:rsidRDefault="005675C8" w:rsidP="005675C8">
      <w:pPr>
        <w:rPr>
          <w:rFonts w:ascii="Arial" w:eastAsia="Calibri" w:hAnsi="Arial" w:cs="Arial"/>
          <w:sz w:val="22"/>
        </w:rPr>
      </w:pPr>
    </w:p>
    <w:p w14:paraId="6A2D9098" w14:textId="56579B27" w:rsidR="005675C8" w:rsidRPr="0020782C" w:rsidRDefault="005675C8" w:rsidP="005675C8">
      <w:pPr>
        <w:ind w:firstLine="2694"/>
        <w:rPr>
          <w:rFonts w:ascii="Arial" w:eastAsia="Calibri" w:hAnsi="Arial" w:cs="Arial"/>
          <w:b/>
          <w:sz w:val="22"/>
        </w:rPr>
      </w:pPr>
      <w:bookmarkStart w:id="1" w:name="_Hlk29890381"/>
      <w:r w:rsidRPr="0020782C">
        <w:rPr>
          <w:rFonts w:ascii="Arial" w:eastAsia="Calibri" w:hAnsi="Arial" w:cs="Arial"/>
          <w:b/>
          <w:sz w:val="22"/>
        </w:rPr>
        <w:t xml:space="preserve">Concepto C ─ </w:t>
      </w:r>
      <w:r w:rsidR="00DD61C4">
        <w:rPr>
          <w:rFonts w:ascii="Arial" w:eastAsia="Calibri" w:hAnsi="Arial" w:cs="Arial"/>
          <w:b/>
          <w:sz w:val="22"/>
        </w:rPr>
        <w:t>654</w:t>
      </w:r>
      <w:r w:rsidRPr="0020782C">
        <w:rPr>
          <w:rFonts w:ascii="Arial" w:eastAsia="Calibri" w:hAnsi="Arial" w:cs="Arial"/>
          <w:b/>
          <w:sz w:val="22"/>
        </w:rPr>
        <w:t xml:space="preserve"> de 202</w:t>
      </w:r>
      <w:r w:rsidR="00DD61C4">
        <w:rPr>
          <w:rFonts w:ascii="Arial" w:eastAsia="Calibri" w:hAnsi="Arial" w:cs="Arial"/>
          <w:b/>
          <w:sz w:val="22"/>
        </w:rPr>
        <w:t>1</w:t>
      </w:r>
    </w:p>
    <w:p w14:paraId="71110D27" w14:textId="77777777" w:rsidR="005675C8" w:rsidRPr="0020782C" w:rsidRDefault="005675C8" w:rsidP="005675C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782C" w:rsidRPr="0020782C" w14:paraId="75680A34" w14:textId="77777777" w:rsidTr="00EC39F1">
        <w:tc>
          <w:tcPr>
            <w:tcW w:w="2689" w:type="dxa"/>
            <w:hideMark/>
          </w:tcPr>
          <w:p w14:paraId="36328DA0" w14:textId="77777777" w:rsidR="005675C8" w:rsidRPr="0020782C" w:rsidRDefault="005675C8" w:rsidP="00EC39F1">
            <w:pPr>
              <w:rPr>
                <w:rFonts w:ascii="Arial" w:eastAsia="Calibri" w:hAnsi="Arial" w:cs="Arial"/>
                <w:sz w:val="22"/>
              </w:rPr>
            </w:pPr>
            <w:r w:rsidRPr="0020782C">
              <w:rPr>
                <w:rFonts w:ascii="Arial" w:eastAsia="Calibri" w:hAnsi="Arial" w:cs="Arial"/>
                <w:b/>
                <w:sz w:val="22"/>
              </w:rPr>
              <w:t>Temas:</w:t>
            </w:r>
            <w:r w:rsidRPr="0020782C">
              <w:rPr>
                <w:rFonts w:ascii="Arial" w:eastAsia="Calibri" w:hAnsi="Arial" w:cs="Arial"/>
                <w:sz w:val="22"/>
              </w:rPr>
              <w:t xml:space="preserve">           </w:t>
            </w:r>
          </w:p>
          <w:p w14:paraId="4C7001B9" w14:textId="77777777" w:rsidR="005675C8" w:rsidRPr="0020782C" w:rsidRDefault="005675C8" w:rsidP="00EC39F1">
            <w:pPr>
              <w:rPr>
                <w:rFonts w:ascii="Arial" w:eastAsia="Calibri" w:hAnsi="Arial" w:cs="Arial"/>
                <w:sz w:val="22"/>
              </w:rPr>
            </w:pPr>
            <w:r w:rsidRPr="0020782C">
              <w:rPr>
                <w:rFonts w:ascii="Arial" w:eastAsia="Calibri" w:hAnsi="Arial" w:cs="Arial"/>
                <w:sz w:val="22"/>
              </w:rPr>
              <w:t xml:space="preserve">                           </w:t>
            </w:r>
          </w:p>
        </w:tc>
        <w:tc>
          <w:tcPr>
            <w:tcW w:w="6237" w:type="dxa"/>
            <w:hideMark/>
          </w:tcPr>
          <w:p w14:paraId="7FFF04CC" w14:textId="0F4308CB" w:rsidR="005675C8" w:rsidRPr="002633B0" w:rsidRDefault="00C36152" w:rsidP="00EC39F1">
            <w:pPr>
              <w:jc w:val="both"/>
              <w:rPr>
                <w:rFonts w:ascii="Arial" w:eastAsia="Calibri" w:hAnsi="Arial" w:cs="Arial"/>
                <w:b/>
                <w:sz w:val="22"/>
              </w:rPr>
            </w:pPr>
            <w:r w:rsidRPr="00C36152">
              <w:rPr>
                <w:rFonts w:ascii="Arial" w:eastAsia="Calibri" w:hAnsi="Arial" w:cs="Arial"/>
                <w:bCs/>
                <w:sz w:val="22"/>
              </w:rPr>
              <w:t>CONTRATO ESTATAL – Ejercicio – Funciones de control y vigilancia</w:t>
            </w:r>
            <w:r>
              <w:rPr>
                <w:rFonts w:ascii="Arial" w:eastAsia="Calibri" w:hAnsi="Arial" w:cs="Arial"/>
                <w:bCs/>
                <w:sz w:val="22"/>
              </w:rPr>
              <w:t xml:space="preserve"> / </w:t>
            </w:r>
            <w:r w:rsidRPr="00C36152">
              <w:rPr>
                <w:rFonts w:ascii="Arial" w:eastAsia="Calibri" w:hAnsi="Arial" w:cs="Arial"/>
                <w:bCs/>
                <w:sz w:val="22"/>
              </w:rPr>
              <w:t>CONTRATO ESTATAL – Funciones de control y vigilancia</w:t>
            </w:r>
            <w:r>
              <w:rPr>
                <w:rFonts w:ascii="Arial" w:eastAsia="Calibri" w:hAnsi="Arial" w:cs="Arial"/>
                <w:bCs/>
                <w:sz w:val="22"/>
              </w:rPr>
              <w:t xml:space="preserve"> </w:t>
            </w:r>
            <w:r w:rsidR="008E5B92">
              <w:rPr>
                <w:rFonts w:ascii="Arial" w:eastAsia="Calibri" w:hAnsi="Arial" w:cs="Arial"/>
                <w:bCs/>
                <w:sz w:val="22"/>
              </w:rPr>
              <w:t>/ SUPERVISIÓN</w:t>
            </w:r>
            <w:r w:rsidR="00FA11C9" w:rsidRPr="00FA11C9">
              <w:rPr>
                <w:rFonts w:ascii="Arial" w:eastAsia="Calibri" w:hAnsi="Arial" w:cs="Arial"/>
                <w:bCs/>
                <w:sz w:val="22"/>
              </w:rPr>
              <w:t xml:space="preserve"> – Ejercicio – Contratista – Apoyo a la supervisión</w:t>
            </w:r>
            <w:r w:rsidR="00FA11C9">
              <w:rPr>
                <w:rFonts w:ascii="Arial" w:eastAsia="Calibri" w:hAnsi="Arial" w:cs="Arial"/>
                <w:bCs/>
                <w:sz w:val="22"/>
              </w:rPr>
              <w:t xml:space="preserve"> / </w:t>
            </w:r>
            <w:r w:rsidR="00FA11C9" w:rsidRPr="00FA11C9">
              <w:rPr>
                <w:rFonts w:ascii="Arial" w:eastAsia="Calibri" w:hAnsi="Arial" w:cs="Arial"/>
                <w:bCs/>
                <w:sz w:val="22"/>
              </w:rPr>
              <w:t>CONTRATO DE PRESTACIÓN DE SERVICIOS – Persona jurídica – Persona natural</w:t>
            </w:r>
          </w:p>
        </w:tc>
      </w:tr>
      <w:tr w:rsidR="0020782C" w:rsidRPr="0020782C" w14:paraId="73DD6F77" w14:textId="77777777" w:rsidTr="00EC39F1">
        <w:tc>
          <w:tcPr>
            <w:tcW w:w="2689" w:type="dxa"/>
          </w:tcPr>
          <w:p w14:paraId="335C7616" w14:textId="70DE8030" w:rsidR="005675C8" w:rsidRPr="0020782C" w:rsidRDefault="005675C8">
            <w:pPr>
              <w:rPr>
                <w:rFonts w:ascii="Arial" w:eastAsia="Calibri" w:hAnsi="Arial" w:cs="Arial"/>
                <w:b/>
                <w:sz w:val="22"/>
              </w:rPr>
            </w:pPr>
            <w:r w:rsidRPr="0020782C">
              <w:rPr>
                <w:rFonts w:ascii="Arial" w:eastAsia="Calibri" w:hAnsi="Arial" w:cs="Arial"/>
                <w:b/>
                <w:sz w:val="22"/>
              </w:rPr>
              <w:t xml:space="preserve"> Radicación:</w:t>
            </w:r>
            <w:r w:rsidRPr="0020782C">
              <w:rPr>
                <w:rFonts w:ascii="Arial" w:eastAsia="Calibri" w:hAnsi="Arial" w:cs="Arial"/>
                <w:sz w:val="22"/>
              </w:rPr>
              <w:t xml:space="preserve">                              </w:t>
            </w:r>
          </w:p>
        </w:tc>
        <w:tc>
          <w:tcPr>
            <w:tcW w:w="6237" w:type="dxa"/>
          </w:tcPr>
          <w:p w14:paraId="4ECB450D" w14:textId="1FCB35DB" w:rsidR="005675C8" w:rsidRDefault="005675C8" w:rsidP="00EC39F1">
            <w:pPr>
              <w:jc w:val="both"/>
              <w:rPr>
                <w:rFonts w:ascii="Arial" w:eastAsia="Calibri" w:hAnsi="Arial" w:cs="Arial"/>
                <w:sz w:val="22"/>
                <w:lang w:val="es-CO"/>
              </w:rPr>
            </w:pPr>
            <w:r w:rsidRPr="0020782C">
              <w:rPr>
                <w:rFonts w:ascii="Arial" w:eastAsia="Calibri" w:hAnsi="Arial" w:cs="Arial"/>
                <w:sz w:val="22"/>
              </w:rPr>
              <w:t xml:space="preserve">Respuesta a consulta </w:t>
            </w:r>
            <w:r w:rsidR="00DD61C4" w:rsidRPr="00DD61C4">
              <w:rPr>
                <w:rFonts w:ascii="Arial" w:eastAsia="Calibri" w:hAnsi="Arial" w:cs="Arial"/>
                <w:sz w:val="22"/>
                <w:lang w:val="es-CO"/>
              </w:rPr>
              <w:t>P20211012009410</w:t>
            </w:r>
          </w:p>
          <w:p w14:paraId="0F5CCC12" w14:textId="77777777" w:rsidR="00DD61C4" w:rsidRDefault="00DD61C4" w:rsidP="00EC39F1">
            <w:pPr>
              <w:jc w:val="both"/>
              <w:rPr>
                <w:rFonts w:ascii="Arial" w:eastAsia="Calibri" w:hAnsi="Arial" w:cs="Arial"/>
                <w:sz w:val="22"/>
              </w:rPr>
            </w:pPr>
          </w:p>
          <w:p w14:paraId="7F2AA628" w14:textId="77777777" w:rsidR="00DD61C4" w:rsidRDefault="00DD61C4" w:rsidP="00EC39F1">
            <w:pPr>
              <w:jc w:val="both"/>
              <w:rPr>
                <w:rFonts w:ascii="Arial" w:eastAsia="Calibri" w:hAnsi="Arial" w:cs="Arial"/>
                <w:sz w:val="22"/>
              </w:rPr>
            </w:pPr>
          </w:p>
          <w:p w14:paraId="7D2AF3F1" w14:textId="760D816A" w:rsidR="00DD61C4" w:rsidRPr="0020782C" w:rsidRDefault="00DD61C4" w:rsidP="00EC39F1">
            <w:pPr>
              <w:jc w:val="both"/>
              <w:rPr>
                <w:rFonts w:ascii="Arial" w:eastAsia="Calibri" w:hAnsi="Arial" w:cs="Arial"/>
                <w:sz w:val="22"/>
              </w:rPr>
            </w:pPr>
          </w:p>
        </w:tc>
      </w:tr>
    </w:tbl>
    <w:p w14:paraId="4C650B97" w14:textId="7257ADBC" w:rsidR="005675C8" w:rsidRPr="0020782C" w:rsidRDefault="005675C8" w:rsidP="005675C8">
      <w:pPr>
        <w:rPr>
          <w:rFonts w:ascii="Arial" w:eastAsia="Calibri" w:hAnsi="Arial" w:cs="Arial"/>
          <w:sz w:val="22"/>
        </w:rPr>
      </w:pPr>
      <w:r w:rsidRPr="0020782C">
        <w:rPr>
          <w:rFonts w:ascii="Arial" w:eastAsia="Calibri" w:hAnsi="Arial" w:cs="Arial"/>
          <w:sz w:val="22"/>
        </w:rPr>
        <w:t>Estimada señora</w:t>
      </w:r>
      <w:r w:rsidR="00AB7BE7" w:rsidRPr="0020782C">
        <w:rPr>
          <w:rFonts w:ascii="Arial" w:eastAsia="Calibri" w:hAnsi="Arial" w:cs="Arial"/>
          <w:sz w:val="22"/>
        </w:rPr>
        <w:t xml:space="preserve"> </w:t>
      </w:r>
      <w:r w:rsidR="00DD61C4">
        <w:rPr>
          <w:rFonts w:ascii="Arial" w:eastAsia="Calibri" w:hAnsi="Arial" w:cs="Arial"/>
          <w:sz w:val="22"/>
        </w:rPr>
        <w:t>Montealegre Riaño:</w:t>
      </w:r>
    </w:p>
    <w:p w14:paraId="5B7A7C04" w14:textId="77777777" w:rsidR="005675C8" w:rsidRPr="0020782C" w:rsidRDefault="005675C8" w:rsidP="005675C8">
      <w:pPr>
        <w:rPr>
          <w:rFonts w:ascii="Arial" w:eastAsia="Calibri" w:hAnsi="Arial" w:cs="Arial"/>
          <w:sz w:val="22"/>
        </w:rPr>
      </w:pPr>
    </w:p>
    <w:p w14:paraId="5A98625C" w14:textId="61F661A2" w:rsidR="005675C8" w:rsidRPr="0020782C" w:rsidRDefault="00AB7BE7" w:rsidP="005675C8">
      <w:pPr>
        <w:spacing w:line="276" w:lineRule="auto"/>
        <w:jc w:val="both"/>
        <w:rPr>
          <w:rFonts w:ascii="Arial" w:eastAsia="Calibri" w:hAnsi="Arial" w:cs="Arial"/>
          <w:sz w:val="22"/>
        </w:rPr>
      </w:pPr>
      <w:r w:rsidRPr="0020782C">
        <w:rPr>
          <w:rFonts w:ascii="Arial" w:eastAsia="Calibri" w:hAnsi="Arial" w:cs="Arial"/>
          <w:sz w:val="22"/>
        </w:rPr>
        <w:t>En ejercicio de la competencia otorgada por el numeral 8 del artículo 11 y el numeral 5 del artículo 3 del Decreto Ley 4170 de 2011, l</w:t>
      </w:r>
      <w:r w:rsidR="005675C8" w:rsidRPr="0020782C">
        <w:rPr>
          <w:rFonts w:ascii="Arial" w:eastAsia="Calibri" w:hAnsi="Arial" w:cs="Arial"/>
          <w:sz w:val="22"/>
        </w:rPr>
        <w:t xml:space="preserve">a Agencia Nacional de Contratación Pública </w:t>
      </w:r>
      <w:r w:rsidR="00110F95">
        <w:rPr>
          <w:rFonts w:ascii="Arial" w:eastAsia="Calibri" w:hAnsi="Arial" w:cs="Arial"/>
          <w:sz w:val="22"/>
        </w:rPr>
        <w:t>–</w:t>
      </w:r>
      <w:r w:rsidR="005675C8" w:rsidRPr="0020782C">
        <w:rPr>
          <w:rFonts w:ascii="Arial" w:eastAsia="Calibri" w:hAnsi="Arial" w:cs="Arial"/>
          <w:sz w:val="22"/>
        </w:rPr>
        <w:t xml:space="preserve"> Colombia Compra Eficiente responde su consulta </w:t>
      </w:r>
      <w:r w:rsidR="00C12B20">
        <w:rPr>
          <w:rFonts w:ascii="Arial" w:eastAsia="Calibri" w:hAnsi="Arial" w:cs="Arial"/>
          <w:sz w:val="22"/>
        </w:rPr>
        <w:t>del 12 de octubre de 2021</w:t>
      </w:r>
      <w:r w:rsidR="003F437E" w:rsidRPr="0020782C">
        <w:rPr>
          <w:rFonts w:ascii="Arial" w:eastAsia="Calibri" w:hAnsi="Arial" w:cs="Arial"/>
          <w:sz w:val="22"/>
        </w:rPr>
        <w:t>.</w:t>
      </w:r>
      <w:r w:rsidR="005675C8" w:rsidRPr="0020782C">
        <w:rPr>
          <w:rFonts w:ascii="Arial" w:eastAsia="Calibri" w:hAnsi="Arial" w:cs="Arial"/>
          <w:sz w:val="22"/>
        </w:rPr>
        <w:t xml:space="preserve"> </w:t>
      </w:r>
    </w:p>
    <w:p w14:paraId="23025B76" w14:textId="77777777" w:rsidR="005675C8" w:rsidRPr="0020782C" w:rsidRDefault="005675C8" w:rsidP="005675C8">
      <w:pPr>
        <w:spacing w:line="276" w:lineRule="auto"/>
        <w:jc w:val="both"/>
        <w:rPr>
          <w:rFonts w:ascii="Arial" w:eastAsia="Calibri" w:hAnsi="Arial" w:cs="Arial"/>
          <w:sz w:val="22"/>
        </w:rPr>
      </w:pPr>
    </w:p>
    <w:p w14:paraId="2C7B70E5" w14:textId="77777777" w:rsidR="005675C8" w:rsidRPr="0020782C" w:rsidRDefault="005675C8" w:rsidP="005675C8">
      <w:pPr>
        <w:pStyle w:val="Prrafodelista"/>
        <w:numPr>
          <w:ilvl w:val="0"/>
          <w:numId w:val="1"/>
        </w:numPr>
        <w:tabs>
          <w:tab w:val="left" w:pos="284"/>
        </w:tabs>
        <w:spacing w:line="276" w:lineRule="auto"/>
        <w:ind w:left="0" w:firstLine="0"/>
        <w:jc w:val="both"/>
        <w:rPr>
          <w:rFonts w:ascii="Arial" w:eastAsia="Calibri" w:hAnsi="Arial" w:cs="Arial"/>
          <w:b/>
          <w:sz w:val="22"/>
        </w:rPr>
      </w:pPr>
      <w:r w:rsidRPr="0020782C">
        <w:rPr>
          <w:rFonts w:ascii="Arial" w:eastAsia="Calibri" w:hAnsi="Arial" w:cs="Arial"/>
          <w:b/>
          <w:sz w:val="22"/>
        </w:rPr>
        <w:t xml:space="preserve">Problemas planteados </w:t>
      </w:r>
    </w:p>
    <w:p w14:paraId="16A6CF6B" w14:textId="77777777" w:rsidR="005675C8" w:rsidRPr="0020782C" w:rsidRDefault="005675C8" w:rsidP="005675C8">
      <w:pPr>
        <w:tabs>
          <w:tab w:val="left" w:pos="426"/>
        </w:tabs>
        <w:spacing w:line="276" w:lineRule="auto"/>
        <w:jc w:val="both"/>
        <w:rPr>
          <w:rFonts w:ascii="Arial" w:eastAsia="Calibri" w:hAnsi="Arial" w:cs="Arial"/>
          <w:b/>
          <w:sz w:val="22"/>
        </w:rPr>
      </w:pPr>
    </w:p>
    <w:p w14:paraId="187007A0" w14:textId="3E1521EE" w:rsidR="005675C8" w:rsidRPr="0020782C" w:rsidRDefault="005675C8" w:rsidP="005675C8">
      <w:pPr>
        <w:tabs>
          <w:tab w:val="left" w:pos="426"/>
        </w:tabs>
        <w:spacing w:line="276" w:lineRule="auto"/>
        <w:jc w:val="both"/>
        <w:rPr>
          <w:rFonts w:ascii="Arial" w:eastAsia="Calibri" w:hAnsi="Arial" w:cs="Arial"/>
          <w:sz w:val="22"/>
        </w:rPr>
      </w:pPr>
      <w:r w:rsidRPr="0020782C">
        <w:rPr>
          <w:rFonts w:ascii="Arial" w:eastAsia="Calibri" w:hAnsi="Arial" w:cs="Arial"/>
          <w:sz w:val="22"/>
        </w:rPr>
        <w:t>Usted realiza la siguiente pregunta:</w:t>
      </w:r>
      <w:r w:rsidR="003F437E" w:rsidRPr="0020782C">
        <w:rPr>
          <w:rFonts w:ascii="Arial" w:eastAsia="Calibri" w:hAnsi="Arial" w:cs="Arial"/>
          <w:sz w:val="22"/>
        </w:rPr>
        <w:t xml:space="preserve"> </w:t>
      </w:r>
      <w:r w:rsidRPr="0020782C">
        <w:rPr>
          <w:rFonts w:ascii="Arial" w:eastAsia="Calibri" w:hAnsi="Arial" w:cs="Arial"/>
          <w:sz w:val="22"/>
        </w:rPr>
        <w:t>«</w:t>
      </w:r>
      <w:bookmarkStart w:id="2" w:name="_Hlk86846323"/>
      <w:r w:rsidR="000A19EA" w:rsidRPr="000A19EA">
        <w:rPr>
          <w:rFonts w:ascii="Arial" w:eastAsia="Calibri" w:hAnsi="Arial" w:cs="Arial"/>
          <w:sz w:val="22"/>
        </w:rPr>
        <w:t>La Contratación de apoyo a la supervisión de contratos de las entidades estatales, que puede adelantase a través de Contratos de Prestación de Servicios, ¿puede celebrarse con personas naturales y jurídicas?</w:t>
      </w:r>
      <w:bookmarkEnd w:id="2"/>
      <w:r w:rsidR="001C20D1" w:rsidRPr="0020782C">
        <w:rPr>
          <w:rFonts w:ascii="Arial" w:eastAsia="Calibri" w:hAnsi="Arial" w:cs="Arial"/>
          <w:sz w:val="22"/>
        </w:rPr>
        <w:t>».</w:t>
      </w:r>
      <w:r w:rsidRPr="0020782C">
        <w:rPr>
          <w:rFonts w:ascii="Arial" w:eastAsia="Calibri" w:hAnsi="Arial" w:cs="Arial"/>
          <w:sz w:val="22"/>
        </w:rPr>
        <w:t xml:space="preserve"> </w:t>
      </w:r>
    </w:p>
    <w:p w14:paraId="1CE1511B" w14:textId="77777777" w:rsidR="005675C8" w:rsidRPr="0020782C" w:rsidRDefault="005675C8" w:rsidP="00FF6BD4">
      <w:pPr>
        <w:tabs>
          <w:tab w:val="left" w:pos="426"/>
        </w:tabs>
        <w:jc w:val="both"/>
        <w:rPr>
          <w:rFonts w:ascii="Arial" w:eastAsia="Calibri" w:hAnsi="Arial" w:cs="Arial"/>
          <w:sz w:val="22"/>
        </w:rPr>
      </w:pPr>
    </w:p>
    <w:p w14:paraId="0AF13355" w14:textId="77777777" w:rsidR="005675C8" w:rsidRDefault="005675C8" w:rsidP="005675C8">
      <w:pPr>
        <w:pStyle w:val="Prrafodelista"/>
        <w:numPr>
          <w:ilvl w:val="0"/>
          <w:numId w:val="1"/>
        </w:numPr>
        <w:tabs>
          <w:tab w:val="left" w:pos="426"/>
        </w:tabs>
        <w:spacing w:line="276" w:lineRule="auto"/>
        <w:ind w:left="284" w:hanging="284"/>
        <w:jc w:val="both"/>
        <w:rPr>
          <w:rFonts w:ascii="Arial" w:eastAsia="Calibri" w:hAnsi="Arial" w:cs="Arial"/>
          <w:b/>
          <w:sz w:val="22"/>
        </w:rPr>
      </w:pPr>
      <w:r w:rsidRPr="0020782C">
        <w:rPr>
          <w:rFonts w:ascii="Arial" w:eastAsia="Calibri" w:hAnsi="Arial" w:cs="Arial"/>
          <w:b/>
          <w:sz w:val="22"/>
        </w:rPr>
        <w:t>Consideraciones</w:t>
      </w:r>
    </w:p>
    <w:p w14:paraId="0A615F24" w14:textId="77777777" w:rsidR="00414C06" w:rsidRPr="0020782C" w:rsidRDefault="00414C06" w:rsidP="00FF6BD4">
      <w:pPr>
        <w:pStyle w:val="Prrafodelista"/>
        <w:tabs>
          <w:tab w:val="left" w:pos="426"/>
        </w:tabs>
        <w:ind w:left="284"/>
        <w:jc w:val="both"/>
        <w:rPr>
          <w:rFonts w:ascii="Arial" w:eastAsia="Calibri" w:hAnsi="Arial" w:cs="Arial"/>
          <w:b/>
          <w:sz w:val="22"/>
        </w:rPr>
      </w:pPr>
    </w:p>
    <w:p w14:paraId="7972B605" w14:textId="25552BCD" w:rsidR="003D0987" w:rsidRPr="00495EBB" w:rsidRDefault="00AD4463" w:rsidP="00414C06">
      <w:pPr>
        <w:spacing w:line="276" w:lineRule="auto"/>
        <w:jc w:val="both"/>
        <w:rPr>
          <w:rFonts w:ascii="Arial" w:hAnsi="Arial" w:cs="Arial"/>
          <w:color w:val="000000" w:themeColor="text1"/>
          <w:sz w:val="22"/>
          <w:lang w:val="es-ES"/>
        </w:rPr>
      </w:pPr>
      <w:r>
        <w:rPr>
          <w:rFonts w:ascii="Arial" w:hAnsi="Arial" w:cs="Arial"/>
          <w:sz w:val="22"/>
        </w:rPr>
        <w:t>P</w:t>
      </w:r>
      <w:r w:rsidR="00C07995" w:rsidRPr="0020782C">
        <w:rPr>
          <w:rFonts w:ascii="Arial" w:hAnsi="Arial" w:cs="Arial"/>
          <w:sz w:val="22"/>
        </w:rPr>
        <w:t xml:space="preserve">ara absolver la consulta se analizará: </w:t>
      </w:r>
      <w:r w:rsidR="00C07995" w:rsidRPr="00267F0B">
        <w:rPr>
          <w:rFonts w:ascii="Arial" w:hAnsi="Arial" w:cs="Arial"/>
          <w:sz w:val="22"/>
        </w:rPr>
        <w:t>i) la obligación de vigilar la correcta ejecución del objeto contratado;</w:t>
      </w:r>
      <w:r w:rsidR="00C07995" w:rsidRPr="00267F0B">
        <w:rPr>
          <w:rFonts w:ascii="Arial" w:hAnsi="Arial" w:cs="Arial"/>
          <w:bCs/>
          <w:sz w:val="22"/>
        </w:rPr>
        <w:t xml:space="preserve"> ii) la supervisión en los contratos estatales y, </w:t>
      </w:r>
      <w:proofErr w:type="spellStart"/>
      <w:r w:rsidR="00C07995" w:rsidRPr="00267F0B">
        <w:rPr>
          <w:rFonts w:ascii="Arial" w:hAnsi="Arial" w:cs="Arial"/>
          <w:bCs/>
          <w:sz w:val="22"/>
        </w:rPr>
        <w:t>iii</w:t>
      </w:r>
      <w:proofErr w:type="spellEnd"/>
      <w:r w:rsidR="00C07995" w:rsidRPr="00267F0B">
        <w:rPr>
          <w:rFonts w:ascii="Arial" w:hAnsi="Arial" w:cs="Arial"/>
          <w:bCs/>
          <w:sz w:val="22"/>
        </w:rPr>
        <w:t xml:space="preserve">) </w:t>
      </w:r>
      <w:r w:rsidR="00544C2D">
        <w:rPr>
          <w:rFonts w:ascii="Arial" w:hAnsi="Arial" w:cs="Arial"/>
          <w:bCs/>
          <w:sz w:val="22"/>
        </w:rPr>
        <w:t xml:space="preserve">el concepto y características de </w:t>
      </w:r>
      <w:r w:rsidR="00C07995" w:rsidRPr="00267F0B">
        <w:rPr>
          <w:rFonts w:ascii="Arial" w:hAnsi="Arial" w:cs="Arial"/>
          <w:bCs/>
          <w:sz w:val="22"/>
        </w:rPr>
        <w:t>los contratos de prestación de servicios</w:t>
      </w:r>
      <w:r w:rsidR="00C07995" w:rsidRPr="0020782C">
        <w:rPr>
          <w:rFonts w:ascii="Arial" w:hAnsi="Arial" w:cs="Arial"/>
          <w:bCs/>
          <w:sz w:val="22"/>
        </w:rPr>
        <w:t xml:space="preserve">. </w:t>
      </w:r>
      <w:r w:rsidR="005675C8" w:rsidRPr="0020782C">
        <w:rPr>
          <w:rFonts w:ascii="Arial" w:hAnsi="Arial" w:cs="Arial"/>
          <w:sz w:val="22"/>
        </w:rPr>
        <w:t xml:space="preserve">La </w:t>
      </w:r>
      <w:r w:rsidR="005675C8" w:rsidRPr="0020782C">
        <w:rPr>
          <w:rFonts w:ascii="Arial" w:eastAsia="Calibri" w:hAnsi="Arial" w:cs="Arial"/>
          <w:sz w:val="22"/>
        </w:rPr>
        <w:t>Agencia Nacional de Contratación Pública ― Colombia Compra Eficiente se ha pronunciado sobre la obligación de controlar y vigilar la ejecución de los contratos estatales, en los conceptos con radicado 4201913000004799</w:t>
      </w:r>
      <w:r w:rsidR="00140415">
        <w:rPr>
          <w:rFonts w:ascii="Arial" w:eastAsia="Calibri" w:hAnsi="Arial" w:cs="Arial"/>
          <w:sz w:val="22"/>
        </w:rPr>
        <w:t xml:space="preserve"> d</w:t>
      </w:r>
      <w:r w:rsidR="005675C8" w:rsidRPr="0020782C">
        <w:rPr>
          <w:rFonts w:ascii="Arial" w:eastAsia="Calibri" w:hAnsi="Arial" w:cs="Arial"/>
          <w:sz w:val="22"/>
        </w:rPr>
        <w:t xml:space="preserve">el 30 de agosto de 2019, 4201913000008240 del 20 de diciembre de 2019, </w:t>
      </w:r>
      <w:r w:rsidR="00445456" w:rsidRPr="0020782C">
        <w:rPr>
          <w:rFonts w:ascii="Arial" w:eastAsia="Calibri" w:hAnsi="Arial" w:cs="Arial"/>
          <w:sz w:val="22"/>
        </w:rPr>
        <w:t>C-064 de</w:t>
      </w:r>
      <w:r w:rsidR="00680650" w:rsidRPr="0020782C">
        <w:rPr>
          <w:rFonts w:ascii="Arial" w:eastAsia="Calibri" w:hAnsi="Arial" w:cs="Arial"/>
          <w:sz w:val="22"/>
        </w:rPr>
        <w:t xml:space="preserve">l 28 de febrero </w:t>
      </w:r>
      <w:r w:rsidR="00445456" w:rsidRPr="0020782C">
        <w:rPr>
          <w:rFonts w:ascii="Arial" w:eastAsia="Calibri" w:hAnsi="Arial" w:cs="Arial"/>
          <w:sz w:val="22"/>
        </w:rPr>
        <w:t>de 2020</w:t>
      </w:r>
      <w:r w:rsidR="00BD7AB9" w:rsidRPr="0020782C">
        <w:rPr>
          <w:rFonts w:ascii="Arial" w:eastAsia="Calibri" w:hAnsi="Arial" w:cs="Arial"/>
          <w:sz w:val="22"/>
        </w:rPr>
        <w:t>,</w:t>
      </w:r>
      <w:r w:rsidR="003F437E" w:rsidRPr="0020782C">
        <w:rPr>
          <w:rFonts w:ascii="Arial" w:eastAsia="Calibri" w:hAnsi="Arial" w:cs="Arial"/>
          <w:sz w:val="22"/>
        </w:rPr>
        <w:t xml:space="preserve"> </w:t>
      </w:r>
      <w:r w:rsidR="00140415">
        <w:rPr>
          <w:rFonts w:ascii="Arial" w:eastAsia="Calibri" w:hAnsi="Arial" w:cs="Arial"/>
          <w:sz w:val="22"/>
        </w:rPr>
        <w:t xml:space="preserve">C-071 del 4 de marzo de 2020, </w:t>
      </w:r>
      <w:r w:rsidR="003F437E" w:rsidRPr="0020782C">
        <w:rPr>
          <w:rFonts w:ascii="Arial" w:eastAsia="Calibri" w:hAnsi="Arial" w:cs="Arial"/>
          <w:sz w:val="22"/>
        </w:rPr>
        <w:t>C–077 del</w:t>
      </w:r>
      <w:r w:rsidR="00EF27E7" w:rsidRPr="0020782C">
        <w:rPr>
          <w:rFonts w:ascii="Arial" w:eastAsia="Calibri" w:hAnsi="Arial" w:cs="Arial"/>
          <w:sz w:val="22"/>
        </w:rPr>
        <w:t xml:space="preserve"> 18 de marzo de 2020, C–150 del 18 de marzo de 2020, C–134 del 30 de marzo de 2020</w:t>
      </w:r>
      <w:r w:rsidR="00140415">
        <w:rPr>
          <w:rFonts w:ascii="Arial" w:eastAsia="Calibri" w:hAnsi="Arial" w:cs="Arial"/>
          <w:sz w:val="22"/>
        </w:rPr>
        <w:t>,</w:t>
      </w:r>
      <w:r w:rsidR="0020782C" w:rsidRPr="0020782C">
        <w:rPr>
          <w:rFonts w:ascii="Arial" w:eastAsia="Calibri" w:hAnsi="Arial" w:cs="Arial"/>
          <w:sz w:val="22"/>
        </w:rPr>
        <w:t xml:space="preserve"> </w:t>
      </w:r>
      <w:r w:rsidR="00EF27E7" w:rsidRPr="0020782C">
        <w:rPr>
          <w:rFonts w:ascii="Arial" w:eastAsia="Calibri" w:hAnsi="Arial" w:cs="Arial"/>
          <w:sz w:val="22"/>
        </w:rPr>
        <w:t>C–180 del 13 de abril de 2020</w:t>
      </w:r>
      <w:r w:rsidR="00140415">
        <w:rPr>
          <w:rFonts w:ascii="Arial" w:eastAsia="Calibri" w:hAnsi="Arial" w:cs="Arial"/>
          <w:sz w:val="22"/>
        </w:rPr>
        <w:t>, C-344 del 26 de mayo de 2020, C-414 del 30 de junio de 2021</w:t>
      </w:r>
      <w:r w:rsidR="005675C8" w:rsidRPr="0020782C">
        <w:rPr>
          <w:rFonts w:ascii="Arial" w:eastAsia="Calibri" w:hAnsi="Arial" w:cs="Arial"/>
          <w:sz w:val="22"/>
        </w:rPr>
        <w:t>.</w:t>
      </w:r>
      <w:r w:rsidR="003D0987">
        <w:rPr>
          <w:rFonts w:ascii="Arial" w:eastAsia="Calibri" w:hAnsi="Arial" w:cs="Arial"/>
          <w:sz w:val="22"/>
        </w:rPr>
        <w:t xml:space="preserve"> </w:t>
      </w:r>
    </w:p>
    <w:p w14:paraId="703418E9" w14:textId="73F14758" w:rsidR="005675C8" w:rsidRPr="00874710" w:rsidRDefault="003D0987" w:rsidP="00874710">
      <w:pPr>
        <w:spacing w:before="120" w:line="276" w:lineRule="auto"/>
        <w:ind w:firstLine="851"/>
        <w:jc w:val="both"/>
        <w:rPr>
          <w:rFonts w:ascii="Arial" w:hAnsi="Arial" w:cs="Arial"/>
          <w:color w:val="000000" w:themeColor="text1"/>
          <w:sz w:val="22"/>
          <w:lang w:val="es-ES"/>
        </w:rPr>
      </w:pPr>
      <w:r>
        <w:rPr>
          <w:rFonts w:ascii="Arial" w:eastAsia="Calibri" w:hAnsi="Arial" w:cs="Arial"/>
          <w:sz w:val="22"/>
        </w:rPr>
        <w:lastRenderedPageBreak/>
        <w:t>Por otro lado</w:t>
      </w:r>
      <w:r w:rsidR="007172FE">
        <w:rPr>
          <w:rFonts w:ascii="Arial" w:eastAsia="Calibri" w:hAnsi="Arial" w:cs="Arial"/>
          <w:sz w:val="22"/>
        </w:rPr>
        <w:t xml:space="preserve">, </w:t>
      </w:r>
      <w:r w:rsidR="007172FE">
        <w:rPr>
          <w:rFonts w:ascii="Arial" w:hAnsi="Arial" w:cs="Arial"/>
          <w:color w:val="000000" w:themeColor="text1"/>
          <w:sz w:val="22"/>
        </w:rPr>
        <w:t>l</w:t>
      </w:r>
      <w:r w:rsidRPr="008A2673">
        <w:rPr>
          <w:rFonts w:ascii="Arial" w:hAnsi="Arial" w:cs="Arial"/>
          <w:color w:val="000000" w:themeColor="text1"/>
          <w:sz w:val="22"/>
        </w:rPr>
        <w:t xml:space="preserve">a Agencia </w:t>
      </w:r>
      <w:r w:rsidRPr="008B070E">
        <w:rPr>
          <w:rFonts w:ascii="Arial" w:eastAsia="Calibri" w:hAnsi="Arial" w:cs="Arial"/>
          <w:color w:val="000000" w:themeColor="text1"/>
          <w:sz w:val="22"/>
        </w:rPr>
        <w:t>se pronunció en relación con los contratos de prestación de servicios</w:t>
      </w:r>
      <w:r>
        <w:rPr>
          <w:rFonts w:ascii="Arial" w:eastAsia="Calibri" w:hAnsi="Arial" w:cs="Arial"/>
          <w:color w:val="000000" w:themeColor="text1"/>
          <w:sz w:val="22"/>
        </w:rPr>
        <w:t xml:space="preserve"> profesionales y de apoyo a la gestión</w:t>
      </w:r>
      <w:r w:rsidRPr="008B070E">
        <w:rPr>
          <w:rFonts w:ascii="Arial" w:eastAsia="Calibri" w:hAnsi="Arial" w:cs="Arial"/>
          <w:color w:val="000000" w:themeColor="text1"/>
          <w:sz w:val="22"/>
        </w:rPr>
        <w:t xml:space="preserve"> en los conceptos </w:t>
      </w:r>
      <w:r>
        <w:rPr>
          <w:rFonts w:ascii="Arial" w:eastAsia="Calibri" w:hAnsi="Arial" w:cs="Arial"/>
          <w:color w:val="000000" w:themeColor="text1"/>
          <w:sz w:val="22"/>
        </w:rPr>
        <w:t>C–047 del 18 de febrero de 2020</w:t>
      </w:r>
      <w:r>
        <w:rPr>
          <w:rFonts w:ascii="Arial" w:hAnsi="Arial" w:cs="Arial"/>
          <w:noProof/>
          <w:sz w:val="22"/>
          <w:lang w:val="es-ES_tradnl"/>
        </w:rPr>
        <w:t xml:space="preserve">, </w:t>
      </w:r>
      <w:r w:rsidRPr="008B070E">
        <w:rPr>
          <w:rFonts w:ascii="Arial" w:eastAsia="Calibri" w:hAnsi="Arial" w:cs="Arial"/>
          <w:color w:val="000000" w:themeColor="text1"/>
          <w:sz w:val="22"/>
        </w:rPr>
        <w:t>C</w:t>
      </w:r>
      <w:r>
        <w:rPr>
          <w:rFonts w:ascii="Arial" w:eastAsia="Calibri" w:hAnsi="Arial" w:cs="Arial"/>
          <w:color w:val="000000" w:themeColor="text1"/>
          <w:sz w:val="22"/>
        </w:rPr>
        <w:t>–</w:t>
      </w:r>
      <w:r w:rsidRPr="008B070E">
        <w:rPr>
          <w:rFonts w:ascii="Arial" w:eastAsia="Calibri" w:hAnsi="Arial" w:cs="Arial"/>
          <w:color w:val="000000" w:themeColor="text1"/>
          <w:sz w:val="22"/>
        </w:rPr>
        <w:t>071 del 4 de marzo de 2020</w:t>
      </w:r>
      <w:r>
        <w:rPr>
          <w:rFonts w:ascii="Arial" w:eastAsia="Calibri" w:hAnsi="Arial" w:cs="Arial"/>
          <w:color w:val="000000" w:themeColor="text1"/>
          <w:sz w:val="22"/>
        </w:rPr>
        <w:t>,</w:t>
      </w:r>
      <w:r>
        <w:rPr>
          <w:rFonts w:ascii="Arial" w:hAnsi="Arial" w:cs="Arial"/>
          <w:noProof/>
          <w:sz w:val="22"/>
          <w:lang w:val="es-ES_tradnl"/>
        </w:rPr>
        <w:t xml:space="preserve"> </w:t>
      </w:r>
      <w:r>
        <w:rPr>
          <w:rFonts w:ascii="Arial" w:eastAsia="Calibri" w:hAnsi="Arial" w:cs="Arial"/>
          <w:color w:val="000000" w:themeColor="text1"/>
          <w:sz w:val="22"/>
        </w:rPr>
        <w:t xml:space="preserve">C–188 del 13 de abril de 2020, C–005, 006, 018 y 138 del 11 de mayo de 2020, </w:t>
      </w:r>
      <w:r w:rsidRPr="00373E13">
        <w:rPr>
          <w:rFonts w:ascii="Arial" w:hAnsi="Arial" w:cs="Arial"/>
          <w:noProof/>
          <w:sz w:val="22"/>
          <w:lang w:val="es-ES_tradnl"/>
        </w:rPr>
        <w:t>C</w:t>
      </w:r>
      <w:r>
        <w:rPr>
          <w:rFonts w:ascii="Arial" w:eastAsia="Calibri" w:hAnsi="Arial" w:cs="Arial"/>
          <w:color w:val="000000" w:themeColor="text1"/>
          <w:sz w:val="22"/>
        </w:rPr>
        <w:t>–</w:t>
      </w:r>
      <w:r w:rsidRPr="00373E13">
        <w:rPr>
          <w:rFonts w:ascii="Arial" w:hAnsi="Arial" w:cs="Arial"/>
          <w:noProof/>
          <w:sz w:val="22"/>
          <w:lang w:val="es-ES_tradnl"/>
        </w:rPr>
        <w:t>053,</w:t>
      </w:r>
      <w:r>
        <w:rPr>
          <w:rFonts w:ascii="Arial" w:hAnsi="Arial" w:cs="Arial"/>
          <w:noProof/>
          <w:sz w:val="22"/>
          <w:lang w:val="es-ES_tradnl"/>
        </w:rPr>
        <w:t xml:space="preserve"> 175, </w:t>
      </w:r>
      <w:r w:rsidRPr="00373E13">
        <w:rPr>
          <w:rFonts w:ascii="Arial" w:hAnsi="Arial" w:cs="Arial"/>
          <w:noProof/>
          <w:sz w:val="22"/>
          <w:lang w:val="es-ES_tradnl"/>
        </w:rPr>
        <w:t>255, 282</w:t>
      </w:r>
      <w:r>
        <w:rPr>
          <w:rFonts w:ascii="Arial" w:hAnsi="Arial" w:cs="Arial"/>
          <w:noProof/>
          <w:sz w:val="22"/>
          <w:lang w:val="es-ES_tradnl"/>
        </w:rPr>
        <w:t>,</w:t>
      </w:r>
      <w:r w:rsidRPr="00373E13">
        <w:rPr>
          <w:rFonts w:ascii="Arial" w:hAnsi="Arial" w:cs="Arial"/>
          <w:noProof/>
          <w:sz w:val="22"/>
          <w:lang w:val="es-ES_tradnl"/>
        </w:rPr>
        <w:t xml:space="preserve"> 293</w:t>
      </w:r>
      <w:r>
        <w:rPr>
          <w:rFonts w:ascii="Arial" w:hAnsi="Arial" w:cs="Arial"/>
          <w:noProof/>
          <w:sz w:val="22"/>
          <w:lang w:val="es-ES_tradnl"/>
        </w:rPr>
        <w:t xml:space="preserve"> y 320</w:t>
      </w:r>
      <w:r w:rsidRPr="00373E13">
        <w:rPr>
          <w:rFonts w:ascii="Arial" w:hAnsi="Arial" w:cs="Arial"/>
          <w:noProof/>
          <w:sz w:val="22"/>
          <w:lang w:val="es-ES_tradnl"/>
        </w:rPr>
        <w:t xml:space="preserve"> del 12 de mayo de 2020</w:t>
      </w:r>
      <w:r>
        <w:rPr>
          <w:rFonts w:ascii="Arial" w:hAnsi="Arial" w:cs="Arial"/>
          <w:noProof/>
          <w:sz w:val="22"/>
          <w:lang w:val="es-ES_tradnl"/>
        </w:rPr>
        <w:t xml:space="preserve">, </w:t>
      </w:r>
      <w:r w:rsidRPr="00373E13">
        <w:rPr>
          <w:rFonts w:ascii="Arial" w:hAnsi="Arial" w:cs="Arial"/>
          <w:noProof/>
          <w:sz w:val="22"/>
          <w:lang w:val="es-ES_tradnl"/>
        </w:rPr>
        <w:t>C</w:t>
      </w:r>
      <w:r>
        <w:rPr>
          <w:rFonts w:ascii="Arial" w:eastAsia="Calibri" w:hAnsi="Arial" w:cs="Arial"/>
          <w:color w:val="000000" w:themeColor="text1"/>
          <w:sz w:val="22"/>
        </w:rPr>
        <w:t>–</w:t>
      </w:r>
      <w:r w:rsidRPr="00373E13">
        <w:rPr>
          <w:rFonts w:ascii="Arial" w:hAnsi="Arial" w:cs="Arial"/>
          <w:noProof/>
          <w:sz w:val="22"/>
          <w:lang w:val="es-ES_tradnl"/>
        </w:rPr>
        <w:t>288 del 27 de mayo de 2020</w:t>
      </w:r>
      <w:r>
        <w:rPr>
          <w:rFonts w:ascii="Arial" w:hAnsi="Arial" w:cs="Arial"/>
          <w:noProof/>
          <w:sz w:val="22"/>
          <w:lang w:val="es-ES_tradnl"/>
        </w:rPr>
        <w:t xml:space="preserve">, </w:t>
      </w:r>
      <w:r w:rsidRPr="00373E13">
        <w:rPr>
          <w:rFonts w:ascii="Arial" w:hAnsi="Arial" w:cs="Arial"/>
          <w:noProof/>
          <w:sz w:val="22"/>
          <w:lang w:val="es-ES_tradnl"/>
        </w:rPr>
        <w:t>C</w:t>
      </w:r>
      <w:r>
        <w:rPr>
          <w:rFonts w:ascii="Arial" w:eastAsia="Calibri" w:hAnsi="Arial" w:cs="Arial"/>
          <w:color w:val="000000" w:themeColor="text1"/>
          <w:sz w:val="22"/>
        </w:rPr>
        <w:t>–</w:t>
      </w:r>
      <w:r w:rsidRPr="00373E13">
        <w:rPr>
          <w:rFonts w:ascii="Arial" w:hAnsi="Arial" w:cs="Arial"/>
          <w:noProof/>
          <w:sz w:val="22"/>
          <w:lang w:val="es-ES_tradnl"/>
        </w:rPr>
        <w:t xml:space="preserve">345 del </w:t>
      </w:r>
      <w:r>
        <w:rPr>
          <w:rFonts w:ascii="Arial" w:hAnsi="Arial" w:cs="Arial"/>
          <w:noProof/>
          <w:sz w:val="22"/>
          <w:lang w:val="es-ES_tradnl"/>
        </w:rPr>
        <w:t>23 de junio</w:t>
      </w:r>
      <w:r w:rsidRPr="00373E13">
        <w:rPr>
          <w:rFonts w:ascii="Arial" w:hAnsi="Arial" w:cs="Arial"/>
          <w:noProof/>
          <w:sz w:val="22"/>
          <w:lang w:val="es-ES_tradnl"/>
        </w:rPr>
        <w:t xml:space="preserve"> de 2020</w:t>
      </w:r>
      <w:r>
        <w:rPr>
          <w:rFonts w:ascii="Arial" w:hAnsi="Arial" w:cs="Arial"/>
          <w:noProof/>
          <w:sz w:val="22"/>
          <w:lang w:val="es-ES_tradnl"/>
        </w:rPr>
        <w:t>,</w:t>
      </w:r>
      <w:r w:rsidRPr="005976DF">
        <w:rPr>
          <w:rFonts w:ascii="Arial" w:hAnsi="Arial" w:cs="Arial"/>
          <w:noProof/>
          <w:sz w:val="22"/>
          <w:lang w:val="es-ES_tradnl"/>
        </w:rPr>
        <w:t xml:space="preserve"> </w:t>
      </w:r>
      <w:r w:rsidRPr="00373E13">
        <w:rPr>
          <w:rFonts w:ascii="Arial" w:hAnsi="Arial" w:cs="Arial"/>
          <w:noProof/>
          <w:sz w:val="22"/>
          <w:lang w:val="es-ES_tradnl"/>
        </w:rPr>
        <w:t>C</w:t>
      </w:r>
      <w:r>
        <w:rPr>
          <w:rFonts w:ascii="Arial" w:eastAsia="Calibri" w:hAnsi="Arial" w:cs="Arial"/>
          <w:color w:val="000000" w:themeColor="text1"/>
          <w:sz w:val="22"/>
        </w:rPr>
        <w:t>–</w:t>
      </w:r>
      <w:r w:rsidRPr="00373E13">
        <w:rPr>
          <w:rFonts w:ascii="Arial" w:hAnsi="Arial" w:cs="Arial"/>
          <w:noProof/>
          <w:sz w:val="22"/>
          <w:lang w:val="es-ES_tradnl"/>
        </w:rPr>
        <w:t>484 del 6 de agosto de 2020</w:t>
      </w:r>
      <w:r>
        <w:rPr>
          <w:rFonts w:ascii="Arial" w:hAnsi="Arial" w:cs="Arial"/>
          <w:noProof/>
          <w:sz w:val="22"/>
          <w:lang w:val="es-ES_tradnl"/>
        </w:rPr>
        <w:t xml:space="preserve"> y </w:t>
      </w:r>
      <w:r w:rsidRPr="00373E13">
        <w:rPr>
          <w:rFonts w:ascii="Arial" w:hAnsi="Arial" w:cs="Arial"/>
          <w:noProof/>
          <w:sz w:val="22"/>
          <w:lang w:val="es-ES_tradnl"/>
        </w:rPr>
        <w:t>C</w:t>
      </w:r>
      <w:r>
        <w:rPr>
          <w:rFonts w:ascii="Arial" w:eastAsia="Calibri" w:hAnsi="Arial" w:cs="Arial"/>
          <w:color w:val="000000" w:themeColor="text1"/>
          <w:sz w:val="22"/>
        </w:rPr>
        <w:t>–</w:t>
      </w:r>
      <w:r w:rsidRPr="00373E13">
        <w:rPr>
          <w:rFonts w:ascii="Arial" w:hAnsi="Arial" w:cs="Arial"/>
          <w:noProof/>
          <w:sz w:val="22"/>
          <w:lang w:val="es-ES_tradnl"/>
        </w:rPr>
        <w:t>608 del 1 de octubre de 2020</w:t>
      </w:r>
      <w:r w:rsidR="00785F9B">
        <w:rPr>
          <w:rFonts w:ascii="Arial" w:hAnsi="Arial" w:cs="Arial"/>
          <w:noProof/>
          <w:sz w:val="22"/>
          <w:lang w:val="es-ES_tradnl"/>
        </w:rPr>
        <w:t>, C-</w:t>
      </w:r>
      <w:r w:rsidR="00465F46">
        <w:rPr>
          <w:rFonts w:ascii="Arial" w:hAnsi="Arial" w:cs="Arial"/>
          <w:noProof/>
          <w:sz w:val="22"/>
          <w:lang w:val="es-ES_tradnl"/>
        </w:rPr>
        <w:t>765 de</w:t>
      </w:r>
      <w:r w:rsidR="00B321E5">
        <w:rPr>
          <w:rFonts w:ascii="Arial" w:hAnsi="Arial" w:cs="Arial"/>
          <w:noProof/>
          <w:sz w:val="22"/>
          <w:lang w:val="es-ES_tradnl"/>
        </w:rPr>
        <w:t>l 7 de enero de 2021, C-145 del 8 de abril de 2021</w:t>
      </w:r>
      <w:r>
        <w:rPr>
          <w:rFonts w:ascii="Arial" w:hAnsi="Arial" w:cs="Arial"/>
          <w:noProof/>
          <w:sz w:val="22"/>
          <w:lang w:val="es-ES_tradnl"/>
        </w:rPr>
        <w:t>.</w:t>
      </w:r>
      <w:r>
        <w:rPr>
          <w:rFonts w:ascii="Arial" w:eastAsia="Calibri" w:hAnsi="Arial" w:cs="Arial"/>
          <w:color w:val="000000" w:themeColor="text1"/>
          <w:sz w:val="22"/>
        </w:rPr>
        <w:t xml:space="preserve"> </w:t>
      </w:r>
      <w:r w:rsidRPr="00FF3C55">
        <w:rPr>
          <w:rFonts w:ascii="Arial" w:hAnsi="Arial" w:cs="Arial"/>
          <w:color w:val="000000" w:themeColor="text1"/>
          <w:sz w:val="22"/>
          <w:lang w:val="es-ES"/>
        </w:rPr>
        <w:t>La tesis propuesta se expone a continuación</w:t>
      </w:r>
      <w:r w:rsidR="00802654">
        <w:rPr>
          <w:rFonts w:ascii="Arial" w:hAnsi="Arial" w:cs="Arial"/>
          <w:color w:val="000000" w:themeColor="text1"/>
          <w:sz w:val="22"/>
          <w:lang w:val="es-ES"/>
        </w:rPr>
        <w:t>:</w:t>
      </w:r>
    </w:p>
    <w:p w14:paraId="19AC9417" w14:textId="2683FE1D" w:rsidR="005675C8" w:rsidRDefault="005675C8" w:rsidP="00FF6BD4">
      <w:pPr>
        <w:pStyle w:val="Sinespaciado"/>
        <w:jc w:val="both"/>
        <w:rPr>
          <w:rFonts w:ascii="Arial" w:hAnsi="Arial" w:cs="Arial"/>
          <w:sz w:val="22"/>
        </w:rPr>
      </w:pPr>
    </w:p>
    <w:p w14:paraId="09E84472" w14:textId="77777777" w:rsidR="001E55F4" w:rsidRPr="009C4505" w:rsidRDefault="001E55F4" w:rsidP="001E55F4">
      <w:pPr>
        <w:spacing w:line="276" w:lineRule="auto"/>
        <w:jc w:val="both"/>
        <w:rPr>
          <w:rFonts w:ascii="Arial" w:hAnsi="Arial" w:cs="Arial"/>
          <w:b/>
          <w:bCs/>
          <w:sz w:val="22"/>
          <w:lang w:val="es-CO"/>
        </w:rPr>
      </w:pPr>
      <w:r w:rsidRPr="009C4505">
        <w:rPr>
          <w:rFonts w:ascii="Arial" w:hAnsi="Arial" w:cs="Arial"/>
          <w:b/>
          <w:bCs/>
          <w:sz w:val="22"/>
          <w:lang w:val="es-CO"/>
        </w:rPr>
        <w:t>2.1. Obligación de vigilar la correcta ejecución del objeto contratado</w:t>
      </w:r>
    </w:p>
    <w:p w14:paraId="2E968A14" w14:textId="77777777" w:rsidR="001E55F4" w:rsidRPr="009C4505" w:rsidRDefault="001E55F4" w:rsidP="001E55F4">
      <w:pPr>
        <w:pStyle w:val="Sinespaciado"/>
        <w:spacing w:line="276" w:lineRule="auto"/>
        <w:jc w:val="both"/>
        <w:rPr>
          <w:rFonts w:ascii="Arial" w:hAnsi="Arial" w:cs="Arial"/>
          <w:bCs/>
          <w:sz w:val="22"/>
        </w:rPr>
      </w:pPr>
    </w:p>
    <w:p w14:paraId="603BF1BD" w14:textId="77777777" w:rsidR="001E55F4" w:rsidRPr="000A0AA2" w:rsidRDefault="001E55F4" w:rsidP="00FF6BD4">
      <w:pPr>
        <w:pStyle w:val="Sinespaciado"/>
        <w:spacing w:after="120" w:line="276" w:lineRule="auto"/>
        <w:jc w:val="both"/>
        <w:rPr>
          <w:rFonts w:ascii="Arial" w:hAnsi="Arial" w:cs="Arial"/>
          <w:bCs/>
          <w:sz w:val="22"/>
        </w:rPr>
      </w:pPr>
      <w:r w:rsidRPr="000A0AA2">
        <w:rPr>
          <w:rFonts w:ascii="Arial" w:hAnsi="Arial" w:cs="Arial"/>
          <w:bCs/>
          <w:sz w:val="22"/>
        </w:rPr>
        <w:t>A través de la actividad contractual, el Estado adquiere bienes, obras y servicios para cumplir los fines que le impone el ordenamiento jurídico, garantizando así la continuidad y eficiente prestación de los servicios públicos y la efectividad de los derechos e intereses de los administrados</w:t>
      </w:r>
      <w:r w:rsidRPr="000A0AA2">
        <w:rPr>
          <w:rStyle w:val="Refdenotaalpie"/>
          <w:rFonts w:ascii="Arial" w:hAnsi="Arial" w:cs="Arial"/>
          <w:sz w:val="22"/>
        </w:rPr>
        <w:footnoteReference w:id="1"/>
      </w:r>
      <w:r w:rsidRPr="000A0AA2">
        <w:rPr>
          <w:rFonts w:ascii="Arial" w:hAnsi="Arial" w:cs="Arial"/>
          <w:bCs/>
          <w:sz w:val="22"/>
        </w:rPr>
        <w:t xml:space="preserve">. Para la garantía de los fines de interés general, involucrados en la contratación de las entidades estatales, el Estatuto General de Contratación de la Administración Pública –en adelante EGCAP– dispone que, en la etapa de ejecución del contrato, las entidades estatales y los servidores públicos que participan en ella tienen la obligación de controlar y vigilar la correcta ejecución del objeto contratado. Lo anterior busca que las finalidades perseguidas con la celebración de los contratos estatales se logren de manera satisfactoria. </w:t>
      </w:r>
    </w:p>
    <w:p w14:paraId="76B5BCA5" w14:textId="30842D88" w:rsidR="001E55F4" w:rsidRPr="000A0AA2" w:rsidRDefault="001E55F4" w:rsidP="001E55F4">
      <w:pPr>
        <w:spacing w:line="276" w:lineRule="auto"/>
        <w:ind w:firstLine="709"/>
        <w:jc w:val="both"/>
        <w:rPr>
          <w:rFonts w:ascii="Arial" w:hAnsi="Arial" w:cs="Arial"/>
          <w:sz w:val="22"/>
        </w:rPr>
      </w:pPr>
      <w:bookmarkStart w:id="3" w:name="_Hlk88458784"/>
      <w:r w:rsidRPr="000A0AA2">
        <w:rPr>
          <w:rFonts w:ascii="Arial" w:hAnsi="Arial" w:cs="Arial"/>
          <w:sz w:val="22"/>
          <w:lang w:val="es-ES"/>
        </w:rPr>
        <w:t xml:space="preserve">El seguimiento de la ejecución del contrato para la dirección, control y vigilancia de su correcto cumplimiento es un deber legal que permite a las entidades estatales tomar medidas orientadas a la satisfacción de los fines de la contratación. </w:t>
      </w:r>
      <w:r w:rsidRPr="000A0AA2">
        <w:rPr>
          <w:rFonts w:ascii="Arial" w:hAnsi="Arial" w:cs="Arial"/>
          <w:sz w:val="22"/>
        </w:rPr>
        <w:t>Por esto, el EGCAP alude a la obligación mencionada, que guarda relación con el principio de responsabilidad que rige la celebración y ejecución de los contratos estatales</w:t>
      </w:r>
      <w:bookmarkEnd w:id="3"/>
      <w:r w:rsidRPr="000A0AA2">
        <w:rPr>
          <w:rFonts w:ascii="Arial" w:hAnsi="Arial" w:cs="Arial"/>
          <w:sz w:val="22"/>
        </w:rPr>
        <w:t xml:space="preserve">.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r w:rsidR="007C402D" w:rsidRPr="000A0AA2">
        <w:rPr>
          <w:rFonts w:ascii="Arial" w:hAnsi="Arial" w:cs="Arial"/>
          <w:sz w:val="22"/>
        </w:rPr>
        <w:t>de este</w:t>
      </w:r>
      <w:r w:rsidRPr="000A0AA2">
        <w:rPr>
          <w:rFonts w:ascii="Arial" w:hAnsi="Arial" w:cs="Arial"/>
          <w:sz w:val="22"/>
        </w:rPr>
        <w:t>,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060A29B5" w14:textId="77777777" w:rsidR="008B4EB7" w:rsidRPr="003B6E82" w:rsidRDefault="008B4EB7" w:rsidP="008B4EB7">
      <w:pPr>
        <w:pStyle w:val="Sinespaciado"/>
        <w:spacing w:before="120" w:line="276" w:lineRule="auto"/>
        <w:ind w:firstLine="708"/>
        <w:jc w:val="both"/>
        <w:rPr>
          <w:rFonts w:ascii="Arial" w:hAnsi="Arial" w:cs="Arial"/>
          <w:bCs/>
          <w:color w:val="000000" w:themeColor="text1"/>
          <w:sz w:val="22"/>
          <w:lang w:val="es-ES"/>
        </w:rPr>
      </w:pPr>
      <w:r w:rsidRPr="003B6E82">
        <w:rPr>
          <w:rFonts w:ascii="Arial" w:hAnsi="Arial" w:cs="Arial"/>
          <w:bCs/>
          <w:color w:val="000000" w:themeColor="text1"/>
          <w:sz w:val="22"/>
          <w:lang w:val="es-ES"/>
        </w:rPr>
        <w:t xml:space="preserve">Las Leyes 1150 de 2007 y 1474 de 2011 complementan el régimen jurídico de la obligación de vigilar la correcta ejecución de los contratos estatales. Allí se impone el </w:t>
      </w:r>
      <w:r w:rsidRPr="003B6E82">
        <w:rPr>
          <w:rFonts w:ascii="Arial" w:hAnsi="Arial" w:cs="Arial"/>
          <w:bCs/>
          <w:color w:val="000000" w:themeColor="text1"/>
          <w:sz w:val="22"/>
          <w:lang w:val="es-ES"/>
        </w:rPr>
        <w:lastRenderedPageBreak/>
        <w:t>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3B6E82">
        <w:rPr>
          <w:rStyle w:val="Refdenotaalpie"/>
          <w:rFonts w:ascii="Arial" w:hAnsi="Arial" w:cs="Arial"/>
          <w:color w:val="000000" w:themeColor="text1"/>
          <w:sz w:val="22"/>
          <w:lang w:val="es-ES"/>
        </w:rPr>
        <w:footnoteReference w:id="2"/>
      </w:r>
      <w:r w:rsidRPr="003B6E82">
        <w:rPr>
          <w:rFonts w:ascii="Arial" w:hAnsi="Arial" w:cs="Arial"/>
          <w:bCs/>
          <w:color w:val="000000" w:themeColor="text1"/>
          <w:sz w:val="22"/>
          <w:lang w:val="es-ES"/>
        </w:rPr>
        <w:t>. También se establecen los límites de la responsabilidad del representante legal ante la delegación de sus funciones en materia contractual</w:t>
      </w:r>
      <w:r w:rsidRPr="003B6E82">
        <w:rPr>
          <w:rStyle w:val="Refdenotaalpie"/>
          <w:rFonts w:ascii="Arial" w:hAnsi="Arial" w:cs="Arial"/>
          <w:color w:val="000000" w:themeColor="text1"/>
          <w:sz w:val="22"/>
          <w:lang w:val="es-ES"/>
        </w:rPr>
        <w:footnoteReference w:id="3"/>
      </w:r>
      <w:r w:rsidRPr="003B6E82">
        <w:rPr>
          <w:rFonts w:ascii="Arial" w:hAnsi="Arial" w:cs="Arial"/>
          <w:bCs/>
          <w:color w:val="000000" w:themeColor="text1"/>
          <w:sz w:val="22"/>
          <w:lang w:val="es-ES"/>
        </w:rPr>
        <w:t xml:space="preserve"> y se regula la supervisión y la interventoría de los contratos estatales</w:t>
      </w:r>
      <w:r w:rsidRPr="003B6E82">
        <w:rPr>
          <w:rStyle w:val="Refdenotaalpie"/>
          <w:rFonts w:ascii="Arial" w:hAnsi="Arial" w:cs="Arial"/>
          <w:color w:val="000000" w:themeColor="text1"/>
          <w:sz w:val="22"/>
          <w:lang w:val="es-ES"/>
        </w:rPr>
        <w:footnoteReference w:id="4"/>
      </w:r>
      <w:r w:rsidRPr="003B6E82">
        <w:rPr>
          <w:rFonts w:ascii="Arial" w:hAnsi="Arial" w:cs="Arial"/>
          <w:bCs/>
          <w:color w:val="000000" w:themeColor="text1"/>
          <w:sz w:val="22"/>
          <w:lang w:val="es-ES"/>
        </w:rPr>
        <w:t xml:space="preserve">. </w:t>
      </w:r>
    </w:p>
    <w:p w14:paraId="4EEEB395" w14:textId="77777777" w:rsidR="008B4EB7" w:rsidRPr="003B6E82" w:rsidRDefault="008B4EB7" w:rsidP="008B4EB7">
      <w:pPr>
        <w:pStyle w:val="Sinespaciado"/>
        <w:spacing w:before="120" w:line="276" w:lineRule="auto"/>
        <w:ind w:firstLine="708"/>
        <w:jc w:val="both"/>
        <w:rPr>
          <w:rFonts w:ascii="Arial" w:hAnsi="Arial" w:cs="Arial"/>
          <w:bCs/>
          <w:color w:val="000000" w:themeColor="text1"/>
          <w:sz w:val="22"/>
          <w:lang w:val="es-ES"/>
        </w:rPr>
      </w:pPr>
      <w:r w:rsidRPr="003B6E82">
        <w:rPr>
          <w:rFonts w:ascii="Arial" w:hAnsi="Arial" w:cs="Arial"/>
          <w:bCs/>
          <w:color w:val="000000" w:themeColor="text1"/>
          <w:sz w:val="22"/>
          <w:lang w:val="es-ES"/>
        </w:rPr>
        <w:t>La jurisprudencia contencioso-administrativa, por su parte, ha considerado que la obligación de vigilar la correcta ejecución del objeto contractual es una función de la entidad contratante, en los siguientes términos:</w:t>
      </w:r>
    </w:p>
    <w:p w14:paraId="366C4920" w14:textId="77777777" w:rsidR="008B4EB7" w:rsidRPr="003B6E82" w:rsidRDefault="008B4EB7" w:rsidP="008B4EB7">
      <w:pPr>
        <w:pStyle w:val="Sinespaciado"/>
        <w:spacing w:line="276" w:lineRule="auto"/>
        <w:jc w:val="both"/>
        <w:rPr>
          <w:rFonts w:ascii="Arial" w:hAnsi="Arial" w:cs="Arial"/>
          <w:bCs/>
          <w:color w:val="000000" w:themeColor="text1"/>
          <w:lang w:val="es-ES"/>
        </w:rPr>
      </w:pPr>
      <w:r w:rsidRPr="003B6E82">
        <w:rPr>
          <w:rFonts w:ascii="Arial" w:hAnsi="Arial" w:cs="Arial"/>
          <w:bCs/>
          <w:color w:val="000000" w:themeColor="text1"/>
          <w:lang w:val="es-ES"/>
        </w:rPr>
        <w:t xml:space="preserve"> </w:t>
      </w:r>
    </w:p>
    <w:p w14:paraId="139865EC" w14:textId="77777777" w:rsidR="008B4EB7" w:rsidRDefault="008B4EB7" w:rsidP="008B4EB7">
      <w:pPr>
        <w:pStyle w:val="Sinespaciado"/>
        <w:ind w:left="709" w:right="709"/>
        <w:jc w:val="both"/>
        <w:rPr>
          <w:rFonts w:ascii="Arial" w:hAnsi="Arial" w:cs="Arial"/>
          <w:bCs/>
          <w:color w:val="000000" w:themeColor="text1"/>
          <w:sz w:val="21"/>
          <w:szCs w:val="21"/>
          <w:lang w:val="es-ES"/>
        </w:rPr>
      </w:pPr>
      <w:r w:rsidRPr="003B6E82">
        <w:rPr>
          <w:rFonts w:ascii="Arial" w:hAnsi="Arial" w:cs="Arial"/>
          <w:bCs/>
          <w:color w:val="000000" w:themeColor="text1"/>
          <w:sz w:val="21"/>
          <w:szCs w:val="21"/>
          <w:lang w:val="es-ES"/>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3B6E82">
        <w:rPr>
          <w:rStyle w:val="Refdenotaalpie"/>
          <w:rFonts w:ascii="Arial" w:hAnsi="Arial" w:cs="Arial"/>
          <w:color w:val="000000" w:themeColor="text1"/>
          <w:sz w:val="21"/>
          <w:szCs w:val="21"/>
          <w:lang w:val="es-ES"/>
        </w:rPr>
        <w:footnoteReference w:id="5"/>
      </w:r>
      <w:r w:rsidRPr="003B6E82">
        <w:rPr>
          <w:rFonts w:ascii="Arial" w:hAnsi="Arial" w:cs="Arial"/>
          <w:bCs/>
          <w:color w:val="000000" w:themeColor="text1"/>
          <w:sz w:val="21"/>
          <w:szCs w:val="21"/>
          <w:lang w:val="es-ES"/>
        </w:rPr>
        <w:t>.</w:t>
      </w:r>
    </w:p>
    <w:p w14:paraId="67962195" w14:textId="43078C26" w:rsidR="001E55F4" w:rsidRPr="008B4EB7" w:rsidRDefault="001E55F4" w:rsidP="008B4EB7">
      <w:pPr>
        <w:pStyle w:val="Sinespaciado"/>
        <w:ind w:left="709" w:right="709"/>
        <w:jc w:val="both"/>
        <w:rPr>
          <w:rFonts w:ascii="Arial" w:hAnsi="Arial" w:cs="Arial"/>
          <w:bCs/>
          <w:color w:val="000000" w:themeColor="text1"/>
          <w:sz w:val="21"/>
          <w:szCs w:val="21"/>
          <w:lang w:val="es-ES"/>
        </w:rPr>
      </w:pPr>
      <w:r w:rsidRPr="009C4505">
        <w:rPr>
          <w:rFonts w:ascii="Arial" w:hAnsi="Arial" w:cs="Arial"/>
          <w:bCs/>
          <w:sz w:val="22"/>
        </w:rPr>
        <w:t xml:space="preserve"> </w:t>
      </w:r>
    </w:p>
    <w:p w14:paraId="059333E3" w14:textId="77777777" w:rsidR="001E55F4" w:rsidRPr="009C4505" w:rsidRDefault="001E55F4" w:rsidP="001E55F4">
      <w:pPr>
        <w:pStyle w:val="Sinespaciado"/>
        <w:spacing w:after="120" w:line="276" w:lineRule="auto"/>
        <w:ind w:firstLine="709"/>
        <w:jc w:val="both"/>
        <w:rPr>
          <w:rFonts w:ascii="Arial" w:hAnsi="Arial" w:cs="Arial"/>
          <w:bCs/>
          <w:sz w:val="22"/>
        </w:rPr>
      </w:pPr>
      <w:r w:rsidRPr="009C4505">
        <w:rPr>
          <w:rFonts w:ascii="Arial" w:hAnsi="Arial" w:cs="Arial"/>
          <w:bCs/>
          <w:sz w:val="22"/>
        </w:rPr>
        <w:t xml:space="preserve">En este punto, se reitera lo expuesto en el concepto emitido por esta Agencia con radicado 4201913000008240, del 20 de diciembre de 2019, </w:t>
      </w:r>
      <w:r>
        <w:rPr>
          <w:rFonts w:ascii="Arial" w:hAnsi="Arial" w:cs="Arial"/>
          <w:bCs/>
          <w:sz w:val="22"/>
        </w:rPr>
        <w:t xml:space="preserve">en cuya oportunidad se señaló </w:t>
      </w:r>
      <w:r w:rsidRPr="009C4505">
        <w:rPr>
          <w:rFonts w:ascii="Arial" w:hAnsi="Arial" w:cs="Arial"/>
          <w:bCs/>
          <w:sz w:val="22"/>
        </w:rPr>
        <w:t xml:space="preserve">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12E9A9A4" w14:textId="0E607C67" w:rsidR="005675C8" w:rsidRDefault="001E55F4" w:rsidP="00821F1A">
      <w:pPr>
        <w:pStyle w:val="Sinespaciado"/>
        <w:spacing w:line="276" w:lineRule="auto"/>
        <w:ind w:firstLine="567"/>
        <w:jc w:val="both"/>
        <w:rPr>
          <w:rFonts w:ascii="Arial" w:hAnsi="Arial" w:cs="Arial"/>
          <w:bCs/>
          <w:sz w:val="22"/>
        </w:rPr>
      </w:pPr>
      <w:r w:rsidRPr="00CE14C9">
        <w:rPr>
          <w:rFonts w:ascii="Arial" w:hAnsi="Arial" w:cs="Arial"/>
          <w:bCs/>
          <w:sz w:val="22"/>
        </w:rPr>
        <w:t xml:space="preserve">Por lo tanto, la responsabilidad por el control y vigilancia de la ejecución del contrato está a cargo de la entidad estatal contratante y, </w:t>
      </w:r>
      <w:r w:rsidR="00F302C7">
        <w:rPr>
          <w:rFonts w:ascii="Arial" w:hAnsi="Arial" w:cs="Arial"/>
          <w:bCs/>
          <w:sz w:val="22"/>
        </w:rPr>
        <w:t>en consecuencia</w:t>
      </w:r>
      <w:r w:rsidRPr="00CE14C9">
        <w:rPr>
          <w:rFonts w:ascii="Arial" w:hAnsi="Arial" w:cs="Arial"/>
          <w:bCs/>
          <w:sz w:val="22"/>
        </w:rPr>
        <w:t xml:space="preserve">, es esta quien debe supervisar los contratos mediante sus funcionarios o servidores públicos, y únicamente puede contratar personal en caso de necesitarlo como apoyo a su gestión en la supervisión. </w:t>
      </w:r>
      <w:r w:rsidRPr="00CE14C9">
        <w:rPr>
          <w:rFonts w:ascii="Arial" w:hAnsi="Arial" w:cs="Arial"/>
          <w:bCs/>
          <w:sz w:val="22"/>
        </w:rPr>
        <w:lastRenderedPageBreak/>
        <w:t xml:space="preserve">De este modo, el contratista podría fungir de apoyo a la supervisión del contrato, en la medida en que el contrato de prestación de servicios profesionales y de apoyo a la gestión tenga como objeto obligaciones dirigidas a apoyar dicha actividad de supervisión de contratos. En tal sentido, los contratistas no pueden asumir de forma íntegra, directa y excluyente la actividad de supervisión de los contratos estatales.  </w:t>
      </w:r>
    </w:p>
    <w:p w14:paraId="6B46F46C" w14:textId="77777777" w:rsidR="00821F1A" w:rsidRPr="004223B2" w:rsidRDefault="00821F1A" w:rsidP="00FF6BD4">
      <w:pPr>
        <w:pStyle w:val="Sinespaciado"/>
        <w:spacing w:line="276" w:lineRule="auto"/>
        <w:ind w:firstLine="567"/>
        <w:jc w:val="both"/>
        <w:rPr>
          <w:rFonts w:ascii="Arial" w:hAnsi="Arial" w:cs="Arial"/>
          <w:bCs/>
          <w:sz w:val="22"/>
        </w:rPr>
      </w:pPr>
    </w:p>
    <w:p w14:paraId="291DA191" w14:textId="3D7F1BC0" w:rsidR="005675C8" w:rsidRPr="0020782C" w:rsidRDefault="005675C8" w:rsidP="000B7C3B">
      <w:pPr>
        <w:pStyle w:val="Sinespaciado"/>
        <w:widowControl w:val="0"/>
        <w:numPr>
          <w:ilvl w:val="1"/>
          <w:numId w:val="4"/>
        </w:numPr>
        <w:autoSpaceDE w:val="0"/>
        <w:autoSpaceDN w:val="0"/>
        <w:spacing w:line="276" w:lineRule="auto"/>
        <w:jc w:val="both"/>
        <w:rPr>
          <w:rFonts w:ascii="Arial" w:hAnsi="Arial" w:cs="Arial"/>
          <w:b/>
          <w:sz w:val="22"/>
        </w:rPr>
      </w:pPr>
      <w:r w:rsidRPr="0020782C">
        <w:rPr>
          <w:rFonts w:ascii="Arial" w:hAnsi="Arial" w:cs="Arial"/>
          <w:b/>
          <w:sz w:val="22"/>
        </w:rPr>
        <w:t xml:space="preserve">La supervisión en los contratos estatales </w:t>
      </w:r>
    </w:p>
    <w:p w14:paraId="70CBF8DC" w14:textId="77777777" w:rsidR="005675C8" w:rsidRPr="0020782C" w:rsidRDefault="005675C8" w:rsidP="00FF6BD4">
      <w:pPr>
        <w:pStyle w:val="Sinespaciado"/>
        <w:ind w:left="567"/>
        <w:jc w:val="both"/>
        <w:rPr>
          <w:rFonts w:ascii="Arial" w:hAnsi="Arial" w:cs="Arial"/>
          <w:sz w:val="22"/>
        </w:rPr>
      </w:pPr>
    </w:p>
    <w:p w14:paraId="391DA9F1" w14:textId="77777777" w:rsidR="00597EA0" w:rsidRPr="003B6E82" w:rsidRDefault="00561891" w:rsidP="00597EA0">
      <w:pPr>
        <w:pStyle w:val="Sinespaciado"/>
        <w:spacing w:line="276" w:lineRule="auto"/>
        <w:jc w:val="both"/>
        <w:rPr>
          <w:rFonts w:ascii="Arial" w:hAnsi="Arial" w:cs="Arial"/>
          <w:color w:val="000000" w:themeColor="text1"/>
          <w:sz w:val="22"/>
          <w:lang w:val="es-ES"/>
        </w:rPr>
      </w:pPr>
      <w:r w:rsidRPr="009C4505">
        <w:rPr>
          <w:rFonts w:ascii="Arial" w:hAnsi="Arial" w:cs="Arial"/>
          <w:sz w:val="22"/>
        </w:rPr>
        <w:t xml:space="preserve">La Ley 1474 de 2011 enmarcó el seguimiento, control y vigilancia de la ejecución del contrato estatal dentro del principio de moralidad administrativa. En efecto, el artículo 83 </w:t>
      </w:r>
      <w:r w:rsidRPr="009C4505">
        <w:rPr>
          <w:rFonts w:ascii="Arial" w:hAnsi="Arial" w:cs="Arial"/>
          <w:i/>
          <w:iCs/>
          <w:sz w:val="22"/>
        </w:rPr>
        <w:t xml:space="preserve">ibidem </w:t>
      </w:r>
      <w:r w:rsidRPr="009C4505">
        <w:rPr>
          <w:rFonts w:ascii="Arial" w:hAnsi="Arial" w:cs="Arial"/>
          <w:sz w:val="22"/>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00597EA0">
        <w:rPr>
          <w:rFonts w:ascii="Arial" w:hAnsi="Arial" w:cs="Arial"/>
          <w:sz w:val="22"/>
        </w:rPr>
        <w:t xml:space="preserve"> </w:t>
      </w:r>
      <w:r w:rsidR="00597EA0" w:rsidRPr="003B6E82">
        <w:rPr>
          <w:rFonts w:ascii="Arial" w:hAnsi="Arial" w:cs="Arial"/>
          <w:color w:val="000000" w:themeColor="text1"/>
          <w:sz w:val="22"/>
          <w:lang w:val="es-ES"/>
        </w:rPr>
        <w:t xml:space="preserve">El legislador además definió las nociones de </w:t>
      </w:r>
      <w:r w:rsidR="00597EA0" w:rsidRPr="003B6E82">
        <w:rPr>
          <w:rFonts w:ascii="Arial" w:hAnsi="Arial" w:cs="Arial"/>
          <w:i/>
          <w:iCs/>
          <w:color w:val="000000" w:themeColor="text1"/>
          <w:sz w:val="22"/>
          <w:lang w:val="es-ES"/>
        </w:rPr>
        <w:t>supervisión</w:t>
      </w:r>
      <w:r w:rsidR="00597EA0" w:rsidRPr="003B6E82">
        <w:rPr>
          <w:rFonts w:ascii="Arial" w:hAnsi="Arial" w:cs="Arial"/>
          <w:color w:val="000000" w:themeColor="text1"/>
          <w:sz w:val="22"/>
          <w:lang w:val="es-ES"/>
        </w:rPr>
        <w:t xml:space="preserve"> e </w:t>
      </w:r>
      <w:r w:rsidR="00597EA0" w:rsidRPr="003B6E82">
        <w:rPr>
          <w:rFonts w:ascii="Arial" w:hAnsi="Arial" w:cs="Arial"/>
          <w:i/>
          <w:iCs/>
          <w:color w:val="000000" w:themeColor="text1"/>
          <w:sz w:val="22"/>
          <w:lang w:val="es-ES"/>
        </w:rPr>
        <w:t>interventoría</w:t>
      </w:r>
      <w:r w:rsidR="00597EA0" w:rsidRPr="003B6E82">
        <w:rPr>
          <w:rFonts w:ascii="Arial" w:hAnsi="Arial" w:cs="Arial"/>
          <w:color w:val="000000" w:themeColor="text1"/>
          <w:sz w:val="22"/>
          <w:lang w:val="es-ES"/>
        </w:rPr>
        <w:t xml:space="preserve">, como mecanismos que pueden usar las entidades estatales para vigilar el contrato, en estos términos: </w:t>
      </w:r>
    </w:p>
    <w:p w14:paraId="420D5CEA" w14:textId="77777777" w:rsidR="00597EA0" w:rsidRPr="003B6E82" w:rsidRDefault="00597EA0" w:rsidP="00597EA0">
      <w:pPr>
        <w:pStyle w:val="Sinespaciado"/>
        <w:spacing w:line="276" w:lineRule="auto"/>
        <w:jc w:val="both"/>
        <w:rPr>
          <w:rFonts w:ascii="Arial" w:hAnsi="Arial" w:cs="Arial"/>
          <w:color w:val="000000" w:themeColor="text1"/>
          <w:lang w:val="es-ES"/>
        </w:rPr>
      </w:pPr>
    </w:p>
    <w:p w14:paraId="15B25919" w14:textId="77777777" w:rsidR="00597EA0" w:rsidRPr="003B6E82" w:rsidRDefault="00597EA0" w:rsidP="00597EA0">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supervisión consistirá en el seguimiento técnico, administrativo, financiero, contable, y jurídico </w:t>
      </w:r>
      <w:proofErr w:type="gramStart"/>
      <w:r w:rsidRPr="003B6E82">
        <w:rPr>
          <w:rFonts w:ascii="Arial" w:hAnsi="Arial" w:cs="Arial"/>
          <w:color w:val="000000" w:themeColor="text1"/>
          <w:sz w:val="21"/>
          <w:szCs w:val="21"/>
          <w:lang w:val="es-ES"/>
        </w:rPr>
        <w:t>que</w:t>
      </w:r>
      <w:proofErr w:type="gramEnd"/>
      <w:r w:rsidRPr="003B6E82">
        <w:rPr>
          <w:rFonts w:ascii="Arial" w:hAnsi="Arial" w:cs="Arial"/>
          <w:color w:val="000000" w:themeColor="text1"/>
          <w:sz w:val="21"/>
          <w:szCs w:val="21"/>
          <w:lang w:val="es-ES"/>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7610D09F" w14:textId="77777777" w:rsidR="00597EA0" w:rsidRPr="003B6E82" w:rsidRDefault="00597EA0" w:rsidP="00597EA0">
      <w:pPr>
        <w:pStyle w:val="Sinespaciado"/>
        <w:ind w:left="709" w:right="709"/>
        <w:jc w:val="both"/>
        <w:rPr>
          <w:rFonts w:ascii="Arial" w:hAnsi="Arial" w:cs="Arial"/>
          <w:color w:val="000000" w:themeColor="text1"/>
          <w:sz w:val="21"/>
          <w:szCs w:val="21"/>
          <w:lang w:val="es-ES"/>
        </w:rPr>
      </w:pPr>
    </w:p>
    <w:p w14:paraId="7E205AF8" w14:textId="77777777" w:rsidR="00597EA0" w:rsidRPr="003B6E82" w:rsidRDefault="00597EA0" w:rsidP="00597EA0">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B6E82">
        <w:rPr>
          <w:rFonts w:ascii="Arial" w:hAnsi="Arial" w:cs="Arial"/>
          <w:color w:val="000000" w:themeColor="text1"/>
          <w:sz w:val="21"/>
          <w:szCs w:val="21"/>
          <w:lang w:val="es-ES"/>
        </w:rPr>
        <w:t>del mismo</w:t>
      </w:r>
      <w:proofErr w:type="gramEnd"/>
      <w:r w:rsidRPr="003B6E82">
        <w:rPr>
          <w:rFonts w:ascii="Arial" w:hAnsi="Arial" w:cs="Arial"/>
          <w:color w:val="000000" w:themeColor="text1"/>
          <w:sz w:val="21"/>
          <w:szCs w:val="21"/>
          <w:lang w:val="es-ES"/>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4059AC01" w14:textId="56358A49" w:rsidR="00561891" w:rsidRPr="00C76EF8" w:rsidRDefault="00C76EF8" w:rsidP="00C76EF8">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4B2869D8" w14:textId="51FCCC93" w:rsidR="00561891" w:rsidRPr="009C4505" w:rsidRDefault="00B00E00" w:rsidP="00561891">
      <w:pPr>
        <w:pStyle w:val="Sinespaciado"/>
        <w:spacing w:before="120" w:after="120" w:line="276" w:lineRule="auto"/>
        <w:ind w:firstLine="709"/>
        <w:jc w:val="both"/>
        <w:rPr>
          <w:rFonts w:ascii="Arial" w:hAnsi="Arial" w:cs="Arial"/>
          <w:sz w:val="22"/>
        </w:rPr>
      </w:pPr>
      <w:r>
        <w:rPr>
          <w:rFonts w:ascii="Arial" w:hAnsi="Arial" w:cs="Arial"/>
          <w:bCs/>
          <w:sz w:val="22"/>
        </w:rPr>
        <w:t>En</w:t>
      </w:r>
      <w:r w:rsidR="00561891" w:rsidRPr="009C4505">
        <w:rPr>
          <w:rFonts w:ascii="Arial" w:hAnsi="Arial" w:cs="Arial"/>
          <w:sz w:val="22"/>
        </w:rPr>
        <w:t xml:space="preserve"> cuanto a la designación del supervisor, esta Agencia, en la «Guía para el ejercicio de las funciones de supervisión e interventoría de los contratos del Estado» recomienda que esta se haga a través de un funcionario que pueda actuar al menos como par del contratista y que tenga asignadas funciones relacionadas con el objeto contractual. Así mismo, </w:t>
      </w:r>
      <w:r w:rsidR="00561891">
        <w:rPr>
          <w:rFonts w:ascii="Arial" w:hAnsi="Arial" w:cs="Arial"/>
          <w:sz w:val="22"/>
        </w:rPr>
        <w:t>en dicha Guía</w:t>
      </w:r>
      <w:r w:rsidR="00561891" w:rsidRPr="009C4505">
        <w:rPr>
          <w:rFonts w:ascii="Arial" w:hAnsi="Arial" w:cs="Arial"/>
          <w:sz w:val="22"/>
        </w:rPr>
        <w:t xml:space="preserve"> se señala que la designación debe estar antecedida por un </w:t>
      </w:r>
      <w:r w:rsidR="00561891" w:rsidRPr="009C4505">
        <w:rPr>
          <w:rFonts w:ascii="Arial" w:hAnsi="Arial" w:cs="Arial"/>
          <w:sz w:val="22"/>
        </w:rPr>
        <w:lastRenderedPageBreak/>
        <w:t xml:space="preserve">análisis de la carga operativa del funcionario al que se le asigna la </w:t>
      </w:r>
      <w:r w:rsidR="004D3A5B">
        <w:rPr>
          <w:rFonts w:ascii="Arial" w:hAnsi="Arial" w:cs="Arial"/>
          <w:sz w:val="22"/>
        </w:rPr>
        <w:t>supervisión</w:t>
      </w:r>
      <w:r w:rsidR="00561891" w:rsidRPr="009C4505">
        <w:rPr>
          <w:rFonts w:ascii="Arial" w:hAnsi="Arial" w:cs="Arial"/>
          <w:sz w:val="22"/>
        </w:rPr>
        <w:t xml:space="preserve">, para no incurrir en el riesgo de que el supervisor no pueda desempeñar la labor de manera adecuada. La designación, igualmente, se recomienda que se efectúe en la fecha en que se adjudique el contrato o cuando se suscriba, tratándose de contratación directa. </w:t>
      </w:r>
      <w:r w:rsidR="00561891">
        <w:rPr>
          <w:rFonts w:ascii="Arial" w:hAnsi="Arial" w:cs="Arial"/>
          <w:sz w:val="22"/>
        </w:rPr>
        <w:t>Además, e</w:t>
      </w:r>
      <w:r w:rsidR="00561891" w:rsidRPr="009C4505">
        <w:rPr>
          <w:rFonts w:ascii="Arial" w:hAnsi="Arial" w:cs="Arial"/>
          <w:sz w:val="22"/>
        </w:rPr>
        <w:t xml:space="preserve">l supervisor designado debe ser informado de la labor encomendada y debe conocer las obligaciones del contrato para efectos de que pueda desempeñar su labor de manera idónea. </w:t>
      </w:r>
    </w:p>
    <w:p w14:paraId="3141F218" w14:textId="5675923C" w:rsidR="00561891" w:rsidRDefault="00561891" w:rsidP="006E6EF3">
      <w:pPr>
        <w:spacing w:before="120" w:after="120" w:line="276" w:lineRule="auto"/>
        <w:ind w:firstLine="709"/>
        <w:jc w:val="both"/>
        <w:rPr>
          <w:rFonts w:ascii="AppleSystemUIFont" w:hAnsi="AppleSystemUIFont" w:cs="AppleSystemUIFont"/>
          <w:sz w:val="26"/>
          <w:szCs w:val="26"/>
        </w:rPr>
      </w:pPr>
      <w:r w:rsidRPr="00561891">
        <w:rPr>
          <w:rFonts w:ascii="Arial" w:hAnsi="Arial" w:cs="Arial"/>
          <w:sz w:val="22"/>
        </w:rPr>
        <w:t>Si bien es cierto que para desarrollar la supervisión del contrato no se requieren conocimientos técnicos especializados, también lo es que las funciones de seguimiento contractual abarcan varios campos,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ello deberá tener en cuenta que las funciones propias de los cargos, y los perfiles, conocimientos y experiencia de los funcionarios designados, guarden relación directa con el objeto del contrato y sus aspectos a supervisar. Lo anterior pretende que la vigilancia del contrato se realice de manera idónea y suficiente, con distribución equitativa de cargas y responsabilidades, en aplicación a los principios de coordinación y eficacia que rigen el ejercicio de la función administrativa. Estos principios son aplicables a la contratación estatal por disposición del artículo 23 de la Ley 80 de 1993</w:t>
      </w:r>
      <w:r w:rsidRPr="00561891">
        <w:rPr>
          <w:rFonts w:ascii="AppleSystemUIFont" w:hAnsi="AppleSystemUIFont" w:cs="AppleSystemUIFont"/>
          <w:sz w:val="26"/>
          <w:szCs w:val="26"/>
        </w:rPr>
        <w:t>.</w:t>
      </w:r>
      <w:r w:rsidRPr="009C4505">
        <w:rPr>
          <w:rFonts w:ascii="AppleSystemUIFont" w:hAnsi="AppleSystemUIFont" w:cs="AppleSystemUIFont"/>
          <w:sz w:val="26"/>
          <w:szCs w:val="26"/>
        </w:rPr>
        <w:t> </w:t>
      </w:r>
    </w:p>
    <w:p w14:paraId="7777E348" w14:textId="7D7AD36E" w:rsidR="00AA6D78" w:rsidRPr="00AE799E" w:rsidRDefault="00AA6D78" w:rsidP="00AE799E">
      <w:pPr>
        <w:pStyle w:val="Sinespaciado"/>
        <w:spacing w:before="120" w:line="276" w:lineRule="auto"/>
        <w:ind w:firstLine="709"/>
        <w:jc w:val="both"/>
        <w:rPr>
          <w:rFonts w:ascii="Arial" w:eastAsia="Calibri" w:hAnsi="Arial" w:cs="Arial"/>
          <w:sz w:val="22"/>
        </w:rPr>
      </w:pPr>
      <w:r w:rsidRPr="0020782C">
        <w:rPr>
          <w:rFonts w:ascii="Arial" w:hAnsi="Arial" w:cs="Arial"/>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20782C">
        <w:rPr>
          <w:rFonts w:ascii="Arial" w:eastAsia="Calibri" w:hAnsi="Arial" w:cs="Arial"/>
          <w:sz w:val="22"/>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71DEE31E" w14:textId="318F76B6" w:rsidR="00B22F82" w:rsidRPr="003B0E7C" w:rsidRDefault="00AE799E" w:rsidP="003B0E7C">
      <w:pPr>
        <w:pStyle w:val="Sinespaciado"/>
        <w:spacing w:before="120" w:line="276" w:lineRule="auto"/>
        <w:ind w:firstLine="708"/>
        <w:jc w:val="both"/>
        <w:rPr>
          <w:rFonts w:ascii="Arial" w:eastAsia="Calibri" w:hAnsi="Arial" w:cs="Arial"/>
          <w:color w:val="000000" w:themeColor="text1"/>
          <w:sz w:val="22"/>
          <w:lang w:val="es-ES"/>
        </w:rPr>
      </w:pPr>
      <w:r>
        <w:rPr>
          <w:rFonts w:ascii="Arial" w:hAnsi="Arial" w:cs="Arial"/>
          <w:sz w:val="22"/>
        </w:rPr>
        <w:t>E</w:t>
      </w:r>
      <w:r w:rsidR="00B22F82" w:rsidRPr="00561891">
        <w:rPr>
          <w:rFonts w:ascii="Arial" w:hAnsi="Arial" w:cs="Arial"/>
          <w:sz w:val="22"/>
        </w:rPr>
        <w:t>n concordancia</w:t>
      </w:r>
      <w:r w:rsidR="005F54E7">
        <w:rPr>
          <w:rFonts w:ascii="Arial" w:hAnsi="Arial" w:cs="Arial"/>
          <w:sz w:val="22"/>
        </w:rPr>
        <w:t xml:space="preserve">, en </w:t>
      </w:r>
      <w:r w:rsidR="00B22F82">
        <w:rPr>
          <w:rFonts w:ascii="Arial" w:hAnsi="Arial" w:cs="Arial"/>
          <w:sz w:val="22"/>
        </w:rPr>
        <w:t>los</w:t>
      </w:r>
      <w:r w:rsidR="00B22F82" w:rsidRPr="00561891">
        <w:rPr>
          <w:rFonts w:ascii="Arial" w:hAnsi="Arial" w:cs="Arial"/>
          <w:sz w:val="22"/>
        </w:rPr>
        <w:t xml:space="preserve"> concepto</w:t>
      </w:r>
      <w:r w:rsidR="00B22F82">
        <w:rPr>
          <w:rFonts w:ascii="Arial" w:hAnsi="Arial" w:cs="Arial"/>
          <w:sz w:val="22"/>
        </w:rPr>
        <w:t>s</w:t>
      </w:r>
      <w:r w:rsidR="00B22F82" w:rsidRPr="00561891">
        <w:rPr>
          <w:rFonts w:ascii="Arial" w:hAnsi="Arial" w:cs="Arial"/>
          <w:sz w:val="22"/>
        </w:rPr>
        <w:t xml:space="preserve"> C-344 </w:t>
      </w:r>
      <w:r w:rsidR="00B22F82">
        <w:rPr>
          <w:rFonts w:ascii="Arial" w:hAnsi="Arial" w:cs="Arial"/>
          <w:sz w:val="22"/>
        </w:rPr>
        <w:t xml:space="preserve">y C-414 de 2020 </w:t>
      </w:r>
      <w:r w:rsidR="00B22F82" w:rsidRPr="00561891">
        <w:rPr>
          <w:rFonts w:ascii="Arial" w:hAnsi="Arial" w:cs="Arial"/>
          <w:sz w:val="22"/>
        </w:rPr>
        <w:t>emitido</w:t>
      </w:r>
      <w:r w:rsidR="00B22F82">
        <w:rPr>
          <w:rFonts w:ascii="Arial" w:hAnsi="Arial" w:cs="Arial"/>
          <w:sz w:val="22"/>
        </w:rPr>
        <w:t>s</w:t>
      </w:r>
      <w:r w:rsidR="00B22F82" w:rsidRPr="00561891">
        <w:rPr>
          <w:rFonts w:ascii="Arial" w:hAnsi="Arial" w:cs="Arial"/>
          <w:sz w:val="22"/>
        </w:rPr>
        <w:t xml:space="preserve"> por esta Agencia, en relación con el tema de la supervisión, </w:t>
      </w:r>
      <w:r w:rsidR="000440F3">
        <w:rPr>
          <w:rFonts w:ascii="Arial" w:hAnsi="Arial" w:cs="Arial"/>
          <w:sz w:val="22"/>
        </w:rPr>
        <w:t xml:space="preserve">se </w:t>
      </w:r>
      <w:r w:rsidR="00B22F82" w:rsidRPr="00561891">
        <w:rPr>
          <w:rFonts w:ascii="Arial" w:hAnsi="Arial" w:cs="Arial"/>
          <w:sz w:val="22"/>
        </w:rPr>
        <w:t>consideró que la entidad estatal</w:t>
      </w:r>
      <w:r w:rsidR="00B22F82">
        <w:rPr>
          <w:rFonts w:ascii="Arial" w:hAnsi="Arial" w:cs="Arial"/>
          <w:sz w:val="22"/>
        </w:rPr>
        <w:t xml:space="preserve"> únicamente</w:t>
      </w:r>
      <w:r w:rsidR="00B22F82" w:rsidRPr="00561891">
        <w:rPr>
          <w:rFonts w:ascii="Arial" w:hAnsi="Arial" w:cs="Arial"/>
          <w:sz w:val="22"/>
        </w:rPr>
        <w:t xml:space="preserve"> podrá contratar personal, a través de los contratos de prestación de servicios que sean requeridos</w:t>
      </w:r>
      <w:r w:rsidR="00B22F82">
        <w:rPr>
          <w:rFonts w:ascii="Arial" w:hAnsi="Arial" w:cs="Arial"/>
          <w:sz w:val="22"/>
        </w:rPr>
        <w:t xml:space="preserve">, en caso de necesitarlo como apoyo a la gestión en la supervisión, </w:t>
      </w:r>
      <w:r w:rsidR="00B22F82">
        <w:rPr>
          <w:rFonts w:ascii="Arial" w:eastAsia="Calibri" w:hAnsi="Arial" w:cs="Arial"/>
          <w:color w:val="000000" w:themeColor="text1"/>
          <w:sz w:val="22"/>
          <w:lang w:val="es-ES"/>
        </w:rPr>
        <w:t xml:space="preserve">sin que esto resulte en una delegación del ejercicio de función pública que conlleva la responsabilidad intransferible de supervisar los contratos estatales. </w:t>
      </w:r>
      <w:r w:rsidR="00B22F82" w:rsidRPr="00561891">
        <w:rPr>
          <w:rFonts w:ascii="Arial" w:hAnsi="Arial" w:cs="Arial"/>
          <w:sz w:val="22"/>
        </w:rPr>
        <w:t xml:space="preserve">Esto quiere decir que existe la posibilidad de contratar apoyo para la función de supervisión, pero no para el </w:t>
      </w:r>
      <w:r w:rsidR="00B22F82" w:rsidRPr="00561891">
        <w:rPr>
          <w:rFonts w:ascii="Arial" w:hAnsi="Arial" w:cs="Arial"/>
          <w:sz w:val="22"/>
        </w:rPr>
        <w:lastRenderedPageBreak/>
        <w:t xml:space="preserve">ejercicio directo de la misma, ya que </w:t>
      </w:r>
      <w:r w:rsidR="00B22F82">
        <w:rPr>
          <w:rFonts w:ascii="Arial" w:hAnsi="Arial" w:cs="Arial"/>
          <w:sz w:val="22"/>
        </w:rPr>
        <w:t xml:space="preserve">como se señaló anteriormente, </w:t>
      </w:r>
      <w:r w:rsidR="00B22F82" w:rsidRPr="00561891">
        <w:rPr>
          <w:rFonts w:ascii="Arial" w:hAnsi="Arial" w:cs="Arial"/>
          <w:sz w:val="22"/>
        </w:rPr>
        <w:t>esa función está en cabeza de la entidad estatal y no puede transferirse a un particular contratado para tal fin.</w:t>
      </w:r>
    </w:p>
    <w:p w14:paraId="0A15A445" w14:textId="1B23BDC4" w:rsidR="003321E9" w:rsidRPr="0020782C" w:rsidRDefault="00DB27CE" w:rsidP="003321E9">
      <w:pPr>
        <w:pStyle w:val="Sinespaciado"/>
        <w:spacing w:before="120" w:line="276" w:lineRule="auto"/>
        <w:ind w:firstLine="709"/>
        <w:jc w:val="both"/>
        <w:rPr>
          <w:rFonts w:ascii="Arial" w:hAnsi="Arial" w:cs="Arial"/>
          <w:sz w:val="22"/>
        </w:rPr>
      </w:pPr>
      <w:r>
        <w:rPr>
          <w:rFonts w:ascii="Arial" w:hAnsi="Arial" w:cs="Arial"/>
          <w:sz w:val="22"/>
        </w:rPr>
        <w:t>De acuerdo con la anterior, el</w:t>
      </w:r>
      <w:r w:rsidR="003321E9" w:rsidRPr="0020782C">
        <w:rPr>
          <w:rFonts w:ascii="Arial" w:hAnsi="Arial" w:cs="Arial"/>
          <w:sz w:val="22"/>
        </w:rPr>
        <w:t xml:space="preserve"> Consejo de Estado, </w:t>
      </w:r>
      <w:r>
        <w:rPr>
          <w:rFonts w:ascii="Arial" w:hAnsi="Arial" w:cs="Arial"/>
          <w:sz w:val="22"/>
        </w:rPr>
        <w:t>ha</w:t>
      </w:r>
      <w:r w:rsidR="003321E9" w:rsidRPr="0020782C">
        <w:rPr>
          <w:rFonts w:ascii="Arial" w:hAnsi="Arial" w:cs="Arial"/>
          <w:sz w:val="22"/>
        </w:rPr>
        <w:t xml:space="preserve"> consider</w:t>
      </w:r>
      <w:r w:rsidR="005E2C96">
        <w:rPr>
          <w:rFonts w:ascii="Arial" w:hAnsi="Arial" w:cs="Arial"/>
          <w:sz w:val="22"/>
        </w:rPr>
        <w:t>ado</w:t>
      </w:r>
      <w:r w:rsidR="003321E9" w:rsidRPr="0020782C">
        <w:rPr>
          <w:rFonts w:ascii="Arial" w:hAnsi="Arial" w:cs="Arial"/>
          <w:sz w:val="22"/>
        </w:rPr>
        <w:t xml:space="preserve"> que la calidad de supervisor la tienen los funcionarios de la entidad y no los contratistas. Esto, en los siguientes términos:</w:t>
      </w:r>
    </w:p>
    <w:p w14:paraId="7B4BA2BC" w14:textId="77777777" w:rsidR="003321E9" w:rsidRPr="0020782C" w:rsidRDefault="003321E9" w:rsidP="003321E9">
      <w:pPr>
        <w:pStyle w:val="Sinespaciado"/>
        <w:spacing w:before="120" w:line="276" w:lineRule="auto"/>
        <w:ind w:firstLine="709"/>
        <w:jc w:val="both"/>
        <w:rPr>
          <w:rFonts w:ascii="Arial" w:hAnsi="Arial" w:cs="Arial"/>
          <w:sz w:val="22"/>
        </w:rPr>
      </w:pPr>
    </w:p>
    <w:p w14:paraId="1FAF04EE" w14:textId="58E02742" w:rsidR="003321E9" w:rsidRPr="0020782C" w:rsidRDefault="003321E9" w:rsidP="003321E9">
      <w:pPr>
        <w:pStyle w:val="Sinespaciado"/>
        <w:ind w:left="709" w:right="709"/>
        <w:jc w:val="both"/>
        <w:rPr>
          <w:rFonts w:ascii="Arial" w:hAnsi="Arial" w:cs="Arial"/>
          <w:sz w:val="21"/>
          <w:szCs w:val="21"/>
        </w:rPr>
      </w:pPr>
      <w:r w:rsidRPr="0020782C">
        <w:rPr>
          <w:rFonts w:ascii="Arial" w:hAnsi="Arial" w:cs="Arial"/>
          <w:sz w:val="21"/>
          <w:szCs w:val="21"/>
        </w:rPr>
        <w:t xml:space="preserve">De </w:t>
      </w:r>
      <w:proofErr w:type="gramStart"/>
      <w:r w:rsidRPr="0020782C">
        <w:rPr>
          <w:rFonts w:ascii="Arial" w:hAnsi="Arial" w:cs="Arial"/>
          <w:sz w:val="21"/>
          <w:szCs w:val="21"/>
        </w:rPr>
        <w:t>entrada</w:t>
      </w:r>
      <w:proofErr w:type="gramEnd"/>
      <w:r w:rsidRPr="0020782C">
        <w:rPr>
          <w:rFonts w:ascii="Arial" w:hAnsi="Arial" w:cs="Arial"/>
          <w:sz w:val="21"/>
          <w:szCs w:val="21"/>
        </w:rPr>
        <w:t xml:space="preserve">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185CD10A" w14:textId="77777777" w:rsidR="003321E9" w:rsidRPr="0020782C" w:rsidRDefault="003321E9" w:rsidP="003321E9">
      <w:pPr>
        <w:pStyle w:val="Sinespaciado"/>
        <w:ind w:left="709" w:right="709"/>
        <w:jc w:val="both"/>
        <w:rPr>
          <w:rFonts w:ascii="Arial" w:hAnsi="Arial" w:cs="Arial"/>
          <w:sz w:val="21"/>
          <w:szCs w:val="21"/>
        </w:rPr>
      </w:pPr>
      <w:r w:rsidRPr="0020782C">
        <w:rPr>
          <w:rFonts w:ascii="Arial" w:hAnsi="Arial" w:cs="Arial"/>
          <w:sz w:val="21"/>
          <w:szCs w:val="21"/>
        </w:rPr>
        <w:t>[…]</w:t>
      </w:r>
    </w:p>
    <w:p w14:paraId="753D12DA" w14:textId="77777777" w:rsidR="003321E9" w:rsidRPr="0020782C" w:rsidRDefault="003321E9" w:rsidP="00D8139E">
      <w:pPr>
        <w:pStyle w:val="Sinespaciado"/>
        <w:ind w:right="709"/>
        <w:jc w:val="both"/>
        <w:rPr>
          <w:rFonts w:ascii="Arial" w:hAnsi="Arial" w:cs="Arial"/>
          <w:sz w:val="21"/>
          <w:szCs w:val="21"/>
        </w:rPr>
      </w:pPr>
    </w:p>
    <w:p w14:paraId="43092B35" w14:textId="221B317A" w:rsidR="003321E9" w:rsidRPr="0020782C" w:rsidRDefault="003321E9" w:rsidP="003321E9">
      <w:pPr>
        <w:pStyle w:val="Sinespaciado"/>
        <w:ind w:left="709" w:right="709"/>
        <w:jc w:val="both"/>
        <w:rPr>
          <w:rFonts w:ascii="Arial" w:hAnsi="Arial" w:cs="Arial"/>
          <w:sz w:val="22"/>
        </w:rPr>
      </w:pPr>
      <w:r w:rsidRPr="0020782C">
        <w:rPr>
          <w:rFonts w:ascii="Arial" w:hAnsi="Arial" w:cs="Arial"/>
          <w:sz w:val="21"/>
          <w:szCs w:val="21"/>
        </w:rPr>
        <w:t xml:space="preserve">Actualmente, la cuestión se mantiene en similares condiciones, sólo </w:t>
      </w:r>
      <w:r w:rsidRPr="0020782C">
        <w:rPr>
          <w:rFonts w:ascii="Arial" w:hAnsi="Arial" w:cs="Arial"/>
          <w:i/>
          <w:iCs/>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20782C">
        <w:rPr>
          <w:rFonts w:ascii="Arial" w:hAnsi="Arial" w:cs="Arial"/>
          <w:sz w:val="21"/>
          <w:szCs w:val="21"/>
        </w:rPr>
        <w:t xml:space="preserve">, </w:t>
      </w:r>
      <w:r w:rsidRPr="00D1698F">
        <w:rPr>
          <w:rFonts w:ascii="Arial" w:hAnsi="Arial" w:cs="Arial"/>
          <w:i/>
          <w:iCs/>
          <w:sz w:val="21"/>
          <w:szCs w:val="21"/>
        </w:rPr>
        <w:t>so pena de variar de una consultoría a otra tipología diferente y, por consiguiente, de eludir procesos de selección</w:t>
      </w:r>
      <w:r w:rsidRPr="0020782C">
        <w:rPr>
          <w:rFonts w:ascii="Arial" w:hAnsi="Arial" w:cs="Arial"/>
          <w:sz w:val="21"/>
          <w:szCs w:val="21"/>
        </w:rPr>
        <w:t>. Por su parte, se hablará de interventor cuando se trate de una vigilancia externa o contratada.</w:t>
      </w:r>
      <w:r w:rsidRPr="0020782C">
        <w:rPr>
          <w:rFonts w:ascii="Arial" w:hAnsi="Arial" w:cs="Arial"/>
          <w:sz w:val="21"/>
          <w:szCs w:val="21"/>
        </w:rPr>
        <w:br/>
        <w:t>[Cursivas propias]</w:t>
      </w:r>
      <w:r w:rsidR="00C93E49">
        <w:rPr>
          <w:rStyle w:val="Refdenotaalpie"/>
          <w:rFonts w:ascii="Arial" w:hAnsi="Arial" w:cs="Arial"/>
          <w:sz w:val="21"/>
          <w:szCs w:val="21"/>
        </w:rPr>
        <w:footnoteReference w:id="6"/>
      </w:r>
    </w:p>
    <w:p w14:paraId="51CB6D64" w14:textId="77777777" w:rsidR="003321E9" w:rsidRPr="0020782C" w:rsidRDefault="003321E9" w:rsidP="003321E9">
      <w:pPr>
        <w:pStyle w:val="Sinespaciado"/>
        <w:spacing w:line="276" w:lineRule="auto"/>
        <w:ind w:firstLine="709"/>
        <w:jc w:val="both"/>
        <w:rPr>
          <w:rFonts w:ascii="Arial" w:hAnsi="Arial" w:cs="Arial"/>
          <w:sz w:val="22"/>
        </w:rPr>
      </w:pPr>
    </w:p>
    <w:p w14:paraId="36C6F0B4" w14:textId="16462699" w:rsidR="00571D78" w:rsidRDefault="003321E9" w:rsidP="0073109E">
      <w:pPr>
        <w:pStyle w:val="Sinespaciado"/>
        <w:spacing w:after="120" w:line="276" w:lineRule="auto"/>
        <w:ind w:firstLine="709"/>
        <w:jc w:val="both"/>
        <w:rPr>
          <w:rFonts w:ascii="Arial" w:hAnsi="Arial" w:cs="Arial"/>
          <w:sz w:val="22"/>
        </w:rPr>
      </w:pPr>
      <w:r w:rsidRPr="0020782C">
        <w:rPr>
          <w:rFonts w:ascii="Arial" w:hAnsi="Arial" w:cs="Arial"/>
          <w:sz w:val="22"/>
        </w:rPr>
        <w:t xml:space="preserve">En ese mismo sentido, la «Guía para el ejercicio de las funciones de supervisión e interventoría de los contratos suscritos por las Entidades Estatales Guía», establece que la supervisión del contrato corresponde al funcionario público de la entidad. En efecto, el referido documento </w:t>
      </w:r>
      <w:r w:rsidR="00904156">
        <w:rPr>
          <w:rFonts w:ascii="Arial" w:hAnsi="Arial" w:cs="Arial"/>
          <w:sz w:val="22"/>
        </w:rPr>
        <w:t>indica que</w:t>
      </w:r>
      <w:r w:rsidRPr="0020782C">
        <w:rPr>
          <w:rFonts w:ascii="Arial" w:hAnsi="Arial" w:cs="Arial"/>
          <w:sz w:val="22"/>
        </w:rPr>
        <w:t xml:space="preserve"> «la supervisión de los contratos estatales corresponde al funcionario público que el ordenador del gasto de la Entidad designe para ello atendiendo los principales aspectos del contrato a supervisar».</w:t>
      </w:r>
    </w:p>
    <w:p w14:paraId="043066B4" w14:textId="41737DD0" w:rsidR="003321E9" w:rsidRPr="0020782C" w:rsidRDefault="00C704C3" w:rsidP="0073109E">
      <w:pPr>
        <w:pStyle w:val="Sinespaciado"/>
        <w:spacing w:after="120" w:line="276" w:lineRule="auto"/>
        <w:ind w:firstLine="709"/>
        <w:jc w:val="both"/>
        <w:rPr>
          <w:rFonts w:ascii="Arial" w:hAnsi="Arial" w:cs="Arial"/>
          <w:sz w:val="22"/>
        </w:rPr>
      </w:pPr>
      <w:r>
        <w:rPr>
          <w:rFonts w:ascii="Arial" w:hAnsi="Arial" w:cs="Arial"/>
          <w:sz w:val="22"/>
        </w:rPr>
        <w:t>En suma</w:t>
      </w:r>
      <w:r w:rsidR="00B4589B">
        <w:rPr>
          <w:rFonts w:ascii="Arial" w:hAnsi="Arial" w:cs="Arial"/>
          <w:sz w:val="22"/>
        </w:rPr>
        <w:t xml:space="preserve">, es posible </w:t>
      </w:r>
      <w:r w:rsidR="001C396F">
        <w:rPr>
          <w:rFonts w:ascii="Arial" w:hAnsi="Arial" w:cs="Arial"/>
          <w:sz w:val="22"/>
        </w:rPr>
        <w:t>que la</w:t>
      </w:r>
      <w:r w:rsidR="00343037">
        <w:rPr>
          <w:rFonts w:ascii="Arial" w:hAnsi="Arial" w:cs="Arial"/>
          <w:sz w:val="22"/>
        </w:rPr>
        <w:t>s</w:t>
      </w:r>
      <w:r w:rsidR="001C396F">
        <w:rPr>
          <w:rFonts w:ascii="Arial" w:hAnsi="Arial" w:cs="Arial"/>
          <w:sz w:val="22"/>
        </w:rPr>
        <w:t xml:space="preserve"> entidad</w:t>
      </w:r>
      <w:r w:rsidR="00343037">
        <w:rPr>
          <w:rFonts w:ascii="Arial" w:hAnsi="Arial" w:cs="Arial"/>
          <w:sz w:val="22"/>
        </w:rPr>
        <w:t>es estatales</w:t>
      </w:r>
      <w:r w:rsidR="001C396F">
        <w:rPr>
          <w:rFonts w:ascii="Arial" w:hAnsi="Arial" w:cs="Arial"/>
          <w:sz w:val="22"/>
        </w:rPr>
        <w:t xml:space="preserve"> celebre</w:t>
      </w:r>
      <w:r w:rsidR="00343037">
        <w:rPr>
          <w:rFonts w:ascii="Arial" w:hAnsi="Arial" w:cs="Arial"/>
          <w:sz w:val="22"/>
        </w:rPr>
        <w:t>n</w:t>
      </w:r>
      <w:r w:rsidR="001C396F">
        <w:rPr>
          <w:rFonts w:ascii="Arial" w:hAnsi="Arial" w:cs="Arial"/>
          <w:sz w:val="22"/>
        </w:rPr>
        <w:t xml:space="preserve"> contratos de prestación de servicios p</w:t>
      </w:r>
      <w:r w:rsidR="00343037">
        <w:rPr>
          <w:rFonts w:ascii="Arial" w:hAnsi="Arial" w:cs="Arial"/>
          <w:sz w:val="22"/>
        </w:rPr>
        <w:t>ara apoyar las actividades de supervisión cuando así lo requieran</w:t>
      </w:r>
      <w:r w:rsidR="00A92617">
        <w:rPr>
          <w:rFonts w:ascii="Arial" w:hAnsi="Arial" w:cs="Arial"/>
          <w:sz w:val="22"/>
        </w:rPr>
        <w:t xml:space="preserve">, sin que ello implique </w:t>
      </w:r>
      <w:r w:rsidR="00A92617" w:rsidRPr="0020782C">
        <w:rPr>
          <w:rFonts w:ascii="Arial" w:eastAsia="Calibri" w:hAnsi="Arial" w:cs="Arial"/>
          <w:sz w:val="22"/>
        </w:rPr>
        <w:t>ejercer directamente la función de supervisión</w:t>
      </w:r>
      <w:r w:rsidR="00571D78">
        <w:rPr>
          <w:rFonts w:ascii="Arial" w:eastAsia="Calibri" w:hAnsi="Arial" w:cs="Arial"/>
          <w:sz w:val="22"/>
        </w:rPr>
        <w:t xml:space="preserve">, pues dicha labor corresponde a los funcionarios que la entidad designe para tal fin. </w:t>
      </w:r>
    </w:p>
    <w:p w14:paraId="1BC793F4" w14:textId="0E15817E" w:rsidR="005675C8" w:rsidRDefault="005675C8" w:rsidP="000B7C3B">
      <w:pPr>
        <w:spacing w:line="276" w:lineRule="auto"/>
        <w:ind w:right="709"/>
        <w:jc w:val="both"/>
        <w:rPr>
          <w:rFonts w:ascii="Arial" w:hAnsi="Arial" w:cs="Arial"/>
          <w:sz w:val="21"/>
          <w:szCs w:val="21"/>
          <w:lang w:val="es-CO"/>
        </w:rPr>
      </w:pPr>
    </w:p>
    <w:p w14:paraId="6A157D30" w14:textId="64416FBD" w:rsidR="000B7C3B" w:rsidRPr="000B7C3B" w:rsidRDefault="005954A1" w:rsidP="000B7C3B">
      <w:pPr>
        <w:pStyle w:val="Prrafodelista"/>
        <w:numPr>
          <w:ilvl w:val="1"/>
          <w:numId w:val="4"/>
        </w:numPr>
        <w:spacing w:line="276" w:lineRule="auto"/>
        <w:ind w:right="709"/>
        <w:jc w:val="both"/>
        <w:rPr>
          <w:rFonts w:ascii="Arial" w:hAnsi="Arial" w:cs="Arial"/>
          <w:sz w:val="21"/>
          <w:szCs w:val="21"/>
          <w:lang w:val="es-CO"/>
        </w:rPr>
      </w:pPr>
      <w:r>
        <w:rPr>
          <w:rFonts w:ascii="Arial" w:eastAsia="Calibri" w:hAnsi="Arial" w:cs="Arial"/>
          <w:b/>
          <w:bCs/>
          <w:noProof/>
          <w:color w:val="000000" w:themeColor="text1"/>
          <w:sz w:val="22"/>
        </w:rPr>
        <w:lastRenderedPageBreak/>
        <w:t>Concepto y características de los contratos de prestación de servicios</w:t>
      </w:r>
    </w:p>
    <w:p w14:paraId="57ECE529" w14:textId="7A37A0A6" w:rsidR="000B7C3B" w:rsidRDefault="000B7C3B" w:rsidP="000B7C3B">
      <w:pPr>
        <w:spacing w:line="276" w:lineRule="auto"/>
        <w:ind w:right="709"/>
        <w:jc w:val="both"/>
        <w:rPr>
          <w:rFonts w:ascii="Arial" w:hAnsi="Arial" w:cs="Arial"/>
          <w:sz w:val="21"/>
          <w:szCs w:val="21"/>
          <w:lang w:val="es-CO"/>
        </w:rPr>
      </w:pPr>
    </w:p>
    <w:p w14:paraId="1579C664" w14:textId="16D6A033" w:rsidR="006A1671" w:rsidRPr="0049345F" w:rsidRDefault="0024572A" w:rsidP="006A1671">
      <w:pPr>
        <w:spacing w:line="276" w:lineRule="auto"/>
        <w:jc w:val="both"/>
        <w:rPr>
          <w:rFonts w:ascii="Arial" w:hAnsi="Arial" w:cs="Arial"/>
          <w:color w:val="000000" w:themeColor="text1"/>
          <w:sz w:val="22"/>
        </w:rPr>
      </w:pPr>
      <w:r w:rsidRPr="0024572A">
        <w:rPr>
          <w:rFonts w:ascii="Arial" w:hAnsi="Arial" w:cs="Arial"/>
          <w:color w:val="000000" w:themeColor="text1"/>
          <w:sz w:val="22"/>
        </w:rPr>
        <w:t>El contrato de prestación de servicios es un contrato estatal típico, que se encuentra previsto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002229F1">
        <w:rPr>
          <w:rFonts w:ascii="Arial" w:hAnsi="Arial" w:cs="Arial"/>
          <w:color w:val="000000" w:themeColor="text1"/>
          <w:sz w:val="22"/>
        </w:rPr>
        <w:t xml:space="preserve"> […]</w:t>
      </w:r>
      <w:r w:rsidRPr="0024572A">
        <w:rPr>
          <w:rFonts w:ascii="Arial" w:hAnsi="Arial" w:cs="Arial"/>
          <w:color w:val="000000" w:themeColor="text1"/>
          <w:sz w:val="22"/>
        </w:rPr>
        <w:t>».</w:t>
      </w:r>
      <w:r>
        <w:rPr>
          <w:rFonts w:ascii="Arial" w:hAnsi="Arial" w:cs="Arial"/>
          <w:color w:val="000000" w:themeColor="text1"/>
          <w:sz w:val="22"/>
        </w:rPr>
        <w:t xml:space="preserve"> </w:t>
      </w:r>
      <w:r w:rsidR="006A1671" w:rsidRPr="0049345F">
        <w:rPr>
          <w:rFonts w:ascii="Arial" w:hAnsi="Arial" w:cs="Arial"/>
          <w:color w:val="000000" w:themeColor="text1"/>
          <w:sz w:val="22"/>
        </w:rPr>
        <w:t>Según lo establecido en el artículo 2, numeral 4º, literal h, de la Ley 1150 de 2007, para estos contratos se puede acudir a la modalidad de contratación directa. En efecto, la referida norma establece que:</w:t>
      </w:r>
    </w:p>
    <w:p w14:paraId="7BBCB51A" w14:textId="77777777" w:rsidR="006A1671" w:rsidRPr="0049345F" w:rsidRDefault="006A1671" w:rsidP="006A1671">
      <w:pPr>
        <w:spacing w:line="276" w:lineRule="auto"/>
        <w:jc w:val="both"/>
        <w:rPr>
          <w:rFonts w:ascii="Arial" w:hAnsi="Arial" w:cs="Arial"/>
          <w:color w:val="000000" w:themeColor="text1"/>
          <w:sz w:val="22"/>
        </w:rPr>
      </w:pPr>
    </w:p>
    <w:p w14:paraId="117CB14A" w14:textId="77777777" w:rsidR="006A1671" w:rsidRPr="0049345F" w:rsidRDefault="006A1671" w:rsidP="00FF6BD4">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6D5197DC" w14:textId="77777777" w:rsidR="00AE302B" w:rsidRDefault="00AE302B" w:rsidP="00AE302B">
      <w:pPr>
        <w:ind w:left="709" w:right="758"/>
        <w:jc w:val="both"/>
        <w:rPr>
          <w:rFonts w:ascii="Arial" w:hAnsi="Arial" w:cs="Arial"/>
          <w:color w:val="000000" w:themeColor="text1"/>
          <w:sz w:val="21"/>
          <w:szCs w:val="21"/>
        </w:rPr>
      </w:pPr>
    </w:p>
    <w:p w14:paraId="77AA2DAF" w14:textId="6A76DEE3" w:rsidR="006A1671" w:rsidRPr="0049345F" w:rsidRDefault="006A1671" w:rsidP="00FF6BD4">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037EF9A8" w14:textId="77777777" w:rsidR="00AE302B" w:rsidRDefault="00AE302B" w:rsidP="00AE302B">
      <w:pPr>
        <w:ind w:left="709" w:right="758"/>
        <w:jc w:val="both"/>
        <w:rPr>
          <w:rFonts w:ascii="Arial" w:hAnsi="Arial" w:cs="Arial"/>
          <w:color w:val="000000" w:themeColor="text1"/>
          <w:sz w:val="21"/>
          <w:szCs w:val="21"/>
        </w:rPr>
      </w:pPr>
    </w:p>
    <w:p w14:paraId="56A78F8E" w14:textId="6E3BB440" w:rsidR="006A1671" w:rsidRPr="0049345F" w:rsidRDefault="006A1671" w:rsidP="00FF6BD4">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 xml:space="preserve">4. Contratación directa. La modalidad de selección de contratación </w:t>
      </w:r>
      <w:proofErr w:type="gramStart"/>
      <w:r w:rsidRPr="0049345F">
        <w:rPr>
          <w:rFonts w:ascii="Arial" w:hAnsi="Arial" w:cs="Arial"/>
          <w:color w:val="000000" w:themeColor="text1"/>
          <w:sz w:val="21"/>
          <w:szCs w:val="21"/>
        </w:rPr>
        <w:t>directa,</w:t>
      </w:r>
      <w:proofErr w:type="gramEnd"/>
      <w:r w:rsidRPr="0049345F">
        <w:rPr>
          <w:rFonts w:ascii="Arial" w:hAnsi="Arial" w:cs="Arial"/>
          <w:color w:val="000000" w:themeColor="text1"/>
          <w:sz w:val="21"/>
          <w:szCs w:val="21"/>
        </w:rPr>
        <w:t xml:space="preserve"> solamente procederá en los siguientes casos:</w:t>
      </w:r>
    </w:p>
    <w:p w14:paraId="5D219172" w14:textId="77777777" w:rsidR="00AE302B" w:rsidRDefault="00AE302B" w:rsidP="00AE302B">
      <w:pPr>
        <w:ind w:left="709" w:right="758"/>
        <w:jc w:val="both"/>
        <w:rPr>
          <w:rFonts w:ascii="Arial" w:hAnsi="Arial" w:cs="Arial"/>
          <w:color w:val="000000" w:themeColor="text1"/>
          <w:sz w:val="21"/>
          <w:szCs w:val="21"/>
        </w:rPr>
      </w:pPr>
    </w:p>
    <w:p w14:paraId="753B1386" w14:textId="393C65FE" w:rsidR="006A1671" w:rsidRPr="0049345F" w:rsidRDefault="006A1671" w:rsidP="00FF6BD4">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7EE363BF" w14:textId="77777777" w:rsidR="00AE302B" w:rsidRDefault="00AE302B" w:rsidP="00AE302B">
      <w:pPr>
        <w:ind w:left="709" w:right="758"/>
        <w:jc w:val="both"/>
        <w:rPr>
          <w:rFonts w:ascii="Arial" w:hAnsi="Arial" w:cs="Arial"/>
          <w:color w:val="000000" w:themeColor="text1"/>
          <w:sz w:val="21"/>
          <w:szCs w:val="21"/>
        </w:rPr>
      </w:pPr>
    </w:p>
    <w:p w14:paraId="7668ECD2" w14:textId="6BD5A9E3" w:rsidR="006A1671" w:rsidRPr="0049345F" w:rsidRDefault="006A1671" w:rsidP="00FF6BD4">
      <w:pPr>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325218EB" w14:textId="77777777" w:rsidR="006A1671" w:rsidRPr="0049345F" w:rsidRDefault="006A1671" w:rsidP="006A1671">
      <w:pPr>
        <w:spacing w:line="276" w:lineRule="auto"/>
        <w:jc w:val="both"/>
        <w:rPr>
          <w:rFonts w:ascii="Arial" w:hAnsi="Arial" w:cs="Arial"/>
          <w:color w:val="000000" w:themeColor="text1"/>
          <w:sz w:val="22"/>
        </w:rPr>
      </w:pPr>
    </w:p>
    <w:p w14:paraId="0DFF40ED" w14:textId="77777777" w:rsidR="006258EE" w:rsidRPr="00285BD6" w:rsidRDefault="006A1671" w:rsidP="00D4428E">
      <w:pPr>
        <w:spacing w:before="120" w:line="276" w:lineRule="auto"/>
        <w:ind w:firstLine="709"/>
        <w:jc w:val="both"/>
        <w:rPr>
          <w:rFonts w:ascii="Arial" w:hAnsi="Arial" w:cs="Arial"/>
          <w:color w:val="000000" w:themeColor="text1"/>
          <w:sz w:val="22"/>
        </w:rPr>
      </w:pPr>
      <w:r w:rsidRPr="00285BD6">
        <w:rPr>
          <w:rFonts w:ascii="Arial" w:hAnsi="Arial" w:cs="Arial"/>
          <w:color w:val="000000" w:themeColor="text1"/>
          <w:sz w:val="22"/>
        </w:rPr>
        <w:t>Es de resaltar que la norma transcrita distingue entre los contratos de prestación de servicios profesionales y los contratos de prestación de servicios de apoyo a la gestión, tal y como se explicará. Los primeros, a la luz de la jurisprudencia unificada de la Sección Tercera del Consejo de Estado</w:t>
      </w:r>
      <w:r w:rsidRPr="00285BD6">
        <w:rPr>
          <w:rStyle w:val="Refdenotaalpie"/>
          <w:rFonts w:ascii="Arial" w:hAnsi="Arial" w:cs="Arial"/>
          <w:color w:val="000000" w:themeColor="text1"/>
          <w:sz w:val="22"/>
        </w:rPr>
        <w:footnoteReference w:id="7"/>
      </w:r>
      <w:r w:rsidRPr="00285BD6">
        <w:rPr>
          <w:rFonts w:ascii="Arial" w:hAnsi="Arial" w:cs="Arial"/>
          <w:color w:val="000000" w:themeColor="text1"/>
          <w:sz w:val="22"/>
        </w:rPr>
        <w:t xml:space="preserve">, se denominan contratos propiamente dichos de prestación de servicios profesionales, y son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w:t>
      </w:r>
      <w:r w:rsidRPr="00285BD6">
        <w:rPr>
          <w:rFonts w:ascii="Arial" w:hAnsi="Arial" w:cs="Arial"/>
          <w:color w:val="000000" w:themeColor="text1"/>
          <w:sz w:val="22"/>
        </w:rPr>
        <w:lastRenderedPageBreak/>
        <w:t>ordenamiento jurídico como profesionales». Este tipo de contrato, entonces, se caracteriza porque su objeto guarda relación con el desarrollo de actividades que demandan competencias y habilidades profesionales o especializadas de la persona natural o jurídica a contratar, de manera «que se trata de un saber intelectivo cualificado».</w:t>
      </w:r>
      <w:r w:rsidR="00406EED" w:rsidRPr="00285BD6">
        <w:rPr>
          <w:rFonts w:ascii="Arial" w:hAnsi="Arial" w:cs="Arial"/>
          <w:color w:val="000000" w:themeColor="text1"/>
          <w:sz w:val="22"/>
        </w:rPr>
        <w:t xml:space="preserve"> </w:t>
      </w:r>
    </w:p>
    <w:p w14:paraId="23ED71EA" w14:textId="77BC4DBD" w:rsidR="006A1671" w:rsidRPr="0049345F" w:rsidRDefault="00D4428E" w:rsidP="00D4428E">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Los segundos, son denominados contratos de prestación de servicios de simple apoyo a la gestión</w:t>
      </w:r>
      <w:r w:rsidRPr="0049345F">
        <w:rPr>
          <w:rStyle w:val="Refdenotaalpie"/>
          <w:rFonts w:ascii="Arial" w:hAnsi="Arial" w:cs="Arial"/>
          <w:color w:val="000000" w:themeColor="text1"/>
          <w:sz w:val="22"/>
        </w:rPr>
        <w:footnoteReference w:id="8"/>
      </w:r>
      <w:r w:rsidRPr="0049345F">
        <w:rPr>
          <w:rFonts w:ascii="Arial" w:hAnsi="Arial" w:cs="Arial"/>
          <w:color w:val="000000" w:themeColor="text1"/>
          <w:sz w:val="22"/>
        </w:rPr>
        <w:t xml:space="preserve">. Estos, según lo que establece el artículo 2.2.1.2.1.4.9. del Decreto 1082 de 2015, corresponden a «aquellos de naturaleza intelectual diferentes a los de consultoría que se derivan del cumplimiento de las funciones de la Entidad Estatal, así como los relacionados con actividades operativas, logísticas, o asistenciales». Son servicios de apoyo a la gestión todos aquellos servicios que involucren actividades requeridas para la entidad estatal y que impliquen el desempeño de un esfuerzo o actividad de apoyo, acompañamiento o soporte, que puede ser de carácter técnico, operacional, o logístico, y que tiendan a satisfacer las necesidades relacionadas con la gestión administrativa o funcionamiento de entidad. La ejecución de esos contratos, entonces, no implica conocimientos profesionales. </w:t>
      </w:r>
    </w:p>
    <w:p w14:paraId="6737D155" w14:textId="094D41AA" w:rsidR="006A1671" w:rsidRPr="0049345F" w:rsidRDefault="009D67F1" w:rsidP="006A1671">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 partir de disposiciones de rango legal y reglamentario que complementan su regulación y de los pronunciamientos judiciales</w:t>
      </w:r>
      <w:r w:rsidR="005135A9">
        <w:rPr>
          <w:rStyle w:val="Refdenotaalpie"/>
          <w:rFonts w:ascii="Arial" w:hAnsi="Arial" w:cs="Arial"/>
          <w:color w:val="000000" w:themeColor="text1"/>
          <w:sz w:val="22"/>
        </w:rPr>
        <w:footnoteReference w:id="9"/>
      </w:r>
      <w:r>
        <w:rPr>
          <w:rFonts w:ascii="Arial" w:hAnsi="Arial" w:cs="Arial"/>
          <w:color w:val="000000" w:themeColor="text1"/>
          <w:sz w:val="22"/>
        </w:rPr>
        <w:t xml:space="preserve"> más destacados, es posible resaltar las siguientes características de</w:t>
      </w:r>
      <w:r w:rsidR="00DF537C">
        <w:rPr>
          <w:rFonts w:ascii="Arial" w:hAnsi="Arial" w:cs="Arial"/>
          <w:color w:val="000000" w:themeColor="text1"/>
          <w:sz w:val="22"/>
        </w:rPr>
        <w:t xml:space="preserve"> este contrato</w:t>
      </w:r>
      <w:r w:rsidR="006A1671" w:rsidRPr="0049345F">
        <w:rPr>
          <w:rFonts w:ascii="Arial" w:hAnsi="Arial" w:cs="Arial"/>
          <w:color w:val="000000" w:themeColor="text1"/>
          <w:sz w:val="22"/>
        </w:rPr>
        <w:t>:</w:t>
      </w:r>
    </w:p>
    <w:p w14:paraId="636693FA" w14:textId="77777777" w:rsidR="006A1671" w:rsidRPr="0049345F" w:rsidRDefault="006A1671" w:rsidP="006A167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i) Pueden ser celebrados por cualquier entidad estatal que tenga capacidad para contratar, en los términos del artículo 2, numeral 1º, de la Ley 80 de 1993; </w:t>
      </w:r>
    </w:p>
    <w:p w14:paraId="7147BF73" w14:textId="37F02BC8" w:rsidR="006A1671" w:rsidRPr="00E21A57" w:rsidRDefault="006A1671" w:rsidP="006A167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ii) </w:t>
      </w:r>
      <w:r w:rsidRPr="00E21A57">
        <w:rPr>
          <w:rFonts w:ascii="Arial" w:hAnsi="Arial" w:cs="Arial"/>
          <w:color w:val="000000" w:themeColor="text1"/>
          <w:sz w:val="22"/>
        </w:rPr>
        <w:t xml:space="preserve">Se pueden celebrar con personas naturales o con personas jurídicas. Con aquellas para desarrollar actividades relacionadas con la administración o el funcionamiento de la entidad, siempre que estas no puedan realizarse con personal de planta o requieran conocimientos especializados. Con las personas jurídicas, por disposición del artículo 2, numeral 4º, literal h, de la Ley 1150 de 2007 y del artículo 2.2.1.2.1.4.9. del Decreto 1082 de 2015. Esta última norma establece que </w:t>
      </w:r>
      <w:r w:rsidRPr="001123AE">
        <w:rPr>
          <w:rFonts w:ascii="Arial" w:hAnsi="Arial" w:cs="Arial"/>
          <w:color w:val="000000" w:themeColor="text1"/>
          <w:sz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Pr="00E21A57">
        <w:rPr>
          <w:rFonts w:ascii="Arial" w:hAnsi="Arial" w:cs="Arial"/>
          <w:color w:val="000000" w:themeColor="text1"/>
          <w:sz w:val="22"/>
        </w:rPr>
        <w:t xml:space="preserve">». </w:t>
      </w:r>
    </w:p>
    <w:p w14:paraId="6888929D" w14:textId="632A72BA" w:rsidR="006A1671" w:rsidRPr="00FF6BD4" w:rsidRDefault="006A1671" w:rsidP="006A1671">
      <w:pPr>
        <w:spacing w:before="120" w:line="276" w:lineRule="auto"/>
        <w:ind w:firstLine="709"/>
        <w:jc w:val="both"/>
        <w:rPr>
          <w:color w:val="000000" w:themeColor="text1"/>
          <w:sz w:val="22"/>
        </w:rPr>
      </w:pPr>
      <w:r w:rsidRPr="00E21A57">
        <w:rPr>
          <w:rFonts w:ascii="Arial" w:hAnsi="Arial" w:cs="Arial"/>
          <w:color w:val="000000" w:themeColor="text1"/>
          <w:sz w:val="22"/>
        </w:rPr>
        <w:t xml:space="preserve">La Sala de Consulta y Servicio Civil del Consejo de Estado, aseguró que el contrato de prestación de servicios «[…] puede celebrarse tanto con personas jurídicas como naturales, en este </w:t>
      </w:r>
      <w:r w:rsidRPr="00285BD6">
        <w:rPr>
          <w:rFonts w:ascii="Arial" w:hAnsi="Arial" w:cs="Arial"/>
          <w:color w:val="000000" w:themeColor="text1"/>
          <w:sz w:val="22"/>
        </w:rPr>
        <w:t xml:space="preserve">último caso, siempre y cuando las actividades contratadas no pueden cumplirse con personal de planta o cuando las labores requeridas exigen conocimientos </w:t>
      </w:r>
      <w:r w:rsidRPr="00285BD6">
        <w:rPr>
          <w:rFonts w:ascii="Arial" w:hAnsi="Arial" w:cs="Arial"/>
          <w:color w:val="000000" w:themeColor="text1"/>
          <w:sz w:val="22"/>
        </w:rPr>
        <w:lastRenderedPageBreak/>
        <w:t>especializados de los que no disponen los servidores de la entidad»</w:t>
      </w:r>
      <w:r w:rsidR="00BE67C3" w:rsidRPr="00285BD6">
        <w:rPr>
          <w:rStyle w:val="Refdenotaalpie"/>
          <w:rFonts w:ascii="Arial" w:hAnsi="Arial" w:cs="Arial"/>
          <w:color w:val="000000" w:themeColor="text1"/>
          <w:sz w:val="22"/>
        </w:rPr>
        <w:footnoteReference w:id="10"/>
      </w:r>
      <w:r w:rsidRPr="00285BD6">
        <w:rPr>
          <w:rFonts w:ascii="Arial" w:hAnsi="Arial" w:cs="Arial"/>
          <w:color w:val="000000" w:themeColor="text1"/>
          <w:sz w:val="22"/>
        </w:rPr>
        <w:t>. Así también lo consideró la Corte Constitucional</w:t>
      </w:r>
      <w:r w:rsidR="00875ED8" w:rsidRPr="00285BD6">
        <w:rPr>
          <w:rFonts w:ascii="Arial" w:hAnsi="Arial" w:cs="Arial"/>
          <w:color w:val="000000" w:themeColor="text1"/>
          <w:sz w:val="22"/>
        </w:rPr>
        <w:t xml:space="preserve"> en su jurisprudencia</w:t>
      </w:r>
      <w:r w:rsidRPr="00285BD6">
        <w:rPr>
          <w:rFonts w:ascii="Arial" w:hAnsi="Arial" w:cs="Arial"/>
          <w:color w:val="000000" w:themeColor="text1"/>
          <w:sz w:val="22"/>
        </w:rPr>
        <w:t>, al referirse a las diferencias entre los contratos de trabajo y de prestación de servicios, resaltó que en el caso de estos últimos «la actividad independiente desarrollada, puede provenir de una persona jurídica con la que no existe el elemento de la subordinación laboral o dependencia consistente en la potestad de impartir órdenes en la ejecución de la labor contratada»</w:t>
      </w:r>
      <w:r w:rsidR="0023386E" w:rsidRPr="00285BD6">
        <w:rPr>
          <w:rStyle w:val="Refdenotaalpie"/>
          <w:rFonts w:ascii="Arial" w:hAnsi="Arial" w:cs="Arial"/>
          <w:color w:val="000000" w:themeColor="text1"/>
          <w:sz w:val="22"/>
        </w:rPr>
        <w:footnoteReference w:id="11"/>
      </w:r>
      <w:r w:rsidR="00251CB9" w:rsidRPr="00285BD6">
        <w:rPr>
          <w:rFonts w:ascii="Arial" w:hAnsi="Arial" w:cs="Arial"/>
          <w:color w:val="000000" w:themeColor="text1"/>
          <w:sz w:val="22"/>
        </w:rPr>
        <w:t xml:space="preserve">, fallo que, </w:t>
      </w:r>
      <w:r w:rsidRPr="00285BD6">
        <w:rPr>
          <w:rFonts w:ascii="Arial" w:hAnsi="Arial" w:cs="Arial"/>
          <w:color w:val="000000" w:themeColor="text1"/>
          <w:sz w:val="22"/>
        </w:rPr>
        <w:t xml:space="preserve">a su vez, fue citado, y sus fundamentos acogidos, por </w:t>
      </w:r>
      <w:r w:rsidR="009F098D" w:rsidRPr="00285BD6">
        <w:rPr>
          <w:rFonts w:ascii="Arial" w:hAnsi="Arial" w:cs="Arial"/>
          <w:color w:val="000000" w:themeColor="text1"/>
          <w:sz w:val="22"/>
        </w:rPr>
        <w:t xml:space="preserve">el </w:t>
      </w:r>
      <w:r w:rsidRPr="00285BD6">
        <w:rPr>
          <w:rFonts w:ascii="Arial" w:hAnsi="Arial" w:cs="Arial"/>
          <w:color w:val="000000" w:themeColor="text1"/>
          <w:sz w:val="22"/>
        </w:rPr>
        <w:t>Consejo de Estado</w:t>
      </w:r>
      <w:r w:rsidR="009F098D" w:rsidRPr="00285BD6">
        <w:rPr>
          <w:rStyle w:val="Refdenotaalpie"/>
          <w:rFonts w:ascii="Arial" w:hAnsi="Arial" w:cs="Arial"/>
          <w:color w:val="000000" w:themeColor="text1"/>
          <w:sz w:val="22"/>
        </w:rPr>
        <w:footnoteReference w:id="12"/>
      </w:r>
      <w:r w:rsidRPr="00285BD6">
        <w:rPr>
          <w:rFonts w:ascii="Arial" w:hAnsi="Arial" w:cs="Arial"/>
          <w:color w:val="000000" w:themeColor="text1"/>
          <w:sz w:val="22"/>
        </w:rPr>
        <w:t>.</w:t>
      </w:r>
    </w:p>
    <w:p w14:paraId="5A6D8A58" w14:textId="77777777" w:rsidR="006A1671" w:rsidRPr="0049345F" w:rsidRDefault="006A1671" w:rsidP="006A1671">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iii</w:t>
      </w:r>
      <w:proofErr w:type="spellEnd"/>
      <w:r w:rsidRPr="0049345F">
        <w:rPr>
          <w:rFonts w:ascii="Arial" w:hAnsi="Arial" w:cs="Arial"/>
          <w:color w:val="000000" w:themeColor="text1"/>
          <w:sz w:val="22"/>
        </w:rPr>
        <w:t>) Tienen por objeto desarrollar actividades relacionadas con la atención de los negocios o el cumplimiento de las funciones a cargo de la entidad contratante, siempre que tales actividades o funciones no puedan cumplirse con el personal de planta, bien por ser insuficiente o bien porque se requieran conocimientos especializados;</w:t>
      </w:r>
    </w:p>
    <w:p w14:paraId="37612EBB" w14:textId="7732BD72" w:rsidR="006A1671" w:rsidRPr="0049345F" w:rsidRDefault="006A1671" w:rsidP="006A1671">
      <w:pPr>
        <w:spacing w:before="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iv</w:t>
      </w:r>
      <w:proofErr w:type="spellEnd"/>
      <w:r w:rsidRPr="0049345F">
        <w:rPr>
          <w:rFonts w:ascii="Arial" w:hAnsi="Arial" w:cs="Arial"/>
          <w:color w:val="000000" w:themeColor="text1"/>
          <w:sz w:val="22"/>
        </w:rPr>
        <w:t xml:space="preserve">) La relación entre la entidad contratante y el contratista no es </w:t>
      </w:r>
      <w:r w:rsidR="006477A9">
        <w:rPr>
          <w:rFonts w:ascii="Arial" w:hAnsi="Arial" w:cs="Arial"/>
          <w:color w:val="000000" w:themeColor="text1"/>
          <w:sz w:val="22"/>
        </w:rPr>
        <w:t xml:space="preserve">de </w:t>
      </w:r>
      <w:r w:rsidRPr="0049345F">
        <w:rPr>
          <w:rFonts w:ascii="Arial" w:hAnsi="Arial" w:cs="Arial"/>
          <w:color w:val="000000" w:themeColor="text1"/>
          <w:sz w:val="22"/>
        </w:rPr>
        <w:t>carácter laboral;</w:t>
      </w:r>
      <w:r w:rsidR="00E40A58">
        <w:rPr>
          <w:rFonts w:ascii="Arial" w:hAnsi="Arial" w:cs="Arial"/>
          <w:color w:val="000000" w:themeColor="text1"/>
          <w:sz w:val="22"/>
        </w:rPr>
        <w:t xml:space="preserve"> </w:t>
      </w:r>
      <w:r w:rsidR="00E40A58" w:rsidRPr="003B6E82">
        <w:rPr>
          <w:rFonts w:ascii="Arial" w:hAnsi="Arial" w:cs="Arial"/>
          <w:noProof/>
          <w:color w:val="000000" w:themeColor="text1"/>
          <w:sz w:val="22"/>
        </w:rPr>
        <w:t>Si bien se celebran para obtener la prestación personal de un servicio, se diferencian del contrato de trabajo</w:t>
      </w:r>
      <w:r w:rsidR="00E40A58" w:rsidRPr="003B6E82">
        <w:rPr>
          <w:rStyle w:val="Refdenotaalpie"/>
          <w:rFonts w:ascii="Arial" w:hAnsi="Arial" w:cs="Arial"/>
          <w:noProof/>
          <w:color w:val="000000" w:themeColor="text1"/>
          <w:sz w:val="22"/>
        </w:rPr>
        <w:footnoteReference w:id="13"/>
      </w:r>
      <w:r w:rsidR="00E40A58" w:rsidRPr="003B6E82">
        <w:rPr>
          <w:rFonts w:ascii="Arial" w:hAnsi="Arial" w:cs="Arial"/>
          <w:noProof/>
          <w:color w:val="000000" w:themeColor="text1"/>
          <w:sz w:val="22"/>
        </w:rPr>
        <w:t xml:space="preserve"> en que quien celebra el contrato de prestación de servicios debe mantener autonomía e independencia en la ejecución de la labor, lo que significa que no debe existir </w:t>
      </w:r>
      <w:r w:rsidR="00E40A58" w:rsidRPr="003B6E82">
        <w:rPr>
          <w:rFonts w:ascii="Arial" w:hAnsi="Arial" w:cs="Arial"/>
          <w:i/>
          <w:noProof/>
          <w:color w:val="000000" w:themeColor="text1"/>
          <w:sz w:val="22"/>
        </w:rPr>
        <w:t xml:space="preserve">subordinación </w:t>
      </w:r>
      <w:r w:rsidR="00E40A58" w:rsidRPr="003B6E82">
        <w:rPr>
          <w:rFonts w:ascii="Arial" w:hAnsi="Arial" w:cs="Arial"/>
          <w:iCs/>
          <w:noProof/>
          <w:color w:val="000000" w:themeColor="text1"/>
          <w:sz w:val="22"/>
        </w:rPr>
        <w:t>ni</w:t>
      </w:r>
      <w:r w:rsidR="00E40A58" w:rsidRPr="003B6E82">
        <w:rPr>
          <w:rFonts w:ascii="Arial" w:hAnsi="Arial" w:cs="Arial"/>
          <w:i/>
          <w:noProof/>
          <w:color w:val="000000" w:themeColor="text1"/>
          <w:sz w:val="22"/>
        </w:rPr>
        <w:t xml:space="preserve"> dependencia</w:t>
      </w:r>
      <w:r w:rsidR="00E40A58" w:rsidRPr="003B6E82">
        <w:rPr>
          <w:rFonts w:ascii="Arial" w:hAnsi="Arial" w:cs="Arial"/>
          <w:iCs/>
          <w:noProof/>
          <w:color w:val="000000" w:themeColor="text1"/>
          <w:sz w:val="22"/>
        </w:rPr>
        <w:t>,</w:t>
      </w:r>
      <w:r w:rsidR="00E40A58" w:rsidRPr="003B6E82">
        <w:rPr>
          <w:rFonts w:ascii="Arial" w:hAnsi="Arial" w:cs="Arial"/>
          <w:noProof/>
          <w:color w:val="000000" w:themeColor="text1"/>
          <w:sz w:val="22"/>
        </w:rPr>
        <w:t xml:space="preserve"> que es uno de los elementos constitutivos del vínculo laboral</w:t>
      </w:r>
      <w:r w:rsidR="00903A09">
        <w:rPr>
          <w:rFonts w:ascii="Arial" w:hAnsi="Arial" w:cs="Arial"/>
          <w:noProof/>
          <w:color w:val="000000" w:themeColor="text1"/>
          <w:sz w:val="22"/>
        </w:rPr>
        <w:t>.</w:t>
      </w:r>
    </w:p>
    <w:p w14:paraId="264A90D4" w14:textId="3B2A25DD" w:rsidR="006A1671" w:rsidRPr="0049345F" w:rsidRDefault="006A1671" w:rsidP="006A167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v) </w:t>
      </w:r>
      <w:r w:rsidR="003F4C29">
        <w:rPr>
          <w:rFonts w:ascii="Arial" w:hAnsi="Arial" w:cs="Arial"/>
          <w:color w:val="000000" w:themeColor="text1"/>
          <w:sz w:val="22"/>
        </w:rPr>
        <w:t xml:space="preserve">Deben ser temporales, </w:t>
      </w:r>
      <w:r w:rsidR="005C3C02">
        <w:rPr>
          <w:rFonts w:ascii="Arial" w:hAnsi="Arial" w:cs="Arial"/>
          <w:color w:val="000000" w:themeColor="text1"/>
          <w:sz w:val="22"/>
        </w:rPr>
        <w:t>n</w:t>
      </w:r>
      <w:r w:rsidRPr="0049345F">
        <w:rPr>
          <w:rFonts w:ascii="Arial" w:hAnsi="Arial" w:cs="Arial"/>
          <w:color w:val="000000" w:themeColor="text1"/>
          <w:sz w:val="22"/>
        </w:rPr>
        <w:t>o pueden pactarse por término indefinido, esto es, deben suscribirse por el plazo estrictamente necesario e indispensable, tal y como lo dispone el artículo 32, numeral 3º, inciso 2º, de la Ley 80 de 1993</w:t>
      </w:r>
      <w:r w:rsidR="00736568">
        <w:rPr>
          <w:rFonts w:ascii="Arial" w:hAnsi="Arial" w:cs="Arial"/>
          <w:color w:val="000000" w:themeColor="text1"/>
          <w:sz w:val="22"/>
        </w:rPr>
        <w:t>.</w:t>
      </w:r>
    </w:p>
    <w:p w14:paraId="15A2E724" w14:textId="4EE214ED" w:rsidR="006A1671" w:rsidRPr="0049345F" w:rsidRDefault="006A1671" w:rsidP="006A1671">
      <w:pPr>
        <w:spacing w:before="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vi) Se rigen por las disposiciones civiles y comerciales que disciplinan el tipo negocial utilizado por la administración y las especiales previstas en dicho estatuto público contractual, según lo que se deriva de los artículos 13, 32 y 40 de la Ley 80 de 1993; </w:t>
      </w:r>
    </w:p>
    <w:p w14:paraId="258A068E" w14:textId="4194A26D" w:rsidR="006A1671" w:rsidRDefault="006A1671" w:rsidP="002617F9">
      <w:pPr>
        <w:spacing w:before="120" w:after="120" w:line="276" w:lineRule="auto"/>
        <w:ind w:firstLine="709"/>
        <w:jc w:val="both"/>
        <w:rPr>
          <w:rFonts w:ascii="Arial" w:hAnsi="Arial" w:cs="Arial"/>
          <w:color w:val="000000" w:themeColor="text1"/>
          <w:sz w:val="22"/>
        </w:rPr>
      </w:pPr>
      <w:proofErr w:type="spellStart"/>
      <w:r w:rsidRPr="0049345F">
        <w:rPr>
          <w:rFonts w:ascii="Arial" w:hAnsi="Arial" w:cs="Arial"/>
          <w:color w:val="000000" w:themeColor="text1"/>
          <w:sz w:val="22"/>
        </w:rPr>
        <w:t>vii</w:t>
      </w:r>
      <w:proofErr w:type="spellEnd"/>
      <w:r w:rsidRPr="0049345F">
        <w:rPr>
          <w:rFonts w:ascii="Arial" w:hAnsi="Arial" w:cs="Arial"/>
          <w:color w:val="000000" w:themeColor="text1"/>
          <w:sz w:val="22"/>
        </w:rPr>
        <w:t xml:space="preserve">) En estos contratos es potestativa la inclusión de cláusulas excepcionales al derecho común de terminación, interpretación y modificación unilaterales, de sometimiento a las leyes nacionales y de caducidad. </w:t>
      </w:r>
    </w:p>
    <w:p w14:paraId="6E3507BC" w14:textId="3627A5B7" w:rsidR="00036772" w:rsidRPr="003B6E82" w:rsidRDefault="00CE36D8" w:rsidP="002617F9">
      <w:pPr>
        <w:spacing w:after="120" w:line="276" w:lineRule="auto"/>
        <w:ind w:firstLine="709"/>
        <w:jc w:val="both"/>
        <w:rPr>
          <w:rFonts w:ascii="Arial" w:hAnsi="Arial" w:cs="Arial"/>
          <w:noProof/>
          <w:color w:val="000000" w:themeColor="text1"/>
          <w:sz w:val="22"/>
        </w:rPr>
      </w:pPr>
      <w:proofErr w:type="spellStart"/>
      <w:r>
        <w:rPr>
          <w:rFonts w:ascii="Arial" w:hAnsi="Arial" w:cs="Arial"/>
          <w:color w:val="000000" w:themeColor="text1"/>
          <w:sz w:val="22"/>
        </w:rPr>
        <w:lastRenderedPageBreak/>
        <w:t>ix</w:t>
      </w:r>
      <w:proofErr w:type="spellEnd"/>
      <w:r>
        <w:rPr>
          <w:rFonts w:ascii="Arial" w:hAnsi="Arial" w:cs="Arial"/>
          <w:color w:val="000000" w:themeColor="text1"/>
          <w:sz w:val="22"/>
        </w:rPr>
        <w:t xml:space="preserve">) </w:t>
      </w:r>
      <w:r w:rsidR="00036772" w:rsidRPr="003B6E82">
        <w:rPr>
          <w:rFonts w:ascii="Arial" w:hAnsi="Arial" w:cs="Arial"/>
          <w:noProof/>
          <w:color w:val="000000" w:themeColor="text1"/>
          <w:sz w:val="22"/>
        </w:rPr>
        <w:t>Se celebran a través de la modalidad de contratación directa, independientemente de la cuantía y del tipo de servicio profesional, siempre que su objeto no sea la consultoría, pues, como lo indicó el Consejo de Estado</w:t>
      </w:r>
      <w:r w:rsidR="00F30579">
        <w:rPr>
          <w:rStyle w:val="Refdenotaalpie"/>
          <w:rFonts w:ascii="Arial" w:hAnsi="Arial" w:cs="Arial"/>
          <w:noProof/>
          <w:color w:val="000000" w:themeColor="text1"/>
          <w:sz w:val="22"/>
        </w:rPr>
        <w:footnoteReference w:id="14"/>
      </w:r>
      <w:r w:rsidR="00036772" w:rsidRPr="003B6E82">
        <w:rPr>
          <w:rFonts w:ascii="Arial" w:hAnsi="Arial" w:cs="Arial"/>
          <w:noProof/>
          <w:color w:val="000000" w:themeColor="text1"/>
          <w:sz w:val="22"/>
        </w:rPr>
        <w:t>, si bien en ambos existe un componente intelectual y profesional, el objeto del contrato de consultoría es especial y debe celebrarse, por regla general, mediante un concurso de méritos</w:t>
      </w:r>
      <w:r w:rsidR="00036772" w:rsidRPr="003B6E82">
        <w:rPr>
          <w:rStyle w:val="Refdenotaalpie"/>
          <w:rFonts w:ascii="Arial" w:hAnsi="Arial" w:cs="Arial"/>
          <w:noProof/>
          <w:color w:val="000000" w:themeColor="text1"/>
          <w:sz w:val="22"/>
        </w:rPr>
        <w:footnoteReference w:id="15"/>
      </w:r>
      <w:r w:rsidR="00036772" w:rsidRPr="003B6E82">
        <w:rPr>
          <w:rFonts w:ascii="Arial" w:hAnsi="Arial" w:cs="Arial"/>
          <w:noProof/>
          <w:color w:val="000000" w:themeColor="text1"/>
          <w:sz w:val="22"/>
        </w:rPr>
        <w:t xml:space="preserve">. </w:t>
      </w:r>
    </w:p>
    <w:p w14:paraId="63B5CAE9" w14:textId="77777777" w:rsidR="00127482" w:rsidRPr="003B6E82" w:rsidRDefault="00127482" w:rsidP="00127482">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x) Para celebrarlos no se requiere estar inscrito en el Registro Único de Proponentes –RUP–, como lo expresa el artículo 6 de la Ley 1150 de 2007</w:t>
      </w:r>
      <w:r w:rsidRPr="003B6E82">
        <w:rPr>
          <w:rStyle w:val="Refdenotaalpie"/>
          <w:rFonts w:ascii="Arial" w:hAnsi="Arial" w:cs="Arial"/>
          <w:noProof/>
          <w:color w:val="000000" w:themeColor="text1"/>
          <w:sz w:val="22"/>
        </w:rPr>
        <w:footnoteReference w:id="16"/>
      </w:r>
      <w:r w:rsidRPr="003B6E82">
        <w:rPr>
          <w:rFonts w:ascii="Arial" w:hAnsi="Arial" w:cs="Arial"/>
          <w:noProof/>
          <w:color w:val="000000" w:themeColor="text1"/>
          <w:sz w:val="22"/>
        </w:rPr>
        <w:t>.</w:t>
      </w:r>
    </w:p>
    <w:p w14:paraId="7E2819EB" w14:textId="0ABBD506" w:rsidR="00CE36D8" w:rsidRPr="0049345F" w:rsidRDefault="00127482" w:rsidP="00EC0A5F">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xi) No es necesario que el Estado exija garantías</w:t>
      </w:r>
      <w:r w:rsidRPr="003B6E82">
        <w:rPr>
          <w:rStyle w:val="Refdenotaalpie"/>
          <w:rFonts w:ascii="Arial" w:hAnsi="Arial" w:cs="Arial"/>
          <w:noProof/>
          <w:color w:val="000000" w:themeColor="text1"/>
          <w:sz w:val="22"/>
        </w:rPr>
        <w:footnoteReference w:id="17"/>
      </w:r>
      <w:r w:rsidRPr="003B6E82">
        <w:rPr>
          <w:rFonts w:ascii="Arial" w:hAnsi="Arial" w:cs="Arial"/>
          <w:noProof/>
          <w:color w:val="000000" w:themeColor="text1"/>
          <w:sz w:val="22"/>
        </w:rPr>
        <w:t>.</w:t>
      </w:r>
    </w:p>
    <w:p w14:paraId="3B2A2B16" w14:textId="5B0431E2" w:rsidR="006A1671" w:rsidRPr="0049345F" w:rsidRDefault="006A1671" w:rsidP="006A1671">
      <w:pPr>
        <w:spacing w:before="120" w:line="276" w:lineRule="auto"/>
        <w:ind w:firstLine="709"/>
        <w:jc w:val="both"/>
        <w:rPr>
          <w:rFonts w:ascii="Arial" w:hAnsi="Arial" w:cs="Arial"/>
          <w:color w:val="000000" w:themeColor="text1"/>
          <w:sz w:val="22"/>
        </w:rPr>
      </w:pPr>
      <w:r w:rsidRPr="006A1671">
        <w:rPr>
          <w:rFonts w:ascii="Arial" w:hAnsi="Arial" w:cs="Arial"/>
          <w:color w:val="000000" w:themeColor="text1"/>
          <w:sz w:val="22"/>
        </w:rPr>
        <w:t>Con todo, el uso de esta figura contractual está directamente relacionado con las necesidades a satisfacer por parte de la entidad y, en cierta medida, con el principio de planeación, pues los estudios previos deben consignar con suficiencia las razones que justifican celebrar un contrato de prestación de servicios profesionales</w:t>
      </w:r>
      <w:r w:rsidR="003E688E">
        <w:rPr>
          <w:rFonts w:ascii="Arial" w:hAnsi="Arial" w:cs="Arial"/>
          <w:color w:val="000000" w:themeColor="text1"/>
          <w:sz w:val="22"/>
        </w:rPr>
        <w:t>, bien sea con una persona natural o jurídica</w:t>
      </w:r>
      <w:r w:rsidRPr="006A1671">
        <w:rPr>
          <w:rFonts w:ascii="Arial" w:hAnsi="Arial" w:cs="Arial"/>
          <w:color w:val="000000" w:themeColor="text1"/>
          <w:sz w:val="22"/>
        </w:rPr>
        <w:t>.</w:t>
      </w:r>
    </w:p>
    <w:p w14:paraId="4ECE53D0" w14:textId="77777777" w:rsidR="000B445A" w:rsidRDefault="000B445A" w:rsidP="000B7C3B">
      <w:pPr>
        <w:spacing w:line="276" w:lineRule="auto"/>
        <w:ind w:right="709"/>
        <w:jc w:val="both"/>
        <w:rPr>
          <w:rFonts w:ascii="Arial" w:hAnsi="Arial" w:cs="Arial"/>
          <w:sz w:val="21"/>
          <w:szCs w:val="21"/>
          <w:lang w:val="es-CO"/>
        </w:rPr>
      </w:pPr>
    </w:p>
    <w:p w14:paraId="45EE6DB7" w14:textId="77777777" w:rsidR="000A0AA2" w:rsidRDefault="000A0AA2" w:rsidP="000B7C3B">
      <w:pPr>
        <w:spacing w:line="276" w:lineRule="auto"/>
        <w:ind w:right="709"/>
        <w:jc w:val="both"/>
        <w:rPr>
          <w:rFonts w:ascii="Arial" w:hAnsi="Arial" w:cs="Arial"/>
          <w:sz w:val="21"/>
          <w:szCs w:val="21"/>
          <w:lang w:val="es-CO"/>
        </w:rPr>
      </w:pPr>
    </w:p>
    <w:p w14:paraId="33277158" w14:textId="77777777" w:rsidR="000A0AA2" w:rsidRDefault="000A0AA2" w:rsidP="000B7C3B">
      <w:pPr>
        <w:spacing w:line="276" w:lineRule="auto"/>
        <w:ind w:right="709"/>
        <w:jc w:val="both"/>
        <w:rPr>
          <w:rFonts w:ascii="Arial" w:hAnsi="Arial" w:cs="Arial"/>
          <w:sz w:val="21"/>
          <w:szCs w:val="21"/>
          <w:lang w:val="es-CO"/>
        </w:rPr>
      </w:pPr>
    </w:p>
    <w:p w14:paraId="5283B9E0" w14:textId="77777777" w:rsidR="005675C8" w:rsidRPr="0020782C" w:rsidRDefault="005675C8" w:rsidP="005675C8">
      <w:pPr>
        <w:pStyle w:val="Prrafodelista"/>
        <w:numPr>
          <w:ilvl w:val="0"/>
          <w:numId w:val="1"/>
        </w:numPr>
        <w:tabs>
          <w:tab w:val="left" w:pos="284"/>
        </w:tabs>
        <w:spacing w:line="276" w:lineRule="auto"/>
        <w:ind w:left="0" w:firstLine="0"/>
        <w:rPr>
          <w:rFonts w:ascii="Arial" w:hAnsi="Arial" w:cs="Arial"/>
          <w:b/>
          <w:bCs/>
          <w:sz w:val="22"/>
          <w:lang w:val="es-CO"/>
        </w:rPr>
      </w:pPr>
      <w:r w:rsidRPr="0020782C">
        <w:rPr>
          <w:rFonts w:ascii="Arial" w:hAnsi="Arial" w:cs="Arial"/>
          <w:b/>
          <w:bCs/>
          <w:sz w:val="22"/>
          <w:lang w:val="es-CO"/>
        </w:rPr>
        <w:lastRenderedPageBreak/>
        <w:t xml:space="preserve">Respuesta </w:t>
      </w:r>
    </w:p>
    <w:p w14:paraId="227EB618" w14:textId="77777777" w:rsidR="005675C8" w:rsidRPr="0020782C" w:rsidRDefault="005675C8" w:rsidP="00FF6BD4">
      <w:pPr>
        <w:jc w:val="both"/>
        <w:rPr>
          <w:rFonts w:ascii="Arial" w:hAnsi="Arial" w:cs="Arial"/>
          <w:sz w:val="22"/>
          <w:lang w:val="es-CO"/>
        </w:rPr>
      </w:pPr>
    </w:p>
    <w:p w14:paraId="4BE2BB21" w14:textId="5AF8F27C" w:rsidR="005675C8" w:rsidRPr="0020782C" w:rsidRDefault="0020782C" w:rsidP="002B2918">
      <w:pPr>
        <w:ind w:left="709" w:right="709"/>
        <w:jc w:val="both"/>
        <w:rPr>
          <w:rFonts w:ascii="Arial" w:eastAsia="Calibri" w:hAnsi="Arial" w:cs="Arial"/>
          <w:sz w:val="21"/>
          <w:szCs w:val="21"/>
        </w:rPr>
      </w:pPr>
      <w:r w:rsidRPr="0020782C">
        <w:rPr>
          <w:rFonts w:ascii="Arial" w:eastAsia="Calibri" w:hAnsi="Arial" w:cs="Arial"/>
          <w:sz w:val="21"/>
          <w:szCs w:val="21"/>
        </w:rPr>
        <w:t>«</w:t>
      </w:r>
      <w:r w:rsidR="0001651E" w:rsidRPr="0001651E">
        <w:rPr>
          <w:rFonts w:ascii="Arial" w:eastAsia="Calibri" w:hAnsi="Arial" w:cs="Arial"/>
          <w:sz w:val="21"/>
          <w:szCs w:val="21"/>
        </w:rPr>
        <w:t>La Contratación de apoyo a la supervisión de contratos de las entidades estatales, que puede adelantase a través de Contratos de Prestación de Servicios, ¿puede celebrarse con personas naturales y jurídicas?</w:t>
      </w:r>
      <w:r w:rsidRPr="0020782C">
        <w:rPr>
          <w:rFonts w:ascii="Arial" w:eastAsia="Calibri" w:hAnsi="Arial" w:cs="Arial"/>
          <w:sz w:val="21"/>
          <w:szCs w:val="21"/>
        </w:rPr>
        <w:t>»</w:t>
      </w:r>
    </w:p>
    <w:p w14:paraId="6C4AAB40" w14:textId="77777777" w:rsidR="002B2918" w:rsidRPr="0020782C" w:rsidRDefault="002B2918" w:rsidP="00FF6BD4">
      <w:pPr>
        <w:ind w:left="709" w:right="709"/>
        <w:jc w:val="both"/>
        <w:rPr>
          <w:rFonts w:ascii="Arial" w:hAnsi="Arial" w:cs="Arial"/>
          <w:sz w:val="22"/>
          <w:lang w:val="es-CO"/>
        </w:rPr>
      </w:pPr>
    </w:p>
    <w:p w14:paraId="27305ED9" w14:textId="77777777" w:rsidR="00D522B1" w:rsidRPr="00D522B1" w:rsidRDefault="00D522B1" w:rsidP="00FF6BD4">
      <w:pPr>
        <w:spacing w:after="120" w:line="276" w:lineRule="auto"/>
        <w:jc w:val="both"/>
        <w:rPr>
          <w:rFonts w:ascii="Arial" w:hAnsi="Arial" w:cs="Arial"/>
          <w:sz w:val="22"/>
        </w:rPr>
      </w:pPr>
      <w:r w:rsidRPr="00D522B1">
        <w:rPr>
          <w:rFonts w:ascii="Arial" w:hAnsi="Arial" w:cs="Arial"/>
          <w:sz w:val="22"/>
        </w:rPr>
        <w:t xml:space="preserve">Por disposición del artículo 2.2.1.2.1.4.9. del Decreto 1082 de 2015, los contratos de prestación de servicios y de apoyo a la gestión pueden celebrarse tanto con personas naturales como jurídicas. Esta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4D94C11B" w14:textId="3BADEFA0" w:rsidR="00D522B1" w:rsidRPr="00D522B1" w:rsidRDefault="007F6046" w:rsidP="00DF09F8">
      <w:pPr>
        <w:spacing w:line="276" w:lineRule="auto"/>
        <w:ind w:firstLine="709"/>
        <w:jc w:val="both"/>
        <w:rPr>
          <w:rFonts w:ascii="Arial" w:hAnsi="Arial" w:cs="Arial"/>
          <w:sz w:val="22"/>
          <w:lang w:val="es-ES"/>
        </w:rPr>
      </w:pPr>
      <w:r>
        <w:rPr>
          <w:rFonts w:ascii="Arial" w:hAnsi="Arial" w:cs="Arial"/>
          <w:sz w:val="22"/>
          <w:lang w:val="es-ES"/>
        </w:rPr>
        <w:t>De acuerdo con esto,</w:t>
      </w:r>
      <w:r w:rsidR="00D522B1" w:rsidRPr="00D522B1">
        <w:rPr>
          <w:rFonts w:ascii="Arial" w:hAnsi="Arial" w:cs="Arial"/>
          <w:sz w:val="22"/>
          <w:lang w:val="es-ES"/>
        </w:rPr>
        <w:t xml:space="preserve"> </w:t>
      </w:r>
      <w:r w:rsidR="00B930B4">
        <w:rPr>
          <w:rFonts w:ascii="Arial" w:hAnsi="Arial" w:cs="Arial"/>
          <w:sz w:val="22"/>
          <w:lang w:val="es-ES"/>
        </w:rPr>
        <w:t>es jurídicamente viable la celebración de contratos de prestación de servicios</w:t>
      </w:r>
      <w:r w:rsidR="009166E8">
        <w:rPr>
          <w:rFonts w:ascii="Arial" w:hAnsi="Arial" w:cs="Arial"/>
          <w:sz w:val="22"/>
          <w:lang w:val="es-ES"/>
        </w:rPr>
        <w:t xml:space="preserve">, con objetos asociados al apoyo </w:t>
      </w:r>
      <w:r w:rsidR="001D2732">
        <w:rPr>
          <w:rFonts w:ascii="Arial" w:hAnsi="Arial" w:cs="Arial"/>
          <w:sz w:val="22"/>
          <w:lang w:val="es-ES"/>
        </w:rPr>
        <w:t>a la supervisión de contratos, ya sea con personas naturales y jurídicas, en tanto</w:t>
      </w:r>
      <w:r w:rsidR="00A47A73">
        <w:rPr>
          <w:rFonts w:ascii="Arial" w:hAnsi="Arial" w:cs="Arial"/>
          <w:sz w:val="22"/>
          <w:lang w:val="es-ES"/>
        </w:rPr>
        <w:t xml:space="preserve"> estas estén capacitadas y sean idóneas para ejecutarlo</w:t>
      </w:r>
      <w:r w:rsidR="00B178D0">
        <w:rPr>
          <w:rFonts w:ascii="Arial" w:hAnsi="Arial" w:cs="Arial"/>
          <w:sz w:val="22"/>
          <w:lang w:val="es-ES"/>
        </w:rPr>
        <w:t xml:space="preserve">s. </w:t>
      </w:r>
      <w:r w:rsidR="00D522B1" w:rsidRPr="00D522B1">
        <w:rPr>
          <w:rFonts w:ascii="Arial" w:hAnsi="Arial" w:cs="Arial"/>
          <w:sz w:val="22"/>
          <w:lang w:val="es-ES"/>
        </w:rPr>
        <w:t xml:space="preserve">No obstante, </w:t>
      </w:r>
      <w:r w:rsidR="00B178D0">
        <w:rPr>
          <w:rFonts w:ascii="Arial" w:hAnsi="Arial" w:cs="Arial"/>
          <w:sz w:val="22"/>
          <w:lang w:val="es-ES"/>
        </w:rPr>
        <w:t>se advierte</w:t>
      </w:r>
      <w:r w:rsidR="00B178D0" w:rsidRPr="00D522B1">
        <w:rPr>
          <w:rFonts w:ascii="Arial" w:hAnsi="Arial" w:cs="Arial"/>
          <w:sz w:val="22"/>
          <w:lang w:val="es-ES"/>
        </w:rPr>
        <w:t xml:space="preserve"> </w:t>
      </w:r>
      <w:r w:rsidR="00D522B1" w:rsidRPr="00D522B1">
        <w:rPr>
          <w:rFonts w:ascii="Arial" w:hAnsi="Arial" w:cs="Arial"/>
          <w:sz w:val="22"/>
          <w:lang w:val="es-ES"/>
        </w:rPr>
        <w:t>que</w:t>
      </w:r>
      <w:r w:rsidR="00B178D0">
        <w:rPr>
          <w:rFonts w:ascii="Arial" w:hAnsi="Arial" w:cs="Arial"/>
          <w:sz w:val="22"/>
          <w:lang w:val="es-ES"/>
        </w:rPr>
        <w:t>,</w:t>
      </w:r>
      <w:r w:rsidR="00D522B1" w:rsidRPr="00D522B1">
        <w:rPr>
          <w:rFonts w:ascii="Arial" w:hAnsi="Arial" w:cs="Arial"/>
          <w:sz w:val="22"/>
          <w:lang w:val="es-ES"/>
        </w:rPr>
        <w:t xml:space="preserve"> </w:t>
      </w:r>
      <w:r w:rsidR="00D522B1" w:rsidRPr="00D522B1">
        <w:rPr>
          <w:rFonts w:ascii="Arial" w:hAnsi="Arial" w:cs="Arial"/>
          <w:sz w:val="22"/>
          <w:lang w:val="es-CO"/>
        </w:rPr>
        <w:t xml:space="preserve">la responsabilidad en el control y vigilancia de la ejecución del contrato está a cargo de la entidad estatal. Por lo tanto, esta es quien debe supervisar sus contratos mediante sus funcionarios o servidores públicos y únicamente puede contratar personal en caso de necesitarlo como «apoyo» a su gestión en la supervisión. </w:t>
      </w:r>
    </w:p>
    <w:p w14:paraId="7F1F7BB8" w14:textId="77777777" w:rsidR="005675C8" w:rsidRPr="0020782C" w:rsidRDefault="005675C8" w:rsidP="00FF6BD4">
      <w:pPr>
        <w:jc w:val="both"/>
        <w:rPr>
          <w:rFonts w:ascii="Arial" w:eastAsia="Calibri" w:hAnsi="Arial" w:cs="Arial"/>
          <w:sz w:val="22"/>
        </w:rPr>
      </w:pPr>
    </w:p>
    <w:p w14:paraId="298B667F" w14:textId="77777777" w:rsidR="005675C8" w:rsidRPr="0020782C" w:rsidRDefault="005675C8" w:rsidP="002633B0">
      <w:pPr>
        <w:spacing w:line="276" w:lineRule="auto"/>
        <w:jc w:val="both"/>
        <w:rPr>
          <w:rFonts w:ascii="Arial" w:eastAsia="Calibri" w:hAnsi="Arial" w:cs="Arial"/>
          <w:sz w:val="22"/>
        </w:rPr>
      </w:pPr>
      <w:r w:rsidRPr="0020782C">
        <w:rPr>
          <w:rFonts w:ascii="Arial" w:eastAsia="Calibri" w:hAnsi="Arial" w:cs="Arial"/>
          <w:sz w:val="22"/>
        </w:rPr>
        <w:t>Este concepto tiene el alcance previsto en el artículo 28 del Código de Procedimiento Administrativo y de lo Contencioso Administrativo.</w:t>
      </w:r>
    </w:p>
    <w:p w14:paraId="63E7DAEB" w14:textId="77777777" w:rsidR="005675C8" w:rsidRPr="0020782C" w:rsidRDefault="005675C8" w:rsidP="005675C8">
      <w:pPr>
        <w:spacing w:line="276" w:lineRule="auto"/>
        <w:ind w:firstLine="708"/>
        <w:jc w:val="both"/>
        <w:rPr>
          <w:rFonts w:ascii="Arial" w:eastAsia="Calibri" w:hAnsi="Arial" w:cs="Arial"/>
          <w:sz w:val="22"/>
        </w:rPr>
      </w:pPr>
    </w:p>
    <w:p w14:paraId="38927ACD" w14:textId="2745B6DF" w:rsidR="008D5B91" w:rsidRPr="00991E4D" w:rsidRDefault="005675C8" w:rsidP="00991E4D">
      <w:pPr>
        <w:jc w:val="both"/>
        <w:rPr>
          <w:rFonts w:ascii="Arial" w:eastAsia="Times New Roman" w:hAnsi="Arial" w:cs="Arial"/>
          <w:sz w:val="22"/>
          <w:lang w:eastAsia="es-CO"/>
        </w:rPr>
      </w:pPr>
      <w:r w:rsidRPr="0020782C">
        <w:rPr>
          <w:rFonts w:ascii="Arial" w:eastAsia="Times New Roman" w:hAnsi="Arial" w:cs="Arial"/>
          <w:sz w:val="22"/>
          <w:lang w:eastAsia="es-CO"/>
        </w:rPr>
        <w:t>Atentamente,</w:t>
      </w:r>
      <w:bookmarkEnd w:id="1"/>
    </w:p>
    <w:p w14:paraId="667DDEC4" w14:textId="125E3820" w:rsidR="008D5B91" w:rsidRDefault="00B478CF" w:rsidP="00B478CF">
      <w:pPr>
        <w:pStyle w:val="Textoindependiente"/>
        <w:spacing w:before="11"/>
        <w:ind w:left="0"/>
        <w:jc w:val="center"/>
        <w:rPr>
          <w:sz w:val="29"/>
        </w:rPr>
      </w:pPr>
      <w:r>
        <w:rPr>
          <w:noProof/>
        </w:rPr>
        <w:drawing>
          <wp:inline distT="0" distB="0" distL="0" distR="0" wp14:anchorId="439BCCB0" wp14:editId="4B084418">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5D7EC4F" w14:textId="77777777" w:rsidR="008D5B91" w:rsidRPr="00DA15BB" w:rsidRDefault="008D5B91" w:rsidP="008D5B91">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D5B91" w:rsidRPr="003F6D32" w14:paraId="4463BBFE" w14:textId="77777777" w:rsidTr="00021023">
        <w:trPr>
          <w:trHeight w:val="315"/>
        </w:trPr>
        <w:tc>
          <w:tcPr>
            <w:tcW w:w="812" w:type="dxa"/>
            <w:vAlign w:val="center"/>
            <w:hideMark/>
          </w:tcPr>
          <w:p w14:paraId="479143C7" w14:textId="77777777" w:rsidR="008D5B91" w:rsidRPr="006C15D5" w:rsidRDefault="008D5B91" w:rsidP="00021023">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AE20229" w14:textId="77777777" w:rsidR="008D5B91" w:rsidRPr="006C15D5" w:rsidRDefault="008D5B91" w:rsidP="0002102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Laura Alejandra Materón García</w:t>
            </w:r>
          </w:p>
          <w:p w14:paraId="3B79A2B5" w14:textId="77777777" w:rsidR="008D5B91" w:rsidRPr="006C15D5" w:rsidRDefault="008D5B91" w:rsidP="0002102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T2-01</w:t>
            </w:r>
            <w:r w:rsidRPr="00CD169B">
              <w:rPr>
                <w:rFonts w:ascii="Arial" w:eastAsia="Times New Roman" w:hAnsi="Arial" w:cs="Arial"/>
                <w:color w:val="000000" w:themeColor="text1"/>
                <w:sz w:val="16"/>
                <w:szCs w:val="16"/>
                <w:lang w:eastAsia="es-ES"/>
              </w:rPr>
              <w:t xml:space="preserve"> de la Subdirección de Gestión Contractual</w:t>
            </w:r>
          </w:p>
        </w:tc>
      </w:tr>
      <w:tr w:rsidR="008D5B91" w:rsidRPr="003F6D32" w14:paraId="770D348E" w14:textId="77777777" w:rsidTr="00021023">
        <w:trPr>
          <w:trHeight w:val="330"/>
        </w:trPr>
        <w:tc>
          <w:tcPr>
            <w:tcW w:w="812" w:type="dxa"/>
            <w:vAlign w:val="center"/>
            <w:hideMark/>
          </w:tcPr>
          <w:p w14:paraId="412FC8A1" w14:textId="77777777" w:rsidR="008D5B91" w:rsidRPr="006C15D5" w:rsidRDefault="008D5B91" w:rsidP="00021023">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309BA8" w14:textId="77777777" w:rsidR="008D5B91" w:rsidRPr="00CD169B" w:rsidRDefault="008D5B91" w:rsidP="0002102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Alejandro Sarmiento Cantillo</w:t>
            </w:r>
          </w:p>
          <w:p w14:paraId="20D06DB3" w14:textId="77777777" w:rsidR="008D5B91" w:rsidRPr="006C15D5" w:rsidRDefault="008D5B91" w:rsidP="0002102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T1-11</w:t>
            </w:r>
            <w:r w:rsidRPr="00CD169B">
              <w:rPr>
                <w:rFonts w:ascii="Arial" w:eastAsia="Times New Roman" w:hAnsi="Arial" w:cs="Arial"/>
                <w:color w:val="000000" w:themeColor="text1"/>
                <w:sz w:val="16"/>
                <w:szCs w:val="16"/>
                <w:lang w:eastAsia="es-ES"/>
              </w:rPr>
              <w:t xml:space="preserve"> de la Subdirección de Gestión Contractual</w:t>
            </w:r>
          </w:p>
        </w:tc>
      </w:tr>
      <w:tr w:rsidR="008D5B91" w:rsidRPr="003F6D32" w14:paraId="172ABE98" w14:textId="77777777" w:rsidTr="00021023">
        <w:trPr>
          <w:trHeight w:val="300"/>
        </w:trPr>
        <w:tc>
          <w:tcPr>
            <w:tcW w:w="812" w:type="dxa"/>
            <w:vAlign w:val="center"/>
            <w:hideMark/>
          </w:tcPr>
          <w:p w14:paraId="50A62532" w14:textId="77777777" w:rsidR="008D5B91" w:rsidRPr="006C15D5" w:rsidRDefault="008D5B91" w:rsidP="00021023">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EDC183" w14:textId="77777777" w:rsidR="008D5B91" w:rsidRPr="00CD169B" w:rsidRDefault="008D5B91" w:rsidP="00021023">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0C2589F9" w14:textId="77777777" w:rsidR="008D5B91" w:rsidRPr="006C15D5" w:rsidRDefault="008D5B91" w:rsidP="00021023">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25C95A1B" w14:textId="77777777" w:rsidR="008D5B91" w:rsidRPr="0020782C" w:rsidRDefault="008D5B91"/>
    <w:sectPr w:rsidR="008D5B91" w:rsidRPr="0020782C"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DB25" w14:textId="77777777" w:rsidR="005D203A" w:rsidRDefault="005D203A" w:rsidP="005675C8">
      <w:r>
        <w:separator/>
      </w:r>
    </w:p>
  </w:endnote>
  <w:endnote w:type="continuationSeparator" w:id="0">
    <w:p w14:paraId="285A6755" w14:textId="77777777" w:rsidR="005D203A" w:rsidRDefault="005D203A" w:rsidP="005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9DCB" w14:textId="3D1D2577" w:rsidR="004A34D2" w:rsidRDefault="00806CA9" w:rsidP="007B0854">
    <w:pPr>
      <w:pStyle w:val="Sinespaciado"/>
      <w:jc w:val="center"/>
      <w:rPr>
        <w:rFonts w:ascii="Arial" w:hAnsi="Arial" w:cs="Arial"/>
        <w:sz w:val="18"/>
        <w:szCs w:val="18"/>
      </w:rPr>
    </w:pPr>
  </w:p>
  <w:p w14:paraId="223318BB" w14:textId="77777777" w:rsidR="001A2C13" w:rsidRDefault="001A2C13" w:rsidP="007B0854">
    <w:pPr>
      <w:pStyle w:val="Sinespaciado"/>
      <w:jc w:val="center"/>
      <w:rPr>
        <w:rFonts w:ascii="Arial" w:hAnsi="Arial" w:cs="Arial"/>
        <w:sz w:val="18"/>
        <w:szCs w:val="18"/>
      </w:rPr>
    </w:pPr>
  </w:p>
  <w:p w14:paraId="73C22BD1" w14:textId="0BF8BA03" w:rsidR="007B0854" w:rsidRDefault="009D13A8"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5C5F56">
      <w:rPr>
        <w:rFonts w:ascii="Arial" w:hAnsi="Arial" w:cs="Arial"/>
        <w:noProof/>
        <w:sz w:val="18"/>
        <w:szCs w:val="18"/>
      </w:rPr>
      <w:t>1</w:t>
    </w:r>
    <w:r w:rsidRPr="00D04413">
      <w:rPr>
        <w:rFonts w:ascii="Arial" w:hAnsi="Arial" w:cs="Arial"/>
        <w:sz w:val="18"/>
        <w:szCs w:val="18"/>
      </w:rPr>
      <w:fldChar w:fldCharType="end"/>
    </w:r>
  </w:p>
  <w:p w14:paraId="7B17DE2B" w14:textId="77777777" w:rsidR="009047C5" w:rsidRDefault="063DB410" w:rsidP="007B0854">
    <w:pPr>
      <w:pStyle w:val="Piedepgina"/>
      <w:jc w:val="center"/>
      <w:rPr>
        <w:lang w:val="es-ES"/>
      </w:rPr>
    </w:pPr>
    <w:r>
      <w:rPr>
        <w:noProof/>
        <w:lang w:val="es-ES" w:eastAsia="es-ES"/>
      </w:rPr>
      <w:drawing>
        <wp:inline distT="0" distB="0" distL="0" distR="0" wp14:anchorId="3FE201C9" wp14:editId="74FA7460">
          <wp:extent cx="4241994" cy="595165"/>
          <wp:effectExtent l="0" t="0" r="6350" b="0"/>
          <wp:docPr id="193316700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DB31187" w14:textId="77777777" w:rsidR="004A34D2" w:rsidRDefault="00806CA9" w:rsidP="007B0854">
    <w:pPr>
      <w:pStyle w:val="Piedepgina"/>
      <w:jc w:val="center"/>
      <w:rPr>
        <w:lang w:val="es-ES"/>
      </w:rPr>
    </w:pPr>
  </w:p>
  <w:p w14:paraId="39B45643" w14:textId="77777777" w:rsidR="00E87BC6" w:rsidRPr="007B0854" w:rsidRDefault="00806CA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1CA" w14:textId="77777777" w:rsidR="005D203A" w:rsidRDefault="005D203A" w:rsidP="005675C8">
      <w:r>
        <w:separator/>
      </w:r>
    </w:p>
  </w:footnote>
  <w:footnote w:type="continuationSeparator" w:id="0">
    <w:p w14:paraId="2C0D3EF5" w14:textId="77777777" w:rsidR="005D203A" w:rsidRDefault="005D203A" w:rsidP="005675C8">
      <w:r>
        <w:continuationSeparator/>
      </w:r>
    </w:p>
  </w:footnote>
  <w:footnote w:id="1">
    <w:p w14:paraId="13884815" w14:textId="3A83D5B1" w:rsidR="001E55F4" w:rsidRPr="00FF6BD4" w:rsidRDefault="001E55F4" w:rsidP="001E55F4">
      <w:pPr>
        <w:pStyle w:val="Textonotapie"/>
        <w:ind w:firstLine="709"/>
        <w:jc w:val="both"/>
        <w:rPr>
          <w:rFonts w:ascii="Arial" w:hAnsi="Arial" w:cs="Arial"/>
          <w:iCs/>
          <w:color w:val="1A1A1A" w:themeColor="background1" w:themeShade="1A"/>
          <w:sz w:val="18"/>
          <w:szCs w:val="18"/>
        </w:rPr>
      </w:pPr>
      <w:r w:rsidRPr="00FF6BD4">
        <w:rPr>
          <w:rStyle w:val="Refdenotaalpie"/>
          <w:rFonts w:ascii="Arial" w:hAnsi="Arial" w:cs="Arial"/>
          <w:color w:val="1A1A1A" w:themeColor="background1" w:themeShade="1A"/>
          <w:sz w:val="18"/>
          <w:szCs w:val="18"/>
        </w:rPr>
        <w:footnoteRef/>
      </w:r>
      <w:r w:rsidRPr="00FF6BD4">
        <w:rPr>
          <w:rFonts w:ascii="Arial" w:hAnsi="Arial" w:cs="Arial"/>
          <w:color w:val="1A1A1A" w:themeColor="background1" w:themeShade="1A"/>
          <w:sz w:val="18"/>
          <w:szCs w:val="18"/>
        </w:rPr>
        <w:t xml:space="preserve"> </w:t>
      </w:r>
      <w:r w:rsidRPr="00FF6BD4">
        <w:rPr>
          <w:rFonts w:ascii="Arial" w:hAnsi="Arial" w:cs="Arial"/>
          <w:iCs/>
          <w:color w:val="1A1A1A" w:themeColor="background1" w:themeShade="1A"/>
          <w:sz w:val="18"/>
          <w:szCs w:val="18"/>
        </w:rPr>
        <w:t>Artículo 3 de la Ley 80 de 1993.</w:t>
      </w:r>
    </w:p>
  </w:footnote>
  <w:footnote w:id="2">
    <w:p w14:paraId="30EA802F" w14:textId="77777777" w:rsidR="008B4EB7" w:rsidRPr="00FF6BD4" w:rsidRDefault="008B4EB7" w:rsidP="008B4EB7">
      <w:pPr>
        <w:pStyle w:val="Textonotapie"/>
        <w:ind w:firstLine="708"/>
        <w:jc w:val="both"/>
        <w:rPr>
          <w:rFonts w:ascii="Arial" w:hAnsi="Arial" w:cs="Arial"/>
          <w:iCs/>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Pr="00FF6BD4">
        <w:rPr>
          <w:rFonts w:ascii="Arial" w:hAnsi="Arial" w:cs="Arial"/>
          <w:iCs/>
          <w:color w:val="000000" w:themeColor="text1"/>
          <w:sz w:val="18"/>
          <w:szCs w:val="18"/>
        </w:rPr>
        <w:t>Artículo 17 de la Ley 1150 de 2007.</w:t>
      </w:r>
    </w:p>
    <w:p w14:paraId="2F444B24" w14:textId="77777777" w:rsidR="008B4EB7" w:rsidRPr="00FF6BD4" w:rsidRDefault="008B4EB7" w:rsidP="008B4EB7">
      <w:pPr>
        <w:pStyle w:val="Textonotapie"/>
        <w:ind w:firstLine="708"/>
        <w:jc w:val="both"/>
        <w:rPr>
          <w:rFonts w:ascii="Arial" w:hAnsi="Arial" w:cs="Arial"/>
          <w:color w:val="000000" w:themeColor="text1"/>
          <w:sz w:val="18"/>
          <w:szCs w:val="18"/>
        </w:rPr>
      </w:pPr>
    </w:p>
  </w:footnote>
  <w:footnote w:id="3">
    <w:p w14:paraId="6A03632A" w14:textId="77777777" w:rsidR="008B4EB7" w:rsidRPr="00FF6BD4" w:rsidRDefault="008B4EB7" w:rsidP="008B4EB7">
      <w:pPr>
        <w:pStyle w:val="Textonotapie"/>
        <w:ind w:firstLine="708"/>
        <w:jc w:val="both"/>
        <w:rPr>
          <w:rFonts w:ascii="Arial" w:hAnsi="Arial" w:cs="Arial"/>
          <w:iCs/>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Pr="00FF6BD4">
        <w:rPr>
          <w:rFonts w:ascii="Arial" w:hAnsi="Arial" w:cs="Arial"/>
          <w:iCs/>
          <w:color w:val="000000" w:themeColor="text1"/>
          <w:sz w:val="18"/>
          <w:szCs w:val="18"/>
        </w:rPr>
        <w:t>Artículo 21 de la Ley 1150 de 2007.</w:t>
      </w:r>
    </w:p>
    <w:p w14:paraId="1F004037" w14:textId="77777777" w:rsidR="008B4EB7" w:rsidRPr="00FF6BD4" w:rsidRDefault="008B4EB7" w:rsidP="008B4EB7">
      <w:pPr>
        <w:pStyle w:val="Textonotapie"/>
        <w:jc w:val="both"/>
        <w:rPr>
          <w:rFonts w:ascii="Arial" w:hAnsi="Arial" w:cs="Arial"/>
          <w:color w:val="000000" w:themeColor="text1"/>
          <w:sz w:val="18"/>
          <w:szCs w:val="18"/>
        </w:rPr>
      </w:pPr>
    </w:p>
  </w:footnote>
  <w:footnote w:id="4">
    <w:p w14:paraId="67AC3E6B" w14:textId="77777777" w:rsidR="008B4EB7" w:rsidRPr="00FF6BD4" w:rsidRDefault="008B4EB7" w:rsidP="008B4EB7">
      <w:pPr>
        <w:pStyle w:val="Textonotapie"/>
        <w:ind w:firstLine="708"/>
        <w:jc w:val="both"/>
        <w:rPr>
          <w:rFonts w:ascii="Arial" w:hAnsi="Arial" w:cs="Arial"/>
          <w:iCs/>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Pr="00FF6BD4">
        <w:rPr>
          <w:rFonts w:ascii="Arial" w:hAnsi="Arial" w:cs="Arial"/>
          <w:iCs/>
          <w:color w:val="000000" w:themeColor="text1"/>
          <w:sz w:val="18"/>
          <w:szCs w:val="18"/>
        </w:rPr>
        <w:t>Artículos 83 a 86 de la Ley 1474 de 2011.</w:t>
      </w:r>
    </w:p>
    <w:p w14:paraId="55E370CD" w14:textId="77777777" w:rsidR="008B4EB7" w:rsidRPr="00FF6BD4" w:rsidRDefault="008B4EB7" w:rsidP="008B4EB7">
      <w:pPr>
        <w:pStyle w:val="Textonotapie"/>
        <w:jc w:val="both"/>
        <w:rPr>
          <w:rFonts w:ascii="Arial" w:hAnsi="Arial" w:cs="Arial"/>
          <w:color w:val="000000" w:themeColor="text1"/>
          <w:sz w:val="18"/>
          <w:szCs w:val="18"/>
        </w:rPr>
      </w:pPr>
    </w:p>
  </w:footnote>
  <w:footnote w:id="5">
    <w:p w14:paraId="116B51D3" w14:textId="1D38CAE5" w:rsidR="008B4EB7" w:rsidRPr="00FF6BD4" w:rsidRDefault="008B4EB7" w:rsidP="008B4EB7">
      <w:pPr>
        <w:pStyle w:val="Textonotapie"/>
        <w:ind w:firstLine="708"/>
        <w:jc w:val="both"/>
        <w:rPr>
          <w:rFonts w:ascii="Arial" w:hAnsi="Arial" w:cs="Arial"/>
          <w:iCs/>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00431820" w:rsidRPr="00FF6BD4">
        <w:rPr>
          <w:rFonts w:ascii="Arial" w:hAnsi="Arial" w:cs="Arial"/>
          <w:iCs/>
          <w:color w:val="000000" w:themeColor="text1"/>
          <w:sz w:val="18"/>
          <w:szCs w:val="18"/>
        </w:rPr>
        <w:t>CONSEJO DE ESTADO</w:t>
      </w:r>
      <w:r w:rsidRPr="00FF6BD4">
        <w:rPr>
          <w:rFonts w:ascii="Arial" w:hAnsi="Arial" w:cs="Arial"/>
          <w:iCs/>
          <w:color w:val="000000" w:themeColor="text1"/>
          <w:sz w:val="18"/>
          <w:szCs w:val="18"/>
        </w:rPr>
        <w:t xml:space="preserve">. Sección </w:t>
      </w:r>
      <w:r w:rsidR="00213FF1" w:rsidRPr="00FF6BD4">
        <w:rPr>
          <w:rFonts w:ascii="Arial" w:hAnsi="Arial" w:cs="Arial"/>
          <w:iCs/>
          <w:color w:val="000000" w:themeColor="text1"/>
          <w:sz w:val="18"/>
          <w:szCs w:val="18"/>
        </w:rPr>
        <w:t>Tercera</w:t>
      </w:r>
      <w:r w:rsidRPr="00FF6BD4">
        <w:rPr>
          <w:rFonts w:ascii="Arial" w:hAnsi="Arial" w:cs="Arial"/>
          <w:iCs/>
          <w:color w:val="000000" w:themeColor="text1"/>
          <w:sz w:val="18"/>
          <w:szCs w:val="18"/>
        </w:rPr>
        <w:t>. Sentencia del 27 de noviembre de 2017.</w:t>
      </w:r>
      <w:r w:rsidR="00213FF1" w:rsidRPr="00FF6BD4">
        <w:rPr>
          <w:rFonts w:ascii="Arial" w:hAnsi="Arial" w:cs="Arial"/>
          <w:iCs/>
          <w:color w:val="000000" w:themeColor="text1"/>
          <w:sz w:val="18"/>
          <w:szCs w:val="18"/>
        </w:rPr>
        <w:t xml:space="preserve"> </w:t>
      </w:r>
      <w:proofErr w:type="spellStart"/>
      <w:r w:rsidR="00213FF1" w:rsidRPr="00FF6BD4">
        <w:rPr>
          <w:rFonts w:ascii="Arial" w:hAnsi="Arial" w:cs="Arial"/>
          <w:iCs/>
          <w:color w:val="000000" w:themeColor="text1"/>
          <w:sz w:val="18"/>
          <w:szCs w:val="18"/>
        </w:rPr>
        <w:t>Exp</w:t>
      </w:r>
      <w:proofErr w:type="spellEnd"/>
      <w:r w:rsidR="00213FF1" w:rsidRPr="00FF6BD4">
        <w:rPr>
          <w:rFonts w:ascii="Arial" w:hAnsi="Arial" w:cs="Arial"/>
          <w:iCs/>
          <w:color w:val="000000" w:themeColor="text1"/>
          <w:sz w:val="18"/>
          <w:szCs w:val="18"/>
        </w:rPr>
        <w:t>. 51.802.</w:t>
      </w:r>
      <w:r w:rsidRPr="00FF6BD4">
        <w:rPr>
          <w:rFonts w:ascii="Arial" w:hAnsi="Arial" w:cs="Arial"/>
          <w:iCs/>
          <w:color w:val="000000" w:themeColor="text1"/>
          <w:sz w:val="18"/>
          <w:szCs w:val="18"/>
        </w:rPr>
        <w:t xml:space="preserve"> M.P. Jaime Orlando Santofimio. </w:t>
      </w:r>
    </w:p>
    <w:p w14:paraId="5D2ECDF6" w14:textId="77777777" w:rsidR="008B4EB7" w:rsidRPr="00FF6BD4" w:rsidRDefault="008B4EB7" w:rsidP="008B4EB7">
      <w:pPr>
        <w:pStyle w:val="Textonotapie"/>
        <w:jc w:val="both"/>
        <w:rPr>
          <w:rFonts w:ascii="Arial" w:hAnsi="Arial" w:cs="Arial"/>
          <w:color w:val="000000" w:themeColor="text1"/>
          <w:sz w:val="18"/>
          <w:szCs w:val="18"/>
          <w:lang w:val="es-CO"/>
        </w:rPr>
      </w:pPr>
    </w:p>
  </w:footnote>
  <w:footnote w:id="6">
    <w:p w14:paraId="0845DAA2" w14:textId="4D364738" w:rsidR="00C93E49" w:rsidRPr="00FF6BD4" w:rsidRDefault="00C93E49" w:rsidP="00C93E49">
      <w:pPr>
        <w:pStyle w:val="Textonotapie"/>
        <w:ind w:firstLine="709"/>
        <w:rPr>
          <w:rFonts w:ascii="Arial" w:hAnsi="Arial" w:cs="Arial"/>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w:t>
      </w:r>
      <w:r w:rsidR="003C2B81" w:rsidRPr="00FF6BD4">
        <w:rPr>
          <w:rFonts w:ascii="Arial" w:hAnsi="Arial" w:cs="Arial"/>
          <w:color w:val="000000" w:themeColor="text1"/>
          <w:sz w:val="18"/>
          <w:szCs w:val="18"/>
        </w:rPr>
        <w:t>CONSEJO DE ESTADO.</w:t>
      </w:r>
      <w:r w:rsidRPr="00FF6BD4">
        <w:rPr>
          <w:rFonts w:ascii="Arial" w:hAnsi="Arial" w:cs="Arial"/>
          <w:color w:val="000000" w:themeColor="text1"/>
          <w:sz w:val="18"/>
          <w:szCs w:val="18"/>
        </w:rPr>
        <w:t xml:space="preserve"> Sección Tercera, Subsección A. </w:t>
      </w:r>
      <w:r w:rsidR="003C2B81" w:rsidRPr="00FF6BD4">
        <w:rPr>
          <w:rFonts w:ascii="Arial" w:hAnsi="Arial" w:cs="Arial"/>
          <w:color w:val="000000" w:themeColor="text1"/>
          <w:sz w:val="18"/>
          <w:szCs w:val="18"/>
        </w:rPr>
        <w:t xml:space="preserve">Sentencia del </w:t>
      </w:r>
      <w:r w:rsidR="003C2B81" w:rsidRPr="00FF6BD4">
        <w:rPr>
          <w:rFonts w:ascii="Arial" w:hAnsi="Arial" w:cs="Arial"/>
          <w:sz w:val="18"/>
          <w:szCs w:val="18"/>
        </w:rPr>
        <w:t>12 de diciembre de 2014.</w:t>
      </w:r>
      <w:r w:rsidRPr="00FF6BD4">
        <w:rPr>
          <w:rFonts w:ascii="Arial" w:hAnsi="Arial" w:cs="Arial"/>
          <w:color w:val="000000" w:themeColor="text1"/>
          <w:sz w:val="18"/>
          <w:szCs w:val="18"/>
        </w:rPr>
        <w:t xml:space="preserve"> </w:t>
      </w:r>
      <w:proofErr w:type="spellStart"/>
      <w:r w:rsidR="003C2B81" w:rsidRPr="00FF6BD4">
        <w:rPr>
          <w:rFonts w:ascii="Arial" w:hAnsi="Arial" w:cs="Arial"/>
          <w:color w:val="000000" w:themeColor="text1"/>
          <w:sz w:val="18"/>
          <w:szCs w:val="18"/>
        </w:rPr>
        <w:t>Exp</w:t>
      </w:r>
      <w:proofErr w:type="spellEnd"/>
      <w:r w:rsidRPr="00FF6BD4">
        <w:rPr>
          <w:rFonts w:ascii="Arial" w:hAnsi="Arial" w:cs="Arial"/>
          <w:color w:val="000000" w:themeColor="text1"/>
          <w:sz w:val="18"/>
          <w:szCs w:val="18"/>
        </w:rPr>
        <w:t>. 27426. C.P. Ramiro Pazos Guerrero.</w:t>
      </w:r>
      <w:r w:rsidRPr="00FF6BD4">
        <w:rPr>
          <w:rFonts w:ascii="Arial" w:hAnsi="Arial" w:cs="Arial"/>
          <w:sz w:val="18"/>
          <w:szCs w:val="18"/>
        </w:rPr>
        <w:t xml:space="preserve"> </w:t>
      </w:r>
    </w:p>
  </w:footnote>
  <w:footnote w:id="7">
    <w:p w14:paraId="5BC3B8FE" w14:textId="373046DF" w:rsidR="006A1671" w:rsidRPr="00FF6BD4" w:rsidRDefault="006A1671" w:rsidP="006A1671">
      <w:pPr>
        <w:pStyle w:val="Textonotapie"/>
        <w:ind w:firstLine="708"/>
        <w:jc w:val="both"/>
        <w:rPr>
          <w:rFonts w:ascii="Arial" w:hAnsi="Arial" w:cs="Arial"/>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00E80FC1" w:rsidRPr="00FF6BD4">
        <w:rPr>
          <w:rFonts w:ascii="Arial" w:hAnsi="Arial" w:cs="Arial"/>
          <w:color w:val="000000" w:themeColor="text1"/>
          <w:sz w:val="18"/>
          <w:szCs w:val="18"/>
        </w:rPr>
        <w:t xml:space="preserve">CONSEJO DE ESTADO. </w:t>
      </w:r>
      <w:r w:rsidR="00F15B46" w:rsidRPr="00FF6BD4">
        <w:rPr>
          <w:rFonts w:ascii="Arial" w:hAnsi="Arial" w:cs="Arial"/>
          <w:color w:val="000000" w:themeColor="text1"/>
          <w:sz w:val="18"/>
          <w:szCs w:val="18"/>
        </w:rPr>
        <w:t xml:space="preserve">Sección Tercera. </w:t>
      </w:r>
      <w:r w:rsidRPr="00FF6BD4">
        <w:rPr>
          <w:rFonts w:ascii="Arial" w:hAnsi="Arial" w:cs="Arial"/>
          <w:color w:val="000000" w:themeColor="text1"/>
          <w:sz w:val="18"/>
          <w:szCs w:val="18"/>
        </w:rPr>
        <w:t xml:space="preserve">Sentencia de unificación del 2 de diciembre de 2013, </w:t>
      </w:r>
      <w:proofErr w:type="spellStart"/>
      <w:r w:rsidR="00F15B46" w:rsidRPr="00FF6BD4">
        <w:rPr>
          <w:rFonts w:ascii="Arial" w:hAnsi="Arial" w:cs="Arial"/>
          <w:color w:val="000000" w:themeColor="text1"/>
          <w:sz w:val="18"/>
          <w:szCs w:val="18"/>
        </w:rPr>
        <w:t>Exp</w:t>
      </w:r>
      <w:proofErr w:type="spellEnd"/>
      <w:r w:rsidR="00F15B46" w:rsidRPr="00FF6BD4">
        <w:rPr>
          <w:rFonts w:ascii="Arial" w:hAnsi="Arial" w:cs="Arial"/>
          <w:color w:val="000000" w:themeColor="text1"/>
          <w:sz w:val="18"/>
          <w:szCs w:val="18"/>
        </w:rPr>
        <w:t xml:space="preserve">. </w:t>
      </w:r>
      <w:r w:rsidRPr="00FF6BD4">
        <w:rPr>
          <w:rFonts w:ascii="Arial" w:hAnsi="Arial" w:cs="Arial"/>
          <w:color w:val="000000" w:themeColor="text1"/>
          <w:sz w:val="18"/>
          <w:szCs w:val="18"/>
        </w:rPr>
        <w:t>41719</w:t>
      </w:r>
      <w:r w:rsidR="00F15B46" w:rsidRPr="00FF6BD4">
        <w:rPr>
          <w:rFonts w:ascii="Arial" w:hAnsi="Arial" w:cs="Arial"/>
          <w:color w:val="000000" w:themeColor="text1"/>
          <w:sz w:val="18"/>
          <w:szCs w:val="18"/>
        </w:rPr>
        <w:t>.</w:t>
      </w:r>
      <w:r w:rsidRPr="00FF6BD4">
        <w:rPr>
          <w:rFonts w:ascii="Arial" w:hAnsi="Arial" w:cs="Arial"/>
          <w:color w:val="000000" w:themeColor="text1"/>
          <w:sz w:val="18"/>
          <w:szCs w:val="18"/>
        </w:rPr>
        <w:t xml:space="preserve"> M.P. Dr. Jaime Orlando Santofimio Gamboa</w:t>
      </w:r>
      <w:r w:rsidR="00F15B46" w:rsidRPr="00FF6BD4">
        <w:rPr>
          <w:rFonts w:ascii="Arial" w:hAnsi="Arial" w:cs="Arial"/>
          <w:color w:val="000000" w:themeColor="text1"/>
          <w:sz w:val="18"/>
          <w:szCs w:val="18"/>
        </w:rPr>
        <w:t xml:space="preserve">. </w:t>
      </w:r>
    </w:p>
    <w:p w14:paraId="7E9CC57B" w14:textId="77777777" w:rsidR="006A1671" w:rsidRPr="00FF6BD4" w:rsidRDefault="006A1671" w:rsidP="006A1671">
      <w:pPr>
        <w:pStyle w:val="Textonotapie"/>
        <w:ind w:firstLine="708"/>
        <w:jc w:val="both"/>
        <w:rPr>
          <w:rFonts w:ascii="Arial" w:hAnsi="Arial" w:cs="Arial"/>
          <w:color w:val="000000" w:themeColor="text1"/>
          <w:sz w:val="18"/>
          <w:szCs w:val="18"/>
          <w:lang w:val="es-ES"/>
        </w:rPr>
      </w:pPr>
    </w:p>
  </w:footnote>
  <w:footnote w:id="8">
    <w:p w14:paraId="78684833" w14:textId="1F357334" w:rsidR="00D4428E" w:rsidRPr="00FF6BD4" w:rsidRDefault="00D4428E" w:rsidP="00D4428E">
      <w:pPr>
        <w:pStyle w:val="Textonotapie"/>
        <w:ind w:firstLine="708"/>
        <w:jc w:val="both"/>
        <w:rPr>
          <w:rFonts w:ascii="Arial" w:hAnsi="Arial" w:cs="Arial"/>
          <w:color w:val="000000" w:themeColor="text1"/>
          <w:sz w:val="18"/>
          <w:szCs w:val="18"/>
          <w:lang w:val="es-ES"/>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r w:rsidR="003A0D5E" w:rsidRPr="00FF6BD4">
        <w:rPr>
          <w:rFonts w:ascii="Arial" w:hAnsi="Arial" w:cs="Arial"/>
          <w:color w:val="000000" w:themeColor="text1"/>
          <w:sz w:val="18"/>
          <w:szCs w:val="18"/>
        </w:rPr>
        <w:t xml:space="preserve">Ibidem. </w:t>
      </w:r>
    </w:p>
  </w:footnote>
  <w:footnote w:id="9">
    <w:p w14:paraId="5F4E6AC7" w14:textId="77777777" w:rsidR="005135A9" w:rsidRPr="00FF6BD4" w:rsidRDefault="005135A9" w:rsidP="005135A9">
      <w:pPr>
        <w:pStyle w:val="Textonotapie"/>
        <w:ind w:firstLine="708"/>
        <w:jc w:val="both"/>
        <w:rPr>
          <w:rFonts w:ascii="Arial" w:hAnsi="Arial" w:cs="Arial"/>
          <w:color w:val="000000" w:themeColor="text1"/>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w:t>
      </w:r>
      <w:r w:rsidRPr="00FF6BD4">
        <w:rPr>
          <w:rFonts w:ascii="Arial" w:hAnsi="Arial" w:cs="Arial"/>
          <w:color w:val="000000" w:themeColor="text1"/>
          <w:sz w:val="18"/>
          <w:szCs w:val="18"/>
        </w:rPr>
        <w:t xml:space="preserve">CONSEJO DE ESTADO. Sección Tercera. Sentencia del 3 de diciembre de 2007. </w:t>
      </w:r>
      <w:proofErr w:type="spellStart"/>
      <w:r w:rsidRPr="00FF6BD4">
        <w:rPr>
          <w:rFonts w:ascii="Arial" w:hAnsi="Arial" w:cs="Arial"/>
          <w:color w:val="000000" w:themeColor="text1"/>
          <w:sz w:val="18"/>
          <w:szCs w:val="18"/>
        </w:rPr>
        <w:t>Exp</w:t>
      </w:r>
      <w:proofErr w:type="spellEnd"/>
      <w:r w:rsidRPr="00FF6BD4">
        <w:rPr>
          <w:rFonts w:ascii="Arial" w:hAnsi="Arial" w:cs="Arial"/>
          <w:color w:val="000000" w:themeColor="text1"/>
          <w:sz w:val="18"/>
          <w:szCs w:val="18"/>
        </w:rPr>
        <w:t xml:space="preserve">. 24715. C.P. Ruth Stella Correa Palacio. </w:t>
      </w:r>
    </w:p>
    <w:p w14:paraId="7BC3C35B" w14:textId="5E6339D2" w:rsidR="005135A9" w:rsidRPr="00FF6BD4" w:rsidRDefault="005135A9">
      <w:pPr>
        <w:pStyle w:val="Textonotapie"/>
        <w:rPr>
          <w:rFonts w:ascii="Arial" w:hAnsi="Arial" w:cs="Arial"/>
          <w:sz w:val="18"/>
          <w:szCs w:val="18"/>
        </w:rPr>
      </w:pPr>
    </w:p>
  </w:footnote>
  <w:footnote w:id="10">
    <w:p w14:paraId="10E696C6" w14:textId="77777777" w:rsidR="00BE67C3" w:rsidRPr="00FF6BD4" w:rsidRDefault="00BE67C3" w:rsidP="00BE67C3">
      <w:pPr>
        <w:pStyle w:val="Textonotapie"/>
        <w:ind w:firstLine="708"/>
        <w:jc w:val="both"/>
        <w:rPr>
          <w:rFonts w:ascii="Arial" w:hAnsi="Arial" w:cs="Arial"/>
          <w:color w:val="000000" w:themeColor="text1"/>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w:t>
      </w:r>
      <w:r w:rsidRPr="00FF6BD4">
        <w:rPr>
          <w:rFonts w:ascii="Arial" w:hAnsi="Arial" w:cs="Arial"/>
          <w:color w:val="000000" w:themeColor="text1"/>
          <w:sz w:val="18"/>
          <w:szCs w:val="18"/>
        </w:rPr>
        <w:t xml:space="preserve">CONSEJO DE ESTADO. Sala de Consulta y Servicio Civil. Concepto del 23 de noviembre de 2005. </w:t>
      </w:r>
      <w:proofErr w:type="spellStart"/>
      <w:r w:rsidRPr="00FF6BD4">
        <w:rPr>
          <w:rFonts w:ascii="Arial" w:hAnsi="Arial" w:cs="Arial"/>
          <w:color w:val="000000" w:themeColor="text1"/>
          <w:sz w:val="18"/>
          <w:szCs w:val="18"/>
        </w:rPr>
        <w:t>Exp</w:t>
      </w:r>
      <w:proofErr w:type="spellEnd"/>
      <w:r w:rsidRPr="00FF6BD4">
        <w:rPr>
          <w:rFonts w:ascii="Arial" w:hAnsi="Arial" w:cs="Arial"/>
          <w:color w:val="000000" w:themeColor="text1"/>
          <w:sz w:val="18"/>
          <w:szCs w:val="18"/>
        </w:rPr>
        <w:t>. 1693. C.P. Flavio Augusto Rodríguez Arce.</w:t>
      </w:r>
    </w:p>
    <w:p w14:paraId="3B634CBB" w14:textId="7932F65A" w:rsidR="00BE67C3" w:rsidRPr="00FF6BD4" w:rsidRDefault="00BE67C3">
      <w:pPr>
        <w:pStyle w:val="Textonotapie"/>
        <w:rPr>
          <w:rFonts w:ascii="Arial" w:hAnsi="Arial" w:cs="Arial"/>
          <w:sz w:val="18"/>
          <w:szCs w:val="18"/>
        </w:rPr>
      </w:pPr>
    </w:p>
  </w:footnote>
  <w:footnote w:id="11">
    <w:p w14:paraId="5D55F234" w14:textId="4EF3BEDF" w:rsidR="0023386E" w:rsidRPr="00FF6BD4" w:rsidRDefault="0023386E" w:rsidP="00F47CC4">
      <w:pPr>
        <w:pStyle w:val="Textonotapie"/>
        <w:ind w:firstLine="709"/>
        <w:rPr>
          <w:rFonts w:ascii="Arial" w:hAnsi="Arial" w:cs="Arial"/>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CORTE CONS</w:t>
      </w:r>
      <w:r w:rsidR="00B6509B" w:rsidRPr="00FF6BD4">
        <w:rPr>
          <w:rFonts w:ascii="Arial" w:hAnsi="Arial" w:cs="Arial"/>
          <w:sz w:val="18"/>
          <w:szCs w:val="18"/>
        </w:rPr>
        <w:t>TITUCIONAL. Sentencia C-15</w:t>
      </w:r>
      <w:r w:rsidR="00DB5FE7" w:rsidRPr="00FF6BD4">
        <w:rPr>
          <w:rFonts w:ascii="Arial" w:hAnsi="Arial" w:cs="Arial"/>
          <w:sz w:val="18"/>
          <w:szCs w:val="18"/>
        </w:rPr>
        <w:t xml:space="preserve">4 del 19 de marzo de 1997. </w:t>
      </w:r>
      <w:r w:rsidR="00F47CC4" w:rsidRPr="00FF6BD4">
        <w:rPr>
          <w:rFonts w:ascii="Arial" w:hAnsi="Arial" w:cs="Arial"/>
          <w:sz w:val="18"/>
          <w:szCs w:val="18"/>
        </w:rPr>
        <w:t xml:space="preserve">M.P. Hernando Herrera Vergara. </w:t>
      </w:r>
      <w:r w:rsidR="00B6509B" w:rsidRPr="00FF6BD4">
        <w:rPr>
          <w:rFonts w:ascii="Arial" w:hAnsi="Arial" w:cs="Arial"/>
          <w:sz w:val="18"/>
          <w:szCs w:val="18"/>
        </w:rPr>
        <w:t xml:space="preserve"> </w:t>
      </w:r>
    </w:p>
    <w:p w14:paraId="77EE5A48" w14:textId="77777777" w:rsidR="001D2854" w:rsidRPr="00FF6BD4" w:rsidRDefault="001D2854" w:rsidP="00F47CC4">
      <w:pPr>
        <w:pStyle w:val="Textonotapie"/>
        <w:ind w:firstLine="709"/>
        <w:rPr>
          <w:rFonts w:ascii="Arial" w:hAnsi="Arial" w:cs="Arial"/>
          <w:sz w:val="18"/>
          <w:szCs w:val="18"/>
        </w:rPr>
      </w:pPr>
    </w:p>
  </w:footnote>
  <w:footnote w:id="12">
    <w:p w14:paraId="6E803C95" w14:textId="0A11F887" w:rsidR="009F098D" w:rsidRPr="00FF6BD4" w:rsidRDefault="009F098D" w:rsidP="009F098D">
      <w:pPr>
        <w:pStyle w:val="Textonotapie"/>
        <w:ind w:firstLine="709"/>
        <w:rPr>
          <w:rFonts w:ascii="Arial" w:hAnsi="Arial" w:cs="Arial"/>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w:t>
      </w:r>
      <w:r w:rsidRPr="00FF6BD4">
        <w:rPr>
          <w:rFonts w:ascii="Arial" w:hAnsi="Arial" w:cs="Arial"/>
          <w:color w:val="000000" w:themeColor="text1"/>
          <w:sz w:val="18"/>
          <w:szCs w:val="18"/>
        </w:rPr>
        <w:t xml:space="preserve">CONSEJO DE ESTADO. Sección Segunda. Subsección A. Sentencia del 1 de marzo de 2018. </w:t>
      </w:r>
      <w:proofErr w:type="spellStart"/>
      <w:r w:rsidRPr="00FF6BD4">
        <w:rPr>
          <w:rFonts w:ascii="Arial" w:hAnsi="Arial" w:cs="Arial"/>
          <w:color w:val="000000" w:themeColor="text1"/>
          <w:sz w:val="18"/>
          <w:szCs w:val="18"/>
        </w:rPr>
        <w:t>Exp</w:t>
      </w:r>
      <w:proofErr w:type="spellEnd"/>
      <w:r w:rsidRPr="00FF6BD4">
        <w:rPr>
          <w:rFonts w:ascii="Arial" w:hAnsi="Arial" w:cs="Arial"/>
          <w:color w:val="000000" w:themeColor="text1"/>
          <w:sz w:val="18"/>
          <w:szCs w:val="18"/>
        </w:rPr>
        <w:t>. 3730. C.P. Carmelo Perdomo.</w:t>
      </w:r>
    </w:p>
  </w:footnote>
  <w:footnote w:id="13">
    <w:p w14:paraId="1E48928A" w14:textId="27D4D518" w:rsidR="00E40A58" w:rsidRPr="00FF6BD4" w:rsidRDefault="00E40A58" w:rsidP="00E40A58">
      <w:pPr>
        <w:pStyle w:val="Textonotapie"/>
        <w:ind w:firstLine="709"/>
        <w:jc w:val="both"/>
        <w:rPr>
          <w:rFonts w:ascii="Arial" w:hAnsi="Arial" w:cs="Arial"/>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12A8DA0" w14:textId="77777777" w:rsidR="00E40A58" w:rsidRPr="00FF6BD4" w:rsidRDefault="00E40A58" w:rsidP="00E40A58">
      <w:pPr>
        <w:pStyle w:val="Textonotapie"/>
        <w:ind w:firstLine="709"/>
        <w:jc w:val="both"/>
        <w:rPr>
          <w:rFonts w:ascii="Arial" w:hAnsi="Arial" w:cs="Arial"/>
          <w:color w:val="000000" w:themeColor="text1"/>
          <w:sz w:val="18"/>
          <w:szCs w:val="18"/>
        </w:rPr>
      </w:pPr>
      <w:r w:rsidRPr="00FF6BD4">
        <w:rPr>
          <w:rFonts w:ascii="Arial" w:hAnsi="Arial" w:cs="Arial"/>
          <w:color w:val="000000" w:themeColor="text1"/>
          <w:sz w:val="18"/>
          <w:szCs w:val="18"/>
        </w:rPr>
        <w:t>»2. Quien presta el servicio se denomina trabajador, quien lo recibe y remunera, empleador, y la remuneración, cualquiera que sea su forma, salario».</w:t>
      </w:r>
    </w:p>
    <w:p w14:paraId="388816A1" w14:textId="77777777" w:rsidR="00E40A58" w:rsidRPr="00FF6BD4" w:rsidRDefault="00E40A58" w:rsidP="00E40A58">
      <w:pPr>
        <w:pStyle w:val="Textonotapie"/>
        <w:ind w:firstLine="709"/>
        <w:jc w:val="both"/>
        <w:rPr>
          <w:rFonts w:ascii="Arial" w:hAnsi="Arial" w:cs="Arial"/>
          <w:color w:val="000000" w:themeColor="text1"/>
          <w:sz w:val="18"/>
          <w:szCs w:val="18"/>
        </w:rPr>
      </w:pPr>
    </w:p>
  </w:footnote>
  <w:footnote w:id="14">
    <w:p w14:paraId="3179F498" w14:textId="4AB28972" w:rsidR="00D31EC3" w:rsidRPr="00FF6BD4" w:rsidRDefault="00F30579" w:rsidP="00D31EC3">
      <w:pPr>
        <w:pStyle w:val="Textonotapie"/>
        <w:ind w:firstLine="709"/>
        <w:jc w:val="both"/>
        <w:rPr>
          <w:rFonts w:ascii="Arial" w:hAnsi="Arial" w:cs="Arial"/>
          <w:color w:val="000000" w:themeColor="text1"/>
          <w:sz w:val="18"/>
          <w:szCs w:val="18"/>
        </w:rPr>
      </w:pPr>
      <w:r w:rsidRPr="00FF6BD4">
        <w:rPr>
          <w:rStyle w:val="Refdenotaalpie"/>
          <w:rFonts w:ascii="Arial" w:hAnsi="Arial" w:cs="Arial"/>
          <w:sz w:val="18"/>
          <w:szCs w:val="18"/>
        </w:rPr>
        <w:footnoteRef/>
      </w:r>
      <w:r w:rsidRPr="00FF6BD4">
        <w:rPr>
          <w:rFonts w:ascii="Arial" w:hAnsi="Arial" w:cs="Arial"/>
          <w:sz w:val="18"/>
          <w:szCs w:val="18"/>
        </w:rPr>
        <w:t xml:space="preserve"> </w:t>
      </w:r>
      <w:r w:rsidR="00D31EC3" w:rsidRPr="00FF6BD4">
        <w:rPr>
          <w:rFonts w:ascii="Arial" w:hAnsi="Arial" w:cs="Arial"/>
          <w:color w:val="000000" w:themeColor="text1"/>
          <w:sz w:val="18"/>
          <w:szCs w:val="18"/>
        </w:rPr>
        <w:t>C</w:t>
      </w:r>
      <w:r w:rsidR="002558D1" w:rsidRPr="00FF6BD4">
        <w:rPr>
          <w:rFonts w:ascii="Arial" w:hAnsi="Arial" w:cs="Arial"/>
          <w:color w:val="000000" w:themeColor="text1"/>
          <w:sz w:val="18"/>
          <w:szCs w:val="18"/>
        </w:rPr>
        <w:t>ONSEJO DE</w:t>
      </w:r>
      <w:r w:rsidR="00D31EC3" w:rsidRPr="00FF6BD4">
        <w:rPr>
          <w:rFonts w:ascii="Arial" w:hAnsi="Arial" w:cs="Arial"/>
          <w:color w:val="000000" w:themeColor="text1"/>
          <w:sz w:val="18"/>
          <w:szCs w:val="18"/>
        </w:rPr>
        <w:t xml:space="preserve"> E</w:t>
      </w:r>
      <w:r w:rsidR="002558D1" w:rsidRPr="00FF6BD4">
        <w:rPr>
          <w:rFonts w:ascii="Arial" w:hAnsi="Arial" w:cs="Arial"/>
          <w:color w:val="000000" w:themeColor="text1"/>
          <w:sz w:val="18"/>
          <w:szCs w:val="18"/>
        </w:rPr>
        <w:t>STADO</w:t>
      </w:r>
      <w:r w:rsidR="00D31EC3" w:rsidRPr="00FF6BD4">
        <w:rPr>
          <w:rFonts w:ascii="Arial" w:hAnsi="Arial" w:cs="Arial"/>
          <w:color w:val="000000" w:themeColor="text1"/>
          <w:sz w:val="18"/>
          <w:szCs w:val="18"/>
        </w:rPr>
        <w:t xml:space="preserve">. Sección Tercera. Subsección C. Sentencia del 2 de diciembre de 2013. </w:t>
      </w:r>
      <w:proofErr w:type="spellStart"/>
      <w:r w:rsidR="00D31EC3" w:rsidRPr="00FF6BD4">
        <w:rPr>
          <w:rFonts w:ascii="Arial" w:hAnsi="Arial" w:cs="Arial"/>
          <w:color w:val="000000" w:themeColor="text1"/>
          <w:sz w:val="18"/>
          <w:szCs w:val="18"/>
        </w:rPr>
        <w:t>Exp</w:t>
      </w:r>
      <w:proofErr w:type="spellEnd"/>
      <w:r w:rsidR="00D31EC3" w:rsidRPr="00FF6BD4">
        <w:rPr>
          <w:rFonts w:ascii="Arial" w:hAnsi="Arial" w:cs="Arial"/>
          <w:color w:val="000000" w:themeColor="text1"/>
          <w:sz w:val="18"/>
          <w:szCs w:val="18"/>
        </w:rPr>
        <w:t xml:space="preserve">. 41719. </w:t>
      </w:r>
      <w:r w:rsidR="00CC2A8F" w:rsidRPr="00FF6BD4">
        <w:rPr>
          <w:rFonts w:ascii="Arial" w:hAnsi="Arial" w:cs="Arial"/>
          <w:color w:val="000000" w:themeColor="text1"/>
          <w:sz w:val="18"/>
          <w:szCs w:val="18"/>
        </w:rPr>
        <w:t>C.P.</w:t>
      </w:r>
      <w:r w:rsidR="00D31EC3" w:rsidRPr="00FF6BD4">
        <w:rPr>
          <w:rFonts w:ascii="Arial" w:hAnsi="Arial" w:cs="Arial"/>
          <w:color w:val="000000" w:themeColor="text1"/>
          <w:sz w:val="18"/>
          <w:szCs w:val="18"/>
        </w:rPr>
        <w:t xml:space="preserve"> Jaime Orlando Santofimio Gamboa.</w:t>
      </w:r>
    </w:p>
    <w:p w14:paraId="2A0D3A3E" w14:textId="2EA928BC" w:rsidR="00F30579" w:rsidRPr="00FF6BD4" w:rsidRDefault="00F30579">
      <w:pPr>
        <w:pStyle w:val="Textonotapie"/>
        <w:rPr>
          <w:rFonts w:ascii="Arial" w:hAnsi="Arial" w:cs="Arial"/>
          <w:sz w:val="18"/>
          <w:szCs w:val="18"/>
        </w:rPr>
      </w:pPr>
    </w:p>
  </w:footnote>
  <w:footnote w:id="15">
    <w:p w14:paraId="77D5B002" w14:textId="77777777" w:rsidR="00036772" w:rsidRPr="00FF6BD4" w:rsidRDefault="00036772" w:rsidP="00036772">
      <w:pPr>
        <w:pStyle w:val="Textonotapie"/>
        <w:ind w:firstLine="709"/>
        <w:jc w:val="both"/>
        <w:rPr>
          <w:rFonts w:ascii="Arial" w:hAnsi="Arial" w:cs="Arial"/>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w:t>
      </w:r>
      <w:proofErr w:type="spellStart"/>
      <w:r w:rsidRPr="00FF6BD4">
        <w:rPr>
          <w:rFonts w:ascii="Arial" w:hAnsi="Arial" w:cs="Arial"/>
          <w:color w:val="000000" w:themeColor="text1"/>
          <w:sz w:val="18"/>
          <w:szCs w:val="18"/>
        </w:rPr>
        <w:t>Ibíd</w:t>
      </w:r>
      <w:proofErr w:type="spellEnd"/>
      <w:r w:rsidRPr="00FF6BD4">
        <w:rPr>
          <w:rFonts w:ascii="Arial" w:hAnsi="Arial" w:cs="Arial"/>
          <w:color w:val="000000" w:themeColor="text1"/>
          <w:sz w:val="18"/>
          <w:szCs w:val="18"/>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BCE3CDA" w14:textId="77777777" w:rsidR="00036772" w:rsidRPr="00FF6BD4" w:rsidRDefault="00036772" w:rsidP="00036772">
      <w:pPr>
        <w:pStyle w:val="Textonotapie"/>
        <w:ind w:firstLine="709"/>
        <w:jc w:val="both"/>
        <w:rPr>
          <w:rFonts w:ascii="Arial" w:hAnsi="Arial" w:cs="Arial"/>
          <w:color w:val="000000" w:themeColor="text1"/>
          <w:sz w:val="18"/>
          <w:szCs w:val="18"/>
        </w:rPr>
      </w:pPr>
      <w:proofErr w:type="gramStart"/>
      <w:r w:rsidRPr="00FF6BD4">
        <w:rPr>
          <w:rFonts w:ascii="Arial" w:hAnsi="Arial" w:cs="Arial"/>
          <w:color w:val="000000" w:themeColor="text1"/>
          <w:sz w:val="18"/>
          <w:szCs w:val="18"/>
        </w:rPr>
        <w:t>»Son</w:t>
      </w:r>
      <w:proofErr w:type="gramEnd"/>
      <w:r w:rsidRPr="00FF6BD4">
        <w:rPr>
          <w:rFonts w:ascii="Arial" w:hAnsi="Arial" w:cs="Arial"/>
          <w:color w:val="000000" w:themeColor="text1"/>
          <w:sz w:val="18"/>
          <w:szCs w:val="18"/>
        </w:rPr>
        <w:t xml:space="preserve"> también contratos de consultoría los que tienen por objeto la interventoría, asesoría, gerencia de obra o de proyectos, dirección, programación y la ejecución de diseños, planos, anteproyectos y proyectos.</w:t>
      </w:r>
    </w:p>
    <w:p w14:paraId="1201686A" w14:textId="77777777" w:rsidR="00036772" w:rsidRPr="00FF6BD4" w:rsidRDefault="00036772" w:rsidP="00036772">
      <w:pPr>
        <w:pStyle w:val="Textonotapie"/>
        <w:ind w:firstLine="709"/>
        <w:jc w:val="both"/>
        <w:rPr>
          <w:rFonts w:ascii="Arial" w:hAnsi="Arial" w:cs="Arial"/>
          <w:color w:val="000000" w:themeColor="text1"/>
          <w:sz w:val="18"/>
          <w:szCs w:val="18"/>
        </w:rPr>
      </w:pPr>
      <w:proofErr w:type="gramStart"/>
      <w:r w:rsidRPr="00FF6BD4">
        <w:rPr>
          <w:rFonts w:ascii="Arial" w:hAnsi="Arial" w:cs="Arial"/>
          <w:color w:val="000000" w:themeColor="text1"/>
          <w:sz w:val="18"/>
          <w:szCs w:val="18"/>
        </w:rPr>
        <w:t>»Ninguna</w:t>
      </w:r>
      <w:proofErr w:type="gramEnd"/>
      <w:r w:rsidRPr="00FF6BD4">
        <w:rPr>
          <w:rFonts w:ascii="Arial" w:hAnsi="Arial" w:cs="Arial"/>
          <w:color w:val="000000" w:themeColor="text1"/>
          <w:sz w:val="18"/>
          <w:szCs w:val="18"/>
        </w:rPr>
        <w:t xml:space="preserve"> orden del interventor de una obra podrá darse verbalmente. Es obligatorio para el interventor entregar por escrito sus órdenes o sugerencias y ellas deben </w:t>
      </w:r>
      <w:proofErr w:type="gramStart"/>
      <w:r w:rsidRPr="00FF6BD4">
        <w:rPr>
          <w:rFonts w:ascii="Arial" w:hAnsi="Arial" w:cs="Arial"/>
          <w:color w:val="000000" w:themeColor="text1"/>
          <w:sz w:val="18"/>
          <w:szCs w:val="18"/>
        </w:rPr>
        <w:t>enmarcarse dentro de</w:t>
      </w:r>
      <w:proofErr w:type="gramEnd"/>
      <w:r w:rsidRPr="00FF6BD4">
        <w:rPr>
          <w:rFonts w:ascii="Arial" w:hAnsi="Arial" w:cs="Arial"/>
          <w:color w:val="000000" w:themeColor="text1"/>
          <w:sz w:val="18"/>
          <w:szCs w:val="18"/>
        </w:rPr>
        <w:t xml:space="preserve"> los términos del respectivo contrato».</w:t>
      </w:r>
    </w:p>
  </w:footnote>
  <w:footnote w:id="16">
    <w:p w14:paraId="485680D9" w14:textId="77777777" w:rsidR="00127482" w:rsidRPr="00FF6BD4" w:rsidRDefault="00127482" w:rsidP="00127482">
      <w:pPr>
        <w:pStyle w:val="Textonotapie"/>
        <w:ind w:firstLine="709"/>
        <w:jc w:val="both"/>
        <w:rPr>
          <w:rFonts w:ascii="Arial" w:hAnsi="Arial" w:cs="Arial"/>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999D335" w14:textId="77777777" w:rsidR="00127482" w:rsidRPr="00FF6BD4" w:rsidRDefault="00127482" w:rsidP="00127482">
      <w:pPr>
        <w:pStyle w:val="Textonotapie"/>
        <w:ind w:firstLine="709"/>
        <w:jc w:val="both"/>
        <w:rPr>
          <w:rFonts w:ascii="Arial" w:hAnsi="Arial" w:cs="Arial"/>
          <w:color w:val="000000" w:themeColor="text1"/>
          <w:sz w:val="18"/>
          <w:szCs w:val="18"/>
        </w:rPr>
      </w:pPr>
      <w:r w:rsidRPr="00FF6BD4">
        <w:rPr>
          <w:rFonts w:ascii="Arial" w:hAnsi="Arial" w:cs="Arial"/>
          <w:color w:val="000000" w:themeColor="text1"/>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D4871F1" w14:textId="77777777" w:rsidR="00127482" w:rsidRPr="00FF6BD4" w:rsidRDefault="00127482" w:rsidP="00127482">
      <w:pPr>
        <w:pStyle w:val="Textonotapie"/>
        <w:ind w:firstLine="709"/>
        <w:jc w:val="both"/>
        <w:rPr>
          <w:rFonts w:ascii="Arial" w:hAnsi="Arial" w:cs="Arial"/>
          <w:color w:val="000000" w:themeColor="text1"/>
          <w:sz w:val="18"/>
          <w:szCs w:val="18"/>
        </w:rPr>
      </w:pPr>
      <w:r w:rsidRPr="00FF6BD4">
        <w:rPr>
          <w:rFonts w:ascii="Arial" w:hAnsi="Arial" w:cs="Arial"/>
          <w:color w:val="000000" w:themeColor="text1"/>
          <w:sz w:val="18"/>
          <w:szCs w:val="18"/>
        </w:rPr>
        <w:t>[…]».</w:t>
      </w:r>
    </w:p>
    <w:p w14:paraId="3F4814A6" w14:textId="77777777" w:rsidR="00127482" w:rsidRPr="00FF6BD4" w:rsidRDefault="00127482" w:rsidP="00127482">
      <w:pPr>
        <w:pStyle w:val="Textonotapie"/>
        <w:ind w:firstLine="709"/>
        <w:jc w:val="both"/>
        <w:rPr>
          <w:rFonts w:ascii="Arial" w:hAnsi="Arial" w:cs="Arial"/>
          <w:color w:val="000000" w:themeColor="text1"/>
          <w:sz w:val="18"/>
          <w:szCs w:val="18"/>
        </w:rPr>
      </w:pPr>
    </w:p>
  </w:footnote>
  <w:footnote w:id="17">
    <w:p w14:paraId="4B4D05F0" w14:textId="77777777" w:rsidR="00127482" w:rsidRPr="00FF6BD4" w:rsidRDefault="00127482" w:rsidP="00127482">
      <w:pPr>
        <w:pStyle w:val="Textonotapie"/>
        <w:ind w:firstLine="709"/>
        <w:jc w:val="both"/>
        <w:rPr>
          <w:rFonts w:ascii="Arial" w:hAnsi="Arial" w:cs="Arial"/>
          <w:color w:val="000000" w:themeColor="text1"/>
          <w:sz w:val="18"/>
          <w:szCs w:val="18"/>
        </w:rPr>
      </w:pPr>
      <w:r w:rsidRPr="00FF6BD4">
        <w:rPr>
          <w:rStyle w:val="Refdenotaalpie"/>
          <w:rFonts w:ascii="Arial" w:hAnsi="Arial" w:cs="Arial"/>
          <w:color w:val="000000" w:themeColor="text1"/>
          <w:sz w:val="18"/>
          <w:szCs w:val="18"/>
        </w:rPr>
        <w:footnoteRef/>
      </w:r>
      <w:r w:rsidRPr="00FF6BD4">
        <w:rPr>
          <w:rFonts w:ascii="Arial" w:hAnsi="Arial" w:cs="Arial"/>
          <w:color w:val="000000" w:themeColor="text1"/>
          <w:sz w:val="18"/>
          <w:szCs w:val="18"/>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5E6" w14:textId="77777777" w:rsidR="007B0854" w:rsidRDefault="009D13A8">
    <w:pPr>
      <w:pStyle w:val="Encabezado"/>
    </w:pPr>
    <w:r>
      <w:rPr>
        <w:noProof/>
        <w:lang w:val="es-ES" w:eastAsia="es-ES"/>
      </w:rPr>
      <w:drawing>
        <wp:anchor distT="0" distB="0" distL="114300" distR="114300" simplePos="0" relativeHeight="251659264" behindDoc="1" locked="0" layoutInCell="1" allowOverlap="1" wp14:anchorId="30864C2B" wp14:editId="2B24DA93">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66A2FD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0576B5A"/>
    <w:multiLevelType w:val="multilevel"/>
    <w:tmpl w:val="E7EE516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C8"/>
    <w:rsid w:val="00012036"/>
    <w:rsid w:val="0001397F"/>
    <w:rsid w:val="0001651E"/>
    <w:rsid w:val="00036772"/>
    <w:rsid w:val="000440F3"/>
    <w:rsid w:val="00051D6A"/>
    <w:rsid w:val="00064981"/>
    <w:rsid w:val="00071F0D"/>
    <w:rsid w:val="00086DC0"/>
    <w:rsid w:val="00090989"/>
    <w:rsid w:val="000A0AA2"/>
    <w:rsid w:val="000A19EA"/>
    <w:rsid w:val="000A7B25"/>
    <w:rsid w:val="000B445A"/>
    <w:rsid w:val="000B7C3B"/>
    <w:rsid w:val="000C3B9A"/>
    <w:rsid w:val="000E19E7"/>
    <w:rsid w:val="00110F95"/>
    <w:rsid w:val="001123AE"/>
    <w:rsid w:val="00123251"/>
    <w:rsid w:val="00127482"/>
    <w:rsid w:val="001311A5"/>
    <w:rsid w:val="00140415"/>
    <w:rsid w:val="001408D5"/>
    <w:rsid w:val="001A2C13"/>
    <w:rsid w:val="001B4723"/>
    <w:rsid w:val="001C20D1"/>
    <w:rsid w:val="001C396F"/>
    <w:rsid w:val="001D2732"/>
    <w:rsid w:val="001D2854"/>
    <w:rsid w:val="001E55F4"/>
    <w:rsid w:val="001F6839"/>
    <w:rsid w:val="001F72C3"/>
    <w:rsid w:val="0020733B"/>
    <w:rsid w:val="0020782C"/>
    <w:rsid w:val="00213FF1"/>
    <w:rsid w:val="002229F1"/>
    <w:rsid w:val="00230CAC"/>
    <w:rsid w:val="0023386E"/>
    <w:rsid w:val="002417B8"/>
    <w:rsid w:val="0024572A"/>
    <w:rsid w:val="00251CB9"/>
    <w:rsid w:val="002525DE"/>
    <w:rsid w:val="002558D1"/>
    <w:rsid w:val="002617F9"/>
    <w:rsid w:val="002633B0"/>
    <w:rsid w:val="00267F0B"/>
    <w:rsid w:val="002761FB"/>
    <w:rsid w:val="0028282F"/>
    <w:rsid w:val="00285BD6"/>
    <w:rsid w:val="0029041D"/>
    <w:rsid w:val="002A02A9"/>
    <w:rsid w:val="002B2918"/>
    <w:rsid w:val="002B4330"/>
    <w:rsid w:val="002C2B1F"/>
    <w:rsid w:val="002C4DAB"/>
    <w:rsid w:val="002F0B1C"/>
    <w:rsid w:val="002F0FA3"/>
    <w:rsid w:val="00307ADF"/>
    <w:rsid w:val="00312FF4"/>
    <w:rsid w:val="0032057F"/>
    <w:rsid w:val="003321E9"/>
    <w:rsid w:val="003379B2"/>
    <w:rsid w:val="00343037"/>
    <w:rsid w:val="0034728A"/>
    <w:rsid w:val="00373B83"/>
    <w:rsid w:val="0037565E"/>
    <w:rsid w:val="0039457E"/>
    <w:rsid w:val="00395F7E"/>
    <w:rsid w:val="0039626A"/>
    <w:rsid w:val="003A0D5E"/>
    <w:rsid w:val="003B0E7C"/>
    <w:rsid w:val="003B2F8D"/>
    <w:rsid w:val="003C2B81"/>
    <w:rsid w:val="003D0987"/>
    <w:rsid w:val="003E688E"/>
    <w:rsid w:val="003E767D"/>
    <w:rsid w:val="003F437E"/>
    <w:rsid w:val="003F4C29"/>
    <w:rsid w:val="00406EED"/>
    <w:rsid w:val="00414C06"/>
    <w:rsid w:val="004223B2"/>
    <w:rsid w:val="0042719C"/>
    <w:rsid w:val="00431820"/>
    <w:rsid w:val="00445456"/>
    <w:rsid w:val="004517F2"/>
    <w:rsid w:val="00453532"/>
    <w:rsid w:val="00460069"/>
    <w:rsid w:val="00460D95"/>
    <w:rsid w:val="00465F46"/>
    <w:rsid w:val="004715DE"/>
    <w:rsid w:val="00483012"/>
    <w:rsid w:val="00484F9D"/>
    <w:rsid w:val="00491504"/>
    <w:rsid w:val="00494446"/>
    <w:rsid w:val="00495EBB"/>
    <w:rsid w:val="004A7167"/>
    <w:rsid w:val="004B3091"/>
    <w:rsid w:val="004B30B1"/>
    <w:rsid w:val="004C735F"/>
    <w:rsid w:val="004D3A5B"/>
    <w:rsid w:val="004E0C37"/>
    <w:rsid w:val="0051223D"/>
    <w:rsid w:val="005135A9"/>
    <w:rsid w:val="00526E31"/>
    <w:rsid w:val="00542DF7"/>
    <w:rsid w:val="00544C2D"/>
    <w:rsid w:val="005522F8"/>
    <w:rsid w:val="00561891"/>
    <w:rsid w:val="005675C8"/>
    <w:rsid w:val="00571D78"/>
    <w:rsid w:val="00575015"/>
    <w:rsid w:val="00594DF0"/>
    <w:rsid w:val="005954A1"/>
    <w:rsid w:val="00597EA0"/>
    <w:rsid w:val="005C3C02"/>
    <w:rsid w:val="005C5F56"/>
    <w:rsid w:val="005D203A"/>
    <w:rsid w:val="005D7D4A"/>
    <w:rsid w:val="005E2C96"/>
    <w:rsid w:val="005F54E7"/>
    <w:rsid w:val="005F6C66"/>
    <w:rsid w:val="006124EC"/>
    <w:rsid w:val="006258EE"/>
    <w:rsid w:val="006477A9"/>
    <w:rsid w:val="00664E4A"/>
    <w:rsid w:val="0067010A"/>
    <w:rsid w:val="00680650"/>
    <w:rsid w:val="00695EB7"/>
    <w:rsid w:val="006A1671"/>
    <w:rsid w:val="006A5594"/>
    <w:rsid w:val="006C0323"/>
    <w:rsid w:val="006E6EF3"/>
    <w:rsid w:val="007172FE"/>
    <w:rsid w:val="007226C3"/>
    <w:rsid w:val="00727747"/>
    <w:rsid w:val="0073109E"/>
    <w:rsid w:val="00736568"/>
    <w:rsid w:val="00781664"/>
    <w:rsid w:val="00785F9B"/>
    <w:rsid w:val="00793736"/>
    <w:rsid w:val="007C402D"/>
    <w:rsid w:val="007E7839"/>
    <w:rsid w:val="007F6046"/>
    <w:rsid w:val="00800CA4"/>
    <w:rsid w:val="008011A1"/>
    <w:rsid w:val="00802654"/>
    <w:rsid w:val="00806CA9"/>
    <w:rsid w:val="00821F1A"/>
    <w:rsid w:val="00826F70"/>
    <w:rsid w:val="0083174B"/>
    <w:rsid w:val="00874710"/>
    <w:rsid w:val="00875ED8"/>
    <w:rsid w:val="00875FBB"/>
    <w:rsid w:val="00884B03"/>
    <w:rsid w:val="008A1CB5"/>
    <w:rsid w:val="008B4EB7"/>
    <w:rsid w:val="008C7AE5"/>
    <w:rsid w:val="008D4F7B"/>
    <w:rsid w:val="008D5B91"/>
    <w:rsid w:val="008E4728"/>
    <w:rsid w:val="008E4956"/>
    <w:rsid w:val="008E5B92"/>
    <w:rsid w:val="008F098E"/>
    <w:rsid w:val="008F2448"/>
    <w:rsid w:val="008F45B2"/>
    <w:rsid w:val="008F4E84"/>
    <w:rsid w:val="00903A09"/>
    <w:rsid w:val="00904156"/>
    <w:rsid w:val="009052F3"/>
    <w:rsid w:val="009147C9"/>
    <w:rsid w:val="009166E8"/>
    <w:rsid w:val="0091673F"/>
    <w:rsid w:val="00932BF9"/>
    <w:rsid w:val="00935D91"/>
    <w:rsid w:val="0094229E"/>
    <w:rsid w:val="009423C3"/>
    <w:rsid w:val="00953575"/>
    <w:rsid w:val="00957819"/>
    <w:rsid w:val="009620C8"/>
    <w:rsid w:val="00991E4D"/>
    <w:rsid w:val="009B312C"/>
    <w:rsid w:val="009D13A8"/>
    <w:rsid w:val="009D67F1"/>
    <w:rsid w:val="009F098D"/>
    <w:rsid w:val="009F3BED"/>
    <w:rsid w:val="00A03D08"/>
    <w:rsid w:val="00A47A73"/>
    <w:rsid w:val="00A574D1"/>
    <w:rsid w:val="00A92617"/>
    <w:rsid w:val="00AA4986"/>
    <w:rsid w:val="00AA593D"/>
    <w:rsid w:val="00AA6D78"/>
    <w:rsid w:val="00AB7BE7"/>
    <w:rsid w:val="00AD4463"/>
    <w:rsid w:val="00AD5A0B"/>
    <w:rsid w:val="00AE302B"/>
    <w:rsid w:val="00AE799E"/>
    <w:rsid w:val="00AF7270"/>
    <w:rsid w:val="00B00E00"/>
    <w:rsid w:val="00B00F50"/>
    <w:rsid w:val="00B12FAC"/>
    <w:rsid w:val="00B178D0"/>
    <w:rsid w:val="00B22F82"/>
    <w:rsid w:val="00B321E5"/>
    <w:rsid w:val="00B4589B"/>
    <w:rsid w:val="00B478CF"/>
    <w:rsid w:val="00B52AA3"/>
    <w:rsid w:val="00B623A1"/>
    <w:rsid w:val="00B6509B"/>
    <w:rsid w:val="00B92AAD"/>
    <w:rsid w:val="00B930B4"/>
    <w:rsid w:val="00BC47BC"/>
    <w:rsid w:val="00BD166A"/>
    <w:rsid w:val="00BD7AB9"/>
    <w:rsid w:val="00BE43D2"/>
    <w:rsid w:val="00BE67C3"/>
    <w:rsid w:val="00C03BC9"/>
    <w:rsid w:val="00C07995"/>
    <w:rsid w:val="00C07A7F"/>
    <w:rsid w:val="00C12B20"/>
    <w:rsid w:val="00C310FE"/>
    <w:rsid w:val="00C36152"/>
    <w:rsid w:val="00C508ED"/>
    <w:rsid w:val="00C704C3"/>
    <w:rsid w:val="00C74364"/>
    <w:rsid w:val="00C76EF8"/>
    <w:rsid w:val="00C93E49"/>
    <w:rsid w:val="00C94E78"/>
    <w:rsid w:val="00CA67ED"/>
    <w:rsid w:val="00CC2A8F"/>
    <w:rsid w:val="00CD1DBE"/>
    <w:rsid w:val="00CD5355"/>
    <w:rsid w:val="00CE14C9"/>
    <w:rsid w:val="00CE36D8"/>
    <w:rsid w:val="00CF4DF0"/>
    <w:rsid w:val="00D07B0C"/>
    <w:rsid w:val="00D10487"/>
    <w:rsid w:val="00D1698F"/>
    <w:rsid w:val="00D23FDF"/>
    <w:rsid w:val="00D27A46"/>
    <w:rsid w:val="00D31EC3"/>
    <w:rsid w:val="00D37F9B"/>
    <w:rsid w:val="00D4428E"/>
    <w:rsid w:val="00D522B1"/>
    <w:rsid w:val="00D64D97"/>
    <w:rsid w:val="00D8139E"/>
    <w:rsid w:val="00D84406"/>
    <w:rsid w:val="00D85C85"/>
    <w:rsid w:val="00DA5F4C"/>
    <w:rsid w:val="00DA62A3"/>
    <w:rsid w:val="00DB170A"/>
    <w:rsid w:val="00DB19C1"/>
    <w:rsid w:val="00DB27CE"/>
    <w:rsid w:val="00DB3E4F"/>
    <w:rsid w:val="00DB5FE7"/>
    <w:rsid w:val="00DC1ED2"/>
    <w:rsid w:val="00DD61C4"/>
    <w:rsid w:val="00DE111D"/>
    <w:rsid w:val="00DF09F8"/>
    <w:rsid w:val="00DF2CEC"/>
    <w:rsid w:val="00DF537C"/>
    <w:rsid w:val="00E21A57"/>
    <w:rsid w:val="00E40A58"/>
    <w:rsid w:val="00E44440"/>
    <w:rsid w:val="00E72E05"/>
    <w:rsid w:val="00E74525"/>
    <w:rsid w:val="00E80FC1"/>
    <w:rsid w:val="00E81F3B"/>
    <w:rsid w:val="00E8336F"/>
    <w:rsid w:val="00EA2276"/>
    <w:rsid w:val="00EB113F"/>
    <w:rsid w:val="00EC0A5F"/>
    <w:rsid w:val="00EC1CA3"/>
    <w:rsid w:val="00ED2B59"/>
    <w:rsid w:val="00EE2B00"/>
    <w:rsid w:val="00EE4679"/>
    <w:rsid w:val="00EE68F9"/>
    <w:rsid w:val="00EF27E7"/>
    <w:rsid w:val="00EF2962"/>
    <w:rsid w:val="00F15A2B"/>
    <w:rsid w:val="00F15B46"/>
    <w:rsid w:val="00F174BB"/>
    <w:rsid w:val="00F302C7"/>
    <w:rsid w:val="00F30579"/>
    <w:rsid w:val="00F33336"/>
    <w:rsid w:val="00F43DE7"/>
    <w:rsid w:val="00F47CC4"/>
    <w:rsid w:val="00F555F0"/>
    <w:rsid w:val="00F635E4"/>
    <w:rsid w:val="00F7287A"/>
    <w:rsid w:val="00FA0371"/>
    <w:rsid w:val="00FA11C9"/>
    <w:rsid w:val="00FA287A"/>
    <w:rsid w:val="00FA295C"/>
    <w:rsid w:val="00FB49C7"/>
    <w:rsid w:val="00FF6BD4"/>
    <w:rsid w:val="03BAD97A"/>
    <w:rsid w:val="063DB410"/>
    <w:rsid w:val="1555FD4D"/>
    <w:rsid w:val="1AE03D5D"/>
    <w:rsid w:val="7A1BCE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C03D4"/>
  <w15:docId w15:val="{6130DD3C-0C08-47D0-BE4E-E40394E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C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675C8"/>
    <w:pPr>
      <w:tabs>
        <w:tab w:val="center" w:pos="4419"/>
        <w:tab w:val="right" w:pos="8838"/>
      </w:tabs>
    </w:pPr>
  </w:style>
  <w:style w:type="character" w:customStyle="1" w:styleId="PiedepginaCar">
    <w:name w:val="Pie de página Car"/>
    <w:basedOn w:val="Fuentedeprrafopredeter"/>
    <w:link w:val="Piedepgina"/>
    <w:uiPriority w:val="99"/>
    <w:rsid w:val="005675C8"/>
    <w:rPr>
      <w:sz w:val="24"/>
      <w:lang w:val="es-MX"/>
    </w:rPr>
  </w:style>
  <w:style w:type="paragraph" w:styleId="Encabezado">
    <w:name w:val="header"/>
    <w:basedOn w:val="Normal"/>
    <w:link w:val="EncabezadoCar"/>
    <w:uiPriority w:val="99"/>
    <w:unhideWhenUsed/>
    <w:rsid w:val="005675C8"/>
    <w:pPr>
      <w:tabs>
        <w:tab w:val="center" w:pos="4252"/>
        <w:tab w:val="right" w:pos="8504"/>
      </w:tabs>
    </w:pPr>
  </w:style>
  <w:style w:type="character" w:customStyle="1" w:styleId="EncabezadoCar">
    <w:name w:val="Encabezado Car"/>
    <w:basedOn w:val="Fuentedeprrafopredeter"/>
    <w:link w:val="Encabezado"/>
    <w:uiPriority w:val="99"/>
    <w:rsid w:val="005675C8"/>
    <w:rPr>
      <w:sz w:val="24"/>
      <w:lang w:val="es-MX"/>
    </w:rPr>
  </w:style>
  <w:style w:type="table" w:styleId="Tablaconcuadrcula">
    <w:name w:val="Table Grid"/>
    <w:basedOn w:val="Tablanormal"/>
    <w:uiPriority w:val="39"/>
    <w:rsid w:val="0056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675C8"/>
    <w:pPr>
      <w:ind w:left="720"/>
      <w:contextualSpacing/>
    </w:pPr>
  </w:style>
  <w:style w:type="character" w:styleId="Hipervnculo">
    <w:name w:val="Hyperlink"/>
    <w:basedOn w:val="Fuentedeprrafopredeter"/>
    <w:uiPriority w:val="99"/>
    <w:unhideWhenUsed/>
    <w:rsid w:val="005675C8"/>
    <w:rPr>
      <w:color w:val="0563C1" w:themeColor="hyperlink"/>
      <w:u w:val="single"/>
    </w:rPr>
  </w:style>
  <w:style w:type="paragraph" w:styleId="Sinespaciado">
    <w:name w:val="No Spacing"/>
    <w:aliases w:val="No Indent"/>
    <w:link w:val="SinespaciadoCar"/>
    <w:uiPriority w:val="3"/>
    <w:qFormat/>
    <w:rsid w:val="005675C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675C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5675C8"/>
    <w:rPr>
      <w:sz w:val="20"/>
      <w:szCs w:val="20"/>
    </w:rPr>
  </w:style>
  <w:style w:type="character" w:customStyle="1" w:styleId="TextonotapieCar1">
    <w:name w:val="Texto nota pie Car1"/>
    <w:basedOn w:val="Fuentedeprrafopredeter"/>
    <w:uiPriority w:val="99"/>
    <w:semiHidden/>
    <w:rsid w:val="005675C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75C8"/>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unhideWhenUsed/>
    <w:qFormat/>
    <w:rsid w:val="005675C8"/>
    <w:rPr>
      <w:vertAlign w:val="superscript"/>
    </w:rPr>
  </w:style>
  <w:style w:type="paragraph" w:styleId="Textodeglobo">
    <w:name w:val="Balloon Text"/>
    <w:basedOn w:val="Normal"/>
    <w:link w:val="TextodegloboCar"/>
    <w:uiPriority w:val="99"/>
    <w:semiHidden/>
    <w:unhideWhenUsed/>
    <w:rsid w:val="003B2F8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2F8D"/>
    <w:rPr>
      <w:rFonts w:ascii="Times New Roman" w:hAnsi="Times New Roman" w:cs="Times New Roman"/>
      <w:sz w:val="18"/>
      <w:szCs w:val="18"/>
      <w:lang w:val="es-MX"/>
    </w:rPr>
  </w:style>
  <w:style w:type="paragraph" w:customStyle="1" w:styleId="Default">
    <w:name w:val="Default"/>
    <w:rsid w:val="00B52AA3"/>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No Indent Car"/>
    <w:link w:val="Sinespaciado"/>
    <w:uiPriority w:val="3"/>
    <w:rsid w:val="00110F95"/>
    <w:rPr>
      <w:sz w:val="24"/>
      <w:lang w:val="es-MX"/>
    </w:rPr>
  </w:style>
  <w:style w:type="paragraph" w:styleId="Textoindependiente">
    <w:name w:val="Body Text"/>
    <w:basedOn w:val="Normal"/>
    <w:link w:val="TextoindependienteCar"/>
    <w:uiPriority w:val="1"/>
    <w:qFormat/>
    <w:rsid w:val="008D5B91"/>
    <w:pPr>
      <w:widowControl w:val="0"/>
      <w:autoSpaceDE w:val="0"/>
      <w:autoSpaceDN w:val="0"/>
      <w:ind w:left="120"/>
      <w:jc w:val="both"/>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8D5B91"/>
    <w:rPr>
      <w:rFonts w:ascii="Arial MT" w:eastAsia="Arial MT" w:hAnsi="Arial MT" w:cs="Arial MT"/>
      <w:lang w:val="es-ES"/>
    </w:rPr>
  </w:style>
  <w:style w:type="paragraph" w:styleId="NormalWeb">
    <w:name w:val="Normal (Web)"/>
    <w:basedOn w:val="Normal"/>
    <w:uiPriority w:val="99"/>
    <w:unhideWhenUsed/>
    <w:rsid w:val="00561891"/>
    <w:pPr>
      <w:spacing w:before="100" w:beforeAutospacing="1" w:after="100" w:afterAutospacing="1"/>
    </w:pPr>
    <w:rPr>
      <w:rFonts w:ascii="Times New Roman" w:eastAsia="Times New Roman" w:hAnsi="Times New Roman" w:cs="Times New Roman"/>
      <w:szCs w:val="24"/>
      <w:lang w:val="es-CO" w:eastAsia="es-MX"/>
    </w:rPr>
  </w:style>
  <w:style w:type="character" w:styleId="Refdecomentario">
    <w:name w:val="annotation reference"/>
    <w:basedOn w:val="Fuentedeprrafopredeter"/>
    <w:uiPriority w:val="99"/>
    <w:semiHidden/>
    <w:unhideWhenUsed/>
    <w:rsid w:val="00DC1ED2"/>
    <w:rPr>
      <w:sz w:val="16"/>
      <w:szCs w:val="16"/>
    </w:rPr>
  </w:style>
  <w:style w:type="paragraph" w:styleId="Textocomentario">
    <w:name w:val="annotation text"/>
    <w:basedOn w:val="Normal"/>
    <w:link w:val="TextocomentarioCar"/>
    <w:uiPriority w:val="99"/>
    <w:semiHidden/>
    <w:unhideWhenUsed/>
    <w:rsid w:val="00DC1ED2"/>
    <w:rPr>
      <w:sz w:val="20"/>
      <w:szCs w:val="20"/>
    </w:rPr>
  </w:style>
  <w:style w:type="character" w:customStyle="1" w:styleId="TextocomentarioCar">
    <w:name w:val="Texto comentario Car"/>
    <w:basedOn w:val="Fuentedeprrafopredeter"/>
    <w:link w:val="Textocomentario"/>
    <w:uiPriority w:val="99"/>
    <w:semiHidden/>
    <w:rsid w:val="00DC1ED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C1ED2"/>
    <w:rPr>
      <w:b/>
      <w:bCs/>
    </w:rPr>
  </w:style>
  <w:style w:type="character" w:customStyle="1" w:styleId="AsuntodelcomentarioCar">
    <w:name w:val="Asunto del comentario Car"/>
    <w:basedOn w:val="TextocomentarioCar"/>
    <w:link w:val="Asuntodelcomentario"/>
    <w:uiPriority w:val="99"/>
    <w:semiHidden/>
    <w:rsid w:val="00DC1ED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81FE-7472-4304-A099-B4F6BBEF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0B12A-B6AB-4B5D-A983-5B635FEE7E0A}">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6cb9e4b-f1d1-4245-83ec-6cad768d538a"/>
    <ds:schemaRef ds:uri="9d85dbaf-23eb-4e57-a637-93dcacc8b1a1"/>
    <ds:schemaRef ds:uri="http://purl.org/dc/dcmitype/"/>
  </ds:schemaRefs>
</ds:datastoreItem>
</file>

<file path=customXml/itemProps3.xml><?xml version="1.0" encoding="utf-8"?>
<ds:datastoreItem xmlns:ds="http://schemas.openxmlformats.org/officeDocument/2006/customXml" ds:itemID="{F6F09B14-7237-4CBD-8DA5-5A9BEAB70D15}">
  <ds:schemaRefs>
    <ds:schemaRef ds:uri="http://schemas.microsoft.com/sharepoint/v3/contenttype/forms"/>
  </ds:schemaRefs>
</ds:datastoreItem>
</file>

<file path=customXml/itemProps4.xml><?xml version="1.0" encoding="utf-8"?>
<ds:datastoreItem xmlns:ds="http://schemas.openxmlformats.org/officeDocument/2006/customXml" ds:itemID="{1F2C57FD-6325-4AA3-B509-AFD9AF9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4472</Words>
  <Characters>24600</Characters>
  <Application>Microsoft Office Word</Application>
  <DocSecurity>0</DocSecurity>
  <Lines>205</Lines>
  <Paragraphs>58</Paragraphs>
  <ScaleCrop>false</ScaleCrop>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Laura Alejandra Materon Garcia</cp:lastModifiedBy>
  <cp:revision>6</cp:revision>
  <dcterms:created xsi:type="dcterms:W3CDTF">2021-11-22T13:30:00Z</dcterms:created>
  <dcterms:modified xsi:type="dcterms:W3CDTF">2021-11-22T15:07:00Z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