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B93138" w:rsidRDefault="00B55C69" w:rsidP="001A4314">
      <w:pPr>
        <w:jc w:val="right"/>
        <w:rPr>
          <w:rFonts w:ascii="Arial" w:eastAsia="Calibri" w:hAnsi="Arial" w:cs="Arial"/>
          <w:b/>
          <w:sz w:val="20"/>
          <w:szCs w:val="20"/>
          <w:lang w:val="es-ES_tradnl"/>
        </w:rPr>
      </w:pPr>
      <w:bookmarkStart w:id="0" w:name="_Hlk28946138"/>
      <w:bookmarkStart w:id="1" w:name="_Hlk29548183"/>
      <w:r w:rsidRPr="00B93138">
        <w:rPr>
          <w:rFonts w:ascii="Arial" w:hAnsi="Arial" w:cs="Arial"/>
          <w:bCs/>
          <w:sz w:val="16"/>
          <w:szCs w:val="16"/>
          <w:lang w:val="es-ES_tradnl" w:eastAsia="es-ES"/>
        </w:rPr>
        <w:t>CCE-DES-FM-17</w:t>
      </w:r>
      <w:bookmarkEnd w:id="0"/>
      <w:bookmarkEnd w:id="1"/>
    </w:p>
    <w:p w14:paraId="55FBD910" w14:textId="77777777" w:rsidR="008536BB" w:rsidRPr="00B93138" w:rsidRDefault="008536BB" w:rsidP="00B95C30">
      <w:pPr>
        <w:spacing w:line="276" w:lineRule="auto"/>
        <w:jc w:val="both"/>
        <w:rPr>
          <w:rFonts w:ascii="Arial" w:hAnsi="Arial" w:cs="Arial"/>
          <w:noProof/>
          <w:sz w:val="22"/>
          <w:lang w:val="es-ES_tradnl"/>
        </w:rPr>
      </w:pPr>
    </w:p>
    <w:p w14:paraId="410CC6BA" w14:textId="77777777" w:rsidR="004C76AA" w:rsidRPr="00B93138" w:rsidRDefault="004C76AA" w:rsidP="004C76AA">
      <w:pPr>
        <w:jc w:val="both"/>
        <w:rPr>
          <w:rFonts w:ascii="Arial" w:eastAsia="Calibri" w:hAnsi="Arial" w:cs="Arial"/>
          <w:b/>
          <w:sz w:val="22"/>
          <w:szCs w:val="22"/>
          <w:lang w:val="es-ES_tradnl"/>
        </w:rPr>
      </w:pPr>
      <w:bookmarkStart w:id="2" w:name="_Hlk67491171"/>
      <w:r w:rsidRPr="00B93138">
        <w:rPr>
          <w:rFonts w:ascii="Arial" w:eastAsia="Calibri" w:hAnsi="Arial" w:cs="Arial"/>
          <w:b/>
          <w:sz w:val="22"/>
          <w:szCs w:val="22"/>
          <w:lang w:val="es-ES_tradnl"/>
        </w:rPr>
        <w:t>SELECCIÓN OBJETIVA – Contratación estatal – Concepto</w:t>
      </w:r>
    </w:p>
    <w:bookmarkEnd w:id="2"/>
    <w:p w14:paraId="2230B041" w14:textId="77777777" w:rsidR="004C76AA" w:rsidRPr="00B93138" w:rsidRDefault="004C76AA" w:rsidP="004C76AA">
      <w:pPr>
        <w:tabs>
          <w:tab w:val="left" w:pos="2235"/>
        </w:tabs>
        <w:jc w:val="both"/>
        <w:rPr>
          <w:rFonts w:ascii="Arial" w:eastAsia="Calibri" w:hAnsi="Arial" w:cs="Arial"/>
          <w:b/>
          <w:lang w:val="es-ES_tradnl"/>
        </w:rPr>
      </w:pPr>
      <w:r w:rsidRPr="00B93138">
        <w:rPr>
          <w:rFonts w:ascii="Arial" w:eastAsia="Calibri" w:hAnsi="Arial" w:cs="Arial"/>
          <w:b/>
          <w:lang w:val="es-ES_tradnl"/>
        </w:rPr>
        <w:tab/>
      </w:r>
    </w:p>
    <w:p w14:paraId="40E6698E" w14:textId="77777777" w:rsidR="004C76AA" w:rsidRPr="00B93138" w:rsidRDefault="004C76AA" w:rsidP="004C76AA">
      <w:pPr>
        <w:jc w:val="both"/>
        <w:rPr>
          <w:rFonts w:ascii="Arial" w:eastAsia="Calibri" w:hAnsi="Arial" w:cs="Arial"/>
          <w:sz w:val="20"/>
          <w:szCs w:val="20"/>
          <w:lang w:val="es-ES_tradnl"/>
        </w:rPr>
      </w:pPr>
      <w:r w:rsidRPr="00B93138">
        <w:rPr>
          <w:rFonts w:ascii="Arial" w:eastAsia="Calibri" w:hAnsi="Arial" w:cs="Arial"/>
          <w:sz w:val="20"/>
          <w:szCs w:val="20"/>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626C5269" w14:textId="77777777" w:rsidR="004C76AA" w:rsidRPr="00B93138" w:rsidRDefault="004C76AA" w:rsidP="004C76AA">
      <w:pPr>
        <w:jc w:val="both"/>
        <w:rPr>
          <w:rFonts w:ascii="Arial" w:eastAsia="Calibri" w:hAnsi="Arial" w:cs="Arial"/>
          <w:b/>
          <w:lang w:val="es-ES_tradnl"/>
        </w:rPr>
      </w:pPr>
    </w:p>
    <w:p w14:paraId="70A28093" w14:textId="77777777" w:rsidR="004C76AA" w:rsidRPr="00B93138" w:rsidRDefault="004C76AA" w:rsidP="004C76AA">
      <w:pPr>
        <w:jc w:val="both"/>
        <w:rPr>
          <w:rFonts w:ascii="Arial" w:eastAsia="Calibri" w:hAnsi="Arial" w:cs="Arial"/>
          <w:b/>
          <w:sz w:val="22"/>
          <w:szCs w:val="22"/>
          <w:lang w:val="es-ES_tradnl"/>
        </w:rPr>
      </w:pPr>
      <w:bookmarkStart w:id="3" w:name="_Hlk67491186"/>
      <w:r w:rsidRPr="00B93138">
        <w:rPr>
          <w:rFonts w:ascii="Arial" w:eastAsia="Calibri" w:hAnsi="Arial" w:cs="Arial"/>
          <w:b/>
          <w:sz w:val="22"/>
          <w:szCs w:val="22"/>
          <w:lang w:val="es-ES_tradnl"/>
        </w:rPr>
        <w:t>EMPATE – Procedimiento de selección – Concepto</w:t>
      </w:r>
    </w:p>
    <w:bookmarkEnd w:id="3"/>
    <w:p w14:paraId="252B7FF7" w14:textId="77777777" w:rsidR="004C76AA" w:rsidRPr="00B93138" w:rsidRDefault="004C76AA" w:rsidP="004C76AA">
      <w:pPr>
        <w:jc w:val="both"/>
        <w:rPr>
          <w:rFonts w:ascii="Arial" w:eastAsia="Calibri" w:hAnsi="Arial" w:cs="Arial"/>
          <w:b/>
          <w:lang w:val="es-ES_tradnl"/>
        </w:rPr>
      </w:pPr>
    </w:p>
    <w:p w14:paraId="10D8E440" w14:textId="77777777" w:rsidR="004C76AA" w:rsidRPr="00B93138" w:rsidRDefault="004C76AA" w:rsidP="004C76AA">
      <w:pPr>
        <w:jc w:val="both"/>
        <w:rPr>
          <w:rFonts w:ascii="Arial" w:eastAsia="Calibri" w:hAnsi="Arial" w:cs="Arial"/>
          <w:sz w:val="20"/>
          <w:szCs w:val="20"/>
          <w:lang w:val="es-ES_tradnl"/>
        </w:rPr>
      </w:pPr>
      <w:r w:rsidRPr="00B93138">
        <w:rPr>
          <w:rFonts w:ascii="Arial" w:eastAsia="Calibri" w:hAnsi="Arial" w:cs="Arial"/>
          <w:sz w:val="20"/>
          <w:szCs w:val="20"/>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6BB92398" w14:textId="77777777" w:rsidR="004C76AA" w:rsidRPr="00B93138" w:rsidRDefault="004C76AA" w:rsidP="004C76AA">
      <w:pPr>
        <w:spacing w:line="276" w:lineRule="auto"/>
        <w:jc w:val="both"/>
        <w:rPr>
          <w:rFonts w:ascii="Arial" w:hAnsi="Arial" w:cs="Arial"/>
          <w:noProof/>
          <w:lang w:val="es-ES_tradnl"/>
        </w:rPr>
      </w:pPr>
    </w:p>
    <w:p w14:paraId="38976ED6" w14:textId="77777777" w:rsidR="004C76AA" w:rsidRPr="00B93138" w:rsidRDefault="004C76AA" w:rsidP="004C76AA">
      <w:pPr>
        <w:jc w:val="both"/>
        <w:rPr>
          <w:rFonts w:ascii="Arial" w:eastAsia="Calibri" w:hAnsi="Arial" w:cs="Arial"/>
          <w:b/>
          <w:sz w:val="22"/>
          <w:szCs w:val="22"/>
          <w:lang w:val="es-ES_tradnl"/>
        </w:rPr>
      </w:pPr>
      <w:bookmarkStart w:id="4" w:name="_Hlk67491199"/>
      <w:r w:rsidRPr="00B93138">
        <w:rPr>
          <w:rFonts w:ascii="Arial" w:eastAsia="Calibri" w:hAnsi="Arial" w:cs="Arial"/>
          <w:b/>
          <w:sz w:val="22"/>
          <w:szCs w:val="22"/>
          <w:lang w:val="es-ES_tradnl"/>
        </w:rPr>
        <w:t>FACTORES DE DESEMPATE – Características – Límites</w:t>
      </w:r>
    </w:p>
    <w:bookmarkEnd w:id="4"/>
    <w:p w14:paraId="2483E1E2" w14:textId="77777777" w:rsidR="004C76AA" w:rsidRPr="00B93138" w:rsidRDefault="004C76AA" w:rsidP="004C76AA">
      <w:pPr>
        <w:spacing w:line="276" w:lineRule="auto"/>
        <w:jc w:val="both"/>
        <w:rPr>
          <w:rFonts w:ascii="Arial" w:hAnsi="Arial" w:cs="Arial"/>
          <w:noProof/>
          <w:lang w:val="es-ES_tradnl"/>
        </w:rPr>
      </w:pPr>
    </w:p>
    <w:p w14:paraId="727D6248" w14:textId="77777777" w:rsidR="004C76AA" w:rsidRPr="00B93138" w:rsidRDefault="004C76AA" w:rsidP="004C76AA">
      <w:pPr>
        <w:jc w:val="both"/>
        <w:rPr>
          <w:rFonts w:ascii="Arial" w:eastAsia="Calibri" w:hAnsi="Arial" w:cs="Arial"/>
          <w:sz w:val="20"/>
          <w:szCs w:val="20"/>
          <w:lang w:val="es-ES_tradnl"/>
        </w:rPr>
      </w:pPr>
      <w:r w:rsidRPr="00B93138">
        <w:rPr>
          <w:rFonts w:ascii="Arial" w:eastAsia="Calibri" w:hAnsi="Arial" w:cs="Arial"/>
          <w:sz w:val="20"/>
          <w:szCs w:val="20"/>
          <w:lang w:val="es-ES_tradnl"/>
        </w:rPr>
        <w:t xml:space="preserve">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 </w:t>
      </w:r>
    </w:p>
    <w:p w14:paraId="4F30536D" w14:textId="77777777" w:rsidR="004C76AA" w:rsidRPr="00B93138" w:rsidRDefault="004C76AA" w:rsidP="004C76AA">
      <w:pPr>
        <w:spacing w:before="120"/>
        <w:jc w:val="both"/>
        <w:rPr>
          <w:rFonts w:ascii="Arial" w:eastAsia="Calibri" w:hAnsi="Arial" w:cs="Arial"/>
          <w:sz w:val="20"/>
          <w:szCs w:val="20"/>
          <w:lang w:val="es-ES_tradnl"/>
        </w:rPr>
      </w:pPr>
      <w:r w:rsidRPr="00B93138">
        <w:rPr>
          <w:rFonts w:ascii="Arial" w:eastAsia="Calibri" w:hAnsi="Arial" w:cs="Arial"/>
          <w:sz w:val="20"/>
          <w:szCs w:val="20"/>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 Más aún, el Consejo de Estado ha señalado que contrariar los factores de desempate genera la nulidad del contrato, conforme al artículo 44, inciso 1º de la Ley 80 de 1993.</w:t>
      </w:r>
    </w:p>
    <w:p w14:paraId="0BFD4C66" w14:textId="689B7ADC" w:rsidR="004C76AA" w:rsidRPr="00B93138" w:rsidRDefault="004C76AA" w:rsidP="004C76AA">
      <w:pPr>
        <w:jc w:val="both"/>
        <w:rPr>
          <w:rFonts w:ascii="Arial" w:eastAsia="Calibri" w:hAnsi="Arial" w:cs="Arial"/>
          <w:b/>
          <w:lang w:val="es-ES_tradnl"/>
        </w:rPr>
      </w:pPr>
    </w:p>
    <w:p w14:paraId="2FC52C01" w14:textId="3A35F349" w:rsidR="00186155" w:rsidRPr="00B93138" w:rsidRDefault="00186155" w:rsidP="004C76AA">
      <w:pPr>
        <w:jc w:val="both"/>
        <w:rPr>
          <w:rFonts w:ascii="Arial" w:eastAsia="Calibri" w:hAnsi="Arial" w:cs="Arial"/>
          <w:b/>
          <w:lang w:val="es-ES_tradnl"/>
        </w:rPr>
      </w:pPr>
    </w:p>
    <w:p w14:paraId="42C317F4" w14:textId="77777777" w:rsidR="00186155" w:rsidRPr="00B93138" w:rsidRDefault="00186155" w:rsidP="004C76AA">
      <w:pPr>
        <w:jc w:val="both"/>
        <w:rPr>
          <w:rFonts w:ascii="Arial" w:eastAsia="Calibri" w:hAnsi="Arial" w:cs="Arial"/>
          <w:b/>
          <w:lang w:val="es-ES_tradnl"/>
        </w:rPr>
      </w:pPr>
    </w:p>
    <w:p w14:paraId="0F68A9B1" w14:textId="77777777" w:rsidR="004C76AA" w:rsidRPr="00B93138" w:rsidRDefault="004C76AA" w:rsidP="004C76AA">
      <w:pPr>
        <w:jc w:val="both"/>
        <w:rPr>
          <w:rFonts w:ascii="Arial" w:eastAsia="Calibri" w:hAnsi="Arial" w:cs="Arial"/>
          <w:b/>
          <w:sz w:val="22"/>
          <w:szCs w:val="22"/>
          <w:lang w:val="es-ES_tradnl"/>
        </w:rPr>
      </w:pPr>
      <w:bookmarkStart w:id="5" w:name="_Hlk67491213"/>
      <w:r w:rsidRPr="00B93138">
        <w:rPr>
          <w:rFonts w:ascii="Arial" w:eastAsia="Calibri" w:hAnsi="Arial" w:cs="Arial"/>
          <w:b/>
          <w:sz w:val="22"/>
          <w:szCs w:val="22"/>
          <w:lang w:val="es-ES_tradnl"/>
        </w:rPr>
        <w:lastRenderedPageBreak/>
        <w:t xml:space="preserve">LEY DE EMPRENDIMIENTO – Ley 2069 de 2020 – Vigencia </w:t>
      </w:r>
    </w:p>
    <w:bookmarkEnd w:id="5"/>
    <w:p w14:paraId="3D42AD77" w14:textId="77777777" w:rsidR="004C76AA" w:rsidRPr="00B93138" w:rsidRDefault="004C76AA" w:rsidP="004C76AA">
      <w:pPr>
        <w:jc w:val="both"/>
        <w:rPr>
          <w:rFonts w:ascii="Arial" w:eastAsia="Calibri" w:hAnsi="Arial" w:cs="Arial"/>
          <w:b/>
          <w:lang w:val="es-ES_tradnl"/>
        </w:rPr>
      </w:pPr>
    </w:p>
    <w:p w14:paraId="4205709E" w14:textId="77777777" w:rsidR="004C76AA" w:rsidRPr="00B93138" w:rsidRDefault="004C76AA" w:rsidP="004C76AA">
      <w:pPr>
        <w:spacing w:after="120"/>
        <w:jc w:val="both"/>
        <w:rPr>
          <w:rFonts w:ascii="Arial" w:eastAsia="Calibri" w:hAnsi="Arial" w:cs="Arial"/>
          <w:sz w:val="20"/>
          <w:szCs w:val="20"/>
          <w:lang w:val="es-ES_tradnl"/>
        </w:rPr>
      </w:pPr>
      <w:r w:rsidRPr="00B93138">
        <w:rPr>
          <w:rFonts w:ascii="Arial" w:eastAsia="Calibri" w:hAnsi="Arial" w:cs="Arial"/>
          <w:sz w:val="20"/>
          <w:szCs w:val="20"/>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7220464F" w14:textId="4D4AB796" w:rsidR="004C76AA" w:rsidRPr="00B93138" w:rsidRDefault="004C76AA" w:rsidP="004C76AA">
      <w:pPr>
        <w:jc w:val="both"/>
        <w:rPr>
          <w:rFonts w:ascii="Arial" w:eastAsia="Calibri" w:hAnsi="Arial" w:cs="Arial"/>
          <w:b/>
          <w:sz w:val="22"/>
          <w:lang w:val="es-ES_tradnl"/>
        </w:rPr>
      </w:pPr>
      <w:r w:rsidRPr="00B93138">
        <w:rPr>
          <w:rFonts w:ascii="Arial" w:eastAsia="Calibri" w:hAnsi="Arial" w:cs="Arial"/>
          <w:sz w:val="20"/>
          <w:szCs w:val="20"/>
          <w:lang w:val="es-ES_tradnl"/>
        </w:rPr>
        <w:t xml:space="preserve">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w:t>
      </w:r>
      <w:r w:rsidR="00042D01" w:rsidRPr="00B93138">
        <w:rPr>
          <w:rFonts w:ascii="Arial" w:eastAsia="Calibri" w:hAnsi="Arial" w:cs="Arial"/>
          <w:sz w:val="20"/>
          <w:szCs w:val="20"/>
          <w:lang w:val="es-ES_tradnl"/>
        </w:rPr>
        <w:t>con</w:t>
      </w:r>
      <w:r w:rsidRPr="00B93138">
        <w:rPr>
          <w:rFonts w:ascii="Arial" w:eastAsia="Calibri" w:hAnsi="Arial" w:cs="Arial"/>
          <w:sz w:val="20"/>
          <w:szCs w:val="20"/>
          <w:lang w:val="es-ES_tradnl"/>
        </w:rPr>
        <w:t xml:space="preserve"> las realidades socioeconómicas de cada región». En desarrollo de esta finalidad, se establecen medidas de apoyo para las micro, pequeñas y medianas empresas –</w:t>
      </w:r>
      <w:proofErr w:type="spellStart"/>
      <w:r w:rsidRPr="00B93138">
        <w:rPr>
          <w:rFonts w:ascii="Arial" w:eastAsia="Calibri" w:hAnsi="Arial" w:cs="Arial"/>
          <w:sz w:val="20"/>
          <w:szCs w:val="20"/>
          <w:lang w:val="es-ES_tradnl"/>
        </w:rPr>
        <w:t>mipymes</w:t>
      </w:r>
      <w:proofErr w:type="spellEnd"/>
      <w:r w:rsidRPr="00B93138">
        <w:rPr>
          <w:rFonts w:ascii="Arial" w:eastAsia="Calibri" w:hAnsi="Arial" w:cs="Arial"/>
          <w:sz w:val="20"/>
          <w:szCs w:val="20"/>
          <w:lang w:val="es-ES_tradnl"/>
        </w:rPr>
        <w:t>–, mediante la racionalización y simplificación de los trámites y tarifas, así como incentivos a favor de aquellas dentro del sistema de compras y contratación pública. De igual forma, se consagran mecanismos de acceso al financiamiento, se unifican las fuentes de emprendimiento y de desarrollo empresarial, para fortalecer y promover los distintos sectores de la economía y se prevén medidas de educación para</w:t>
      </w:r>
    </w:p>
    <w:p w14:paraId="48215027" w14:textId="77777777" w:rsidR="004C76AA" w:rsidRPr="00B93138" w:rsidRDefault="004C76AA" w:rsidP="00EC224E">
      <w:pPr>
        <w:jc w:val="both"/>
        <w:rPr>
          <w:rFonts w:ascii="Arial" w:eastAsia="Calibri" w:hAnsi="Arial" w:cs="Arial"/>
          <w:b/>
          <w:sz w:val="22"/>
          <w:lang w:val="es-ES_tradnl"/>
        </w:rPr>
      </w:pPr>
    </w:p>
    <w:p w14:paraId="0C1F0ABD" w14:textId="77777777" w:rsidR="00186155" w:rsidRPr="00B93138" w:rsidRDefault="00186155" w:rsidP="00186155">
      <w:pPr>
        <w:jc w:val="both"/>
        <w:rPr>
          <w:rFonts w:ascii="Arial" w:eastAsia="Calibri" w:hAnsi="Arial" w:cs="Arial"/>
          <w:b/>
          <w:sz w:val="22"/>
          <w:szCs w:val="22"/>
          <w:lang w:val="es-ES_tradnl"/>
        </w:rPr>
      </w:pPr>
      <w:bookmarkStart w:id="6" w:name="_Hlk67491223"/>
      <w:r w:rsidRPr="00B93138">
        <w:rPr>
          <w:rFonts w:ascii="Arial" w:eastAsia="Calibri" w:hAnsi="Arial" w:cs="Arial"/>
          <w:b/>
          <w:sz w:val="22"/>
          <w:szCs w:val="22"/>
          <w:lang w:val="es-ES_tradnl"/>
        </w:rPr>
        <w:t>DECRETO 1082 DE 2015 – Artículo 2.2.1.1.2.2.9. – Derogatoria – Decaimiento</w:t>
      </w:r>
    </w:p>
    <w:bookmarkEnd w:id="6"/>
    <w:p w14:paraId="1DEB9A34" w14:textId="77777777" w:rsidR="00186155" w:rsidRPr="00B93138" w:rsidRDefault="00186155" w:rsidP="00186155">
      <w:pPr>
        <w:spacing w:line="276" w:lineRule="auto"/>
        <w:jc w:val="both"/>
        <w:rPr>
          <w:rFonts w:ascii="Arial" w:hAnsi="Arial" w:cs="Arial"/>
          <w:noProof/>
          <w:lang w:val="es-ES_tradnl"/>
        </w:rPr>
      </w:pPr>
    </w:p>
    <w:p w14:paraId="72877070" w14:textId="77777777" w:rsidR="00186155" w:rsidRPr="00B93138" w:rsidRDefault="00186155" w:rsidP="00186155">
      <w:pPr>
        <w:spacing w:after="120"/>
        <w:jc w:val="both"/>
        <w:rPr>
          <w:rFonts w:ascii="Arial" w:hAnsi="Arial" w:cs="Arial"/>
          <w:sz w:val="20"/>
          <w:szCs w:val="20"/>
          <w:lang w:val="es-ES_tradnl"/>
        </w:rPr>
      </w:pPr>
      <w:r w:rsidRPr="00B93138">
        <w:rPr>
          <w:rFonts w:ascii="Arial" w:hAnsi="Arial" w:cs="Arial"/>
          <w:sz w:val="20"/>
          <w:szCs w:val="20"/>
          <w:lang w:val="es-ES_tradnl"/>
        </w:rPr>
        <w:t xml:space="preserve">Ahora bien, hasta la promulgación de la Ley 2069 de 2020, el artículo 2.2.1.1.2.2.9. del Decreto 1082 de 2015 regulaba los factores de desempate que debían aplicarse en los procesos de selección. En criterio de esta Agencia, dicha norma debe entenderse derogada por el artículo 35 de la Ley 2069 de 2020. Ello no solo porque el artículo 84 dispone que «rige a partir del momento de su promulgación», es decir, desde el 31 de diciembre de 2020, sino además porque la misma disposición señala que la Ley 2069 de 2020 deroga «[…] todas las disposiciones que le sean contrarias». Se presenta una antinomia o contradicción normativa cuando dos o más disposiciones normativas regulan en sentido diferente un tema. Bajo esta consideración, como el artículo 35 de la Ley 2069 de 2020 regula en forma distinta a como lo hacía el artículo 2.2.1.1.2.2.9. del Decreto 1082 de 2015 la aplicación de los factores de desempate, este último debe entenderse derogado. </w:t>
      </w:r>
    </w:p>
    <w:p w14:paraId="50F177B1" w14:textId="4671C4FE" w:rsidR="00186155" w:rsidRPr="00B93138" w:rsidRDefault="00186155" w:rsidP="00186155">
      <w:pPr>
        <w:jc w:val="both"/>
        <w:rPr>
          <w:rFonts w:ascii="Arial" w:hAnsi="Arial" w:cs="Arial"/>
          <w:sz w:val="20"/>
          <w:szCs w:val="20"/>
          <w:lang w:val="es-ES_tradnl"/>
        </w:rPr>
      </w:pPr>
      <w:r w:rsidRPr="00B93138">
        <w:rPr>
          <w:rFonts w:ascii="Arial" w:hAnsi="Arial" w:cs="Arial"/>
          <w:sz w:val="20"/>
          <w:szCs w:val="20"/>
          <w:lang w:val="es-ES_tradnl"/>
        </w:rPr>
        <w:t xml:space="preserve">Un argumento adicional para sostener esta tesis tiene que ver con el fenómeno de la pérdida de fuerza ejecutoria –o decaimiento– de los actos administrativos, regulado en el numeral 2 del artículo 91 de la Ley 1437 de 2011. Esta norma señala que los actos administrativos pierden fuerza ejecutoria «Cuando desaparezcan sus fundamentos de hecho o de derecho». Dado que el Decreto 1082 de 2015 es un reglamento </w:t>
      </w:r>
      <w:proofErr w:type="spellStart"/>
      <w:r w:rsidRPr="00B93138">
        <w:rPr>
          <w:rFonts w:ascii="Arial" w:hAnsi="Arial" w:cs="Arial"/>
          <w:i/>
          <w:iCs/>
          <w:sz w:val="20"/>
          <w:szCs w:val="20"/>
          <w:lang w:val="es-ES_tradnl"/>
        </w:rPr>
        <w:t>secundum</w:t>
      </w:r>
      <w:proofErr w:type="spellEnd"/>
      <w:r w:rsidRPr="00B93138">
        <w:rPr>
          <w:rFonts w:ascii="Arial" w:hAnsi="Arial" w:cs="Arial"/>
          <w:i/>
          <w:iCs/>
          <w:sz w:val="20"/>
          <w:szCs w:val="20"/>
          <w:lang w:val="es-ES_tradnl"/>
        </w:rPr>
        <w:t xml:space="preserve"> </w:t>
      </w:r>
      <w:proofErr w:type="spellStart"/>
      <w:r w:rsidRPr="00B93138">
        <w:rPr>
          <w:rFonts w:ascii="Arial" w:hAnsi="Arial" w:cs="Arial"/>
          <w:i/>
          <w:iCs/>
          <w:sz w:val="20"/>
          <w:szCs w:val="20"/>
          <w:lang w:val="es-ES_tradnl"/>
        </w:rPr>
        <w:t>legem</w:t>
      </w:r>
      <w:proofErr w:type="spellEnd"/>
      <w:r w:rsidRPr="00B93138">
        <w:rPr>
          <w:rFonts w:ascii="Arial" w:hAnsi="Arial" w:cs="Arial"/>
          <w:sz w:val="20"/>
          <w:szCs w:val="20"/>
          <w:lang w:val="es-ES_tradnl"/>
        </w:rPr>
        <w:t xml:space="preserve"> –es decir, que desarrolla una norma de mayor jerarquía–, la expedición de una ley en sentido formal –es</w:t>
      </w:r>
      <w:r w:rsidR="00122CF1" w:rsidRPr="00B93138">
        <w:rPr>
          <w:rFonts w:ascii="Arial" w:hAnsi="Arial" w:cs="Arial"/>
          <w:sz w:val="20"/>
          <w:szCs w:val="20"/>
          <w:lang w:val="es-ES_tradnl"/>
        </w:rPr>
        <w:t>to es</w:t>
      </w:r>
      <w:r w:rsidRPr="00B93138">
        <w:rPr>
          <w:rFonts w:ascii="Arial" w:hAnsi="Arial" w:cs="Arial"/>
          <w:sz w:val="20"/>
          <w:szCs w:val="20"/>
          <w:lang w:val="es-ES_tradnl"/>
        </w:rPr>
        <w:t xml:space="preserve">, una fuente que condiciona el contenido de este último–, hace que la disposición reglamentaria decaiga.   </w:t>
      </w:r>
    </w:p>
    <w:p w14:paraId="6CC52CFE" w14:textId="4FB998BF" w:rsidR="00C61863" w:rsidRPr="00B93138" w:rsidRDefault="005E04C5" w:rsidP="00C61863">
      <w:pPr>
        <w:tabs>
          <w:tab w:val="left" w:pos="709"/>
        </w:tabs>
        <w:spacing w:line="276" w:lineRule="auto"/>
        <w:jc w:val="both"/>
        <w:rPr>
          <w:rFonts w:ascii="Arial" w:eastAsia="Calibri" w:hAnsi="Arial" w:cs="Arial"/>
          <w:sz w:val="22"/>
          <w:szCs w:val="22"/>
          <w:lang w:val="es-ES_tradnl"/>
        </w:rPr>
      </w:pPr>
      <w:r w:rsidRPr="00B93138">
        <w:rPr>
          <w:rFonts w:ascii="Arial" w:eastAsia="Calibri" w:hAnsi="Arial" w:cs="Arial"/>
          <w:sz w:val="22"/>
          <w:szCs w:val="22"/>
          <w:lang w:val="es-ES_tradnl"/>
        </w:rPr>
        <w:tab/>
      </w:r>
    </w:p>
    <w:p w14:paraId="5A5F7171" w14:textId="41474AA2" w:rsidR="00C61863" w:rsidRPr="00B93138" w:rsidRDefault="00C61863" w:rsidP="00C61863">
      <w:pPr>
        <w:spacing w:line="276" w:lineRule="auto"/>
        <w:jc w:val="both"/>
        <w:rPr>
          <w:rFonts w:ascii="Arial" w:hAnsi="Arial" w:cs="Arial"/>
          <w:b/>
          <w:bCs/>
          <w:noProof/>
          <w:sz w:val="22"/>
          <w:lang w:val="es-ES_tradnl"/>
        </w:rPr>
      </w:pPr>
      <w:r w:rsidRPr="00B93138">
        <w:rPr>
          <w:rFonts w:ascii="Arial" w:hAnsi="Arial" w:cs="Arial"/>
          <w:b/>
          <w:bCs/>
          <w:noProof/>
          <w:sz w:val="22"/>
          <w:lang w:val="es-ES_tradnl"/>
        </w:rPr>
        <w:t xml:space="preserve">FACTORES DE DESEMPATE </w:t>
      </w:r>
      <w:r w:rsidRPr="00B93138">
        <w:rPr>
          <w:rFonts w:ascii="Arial" w:hAnsi="Arial" w:cs="Arial"/>
          <w:b/>
          <w:bCs/>
          <w:noProof/>
          <w:sz w:val="22"/>
          <w:lang w:val="es-ES_tradnl"/>
        </w:rPr>
        <w:softHyphen/>
        <w:t xml:space="preserve">– Mínima cuantía </w:t>
      </w:r>
      <w:r w:rsidR="005416CA" w:rsidRPr="00B93138">
        <w:rPr>
          <w:rFonts w:ascii="Arial" w:hAnsi="Arial" w:cs="Arial"/>
          <w:b/>
          <w:bCs/>
          <w:noProof/>
          <w:sz w:val="22"/>
          <w:lang w:val="es-ES_tradnl"/>
        </w:rPr>
        <w:t xml:space="preserve">– </w:t>
      </w:r>
      <w:r w:rsidRPr="00B93138">
        <w:rPr>
          <w:rFonts w:ascii="Arial" w:hAnsi="Arial" w:cs="Arial"/>
          <w:b/>
          <w:bCs/>
          <w:noProof/>
          <w:sz w:val="22"/>
          <w:lang w:val="es-ES_tradnl"/>
        </w:rPr>
        <w:t xml:space="preserve">Ley 2069 de 2020 </w:t>
      </w:r>
      <w:r w:rsidR="00186155" w:rsidRPr="00B93138">
        <w:rPr>
          <w:rFonts w:ascii="Arial" w:hAnsi="Arial" w:cs="Arial"/>
          <w:b/>
          <w:bCs/>
          <w:noProof/>
          <w:sz w:val="22"/>
          <w:lang w:val="es-ES_tradnl"/>
        </w:rPr>
        <w:t xml:space="preserve">– Artículo 35 </w:t>
      </w:r>
      <w:r w:rsidRPr="00B93138">
        <w:rPr>
          <w:rFonts w:ascii="Arial" w:hAnsi="Arial" w:cs="Arial"/>
          <w:b/>
          <w:bCs/>
          <w:noProof/>
          <w:sz w:val="22"/>
          <w:lang w:val="es-ES_tradnl"/>
        </w:rPr>
        <w:t xml:space="preserve">– Factores de desempate – Aplicación – Puntaje </w:t>
      </w:r>
    </w:p>
    <w:p w14:paraId="5AC533C2" w14:textId="77777777" w:rsidR="00C61863" w:rsidRPr="00B93138" w:rsidRDefault="00C61863" w:rsidP="00C61863">
      <w:pPr>
        <w:tabs>
          <w:tab w:val="left" w:pos="709"/>
        </w:tabs>
        <w:spacing w:line="276" w:lineRule="auto"/>
        <w:jc w:val="both"/>
        <w:rPr>
          <w:rFonts w:ascii="Arial" w:eastAsia="Calibri" w:hAnsi="Arial" w:cs="Arial"/>
          <w:sz w:val="22"/>
          <w:szCs w:val="22"/>
          <w:lang w:val="es-ES_tradnl"/>
        </w:rPr>
      </w:pPr>
    </w:p>
    <w:p w14:paraId="55F1A991" w14:textId="159F1367" w:rsidR="005416CA" w:rsidRPr="00B93138" w:rsidRDefault="005416CA" w:rsidP="005416CA">
      <w:pPr>
        <w:tabs>
          <w:tab w:val="left" w:pos="709"/>
        </w:tabs>
        <w:jc w:val="both"/>
        <w:rPr>
          <w:rFonts w:ascii="Arial" w:eastAsia="Calibri" w:hAnsi="Arial" w:cs="Arial"/>
          <w:sz w:val="20"/>
          <w:szCs w:val="20"/>
          <w:lang w:val="es-ES_tradnl"/>
        </w:rPr>
      </w:pPr>
      <w:r w:rsidRPr="00B93138">
        <w:rPr>
          <w:rFonts w:ascii="Arial" w:eastAsia="Calibri" w:hAnsi="Arial" w:cs="Arial"/>
          <w:sz w:val="20"/>
          <w:szCs w:val="20"/>
          <w:lang w:val="es-ES_tradnl"/>
        </w:rPr>
        <w:t xml:space="preserve">El artículo 35 de la Ley 2069 de 2020, que modifica el régimen de los factores de desempate en la contratación estatal, se encuentra vigente y goza de aplicación directa desde la fecha de su promulgación, es decir, no requiere de una reglamentación previa como presupuesto para su eficacia. Estos criterios de desempate actualmente son aplicables a todas las entidades estatales, independientemente de su régimen de contratación. Ahora bien, hasta la promulgación de la Ley </w:t>
      </w:r>
      <w:r w:rsidRPr="00B93138">
        <w:rPr>
          <w:rFonts w:ascii="Arial" w:eastAsia="Calibri" w:hAnsi="Arial" w:cs="Arial"/>
          <w:sz w:val="20"/>
          <w:szCs w:val="20"/>
          <w:lang w:val="es-ES_tradnl"/>
        </w:rPr>
        <w:lastRenderedPageBreak/>
        <w:t xml:space="preserve">2069 de 2020, el artículo 2.2.1.1.2.2.9. del Decreto 1082 de 2015 regulaba los factores de desempate que debían aplicarse en los procesos de selección. En criterio de esta Agencia, dicha norma debe entenderse derogada por el artículo 35 de la Ley 2069 de 2020. Ello no solo porque el artículo 84 de esta Ley dice que «rige a partir del momento de su promulgación», es decir, desde el 31 de diciembre de 2020, sino además porque la misma disposición señala que la Ley 2069 de 2020 deroga «[…] todas las disposiciones que le sean contrarias». Un argumento adicional para sostener esta tesis tiene que ver con el fenómeno de la pérdida de fuerza ejecutoria –o decaimiento– de los actos administrativos, regulado en el numeral 2 del artículo 91 de la Ley 1437 de 2011. Dado que el Decreto 1082 de 2015 es un reglamento </w:t>
      </w:r>
      <w:proofErr w:type="spellStart"/>
      <w:r w:rsidRPr="00B93138">
        <w:rPr>
          <w:rFonts w:ascii="Arial" w:eastAsia="Calibri" w:hAnsi="Arial" w:cs="Arial"/>
          <w:sz w:val="20"/>
          <w:szCs w:val="20"/>
          <w:lang w:val="es-ES_tradnl"/>
        </w:rPr>
        <w:t>secundum</w:t>
      </w:r>
      <w:proofErr w:type="spellEnd"/>
      <w:r w:rsidRPr="00B93138">
        <w:rPr>
          <w:rFonts w:ascii="Arial" w:eastAsia="Calibri" w:hAnsi="Arial" w:cs="Arial"/>
          <w:sz w:val="20"/>
          <w:szCs w:val="20"/>
          <w:lang w:val="es-ES_tradnl"/>
        </w:rPr>
        <w:t xml:space="preserve"> </w:t>
      </w:r>
      <w:proofErr w:type="spellStart"/>
      <w:r w:rsidRPr="00B93138">
        <w:rPr>
          <w:rFonts w:ascii="Arial" w:eastAsia="Calibri" w:hAnsi="Arial" w:cs="Arial"/>
          <w:sz w:val="20"/>
          <w:szCs w:val="20"/>
          <w:lang w:val="es-ES_tradnl"/>
        </w:rPr>
        <w:t>legem</w:t>
      </w:r>
      <w:proofErr w:type="spellEnd"/>
      <w:r w:rsidRPr="00B93138">
        <w:rPr>
          <w:rFonts w:ascii="Arial" w:eastAsia="Calibri" w:hAnsi="Arial" w:cs="Arial"/>
          <w:sz w:val="20"/>
          <w:szCs w:val="20"/>
          <w:lang w:val="es-ES_tradnl"/>
        </w:rPr>
        <w:t xml:space="preserve"> –es decir, que desarrolla una norma de mayor jerarquía–, la expedición de una ley en sentido formal –es</w:t>
      </w:r>
      <w:r w:rsidR="0096284A" w:rsidRPr="00B93138">
        <w:rPr>
          <w:rFonts w:ascii="Arial" w:eastAsia="Calibri" w:hAnsi="Arial" w:cs="Arial"/>
          <w:sz w:val="20"/>
          <w:szCs w:val="20"/>
          <w:lang w:val="es-ES_tradnl"/>
        </w:rPr>
        <w:t>to es</w:t>
      </w:r>
      <w:r w:rsidRPr="00B93138">
        <w:rPr>
          <w:rFonts w:ascii="Arial" w:eastAsia="Calibri" w:hAnsi="Arial" w:cs="Arial"/>
          <w:sz w:val="20"/>
          <w:szCs w:val="20"/>
          <w:lang w:val="es-ES_tradnl"/>
        </w:rPr>
        <w:t xml:space="preserve">, una fuente que condiciona el contenido de este último–, hace que la disposición reglamentaria decaiga.  </w:t>
      </w:r>
    </w:p>
    <w:p w14:paraId="4CCD1553" w14:textId="77777777" w:rsidR="005416CA" w:rsidRPr="00B93138" w:rsidRDefault="005416CA" w:rsidP="005416CA">
      <w:pPr>
        <w:tabs>
          <w:tab w:val="left" w:pos="709"/>
        </w:tabs>
        <w:jc w:val="both"/>
        <w:rPr>
          <w:rFonts w:ascii="Arial" w:eastAsia="Calibri" w:hAnsi="Arial" w:cs="Arial"/>
          <w:sz w:val="20"/>
          <w:szCs w:val="20"/>
          <w:lang w:val="es-ES_tradnl"/>
        </w:rPr>
      </w:pPr>
    </w:p>
    <w:p w14:paraId="666856BF" w14:textId="1E7D4233" w:rsidR="00004173" w:rsidRPr="00B93138" w:rsidRDefault="00E55A44" w:rsidP="005E04C5">
      <w:pPr>
        <w:jc w:val="both"/>
        <w:rPr>
          <w:rFonts w:ascii="Arial" w:hAnsi="Arial" w:cs="Arial"/>
          <w:noProof/>
          <w:sz w:val="22"/>
          <w:lang w:val="es-ES_tradnl"/>
        </w:rPr>
      </w:pPr>
      <w:r w:rsidRPr="00B93138">
        <w:rPr>
          <w:rFonts w:ascii="Arial" w:eastAsia="Calibri" w:hAnsi="Arial" w:cs="Arial"/>
          <w:sz w:val="20"/>
          <w:szCs w:val="20"/>
          <w:lang w:val="es-ES_tradnl"/>
        </w:rPr>
        <w:t>Lo explicado en los párrafos precedentes también aplica mutatis mutandis a los factores de desempate previstos en el Decreto Único Reglamentario del Sector Administrativo de Planeación Nacional para la mínima cuantía. En efecto, si bien el parágrafo 2 del artículo 30 de la Ley de Emprendimiento dispone que «La contratación a que se refiere el presente artículo se realizará exclusivamente con las reglas en él contempladas y en su reglamentación […], las causales del artículo 35 de la Ley 2069 de 2020 aplican a los «[…]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 sin distinguir entre modalidades de selección.</w:t>
      </w:r>
    </w:p>
    <w:p w14:paraId="559444FF" w14:textId="3427D45D" w:rsidR="006D58F2" w:rsidRPr="00B93138" w:rsidRDefault="006D58F2" w:rsidP="00B95C30">
      <w:pPr>
        <w:spacing w:line="276" w:lineRule="auto"/>
        <w:jc w:val="both"/>
        <w:rPr>
          <w:rFonts w:ascii="Arial" w:hAnsi="Arial" w:cs="Arial"/>
          <w:noProof/>
          <w:sz w:val="22"/>
          <w:lang w:val="es-ES_tradnl"/>
        </w:rPr>
      </w:pPr>
    </w:p>
    <w:p w14:paraId="770AB292" w14:textId="7071937B" w:rsidR="006D58F2" w:rsidRPr="00B93138" w:rsidRDefault="006D58F2" w:rsidP="00B95C30">
      <w:pPr>
        <w:spacing w:line="276" w:lineRule="auto"/>
        <w:jc w:val="both"/>
        <w:rPr>
          <w:rFonts w:ascii="Arial" w:hAnsi="Arial" w:cs="Arial"/>
          <w:noProof/>
          <w:sz w:val="22"/>
          <w:lang w:val="es-ES_tradnl"/>
        </w:rPr>
      </w:pPr>
    </w:p>
    <w:p w14:paraId="5033CD0B" w14:textId="6E4E0678" w:rsidR="006D58F2" w:rsidRPr="00B93138" w:rsidRDefault="006D58F2" w:rsidP="00B95C30">
      <w:pPr>
        <w:spacing w:line="276" w:lineRule="auto"/>
        <w:jc w:val="both"/>
        <w:rPr>
          <w:rFonts w:ascii="Arial" w:hAnsi="Arial" w:cs="Arial"/>
          <w:noProof/>
          <w:sz w:val="22"/>
          <w:lang w:val="es-ES_tradnl"/>
        </w:rPr>
      </w:pPr>
    </w:p>
    <w:p w14:paraId="425B23E0" w14:textId="77777777" w:rsidR="006D58F2" w:rsidRPr="00B93138" w:rsidRDefault="006D58F2" w:rsidP="00B95C30">
      <w:pPr>
        <w:spacing w:line="276" w:lineRule="auto"/>
        <w:jc w:val="both"/>
        <w:rPr>
          <w:rFonts w:ascii="Arial" w:hAnsi="Arial" w:cs="Arial"/>
          <w:noProof/>
          <w:sz w:val="22"/>
          <w:lang w:val="es-ES_tradnl"/>
        </w:rPr>
      </w:pPr>
    </w:p>
    <w:p w14:paraId="24A88D3F" w14:textId="692A56A9" w:rsidR="00F53F4F" w:rsidRPr="00B93138" w:rsidRDefault="00F53F4F" w:rsidP="00B95C30">
      <w:pPr>
        <w:jc w:val="both"/>
        <w:rPr>
          <w:rFonts w:ascii="Arial" w:hAnsi="Arial" w:cs="Arial"/>
          <w:b/>
          <w:sz w:val="22"/>
          <w:lang w:val="es-ES_tradnl"/>
        </w:rPr>
      </w:pPr>
    </w:p>
    <w:p w14:paraId="184B7488" w14:textId="6DBCC181" w:rsidR="00097F53" w:rsidRPr="00B93138" w:rsidRDefault="00097F53" w:rsidP="00B95C30">
      <w:pPr>
        <w:jc w:val="both"/>
        <w:rPr>
          <w:rFonts w:ascii="Arial" w:hAnsi="Arial" w:cs="Arial"/>
          <w:b/>
          <w:sz w:val="22"/>
          <w:lang w:val="es-ES_tradnl"/>
        </w:rPr>
      </w:pPr>
    </w:p>
    <w:p w14:paraId="7D585357" w14:textId="40823CF2" w:rsidR="00BE3700" w:rsidRPr="00B93138" w:rsidRDefault="00BE3700" w:rsidP="00B95C30">
      <w:pPr>
        <w:jc w:val="both"/>
        <w:rPr>
          <w:rFonts w:ascii="Arial" w:hAnsi="Arial" w:cs="Arial"/>
          <w:b/>
          <w:sz w:val="22"/>
          <w:lang w:val="es-ES_tradnl"/>
        </w:rPr>
      </w:pPr>
    </w:p>
    <w:p w14:paraId="5F68F1FE" w14:textId="5818948F" w:rsidR="00BE3700" w:rsidRPr="00B93138" w:rsidRDefault="00BE3700" w:rsidP="00B95C30">
      <w:pPr>
        <w:jc w:val="both"/>
        <w:rPr>
          <w:rFonts w:ascii="Arial" w:hAnsi="Arial" w:cs="Arial"/>
          <w:b/>
          <w:sz w:val="22"/>
          <w:lang w:val="es-ES_tradnl"/>
        </w:rPr>
      </w:pPr>
    </w:p>
    <w:p w14:paraId="42081262" w14:textId="4AB60AAC" w:rsidR="00BE3700" w:rsidRPr="00B93138" w:rsidRDefault="00BE3700" w:rsidP="00B95C30">
      <w:pPr>
        <w:jc w:val="both"/>
        <w:rPr>
          <w:rFonts w:ascii="Arial" w:hAnsi="Arial" w:cs="Arial"/>
          <w:b/>
          <w:sz w:val="22"/>
          <w:lang w:val="es-ES_tradnl"/>
        </w:rPr>
      </w:pPr>
    </w:p>
    <w:p w14:paraId="44C456DB" w14:textId="3B44D864" w:rsidR="00BE3700" w:rsidRPr="00B93138" w:rsidRDefault="00BE3700" w:rsidP="00B95C30">
      <w:pPr>
        <w:jc w:val="both"/>
        <w:rPr>
          <w:rFonts w:ascii="Arial" w:hAnsi="Arial" w:cs="Arial"/>
          <w:b/>
          <w:sz w:val="22"/>
          <w:lang w:val="es-ES_tradnl"/>
        </w:rPr>
      </w:pPr>
    </w:p>
    <w:p w14:paraId="5B2E3D15" w14:textId="17EA36C8" w:rsidR="00BE3700" w:rsidRPr="00B93138" w:rsidRDefault="00BE3700" w:rsidP="00B95C30">
      <w:pPr>
        <w:jc w:val="both"/>
        <w:rPr>
          <w:rFonts w:ascii="Arial" w:hAnsi="Arial" w:cs="Arial"/>
          <w:b/>
          <w:sz w:val="22"/>
          <w:lang w:val="es-ES_tradnl"/>
        </w:rPr>
      </w:pPr>
    </w:p>
    <w:p w14:paraId="0F445C91" w14:textId="4C9FEC35" w:rsidR="00BE3700" w:rsidRPr="00B93138" w:rsidRDefault="00BE3700" w:rsidP="00B95C30">
      <w:pPr>
        <w:jc w:val="both"/>
        <w:rPr>
          <w:rFonts w:ascii="Arial" w:hAnsi="Arial" w:cs="Arial"/>
          <w:b/>
          <w:sz w:val="22"/>
          <w:lang w:val="es-ES_tradnl"/>
        </w:rPr>
      </w:pPr>
    </w:p>
    <w:p w14:paraId="2E359CAC" w14:textId="59C85025" w:rsidR="00BE3700" w:rsidRPr="00B93138" w:rsidRDefault="00BE3700" w:rsidP="00B95C30">
      <w:pPr>
        <w:jc w:val="both"/>
        <w:rPr>
          <w:rFonts w:ascii="Arial" w:hAnsi="Arial" w:cs="Arial"/>
          <w:b/>
          <w:sz w:val="22"/>
          <w:lang w:val="es-ES_tradnl"/>
        </w:rPr>
      </w:pPr>
    </w:p>
    <w:p w14:paraId="74B7773A" w14:textId="3D65D977" w:rsidR="00BE3700" w:rsidRPr="00B93138" w:rsidRDefault="00BE3700" w:rsidP="00B95C30">
      <w:pPr>
        <w:jc w:val="both"/>
        <w:rPr>
          <w:rFonts w:ascii="Arial" w:hAnsi="Arial" w:cs="Arial"/>
          <w:b/>
          <w:sz w:val="22"/>
          <w:lang w:val="es-ES_tradnl"/>
        </w:rPr>
      </w:pPr>
    </w:p>
    <w:p w14:paraId="07548B91" w14:textId="517AEB47" w:rsidR="00BE3700" w:rsidRPr="00B93138" w:rsidRDefault="00BE3700" w:rsidP="00B95C30">
      <w:pPr>
        <w:jc w:val="both"/>
        <w:rPr>
          <w:rFonts w:ascii="Arial" w:hAnsi="Arial" w:cs="Arial"/>
          <w:b/>
          <w:sz w:val="22"/>
          <w:lang w:val="es-ES_tradnl"/>
        </w:rPr>
      </w:pPr>
    </w:p>
    <w:p w14:paraId="73A0E612" w14:textId="7EA7343A" w:rsidR="00BE3700" w:rsidRPr="00B93138" w:rsidRDefault="00BE3700" w:rsidP="00B95C30">
      <w:pPr>
        <w:jc w:val="both"/>
        <w:rPr>
          <w:rFonts w:ascii="Arial" w:hAnsi="Arial" w:cs="Arial"/>
          <w:b/>
          <w:sz w:val="22"/>
          <w:lang w:val="es-ES_tradnl"/>
        </w:rPr>
      </w:pPr>
    </w:p>
    <w:p w14:paraId="6F8B804A" w14:textId="55C59463" w:rsidR="00BE3700" w:rsidRPr="00B93138" w:rsidRDefault="00BE3700" w:rsidP="00B95C30">
      <w:pPr>
        <w:jc w:val="both"/>
        <w:rPr>
          <w:rFonts w:ascii="Arial" w:hAnsi="Arial" w:cs="Arial"/>
          <w:b/>
          <w:sz w:val="22"/>
          <w:lang w:val="es-ES_tradnl"/>
        </w:rPr>
      </w:pPr>
    </w:p>
    <w:p w14:paraId="17DA7D66" w14:textId="340966F5" w:rsidR="00BE3700" w:rsidRPr="00B93138" w:rsidRDefault="00BE3700" w:rsidP="00B95C30">
      <w:pPr>
        <w:jc w:val="both"/>
        <w:rPr>
          <w:rFonts w:ascii="Arial" w:hAnsi="Arial" w:cs="Arial"/>
          <w:b/>
          <w:sz w:val="22"/>
          <w:lang w:val="es-ES_tradnl"/>
        </w:rPr>
      </w:pPr>
    </w:p>
    <w:p w14:paraId="67BF819E" w14:textId="38DC8894" w:rsidR="00BE3700" w:rsidRPr="00B93138" w:rsidRDefault="00BE3700" w:rsidP="00B95C30">
      <w:pPr>
        <w:jc w:val="both"/>
        <w:rPr>
          <w:rFonts w:ascii="Arial" w:hAnsi="Arial" w:cs="Arial"/>
          <w:b/>
          <w:sz w:val="22"/>
          <w:lang w:val="es-ES_tradnl"/>
        </w:rPr>
      </w:pPr>
    </w:p>
    <w:p w14:paraId="7F706B1B" w14:textId="16C9E6BE" w:rsidR="00BE3700" w:rsidRPr="00B93138" w:rsidRDefault="00BE3700" w:rsidP="00B95C30">
      <w:pPr>
        <w:jc w:val="both"/>
        <w:rPr>
          <w:rFonts w:ascii="Arial" w:hAnsi="Arial" w:cs="Arial"/>
          <w:b/>
          <w:sz w:val="22"/>
          <w:lang w:val="es-ES_tradnl"/>
        </w:rPr>
      </w:pPr>
    </w:p>
    <w:p w14:paraId="5AA5CB48" w14:textId="25747534" w:rsidR="00BE3700" w:rsidRPr="00B93138" w:rsidRDefault="00BE3700" w:rsidP="00B95C30">
      <w:pPr>
        <w:jc w:val="both"/>
        <w:rPr>
          <w:rFonts w:ascii="Arial" w:hAnsi="Arial" w:cs="Arial"/>
          <w:b/>
          <w:sz w:val="22"/>
          <w:lang w:val="es-ES_tradnl"/>
        </w:rPr>
      </w:pPr>
    </w:p>
    <w:p w14:paraId="7FC122E1" w14:textId="2F640D85" w:rsidR="00BE3700" w:rsidRPr="00B93138" w:rsidRDefault="00BE3700" w:rsidP="00B95C30">
      <w:pPr>
        <w:jc w:val="both"/>
        <w:rPr>
          <w:rFonts w:ascii="Arial" w:hAnsi="Arial" w:cs="Arial"/>
          <w:b/>
          <w:sz w:val="22"/>
          <w:lang w:val="es-ES_tradnl"/>
        </w:rPr>
      </w:pPr>
    </w:p>
    <w:p w14:paraId="1DD9E0DB" w14:textId="6B644CD0" w:rsidR="00C61863" w:rsidRPr="00B93138" w:rsidRDefault="00C61863" w:rsidP="00B95C30">
      <w:pPr>
        <w:jc w:val="both"/>
        <w:rPr>
          <w:rFonts w:ascii="Arial" w:hAnsi="Arial" w:cs="Arial"/>
          <w:b/>
          <w:sz w:val="22"/>
          <w:lang w:val="es-ES_tradnl"/>
        </w:rPr>
      </w:pPr>
    </w:p>
    <w:p w14:paraId="01E3C0CD" w14:textId="1809F464" w:rsidR="00DE2DF1" w:rsidRPr="00B93138" w:rsidRDefault="00DE2DF1" w:rsidP="00B95C30">
      <w:pPr>
        <w:jc w:val="both"/>
        <w:rPr>
          <w:rFonts w:ascii="Arial" w:hAnsi="Arial" w:cs="Arial"/>
          <w:b/>
          <w:sz w:val="22"/>
          <w:lang w:val="es-ES_tradnl"/>
        </w:rPr>
      </w:pPr>
    </w:p>
    <w:p w14:paraId="50F16AF5" w14:textId="58A10F8B" w:rsidR="004832AF" w:rsidRPr="00B93138" w:rsidRDefault="004832AF" w:rsidP="00B95C30">
      <w:pPr>
        <w:jc w:val="both"/>
        <w:rPr>
          <w:rFonts w:ascii="Arial" w:hAnsi="Arial" w:cs="Arial"/>
          <w:b/>
          <w:sz w:val="22"/>
          <w:lang w:val="es-ES_tradnl"/>
        </w:rPr>
      </w:pPr>
    </w:p>
    <w:p w14:paraId="35DE3FD5" w14:textId="4E92C55E" w:rsidR="004832AF" w:rsidRPr="00B93138" w:rsidRDefault="004832AF" w:rsidP="00B95C30">
      <w:pPr>
        <w:jc w:val="both"/>
        <w:rPr>
          <w:rFonts w:ascii="Arial" w:hAnsi="Arial" w:cs="Arial"/>
          <w:b/>
          <w:sz w:val="22"/>
          <w:lang w:val="es-ES_tradnl"/>
        </w:rPr>
      </w:pPr>
    </w:p>
    <w:p w14:paraId="6FAA791E" w14:textId="7C0AA567" w:rsidR="004832AF" w:rsidRDefault="004832AF" w:rsidP="00B95C30">
      <w:pPr>
        <w:jc w:val="both"/>
        <w:rPr>
          <w:rFonts w:ascii="Arial" w:hAnsi="Arial" w:cs="Arial"/>
          <w:b/>
          <w:sz w:val="22"/>
          <w:lang w:val="es-ES_tradnl"/>
        </w:rPr>
      </w:pPr>
    </w:p>
    <w:p w14:paraId="1523FD52" w14:textId="08D264FE" w:rsidR="00C34B0E" w:rsidRPr="004B36FB" w:rsidRDefault="00C34B0E" w:rsidP="00C34B0E">
      <w:pPr>
        <w:spacing w:line="276" w:lineRule="auto"/>
        <w:jc w:val="both"/>
        <w:rPr>
          <w:rFonts w:ascii="Arial" w:eastAsia="Calibri" w:hAnsi="Arial" w:cs="Arial"/>
          <w:noProof/>
          <w:color w:val="000000" w:themeColor="text1"/>
          <w:sz w:val="20"/>
          <w:lang w:val="es-ES_tradnl"/>
        </w:rPr>
      </w:pPr>
      <w:r w:rsidRPr="004B36FB">
        <w:rPr>
          <w:rFonts w:ascii="Arial" w:hAnsi="Arial" w:cs="Arial"/>
          <w:noProof/>
          <w:color w:val="000000" w:themeColor="text1"/>
          <w:sz w:val="22"/>
          <w:lang w:val="es-ES_tradnl"/>
        </w:rPr>
        <w:t xml:space="preserve">Bogotá D.C., </w:t>
      </w:r>
      <w:r w:rsidR="000272E0">
        <w:rPr>
          <w:rFonts w:ascii="Arial" w:hAnsi="Arial" w:cs="Arial"/>
          <w:b/>
          <w:color w:val="000000" w:themeColor="text1"/>
          <w:sz w:val="22"/>
          <w:lang w:val="es-ES_tradnl"/>
        </w:rPr>
        <w:t xml:space="preserve">06/12/2021 </w:t>
      </w:r>
      <w:r w:rsidR="00AF1D23">
        <w:rPr>
          <w:rFonts w:ascii="Arial" w:hAnsi="Arial" w:cs="Arial"/>
          <w:b/>
          <w:color w:val="000000" w:themeColor="text1"/>
          <w:sz w:val="22"/>
          <w:lang w:val="es-ES_tradnl"/>
        </w:rPr>
        <w:t>16:43:34</w:t>
      </w:r>
    </w:p>
    <w:p w14:paraId="23994824" w14:textId="0ED3CF88" w:rsidR="000272E0" w:rsidRPr="000272E0" w:rsidRDefault="000272E0" w:rsidP="000272E0">
      <w:pPr>
        <w:jc w:val="right"/>
      </w:pPr>
      <w:r w:rsidRPr="000272E0">
        <w:fldChar w:fldCharType="begin"/>
      </w:r>
      <w:r w:rsidRPr="000272E0">
        <w:instrText xml:space="preserve"> INCLUDEPICTURE "/var/folders/5l/v1rdjm0x1x9416lmbj7_vjt40000gn/T/com.microsoft.Word/WebArchiveCopyPasteTempFiles/page1image1740224" \* MERGEFORMATINET </w:instrText>
      </w:r>
      <w:r w:rsidRPr="000272E0">
        <w:fldChar w:fldCharType="separate"/>
      </w:r>
      <w:r w:rsidRPr="000272E0">
        <w:rPr>
          <w:noProof/>
        </w:rPr>
        <w:drawing>
          <wp:inline distT="0" distB="0" distL="0" distR="0" wp14:anchorId="12ECDAF9" wp14:editId="5DBF4C02">
            <wp:extent cx="2402840" cy="611505"/>
            <wp:effectExtent l="0" t="0" r="0" b="0"/>
            <wp:docPr id="1" name="Imagen 1" descr="page1image1740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402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2840" cy="611505"/>
                    </a:xfrm>
                    <a:prstGeom prst="rect">
                      <a:avLst/>
                    </a:prstGeom>
                    <a:noFill/>
                    <a:ln>
                      <a:noFill/>
                    </a:ln>
                  </pic:spPr>
                </pic:pic>
              </a:graphicData>
            </a:graphic>
          </wp:inline>
        </w:drawing>
      </w:r>
      <w:r w:rsidRPr="000272E0">
        <w:fldChar w:fldCharType="end"/>
      </w:r>
    </w:p>
    <w:p w14:paraId="3F785B00" w14:textId="0747EF23" w:rsidR="00B76BF1" w:rsidRDefault="00B76BF1" w:rsidP="00B95C30">
      <w:pPr>
        <w:jc w:val="both"/>
        <w:rPr>
          <w:rFonts w:ascii="Arial" w:hAnsi="Arial" w:cs="Arial"/>
          <w:b/>
          <w:sz w:val="22"/>
          <w:lang w:val="es-ES_tradnl"/>
        </w:rPr>
      </w:pPr>
    </w:p>
    <w:p w14:paraId="6DADC6E9" w14:textId="77777777" w:rsidR="00B76BF1" w:rsidRPr="00B93138" w:rsidRDefault="00B76BF1" w:rsidP="00B95C30">
      <w:pPr>
        <w:jc w:val="both"/>
        <w:rPr>
          <w:rFonts w:ascii="Arial" w:hAnsi="Arial" w:cs="Arial"/>
          <w:b/>
          <w:sz w:val="22"/>
          <w:lang w:val="es-ES_tradnl"/>
        </w:rPr>
      </w:pPr>
    </w:p>
    <w:p w14:paraId="49A33CD5" w14:textId="77777777" w:rsidR="004832AF" w:rsidRPr="00B93138" w:rsidRDefault="004832AF" w:rsidP="00B95C30">
      <w:pPr>
        <w:jc w:val="both"/>
        <w:rPr>
          <w:rFonts w:ascii="Arial" w:hAnsi="Arial" w:cs="Arial"/>
          <w:b/>
          <w:sz w:val="22"/>
          <w:lang w:val="es-ES_tradnl"/>
        </w:rPr>
      </w:pPr>
    </w:p>
    <w:p w14:paraId="5F5AE9EF" w14:textId="3F10B551" w:rsidR="00B95C30" w:rsidRPr="00B93138" w:rsidRDefault="00541381" w:rsidP="00EB2ED0">
      <w:pPr>
        <w:jc w:val="both"/>
        <w:rPr>
          <w:rFonts w:ascii="Arial" w:eastAsia="Calibri" w:hAnsi="Arial" w:cs="Arial"/>
          <w:sz w:val="22"/>
          <w:lang w:val="es-ES_tradnl"/>
        </w:rPr>
      </w:pPr>
      <w:bookmarkStart w:id="7" w:name="_Hlk79395594"/>
      <w:r w:rsidRPr="00B93138">
        <w:rPr>
          <w:rFonts w:ascii="Arial" w:eastAsia="Calibri" w:hAnsi="Arial" w:cs="Arial"/>
          <w:sz w:val="22"/>
          <w:lang w:val="es-ES_tradnl"/>
        </w:rPr>
        <w:t>Señor</w:t>
      </w:r>
      <w:r w:rsidR="00C34B0E">
        <w:rPr>
          <w:rFonts w:ascii="Arial" w:eastAsia="Calibri" w:hAnsi="Arial" w:cs="Arial"/>
          <w:sz w:val="22"/>
          <w:lang w:val="es-ES_tradnl"/>
        </w:rPr>
        <w:t>a</w:t>
      </w:r>
    </w:p>
    <w:p w14:paraId="4C0289FC" w14:textId="41981E57" w:rsidR="00541381" w:rsidRPr="00B93138" w:rsidRDefault="003060CB" w:rsidP="00940DBD">
      <w:pPr>
        <w:jc w:val="both"/>
        <w:rPr>
          <w:rFonts w:ascii="Arial" w:hAnsi="Arial" w:cs="Arial"/>
          <w:b/>
          <w:bCs/>
          <w:sz w:val="22"/>
          <w:szCs w:val="22"/>
        </w:rPr>
      </w:pPr>
      <w:r>
        <w:rPr>
          <w:rFonts w:ascii="Arial" w:hAnsi="Arial" w:cs="Arial"/>
          <w:b/>
          <w:bCs/>
          <w:sz w:val="22"/>
          <w:szCs w:val="22"/>
        </w:rPr>
        <w:t>Mary Nataly Cuevas Martínez</w:t>
      </w:r>
    </w:p>
    <w:p w14:paraId="48E36FCF" w14:textId="6B8A3818" w:rsidR="00F53F4F" w:rsidRPr="00B93138" w:rsidRDefault="00557338" w:rsidP="00EB2ED0">
      <w:pPr>
        <w:jc w:val="both"/>
        <w:rPr>
          <w:rFonts w:ascii="Arial" w:eastAsia="Calibri" w:hAnsi="Arial" w:cs="Arial"/>
          <w:sz w:val="22"/>
          <w:lang w:val="es-ES_tradnl"/>
        </w:rPr>
      </w:pPr>
      <w:r>
        <w:rPr>
          <w:rFonts w:ascii="Arial" w:eastAsia="Calibri" w:hAnsi="Arial" w:cs="Arial"/>
          <w:sz w:val="22"/>
          <w:lang w:val="es-ES_tradnl"/>
        </w:rPr>
        <w:t>Tunja</w:t>
      </w:r>
      <w:r w:rsidR="000A2136" w:rsidRPr="00B93138">
        <w:rPr>
          <w:rFonts w:ascii="Arial" w:eastAsia="Calibri" w:hAnsi="Arial" w:cs="Arial"/>
          <w:sz w:val="22"/>
          <w:lang w:val="es-ES_tradnl"/>
        </w:rPr>
        <w:t xml:space="preserve">, </w:t>
      </w:r>
      <w:r>
        <w:rPr>
          <w:rFonts w:ascii="Arial" w:eastAsia="Calibri" w:hAnsi="Arial" w:cs="Arial"/>
          <w:sz w:val="22"/>
          <w:lang w:val="es-ES_tradnl"/>
        </w:rPr>
        <w:t>Boyacá</w:t>
      </w:r>
    </w:p>
    <w:p w14:paraId="38813101" w14:textId="5AA4506E" w:rsidR="00D274C5" w:rsidRPr="00B93138" w:rsidRDefault="00D274C5" w:rsidP="00EB2ED0">
      <w:pPr>
        <w:jc w:val="both"/>
        <w:rPr>
          <w:rFonts w:ascii="Arial" w:eastAsia="Calibri" w:hAnsi="Arial" w:cs="Arial"/>
          <w:sz w:val="22"/>
          <w:lang w:val="es-ES_tradnl"/>
        </w:rPr>
      </w:pPr>
    </w:p>
    <w:p w14:paraId="6CAE64F9" w14:textId="77777777" w:rsidR="00D96255" w:rsidRPr="00B93138" w:rsidRDefault="00D96255" w:rsidP="00EB2ED0">
      <w:pPr>
        <w:jc w:val="both"/>
        <w:rPr>
          <w:rFonts w:ascii="Arial" w:eastAsia="Calibri" w:hAnsi="Arial" w:cs="Arial"/>
          <w:sz w:val="22"/>
          <w:lang w:val="es-ES_tradnl"/>
        </w:rPr>
      </w:pPr>
    </w:p>
    <w:p w14:paraId="12E66182" w14:textId="273615CF" w:rsidR="00B95C30" w:rsidRPr="00B93138" w:rsidRDefault="00F53F4F" w:rsidP="00EB2ED0">
      <w:pPr>
        <w:rPr>
          <w:rFonts w:ascii="Arial" w:eastAsia="Calibri" w:hAnsi="Arial" w:cs="Arial"/>
          <w:b/>
          <w:bCs/>
          <w:sz w:val="22"/>
          <w:lang w:val="es-ES_tradnl"/>
        </w:rPr>
      </w:pPr>
      <w:r w:rsidRPr="00B93138">
        <w:rPr>
          <w:rFonts w:ascii="Arial" w:eastAsia="Calibri" w:hAnsi="Arial" w:cs="Arial"/>
          <w:b/>
          <w:bCs/>
          <w:sz w:val="22"/>
          <w:lang w:val="es-ES_tradnl"/>
        </w:rPr>
        <w:t xml:space="preserve">                                            </w:t>
      </w:r>
      <w:r w:rsidR="00B95C30" w:rsidRPr="00B93138">
        <w:rPr>
          <w:rFonts w:ascii="Arial" w:eastAsia="Calibri" w:hAnsi="Arial" w:cs="Arial"/>
          <w:b/>
          <w:bCs/>
          <w:sz w:val="22"/>
          <w:lang w:val="es-ES_tradnl"/>
        </w:rPr>
        <w:t xml:space="preserve">Concepto C ‒ </w:t>
      </w:r>
      <w:r w:rsidR="00923EE8">
        <w:rPr>
          <w:rFonts w:ascii="Arial" w:eastAsia="Calibri" w:hAnsi="Arial" w:cs="Arial"/>
          <w:b/>
          <w:bCs/>
          <w:sz w:val="22"/>
          <w:lang w:val="es-ES_tradnl"/>
        </w:rPr>
        <w:t>617</w:t>
      </w:r>
      <w:r w:rsidR="00B95C30" w:rsidRPr="00B93138">
        <w:rPr>
          <w:rFonts w:ascii="Arial" w:eastAsia="Calibri" w:hAnsi="Arial" w:cs="Arial"/>
          <w:b/>
          <w:bCs/>
          <w:sz w:val="22"/>
          <w:lang w:val="es-ES_tradnl"/>
        </w:rPr>
        <w:t xml:space="preserve"> de 202</w:t>
      </w:r>
      <w:r w:rsidR="005E781C" w:rsidRPr="00B93138">
        <w:rPr>
          <w:rFonts w:ascii="Arial" w:eastAsia="Calibri" w:hAnsi="Arial" w:cs="Arial"/>
          <w:b/>
          <w:bCs/>
          <w:sz w:val="22"/>
          <w:lang w:val="es-ES_tradnl"/>
        </w:rPr>
        <w:t>1</w:t>
      </w:r>
    </w:p>
    <w:p w14:paraId="1BD594F9" w14:textId="77777777" w:rsidR="00B95C30" w:rsidRPr="00B93138" w:rsidRDefault="00B95C30" w:rsidP="00EB2ED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832AF" w:rsidRPr="00B93138" w14:paraId="19DFC051" w14:textId="77777777" w:rsidTr="008F4163">
        <w:tc>
          <w:tcPr>
            <w:tcW w:w="2689" w:type="dxa"/>
          </w:tcPr>
          <w:p w14:paraId="6BC0D1AC" w14:textId="77777777" w:rsidR="00B95C30" w:rsidRPr="00B93138" w:rsidRDefault="00B95C30" w:rsidP="00EB2ED0">
            <w:pPr>
              <w:jc w:val="both"/>
              <w:rPr>
                <w:rFonts w:ascii="Arial" w:eastAsia="Calibri" w:hAnsi="Arial" w:cs="Arial"/>
                <w:sz w:val="22"/>
                <w:lang w:val="es-ES_tradnl"/>
              </w:rPr>
            </w:pPr>
            <w:r w:rsidRPr="00B93138">
              <w:rPr>
                <w:rFonts w:ascii="Arial" w:eastAsia="Calibri" w:hAnsi="Arial" w:cs="Arial"/>
                <w:b/>
                <w:sz w:val="22"/>
                <w:lang w:val="es-ES_tradnl"/>
              </w:rPr>
              <w:t>Temas:</w:t>
            </w:r>
            <w:r w:rsidRPr="00B93138">
              <w:rPr>
                <w:rFonts w:ascii="Arial" w:eastAsia="Calibri" w:hAnsi="Arial" w:cs="Arial"/>
                <w:sz w:val="22"/>
                <w:lang w:val="es-ES_tradnl"/>
              </w:rPr>
              <w:t xml:space="preserve">                                      </w:t>
            </w:r>
          </w:p>
        </w:tc>
        <w:tc>
          <w:tcPr>
            <w:tcW w:w="6237" w:type="dxa"/>
          </w:tcPr>
          <w:p w14:paraId="5F389CAF" w14:textId="751DA265" w:rsidR="00B95C30" w:rsidRPr="00B93138" w:rsidRDefault="00186155" w:rsidP="00EB2ED0">
            <w:pPr>
              <w:jc w:val="both"/>
              <w:rPr>
                <w:rFonts w:ascii="Arial" w:eastAsia="Calibri" w:hAnsi="Arial" w:cs="Arial"/>
                <w:sz w:val="22"/>
                <w:lang w:val="es-ES_tradnl"/>
              </w:rPr>
            </w:pPr>
            <w:r w:rsidRPr="00B93138">
              <w:rPr>
                <w:rFonts w:ascii="Arial" w:eastAsia="Calibri" w:hAnsi="Arial" w:cs="Arial"/>
                <w:bCs/>
                <w:sz w:val="22"/>
                <w:lang w:val="es-ES_tradnl"/>
              </w:rPr>
              <w:t xml:space="preserve">SELECCIÓN OBJETIVA – Contratación estatal – Concepto / EMPATE – Procedimiento de selección – Concepto / FACTORES DE DESEMPATE – Características – Límites / LEY DE EMPRENDIMIENTO – Ley 2069 de 2020 – Vigencia / DECRETO 1082 DE 2015 – Artículo 2.2.1.1.2.2.9. – Derogatoria – Decaimiento / </w:t>
            </w:r>
            <w:r w:rsidR="00E55A44" w:rsidRPr="00B93138">
              <w:rPr>
                <w:rFonts w:ascii="Arial" w:eastAsia="Calibri" w:hAnsi="Arial" w:cs="Arial"/>
                <w:bCs/>
                <w:sz w:val="22"/>
                <w:lang w:val="es-ES_tradnl"/>
              </w:rPr>
              <w:t>FACTORES DE DESEMPATE – Mínima cuantía – Ley 2069 de 2020 – Artículo 35 – Factores de desempate – Aplicación – Puntaje</w:t>
            </w:r>
          </w:p>
        </w:tc>
      </w:tr>
      <w:tr w:rsidR="00A572F4" w:rsidRPr="00B93138" w14:paraId="27CD52AB" w14:textId="77777777" w:rsidTr="008F4163">
        <w:tc>
          <w:tcPr>
            <w:tcW w:w="2689" w:type="dxa"/>
          </w:tcPr>
          <w:p w14:paraId="37E195A1" w14:textId="1BA218D5" w:rsidR="00B95C30" w:rsidRPr="00B93138" w:rsidRDefault="00B95C30" w:rsidP="00EB2ED0">
            <w:pPr>
              <w:spacing w:before="120"/>
              <w:jc w:val="both"/>
              <w:rPr>
                <w:rFonts w:ascii="Arial" w:eastAsia="Calibri" w:hAnsi="Arial" w:cs="Arial"/>
                <w:b/>
                <w:sz w:val="22"/>
                <w:lang w:val="es-ES_tradnl"/>
              </w:rPr>
            </w:pPr>
            <w:r w:rsidRPr="00B93138">
              <w:rPr>
                <w:rFonts w:ascii="Arial" w:eastAsia="Calibri" w:hAnsi="Arial" w:cs="Arial"/>
                <w:b/>
                <w:sz w:val="22"/>
                <w:lang w:val="es-ES_tradnl"/>
              </w:rPr>
              <w:t>Radicación:</w:t>
            </w:r>
            <w:r w:rsidRPr="00B93138">
              <w:rPr>
                <w:rFonts w:ascii="Arial" w:eastAsia="Calibri" w:hAnsi="Arial" w:cs="Arial"/>
                <w:sz w:val="22"/>
                <w:lang w:val="es-ES_tradnl"/>
              </w:rPr>
              <w:t xml:space="preserve">                              </w:t>
            </w:r>
          </w:p>
        </w:tc>
        <w:tc>
          <w:tcPr>
            <w:tcW w:w="6237" w:type="dxa"/>
          </w:tcPr>
          <w:p w14:paraId="09088B1B" w14:textId="7ED13F1D" w:rsidR="00B95C30" w:rsidRPr="00B93138" w:rsidRDefault="00B95C30" w:rsidP="00EB2ED0">
            <w:pPr>
              <w:spacing w:before="120"/>
              <w:jc w:val="both"/>
              <w:rPr>
                <w:rFonts w:ascii="Arial" w:eastAsia="Calibri" w:hAnsi="Arial" w:cs="Arial"/>
                <w:sz w:val="22"/>
                <w:lang w:val="es-ES_tradnl"/>
              </w:rPr>
            </w:pPr>
            <w:r w:rsidRPr="00B93138">
              <w:rPr>
                <w:rFonts w:ascii="Arial" w:eastAsia="Calibri" w:hAnsi="Arial" w:cs="Arial"/>
                <w:sz w:val="22"/>
                <w:lang w:val="es-ES_tradnl"/>
              </w:rPr>
              <w:t xml:space="preserve">Respuesta a consulta # </w:t>
            </w:r>
            <w:r w:rsidR="0059293A" w:rsidRPr="0059293A">
              <w:rPr>
                <w:rFonts w:ascii="Arial" w:eastAsia="Calibri" w:hAnsi="Arial" w:cs="Arial"/>
                <w:sz w:val="22"/>
                <w:lang w:val="es-ES_tradnl"/>
              </w:rPr>
              <w:t>P20211026009908</w:t>
            </w:r>
          </w:p>
        </w:tc>
      </w:tr>
    </w:tbl>
    <w:p w14:paraId="61B55CA4" w14:textId="77777777" w:rsidR="00716BB0" w:rsidRPr="00B93138" w:rsidRDefault="00716BB0" w:rsidP="00EB2ED0">
      <w:pPr>
        <w:jc w:val="both"/>
        <w:rPr>
          <w:rFonts w:ascii="Arial" w:eastAsia="Calibri" w:hAnsi="Arial" w:cs="Arial"/>
          <w:sz w:val="22"/>
          <w:lang w:val="es-ES_tradnl"/>
        </w:rPr>
      </w:pPr>
    </w:p>
    <w:p w14:paraId="4B9B5156" w14:textId="77777777" w:rsidR="00716BB0" w:rsidRPr="00B93138" w:rsidRDefault="00716BB0" w:rsidP="00EB2ED0">
      <w:pPr>
        <w:jc w:val="both"/>
        <w:rPr>
          <w:rFonts w:ascii="Arial" w:eastAsia="Calibri" w:hAnsi="Arial" w:cs="Arial"/>
          <w:sz w:val="22"/>
          <w:lang w:val="es-ES_tradnl"/>
        </w:rPr>
      </w:pPr>
    </w:p>
    <w:p w14:paraId="1CF4AEA0" w14:textId="4A8F2F95" w:rsidR="003C3339" w:rsidRPr="00B93138" w:rsidRDefault="003C3339" w:rsidP="00EB2ED0">
      <w:pPr>
        <w:jc w:val="both"/>
        <w:rPr>
          <w:rFonts w:ascii="Arial" w:eastAsia="Calibri" w:hAnsi="Arial" w:cs="Arial"/>
          <w:sz w:val="22"/>
          <w:lang w:val="es-ES_tradnl"/>
        </w:rPr>
      </w:pPr>
      <w:r w:rsidRPr="00B93138">
        <w:rPr>
          <w:rFonts w:ascii="Arial" w:eastAsia="Calibri" w:hAnsi="Arial" w:cs="Arial"/>
          <w:sz w:val="22"/>
          <w:lang w:val="es-ES_tradnl"/>
        </w:rPr>
        <w:t>Estimad</w:t>
      </w:r>
      <w:r w:rsidR="003C21AA">
        <w:rPr>
          <w:rFonts w:ascii="Arial" w:eastAsia="Calibri" w:hAnsi="Arial" w:cs="Arial"/>
          <w:sz w:val="22"/>
          <w:lang w:val="es-ES_tradnl"/>
        </w:rPr>
        <w:t>a</w:t>
      </w:r>
      <w:r w:rsidRPr="00B93138">
        <w:rPr>
          <w:rFonts w:ascii="Arial" w:eastAsia="Calibri" w:hAnsi="Arial" w:cs="Arial"/>
          <w:sz w:val="22"/>
          <w:lang w:val="es-ES_tradnl"/>
        </w:rPr>
        <w:t xml:space="preserve"> </w:t>
      </w:r>
      <w:r w:rsidR="003E27F5" w:rsidRPr="00B93138">
        <w:rPr>
          <w:rFonts w:ascii="Arial" w:eastAsia="Calibri" w:hAnsi="Arial" w:cs="Arial"/>
          <w:sz w:val="22"/>
          <w:lang w:val="es-ES_tradnl"/>
        </w:rPr>
        <w:t>señor</w:t>
      </w:r>
      <w:r w:rsidR="003C21AA">
        <w:rPr>
          <w:rFonts w:ascii="Arial" w:eastAsia="Calibri" w:hAnsi="Arial" w:cs="Arial"/>
          <w:sz w:val="22"/>
          <w:lang w:val="es-ES_tradnl"/>
        </w:rPr>
        <w:t>a</w:t>
      </w:r>
      <w:r w:rsidR="00BE4FBF" w:rsidRPr="00B93138">
        <w:rPr>
          <w:rFonts w:ascii="Arial" w:eastAsia="Calibri" w:hAnsi="Arial" w:cs="Arial"/>
          <w:sz w:val="22"/>
          <w:lang w:val="es-ES_tradnl"/>
        </w:rPr>
        <w:t xml:space="preserve"> </w:t>
      </w:r>
      <w:r w:rsidR="003C21AA">
        <w:rPr>
          <w:rFonts w:ascii="Arial" w:eastAsia="Calibri" w:hAnsi="Arial" w:cs="Arial"/>
          <w:sz w:val="22"/>
          <w:lang w:val="es-ES_tradnl"/>
        </w:rPr>
        <w:t>Cuevas</w:t>
      </w:r>
      <w:r w:rsidRPr="00B93138">
        <w:rPr>
          <w:rFonts w:ascii="Arial" w:eastAsia="Calibri" w:hAnsi="Arial" w:cs="Arial"/>
          <w:sz w:val="22"/>
          <w:lang w:val="es-ES_tradnl"/>
        </w:rPr>
        <w:t>:</w:t>
      </w:r>
    </w:p>
    <w:p w14:paraId="1EAE5543" w14:textId="77777777" w:rsidR="00DD5B04" w:rsidRPr="00B93138" w:rsidRDefault="00DD5B04" w:rsidP="00EB2ED0">
      <w:pPr>
        <w:jc w:val="both"/>
        <w:rPr>
          <w:rFonts w:ascii="Arial" w:eastAsia="Calibri" w:hAnsi="Arial" w:cs="Arial"/>
          <w:sz w:val="22"/>
          <w:lang w:val="es-ES_tradnl"/>
        </w:rPr>
      </w:pPr>
    </w:p>
    <w:p w14:paraId="2109B2D3" w14:textId="66CAF615" w:rsidR="00DD5B04" w:rsidRPr="00B93138" w:rsidRDefault="00DD5B04" w:rsidP="00EB2ED0">
      <w:pPr>
        <w:spacing w:line="276" w:lineRule="auto"/>
        <w:jc w:val="both"/>
        <w:rPr>
          <w:rFonts w:ascii="Arial" w:eastAsia="Calibri" w:hAnsi="Arial" w:cs="Arial"/>
          <w:sz w:val="22"/>
          <w:lang w:val="es-ES_tradnl"/>
        </w:rPr>
      </w:pPr>
      <w:r w:rsidRPr="00B93138">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B93138">
        <w:rPr>
          <w:rFonts w:ascii="Arial" w:eastAsia="Calibri" w:hAnsi="Arial" w:cs="Arial"/>
          <w:sz w:val="22"/>
          <w:lang w:val="es-ES_tradnl"/>
        </w:rPr>
        <w:t xml:space="preserve"> </w:t>
      </w:r>
      <w:r w:rsidRPr="00B93138">
        <w:rPr>
          <w:rFonts w:ascii="Arial" w:eastAsia="Calibri" w:hAnsi="Arial" w:cs="Arial"/>
          <w:sz w:val="22"/>
          <w:lang w:val="es-ES_tradnl"/>
        </w:rPr>
        <w:t xml:space="preserve">responde su consulta del </w:t>
      </w:r>
      <w:r w:rsidR="00366DEB">
        <w:rPr>
          <w:rFonts w:ascii="Arial" w:eastAsia="Calibri" w:hAnsi="Arial" w:cs="Arial"/>
          <w:sz w:val="22"/>
          <w:lang w:val="es-ES_tradnl"/>
        </w:rPr>
        <w:t>26</w:t>
      </w:r>
      <w:r w:rsidR="00D05FBF" w:rsidRPr="00B93138">
        <w:rPr>
          <w:rFonts w:ascii="Arial" w:eastAsia="Calibri" w:hAnsi="Arial" w:cs="Arial"/>
          <w:sz w:val="22"/>
          <w:lang w:val="es-ES_tradnl"/>
        </w:rPr>
        <w:t xml:space="preserve"> </w:t>
      </w:r>
      <w:r w:rsidR="00FD4AF3" w:rsidRPr="00B93138">
        <w:rPr>
          <w:rFonts w:ascii="Arial" w:eastAsia="Calibri" w:hAnsi="Arial" w:cs="Arial"/>
          <w:sz w:val="22"/>
          <w:lang w:val="es-ES_tradnl"/>
        </w:rPr>
        <w:t xml:space="preserve">de </w:t>
      </w:r>
      <w:r w:rsidR="00366DEB">
        <w:rPr>
          <w:rFonts w:ascii="Arial" w:eastAsia="Calibri" w:hAnsi="Arial" w:cs="Arial"/>
          <w:sz w:val="22"/>
          <w:lang w:val="es-ES_tradnl"/>
        </w:rPr>
        <w:t>octubre</w:t>
      </w:r>
      <w:r w:rsidRPr="00B93138">
        <w:rPr>
          <w:rFonts w:ascii="Arial" w:eastAsia="Calibri" w:hAnsi="Arial" w:cs="Arial"/>
          <w:sz w:val="22"/>
          <w:lang w:val="es-ES_tradnl"/>
        </w:rPr>
        <w:t xml:space="preserve"> de</w:t>
      </w:r>
      <w:r w:rsidR="007E74BF" w:rsidRPr="00B93138">
        <w:rPr>
          <w:rFonts w:ascii="Arial" w:eastAsia="Calibri" w:hAnsi="Arial" w:cs="Arial"/>
          <w:sz w:val="22"/>
          <w:lang w:val="es-ES_tradnl"/>
        </w:rPr>
        <w:t xml:space="preserve"> </w:t>
      </w:r>
      <w:r w:rsidRPr="00B93138">
        <w:rPr>
          <w:rFonts w:ascii="Arial" w:eastAsia="Calibri" w:hAnsi="Arial" w:cs="Arial"/>
          <w:sz w:val="22"/>
          <w:lang w:val="es-ES_tradnl"/>
        </w:rPr>
        <w:t>202</w:t>
      </w:r>
      <w:r w:rsidR="00FB0880" w:rsidRPr="00B93138">
        <w:rPr>
          <w:rFonts w:ascii="Arial" w:eastAsia="Calibri" w:hAnsi="Arial" w:cs="Arial"/>
          <w:sz w:val="22"/>
          <w:lang w:val="es-ES_tradnl"/>
        </w:rPr>
        <w:t>1</w:t>
      </w:r>
      <w:r w:rsidR="00155420" w:rsidRPr="00B93138">
        <w:rPr>
          <w:rFonts w:ascii="Arial" w:eastAsia="Calibri" w:hAnsi="Arial" w:cs="Arial"/>
          <w:sz w:val="22"/>
          <w:lang w:val="es-ES_tradnl"/>
        </w:rPr>
        <w:t xml:space="preserve">. </w:t>
      </w:r>
      <w:r w:rsidR="009013B8" w:rsidRPr="00B93138">
        <w:rPr>
          <w:rFonts w:ascii="Arial" w:eastAsia="Calibri" w:hAnsi="Arial" w:cs="Arial"/>
          <w:sz w:val="22"/>
          <w:lang w:val="es-ES_tradnl"/>
        </w:rPr>
        <w:t xml:space="preserve"> </w:t>
      </w:r>
    </w:p>
    <w:p w14:paraId="0C1E0712" w14:textId="77777777" w:rsidR="00DD5B04" w:rsidRPr="00B93138" w:rsidRDefault="00DD5B04" w:rsidP="00EB2ED0">
      <w:pPr>
        <w:jc w:val="both"/>
        <w:rPr>
          <w:rFonts w:ascii="Arial" w:eastAsia="Calibri" w:hAnsi="Arial" w:cs="Arial"/>
          <w:bCs/>
          <w:sz w:val="22"/>
          <w:lang w:val="es-ES_tradnl"/>
        </w:rPr>
      </w:pPr>
    </w:p>
    <w:p w14:paraId="7701FCC7" w14:textId="77777777" w:rsidR="00DD5B04" w:rsidRPr="00B93138" w:rsidRDefault="00DD5B04" w:rsidP="00EB2ED0">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B93138">
        <w:rPr>
          <w:rFonts w:ascii="Arial" w:eastAsia="Calibri" w:hAnsi="Arial" w:cs="Arial"/>
          <w:b/>
          <w:sz w:val="22"/>
          <w:lang w:val="es-ES_tradnl"/>
        </w:rPr>
        <w:t xml:space="preserve">Problema planteado </w:t>
      </w:r>
    </w:p>
    <w:p w14:paraId="224B43D3" w14:textId="77777777" w:rsidR="00DD5B04" w:rsidRPr="00B93138" w:rsidRDefault="00DD5B04" w:rsidP="00EB2ED0">
      <w:pPr>
        <w:tabs>
          <w:tab w:val="left" w:pos="426"/>
        </w:tabs>
        <w:jc w:val="both"/>
        <w:rPr>
          <w:rFonts w:ascii="Arial" w:eastAsia="Calibri" w:hAnsi="Arial" w:cs="Arial"/>
          <w:bCs/>
          <w:sz w:val="22"/>
          <w:lang w:val="es-ES_tradnl"/>
        </w:rPr>
      </w:pPr>
    </w:p>
    <w:p w14:paraId="202A600B" w14:textId="48BE4C65" w:rsidR="00007F64" w:rsidRPr="00B93138" w:rsidRDefault="00825B01" w:rsidP="00AF01C3">
      <w:pPr>
        <w:autoSpaceDE w:val="0"/>
        <w:autoSpaceDN w:val="0"/>
        <w:adjustRightInd w:val="0"/>
        <w:spacing w:line="276" w:lineRule="auto"/>
        <w:jc w:val="both"/>
        <w:rPr>
          <w:rFonts w:ascii="Arial" w:hAnsi="Arial" w:cs="Arial"/>
          <w:sz w:val="22"/>
          <w:szCs w:val="22"/>
          <w:lang w:val="es-ES_tradnl"/>
        </w:rPr>
      </w:pPr>
      <w:r w:rsidRPr="00B93138">
        <w:rPr>
          <w:rFonts w:ascii="Arial" w:hAnsi="Arial" w:cs="Arial"/>
          <w:sz w:val="22"/>
          <w:szCs w:val="22"/>
          <w:lang w:val="es-ES_tradnl"/>
        </w:rPr>
        <w:t xml:space="preserve">Usted realiza la siguiente consulta relativa a </w:t>
      </w:r>
      <w:r w:rsidR="00AF01C3" w:rsidRPr="00B93138">
        <w:rPr>
          <w:rFonts w:ascii="Arial" w:hAnsi="Arial" w:cs="Arial"/>
          <w:sz w:val="22"/>
          <w:szCs w:val="22"/>
          <w:lang w:val="es-ES_tradnl"/>
        </w:rPr>
        <w:t>la aplicación d</w:t>
      </w:r>
      <w:r w:rsidR="00950A54" w:rsidRPr="00B93138">
        <w:rPr>
          <w:rFonts w:ascii="Arial" w:hAnsi="Arial" w:cs="Arial"/>
          <w:sz w:val="22"/>
          <w:szCs w:val="22"/>
          <w:lang w:val="es-ES_tradnl"/>
        </w:rPr>
        <w:t>el artículo 35 de</w:t>
      </w:r>
      <w:r w:rsidR="00D03AD6" w:rsidRPr="00B93138">
        <w:rPr>
          <w:rFonts w:ascii="Arial" w:hAnsi="Arial" w:cs="Arial"/>
          <w:sz w:val="22"/>
          <w:szCs w:val="22"/>
          <w:lang w:val="es-ES_tradnl"/>
        </w:rPr>
        <w:t xml:space="preserve"> </w:t>
      </w:r>
      <w:r w:rsidR="00950A54" w:rsidRPr="00B93138">
        <w:rPr>
          <w:rFonts w:ascii="Arial" w:hAnsi="Arial" w:cs="Arial"/>
          <w:sz w:val="22"/>
          <w:szCs w:val="22"/>
          <w:lang w:val="es-ES_tradnl"/>
        </w:rPr>
        <w:t>l</w:t>
      </w:r>
      <w:r w:rsidR="00D03AD6" w:rsidRPr="00B93138">
        <w:rPr>
          <w:rFonts w:ascii="Arial" w:hAnsi="Arial" w:cs="Arial"/>
          <w:sz w:val="22"/>
          <w:szCs w:val="22"/>
          <w:lang w:val="es-ES_tradnl"/>
        </w:rPr>
        <w:t>a</w:t>
      </w:r>
      <w:r w:rsidR="00940DBD" w:rsidRPr="00B93138">
        <w:rPr>
          <w:rFonts w:ascii="Arial" w:hAnsi="Arial" w:cs="Arial"/>
          <w:sz w:val="22"/>
          <w:szCs w:val="22"/>
          <w:lang w:val="es-ES_tradnl"/>
        </w:rPr>
        <w:t xml:space="preserve"> Ley 2069 de 2020</w:t>
      </w:r>
      <w:r w:rsidR="00AF01C3" w:rsidRPr="00B93138">
        <w:rPr>
          <w:rFonts w:ascii="Arial" w:hAnsi="Arial" w:cs="Arial"/>
          <w:sz w:val="22"/>
          <w:szCs w:val="22"/>
          <w:lang w:val="es-ES_tradnl"/>
        </w:rPr>
        <w:t xml:space="preserve"> en procesos de selección adelantados en la modalidad de mínima cuantía: </w:t>
      </w:r>
      <w:r w:rsidR="00950A54" w:rsidRPr="00B93138">
        <w:rPr>
          <w:rFonts w:ascii="Arial" w:hAnsi="Arial" w:cs="Arial"/>
          <w:sz w:val="22"/>
          <w:szCs w:val="22"/>
          <w:lang w:val="es-ES_tradnl"/>
        </w:rPr>
        <w:t xml:space="preserve"> </w:t>
      </w:r>
    </w:p>
    <w:p w14:paraId="3A3ACDEF" w14:textId="77777777" w:rsidR="00007F64" w:rsidRPr="00B93138" w:rsidRDefault="00007F64" w:rsidP="00AF01C3">
      <w:pPr>
        <w:autoSpaceDE w:val="0"/>
        <w:autoSpaceDN w:val="0"/>
        <w:adjustRightInd w:val="0"/>
        <w:spacing w:line="276" w:lineRule="auto"/>
        <w:jc w:val="both"/>
        <w:rPr>
          <w:rFonts w:ascii="Arial" w:hAnsi="Arial" w:cs="Arial"/>
          <w:sz w:val="22"/>
          <w:szCs w:val="22"/>
          <w:lang w:val="es-ES_tradnl"/>
        </w:rPr>
      </w:pPr>
    </w:p>
    <w:p w14:paraId="4CA06800" w14:textId="0AF81B69" w:rsidR="00645361" w:rsidRDefault="000B56F9" w:rsidP="00645361">
      <w:pPr>
        <w:autoSpaceDE w:val="0"/>
        <w:autoSpaceDN w:val="0"/>
        <w:adjustRightInd w:val="0"/>
        <w:ind w:left="709" w:right="709"/>
        <w:jc w:val="both"/>
        <w:rPr>
          <w:rFonts w:ascii="Arial" w:hAnsi="Arial" w:cs="Arial"/>
          <w:sz w:val="21"/>
          <w:szCs w:val="21"/>
          <w:lang w:val="es-ES_tradnl"/>
        </w:rPr>
      </w:pPr>
      <w:r w:rsidRPr="00B93138">
        <w:rPr>
          <w:rFonts w:ascii="Arial" w:hAnsi="Arial" w:cs="Arial"/>
          <w:sz w:val="21"/>
          <w:szCs w:val="21"/>
          <w:lang w:val="es-ES_tradnl"/>
        </w:rPr>
        <w:t>«</w:t>
      </w:r>
      <w:r w:rsidR="00645361" w:rsidRPr="00645361">
        <w:rPr>
          <w:rFonts w:ascii="Arial" w:hAnsi="Arial" w:cs="Arial"/>
          <w:sz w:val="21"/>
          <w:szCs w:val="21"/>
          <w:lang w:val="es-ES_tradnl"/>
        </w:rPr>
        <w:t>1.</w:t>
      </w:r>
      <w:r w:rsidR="00645361">
        <w:rPr>
          <w:rFonts w:ascii="Arial" w:hAnsi="Arial" w:cs="Arial"/>
          <w:sz w:val="21"/>
          <w:szCs w:val="21"/>
          <w:lang w:val="es-ES_tradnl"/>
        </w:rPr>
        <w:t xml:space="preserve"> </w:t>
      </w:r>
      <w:r w:rsidR="00645361" w:rsidRPr="00645361">
        <w:rPr>
          <w:rFonts w:ascii="Arial" w:hAnsi="Arial" w:cs="Arial"/>
          <w:sz w:val="21"/>
          <w:szCs w:val="21"/>
          <w:lang w:val="es-ES_tradnl"/>
        </w:rPr>
        <w:t>¿Para procesos de mínima cuantía se deben aplicar los criterios de desempate establecidos en la ley 2069 de 2020?</w:t>
      </w:r>
    </w:p>
    <w:p w14:paraId="1A1AD1D4" w14:textId="77777777" w:rsidR="00645361" w:rsidRPr="00645361" w:rsidRDefault="00645361" w:rsidP="00645361">
      <w:pPr>
        <w:autoSpaceDE w:val="0"/>
        <w:autoSpaceDN w:val="0"/>
        <w:adjustRightInd w:val="0"/>
        <w:ind w:left="709" w:right="709"/>
        <w:jc w:val="both"/>
        <w:rPr>
          <w:rFonts w:ascii="Arial" w:hAnsi="Arial" w:cs="Arial"/>
          <w:sz w:val="21"/>
          <w:szCs w:val="21"/>
          <w:lang w:val="es-ES_tradnl"/>
        </w:rPr>
      </w:pPr>
    </w:p>
    <w:p w14:paraId="79D0132C" w14:textId="354C394C" w:rsidR="004275A7" w:rsidRPr="00B93138" w:rsidRDefault="00645361" w:rsidP="00645361">
      <w:pPr>
        <w:autoSpaceDE w:val="0"/>
        <w:autoSpaceDN w:val="0"/>
        <w:adjustRightInd w:val="0"/>
        <w:ind w:left="709" w:right="709"/>
        <w:jc w:val="both"/>
        <w:rPr>
          <w:rFonts w:ascii="Arial" w:hAnsi="Arial" w:cs="Arial"/>
          <w:sz w:val="21"/>
          <w:szCs w:val="21"/>
          <w:lang w:val="es-ES_tradnl"/>
        </w:rPr>
      </w:pPr>
      <w:r>
        <w:rPr>
          <w:rFonts w:ascii="Arial" w:hAnsi="Arial" w:cs="Arial"/>
          <w:sz w:val="21"/>
          <w:szCs w:val="21"/>
          <w:lang w:val="es-ES_tradnl"/>
        </w:rPr>
        <w:t>»</w:t>
      </w:r>
      <w:r w:rsidRPr="00645361">
        <w:rPr>
          <w:rFonts w:ascii="Arial" w:hAnsi="Arial" w:cs="Arial"/>
          <w:sz w:val="21"/>
          <w:szCs w:val="21"/>
          <w:lang w:val="es-ES_tradnl"/>
        </w:rPr>
        <w:t>2. Teniendo en cuenta que en mínima cuantía no hay puntaje, ¿Se debe aplicar lo señalado en el decreto 1082 de 2015 de la oferta que primero se reciba?</w:t>
      </w:r>
      <w:r>
        <w:rPr>
          <w:rFonts w:ascii="Arial" w:hAnsi="Arial" w:cs="Arial"/>
          <w:sz w:val="21"/>
          <w:szCs w:val="21"/>
          <w:lang w:val="es-ES_tradnl"/>
        </w:rPr>
        <w:t>»</w:t>
      </w:r>
    </w:p>
    <w:p w14:paraId="3C52432A" w14:textId="1F8E0672" w:rsidR="00645361" w:rsidRDefault="00645361" w:rsidP="00645361">
      <w:pPr>
        <w:spacing w:line="276" w:lineRule="auto"/>
        <w:ind w:right="709"/>
        <w:jc w:val="both"/>
        <w:rPr>
          <w:rFonts w:ascii="Arial" w:hAnsi="Arial" w:cs="Arial"/>
          <w:sz w:val="22"/>
          <w:szCs w:val="22"/>
          <w:lang w:val="es-ES_tradnl"/>
        </w:rPr>
      </w:pPr>
    </w:p>
    <w:p w14:paraId="2699F5C5" w14:textId="7B763C70" w:rsidR="00645361" w:rsidRDefault="00645361" w:rsidP="00645361">
      <w:pPr>
        <w:spacing w:line="276" w:lineRule="auto"/>
        <w:ind w:right="709"/>
        <w:jc w:val="both"/>
        <w:rPr>
          <w:rFonts w:ascii="Arial" w:hAnsi="Arial" w:cs="Arial"/>
          <w:sz w:val="22"/>
          <w:szCs w:val="22"/>
          <w:lang w:val="es-ES_tradnl"/>
        </w:rPr>
      </w:pPr>
    </w:p>
    <w:p w14:paraId="01F98589" w14:textId="77777777" w:rsidR="00645361" w:rsidRPr="00B93138" w:rsidRDefault="00645361" w:rsidP="00645361">
      <w:pPr>
        <w:spacing w:line="276" w:lineRule="auto"/>
        <w:ind w:right="709"/>
        <w:jc w:val="both"/>
        <w:rPr>
          <w:rFonts w:ascii="Arial" w:hAnsi="Arial" w:cs="Arial"/>
          <w:sz w:val="22"/>
          <w:szCs w:val="22"/>
          <w:lang w:val="es-ES_tradnl"/>
        </w:rPr>
      </w:pPr>
    </w:p>
    <w:p w14:paraId="124D2DCA" w14:textId="77777777" w:rsidR="00DD5B04" w:rsidRPr="00B93138" w:rsidRDefault="00DD5B04" w:rsidP="00EB2ED0">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B93138">
        <w:rPr>
          <w:rFonts w:ascii="Arial" w:eastAsia="Calibri" w:hAnsi="Arial" w:cs="Arial"/>
          <w:b/>
          <w:sz w:val="22"/>
          <w:lang w:val="es-ES_tradnl"/>
        </w:rPr>
        <w:t>Consideraciones</w:t>
      </w:r>
    </w:p>
    <w:p w14:paraId="7D050D2E" w14:textId="77777777" w:rsidR="00435703" w:rsidRPr="00B93138" w:rsidRDefault="00435703" w:rsidP="00EB2ED0">
      <w:pPr>
        <w:jc w:val="both"/>
        <w:rPr>
          <w:rFonts w:ascii="Arial" w:eastAsia="Calibri" w:hAnsi="Arial" w:cs="Arial"/>
          <w:sz w:val="22"/>
          <w:szCs w:val="22"/>
          <w:lang w:val="es-ES_tradnl"/>
        </w:rPr>
      </w:pPr>
    </w:p>
    <w:p w14:paraId="78B9C34C" w14:textId="189416D7" w:rsidR="002638F4" w:rsidRPr="00B93138" w:rsidRDefault="002638F4" w:rsidP="004832AF">
      <w:pPr>
        <w:spacing w:line="276" w:lineRule="auto"/>
        <w:jc w:val="both"/>
        <w:rPr>
          <w:rFonts w:ascii="Arial" w:eastAsia="Calibri" w:hAnsi="Arial" w:cs="Arial"/>
          <w:sz w:val="22"/>
          <w:szCs w:val="22"/>
          <w:lang w:val="es-ES_tradnl"/>
        </w:rPr>
      </w:pPr>
      <w:r w:rsidRPr="00B93138">
        <w:rPr>
          <w:rFonts w:ascii="Arial" w:eastAsia="Calibri" w:hAnsi="Arial" w:cs="Arial"/>
          <w:sz w:val="22"/>
          <w:szCs w:val="22"/>
          <w:lang w:val="es-ES_tradnl"/>
        </w:rPr>
        <w:t>Es importante destacar que esta Agencia ha estudiado, en términos generales, los factores de desempate en los procedimientos de contratación estatal, en los conceptos C-285 del 4 de mayo de 2020, C-481 del 27 de julio de 2020, C-514 y C-535 del 26 de agosto de 2020 y C-556 del 31 de agosto de 2020. De igual manera, estudió los factores de desempate del artículo 35 de la Ley 2069 de 2020 en los conceptos: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C-239 del 25 de mayo de 2021, C-338 del 12 de julio de 2021,</w:t>
      </w:r>
      <w:r w:rsidR="008D2B89" w:rsidRPr="00B93138">
        <w:rPr>
          <w:rFonts w:ascii="Arial" w:eastAsia="Calibri" w:hAnsi="Arial" w:cs="Arial"/>
          <w:sz w:val="22"/>
          <w:szCs w:val="22"/>
          <w:lang w:val="es-ES_tradnl"/>
        </w:rPr>
        <w:t xml:space="preserve"> C-422 del 18 de agosto de 2021, </w:t>
      </w:r>
      <w:r w:rsidR="00007F64" w:rsidRPr="00B93138">
        <w:rPr>
          <w:rFonts w:ascii="Arial" w:eastAsia="Calibri" w:hAnsi="Arial" w:cs="Arial"/>
          <w:bCs/>
          <w:sz w:val="22"/>
        </w:rPr>
        <w:t>C-437 del 24 de agosto de 2021, C-518 el 20 de septiembre de 2021, C-438 del 28 de septiembre de 2021</w:t>
      </w:r>
      <w:r w:rsidR="008D140A">
        <w:rPr>
          <w:rFonts w:ascii="Arial" w:eastAsia="Calibri" w:hAnsi="Arial" w:cs="Arial"/>
          <w:bCs/>
          <w:sz w:val="22"/>
        </w:rPr>
        <w:t xml:space="preserve"> y C-586 del 14 de octubre de 2021</w:t>
      </w:r>
      <w:r w:rsidR="00007F64" w:rsidRPr="00B93138">
        <w:rPr>
          <w:rFonts w:ascii="Arial" w:eastAsia="Calibri" w:hAnsi="Arial" w:cs="Arial"/>
          <w:bCs/>
          <w:sz w:val="22"/>
        </w:rPr>
        <w:t xml:space="preserve">, </w:t>
      </w:r>
      <w:r w:rsidRPr="00B93138">
        <w:rPr>
          <w:rFonts w:ascii="Arial" w:eastAsia="Calibri" w:hAnsi="Arial" w:cs="Arial"/>
          <w:sz w:val="22"/>
          <w:szCs w:val="22"/>
          <w:lang w:val="es-ES_tradnl"/>
        </w:rPr>
        <w:t>entre otros</w:t>
      </w:r>
      <w:r w:rsidRPr="00B93138">
        <w:rPr>
          <w:rStyle w:val="Refdenotaalpie"/>
          <w:rFonts w:ascii="Arial" w:eastAsia="Calibri" w:hAnsi="Arial" w:cs="Arial"/>
          <w:sz w:val="22"/>
          <w:szCs w:val="22"/>
          <w:lang w:val="es-ES_tradnl"/>
        </w:rPr>
        <w:footnoteReference w:id="2"/>
      </w:r>
      <w:r w:rsidRPr="00B93138">
        <w:rPr>
          <w:rFonts w:ascii="Arial" w:eastAsia="Calibri" w:hAnsi="Arial" w:cs="Arial"/>
          <w:sz w:val="22"/>
          <w:szCs w:val="22"/>
          <w:lang w:val="es-ES_tradnl"/>
        </w:rPr>
        <w:t>. Algunas de las consideraciones de estos conceptos se reiteran a continuación.</w:t>
      </w:r>
    </w:p>
    <w:p w14:paraId="57BB9BBC" w14:textId="77777777" w:rsidR="00E85980" w:rsidRPr="00B93138" w:rsidRDefault="00E85980" w:rsidP="00E85980">
      <w:pPr>
        <w:spacing w:line="276" w:lineRule="auto"/>
        <w:ind w:firstLine="709"/>
        <w:jc w:val="both"/>
        <w:rPr>
          <w:rFonts w:ascii="Arial" w:eastAsia="Calibri" w:hAnsi="Arial" w:cs="Arial"/>
          <w:sz w:val="22"/>
          <w:szCs w:val="22"/>
          <w:lang w:val="es-ES_tradnl"/>
        </w:rPr>
      </w:pPr>
    </w:p>
    <w:p w14:paraId="08FD9001" w14:textId="77777777" w:rsidR="00E85980" w:rsidRPr="00B93138" w:rsidRDefault="00E85980" w:rsidP="00E85980">
      <w:pPr>
        <w:spacing w:line="276" w:lineRule="auto"/>
        <w:jc w:val="both"/>
        <w:rPr>
          <w:rFonts w:ascii="Arial" w:eastAsia="Calibri" w:hAnsi="Arial" w:cs="Arial"/>
          <w:b/>
          <w:bCs/>
          <w:sz w:val="22"/>
          <w:szCs w:val="22"/>
          <w:lang w:val="es-ES_tradnl"/>
        </w:rPr>
      </w:pPr>
      <w:r w:rsidRPr="00B93138">
        <w:rPr>
          <w:rFonts w:ascii="Arial" w:eastAsia="Calibri" w:hAnsi="Arial" w:cs="Arial"/>
          <w:b/>
          <w:bCs/>
          <w:sz w:val="22"/>
          <w:szCs w:val="22"/>
          <w:lang w:val="es-ES_tradnl"/>
        </w:rPr>
        <w:t>2.1. Factores de desempate en la contratación estatal: concepto y características</w:t>
      </w:r>
    </w:p>
    <w:p w14:paraId="028A190F" w14:textId="77777777" w:rsidR="00E85980" w:rsidRPr="00B93138" w:rsidRDefault="00E85980" w:rsidP="00E85980">
      <w:pPr>
        <w:spacing w:line="276" w:lineRule="auto"/>
        <w:jc w:val="both"/>
        <w:rPr>
          <w:rFonts w:ascii="Arial" w:eastAsia="Calibri" w:hAnsi="Arial" w:cs="Arial"/>
          <w:sz w:val="22"/>
          <w:szCs w:val="22"/>
          <w:lang w:val="es-ES_tradnl"/>
        </w:rPr>
      </w:pPr>
    </w:p>
    <w:p w14:paraId="06F00BC0" w14:textId="77777777" w:rsidR="00E85980" w:rsidRPr="00B93138" w:rsidRDefault="00E85980" w:rsidP="00E85980">
      <w:pPr>
        <w:spacing w:line="276" w:lineRule="auto"/>
        <w:jc w:val="both"/>
        <w:rPr>
          <w:rFonts w:ascii="Arial" w:eastAsia="Calibri" w:hAnsi="Arial" w:cs="Arial"/>
          <w:sz w:val="22"/>
          <w:szCs w:val="22"/>
          <w:lang w:val="es-ES_tradnl"/>
        </w:rPr>
      </w:pPr>
      <w:r w:rsidRPr="00B93138">
        <w:rPr>
          <w:rFonts w:ascii="Arial" w:eastAsia="Calibri" w:hAnsi="Arial" w:cs="Arial"/>
          <w:sz w:val="22"/>
          <w:szCs w:val="22"/>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w:t>
      </w:r>
      <w:r w:rsidRPr="00B93138">
        <w:rPr>
          <w:rFonts w:ascii="Arial" w:eastAsia="Calibri" w:hAnsi="Arial" w:cs="Arial"/>
          <w:sz w:val="22"/>
          <w:szCs w:val="22"/>
          <w:lang w:val="es-ES_tradnl"/>
        </w:rPr>
        <w:lastRenderedPageBreak/>
        <w:t>entre otros elementos que garanticen la escogencia de la mejor opción de negocio para la entidad estatal.</w:t>
      </w:r>
    </w:p>
    <w:p w14:paraId="41FF7A2D" w14:textId="77777777" w:rsidR="00E85980" w:rsidRPr="00B93138" w:rsidRDefault="00E85980" w:rsidP="00E85980">
      <w:pPr>
        <w:spacing w:before="120" w:line="276" w:lineRule="auto"/>
        <w:ind w:firstLine="709"/>
        <w:jc w:val="both"/>
        <w:rPr>
          <w:rFonts w:ascii="Arial" w:eastAsia="Calibri" w:hAnsi="Arial" w:cs="Arial"/>
          <w:sz w:val="22"/>
          <w:szCs w:val="22"/>
          <w:lang w:val="es-ES_tradnl"/>
        </w:rPr>
      </w:pPr>
      <w:r w:rsidRPr="00B93138">
        <w:rPr>
          <w:rFonts w:ascii="Arial" w:eastAsia="Calibri" w:hAnsi="Arial" w:cs="Arial"/>
          <w:sz w:val="22"/>
          <w:szCs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00FEEE61" w14:textId="77777777" w:rsidR="00E85980" w:rsidRPr="00B93138" w:rsidRDefault="00E85980" w:rsidP="00E85980">
      <w:pPr>
        <w:spacing w:before="120" w:line="276" w:lineRule="auto"/>
        <w:ind w:firstLine="709"/>
        <w:jc w:val="both"/>
        <w:rPr>
          <w:rFonts w:ascii="Arial" w:eastAsia="Calibri" w:hAnsi="Arial" w:cs="Arial"/>
          <w:sz w:val="22"/>
          <w:szCs w:val="22"/>
          <w:lang w:val="es-ES_tradnl"/>
        </w:rPr>
      </w:pPr>
      <w:r w:rsidRPr="00B93138">
        <w:rPr>
          <w:rFonts w:ascii="Arial" w:eastAsia="Calibri" w:hAnsi="Arial" w:cs="Arial"/>
          <w:sz w:val="22"/>
          <w:szCs w:val="22"/>
          <w:lang w:val="es-ES_tradnl"/>
        </w:rPr>
        <w:t>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w:t>
      </w:r>
      <w:r w:rsidRPr="00B93138">
        <w:rPr>
          <w:rFonts w:ascii="Arial" w:hAnsi="Arial" w:cs="Arial"/>
          <w:sz w:val="21"/>
          <w:szCs w:val="21"/>
          <w:vertAlign w:val="superscript"/>
          <w:lang w:val="es-ES_tradnl"/>
        </w:rPr>
        <w:footnoteReference w:id="3"/>
      </w:r>
      <w:r w:rsidRPr="00B93138">
        <w:rPr>
          <w:rFonts w:ascii="Arial" w:eastAsia="Calibri" w:hAnsi="Arial" w:cs="Arial"/>
          <w:sz w:val="22"/>
          <w:szCs w:val="22"/>
          <w:lang w:val="es-ES_tradnl"/>
        </w:rPr>
        <w:t xml:space="preserve">. </w:t>
      </w:r>
    </w:p>
    <w:p w14:paraId="4F0BA1DB" w14:textId="77777777" w:rsidR="00E85980" w:rsidRPr="00B93138" w:rsidRDefault="00E85980" w:rsidP="00E85980">
      <w:pPr>
        <w:spacing w:before="120" w:line="276" w:lineRule="auto"/>
        <w:ind w:firstLine="709"/>
        <w:jc w:val="both"/>
        <w:rPr>
          <w:rFonts w:ascii="Arial" w:eastAsia="Calibri" w:hAnsi="Arial" w:cs="Arial"/>
          <w:sz w:val="22"/>
          <w:szCs w:val="22"/>
          <w:lang w:val="es-ES_tradnl"/>
        </w:rPr>
      </w:pPr>
      <w:r w:rsidRPr="00B93138">
        <w:rPr>
          <w:rFonts w:ascii="Arial" w:eastAsia="Calibri" w:hAnsi="Arial" w:cs="Arial"/>
          <w:sz w:val="22"/>
          <w:szCs w:val="22"/>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w:t>
      </w:r>
      <w:r w:rsidRPr="00B93138">
        <w:rPr>
          <w:rFonts w:ascii="Arial" w:eastAsia="Calibri" w:hAnsi="Arial" w:cs="Arial"/>
          <w:sz w:val="22"/>
          <w:szCs w:val="22"/>
          <w:vertAlign w:val="superscript"/>
          <w:lang w:val="es-ES_tradnl"/>
        </w:rPr>
        <w:footnoteReference w:id="4"/>
      </w:r>
      <w:r w:rsidRPr="00B93138">
        <w:rPr>
          <w:rFonts w:ascii="Arial" w:eastAsia="Calibri" w:hAnsi="Arial" w:cs="Arial"/>
          <w:sz w:val="22"/>
          <w:szCs w:val="22"/>
          <w:lang w:val="es-ES_tradnl"/>
        </w:rPr>
        <w:t>. Más aún, el Consejo de Estado ha señalado que contrariar los factores de desempate genera la nulidad del contrato, conforme al artículo 44, inciso 1º de la Ley 80 de 1993</w:t>
      </w:r>
      <w:r w:rsidRPr="00B93138">
        <w:rPr>
          <w:rFonts w:ascii="Arial" w:eastAsia="Calibri" w:hAnsi="Arial" w:cs="Arial"/>
          <w:sz w:val="22"/>
          <w:szCs w:val="22"/>
          <w:vertAlign w:val="superscript"/>
          <w:lang w:val="es-ES_tradnl"/>
        </w:rPr>
        <w:footnoteReference w:id="5"/>
      </w:r>
      <w:r w:rsidRPr="00B93138">
        <w:rPr>
          <w:rFonts w:ascii="Arial" w:eastAsia="Calibri" w:hAnsi="Arial" w:cs="Arial"/>
          <w:sz w:val="22"/>
          <w:szCs w:val="22"/>
          <w:lang w:val="es-ES_tradnl"/>
        </w:rPr>
        <w:t>.</w:t>
      </w:r>
    </w:p>
    <w:p w14:paraId="0C4D2541" w14:textId="77777777" w:rsidR="00E85980" w:rsidRPr="00B93138" w:rsidRDefault="00E85980" w:rsidP="00E85980">
      <w:pPr>
        <w:spacing w:before="120" w:line="276" w:lineRule="auto"/>
        <w:ind w:firstLine="709"/>
        <w:jc w:val="both"/>
        <w:rPr>
          <w:rFonts w:ascii="Arial" w:eastAsia="Calibri" w:hAnsi="Arial" w:cs="Arial"/>
          <w:sz w:val="22"/>
          <w:szCs w:val="22"/>
          <w:lang w:val="es-ES_tradnl"/>
        </w:rPr>
      </w:pPr>
      <w:r w:rsidRPr="00B93138">
        <w:rPr>
          <w:rFonts w:ascii="Arial" w:eastAsia="Calibri" w:hAnsi="Arial" w:cs="Arial"/>
          <w:sz w:val="22"/>
          <w:szCs w:val="22"/>
          <w:lang w:val="es-ES_tradnl"/>
        </w:rPr>
        <w:lastRenderedPageBreak/>
        <w:t xml:space="preserve">Ahora bien, en cumplimiento de los principios de reciprocidad y de </w:t>
      </w:r>
      <w:r w:rsidRPr="00B93138">
        <w:rPr>
          <w:rFonts w:ascii="Arial" w:eastAsia="Calibri" w:hAnsi="Arial" w:cs="Arial"/>
          <w:i/>
          <w:iCs/>
          <w:sz w:val="22"/>
          <w:szCs w:val="22"/>
          <w:lang w:val="es-ES_tradnl"/>
        </w:rPr>
        <w:t xml:space="preserve">pacta </w:t>
      </w:r>
      <w:proofErr w:type="spellStart"/>
      <w:r w:rsidRPr="00B93138">
        <w:rPr>
          <w:rFonts w:ascii="Arial" w:eastAsia="Calibri" w:hAnsi="Arial" w:cs="Arial"/>
          <w:i/>
          <w:iCs/>
          <w:sz w:val="22"/>
          <w:szCs w:val="22"/>
          <w:lang w:val="es-ES_tradnl"/>
        </w:rPr>
        <w:t>sunt</w:t>
      </w:r>
      <w:proofErr w:type="spellEnd"/>
      <w:r w:rsidRPr="00B93138">
        <w:rPr>
          <w:rFonts w:ascii="Arial" w:eastAsia="Calibri" w:hAnsi="Arial" w:cs="Arial"/>
          <w:i/>
          <w:iCs/>
          <w:sz w:val="22"/>
          <w:szCs w:val="22"/>
          <w:lang w:val="es-ES_tradnl"/>
        </w:rPr>
        <w:t xml:space="preserve"> </w:t>
      </w:r>
      <w:proofErr w:type="spellStart"/>
      <w:r w:rsidRPr="00B93138">
        <w:rPr>
          <w:rFonts w:ascii="Arial" w:eastAsia="Calibri" w:hAnsi="Arial" w:cs="Arial"/>
          <w:i/>
          <w:iCs/>
          <w:sz w:val="22"/>
          <w:szCs w:val="22"/>
          <w:lang w:val="es-ES_tradnl"/>
        </w:rPr>
        <w:t>servanda</w:t>
      </w:r>
      <w:proofErr w:type="spellEnd"/>
      <w:r w:rsidRPr="00B93138">
        <w:rPr>
          <w:rFonts w:ascii="Arial" w:eastAsia="Calibri" w:hAnsi="Arial" w:cs="Arial"/>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0EE99E12" w14:textId="77777777" w:rsidR="00E85980" w:rsidRPr="00B93138" w:rsidRDefault="00E85980" w:rsidP="00AC6B7E">
      <w:pPr>
        <w:spacing w:line="276" w:lineRule="auto"/>
        <w:jc w:val="both"/>
        <w:rPr>
          <w:rFonts w:ascii="Arial" w:eastAsia="Calibri" w:hAnsi="Arial" w:cs="Arial"/>
          <w:b/>
          <w:bCs/>
          <w:sz w:val="22"/>
          <w:szCs w:val="22"/>
          <w:lang w:val="es-ES_tradnl"/>
        </w:rPr>
      </w:pPr>
    </w:p>
    <w:p w14:paraId="273C508A" w14:textId="4A16048A" w:rsidR="00AC6B7E" w:rsidRPr="00B93138" w:rsidRDefault="00AC6B7E" w:rsidP="00AC6B7E">
      <w:pPr>
        <w:spacing w:line="276" w:lineRule="auto"/>
        <w:jc w:val="both"/>
        <w:rPr>
          <w:rFonts w:ascii="Arial" w:eastAsia="Calibri" w:hAnsi="Arial" w:cs="Arial"/>
          <w:b/>
          <w:bCs/>
          <w:sz w:val="22"/>
          <w:szCs w:val="22"/>
          <w:lang w:val="es-ES_tradnl"/>
        </w:rPr>
      </w:pPr>
      <w:r w:rsidRPr="00B93138">
        <w:rPr>
          <w:rFonts w:ascii="Arial" w:eastAsia="Calibri" w:hAnsi="Arial" w:cs="Arial"/>
          <w:b/>
          <w:bCs/>
          <w:sz w:val="22"/>
          <w:szCs w:val="22"/>
          <w:lang w:val="es-ES_tradnl"/>
        </w:rPr>
        <w:t>2.</w:t>
      </w:r>
      <w:r w:rsidR="00E85980" w:rsidRPr="00B93138">
        <w:rPr>
          <w:rFonts w:ascii="Arial" w:eastAsia="Calibri" w:hAnsi="Arial" w:cs="Arial"/>
          <w:b/>
          <w:bCs/>
          <w:sz w:val="22"/>
          <w:szCs w:val="22"/>
          <w:lang w:val="es-ES_tradnl"/>
        </w:rPr>
        <w:t>2</w:t>
      </w:r>
      <w:r w:rsidRPr="00B93138">
        <w:rPr>
          <w:rFonts w:ascii="Arial" w:eastAsia="Calibri" w:hAnsi="Arial" w:cs="Arial"/>
          <w:b/>
          <w:bCs/>
          <w:sz w:val="22"/>
          <w:szCs w:val="22"/>
          <w:lang w:val="es-ES_tradnl"/>
        </w:rPr>
        <w:t>. Vigencia y ámbito de aplicación de la Ley 2069 de 2020: impacto sobre la contratación estatal</w:t>
      </w:r>
    </w:p>
    <w:p w14:paraId="4FEA9294" w14:textId="77777777" w:rsidR="00AC6B7E" w:rsidRPr="00B93138" w:rsidRDefault="00AC6B7E" w:rsidP="00AC6B7E">
      <w:pPr>
        <w:spacing w:line="276" w:lineRule="auto"/>
        <w:jc w:val="both"/>
        <w:rPr>
          <w:rFonts w:ascii="Arial" w:eastAsia="Calibri" w:hAnsi="Arial" w:cs="Arial"/>
          <w:sz w:val="22"/>
          <w:szCs w:val="22"/>
          <w:lang w:val="es-ES_tradnl"/>
        </w:rPr>
      </w:pPr>
    </w:p>
    <w:p w14:paraId="75060670" w14:textId="77777777" w:rsidR="00AC6B7E" w:rsidRPr="00B93138" w:rsidRDefault="00AC6B7E" w:rsidP="00AC6B7E">
      <w:pPr>
        <w:spacing w:line="276" w:lineRule="auto"/>
        <w:jc w:val="both"/>
        <w:rPr>
          <w:rFonts w:ascii="Arial" w:eastAsia="Calibri" w:hAnsi="Arial" w:cs="Arial"/>
          <w:sz w:val="22"/>
          <w:szCs w:val="22"/>
          <w:lang w:val="es-ES_tradnl"/>
        </w:rPr>
      </w:pPr>
      <w:r w:rsidRPr="00B93138">
        <w:rPr>
          <w:rFonts w:ascii="Arial" w:eastAsia="Calibri" w:hAnsi="Arial" w:cs="Arial"/>
          <w:sz w:val="22"/>
          <w:szCs w:val="22"/>
          <w:lang w:val="es-ES_tradnl"/>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del artículo 189.11 de la Constitución Política, expida el decreto correspondiente que permita la cumplida ejecución de esta Ley.</w:t>
      </w:r>
    </w:p>
    <w:p w14:paraId="0331EC41" w14:textId="77777777" w:rsidR="00AC6B7E" w:rsidRPr="00B93138" w:rsidRDefault="00AC6B7E" w:rsidP="00AC6B7E">
      <w:pPr>
        <w:spacing w:before="120" w:line="276" w:lineRule="auto"/>
        <w:ind w:firstLine="709"/>
        <w:jc w:val="both"/>
        <w:rPr>
          <w:rFonts w:ascii="Arial" w:eastAsia="Calibri" w:hAnsi="Arial" w:cs="Arial"/>
          <w:sz w:val="22"/>
          <w:szCs w:val="22"/>
          <w:lang w:val="es-ES_tradnl"/>
        </w:rPr>
      </w:pPr>
      <w:r w:rsidRPr="00B93138">
        <w:rPr>
          <w:rFonts w:ascii="Arial" w:eastAsia="Calibri" w:hAnsi="Arial" w:cs="Arial"/>
          <w:sz w:val="22"/>
          <w:szCs w:val="22"/>
          <w:lang w:val="es-ES_tradnl"/>
        </w:rPr>
        <w:t>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B93138">
        <w:rPr>
          <w:rFonts w:ascii="Arial" w:eastAsia="Calibri" w:hAnsi="Arial" w:cs="Arial"/>
          <w:sz w:val="22"/>
          <w:szCs w:val="22"/>
          <w:lang w:val="es-ES_tradnl"/>
        </w:rPr>
        <w:t>mipymes</w:t>
      </w:r>
      <w:proofErr w:type="spellEnd"/>
      <w:r w:rsidRPr="00B93138">
        <w:rPr>
          <w:rFonts w:ascii="Arial" w:eastAsia="Calibri" w:hAnsi="Arial" w:cs="Arial"/>
          <w:sz w:val="22"/>
          <w:szCs w:val="22"/>
          <w:lang w:val="es-ES_tradnl"/>
        </w:rPr>
        <w:t>–, mediante la racionalización y simplificación de los trámites y tarifas</w:t>
      </w:r>
      <w:r w:rsidRPr="00B93138">
        <w:rPr>
          <w:rStyle w:val="Refdenotaalpie"/>
          <w:rFonts w:ascii="Arial" w:eastAsia="Calibri" w:hAnsi="Arial" w:cs="Arial"/>
          <w:sz w:val="22"/>
          <w:szCs w:val="22"/>
          <w:lang w:val="es-ES_tradnl"/>
        </w:rPr>
        <w:footnoteReference w:id="6"/>
      </w:r>
      <w:r w:rsidRPr="00B93138">
        <w:rPr>
          <w:rFonts w:ascii="Arial" w:eastAsia="Calibri" w:hAnsi="Arial" w:cs="Arial"/>
          <w:sz w:val="22"/>
          <w:szCs w:val="22"/>
          <w:lang w:val="es-ES_tradnl"/>
        </w:rPr>
        <w:t>, así como incentivos a favor de aquellas dentro del sistema de compras y contratación pública</w:t>
      </w:r>
      <w:r w:rsidRPr="00B93138">
        <w:rPr>
          <w:rStyle w:val="Refdenotaalpie"/>
          <w:rFonts w:ascii="Arial" w:eastAsia="Calibri" w:hAnsi="Arial" w:cs="Arial"/>
          <w:sz w:val="22"/>
          <w:szCs w:val="22"/>
          <w:lang w:val="es-ES_tradnl"/>
        </w:rPr>
        <w:footnoteReference w:id="7"/>
      </w:r>
      <w:r w:rsidRPr="00B93138">
        <w:rPr>
          <w:rFonts w:ascii="Arial" w:eastAsia="Calibri" w:hAnsi="Arial" w:cs="Arial"/>
          <w:sz w:val="22"/>
          <w:szCs w:val="22"/>
          <w:lang w:val="es-ES_tradnl"/>
        </w:rPr>
        <w:t>. También se consagran mecanismos de acceso al financiamiento</w:t>
      </w:r>
      <w:r w:rsidRPr="00B93138">
        <w:rPr>
          <w:rStyle w:val="Refdenotaalpie"/>
          <w:rFonts w:ascii="Arial" w:eastAsia="Calibri" w:hAnsi="Arial" w:cs="Arial"/>
          <w:sz w:val="22"/>
          <w:szCs w:val="22"/>
          <w:lang w:val="es-ES_tradnl"/>
        </w:rPr>
        <w:footnoteReference w:id="8"/>
      </w:r>
      <w:r w:rsidRPr="00B93138">
        <w:rPr>
          <w:rFonts w:ascii="Arial" w:eastAsia="Calibri" w:hAnsi="Arial" w:cs="Arial"/>
          <w:sz w:val="22"/>
          <w:szCs w:val="22"/>
          <w:lang w:val="es-ES_tradnl"/>
        </w:rPr>
        <w:t>, se unifican las fuentes de emprendimiento y de desarrollo empresarial, para fortalecer y promover los distintos sectores de la economía</w:t>
      </w:r>
      <w:r w:rsidRPr="00B93138">
        <w:rPr>
          <w:rStyle w:val="Refdenotaalpie"/>
          <w:rFonts w:ascii="Arial" w:eastAsia="Calibri" w:hAnsi="Arial" w:cs="Arial"/>
          <w:sz w:val="22"/>
          <w:szCs w:val="22"/>
          <w:lang w:val="es-ES_tradnl"/>
        </w:rPr>
        <w:footnoteReference w:id="9"/>
      </w:r>
      <w:r w:rsidRPr="00B93138">
        <w:rPr>
          <w:rFonts w:ascii="Arial" w:eastAsia="Calibri" w:hAnsi="Arial" w:cs="Arial"/>
          <w:sz w:val="22"/>
          <w:szCs w:val="22"/>
          <w:lang w:val="es-ES_tradnl"/>
        </w:rPr>
        <w:t xml:space="preserve"> y se prevén medidas de educación para el emprendimiento y la innovación</w:t>
      </w:r>
      <w:r w:rsidRPr="00B93138">
        <w:rPr>
          <w:rStyle w:val="Refdenotaalpie"/>
          <w:rFonts w:ascii="Arial" w:eastAsia="Calibri" w:hAnsi="Arial" w:cs="Arial"/>
          <w:sz w:val="22"/>
          <w:szCs w:val="22"/>
          <w:lang w:val="es-ES_tradnl"/>
        </w:rPr>
        <w:footnoteReference w:id="10"/>
      </w:r>
      <w:r w:rsidRPr="00B93138">
        <w:rPr>
          <w:rFonts w:ascii="Arial" w:eastAsia="Calibri" w:hAnsi="Arial" w:cs="Arial"/>
          <w:sz w:val="22"/>
          <w:szCs w:val="22"/>
          <w:lang w:val="es-ES_tradnl"/>
        </w:rPr>
        <w:t>.</w:t>
      </w:r>
    </w:p>
    <w:p w14:paraId="2D412CF1" w14:textId="77777777" w:rsidR="00AC6B7E" w:rsidRPr="00B93138" w:rsidRDefault="00AC6B7E" w:rsidP="00AC6B7E">
      <w:pPr>
        <w:spacing w:before="120" w:line="276" w:lineRule="auto"/>
        <w:ind w:firstLine="709"/>
        <w:jc w:val="both"/>
        <w:rPr>
          <w:rFonts w:ascii="Arial" w:eastAsia="Calibri" w:hAnsi="Arial" w:cs="Arial"/>
          <w:sz w:val="22"/>
          <w:szCs w:val="22"/>
          <w:lang w:val="es-ES_tradnl"/>
        </w:rPr>
      </w:pPr>
      <w:bookmarkStart w:id="8" w:name="_Hlk63883948"/>
      <w:r w:rsidRPr="00B93138">
        <w:rPr>
          <w:rFonts w:ascii="Arial" w:eastAsia="Calibri" w:hAnsi="Arial" w:cs="Arial"/>
          <w:sz w:val="22"/>
          <w:szCs w:val="22"/>
          <w:lang w:val="es-ES_tradnl"/>
        </w:rPr>
        <w:lastRenderedPageBreak/>
        <w:t xml:space="preserve">La Ley 2069 de 2020 guarda </w:t>
      </w:r>
      <w:r w:rsidRPr="00B93138">
        <w:rPr>
          <w:rFonts w:ascii="Arial" w:eastAsia="Calibri" w:hAnsi="Arial" w:cs="Arial"/>
          <w:bCs/>
          <w:sz w:val="22"/>
        </w:rPr>
        <w:t xml:space="preserve">congruencia con el «Pacto por el emprendimiento, la formalización y la productividad» del Plan Nacional de Desarrollo 2018-2022, pues busca impulsar el nacimiento de nuevas empresas que incentiven la generación de empleo en el país. En tal sentido, su finalidad principal es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competitividad. De esta manera, la ley en comento también concreta la </w:t>
      </w:r>
      <w:bookmarkStart w:id="9" w:name="_Hlk63692496"/>
      <w:r w:rsidRPr="00B93138">
        <w:rPr>
          <w:rFonts w:ascii="Arial" w:eastAsia="Calibri" w:hAnsi="Arial" w:cs="Arial"/>
          <w:bCs/>
          <w:sz w:val="22"/>
        </w:rPr>
        <w:t>«Política de formalización empresarial»</w:t>
      </w:r>
      <w:bookmarkEnd w:id="9"/>
      <w:r w:rsidRPr="00B93138">
        <w:rPr>
          <w:rFonts w:ascii="Arial" w:eastAsia="Calibri" w:hAnsi="Arial" w:cs="Arial"/>
          <w:bCs/>
          <w:sz w:val="22"/>
        </w:rPr>
        <w:t xml:space="preserve"> del Documento CONPES 3956 del 8 de enero de 2019</w:t>
      </w:r>
      <w:r w:rsidRPr="00B93138">
        <w:rPr>
          <w:rStyle w:val="Refdenotaalpie"/>
          <w:rFonts w:ascii="Arial" w:eastAsia="Calibri" w:hAnsi="Arial" w:cs="Arial"/>
          <w:bCs/>
          <w:sz w:val="22"/>
        </w:rPr>
        <w:footnoteReference w:id="11"/>
      </w:r>
      <w:r w:rsidRPr="00B93138">
        <w:rPr>
          <w:rFonts w:ascii="Arial" w:eastAsia="Calibri" w:hAnsi="Arial" w:cs="Arial"/>
          <w:bCs/>
          <w:sz w:val="22"/>
        </w:rPr>
        <w:t>.</w:t>
      </w:r>
      <w:bookmarkEnd w:id="8"/>
    </w:p>
    <w:p w14:paraId="3865DD4A" w14:textId="77777777" w:rsidR="00AC6B7E" w:rsidRPr="00B93138" w:rsidRDefault="00AC6B7E" w:rsidP="00AC6B7E">
      <w:pPr>
        <w:tabs>
          <w:tab w:val="left" w:pos="709"/>
        </w:tabs>
        <w:spacing w:before="120" w:after="120" w:line="276" w:lineRule="auto"/>
        <w:jc w:val="both"/>
        <w:rPr>
          <w:rFonts w:ascii="Arial" w:eastAsia="Calibri" w:hAnsi="Arial" w:cs="Arial"/>
          <w:bCs/>
          <w:sz w:val="22"/>
        </w:rPr>
      </w:pPr>
      <w:r w:rsidRPr="00B93138">
        <w:rPr>
          <w:rFonts w:ascii="Arial" w:eastAsia="Calibri" w:hAnsi="Arial" w:cs="Arial"/>
          <w:bCs/>
          <w:sz w:val="22"/>
        </w:rPr>
        <w:tab/>
        <w:t>De esta manera, la ley impulsa medidas para i) reducir cargas y trámites para los emprendedores del país, ii) facilitar su acceso al sistema de compras y contratación pública, iii) incentivar el crecimiento económico con la llegada de más actores al ecosistema de inversión y financiación, iv) focalizar esfuerzos, optimizar la gestión de recursos e incentivar una visión integral del desarrollo productivo a través del fortalecimiento institucional, v) facilitar la apropiación del emprendimiento y la cultura emprendedora en la juventud colombiana, así como vi) otorgar beneficios para emprendedores, especialmente, estableciendo un enfoque diferencial respecto a los miembros de las poblaciones más vulnerables, que les permita avanzar en su actividad y desarrollar sus iniciativas</w:t>
      </w:r>
      <w:r w:rsidRPr="00B93138">
        <w:rPr>
          <w:rStyle w:val="Refdenotaalpie"/>
          <w:rFonts w:ascii="Arial" w:eastAsia="Calibri" w:hAnsi="Arial" w:cs="Arial"/>
          <w:bCs/>
          <w:sz w:val="22"/>
        </w:rPr>
        <w:footnoteReference w:id="12"/>
      </w:r>
      <w:r w:rsidRPr="00B93138">
        <w:rPr>
          <w:rFonts w:ascii="Arial" w:eastAsia="Calibri" w:hAnsi="Arial" w:cs="Arial"/>
          <w:bCs/>
          <w:sz w:val="22"/>
        </w:rPr>
        <w:t>.</w:t>
      </w:r>
    </w:p>
    <w:p w14:paraId="36E73228" w14:textId="77777777" w:rsidR="00AC6B7E" w:rsidRPr="00B93138" w:rsidRDefault="00AC6B7E" w:rsidP="00AC6B7E">
      <w:pPr>
        <w:spacing w:before="120" w:line="276" w:lineRule="auto"/>
        <w:ind w:firstLine="709"/>
        <w:jc w:val="both"/>
        <w:rPr>
          <w:rFonts w:ascii="Arial" w:eastAsia="Calibri" w:hAnsi="Arial" w:cs="Arial"/>
          <w:sz w:val="22"/>
          <w:szCs w:val="22"/>
          <w:lang w:val="es-ES_tradnl"/>
        </w:rPr>
      </w:pPr>
      <w:r w:rsidRPr="00B93138">
        <w:rPr>
          <w:rFonts w:ascii="Arial" w:eastAsia="Calibri" w:hAnsi="Arial" w:cs="Arial"/>
          <w:sz w:val="22"/>
          <w:szCs w:val="22"/>
          <w:lang w:val="es-ES_tradnl"/>
        </w:rPr>
        <w:t xml:space="preserve">Además,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B93138">
        <w:rPr>
          <w:rFonts w:ascii="Arial" w:eastAsia="Calibri" w:hAnsi="Arial" w:cs="Arial"/>
          <w:sz w:val="22"/>
          <w:szCs w:val="22"/>
          <w:lang w:val="es-ES_tradnl"/>
        </w:rPr>
        <w:t>mipymes</w:t>
      </w:r>
      <w:proofErr w:type="spellEnd"/>
      <w:r w:rsidRPr="00B93138">
        <w:rPr>
          <w:rFonts w:ascii="Arial" w:eastAsia="Calibri" w:hAnsi="Arial" w:cs="Arial"/>
          <w:sz w:val="22"/>
          <w:szCs w:val="22"/>
          <w:lang w:val="es-ES_tradnl"/>
        </w:rPr>
        <w:t xml:space="preserve"> en el procedimiento de mínima cuantía, ii) criterios diferenciales para </w:t>
      </w:r>
      <w:proofErr w:type="spellStart"/>
      <w:r w:rsidRPr="00B93138">
        <w:rPr>
          <w:rFonts w:ascii="Arial" w:eastAsia="Calibri" w:hAnsi="Arial" w:cs="Arial"/>
          <w:sz w:val="22"/>
          <w:szCs w:val="22"/>
          <w:lang w:val="es-ES_tradnl"/>
        </w:rPr>
        <w:t>mipymes</w:t>
      </w:r>
      <w:proofErr w:type="spellEnd"/>
      <w:r w:rsidRPr="00B93138">
        <w:rPr>
          <w:rFonts w:ascii="Arial" w:eastAsia="Calibri" w:hAnsi="Arial" w:cs="Arial"/>
          <w:sz w:val="22"/>
          <w:szCs w:val="22"/>
          <w:lang w:val="es-ES_tradnl"/>
        </w:rPr>
        <w:t xml:space="preserve"> en el sistema de compras públicas, iii) criterios diferenciales para emprendimientos y empresas de mujeres en el sistema de compras públicas, iv) promoción del acceso de las </w:t>
      </w:r>
      <w:proofErr w:type="spellStart"/>
      <w:r w:rsidRPr="00B93138">
        <w:rPr>
          <w:rFonts w:ascii="Arial" w:eastAsia="Calibri" w:hAnsi="Arial" w:cs="Arial"/>
          <w:sz w:val="22"/>
          <w:szCs w:val="22"/>
          <w:lang w:val="es-ES_tradnl"/>
        </w:rPr>
        <w:t>mipymes</w:t>
      </w:r>
      <w:proofErr w:type="spellEnd"/>
      <w:r w:rsidRPr="00B93138">
        <w:rPr>
          <w:rFonts w:ascii="Arial" w:eastAsia="Calibri" w:hAnsi="Arial" w:cs="Arial"/>
          <w:sz w:val="22"/>
          <w:szCs w:val="22"/>
          <w:lang w:val="es-ES_tradnl"/>
        </w:rPr>
        <w:t xml:space="preserve"> al mercado de compras públicas, v) </w:t>
      </w:r>
      <w:r w:rsidRPr="00B93138">
        <w:rPr>
          <w:rFonts w:ascii="Arial" w:eastAsia="Calibri" w:hAnsi="Arial" w:cs="Arial"/>
          <w:sz w:val="22"/>
          <w:szCs w:val="22"/>
          <w:lang w:val="es-ES_tradnl"/>
        </w:rPr>
        <w:lastRenderedPageBreak/>
        <w:t xml:space="preserve">promoción del desarrollo en la contratación pública, vi) un nuevo régimen de factores de desempate y vi) un llamado a las entidades estatales para que promuevan compras públicas en el marco de la tecnología y la innovación. </w:t>
      </w:r>
    </w:p>
    <w:p w14:paraId="4A51CD05" w14:textId="77777777" w:rsidR="00A237CD" w:rsidRPr="00B93138" w:rsidRDefault="00A237CD" w:rsidP="00A237CD">
      <w:pPr>
        <w:spacing w:line="276" w:lineRule="auto"/>
        <w:ind w:firstLine="709"/>
        <w:jc w:val="both"/>
        <w:rPr>
          <w:rFonts w:ascii="Arial" w:eastAsia="Calibri" w:hAnsi="Arial" w:cs="Arial"/>
          <w:sz w:val="22"/>
          <w:szCs w:val="22"/>
          <w:lang w:val="es-ES_tradnl"/>
        </w:rPr>
      </w:pPr>
    </w:p>
    <w:p w14:paraId="24D691C6" w14:textId="6BE644AA" w:rsidR="004F5634" w:rsidRPr="00B93138" w:rsidRDefault="004F5634" w:rsidP="00A237CD">
      <w:pPr>
        <w:spacing w:line="276" w:lineRule="auto"/>
        <w:rPr>
          <w:rFonts w:ascii="Arial" w:eastAsia="Calibri" w:hAnsi="Arial" w:cs="Arial"/>
          <w:b/>
          <w:bCs/>
          <w:sz w:val="22"/>
          <w:szCs w:val="22"/>
          <w:lang w:val="es-ES_tradnl"/>
        </w:rPr>
      </w:pPr>
      <w:r w:rsidRPr="00B93138">
        <w:rPr>
          <w:rFonts w:ascii="Arial" w:eastAsia="Calibri" w:hAnsi="Arial" w:cs="Arial"/>
          <w:b/>
          <w:bCs/>
          <w:sz w:val="22"/>
          <w:szCs w:val="22"/>
          <w:lang w:val="es-ES_tradnl"/>
        </w:rPr>
        <w:t>2.3. Los factores de desempate del artículo 35 de la Ley 2069 de 2020</w:t>
      </w:r>
    </w:p>
    <w:p w14:paraId="7BE52B42" w14:textId="77777777" w:rsidR="00F5684C" w:rsidRPr="00B93138" w:rsidRDefault="00F5684C" w:rsidP="00F5684C">
      <w:pPr>
        <w:spacing w:line="276" w:lineRule="auto"/>
        <w:jc w:val="both"/>
        <w:rPr>
          <w:rFonts w:ascii="Arial" w:eastAsia="Calibri" w:hAnsi="Arial" w:cs="Arial"/>
          <w:b/>
          <w:bCs/>
          <w:sz w:val="22"/>
          <w:szCs w:val="22"/>
          <w:lang w:val="es-ES_tradnl"/>
        </w:rPr>
      </w:pPr>
    </w:p>
    <w:p w14:paraId="6C4CF7D0" w14:textId="26056E1C" w:rsidR="00F5684C" w:rsidRPr="00B93138" w:rsidRDefault="00F5684C" w:rsidP="00F5684C">
      <w:pPr>
        <w:spacing w:line="276" w:lineRule="auto"/>
        <w:jc w:val="both"/>
        <w:rPr>
          <w:rFonts w:ascii="Arial" w:eastAsia="Calibri" w:hAnsi="Arial" w:cs="Arial"/>
          <w:sz w:val="22"/>
          <w:szCs w:val="22"/>
          <w:lang w:val="es-ES_tradnl"/>
        </w:rPr>
      </w:pPr>
      <w:r w:rsidRPr="00B93138">
        <w:rPr>
          <w:rFonts w:ascii="Arial" w:eastAsia="Calibri" w:hAnsi="Arial" w:cs="Arial"/>
          <w:sz w:val="22"/>
          <w:szCs w:val="22"/>
          <w:lang w:val="es-ES_tradnl"/>
        </w:rPr>
        <w:t>El artículo 35 de la Ley 2069 de 2020 modifica la regulación de los factores de desempate en la contratación estatal. En consideración a que en la consulta se solicita que la Agencia Nacional de Contratación Pública – Colombia Compra Eficiente efectúe ciertas precisiones hermenéuticas sobre la aplicación de dicho artículo a los procesos de selección abreviada por subasta inversa y los procedimientos de mínima cuantía, la Agencia se pronunciará sobre el alcance que otorga a tales disposiciones, sin pasar por alto la novedad de la Ley 2069 de 2020 y la ausencia de pronunciamientos jurisprudenciales o estudios doctrinarios sobre el tema, que seguramente contribuirán a decantar la interpretación de las normas en comento.</w:t>
      </w:r>
    </w:p>
    <w:p w14:paraId="5FCBCD83" w14:textId="77777777" w:rsidR="00F5684C" w:rsidRPr="00B93138" w:rsidRDefault="00F5684C" w:rsidP="00F5684C">
      <w:pPr>
        <w:spacing w:before="120" w:line="276" w:lineRule="auto"/>
        <w:ind w:firstLine="709"/>
        <w:jc w:val="both"/>
        <w:rPr>
          <w:rFonts w:ascii="Arial" w:eastAsia="Calibri" w:hAnsi="Arial" w:cs="Arial"/>
          <w:sz w:val="22"/>
          <w:szCs w:val="22"/>
          <w:lang w:val="es-ES_tradnl"/>
        </w:rPr>
      </w:pPr>
      <w:r w:rsidRPr="00B93138">
        <w:rPr>
          <w:rFonts w:ascii="Arial" w:eastAsia="Calibri" w:hAnsi="Arial" w:cs="Arial"/>
          <w:sz w:val="22"/>
          <w:szCs w:val="22"/>
          <w:lang w:val="es-ES_tradnl"/>
        </w:rPr>
        <w:t xml:space="preserve">Al respecto, pese a que el parágrafo 3 dispone que el Gobierno Nacional podrá regular los supuestos en que concurran dos o más factores de desempate, se considera que el artículo 35 de la Ley 2069 de 2020 goza de aplicación directa desde la fecha de su promulgación, es decir, no requiere de una 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 </w:t>
      </w:r>
    </w:p>
    <w:p w14:paraId="28980A9C" w14:textId="77777777" w:rsidR="00F5684C" w:rsidRPr="00B93138" w:rsidRDefault="00F5684C" w:rsidP="00F5684C">
      <w:pPr>
        <w:spacing w:before="120" w:line="276" w:lineRule="auto"/>
        <w:ind w:firstLine="709"/>
        <w:jc w:val="both"/>
        <w:rPr>
          <w:rFonts w:ascii="Arial" w:eastAsia="Calibri" w:hAnsi="Arial" w:cs="Arial"/>
          <w:sz w:val="22"/>
          <w:szCs w:val="22"/>
          <w:lang w:val="es-ES_tradnl"/>
        </w:rPr>
      </w:pPr>
      <w:r w:rsidRPr="00B93138">
        <w:rPr>
          <w:rFonts w:ascii="Arial" w:eastAsia="Calibri" w:hAnsi="Arial" w:cs="Arial"/>
          <w:sz w:val="22"/>
          <w:szCs w:val="22"/>
          <w:lang w:val="es-ES_tradnl"/>
        </w:rPr>
        <w:t xml:space="preserve">Por ejemplo, en lo que a las compras públicas se refiere, el parágrafo primero del artículo 30, que alude a la participación de </w:t>
      </w:r>
      <w:proofErr w:type="spellStart"/>
      <w:r w:rsidRPr="00B93138">
        <w:rPr>
          <w:rFonts w:ascii="Arial" w:eastAsia="Calibri" w:hAnsi="Arial" w:cs="Arial"/>
          <w:sz w:val="22"/>
          <w:szCs w:val="22"/>
          <w:lang w:val="es-ES_tradnl"/>
        </w:rPr>
        <w:t>mipymes</w:t>
      </w:r>
      <w:proofErr w:type="spellEnd"/>
      <w:r w:rsidRPr="00B93138">
        <w:rPr>
          <w:rFonts w:ascii="Arial" w:eastAsia="Calibri" w:hAnsi="Arial" w:cs="Arial"/>
          <w:sz w:val="22"/>
          <w:szCs w:val="22"/>
          <w:lang w:val="es-ES_tradnl"/>
        </w:rPr>
        <w:t xml:space="preserve"> en procedimientos de mínima cuantía, establece que «Las particularidades del procedimiento aquí previsto, así como la posibilidad que tengan las entidades de realizar estas adquisiciones a Mipymes 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14:paraId="6BDBCB5A" w14:textId="77777777" w:rsidR="00F5684C" w:rsidRPr="00B93138" w:rsidRDefault="00F5684C" w:rsidP="00F5684C">
      <w:pPr>
        <w:spacing w:before="120" w:line="276" w:lineRule="auto"/>
        <w:ind w:firstLine="709"/>
        <w:jc w:val="both"/>
        <w:rPr>
          <w:rFonts w:ascii="Arial" w:eastAsia="Calibri" w:hAnsi="Arial" w:cs="Arial"/>
          <w:sz w:val="22"/>
          <w:szCs w:val="22"/>
          <w:lang w:val="es-ES_tradnl"/>
        </w:rPr>
      </w:pPr>
      <w:r w:rsidRPr="00B93138">
        <w:rPr>
          <w:rFonts w:ascii="Arial" w:eastAsia="Calibri" w:hAnsi="Arial" w:cs="Arial"/>
          <w:sz w:val="22"/>
          <w:szCs w:val="22"/>
          <w:lang w:val="es-ES_tradnl"/>
        </w:rPr>
        <w:t xml:space="preserve">Así mismo, el artículo 31, en el segundo inciso, determina que «El Gobierno Nacional reglamentará la definición de los criterios diferenciales, sobre reglas objetivas que podrán implementar las Entidades Estatales». Del mismo modo, el parágrafo primero del artículo 32 establece que «La definición de emprendimientos y empresas de mujeres se reglamentará por el gobierno nacional», en tanto que el inciso cuarto del artículo 12 de la Ley 1150 de 2007, modificado por el artículo 34 de la Ley 2069 de 2020, indica que en los pliegos de condiciones las entidades estatales deben prever mecanismos que garanticen </w:t>
      </w:r>
      <w:r w:rsidRPr="00B93138">
        <w:rPr>
          <w:rFonts w:ascii="Arial" w:eastAsia="Calibri" w:hAnsi="Arial" w:cs="Arial"/>
          <w:sz w:val="22"/>
          <w:szCs w:val="22"/>
          <w:lang w:val="es-ES_tradnl"/>
        </w:rPr>
        <w:lastRenderedPageBreak/>
        <w:t>la provisión de bienes y servicios por parte de sujetos de especial protección constitucional «[…] en las condiciones que señale el reglamento».</w:t>
      </w:r>
    </w:p>
    <w:p w14:paraId="6A151CE0" w14:textId="77777777" w:rsidR="00F5684C" w:rsidRPr="00B93138" w:rsidRDefault="00F5684C" w:rsidP="00F5684C">
      <w:pPr>
        <w:spacing w:before="120" w:line="276" w:lineRule="auto"/>
        <w:ind w:firstLine="708"/>
        <w:jc w:val="both"/>
        <w:rPr>
          <w:rFonts w:ascii="Arial" w:eastAsia="Calibri" w:hAnsi="Arial" w:cs="Arial"/>
          <w:sz w:val="22"/>
          <w:szCs w:val="22"/>
          <w:lang w:val="es-ES_tradnl"/>
        </w:rPr>
      </w:pPr>
      <w:r w:rsidRPr="00B93138">
        <w:rPr>
          <w:rFonts w:ascii="Arial" w:eastAsia="Calibri" w:hAnsi="Arial" w:cs="Arial"/>
          <w:sz w:val="22"/>
          <w:szCs w:val="22"/>
          <w:lang w:val="es-ES_tradnl"/>
        </w:rPr>
        <w:t xml:space="preserve">Lo mismo no sucede con el artículo 35. En efecto, </w:t>
      </w:r>
      <w:r w:rsidRPr="00B93138">
        <w:rPr>
          <w:rFonts w:ascii="Arial" w:hAnsi="Arial" w:cs="Arial"/>
          <w:sz w:val="22"/>
          <w:szCs w:val="22"/>
          <w:lang w:val="es-ES_tradnl"/>
        </w:rPr>
        <w:t>si bien los factores de desempate regulados en el artículo 35 deben aplicarse «</w:t>
      </w:r>
      <w:r w:rsidRPr="00B93138">
        <w:rPr>
          <w:rFonts w:ascii="Arial" w:hAnsi="Arial" w:cs="Arial"/>
          <w:lang w:val="es-ES_tradnl"/>
        </w:rPr>
        <w:t xml:space="preserve">[…] </w:t>
      </w:r>
      <w:r w:rsidRPr="00B93138">
        <w:rPr>
          <w:rFonts w:ascii="Arial" w:hAnsi="Arial" w:cs="Arial"/>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Pr="00B93138">
        <w:rPr>
          <w:rFonts w:ascii="Arial" w:eastAsia="Calibri" w:hAnsi="Arial" w:cs="Arial"/>
          <w:sz w:val="22"/>
          <w:szCs w:val="22"/>
          <w:lang w:val="es-ES_tradnl"/>
        </w:rPr>
        <w:t xml:space="preserve"> </w:t>
      </w:r>
    </w:p>
    <w:p w14:paraId="4701ADD8" w14:textId="77777777" w:rsidR="00F5684C" w:rsidRPr="00B93138" w:rsidRDefault="00F5684C" w:rsidP="00F5684C">
      <w:pPr>
        <w:spacing w:before="120" w:line="276" w:lineRule="auto"/>
        <w:ind w:firstLine="709"/>
        <w:jc w:val="both"/>
        <w:rPr>
          <w:rFonts w:ascii="Arial" w:eastAsia="Calibri" w:hAnsi="Arial" w:cs="Arial"/>
          <w:sz w:val="22"/>
          <w:szCs w:val="22"/>
          <w:lang w:val="es-ES_tradnl"/>
        </w:rPr>
      </w:pPr>
      <w:r w:rsidRPr="00B93138">
        <w:rPr>
          <w:rFonts w:ascii="Arial" w:eastAsia="Calibri" w:hAnsi="Arial" w:cs="Arial"/>
          <w:sz w:val="22"/>
          <w:szCs w:val="22"/>
          <w:lang w:val="es-ES_tradnl"/>
        </w:rPr>
        <w:t xml:space="preserve">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Pr="00B93138">
        <w:rPr>
          <w:rFonts w:ascii="Arial" w:eastAsia="Calibri" w:hAnsi="Arial" w:cs="Arial"/>
          <w:i/>
          <w:iCs/>
          <w:sz w:val="22"/>
          <w:szCs w:val="22"/>
          <w:lang w:val="es-ES_tradnl"/>
        </w:rPr>
        <w:t>podrá reglamentar</w:t>
      </w:r>
      <w:r w:rsidRPr="00B93138">
        <w:rPr>
          <w:rFonts w:ascii="Arial" w:eastAsia="Calibri" w:hAnsi="Arial" w:cs="Arial"/>
          <w:sz w:val="22"/>
          <w:szCs w:val="22"/>
          <w:lang w:val="es-ES_tradnl"/>
        </w:rPr>
        <w:t xml:space="preserve"> la aplicación de factores de desempate en casos en que concurran dos o más de los factores aquí previstos» (Énfasis fuera de texto).</w:t>
      </w:r>
    </w:p>
    <w:p w14:paraId="26770399" w14:textId="77777777" w:rsidR="00F5684C" w:rsidRPr="00B93138" w:rsidRDefault="00F5684C" w:rsidP="00F5684C">
      <w:pPr>
        <w:spacing w:before="120" w:line="276" w:lineRule="auto"/>
        <w:ind w:firstLine="709"/>
        <w:jc w:val="both"/>
        <w:rPr>
          <w:rFonts w:ascii="Arial" w:eastAsia="Calibri" w:hAnsi="Arial" w:cs="Arial"/>
          <w:sz w:val="22"/>
          <w:szCs w:val="22"/>
          <w:lang w:val="es-ES_tradnl"/>
        </w:rPr>
      </w:pPr>
      <w:r w:rsidRPr="00B93138">
        <w:rPr>
          <w:rFonts w:ascii="Arial" w:eastAsia="Calibri" w:hAnsi="Arial" w:cs="Arial"/>
          <w:sz w:val="22"/>
          <w:szCs w:val="22"/>
          <w:lang w:val="es-ES_tradnl"/>
        </w:rPr>
        <w:t>Como se observa se trata de una competencia que, en concordancia con el artículo 189.11 superior, el gobierno nacional puede ejercer discrecionalmente para la ejecución de las leyes. Por tanto, sin perjuicio de que el Gobierno Nacional ejerza la potestad reglamentaria para regular los casos en que concurren dos o más de los factores de desempate, 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p>
    <w:p w14:paraId="3ED1CD0A" w14:textId="62DAB55A" w:rsidR="00F5684C" w:rsidRPr="00B93138" w:rsidRDefault="00F5684C" w:rsidP="00F5684C">
      <w:pPr>
        <w:spacing w:before="120" w:line="276" w:lineRule="auto"/>
        <w:ind w:firstLine="709"/>
        <w:jc w:val="both"/>
        <w:rPr>
          <w:rFonts w:ascii="Arial" w:hAnsi="Arial" w:cs="Arial"/>
          <w:sz w:val="22"/>
          <w:szCs w:val="22"/>
          <w:lang w:val="es-ES_tradnl"/>
        </w:rPr>
      </w:pPr>
      <w:r w:rsidRPr="00B93138">
        <w:rPr>
          <w:rFonts w:ascii="Arial" w:hAnsi="Arial" w:cs="Arial"/>
          <w:sz w:val="22"/>
          <w:szCs w:val="22"/>
          <w:lang w:val="es-ES_tradnl"/>
        </w:rPr>
        <w:t>Además, si existe un tratado o acuerdo comercial que establezca disposiciones especiales en materia de compras y contratación pública, prevalece la regulación contenida en aquel. Esta conclusión también se fundamenta en el artículo 2.2.1.2.4.1.1 del Decreto 1082 de 2015, según el cual «Las Entidades Estatales deben adelantar los Procesos de Contratación de acuerdo con lo previsto en los Acuerdos Comerciales, cuando estos les sean aplicables».​ La Ley 2069 de 2020 no establece que ante la existencia de tratados o acuerdos comerciales que rijan el procedimiento de selección el órgano contratante se debe abstener de aplicar algunos numerales del artículo 35, sino que lo que indica es que la entidad estatal debe consultar en cada caso cuáles son las disposiciones del acuerdo comercial y si son o no compatibles con los factores de desempate. En caso negativo, prevalece el tratado.</w:t>
      </w:r>
    </w:p>
    <w:p w14:paraId="1FB08274" w14:textId="315ACF86" w:rsidR="009755CA" w:rsidRPr="00B93138" w:rsidRDefault="009755CA" w:rsidP="009755CA">
      <w:pPr>
        <w:spacing w:before="120" w:line="276" w:lineRule="auto"/>
        <w:ind w:firstLine="709"/>
        <w:jc w:val="both"/>
        <w:rPr>
          <w:rFonts w:ascii="Arial" w:hAnsi="Arial" w:cs="Arial"/>
          <w:sz w:val="22"/>
          <w:szCs w:val="22"/>
          <w:lang w:val="es-ES_tradnl"/>
        </w:rPr>
      </w:pPr>
      <w:r w:rsidRPr="00B93138">
        <w:rPr>
          <w:rFonts w:ascii="Arial" w:hAnsi="Arial" w:cs="Arial"/>
          <w:sz w:val="22"/>
          <w:szCs w:val="22"/>
          <w:lang w:val="es-ES_tradnl"/>
        </w:rPr>
        <w:lastRenderedPageBreak/>
        <w:t xml:space="preserve">Ahora bien, hasta la promulgación de la Ley 2069 de 2020, el artículo 2.2.1.1.2.2.9. del Decreto 1082 de 2015 regulaba los factores de desempate que debían aplicarse en los procesos de selección. En criterio de esta Agencia, dicha norma debe entenderse derogada por el artículo 35 de la Ley 2069 de 2020. Ello no solo porque el artículo 84 dispone que «rige a partir del momento de su promulgación», es decir, desde el 31 de diciembre de 2020, sino además porque la misma disposición señala que la Ley 2069 de 2020 deroga «[…] todas las disposiciones que le sean contrarias». Se presenta una antinomia o contradicción normativa cuando dos o más disposiciones normativas regulan en sentido diferente un tema. Bajo esta consideración, como el artículo 35 de la Ley 2069 de 2020 regula en forma distinta a como lo hacía el artículo 2.2.1.1.2.2.9. del Decreto 1082 de 2015 la aplicación de los factores de desempate, este último debe entenderse derogado. </w:t>
      </w:r>
    </w:p>
    <w:p w14:paraId="7B6C3008" w14:textId="1EE104C0" w:rsidR="009755CA" w:rsidRPr="00B93138" w:rsidRDefault="009755CA" w:rsidP="009755CA">
      <w:pPr>
        <w:spacing w:before="120" w:line="276" w:lineRule="auto"/>
        <w:ind w:firstLine="709"/>
        <w:jc w:val="both"/>
        <w:rPr>
          <w:rFonts w:ascii="Arial" w:hAnsi="Arial" w:cs="Arial"/>
          <w:sz w:val="22"/>
          <w:szCs w:val="22"/>
          <w:lang w:val="es-ES_tradnl"/>
        </w:rPr>
      </w:pPr>
      <w:r w:rsidRPr="00B93138">
        <w:rPr>
          <w:rFonts w:ascii="Arial" w:hAnsi="Arial" w:cs="Arial"/>
          <w:sz w:val="22"/>
          <w:szCs w:val="22"/>
          <w:lang w:val="es-ES_tradnl"/>
        </w:rPr>
        <w:t xml:space="preserve">Un argumento adicional para sostener esta tesis tiene que ver con el fenómeno de la pérdida de fuerza ejecutoria –o decaimiento– de los actos administrativos, regulado en el numeral 2 del artículo 91 de la Ley 1437 de 2011. Esta norma señala que los actos administrativos pierden fuerza ejecutoria «Cuando desaparezcan sus fundamentos de hecho o de derecho». Dado que el Decreto 1082 de 2015 es un reglamento </w:t>
      </w:r>
      <w:proofErr w:type="spellStart"/>
      <w:r w:rsidRPr="00B93138">
        <w:rPr>
          <w:rFonts w:ascii="Arial" w:hAnsi="Arial" w:cs="Arial"/>
          <w:i/>
          <w:iCs/>
          <w:sz w:val="22"/>
          <w:szCs w:val="22"/>
          <w:lang w:val="es-ES_tradnl"/>
        </w:rPr>
        <w:t>secundum</w:t>
      </w:r>
      <w:proofErr w:type="spellEnd"/>
      <w:r w:rsidRPr="00B93138">
        <w:rPr>
          <w:rFonts w:ascii="Arial" w:hAnsi="Arial" w:cs="Arial"/>
          <w:i/>
          <w:iCs/>
          <w:sz w:val="22"/>
          <w:szCs w:val="22"/>
          <w:lang w:val="es-ES_tradnl"/>
        </w:rPr>
        <w:t xml:space="preserve"> </w:t>
      </w:r>
      <w:proofErr w:type="spellStart"/>
      <w:r w:rsidRPr="00B93138">
        <w:rPr>
          <w:rFonts w:ascii="Arial" w:hAnsi="Arial" w:cs="Arial"/>
          <w:i/>
          <w:iCs/>
          <w:sz w:val="22"/>
          <w:szCs w:val="22"/>
          <w:lang w:val="es-ES_tradnl"/>
        </w:rPr>
        <w:t>legem</w:t>
      </w:r>
      <w:proofErr w:type="spellEnd"/>
      <w:r w:rsidRPr="00B93138">
        <w:rPr>
          <w:rFonts w:ascii="Arial" w:hAnsi="Arial" w:cs="Arial"/>
          <w:i/>
          <w:iCs/>
          <w:sz w:val="22"/>
          <w:szCs w:val="22"/>
          <w:lang w:val="es-ES_tradnl"/>
        </w:rPr>
        <w:t xml:space="preserve"> –</w:t>
      </w:r>
      <w:r w:rsidRPr="00B93138">
        <w:rPr>
          <w:rFonts w:ascii="Arial" w:hAnsi="Arial" w:cs="Arial"/>
          <w:sz w:val="22"/>
          <w:szCs w:val="22"/>
          <w:lang w:val="es-ES_tradnl"/>
        </w:rPr>
        <w:t xml:space="preserve">es decir, que desarrolla una norma de mayor jerarquía–, la expedición de una ley en sentido formal –es decir, una fuente que condiciona el contenido de este último–, hace que la disposición reglamentaria decaiga.   </w:t>
      </w:r>
    </w:p>
    <w:p w14:paraId="4712F150" w14:textId="77777777" w:rsidR="00AD1B10" w:rsidRPr="00B93138" w:rsidRDefault="00AD1B10" w:rsidP="00EB2ED0">
      <w:pPr>
        <w:tabs>
          <w:tab w:val="left" w:pos="709"/>
        </w:tabs>
        <w:spacing w:line="276" w:lineRule="auto"/>
        <w:jc w:val="both"/>
        <w:rPr>
          <w:rFonts w:ascii="Arial" w:eastAsia="Calibri" w:hAnsi="Arial" w:cs="Arial"/>
          <w:b/>
          <w:sz w:val="22"/>
        </w:rPr>
      </w:pPr>
      <w:bookmarkStart w:id="11" w:name="_Hlk64292850"/>
    </w:p>
    <w:bookmarkEnd w:id="11"/>
    <w:p w14:paraId="0B4D89AB" w14:textId="4930B5FC" w:rsidR="00DF071C" w:rsidRPr="00B93138" w:rsidRDefault="00DF071C" w:rsidP="00EB2ED0">
      <w:pPr>
        <w:pStyle w:val="NormalWeb"/>
        <w:spacing w:before="0" w:beforeAutospacing="0" w:after="0" w:afterAutospacing="0" w:line="276" w:lineRule="auto"/>
        <w:jc w:val="both"/>
        <w:rPr>
          <w:rFonts w:ascii="Arial" w:eastAsia="Calibri" w:hAnsi="Arial" w:cs="Arial"/>
          <w:b/>
          <w:bCs/>
          <w:sz w:val="22"/>
          <w:szCs w:val="22"/>
          <w:lang w:val="es-ES_tradnl"/>
        </w:rPr>
      </w:pPr>
      <w:r w:rsidRPr="00B93138">
        <w:rPr>
          <w:rFonts w:ascii="Arial" w:eastAsia="Calibri" w:hAnsi="Arial" w:cs="Arial"/>
          <w:b/>
          <w:bCs/>
          <w:sz w:val="22"/>
          <w:szCs w:val="22"/>
          <w:lang w:val="es-ES_tradnl"/>
        </w:rPr>
        <w:t>2.</w:t>
      </w:r>
      <w:r w:rsidR="009C23C0" w:rsidRPr="00B93138">
        <w:rPr>
          <w:rFonts w:ascii="Arial" w:eastAsia="Calibri" w:hAnsi="Arial" w:cs="Arial"/>
          <w:b/>
          <w:bCs/>
          <w:sz w:val="22"/>
          <w:szCs w:val="22"/>
          <w:lang w:val="es-ES_tradnl"/>
        </w:rPr>
        <w:t>4</w:t>
      </w:r>
      <w:r w:rsidR="002456B2" w:rsidRPr="00B93138">
        <w:rPr>
          <w:rFonts w:ascii="Arial" w:eastAsia="Calibri" w:hAnsi="Arial" w:cs="Arial"/>
          <w:b/>
          <w:bCs/>
          <w:sz w:val="22"/>
          <w:szCs w:val="22"/>
          <w:lang w:val="es-ES_tradnl"/>
        </w:rPr>
        <w:t>.</w:t>
      </w:r>
      <w:r w:rsidR="004B3152" w:rsidRPr="00B93138">
        <w:rPr>
          <w:rFonts w:ascii="Arial" w:eastAsia="Calibri" w:hAnsi="Arial" w:cs="Arial"/>
          <w:sz w:val="22"/>
          <w:szCs w:val="22"/>
          <w:lang w:val="es-ES_tradnl"/>
        </w:rPr>
        <w:t xml:space="preserve"> </w:t>
      </w:r>
      <w:r w:rsidR="00F64CE7" w:rsidRPr="00B93138">
        <w:rPr>
          <w:rFonts w:ascii="Arial" w:eastAsia="Calibri" w:hAnsi="Arial" w:cs="Arial"/>
          <w:b/>
          <w:bCs/>
          <w:sz w:val="22"/>
          <w:szCs w:val="22"/>
          <w:lang w:val="es-ES_tradnl"/>
        </w:rPr>
        <w:t>Aplicabilidad de los factores de desempate del artículo 35 de la Ley 2069 de 2015 a</w:t>
      </w:r>
      <w:r w:rsidR="00175DC6" w:rsidRPr="00B93138">
        <w:rPr>
          <w:rFonts w:ascii="Arial" w:eastAsia="Calibri" w:hAnsi="Arial" w:cs="Arial"/>
          <w:b/>
          <w:bCs/>
          <w:sz w:val="22"/>
          <w:szCs w:val="22"/>
          <w:lang w:val="es-ES_tradnl"/>
        </w:rPr>
        <w:t xml:space="preserve"> </w:t>
      </w:r>
      <w:r w:rsidR="00F64CE7" w:rsidRPr="00B93138">
        <w:rPr>
          <w:rFonts w:ascii="Arial" w:eastAsia="Calibri" w:hAnsi="Arial" w:cs="Arial"/>
          <w:b/>
          <w:bCs/>
          <w:sz w:val="22"/>
          <w:szCs w:val="22"/>
          <w:lang w:val="es-ES_tradnl"/>
        </w:rPr>
        <w:t>l</w:t>
      </w:r>
      <w:r w:rsidR="00175DC6" w:rsidRPr="00B93138">
        <w:rPr>
          <w:rFonts w:ascii="Arial" w:eastAsia="Calibri" w:hAnsi="Arial" w:cs="Arial"/>
          <w:b/>
          <w:bCs/>
          <w:sz w:val="22"/>
          <w:szCs w:val="22"/>
          <w:lang w:val="es-ES_tradnl"/>
        </w:rPr>
        <w:t>os</w:t>
      </w:r>
      <w:r w:rsidR="00F64CE7" w:rsidRPr="00B93138">
        <w:rPr>
          <w:rFonts w:ascii="Arial" w:eastAsia="Calibri" w:hAnsi="Arial" w:cs="Arial"/>
          <w:b/>
          <w:bCs/>
          <w:sz w:val="22"/>
          <w:szCs w:val="22"/>
          <w:lang w:val="es-ES_tradnl"/>
        </w:rPr>
        <w:t xml:space="preserve"> </w:t>
      </w:r>
      <w:r w:rsidR="00FA4B97" w:rsidRPr="00B93138">
        <w:rPr>
          <w:rFonts w:ascii="Arial" w:eastAsia="Calibri" w:hAnsi="Arial" w:cs="Arial"/>
          <w:b/>
          <w:bCs/>
          <w:sz w:val="22"/>
          <w:szCs w:val="22"/>
          <w:lang w:val="es-ES_tradnl"/>
        </w:rPr>
        <w:t>procedimiento</w:t>
      </w:r>
      <w:r w:rsidR="00175DC6" w:rsidRPr="00B93138">
        <w:rPr>
          <w:rFonts w:ascii="Arial" w:eastAsia="Calibri" w:hAnsi="Arial" w:cs="Arial"/>
          <w:b/>
          <w:bCs/>
          <w:sz w:val="22"/>
          <w:szCs w:val="22"/>
          <w:lang w:val="es-ES_tradnl"/>
        </w:rPr>
        <w:t>s</w:t>
      </w:r>
      <w:r w:rsidR="00FA4B97" w:rsidRPr="00B93138">
        <w:rPr>
          <w:rFonts w:ascii="Arial" w:eastAsia="Calibri" w:hAnsi="Arial" w:cs="Arial"/>
          <w:b/>
          <w:bCs/>
          <w:sz w:val="22"/>
          <w:szCs w:val="22"/>
          <w:lang w:val="es-ES_tradnl"/>
        </w:rPr>
        <w:t xml:space="preserve"> de</w:t>
      </w:r>
      <w:r w:rsidR="00175DC6" w:rsidRPr="00B93138">
        <w:rPr>
          <w:rFonts w:ascii="Arial" w:eastAsia="Calibri" w:hAnsi="Arial" w:cs="Arial"/>
          <w:b/>
          <w:bCs/>
          <w:sz w:val="22"/>
          <w:szCs w:val="22"/>
          <w:lang w:val="es-ES_tradnl"/>
        </w:rPr>
        <w:t xml:space="preserve"> </w:t>
      </w:r>
      <w:r w:rsidR="00FA4B97" w:rsidRPr="00B93138">
        <w:rPr>
          <w:rFonts w:ascii="Arial" w:eastAsia="Calibri" w:hAnsi="Arial" w:cs="Arial"/>
          <w:b/>
          <w:bCs/>
          <w:sz w:val="22"/>
          <w:szCs w:val="22"/>
          <w:lang w:val="es-ES_tradnl"/>
        </w:rPr>
        <w:t>mínima cuantía</w:t>
      </w:r>
      <w:r w:rsidR="00E76EA1" w:rsidRPr="00B93138" w:rsidDel="00E76EA1">
        <w:rPr>
          <w:rFonts w:ascii="Arial" w:eastAsia="Calibri" w:hAnsi="Arial" w:cs="Arial"/>
          <w:b/>
          <w:bCs/>
          <w:sz w:val="22"/>
          <w:szCs w:val="22"/>
          <w:lang w:val="es-ES_tradnl"/>
        </w:rPr>
        <w:t xml:space="preserve"> </w:t>
      </w:r>
    </w:p>
    <w:p w14:paraId="6EC2C74A" w14:textId="77777777" w:rsidR="00502E86" w:rsidRPr="00B93138" w:rsidRDefault="00502E86" w:rsidP="00B93138">
      <w:pPr>
        <w:pStyle w:val="NormalWeb"/>
        <w:spacing w:before="0" w:beforeAutospacing="0" w:after="0" w:afterAutospacing="0" w:line="276" w:lineRule="auto"/>
        <w:jc w:val="both"/>
        <w:rPr>
          <w:rFonts w:ascii="Arial" w:hAnsi="Arial" w:cs="Arial"/>
          <w:sz w:val="22"/>
          <w:szCs w:val="22"/>
          <w:lang w:val="es-ES_tradnl"/>
        </w:rPr>
      </w:pPr>
    </w:p>
    <w:p w14:paraId="5A5132B6" w14:textId="65A42DAF" w:rsidR="0020156E" w:rsidRPr="00B93138" w:rsidRDefault="0020156E" w:rsidP="009717AE">
      <w:pPr>
        <w:spacing w:after="120" w:line="276" w:lineRule="auto"/>
        <w:jc w:val="both"/>
        <w:rPr>
          <w:rFonts w:ascii="Arial" w:hAnsi="Arial" w:cs="Arial"/>
          <w:sz w:val="22"/>
          <w:szCs w:val="22"/>
          <w:lang w:val="es-ES_tradnl"/>
        </w:rPr>
      </w:pPr>
      <w:r w:rsidRPr="00B93138">
        <w:rPr>
          <w:rFonts w:ascii="Arial" w:hAnsi="Arial" w:cs="Arial"/>
          <w:sz w:val="22"/>
          <w:szCs w:val="22"/>
          <w:lang w:val="es-ES_tradnl"/>
        </w:rPr>
        <w:t xml:space="preserve">Lo explicado en los párrafos precedentes también aplica </w:t>
      </w:r>
      <w:r w:rsidRPr="00B93138">
        <w:rPr>
          <w:rFonts w:ascii="Arial" w:hAnsi="Arial" w:cs="Arial"/>
          <w:i/>
          <w:iCs/>
          <w:sz w:val="22"/>
          <w:szCs w:val="22"/>
          <w:lang w:val="es-ES_tradnl"/>
        </w:rPr>
        <w:t>mutatis mutandis</w:t>
      </w:r>
      <w:r w:rsidRPr="00B93138">
        <w:rPr>
          <w:rFonts w:ascii="Arial" w:hAnsi="Arial" w:cs="Arial"/>
          <w:sz w:val="22"/>
          <w:szCs w:val="22"/>
          <w:lang w:val="es-ES_tradnl"/>
        </w:rPr>
        <w:t xml:space="preserve"> a los factores de desempate previstos en el Decreto Único Reglamentario del Sector Administrativo de Planeación Nacional para la mínima cuantía. En efecto, si bien el parágrafo 2 del artículo 30 de la Ley de Emprendimiento dispone que «La contratación a que se refiere el presente artículo se realizará exclusivamente con las reglas en él contempladas y en su reglamentación […], las causales del artículo 35 de la Ley 2069 de 2020 aplican a los «[…]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 sin distinguir entre modalidades de selección. </w:t>
      </w:r>
    </w:p>
    <w:p w14:paraId="6341A596" w14:textId="2BE79144" w:rsidR="00A62B6D" w:rsidRPr="00B93138" w:rsidRDefault="007D12EC" w:rsidP="00D93A79">
      <w:pPr>
        <w:spacing w:after="120" w:line="276" w:lineRule="auto"/>
        <w:ind w:firstLine="708"/>
        <w:jc w:val="both"/>
        <w:rPr>
          <w:rFonts w:ascii="Arial" w:eastAsia="Calibri" w:hAnsi="Arial" w:cs="Arial"/>
          <w:sz w:val="22"/>
          <w:szCs w:val="22"/>
          <w:lang w:val="es-ES_tradnl"/>
        </w:rPr>
      </w:pPr>
      <w:r w:rsidRPr="00B93138">
        <w:rPr>
          <w:rFonts w:ascii="Arial" w:eastAsia="Calibri" w:hAnsi="Arial" w:cs="Arial"/>
          <w:sz w:val="22"/>
          <w:szCs w:val="22"/>
          <w:lang w:val="es-ES_tradnl"/>
        </w:rPr>
        <w:t xml:space="preserve">El artículo </w:t>
      </w:r>
      <w:r w:rsidR="00007F64" w:rsidRPr="00B93138">
        <w:rPr>
          <w:rFonts w:ascii="Arial" w:eastAsia="Calibri" w:hAnsi="Arial" w:cs="Arial"/>
          <w:sz w:val="22"/>
          <w:szCs w:val="22"/>
          <w:lang w:val="es-ES_tradnl"/>
        </w:rPr>
        <w:t xml:space="preserve">2.2.1.2.1.5.2 </w:t>
      </w:r>
      <w:r w:rsidRPr="00B93138">
        <w:rPr>
          <w:rFonts w:ascii="Arial" w:eastAsia="Calibri" w:hAnsi="Arial" w:cs="Arial"/>
          <w:sz w:val="22"/>
          <w:szCs w:val="22"/>
          <w:lang w:val="es-ES_tradnl"/>
        </w:rPr>
        <w:t xml:space="preserve">del Decreto 1082 de 2015 regula el procedimiento aplicable para </w:t>
      </w:r>
      <w:r w:rsidR="00007F64" w:rsidRPr="00B93138">
        <w:rPr>
          <w:rFonts w:ascii="Arial" w:eastAsia="Calibri" w:hAnsi="Arial" w:cs="Arial"/>
          <w:sz w:val="22"/>
          <w:szCs w:val="22"/>
          <w:lang w:val="es-ES_tradnl"/>
        </w:rPr>
        <w:t xml:space="preserve">la modalidad </w:t>
      </w:r>
      <w:r w:rsidRPr="00B93138">
        <w:rPr>
          <w:rFonts w:ascii="Arial" w:eastAsia="Calibri" w:hAnsi="Arial" w:cs="Arial"/>
          <w:sz w:val="22"/>
          <w:szCs w:val="22"/>
          <w:lang w:val="es-ES_tradnl"/>
        </w:rPr>
        <w:t xml:space="preserve">de </w:t>
      </w:r>
      <w:r w:rsidR="00533894" w:rsidRPr="00B93138">
        <w:rPr>
          <w:rFonts w:ascii="Arial" w:eastAsia="Calibri" w:hAnsi="Arial" w:cs="Arial"/>
          <w:sz w:val="22"/>
          <w:szCs w:val="22"/>
          <w:lang w:val="es-ES_tradnl"/>
        </w:rPr>
        <w:t>mínima cuantía</w:t>
      </w:r>
      <w:r w:rsidRPr="00B93138">
        <w:rPr>
          <w:rFonts w:ascii="Arial" w:eastAsia="Calibri" w:hAnsi="Arial" w:cs="Arial"/>
          <w:sz w:val="22"/>
          <w:szCs w:val="22"/>
          <w:lang w:val="es-ES_tradnl"/>
        </w:rPr>
        <w:t xml:space="preserve">, </w:t>
      </w:r>
      <w:r w:rsidRPr="00B93138">
        <w:rPr>
          <w:rFonts w:ascii="Arial" w:eastAsia="Calibri" w:hAnsi="Arial" w:cs="Arial"/>
          <w:sz w:val="22"/>
          <w:szCs w:val="22"/>
          <w:lang w:val="es-ES_tradnl" w:eastAsia="es-CO"/>
        </w:rPr>
        <w:t xml:space="preserve">regulando en su numeral </w:t>
      </w:r>
      <w:r w:rsidR="00533894" w:rsidRPr="00B93138">
        <w:rPr>
          <w:rFonts w:ascii="Arial" w:eastAsia="Calibri" w:hAnsi="Arial" w:cs="Arial"/>
          <w:sz w:val="22"/>
          <w:szCs w:val="22"/>
          <w:lang w:val="es-ES_tradnl" w:eastAsia="es-CO"/>
        </w:rPr>
        <w:t>7</w:t>
      </w:r>
      <w:r w:rsidRPr="00B93138">
        <w:rPr>
          <w:rFonts w:ascii="Arial" w:eastAsia="Calibri" w:hAnsi="Arial" w:cs="Arial"/>
          <w:sz w:val="22"/>
          <w:szCs w:val="22"/>
          <w:lang w:val="es-ES_tradnl" w:eastAsia="es-CO"/>
        </w:rPr>
        <w:t xml:space="preserve"> un factor de desempate aplicable a este procedimiento</w:t>
      </w:r>
      <w:r w:rsidR="000C1D5C" w:rsidRPr="00B93138">
        <w:rPr>
          <w:rFonts w:ascii="Arial" w:eastAsia="Calibri" w:hAnsi="Arial" w:cs="Arial"/>
          <w:sz w:val="22"/>
          <w:szCs w:val="22"/>
          <w:lang w:val="es-ES_tradnl"/>
        </w:rPr>
        <w:t>.</w:t>
      </w:r>
      <w:r w:rsidR="00A62B6D" w:rsidRPr="00B93138">
        <w:rPr>
          <w:rFonts w:ascii="Arial" w:eastAsia="Calibri" w:hAnsi="Arial" w:cs="Arial"/>
          <w:sz w:val="22"/>
          <w:szCs w:val="22"/>
          <w:lang w:val="es-ES_tradnl"/>
        </w:rPr>
        <w:t xml:space="preserve"> </w:t>
      </w:r>
      <w:r w:rsidR="00533894" w:rsidRPr="00B93138">
        <w:rPr>
          <w:rFonts w:ascii="Arial" w:eastAsia="Calibri" w:hAnsi="Arial" w:cs="Arial"/>
          <w:sz w:val="22"/>
          <w:szCs w:val="22"/>
          <w:lang w:val="es-ES_tradnl"/>
        </w:rPr>
        <w:t>Ahora, p</w:t>
      </w:r>
      <w:r w:rsidR="00465F67" w:rsidRPr="00B93138">
        <w:rPr>
          <w:rFonts w:ascii="Arial" w:eastAsia="Calibri" w:hAnsi="Arial" w:cs="Arial"/>
          <w:sz w:val="22"/>
          <w:szCs w:val="22"/>
          <w:lang w:val="es-ES_tradnl"/>
        </w:rPr>
        <w:t xml:space="preserve">ara </w:t>
      </w:r>
      <w:r w:rsidR="00C7541F" w:rsidRPr="00B93138">
        <w:rPr>
          <w:rFonts w:ascii="Arial" w:eastAsia="Calibri" w:hAnsi="Arial" w:cs="Arial"/>
          <w:sz w:val="22"/>
          <w:szCs w:val="22"/>
          <w:lang w:val="es-ES_tradnl"/>
        </w:rPr>
        <w:t>determinar si está vigente est</w:t>
      </w:r>
      <w:r w:rsidR="00533894" w:rsidRPr="00B93138">
        <w:rPr>
          <w:rFonts w:ascii="Arial" w:eastAsia="Calibri" w:hAnsi="Arial" w:cs="Arial"/>
          <w:sz w:val="22"/>
          <w:szCs w:val="22"/>
          <w:lang w:val="es-ES_tradnl"/>
        </w:rPr>
        <w:t>e</w:t>
      </w:r>
      <w:r w:rsidR="00465F67" w:rsidRPr="00B93138">
        <w:rPr>
          <w:rFonts w:ascii="Arial" w:eastAsia="Calibri" w:hAnsi="Arial" w:cs="Arial"/>
          <w:sz w:val="22"/>
          <w:szCs w:val="22"/>
          <w:lang w:val="es-ES_tradnl"/>
        </w:rPr>
        <w:t xml:space="preserve"> </w:t>
      </w:r>
      <w:r w:rsidR="00533894" w:rsidRPr="00B93138">
        <w:rPr>
          <w:rFonts w:ascii="Arial" w:eastAsia="Calibri" w:hAnsi="Arial" w:cs="Arial"/>
          <w:sz w:val="22"/>
          <w:szCs w:val="22"/>
          <w:lang w:val="es-ES_tradnl"/>
        </w:rPr>
        <w:t>numeral</w:t>
      </w:r>
      <w:r w:rsidR="00465F67" w:rsidRPr="00B93138">
        <w:rPr>
          <w:rFonts w:ascii="Arial" w:eastAsia="Calibri" w:hAnsi="Arial" w:cs="Arial"/>
          <w:sz w:val="22"/>
          <w:szCs w:val="22"/>
          <w:lang w:val="es-ES_tradnl"/>
        </w:rPr>
        <w:t xml:space="preserve">, es indispensable </w:t>
      </w:r>
      <w:r w:rsidR="0081082C" w:rsidRPr="00B93138">
        <w:rPr>
          <w:rFonts w:ascii="Arial" w:eastAsia="Calibri" w:hAnsi="Arial" w:cs="Arial"/>
          <w:sz w:val="22"/>
          <w:szCs w:val="22"/>
          <w:lang w:val="es-ES_tradnl"/>
        </w:rPr>
        <w:t>considerar</w:t>
      </w:r>
      <w:r w:rsidR="00465F67" w:rsidRPr="00B93138">
        <w:rPr>
          <w:rFonts w:ascii="Arial" w:eastAsia="Calibri" w:hAnsi="Arial" w:cs="Arial"/>
          <w:sz w:val="22"/>
          <w:szCs w:val="22"/>
          <w:lang w:val="es-ES_tradnl"/>
        </w:rPr>
        <w:t xml:space="preserve"> </w:t>
      </w:r>
      <w:r w:rsidR="00466C74" w:rsidRPr="00B93138">
        <w:rPr>
          <w:rFonts w:ascii="Arial" w:eastAsia="Calibri" w:hAnsi="Arial" w:cs="Arial"/>
          <w:sz w:val="22"/>
          <w:szCs w:val="22"/>
          <w:lang w:val="es-ES_tradnl"/>
        </w:rPr>
        <w:t xml:space="preserve">que el artículo 35 de la Ley 2069 de 2020 </w:t>
      </w:r>
      <w:r w:rsidR="00C7541F" w:rsidRPr="00B93138">
        <w:rPr>
          <w:rFonts w:ascii="Arial" w:eastAsia="Calibri" w:hAnsi="Arial" w:cs="Arial"/>
          <w:sz w:val="22"/>
          <w:szCs w:val="22"/>
          <w:lang w:val="es-ES_tradnl"/>
        </w:rPr>
        <w:t>regula</w:t>
      </w:r>
      <w:r w:rsidR="00466C74" w:rsidRPr="00B93138">
        <w:rPr>
          <w:rFonts w:ascii="Arial" w:eastAsia="Calibri" w:hAnsi="Arial" w:cs="Arial"/>
          <w:sz w:val="22"/>
          <w:szCs w:val="22"/>
          <w:lang w:val="es-ES_tradnl"/>
        </w:rPr>
        <w:t xml:space="preserve"> nuevos criterios de desempate</w:t>
      </w:r>
      <w:r w:rsidR="007E0D49" w:rsidRPr="00B93138">
        <w:rPr>
          <w:rFonts w:ascii="Arial" w:eastAsia="Calibri" w:hAnsi="Arial" w:cs="Arial"/>
          <w:sz w:val="22"/>
          <w:szCs w:val="22"/>
          <w:lang w:val="es-ES_tradnl"/>
        </w:rPr>
        <w:t xml:space="preserve"> aplicables</w:t>
      </w:r>
      <w:r w:rsidR="00AE6188" w:rsidRPr="00B93138">
        <w:rPr>
          <w:rFonts w:ascii="Arial" w:eastAsia="Calibri" w:hAnsi="Arial" w:cs="Arial"/>
          <w:sz w:val="22"/>
          <w:szCs w:val="22"/>
          <w:lang w:val="es-ES_tradnl"/>
        </w:rPr>
        <w:t xml:space="preserve"> en la</w:t>
      </w:r>
      <w:r w:rsidR="007E0D49" w:rsidRPr="00B93138">
        <w:rPr>
          <w:rFonts w:ascii="Arial" w:eastAsia="Calibri" w:hAnsi="Arial" w:cs="Arial"/>
          <w:sz w:val="22"/>
          <w:szCs w:val="22"/>
          <w:lang w:val="es-ES_tradnl"/>
        </w:rPr>
        <w:t xml:space="preserve"> contratación estatal</w:t>
      </w:r>
      <w:r w:rsidR="00A54895" w:rsidRPr="00B93138">
        <w:rPr>
          <w:rFonts w:ascii="Arial" w:eastAsia="Calibri" w:hAnsi="Arial" w:cs="Arial"/>
          <w:sz w:val="22"/>
          <w:szCs w:val="22"/>
          <w:lang w:val="es-ES_tradnl"/>
        </w:rPr>
        <w:t xml:space="preserve">. </w:t>
      </w:r>
    </w:p>
    <w:p w14:paraId="0F59547C" w14:textId="6DBC960C" w:rsidR="007D7CCB" w:rsidRPr="00B93138" w:rsidRDefault="00A54895" w:rsidP="00EB2ED0">
      <w:pPr>
        <w:pStyle w:val="NormalWeb"/>
        <w:spacing w:before="0" w:beforeAutospacing="0" w:after="120" w:afterAutospacing="0" w:line="276" w:lineRule="auto"/>
        <w:ind w:firstLine="708"/>
        <w:jc w:val="both"/>
        <w:rPr>
          <w:rFonts w:ascii="Arial" w:eastAsia="Calibri" w:hAnsi="Arial" w:cs="Arial"/>
          <w:sz w:val="22"/>
          <w:szCs w:val="22"/>
          <w:lang w:val="es-ES_tradnl"/>
        </w:rPr>
      </w:pPr>
      <w:r w:rsidRPr="00B93138">
        <w:rPr>
          <w:rFonts w:ascii="Arial" w:eastAsia="Calibri" w:hAnsi="Arial" w:cs="Arial"/>
          <w:sz w:val="22"/>
          <w:szCs w:val="22"/>
          <w:lang w:val="es-ES_tradnl"/>
        </w:rPr>
        <w:lastRenderedPageBreak/>
        <w:t xml:space="preserve">Como </w:t>
      </w:r>
      <w:r w:rsidR="005D30AE" w:rsidRPr="00B93138">
        <w:rPr>
          <w:rFonts w:ascii="Arial" w:eastAsia="Calibri" w:hAnsi="Arial" w:cs="Arial"/>
          <w:sz w:val="22"/>
          <w:szCs w:val="22"/>
          <w:lang w:val="es-ES_tradnl"/>
        </w:rPr>
        <w:t>se precisó</w:t>
      </w:r>
      <w:r w:rsidRPr="00B93138">
        <w:rPr>
          <w:rFonts w:ascii="Arial" w:eastAsia="Calibri" w:hAnsi="Arial" w:cs="Arial"/>
          <w:sz w:val="22"/>
          <w:szCs w:val="22"/>
          <w:lang w:val="es-ES_tradnl"/>
        </w:rPr>
        <w:t xml:space="preserve"> en el </w:t>
      </w:r>
      <w:r w:rsidR="00B37636" w:rsidRPr="00B93138">
        <w:rPr>
          <w:rFonts w:ascii="Arial" w:eastAsia="Calibri" w:hAnsi="Arial" w:cs="Arial"/>
          <w:sz w:val="22"/>
          <w:szCs w:val="22"/>
          <w:lang w:val="es-ES_tradnl"/>
        </w:rPr>
        <w:t xml:space="preserve">considerando </w:t>
      </w:r>
      <w:r w:rsidR="002456B2" w:rsidRPr="00B93138">
        <w:rPr>
          <w:rFonts w:ascii="Arial" w:eastAsia="Calibri" w:hAnsi="Arial" w:cs="Arial"/>
          <w:sz w:val="22"/>
          <w:szCs w:val="22"/>
          <w:lang w:val="es-ES_tradnl"/>
        </w:rPr>
        <w:t>anterio</w:t>
      </w:r>
      <w:r w:rsidR="000A3F0A" w:rsidRPr="00B93138">
        <w:rPr>
          <w:rFonts w:ascii="Arial" w:eastAsia="Calibri" w:hAnsi="Arial" w:cs="Arial"/>
          <w:sz w:val="22"/>
          <w:szCs w:val="22"/>
          <w:lang w:val="es-ES_tradnl"/>
        </w:rPr>
        <w:t>r</w:t>
      </w:r>
      <w:r w:rsidR="00906D34" w:rsidRPr="00B93138">
        <w:rPr>
          <w:rFonts w:ascii="Arial" w:eastAsia="Calibri" w:hAnsi="Arial" w:cs="Arial"/>
          <w:sz w:val="22"/>
          <w:szCs w:val="22"/>
          <w:lang w:val="es-ES_tradnl"/>
        </w:rPr>
        <w:t xml:space="preserve"> del presente concepto</w:t>
      </w:r>
      <w:r w:rsidRPr="00B93138">
        <w:rPr>
          <w:rFonts w:ascii="Arial" w:eastAsia="Calibri" w:hAnsi="Arial" w:cs="Arial"/>
          <w:sz w:val="22"/>
          <w:szCs w:val="22"/>
          <w:lang w:val="es-ES_tradnl"/>
        </w:rPr>
        <w:t>, los factores de desempate del artículo 35</w:t>
      </w:r>
      <w:r w:rsidR="005D30AE" w:rsidRPr="00B93138">
        <w:rPr>
          <w:rFonts w:ascii="Arial" w:eastAsia="Calibri" w:hAnsi="Arial" w:cs="Arial"/>
          <w:sz w:val="22"/>
          <w:szCs w:val="22"/>
          <w:lang w:val="es-ES_tradnl"/>
        </w:rPr>
        <w:t xml:space="preserve"> de la Ley de Emprendimiento</w:t>
      </w:r>
      <w:r w:rsidRPr="00B93138">
        <w:rPr>
          <w:rFonts w:ascii="Arial" w:eastAsia="Calibri" w:hAnsi="Arial" w:cs="Arial"/>
          <w:i/>
          <w:iCs/>
          <w:sz w:val="22"/>
          <w:szCs w:val="22"/>
          <w:lang w:val="es-ES_tradnl"/>
        </w:rPr>
        <w:t xml:space="preserve"> </w:t>
      </w:r>
      <w:r w:rsidRPr="00B93138">
        <w:rPr>
          <w:rFonts w:ascii="Arial" w:eastAsia="Calibri" w:hAnsi="Arial" w:cs="Arial"/>
          <w:sz w:val="22"/>
          <w:szCs w:val="22"/>
          <w:lang w:val="es-ES_tradnl"/>
        </w:rPr>
        <w:t xml:space="preserve">no solo son aplicables a la contratación de las entidades regidas por el EGCAP, sino también </w:t>
      </w:r>
      <w:r w:rsidR="00DF41DD" w:rsidRPr="00B93138">
        <w:rPr>
          <w:rFonts w:ascii="Arial" w:eastAsia="Calibri" w:hAnsi="Arial" w:cs="Arial"/>
          <w:sz w:val="22"/>
          <w:szCs w:val="22"/>
          <w:lang w:val="es-ES_tradnl"/>
        </w:rPr>
        <w:t>a los procesos de selección de las entidades exceptuadas</w:t>
      </w:r>
      <w:r w:rsidR="00CA137B" w:rsidRPr="00B93138">
        <w:rPr>
          <w:rFonts w:ascii="Arial" w:eastAsia="Calibri" w:hAnsi="Arial" w:cs="Arial"/>
          <w:sz w:val="22"/>
          <w:szCs w:val="22"/>
          <w:lang w:val="es-ES_tradnl"/>
        </w:rPr>
        <w:t xml:space="preserve">, </w:t>
      </w:r>
      <w:r w:rsidR="00AC51DF" w:rsidRPr="00B93138">
        <w:rPr>
          <w:rFonts w:ascii="Arial" w:eastAsia="Calibri" w:hAnsi="Arial" w:cs="Arial"/>
          <w:sz w:val="22"/>
          <w:szCs w:val="22"/>
          <w:lang w:val="es-ES_tradnl"/>
        </w:rPr>
        <w:t>a los que realicen l</w:t>
      </w:r>
      <w:r w:rsidR="00906007" w:rsidRPr="00B93138">
        <w:rPr>
          <w:rFonts w:ascii="Arial" w:eastAsia="Calibri" w:hAnsi="Arial" w:cs="Arial"/>
          <w:sz w:val="22"/>
          <w:szCs w:val="22"/>
          <w:lang w:val="es-ES_tradnl"/>
        </w:rPr>
        <w:t>o</w:t>
      </w:r>
      <w:r w:rsidR="00AC51DF" w:rsidRPr="00B93138">
        <w:rPr>
          <w:rFonts w:ascii="Arial" w:eastAsia="Calibri" w:hAnsi="Arial" w:cs="Arial"/>
          <w:sz w:val="22"/>
          <w:szCs w:val="22"/>
          <w:lang w:val="es-ES_tradnl"/>
        </w:rPr>
        <w:t xml:space="preserve">s patrimonios autónomos </w:t>
      </w:r>
      <w:r w:rsidR="001F5EF9" w:rsidRPr="00B93138">
        <w:rPr>
          <w:rFonts w:ascii="Arial" w:eastAsia="Calibri" w:hAnsi="Arial" w:cs="Arial"/>
          <w:sz w:val="22"/>
          <w:szCs w:val="22"/>
          <w:lang w:val="es-ES_tradnl"/>
        </w:rPr>
        <w:t xml:space="preserve">constituidos por entidades estatales, y en general, en los procesos de selección </w:t>
      </w:r>
      <w:r w:rsidR="004D1653" w:rsidRPr="00B93138">
        <w:rPr>
          <w:rFonts w:ascii="Arial" w:eastAsia="Calibri" w:hAnsi="Arial" w:cs="Arial"/>
          <w:sz w:val="22"/>
          <w:szCs w:val="22"/>
          <w:lang w:val="es-ES_tradnl"/>
        </w:rPr>
        <w:t xml:space="preserve">realizados con cargo a recursos públicos. </w:t>
      </w:r>
      <w:r w:rsidR="00906D34" w:rsidRPr="00B93138">
        <w:rPr>
          <w:rFonts w:ascii="Arial" w:eastAsia="Calibri" w:hAnsi="Arial" w:cs="Arial"/>
          <w:sz w:val="22"/>
          <w:szCs w:val="22"/>
          <w:lang w:val="es-ES_tradnl"/>
        </w:rPr>
        <w:t>Debido a que la norma no distingue</w:t>
      </w:r>
      <w:r w:rsidR="00762705" w:rsidRPr="00B93138">
        <w:rPr>
          <w:rFonts w:ascii="Arial" w:eastAsia="Calibri" w:hAnsi="Arial" w:cs="Arial"/>
          <w:sz w:val="22"/>
          <w:szCs w:val="22"/>
          <w:lang w:val="es-ES_tradnl"/>
        </w:rPr>
        <w:t xml:space="preserve"> entre modalidades o procedimientos, </w:t>
      </w:r>
      <w:r w:rsidR="00353801" w:rsidRPr="00B93138">
        <w:rPr>
          <w:rFonts w:ascii="Arial" w:eastAsia="Calibri" w:hAnsi="Arial" w:cs="Arial"/>
          <w:sz w:val="22"/>
          <w:szCs w:val="22"/>
          <w:lang w:val="es-ES_tradnl"/>
        </w:rPr>
        <w:t xml:space="preserve">los factores de desempate son aplicables </w:t>
      </w:r>
      <w:r w:rsidR="006E765A" w:rsidRPr="00B93138">
        <w:rPr>
          <w:rFonts w:ascii="Arial" w:eastAsia="Calibri" w:hAnsi="Arial" w:cs="Arial"/>
          <w:sz w:val="22"/>
          <w:szCs w:val="22"/>
          <w:lang w:val="es-ES_tradnl"/>
        </w:rPr>
        <w:t>en todos los procesos de selección que celebren los sujetos mencionados</w:t>
      </w:r>
      <w:r w:rsidR="007E118A" w:rsidRPr="00B93138">
        <w:rPr>
          <w:rFonts w:ascii="Arial" w:eastAsia="Calibri" w:hAnsi="Arial" w:cs="Arial"/>
          <w:sz w:val="22"/>
          <w:szCs w:val="22"/>
          <w:lang w:val="es-ES_tradnl"/>
        </w:rPr>
        <w:t>.</w:t>
      </w:r>
    </w:p>
    <w:p w14:paraId="404706C3" w14:textId="118F7AAC" w:rsidR="006B78F2" w:rsidRPr="00B93138" w:rsidRDefault="00A35E91" w:rsidP="00EB2ED0">
      <w:pPr>
        <w:tabs>
          <w:tab w:val="left" w:pos="0"/>
        </w:tabs>
        <w:spacing w:after="120" w:line="276" w:lineRule="auto"/>
        <w:jc w:val="both"/>
        <w:rPr>
          <w:rFonts w:ascii="Arial" w:hAnsi="Arial" w:cs="Arial"/>
          <w:sz w:val="22"/>
          <w:szCs w:val="22"/>
          <w:lang w:val="es-ES_tradnl"/>
        </w:rPr>
      </w:pPr>
      <w:r w:rsidRPr="00B93138">
        <w:rPr>
          <w:rFonts w:ascii="Arial" w:eastAsia="Calibri" w:hAnsi="Arial" w:cs="Arial"/>
          <w:sz w:val="22"/>
          <w:szCs w:val="22"/>
          <w:lang w:val="es-ES_tradnl"/>
        </w:rPr>
        <w:tab/>
      </w:r>
      <w:r w:rsidR="002B5392" w:rsidRPr="00B93138">
        <w:rPr>
          <w:rFonts w:ascii="Arial" w:eastAsia="Calibri" w:hAnsi="Arial" w:cs="Arial"/>
          <w:sz w:val="22"/>
          <w:szCs w:val="22"/>
          <w:lang w:val="es-ES_tradnl"/>
        </w:rPr>
        <w:t xml:space="preserve">En ese sentido, </w:t>
      </w:r>
      <w:r w:rsidR="0037256F" w:rsidRPr="00B93138">
        <w:rPr>
          <w:rFonts w:ascii="Arial" w:eastAsia="Calibri" w:hAnsi="Arial" w:cs="Arial"/>
          <w:sz w:val="22"/>
          <w:szCs w:val="22"/>
          <w:lang w:val="es-ES_tradnl"/>
        </w:rPr>
        <w:t>la</w:t>
      </w:r>
      <w:r w:rsidR="002B5392" w:rsidRPr="00B93138">
        <w:rPr>
          <w:rFonts w:ascii="Arial" w:eastAsia="Calibri" w:hAnsi="Arial" w:cs="Arial"/>
          <w:sz w:val="22"/>
          <w:szCs w:val="22"/>
          <w:lang w:val="es-ES_tradnl"/>
        </w:rPr>
        <w:t xml:space="preserve"> Agencia ha estimado que la aplicación del artículo 35 de la Ley 2069 de 2020</w:t>
      </w:r>
      <w:r w:rsidR="00B1498E" w:rsidRPr="00B93138">
        <w:rPr>
          <w:rFonts w:ascii="Arial" w:eastAsiaTheme="minorHAnsi" w:hAnsi="Arial" w:cs="Arial"/>
          <w:sz w:val="22"/>
          <w:szCs w:val="22"/>
          <w:lang w:eastAsia="en-US"/>
        </w:rPr>
        <w:t xml:space="preserve"> </w:t>
      </w:r>
      <w:r w:rsidR="00B74409" w:rsidRPr="00B93138">
        <w:rPr>
          <w:rFonts w:ascii="Arial" w:eastAsiaTheme="minorHAnsi" w:hAnsi="Arial" w:cs="Arial"/>
          <w:sz w:val="22"/>
          <w:szCs w:val="22"/>
          <w:lang w:eastAsia="en-US"/>
        </w:rPr>
        <w:t xml:space="preserve">es </w:t>
      </w:r>
      <w:r w:rsidR="00B1498E" w:rsidRPr="00B93138">
        <w:rPr>
          <w:rFonts w:ascii="Arial" w:eastAsiaTheme="minorHAnsi" w:hAnsi="Arial" w:cs="Arial"/>
          <w:sz w:val="22"/>
          <w:szCs w:val="22"/>
          <w:lang w:eastAsia="en-US"/>
        </w:rPr>
        <w:t>transversal a</w:t>
      </w:r>
      <w:r w:rsidR="00722495" w:rsidRPr="00B93138">
        <w:rPr>
          <w:rFonts w:ascii="Arial" w:eastAsiaTheme="minorHAnsi" w:hAnsi="Arial" w:cs="Arial"/>
          <w:sz w:val="22"/>
          <w:szCs w:val="22"/>
          <w:lang w:eastAsia="en-US"/>
        </w:rPr>
        <w:t xml:space="preserve"> las distintas modalidades </w:t>
      </w:r>
      <w:r w:rsidR="003C2FB1" w:rsidRPr="00B93138">
        <w:rPr>
          <w:rFonts w:ascii="Arial" w:eastAsiaTheme="minorHAnsi" w:hAnsi="Arial" w:cs="Arial"/>
          <w:sz w:val="22"/>
          <w:szCs w:val="22"/>
          <w:lang w:eastAsia="en-US"/>
        </w:rPr>
        <w:t>de contratación</w:t>
      </w:r>
      <w:r w:rsidR="00B20E85" w:rsidRPr="00B93138">
        <w:rPr>
          <w:rFonts w:ascii="Arial" w:eastAsiaTheme="minorHAnsi" w:hAnsi="Arial" w:cs="Arial"/>
          <w:sz w:val="22"/>
          <w:szCs w:val="22"/>
          <w:lang w:eastAsia="en-US"/>
        </w:rPr>
        <w:t xml:space="preserve">. Concretamente, </w:t>
      </w:r>
      <w:r w:rsidR="003C2FB1" w:rsidRPr="00B93138">
        <w:rPr>
          <w:rFonts w:ascii="Arial" w:eastAsiaTheme="minorHAnsi" w:hAnsi="Arial" w:cs="Arial"/>
          <w:sz w:val="22"/>
          <w:szCs w:val="22"/>
          <w:lang w:eastAsia="en-US"/>
        </w:rPr>
        <w:t>la vigencia de este</w:t>
      </w:r>
      <w:r w:rsidR="005B2C7D" w:rsidRPr="00B93138">
        <w:rPr>
          <w:rFonts w:ascii="Arial" w:eastAsiaTheme="minorHAnsi" w:hAnsi="Arial" w:cs="Arial"/>
          <w:sz w:val="22"/>
          <w:szCs w:val="22"/>
          <w:lang w:eastAsia="en-US"/>
        </w:rPr>
        <w:t xml:space="preserve"> artículo </w:t>
      </w:r>
      <w:r w:rsidR="007D2DA3" w:rsidRPr="00B93138">
        <w:rPr>
          <w:rFonts w:ascii="Arial" w:eastAsiaTheme="minorHAnsi" w:hAnsi="Arial" w:cs="Arial"/>
          <w:sz w:val="22"/>
          <w:szCs w:val="22"/>
          <w:lang w:eastAsia="en-US"/>
        </w:rPr>
        <w:t>ha generado la derogatoria</w:t>
      </w:r>
      <w:r w:rsidR="00F064DB" w:rsidRPr="00B93138">
        <w:rPr>
          <w:rFonts w:ascii="Arial" w:eastAsiaTheme="minorHAnsi" w:hAnsi="Arial" w:cs="Arial"/>
          <w:sz w:val="22"/>
          <w:szCs w:val="22"/>
          <w:lang w:eastAsia="en-US"/>
        </w:rPr>
        <w:t xml:space="preserve"> </w:t>
      </w:r>
      <w:r w:rsidR="007D2DA3" w:rsidRPr="00B93138">
        <w:rPr>
          <w:rFonts w:ascii="Arial" w:eastAsiaTheme="minorHAnsi" w:hAnsi="Arial" w:cs="Arial"/>
          <w:sz w:val="22"/>
          <w:szCs w:val="22"/>
          <w:lang w:eastAsia="en-US"/>
        </w:rPr>
        <w:t xml:space="preserve">del artículo </w:t>
      </w:r>
      <w:r w:rsidR="00F064DB" w:rsidRPr="00B93138">
        <w:rPr>
          <w:rFonts w:ascii="Arial" w:eastAsiaTheme="minorHAnsi" w:hAnsi="Arial" w:cs="Arial"/>
          <w:sz w:val="22"/>
          <w:szCs w:val="22"/>
          <w:lang w:eastAsia="en-US"/>
        </w:rPr>
        <w:t>2.2.1.1.2.2.9 del Decreto 1082 de 2015</w:t>
      </w:r>
      <w:r w:rsidR="00207FCD" w:rsidRPr="00B93138">
        <w:rPr>
          <w:rFonts w:ascii="Arial" w:eastAsiaTheme="minorHAnsi" w:hAnsi="Arial" w:cs="Arial"/>
          <w:sz w:val="22"/>
          <w:szCs w:val="22"/>
          <w:lang w:eastAsia="en-US"/>
        </w:rPr>
        <w:t xml:space="preserve">, conforme a lo dispuesto en artículo 84 de la Ley 2069 de 2020. </w:t>
      </w:r>
      <w:r w:rsidR="00A25833" w:rsidRPr="00B93138">
        <w:rPr>
          <w:rFonts w:ascii="Arial" w:hAnsi="Arial" w:cs="Arial"/>
          <w:sz w:val="22"/>
          <w:szCs w:val="22"/>
          <w:lang w:val="es-ES_tradnl"/>
        </w:rPr>
        <w:t>Como argumento adicional</w:t>
      </w:r>
      <w:r w:rsidR="00207FCD" w:rsidRPr="00B93138">
        <w:rPr>
          <w:rFonts w:ascii="Arial" w:hAnsi="Arial" w:cs="Arial"/>
          <w:sz w:val="22"/>
          <w:szCs w:val="22"/>
          <w:lang w:val="es-ES_tradnl"/>
        </w:rPr>
        <w:t xml:space="preserve">, </w:t>
      </w:r>
      <w:r w:rsidR="005B61AD" w:rsidRPr="00B93138">
        <w:rPr>
          <w:rFonts w:ascii="Arial" w:hAnsi="Arial" w:cs="Arial"/>
          <w:sz w:val="22"/>
          <w:szCs w:val="22"/>
          <w:lang w:val="es-ES_tradnl"/>
        </w:rPr>
        <w:t>se ha sostenido</w:t>
      </w:r>
      <w:r w:rsidR="00A25833" w:rsidRPr="00B93138">
        <w:rPr>
          <w:rFonts w:ascii="Arial" w:hAnsi="Arial" w:cs="Arial"/>
          <w:sz w:val="22"/>
          <w:szCs w:val="22"/>
          <w:lang w:val="es-ES_tradnl"/>
        </w:rPr>
        <w:t xml:space="preserve"> </w:t>
      </w:r>
      <w:r w:rsidR="000105D9" w:rsidRPr="00B93138">
        <w:rPr>
          <w:rFonts w:ascii="Arial" w:hAnsi="Arial" w:cs="Arial"/>
          <w:sz w:val="22"/>
          <w:szCs w:val="22"/>
          <w:lang w:val="es-ES_tradnl"/>
        </w:rPr>
        <w:t>la configuración del</w:t>
      </w:r>
      <w:r w:rsidR="00A25833" w:rsidRPr="00B93138">
        <w:rPr>
          <w:rFonts w:ascii="Arial" w:hAnsi="Arial" w:cs="Arial"/>
          <w:sz w:val="22"/>
          <w:szCs w:val="22"/>
          <w:lang w:val="es-ES_tradnl"/>
        </w:rPr>
        <w:t xml:space="preserve"> fenómeno de la pérdida de fuerza ejecutoria –o decaimiento– de los actos administrativos, </w:t>
      </w:r>
      <w:r w:rsidR="00700CA2" w:rsidRPr="00B93138">
        <w:rPr>
          <w:rFonts w:ascii="Arial" w:hAnsi="Arial" w:cs="Arial"/>
          <w:sz w:val="22"/>
          <w:szCs w:val="22"/>
          <w:lang w:val="es-ES_tradnl"/>
        </w:rPr>
        <w:t xml:space="preserve">en virtud </w:t>
      </w:r>
      <w:r w:rsidR="00001CC9" w:rsidRPr="00B93138">
        <w:rPr>
          <w:rFonts w:ascii="Arial" w:hAnsi="Arial" w:cs="Arial"/>
          <w:sz w:val="22"/>
          <w:szCs w:val="22"/>
          <w:lang w:val="es-ES_tradnl"/>
        </w:rPr>
        <w:t>d</w:t>
      </w:r>
      <w:r w:rsidR="00A25833" w:rsidRPr="00B93138">
        <w:rPr>
          <w:rFonts w:ascii="Arial" w:hAnsi="Arial" w:cs="Arial"/>
          <w:sz w:val="22"/>
          <w:szCs w:val="22"/>
          <w:lang w:val="es-ES_tradnl"/>
        </w:rPr>
        <w:t>el numeral 2 del artículo 91 de la Ley 1437 de 2011</w:t>
      </w:r>
      <w:r w:rsidR="005B61AD" w:rsidRPr="00B93138">
        <w:rPr>
          <w:rFonts w:ascii="Arial" w:hAnsi="Arial" w:cs="Arial"/>
          <w:sz w:val="22"/>
          <w:szCs w:val="22"/>
          <w:lang w:val="es-ES_tradnl"/>
        </w:rPr>
        <w:t>,</w:t>
      </w:r>
      <w:r w:rsidR="00A25833" w:rsidRPr="00B93138">
        <w:rPr>
          <w:rFonts w:ascii="Arial" w:hAnsi="Arial" w:cs="Arial"/>
          <w:sz w:val="22"/>
          <w:szCs w:val="22"/>
          <w:lang w:val="es-ES_tradnl"/>
        </w:rPr>
        <w:t xml:space="preserve"> </w:t>
      </w:r>
      <w:r w:rsidR="00101129" w:rsidRPr="00B93138">
        <w:rPr>
          <w:rFonts w:ascii="Arial" w:hAnsi="Arial" w:cs="Arial"/>
          <w:sz w:val="22"/>
          <w:szCs w:val="22"/>
          <w:lang w:val="es-ES_tradnl"/>
        </w:rPr>
        <w:t xml:space="preserve">considerando que esta última </w:t>
      </w:r>
      <w:r w:rsidR="00A25833" w:rsidRPr="00B93138">
        <w:rPr>
          <w:rFonts w:ascii="Arial" w:hAnsi="Arial" w:cs="Arial"/>
          <w:sz w:val="22"/>
          <w:szCs w:val="22"/>
          <w:lang w:val="es-ES_tradnl"/>
        </w:rPr>
        <w:t xml:space="preserve">norma señala que los actos administrativos pierden fuerza ejecutoria «Cuando desaparezcan sus fundamentos de hecho o de derecho». </w:t>
      </w:r>
    </w:p>
    <w:p w14:paraId="161D180D" w14:textId="5143A423" w:rsidR="00343B9E" w:rsidRPr="00B93138" w:rsidRDefault="006B78F2" w:rsidP="00343B9E">
      <w:pPr>
        <w:tabs>
          <w:tab w:val="left" w:pos="0"/>
        </w:tabs>
        <w:spacing w:after="120" w:line="276" w:lineRule="auto"/>
        <w:jc w:val="both"/>
        <w:rPr>
          <w:rFonts w:ascii="Arial" w:eastAsiaTheme="minorHAnsi" w:hAnsi="Arial" w:cs="Arial"/>
          <w:sz w:val="22"/>
          <w:szCs w:val="22"/>
          <w:lang w:eastAsia="en-US"/>
        </w:rPr>
      </w:pPr>
      <w:r w:rsidRPr="00B93138">
        <w:rPr>
          <w:rFonts w:ascii="Arial" w:hAnsi="Arial" w:cs="Arial"/>
          <w:sz w:val="22"/>
          <w:szCs w:val="22"/>
          <w:lang w:val="es-ES_tradnl"/>
        </w:rPr>
        <w:tab/>
      </w:r>
      <w:r w:rsidR="00A25833" w:rsidRPr="00B93138">
        <w:rPr>
          <w:rFonts w:ascii="Arial" w:hAnsi="Arial" w:cs="Arial"/>
          <w:sz w:val="22"/>
          <w:szCs w:val="22"/>
          <w:lang w:val="es-ES_tradnl"/>
        </w:rPr>
        <w:t xml:space="preserve">Dado que el Decreto 1082 de 2015 es un reglamento </w:t>
      </w:r>
      <w:proofErr w:type="spellStart"/>
      <w:r w:rsidR="00A25833" w:rsidRPr="00B93138">
        <w:rPr>
          <w:rFonts w:ascii="Arial" w:hAnsi="Arial" w:cs="Arial"/>
          <w:i/>
          <w:iCs/>
          <w:sz w:val="22"/>
          <w:szCs w:val="22"/>
          <w:lang w:val="es-ES_tradnl"/>
        </w:rPr>
        <w:t>secundum</w:t>
      </w:r>
      <w:proofErr w:type="spellEnd"/>
      <w:r w:rsidR="00A25833" w:rsidRPr="00B93138">
        <w:rPr>
          <w:rFonts w:ascii="Arial" w:hAnsi="Arial" w:cs="Arial"/>
          <w:i/>
          <w:iCs/>
          <w:sz w:val="22"/>
          <w:szCs w:val="22"/>
          <w:lang w:val="es-ES_tradnl"/>
        </w:rPr>
        <w:t xml:space="preserve"> </w:t>
      </w:r>
      <w:proofErr w:type="spellStart"/>
      <w:r w:rsidR="00A25833" w:rsidRPr="00B93138">
        <w:rPr>
          <w:rFonts w:ascii="Arial" w:hAnsi="Arial" w:cs="Arial"/>
          <w:i/>
          <w:iCs/>
          <w:sz w:val="22"/>
          <w:szCs w:val="22"/>
          <w:lang w:val="es-ES_tradnl"/>
        </w:rPr>
        <w:t>legem</w:t>
      </w:r>
      <w:proofErr w:type="spellEnd"/>
      <w:r w:rsidR="00A25833" w:rsidRPr="00B93138">
        <w:rPr>
          <w:rFonts w:ascii="Arial" w:hAnsi="Arial" w:cs="Arial"/>
          <w:sz w:val="22"/>
          <w:szCs w:val="22"/>
          <w:lang w:val="es-ES_tradnl"/>
        </w:rPr>
        <w:t xml:space="preserve"> –es decir, que desarrolla una norma de mayor jerarquía–,</w:t>
      </w:r>
      <w:r w:rsidR="00B5534B" w:rsidRPr="00B93138">
        <w:rPr>
          <w:rFonts w:ascii="Arial" w:hAnsi="Arial" w:cs="Arial"/>
          <w:sz w:val="22"/>
          <w:szCs w:val="22"/>
          <w:lang w:val="es-ES_tradnl"/>
        </w:rPr>
        <w:t xml:space="preserve"> por lo que</w:t>
      </w:r>
      <w:r w:rsidR="00A25833" w:rsidRPr="00B93138">
        <w:rPr>
          <w:rFonts w:ascii="Arial" w:hAnsi="Arial" w:cs="Arial"/>
          <w:sz w:val="22"/>
          <w:szCs w:val="22"/>
          <w:lang w:val="es-ES_tradnl"/>
        </w:rPr>
        <w:t xml:space="preserve"> la expedición de una ley en sentido formal –es decir, una fuente que condiciona el contenido de este último–, hace que la </w:t>
      </w:r>
      <w:r w:rsidR="00101129" w:rsidRPr="00B93138">
        <w:rPr>
          <w:rFonts w:ascii="Arial" w:hAnsi="Arial" w:cs="Arial"/>
          <w:sz w:val="22"/>
          <w:szCs w:val="22"/>
          <w:lang w:val="es-ES_tradnl"/>
        </w:rPr>
        <w:t xml:space="preserve">mencionada </w:t>
      </w:r>
      <w:r w:rsidR="00A25833" w:rsidRPr="00B93138">
        <w:rPr>
          <w:rFonts w:ascii="Arial" w:hAnsi="Arial" w:cs="Arial"/>
          <w:sz w:val="22"/>
          <w:szCs w:val="22"/>
          <w:lang w:val="es-ES_tradnl"/>
        </w:rPr>
        <w:t>disposición reglamentaria decaiga</w:t>
      </w:r>
      <w:r w:rsidR="00735D76" w:rsidRPr="00B93138">
        <w:rPr>
          <w:rFonts w:ascii="Arial" w:hAnsi="Arial" w:cs="Arial"/>
          <w:sz w:val="22"/>
          <w:szCs w:val="22"/>
          <w:lang w:val="es-ES_tradnl"/>
        </w:rPr>
        <w:t>.</w:t>
      </w:r>
      <w:r w:rsidR="00A25833" w:rsidRPr="00B93138">
        <w:rPr>
          <w:rFonts w:ascii="Arial" w:hAnsi="Arial" w:cs="Arial"/>
          <w:sz w:val="22"/>
          <w:szCs w:val="22"/>
          <w:lang w:val="es-ES_tradnl"/>
        </w:rPr>
        <w:t xml:space="preserve"> </w:t>
      </w:r>
      <w:r w:rsidR="00845B36" w:rsidRPr="00B93138">
        <w:rPr>
          <w:rFonts w:ascii="Arial" w:eastAsiaTheme="minorHAnsi" w:hAnsi="Arial" w:cs="Arial"/>
          <w:sz w:val="22"/>
          <w:szCs w:val="22"/>
          <w:lang w:eastAsia="en-US"/>
        </w:rPr>
        <w:t xml:space="preserve"> </w:t>
      </w:r>
      <w:r w:rsidR="00CC7597" w:rsidRPr="00B93138">
        <w:rPr>
          <w:rFonts w:ascii="Arial" w:eastAsiaTheme="minorHAnsi" w:hAnsi="Arial" w:cs="Arial"/>
          <w:sz w:val="22"/>
          <w:szCs w:val="22"/>
          <w:lang w:eastAsia="en-US"/>
        </w:rPr>
        <w:t xml:space="preserve">Esta </w:t>
      </w:r>
      <w:r w:rsidR="00BB2236" w:rsidRPr="00B93138">
        <w:rPr>
          <w:rFonts w:ascii="Arial" w:eastAsiaTheme="minorHAnsi" w:hAnsi="Arial" w:cs="Arial"/>
          <w:sz w:val="22"/>
          <w:szCs w:val="22"/>
          <w:lang w:eastAsia="en-US"/>
        </w:rPr>
        <w:t>Agencia ha determinado que</w:t>
      </w:r>
      <w:r w:rsidR="001870F5" w:rsidRPr="00B93138">
        <w:rPr>
          <w:rFonts w:ascii="Arial" w:eastAsiaTheme="minorHAnsi" w:hAnsi="Arial" w:cs="Arial"/>
          <w:sz w:val="22"/>
          <w:szCs w:val="22"/>
          <w:lang w:eastAsia="en-US"/>
        </w:rPr>
        <w:t xml:space="preserve"> estos </w:t>
      </w:r>
      <w:r w:rsidR="00845B36" w:rsidRPr="00B93138">
        <w:rPr>
          <w:rFonts w:ascii="Arial" w:eastAsiaTheme="minorHAnsi" w:hAnsi="Arial" w:cs="Arial"/>
          <w:sz w:val="22"/>
          <w:szCs w:val="22"/>
          <w:lang w:eastAsia="en-US"/>
        </w:rPr>
        <w:t xml:space="preserve">argumentos </w:t>
      </w:r>
      <w:r w:rsidR="00B97B5E" w:rsidRPr="00B93138">
        <w:rPr>
          <w:rFonts w:ascii="Arial" w:eastAsiaTheme="minorHAnsi" w:hAnsi="Arial" w:cs="Arial"/>
          <w:sz w:val="22"/>
          <w:szCs w:val="22"/>
          <w:lang w:eastAsia="en-US"/>
        </w:rPr>
        <w:t xml:space="preserve">no solo </w:t>
      </w:r>
      <w:r w:rsidR="001870F5" w:rsidRPr="00B93138">
        <w:rPr>
          <w:rFonts w:ascii="Arial" w:eastAsiaTheme="minorHAnsi" w:hAnsi="Arial" w:cs="Arial"/>
          <w:sz w:val="22"/>
          <w:szCs w:val="22"/>
          <w:lang w:eastAsia="en-US"/>
        </w:rPr>
        <w:t xml:space="preserve">son predicables del </w:t>
      </w:r>
      <w:r w:rsidR="00B97B5E" w:rsidRPr="00B93138">
        <w:rPr>
          <w:rFonts w:ascii="Arial" w:eastAsiaTheme="minorHAnsi" w:hAnsi="Arial" w:cs="Arial"/>
          <w:sz w:val="22"/>
          <w:szCs w:val="22"/>
          <w:lang w:eastAsia="en-US"/>
        </w:rPr>
        <w:t xml:space="preserve">artículo 2.2.1.1.2.2.9 del Decreto 1082 de 2015, en el que se reglamentaban de manera general los factores de desempate, sino también de otros artículos de dicho reglamento en el que se establecían factores de desempate para algunas modalidades de selección. Este es el caso del </w:t>
      </w:r>
      <w:r w:rsidR="00097089" w:rsidRPr="00B93138">
        <w:rPr>
          <w:rFonts w:ascii="Arial" w:eastAsiaTheme="minorHAnsi" w:hAnsi="Arial" w:cs="Arial"/>
          <w:sz w:val="22"/>
          <w:szCs w:val="22"/>
          <w:lang w:eastAsia="en-US"/>
        </w:rPr>
        <w:t xml:space="preserve">numeral </w:t>
      </w:r>
      <w:r w:rsidR="00A91C08" w:rsidRPr="00B93138">
        <w:rPr>
          <w:rFonts w:ascii="Arial" w:eastAsiaTheme="minorHAnsi" w:hAnsi="Arial" w:cs="Arial"/>
          <w:sz w:val="22"/>
          <w:szCs w:val="22"/>
          <w:lang w:eastAsia="en-US"/>
        </w:rPr>
        <w:t>7</w:t>
      </w:r>
      <w:r w:rsidR="00CC7597" w:rsidRPr="00B93138">
        <w:rPr>
          <w:rFonts w:ascii="Arial" w:eastAsiaTheme="minorHAnsi" w:hAnsi="Arial" w:cs="Arial"/>
          <w:sz w:val="22"/>
          <w:szCs w:val="22"/>
          <w:lang w:eastAsia="en-US"/>
        </w:rPr>
        <w:t xml:space="preserve"> del artículo </w:t>
      </w:r>
      <w:r w:rsidR="00CC7597" w:rsidRPr="00B93138">
        <w:rPr>
          <w:rFonts w:ascii="Arial" w:eastAsia="Calibri" w:hAnsi="Arial" w:cs="Arial"/>
          <w:sz w:val="22"/>
          <w:szCs w:val="22"/>
          <w:lang w:val="es-ES_tradnl"/>
        </w:rPr>
        <w:t>2.2.1.2.1.5.2</w:t>
      </w:r>
      <w:r w:rsidR="004518B0" w:rsidRPr="00B93138">
        <w:rPr>
          <w:rFonts w:ascii="Arial" w:eastAsiaTheme="minorHAnsi" w:hAnsi="Arial" w:cs="Arial"/>
          <w:sz w:val="22"/>
          <w:szCs w:val="22"/>
          <w:lang w:eastAsia="en-US"/>
        </w:rPr>
        <w:t xml:space="preserve">, </w:t>
      </w:r>
      <w:r w:rsidR="00097089" w:rsidRPr="00B93138">
        <w:rPr>
          <w:rFonts w:ascii="Arial" w:eastAsiaTheme="minorHAnsi" w:hAnsi="Arial" w:cs="Arial"/>
          <w:sz w:val="22"/>
          <w:szCs w:val="22"/>
          <w:lang w:eastAsia="en-US"/>
        </w:rPr>
        <w:t>respecto del que</w:t>
      </w:r>
      <w:r w:rsidR="003D6E60" w:rsidRPr="00B93138">
        <w:rPr>
          <w:rFonts w:ascii="Arial" w:eastAsiaTheme="minorHAnsi" w:hAnsi="Arial" w:cs="Arial"/>
          <w:sz w:val="22"/>
          <w:szCs w:val="22"/>
          <w:lang w:eastAsia="en-US"/>
        </w:rPr>
        <w:t xml:space="preserve"> se</w:t>
      </w:r>
      <w:r w:rsidR="001E5C3A" w:rsidRPr="00B93138">
        <w:rPr>
          <w:rFonts w:ascii="Arial" w:eastAsiaTheme="minorHAnsi" w:hAnsi="Arial" w:cs="Arial"/>
          <w:sz w:val="22"/>
          <w:szCs w:val="22"/>
          <w:lang w:eastAsia="en-US"/>
        </w:rPr>
        <w:t xml:space="preserve"> presenta tanto </w:t>
      </w:r>
      <w:r w:rsidR="004053EC" w:rsidRPr="00B93138">
        <w:rPr>
          <w:rFonts w:ascii="Arial" w:eastAsiaTheme="minorHAnsi" w:hAnsi="Arial" w:cs="Arial"/>
          <w:sz w:val="22"/>
          <w:szCs w:val="22"/>
          <w:lang w:eastAsia="en-US"/>
        </w:rPr>
        <w:t xml:space="preserve">la </w:t>
      </w:r>
      <w:r w:rsidR="001E5C3A" w:rsidRPr="00B93138">
        <w:rPr>
          <w:rFonts w:ascii="Arial" w:eastAsiaTheme="minorHAnsi" w:hAnsi="Arial" w:cs="Arial"/>
          <w:sz w:val="22"/>
          <w:szCs w:val="22"/>
          <w:lang w:eastAsia="en-US"/>
        </w:rPr>
        <w:t>derogación como decaimiento</w:t>
      </w:r>
      <w:r w:rsidR="00B97B5E" w:rsidRPr="00B93138">
        <w:rPr>
          <w:rStyle w:val="Refdenotaalpie"/>
          <w:rFonts w:ascii="Arial" w:eastAsiaTheme="minorHAnsi" w:hAnsi="Arial" w:cs="Arial"/>
          <w:sz w:val="22"/>
          <w:szCs w:val="22"/>
          <w:lang w:eastAsia="en-US"/>
        </w:rPr>
        <w:footnoteReference w:id="13"/>
      </w:r>
      <w:r w:rsidR="001E5C3A" w:rsidRPr="00B93138">
        <w:rPr>
          <w:rFonts w:ascii="Arial" w:eastAsiaTheme="minorHAnsi" w:hAnsi="Arial" w:cs="Arial"/>
          <w:sz w:val="22"/>
          <w:szCs w:val="22"/>
          <w:lang w:eastAsia="en-US"/>
        </w:rPr>
        <w:t xml:space="preserve">. </w:t>
      </w:r>
    </w:p>
    <w:p w14:paraId="3D8BAC6A" w14:textId="141D65D9" w:rsidR="005651C7" w:rsidRPr="00B93138" w:rsidRDefault="001E5C3A" w:rsidP="00EB2ED0">
      <w:pPr>
        <w:tabs>
          <w:tab w:val="left" w:pos="0"/>
        </w:tabs>
        <w:spacing w:after="120" w:line="276" w:lineRule="auto"/>
        <w:jc w:val="both"/>
        <w:rPr>
          <w:rFonts w:ascii="Arial" w:eastAsia="Calibri" w:hAnsi="Arial" w:cs="Arial"/>
          <w:sz w:val="22"/>
          <w:szCs w:val="22"/>
          <w:lang w:val="es-ES_tradnl"/>
        </w:rPr>
      </w:pPr>
      <w:r w:rsidRPr="00B93138">
        <w:rPr>
          <w:rFonts w:ascii="Arial" w:eastAsiaTheme="minorHAnsi" w:hAnsi="Arial" w:cs="Arial"/>
          <w:sz w:val="22"/>
          <w:szCs w:val="22"/>
          <w:lang w:eastAsia="en-US"/>
        </w:rPr>
        <w:tab/>
        <w:t>Conforme a lo anterior,</w:t>
      </w:r>
      <w:r w:rsidR="0006791B" w:rsidRPr="00B93138">
        <w:rPr>
          <w:rFonts w:ascii="Arial" w:eastAsiaTheme="minorHAnsi" w:hAnsi="Arial" w:cs="Arial"/>
          <w:sz w:val="22"/>
          <w:szCs w:val="22"/>
          <w:lang w:eastAsia="en-US"/>
        </w:rPr>
        <w:t xml:space="preserve"> </w:t>
      </w:r>
      <w:r w:rsidR="0093110D" w:rsidRPr="00B93138">
        <w:rPr>
          <w:rFonts w:ascii="Arial" w:eastAsiaTheme="minorHAnsi" w:hAnsi="Arial" w:cs="Arial"/>
          <w:sz w:val="22"/>
          <w:szCs w:val="22"/>
          <w:lang w:eastAsia="en-US"/>
        </w:rPr>
        <w:t>la aplicación del</w:t>
      </w:r>
      <w:r w:rsidR="00316AD8" w:rsidRPr="00B93138">
        <w:rPr>
          <w:rFonts w:ascii="Arial" w:eastAsiaTheme="minorHAnsi" w:hAnsi="Arial" w:cs="Arial"/>
          <w:sz w:val="22"/>
          <w:szCs w:val="22"/>
          <w:lang w:eastAsia="en-US"/>
        </w:rPr>
        <w:t xml:space="preserve"> artículo 35 de la Ley 2069 de 2020</w:t>
      </w:r>
      <w:r w:rsidR="0093110D" w:rsidRPr="00B93138">
        <w:rPr>
          <w:rFonts w:ascii="Arial" w:eastAsiaTheme="minorHAnsi" w:hAnsi="Arial" w:cs="Arial"/>
          <w:sz w:val="22"/>
          <w:szCs w:val="22"/>
          <w:lang w:eastAsia="en-US"/>
        </w:rPr>
        <w:t xml:space="preserve"> es transversal a los diferentes actores del sistema de compras públicas, quienes </w:t>
      </w:r>
      <w:r w:rsidR="006B722F" w:rsidRPr="00B93138">
        <w:rPr>
          <w:rFonts w:ascii="Arial" w:eastAsiaTheme="minorHAnsi" w:hAnsi="Arial" w:cs="Arial"/>
          <w:sz w:val="22"/>
          <w:szCs w:val="22"/>
          <w:lang w:eastAsia="en-US"/>
        </w:rPr>
        <w:t>–</w:t>
      </w:r>
      <w:r w:rsidR="0093110D" w:rsidRPr="00B93138">
        <w:rPr>
          <w:rFonts w:ascii="Arial" w:eastAsiaTheme="minorHAnsi" w:hAnsi="Arial" w:cs="Arial"/>
          <w:sz w:val="22"/>
          <w:szCs w:val="22"/>
          <w:lang w:eastAsia="en-US"/>
        </w:rPr>
        <w:t>indistintamente de</w:t>
      </w:r>
      <w:r w:rsidR="006B722F" w:rsidRPr="00B93138">
        <w:rPr>
          <w:rFonts w:ascii="Arial" w:eastAsiaTheme="minorHAnsi" w:hAnsi="Arial" w:cs="Arial"/>
          <w:sz w:val="22"/>
          <w:szCs w:val="22"/>
          <w:lang w:eastAsia="en-US"/>
        </w:rPr>
        <w:t>l</w:t>
      </w:r>
      <w:r w:rsidR="00BF4154" w:rsidRPr="00B93138">
        <w:rPr>
          <w:rFonts w:ascii="Arial" w:eastAsiaTheme="minorHAnsi" w:hAnsi="Arial" w:cs="Arial"/>
          <w:sz w:val="22"/>
          <w:szCs w:val="22"/>
          <w:lang w:eastAsia="en-US"/>
        </w:rPr>
        <w:t xml:space="preserve"> régimen de </w:t>
      </w:r>
      <w:r w:rsidR="006B722F" w:rsidRPr="00B93138">
        <w:rPr>
          <w:rFonts w:ascii="Arial" w:eastAsiaTheme="minorHAnsi" w:hAnsi="Arial" w:cs="Arial"/>
          <w:sz w:val="22"/>
          <w:szCs w:val="22"/>
          <w:lang w:eastAsia="en-US"/>
        </w:rPr>
        <w:t>contractual y</w:t>
      </w:r>
      <w:r w:rsidR="003821F1" w:rsidRPr="00B93138">
        <w:rPr>
          <w:rFonts w:ascii="Arial" w:eastAsiaTheme="minorHAnsi" w:hAnsi="Arial" w:cs="Arial"/>
          <w:sz w:val="22"/>
          <w:szCs w:val="22"/>
          <w:lang w:eastAsia="en-US"/>
        </w:rPr>
        <w:t xml:space="preserve"> el proceso de selección</w:t>
      </w:r>
      <w:r w:rsidR="006B722F" w:rsidRPr="00B93138">
        <w:rPr>
          <w:rFonts w:ascii="Arial" w:eastAsiaTheme="minorHAnsi" w:hAnsi="Arial" w:cs="Arial"/>
          <w:sz w:val="22"/>
          <w:szCs w:val="22"/>
          <w:lang w:eastAsia="en-US"/>
        </w:rPr>
        <w:t>–</w:t>
      </w:r>
      <w:r w:rsidR="003821F1" w:rsidRPr="00B93138">
        <w:rPr>
          <w:rFonts w:ascii="Arial" w:eastAsiaTheme="minorHAnsi" w:hAnsi="Arial" w:cs="Arial"/>
          <w:sz w:val="22"/>
          <w:szCs w:val="22"/>
          <w:lang w:eastAsia="en-US"/>
        </w:rPr>
        <w:t xml:space="preserve"> deben aplicar los criterios de desempate de </w:t>
      </w:r>
      <w:r w:rsidR="006B722F" w:rsidRPr="00B93138">
        <w:rPr>
          <w:rFonts w:ascii="Arial" w:eastAsiaTheme="minorHAnsi" w:hAnsi="Arial" w:cs="Arial"/>
          <w:sz w:val="22"/>
          <w:szCs w:val="22"/>
          <w:lang w:eastAsia="en-US"/>
        </w:rPr>
        <w:t xml:space="preserve">esta </w:t>
      </w:r>
      <w:r w:rsidR="003821F1" w:rsidRPr="00B93138">
        <w:rPr>
          <w:rFonts w:ascii="Arial" w:eastAsiaTheme="minorHAnsi" w:hAnsi="Arial" w:cs="Arial"/>
          <w:sz w:val="22"/>
          <w:szCs w:val="22"/>
          <w:lang w:eastAsia="en-US"/>
        </w:rPr>
        <w:t>norma, lo cual</w:t>
      </w:r>
      <w:r w:rsidR="00C37BD9" w:rsidRPr="00B93138">
        <w:rPr>
          <w:rFonts w:ascii="Arial" w:eastAsiaTheme="minorHAnsi" w:hAnsi="Arial" w:cs="Arial"/>
          <w:sz w:val="22"/>
          <w:szCs w:val="22"/>
          <w:lang w:eastAsia="en-US"/>
        </w:rPr>
        <w:t xml:space="preserve"> aplica a</w:t>
      </w:r>
      <w:r w:rsidR="00B97B5E" w:rsidRPr="00B93138">
        <w:rPr>
          <w:rFonts w:ascii="Arial" w:eastAsiaTheme="minorHAnsi" w:hAnsi="Arial" w:cs="Arial"/>
          <w:sz w:val="22"/>
          <w:szCs w:val="22"/>
          <w:lang w:eastAsia="en-US"/>
        </w:rPr>
        <w:t xml:space="preserve"> los</w:t>
      </w:r>
      <w:r w:rsidR="00C37BD9" w:rsidRPr="00B93138">
        <w:rPr>
          <w:rFonts w:ascii="Arial" w:eastAsiaTheme="minorHAnsi" w:hAnsi="Arial" w:cs="Arial"/>
          <w:sz w:val="22"/>
          <w:szCs w:val="22"/>
          <w:lang w:eastAsia="en-US"/>
        </w:rPr>
        <w:t xml:space="preserve"> procedimiento</w:t>
      </w:r>
      <w:r w:rsidR="00B97B5E" w:rsidRPr="00B93138">
        <w:rPr>
          <w:rFonts w:ascii="Arial" w:eastAsiaTheme="minorHAnsi" w:hAnsi="Arial" w:cs="Arial"/>
          <w:sz w:val="22"/>
          <w:szCs w:val="22"/>
          <w:lang w:eastAsia="en-US"/>
        </w:rPr>
        <w:t>s de subasta inversa y</w:t>
      </w:r>
      <w:r w:rsidR="00C37BD9" w:rsidRPr="00B93138">
        <w:rPr>
          <w:rFonts w:ascii="Arial" w:eastAsiaTheme="minorHAnsi" w:hAnsi="Arial" w:cs="Arial"/>
          <w:sz w:val="22"/>
          <w:szCs w:val="22"/>
          <w:lang w:eastAsia="en-US"/>
        </w:rPr>
        <w:t xml:space="preserve"> de mínima cuantía. </w:t>
      </w:r>
      <w:r w:rsidR="00495553" w:rsidRPr="00B93138">
        <w:rPr>
          <w:rFonts w:ascii="Arial" w:eastAsiaTheme="minorHAnsi" w:hAnsi="Arial" w:cs="Arial"/>
          <w:sz w:val="22"/>
          <w:szCs w:val="22"/>
          <w:lang w:eastAsia="en-US"/>
        </w:rPr>
        <w:t>Conforme al</w:t>
      </w:r>
      <w:r w:rsidR="00C37BD9" w:rsidRPr="00B93138">
        <w:rPr>
          <w:rFonts w:ascii="Arial" w:eastAsiaTheme="minorHAnsi" w:hAnsi="Arial" w:cs="Arial"/>
          <w:sz w:val="22"/>
          <w:szCs w:val="22"/>
          <w:lang w:eastAsia="en-US"/>
        </w:rPr>
        <w:t xml:space="preserve"> ámbito de aplicación, </w:t>
      </w:r>
      <w:r w:rsidR="005474DA" w:rsidRPr="00B93138">
        <w:rPr>
          <w:rFonts w:ascii="Arial" w:eastAsiaTheme="minorHAnsi" w:hAnsi="Arial" w:cs="Arial"/>
          <w:sz w:val="22"/>
          <w:szCs w:val="22"/>
          <w:lang w:eastAsia="en-US"/>
        </w:rPr>
        <w:t>la regulación de</w:t>
      </w:r>
      <w:r w:rsidR="003D2E69" w:rsidRPr="00B93138">
        <w:rPr>
          <w:rFonts w:ascii="Arial" w:eastAsiaTheme="minorHAnsi" w:hAnsi="Arial" w:cs="Arial"/>
          <w:sz w:val="22"/>
          <w:szCs w:val="22"/>
          <w:lang w:eastAsia="en-US"/>
        </w:rPr>
        <w:t>l tema en la Ley de Emprendimiento</w:t>
      </w:r>
      <w:r w:rsidR="00C37BD9" w:rsidRPr="00B93138">
        <w:rPr>
          <w:rFonts w:ascii="Arial" w:eastAsiaTheme="minorHAnsi" w:hAnsi="Arial" w:cs="Arial"/>
          <w:sz w:val="22"/>
          <w:szCs w:val="22"/>
          <w:lang w:eastAsia="en-US"/>
        </w:rPr>
        <w:t xml:space="preserve"> ha generado la derogatoria y decaimiento </w:t>
      </w:r>
      <w:r w:rsidR="005357FA" w:rsidRPr="00B93138">
        <w:rPr>
          <w:rFonts w:ascii="Arial" w:eastAsiaTheme="minorHAnsi" w:hAnsi="Arial" w:cs="Arial"/>
          <w:sz w:val="22"/>
          <w:szCs w:val="22"/>
          <w:lang w:eastAsia="en-US"/>
        </w:rPr>
        <w:t>del numeral</w:t>
      </w:r>
      <w:r w:rsidR="00B97B5E" w:rsidRPr="00B93138">
        <w:rPr>
          <w:rFonts w:ascii="Arial" w:eastAsiaTheme="minorHAnsi" w:hAnsi="Arial" w:cs="Arial"/>
          <w:sz w:val="22"/>
          <w:szCs w:val="22"/>
          <w:lang w:eastAsia="en-US"/>
        </w:rPr>
        <w:t xml:space="preserve"> </w:t>
      </w:r>
      <w:r w:rsidR="005357FA" w:rsidRPr="00B93138">
        <w:rPr>
          <w:rFonts w:ascii="Arial" w:eastAsiaTheme="minorHAnsi" w:hAnsi="Arial" w:cs="Arial"/>
          <w:sz w:val="22"/>
          <w:szCs w:val="22"/>
          <w:lang w:eastAsia="en-US"/>
        </w:rPr>
        <w:t>7 del artículo</w:t>
      </w:r>
      <w:r w:rsidR="002A725A" w:rsidRPr="00B93138">
        <w:rPr>
          <w:rFonts w:ascii="Arial" w:eastAsiaTheme="minorHAnsi" w:hAnsi="Arial" w:cs="Arial"/>
          <w:sz w:val="22"/>
          <w:szCs w:val="22"/>
          <w:lang w:eastAsia="en-US"/>
        </w:rPr>
        <w:t xml:space="preserve"> </w:t>
      </w:r>
      <w:r w:rsidR="002A725A" w:rsidRPr="00B93138">
        <w:rPr>
          <w:rFonts w:ascii="Arial" w:eastAsia="Calibri" w:hAnsi="Arial" w:cs="Arial"/>
          <w:sz w:val="22"/>
          <w:szCs w:val="22"/>
          <w:lang w:val="es-ES_tradnl"/>
        </w:rPr>
        <w:t>2.2.1.2.1.5.2</w:t>
      </w:r>
      <w:r w:rsidR="00463B3C" w:rsidRPr="00B93138">
        <w:rPr>
          <w:rFonts w:ascii="Arial" w:eastAsia="Calibri" w:hAnsi="Arial" w:cs="Arial"/>
          <w:sz w:val="22"/>
          <w:szCs w:val="22"/>
          <w:lang w:val="es-ES_tradnl"/>
        </w:rPr>
        <w:t xml:space="preserve"> del Decreto 1082 de 2015</w:t>
      </w:r>
      <w:r w:rsidR="00127278" w:rsidRPr="00B93138">
        <w:rPr>
          <w:rFonts w:ascii="Arial" w:eastAsia="Calibri" w:hAnsi="Arial" w:cs="Arial"/>
          <w:sz w:val="22"/>
          <w:szCs w:val="22"/>
          <w:lang w:val="es-ES_tradnl"/>
        </w:rPr>
        <w:t>.</w:t>
      </w:r>
      <w:r w:rsidR="00E47EFD" w:rsidRPr="00B93138">
        <w:rPr>
          <w:rFonts w:ascii="Arial" w:eastAsia="Calibri" w:hAnsi="Arial" w:cs="Arial"/>
          <w:sz w:val="22"/>
          <w:szCs w:val="22"/>
          <w:lang w:val="es-ES_tradnl"/>
        </w:rPr>
        <w:t xml:space="preserve"> Esto</w:t>
      </w:r>
      <w:r w:rsidR="0067645B" w:rsidRPr="00B93138">
        <w:rPr>
          <w:rFonts w:ascii="Arial" w:eastAsia="Calibri" w:hAnsi="Arial" w:cs="Arial"/>
          <w:sz w:val="22"/>
          <w:szCs w:val="22"/>
          <w:lang w:val="es-ES_tradnl"/>
        </w:rPr>
        <w:t xml:space="preserve"> significa que</w:t>
      </w:r>
      <w:r w:rsidR="00EC1F36" w:rsidRPr="00B93138">
        <w:rPr>
          <w:rFonts w:ascii="Arial" w:eastAsia="Calibri" w:hAnsi="Arial" w:cs="Arial"/>
          <w:sz w:val="22"/>
          <w:szCs w:val="22"/>
          <w:lang w:val="es-ES_tradnl"/>
        </w:rPr>
        <w:t>, con excepción de</w:t>
      </w:r>
      <w:r w:rsidR="00BE771A" w:rsidRPr="00B93138">
        <w:rPr>
          <w:rFonts w:ascii="Arial" w:eastAsia="Calibri" w:hAnsi="Arial" w:cs="Arial"/>
          <w:sz w:val="22"/>
          <w:szCs w:val="22"/>
          <w:lang w:val="es-ES_tradnl"/>
        </w:rPr>
        <w:t>l</w:t>
      </w:r>
      <w:r w:rsidR="00EC1F36" w:rsidRPr="00B93138">
        <w:rPr>
          <w:rFonts w:ascii="Arial" w:eastAsia="Calibri" w:hAnsi="Arial" w:cs="Arial"/>
          <w:sz w:val="22"/>
          <w:szCs w:val="22"/>
          <w:lang w:val="es-ES_tradnl"/>
        </w:rPr>
        <w:t xml:space="preserve"> numeral citado,</w:t>
      </w:r>
      <w:r w:rsidR="003D2E69" w:rsidRPr="00B93138">
        <w:rPr>
          <w:rFonts w:ascii="Arial" w:eastAsia="Calibri" w:hAnsi="Arial" w:cs="Arial"/>
          <w:sz w:val="22"/>
          <w:szCs w:val="22"/>
          <w:lang w:val="es-ES_tradnl"/>
        </w:rPr>
        <w:t xml:space="preserve"> es posible</w:t>
      </w:r>
      <w:r w:rsidR="00303629" w:rsidRPr="00B93138">
        <w:rPr>
          <w:rFonts w:ascii="Arial" w:eastAsia="Calibri" w:hAnsi="Arial" w:cs="Arial"/>
          <w:sz w:val="22"/>
          <w:szCs w:val="22"/>
          <w:lang w:val="es-ES_tradnl"/>
        </w:rPr>
        <w:t xml:space="preserve"> adelantar procesos de selección</w:t>
      </w:r>
      <w:r w:rsidR="00343B9E" w:rsidRPr="00B93138">
        <w:rPr>
          <w:rFonts w:ascii="Arial" w:eastAsia="Calibri" w:hAnsi="Arial" w:cs="Arial"/>
          <w:sz w:val="22"/>
          <w:szCs w:val="22"/>
          <w:lang w:val="es-ES_tradnl"/>
        </w:rPr>
        <w:t xml:space="preserve"> mediante en la modalidad </w:t>
      </w:r>
      <w:r w:rsidR="008414F0" w:rsidRPr="00B93138">
        <w:rPr>
          <w:rFonts w:ascii="Arial" w:eastAsia="Calibri" w:hAnsi="Arial" w:cs="Arial"/>
          <w:sz w:val="22"/>
          <w:szCs w:val="22"/>
          <w:lang w:val="es-ES_tradnl"/>
        </w:rPr>
        <w:t xml:space="preserve">de </w:t>
      </w:r>
      <w:r w:rsidR="008414F0" w:rsidRPr="00B93138">
        <w:rPr>
          <w:rFonts w:ascii="Arial" w:eastAsia="Calibri" w:hAnsi="Arial" w:cs="Arial"/>
          <w:sz w:val="22"/>
          <w:szCs w:val="22"/>
          <w:lang w:val="es-ES_tradnl"/>
        </w:rPr>
        <w:lastRenderedPageBreak/>
        <w:t>mínima</w:t>
      </w:r>
      <w:r w:rsidR="00E32279" w:rsidRPr="00B93138">
        <w:rPr>
          <w:rFonts w:ascii="Arial" w:eastAsia="Calibri" w:hAnsi="Arial" w:cs="Arial"/>
          <w:sz w:val="22"/>
          <w:szCs w:val="22"/>
          <w:lang w:val="es-ES_tradnl"/>
        </w:rPr>
        <w:t xml:space="preserve"> cuantía</w:t>
      </w:r>
      <w:r w:rsidR="00343B9E" w:rsidRPr="00B93138">
        <w:rPr>
          <w:rFonts w:ascii="Arial" w:eastAsia="Calibri" w:hAnsi="Arial" w:cs="Arial"/>
          <w:sz w:val="22"/>
          <w:szCs w:val="22"/>
          <w:lang w:val="es-ES_tradnl"/>
        </w:rPr>
        <w:t>,</w:t>
      </w:r>
      <w:r w:rsidR="00E31FCF" w:rsidRPr="00B93138">
        <w:rPr>
          <w:rFonts w:ascii="Arial" w:eastAsia="Calibri" w:hAnsi="Arial" w:cs="Arial"/>
          <w:sz w:val="22"/>
          <w:szCs w:val="22"/>
          <w:lang w:val="es-ES_tradnl"/>
        </w:rPr>
        <w:t xml:space="preserve"> </w:t>
      </w:r>
      <w:r w:rsidR="00343B9E" w:rsidRPr="00B93138">
        <w:rPr>
          <w:rFonts w:ascii="Arial" w:eastAsia="Calibri" w:hAnsi="Arial" w:cs="Arial"/>
          <w:sz w:val="22"/>
          <w:szCs w:val="22"/>
          <w:lang w:val="es-ES_tradnl"/>
        </w:rPr>
        <w:t xml:space="preserve">siguiendo </w:t>
      </w:r>
      <w:r w:rsidR="004A650B" w:rsidRPr="00B93138">
        <w:rPr>
          <w:rFonts w:ascii="Arial" w:eastAsia="Calibri" w:hAnsi="Arial" w:cs="Arial"/>
          <w:sz w:val="22"/>
          <w:szCs w:val="22"/>
          <w:lang w:val="es-ES_tradnl"/>
        </w:rPr>
        <w:t>e</w:t>
      </w:r>
      <w:r w:rsidR="00343B9E" w:rsidRPr="00B93138">
        <w:rPr>
          <w:rFonts w:ascii="Arial" w:eastAsia="Calibri" w:hAnsi="Arial" w:cs="Arial"/>
          <w:sz w:val="22"/>
          <w:szCs w:val="22"/>
          <w:lang w:val="es-ES_tradnl"/>
        </w:rPr>
        <w:t>l</w:t>
      </w:r>
      <w:r w:rsidR="00E32279" w:rsidRPr="00B93138">
        <w:rPr>
          <w:rFonts w:ascii="Arial" w:eastAsia="Calibri" w:hAnsi="Arial" w:cs="Arial"/>
          <w:sz w:val="22"/>
          <w:szCs w:val="22"/>
          <w:lang w:val="es-ES_tradnl"/>
        </w:rPr>
        <w:t xml:space="preserve"> procedimiento</w:t>
      </w:r>
      <w:r w:rsidR="00343B9E" w:rsidRPr="00B93138">
        <w:rPr>
          <w:rFonts w:ascii="Arial" w:eastAsia="Calibri" w:hAnsi="Arial" w:cs="Arial"/>
          <w:sz w:val="22"/>
          <w:szCs w:val="22"/>
          <w:lang w:val="es-ES_tradnl"/>
        </w:rPr>
        <w:t xml:space="preserve"> d</w:t>
      </w:r>
      <w:r w:rsidR="00097089" w:rsidRPr="00B93138">
        <w:rPr>
          <w:rFonts w:ascii="Arial" w:eastAsia="Calibri" w:hAnsi="Arial" w:cs="Arial"/>
          <w:sz w:val="22"/>
          <w:szCs w:val="22"/>
          <w:lang w:val="es-ES_tradnl"/>
        </w:rPr>
        <w:t>el</w:t>
      </w:r>
      <w:r w:rsidR="00343B9E" w:rsidRPr="00B93138">
        <w:rPr>
          <w:rFonts w:ascii="Arial" w:eastAsia="Calibri" w:hAnsi="Arial" w:cs="Arial"/>
          <w:sz w:val="22"/>
          <w:szCs w:val="22"/>
          <w:lang w:val="es-ES_tradnl"/>
        </w:rPr>
        <w:t xml:space="preserve"> artículo</w:t>
      </w:r>
      <w:r w:rsidR="00652E9C" w:rsidRPr="00B93138">
        <w:rPr>
          <w:rFonts w:ascii="Arial" w:eastAsia="Calibri" w:hAnsi="Arial" w:cs="Arial"/>
          <w:sz w:val="22"/>
          <w:szCs w:val="22"/>
          <w:lang w:val="es-ES_tradnl"/>
        </w:rPr>
        <w:t xml:space="preserve"> </w:t>
      </w:r>
      <w:r w:rsidR="00343B9E" w:rsidRPr="00B93138">
        <w:rPr>
          <w:rFonts w:ascii="Arial" w:eastAsia="Calibri" w:hAnsi="Arial" w:cs="Arial"/>
          <w:sz w:val="22"/>
          <w:szCs w:val="22"/>
          <w:lang w:val="es-ES_tradnl"/>
        </w:rPr>
        <w:t>2.2.1.2.1.5.2</w:t>
      </w:r>
      <w:r w:rsidR="009B48F8" w:rsidRPr="00B93138">
        <w:rPr>
          <w:rFonts w:ascii="Arial" w:eastAsia="Calibri" w:hAnsi="Arial" w:cs="Arial"/>
          <w:sz w:val="22"/>
          <w:szCs w:val="22"/>
          <w:lang w:val="es-ES_tradnl"/>
        </w:rPr>
        <w:t xml:space="preserve">, </w:t>
      </w:r>
      <w:r w:rsidR="00E31FCF" w:rsidRPr="00B93138">
        <w:rPr>
          <w:rFonts w:ascii="Arial" w:eastAsia="Calibri" w:hAnsi="Arial" w:cs="Arial"/>
          <w:sz w:val="22"/>
          <w:szCs w:val="22"/>
          <w:lang w:val="es-ES_tradnl"/>
        </w:rPr>
        <w:t>para lo</w:t>
      </w:r>
      <w:r w:rsidR="009B48F8" w:rsidRPr="00B93138">
        <w:rPr>
          <w:rFonts w:ascii="Arial" w:eastAsia="Calibri" w:hAnsi="Arial" w:cs="Arial"/>
          <w:sz w:val="22"/>
          <w:szCs w:val="22"/>
          <w:lang w:val="es-ES_tradnl"/>
        </w:rPr>
        <w:t xml:space="preserve"> cual </w:t>
      </w:r>
      <w:r w:rsidR="00E31FCF" w:rsidRPr="00B93138">
        <w:rPr>
          <w:rFonts w:ascii="Arial" w:eastAsia="Calibri" w:hAnsi="Arial" w:cs="Arial"/>
          <w:sz w:val="22"/>
          <w:szCs w:val="22"/>
          <w:lang w:val="es-ES_tradnl"/>
        </w:rPr>
        <w:t xml:space="preserve">–en caso de empate– </w:t>
      </w:r>
      <w:r w:rsidR="009B48F8" w:rsidRPr="00B93138">
        <w:rPr>
          <w:rFonts w:ascii="Arial" w:eastAsia="Calibri" w:hAnsi="Arial" w:cs="Arial"/>
          <w:sz w:val="22"/>
          <w:szCs w:val="22"/>
          <w:lang w:val="es-ES_tradnl"/>
        </w:rPr>
        <w:t>debe</w:t>
      </w:r>
      <w:r w:rsidR="00343B9E" w:rsidRPr="00B93138">
        <w:rPr>
          <w:rFonts w:ascii="Arial" w:eastAsia="Calibri" w:hAnsi="Arial" w:cs="Arial"/>
          <w:sz w:val="22"/>
          <w:szCs w:val="22"/>
          <w:lang w:val="es-ES_tradnl"/>
        </w:rPr>
        <w:t>rá</w:t>
      </w:r>
      <w:r w:rsidR="009B48F8" w:rsidRPr="00B93138">
        <w:rPr>
          <w:rFonts w:ascii="Arial" w:eastAsia="Calibri" w:hAnsi="Arial" w:cs="Arial"/>
          <w:sz w:val="22"/>
          <w:szCs w:val="22"/>
          <w:lang w:val="es-ES_tradnl"/>
        </w:rPr>
        <w:t xml:space="preserve"> aplicar</w:t>
      </w:r>
      <w:r w:rsidR="008D3FFE" w:rsidRPr="00B93138">
        <w:rPr>
          <w:rFonts w:ascii="Arial" w:eastAsia="Calibri" w:hAnsi="Arial" w:cs="Arial"/>
          <w:sz w:val="22"/>
          <w:szCs w:val="22"/>
          <w:lang w:val="es-ES_tradnl"/>
        </w:rPr>
        <w:t>se</w:t>
      </w:r>
      <w:r w:rsidR="009B48F8" w:rsidRPr="00B93138">
        <w:rPr>
          <w:rFonts w:ascii="Arial" w:eastAsia="Calibri" w:hAnsi="Arial" w:cs="Arial"/>
          <w:sz w:val="22"/>
          <w:szCs w:val="22"/>
          <w:lang w:val="es-ES_tradnl"/>
        </w:rPr>
        <w:t xml:space="preserve"> el artículo 35 de la Ley 2069 de 2020</w:t>
      </w:r>
      <w:r w:rsidR="00F5293D" w:rsidRPr="00B93138">
        <w:rPr>
          <w:rFonts w:ascii="Arial" w:eastAsia="Calibri" w:hAnsi="Arial" w:cs="Arial"/>
          <w:sz w:val="22"/>
          <w:szCs w:val="22"/>
          <w:lang w:val="es-ES_tradnl"/>
        </w:rPr>
        <w:t>.</w:t>
      </w:r>
    </w:p>
    <w:p w14:paraId="4E673C3B" w14:textId="634A45BE" w:rsidR="007E7E0E" w:rsidRPr="00B93138" w:rsidRDefault="00127278" w:rsidP="00522759">
      <w:pPr>
        <w:tabs>
          <w:tab w:val="left" w:pos="0"/>
        </w:tabs>
        <w:spacing w:after="120" w:line="276" w:lineRule="auto"/>
        <w:jc w:val="both"/>
        <w:rPr>
          <w:rFonts w:ascii="Arial" w:eastAsia="Calibri" w:hAnsi="Arial" w:cs="Arial"/>
          <w:bCs/>
          <w:sz w:val="22"/>
          <w:szCs w:val="22"/>
        </w:rPr>
      </w:pPr>
      <w:r w:rsidRPr="00B93138">
        <w:rPr>
          <w:rFonts w:ascii="Arial" w:eastAsia="Calibri" w:hAnsi="Arial" w:cs="Arial"/>
          <w:sz w:val="22"/>
          <w:szCs w:val="22"/>
          <w:lang w:val="es-ES_tradnl"/>
        </w:rPr>
        <w:tab/>
      </w:r>
      <w:r w:rsidR="00343B9E" w:rsidRPr="00B93138">
        <w:rPr>
          <w:rFonts w:ascii="Arial" w:eastAsia="Calibri" w:hAnsi="Arial" w:cs="Arial"/>
          <w:sz w:val="22"/>
          <w:szCs w:val="22"/>
          <w:lang w:val="es-ES_tradnl"/>
        </w:rPr>
        <w:t xml:space="preserve">El hecho de que en </w:t>
      </w:r>
      <w:r w:rsidR="00F5293D" w:rsidRPr="00B93138">
        <w:rPr>
          <w:rFonts w:ascii="Arial" w:eastAsia="Calibri" w:hAnsi="Arial" w:cs="Arial"/>
          <w:sz w:val="22"/>
          <w:szCs w:val="22"/>
          <w:lang w:val="es-ES_tradnl"/>
        </w:rPr>
        <w:t>este</w:t>
      </w:r>
      <w:r w:rsidR="00343B9E" w:rsidRPr="00B93138">
        <w:rPr>
          <w:rFonts w:ascii="Arial" w:eastAsia="Calibri" w:hAnsi="Arial" w:cs="Arial"/>
          <w:sz w:val="22"/>
          <w:szCs w:val="22"/>
          <w:lang w:val="es-ES_tradnl"/>
        </w:rPr>
        <w:t xml:space="preserve"> procedimiento la determinación de la oferta más favorable no esté mediada por el uso de «puntaje»</w:t>
      </w:r>
      <w:r w:rsidR="00522759" w:rsidRPr="00B93138">
        <w:rPr>
          <w:rFonts w:ascii="Arial" w:eastAsia="Calibri" w:hAnsi="Arial" w:cs="Arial"/>
          <w:sz w:val="22"/>
          <w:szCs w:val="22"/>
          <w:lang w:val="es-ES_tradnl"/>
        </w:rPr>
        <w:t>, y que el artículo 35 de la Ley 2069 de 2020 sea aplicable en «</w:t>
      </w:r>
      <w:r w:rsidR="00522759" w:rsidRPr="00B93138">
        <w:rPr>
          <w:rFonts w:ascii="Arial" w:hAnsi="Arial" w:cs="Arial"/>
          <w:sz w:val="22"/>
          <w:szCs w:val="22"/>
        </w:rPr>
        <w:t>[..] caso de empate en el puntaje total de dos o más ofertas […]»,</w:t>
      </w:r>
      <w:r w:rsidR="00522759" w:rsidRPr="00B93138">
        <w:rPr>
          <w:rFonts w:ascii="Arial" w:eastAsia="Calibri" w:hAnsi="Arial" w:cs="Arial"/>
          <w:sz w:val="22"/>
          <w:szCs w:val="22"/>
          <w:lang w:val="es-ES_tradnl"/>
        </w:rPr>
        <w:t xml:space="preserve"> no significa </w:t>
      </w:r>
      <w:r w:rsidR="007C04BD" w:rsidRPr="00B93138">
        <w:rPr>
          <w:rFonts w:ascii="Arial" w:eastAsia="Calibri" w:hAnsi="Arial" w:cs="Arial"/>
          <w:sz w:val="22"/>
          <w:szCs w:val="22"/>
          <w:lang w:val="es-ES_tradnl"/>
        </w:rPr>
        <w:t>la inaplicación de</w:t>
      </w:r>
      <w:r w:rsidR="00522759" w:rsidRPr="00B93138">
        <w:rPr>
          <w:rFonts w:ascii="Arial" w:eastAsia="Calibri" w:hAnsi="Arial" w:cs="Arial"/>
          <w:sz w:val="22"/>
          <w:szCs w:val="22"/>
          <w:lang w:val="es-ES_tradnl"/>
        </w:rPr>
        <w:t xml:space="preserve"> dicha noma</w:t>
      </w:r>
      <w:r w:rsidR="00E92C2D" w:rsidRPr="00B93138">
        <w:rPr>
          <w:rFonts w:ascii="Arial" w:eastAsia="Calibri" w:hAnsi="Arial" w:cs="Arial"/>
          <w:bCs/>
          <w:sz w:val="22"/>
          <w:szCs w:val="22"/>
        </w:rPr>
        <w:t>.</w:t>
      </w:r>
      <w:r w:rsidR="00522759" w:rsidRPr="00B93138">
        <w:rPr>
          <w:rFonts w:ascii="Arial" w:eastAsia="Calibri" w:hAnsi="Arial" w:cs="Arial"/>
          <w:bCs/>
          <w:sz w:val="22"/>
          <w:szCs w:val="22"/>
        </w:rPr>
        <w:t xml:space="preserve"> </w:t>
      </w:r>
      <w:r w:rsidR="00522759" w:rsidRPr="00B93138">
        <w:rPr>
          <w:rFonts w:ascii="Arial" w:eastAsia="Calibri" w:hAnsi="Arial" w:cs="Arial"/>
          <w:sz w:val="22"/>
          <w:szCs w:val="22"/>
          <w:lang w:val="es-ES_tradnl"/>
        </w:rPr>
        <w:t xml:space="preserve">Esto </w:t>
      </w:r>
      <w:r w:rsidR="00DA4265" w:rsidRPr="00B93138">
        <w:rPr>
          <w:rFonts w:ascii="Arial" w:eastAsia="Calibri" w:hAnsi="Arial" w:cs="Arial"/>
          <w:sz w:val="22"/>
          <w:szCs w:val="22"/>
          <w:lang w:val="es-ES_tradnl"/>
        </w:rPr>
        <w:t xml:space="preserve">dado </w:t>
      </w:r>
      <w:r w:rsidR="00522759" w:rsidRPr="00B93138">
        <w:rPr>
          <w:rFonts w:ascii="Arial" w:eastAsia="Calibri" w:hAnsi="Arial" w:cs="Arial"/>
          <w:sz w:val="22"/>
          <w:szCs w:val="22"/>
          <w:lang w:val="es-ES_tradnl"/>
        </w:rPr>
        <w:t>que una interpretación exegética del artículo 35, según la cual este solo es aplicable en los procedimientos en los que se use el «puntaje» como mecanismo de evaluación,</w:t>
      </w:r>
      <w:r w:rsidR="004076A7" w:rsidRPr="00B93138">
        <w:rPr>
          <w:rFonts w:ascii="Arial" w:eastAsia="Calibri" w:hAnsi="Arial" w:cs="Arial"/>
          <w:sz w:val="22"/>
          <w:szCs w:val="22"/>
          <w:lang w:val="es-ES_tradnl"/>
        </w:rPr>
        <w:t xml:space="preserve"> </w:t>
      </w:r>
      <w:r w:rsidR="006333F8" w:rsidRPr="00B93138">
        <w:rPr>
          <w:rFonts w:ascii="Arial" w:eastAsia="Calibri" w:hAnsi="Arial" w:cs="Arial"/>
          <w:sz w:val="22"/>
          <w:szCs w:val="22"/>
          <w:lang w:val="es-ES_tradnl"/>
        </w:rPr>
        <w:t xml:space="preserve">no corresponde con la finalidad transversal de </w:t>
      </w:r>
      <w:r w:rsidR="00EB6A67" w:rsidRPr="00B93138">
        <w:rPr>
          <w:rFonts w:ascii="Arial" w:eastAsia="Calibri" w:hAnsi="Arial" w:cs="Arial"/>
          <w:sz w:val="22"/>
          <w:szCs w:val="22"/>
          <w:lang w:val="es-ES_tradnl"/>
        </w:rPr>
        <w:t xml:space="preserve">la </w:t>
      </w:r>
      <w:r w:rsidR="00522759" w:rsidRPr="00B93138">
        <w:rPr>
          <w:rFonts w:ascii="Arial" w:eastAsia="Calibri" w:hAnsi="Arial" w:cs="Arial"/>
          <w:sz w:val="22"/>
          <w:szCs w:val="22"/>
          <w:lang w:val="es-ES_tradnl"/>
        </w:rPr>
        <w:t>no</w:t>
      </w:r>
      <w:r w:rsidR="0071626B">
        <w:rPr>
          <w:rFonts w:ascii="Arial" w:eastAsia="Calibri" w:hAnsi="Arial" w:cs="Arial"/>
          <w:sz w:val="22"/>
          <w:szCs w:val="22"/>
          <w:lang w:val="es-ES_tradnl"/>
        </w:rPr>
        <w:t>r</w:t>
      </w:r>
      <w:r w:rsidR="00522759" w:rsidRPr="00B93138">
        <w:rPr>
          <w:rFonts w:ascii="Arial" w:eastAsia="Calibri" w:hAnsi="Arial" w:cs="Arial"/>
          <w:sz w:val="22"/>
          <w:szCs w:val="22"/>
          <w:lang w:val="es-ES_tradnl"/>
        </w:rPr>
        <w:t>ma</w:t>
      </w:r>
      <w:r w:rsidR="007C04BD" w:rsidRPr="00B93138">
        <w:rPr>
          <w:rFonts w:ascii="Arial" w:eastAsia="Calibri" w:hAnsi="Arial" w:cs="Arial"/>
          <w:sz w:val="22"/>
          <w:szCs w:val="22"/>
          <w:lang w:val="es-ES_tradnl"/>
        </w:rPr>
        <w:t>, puesto</w:t>
      </w:r>
      <w:r w:rsidR="00F60CFE" w:rsidRPr="00B93138">
        <w:rPr>
          <w:rFonts w:ascii="Arial" w:eastAsia="Calibri" w:hAnsi="Arial" w:cs="Arial"/>
          <w:sz w:val="22"/>
          <w:szCs w:val="22"/>
          <w:lang w:val="es-ES_tradnl"/>
        </w:rPr>
        <w:t xml:space="preserve"> que</w:t>
      </w:r>
      <w:r w:rsidR="007D1774" w:rsidRPr="00B93138">
        <w:rPr>
          <w:rFonts w:ascii="Arial" w:eastAsia="Calibri" w:hAnsi="Arial" w:cs="Arial"/>
          <w:sz w:val="22"/>
          <w:szCs w:val="22"/>
          <w:lang w:val="es-ES_tradnl"/>
        </w:rPr>
        <w:t xml:space="preserve"> </w:t>
      </w:r>
      <w:r w:rsidR="00225CDE" w:rsidRPr="00B93138">
        <w:rPr>
          <w:rFonts w:ascii="Arial" w:eastAsia="Calibri" w:hAnsi="Arial" w:cs="Arial"/>
          <w:sz w:val="22"/>
          <w:szCs w:val="22"/>
          <w:lang w:val="es-ES_tradnl"/>
        </w:rPr>
        <w:t>los factores de desempate de la Ley de Emprendimiento</w:t>
      </w:r>
      <w:r w:rsidR="00BB2FC4" w:rsidRPr="00B93138">
        <w:rPr>
          <w:rFonts w:ascii="Arial" w:eastAsia="Calibri" w:hAnsi="Arial" w:cs="Arial"/>
          <w:sz w:val="22"/>
          <w:szCs w:val="22"/>
          <w:lang w:val="es-ES_tradnl"/>
        </w:rPr>
        <w:t xml:space="preserve"> </w:t>
      </w:r>
      <w:r w:rsidR="00F60CFE" w:rsidRPr="00B93138">
        <w:rPr>
          <w:rFonts w:ascii="Arial" w:eastAsia="Calibri" w:hAnsi="Arial" w:cs="Arial"/>
          <w:sz w:val="22"/>
          <w:szCs w:val="22"/>
          <w:lang w:val="es-ES_tradnl"/>
        </w:rPr>
        <w:t>están concebidos para</w:t>
      </w:r>
      <w:r w:rsidR="002649F3" w:rsidRPr="00B93138">
        <w:rPr>
          <w:rFonts w:ascii="Arial" w:eastAsia="Calibri" w:hAnsi="Arial" w:cs="Arial"/>
          <w:sz w:val="22"/>
          <w:szCs w:val="22"/>
          <w:lang w:val="es-ES_tradnl"/>
        </w:rPr>
        <w:t xml:space="preserve"> </w:t>
      </w:r>
      <w:r w:rsidR="002649F3" w:rsidRPr="00B93138">
        <w:rPr>
          <w:rFonts w:ascii="Arial" w:eastAsia="Calibri" w:hAnsi="Arial" w:cs="Arial"/>
          <w:bCs/>
          <w:sz w:val="22"/>
          <w:szCs w:val="22"/>
        </w:rPr>
        <w:t>«[…]</w:t>
      </w:r>
      <w:r w:rsidR="002649F3" w:rsidRPr="00B93138">
        <w:rPr>
          <w:rFonts w:ascii="Arial" w:hAnsi="Arial" w:cs="Arial"/>
          <w:sz w:val="22"/>
          <w:szCs w:val="22"/>
        </w:rPr>
        <w:t xml:space="preserve">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w:t>
      </w:r>
      <w:r w:rsidR="00BB12EA" w:rsidRPr="00B93138">
        <w:rPr>
          <w:rFonts w:ascii="Arial" w:hAnsi="Arial" w:cs="Arial"/>
          <w:sz w:val="22"/>
          <w:szCs w:val="22"/>
        </w:rPr>
        <w:t xml:space="preserve"> </w:t>
      </w:r>
      <w:r w:rsidR="002649F3" w:rsidRPr="00B93138">
        <w:rPr>
          <w:rFonts w:ascii="Arial" w:hAnsi="Arial" w:cs="Arial"/>
          <w:sz w:val="22"/>
          <w:szCs w:val="22"/>
        </w:rPr>
        <w:t>[…]</w:t>
      </w:r>
      <w:r w:rsidR="002649F3" w:rsidRPr="00B93138">
        <w:rPr>
          <w:rFonts w:ascii="Arial" w:eastAsia="Calibri" w:hAnsi="Arial" w:cs="Arial"/>
          <w:bCs/>
          <w:sz w:val="22"/>
          <w:szCs w:val="22"/>
        </w:rPr>
        <w:t>»</w:t>
      </w:r>
      <w:r w:rsidR="007D1774" w:rsidRPr="00B93138">
        <w:rPr>
          <w:rFonts w:ascii="Arial" w:eastAsia="Calibri" w:hAnsi="Arial" w:cs="Arial"/>
          <w:bCs/>
          <w:sz w:val="22"/>
          <w:szCs w:val="22"/>
        </w:rPr>
        <w:t>.</w:t>
      </w:r>
    </w:p>
    <w:p w14:paraId="0B672F1C" w14:textId="48201AD4" w:rsidR="00D82C77" w:rsidRPr="00B93138" w:rsidRDefault="00D82C77" w:rsidP="00EB2ED0">
      <w:pPr>
        <w:tabs>
          <w:tab w:val="left" w:pos="0"/>
        </w:tabs>
        <w:spacing w:after="120" w:line="276" w:lineRule="auto"/>
        <w:jc w:val="both"/>
        <w:rPr>
          <w:rFonts w:ascii="Arial" w:eastAsia="Calibri" w:hAnsi="Arial" w:cs="Arial"/>
          <w:bCs/>
          <w:sz w:val="22"/>
          <w:szCs w:val="22"/>
        </w:rPr>
      </w:pPr>
      <w:r w:rsidRPr="00B93138">
        <w:rPr>
          <w:rFonts w:ascii="Arial" w:eastAsia="Calibri" w:hAnsi="Arial" w:cs="Arial"/>
          <w:bCs/>
          <w:sz w:val="22"/>
          <w:szCs w:val="22"/>
        </w:rPr>
        <w:tab/>
      </w:r>
      <w:r w:rsidR="00F60CFE" w:rsidRPr="00B93138">
        <w:rPr>
          <w:rFonts w:ascii="Arial" w:eastAsia="Calibri" w:hAnsi="Arial" w:cs="Arial"/>
          <w:bCs/>
          <w:sz w:val="22"/>
          <w:szCs w:val="22"/>
        </w:rPr>
        <w:t>Por lo anterior</w:t>
      </w:r>
      <w:r w:rsidR="0020797E" w:rsidRPr="00B93138">
        <w:rPr>
          <w:rFonts w:ascii="Arial" w:eastAsia="Calibri" w:hAnsi="Arial" w:cs="Arial"/>
          <w:bCs/>
          <w:sz w:val="22"/>
          <w:szCs w:val="22"/>
        </w:rPr>
        <w:t xml:space="preserve">, se considera que el alcance de la expresión </w:t>
      </w:r>
      <w:r w:rsidR="0020797E" w:rsidRPr="00B93138">
        <w:rPr>
          <w:rFonts w:ascii="Arial" w:eastAsia="Calibri" w:hAnsi="Arial" w:cs="Arial"/>
          <w:bCs/>
          <w:i/>
          <w:iCs/>
          <w:sz w:val="22"/>
          <w:szCs w:val="22"/>
        </w:rPr>
        <w:t xml:space="preserve">puntaje total, </w:t>
      </w:r>
      <w:r w:rsidR="0020797E" w:rsidRPr="00B93138">
        <w:rPr>
          <w:rFonts w:ascii="Arial" w:eastAsia="Calibri" w:hAnsi="Arial" w:cs="Arial"/>
          <w:bCs/>
          <w:sz w:val="22"/>
          <w:szCs w:val="22"/>
        </w:rPr>
        <w:t>contenida en el artículo 35</w:t>
      </w:r>
      <w:r w:rsidR="000E54A9" w:rsidRPr="00B93138">
        <w:rPr>
          <w:rFonts w:ascii="Arial" w:eastAsia="Calibri" w:hAnsi="Arial" w:cs="Arial"/>
          <w:bCs/>
          <w:sz w:val="22"/>
          <w:szCs w:val="22"/>
        </w:rPr>
        <w:t xml:space="preserve"> de la Ley 2069 de 2020, </w:t>
      </w:r>
      <w:r w:rsidR="00091957" w:rsidRPr="00B93138">
        <w:rPr>
          <w:rFonts w:ascii="Arial" w:eastAsia="Calibri" w:hAnsi="Arial" w:cs="Arial"/>
          <w:bCs/>
          <w:sz w:val="22"/>
          <w:szCs w:val="22"/>
        </w:rPr>
        <w:t>debe interpretarse sistemáticamente</w:t>
      </w:r>
      <w:r w:rsidR="00BE7CE9" w:rsidRPr="00B93138">
        <w:rPr>
          <w:rFonts w:ascii="Arial" w:eastAsia="Calibri" w:hAnsi="Arial" w:cs="Arial"/>
          <w:bCs/>
          <w:sz w:val="22"/>
          <w:szCs w:val="22"/>
        </w:rPr>
        <w:t xml:space="preserve">, </w:t>
      </w:r>
      <w:r w:rsidR="00091957" w:rsidRPr="00B93138">
        <w:rPr>
          <w:rFonts w:ascii="Arial" w:eastAsia="Calibri" w:hAnsi="Arial" w:cs="Arial"/>
          <w:bCs/>
          <w:sz w:val="22"/>
          <w:szCs w:val="22"/>
        </w:rPr>
        <w:t>propiciando</w:t>
      </w:r>
      <w:r w:rsidR="00460B4F" w:rsidRPr="00B93138">
        <w:rPr>
          <w:rFonts w:ascii="Arial" w:eastAsia="Calibri" w:hAnsi="Arial" w:cs="Arial"/>
          <w:bCs/>
          <w:sz w:val="22"/>
          <w:szCs w:val="22"/>
        </w:rPr>
        <w:t xml:space="preserve"> u</w:t>
      </w:r>
      <w:r w:rsidR="007E526E" w:rsidRPr="00B93138">
        <w:rPr>
          <w:rFonts w:ascii="Arial" w:eastAsia="Calibri" w:hAnsi="Arial" w:cs="Arial"/>
          <w:bCs/>
          <w:sz w:val="22"/>
          <w:szCs w:val="22"/>
        </w:rPr>
        <w:t xml:space="preserve">na aplicación normativa </w:t>
      </w:r>
      <w:r w:rsidR="00460B4F" w:rsidRPr="00B93138">
        <w:rPr>
          <w:rFonts w:ascii="Arial" w:eastAsia="Calibri" w:hAnsi="Arial" w:cs="Arial"/>
          <w:bCs/>
          <w:sz w:val="22"/>
          <w:szCs w:val="22"/>
        </w:rPr>
        <w:t xml:space="preserve">coherente </w:t>
      </w:r>
      <w:r w:rsidR="000829AE" w:rsidRPr="00B93138">
        <w:rPr>
          <w:rFonts w:ascii="Arial" w:eastAsia="Calibri" w:hAnsi="Arial" w:cs="Arial"/>
          <w:bCs/>
          <w:sz w:val="22"/>
          <w:szCs w:val="22"/>
        </w:rPr>
        <w:t>con</w:t>
      </w:r>
      <w:r w:rsidR="00BE7CE9" w:rsidRPr="00B93138">
        <w:rPr>
          <w:rFonts w:ascii="Arial" w:eastAsia="Calibri" w:hAnsi="Arial" w:cs="Arial"/>
          <w:bCs/>
          <w:sz w:val="22"/>
          <w:szCs w:val="22"/>
        </w:rPr>
        <w:t xml:space="preserve"> otras</w:t>
      </w:r>
      <w:r w:rsidR="000829AE" w:rsidRPr="00B93138">
        <w:rPr>
          <w:rFonts w:ascii="Arial" w:eastAsia="Calibri" w:hAnsi="Arial" w:cs="Arial"/>
          <w:bCs/>
          <w:sz w:val="22"/>
          <w:szCs w:val="22"/>
        </w:rPr>
        <w:t xml:space="preserve"> disposiciones d</w:t>
      </w:r>
      <w:r w:rsidR="00BE7CE9" w:rsidRPr="00B93138">
        <w:rPr>
          <w:rFonts w:ascii="Arial" w:eastAsia="Calibri" w:hAnsi="Arial" w:cs="Arial"/>
          <w:bCs/>
          <w:sz w:val="22"/>
          <w:szCs w:val="22"/>
        </w:rPr>
        <w:t>el sistema de compra pública</w:t>
      </w:r>
      <w:r w:rsidR="00B06530" w:rsidRPr="00B93138">
        <w:rPr>
          <w:rFonts w:ascii="Arial" w:eastAsia="Calibri" w:hAnsi="Arial" w:cs="Arial"/>
          <w:bCs/>
          <w:sz w:val="22"/>
          <w:szCs w:val="22"/>
        </w:rPr>
        <w:t xml:space="preserve"> y</w:t>
      </w:r>
      <w:r w:rsidR="00BB401E" w:rsidRPr="00B93138">
        <w:rPr>
          <w:rFonts w:ascii="Arial" w:eastAsia="Calibri" w:hAnsi="Arial" w:cs="Arial"/>
          <w:bCs/>
          <w:sz w:val="22"/>
          <w:szCs w:val="22"/>
        </w:rPr>
        <w:t xml:space="preserve"> que satisfaga </w:t>
      </w:r>
      <w:r w:rsidR="00185C79" w:rsidRPr="00B93138">
        <w:rPr>
          <w:rFonts w:ascii="Arial" w:eastAsia="Calibri" w:hAnsi="Arial" w:cs="Arial"/>
          <w:bCs/>
          <w:sz w:val="22"/>
          <w:szCs w:val="22"/>
        </w:rPr>
        <w:t xml:space="preserve">la </w:t>
      </w:r>
      <w:r w:rsidR="00BB401E" w:rsidRPr="00B93138">
        <w:rPr>
          <w:rFonts w:ascii="Arial" w:eastAsia="Calibri" w:hAnsi="Arial" w:cs="Arial"/>
          <w:bCs/>
          <w:sz w:val="22"/>
          <w:szCs w:val="22"/>
        </w:rPr>
        <w:t>finalidad transversal</w:t>
      </w:r>
      <w:r w:rsidR="00B06530" w:rsidRPr="00B93138">
        <w:rPr>
          <w:rFonts w:ascii="Arial" w:eastAsia="Calibri" w:hAnsi="Arial" w:cs="Arial"/>
          <w:bCs/>
          <w:sz w:val="22"/>
          <w:szCs w:val="22"/>
        </w:rPr>
        <w:t xml:space="preserve"> de la norma</w:t>
      </w:r>
      <w:r w:rsidR="00BB401E" w:rsidRPr="00B93138">
        <w:rPr>
          <w:rFonts w:ascii="Arial" w:eastAsia="Calibri" w:hAnsi="Arial" w:cs="Arial"/>
          <w:bCs/>
          <w:sz w:val="22"/>
          <w:szCs w:val="22"/>
        </w:rPr>
        <w:t xml:space="preserve">. </w:t>
      </w:r>
      <w:r w:rsidR="00B06530" w:rsidRPr="00B93138">
        <w:rPr>
          <w:rFonts w:ascii="Arial" w:eastAsia="Calibri" w:hAnsi="Arial" w:cs="Arial"/>
          <w:bCs/>
          <w:sz w:val="22"/>
          <w:szCs w:val="22"/>
        </w:rPr>
        <w:t>Con este</w:t>
      </w:r>
      <w:r w:rsidR="00B2306B" w:rsidRPr="00B93138">
        <w:rPr>
          <w:rFonts w:ascii="Arial" w:eastAsia="Calibri" w:hAnsi="Arial" w:cs="Arial"/>
          <w:bCs/>
          <w:sz w:val="22"/>
          <w:szCs w:val="22"/>
        </w:rPr>
        <w:t xml:space="preserve"> propósito, es necesario acudir al artículo 5 de la Ley 1150 de 2007, el cual regula</w:t>
      </w:r>
      <w:r w:rsidR="00AE7388" w:rsidRPr="00B93138">
        <w:rPr>
          <w:rFonts w:ascii="Arial" w:eastAsia="Calibri" w:hAnsi="Arial" w:cs="Arial"/>
          <w:bCs/>
          <w:sz w:val="22"/>
          <w:szCs w:val="22"/>
        </w:rPr>
        <w:t xml:space="preserve"> el deber de selección objetiva</w:t>
      </w:r>
      <w:r w:rsidR="00CE1641" w:rsidRPr="00B93138">
        <w:rPr>
          <w:rFonts w:ascii="Arial" w:eastAsia="Calibri" w:hAnsi="Arial" w:cs="Arial"/>
          <w:bCs/>
          <w:sz w:val="22"/>
          <w:szCs w:val="22"/>
        </w:rPr>
        <w:t>, conforme al cual debe</w:t>
      </w:r>
      <w:r w:rsidR="00185C79" w:rsidRPr="00B93138">
        <w:rPr>
          <w:rFonts w:ascii="Arial" w:eastAsia="Calibri" w:hAnsi="Arial" w:cs="Arial"/>
          <w:bCs/>
          <w:sz w:val="22"/>
          <w:szCs w:val="22"/>
        </w:rPr>
        <w:t xml:space="preserve"> determinarse cu</w:t>
      </w:r>
      <w:r w:rsidR="00CE48E7" w:rsidRPr="00B93138">
        <w:rPr>
          <w:rFonts w:ascii="Arial" w:eastAsia="Calibri" w:hAnsi="Arial" w:cs="Arial"/>
          <w:bCs/>
          <w:sz w:val="22"/>
          <w:szCs w:val="22"/>
        </w:rPr>
        <w:t>á</w:t>
      </w:r>
      <w:r w:rsidR="00185C79" w:rsidRPr="00B93138">
        <w:rPr>
          <w:rFonts w:ascii="Arial" w:eastAsia="Calibri" w:hAnsi="Arial" w:cs="Arial"/>
          <w:bCs/>
          <w:sz w:val="22"/>
          <w:szCs w:val="22"/>
        </w:rPr>
        <w:t>l e</w:t>
      </w:r>
      <w:r w:rsidR="00512BC0" w:rsidRPr="00B93138">
        <w:rPr>
          <w:rFonts w:ascii="Arial" w:eastAsia="Calibri" w:hAnsi="Arial" w:cs="Arial"/>
          <w:bCs/>
          <w:sz w:val="22"/>
          <w:szCs w:val="22"/>
        </w:rPr>
        <w:t>s</w:t>
      </w:r>
      <w:r w:rsidR="00185C79" w:rsidRPr="00B93138">
        <w:rPr>
          <w:rFonts w:ascii="Arial" w:eastAsia="Calibri" w:hAnsi="Arial" w:cs="Arial"/>
          <w:bCs/>
          <w:sz w:val="22"/>
          <w:szCs w:val="22"/>
        </w:rPr>
        <w:t xml:space="preserve"> la oferta más favorable para la entidad y los fines de </w:t>
      </w:r>
      <w:r w:rsidR="00512BC0" w:rsidRPr="00B93138">
        <w:rPr>
          <w:rFonts w:ascii="Arial" w:eastAsia="Calibri" w:hAnsi="Arial" w:cs="Arial"/>
          <w:bCs/>
          <w:sz w:val="22"/>
          <w:szCs w:val="22"/>
        </w:rPr>
        <w:t>la contratación.</w:t>
      </w:r>
    </w:p>
    <w:p w14:paraId="6C13F6AD" w14:textId="1F3DB84C" w:rsidR="00CE1641" w:rsidRPr="00B93138" w:rsidRDefault="00CE1641" w:rsidP="00EB2ED0">
      <w:pPr>
        <w:tabs>
          <w:tab w:val="left" w:pos="0"/>
        </w:tabs>
        <w:spacing w:after="120" w:line="276" w:lineRule="auto"/>
        <w:jc w:val="both"/>
        <w:rPr>
          <w:rFonts w:ascii="Arial" w:eastAsia="Calibri" w:hAnsi="Arial" w:cs="Arial"/>
          <w:bCs/>
          <w:sz w:val="22"/>
          <w:szCs w:val="22"/>
        </w:rPr>
      </w:pPr>
      <w:r w:rsidRPr="00B93138">
        <w:rPr>
          <w:rFonts w:ascii="Arial" w:eastAsia="Calibri" w:hAnsi="Arial" w:cs="Arial"/>
          <w:bCs/>
          <w:sz w:val="22"/>
          <w:szCs w:val="22"/>
        </w:rPr>
        <w:tab/>
      </w:r>
      <w:r w:rsidR="00310439" w:rsidRPr="00B93138">
        <w:rPr>
          <w:rFonts w:ascii="Arial" w:eastAsia="Calibri" w:hAnsi="Arial" w:cs="Arial"/>
          <w:bCs/>
          <w:sz w:val="22"/>
          <w:szCs w:val="22"/>
        </w:rPr>
        <w:t>De acuerdo con el</w:t>
      </w:r>
      <w:r w:rsidRPr="00B93138">
        <w:rPr>
          <w:rFonts w:ascii="Arial" w:eastAsia="Calibri" w:hAnsi="Arial" w:cs="Arial"/>
          <w:bCs/>
          <w:sz w:val="22"/>
          <w:szCs w:val="22"/>
        </w:rPr>
        <w:t xml:space="preserve"> artículo 5</w:t>
      </w:r>
      <w:r w:rsidR="002A0BC3" w:rsidRPr="00B93138">
        <w:rPr>
          <w:rFonts w:ascii="Arial" w:eastAsia="Calibri" w:hAnsi="Arial" w:cs="Arial"/>
          <w:bCs/>
          <w:sz w:val="22"/>
          <w:szCs w:val="22"/>
        </w:rPr>
        <w:t xml:space="preserve"> de la Ley 1150 de 2007, </w:t>
      </w:r>
      <w:r w:rsidR="00310439" w:rsidRPr="00B93138">
        <w:rPr>
          <w:rFonts w:ascii="Arial" w:eastAsia="Calibri" w:hAnsi="Arial" w:cs="Arial"/>
          <w:bCs/>
          <w:sz w:val="22"/>
          <w:szCs w:val="22"/>
        </w:rPr>
        <w:t>el deber de selección objetiva supone que las entidades escojan en los procesos de selección</w:t>
      </w:r>
      <w:r w:rsidR="00083480" w:rsidRPr="00B93138">
        <w:rPr>
          <w:rFonts w:ascii="Arial" w:eastAsia="Calibri" w:hAnsi="Arial" w:cs="Arial"/>
          <w:bCs/>
          <w:sz w:val="22"/>
          <w:szCs w:val="22"/>
        </w:rPr>
        <w:t xml:space="preserve"> el «[…] ofrecimiento más favorable a la entidad y a los fines que ella busca </w:t>
      </w:r>
      <w:r w:rsidR="00083480" w:rsidRPr="00B93138">
        <w:rPr>
          <w:rFonts w:ascii="Arial" w:hAnsi="Arial" w:cs="Arial"/>
          <w:sz w:val="22"/>
          <w:szCs w:val="22"/>
        </w:rPr>
        <w:t>[…]</w:t>
      </w:r>
      <w:r w:rsidR="00083480" w:rsidRPr="00B93138">
        <w:rPr>
          <w:rFonts w:ascii="Arial" w:eastAsia="Calibri" w:hAnsi="Arial" w:cs="Arial"/>
          <w:bCs/>
          <w:sz w:val="22"/>
          <w:szCs w:val="22"/>
        </w:rPr>
        <w:t>»</w:t>
      </w:r>
      <w:r w:rsidR="001679EF" w:rsidRPr="00B93138">
        <w:rPr>
          <w:rStyle w:val="Refdenotaalpie"/>
          <w:rFonts w:ascii="Arial" w:eastAsia="Calibri" w:hAnsi="Arial" w:cs="Arial"/>
          <w:bCs/>
          <w:sz w:val="22"/>
          <w:szCs w:val="22"/>
        </w:rPr>
        <w:footnoteReference w:id="14"/>
      </w:r>
      <w:r w:rsidR="00083480" w:rsidRPr="00B93138">
        <w:rPr>
          <w:rFonts w:ascii="Arial" w:eastAsia="Calibri" w:hAnsi="Arial" w:cs="Arial"/>
          <w:bCs/>
          <w:sz w:val="22"/>
          <w:szCs w:val="22"/>
        </w:rPr>
        <w:t>.</w:t>
      </w:r>
      <w:r w:rsidR="00C065A4" w:rsidRPr="00B93138">
        <w:rPr>
          <w:rFonts w:ascii="Arial" w:eastAsia="Calibri" w:hAnsi="Arial" w:cs="Arial"/>
          <w:bCs/>
          <w:sz w:val="22"/>
          <w:szCs w:val="22"/>
        </w:rPr>
        <w:t xml:space="preserve"> </w:t>
      </w:r>
      <w:r w:rsidR="00853CE0" w:rsidRPr="00B93138">
        <w:rPr>
          <w:rFonts w:ascii="Arial" w:eastAsia="Calibri" w:hAnsi="Arial" w:cs="Arial"/>
          <w:bCs/>
          <w:sz w:val="22"/>
          <w:szCs w:val="22"/>
        </w:rPr>
        <w:t>Esta</w:t>
      </w:r>
      <w:r w:rsidR="00C065A4" w:rsidRPr="00B93138">
        <w:rPr>
          <w:rFonts w:ascii="Arial" w:eastAsia="Calibri" w:hAnsi="Arial" w:cs="Arial"/>
          <w:bCs/>
          <w:sz w:val="22"/>
          <w:szCs w:val="22"/>
        </w:rPr>
        <w:t xml:space="preserve"> favorabilidad debe </w:t>
      </w:r>
      <w:r w:rsidR="00367ABB" w:rsidRPr="00B93138">
        <w:rPr>
          <w:rFonts w:ascii="Arial" w:eastAsia="Calibri" w:hAnsi="Arial" w:cs="Arial"/>
          <w:bCs/>
          <w:sz w:val="22"/>
          <w:szCs w:val="22"/>
        </w:rPr>
        <w:lastRenderedPageBreak/>
        <w:t>determinarse</w:t>
      </w:r>
      <w:r w:rsidR="00C065A4" w:rsidRPr="00B93138">
        <w:rPr>
          <w:rFonts w:ascii="Arial" w:eastAsia="Calibri" w:hAnsi="Arial" w:cs="Arial"/>
          <w:bCs/>
          <w:sz w:val="22"/>
          <w:szCs w:val="22"/>
        </w:rPr>
        <w:t xml:space="preserve"> a partir</w:t>
      </w:r>
      <w:r w:rsidR="00CE48E7" w:rsidRPr="00B93138">
        <w:rPr>
          <w:rFonts w:ascii="Arial" w:eastAsia="Calibri" w:hAnsi="Arial" w:cs="Arial"/>
          <w:bCs/>
          <w:sz w:val="22"/>
          <w:szCs w:val="22"/>
        </w:rPr>
        <w:t xml:space="preserve"> de</w:t>
      </w:r>
      <w:r w:rsidR="00C065A4" w:rsidRPr="00B93138">
        <w:rPr>
          <w:rFonts w:ascii="Arial" w:eastAsia="Calibri" w:hAnsi="Arial" w:cs="Arial"/>
          <w:bCs/>
          <w:sz w:val="22"/>
          <w:szCs w:val="22"/>
        </w:rPr>
        <w:t xml:space="preserve"> criterio</w:t>
      </w:r>
      <w:r w:rsidR="00C025CC" w:rsidRPr="00B93138">
        <w:rPr>
          <w:rFonts w:ascii="Arial" w:eastAsia="Calibri" w:hAnsi="Arial" w:cs="Arial"/>
          <w:bCs/>
          <w:sz w:val="22"/>
          <w:szCs w:val="22"/>
        </w:rPr>
        <w:t xml:space="preserve">s que pueden variar </w:t>
      </w:r>
      <w:r w:rsidR="00DE2DF1" w:rsidRPr="00B93138">
        <w:rPr>
          <w:rFonts w:ascii="Arial" w:eastAsia="Calibri" w:hAnsi="Arial" w:cs="Arial"/>
          <w:bCs/>
          <w:sz w:val="22"/>
          <w:szCs w:val="22"/>
        </w:rPr>
        <w:t>de acuerdo con el</w:t>
      </w:r>
      <w:r w:rsidR="00F22F81" w:rsidRPr="00B93138">
        <w:rPr>
          <w:rFonts w:ascii="Arial" w:eastAsia="Calibri" w:hAnsi="Arial" w:cs="Arial"/>
          <w:bCs/>
          <w:sz w:val="22"/>
          <w:szCs w:val="22"/>
        </w:rPr>
        <w:t xml:space="preserve"> objeto contractual</w:t>
      </w:r>
      <w:r w:rsidR="00C025CC" w:rsidRPr="00B93138">
        <w:rPr>
          <w:rFonts w:ascii="Arial" w:eastAsia="Calibri" w:hAnsi="Arial" w:cs="Arial"/>
          <w:bCs/>
          <w:sz w:val="22"/>
          <w:szCs w:val="22"/>
        </w:rPr>
        <w:t xml:space="preserve"> o la modalidad de selección aplicable</w:t>
      </w:r>
      <w:r w:rsidR="00D81E3C" w:rsidRPr="00B93138">
        <w:rPr>
          <w:rFonts w:ascii="Arial" w:eastAsia="Calibri" w:hAnsi="Arial" w:cs="Arial"/>
          <w:bCs/>
          <w:sz w:val="22"/>
          <w:szCs w:val="22"/>
        </w:rPr>
        <w:t xml:space="preserve">, los cuales, en todo caso, para que la selección sea objetiva, deben </w:t>
      </w:r>
      <w:r w:rsidR="00DE2DF1" w:rsidRPr="00B93138">
        <w:rPr>
          <w:rFonts w:ascii="Arial" w:eastAsia="Calibri" w:hAnsi="Arial" w:cs="Arial"/>
          <w:bCs/>
          <w:sz w:val="22"/>
          <w:szCs w:val="22"/>
        </w:rPr>
        <w:t>indicarse</w:t>
      </w:r>
      <w:r w:rsidR="00D81E3C" w:rsidRPr="00B93138">
        <w:rPr>
          <w:rFonts w:ascii="Arial" w:eastAsia="Calibri" w:hAnsi="Arial" w:cs="Arial"/>
          <w:bCs/>
          <w:sz w:val="22"/>
          <w:szCs w:val="22"/>
        </w:rPr>
        <w:t xml:space="preserve"> en el pliego de condiciones o documento equivalente.</w:t>
      </w:r>
      <w:r w:rsidR="009E2C0F" w:rsidRPr="00B93138">
        <w:rPr>
          <w:rFonts w:ascii="Arial" w:eastAsia="Calibri" w:hAnsi="Arial" w:cs="Arial"/>
          <w:bCs/>
          <w:sz w:val="22"/>
          <w:szCs w:val="22"/>
        </w:rPr>
        <w:t xml:space="preserve"> </w:t>
      </w:r>
    </w:p>
    <w:p w14:paraId="7AE775F5" w14:textId="2ABADBAF" w:rsidR="00F62172" w:rsidRPr="00B93138" w:rsidRDefault="009E2C0F" w:rsidP="00EB2ED0">
      <w:pPr>
        <w:tabs>
          <w:tab w:val="left" w:pos="0"/>
        </w:tabs>
        <w:spacing w:after="120" w:line="276" w:lineRule="auto"/>
        <w:jc w:val="both"/>
        <w:rPr>
          <w:rFonts w:ascii="Arial" w:eastAsia="Calibri" w:hAnsi="Arial" w:cs="Arial"/>
          <w:bCs/>
          <w:sz w:val="22"/>
          <w:szCs w:val="22"/>
        </w:rPr>
      </w:pPr>
      <w:r w:rsidRPr="00B93138">
        <w:rPr>
          <w:rFonts w:ascii="Arial" w:eastAsia="Calibri" w:hAnsi="Arial" w:cs="Arial"/>
          <w:bCs/>
          <w:sz w:val="22"/>
          <w:szCs w:val="22"/>
        </w:rPr>
        <w:tab/>
        <w:t xml:space="preserve">Al respecto, el numeral 1 del artículo 5 de la Ley 1150 de 2007 </w:t>
      </w:r>
      <w:r w:rsidR="00AC7356" w:rsidRPr="00B93138">
        <w:rPr>
          <w:rFonts w:ascii="Arial" w:eastAsia="Calibri" w:hAnsi="Arial" w:cs="Arial"/>
          <w:bCs/>
          <w:sz w:val="22"/>
          <w:szCs w:val="22"/>
        </w:rPr>
        <w:t xml:space="preserve">regula </w:t>
      </w:r>
      <w:r w:rsidR="00894039" w:rsidRPr="00B93138">
        <w:rPr>
          <w:rFonts w:ascii="Arial" w:eastAsia="Calibri" w:hAnsi="Arial" w:cs="Arial"/>
          <w:bCs/>
          <w:sz w:val="22"/>
          <w:szCs w:val="22"/>
        </w:rPr>
        <w:t xml:space="preserve">los </w:t>
      </w:r>
      <w:r w:rsidR="009A4C64" w:rsidRPr="00B93138">
        <w:rPr>
          <w:rFonts w:ascii="Arial" w:eastAsia="Calibri" w:hAnsi="Arial" w:cs="Arial"/>
          <w:bCs/>
          <w:sz w:val="22"/>
          <w:szCs w:val="22"/>
        </w:rPr>
        <w:t xml:space="preserve">requisitos </w:t>
      </w:r>
      <w:r w:rsidR="00660B1A" w:rsidRPr="00B93138">
        <w:rPr>
          <w:rFonts w:ascii="Arial" w:eastAsia="Calibri" w:hAnsi="Arial" w:cs="Arial"/>
          <w:bCs/>
          <w:sz w:val="22"/>
          <w:szCs w:val="22"/>
        </w:rPr>
        <w:t xml:space="preserve">exigibles en la </w:t>
      </w:r>
      <w:r w:rsidR="002F1549" w:rsidRPr="00B93138">
        <w:rPr>
          <w:rFonts w:ascii="Arial" w:eastAsia="Calibri" w:hAnsi="Arial" w:cs="Arial"/>
          <w:bCs/>
          <w:sz w:val="22"/>
          <w:szCs w:val="22"/>
        </w:rPr>
        <w:t xml:space="preserve">generalidad de procesos de selección adelantados conforme al EGCAP, tales </w:t>
      </w:r>
      <w:r w:rsidR="009A4C64" w:rsidRPr="00B93138">
        <w:rPr>
          <w:rFonts w:ascii="Arial" w:eastAsia="Calibri" w:hAnsi="Arial" w:cs="Arial"/>
          <w:bCs/>
          <w:sz w:val="22"/>
          <w:szCs w:val="22"/>
        </w:rPr>
        <w:t xml:space="preserve">como </w:t>
      </w:r>
      <w:r w:rsidR="00660B1A" w:rsidRPr="00B93138">
        <w:rPr>
          <w:rFonts w:ascii="Arial" w:eastAsia="Calibri" w:hAnsi="Arial" w:cs="Arial"/>
          <w:bCs/>
          <w:sz w:val="22"/>
          <w:szCs w:val="22"/>
        </w:rPr>
        <w:t>la capacidad jurídica</w:t>
      </w:r>
      <w:r w:rsidR="002F1549" w:rsidRPr="00B93138">
        <w:rPr>
          <w:rFonts w:ascii="Arial" w:eastAsia="Calibri" w:hAnsi="Arial" w:cs="Arial"/>
          <w:bCs/>
          <w:sz w:val="22"/>
          <w:szCs w:val="22"/>
        </w:rPr>
        <w:t xml:space="preserve">, </w:t>
      </w:r>
      <w:r w:rsidR="00660B1A" w:rsidRPr="00B93138">
        <w:rPr>
          <w:rFonts w:ascii="Arial" w:eastAsia="Calibri" w:hAnsi="Arial" w:cs="Arial"/>
          <w:bCs/>
          <w:sz w:val="22"/>
          <w:szCs w:val="22"/>
        </w:rPr>
        <w:t>las condiciones de experiencia,</w:t>
      </w:r>
      <w:r w:rsidR="00865FC6" w:rsidRPr="00B93138">
        <w:rPr>
          <w:rFonts w:ascii="Arial" w:eastAsia="Calibri" w:hAnsi="Arial" w:cs="Arial"/>
          <w:bCs/>
          <w:sz w:val="22"/>
          <w:szCs w:val="22"/>
        </w:rPr>
        <w:t xml:space="preserve"> la</w:t>
      </w:r>
      <w:r w:rsidR="00660B1A" w:rsidRPr="00B93138">
        <w:rPr>
          <w:rFonts w:ascii="Arial" w:eastAsia="Calibri" w:hAnsi="Arial" w:cs="Arial"/>
          <w:bCs/>
          <w:sz w:val="22"/>
          <w:szCs w:val="22"/>
        </w:rPr>
        <w:t xml:space="preserve"> capacidad financiera y de organización</w:t>
      </w:r>
      <w:r w:rsidR="00865FC6" w:rsidRPr="00B93138">
        <w:rPr>
          <w:rFonts w:ascii="Arial" w:eastAsia="Calibri" w:hAnsi="Arial" w:cs="Arial"/>
          <w:bCs/>
          <w:sz w:val="22"/>
          <w:szCs w:val="22"/>
        </w:rPr>
        <w:t>, denomi</w:t>
      </w:r>
      <w:r w:rsidR="00FA4048" w:rsidRPr="00B93138">
        <w:rPr>
          <w:rFonts w:ascii="Arial" w:eastAsia="Calibri" w:hAnsi="Arial" w:cs="Arial"/>
          <w:bCs/>
          <w:sz w:val="22"/>
          <w:szCs w:val="22"/>
        </w:rPr>
        <w:t>n</w:t>
      </w:r>
      <w:r w:rsidR="00865FC6" w:rsidRPr="00B93138">
        <w:rPr>
          <w:rFonts w:ascii="Arial" w:eastAsia="Calibri" w:hAnsi="Arial" w:cs="Arial"/>
          <w:bCs/>
          <w:sz w:val="22"/>
          <w:szCs w:val="22"/>
        </w:rPr>
        <w:t>ados requisitos habilitantes,</w:t>
      </w:r>
      <w:r w:rsidR="00894039" w:rsidRPr="00B93138">
        <w:rPr>
          <w:rFonts w:ascii="Arial" w:eastAsia="Calibri" w:hAnsi="Arial" w:cs="Arial"/>
          <w:bCs/>
          <w:sz w:val="22"/>
          <w:szCs w:val="22"/>
        </w:rPr>
        <w:t xml:space="preserve"> los cuales</w:t>
      </w:r>
      <w:r w:rsidR="00865FC6" w:rsidRPr="00B93138">
        <w:rPr>
          <w:rFonts w:ascii="Arial" w:eastAsia="Calibri" w:hAnsi="Arial" w:cs="Arial"/>
          <w:bCs/>
          <w:sz w:val="22"/>
          <w:szCs w:val="22"/>
        </w:rPr>
        <w:t xml:space="preserve"> </w:t>
      </w:r>
      <w:r w:rsidR="00894039" w:rsidRPr="00B93138">
        <w:rPr>
          <w:rFonts w:ascii="Arial" w:eastAsia="Calibri" w:hAnsi="Arial" w:cs="Arial"/>
          <w:bCs/>
          <w:sz w:val="22"/>
          <w:szCs w:val="22"/>
        </w:rPr>
        <w:t>–</w:t>
      </w:r>
      <w:r w:rsidR="00865FC6" w:rsidRPr="00B93138">
        <w:rPr>
          <w:rFonts w:ascii="Arial" w:eastAsia="Calibri" w:hAnsi="Arial" w:cs="Arial"/>
          <w:bCs/>
          <w:sz w:val="22"/>
          <w:szCs w:val="22"/>
        </w:rPr>
        <w:t>por expresa disposición</w:t>
      </w:r>
      <w:r w:rsidR="00894039" w:rsidRPr="00B93138">
        <w:rPr>
          <w:rFonts w:ascii="Arial" w:eastAsia="Calibri" w:hAnsi="Arial" w:cs="Arial"/>
          <w:bCs/>
          <w:sz w:val="22"/>
          <w:szCs w:val="22"/>
        </w:rPr>
        <w:t xml:space="preserve"> legal–</w:t>
      </w:r>
      <w:r w:rsidR="00865FC6" w:rsidRPr="00B93138">
        <w:rPr>
          <w:rFonts w:ascii="Arial" w:eastAsia="Calibri" w:hAnsi="Arial" w:cs="Arial"/>
          <w:bCs/>
          <w:sz w:val="22"/>
          <w:szCs w:val="22"/>
        </w:rPr>
        <w:t xml:space="preserve"> </w:t>
      </w:r>
      <w:r w:rsidR="00FA4048" w:rsidRPr="00B93138">
        <w:rPr>
          <w:rFonts w:ascii="Arial" w:eastAsia="Calibri" w:hAnsi="Arial" w:cs="Arial"/>
          <w:bCs/>
          <w:sz w:val="22"/>
          <w:szCs w:val="22"/>
        </w:rPr>
        <w:t xml:space="preserve">no otorgan puntaje. </w:t>
      </w:r>
      <w:r w:rsidR="0087267F" w:rsidRPr="00B93138">
        <w:rPr>
          <w:rFonts w:ascii="Arial" w:eastAsia="Calibri" w:hAnsi="Arial" w:cs="Arial"/>
          <w:bCs/>
          <w:sz w:val="22"/>
          <w:szCs w:val="22"/>
        </w:rPr>
        <w:t>Lo anterior</w:t>
      </w:r>
      <w:r w:rsidR="00306D1E" w:rsidRPr="00B93138">
        <w:rPr>
          <w:rFonts w:ascii="Arial" w:eastAsia="Calibri" w:hAnsi="Arial" w:cs="Arial"/>
          <w:bCs/>
          <w:sz w:val="22"/>
          <w:szCs w:val="22"/>
        </w:rPr>
        <w:t>,</w:t>
      </w:r>
      <w:r w:rsidR="0087267F" w:rsidRPr="00B93138">
        <w:rPr>
          <w:rFonts w:ascii="Arial" w:eastAsia="Calibri" w:hAnsi="Arial" w:cs="Arial"/>
          <w:bCs/>
          <w:sz w:val="22"/>
          <w:szCs w:val="22"/>
        </w:rPr>
        <w:t xml:space="preserve"> </w:t>
      </w:r>
      <w:r w:rsidR="00FD7ED4" w:rsidRPr="00B93138">
        <w:rPr>
          <w:rFonts w:ascii="Arial" w:eastAsia="Calibri" w:hAnsi="Arial" w:cs="Arial"/>
          <w:bCs/>
          <w:sz w:val="22"/>
          <w:szCs w:val="22"/>
        </w:rPr>
        <w:t>teniendo en cuenta</w:t>
      </w:r>
      <w:r w:rsidR="0087267F" w:rsidRPr="00B93138">
        <w:rPr>
          <w:rFonts w:ascii="Arial" w:eastAsia="Calibri" w:hAnsi="Arial" w:cs="Arial"/>
          <w:bCs/>
          <w:sz w:val="22"/>
          <w:szCs w:val="22"/>
        </w:rPr>
        <w:t xml:space="preserve"> que</w:t>
      </w:r>
      <w:r w:rsidR="00306D1E" w:rsidRPr="00B93138">
        <w:rPr>
          <w:rFonts w:ascii="Arial" w:eastAsia="Calibri" w:hAnsi="Arial" w:cs="Arial"/>
          <w:bCs/>
          <w:sz w:val="22"/>
          <w:szCs w:val="22"/>
        </w:rPr>
        <w:t xml:space="preserve"> </w:t>
      </w:r>
      <w:r w:rsidR="005E6342" w:rsidRPr="00B93138">
        <w:rPr>
          <w:rFonts w:ascii="Arial" w:eastAsia="Calibri" w:hAnsi="Arial" w:cs="Arial"/>
          <w:bCs/>
          <w:sz w:val="22"/>
          <w:szCs w:val="22"/>
        </w:rPr>
        <w:t>no se refieren a la oferta</w:t>
      </w:r>
      <w:r w:rsidR="00F62172" w:rsidRPr="00B93138">
        <w:rPr>
          <w:rFonts w:ascii="Arial" w:eastAsia="Calibri" w:hAnsi="Arial" w:cs="Arial"/>
          <w:bCs/>
          <w:sz w:val="22"/>
          <w:szCs w:val="22"/>
        </w:rPr>
        <w:t xml:space="preserve"> mism</w:t>
      </w:r>
      <w:r w:rsidR="00512BC0" w:rsidRPr="00B93138">
        <w:rPr>
          <w:rFonts w:ascii="Arial" w:eastAsia="Calibri" w:hAnsi="Arial" w:cs="Arial"/>
          <w:bCs/>
          <w:sz w:val="22"/>
          <w:szCs w:val="22"/>
        </w:rPr>
        <w:t>a</w:t>
      </w:r>
      <w:r w:rsidR="00AB1D80">
        <w:rPr>
          <w:rFonts w:ascii="Arial" w:eastAsia="Calibri" w:hAnsi="Arial" w:cs="Arial"/>
          <w:bCs/>
          <w:sz w:val="22"/>
          <w:szCs w:val="22"/>
        </w:rPr>
        <w:t>,</w:t>
      </w:r>
      <w:r w:rsidR="00F62172" w:rsidRPr="00B93138">
        <w:rPr>
          <w:rFonts w:ascii="Arial" w:eastAsia="Calibri" w:hAnsi="Arial" w:cs="Arial"/>
          <w:bCs/>
          <w:sz w:val="22"/>
          <w:szCs w:val="22"/>
        </w:rPr>
        <w:t xml:space="preserve"> sino </w:t>
      </w:r>
      <w:r w:rsidR="00AB1D80">
        <w:rPr>
          <w:rFonts w:ascii="Arial" w:eastAsia="Calibri" w:hAnsi="Arial" w:cs="Arial"/>
          <w:bCs/>
          <w:sz w:val="22"/>
          <w:szCs w:val="22"/>
        </w:rPr>
        <w:t xml:space="preserve">a </w:t>
      </w:r>
      <w:r w:rsidR="00AF1FBF" w:rsidRPr="00B93138">
        <w:rPr>
          <w:rFonts w:ascii="Arial" w:eastAsia="Calibri" w:hAnsi="Arial" w:cs="Arial"/>
          <w:bCs/>
          <w:sz w:val="22"/>
          <w:szCs w:val="22"/>
        </w:rPr>
        <w:t>l</w:t>
      </w:r>
      <w:r w:rsidR="00F62172" w:rsidRPr="00B93138">
        <w:rPr>
          <w:rFonts w:ascii="Arial" w:eastAsia="Calibri" w:hAnsi="Arial" w:cs="Arial"/>
          <w:bCs/>
          <w:sz w:val="22"/>
          <w:szCs w:val="22"/>
        </w:rPr>
        <w:t xml:space="preserve">a idoneidad del oferente para asumir adecuadamente la ejecución del </w:t>
      </w:r>
      <w:r w:rsidR="00F62172" w:rsidRPr="00B93138">
        <w:rPr>
          <w:rFonts w:ascii="Arial" w:eastAsia="Calibri" w:hAnsi="Arial" w:cs="Arial"/>
          <w:bCs/>
          <w:sz w:val="22"/>
          <w:szCs w:val="22"/>
        </w:rPr>
        <w:lastRenderedPageBreak/>
        <w:t>contrato</w:t>
      </w:r>
      <w:r w:rsidR="00AF1FBF" w:rsidRPr="00B93138">
        <w:rPr>
          <w:rStyle w:val="Refdenotaalpie"/>
          <w:rFonts w:ascii="Arial" w:eastAsia="Calibri" w:hAnsi="Arial" w:cs="Arial"/>
          <w:bCs/>
          <w:sz w:val="22"/>
          <w:szCs w:val="22"/>
        </w:rPr>
        <w:footnoteReference w:id="15"/>
      </w:r>
      <w:r w:rsidR="00AF1FBF" w:rsidRPr="00B93138">
        <w:rPr>
          <w:rFonts w:ascii="Arial" w:eastAsia="Calibri" w:hAnsi="Arial" w:cs="Arial"/>
          <w:bCs/>
          <w:sz w:val="22"/>
          <w:szCs w:val="22"/>
        </w:rPr>
        <w:t>.</w:t>
      </w:r>
      <w:r w:rsidR="00A928D0" w:rsidRPr="00B93138">
        <w:rPr>
          <w:rFonts w:ascii="Arial" w:eastAsia="Calibri" w:hAnsi="Arial" w:cs="Arial"/>
          <w:bCs/>
          <w:sz w:val="22"/>
          <w:szCs w:val="22"/>
        </w:rPr>
        <w:t xml:space="preserve"> Los oferentes </w:t>
      </w:r>
      <w:r w:rsidR="0002504E" w:rsidRPr="00B93138">
        <w:rPr>
          <w:rFonts w:ascii="Arial" w:eastAsia="Calibri" w:hAnsi="Arial" w:cs="Arial"/>
          <w:bCs/>
          <w:sz w:val="22"/>
          <w:szCs w:val="22"/>
        </w:rPr>
        <w:t xml:space="preserve">que cumplan estos requisitos habilitantes son considerados idóneos para ejecutar el objeto contractual, </w:t>
      </w:r>
      <w:r w:rsidR="001A1766" w:rsidRPr="00B93138">
        <w:rPr>
          <w:rFonts w:ascii="Arial" w:eastAsia="Calibri" w:hAnsi="Arial" w:cs="Arial"/>
          <w:bCs/>
          <w:sz w:val="22"/>
          <w:szCs w:val="22"/>
        </w:rPr>
        <w:t>de manera</w:t>
      </w:r>
      <w:r w:rsidR="0002504E" w:rsidRPr="00B93138">
        <w:rPr>
          <w:rFonts w:ascii="Arial" w:eastAsia="Calibri" w:hAnsi="Arial" w:cs="Arial"/>
          <w:bCs/>
          <w:sz w:val="22"/>
          <w:szCs w:val="22"/>
        </w:rPr>
        <w:t xml:space="preserve"> que sus ofertas </w:t>
      </w:r>
      <w:r w:rsidR="002B76F5" w:rsidRPr="00B93138">
        <w:rPr>
          <w:rFonts w:ascii="Arial" w:eastAsia="Calibri" w:hAnsi="Arial" w:cs="Arial"/>
          <w:bCs/>
          <w:sz w:val="22"/>
          <w:szCs w:val="22"/>
        </w:rPr>
        <w:t xml:space="preserve">pueden ser </w:t>
      </w:r>
      <w:r w:rsidR="00AB1D80">
        <w:rPr>
          <w:rFonts w:ascii="Arial" w:eastAsia="Calibri" w:hAnsi="Arial" w:cs="Arial"/>
          <w:bCs/>
          <w:sz w:val="22"/>
          <w:szCs w:val="22"/>
        </w:rPr>
        <w:t>tenidas en cuenta</w:t>
      </w:r>
      <w:r w:rsidR="002B76F5" w:rsidRPr="00B93138">
        <w:rPr>
          <w:rFonts w:ascii="Arial" w:eastAsia="Calibri" w:hAnsi="Arial" w:cs="Arial"/>
          <w:bCs/>
          <w:sz w:val="22"/>
          <w:szCs w:val="22"/>
        </w:rPr>
        <w:t xml:space="preserve"> en la evaluación dirigida a determinar </w:t>
      </w:r>
      <w:r w:rsidR="001A1766" w:rsidRPr="00B93138">
        <w:rPr>
          <w:rFonts w:ascii="Arial" w:eastAsia="Calibri" w:hAnsi="Arial" w:cs="Arial"/>
          <w:bCs/>
          <w:sz w:val="22"/>
          <w:szCs w:val="22"/>
        </w:rPr>
        <w:t>cuál</w:t>
      </w:r>
      <w:r w:rsidR="002B76F5" w:rsidRPr="00B93138">
        <w:rPr>
          <w:rFonts w:ascii="Arial" w:eastAsia="Calibri" w:hAnsi="Arial" w:cs="Arial"/>
          <w:bCs/>
          <w:sz w:val="22"/>
          <w:szCs w:val="22"/>
        </w:rPr>
        <w:t xml:space="preserve"> es la </w:t>
      </w:r>
      <w:r w:rsidR="00512BC0" w:rsidRPr="00B93138">
        <w:rPr>
          <w:rFonts w:ascii="Arial" w:eastAsia="Calibri" w:hAnsi="Arial" w:cs="Arial"/>
          <w:bCs/>
          <w:sz w:val="22"/>
          <w:szCs w:val="22"/>
        </w:rPr>
        <w:t xml:space="preserve">más </w:t>
      </w:r>
      <w:r w:rsidR="002B76F5" w:rsidRPr="00B93138">
        <w:rPr>
          <w:rFonts w:ascii="Arial" w:eastAsia="Calibri" w:hAnsi="Arial" w:cs="Arial"/>
          <w:bCs/>
          <w:sz w:val="22"/>
          <w:szCs w:val="22"/>
        </w:rPr>
        <w:t>favorable para la entidad y los fines de la contratación.</w:t>
      </w:r>
    </w:p>
    <w:p w14:paraId="3A672258" w14:textId="26CAB6B5" w:rsidR="00DB1142" w:rsidRPr="00B93138" w:rsidRDefault="00871B2E" w:rsidP="00EB2ED0">
      <w:pPr>
        <w:tabs>
          <w:tab w:val="left" w:pos="0"/>
        </w:tabs>
        <w:spacing w:after="120" w:line="276" w:lineRule="auto"/>
        <w:jc w:val="both"/>
        <w:rPr>
          <w:rFonts w:ascii="Arial" w:hAnsi="Arial" w:cs="Arial"/>
          <w:sz w:val="22"/>
          <w:szCs w:val="22"/>
        </w:rPr>
      </w:pPr>
      <w:r w:rsidRPr="00B93138">
        <w:rPr>
          <w:rFonts w:ascii="Arial" w:eastAsia="Calibri" w:hAnsi="Arial" w:cs="Arial"/>
          <w:bCs/>
          <w:sz w:val="22"/>
          <w:szCs w:val="22"/>
        </w:rPr>
        <w:tab/>
      </w:r>
      <w:r w:rsidR="005107E3" w:rsidRPr="00B93138">
        <w:rPr>
          <w:rFonts w:ascii="Arial" w:eastAsia="Calibri" w:hAnsi="Arial" w:cs="Arial"/>
          <w:bCs/>
          <w:sz w:val="22"/>
          <w:szCs w:val="22"/>
        </w:rPr>
        <w:t xml:space="preserve">En contraposición </w:t>
      </w:r>
      <w:r w:rsidR="00A50238" w:rsidRPr="00B93138">
        <w:rPr>
          <w:rFonts w:ascii="Arial" w:eastAsia="Calibri" w:hAnsi="Arial" w:cs="Arial"/>
          <w:bCs/>
          <w:sz w:val="22"/>
          <w:szCs w:val="22"/>
        </w:rPr>
        <w:t>a</w:t>
      </w:r>
      <w:r w:rsidR="005107E3" w:rsidRPr="00B93138">
        <w:rPr>
          <w:rFonts w:ascii="Arial" w:eastAsia="Calibri" w:hAnsi="Arial" w:cs="Arial"/>
          <w:bCs/>
          <w:sz w:val="22"/>
          <w:szCs w:val="22"/>
        </w:rPr>
        <w:t xml:space="preserve"> </w:t>
      </w:r>
      <w:r w:rsidR="00A50238" w:rsidRPr="00B93138">
        <w:rPr>
          <w:rFonts w:ascii="Arial" w:eastAsia="Calibri" w:hAnsi="Arial" w:cs="Arial"/>
          <w:bCs/>
          <w:sz w:val="22"/>
          <w:szCs w:val="22"/>
        </w:rPr>
        <w:t>los requisitos habilitantes</w:t>
      </w:r>
      <w:r w:rsidR="005107E3" w:rsidRPr="00B93138">
        <w:rPr>
          <w:rFonts w:ascii="Arial" w:eastAsia="Calibri" w:hAnsi="Arial" w:cs="Arial"/>
          <w:bCs/>
          <w:sz w:val="22"/>
          <w:szCs w:val="22"/>
        </w:rPr>
        <w:t>, el artículo 5 de la Ley 1150 de 2007</w:t>
      </w:r>
      <w:r w:rsidR="001A1766" w:rsidRPr="00B93138">
        <w:rPr>
          <w:rFonts w:ascii="Arial" w:eastAsia="Calibri" w:hAnsi="Arial" w:cs="Arial"/>
          <w:bCs/>
          <w:sz w:val="22"/>
          <w:szCs w:val="22"/>
        </w:rPr>
        <w:t xml:space="preserve"> regula los</w:t>
      </w:r>
      <w:r w:rsidR="00A50238" w:rsidRPr="00B93138">
        <w:rPr>
          <w:rFonts w:ascii="Arial" w:eastAsia="Calibri" w:hAnsi="Arial" w:cs="Arial"/>
          <w:bCs/>
          <w:sz w:val="22"/>
          <w:szCs w:val="22"/>
        </w:rPr>
        <w:t xml:space="preserve"> factores </w:t>
      </w:r>
      <w:r w:rsidR="008641D5" w:rsidRPr="00B93138">
        <w:rPr>
          <w:rFonts w:ascii="Arial" w:eastAsia="Calibri" w:hAnsi="Arial" w:cs="Arial"/>
          <w:bCs/>
          <w:sz w:val="22"/>
          <w:szCs w:val="22"/>
        </w:rPr>
        <w:t xml:space="preserve">dirigidos a determinar </w:t>
      </w:r>
      <w:r w:rsidR="00C77E99" w:rsidRPr="00B93138">
        <w:rPr>
          <w:rFonts w:ascii="Arial" w:eastAsia="Calibri" w:hAnsi="Arial" w:cs="Arial"/>
          <w:bCs/>
          <w:sz w:val="22"/>
          <w:szCs w:val="22"/>
        </w:rPr>
        <w:t>cuál</w:t>
      </w:r>
      <w:r w:rsidR="008641D5" w:rsidRPr="00B93138">
        <w:rPr>
          <w:rFonts w:ascii="Arial" w:eastAsia="Calibri" w:hAnsi="Arial" w:cs="Arial"/>
          <w:bCs/>
          <w:sz w:val="22"/>
          <w:szCs w:val="22"/>
        </w:rPr>
        <w:t xml:space="preserve"> es la propuesta más favorable</w:t>
      </w:r>
      <w:r w:rsidR="00512BC0" w:rsidRPr="00B93138">
        <w:rPr>
          <w:rFonts w:ascii="Arial" w:eastAsia="Calibri" w:hAnsi="Arial" w:cs="Arial"/>
          <w:bCs/>
          <w:sz w:val="22"/>
          <w:szCs w:val="22"/>
        </w:rPr>
        <w:t>.</w:t>
      </w:r>
      <w:r w:rsidR="008641D5" w:rsidRPr="00B93138">
        <w:rPr>
          <w:rFonts w:ascii="Arial" w:eastAsia="Calibri" w:hAnsi="Arial" w:cs="Arial"/>
          <w:bCs/>
          <w:sz w:val="22"/>
          <w:szCs w:val="22"/>
        </w:rPr>
        <w:t xml:space="preserve"> En ese sentido, el inciso primero </w:t>
      </w:r>
      <w:r w:rsidR="00A17CA5" w:rsidRPr="00B93138">
        <w:rPr>
          <w:rFonts w:ascii="Arial" w:eastAsia="Calibri" w:hAnsi="Arial" w:cs="Arial"/>
          <w:bCs/>
          <w:sz w:val="22"/>
          <w:szCs w:val="22"/>
        </w:rPr>
        <w:t>dispone los</w:t>
      </w:r>
      <w:r w:rsidR="008641D5" w:rsidRPr="00B93138">
        <w:rPr>
          <w:rFonts w:ascii="Arial" w:eastAsia="Calibri" w:hAnsi="Arial" w:cs="Arial"/>
          <w:bCs/>
          <w:sz w:val="22"/>
          <w:szCs w:val="22"/>
        </w:rPr>
        <w:t xml:space="preserve"> </w:t>
      </w:r>
      <w:r w:rsidR="00C77E99" w:rsidRPr="00B93138">
        <w:rPr>
          <w:rFonts w:ascii="Arial" w:eastAsia="Calibri" w:hAnsi="Arial" w:cs="Arial"/>
          <w:bCs/>
          <w:sz w:val="22"/>
          <w:szCs w:val="22"/>
        </w:rPr>
        <w:t>factores de escogencia y calificación que debe</w:t>
      </w:r>
      <w:r w:rsidR="008E6F19" w:rsidRPr="00B93138">
        <w:rPr>
          <w:rFonts w:ascii="Arial" w:eastAsia="Calibri" w:hAnsi="Arial" w:cs="Arial"/>
          <w:bCs/>
          <w:sz w:val="22"/>
          <w:szCs w:val="22"/>
        </w:rPr>
        <w:t xml:space="preserve">n </w:t>
      </w:r>
      <w:r w:rsidR="00A17CA5" w:rsidRPr="00B93138">
        <w:rPr>
          <w:rFonts w:ascii="Arial" w:eastAsia="Calibri" w:hAnsi="Arial" w:cs="Arial"/>
          <w:bCs/>
          <w:sz w:val="22"/>
          <w:szCs w:val="22"/>
        </w:rPr>
        <w:t>indicarse</w:t>
      </w:r>
      <w:r w:rsidR="008E6F19" w:rsidRPr="00B93138">
        <w:rPr>
          <w:rFonts w:ascii="Arial" w:eastAsia="Calibri" w:hAnsi="Arial" w:cs="Arial"/>
          <w:bCs/>
          <w:sz w:val="22"/>
          <w:szCs w:val="22"/>
        </w:rPr>
        <w:t xml:space="preserve"> en los pliegos de condiciones. </w:t>
      </w:r>
      <w:r w:rsidR="00A17CA5" w:rsidRPr="00B93138">
        <w:rPr>
          <w:rFonts w:ascii="Arial" w:eastAsia="Calibri" w:hAnsi="Arial" w:cs="Arial"/>
          <w:bCs/>
          <w:sz w:val="22"/>
          <w:szCs w:val="22"/>
        </w:rPr>
        <w:t>E</w:t>
      </w:r>
      <w:r w:rsidR="00793C6A" w:rsidRPr="00B93138">
        <w:rPr>
          <w:rFonts w:ascii="Arial" w:eastAsia="Calibri" w:hAnsi="Arial" w:cs="Arial"/>
          <w:bCs/>
          <w:sz w:val="22"/>
          <w:szCs w:val="22"/>
        </w:rPr>
        <w:t xml:space="preserve">l numeral 2 de </w:t>
      </w:r>
      <w:r w:rsidR="00DE5716" w:rsidRPr="00B93138">
        <w:rPr>
          <w:rFonts w:ascii="Arial" w:eastAsia="Calibri" w:hAnsi="Arial" w:cs="Arial"/>
          <w:bCs/>
          <w:sz w:val="22"/>
          <w:szCs w:val="22"/>
        </w:rPr>
        <w:t>esta</w:t>
      </w:r>
      <w:r w:rsidR="00793C6A" w:rsidRPr="00B93138">
        <w:rPr>
          <w:rFonts w:ascii="Arial" w:eastAsia="Calibri" w:hAnsi="Arial" w:cs="Arial"/>
          <w:bCs/>
          <w:sz w:val="22"/>
          <w:szCs w:val="22"/>
        </w:rPr>
        <w:t xml:space="preserve"> norma</w:t>
      </w:r>
      <w:r w:rsidR="00DE5716" w:rsidRPr="00B93138">
        <w:rPr>
          <w:rFonts w:ascii="Arial" w:eastAsia="Calibri" w:hAnsi="Arial" w:cs="Arial"/>
          <w:bCs/>
          <w:sz w:val="22"/>
          <w:szCs w:val="22"/>
        </w:rPr>
        <w:t xml:space="preserve"> </w:t>
      </w:r>
      <w:r w:rsidR="00793C6A" w:rsidRPr="00B93138">
        <w:rPr>
          <w:rFonts w:ascii="Arial" w:eastAsia="Calibri" w:hAnsi="Arial" w:cs="Arial"/>
          <w:bCs/>
          <w:sz w:val="22"/>
          <w:szCs w:val="22"/>
        </w:rPr>
        <w:t>establece que la oferta más favorable</w:t>
      </w:r>
      <w:r w:rsidR="00FF5914" w:rsidRPr="00B93138">
        <w:rPr>
          <w:rFonts w:ascii="Arial" w:eastAsia="Calibri" w:hAnsi="Arial" w:cs="Arial"/>
          <w:bCs/>
          <w:sz w:val="22"/>
          <w:szCs w:val="22"/>
        </w:rPr>
        <w:t xml:space="preserve"> es aquella que</w:t>
      </w:r>
      <w:r w:rsidR="00C144E4" w:rsidRPr="00B93138">
        <w:rPr>
          <w:rFonts w:ascii="Arial" w:eastAsia="Calibri" w:hAnsi="Arial" w:cs="Arial"/>
          <w:bCs/>
          <w:sz w:val="22"/>
          <w:szCs w:val="22"/>
        </w:rPr>
        <w:t xml:space="preserve"> resulte ser la más ventajosa para la entidad, </w:t>
      </w:r>
      <w:r w:rsidR="00B50C5B" w:rsidRPr="00B93138">
        <w:rPr>
          <w:rFonts w:ascii="Arial" w:eastAsia="Calibri" w:hAnsi="Arial" w:cs="Arial"/>
          <w:bCs/>
          <w:sz w:val="22"/>
          <w:szCs w:val="22"/>
        </w:rPr>
        <w:t>una vez se realice</w:t>
      </w:r>
      <w:r w:rsidR="00C144E4" w:rsidRPr="00B93138">
        <w:rPr>
          <w:rFonts w:ascii="Arial" w:eastAsia="Calibri" w:hAnsi="Arial" w:cs="Arial"/>
          <w:bCs/>
          <w:sz w:val="22"/>
          <w:szCs w:val="22"/>
        </w:rPr>
        <w:t xml:space="preserve"> la ponderación</w:t>
      </w:r>
      <w:r w:rsidR="00FF5914" w:rsidRPr="00B93138">
        <w:rPr>
          <w:rFonts w:ascii="Arial" w:eastAsia="Calibri" w:hAnsi="Arial" w:cs="Arial"/>
          <w:bCs/>
          <w:sz w:val="22"/>
          <w:szCs w:val="22"/>
        </w:rPr>
        <w:t xml:space="preserve"> precisa y detallada </w:t>
      </w:r>
      <w:r w:rsidR="00C144E4" w:rsidRPr="00B93138">
        <w:rPr>
          <w:rFonts w:ascii="Arial" w:eastAsia="Calibri" w:hAnsi="Arial" w:cs="Arial"/>
          <w:bCs/>
          <w:sz w:val="22"/>
          <w:szCs w:val="22"/>
        </w:rPr>
        <w:t xml:space="preserve">de </w:t>
      </w:r>
      <w:r w:rsidR="00793C6A" w:rsidRPr="00B93138">
        <w:rPr>
          <w:rFonts w:ascii="Arial" w:hAnsi="Arial" w:cs="Arial"/>
          <w:sz w:val="22"/>
          <w:szCs w:val="22"/>
        </w:rPr>
        <w:t>los factores técnicos y económicos de escogencia</w:t>
      </w:r>
      <w:r w:rsidR="00FB47C3" w:rsidRPr="00B93138">
        <w:rPr>
          <w:rFonts w:ascii="Arial" w:hAnsi="Arial" w:cs="Arial"/>
          <w:sz w:val="22"/>
          <w:szCs w:val="22"/>
        </w:rPr>
        <w:t xml:space="preserve">, </w:t>
      </w:r>
      <w:r w:rsidR="00C144E4" w:rsidRPr="00B93138">
        <w:rPr>
          <w:rFonts w:ascii="Arial" w:hAnsi="Arial" w:cs="Arial"/>
          <w:sz w:val="22"/>
          <w:szCs w:val="22"/>
        </w:rPr>
        <w:t>de acuerdo con</w:t>
      </w:r>
      <w:r w:rsidR="000D6B6C" w:rsidRPr="00B93138">
        <w:rPr>
          <w:rFonts w:ascii="Arial" w:hAnsi="Arial" w:cs="Arial"/>
          <w:sz w:val="22"/>
          <w:szCs w:val="22"/>
        </w:rPr>
        <w:t xml:space="preserve"> los</w:t>
      </w:r>
      <w:r w:rsidR="00C144E4" w:rsidRPr="00B93138">
        <w:rPr>
          <w:rFonts w:ascii="Arial" w:hAnsi="Arial" w:cs="Arial"/>
          <w:sz w:val="22"/>
          <w:szCs w:val="22"/>
        </w:rPr>
        <w:t xml:space="preserve"> parámetros establecidos en los pliegos de condiciones o equivalentes</w:t>
      </w:r>
      <w:r w:rsidR="000D6B6C" w:rsidRPr="00B93138">
        <w:rPr>
          <w:rFonts w:ascii="Arial" w:hAnsi="Arial" w:cs="Arial"/>
          <w:sz w:val="22"/>
          <w:szCs w:val="22"/>
        </w:rPr>
        <w:t xml:space="preserve"> que permiten la comparación de ofertas.</w:t>
      </w:r>
      <w:r w:rsidR="00BD2640" w:rsidRPr="00B93138">
        <w:rPr>
          <w:rFonts w:ascii="Arial" w:hAnsi="Arial" w:cs="Arial"/>
          <w:sz w:val="22"/>
          <w:szCs w:val="22"/>
        </w:rPr>
        <w:t xml:space="preserve"> </w:t>
      </w:r>
      <w:r w:rsidR="00512BC0" w:rsidRPr="00B93138">
        <w:rPr>
          <w:rFonts w:ascii="Arial" w:hAnsi="Arial" w:cs="Arial"/>
          <w:sz w:val="22"/>
          <w:szCs w:val="22"/>
        </w:rPr>
        <w:t>Este</w:t>
      </w:r>
      <w:r w:rsidR="004622A6" w:rsidRPr="00B93138">
        <w:rPr>
          <w:rFonts w:ascii="Arial" w:hAnsi="Arial" w:cs="Arial"/>
          <w:sz w:val="22"/>
          <w:szCs w:val="22"/>
        </w:rPr>
        <w:t xml:space="preserve"> numeral </w:t>
      </w:r>
      <w:r w:rsidR="00BE5487" w:rsidRPr="00B93138">
        <w:rPr>
          <w:rFonts w:ascii="Arial" w:hAnsi="Arial" w:cs="Arial"/>
          <w:sz w:val="22"/>
          <w:szCs w:val="22"/>
        </w:rPr>
        <w:t>2</w:t>
      </w:r>
      <w:r w:rsidR="004622A6" w:rsidRPr="00B93138">
        <w:rPr>
          <w:rFonts w:ascii="Arial" w:hAnsi="Arial" w:cs="Arial"/>
          <w:sz w:val="22"/>
          <w:szCs w:val="22"/>
        </w:rPr>
        <w:t xml:space="preserve"> </w:t>
      </w:r>
      <w:r w:rsidR="00DE5716" w:rsidRPr="00B93138">
        <w:rPr>
          <w:rFonts w:ascii="Arial" w:hAnsi="Arial" w:cs="Arial"/>
          <w:sz w:val="22"/>
          <w:szCs w:val="22"/>
        </w:rPr>
        <w:t>se divide</w:t>
      </w:r>
      <w:r w:rsidR="004622A6" w:rsidRPr="00B93138">
        <w:rPr>
          <w:rFonts w:ascii="Arial" w:hAnsi="Arial" w:cs="Arial"/>
          <w:sz w:val="22"/>
          <w:szCs w:val="22"/>
        </w:rPr>
        <w:t xml:space="preserve"> en dos </w:t>
      </w:r>
      <w:r w:rsidR="00BE5487" w:rsidRPr="00B93138">
        <w:rPr>
          <w:rFonts w:ascii="Arial" w:hAnsi="Arial" w:cs="Arial"/>
          <w:sz w:val="22"/>
          <w:szCs w:val="22"/>
        </w:rPr>
        <w:t>literales, cada uno de los cuales</w:t>
      </w:r>
      <w:r w:rsidR="002113CF" w:rsidRPr="00B93138">
        <w:rPr>
          <w:rFonts w:ascii="Arial" w:hAnsi="Arial" w:cs="Arial"/>
          <w:sz w:val="22"/>
          <w:szCs w:val="22"/>
        </w:rPr>
        <w:t xml:space="preserve"> </w:t>
      </w:r>
      <w:r w:rsidR="00F246FF" w:rsidRPr="00B93138">
        <w:rPr>
          <w:rFonts w:ascii="Arial" w:hAnsi="Arial" w:cs="Arial"/>
          <w:sz w:val="22"/>
          <w:szCs w:val="22"/>
        </w:rPr>
        <w:t>hace referencia a los mecanismos por los que pueden optar las entidades para ponderar los</w:t>
      </w:r>
      <w:r w:rsidR="009512EA" w:rsidRPr="00B93138">
        <w:rPr>
          <w:rFonts w:ascii="Arial" w:hAnsi="Arial" w:cs="Arial"/>
          <w:sz w:val="22"/>
          <w:szCs w:val="22"/>
        </w:rPr>
        <w:t xml:space="preserve"> elementos de calidad y preci</w:t>
      </w:r>
      <w:r w:rsidR="00B32D71" w:rsidRPr="00B93138">
        <w:rPr>
          <w:rFonts w:ascii="Arial" w:hAnsi="Arial" w:cs="Arial"/>
          <w:sz w:val="22"/>
          <w:szCs w:val="22"/>
        </w:rPr>
        <w:t>o</w:t>
      </w:r>
      <w:r w:rsidR="00F246FF" w:rsidRPr="00B93138">
        <w:rPr>
          <w:rFonts w:ascii="Arial" w:hAnsi="Arial" w:cs="Arial"/>
          <w:sz w:val="22"/>
          <w:szCs w:val="22"/>
        </w:rPr>
        <w:t xml:space="preserve"> de las ofertas</w:t>
      </w:r>
      <w:r w:rsidR="00B32D71" w:rsidRPr="00B93138">
        <w:rPr>
          <w:rFonts w:ascii="Arial" w:hAnsi="Arial" w:cs="Arial"/>
          <w:sz w:val="22"/>
          <w:szCs w:val="22"/>
        </w:rPr>
        <w:t xml:space="preserve">. El literal a) </w:t>
      </w:r>
      <w:r w:rsidR="00DE5716" w:rsidRPr="00B93138">
        <w:rPr>
          <w:rFonts w:ascii="Arial" w:hAnsi="Arial" w:cs="Arial"/>
          <w:sz w:val="22"/>
          <w:szCs w:val="22"/>
        </w:rPr>
        <w:t>alude</w:t>
      </w:r>
      <w:r w:rsidR="00B32D71" w:rsidRPr="00B93138">
        <w:rPr>
          <w:rFonts w:ascii="Arial" w:hAnsi="Arial" w:cs="Arial"/>
          <w:sz w:val="22"/>
          <w:szCs w:val="22"/>
        </w:rPr>
        <w:t xml:space="preserve"> a la po</w:t>
      </w:r>
      <w:r w:rsidR="00C205EF" w:rsidRPr="00B93138">
        <w:rPr>
          <w:rFonts w:ascii="Arial" w:hAnsi="Arial" w:cs="Arial"/>
          <w:sz w:val="22"/>
          <w:szCs w:val="22"/>
        </w:rPr>
        <w:t>n</w:t>
      </w:r>
      <w:r w:rsidR="00B32D71" w:rsidRPr="00B93138">
        <w:rPr>
          <w:rFonts w:ascii="Arial" w:hAnsi="Arial" w:cs="Arial"/>
          <w:sz w:val="22"/>
          <w:szCs w:val="22"/>
        </w:rPr>
        <w:t>deración de lo</w:t>
      </w:r>
      <w:r w:rsidR="00C205EF" w:rsidRPr="00B93138">
        <w:rPr>
          <w:rFonts w:ascii="Arial" w:hAnsi="Arial" w:cs="Arial"/>
          <w:sz w:val="22"/>
          <w:szCs w:val="22"/>
        </w:rPr>
        <w:t xml:space="preserve">s referidos elementos mediante puntajes </w:t>
      </w:r>
      <w:r w:rsidR="00906166" w:rsidRPr="00B93138">
        <w:rPr>
          <w:rFonts w:ascii="Arial" w:hAnsi="Arial" w:cs="Arial"/>
          <w:sz w:val="22"/>
          <w:szCs w:val="22"/>
        </w:rPr>
        <w:t>o</w:t>
      </w:r>
      <w:r w:rsidR="00C205EF" w:rsidRPr="00B93138">
        <w:rPr>
          <w:rFonts w:ascii="Arial" w:hAnsi="Arial" w:cs="Arial"/>
          <w:sz w:val="22"/>
          <w:szCs w:val="22"/>
        </w:rPr>
        <w:t xml:space="preserve"> f</w:t>
      </w:r>
      <w:r w:rsidR="00DE5716" w:rsidRPr="00B93138">
        <w:rPr>
          <w:rFonts w:ascii="Arial" w:hAnsi="Arial" w:cs="Arial"/>
          <w:sz w:val="22"/>
          <w:szCs w:val="22"/>
        </w:rPr>
        <w:t>ó</w:t>
      </w:r>
      <w:r w:rsidR="00C205EF" w:rsidRPr="00B93138">
        <w:rPr>
          <w:rFonts w:ascii="Arial" w:hAnsi="Arial" w:cs="Arial"/>
          <w:sz w:val="22"/>
          <w:szCs w:val="22"/>
        </w:rPr>
        <w:t>rmulas</w:t>
      </w:r>
      <w:r w:rsidR="00DE5716" w:rsidRPr="00B93138">
        <w:rPr>
          <w:rFonts w:ascii="Arial" w:hAnsi="Arial" w:cs="Arial"/>
          <w:sz w:val="22"/>
          <w:szCs w:val="22"/>
        </w:rPr>
        <w:t>,</w:t>
      </w:r>
      <w:r w:rsidR="00C205EF" w:rsidRPr="00B93138">
        <w:rPr>
          <w:rFonts w:ascii="Arial" w:hAnsi="Arial" w:cs="Arial"/>
          <w:sz w:val="22"/>
          <w:szCs w:val="22"/>
        </w:rPr>
        <w:t xml:space="preserve"> </w:t>
      </w:r>
      <w:r w:rsidR="00F246FF" w:rsidRPr="00B93138">
        <w:rPr>
          <w:rFonts w:ascii="Arial" w:hAnsi="Arial" w:cs="Arial"/>
          <w:sz w:val="22"/>
          <w:szCs w:val="22"/>
        </w:rPr>
        <w:t>mientras que el literal</w:t>
      </w:r>
      <w:r w:rsidR="00C205EF" w:rsidRPr="00B93138">
        <w:rPr>
          <w:rFonts w:ascii="Arial" w:hAnsi="Arial" w:cs="Arial"/>
          <w:sz w:val="22"/>
          <w:szCs w:val="22"/>
        </w:rPr>
        <w:t xml:space="preserve"> b)</w:t>
      </w:r>
      <w:r w:rsidR="00F246FF" w:rsidRPr="00B93138">
        <w:rPr>
          <w:rFonts w:ascii="Arial" w:hAnsi="Arial" w:cs="Arial"/>
          <w:sz w:val="22"/>
          <w:szCs w:val="22"/>
        </w:rPr>
        <w:t xml:space="preserve"> se refie</w:t>
      </w:r>
      <w:r w:rsidR="00C403CD" w:rsidRPr="00B93138">
        <w:rPr>
          <w:rFonts w:ascii="Arial" w:hAnsi="Arial" w:cs="Arial"/>
          <w:sz w:val="22"/>
          <w:szCs w:val="22"/>
        </w:rPr>
        <w:t>re</w:t>
      </w:r>
      <w:r w:rsidR="00C205EF" w:rsidRPr="00B93138">
        <w:rPr>
          <w:rFonts w:ascii="Arial" w:hAnsi="Arial" w:cs="Arial"/>
          <w:sz w:val="22"/>
          <w:szCs w:val="22"/>
        </w:rPr>
        <w:t xml:space="preserve"> </w:t>
      </w:r>
      <w:r w:rsidR="006F0337">
        <w:rPr>
          <w:rFonts w:ascii="Arial" w:hAnsi="Arial" w:cs="Arial"/>
          <w:sz w:val="22"/>
          <w:szCs w:val="22"/>
        </w:rPr>
        <w:t xml:space="preserve">a </w:t>
      </w:r>
      <w:r w:rsidR="0061512C" w:rsidRPr="00B93138">
        <w:rPr>
          <w:rFonts w:ascii="Arial" w:hAnsi="Arial" w:cs="Arial"/>
          <w:sz w:val="22"/>
          <w:szCs w:val="22"/>
        </w:rPr>
        <w:t xml:space="preserve">la elección de la oferta </w:t>
      </w:r>
      <w:r w:rsidR="006A0ADE" w:rsidRPr="00B93138">
        <w:rPr>
          <w:rFonts w:ascii="Arial" w:hAnsi="Arial" w:cs="Arial"/>
          <w:sz w:val="22"/>
          <w:szCs w:val="22"/>
        </w:rPr>
        <w:t>que represent</w:t>
      </w:r>
      <w:r w:rsidR="00C403CD" w:rsidRPr="00B93138">
        <w:rPr>
          <w:rFonts w:ascii="Arial" w:hAnsi="Arial" w:cs="Arial"/>
          <w:sz w:val="22"/>
          <w:szCs w:val="22"/>
        </w:rPr>
        <w:t>e</w:t>
      </w:r>
      <w:r w:rsidR="006A0ADE" w:rsidRPr="00B93138">
        <w:rPr>
          <w:rFonts w:ascii="Arial" w:hAnsi="Arial" w:cs="Arial"/>
          <w:sz w:val="22"/>
          <w:szCs w:val="22"/>
        </w:rPr>
        <w:t xml:space="preserve"> la mejor relación costo</w:t>
      </w:r>
      <w:r w:rsidR="007C04BD" w:rsidRPr="00B93138">
        <w:rPr>
          <w:rFonts w:ascii="Arial" w:hAnsi="Arial" w:cs="Arial"/>
          <w:sz w:val="22"/>
          <w:szCs w:val="22"/>
        </w:rPr>
        <w:t xml:space="preserve"> – </w:t>
      </w:r>
      <w:r w:rsidR="006A0ADE" w:rsidRPr="00B93138">
        <w:rPr>
          <w:rFonts w:ascii="Arial" w:hAnsi="Arial" w:cs="Arial"/>
          <w:sz w:val="22"/>
          <w:szCs w:val="22"/>
        </w:rPr>
        <w:t>benefici</w:t>
      </w:r>
      <w:r w:rsidR="00C403CD" w:rsidRPr="00B93138">
        <w:rPr>
          <w:rFonts w:ascii="Arial" w:hAnsi="Arial" w:cs="Arial"/>
          <w:sz w:val="22"/>
          <w:szCs w:val="22"/>
        </w:rPr>
        <w:t>o</w:t>
      </w:r>
      <w:r w:rsidR="00B86C04" w:rsidRPr="00B93138">
        <w:rPr>
          <w:rFonts w:ascii="Arial" w:hAnsi="Arial" w:cs="Arial"/>
          <w:sz w:val="22"/>
          <w:szCs w:val="22"/>
        </w:rPr>
        <w:t xml:space="preserve"> para la entidad</w:t>
      </w:r>
      <w:r w:rsidR="00280754" w:rsidRPr="00B93138">
        <w:rPr>
          <w:rFonts w:ascii="Arial" w:hAnsi="Arial" w:cs="Arial"/>
          <w:sz w:val="22"/>
          <w:szCs w:val="22"/>
        </w:rPr>
        <w:t xml:space="preserve">. </w:t>
      </w:r>
    </w:p>
    <w:p w14:paraId="00F9FBC5" w14:textId="2FF33BD5" w:rsidR="00E8617F" w:rsidRPr="00B93138" w:rsidRDefault="00DB1142" w:rsidP="00EB2ED0">
      <w:pPr>
        <w:tabs>
          <w:tab w:val="left" w:pos="0"/>
        </w:tabs>
        <w:spacing w:after="120" w:line="276" w:lineRule="auto"/>
        <w:jc w:val="both"/>
        <w:rPr>
          <w:rFonts w:ascii="Arial" w:hAnsi="Arial" w:cs="Arial"/>
          <w:sz w:val="22"/>
          <w:szCs w:val="22"/>
        </w:rPr>
      </w:pPr>
      <w:r w:rsidRPr="00B93138">
        <w:rPr>
          <w:rFonts w:ascii="Arial" w:hAnsi="Arial" w:cs="Arial"/>
          <w:sz w:val="22"/>
          <w:szCs w:val="22"/>
        </w:rPr>
        <w:tab/>
      </w:r>
      <w:r w:rsidR="002F6FF9" w:rsidRPr="00B93138">
        <w:rPr>
          <w:rFonts w:ascii="Arial" w:hAnsi="Arial" w:cs="Arial"/>
          <w:sz w:val="22"/>
          <w:szCs w:val="22"/>
        </w:rPr>
        <w:t>Por su parte, el numeral 3 establece que en los procesos de selección</w:t>
      </w:r>
      <w:r w:rsidR="00133ED2" w:rsidRPr="00B93138">
        <w:rPr>
          <w:rFonts w:ascii="Arial" w:hAnsi="Arial" w:cs="Arial"/>
          <w:sz w:val="22"/>
          <w:szCs w:val="22"/>
        </w:rPr>
        <w:t xml:space="preserve"> de bienes y servicios de características técnicas uniformes y de común utilización</w:t>
      </w:r>
      <w:r w:rsidR="009767BE" w:rsidRPr="00B93138">
        <w:rPr>
          <w:rFonts w:ascii="Arial" w:hAnsi="Arial" w:cs="Arial"/>
          <w:sz w:val="22"/>
          <w:szCs w:val="22"/>
        </w:rPr>
        <w:t xml:space="preserve"> el único factor de evaluación</w:t>
      </w:r>
      <w:r w:rsidR="00245B9E" w:rsidRPr="00B93138">
        <w:rPr>
          <w:rFonts w:ascii="Arial" w:hAnsi="Arial" w:cs="Arial"/>
          <w:sz w:val="22"/>
          <w:szCs w:val="22"/>
        </w:rPr>
        <w:t xml:space="preserve"> </w:t>
      </w:r>
      <w:r w:rsidR="005C514F" w:rsidRPr="00B93138">
        <w:rPr>
          <w:rFonts w:ascii="Arial" w:hAnsi="Arial" w:cs="Arial"/>
          <w:sz w:val="22"/>
          <w:szCs w:val="22"/>
        </w:rPr>
        <w:t>consiste en</w:t>
      </w:r>
      <w:r w:rsidR="00245B9E" w:rsidRPr="00B93138">
        <w:rPr>
          <w:rFonts w:ascii="Arial" w:hAnsi="Arial" w:cs="Arial"/>
          <w:sz w:val="22"/>
          <w:szCs w:val="22"/>
        </w:rPr>
        <w:t xml:space="preserve"> el menor precio.</w:t>
      </w:r>
      <w:r w:rsidR="00C403CD" w:rsidRPr="00B93138">
        <w:rPr>
          <w:rFonts w:ascii="Arial" w:hAnsi="Arial" w:cs="Arial"/>
          <w:sz w:val="22"/>
          <w:szCs w:val="22"/>
        </w:rPr>
        <w:t xml:space="preserve"> Por último, el numeral </w:t>
      </w:r>
      <w:r w:rsidR="00604622" w:rsidRPr="00B93138">
        <w:rPr>
          <w:rFonts w:ascii="Arial" w:hAnsi="Arial" w:cs="Arial"/>
          <w:sz w:val="22"/>
          <w:szCs w:val="22"/>
        </w:rPr>
        <w:t>4</w:t>
      </w:r>
      <w:r w:rsidR="00601055" w:rsidRPr="00B93138">
        <w:rPr>
          <w:rFonts w:ascii="Arial" w:hAnsi="Arial" w:cs="Arial"/>
          <w:sz w:val="22"/>
          <w:szCs w:val="22"/>
        </w:rPr>
        <w:t>, referente a procedimientos para selección de consultores,</w:t>
      </w:r>
      <w:r w:rsidR="00CA424D" w:rsidRPr="00B93138">
        <w:rPr>
          <w:rFonts w:ascii="Arial" w:hAnsi="Arial" w:cs="Arial"/>
          <w:sz w:val="22"/>
          <w:szCs w:val="22"/>
        </w:rPr>
        <w:t xml:space="preserve"> </w:t>
      </w:r>
      <w:r w:rsidR="00966948" w:rsidRPr="00B93138">
        <w:rPr>
          <w:rFonts w:ascii="Arial" w:hAnsi="Arial" w:cs="Arial"/>
          <w:sz w:val="22"/>
          <w:szCs w:val="22"/>
        </w:rPr>
        <w:t>señala que debe hacer</w:t>
      </w:r>
      <w:r w:rsidR="00EC6044" w:rsidRPr="00B93138">
        <w:rPr>
          <w:rFonts w:ascii="Arial" w:hAnsi="Arial" w:cs="Arial"/>
          <w:sz w:val="22"/>
          <w:szCs w:val="22"/>
        </w:rPr>
        <w:t>se</w:t>
      </w:r>
      <w:r w:rsidR="00966948" w:rsidRPr="00B93138">
        <w:rPr>
          <w:rFonts w:ascii="Arial" w:hAnsi="Arial" w:cs="Arial"/>
          <w:sz w:val="22"/>
          <w:szCs w:val="22"/>
        </w:rPr>
        <w:t xml:space="preserve"> uso de factores </w:t>
      </w:r>
      <w:r w:rsidR="002B645D" w:rsidRPr="00B93138">
        <w:rPr>
          <w:rFonts w:ascii="Arial" w:hAnsi="Arial" w:cs="Arial"/>
          <w:sz w:val="22"/>
          <w:szCs w:val="22"/>
        </w:rPr>
        <w:t xml:space="preserve">de </w:t>
      </w:r>
      <w:r w:rsidR="00966948" w:rsidRPr="00B93138">
        <w:rPr>
          <w:rFonts w:ascii="Arial" w:hAnsi="Arial" w:cs="Arial"/>
          <w:sz w:val="22"/>
          <w:szCs w:val="22"/>
        </w:rPr>
        <w:t>calificación, para</w:t>
      </w:r>
      <w:r w:rsidR="00601055" w:rsidRPr="00B93138">
        <w:rPr>
          <w:rFonts w:ascii="Arial" w:hAnsi="Arial" w:cs="Arial"/>
          <w:sz w:val="22"/>
          <w:szCs w:val="22"/>
        </w:rPr>
        <w:t xml:space="preserve"> valorar los aspectos técnicos de la oferta</w:t>
      </w:r>
      <w:r w:rsidR="00EC6044" w:rsidRPr="00B93138">
        <w:rPr>
          <w:rFonts w:ascii="Arial" w:hAnsi="Arial" w:cs="Arial"/>
          <w:sz w:val="22"/>
          <w:szCs w:val="22"/>
        </w:rPr>
        <w:t xml:space="preserve">, permitiendo que entre ellos se </w:t>
      </w:r>
      <w:r w:rsidR="005C514F" w:rsidRPr="00B93138">
        <w:rPr>
          <w:rFonts w:ascii="Arial" w:hAnsi="Arial" w:cs="Arial"/>
          <w:sz w:val="22"/>
          <w:szCs w:val="22"/>
        </w:rPr>
        <w:t xml:space="preserve">pondere </w:t>
      </w:r>
      <w:r w:rsidR="00EC6044" w:rsidRPr="00B93138">
        <w:rPr>
          <w:rFonts w:ascii="Arial" w:hAnsi="Arial" w:cs="Arial"/>
          <w:sz w:val="22"/>
          <w:szCs w:val="22"/>
        </w:rPr>
        <w:t>la experiencia.</w:t>
      </w:r>
    </w:p>
    <w:p w14:paraId="36E6F7E3" w14:textId="33F67CEE" w:rsidR="000F4141" w:rsidRPr="00B93138" w:rsidRDefault="008C3F27" w:rsidP="00EB2ED0">
      <w:pPr>
        <w:tabs>
          <w:tab w:val="left" w:pos="0"/>
        </w:tabs>
        <w:spacing w:line="276" w:lineRule="auto"/>
        <w:jc w:val="both"/>
        <w:rPr>
          <w:rFonts w:ascii="Arial" w:eastAsiaTheme="minorHAnsi" w:hAnsi="Arial" w:cs="Arial"/>
          <w:sz w:val="22"/>
          <w:szCs w:val="22"/>
          <w:lang w:eastAsia="en-US"/>
        </w:rPr>
      </w:pPr>
      <w:r w:rsidRPr="00B93138">
        <w:rPr>
          <w:rFonts w:ascii="Arial" w:hAnsi="Arial" w:cs="Arial"/>
          <w:sz w:val="22"/>
          <w:szCs w:val="22"/>
        </w:rPr>
        <w:tab/>
        <w:t>Conform</w:t>
      </w:r>
      <w:r w:rsidR="001D6F14" w:rsidRPr="00B93138">
        <w:rPr>
          <w:rFonts w:ascii="Arial" w:hAnsi="Arial" w:cs="Arial"/>
          <w:sz w:val="22"/>
          <w:szCs w:val="22"/>
        </w:rPr>
        <w:t>e a</w:t>
      </w:r>
      <w:r w:rsidRPr="00B93138">
        <w:rPr>
          <w:rFonts w:ascii="Arial" w:hAnsi="Arial" w:cs="Arial"/>
          <w:sz w:val="22"/>
          <w:szCs w:val="22"/>
        </w:rPr>
        <w:t xml:space="preserve"> lo anterior, el artículo 5 de la Ley 1150 de 2007 alude a diferentes conceptos</w:t>
      </w:r>
      <w:r w:rsidR="002E4C47">
        <w:rPr>
          <w:rFonts w:ascii="Arial" w:hAnsi="Arial" w:cs="Arial"/>
          <w:sz w:val="22"/>
          <w:szCs w:val="22"/>
        </w:rPr>
        <w:t>,</w:t>
      </w:r>
      <w:r w:rsidRPr="00B93138">
        <w:rPr>
          <w:rFonts w:ascii="Arial" w:hAnsi="Arial" w:cs="Arial"/>
          <w:sz w:val="22"/>
          <w:szCs w:val="22"/>
        </w:rPr>
        <w:t xml:space="preserve"> como </w:t>
      </w:r>
      <w:r w:rsidR="001D3F00" w:rsidRPr="00B93138">
        <w:rPr>
          <w:rFonts w:ascii="Arial" w:hAnsi="Arial" w:cs="Arial"/>
          <w:sz w:val="22"/>
          <w:szCs w:val="22"/>
        </w:rPr>
        <w:t>factores de escogencia</w:t>
      </w:r>
      <w:r w:rsidR="00DB1142" w:rsidRPr="00B93138">
        <w:rPr>
          <w:rFonts w:ascii="Arial" w:hAnsi="Arial" w:cs="Arial"/>
          <w:sz w:val="22"/>
          <w:szCs w:val="22"/>
        </w:rPr>
        <w:t>,</w:t>
      </w:r>
      <w:r w:rsidR="00A622EA" w:rsidRPr="00B93138">
        <w:rPr>
          <w:rFonts w:ascii="Arial" w:hAnsi="Arial" w:cs="Arial"/>
          <w:sz w:val="22"/>
          <w:szCs w:val="22"/>
        </w:rPr>
        <w:t xml:space="preserve"> de</w:t>
      </w:r>
      <w:r w:rsidR="0048478C" w:rsidRPr="00B93138">
        <w:rPr>
          <w:rFonts w:ascii="Arial" w:hAnsi="Arial" w:cs="Arial"/>
          <w:sz w:val="22"/>
          <w:szCs w:val="22"/>
        </w:rPr>
        <w:t xml:space="preserve"> calificación</w:t>
      </w:r>
      <w:r w:rsidR="001D3F00" w:rsidRPr="00B93138">
        <w:rPr>
          <w:rFonts w:ascii="Arial" w:hAnsi="Arial" w:cs="Arial"/>
          <w:sz w:val="22"/>
          <w:szCs w:val="22"/>
        </w:rPr>
        <w:t>,</w:t>
      </w:r>
      <w:r w:rsidR="003F051D" w:rsidRPr="00B93138">
        <w:rPr>
          <w:rFonts w:ascii="Arial" w:hAnsi="Arial" w:cs="Arial"/>
          <w:sz w:val="22"/>
          <w:szCs w:val="22"/>
        </w:rPr>
        <w:t xml:space="preserve"> </w:t>
      </w:r>
      <w:r w:rsidR="0048478C" w:rsidRPr="00B93138">
        <w:rPr>
          <w:rFonts w:ascii="Arial" w:hAnsi="Arial" w:cs="Arial"/>
          <w:sz w:val="22"/>
          <w:szCs w:val="22"/>
        </w:rPr>
        <w:t>técnicos y económicos</w:t>
      </w:r>
      <w:r w:rsidR="00FD72E7" w:rsidRPr="00B93138">
        <w:rPr>
          <w:rFonts w:ascii="Arial" w:hAnsi="Arial" w:cs="Arial"/>
          <w:sz w:val="22"/>
          <w:szCs w:val="22"/>
        </w:rPr>
        <w:t xml:space="preserve"> de escogencia</w:t>
      </w:r>
      <w:r w:rsidR="00DB732A" w:rsidRPr="00B93138">
        <w:rPr>
          <w:rFonts w:ascii="Arial" w:hAnsi="Arial" w:cs="Arial"/>
          <w:sz w:val="22"/>
          <w:szCs w:val="22"/>
        </w:rPr>
        <w:t xml:space="preserve">, </w:t>
      </w:r>
      <w:r w:rsidR="00274522" w:rsidRPr="00B93138">
        <w:rPr>
          <w:rFonts w:ascii="Arial" w:hAnsi="Arial" w:cs="Arial"/>
          <w:sz w:val="22"/>
          <w:szCs w:val="22"/>
        </w:rPr>
        <w:t>de evaluación</w:t>
      </w:r>
      <w:r w:rsidR="00996851" w:rsidRPr="00B93138">
        <w:rPr>
          <w:rFonts w:ascii="Arial" w:hAnsi="Arial" w:cs="Arial"/>
          <w:sz w:val="22"/>
          <w:szCs w:val="22"/>
        </w:rPr>
        <w:t xml:space="preserve"> y calificación. </w:t>
      </w:r>
      <w:r w:rsidR="00906166" w:rsidRPr="00B93138">
        <w:rPr>
          <w:rFonts w:ascii="Arial" w:hAnsi="Arial" w:cs="Arial"/>
          <w:sz w:val="22"/>
          <w:szCs w:val="22"/>
        </w:rPr>
        <w:t>Además</w:t>
      </w:r>
      <w:r w:rsidR="00996851" w:rsidRPr="00B93138">
        <w:rPr>
          <w:rFonts w:ascii="Arial" w:hAnsi="Arial" w:cs="Arial"/>
          <w:sz w:val="22"/>
          <w:szCs w:val="22"/>
        </w:rPr>
        <w:t xml:space="preserve">, el </w:t>
      </w:r>
      <w:r w:rsidR="00B94017" w:rsidRPr="00B93138">
        <w:rPr>
          <w:rFonts w:ascii="Arial" w:hAnsi="Arial" w:cs="Arial"/>
          <w:sz w:val="22"/>
          <w:szCs w:val="22"/>
        </w:rPr>
        <w:t xml:space="preserve">artículo </w:t>
      </w:r>
      <w:r w:rsidR="002E4C47">
        <w:rPr>
          <w:rFonts w:ascii="Arial" w:hAnsi="Arial" w:cs="Arial"/>
          <w:sz w:val="22"/>
          <w:szCs w:val="22"/>
        </w:rPr>
        <w:t>se refiere</w:t>
      </w:r>
      <w:r w:rsidR="00666D4B" w:rsidRPr="00B93138">
        <w:rPr>
          <w:rFonts w:ascii="Arial" w:hAnsi="Arial" w:cs="Arial"/>
          <w:sz w:val="22"/>
          <w:szCs w:val="22"/>
        </w:rPr>
        <w:t xml:space="preserve"> a</w:t>
      </w:r>
      <w:r w:rsidR="00B94017" w:rsidRPr="00B93138">
        <w:rPr>
          <w:rFonts w:ascii="Arial" w:hAnsi="Arial" w:cs="Arial"/>
          <w:sz w:val="22"/>
          <w:szCs w:val="22"/>
        </w:rPr>
        <w:t xml:space="preserve"> unos factores que no otorgan puntaje </w:t>
      </w:r>
      <w:r w:rsidR="003945C3" w:rsidRPr="00B93138">
        <w:rPr>
          <w:rFonts w:ascii="Arial" w:hAnsi="Arial" w:cs="Arial"/>
          <w:sz w:val="22"/>
          <w:szCs w:val="22"/>
        </w:rPr>
        <w:t xml:space="preserve">y </w:t>
      </w:r>
      <w:r w:rsidR="002E4C47">
        <w:rPr>
          <w:rFonts w:ascii="Arial" w:hAnsi="Arial" w:cs="Arial"/>
          <w:sz w:val="22"/>
          <w:szCs w:val="22"/>
        </w:rPr>
        <w:t>a</w:t>
      </w:r>
      <w:r w:rsidR="003945C3" w:rsidRPr="00B93138">
        <w:rPr>
          <w:rFonts w:ascii="Arial" w:hAnsi="Arial" w:cs="Arial"/>
          <w:sz w:val="22"/>
          <w:szCs w:val="22"/>
        </w:rPr>
        <w:t xml:space="preserve"> </w:t>
      </w:r>
      <w:r w:rsidR="00666D4B" w:rsidRPr="00B93138">
        <w:rPr>
          <w:rFonts w:ascii="Arial" w:hAnsi="Arial" w:cs="Arial"/>
          <w:sz w:val="22"/>
          <w:szCs w:val="22"/>
        </w:rPr>
        <w:t>otros</w:t>
      </w:r>
      <w:r w:rsidR="003945C3" w:rsidRPr="00B93138">
        <w:rPr>
          <w:rFonts w:ascii="Arial" w:hAnsi="Arial" w:cs="Arial"/>
          <w:sz w:val="22"/>
          <w:szCs w:val="22"/>
        </w:rPr>
        <w:t xml:space="preserve"> que inciden en la comparación de ofertas. </w:t>
      </w:r>
      <w:r w:rsidR="00A622EA" w:rsidRPr="00B93138">
        <w:rPr>
          <w:rFonts w:ascii="Arial" w:hAnsi="Arial" w:cs="Arial"/>
          <w:sz w:val="22"/>
          <w:szCs w:val="22"/>
        </w:rPr>
        <w:t>En línea con esto</w:t>
      </w:r>
      <w:r w:rsidR="00581FDB" w:rsidRPr="00B93138">
        <w:rPr>
          <w:rFonts w:ascii="Arial" w:hAnsi="Arial" w:cs="Arial"/>
          <w:sz w:val="22"/>
          <w:szCs w:val="22"/>
        </w:rPr>
        <w:t xml:space="preserve"> último</w:t>
      </w:r>
      <w:r w:rsidR="00A622EA" w:rsidRPr="00B93138">
        <w:rPr>
          <w:rFonts w:ascii="Arial" w:hAnsi="Arial" w:cs="Arial"/>
          <w:sz w:val="22"/>
          <w:szCs w:val="22"/>
        </w:rPr>
        <w:t>,</w:t>
      </w:r>
      <w:r w:rsidR="000572DE" w:rsidRPr="00B93138">
        <w:rPr>
          <w:rFonts w:ascii="Arial" w:hAnsi="Arial" w:cs="Arial"/>
          <w:sz w:val="22"/>
          <w:szCs w:val="22"/>
        </w:rPr>
        <w:t xml:space="preserve"> la doctrina </w:t>
      </w:r>
      <w:r w:rsidR="00666D4B" w:rsidRPr="00B93138">
        <w:rPr>
          <w:rFonts w:ascii="Arial" w:hAnsi="Arial" w:cs="Arial"/>
          <w:sz w:val="22"/>
          <w:szCs w:val="22"/>
        </w:rPr>
        <w:t>define los</w:t>
      </w:r>
      <w:r w:rsidR="000F4141" w:rsidRPr="00B93138">
        <w:rPr>
          <w:rFonts w:ascii="Arial" w:hAnsi="Arial" w:cs="Arial"/>
          <w:sz w:val="22"/>
          <w:szCs w:val="22"/>
        </w:rPr>
        <w:t xml:space="preserve"> requisitos o factores ponderables</w:t>
      </w:r>
      <w:r w:rsidR="0024790F" w:rsidRPr="00B93138">
        <w:rPr>
          <w:rFonts w:ascii="Arial" w:hAnsi="Arial" w:cs="Arial"/>
          <w:sz w:val="22"/>
          <w:szCs w:val="22"/>
        </w:rPr>
        <w:t xml:space="preserve"> como </w:t>
      </w:r>
      <w:r w:rsidR="0024790F" w:rsidRPr="00B93138">
        <w:rPr>
          <w:rFonts w:ascii="Arial" w:hAnsi="Arial" w:cs="Arial"/>
          <w:sz w:val="22"/>
          <w:szCs w:val="22"/>
          <w:lang w:val="es-ES_tradnl"/>
        </w:rPr>
        <w:t>«[…]</w:t>
      </w:r>
      <w:r w:rsidR="0024790F" w:rsidRPr="00B93138">
        <w:rPr>
          <w:rFonts w:ascii="Arial" w:eastAsiaTheme="minorHAnsi" w:hAnsi="Arial" w:cs="Arial"/>
          <w:sz w:val="22"/>
          <w:szCs w:val="22"/>
          <w:lang w:eastAsia="en-US"/>
        </w:rPr>
        <w:t xml:space="preserve"> </w:t>
      </w:r>
      <w:r w:rsidR="0024790F" w:rsidRPr="00B93138">
        <w:rPr>
          <w:rFonts w:ascii="Arial" w:hAnsi="Arial" w:cs="Arial"/>
          <w:sz w:val="22"/>
          <w:szCs w:val="22"/>
        </w:rPr>
        <w:t xml:space="preserve">aquellas condiciones de la oferta y no de quien la presenta, que sí entrarán a ser evaluadas por la Administración y </w:t>
      </w:r>
      <w:r w:rsidR="00D86C90" w:rsidRPr="00B93138">
        <w:rPr>
          <w:rFonts w:ascii="Arial" w:hAnsi="Arial" w:cs="Arial"/>
          <w:sz w:val="22"/>
          <w:szCs w:val="22"/>
        </w:rPr>
        <w:t>que,</w:t>
      </w:r>
      <w:r w:rsidR="0024790F" w:rsidRPr="00B93138">
        <w:rPr>
          <w:rFonts w:ascii="Arial" w:hAnsi="Arial" w:cs="Arial"/>
          <w:sz w:val="22"/>
          <w:szCs w:val="22"/>
        </w:rPr>
        <w:t xml:space="preserve"> en consecuencia, darán lugar a la escogencia objetiva de la mejor propuesta para la entidad</w:t>
      </w:r>
      <w:r w:rsidR="0024790F" w:rsidRPr="00B93138">
        <w:rPr>
          <w:rFonts w:ascii="Arial" w:eastAsiaTheme="minorHAnsi" w:hAnsi="Arial" w:cs="Arial"/>
          <w:sz w:val="22"/>
          <w:szCs w:val="22"/>
          <w:lang w:eastAsia="en-US"/>
        </w:rPr>
        <w:t>»</w:t>
      </w:r>
      <w:r w:rsidR="000D2C93" w:rsidRPr="00B93138">
        <w:rPr>
          <w:rStyle w:val="Refdenotaalpie"/>
          <w:rFonts w:ascii="Arial" w:hAnsi="Arial" w:cs="Arial"/>
          <w:sz w:val="22"/>
          <w:szCs w:val="22"/>
        </w:rPr>
        <w:footnoteReference w:id="16"/>
      </w:r>
      <w:r w:rsidR="0024790F" w:rsidRPr="00B93138">
        <w:rPr>
          <w:rFonts w:ascii="Arial" w:eastAsiaTheme="minorHAnsi" w:hAnsi="Arial" w:cs="Arial"/>
          <w:sz w:val="22"/>
          <w:szCs w:val="22"/>
          <w:lang w:eastAsia="en-US"/>
        </w:rPr>
        <w:t>.</w:t>
      </w:r>
      <w:r w:rsidR="000374FB" w:rsidRPr="00B93138">
        <w:rPr>
          <w:rFonts w:ascii="Arial" w:eastAsiaTheme="minorHAnsi" w:hAnsi="Arial" w:cs="Arial"/>
          <w:sz w:val="22"/>
          <w:szCs w:val="22"/>
          <w:lang w:eastAsia="en-US"/>
        </w:rPr>
        <w:t xml:space="preserve"> Todas estas categorías designa</w:t>
      </w:r>
      <w:r w:rsidR="00420547" w:rsidRPr="00B93138">
        <w:rPr>
          <w:rFonts w:ascii="Arial" w:eastAsiaTheme="minorHAnsi" w:hAnsi="Arial" w:cs="Arial"/>
          <w:sz w:val="22"/>
          <w:szCs w:val="22"/>
          <w:lang w:eastAsia="en-US"/>
        </w:rPr>
        <w:t>n los</w:t>
      </w:r>
      <w:r w:rsidR="000374FB" w:rsidRPr="00B93138">
        <w:rPr>
          <w:rFonts w:ascii="Arial" w:eastAsiaTheme="minorHAnsi" w:hAnsi="Arial" w:cs="Arial"/>
          <w:sz w:val="22"/>
          <w:szCs w:val="22"/>
          <w:lang w:eastAsia="en-US"/>
        </w:rPr>
        <w:t xml:space="preserve"> </w:t>
      </w:r>
      <w:r w:rsidR="00371563" w:rsidRPr="00B93138">
        <w:rPr>
          <w:rFonts w:ascii="Arial" w:hAnsi="Arial" w:cs="Arial"/>
          <w:sz w:val="22"/>
          <w:szCs w:val="22"/>
          <w:lang w:val="es-ES_tradnl"/>
        </w:rPr>
        <w:t>«[…]</w:t>
      </w:r>
      <w:r w:rsidR="00371563" w:rsidRPr="00B93138">
        <w:rPr>
          <w:rFonts w:ascii="Arial" w:eastAsiaTheme="minorHAnsi" w:hAnsi="Arial" w:cs="Arial"/>
          <w:sz w:val="22"/>
          <w:szCs w:val="22"/>
          <w:lang w:eastAsia="en-US"/>
        </w:rPr>
        <w:t xml:space="preserve"> </w:t>
      </w:r>
      <w:r w:rsidR="000374FB" w:rsidRPr="00B93138">
        <w:rPr>
          <w:rFonts w:ascii="Arial" w:eastAsiaTheme="minorHAnsi" w:hAnsi="Arial" w:cs="Arial"/>
          <w:sz w:val="22"/>
          <w:szCs w:val="22"/>
          <w:lang w:eastAsia="en-US"/>
        </w:rPr>
        <w:t xml:space="preserve">factores a los cuales cabe otorgarles puntajes o que pueden ser ponderados, precisamente, pues estos </w:t>
      </w:r>
      <w:r w:rsidR="000374FB" w:rsidRPr="00B93138">
        <w:rPr>
          <w:rFonts w:ascii="Arial" w:eastAsiaTheme="minorHAnsi" w:hAnsi="Arial" w:cs="Arial"/>
          <w:sz w:val="22"/>
          <w:szCs w:val="22"/>
          <w:lang w:eastAsia="en-US"/>
        </w:rPr>
        <w:lastRenderedPageBreak/>
        <w:t>son los factores que en últimas permiten una comparación de ofertas y una diferenciación entre ellas</w:t>
      </w:r>
      <w:r w:rsidR="00371563" w:rsidRPr="00B93138">
        <w:rPr>
          <w:rFonts w:ascii="Arial" w:eastAsiaTheme="minorHAnsi" w:hAnsi="Arial" w:cs="Arial"/>
          <w:sz w:val="22"/>
          <w:szCs w:val="22"/>
          <w:lang w:eastAsia="en-US"/>
        </w:rPr>
        <w:t>»</w:t>
      </w:r>
      <w:r w:rsidR="00987E4B" w:rsidRPr="00B93138">
        <w:rPr>
          <w:rStyle w:val="Refdenotaalpie"/>
          <w:rFonts w:ascii="Arial" w:eastAsiaTheme="minorHAnsi" w:hAnsi="Arial" w:cs="Arial"/>
          <w:sz w:val="22"/>
          <w:szCs w:val="22"/>
          <w:lang w:eastAsia="en-US"/>
        </w:rPr>
        <w:footnoteReference w:id="17"/>
      </w:r>
      <w:r w:rsidR="000374FB" w:rsidRPr="00B93138">
        <w:rPr>
          <w:rFonts w:ascii="Arial" w:eastAsiaTheme="minorHAnsi" w:hAnsi="Arial" w:cs="Arial"/>
          <w:sz w:val="22"/>
          <w:szCs w:val="22"/>
          <w:lang w:eastAsia="en-US"/>
        </w:rPr>
        <w:t>.</w:t>
      </w:r>
      <w:r w:rsidR="00E26950" w:rsidRPr="00B93138">
        <w:rPr>
          <w:rFonts w:ascii="Arial" w:eastAsiaTheme="minorHAnsi" w:hAnsi="Arial" w:cs="Arial"/>
          <w:sz w:val="22"/>
          <w:szCs w:val="22"/>
          <w:lang w:eastAsia="en-US"/>
        </w:rPr>
        <w:t xml:space="preserve"> Conforme a esto, </w:t>
      </w:r>
      <w:r w:rsidR="00096D15" w:rsidRPr="00B93138">
        <w:rPr>
          <w:rFonts w:ascii="Arial" w:eastAsiaTheme="minorHAnsi" w:hAnsi="Arial" w:cs="Arial"/>
          <w:sz w:val="22"/>
          <w:szCs w:val="22"/>
          <w:lang w:eastAsia="en-US"/>
        </w:rPr>
        <w:t>la doctrina explica que</w:t>
      </w:r>
      <w:r w:rsidR="00D30FEA" w:rsidRPr="00B93138">
        <w:rPr>
          <w:rFonts w:ascii="Arial" w:eastAsiaTheme="minorHAnsi" w:hAnsi="Arial" w:cs="Arial"/>
          <w:sz w:val="22"/>
          <w:szCs w:val="22"/>
          <w:lang w:eastAsia="en-US"/>
        </w:rPr>
        <w:t>:</w:t>
      </w:r>
    </w:p>
    <w:p w14:paraId="601D283A" w14:textId="77777777" w:rsidR="00705806" w:rsidRPr="00B93138" w:rsidRDefault="00705806" w:rsidP="00EB2ED0">
      <w:pPr>
        <w:tabs>
          <w:tab w:val="left" w:pos="0"/>
        </w:tabs>
        <w:ind w:left="709" w:right="709"/>
        <w:jc w:val="both"/>
        <w:rPr>
          <w:rFonts w:ascii="Arial" w:eastAsia="Calibri" w:hAnsi="Arial" w:cs="Arial"/>
          <w:bCs/>
          <w:sz w:val="21"/>
          <w:szCs w:val="21"/>
        </w:rPr>
      </w:pPr>
    </w:p>
    <w:p w14:paraId="050FBF7A" w14:textId="5A03D55D" w:rsidR="00E26950" w:rsidRPr="00B93138" w:rsidRDefault="00E26950" w:rsidP="00EB2ED0">
      <w:pPr>
        <w:tabs>
          <w:tab w:val="left" w:pos="0"/>
        </w:tabs>
        <w:spacing w:after="120"/>
        <w:ind w:left="709" w:right="709"/>
        <w:jc w:val="both"/>
        <w:rPr>
          <w:rFonts w:ascii="Arial" w:eastAsia="Calibri" w:hAnsi="Arial" w:cs="Arial"/>
          <w:bCs/>
          <w:sz w:val="21"/>
          <w:szCs w:val="21"/>
        </w:rPr>
      </w:pPr>
      <w:r w:rsidRPr="00B93138">
        <w:rPr>
          <w:rFonts w:ascii="Arial" w:eastAsia="Calibri" w:hAnsi="Arial" w:cs="Arial"/>
          <w:bCs/>
          <w:sz w:val="21"/>
          <w:szCs w:val="21"/>
        </w:rPr>
        <w:t xml:space="preserve">De acuerdo con ese entendimiento, el numeral 2 del artículo 5.° de la Ley  1150 de 2007, modificado por el artículo 88 de la Ley 1474 de 2011, comienza por señalar que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Es decir que los factores de ponderación o de evaluación son los que en realidad determinan la propuesta que mejor satisface las necesidades de la Administración y no simplemente cuál de los proponentes es el más idóneo en la ejecución del contrato, pues, se insiste, todo oferente que supere los requisitos mínimos habilitantes se entiende que es suficientemente idóneo para la ejecución del objeto contractual.  </w:t>
      </w:r>
    </w:p>
    <w:p w14:paraId="0B69612A" w14:textId="77777777" w:rsidR="00493870" w:rsidRPr="00B93138" w:rsidRDefault="00493870" w:rsidP="00EB2ED0">
      <w:pPr>
        <w:tabs>
          <w:tab w:val="left" w:pos="0"/>
        </w:tabs>
        <w:ind w:left="709" w:right="709"/>
        <w:jc w:val="both"/>
        <w:rPr>
          <w:rFonts w:ascii="Arial" w:eastAsia="Calibri" w:hAnsi="Arial" w:cs="Arial"/>
          <w:bCs/>
          <w:sz w:val="21"/>
          <w:szCs w:val="21"/>
        </w:rPr>
      </w:pPr>
      <w:r w:rsidRPr="00B93138">
        <w:rPr>
          <w:rFonts w:ascii="Arial" w:eastAsia="Calibri" w:hAnsi="Arial" w:cs="Arial"/>
          <w:bCs/>
          <w:sz w:val="21"/>
          <w:szCs w:val="21"/>
        </w:rPr>
        <w:t xml:space="preserve">De nuevo, aquí es preciso señalar que es el pliego de condiciones el que debe determinar cuáles son esos factores que en cada caso concreto permiten hacer una comparación entre las ofertas presentadas y, con base en ello, determinar cuál es la más favorable para la Administración Pública. </w:t>
      </w:r>
    </w:p>
    <w:p w14:paraId="64C14DDD" w14:textId="77777777" w:rsidR="00493870" w:rsidRPr="00B93138" w:rsidRDefault="00493870" w:rsidP="00EB2ED0">
      <w:pPr>
        <w:tabs>
          <w:tab w:val="left" w:pos="0"/>
        </w:tabs>
        <w:spacing w:after="120"/>
        <w:ind w:left="709" w:right="709"/>
        <w:jc w:val="both"/>
        <w:rPr>
          <w:rFonts w:ascii="Arial" w:eastAsia="Calibri" w:hAnsi="Arial" w:cs="Arial"/>
          <w:bCs/>
          <w:sz w:val="21"/>
          <w:szCs w:val="21"/>
        </w:rPr>
      </w:pPr>
      <w:r w:rsidRPr="00B93138">
        <w:rPr>
          <w:rFonts w:ascii="Arial" w:eastAsia="Calibri" w:hAnsi="Arial" w:cs="Arial"/>
          <w:bCs/>
          <w:sz w:val="21"/>
          <w:szCs w:val="21"/>
        </w:rPr>
        <w:t>[…]</w:t>
      </w:r>
    </w:p>
    <w:p w14:paraId="66D50DAB" w14:textId="65628AC6" w:rsidR="00493870" w:rsidRPr="00B93138" w:rsidRDefault="00493870" w:rsidP="00EB2ED0">
      <w:pPr>
        <w:tabs>
          <w:tab w:val="left" w:pos="0"/>
        </w:tabs>
        <w:ind w:left="709" w:right="709"/>
        <w:jc w:val="both"/>
        <w:rPr>
          <w:rFonts w:ascii="Arial" w:eastAsia="Calibri" w:hAnsi="Arial" w:cs="Arial"/>
          <w:bCs/>
          <w:sz w:val="21"/>
          <w:szCs w:val="21"/>
        </w:rPr>
      </w:pPr>
      <w:r w:rsidRPr="00B93138">
        <w:rPr>
          <w:rFonts w:ascii="Arial" w:eastAsia="Calibri" w:hAnsi="Arial" w:cs="Arial"/>
          <w:bCs/>
          <w:sz w:val="21"/>
          <w:szCs w:val="21"/>
        </w:rPr>
        <w:t>Una siguiente conclusión que se deriva de la norma parcialmente transcrita consiste en que los pliegos de condiciones deben determinar dos situaciones por separado: 1. cuáles serán los factores o requisitos que serán evaluados por la Administración y 2. cuáles son los criterios para asignar puntaje a cada uno de los factores de evaluación y, con base en ello, poder hacer la comparación entre las ofertas y concluir cuál de ellas es la más ventajosa para la entidad estatal</w:t>
      </w:r>
      <w:r w:rsidRPr="00B93138">
        <w:rPr>
          <w:rStyle w:val="Refdenotaalpie"/>
          <w:rFonts w:ascii="Arial" w:eastAsia="Calibri" w:hAnsi="Arial" w:cs="Arial"/>
          <w:bCs/>
          <w:sz w:val="21"/>
          <w:szCs w:val="21"/>
        </w:rPr>
        <w:footnoteReference w:id="18"/>
      </w:r>
      <w:r w:rsidRPr="00B93138">
        <w:rPr>
          <w:rFonts w:ascii="Arial" w:eastAsia="Calibri" w:hAnsi="Arial" w:cs="Arial"/>
          <w:bCs/>
          <w:sz w:val="21"/>
          <w:szCs w:val="21"/>
        </w:rPr>
        <w:t>.</w:t>
      </w:r>
    </w:p>
    <w:p w14:paraId="21F59504" w14:textId="77777777" w:rsidR="00493870" w:rsidRPr="00B93138" w:rsidRDefault="00493870" w:rsidP="00EB2ED0">
      <w:pPr>
        <w:tabs>
          <w:tab w:val="left" w:pos="0"/>
        </w:tabs>
        <w:ind w:left="709" w:right="709"/>
        <w:jc w:val="both"/>
        <w:rPr>
          <w:rFonts w:ascii="Arial" w:eastAsia="Calibri" w:hAnsi="Arial" w:cs="Arial"/>
          <w:bCs/>
          <w:sz w:val="21"/>
          <w:szCs w:val="21"/>
        </w:rPr>
      </w:pPr>
    </w:p>
    <w:p w14:paraId="28AA5F8D" w14:textId="7658A4DD" w:rsidR="00C71304" w:rsidRPr="00B93138" w:rsidRDefault="00FB551D" w:rsidP="00EB2ED0">
      <w:pPr>
        <w:tabs>
          <w:tab w:val="left" w:pos="0"/>
        </w:tabs>
        <w:spacing w:after="120" w:line="276" w:lineRule="auto"/>
        <w:jc w:val="both"/>
        <w:rPr>
          <w:rFonts w:ascii="Arial" w:eastAsia="Calibri" w:hAnsi="Arial" w:cs="Arial"/>
          <w:bCs/>
          <w:sz w:val="22"/>
          <w:szCs w:val="22"/>
        </w:rPr>
      </w:pPr>
      <w:r w:rsidRPr="00B93138">
        <w:rPr>
          <w:rFonts w:ascii="Arial" w:eastAsia="Calibri" w:hAnsi="Arial" w:cs="Arial"/>
          <w:bCs/>
          <w:sz w:val="22"/>
          <w:szCs w:val="22"/>
        </w:rPr>
        <w:tab/>
        <w:t xml:space="preserve">De acuerdo </w:t>
      </w:r>
      <w:r w:rsidR="00FA4E49" w:rsidRPr="00B93138">
        <w:rPr>
          <w:rFonts w:ascii="Arial" w:eastAsia="Calibri" w:hAnsi="Arial" w:cs="Arial"/>
          <w:bCs/>
          <w:sz w:val="22"/>
          <w:szCs w:val="22"/>
        </w:rPr>
        <w:t>con</w:t>
      </w:r>
      <w:r w:rsidRPr="00B93138">
        <w:rPr>
          <w:rFonts w:ascii="Arial" w:eastAsia="Calibri" w:hAnsi="Arial" w:cs="Arial"/>
          <w:bCs/>
          <w:sz w:val="22"/>
          <w:szCs w:val="22"/>
        </w:rPr>
        <w:t xml:space="preserve"> lo anterior, es posible asimilar las</w:t>
      </w:r>
      <w:r w:rsidR="00D30041" w:rsidRPr="00B93138">
        <w:rPr>
          <w:rFonts w:ascii="Arial" w:eastAsia="Calibri" w:hAnsi="Arial" w:cs="Arial"/>
          <w:bCs/>
          <w:sz w:val="22"/>
          <w:szCs w:val="22"/>
        </w:rPr>
        <w:t xml:space="preserve"> diferentes categorí</w:t>
      </w:r>
      <w:r w:rsidR="00BC244D" w:rsidRPr="00B93138">
        <w:rPr>
          <w:rFonts w:ascii="Arial" w:eastAsia="Calibri" w:hAnsi="Arial" w:cs="Arial"/>
          <w:bCs/>
          <w:sz w:val="22"/>
          <w:szCs w:val="22"/>
        </w:rPr>
        <w:t>as a las que hace referencia el artículo 5 de la Ley 1150 de 2007, cuando alude a los factores que, a diferencia de los requisitos habilitantes, determinan la oferta más favorable para la entidad, y que</w:t>
      </w:r>
      <w:r w:rsidR="005E6EAD">
        <w:rPr>
          <w:rFonts w:ascii="Arial" w:eastAsia="Calibri" w:hAnsi="Arial" w:cs="Arial"/>
          <w:bCs/>
          <w:sz w:val="22"/>
          <w:szCs w:val="22"/>
        </w:rPr>
        <w:t>,</w:t>
      </w:r>
      <w:r w:rsidR="00BC244D" w:rsidRPr="00B93138">
        <w:rPr>
          <w:rFonts w:ascii="Arial" w:eastAsia="Calibri" w:hAnsi="Arial" w:cs="Arial"/>
          <w:bCs/>
          <w:sz w:val="22"/>
          <w:szCs w:val="22"/>
        </w:rPr>
        <w:t xml:space="preserve"> por lo tanto</w:t>
      </w:r>
      <w:r w:rsidR="005E6EAD">
        <w:rPr>
          <w:rFonts w:ascii="Arial" w:eastAsia="Calibri" w:hAnsi="Arial" w:cs="Arial"/>
          <w:bCs/>
          <w:sz w:val="22"/>
          <w:szCs w:val="22"/>
        </w:rPr>
        <w:t>,</w:t>
      </w:r>
      <w:r w:rsidR="00BC244D" w:rsidRPr="00B93138">
        <w:rPr>
          <w:rFonts w:ascii="Arial" w:eastAsia="Calibri" w:hAnsi="Arial" w:cs="Arial"/>
          <w:bCs/>
          <w:sz w:val="22"/>
          <w:szCs w:val="22"/>
        </w:rPr>
        <w:t xml:space="preserve"> debe </w:t>
      </w:r>
      <w:r w:rsidR="00E17ABB" w:rsidRPr="00B93138">
        <w:rPr>
          <w:rFonts w:ascii="Arial" w:eastAsia="Calibri" w:hAnsi="Arial" w:cs="Arial"/>
          <w:bCs/>
          <w:sz w:val="22"/>
          <w:szCs w:val="22"/>
        </w:rPr>
        <w:t xml:space="preserve">hacer </w:t>
      </w:r>
      <w:r w:rsidR="00983310" w:rsidRPr="00B93138">
        <w:rPr>
          <w:rFonts w:ascii="Arial" w:eastAsia="Calibri" w:hAnsi="Arial" w:cs="Arial"/>
          <w:bCs/>
          <w:sz w:val="22"/>
          <w:szCs w:val="22"/>
        </w:rPr>
        <w:t xml:space="preserve">adjudicatario </w:t>
      </w:r>
      <w:r w:rsidR="00E17ABB" w:rsidRPr="00B93138">
        <w:rPr>
          <w:rFonts w:ascii="Arial" w:eastAsia="Calibri" w:hAnsi="Arial" w:cs="Arial"/>
          <w:bCs/>
          <w:sz w:val="22"/>
          <w:szCs w:val="22"/>
        </w:rPr>
        <w:t>a quien la presentó</w:t>
      </w:r>
      <w:r w:rsidR="00AF6CBB" w:rsidRPr="00B93138">
        <w:rPr>
          <w:rFonts w:ascii="Arial" w:eastAsia="Calibri" w:hAnsi="Arial" w:cs="Arial"/>
          <w:bCs/>
          <w:sz w:val="22"/>
          <w:szCs w:val="22"/>
        </w:rPr>
        <w:t xml:space="preserve"> en debida forma</w:t>
      </w:r>
      <w:r w:rsidR="00E17ABB" w:rsidRPr="00B93138">
        <w:rPr>
          <w:rFonts w:ascii="Arial" w:eastAsia="Calibri" w:hAnsi="Arial" w:cs="Arial"/>
          <w:bCs/>
          <w:sz w:val="22"/>
          <w:szCs w:val="22"/>
        </w:rPr>
        <w:t>.</w:t>
      </w:r>
      <w:r w:rsidR="00183515" w:rsidRPr="00B93138">
        <w:rPr>
          <w:rFonts w:ascii="Arial" w:eastAsia="Calibri" w:hAnsi="Arial" w:cs="Arial"/>
          <w:bCs/>
          <w:sz w:val="22"/>
          <w:szCs w:val="22"/>
        </w:rPr>
        <w:t xml:space="preserve"> Es frente a estos factores que la entidad concibe </w:t>
      </w:r>
      <w:r w:rsidR="001275E8" w:rsidRPr="00B93138">
        <w:rPr>
          <w:rFonts w:ascii="Arial" w:eastAsia="Calibri" w:hAnsi="Arial" w:cs="Arial"/>
          <w:bCs/>
          <w:sz w:val="22"/>
          <w:szCs w:val="22"/>
        </w:rPr>
        <w:t>el otorgamiento de puntajes, como mecanismos para ponderar y comparar los ofrecimientos</w:t>
      </w:r>
      <w:r w:rsidR="00876BF7" w:rsidRPr="00B93138">
        <w:rPr>
          <w:rFonts w:ascii="Arial" w:eastAsia="Calibri" w:hAnsi="Arial" w:cs="Arial"/>
          <w:bCs/>
          <w:sz w:val="22"/>
          <w:szCs w:val="22"/>
        </w:rPr>
        <w:t>,</w:t>
      </w:r>
      <w:r w:rsidR="00493870" w:rsidRPr="00B93138">
        <w:rPr>
          <w:rFonts w:ascii="Arial" w:eastAsia="Calibri" w:hAnsi="Arial" w:cs="Arial"/>
          <w:bCs/>
          <w:sz w:val="22"/>
          <w:szCs w:val="22"/>
        </w:rPr>
        <w:t xml:space="preserve"> </w:t>
      </w:r>
      <w:r w:rsidR="00402ACD" w:rsidRPr="00B93138">
        <w:rPr>
          <w:rFonts w:ascii="Arial" w:eastAsia="Calibri" w:hAnsi="Arial" w:cs="Arial"/>
          <w:bCs/>
          <w:sz w:val="22"/>
          <w:szCs w:val="22"/>
        </w:rPr>
        <w:t>con el fin de determinar objetivamente</w:t>
      </w:r>
      <w:r w:rsidR="00876BF7" w:rsidRPr="00B93138">
        <w:rPr>
          <w:rFonts w:ascii="Arial" w:eastAsia="Calibri" w:hAnsi="Arial" w:cs="Arial"/>
          <w:bCs/>
          <w:sz w:val="22"/>
          <w:szCs w:val="22"/>
        </w:rPr>
        <w:t xml:space="preserve"> </w:t>
      </w:r>
      <w:r w:rsidR="00493870" w:rsidRPr="00B93138">
        <w:rPr>
          <w:rFonts w:ascii="Arial" w:eastAsia="Calibri" w:hAnsi="Arial" w:cs="Arial"/>
          <w:bCs/>
          <w:sz w:val="22"/>
          <w:szCs w:val="22"/>
        </w:rPr>
        <w:t xml:space="preserve">la oferta más favorable, aplicando para ello las reglas establecidas en el pliego </w:t>
      </w:r>
      <w:r w:rsidR="000F0CCE" w:rsidRPr="00B93138">
        <w:rPr>
          <w:rFonts w:ascii="Arial" w:eastAsia="Calibri" w:hAnsi="Arial" w:cs="Arial"/>
          <w:bCs/>
          <w:sz w:val="22"/>
          <w:szCs w:val="22"/>
        </w:rPr>
        <w:t>o documento equivalente</w:t>
      </w:r>
      <w:r w:rsidR="002B18E0" w:rsidRPr="00B93138">
        <w:rPr>
          <w:rFonts w:ascii="Arial" w:eastAsia="Calibri" w:hAnsi="Arial" w:cs="Arial"/>
          <w:bCs/>
          <w:sz w:val="22"/>
          <w:szCs w:val="22"/>
        </w:rPr>
        <w:t xml:space="preserve"> para la ponderación de las ofertas. </w:t>
      </w:r>
    </w:p>
    <w:p w14:paraId="75A9DF40" w14:textId="41E5F66F" w:rsidR="00B3529F" w:rsidRPr="00B93138" w:rsidRDefault="00C71304" w:rsidP="00EB2ED0">
      <w:pPr>
        <w:tabs>
          <w:tab w:val="left" w:pos="0"/>
        </w:tabs>
        <w:spacing w:after="120" w:line="276" w:lineRule="auto"/>
        <w:jc w:val="both"/>
        <w:rPr>
          <w:rFonts w:ascii="Arial" w:eastAsia="Calibri" w:hAnsi="Arial" w:cs="Arial"/>
          <w:bCs/>
          <w:sz w:val="22"/>
          <w:szCs w:val="22"/>
        </w:rPr>
      </w:pPr>
      <w:r w:rsidRPr="00B93138">
        <w:rPr>
          <w:rFonts w:ascii="Arial" w:eastAsia="Calibri" w:hAnsi="Arial" w:cs="Arial"/>
          <w:bCs/>
          <w:sz w:val="22"/>
          <w:szCs w:val="22"/>
        </w:rPr>
        <w:tab/>
      </w:r>
      <w:r w:rsidR="00642D9F" w:rsidRPr="00B93138">
        <w:rPr>
          <w:rFonts w:ascii="Arial" w:eastAsia="Calibri" w:hAnsi="Arial" w:cs="Arial"/>
          <w:bCs/>
          <w:sz w:val="22"/>
          <w:szCs w:val="22"/>
        </w:rPr>
        <w:t xml:space="preserve">En ese sentido, la asignación de puntaje es </w:t>
      </w:r>
      <w:r w:rsidR="00B94C02" w:rsidRPr="00B93138">
        <w:rPr>
          <w:rFonts w:ascii="Arial" w:eastAsia="Calibri" w:hAnsi="Arial" w:cs="Arial"/>
          <w:bCs/>
          <w:sz w:val="22"/>
          <w:szCs w:val="22"/>
        </w:rPr>
        <w:t xml:space="preserve">un </w:t>
      </w:r>
      <w:r w:rsidR="00642D9F" w:rsidRPr="00B93138">
        <w:rPr>
          <w:rFonts w:ascii="Arial" w:eastAsia="Calibri" w:hAnsi="Arial" w:cs="Arial"/>
          <w:bCs/>
          <w:sz w:val="22"/>
          <w:szCs w:val="22"/>
        </w:rPr>
        <w:t>mecanismo</w:t>
      </w:r>
      <w:r w:rsidR="00A13EEC" w:rsidRPr="00B93138">
        <w:rPr>
          <w:rFonts w:ascii="Arial" w:eastAsia="Calibri" w:hAnsi="Arial" w:cs="Arial"/>
          <w:bCs/>
          <w:sz w:val="22"/>
          <w:szCs w:val="22"/>
        </w:rPr>
        <w:t xml:space="preserve"> </w:t>
      </w:r>
      <w:r w:rsidR="00AF6CBB" w:rsidRPr="00B93138">
        <w:rPr>
          <w:rFonts w:ascii="Arial" w:eastAsia="Calibri" w:hAnsi="Arial" w:cs="Arial"/>
          <w:bCs/>
          <w:sz w:val="22"/>
          <w:szCs w:val="22"/>
        </w:rPr>
        <w:t xml:space="preserve">mediante </w:t>
      </w:r>
      <w:r w:rsidR="00A13EEC" w:rsidRPr="00B93138">
        <w:rPr>
          <w:rFonts w:ascii="Arial" w:eastAsia="Calibri" w:hAnsi="Arial" w:cs="Arial"/>
          <w:bCs/>
          <w:sz w:val="22"/>
          <w:szCs w:val="22"/>
        </w:rPr>
        <w:t xml:space="preserve">el cual </w:t>
      </w:r>
      <w:r w:rsidR="00B94C02" w:rsidRPr="00B93138">
        <w:rPr>
          <w:rFonts w:ascii="Arial" w:eastAsia="Calibri" w:hAnsi="Arial" w:cs="Arial"/>
          <w:bCs/>
          <w:sz w:val="22"/>
          <w:szCs w:val="22"/>
        </w:rPr>
        <w:t>las entidades</w:t>
      </w:r>
      <w:r w:rsidR="00A13EEC" w:rsidRPr="00B93138">
        <w:rPr>
          <w:rFonts w:ascii="Arial" w:eastAsia="Calibri" w:hAnsi="Arial" w:cs="Arial"/>
          <w:bCs/>
          <w:sz w:val="22"/>
          <w:szCs w:val="22"/>
        </w:rPr>
        <w:t xml:space="preserve"> pondera</w:t>
      </w:r>
      <w:r w:rsidR="000F0CCE" w:rsidRPr="00B93138">
        <w:rPr>
          <w:rFonts w:ascii="Arial" w:eastAsia="Calibri" w:hAnsi="Arial" w:cs="Arial"/>
          <w:bCs/>
          <w:sz w:val="22"/>
          <w:szCs w:val="22"/>
        </w:rPr>
        <w:t>n</w:t>
      </w:r>
      <w:r w:rsidR="00A13EEC" w:rsidRPr="00B93138">
        <w:rPr>
          <w:rFonts w:ascii="Arial" w:eastAsia="Calibri" w:hAnsi="Arial" w:cs="Arial"/>
          <w:bCs/>
          <w:sz w:val="22"/>
          <w:szCs w:val="22"/>
        </w:rPr>
        <w:t xml:space="preserve"> los factores de calificación</w:t>
      </w:r>
      <w:r w:rsidR="00B94C02" w:rsidRPr="00B93138">
        <w:rPr>
          <w:rFonts w:ascii="Arial" w:eastAsia="Calibri" w:hAnsi="Arial" w:cs="Arial"/>
          <w:bCs/>
          <w:sz w:val="22"/>
          <w:szCs w:val="22"/>
        </w:rPr>
        <w:t xml:space="preserve"> </w:t>
      </w:r>
      <w:r w:rsidR="00D37EAD" w:rsidRPr="00B93138">
        <w:rPr>
          <w:rFonts w:ascii="Arial" w:eastAsia="Calibri" w:hAnsi="Arial" w:cs="Arial"/>
          <w:bCs/>
          <w:sz w:val="22"/>
          <w:szCs w:val="22"/>
        </w:rPr>
        <w:t>ꟷ</w:t>
      </w:r>
      <w:r w:rsidR="00B94C02" w:rsidRPr="00B93138">
        <w:rPr>
          <w:rFonts w:ascii="Arial" w:eastAsia="Calibri" w:hAnsi="Arial" w:cs="Arial"/>
          <w:bCs/>
          <w:i/>
          <w:iCs/>
          <w:sz w:val="22"/>
          <w:szCs w:val="22"/>
        </w:rPr>
        <w:t>v</w:t>
      </w:r>
      <w:r w:rsidR="002D3E4A" w:rsidRPr="00B93138">
        <w:rPr>
          <w:rFonts w:ascii="Arial" w:eastAsia="Calibri" w:hAnsi="Arial" w:cs="Arial"/>
          <w:bCs/>
          <w:i/>
          <w:iCs/>
          <w:sz w:val="22"/>
          <w:szCs w:val="22"/>
        </w:rPr>
        <w:t>.g.</w:t>
      </w:r>
      <w:r w:rsidR="002D3E4A" w:rsidRPr="00B93138">
        <w:rPr>
          <w:rFonts w:ascii="Arial" w:eastAsia="Calibri" w:hAnsi="Arial" w:cs="Arial"/>
          <w:bCs/>
          <w:sz w:val="22"/>
          <w:szCs w:val="22"/>
        </w:rPr>
        <w:t xml:space="preserve"> t</w:t>
      </w:r>
      <w:r w:rsidR="00B94C02" w:rsidRPr="00B93138">
        <w:rPr>
          <w:rFonts w:ascii="Arial" w:eastAsia="Calibri" w:hAnsi="Arial" w:cs="Arial"/>
          <w:bCs/>
          <w:sz w:val="22"/>
          <w:szCs w:val="22"/>
        </w:rPr>
        <w:t xml:space="preserve">écnicos y económicos, de calidad y </w:t>
      </w:r>
      <w:r w:rsidR="00B94C02" w:rsidRPr="00B93138">
        <w:rPr>
          <w:rFonts w:ascii="Arial" w:eastAsia="Calibri" w:hAnsi="Arial" w:cs="Arial"/>
          <w:bCs/>
          <w:sz w:val="22"/>
          <w:szCs w:val="22"/>
        </w:rPr>
        <w:lastRenderedPageBreak/>
        <w:t>precio</w:t>
      </w:r>
      <w:r w:rsidR="00B94C02" w:rsidRPr="00B93138">
        <w:rPr>
          <w:rFonts w:ascii="Arial" w:eastAsia="Calibri" w:hAnsi="Arial" w:cs="Arial"/>
          <w:bCs/>
          <w:sz w:val="22"/>
          <w:szCs w:val="22"/>
        </w:rPr>
        <w:softHyphen/>
      </w:r>
      <w:r w:rsidR="00F540A3" w:rsidRPr="00B93138">
        <w:rPr>
          <w:rFonts w:ascii="Arial" w:eastAsia="Calibri" w:hAnsi="Arial" w:cs="Arial"/>
          <w:bCs/>
          <w:sz w:val="22"/>
          <w:szCs w:val="22"/>
        </w:rPr>
        <w:t xml:space="preserve">, </w:t>
      </w:r>
      <w:r w:rsidR="000F0CCE" w:rsidRPr="00B93138">
        <w:rPr>
          <w:rFonts w:ascii="Arial" w:eastAsia="Calibri" w:hAnsi="Arial" w:cs="Arial"/>
          <w:bCs/>
          <w:sz w:val="22"/>
          <w:szCs w:val="22"/>
        </w:rPr>
        <w:t>etc.</w:t>
      </w:r>
      <w:r w:rsidR="00D37EAD" w:rsidRPr="00B93138">
        <w:rPr>
          <w:rFonts w:ascii="Arial" w:eastAsia="Calibri" w:hAnsi="Arial" w:cs="Arial"/>
          <w:bCs/>
          <w:sz w:val="22"/>
          <w:szCs w:val="22"/>
        </w:rPr>
        <w:t xml:space="preserve">ꟷ </w:t>
      </w:r>
      <w:r w:rsidR="00A13EEC" w:rsidRPr="00B93138">
        <w:rPr>
          <w:rFonts w:ascii="Arial" w:eastAsia="Calibri" w:hAnsi="Arial" w:cs="Arial"/>
          <w:bCs/>
          <w:sz w:val="22"/>
          <w:szCs w:val="22"/>
        </w:rPr>
        <w:t>en un determinado proceso de selecci</w:t>
      </w:r>
      <w:r w:rsidR="002D3E4A" w:rsidRPr="00B93138">
        <w:rPr>
          <w:rFonts w:ascii="Arial" w:eastAsia="Calibri" w:hAnsi="Arial" w:cs="Arial"/>
          <w:bCs/>
          <w:sz w:val="22"/>
          <w:szCs w:val="22"/>
        </w:rPr>
        <w:t>ón</w:t>
      </w:r>
      <w:r w:rsidR="008005A1" w:rsidRPr="00B93138">
        <w:rPr>
          <w:rFonts w:ascii="Arial" w:eastAsia="Calibri" w:hAnsi="Arial" w:cs="Arial"/>
          <w:bCs/>
          <w:sz w:val="22"/>
          <w:szCs w:val="22"/>
        </w:rPr>
        <w:t>, como se desprende del</w:t>
      </w:r>
      <w:r w:rsidR="00687DAD" w:rsidRPr="00B93138">
        <w:rPr>
          <w:rFonts w:ascii="Arial" w:eastAsia="Calibri" w:hAnsi="Arial" w:cs="Arial"/>
          <w:bCs/>
          <w:sz w:val="22"/>
          <w:szCs w:val="22"/>
        </w:rPr>
        <w:t xml:space="preserve"> literal a) del</w:t>
      </w:r>
      <w:r w:rsidR="008005A1" w:rsidRPr="00B93138">
        <w:rPr>
          <w:rFonts w:ascii="Arial" w:eastAsia="Calibri" w:hAnsi="Arial" w:cs="Arial"/>
          <w:bCs/>
          <w:sz w:val="22"/>
          <w:szCs w:val="22"/>
        </w:rPr>
        <w:t xml:space="preserve"> </w:t>
      </w:r>
      <w:r w:rsidR="002E7B84" w:rsidRPr="00B93138">
        <w:rPr>
          <w:rFonts w:ascii="Arial" w:eastAsia="Calibri" w:hAnsi="Arial" w:cs="Arial"/>
          <w:bCs/>
          <w:sz w:val="22"/>
          <w:szCs w:val="22"/>
        </w:rPr>
        <w:t>numeral 2</w:t>
      </w:r>
      <w:r w:rsidR="00C73AC2" w:rsidRPr="00B93138">
        <w:rPr>
          <w:rFonts w:ascii="Arial" w:eastAsia="Calibri" w:hAnsi="Arial" w:cs="Arial"/>
          <w:bCs/>
          <w:sz w:val="22"/>
          <w:szCs w:val="22"/>
        </w:rPr>
        <w:t xml:space="preserve"> del artículo </w:t>
      </w:r>
      <w:r w:rsidR="002E7B84" w:rsidRPr="00B93138">
        <w:rPr>
          <w:rFonts w:ascii="Arial" w:eastAsia="Calibri" w:hAnsi="Arial" w:cs="Arial"/>
          <w:bCs/>
          <w:sz w:val="22"/>
          <w:szCs w:val="22"/>
        </w:rPr>
        <w:t>5</w:t>
      </w:r>
      <w:r w:rsidR="00C73AC2" w:rsidRPr="00B93138">
        <w:rPr>
          <w:rFonts w:ascii="Arial" w:eastAsia="Calibri" w:hAnsi="Arial" w:cs="Arial"/>
          <w:bCs/>
          <w:sz w:val="22"/>
          <w:szCs w:val="22"/>
        </w:rPr>
        <w:t xml:space="preserve"> de la Ley 1150 de 200</w:t>
      </w:r>
      <w:r w:rsidR="00B147B3" w:rsidRPr="00B93138">
        <w:rPr>
          <w:rFonts w:ascii="Arial" w:eastAsia="Calibri" w:hAnsi="Arial" w:cs="Arial"/>
          <w:bCs/>
          <w:sz w:val="22"/>
          <w:szCs w:val="22"/>
        </w:rPr>
        <w:t xml:space="preserve">7, en el que expresamente se alude al puntaje. </w:t>
      </w:r>
      <w:r w:rsidR="00443259" w:rsidRPr="00B93138">
        <w:rPr>
          <w:rFonts w:ascii="Arial" w:eastAsia="Calibri" w:hAnsi="Arial" w:cs="Arial"/>
          <w:bCs/>
          <w:sz w:val="22"/>
          <w:szCs w:val="22"/>
        </w:rPr>
        <w:t>Sin embargo</w:t>
      </w:r>
      <w:r w:rsidR="00045D5B" w:rsidRPr="00B93138">
        <w:rPr>
          <w:rFonts w:ascii="Arial" w:eastAsia="Calibri" w:hAnsi="Arial" w:cs="Arial"/>
          <w:bCs/>
          <w:sz w:val="22"/>
          <w:szCs w:val="22"/>
        </w:rPr>
        <w:t>, no es este el único mecanismo de ponderación que tiene</w:t>
      </w:r>
      <w:r w:rsidR="00FD694E" w:rsidRPr="00B93138">
        <w:rPr>
          <w:rFonts w:ascii="Arial" w:eastAsia="Calibri" w:hAnsi="Arial" w:cs="Arial"/>
          <w:bCs/>
          <w:sz w:val="22"/>
          <w:szCs w:val="22"/>
        </w:rPr>
        <w:t>n</w:t>
      </w:r>
      <w:r w:rsidR="00045D5B" w:rsidRPr="00B93138">
        <w:rPr>
          <w:rFonts w:ascii="Arial" w:eastAsia="Calibri" w:hAnsi="Arial" w:cs="Arial"/>
          <w:bCs/>
          <w:sz w:val="22"/>
          <w:szCs w:val="22"/>
        </w:rPr>
        <w:t xml:space="preserve"> </w:t>
      </w:r>
      <w:r w:rsidR="00687DAD" w:rsidRPr="00B93138">
        <w:rPr>
          <w:rFonts w:ascii="Arial" w:eastAsia="Calibri" w:hAnsi="Arial" w:cs="Arial"/>
          <w:bCs/>
          <w:sz w:val="22"/>
          <w:szCs w:val="22"/>
        </w:rPr>
        <w:t xml:space="preserve">a </w:t>
      </w:r>
      <w:r w:rsidR="00045D5B" w:rsidRPr="00B93138">
        <w:rPr>
          <w:rFonts w:ascii="Arial" w:eastAsia="Calibri" w:hAnsi="Arial" w:cs="Arial"/>
          <w:bCs/>
          <w:sz w:val="22"/>
          <w:szCs w:val="22"/>
        </w:rPr>
        <w:t>su alcance las entidades estatales para determinar</w:t>
      </w:r>
      <w:r w:rsidR="00572959" w:rsidRPr="00B93138">
        <w:rPr>
          <w:rFonts w:ascii="Arial" w:eastAsia="Calibri" w:hAnsi="Arial" w:cs="Arial"/>
          <w:bCs/>
          <w:sz w:val="22"/>
          <w:szCs w:val="22"/>
        </w:rPr>
        <w:t xml:space="preserve"> el ofrecimiento más favorable, </w:t>
      </w:r>
      <w:r w:rsidR="00E30403" w:rsidRPr="00B93138">
        <w:rPr>
          <w:rFonts w:ascii="Arial" w:eastAsia="Calibri" w:hAnsi="Arial" w:cs="Arial"/>
          <w:bCs/>
          <w:sz w:val="22"/>
          <w:szCs w:val="22"/>
        </w:rPr>
        <w:t>pues</w:t>
      </w:r>
      <w:r w:rsidR="00572959" w:rsidRPr="00B93138">
        <w:rPr>
          <w:rFonts w:ascii="Arial" w:eastAsia="Calibri" w:hAnsi="Arial" w:cs="Arial"/>
          <w:bCs/>
          <w:sz w:val="22"/>
          <w:szCs w:val="22"/>
        </w:rPr>
        <w:t xml:space="preserve"> el propio </w:t>
      </w:r>
      <w:r w:rsidR="00585E80" w:rsidRPr="00B93138">
        <w:rPr>
          <w:rFonts w:ascii="Arial" w:eastAsia="Calibri" w:hAnsi="Arial" w:cs="Arial"/>
          <w:bCs/>
          <w:sz w:val="22"/>
          <w:szCs w:val="22"/>
        </w:rPr>
        <w:t xml:space="preserve">literal </w:t>
      </w:r>
      <w:r w:rsidRPr="00B93138">
        <w:rPr>
          <w:rFonts w:ascii="Arial" w:eastAsia="Calibri" w:hAnsi="Arial" w:cs="Arial"/>
          <w:bCs/>
          <w:sz w:val="22"/>
          <w:szCs w:val="22"/>
        </w:rPr>
        <w:t>b</w:t>
      </w:r>
      <w:r w:rsidR="00585E80" w:rsidRPr="00B93138">
        <w:rPr>
          <w:rFonts w:ascii="Arial" w:eastAsia="Calibri" w:hAnsi="Arial" w:cs="Arial"/>
          <w:bCs/>
          <w:sz w:val="22"/>
          <w:szCs w:val="22"/>
        </w:rPr>
        <w:t>) del</w:t>
      </w:r>
      <w:r w:rsidR="00572959" w:rsidRPr="00B93138">
        <w:rPr>
          <w:rFonts w:ascii="Arial" w:eastAsia="Calibri" w:hAnsi="Arial" w:cs="Arial"/>
          <w:bCs/>
          <w:sz w:val="22"/>
          <w:szCs w:val="22"/>
        </w:rPr>
        <w:t xml:space="preserve"> artículo 5</w:t>
      </w:r>
      <w:r w:rsidR="00443259" w:rsidRPr="00B93138">
        <w:rPr>
          <w:rFonts w:ascii="Arial" w:eastAsia="Calibri" w:hAnsi="Arial" w:cs="Arial"/>
          <w:bCs/>
          <w:sz w:val="22"/>
          <w:szCs w:val="22"/>
        </w:rPr>
        <w:t>.</w:t>
      </w:r>
      <w:r w:rsidR="00FD694E" w:rsidRPr="00B93138">
        <w:rPr>
          <w:rFonts w:ascii="Arial" w:eastAsia="Calibri" w:hAnsi="Arial" w:cs="Arial"/>
          <w:bCs/>
          <w:sz w:val="22"/>
          <w:szCs w:val="22"/>
        </w:rPr>
        <w:t>2</w:t>
      </w:r>
      <w:r w:rsidR="00572959" w:rsidRPr="00B93138">
        <w:rPr>
          <w:rFonts w:ascii="Arial" w:eastAsia="Calibri" w:hAnsi="Arial" w:cs="Arial"/>
          <w:bCs/>
          <w:sz w:val="22"/>
          <w:szCs w:val="22"/>
        </w:rPr>
        <w:t xml:space="preserve"> </w:t>
      </w:r>
      <w:r w:rsidR="00585E80" w:rsidRPr="00B93138">
        <w:rPr>
          <w:rFonts w:ascii="Arial" w:eastAsia="Calibri" w:hAnsi="Arial" w:cs="Arial"/>
          <w:bCs/>
          <w:sz w:val="22"/>
          <w:szCs w:val="22"/>
        </w:rPr>
        <w:t xml:space="preserve">posibilita que </w:t>
      </w:r>
      <w:r w:rsidR="00412110" w:rsidRPr="00B93138">
        <w:rPr>
          <w:rFonts w:ascii="Arial" w:eastAsia="Calibri" w:hAnsi="Arial" w:cs="Arial"/>
          <w:bCs/>
          <w:sz w:val="22"/>
          <w:szCs w:val="22"/>
        </w:rPr>
        <w:t xml:space="preserve">el ofrecimiento más favorable se </w:t>
      </w:r>
      <w:r w:rsidR="00FD694E" w:rsidRPr="00B93138">
        <w:rPr>
          <w:rFonts w:ascii="Arial" w:eastAsia="Calibri" w:hAnsi="Arial" w:cs="Arial"/>
          <w:bCs/>
          <w:sz w:val="22"/>
          <w:szCs w:val="22"/>
        </w:rPr>
        <w:t xml:space="preserve">determine </w:t>
      </w:r>
      <w:r w:rsidR="00C4330B" w:rsidRPr="00B93138">
        <w:rPr>
          <w:rFonts w:ascii="Arial" w:eastAsia="Calibri" w:hAnsi="Arial" w:cs="Arial"/>
          <w:bCs/>
          <w:sz w:val="22"/>
          <w:szCs w:val="22"/>
        </w:rPr>
        <w:t>con</w:t>
      </w:r>
      <w:r w:rsidR="00412110" w:rsidRPr="00B93138">
        <w:rPr>
          <w:rFonts w:ascii="Arial" w:eastAsia="Calibri" w:hAnsi="Arial" w:cs="Arial"/>
          <w:bCs/>
          <w:sz w:val="22"/>
          <w:szCs w:val="22"/>
        </w:rPr>
        <w:t xml:space="preserve"> un</w:t>
      </w:r>
      <w:r w:rsidR="00FD694E" w:rsidRPr="00B93138">
        <w:rPr>
          <w:rFonts w:ascii="Arial" w:eastAsia="Calibri" w:hAnsi="Arial" w:cs="Arial"/>
          <w:bCs/>
          <w:sz w:val="22"/>
          <w:szCs w:val="22"/>
        </w:rPr>
        <w:t xml:space="preserve"> análisis</w:t>
      </w:r>
      <w:r w:rsidR="00412110" w:rsidRPr="00B93138">
        <w:rPr>
          <w:rFonts w:ascii="Arial" w:eastAsia="Calibri" w:hAnsi="Arial" w:cs="Arial"/>
          <w:bCs/>
          <w:sz w:val="22"/>
          <w:szCs w:val="22"/>
        </w:rPr>
        <w:t xml:space="preserve"> </w:t>
      </w:r>
      <w:r w:rsidR="00FD694E" w:rsidRPr="00B93138">
        <w:rPr>
          <w:rFonts w:ascii="Arial" w:eastAsia="Calibri" w:hAnsi="Arial" w:cs="Arial"/>
          <w:bCs/>
          <w:sz w:val="22"/>
          <w:szCs w:val="22"/>
        </w:rPr>
        <w:t xml:space="preserve">de la </w:t>
      </w:r>
      <w:r w:rsidR="00412110" w:rsidRPr="00B93138">
        <w:rPr>
          <w:rFonts w:ascii="Arial" w:eastAsia="Calibri" w:hAnsi="Arial" w:cs="Arial"/>
          <w:bCs/>
          <w:sz w:val="22"/>
          <w:szCs w:val="22"/>
        </w:rPr>
        <w:t xml:space="preserve">relación </w:t>
      </w:r>
      <w:r w:rsidR="001716D9" w:rsidRPr="00B93138">
        <w:rPr>
          <w:rFonts w:ascii="Arial" w:eastAsia="Calibri" w:hAnsi="Arial" w:cs="Arial"/>
          <w:bCs/>
          <w:sz w:val="22"/>
          <w:szCs w:val="22"/>
        </w:rPr>
        <w:t>costo</w:t>
      </w:r>
      <w:r w:rsidR="00FD694E" w:rsidRPr="00B93138">
        <w:rPr>
          <w:rFonts w:ascii="Arial" w:eastAsia="Calibri" w:hAnsi="Arial" w:cs="Arial"/>
          <w:bCs/>
          <w:sz w:val="22"/>
          <w:szCs w:val="22"/>
        </w:rPr>
        <w:t>-</w:t>
      </w:r>
      <w:r w:rsidR="001716D9" w:rsidRPr="00B93138">
        <w:rPr>
          <w:rFonts w:ascii="Arial" w:eastAsia="Calibri" w:hAnsi="Arial" w:cs="Arial"/>
          <w:bCs/>
          <w:sz w:val="22"/>
          <w:szCs w:val="22"/>
        </w:rPr>
        <w:t xml:space="preserve">beneficio, evento en </w:t>
      </w:r>
      <w:r w:rsidR="00AF6CBB" w:rsidRPr="00B93138">
        <w:rPr>
          <w:rFonts w:ascii="Arial" w:eastAsia="Calibri" w:hAnsi="Arial" w:cs="Arial"/>
          <w:bCs/>
          <w:sz w:val="22"/>
          <w:szCs w:val="22"/>
        </w:rPr>
        <w:t>e</w:t>
      </w:r>
      <w:r w:rsidR="001716D9" w:rsidRPr="00B93138">
        <w:rPr>
          <w:rFonts w:ascii="Arial" w:eastAsia="Calibri" w:hAnsi="Arial" w:cs="Arial"/>
          <w:bCs/>
          <w:sz w:val="22"/>
          <w:szCs w:val="22"/>
        </w:rPr>
        <w:t>l</w:t>
      </w:r>
      <w:r w:rsidR="00E30403" w:rsidRPr="00B93138">
        <w:rPr>
          <w:rFonts w:ascii="Arial" w:eastAsia="Calibri" w:hAnsi="Arial" w:cs="Arial"/>
          <w:bCs/>
          <w:sz w:val="22"/>
          <w:szCs w:val="22"/>
        </w:rPr>
        <w:t xml:space="preserve"> que</w:t>
      </w:r>
      <w:r w:rsidR="001716D9" w:rsidRPr="00B93138">
        <w:rPr>
          <w:rFonts w:ascii="Arial" w:eastAsia="Calibri" w:hAnsi="Arial" w:cs="Arial"/>
          <w:bCs/>
          <w:sz w:val="22"/>
          <w:szCs w:val="22"/>
        </w:rPr>
        <w:t xml:space="preserve"> no ha</w:t>
      </w:r>
      <w:r w:rsidR="00AF6CBB" w:rsidRPr="00B93138">
        <w:rPr>
          <w:rFonts w:ascii="Arial" w:eastAsia="Calibri" w:hAnsi="Arial" w:cs="Arial"/>
          <w:bCs/>
          <w:sz w:val="22"/>
          <w:szCs w:val="22"/>
        </w:rPr>
        <w:t xml:space="preserve">bría </w:t>
      </w:r>
      <w:r w:rsidR="001716D9" w:rsidRPr="00B93138">
        <w:rPr>
          <w:rFonts w:ascii="Arial" w:eastAsia="Calibri" w:hAnsi="Arial" w:cs="Arial"/>
          <w:bCs/>
          <w:sz w:val="22"/>
          <w:szCs w:val="22"/>
        </w:rPr>
        <w:t>necesidad de acudir a sistemas de asignación de puntaje.</w:t>
      </w:r>
      <w:r w:rsidR="00687DAD" w:rsidRPr="00B93138">
        <w:rPr>
          <w:rFonts w:ascii="Arial" w:eastAsia="Calibri" w:hAnsi="Arial" w:cs="Arial"/>
          <w:bCs/>
          <w:sz w:val="22"/>
          <w:szCs w:val="22"/>
        </w:rPr>
        <w:t xml:space="preserve"> </w:t>
      </w:r>
      <w:r w:rsidR="00FD694E" w:rsidRPr="00B93138">
        <w:rPr>
          <w:rFonts w:ascii="Arial" w:eastAsia="Calibri" w:hAnsi="Arial" w:cs="Arial"/>
          <w:bCs/>
          <w:sz w:val="22"/>
          <w:szCs w:val="22"/>
        </w:rPr>
        <w:t xml:space="preserve">A estos se suman los procesos de selección de bienes y servicios de características técnicas uniformes y de común utilización, así como los de mínima cuantía, en los que </w:t>
      </w:r>
      <w:r w:rsidR="00DA0C85" w:rsidRPr="00B93138">
        <w:rPr>
          <w:rFonts w:ascii="Arial" w:eastAsia="Calibri" w:hAnsi="Arial" w:cs="Arial"/>
          <w:bCs/>
          <w:sz w:val="22"/>
          <w:szCs w:val="22"/>
        </w:rPr>
        <w:t xml:space="preserve">–según los artículos 5.3 y 2.5 de la Ley 1150 de 2007– </w:t>
      </w:r>
      <w:r w:rsidR="00FD694E" w:rsidRPr="00B93138">
        <w:rPr>
          <w:rFonts w:ascii="Arial" w:eastAsia="Calibri" w:hAnsi="Arial" w:cs="Arial"/>
          <w:bCs/>
          <w:sz w:val="22"/>
          <w:szCs w:val="22"/>
        </w:rPr>
        <w:t>el único factor de selección es el menor precio ofertado, por lo que no hay lugar a ponderación mediante puntajes.</w:t>
      </w:r>
    </w:p>
    <w:p w14:paraId="6DFCF23E" w14:textId="2FD3E51B" w:rsidR="00BC71AD" w:rsidRPr="00B93138" w:rsidRDefault="00B3529F" w:rsidP="00EB2ED0">
      <w:pPr>
        <w:spacing w:after="120" w:line="276" w:lineRule="auto"/>
        <w:jc w:val="both"/>
        <w:rPr>
          <w:rFonts w:ascii="Arial" w:hAnsi="Arial" w:cs="Arial"/>
          <w:sz w:val="22"/>
          <w:szCs w:val="22"/>
          <w:lang w:eastAsia="es-CO"/>
        </w:rPr>
      </w:pPr>
      <w:r w:rsidRPr="00B93138">
        <w:rPr>
          <w:rFonts w:ascii="Arial" w:eastAsia="Calibri" w:hAnsi="Arial" w:cs="Arial"/>
          <w:bCs/>
          <w:sz w:val="22"/>
          <w:szCs w:val="22"/>
        </w:rPr>
        <w:tab/>
      </w:r>
      <w:r w:rsidR="00AF20DA" w:rsidRPr="00B93138">
        <w:rPr>
          <w:rFonts w:ascii="Arial" w:eastAsia="Calibri" w:hAnsi="Arial" w:cs="Arial"/>
          <w:bCs/>
          <w:sz w:val="22"/>
          <w:szCs w:val="22"/>
        </w:rPr>
        <w:t xml:space="preserve">Es necesario destacar, que las reglas para </w:t>
      </w:r>
      <w:r w:rsidR="00FD694E" w:rsidRPr="00B93138">
        <w:rPr>
          <w:rFonts w:ascii="Arial" w:eastAsia="Calibri" w:hAnsi="Arial" w:cs="Arial"/>
          <w:bCs/>
          <w:sz w:val="22"/>
          <w:szCs w:val="22"/>
        </w:rPr>
        <w:t>establecer</w:t>
      </w:r>
      <w:r w:rsidR="00AF20DA" w:rsidRPr="00B93138">
        <w:rPr>
          <w:rFonts w:ascii="Arial" w:eastAsia="Calibri" w:hAnsi="Arial" w:cs="Arial"/>
          <w:bCs/>
          <w:sz w:val="22"/>
          <w:szCs w:val="22"/>
        </w:rPr>
        <w:t xml:space="preserve"> </w:t>
      </w:r>
      <w:r w:rsidR="00161AAD" w:rsidRPr="00B93138">
        <w:rPr>
          <w:rFonts w:ascii="Arial" w:eastAsia="Calibri" w:hAnsi="Arial" w:cs="Arial"/>
          <w:bCs/>
          <w:sz w:val="22"/>
          <w:szCs w:val="22"/>
        </w:rPr>
        <w:t>la oferta más favorable conforme al artículo 5 de la Ley 1150 de 2007, se encuentra</w:t>
      </w:r>
      <w:r w:rsidR="00FD694E" w:rsidRPr="00B93138">
        <w:rPr>
          <w:rFonts w:ascii="Arial" w:eastAsia="Calibri" w:hAnsi="Arial" w:cs="Arial"/>
          <w:bCs/>
          <w:sz w:val="22"/>
          <w:szCs w:val="22"/>
        </w:rPr>
        <w:t>n</w:t>
      </w:r>
      <w:r w:rsidR="00161AAD" w:rsidRPr="00B93138">
        <w:rPr>
          <w:rFonts w:ascii="Arial" w:eastAsia="Calibri" w:hAnsi="Arial" w:cs="Arial"/>
          <w:bCs/>
          <w:sz w:val="22"/>
          <w:szCs w:val="22"/>
        </w:rPr>
        <w:t xml:space="preserve"> reglamentad</w:t>
      </w:r>
      <w:r w:rsidR="00FD694E" w:rsidRPr="00B93138">
        <w:rPr>
          <w:rFonts w:ascii="Arial" w:eastAsia="Calibri" w:hAnsi="Arial" w:cs="Arial"/>
          <w:bCs/>
          <w:sz w:val="22"/>
          <w:szCs w:val="22"/>
        </w:rPr>
        <w:t>a</w:t>
      </w:r>
      <w:r w:rsidR="00161AAD" w:rsidRPr="00B93138">
        <w:rPr>
          <w:rFonts w:ascii="Arial" w:eastAsia="Calibri" w:hAnsi="Arial" w:cs="Arial"/>
          <w:bCs/>
          <w:sz w:val="22"/>
          <w:szCs w:val="22"/>
        </w:rPr>
        <w:t xml:space="preserve">s en el artículo </w:t>
      </w:r>
      <w:r w:rsidR="00362668" w:rsidRPr="00B93138">
        <w:rPr>
          <w:rFonts w:ascii="Arial" w:eastAsia="Calibri" w:hAnsi="Arial" w:cs="Arial"/>
          <w:bCs/>
          <w:sz w:val="22"/>
          <w:szCs w:val="22"/>
        </w:rPr>
        <w:t xml:space="preserve">2.2.1.1.2.2.2 del Decreto 1082 de 2015. Este artículo </w:t>
      </w:r>
      <w:r w:rsidR="000E3965" w:rsidRPr="00B93138">
        <w:rPr>
          <w:rFonts w:ascii="Arial" w:eastAsia="Calibri" w:hAnsi="Arial" w:cs="Arial"/>
          <w:bCs/>
          <w:sz w:val="22"/>
          <w:szCs w:val="22"/>
        </w:rPr>
        <w:t>desarrolla</w:t>
      </w:r>
      <w:r w:rsidR="00A0109F" w:rsidRPr="00B93138">
        <w:rPr>
          <w:rFonts w:ascii="Arial" w:eastAsia="Calibri" w:hAnsi="Arial" w:cs="Arial"/>
          <w:bCs/>
          <w:sz w:val="22"/>
          <w:szCs w:val="22"/>
        </w:rPr>
        <w:t xml:space="preserve"> los </w:t>
      </w:r>
      <w:r w:rsidR="007B1D33" w:rsidRPr="00B93138">
        <w:rPr>
          <w:rFonts w:ascii="Arial" w:eastAsia="Calibri" w:hAnsi="Arial" w:cs="Arial"/>
          <w:bCs/>
          <w:sz w:val="22"/>
          <w:szCs w:val="22"/>
        </w:rPr>
        <w:t xml:space="preserve">mecanismos de ponderación </w:t>
      </w:r>
      <w:r w:rsidR="00A0109F" w:rsidRPr="00B93138">
        <w:rPr>
          <w:rFonts w:ascii="Arial" w:eastAsia="Calibri" w:hAnsi="Arial" w:cs="Arial"/>
          <w:bCs/>
          <w:sz w:val="22"/>
          <w:szCs w:val="22"/>
        </w:rPr>
        <w:t>previstos en</w:t>
      </w:r>
      <w:r w:rsidR="007B1D33" w:rsidRPr="00B93138">
        <w:rPr>
          <w:rFonts w:ascii="Arial" w:eastAsia="Calibri" w:hAnsi="Arial" w:cs="Arial"/>
          <w:bCs/>
          <w:sz w:val="22"/>
          <w:szCs w:val="22"/>
        </w:rPr>
        <w:t xml:space="preserve"> los literales a) y b) del artículo 5</w:t>
      </w:r>
      <w:r w:rsidR="007B1D33" w:rsidRPr="00B93138">
        <w:rPr>
          <w:rFonts w:ascii="Arial" w:eastAsia="Calibri" w:hAnsi="Arial" w:cs="Arial"/>
          <w:bCs/>
          <w:sz w:val="22"/>
          <w:szCs w:val="22"/>
        </w:rPr>
        <w:softHyphen/>
      </w:r>
      <w:r w:rsidR="00A0109F" w:rsidRPr="00B93138">
        <w:rPr>
          <w:rFonts w:ascii="Arial" w:eastAsia="Calibri" w:hAnsi="Arial" w:cs="Arial"/>
          <w:bCs/>
          <w:sz w:val="22"/>
          <w:szCs w:val="22"/>
        </w:rPr>
        <w:t>.</w:t>
      </w:r>
      <w:r w:rsidR="007B1D33" w:rsidRPr="00B93138">
        <w:rPr>
          <w:rFonts w:ascii="Arial" w:eastAsia="Calibri" w:hAnsi="Arial" w:cs="Arial"/>
          <w:bCs/>
          <w:sz w:val="22"/>
          <w:szCs w:val="22"/>
        </w:rPr>
        <w:t xml:space="preserve">2 de la Ley 1150 de 2007, </w:t>
      </w:r>
      <w:r w:rsidR="00E30403" w:rsidRPr="00B93138">
        <w:rPr>
          <w:rFonts w:ascii="Arial" w:eastAsia="Calibri" w:hAnsi="Arial" w:cs="Arial"/>
          <w:bCs/>
          <w:sz w:val="22"/>
          <w:szCs w:val="22"/>
        </w:rPr>
        <w:t>estableciendo</w:t>
      </w:r>
      <w:r w:rsidR="00A0109F" w:rsidRPr="00B93138">
        <w:rPr>
          <w:rFonts w:ascii="Arial" w:eastAsia="Calibri" w:hAnsi="Arial" w:cs="Arial"/>
          <w:bCs/>
          <w:sz w:val="22"/>
          <w:szCs w:val="22"/>
        </w:rPr>
        <w:t xml:space="preserve"> </w:t>
      </w:r>
      <w:r w:rsidR="007B1D33" w:rsidRPr="00B93138">
        <w:rPr>
          <w:rFonts w:ascii="Arial" w:eastAsia="Calibri" w:hAnsi="Arial" w:cs="Arial"/>
          <w:bCs/>
          <w:sz w:val="22"/>
          <w:szCs w:val="22"/>
        </w:rPr>
        <w:t xml:space="preserve">unas pautas para </w:t>
      </w:r>
      <w:r w:rsidR="00904782" w:rsidRPr="00B93138">
        <w:rPr>
          <w:rFonts w:ascii="Arial" w:eastAsia="Calibri" w:hAnsi="Arial" w:cs="Arial"/>
          <w:bCs/>
          <w:sz w:val="22"/>
          <w:szCs w:val="22"/>
        </w:rPr>
        <w:t>la p</w:t>
      </w:r>
      <w:r w:rsidR="00904782" w:rsidRPr="00B93138">
        <w:rPr>
          <w:rFonts w:ascii="Arial" w:hAnsi="Arial" w:cs="Arial"/>
          <w:sz w:val="22"/>
          <w:szCs w:val="22"/>
        </w:rPr>
        <w:t xml:space="preserve">onderación de los elementos de calidad y precio que representen la mejor relación de costo-beneficio. </w:t>
      </w:r>
      <w:r w:rsidR="004C0BF9" w:rsidRPr="00B93138">
        <w:rPr>
          <w:rFonts w:ascii="Arial" w:hAnsi="Arial" w:cs="Arial"/>
          <w:sz w:val="22"/>
          <w:szCs w:val="22"/>
        </w:rPr>
        <w:t xml:space="preserve">Conforme a </w:t>
      </w:r>
      <w:r w:rsidR="002D4F3D" w:rsidRPr="00B93138">
        <w:rPr>
          <w:rFonts w:ascii="Arial" w:hAnsi="Arial" w:cs="Arial"/>
          <w:sz w:val="22"/>
          <w:szCs w:val="22"/>
        </w:rPr>
        <w:t>este</w:t>
      </w:r>
      <w:r w:rsidR="004C0BF9" w:rsidRPr="00B93138">
        <w:rPr>
          <w:rFonts w:ascii="Arial" w:hAnsi="Arial" w:cs="Arial"/>
          <w:sz w:val="22"/>
          <w:szCs w:val="22"/>
        </w:rPr>
        <w:t xml:space="preserve"> artículo, la oferta más favorable en estos casos debe determinarse </w:t>
      </w:r>
      <w:r w:rsidR="006765DF" w:rsidRPr="00B93138">
        <w:rPr>
          <w:rFonts w:ascii="Arial" w:hAnsi="Arial" w:cs="Arial"/>
          <w:sz w:val="22"/>
          <w:szCs w:val="22"/>
        </w:rPr>
        <w:t>ponderando</w:t>
      </w:r>
      <w:r w:rsidR="001D50DB" w:rsidRPr="00B93138">
        <w:rPr>
          <w:rFonts w:ascii="Arial" w:hAnsi="Arial" w:cs="Arial"/>
          <w:sz w:val="22"/>
          <w:szCs w:val="22"/>
        </w:rPr>
        <w:t xml:space="preserve"> en las ofertas:</w:t>
      </w:r>
      <w:r w:rsidR="006765DF" w:rsidRPr="00B93138">
        <w:rPr>
          <w:rFonts w:ascii="Arial" w:hAnsi="Arial" w:cs="Arial"/>
          <w:sz w:val="22"/>
          <w:szCs w:val="22"/>
        </w:rPr>
        <w:t xml:space="preserve"> i) </w:t>
      </w:r>
      <w:r w:rsidR="001D50DB" w:rsidRPr="00B93138">
        <w:rPr>
          <w:rFonts w:ascii="Arial" w:hAnsi="Arial" w:cs="Arial"/>
          <w:sz w:val="22"/>
          <w:szCs w:val="22"/>
          <w:lang w:eastAsia="es-CO"/>
        </w:rPr>
        <w:t>l</w:t>
      </w:r>
      <w:r w:rsidR="006765DF" w:rsidRPr="00B93138">
        <w:rPr>
          <w:rFonts w:ascii="Arial" w:hAnsi="Arial" w:cs="Arial"/>
          <w:sz w:val="22"/>
          <w:szCs w:val="22"/>
          <w:lang w:eastAsia="es-CO"/>
        </w:rPr>
        <w:t>as condiciones técnicas y económicas mínimas</w:t>
      </w:r>
      <w:r w:rsidR="00B541E7" w:rsidRPr="00B93138">
        <w:rPr>
          <w:rFonts w:ascii="Arial" w:hAnsi="Arial" w:cs="Arial"/>
          <w:sz w:val="22"/>
          <w:szCs w:val="22"/>
          <w:lang w:eastAsia="es-CO"/>
        </w:rPr>
        <w:t>,</w:t>
      </w:r>
      <w:r w:rsidR="006765DF" w:rsidRPr="00B93138">
        <w:rPr>
          <w:rFonts w:ascii="Arial" w:hAnsi="Arial" w:cs="Arial"/>
          <w:sz w:val="22"/>
          <w:szCs w:val="22"/>
          <w:lang w:eastAsia="es-CO"/>
        </w:rPr>
        <w:t xml:space="preserve"> ii) </w:t>
      </w:r>
      <w:r w:rsidR="001D50DB" w:rsidRPr="00B93138">
        <w:rPr>
          <w:rFonts w:ascii="Arial" w:hAnsi="Arial" w:cs="Arial"/>
          <w:sz w:val="22"/>
          <w:szCs w:val="22"/>
          <w:lang w:eastAsia="es-CO"/>
        </w:rPr>
        <w:t>l</w:t>
      </w:r>
      <w:r w:rsidR="006765DF" w:rsidRPr="00B93138">
        <w:rPr>
          <w:rFonts w:ascii="Arial" w:hAnsi="Arial" w:cs="Arial"/>
          <w:sz w:val="22"/>
          <w:szCs w:val="22"/>
          <w:lang w:eastAsia="es-CO"/>
        </w:rPr>
        <w:t>as condiciones técnicas adicionales que representan ventajas de calidad o de funcionamiento</w:t>
      </w:r>
      <w:r w:rsidR="00B541E7" w:rsidRPr="00B93138">
        <w:rPr>
          <w:rFonts w:ascii="Arial" w:hAnsi="Arial" w:cs="Arial"/>
          <w:sz w:val="22"/>
          <w:szCs w:val="22"/>
          <w:lang w:eastAsia="es-CO"/>
        </w:rPr>
        <w:t>,</w:t>
      </w:r>
      <w:r w:rsidR="001D50DB" w:rsidRPr="00B93138">
        <w:rPr>
          <w:rFonts w:ascii="Arial" w:hAnsi="Arial" w:cs="Arial"/>
          <w:sz w:val="22"/>
          <w:szCs w:val="22"/>
          <w:lang w:eastAsia="es-CO"/>
        </w:rPr>
        <w:t xml:space="preserve"> iii) las condiciones económicas adicionales que representen ventajas en términos de economía, eficiencia y eficacia</w:t>
      </w:r>
      <w:r w:rsidR="00B541E7" w:rsidRPr="00B93138">
        <w:rPr>
          <w:rFonts w:ascii="Arial" w:hAnsi="Arial" w:cs="Arial"/>
          <w:sz w:val="22"/>
          <w:szCs w:val="22"/>
          <w:lang w:eastAsia="es-CO"/>
        </w:rPr>
        <w:t>,</w:t>
      </w:r>
      <w:r w:rsidR="00312E92" w:rsidRPr="00B93138">
        <w:rPr>
          <w:rFonts w:ascii="Arial" w:hAnsi="Arial" w:cs="Arial"/>
          <w:sz w:val="22"/>
          <w:szCs w:val="22"/>
          <w:lang w:eastAsia="es-CO"/>
        </w:rPr>
        <w:t xml:space="preserve"> y iv) el valor en dinero que la </w:t>
      </w:r>
      <w:r w:rsidR="00FD694E" w:rsidRPr="00B93138">
        <w:rPr>
          <w:rFonts w:ascii="Arial" w:hAnsi="Arial" w:cs="Arial"/>
          <w:sz w:val="22"/>
          <w:szCs w:val="22"/>
          <w:lang w:eastAsia="es-CO"/>
        </w:rPr>
        <w:t>e</w:t>
      </w:r>
      <w:r w:rsidR="00312E92" w:rsidRPr="00B93138">
        <w:rPr>
          <w:rFonts w:ascii="Arial" w:hAnsi="Arial" w:cs="Arial"/>
          <w:sz w:val="22"/>
          <w:szCs w:val="22"/>
          <w:lang w:eastAsia="es-CO"/>
        </w:rPr>
        <w:t xml:space="preserve">ntidad </w:t>
      </w:r>
      <w:r w:rsidR="00FD694E" w:rsidRPr="00B93138">
        <w:rPr>
          <w:rFonts w:ascii="Arial" w:hAnsi="Arial" w:cs="Arial"/>
          <w:sz w:val="22"/>
          <w:szCs w:val="22"/>
          <w:lang w:eastAsia="es-CO"/>
        </w:rPr>
        <w:t>e</w:t>
      </w:r>
      <w:r w:rsidR="00312E92" w:rsidRPr="00B93138">
        <w:rPr>
          <w:rFonts w:ascii="Arial" w:hAnsi="Arial" w:cs="Arial"/>
          <w:sz w:val="22"/>
          <w:szCs w:val="22"/>
          <w:lang w:eastAsia="es-CO"/>
        </w:rPr>
        <w:t>statal asigna a cada ofrecimiento técnico o económico adicional</w:t>
      </w:r>
      <w:r w:rsidR="00BC71AD" w:rsidRPr="00B93138">
        <w:rPr>
          <w:rFonts w:ascii="Arial" w:hAnsi="Arial" w:cs="Arial"/>
          <w:sz w:val="22"/>
          <w:szCs w:val="22"/>
          <w:lang w:eastAsia="es-CO"/>
        </w:rPr>
        <w:t xml:space="preserve">. Teniendo en cuenta estos elementos, la entidad estatal debe calcular la relación costo-beneficio de cada oferta </w:t>
      </w:r>
      <w:r w:rsidR="00F84A9E" w:rsidRPr="00B93138">
        <w:rPr>
          <w:rFonts w:ascii="Arial" w:eastAsia="Calibri" w:hAnsi="Arial" w:cs="Arial"/>
          <w:bCs/>
          <w:sz w:val="22"/>
          <w:szCs w:val="22"/>
        </w:rPr>
        <w:t xml:space="preserve">«[…] </w:t>
      </w:r>
      <w:r w:rsidR="00BC71AD" w:rsidRPr="00B93138">
        <w:rPr>
          <w:rFonts w:ascii="Arial" w:hAnsi="Arial" w:cs="Arial"/>
          <w:sz w:val="22"/>
          <w:szCs w:val="22"/>
          <w:lang w:eastAsia="es-CO"/>
        </w:rPr>
        <w:t>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w:t>
      </w:r>
      <w:r w:rsidR="00F84A9E" w:rsidRPr="00B93138">
        <w:rPr>
          <w:rFonts w:ascii="Arial" w:eastAsia="Calibri" w:hAnsi="Arial" w:cs="Arial"/>
          <w:bCs/>
          <w:sz w:val="22"/>
          <w:szCs w:val="22"/>
        </w:rPr>
        <w:t xml:space="preserve"> </w:t>
      </w:r>
      <w:r w:rsidR="00F84A9E" w:rsidRPr="00B93138">
        <w:rPr>
          <w:rFonts w:ascii="Arial" w:hAnsi="Arial" w:cs="Arial"/>
          <w:sz w:val="22"/>
          <w:szCs w:val="22"/>
        </w:rPr>
        <w:t>[…]</w:t>
      </w:r>
      <w:r w:rsidR="00F84A9E" w:rsidRPr="00B93138">
        <w:rPr>
          <w:rFonts w:ascii="Arial" w:eastAsia="Calibri" w:hAnsi="Arial" w:cs="Arial"/>
          <w:bCs/>
          <w:sz w:val="22"/>
          <w:szCs w:val="22"/>
        </w:rPr>
        <w:t>»</w:t>
      </w:r>
      <w:r w:rsidR="000E3965" w:rsidRPr="00B93138">
        <w:rPr>
          <w:rStyle w:val="Refdenotaalpie"/>
          <w:rFonts w:ascii="Arial" w:hAnsi="Arial" w:cs="Arial"/>
          <w:sz w:val="22"/>
          <w:szCs w:val="22"/>
          <w:lang w:eastAsia="es-CO"/>
        </w:rPr>
        <w:footnoteReference w:id="19"/>
      </w:r>
      <w:r w:rsidR="00F84A9E" w:rsidRPr="00B93138">
        <w:rPr>
          <w:rFonts w:ascii="Arial" w:eastAsia="Calibri" w:hAnsi="Arial" w:cs="Arial"/>
          <w:bCs/>
          <w:sz w:val="22"/>
          <w:szCs w:val="22"/>
        </w:rPr>
        <w:t>.</w:t>
      </w:r>
    </w:p>
    <w:p w14:paraId="7650568A" w14:textId="4CDA24D2" w:rsidR="002C0275" w:rsidRPr="00B93138" w:rsidRDefault="000F6420" w:rsidP="00EB2ED0">
      <w:pPr>
        <w:spacing w:after="120" w:line="276" w:lineRule="auto"/>
        <w:jc w:val="both"/>
        <w:rPr>
          <w:rFonts w:ascii="Arial" w:hAnsi="Arial" w:cs="Arial"/>
          <w:sz w:val="22"/>
          <w:szCs w:val="22"/>
          <w:lang w:eastAsia="es-CO"/>
        </w:rPr>
      </w:pPr>
      <w:r w:rsidRPr="00B93138">
        <w:rPr>
          <w:rFonts w:ascii="Arial" w:hAnsi="Arial" w:cs="Arial"/>
          <w:sz w:val="22"/>
          <w:szCs w:val="22"/>
          <w:lang w:eastAsia="es-CO"/>
        </w:rPr>
        <w:lastRenderedPageBreak/>
        <w:tab/>
      </w:r>
      <w:r w:rsidR="00E76EA1" w:rsidRPr="00B93138">
        <w:rPr>
          <w:rFonts w:ascii="Arial" w:hAnsi="Arial" w:cs="Arial"/>
          <w:sz w:val="22"/>
          <w:szCs w:val="22"/>
          <w:lang w:eastAsia="es-CO"/>
        </w:rPr>
        <w:t>Así</w:t>
      </w:r>
      <w:r w:rsidR="00FA44B1" w:rsidRPr="00B93138">
        <w:rPr>
          <w:rFonts w:ascii="Arial" w:hAnsi="Arial" w:cs="Arial"/>
          <w:sz w:val="22"/>
          <w:szCs w:val="22"/>
          <w:lang w:eastAsia="es-CO"/>
        </w:rPr>
        <w:t>, el deber de selección objetiva está ligado a la determinación de</w:t>
      </w:r>
      <w:r w:rsidR="002E02B7" w:rsidRPr="00B93138">
        <w:rPr>
          <w:rFonts w:ascii="Arial" w:hAnsi="Arial" w:cs="Arial"/>
          <w:sz w:val="22"/>
          <w:szCs w:val="22"/>
          <w:lang w:eastAsia="es-CO"/>
        </w:rPr>
        <w:t xml:space="preserve">l ofrecimiento más favorable, </w:t>
      </w:r>
      <w:r w:rsidR="009D0AF9" w:rsidRPr="00B93138">
        <w:rPr>
          <w:rFonts w:ascii="Arial" w:hAnsi="Arial" w:cs="Arial"/>
          <w:sz w:val="22"/>
          <w:szCs w:val="22"/>
          <w:lang w:eastAsia="es-CO"/>
        </w:rPr>
        <w:t>cuyo contenido debe ser precisado a partir de las diferentes alternativas</w:t>
      </w:r>
      <w:r w:rsidR="000323FA" w:rsidRPr="00B93138">
        <w:rPr>
          <w:rFonts w:ascii="Arial" w:hAnsi="Arial" w:cs="Arial"/>
          <w:sz w:val="22"/>
          <w:szCs w:val="22"/>
          <w:lang w:eastAsia="es-CO"/>
        </w:rPr>
        <w:t xml:space="preserve"> </w:t>
      </w:r>
      <w:r w:rsidR="001910D9" w:rsidRPr="00B93138">
        <w:rPr>
          <w:rFonts w:ascii="Arial" w:hAnsi="Arial" w:cs="Arial"/>
          <w:sz w:val="22"/>
          <w:szCs w:val="22"/>
          <w:lang w:eastAsia="es-CO"/>
        </w:rPr>
        <w:t>d</w:t>
      </w:r>
      <w:r w:rsidR="009D0AF9" w:rsidRPr="00B93138">
        <w:rPr>
          <w:rFonts w:ascii="Arial" w:hAnsi="Arial" w:cs="Arial"/>
          <w:sz w:val="22"/>
          <w:szCs w:val="22"/>
          <w:lang w:eastAsia="es-CO"/>
        </w:rPr>
        <w:t>el artículo 5 de la Ley 1150 de 2007</w:t>
      </w:r>
      <w:r w:rsidR="000323FA" w:rsidRPr="00B93138">
        <w:rPr>
          <w:rFonts w:ascii="Arial" w:hAnsi="Arial" w:cs="Arial"/>
          <w:sz w:val="22"/>
          <w:szCs w:val="22"/>
          <w:lang w:eastAsia="es-CO"/>
        </w:rPr>
        <w:t>, reglamenta</w:t>
      </w:r>
      <w:r w:rsidR="001910D9" w:rsidRPr="00B93138">
        <w:rPr>
          <w:rFonts w:ascii="Arial" w:hAnsi="Arial" w:cs="Arial"/>
          <w:sz w:val="22"/>
          <w:szCs w:val="22"/>
          <w:lang w:eastAsia="es-CO"/>
        </w:rPr>
        <w:t>do por</w:t>
      </w:r>
      <w:r w:rsidR="000323FA" w:rsidRPr="00B93138">
        <w:rPr>
          <w:rFonts w:ascii="Arial" w:hAnsi="Arial" w:cs="Arial"/>
          <w:sz w:val="22"/>
          <w:szCs w:val="22"/>
          <w:lang w:eastAsia="es-CO"/>
        </w:rPr>
        <w:t xml:space="preserve"> el artículo 2.2.1.1.2.2.2 del Decreto 1082 de 2015</w:t>
      </w:r>
      <w:r w:rsidR="00C7356F" w:rsidRPr="00B93138">
        <w:rPr>
          <w:rFonts w:ascii="Arial" w:hAnsi="Arial" w:cs="Arial"/>
          <w:sz w:val="22"/>
          <w:szCs w:val="22"/>
          <w:lang w:eastAsia="es-CO"/>
        </w:rPr>
        <w:t>, que</w:t>
      </w:r>
      <w:r w:rsidR="00965784">
        <w:rPr>
          <w:rFonts w:ascii="Arial" w:hAnsi="Arial" w:cs="Arial"/>
          <w:sz w:val="22"/>
          <w:szCs w:val="22"/>
          <w:lang w:eastAsia="es-CO"/>
        </w:rPr>
        <w:t>,</w:t>
      </w:r>
      <w:r w:rsidR="00C7356F" w:rsidRPr="00B93138">
        <w:rPr>
          <w:rFonts w:ascii="Arial" w:hAnsi="Arial" w:cs="Arial"/>
          <w:sz w:val="22"/>
          <w:szCs w:val="22"/>
          <w:lang w:eastAsia="es-CO"/>
        </w:rPr>
        <w:t xml:space="preserve"> en todo caso</w:t>
      </w:r>
      <w:r w:rsidR="00965784">
        <w:rPr>
          <w:rFonts w:ascii="Arial" w:hAnsi="Arial" w:cs="Arial"/>
          <w:sz w:val="22"/>
          <w:szCs w:val="22"/>
          <w:lang w:eastAsia="es-CO"/>
        </w:rPr>
        <w:t>,</w:t>
      </w:r>
      <w:r w:rsidR="00C7356F" w:rsidRPr="00B93138">
        <w:rPr>
          <w:rFonts w:ascii="Arial" w:hAnsi="Arial" w:cs="Arial"/>
          <w:sz w:val="22"/>
          <w:szCs w:val="22"/>
          <w:lang w:eastAsia="es-CO"/>
        </w:rPr>
        <w:t xml:space="preserve"> deben reflejarse en el pliego de condiciones</w:t>
      </w:r>
      <w:r w:rsidR="001910D9" w:rsidRPr="00B93138">
        <w:rPr>
          <w:rFonts w:ascii="Arial" w:hAnsi="Arial" w:cs="Arial"/>
          <w:sz w:val="22"/>
          <w:szCs w:val="22"/>
          <w:lang w:eastAsia="es-CO"/>
        </w:rPr>
        <w:t xml:space="preserve"> o documento equivalente</w:t>
      </w:r>
      <w:r w:rsidR="00C7356F" w:rsidRPr="00B93138">
        <w:rPr>
          <w:rFonts w:ascii="Arial" w:hAnsi="Arial" w:cs="Arial"/>
          <w:sz w:val="22"/>
          <w:szCs w:val="22"/>
          <w:lang w:eastAsia="es-CO"/>
        </w:rPr>
        <w:t xml:space="preserve"> para el respectivo proceso de selección.</w:t>
      </w:r>
      <w:r w:rsidR="00CB3C5E" w:rsidRPr="00B93138">
        <w:rPr>
          <w:rFonts w:ascii="Arial" w:hAnsi="Arial" w:cs="Arial"/>
          <w:sz w:val="22"/>
          <w:szCs w:val="22"/>
          <w:lang w:eastAsia="es-CO"/>
        </w:rPr>
        <w:t xml:space="preserve"> </w:t>
      </w:r>
      <w:r w:rsidR="00815E70" w:rsidRPr="00B93138">
        <w:rPr>
          <w:rFonts w:ascii="Arial" w:hAnsi="Arial" w:cs="Arial"/>
          <w:sz w:val="22"/>
          <w:szCs w:val="22"/>
          <w:lang w:eastAsia="es-CO"/>
        </w:rPr>
        <w:t xml:space="preserve">Estas </w:t>
      </w:r>
      <w:r w:rsidR="008D15D4" w:rsidRPr="00B93138">
        <w:rPr>
          <w:rFonts w:ascii="Arial" w:hAnsi="Arial" w:cs="Arial"/>
          <w:sz w:val="22"/>
          <w:szCs w:val="22"/>
          <w:lang w:eastAsia="es-CO"/>
        </w:rPr>
        <w:t>disposiciones establecen</w:t>
      </w:r>
      <w:r w:rsidR="00FD694E" w:rsidRPr="00B93138">
        <w:rPr>
          <w:rFonts w:ascii="Arial" w:hAnsi="Arial" w:cs="Arial"/>
          <w:sz w:val="22"/>
          <w:szCs w:val="22"/>
          <w:lang w:eastAsia="es-CO"/>
        </w:rPr>
        <w:t xml:space="preserve"> que en los</w:t>
      </w:r>
      <w:r w:rsidR="00CB3C5E" w:rsidRPr="00B93138">
        <w:rPr>
          <w:rFonts w:ascii="Arial" w:hAnsi="Arial" w:cs="Arial"/>
          <w:sz w:val="22"/>
          <w:szCs w:val="22"/>
          <w:lang w:eastAsia="es-CO"/>
        </w:rPr>
        <w:t xml:space="preserve"> procesos de selección deben </w:t>
      </w:r>
      <w:r w:rsidR="00075567" w:rsidRPr="00B93138">
        <w:rPr>
          <w:rFonts w:ascii="Arial" w:hAnsi="Arial" w:cs="Arial"/>
          <w:sz w:val="22"/>
          <w:szCs w:val="22"/>
          <w:lang w:eastAsia="es-CO"/>
        </w:rPr>
        <w:t>evaluarse, fuera de los requisitos habilitantes,</w:t>
      </w:r>
      <w:r w:rsidR="00CB3C5E" w:rsidRPr="00B93138">
        <w:rPr>
          <w:rFonts w:ascii="Arial" w:hAnsi="Arial" w:cs="Arial"/>
          <w:sz w:val="22"/>
          <w:szCs w:val="22"/>
          <w:lang w:eastAsia="es-CO"/>
        </w:rPr>
        <w:t xml:space="preserve"> </w:t>
      </w:r>
      <w:r w:rsidR="00900861" w:rsidRPr="00B93138">
        <w:rPr>
          <w:rFonts w:ascii="Arial" w:hAnsi="Arial" w:cs="Arial"/>
          <w:sz w:val="22"/>
          <w:szCs w:val="22"/>
          <w:lang w:eastAsia="es-CO"/>
        </w:rPr>
        <w:t>los</w:t>
      </w:r>
      <w:r w:rsidR="003419D7" w:rsidRPr="00B93138">
        <w:rPr>
          <w:rFonts w:ascii="Arial" w:hAnsi="Arial" w:cs="Arial"/>
          <w:sz w:val="22"/>
          <w:szCs w:val="22"/>
          <w:lang w:eastAsia="es-CO"/>
        </w:rPr>
        <w:t xml:space="preserve"> factores de calificación, valoración</w:t>
      </w:r>
      <w:r w:rsidR="00337357" w:rsidRPr="00B93138">
        <w:rPr>
          <w:rFonts w:ascii="Arial" w:hAnsi="Arial" w:cs="Arial"/>
          <w:sz w:val="22"/>
          <w:szCs w:val="22"/>
          <w:lang w:eastAsia="es-CO"/>
        </w:rPr>
        <w:t xml:space="preserve"> o</w:t>
      </w:r>
      <w:r w:rsidR="00075567" w:rsidRPr="00B93138">
        <w:rPr>
          <w:rFonts w:ascii="Arial" w:hAnsi="Arial" w:cs="Arial"/>
          <w:sz w:val="22"/>
          <w:szCs w:val="22"/>
          <w:lang w:eastAsia="es-CO"/>
        </w:rPr>
        <w:t xml:space="preserve"> evaluación</w:t>
      </w:r>
      <w:r w:rsidR="00A90546" w:rsidRPr="00B93138">
        <w:rPr>
          <w:rFonts w:ascii="Arial" w:hAnsi="Arial" w:cs="Arial"/>
          <w:sz w:val="22"/>
          <w:szCs w:val="22"/>
          <w:lang w:eastAsia="es-CO"/>
        </w:rPr>
        <w:t xml:space="preserve">. </w:t>
      </w:r>
      <w:r w:rsidR="008D15D4" w:rsidRPr="00B93138">
        <w:rPr>
          <w:rFonts w:ascii="Arial" w:hAnsi="Arial" w:cs="Arial"/>
          <w:sz w:val="22"/>
          <w:szCs w:val="22"/>
          <w:lang w:eastAsia="es-CO"/>
        </w:rPr>
        <w:t xml:space="preserve">Estos </w:t>
      </w:r>
      <w:r w:rsidR="00900861" w:rsidRPr="00B93138">
        <w:rPr>
          <w:rFonts w:ascii="Arial" w:hAnsi="Arial" w:cs="Arial"/>
          <w:sz w:val="22"/>
          <w:szCs w:val="22"/>
          <w:lang w:eastAsia="es-CO"/>
        </w:rPr>
        <w:t>pueden pondera</w:t>
      </w:r>
      <w:r w:rsidR="00B47428" w:rsidRPr="00B93138">
        <w:rPr>
          <w:rFonts w:ascii="Arial" w:hAnsi="Arial" w:cs="Arial"/>
          <w:sz w:val="22"/>
          <w:szCs w:val="22"/>
          <w:lang w:eastAsia="es-CO"/>
        </w:rPr>
        <w:t>r</w:t>
      </w:r>
      <w:r w:rsidR="00900861" w:rsidRPr="00B93138">
        <w:rPr>
          <w:rFonts w:ascii="Arial" w:hAnsi="Arial" w:cs="Arial"/>
          <w:sz w:val="22"/>
          <w:szCs w:val="22"/>
          <w:lang w:eastAsia="es-CO"/>
        </w:rPr>
        <w:t>s</w:t>
      </w:r>
      <w:r w:rsidR="00B47428" w:rsidRPr="00B93138">
        <w:rPr>
          <w:rFonts w:ascii="Arial" w:hAnsi="Arial" w:cs="Arial"/>
          <w:sz w:val="22"/>
          <w:szCs w:val="22"/>
          <w:lang w:eastAsia="es-CO"/>
        </w:rPr>
        <w:t>e</w:t>
      </w:r>
      <w:r w:rsidR="00900861" w:rsidRPr="00B93138">
        <w:rPr>
          <w:rFonts w:ascii="Arial" w:hAnsi="Arial" w:cs="Arial"/>
          <w:sz w:val="22"/>
          <w:szCs w:val="22"/>
          <w:lang w:eastAsia="es-CO"/>
        </w:rPr>
        <w:t xml:space="preserve"> </w:t>
      </w:r>
      <w:r w:rsidR="00476D6A" w:rsidRPr="00B93138">
        <w:rPr>
          <w:rFonts w:ascii="Arial" w:hAnsi="Arial" w:cs="Arial"/>
          <w:sz w:val="22"/>
          <w:szCs w:val="22"/>
          <w:lang w:eastAsia="es-CO"/>
        </w:rPr>
        <w:t xml:space="preserve">mediante la asignación de puntaje, por lo que la norma </w:t>
      </w:r>
      <w:r w:rsidR="00B47428" w:rsidRPr="00B93138">
        <w:rPr>
          <w:rFonts w:ascii="Arial" w:hAnsi="Arial" w:cs="Arial"/>
          <w:sz w:val="22"/>
          <w:szCs w:val="22"/>
          <w:lang w:eastAsia="es-CO"/>
        </w:rPr>
        <w:t>se refiere a</w:t>
      </w:r>
      <w:r w:rsidR="00476D6A" w:rsidRPr="00B93138">
        <w:rPr>
          <w:rFonts w:ascii="Arial" w:hAnsi="Arial" w:cs="Arial"/>
          <w:sz w:val="22"/>
          <w:szCs w:val="22"/>
          <w:lang w:eastAsia="es-CO"/>
        </w:rPr>
        <w:t xml:space="preserve"> factores que no otorgan puntaje</w:t>
      </w:r>
      <w:r w:rsidR="00CF1AE3" w:rsidRPr="00B93138">
        <w:rPr>
          <w:rFonts w:ascii="Arial" w:hAnsi="Arial" w:cs="Arial"/>
          <w:sz w:val="22"/>
          <w:szCs w:val="22"/>
          <w:lang w:eastAsia="es-CO"/>
        </w:rPr>
        <w:t xml:space="preserve"> para diferenciar los requisitos habilitantes de los mencionados factores de calificación</w:t>
      </w:r>
      <w:r w:rsidR="00A90546" w:rsidRPr="00B93138">
        <w:rPr>
          <w:rFonts w:ascii="Arial" w:hAnsi="Arial" w:cs="Arial"/>
          <w:sz w:val="22"/>
          <w:szCs w:val="22"/>
          <w:lang w:eastAsia="es-CO"/>
        </w:rPr>
        <w:t>. Lo anterior,</w:t>
      </w:r>
      <w:r w:rsidR="00CF1AE3" w:rsidRPr="00B93138">
        <w:rPr>
          <w:rFonts w:ascii="Arial" w:hAnsi="Arial" w:cs="Arial"/>
          <w:sz w:val="22"/>
          <w:szCs w:val="22"/>
          <w:lang w:eastAsia="es-CO"/>
        </w:rPr>
        <w:t xml:space="preserve"> </w:t>
      </w:r>
      <w:r w:rsidR="00130635" w:rsidRPr="00B93138">
        <w:rPr>
          <w:rFonts w:ascii="Arial" w:hAnsi="Arial" w:cs="Arial"/>
          <w:sz w:val="22"/>
          <w:szCs w:val="22"/>
          <w:lang w:eastAsia="es-CO"/>
        </w:rPr>
        <w:t xml:space="preserve">bajo el entendido que son estos últimos los que determinan la oferta más favorable para la entidad </w:t>
      </w:r>
      <w:r w:rsidR="00D74364" w:rsidRPr="00B93138">
        <w:rPr>
          <w:rFonts w:ascii="Arial" w:hAnsi="Arial" w:cs="Arial"/>
          <w:sz w:val="22"/>
          <w:szCs w:val="22"/>
          <w:lang w:eastAsia="es-CO"/>
        </w:rPr>
        <w:t xml:space="preserve">y </w:t>
      </w:r>
      <w:r w:rsidR="00601624" w:rsidRPr="00B93138">
        <w:rPr>
          <w:rFonts w:ascii="Arial" w:hAnsi="Arial" w:cs="Arial"/>
          <w:sz w:val="22"/>
          <w:szCs w:val="22"/>
          <w:lang w:eastAsia="es-CO"/>
        </w:rPr>
        <w:t xml:space="preserve">la </w:t>
      </w:r>
      <w:r w:rsidR="00D74364" w:rsidRPr="00B93138">
        <w:rPr>
          <w:rFonts w:ascii="Arial" w:hAnsi="Arial" w:cs="Arial"/>
          <w:sz w:val="22"/>
          <w:szCs w:val="22"/>
          <w:lang w:eastAsia="es-CO"/>
        </w:rPr>
        <w:t>que en consecuencia debe elegi</w:t>
      </w:r>
      <w:r w:rsidR="00B47428" w:rsidRPr="00B93138">
        <w:rPr>
          <w:rFonts w:ascii="Arial" w:hAnsi="Arial" w:cs="Arial"/>
          <w:sz w:val="22"/>
          <w:szCs w:val="22"/>
          <w:lang w:eastAsia="es-CO"/>
        </w:rPr>
        <w:t>rse</w:t>
      </w:r>
      <w:r w:rsidR="00D74364" w:rsidRPr="00B93138">
        <w:rPr>
          <w:rFonts w:ascii="Arial" w:hAnsi="Arial" w:cs="Arial"/>
          <w:sz w:val="22"/>
          <w:szCs w:val="22"/>
          <w:lang w:eastAsia="es-CO"/>
        </w:rPr>
        <w:t xml:space="preserve">. </w:t>
      </w:r>
    </w:p>
    <w:p w14:paraId="7E83BEFA" w14:textId="4151CBB7" w:rsidR="0060009C" w:rsidRPr="00B93138" w:rsidRDefault="00902CC9" w:rsidP="00EB2ED0">
      <w:pPr>
        <w:tabs>
          <w:tab w:val="left" w:pos="0"/>
        </w:tabs>
        <w:spacing w:after="120" w:line="276" w:lineRule="auto"/>
        <w:jc w:val="both"/>
        <w:rPr>
          <w:rFonts w:ascii="Arial" w:eastAsia="Calibri" w:hAnsi="Arial" w:cs="Arial"/>
          <w:bCs/>
          <w:sz w:val="22"/>
          <w:lang w:val="es-ES_tradnl"/>
        </w:rPr>
      </w:pPr>
      <w:r w:rsidRPr="00B93138">
        <w:rPr>
          <w:rFonts w:ascii="Arial" w:eastAsia="Calibri" w:hAnsi="Arial" w:cs="Arial"/>
          <w:b/>
          <w:sz w:val="22"/>
          <w:lang w:val="es-ES_tradnl"/>
        </w:rPr>
        <w:tab/>
      </w:r>
      <w:r w:rsidR="00E76EA1" w:rsidRPr="00B93138">
        <w:rPr>
          <w:rFonts w:ascii="Arial" w:eastAsia="Calibri" w:hAnsi="Arial" w:cs="Arial"/>
          <w:bCs/>
          <w:sz w:val="22"/>
          <w:lang w:val="es-ES_tradnl"/>
        </w:rPr>
        <w:t>En gracia de discusión</w:t>
      </w:r>
      <w:r w:rsidR="003467FE" w:rsidRPr="00B93138">
        <w:rPr>
          <w:rFonts w:ascii="Arial" w:eastAsia="Calibri" w:hAnsi="Arial" w:cs="Arial"/>
          <w:bCs/>
          <w:sz w:val="22"/>
          <w:lang w:val="es-ES_tradnl"/>
        </w:rPr>
        <w:t>,</w:t>
      </w:r>
      <w:r w:rsidR="00841275" w:rsidRPr="00B93138">
        <w:rPr>
          <w:rFonts w:ascii="Arial" w:eastAsia="Calibri" w:hAnsi="Arial" w:cs="Arial"/>
          <w:bCs/>
          <w:sz w:val="22"/>
          <w:lang w:val="es-ES_tradnl"/>
        </w:rPr>
        <w:t xml:space="preserve"> </w:t>
      </w:r>
      <w:r w:rsidR="00EF3CD4" w:rsidRPr="00B93138">
        <w:rPr>
          <w:rFonts w:ascii="Arial" w:eastAsia="Calibri" w:hAnsi="Arial" w:cs="Arial"/>
          <w:bCs/>
          <w:sz w:val="22"/>
          <w:lang w:val="es-ES_tradnl"/>
        </w:rPr>
        <w:t xml:space="preserve">asumir </w:t>
      </w:r>
      <w:r w:rsidR="00B1189E" w:rsidRPr="00B93138">
        <w:rPr>
          <w:rFonts w:ascii="Arial" w:eastAsia="Calibri" w:hAnsi="Arial" w:cs="Arial"/>
          <w:bCs/>
          <w:sz w:val="22"/>
          <w:lang w:val="es-ES_tradnl"/>
        </w:rPr>
        <w:t>que</w:t>
      </w:r>
      <w:r w:rsidR="00841275" w:rsidRPr="00B93138">
        <w:rPr>
          <w:rFonts w:ascii="Arial" w:eastAsia="Calibri" w:hAnsi="Arial" w:cs="Arial"/>
          <w:bCs/>
          <w:sz w:val="22"/>
          <w:lang w:val="es-ES_tradnl"/>
        </w:rPr>
        <w:t xml:space="preserve"> </w:t>
      </w:r>
      <w:r w:rsidR="000D2C83" w:rsidRPr="00B93138">
        <w:rPr>
          <w:rFonts w:ascii="Arial" w:eastAsia="Calibri" w:hAnsi="Arial" w:cs="Arial"/>
          <w:bCs/>
          <w:sz w:val="22"/>
          <w:lang w:val="es-ES_tradnl"/>
        </w:rPr>
        <w:t>los factores de desempate del artículo 35 de la Ley 2069 de 2020</w:t>
      </w:r>
      <w:r w:rsidR="00BB0156" w:rsidRPr="00B93138">
        <w:rPr>
          <w:rFonts w:ascii="Arial" w:eastAsia="Calibri" w:hAnsi="Arial" w:cs="Arial"/>
          <w:bCs/>
          <w:sz w:val="22"/>
          <w:lang w:val="es-ES_tradnl"/>
        </w:rPr>
        <w:t xml:space="preserve"> </w:t>
      </w:r>
      <w:r w:rsidR="00B1189E" w:rsidRPr="00B93138">
        <w:rPr>
          <w:rFonts w:ascii="Arial" w:eastAsia="Calibri" w:hAnsi="Arial" w:cs="Arial"/>
          <w:bCs/>
          <w:sz w:val="22"/>
          <w:lang w:val="es-ES_tradnl"/>
        </w:rPr>
        <w:t>únicamente</w:t>
      </w:r>
      <w:r w:rsidR="00BB0156" w:rsidRPr="00B93138">
        <w:rPr>
          <w:rFonts w:ascii="Arial" w:eastAsia="Calibri" w:hAnsi="Arial" w:cs="Arial"/>
          <w:bCs/>
          <w:sz w:val="22"/>
          <w:lang w:val="es-ES_tradnl"/>
        </w:rPr>
        <w:t xml:space="preserve"> son aplicables a </w:t>
      </w:r>
      <w:r w:rsidR="00D975DD" w:rsidRPr="00B93138">
        <w:rPr>
          <w:rFonts w:ascii="Arial" w:eastAsia="Calibri" w:hAnsi="Arial" w:cs="Arial"/>
          <w:bCs/>
          <w:sz w:val="22"/>
          <w:lang w:val="es-ES_tradnl"/>
        </w:rPr>
        <w:t xml:space="preserve">los </w:t>
      </w:r>
      <w:r w:rsidR="00BB0156" w:rsidRPr="00B93138">
        <w:rPr>
          <w:rFonts w:ascii="Arial" w:eastAsia="Calibri" w:hAnsi="Arial" w:cs="Arial"/>
          <w:bCs/>
          <w:sz w:val="22"/>
          <w:lang w:val="es-ES_tradnl"/>
        </w:rPr>
        <w:t>proc</w:t>
      </w:r>
      <w:r w:rsidR="00D975DD" w:rsidRPr="00B93138">
        <w:rPr>
          <w:rFonts w:ascii="Arial" w:eastAsia="Calibri" w:hAnsi="Arial" w:cs="Arial"/>
          <w:bCs/>
          <w:sz w:val="22"/>
          <w:lang w:val="es-ES_tradnl"/>
        </w:rPr>
        <w:t>esos de selección</w:t>
      </w:r>
      <w:r w:rsidR="00BB0156" w:rsidRPr="00B93138">
        <w:rPr>
          <w:rFonts w:ascii="Arial" w:eastAsia="Calibri" w:hAnsi="Arial" w:cs="Arial"/>
          <w:bCs/>
          <w:sz w:val="22"/>
          <w:lang w:val="es-ES_tradnl"/>
        </w:rPr>
        <w:t xml:space="preserve"> en los que se empleen sistemas de asignación de puntaje para determinar </w:t>
      </w:r>
      <w:r w:rsidR="00EF3CD4" w:rsidRPr="00B93138">
        <w:rPr>
          <w:rFonts w:ascii="Arial" w:eastAsia="Calibri" w:hAnsi="Arial" w:cs="Arial"/>
          <w:bCs/>
          <w:sz w:val="22"/>
          <w:lang w:val="es-ES_tradnl"/>
        </w:rPr>
        <w:t>la oferta más favorable</w:t>
      </w:r>
      <w:r w:rsidR="00482157" w:rsidRPr="00B93138">
        <w:rPr>
          <w:rFonts w:ascii="Arial" w:eastAsia="Calibri" w:hAnsi="Arial" w:cs="Arial"/>
          <w:bCs/>
          <w:sz w:val="22"/>
          <w:lang w:val="es-ES_tradnl"/>
        </w:rPr>
        <w:t>, conduciría a entender que</w:t>
      </w:r>
      <w:r w:rsidR="00BC2BC5" w:rsidRPr="00B93138">
        <w:rPr>
          <w:rFonts w:ascii="Arial" w:eastAsia="Calibri" w:hAnsi="Arial" w:cs="Arial"/>
          <w:bCs/>
          <w:sz w:val="22"/>
          <w:lang w:val="es-ES_tradnl"/>
        </w:rPr>
        <w:t xml:space="preserve"> estos no </w:t>
      </w:r>
      <w:r w:rsidR="00F311A1" w:rsidRPr="00B93138">
        <w:rPr>
          <w:rFonts w:ascii="Arial" w:eastAsia="Calibri" w:hAnsi="Arial" w:cs="Arial"/>
          <w:bCs/>
          <w:sz w:val="22"/>
          <w:lang w:val="es-ES_tradnl"/>
        </w:rPr>
        <w:t>rigen</w:t>
      </w:r>
      <w:r w:rsidR="009928AF" w:rsidRPr="00B93138">
        <w:rPr>
          <w:rFonts w:ascii="Arial" w:eastAsia="Calibri" w:hAnsi="Arial" w:cs="Arial"/>
          <w:bCs/>
          <w:sz w:val="22"/>
          <w:lang w:val="es-ES_tradnl"/>
        </w:rPr>
        <w:t xml:space="preserve"> en otros</w:t>
      </w:r>
      <w:r w:rsidR="00F311A1" w:rsidRPr="00B93138">
        <w:rPr>
          <w:rFonts w:ascii="Arial" w:eastAsia="Calibri" w:hAnsi="Arial" w:cs="Arial"/>
          <w:bCs/>
          <w:sz w:val="22"/>
          <w:lang w:val="es-ES_tradnl"/>
        </w:rPr>
        <w:t xml:space="preserve"> procedimientos de selección</w:t>
      </w:r>
      <w:r w:rsidR="005A6886" w:rsidRPr="00B93138">
        <w:rPr>
          <w:rFonts w:ascii="Arial" w:eastAsia="Calibri" w:hAnsi="Arial" w:cs="Arial"/>
          <w:bCs/>
          <w:sz w:val="22"/>
          <w:lang w:val="es-ES_tradnl"/>
        </w:rPr>
        <w:t xml:space="preserve">. Esto </w:t>
      </w:r>
      <w:r w:rsidR="00F311A1" w:rsidRPr="00B93138">
        <w:rPr>
          <w:rFonts w:ascii="Arial" w:eastAsia="Calibri" w:hAnsi="Arial" w:cs="Arial"/>
          <w:bCs/>
          <w:sz w:val="22"/>
          <w:lang w:val="es-ES_tradnl"/>
        </w:rPr>
        <w:t xml:space="preserve">dado </w:t>
      </w:r>
      <w:r w:rsidR="005A6886" w:rsidRPr="00B93138">
        <w:rPr>
          <w:rFonts w:ascii="Arial" w:eastAsia="Calibri" w:hAnsi="Arial" w:cs="Arial"/>
          <w:bCs/>
          <w:sz w:val="22"/>
          <w:lang w:val="es-ES_tradnl"/>
        </w:rPr>
        <w:t>que</w:t>
      </w:r>
      <w:r w:rsidR="00F311A1" w:rsidRPr="00B93138">
        <w:rPr>
          <w:rFonts w:ascii="Arial" w:eastAsia="Calibri" w:hAnsi="Arial" w:cs="Arial"/>
          <w:bCs/>
          <w:sz w:val="22"/>
          <w:lang w:val="es-ES_tradnl"/>
        </w:rPr>
        <w:t xml:space="preserve"> no</w:t>
      </w:r>
      <w:r w:rsidR="00B455BD" w:rsidRPr="00B93138">
        <w:rPr>
          <w:rFonts w:ascii="Arial" w:eastAsia="Calibri" w:hAnsi="Arial" w:cs="Arial"/>
          <w:bCs/>
          <w:sz w:val="22"/>
          <w:lang w:val="es-ES_tradnl"/>
        </w:rPr>
        <w:t xml:space="preserve"> habría lugar</w:t>
      </w:r>
      <w:r w:rsidR="00BC2BC5" w:rsidRPr="00B93138">
        <w:rPr>
          <w:rFonts w:ascii="Arial" w:eastAsia="Calibri" w:hAnsi="Arial" w:cs="Arial"/>
          <w:bCs/>
          <w:sz w:val="22"/>
          <w:lang w:val="es-ES_tradnl"/>
        </w:rPr>
        <w:t xml:space="preserve"> </w:t>
      </w:r>
      <w:r w:rsidR="00B455BD" w:rsidRPr="00B93138">
        <w:rPr>
          <w:rFonts w:ascii="Arial" w:eastAsia="Calibri" w:hAnsi="Arial" w:cs="Arial"/>
          <w:bCs/>
          <w:sz w:val="22"/>
          <w:lang w:val="es-ES_tradnl"/>
        </w:rPr>
        <w:t xml:space="preserve">a aplicar los referidos factores de desempate </w:t>
      </w:r>
      <w:r w:rsidR="00BC2BC5" w:rsidRPr="00B93138">
        <w:rPr>
          <w:rFonts w:ascii="Arial" w:eastAsia="Calibri" w:hAnsi="Arial" w:cs="Arial"/>
          <w:bCs/>
          <w:sz w:val="22"/>
          <w:lang w:val="es-ES_tradnl"/>
        </w:rPr>
        <w:t xml:space="preserve">en </w:t>
      </w:r>
      <w:r w:rsidR="00810179" w:rsidRPr="00B93138">
        <w:rPr>
          <w:rFonts w:ascii="Arial" w:eastAsia="Calibri" w:hAnsi="Arial" w:cs="Arial"/>
          <w:bCs/>
          <w:sz w:val="22"/>
          <w:lang w:val="es-ES_tradnl"/>
        </w:rPr>
        <w:t>procedimiento</w:t>
      </w:r>
      <w:r w:rsidR="00B455BD" w:rsidRPr="00B93138">
        <w:rPr>
          <w:rFonts w:ascii="Arial" w:eastAsia="Calibri" w:hAnsi="Arial" w:cs="Arial"/>
          <w:bCs/>
          <w:sz w:val="22"/>
          <w:lang w:val="es-ES_tradnl"/>
        </w:rPr>
        <w:t>s</w:t>
      </w:r>
      <w:r w:rsidR="00810179" w:rsidRPr="00B93138">
        <w:rPr>
          <w:rFonts w:ascii="Arial" w:eastAsia="Calibri" w:hAnsi="Arial" w:cs="Arial"/>
          <w:bCs/>
          <w:sz w:val="22"/>
          <w:lang w:val="es-ES_tradnl"/>
        </w:rPr>
        <w:t xml:space="preserve"> en </w:t>
      </w:r>
      <w:r w:rsidR="00B455BD" w:rsidRPr="00B93138">
        <w:rPr>
          <w:rFonts w:ascii="Arial" w:eastAsia="Calibri" w:hAnsi="Arial" w:cs="Arial"/>
          <w:bCs/>
          <w:sz w:val="22"/>
          <w:lang w:val="es-ES_tradnl"/>
        </w:rPr>
        <w:t>los</w:t>
      </w:r>
      <w:r w:rsidR="00810179" w:rsidRPr="00B93138">
        <w:rPr>
          <w:rFonts w:ascii="Arial" w:eastAsia="Calibri" w:hAnsi="Arial" w:cs="Arial"/>
          <w:bCs/>
          <w:sz w:val="22"/>
          <w:lang w:val="es-ES_tradnl"/>
        </w:rPr>
        <w:t xml:space="preserve"> que no se comparen las ofertas usando puntajes,</w:t>
      </w:r>
      <w:r w:rsidR="00E15DE3" w:rsidRPr="00B93138">
        <w:rPr>
          <w:rFonts w:ascii="Arial" w:eastAsia="Calibri" w:hAnsi="Arial" w:cs="Arial"/>
          <w:bCs/>
          <w:sz w:val="22"/>
          <w:lang w:val="es-ES_tradnl"/>
        </w:rPr>
        <w:t xml:space="preserve"> como es el caso de los procesos en los que </w:t>
      </w:r>
      <w:r w:rsidR="00230E35" w:rsidRPr="00B93138">
        <w:rPr>
          <w:rFonts w:ascii="Arial" w:eastAsia="Calibri" w:hAnsi="Arial" w:cs="Arial"/>
          <w:bCs/>
          <w:sz w:val="22"/>
          <w:lang w:val="es-ES_tradnl"/>
        </w:rPr>
        <w:t xml:space="preserve">ponderan </w:t>
      </w:r>
      <w:r w:rsidR="00E70C98" w:rsidRPr="00B93138">
        <w:rPr>
          <w:rFonts w:ascii="Arial" w:eastAsia="Calibri" w:hAnsi="Arial" w:cs="Arial"/>
          <w:bCs/>
          <w:sz w:val="22"/>
          <w:lang w:val="es-ES_tradnl"/>
        </w:rPr>
        <w:t xml:space="preserve">condiciones técnicas y económicas </w:t>
      </w:r>
      <w:r w:rsidR="00CD710A" w:rsidRPr="00B93138">
        <w:rPr>
          <w:rFonts w:ascii="Arial" w:eastAsia="Calibri" w:hAnsi="Arial" w:cs="Arial"/>
          <w:bCs/>
          <w:sz w:val="22"/>
          <w:lang w:val="es-ES_tradnl"/>
        </w:rPr>
        <w:t>mínimas</w:t>
      </w:r>
      <w:r w:rsidR="00E70C98" w:rsidRPr="00B93138">
        <w:rPr>
          <w:rFonts w:ascii="Arial" w:eastAsia="Calibri" w:hAnsi="Arial" w:cs="Arial"/>
          <w:bCs/>
          <w:sz w:val="22"/>
          <w:lang w:val="es-ES_tradnl"/>
        </w:rPr>
        <w:t xml:space="preserve"> y adicionales para escoger la oferta que represente la mejor relación costo beneficio</w:t>
      </w:r>
      <w:r w:rsidR="00AD5523" w:rsidRPr="00B93138">
        <w:rPr>
          <w:rFonts w:ascii="Arial" w:eastAsia="Calibri" w:hAnsi="Arial" w:cs="Arial"/>
          <w:bCs/>
          <w:sz w:val="22"/>
          <w:lang w:val="es-ES_tradnl"/>
        </w:rPr>
        <w:t>, procedimientos en los que también es posible que se presenten empate</w:t>
      </w:r>
      <w:r w:rsidR="001971FD" w:rsidRPr="00B93138">
        <w:rPr>
          <w:rFonts w:ascii="Arial" w:eastAsia="Calibri" w:hAnsi="Arial" w:cs="Arial"/>
          <w:bCs/>
          <w:sz w:val="22"/>
          <w:lang w:val="es-ES_tradnl"/>
        </w:rPr>
        <w:t>s</w:t>
      </w:r>
      <w:r w:rsidR="00AD5523" w:rsidRPr="00B93138">
        <w:rPr>
          <w:rFonts w:ascii="Arial" w:eastAsia="Calibri" w:hAnsi="Arial" w:cs="Arial"/>
          <w:bCs/>
          <w:sz w:val="22"/>
          <w:lang w:val="es-ES_tradnl"/>
        </w:rPr>
        <w:t>.</w:t>
      </w:r>
      <w:r w:rsidR="00E70C98" w:rsidRPr="00B93138">
        <w:rPr>
          <w:rFonts w:ascii="Arial" w:eastAsia="Calibri" w:hAnsi="Arial" w:cs="Arial"/>
          <w:bCs/>
          <w:sz w:val="22"/>
          <w:lang w:val="es-ES_tradnl"/>
        </w:rPr>
        <w:t xml:space="preserve"> </w:t>
      </w:r>
    </w:p>
    <w:p w14:paraId="0D1A830E" w14:textId="4AEED48C" w:rsidR="001E747D" w:rsidRPr="00B93138" w:rsidRDefault="00AA5E49" w:rsidP="00EB2ED0">
      <w:pPr>
        <w:tabs>
          <w:tab w:val="left" w:pos="0"/>
        </w:tabs>
        <w:spacing w:after="120" w:line="276" w:lineRule="auto"/>
        <w:jc w:val="both"/>
        <w:rPr>
          <w:rFonts w:ascii="Arial" w:eastAsia="Calibri" w:hAnsi="Arial" w:cs="Arial"/>
          <w:bCs/>
          <w:sz w:val="22"/>
          <w:lang w:val="es-ES_tradnl"/>
        </w:rPr>
      </w:pPr>
      <w:r w:rsidRPr="00B93138">
        <w:rPr>
          <w:rFonts w:ascii="Arial" w:eastAsia="Calibri" w:hAnsi="Arial" w:cs="Arial"/>
          <w:bCs/>
          <w:sz w:val="22"/>
          <w:lang w:val="es-ES_tradnl"/>
        </w:rPr>
        <w:tab/>
      </w:r>
      <w:r w:rsidR="001B38E3" w:rsidRPr="00B93138">
        <w:rPr>
          <w:rFonts w:ascii="Arial" w:eastAsia="Calibri" w:hAnsi="Arial" w:cs="Arial"/>
          <w:bCs/>
          <w:sz w:val="22"/>
          <w:lang w:val="es-ES_tradnl"/>
        </w:rPr>
        <w:t>L</w:t>
      </w:r>
      <w:r w:rsidR="00F719FD" w:rsidRPr="00B93138">
        <w:rPr>
          <w:rFonts w:ascii="Arial" w:eastAsia="Calibri" w:hAnsi="Arial" w:cs="Arial"/>
          <w:bCs/>
          <w:sz w:val="22"/>
          <w:lang w:val="es-ES_tradnl"/>
        </w:rPr>
        <w:t>as entidades estatales</w:t>
      </w:r>
      <w:r w:rsidR="00314A22" w:rsidRPr="00B93138">
        <w:rPr>
          <w:rFonts w:ascii="Arial" w:eastAsia="Calibri" w:hAnsi="Arial" w:cs="Arial"/>
          <w:bCs/>
          <w:sz w:val="22"/>
          <w:lang w:val="es-ES_tradnl"/>
        </w:rPr>
        <w:t xml:space="preserve"> </w:t>
      </w:r>
      <w:r w:rsidR="008C6754" w:rsidRPr="00B93138">
        <w:rPr>
          <w:rFonts w:ascii="Arial" w:eastAsia="Calibri" w:hAnsi="Arial" w:cs="Arial"/>
          <w:bCs/>
          <w:sz w:val="22"/>
          <w:lang w:val="es-ES_tradnl"/>
        </w:rPr>
        <w:t xml:space="preserve">tendrían </w:t>
      </w:r>
      <w:r w:rsidR="004F44D8" w:rsidRPr="00B93138">
        <w:rPr>
          <w:rFonts w:ascii="Arial" w:eastAsia="Calibri" w:hAnsi="Arial" w:cs="Arial"/>
          <w:bCs/>
          <w:sz w:val="22"/>
          <w:lang w:val="es-ES_tradnl"/>
        </w:rPr>
        <w:t>a su alcance la posibilidad de determinar si aplica o no el artículo 35</w:t>
      </w:r>
      <w:r w:rsidR="008C6754" w:rsidRPr="00B93138">
        <w:rPr>
          <w:rFonts w:ascii="Arial" w:eastAsia="Calibri" w:hAnsi="Arial" w:cs="Arial"/>
          <w:bCs/>
          <w:sz w:val="22"/>
          <w:lang w:val="es-ES_tradnl"/>
        </w:rPr>
        <w:t xml:space="preserve"> de la Ley de Emprendimiento</w:t>
      </w:r>
      <w:r w:rsidR="004F44D8" w:rsidRPr="00B93138">
        <w:rPr>
          <w:rFonts w:ascii="Arial" w:eastAsia="Calibri" w:hAnsi="Arial" w:cs="Arial"/>
          <w:bCs/>
          <w:sz w:val="22"/>
          <w:lang w:val="es-ES_tradnl"/>
        </w:rPr>
        <w:t xml:space="preserve">, </w:t>
      </w:r>
      <w:r w:rsidR="000A5F82" w:rsidRPr="00B93138">
        <w:rPr>
          <w:rFonts w:ascii="Arial" w:eastAsia="Calibri" w:hAnsi="Arial" w:cs="Arial"/>
          <w:bCs/>
          <w:sz w:val="22"/>
          <w:lang w:val="es-ES_tradnl"/>
        </w:rPr>
        <w:t>pues</w:t>
      </w:r>
      <w:r w:rsidR="00812C9E" w:rsidRPr="00B93138">
        <w:rPr>
          <w:rFonts w:ascii="Arial" w:eastAsia="Calibri" w:hAnsi="Arial" w:cs="Arial"/>
          <w:bCs/>
          <w:sz w:val="22"/>
          <w:lang w:val="es-ES_tradnl"/>
        </w:rPr>
        <w:t xml:space="preserve"> al </w:t>
      </w:r>
      <w:r w:rsidR="008D15D4" w:rsidRPr="00B93138">
        <w:rPr>
          <w:rFonts w:ascii="Arial" w:eastAsia="Calibri" w:hAnsi="Arial" w:cs="Arial"/>
          <w:bCs/>
          <w:sz w:val="22"/>
          <w:lang w:val="es-ES_tradnl"/>
        </w:rPr>
        <w:t>elaborar</w:t>
      </w:r>
      <w:r w:rsidR="00F719FD" w:rsidRPr="00B93138">
        <w:rPr>
          <w:rFonts w:ascii="Arial" w:eastAsia="Calibri" w:hAnsi="Arial" w:cs="Arial"/>
          <w:bCs/>
          <w:sz w:val="22"/>
          <w:lang w:val="es-ES_tradnl"/>
        </w:rPr>
        <w:t xml:space="preserve"> los pliegos de condiciones </w:t>
      </w:r>
      <w:r w:rsidR="000A03F2" w:rsidRPr="00B93138">
        <w:rPr>
          <w:rFonts w:ascii="Arial" w:eastAsia="Calibri" w:hAnsi="Arial" w:cs="Arial"/>
          <w:bCs/>
          <w:sz w:val="22"/>
          <w:lang w:val="es-ES_tradnl"/>
        </w:rPr>
        <w:t>est</w:t>
      </w:r>
      <w:r w:rsidR="00812C9E" w:rsidRPr="00B93138">
        <w:rPr>
          <w:rFonts w:ascii="Arial" w:eastAsia="Calibri" w:hAnsi="Arial" w:cs="Arial"/>
          <w:bCs/>
          <w:sz w:val="22"/>
          <w:lang w:val="es-ES_tradnl"/>
        </w:rPr>
        <w:t>án</w:t>
      </w:r>
      <w:r w:rsidR="000A03F2" w:rsidRPr="00B93138">
        <w:rPr>
          <w:rFonts w:ascii="Arial" w:eastAsia="Calibri" w:hAnsi="Arial" w:cs="Arial"/>
          <w:bCs/>
          <w:sz w:val="22"/>
          <w:lang w:val="es-ES_tradnl"/>
        </w:rPr>
        <w:t xml:space="preserve"> faculta</w:t>
      </w:r>
      <w:r w:rsidR="002E6A50" w:rsidRPr="00B93138">
        <w:rPr>
          <w:rFonts w:ascii="Arial" w:eastAsia="Calibri" w:hAnsi="Arial" w:cs="Arial"/>
          <w:bCs/>
          <w:sz w:val="22"/>
          <w:lang w:val="es-ES_tradnl"/>
        </w:rPr>
        <w:t>da</w:t>
      </w:r>
      <w:r w:rsidR="000A03F2" w:rsidRPr="00B93138">
        <w:rPr>
          <w:rFonts w:ascii="Arial" w:eastAsia="Calibri" w:hAnsi="Arial" w:cs="Arial"/>
          <w:bCs/>
          <w:sz w:val="22"/>
          <w:lang w:val="es-ES_tradnl"/>
        </w:rPr>
        <w:t>s para</w:t>
      </w:r>
      <w:r w:rsidR="00812C9E" w:rsidRPr="00B93138">
        <w:rPr>
          <w:rFonts w:ascii="Arial" w:eastAsia="Calibri" w:hAnsi="Arial" w:cs="Arial"/>
          <w:bCs/>
          <w:sz w:val="22"/>
          <w:lang w:val="es-ES_tradnl"/>
        </w:rPr>
        <w:t xml:space="preserve"> </w:t>
      </w:r>
      <w:r w:rsidR="0071041A" w:rsidRPr="00B93138">
        <w:rPr>
          <w:rFonts w:ascii="Arial" w:eastAsia="Calibri" w:hAnsi="Arial" w:cs="Arial"/>
          <w:bCs/>
          <w:sz w:val="22"/>
          <w:lang w:val="es-ES_tradnl"/>
        </w:rPr>
        <w:t>prescindir</w:t>
      </w:r>
      <w:r w:rsidR="00812C9E" w:rsidRPr="00B93138">
        <w:rPr>
          <w:rFonts w:ascii="Arial" w:eastAsia="Calibri" w:hAnsi="Arial" w:cs="Arial"/>
          <w:bCs/>
          <w:sz w:val="22"/>
          <w:lang w:val="es-ES_tradnl"/>
        </w:rPr>
        <w:t xml:space="preserve"> de la asignación de puntaje,</w:t>
      </w:r>
      <w:r w:rsidR="000A03F2" w:rsidRPr="00B93138">
        <w:rPr>
          <w:rFonts w:ascii="Arial" w:eastAsia="Calibri" w:hAnsi="Arial" w:cs="Arial"/>
          <w:bCs/>
          <w:sz w:val="22"/>
          <w:lang w:val="es-ES_tradnl"/>
        </w:rPr>
        <w:t xml:space="preserve"> opta</w:t>
      </w:r>
      <w:r w:rsidR="00812C9E" w:rsidRPr="00B93138">
        <w:rPr>
          <w:rFonts w:ascii="Arial" w:eastAsia="Calibri" w:hAnsi="Arial" w:cs="Arial"/>
          <w:bCs/>
          <w:sz w:val="22"/>
          <w:lang w:val="es-ES_tradnl"/>
        </w:rPr>
        <w:t>ndo</w:t>
      </w:r>
      <w:r w:rsidR="0071041A" w:rsidRPr="00B93138">
        <w:rPr>
          <w:rFonts w:ascii="Arial" w:eastAsia="Calibri" w:hAnsi="Arial" w:cs="Arial"/>
          <w:bCs/>
          <w:sz w:val="22"/>
          <w:lang w:val="es-ES_tradnl"/>
        </w:rPr>
        <w:t>,</w:t>
      </w:r>
      <w:r w:rsidR="000A03F2" w:rsidRPr="00B93138">
        <w:rPr>
          <w:rFonts w:ascii="Arial" w:eastAsia="Calibri" w:hAnsi="Arial" w:cs="Arial"/>
          <w:bCs/>
          <w:sz w:val="22"/>
          <w:lang w:val="es-ES_tradnl"/>
        </w:rPr>
        <w:t xml:space="preserve"> por</w:t>
      </w:r>
      <w:r w:rsidR="0071041A" w:rsidRPr="00B93138">
        <w:rPr>
          <w:rFonts w:ascii="Arial" w:eastAsia="Calibri" w:hAnsi="Arial" w:cs="Arial"/>
          <w:bCs/>
          <w:sz w:val="22"/>
          <w:lang w:val="es-ES_tradnl"/>
        </w:rPr>
        <w:t xml:space="preserve"> ejemplo, por</w:t>
      </w:r>
      <w:r w:rsidR="000A03F2" w:rsidRPr="00B93138">
        <w:rPr>
          <w:rFonts w:ascii="Arial" w:eastAsia="Calibri" w:hAnsi="Arial" w:cs="Arial"/>
          <w:bCs/>
          <w:sz w:val="22"/>
          <w:lang w:val="es-ES_tradnl"/>
        </w:rPr>
        <w:t xml:space="preserve"> alternativas </w:t>
      </w:r>
      <w:r w:rsidR="00DD65ED" w:rsidRPr="00B93138">
        <w:rPr>
          <w:rFonts w:ascii="Arial" w:eastAsia="Calibri" w:hAnsi="Arial" w:cs="Arial"/>
          <w:bCs/>
          <w:sz w:val="22"/>
          <w:lang w:val="es-ES_tradnl"/>
        </w:rPr>
        <w:t>en las que se valore la relación costo beneficio</w:t>
      </w:r>
      <w:r w:rsidR="003C4B46" w:rsidRPr="00B93138">
        <w:rPr>
          <w:rFonts w:ascii="Arial" w:eastAsia="Calibri" w:hAnsi="Arial" w:cs="Arial"/>
          <w:bCs/>
          <w:sz w:val="22"/>
          <w:lang w:val="es-ES_tradnl"/>
        </w:rPr>
        <w:t xml:space="preserve">, lo que relevaría </w:t>
      </w:r>
      <w:r w:rsidR="002E6A50" w:rsidRPr="00B93138">
        <w:rPr>
          <w:rFonts w:ascii="Arial" w:eastAsia="Calibri" w:hAnsi="Arial" w:cs="Arial"/>
          <w:bCs/>
          <w:sz w:val="22"/>
          <w:lang w:val="es-ES_tradnl"/>
        </w:rPr>
        <w:t xml:space="preserve">a la entidad de aplicar </w:t>
      </w:r>
      <w:r w:rsidR="004C74BD" w:rsidRPr="00B93138">
        <w:rPr>
          <w:rFonts w:ascii="Arial" w:eastAsia="Calibri" w:hAnsi="Arial" w:cs="Arial"/>
          <w:bCs/>
          <w:sz w:val="22"/>
          <w:lang w:val="es-ES_tradnl"/>
        </w:rPr>
        <w:t>los factores de desempate</w:t>
      </w:r>
      <w:r w:rsidR="00314A22" w:rsidRPr="00B93138">
        <w:rPr>
          <w:rFonts w:ascii="Arial" w:eastAsia="Calibri" w:hAnsi="Arial" w:cs="Arial"/>
          <w:bCs/>
          <w:sz w:val="22"/>
          <w:lang w:val="es-ES_tradnl"/>
        </w:rPr>
        <w:t>.</w:t>
      </w:r>
      <w:r w:rsidR="00AE7CF1" w:rsidRPr="00B93138">
        <w:rPr>
          <w:rFonts w:ascii="Arial" w:eastAsia="Calibri" w:hAnsi="Arial" w:cs="Arial"/>
          <w:bCs/>
          <w:sz w:val="22"/>
          <w:lang w:val="es-ES_tradnl"/>
        </w:rPr>
        <w:t xml:space="preserve"> </w:t>
      </w:r>
      <w:r w:rsidR="002B3FBF" w:rsidRPr="00B93138">
        <w:rPr>
          <w:rFonts w:ascii="Arial" w:eastAsia="Calibri" w:hAnsi="Arial" w:cs="Arial"/>
          <w:bCs/>
          <w:sz w:val="22"/>
          <w:lang w:val="es-ES_tradnl"/>
        </w:rPr>
        <w:t>Esta</w:t>
      </w:r>
      <w:r w:rsidR="00AE7CF1" w:rsidRPr="00B93138">
        <w:rPr>
          <w:rFonts w:ascii="Arial" w:eastAsia="Calibri" w:hAnsi="Arial" w:cs="Arial"/>
          <w:bCs/>
          <w:sz w:val="22"/>
          <w:lang w:val="es-ES_tradnl"/>
        </w:rPr>
        <w:t xml:space="preserve"> consecuencia también se aprecia </w:t>
      </w:r>
      <w:r w:rsidR="005F5935" w:rsidRPr="00B93138">
        <w:rPr>
          <w:rFonts w:ascii="Arial" w:eastAsia="Calibri" w:hAnsi="Arial" w:cs="Arial"/>
          <w:bCs/>
          <w:sz w:val="22"/>
          <w:lang w:val="es-ES_tradnl"/>
        </w:rPr>
        <w:t xml:space="preserve">en </w:t>
      </w:r>
      <w:r w:rsidR="00355061">
        <w:rPr>
          <w:rFonts w:ascii="Arial" w:eastAsia="Calibri" w:hAnsi="Arial" w:cs="Arial"/>
          <w:bCs/>
          <w:sz w:val="22"/>
          <w:lang w:val="es-ES_tradnl"/>
        </w:rPr>
        <w:t xml:space="preserve">el </w:t>
      </w:r>
      <w:r w:rsidR="005F5935" w:rsidRPr="00B93138">
        <w:rPr>
          <w:rFonts w:ascii="Arial" w:eastAsia="Calibri" w:hAnsi="Arial" w:cs="Arial"/>
          <w:bCs/>
          <w:sz w:val="22"/>
          <w:lang w:val="es-ES_tradnl"/>
        </w:rPr>
        <w:t>caso de las entidades exceptuadas</w:t>
      </w:r>
      <w:r w:rsidR="009C0783" w:rsidRPr="00B93138">
        <w:rPr>
          <w:rFonts w:ascii="Arial" w:eastAsia="Calibri" w:hAnsi="Arial" w:cs="Arial"/>
          <w:bCs/>
          <w:sz w:val="22"/>
          <w:lang w:val="es-ES_tradnl"/>
        </w:rPr>
        <w:t>, quienes</w:t>
      </w:r>
      <w:r w:rsidR="00355061">
        <w:rPr>
          <w:rFonts w:ascii="Arial" w:eastAsia="Calibri" w:hAnsi="Arial" w:cs="Arial"/>
          <w:bCs/>
          <w:sz w:val="22"/>
          <w:lang w:val="es-ES_tradnl"/>
        </w:rPr>
        <w:t>,</w:t>
      </w:r>
      <w:r w:rsidR="009C0783" w:rsidRPr="00B93138">
        <w:rPr>
          <w:rFonts w:ascii="Arial" w:eastAsia="Calibri" w:hAnsi="Arial" w:cs="Arial"/>
          <w:bCs/>
          <w:sz w:val="22"/>
          <w:lang w:val="es-ES_tradnl"/>
        </w:rPr>
        <w:t xml:space="preserve"> al no estar sujetas al artículo 5 de la Ley 1150 de 2007</w:t>
      </w:r>
      <w:r w:rsidR="005F7112" w:rsidRPr="00B93138">
        <w:rPr>
          <w:rFonts w:ascii="Arial" w:eastAsia="Calibri" w:hAnsi="Arial" w:cs="Arial"/>
          <w:bCs/>
          <w:sz w:val="22"/>
          <w:lang w:val="es-ES_tradnl"/>
        </w:rPr>
        <w:t>, t</w:t>
      </w:r>
      <w:r w:rsidR="00FA20D0" w:rsidRPr="00B93138">
        <w:rPr>
          <w:rFonts w:ascii="Arial" w:eastAsia="Calibri" w:hAnsi="Arial" w:cs="Arial"/>
          <w:bCs/>
          <w:sz w:val="22"/>
          <w:lang w:val="es-ES_tradnl"/>
        </w:rPr>
        <w:t>endrían</w:t>
      </w:r>
      <w:r w:rsidR="005F7112" w:rsidRPr="00B93138">
        <w:rPr>
          <w:rFonts w:ascii="Arial" w:eastAsia="Calibri" w:hAnsi="Arial" w:cs="Arial"/>
          <w:bCs/>
          <w:sz w:val="22"/>
          <w:lang w:val="es-ES_tradnl"/>
        </w:rPr>
        <w:t xml:space="preserve"> </w:t>
      </w:r>
      <w:r w:rsidR="00E85D69" w:rsidRPr="00B93138">
        <w:rPr>
          <w:rFonts w:ascii="Arial" w:eastAsia="Calibri" w:hAnsi="Arial" w:cs="Arial"/>
          <w:bCs/>
          <w:sz w:val="22"/>
          <w:lang w:val="es-ES_tradnl"/>
        </w:rPr>
        <w:t xml:space="preserve">la posibilidad de </w:t>
      </w:r>
      <w:r w:rsidR="005F7112" w:rsidRPr="00B93138">
        <w:rPr>
          <w:rFonts w:ascii="Arial" w:eastAsia="Calibri" w:hAnsi="Arial" w:cs="Arial"/>
          <w:bCs/>
          <w:sz w:val="22"/>
          <w:lang w:val="es-ES_tradnl"/>
        </w:rPr>
        <w:t xml:space="preserve">configurar procesos de selección </w:t>
      </w:r>
      <w:r w:rsidR="00057CBB" w:rsidRPr="00B93138">
        <w:rPr>
          <w:rFonts w:ascii="Arial" w:eastAsia="Calibri" w:hAnsi="Arial" w:cs="Arial"/>
          <w:bCs/>
          <w:sz w:val="22"/>
          <w:lang w:val="es-ES_tradnl"/>
        </w:rPr>
        <w:t>en los que no se utilice</w:t>
      </w:r>
      <w:r w:rsidR="008013FB" w:rsidRPr="00B93138">
        <w:rPr>
          <w:rFonts w:ascii="Arial" w:eastAsia="Calibri" w:hAnsi="Arial" w:cs="Arial"/>
          <w:bCs/>
          <w:sz w:val="22"/>
          <w:lang w:val="es-ES_tradnl"/>
        </w:rPr>
        <w:t>n</w:t>
      </w:r>
      <w:r w:rsidR="00057CBB" w:rsidRPr="00B93138">
        <w:rPr>
          <w:rFonts w:ascii="Arial" w:eastAsia="Calibri" w:hAnsi="Arial" w:cs="Arial"/>
          <w:bCs/>
          <w:sz w:val="22"/>
          <w:lang w:val="es-ES_tradnl"/>
        </w:rPr>
        <w:t xml:space="preserve"> puntaje</w:t>
      </w:r>
      <w:r w:rsidR="008013FB" w:rsidRPr="00B93138">
        <w:rPr>
          <w:rFonts w:ascii="Arial" w:eastAsia="Calibri" w:hAnsi="Arial" w:cs="Arial"/>
          <w:bCs/>
          <w:sz w:val="22"/>
          <w:lang w:val="es-ES_tradnl"/>
        </w:rPr>
        <w:t>s</w:t>
      </w:r>
      <w:r w:rsidR="00057CBB" w:rsidRPr="00B93138">
        <w:rPr>
          <w:rFonts w:ascii="Arial" w:eastAsia="Calibri" w:hAnsi="Arial" w:cs="Arial"/>
          <w:bCs/>
          <w:sz w:val="22"/>
          <w:lang w:val="es-ES_tradnl"/>
        </w:rPr>
        <w:t xml:space="preserve"> para escoger la oferta ganadora,</w:t>
      </w:r>
      <w:r w:rsidR="001E747D" w:rsidRPr="00B93138">
        <w:rPr>
          <w:rFonts w:ascii="Arial" w:eastAsia="Calibri" w:hAnsi="Arial" w:cs="Arial"/>
          <w:bCs/>
          <w:sz w:val="22"/>
          <w:lang w:val="es-ES_tradnl"/>
        </w:rPr>
        <w:t xml:space="preserve"> </w:t>
      </w:r>
      <w:proofErr w:type="spellStart"/>
      <w:r w:rsidR="007363DC" w:rsidRPr="00B93138">
        <w:rPr>
          <w:rFonts w:ascii="Arial" w:eastAsia="Calibri" w:hAnsi="Arial" w:cs="Arial"/>
          <w:bCs/>
          <w:sz w:val="22"/>
          <w:lang w:val="es-ES_tradnl"/>
        </w:rPr>
        <w:t>inaplicando</w:t>
      </w:r>
      <w:proofErr w:type="spellEnd"/>
      <w:r w:rsidR="00F33EF5" w:rsidRPr="00B93138">
        <w:rPr>
          <w:rFonts w:ascii="Arial" w:eastAsia="Calibri" w:hAnsi="Arial" w:cs="Arial"/>
          <w:bCs/>
          <w:sz w:val="22"/>
          <w:lang w:val="es-ES_tradnl"/>
        </w:rPr>
        <w:t xml:space="preserve"> </w:t>
      </w:r>
      <w:r w:rsidR="001E747D" w:rsidRPr="00B93138">
        <w:rPr>
          <w:rFonts w:ascii="Arial" w:eastAsia="Calibri" w:hAnsi="Arial" w:cs="Arial"/>
          <w:bCs/>
          <w:sz w:val="22"/>
          <w:lang w:val="es-ES_tradnl"/>
        </w:rPr>
        <w:t>los factores de desempate del artículo 35</w:t>
      </w:r>
      <w:r w:rsidR="008013FB" w:rsidRPr="00B93138">
        <w:rPr>
          <w:rFonts w:ascii="Arial" w:eastAsia="Calibri" w:hAnsi="Arial" w:cs="Arial"/>
          <w:bCs/>
          <w:sz w:val="22"/>
          <w:lang w:val="es-ES_tradnl"/>
        </w:rPr>
        <w:t xml:space="preserve"> de la Ley 2069 de 2020.</w:t>
      </w:r>
    </w:p>
    <w:p w14:paraId="1DE74688" w14:textId="646CC5AD" w:rsidR="00AA5E49" w:rsidRPr="00B93138" w:rsidRDefault="00A056D2" w:rsidP="00EB2ED0">
      <w:pPr>
        <w:tabs>
          <w:tab w:val="left" w:pos="0"/>
        </w:tabs>
        <w:spacing w:after="120" w:line="276" w:lineRule="auto"/>
        <w:jc w:val="both"/>
        <w:rPr>
          <w:rFonts w:ascii="Arial" w:eastAsia="Calibri" w:hAnsi="Arial" w:cs="Arial"/>
          <w:bCs/>
          <w:sz w:val="22"/>
          <w:lang w:val="es-ES_tradnl"/>
        </w:rPr>
      </w:pPr>
      <w:r w:rsidRPr="00B93138">
        <w:rPr>
          <w:rFonts w:ascii="Arial" w:eastAsia="Calibri" w:hAnsi="Arial" w:cs="Arial"/>
          <w:bCs/>
          <w:sz w:val="22"/>
          <w:lang w:val="es-ES_tradnl"/>
        </w:rPr>
        <w:lastRenderedPageBreak/>
        <w:tab/>
        <w:t xml:space="preserve">Conforme a estas consideraciones, </w:t>
      </w:r>
      <w:r w:rsidR="00344125" w:rsidRPr="00B93138">
        <w:rPr>
          <w:rFonts w:ascii="Arial" w:eastAsia="Calibri" w:hAnsi="Arial" w:cs="Arial"/>
          <w:bCs/>
          <w:sz w:val="22"/>
          <w:lang w:val="es-ES_tradnl"/>
        </w:rPr>
        <w:t xml:space="preserve">con </w:t>
      </w:r>
      <w:r w:rsidRPr="00B93138">
        <w:rPr>
          <w:rFonts w:ascii="Arial" w:eastAsia="Calibri" w:hAnsi="Arial" w:cs="Arial"/>
          <w:bCs/>
          <w:sz w:val="22"/>
          <w:lang w:val="es-ES_tradnl"/>
        </w:rPr>
        <w:t xml:space="preserve">el entendimiento literal de la expresión </w:t>
      </w:r>
      <w:r w:rsidRPr="00B93138">
        <w:rPr>
          <w:rFonts w:ascii="Arial" w:eastAsia="Calibri" w:hAnsi="Arial" w:cs="Arial"/>
          <w:bCs/>
          <w:i/>
          <w:iCs/>
          <w:sz w:val="22"/>
          <w:lang w:val="es-ES_tradnl"/>
        </w:rPr>
        <w:t>puntaje total</w:t>
      </w:r>
      <w:r w:rsidR="002036BA" w:rsidRPr="00B93138">
        <w:rPr>
          <w:rFonts w:ascii="Arial" w:eastAsia="Calibri" w:hAnsi="Arial" w:cs="Arial"/>
          <w:bCs/>
          <w:sz w:val="22"/>
          <w:lang w:val="es-ES_tradnl"/>
        </w:rPr>
        <w:t xml:space="preserve"> contenida en el artículo 35 de la 2069 de 2020 </w:t>
      </w:r>
      <w:r w:rsidR="00973398" w:rsidRPr="00B93138">
        <w:rPr>
          <w:rFonts w:ascii="Arial" w:eastAsia="Calibri" w:hAnsi="Arial" w:cs="Arial"/>
          <w:bCs/>
          <w:sz w:val="22"/>
          <w:lang w:val="es-ES_tradnl"/>
        </w:rPr>
        <w:t>se restringiría</w:t>
      </w:r>
      <w:r w:rsidR="00344125" w:rsidRPr="00B93138">
        <w:rPr>
          <w:rFonts w:ascii="Arial" w:eastAsia="Calibri" w:hAnsi="Arial" w:cs="Arial"/>
          <w:bCs/>
          <w:sz w:val="22"/>
          <w:lang w:val="es-ES_tradnl"/>
        </w:rPr>
        <w:t xml:space="preserve"> el alcance y los efectos de la norma referida</w:t>
      </w:r>
      <w:r w:rsidR="00290805" w:rsidRPr="00B93138">
        <w:rPr>
          <w:rFonts w:ascii="Arial" w:eastAsia="Calibri" w:hAnsi="Arial" w:cs="Arial"/>
          <w:bCs/>
          <w:sz w:val="22"/>
          <w:lang w:val="es-ES_tradnl"/>
        </w:rPr>
        <w:t>,</w:t>
      </w:r>
      <w:r w:rsidR="00F8740F" w:rsidRPr="00B93138">
        <w:rPr>
          <w:rFonts w:ascii="Arial" w:eastAsia="Calibri" w:hAnsi="Arial" w:cs="Arial"/>
          <w:bCs/>
          <w:sz w:val="22"/>
          <w:lang w:val="es-ES_tradnl"/>
        </w:rPr>
        <w:t xml:space="preserve"> al permitir que</w:t>
      </w:r>
      <w:r w:rsidR="00290805" w:rsidRPr="00B93138">
        <w:rPr>
          <w:rFonts w:ascii="Arial" w:eastAsia="Calibri" w:hAnsi="Arial" w:cs="Arial"/>
          <w:bCs/>
          <w:sz w:val="22"/>
          <w:lang w:val="es-ES_tradnl"/>
        </w:rPr>
        <w:t xml:space="preserve"> los </w:t>
      </w:r>
      <w:r w:rsidR="00F8740F" w:rsidRPr="00B93138">
        <w:rPr>
          <w:rFonts w:ascii="Arial" w:eastAsia="Calibri" w:hAnsi="Arial" w:cs="Arial"/>
          <w:bCs/>
          <w:sz w:val="22"/>
          <w:lang w:val="es-ES_tradnl"/>
        </w:rPr>
        <w:t xml:space="preserve">destinatarios </w:t>
      </w:r>
      <w:r w:rsidR="003A3EA0" w:rsidRPr="00B93138">
        <w:rPr>
          <w:rFonts w:ascii="Arial" w:eastAsia="Calibri" w:hAnsi="Arial" w:cs="Arial"/>
          <w:bCs/>
          <w:sz w:val="22"/>
          <w:lang w:val="es-ES_tradnl"/>
        </w:rPr>
        <w:t>elud</w:t>
      </w:r>
      <w:r w:rsidR="00136DD8" w:rsidRPr="00B93138">
        <w:rPr>
          <w:rFonts w:ascii="Arial" w:eastAsia="Calibri" w:hAnsi="Arial" w:cs="Arial"/>
          <w:bCs/>
          <w:sz w:val="22"/>
          <w:lang w:val="es-ES_tradnl"/>
        </w:rPr>
        <w:t>an</w:t>
      </w:r>
      <w:r w:rsidR="003A3EA0" w:rsidRPr="00B93138">
        <w:rPr>
          <w:rFonts w:ascii="Arial" w:eastAsia="Calibri" w:hAnsi="Arial" w:cs="Arial"/>
          <w:bCs/>
          <w:sz w:val="22"/>
          <w:lang w:val="es-ES_tradnl"/>
        </w:rPr>
        <w:t xml:space="preserve"> su aplicación. </w:t>
      </w:r>
      <w:r w:rsidR="0092557B" w:rsidRPr="00B93138">
        <w:rPr>
          <w:rFonts w:ascii="Arial" w:eastAsia="Calibri" w:hAnsi="Arial" w:cs="Arial"/>
          <w:bCs/>
          <w:sz w:val="22"/>
          <w:lang w:val="es-ES_tradnl"/>
        </w:rPr>
        <w:t xml:space="preserve">Esto </w:t>
      </w:r>
      <w:r w:rsidR="006C5215" w:rsidRPr="00B93138">
        <w:rPr>
          <w:rFonts w:ascii="Arial" w:eastAsia="Calibri" w:hAnsi="Arial" w:cs="Arial"/>
          <w:bCs/>
          <w:sz w:val="22"/>
          <w:lang w:val="es-ES_tradnl"/>
        </w:rPr>
        <w:t>implica</w:t>
      </w:r>
      <w:r w:rsidR="00E4057E">
        <w:rPr>
          <w:rFonts w:ascii="Arial" w:eastAsia="Calibri" w:hAnsi="Arial" w:cs="Arial"/>
          <w:bCs/>
          <w:sz w:val="22"/>
          <w:lang w:val="es-ES_tradnl"/>
        </w:rPr>
        <w:t>ría</w:t>
      </w:r>
      <w:r w:rsidR="006C5215" w:rsidRPr="00B93138">
        <w:rPr>
          <w:rFonts w:ascii="Arial" w:eastAsia="Calibri" w:hAnsi="Arial" w:cs="Arial"/>
          <w:bCs/>
          <w:sz w:val="22"/>
          <w:lang w:val="es-ES_tradnl"/>
        </w:rPr>
        <w:t xml:space="preserve"> que la</w:t>
      </w:r>
      <w:r w:rsidR="0092557B" w:rsidRPr="00B93138">
        <w:rPr>
          <w:rFonts w:ascii="Arial" w:eastAsia="Calibri" w:hAnsi="Arial" w:cs="Arial"/>
          <w:bCs/>
          <w:sz w:val="22"/>
          <w:lang w:val="es-ES_tradnl"/>
        </w:rPr>
        <w:t xml:space="preserve"> finalidad transversal del artículo 35 de la Ley 2069 de 2020</w:t>
      </w:r>
      <w:r w:rsidR="00BF6990" w:rsidRPr="00B93138">
        <w:rPr>
          <w:rFonts w:ascii="Arial" w:eastAsia="Calibri" w:hAnsi="Arial" w:cs="Arial"/>
          <w:bCs/>
          <w:sz w:val="22"/>
          <w:lang w:val="es-ES_tradnl"/>
        </w:rPr>
        <w:t xml:space="preserve"> quedaría cercenada por </w:t>
      </w:r>
      <w:r w:rsidR="0071340B" w:rsidRPr="00B93138">
        <w:rPr>
          <w:rFonts w:ascii="Arial" w:eastAsia="Calibri" w:hAnsi="Arial" w:cs="Arial"/>
          <w:bCs/>
          <w:sz w:val="22"/>
          <w:lang w:val="es-ES_tradnl"/>
        </w:rPr>
        <w:t xml:space="preserve">su </w:t>
      </w:r>
      <w:r w:rsidR="00BF6990" w:rsidRPr="00B93138">
        <w:rPr>
          <w:rFonts w:ascii="Arial" w:eastAsia="Calibri" w:hAnsi="Arial" w:cs="Arial"/>
          <w:bCs/>
          <w:sz w:val="22"/>
          <w:lang w:val="es-ES_tradnl"/>
        </w:rPr>
        <w:t xml:space="preserve">interpretación exegética, </w:t>
      </w:r>
      <w:r w:rsidR="00B75628" w:rsidRPr="00B93138">
        <w:rPr>
          <w:rFonts w:ascii="Arial" w:eastAsia="Calibri" w:hAnsi="Arial" w:cs="Arial"/>
          <w:bCs/>
          <w:sz w:val="22"/>
          <w:lang w:val="es-ES_tradnl"/>
        </w:rPr>
        <w:t>generando consecuencias absurdas como las descritas en el párrafo precedente</w:t>
      </w:r>
      <w:r w:rsidR="009E3BEE" w:rsidRPr="00B93138">
        <w:rPr>
          <w:rFonts w:ascii="Arial" w:eastAsia="Calibri" w:hAnsi="Arial" w:cs="Arial"/>
          <w:bCs/>
          <w:sz w:val="22"/>
          <w:lang w:val="es-ES_tradnl"/>
        </w:rPr>
        <w:t>.</w:t>
      </w:r>
      <w:r w:rsidR="00511368" w:rsidRPr="00B93138">
        <w:rPr>
          <w:rFonts w:ascii="Arial" w:eastAsia="Calibri" w:hAnsi="Arial" w:cs="Arial"/>
          <w:bCs/>
          <w:sz w:val="22"/>
          <w:lang w:val="es-ES_tradnl"/>
        </w:rPr>
        <w:t xml:space="preserve">  </w:t>
      </w:r>
    </w:p>
    <w:p w14:paraId="400AE1BF" w14:textId="5315BF6D" w:rsidR="008D15D4" w:rsidRPr="00B93138" w:rsidRDefault="009D28E8" w:rsidP="00EB2ED0">
      <w:pPr>
        <w:tabs>
          <w:tab w:val="left" w:pos="0"/>
        </w:tabs>
        <w:spacing w:after="120" w:line="276" w:lineRule="auto"/>
        <w:jc w:val="both"/>
        <w:rPr>
          <w:rFonts w:ascii="Arial" w:hAnsi="Arial" w:cs="Arial"/>
          <w:sz w:val="22"/>
          <w:szCs w:val="22"/>
        </w:rPr>
      </w:pPr>
      <w:r w:rsidRPr="00B93138">
        <w:rPr>
          <w:rFonts w:ascii="Arial" w:eastAsia="Calibri" w:hAnsi="Arial" w:cs="Arial"/>
          <w:bCs/>
          <w:sz w:val="22"/>
          <w:szCs w:val="22"/>
          <w:lang w:val="es-ES_tradnl"/>
        </w:rPr>
        <w:tab/>
      </w:r>
      <w:r w:rsidR="00E4057E">
        <w:rPr>
          <w:rFonts w:ascii="Arial" w:eastAsia="Calibri" w:hAnsi="Arial" w:cs="Arial"/>
          <w:bCs/>
          <w:sz w:val="22"/>
          <w:szCs w:val="22"/>
          <w:lang w:val="es-ES_tradnl"/>
        </w:rPr>
        <w:t>Por eso</w:t>
      </w:r>
      <w:r w:rsidRPr="00B93138">
        <w:rPr>
          <w:rFonts w:ascii="Arial" w:eastAsia="Calibri" w:hAnsi="Arial" w:cs="Arial"/>
          <w:bCs/>
          <w:sz w:val="22"/>
          <w:szCs w:val="22"/>
          <w:lang w:val="es-ES_tradnl"/>
        </w:rPr>
        <w:t xml:space="preserve">, </w:t>
      </w:r>
      <w:r w:rsidR="00111026" w:rsidRPr="00B93138">
        <w:rPr>
          <w:rFonts w:ascii="Arial" w:eastAsia="Calibri" w:hAnsi="Arial" w:cs="Arial"/>
          <w:bCs/>
          <w:sz w:val="22"/>
          <w:szCs w:val="22"/>
          <w:lang w:val="es-ES_tradnl"/>
        </w:rPr>
        <w:t>la</w:t>
      </w:r>
      <w:r w:rsidRPr="00B93138">
        <w:rPr>
          <w:rFonts w:ascii="Arial" w:eastAsia="Calibri" w:hAnsi="Arial" w:cs="Arial"/>
          <w:bCs/>
          <w:sz w:val="22"/>
          <w:szCs w:val="22"/>
          <w:lang w:val="es-ES_tradnl"/>
        </w:rPr>
        <w:t xml:space="preserve"> Agencia</w:t>
      </w:r>
      <w:r w:rsidR="00F5237A" w:rsidRPr="00B93138">
        <w:rPr>
          <w:rFonts w:ascii="Arial" w:eastAsia="Calibri" w:hAnsi="Arial" w:cs="Arial"/>
          <w:bCs/>
          <w:sz w:val="22"/>
          <w:szCs w:val="22"/>
          <w:lang w:val="es-ES_tradnl"/>
        </w:rPr>
        <w:t xml:space="preserve"> </w:t>
      </w:r>
      <w:r w:rsidR="0085694D" w:rsidRPr="00B93138">
        <w:rPr>
          <w:rFonts w:ascii="Arial" w:eastAsia="Calibri" w:hAnsi="Arial" w:cs="Arial"/>
          <w:bCs/>
          <w:sz w:val="22"/>
          <w:szCs w:val="22"/>
          <w:lang w:val="es-ES_tradnl"/>
        </w:rPr>
        <w:t xml:space="preserve">no </w:t>
      </w:r>
      <w:r w:rsidR="006C219B" w:rsidRPr="00B93138">
        <w:rPr>
          <w:rFonts w:ascii="Arial" w:eastAsia="Calibri" w:hAnsi="Arial" w:cs="Arial"/>
          <w:bCs/>
          <w:sz w:val="22"/>
          <w:szCs w:val="22"/>
          <w:lang w:val="es-ES_tradnl"/>
        </w:rPr>
        <w:t>comparte la posición según la cual el artículo 35</w:t>
      </w:r>
      <w:r w:rsidR="00111026" w:rsidRPr="00B93138">
        <w:rPr>
          <w:rFonts w:ascii="Arial" w:eastAsia="Calibri" w:hAnsi="Arial" w:cs="Arial"/>
          <w:bCs/>
          <w:sz w:val="22"/>
          <w:szCs w:val="22"/>
          <w:lang w:val="es-ES_tradnl"/>
        </w:rPr>
        <w:t xml:space="preserve"> de la Ley de Emprendimiento</w:t>
      </w:r>
      <w:r w:rsidR="0047072B" w:rsidRPr="00B93138">
        <w:rPr>
          <w:rFonts w:ascii="Arial" w:eastAsia="Calibri" w:hAnsi="Arial" w:cs="Arial"/>
          <w:bCs/>
          <w:sz w:val="22"/>
          <w:szCs w:val="22"/>
          <w:lang w:val="es-ES_tradnl"/>
        </w:rPr>
        <w:t xml:space="preserve"> solo es aplicable en caso de empate en el puntaje total entre dos o más ofertas.</w:t>
      </w:r>
      <w:r w:rsidR="005E717E" w:rsidRPr="00B93138">
        <w:rPr>
          <w:rFonts w:ascii="Arial" w:eastAsia="Calibri" w:hAnsi="Arial" w:cs="Arial"/>
          <w:bCs/>
          <w:sz w:val="22"/>
          <w:szCs w:val="22"/>
          <w:lang w:val="es-ES_tradnl"/>
        </w:rPr>
        <w:t xml:space="preserve"> Por el contrario,</w:t>
      </w:r>
      <w:r w:rsidR="00DB3445" w:rsidRPr="00B93138">
        <w:rPr>
          <w:rFonts w:ascii="Arial" w:eastAsia="Calibri" w:hAnsi="Arial" w:cs="Arial"/>
          <w:bCs/>
          <w:sz w:val="22"/>
          <w:szCs w:val="22"/>
          <w:lang w:val="es-ES_tradnl"/>
        </w:rPr>
        <w:t xml:space="preserve"> </w:t>
      </w:r>
      <w:bookmarkStart w:id="12" w:name="_Hlk69752682"/>
      <w:r w:rsidR="00DB3445" w:rsidRPr="00B93138">
        <w:rPr>
          <w:rFonts w:ascii="Arial" w:eastAsia="Calibri" w:hAnsi="Arial" w:cs="Arial"/>
          <w:bCs/>
          <w:sz w:val="22"/>
          <w:szCs w:val="22"/>
          <w:lang w:val="es-ES_tradnl"/>
        </w:rPr>
        <w:t>debe interpreta</w:t>
      </w:r>
      <w:r w:rsidR="00111026" w:rsidRPr="00B93138">
        <w:rPr>
          <w:rFonts w:ascii="Arial" w:eastAsia="Calibri" w:hAnsi="Arial" w:cs="Arial"/>
          <w:bCs/>
          <w:sz w:val="22"/>
          <w:szCs w:val="22"/>
          <w:lang w:val="es-ES_tradnl"/>
        </w:rPr>
        <w:t>rse</w:t>
      </w:r>
      <w:r w:rsidR="00DB3445" w:rsidRPr="00B93138">
        <w:rPr>
          <w:rFonts w:ascii="Arial" w:eastAsia="Calibri" w:hAnsi="Arial" w:cs="Arial"/>
          <w:bCs/>
          <w:sz w:val="22"/>
          <w:szCs w:val="22"/>
          <w:lang w:val="es-ES_tradnl"/>
        </w:rPr>
        <w:t xml:space="preserve"> de manera sistemática con las demás disposiciones del EGCAP, particularmente, </w:t>
      </w:r>
      <w:r w:rsidR="0079281A" w:rsidRPr="00B93138">
        <w:rPr>
          <w:rFonts w:ascii="Arial" w:eastAsia="Calibri" w:hAnsi="Arial" w:cs="Arial"/>
          <w:bCs/>
          <w:sz w:val="22"/>
          <w:szCs w:val="22"/>
          <w:lang w:val="es-ES_tradnl"/>
        </w:rPr>
        <w:t xml:space="preserve">con el artículo 5 de la Ley 1150 </w:t>
      </w:r>
      <w:r w:rsidR="00DA565E" w:rsidRPr="00B93138">
        <w:rPr>
          <w:rFonts w:ascii="Arial" w:eastAsia="Calibri" w:hAnsi="Arial" w:cs="Arial"/>
          <w:bCs/>
          <w:sz w:val="22"/>
          <w:szCs w:val="22"/>
          <w:lang w:val="es-ES_tradnl"/>
        </w:rPr>
        <w:t>de</w:t>
      </w:r>
      <w:r w:rsidR="0079281A" w:rsidRPr="00B93138">
        <w:rPr>
          <w:rFonts w:ascii="Arial" w:eastAsia="Calibri" w:hAnsi="Arial" w:cs="Arial"/>
          <w:bCs/>
          <w:sz w:val="22"/>
          <w:szCs w:val="22"/>
          <w:lang w:val="es-ES_tradnl"/>
        </w:rPr>
        <w:t xml:space="preserve"> 2007. Conforme </w:t>
      </w:r>
      <w:r w:rsidR="008D15D4" w:rsidRPr="00B93138">
        <w:rPr>
          <w:rFonts w:ascii="Arial" w:eastAsia="Calibri" w:hAnsi="Arial" w:cs="Arial"/>
          <w:bCs/>
          <w:sz w:val="22"/>
          <w:szCs w:val="22"/>
          <w:lang w:val="es-ES_tradnl"/>
        </w:rPr>
        <w:t xml:space="preserve">a </w:t>
      </w:r>
      <w:r w:rsidR="00C113D8" w:rsidRPr="00B93138">
        <w:rPr>
          <w:rFonts w:ascii="Arial" w:eastAsia="Calibri" w:hAnsi="Arial" w:cs="Arial"/>
          <w:bCs/>
          <w:sz w:val="22"/>
          <w:szCs w:val="22"/>
          <w:lang w:val="es-ES_tradnl"/>
        </w:rPr>
        <w:t>esta</w:t>
      </w:r>
      <w:r w:rsidR="008D15D4" w:rsidRPr="00B93138">
        <w:rPr>
          <w:rFonts w:ascii="Arial" w:eastAsia="Calibri" w:hAnsi="Arial" w:cs="Arial"/>
          <w:bCs/>
          <w:sz w:val="22"/>
          <w:szCs w:val="22"/>
          <w:lang w:val="es-ES_tradnl"/>
        </w:rPr>
        <w:t xml:space="preserve"> interpretación</w:t>
      </w:r>
      <w:r w:rsidR="0079281A" w:rsidRPr="00B93138">
        <w:rPr>
          <w:rFonts w:ascii="Arial" w:eastAsia="Calibri" w:hAnsi="Arial" w:cs="Arial"/>
          <w:bCs/>
          <w:sz w:val="22"/>
          <w:szCs w:val="22"/>
          <w:lang w:val="es-ES_tradnl"/>
        </w:rPr>
        <w:t xml:space="preserve">, la expresión </w:t>
      </w:r>
      <w:r w:rsidR="00F1689D" w:rsidRPr="00B93138">
        <w:rPr>
          <w:rFonts w:ascii="Arial" w:hAnsi="Arial" w:cs="Arial"/>
          <w:i/>
          <w:iCs/>
          <w:sz w:val="22"/>
          <w:szCs w:val="22"/>
        </w:rPr>
        <w:t>empate en el puntaje total</w:t>
      </w:r>
      <w:r w:rsidR="00F1689D" w:rsidRPr="00B93138">
        <w:rPr>
          <w:rFonts w:ascii="Arial" w:hAnsi="Arial" w:cs="Arial"/>
          <w:sz w:val="22"/>
          <w:szCs w:val="22"/>
        </w:rPr>
        <w:t xml:space="preserve"> </w:t>
      </w:r>
      <w:r w:rsidR="00A832DB" w:rsidRPr="00B93138">
        <w:rPr>
          <w:rFonts w:ascii="Arial" w:hAnsi="Arial" w:cs="Arial"/>
          <w:sz w:val="22"/>
          <w:szCs w:val="22"/>
        </w:rPr>
        <w:t xml:space="preserve">apunta a </w:t>
      </w:r>
      <w:r w:rsidR="005255D6" w:rsidRPr="00B93138">
        <w:rPr>
          <w:rFonts w:ascii="Arial" w:hAnsi="Arial" w:cs="Arial"/>
          <w:sz w:val="22"/>
          <w:szCs w:val="22"/>
        </w:rPr>
        <w:t xml:space="preserve">las </w:t>
      </w:r>
      <w:r w:rsidR="00A832DB" w:rsidRPr="00B93138">
        <w:rPr>
          <w:rFonts w:ascii="Arial" w:hAnsi="Arial" w:cs="Arial"/>
          <w:sz w:val="22"/>
          <w:szCs w:val="22"/>
        </w:rPr>
        <w:t xml:space="preserve">situaciones </w:t>
      </w:r>
      <w:r w:rsidR="002A0928" w:rsidRPr="00B93138">
        <w:rPr>
          <w:rFonts w:ascii="Arial" w:hAnsi="Arial" w:cs="Arial"/>
          <w:sz w:val="22"/>
          <w:szCs w:val="22"/>
        </w:rPr>
        <w:t>en l</w:t>
      </w:r>
      <w:r w:rsidR="00E04D00" w:rsidRPr="00B93138">
        <w:rPr>
          <w:rFonts w:ascii="Arial" w:hAnsi="Arial" w:cs="Arial"/>
          <w:sz w:val="22"/>
          <w:szCs w:val="22"/>
        </w:rPr>
        <w:t xml:space="preserve">a evaluación </w:t>
      </w:r>
      <w:r w:rsidR="008B1C27" w:rsidRPr="00B93138">
        <w:rPr>
          <w:rFonts w:ascii="Arial" w:hAnsi="Arial" w:cs="Arial"/>
          <w:sz w:val="22"/>
          <w:szCs w:val="22"/>
        </w:rPr>
        <w:t>final</w:t>
      </w:r>
      <w:r w:rsidR="007D242C" w:rsidRPr="00B93138">
        <w:rPr>
          <w:rFonts w:ascii="Arial" w:hAnsi="Arial" w:cs="Arial"/>
          <w:sz w:val="22"/>
          <w:szCs w:val="22"/>
        </w:rPr>
        <w:t xml:space="preserve"> de las ofertas</w:t>
      </w:r>
      <w:r w:rsidR="00D87337">
        <w:rPr>
          <w:rFonts w:ascii="Arial" w:hAnsi="Arial" w:cs="Arial"/>
          <w:sz w:val="22"/>
          <w:szCs w:val="22"/>
        </w:rPr>
        <w:t>,</w:t>
      </w:r>
      <w:r w:rsidR="008B1C27" w:rsidRPr="00B93138">
        <w:rPr>
          <w:rFonts w:ascii="Arial" w:hAnsi="Arial" w:cs="Arial"/>
          <w:sz w:val="22"/>
          <w:szCs w:val="22"/>
        </w:rPr>
        <w:t xml:space="preserve"> en las que</w:t>
      </w:r>
      <w:r w:rsidR="002A0928" w:rsidRPr="00B93138">
        <w:rPr>
          <w:rFonts w:ascii="Arial" w:hAnsi="Arial" w:cs="Arial"/>
          <w:sz w:val="22"/>
          <w:szCs w:val="22"/>
        </w:rPr>
        <w:t>,</w:t>
      </w:r>
      <w:r w:rsidR="008B1C27" w:rsidRPr="00B93138">
        <w:rPr>
          <w:rFonts w:ascii="Arial" w:hAnsi="Arial" w:cs="Arial"/>
          <w:sz w:val="22"/>
          <w:szCs w:val="22"/>
        </w:rPr>
        <w:t xml:space="preserve"> </w:t>
      </w:r>
      <w:r w:rsidR="00C113D8" w:rsidRPr="00B93138">
        <w:rPr>
          <w:rFonts w:ascii="Arial" w:hAnsi="Arial" w:cs="Arial"/>
          <w:sz w:val="22"/>
          <w:szCs w:val="22"/>
        </w:rPr>
        <w:t>realizándose la</w:t>
      </w:r>
      <w:r w:rsidR="002A0928" w:rsidRPr="00B93138">
        <w:rPr>
          <w:rFonts w:ascii="Arial" w:hAnsi="Arial" w:cs="Arial"/>
          <w:sz w:val="22"/>
          <w:szCs w:val="22"/>
        </w:rPr>
        <w:t xml:space="preserve"> comparación </w:t>
      </w:r>
      <w:r w:rsidR="00FA4168" w:rsidRPr="00B93138">
        <w:rPr>
          <w:rFonts w:ascii="Arial" w:hAnsi="Arial" w:cs="Arial"/>
          <w:sz w:val="22"/>
          <w:szCs w:val="22"/>
        </w:rPr>
        <w:t>de acuerdo con</w:t>
      </w:r>
      <w:r w:rsidR="00672E16" w:rsidRPr="00B93138">
        <w:rPr>
          <w:rFonts w:ascii="Arial" w:hAnsi="Arial" w:cs="Arial"/>
          <w:sz w:val="22"/>
          <w:szCs w:val="22"/>
        </w:rPr>
        <w:t xml:space="preserve"> </w:t>
      </w:r>
      <w:r w:rsidR="008B1C27" w:rsidRPr="00B93138">
        <w:rPr>
          <w:rFonts w:ascii="Arial" w:hAnsi="Arial" w:cs="Arial"/>
          <w:sz w:val="22"/>
          <w:szCs w:val="22"/>
        </w:rPr>
        <w:t>los factores de calificación, evaluación</w:t>
      </w:r>
      <w:r w:rsidR="00665C4C" w:rsidRPr="00B93138">
        <w:rPr>
          <w:rFonts w:ascii="Arial" w:hAnsi="Arial" w:cs="Arial"/>
          <w:sz w:val="22"/>
          <w:szCs w:val="22"/>
        </w:rPr>
        <w:t xml:space="preserve"> o</w:t>
      </w:r>
      <w:r w:rsidR="008B1C27" w:rsidRPr="00B93138">
        <w:rPr>
          <w:rFonts w:ascii="Arial" w:hAnsi="Arial" w:cs="Arial"/>
          <w:sz w:val="22"/>
          <w:szCs w:val="22"/>
        </w:rPr>
        <w:t xml:space="preserve"> ponderación</w:t>
      </w:r>
      <w:r w:rsidR="00BA0A51" w:rsidRPr="00B93138">
        <w:rPr>
          <w:rFonts w:ascii="Arial" w:hAnsi="Arial" w:cs="Arial"/>
          <w:sz w:val="22"/>
          <w:szCs w:val="22"/>
        </w:rPr>
        <w:t xml:space="preserve"> </w:t>
      </w:r>
      <w:r w:rsidR="00672E16" w:rsidRPr="00B93138">
        <w:rPr>
          <w:rFonts w:ascii="Arial" w:hAnsi="Arial" w:cs="Arial"/>
          <w:sz w:val="22"/>
          <w:szCs w:val="22"/>
        </w:rPr>
        <w:t xml:space="preserve">aplicables al respectivo procedimiento, se presenta un empate entre </w:t>
      </w:r>
      <w:r w:rsidR="007E327F" w:rsidRPr="00B93138">
        <w:rPr>
          <w:rFonts w:ascii="Arial" w:hAnsi="Arial" w:cs="Arial"/>
          <w:sz w:val="22"/>
          <w:szCs w:val="22"/>
        </w:rPr>
        <w:t xml:space="preserve">dos o más </w:t>
      </w:r>
      <w:r w:rsidR="00CD614A" w:rsidRPr="00B93138">
        <w:rPr>
          <w:rFonts w:ascii="Arial" w:hAnsi="Arial" w:cs="Arial"/>
          <w:sz w:val="22"/>
          <w:szCs w:val="22"/>
        </w:rPr>
        <w:t>propuestas</w:t>
      </w:r>
      <w:r w:rsidR="000F045A" w:rsidRPr="00B93138">
        <w:rPr>
          <w:rFonts w:ascii="Arial" w:hAnsi="Arial" w:cs="Arial"/>
          <w:sz w:val="22"/>
          <w:szCs w:val="22"/>
        </w:rPr>
        <w:t xml:space="preserve">. </w:t>
      </w:r>
    </w:p>
    <w:p w14:paraId="7E9C2098" w14:textId="340E9583" w:rsidR="005F5935" w:rsidRPr="00B93138" w:rsidRDefault="008D15D4" w:rsidP="00EB2ED0">
      <w:pPr>
        <w:tabs>
          <w:tab w:val="left" w:pos="0"/>
        </w:tabs>
        <w:spacing w:after="120" w:line="276" w:lineRule="auto"/>
        <w:jc w:val="both"/>
        <w:rPr>
          <w:rFonts w:ascii="Arial" w:hAnsi="Arial" w:cs="Arial"/>
          <w:sz w:val="22"/>
          <w:szCs w:val="22"/>
        </w:rPr>
      </w:pPr>
      <w:r w:rsidRPr="00B93138">
        <w:rPr>
          <w:rFonts w:ascii="Arial" w:hAnsi="Arial" w:cs="Arial"/>
          <w:sz w:val="22"/>
          <w:szCs w:val="22"/>
        </w:rPr>
        <w:tab/>
      </w:r>
      <w:r w:rsidR="006407A5" w:rsidRPr="00B93138">
        <w:rPr>
          <w:rFonts w:ascii="Arial" w:hAnsi="Arial" w:cs="Arial"/>
          <w:sz w:val="22"/>
          <w:szCs w:val="22"/>
        </w:rPr>
        <w:t xml:space="preserve">En ese entendido, </w:t>
      </w:r>
      <w:r w:rsidR="007969E1" w:rsidRPr="00B93138">
        <w:rPr>
          <w:rFonts w:ascii="Arial" w:hAnsi="Arial" w:cs="Arial"/>
          <w:sz w:val="22"/>
          <w:szCs w:val="22"/>
        </w:rPr>
        <w:t xml:space="preserve">con independencia </w:t>
      </w:r>
      <w:r w:rsidR="006407A5" w:rsidRPr="00B93138">
        <w:rPr>
          <w:rFonts w:ascii="Arial" w:hAnsi="Arial" w:cs="Arial"/>
          <w:sz w:val="22"/>
          <w:szCs w:val="22"/>
        </w:rPr>
        <w:t>de que la ponderación emple</w:t>
      </w:r>
      <w:r w:rsidR="00BE2661" w:rsidRPr="00B93138">
        <w:rPr>
          <w:rFonts w:ascii="Arial" w:hAnsi="Arial" w:cs="Arial"/>
          <w:sz w:val="22"/>
          <w:szCs w:val="22"/>
        </w:rPr>
        <w:t>e</w:t>
      </w:r>
      <w:r w:rsidR="00023A0B" w:rsidRPr="00B93138">
        <w:rPr>
          <w:rFonts w:ascii="Arial" w:hAnsi="Arial" w:cs="Arial"/>
          <w:sz w:val="22"/>
          <w:szCs w:val="22"/>
        </w:rPr>
        <w:t xml:space="preserve"> </w:t>
      </w:r>
      <w:r w:rsidR="006407A5" w:rsidRPr="00B93138">
        <w:rPr>
          <w:rFonts w:ascii="Arial" w:hAnsi="Arial" w:cs="Arial"/>
          <w:sz w:val="22"/>
          <w:szCs w:val="22"/>
        </w:rPr>
        <w:t>puntajes</w:t>
      </w:r>
      <w:r w:rsidR="00B24007" w:rsidRPr="00B93138">
        <w:rPr>
          <w:rFonts w:ascii="Arial" w:hAnsi="Arial" w:cs="Arial"/>
          <w:sz w:val="22"/>
          <w:szCs w:val="22"/>
        </w:rPr>
        <w:t xml:space="preserve">, </w:t>
      </w:r>
      <w:r w:rsidR="006407A5" w:rsidRPr="00B93138">
        <w:rPr>
          <w:rFonts w:ascii="Arial" w:hAnsi="Arial" w:cs="Arial"/>
          <w:sz w:val="22"/>
          <w:szCs w:val="22"/>
        </w:rPr>
        <w:t xml:space="preserve"> f</w:t>
      </w:r>
      <w:r w:rsidR="00B24007" w:rsidRPr="00B93138">
        <w:rPr>
          <w:rFonts w:ascii="Arial" w:hAnsi="Arial" w:cs="Arial"/>
          <w:sz w:val="22"/>
          <w:szCs w:val="22"/>
        </w:rPr>
        <w:t>ó</w:t>
      </w:r>
      <w:r w:rsidR="006407A5" w:rsidRPr="00B93138">
        <w:rPr>
          <w:rFonts w:ascii="Arial" w:hAnsi="Arial" w:cs="Arial"/>
          <w:sz w:val="22"/>
          <w:szCs w:val="22"/>
        </w:rPr>
        <w:t>rmulas</w:t>
      </w:r>
      <w:r w:rsidR="00023A0B" w:rsidRPr="00B93138">
        <w:rPr>
          <w:rFonts w:ascii="Arial" w:hAnsi="Arial" w:cs="Arial"/>
          <w:sz w:val="22"/>
          <w:szCs w:val="22"/>
        </w:rPr>
        <w:t>,</w:t>
      </w:r>
      <w:r w:rsidR="00B24007" w:rsidRPr="00B93138">
        <w:rPr>
          <w:rFonts w:ascii="Arial" w:hAnsi="Arial" w:cs="Arial"/>
          <w:sz w:val="22"/>
          <w:szCs w:val="22"/>
        </w:rPr>
        <w:t xml:space="preserve"> criterios de relación co</w:t>
      </w:r>
      <w:r w:rsidR="00D15727" w:rsidRPr="00B93138">
        <w:rPr>
          <w:rFonts w:ascii="Arial" w:hAnsi="Arial" w:cs="Arial"/>
          <w:sz w:val="22"/>
          <w:szCs w:val="22"/>
        </w:rPr>
        <w:t>s</w:t>
      </w:r>
      <w:r w:rsidR="00B24007" w:rsidRPr="00B93138">
        <w:rPr>
          <w:rFonts w:ascii="Arial" w:hAnsi="Arial" w:cs="Arial"/>
          <w:sz w:val="22"/>
          <w:szCs w:val="22"/>
        </w:rPr>
        <w:t>to – beneficio</w:t>
      </w:r>
      <w:r w:rsidR="00023A0B" w:rsidRPr="00B93138">
        <w:rPr>
          <w:rFonts w:ascii="Arial" w:hAnsi="Arial" w:cs="Arial"/>
          <w:sz w:val="22"/>
          <w:szCs w:val="22"/>
        </w:rPr>
        <w:t xml:space="preserve"> o de que el único criterio de evaluación sea el menor precio, </w:t>
      </w:r>
      <w:r w:rsidR="008B36BE" w:rsidRPr="00B93138">
        <w:rPr>
          <w:rFonts w:ascii="Arial" w:hAnsi="Arial" w:cs="Arial"/>
          <w:sz w:val="22"/>
          <w:szCs w:val="22"/>
        </w:rPr>
        <w:t xml:space="preserve">deben aplicarse los factores de desempate </w:t>
      </w:r>
      <w:r w:rsidR="00F22E8B" w:rsidRPr="00B93138">
        <w:rPr>
          <w:rFonts w:ascii="Arial" w:hAnsi="Arial" w:cs="Arial"/>
          <w:sz w:val="22"/>
          <w:szCs w:val="22"/>
        </w:rPr>
        <w:t>d</w:t>
      </w:r>
      <w:r w:rsidR="00032C89" w:rsidRPr="00B93138">
        <w:rPr>
          <w:rFonts w:ascii="Arial" w:hAnsi="Arial" w:cs="Arial"/>
          <w:sz w:val="22"/>
          <w:szCs w:val="22"/>
        </w:rPr>
        <w:t>el artículo 35 de la Ley 2069 de 2020</w:t>
      </w:r>
      <w:r w:rsidR="007969E1" w:rsidRPr="00B93138">
        <w:rPr>
          <w:rFonts w:ascii="Arial" w:hAnsi="Arial" w:cs="Arial"/>
          <w:sz w:val="22"/>
          <w:szCs w:val="22"/>
        </w:rPr>
        <w:t xml:space="preserve"> </w:t>
      </w:r>
      <w:r w:rsidR="00071CFC" w:rsidRPr="00B93138">
        <w:rPr>
          <w:rFonts w:ascii="Arial" w:hAnsi="Arial" w:cs="Arial"/>
          <w:sz w:val="22"/>
          <w:szCs w:val="22"/>
        </w:rPr>
        <w:t>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w:t>
      </w:r>
      <w:r w:rsidR="00032C89" w:rsidRPr="00B93138">
        <w:rPr>
          <w:rFonts w:ascii="Arial" w:hAnsi="Arial" w:cs="Arial"/>
          <w:sz w:val="22"/>
          <w:szCs w:val="22"/>
        </w:rPr>
        <w:t>.</w:t>
      </w:r>
    </w:p>
    <w:bookmarkEnd w:id="12"/>
    <w:p w14:paraId="005DA4CA" w14:textId="61809CFA" w:rsidR="000F6420" w:rsidRPr="00B93138" w:rsidRDefault="00032C89" w:rsidP="00EB2ED0">
      <w:pPr>
        <w:tabs>
          <w:tab w:val="left" w:pos="0"/>
        </w:tabs>
        <w:spacing w:line="276" w:lineRule="auto"/>
        <w:jc w:val="both"/>
        <w:rPr>
          <w:rFonts w:ascii="Arial" w:eastAsia="Calibri" w:hAnsi="Arial" w:cs="Arial"/>
          <w:bCs/>
          <w:sz w:val="22"/>
          <w:lang w:val="es-ES_tradnl"/>
        </w:rPr>
      </w:pPr>
      <w:r w:rsidRPr="00B93138">
        <w:rPr>
          <w:rFonts w:ascii="Arial" w:eastAsia="Calibri" w:hAnsi="Arial" w:cs="Arial"/>
          <w:bCs/>
          <w:sz w:val="22"/>
          <w:szCs w:val="22"/>
          <w:lang w:val="es-ES_tradnl"/>
        </w:rPr>
        <w:tab/>
      </w:r>
      <w:r w:rsidR="00D827B5" w:rsidRPr="00B93138">
        <w:rPr>
          <w:rFonts w:ascii="Arial" w:eastAsia="Calibri" w:hAnsi="Arial" w:cs="Arial"/>
          <w:bCs/>
          <w:sz w:val="22"/>
          <w:szCs w:val="22"/>
          <w:lang w:val="es-ES_tradnl"/>
        </w:rPr>
        <w:t>Esta interpretación garantiza que el artículo 35 de la Ley 2069 de 2020</w:t>
      </w:r>
      <w:r w:rsidR="008453BA" w:rsidRPr="00B93138">
        <w:rPr>
          <w:rFonts w:ascii="Arial" w:eastAsia="Calibri" w:hAnsi="Arial" w:cs="Arial"/>
          <w:bCs/>
          <w:sz w:val="22"/>
          <w:szCs w:val="22"/>
          <w:lang w:val="es-ES_tradnl"/>
        </w:rPr>
        <w:t xml:space="preserve"> cumpla la finalidad transversal con la que fue concebido,</w:t>
      </w:r>
      <w:r w:rsidR="006129AF" w:rsidRPr="00B93138">
        <w:rPr>
          <w:rFonts w:ascii="Arial" w:eastAsia="Calibri" w:hAnsi="Arial" w:cs="Arial"/>
          <w:bCs/>
          <w:sz w:val="22"/>
          <w:szCs w:val="22"/>
          <w:lang w:val="es-ES_tradnl"/>
        </w:rPr>
        <w:t xml:space="preserve"> </w:t>
      </w:r>
      <w:r w:rsidR="005B6C2A" w:rsidRPr="00B93138">
        <w:rPr>
          <w:rFonts w:ascii="Arial" w:eastAsia="Calibri" w:hAnsi="Arial" w:cs="Arial"/>
          <w:bCs/>
          <w:sz w:val="22"/>
          <w:szCs w:val="22"/>
          <w:lang w:val="es-ES_tradnl"/>
        </w:rPr>
        <w:t xml:space="preserve">a diferencia de </w:t>
      </w:r>
      <w:r w:rsidR="006129AF" w:rsidRPr="00B93138">
        <w:rPr>
          <w:rFonts w:ascii="Arial" w:eastAsia="Calibri" w:hAnsi="Arial" w:cs="Arial"/>
          <w:bCs/>
          <w:sz w:val="22"/>
          <w:szCs w:val="22"/>
          <w:lang w:val="es-ES_tradnl"/>
        </w:rPr>
        <w:t>la interpretación literal del mismo, que</w:t>
      </w:r>
      <w:r w:rsidR="003530AC" w:rsidRPr="00B93138">
        <w:rPr>
          <w:rFonts w:ascii="Arial" w:eastAsia="Calibri" w:hAnsi="Arial" w:cs="Arial"/>
          <w:bCs/>
          <w:sz w:val="22"/>
          <w:szCs w:val="22"/>
          <w:lang w:val="es-ES_tradnl"/>
        </w:rPr>
        <w:t xml:space="preserve"> res</w:t>
      </w:r>
      <w:r w:rsidR="00992893" w:rsidRPr="00B93138">
        <w:rPr>
          <w:rFonts w:ascii="Arial" w:eastAsia="Calibri" w:hAnsi="Arial" w:cs="Arial"/>
          <w:bCs/>
          <w:sz w:val="22"/>
          <w:szCs w:val="22"/>
          <w:lang w:val="es-ES_tradnl"/>
        </w:rPr>
        <w:t>tringiría en gran medida</w:t>
      </w:r>
      <w:r w:rsidR="005945A4" w:rsidRPr="00B93138">
        <w:rPr>
          <w:rFonts w:ascii="Arial" w:eastAsia="Calibri" w:hAnsi="Arial" w:cs="Arial"/>
          <w:bCs/>
          <w:sz w:val="22"/>
          <w:szCs w:val="22"/>
          <w:lang w:val="es-ES_tradnl"/>
        </w:rPr>
        <w:t xml:space="preserve"> su ámbito</w:t>
      </w:r>
      <w:r w:rsidR="00992893" w:rsidRPr="00B93138">
        <w:rPr>
          <w:rFonts w:ascii="Arial" w:eastAsia="Calibri" w:hAnsi="Arial" w:cs="Arial"/>
          <w:bCs/>
          <w:sz w:val="22"/>
          <w:szCs w:val="22"/>
          <w:lang w:val="es-ES_tradnl"/>
        </w:rPr>
        <w:t xml:space="preserve"> de</w:t>
      </w:r>
      <w:r w:rsidR="005945A4" w:rsidRPr="00B93138">
        <w:rPr>
          <w:rFonts w:ascii="Arial" w:eastAsia="Calibri" w:hAnsi="Arial" w:cs="Arial"/>
          <w:bCs/>
          <w:sz w:val="22"/>
          <w:szCs w:val="22"/>
          <w:lang w:val="es-ES_tradnl"/>
        </w:rPr>
        <w:t xml:space="preserve"> aplicación. En ese sentido, la interpretación sistemática </w:t>
      </w:r>
      <w:r w:rsidR="00071CFC" w:rsidRPr="00B93138">
        <w:rPr>
          <w:rFonts w:ascii="Arial" w:eastAsia="Calibri" w:hAnsi="Arial" w:cs="Arial"/>
          <w:bCs/>
          <w:sz w:val="22"/>
          <w:szCs w:val="22"/>
          <w:lang w:val="es-ES_tradnl"/>
        </w:rPr>
        <w:t>está</w:t>
      </w:r>
      <w:r w:rsidR="00641B12" w:rsidRPr="00B93138">
        <w:rPr>
          <w:rFonts w:ascii="Arial" w:eastAsia="Calibri" w:hAnsi="Arial" w:cs="Arial"/>
          <w:bCs/>
          <w:sz w:val="22"/>
          <w:szCs w:val="22"/>
          <w:lang w:val="es-ES_tradnl"/>
        </w:rPr>
        <w:t xml:space="preserve"> respalda</w:t>
      </w:r>
      <w:r w:rsidR="00C32A60" w:rsidRPr="00B93138">
        <w:rPr>
          <w:rFonts w:ascii="Arial" w:eastAsia="Calibri" w:hAnsi="Arial" w:cs="Arial"/>
          <w:bCs/>
          <w:sz w:val="22"/>
          <w:szCs w:val="22"/>
          <w:lang w:val="es-ES_tradnl"/>
        </w:rPr>
        <w:t>da</w:t>
      </w:r>
      <w:r w:rsidR="00641B12" w:rsidRPr="00B93138">
        <w:rPr>
          <w:rFonts w:ascii="Arial" w:eastAsia="Calibri" w:hAnsi="Arial" w:cs="Arial"/>
          <w:bCs/>
          <w:sz w:val="22"/>
          <w:szCs w:val="22"/>
          <w:lang w:val="es-ES_tradnl"/>
        </w:rPr>
        <w:t xml:space="preserve"> por </w:t>
      </w:r>
      <w:r w:rsidR="000F6787" w:rsidRPr="00B93138">
        <w:rPr>
          <w:rFonts w:ascii="Arial" w:eastAsia="Calibri" w:hAnsi="Arial" w:cs="Arial"/>
          <w:bCs/>
          <w:sz w:val="22"/>
          <w:szCs w:val="22"/>
          <w:lang w:val="es-ES_tradnl"/>
        </w:rPr>
        <w:t xml:space="preserve">la aplicación del </w:t>
      </w:r>
      <w:r w:rsidR="00641B12" w:rsidRPr="00B93138">
        <w:rPr>
          <w:rFonts w:ascii="Arial" w:eastAsia="Calibri" w:hAnsi="Arial" w:cs="Arial"/>
          <w:bCs/>
          <w:sz w:val="22"/>
          <w:szCs w:val="22"/>
          <w:lang w:val="es-ES_tradnl"/>
        </w:rPr>
        <w:t xml:space="preserve">principio </w:t>
      </w:r>
      <w:r w:rsidR="00C32A60" w:rsidRPr="00B93138">
        <w:rPr>
          <w:rFonts w:ascii="Arial" w:eastAsia="Calibri" w:hAnsi="Arial" w:cs="Arial"/>
          <w:bCs/>
          <w:sz w:val="22"/>
          <w:szCs w:val="22"/>
          <w:lang w:val="es-ES_tradnl"/>
        </w:rPr>
        <w:t xml:space="preserve">hermenéutico </w:t>
      </w:r>
      <w:r w:rsidR="00641B12" w:rsidRPr="00B93138">
        <w:rPr>
          <w:rFonts w:ascii="Arial" w:eastAsia="Calibri" w:hAnsi="Arial" w:cs="Arial"/>
          <w:bCs/>
          <w:sz w:val="22"/>
          <w:szCs w:val="22"/>
          <w:lang w:val="es-ES_tradnl"/>
        </w:rPr>
        <w:t>del</w:t>
      </w:r>
      <w:r w:rsidR="009E6BA8" w:rsidRPr="00B93138">
        <w:rPr>
          <w:rFonts w:ascii="Arial" w:eastAsia="Calibri" w:hAnsi="Arial" w:cs="Arial"/>
          <w:bCs/>
          <w:i/>
          <w:iCs/>
          <w:sz w:val="22"/>
          <w:szCs w:val="22"/>
          <w:lang w:val="es-ES_tradnl"/>
        </w:rPr>
        <w:t xml:space="preserve"> efecto útil de las normas</w:t>
      </w:r>
      <w:r w:rsidR="009E6BA8" w:rsidRPr="00B93138">
        <w:rPr>
          <w:rStyle w:val="Refdenotaalpie"/>
          <w:rFonts w:ascii="Arial" w:eastAsiaTheme="minorHAnsi" w:hAnsi="Arial" w:cs="Arial"/>
          <w:sz w:val="22"/>
          <w:szCs w:val="22"/>
          <w:lang w:eastAsia="en-US"/>
        </w:rPr>
        <w:footnoteReference w:id="20"/>
      </w:r>
      <w:r w:rsidR="009E6BA8" w:rsidRPr="00B93138">
        <w:rPr>
          <w:rFonts w:ascii="Arial" w:eastAsiaTheme="minorHAnsi" w:hAnsi="Arial" w:cs="Arial"/>
          <w:sz w:val="22"/>
          <w:szCs w:val="22"/>
          <w:lang w:eastAsia="en-US"/>
        </w:rPr>
        <w:t>.</w:t>
      </w:r>
      <w:r w:rsidR="001419D7" w:rsidRPr="00B93138">
        <w:rPr>
          <w:rFonts w:ascii="Arial" w:eastAsia="Calibri" w:hAnsi="Arial" w:cs="Arial"/>
          <w:b/>
          <w:sz w:val="22"/>
          <w:lang w:val="es-ES_tradnl"/>
        </w:rPr>
        <w:t xml:space="preserve"> </w:t>
      </w:r>
      <w:r w:rsidR="00BA5D36" w:rsidRPr="00B93138">
        <w:rPr>
          <w:rFonts w:ascii="Arial" w:eastAsia="Calibri" w:hAnsi="Arial" w:cs="Arial"/>
          <w:bCs/>
          <w:sz w:val="22"/>
          <w:lang w:val="es-ES_tradnl"/>
        </w:rPr>
        <w:t>Por tanto</w:t>
      </w:r>
      <w:r w:rsidR="009E788D" w:rsidRPr="00B93138">
        <w:rPr>
          <w:rFonts w:ascii="Arial" w:eastAsia="Calibri" w:hAnsi="Arial" w:cs="Arial"/>
          <w:bCs/>
          <w:sz w:val="22"/>
          <w:lang w:val="es-ES_tradnl"/>
        </w:rPr>
        <w:t>,</w:t>
      </w:r>
      <w:r w:rsidR="00B80F98" w:rsidRPr="00B93138">
        <w:rPr>
          <w:rFonts w:ascii="Arial" w:eastAsia="Calibri" w:hAnsi="Arial" w:cs="Arial"/>
          <w:bCs/>
          <w:sz w:val="22"/>
          <w:lang w:val="es-ES_tradnl"/>
        </w:rPr>
        <w:t xml:space="preserve"> </w:t>
      </w:r>
      <w:r w:rsidR="005B6C2A" w:rsidRPr="00B93138">
        <w:rPr>
          <w:rFonts w:ascii="Arial" w:eastAsia="Calibri" w:hAnsi="Arial" w:cs="Arial"/>
          <w:bCs/>
          <w:sz w:val="22"/>
          <w:lang w:val="es-ES_tradnl"/>
        </w:rPr>
        <w:t>los fac</w:t>
      </w:r>
      <w:r w:rsidR="00037510" w:rsidRPr="00B93138">
        <w:rPr>
          <w:rFonts w:ascii="Arial" w:eastAsia="Calibri" w:hAnsi="Arial" w:cs="Arial"/>
          <w:bCs/>
          <w:sz w:val="22"/>
          <w:lang w:val="es-ES_tradnl"/>
        </w:rPr>
        <w:t xml:space="preserve">tores de desempate </w:t>
      </w:r>
      <w:r w:rsidR="001419D7" w:rsidRPr="00B93138">
        <w:rPr>
          <w:rFonts w:ascii="Arial" w:eastAsia="Calibri" w:hAnsi="Arial" w:cs="Arial"/>
          <w:bCs/>
          <w:sz w:val="22"/>
          <w:lang w:val="es-ES_tradnl"/>
        </w:rPr>
        <w:t>de la Ley de Emprendimiento aplican</w:t>
      </w:r>
      <w:r w:rsidR="00037510" w:rsidRPr="00B93138">
        <w:rPr>
          <w:rFonts w:ascii="Arial" w:eastAsia="Calibri" w:hAnsi="Arial" w:cs="Arial"/>
          <w:bCs/>
          <w:sz w:val="22"/>
          <w:lang w:val="es-ES_tradnl"/>
        </w:rPr>
        <w:t xml:space="preserve"> </w:t>
      </w:r>
      <w:r w:rsidR="00BD3EC3" w:rsidRPr="00B93138">
        <w:rPr>
          <w:rFonts w:ascii="Arial" w:eastAsia="Calibri" w:hAnsi="Arial" w:cs="Arial"/>
          <w:bCs/>
          <w:sz w:val="22"/>
          <w:lang w:val="es-ES_tradnl"/>
        </w:rPr>
        <w:t>a todos los procesos de selección de las entidades estatales</w:t>
      </w:r>
      <w:r w:rsidR="00147FCE" w:rsidRPr="00B93138">
        <w:rPr>
          <w:rFonts w:ascii="Arial" w:eastAsia="Calibri" w:hAnsi="Arial" w:cs="Arial"/>
          <w:bCs/>
          <w:sz w:val="22"/>
          <w:lang w:val="es-ES_tradnl"/>
        </w:rPr>
        <w:t xml:space="preserve"> </w:t>
      </w:r>
      <w:r w:rsidR="00B76E53" w:rsidRPr="00B93138">
        <w:rPr>
          <w:rFonts w:ascii="Arial" w:eastAsia="Calibri" w:hAnsi="Arial" w:cs="Arial"/>
          <w:bCs/>
          <w:sz w:val="22"/>
          <w:lang w:val="es-ES_tradnl"/>
        </w:rPr>
        <w:t xml:space="preserve">sin importar su régimen </w:t>
      </w:r>
      <w:r w:rsidR="00FA4408" w:rsidRPr="00B93138">
        <w:rPr>
          <w:rFonts w:ascii="Arial" w:eastAsia="Calibri" w:hAnsi="Arial" w:cs="Arial"/>
          <w:bCs/>
          <w:sz w:val="22"/>
          <w:lang w:val="es-ES_tradnl"/>
        </w:rPr>
        <w:t>contractual</w:t>
      </w:r>
      <w:r w:rsidR="00BD3EC3" w:rsidRPr="00B93138">
        <w:rPr>
          <w:rFonts w:ascii="Arial" w:eastAsia="Calibri" w:hAnsi="Arial" w:cs="Arial"/>
          <w:bCs/>
          <w:sz w:val="22"/>
          <w:lang w:val="es-ES_tradnl"/>
        </w:rPr>
        <w:t xml:space="preserve">, en los que </w:t>
      </w:r>
      <w:r w:rsidR="00B77271" w:rsidRPr="00B93138">
        <w:rPr>
          <w:rFonts w:ascii="Arial" w:eastAsia="Calibri" w:hAnsi="Arial" w:cs="Arial"/>
          <w:bCs/>
          <w:sz w:val="22"/>
          <w:lang w:val="es-ES_tradnl"/>
        </w:rPr>
        <w:t xml:space="preserve">se </w:t>
      </w:r>
      <w:r w:rsidR="00BD3EC3" w:rsidRPr="00B93138">
        <w:rPr>
          <w:rFonts w:ascii="Arial" w:eastAsia="Calibri" w:hAnsi="Arial" w:cs="Arial"/>
          <w:bCs/>
          <w:sz w:val="22"/>
          <w:lang w:val="es-ES_tradnl"/>
        </w:rPr>
        <w:t>present</w:t>
      </w:r>
      <w:r w:rsidR="00B77271" w:rsidRPr="00B93138">
        <w:rPr>
          <w:rFonts w:ascii="Arial" w:eastAsia="Calibri" w:hAnsi="Arial" w:cs="Arial"/>
          <w:bCs/>
          <w:sz w:val="22"/>
          <w:lang w:val="es-ES_tradnl"/>
        </w:rPr>
        <w:t>e</w:t>
      </w:r>
      <w:r w:rsidR="00BD3EC3" w:rsidRPr="00B93138">
        <w:rPr>
          <w:rFonts w:ascii="Arial" w:eastAsia="Calibri" w:hAnsi="Arial" w:cs="Arial"/>
          <w:bCs/>
          <w:sz w:val="22"/>
          <w:lang w:val="es-ES_tradnl"/>
        </w:rPr>
        <w:t xml:space="preserve"> </w:t>
      </w:r>
      <w:r w:rsidR="00151CD6" w:rsidRPr="00B93138">
        <w:rPr>
          <w:rFonts w:ascii="Arial" w:eastAsia="Calibri" w:hAnsi="Arial" w:cs="Arial"/>
          <w:bCs/>
          <w:sz w:val="22"/>
          <w:lang w:val="es-ES_tradnl"/>
        </w:rPr>
        <w:t>e</w:t>
      </w:r>
      <w:r w:rsidR="0002020E" w:rsidRPr="00B93138">
        <w:rPr>
          <w:rFonts w:ascii="Arial" w:eastAsia="Calibri" w:hAnsi="Arial" w:cs="Arial"/>
          <w:bCs/>
          <w:sz w:val="22"/>
          <w:lang w:val="es-ES_tradnl"/>
        </w:rPr>
        <w:t>mpate</w:t>
      </w:r>
      <w:r w:rsidR="00BD3EC3" w:rsidRPr="00B93138">
        <w:rPr>
          <w:rFonts w:ascii="Arial" w:eastAsia="Calibri" w:hAnsi="Arial" w:cs="Arial"/>
          <w:bCs/>
          <w:sz w:val="22"/>
          <w:lang w:val="es-ES_tradnl"/>
        </w:rPr>
        <w:t xml:space="preserve"> </w:t>
      </w:r>
      <w:r w:rsidR="00147FCE" w:rsidRPr="00B93138">
        <w:rPr>
          <w:rFonts w:ascii="Arial" w:eastAsia="Calibri" w:hAnsi="Arial" w:cs="Arial"/>
          <w:bCs/>
          <w:sz w:val="22"/>
          <w:lang w:val="es-ES_tradnl"/>
        </w:rPr>
        <w:t>entre varias ofertas</w:t>
      </w:r>
      <w:r w:rsidR="009D3D06" w:rsidRPr="00B93138">
        <w:rPr>
          <w:rFonts w:ascii="Arial" w:eastAsia="Calibri" w:hAnsi="Arial" w:cs="Arial"/>
          <w:bCs/>
          <w:sz w:val="22"/>
          <w:lang w:val="es-ES_tradnl"/>
        </w:rPr>
        <w:t xml:space="preserve">, una vez comparadas las mismas ponderando los factores de evaluación </w:t>
      </w:r>
      <w:r w:rsidR="00B076C1" w:rsidRPr="00B93138">
        <w:rPr>
          <w:rFonts w:ascii="Arial" w:eastAsia="Calibri" w:hAnsi="Arial" w:cs="Arial"/>
          <w:bCs/>
          <w:sz w:val="22"/>
          <w:lang w:val="es-ES_tradnl"/>
        </w:rPr>
        <w:t xml:space="preserve">de acuerdo con </w:t>
      </w:r>
      <w:r w:rsidR="009D3D06" w:rsidRPr="00B93138">
        <w:rPr>
          <w:rFonts w:ascii="Arial" w:eastAsia="Calibri" w:hAnsi="Arial" w:cs="Arial"/>
          <w:bCs/>
          <w:sz w:val="22"/>
          <w:lang w:val="es-ES_tradnl"/>
        </w:rPr>
        <w:t>las reglas establecidas en el pliego de condiciones</w:t>
      </w:r>
      <w:r w:rsidR="00151CD6" w:rsidRPr="00B93138">
        <w:rPr>
          <w:rFonts w:ascii="Arial" w:eastAsia="Calibri" w:hAnsi="Arial" w:cs="Arial"/>
          <w:bCs/>
          <w:sz w:val="22"/>
          <w:lang w:val="es-ES_tradnl"/>
        </w:rPr>
        <w:t xml:space="preserve"> o documento equivalente</w:t>
      </w:r>
      <w:r w:rsidR="002530E2" w:rsidRPr="00B93138">
        <w:rPr>
          <w:rFonts w:ascii="Arial" w:eastAsia="Calibri" w:hAnsi="Arial" w:cs="Arial"/>
          <w:bCs/>
          <w:sz w:val="22"/>
          <w:lang w:val="es-ES_tradnl"/>
        </w:rPr>
        <w:t>.</w:t>
      </w:r>
      <w:r w:rsidR="00F82421" w:rsidRPr="00B93138">
        <w:rPr>
          <w:rFonts w:ascii="Arial" w:eastAsia="Calibri" w:hAnsi="Arial" w:cs="Arial"/>
          <w:bCs/>
          <w:sz w:val="22"/>
          <w:lang w:val="es-ES_tradnl"/>
        </w:rPr>
        <w:t xml:space="preserve"> Bajo este criterio</w:t>
      </w:r>
      <w:r w:rsidR="00151CD6" w:rsidRPr="00B93138">
        <w:rPr>
          <w:rFonts w:ascii="Arial" w:eastAsia="Calibri" w:hAnsi="Arial" w:cs="Arial"/>
          <w:bCs/>
          <w:sz w:val="22"/>
          <w:lang w:val="es-ES_tradnl"/>
        </w:rPr>
        <w:t>, l</w:t>
      </w:r>
      <w:r w:rsidR="001419D7" w:rsidRPr="00B93138">
        <w:rPr>
          <w:rFonts w:ascii="Arial" w:eastAsia="Calibri" w:hAnsi="Arial" w:cs="Arial"/>
          <w:bCs/>
          <w:sz w:val="22"/>
          <w:lang w:val="es-ES_tradnl"/>
        </w:rPr>
        <w:t>a norma</w:t>
      </w:r>
      <w:r w:rsidR="00FA4408" w:rsidRPr="00B93138">
        <w:rPr>
          <w:rFonts w:ascii="Arial" w:eastAsia="Calibri" w:hAnsi="Arial" w:cs="Arial"/>
          <w:bCs/>
          <w:sz w:val="22"/>
          <w:lang w:val="es-ES_tradnl"/>
        </w:rPr>
        <w:t xml:space="preserve"> citada se extiende </w:t>
      </w:r>
      <w:r w:rsidR="00DA565E" w:rsidRPr="00B93138">
        <w:rPr>
          <w:rFonts w:ascii="Arial" w:eastAsia="Calibri" w:hAnsi="Arial" w:cs="Arial"/>
          <w:bCs/>
          <w:sz w:val="22"/>
          <w:lang w:val="es-ES_tradnl"/>
        </w:rPr>
        <w:t>al</w:t>
      </w:r>
      <w:r w:rsidR="00FA4408" w:rsidRPr="00B93138">
        <w:rPr>
          <w:rFonts w:ascii="Arial" w:eastAsia="Calibri" w:hAnsi="Arial" w:cs="Arial"/>
          <w:bCs/>
          <w:sz w:val="22"/>
          <w:lang w:val="es-ES_tradnl"/>
        </w:rPr>
        <w:t xml:space="preserve"> procedimiento de mínima cuantía</w:t>
      </w:r>
      <w:r w:rsidR="00CD7B8B" w:rsidRPr="00B93138">
        <w:rPr>
          <w:rFonts w:ascii="Arial" w:eastAsia="Calibri" w:hAnsi="Arial" w:cs="Arial"/>
          <w:bCs/>
          <w:sz w:val="22"/>
          <w:lang w:val="es-ES_tradnl"/>
        </w:rPr>
        <w:t>,</w:t>
      </w:r>
      <w:r w:rsidR="00FA4408" w:rsidRPr="00B93138">
        <w:rPr>
          <w:rFonts w:ascii="Arial" w:eastAsia="Calibri" w:hAnsi="Arial" w:cs="Arial"/>
          <w:bCs/>
          <w:sz w:val="22"/>
          <w:lang w:val="es-ES_tradnl"/>
        </w:rPr>
        <w:t xml:space="preserve"> </w:t>
      </w:r>
      <w:r w:rsidR="00F82421" w:rsidRPr="00B93138">
        <w:rPr>
          <w:rFonts w:ascii="Arial" w:eastAsia="Calibri" w:hAnsi="Arial" w:cs="Arial"/>
          <w:bCs/>
          <w:sz w:val="22"/>
          <w:lang w:val="es-ES_tradnl"/>
        </w:rPr>
        <w:t xml:space="preserve">por lo que </w:t>
      </w:r>
      <w:r w:rsidR="002012BE" w:rsidRPr="00B93138">
        <w:rPr>
          <w:rFonts w:ascii="Arial" w:eastAsia="Calibri" w:hAnsi="Arial" w:cs="Arial"/>
          <w:bCs/>
          <w:sz w:val="22"/>
          <w:lang w:val="es-ES_tradnl"/>
        </w:rPr>
        <w:t xml:space="preserve">han perdido vigencia </w:t>
      </w:r>
      <w:r w:rsidR="00E86D94" w:rsidRPr="00B93138">
        <w:rPr>
          <w:rFonts w:ascii="Arial" w:eastAsia="Calibri" w:hAnsi="Arial" w:cs="Arial"/>
          <w:sz w:val="22"/>
          <w:szCs w:val="22"/>
          <w:lang w:val="es-ES_tradnl"/>
        </w:rPr>
        <w:t>el numeral</w:t>
      </w:r>
      <w:r w:rsidR="00DA565E" w:rsidRPr="00B93138">
        <w:rPr>
          <w:rFonts w:ascii="Arial" w:eastAsia="Calibri" w:hAnsi="Arial" w:cs="Arial"/>
          <w:sz w:val="22"/>
          <w:szCs w:val="22"/>
          <w:lang w:val="es-ES_tradnl"/>
        </w:rPr>
        <w:t xml:space="preserve"> </w:t>
      </w:r>
      <w:r w:rsidR="00CD7B8B" w:rsidRPr="00B93138">
        <w:rPr>
          <w:rFonts w:ascii="Arial" w:eastAsia="Calibri" w:hAnsi="Arial" w:cs="Arial"/>
          <w:bCs/>
          <w:sz w:val="22"/>
          <w:lang w:val="es-ES_tradnl"/>
        </w:rPr>
        <w:t>7 del artículo 2.2.1.2.1.5.2 del Decreto 1082 de 2015.</w:t>
      </w:r>
      <w:r w:rsidR="00F82421" w:rsidRPr="00B93138">
        <w:rPr>
          <w:rFonts w:ascii="Arial" w:eastAsia="Calibri" w:hAnsi="Arial" w:cs="Arial"/>
          <w:bCs/>
          <w:sz w:val="22"/>
          <w:lang w:val="es-ES_tradnl"/>
        </w:rPr>
        <w:t xml:space="preserve"> </w:t>
      </w:r>
      <w:r w:rsidR="001419D7" w:rsidRPr="00B93138">
        <w:rPr>
          <w:rFonts w:ascii="Arial" w:eastAsia="Calibri" w:hAnsi="Arial" w:cs="Arial"/>
          <w:bCs/>
          <w:sz w:val="22"/>
          <w:lang w:val="es-ES_tradnl"/>
        </w:rPr>
        <w:t xml:space="preserve"> </w:t>
      </w:r>
      <w:r w:rsidR="002530E2" w:rsidRPr="00B93138">
        <w:rPr>
          <w:rFonts w:ascii="Arial" w:eastAsia="Calibri" w:hAnsi="Arial" w:cs="Arial"/>
          <w:bCs/>
          <w:sz w:val="22"/>
          <w:lang w:val="es-ES_tradnl"/>
        </w:rPr>
        <w:t xml:space="preserve"> </w:t>
      </w:r>
    </w:p>
    <w:p w14:paraId="7E6B35D1" w14:textId="77777777" w:rsidR="00502E86" w:rsidRPr="00B93138" w:rsidRDefault="00502E86" w:rsidP="00EB2ED0">
      <w:pPr>
        <w:tabs>
          <w:tab w:val="left" w:pos="0"/>
        </w:tabs>
        <w:jc w:val="both"/>
        <w:rPr>
          <w:rFonts w:ascii="Arial" w:eastAsia="Calibri" w:hAnsi="Arial" w:cs="Arial"/>
          <w:b/>
          <w:sz w:val="22"/>
          <w:lang w:val="es-ES_tradnl"/>
        </w:rPr>
      </w:pPr>
    </w:p>
    <w:p w14:paraId="00606018" w14:textId="77777777" w:rsidR="001E3663" w:rsidRDefault="001E3663" w:rsidP="00EB2ED0">
      <w:pPr>
        <w:tabs>
          <w:tab w:val="left" w:pos="0"/>
        </w:tabs>
        <w:jc w:val="both"/>
        <w:rPr>
          <w:rFonts w:ascii="Arial" w:eastAsia="Calibri" w:hAnsi="Arial" w:cs="Arial"/>
          <w:b/>
          <w:sz w:val="22"/>
          <w:lang w:val="es-ES_tradnl"/>
        </w:rPr>
      </w:pPr>
    </w:p>
    <w:p w14:paraId="6AAB902D" w14:textId="77777777" w:rsidR="001E3663" w:rsidRDefault="001E3663" w:rsidP="00EB2ED0">
      <w:pPr>
        <w:tabs>
          <w:tab w:val="left" w:pos="0"/>
        </w:tabs>
        <w:jc w:val="both"/>
        <w:rPr>
          <w:rFonts w:ascii="Arial" w:eastAsia="Calibri" w:hAnsi="Arial" w:cs="Arial"/>
          <w:b/>
          <w:sz w:val="22"/>
          <w:lang w:val="es-ES_tradnl"/>
        </w:rPr>
      </w:pPr>
    </w:p>
    <w:p w14:paraId="37CA9805" w14:textId="0C531725" w:rsidR="00DD5B04" w:rsidRPr="00B93138" w:rsidRDefault="004177A6" w:rsidP="00EB2ED0">
      <w:pPr>
        <w:tabs>
          <w:tab w:val="left" w:pos="0"/>
        </w:tabs>
        <w:jc w:val="both"/>
        <w:rPr>
          <w:rFonts w:ascii="Arial" w:eastAsia="Calibri" w:hAnsi="Arial" w:cs="Arial"/>
          <w:b/>
          <w:sz w:val="22"/>
          <w:lang w:val="es-ES_tradnl"/>
        </w:rPr>
      </w:pPr>
      <w:r w:rsidRPr="00B93138">
        <w:rPr>
          <w:rFonts w:ascii="Arial" w:eastAsia="Calibri" w:hAnsi="Arial" w:cs="Arial"/>
          <w:b/>
          <w:sz w:val="22"/>
          <w:lang w:val="es-ES_tradnl"/>
        </w:rPr>
        <w:lastRenderedPageBreak/>
        <w:t>3</w:t>
      </w:r>
      <w:r w:rsidR="00B011A9" w:rsidRPr="00B93138">
        <w:rPr>
          <w:rFonts w:ascii="Arial" w:eastAsia="Calibri" w:hAnsi="Arial" w:cs="Arial"/>
          <w:b/>
          <w:sz w:val="22"/>
          <w:lang w:val="es-ES_tradnl"/>
        </w:rPr>
        <w:t xml:space="preserve">. </w:t>
      </w:r>
      <w:r w:rsidR="00DD5B04" w:rsidRPr="00B93138">
        <w:rPr>
          <w:rFonts w:ascii="Arial" w:eastAsia="Calibri" w:hAnsi="Arial" w:cs="Arial"/>
          <w:b/>
          <w:sz w:val="22"/>
          <w:lang w:val="es-ES_tradnl"/>
        </w:rPr>
        <w:t>Respuesta</w:t>
      </w:r>
    </w:p>
    <w:p w14:paraId="12DCA9F3" w14:textId="77777777" w:rsidR="004B25D8" w:rsidRPr="00B93138" w:rsidRDefault="004B25D8" w:rsidP="00EB2ED0">
      <w:pPr>
        <w:ind w:right="709"/>
        <w:jc w:val="both"/>
        <w:rPr>
          <w:rFonts w:ascii="Arial" w:hAnsi="Arial" w:cs="Arial"/>
          <w:sz w:val="21"/>
          <w:szCs w:val="21"/>
          <w:lang w:val="es-ES_tradnl"/>
        </w:rPr>
      </w:pPr>
    </w:p>
    <w:p w14:paraId="27DE8A09" w14:textId="77777777" w:rsidR="00504B36" w:rsidRDefault="00504B36" w:rsidP="00504B36">
      <w:pPr>
        <w:autoSpaceDE w:val="0"/>
        <w:autoSpaceDN w:val="0"/>
        <w:adjustRightInd w:val="0"/>
        <w:ind w:left="709" w:right="709"/>
        <w:jc w:val="both"/>
        <w:rPr>
          <w:rFonts w:ascii="Arial" w:hAnsi="Arial" w:cs="Arial"/>
          <w:sz w:val="21"/>
          <w:szCs w:val="21"/>
          <w:lang w:val="es-ES_tradnl"/>
        </w:rPr>
      </w:pPr>
      <w:r w:rsidRPr="00B93138">
        <w:rPr>
          <w:rFonts w:ascii="Arial" w:hAnsi="Arial" w:cs="Arial"/>
          <w:sz w:val="21"/>
          <w:szCs w:val="21"/>
          <w:lang w:val="es-ES_tradnl"/>
        </w:rPr>
        <w:t>«</w:t>
      </w:r>
      <w:r w:rsidRPr="00645361">
        <w:rPr>
          <w:rFonts w:ascii="Arial" w:hAnsi="Arial" w:cs="Arial"/>
          <w:sz w:val="21"/>
          <w:szCs w:val="21"/>
          <w:lang w:val="es-ES_tradnl"/>
        </w:rPr>
        <w:t>1.</w:t>
      </w:r>
      <w:r>
        <w:rPr>
          <w:rFonts w:ascii="Arial" w:hAnsi="Arial" w:cs="Arial"/>
          <w:sz w:val="21"/>
          <w:szCs w:val="21"/>
          <w:lang w:val="es-ES_tradnl"/>
        </w:rPr>
        <w:t xml:space="preserve"> </w:t>
      </w:r>
      <w:r w:rsidRPr="00645361">
        <w:rPr>
          <w:rFonts w:ascii="Arial" w:hAnsi="Arial" w:cs="Arial"/>
          <w:sz w:val="21"/>
          <w:szCs w:val="21"/>
          <w:lang w:val="es-ES_tradnl"/>
        </w:rPr>
        <w:t>¿Para procesos de mínima cuantía se deben aplicar los criterios de desempate establecidos en la ley 2069 de 2020?</w:t>
      </w:r>
    </w:p>
    <w:p w14:paraId="1F625629" w14:textId="77777777" w:rsidR="00504B36" w:rsidRPr="00645361" w:rsidRDefault="00504B36" w:rsidP="00504B36">
      <w:pPr>
        <w:autoSpaceDE w:val="0"/>
        <w:autoSpaceDN w:val="0"/>
        <w:adjustRightInd w:val="0"/>
        <w:ind w:left="709" w:right="709"/>
        <w:jc w:val="both"/>
        <w:rPr>
          <w:rFonts w:ascii="Arial" w:hAnsi="Arial" w:cs="Arial"/>
          <w:sz w:val="21"/>
          <w:szCs w:val="21"/>
          <w:lang w:val="es-ES_tradnl"/>
        </w:rPr>
      </w:pPr>
    </w:p>
    <w:p w14:paraId="1A902309" w14:textId="77777777" w:rsidR="00504B36" w:rsidRPr="00B93138" w:rsidRDefault="00504B36" w:rsidP="00504B36">
      <w:pPr>
        <w:autoSpaceDE w:val="0"/>
        <w:autoSpaceDN w:val="0"/>
        <w:adjustRightInd w:val="0"/>
        <w:ind w:left="709" w:right="709"/>
        <w:jc w:val="both"/>
        <w:rPr>
          <w:rFonts w:ascii="Arial" w:hAnsi="Arial" w:cs="Arial"/>
          <w:sz w:val="21"/>
          <w:szCs w:val="21"/>
          <w:lang w:val="es-ES_tradnl"/>
        </w:rPr>
      </w:pPr>
      <w:r>
        <w:rPr>
          <w:rFonts w:ascii="Arial" w:hAnsi="Arial" w:cs="Arial"/>
          <w:sz w:val="21"/>
          <w:szCs w:val="21"/>
          <w:lang w:val="es-ES_tradnl"/>
        </w:rPr>
        <w:t>»</w:t>
      </w:r>
      <w:r w:rsidRPr="00645361">
        <w:rPr>
          <w:rFonts w:ascii="Arial" w:hAnsi="Arial" w:cs="Arial"/>
          <w:sz w:val="21"/>
          <w:szCs w:val="21"/>
          <w:lang w:val="es-ES_tradnl"/>
        </w:rPr>
        <w:t>2. Teniendo en cuenta que en mínima cuantía no hay puntaje, ¿Se debe aplicar lo señalado en el decreto 1082 de 2015 de la oferta que primero se reciba?</w:t>
      </w:r>
      <w:r>
        <w:rPr>
          <w:rFonts w:ascii="Arial" w:hAnsi="Arial" w:cs="Arial"/>
          <w:sz w:val="21"/>
          <w:szCs w:val="21"/>
          <w:lang w:val="es-ES_tradnl"/>
        </w:rPr>
        <w:t>»</w:t>
      </w:r>
    </w:p>
    <w:p w14:paraId="5BE6368E" w14:textId="77777777" w:rsidR="002638F4" w:rsidRPr="00B93138" w:rsidRDefault="002638F4" w:rsidP="00EB2ED0">
      <w:pPr>
        <w:spacing w:line="276" w:lineRule="auto"/>
        <w:ind w:left="709" w:right="709"/>
        <w:jc w:val="both"/>
        <w:rPr>
          <w:rFonts w:ascii="Arial" w:hAnsi="Arial" w:cs="Arial"/>
          <w:sz w:val="22"/>
          <w:szCs w:val="22"/>
          <w:lang w:val="es-ES_tradnl"/>
        </w:rPr>
      </w:pPr>
    </w:p>
    <w:p w14:paraId="3EFF9271" w14:textId="77777777" w:rsidR="002638F4" w:rsidRPr="00B93138" w:rsidRDefault="002638F4" w:rsidP="002638F4">
      <w:pPr>
        <w:spacing w:line="276" w:lineRule="auto"/>
        <w:jc w:val="both"/>
        <w:rPr>
          <w:rFonts w:ascii="Arial" w:eastAsia="Calibri" w:hAnsi="Arial" w:cs="Arial"/>
          <w:sz w:val="22"/>
          <w:szCs w:val="22"/>
          <w:lang w:val="es-ES_tradnl"/>
        </w:rPr>
      </w:pPr>
      <w:bookmarkStart w:id="13" w:name="_Hlk69487468"/>
      <w:bookmarkStart w:id="14" w:name="_Hlk79145750"/>
      <w:r w:rsidRPr="00B93138">
        <w:rPr>
          <w:rFonts w:ascii="Arial" w:eastAsia="Calibri" w:hAnsi="Arial" w:cs="Arial"/>
          <w:sz w:val="22"/>
          <w:szCs w:val="22"/>
          <w:lang w:val="es-ES_tradnl"/>
        </w:rPr>
        <w:t>El artículo 35 de la Ley 2069 de 2020, que modifica el régimen de los factores de desempate en la contratación estatal, se encuentra vigente y goza de aplicación directa desde la fecha de su promulgación, es decir, no requiere de una reglamentación previa como presupuesto para su eficacia. Estos criterios de desempate actualmente</w:t>
      </w:r>
      <w:r w:rsidRPr="00B93138" w:rsidDel="0018007F">
        <w:rPr>
          <w:rFonts w:ascii="Arial" w:eastAsia="Calibri" w:hAnsi="Arial" w:cs="Arial"/>
          <w:sz w:val="22"/>
          <w:szCs w:val="22"/>
          <w:lang w:val="es-ES_tradnl"/>
        </w:rPr>
        <w:t xml:space="preserve"> </w:t>
      </w:r>
      <w:r w:rsidRPr="00B93138">
        <w:rPr>
          <w:rFonts w:ascii="Arial" w:eastAsia="Calibri" w:hAnsi="Arial" w:cs="Arial"/>
          <w:sz w:val="22"/>
          <w:szCs w:val="22"/>
          <w:lang w:val="es-ES_tradnl"/>
        </w:rPr>
        <w:t>son aplicables a todas las entidades estatales, independientemente de su régimen de contratación.</w:t>
      </w:r>
    </w:p>
    <w:p w14:paraId="6DA1DDFA" w14:textId="603A6D43" w:rsidR="002638F4" w:rsidRPr="00B93138" w:rsidRDefault="002638F4" w:rsidP="002638F4">
      <w:pPr>
        <w:spacing w:before="120" w:line="276" w:lineRule="auto"/>
        <w:ind w:firstLine="709"/>
        <w:jc w:val="both"/>
        <w:rPr>
          <w:rFonts w:ascii="Arial" w:hAnsi="Arial" w:cs="Arial"/>
          <w:sz w:val="22"/>
          <w:szCs w:val="22"/>
          <w:lang w:val="es-ES_tradnl"/>
        </w:rPr>
      </w:pPr>
      <w:r w:rsidRPr="00B93138">
        <w:rPr>
          <w:rFonts w:ascii="Arial" w:hAnsi="Arial" w:cs="Arial"/>
          <w:sz w:val="22"/>
          <w:szCs w:val="22"/>
          <w:lang w:val="es-ES_tradnl"/>
        </w:rPr>
        <w:t xml:space="preserve">Ahora bien, hasta la promulgación de la Ley 2069 de 2020, el artículo 2.2.1.1.2.2.9. del Decreto 1082 de 2015 regulaba los factores de desempate que debían aplicarse en los procesos de selección. En criterio de esta Agencia, dicha norma debe entenderse derogada por el artículo 35 de la Ley 2069 de 2020. Ello no solo porque el artículo 84 </w:t>
      </w:r>
      <w:proofErr w:type="spellStart"/>
      <w:r w:rsidR="00291E40" w:rsidRPr="00B93138">
        <w:rPr>
          <w:rFonts w:ascii="Arial" w:hAnsi="Arial" w:cs="Arial"/>
          <w:i/>
          <w:iCs/>
          <w:sz w:val="22"/>
          <w:szCs w:val="22"/>
          <w:lang w:val="es-ES_tradnl"/>
        </w:rPr>
        <w:t>ibidem</w:t>
      </w:r>
      <w:proofErr w:type="spellEnd"/>
      <w:r w:rsidRPr="00B93138">
        <w:rPr>
          <w:rFonts w:ascii="Arial" w:hAnsi="Arial" w:cs="Arial"/>
          <w:sz w:val="22"/>
          <w:szCs w:val="22"/>
          <w:lang w:val="es-ES_tradnl"/>
        </w:rPr>
        <w:t xml:space="preserve"> </w:t>
      </w:r>
      <w:r w:rsidR="00291E40" w:rsidRPr="00B93138">
        <w:rPr>
          <w:rFonts w:ascii="Arial" w:hAnsi="Arial" w:cs="Arial"/>
          <w:sz w:val="22"/>
          <w:szCs w:val="22"/>
          <w:lang w:val="es-ES_tradnl"/>
        </w:rPr>
        <w:t xml:space="preserve">dispone </w:t>
      </w:r>
      <w:r w:rsidRPr="00B93138">
        <w:rPr>
          <w:rFonts w:ascii="Arial" w:hAnsi="Arial" w:cs="Arial"/>
          <w:sz w:val="22"/>
          <w:szCs w:val="22"/>
          <w:lang w:val="es-ES_tradnl"/>
        </w:rPr>
        <w:t xml:space="preserve">que «rige a partir del momento de su promulgación», es decir, desde el 31 de diciembre de 2020, sino además porque la misma disposición señala que la Ley 2069 de 2020 deroga «[…] todas las disposiciones que le sean contrarias». </w:t>
      </w:r>
    </w:p>
    <w:p w14:paraId="75CDB35B" w14:textId="77777777" w:rsidR="002638F4" w:rsidRPr="00B93138" w:rsidRDefault="002638F4" w:rsidP="002638F4">
      <w:pPr>
        <w:spacing w:before="120" w:line="276" w:lineRule="auto"/>
        <w:ind w:firstLine="709"/>
        <w:jc w:val="both"/>
        <w:rPr>
          <w:rFonts w:ascii="Arial" w:hAnsi="Arial" w:cs="Arial"/>
          <w:sz w:val="22"/>
          <w:szCs w:val="22"/>
          <w:lang w:val="es-ES_tradnl"/>
        </w:rPr>
      </w:pPr>
      <w:r w:rsidRPr="00B93138">
        <w:rPr>
          <w:rFonts w:ascii="Arial" w:hAnsi="Arial" w:cs="Arial"/>
          <w:sz w:val="22"/>
          <w:szCs w:val="22"/>
          <w:lang w:val="es-ES_tradnl"/>
        </w:rPr>
        <w:t xml:space="preserve">Un argumento adicional para sostener esta tesis tiene que ver con el fenómeno de la pérdida de fuerza ejecutoria –o decaimiento– de los actos administrativos, regulado en el numeral 2 del artículo 91 de la Ley 1437 de 2011. Dado que el Decreto 1082 de 2015 es un reglamento </w:t>
      </w:r>
      <w:proofErr w:type="spellStart"/>
      <w:r w:rsidRPr="00B93138">
        <w:rPr>
          <w:rFonts w:ascii="Arial" w:hAnsi="Arial" w:cs="Arial"/>
          <w:i/>
          <w:iCs/>
          <w:sz w:val="22"/>
          <w:szCs w:val="22"/>
          <w:lang w:val="es-ES_tradnl"/>
        </w:rPr>
        <w:t>secundum</w:t>
      </w:r>
      <w:proofErr w:type="spellEnd"/>
      <w:r w:rsidRPr="00B93138">
        <w:rPr>
          <w:rFonts w:ascii="Arial" w:hAnsi="Arial" w:cs="Arial"/>
          <w:i/>
          <w:iCs/>
          <w:sz w:val="22"/>
          <w:szCs w:val="22"/>
          <w:lang w:val="es-ES_tradnl"/>
        </w:rPr>
        <w:t xml:space="preserve"> </w:t>
      </w:r>
      <w:proofErr w:type="spellStart"/>
      <w:r w:rsidRPr="00B93138">
        <w:rPr>
          <w:rFonts w:ascii="Arial" w:hAnsi="Arial" w:cs="Arial"/>
          <w:i/>
          <w:iCs/>
          <w:sz w:val="22"/>
          <w:szCs w:val="22"/>
          <w:lang w:val="es-ES_tradnl"/>
        </w:rPr>
        <w:t>legem</w:t>
      </w:r>
      <w:proofErr w:type="spellEnd"/>
      <w:r w:rsidRPr="00B93138">
        <w:rPr>
          <w:rFonts w:ascii="Arial" w:hAnsi="Arial" w:cs="Arial"/>
          <w:sz w:val="22"/>
          <w:szCs w:val="22"/>
          <w:lang w:val="es-ES_tradnl"/>
        </w:rPr>
        <w:t xml:space="preserve"> –es decir, que desarrolla una norma de mayor jerarquía–, la expedición de una ley en sentido formal –es decir, una fuente que condiciona el contenido de este último–, hace que la disposición reglamentaria decaiga.  </w:t>
      </w:r>
    </w:p>
    <w:p w14:paraId="3AE1826C" w14:textId="15EE042E" w:rsidR="00E447A0" w:rsidRPr="00B93138" w:rsidRDefault="002638F4" w:rsidP="002638F4">
      <w:pPr>
        <w:spacing w:before="120" w:line="276" w:lineRule="auto"/>
        <w:ind w:firstLine="709"/>
        <w:jc w:val="both"/>
        <w:rPr>
          <w:rFonts w:ascii="Arial" w:hAnsi="Arial" w:cs="Arial"/>
          <w:sz w:val="22"/>
          <w:szCs w:val="22"/>
          <w:lang w:val="es-ES_tradnl"/>
        </w:rPr>
      </w:pPr>
      <w:r w:rsidRPr="00B93138">
        <w:rPr>
          <w:rFonts w:ascii="Arial" w:hAnsi="Arial" w:cs="Arial"/>
          <w:sz w:val="22"/>
          <w:szCs w:val="22"/>
          <w:lang w:val="es-ES_tradnl"/>
        </w:rPr>
        <w:t xml:space="preserve">Lo explicado en los párrafos precedentes también aplica </w:t>
      </w:r>
      <w:r w:rsidRPr="00B93138">
        <w:rPr>
          <w:rFonts w:ascii="Arial" w:hAnsi="Arial" w:cs="Arial"/>
          <w:i/>
          <w:iCs/>
          <w:sz w:val="22"/>
          <w:szCs w:val="22"/>
          <w:lang w:val="es-ES_tradnl"/>
        </w:rPr>
        <w:t>mutatis mutandis</w:t>
      </w:r>
      <w:r w:rsidRPr="00B93138">
        <w:rPr>
          <w:rFonts w:ascii="Arial" w:hAnsi="Arial" w:cs="Arial"/>
          <w:sz w:val="22"/>
          <w:szCs w:val="22"/>
          <w:lang w:val="es-ES_tradnl"/>
        </w:rPr>
        <w:t xml:space="preserve"> al factor de desempate previsto en el Decreto Único Reglamentario del Sector Administrativo de Planeación Nacional para </w:t>
      </w:r>
      <w:r w:rsidR="00E55A44" w:rsidRPr="00B93138">
        <w:rPr>
          <w:rFonts w:ascii="Arial" w:hAnsi="Arial" w:cs="Arial"/>
          <w:sz w:val="22"/>
          <w:szCs w:val="22"/>
          <w:lang w:val="es-ES_tradnl"/>
        </w:rPr>
        <w:t>el</w:t>
      </w:r>
      <w:r w:rsidR="005416CA" w:rsidRPr="00B93138">
        <w:rPr>
          <w:rFonts w:ascii="Arial" w:hAnsi="Arial" w:cs="Arial"/>
          <w:sz w:val="22"/>
          <w:szCs w:val="22"/>
          <w:lang w:val="es-ES_tradnl"/>
        </w:rPr>
        <w:t xml:space="preserve"> procedimiento de </w:t>
      </w:r>
      <w:r w:rsidRPr="00B93138">
        <w:rPr>
          <w:rFonts w:ascii="Arial" w:hAnsi="Arial" w:cs="Arial"/>
          <w:sz w:val="22"/>
          <w:szCs w:val="22"/>
          <w:lang w:val="es-ES_tradnl"/>
        </w:rPr>
        <w:t xml:space="preserve">mínima cuantía. </w:t>
      </w:r>
      <w:r w:rsidR="0058632B" w:rsidRPr="00B93138">
        <w:rPr>
          <w:rFonts w:ascii="Arial" w:hAnsi="Arial" w:cs="Arial"/>
          <w:sz w:val="22"/>
          <w:szCs w:val="22"/>
          <w:lang w:val="es-ES_tradnl"/>
        </w:rPr>
        <w:t>En ese sentido, a</w:t>
      </w:r>
      <w:r w:rsidRPr="00B93138">
        <w:rPr>
          <w:rFonts w:ascii="Arial" w:hAnsi="Arial" w:cs="Arial"/>
          <w:sz w:val="22"/>
          <w:szCs w:val="22"/>
          <w:lang w:val="es-ES_tradnl"/>
        </w:rPr>
        <w:t xml:space="preserve"> pesar de que el</w:t>
      </w:r>
      <w:r w:rsidR="0058632B" w:rsidRPr="00B93138">
        <w:rPr>
          <w:rFonts w:ascii="Arial" w:hAnsi="Arial" w:cs="Arial"/>
          <w:sz w:val="22"/>
          <w:szCs w:val="22"/>
          <w:lang w:val="es-ES_tradnl"/>
        </w:rPr>
        <w:t xml:space="preserve"> numeral</w:t>
      </w:r>
      <w:r w:rsidRPr="00B93138">
        <w:rPr>
          <w:rFonts w:ascii="Arial" w:hAnsi="Arial" w:cs="Arial"/>
          <w:sz w:val="22"/>
          <w:szCs w:val="22"/>
          <w:lang w:val="es-ES_tradnl"/>
        </w:rPr>
        <w:t xml:space="preserve"> </w:t>
      </w:r>
      <w:r w:rsidR="005416CA" w:rsidRPr="00B93138">
        <w:rPr>
          <w:rFonts w:ascii="Arial" w:hAnsi="Arial" w:cs="Arial"/>
          <w:sz w:val="22"/>
          <w:szCs w:val="22"/>
          <w:lang w:val="es-ES_tradnl"/>
        </w:rPr>
        <w:t>7</w:t>
      </w:r>
      <w:r w:rsidRPr="00B93138">
        <w:rPr>
          <w:rFonts w:ascii="Arial" w:hAnsi="Arial" w:cs="Arial"/>
          <w:sz w:val="22"/>
          <w:szCs w:val="22"/>
          <w:lang w:val="es-ES_tradnl"/>
        </w:rPr>
        <w:t xml:space="preserve"> del artículo </w:t>
      </w:r>
      <w:r w:rsidR="005416CA" w:rsidRPr="00B93138">
        <w:rPr>
          <w:rFonts w:ascii="Arial" w:hAnsi="Arial" w:cs="Arial"/>
          <w:sz w:val="22"/>
          <w:szCs w:val="22"/>
          <w:lang w:val="es-ES_tradnl"/>
        </w:rPr>
        <w:t>2.2.1.2.1.5.2</w:t>
      </w:r>
      <w:r w:rsidRPr="00B93138">
        <w:rPr>
          <w:rFonts w:ascii="Arial" w:hAnsi="Arial" w:cs="Arial"/>
          <w:sz w:val="22"/>
          <w:szCs w:val="22"/>
          <w:lang w:val="es-ES_tradnl"/>
        </w:rPr>
        <w:t xml:space="preserve"> del Decreto 1082 de 2015 estable</w:t>
      </w:r>
      <w:r w:rsidR="00D03EAF" w:rsidRPr="00B93138">
        <w:rPr>
          <w:rFonts w:ascii="Arial" w:hAnsi="Arial" w:cs="Arial"/>
          <w:sz w:val="22"/>
          <w:szCs w:val="22"/>
          <w:lang w:val="es-ES_tradnl"/>
        </w:rPr>
        <w:t>cía</w:t>
      </w:r>
      <w:r w:rsidRPr="00B93138">
        <w:rPr>
          <w:rFonts w:ascii="Arial" w:hAnsi="Arial" w:cs="Arial"/>
          <w:sz w:val="22"/>
          <w:szCs w:val="22"/>
          <w:lang w:val="es-ES_tradnl"/>
        </w:rPr>
        <w:t xml:space="preserve"> una regla especial para el desempate entre ofertas para </w:t>
      </w:r>
      <w:r w:rsidR="0058632B" w:rsidRPr="00B93138">
        <w:rPr>
          <w:rFonts w:ascii="Arial" w:hAnsi="Arial" w:cs="Arial"/>
          <w:sz w:val="22"/>
          <w:szCs w:val="22"/>
          <w:lang w:val="es-ES_tradnl"/>
        </w:rPr>
        <w:t>en est</w:t>
      </w:r>
      <w:r w:rsidR="00D03EAF" w:rsidRPr="00B93138">
        <w:rPr>
          <w:rFonts w:ascii="Arial" w:hAnsi="Arial" w:cs="Arial"/>
          <w:sz w:val="22"/>
          <w:szCs w:val="22"/>
          <w:lang w:val="es-ES_tradnl"/>
        </w:rPr>
        <w:t>e procedimiento contractual</w:t>
      </w:r>
      <w:r w:rsidRPr="00B93138">
        <w:rPr>
          <w:rFonts w:ascii="Arial" w:hAnsi="Arial" w:cs="Arial"/>
          <w:sz w:val="22"/>
          <w:szCs w:val="22"/>
          <w:lang w:val="es-ES_tradnl"/>
        </w:rPr>
        <w:t>, el primer inciso del artículo 35 de la Ley 2069 de 2020 no distingue modalidades de selección y regula la institución de los factores de desempate en los procesos de contratación estatal de manera integral.</w:t>
      </w:r>
      <w:r w:rsidR="004832AF" w:rsidRPr="00B93138">
        <w:rPr>
          <w:rFonts w:ascii="Arial" w:hAnsi="Arial" w:cs="Arial"/>
          <w:sz w:val="22"/>
          <w:szCs w:val="22"/>
          <w:lang w:val="es-ES_tradnl"/>
        </w:rPr>
        <w:t xml:space="preserve"> E</w:t>
      </w:r>
      <w:r w:rsidRPr="00B93138">
        <w:rPr>
          <w:rFonts w:ascii="Arial" w:hAnsi="Arial" w:cs="Arial"/>
          <w:sz w:val="22"/>
          <w:szCs w:val="22"/>
          <w:lang w:val="es-ES_tradnl"/>
        </w:rPr>
        <w:t xml:space="preserve">n consecuencia, por tratarse de una norma transversal al sistema de compras y contratación pública, el artículo 35 de la Ley 2069 de 2020 es aplicable a los procedimientos </w:t>
      </w:r>
      <w:r w:rsidR="0058632B" w:rsidRPr="00B93138">
        <w:rPr>
          <w:rFonts w:ascii="Arial" w:hAnsi="Arial" w:cs="Arial"/>
          <w:sz w:val="22"/>
          <w:szCs w:val="22"/>
          <w:lang w:val="es-ES_tradnl"/>
        </w:rPr>
        <w:t>de</w:t>
      </w:r>
      <w:r w:rsidR="005416CA" w:rsidRPr="00B93138">
        <w:rPr>
          <w:rFonts w:ascii="Arial" w:hAnsi="Arial" w:cs="Arial"/>
          <w:sz w:val="22"/>
          <w:szCs w:val="22"/>
          <w:lang w:val="es-ES_tradnl"/>
        </w:rPr>
        <w:t xml:space="preserve"> mínima cuantía</w:t>
      </w:r>
      <w:r w:rsidRPr="00B93138">
        <w:rPr>
          <w:rFonts w:ascii="Arial" w:hAnsi="Arial" w:cs="Arial"/>
          <w:sz w:val="22"/>
          <w:szCs w:val="22"/>
          <w:lang w:val="es-ES_tradnl"/>
        </w:rPr>
        <w:t>, presentándose tanto la derogación como el decaimiento del criterio de desempate previsto</w:t>
      </w:r>
      <w:r w:rsidR="0058632B" w:rsidRPr="00B93138">
        <w:rPr>
          <w:rFonts w:ascii="Arial" w:hAnsi="Arial" w:cs="Arial"/>
          <w:sz w:val="22"/>
          <w:szCs w:val="22"/>
          <w:lang w:val="es-ES_tradnl"/>
        </w:rPr>
        <w:t xml:space="preserve"> en el numeral </w:t>
      </w:r>
      <w:r w:rsidR="005416CA" w:rsidRPr="00B93138">
        <w:rPr>
          <w:rFonts w:ascii="Arial" w:hAnsi="Arial" w:cs="Arial"/>
          <w:sz w:val="22"/>
          <w:szCs w:val="22"/>
          <w:lang w:val="es-ES_tradnl"/>
        </w:rPr>
        <w:t>7</w:t>
      </w:r>
      <w:r w:rsidRPr="00B93138">
        <w:rPr>
          <w:rFonts w:ascii="Arial" w:hAnsi="Arial" w:cs="Arial"/>
          <w:sz w:val="22"/>
          <w:szCs w:val="22"/>
          <w:lang w:val="es-ES_tradnl"/>
        </w:rPr>
        <w:t xml:space="preserve"> del artículo 2.2.1.2.1.5.2</w:t>
      </w:r>
      <w:r w:rsidR="005416CA" w:rsidRPr="00B93138">
        <w:rPr>
          <w:rFonts w:ascii="Arial" w:hAnsi="Arial" w:cs="Arial"/>
          <w:sz w:val="22"/>
          <w:szCs w:val="22"/>
          <w:lang w:val="es-ES_tradnl"/>
        </w:rPr>
        <w:t xml:space="preserve"> </w:t>
      </w:r>
      <w:r w:rsidRPr="00B93138">
        <w:rPr>
          <w:rFonts w:ascii="Arial" w:hAnsi="Arial" w:cs="Arial"/>
          <w:sz w:val="22"/>
          <w:szCs w:val="22"/>
          <w:lang w:val="es-ES_tradnl"/>
        </w:rPr>
        <w:t xml:space="preserve">del Decreto 1082 de 2015.      </w:t>
      </w:r>
    </w:p>
    <w:bookmarkEnd w:id="13"/>
    <w:bookmarkEnd w:id="14"/>
    <w:p w14:paraId="41ACAA31" w14:textId="77777777" w:rsidR="004832AF" w:rsidRPr="00B93138" w:rsidRDefault="004832AF" w:rsidP="00B93138">
      <w:pPr>
        <w:spacing w:line="276" w:lineRule="auto"/>
        <w:jc w:val="both"/>
        <w:rPr>
          <w:rFonts w:ascii="Arial" w:hAnsi="Arial" w:cs="Arial"/>
          <w:sz w:val="22"/>
          <w:szCs w:val="22"/>
          <w:lang w:val="es-ES_tradnl"/>
        </w:rPr>
      </w:pPr>
    </w:p>
    <w:p w14:paraId="35405C2F" w14:textId="703F2649" w:rsidR="0080376A" w:rsidRPr="00B93138" w:rsidRDefault="00DD5B04" w:rsidP="00EB2ED0">
      <w:pPr>
        <w:spacing w:line="276" w:lineRule="auto"/>
        <w:jc w:val="both"/>
        <w:rPr>
          <w:rFonts w:ascii="Arial" w:hAnsi="Arial" w:cs="Arial"/>
          <w:sz w:val="22"/>
          <w:szCs w:val="22"/>
          <w:lang w:val="es-ES_tradnl"/>
        </w:rPr>
      </w:pPr>
      <w:r w:rsidRPr="00B93138">
        <w:rPr>
          <w:rFonts w:ascii="Arial" w:hAnsi="Arial" w:cs="Arial"/>
          <w:sz w:val="22"/>
          <w:szCs w:val="22"/>
          <w:lang w:val="es-ES_tradnl"/>
        </w:rPr>
        <w:lastRenderedPageBreak/>
        <w:t>Este concepto tiene el alcance previsto en el artículo 28 del Código de Procedimiento Administrativo y de lo Contencioso Administrativo.</w:t>
      </w:r>
    </w:p>
    <w:p w14:paraId="2CCA8B64" w14:textId="242A1B65" w:rsidR="0080376A" w:rsidRPr="00B93138" w:rsidRDefault="0080376A" w:rsidP="00EB2ED0">
      <w:pPr>
        <w:spacing w:line="276" w:lineRule="auto"/>
        <w:rPr>
          <w:rFonts w:ascii="Arial" w:hAnsi="Arial" w:cs="Arial"/>
          <w:sz w:val="22"/>
          <w:szCs w:val="22"/>
          <w:lang w:eastAsia="es-CO"/>
        </w:rPr>
      </w:pPr>
    </w:p>
    <w:p w14:paraId="011D45FA" w14:textId="1F259EE0" w:rsidR="0080376A" w:rsidRPr="00B93138" w:rsidRDefault="0080376A" w:rsidP="00EB2ED0">
      <w:pPr>
        <w:spacing w:line="276" w:lineRule="auto"/>
        <w:rPr>
          <w:rFonts w:ascii="Arial" w:hAnsi="Arial" w:cs="Arial"/>
          <w:sz w:val="22"/>
          <w:szCs w:val="22"/>
        </w:rPr>
      </w:pPr>
      <w:r w:rsidRPr="00B93138">
        <w:rPr>
          <w:rFonts w:ascii="Arial" w:hAnsi="Arial" w:cs="Arial"/>
          <w:sz w:val="22"/>
          <w:szCs w:val="22"/>
          <w:lang w:eastAsia="es-CO"/>
        </w:rPr>
        <w:t>Atentamente,</w:t>
      </w:r>
    </w:p>
    <w:p w14:paraId="5B12458F" w14:textId="1D5A2A3B" w:rsidR="0080376A" w:rsidRPr="00B93138" w:rsidRDefault="0080376A" w:rsidP="00EB2ED0">
      <w:pPr>
        <w:jc w:val="both"/>
        <w:rPr>
          <w:rFonts w:ascii="Arial" w:hAnsi="Arial" w:cs="Arial"/>
          <w:lang w:eastAsia="es-CO"/>
        </w:rPr>
      </w:pPr>
    </w:p>
    <w:p w14:paraId="0A4EEE09" w14:textId="30128372" w:rsidR="0080376A" w:rsidRPr="00B93138" w:rsidRDefault="0080376A" w:rsidP="00F633C7">
      <w:pPr>
        <w:spacing w:after="18"/>
        <w:rPr>
          <w:rFonts w:ascii="Arial" w:hAnsi="Arial" w:cs="Arial"/>
          <w:lang w:eastAsia="es-CO"/>
        </w:rPr>
      </w:pPr>
    </w:p>
    <w:p w14:paraId="70ADF7AF" w14:textId="62C4B3AB" w:rsidR="005416CA" w:rsidRPr="00B93138" w:rsidRDefault="00F633C7" w:rsidP="00F633C7">
      <w:pPr>
        <w:spacing w:after="18"/>
        <w:jc w:val="center"/>
        <w:rPr>
          <w:rFonts w:ascii="Arial" w:hAnsi="Arial" w:cs="Arial"/>
          <w:lang w:eastAsia="es-CO"/>
        </w:rPr>
      </w:pPr>
      <w:r>
        <w:rPr>
          <w:noProof/>
        </w:rPr>
        <w:drawing>
          <wp:inline distT="0" distB="0" distL="0" distR="0" wp14:anchorId="38145BB9" wp14:editId="000F91DE">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353D05CB" w14:textId="77777777" w:rsidR="0080376A" w:rsidRPr="00B93138" w:rsidRDefault="0080376A" w:rsidP="00EB2ED0">
      <w:pPr>
        <w:spacing w:after="18"/>
        <w:jc w:val="center"/>
        <w:rPr>
          <w:rFonts w:ascii="Arial" w:hAnsi="Arial" w:cs="Arial"/>
          <w:lang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4832AF" w:rsidRPr="00B93138" w14:paraId="03974E28" w14:textId="77777777" w:rsidTr="00631B91">
        <w:trPr>
          <w:trHeight w:val="286"/>
        </w:trPr>
        <w:tc>
          <w:tcPr>
            <w:tcW w:w="886" w:type="dxa"/>
            <w:vAlign w:val="center"/>
            <w:hideMark/>
          </w:tcPr>
          <w:p w14:paraId="01140129" w14:textId="77777777" w:rsidR="0080376A" w:rsidRPr="00B93138" w:rsidRDefault="0080376A" w:rsidP="00EB2ED0">
            <w:pPr>
              <w:rPr>
                <w:rFonts w:ascii="Arial" w:hAnsi="Arial" w:cs="Arial"/>
                <w:sz w:val="14"/>
                <w:szCs w:val="14"/>
                <w:lang w:eastAsia="es-ES"/>
              </w:rPr>
            </w:pPr>
            <w:r w:rsidRPr="00B93138">
              <w:rPr>
                <w:rFonts w:ascii="Arial"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7D4B4BBE" w14:textId="77777777" w:rsidR="00FF5CAA" w:rsidRPr="00FF5CAA" w:rsidRDefault="00FF5CAA" w:rsidP="00FF5CAA">
            <w:pPr>
              <w:rPr>
                <w:rFonts w:ascii="Arial" w:hAnsi="Arial" w:cs="Arial"/>
                <w:sz w:val="14"/>
                <w:szCs w:val="14"/>
                <w:lang w:eastAsia="es-ES"/>
              </w:rPr>
            </w:pPr>
            <w:r w:rsidRPr="00FF5CAA">
              <w:rPr>
                <w:rFonts w:ascii="Arial" w:hAnsi="Arial" w:cs="Arial"/>
                <w:sz w:val="14"/>
                <w:szCs w:val="14"/>
                <w:lang w:eastAsia="es-ES"/>
              </w:rPr>
              <w:t>Cristian Andrés Díaz Díez</w:t>
            </w:r>
          </w:p>
          <w:p w14:paraId="1886B9EC" w14:textId="4CA5B9F3" w:rsidR="0080376A" w:rsidRPr="00B93138" w:rsidRDefault="00FF5CAA" w:rsidP="00FF5CAA">
            <w:pPr>
              <w:rPr>
                <w:rFonts w:ascii="Arial" w:hAnsi="Arial" w:cs="Arial"/>
                <w:sz w:val="14"/>
                <w:szCs w:val="14"/>
                <w:lang w:eastAsia="es-ES"/>
              </w:rPr>
            </w:pPr>
            <w:r w:rsidRPr="00FF5CAA">
              <w:rPr>
                <w:rFonts w:ascii="Arial" w:hAnsi="Arial" w:cs="Arial"/>
                <w:sz w:val="14"/>
                <w:szCs w:val="14"/>
                <w:lang w:eastAsia="es-ES"/>
              </w:rPr>
              <w:t>Contratista de la Subdirección de Gestión Contractual</w:t>
            </w:r>
          </w:p>
        </w:tc>
      </w:tr>
      <w:tr w:rsidR="004832AF" w:rsidRPr="00B93138" w14:paraId="1C6D880D" w14:textId="77777777" w:rsidTr="00631B91">
        <w:trPr>
          <w:trHeight w:val="299"/>
        </w:trPr>
        <w:tc>
          <w:tcPr>
            <w:tcW w:w="886" w:type="dxa"/>
            <w:vAlign w:val="center"/>
          </w:tcPr>
          <w:p w14:paraId="5E9E0994" w14:textId="77777777" w:rsidR="0080376A" w:rsidRPr="00B93138" w:rsidRDefault="0080376A" w:rsidP="00EB2ED0">
            <w:pPr>
              <w:rPr>
                <w:rFonts w:ascii="Arial" w:hAnsi="Arial" w:cs="Arial"/>
                <w:sz w:val="14"/>
                <w:szCs w:val="14"/>
                <w:lang w:eastAsia="es-ES"/>
              </w:rPr>
            </w:pPr>
            <w:r w:rsidRPr="00B93138">
              <w:rPr>
                <w:rFonts w:ascii="Arial" w:hAnsi="Arial" w:cs="Arial"/>
                <w:sz w:val="14"/>
                <w:szCs w:val="14"/>
                <w:lang w:eastAsia="es-ES"/>
              </w:rPr>
              <w:t>Revisó:</w:t>
            </w:r>
          </w:p>
        </w:tc>
        <w:tc>
          <w:tcPr>
            <w:tcW w:w="4003" w:type="dxa"/>
            <w:tcBorders>
              <w:top w:val="dotted" w:sz="4" w:space="0" w:color="7F7F7F"/>
              <w:left w:val="nil"/>
              <w:bottom w:val="dotted" w:sz="4" w:space="0" w:color="7F7F7F"/>
              <w:right w:val="nil"/>
            </w:tcBorders>
            <w:vAlign w:val="center"/>
          </w:tcPr>
          <w:p w14:paraId="6FE263AE" w14:textId="548135F5" w:rsidR="0080376A" w:rsidRPr="00B93138" w:rsidRDefault="00DC3B7E" w:rsidP="00EB2ED0">
            <w:pPr>
              <w:rPr>
                <w:rFonts w:ascii="Arial" w:hAnsi="Arial" w:cs="Arial"/>
                <w:sz w:val="14"/>
                <w:szCs w:val="14"/>
                <w:lang w:eastAsia="es-ES"/>
              </w:rPr>
            </w:pPr>
            <w:r>
              <w:rPr>
                <w:rFonts w:ascii="Arial" w:hAnsi="Arial" w:cs="Arial"/>
                <w:sz w:val="14"/>
                <w:szCs w:val="14"/>
                <w:lang w:eastAsia="es-ES"/>
              </w:rPr>
              <w:t>Sebastián Ramírez Grisales</w:t>
            </w:r>
          </w:p>
          <w:p w14:paraId="5B170026" w14:textId="77777777" w:rsidR="0080376A" w:rsidRPr="00B93138" w:rsidRDefault="0080376A" w:rsidP="00EB2ED0">
            <w:pPr>
              <w:rPr>
                <w:rFonts w:ascii="Arial" w:hAnsi="Arial" w:cs="Arial"/>
                <w:sz w:val="14"/>
                <w:szCs w:val="14"/>
                <w:lang w:eastAsia="es-ES"/>
              </w:rPr>
            </w:pPr>
            <w:r w:rsidRPr="00B93138">
              <w:rPr>
                <w:rFonts w:ascii="Arial" w:hAnsi="Arial" w:cs="Arial"/>
                <w:sz w:val="14"/>
                <w:szCs w:val="14"/>
                <w:lang w:eastAsia="es-ES"/>
              </w:rPr>
              <w:t xml:space="preserve">Gestor T1-15 de la Subdirección de Gestión Contractual  </w:t>
            </w:r>
          </w:p>
        </w:tc>
      </w:tr>
      <w:tr w:rsidR="004832AF" w:rsidRPr="004832AF" w14:paraId="69EA51B1" w14:textId="77777777" w:rsidTr="00631B91">
        <w:trPr>
          <w:trHeight w:val="272"/>
        </w:trPr>
        <w:tc>
          <w:tcPr>
            <w:tcW w:w="886" w:type="dxa"/>
            <w:vAlign w:val="center"/>
            <w:hideMark/>
          </w:tcPr>
          <w:p w14:paraId="310910D2" w14:textId="77777777" w:rsidR="0080376A" w:rsidRPr="00B93138" w:rsidRDefault="0080376A" w:rsidP="00EB2ED0">
            <w:pPr>
              <w:rPr>
                <w:rFonts w:ascii="Arial" w:hAnsi="Arial" w:cs="Arial"/>
                <w:sz w:val="14"/>
                <w:szCs w:val="14"/>
                <w:lang w:eastAsia="es-ES"/>
              </w:rPr>
            </w:pPr>
            <w:r w:rsidRPr="00B93138">
              <w:rPr>
                <w:rFonts w:ascii="Arial"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43D727AC" w14:textId="77777777" w:rsidR="0080376A" w:rsidRPr="00B93138" w:rsidRDefault="0080376A" w:rsidP="00EB2ED0">
            <w:pPr>
              <w:rPr>
                <w:rFonts w:ascii="Arial" w:hAnsi="Arial" w:cs="Arial"/>
                <w:sz w:val="14"/>
                <w:szCs w:val="14"/>
                <w:lang w:eastAsia="es-ES"/>
              </w:rPr>
            </w:pPr>
            <w:r w:rsidRPr="00B93138">
              <w:rPr>
                <w:rFonts w:ascii="Arial" w:hAnsi="Arial" w:cs="Arial"/>
                <w:sz w:val="14"/>
                <w:szCs w:val="14"/>
                <w:lang w:eastAsia="es-ES"/>
              </w:rPr>
              <w:t>Jorge Augusto Tirado Navarro</w:t>
            </w:r>
          </w:p>
          <w:p w14:paraId="3019D417" w14:textId="633936DE" w:rsidR="0080376A" w:rsidRPr="004832AF" w:rsidRDefault="0080376A" w:rsidP="00EB2ED0">
            <w:pPr>
              <w:rPr>
                <w:rFonts w:ascii="Arial" w:hAnsi="Arial" w:cs="Arial"/>
                <w:sz w:val="14"/>
                <w:szCs w:val="14"/>
                <w:lang w:eastAsia="es-ES"/>
              </w:rPr>
            </w:pPr>
            <w:r w:rsidRPr="00B93138">
              <w:rPr>
                <w:rFonts w:ascii="Arial" w:hAnsi="Arial" w:cs="Arial"/>
                <w:sz w:val="14"/>
                <w:szCs w:val="14"/>
                <w:lang w:eastAsia="es-ES"/>
              </w:rPr>
              <w:t>Subdirector de Gestión Contractual</w:t>
            </w:r>
            <w:r w:rsidR="008C3903" w:rsidRPr="00B93138">
              <w:rPr>
                <w:rFonts w:ascii="Arial" w:hAnsi="Arial" w:cs="Arial"/>
                <w:sz w:val="14"/>
                <w:szCs w:val="14"/>
                <w:lang w:eastAsia="es-ES"/>
              </w:rPr>
              <w:t xml:space="preserve"> ANCP – CCE</w:t>
            </w:r>
          </w:p>
        </w:tc>
      </w:tr>
    </w:tbl>
    <w:p w14:paraId="5D4CDD3F" w14:textId="77777777" w:rsidR="0080376A" w:rsidRPr="004832AF" w:rsidRDefault="0080376A" w:rsidP="00EB2ED0">
      <w:pPr>
        <w:rPr>
          <w:rFonts w:ascii="Arial" w:hAnsi="Arial" w:cs="Arial"/>
          <w:lang w:eastAsia="es-ES"/>
        </w:rPr>
      </w:pPr>
    </w:p>
    <w:bookmarkEnd w:id="7"/>
    <w:p w14:paraId="35B56F46" w14:textId="68D0B3F1" w:rsidR="00746E08" w:rsidRPr="004832AF" w:rsidRDefault="00746E08" w:rsidP="00EB2ED0">
      <w:pPr>
        <w:spacing w:line="276" w:lineRule="auto"/>
        <w:jc w:val="both"/>
        <w:rPr>
          <w:rFonts w:ascii="Arial" w:hAnsi="Arial" w:cs="Arial"/>
          <w:lang w:val="es-ES_tradnl"/>
        </w:rPr>
      </w:pPr>
    </w:p>
    <w:sectPr w:rsidR="00746E08" w:rsidRPr="004832AF"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B9302" w14:textId="77777777" w:rsidR="009E3F5A" w:rsidRDefault="009E3F5A">
      <w:r>
        <w:separator/>
      </w:r>
    </w:p>
  </w:endnote>
  <w:endnote w:type="continuationSeparator" w:id="0">
    <w:p w14:paraId="06017DDA" w14:textId="77777777" w:rsidR="009E3F5A" w:rsidRDefault="009E3F5A">
      <w:r>
        <w:continuationSeparator/>
      </w:r>
    </w:p>
  </w:endnote>
  <w:endnote w:type="continuationNotice" w:id="1">
    <w:p w14:paraId="48A57331" w14:textId="77777777" w:rsidR="009E3F5A" w:rsidRDefault="009E3F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7B1929" w:rsidRDefault="007B1929" w:rsidP="00322937">
    <w:pPr>
      <w:pStyle w:val="Sinespaciado"/>
      <w:jc w:val="right"/>
      <w:rPr>
        <w:rFonts w:ascii="Arial" w:hAnsi="Arial" w:cs="Arial"/>
        <w:sz w:val="18"/>
        <w:szCs w:val="18"/>
      </w:rPr>
    </w:pPr>
  </w:p>
  <w:p w14:paraId="7A3785F3" w14:textId="2EF28465" w:rsidR="007B1929" w:rsidRPr="008217B7" w:rsidRDefault="007B1929"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7B1929" w:rsidRDefault="007B1929" w:rsidP="00322937">
    <w:pPr>
      <w:pStyle w:val="Piedepgina"/>
      <w:jc w:val="center"/>
      <w:rPr>
        <w:lang w:val="es-ES"/>
      </w:rPr>
    </w:pPr>
    <w:r>
      <w:rPr>
        <w:noProof/>
      </w:rPr>
      <w:drawing>
        <wp:inline distT="0" distB="0" distL="0" distR="0" wp14:anchorId="608B196D" wp14:editId="5BB3F60A">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7B1929" w:rsidRDefault="007B1929" w:rsidP="007B0854">
    <w:pPr>
      <w:pStyle w:val="Piedepgina"/>
      <w:jc w:val="center"/>
      <w:rPr>
        <w:lang w:val="es-ES"/>
      </w:rPr>
    </w:pPr>
  </w:p>
  <w:p w14:paraId="6C0EFC49" w14:textId="77777777" w:rsidR="007B1929" w:rsidRPr="007B0854" w:rsidRDefault="007B1929"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4AF3B" w14:textId="77777777" w:rsidR="009E3F5A" w:rsidRDefault="009E3F5A">
      <w:r>
        <w:separator/>
      </w:r>
    </w:p>
  </w:footnote>
  <w:footnote w:type="continuationSeparator" w:id="0">
    <w:p w14:paraId="08820A3C" w14:textId="77777777" w:rsidR="009E3F5A" w:rsidRDefault="009E3F5A">
      <w:r>
        <w:continuationSeparator/>
      </w:r>
    </w:p>
  </w:footnote>
  <w:footnote w:type="continuationNotice" w:id="1">
    <w:p w14:paraId="5021F172" w14:textId="77777777" w:rsidR="009E3F5A" w:rsidRDefault="009E3F5A"/>
  </w:footnote>
  <w:footnote w:id="2">
    <w:p w14:paraId="79AE3BCB" w14:textId="3C7E8499" w:rsidR="002638F4" w:rsidRDefault="002638F4" w:rsidP="002638F4">
      <w:pPr>
        <w:pStyle w:val="Textonotapie"/>
        <w:ind w:firstLine="708"/>
        <w:jc w:val="both"/>
        <w:rPr>
          <w:rFonts w:ascii="Arial" w:hAnsi="Arial" w:cs="Arial"/>
          <w:sz w:val="19"/>
          <w:szCs w:val="19"/>
          <w:lang w:val="es-CO"/>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CO"/>
        </w:rPr>
        <w:t>La Agencia también se ha pronunciado sobre los factores de desempate introducidos por el artículo 35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y C-102 del 25 de marzo de 2020.</w:t>
      </w:r>
    </w:p>
    <w:p w14:paraId="5CB1B294" w14:textId="77777777" w:rsidR="00963A67" w:rsidRDefault="00963A67" w:rsidP="002638F4">
      <w:pPr>
        <w:pStyle w:val="Textonotapie"/>
        <w:ind w:firstLine="708"/>
        <w:jc w:val="both"/>
        <w:rPr>
          <w:rFonts w:ascii="Arial" w:hAnsi="Arial" w:cs="Arial"/>
          <w:sz w:val="19"/>
          <w:szCs w:val="19"/>
          <w:lang w:val="es-CO"/>
        </w:rPr>
      </w:pPr>
    </w:p>
  </w:footnote>
  <w:footnote w:id="3">
    <w:p w14:paraId="069AF3A0" w14:textId="77777777" w:rsidR="00E85980" w:rsidRPr="009E020C" w:rsidRDefault="00E85980" w:rsidP="00E85980">
      <w:pPr>
        <w:pStyle w:val="Car1"/>
        <w:ind w:firstLine="709"/>
        <w:jc w:val="both"/>
        <w:rPr>
          <w:rFonts w:ascii="Arial" w:hAnsi="Arial" w:cs="Arial"/>
          <w:sz w:val="19"/>
          <w:szCs w:val="19"/>
          <w:lang w:val="es-ES"/>
        </w:rPr>
      </w:pPr>
      <w:r w:rsidRPr="009E020C">
        <w:rPr>
          <w:rStyle w:val="Refdenotaalpie"/>
          <w:rFonts w:ascii="Arial" w:hAnsi="Arial" w:cs="Arial"/>
          <w:sz w:val="19"/>
          <w:szCs w:val="19"/>
        </w:rPr>
        <w:footnoteRef/>
      </w:r>
      <w:r w:rsidRPr="009E020C">
        <w:rPr>
          <w:rFonts w:ascii="Arial" w:hAnsi="Arial" w:cs="Arial"/>
          <w:sz w:val="19"/>
          <w:szCs w:val="19"/>
        </w:rPr>
        <w:t xml:space="preserve"> </w:t>
      </w:r>
      <w:r w:rsidRPr="009E020C">
        <w:rPr>
          <w:rFonts w:ascii="Arial" w:hAnsi="Arial" w:cs="Arial"/>
          <w:sz w:val="19"/>
          <w:szCs w:val="19"/>
          <w:lang w:val="es-ES"/>
        </w:rPr>
        <w:t>Consejo de Estado. Sección Tercera. Sentencia del 29 de octubre de 2.015. Consejera Ponente: Stella Conto Díaz Del Castillo. Expediente: 31.918.</w:t>
      </w:r>
    </w:p>
    <w:p w14:paraId="0180FFC5" w14:textId="77777777" w:rsidR="00E85980" w:rsidRPr="009E020C" w:rsidRDefault="00E85980" w:rsidP="00E85980">
      <w:pPr>
        <w:pStyle w:val="Car1"/>
        <w:ind w:firstLine="709"/>
        <w:jc w:val="both"/>
        <w:rPr>
          <w:rFonts w:ascii="Arial" w:hAnsi="Arial" w:cs="Arial"/>
          <w:sz w:val="19"/>
          <w:szCs w:val="19"/>
          <w:lang w:val="es-ES"/>
        </w:rPr>
      </w:pPr>
    </w:p>
  </w:footnote>
  <w:footnote w:id="4">
    <w:p w14:paraId="4CE0D659" w14:textId="77777777" w:rsidR="00E85980" w:rsidRPr="009E020C" w:rsidRDefault="00E85980" w:rsidP="00E85980">
      <w:pPr>
        <w:pStyle w:val="Car1"/>
        <w:ind w:firstLine="709"/>
        <w:jc w:val="both"/>
        <w:rPr>
          <w:rFonts w:ascii="Arial" w:hAnsi="Arial" w:cs="Arial"/>
          <w:sz w:val="19"/>
          <w:szCs w:val="19"/>
          <w:lang w:val="es-ES"/>
        </w:rPr>
      </w:pPr>
      <w:r w:rsidRPr="009E020C">
        <w:rPr>
          <w:rStyle w:val="Refdenotaalpie"/>
          <w:rFonts w:ascii="Arial" w:hAnsi="Arial" w:cs="Arial"/>
          <w:sz w:val="19"/>
          <w:szCs w:val="19"/>
        </w:rPr>
        <w:footnoteRef/>
      </w:r>
      <w:r w:rsidRPr="009E020C">
        <w:rPr>
          <w:rFonts w:ascii="Arial" w:hAnsi="Arial" w:cs="Arial"/>
          <w:sz w:val="19"/>
          <w:szCs w:val="19"/>
        </w:rPr>
        <w:t xml:space="preserve"> </w:t>
      </w:r>
      <w:r w:rsidRPr="009E020C">
        <w:rPr>
          <w:rFonts w:ascii="Arial" w:hAnsi="Arial" w:cs="Arial"/>
          <w:sz w:val="19"/>
          <w:szCs w:val="19"/>
          <w:lang w:val="es-ES"/>
        </w:rPr>
        <w:t>Corte Constitucional. Sentencia T-684A del 14 de septiembre de 2011. Magistrado Ponente: Mauricio González Cuervo.</w:t>
      </w:r>
    </w:p>
    <w:p w14:paraId="688BED7F" w14:textId="77777777" w:rsidR="00E85980" w:rsidRPr="009E020C" w:rsidRDefault="00E85980" w:rsidP="00E85980">
      <w:pPr>
        <w:pStyle w:val="Car1"/>
        <w:ind w:firstLine="709"/>
        <w:jc w:val="both"/>
        <w:rPr>
          <w:rFonts w:ascii="Arial" w:hAnsi="Arial" w:cs="Arial"/>
          <w:sz w:val="19"/>
          <w:szCs w:val="19"/>
          <w:lang w:val="es-ES"/>
        </w:rPr>
      </w:pPr>
    </w:p>
  </w:footnote>
  <w:footnote w:id="5">
    <w:p w14:paraId="5B230C48" w14:textId="77777777" w:rsidR="00E85980" w:rsidRPr="009E020C" w:rsidRDefault="00E85980" w:rsidP="00E85980">
      <w:pPr>
        <w:pStyle w:val="Car1"/>
        <w:ind w:firstLine="709"/>
        <w:jc w:val="both"/>
        <w:rPr>
          <w:rFonts w:ascii="Arial" w:hAnsi="Arial" w:cs="Arial"/>
          <w:sz w:val="19"/>
          <w:szCs w:val="19"/>
          <w:lang w:val="es-ES"/>
        </w:rPr>
      </w:pPr>
      <w:r w:rsidRPr="009E020C">
        <w:rPr>
          <w:rStyle w:val="Refdenotaalpie"/>
          <w:rFonts w:ascii="Arial" w:hAnsi="Arial" w:cs="Arial"/>
          <w:sz w:val="19"/>
          <w:szCs w:val="19"/>
        </w:rPr>
        <w:footnoteRef/>
      </w:r>
      <w:r w:rsidRPr="009E020C">
        <w:rPr>
          <w:rFonts w:ascii="Arial" w:hAnsi="Arial" w:cs="Arial"/>
          <w:sz w:val="19"/>
          <w:szCs w:val="19"/>
        </w:rPr>
        <w:t xml:space="preserve"> </w:t>
      </w:r>
      <w:r w:rsidRPr="009E020C">
        <w:rPr>
          <w:rFonts w:ascii="Arial" w:hAnsi="Arial" w:cs="Arial"/>
          <w:sz w:val="19"/>
          <w:szCs w:val="19"/>
          <w:lang w:val="es-ES"/>
        </w:rPr>
        <w:t xml:space="preserve">Consejo de Estado. Sección Tercera. Sentencia del 6 de diciembre de 2.013. Consejera Ponente: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6A9B1C9E" w14:textId="77777777" w:rsidR="00E85980" w:rsidRPr="009E020C" w:rsidRDefault="00E85980" w:rsidP="00E85980">
      <w:pPr>
        <w:pStyle w:val="Car1"/>
        <w:ind w:firstLine="709"/>
        <w:jc w:val="both"/>
        <w:rPr>
          <w:rFonts w:ascii="Arial" w:hAnsi="Arial" w:cs="Arial"/>
          <w:sz w:val="19"/>
          <w:szCs w:val="19"/>
          <w:lang w:val="es-CO"/>
        </w:rPr>
      </w:pPr>
    </w:p>
  </w:footnote>
  <w:footnote w:id="6">
    <w:p w14:paraId="5E7BECF0" w14:textId="77777777" w:rsidR="00AC6B7E" w:rsidRPr="008640C4" w:rsidRDefault="00AC6B7E" w:rsidP="00AC6B7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2 al 29.</w:t>
      </w:r>
    </w:p>
    <w:p w14:paraId="533DAD2B" w14:textId="77777777" w:rsidR="00AC6B7E" w:rsidRPr="008640C4" w:rsidRDefault="00AC6B7E" w:rsidP="00AC6B7E">
      <w:pPr>
        <w:pStyle w:val="Textonotapie"/>
        <w:ind w:firstLine="709"/>
        <w:jc w:val="both"/>
        <w:rPr>
          <w:rFonts w:ascii="Arial" w:hAnsi="Arial" w:cs="Arial"/>
          <w:sz w:val="19"/>
          <w:szCs w:val="19"/>
          <w:lang w:val="es-ES"/>
        </w:rPr>
      </w:pPr>
    </w:p>
  </w:footnote>
  <w:footnote w:id="7">
    <w:p w14:paraId="00293FBD" w14:textId="77777777" w:rsidR="00AC6B7E" w:rsidRPr="008640C4" w:rsidRDefault="00AC6B7E" w:rsidP="00AC6B7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30 al 36.</w:t>
      </w:r>
    </w:p>
    <w:p w14:paraId="497EE577" w14:textId="77777777" w:rsidR="00AC6B7E" w:rsidRPr="008640C4" w:rsidRDefault="00AC6B7E" w:rsidP="00AC6B7E">
      <w:pPr>
        <w:pStyle w:val="Textonotapie"/>
        <w:ind w:firstLine="709"/>
        <w:jc w:val="both"/>
        <w:rPr>
          <w:rFonts w:ascii="Arial" w:hAnsi="Arial" w:cs="Arial"/>
          <w:sz w:val="19"/>
          <w:szCs w:val="19"/>
          <w:lang w:val="es-ES"/>
        </w:rPr>
      </w:pPr>
    </w:p>
  </w:footnote>
  <w:footnote w:id="8">
    <w:p w14:paraId="2435DBBA" w14:textId="77777777" w:rsidR="00AC6B7E" w:rsidRPr="008640C4" w:rsidRDefault="00AC6B7E" w:rsidP="00AC6B7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37 al 45.</w:t>
      </w:r>
    </w:p>
    <w:p w14:paraId="413B3A19" w14:textId="77777777" w:rsidR="00AC6B7E" w:rsidRPr="008640C4" w:rsidRDefault="00AC6B7E" w:rsidP="00AC6B7E">
      <w:pPr>
        <w:pStyle w:val="Textonotapie"/>
        <w:ind w:firstLine="709"/>
        <w:jc w:val="both"/>
        <w:rPr>
          <w:rFonts w:ascii="Arial" w:hAnsi="Arial" w:cs="Arial"/>
          <w:sz w:val="19"/>
          <w:szCs w:val="19"/>
          <w:lang w:val="es-ES"/>
        </w:rPr>
      </w:pPr>
    </w:p>
  </w:footnote>
  <w:footnote w:id="9">
    <w:p w14:paraId="1830AE85" w14:textId="77777777" w:rsidR="00AC6B7E" w:rsidRPr="008640C4" w:rsidRDefault="00AC6B7E" w:rsidP="00AC6B7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46 al 73.</w:t>
      </w:r>
    </w:p>
    <w:p w14:paraId="1EA3EB33" w14:textId="77777777" w:rsidR="00AC6B7E" w:rsidRPr="008640C4" w:rsidRDefault="00AC6B7E" w:rsidP="00AC6B7E">
      <w:pPr>
        <w:pStyle w:val="Textonotapie"/>
        <w:ind w:firstLine="709"/>
        <w:jc w:val="both"/>
        <w:rPr>
          <w:rFonts w:ascii="Arial" w:hAnsi="Arial" w:cs="Arial"/>
          <w:sz w:val="19"/>
          <w:szCs w:val="19"/>
          <w:lang w:val="es-ES"/>
        </w:rPr>
      </w:pPr>
    </w:p>
  </w:footnote>
  <w:footnote w:id="10">
    <w:p w14:paraId="1182D6ED" w14:textId="77777777" w:rsidR="00AC6B7E" w:rsidRPr="008640C4" w:rsidRDefault="00AC6B7E" w:rsidP="00AC6B7E">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74 al 83.</w:t>
      </w:r>
    </w:p>
    <w:p w14:paraId="637BFBF1" w14:textId="77777777" w:rsidR="00AC6B7E" w:rsidRPr="008640C4" w:rsidRDefault="00AC6B7E" w:rsidP="00AC6B7E">
      <w:pPr>
        <w:pStyle w:val="Textonotapie"/>
        <w:ind w:firstLine="709"/>
        <w:jc w:val="both"/>
        <w:rPr>
          <w:rFonts w:ascii="Arial" w:hAnsi="Arial" w:cs="Arial"/>
          <w:sz w:val="19"/>
          <w:szCs w:val="19"/>
          <w:lang w:val="es-ES"/>
        </w:rPr>
      </w:pPr>
    </w:p>
  </w:footnote>
  <w:footnote w:id="11">
    <w:p w14:paraId="267D2F15" w14:textId="77777777" w:rsidR="00AC6B7E" w:rsidRPr="001F5C3E" w:rsidRDefault="00AC6B7E" w:rsidP="00AC6B7E">
      <w:pPr>
        <w:pStyle w:val="Textonotapie"/>
        <w:ind w:firstLine="708"/>
        <w:jc w:val="both"/>
        <w:rPr>
          <w:rFonts w:ascii="Arial" w:hAnsi="Arial" w:cs="Arial"/>
          <w:bCs/>
          <w:color w:val="000000" w:themeColor="text1"/>
          <w:sz w:val="19"/>
          <w:szCs w:val="19"/>
        </w:rPr>
      </w:pPr>
      <w:r w:rsidRPr="001F5C3E">
        <w:rPr>
          <w:rStyle w:val="Refdenotaalpie"/>
          <w:rFonts w:ascii="Arial" w:hAnsi="Arial" w:cs="Arial"/>
          <w:color w:val="000000" w:themeColor="text1"/>
          <w:sz w:val="19"/>
          <w:szCs w:val="19"/>
        </w:rPr>
        <w:footnoteRef/>
      </w:r>
      <w:r w:rsidRPr="001F5C3E">
        <w:rPr>
          <w:rFonts w:ascii="Arial" w:hAnsi="Arial" w:cs="Arial"/>
          <w:color w:val="000000" w:themeColor="text1"/>
          <w:sz w:val="19"/>
          <w:szCs w:val="19"/>
        </w:rPr>
        <w:t xml:space="preserve"> </w:t>
      </w:r>
      <w:r w:rsidRPr="001F5C3E">
        <w:rPr>
          <w:rFonts w:ascii="Arial" w:hAnsi="Arial" w:cs="Arial"/>
          <w:bCs/>
          <w:color w:val="000000" w:themeColor="text1"/>
          <w:sz w:val="19"/>
          <w:szCs w:val="19"/>
        </w:rPr>
        <w:t xml:space="preserve">Esta política se justifica en la medida que: «Cuando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 (Cfr. </w:t>
      </w:r>
      <w:r w:rsidRPr="001F5C3E">
        <w:rPr>
          <w:rFonts w:ascii="Arial" w:hAnsi="Arial" w:cs="Arial"/>
          <w:color w:val="000000" w:themeColor="text1"/>
          <w:sz w:val="19"/>
          <w:szCs w:val="19"/>
        </w:rPr>
        <w:t xml:space="preserve">CONSEJO NACIONAL DE POLÍTICA ECONÓMICA Y SOCIAL. Documento 3956 del 8 de enero de 2019: «Política de formalización empresarial». Archivo consultado el 8 de febrero de 2021 en la página web </w:t>
      </w:r>
      <w:hyperlink r:id="rId1" w:history="1">
        <w:r w:rsidRPr="001F5C3E">
          <w:rPr>
            <w:rStyle w:val="Hipervnculo"/>
            <w:rFonts w:ascii="Arial" w:hAnsi="Arial" w:cs="Arial"/>
            <w:color w:val="000000" w:themeColor="text1"/>
            <w:sz w:val="19"/>
            <w:szCs w:val="19"/>
          </w:rPr>
          <w:t>https://colaboracion.dnp.gov.co/CDT/Conpes/Econ%C3%B3micos/3956.pdf</w:t>
        </w:r>
      </w:hyperlink>
      <w:r w:rsidRPr="001F5C3E">
        <w:rPr>
          <w:rFonts w:ascii="Arial" w:hAnsi="Arial" w:cs="Arial"/>
          <w:color w:val="000000" w:themeColor="text1"/>
          <w:sz w:val="19"/>
          <w:szCs w:val="19"/>
        </w:rPr>
        <w:t xml:space="preserve">).  </w:t>
      </w:r>
    </w:p>
    <w:p w14:paraId="2B840D00" w14:textId="77777777" w:rsidR="00AC6B7E" w:rsidRPr="00AA2812" w:rsidRDefault="00AC6B7E" w:rsidP="00AC6B7E">
      <w:pPr>
        <w:pStyle w:val="Textonotapie"/>
        <w:ind w:firstLine="708"/>
        <w:jc w:val="both"/>
        <w:rPr>
          <w:rFonts w:ascii="Arial" w:hAnsi="Arial" w:cs="Arial"/>
          <w:sz w:val="19"/>
          <w:szCs w:val="19"/>
          <w:lang w:val="es-ES"/>
        </w:rPr>
      </w:pPr>
    </w:p>
  </w:footnote>
  <w:footnote w:id="12">
    <w:p w14:paraId="03F380B6" w14:textId="77777777" w:rsidR="00AC6B7E" w:rsidRPr="00A1541C" w:rsidRDefault="00AC6B7E" w:rsidP="00AC6B7E">
      <w:pPr>
        <w:pStyle w:val="Textonotapie"/>
        <w:ind w:firstLine="708"/>
        <w:jc w:val="both"/>
        <w:rPr>
          <w:rFonts w:ascii="Arial" w:hAnsi="Arial" w:cs="Arial"/>
          <w:sz w:val="19"/>
          <w:szCs w:val="19"/>
          <w:lang w:val="es-ES"/>
        </w:rPr>
      </w:pPr>
      <w:r w:rsidRPr="00A1541C">
        <w:rPr>
          <w:rStyle w:val="Refdenotaalpie"/>
          <w:rFonts w:ascii="Arial" w:hAnsi="Arial" w:cs="Arial"/>
          <w:sz w:val="19"/>
          <w:szCs w:val="19"/>
        </w:rPr>
        <w:footnoteRef/>
      </w:r>
      <w:r>
        <w:rPr>
          <w:rFonts w:ascii="Arial" w:hAnsi="Arial" w:cs="Arial"/>
          <w:sz w:val="19"/>
          <w:szCs w:val="19"/>
        </w:rPr>
        <w:t xml:space="preserve"> </w:t>
      </w:r>
      <w:bookmarkStart w:id="10" w:name="_Hlk63862868"/>
      <w:r>
        <w:rPr>
          <w:rFonts w:ascii="Arial" w:hAnsi="Arial" w:cs="Arial"/>
          <w:sz w:val="19"/>
          <w:szCs w:val="19"/>
        </w:rPr>
        <w:t xml:space="preserve">CONGRESO DE LA REPÚBLICA. Gaceta No. 670 del 11 de agosto de 2020. Exposición de motivos del Proyecto de Ley No. 122 de 2020 Cámara. p. 13. </w:t>
      </w:r>
      <w:bookmarkEnd w:id="10"/>
    </w:p>
  </w:footnote>
  <w:footnote w:id="13">
    <w:p w14:paraId="779183E9" w14:textId="6B718361" w:rsidR="00B97B5E" w:rsidRPr="00343B9E" w:rsidRDefault="00B97B5E" w:rsidP="00343B9E">
      <w:pPr>
        <w:pStyle w:val="Textonotapie"/>
        <w:ind w:firstLine="708"/>
        <w:jc w:val="both"/>
        <w:rPr>
          <w:rFonts w:ascii="Arial" w:hAnsi="Arial" w:cs="Arial"/>
          <w:sz w:val="19"/>
          <w:szCs w:val="19"/>
          <w:lang w:val="es-CO"/>
        </w:rPr>
      </w:pPr>
      <w:r w:rsidRPr="00343B9E">
        <w:rPr>
          <w:rStyle w:val="Refdenotaalpie"/>
          <w:rFonts w:ascii="Arial" w:hAnsi="Arial" w:cs="Arial"/>
          <w:sz w:val="19"/>
          <w:szCs w:val="19"/>
        </w:rPr>
        <w:footnoteRef/>
      </w:r>
      <w:r w:rsidR="00343B9E" w:rsidRPr="00343B9E">
        <w:rPr>
          <w:rFonts w:ascii="Arial" w:hAnsi="Arial" w:cs="Arial"/>
          <w:sz w:val="19"/>
          <w:szCs w:val="19"/>
        </w:rPr>
        <w:t xml:space="preserve"> </w:t>
      </w:r>
      <w:r w:rsidR="00343B9E" w:rsidRPr="00343B9E">
        <w:rPr>
          <w:rFonts w:ascii="Arial" w:hAnsi="Arial" w:cs="Arial"/>
          <w:sz w:val="19"/>
          <w:szCs w:val="19"/>
        </w:rPr>
        <w:t>Al respecto los conceptos: C-007 del 16 de febrero de 2021, C-138 del 7 de abril de 2021, C-164 del 14 de abril de 2021, C-166 del 23 de abril de 2021, C-181 del 28 de abril de 2021, C-192 del 29 de abril de 2021, C-100 del 3 de mayo de 2021, C-195 del 4 de mayo de 2021 y C-198 del 5 de mayo de 2021, también disponibles en la plataforma de relatoría de esta Agencia.</w:t>
      </w:r>
    </w:p>
  </w:footnote>
  <w:footnote w:id="14">
    <w:p w14:paraId="690EE671" w14:textId="22974CEC" w:rsidR="007B1929" w:rsidRPr="007B1929" w:rsidRDefault="007B1929" w:rsidP="003D41B1">
      <w:pPr>
        <w:pStyle w:val="NormalWeb"/>
        <w:spacing w:before="0" w:beforeAutospacing="0" w:after="0" w:afterAutospacing="0"/>
        <w:ind w:firstLine="708"/>
        <w:jc w:val="both"/>
        <w:rPr>
          <w:rFonts w:ascii="Arial" w:hAnsi="Arial" w:cs="Arial"/>
          <w:sz w:val="19"/>
          <w:szCs w:val="19"/>
        </w:rPr>
      </w:pPr>
      <w:r w:rsidRPr="003D41B1">
        <w:rPr>
          <w:rStyle w:val="Refdenotaalpie"/>
          <w:rFonts w:ascii="Arial" w:hAnsi="Arial" w:cs="Arial"/>
          <w:sz w:val="19"/>
          <w:szCs w:val="19"/>
        </w:rPr>
        <w:footnoteRef/>
      </w:r>
      <w:r w:rsidRPr="003D41B1">
        <w:rPr>
          <w:rFonts w:ascii="Arial" w:hAnsi="Arial" w:cs="Arial"/>
          <w:sz w:val="19"/>
          <w:szCs w:val="19"/>
        </w:rPr>
        <w:t xml:space="preserve"> </w:t>
      </w:r>
      <w:r w:rsidRPr="003D41B1">
        <w:rPr>
          <w:rFonts w:ascii="Arial" w:hAnsi="Arial" w:cs="Arial"/>
          <w:sz w:val="19"/>
          <w:szCs w:val="19"/>
        </w:rPr>
        <w:t xml:space="preserve">Ley 1150 de 2007: </w:t>
      </w:r>
      <w:r w:rsidRPr="007B1929">
        <w:rPr>
          <w:rFonts w:ascii="Arial" w:eastAsia="Calibri" w:hAnsi="Arial" w:cs="Arial"/>
          <w:bCs/>
          <w:sz w:val="19"/>
          <w:szCs w:val="19"/>
        </w:rPr>
        <w:t>«</w:t>
      </w:r>
      <w:r w:rsidRPr="007B1929">
        <w:rPr>
          <w:rFonts w:ascii="Arial" w:hAnsi="Arial" w:cs="Arial"/>
          <w:sz w:val="19"/>
          <w:szCs w:val="19"/>
        </w:rPr>
        <w:t>Artículo 5°.</w:t>
      </w:r>
      <w:r w:rsidRPr="007B1929">
        <w:rPr>
          <w:rFonts w:ascii="Arial" w:hAnsi="Arial" w:cs="Arial"/>
          <w:i/>
          <w:iCs/>
          <w:sz w:val="19"/>
          <w:szCs w:val="19"/>
        </w:rPr>
        <w:t xml:space="preserve"> </w:t>
      </w:r>
      <w:r w:rsidRPr="007B1929">
        <w:rPr>
          <w:rFonts w:ascii="Arial" w:hAnsi="Arial" w:cs="Arial"/>
          <w:sz w:val="19"/>
          <w:szCs w:val="19"/>
        </w:rPr>
        <w:t>De la selección objetiva.</w:t>
      </w:r>
      <w:r w:rsidRPr="007B1929">
        <w:rPr>
          <w:rFonts w:ascii="Arial" w:hAnsi="Arial" w:cs="Arial"/>
          <w:i/>
          <w:iCs/>
          <w:sz w:val="19"/>
          <w:szCs w:val="19"/>
        </w:rPr>
        <w:t> </w:t>
      </w:r>
      <w:r w:rsidRPr="007B1929">
        <w:rPr>
          <w:rFonts w:ascii="Arial" w:hAnsi="Arial" w:cs="Arial"/>
          <w:sz w:val="19"/>
          <w:szCs w:val="19"/>
        </w:rPr>
        <w:t>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 </w:t>
      </w:r>
    </w:p>
    <w:p w14:paraId="7A53366A" w14:textId="0F96ADD4"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 de la presente ley, de acuerdo con lo cual se expedirá la respectiva certificación. </w:t>
      </w:r>
    </w:p>
    <w:p w14:paraId="02825693" w14:textId="58999814"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2.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  </w:t>
      </w:r>
    </w:p>
    <w:p w14:paraId="7AC87B12" w14:textId="206DB77A"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En los procesos de selección en los que se tenga en cuenta los factores técnicos y económicos, la oferta más ventajosa será la que resulte de aplicar alguna de las siguientes alternativas:  </w:t>
      </w:r>
    </w:p>
    <w:p w14:paraId="755DB24D" w14:textId="6A14370E"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a) La ponderación de los elementos de calidad y precio soportados en puntajes o fórmulas señaladas en el pliego de condiciones; o  </w:t>
      </w:r>
    </w:p>
    <w:p w14:paraId="34A8DFCF" w14:textId="528A84F1"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b) La ponderación de los elementos de calidad y precio que representen la mejor relación de costo-beneficio para la entidad.  </w:t>
      </w:r>
    </w:p>
    <w:p w14:paraId="6052EDD5" w14:textId="2E3A1BA4"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 </w:t>
      </w:r>
    </w:p>
    <w:p w14:paraId="5085CFA8" w14:textId="5422DBD3"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 </w:t>
      </w:r>
    </w:p>
    <w:p w14:paraId="1196C83F" w14:textId="432DDCA9"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En ningún caso se podrá incluir el precio, como factor de escogencia para la selección de consultores. </w:t>
      </w:r>
    </w:p>
    <w:p w14:paraId="156073C3" w14:textId="03AADB59"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Parágrafo 1°.</w:t>
      </w:r>
      <w:r w:rsidRPr="007B1929">
        <w:rPr>
          <w:rFonts w:ascii="Arial" w:hAnsi="Arial" w:cs="Arial"/>
          <w:b/>
          <w:bCs/>
          <w:sz w:val="19"/>
          <w:szCs w:val="19"/>
          <w:lang w:eastAsia="es-CO"/>
        </w:rPr>
        <w:t> </w:t>
      </w:r>
      <w:r w:rsidRPr="007B1929">
        <w:rPr>
          <w:rFonts w:ascii="Arial" w:hAnsi="Arial" w:cs="Arial"/>
          <w:sz w:val="19"/>
          <w:szCs w:val="19"/>
          <w:lang w:eastAsia="es-CO"/>
        </w:rPr>
        <w:t>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14:paraId="3045B0B2" w14:textId="6C2BFCD3" w:rsidR="007B1929" w:rsidRPr="007B1929" w:rsidRDefault="007B1929" w:rsidP="003D41B1">
      <w:pPr>
        <w:ind w:firstLine="708"/>
        <w:jc w:val="both"/>
        <w:rPr>
          <w:rFonts w:ascii="Arial" w:hAnsi="Arial" w:cs="Arial"/>
          <w:sz w:val="19"/>
          <w:szCs w:val="19"/>
          <w:lang w:eastAsia="es-CO"/>
        </w:rPr>
      </w:pPr>
      <w:r w:rsidRPr="007B1929">
        <w:rPr>
          <w:rFonts w:ascii="Arial" w:eastAsia="Calibri" w:hAnsi="Arial" w:cs="Arial"/>
          <w:bCs/>
          <w:sz w:val="19"/>
          <w:szCs w:val="19"/>
        </w:rPr>
        <w:t>»</w:t>
      </w:r>
      <w:r w:rsidRPr="007B1929">
        <w:rPr>
          <w:rFonts w:ascii="Arial" w:hAnsi="Arial" w:cs="Arial"/>
          <w:sz w:val="19"/>
          <w:szCs w:val="19"/>
          <w:lang w:eastAsia="es-CO"/>
        </w:rPr>
        <w:t>Durante el término otorgado para subsanar las ofertas, los proponentes no podrán acreditar circunstancias ocurridas con posterioridad al cierre del proceso. </w:t>
      </w:r>
    </w:p>
    <w:p w14:paraId="7CBFAA4B" w14:textId="1E9F9BE2" w:rsidR="007B1929" w:rsidRPr="007B1929" w:rsidRDefault="007B1929" w:rsidP="003D41B1">
      <w:pPr>
        <w:jc w:val="both"/>
        <w:rPr>
          <w:rFonts w:ascii="Arial" w:hAnsi="Arial" w:cs="Arial"/>
          <w:sz w:val="19"/>
          <w:szCs w:val="19"/>
          <w:lang w:eastAsia="es-CO"/>
        </w:rPr>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Parágrafo 2°. Las certificaciones de sistemas de gestión de calidad no serán objeto de calificación, ni podrán establecerse como documento habilitante para participar en licitaciones o concursos. </w:t>
      </w:r>
    </w:p>
    <w:p w14:paraId="5FF50D3C" w14:textId="7E20C0B5" w:rsidR="007B1929" w:rsidRPr="007B1929" w:rsidRDefault="007B1929" w:rsidP="003D41B1">
      <w:pPr>
        <w:ind w:firstLine="708"/>
        <w:jc w:val="both"/>
        <w:rPr>
          <w:rFonts w:ascii="Arial" w:hAnsi="Arial" w:cs="Arial"/>
          <w:sz w:val="19"/>
          <w:szCs w:val="19"/>
          <w:lang w:eastAsia="es-CO"/>
        </w:rPr>
      </w:pPr>
      <w:r w:rsidRPr="007B1929">
        <w:rPr>
          <w:rFonts w:ascii="Arial" w:eastAsia="Calibri" w:hAnsi="Arial" w:cs="Arial"/>
          <w:bCs/>
          <w:sz w:val="19"/>
          <w:szCs w:val="19"/>
        </w:rPr>
        <w:t>»</w:t>
      </w:r>
      <w:r w:rsidRPr="007B1929">
        <w:rPr>
          <w:rFonts w:ascii="Arial" w:hAnsi="Arial" w:cs="Arial"/>
          <w:sz w:val="19"/>
          <w:szCs w:val="19"/>
          <w:lang w:eastAsia="es-CO"/>
        </w:rPr>
        <w:t>Parágrafo 3°. La no entrega de la garantía de seriedad junto con la propuesta no será subsanable y será causal de rechazo de la misma. </w:t>
      </w:r>
    </w:p>
    <w:p w14:paraId="570998BA" w14:textId="57B60D15" w:rsidR="007B1929" w:rsidRPr="007B1929" w:rsidRDefault="007B1929" w:rsidP="003D41B1">
      <w:pPr>
        <w:ind w:firstLine="708"/>
        <w:jc w:val="both"/>
        <w:rPr>
          <w:rFonts w:ascii="Arial" w:hAnsi="Arial" w:cs="Arial"/>
          <w:sz w:val="19"/>
          <w:szCs w:val="19"/>
          <w:lang w:eastAsia="es-CO"/>
        </w:rPr>
      </w:pPr>
      <w:r w:rsidRPr="007B1929">
        <w:rPr>
          <w:rFonts w:ascii="Arial" w:eastAsia="Calibri" w:hAnsi="Arial" w:cs="Arial"/>
          <w:bCs/>
          <w:sz w:val="19"/>
          <w:szCs w:val="19"/>
        </w:rPr>
        <w:t>»</w:t>
      </w:r>
      <w:r w:rsidRPr="007B1929">
        <w:rPr>
          <w:rFonts w:ascii="Arial" w:hAnsi="Arial" w:cs="Arial"/>
          <w:sz w:val="19"/>
          <w:szCs w:val="19"/>
          <w:lang w:eastAsia="es-CO"/>
        </w:rPr>
        <w:t>Parágrafo 4°.</w:t>
      </w:r>
      <w:r w:rsidRPr="007B1929">
        <w:rPr>
          <w:rFonts w:ascii="Arial" w:hAnsi="Arial" w:cs="Arial"/>
          <w:b/>
          <w:bCs/>
          <w:sz w:val="19"/>
          <w:szCs w:val="19"/>
          <w:lang w:eastAsia="es-CO"/>
        </w:rPr>
        <w:t> </w:t>
      </w:r>
      <w:r w:rsidRPr="007B1929">
        <w:rPr>
          <w:rFonts w:ascii="Arial" w:hAnsi="Arial" w:cs="Arial"/>
          <w:sz w:val="19"/>
          <w:szCs w:val="19"/>
          <w:lang w:eastAsia="es-CO"/>
        </w:rPr>
        <w:t>En aquellos procesos de selección en los que se utilice el mecanismo de subasta, los documentos referentes a la futura contratación o al proponente, no necesarios para la comparación de las propuestas, deberán ser solicitados hasta el momento previo a su realización. </w:t>
      </w:r>
    </w:p>
    <w:p w14:paraId="0BB8761D" w14:textId="752C1B04" w:rsidR="007B1929" w:rsidRDefault="007B1929" w:rsidP="00681C78">
      <w:pPr>
        <w:jc w:val="both"/>
      </w:pPr>
      <w:r w:rsidRPr="007B1929">
        <w:rPr>
          <w:rFonts w:ascii="Arial" w:hAnsi="Arial" w:cs="Arial"/>
          <w:sz w:val="19"/>
          <w:szCs w:val="19"/>
          <w:lang w:eastAsia="es-CO"/>
        </w:rPr>
        <w:t>  </w:t>
      </w:r>
      <w:r w:rsidRPr="007B1929">
        <w:rPr>
          <w:rFonts w:ascii="Arial" w:hAnsi="Arial" w:cs="Arial"/>
          <w:sz w:val="19"/>
          <w:szCs w:val="19"/>
          <w:lang w:eastAsia="es-CO"/>
        </w:rPr>
        <w:tab/>
      </w:r>
      <w:r w:rsidRPr="007B1929">
        <w:rPr>
          <w:rFonts w:ascii="Arial" w:eastAsia="Calibri" w:hAnsi="Arial" w:cs="Arial"/>
          <w:bCs/>
          <w:sz w:val="19"/>
          <w:szCs w:val="19"/>
        </w:rPr>
        <w:t>»</w:t>
      </w:r>
      <w:r w:rsidRPr="007B1929">
        <w:rPr>
          <w:rFonts w:ascii="Arial" w:hAnsi="Arial" w:cs="Arial"/>
          <w:sz w:val="19"/>
          <w:szCs w:val="19"/>
          <w:lang w:eastAsia="es-CO"/>
        </w:rPr>
        <w:t>Parágrafo 5°. En los procesos de contratación, las entidades estatales deberán aceptar la experiencia adquirida por los proponentes a través de la ejecución de contratos con particulares</w:t>
      </w:r>
      <w:r w:rsidRPr="007B1929">
        <w:rPr>
          <w:rFonts w:ascii="Arial" w:eastAsia="Calibri" w:hAnsi="Arial" w:cs="Arial"/>
          <w:bCs/>
          <w:sz w:val="19"/>
          <w:szCs w:val="19"/>
        </w:rPr>
        <w:t>».</w:t>
      </w:r>
      <w:r>
        <w:t xml:space="preserve"> </w:t>
      </w:r>
    </w:p>
    <w:p w14:paraId="38156476" w14:textId="77777777" w:rsidR="00170D2F" w:rsidRPr="001679EF" w:rsidRDefault="00170D2F" w:rsidP="00681C78">
      <w:pPr>
        <w:jc w:val="both"/>
      </w:pPr>
    </w:p>
  </w:footnote>
  <w:footnote w:id="15">
    <w:p w14:paraId="2BF86794" w14:textId="73D886D5" w:rsidR="007B1929" w:rsidRDefault="007B1929" w:rsidP="002647FD">
      <w:pPr>
        <w:pStyle w:val="Textonotapie"/>
        <w:ind w:firstLine="708"/>
        <w:jc w:val="both"/>
        <w:rPr>
          <w:rFonts w:ascii="Arial" w:hAnsi="Arial" w:cs="Arial"/>
          <w:sz w:val="19"/>
          <w:szCs w:val="19"/>
          <w:lang w:val="es-CO"/>
        </w:rPr>
      </w:pPr>
      <w:r w:rsidRPr="00705806">
        <w:rPr>
          <w:rStyle w:val="Refdenotaalpie"/>
          <w:rFonts w:ascii="Arial" w:hAnsi="Arial" w:cs="Arial"/>
          <w:sz w:val="19"/>
          <w:szCs w:val="19"/>
        </w:rPr>
        <w:footnoteRef/>
      </w:r>
      <w:r w:rsidRPr="00705806">
        <w:rPr>
          <w:rFonts w:ascii="Arial" w:hAnsi="Arial" w:cs="Arial"/>
          <w:sz w:val="19"/>
          <w:szCs w:val="19"/>
        </w:rPr>
        <w:t xml:space="preserve"> </w:t>
      </w:r>
      <w:r w:rsidRPr="00705806">
        <w:rPr>
          <w:rFonts w:ascii="Arial" w:hAnsi="Arial" w:cs="Arial"/>
          <w:sz w:val="19"/>
          <w:szCs w:val="19"/>
          <w:lang w:val="es-CO"/>
        </w:rPr>
        <w:t>DÁVILA VINUEZA, Luis Guillermo. Régimen jurídico de la contratación estatal, Tercera edición, Legis Editores, 2016, Bogotá, pág. 355.</w:t>
      </w:r>
    </w:p>
    <w:p w14:paraId="54B981E7" w14:textId="77777777" w:rsidR="007B1929" w:rsidRPr="00705806" w:rsidRDefault="007B1929" w:rsidP="002647FD">
      <w:pPr>
        <w:pStyle w:val="Textonotapie"/>
        <w:ind w:firstLine="708"/>
        <w:jc w:val="both"/>
        <w:rPr>
          <w:rFonts w:ascii="Arial" w:hAnsi="Arial" w:cs="Arial"/>
          <w:sz w:val="19"/>
          <w:szCs w:val="19"/>
          <w:lang w:val="es-CO"/>
        </w:rPr>
      </w:pPr>
    </w:p>
  </w:footnote>
  <w:footnote w:id="16">
    <w:p w14:paraId="03DE0F17" w14:textId="28AE0037" w:rsidR="00212BC8" w:rsidRDefault="007B1929" w:rsidP="00E13AE1">
      <w:pPr>
        <w:pStyle w:val="Textonotapie"/>
        <w:ind w:firstLine="708"/>
        <w:jc w:val="both"/>
        <w:rPr>
          <w:rFonts w:ascii="Arial" w:eastAsia="Calibri" w:hAnsi="Arial" w:cs="Arial"/>
          <w:sz w:val="19"/>
          <w:szCs w:val="19"/>
          <w:lang w:val="es-ES_tradnl"/>
        </w:rPr>
      </w:pPr>
      <w:r w:rsidRPr="00420547">
        <w:rPr>
          <w:rStyle w:val="Refdenotaalpie"/>
          <w:rFonts w:ascii="Arial" w:hAnsi="Arial" w:cs="Arial"/>
          <w:sz w:val="19"/>
          <w:szCs w:val="19"/>
        </w:rPr>
        <w:footnoteRef/>
      </w:r>
      <w:r w:rsidRPr="00420547">
        <w:rPr>
          <w:rFonts w:ascii="Arial" w:hAnsi="Arial" w:cs="Arial"/>
          <w:sz w:val="19"/>
          <w:szCs w:val="19"/>
        </w:rPr>
        <w:t xml:space="preserve"> </w:t>
      </w:r>
      <w:r w:rsidRPr="007B1929">
        <w:rPr>
          <w:rFonts w:ascii="Arial" w:eastAsia="Calibri" w:hAnsi="Arial" w:cs="Arial"/>
          <w:sz w:val="19"/>
          <w:szCs w:val="19"/>
          <w:lang w:val="es-ES_tradnl"/>
        </w:rPr>
        <w:t>RODRÍGUEZ TAMAYO, Mauricio F. Evaluación y rechazo de ofertas en la Ley 80 de 1993. Primera edición, Editorial Librería Jurídica Sánchez, Medellín, 2016, págs. 110-111.</w:t>
      </w:r>
    </w:p>
    <w:p w14:paraId="364AF880" w14:textId="77777777" w:rsidR="00170D2F" w:rsidRPr="00420547" w:rsidRDefault="00170D2F" w:rsidP="00E13AE1">
      <w:pPr>
        <w:pStyle w:val="Textonotapie"/>
        <w:ind w:firstLine="708"/>
        <w:jc w:val="both"/>
        <w:rPr>
          <w:rFonts w:ascii="Arial" w:hAnsi="Arial" w:cs="Arial"/>
          <w:sz w:val="19"/>
          <w:szCs w:val="19"/>
          <w:lang w:val="es-CO"/>
        </w:rPr>
      </w:pPr>
    </w:p>
  </w:footnote>
  <w:footnote w:id="17">
    <w:p w14:paraId="38C229EE" w14:textId="2E82E09D" w:rsidR="007B1929" w:rsidRDefault="007B1929" w:rsidP="000C7648">
      <w:pPr>
        <w:pStyle w:val="Textonotapie"/>
        <w:ind w:firstLine="708"/>
        <w:jc w:val="both"/>
        <w:rPr>
          <w:rFonts w:ascii="Arial" w:hAnsi="Arial" w:cs="Arial"/>
          <w:sz w:val="19"/>
          <w:szCs w:val="19"/>
        </w:rPr>
      </w:pPr>
      <w:r w:rsidRPr="00705806">
        <w:rPr>
          <w:rStyle w:val="Refdenotaalpie"/>
          <w:rFonts w:ascii="Arial" w:hAnsi="Arial" w:cs="Arial"/>
          <w:sz w:val="19"/>
          <w:szCs w:val="19"/>
        </w:rPr>
        <w:footnoteRef/>
      </w:r>
      <w:r w:rsidRPr="00705806">
        <w:rPr>
          <w:rFonts w:ascii="Arial" w:hAnsi="Arial" w:cs="Arial"/>
          <w:sz w:val="19"/>
          <w:szCs w:val="19"/>
        </w:rPr>
        <w:t xml:space="preserve"> </w:t>
      </w:r>
      <w:r w:rsidRPr="00705806">
        <w:rPr>
          <w:rFonts w:ascii="Arial" w:hAnsi="Arial" w:cs="Arial"/>
          <w:sz w:val="19"/>
          <w:szCs w:val="19"/>
        </w:rPr>
        <w:t>EXPÓSITO VELEZ, Juan C., El deber de selección objetiva, en: Del contrato estatal a los sistemas de compras públicas, por COVILLA MARTINEZ Juan C. y LOZANO VILLEGAS Germán (Eds.). Universidad Externado de Colombia, Bogotá, 2019, págs. 118-184.</w:t>
      </w:r>
    </w:p>
    <w:p w14:paraId="6DEFBCD3" w14:textId="77777777" w:rsidR="007B1929" w:rsidRPr="00705806" w:rsidRDefault="007B1929" w:rsidP="000C7648">
      <w:pPr>
        <w:pStyle w:val="Textonotapie"/>
        <w:ind w:firstLine="708"/>
        <w:jc w:val="both"/>
        <w:rPr>
          <w:rFonts w:ascii="Arial" w:hAnsi="Arial" w:cs="Arial"/>
          <w:sz w:val="19"/>
          <w:szCs w:val="19"/>
          <w:lang w:val="es-CO"/>
        </w:rPr>
      </w:pPr>
    </w:p>
  </w:footnote>
  <w:footnote w:id="18">
    <w:p w14:paraId="167A5907" w14:textId="77777777" w:rsidR="007B1929" w:rsidRPr="00705806" w:rsidRDefault="007B1929" w:rsidP="00493870">
      <w:pPr>
        <w:pStyle w:val="Textonotapie"/>
        <w:ind w:firstLine="708"/>
        <w:rPr>
          <w:rFonts w:ascii="Arial" w:hAnsi="Arial" w:cs="Arial"/>
          <w:sz w:val="19"/>
          <w:szCs w:val="19"/>
          <w:lang w:val="es-CO"/>
        </w:rPr>
      </w:pPr>
      <w:r w:rsidRPr="00705806">
        <w:rPr>
          <w:rStyle w:val="Refdenotaalpie"/>
          <w:rFonts w:ascii="Arial" w:hAnsi="Arial" w:cs="Arial"/>
          <w:sz w:val="19"/>
          <w:szCs w:val="19"/>
        </w:rPr>
        <w:footnoteRef/>
      </w:r>
      <w:r w:rsidRPr="00705806">
        <w:rPr>
          <w:rFonts w:ascii="Arial" w:hAnsi="Arial" w:cs="Arial"/>
          <w:i/>
          <w:iCs/>
          <w:sz w:val="19"/>
          <w:szCs w:val="19"/>
        </w:rPr>
        <w:t xml:space="preserve"> </w:t>
      </w:r>
      <w:r w:rsidRPr="00705806">
        <w:rPr>
          <w:rFonts w:ascii="Arial" w:hAnsi="Arial" w:cs="Arial"/>
          <w:i/>
          <w:iCs/>
          <w:sz w:val="19"/>
          <w:szCs w:val="19"/>
          <w:lang w:val="es-CO"/>
        </w:rPr>
        <w:t>Ibídem.</w:t>
      </w:r>
    </w:p>
  </w:footnote>
  <w:footnote w:id="19">
    <w:p w14:paraId="740A1CFC" w14:textId="77777777" w:rsidR="007B1929" w:rsidRPr="00C93A42" w:rsidRDefault="007B1929" w:rsidP="000E3965">
      <w:pPr>
        <w:ind w:firstLine="708"/>
        <w:jc w:val="both"/>
        <w:rPr>
          <w:rFonts w:ascii="Arial" w:hAnsi="Arial" w:cs="Arial"/>
          <w:sz w:val="19"/>
          <w:szCs w:val="19"/>
          <w:lang w:eastAsia="es-CO"/>
        </w:rPr>
      </w:pPr>
      <w:r w:rsidRPr="00C93A42">
        <w:rPr>
          <w:rStyle w:val="Refdenotaalpie"/>
          <w:rFonts w:ascii="Arial" w:hAnsi="Arial" w:cs="Arial"/>
          <w:sz w:val="19"/>
          <w:szCs w:val="19"/>
        </w:rPr>
        <w:footnoteRef/>
      </w:r>
      <w:r w:rsidRPr="00C93A42">
        <w:rPr>
          <w:rFonts w:ascii="Arial" w:hAnsi="Arial" w:cs="Arial"/>
          <w:sz w:val="19"/>
          <w:szCs w:val="19"/>
        </w:rPr>
        <w:t xml:space="preserve"> </w:t>
      </w:r>
      <w:r w:rsidRPr="00C93A42">
        <w:rPr>
          <w:rFonts w:ascii="Arial" w:hAnsi="Arial" w:cs="Arial"/>
          <w:sz w:val="19"/>
          <w:szCs w:val="19"/>
        </w:rPr>
        <w:t xml:space="preserve">Decreto 1082 de 2015 </w:t>
      </w:r>
      <w:r w:rsidRPr="00C93A42">
        <w:rPr>
          <w:rFonts w:ascii="Arial" w:eastAsia="Calibri" w:hAnsi="Arial" w:cs="Arial"/>
          <w:bCs/>
          <w:sz w:val="19"/>
          <w:szCs w:val="19"/>
        </w:rPr>
        <w:t>«</w:t>
      </w:r>
      <w:r w:rsidRPr="00C93A42">
        <w:rPr>
          <w:rFonts w:ascii="Arial" w:hAnsi="Arial" w:cs="Arial"/>
          <w:sz w:val="19"/>
          <w:szCs w:val="19"/>
          <w:lang w:eastAsia="es-CO"/>
        </w:rPr>
        <w:t>Artículo 2.2.1.1.2.2.2. Ofrecimiento más favorable. La Entidad Estatal debe determinar la oferta más favorable teniendo en cuenta las normas aplicables a cada modalidad de selección del contratista. </w:t>
      </w:r>
    </w:p>
    <w:p w14:paraId="4306D8F9" w14:textId="77777777" w:rsidR="007B1929" w:rsidRPr="00C93A42" w:rsidRDefault="007B1929" w:rsidP="000E3965">
      <w:pPr>
        <w:jc w:val="both"/>
        <w:rPr>
          <w:rFonts w:ascii="Arial" w:hAnsi="Arial" w:cs="Arial"/>
          <w:sz w:val="19"/>
          <w:szCs w:val="19"/>
          <w:lang w:eastAsia="es-CO"/>
        </w:rPr>
      </w:pPr>
      <w:r w:rsidRPr="00C93A42">
        <w:rPr>
          <w:rFonts w:ascii="Arial" w:hAnsi="Arial" w:cs="Arial"/>
          <w:sz w:val="19"/>
          <w:szCs w:val="19"/>
          <w:lang w:eastAsia="es-CO"/>
        </w:rPr>
        <w:t>  </w:t>
      </w:r>
      <w:r w:rsidRPr="00C93A42">
        <w:rPr>
          <w:rFonts w:ascii="Arial" w:hAnsi="Arial" w:cs="Arial"/>
          <w:sz w:val="19"/>
          <w:szCs w:val="19"/>
          <w:lang w:eastAsia="es-CO"/>
        </w:rPr>
        <w:tab/>
      </w:r>
      <w:r w:rsidRPr="00C93A42">
        <w:rPr>
          <w:rFonts w:ascii="Arial" w:eastAsia="Calibri" w:hAnsi="Arial" w:cs="Arial"/>
          <w:bCs/>
          <w:sz w:val="19"/>
          <w:szCs w:val="19"/>
        </w:rPr>
        <w:t>»</w:t>
      </w:r>
      <w:r w:rsidRPr="00C93A42">
        <w:rPr>
          <w:rFonts w:ascii="Arial" w:hAnsi="Arial" w:cs="Arial"/>
          <w:sz w:val="19"/>
          <w:szCs w:val="19"/>
          <w:lang w:eastAsia="es-CO"/>
        </w:rPr>
        <w:t>En la licitación y la selección abreviada de menor cuantía, la Entidad Estatal debe determinar la oferta más favorable teniendo en cuenta: (a) la ponderación de los elementos de calidad y precio soportados en puntajes o fórmulas; o (b) la ponderación de los elementos de calidad y precio que representen la mejor relación de costo-beneficio. Si la Entidad Estatal decide determinar la oferta de acuerdo con el literal (b) anterior debe señalar en los pliegos de condiciones: </w:t>
      </w:r>
    </w:p>
    <w:p w14:paraId="78BE91CF" w14:textId="77777777" w:rsidR="007B1929" w:rsidRPr="00C93A42" w:rsidRDefault="007B1929" w:rsidP="000E3965">
      <w:pPr>
        <w:jc w:val="both"/>
        <w:rPr>
          <w:rFonts w:ascii="Arial" w:hAnsi="Arial" w:cs="Arial"/>
          <w:sz w:val="19"/>
          <w:szCs w:val="19"/>
          <w:lang w:eastAsia="es-CO"/>
        </w:rPr>
      </w:pPr>
      <w:r w:rsidRPr="00C93A42">
        <w:rPr>
          <w:rFonts w:ascii="Arial" w:hAnsi="Arial" w:cs="Arial"/>
          <w:sz w:val="19"/>
          <w:szCs w:val="19"/>
          <w:lang w:eastAsia="es-CO"/>
        </w:rPr>
        <w:t>  </w:t>
      </w:r>
      <w:r w:rsidRPr="00C93A42">
        <w:rPr>
          <w:rFonts w:ascii="Arial" w:hAnsi="Arial" w:cs="Arial"/>
          <w:sz w:val="19"/>
          <w:szCs w:val="19"/>
          <w:lang w:eastAsia="es-CO"/>
        </w:rPr>
        <w:tab/>
      </w:r>
      <w:r w:rsidRPr="00C93A42">
        <w:rPr>
          <w:rFonts w:ascii="Arial" w:eastAsia="Calibri" w:hAnsi="Arial" w:cs="Arial"/>
          <w:bCs/>
          <w:sz w:val="19"/>
          <w:szCs w:val="19"/>
        </w:rPr>
        <w:t>»</w:t>
      </w:r>
      <w:r w:rsidRPr="00C93A42">
        <w:rPr>
          <w:rFonts w:ascii="Arial" w:hAnsi="Arial" w:cs="Arial"/>
          <w:sz w:val="19"/>
          <w:szCs w:val="19"/>
          <w:lang w:eastAsia="es-CO"/>
        </w:rPr>
        <w:t>1. Las condiciones técnicas y económicas mínimas de la oferta. </w:t>
      </w:r>
    </w:p>
    <w:p w14:paraId="41ECABBC" w14:textId="77777777" w:rsidR="007B1929" w:rsidRPr="00C93A42" w:rsidRDefault="007B1929" w:rsidP="000E3965">
      <w:pPr>
        <w:jc w:val="both"/>
        <w:rPr>
          <w:rFonts w:ascii="Arial" w:hAnsi="Arial" w:cs="Arial"/>
          <w:sz w:val="19"/>
          <w:szCs w:val="19"/>
          <w:lang w:eastAsia="es-CO"/>
        </w:rPr>
      </w:pPr>
      <w:r w:rsidRPr="00C93A42">
        <w:rPr>
          <w:rFonts w:ascii="Arial" w:hAnsi="Arial" w:cs="Arial"/>
          <w:sz w:val="19"/>
          <w:szCs w:val="19"/>
          <w:lang w:eastAsia="es-CO"/>
        </w:rPr>
        <w:t>  </w:t>
      </w:r>
      <w:r w:rsidRPr="00C93A42">
        <w:rPr>
          <w:rFonts w:ascii="Arial" w:hAnsi="Arial" w:cs="Arial"/>
          <w:sz w:val="19"/>
          <w:szCs w:val="19"/>
          <w:lang w:eastAsia="es-CO"/>
        </w:rPr>
        <w:tab/>
      </w:r>
      <w:r w:rsidRPr="00C93A42">
        <w:rPr>
          <w:rFonts w:ascii="Arial" w:eastAsia="Calibri" w:hAnsi="Arial" w:cs="Arial"/>
          <w:bCs/>
          <w:sz w:val="19"/>
          <w:szCs w:val="19"/>
        </w:rPr>
        <w:t>»</w:t>
      </w:r>
      <w:r w:rsidRPr="00C93A42">
        <w:rPr>
          <w:rFonts w:ascii="Arial" w:hAnsi="Arial" w:cs="Arial"/>
          <w:sz w:val="19"/>
          <w:szCs w:val="19"/>
          <w:lang w:eastAsia="es-CO"/>
        </w:rPr>
        <w:t>2. Las condiciones técnicas adicionales que representan ventajas de calidad o de funcionamiento, tales como el uso de tecnología o materiales que generen mayor eficiencia, rendimiento o duración del bien, obra o servicio. </w:t>
      </w:r>
    </w:p>
    <w:p w14:paraId="2F8516C0" w14:textId="77777777" w:rsidR="007B1929" w:rsidRPr="00C93A42" w:rsidRDefault="007B1929" w:rsidP="000E3965">
      <w:pPr>
        <w:jc w:val="both"/>
        <w:rPr>
          <w:rFonts w:ascii="Arial" w:hAnsi="Arial" w:cs="Arial"/>
          <w:sz w:val="19"/>
          <w:szCs w:val="19"/>
          <w:lang w:eastAsia="es-CO"/>
        </w:rPr>
      </w:pPr>
      <w:r w:rsidRPr="00C93A42">
        <w:rPr>
          <w:rFonts w:ascii="Arial" w:hAnsi="Arial" w:cs="Arial"/>
          <w:sz w:val="19"/>
          <w:szCs w:val="19"/>
          <w:lang w:eastAsia="es-CO"/>
        </w:rPr>
        <w:t>  </w:t>
      </w:r>
      <w:r w:rsidRPr="00C93A42">
        <w:rPr>
          <w:rFonts w:ascii="Arial" w:hAnsi="Arial" w:cs="Arial"/>
          <w:sz w:val="19"/>
          <w:szCs w:val="19"/>
          <w:lang w:eastAsia="es-CO"/>
        </w:rPr>
        <w:tab/>
      </w:r>
      <w:r w:rsidRPr="00C93A42">
        <w:rPr>
          <w:rFonts w:ascii="Arial" w:eastAsia="Calibri" w:hAnsi="Arial" w:cs="Arial"/>
          <w:bCs/>
          <w:sz w:val="19"/>
          <w:szCs w:val="19"/>
        </w:rPr>
        <w:t>»</w:t>
      </w:r>
      <w:r w:rsidRPr="00C93A42">
        <w:rPr>
          <w:rFonts w:ascii="Arial" w:hAnsi="Arial" w:cs="Arial"/>
          <w:sz w:val="19"/>
          <w:szCs w:val="19"/>
          <w:lang w:eastAsia="es-CO"/>
        </w:rPr>
        <w:t>3. Las condiciones económicas adicionales que representen ventajas en términos de economía, eficiencia y eficacia, que puedan ser valoradas en dinero, como por ejemplo la forma de pago, descuentos por adjudicación de varios lotes, descuentos por variaciones en programas de entregas, mayor garantía del bien o servicio respecto de la mínima requerida, impacto económico sobre las condiciones existentes de la Entidad Estatal relacionadas con el objeto a contratar, mayor asunción de los Riesgos, servicios o bienes adicionales y que representen un mayor grado de satisfacción para la entidad, entre otras. </w:t>
      </w:r>
    </w:p>
    <w:p w14:paraId="1FC69A38" w14:textId="77777777" w:rsidR="007B1929" w:rsidRPr="00C93A42" w:rsidRDefault="007B1929" w:rsidP="000E3965">
      <w:pPr>
        <w:jc w:val="both"/>
        <w:rPr>
          <w:rFonts w:ascii="Arial" w:hAnsi="Arial" w:cs="Arial"/>
          <w:sz w:val="19"/>
          <w:szCs w:val="19"/>
          <w:lang w:eastAsia="es-CO"/>
        </w:rPr>
      </w:pPr>
      <w:r w:rsidRPr="00C93A42">
        <w:rPr>
          <w:rFonts w:ascii="Arial" w:hAnsi="Arial" w:cs="Arial"/>
          <w:sz w:val="19"/>
          <w:szCs w:val="19"/>
          <w:lang w:eastAsia="es-CO"/>
        </w:rPr>
        <w:t>  </w:t>
      </w:r>
      <w:r w:rsidRPr="00C93A42">
        <w:rPr>
          <w:rFonts w:ascii="Arial" w:hAnsi="Arial" w:cs="Arial"/>
          <w:sz w:val="19"/>
          <w:szCs w:val="19"/>
          <w:lang w:eastAsia="es-CO"/>
        </w:rPr>
        <w:tab/>
      </w:r>
      <w:r w:rsidRPr="00C93A42">
        <w:rPr>
          <w:rFonts w:ascii="Arial" w:eastAsia="Calibri" w:hAnsi="Arial" w:cs="Arial"/>
          <w:bCs/>
          <w:sz w:val="19"/>
          <w:szCs w:val="19"/>
        </w:rPr>
        <w:t>»</w:t>
      </w:r>
      <w:r w:rsidRPr="00C93A42">
        <w:rPr>
          <w:rFonts w:ascii="Arial" w:hAnsi="Arial" w:cs="Arial"/>
          <w:sz w:val="19"/>
          <w:szCs w:val="19"/>
          <w:lang w:eastAsia="es-CO"/>
        </w:rPr>
        <w:t>4. El valor en dinero que la Entidad Estatal asigna a cada ofrecimiento técnico o económico adicional, para permitir la ponderación de las ofertas presentadas. </w:t>
      </w:r>
    </w:p>
    <w:p w14:paraId="21172159" w14:textId="77777777" w:rsidR="007B1929" w:rsidRPr="00C93A42" w:rsidRDefault="007B1929" w:rsidP="000E3965">
      <w:pPr>
        <w:jc w:val="both"/>
        <w:rPr>
          <w:rFonts w:ascii="Arial" w:hAnsi="Arial" w:cs="Arial"/>
          <w:sz w:val="19"/>
          <w:szCs w:val="19"/>
          <w:lang w:eastAsia="es-CO"/>
        </w:rPr>
      </w:pPr>
      <w:r w:rsidRPr="00C93A42">
        <w:rPr>
          <w:rFonts w:ascii="Arial" w:hAnsi="Arial" w:cs="Arial"/>
          <w:sz w:val="19"/>
          <w:szCs w:val="19"/>
          <w:lang w:eastAsia="es-CO"/>
        </w:rPr>
        <w:t>  </w:t>
      </w:r>
      <w:r w:rsidRPr="00C93A42">
        <w:rPr>
          <w:rFonts w:ascii="Arial" w:hAnsi="Arial" w:cs="Arial"/>
          <w:sz w:val="19"/>
          <w:szCs w:val="19"/>
          <w:lang w:eastAsia="es-CO"/>
        </w:rPr>
        <w:tab/>
      </w:r>
      <w:r w:rsidRPr="00C93A42">
        <w:rPr>
          <w:rFonts w:ascii="Arial" w:eastAsia="Calibri" w:hAnsi="Arial" w:cs="Arial"/>
          <w:bCs/>
          <w:sz w:val="19"/>
          <w:szCs w:val="19"/>
        </w:rPr>
        <w:t>»</w:t>
      </w:r>
      <w:r w:rsidRPr="00C93A42">
        <w:rPr>
          <w:rFonts w:ascii="Arial" w:hAnsi="Arial" w:cs="Arial"/>
          <w:sz w:val="19"/>
          <w:szCs w:val="19"/>
          <w:lang w:eastAsia="es-CO"/>
        </w:rPr>
        <w:t>La Entidad Estatal debe calcular la relación costo-beneficio de cada oferta restando del precio total ofrecido los valores monetarios asignados a cada una de las condiciones técnicas y económicas adicionales ofrecidas. La mejor relación costo-beneficio para la Entidad Estatal es la de la oferta que una vez aplicada la metodología anterior tenga el resultado más bajo. </w:t>
      </w:r>
    </w:p>
    <w:p w14:paraId="0F67265B" w14:textId="77777777" w:rsidR="007B1929" w:rsidRPr="00C93A42" w:rsidRDefault="007B1929" w:rsidP="000E3965">
      <w:pPr>
        <w:jc w:val="both"/>
      </w:pPr>
      <w:r w:rsidRPr="00C93A42">
        <w:rPr>
          <w:rFonts w:ascii="Arial" w:hAnsi="Arial" w:cs="Arial"/>
          <w:sz w:val="19"/>
          <w:szCs w:val="19"/>
          <w:lang w:eastAsia="es-CO"/>
        </w:rPr>
        <w:t>  </w:t>
      </w:r>
      <w:r w:rsidRPr="00C93A42">
        <w:rPr>
          <w:rFonts w:ascii="Arial" w:hAnsi="Arial" w:cs="Arial"/>
          <w:sz w:val="19"/>
          <w:szCs w:val="19"/>
          <w:lang w:eastAsia="es-CO"/>
        </w:rPr>
        <w:tab/>
      </w:r>
      <w:r w:rsidRPr="00C93A42">
        <w:rPr>
          <w:rFonts w:ascii="Arial" w:eastAsia="Calibri" w:hAnsi="Arial" w:cs="Arial"/>
          <w:bCs/>
          <w:sz w:val="19"/>
          <w:szCs w:val="19"/>
        </w:rPr>
        <w:t>»</w:t>
      </w:r>
      <w:r w:rsidRPr="00C93A42">
        <w:rPr>
          <w:rFonts w:ascii="Arial" w:hAnsi="Arial" w:cs="Arial"/>
          <w:sz w:val="19"/>
          <w:szCs w:val="19"/>
          <w:lang w:eastAsia="es-CO"/>
        </w:rPr>
        <w:t>La Entidad Estatal debe adjudicar al oferente que presentó la oferta con la mejor relación costo-beneficio y suscribir el contrato por el precio total ofrecido</w:t>
      </w:r>
      <w:r w:rsidRPr="00C93A42">
        <w:rPr>
          <w:rFonts w:ascii="Arial" w:eastAsia="Calibri" w:hAnsi="Arial" w:cs="Arial"/>
          <w:bCs/>
          <w:sz w:val="19"/>
          <w:szCs w:val="19"/>
        </w:rPr>
        <w:t>»</w:t>
      </w:r>
      <w:r w:rsidRPr="00C93A42">
        <w:rPr>
          <w:rFonts w:ascii="Arial" w:hAnsi="Arial" w:cs="Arial"/>
          <w:sz w:val="19"/>
          <w:szCs w:val="19"/>
          <w:lang w:eastAsia="es-CO"/>
        </w:rPr>
        <w:t>. </w:t>
      </w:r>
    </w:p>
  </w:footnote>
  <w:footnote w:id="20">
    <w:p w14:paraId="320D8222" w14:textId="16463427" w:rsidR="007B1929" w:rsidRPr="00576186" w:rsidRDefault="007B1929" w:rsidP="00DF24C4">
      <w:pPr>
        <w:pStyle w:val="Textonotapie"/>
        <w:ind w:firstLine="708"/>
        <w:jc w:val="both"/>
        <w:rPr>
          <w:rFonts w:ascii="Arial" w:hAnsi="Arial" w:cs="Arial"/>
          <w:sz w:val="19"/>
          <w:szCs w:val="19"/>
          <w:lang w:val="es-CO"/>
        </w:rPr>
      </w:pPr>
      <w:r w:rsidRPr="00576186">
        <w:rPr>
          <w:rStyle w:val="Refdenotaalpie"/>
          <w:rFonts w:ascii="Arial" w:hAnsi="Arial" w:cs="Arial"/>
          <w:sz w:val="19"/>
          <w:szCs w:val="19"/>
        </w:rPr>
        <w:footnoteRef/>
      </w:r>
      <w:r w:rsidRPr="00576186">
        <w:rPr>
          <w:rFonts w:ascii="Arial" w:hAnsi="Arial" w:cs="Arial"/>
          <w:sz w:val="19"/>
          <w:szCs w:val="19"/>
        </w:rPr>
        <w:t xml:space="preserve"> </w:t>
      </w:r>
      <w:r w:rsidRPr="00576186">
        <w:rPr>
          <w:rFonts w:ascii="Arial" w:hAnsi="Arial" w:cs="Arial"/>
          <w:sz w:val="19"/>
          <w:szCs w:val="19"/>
        </w:rPr>
        <w:t>Según este principio, «[…] en caso de perplejidades hermenéuticas, el operador jurídico debe preferir, entre las diversas interpretaciones de las disposiciones aplicables al caso, aquella que produzca efectos, sobre aquella que no, o sobre aquella que sea superflua o irrazonable […]» (</w:t>
      </w:r>
      <w:r w:rsidRPr="00576186">
        <w:rPr>
          <w:rFonts w:ascii="Arial" w:hAnsi="Arial" w:cs="Arial"/>
          <w:sz w:val="19"/>
          <w:szCs w:val="19"/>
          <w:lang w:val="es-CO"/>
        </w:rPr>
        <w:t xml:space="preserve">CORTE CONSTITUCIONAL. Sentencia C-569 del 8 de junio de 2004. M.P. (E). </w:t>
      </w:r>
      <w:r w:rsidRPr="007B1929">
        <w:rPr>
          <w:rFonts w:ascii="Arial" w:hAnsi="Arial" w:cs="Arial"/>
          <w:sz w:val="19"/>
          <w:szCs w:val="19"/>
          <w:shd w:val="clear" w:color="auto" w:fill="FFFFFF"/>
        </w:rPr>
        <w:t>Rodrigo Uprimny Yepes).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1929" w:rsidRDefault="007B1929">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856C482"/>
    <w:multiLevelType w:val="hybridMultilevel"/>
    <w:tmpl w:val="3CB335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41B15B5"/>
    <w:multiLevelType w:val="hybridMultilevel"/>
    <w:tmpl w:val="B90A31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hybridMultilevel"/>
    <w:tmpl w:val="6C4AF576"/>
    <w:lvl w:ilvl="0" w:tplc="CED44512">
      <w:start w:val="1"/>
      <w:numFmt w:val="decimal"/>
      <w:lvlText w:val="%1."/>
      <w:lvlJc w:val="left"/>
      <w:pPr>
        <w:tabs>
          <w:tab w:val="num" w:pos="720"/>
        </w:tabs>
        <w:ind w:left="720" w:hanging="360"/>
      </w:pPr>
    </w:lvl>
    <w:lvl w:ilvl="1" w:tplc="2DB862AE" w:tentative="1">
      <w:start w:val="1"/>
      <w:numFmt w:val="decimal"/>
      <w:lvlText w:val="%2."/>
      <w:lvlJc w:val="left"/>
      <w:pPr>
        <w:tabs>
          <w:tab w:val="num" w:pos="1440"/>
        </w:tabs>
        <w:ind w:left="1440" w:hanging="360"/>
      </w:pPr>
    </w:lvl>
    <w:lvl w:ilvl="2" w:tplc="03AC466C" w:tentative="1">
      <w:start w:val="1"/>
      <w:numFmt w:val="decimal"/>
      <w:lvlText w:val="%3."/>
      <w:lvlJc w:val="left"/>
      <w:pPr>
        <w:tabs>
          <w:tab w:val="num" w:pos="2160"/>
        </w:tabs>
        <w:ind w:left="2160" w:hanging="360"/>
      </w:pPr>
    </w:lvl>
    <w:lvl w:ilvl="3" w:tplc="1820C460" w:tentative="1">
      <w:start w:val="1"/>
      <w:numFmt w:val="decimal"/>
      <w:lvlText w:val="%4."/>
      <w:lvlJc w:val="left"/>
      <w:pPr>
        <w:tabs>
          <w:tab w:val="num" w:pos="2880"/>
        </w:tabs>
        <w:ind w:left="2880" w:hanging="360"/>
      </w:pPr>
    </w:lvl>
    <w:lvl w:ilvl="4" w:tplc="3294A48C" w:tentative="1">
      <w:start w:val="1"/>
      <w:numFmt w:val="decimal"/>
      <w:lvlText w:val="%5."/>
      <w:lvlJc w:val="left"/>
      <w:pPr>
        <w:tabs>
          <w:tab w:val="num" w:pos="3600"/>
        </w:tabs>
        <w:ind w:left="3600" w:hanging="360"/>
      </w:pPr>
    </w:lvl>
    <w:lvl w:ilvl="5" w:tplc="F77A9290" w:tentative="1">
      <w:start w:val="1"/>
      <w:numFmt w:val="decimal"/>
      <w:lvlText w:val="%6."/>
      <w:lvlJc w:val="left"/>
      <w:pPr>
        <w:tabs>
          <w:tab w:val="num" w:pos="4320"/>
        </w:tabs>
        <w:ind w:left="4320" w:hanging="360"/>
      </w:pPr>
    </w:lvl>
    <w:lvl w:ilvl="6" w:tplc="303A9F5E" w:tentative="1">
      <w:start w:val="1"/>
      <w:numFmt w:val="decimal"/>
      <w:lvlText w:val="%7."/>
      <w:lvlJc w:val="left"/>
      <w:pPr>
        <w:tabs>
          <w:tab w:val="num" w:pos="5040"/>
        </w:tabs>
        <w:ind w:left="5040" w:hanging="360"/>
      </w:pPr>
    </w:lvl>
    <w:lvl w:ilvl="7" w:tplc="895C1678" w:tentative="1">
      <w:start w:val="1"/>
      <w:numFmt w:val="decimal"/>
      <w:lvlText w:val="%8."/>
      <w:lvlJc w:val="left"/>
      <w:pPr>
        <w:tabs>
          <w:tab w:val="num" w:pos="5760"/>
        </w:tabs>
        <w:ind w:left="5760" w:hanging="360"/>
      </w:pPr>
    </w:lvl>
    <w:lvl w:ilvl="8" w:tplc="665C70BC"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9"/>
  </w:num>
  <w:num w:numId="3">
    <w:abstractNumId w:val="14"/>
  </w:num>
  <w:num w:numId="4">
    <w:abstractNumId w:val="17"/>
  </w:num>
  <w:num w:numId="5">
    <w:abstractNumId w:val="21"/>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8"/>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5"/>
  </w:num>
  <w:num w:numId="19">
    <w:abstractNumId w:val="4"/>
  </w:num>
  <w:num w:numId="20">
    <w:abstractNumId w:val="24"/>
  </w:num>
  <w:num w:numId="21">
    <w:abstractNumId w:val="16"/>
  </w:num>
  <w:num w:numId="22">
    <w:abstractNumId w:val="7"/>
  </w:num>
  <w:num w:numId="23">
    <w:abstractNumId w:val="6"/>
  </w:num>
  <w:num w:numId="24">
    <w:abstractNumId w:val="22"/>
  </w:num>
  <w:num w:numId="25">
    <w:abstractNumId w:val="18"/>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0CFD"/>
    <w:rsid w:val="00001540"/>
    <w:rsid w:val="0000162E"/>
    <w:rsid w:val="00001A1C"/>
    <w:rsid w:val="00001CC9"/>
    <w:rsid w:val="00001FFD"/>
    <w:rsid w:val="00002027"/>
    <w:rsid w:val="000020FE"/>
    <w:rsid w:val="00002173"/>
    <w:rsid w:val="0000248C"/>
    <w:rsid w:val="00002588"/>
    <w:rsid w:val="00003020"/>
    <w:rsid w:val="000031A8"/>
    <w:rsid w:val="00003C5C"/>
    <w:rsid w:val="00003D39"/>
    <w:rsid w:val="000040D7"/>
    <w:rsid w:val="00004173"/>
    <w:rsid w:val="00004556"/>
    <w:rsid w:val="000051AF"/>
    <w:rsid w:val="000059D3"/>
    <w:rsid w:val="00005B6D"/>
    <w:rsid w:val="0000600A"/>
    <w:rsid w:val="00006081"/>
    <w:rsid w:val="00007750"/>
    <w:rsid w:val="000077FD"/>
    <w:rsid w:val="00007948"/>
    <w:rsid w:val="00007DAD"/>
    <w:rsid w:val="00007E37"/>
    <w:rsid w:val="00007F64"/>
    <w:rsid w:val="000105D9"/>
    <w:rsid w:val="00010C40"/>
    <w:rsid w:val="000112B4"/>
    <w:rsid w:val="00011DCC"/>
    <w:rsid w:val="00011EA4"/>
    <w:rsid w:val="00012532"/>
    <w:rsid w:val="00012B9E"/>
    <w:rsid w:val="00012EFA"/>
    <w:rsid w:val="00012F37"/>
    <w:rsid w:val="00012FBA"/>
    <w:rsid w:val="00013C6B"/>
    <w:rsid w:val="0001406B"/>
    <w:rsid w:val="000140E5"/>
    <w:rsid w:val="000143F8"/>
    <w:rsid w:val="00014624"/>
    <w:rsid w:val="00015126"/>
    <w:rsid w:val="00015B44"/>
    <w:rsid w:val="00016081"/>
    <w:rsid w:val="000165AC"/>
    <w:rsid w:val="00016651"/>
    <w:rsid w:val="000171A2"/>
    <w:rsid w:val="00017B65"/>
    <w:rsid w:val="00020158"/>
    <w:rsid w:val="0002020E"/>
    <w:rsid w:val="000207E0"/>
    <w:rsid w:val="000209E2"/>
    <w:rsid w:val="00020C5A"/>
    <w:rsid w:val="00020F8F"/>
    <w:rsid w:val="00021A95"/>
    <w:rsid w:val="00021C8A"/>
    <w:rsid w:val="0002256F"/>
    <w:rsid w:val="00023A0B"/>
    <w:rsid w:val="00023DAE"/>
    <w:rsid w:val="00024896"/>
    <w:rsid w:val="00024A81"/>
    <w:rsid w:val="0002504E"/>
    <w:rsid w:val="000255FA"/>
    <w:rsid w:val="00025D0A"/>
    <w:rsid w:val="000263F0"/>
    <w:rsid w:val="00026407"/>
    <w:rsid w:val="000265C7"/>
    <w:rsid w:val="00026608"/>
    <w:rsid w:val="000272E0"/>
    <w:rsid w:val="00027787"/>
    <w:rsid w:val="000278D2"/>
    <w:rsid w:val="00027C93"/>
    <w:rsid w:val="000303E4"/>
    <w:rsid w:val="00030B30"/>
    <w:rsid w:val="00030DFB"/>
    <w:rsid w:val="00031364"/>
    <w:rsid w:val="000315E1"/>
    <w:rsid w:val="0003236E"/>
    <w:rsid w:val="000323C6"/>
    <w:rsid w:val="000323FA"/>
    <w:rsid w:val="00032689"/>
    <w:rsid w:val="00032C89"/>
    <w:rsid w:val="000332E1"/>
    <w:rsid w:val="0003339A"/>
    <w:rsid w:val="000341F2"/>
    <w:rsid w:val="00035046"/>
    <w:rsid w:val="000351F2"/>
    <w:rsid w:val="00035328"/>
    <w:rsid w:val="0003535C"/>
    <w:rsid w:val="00035768"/>
    <w:rsid w:val="000368FE"/>
    <w:rsid w:val="00036D03"/>
    <w:rsid w:val="00036E03"/>
    <w:rsid w:val="000374FB"/>
    <w:rsid w:val="00037510"/>
    <w:rsid w:val="000406DB"/>
    <w:rsid w:val="0004094D"/>
    <w:rsid w:val="00041029"/>
    <w:rsid w:val="00041357"/>
    <w:rsid w:val="0004149B"/>
    <w:rsid w:val="00041FC6"/>
    <w:rsid w:val="00042961"/>
    <w:rsid w:val="00042C25"/>
    <w:rsid w:val="00042D01"/>
    <w:rsid w:val="00042D03"/>
    <w:rsid w:val="00043086"/>
    <w:rsid w:val="000430A0"/>
    <w:rsid w:val="00043652"/>
    <w:rsid w:val="00043A34"/>
    <w:rsid w:val="00043D3B"/>
    <w:rsid w:val="0004418C"/>
    <w:rsid w:val="00044204"/>
    <w:rsid w:val="0004477A"/>
    <w:rsid w:val="000449D4"/>
    <w:rsid w:val="00045D5B"/>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450D"/>
    <w:rsid w:val="0005474D"/>
    <w:rsid w:val="00055A41"/>
    <w:rsid w:val="00055CB9"/>
    <w:rsid w:val="00056C51"/>
    <w:rsid w:val="00056F66"/>
    <w:rsid w:val="0005702F"/>
    <w:rsid w:val="000572DE"/>
    <w:rsid w:val="000578FF"/>
    <w:rsid w:val="00057CBB"/>
    <w:rsid w:val="00060446"/>
    <w:rsid w:val="00061010"/>
    <w:rsid w:val="00061D06"/>
    <w:rsid w:val="00062CDD"/>
    <w:rsid w:val="00062DB3"/>
    <w:rsid w:val="0006310D"/>
    <w:rsid w:val="00063472"/>
    <w:rsid w:val="000640AF"/>
    <w:rsid w:val="0006460D"/>
    <w:rsid w:val="00064940"/>
    <w:rsid w:val="00064CAE"/>
    <w:rsid w:val="00064DB7"/>
    <w:rsid w:val="00064FA7"/>
    <w:rsid w:val="00065195"/>
    <w:rsid w:val="0006536C"/>
    <w:rsid w:val="0006626E"/>
    <w:rsid w:val="00066A7F"/>
    <w:rsid w:val="0006791B"/>
    <w:rsid w:val="00070AF1"/>
    <w:rsid w:val="000714DE"/>
    <w:rsid w:val="00071CFC"/>
    <w:rsid w:val="0007254F"/>
    <w:rsid w:val="0007357C"/>
    <w:rsid w:val="00073C30"/>
    <w:rsid w:val="00074305"/>
    <w:rsid w:val="000744D0"/>
    <w:rsid w:val="00074B2A"/>
    <w:rsid w:val="00074E6F"/>
    <w:rsid w:val="00074EEE"/>
    <w:rsid w:val="000753D5"/>
    <w:rsid w:val="00075567"/>
    <w:rsid w:val="00075B3E"/>
    <w:rsid w:val="00076456"/>
    <w:rsid w:val="0007779B"/>
    <w:rsid w:val="000777E7"/>
    <w:rsid w:val="0007790A"/>
    <w:rsid w:val="000779F2"/>
    <w:rsid w:val="0008017B"/>
    <w:rsid w:val="0008049A"/>
    <w:rsid w:val="00080ACD"/>
    <w:rsid w:val="000811ED"/>
    <w:rsid w:val="00081D62"/>
    <w:rsid w:val="00081FFA"/>
    <w:rsid w:val="0008269B"/>
    <w:rsid w:val="000829AE"/>
    <w:rsid w:val="00082B74"/>
    <w:rsid w:val="00083099"/>
    <w:rsid w:val="00083480"/>
    <w:rsid w:val="0008389B"/>
    <w:rsid w:val="00083EDC"/>
    <w:rsid w:val="00084B97"/>
    <w:rsid w:val="00084F87"/>
    <w:rsid w:val="00085033"/>
    <w:rsid w:val="0008510E"/>
    <w:rsid w:val="000856DE"/>
    <w:rsid w:val="00085F17"/>
    <w:rsid w:val="00085FB0"/>
    <w:rsid w:val="00085FB3"/>
    <w:rsid w:val="000860A8"/>
    <w:rsid w:val="0008614E"/>
    <w:rsid w:val="0008686B"/>
    <w:rsid w:val="00086B2A"/>
    <w:rsid w:val="00086ED2"/>
    <w:rsid w:val="00087A64"/>
    <w:rsid w:val="0009082C"/>
    <w:rsid w:val="00090C39"/>
    <w:rsid w:val="000914D6"/>
    <w:rsid w:val="00091569"/>
    <w:rsid w:val="00091957"/>
    <w:rsid w:val="00092654"/>
    <w:rsid w:val="00092CDB"/>
    <w:rsid w:val="00092DCA"/>
    <w:rsid w:val="000932BB"/>
    <w:rsid w:val="00093851"/>
    <w:rsid w:val="000942EB"/>
    <w:rsid w:val="00095B70"/>
    <w:rsid w:val="0009617E"/>
    <w:rsid w:val="0009628D"/>
    <w:rsid w:val="0009670F"/>
    <w:rsid w:val="00096D15"/>
    <w:rsid w:val="00097089"/>
    <w:rsid w:val="000970E4"/>
    <w:rsid w:val="000979CF"/>
    <w:rsid w:val="00097F53"/>
    <w:rsid w:val="000A03C8"/>
    <w:rsid w:val="000A03F2"/>
    <w:rsid w:val="000A05F2"/>
    <w:rsid w:val="000A06C4"/>
    <w:rsid w:val="000A0861"/>
    <w:rsid w:val="000A0EC4"/>
    <w:rsid w:val="000A0ED1"/>
    <w:rsid w:val="000A12DB"/>
    <w:rsid w:val="000A17C8"/>
    <w:rsid w:val="000A1B74"/>
    <w:rsid w:val="000A20D7"/>
    <w:rsid w:val="000A2128"/>
    <w:rsid w:val="000A2136"/>
    <w:rsid w:val="000A362F"/>
    <w:rsid w:val="000A3B49"/>
    <w:rsid w:val="000A3F0A"/>
    <w:rsid w:val="000A45E2"/>
    <w:rsid w:val="000A467C"/>
    <w:rsid w:val="000A46FE"/>
    <w:rsid w:val="000A47E6"/>
    <w:rsid w:val="000A52C0"/>
    <w:rsid w:val="000A5AAF"/>
    <w:rsid w:val="000A5ACE"/>
    <w:rsid w:val="000A5F82"/>
    <w:rsid w:val="000A5F97"/>
    <w:rsid w:val="000A609A"/>
    <w:rsid w:val="000A648E"/>
    <w:rsid w:val="000A7268"/>
    <w:rsid w:val="000A73BB"/>
    <w:rsid w:val="000A73E8"/>
    <w:rsid w:val="000A7EF4"/>
    <w:rsid w:val="000B046C"/>
    <w:rsid w:val="000B0A15"/>
    <w:rsid w:val="000B103F"/>
    <w:rsid w:val="000B1437"/>
    <w:rsid w:val="000B1470"/>
    <w:rsid w:val="000B175E"/>
    <w:rsid w:val="000B244D"/>
    <w:rsid w:val="000B2A1A"/>
    <w:rsid w:val="000B2B86"/>
    <w:rsid w:val="000B3051"/>
    <w:rsid w:val="000B419B"/>
    <w:rsid w:val="000B56F9"/>
    <w:rsid w:val="000B5781"/>
    <w:rsid w:val="000B5CB1"/>
    <w:rsid w:val="000B6D8B"/>
    <w:rsid w:val="000B75F4"/>
    <w:rsid w:val="000C0185"/>
    <w:rsid w:val="000C084E"/>
    <w:rsid w:val="000C0F81"/>
    <w:rsid w:val="000C128D"/>
    <w:rsid w:val="000C17A3"/>
    <w:rsid w:val="000C1D4B"/>
    <w:rsid w:val="000C1D5C"/>
    <w:rsid w:val="000C2DC4"/>
    <w:rsid w:val="000C3260"/>
    <w:rsid w:val="000C3B77"/>
    <w:rsid w:val="000C3F6D"/>
    <w:rsid w:val="000C47E0"/>
    <w:rsid w:val="000C487D"/>
    <w:rsid w:val="000C4F49"/>
    <w:rsid w:val="000C5861"/>
    <w:rsid w:val="000C5BDE"/>
    <w:rsid w:val="000C639D"/>
    <w:rsid w:val="000C6988"/>
    <w:rsid w:val="000C6C31"/>
    <w:rsid w:val="000C6DBC"/>
    <w:rsid w:val="000C6F79"/>
    <w:rsid w:val="000C7476"/>
    <w:rsid w:val="000C7480"/>
    <w:rsid w:val="000C7648"/>
    <w:rsid w:val="000C7711"/>
    <w:rsid w:val="000C7AA2"/>
    <w:rsid w:val="000D0462"/>
    <w:rsid w:val="000D053D"/>
    <w:rsid w:val="000D0ED2"/>
    <w:rsid w:val="000D107D"/>
    <w:rsid w:val="000D13FD"/>
    <w:rsid w:val="000D1CEB"/>
    <w:rsid w:val="000D241E"/>
    <w:rsid w:val="000D2563"/>
    <w:rsid w:val="000D25BF"/>
    <w:rsid w:val="000D2C83"/>
    <w:rsid w:val="000D2C93"/>
    <w:rsid w:val="000D2F14"/>
    <w:rsid w:val="000D2F86"/>
    <w:rsid w:val="000D2FE4"/>
    <w:rsid w:val="000D3FDC"/>
    <w:rsid w:val="000D490B"/>
    <w:rsid w:val="000D4E38"/>
    <w:rsid w:val="000D50DB"/>
    <w:rsid w:val="000D6288"/>
    <w:rsid w:val="000D6B6C"/>
    <w:rsid w:val="000D6C10"/>
    <w:rsid w:val="000D728B"/>
    <w:rsid w:val="000D7541"/>
    <w:rsid w:val="000D75E1"/>
    <w:rsid w:val="000D786C"/>
    <w:rsid w:val="000E05E2"/>
    <w:rsid w:val="000E22CF"/>
    <w:rsid w:val="000E2977"/>
    <w:rsid w:val="000E2CC0"/>
    <w:rsid w:val="000E30AC"/>
    <w:rsid w:val="000E3965"/>
    <w:rsid w:val="000E3B46"/>
    <w:rsid w:val="000E3E11"/>
    <w:rsid w:val="000E4596"/>
    <w:rsid w:val="000E4B94"/>
    <w:rsid w:val="000E4D50"/>
    <w:rsid w:val="000E54A9"/>
    <w:rsid w:val="000E5768"/>
    <w:rsid w:val="000E5843"/>
    <w:rsid w:val="000E6139"/>
    <w:rsid w:val="000E63B7"/>
    <w:rsid w:val="000E653C"/>
    <w:rsid w:val="000E6BE1"/>
    <w:rsid w:val="000E74AC"/>
    <w:rsid w:val="000E7E0B"/>
    <w:rsid w:val="000F0060"/>
    <w:rsid w:val="000F0136"/>
    <w:rsid w:val="000F045A"/>
    <w:rsid w:val="000F078A"/>
    <w:rsid w:val="000F0CCE"/>
    <w:rsid w:val="000F122D"/>
    <w:rsid w:val="000F1450"/>
    <w:rsid w:val="000F14E8"/>
    <w:rsid w:val="000F1BBD"/>
    <w:rsid w:val="000F290F"/>
    <w:rsid w:val="000F4141"/>
    <w:rsid w:val="000F4403"/>
    <w:rsid w:val="000F4765"/>
    <w:rsid w:val="000F47F3"/>
    <w:rsid w:val="000F480B"/>
    <w:rsid w:val="000F4A7F"/>
    <w:rsid w:val="000F4E17"/>
    <w:rsid w:val="000F55A8"/>
    <w:rsid w:val="000F5615"/>
    <w:rsid w:val="000F5DFB"/>
    <w:rsid w:val="000F613B"/>
    <w:rsid w:val="000F6420"/>
    <w:rsid w:val="000F6578"/>
    <w:rsid w:val="000F6787"/>
    <w:rsid w:val="000F6F92"/>
    <w:rsid w:val="000F7E8F"/>
    <w:rsid w:val="000F7FBB"/>
    <w:rsid w:val="001000FB"/>
    <w:rsid w:val="00100A9E"/>
    <w:rsid w:val="00100F6A"/>
    <w:rsid w:val="00101129"/>
    <w:rsid w:val="00102605"/>
    <w:rsid w:val="00102686"/>
    <w:rsid w:val="00102745"/>
    <w:rsid w:val="00103795"/>
    <w:rsid w:val="00103915"/>
    <w:rsid w:val="001039AA"/>
    <w:rsid w:val="00103EA0"/>
    <w:rsid w:val="00104149"/>
    <w:rsid w:val="00104F1C"/>
    <w:rsid w:val="001051E5"/>
    <w:rsid w:val="001056CE"/>
    <w:rsid w:val="00105A74"/>
    <w:rsid w:val="00105ACB"/>
    <w:rsid w:val="00105AEF"/>
    <w:rsid w:val="00105B76"/>
    <w:rsid w:val="00106259"/>
    <w:rsid w:val="001068EB"/>
    <w:rsid w:val="001078CE"/>
    <w:rsid w:val="00110F61"/>
    <w:rsid w:val="00111026"/>
    <w:rsid w:val="001111BD"/>
    <w:rsid w:val="0011165A"/>
    <w:rsid w:val="00111B2B"/>
    <w:rsid w:val="00112774"/>
    <w:rsid w:val="00112B2E"/>
    <w:rsid w:val="00113003"/>
    <w:rsid w:val="00113062"/>
    <w:rsid w:val="0011318E"/>
    <w:rsid w:val="0011359A"/>
    <w:rsid w:val="00113705"/>
    <w:rsid w:val="00113975"/>
    <w:rsid w:val="00113CFC"/>
    <w:rsid w:val="00113FEA"/>
    <w:rsid w:val="00114A22"/>
    <w:rsid w:val="00114E9D"/>
    <w:rsid w:val="0011507B"/>
    <w:rsid w:val="001150A2"/>
    <w:rsid w:val="001156A7"/>
    <w:rsid w:val="00115C37"/>
    <w:rsid w:val="00116328"/>
    <w:rsid w:val="001163CF"/>
    <w:rsid w:val="00116EC5"/>
    <w:rsid w:val="001174C9"/>
    <w:rsid w:val="001177FE"/>
    <w:rsid w:val="00117E69"/>
    <w:rsid w:val="00120E33"/>
    <w:rsid w:val="00121103"/>
    <w:rsid w:val="00121B78"/>
    <w:rsid w:val="00121BAB"/>
    <w:rsid w:val="00121E3C"/>
    <w:rsid w:val="001223CD"/>
    <w:rsid w:val="00122B23"/>
    <w:rsid w:val="00122B7E"/>
    <w:rsid w:val="00122CF1"/>
    <w:rsid w:val="00123E27"/>
    <w:rsid w:val="00123FB5"/>
    <w:rsid w:val="0012400F"/>
    <w:rsid w:val="001249DC"/>
    <w:rsid w:val="0012572D"/>
    <w:rsid w:val="00125BED"/>
    <w:rsid w:val="00125C59"/>
    <w:rsid w:val="00125D4F"/>
    <w:rsid w:val="00126F53"/>
    <w:rsid w:val="00127004"/>
    <w:rsid w:val="00127045"/>
    <w:rsid w:val="00127278"/>
    <w:rsid w:val="001275E8"/>
    <w:rsid w:val="0012770B"/>
    <w:rsid w:val="00127AF2"/>
    <w:rsid w:val="00127EDC"/>
    <w:rsid w:val="00127F42"/>
    <w:rsid w:val="00127F6D"/>
    <w:rsid w:val="00130355"/>
    <w:rsid w:val="00130365"/>
    <w:rsid w:val="001304E5"/>
    <w:rsid w:val="00130635"/>
    <w:rsid w:val="00131B5A"/>
    <w:rsid w:val="001329BC"/>
    <w:rsid w:val="00132C30"/>
    <w:rsid w:val="00132EFD"/>
    <w:rsid w:val="00133AED"/>
    <w:rsid w:val="00133ED2"/>
    <w:rsid w:val="00134BCD"/>
    <w:rsid w:val="00134E09"/>
    <w:rsid w:val="001350AB"/>
    <w:rsid w:val="0013546D"/>
    <w:rsid w:val="00135DB9"/>
    <w:rsid w:val="00135E5D"/>
    <w:rsid w:val="0013695C"/>
    <w:rsid w:val="00136BF7"/>
    <w:rsid w:val="00136C78"/>
    <w:rsid w:val="00136DD8"/>
    <w:rsid w:val="00137440"/>
    <w:rsid w:val="001378B9"/>
    <w:rsid w:val="00137FFA"/>
    <w:rsid w:val="00140109"/>
    <w:rsid w:val="0014029B"/>
    <w:rsid w:val="00140464"/>
    <w:rsid w:val="00140A4F"/>
    <w:rsid w:val="001413AB"/>
    <w:rsid w:val="001419D7"/>
    <w:rsid w:val="00141DBF"/>
    <w:rsid w:val="00142EFD"/>
    <w:rsid w:val="00144335"/>
    <w:rsid w:val="0014502F"/>
    <w:rsid w:val="00145282"/>
    <w:rsid w:val="001453B0"/>
    <w:rsid w:val="001454D9"/>
    <w:rsid w:val="00145D8E"/>
    <w:rsid w:val="00146083"/>
    <w:rsid w:val="001462F7"/>
    <w:rsid w:val="001471AB"/>
    <w:rsid w:val="00147EAD"/>
    <w:rsid w:val="00147F35"/>
    <w:rsid w:val="00147FCE"/>
    <w:rsid w:val="00150005"/>
    <w:rsid w:val="00151AEB"/>
    <w:rsid w:val="00151B99"/>
    <w:rsid w:val="00151CD6"/>
    <w:rsid w:val="00151E79"/>
    <w:rsid w:val="001521B2"/>
    <w:rsid w:val="00152EDD"/>
    <w:rsid w:val="00153491"/>
    <w:rsid w:val="0015361C"/>
    <w:rsid w:val="0015372F"/>
    <w:rsid w:val="00153BFB"/>
    <w:rsid w:val="0015407E"/>
    <w:rsid w:val="0015448E"/>
    <w:rsid w:val="00154A6F"/>
    <w:rsid w:val="00154B68"/>
    <w:rsid w:val="00155025"/>
    <w:rsid w:val="00155420"/>
    <w:rsid w:val="00155B07"/>
    <w:rsid w:val="00155BED"/>
    <w:rsid w:val="00155D08"/>
    <w:rsid w:val="0015623B"/>
    <w:rsid w:val="00156BE5"/>
    <w:rsid w:val="00157232"/>
    <w:rsid w:val="00160401"/>
    <w:rsid w:val="00160AA1"/>
    <w:rsid w:val="00160C01"/>
    <w:rsid w:val="00160D4E"/>
    <w:rsid w:val="00161AAD"/>
    <w:rsid w:val="00161DDA"/>
    <w:rsid w:val="00161E62"/>
    <w:rsid w:val="00161F1C"/>
    <w:rsid w:val="0016200B"/>
    <w:rsid w:val="0016204B"/>
    <w:rsid w:val="0016309C"/>
    <w:rsid w:val="00163D7A"/>
    <w:rsid w:val="00164281"/>
    <w:rsid w:val="00165703"/>
    <w:rsid w:val="00165E5C"/>
    <w:rsid w:val="00166204"/>
    <w:rsid w:val="00166797"/>
    <w:rsid w:val="0016685F"/>
    <w:rsid w:val="0016712F"/>
    <w:rsid w:val="00167503"/>
    <w:rsid w:val="001676A9"/>
    <w:rsid w:val="001679EF"/>
    <w:rsid w:val="00167A15"/>
    <w:rsid w:val="00167A50"/>
    <w:rsid w:val="00167D1A"/>
    <w:rsid w:val="00167DF5"/>
    <w:rsid w:val="00170001"/>
    <w:rsid w:val="00170D2F"/>
    <w:rsid w:val="001716D9"/>
    <w:rsid w:val="00171736"/>
    <w:rsid w:val="00172198"/>
    <w:rsid w:val="00172612"/>
    <w:rsid w:val="00172817"/>
    <w:rsid w:val="001733CF"/>
    <w:rsid w:val="001734E3"/>
    <w:rsid w:val="001742BF"/>
    <w:rsid w:val="001742E1"/>
    <w:rsid w:val="00175DC6"/>
    <w:rsid w:val="00175E49"/>
    <w:rsid w:val="0017649F"/>
    <w:rsid w:val="0017655B"/>
    <w:rsid w:val="001778A6"/>
    <w:rsid w:val="00177EAA"/>
    <w:rsid w:val="001805C1"/>
    <w:rsid w:val="00180A2E"/>
    <w:rsid w:val="00180F75"/>
    <w:rsid w:val="001813AF"/>
    <w:rsid w:val="001826C9"/>
    <w:rsid w:val="001829CD"/>
    <w:rsid w:val="00182F01"/>
    <w:rsid w:val="001833E1"/>
    <w:rsid w:val="00183515"/>
    <w:rsid w:val="00184219"/>
    <w:rsid w:val="00184F27"/>
    <w:rsid w:val="00185070"/>
    <w:rsid w:val="0018519B"/>
    <w:rsid w:val="001858C9"/>
    <w:rsid w:val="00185966"/>
    <w:rsid w:val="00185A2D"/>
    <w:rsid w:val="00185AFE"/>
    <w:rsid w:val="00185C79"/>
    <w:rsid w:val="00185E78"/>
    <w:rsid w:val="00186155"/>
    <w:rsid w:val="001868D9"/>
    <w:rsid w:val="001870F5"/>
    <w:rsid w:val="00187177"/>
    <w:rsid w:val="00187ABD"/>
    <w:rsid w:val="001904E3"/>
    <w:rsid w:val="0019087A"/>
    <w:rsid w:val="00190F38"/>
    <w:rsid w:val="001910D9"/>
    <w:rsid w:val="00191C5A"/>
    <w:rsid w:val="00191CEB"/>
    <w:rsid w:val="00191E63"/>
    <w:rsid w:val="001925CB"/>
    <w:rsid w:val="00192D68"/>
    <w:rsid w:val="0019388B"/>
    <w:rsid w:val="00193ADE"/>
    <w:rsid w:val="00193B9A"/>
    <w:rsid w:val="001940ED"/>
    <w:rsid w:val="001945DF"/>
    <w:rsid w:val="001946AE"/>
    <w:rsid w:val="001946D5"/>
    <w:rsid w:val="00194E8C"/>
    <w:rsid w:val="001962EC"/>
    <w:rsid w:val="001963DD"/>
    <w:rsid w:val="001965DB"/>
    <w:rsid w:val="00196D01"/>
    <w:rsid w:val="00196DC9"/>
    <w:rsid w:val="00196E95"/>
    <w:rsid w:val="001971FD"/>
    <w:rsid w:val="00197341"/>
    <w:rsid w:val="00197758"/>
    <w:rsid w:val="001A0236"/>
    <w:rsid w:val="001A0915"/>
    <w:rsid w:val="001A0AF8"/>
    <w:rsid w:val="001A0E1B"/>
    <w:rsid w:val="001A1490"/>
    <w:rsid w:val="001A1766"/>
    <w:rsid w:val="001A18AA"/>
    <w:rsid w:val="001A18D5"/>
    <w:rsid w:val="001A1A38"/>
    <w:rsid w:val="001A1BE0"/>
    <w:rsid w:val="001A1D4A"/>
    <w:rsid w:val="001A260A"/>
    <w:rsid w:val="001A2F0E"/>
    <w:rsid w:val="001A3011"/>
    <w:rsid w:val="001A3078"/>
    <w:rsid w:val="001A419E"/>
    <w:rsid w:val="001A4314"/>
    <w:rsid w:val="001A4A9B"/>
    <w:rsid w:val="001A4B32"/>
    <w:rsid w:val="001A4DAF"/>
    <w:rsid w:val="001A54CD"/>
    <w:rsid w:val="001A611F"/>
    <w:rsid w:val="001A66DF"/>
    <w:rsid w:val="001A67D0"/>
    <w:rsid w:val="001A6863"/>
    <w:rsid w:val="001A7591"/>
    <w:rsid w:val="001A75B1"/>
    <w:rsid w:val="001A7B06"/>
    <w:rsid w:val="001B0366"/>
    <w:rsid w:val="001B0444"/>
    <w:rsid w:val="001B096B"/>
    <w:rsid w:val="001B0A69"/>
    <w:rsid w:val="001B0F9F"/>
    <w:rsid w:val="001B123C"/>
    <w:rsid w:val="001B1A0D"/>
    <w:rsid w:val="001B1BF1"/>
    <w:rsid w:val="001B21AC"/>
    <w:rsid w:val="001B2456"/>
    <w:rsid w:val="001B38E3"/>
    <w:rsid w:val="001B3B25"/>
    <w:rsid w:val="001B449C"/>
    <w:rsid w:val="001B4AA2"/>
    <w:rsid w:val="001B4ADE"/>
    <w:rsid w:val="001B4D36"/>
    <w:rsid w:val="001B5530"/>
    <w:rsid w:val="001B5EF8"/>
    <w:rsid w:val="001B71E8"/>
    <w:rsid w:val="001B73C6"/>
    <w:rsid w:val="001C033E"/>
    <w:rsid w:val="001C07C6"/>
    <w:rsid w:val="001C120D"/>
    <w:rsid w:val="001C16DA"/>
    <w:rsid w:val="001C19CD"/>
    <w:rsid w:val="001C2119"/>
    <w:rsid w:val="001C22D5"/>
    <w:rsid w:val="001C2515"/>
    <w:rsid w:val="001C26FB"/>
    <w:rsid w:val="001C33C1"/>
    <w:rsid w:val="001C3828"/>
    <w:rsid w:val="001C3C82"/>
    <w:rsid w:val="001C3E30"/>
    <w:rsid w:val="001C3E5C"/>
    <w:rsid w:val="001C5072"/>
    <w:rsid w:val="001C5B2A"/>
    <w:rsid w:val="001C600B"/>
    <w:rsid w:val="001C6898"/>
    <w:rsid w:val="001C6DD8"/>
    <w:rsid w:val="001C7352"/>
    <w:rsid w:val="001C76FA"/>
    <w:rsid w:val="001C79A4"/>
    <w:rsid w:val="001C7C7B"/>
    <w:rsid w:val="001D068D"/>
    <w:rsid w:val="001D12D1"/>
    <w:rsid w:val="001D15DF"/>
    <w:rsid w:val="001D1A1E"/>
    <w:rsid w:val="001D2552"/>
    <w:rsid w:val="001D28B0"/>
    <w:rsid w:val="001D2EEE"/>
    <w:rsid w:val="001D2FA6"/>
    <w:rsid w:val="001D30F3"/>
    <w:rsid w:val="001D31A0"/>
    <w:rsid w:val="001D338E"/>
    <w:rsid w:val="001D3F00"/>
    <w:rsid w:val="001D4562"/>
    <w:rsid w:val="001D50DB"/>
    <w:rsid w:val="001D56E9"/>
    <w:rsid w:val="001D6944"/>
    <w:rsid w:val="001D6CD2"/>
    <w:rsid w:val="001D6F14"/>
    <w:rsid w:val="001D796A"/>
    <w:rsid w:val="001D7A84"/>
    <w:rsid w:val="001D7C79"/>
    <w:rsid w:val="001E003B"/>
    <w:rsid w:val="001E1CC4"/>
    <w:rsid w:val="001E1D38"/>
    <w:rsid w:val="001E2452"/>
    <w:rsid w:val="001E28A0"/>
    <w:rsid w:val="001E3663"/>
    <w:rsid w:val="001E3FFE"/>
    <w:rsid w:val="001E4258"/>
    <w:rsid w:val="001E4868"/>
    <w:rsid w:val="001E5140"/>
    <w:rsid w:val="001E5C3A"/>
    <w:rsid w:val="001E5D6A"/>
    <w:rsid w:val="001E6A94"/>
    <w:rsid w:val="001E70FB"/>
    <w:rsid w:val="001E747D"/>
    <w:rsid w:val="001E780A"/>
    <w:rsid w:val="001F0325"/>
    <w:rsid w:val="001F0806"/>
    <w:rsid w:val="001F0D15"/>
    <w:rsid w:val="001F0FA0"/>
    <w:rsid w:val="001F10E8"/>
    <w:rsid w:val="001F1349"/>
    <w:rsid w:val="001F1863"/>
    <w:rsid w:val="001F1E65"/>
    <w:rsid w:val="001F2356"/>
    <w:rsid w:val="001F2462"/>
    <w:rsid w:val="001F2A68"/>
    <w:rsid w:val="001F2C47"/>
    <w:rsid w:val="001F41A8"/>
    <w:rsid w:val="001F43DA"/>
    <w:rsid w:val="001F4773"/>
    <w:rsid w:val="001F4DC8"/>
    <w:rsid w:val="001F5008"/>
    <w:rsid w:val="001F56AA"/>
    <w:rsid w:val="001F57EB"/>
    <w:rsid w:val="001F58AA"/>
    <w:rsid w:val="001F5A4E"/>
    <w:rsid w:val="001F5EF6"/>
    <w:rsid w:val="001F5EF9"/>
    <w:rsid w:val="001F63AE"/>
    <w:rsid w:val="001F657F"/>
    <w:rsid w:val="001F6FB6"/>
    <w:rsid w:val="001F72BB"/>
    <w:rsid w:val="001F7978"/>
    <w:rsid w:val="001F7A0E"/>
    <w:rsid w:val="001F7A4B"/>
    <w:rsid w:val="0020022E"/>
    <w:rsid w:val="0020054E"/>
    <w:rsid w:val="002012BE"/>
    <w:rsid w:val="002013E8"/>
    <w:rsid w:val="00201508"/>
    <w:rsid w:val="0020156E"/>
    <w:rsid w:val="00201AC4"/>
    <w:rsid w:val="00201F1E"/>
    <w:rsid w:val="00201F35"/>
    <w:rsid w:val="00202761"/>
    <w:rsid w:val="0020299B"/>
    <w:rsid w:val="00202B2A"/>
    <w:rsid w:val="00202E44"/>
    <w:rsid w:val="002036BA"/>
    <w:rsid w:val="002037AA"/>
    <w:rsid w:val="00203C94"/>
    <w:rsid w:val="00203FE3"/>
    <w:rsid w:val="002042D8"/>
    <w:rsid w:val="00204515"/>
    <w:rsid w:val="0020492B"/>
    <w:rsid w:val="00204BA0"/>
    <w:rsid w:val="00204BF5"/>
    <w:rsid w:val="00204E6B"/>
    <w:rsid w:val="002053EF"/>
    <w:rsid w:val="002058D4"/>
    <w:rsid w:val="0020632A"/>
    <w:rsid w:val="0020697F"/>
    <w:rsid w:val="00206F4D"/>
    <w:rsid w:val="0020726E"/>
    <w:rsid w:val="00207389"/>
    <w:rsid w:val="0020797E"/>
    <w:rsid w:val="00207C4B"/>
    <w:rsid w:val="00207FCD"/>
    <w:rsid w:val="002110EB"/>
    <w:rsid w:val="00211338"/>
    <w:rsid w:val="00211388"/>
    <w:rsid w:val="002113CF"/>
    <w:rsid w:val="0021148C"/>
    <w:rsid w:val="00211694"/>
    <w:rsid w:val="0021201A"/>
    <w:rsid w:val="00212545"/>
    <w:rsid w:val="00212BC8"/>
    <w:rsid w:val="002138FE"/>
    <w:rsid w:val="00213A1F"/>
    <w:rsid w:val="00213C63"/>
    <w:rsid w:val="00214502"/>
    <w:rsid w:val="00214741"/>
    <w:rsid w:val="0021480C"/>
    <w:rsid w:val="00214938"/>
    <w:rsid w:val="00214B7E"/>
    <w:rsid w:val="0021539A"/>
    <w:rsid w:val="00215852"/>
    <w:rsid w:val="00215B01"/>
    <w:rsid w:val="00215B8E"/>
    <w:rsid w:val="00216264"/>
    <w:rsid w:val="002169A0"/>
    <w:rsid w:val="002176B6"/>
    <w:rsid w:val="0021792D"/>
    <w:rsid w:val="00217DB8"/>
    <w:rsid w:val="00220206"/>
    <w:rsid w:val="002202CE"/>
    <w:rsid w:val="0022032A"/>
    <w:rsid w:val="002212FB"/>
    <w:rsid w:val="0022194E"/>
    <w:rsid w:val="002220B1"/>
    <w:rsid w:val="002221CE"/>
    <w:rsid w:val="00222BE8"/>
    <w:rsid w:val="00222D61"/>
    <w:rsid w:val="00222DF6"/>
    <w:rsid w:val="00223102"/>
    <w:rsid w:val="002232CB"/>
    <w:rsid w:val="00223E0B"/>
    <w:rsid w:val="00224022"/>
    <w:rsid w:val="00225147"/>
    <w:rsid w:val="00225CDE"/>
    <w:rsid w:val="00226055"/>
    <w:rsid w:val="0022609C"/>
    <w:rsid w:val="0022613F"/>
    <w:rsid w:val="0022614F"/>
    <w:rsid w:val="00226236"/>
    <w:rsid w:val="002266AF"/>
    <w:rsid w:val="002270C9"/>
    <w:rsid w:val="00227A8B"/>
    <w:rsid w:val="00230ADA"/>
    <w:rsid w:val="00230E35"/>
    <w:rsid w:val="0023146B"/>
    <w:rsid w:val="00231476"/>
    <w:rsid w:val="002315A0"/>
    <w:rsid w:val="00231748"/>
    <w:rsid w:val="00231A18"/>
    <w:rsid w:val="00231DCC"/>
    <w:rsid w:val="00231EC7"/>
    <w:rsid w:val="00232E15"/>
    <w:rsid w:val="00233079"/>
    <w:rsid w:val="002334C1"/>
    <w:rsid w:val="0023382C"/>
    <w:rsid w:val="00233977"/>
    <w:rsid w:val="00233C58"/>
    <w:rsid w:val="00233C71"/>
    <w:rsid w:val="002345B6"/>
    <w:rsid w:val="002347A6"/>
    <w:rsid w:val="00234B84"/>
    <w:rsid w:val="002352F0"/>
    <w:rsid w:val="00235987"/>
    <w:rsid w:val="00235D09"/>
    <w:rsid w:val="00236016"/>
    <w:rsid w:val="00237065"/>
    <w:rsid w:val="00237589"/>
    <w:rsid w:val="0023758D"/>
    <w:rsid w:val="002375A7"/>
    <w:rsid w:val="0024019A"/>
    <w:rsid w:val="00240DA2"/>
    <w:rsid w:val="00240EC1"/>
    <w:rsid w:val="0024120F"/>
    <w:rsid w:val="0024131D"/>
    <w:rsid w:val="002415B8"/>
    <w:rsid w:val="00241B82"/>
    <w:rsid w:val="00242D5F"/>
    <w:rsid w:val="00242D62"/>
    <w:rsid w:val="00242F5E"/>
    <w:rsid w:val="002430D0"/>
    <w:rsid w:val="0024316E"/>
    <w:rsid w:val="002431D7"/>
    <w:rsid w:val="00244058"/>
    <w:rsid w:val="00244FC3"/>
    <w:rsid w:val="002456B2"/>
    <w:rsid w:val="00245718"/>
    <w:rsid w:val="002457E9"/>
    <w:rsid w:val="00245B9E"/>
    <w:rsid w:val="00245E07"/>
    <w:rsid w:val="0024665E"/>
    <w:rsid w:val="00247712"/>
    <w:rsid w:val="0024790F"/>
    <w:rsid w:val="00247D41"/>
    <w:rsid w:val="00250A9E"/>
    <w:rsid w:val="00250EC6"/>
    <w:rsid w:val="00250F5C"/>
    <w:rsid w:val="002515C7"/>
    <w:rsid w:val="00251866"/>
    <w:rsid w:val="00251A9F"/>
    <w:rsid w:val="00252492"/>
    <w:rsid w:val="00252B35"/>
    <w:rsid w:val="00252F57"/>
    <w:rsid w:val="00252FE3"/>
    <w:rsid w:val="00253070"/>
    <w:rsid w:val="002530E2"/>
    <w:rsid w:val="0025316D"/>
    <w:rsid w:val="00253723"/>
    <w:rsid w:val="00253A02"/>
    <w:rsid w:val="00253B81"/>
    <w:rsid w:val="00254AE9"/>
    <w:rsid w:val="002554DE"/>
    <w:rsid w:val="00255575"/>
    <w:rsid w:val="00255AD7"/>
    <w:rsid w:val="00255E11"/>
    <w:rsid w:val="002564B7"/>
    <w:rsid w:val="00256835"/>
    <w:rsid w:val="002569F0"/>
    <w:rsid w:val="00256C01"/>
    <w:rsid w:val="00256E1A"/>
    <w:rsid w:val="00256ECF"/>
    <w:rsid w:val="00257730"/>
    <w:rsid w:val="00257999"/>
    <w:rsid w:val="00257BED"/>
    <w:rsid w:val="00260429"/>
    <w:rsid w:val="002604AA"/>
    <w:rsid w:val="00260523"/>
    <w:rsid w:val="00260869"/>
    <w:rsid w:val="0026129B"/>
    <w:rsid w:val="00261560"/>
    <w:rsid w:val="00261715"/>
    <w:rsid w:val="00261CF9"/>
    <w:rsid w:val="00261EC0"/>
    <w:rsid w:val="0026231B"/>
    <w:rsid w:val="00263101"/>
    <w:rsid w:val="002631D1"/>
    <w:rsid w:val="00263201"/>
    <w:rsid w:val="002638F4"/>
    <w:rsid w:val="00263A37"/>
    <w:rsid w:val="00264266"/>
    <w:rsid w:val="0026471F"/>
    <w:rsid w:val="002647FD"/>
    <w:rsid w:val="0026480D"/>
    <w:rsid w:val="002649F3"/>
    <w:rsid w:val="002653A6"/>
    <w:rsid w:val="002661F1"/>
    <w:rsid w:val="00266316"/>
    <w:rsid w:val="00266DB6"/>
    <w:rsid w:val="0027046B"/>
    <w:rsid w:val="00271107"/>
    <w:rsid w:val="002711A4"/>
    <w:rsid w:val="00271230"/>
    <w:rsid w:val="00271F13"/>
    <w:rsid w:val="00272640"/>
    <w:rsid w:val="00272945"/>
    <w:rsid w:val="00272E89"/>
    <w:rsid w:val="002742D0"/>
    <w:rsid w:val="00274522"/>
    <w:rsid w:val="0027482E"/>
    <w:rsid w:val="002748F1"/>
    <w:rsid w:val="00274DB5"/>
    <w:rsid w:val="00275BB1"/>
    <w:rsid w:val="00275F73"/>
    <w:rsid w:val="00276D7C"/>
    <w:rsid w:val="00276EF7"/>
    <w:rsid w:val="0027746E"/>
    <w:rsid w:val="0027770B"/>
    <w:rsid w:val="00277933"/>
    <w:rsid w:val="00277F8D"/>
    <w:rsid w:val="00277FA7"/>
    <w:rsid w:val="00280046"/>
    <w:rsid w:val="00280754"/>
    <w:rsid w:val="002809B4"/>
    <w:rsid w:val="00280B4F"/>
    <w:rsid w:val="00280F3D"/>
    <w:rsid w:val="0028106A"/>
    <w:rsid w:val="00281BF0"/>
    <w:rsid w:val="00281EB4"/>
    <w:rsid w:val="00282A39"/>
    <w:rsid w:val="00282E03"/>
    <w:rsid w:val="0028308E"/>
    <w:rsid w:val="002834E9"/>
    <w:rsid w:val="002837BA"/>
    <w:rsid w:val="00283A52"/>
    <w:rsid w:val="00283C5E"/>
    <w:rsid w:val="00283E26"/>
    <w:rsid w:val="0028428F"/>
    <w:rsid w:val="0028448F"/>
    <w:rsid w:val="00284CFC"/>
    <w:rsid w:val="00285832"/>
    <w:rsid w:val="00285969"/>
    <w:rsid w:val="0028599C"/>
    <w:rsid w:val="00285EAE"/>
    <w:rsid w:val="0028663B"/>
    <w:rsid w:val="00286CEC"/>
    <w:rsid w:val="00286E35"/>
    <w:rsid w:val="002870F9"/>
    <w:rsid w:val="002871A9"/>
    <w:rsid w:val="00287505"/>
    <w:rsid w:val="00287BDB"/>
    <w:rsid w:val="00290781"/>
    <w:rsid w:val="00290805"/>
    <w:rsid w:val="00291784"/>
    <w:rsid w:val="00291E40"/>
    <w:rsid w:val="002920DF"/>
    <w:rsid w:val="002928A3"/>
    <w:rsid w:val="002929BB"/>
    <w:rsid w:val="00292A27"/>
    <w:rsid w:val="00294368"/>
    <w:rsid w:val="00294B78"/>
    <w:rsid w:val="00294B85"/>
    <w:rsid w:val="00295416"/>
    <w:rsid w:val="00295949"/>
    <w:rsid w:val="00295D7C"/>
    <w:rsid w:val="0029624A"/>
    <w:rsid w:val="00296922"/>
    <w:rsid w:val="00297098"/>
    <w:rsid w:val="002A05D4"/>
    <w:rsid w:val="002A06DB"/>
    <w:rsid w:val="002A0928"/>
    <w:rsid w:val="002A09FF"/>
    <w:rsid w:val="002A0BC3"/>
    <w:rsid w:val="002A0E60"/>
    <w:rsid w:val="002A1A58"/>
    <w:rsid w:val="002A1B02"/>
    <w:rsid w:val="002A1C53"/>
    <w:rsid w:val="002A1F84"/>
    <w:rsid w:val="002A244B"/>
    <w:rsid w:val="002A28FC"/>
    <w:rsid w:val="002A2B44"/>
    <w:rsid w:val="002A2C56"/>
    <w:rsid w:val="002A2EA5"/>
    <w:rsid w:val="002A301E"/>
    <w:rsid w:val="002A3555"/>
    <w:rsid w:val="002A3D94"/>
    <w:rsid w:val="002A3F66"/>
    <w:rsid w:val="002A4736"/>
    <w:rsid w:val="002A4B1C"/>
    <w:rsid w:val="002A55FE"/>
    <w:rsid w:val="002A625C"/>
    <w:rsid w:val="002A6AFB"/>
    <w:rsid w:val="002A725A"/>
    <w:rsid w:val="002A733D"/>
    <w:rsid w:val="002A774A"/>
    <w:rsid w:val="002A7840"/>
    <w:rsid w:val="002A78F3"/>
    <w:rsid w:val="002A7D84"/>
    <w:rsid w:val="002A7E5C"/>
    <w:rsid w:val="002A7F6D"/>
    <w:rsid w:val="002B0D83"/>
    <w:rsid w:val="002B1342"/>
    <w:rsid w:val="002B18E0"/>
    <w:rsid w:val="002B1F83"/>
    <w:rsid w:val="002B27C8"/>
    <w:rsid w:val="002B2A7F"/>
    <w:rsid w:val="002B330B"/>
    <w:rsid w:val="002B39BE"/>
    <w:rsid w:val="002B3FBF"/>
    <w:rsid w:val="002B438C"/>
    <w:rsid w:val="002B48DB"/>
    <w:rsid w:val="002B4B34"/>
    <w:rsid w:val="002B5392"/>
    <w:rsid w:val="002B541A"/>
    <w:rsid w:val="002B5EAB"/>
    <w:rsid w:val="002B5F2E"/>
    <w:rsid w:val="002B6407"/>
    <w:rsid w:val="002B6416"/>
    <w:rsid w:val="002B6459"/>
    <w:rsid w:val="002B645D"/>
    <w:rsid w:val="002B662D"/>
    <w:rsid w:val="002B6F22"/>
    <w:rsid w:val="002B7014"/>
    <w:rsid w:val="002B73B0"/>
    <w:rsid w:val="002B76F5"/>
    <w:rsid w:val="002B7F77"/>
    <w:rsid w:val="002C0275"/>
    <w:rsid w:val="002C0589"/>
    <w:rsid w:val="002C0E0D"/>
    <w:rsid w:val="002C1EE4"/>
    <w:rsid w:val="002C24B4"/>
    <w:rsid w:val="002C2B3A"/>
    <w:rsid w:val="002C2B87"/>
    <w:rsid w:val="002C3A5E"/>
    <w:rsid w:val="002C3CF4"/>
    <w:rsid w:val="002C441A"/>
    <w:rsid w:val="002C4A2B"/>
    <w:rsid w:val="002C4A73"/>
    <w:rsid w:val="002C4B84"/>
    <w:rsid w:val="002C4C0C"/>
    <w:rsid w:val="002C5016"/>
    <w:rsid w:val="002C5C2F"/>
    <w:rsid w:val="002C5D0F"/>
    <w:rsid w:val="002C60B9"/>
    <w:rsid w:val="002C68BC"/>
    <w:rsid w:val="002C6B17"/>
    <w:rsid w:val="002C6D52"/>
    <w:rsid w:val="002C6F77"/>
    <w:rsid w:val="002C704D"/>
    <w:rsid w:val="002C712D"/>
    <w:rsid w:val="002D0845"/>
    <w:rsid w:val="002D0933"/>
    <w:rsid w:val="002D1555"/>
    <w:rsid w:val="002D15B6"/>
    <w:rsid w:val="002D19BB"/>
    <w:rsid w:val="002D1A9B"/>
    <w:rsid w:val="002D1F51"/>
    <w:rsid w:val="002D20F8"/>
    <w:rsid w:val="002D22BD"/>
    <w:rsid w:val="002D22C5"/>
    <w:rsid w:val="002D302A"/>
    <w:rsid w:val="002D36C6"/>
    <w:rsid w:val="002D37C1"/>
    <w:rsid w:val="002D3E4A"/>
    <w:rsid w:val="002D444B"/>
    <w:rsid w:val="002D46A6"/>
    <w:rsid w:val="002D46B4"/>
    <w:rsid w:val="002D46CE"/>
    <w:rsid w:val="002D49C2"/>
    <w:rsid w:val="002D4A45"/>
    <w:rsid w:val="002D4B42"/>
    <w:rsid w:val="002D4B43"/>
    <w:rsid w:val="002D4C3C"/>
    <w:rsid w:val="002D4F3D"/>
    <w:rsid w:val="002D5A1B"/>
    <w:rsid w:val="002D63A7"/>
    <w:rsid w:val="002D6558"/>
    <w:rsid w:val="002D65BC"/>
    <w:rsid w:val="002E02B7"/>
    <w:rsid w:val="002E055C"/>
    <w:rsid w:val="002E1050"/>
    <w:rsid w:val="002E107E"/>
    <w:rsid w:val="002E1880"/>
    <w:rsid w:val="002E18E5"/>
    <w:rsid w:val="002E1953"/>
    <w:rsid w:val="002E1BD8"/>
    <w:rsid w:val="002E26FB"/>
    <w:rsid w:val="002E2C3F"/>
    <w:rsid w:val="002E2CB5"/>
    <w:rsid w:val="002E2D7D"/>
    <w:rsid w:val="002E32D0"/>
    <w:rsid w:val="002E3931"/>
    <w:rsid w:val="002E3D76"/>
    <w:rsid w:val="002E40A1"/>
    <w:rsid w:val="002E4526"/>
    <w:rsid w:val="002E48EC"/>
    <w:rsid w:val="002E4B44"/>
    <w:rsid w:val="002E4C47"/>
    <w:rsid w:val="002E4ECB"/>
    <w:rsid w:val="002E4F23"/>
    <w:rsid w:val="002E635A"/>
    <w:rsid w:val="002E6A50"/>
    <w:rsid w:val="002E6D68"/>
    <w:rsid w:val="002E7847"/>
    <w:rsid w:val="002E7B84"/>
    <w:rsid w:val="002F0073"/>
    <w:rsid w:val="002F0116"/>
    <w:rsid w:val="002F07F5"/>
    <w:rsid w:val="002F1549"/>
    <w:rsid w:val="002F1B27"/>
    <w:rsid w:val="002F1C67"/>
    <w:rsid w:val="002F240B"/>
    <w:rsid w:val="002F24DA"/>
    <w:rsid w:val="002F28B3"/>
    <w:rsid w:val="002F2F50"/>
    <w:rsid w:val="002F33EC"/>
    <w:rsid w:val="002F34E3"/>
    <w:rsid w:val="002F3601"/>
    <w:rsid w:val="002F40E2"/>
    <w:rsid w:val="002F44E1"/>
    <w:rsid w:val="002F45F6"/>
    <w:rsid w:val="002F5A6F"/>
    <w:rsid w:val="002F692F"/>
    <w:rsid w:val="002F6FF9"/>
    <w:rsid w:val="002F7031"/>
    <w:rsid w:val="002F75BE"/>
    <w:rsid w:val="002F7961"/>
    <w:rsid w:val="002F7B66"/>
    <w:rsid w:val="00300CB4"/>
    <w:rsid w:val="00300E24"/>
    <w:rsid w:val="00301BB8"/>
    <w:rsid w:val="00301D6C"/>
    <w:rsid w:val="0030257B"/>
    <w:rsid w:val="00302C8C"/>
    <w:rsid w:val="003033BA"/>
    <w:rsid w:val="00303629"/>
    <w:rsid w:val="00303C19"/>
    <w:rsid w:val="003043A3"/>
    <w:rsid w:val="0030462D"/>
    <w:rsid w:val="00304BD4"/>
    <w:rsid w:val="00304F54"/>
    <w:rsid w:val="0030500A"/>
    <w:rsid w:val="0030527D"/>
    <w:rsid w:val="003052EB"/>
    <w:rsid w:val="00305E5F"/>
    <w:rsid w:val="00305FCB"/>
    <w:rsid w:val="003060CB"/>
    <w:rsid w:val="003063C3"/>
    <w:rsid w:val="003069DC"/>
    <w:rsid w:val="00306A13"/>
    <w:rsid w:val="00306B44"/>
    <w:rsid w:val="00306D1E"/>
    <w:rsid w:val="00307C44"/>
    <w:rsid w:val="0031040A"/>
    <w:rsid w:val="00310439"/>
    <w:rsid w:val="0031088E"/>
    <w:rsid w:val="00310D01"/>
    <w:rsid w:val="00311376"/>
    <w:rsid w:val="00311A1F"/>
    <w:rsid w:val="00311B47"/>
    <w:rsid w:val="00311D52"/>
    <w:rsid w:val="00312190"/>
    <w:rsid w:val="003125E0"/>
    <w:rsid w:val="0031271D"/>
    <w:rsid w:val="00312E92"/>
    <w:rsid w:val="003132BB"/>
    <w:rsid w:val="00313337"/>
    <w:rsid w:val="00313447"/>
    <w:rsid w:val="00313748"/>
    <w:rsid w:val="00313EA3"/>
    <w:rsid w:val="00314A22"/>
    <w:rsid w:val="003151FE"/>
    <w:rsid w:val="00315365"/>
    <w:rsid w:val="00315457"/>
    <w:rsid w:val="00315DCA"/>
    <w:rsid w:val="003161A4"/>
    <w:rsid w:val="00316955"/>
    <w:rsid w:val="00316AD8"/>
    <w:rsid w:val="0031713F"/>
    <w:rsid w:val="0031720A"/>
    <w:rsid w:val="0031749B"/>
    <w:rsid w:val="003174E5"/>
    <w:rsid w:val="00317C9D"/>
    <w:rsid w:val="00317CD2"/>
    <w:rsid w:val="00317D99"/>
    <w:rsid w:val="003206F2"/>
    <w:rsid w:val="0032078D"/>
    <w:rsid w:val="00320ADF"/>
    <w:rsid w:val="0032137B"/>
    <w:rsid w:val="00321A70"/>
    <w:rsid w:val="00321BD6"/>
    <w:rsid w:val="00321FA3"/>
    <w:rsid w:val="003227D3"/>
    <w:rsid w:val="0032283C"/>
    <w:rsid w:val="00322937"/>
    <w:rsid w:val="00323881"/>
    <w:rsid w:val="00324885"/>
    <w:rsid w:val="003251A8"/>
    <w:rsid w:val="003254B1"/>
    <w:rsid w:val="00325700"/>
    <w:rsid w:val="00325AD9"/>
    <w:rsid w:val="00325D79"/>
    <w:rsid w:val="00325D98"/>
    <w:rsid w:val="0032682A"/>
    <w:rsid w:val="00327A5C"/>
    <w:rsid w:val="00327DB8"/>
    <w:rsid w:val="003305BD"/>
    <w:rsid w:val="0033092C"/>
    <w:rsid w:val="0033122A"/>
    <w:rsid w:val="003315AC"/>
    <w:rsid w:val="00331932"/>
    <w:rsid w:val="00331F74"/>
    <w:rsid w:val="00332382"/>
    <w:rsid w:val="00332453"/>
    <w:rsid w:val="0033251B"/>
    <w:rsid w:val="003328CF"/>
    <w:rsid w:val="00333A88"/>
    <w:rsid w:val="003351FF"/>
    <w:rsid w:val="00335B15"/>
    <w:rsid w:val="00335B21"/>
    <w:rsid w:val="00335D3F"/>
    <w:rsid w:val="00336104"/>
    <w:rsid w:val="00336729"/>
    <w:rsid w:val="00336CD9"/>
    <w:rsid w:val="0033701C"/>
    <w:rsid w:val="0033726D"/>
    <w:rsid w:val="00337357"/>
    <w:rsid w:val="00337CA8"/>
    <w:rsid w:val="00340D3F"/>
    <w:rsid w:val="0034174B"/>
    <w:rsid w:val="0034177C"/>
    <w:rsid w:val="003419D7"/>
    <w:rsid w:val="003420E9"/>
    <w:rsid w:val="00342345"/>
    <w:rsid w:val="00342361"/>
    <w:rsid w:val="00342C27"/>
    <w:rsid w:val="0034308C"/>
    <w:rsid w:val="003430C8"/>
    <w:rsid w:val="003431F6"/>
    <w:rsid w:val="003432C8"/>
    <w:rsid w:val="003434B3"/>
    <w:rsid w:val="00343536"/>
    <w:rsid w:val="00343B9E"/>
    <w:rsid w:val="00343EFB"/>
    <w:rsid w:val="00344125"/>
    <w:rsid w:val="00344760"/>
    <w:rsid w:val="003454E8"/>
    <w:rsid w:val="00345574"/>
    <w:rsid w:val="00345965"/>
    <w:rsid w:val="003467FE"/>
    <w:rsid w:val="0034680A"/>
    <w:rsid w:val="00346C62"/>
    <w:rsid w:val="0034713F"/>
    <w:rsid w:val="00347202"/>
    <w:rsid w:val="0034778E"/>
    <w:rsid w:val="00347A5A"/>
    <w:rsid w:val="003501E2"/>
    <w:rsid w:val="003514B8"/>
    <w:rsid w:val="00351E10"/>
    <w:rsid w:val="003530AC"/>
    <w:rsid w:val="0035322F"/>
    <w:rsid w:val="003533F4"/>
    <w:rsid w:val="003536F6"/>
    <w:rsid w:val="00353801"/>
    <w:rsid w:val="00353DD5"/>
    <w:rsid w:val="00353F36"/>
    <w:rsid w:val="003548AB"/>
    <w:rsid w:val="00355061"/>
    <w:rsid w:val="00355131"/>
    <w:rsid w:val="00355F74"/>
    <w:rsid w:val="003560DB"/>
    <w:rsid w:val="003564DB"/>
    <w:rsid w:val="00356F87"/>
    <w:rsid w:val="00357E83"/>
    <w:rsid w:val="003602B1"/>
    <w:rsid w:val="00360CF3"/>
    <w:rsid w:val="00361A59"/>
    <w:rsid w:val="00361DC7"/>
    <w:rsid w:val="00362668"/>
    <w:rsid w:val="00363348"/>
    <w:rsid w:val="00363857"/>
    <w:rsid w:val="00363A24"/>
    <w:rsid w:val="00363D59"/>
    <w:rsid w:val="00363F08"/>
    <w:rsid w:val="003640F7"/>
    <w:rsid w:val="003651C2"/>
    <w:rsid w:val="0036594A"/>
    <w:rsid w:val="00365AE5"/>
    <w:rsid w:val="00365D3A"/>
    <w:rsid w:val="003664FF"/>
    <w:rsid w:val="00366BD2"/>
    <w:rsid w:val="00366DEB"/>
    <w:rsid w:val="003670B8"/>
    <w:rsid w:val="00367ABB"/>
    <w:rsid w:val="003704A3"/>
    <w:rsid w:val="003706F2"/>
    <w:rsid w:val="003709E8"/>
    <w:rsid w:val="0037124F"/>
    <w:rsid w:val="00371563"/>
    <w:rsid w:val="0037256F"/>
    <w:rsid w:val="00373827"/>
    <w:rsid w:val="0037401C"/>
    <w:rsid w:val="00374EBA"/>
    <w:rsid w:val="0037507B"/>
    <w:rsid w:val="00375C7C"/>
    <w:rsid w:val="00375F02"/>
    <w:rsid w:val="00377027"/>
    <w:rsid w:val="00377135"/>
    <w:rsid w:val="00380272"/>
    <w:rsid w:val="003805DB"/>
    <w:rsid w:val="0038152A"/>
    <w:rsid w:val="003821F1"/>
    <w:rsid w:val="0038245D"/>
    <w:rsid w:val="00382BAD"/>
    <w:rsid w:val="003835FD"/>
    <w:rsid w:val="00383DE4"/>
    <w:rsid w:val="00383EDF"/>
    <w:rsid w:val="00384494"/>
    <w:rsid w:val="0038484C"/>
    <w:rsid w:val="00384C5E"/>
    <w:rsid w:val="00384DF1"/>
    <w:rsid w:val="00384FF3"/>
    <w:rsid w:val="00386456"/>
    <w:rsid w:val="003865A9"/>
    <w:rsid w:val="003869CD"/>
    <w:rsid w:val="0039047D"/>
    <w:rsid w:val="003906FD"/>
    <w:rsid w:val="0039092B"/>
    <w:rsid w:val="00390BD9"/>
    <w:rsid w:val="00390F32"/>
    <w:rsid w:val="0039135E"/>
    <w:rsid w:val="00391867"/>
    <w:rsid w:val="003922B4"/>
    <w:rsid w:val="0039285D"/>
    <w:rsid w:val="003929DC"/>
    <w:rsid w:val="00392C17"/>
    <w:rsid w:val="0039319C"/>
    <w:rsid w:val="00393577"/>
    <w:rsid w:val="00393CAE"/>
    <w:rsid w:val="003945C3"/>
    <w:rsid w:val="003945F4"/>
    <w:rsid w:val="00394B30"/>
    <w:rsid w:val="00394EB5"/>
    <w:rsid w:val="003953B4"/>
    <w:rsid w:val="00395558"/>
    <w:rsid w:val="0039615F"/>
    <w:rsid w:val="003966A0"/>
    <w:rsid w:val="00396A29"/>
    <w:rsid w:val="00396DD1"/>
    <w:rsid w:val="00397BA9"/>
    <w:rsid w:val="00397FF0"/>
    <w:rsid w:val="003A0496"/>
    <w:rsid w:val="003A058E"/>
    <w:rsid w:val="003A0878"/>
    <w:rsid w:val="003A1561"/>
    <w:rsid w:val="003A1D25"/>
    <w:rsid w:val="003A22A2"/>
    <w:rsid w:val="003A2447"/>
    <w:rsid w:val="003A2AA1"/>
    <w:rsid w:val="003A31A5"/>
    <w:rsid w:val="003A329A"/>
    <w:rsid w:val="003A3603"/>
    <w:rsid w:val="003A3851"/>
    <w:rsid w:val="003A39DD"/>
    <w:rsid w:val="003A3EA0"/>
    <w:rsid w:val="003A40DB"/>
    <w:rsid w:val="003A4199"/>
    <w:rsid w:val="003A41C5"/>
    <w:rsid w:val="003A4A8E"/>
    <w:rsid w:val="003A4C7B"/>
    <w:rsid w:val="003A563C"/>
    <w:rsid w:val="003A581E"/>
    <w:rsid w:val="003A5E7E"/>
    <w:rsid w:val="003A6160"/>
    <w:rsid w:val="003A647A"/>
    <w:rsid w:val="003A65A5"/>
    <w:rsid w:val="003A65AC"/>
    <w:rsid w:val="003A65B8"/>
    <w:rsid w:val="003A72F5"/>
    <w:rsid w:val="003A78E5"/>
    <w:rsid w:val="003B0153"/>
    <w:rsid w:val="003B0341"/>
    <w:rsid w:val="003B1961"/>
    <w:rsid w:val="003B1E57"/>
    <w:rsid w:val="003B2662"/>
    <w:rsid w:val="003B26A6"/>
    <w:rsid w:val="003B2EF3"/>
    <w:rsid w:val="003B534F"/>
    <w:rsid w:val="003B5391"/>
    <w:rsid w:val="003B58CE"/>
    <w:rsid w:val="003B65D7"/>
    <w:rsid w:val="003B65E0"/>
    <w:rsid w:val="003B6BD4"/>
    <w:rsid w:val="003B6F4D"/>
    <w:rsid w:val="003B6FE7"/>
    <w:rsid w:val="003C0491"/>
    <w:rsid w:val="003C0C0F"/>
    <w:rsid w:val="003C0D1F"/>
    <w:rsid w:val="003C116A"/>
    <w:rsid w:val="003C14F0"/>
    <w:rsid w:val="003C1AF4"/>
    <w:rsid w:val="003C1CB8"/>
    <w:rsid w:val="003C21AA"/>
    <w:rsid w:val="003C21B1"/>
    <w:rsid w:val="003C22DA"/>
    <w:rsid w:val="003C2550"/>
    <w:rsid w:val="003C287F"/>
    <w:rsid w:val="003C2FB1"/>
    <w:rsid w:val="003C3339"/>
    <w:rsid w:val="003C375A"/>
    <w:rsid w:val="003C4317"/>
    <w:rsid w:val="003C4B46"/>
    <w:rsid w:val="003C4D9F"/>
    <w:rsid w:val="003C5247"/>
    <w:rsid w:val="003C5B02"/>
    <w:rsid w:val="003C5E8A"/>
    <w:rsid w:val="003C622C"/>
    <w:rsid w:val="003C6505"/>
    <w:rsid w:val="003C73C7"/>
    <w:rsid w:val="003C7CFB"/>
    <w:rsid w:val="003D02F3"/>
    <w:rsid w:val="003D050B"/>
    <w:rsid w:val="003D0B98"/>
    <w:rsid w:val="003D0C3C"/>
    <w:rsid w:val="003D0DE5"/>
    <w:rsid w:val="003D1351"/>
    <w:rsid w:val="003D21C1"/>
    <w:rsid w:val="003D2E69"/>
    <w:rsid w:val="003D3B15"/>
    <w:rsid w:val="003D3B2E"/>
    <w:rsid w:val="003D3F28"/>
    <w:rsid w:val="003D4101"/>
    <w:rsid w:val="003D41B1"/>
    <w:rsid w:val="003D484D"/>
    <w:rsid w:val="003D49CB"/>
    <w:rsid w:val="003D4F41"/>
    <w:rsid w:val="003D5429"/>
    <w:rsid w:val="003D5F10"/>
    <w:rsid w:val="003D65E0"/>
    <w:rsid w:val="003D6B8F"/>
    <w:rsid w:val="003D6E60"/>
    <w:rsid w:val="003D7566"/>
    <w:rsid w:val="003E0224"/>
    <w:rsid w:val="003E09BB"/>
    <w:rsid w:val="003E13D2"/>
    <w:rsid w:val="003E159D"/>
    <w:rsid w:val="003E20EA"/>
    <w:rsid w:val="003E210C"/>
    <w:rsid w:val="003E27F5"/>
    <w:rsid w:val="003E2F55"/>
    <w:rsid w:val="003E324A"/>
    <w:rsid w:val="003E34DB"/>
    <w:rsid w:val="003E36D8"/>
    <w:rsid w:val="003E3833"/>
    <w:rsid w:val="003E3AF9"/>
    <w:rsid w:val="003E4A70"/>
    <w:rsid w:val="003E4C48"/>
    <w:rsid w:val="003E4CD9"/>
    <w:rsid w:val="003E52C2"/>
    <w:rsid w:val="003E54B3"/>
    <w:rsid w:val="003E5780"/>
    <w:rsid w:val="003E5B9F"/>
    <w:rsid w:val="003E6049"/>
    <w:rsid w:val="003E6072"/>
    <w:rsid w:val="003E60D6"/>
    <w:rsid w:val="003E6AB6"/>
    <w:rsid w:val="003E6E0B"/>
    <w:rsid w:val="003E71CD"/>
    <w:rsid w:val="003E75FD"/>
    <w:rsid w:val="003E78DA"/>
    <w:rsid w:val="003E7A8B"/>
    <w:rsid w:val="003F02A2"/>
    <w:rsid w:val="003F051D"/>
    <w:rsid w:val="003F060E"/>
    <w:rsid w:val="003F0F7F"/>
    <w:rsid w:val="003F115C"/>
    <w:rsid w:val="003F153A"/>
    <w:rsid w:val="003F2582"/>
    <w:rsid w:val="003F300D"/>
    <w:rsid w:val="003F391F"/>
    <w:rsid w:val="003F4599"/>
    <w:rsid w:val="003F45E1"/>
    <w:rsid w:val="003F4A61"/>
    <w:rsid w:val="003F4F6C"/>
    <w:rsid w:val="003F559E"/>
    <w:rsid w:val="003F6181"/>
    <w:rsid w:val="003F6BFC"/>
    <w:rsid w:val="003F7343"/>
    <w:rsid w:val="00400002"/>
    <w:rsid w:val="00400054"/>
    <w:rsid w:val="00400A1B"/>
    <w:rsid w:val="00400E06"/>
    <w:rsid w:val="00401533"/>
    <w:rsid w:val="004016A3"/>
    <w:rsid w:val="00401B31"/>
    <w:rsid w:val="0040202B"/>
    <w:rsid w:val="0040219D"/>
    <w:rsid w:val="00402ACD"/>
    <w:rsid w:val="00402DE1"/>
    <w:rsid w:val="00402EEB"/>
    <w:rsid w:val="00402FAF"/>
    <w:rsid w:val="004037C2"/>
    <w:rsid w:val="00404041"/>
    <w:rsid w:val="004040D4"/>
    <w:rsid w:val="00404B43"/>
    <w:rsid w:val="00404C61"/>
    <w:rsid w:val="004053EC"/>
    <w:rsid w:val="0040547B"/>
    <w:rsid w:val="00405487"/>
    <w:rsid w:val="00405B8A"/>
    <w:rsid w:val="0040602B"/>
    <w:rsid w:val="0040606C"/>
    <w:rsid w:val="004060DC"/>
    <w:rsid w:val="00406DF5"/>
    <w:rsid w:val="00406F35"/>
    <w:rsid w:val="00407325"/>
    <w:rsid w:val="004076A7"/>
    <w:rsid w:val="004077D0"/>
    <w:rsid w:val="00407937"/>
    <w:rsid w:val="00407A7A"/>
    <w:rsid w:val="00407ABC"/>
    <w:rsid w:val="00407F1E"/>
    <w:rsid w:val="00410A88"/>
    <w:rsid w:val="00410CC8"/>
    <w:rsid w:val="00411317"/>
    <w:rsid w:val="00411692"/>
    <w:rsid w:val="00411A9E"/>
    <w:rsid w:val="00412110"/>
    <w:rsid w:val="0041259F"/>
    <w:rsid w:val="00412B1B"/>
    <w:rsid w:val="00412B4D"/>
    <w:rsid w:val="00412C51"/>
    <w:rsid w:val="00413262"/>
    <w:rsid w:val="0041329C"/>
    <w:rsid w:val="004139F4"/>
    <w:rsid w:val="00413D35"/>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17F3E"/>
    <w:rsid w:val="004200EE"/>
    <w:rsid w:val="00420547"/>
    <w:rsid w:val="00420786"/>
    <w:rsid w:val="004207F3"/>
    <w:rsid w:val="004209D2"/>
    <w:rsid w:val="00420BBA"/>
    <w:rsid w:val="00420D6E"/>
    <w:rsid w:val="00420F50"/>
    <w:rsid w:val="0042158C"/>
    <w:rsid w:val="00421617"/>
    <w:rsid w:val="004217A7"/>
    <w:rsid w:val="00421BD2"/>
    <w:rsid w:val="00421E00"/>
    <w:rsid w:val="00421FCB"/>
    <w:rsid w:val="0042226E"/>
    <w:rsid w:val="00422DCA"/>
    <w:rsid w:val="00423D04"/>
    <w:rsid w:val="00423F9F"/>
    <w:rsid w:val="004243B7"/>
    <w:rsid w:val="00425B2E"/>
    <w:rsid w:val="00425C43"/>
    <w:rsid w:val="00426CFB"/>
    <w:rsid w:val="004273FA"/>
    <w:rsid w:val="004275A7"/>
    <w:rsid w:val="0042773E"/>
    <w:rsid w:val="004278D8"/>
    <w:rsid w:val="00430186"/>
    <w:rsid w:val="00430D44"/>
    <w:rsid w:val="00430DD2"/>
    <w:rsid w:val="00430F17"/>
    <w:rsid w:val="00431CC7"/>
    <w:rsid w:val="00431F03"/>
    <w:rsid w:val="0043260C"/>
    <w:rsid w:val="0043269A"/>
    <w:rsid w:val="00432E92"/>
    <w:rsid w:val="004333C2"/>
    <w:rsid w:val="00434787"/>
    <w:rsid w:val="00434C13"/>
    <w:rsid w:val="00434D8B"/>
    <w:rsid w:val="00435294"/>
    <w:rsid w:val="00435703"/>
    <w:rsid w:val="00435BD5"/>
    <w:rsid w:val="00436323"/>
    <w:rsid w:val="0043683F"/>
    <w:rsid w:val="00436F40"/>
    <w:rsid w:val="004370FA"/>
    <w:rsid w:val="0043741B"/>
    <w:rsid w:val="00437506"/>
    <w:rsid w:val="00437AF3"/>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259"/>
    <w:rsid w:val="0044361F"/>
    <w:rsid w:val="0044374D"/>
    <w:rsid w:val="00443B55"/>
    <w:rsid w:val="00443D27"/>
    <w:rsid w:val="00444D7D"/>
    <w:rsid w:val="0044500B"/>
    <w:rsid w:val="004451C5"/>
    <w:rsid w:val="00446037"/>
    <w:rsid w:val="00446270"/>
    <w:rsid w:val="0044642F"/>
    <w:rsid w:val="004466BA"/>
    <w:rsid w:val="00446709"/>
    <w:rsid w:val="00446922"/>
    <w:rsid w:val="0044772C"/>
    <w:rsid w:val="00450846"/>
    <w:rsid w:val="004518B0"/>
    <w:rsid w:val="00451A52"/>
    <w:rsid w:val="0045271D"/>
    <w:rsid w:val="00452755"/>
    <w:rsid w:val="00452803"/>
    <w:rsid w:val="004529C6"/>
    <w:rsid w:val="00452A7C"/>
    <w:rsid w:val="00452EAD"/>
    <w:rsid w:val="004533D1"/>
    <w:rsid w:val="004534D1"/>
    <w:rsid w:val="004540B8"/>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0B4F"/>
    <w:rsid w:val="0046134D"/>
    <w:rsid w:val="004614A9"/>
    <w:rsid w:val="00461E97"/>
    <w:rsid w:val="004622A6"/>
    <w:rsid w:val="0046268F"/>
    <w:rsid w:val="0046284F"/>
    <w:rsid w:val="00462B10"/>
    <w:rsid w:val="00462C04"/>
    <w:rsid w:val="0046320A"/>
    <w:rsid w:val="00463347"/>
    <w:rsid w:val="004633EC"/>
    <w:rsid w:val="004636CC"/>
    <w:rsid w:val="004638E2"/>
    <w:rsid w:val="00463B3C"/>
    <w:rsid w:val="00464030"/>
    <w:rsid w:val="004647F8"/>
    <w:rsid w:val="004647FB"/>
    <w:rsid w:val="00465347"/>
    <w:rsid w:val="00465677"/>
    <w:rsid w:val="00465F67"/>
    <w:rsid w:val="00466616"/>
    <w:rsid w:val="00466A0C"/>
    <w:rsid w:val="00466A53"/>
    <w:rsid w:val="00466C74"/>
    <w:rsid w:val="00467E2F"/>
    <w:rsid w:val="0047072B"/>
    <w:rsid w:val="00470A6A"/>
    <w:rsid w:val="00470D73"/>
    <w:rsid w:val="00470D92"/>
    <w:rsid w:val="00471DF7"/>
    <w:rsid w:val="00472512"/>
    <w:rsid w:val="004727B1"/>
    <w:rsid w:val="004734CF"/>
    <w:rsid w:val="00473C65"/>
    <w:rsid w:val="00473F33"/>
    <w:rsid w:val="0047480D"/>
    <w:rsid w:val="0047586C"/>
    <w:rsid w:val="00475C5A"/>
    <w:rsid w:val="00475C9C"/>
    <w:rsid w:val="0047676B"/>
    <w:rsid w:val="00476D6A"/>
    <w:rsid w:val="004774C3"/>
    <w:rsid w:val="0047773C"/>
    <w:rsid w:val="00477C5F"/>
    <w:rsid w:val="00480050"/>
    <w:rsid w:val="0048011C"/>
    <w:rsid w:val="004808DE"/>
    <w:rsid w:val="00480F9A"/>
    <w:rsid w:val="00481912"/>
    <w:rsid w:val="00481AC4"/>
    <w:rsid w:val="00481DC1"/>
    <w:rsid w:val="00482157"/>
    <w:rsid w:val="00482507"/>
    <w:rsid w:val="0048268A"/>
    <w:rsid w:val="00482A64"/>
    <w:rsid w:val="004832AF"/>
    <w:rsid w:val="004835CA"/>
    <w:rsid w:val="004836F8"/>
    <w:rsid w:val="004836FE"/>
    <w:rsid w:val="0048478C"/>
    <w:rsid w:val="00484A39"/>
    <w:rsid w:val="00484F0F"/>
    <w:rsid w:val="00484F40"/>
    <w:rsid w:val="0048540C"/>
    <w:rsid w:val="00485E3F"/>
    <w:rsid w:val="004861B4"/>
    <w:rsid w:val="00486226"/>
    <w:rsid w:val="004862CD"/>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1C74"/>
    <w:rsid w:val="0049241A"/>
    <w:rsid w:val="00492844"/>
    <w:rsid w:val="00492C1F"/>
    <w:rsid w:val="00492E4C"/>
    <w:rsid w:val="00493664"/>
    <w:rsid w:val="00493870"/>
    <w:rsid w:val="004938FD"/>
    <w:rsid w:val="00493E04"/>
    <w:rsid w:val="004940E3"/>
    <w:rsid w:val="004941CD"/>
    <w:rsid w:val="0049530F"/>
    <w:rsid w:val="004954AB"/>
    <w:rsid w:val="00495553"/>
    <w:rsid w:val="00496664"/>
    <w:rsid w:val="00496786"/>
    <w:rsid w:val="0049695B"/>
    <w:rsid w:val="00496AC4"/>
    <w:rsid w:val="00496D8F"/>
    <w:rsid w:val="00497463"/>
    <w:rsid w:val="00497CED"/>
    <w:rsid w:val="004A054C"/>
    <w:rsid w:val="004A0834"/>
    <w:rsid w:val="004A08D1"/>
    <w:rsid w:val="004A0FA9"/>
    <w:rsid w:val="004A10A0"/>
    <w:rsid w:val="004A16C1"/>
    <w:rsid w:val="004A1CE2"/>
    <w:rsid w:val="004A1D75"/>
    <w:rsid w:val="004A34D2"/>
    <w:rsid w:val="004A4301"/>
    <w:rsid w:val="004A4D93"/>
    <w:rsid w:val="004A546E"/>
    <w:rsid w:val="004A58EE"/>
    <w:rsid w:val="004A59B7"/>
    <w:rsid w:val="004A6051"/>
    <w:rsid w:val="004A623B"/>
    <w:rsid w:val="004A650B"/>
    <w:rsid w:val="004A6A04"/>
    <w:rsid w:val="004A6A52"/>
    <w:rsid w:val="004B0A44"/>
    <w:rsid w:val="004B0F0B"/>
    <w:rsid w:val="004B205A"/>
    <w:rsid w:val="004B2197"/>
    <w:rsid w:val="004B25D8"/>
    <w:rsid w:val="004B298A"/>
    <w:rsid w:val="004B2BB8"/>
    <w:rsid w:val="004B2C74"/>
    <w:rsid w:val="004B2F47"/>
    <w:rsid w:val="004B3152"/>
    <w:rsid w:val="004B50CB"/>
    <w:rsid w:val="004B578D"/>
    <w:rsid w:val="004B5BE7"/>
    <w:rsid w:val="004B5E2D"/>
    <w:rsid w:val="004B65D9"/>
    <w:rsid w:val="004B6C07"/>
    <w:rsid w:val="004B74D3"/>
    <w:rsid w:val="004B755E"/>
    <w:rsid w:val="004B788E"/>
    <w:rsid w:val="004B7E5D"/>
    <w:rsid w:val="004C0947"/>
    <w:rsid w:val="004C0BF9"/>
    <w:rsid w:val="004C1198"/>
    <w:rsid w:val="004C22F7"/>
    <w:rsid w:val="004C234B"/>
    <w:rsid w:val="004C2B27"/>
    <w:rsid w:val="004C3929"/>
    <w:rsid w:val="004C4160"/>
    <w:rsid w:val="004C5212"/>
    <w:rsid w:val="004C5EF0"/>
    <w:rsid w:val="004C64C9"/>
    <w:rsid w:val="004C7226"/>
    <w:rsid w:val="004C74BD"/>
    <w:rsid w:val="004C74C9"/>
    <w:rsid w:val="004C764F"/>
    <w:rsid w:val="004C76AA"/>
    <w:rsid w:val="004C7915"/>
    <w:rsid w:val="004C7D70"/>
    <w:rsid w:val="004D02F9"/>
    <w:rsid w:val="004D03FE"/>
    <w:rsid w:val="004D0446"/>
    <w:rsid w:val="004D06A3"/>
    <w:rsid w:val="004D0F95"/>
    <w:rsid w:val="004D106A"/>
    <w:rsid w:val="004D15C7"/>
    <w:rsid w:val="004D1653"/>
    <w:rsid w:val="004D1C7E"/>
    <w:rsid w:val="004D245A"/>
    <w:rsid w:val="004D29D2"/>
    <w:rsid w:val="004D31EE"/>
    <w:rsid w:val="004D36AF"/>
    <w:rsid w:val="004D3BD1"/>
    <w:rsid w:val="004D3C52"/>
    <w:rsid w:val="004D4BA1"/>
    <w:rsid w:val="004D584D"/>
    <w:rsid w:val="004D5A7E"/>
    <w:rsid w:val="004D5E72"/>
    <w:rsid w:val="004D6120"/>
    <w:rsid w:val="004D6826"/>
    <w:rsid w:val="004D7497"/>
    <w:rsid w:val="004D7F7A"/>
    <w:rsid w:val="004E0229"/>
    <w:rsid w:val="004E023F"/>
    <w:rsid w:val="004E0546"/>
    <w:rsid w:val="004E0556"/>
    <w:rsid w:val="004E0742"/>
    <w:rsid w:val="004E0C64"/>
    <w:rsid w:val="004E0F6B"/>
    <w:rsid w:val="004E1545"/>
    <w:rsid w:val="004E1F1C"/>
    <w:rsid w:val="004E2A35"/>
    <w:rsid w:val="004E2CCF"/>
    <w:rsid w:val="004E3B71"/>
    <w:rsid w:val="004E40CE"/>
    <w:rsid w:val="004E5736"/>
    <w:rsid w:val="004E5A3C"/>
    <w:rsid w:val="004E5B36"/>
    <w:rsid w:val="004E5D5D"/>
    <w:rsid w:val="004E6045"/>
    <w:rsid w:val="004E6F43"/>
    <w:rsid w:val="004E71B7"/>
    <w:rsid w:val="004E7200"/>
    <w:rsid w:val="004E7729"/>
    <w:rsid w:val="004E787E"/>
    <w:rsid w:val="004E7AA1"/>
    <w:rsid w:val="004F0805"/>
    <w:rsid w:val="004F0960"/>
    <w:rsid w:val="004F0A5C"/>
    <w:rsid w:val="004F1596"/>
    <w:rsid w:val="004F163F"/>
    <w:rsid w:val="004F18A0"/>
    <w:rsid w:val="004F1A08"/>
    <w:rsid w:val="004F2364"/>
    <w:rsid w:val="004F2B64"/>
    <w:rsid w:val="004F2C6F"/>
    <w:rsid w:val="004F31B8"/>
    <w:rsid w:val="004F375E"/>
    <w:rsid w:val="004F3764"/>
    <w:rsid w:val="004F3EEF"/>
    <w:rsid w:val="004F44D8"/>
    <w:rsid w:val="004F5180"/>
    <w:rsid w:val="004F5634"/>
    <w:rsid w:val="004F57C9"/>
    <w:rsid w:val="004F5930"/>
    <w:rsid w:val="004F5970"/>
    <w:rsid w:val="004F5F0C"/>
    <w:rsid w:val="004F6121"/>
    <w:rsid w:val="004F6161"/>
    <w:rsid w:val="004F66BC"/>
    <w:rsid w:val="004F6C26"/>
    <w:rsid w:val="004F7AC9"/>
    <w:rsid w:val="004F7E04"/>
    <w:rsid w:val="0050062F"/>
    <w:rsid w:val="00500E74"/>
    <w:rsid w:val="0050160F"/>
    <w:rsid w:val="0050284E"/>
    <w:rsid w:val="00502E86"/>
    <w:rsid w:val="0050306F"/>
    <w:rsid w:val="00503534"/>
    <w:rsid w:val="00503A17"/>
    <w:rsid w:val="005042E8"/>
    <w:rsid w:val="0050459C"/>
    <w:rsid w:val="00504B36"/>
    <w:rsid w:val="00505892"/>
    <w:rsid w:val="00505DCB"/>
    <w:rsid w:val="0050674C"/>
    <w:rsid w:val="00507066"/>
    <w:rsid w:val="005075CA"/>
    <w:rsid w:val="00507B06"/>
    <w:rsid w:val="00507BF1"/>
    <w:rsid w:val="0051074C"/>
    <w:rsid w:val="005107E3"/>
    <w:rsid w:val="00510DE9"/>
    <w:rsid w:val="005111E2"/>
    <w:rsid w:val="00511231"/>
    <w:rsid w:val="00511368"/>
    <w:rsid w:val="00511430"/>
    <w:rsid w:val="005115FD"/>
    <w:rsid w:val="00511741"/>
    <w:rsid w:val="00512BC0"/>
    <w:rsid w:val="00512C4F"/>
    <w:rsid w:val="00513042"/>
    <w:rsid w:val="00513240"/>
    <w:rsid w:val="0051334F"/>
    <w:rsid w:val="00513399"/>
    <w:rsid w:val="00513795"/>
    <w:rsid w:val="00513AF2"/>
    <w:rsid w:val="00514575"/>
    <w:rsid w:val="00514579"/>
    <w:rsid w:val="00514C03"/>
    <w:rsid w:val="00514D67"/>
    <w:rsid w:val="00514F2F"/>
    <w:rsid w:val="0051522A"/>
    <w:rsid w:val="00515515"/>
    <w:rsid w:val="0051635C"/>
    <w:rsid w:val="00516C5B"/>
    <w:rsid w:val="00517612"/>
    <w:rsid w:val="00517CFB"/>
    <w:rsid w:val="00517F85"/>
    <w:rsid w:val="0052002F"/>
    <w:rsid w:val="00520235"/>
    <w:rsid w:val="00520340"/>
    <w:rsid w:val="00520899"/>
    <w:rsid w:val="00520922"/>
    <w:rsid w:val="005209FC"/>
    <w:rsid w:val="00520C09"/>
    <w:rsid w:val="00520EC1"/>
    <w:rsid w:val="00521292"/>
    <w:rsid w:val="00521A30"/>
    <w:rsid w:val="00521D7C"/>
    <w:rsid w:val="00521EA7"/>
    <w:rsid w:val="005224E5"/>
    <w:rsid w:val="00522759"/>
    <w:rsid w:val="0052311A"/>
    <w:rsid w:val="00523854"/>
    <w:rsid w:val="00523903"/>
    <w:rsid w:val="005239B6"/>
    <w:rsid w:val="00523C45"/>
    <w:rsid w:val="00523F41"/>
    <w:rsid w:val="00524165"/>
    <w:rsid w:val="005244FC"/>
    <w:rsid w:val="005246E7"/>
    <w:rsid w:val="00524B08"/>
    <w:rsid w:val="00524C38"/>
    <w:rsid w:val="00524FD2"/>
    <w:rsid w:val="005255D6"/>
    <w:rsid w:val="00525621"/>
    <w:rsid w:val="00526431"/>
    <w:rsid w:val="00527440"/>
    <w:rsid w:val="00527532"/>
    <w:rsid w:val="005279B9"/>
    <w:rsid w:val="00527DEB"/>
    <w:rsid w:val="00527E57"/>
    <w:rsid w:val="00527F2C"/>
    <w:rsid w:val="00530405"/>
    <w:rsid w:val="00530458"/>
    <w:rsid w:val="00530522"/>
    <w:rsid w:val="005305E5"/>
    <w:rsid w:val="0053086F"/>
    <w:rsid w:val="00530CBA"/>
    <w:rsid w:val="00530F38"/>
    <w:rsid w:val="00531F26"/>
    <w:rsid w:val="00531F75"/>
    <w:rsid w:val="00532501"/>
    <w:rsid w:val="0053277C"/>
    <w:rsid w:val="005327C0"/>
    <w:rsid w:val="00533101"/>
    <w:rsid w:val="00533750"/>
    <w:rsid w:val="00533894"/>
    <w:rsid w:val="00533CA9"/>
    <w:rsid w:val="005346AD"/>
    <w:rsid w:val="00534EFB"/>
    <w:rsid w:val="00534F60"/>
    <w:rsid w:val="0053524B"/>
    <w:rsid w:val="005357F1"/>
    <w:rsid w:val="005357FA"/>
    <w:rsid w:val="00535C73"/>
    <w:rsid w:val="00535D15"/>
    <w:rsid w:val="00536053"/>
    <w:rsid w:val="005363C6"/>
    <w:rsid w:val="005367B6"/>
    <w:rsid w:val="005369E6"/>
    <w:rsid w:val="005371AC"/>
    <w:rsid w:val="00537672"/>
    <w:rsid w:val="005376B5"/>
    <w:rsid w:val="0053772F"/>
    <w:rsid w:val="00537A70"/>
    <w:rsid w:val="00537B64"/>
    <w:rsid w:val="00537B77"/>
    <w:rsid w:val="00540048"/>
    <w:rsid w:val="00540C4C"/>
    <w:rsid w:val="00541381"/>
    <w:rsid w:val="00541469"/>
    <w:rsid w:val="00541571"/>
    <w:rsid w:val="005416CA"/>
    <w:rsid w:val="005419DA"/>
    <w:rsid w:val="00541B1F"/>
    <w:rsid w:val="0054275A"/>
    <w:rsid w:val="005428B8"/>
    <w:rsid w:val="005428BE"/>
    <w:rsid w:val="00542BD7"/>
    <w:rsid w:val="00543084"/>
    <w:rsid w:val="00543584"/>
    <w:rsid w:val="00543A9E"/>
    <w:rsid w:val="0054413A"/>
    <w:rsid w:val="00544288"/>
    <w:rsid w:val="005446BB"/>
    <w:rsid w:val="00544DA5"/>
    <w:rsid w:val="00544F43"/>
    <w:rsid w:val="00545997"/>
    <w:rsid w:val="00545E30"/>
    <w:rsid w:val="00545EA3"/>
    <w:rsid w:val="00546C9B"/>
    <w:rsid w:val="00547378"/>
    <w:rsid w:val="005474DA"/>
    <w:rsid w:val="00547778"/>
    <w:rsid w:val="00547BF6"/>
    <w:rsid w:val="00547FB3"/>
    <w:rsid w:val="005502B3"/>
    <w:rsid w:val="00551098"/>
    <w:rsid w:val="00551598"/>
    <w:rsid w:val="0055162B"/>
    <w:rsid w:val="00551A56"/>
    <w:rsid w:val="00551B40"/>
    <w:rsid w:val="00551BFF"/>
    <w:rsid w:val="00551D68"/>
    <w:rsid w:val="00551DFF"/>
    <w:rsid w:val="005525C9"/>
    <w:rsid w:val="00552B3E"/>
    <w:rsid w:val="00553A23"/>
    <w:rsid w:val="00554578"/>
    <w:rsid w:val="00554B00"/>
    <w:rsid w:val="00554D57"/>
    <w:rsid w:val="00554D6E"/>
    <w:rsid w:val="005551AA"/>
    <w:rsid w:val="00555239"/>
    <w:rsid w:val="005557FA"/>
    <w:rsid w:val="00555BCE"/>
    <w:rsid w:val="005564CA"/>
    <w:rsid w:val="005568BD"/>
    <w:rsid w:val="005568EA"/>
    <w:rsid w:val="00557140"/>
    <w:rsid w:val="0055715A"/>
    <w:rsid w:val="0055729E"/>
    <w:rsid w:val="00557338"/>
    <w:rsid w:val="00557968"/>
    <w:rsid w:val="00557984"/>
    <w:rsid w:val="00557A3F"/>
    <w:rsid w:val="00560BC1"/>
    <w:rsid w:val="00560C87"/>
    <w:rsid w:val="00560F51"/>
    <w:rsid w:val="00561249"/>
    <w:rsid w:val="0056182B"/>
    <w:rsid w:val="00561A88"/>
    <w:rsid w:val="00561AF3"/>
    <w:rsid w:val="00561E0B"/>
    <w:rsid w:val="00562141"/>
    <w:rsid w:val="00562D86"/>
    <w:rsid w:val="00563161"/>
    <w:rsid w:val="005640CA"/>
    <w:rsid w:val="00564704"/>
    <w:rsid w:val="00564712"/>
    <w:rsid w:val="0056510A"/>
    <w:rsid w:val="005651C7"/>
    <w:rsid w:val="005657A8"/>
    <w:rsid w:val="00565952"/>
    <w:rsid w:val="00566866"/>
    <w:rsid w:val="005670A5"/>
    <w:rsid w:val="00567285"/>
    <w:rsid w:val="00567723"/>
    <w:rsid w:val="0056772D"/>
    <w:rsid w:val="005678F5"/>
    <w:rsid w:val="00567AB8"/>
    <w:rsid w:val="00570A26"/>
    <w:rsid w:val="00570CFD"/>
    <w:rsid w:val="0057104B"/>
    <w:rsid w:val="0057179E"/>
    <w:rsid w:val="00571872"/>
    <w:rsid w:val="0057221F"/>
    <w:rsid w:val="00572421"/>
    <w:rsid w:val="00572539"/>
    <w:rsid w:val="00572959"/>
    <w:rsid w:val="00572AEA"/>
    <w:rsid w:val="00573355"/>
    <w:rsid w:val="0057337D"/>
    <w:rsid w:val="00573504"/>
    <w:rsid w:val="0057355F"/>
    <w:rsid w:val="005737DA"/>
    <w:rsid w:val="00573BA3"/>
    <w:rsid w:val="00574708"/>
    <w:rsid w:val="00574D81"/>
    <w:rsid w:val="005756AA"/>
    <w:rsid w:val="00576186"/>
    <w:rsid w:val="0057696F"/>
    <w:rsid w:val="00576C8A"/>
    <w:rsid w:val="00576D0E"/>
    <w:rsid w:val="005774FE"/>
    <w:rsid w:val="0058040C"/>
    <w:rsid w:val="00580D6D"/>
    <w:rsid w:val="00580FD8"/>
    <w:rsid w:val="005813DE"/>
    <w:rsid w:val="00581796"/>
    <w:rsid w:val="0058195C"/>
    <w:rsid w:val="00581B45"/>
    <w:rsid w:val="00581FDB"/>
    <w:rsid w:val="00582361"/>
    <w:rsid w:val="00582480"/>
    <w:rsid w:val="005826A5"/>
    <w:rsid w:val="00582805"/>
    <w:rsid w:val="0058290E"/>
    <w:rsid w:val="00582CAB"/>
    <w:rsid w:val="00582DCD"/>
    <w:rsid w:val="00582FA6"/>
    <w:rsid w:val="005836D5"/>
    <w:rsid w:val="0058375E"/>
    <w:rsid w:val="0058394B"/>
    <w:rsid w:val="00584233"/>
    <w:rsid w:val="005842D0"/>
    <w:rsid w:val="005845FB"/>
    <w:rsid w:val="005855AE"/>
    <w:rsid w:val="00585829"/>
    <w:rsid w:val="00585CA8"/>
    <w:rsid w:val="00585E80"/>
    <w:rsid w:val="0058632B"/>
    <w:rsid w:val="00586412"/>
    <w:rsid w:val="005864B9"/>
    <w:rsid w:val="00586564"/>
    <w:rsid w:val="005866C4"/>
    <w:rsid w:val="00590F1A"/>
    <w:rsid w:val="00591C03"/>
    <w:rsid w:val="00591E2A"/>
    <w:rsid w:val="005923C4"/>
    <w:rsid w:val="0059293A"/>
    <w:rsid w:val="0059397D"/>
    <w:rsid w:val="00593EA2"/>
    <w:rsid w:val="00593F75"/>
    <w:rsid w:val="005940A0"/>
    <w:rsid w:val="0059429A"/>
    <w:rsid w:val="005945A4"/>
    <w:rsid w:val="00594CBE"/>
    <w:rsid w:val="00594FDC"/>
    <w:rsid w:val="00595197"/>
    <w:rsid w:val="00595561"/>
    <w:rsid w:val="00596AF7"/>
    <w:rsid w:val="00596CCE"/>
    <w:rsid w:val="00597516"/>
    <w:rsid w:val="005A13F5"/>
    <w:rsid w:val="005A1976"/>
    <w:rsid w:val="005A1F51"/>
    <w:rsid w:val="005A2120"/>
    <w:rsid w:val="005A2130"/>
    <w:rsid w:val="005A2501"/>
    <w:rsid w:val="005A2C80"/>
    <w:rsid w:val="005A3066"/>
    <w:rsid w:val="005A3B35"/>
    <w:rsid w:val="005A3C4B"/>
    <w:rsid w:val="005A3E5A"/>
    <w:rsid w:val="005A43F3"/>
    <w:rsid w:val="005A496F"/>
    <w:rsid w:val="005A4A56"/>
    <w:rsid w:val="005A5608"/>
    <w:rsid w:val="005A5A3D"/>
    <w:rsid w:val="005A6035"/>
    <w:rsid w:val="005A6886"/>
    <w:rsid w:val="005A6B75"/>
    <w:rsid w:val="005A6E00"/>
    <w:rsid w:val="005A718A"/>
    <w:rsid w:val="005A72DD"/>
    <w:rsid w:val="005A7885"/>
    <w:rsid w:val="005B12B2"/>
    <w:rsid w:val="005B143B"/>
    <w:rsid w:val="005B19BD"/>
    <w:rsid w:val="005B1E45"/>
    <w:rsid w:val="005B21C4"/>
    <w:rsid w:val="005B2A28"/>
    <w:rsid w:val="005B2C7D"/>
    <w:rsid w:val="005B35AB"/>
    <w:rsid w:val="005B3621"/>
    <w:rsid w:val="005B3A88"/>
    <w:rsid w:val="005B3EBE"/>
    <w:rsid w:val="005B4948"/>
    <w:rsid w:val="005B501D"/>
    <w:rsid w:val="005B52B0"/>
    <w:rsid w:val="005B54CC"/>
    <w:rsid w:val="005B61AD"/>
    <w:rsid w:val="005B6C2A"/>
    <w:rsid w:val="005B71BB"/>
    <w:rsid w:val="005B741C"/>
    <w:rsid w:val="005B74AD"/>
    <w:rsid w:val="005B76B3"/>
    <w:rsid w:val="005B7E96"/>
    <w:rsid w:val="005C0429"/>
    <w:rsid w:val="005C06A5"/>
    <w:rsid w:val="005C084F"/>
    <w:rsid w:val="005C0EE9"/>
    <w:rsid w:val="005C169F"/>
    <w:rsid w:val="005C16A8"/>
    <w:rsid w:val="005C1716"/>
    <w:rsid w:val="005C1954"/>
    <w:rsid w:val="005C1C0B"/>
    <w:rsid w:val="005C2011"/>
    <w:rsid w:val="005C3EA3"/>
    <w:rsid w:val="005C44DE"/>
    <w:rsid w:val="005C5011"/>
    <w:rsid w:val="005C506F"/>
    <w:rsid w:val="005C514F"/>
    <w:rsid w:val="005C5241"/>
    <w:rsid w:val="005C529E"/>
    <w:rsid w:val="005C57BA"/>
    <w:rsid w:val="005C5C52"/>
    <w:rsid w:val="005C5D3D"/>
    <w:rsid w:val="005C5F05"/>
    <w:rsid w:val="005C6186"/>
    <w:rsid w:val="005C6397"/>
    <w:rsid w:val="005C64D6"/>
    <w:rsid w:val="005C6CF7"/>
    <w:rsid w:val="005C6D19"/>
    <w:rsid w:val="005C721D"/>
    <w:rsid w:val="005C7E45"/>
    <w:rsid w:val="005C7F3E"/>
    <w:rsid w:val="005D06D3"/>
    <w:rsid w:val="005D0C3B"/>
    <w:rsid w:val="005D0C87"/>
    <w:rsid w:val="005D103E"/>
    <w:rsid w:val="005D1051"/>
    <w:rsid w:val="005D1606"/>
    <w:rsid w:val="005D170F"/>
    <w:rsid w:val="005D1C70"/>
    <w:rsid w:val="005D1D10"/>
    <w:rsid w:val="005D2044"/>
    <w:rsid w:val="005D209E"/>
    <w:rsid w:val="005D2917"/>
    <w:rsid w:val="005D2EB2"/>
    <w:rsid w:val="005D2F48"/>
    <w:rsid w:val="005D30AE"/>
    <w:rsid w:val="005D33C2"/>
    <w:rsid w:val="005D3B32"/>
    <w:rsid w:val="005D3E5C"/>
    <w:rsid w:val="005D464B"/>
    <w:rsid w:val="005D466F"/>
    <w:rsid w:val="005D49F0"/>
    <w:rsid w:val="005D51F7"/>
    <w:rsid w:val="005D51FA"/>
    <w:rsid w:val="005D53E8"/>
    <w:rsid w:val="005D5A9D"/>
    <w:rsid w:val="005D5D15"/>
    <w:rsid w:val="005D6651"/>
    <w:rsid w:val="005D691D"/>
    <w:rsid w:val="005D6A72"/>
    <w:rsid w:val="005D6F38"/>
    <w:rsid w:val="005D7452"/>
    <w:rsid w:val="005D791B"/>
    <w:rsid w:val="005D7CF2"/>
    <w:rsid w:val="005D7F92"/>
    <w:rsid w:val="005E003C"/>
    <w:rsid w:val="005E04C5"/>
    <w:rsid w:val="005E062C"/>
    <w:rsid w:val="005E0D7B"/>
    <w:rsid w:val="005E1595"/>
    <w:rsid w:val="005E1F1D"/>
    <w:rsid w:val="005E2694"/>
    <w:rsid w:val="005E273D"/>
    <w:rsid w:val="005E3278"/>
    <w:rsid w:val="005E363B"/>
    <w:rsid w:val="005E3736"/>
    <w:rsid w:val="005E4B72"/>
    <w:rsid w:val="005E52C9"/>
    <w:rsid w:val="005E6342"/>
    <w:rsid w:val="005E665F"/>
    <w:rsid w:val="005E6EAD"/>
    <w:rsid w:val="005E717E"/>
    <w:rsid w:val="005E781C"/>
    <w:rsid w:val="005F0B10"/>
    <w:rsid w:val="005F2D8B"/>
    <w:rsid w:val="005F305B"/>
    <w:rsid w:val="005F3361"/>
    <w:rsid w:val="005F361A"/>
    <w:rsid w:val="005F370A"/>
    <w:rsid w:val="005F3B47"/>
    <w:rsid w:val="005F3E43"/>
    <w:rsid w:val="005F3F6E"/>
    <w:rsid w:val="005F4481"/>
    <w:rsid w:val="005F467E"/>
    <w:rsid w:val="005F47AC"/>
    <w:rsid w:val="005F49AF"/>
    <w:rsid w:val="005F4A58"/>
    <w:rsid w:val="005F54DF"/>
    <w:rsid w:val="005F5888"/>
    <w:rsid w:val="005F5935"/>
    <w:rsid w:val="005F5984"/>
    <w:rsid w:val="005F5EAB"/>
    <w:rsid w:val="005F6CE2"/>
    <w:rsid w:val="005F6EC8"/>
    <w:rsid w:val="005F6F24"/>
    <w:rsid w:val="005F7112"/>
    <w:rsid w:val="005F72E9"/>
    <w:rsid w:val="005F780B"/>
    <w:rsid w:val="005F7DE2"/>
    <w:rsid w:val="0060009C"/>
    <w:rsid w:val="00600473"/>
    <w:rsid w:val="00600516"/>
    <w:rsid w:val="00601055"/>
    <w:rsid w:val="0060139A"/>
    <w:rsid w:val="006013C9"/>
    <w:rsid w:val="00601624"/>
    <w:rsid w:val="00601A39"/>
    <w:rsid w:val="00602931"/>
    <w:rsid w:val="00602B45"/>
    <w:rsid w:val="00602E71"/>
    <w:rsid w:val="00603499"/>
    <w:rsid w:val="006035F5"/>
    <w:rsid w:val="00603CC2"/>
    <w:rsid w:val="00604622"/>
    <w:rsid w:val="006047D1"/>
    <w:rsid w:val="006048A4"/>
    <w:rsid w:val="00604A55"/>
    <w:rsid w:val="00604D4E"/>
    <w:rsid w:val="00604E3E"/>
    <w:rsid w:val="00605AC3"/>
    <w:rsid w:val="00606908"/>
    <w:rsid w:val="0060691B"/>
    <w:rsid w:val="00607860"/>
    <w:rsid w:val="00607996"/>
    <w:rsid w:val="00607A37"/>
    <w:rsid w:val="00607E9F"/>
    <w:rsid w:val="0061085E"/>
    <w:rsid w:val="00610B91"/>
    <w:rsid w:val="006112A7"/>
    <w:rsid w:val="00611398"/>
    <w:rsid w:val="006113B4"/>
    <w:rsid w:val="0061186D"/>
    <w:rsid w:val="00611A2F"/>
    <w:rsid w:val="00612322"/>
    <w:rsid w:val="006123C0"/>
    <w:rsid w:val="006129AB"/>
    <w:rsid w:val="006129AF"/>
    <w:rsid w:val="00613191"/>
    <w:rsid w:val="006133F9"/>
    <w:rsid w:val="006134B3"/>
    <w:rsid w:val="00613DE1"/>
    <w:rsid w:val="0061401F"/>
    <w:rsid w:val="00614166"/>
    <w:rsid w:val="00614817"/>
    <w:rsid w:val="006149CC"/>
    <w:rsid w:val="0061512C"/>
    <w:rsid w:val="006154A6"/>
    <w:rsid w:val="006157A9"/>
    <w:rsid w:val="0061591D"/>
    <w:rsid w:val="00615ED0"/>
    <w:rsid w:val="0061604C"/>
    <w:rsid w:val="00616C2B"/>
    <w:rsid w:val="00616D7F"/>
    <w:rsid w:val="006178D1"/>
    <w:rsid w:val="00617A92"/>
    <w:rsid w:val="00620719"/>
    <w:rsid w:val="006212C9"/>
    <w:rsid w:val="0062131B"/>
    <w:rsid w:val="00621D0C"/>
    <w:rsid w:val="00622229"/>
    <w:rsid w:val="00622470"/>
    <w:rsid w:val="0062267E"/>
    <w:rsid w:val="00622725"/>
    <w:rsid w:val="00622785"/>
    <w:rsid w:val="0062293F"/>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27963"/>
    <w:rsid w:val="006302AA"/>
    <w:rsid w:val="006310C3"/>
    <w:rsid w:val="0063161E"/>
    <w:rsid w:val="00631B91"/>
    <w:rsid w:val="00631BB5"/>
    <w:rsid w:val="00631DD0"/>
    <w:rsid w:val="0063247E"/>
    <w:rsid w:val="00632CE0"/>
    <w:rsid w:val="006333F8"/>
    <w:rsid w:val="00633833"/>
    <w:rsid w:val="00633A17"/>
    <w:rsid w:val="00633DBF"/>
    <w:rsid w:val="00634122"/>
    <w:rsid w:val="0063444B"/>
    <w:rsid w:val="00634BEF"/>
    <w:rsid w:val="00635E32"/>
    <w:rsid w:val="006360FC"/>
    <w:rsid w:val="006361C9"/>
    <w:rsid w:val="00636405"/>
    <w:rsid w:val="006365DE"/>
    <w:rsid w:val="00636BE4"/>
    <w:rsid w:val="00636C0C"/>
    <w:rsid w:val="00636F88"/>
    <w:rsid w:val="0063732C"/>
    <w:rsid w:val="00637802"/>
    <w:rsid w:val="00637836"/>
    <w:rsid w:val="00637C26"/>
    <w:rsid w:val="00637F44"/>
    <w:rsid w:val="00640680"/>
    <w:rsid w:val="006407A5"/>
    <w:rsid w:val="00641078"/>
    <w:rsid w:val="00641242"/>
    <w:rsid w:val="00641761"/>
    <w:rsid w:val="00641899"/>
    <w:rsid w:val="00641B12"/>
    <w:rsid w:val="00642126"/>
    <w:rsid w:val="006429C0"/>
    <w:rsid w:val="00642A32"/>
    <w:rsid w:val="00642B8E"/>
    <w:rsid w:val="00642D9F"/>
    <w:rsid w:val="00642F7C"/>
    <w:rsid w:val="00642FC5"/>
    <w:rsid w:val="006433D5"/>
    <w:rsid w:val="00643412"/>
    <w:rsid w:val="00643CF5"/>
    <w:rsid w:val="00644E8F"/>
    <w:rsid w:val="00645361"/>
    <w:rsid w:val="00645844"/>
    <w:rsid w:val="00645CEB"/>
    <w:rsid w:val="00645E63"/>
    <w:rsid w:val="0064673C"/>
    <w:rsid w:val="00646B20"/>
    <w:rsid w:val="00646D0F"/>
    <w:rsid w:val="00647A36"/>
    <w:rsid w:val="00647DCC"/>
    <w:rsid w:val="00647E8E"/>
    <w:rsid w:val="00647EFA"/>
    <w:rsid w:val="00647F14"/>
    <w:rsid w:val="00650027"/>
    <w:rsid w:val="00650E89"/>
    <w:rsid w:val="006516E6"/>
    <w:rsid w:val="00651B9C"/>
    <w:rsid w:val="00651C47"/>
    <w:rsid w:val="00652483"/>
    <w:rsid w:val="00652E70"/>
    <w:rsid w:val="00652E9C"/>
    <w:rsid w:val="0065339A"/>
    <w:rsid w:val="00653469"/>
    <w:rsid w:val="0065443A"/>
    <w:rsid w:val="00654A38"/>
    <w:rsid w:val="00655301"/>
    <w:rsid w:val="00655371"/>
    <w:rsid w:val="00655507"/>
    <w:rsid w:val="006564A5"/>
    <w:rsid w:val="00656C4B"/>
    <w:rsid w:val="006572A7"/>
    <w:rsid w:val="006573EA"/>
    <w:rsid w:val="006577C9"/>
    <w:rsid w:val="006606A4"/>
    <w:rsid w:val="00660B18"/>
    <w:rsid w:val="00660B1A"/>
    <w:rsid w:val="00661029"/>
    <w:rsid w:val="006610C3"/>
    <w:rsid w:val="0066135A"/>
    <w:rsid w:val="00661A38"/>
    <w:rsid w:val="0066272D"/>
    <w:rsid w:val="00662E58"/>
    <w:rsid w:val="00662F39"/>
    <w:rsid w:val="0066352A"/>
    <w:rsid w:val="006635A0"/>
    <w:rsid w:val="00663D26"/>
    <w:rsid w:val="00664351"/>
    <w:rsid w:val="00665968"/>
    <w:rsid w:val="00665BF7"/>
    <w:rsid w:val="00665C4C"/>
    <w:rsid w:val="00665E65"/>
    <w:rsid w:val="006660F0"/>
    <w:rsid w:val="00666178"/>
    <w:rsid w:val="0066639E"/>
    <w:rsid w:val="00666473"/>
    <w:rsid w:val="00666B49"/>
    <w:rsid w:val="00666C72"/>
    <w:rsid w:val="00666D4B"/>
    <w:rsid w:val="00666E6C"/>
    <w:rsid w:val="0066707F"/>
    <w:rsid w:val="00667457"/>
    <w:rsid w:val="00667ED8"/>
    <w:rsid w:val="0067064C"/>
    <w:rsid w:val="00670B20"/>
    <w:rsid w:val="00670E12"/>
    <w:rsid w:val="00670F27"/>
    <w:rsid w:val="006718D8"/>
    <w:rsid w:val="0067221B"/>
    <w:rsid w:val="00672E16"/>
    <w:rsid w:val="00672E80"/>
    <w:rsid w:val="0067333F"/>
    <w:rsid w:val="006739E4"/>
    <w:rsid w:val="00673ECF"/>
    <w:rsid w:val="0067426B"/>
    <w:rsid w:val="00674A1B"/>
    <w:rsid w:val="00674D08"/>
    <w:rsid w:val="00674F1C"/>
    <w:rsid w:val="006754F8"/>
    <w:rsid w:val="00676127"/>
    <w:rsid w:val="0067645B"/>
    <w:rsid w:val="006765DF"/>
    <w:rsid w:val="00676AED"/>
    <w:rsid w:val="00677212"/>
    <w:rsid w:val="00677F26"/>
    <w:rsid w:val="006800EE"/>
    <w:rsid w:val="006802A7"/>
    <w:rsid w:val="00680A86"/>
    <w:rsid w:val="00680E4A"/>
    <w:rsid w:val="00680FBE"/>
    <w:rsid w:val="006811C9"/>
    <w:rsid w:val="006812CE"/>
    <w:rsid w:val="0068132A"/>
    <w:rsid w:val="00681C78"/>
    <w:rsid w:val="00682314"/>
    <w:rsid w:val="006826C1"/>
    <w:rsid w:val="00682C89"/>
    <w:rsid w:val="006832B8"/>
    <w:rsid w:val="00683329"/>
    <w:rsid w:val="006836DF"/>
    <w:rsid w:val="006837B2"/>
    <w:rsid w:val="00683800"/>
    <w:rsid w:val="0068420B"/>
    <w:rsid w:val="00684462"/>
    <w:rsid w:val="00684C0D"/>
    <w:rsid w:val="00684C8A"/>
    <w:rsid w:val="00684CF5"/>
    <w:rsid w:val="00684DAB"/>
    <w:rsid w:val="00685022"/>
    <w:rsid w:val="00685188"/>
    <w:rsid w:val="0068553E"/>
    <w:rsid w:val="00685D37"/>
    <w:rsid w:val="00685E7B"/>
    <w:rsid w:val="00686551"/>
    <w:rsid w:val="00686CAB"/>
    <w:rsid w:val="00687049"/>
    <w:rsid w:val="0068717F"/>
    <w:rsid w:val="0068730C"/>
    <w:rsid w:val="00687504"/>
    <w:rsid w:val="00687A14"/>
    <w:rsid w:val="00687A8C"/>
    <w:rsid w:val="00687DAD"/>
    <w:rsid w:val="006901B2"/>
    <w:rsid w:val="00690839"/>
    <w:rsid w:val="006908DB"/>
    <w:rsid w:val="00690DE9"/>
    <w:rsid w:val="00691563"/>
    <w:rsid w:val="00691DE9"/>
    <w:rsid w:val="00691EAA"/>
    <w:rsid w:val="00692245"/>
    <w:rsid w:val="00692745"/>
    <w:rsid w:val="00692FFA"/>
    <w:rsid w:val="006934CB"/>
    <w:rsid w:val="00693772"/>
    <w:rsid w:val="006937EA"/>
    <w:rsid w:val="00693984"/>
    <w:rsid w:val="00693B77"/>
    <w:rsid w:val="00694156"/>
    <w:rsid w:val="00694160"/>
    <w:rsid w:val="00694E8B"/>
    <w:rsid w:val="006959A5"/>
    <w:rsid w:val="00695C0C"/>
    <w:rsid w:val="00696736"/>
    <w:rsid w:val="00696A05"/>
    <w:rsid w:val="00697665"/>
    <w:rsid w:val="00697C9A"/>
    <w:rsid w:val="00697E68"/>
    <w:rsid w:val="00697FC1"/>
    <w:rsid w:val="006A0274"/>
    <w:rsid w:val="006A0ADE"/>
    <w:rsid w:val="006A1ED5"/>
    <w:rsid w:val="006A27BC"/>
    <w:rsid w:val="006A2A43"/>
    <w:rsid w:val="006A2BF1"/>
    <w:rsid w:val="006A2F9A"/>
    <w:rsid w:val="006A34E4"/>
    <w:rsid w:val="006A35AC"/>
    <w:rsid w:val="006A3A5A"/>
    <w:rsid w:val="006A4249"/>
    <w:rsid w:val="006A44CF"/>
    <w:rsid w:val="006A457D"/>
    <w:rsid w:val="006A4B5A"/>
    <w:rsid w:val="006A4C06"/>
    <w:rsid w:val="006A55EE"/>
    <w:rsid w:val="006A575B"/>
    <w:rsid w:val="006A5824"/>
    <w:rsid w:val="006A59DE"/>
    <w:rsid w:val="006A64C6"/>
    <w:rsid w:val="006A6655"/>
    <w:rsid w:val="006A6BF9"/>
    <w:rsid w:val="006A6D7B"/>
    <w:rsid w:val="006A7AB8"/>
    <w:rsid w:val="006A7CB5"/>
    <w:rsid w:val="006A7FD0"/>
    <w:rsid w:val="006B025C"/>
    <w:rsid w:val="006B04DB"/>
    <w:rsid w:val="006B08ED"/>
    <w:rsid w:val="006B2170"/>
    <w:rsid w:val="006B2534"/>
    <w:rsid w:val="006B2CB2"/>
    <w:rsid w:val="006B347D"/>
    <w:rsid w:val="006B3A76"/>
    <w:rsid w:val="006B3E19"/>
    <w:rsid w:val="006B4488"/>
    <w:rsid w:val="006B4D5D"/>
    <w:rsid w:val="006B50C4"/>
    <w:rsid w:val="006B53AE"/>
    <w:rsid w:val="006B58B4"/>
    <w:rsid w:val="006B60DA"/>
    <w:rsid w:val="006B66FA"/>
    <w:rsid w:val="006B67AC"/>
    <w:rsid w:val="006B722F"/>
    <w:rsid w:val="006B786A"/>
    <w:rsid w:val="006B78F2"/>
    <w:rsid w:val="006B7E4E"/>
    <w:rsid w:val="006C003A"/>
    <w:rsid w:val="006C0B6B"/>
    <w:rsid w:val="006C107C"/>
    <w:rsid w:val="006C127C"/>
    <w:rsid w:val="006C189C"/>
    <w:rsid w:val="006C219B"/>
    <w:rsid w:val="006C2454"/>
    <w:rsid w:val="006C2551"/>
    <w:rsid w:val="006C27B9"/>
    <w:rsid w:val="006C2CC0"/>
    <w:rsid w:val="006C32CF"/>
    <w:rsid w:val="006C32EC"/>
    <w:rsid w:val="006C337B"/>
    <w:rsid w:val="006C37CA"/>
    <w:rsid w:val="006C39AE"/>
    <w:rsid w:val="006C40D2"/>
    <w:rsid w:val="006C4B85"/>
    <w:rsid w:val="006C4BBD"/>
    <w:rsid w:val="006C4E02"/>
    <w:rsid w:val="006C5215"/>
    <w:rsid w:val="006C551E"/>
    <w:rsid w:val="006C5B15"/>
    <w:rsid w:val="006C5D32"/>
    <w:rsid w:val="006C5DCB"/>
    <w:rsid w:val="006C6475"/>
    <w:rsid w:val="006C70C4"/>
    <w:rsid w:val="006C741F"/>
    <w:rsid w:val="006D04DA"/>
    <w:rsid w:val="006D10F6"/>
    <w:rsid w:val="006D1254"/>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58F2"/>
    <w:rsid w:val="006D5DCB"/>
    <w:rsid w:val="006D6168"/>
    <w:rsid w:val="006D62E0"/>
    <w:rsid w:val="006D62EA"/>
    <w:rsid w:val="006D658F"/>
    <w:rsid w:val="006D66B2"/>
    <w:rsid w:val="006D6712"/>
    <w:rsid w:val="006D6A12"/>
    <w:rsid w:val="006D712D"/>
    <w:rsid w:val="006D7687"/>
    <w:rsid w:val="006D7D1F"/>
    <w:rsid w:val="006D7D8A"/>
    <w:rsid w:val="006E0158"/>
    <w:rsid w:val="006E046C"/>
    <w:rsid w:val="006E0572"/>
    <w:rsid w:val="006E05D8"/>
    <w:rsid w:val="006E08EE"/>
    <w:rsid w:val="006E0F32"/>
    <w:rsid w:val="006E155A"/>
    <w:rsid w:val="006E2C34"/>
    <w:rsid w:val="006E359B"/>
    <w:rsid w:val="006E39D1"/>
    <w:rsid w:val="006E3B05"/>
    <w:rsid w:val="006E437F"/>
    <w:rsid w:val="006E4D5B"/>
    <w:rsid w:val="006E602F"/>
    <w:rsid w:val="006E6720"/>
    <w:rsid w:val="006E7275"/>
    <w:rsid w:val="006E765A"/>
    <w:rsid w:val="006E77B8"/>
    <w:rsid w:val="006E7AAF"/>
    <w:rsid w:val="006F0337"/>
    <w:rsid w:val="006F0F74"/>
    <w:rsid w:val="006F13BA"/>
    <w:rsid w:val="006F15CC"/>
    <w:rsid w:val="006F15F6"/>
    <w:rsid w:val="006F36EA"/>
    <w:rsid w:val="006F3BF9"/>
    <w:rsid w:val="006F4147"/>
    <w:rsid w:val="006F4315"/>
    <w:rsid w:val="006F47A7"/>
    <w:rsid w:val="006F4CB0"/>
    <w:rsid w:val="006F4F78"/>
    <w:rsid w:val="006F50C2"/>
    <w:rsid w:val="006F5251"/>
    <w:rsid w:val="006F5389"/>
    <w:rsid w:val="006F547E"/>
    <w:rsid w:val="006F5CCF"/>
    <w:rsid w:val="006F6F04"/>
    <w:rsid w:val="006F71F5"/>
    <w:rsid w:val="006F72A8"/>
    <w:rsid w:val="006F79BB"/>
    <w:rsid w:val="007000A6"/>
    <w:rsid w:val="00700610"/>
    <w:rsid w:val="00700AAB"/>
    <w:rsid w:val="00700CA2"/>
    <w:rsid w:val="00701234"/>
    <w:rsid w:val="0070138A"/>
    <w:rsid w:val="0070157E"/>
    <w:rsid w:val="007030D4"/>
    <w:rsid w:val="00703279"/>
    <w:rsid w:val="007034D9"/>
    <w:rsid w:val="00703B61"/>
    <w:rsid w:val="00703DDC"/>
    <w:rsid w:val="00703E11"/>
    <w:rsid w:val="00704102"/>
    <w:rsid w:val="0070437C"/>
    <w:rsid w:val="0070461C"/>
    <w:rsid w:val="00704A76"/>
    <w:rsid w:val="00704C11"/>
    <w:rsid w:val="00704F37"/>
    <w:rsid w:val="00705631"/>
    <w:rsid w:val="00705806"/>
    <w:rsid w:val="00705818"/>
    <w:rsid w:val="00705F62"/>
    <w:rsid w:val="00706813"/>
    <w:rsid w:val="0070773F"/>
    <w:rsid w:val="00707A2E"/>
    <w:rsid w:val="00707ED3"/>
    <w:rsid w:val="007101B7"/>
    <w:rsid w:val="0071041A"/>
    <w:rsid w:val="00710668"/>
    <w:rsid w:val="00711019"/>
    <w:rsid w:val="007110F4"/>
    <w:rsid w:val="007112B1"/>
    <w:rsid w:val="0071130F"/>
    <w:rsid w:val="00712044"/>
    <w:rsid w:val="00712507"/>
    <w:rsid w:val="00712714"/>
    <w:rsid w:val="007129AB"/>
    <w:rsid w:val="00712B63"/>
    <w:rsid w:val="00712E5F"/>
    <w:rsid w:val="0071340B"/>
    <w:rsid w:val="00713526"/>
    <w:rsid w:val="00713FC5"/>
    <w:rsid w:val="00714BB9"/>
    <w:rsid w:val="00714DCA"/>
    <w:rsid w:val="00714EC3"/>
    <w:rsid w:val="007150F3"/>
    <w:rsid w:val="00715BBF"/>
    <w:rsid w:val="00715C29"/>
    <w:rsid w:val="00715CBD"/>
    <w:rsid w:val="00715EAA"/>
    <w:rsid w:val="00716119"/>
    <w:rsid w:val="0071626B"/>
    <w:rsid w:val="00716630"/>
    <w:rsid w:val="00716BB0"/>
    <w:rsid w:val="00716CAD"/>
    <w:rsid w:val="00716CD3"/>
    <w:rsid w:val="00716F18"/>
    <w:rsid w:val="00717363"/>
    <w:rsid w:val="00717786"/>
    <w:rsid w:val="00717ACB"/>
    <w:rsid w:val="00717F8F"/>
    <w:rsid w:val="0072138B"/>
    <w:rsid w:val="007213A0"/>
    <w:rsid w:val="00721BFF"/>
    <w:rsid w:val="00722495"/>
    <w:rsid w:val="007227EB"/>
    <w:rsid w:val="007232EE"/>
    <w:rsid w:val="00723475"/>
    <w:rsid w:val="007236C4"/>
    <w:rsid w:val="00724635"/>
    <w:rsid w:val="00724F21"/>
    <w:rsid w:val="00725134"/>
    <w:rsid w:val="0072554B"/>
    <w:rsid w:val="0072571F"/>
    <w:rsid w:val="00725AFD"/>
    <w:rsid w:val="00726603"/>
    <w:rsid w:val="007266AC"/>
    <w:rsid w:val="00727B1D"/>
    <w:rsid w:val="00727DDC"/>
    <w:rsid w:val="00730CD6"/>
    <w:rsid w:val="00730F74"/>
    <w:rsid w:val="0073114B"/>
    <w:rsid w:val="00732151"/>
    <w:rsid w:val="00732EBC"/>
    <w:rsid w:val="00734952"/>
    <w:rsid w:val="00734987"/>
    <w:rsid w:val="00734990"/>
    <w:rsid w:val="00734FF5"/>
    <w:rsid w:val="00735B78"/>
    <w:rsid w:val="00735CA5"/>
    <w:rsid w:val="00735D76"/>
    <w:rsid w:val="00735DA7"/>
    <w:rsid w:val="007363DC"/>
    <w:rsid w:val="00736700"/>
    <w:rsid w:val="007368B4"/>
    <w:rsid w:val="007378E0"/>
    <w:rsid w:val="0074040E"/>
    <w:rsid w:val="00740529"/>
    <w:rsid w:val="00740876"/>
    <w:rsid w:val="00741358"/>
    <w:rsid w:val="00741626"/>
    <w:rsid w:val="00741B0C"/>
    <w:rsid w:val="00742332"/>
    <w:rsid w:val="00742886"/>
    <w:rsid w:val="007429B9"/>
    <w:rsid w:val="00742A3A"/>
    <w:rsid w:val="00742DD2"/>
    <w:rsid w:val="007437C6"/>
    <w:rsid w:val="00743834"/>
    <w:rsid w:val="00743F4B"/>
    <w:rsid w:val="007441A2"/>
    <w:rsid w:val="00744273"/>
    <w:rsid w:val="00744E80"/>
    <w:rsid w:val="00745035"/>
    <w:rsid w:val="0074531C"/>
    <w:rsid w:val="00745547"/>
    <w:rsid w:val="007459D0"/>
    <w:rsid w:val="00745A63"/>
    <w:rsid w:val="00745D39"/>
    <w:rsid w:val="0074623A"/>
    <w:rsid w:val="00746420"/>
    <w:rsid w:val="007464C9"/>
    <w:rsid w:val="00746A60"/>
    <w:rsid w:val="00746E04"/>
    <w:rsid w:val="00746E08"/>
    <w:rsid w:val="00746E3D"/>
    <w:rsid w:val="007473B9"/>
    <w:rsid w:val="00747C96"/>
    <w:rsid w:val="00750075"/>
    <w:rsid w:val="0075022F"/>
    <w:rsid w:val="007502EC"/>
    <w:rsid w:val="00750382"/>
    <w:rsid w:val="0075094E"/>
    <w:rsid w:val="00750FA8"/>
    <w:rsid w:val="00750FB5"/>
    <w:rsid w:val="007520F0"/>
    <w:rsid w:val="0075226F"/>
    <w:rsid w:val="007522E8"/>
    <w:rsid w:val="007529DB"/>
    <w:rsid w:val="007534AD"/>
    <w:rsid w:val="00753BAC"/>
    <w:rsid w:val="00753E86"/>
    <w:rsid w:val="0075408D"/>
    <w:rsid w:val="00754A0B"/>
    <w:rsid w:val="00755229"/>
    <w:rsid w:val="007552DB"/>
    <w:rsid w:val="0075549F"/>
    <w:rsid w:val="00755732"/>
    <w:rsid w:val="00755B08"/>
    <w:rsid w:val="00755DD0"/>
    <w:rsid w:val="0075647A"/>
    <w:rsid w:val="00756A2F"/>
    <w:rsid w:val="007573E1"/>
    <w:rsid w:val="0075749E"/>
    <w:rsid w:val="00757722"/>
    <w:rsid w:val="00757796"/>
    <w:rsid w:val="00757B2D"/>
    <w:rsid w:val="00757BAD"/>
    <w:rsid w:val="00757C31"/>
    <w:rsid w:val="00757D62"/>
    <w:rsid w:val="00760021"/>
    <w:rsid w:val="00760561"/>
    <w:rsid w:val="00760867"/>
    <w:rsid w:val="00760EB6"/>
    <w:rsid w:val="007616DB"/>
    <w:rsid w:val="0076190A"/>
    <w:rsid w:val="00761AB7"/>
    <w:rsid w:val="00761CE6"/>
    <w:rsid w:val="0076228A"/>
    <w:rsid w:val="00762440"/>
    <w:rsid w:val="00762499"/>
    <w:rsid w:val="0076253F"/>
    <w:rsid w:val="00762705"/>
    <w:rsid w:val="0076275B"/>
    <w:rsid w:val="007629B7"/>
    <w:rsid w:val="00762E60"/>
    <w:rsid w:val="00762E6C"/>
    <w:rsid w:val="00762F54"/>
    <w:rsid w:val="007634AD"/>
    <w:rsid w:val="0076424F"/>
    <w:rsid w:val="0076445F"/>
    <w:rsid w:val="00764863"/>
    <w:rsid w:val="00764EC5"/>
    <w:rsid w:val="007651EF"/>
    <w:rsid w:val="00766D49"/>
    <w:rsid w:val="00766ECC"/>
    <w:rsid w:val="007672F3"/>
    <w:rsid w:val="007677B5"/>
    <w:rsid w:val="007678B1"/>
    <w:rsid w:val="007708A8"/>
    <w:rsid w:val="00772100"/>
    <w:rsid w:val="00772275"/>
    <w:rsid w:val="00772684"/>
    <w:rsid w:val="00772AAF"/>
    <w:rsid w:val="00772C9A"/>
    <w:rsid w:val="00772E2A"/>
    <w:rsid w:val="00773131"/>
    <w:rsid w:val="007732BA"/>
    <w:rsid w:val="007734E4"/>
    <w:rsid w:val="0077380D"/>
    <w:rsid w:val="00773BC8"/>
    <w:rsid w:val="00774337"/>
    <w:rsid w:val="00774549"/>
    <w:rsid w:val="0077466F"/>
    <w:rsid w:val="007752B7"/>
    <w:rsid w:val="007759A8"/>
    <w:rsid w:val="00775C27"/>
    <w:rsid w:val="00775D98"/>
    <w:rsid w:val="00775E31"/>
    <w:rsid w:val="00776B93"/>
    <w:rsid w:val="00776FE5"/>
    <w:rsid w:val="00777101"/>
    <w:rsid w:val="007774E7"/>
    <w:rsid w:val="0077768C"/>
    <w:rsid w:val="00777696"/>
    <w:rsid w:val="00777EDF"/>
    <w:rsid w:val="00777FF4"/>
    <w:rsid w:val="00780251"/>
    <w:rsid w:val="007804FE"/>
    <w:rsid w:val="00780F32"/>
    <w:rsid w:val="00781049"/>
    <w:rsid w:val="0078122E"/>
    <w:rsid w:val="0078165A"/>
    <w:rsid w:val="00781939"/>
    <w:rsid w:val="00781D29"/>
    <w:rsid w:val="007825EF"/>
    <w:rsid w:val="0078286B"/>
    <w:rsid w:val="00782D2C"/>
    <w:rsid w:val="00782FC2"/>
    <w:rsid w:val="0078347A"/>
    <w:rsid w:val="0078410A"/>
    <w:rsid w:val="00784938"/>
    <w:rsid w:val="00784EBF"/>
    <w:rsid w:val="00784FC4"/>
    <w:rsid w:val="00785BBB"/>
    <w:rsid w:val="00785FB2"/>
    <w:rsid w:val="00786937"/>
    <w:rsid w:val="00786FAD"/>
    <w:rsid w:val="007872D6"/>
    <w:rsid w:val="00787B1B"/>
    <w:rsid w:val="00787CCC"/>
    <w:rsid w:val="00787D90"/>
    <w:rsid w:val="00787F5E"/>
    <w:rsid w:val="00790164"/>
    <w:rsid w:val="0079041B"/>
    <w:rsid w:val="007905C6"/>
    <w:rsid w:val="00790A24"/>
    <w:rsid w:val="00790A37"/>
    <w:rsid w:val="00790A60"/>
    <w:rsid w:val="0079115D"/>
    <w:rsid w:val="0079131A"/>
    <w:rsid w:val="0079146D"/>
    <w:rsid w:val="00791C32"/>
    <w:rsid w:val="00791FF0"/>
    <w:rsid w:val="007923D0"/>
    <w:rsid w:val="0079281A"/>
    <w:rsid w:val="007930D3"/>
    <w:rsid w:val="007936E2"/>
    <w:rsid w:val="0079381F"/>
    <w:rsid w:val="0079398D"/>
    <w:rsid w:val="00793A57"/>
    <w:rsid w:val="00793B2E"/>
    <w:rsid w:val="00793C6A"/>
    <w:rsid w:val="007948F5"/>
    <w:rsid w:val="00795647"/>
    <w:rsid w:val="007963F6"/>
    <w:rsid w:val="007969E1"/>
    <w:rsid w:val="00796DC8"/>
    <w:rsid w:val="00796E80"/>
    <w:rsid w:val="0079744F"/>
    <w:rsid w:val="0079776F"/>
    <w:rsid w:val="007979AD"/>
    <w:rsid w:val="00797A9C"/>
    <w:rsid w:val="007A0502"/>
    <w:rsid w:val="007A0EAB"/>
    <w:rsid w:val="007A2341"/>
    <w:rsid w:val="007A2754"/>
    <w:rsid w:val="007A38A1"/>
    <w:rsid w:val="007A3BBE"/>
    <w:rsid w:val="007A4347"/>
    <w:rsid w:val="007A4766"/>
    <w:rsid w:val="007A4B70"/>
    <w:rsid w:val="007A5947"/>
    <w:rsid w:val="007A717B"/>
    <w:rsid w:val="007A7714"/>
    <w:rsid w:val="007A7775"/>
    <w:rsid w:val="007A7C14"/>
    <w:rsid w:val="007B00EF"/>
    <w:rsid w:val="007B0302"/>
    <w:rsid w:val="007B0313"/>
    <w:rsid w:val="007B0854"/>
    <w:rsid w:val="007B0E48"/>
    <w:rsid w:val="007B14BA"/>
    <w:rsid w:val="007B1929"/>
    <w:rsid w:val="007B1D1B"/>
    <w:rsid w:val="007B1D33"/>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4BD"/>
    <w:rsid w:val="007C06DB"/>
    <w:rsid w:val="007C097D"/>
    <w:rsid w:val="007C0AF2"/>
    <w:rsid w:val="007C0DD4"/>
    <w:rsid w:val="007C1672"/>
    <w:rsid w:val="007C17AE"/>
    <w:rsid w:val="007C21E1"/>
    <w:rsid w:val="007C227C"/>
    <w:rsid w:val="007C24EE"/>
    <w:rsid w:val="007C312A"/>
    <w:rsid w:val="007C3538"/>
    <w:rsid w:val="007C3570"/>
    <w:rsid w:val="007C3F3B"/>
    <w:rsid w:val="007C4097"/>
    <w:rsid w:val="007C4241"/>
    <w:rsid w:val="007C425E"/>
    <w:rsid w:val="007C44DF"/>
    <w:rsid w:val="007C55FF"/>
    <w:rsid w:val="007C5642"/>
    <w:rsid w:val="007C6339"/>
    <w:rsid w:val="007C6B63"/>
    <w:rsid w:val="007C753F"/>
    <w:rsid w:val="007C7C43"/>
    <w:rsid w:val="007C7E15"/>
    <w:rsid w:val="007C7F0D"/>
    <w:rsid w:val="007D06E3"/>
    <w:rsid w:val="007D09E4"/>
    <w:rsid w:val="007D1134"/>
    <w:rsid w:val="007D12EC"/>
    <w:rsid w:val="007D1774"/>
    <w:rsid w:val="007D231B"/>
    <w:rsid w:val="007D23F7"/>
    <w:rsid w:val="007D242C"/>
    <w:rsid w:val="007D24F0"/>
    <w:rsid w:val="007D2566"/>
    <w:rsid w:val="007D2C18"/>
    <w:rsid w:val="007D2D74"/>
    <w:rsid w:val="007D2DA3"/>
    <w:rsid w:val="007D3693"/>
    <w:rsid w:val="007D3C6D"/>
    <w:rsid w:val="007D481A"/>
    <w:rsid w:val="007D4B96"/>
    <w:rsid w:val="007D4ED0"/>
    <w:rsid w:val="007D54D9"/>
    <w:rsid w:val="007D5648"/>
    <w:rsid w:val="007D58C5"/>
    <w:rsid w:val="007D5DE8"/>
    <w:rsid w:val="007D612E"/>
    <w:rsid w:val="007D7CCB"/>
    <w:rsid w:val="007D7CFC"/>
    <w:rsid w:val="007E0812"/>
    <w:rsid w:val="007E0825"/>
    <w:rsid w:val="007E0D49"/>
    <w:rsid w:val="007E118A"/>
    <w:rsid w:val="007E18DF"/>
    <w:rsid w:val="007E1E45"/>
    <w:rsid w:val="007E1F52"/>
    <w:rsid w:val="007E214A"/>
    <w:rsid w:val="007E238D"/>
    <w:rsid w:val="007E2C36"/>
    <w:rsid w:val="007E327F"/>
    <w:rsid w:val="007E350D"/>
    <w:rsid w:val="007E3ACA"/>
    <w:rsid w:val="007E3B28"/>
    <w:rsid w:val="007E3F4A"/>
    <w:rsid w:val="007E526E"/>
    <w:rsid w:val="007E564D"/>
    <w:rsid w:val="007E5C4A"/>
    <w:rsid w:val="007E64D4"/>
    <w:rsid w:val="007E66E9"/>
    <w:rsid w:val="007E69F2"/>
    <w:rsid w:val="007E7432"/>
    <w:rsid w:val="007E74BF"/>
    <w:rsid w:val="007E7657"/>
    <w:rsid w:val="007E7B55"/>
    <w:rsid w:val="007E7D2E"/>
    <w:rsid w:val="007E7E0E"/>
    <w:rsid w:val="007E7E80"/>
    <w:rsid w:val="007F14D3"/>
    <w:rsid w:val="007F1655"/>
    <w:rsid w:val="007F1814"/>
    <w:rsid w:val="007F1D9D"/>
    <w:rsid w:val="007F1E28"/>
    <w:rsid w:val="007F1F63"/>
    <w:rsid w:val="007F22A0"/>
    <w:rsid w:val="007F2902"/>
    <w:rsid w:val="007F2903"/>
    <w:rsid w:val="007F2F90"/>
    <w:rsid w:val="007F3320"/>
    <w:rsid w:val="007F3AC1"/>
    <w:rsid w:val="007F4976"/>
    <w:rsid w:val="007F4B40"/>
    <w:rsid w:val="007F5A56"/>
    <w:rsid w:val="007F5D42"/>
    <w:rsid w:val="007F616E"/>
    <w:rsid w:val="007F6B46"/>
    <w:rsid w:val="007F72CB"/>
    <w:rsid w:val="007F736A"/>
    <w:rsid w:val="007F7635"/>
    <w:rsid w:val="007F785F"/>
    <w:rsid w:val="007F7961"/>
    <w:rsid w:val="007F7AF6"/>
    <w:rsid w:val="007F7E36"/>
    <w:rsid w:val="008005A1"/>
    <w:rsid w:val="00800E6D"/>
    <w:rsid w:val="008013FB"/>
    <w:rsid w:val="008014D9"/>
    <w:rsid w:val="0080150F"/>
    <w:rsid w:val="0080153A"/>
    <w:rsid w:val="00801A2A"/>
    <w:rsid w:val="00801EBB"/>
    <w:rsid w:val="00802041"/>
    <w:rsid w:val="008022C9"/>
    <w:rsid w:val="00802605"/>
    <w:rsid w:val="00802F9E"/>
    <w:rsid w:val="00803566"/>
    <w:rsid w:val="00803700"/>
    <w:rsid w:val="0080376A"/>
    <w:rsid w:val="00803D9D"/>
    <w:rsid w:val="0080434C"/>
    <w:rsid w:val="008056C1"/>
    <w:rsid w:val="008059C6"/>
    <w:rsid w:val="00805AD7"/>
    <w:rsid w:val="00805BD6"/>
    <w:rsid w:val="00805DE3"/>
    <w:rsid w:val="00807C35"/>
    <w:rsid w:val="00807F35"/>
    <w:rsid w:val="00807F69"/>
    <w:rsid w:val="008100F7"/>
    <w:rsid w:val="00810179"/>
    <w:rsid w:val="00810206"/>
    <w:rsid w:val="0081022B"/>
    <w:rsid w:val="0081082C"/>
    <w:rsid w:val="00810A15"/>
    <w:rsid w:val="00811898"/>
    <w:rsid w:val="00811C6D"/>
    <w:rsid w:val="00811CDC"/>
    <w:rsid w:val="008124D8"/>
    <w:rsid w:val="00812C9E"/>
    <w:rsid w:val="00812DAE"/>
    <w:rsid w:val="008139F9"/>
    <w:rsid w:val="00813A7B"/>
    <w:rsid w:val="00813F04"/>
    <w:rsid w:val="0081513E"/>
    <w:rsid w:val="00815DA5"/>
    <w:rsid w:val="00815E70"/>
    <w:rsid w:val="00816221"/>
    <w:rsid w:val="0081749A"/>
    <w:rsid w:val="008174F3"/>
    <w:rsid w:val="0081766B"/>
    <w:rsid w:val="008201DE"/>
    <w:rsid w:val="008205AC"/>
    <w:rsid w:val="00820705"/>
    <w:rsid w:val="00820CBF"/>
    <w:rsid w:val="00820FA8"/>
    <w:rsid w:val="008212FD"/>
    <w:rsid w:val="00821489"/>
    <w:rsid w:val="0082168D"/>
    <w:rsid w:val="008217B7"/>
    <w:rsid w:val="00822069"/>
    <w:rsid w:val="0082239B"/>
    <w:rsid w:val="0082292E"/>
    <w:rsid w:val="00822D06"/>
    <w:rsid w:val="00822EC4"/>
    <w:rsid w:val="0082348D"/>
    <w:rsid w:val="008236BE"/>
    <w:rsid w:val="008241CE"/>
    <w:rsid w:val="0082520B"/>
    <w:rsid w:val="00825240"/>
    <w:rsid w:val="008255CB"/>
    <w:rsid w:val="00825B01"/>
    <w:rsid w:val="00825B43"/>
    <w:rsid w:val="00825FEE"/>
    <w:rsid w:val="00826F71"/>
    <w:rsid w:val="008273EC"/>
    <w:rsid w:val="008275DC"/>
    <w:rsid w:val="00827CC0"/>
    <w:rsid w:val="008306AB"/>
    <w:rsid w:val="00831026"/>
    <w:rsid w:val="0083119B"/>
    <w:rsid w:val="00831BAE"/>
    <w:rsid w:val="00832216"/>
    <w:rsid w:val="00832513"/>
    <w:rsid w:val="00832CD0"/>
    <w:rsid w:val="00833430"/>
    <w:rsid w:val="00833ADA"/>
    <w:rsid w:val="00833FFC"/>
    <w:rsid w:val="00834128"/>
    <w:rsid w:val="0083417F"/>
    <w:rsid w:val="00835143"/>
    <w:rsid w:val="0083569B"/>
    <w:rsid w:val="00835741"/>
    <w:rsid w:val="00836E74"/>
    <w:rsid w:val="00836EAB"/>
    <w:rsid w:val="00837673"/>
    <w:rsid w:val="00837937"/>
    <w:rsid w:val="00837D82"/>
    <w:rsid w:val="00837EF3"/>
    <w:rsid w:val="008402C1"/>
    <w:rsid w:val="00840893"/>
    <w:rsid w:val="00840E88"/>
    <w:rsid w:val="008410B1"/>
    <w:rsid w:val="00841275"/>
    <w:rsid w:val="008414F0"/>
    <w:rsid w:val="00841515"/>
    <w:rsid w:val="00841677"/>
    <w:rsid w:val="00842181"/>
    <w:rsid w:val="008423EC"/>
    <w:rsid w:val="008429A6"/>
    <w:rsid w:val="00843615"/>
    <w:rsid w:val="00843698"/>
    <w:rsid w:val="00843A4B"/>
    <w:rsid w:val="00843B57"/>
    <w:rsid w:val="00843B60"/>
    <w:rsid w:val="00843D33"/>
    <w:rsid w:val="008444F0"/>
    <w:rsid w:val="00844D4F"/>
    <w:rsid w:val="00844F38"/>
    <w:rsid w:val="008453BA"/>
    <w:rsid w:val="00845AE3"/>
    <w:rsid w:val="00845B36"/>
    <w:rsid w:val="008466A0"/>
    <w:rsid w:val="00846FE7"/>
    <w:rsid w:val="00847535"/>
    <w:rsid w:val="00847B6D"/>
    <w:rsid w:val="0085092D"/>
    <w:rsid w:val="008509A5"/>
    <w:rsid w:val="00850C79"/>
    <w:rsid w:val="00850D82"/>
    <w:rsid w:val="00850F79"/>
    <w:rsid w:val="0085100B"/>
    <w:rsid w:val="008510A1"/>
    <w:rsid w:val="008518A3"/>
    <w:rsid w:val="00851D77"/>
    <w:rsid w:val="0085220E"/>
    <w:rsid w:val="0085304C"/>
    <w:rsid w:val="008536BB"/>
    <w:rsid w:val="00853A3C"/>
    <w:rsid w:val="00853B48"/>
    <w:rsid w:val="00853CE0"/>
    <w:rsid w:val="008548CA"/>
    <w:rsid w:val="00855760"/>
    <w:rsid w:val="008563B0"/>
    <w:rsid w:val="0085694D"/>
    <w:rsid w:val="00856C06"/>
    <w:rsid w:val="00857638"/>
    <w:rsid w:val="0085790B"/>
    <w:rsid w:val="008579B9"/>
    <w:rsid w:val="00857C95"/>
    <w:rsid w:val="00857E78"/>
    <w:rsid w:val="00860266"/>
    <w:rsid w:val="00860AEF"/>
    <w:rsid w:val="00860B18"/>
    <w:rsid w:val="00860D5E"/>
    <w:rsid w:val="0086122C"/>
    <w:rsid w:val="00861310"/>
    <w:rsid w:val="00861C4D"/>
    <w:rsid w:val="00861F53"/>
    <w:rsid w:val="008627DE"/>
    <w:rsid w:val="0086289E"/>
    <w:rsid w:val="008629CB"/>
    <w:rsid w:val="00863664"/>
    <w:rsid w:val="0086394E"/>
    <w:rsid w:val="00863F8A"/>
    <w:rsid w:val="00863FE3"/>
    <w:rsid w:val="008640C4"/>
    <w:rsid w:val="008641D5"/>
    <w:rsid w:val="00864241"/>
    <w:rsid w:val="008645AA"/>
    <w:rsid w:val="0086468A"/>
    <w:rsid w:val="00864E22"/>
    <w:rsid w:val="008650BE"/>
    <w:rsid w:val="00865EAF"/>
    <w:rsid w:val="00865FC6"/>
    <w:rsid w:val="0086633B"/>
    <w:rsid w:val="00866495"/>
    <w:rsid w:val="00866881"/>
    <w:rsid w:val="00866931"/>
    <w:rsid w:val="008673AE"/>
    <w:rsid w:val="00867512"/>
    <w:rsid w:val="008678A3"/>
    <w:rsid w:val="00867C13"/>
    <w:rsid w:val="00867C1D"/>
    <w:rsid w:val="0087033C"/>
    <w:rsid w:val="008715ED"/>
    <w:rsid w:val="008717D8"/>
    <w:rsid w:val="00871B2E"/>
    <w:rsid w:val="00871E3C"/>
    <w:rsid w:val="0087267F"/>
    <w:rsid w:val="00872F97"/>
    <w:rsid w:val="008741E9"/>
    <w:rsid w:val="00874607"/>
    <w:rsid w:val="008747E9"/>
    <w:rsid w:val="00874915"/>
    <w:rsid w:val="00874B89"/>
    <w:rsid w:val="00875403"/>
    <w:rsid w:val="00875434"/>
    <w:rsid w:val="00875C1F"/>
    <w:rsid w:val="00876215"/>
    <w:rsid w:val="0087646C"/>
    <w:rsid w:val="00876815"/>
    <w:rsid w:val="00876BF7"/>
    <w:rsid w:val="00877932"/>
    <w:rsid w:val="008808C7"/>
    <w:rsid w:val="0088106B"/>
    <w:rsid w:val="0088107D"/>
    <w:rsid w:val="0088187A"/>
    <w:rsid w:val="00881E64"/>
    <w:rsid w:val="00882E39"/>
    <w:rsid w:val="00883559"/>
    <w:rsid w:val="008850EB"/>
    <w:rsid w:val="00885228"/>
    <w:rsid w:val="008857E3"/>
    <w:rsid w:val="00886844"/>
    <w:rsid w:val="00886DF2"/>
    <w:rsid w:val="00886FB9"/>
    <w:rsid w:val="00887057"/>
    <w:rsid w:val="00887080"/>
    <w:rsid w:val="00887C79"/>
    <w:rsid w:val="008908DC"/>
    <w:rsid w:val="00890E6F"/>
    <w:rsid w:val="0089107B"/>
    <w:rsid w:val="008913CC"/>
    <w:rsid w:val="008914AE"/>
    <w:rsid w:val="008919CF"/>
    <w:rsid w:val="00891F84"/>
    <w:rsid w:val="00891FC3"/>
    <w:rsid w:val="008924EF"/>
    <w:rsid w:val="00892703"/>
    <w:rsid w:val="008928EC"/>
    <w:rsid w:val="00892A15"/>
    <w:rsid w:val="00892E5D"/>
    <w:rsid w:val="008935CF"/>
    <w:rsid w:val="00893E9B"/>
    <w:rsid w:val="00894039"/>
    <w:rsid w:val="0089436B"/>
    <w:rsid w:val="00894436"/>
    <w:rsid w:val="00894BB1"/>
    <w:rsid w:val="008951D0"/>
    <w:rsid w:val="00895442"/>
    <w:rsid w:val="00895556"/>
    <w:rsid w:val="008955CE"/>
    <w:rsid w:val="0089582D"/>
    <w:rsid w:val="008959C6"/>
    <w:rsid w:val="0089606D"/>
    <w:rsid w:val="00896129"/>
    <w:rsid w:val="00896316"/>
    <w:rsid w:val="008963DE"/>
    <w:rsid w:val="008963ED"/>
    <w:rsid w:val="0089675F"/>
    <w:rsid w:val="00896B51"/>
    <w:rsid w:val="0089774F"/>
    <w:rsid w:val="00897875"/>
    <w:rsid w:val="00897B8F"/>
    <w:rsid w:val="008A00D9"/>
    <w:rsid w:val="008A07D5"/>
    <w:rsid w:val="008A1C96"/>
    <w:rsid w:val="008A1FB7"/>
    <w:rsid w:val="008A229A"/>
    <w:rsid w:val="008A2A23"/>
    <w:rsid w:val="008A2AF5"/>
    <w:rsid w:val="008A2B5A"/>
    <w:rsid w:val="008A37F9"/>
    <w:rsid w:val="008A3F9D"/>
    <w:rsid w:val="008A41F8"/>
    <w:rsid w:val="008A52A0"/>
    <w:rsid w:val="008A5474"/>
    <w:rsid w:val="008A5C9A"/>
    <w:rsid w:val="008A6005"/>
    <w:rsid w:val="008A614F"/>
    <w:rsid w:val="008A66F2"/>
    <w:rsid w:val="008A6A55"/>
    <w:rsid w:val="008A6DF0"/>
    <w:rsid w:val="008A6F6E"/>
    <w:rsid w:val="008A7888"/>
    <w:rsid w:val="008A796E"/>
    <w:rsid w:val="008B0862"/>
    <w:rsid w:val="008B087A"/>
    <w:rsid w:val="008B088C"/>
    <w:rsid w:val="008B1BF5"/>
    <w:rsid w:val="008B1C27"/>
    <w:rsid w:val="008B214B"/>
    <w:rsid w:val="008B263F"/>
    <w:rsid w:val="008B3045"/>
    <w:rsid w:val="008B36BE"/>
    <w:rsid w:val="008B47A6"/>
    <w:rsid w:val="008B5C7C"/>
    <w:rsid w:val="008B63FE"/>
    <w:rsid w:val="008B672C"/>
    <w:rsid w:val="008B7045"/>
    <w:rsid w:val="008B7108"/>
    <w:rsid w:val="008C065F"/>
    <w:rsid w:val="008C0743"/>
    <w:rsid w:val="008C0B4C"/>
    <w:rsid w:val="008C11F0"/>
    <w:rsid w:val="008C1918"/>
    <w:rsid w:val="008C1DBA"/>
    <w:rsid w:val="008C1EAE"/>
    <w:rsid w:val="008C24E7"/>
    <w:rsid w:val="008C2500"/>
    <w:rsid w:val="008C2CAC"/>
    <w:rsid w:val="008C3903"/>
    <w:rsid w:val="008C3C57"/>
    <w:rsid w:val="008C3E2A"/>
    <w:rsid w:val="008C3F27"/>
    <w:rsid w:val="008C45BD"/>
    <w:rsid w:val="008C4B19"/>
    <w:rsid w:val="008C5115"/>
    <w:rsid w:val="008C5983"/>
    <w:rsid w:val="008C62D4"/>
    <w:rsid w:val="008C6754"/>
    <w:rsid w:val="008C6B89"/>
    <w:rsid w:val="008C6B97"/>
    <w:rsid w:val="008C7EF7"/>
    <w:rsid w:val="008C7F13"/>
    <w:rsid w:val="008D094D"/>
    <w:rsid w:val="008D0ECE"/>
    <w:rsid w:val="008D140A"/>
    <w:rsid w:val="008D15D4"/>
    <w:rsid w:val="008D18AA"/>
    <w:rsid w:val="008D19D9"/>
    <w:rsid w:val="008D1A2A"/>
    <w:rsid w:val="008D1ADE"/>
    <w:rsid w:val="008D2B89"/>
    <w:rsid w:val="008D3199"/>
    <w:rsid w:val="008D35D9"/>
    <w:rsid w:val="008D3B36"/>
    <w:rsid w:val="008D3B85"/>
    <w:rsid w:val="008D3FFE"/>
    <w:rsid w:val="008D42D2"/>
    <w:rsid w:val="008D4596"/>
    <w:rsid w:val="008D462D"/>
    <w:rsid w:val="008D6084"/>
    <w:rsid w:val="008D64AC"/>
    <w:rsid w:val="008D656F"/>
    <w:rsid w:val="008D65FB"/>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8BD"/>
    <w:rsid w:val="008E2BE6"/>
    <w:rsid w:val="008E30C4"/>
    <w:rsid w:val="008E38B4"/>
    <w:rsid w:val="008E3BA4"/>
    <w:rsid w:val="008E3F17"/>
    <w:rsid w:val="008E44AB"/>
    <w:rsid w:val="008E45FC"/>
    <w:rsid w:val="008E4CAE"/>
    <w:rsid w:val="008E5179"/>
    <w:rsid w:val="008E57FE"/>
    <w:rsid w:val="008E6598"/>
    <w:rsid w:val="008E6F19"/>
    <w:rsid w:val="008E710F"/>
    <w:rsid w:val="008E7214"/>
    <w:rsid w:val="008E7471"/>
    <w:rsid w:val="008E7497"/>
    <w:rsid w:val="008E7884"/>
    <w:rsid w:val="008E7D6E"/>
    <w:rsid w:val="008F1056"/>
    <w:rsid w:val="008F13FF"/>
    <w:rsid w:val="008F2E8D"/>
    <w:rsid w:val="008F361D"/>
    <w:rsid w:val="008F387B"/>
    <w:rsid w:val="008F3DD9"/>
    <w:rsid w:val="008F40DC"/>
    <w:rsid w:val="008F4163"/>
    <w:rsid w:val="008F4814"/>
    <w:rsid w:val="008F4B18"/>
    <w:rsid w:val="008F4DA6"/>
    <w:rsid w:val="008F538E"/>
    <w:rsid w:val="008F5751"/>
    <w:rsid w:val="008F5A20"/>
    <w:rsid w:val="008F5ABA"/>
    <w:rsid w:val="008F5B57"/>
    <w:rsid w:val="008F6157"/>
    <w:rsid w:val="008F71AB"/>
    <w:rsid w:val="008F7905"/>
    <w:rsid w:val="008F7989"/>
    <w:rsid w:val="00900861"/>
    <w:rsid w:val="00900912"/>
    <w:rsid w:val="009013B8"/>
    <w:rsid w:val="00901765"/>
    <w:rsid w:val="00901F1D"/>
    <w:rsid w:val="009028E8"/>
    <w:rsid w:val="00902CC9"/>
    <w:rsid w:val="00902E5C"/>
    <w:rsid w:val="0090363E"/>
    <w:rsid w:val="00903679"/>
    <w:rsid w:val="00903788"/>
    <w:rsid w:val="00903C57"/>
    <w:rsid w:val="009046E5"/>
    <w:rsid w:val="00904782"/>
    <w:rsid w:val="009047C5"/>
    <w:rsid w:val="00906007"/>
    <w:rsid w:val="00906166"/>
    <w:rsid w:val="00906C54"/>
    <w:rsid w:val="00906D34"/>
    <w:rsid w:val="009100A1"/>
    <w:rsid w:val="00910683"/>
    <w:rsid w:val="00910E00"/>
    <w:rsid w:val="00910E04"/>
    <w:rsid w:val="009116CE"/>
    <w:rsid w:val="00911714"/>
    <w:rsid w:val="00911D04"/>
    <w:rsid w:val="00911EFF"/>
    <w:rsid w:val="00913035"/>
    <w:rsid w:val="0091310F"/>
    <w:rsid w:val="009136D4"/>
    <w:rsid w:val="00914B9A"/>
    <w:rsid w:val="00914C3F"/>
    <w:rsid w:val="00914F33"/>
    <w:rsid w:val="00915EFE"/>
    <w:rsid w:val="00915FCE"/>
    <w:rsid w:val="00916907"/>
    <w:rsid w:val="00916AFE"/>
    <w:rsid w:val="00916FC8"/>
    <w:rsid w:val="009170D3"/>
    <w:rsid w:val="0091759C"/>
    <w:rsid w:val="009177F5"/>
    <w:rsid w:val="00917CBE"/>
    <w:rsid w:val="00920026"/>
    <w:rsid w:val="009203E2"/>
    <w:rsid w:val="009207DF"/>
    <w:rsid w:val="00920BF5"/>
    <w:rsid w:val="00920F61"/>
    <w:rsid w:val="00921304"/>
    <w:rsid w:val="00921395"/>
    <w:rsid w:val="00921805"/>
    <w:rsid w:val="00921E63"/>
    <w:rsid w:val="009220F6"/>
    <w:rsid w:val="00923396"/>
    <w:rsid w:val="00923A05"/>
    <w:rsid w:val="00923EE8"/>
    <w:rsid w:val="00923F56"/>
    <w:rsid w:val="009242A6"/>
    <w:rsid w:val="00924770"/>
    <w:rsid w:val="00925022"/>
    <w:rsid w:val="00925346"/>
    <w:rsid w:val="0092557B"/>
    <w:rsid w:val="00925743"/>
    <w:rsid w:val="0092579F"/>
    <w:rsid w:val="00927E8D"/>
    <w:rsid w:val="00927F23"/>
    <w:rsid w:val="009307CD"/>
    <w:rsid w:val="0093110D"/>
    <w:rsid w:val="00931364"/>
    <w:rsid w:val="00931365"/>
    <w:rsid w:val="00931427"/>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76F"/>
    <w:rsid w:val="00935E70"/>
    <w:rsid w:val="0093609A"/>
    <w:rsid w:val="00937401"/>
    <w:rsid w:val="009376FB"/>
    <w:rsid w:val="00937D6B"/>
    <w:rsid w:val="00937EB5"/>
    <w:rsid w:val="00940207"/>
    <w:rsid w:val="00940477"/>
    <w:rsid w:val="00940876"/>
    <w:rsid w:val="00940A53"/>
    <w:rsid w:val="00940DBD"/>
    <w:rsid w:val="00940F3C"/>
    <w:rsid w:val="009410E0"/>
    <w:rsid w:val="00941B72"/>
    <w:rsid w:val="00941FA9"/>
    <w:rsid w:val="009439B6"/>
    <w:rsid w:val="009444B4"/>
    <w:rsid w:val="00944644"/>
    <w:rsid w:val="00945281"/>
    <w:rsid w:val="009459EA"/>
    <w:rsid w:val="00945DAE"/>
    <w:rsid w:val="00946A24"/>
    <w:rsid w:val="009470D4"/>
    <w:rsid w:val="00947337"/>
    <w:rsid w:val="009477BD"/>
    <w:rsid w:val="00947E6E"/>
    <w:rsid w:val="00950A54"/>
    <w:rsid w:val="009512EA"/>
    <w:rsid w:val="009512FA"/>
    <w:rsid w:val="009516A9"/>
    <w:rsid w:val="00951E57"/>
    <w:rsid w:val="00952350"/>
    <w:rsid w:val="00952505"/>
    <w:rsid w:val="00953018"/>
    <w:rsid w:val="009533E2"/>
    <w:rsid w:val="00953554"/>
    <w:rsid w:val="0095385A"/>
    <w:rsid w:val="00954F3A"/>
    <w:rsid w:val="00955541"/>
    <w:rsid w:val="00955DFD"/>
    <w:rsid w:val="0095674F"/>
    <w:rsid w:val="0095747E"/>
    <w:rsid w:val="0095780A"/>
    <w:rsid w:val="009578C3"/>
    <w:rsid w:val="009579E4"/>
    <w:rsid w:val="00957AA4"/>
    <w:rsid w:val="00957ACB"/>
    <w:rsid w:val="00957F27"/>
    <w:rsid w:val="00960BDB"/>
    <w:rsid w:val="0096105C"/>
    <w:rsid w:val="0096147D"/>
    <w:rsid w:val="0096181D"/>
    <w:rsid w:val="00961C14"/>
    <w:rsid w:val="00961D53"/>
    <w:rsid w:val="00961E5F"/>
    <w:rsid w:val="009625C6"/>
    <w:rsid w:val="0096284A"/>
    <w:rsid w:val="009629B5"/>
    <w:rsid w:val="00962A50"/>
    <w:rsid w:val="00962C93"/>
    <w:rsid w:val="00963550"/>
    <w:rsid w:val="00963A67"/>
    <w:rsid w:val="00964138"/>
    <w:rsid w:val="009648D6"/>
    <w:rsid w:val="00964B3F"/>
    <w:rsid w:val="00964C98"/>
    <w:rsid w:val="00965784"/>
    <w:rsid w:val="00966948"/>
    <w:rsid w:val="00971441"/>
    <w:rsid w:val="00971555"/>
    <w:rsid w:val="009715D4"/>
    <w:rsid w:val="009715E1"/>
    <w:rsid w:val="0097179A"/>
    <w:rsid w:val="009717AE"/>
    <w:rsid w:val="00971B0A"/>
    <w:rsid w:val="00972AB2"/>
    <w:rsid w:val="009731F4"/>
    <w:rsid w:val="009732A4"/>
    <w:rsid w:val="00973398"/>
    <w:rsid w:val="00973AB3"/>
    <w:rsid w:val="00973C05"/>
    <w:rsid w:val="0097494E"/>
    <w:rsid w:val="00974999"/>
    <w:rsid w:val="00974B58"/>
    <w:rsid w:val="00974CBD"/>
    <w:rsid w:val="00974EF6"/>
    <w:rsid w:val="00975445"/>
    <w:rsid w:val="009755CA"/>
    <w:rsid w:val="009761ED"/>
    <w:rsid w:val="009767BE"/>
    <w:rsid w:val="00976FFF"/>
    <w:rsid w:val="00977F52"/>
    <w:rsid w:val="0098022F"/>
    <w:rsid w:val="009810DE"/>
    <w:rsid w:val="00981B91"/>
    <w:rsid w:val="009822D7"/>
    <w:rsid w:val="009827E6"/>
    <w:rsid w:val="00982F84"/>
    <w:rsid w:val="009831C3"/>
    <w:rsid w:val="00983310"/>
    <w:rsid w:val="009838C1"/>
    <w:rsid w:val="0098427D"/>
    <w:rsid w:val="00984567"/>
    <w:rsid w:val="00985102"/>
    <w:rsid w:val="009854BC"/>
    <w:rsid w:val="00985A66"/>
    <w:rsid w:val="0098606C"/>
    <w:rsid w:val="009865D5"/>
    <w:rsid w:val="009866A4"/>
    <w:rsid w:val="00986CD7"/>
    <w:rsid w:val="0098721B"/>
    <w:rsid w:val="009876F2"/>
    <w:rsid w:val="00987C77"/>
    <w:rsid w:val="00987E4B"/>
    <w:rsid w:val="00987FED"/>
    <w:rsid w:val="00990345"/>
    <w:rsid w:val="00990701"/>
    <w:rsid w:val="009909A8"/>
    <w:rsid w:val="0099119C"/>
    <w:rsid w:val="0099137A"/>
    <w:rsid w:val="00991A9D"/>
    <w:rsid w:val="00991AED"/>
    <w:rsid w:val="0099211C"/>
    <w:rsid w:val="00992893"/>
    <w:rsid w:val="009928AF"/>
    <w:rsid w:val="00993013"/>
    <w:rsid w:val="0099308E"/>
    <w:rsid w:val="009930AB"/>
    <w:rsid w:val="00993125"/>
    <w:rsid w:val="00993B78"/>
    <w:rsid w:val="00994743"/>
    <w:rsid w:val="00994F3F"/>
    <w:rsid w:val="00995119"/>
    <w:rsid w:val="0099531F"/>
    <w:rsid w:val="009953AD"/>
    <w:rsid w:val="00995461"/>
    <w:rsid w:val="009957D7"/>
    <w:rsid w:val="0099583D"/>
    <w:rsid w:val="0099591E"/>
    <w:rsid w:val="00996020"/>
    <w:rsid w:val="0099629E"/>
    <w:rsid w:val="009967A4"/>
    <w:rsid w:val="00996851"/>
    <w:rsid w:val="00996897"/>
    <w:rsid w:val="00996992"/>
    <w:rsid w:val="00996CE5"/>
    <w:rsid w:val="00996E1E"/>
    <w:rsid w:val="00997148"/>
    <w:rsid w:val="00997392"/>
    <w:rsid w:val="0099747C"/>
    <w:rsid w:val="0099771C"/>
    <w:rsid w:val="009A01E4"/>
    <w:rsid w:val="009A0917"/>
    <w:rsid w:val="009A0A33"/>
    <w:rsid w:val="009A10B2"/>
    <w:rsid w:val="009A1351"/>
    <w:rsid w:val="009A2041"/>
    <w:rsid w:val="009A2435"/>
    <w:rsid w:val="009A2B60"/>
    <w:rsid w:val="009A2D3B"/>
    <w:rsid w:val="009A306E"/>
    <w:rsid w:val="009A35DC"/>
    <w:rsid w:val="009A38AB"/>
    <w:rsid w:val="009A38EC"/>
    <w:rsid w:val="009A39EE"/>
    <w:rsid w:val="009A3A33"/>
    <w:rsid w:val="009A3D47"/>
    <w:rsid w:val="009A4C64"/>
    <w:rsid w:val="009A4D63"/>
    <w:rsid w:val="009A5356"/>
    <w:rsid w:val="009A5468"/>
    <w:rsid w:val="009A55D8"/>
    <w:rsid w:val="009A5D99"/>
    <w:rsid w:val="009A5DC6"/>
    <w:rsid w:val="009A608C"/>
    <w:rsid w:val="009A62E5"/>
    <w:rsid w:val="009A6FDF"/>
    <w:rsid w:val="009A715F"/>
    <w:rsid w:val="009A76D6"/>
    <w:rsid w:val="009A7BEB"/>
    <w:rsid w:val="009B03F1"/>
    <w:rsid w:val="009B1481"/>
    <w:rsid w:val="009B2374"/>
    <w:rsid w:val="009B28D6"/>
    <w:rsid w:val="009B2E29"/>
    <w:rsid w:val="009B3163"/>
    <w:rsid w:val="009B422F"/>
    <w:rsid w:val="009B46BC"/>
    <w:rsid w:val="009B48F8"/>
    <w:rsid w:val="009B4D1A"/>
    <w:rsid w:val="009B519D"/>
    <w:rsid w:val="009B558B"/>
    <w:rsid w:val="009B5DAA"/>
    <w:rsid w:val="009B663F"/>
    <w:rsid w:val="009B6D21"/>
    <w:rsid w:val="009B78ED"/>
    <w:rsid w:val="009C0783"/>
    <w:rsid w:val="009C08D7"/>
    <w:rsid w:val="009C181C"/>
    <w:rsid w:val="009C1A44"/>
    <w:rsid w:val="009C1C7F"/>
    <w:rsid w:val="009C1EC7"/>
    <w:rsid w:val="009C2210"/>
    <w:rsid w:val="009C23C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495"/>
    <w:rsid w:val="009C6BFC"/>
    <w:rsid w:val="009C70F8"/>
    <w:rsid w:val="009C78A3"/>
    <w:rsid w:val="009C7E68"/>
    <w:rsid w:val="009D00D7"/>
    <w:rsid w:val="009D0156"/>
    <w:rsid w:val="009D03B4"/>
    <w:rsid w:val="009D05DA"/>
    <w:rsid w:val="009D0AF9"/>
    <w:rsid w:val="009D11F6"/>
    <w:rsid w:val="009D1A14"/>
    <w:rsid w:val="009D1E2A"/>
    <w:rsid w:val="009D1FA0"/>
    <w:rsid w:val="009D23D3"/>
    <w:rsid w:val="009D28E8"/>
    <w:rsid w:val="009D2BDF"/>
    <w:rsid w:val="009D3736"/>
    <w:rsid w:val="009D3D06"/>
    <w:rsid w:val="009D4529"/>
    <w:rsid w:val="009D460F"/>
    <w:rsid w:val="009D604F"/>
    <w:rsid w:val="009D61BB"/>
    <w:rsid w:val="009D6410"/>
    <w:rsid w:val="009D68BB"/>
    <w:rsid w:val="009D6909"/>
    <w:rsid w:val="009D700F"/>
    <w:rsid w:val="009D70C2"/>
    <w:rsid w:val="009D7244"/>
    <w:rsid w:val="009D7ADB"/>
    <w:rsid w:val="009D7B33"/>
    <w:rsid w:val="009E0490"/>
    <w:rsid w:val="009E06C3"/>
    <w:rsid w:val="009E0703"/>
    <w:rsid w:val="009E0767"/>
    <w:rsid w:val="009E1035"/>
    <w:rsid w:val="009E13D2"/>
    <w:rsid w:val="009E16DA"/>
    <w:rsid w:val="009E1CD4"/>
    <w:rsid w:val="009E2103"/>
    <w:rsid w:val="009E2391"/>
    <w:rsid w:val="009E2A11"/>
    <w:rsid w:val="009E2C0F"/>
    <w:rsid w:val="009E3BEE"/>
    <w:rsid w:val="009E3F5A"/>
    <w:rsid w:val="009E476A"/>
    <w:rsid w:val="009E4A16"/>
    <w:rsid w:val="009E4E05"/>
    <w:rsid w:val="009E56FF"/>
    <w:rsid w:val="009E5CB1"/>
    <w:rsid w:val="009E5E56"/>
    <w:rsid w:val="009E61EA"/>
    <w:rsid w:val="009E6990"/>
    <w:rsid w:val="009E6BA8"/>
    <w:rsid w:val="009E6FEE"/>
    <w:rsid w:val="009E7068"/>
    <w:rsid w:val="009E788D"/>
    <w:rsid w:val="009E790A"/>
    <w:rsid w:val="009E794B"/>
    <w:rsid w:val="009F00B9"/>
    <w:rsid w:val="009F060F"/>
    <w:rsid w:val="009F0781"/>
    <w:rsid w:val="009F0850"/>
    <w:rsid w:val="009F15A8"/>
    <w:rsid w:val="009F1950"/>
    <w:rsid w:val="009F1BDF"/>
    <w:rsid w:val="009F1EAE"/>
    <w:rsid w:val="009F210A"/>
    <w:rsid w:val="009F2732"/>
    <w:rsid w:val="009F2848"/>
    <w:rsid w:val="009F2A31"/>
    <w:rsid w:val="009F369D"/>
    <w:rsid w:val="009F36FE"/>
    <w:rsid w:val="009F3865"/>
    <w:rsid w:val="009F3C87"/>
    <w:rsid w:val="009F4990"/>
    <w:rsid w:val="009F4F25"/>
    <w:rsid w:val="009F59C2"/>
    <w:rsid w:val="009F6DD3"/>
    <w:rsid w:val="009F7263"/>
    <w:rsid w:val="009F76EA"/>
    <w:rsid w:val="009F78EB"/>
    <w:rsid w:val="009F7DB2"/>
    <w:rsid w:val="009F7F32"/>
    <w:rsid w:val="009F7FEB"/>
    <w:rsid w:val="00A003D5"/>
    <w:rsid w:val="00A0056C"/>
    <w:rsid w:val="00A00F5E"/>
    <w:rsid w:val="00A0109F"/>
    <w:rsid w:val="00A0120D"/>
    <w:rsid w:val="00A01852"/>
    <w:rsid w:val="00A0188B"/>
    <w:rsid w:val="00A01C35"/>
    <w:rsid w:val="00A01E73"/>
    <w:rsid w:val="00A01F7E"/>
    <w:rsid w:val="00A023E7"/>
    <w:rsid w:val="00A02B88"/>
    <w:rsid w:val="00A02EF9"/>
    <w:rsid w:val="00A03160"/>
    <w:rsid w:val="00A036AC"/>
    <w:rsid w:val="00A03C54"/>
    <w:rsid w:val="00A03DE5"/>
    <w:rsid w:val="00A041BC"/>
    <w:rsid w:val="00A0447F"/>
    <w:rsid w:val="00A04532"/>
    <w:rsid w:val="00A046D2"/>
    <w:rsid w:val="00A04A54"/>
    <w:rsid w:val="00A056D2"/>
    <w:rsid w:val="00A05845"/>
    <w:rsid w:val="00A058B8"/>
    <w:rsid w:val="00A05B4B"/>
    <w:rsid w:val="00A066C3"/>
    <w:rsid w:val="00A06754"/>
    <w:rsid w:val="00A069E0"/>
    <w:rsid w:val="00A06E4A"/>
    <w:rsid w:val="00A06EB6"/>
    <w:rsid w:val="00A070E9"/>
    <w:rsid w:val="00A07630"/>
    <w:rsid w:val="00A0789B"/>
    <w:rsid w:val="00A078FB"/>
    <w:rsid w:val="00A10209"/>
    <w:rsid w:val="00A1036D"/>
    <w:rsid w:val="00A1057A"/>
    <w:rsid w:val="00A1069F"/>
    <w:rsid w:val="00A10ACA"/>
    <w:rsid w:val="00A10D08"/>
    <w:rsid w:val="00A11720"/>
    <w:rsid w:val="00A11E78"/>
    <w:rsid w:val="00A12355"/>
    <w:rsid w:val="00A12574"/>
    <w:rsid w:val="00A127D2"/>
    <w:rsid w:val="00A1284E"/>
    <w:rsid w:val="00A12AFA"/>
    <w:rsid w:val="00A13CF5"/>
    <w:rsid w:val="00A13EEC"/>
    <w:rsid w:val="00A143EC"/>
    <w:rsid w:val="00A149E8"/>
    <w:rsid w:val="00A1500F"/>
    <w:rsid w:val="00A15621"/>
    <w:rsid w:val="00A15670"/>
    <w:rsid w:val="00A157A0"/>
    <w:rsid w:val="00A1585B"/>
    <w:rsid w:val="00A15C19"/>
    <w:rsid w:val="00A15FE9"/>
    <w:rsid w:val="00A16809"/>
    <w:rsid w:val="00A17584"/>
    <w:rsid w:val="00A17769"/>
    <w:rsid w:val="00A17CA5"/>
    <w:rsid w:val="00A17EA2"/>
    <w:rsid w:val="00A20264"/>
    <w:rsid w:val="00A20997"/>
    <w:rsid w:val="00A210D4"/>
    <w:rsid w:val="00A213DD"/>
    <w:rsid w:val="00A21454"/>
    <w:rsid w:val="00A216CE"/>
    <w:rsid w:val="00A22025"/>
    <w:rsid w:val="00A22498"/>
    <w:rsid w:val="00A22571"/>
    <w:rsid w:val="00A2298D"/>
    <w:rsid w:val="00A235E1"/>
    <w:rsid w:val="00A237CD"/>
    <w:rsid w:val="00A24560"/>
    <w:rsid w:val="00A25088"/>
    <w:rsid w:val="00A25833"/>
    <w:rsid w:val="00A25B0F"/>
    <w:rsid w:val="00A25BBB"/>
    <w:rsid w:val="00A27FB6"/>
    <w:rsid w:val="00A30121"/>
    <w:rsid w:val="00A30368"/>
    <w:rsid w:val="00A3043A"/>
    <w:rsid w:val="00A30E02"/>
    <w:rsid w:val="00A30F6A"/>
    <w:rsid w:val="00A31060"/>
    <w:rsid w:val="00A31C3E"/>
    <w:rsid w:val="00A331E4"/>
    <w:rsid w:val="00A34538"/>
    <w:rsid w:val="00A34677"/>
    <w:rsid w:val="00A3540F"/>
    <w:rsid w:val="00A35630"/>
    <w:rsid w:val="00A35914"/>
    <w:rsid w:val="00A35E91"/>
    <w:rsid w:val="00A36189"/>
    <w:rsid w:val="00A361D8"/>
    <w:rsid w:val="00A3677A"/>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6A5F"/>
    <w:rsid w:val="00A47701"/>
    <w:rsid w:val="00A47849"/>
    <w:rsid w:val="00A500B1"/>
    <w:rsid w:val="00A50238"/>
    <w:rsid w:val="00A51D65"/>
    <w:rsid w:val="00A52A53"/>
    <w:rsid w:val="00A52EE5"/>
    <w:rsid w:val="00A53037"/>
    <w:rsid w:val="00A532B9"/>
    <w:rsid w:val="00A5351D"/>
    <w:rsid w:val="00A53E79"/>
    <w:rsid w:val="00A5402C"/>
    <w:rsid w:val="00A54031"/>
    <w:rsid w:val="00A5426D"/>
    <w:rsid w:val="00A54895"/>
    <w:rsid w:val="00A54FC2"/>
    <w:rsid w:val="00A55122"/>
    <w:rsid w:val="00A55806"/>
    <w:rsid w:val="00A55CEA"/>
    <w:rsid w:val="00A560A9"/>
    <w:rsid w:val="00A56A00"/>
    <w:rsid w:val="00A56DE7"/>
    <w:rsid w:val="00A572F4"/>
    <w:rsid w:val="00A57EB2"/>
    <w:rsid w:val="00A6009E"/>
    <w:rsid w:val="00A60265"/>
    <w:rsid w:val="00A60540"/>
    <w:rsid w:val="00A60B1F"/>
    <w:rsid w:val="00A611B1"/>
    <w:rsid w:val="00A6144B"/>
    <w:rsid w:val="00A61C60"/>
    <w:rsid w:val="00A622EA"/>
    <w:rsid w:val="00A62589"/>
    <w:rsid w:val="00A62AD0"/>
    <w:rsid w:val="00A62B6D"/>
    <w:rsid w:val="00A62C3A"/>
    <w:rsid w:val="00A6319C"/>
    <w:rsid w:val="00A63812"/>
    <w:rsid w:val="00A63DF7"/>
    <w:rsid w:val="00A6454D"/>
    <w:rsid w:val="00A64767"/>
    <w:rsid w:val="00A64F2F"/>
    <w:rsid w:val="00A65960"/>
    <w:rsid w:val="00A6611E"/>
    <w:rsid w:val="00A6662C"/>
    <w:rsid w:val="00A668BA"/>
    <w:rsid w:val="00A66FA7"/>
    <w:rsid w:val="00A67170"/>
    <w:rsid w:val="00A67775"/>
    <w:rsid w:val="00A67E16"/>
    <w:rsid w:val="00A67EB1"/>
    <w:rsid w:val="00A67F1C"/>
    <w:rsid w:val="00A703CC"/>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2E"/>
    <w:rsid w:val="00A75FD7"/>
    <w:rsid w:val="00A77168"/>
    <w:rsid w:val="00A7723B"/>
    <w:rsid w:val="00A773C3"/>
    <w:rsid w:val="00A7793C"/>
    <w:rsid w:val="00A77D21"/>
    <w:rsid w:val="00A80085"/>
    <w:rsid w:val="00A8043B"/>
    <w:rsid w:val="00A80DA0"/>
    <w:rsid w:val="00A80E81"/>
    <w:rsid w:val="00A81323"/>
    <w:rsid w:val="00A820CB"/>
    <w:rsid w:val="00A82342"/>
    <w:rsid w:val="00A8236F"/>
    <w:rsid w:val="00A82D06"/>
    <w:rsid w:val="00A83096"/>
    <w:rsid w:val="00A832DB"/>
    <w:rsid w:val="00A83BEF"/>
    <w:rsid w:val="00A83C21"/>
    <w:rsid w:val="00A84443"/>
    <w:rsid w:val="00A846C8"/>
    <w:rsid w:val="00A8487F"/>
    <w:rsid w:val="00A84935"/>
    <w:rsid w:val="00A849A3"/>
    <w:rsid w:val="00A84A0E"/>
    <w:rsid w:val="00A8575D"/>
    <w:rsid w:val="00A861F4"/>
    <w:rsid w:val="00A86E0B"/>
    <w:rsid w:val="00A90546"/>
    <w:rsid w:val="00A90AD3"/>
    <w:rsid w:val="00A90F12"/>
    <w:rsid w:val="00A91C08"/>
    <w:rsid w:val="00A91DAA"/>
    <w:rsid w:val="00A928D0"/>
    <w:rsid w:val="00A93101"/>
    <w:rsid w:val="00A93239"/>
    <w:rsid w:val="00A9413E"/>
    <w:rsid w:val="00A94293"/>
    <w:rsid w:val="00A9496E"/>
    <w:rsid w:val="00A949F0"/>
    <w:rsid w:val="00A94BDE"/>
    <w:rsid w:val="00A94FCA"/>
    <w:rsid w:val="00A95E4C"/>
    <w:rsid w:val="00A96418"/>
    <w:rsid w:val="00A96C60"/>
    <w:rsid w:val="00A9740B"/>
    <w:rsid w:val="00A9766C"/>
    <w:rsid w:val="00A977F8"/>
    <w:rsid w:val="00A979DB"/>
    <w:rsid w:val="00A97A40"/>
    <w:rsid w:val="00A97AE8"/>
    <w:rsid w:val="00A97C93"/>
    <w:rsid w:val="00AA06C6"/>
    <w:rsid w:val="00AA0856"/>
    <w:rsid w:val="00AA08E7"/>
    <w:rsid w:val="00AA0A06"/>
    <w:rsid w:val="00AA1351"/>
    <w:rsid w:val="00AA184C"/>
    <w:rsid w:val="00AA1AF4"/>
    <w:rsid w:val="00AA1C84"/>
    <w:rsid w:val="00AA31C5"/>
    <w:rsid w:val="00AA3D7B"/>
    <w:rsid w:val="00AA42A0"/>
    <w:rsid w:val="00AA442B"/>
    <w:rsid w:val="00AA46A4"/>
    <w:rsid w:val="00AA47FA"/>
    <w:rsid w:val="00AA4BEB"/>
    <w:rsid w:val="00AA5779"/>
    <w:rsid w:val="00AA58A1"/>
    <w:rsid w:val="00AA5E49"/>
    <w:rsid w:val="00AA61C7"/>
    <w:rsid w:val="00AA669D"/>
    <w:rsid w:val="00AA66ED"/>
    <w:rsid w:val="00AA6B59"/>
    <w:rsid w:val="00AA6BE1"/>
    <w:rsid w:val="00AA6DB2"/>
    <w:rsid w:val="00AA7416"/>
    <w:rsid w:val="00AA7A60"/>
    <w:rsid w:val="00AA7B42"/>
    <w:rsid w:val="00AB041C"/>
    <w:rsid w:val="00AB0493"/>
    <w:rsid w:val="00AB14E8"/>
    <w:rsid w:val="00AB1B1D"/>
    <w:rsid w:val="00AB1CD8"/>
    <w:rsid w:val="00AB1D80"/>
    <w:rsid w:val="00AB2216"/>
    <w:rsid w:val="00AB358D"/>
    <w:rsid w:val="00AB37A1"/>
    <w:rsid w:val="00AB3BAD"/>
    <w:rsid w:val="00AB3CFD"/>
    <w:rsid w:val="00AB49BC"/>
    <w:rsid w:val="00AB4DEE"/>
    <w:rsid w:val="00AB4E32"/>
    <w:rsid w:val="00AB5C19"/>
    <w:rsid w:val="00AB60F5"/>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1DF"/>
    <w:rsid w:val="00AC5395"/>
    <w:rsid w:val="00AC55C7"/>
    <w:rsid w:val="00AC56F2"/>
    <w:rsid w:val="00AC5D9D"/>
    <w:rsid w:val="00AC6B7E"/>
    <w:rsid w:val="00AC71C3"/>
    <w:rsid w:val="00AC7356"/>
    <w:rsid w:val="00AD0617"/>
    <w:rsid w:val="00AD0861"/>
    <w:rsid w:val="00AD09F7"/>
    <w:rsid w:val="00AD1B10"/>
    <w:rsid w:val="00AD1EFA"/>
    <w:rsid w:val="00AD2072"/>
    <w:rsid w:val="00AD2DBD"/>
    <w:rsid w:val="00AD2FBF"/>
    <w:rsid w:val="00AD30DB"/>
    <w:rsid w:val="00AD33A1"/>
    <w:rsid w:val="00AD340E"/>
    <w:rsid w:val="00AD4511"/>
    <w:rsid w:val="00AD455D"/>
    <w:rsid w:val="00AD463C"/>
    <w:rsid w:val="00AD470B"/>
    <w:rsid w:val="00AD4864"/>
    <w:rsid w:val="00AD4F60"/>
    <w:rsid w:val="00AD5044"/>
    <w:rsid w:val="00AD5114"/>
    <w:rsid w:val="00AD51D2"/>
    <w:rsid w:val="00AD5523"/>
    <w:rsid w:val="00AD5740"/>
    <w:rsid w:val="00AD604D"/>
    <w:rsid w:val="00AD6236"/>
    <w:rsid w:val="00AD69D5"/>
    <w:rsid w:val="00AD7619"/>
    <w:rsid w:val="00AD7770"/>
    <w:rsid w:val="00AE0053"/>
    <w:rsid w:val="00AE15DF"/>
    <w:rsid w:val="00AE1713"/>
    <w:rsid w:val="00AE1772"/>
    <w:rsid w:val="00AE1990"/>
    <w:rsid w:val="00AE25E8"/>
    <w:rsid w:val="00AE2AD4"/>
    <w:rsid w:val="00AE2CA7"/>
    <w:rsid w:val="00AE2F1D"/>
    <w:rsid w:val="00AE4C81"/>
    <w:rsid w:val="00AE586F"/>
    <w:rsid w:val="00AE6188"/>
    <w:rsid w:val="00AE62F6"/>
    <w:rsid w:val="00AE62FE"/>
    <w:rsid w:val="00AE6447"/>
    <w:rsid w:val="00AE6582"/>
    <w:rsid w:val="00AE6DC5"/>
    <w:rsid w:val="00AE7388"/>
    <w:rsid w:val="00AE7686"/>
    <w:rsid w:val="00AE799A"/>
    <w:rsid w:val="00AE7CF1"/>
    <w:rsid w:val="00AF01C3"/>
    <w:rsid w:val="00AF038D"/>
    <w:rsid w:val="00AF0E81"/>
    <w:rsid w:val="00AF117A"/>
    <w:rsid w:val="00AF134E"/>
    <w:rsid w:val="00AF16CA"/>
    <w:rsid w:val="00AF186E"/>
    <w:rsid w:val="00AF19DF"/>
    <w:rsid w:val="00AF1D23"/>
    <w:rsid w:val="00AF1D41"/>
    <w:rsid w:val="00AF1FBF"/>
    <w:rsid w:val="00AF20DA"/>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CBB"/>
    <w:rsid w:val="00AF6DEC"/>
    <w:rsid w:val="00AF6EB6"/>
    <w:rsid w:val="00AF7796"/>
    <w:rsid w:val="00AF7E8F"/>
    <w:rsid w:val="00AF7EA3"/>
    <w:rsid w:val="00B011A9"/>
    <w:rsid w:val="00B01BAF"/>
    <w:rsid w:val="00B024ED"/>
    <w:rsid w:val="00B026B8"/>
    <w:rsid w:val="00B02EB3"/>
    <w:rsid w:val="00B02F7C"/>
    <w:rsid w:val="00B02FCB"/>
    <w:rsid w:val="00B033F8"/>
    <w:rsid w:val="00B0343B"/>
    <w:rsid w:val="00B03C1E"/>
    <w:rsid w:val="00B03C32"/>
    <w:rsid w:val="00B04400"/>
    <w:rsid w:val="00B04835"/>
    <w:rsid w:val="00B05901"/>
    <w:rsid w:val="00B05A55"/>
    <w:rsid w:val="00B05DE1"/>
    <w:rsid w:val="00B05F6C"/>
    <w:rsid w:val="00B06530"/>
    <w:rsid w:val="00B06595"/>
    <w:rsid w:val="00B06862"/>
    <w:rsid w:val="00B076C1"/>
    <w:rsid w:val="00B1003F"/>
    <w:rsid w:val="00B10109"/>
    <w:rsid w:val="00B1085E"/>
    <w:rsid w:val="00B10FD1"/>
    <w:rsid w:val="00B112D5"/>
    <w:rsid w:val="00B11378"/>
    <w:rsid w:val="00B1189E"/>
    <w:rsid w:val="00B11CC6"/>
    <w:rsid w:val="00B1219D"/>
    <w:rsid w:val="00B12735"/>
    <w:rsid w:val="00B12F44"/>
    <w:rsid w:val="00B12FBB"/>
    <w:rsid w:val="00B1345E"/>
    <w:rsid w:val="00B13C48"/>
    <w:rsid w:val="00B13E35"/>
    <w:rsid w:val="00B13EC0"/>
    <w:rsid w:val="00B14102"/>
    <w:rsid w:val="00B147B3"/>
    <w:rsid w:val="00B1498E"/>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5FA"/>
    <w:rsid w:val="00B2088D"/>
    <w:rsid w:val="00B208FF"/>
    <w:rsid w:val="00B20E85"/>
    <w:rsid w:val="00B21271"/>
    <w:rsid w:val="00B2150C"/>
    <w:rsid w:val="00B22E22"/>
    <w:rsid w:val="00B22F5F"/>
    <w:rsid w:val="00B2306B"/>
    <w:rsid w:val="00B23353"/>
    <w:rsid w:val="00B237E6"/>
    <w:rsid w:val="00B23813"/>
    <w:rsid w:val="00B23FBA"/>
    <w:rsid w:val="00B23FD9"/>
    <w:rsid w:val="00B24007"/>
    <w:rsid w:val="00B24591"/>
    <w:rsid w:val="00B245D5"/>
    <w:rsid w:val="00B245EF"/>
    <w:rsid w:val="00B24C36"/>
    <w:rsid w:val="00B24D9F"/>
    <w:rsid w:val="00B24F94"/>
    <w:rsid w:val="00B25126"/>
    <w:rsid w:val="00B25703"/>
    <w:rsid w:val="00B25A52"/>
    <w:rsid w:val="00B25EAF"/>
    <w:rsid w:val="00B25EF9"/>
    <w:rsid w:val="00B25FC3"/>
    <w:rsid w:val="00B2692F"/>
    <w:rsid w:val="00B27875"/>
    <w:rsid w:val="00B3008D"/>
    <w:rsid w:val="00B3039D"/>
    <w:rsid w:val="00B30884"/>
    <w:rsid w:val="00B30E11"/>
    <w:rsid w:val="00B30EAE"/>
    <w:rsid w:val="00B30EEB"/>
    <w:rsid w:val="00B31423"/>
    <w:rsid w:val="00B314B3"/>
    <w:rsid w:val="00B317AE"/>
    <w:rsid w:val="00B323E0"/>
    <w:rsid w:val="00B32D71"/>
    <w:rsid w:val="00B32DC0"/>
    <w:rsid w:val="00B32E31"/>
    <w:rsid w:val="00B32F53"/>
    <w:rsid w:val="00B3346C"/>
    <w:rsid w:val="00B3353B"/>
    <w:rsid w:val="00B335E4"/>
    <w:rsid w:val="00B33C23"/>
    <w:rsid w:val="00B345B4"/>
    <w:rsid w:val="00B348B1"/>
    <w:rsid w:val="00B34A28"/>
    <w:rsid w:val="00B35046"/>
    <w:rsid w:val="00B3529F"/>
    <w:rsid w:val="00B357F4"/>
    <w:rsid w:val="00B35B6A"/>
    <w:rsid w:val="00B3692A"/>
    <w:rsid w:val="00B36AFD"/>
    <w:rsid w:val="00B36D2B"/>
    <w:rsid w:val="00B37636"/>
    <w:rsid w:val="00B37657"/>
    <w:rsid w:val="00B37AFD"/>
    <w:rsid w:val="00B37B07"/>
    <w:rsid w:val="00B4046F"/>
    <w:rsid w:val="00B406B3"/>
    <w:rsid w:val="00B40A36"/>
    <w:rsid w:val="00B41BCA"/>
    <w:rsid w:val="00B41D39"/>
    <w:rsid w:val="00B41E2B"/>
    <w:rsid w:val="00B4220B"/>
    <w:rsid w:val="00B422C0"/>
    <w:rsid w:val="00B426CA"/>
    <w:rsid w:val="00B426E1"/>
    <w:rsid w:val="00B434C1"/>
    <w:rsid w:val="00B43718"/>
    <w:rsid w:val="00B4387A"/>
    <w:rsid w:val="00B43A29"/>
    <w:rsid w:val="00B44746"/>
    <w:rsid w:val="00B44854"/>
    <w:rsid w:val="00B44BA5"/>
    <w:rsid w:val="00B455BD"/>
    <w:rsid w:val="00B458D0"/>
    <w:rsid w:val="00B47428"/>
    <w:rsid w:val="00B4792C"/>
    <w:rsid w:val="00B507A9"/>
    <w:rsid w:val="00B50C5B"/>
    <w:rsid w:val="00B50CAE"/>
    <w:rsid w:val="00B512AD"/>
    <w:rsid w:val="00B51680"/>
    <w:rsid w:val="00B5196C"/>
    <w:rsid w:val="00B525CB"/>
    <w:rsid w:val="00B52697"/>
    <w:rsid w:val="00B53D1A"/>
    <w:rsid w:val="00B541E7"/>
    <w:rsid w:val="00B54215"/>
    <w:rsid w:val="00B54D8F"/>
    <w:rsid w:val="00B5534B"/>
    <w:rsid w:val="00B55857"/>
    <w:rsid w:val="00B55C69"/>
    <w:rsid w:val="00B56851"/>
    <w:rsid w:val="00B56D6E"/>
    <w:rsid w:val="00B572F7"/>
    <w:rsid w:val="00B57B9D"/>
    <w:rsid w:val="00B57DAF"/>
    <w:rsid w:val="00B57E74"/>
    <w:rsid w:val="00B60094"/>
    <w:rsid w:val="00B6022C"/>
    <w:rsid w:val="00B6040C"/>
    <w:rsid w:val="00B61119"/>
    <w:rsid w:val="00B614F8"/>
    <w:rsid w:val="00B61994"/>
    <w:rsid w:val="00B61B18"/>
    <w:rsid w:val="00B61FD4"/>
    <w:rsid w:val="00B6235B"/>
    <w:rsid w:val="00B62880"/>
    <w:rsid w:val="00B62CA0"/>
    <w:rsid w:val="00B63872"/>
    <w:rsid w:val="00B63CB2"/>
    <w:rsid w:val="00B64246"/>
    <w:rsid w:val="00B64EDB"/>
    <w:rsid w:val="00B65938"/>
    <w:rsid w:val="00B65C8A"/>
    <w:rsid w:val="00B65CE2"/>
    <w:rsid w:val="00B660AD"/>
    <w:rsid w:val="00B66109"/>
    <w:rsid w:val="00B66349"/>
    <w:rsid w:val="00B66515"/>
    <w:rsid w:val="00B669B3"/>
    <w:rsid w:val="00B67BE7"/>
    <w:rsid w:val="00B67FBF"/>
    <w:rsid w:val="00B70090"/>
    <w:rsid w:val="00B70832"/>
    <w:rsid w:val="00B71376"/>
    <w:rsid w:val="00B716D7"/>
    <w:rsid w:val="00B72110"/>
    <w:rsid w:val="00B72419"/>
    <w:rsid w:val="00B72B91"/>
    <w:rsid w:val="00B72CB0"/>
    <w:rsid w:val="00B73019"/>
    <w:rsid w:val="00B7315F"/>
    <w:rsid w:val="00B7323A"/>
    <w:rsid w:val="00B7353B"/>
    <w:rsid w:val="00B737FB"/>
    <w:rsid w:val="00B73E5D"/>
    <w:rsid w:val="00B73EF3"/>
    <w:rsid w:val="00B7423D"/>
    <w:rsid w:val="00B74366"/>
    <w:rsid w:val="00B74409"/>
    <w:rsid w:val="00B744EF"/>
    <w:rsid w:val="00B74D05"/>
    <w:rsid w:val="00B74EF8"/>
    <w:rsid w:val="00B75628"/>
    <w:rsid w:val="00B75893"/>
    <w:rsid w:val="00B763F4"/>
    <w:rsid w:val="00B76BF1"/>
    <w:rsid w:val="00B76E53"/>
    <w:rsid w:val="00B771F4"/>
    <w:rsid w:val="00B77271"/>
    <w:rsid w:val="00B7762A"/>
    <w:rsid w:val="00B777FA"/>
    <w:rsid w:val="00B77850"/>
    <w:rsid w:val="00B7796B"/>
    <w:rsid w:val="00B80A7B"/>
    <w:rsid w:val="00B80C72"/>
    <w:rsid w:val="00B80F98"/>
    <w:rsid w:val="00B8101E"/>
    <w:rsid w:val="00B81964"/>
    <w:rsid w:val="00B81E6F"/>
    <w:rsid w:val="00B82123"/>
    <w:rsid w:val="00B8225B"/>
    <w:rsid w:val="00B82BB5"/>
    <w:rsid w:val="00B83182"/>
    <w:rsid w:val="00B837C8"/>
    <w:rsid w:val="00B839F0"/>
    <w:rsid w:val="00B851E4"/>
    <w:rsid w:val="00B8535C"/>
    <w:rsid w:val="00B854CE"/>
    <w:rsid w:val="00B85681"/>
    <w:rsid w:val="00B857EB"/>
    <w:rsid w:val="00B858AD"/>
    <w:rsid w:val="00B86162"/>
    <w:rsid w:val="00B86877"/>
    <w:rsid w:val="00B8695D"/>
    <w:rsid w:val="00B86C04"/>
    <w:rsid w:val="00B86E66"/>
    <w:rsid w:val="00B873BA"/>
    <w:rsid w:val="00B8746F"/>
    <w:rsid w:val="00B8760D"/>
    <w:rsid w:val="00B87706"/>
    <w:rsid w:val="00B90A49"/>
    <w:rsid w:val="00B90A73"/>
    <w:rsid w:val="00B91B8E"/>
    <w:rsid w:val="00B92531"/>
    <w:rsid w:val="00B92618"/>
    <w:rsid w:val="00B92751"/>
    <w:rsid w:val="00B92B69"/>
    <w:rsid w:val="00B92CC6"/>
    <w:rsid w:val="00B93138"/>
    <w:rsid w:val="00B935C9"/>
    <w:rsid w:val="00B93E3D"/>
    <w:rsid w:val="00B94017"/>
    <w:rsid w:val="00B94498"/>
    <w:rsid w:val="00B94B6E"/>
    <w:rsid w:val="00B94BD3"/>
    <w:rsid w:val="00B94C02"/>
    <w:rsid w:val="00B95464"/>
    <w:rsid w:val="00B955CE"/>
    <w:rsid w:val="00B95C30"/>
    <w:rsid w:val="00B95E3D"/>
    <w:rsid w:val="00B9691F"/>
    <w:rsid w:val="00B96EEC"/>
    <w:rsid w:val="00B97392"/>
    <w:rsid w:val="00B976C7"/>
    <w:rsid w:val="00B97A73"/>
    <w:rsid w:val="00B97B5E"/>
    <w:rsid w:val="00BA087B"/>
    <w:rsid w:val="00BA0A51"/>
    <w:rsid w:val="00BA0C54"/>
    <w:rsid w:val="00BA1382"/>
    <w:rsid w:val="00BA15E3"/>
    <w:rsid w:val="00BA1A8C"/>
    <w:rsid w:val="00BA1D07"/>
    <w:rsid w:val="00BA20B6"/>
    <w:rsid w:val="00BA20D8"/>
    <w:rsid w:val="00BA22FC"/>
    <w:rsid w:val="00BA2C2A"/>
    <w:rsid w:val="00BA2F30"/>
    <w:rsid w:val="00BA3982"/>
    <w:rsid w:val="00BA405F"/>
    <w:rsid w:val="00BA4771"/>
    <w:rsid w:val="00BA482B"/>
    <w:rsid w:val="00BA5027"/>
    <w:rsid w:val="00BA543F"/>
    <w:rsid w:val="00BA5589"/>
    <w:rsid w:val="00BA55E0"/>
    <w:rsid w:val="00BA5D36"/>
    <w:rsid w:val="00BA665B"/>
    <w:rsid w:val="00BA6FE8"/>
    <w:rsid w:val="00BA732D"/>
    <w:rsid w:val="00BA7370"/>
    <w:rsid w:val="00BA778B"/>
    <w:rsid w:val="00BB0156"/>
    <w:rsid w:val="00BB0888"/>
    <w:rsid w:val="00BB0DF1"/>
    <w:rsid w:val="00BB0E49"/>
    <w:rsid w:val="00BB0E9B"/>
    <w:rsid w:val="00BB12EA"/>
    <w:rsid w:val="00BB1DCA"/>
    <w:rsid w:val="00BB2236"/>
    <w:rsid w:val="00BB2841"/>
    <w:rsid w:val="00BB2FC4"/>
    <w:rsid w:val="00BB300F"/>
    <w:rsid w:val="00BB32C9"/>
    <w:rsid w:val="00BB35C5"/>
    <w:rsid w:val="00BB3F26"/>
    <w:rsid w:val="00BB401E"/>
    <w:rsid w:val="00BB4048"/>
    <w:rsid w:val="00BB4C8E"/>
    <w:rsid w:val="00BB5324"/>
    <w:rsid w:val="00BB57ED"/>
    <w:rsid w:val="00BB5A2D"/>
    <w:rsid w:val="00BB606C"/>
    <w:rsid w:val="00BB65C3"/>
    <w:rsid w:val="00BB662E"/>
    <w:rsid w:val="00BB67A9"/>
    <w:rsid w:val="00BB6C01"/>
    <w:rsid w:val="00BB7942"/>
    <w:rsid w:val="00BB7B13"/>
    <w:rsid w:val="00BB7CD1"/>
    <w:rsid w:val="00BC0F33"/>
    <w:rsid w:val="00BC14A7"/>
    <w:rsid w:val="00BC17CC"/>
    <w:rsid w:val="00BC209F"/>
    <w:rsid w:val="00BC244D"/>
    <w:rsid w:val="00BC24AD"/>
    <w:rsid w:val="00BC2898"/>
    <w:rsid w:val="00BC2928"/>
    <w:rsid w:val="00BC29BD"/>
    <w:rsid w:val="00BC2BB1"/>
    <w:rsid w:val="00BC2BC5"/>
    <w:rsid w:val="00BC30B3"/>
    <w:rsid w:val="00BC34A3"/>
    <w:rsid w:val="00BC3DD4"/>
    <w:rsid w:val="00BC3FF9"/>
    <w:rsid w:val="00BC4834"/>
    <w:rsid w:val="00BC4A97"/>
    <w:rsid w:val="00BC5A25"/>
    <w:rsid w:val="00BC5A3F"/>
    <w:rsid w:val="00BC5FDD"/>
    <w:rsid w:val="00BC68B4"/>
    <w:rsid w:val="00BC71AD"/>
    <w:rsid w:val="00BC7277"/>
    <w:rsid w:val="00BD0140"/>
    <w:rsid w:val="00BD02CC"/>
    <w:rsid w:val="00BD088E"/>
    <w:rsid w:val="00BD0A08"/>
    <w:rsid w:val="00BD0F18"/>
    <w:rsid w:val="00BD182E"/>
    <w:rsid w:val="00BD2063"/>
    <w:rsid w:val="00BD2640"/>
    <w:rsid w:val="00BD2950"/>
    <w:rsid w:val="00BD2C4A"/>
    <w:rsid w:val="00BD337A"/>
    <w:rsid w:val="00BD33D9"/>
    <w:rsid w:val="00BD38C5"/>
    <w:rsid w:val="00BD3A6D"/>
    <w:rsid w:val="00BD3AF1"/>
    <w:rsid w:val="00BD3DEA"/>
    <w:rsid w:val="00BD3E97"/>
    <w:rsid w:val="00BD3EC3"/>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156"/>
    <w:rsid w:val="00BE2661"/>
    <w:rsid w:val="00BE26C0"/>
    <w:rsid w:val="00BE3442"/>
    <w:rsid w:val="00BE3700"/>
    <w:rsid w:val="00BE37CD"/>
    <w:rsid w:val="00BE47B2"/>
    <w:rsid w:val="00BE4881"/>
    <w:rsid w:val="00BE48C7"/>
    <w:rsid w:val="00BE4F66"/>
    <w:rsid w:val="00BE4FBF"/>
    <w:rsid w:val="00BE5238"/>
    <w:rsid w:val="00BE5487"/>
    <w:rsid w:val="00BE5742"/>
    <w:rsid w:val="00BE6074"/>
    <w:rsid w:val="00BE68E2"/>
    <w:rsid w:val="00BE6D73"/>
    <w:rsid w:val="00BE7257"/>
    <w:rsid w:val="00BE771A"/>
    <w:rsid w:val="00BE7CE9"/>
    <w:rsid w:val="00BF020D"/>
    <w:rsid w:val="00BF0532"/>
    <w:rsid w:val="00BF0609"/>
    <w:rsid w:val="00BF0B32"/>
    <w:rsid w:val="00BF0EE8"/>
    <w:rsid w:val="00BF10ED"/>
    <w:rsid w:val="00BF1DD2"/>
    <w:rsid w:val="00BF23A3"/>
    <w:rsid w:val="00BF2A7E"/>
    <w:rsid w:val="00BF3331"/>
    <w:rsid w:val="00BF3A45"/>
    <w:rsid w:val="00BF4154"/>
    <w:rsid w:val="00BF436F"/>
    <w:rsid w:val="00BF4C4A"/>
    <w:rsid w:val="00BF5C05"/>
    <w:rsid w:val="00BF65E3"/>
    <w:rsid w:val="00BF6990"/>
    <w:rsid w:val="00BF6A12"/>
    <w:rsid w:val="00BF6FC6"/>
    <w:rsid w:val="00BF775D"/>
    <w:rsid w:val="00BF7C52"/>
    <w:rsid w:val="00BF7F3A"/>
    <w:rsid w:val="00BF7F99"/>
    <w:rsid w:val="00C00713"/>
    <w:rsid w:val="00C009A0"/>
    <w:rsid w:val="00C01F74"/>
    <w:rsid w:val="00C020C1"/>
    <w:rsid w:val="00C02558"/>
    <w:rsid w:val="00C025CC"/>
    <w:rsid w:val="00C025FE"/>
    <w:rsid w:val="00C0285F"/>
    <w:rsid w:val="00C028F5"/>
    <w:rsid w:val="00C02F35"/>
    <w:rsid w:val="00C03305"/>
    <w:rsid w:val="00C03515"/>
    <w:rsid w:val="00C03738"/>
    <w:rsid w:val="00C037A6"/>
    <w:rsid w:val="00C03910"/>
    <w:rsid w:val="00C04221"/>
    <w:rsid w:val="00C043F5"/>
    <w:rsid w:val="00C044E3"/>
    <w:rsid w:val="00C04607"/>
    <w:rsid w:val="00C04BDB"/>
    <w:rsid w:val="00C04F1B"/>
    <w:rsid w:val="00C052C6"/>
    <w:rsid w:val="00C05A61"/>
    <w:rsid w:val="00C05FBA"/>
    <w:rsid w:val="00C05FEE"/>
    <w:rsid w:val="00C065A4"/>
    <w:rsid w:val="00C066B4"/>
    <w:rsid w:val="00C06CCF"/>
    <w:rsid w:val="00C0794D"/>
    <w:rsid w:val="00C10E78"/>
    <w:rsid w:val="00C113D8"/>
    <w:rsid w:val="00C1159D"/>
    <w:rsid w:val="00C1233E"/>
    <w:rsid w:val="00C1276C"/>
    <w:rsid w:val="00C12FB3"/>
    <w:rsid w:val="00C138BC"/>
    <w:rsid w:val="00C13D85"/>
    <w:rsid w:val="00C144E4"/>
    <w:rsid w:val="00C14575"/>
    <w:rsid w:val="00C14639"/>
    <w:rsid w:val="00C14E82"/>
    <w:rsid w:val="00C14F61"/>
    <w:rsid w:val="00C14FF6"/>
    <w:rsid w:val="00C156B5"/>
    <w:rsid w:val="00C15A0A"/>
    <w:rsid w:val="00C15A85"/>
    <w:rsid w:val="00C1637C"/>
    <w:rsid w:val="00C1641B"/>
    <w:rsid w:val="00C165FC"/>
    <w:rsid w:val="00C167F7"/>
    <w:rsid w:val="00C16DCE"/>
    <w:rsid w:val="00C176D5"/>
    <w:rsid w:val="00C17D24"/>
    <w:rsid w:val="00C205EF"/>
    <w:rsid w:val="00C2082C"/>
    <w:rsid w:val="00C20EB0"/>
    <w:rsid w:val="00C21004"/>
    <w:rsid w:val="00C21005"/>
    <w:rsid w:val="00C2186B"/>
    <w:rsid w:val="00C218DF"/>
    <w:rsid w:val="00C21F0C"/>
    <w:rsid w:val="00C220B6"/>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813"/>
    <w:rsid w:val="00C26C71"/>
    <w:rsid w:val="00C27143"/>
    <w:rsid w:val="00C27490"/>
    <w:rsid w:val="00C27D37"/>
    <w:rsid w:val="00C309E8"/>
    <w:rsid w:val="00C309FE"/>
    <w:rsid w:val="00C30C6E"/>
    <w:rsid w:val="00C32017"/>
    <w:rsid w:val="00C32571"/>
    <w:rsid w:val="00C325CD"/>
    <w:rsid w:val="00C32A60"/>
    <w:rsid w:val="00C3322E"/>
    <w:rsid w:val="00C337F5"/>
    <w:rsid w:val="00C3383E"/>
    <w:rsid w:val="00C33B90"/>
    <w:rsid w:val="00C34161"/>
    <w:rsid w:val="00C34B0E"/>
    <w:rsid w:val="00C34B5F"/>
    <w:rsid w:val="00C358D4"/>
    <w:rsid w:val="00C35EBE"/>
    <w:rsid w:val="00C365C6"/>
    <w:rsid w:val="00C366F4"/>
    <w:rsid w:val="00C36785"/>
    <w:rsid w:val="00C3711C"/>
    <w:rsid w:val="00C37256"/>
    <w:rsid w:val="00C37A7B"/>
    <w:rsid w:val="00C37BD9"/>
    <w:rsid w:val="00C37DC1"/>
    <w:rsid w:val="00C37FFE"/>
    <w:rsid w:val="00C40217"/>
    <w:rsid w:val="00C403CD"/>
    <w:rsid w:val="00C40B50"/>
    <w:rsid w:val="00C419E3"/>
    <w:rsid w:val="00C419F4"/>
    <w:rsid w:val="00C41E6A"/>
    <w:rsid w:val="00C42247"/>
    <w:rsid w:val="00C428E7"/>
    <w:rsid w:val="00C42C9A"/>
    <w:rsid w:val="00C4317B"/>
    <w:rsid w:val="00C4330B"/>
    <w:rsid w:val="00C438A2"/>
    <w:rsid w:val="00C439BE"/>
    <w:rsid w:val="00C43E53"/>
    <w:rsid w:val="00C451B2"/>
    <w:rsid w:val="00C4539B"/>
    <w:rsid w:val="00C45466"/>
    <w:rsid w:val="00C455C1"/>
    <w:rsid w:val="00C4581D"/>
    <w:rsid w:val="00C47472"/>
    <w:rsid w:val="00C47F18"/>
    <w:rsid w:val="00C500F0"/>
    <w:rsid w:val="00C504A7"/>
    <w:rsid w:val="00C506C9"/>
    <w:rsid w:val="00C50A16"/>
    <w:rsid w:val="00C51C4F"/>
    <w:rsid w:val="00C51C9A"/>
    <w:rsid w:val="00C52C68"/>
    <w:rsid w:val="00C52D98"/>
    <w:rsid w:val="00C52DA1"/>
    <w:rsid w:val="00C53D24"/>
    <w:rsid w:val="00C53ED1"/>
    <w:rsid w:val="00C54640"/>
    <w:rsid w:val="00C547A6"/>
    <w:rsid w:val="00C54A3A"/>
    <w:rsid w:val="00C54AF8"/>
    <w:rsid w:val="00C55C32"/>
    <w:rsid w:val="00C56A67"/>
    <w:rsid w:val="00C56CC2"/>
    <w:rsid w:val="00C56D0B"/>
    <w:rsid w:val="00C56D8D"/>
    <w:rsid w:val="00C57498"/>
    <w:rsid w:val="00C5763C"/>
    <w:rsid w:val="00C5780C"/>
    <w:rsid w:val="00C5796B"/>
    <w:rsid w:val="00C57C64"/>
    <w:rsid w:val="00C6031F"/>
    <w:rsid w:val="00C60C9F"/>
    <w:rsid w:val="00C612C4"/>
    <w:rsid w:val="00C61863"/>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304"/>
    <w:rsid w:val="00C71E2A"/>
    <w:rsid w:val="00C7238B"/>
    <w:rsid w:val="00C7248D"/>
    <w:rsid w:val="00C733BA"/>
    <w:rsid w:val="00C7356F"/>
    <w:rsid w:val="00C73AC2"/>
    <w:rsid w:val="00C741CF"/>
    <w:rsid w:val="00C742F6"/>
    <w:rsid w:val="00C7541F"/>
    <w:rsid w:val="00C760DC"/>
    <w:rsid w:val="00C771A5"/>
    <w:rsid w:val="00C772E8"/>
    <w:rsid w:val="00C77777"/>
    <w:rsid w:val="00C77D00"/>
    <w:rsid w:val="00C77E99"/>
    <w:rsid w:val="00C8082B"/>
    <w:rsid w:val="00C80C6B"/>
    <w:rsid w:val="00C81A88"/>
    <w:rsid w:val="00C81D46"/>
    <w:rsid w:val="00C82298"/>
    <w:rsid w:val="00C82DC7"/>
    <w:rsid w:val="00C8331F"/>
    <w:rsid w:val="00C833B4"/>
    <w:rsid w:val="00C84284"/>
    <w:rsid w:val="00C846E4"/>
    <w:rsid w:val="00C84E33"/>
    <w:rsid w:val="00C85528"/>
    <w:rsid w:val="00C85FFC"/>
    <w:rsid w:val="00C861FC"/>
    <w:rsid w:val="00C86C87"/>
    <w:rsid w:val="00C9005E"/>
    <w:rsid w:val="00C90111"/>
    <w:rsid w:val="00C9038E"/>
    <w:rsid w:val="00C9077B"/>
    <w:rsid w:val="00C90AA7"/>
    <w:rsid w:val="00C90CA9"/>
    <w:rsid w:val="00C90F88"/>
    <w:rsid w:val="00C915F2"/>
    <w:rsid w:val="00C917B1"/>
    <w:rsid w:val="00C9193C"/>
    <w:rsid w:val="00C91B77"/>
    <w:rsid w:val="00C920E2"/>
    <w:rsid w:val="00C923F6"/>
    <w:rsid w:val="00C92568"/>
    <w:rsid w:val="00C9370F"/>
    <w:rsid w:val="00C93765"/>
    <w:rsid w:val="00C93877"/>
    <w:rsid w:val="00C93D8C"/>
    <w:rsid w:val="00C93E07"/>
    <w:rsid w:val="00C94065"/>
    <w:rsid w:val="00C946CC"/>
    <w:rsid w:val="00C959BD"/>
    <w:rsid w:val="00C95DFE"/>
    <w:rsid w:val="00C95F44"/>
    <w:rsid w:val="00C96331"/>
    <w:rsid w:val="00C96D1B"/>
    <w:rsid w:val="00C97106"/>
    <w:rsid w:val="00C978D4"/>
    <w:rsid w:val="00C97FB2"/>
    <w:rsid w:val="00CA0031"/>
    <w:rsid w:val="00CA0413"/>
    <w:rsid w:val="00CA043A"/>
    <w:rsid w:val="00CA0E51"/>
    <w:rsid w:val="00CA137B"/>
    <w:rsid w:val="00CA1691"/>
    <w:rsid w:val="00CA41E7"/>
    <w:rsid w:val="00CA424D"/>
    <w:rsid w:val="00CA4A99"/>
    <w:rsid w:val="00CA4CCC"/>
    <w:rsid w:val="00CA5520"/>
    <w:rsid w:val="00CA5812"/>
    <w:rsid w:val="00CA5984"/>
    <w:rsid w:val="00CA5BD4"/>
    <w:rsid w:val="00CA5C14"/>
    <w:rsid w:val="00CA7019"/>
    <w:rsid w:val="00CA7230"/>
    <w:rsid w:val="00CA76FC"/>
    <w:rsid w:val="00CA7E7B"/>
    <w:rsid w:val="00CB0236"/>
    <w:rsid w:val="00CB0CB1"/>
    <w:rsid w:val="00CB137C"/>
    <w:rsid w:val="00CB1881"/>
    <w:rsid w:val="00CB1969"/>
    <w:rsid w:val="00CB19E3"/>
    <w:rsid w:val="00CB2C3A"/>
    <w:rsid w:val="00CB2D38"/>
    <w:rsid w:val="00CB2F5E"/>
    <w:rsid w:val="00CB3C5E"/>
    <w:rsid w:val="00CB4137"/>
    <w:rsid w:val="00CB50D0"/>
    <w:rsid w:val="00CB52D0"/>
    <w:rsid w:val="00CB5578"/>
    <w:rsid w:val="00CB5671"/>
    <w:rsid w:val="00CB591C"/>
    <w:rsid w:val="00CB5943"/>
    <w:rsid w:val="00CB61B3"/>
    <w:rsid w:val="00CB6801"/>
    <w:rsid w:val="00CB6F83"/>
    <w:rsid w:val="00CB72AE"/>
    <w:rsid w:val="00CB7AC0"/>
    <w:rsid w:val="00CB7B53"/>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3F2F"/>
    <w:rsid w:val="00CC3FC8"/>
    <w:rsid w:val="00CC40C3"/>
    <w:rsid w:val="00CC45A5"/>
    <w:rsid w:val="00CC4AA0"/>
    <w:rsid w:val="00CC4CB4"/>
    <w:rsid w:val="00CC4E5D"/>
    <w:rsid w:val="00CC4EF4"/>
    <w:rsid w:val="00CC50AE"/>
    <w:rsid w:val="00CC5FFE"/>
    <w:rsid w:val="00CC61B7"/>
    <w:rsid w:val="00CC61CA"/>
    <w:rsid w:val="00CC69EC"/>
    <w:rsid w:val="00CC71D3"/>
    <w:rsid w:val="00CC743D"/>
    <w:rsid w:val="00CC7597"/>
    <w:rsid w:val="00CD02ED"/>
    <w:rsid w:val="00CD050A"/>
    <w:rsid w:val="00CD1017"/>
    <w:rsid w:val="00CD205D"/>
    <w:rsid w:val="00CD2A22"/>
    <w:rsid w:val="00CD2B50"/>
    <w:rsid w:val="00CD3172"/>
    <w:rsid w:val="00CD3913"/>
    <w:rsid w:val="00CD4506"/>
    <w:rsid w:val="00CD520B"/>
    <w:rsid w:val="00CD592E"/>
    <w:rsid w:val="00CD5982"/>
    <w:rsid w:val="00CD5A1A"/>
    <w:rsid w:val="00CD614A"/>
    <w:rsid w:val="00CD64A3"/>
    <w:rsid w:val="00CD710A"/>
    <w:rsid w:val="00CD7B8B"/>
    <w:rsid w:val="00CD7EFA"/>
    <w:rsid w:val="00CE020E"/>
    <w:rsid w:val="00CE0566"/>
    <w:rsid w:val="00CE0CF9"/>
    <w:rsid w:val="00CE1215"/>
    <w:rsid w:val="00CE1641"/>
    <w:rsid w:val="00CE1CD4"/>
    <w:rsid w:val="00CE2761"/>
    <w:rsid w:val="00CE28FC"/>
    <w:rsid w:val="00CE314E"/>
    <w:rsid w:val="00CE3A85"/>
    <w:rsid w:val="00CE3D5C"/>
    <w:rsid w:val="00CE3E09"/>
    <w:rsid w:val="00CE3E14"/>
    <w:rsid w:val="00CE44C7"/>
    <w:rsid w:val="00CE48E7"/>
    <w:rsid w:val="00CE53CC"/>
    <w:rsid w:val="00CE5F60"/>
    <w:rsid w:val="00CE65A7"/>
    <w:rsid w:val="00CE68FE"/>
    <w:rsid w:val="00CE69CC"/>
    <w:rsid w:val="00CE6EC4"/>
    <w:rsid w:val="00CE7F26"/>
    <w:rsid w:val="00CF04EE"/>
    <w:rsid w:val="00CF1226"/>
    <w:rsid w:val="00CF1ABB"/>
    <w:rsid w:val="00CF1AE3"/>
    <w:rsid w:val="00CF1E1D"/>
    <w:rsid w:val="00CF24FE"/>
    <w:rsid w:val="00CF287F"/>
    <w:rsid w:val="00CF35D0"/>
    <w:rsid w:val="00CF3B57"/>
    <w:rsid w:val="00CF3DD5"/>
    <w:rsid w:val="00CF40C1"/>
    <w:rsid w:val="00CF43E7"/>
    <w:rsid w:val="00CF4AF7"/>
    <w:rsid w:val="00CF4D20"/>
    <w:rsid w:val="00CF73F8"/>
    <w:rsid w:val="00CF7928"/>
    <w:rsid w:val="00CF7CA2"/>
    <w:rsid w:val="00D00911"/>
    <w:rsid w:val="00D00A8E"/>
    <w:rsid w:val="00D00DE0"/>
    <w:rsid w:val="00D00F79"/>
    <w:rsid w:val="00D012BF"/>
    <w:rsid w:val="00D01760"/>
    <w:rsid w:val="00D01838"/>
    <w:rsid w:val="00D01A26"/>
    <w:rsid w:val="00D01D79"/>
    <w:rsid w:val="00D0368E"/>
    <w:rsid w:val="00D03AC3"/>
    <w:rsid w:val="00D03AD6"/>
    <w:rsid w:val="00D03D2D"/>
    <w:rsid w:val="00D03E7B"/>
    <w:rsid w:val="00D03EAF"/>
    <w:rsid w:val="00D0401A"/>
    <w:rsid w:val="00D047E0"/>
    <w:rsid w:val="00D04B9F"/>
    <w:rsid w:val="00D04D43"/>
    <w:rsid w:val="00D04FFB"/>
    <w:rsid w:val="00D055FE"/>
    <w:rsid w:val="00D058E9"/>
    <w:rsid w:val="00D05FBF"/>
    <w:rsid w:val="00D0612A"/>
    <w:rsid w:val="00D1060D"/>
    <w:rsid w:val="00D10D14"/>
    <w:rsid w:val="00D10E7C"/>
    <w:rsid w:val="00D11182"/>
    <w:rsid w:val="00D1137B"/>
    <w:rsid w:val="00D11508"/>
    <w:rsid w:val="00D11687"/>
    <w:rsid w:val="00D11807"/>
    <w:rsid w:val="00D11DB3"/>
    <w:rsid w:val="00D12081"/>
    <w:rsid w:val="00D12D82"/>
    <w:rsid w:val="00D12F77"/>
    <w:rsid w:val="00D1306E"/>
    <w:rsid w:val="00D130B7"/>
    <w:rsid w:val="00D134CD"/>
    <w:rsid w:val="00D1401E"/>
    <w:rsid w:val="00D1485D"/>
    <w:rsid w:val="00D14B5F"/>
    <w:rsid w:val="00D14E13"/>
    <w:rsid w:val="00D14E26"/>
    <w:rsid w:val="00D14F23"/>
    <w:rsid w:val="00D15727"/>
    <w:rsid w:val="00D15DDD"/>
    <w:rsid w:val="00D160F6"/>
    <w:rsid w:val="00D165E0"/>
    <w:rsid w:val="00D165EE"/>
    <w:rsid w:val="00D16740"/>
    <w:rsid w:val="00D16A8B"/>
    <w:rsid w:val="00D16E39"/>
    <w:rsid w:val="00D171DE"/>
    <w:rsid w:val="00D172A4"/>
    <w:rsid w:val="00D175B2"/>
    <w:rsid w:val="00D17951"/>
    <w:rsid w:val="00D17AD8"/>
    <w:rsid w:val="00D2104A"/>
    <w:rsid w:val="00D21A58"/>
    <w:rsid w:val="00D21BB5"/>
    <w:rsid w:val="00D21DB2"/>
    <w:rsid w:val="00D21FFC"/>
    <w:rsid w:val="00D223B6"/>
    <w:rsid w:val="00D223E8"/>
    <w:rsid w:val="00D224E1"/>
    <w:rsid w:val="00D22B0F"/>
    <w:rsid w:val="00D22BDD"/>
    <w:rsid w:val="00D22DC8"/>
    <w:rsid w:val="00D23BF6"/>
    <w:rsid w:val="00D2477B"/>
    <w:rsid w:val="00D2522A"/>
    <w:rsid w:val="00D2531C"/>
    <w:rsid w:val="00D25428"/>
    <w:rsid w:val="00D25514"/>
    <w:rsid w:val="00D2553E"/>
    <w:rsid w:val="00D2587F"/>
    <w:rsid w:val="00D26DE7"/>
    <w:rsid w:val="00D2742F"/>
    <w:rsid w:val="00D274C5"/>
    <w:rsid w:val="00D2754F"/>
    <w:rsid w:val="00D277C5"/>
    <w:rsid w:val="00D279D9"/>
    <w:rsid w:val="00D30041"/>
    <w:rsid w:val="00D30FEA"/>
    <w:rsid w:val="00D312DC"/>
    <w:rsid w:val="00D314CB"/>
    <w:rsid w:val="00D31566"/>
    <w:rsid w:val="00D31B84"/>
    <w:rsid w:val="00D31C6A"/>
    <w:rsid w:val="00D31EDF"/>
    <w:rsid w:val="00D31FF9"/>
    <w:rsid w:val="00D32149"/>
    <w:rsid w:val="00D32256"/>
    <w:rsid w:val="00D32A27"/>
    <w:rsid w:val="00D32ABC"/>
    <w:rsid w:val="00D33BAF"/>
    <w:rsid w:val="00D33FA4"/>
    <w:rsid w:val="00D34B25"/>
    <w:rsid w:val="00D34C7F"/>
    <w:rsid w:val="00D34F4E"/>
    <w:rsid w:val="00D357F3"/>
    <w:rsid w:val="00D35C0E"/>
    <w:rsid w:val="00D35C22"/>
    <w:rsid w:val="00D36FBF"/>
    <w:rsid w:val="00D373A8"/>
    <w:rsid w:val="00D379A5"/>
    <w:rsid w:val="00D37BB3"/>
    <w:rsid w:val="00D37EAD"/>
    <w:rsid w:val="00D401BE"/>
    <w:rsid w:val="00D4043A"/>
    <w:rsid w:val="00D40DB0"/>
    <w:rsid w:val="00D41093"/>
    <w:rsid w:val="00D41858"/>
    <w:rsid w:val="00D41EEB"/>
    <w:rsid w:val="00D422DB"/>
    <w:rsid w:val="00D42AC2"/>
    <w:rsid w:val="00D43F60"/>
    <w:rsid w:val="00D4498E"/>
    <w:rsid w:val="00D4515F"/>
    <w:rsid w:val="00D451E8"/>
    <w:rsid w:val="00D45DA5"/>
    <w:rsid w:val="00D466C9"/>
    <w:rsid w:val="00D47275"/>
    <w:rsid w:val="00D47ADA"/>
    <w:rsid w:val="00D500ED"/>
    <w:rsid w:val="00D5054C"/>
    <w:rsid w:val="00D50DB9"/>
    <w:rsid w:val="00D517F6"/>
    <w:rsid w:val="00D51AB7"/>
    <w:rsid w:val="00D51E15"/>
    <w:rsid w:val="00D52190"/>
    <w:rsid w:val="00D52B7E"/>
    <w:rsid w:val="00D52E2F"/>
    <w:rsid w:val="00D52F59"/>
    <w:rsid w:val="00D53445"/>
    <w:rsid w:val="00D53E3E"/>
    <w:rsid w:val="00D54620"/>
    <w:rsid w:val="00D55904"/>
    <w:rsid w:val="00D55DFF"/>
    <w:rsid w:val="00D5614E"/>
    <w:rsid w:val="00D5616F"/>
    <w:rsid w:val="00D57940"/>
    <w:rsid w:val="00D60327"/>
    <w:rsid w:val="00D61384"/>
    <w:rsid w:val="00D61526"/>
    <w:rsid w:val="00D61C39"/>
    <w:rsid w:val="00D61F81"/>
    <w:rsid w:val="00D620A6"/>
    <w:rsid w:val="00D623C0"/>
    <w:rsid w:val="00D62BE6"/>
    <w:rsid w:val="00D63359"/>
    <w:rsid w:val="00D63766"/>
    <w:rsid w:val="00D63912"/>
    <w:rsid w:val="00D63923"/>
    <w:rsid w:val="00D640F5"/>
    <w:rsid w:val="00D6451B"/>
    <w:rsid w:val="00D64B57"/>
    <w:rsid w:val="00D64FF1"/>
    <w:rsid w:val="00D651A1"/>
    <w:rsid w:val="00D65DEA"/>
    <w:rsid w:val="00D6650F"/>
    <w:rsid w:val="00D66579"/>
    <w:rsid w:val="00D66CF2"/>
    <w:rsid w:val="00D676D3"/>
    <w:rsid w:val="00D67B06"/>
    <w:rsid w:val="00D67BC7"/>
    <w:rsid w:val="00D67C3B"/>
    <w:rsid w:val="00D701F1"/>
    <w:rsid w:val="00D705D3"/>
    <w:rsid w:val="00D70E00"/>
    <w:rsid w:val="00D70F7C"/>
    <w:rsid w:val="00D715AC"/>
    <w:rsid w:val="00D71851"/>
    <w:rsid w:val="00D718CF"/>
    <w:rsid w:val="00D71B68"/>
    <w:rsid w:val="00D71E93"/>
    <w:rsid w:val="00D728F5"/>
    <w:rsid w:val="00D72E9D"/>
    <w:rsid w:val="00D73249"/>
    <w:rsid w:val="00D73419"/>
    <w:rsid w:val="00D73881"/>
    <w:rsid w:val="00D73CA9"/>
    <w:rsid w:val="00D73E45"/>
    <w:rsid w:val="00D74364"/>
    <w:rsid w:val="00D751B7"/>
    <w:rsid w:val="00D7524B"/>
    <w:rsid w:val="00D75396"/>
    <w:rsid w:val="00D755C6"/>
    <w:rsid w:val="00D75832"/>
    <w:rsid w:val="00D759C0"/>
    <w:rsid w:val="00D75E99"/>
    <w:rsid w:val="00D765CE"/>
    <w:rsid w:val="00D766C7"/>
    <w:rsid w:val="00D7692B"/>
    <w:rsid w:val="00D7734F"/>
    <w:rsid w:val="00D773FD"/>
    <w:rsid w:val="00D7791D"/>
    <w:rsid w:val="00D8039E"/>
    <w:rsid w:val="00D8044C"/>
    <w:rsid w:val="00D805D6"/>
    <w:rsid w:val="00D8075E"/>
    <w:rsid w:val="00D80860"/>
    <w:rsid w:val="00D80D4C"/>
    <w:rsid w:val="00D8184D"/>
    <w:rsid w:val="00D81A7B"/>
    <w:rsid w:val="00D81E3C"/>
    <w:rsid w:val="00D8223C"/>
    <w:rsid w:val="00D827B5"/>
    <w:rsid w:val="00D82A7D"/>
    <w:rsid w:val="00D82B57"/>
    <w:rsid w:val="00D82C77"/>
    <w:rsid w:val="00D82CE5"/>
    <w:rsid w:val="00D831E3"/>
    <w:rsid w:val="00D8342C"/>
    <w:rsid w:val="00D83D08"/>
    <w:rsid w:val="00D84983"/>
    <w:rsid w:val="00D84C00"/>
    <w:rsid w:val="00D85494"/>
    <w:rsid w:val="00D8582C"/>
    <w:rsid w:val="00D85D61"/>
    <w:rsid w:val="00D8616D"/>
    <w:rsid w:val="00D86C90"/>
    <w:rsid w:val="00D8711B"/>
    <w:rsid w:val="00D87337"/>
    <w:rsid w:val="00D87384"/>
    <w:rsid w:val="00D9015D"/>
    <w:rsid w:val="00D90683"/>
    <w:rsid w:val="00D90B2A"/>
    <w:rsid w:val="00D91483"/>
    <w:rsid w:val="00D915C8"/>
    <w:rsid w:val="00D928ED"/>
    <w:rsid w:val="00D9310B"/>
    <w:rsid w:val="00D931F3"/>
    <w:rsid w:val="00D93726"/>
    <w:rsid w:val="00D93A79"/>
    <w:rsid w:val="00D93F3E"/>
    <w:rsid w:val="00D9405B"/>
    <w:rsid w:val="00D94942"/>
    <w:rsid w:val="00D95145"/>
    <w:rsid w:val="00D96255"/>
    <w:rsid w:val="00D96594"/>
    <w:rsid w:val="00D967CB"/>
    <w:rsid w:val="00D968D4"/>
    <w:rsid w:val="00D96E12"/>
    <w:rsid w:val="00D96EE0"/>
    <w:rsid w:val="00D975DD"/>
    <w:rsid w:val="00D97BD1"/>
    <w:rsid w:val="00D97EF0"/>
    <w:rsid w:val="00DA00C3"/>
    <w:rsid w:val="00DA01E9"/>
    <w:rsid w:val="00DA06B8"/>
    <w:rsid w:val="00DA0C85"/>
    <w:rsid w:val="00DA14A9"/>
    <w:rsid w:val="00DA152F"/>
    <w:rsid w:val="00DA286D"/>
    <w:rsid w:val="00DA2969"/>
    <w:rsid w:val="00DA29B7"/>
    <w:rsid w:val="00DA2E5F"/>
    <w:rsid w:val="00DA337C"/>
    <w:rsid w:val="00DA36B3"/>
    <w:rsid w:val="00DA40C1"/>
    <w:rsid w:val="00DA422F"/>
    <w:rsid w:val="00DA4265"/>
    <w:rsid w:val="00DA4514"/>
    <w:rsid w:val="00DA4842"/>
    <w:rsid w:val="00DA4C97"/>
    <w:rsid w:val="00DA565E"/>
    <w:rsid w:val="00DA5989"/>
    <w:rsid w:val="00DA5AB1"/>
    <w:rsid w:val="00DA5DFE"/>
    <w:rsid w:val="00DA5F9D"/>
    <w:rsid w:val="00DA6719"/>
    <w:rsid w:val="00DA69B2"/>
    <w:rsid w:val="00DA7115"/>
    <w:rsid w:val="00DA7462"/>
    <w:rsid w:val="00DA7AD0"/>
    <w:rsid w:val="00DB02D7"/>
    <w:rsid w:val="00DB0301"/>
    <w:rsid w:val="00DB03CC"/>
    <w:rsid w:val="00DB03F3"/>
    <w:rsid w:val="00DB1142"/>
    <w:rsid w:val="00DB12D4"/>
    <w:rsid w:val="00DB14F0"/>
    <w:rsid w:val="00DB1745"/>
    <w:rsid w:val="00DB19BB"/>
    <w:rsid w:val="00DB1A00"/>
    <w:rsid w:val="00DB1AFF"/>
    <w:rsid w:val="00DB219A"/>
    <w:rsid w:val="00DB244C"/>
    <w:rsid w:val="00DB3024"/>
    <w:rsid w:val="00DB3165"/>
    <w:rsid w:val="00DB3445"/>
    <w:rsid w:val="00DB372F"/>
    <w:rsid w:val="00DB387B"/>
    <w:rsid w:val="00DB39DE"/>
    <w:rsid w:val="00DB4292"/>
    <w:rsid w:val="00DB4DF0"/>
    <w:rsid w:val="00DB5023"/>
    <w:rsid w:val="00DB6E46"/>
    <w:rsid w:val="00DB7117"/>
    <w:rsid w:val="00DB732A"/>
    <w:rsid w:val="00DB7760"/>
    <w:rsid w:val="00DB7DD4"/>
    <w:rsid w:val="00DC00B4"/>
    <w:rsid w:val="00DC0954"/>
    <w:rsid w:val="00DC0DF8"/>
    <w:rsid w:val="00DC15BA"/>
    <w:rsid w:val="00DC18CD"/>
    <w:rsid w:val="00DC1A68"/>
    <w:rsid w:val="00DC30B8"/>
    <w:rsid w:val="00DC3B7E"/>
    <w:rsid w:val="00DC478F"/>
    <w:rsid w:val="00DC482E"/>
    <w:rsid w:val="00DC4D92"/>
    <w:rsid w:val="00DC50AA"/>
    <w:rsid w:val="00DC61AC"/>
    <w:rsid w:val="00DC62E5"/>
    <w:rsid w:val="00DC69D2"/>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5808"/>
    <w:rsid w:val="00DD5946"/>
    <w:rsid w:val="00DD5B04"/>
    <w:rsid w:val="00DD5DAE"/>
    <w:rsid w:val="00DD5EC6"/>
    <w:rsid w:val="00DD605F"/>
    <w:rsid w:val="00DD65ED"/>
    <w:rsid w:val="00DD6A79"/>
    <w:rsid w:val="00DD72A0"/>
    <w:rsid w:val="00DD735D"/>
    <w:rsid w:val="00DD756A"/>
    <w:rsid w:val="00DD7D35"/>
    <w:rsid w:val="00DD7F7D"/>
    <w:rsid w:val="00DD7FBE"/>
    <w:rsid w:val="00DE0159"/>
    <w:rsid w:val="00DE064A"/>
    <w:rsid w:val="00DE082D"/>
    <w:rsid w:val="00DE1410"/>
    <w:rsid w:val="00DE20C6"/>
    <w:rsid w:val="00DE2ABA"/>
    <w:rsid w:val="00DE2DF1"/>
    <w:rsid w:val="00DE3119"/>
    <w:rsid w:val="00DE34EF"/>
    <w:rsid w:val="00DE3C24"/>
    <w:rsid w:val="00DE3FF0"/>
    <w:rsid w:val="00DE4105"/>
    <w:rsid w:val="00DE4BEA"/>
    <w:rsid w:val="00DE4E67"/>
    <w:rsid w:val="00DE5189"/>
    <w:rsid w:val="00DE5716"/>
    <w:rsid w:val="00DE7108"/>
    <w:rsid w:val="00DE78D1"/>
    <w:rsid w:val="00DE78FF"/>
    <w:rsid w:val="00DE7C6E"/>
    <w:rsid w:val="00DF0263"/>
    <w:rsid w:val="00DF071C"/>
    <w:rsid w:val="00DF09E3"/>
    <w:rsid w:val="00DF0EB4"/>
    <w:rsid w:val="00DF0FFD"/>
    <w:rsid w:val="00DF158B"/>
    <w:rsid w:val="00DF170E"/>
    <w:rsid w:val="00DF193C"/>
    <w:rsid w:val="00DF1E36"/>
    <w:rsid w:val="00DF236B"/>
    <w:rsid w:val="00DF24C4"/>
    <w:rsid w:val="00DF258A"/>
    <w:rsid w:val="00DF2A91"/>
    <w:rsid w:val="00DF3889"/>
    <w:rsid w:val="00DF3CC9"/>
    <w:rsid w:val="00DF41DD"/>
    <w:rsid w:val="00DF4451"/>
    <w:rsid w:val="00DF49FF"/>
    <w:rsid w:val="00DF4FFB"/>
    <w:rsid w:val="00DF5236"/>
    <w:rsid w:val="00DF651F"/>
    <w:rsid w:val="00DF6F43"/>
    <w:rsid w:val="00DF71EA"/>
    <w:rsid w:val="00DF752F"/>
    <w:rsid w:val="00DF76A2"/>
    <w:rsid w:val="00E00634"/>
    <w:rsid w:val="00E00B25"/>
    <w:rsid w:val="00E00B7A"/>
    <w:rsid w:val="00E01677"/>
    <w:rsid w:val="00E02186"/>
    <w:rsid w:val="00E025C2"/>
    <w:rsid w:val="00E026BB"/>
    <w:rsid w:val="00E027C5"/>
    <w:rsid w:val="00E03124"/>
    <w:rsid w:val="00E031C3"/>
    <w:rsid w:val="00E03951"/>
    <w:rsid w:val="00E03DB8"/>
    <w:rsid w:val="00E03F17"/>
    <w:rsid w:val="00E0420C"/>
    <w:rsid w:val="00E04D00"/>
    <w:rsid w:val="00E04EDD"/>
    <w:rsid w:val="00E04F86"/>
    <w:rsid w:val="00E05402"/>
    <w:rsid w:val="00E05E70"/>
    <w:rsid w:val="00E064BC"/>
    <w:rsid w:val="00E070C1"/>
    <w:rsid w:val="00E07225"/>
    <w:rsid w:val="00E072E1"/>
    <w:rsid w:val="00E076B4"/>
    <w:rsid w:val="00E07ADF"/>
    <w:rsid w:val="00E07B55"/>
    <w:rsid w:val="00E10579"/>
    <w:rsid w:val="00E109DD"/>
    <w:rsid w:val="00E10CF1"/>
    <w:rsid w:val="00E11229"/>
    <w:rsid w:val="00E114CA"/>
    <w:rsid w:val="00E127D1"/>
    <w:rsid w:val="00E13867"/>
    <w:rsid w:val="00E1397F"/>
    <w:rsid w:val="00E13AB8"/>
    <w:rsid w:val="00E13AE1"/>
    <w:rsid w:val="00E1482E"/>
    <w:rsid w:val="00E152D7"/>
    <w:rsid w:val="00E15DE3"/>
    <w:rsid w:val="00E16382"/>
    <w:rsid w:val="00E167AF"/>
    <w:rsid w:val="00E1699C"/>
    <w:rsid w:val="00E16E75"/>
    <w:rsid w:val="00E1746D"/>
    <w:rsid w:val="00E17594"/>
    <w:rsid w:val="00E17ABB"/>
    <w:rsid w:val="00E17CAC"/>
    <w:rsid w:val="00E2012A"/>
    <w:rsid w:val="00E205A2"/>
    <w:rsid w:val="00E20BA4"/>
    <w:rsid w:val="00E210D0"/>
    <w:rsid w:val="00E21887"/>
    <w:rsid w:val="00E21CC0"/>
    <w:rsid w:val="00E23137"/>
    <w:rsid w:val="00E23796"/>
    <w:rsid w:val="00E23980"/>
    <w:rsid w:val="00E23AB0"/>
    <w:rsid w:val="00E241E9"/>
    <w:rsid w:val="00E24F12"/>
    <w:rsid w:val="00E257C3"/>
    <w:rsid w:val="00E25CB3"/>
    <w:rsid w:val="00E25DA4"/>
    <w:rsid w:val="00E26237"/>
    <w:rsid w:val="00E26950"/>
    <w:rsid w:val="00E26CB8"/>
    <w:rsid w:val="00E26D16"/>
    <w:rsid w:val="00E26FCF"/>
    <w:rsid w:val="00E27165"/>
    <w:rsid w:val="00E275D9"/>
    <w:rsid w:val="00E30403"/>
    <w:rsid w:val="00E3044A"/>
    <w:rsid w:val="00E30E49"/>
    <w:rsid w:val="00E31A4A"/>
    <w:rsid w:val="00E31FCF"/>
    <w:rsid w:val="00E3212A"/>
    <w:rsid w:val="00E32279"/>
    <w:rsid w:val="00E3344A"/>
    <w:rsid w:val="00E33B29"/>
    <w:rsid w:val="00E33B62"/>
    <w:rsid w:val="00E3403D"/>
    <w:rsid w:val="00E344BD"/>
    <w:rsid w:val="00E34548"/>
    <w:rsid w:val="00E34E6C"/>
    <w:rsid w:val="00E353E2"/>
    <w:rsid w:val="00E360D8"/>
    <w:rsid w:val="00E36345"/>
    <w:rsid w:val="00E36C86"/>
    <w:rsid w:val="00E36CEB"/>
    <w:rsid w:val="00E37158"/>
    <w:rsid w:val="00E37A28"/>
    <w:rsid w:val="00E400C7"/>
    <w:rsid w:val="00E40430"/>
    <w:rsid w:val="00E4057E"/>
    <w:rsid w:val="00E40690"/>
    <w:rsid w:val="00E40AEB"/>
    <w:rsid w:val="00E40E82"/>
    <w:rsid w:val="00E40FB8"/>
    <w:rsid w:val="00E41141"/>
    <w:rsid w:val="00E4143A"/>
    <w:rsid w:val="00E420B7"/>
    <w:rsid w:val="00E424C8"/>
    <w:rsid w:val="00E4251D"/>
    <w:rsid w:val="00E427EB"/>
    <w:rsid w:val="00E427EF"/>
    <w:rsid w:val="00E43D00"/>
    <w:rsid w:val="00E443B4"/>
    <w:rsid w:val="00E445E4"/>
    <w:rsid w:val="00E447A0"/>
    <w:rsid w:val="00E457CB"/>
    <w:rsid w:val="00E45D47"/>
    <w:rsid w:val="00E45DE4"/>
    <w:rsid w:val="00E45E63"/>
    <w:rsid w:val="00E4759C"/>
    <w:rsid w:val="00E47AAE"/>
    <w:rsid w:val="00E47EFD"/>
    <w:rsid w:val="00E50A7B"/>
    <w:rsid w:val="00E50B0B"/>
    <w:rsid w:val="00E50C57"/>
    <w:rsid w:val="00E510FE"/>
    <w:rsid w:val="00E514BA"/>
    <w:rsid w:val="00E51513"/>
    <w:rsid w:val="00E5158C"/>
    <w:rsid w:val="00E51E25"/>
    <w:rsid w:val="00E5205B"/>
    <w:rsid w:val="00E521AE"/>
    <w:rsid w:val="00E529A3"/>
    <w:rsid w:val="00E533EE"/>
    <w:rsid w:val="00E53A21"/>
    <w:rsid w:val="00E53BCA"/>
    <w:rsid w:val="00E53DE2"/>
    <w:rsid w:val="00E53F02"/>
    <w:rsid w:val="00E5428D"/>
    <w:rsid w:val="00E54534"/>
    <w:rsid w:val="00E54874"/>
    <w:rsid w:val="00E548C3"/>
    <w:rsid w:val="00E54F27"/>
    <w:rsid w:val="00E55A44"/>
    <w:rsid w:val="00E55FF1"/>
    <w:rsid w:val="00E56090"/>
    <w:rsid w:val="00E561DA"/>
    <w:rsid w:val="00E56408"/>
    <w:rsid w:val="00E565B9"/>
    <w:rsid w:val="00E56E7B"/>
    <w:rsid w:val="00E5733B"/>
    <w:rsid w:val="00E5756C"/>
    <w:rsid w:val="00E5768D"/>
    <w:rsid w:val="00E57811"/>
    <w:rsid w:val="00E57FB0"/>
    <w:rsid w:val="00E600F4"/>
    <w:rsid w:val="00E601BE"/>
    <w:rsid w:val="00E60984"/>
    <w:rsid w:val="00E60A44"/>
    <w:rsid w:val="00E60B5F"/>
    <w:rsid w:val="00E613AE"/>
    <w:rsid w:val="00E61429"/>
    <w:rsid w:val="00E61ABB"/>
    <w:rsid w:val="00E61FD7"/>
    <w:rsid w:val="00E623E6"/>
    <w:rsid w:val="00E62BBF"/>
    <w:rsid w:val="00E62C76"/>
    <w:rsid w:val="00E630A2"/>
    <w:rsid w:val="00E630C0"/>
    <w:rsid w:val="00E63107"/>
    <w:rsid w:val="00E6312C"/>
    <w:rsid w:val="00E63299"/>
    <w:rsid w:val="00E634E6"/>
    <w:rsid w:val="00E63DCE"/>
    <w:rsid w:val="00E642EF"/>
    <w:rsid w:val="00E645CF"/>
    <w:rsid w:val="00E64700"/>
    <w:rsid w:val="00E65074"/>
    <w:rsid w:val="00E65857"/>
    <w:rsid w:val="00E65E70"/>
    <w:rsid w:val="00E6607B"/>
    <w:rsid w:val="00E66087"/>
    <w:rsid w:val="00E66D79"/>
    <w:rsid w:val="00E66FF9"/>
    <w:rsid w:val="00E6706F"/>
    <w:rsid w:val="00E673A2"/>
    <w:rsid w:val="00E674EB"/>
    <w:rsid w:val="00E67714"/>
    <w:rsid w:val="00E67856"/>
    <w:rsid w:val="00E679C8"/>
    <w:rsid w:val="00E67B8A"/>
    <w:rsid w:val="00E70314"/>
    <w:rsid w:val="00E70C98"/>
    <w:rsid w:val="00E70FB9"/>
    <w:rsid w:val="00E724E7"/>
    <w:rsid w:val="00E72B41"/>
    <w:rsid w:val="00E7347B"/>
    <w:rsid w:val="00E73792"/>
    <w:rsid w:val="00E73D03"/>
    <w:rsid w:val="00E7471C"/>
    <w:rsid w:val="00E7498A"/>
    <w:rsid w:val="00E7514E"/>
    <w:rsid w:val="00E76537"/>
    <w:rsid w:val="00E76EA1"/>
    <w:rsid w:val="00E77784"/>
    <w:rsid w:val="00E77AF5"/>
    <w:rsid w:val="00E801CE"/>
    <w:rsid w:val="00E8035B"/>
    <w:rsid w:val="00E805CD"/>
    <w:rsid w:val="00E80FC3"/>
    <w:rsid w:val="00E820F4"/>
    <w:rsid w:val="00E82263"/>
    <w:rsid w:val="00E823F9"/>
    <w:rsid w:val="00E82C1F"/>
    <w:rsid w:val="00E83671"/>
    <w:rsid w:val="00E83D1E"/>
    <w:rsid w:val="00E83F8E"/>
    <w:rsid w:val="00E840EE"/>
    <w:rsid w:val="00E84314"/>
    <w:rsid w:val="00E849CA"/>
    <w:rsid w:val="00E84A71"/>
    <w:rsid w:val="00E853F3"/>
    <w:rsid w:val="00E8556F"/>
    <w:rsid w:val="00E85980"/>
    <w:rsid w:val="00E85D69"/>
    <w:rsid w:val="00E8617F"/>
    <w:rsid w:val="00E86556"/>
    <w:rsid w:val="00E86D35"/>
    <w:rsid w:val="00E86D94"/>
    <w:rsid w:val="00E86DC2"/>
    <w:rsid w:val="00E86E32"/>
    <w:rsid w:val="00E86F2E"/>
    <w:rsid w:val="00E8732E"/>
    <w:rsid w:val="00E879C7"/>
    <w:rsid w:val="00E90067"/>
    <w:rsid w:val="00E9011F"/>
    <w:rsid w:val="00E906EB"/>
    <w:rsid w:val="00E90CE2"/>
    <w:rsid w:val="00E9109D"/>
    <w:rsid w:val="00E9170E"/>
    <w:rsid w:val="00E919FB"/>
    <w:rsid w:val="00E9241E"/>
    <w:rsid w:val="00E92460"/>
    <w:rsid w:val="00E92C2D"/>
    <w:rsid w:val="00E92E62"/>
    <w:rsid w:val="00E93804"/>
    <w:rsid w:val="00E9429D"/>
    <w:rsid w:val="00E95434"/>
    <w:rsid w:val="00E96033"/>
    <w:rsid w:val="00E96467"/>
    <w:rsid w:val="00E966DA"/>
    <w:rsid w:val="00E96948"/>
    <w:rsid w:val="00E9737B"/>
    <w:rsid w:val="00E97A3F"/>
    <w:rsid w:val="00E97F0A"/>
    <w:rsid w:val="00EA0100"/>
    <w:rsid w:val="00EA039A"/>
    <w:rsid w:val="00EA0455"/>
    <w:rsid w:val="00EA08BA"/>
    <w:rsid w:val="00EA0BCE"/>
    <w:rsid w:val="00EA10E4"/>
    <w:rsid w:val="00EA17BC"/>
    <w:rsid w:val="00EA2744"/>
    <w:rsid w:val="00EA37B9"/>
    <w:rsid w:val="00EA39F7"/>
    <w:rsid w:val="00EA3DC2"/>
    <w:rsid w:val="00EA434E"/>
    <w:rsid w:val="00EA4757"/>
    <w:rsid w:val="00EA560B"/>
    <w:rsid w:val="00EA5669"/>
    <w:rsid w:val="00EA5CC6"/>
    <w:rsid w:val="00EA63EF"/>
    <w:rsid w:val="00EA705C"/>
    <w:rsid w:val="00EA7CBF"/>
    <w:rsid w:val="00EB0A89"/>
    <w:rsid w:val="00EB0BD8"/>
    <w:rsid w:val="00EB1573"/>
    <w:rsid w:val="00EB1910"/>
    <w:rsid w:val="00EB1B7C"/>
    <w:rsid w:val="00EB2564"/>
    <w:rsid w:val="00EB2D83"/>
    <w:rsid w:val="00EB2E97"/>
    <w:rsid w:val="00EB2ED0"/>
    <w:rsid w:val="00EB3416"/>
    <w:rsid w:val="00EB4AE1"/>
    <w:rsid w:val="00EB52F4"/>
    <w:rsid w:val="00EB5694"/>
    <w:rsid w:val="00EB5779"/>
    <w:rsid w:val="00EB5C68"/>
    <w:rsid w:val="00EB5D2F"/>
    <w:rsid w:val="00EB61CC"/>
    <w:rsid w:val="00EB67F1"/>
    <w:rsid w:val="00EB6A67"/>
    <w:rsid w:val="00EB6ADA"/>
    <w:rsid w:val="00EB7132"/>
    <w:rsid w:val="00EB72CD"/>
    <w:rsid w:val="00EB749A"/>
    <w:rsid w:val="00EB76B6"/>
    <w:rsid w:val="00EB7D8A"/>
    <w:rsid w:val="00EC0487"/>
    <w:rsid w:val="00EC04F7"/>
    <w:rsid w:val="00EC05E2"/>
    <w:rsid w:val="00EC0E84"/>
    <w:rsid w:val="00EC16E2"/>
    <w:rsid w:val="00EC1CE7"/>
    <w:rsid w:val="00EC1DAE"/>
    <w:rsid w:val="00EC1F36"/>
    <w:rsid w:val="00EC224E"/>
    <w:rsid w:val="00EC26F1"/>
    <w:rsid w:val="00EC33A8"/>
    <w:rsid w:val="00EC3ABE"/>
    <w:rsid w:val="00EC3BA2"/>
    <w:rsid w:val="00EC3C94"/>
    <w:rsid w:val="00EC44DF"/>
    <w:rsid w:val="00EC4FB9"/>
    <w:rsid w:val="00EC5393"/>
    <w:rsid w:val="00EC567C"/>
    <w:rsid w:val="00EC5741"/>
    <w:rsid w:val="00EC5DA3"/>
    <w:rsid w:val="00EC6014"/>
    <w:rsid w:val="00EC6044"/>
    <w:rsid w:val="00EC6565"/>
    <w:rsid w:val="00EC6B3E"/>
    <w:rsid w:val="00EC73DE"/>
    <w:rsid w:val="00EC7637"/>
    <w:rsid w:val="00EC76EA"/>
    <w:rsid w:val="00EC7C07"/>
    <w:rsid w:val="00EC7CF2"/>
    <w:rsid w:val="00ED046C"/>
    <w:rsid w:val="00ED053A"/>
    <w:rsid w:val="00ED1257"/>
    <w:rsid w:val="00ED1F03"/>
    <w:rsid w:val="00ED249D"/>
    <w:rsid w:val="00ED2D27"/>
    <w:rsid w:val="00ED2F68"/>
    <w:rsid w:val="00ED3347"/>
    <w:rsid w:val="00ED3441"/>
    <w:rsid w:val="00ED3860"/>
    <w:rsid w:val="00ED3954"/>
    <w:rsid w:val="00ED39AC"/>
    <w:rsid w:val="00ED43A2"/>
    <w:rsid w:val="00ED4967"/>
    <w:rsid w:val="00ED4CA9"/>
    <w:rsid w:val="00ED50E5"/>
    <w:rsid w:val="00ED5140"/>
    <w:rsid w:val="00ED538C"/>
    <w:rsid w:val="00ED572F"/>
    <w:rsid w:val="00ED5771"/>
    <w:rsid w:val="00ED587F"/>
    <w:rsid w:val="00ED5964"/>
    <w:rsid w:val="00ED623F"/>
    <w:rsid w:val="00ED63A5"/>
    <w:rsid w:val="00ED69BA"/>
    <w:rsid w:val="00ED6D1A"/>
    <w:rsid w:val="00ED72E9"/>
    <w:rsid w:val="00ED732E"/>
    <w:rsid w:val="00ED74B3"/>
    <w:rsid w:val="00ED77F0"/>
    <w:rsid w:val="00ED7813"/>
    <w:rsid w:val="00ED7FBC"/>
    <w:rsid w:val="00EE0253"/>
    <w:rsid w:val="00EE0297"/>
    <w:rsid w:val="00EE1258"/>
    <w:rsid w:val="00EE13CA"/>
    <w:rsid w:val="00EE13DA"/>
    <w:rsid w:val="00EE1668"/>
    <w:rsid w:val="00EE1EDB"/>
    <w:rsid w:val="00EE24E2"/>
    <w:rsid w:val="00EE2A20"/>
    <w:rsid w:val="00EE366D"/>
    <w:rsid w:val="00EE3F80"/>
    <w:rsid w:val="00EE40A4"/>
    <w:rsid w:val="00EE41AA"/>
    <w:rsid w:val="00EE5454"/>
    <w:rsid w:val="00EE59B5"/>
    <w:rsid w:val="00EE5FB7"/>
    <w:rsid w:val="00EE6783"/>
    <w:rsid w:val="00EE678B"/>
    <w:rsid w:val="00EE7B54"/>
    <w:rsid w:val="00EE7C47"/>
    <w:rsid w:val="00EE7C88"/>
    <w:rsid w:val="00EE7C8B"/>
    <w:rsid w:val="00EF0209"/>
    <w:rsid w:val="00EF0EA4"/>
    <w:rsid w:val="00EF19A5"/>
    <w:rsid w:val="00EF1E97"/>
    <w:rsid w:val="00EF2436"/>
    <w:rsid w:val="00EF2547"/>
    <w:rsid w:val="00EF26F4"/>
    <w:rsid w:val="00EF28D8"/>
    <w:rsid w:val="00EF2B2B"/>
    <w:rsid w:val="00EF2E1C"/>
    <w:rsid w:val="00EF2FD6"/>
    <w:rsid w:val="00EF314C"/>
    <w:rsid w:val="00EF326A"/>
    <w:rsid w:val="00EF397D"/>
    <w:rsid w:val="00EF3CD4"/>
    <w:rsid w:val="00EF427A"/>
    <w:rsid w:val="00EF45DF"/>
    <w:rsid w:val="00EF4944"/>
    <w:rsid w:val="00EF4952"/>
    <w:rsid w:val="00EF498F"/>
    <w:rsid w:val="00EF4A42"/>
    <w:rsid w:val="00EF510C"/>
    <w:rsid w:val="00EF55C4"/>
    <w:rsid w:val="00EF57BC"/>
    <w:rsid w:val="00EF5A41"/>
    <w:rsid w:val="00EF5CA8"/>
    <w:rsid w:val="00EF6784"/>
    <w:rsid w:val="00EF688A"/>
    <w:rsid w:val="00EF6A03"/>
    <w:rsid w:val="00EF6DC2"/>
    <w:rsid w:val="00EF7506"/>
    <w:rsid w:val="00EF760B"/>
    <w:rsid w:val="00EF7BF4"/>
    <w:rsid w:val="00F0026C"/>
    <w:rsid w:val="00F0030F"/>
    <w:rsid w:val="00F00674"/>
    <w:rsid w:val="00F01657"/>
    <w:rsid w:val="00F01E67"/>
    <w:rsid w:val="00F01EF4"/>
    <w:rsid w:val="00F02744"/>
    <w:rsid w:val="00F02BFD"/>
    <w:rsid w:val="00F02D25"/>
    <w:rsid w:val="00F03A60"/>
    <w:rsid w:val="00F03C3D"/>
    <w:rsid w:val="00F0435D"/>
    <w:rsid w:val="00F04580"/>
    <w:rsid w:val="00F04986"/>
    <w:rsid w:val="00F04ECA"/>
    <w:rsid w:val="00F04F8B"/>
    <w:rsid w:val="00F064DB"/>
    <w:rsid w:val="00F06CA4"/>
    <w:rsid w:val="00F06E19"/>
    <w:rsid w:val="00F06F84"/>
    <w:rsid w:val="00F06FCD"/>
    <w:rsid w:val="00F0749E"/>
    <w:rsid w:val="00F076E7"/>
    <w:rsid w:val="00F07A86"/>
    <w:rsid w:val="00F07AA1"/>
    <w:rsid w:val="00F105AE"/>
    <w:rsid w:val="00F10618"/>
    <w:rsid w:val="00F10BB3"/>
    <w:rsid w:val="00F10E78"/>
    <w:rsid w:val="00F10E7D"/>
    <w:rsid w:val="00F1108B"/>
    <w:rsid w:val="00F114FA"/>
    <w:rsid w:val="00F11768"/>
    <w:rsid w:val="00F11951"/>
    <w:rsid w:val="00F12059"/>
    <w:rsid w:val="00F12262"/>
    <w:rsid w:val="00F12564"/>
    <w:rsid w:val="00F128D9"/>
    <w:rsid w:val="00F12AF8"/>
    <w:rsid w:val="00F12C52"/>
    <w:rsid w:val="00F13381"/>
    <w:rsid w:val="00F13417"/>
    <w:rsid w:val="00F13828"/>
    <w:rsid w:val="00F13E62"/>
    <w:rsid w:val="00F13F51"/>
    <w:rsid w:val="00F146E9"/>
    <w:rsid w:val="00F148B7"/>
    <w:rsid w:val="00F14BF6"/>
    <w:rsid w:val="00F14EA9"/>
    <w:rsid w:val="00F15505"/>
    <w:rsid w:val="00F15BFF"/>
    <w:rsid w:val="00F15FFF"/>
    <w:rsid w:val="00F1634B"/>
    <w:rsid w:val="00F1689D"/>
    <w:rsid w:val="00F16E4F"/>
    <w:rsid w:val="00F171B2"/>
    <w:rsid w:val="00F17244"/>
    <w:rsid w:val="00F20931"/>
    <w:rsid w:val="00F20ECE"/>
    <w:rsid w:val="00F213A0"/>
    <w:rsid w:val="00F21D54"/>
    <w:rsid w:val="00F21EF4"/>
    <w:rsid w:val="00F221A2"/>
    <w:rsid w:val="00F22831"/>
    <w:rsid w:val="00F22E8B"/>
    <w:rsid w:val="00F22F81"/>
    <w:rsid w:val="00F23113"/>
    <w:rsid w:val="00F23255"/>
    <w:rsid w:val="00F23393"/>
    <w:rsid w:val="00F23759"/>
    <w:rsid w:val="00F24644"/>
    <w:rsid w:val="00F246FF"/>
    <w:rsid w:val="00F24B57"/>
    <w:rsid w:val="00F24BB1"/>
    <w:rsid w:val="00F24F60"/>
    <w:rsid w:val="00F25947"/>
    <w:rsid w:val="00F25CC9"/>
    <w:rsid w:val="00F262D6"/>
    <w:rsid w:val="00F26F33"/>
    <w:rsid w:val="00F273D5"/>
    <w:rsid w:val="00F2748A"/>
    <w:rsid w:val="00F276C0"/>
    <w:rsid w:val="00F2786C"/>
    <w:rsid w:val="00F300A8"/>
    <w:rsid w:val="00F302C6"/>
    <w:rsid w:val="00F30400"/>
    <w:rsid w:val="00F3079E"/>
    <w:rsid w:val="00F311A1"/>
    <w:rsid w:val="00F31289"/>
    <w:rsid w:val="00F3232D"/>
    <w:rsid w:val="00F32356"/>
    <w:rsid w:val="00F32F80"/>
    <w:rsid w:val="00F3399B"/>
    <w:rsid w:val="00F33EF5"/>
    <w:rsid w:val="00F33F4B"/>
    <w:rsid w:val="00F346ED"/>
    <w:rsid w:val="00F34945"/>
    <w:rsid w:val="00F34E1E"/>
    <w:rsid w:val="00F3570C"/>
    <w:rsid w:val="00F363A4"/>
    <w:rsid w:val="00F36765"/>
    <w:rsid w:val="00F368FF"/>
    <w:rsid w:val="00F37068"/>
    <w:rsid w:val="00F37E5F"/>
    <w:rsid w:val="00F37F3F"/>
    <w:rsid w:val="00F37F84"/>
    <w:rsid w:val="00F40190"/>
    <w:rsid w:val="00F40992"/>
    <w:rsid w:val="00F40F72"/>
    <w:rsid w:val="00F41596"/>
    <w:rsid w:val="00F41D8B"/>
    <w:rsid w:val="00F42121"/>
    <w:rsid w:val="00F424B3"/>
    <w:rsid w:val="00F428B1"/>
    <w:rsid w:val="00F428B4"/>
    <w:rsid w:val="00F43416"/>
    <w:rsid w:val="00F4345D"/>
    <w:rsid w:val="00F4387B"/>
    <w:rsid w:val="00F45921"/>
    <w:rsid w:val="00F45B91"/>
    <w:rsid w:val="00F46502"/>
    <w:rsid w:val="00F46639"/>
    <w:rsid w:val="00F47026"/>
    <w:rsid w:val="00F476FD"/>
    <w:rsid w:val="00F50183"/>
    <w:rsid w:val="00F5033A"/>
    <w:rsid w:val="00F50B7E"/>
    <w:rsid w:val="00F50D92"/>
    <w:rsid w:val="00F51765"/>
    <w:rsid w:val="00F51A51"/>
    <w:rsid w:val="00F51BC6"/>
    <w:rsid w:val="00F51CB4"/>
    <w:rsid w:val="00F52200"/>
    <w:rsid w:val="00F52324"/>
    <w:rsid w:val="00F5237A"/>
    <w:rsid w:val="00F5293D"/>
    <w:rsid w:val="00F52950"/>
    <w:rsid w:val="00F52C9D"/>
    <w:rsid w:val="00F533F1"/>
    <w:rsid w:val="00F5345B"/>
    <w:rsid w:val="00F53F4F"/>
    <w:rsid w:val="00F540A3"/>
    <w:rsid w:val="00F54EA2"/>
    <w:rsid w:val="00F55185"/>
    <w:rsid w:val="00F5525F"/>
    <w:rsid w:val="00F55679"/>
    <w:rsid w:val="00F561E3"/>
    <w:rsid w:val="00F56466"/>
    <w:rsid w:val="00F565E6"/>
    <w:rsid w:val="00F5684C"/>
    <w:rsid w:val="00F56AFA"/>
    <w:rsid w:val="00F575E2"/>
    <w:rsid w:val="00F579FF"/>
    <w:rsid w:val="00F600E0"/>
    <w:rsid w:val="00F605EC"/>
    <w:rsid w:val="00F60CFE"/>
    <w:rsid w:val="00F60F60"/>
    <w:rsid w:val="00F612CE"/>
    <w:rsid w:val="00F6133C"/>
    <w:rsid w:val="00F61405"/>
    <w:rsid w:val="00F62172"/>
    <w:rsid w:val="00F62227"/>
    <w:rsid w:val="00F624A7"/>
    <w:rsid w:val="00F62AB6"/>
    <w:rsid w:val="00F633C7"/>
    <w:rsid w:val="00F6378A"/>
    <w:rsid w:val="00F64CE7"/>
    <w:rsid w:val="00F65A3C"/>
    <w:rsid w:val="00F66009"/>
    <w:rsid w:val="00F66282"/>
    <w:rsid w:val="00F6639E"/>
    <w:rsid w:val="00F670E9"/>
    <w:rsid w:val="00F6749F"/>
    <w:rsid w:val="00F67AF1"/>
    <w:rsid w:val="00F67D8B"/>
    <w:rsid w:val="00F700CD"/>
    <w:rsid w:val="00F701C5"/>
    <w:rsid w:val="00F70961"/>
    <w:rsid w:val="00F70A8F"/>
    <w:rsid w:val="00F71397"/>
    <w:rsid w:val="00F719FD"/>
    <w:rsid w:val="00F72389"/>
    <w:rsid w:val="00F72516"/>
    <w:rsid w:val="00F72FB4"/>
    <w:rsid w:val="00F732CF"/>
    <w:rsid w:val="00F735E5"/>
    <w:rsid w:val="00F73B82"/>
    <w:rsid w:val="00F73E80"/>
    <w:rsid w:val="00F7469C"/>
    <w:rsid w:val="00F7487C"/>
    <w:rsid w:val="00F7492E"/>
    <w:rsid w:val="00F74945"/>
    <w:rsid w:val="00F749A3"/>
    <w:rsid w:val="00F74AE8"/>
    <w:rsid w:val="00F75169"/>
    <w:rsid w:val="00F76768"/>
    <w:rsid w:val="00F76C11"/>
    <w:rsid w:val="00F77021"/>
    <w:rsid w:val="00F770AB"/>
    <w:rsid w:val="00F77E61"/>
    <w:rsid w:val="00F80221"/>
    <w:rsid w:val="00F802B0"/>
    <w:rsid w:val="00F80A0A"/>
    <w:rsid w:val="00F80C81"/>
    <w:rsid w:val="00F815AC"/>
    <w:rsid w:val="00F82421"/>
    <w:rsid w:val="00F82E28"/>
    <w:rsid w:val="00F83B33"/>
    <w:rsid w:val="00F83CAE"/>
    <w:rsid w:val="00F840BF"/>
    <w:rsid w:val="00F8427A"/>
    <w:rsid w:val="00F843DF"/>
    <w:rsid w:val="00F84646"/>
    <w:rsid w:val="00F84899"/>
    <w:rsid w:val="00F84A9E"/>
    <w:rsid w:val="00F85585"/>
    <w:rsid w:val="00F859F0"/>
    <w:rsid w:val="00F85CC1"/>
    <w:rsid w:val="00F86B5D"/>
    <w:rsid w:val="00F8740F"/>
    <w:rsid w:val="00F87634"/>
    <w:rsid w:val="00F87809"/>
    <w:rsid w:val="00F87C13"/>
    <w:rsid w:val="00F87C5A"/>
    <w:rsid w:val="00F87E29"/>
    <w:rsid w:val="00F87F18"/>
    <w:rsid w:val="00F87F37"/>
    <w:rsid w:val="00F87F68"/>
    <w:rsid w:val="00F90C4D"/>
    <w:rsid w:val="00F9165C"/>
    <w:rsid w:val="00F9167D"/>
    <w:rsid w:val="00F91CB2"/>
    <w:rsid w:val="00F91E21"/>
    <w:rsid w:val="00F927E8"/>
    <w:rsid w:val="00F9289C"/>
    <w:rsid w:val="00F92FC1"/>
    <w:rsid w:val="00F932D1"/>
    <w:rsid w:val="00F93DBC"/>
    <w:rsid w:val="00F93E41"/>
    <w:rsid w:val="00F94644"/>
    <w:rsid w:val="00F952E4"/>
    <w:rsid w:val="00F9537B"/>
    <w:rsid w:val="00F96079"/>
    <w:rsid w:val="00F963FC"/>
    <w:rsid w:val="00F97CF1"/>
    <w:rsid w:val="00FA015F"/>
    <w:rsid w:val="00FA0FAC"/>
    <w:rsid w:val="00FA10F7"/>
    <w:rsid w:val="00FA1817"/>
    <w:rsid w:val="00FA1DA2"/>
    <w:rsid w:val="00FA20D0"/>
    <w:rsid w:val="00FA2258"/>
    <w:rsid w:val="00FA313F"/>
    <w:rsid w:val="00FA3414"/>
    <w:rsid w:val="00FA347A"/>
    <w:rsid w:val="00FA3CDE"/>
    <w:rsid w:val="00FA3D45"/>
    <w:rsid w:val="00FA4048"/>
    <w:rsid w:val="00FA4168"/>
    <w:rsid w:val="00FA4408"/>
    <w:rsid w:val="00FA44B1"/>
    <w:rsid w:val="00FA49B7"/>
    <w:rsid w:val="00FA4B97"/>
    <w:rsid w:val="00FA4E49"/>
    <w:rsid w:val="00FA5043"/>
    <w:rsid w:val="00FA60C1"/>
    <w:rsid w:val="00FA63DD"/>
    <w:rsid w:val="00FA65A3"/>
    <w:rsid w:val="00FA66F9"/>
    <w:rsid w:val="00FA6BCA"/>
    <w:rsid w:val="00FA6F8B"/>
    <w:rsid w:val="00FA727C"/>
    <w:rsid w:val="00FA7A30"/>
    <w:rsid w:val="00FA7A9B"/>
    <w:rsid w:val="00FB033F"/>
    <w:rsid w:val="00FB0880"/>
    <w:rsid w:val="00FB12E3"/>
    <w:rsid w:val="00FB1570"/>
    <w:rsid w:val="00FB193B"/>
    <w:rsid w:val="00FB1FBC"/>
    <w:rsid w:val="00FB27B7"/>
    <w:rsid w:val="00FB35E3"/>
    <w:rsid w:val="00FB4743"/>
    <w:rsid w:val="00FB47C3"/>
    <w:rsid w:val="00FB4C98"/>
    <w:rsid w:val="00FB4CE3"/>
    <w:rsid w:val="00FB551D"/>
    <w:rsid w:val="00FB583C"/>
    <w:rsid w:val="00FB630E"/>
    <w:rsid w:val="00FB6738"/>
    <w:rsid w:val="00FB691B"/>
    <w:rsid w:val="00FB6BC4"/>
    <w:rsid w:val="00FB6BE6"/>
    <w:rsid w:val="00FB731C"/>
    <w:rsid w:val="00FB7628"/>
    <w:rsid w:val="00FB7651"/>
    <w:rsid w:val="00FB788B"/>
    <w:rsid w:val="00FC0078"/>
    <w:rsid w:val="00FC0363"/>
    <w:rsid w:val="00FC05A0"/>
    <w:rsid w:val="00FC0811"/>
    <w:rsid w:val="00FC09B3"/>
    <w:rsid w:val="00FC1196"/>
    <w:rsid w:val="00FC15EB"/>
    <w:rsid w:val="00FC162C"/>
    <w:rsid w:val="00FC18DC"/>
    <w:rsid w:val="00FC2477"/>
    <w:rsid w:val="00FC2AC4"/>
    <w:rsid w:val="00FC2D17"/>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174"/>
    <w:rsid w:val="00FC76A9"/>
    <w:rsid w:val="00FC79AB"/>
    <w:rsid w:val="00FC7BE7"/>
    <w:rsid w:val="00FC7DAC"/>
    <w:rsid w:val="00FD005D"/>
    <w:rsid w:val="00FD0216"/>
    <w:rsid w:val="00FD04AE"/>
    <w:rsid w:val="00FD0865"/>
    <w:rsid w:val="00FD0DFA"/>
    <w:rsid w:val="00FD1890"/>
    <w:rsid w:val="00FD1994"/>
    <w:rsid w:val="00FD3290"/>
    <w:rsid w:val="00FD3508"/>
    <w:rsid w:val="00FD393C"/>
    <w:rsid w:val="00FD3AFF"/>
    <w:rsid w:val="00FD43BB"/>
    <w:rsid w:val="00FD4AF3"/>
    <w:rsid w:val="00FD5443"/>
    <w:rsid w:val="00FD6675"/>
    <w:rsid w:val="00FD67F9"/>
    <w:rsid w:val="00FD694E"/>
    <w:rsid w:val="00FD6DC5"/>
    <w:rsid w:val="00FD7250"/>
    <w:rsid w:val="00FD72B1"/>
    <w:rsid w:val="00FD72E7"/>
    <w:rsid w:val="00FD798D"/>
    <w:rsid w:val="00FD7ED4"/>
    <w:rsid w:val="00FE04AB"/>
    <w:rsid w:val="00FE141E"/>
    <w:rsid w:val="00FE144E"/>
    <w:rsid w:val="00FE1768"/>
    <w:rsid w:val="00FE1DD5"/>
    <w:rsid w:val="00FE1E8C"/>
    <w:rsid w:val="00FE24F4"/>
    <w:rsid w:val="00FE2560"/>
    <w:rsid w:val="00FE35D0"/>
    <w:rsid w:val="00FE42ED"/>
    <w:rsid w:val="00FE4E06"/>
    <w:rsid w:val="00FE55A7"/>
    <w:rsid w:val="00FE5C5A"/>
    <w:rsid w:val="00FE601E"/>
    <w:rsid w:val="00FE6432"/>
    <w:rsid w:val="00FE72A0"/>
    <w:rsid w:val="00FF0050"/>
    <w:rsid w:val="00FF03EA"/>
    <w:rsid w:val="00FF045F"/>
    <w:rsid w:val="00FF0816"/>
    <w:rsid w:val="00FF13D4"/>
    <w:rsid w:val="00FF2053"/>
    <w:rsid w:val="00FF2564"/>
    <w:rsid w:val="00FF3B37"/>
    <w:rsid w:val="00FF3CC7"/>
    <w:rsid w:val="00FF3D6F"/>
    <w:rsid w:val="00FF441A"/>
    <w:rsid w:val="00FF44D7"/>
    <w:rsid w:val="00FF4BD8"/>
    <w:rsid w:val="00FF4D11"/>
    <w:rsid w:val="00FF5214"/>
    <w:rsid w:val="00FF5914"/>
    <w:rsid w:val="00FF596E"/>
    <w:rsid w:val="00FF5B59"/>
    <w:rsid w:val="00FF5BFD"/>
    <w:rsid w:val="00FF5CAA"/>
    <w:rsid w:val="00FF6095"/>
    <w:rsid w:val="00FF62FE"/>
    <w:rsid w:val="00FF6553"/>
    <w:rsid w:val="00FF70BD"/>
    <w:rsid w:val="00FF7124"/>
    <w:rsid w:val="00FF7A39"/>
    <w:rsid w:val="029BC757"/>
    <w:rsid w:val="3569F5A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styleId="Textonotaalfinal">
    <w:name w:val="endnote text"/>
    <w:basedOn w:val="Normal"/>
    <w:link w:val="TextonotaalfinalCar"/>
    <w:uiPriority w:val="99"/>
    <w:semiHidden/>
    <w:unhideWhenUsed/>
    <w:rsid w:val="001679EF"/>
    <w:rPr>
      <w:sz w:val="20"/>
      <w:szCs w:val="20"/>
    </w:rPr>
  </w:style>
  <w:style w:type="character" w:customStyle="1" w:styleId="TextonotaalfinalCar">
    <w:name w:val="Texto nota al final Car"/>
    <w:basedOn w:val="Fuentedeprrafopredeter"/>
    <w:link w:val="Textonotaalfinal"/>
    <w:uiPriority w:val="99"/>
    <w:semiHidden/>
    <w:rsid w:val="001679EF"/>
    <w:rPr>
      <w:rFonts w:ascii="Times New Roman" w:eastAsia="Times New Roman" w:hAnsi="Times New Roman" w:cs="Times New Roman"/>
      <w:sz w:val="20"/>
      <w:szCs w:val="20"/>
      <w:lang w:eastAsia="es-ES_tradnl"/>
    </w:rPr>
  </w:style>
  <w:style w:type="character" w:styleId="Refdenotaalfinal">
    <w:name w:val="endnote reference"/>
    <w:basedOn w:val="Fuentedeprrafopredeter"/>
    <w:uiPriority w:val="99"/>
    <w:semiHidden/>
    <w:unhideWhenUsed/>
    <w:rsid w:val="001679EF"/>
    <w:rPr>
      <w:vertAlign w:val="superscript"/>
    </w:rPr>
  </w:style>
  <w:style w:type="paragraph" w:customStyle="1" w:styleId="Car1">
    <w:name w:val="Car1"/>
    <w:basedOn w:val="Normal"/>
    <w:next w:val="Textonotapie"/>
    <w:uiPriority w:val="99"/>
    <w:unhideWhenUsed/>
    <w:qFormat/>
    <w:rsid w:val="00E85980"/>
    <w:rPr>
      <w:rFonts w:ascii="Calibri" w:eastAsia="Calibri" w:hAnsi="Calibri"/>
      <w:sz w:val="20"/>
      <w:szCs w:val="2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826938">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0173570">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5430727">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6786160">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5401761">
      <w:bodyDiv w:val="1"/>
      <w:marLeft w:val="0"/>
      <w:marRight w:val="0"/>
      <w:marTop w:val="0"/>
      <w:marBottom w:val="0"/>
      <w:divBdr>
        <w:top w:val="none" w:sz="0" w:space="0" w:color="auto"/>
        <w:left w:val="none" w:sz="0" w:space="0" w:color="auto"/>
        <w:bottom w:val="none" w:sz="0" w:space="0" w:color="auto"/>
        <w:right w:val="none" w:sz="0" w:space="0" w:color="auto"/>
      </w:divBdr>
      <w:divsChild>
        <w:div w:id="1415666582">
          <w:marLeft w:val="0"/>
          <w:marRight w:val="0"/>
          <w:marTop w:val="300"/>
          <w:marBottom w:val="300"/>
          <w:divBdr>
            <w:top w:val="none" w:sz="0" w:space="0" w:color="auto"/>
            <w:left w:val="none" w:sz="0" w:space="0" w:color="auto"/>
            <w:bottom w:val="none" w:sz="0" w:space="0" w:color="auto"/>
            <w:right w:val="none" w:sz="0" w:space="0" w:color="auto"/>
          </w:divBdr>
        </w:div>
      </w:divsChild>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0428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79591178">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354713">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709385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3345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8529940">
      <w:bodyDiv w:val="1"/>
      <w:marLeft w:val="0"/>
      <w:marRight w:val="0"/>
      <w:marTop w:val="0"/>
      <w:marBottom w:val="0"/>
      <w:divBdr>
        <w:top w:val="none" w:sz="0" w:space="0" w:color="auto"/>
        <w:left w:val="none" w:sz="0" w:space="0" w:color="auto"/>
        <w:bottom w:val="none" w:sz="0" w:space="0" w:color="auto"/>
        <w:right w:val="none" w:sz="0" w:space="0" w:color="auto"/>
      </w:divBdr>
      <w:divsChild>
        <w:div w:id="1174301487">
          <w:marLeft w:val="0"/>
          <w:marRight w:val="0"/>
          <w:marTop w:val="0"/>
          <w:marBottom w:val="0"/>
          <w:divBdr>
            <w:top w:val="none" w:sz="0" w:space="0" w:color="auto"/>
            <w:left w:val="none" w:sz="0" w:space="0" w:color="auto"/>
            <w:bottom w:val="none" w:sz="0" w:space="0" w:color="auto"/>
            <w:right w:val="none" w:sz="0" w:space="0" w:color="auto"/>
          </w:divBdr>
        </w:div>
        <w:div w:id="299191157">
          <w:marLeft w:val="0"/>
          <w:marRight w:val="0"/>
          <w:marTop w:val="0"/>
          <w:marBottom w:val="0"/>
          <w:divBdr>
            <w:top w:val="none" w:sz="0" w:space="0" w:color="auto"/>
            <w:left w:val="none" w:sz="0" w:space="0" w:color="auto"/>
            <w:bottom w:val="none" w:sz="0" w:space="0" w:color="auto"/>
            <w:right w:val="none" w:sz="0" w:space="0" w:color="auto"/>
          </w:divBdr>
        </w:div>
      </w:divsChild>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6343">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2529466">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0707619">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33721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0946820">
      <w:bodyDiv w:val="1"/>
      <w:marLeft w:val="0"/>
      <w:marRight w:val="0"/>
      <w:marTop w:val="0"/>
      <w:marBottom w:val="0"/>
      <w:divBdr>
        <w:top w:val="none" w:sz="0" w:space="0" w:color="auto"/>
        <w:left w:val="none" w:sz="0" w:space="0" w:color="auto"/>
        <w:bottom w:val="none" w:sz="0" w:space="0" w:color="auto"/>
        <w:right w:val="none" w:sz="0" w:space="0" w:color="auto"/>
      </w:divBdr>
      <w:divsChild>
        <w:div w:id="2077580180">
          <w:marLeft w:val="0"/>
          <w:marRight w:val="0"/>
          <w:marTop w:val="0"/>
          <w:marBottom w:val="0"/>
          <w:divBdr>
            <w:top w:val="none" w:sz="0" w:space="0" w:color="auto"/>
            <w:left w:val="none" w:sz="0" w:space="0" w:color="auto"/>
            <w:bottom w:val="none" w:sz="0" w:space="0" w:color="auto"/>
            <w:right w:val="none" w:sz="0" w:space="0" w:color="auto"/>
          </w:divBdr>
          <w:divsChild>
            <w:div w:id="1233781219">
              <w:marLeft w:val="0"/>
              <w:marRight w:val="0"/>
              <w:marTop w:val="0"/>
              <w:marBottom w:val="0"/>
              <w:divBdr>
                <w:top w:val="none" w:sz="0" w:space="0" w:color="auto"/>
                <w:left w:val="none" w:sz="0" w:space="0" w:color="auto"/>
                <w:bottom w:val="none" w:sz="0" w:space="0" w:color="auto"/>
                <w:right w:val="none" w:sz="0" w:space="0" w:color="auto"/>
              </w:divBdr>
              <w:divsChild>
                <w:div w:id="209370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7664395">
      <w:bodyDiv w:val="1"/>
      <w:marLeft w:val="0"/>
      <w:marRight w:val="0"/>
      <w:marTop w:val="0"/>
      <w:marBottom w:val="0"/>
      <w:divBdr>
        <w:top w:val="none" w:sz="0" w:space="0" w:color="auto"/>
        <w:left w:val="none" w:sz="0" w:space="0" w:color="auto"/>
        <w:bottom w:val="none" w:sz="0" w:space="0" w:color="auto"/>
        <w:right w:val="none" w:sz="0" w:space="0" w:color="auto"/>
      </w:divBdr>
      <w:divsChild>
        <w:div w:id="580068838">
          <w:marLeft w:val="0"/>
          <w:marRight w:val="0"/>
          <w:marTop w:val="0"/>
          <w:marBottom w:val="0"/>
          <w:divBdr>
            <w:top w:val="none" w:sz="0" w:space="0" w:color="auto"/>
            <w:left w:val="none" w:sz="0" w:space="0" w:color="auto"/>
            <w:bottom w:val="none" w:sz="0" w:space="0" w:color="auto"/>
            <w:right w:val="none" w:sz="0" w:space="0" w:color="auto"/>
          </w:divBdr>
        </w:div>
      </w:divsChild>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089011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1393228">
      <w:bodyDiv w:val="1"/>
      <w:marLeft w:val="0"/>
      <w:marRight w:val="0"/>
      <w:marTop w:val="0"/>
      <w:marBottom w:val="0"/>
      <w:divBdr>
        <w:top w:val="none" w:sz="0" w:space="0" w:color="auto"/>
        <w:left w:val="none" w:sz="0" w:space="0" w:color="auto"/>
        <w:bottom w:val="none" w:sz="0" w:space="0" w:color="auto"/>
        <w:right w:val="none" w:sz="0" w:space="0" w:color="auto"/>
      </w:divBdr>
      <w:divsChild>
        <w:div w:id="1693536321">
          <w:marLeft w:val="0"/>
          <w:marRight w:val="0"/>
          <w:marTop w:val="0"/>
          <w:marBottom w:val="0"/>
          <w:divBdr>
            <w:top w:val="none" w:sz="0" w:space="0" w:color="auto"/>
            <w:left w:val="none" w:sz="0" w:space="0" w:color="auto"/>
            <w:bottom w:val="none" w:sz="0" w:space="0" w:color="auto"/>
            <w:right w:val="none" w:sz="0" w:space="0" w:color="auto"/>
          </w:divBdr>
        </w:div>
      </w:divsChild>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colaboracion.dnp.gov.co/CDT/Conpes/Econ%C3%B3micos/395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4.xml><?xml version="1.0" encoding="utf-8"?>
<ds:datastoreItem xmlns:ds="http://schemas.openxmlformats.org/officeDocument/2006/customXml" ds:itemID="{CA709260-3D27-4AEB-AD3E-BA91CA585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48</TotalTime>
  <Pages>21</Pages>
  <Words>7739</Words>
  <Characters>42570</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35</cp:revision>
  <cp:lastPrinted>2020-01-30T15:05:00Z</cp:lastPrinted>
  <dcterms:created xsi:type="dcterms:W3CDTF">2021-10-27T21:08:00Z</dcterms:created>
  <dcterms:modified xsi:type="dcterms:W3CDTF">2021-12-06T21:48:00Z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