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F62F8" w14:textId="7FFAC4E9" w:rsidR="007F7C03" w:rsidRPr="003C7975" w:rsidRDefault="00A71CEA" w:rsidP="0063204C">
      <w:pPr>
        <w:jc w:val="right"/>
        <w:rPr>
          <w:rFonts w:ascii="Arial" w:hAnsi="Arial" w:cs="Arial"/>
          <w:b/>
          <w:color w:val="000000" w:themeColor="text1"/>
          <w:sz w:val="16"/>
          <w:szCs w:val="16"/>
          <w:lang w:eastAsia="es-ES"/>
        </w:rPr>
      </w:pPr>
      <w:r w:rsidRPr="003C7975">
        <w:rPr>
          <w:rFonts w:ascii="Arial" w:hAnsi="Arial" w:cs="Arial"/>
          <w:b/>
          <w:color w:val="000000" w:themeColor="text1"/>
          <w:sz w:val="16"/>
          <w:szCs w:val="16"/>
          <w:lang w:eastAsia="es-ES"/>
        </w:rPr>
        <w:t>CCE-DES-FM-17</w:t>
      </w:r>
    </w:p>
    <w:p w14:paraId="3E6509C7" w14:textId="77777777" w:rsidR="0031456F" w:rsidRPr="003C7975" w:rsidRDefault="0031456F" w:rsidP="00C33A69">
      <w:pPr>
        <w:spacing w:line="276" w:lineRule="auto"/>
        <w:rPr>
          <w:rFonts w:ascii="Arial" w:eastAsia="Calibri" w:hAnsi="Arial" w:cs="Arial"/>
          <w:b/>
          <w:color w:val="000000" w:themeColor="text1"/>
          <w:sz w:val="22"/>
        </w:rPr>
      </w:pPr>
    </w:p>
    <w:p w14:paraId="26AADFC7" w14:textId="77777777" w:rsidR="00EE7035" w:rsidRPr="003C7975" w:rsidRDefault="00EE7035" w:rsidP="00EE7035">
      <w:pPr>
        <w:jc w:val="both"/>
        <w:rPr>
          <w:rFonts w:ascii="Arial" w:eastAsia="Calibri" w:hAnsi="Arial" w:cs="Arial"/>
          <w:b/>
          <w:sz w:val="22"/>
          <w:lang w:val="es-ES_tradnl"/>
        </w:rPr>
      </w:pPr>
      <w:r w:rsidRPr="003C7975">
        <w:rPr>
          <w:rFonts w:ascii="Arial" w:eastAsia="Calibri" w:hAnsi="Arial" w:cs="Arial"/>
          <w:b/>
          <w:sz w:val="22"/>
          <w:lang w:val="es-ES_tradnl"/>
        </w:rPr>
        <w:t xml:space="preserve">LEY DE EMPRENDIMIENTO </w:t>
      </w:r>
      <w:r w:rsidRPr="003C7975">
        <w:rPr>
          <w:rFonts w:ascii="Arial" w:eastAsia="Calibri" w:hAnsi="Arial" w:cs="Arial"/>
          <w:b/>
          <w:color w:val="000000" w:themeColor="text1"/>
          <w:sz w:val="22"/>
          <w:lang w:val="es-ES_tradnl"/>
        </w:rPr>
        <w:t>–</w:t>
      </w:r>
      <w:r w:rsidRPr="003C7975">
        <w:rPr>
          <w:rFonts w:ascii="Arial" w:eastAsia="Calibri" w:hAnsi="Arial" w:cs="Arial"/>
          <w:b/>
          <w:sz w:val="22"/>
          <w:lang w:val="es-ES_tradnl"/>
        </w:rPr>
        <w:t xml:space="preserve"> Ley 2069 de 2020 </w:t>
      </w:r>
      <w:r w:rsidRPr="003C7975">
        <w:rPr>
          <w:rFonts w:ascii="Arial" w:eastAsia="Calibri" w:hAnsi="Arial" w:cs="Arial"/>
          <w:b/>
          <w:color w:val="000000" w:themeColor="text1"/>
          <w:sz w:val="22"/>
          <w:lang w:val="es-ES_tradnl"/>
        </w:rPr>
        <w:t xml:space="preserve">– Vigencia </w:t>
      </w:r>
    </w:p>
    <w:p w14:paraId="0457A8EB" w14:textId="77777777" w:rsidR="00EE7035" w:rsidRPr="003C7975" w:rsidRDefault="00EE7035" w:rsidP="00EE7035">
      <w:pPr>
        <w:jc w:val="both"/>
        <w:rPr>
          <w:rFonts w:ascii="Arial" w:eastAsia="Calibri" w:hAnsi="Arial" w:cs="Arial"/>
          <w:b/>
          <w:sz w:val="22"/>
          <w:lang w:val="es-ES_tradnl"/>
        </w:rPr>
      </w:pPr>
    </w:p>
    <w:p w14:paraId="13A19E06" w14:textId="50B6996C" w:rsidR="00025D02" w:rsidRPr="003C7975" w:rsidRDefault="00025D02" w:rsidP="00025D02">
      <w:pPr>
        <w:jc w:val="both"/>
        <w:rPr>
          <w:rFonts w:ascii="Arial" w:eastAsia="Calibri" w:hAnsi="Arial" w:cs="Arial"/>
          <w:sz w:val="20"/>
          <w:szCs w:val="20"/>
          <w:lang w:val="es-ES_tradnl"/>
        </w:rPr>
      </w:pPr>
      <w:r w:rsidRPr="003C7975">
        <w:rPr>
          <w:rFonts w:ascii="Arial" w:eastAsia="Calibri" w:hAnsi="Arial" w:cs="Arial"/>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4BFE366F" w14:textId="14C8D86C" w:rsidR="00EE7035" w:rsidRPr="003C7975" w:rsidRDefault="00025D02" w:rsidP="00025D02">
      <w:pPr>
        <w:jc w:val="both"/>
        <w:rPr>
          <w:rFonts w:ascii="Arial" w:eastAsia="Calibri" w:hAnsi="Arial" w:cs="Arial"/>
          <w:sz w:val="20"/>
          <w:szCs w:val="20"/>
          <w:lang w:val="es-ES_tradnl"/>
        </w:rPr>
      </w:pPr>
      <w:r w:rsidRPr="003C7975">
        <w:rPr>
          <w:rFonts w:ascii="Arial" w:eastAsia="Calibri" w:hAnsi="Arial" w:cs="Arial"/>
          <w:sz w:val="20"/>
          <w:szCs w:val="20"/>
          <w:lang w:val="es-ES_tradnl"/>
        </w:rPr>
        <w:t xml:space="preserve">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3C7975">
        <w:rPr>
          <w:rFonts w:ascii="Arial" w:eastAsia="Calibri" w:hAnsi="Arial" w:cs="Arial"/>
          <w:sz w:val="20"/>
          <w:szCs w:val="20"/>
          <w:lang w:val="es-ES_tradnl"/>
        </w:rPr>
        <w:t>de acuerdo a</w:t>
      </w:r>
      <w:proofErr w:type="gramEnd"/>
      <w:r w:rsidRPr="003C7975">
        <w:rPr>
          <w:rFonts w:ascii="Arial" w:eastAsia="Calibri" w:hAnsi="Arial" w:cs="Arial"/>
          <w:sz w:val="20"/>
          <w:szCs w:val="20"/>
          <w:lang w:val="es-ES_tradnl"/>
        </w:rPr>
        <w:t xml:space="preserve"> las realidades socioeconómicas de cada región». En desarrollo de esta finalidad, se establecen medidas de apoyo para las micro, pequeñas y medianas empresas –</w:t>
      </w:r>
      <w:proofErr w:type="spellStart"/>
      <w:r w:rsidRPr="003C7975">
        <w:rPr>
          <w:rFonts w:ascii="Arial" w:eastAsia="Calibri" w:hAnsi="Arial" w:cs="Arial"/>
          <w:sz w:val="20"/>
          <w:szCs w:val="20"/>
          <w:lang w:val="es-ES_tradnl"/>
        </w:rPr>
        <w:t>mipymes</w:t>
      </w:r>
      <w:proofErr w:type="spellEnd"/>
      <w:r w:rsidRPr="003C7975">
        <w:rPr>
          <w:rFonts w:ascii="Arial" w:eastAsia="Calibri" w:hAnsi="Arial" w:cs="Arial"/>
          <w:sz w:val="20"/>
          <w:szCs w:val="20"/>
          <w:lang w:val="es-ES_tradnl"/>
        </w:rPr>
        <w:t>–, mediante la racionalización y simplificación de los trámites y tarifas, así como incentivos a favor de aquellas dentro del sistema de compras y contratación pública. De igual forma,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40427A29" w14:textId="77777777" w:rsidR="00025D02" w:rsidRPr="003C7975" w:rsidRDefault="00025D02" w:rsidP="00025D02">
      <w:pPr>
        <w:jc w:val="both"/>
        <w:rPr>
          <w:rFonts w:ascii="Arial" w:eastAsia="Calibri" w:hAnsi="Arial" w:cs="Arial"/>
          <w:b/>
          <w:sz w:val="22"/>
          <w:lang w:val="es-ES_tradnl"/>
        </w:rPr>
      </w:pPr>
    </w:p>
    <w:p w14:paraId="727B23D4" w14:textId="77777777" w:rsidR="00EE7035" w:rsidRPr="003C7975" w:rsidRDefault="00EE7035" w:rsidP="00EE7035">
      <w:pPr>
        <w:jc w:val="both"/>
        <w:rPr>
          <w:rFonts w:ascii="Arial" w:eastAsia="Calibri" w:hAnsi="Arial" w:cs="Arial"/>
          <w:b/>
          <w:sz w:val="22"/>
          <w:lang w:val="es-ES_tradnl"/>
        </w:rPr>
      </w:pPr>
      <w:r w:rsidRPr="003C7975">
        <w:rPr>
          <w:rFonts w:ascii="Arial" w:eastAsia="Calibri" w:hAnsi="Arial" w:cs="Arial"/>
          <w:b/>
          <w:sz w:val="22"/>
          <w:lang w:val="es-ES_tradnl"/>
        </w:rPr>
        <w:t xml:space="preserve">FACTORES DE DESEMPATE </w:t>
      </w:r>
      <w:r w:rsidRPr="003C7975">
        <w:rPr>
          <w:rFonts w:ascii="Arial" w:eastAsia="Calibri" w:hAnsi="Arial" w:cs="Arial"/>
          <w:b/>
          <w:color w:val="000000" w:themeColor="text1"/>
          <w:sz w:val="22"/>
          <w:lang w:val="es-ES_tradnl"/>
        </w:rPr>
        <w:t>–</w:t>
      </w:r>
      <w:r w:rsidRPr="003C7975">
        <w:rPr>
          <w:rFonts w:ascii="Arial" w:eastAsia="Calibri" w:hAnsi="Arial" w:cs="Arial"/>
          <w:b/>
          <w:sz w:val="22"/>
          <w:lang w:val="es-ES_tradnl"/>
        </w:rPr>
        <w:t xml:space="preserve"> Ley 2069 </w:t>
      </w:r>
      <w:r w:rsidRPr="003C7975">
        <w:rPr>
          <w:rFonts w:ascii="Arial" w:eastAsia="Calibri" w:hAnsi="Arial" w:cs="Arial"/>
          <w:b/>
          <w:color w:val="000000" w:themeColor="text1"/>
          <w:sz w:val="22"/>
          <w:lang w:val="es-ES_tradnl"/>
        </w:rPr>
        <w:t>– Artículo 35 – Acreditación</w:t>
      </w:r>
    </w:p>
    <w:p w14:paraId="791A5E3E" w14:textId="77777777" w:rsidR="00EE7035" w:rsidRPr="003C7975" w:rsidRDefault="00EE7035" w:rsidP="00EE7035">
      <w:pPr>
        <w:spacing w:line="276" w:lineRule="auto"/>
        <w:jc w:val="both"/>
        <w:rPr>
          <w:rFonts w:ascii="Arial" w:hAnsi="Arial" w:cs="Arial"/>
          <w:noProof/>
          <w:color w:val="000000" w:themeColor="text1"/>
          <w:sz w:val="22"/>
          <w:lang w:val="es-ES_tradnl"/>
        </w:rPr>
      </w:pPr>
    </w:p>
    <w:p w14:paraId="2951C0C0" w14:textId="77777777" w:rsidR="00EE7035" w:rsidRPr="003C7975" w:rsidRDefault="00EE7035" w:rsidP="002367F2">
      <w:pPr>
        <w:jc w:val="both"/>
        <w:rPr>
          <w:rFonts w:ascii="Arial" w:eastAsia="Calibri" w:hAnsi="Arial" w:cs="Arial"/>
          <w:color w:val="000000" w:themeColor="text1"/>
          <w:sz w:val="20"/>
          <w:szCs w:val="20"/>
          <w:lang w:val="es-ES_tradnl"/>
        </w:rPr>
      </w:pPr>
      <w:r w:rsidRPr="003C7975">
        <w:rPr>
          <w:rFonts w:ascii="Arial" w:eastAsia="Calibri" w:hAnsi="Arial" w:cs="Arial"/>
          <w:color w:val="000000" w:themeColor="text1"/>
          <w:sz w:val="20"/>
          <w:szCs w:val="20"/>
          <w:lang w:val="es-ES_tradnl"/>
        </w:rPr>
        <w:t xml:space="preserve">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algunos numerales de dicho artículo, la Subdirección de Gestión Contractual se pronunciará sobre el alcance que otorga a tales disposiciones. Esto sin pasar por alto la novedad de la Ley 2069 de 2020 –dada su reciente </w:t>
      </w:r>
      <w:proofErr w:type="gramStart"/>
      <w:r w:rsidRPr="003C7975">
        <w:rPr>
          <w:rFonts w:ascii="Arial" w:eastAsia="Calibri" w:hAnsi="Arial" w:cs="Arial"/>
          <w:color w:val="000000" w:themeColor="text1"/>
          <w:sz w:val="20"/>
          <w:szCs w:val="20"/>
          <w:lang w:val="es-ES_tradnl"/>
        </w:rPr>
        <w:t>entrada en vigencia</w:t>
      </w:r>
      <w:proofErr w:type="gramEnd"/>
      <w:r w:rsidRPr="003C7975">
        <w:rPr>
          <w:rFonts w:ascii="Arial" w:eastAsia="Calibri" w:hAnsi="Arial" w:cs="Arial"/>
          <w:color w:val="000000" w:themeColor="text1"/>
          <w:sz w:val="20"/>
          <w:szCs w:val="20"/>
          <w:lang w:val="es-ES_tradnl"/>
        </w:rPr>
        <w:t>– y la ausencia de pronunciamientos jurisprudenciales o estudios doctrinarios sobre el tema, que seguramente contribuirán a decantar la interpretación de las normas en comento.</w:t>
      </w:r>
    </w:p>
    <w:p w14:paraId="405C571F" w14:textId="77777777" w:rsidR="00EE7035" w:rsidRPr="003C7975" w:rsidRDefault="00EE7035" w:rsidP="002367F2">
      <w:pPr>
        <w:jc w:val="both"/>
        <w:rPr>
          <w:rFonts w:ascii="Arial" w:eastAsia="Calibri" w:hAnsi="Arial" w:cs="Arial"/>
          <w:color w:val="000000" w:themeColor="text1"/>
          <w:sz w:val="20"/>
          <w:szCs w:val="20"/>
          <w:lang w:val="es-ES_tradnl"/>
        </w:rPr>
      </w:pPr>
      <w:r w:rsidRPr="003C7975">
        <w:rPr>
          <w:rFonts w:ascii="Arial" w:eastAsia="Calibri" w:hAnsi="Arial" w:cs="Arial"/>
          <w:color w:val="000000" w:themeColor="text1"/>
          <w:sz w:val="20"/>
          <w:szCs w:val="20"/>
          <w:lang w:val="es-ES_tradnl"/>
        </w:rPr>
        <w:t xml:space="preserve">Al respecto, </w:t>
      </w:r>
      <w:r w:rsidRPr="003C7975">
        <w:rPr>
          <w:rFonts w:ascii="Arial" w:eastAsia="Calibri" w:hAnsi="Arial" w:cs="Arial"/>
          <w:sz w:val="20"/>
          <w:szCs w:val="20"/>
          <w:lang w:val="es-ES_tradnl"/>
        </w:rPr>
        <w:t>pese a que el parágrafo 3 dispone que el Gobierno Nacional podrá regular los supuestos en que concurran dos o más factores de desempate,</w:t>
      </w:r>
      <w:r w:rsidRPr="003C7975">
        <w:rPr>
          <w:rFonts w:ascii="Arial" w:eastAsia="Calibri" w:hAnsi="Arial" w:cs="Arial"/>
          <w:color w:val="000000" w:themeColor="text1"/>
          <w:sz w:val="20"/>
          <w:szCs w:val="20"/>
          <w:lang w:val="es-ES_tradnl"/>
        </w:rPr>
        <w:t xml:space="preserve"> se considera que el artículo 35 de la Ley 2069 de 2020 goza de aplicación directa desde la fecha de su promulgación, es decir, no requiere de una reglamentación previa como presupuesto para su eficacia. Esta precisión reviste importancia, porque algunas normas de la Ley de Emprendimiento establecen un mandato de reglamentación, dirigido al gobierno nacional, como condición para aplicar lo dispuesto en la misma. </w:t>
      </w:r>
    </w:p>
    <w:p w14:paraId="3FBC9F04" w14:textId="77777777" w:rsidR="0031456F" w:rsidRPr="003C7975" w:rsidRDefault="0031456F" w:rsidP="0031456F">
      <w:pPr>
        <w:tabs>
          <w:tab w:val="left" w:pos="0"/>
        </w:tabs>
        <w:spacing w:line="276" w:lineRule="auto"/>
        <w:jc w:val="both"/>
        <w:rPr>
          <w:rFonts w:ascii="Arial" w:eastAsia="Calibri" w:hAnsi="Arial" w:cs="Arial"/>
          <w:b/>
          <w:color w:val="000000" w:themeColor="text1"/>
          <w:sz w:val="22"/>
          <w:lang w:val="es-ES_tradnl"/>
        </w:rPr>
      </w:pPr>
    </w:p>
    <w:p w14:paraId="2858E4C9" w14:textId="77777777" w:rsidR="0031456F" w:rsidRPr="003C7975" w:rsidRDefault="0031456F" w:rsidP="00C33A69">
      <w:pPr>
        <w:spacing w:line="276" w:lineRule="auto"/>
        <w:rPr>
          <w:rFonts w:ascii="Arial" w:eastAsia="Calibri" w:hAnsi="Arial" w:cs="Arial"/>
          <w:b/>
          <w:color w:val="000000" w:themeColor="text1"/>
          <w:sz w:val="22"/>
        </w:rPr>
      </w:pPr>
    </w:p>
    <w:p w14:paraId="51AEC007" w14:textId="3809A7A8" w:rsidR="0098230F" w:rsidRPr="003C7975" w:rsidRDefault="0098230F" w:rsidP="00C33A69">
      <w:pPr>
        <w:spacing w:line="276" w:lineRule="auto"/>
        <w:rPr>
          <w:rFonts w:ascii="Arial" w:eastAsia="Calibri" w:hAnsi="Arial" w:cs="Arial"/>
          <w:b/>
          <w:color w:val="000000" w:themeColor="text1"/>
          <w:sz w:val="22"/>
        </w:rPr>
      </w:pPr>
    </w:p>
    <w:p w14:paraId="6571AD13" w14:textId="550991F6" w:rsidR="0098230F" w:rsidRPr="003C7975" w:rsidRDefault="0098230F" w:rsidP="00C33A69">
      <w:pPr>
        <w:spacing w:line="276" w:lineRule="auto"/>
        <w:rPr>
          <w:rFonts w:ascii="Arial" w:eastAsia="Calibri" w:hAnsi="Arial" w:cs="Arial"/>
          <w:b/>
          <w:color w:val="000000" w:themeColor="text1"/>
          <w:sz w:val="22"/>
        </w:rPr>
      </w:pPr>
    </w:p>
    <w:p w14:paraId="6B315EF5" w14:textId="6014DFFA" w:rsidR="0098230F" w:rsidRPr="003C7975" w:rsidRDefault="0098230F" w:rsidP="00C33A69">
      <w:pPr>
        <w:spacing w:line="276" w:lineRule="auto"/>
        <w:rPr>
          <w:rFonts w:ascii="Arial" w:eastAsia="Calibri" w:hAnsi="Arial" w:cs="Arial"/>
          <w:b/>
          <w:color w:val="000000" w:themeColor="text1"/>
          <w:sz w:val="22"/>
        </w:rPr>
      </w:pPr>
    </w:p>
    <w:p w14:paraId="1BE16725" w14:textId="313EAA71" w:rsidR="0098230F" w:rsidRPr="003C7975" w:rsidRDefault="0098230F" w:rsidP="00C33A69">
      <w:pPr>
        <w:spacing w:line="276" w:lineRule="auto"/>
        <w:rPr>
          <w:rFonts w:ascii="Arial" w:eastAsia="Calibri" w:hAnsi="Arial" w:cs="Arial"/>
          <w:b/>
          <w:color w:val="000000" w:themeColor="text1"/>
          <w:sz w:val="22"/>
        </w:rPr>
      </w:pPr>
    </w:p>
    <w:p w14:paraId="4C1D8D23" w14:textId="24BC5A9F" w:rsidR="0098230F" w:rsidRPr="003C7975" w:rsidRDefault="0098230F" w:rsidP="00C33A69">
      <w:pPr>
        <w:spacing w:line="276" w:lineRule="auto"/>
        <w:rPr>
          <w:rFonts w:ascii="Arial" w:eastAsia="Calibri" w:hAnsi="Arial" w:cs="Arial"/>
          <w:b/>
          <w:color w:val="000000" w:themeColor="text1"/>
          <w:sz w:val="22"/>
        </w:rPr>
      </w:pPr>
    </w:p>
    <w:p w14:paraId="00560FE2" w14:textId="77777777" w:rsidR="003C7975" w:rsidRPr="003C7975" w:rsidRDefault="003C7975" w:rsidP="00C33A69">
      <w:pPr>
        <w:spacing w:line="276" w:lineRule="auto"/>
        <w:jc w:val="right"/>
        <w:rPr>
          <w:rFonts w:ascii="Arial" w:hAnsi="Arial" w:cs="Arial"/>
          <w:b/>
          <w:bCs/>
          <w:sz w:val="22"/>
        </w:rPr>
      </w:pPr>
    </w:p>
    <w:p w14:paraId="4B4969B8" w14:textId="651C8F3B" w:rsidR="00244F30" w:rsidRPr="00244F30" w:rsidRDefault="00244F30" w:rsidP="000135A5">
      <w:pPr>
        <w:jc w:val="right"/>
      </w:pPr>
      <w:r w:rsidRPr="00244F30">
        <w:lastRenderedPageBreak/>
        <w:fldChar w:fldCharType="begin"/>
      </w:r>
      <w:r w:rsidR="007D3F2E">
        <w:instrText xml:space="preserve"> INCLUDEPICTURE "https://cceficiente.sharepoint.com/var/folders/tb/0fmk9b510f57pz5rwhv8lnpw0000gp/T/com.microsoft.Word/WebArchiveCopyPasteTempFiles/page1image634898944" \* MERGEFORMAT </w:instrText>
      </w:r>
      <w:r w:rsidRPr="00244F30">
        <w:fldChar w:fldCharType="separate"/>
      </w:r>
      <w:r w:rsidRPr="00244F30">
        <w:rPr>
          <w:noProof/>
        </w:rPr>
        <w:drawing>
          <wp:inline distT="0" distB="0" distL="0" distR="0" wp14:anchorId="02B094CF" wp14:editId="2C8E2458">
            <wp:extent cx="2401570" cy="612775"/>
            <wp:effectExtent l="0" t="0" r="0" b="0"/>
            <wp:docPr id="5" name="Imagen 5" descr="page1image634898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63489894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1570" cy="612775"/>
                    </a:xfrm>
                    <a:prstGeom prst="rect">
                      <a:avLst/>
                    </a:prstGeom>
                    <a:noFill/>
                    <a:ln>
                      <a:noFill/>
                    </a:ln>
                  </pic:spPr>
                </pic:pic>
              </a:graphicData>
            </a:graphic>
          </wp:inline>
        </w:drawing>
      </w:r>
      <w:r w:rsidRPr="00244F30">
        <w:fldChar w:fldCharType="end"/>
      </w:r>
    </w:p>
    <w:p w14:paraId="28DBDC28" w14:textId="77777777" w:rsidR="0061648F" w:rsidRPr="003C7975" w:rsidRDefault="0061648F" w:rsidP="00C33A69">
      <w:pPr>
        <w:spacing w:line="276" w:lineRule="auto"/>
        <w:jc w:val="right"/>
        <w:rPr>
          <w:rFonts w:ascii="Arial" w:hAnsi="Arial" w:cs="Arial"/>
          <w:b/>
          <w:bCs/>
          <w:sz w:val="22"/>
        </w:rPr>
      </w:pPr>
    </w:p>
    <w:p w14:paraId="4F9DF387" w14:textId="21EFE5AB" w:rsidR="003C1F96" w:rsidRDefault="00C33A69" w:rsidP="00244F30">
      <w:pPr>
        <w:rPr>
          <w:rFonts w:ascii="Arial" w:eastAsia="Calibri" w:hAnsi="Arial" w:cs="Arial"/>
          <w:color w:val="000000" w:themeColor="text1"/>
          <w:sz w:val="22"/>
        </w:rPr>
      </w:pPr>
      <w:r w:rsidRPr="003C7975">
        <w:rPr>
          <w:rFonts w:ascii="Arial" w:eastAsia="Calibri" w:hAnsi="Arial" w:cs="Arial"/>
          <w:color w:val="000000" w:themeColor="text1"/>
          <w:sz w:val="22"/>
        </w:rPr>
        <w:t>Señor</w:t>
      </w:r>
    </w:p>
    <w:p w14:paraId="0C3CB95F" w14:textId="2DC95149" w:rsidR="00244F30" w:rsidRPr="003C7975" w:rsidRDefault="00E8055C" w:rsidP="00244F30">
      <w:pPr>
        <w:rPr>
          <w:rFonts w:ascii="Arial" w:eastAsia="Calibri" w:hAnsi="Arial" w:cs="Arial"/>
          <w:b/>
          <w:bCs/>
          <w:color w:val="000000" w:themeColor="text1"/>
          <w:sz w:val="22"/>
        </w:rPr>
      </w:pPr>
      <w:r>
        <w:rPr>
          <w:rFonts w:ascii="Arial" w:eastAsia="Calibri" w:hAnsi="Arial" w:cs="Arial"/>
          <w:color w:val="000000" w:themeColor="text1"/>
          <w:sz w:val="22"/>
        </w:rPr>
        <w:t xml:space="preserve">Gustavo Adolfo Patarroyo Cubides </w:t>
      </w:r>
    </w:p>
    <w:p w14:paraId="3BB8E2E5" w14:textId="6BAD4746" w:rsidR="00C33A69" w:rsidRPr="003C7975" w:rsidRDefault="00335574" w:rsidP="00C33A69">
      <w:pPr>
        <w:rPr>
          <w:rFonts w:ascii="Arial" w:eastAsia="Calibri" w:hAnsi="Arial" w:cs="Arial"/>
          <w:color w:val="000000" w:themeColor="text1"/>
          <w:sz w:val="22"/>
        </w:rPr>
      </w:pPr>
      <w:r w:rsidRPr="003C7975">
        <w:rPr>
          <w:rFonts w:ascii="Arial" w:eastAsia="Calibri" w:hAnsi="Arial" w:cs="Arial"/>
          <w:color w:val="000000" w:themeColor="text1"/>
          <w:sz w:val="22"/>
        </w:rPr>
        <w:t xml:space="preserve">Ibagué, Tolima </w:t>
      </w:r>
    </w:p>
    <w:p w14:paraId="3EE54747" w14:textId="77777777" w:rsidR="00C33A69" w:rsidRPr="003C7975" w:rsidRDefault="00C33A69" w:rsidP="00C33A69">
      <w:pPr>
        <w:rPr>
          <w:rFonts w:ascii="Arial" w:eastAsia="Calibri" w:hAnsi="Arial" w:cs="Arial"/>
          <w:color w:val="000000" w:themeColor="text1"/>
          <w:sz w:val="22"/>
        </w:rPr>
      </w:pPr>
    </w:p>
    <w:p w14:paraId="5A1EF225" w14:textId="77777777" w:rsidR="00667FCB" w:rsidRPr="003C7975" w:rsidRDefault="00667FCB" w:rsidP="00667FCB">
      <w:pPr>
        <w:rPr>
          <w:rFonts w:ascii="Arial" w:eastAsia="Calibri" w:hAnsi="Arial" w:cs="Arial"/>
          <w:b/>
          <w:color w:val="000000" w:themeColor="text1"/>
          <w:sz w:val="22"/>
        </w:rPr>
      </w:pPr>
    </w:p>
    <w:p w14:paraId="110710E1" w14:textId="3C28AC44" w:rsidR="00C33A69" w:rsidRPr="003C7975" w:rsidRDefault="0034413B" w:rsidP="006C0EA1">
      <w:pPr>
        <w:rPr>
          <w:rFonts w:ascii="Arial" w:eastAsia="Calibri" w:hAnsi="Arial" w:cs="Arial"/>
          <w:b/>
          <w:color w:val="000000" w:themeColor="text1"/>
          <w:sz w:val="22"/>
        </w:rPr>
      </w:pPr>
      <w:r w:rsidRPr="003C7975">
        <w:rPr>
          <w:rFonts w:ascii="Arial" w:eastAsia="Calibri" w:hAnsi="Arial" w:cs="Arial"/>
          <w:b/>
          <w:color w:val="000000" w:themeColor="text1"/>
          <w:sz w:val="22"/>
        </w:rPr>
        <w:t xml:space="preserve">                                            </w:t>
      </w:r>
      <w:r w:rsidR="00C33A69" w:rsidRPr="003C7975">
        <w:rPr>
          <w:rFonts w:ascii="Arial" w:eastAsia="Calibri" w:hAnsi="Arial" w:cs="Arial"/>
          <w:b/>
          <w:color w:val="000000" w:themeColor="text1"/>
          <w:sz w:val="22"/>
        </w:rPr>
        <w:t>Concepto C</w:t>
      </w:r>
      <w:r w:rsidR="00A5202C" w:rsidRPr="003C7975">
        <w:rPr>
          <w:rFonts w:ascii="Arial" w:eastAsia="Calibri" w:hAnsi="Arial" w:cs="Arial"/>
          <w:b/>
          <w:color w:val="000000" w:themeColor="text1"/>
          <w:sz w:val="22"/>
        </w:rPr>
        <w:t xml:space="preserve"> – </w:t>
      </w:r>
      <w:r w:rsidR="00335574" w:rsidRPr="003C7975">
        <w:rPr>
          <w:rFonts w:ascii="Arial" w:eastAsia="Calibri" w:hAnsi="Arial" w:cs="Arial"/>
          <w:b/>
          <w:color w:val="000000" w:themeColor="text1"/>
          <w:sz w:val="22"/>
        </w:rPr>
        <w:t xml:space="preserve">403 </w:t>
      </w:r>
      <w:r w:rsidR="00C33A69" w:rsidRPr="003C7975">
        <w:rPr>
          <w:rFonts w:ascii="Arial" w:eastAsia="Calibri" w:hAnsi="Arial" w:cs="Arial"/>
          <w:b/>
          <w:color w:val="000000" w:themeColor="text1"/>
          <w:sz w:val="22"/>
        </w:rPr>
        <w:t xml:space="preserve">de 2021 </w:t>
      </w:r>
    </w:p>
    <w:p w14:paraId="571F3AEA" w14:textId="77777777" w:rsidR="00C33A69" w:rsidRPr="003C7975" w:rsidRDefault="00C33A69" w:rsidP="00C33A69">
      <w:pPr>
        <w:jc w:val="center"/>
        <w:rPr>
          <w:rFonts w:ascii="Arial" w:eastAsia="Calibri" w:hAnsi="Arial" w:cs="Arial"/>
          <w:b/>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33A69" w:rsidRPr="003C7975" w14:paraId="098B1F4D" w14:textId="77777777" w:rsidTr="00184F96">
        <w:trPr>
          <w:trHeight w:val="678"/>
        </w:trPr>
        <w:tc>
          <w:tcPr>
            <w:tcW w:w="2689" w:type="dxa"/>
          </w:tcPr>
          <w:p w14:paraId="5400FE7E" w14:textId="77777777" w:rsidR="00C33A69" w:rsidRPr="003C7975" w:rsidRDefault="00C33A69" w:rsidP="007C6F1C">
            <w:pPr>
              <w:rPr>
                <w:rFonts w:ascii="Arial" w:eastAsia="Calibri" w:hAnsi="Arial" w:cs="Arial"/>
                <w:color w:val="000000" w:themeColor="text1"/>
              </w:rPr>
            </w:pPr>
            <w:r w:rsidRPr="003C7975">
              <w:rPr>
                <w:rFonts w:ascii="Arial" w:eastAsia="Calibri" w:hAnsi="Arial" w:cs="Arial"/>
                <w:b/>
                <w:color w:val="000000" w:themeColor="text1"/>
              </w:rPr>
              <w:t>Temas:</w:t>
            </w:r>
            <w:r w:rsidRPr="003C7975">
              <w:rPr>
                <w:rFonts w:ascii="Arial" w:eastAsia="Calibri" w:hAnsi="Arial" w:cs="Arial"/>
                <w:color w:val="000000" w:themeColor="text1"/>
              </w:rPr>
              <w:t xml:space="preserve">                                      </w:t>
            </w:r>
          </w:p>
        </w:tc>
        <w:tc>
          <w:tcPr>
            <w:tcW w:w="6237" w:type="dxa"/>
          </w:tcPr>
          <w:p w14:paraId="4C4FB73C" w14:textId="3E10D182" w:rsidR="00EE7035" w:rsidRPr="003C7975" w:rsidRDefault="00EE7035" w:rsidP="00EE7035">
            <w:pPr>
              <w:jc w:val="both"/>
              <w:rPr>
                <w:rFonts w:ascii="Arial" w:eastAsia="Calibri" w:hAnsi="Arial" w:cs="Arial"/>
                <w:bCs/>
                <w:lang w:val="es-ES_tradnl"/>
              </w:rPr>
            </w:pPr>
            <w:r w:rsidRPr="003C7975">
              <w:rPr>
                <w:rFonts w:ascii="Arial" w:eastAsia="Calibri" w:hAnsi="Arial" w:cs="Arial"/>
                <w:bCs/>
                <w:lang w:val="es-ES_tradnl"/>
              </w:rPr>
              <w:t xml:space="preserve">LEY DE EMPRENDIMIENTO </w:t>
            </w:r>
            <w:r w:rsidRPr="003C7975">
              <w:rPr>
                <w:rFonts w:ascii="Arial" w:eastAsia="Calibri" w:hAnsi="Arial" w:cs="Arial"/>
                <w:bCs/>
                <w:color w:val="000000" w:themeColor="text1"/>
                <w:lang w:val="es-ES_tradnl"/>
              </w:rPr>
              <w:t>–</w:t>
            </w:r>
            <w:r w:rsidRPr="003C7975">
              <w:rPr>
                <w:rFonts w:ascii="Arial" w:eastAsia="Calibri" w:hAnsi="Arial" w:cs="Arial"/>
                <w:bCs/>
                <w:lang w:val="es-ES_tradnl"/>
              </w:rPr>
              <w:t xml:space="preserve"> Ley 2069 de 2020 </w:t>
            </w:r>
            <w:r w:rsidRPr="003C7975">
              <w:rPr>
                <w:rFonts w:ascii="Arial" w:eastAsia="Calibri" w:hAnsi="Arial" w:cs="Arial"/>
                <w:bCs/>
                <w:color w:val="000000" w:themeColor="text1"/>
                <w:lang w:val="es-ES_tradnl"/>
              </w:rPr>
              <w:t xml:space="preserve">– Vigencia /  </w:t>
            </w:r>
          </w:p>
          <w:p w14:paraId="4E0BD887" w14:textId="77777777" w:rsidR="0093085B" w:rsidRDefault="00EE7035" w:rsidP="00184F96">
            <w:pPr>
              <w:jc w:val="both"/>
              <w:rPr>
                <w:rFonts w:ascii="Arial" w:eastAsia="Calibri" w:hAnsi="Arial" w:cs="Arial"/>
                <w:bCs/>
                <w:color w:val="000000" w:themeColor="text1"/>
                <w:lang w:val="es-ES_tradnl"/>
              </w:rPr>
            </w:pPr>
            <w:r w:rsidRPr="003C7975">
              <w:rPr>
                <w:rFonts w:ascii="Arial" w:eastAsia="Calibri" w:hAnsi="Arial" w:cs="Arial"/>
                <w:bCs/>
                <w:lang w:val="es-ES_tradnl"/>
              </w:rPr>
              <w:t xml:space="preserve">FACTORES DE DESEMPATE </w:t>
            </w:r>
            <w:r w:rsidRPr="003C7975">
              <w:rPr>
                <w:rFonts w:ascii="Arial" w:eastAsia="Calibri" w:hAnsi="Arial" w:cs="Arial"/>
                <w:bCs/>
                <w:color w:val="000000" w:themeColor="text1"/>
                <w:lang w:val="es-ES_tradnl"/>
              </w:rPr>
              <w:t>–</w:t>
            </w:r>
            <w:r w:rsidRPr="003C7975">
              <w:rPr>
                <w:rFonts w:ascii="Arial" w:eastAsia="Calibri" w:hAnsi="Arial" w:cs="Arial"/>
                <w:bCs/>
                <w:lang w:val="es-ES_tradnl"/>
              </w:rPr>
              <w:t xml:space="preserve"> Ley 2069 </w:t>
            </w:r>
            <w:r w:rsidRPr="003C7975">
              <w:rPr>
                <w:rFonts w:ascii="Arial" w:eastAsia="Calibri" w:hAnsi="Arial" w:cs="Arial"/>
                <w:bCs/>
                <w:color w:val="000000" w:themeColor="text1"/>
                <w:lang w:val="es-ES_tradnl"/>
              </w:rPr>
              <w:t>– Artículo 35 – Acreditación</w:t>
            </w:r>
          </w:p>
          <w:p w14:paraId="61836A1F" w14:textId="380C61AC" w:rsidR="00FC204D" w:rsidRPr="003C7975" w:rsidRDefault="00FC204D" w:rsidP="00184F96">
            <w:pPr>
              <w:jc w:val="both"/>
              <w:rPr>
                <w:rFonts w:ascii="Arial" w:eastAsia="Calibri" w:hAnsi="Arial" w:cs="Arial"/>
                <w:bCs/>
                <w:lang w:val="es-ES_tradnl"/>
              </w:rPr>
            </w:pPr>
          </w:p>
        </w:tc>
      </w:tr>
      <w:tr w:rsidR="00C33A69" w:rsidRPr="003C7975" w14:paraId="7050D2D2" w14:textId="77777777" w:rsidTr="007C6F1C">
        <w:tc>
          <w:tcPr>
            <w:tcW w:w="2689" w:type="dxa"/>
          </w:tcPr>
          <w:p w14:paraId="393C8000" w14:textId="77777777" w:rsidR="00C33A69" w:rsidRPr="003C7975" w:rsidRDefault="00C33A69" w:rsidP="007C6F1C">
            <w:pPr>
              <w:rPr>
                <w:rFonts w:ascii="Arial" w:eastAsia="Calibri" w:hAnsi="Arial" w:cs="Arial"/>
                <w:color w:val="000000" w:themeColor="text1"/>
              </w:rPr>
            </w:pPr>
            <w:r w:rsidRPr="003C7975">
              <w:rPr>
                <w:rFonts w:ascii="Arial" w:eastAsia="Calibri" w:hAnsi="Arial" w:cs="Arial"/>
                <w:b/>
                <w:color w:val="000000" w:themeColor="text1"/>
              </w:rPr>
              <w:t>Radicación:</w:t>
            </w:r>
            <w:r w:rsidRPr="003C7975">
              <w:rPr>
                <w:rFonts w:ascii="Arial" w:eastAsia="Calibri" w:hAnsi="Arial" w:cs="Arial"/>
                <w:color w:val="000000" w:themeColor="text1"/>
              </w:rPr>
              <w:t xml:space="preserve">                              </w:t>
            </w:r>
          </w:p>
        </w:tc>
        <w:tc>
          <w:tcPr>
            <w:tcW w:w="6237" w:type="dxa"/>
          </w:tcPr>
          <w:p w14:paraId="61074E39" w14:textId="166B4DE8" w:rsidR="00C33A69" w:rsidRPr="003C7975" w:rsidRDefault="00C33A69" w:rsidP="007C6F1C">
            <w:pPr>
              <w:rPr>
                <w:rFonts w:ascii="Arial" w:eastAsia="Calibri" w:hAnsi="Arial" w:cs="Arial"/>
                <w:color w:val="000000" w:themeColor="text1"/>
              </w:rPr>
            </w:pPr>
            <w:r w:rsidRPr="003C7975">
              <w:rPr>
                <w:rFonts w:ascii="Arial" w:eastAsia="Calibri" w:hAnsi="Arial" w:cs="Arial"/>
                <w:color w:val="000000" w:themeColor="text1"/>
              </w:rPr>
              <w:t>Respuesta a consulta P2021</w:t>
            </w:r>
            <w:r w:rsidR="00335574" w:rsidRPr="003C7975">
              <w:rPr>
                <w:rFonts w:ascii="Arial" w:eastAsia="Calibri" w:hAnsi="Arial" w:cs="Arial"/>
                <w:color w:val="000000" w:themeColor="text1"/>
              </w:rPr>
              <w:t>0724006510</w:t>
            </w:r>
          </w:p>
        </w:tc>
      </w:tr>
    </w:tbl>
    <w:p w14:paraId="67B4B4A1" w14:textId="77777777" w:rsidR="00C33A69" w:rsidRPr="003C7975" w:rsidRDefault="00C33A69" w:rsidP="00C33A69">
      <w:pPr>
        <w:spacing w:line="276" w:lineRule="auto"/>
        <w:rPr>
          <w:rFonts w:ascii="Arial" w:eastAsia="Calibri" w:hAnsi="Arial" w:cs="Arial"/>
          <w:color w:val="000000" w:themeColor="text1"/>
          <w:sz w:val="22"/>
        </w:rPr>
      </w:pPr>
    </w:p>
    <w:p w14:paraId="1A826586" w14:textId="77777777" w:rsidR="00C33A69" w:rsidRPr="003C7975" w:rsidRDefault="00C33A69" w:rsidP="00C33A69">
      <w:pPr>
        <w:spacing w:line="276" w:lineRule="auto"/>
        <w:rPr>
          <w:rFonts w:ascii="Arial" w:eastAsia="Calibri" w:hAnsi="Arial" w:cs="Arial"/>
          <w:color w:val="000000" w:themeColor="text1"/>
          <w:sz w:val="22"/>
        </w:rPr>
      </w:pPr>
    </w:p>
    <w:p w14:paraId="177D81C6" w14:textId="7E9EA05B" w:rsidR="00C33A69" w:rsidRPr="003C7975" w:rsidRDefault="00C33A69" w:rsidP="00C33A69">
      <w:pPr>
        <w:tabs>
          <w:tab w:val="left" w:pos="3736"/>
        </w:tabs>
        <w:spacing w:line="276" w:lineRule="auto"/>
        <w:rPr>
          <w:rFonts w:ascii="Arial" w:eastAsia="Calibri" w:hAnsi="Arial" w:cs="Arial"/>
          <w:color w:val="000000" w:themeColor="text1"/>
          <w:sz w:val="22"/>
        </w:rPr>
      </w:pPr>
      <w:r w:rsidRPr="003C7975">
        <w:rPr>
          <w:rFonts w:ascii="Arial" w:eastAsia="Calibri" w:hAnsi="Arial" w:cs="Arial"/>
          <w:color w:val="000000" w:themeColor="text1"/>
          <w:sz w:val="22"/>
        </w:rPr>
        <w:t>Estimad</w:t>
      </w:r>
      <w:r w:rsidR="00335574" w:rsidRPr="003C7975">
        <w:rPr>
          <w:rFonts w:ascii="Arial" w:eastAsia="Calibri" w:hAnsi="Arial" w:cs="Arial"/>
          <w:color w:val="000000" w:themeColor="text1"/>
          <w:sz w:val="22"/>
        </w:rPr>
        <w:t>o</w:t>
      </w:r>
      <w:r w:rsidRPr="003C7975">
        <w:rPr>
          <w:rFonts w:ascii="Arial" w:eastAsia="Calibri" w:hAnsi="Arial" w:cs="Arial"/>
          <w:color w:val="000000" w:themeColor="text1"/>
          <w:sz w:val="22"/>
        </w:rPr>
        <w:t xml:space="preserve"> señor</w:t>
      </w:r>
      <w:r w:rsidR="00E8055C">
        <w:rPr>
          <w:rFonts w:ascii="Arial" w:eastAsia="Calibri" w:hAnsi="Arial" w:cs="Arial"/>
          <w:color w:val="000000" w:themeColor="text1"/>
          <w:sz w:val="22"/>
        </w:rPr>
        <w:t xml:space="preserve"> Patarroyo</w:t>
      </w:r>
      <w:r w:rsidR="0034413B" w:rsidRPr="003C7975">
        <w:rPr>
          <w:rFonts w:ascii="Arial" w:eastAsia="Calibri" w:hAnsi="Arial" w:cs="Arial"/>
          <w:color w:val="000000" w:themeColor="text1"/>
          <w:sz w:val="22"/>
        </w:rPr>
        <w:t>:</w:t>
      </w:r>
      <w:r w:rsidRPr="003C7975">
        <w:rPr>
          <w:rFonts w:ascii="Arial" w:eastAsia="Calibri" w:hAnsi="Arial" w:cs="Arial"/>
          <w:color w:val="000000" w:themeColor="text1"/>
          <w:sz w:val="22"/>
        </w:rPr>
        <w:tab/>
      </w:r>
    </w:p>
    <w:p w14:paraId="44E85655" w14:textId="77777777" w:rsidR="00C33A69" w:rsidRPr="003C7975" w:rsidRDefault="00C33A69" w:rsidP="00C33A69">
      <w:pPr>
        <w:spacing w:line="276" w:lineRule="auto"/>
        <w:rPr>
          <w:rFonts w:ascii="Arial" w:eastAsia="Calibri" w:hAnsi="Arial" w:cs="Arial"/>
          <w:color w:val="000000" w:themeColor="text1"/>
          <w:sz w:val="22"/>
        </w:rPr>
      </w:pPr>
    </w:p>
    <w:p w14:paraId="2044C6B5" w14:textId="56D8AF2F" w:rsidR="00C33A69" w:rsidRPr="003C7975" w:rsidRDefault="00C33A69" w:rsidP="00C33A69">
      <w:pPr>
        <w:spacing w:line="276" w:lineRule="auto"/>
        <w:jc w:val="both"/>
        <w:rPr>
          <w:rFonts w:ascii="Arial" w:eastAsia="Calibri" w:hAnsi="Arial" w:cs="Arial"/>
          <w:color w:val="000000" w:themeColor="text1"/>
          <w:sz w:val="22"/>
        </w:rPr>
      </w:pPr>
      <w:r w:rsidRPr="003C7975">
        <w:rPr>
          <w:rFonts w:ascii="Arial" w:eastAsia="Calibri" w:hAnsi="Arial" w:cs="Arial"/>
          <w:color w:val="000000" w:themeColor="text1"/>
          <w:sz w:val="22"/>
        </w:rPr>
        <w:t xml:space="preserve">La Agencia Nacional de Contratación Pública </w:t>
      </w:r>
      <w:r w:rsidR="0034413B" w:rsidRPr="003C7975">
        <w:rPr>
          <w:rFonts w:ascii="Arial" w:eastAsia="Calibri" w:hAnsi="Arial" w:cs="Arial"/>
          <w:color w:val="000000" w:themeColor="text1"/>
          <w:sz w:val="22"/>
        </w:rPr>
        <w:t xml:space="preserve">– </w:t>
      </w:r>
      <w:r w:rsidRPr="003C7975">
        <w:rPr>
          <w:rFonts w:ascii="Arial" w:eastAsia="Calibri" w:hAnsi="Arial" w:cs="Arial"/>
          <w:color w:val="000000" w:themeColor="text1"/>
          <w:sz w:val="22"/>
        </w:rPr>
        <w:t xml:space="preserve">Colombia Compra Eficiente responde a su consulta del </w:t>
      </w:r>
      <w:r w:rsidR="00335574" w:rsidRPr="003C7975">
        <w:rPr>
          <w:rFonts w:ascii="Arial" w:eastAsia="Calibri" w:hAnsi="Arial" w:cs="Arial"/>
          <w:color w:val="000000" w:themeColor="text1"/>
          <w:sz w:val="22"/>
        </w:rPr>
        <w:t>24 de julio de 2021</w:t>
      </w:r>
      <w:r w:rsidRPr="003C7975">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0987E0B4" w14:textId="77777777" w:rsidR="00C33A69" w:rsidRPr="003C7975" w:rsidRDefault="00C33A69" w:rsidP="00C33A69">
      <w:pPr>
        <w:pStyle w:val="Prrafodelista"/>
        <w:spacing w:line="276" w:lineRule="auto"/>
        <w:ind w:left="0"/>
        <w:rPr>
          <w:rFonts w:ascii="Arial" w:eastAsia="Calibri" w:hAnsi="Arial" w:cs="Arial"/>
          <w:color w:val="000000" w:themeColor="text1"/>
          <w:sz w:val="22"/>
        </w:rPr>
      </w:pPr>
    </w:p>
    <w:p w14:paraId="6238CC02" w14:textId="7F208216" w:rsidR="003C1F96" w:rsidRPr="003C7975" w:rsidRDefault="0034413B" w:rsidP="006C0EA1">
      <w:pPr>
        <w:tabs>
          <w:tab w:val="left" w:pos="0"/>
        </w:tabs>
        <w:spacing w:line="276" w:lineRule="auto"/>
        <w:jc w:val="both"/>
        <w:rPr>
          <w:rFonts w:ascii="Arial" w:eastAsia="Calibri" w:hAnsi="Arial" w:cs="Arial"/>
          <w:b/>
          <w:color w:val="000000" w:themeColor="text1"/>
          <w:sz w:val="22"/>
        </w:rPr>
      </w:pPr>
      <w:r w:rsidRPr="003C7975">
        <w:rPr>
          <w:rFonts w:ascii="Arial" w:eastAsia="Calibri" w:hAnsi="Arial" w:cs="Arial"/>
          <w:b/>
          <w:color w:val="000000" w:themeColor="text1"/>
          <w:sz w:val="22"/>
        </w:rPr>
        <w:t xml:space="preserve">1. </w:t>
      </w:r>
      <w:r w:rsidR="00C33A69" w:rsidRPr="003C7975">
        <w:rPr>
          <w:rFonts w:ascii="Arial" w:eastAsia="Calibri" w:hAnsi="Arial" w:cs="Arial"/>
          <w:b/>
          <w:color w:val="000000" w:themeColor="text1"/>
          <w:sz w:val="22"/>
        </w:rPr>
        <w:t>Problema planteado</w:t>
      </w:r>
    </w:p>
    <w:p w14:paraId="6C91C2D0" w14:textId="77777777" w:rsidR="003C1F96" w:rsidRPr="003C7975" w:rsidRDefault="003C1F96">
      <w:pPr>
        <w:rPr>
          <w:rFonts w:ascii="Arial" w:eastAsia="Calibri" w:hAnsi="Arial" w:cs="Arial"/>
          <w:color w:val="000000" w:themeColor="text1"/>
          <w:sz w:val="22"/>
        </w:rPr>
      </w:pPr>
    </w:p>
    <w:p w14:paraId="5CC7BB68" w14:textId="77777777" w:rsidR="005F03DE" w:rsidRPr="003C7975" w:rsidRDefault="00C33A69" w:rsidP="004F3D28">
      <w:pPr>
        <w:spacing w:line="276" w:lineRule="auto"/>
        <w:jc w:val="both"/>
        <w:rPr>
          <w:rFonts w:ascii="Arial" w:eastAsia="Calibri" w:hAnsi="Arial" w:cs="Arial"/>
          <w:sz w:val="22"/>
          <w:szCs w:val="22"/>
        </w:rPr>
      </w:pPr>
      <w:r w:rsidRPr="003C7975">
        <w:rPr>
          <w:rFonts w:ascii="Arial" w:eastAsia="Calibri" w:hAnsi="Arial" w:cs="Arial"/>
          <w:sz w:val="22"/>
          <w:szCs w:val="22"/>
        </w:rPr>
        <w:t xml:space="preserve">Usted formula </w:t>
      </w:r>
      <w:r w:rsidR="003C1F96" w:rsidRPr="003C7975">
        <w:rPr>
          <w:rFonts w:ascii="Arial" w:eastAsia="Calibri" w:hAnsi="Arial" w:cs="Arial"/>
          <w:sz w:val="22"/>
          <w:szCs w:val="22"/>
        </w:rPr>
        <w:t xml:space="preserve">la siguiente pregunta: </w:t>
      </w:r>
    </w:p>
    <w:p w14:paraId="00B1217B" w14:textId="77777777" w:rsidR="005F03DE" w:rsidRPr="003C7975" w:rsidRDefault="005F03DE" w:rsidP="00FC204D">
      <w:pPr>
        <w:jc w:val="both"/>
        <w:rPr>
          <w:rFonts w:ascii="Arial" w:eastAsia="Calibri" w:hAnsi="Arial" w:cs="Arial"/>
          <w:sz w:val="22"/>
          <w:szCs w:val="22"/>
        </w:rPr>
      </w:pPr>
    </w:p>
    <w:p w14:paraId="4C105B60" w14:textId="756D6463" w:rsidR="003C1F96" w:rsidRPr="003C7975" w:rsidRDefault="0034413B" w:rsidP="005F03DE">
      <w:pPr>
        <w:spacing w:line="276" w:lineRule="auto"/>
        <w:ind w:left="708" w:right="900"/>
        <w:jc w:val="both"/>
        <w:rPr>
          <w:rFonts w:ascii="Arial" w:hAnsi="Arial" w:cs="Arial"/>
          <w:sz w:val="21"/>
          <w:szCs w:val="21"/>
        </w:rPr>
      </w:pPr>
      <w:r w:rsidRPr="003C7975">
        <w:rPr>
          <w:rFonts w:ascii="Arial" w:eastAsia="Calibri" w:hAnsi="Arial" w:cs="Arial"/>
          <w:sz w:val="21"/>
          <w:szCs w:val="21"/>
        </w:rPr>
        <w:t>«</w:t>
      </w:r>
      <w:r w:rsidR="00335574" w:rsidRPr="003C7975">
        <w:rPr>
          <w:rFonts w:ascii="Arial" w:hAnsi="Arial" w:cs="Arial"/>
          <w:color w:val="000000"/>
          <w:sz w:val="21"/>
          <w:szCs w:val="21"/>
          <w:shd w:val="clear" w:color="auto" w:fill="FFFFFF"/>
        </w:rPr>
        <w:t>¿En relación con el artículo 35 de la ley 2069 de 2020 relacionado con los factores de desempate, las entidades como aplican los mismos si hay ausencia de reglamentación y la única reglamentación existe es la de los documentos tipo, es importante destacar que el parágrafo 3 del mencionado artículo señala: “PARÁGRAFO 3o. El Gobierno Nacional podrá́ reglamentar la aplicación de factores de desempate en casos en que concurran dos o más de los factores aquí́ previstos”</w:t>
      </w:r>
      <w:r w:rsidR="003C1F96" w:rsidRPr="003C7975">
        <w:rPr>
          <w:rFonts w:ascii="Arial" w:hAnsi="Arial" w:cs="Arial"/>
          <w:sz w:val="21"/>
          <w:szCs w:val="21"/>
        </w:rPr>
        <w:t>?</w:t>
      </w:r>
      <w:r w:rsidRPr="003C7975">
        <w:rPr>
          <w:rFonts w:ascii="Arial" w:hAnsi="Arial" w:cs="Arial"/>
          <w:sz w:val="21"/>
          <w:szCs w:val="21"/>
        </w:rPr>
        <w:t>».</w:t>
      </w:r>
    </w:p>
    <w:p w14:paraId="4263F57D" w14:textId="77777777" w:rsidR="00C33A69" w:rsidRPr="003C7975" w:rsidRDefault="00C33A69">
      <w:pPr>
        <w:rPr>
          <w:rFonts w:ascii="Arial" w:eastAsia="Calibri" w:hAnsi="Arial" w:cs="Arial"/>
          <w:b/>
          <w:color w:val="000000" w:themeColor="text1"/>
          <w:sz w:val="22"/>
        </w:rPr>
      </w:pPr>
    </w:p>
    <w:p w14:paraId="0FCD980D" w14:textId="0DDE1C63" w:rsidR="00C33A69" w:rsidRPr="003C7975" w:rsidRDefault="0034413B" w:rsidP="006C0EA1">
      <w:pPr>
        <w:spacing w:line="276" w:lineRule="auto"/>
        <w:jc w:val="both"/>
        <w:rPr>
          <w:rFonts w:ascii="Arial" w:eastAsia="Calibri" w:hAnsi="Arial" w:cs="Arial"/>
          <w:color w:val="000000" w:themeColor="text1"/>
          <w:sz w:val="22"/>
        </w:rPr>
      </w:pPr>
      <w:r w:rsidRPr="003C7975">
        <w:rPr>
          <w:rFonts w:ascii="Arial" w:eastAsia="Calibri" w:hAnsi="Arial" w:cs="Arial"/>
          <w:b/>
          <w:color w:val="000000" w:themeColor="text1"/>
          <w:sz w:val="22"/>
        </w:rPr>
        <w:t xml:space="preserve">2. </w:t>
      </w:r>
      <w:r w:rsidR="00C33A69" w:rsidRPr="003C7975">
        <w:rPr>
          <w:rFonts w:ascii="Arial" w:eastAsia="Calibri" w:hAnsi="Arial" w:cs="Arial"/>
          <w:b/>
          <w:color w:val="000000" w:themeColor="text1"/>
          <w:sz w:val="22"/>
        </w:rPr>
        <w:t>Consideraciones</w:t>
      </w:r>
    </w:p>
    <w:p w14:paraId="099E4395" w14:textId="77777777" w:rsidR="00C33A69" w:rsidRPr="003C7975" w:rsidRDefault="00C33A69" w:rsidP="00843442">
      <w:pPr>
        <w:pStyle w:val="Prrafodelista"/>
        <w:ind w:left="284"/>
        <w:jc w:val="both"/>
        <w:rPr>
          <w:rFonts w:ascii="Arial" w:eastAsia="Calibri" w:hAnsi="Arial" w:cs="Arial"/>
          <w:color w:val="000000" w:themeColor="text1"/>
          <w:sz w:val="22"/>
        </w:rPr>
      </w:pPr>
    </w:p>
    <w:p w14:paraId="63720E2C" w14:textId="77777777" w:rsidR="00722764" w:rsidRPr="003C7975" w:rsidRDefault="00722764" w:rsidP="006C0EA1">
      <w:pPr>
        <w:spacing w:after="120" w:line="276" w:lineRule="auto"/>
        <w:jc w:val="both"/>
        <w:rPr>
          <w:rFonts w:ascii="Arial" w:hAnsi="Arial" w:cs="Arial"/>
          <w:bCs/>
          <w:sz w:val="22"/>
        </w:rPr>
      </w:pPr>
      <w:r w:rsidRPr="003C7975">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29969935" w14:textId="77777777" w:rsidR="00722764" w:rsidRPr="003C7975" w:rsidRDefault="00722764" w:rsidP="00906CE0">
      <w:pPr>
        <w:tabs>
          <w:tab w:val="left" w:pos="426"/>
        </w:tabs>
        <w:spacing w:before="120" w:after="120" w:line="276" w:lineRule="auto"/>
        <w:jc w:val="both"/>
        <w:rPr>
          <w:rFonts w:ascii="Arial" w:eastAsia="Calibri" w:hAnsi="Arial" w:cs="Arial"/>
          <w:bCs/>
          <w:sz w:val="22"/>
        </w:rPr>
      </w:pPr>
      <w:r w:rsidRPr="003C7975">
        <w:rPr>
          <w:rFonts w:ascii="Arial" w:hAnsi="Arial" w:cs="Arial"/>
          <w:sz w:val="22"/>
          <w:lang w:val="es-ES"/>
        </w:rPr>
        <w:lastRenderedPageBreak/>
        <w:tab/>
      </w:r>
      <w:r w:rsidRPr="003C7975">
        <w:rPr>
          <w:rFonts w:ascii="Arial" w:hAnsi="Arial" w:cs="Arial"/>
          <w:sz w:val="22"/>
          <w:lang w:val="es-ES"/>
        </w:rPr>
        <w:tab/>
        <w:t>Es necesario tener en cuenta que esta entidad solo tiene competencia para responder solicitudes sobre la aplicación de normas de carácter general en materia de compras y contratación pública</w:t>
      </w:r>
      <w:r w:rsidRPr="003C7975">
        <w:rPr>
          <w:rFonts w:ascii="Arial" w:hAnsi="Arial" w:cs="Arial"/>
          <w:sz w:val="22"/>
          <w:vertAlign w:val="superscript"/>
          <w:lang w:val="es-ES"/>
        </w:rPr>
        <w:footnoteReference w:id="1"/>
      </w:r>
      <w:r w:rsidRPr="003C7975">
        <w:rPr>
          <w:rFonts w:ascii="Arial" w:hAnsi="Arial" w:cs="Arial"/>
          <w:sz w:val="22"/>
          <w:lang w:val="es-ES"/>
        </w:rPr>
        <w:t>. Esta se fija con límites claros, con el objeto de evitar que la Agencia actúe como una instancia de validación de las actuaciones de las entidades sujetas a la Ley 80 de 1993 o de los demás participantes de la contratación pública.</w:t>
      </w:r>
    </w:p>
    <w:p w14:paraId="52896770" w14:textId="3C534D61" w:rsidR="00C33A69" w:rsidRPr="00FC204D" w:rsidRDefault="00722764" w:rsidP="00906CE0">
      <w:pPr>
        <w:spacing w:before="120" w:after="120" w:line="276" w:lineRule="auto"/>
        <w:ind w:firstLine="709"/>
        <w:jc w:val="both"/>
        <w:rPr>
          <w:rFonts w:ascii="Arial" w:hAnsi="Arial" w:cs="Arial"/>
          <w:color w:val="000000"/>
        </w:rPr>
      </w:pPr>
      <w:r w:rsidRPr="003C7975">
        <w:rPr>
          <w:rFonts w:ascii="Arial" w:eastAsia="Calibri" w:hAnsi="Arial" w:cs="Arial"/>
          <w:color w:val="000000" w:themeColor="text1"/>
          <w:sz w:val="22"/>
          <w:lang w:val="es-ES"/>
        </w:rPr>
        <w:t>Por ello, la Subdirección –dentro de los límites de sus atribuciones– resolverá la consulta conforme a las normas generales en materia de contratación estatal. Con este objetivo se analizarán los siguientes temas:</w:t>
      </w:r>
      <w:r w:rsidR="00C33A69" w:rsidRPr="003C7975">
        <w:rPr>
          <w:rFonts w:ascii="Arial" w:eastAsia="Calibri" w:hAnsi="Arial" w:cs="Arial"/>
          <w:color w:val="000000" w:themeColor="text1"/>
          <w:sz w:val="22"/>
        </w:rPr>
        <w:t xml:space="preserve"> i)</w:t>
      </w:r>
      <w:r w:rsidR="0061648F" w:rsidRPr="003C7975">
        <w:rPr>
          <w:rFonts w:ascii="Arial" w:eastAsia="Calibri" w:hAnsi="Arial" w:cs="Arial"/>
          <w:color w:val="000000" w:themeColor="text1"/>
          <w:sz w:val="22"/>
        </w:rPr>
        <w:t xml:space="preserve"> </w:t>
      </w:r>
      <w:r w:rsidR="008B0791" w:rsidRPr="008B0791">
        <w:rPr>
          <w:rFonts w:ascii="Arial" w:eastAsia="Calibri" w:hAnsi="Arial" w:cs="Arial"/>
          <w:color w:val="000000" w:themeColor="text1"/>
          <w:sz w:val="22"/>
        </w:rPr>
        <w:t>Factores de desempate en la contratación estatal: concepto y características</w:t>
      </w:r>
      <w:r w:rsidR="008B0791">
        <w:rPr>
          <w:rFonts w:ascii="Arial" w:eastAsia="Calibri" w:hAnsi="Arial" w:cs="Arial"/>
          <w:color w:val="000000" w:themeColor="text1"/>
          <w:sz w:val="22"/>
        </w:rPr>
        <w:t>, ii) v</w:t>
      </w:r>
      <w:r w:rsidR="00335574" w:rsidRPr="003C7975">
        <w:rPr>
          <w:rFonts w:ascii="Arial" w:eastAsia="Calibri" w:hAnsi="Arial" w:cs="Arial"/>
          <w:color w:val="000000" w:themeColor="text1"/>
          <w:sz w:val="22"/>
        </w:rPr>
        <w:t xml:space="preserve">igencia y ámbito de aplicación de la Ley 2069 de </w:t>
      </w:r>
      <w:proofErr w:type="gramStart"/>
      <w:r w:rsidR="00335574" w:rsidRPr="003C7975">
        <w:rPr>
          <w:rFonts w:ascii="Arial" w:eastAsia="Calibri" w:hAnsi="Arial" w:cs="Arial"/>
          <w:color w:val="000000" w:themeColor="text1"/>
          <w:sz w:val="22"/>
        </w:rPr>
        <w:t xml:space="preserve">2020 </w:t>
      </w:r>
      <w:r w:rsidR="00C854E5">
        <w:rPr>
          <w:rFonts w:ascii="Arial" w:eastAsia="Calibri" w:hAnsi="Arial" w:cs="Arial"/>
          <w:color w:val="000000" w:themeColor="text1"/>
          <w:sz w:val="22"/>
        </w:rPr>
        <w:t xml:space="preserve"> y</w:t>
      </w:r>
      <w:proofErr w:type="gramEnd"/>
      <w:r w:rsidR="00335574" w:rsidRPr="003C7975">
        <w:rPr>
          <w:rFonts w:ascii="Arial" w:eastAsia="Calibri" w:hAnsi="Arial" w:cs="Arial"/>
          <w:color w:val="000000" w:themeColor="text1"/>
          <w:sz w:val="22"/>
          <w:szCs w:val="22"/>
        </w:rPr>
        <w:t xml:space="preserve"> ii) </w:t>
      </w:r>
      <w:r w:rsidR="00C854E5">
        <w:rPr>
          <w:rFonts w:ascii="Arial" w:eastAsia="Calibri" w:hAnsi="Arial" w:cs="Arial"/>
          <w:color w:val="000000" w:themeColor="text1"/>
          <w:sz w:val="22"/>
          <w:szCs w:val="22"/>
        </w:rPr>
        <w:t>l</w:t>
      </w:r>
      <w:r w:rsidR="00335574" w:rsidRPr="003C7975">
        <w:rPr>
          <w:rFonts w:ascii="Arial" w:hAnsi="Arial" w:cs="Arial"/>
          <w:color w:val="000000"/>
          <w:sz w:val="22"/>
          <w:szCs w:val="22"/>
          <w:bdr w:val="none" w:sz="0" w:space="0" w:color="auto" w:frame="1"/>
        </w:rPr>
        <w:t xml:space="preserve">os factores de desempate </w:t>
      </w:r>
      <w:r w:rsidR="00FC204D">
        <w:rPr>
          <w:rFonts w:ascii="Arial" w:hAnsi="Arial" w:cs="Arial"/>
          <w:color w:val="000000"/>
          <w:sz w:val="22"/>
          <w:szCs w:val="22"/>
          <w:bdr w:val="none" w:sz="0" w:space="0" w:color="auto" w:frame="1"/>
        </w:rPr>
        <w:t>introducidos por el</w:t>
      </w:r>
      <w:r w:rsidR="00335574" w:rsidRPr="003C7975">
        <w:rPr>
          <w:rFonts w:ascii="Arial" w:hAnsi="Arial" w:cs="Arial"/>
          <w:color w:val="000000"/>
          <w:sz w:val="22"/>
          <w:szCs w:val="22"/>
          <w:bdr w:val="none" w:sz="0" w:space="0" w:color="auto" w:frame="1"/>
        </w:rPr>
        <w:t xml:space="preserve"> artículo 35 de la Ley 2069 de 2020. </w:t>
      </w:r>
    </w:p>
    <w:p w14:paraId="1266AB59" w14:textId="78C9327F" w:rsidR="008B0791" w:rsidRDefault="005145DA" w:rsidP="008B0791">
      <w:pPr>
        <w:spacing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 xml:space="preserve">Es importante destacar que la Agencia Nacional de Contratación Pública – Colombia Compra Eficiente se pronunció, en términos generales, sobre los factores de desempate en los procedimientos de contratación estatal, en los conceptos C-285 del 4 de mayo de 2020, C-481 del 27 de julio de 2020, C-514 y C-535 del 26 de agosto de 2020 y C-556 del 31 de agosto de 2020. De igual manera, estudió los factores de desempate del artículo 35 de la Ley 2069 de 2020 en los conceptos: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w:t>
      </w:r>
      <w:r w:rsidR="00EF76A9">
        <w:rPr>
          <w:rFonts w:ascii="Arial" w:eastAsia="Calibri" w:hAnsi="Arial" w:cs="Arial"/>
          <w:color w:val="000000" w:themeColor="text1"/>
          <w:sz w:val="22"/>
          <w:szCs w:val="22"/>
          <w:lang w:val="es-ES_tradnl"/>
        </w:rPr>
        <w:t xml:space="preserve">C-100 y </w:t>
      </w:r>
      <w:r w:rsidRPr="00CF16CF">
        <w:rPr>
          <w:rFonts w:ascii="Arial" w:eastAsia="Calibri" w:hAnsi="Arial" w:cs="Arial"/>
          <w:color w:val="000000" w:themeColor="text1"/>
          <w:sz w:val="22"/>
          <w:szCs w:val="22"/>
          <w:lang w:val="es-ES_tradnl"/>
        </w:rPr>
        <w:t>C-206 del 03 de mayo de 2021, C−198 del 5 de mayo de 2021, C-203 del 6 de mayo de 2021,  C-180 del 10 de mayo de 2021,</w:t>
      </w:r>
      <w:r w:rsidR="00BC691B">
        <w:rPr>
          <w:rFonts w:ascii="Arial" w:eastAsia="Calibri" w:hAnsi="Arial" w:cs="Arial"/>
          <w:color w:val="000000" w:themeColor="text1"/>
          <w:sz w:val="22"/>
          <w:szCs w:val="22"/>
          <w:lang w:val="es-ES_tradnl"/>
        </w:rPr>
        <w:t>C-207 del 10 de mayo de 2021, C-</w:t>
      </w:r>
      <w:r w:rsidR="00DD28D9">
        <w:rPr>
          <w:rFonts w:ascii="Arial" w:eastAsia="Calibri" w:hAnsi="Arial" w:cs="Arial"/>
          <w:color w:val="000000" w:themeColor="text1"/>
          <w:sz w:val="22"/>
          <w:szCs w:val="22"/>
          <w:lang w:val="es-ES_tradnl"/>
        </w:rPr>
        <w:t>209 del 10 de mayo de 2021,</w:t>
      </w:r>
      <w:r w:rsidRPr="00CF16CF">
        <w:rPr>
          <w:rFonts w:ascii="Arial" w:eastAsia="Calibri" w:hAnsi="Arial" w:cs="Arial"/>
          <w:color w:val="000000" w:themeColor="text1"/>
          <w:sz w:val="22"/>
          <w:szCs w:val="22"/>
          <w:lang w:val="es-ES_tradnl"/>
        </w:rPr>
        <w:t xml:space="preserve"> C-210 del 10 de mayo de 2021</w:t>
      </w:r>
      <w:r>
        <w:rPr>
          <w:rFonts w:ascii="Arial" w:eastAsia="Calibri" w:hAnsi="Arial" w:cs="Arial"/>
          <w:color w:val="000000" w:themeColor="text1"/>
          <w:sz w:val="22"/>
          <w:szCs w:val="22"/>
          <w:lang w:val="es-ES_tradnl"/>
        </w:rPr>
        <w:t xml:space="preserve">, </w:t>
      </w:r>
      <w:r w:rsidRPr="00CF16CF">
        <w:rPr>
          <w:rFonts w:ascii="Arial" w:eastAsia="Calibri" w:hAnsi="Arial" w:cs="Arial"/>
          <w:color w:val="000000" w:themeColor="text1"/>
          <w:sz w:val="22"/>
          <w:szCs w:val="22"/>
          <w:lang w:val="es-ES_tradnl"/>
        </w:rPr>
        <w:t>C-221 del 18 de mayo de 2021</w:t>
      </w:r>
      <w:r>
        <w:rPr>
          <w:rFonts w:ascii="Arial" w:eastAsia="Calibri" w:hAnsi="Arial" w:cs="Arial"/>
          <w:color w:val="000000" w:themeColor="text1"/>
          <w:sz w:val="22"/>
          <w:szCs w:val="22"/>
          <w:lang w:val="es-ES_tradnl"/>
        </w:rPr>
        <w:t xml:space="preserve">, </w:t>
      </w:r>
      <w:r w:rsidRPr="00DC3FCF">
        <w:rPr>
          <w:rFonts w:ascii="Arial" w:eastAsia="Calibri" w:hAnsi="Arial" w:cs="Arial"/>
          <w:color w:val="000000" w:themeColor="text1"/>
          <w:sz w:val="22"/>
          <w:szCs w:val="22"/>
          <w:lang w:val="es-ES_tradnl"/>
        </w:rPr>
        <w:t>C-239 del 25</w:t>
      </w:r>
      <w:r>
        <w:rPr>
          <w:rFonts w:ascii="Arial" w:eastAsia="Calibri" w:hAnsi="Arial" w:cs="Arial"/>
          <w:color w:val="000000" w:themeColor="text1"/>
          <w:sz w:val="22"/>
          <w:szCs w:val="22"/>
          <w:lang w:val="es-ES_tradnl"/>
        </w:rPr>
        <w:t xml:space="preserve"> </w:t>
      </w:r>
      <w:r w:rsidRPr="00CF16CF">
        <w:rPr>
          <w:rFonts w:ascii="Arial" w:eastAsia="Calibri" w:hAnsi="Arial" w:cs="Arial"/>
          <w:color w:val="000000" w:themeColor="text1"/>
          <w:sz w:val="22"/>
          <w:szCs w:val="22"/>
          <w:lang w:val="es-ES_tradnl"/>
        </w:rPr>
        <w:t>de mayo de</w:t>
      </w:r>
      <w:r w:rsidRPr="00DC3FCF">
        <w:rPr>
          <w:rFonts w:ascii="Arial" w:eastAsia="Calibri" w:hAnsi="Arial" w:cs="Arial"/>
          <w:color w:val="000000" w:themeColor="text1"/>
          <w:sz w:val="22"/>
          <w:szCs w:val="22"/>
          <w:lang w:val="es-ES_tradnl"/>
        </w:rPr>
        <w:t xml:space="preserve"> 2021</w:t>
      </w:r>
      <w:r>
        <w:rPr>
          <w:rFonts w:ascii="Arial" w:eastAsia="Calibri" w:hAnsi="Arial" w:cs="Arial"/>
          <w:color w:val="000000" w:themeColor="text1"/>
          <w:sz w:val="22"/>
          <w:szCs w:val="22"/>
          <w:lang w:val="es-ES_tradnl"/>
        </w:rPr>
        <w:t xml:space="preserve">, </w:t>
      </w:r>
      <w:r w:rsidR="00203FD3">
        <w:rPr>
          <w:rFonts w:ascii="Arial" w:eastAsia="Calibri" w:hAnsi="Arial" w:cs="Arial"/>
          <w:color w:val="000000" w:themeColor="text1"/>
          <w:sz w:val="22"/>
          <w:szCs w:val="22"/>
          <w:lang w:val="es-ES_tradnl"/>
        </w:rPr>
        <w:t>C-235 del 27 de mayo de 2021,</w:t>
      </w:r>
      <w:r w:rsidR="004B539E">
        <w:rPr>
          <w:rFonts w:ascii="Arial" w:eastAsia="Calibri" w:hAnsi="Arial" w:cs="Arial"/>
          <w:color w:val="000000" w:themeColor="text1"/>
          <w:sz w:val="22"/>
          <w:szCs w:val="22"/>
          <w:lang w:val="es-ES_tradnl"/>
        </w:rPr>
        <w:t xml:space="preserve"> C-265 del 1 de junio de 2021,</w:t>
      </w:r>
      <w:r w:rsidR="00203FD3">
        <w:rPr>
          <w:rFonts w:ascii="Arial" w:eastAsia="Calibri" w:hAnsi="Arial" w:cs="Arial"/>
          <w:color w:val="000000" w:themeColor="text1"/>
          <w:sz w:val="22"/>
          <w:szCs w:val="22"/>
          <w:lang w:val="es-ES_tradnl"/>
        </w:rPr>
        <w:t xml:space="preserve"> </w:t>
      </w:r>
      <w:r w:rsidR="00BC691B">
        <w:rPr>
          <w:rFonts w:ascii="Arial" w:eastAsia="Calibri" w:hAnsi="Arial" w:cs="Arial"/>
          <w:color w:val="000000" w:themeColor="text1"/>
          <w:sz w:val="22"/>
          <w:szCs w:val="22"/>
          <w:lang w:val="es-ES_tradnl"/>
        </w:rPr>
        <w:t xml:space="preserve">C-272 del 9 de junio de 2021, </w:t>
      </w:r>
      <w:r w:rsidR="004B539E">
        <w:rPr>
          <w:rFonts w:ascii="Arial" w:eastAsia="Calibri" w:hAnsi="Arial" w:cs="Arial"/>
          <w:color w:val="000000" w:themeColor="text1"/>
          <w:sz w:val="22"/>
          <w:szCs w:val="22"/>
          <w:lang w:val="es-ES_tradnl"/>
        </w:rPr>
        <w:t>C-277 del 21 de junio de 2021</w:t>
      </w:r>
      <w:r w:rsidR="001A7CE4">
        <w:rPr>
          <w:rFonts w:ascii="Arial" w:eastAsia="Calibri" w:hAnsi="Arial" w:cs="Arial"/>
          <w:color w:val="000000" w:themeColor="text1"/>
          <w:sz w:val="22"/>
          <w:szCs w:val="22"/>
          <w:lang w:val="es-ES_tradnl"/>
        </w:rPr>
        <w:t>, C-320 del 1 de julio de 2021</w:t>
      </w:r>
      <w:r w:rsidR="009F6758">
        <w:rPr>
          <w:rFonts w:ascii="Arial" w:eastAsia="Calibri" w:hAnsi="Arial" w:cs="Arial"/>
          <w:color w:val="000000" w:themeColor="text1"/>
          <w:sz w:val="22"/>
          <w:szCs w:val="22"/>
          <w:lang w:val="es-ES_tradnl"/>
        </w:rPr>
        <w:t>,</w:t>
      </w:r>
      <w:r w:rsidR="001A7CE4">
        <w:rPr>
          <w:rFonts w:ascii="Arial" w:eastAsia="Calibri" w:hAnsi="Arial" w:cs="Arial"/>
          <w:color w:val="000000" w:themeColor="text1"/>
          <w:sz w:val="22"/>
          <w:szCs w:val="22"/>
          <w:lang w:val="es-ES_tradnl"/>
        </w:rPr>
        <w:t xml:space="preserve"> C-338 del 12 de julio de2021</w:t>
      </w:r>
      <w:r w:rsidR="009F6758">
        <w:rPr>
          <w:rFonts w:ascii="Arial" w:eastAsia="Calibri" w:hAnsi="Arial" w:cs="Arial"/>
          <w:color w:val="000000" w:themeColor="text1"/>
          <w:sz w:val="22"/>
          <w:szCs w:val="22"/>
          <w:lang w:val="es-ES_tradnl"/>
        </w:rPr>
        <w:t>, entre otros</w:t>
      </w:r>
      <w:r w:rsidR="009F6758">
        <w:rPr>
          <w:rStyle w:val="Refdenotaalpie"/>
          <w:rFonts w:ascii="Arial" w:eastAsia="Calibri" w:hAnsi="Arial" w:cs="Arial"/>
          <w:color w:val="000000" w:themeColor="text1"/>
          <w:sz w:val="22"/>
          <w:szCs w:val="22"/>
          <w:lang w:val="es-ES_tradnl"/>
        </w:rPr>
        <w:footnoteReference w:id="2"/>
      </w:r>
      <w:r w:rsidR="009F6758">
        <w:rPr>
          <w:rFonts w:ascii="Arial" w:eastAsia="Calibri" w:hAnsi="Arial" w:cs="Arial"/>
          <w:color w:val="000000" w:themeColor="text1"/>
          <w:sz w:val="22"/>
          <w:szCs w:val="22"/>
          <w:lang w:val="es-ES_tradnl"/>
        </w:rPr>
        <w:t>.</w:t>
      </w:r>
      <w:r w:rsidR="001A7CE4">
        <w:rPr>
          <w:rFonts w:ascii="Arial" w:eastAsia="Calibri" w:hAnsi="Arial" w:cs="Arial"/>
          <w:color w:val="000000" w:themeColor="text1"/>
          <w:sz w:val="22"/>
          <w:szCs w:val="22"/>
          <w:lang w:val="es-ES_tradnl"/>
        </w:rPr>
        <w:t xml:space="preserve"> </w:t>
      </w:r>
    </w:p>
    <w:p w14:paraId="631201AC" w14:textId="44D6FC33" w:rsidR="001A7CE4" w:rsidRDefault="001A7CE4" w:rsidP="008B0791">
      <w:pPr>
        <w:spacing w:line="276" w:lineRule="auto"/>
        <w:ind w:firstLine="709"/>
        <w:jc w:val="both"/>
        <w:rPr>
          <w:rFonts w:ascii="Arial" w:eastAsia="Calibri" w:hAnsi="Arial" w:cs="Arial"/>
          <w:color w:val="000000" w:themeColor="text1"/>
          <w:sz w:val="22"/>
          <w:szCs w:val="22"/>
          <w:lang w:val="es-ES_tradnl"/>
        </w:rPr>
      </w:pPr>
    </w:p>
    <w:p w14:paraId="1AB2CE24" w14:textId="77777777" w:rsidR="008B0791" w:rsidRPr="00CF16CF" w:rsidRDefault="008B0791" w:rsidP="008B0791">
      <w:pPr>
        <w:spacing w:line="276" w:lineRule="auto"/>
        <w:jc w:val="both"/>
        <w:rPr>
          <w:rFonts w:ascii="Arial" w:eastAsia="Calibri" w:hAnsi="Arial" w:cs="Arial"/>
          <w:b/>
          <w:bCs/>
          <w:color w:val="000000" w:themeColor="text1"/>
          <w:sz w:val="22"/>
          <w:szCs w:val="22"/>
          <w:lang w:val="es-ES_tradnl"/>
        </w:rPr>
      </w:pPr>
      <w:r w:rsidRPr="00CF16CF">
        <w:rPr>
          <w:rFonts w:ascii="Arial" w:eastAsia="Calibri" w:hAnsi="Arial" w:cs="Arial"/>
          <w:b/>
          <w:bCs/>
          <w:color w:val="000000" w:themeColor="text1"/>
          <w:sz w:val="22"/>
          <w:szCs w:val="22"/>
          <w:lang w:val="es-ES_tradnl"/>
        </w:rPr>
        <w:t>2.1. Factores de desempate en la contratación estatal: concepto y características</w:t>
      </w:r>
    </w:p>
    <w:p w14:paraId="589AF7D8" w14:textId="77777777" w:rsidR="008B0791" w:rsidRPr="00CF16CF" w:rsidRDefault="008B0791" w:rsidP="008B0791">
      <w:pPr>
        <w:spacing w:line="276" w:lineRule="auto"/>
        <w:jc w:val="both"/>
        <w:rPr>
          <w:rFonts w:ascii="Arial" w:eastAsia="Calibri" w:hAnsi="Arial" w:cs="Arial"/>
          <w:color w:val="000000" w:themeColor="text1"/>
          <w:sz w:val="22"/>
          <w:szCs w:val="22"/>
          <w:lang w:val="es-ES_tradnl"/>
        </w:rPr>
      </w:pPr>
    </w:p>
    <w:p w14:paraId="4C22FF39" w14:textId="6EAADAFF" w:rsidR="008B0791" w:rsidRPr="00CF16CF" w:rsidRDefault="008B0791" w:rsidP="008B0791">
      <w:pPr>
        <w:spacing w:line="276" w:lineRule="auto"/>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r w:rsidR="002B77BB" w:rsidRPr="00CF16CF">
        <w:rPr>
          <w:rFonts w:ascii="Arial" w:eastAsia="Calibri" w:hAnsi="Arial" w:cs="Arial"/>
          <w:color w:val="000000" w:themeColor="text1"/>
          <w:sz w:val="22"/>
          <w:szCs w:val="22"/>
          <w:lang w:val="es-ES_tradnl"/>
        </w:rPr>
        <w:t>equivalentes</w:t>
      </w:r>
      <w:r w:rsidRPr="00CF16CF">
        <w:rPr>
          <w:rFonts w:ascii="Arial" w:eastAsia="Calibri" w:hAnsi="Arial" w:cs="Arial"/>
          <w:color w:val="000000" w:themeColor="text1"/>
          <w:sz w:val="22"/>
          <w:szCs w:val="22"/>
          <w:lang w:val="es-ES_tradnl"/>
        </w:rPr>
        <w:t xml:space="preserve"> tendrán en cuenta criterios como la experiencia y la capacidad jurídica, financiera y de organización, entre otros elementos que garanticen la escogencia de la mejor opción de negocio para la entidad estatal.</w:t>
      </w:r>
    </w:p>
    <w:p w14:paraId="75A5FACE" w14:textId="77777777" w:rsidR="008B0791" w:rsidRPr="00CF16CF" w:rsidRDefault="008B0791" w:rsidP="008B0791">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materializar el principio de selección objetiva en la contratación pública. Sin embargo, en algunas ocasiones, así se establezcan requisitos habilitantes y factores de calificación </w:t>
      </w:r>
      <w:r>
        <w:rPr>
          <w:rFonts w:ascii="Arial" w:eastAsia="Calibri" w:hAnsi="Arial" w:cs="Arial"/>
          <w:color w:val="000000" w:themeColor="text1"/>
          <w:sz w:val="22"/>
          <w:szCs w:val="22"/>
          <w:lang w:val="es-ES_tradnl"/>
        </w:rPr>
        <w:t>id</w:t>
      </w:r>
      <w:r w:rsidRPr="00CF16CF">
        <w:rPr>
          <w:rFonts w:ascii="Arial" w:eastAsia="Calibri" w:hAnsi="Arial" w:cs="Arial"/>
          <w:color w:val="000000" w:themeColor="text1"/>
          <w:sz w:val="22"/>
          <w:szCs w:val="22"/>
          <w:lang w:val="es-ES_tradnl"/>
        </w:rPr>
        <w:t>ó</w:t>
      </w:r>
      <w:r>
        <w:rPr>
          <w:rFonts w:ascii="Arial" w:eastAsia="Calibri" w:hAnsi="Arial" w:cs="Arial"/>
          <w:color w:val="000000" w:themeColor="text1"/>
          <w:sz w:val="22"/>
          <w:szCs w:val="22"/>
          <w:lang w:val="es-ES_tradnl"/>
        </w:rPr>
        <w:t>neos</w:t>
      </w:r>
      <w:r w:rsidRPr="00CF16CF">
        <w:rPr>
          <w:rFonts w:ascii="Arial" w:eastAsia="Calibri" w:hAnsi="Arial" w:cs="Arial"/>
          <w:color w:val="000000" w:themeColor="text1"/>
          <w:sz w:val="22"/>
          <w:szCs w:val="22"/>
          <w:lang w:val="es-ES_tradnl"/>
        </w:rPr>
        <w:t xml:space="preserve">,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equivalente, al ponderarse los criterios de calificación que, en principio, aplican al procedimiento de selección. </w:t>
      </w:r>
    </w:p>
    <w:p w14:paraId="7B93AD83" w14:textId="77777777" w:rsidR="008B0791" w:rsidRPr="00CF16CF" w:rsidRDefault="008B0791" w:rsidP="008B0791">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w:t>
      </w:r>
      <w:r w:rsidRPr="00CF16CF">
        <w:rPr>
          <w:rFonts w:ascii="Arial" w:eastAsia="Calibri" w:hAnsi="Arial" w:cs="Arial"/>
          <w:color w:val="000000" w:themeColor="text1"/>
          <w:sz w:val="22"/>
          <w:szCs w:val="22"/>
          <w:lang w:val="es-ES_tradnl"/>
        </w:rPr>
        <w:lastRenderedPageBreak/>
        <w:t>desempate deben estar establecidos de antemano y constituyen un límite a la discrecionalidad administrativa en los procedimientos de selección</w:t>
      </w:r>
      <w:r w:rsidRPr="00CF16CF">
        <w:rPr>
          <w:rStyle w:val="Refdenotaalpie"/>
          <w:rFonts w:ascii="Arial" w:hAnsi="Arial" w:cs="Arial"/>
          <w:color w:val="000000" w:themeColor="text1"/>
          <w:sz w:val="21"/>
          <w:szCs w:val="21"/>
          <w:lang w:val="es-ES_tradnl"/>
        </w:rPr>
        <w:footnoteReference w:id="3"/>
      </w:r>
      <w:r w:rsidRPr="00CF16CF">
        <w:rPr>
          <w:rFonts w:ascii="Arial" w:eastAsia="Calibri" w:hAnsi="Arial" w:cs="Arial"/>
          <w:color w:val="000000" w:themeColor="text1"/>
          <w:sz w:val="22"/>
          <w:szCs w:val="22"/>
          <w:lang w:val="es-ES_tradnl"/>
        </w:rPr>
        <w:t xml:space="preserve">. </w:t>
      </w:r>
    </w:p>
    <w:p w14:paraId="6B748461" w14:textId="77777777" w:rsidR="008B0791" w:rsidRPr="00CF16CF" w:rsidRDefault="008B0791" w:rsidP="008B0791">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 xml:space="preserve">En tal sentido, la Corte Constitucional explica que cuando la ley establece factores de desempate obligatorios, las entidades estatales no pueden </w:t>
      </w:r>
      <w:proofErr w:type="spellStart"/>
      <w:r w:rsidRPr="00CF16CF">
        <w:rPr>
          <w:rFonts w:ascii="Arial" w:eastAsia="Calibri" w:hAnsi="Arial" w:cs="Arial"/>
          <w:color w:val="000000" w:themeColor="text1"/>
          <w:sz w:val="22"/>
          <w:szCs w:val="22"/>
          <w:lang w:val="es-ES_tradnl"/>
        </w:rPr>
        <w:t>inaplicarlos</w:t>
      </w:r>
      <w:proofErr w:type="spellEnd"/>
      <w:r w:rsidRPr="00CF16CF">
        <w:rPr>
          <w:rFonts w:ascii="Arial" w:eastAsia="Calibri" w:hAnsi="Arial" w:cs="Arial"/>
          <w:color w:val="000000" w:themeColor="text1"/>
          <w:sz w:val="22"/>
          <w:szCs w:val="22"/>
          <w:lang w:val="es-ES_tradnl"/>
        </w:rPr>
        <w:t>, porque ello podría vulnerar el principio de igualdad, especialmente, cuando algunos de estos criterios surgen como acciones afirmativas para ciertos sectores de la población</w:t>
      </w:r>
      <w:r w:rsidRPr="00CF16CF">
        <w:rPr>
          <w:rStyle w:val="Refdenotaalpie"/>
          <w:rFonts w:ascii="Arial" w:eastAsia="Calibri" w:hAnsi="Arial" w:cs="Arial"/>
          <w:color w:val="000000" w:themeColor="text1"/>
          <w:sz w:val="22"/>
          <w:szCs w:val="22"/>
          <w:lang w:val="es-ES_tradnl"/>
        </w:rPr>
        <w:footnoteReference w:id="4"/>
      </w:r>
      <w:r w:rsidRPr="00CF16CF">
        <w:rPr>
          <w:rFonts w:ascii="Arial" w:eastAsia="Calibri" w:hAnsi="Arial" w:cs="Arial"/>
          <w:color w:val="000000" w:themeColor="text1"/>
          <w:sz w:val="22"/>
          <w:szCs w:val="22"/>
          <w:lang w:val="es-ES_tradnl"/>
        </w:rPr>
        <w:t>. Más aún, el Consejo de Estado ha señalado que contrariar los factores de desempate genera la nulidad del contrato, conforme al artículo 44, inciso 1º de la Ley 80 de 1993</w:t>
      </w:r>
      <w:r w:rsidRPr="00CF16CF">
        <w:rPr>
          <w:rStyle w:val="Refdenotaalpie"/>
          <w:rFonts w:ascii="Arial" w:eastAsia="Calibri" w:hAnsi="Arial" w:cs="Arial"/>
          <w:color w:val="000000" w:themeColor="text1"/>
          <w:sz w:val="22"/>
          <w:szCs w:val="22"/>
          <w:lang w:val="es-ES_tradnl"/>
        </w:rPr>
        <w:footnoteReference w:id="5"/>
      </w:r>
      <w:r w:rsidRPr="00CF16CF">
        <w:rPr>
          <w:rFonts w:ascii="Arial" w:eastAsia="Calibri" w:hAnsi="Arial" w:cs="Arial"/>
          <w:color w:val="000000" w:themeColor="text1"/>
          <w:sz w:val="22"/>
          <w:szCs w:val="22"/>
          <w:lang w:val="es-ES_tradnl"/>
        </w:rPr>
        <w:t>.</w:t>
      </w:r>
    </w:p>
    <w:p w14:paraId="49B0B23E" w14:textId="70077EF0" w:rsidR="008B0791" w:rsidRPr="003C7975" w:rsidRDefault="008B0791" w:rsidP="008B0791">
      <w:pPr>
        <w:spacing w:before="120" w:line="276" w:lineRule="auto"/>
        <w:ind w:firstLine="709"/>
        <w:jc w:val="both"/>
        <w:rPr>
          <w:rFonts w:ascii="Arial" w:eastAsia="Calibri" w:hAnsi="Arial" w:cs="Arial"/>
          <w:color w:val="000000" w:themeColor="text1"/>
          <w:sz w:val="22"/>
          <w:szCs w:val="22"/>
        </w:rPr>
      </w:pPr>
      <w:r w:rsidRPr="00CF16CF">
        <w:rPr>
          <w:rFonts w:ascii="Arial" w:eastAsia="Calibri" w:hAnsi="Arial" w:cs="Arial"/>
          <w:color w:val="000000" w:themeColor="text1"/>
          <w:sz w:val="22"/>
          <w:szCs w:val="22"/>
          <w:lang w:val="es-ES_tradnl"/>
        </w:rPr>
        <w:t xml:space="preserve">Ahora bien, en cumplimiento de los principios de reciprocidad y de </w:t>
      </w:r>
      <w:r w:rsidRPr="00CF16CF">
        <w:rPr>
          <w:rFonts w:ascii="Arial" w:eastAsia="Calibri" w:hAnsi="Arial" w:cs="Arial"/>
          <w:i/>
          <w:iCs/>
          <w:color w:val="000000" w:themeColor="text1"/>
          <w:sz w:val="22"/>
          <w:szCs w:val="22"/>
          <w:lang w:val="es-ES_tradnl"/>
        </w:rPr>
        <w:t xml:space="preserve">pacta sunt </w:t>
      </w:r>
      <w:proofErr w:type="spellStart"/>
      <w:r w:rsidRPr="00CF16CF">
        <w:rPr>
          <w:rFonts w:ascii="Arial" w:eastAsia="Calibri" w:hAnsi="Arial" w:cs="Arial"/>
          <w:i/>
          <w:iCs/>
          <w:color w:val="000000" w:themeColor="text1"/>
          <w:sz w:val="22"/>
          <w:szCs w:val="22"/>
          <w:lang w:val="es-ES_tradnl"/>
        </w:rPr>
        <w:t>servanda</w:t>
      </w:r>
      <w:proofErr w:type="spellEnd"/>
      <w:r w:rsidRPr="00CF16CF">
        <w:rPr>
          <w:rFonts w:ascii="Arial" w:eastAsia="Calibri" w:hAnsi="Arial" w:cs="Arial"/>
          <w:color w:val="000000" w:themeColor="text1"/>
          <w:sz w:val="22"/>
          <w:szCs w:val="22"/>
          <w:lang w:val="es-ES_tradnl"/>
        </w:rPr>
        <w:t>,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w:t>
      </w:r>
    </w:p>
    <w:p w14:paraId="11AA3E6C" w14:textId="77777777" w:rsidR="00C33A69" w:rsidRPr="003C7975" w:rsidRDefault="00C33A69" w:rsidP="00FC204D">
      <w:pPr>
        <w:tabs>
          <w:tab w:val="left" w:pos="426"/>
        </w:tabs>
        <w:jc w:val="both"/>
        <w:rPr>
          <w:rFonts w:ascii="Arial" w:eastAsia="Calibri" w:hAnsi="Arial" w:cs="Arial"/>
          <w:sz w:val="22"/>
          <w:szCs w:val="22"/>
          <w:lang w:val="es-ES"/>
        </w:rPr>
      </w:pPr>
    </w:p>
    <w:p w14:paraId="1F0A090B" w14:textId="55300036" w:rsidR="00335574" w:rsidRPr="003C7975" w:rsidRDefault="00335574" w:rsidP="004F3D28">
      <w:pPr>
        <w:spacing w:line="276" w:lineRule="auto"/>
        <w:jc w:val="both"/>
        <w:rPr>
          <w:rFonts w:ascii="Arial" w:hAnsi="Arial" w:cs="Arial"/>
          <w:color w:val="000000"/>
          <w:sz w:val="22"/>
          <w:szCs w:val="22"/>
        </w:rPr>
      </w:pPr>
      <w:r w:rsidRPr="003C7975">
        <w:rPr>
          <w:rFonts w:ascii="Arial" w:hAnsi="Arial" w:cs="Arial"/>
          <w:b/>
          <w:bCs/>
          <w:color w:val="000000"/>
          <w:sz w:val="22"/>
          <w:szCs w:val="22"/>
          <w:bdr w:val="none" w:sz="0" w:space="0" w:color="auto" w:frame="1"/>
        </w:rPr>
        <w:t>2.1. Vigencia y ámbito de aplicación de la Ley 2069 de 2020 </w:t>
      </w:r>
    </w:p>
    <w:p w14:paraId="5F09B34D" w14:textId="77777777" w:rsidR="00335574" w:rsidRPr="003C7975" w:rsidRDefault="00335574" w:rsidP="00FC204D">
      <w:pPr>
        <w:jc w:val="both"/>
        <w:rPr>
          <w:rFonts w:ascii="Arial" w:hAnsi="Arial" w:cs="Arial"/>
          <w:color w:val="000000"/>
          <w:sz w:val="22"/>
          <w:szCs w:val="22"/>
        </w:rPr>
      </w:pPr>
      <w:r w:rsidRPr="003C7975">
        <w:rPr>
          <w:rFonts w:ascii="Arial" w:hAnsi="Arial" w:cs="Arial"/>
          <w:color w:val="000000"/>
          <w:sz w:val="22"/>
          <w:szCs w:val="22"/>
          <w:bdr w:val="none" w:sz="0" w:space="0" w:color="auto" w:frame="1"/>
        </w:rPr>
        <w:t> </w:t>
      </w:r>
    </w:p>
    <w:p w14:paraId="17F1464D" w14:textId="77777777" w:rsidR="00EE7035" w:rsidRPr="003C7975" w:rsidRDefault="00EE7035" w:rsidP="00EE7035">
      <w:pPr>
        <w:spacing w:line="276" w:lineRule="auto"/>
        <w:jc w:val="both"/>
        <w:rPr>
          <w:rFonts w:ascii="Arial" w:eastAsia="Calibri" w:hAnsi="Arial" w:cs="Arial"/>
          <w:color w:val="000000" w:themeColor="text1"/>
          <w:sz w:val="22"/>
          <w:szCs w:val="22"/>
          <w:lang w:val="es-ES_tradnl"/>
        </w:rPr>
      </w:pPr>
      <w:r w:rsidRPr="003C7975">
        <w:rPr>
          <w:rFonts w:ascii="Arial" w:eastAsia="Calibri" w:hAnsi="Arial" w:cs="Arial"/>
          <w:color w:val="000000" w:themeColor="text1"/>
          <w:sz w:val="22"/>
          <w:szCs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1E22AB4D" w14:textId="77777777" w:rsidR="00EE7035" w:rsidRPr="003C7975" w:rsidRDefault="00EE7035" w:rsidP="00EE7035">
      <w:pPr>
        <w:spacing w:before="120" w:line="276" w:lineRule="auto"/>
        <w:ind w:firstLine="709"/>
        <w:jc w:val="both"/>
        <w:rPr>
          <w:rFonts w:ascii="Arial" w:eastAsia="Calibri" w:hAnsi="Arial" w:cs="Arial"/>
          <w:color w:val="000000" w:themeColor="text1"/>
          <w:sz w:val="22"/>
          <w:szCs w:val="22"/>
          <w:lang w:val="es-ES_tradnl"/>
        </w:rPr>
      </w:pPr>
      <w:r w:rsidRPr="003C7975">
        <w:rPr>
          <w:rFonts w:ascii="Arial" w:eastAsia="Calibri" w:hAnsi="Arial" w:cs="Arial"/>
          <w:color w:val="000000" w:themeColor="text1"/>
          <w:sz w:val="22"/>
          <w:szCs w:val="22"/>
          <w:lang w:val="es-ES_tradnl"/>
        </w:rPr>
        <w:t xml:space="preserve">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3C7975">
        <w:rPr>
          <w:rFonts w:ascii="Arial" w:eastAsia="Calibri" w:hAnsi="Arial" w:cs="Arial"/>
          <w:color w:val="000000" w:themeColor="text1"/>
          <w:sz w:val="22"/>
          <w:szCs w:val="22"/>
          <w:lang w:val="es-ES_tradnl"/>
        </w:rPr>
        <w:t>de acuerdo a</w:t>
      </w:r>
      <w:proofErr w:type="gramEnd"/>
      <w:r w:rsidRPr="003C7975">
        <w:rPr>
          <w:rFonts w:ascii="Arial" w:eastAsia="Calibri" w:hAnsi="Arial" w:cs="Arial"/>
          <w:color w:val="000000" w:themeColor="text1"/>
          <w:sz w:val="22"/>
          <w:szCs w:val="22"/>
          <w:lang w:val="es-ES_tradnl"/>
        </w:rPr>
        <w:t xml:space="preserve"> las realidades socioeconómicas de cada región». En desarrollo de esta finalidad, </w:t>
      </w:r>
      <w:r w:rsidRPr="003C7975">
        <w:rPr>
          <w:rFonts w:ascii="Arial" w:eastAsia="Calibri" w:hAnsi="Arial" w:cs="Arial"/>
          <w:color w:val="000000" w:themeColor="text1"/>
          <w:sz w:val="22"/>
          <w:szCs w:val="22"/>
          <w:lang w:val="es-ES_tradnl"/>
        </w:rPr>
        <w:lastRenderedPageBreak/>
        <w:t>se establecen medidas de apoyo para las micro, pequeñas y medianas empresas –</w:t>
      </w:r>
      <w:proofErr w:type="spellStart"/>
      <w:r w:rsidRPr="003C7975">
        <w:rPr>
          <w:rFonts w:ascii="Arial" w:eastAsia="Calibri" w:hAnsi="Arial" w:cs="Arial"/>
          <w:color w:val="000000" w:themeColor="text1"/>
          <w:sz w:val="22"/>
          <w:szCs w:val="22"/>
          <w:lang w:val="es-ES_tradnl"/>
        </w:rPr>
        <w:t>mipymes</w:t>
      </w:r>
      <w:proofErr w:type="spellEnd"/>
      <w:r w:rsidRPr="003C7975">
        <w:rPr>
          <w:rFonts w:ascii="Arial" w:eastAsia="Calibri" w:hAnsi="Arial" w:cs="Arial"/>
          <w:color w:val="000000" w:themeColor="text1"/>
          <w:sz w:val="22"/>
          <w:szCs w:val="22"/>
          <w:lang w:val="es-ES_tradnl"/>
        </w:rPr>
        <w:t>–, mediante la racionalización y simplificación de los trámites y tarifas</w:t>
      </w:r>
      <w:r w:rsidRPr="003C7975">
        <w:rPr>
          <w:rStyle w:val="Refdenotaalpie"/>
          <w:rFonts w:ascii="Arial" w:eastAsia="Calibri" w:hAnsi="Arial" w:cs="Arial"/>
          <w:color w:val="000000" w:themeColor="text1"/>
          <w:sz w:val="22"/>
          <w:szCs w:val="22"/>
          <w:lang w:val="es-ES_tradnl"/>
        </w:rPr>
        <w:footnoteReference w:id="6"/>
      </w:r>
      <w:r w:rsidRPr="003C7975">
        <w:rPr>
          <w:rFonts w:ascii="Arial" w:eastAsia="Calibri" w:hAnsi="Arial" w:cs="Arial"/>
          <w:color w:val="000000" w:themeColor="text1"/>
          <w:sz w:val="22"/>
          <w:szCs w:val="22"/>
          <w:lang w:val="es-ES_tradnl"/>
        </w:rPr>
        <w:t>, así como incentivos a favor de aquellas dentro del sistema de compras y contratación pública</w:t>
      </w:r>
      <w:r w:rsidRPr="003C7975">
        <w:rPr>
          <w:rStyle w:val="Refdenotaalpie"/>
          <w:rFonts w:ascii="Arial" w:eastAsia="Calibri" w:hAnsi="Arial" w:cs="Arial"/>
          <w:color w:val="000000" w:themeColor="text1"/>
          <w:sz w:val="22"/>
          <w:szCs w:val="22"/>
          <w:lang w:val="es-ES_tradnl"/>
        </w:rPr>
        <w:footnoteReference w:id="7"/>
      </w:r>
      <w:r w:rsidRPr="003C7975">
        <w:rPr>
          <w:rFonts w:ascii="Arial" w:eastAsia="Calibri" w:hAnsi="Arial" w:cs="Arial"/>
          <w:color w:val="000000" w:themeColor="text1"/>
          <w:sz w:val="22"/>
          <w:szCs w:val="22"/>
          <w:lang w:val="es-ES_tradnl"/>
        </w:rPr>
        <w:t>. De igual forma, se consagran mecanismos de acceso al financiamiento</w:t>
      </w:r>
      <w:r w:rsidRPr="003C7975">
        <w:rPr>
          <w:rStyle w:val="Refdenotaalpie"/>
          <w:rFonts w:ascii="Arial" w:eastAsia="Calibri" w:hAnsi="Arial" w:cs="Arial"/>
          <w:color w:val="000000" w:themeColor="text1"/>
          <w:sz w:val="22"/>
          <w:szCs w:val="22"/>
          <w:lang w:val="es-ES_tradnl"/>
        </w:rPr>
        <w:footnoteReference w:id="8"/>
      </w:r>
      <w:r w:rsidRPr="003C7975">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3C7975">
        <w:rPr>
          <w:rStyle w:val="Refdenotaalpie"/>
          <w:rFonts w:ascii="Arial" w:eastAsia="Calibri" w:hAnsi="Arial" w:cs="Arial"/>
          <w:color w:val="000000" w:themeColor="text1"/>
          <w:sz w:val="22"/>
          <w:szCs w:val="22"/>
          <w:lang w:val="es-ES_tradnl"/>
        </w:rPr>
        <w:footnoteReference w:id="9"/>
      </w:r>
      <w:r w:rsidRPr="003C7975">
        <w:rPr>
          <w:rFonts w:ascii="Arial" w:eastAsia="Calibri" w:hAnsi="Arial" w:cs="Arial"/>
          <w:color w:val="000000" w:themeColor="text1"/>
          <w:sz w:val="22"/>
          <w:szCs w:val="22"/>
          <w:lang w:val="es-ES_tradnl"/>
        </w:rPr>
        <w:t xml:space="preserve"> y se prevén medidas de educación para el emprendimiento y la innovación</w:t>
      </w:r>
      <w:r w:rsidRPr="003C7975">
        <w:rPr>
          <w:rStyle w:val="Refdenotaalpie"/>
          <w:rFonts w:ascii="Arial" w:eastAsia="Calibri" w:hAnsi="Arial" w:cs="Arial"/>
          <w:color w:val="000000" w:themeColor="text1"/>
          <w:sz w:val="22"/>
          <w:szCs w:val="22"/>
          <w:lang w:val="es-ES_tradnl"/>
        </w:rPr>
        <w:footnoteReference w:id="10"/>
      </w:r>
      <w:r w:rsidRPr="003C7975">
        <w:rPr>
          <w:rFonts w:ascii="Arial" w:eastAsia="Calibri" w:hAnsi="Arial" w:cs="Arial"/>
          <w:color w:val="000000" w:themeColor="text1"/>
          <w:sz w:val="22"/>
          <w:szCs w:val="22"/>
          <w:lang w:val="es-ES_tradnl"/>
        </w:rPr>
        <w:t>.</w:t>
      </w:r>
    </w:p>
    <w:p w14:paraId="33126CB5" w14:textId="00383652" w:rsidR="00EE7035" w:rsidRPr="003C7975" w:rsidRDefault="00EE7035" w:rsidP="00EE7035">
      <w:pPr>
        <w:spacing w:before="120" w:line="276" w:lineRule="auto"/>
        <w:ind w:firstLine="708"/>
        <w:jc w:val="both"/>
        <w:rPr>
          <w:rFonts w:ascii="Arial" w:eastAsia="Calibri" w:hAnsi="Arial" w:cs="Arial"/>
          <w:color w:val="000000" w:themeColor="text1"/>
          <w:sz w:val="22"/>
          <w:szCs w:val="22"/>
          <w:lang w:val="es-ES_tradnl"/>
        </w:rPr>
      </w:pPr>
      <w:r w:rsidRPr="003C7975">
        <w:rPr>
          <w:rFonts w:ascii="Arial" w:eastAsia="Calibri" w:hAnsi="Arial" w:cs="Arial"/>
          <w:color w:val="000000" w:themeColor="text1"/>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3C7975">
        <w:rPr>
          <w:rFonts w:ascii="Arial" w:eastAsia="Calibri" w:hAnsi="Arial" w:cs="Arial"/>
          <w:color w:val="000000" w:themeColor="text1"/>
          <w:sz w:val="22"/>
          <w:szCs w:val="22"/>
          <w:lang w:val="es-ES_tradnl"/>
        </w:rPr>
        <w:t>mipymes</w:t>
      </w:r>
      <w:proofErr w:type="spellEnd"/>
      <w:r w:rsidRPr="003C7975">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3C7975">
        <w:rPr>
          <w:rFonts w:ascii="Arial" w:eastAsia="Calibri" w:hAnsi="Arial" w:cs="Arial"/>
          <w:color w:val="000000" w:themeColor="text1"/>
          <w:sz w:val="22"/>
          <w:szCs w:val="22"/>
          <w:lang w:val="es-ES_tradnl"/>
        </w:rPr>
        <w:t>mipymes</w:t>
      </w:r>
      <w:proofErr w:type="spellEnd"/>
      <w:r w:rsidRPr="003C7975">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3C7975">
        <w:rPr>
          <w:rFonts w:ascii="Arial" w:eastAsia="Calibri" w:hAnsi="Arial" w:cs="Arial"/>
          <w:color w:val="000000" w:themeColor="text1"/>
          <w:sz w:val="22"/>
          <w:szCs w:val="22"/>
          <w:lang w:val="es-ES_tradnl"/>
        </w:rPr>
        <w:t>mipymes</w:t>
      </w:r>
      <w:proofErr w:type="spellEnd"/>
      <w:r w:rsidRPr="003C7975">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continuación</w:t>
      </w:r>
      <w:r w:rsidR="00906CE0" w:rsidRPr="003C7975">
        <w:rPr>
          <w:rFonts w:ascii="Arial" w:eastAsia="Calibri" w:hAnsi="Arial" w:cs="Arial"/>
          <w:color w:val="000000" w:themeColor="text1"/>
          <w:sz w:val="22"/>
          <w:szCs w:val="22"/>
          <w:lang w:val="es-ES_tradnl"/>
        </w:rPr>
        <w:t>,</w:t>
      </w:r>
      <w:r w:rsidRPr="003C7975">
        <w:rPr>
          <w:rFonts w:ascii="Arial" w:eastAsia="Calibri" w:hAnsi="Arial" w:cs="Arial"/>
          <w:color w:val="000000" w:themeColor="text1"/>
          <w:sz w:val="22"/>
          <w:szCs w:val="22"/>
          <w:lang w:val="es-ES_tradnl"/>
        </w:rPr>
        <w:t xml:space="preserve"> se estudiará el contenido y alcance de dicha norma.   </w:t>
      </w:r>
    </w:p>
    <w:p w14:paraId="68FD6FEA" w14:textId="531069D3" w:rsidR="00906CE0" w:rsidRPr="003C7975" w:rsidRDefault="00335574" w:rsidP="004F3D28">
      <w:pPr>
        <w:spacing w:line="276" w:lineRule="auto"/>
        <w:jc w:val="both"/>
        <w:rPr>
          <w:rFonts w:ascii="Arial" w:hAnsi="Arial" w:cs="Arial"/>
          <w:color w:val="000000"/>
          <w:sz w:val="22"/>
          <w:szCs w:val="22"/>
        </w:rPr>
      </w:pPr>
      <w:r w:rsidRPr="003C7975">
        <w:rPr>
          <w:rFonts w:ascii="Arial" w:hAnsi="Arial" w:cs="Arial"/>
          <w:color w:val="000000"/>
          <w:sz w:val="22"/>
          <w:szCs w:val="22"/>
          <w:bdr w:val="none" w:sz="0" w:space="0" w:color="auto" w:frame="1"/>
        </w:rPr>
        <w:t> </w:t>
      </w:r>
    </w:p>
    <w:p w14:paraId="3E274D08" w14:textId="0329E89A" w:rsidR="00335574" w:rsidRPr="003C7975" w:rsidRDefault="00335574" w:rsidP="004F3D28">
      <w:pPr>
        <w:spacing w:line="276" w:lineRule="auto"/>
        <w:jc w:val="both"/>
        <w:rPr>
          <w:rFonts w:ascii="Arial" w:hAnsi="Arial" w:cs="Arial"/>
          <w:color w:val="000000"/>
          <w:sz w:val="22"/>
          <w:szCs w:val="22"/>
        </w:rPr>
      </w:pPr>
      <w:r w:rsidRPr="003C7975">
        <w:rPr>
          <w:rFonts w:ascii="Arial" w:hAnsi="Arial" w:cs="Arial"/>
          <w:b/>
          <w:bCs/>
          <w:color w:val="000000"/>
          <w:sz w:val="22"/>
          <w:szCs w:val="22"/>
          <w:bdr w:val="none" w:sz="0" w:space="0" w:color="auto" w:frame="1"/>
        </w:rPr>
        <w:t>2.</w:t>
      </w:r>
      <w:r w:rsidR="00CA07DE">
        <w:rPr>
          <w:rFonts w:ascii="Arial" w:hAnsi="Arial" w:cs="Arial"/>
          <w:b/>
          <w:bCs/>
          <w:color w:val="000000"/>
          <w:sz w:val="22"/>
          <w:szCs w:val="22"/>
          <w:bdr w:val="none" w:sz="0" w:space="0" w:color="auto" w:frame="1"/>
        </w:rPr>
        <w:t>3</w:t>
      </w:r>
      <w:r w:rsidRPr="003C7975">
        <w:rPr>
          <w:rFonts w:ascii="Arial" w:hAnsi="Arial" w:cs="Arial"/>
          <w:b/>
          <w:bCs/>
          <w:color w:val="000000"/>
          <w:sz w:val="22"/>
          <w:szCs w:val="22"/>
          <w:bdr w:val="none" w:sz="0" w:space="0" w:color="auto" w:frame="1"/>
        </w:rPr>
        <w:t xml:space="preserve">. </w:t>
      </w:r>
      <w:r w:rsidR="00F24FB8">
        <w:rPr>
          <w:rFonts w:ascii="Arial" w:hAnsi="Arial" w:cs="Arial"/>
          <w:b/>
          <w:bCs/>
          <w:color w:val="000000"/>
          <w:sz w:val="22"/>
          <w:szCs w:val="22"/>
          <w:bdr w:val="none" w:sz="0" w:space="0" w:color="auto" w:frame="1"/>
        </w:rPr>
        <w:t>L</w:t>
      </w:r>
      <w:r w:rsidRPr="003C7975">
        <w:rPr>
          <w:rFonts w:ascii="Arial" w:hAnsi="Arial" w:cs="Arial"/>
          <w:b/>
          <w:bCs/>
          <w:color w:val="000000"/>
          <w:sz w:val="22"/>
          <w:szCs w:val="22"/>
          <w:bdr w:val="none" w:sz="0" w:space="0" w:color="auto" w:frame="1"/>
        </w:rPr>
        <w:t xml:space="preserve">os factores de desempate </w:t>
      </w:r>
      <w:r w:rsidR="00F24FB8">
        <w:rPr>
          <w:rFonts w:ascii="Arial" w:hAnsi="Arial" w:cs="Arial"/>
          <w:b/>
          <w:bCs/>
          <w:color w:val="000000"/>
          <w:sz w:val="22"/>
          <w:szCs w:val="22"/>
          <w:bdr w:val="none" w:sz="0" w:space="0" w:color="auto" w:frame="1"/>
        </w:rPr>
        <w:t>introducidos por</w:t>
      </w:r>
      <w:r w:rsidR="00F24FB8" w:rsidRPr="003C7975">
        <w:rPr>
          <w:rFonts w:ascii="Arial" w:hAnsi="Arial" w:cs="Arial"/>
          <w:b/>
          <w:bCs/>
          <w:color w:val="000000"/>
          <w:sz w:val="22"/>
          <w:szCs w:val="22"/>
          <w:bdr w:val="none" w:sz="0" w:space="0" w:color="auto" w:frame="1"/>
        </w:rPr>
        <w:t xml:space="preserve"> </w:t>
      </w:r>
      <w:r w:rsidRPr="003C7975">
        <w:rPr>
          <w:rFonts w:ascii="Arial" w:hAnsi="Arial" w:cs="Arial"/>
          <w:b/>
          <w:bCs/>
          <w:color w:val="000000"/>
          <w:sz w:val="22"/>
          <w:szCs w:val="22"/>
          <w:bdr w:val="none" w:sz="0" w:space="0" w:color="auto" w:frame="1"/>
        </w:rPr>
        <w:t>en el artículo 35 de la Ley 2069 de 2020 </w:t>
      </w:r>
    </w:p>
    <w:p w14:paraId="04C2F231" w14:textId="77777777" w:rsidR="00335574" w:rsidRPr="003C7975" w:rsidRDefault="00335574" w:rsidP="004F3D28">
      <w:pPr>
        <w:spacing w:line="276" w:lineRule="auto"/>
        <w:jc w:val="both"/>
        <w:rPr>
          <w:rFonts w:ascii="Arial" w:hAnsi="Arial" w:cs="Arial"/>
          <w:color w:val="000000"/>
          <w:sz w:val="22"/>
          <w:szCs w:val="22"/>
        </w:rPr>
      </w:pPr>
      <w:r w:rsidRPr="003C7975">
        <w:rPr>
          <w:rFonts w:ascii="Arial" w:hAnsi="Arial" w:cs="Arial"/>
          <w:color w:val="000000"/>
          <w:sz w:val="22"/>
          <w:szCs w:val="22"/>
          <w:bdr w:val="none" w:sz="0" w:space="0" w:color="auto" w:frame="1"/>
        </w:rPr>
        <w:t> </w:t>
      </w:r>
    </w:p>
    <w:p w14:paraId="349A3BFF" w14:textId="77777777" w:rsidR="00EE7035" w:rsidRPr="003C7975" w:rsidRDefault="00EE7035" w:rsidP="00EE7035">
      <w:pPr>
        <w:spacing w:line="276" w:lineRule="auto"/>
        <w:jc w:val="both"/>
        <w:rPr>
          <w:rFonts w:ascii="Arial" w:eastAsia="Calibri" w:hAnsi="Arial" w:cs="Arial"/>
          <w:color w:val="000000" w:themeColor="text1"/>
          <w:sz w:val="22"/>
          <w:szCs w:val="22"/>
          <w:lang w:val="es-ES_tradnl"/>
        </w:rPr>
      </w:pPr>
      <w:r w:rsidRPr="003C7975">
        <w:rPr>
          <w:rFonts w:ascii="Arial" w:eastAsia="Calibri" w:hAnsi="Arial" w:cs="Arial"/>
          <w:color w:val="000000" w:themeColor="text1"/>
          <w:sz w:val="22"/>
          <w:szCs w:val="22"/>
          <w:lang w:val="es-ES_tradnl"/>
        </w:rPr>
        <w:t xml:space="preserve">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algunos numerales de dicho artículo, la Subdirección de Gestión Contractual se pronunciará sobre el alcance que otorga a tales disposiciones. Esto sin pasar por alto la novedad de la Ley 2069 de 2020 –dada su reciente </w:t>
      </w:r>
      <w:proofErr w:type="gramStart"/>
      <w:r w:rsidRPr="003C7975">
        <w:rPr>
          <w:rFonts w:ascii="Arial" w:eastAsia="Calibri" w:hAnsi="Arial" w:cs="Arial"/>
          <w:color w:val="000000" w:themeColor="text1"/>
          <w:sz w:val="22"/>
          <w:szCs w:val="22"/>
          <w:lang w:val="es-ES_tradnl"/>
        </w:rPr>
        <w:t>entrada en vigencia</w:t>
      </w:r>
      <w:proofErr w:type="gramEnd"/>
      <w:r w:rsidRPr="003C7975">
        <w:rPr>
          <w:rFonts w:ascii="Arial" w:eastAsia="Calibri" w:hAnsi="Arial" w:cs="Arial"/>
          <w:color w:val="000000" w:themeColor="text1"/>
          <w:sz w:val="22"/>
          <w:szCs w:val="22"/>
          <w:lang w:val="es-ES_tradnl"/>
        </w:rPr>
        <w:t>– y la ausencia de pronunciamientos jurisprudenciales o estudios doctrinarios sobre el tema, que seguramente contribuirán a decantar la interpretación de las normas en comento.</w:t>
      </w:r>
    </w:p>
    <w:p w14:paraId="1BFC8027" w14:textId="77777777" w:rsidR="00EE7035" w:rsidRPr="003C7975" w:rsidRDefault="00EE7035" w:rsidP="00EE7035">
      <w:pPr>
        <w:spacing w:before="120" w:line="276" w:lineRule="auto"/>
        <w:ind w:firstLine="709"/>
        <w:jc w:val="both"/>
        <w:rPr>
          <w:rFonts w:ascii="Arial" w:eastAsia="Calibri" w:hAnsi="Arial" w:cs="Arial"/>
          <w:color w:val="000000" w:themeColor="text1"/>
          <w:sz w:val="22"/>
          <w:szCs w:val="22"/>
          <w:lang w:val="es-ES_tradnl"/>
        </w:rPr>
      </w:pPr>
      <w:r w:rsidRPr="003C7975">
        <w:rPr>
          <w:rFonts w:ascii="Arial" w:eastAsia="Calibri" w:hAnsi="Arial" w:cs="Arial"/>
          <w:color w:val="000000" w:themeColor="text1"/>
          <w:sz w:val="22"/>
          <w:szCs w:val="22"/>
          <w:lang w:val="es-ES_tradnl"/>
        </w:rPr>
        <w:lastRenderedPageBreak/>
        <w:t xml:space="preserve">Al respecto, </w:t>
      </w:r>
      <w:r w:rsidRPr="003C7975">
        <w:rPr>
          <w:rFonts w:ascii="Arial" w:eastAsia="Calibri" w:hAnsi="Arial" w:cs="Arial"/>
          <w:sz w:val="22"/>
          <w:szCs w:val="22"/>
          <w:lang w:val="es-ES_tradnl"/>
        </w:rPr>
        <w:t>pese a que el parágrafo 3 dispone que el Gobierno Nacional podrá regular los supuestos en que concurran dos o más factores de desempate,</w:t>
      </w:r>
      <w:r w:rsidRPr="003C7975">
        <w:rPr>
          <w:rFonts w:ascii="Arial" w:eastAsia="Calibri" w:hAnsi="Arial" w:cs="Arial"/>
          <w:color w:val="000000" w:themeColor="text1"/>
          <w:sz w:val="22"/>
          <w:szCs w:val="22"/>
          <w:lang w:val="es-ES_tradnl"/>
        </w:rPr>
        <w:t xml:space="preserve"> se considera que el artículo 35 de la Ley 2069 de 2020 goza de aplicación directa desde la fecha de su promulgación, es decir, no requiere de una reglamentación previa como presupuesto para su eficacia. Esta precisión reviste importancia, porque algunas normas de la Ley de Emprendimiento establecen un mandato de reglamentación, dirigido al gobierno nacional, como condición para aplicar lo dispuesto en la misma. </w:t>
      </w:r>
    </w:p>
    <w:p w14:paraId="40CD1BD4" w14:textId="77777777" w:rsidR="00EE7035" w:rsidRPr="003C7975" w:rsidRDefault="00EE7035" w:rsidP="00EE7035">
      <w:pPr>
        <w:spacing w:before="120" w:line="276" w:lineRule="auto"/>
        <w:ind w:firstLine="709"/>
        <w:jc w:val="both"/>
        <w:rPr>
          <w:rFonts w:ascii="Arial" w:eastAsia="Calibri" w:hAnsi="Arial" w:cs="Arial"/>
          <w:color w:val="000000" w:themeColor="text1"/>
          <w:sz w:val="22"/>
          <w:szCs w:val="22"/>
          <w:lang w:val="es-ES_tradnl"/>
        </w:rPr>
      </w:pPr>
      <w:r w:rsidRPr="003C7975">
        <w:rPr>
          <w:rFonts w:ascii="Arial" w:eastAsia="Calibri" w:hAnsi="Arial" w:cs="Arial"/>
          <w:color w:val="000000" w:themeColor="text1"/>
          <w:sz w:val="22"/>
          <w:szCs w:val="22"/>
          <w:lang w:val="es-ES_tradnl"/>
        </w:rPr>
        <w:t xml:space="preserve">Por ejemplo, en lo que a las compras públicas se refiere, el parágrafo primero del artículo 30, que alude a la participación de </w:t>
      </w:r>
      <w:proofErr w:type="spellStart"/>
      <w:r w:rsidRPr="003C7975">
        <w:rPr>
          <w:rFonts w:ascii="Arial" w:eastAsia="Calibri" w:hAnsi="Arial" w:cs="Arial"/>
          <w:color w:val="000000" w:themeColor="text1"/>
          <w:sz w:val="22"/>
          <w:szCs w:val="22"/>
          <w:lang w:val="es-ES_tradnl"/>
        </w:rPr>
        <w:t>mipymes</w:t>
      </w:r>
      <w:proofErr w:type="spellEnd"/>
      <w:r w:rsidRPr="003C7975">
        <w:rPr>
          <w:rFonts w:ascii="Arial" w:eastAsia="Calibri" w:hAnsi="Arial" w:cs="Arial"/>
          <w:color w:val="000000" w:themeColor="text1"/>
          <w:sz w:val="22"/>
          <w:szCs w:val="22"/>
          <w:lang w:val="es-ES_tradnl"/>
        </w:rPr>
        <w:t xml:space="preserve"> en procedimientos de mínima cuantía, establece que «Las particularidades del procedimiento aquí previsto, así como la posibilidad que tengan las entidades de realizar estas adquisiciones</w:t>
      </w:r>
      <w:r w:rsidRPr="00CA07DE">
        <w:rPr>
          <w:rFonts w:ascii="Arial" w:eastAsia="Calibri" w:hAnsi="Arial" w:cs="Arial"/>
          <w:color w:val="000000" w:themeColor="text1"/>
          <w:sz w:val="22"/>
          <w:szCs w:val="22"/>
          <w:lang w:val="es-ES_tradnl"/>
        </w:rPr>
        <w:t xml:space="preserve"> a Mipymes o establecimientos que correspondan a la definición de "gran almacén" señalada por la Superintendencia de Industria y Comercio, se determinarán en el reglamento que para el efecto expida </w:t>
      </w:r>
      <w:r w:rsidRPr="003C7975">
        <w:rPr>
          <w:rFonts w:ascii="Arial" w:eastAsia="Calibri" w:hAnsi="Arial" w:cs="Arial"/>
          <w:color w:val="000000" w:themeColor="text1"/>
          <w:sz w:val="22"/>
          <w:szCs w:val="22"/>
          <w:lang w:val="es-ES_tradnl"/>
        </w:rPr>
        <w:t xml:space="preserve">el Gobierno Nacional». En un sentido similar, el parágrafo segundo del mismo artículo expresa que «La contratación a que se refiere el presente artículo se realizará exclusivamente con las reglas en él contempladas y en su reglamentación. […]». </w:t>
      </w:r>
    </w:p>
    <w:p w14:paraId="17B16EAF" w14:textId="77777777" w:rsidR="00EE7035" w:rsidRPr="003C7975" w:rsidRDefault="00EE7035" w:rsidP="00EE7035">
      <w:pPr>
        <w:spacing w:before="120" w:line="276" w:lineRule="auto"/>
        <w:ind w:firstLine="709"/>
        <w:jc w:val="both"/>
        <w:rPr>
          <w:rFonts w:ascii="Arial" w:eastAsia="Calibri" w:hAnsi="Arial" w:cs="Arial"/>
          <w:color w:val="000000" w:themeColor="text1"/>
          <w:sz w:val="22"/>
          <w:szCs w:val="22"/>
          <w:lang w:val="es-ES_tradnl"/>
        </w:rPr>
      </w:pPr>
      <w:r w:rsidRPr="003C7975">
        <w:rPr>
          <w:rFonts w:ascii="Arial" w:eastAsia="Calibri" w:hAnsi="Arial" w:cs="Arial"/>
          <w:color w:val="000000" w:themeColor="text1"/>
          <w:sz w:val="22"/>
          <w:szCs w:val="22"/>
          <w:lang w:val="es-ES_tradnl"/>
        </w:rPr>
        <w:t>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0CEFDAD0" w14:textId="77777777" w:rsidR="00EE7035" w:rsidRPr="003C7975" w:rsidRDefault="00EE7035" w:rsidP="00EE7035">
      <w:pPr>
        <w:spacing w:before="120" w:line="276" w:lineRule="auto"/>
        <w:ind w:firstLine="709"/>
        <w:jc w:val="both"/>
        <w:rPr>
          <w:rFonts w:ascii="Arial" w:eastAsia="Calibri" w:hAnsi="Arial" w:cs="Arial"/>
          <w:color w:val="000000" w:themeColor="text1"/>
          <w:sz w:val="22"/>
          <w:szCs w:val="22"/>
          <w:lang w:val="es-ES_tradnl"/>
        </w:rPr>
      </w:pPr>
      <w:r w:rsidRPr="003C7975">
        <w:rPr>
          <w:rFonts w:ascii="Arial" w:eastAsia="Calibri" w:hAnsi="Arial" w:cs="Arial"/>
          <w:color w:val="000000" w:themeColor="text1"/>
          <w:sz w:val="22"/>
          <w:szCs w:val="22"/>
          <w:lang w:val="es-ES_tradnl"/>
        </w:rPr>
        <w:t>Lo mismo no sucede con el artículo 35</w:t>
      </w:r>
      <w:r w:rsidRPr="003C7975">
        <w:rPr>
          <w:rFonts w:ascii="Arial" w:eastAsia="Calibri" w:hAnsi="Arial" w:cs="Arial"/>
          <w:sz w:val="22"/>
          <w:szCs w:val="22"/>
          <w:lang w:val="es-ES_tradnl"/>
        </w:rPr>
        <w:t xml:space="preserve">. En efecto, </w:t>
      </w:r>
      <w:r w:rsidRPr="003C7975">
        <w:rPr>
          <w:rFonts w:ascii="Arial" w:hAnsi="Arial" w:cs="Arial"/>
          <w:color w:val="000000" w:themeColor="text1"/>
          <w:sz w:val="22"/>
          <w:szCs w:val="22"/>
          <w:lang w:val="es-ES_tradnl"/>
        </w:rPr>
        <w:t>si bien los factores de desempate regulados en el artículo 35 deben aplicarse «</w:t>
      </w:r>
      <w:r w:rsidRPr="003C7975">
        <w:rPr>
          <w:rFonts w:ascii="Arial" w:hAnsi="Arial" w:cs="Arial"/>
          <w:lang w:val="es-ES_tradnl"/>
        </w:rPr>
        <w:t xml:space="preserve">[…] </w:t>
      </w:r>
      <w:r w:rsidRPr="003C7975">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3C7975">
        <w:rPr>
          <w:rFonts w:ascii="Arial" w:eastAsia="Calibri" w:hAnsi="Arial" w:cs="Arial"/>
          <w:color w:val="000000" w:themeColor="text1"/>
          <w:sz w:val="22"/>
          <w:szCs w:val="22"/>
          <w:lang w:val="es-ES_tradnl"/>
        </w:rPr>
        <w:t xml:space="preserve">  </w:t>
      </w:r>
    </w:p>
    <w:p w14:paraId="68AA099E" w14:textId="77777777" w:rsidR="00EE7035" w:rsidRPr="003C7975" w:rsidRDefault="00EE7035" w:rsidP="00EE7035">
      <w:pPr>
        <w:spacing w:before="120" w:line="276" w:lineRule="auto"/>
        <w:ind w:firstLine="709"/>
        <w:jc w:val="both"/>
        <w:rPr>
          <w:rFonts w:ascii="Arial" w:eastAsia="Calibri" w:hAnsi="Arial" w:cs="Arial"/>
          <w:color w:val="000000" w:themeColor="text1"/>
          <w:sz w:val="22"/>
          <w:szCs w:val="22"/>
          <w:lang w:val="es-ES_tradnl"/>
        </w:rPr>
      </w:pPr>
      <w:r w:rsidRPr="003C7975">
        <w:rPr>
          <w:rFonts w:ascii="Arial" w:eastAsia="Calibri" w:hAnsi="Arial" w:cs="Arial"/>
          <w:color w:val="000000" w:themeColor="text1"/>
          <w:sz w:val="22"/>
          <w:szCs w:val="22"/>
          <w:lang w:val="es-ES_tradnl"/>
        </w:rPr>
        <w:t xml:space="preserve">A continuación, el artículo en mención establece los factores de desempate que se deben aplicar de manera sucesiva, sin indicar tampoco en cada numeral que su eficacia dependa de lo que determine el reglamento. La única alusión que se hace al reglamento se encuentra en el parágrafo tercero del artículo que se viene comentando, no para </w:t>
      </w:r>
      <w:r w:rsidRPr="003C7975">
        <w:rPr>
          <w:rFonts w:ascii="Arial" w:eastAsia="Calibri" w:hAnsi="Arial" w:cs="Arial"/>
          <w:color w:val="000000" w:themeColor="text1"/>
          <w:sz w:val="22"/>
          <w:szCs w:val="22"/>
          <w:lang w:val="es-ES_tradnl"/>
        </w:rPr>
        <w:lastRenderedPageBreak/>
        <w:t xml:space="preserve">condicionar la aplicación de todo lo dispuesto en aquel, sino para indicar que «El Gobierno Nacional </w:t>
      </w:r>
      <w:r w:rsidRPr="003C7975">
        <w:rPr>
          <w:rFonts w:ascii="Arial" w:eastAsia="Calibri" w:hAnsi="Arial" w:cs="Arial"/>
          <w:i/>
          <w:iCs/>
          <w:color w:val="000000" w:themeColor="text1"/>
          <w:sz w:val="22"/>
          <w:szCs w:val="22"/>
          <w:lang w:val="es-ES_tradnl"/>
        </w:rPr>
        <w:t>podrá reglamentar</w:t>
      </w:r>
      <w:r w:rsidRPr="003C7975">
        <w:rPr>
          <w:rFonts w:ascii="Arial" w:eastAsia="Calibri" w:hAnsi="Arial" w:cs="Arial"/>
          <w:color w:val="000000" w:themeColor="text1"/>
          <w:sz w:val="22"/>
          <w:szCs w:val="22"/>
          <w:lang w:val="es-ES_tradnl"/>
        </w:rPr>
        <w:t xml:space="preserve"> la aplicación de factores de desempate en casos en que concurran dos o más de los factores aquí previstos» (Énfasis fuera de texto).</w:t>
      </w:r>
    </w:p>
    <w:p w14:paraId="1146C608" w14:textId="77777777" w:rsidR="00254789" w:rsidRPr="00D659EF" w:rsidRDefault="00EE7035" w:rsidP="00254789">
      <w:pPr>
        <w:spacing w:before="120" w:line="276" w:lineRule="auto"/>
        <w:ind w:firstLine="709"/>
        <w:jc w:val="both"/>
        <w:rPr>
          <w:rFonts w:ascii="Arial" w:hAnsi="Arial" w:cs="Arial"/>
          <w:sz w:val="22"/>
          <w:szCs w:val="22"/>
          <w:lang w:val="es-ES_tradnl"/>
        </w:rPr>
      </w:pPr>
      <w:r w:rsidRPr="003C7975">
        <w:rPr>
          <w:rFonts w:ascii="Arial" w:eastAsia="Calibri" w:hAnsi="Arial" w:cs="Arial"/>
          <w:color w:val="000000" w:themeColor="text1"/>
          <w:sz w:val="22"/>
          <w:szCs w:val="22"/>
          <w:lang w:val="es-ES_tradnl"/>
        </w:rPr>
        <w:t>Como se observa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r w:rsidR="00DB02A5">
        <w:rPr>
          <w:rFonts w:ascii="Arial" w:eastAsia="Calibri" w:hAnsi="Arial" w:cs="Arial"/>
          <w:color w:val="000000" w:themeColor="text1"/>
          <w:sz w:val="22"/>
          <w:szCs w:val="22"/>
          <w:lang w:val="es-ES_tradnl"/>
        </w:rPr>
        <w:t xml:space="preserve"> </w:t>
      </w:r>
      <w:r w:rsidR="00254789" w:rsidRPr="00D659EF">
        <w:rPr>
          <w:rFonts w:ascii="Arial" w:hAnsi="Arial" w:cs="Arial"/>
          <w:sz w:val="22"/>
          <w:szCs w:val="22"/>
          <w:lang w:val="es-ES_tradnl"/>
        </w:rPr>
        <w:t>Además, si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2069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p>
    <w:p w14:paraId="6327CFCF" w14:textId="77777777" w:rsidR="00254789" w:rsidRPr="00D659EF" w:rsidRDefault="00254789" w:rsidP="00254789">
      <w:pPr>
        <w:spacing w:before="120" w:line="276" w:lineRule="auto"/>
        <w:ind w:firstLine="709"/>
        <w:jc w:val="both"/>
        <w:rPr>
          <w:rFonts w:ascii="Arial" w:hAnsi="Arial" w:cs="Arial"/>
          <w:sz w:val="22"/>
          <w:szCs w:val="22"/>
          <w:lang w:val="es-ES_tradnl"/>
        </w:rPr>
      </w:pPr>
      <w:r w:rsidRPr="00D659EF">
        <w:rPr>
          <w:rFonts w:ascii="Arial" w:hAnsi="Arial" w:cs="Arial"/>
          <w:sz w:val="22"/>
          <w:szCs w:val="22"/>
          <w:lang w:val="es-ES_tradnl"/>
        </w:rPr>
        <w:t>Ahora bien, hasta la promulgación de la Ley 2069 de 2020, el artículo 2.2.1.1.2.2.9 del Decreto 1082 de 2015 regulaba los factores de desempate que debían aplicarse en los procesos de selección</w:t>
      </w:r>
      <w:r w:rsidRPr="00D659EF">
        <w:rPr>
          <w:rStyle w:val="Refdenotaalpie"/>
          <w:rFonts w:ascii="Arial" w:hAnsi="Arial" w:cs="Arial"/>
          <w:sz w:val="22"/>
          <w:szCs w:val="22"/>
          <w:lang w:val="es-ES_tradnl"/>
        </w:rPr>
        <w:footnoteReference w:id="11"/>
      </w:r>
      <w:r w:rsidRPr="00D659EF">
        <w:rPr>
          <w:rFonts w:ascii="Arial" w:hAnsi="Arial" w:cs="Arial"/>
          <w:sz w:val="22"/>
          <w:szCs w:val="22"/>
          <w:lang w:val="es-ES_tradnl"/>
        </w:rPr>
        <w:t xml:space="preserve">. En criterio de esta Agencia, dicha norma está derogada por el </w:t>
      </w:r>
      <w:r w:rsidRPr="00D659EF">
        <w:rPr>
          <w:rFonts w:ascii="Arial" w:hAnsi="Arial" w:cs="Arial"/>
          <w:sz w:val="22"/>
          <w:szCs w:val="22"/>
          <w:lang w:val="es-ES_tradnl"/>
        </w:rPr>
        <w:lastRenderedPageBreak/>
        <w:t xml:space="preserve">artículo 35 de la Ley 2069 de 2020. Ello no solo porque el artículo 84 prescribe que «rige a partir del momento de su promulgación», es decir, desde el 31 de diciembre de 2020, sino además porque la misma disposición señala que la Ley 2069 de 2020 deroga «[…] todas las disposiciones que le sean contrarias». Se presenta una antinomia o contradicción normativa cuando dos o más disposiciones regulan en sentido diferente un tema. Bajo esta consideración, como el artículo 35 de la Ley 2069 de 2020 regula en forma distinta a como lo hacía el artículo 2.2.1.1.2.2.9 del Decreto 1082 de 2015 la aplicación de los factores de desempate, este último debe entenderse derogado. </w:t>
      </w:r>
    </w:p>
    <w:p w14:paraId="095C2D2A" w14:textId="77777777" w:rsidR="00254789" w:rsidRPr="00D659EF" w:rsidRDefault="00254789" w:rsidP="00254789">
      <w:pPr>
        <w:spacing w:before="120" w:line="276" w:lineRule="auto"/>
        <w:ind w:firstLine="709"/>
        <w:jc w:val="both"/>
        <w:rPr>
          <w:rFonts w:ascii="Arial" w:hAnsi="Arial" w:cs="Arial"/>
          <w:sz w:val="22"/>
          <w:szCs w:val="22"/>
          <w:lang w:val="es-ES_tradnl"/>
        </w:rPr>
      </w:pPr>
      <w:r w:rsidRPr="00D659EF">
        <w:rPr>
          <w:rFonts w:ascii="Arial" w:hAnsi="Arial" w:cs="Arial"/>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w:t>
      </w:r>
      <w:bookmarkStart w:id="0" w:name="_Hlk62546732"/>
      <w:r w:rsidRPr="00D659EF">
        <w:rPr>
          <w:rFonts w:ascii="Arial" w:hAnsi="Arial" w:cs="Arial"/>
          <w:sz w:val="22"/>
          <w:szCs w:val="22"/>
          <w:lang w:val="es-ES_tradnl"/>
        </w:rPr>
        <w:t xml:space="preserve">Dado que el Decreto 1082 de 2015 es un reglamento </w:t>
      </w:r>
      <w:proofErr w:type="spellStart"/>
      <w:r w:rsidRPr="00D659EF">
        <w:rPr>
          <w:rFonts w:ascii="Arial" w:hAnsi="Arial" w:cs="Arial"/>
          <w:i/>
          <w:iCs/>
          <w:sz w:val="22"/>
          <w:szCs w:val="22"/>
          <w:lang w:val="es-ES_tradnl"/>
        </w:rPr>
        <w:t>secundum</w:t>
      </w:r>
      <w:proofErr w:type="spellEnd"/>
      <w:r w:rsidRPr="00D659EF">
        <w:rPr>
          <w:rFonts w:ascii="Arial" w:hAnsi="Arial" w:cs="Arial"/>
          <w:i/>
          <w:iCs/>
          <w:sz w:val="22"/>
          <w:szCs w:val="22"/>
          <w:lang w:val="es-ES_tradnl"/>
        </w:rPr>
        <w:t xml:space="preserve"> </w:t>
      </w:r>
      <w:proofErr w:type="spellStart"/>
      <w:r w:rsidRPr="00D659EF">
        <w:rPr>
          <w:rFonts w:ascii="Arial" w:hAnsi="Arial" w:cs="Arial"/>
          <w:i/>
          <w:iCs/>
          <w:sz w:val="22"/>
          <w:szCs w:val="22"/>
          <w:lang w:val="es-ES_tradnl"/>
        </w:rPr>
        <w:t>legem</w:t>
      </w:r>
      <w:proofErr w:type="spellEnd"/>
      <w:r w:rsidRPr="00D659EF">
        <w:rPr>
          <w:rFonts w:ascii="Arial" w:hAnsi="Arial" w:cs="Arial"/>
          <w:sz w:val="22"/>
          <w:szCs w:val="22"/>
          <w:lang w:val="es-ES_tradnl"/>
        </w:rPr>
        <w:t xml:space="preserve"> –es decir, que desarrolla una norma de mayor jerarquía–, la expedición de una ley en sentido formal –es decir, una fuente que condiciona el contenido de este último–, hace que la disposición reglamentaria decaiga</w:t>
      </w:r>
      <w:bookmarkEnd w:id="0"/>
      <w:r w:rsidRPr="00D659EF">
        <w:rPr>
          <w:rFonts w:ascii="Arial" w:hAnsi="Arial" w:cs="Arial"/>
          <w:sz w:val="22"/>
          <w:szCs w:val="22"/>
          <w:lang w:val="es-ES_tradnl"/>
        </w:rPr>
        <w:t xml:space="preserve">.   </w:t>
      </w:r>
    </w:p>
    <w:p w14:paraId="29F7949D" w14:textId="77777777" w:rsidR="000742EA" w:rsidRDefault="000D7D3C" w:rsidP="00EE7035">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Por otro lado, en lo relacionado con la aplicación de los</w:t>
      </w:r>
      <w:r w:rsidR="003447E3">
        <w:rPr>
          <w:rFonts w:ascii="Arial" w:eastAsia="Calibri" w:hAnsi="Arial" w:cs="Arial"/>
          <w:color w:val="000000" w:themeColor="text1"/>
          <w:sz w:val="22"/>
          <w:szCs w:val="22"/>
          <w:lang w:val="es-ES_tradnl"/>
        </w:rPr>
        <w:t xml:space="preserve"> factores de desempate en los procesos adelantados con</w:t>
      </w:r>
      <w:r>
        <w:rPr>
          <w:rFonts w:ascii="Arial" w:eastAsia="Calibri" w:hAnsi="Arial" w:cs="Arial"/>
          <w:color w:val="000000" w:themeColor="text1"/>
          <w:sz w:val="22"/>
          <w:szCs w:val="22"/>
          <w:lang w:val="es-ES_tradnl"/>
        </w:rPr>
        <w:t xml:space="preserve"> </w:t>
      </w:r>
      <w:r w:rsidR="00AD0B68">
        <w:rPr>
          <w:rFonts w:ascii="Arial" w:eastAsia="Calibri" w:hAnsi="Arial" w:cs="Arial"/>
          <w:color w:val="000000" w:themeColor="text1"/>
          <w:sz w:val="22"/>
          <w:szCs w:val="22"/>
          <w:lang w:val="es-ES_tradnl"/>
        </w:rPr>
        <w:t>documentos tipo</w:t>
      </w:r>
      <w:r w:rsidR="003447E3">
        <w:rPr>
          <w:rFonts w:ascii="Arial" w:eastAsia="Calibri" w:hAnsi="Arial" w:cs="Arial"/>
          <w:color w:val="000000" w:themeColor="text1"/>
          <w:sz w:val="22"/>
          <w:szCs w:val="22"/>
          <w:lang w:val="es-ES_tradnl"/>
        </w:rPr>
        <w:t xml:space="preserve"> </w:t>
      </w:r>
      <w:r w:rsidR="00AD0B68">
        <w:rPr>
          <w:rFonts w:ascii="Arial" w:eastAsia="Calibri" w:hAnsi="Arial" w:cs="Arial"/>
          <w:color w:val="000000" w:themeColor="text1"/>
          <w:sz w:val="22"/>
          <w:szCs w:val="22"/>
          <w:lang w:val="es-ES_tradnl"/>
        </w:rPr>
        <w:t xml:space="preserve">debe señalarse que, en efecto mediante la Resolución No. </w:t>
      </w:r>
      <w:r w:rsidR="003447E3">
        <w:rPr>
          <w:rFonts w:ascii="Arial" w:eastAsia="Calibri" w:hAnsi="Arial" w:cs="Arial"/>
          <w:color w:val="000000" w:themeColor="text1"/>
          <w:sz w:val="22"/>
          <w:szCs w:val="22"/>
          <w:lang w:val="es-ES_tradnl"/>
        </w:rPr>
        <w:t>161 del 17 de julio de 2021, se modificaron varios aspectos de los documentos tipo hasta entonces expedidos por esta Agencia</w:t>
      </w:r>
      <w:r w:rsidR="006E499C">
        <w:rPr>
          <w:rFonts w:ascii="Arial" w:eastAsia="Calibri" w:hAnsi="Arial" w:cs="Arial"/>
          <w:color w:val="000000" w:themeColor="text1"/>
          <w:sz w:val="22"/>
          <w:szCs w:val="22"/>
          <w:lang w:val="es-ES_tradnl"/>
        </w:rPr>
        <w:t>, uno de ellos la regulación de los medios de acreditación de los nuevos factores de desempate</w:t>
      </w:r>
      <w:r w:rsidR="00F01950">
        <w:rPr>
          <w:rFonts w:ascii="Arial" w:eastAsia="Calibri" w:hAnsi="Arial" w:cs="Arial"/>
          <w:color w:val="000000" w:themeColor="text1"/>
          <w:sz w:val="22"/>
          <w:szCs w:val="22"/>
          <w:lang w:val="es-ES_tradnl"/>
        </w:rPr>
        <w:t xml:space="preserve"> introducidos por la Ley 2069 de 2020. No ob</w:t>
      </w:r>
      <w:r w:rsidR="000406C4">
        <w:rPr>
          <w:rFonts w:ascii="Arial" w:eastAsia="Calibri" w:hAnsi="Arial" w:cs="Arial"/>
          <w:color w:val="000000" w:themeColor="text1"/>
          <w:sz w:val="22"/>
          <w:szCs w:val="22"/>
          <w:lang w:val="es-ES_tradnl"/>
        </w:rPr>
        <w:t>stante, es necesario precisar que dicha modificación no obedeció a un ejercicio de la potestad reglamentaria</w:t>
      </w:r>
      <w:r w:rsidR="00801E1B">
        <w:rPr>
          <w:rFonts w:ascii="Arial" w:eastAsia="Calibri" w:hAnsi="Arial" w:cs="Arial"/>
          <w:color w:val="000000" w:themeColor="text1"/>
          <w:sz w:val="22"/>
          <w:szCs w:val="22"/>
          <w:lang w:val="es-ES_tradnl"/>
        </w:rPr>
        <w:t xml:space="preserve"> derivada del artículo 189.11 de la Constitución Política, </w:t>
      </w:r>
      <w:r w:rsidR="00D30D6F">
        <w:rPr>
          <w:rFonts w:ascii="Arial" w:eastAsia="Calibri" w:hAnsi="Arial" w:cs="Arial"/>
          <w:color w:val="000000" w:themeColor="text1"/>
          <w:sz w:val="22"/>
          <w:szCs w:val="22"/>
          <w:lang w:val="es-ES_tradnl"/>
        </w:rPr>
        <w:t>a la que refiere el parágrafo tercero del artículo 35 de la</w:t>
      </w:r>
      <w:r w:rsidR="00BA1FD8">
        <w:rPr>
          <w:rFonts w:ascii="Arial" w:eastAsia="Calibri" w:hAnsi="Arial" w:cs="Arial"/>
          <w:color w:val="000000" w:themeColor="text1"/>
          <w:sz w:val="22"/>
          <w:szCs w:val="22"/>
          <w:lang w:val="es-ES_tradnl"/>
        </w:rPr>
        <w:t xml:space="preserve"> Ley 2069 de 2021. </w:t>
      </w:r>
    </w:p>
    <w:p w14:paraId="432299C6" w14:textId="4238C9B2" w:rsidR="0083264D" w:rsidRDefault="00C74C8B" w:rsidP="005B399C">
      <w:pPr>
        <w:spacing w:before="120" w:line="276" w:lineRule="auto"/>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ab/>
        <w:t>Como bien señalan los considerandos de la</w:t>
      </w:r>
      <w:r w:rsidR="004E279D">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resolución, su expedición se hizo de conformidad con el parágrafo 7 del artículo 2 de la Ley 1150 de 2007</w:t>
      </w:r>
      <w:r w:rsidR="004E279D">
        <w:rPr>
          <w:rFonts w:ascii="Arial" w:eastAsia="Calibri" w:hAnsi="Arial" w:cs="Arial"/>
          <w:color w:val="000000" w:themeColor="text1"/>
          <w:sz w:val="22"/>
          <w:szCs w:val="22"/>
          <w:lang w:val="es-ES_tradnl"/>
        </w:rPr>
        <w:t xml:space="preserve"> –modificado por la Ley 2022 de 2020–</w:t>
      </w:r>
      <w:r w:rsidR="00803C68">
        <w:rPr>
          <w:rFonts w:ascii="Arial" w:eastAsia="Calibri" w:hAnsi="Arial" w:cs="Arial"/>
          <w:color w:val="000000" w:themeColor="text1"/>
          <w:sz w:val="22"/>
          <w:szCs w:val="22"/>
          <w:lang w:val="es-ES_tradnl"/>
        </w:rPr>
        <w:t>, el cual faculta a la Agencia Nacional de Contratación Pública</w:t>
      </w:r>
      <w:r w:rsidR="00106754">
        <w:rPr>
          <w:rFonts w:ascii="Arial" w:eastAsia="Calibri" w:hAnsi="Arial" w:cs="Arial"/>
          <w:color w:val="000000" w:themeColor="text1"/>
          <w:sz w:val="22"/>
          <w:szCs w:val="22"/>
          <w:lang w:val="es-ES_tradnl"/>
        </w:rPr>
        <w:t xml:space="preserve"> para expedir docu</w:t>
      </w:r>
      <w:r w:rsidR="00106754" w:rsidRPr="00106754">
        <w:rPr>
          <w:rFonts w:ascii="Arial" w:eastAsia="Calibri" w:hAnsi="Arial" w:cs="Arial"/>
          <w:color w:val="000000" w:themeColor="text1"/>
          <w:sz w:val="22"/>
          <w:szCs w:val="22"/>
          <w:lang w:val="es-ES_tradnl"/>
        </w:rPr>
        <w:t xml:space="preserve">mentos tipo de obligatorio cumplimiento en </w:t>
      </w:r>
      <w:r w:rsidR="00106754">
        <w:rPr>
          <w:rFonts w:ascii="Arial" w:eastAsia="Calibri" w:hAnsi="Arial" w:cs="Arial"/>
          <w:color w:val="000000" w:themeColor="text1"/>
          <w:sz w:val="22"/>
          <w:szCs w:val="22"/>
          <w:lang w:val="es-ES_tradnl"/>
        </w:rPr>
        <w:t>para</w:t>
      </w:r>
      <w:r w:rsidR="00106754" w:rsidRPr="00106754">
        <w:rPr>
          <w:rFonts w:ascii="Arial" w:eastAsia="Calibri" w:hAnsi="Arial" w:cs="Arial"/>
          <w:color w:val="000000" w:themeColor="text1"/>
          <w:sz w:val="22"/>
          <w:szCs w:val="22"/>
          <w:lang w:val="es-ES_tradnl"/>
        </w:rPr>
        <w:t xml:space="preserve"> las entidades sometidas al Estatuto General de Contratación de la Administración Pública.</w:t>
      </w:r>
      <w:r w:rsidR="005B399C">
        <w:rPr>
          <w:rFonts w:ascii="Arial" w:eastAsia="Calibri" w:hAnsi="Arial" w:cs="Arial"/>
          <w:color w:val="000000" w:themeColor="text1"/>
          <w:sz w:val="22"/>
          <w:szCs w:val="22"/>
          <w:lang w:val="es-ES_tradnl"/>
        </w:rPr>
        <w:t xml:space="preserve"> El ejercicio de esta facultad </w:t>
      </w:r>
      <w:r w:rsidR="005B399C">
        <w:rPr>
          <w:rFonts w:ascii="Arial" w:eastAsia="Calibri" w:hAnsi="Arial" w:cs="Arial"/>
          <w:color w:val="000000" w:themeColor="text1"/>
          <w:sz w:val="22"/>
          <w:szCs w:val="22"/>
          <w:lang w:val="es-ES_tradnl"/>
        </w:rPr>
        <w:lastRenderedPageBreak/>
        <w:t>supone la estandarización de los</w:t>
      </w:r>
      <w:r w:rsidR="00106754" w:rsidRPr="00106754">
        <w:rPr>
          <w:rFonts w:ascii="Arial" w:eastAsia="Calibri" w:hAnsi="Arial" w:cs="Arial"/>
          <w:color w:val="000000" w:themeColor="text1"/>
          <w:sz w:val="22"/>
          <w:szCs w:val="22"/>
          <w:lang w:val="es-ES_tradnl"/>
        </w:rPr>
        <w:t xml:space="preserve"> requisitos habilitantes, factores técnicos, económicos y otros factores de escogencia</w:t>
      </w:r>
      <w:r w:rsidR="005B399C">
        <w:rPr>
          <w:rFonts w:ascii="Arial" w:eastAsia="Calibri" w:hAnsi="Arial" w:cs="Arial"/>
          <w:color w:val="000000" w:themeColor="text1"/>
          <w:sz w:val="22"/>
          <w:szCs w:val="22"/>
          <w:lang w:val="es-ES_tradnl"/>
        </w:rPr>
        <w:t xml:space="preserve"> – los de desempate, por ejemplo–</w:t>
      </w:r>
      <w:r w:rsidR="00102CBB">
        <w:rPr>
          <w:rFonts w:ascii="Arial" w:eastAsia="Calibri" w:hAnsi="Arial" w:cs="Arial"/>
          <w:color w:val="000000" w:themeColor="text1"/>
          <w:sz w:val="22"/>
          <w:szCs w:val="22"/>
          <w:lang w:val="es-ES_tradnl"/>
        </w:rPr>
        <w:t>.</w:t>
      </w:r>
      <w:r w:rsidR="0083264D" w:rsidRPr="0083264D">
        <w:rPr>
          <w:rFonts w:ascii="Arial" w:eastAsia="Calibri" w:hAnsi="Arial" w:cs="Arial"/>
          <w:color w:val="000000" w:themeColor="text1"/>
          <w:sz w:val="22"/>
          <w:szCs w:val="22"/>
          <w:lang w:val="es-ES_tradnl"/>
        </w:rPr>
        <w:t xml:space="preserve"> </w:t>
      </w:r>
      <w:r w:rsidR="0083264D">
        <w:rPr>
          <w:rFonts w:ascii="Arial" w:eastAsia="Calibri" w:hAnsi="Arial" w:cs="Arial"/>
          <w:color w:val="000000" w:themeColor="text1"/>
          <w:sz w:val="22"/>
          <w:szCs w:val="22"/>
          <w:lang w:val="es-ES_tradnl"/>
        </w:rPr>
        <w:t>Lo establecido en estos documentos con relación a los factores de escogencia y desempate además tiene el carácter de inalterable para las entidades, lo que supone una limitación a la discrecionalidad con la que, en otros procesos, las entidades configuran el pliego de condiciones.</w:t>
      </w:r>
    </w:p>
    <w:p w14:paraId="03ECCAC1" w14:textId="250CD58F" w:rsidR="000D7D3C" w:rsidRPr="003C7975" w:rsidRDefault="0083264D" w:rsidP="00FC204D">
      <w:pPr>
        <w:spacing w:before="120" w:line="276" w:lineRule="auto"/>
        <w:ind w:firstLine="708"/>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Ahora, e</w:t>
      </w:r>
      <w:r w:rsidR="00102CBB">
        <w:rPr>
          <w:rFonts w:ascii="Arial" w:eastAsia="Calibri" w:hAnsi="Arial" w:cs="Arial"/>
          <w:color w:val="000000" w:themeColor="text1"/>
          <w:sz w:val="22"/>
          <w:szCs w:val="22"/>
          <w:lang w:val="es-ES_tradnl"/>
        </w:rPr>
        <w:t xml:space="preserve">l procedimiento para la expedición de los documentos tipo está señalado en </w:t>
      </w:r>
      <w:r w:rsidR="007C11D6">
        <w:rPr>
          <w:rFonts w:ascii="Arial" w:eastAsia="Calibri" w:hAnsi="Arial" w:cs="Arial"/>
          <w:color w:val="000000" w:themeColor="text1"/>
          <w:sz w:val="22"/>
          <w:szCs w:val="22"/>
          <w:lang w:val="es-ES_tradnl"/>
        </w:rPr>
        <w:t>la</w:t>
      </w:r>
      <w:r w:rsidR="00102CBB">
        <w:rPr>
          <w:rFonts w:ascii="Arial" w:eastAsia="Calibri" w:hAnsi="Arial" w:cs="Arial"/>
          <w:color w:val="000000" w:themeColor="text1"/>
          <w:sz w:val="22"/>
          <w:szCs w:val="22"/>
          <w:lang w:val="es-ES_tradnl"/>
        </w:rPr>
        <w:t xml:space="preserve"> Resolución No. 160 de 2020, </w:t>
      </w:r>
      <w:r w:rsidR="004E4331" w:rsidRPr="00FC204D">
        <w:rPr>
          <w:rFonts w:ascii="Arial" w:hAnsi="Arial" w:cs="Arial"/>
          <w:i/>
          <w:iCs/>
          <w:sz w:val="22"/>
          <w:szCs w:val="22"/>
        </w:rPr>
        <w:t>«Por la cual se adopta el procedimiento para implementar los documentos tipo y se define el sistema para su revisión»</w:t>
      </w:r>
      <w:r w:rsidR="008D1AC8">
        <w:rPr>
          <w:rFonts w:ascii="Arial" w:hAnsi="Arial" w:cs="Arial"/>
          <w:sz w:val="22"/>
          <w:szCs w:val="22"/>
        </w:rPr>
        <w:t xml:space="preserve">, </w:t>
      </w:r>
      <w:r w:rsidR="008267F4">
        <w:rPr>
          <w:rFonts w:ascii="Arial" w:hAnsi="Arial" w:cs="Arial"/>
          <w:sz w:val="22"/>
          <w:szCs w:val="22"/>
        </w:rPr>
        <w:t xml:space="preserve">cuyo artículo 11 </w:t>
      </w:r>
      <w:r w:rsidR="008D1AC8">
        <w:rPr>
          <w:rFonts w:ascii="Arial" w:hAnsi="Arial" w:cs="Arial"/>
          <w:sz w:val="22"/>
          <w:szCs w:val="22"/>
        </w:rPr>
        <w:t>establece</w:t>
      </w:r>
      <w:r w:rsidR="008267F4">
        <w:rPr>
          <w:rFonts w:ascii="Arial" w:hAnsi="Arial" w:cs="Arial"/>
          <w:sz w:val="22"/>
          <w:szCs w:val="22"/>
        </w:rPr>
        <w:t xml:space="preserve"> la posibilidad de modificaci</w:t>
      </w:r>
      <w:r w:rsidR="00DB02A5">
        <w:rPr>
          <w:rFonts w:ascii="Arial" w:hAnsi="Arial" w:cs="Arial"/>
          <w:sz w:val="22"/>
          <w:szCs w:val="22"/>
        </w:rPr>
        <w:t xml:space="preserve">ón su contenido ante el </w:t>
      </w:r>
      <w:r>
        <w:rPr>
          <w:rFonts w:ascii="Arial" w:hAnsi="Arial" w:cs="Arial"/>
          <w:sz w:val="22"/>
          <w:szCs w:val="22"/>
        </w:rPr>
        <w:t>«</w:t>
      </w:r>
      <w:r w:rsidR="00113346">
        <w:rPr>
          <w:rFonts w:ascii="Arial" w:hAnsi="Arial" w:cs="Arial"/>
          <w:sz w:val="22"/>
          <w:szCs w:val="22"/>
        </w:rPr>
        <w:t xml:space="preserve">[…] </w:t>
      </w:r>
      <w:r w:rsidR="00DB02A5">
        <w:rPr>
          <w:rFonts w:ascii="Arial" w:hAnsi="Arial" w:cs="Arial"/>
          <w:sz w:val="22"/>
          <w:szCs w:val="22"/>
        </w:rPr>
        <w:t>cambio de las circunstancias físicas y jurídicas</w:t>
      </w:r>
      <w:r w:rsidR="00113346">
        <w:rPr>
          <w:rFonts w:ascii="Arial" w:hAnsi="Arial" w:cs="Arial"/>
          <w:sz w:val="22"/>
          <w:szCs w:val="22"/>
        </w:rPr>
        <w:t>»</w:t>
      </w:r>
      <w:r w:rsidR="00A65A63">
        <w:rPr>
          <w:rFonts w:ascii="Arial" w:hAnsi="Arial" w:cs="Arial"/>
          <w:sz w:val="22"/>
          <w:szCs w:val="22"/>
        </w:rPr>
        <w:t xml:space="preserve"> </w:t>
      </w:r>
      <w:r w:rsidR="00171A2B">
        <w:rPr>
          <w:rStyle w:val="Refdenotaalpie"/>
          <w:rFonts w:ascii="Arial" w:hAnsi="Arial" w:cs="Arial"/>
          <w:sz w:val="22"/>
          <w:szCs w:val="22"/>
        </w:rPr>
        <w:footnoteReference w:id="12"/>
      </w:r>
      <w:r w:rsidR="00113346">
        <w:rPr>
          <w:rFonts w:ascii="Arial" w:hAnsi="Arial" w:cs="Arial"/>
          <w:sz w:val="22"/>
          <w:szCs w:val="22"/>
        </w:rPr>
        <w:t xml:space="preserve">. Este último es el caso de lo ocurrido con los documentos </w:t>
      </w:r>
      <w:r w:rsidR="00772151">
        <w:rPr>
          <w:rFonts w:ascii="Arial" w:hAnsi="Arial" w:cs="Arial"/>
          <w:sz w:val="22"/>
          <w:szCs w:val="22"/>
        </w:rPr>
        <w:t xml:space="preserve">modificados por la Resolución 161 de 2021, los cuales antes de </w:t>
      </w:r>
      <w:r w:rsidR="00254789">
        <w:rPr>
          <w:rFonts w:ascii="Arial" w:hAnsi="Arial" w:cs="Arial"/>
          <w:sz w:val="22"/>
          <w:szCs w:val="22"/>
        </w:rPr>
        <w:t xml:space="preserve">ser modificados, establecían los medios de acreditación para la aplicación de los factores de desempate del artículo </w:t>
      </w:r>
      <w:r w:rsidR="00254789" w:rsidRPr="00D659EF">
        <w:rPr>
          <w:rFonts w:ascii="Arial" w:hAnsi="Arial" w:cs="Arial"/>
          <w:sz w:val="22"/>
          <w:szCs w:val="22"/>
          <w:lang w:val="es-ES_tradnl"/>
        </w:rPr>
        <w:t>2.2.1.1.2.2.9</w:t>
      </w:r>
      <w:r w:rsidR="00254789">
        <w:rPr>
          <w:rFonts w:ascii="Arial" w:hAnsi="Arial" w:cs="Arial"/>
          <w:sz w:val="22"/>
          <w:szCs w:val="22"/>
          <w:lang w:val="es-ES_tradnl"/>
        </w:rPr>
        <w:t xml:space="preserve"> del Decreto 1082 de 2015, cuya perdida de vigencia ha generado la necesidad de adecuar los documentos tipo a los factores de desempate que deben aplicar, en cumplimiento del artículo 35 de la Ley 2069 de 2020. </w:t>
      </w:r>
    </w:p>
    <w:p w14:paraId="1EF5174F" w14:textId="77777777" w:rsidR="003B7F22" w:rsidRPr="003C7975" w:rsidRDefault="003B7F22" w:rsidP="004F3D28">
      <w:pPr>
        <w:tabs>
          <w:tab w:val="left" w:pos="709"/>
        </w:tabs>
        <w:spacing w:line="276" w:lineRule="auto"/>
        <w:jc w:val="both"/>
        <w:rPr>
          <w:rFonts w:ascii="Arial" w:eastAsia="Calibri" w:hAnsi="Arial" w:cs="Arial"/>
          <w:bCs/>
          <w:sz w:val="22"/>
          <w:szCs w:val="22"/>
          <w:lang w:val="es-ES_tradnl"/>
        </w:rPr>
      </w:pPr>
    </w:p>
    <w:p w14:paraId="13355948" w14:textId="45EBD726" w:rsidR="00C33A69" w:rsidRPr="003C7975" w:rsidRDefault="001E2319" w:rsidP="006C0EA1">
      <w:pPr>
        <w:tabs>
          <w:tab w:val="left" w:pos="709"/>
        </w:tabs>
        <w:spacing w:line="276" w:lineRule="auto"/>
        <w:jc w:val="both"/>
        <w:rPr>
          <w:rFonts w:ascii="Arial" w:eastAsia="Calibri" w:hAnsi="Arial" w:cs="Arial"/>
          <w:b/>
          <w:sz w:val="22"/>
          <w:lang w:val="es-ES_tradnl"/>
        </w:rPr>
      </w:pPr>
      <w:r w:rsidRPr="003C7975">
        <w:rPr>
          <w:rFonts w:ascii="Arial" w:eastAsia="Calibri" w:hAnsi="Arial" w:cs="Arial"/>
          <w:b/>
          <w:sz w:val="22"/>
          <w:lang w:val="es-ES_tradnl"/>
        </w:rPr>
        <w:t xml:space="preserve">3. </w:t>
      </w:r>
      <w:r w:rsidR="00C33A69" w:rsidRPr="003C7975">
        <w:rPr>
          <w:rFonts w:ascii="Arial" w:eastAsia="Calibri" w:hAnsi="Arial" w:cs="Arial"/>
          <w:b/>
          <w:sz w:val="22"/>
          <w:lang w:val="es-ES_tradnl"/>
        </w:rPr>
        <w:t>Respuesta</w:t>
      </w:r>
    </w:p>
    <w:p w14:paraId="2D7B54D8" w14:textId="5C13726D" w:rsidR="00C33A69" w:rsidRPr="003C7975" w:rsidRDefault="00C33A69" w:rsidP="0093085B">
      <w:pPr>
        <w:tabs>
          <w:tab w:val="left" w:pos="709"/>
        </w:tabs>
        <w:spacing w:line="276" w:lineRule="auto"/>
        <w:ind w:left="709" w:right="709"/>
        <w:jc w:val="both"/>
        <w:rPr>
          <w:rFonts w:ascii="Arial" w:eastAsia="Calibri" w:hAnsi="Arial" w:cs="Arial"/>
          <w:b/>
          <w:sz w:val="21"/>
          <w:szCs w:val="21"/>
          <w:lang w:val="es-ES_tradnl"/>
        </w:rPr>
      </w:pPr>
    </w:p>
    <w:p w14:paraId="24A31018" w14:textId="77777777" w:rsidR="00942454" w:rsidRPr="003C7975" w:rsidRDefault="00942454" w:rsidP="004F3D28">
      <w:pPr>
        <w:ind w:left="709" w:right="709"/>
        <w:jc w:val="both"/>
        <w:rPr>
          <w:rFonts w:ascii="Arial" w:hAnsi="Arial" w:cs="Arial"/>
          <w:sz w:val="21"/>
          <w:szCs w:val="21"/>
        </w:rPr>
      </w:pPr>
      <w:r w:rsidRPr="003C7975">
        <w:rPr>
          <w:rFonts w:ascii="Arial" w:eastAsia="Calibri" w:hAnsi="Arial" w:cs="Arial"/>
          <w:sz w:val="21"/>
          <w:szCs w:val="21"/>
        </w:rPr>
        <w:t>«</w:t>
      </w:r>
      <w:r w:rsidRPr="003C7975">
        <w:rPr>
          <w:rFonts w:ascii="Arial" w:hAnsi="Arial" w:cs="Arial"/>
          <w:color w:val="000000"/>
          <w:sz w:val="21"/>
          <w:szCs w:val="21"/>
          <w:shd w:val="clear" w:color="auto" w:fill="FFFFFF"/>
        </w:rPr>
        <w:t>¿En relación con el artículo 35 de la ley 2069 de 2020 relacionado con los factores de desempate, las entidades como aplican los mismos si hay ausencia de reglamentación y la única reglamentación existe es la de los documentos tipo, es importante destacar que el parágrafo 3 del mencionado artículo señala: “PARÁGRAFO 3o. El Gobierno Nacional podrá́ reglamentar la aplicación de factores de desempate en casos en que concurran dos o más de los factores aquí́ previstos”</w:t>
      </w:r>
      <w:r w:rsidRPr="003C7975">
        <w:rPr>
          <w:rFonts w:ascii="Arial" w:hAnsi="Arial" w:cs="Arial"/>
          <w:sz w:val="21"/>
          <w:szCs w:val="21"/>
        </w:rPr>
        <w:t>?».</w:t>
      </w:r>
    </w:p>
    <w:p w14:paraId="379B3F2B" w14:textId="77777777" w:rsidR="00C33A69" w:rsidRPr="003C7975" w:rsidRDefault="00C33A69" w:rsidP="0093085B">
      <w:pPr>
        <w:pStyle w:val="xxmsonormal"/>
        <w:spacing w:before="0" w:beforeAutospacing="0" w:after="0" w:afterAutospacing="0" w:line="276" w:lineRule="auto"/>
        <w:jc w:val="both"/>
        <w:rPr>
          <w:rFonts w:ascii="Arial" w:hAnsi="Arial" w:cs="Arial"/>
          <w:color w:val="000000"/>
          <w:sz w:val="22"/>
          <w:szCs w:val="22"/>
          <w:bdr w:val="none" w:sz="0" w:space="0" w:color="auto" w:frame="1"/>
          <w:lang w:val="es-ES_tradnl"/>
        </w:rPr>
      </w:pPr>
    </w:p>
    <w:p w14:paraId="61A34597" w14:textId="77777777" w:rsidR="001C279E" w:rsidRPr="00D30BDF" w:rsidRDefault="001C279E" w:rsidP="001C279E">
      <w:pPr>
        <w:spacing w:line="276" w:lineRule="auto"/>
        <w:jc w:val="both"/>
        <w:rPr>
          <w:rFonts w:ascii="Arial" w:eastAsia="Calibri" w:hAnsi="Arial" w:cs="Arial"/>
          <w:sz w:val="22"/>
          <w:szCs w:val="22"/>
          <w:lang w:val="es-ES_tradnl"/>
        </w:rPr>
      </w:pPr>
      <w:r w:rsidRPr="00D30BDF">
        <w:rPr>
          <w:rFonts w:ascii="Arial" w:eastAsia="Calibri" w:hAnsi="Arial" w:cs="Arial"/>
          <w:sz w:val="22"/>
          <w:szCs w:val="22"/>
          <w:lang w:val="es-ES_tradnl"/>
        </w:rPr>
        <w:lastRenderedPageBreak/>
        <w:t xml:space="preserve">Sin perjuicio de que el Gobierno Nacional ejerza la potestad reglamentaria para regular los casos en que concurren dos o más de los factores de desempate, se concluye que el artículo 35 de la Ley 2069 de 2020 se encuentra vigente y no requiere de una reglamentación previa para que sea exigible en los procedimientos de selección. En tal sentido, los factores de desempate rigen desde la fecha de su promulgación, es decir, deben tenerse en cuenta en los procesos de selección que se inicien después del 31 de diciembre de 2020, no habiéndose dispuesto algún régimen de transición normativa para su aplicación. </w:t>
      </w:r>
    </w:p>
    <w:p w14:paraId="4FB18E04" w14:textId="77777777" w:rsidR="001C279E" w:rsidRPr="00D30BDF" w:rsidRDefault="001C279E" w:rsidP="001C279E">
      <w:pPr>
        <w:spacing w:before="120" w:line="276" w:lineRule="auto"/>
        <w:ind w:firstLine="708"/>
        <w:jc w:val="both"/>
        <w:rPr>
          <w:rFonts w:ascii="Arial" w:eastAsia="Calibri" w:hAnsi="Arial" w:cs="Arial"/>
          <w:sz w:val="22"/>
          <w:szCs w:val="22"/>
          <w:lang w:val="es-ES_tradnl"/>
        </w:rPr>
      </w:pPr>
      <w:r w:rsidRPr="00D30BDF">
        <w:rPr>
          <w:rFonts w:ascii="Arial" w:hAnsi="Arial" w:cs="Arial"/>
          <w:sz w:val="22"/>
          <w:szCs w:val="22"/>
          <w:lang w:val="es-ES_tradnl"/>
        </w:rPr>
        <w:t>Al respecto, si bien los factores de desempate regulados en el artículo 35 deben aplicarse «</w:t>
      </w:r>
      <w:r w:rsidRPr="00D30BDF">
        <w:rPr>
          <w:rFonts w:ascii="Arial" w:hAnsi="Arial" w:cs="Arial"/>
          <w:lang w:val="es-ES_tradnl"/>
        </w:rPr>
        <w:t xml:space="preserve">[…] </w:t>
      </w:r>
      <w:r w:rsidRPr="00D30BDF">
        <w:rPr>
          <w:rFonts w:ascii="Arial" w:hAnsi="Arial" w:cs="Arial"/>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p>
    <w:p w14:paraId="69A21953" w14:textId="77777777" w:rsidR="001C279E" w:rsidRPr="00D30BDF" w:rsidRDefault="001C279E" w:rsidP="001C279E">
      <w:pPr>
        <w:ind w:left="709" w:right="709"/>
        <w:jc w:val="both"/>
        <w:rPr>
          <w:rFonts w:ascii="Arial" w:hAnsi="Arial" w:cs="Arial"/>
          <w:sz w:val="21"/>
          <w:szCs w:val="21"/>
          <w:lang w:val="es-ES_tradnl"/>
        </w:rPr>
      </w:pPr>
    </w:p>
    <w:p w14:paraId="0AB2783F" w14:textId="77777777" w:rsidR="001C279E" w:rsidRPr="00D30BDF" w:rsidRDefault="001C279E" w:rsidP="001C279E">
      <w:pPr>
        <w:spacing w:line="276" w:lineRule="auto"/>
        <w:ind w:firstLine="708"/>
        <w:jc w:val="both"/>
        <w:rPr>
          <w:rFonts w:ascii="Arial" w:hAnsi="Arial" w:cs="Arial"/>
          <w:sz w:val="22"/>
          <w:szCs w:val="22"/>
          <w:lang w:val="es-ES_tradnl"/>
        </w:rPr>
      </w:pPr>
      <w:r>
        <w:rPr>
          <w:rFonts w:ascii="Arial" w:hAnsi="Arial" w:cs="Arial"/>
          <w:sz w:val="22"/>
          <w:szCs w:val="22"/>
          <w:lang w:val="es-ES_tradnl"/>
        </w:rPr>
        <w:t>Por otro lado,</w:t>
      </w:r>
      <w:r w:rsidRPr="00D30BDF">
        <w:rPr>
          <w:rFonts w:ascii="Arial" w:hAnsi="Arial" w:cs="Arial"/>
          <w:sz w:val="22"/>
          <w:szCs w:val="22"/>
          <w:lang w:val="es-ES_tradnl"/>
        </w:rPr>
        <w:t xml:space="preserve"> artículo 35 de la Ley 2069 de 2020 no establece medios específicos para acreditar las circunstancias a las que se refieren sus numerales y que dan lugar a la aplicación de las reglas de desempate.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7BBBBC5C" w14:textId="77777777" w:rsidR="001C279E" w:rsidRPr="00D30BDF" w:rsidRDefault="001C279E" w:rsidP="001C279E">
      <w:pPr>
        <w:spacing w:before="120" w:after="120" w:line="276" w:lineRule="auto"/>
        <w:ind w:firstLine="709"/>
        <w:jc w:val="both"/>
        <w:rPr>
          <w:rFonts w:ascii="Arial" w:eastAsia="Calibri" w:hAnsi="Arial" w:cs="Arial"/>
          <w:sz w:val="22"/>
          <w:szCs w:val="22"/>
          <w:lang w:val="es-ES_tradnl"/>
        </w:rPr>
      </w:pPr>
      <w:r w:rsidRPr="00D30BDF">
        <w:rPr>
          <w:rFonts w:ascii="Arial" w:hAnsi="Arial" w:cs="Arial"/>
          <w:sz w:val="22"/>
          <w:szCs w:val="22"/>
          <w:lang w:val="es-ES_tradnl"/>
        </w:rPr>
        <w:t>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halla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r w:rsidRPr="00D30BDF">
        <w:rPr>
          <w:rFonts w:ascii="Arial" w:eastAsia="Calibri" w:hAnsi="Arial" w:cs="Arial"/>
          <w:sz w:val="22"/>
          <w:szCs w:val="22"/>
          <w:lang w:val="es-ES_tradnl"/>
        </w:rPr>
        <w:t>.</w:t>
      </w:r>
    </w:p>
    <w:p w14:paraId="79826A5B" w14:textId="77777777" w:rsidR="0031456F" w:rsidRPr="003C7975" w:rsidRDefault="0031456F" w:rsidP="006C0EA1">
      <w:pPr>
        <w:pStyle w:val="xmsonospacing"/>
        <w:spacing w:before="0" w:beforeAutospacing="0" w:after="0" w:afterAutospacing="0" w:line="276" w:lineRule="auto"/>
        <w:jc w:val="both"/>
        <w:rPr>
          <w:rFonts w:ascii="Arial" w:hAnsi="Arial" w:cs="Arial"/>
          <w:color w:val="000000"/>
          <w:sz w:val="22"/>
          <w:szCs w:val="22"/>
        </w:rPr>
      </w:pPr>
    </w:p>
    <w:p w14:paraId="0738C8F4" w14:textId="29CC140C" w:rsidR="00A71CEA" w:rsidRPr="003C7975" w:rsidRDefault="00A71CEA" w:rsidP="00FC46E7">
      <w:pPr>
        <w:spacing w:line="276" w:lineRule="auto"/>
        <w:jc w:val="both"/>
        <w:rPr>
          <w:rFonts w:ascii="Arial" w:eastAsia="Calibri" w:hAnsi="Arial" w:cs="Arial"/>
          <w:color w:val="000000" w:themeColor="text1"/>
          <w:sz w:val="22"/>
        </w:rPr>
      </w:pPr>
      <w:r w:rsidRPr="003C7975">
        <w:rPr>
          <w:rFonts w:ascii="Arial" w:eastAsia="Calibri" w:hAnsi="Arial" w:cs="Arial"/>
          <w:color w:val="000000" w:themeColor="text1"/>
          <w:sz w:val="22"/>
          <w:szCs w:val="22"/>
        </w:rPr>
        <w:t>Este concepto tiene el alcance previsto en el artículo 28 del Cód</w:t>
      </w:r>
      <w:r w:rsidRPr="003C7975">
        <w:rPr>
          <w:rFonts w:ascii="Arial" w:eastAsia="Calibri" w:hAnsi="Arial" w:cs="Arial"/>
          <w:color w:val="000000" w:themeColor="text1"/>
          <w:sz w:val="22"/>
        </w:rPr>
        <w:t>igo de Procedimiento Administrativo y de lo Contencioso Administrativo.</w:t>
      </w:r>
    </w:p>
    <w:p w14:paraId="27A116DB" w14:textId="493C24EF" w:rsidR="00B55679" w:rsidRDefault="00B55679" w:rsidP="00FC46E7">
      <w:pPr>
        <w:jc w:val="both"/>
        <w:rPr>
          <w:rFonts w:ascii="Arial" w:eastAsia="Calibri" w:hAnsi="Arial" w:cs="Arial"/>
          <w:color w:val="000000" w:themeColor="text1"/>
          <w:sz w:val="22"/>
        </w:rPr>
      </w:pPr>
    </w:p>
    <w:p w14:paraId="2361CDA7" w14:textId="7A1B3790" w:rsidR="0069195E" w:rsidRDefault="0069195E" w:rsidP="00FC46E7">
      <w:pPr>
        <w:jc w:val="both"/>
        <w:rPr>
          <w:rFonts w:ascii="Arial" w:eastAsia="Calibri" w:hAnsi="Arial" w:cs="Arial"/>
          <w:color w:val="000000" w:themeColor="text1"/>
          <w:sz w:val="22"/>
        </w:rPr>
      </w:pPr>
    </w:p>
    <w:p w14:paraId="012F7C7D" w14:textId="77777777" w:rsidR="0069195E" w:rsidRPr="003C7975" w:rsidRDefault="0069195E" w:rsidP="00FC46E7">
      <w:pPr>
        <w:jc w:val="both"/>
        <w:rPr>
          <w:rFonts w:ascii="Arial" w:eastAsia="Calibri" w:hAnsi="Arial" w:cs="Arial"/>
          <w:color w:val="000000" w:themeColor="text1"/>
          <w:sz w:val="22"/>
        </w:rPr>
      </w:pPr>
    </w:p>
    <w:p w14:paraId="1BD8E63C" w14:textId="77777777" w:rsidR="00A71CEA" w:rsidRPr="003C7975" w:rsidRDefault="00A71CEA" w:rsidP="00FC46E7">
      <w:pPr>
        <w:jc w:val="both"/>
        <w:rPr>
          <w:rFonts w:ascii="Arial" w:hAnsi="Arial" w:cs="Arial"/>
          <w:color w:val="000000" w:themeColor="text1"/>
          <w:sz w:val="22"/>
          <w:lang w:eastAsia="es-CO"/>
        </w:rPr>
      </w:pPr>
      <w:r w:rsidRPr="003C7975">
        <w:rPr>
          <w:rFonts w:ascii="Arial" w:hAnsi="Arial" w:cs="Arial"/>
          <w:color w:val="000000" w:themeColor="text1"/>
          <w:sz w:val="22"/>
          <w:lang w:eastAsia="es-CO"/>
        </w:rPr>
        <w:lastRenderedPageBreak/>
        <w:t>Atentamente,</w:t>
      </w:r>
    </w:p>
    <w:p w14:paraId="4783A21F" w14:textId="4C2B257D" w:rsidR="00A71CEA" w:rsidRPr="003C7975" w:rsidRDefault="00244F30">
      <w:pPr>
        <w:jc w:val="center"/>
        <w:rPr>
          <w:rFonts w:ascii="Arial" w:hAnsi="Arial" w:cs="Arial"/>
          <w:color w:val="000000" w:themeColor="text1"/>
          <w:sz w:val="18"/>
          <w:szCs w:val="20"/>
          <w:lang w:eastAsia="es-CO"/>
        </w:rPr>
      </w:pPr>
      <w:r w:rsidRPr="00FC4438">
        <w:rPr>
          <w:noProof/>
        </w:rPr>
        <w:drawing>
          <wp:inline distT="0" distB="0" distL="0" distR="0" wp14:anchorId="4E7324B9" wp14:editId="3254A7A6">
            <wp:extent cx="2514600" cy="11144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14600" cy="1114425"/>
                    </a:xfrm>
                    <a:prstGeom prst="rect">
                      <a:avLst/>
                    </a:prstGeom>
                  </pic:spPr>
                </pic:pic>
              </a:graphicData>
            </a:graphic>
          </wp:inline>
        </w:drawing>
      </w:r>
    </w:p>
    <w:p w14:paraId="1FEF5E59" w14:textId="77777777" w:rsidR="00A71CEA" w:rsidRPr="003C7975" w:rsidRDefault="00A71CEA" w:rsidP="00FC46E7">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71CEA" w:rsidRPr="003C7975" w14:paraId="6FD066C0" w14:textId="77777777" w:rsidTr="007F1895">
        <w:trPr>
          <w:trHeight w:val="315"/>
        </w:trPr>
        <w:tc>
          <w:tcPr>
            <w:tcW w:w="812" w:type="dxa"/>
            <w:vAlign w:val="center"/>
            <w:hideMark/>
          </w:tcPr>
          <w:p w14:paraId="3D034311" w14:textId="77777777" w:rsidR="00A71CEA" w:rsidRPr="003C7975" w:rsidRDefault="00A71CEA" w:rsidP="00FC46E7">
            <w:pPr>
              <w:rPr>
                <w:rFonts w:ascii="Arial" w:hAnsi="Arial" w:cs="Arial"/>
                <w:color w:val="000000" w:themeColor="text1"/>
                <w:sz w:val="16"/>
                <w:szCs w:val="16"/>
                <w:lang w:eastAsia="es-ES"/>
              </w:rPr>
            </w:pPr>
            <w:r w:rsidRPr="003C7975">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130A8A2" w14:textId="77777777" w:rsidR="00A71CEA" w:rsidRPr="003C7975" w:rsidRDefault="00A71CEA" w:rsidP="00FC46E7">
            <w:pPr>
              <w:rPr>
                <w:rFonts w:ascii="Arial" w:hAnsi="Arial" w:cs="Arial"/>
                <w:color w:val="000000" w:themeColor="text1"/>
                <w:sz w:val="16"/>
                <w:szCs w:val="16"/>
                <w:lang w:eastAsia="es-ES"/>
              </w:rPr>
            </w:pPr>
            <w:r w:rsidRPr="003C7975">
              <w:rPr>
                <w:rFonts w:ascii="Arial" w:hAnsi="Arial" w:cs="Arial"/>
                <w:color w:val="000000" w:themeColor="text1"/>
                <w:sz w:val="16"/>
                <w:szCs w:val="16"/>
                <w:lang w:eastAsia="es-ES"/>
              </w:rPr>
              <w:t xml:space="preserve">Camilo Perdomo Villamil </w:t>
            </w:r>
          </w:p>
          <w:p w14:paraId="02C2374E" w14:textId="77777777" w:rsidR="00A71CEA" w:rsidRPr="003C7975" w:rsidRDefault="00A71CEA" w:rsidP="00FC46E7">
            <w:pPr>
              <w:rPr>
                <w:rFonts w:ascii="Arial" w:hAnsi="Arial" w:cs="Arial"/>
                <w:color w:val="000000" w:themeColor="text1"/>
                <w:sz w:val="16"/>
                <w:szCs w:val="16"/>
                <w:lang w:eastAsia="es-ES"/>
              </w:rPr>
            </w:pPr>
            <w:r w:rsidRPr="003C7975">
              <w:rPr>
                <w:rFonts w:ascii="Arial" w:hAnsi="Arial" w:cs="Arial"/>
                <w:color w:val="000000" w:themeColor="text1"/>
                <w:sz w:val="16"/>
                <w:szCs w:val="16"/>
                <w:lang w:eastAsia="es-ES"/>
              </w:rPr>
              <w:t>Contratista de la Subdirección de Gestión Contractual</w:t>
            </w:r>
          </w:p>
        </w:tc>
      </w:tr>
      <w:tr w:rsidR="00A71CEA" w:rsidRPr="003C7975" w14:paraId="6CE7FA18" w14:textId="77777777" w:rsidTr="007F1895">
        <w:trPr>
          <w:trHeight w:val="330"/>
        </w:trPr>
        <w:tc>
          <w:tcPr>
            <w:tcW w:w="812" w:type="dxa"/>
            <w:vAlign w:val="center"/>
            <w:hideMark/>
          </w:tcPr>
          <w:p w14:paraId="2902D588" w14:textId="77777777" w:rsidR="00A71CEA" w:rsidRPr="003C7975" w:rsidRDefault="00A71CEA" w:rsidP="00FC46E7">
            <w:pPr>
              <w:rPr>
                <w:rFonts w:ascii="Arial" w:hAnsi="Arial" w:cs="Arial"/>
                <w:color w:val="000000" w:themeColor="text1"/>
                <w:sz w:val="16"/>
                <w:szCs w:val="16"/>
                <w:lang w:eastAsia="es-ES"/>
              </w:rPr>
            </w:pPr>
            <w:r w:rsidRPr="003C7975">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CC67DAC" w14:textId="59E15FC0" w:rsidR="00A71CEA" w:rsidRPr="003C7975" w:rsidRDefault="00335574" w:rsidP="00FC46E7">
            <w:pPr>
              <w:rPr>
                <w:rFonts w:ascii="Arial" w:hAnsi="Arial" w:cs="Arial"/>
                <w:color w:val="000000" w:themeColor="text1"/>
                <w:sz w:val="16"/>
                <w:szCs w:val="16"/>
                <w:lang w:eastAsia="es-ES"/>
              </w:rPr>
            </w:pPr>
            <w:r w:rsidRPr="003C7975">
              <w:rPr>
                <w:rFonts w:ascii="Arial" w:hAnsi="Arial" w:cs="Arial"/>
                <w:color w:val="000000" w:themeColor="text1"/>
                <w:sz w:val="16"/>
                <w:szCs w:val="16"/>
                <w:lang w:eastAsia="es-ES"/>
              </w:rPr>
              <w:t xml:space="preserve">Alejandro Sarmiento </w:t>
            </w:r>
            <w:r w:rsidR="0069195E">
              <w:rPr>
                <w:rFonts w:ascii="Arial" w:hAnsi="Arial" w:cs="Arial"/>
                <w:color w:val="000000" w:themeColor="text1"/>
                <w:sz w:val="16"/>
                <w:szCs w:val="16"/>
                <w:lang w:eastAsia="es-ES"/>
              </w:rPr>
              <w:t>Cantillo</w:t>
            </w:r>
          </w:p>
          <w:p w14:paraId="15D02354" w14:textId="5F8430C7" w:rsidR="00A71CEA" w:rsidRPr="003C7975" w:rsidRDefault="00A71CEA" w:rsidP="00FC46E7">
            <w:pPr>
              <w:rPr>
                <w:rFonts w:ascii="Arial" w:hAnsi="Arial" w:cs="Arial"/>
                <w:color w:val="000000" w:themeColor="text1"/>
                <w:sz w:val="16"/>
                <w:szCs w:val="16"/>
                <w:lang w:eastAsia="es-ES"/>
              </w:rPr>
            </w:pPr>
            <w:r w:rsidRPr="003C7975">
              <w:rPr>
                <w:rFonts w:ascii="Arial" w:hAnsi="Arial" w:cs="Arial"/>
                <w:color w:val="000000" w:themeColor="text1"/>
                <w:sz w:val="16"/>
                <w:szCs w:val="16"/>
                <w:lang w:eastAsia="es-ES"/>
              </w:rPr>
              <w:t>Gestor T1-1</w:t>
            </w:r>
            <w:r w:rsidR="00AF0F4E" w:rsidRPr="003C7975">
              <w:rPr>
                <w:rFonts w:ascii="Arial" w:hAnsi="Arial" w:cs="Arial"/>
                <w:color w:val="000000" w:themeColor="text1"/>
                <w:sz w:val="16"/>
                <w:szCs w:val="16"/>
                <w:lang w:eastAsia="es-ES"/>
              </w:rPr>
              <w:t>1</w:t>
            </w:r>
            <w:r w:rsidRPr="003C7975">
              <w:rPr>
                <w:rFonts w:ascii="Arial" w:hAnsi="Arial" w:cs="Arial"/>
                <w:color w:val="000000" w:themeColor="text1"/>
                <w:sz w:val="16"/>
                <w:szCs w:val="16"/>
                <w:lang w:eastAsia="es-ES"/>
              </w:rPr>
              <w:t xml:space="preserve"> de la Subdirección de Gestión Contractual</w:t>
            </w:r>
          </w:p>
        </w:tc>
      </w:tr>
      <w:tr w:rsidR="00A71CEA" w:rsidRPr="003C7975" w14:paraId="4BA2BDE6" w14:textId="77777777" w:rsidTr="007F1895">
        <w:trPr>
          <w:trHeight w:val="300"/>
        </w:trPr>
        <w:tc>
          <w:tcPr>
            <w:tcW w:w="812" w:type="dxa"/>
            <w:vAlign w:val="center"/>
            <w:hideMark/>
          </w:tcPr>
          <w:p w14:paraId="1A726DD9" w14:textId="77777777" w:rsidR="00A71CEA" w:rsidRPr="003C7975" w:rsidRDefault="00A71CEA" w:rsidP="00FC46E7">
            <w:pPr>
              <w:rPr>
                <w:rFonts w:ascii="Arial" w:hAnsi="Arial" w:cs="Arial"/>
                <w:color w:val="000000" w:themeColor="text1"/>
                <w:sz w:val="16"/>
                <w:szCs w:val="16"/>
                <w:lang w:eastAsia="es-ES"/>
              </w:rPr>
            </w:pPr>
            <w:r w:rsidRPr="003C7975">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2ECCC83" w14:textId="77777777" w:rsidR="00A71CEA" w:rsidRPr="003C7975" w:rsidRDefault="00A71CEA" w:rsidP="00FC46E7">
            <w:pPr>
              <w:rPr>
                <w:rFonts w:ascii="Arial" w:hAnsi="Arial" w:cs="Arial"/>
                <w:color w:val="000000" w:themeColor="text1"/>
                <w:sz w:val="16"/>
                <w:szCs w:val="16"/>
                <w:lang w:eastAsia="es-ES"/>
              </w:rPr>
            </w:pPr>
            <w:r w:rsidRPr="003C7975">
              <w:rPr>
                <w:rFonts w:ascii="Arial" w:hAnsi="Arial" w:cs="Arial"/>
                <w:color w:val="000000" w:themeColor="text1"/>
                <w:sz w:val="16"/>
                <w:szCs w:val="16"/>
                <w:lang w:eastAsia="es-ES"/>
              </w:rPr>
              <w:t>Jorge Augusto Tirado Navarro</w:t>
            </w:r>
          </w:p>
          <w:p w14:paraId="416E9DA6" w14:textId="77777777" w:rsidR="00A71CEA" w:rsidRPr="003C7975" w:rsidRDefault="00A71CEA" w:rsidP="00FC46E7">
            <w:pPr>
              <w:rPr>
                <w:rFonts w:ascii="Arial" w:hAnsi="Arial" w:cs="Arial"/>
                <w:color w:val="000000" w:themeColor="text1"/>
                <w:sz w:val="16"/>
                <w:szCs w:val="16"/>
                <w:lang w:eastAsia="es-ES"/>
              </w:rPr>
            </w:pPr>
            <w:r w:rsidRPr="003C7975">
              <w:rPr>
                <w:rFonts w:ascii="Arial" w:hAnsi="Arial" w:cs="Arial"/>
                <w:color w:val="000000" w:themeColor="text1"/>
                <w:sz w:val="16"/>
                <w:szCs w:val="16"/>
                <w:lang w:eastAsia="es-ES"/>
              </w:rPr>
              <w:t>Subdirector de Gestión Contractual ANCP – CCE</w:t>
            </w:r>
          </w:p>
        </w:tc>
      </w:tr>
    </w:tbl>
    <w:p w14:paraId="3D5BFD2B" w14:textId="77777777" w:rsidR="00A71CEA" w:rsidRPr="00FC204D" w:rsidRDefault="00A71CEA" w:rsidP="00FC46E7">
      <w:pPr>
        <w:rPr>
          <w:rFonts w:ascii="Arial" w:hAnsi="Arial" w:cs="Arial"/>
        </w:rPr>
      </w:pPr>
    </w:p>
    <w:sectPr w:rsidR="00A71CEA" w:rsidRPr="00FC204D" w:rsidSect="007F1895">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984F8" w14:textId="77777777" w:rsidR="001918A8" w:rsidRDefault="001918A8" w:rsidP="00A71CEA">
      <w:r>
        <w:separator/>
      </w:r>
    </w:p>
  </w:endnote>
  <w:endnote w:type="continuationSeparator" w:id="0">
    <w:p w14:paraId="3FC214E8" w14:textId="77777777" w:rsidR="001918A8" w:rsidRDefault="001918A8" w:rsidP="00A7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B0DB" w14:textId="77777777" w:rsidR="00387886" w:rsidRDefault="00387886" w:rsidP="007F1895">
    <w:pPr>
      <w:pStyle w:val="Sinespaciado"/>
      <w:jc w:val="right"/>
      <w:rPr>
        <w:rFonts w:ascii="Arial" w:hAnsi="Arial" w:cs="Arial"/>
        <w:sz w:val="18"/>
        <w:szCs w:val="18"/>
      </w:rPr>
    </w:pPr>
  </w:p>
  <w:p w14:paraId="1A83C429" w14:textId="77777777" w:rsidR="00387886" w:rsidRDefault="00387886" w:rsidP="007F1895">
    <w:pPr>
      <w:pStyle w:val="Sinespaciado"/>
      <w:jc w:val="right"/>
      <w:rPr>
        <w:rFonts w:ascii="Arial" w:hAnsi="Arial" w:cs="Arial"/>
        <w:sz w:val="18"/>
        <w:szCs w:val="18"/>
      </w:rPr>
    </w:pPr>
  </w:p>
  <w:p w14:paraId="4C092373" w14:textId="77777777" w:rsidR="00387886" w:rsidRPr="008217B7" w:rsidRDefault="00387886"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15A1C25B" w14:textId="77777777" w:rsidR="00387886" w:rsidRDefault="00387886" w:rsidP="007F1895">
    <w:pPr>
      <w:pStyle w:val="Piedepgina"/>
      <w:jc w:val="center"/>
      <w:rPr>
        <w:lang w:val="es-ES"/>
      </w:rPr>
    </w:pPr>
    <w:r>
      <w:rPr>
        <w:noProof/>
      </w:rPr>
      <w:drawing>
        <wp:inline distT="0" distB="0" distL="0" distR="0" wp14:anchorId="1A50E6AF" wp14:editId="2CAE943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9A9CCC9" w14:textId="77777777" w:rsidR="00387886" w:rsidRPr="00E756AC" w:rsidRDefault="00387886" w:rsidP="007F1895">
    <w:pPr>
      <w:pStyle w:val="Piedepgina"/>
      <w:jc w:val="center"/>
      <w:rPr>
        <w:sz w:val="18"/>
        <w:szCs w:val="18"/>
        <w:lang w:val="es-ES"/>
      </w:rPr>
    </w:pPr>
  </w:p>
  <w:p w14:paraId="02222FE9" w14:textId="77777777" w:rsidR="00387886" w:rsidRPr="00E756AC" w:rsidRDefault="00387886"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C3ED8" w14:textId="77777777" w:rsidR="001918A8" w:rsidRDefault="001918A8" w:rsidP="00A71CEA">
      <w:r>
        <w:separator/>
      </w:r>
    </w:p>
  </w:footnote>
  <w:footnote w:type="continuationSeparator" w:id="0">
    <w:p w14:paraId="5A230555" w14:textId="77777777" w:rsidR="001918A8" w:rsidRDefault="001918A8" w:rsidP="00A71CEA">
      <w:r>
        <w:continuationSeparator/>
      </w:r>
    </w:p>
  </w:footnote>
  <w:footnote w:id="1">
    <w:p w14:paraId="0488EF2E" w14:textId="71C25F10" w:rsidR="00722764" w:rsidRPr="0069195E" w:rsidRDefault="00722764" w:rsidP="0069195E">
      <w:pPr>
        <w:pStyle w:val="Textonotapie"/>
        <w:ind w:firstLine="708"/>
        <w:jc w:val="both"/>
        <w:rPr>
          <w:rFonts w:ascii="Arial" w:hAnsi="Arial" w:cs="Arial"/>
          <w:sz w:val="19"/>
          <w:szCs w:val="19"/>
        </w:rPr>
      </w:pPr>
      <w:r w:rsidRPr="0069195E">
        <w:rPr>
          <w:rStyle w:val="Refdenotaalpie"/>
          <w:rFonts w:ascii="Arial" w:hAnsi="Arial" w:cs="Arial"/>
          <w:sz w:val="19"/>
          <w:szCs w:val="19"/>
        </w:rPr>
        <w:footnoteRef/>
      </w:r>
      <w:r w:rsidRPr="0069195E">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69195E">
        <w:rPr>
          <w:rFonts w:ascii="Arial" w:hAnsi="Arial" w:cs="Arial"/>
          <w:i/>
          <w:iCs/>
          <w:sz w:val="19"/>
          <w:szCs w:val="19"/>
        </w:rPr>
        <w:t xml:space="preserve">ibidem </w:t>
      </w:r>
      <w:r w:rsidRPr="0069195E">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48C5CBA5" w14:textId="77777777" w:rsidR="009F6758" w:rsidRPr="0069195E" w:rsidRDefault="009F6758">
      <w:pPr>
        <w:pStyle w:val="Textonotapie"/>
        <w:ind w:firstLine="708"/>
        <w:jc w:val="both"/>
        <w:rPr>
          <w:rFonts w:ascii="Arial" w:hAnsi="Arial" w:cs="Arial"/>
          <w:sz w:val="19"/>
          <w:szCs w:val="19"/>
          <w:lang w:val="es-ES"/>
        </w:rPr>
      </w:pPr>
    </w:p>
  </w:footnote>
  <w:footnote w:id="2">
    <w:p w14:paraId="58E5A84C" w14:textId="672242E5" w:rsidR="009F6758" w:rsidRPr="0069195E" w:rsidRDefault="009F6758">
      <w:pPr>
        <w:pStyle w:val="Textonotapie"/>
        <w:ind w:firstLine="708"/>
        <w:jc w:val="both"/>
        <w:rPr>
          <w:rFonts w:ascii="Arial" w:hAnsi="Arial" w:cs="Arial"/>
          <w:sz w:val="19"/>
          <w:szCs w:val="19"/>
          <w:lang w:val="es-CO"/>
        </w:rPr>
      </w:pPr>
      <w:r w:rsidRPr="0069195E">
        <w:rPr>
          <w:rStyle w:val="Refdenotaalpie"/>
          <w:rFonts w:ascii="Arial" w:hAnsi="Arial" w:cs="Arial"/>
          <w:sz w:val="19"/>
          <w:szCs w:val="19"/>
        </w:rPr>
        <w:footnoteRef/>
      </w:r>
      <w:r w:rsidRPr="0069195E">
        <w:rPr>
          <w:rFonts w:ascii="Arial" w:hAnsi="Arial" w:cs="Arial"/>
          <w:sz w:val="19"/>
          <w:szCs w:val="19"/>
        </w:rPr>
        <w:t xml:space="preserve"> </w:t>
      </w:r>
      <w:r w:rsidRPr="0069195E">
        <w:rPr>
          <w:rFonts w:ascii="Arial" w:hAnsi="Arial" w:cs="Arial"/>
          <w:sz w:val="19"/>
          <w:szCs w:val="19"/>
          <w:lang w:val="es-CO"/>
        </w:rPr>
        <w:t>La Agencia también se ha pronunciado sobre los factores de desempate introducidos por el artículo 35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y C-102 del 25 de marzo de 2020.</w:t>
      </w:r>
    </w:p>
    <w:p w14:paraId="286D2FBF" w14:textId="77777777" w:rsidR="009F6758" w:rsidRPr="0069195E" w:rsidRDefault="009F6758">
      <w:pPr>
        <w:pStyle w:val="Textonotapie"/>
        <w:ind w:firstLine="708"/>
        <w:jc w:val="both"/>
        <w:rPr>
          <w:rFonts w:ascii="Arial" w:hAnsi="Arial" w:cs="Arial"/>
          <w:sz w:val="19"/>
          <w:szCs w:val="19"/>
          <w:lang w:val="es-CO"/>
        </w:rPr>
      </w:pPr>
    </w:p>
  </w:footnote>
  <w:footnote w:id="3">
    <w:p w14:paraId="6A9DA735" w14:textId="77777777" w:rsidR="008B0791" w:rsidRPr="0069195E" w:rsidRDefault="008B0791">
      <w:pPr>
        <w:pStyle w:val="Textonotapie"/>
        <w:ind w:firstLine="709"/>
        <w:jc w:val="both"/>
        <w:rPr>
          <w:rFonts w:ascii="Arial" w:hAnsi="Arial" w:cs="Arial"/>
          <w:sz w:val="19"/>
          <w:szCs w:val="19"/>
          <w:lang w:val="es-ES"/>
        </w:rPr>
      </w:pPr>
      <w:r w:rsidRPr="0069195E">
        <w:rPr>
          <w:rStyle w:val="Refdenotaalpie"/>
          <w:rFonts w:ascii="Arial" w:hAnsi="Arial" w:cs="Arial"/>
          <w:sz w:val="19"/>
          <w:szCs w:val="19"/>
        </w:rPr>
        <w:footnoteRef/>
      </w:r>
      <w:r w:rsidRPr="0069195E">
        <w:rPr>
          <w:rFonts w:ascii="Arial" w:hAnsi="Arial" w:cs="Arial"/>
          <w:sz w:val="19"/>
          <w:szCs w:val="19"/>
        </w:rPr>
        <w:t xml:space="preserve"> </w:t>
      </w:r>
      <w:r w:rsidRPr="0069195E">
        <w:rPr>
          <w:rFonts w:ascii="Arial" w:hAnsi="Arial" w:cs="Arial"/>
          <w:sz w:val="19"/>
          <w:szCs w:val="19"/>
          <w:lang w:val="es-ES"/>
        </w:rPr>
        <w:t>Consejo de Estado. Sección Tercera. Sentencia del 29 de octubre de 2.015. Consejera Ponente: Stella Conto Díaz Del Castillo. Expediente: 31.918.</w:t>
      </w:r>
    </w:p>
    <w:p w14:paraId="3D249D5B" w14:textId="77777777" w:rsidR="008B0791" w:rsidRPr="0069195E" w:rsidRDefault="008B0791">
      <w:pPr>
        <w:pStyle w:val="Textonotapie"/>
        <w:ind w:firstLine="709"/>
        <w:jc w:val="both"/>
        <w:rPr>
          <w:rFonts w:ascii="Arial" w:hAnsi="Arial" w:cs="Arial"/>
          <w:sz w:val="19"/>
          <w:szCs w:val="19"/>
          <w:lang w:val="es-ES"/>
        </w:rPr>
      </w:pPr>
    </w:p>
  </w:footnote>
  <w:footnote w:id="4">
    <w:p w14:paraId="40B584A0" w14:textId="77777777" w:rsidR="008B0791" w:rsidRPr="0069195E" w:rsidRDefault="008B0791">
      <w:pPr>
        <w:pStyle w:val="Textonotapie"/>
        <w:ind w:firstLine="709"/>
        <w:jc w:val="both"/>
        <w:rPr>
          <w:rFonts w:ascii="Arial" w:hAnsi="Arial" w:cs="Arial"/>
          <w:sz w:val="19"/>
          <w:szCs w:val="19"/>
          <w:lang w:val="es-ES"/>
        </w:rPr>
      </w:pPr>
      <w:r w:rsidRPr="0069195E">
        <w:rPr>
          <w:rStyle w:val="Refdenotaalpie"/>
          <w:rFonts w:ascii="Arial" w:hAnsi="Arial" w:cs="Arial"/>
          <w:sz w:val="19"/>
          <w:szCs w:val="19"/>
        </w:rPr>
        <w:footnoteRef/>
      </w:r>
      <w:r w:rsidRPr="0069195E">
        <w:rPr>
          <w:rFonts w:ascii="Arial" w:hAnsi="Arial" w:cs="Arial"/>
          <w:sz w:val="19"/>
          <w:szCs w:val="19"/>
        </w:rPr>
        <w:t xml:space="preserve"> </w:t>
      </w:r>
      <w:r w:rsidRPr="0069195E">
        <w:rPr>
          <w:rFonts w:ascii="Arial" w:hAnsi="Arial" w:cs="Arial"/>
          <w:sz w:val="19"/>
          <w:szCs w:val="19"/>
          <w:lang w:val="es-ES"/>
        </w:rPr>
        <w:t>Corte Constitucional. Sentencia T-684A del 14 de septiembre de 2011. Magistrado Ponente: Mauricio González Cuervo.</w:t>
      </w:r>
    </w:p>
    <w:p w14:paraId="0EADBC6E" w14:textId="77777777" w:rsidR="008B0791" w:rsidRPr="0069195E" w:rsidRDefault="008B0791">
      <w:pPr>
        <w:pStyle w:val="Textonotapie"/>
        <w:ind w:firstLine="709"/>
        <w:jc w:val="both"/>
        <w:rPr>
          <w:rFonts w:ascii="Arial" w:hAnsi="Arial" w:cs="Arial"/>
          <w:sz w:val="19"/>
          <w:szCs w:val="19"/>
          <w:lang w:val="es-ES"/>
        </w:rPr>
      </w:pPr>
    </w:p>
  </w:footnote>
  <w:footnote w:id="5">
    <w:p w14:paraId="3A227452" w14:textId="77777777" w:rsidR="008B0791" w:rsidRPr="0069195E" w:rsidRDefault="008B0791">
      <w:pPr>
        <w:pStyle w:val="Textonotapie"/>
        <w:ind w:firstLine="709"/>
        <w:jc w:val="both"/>
        <w:rPr>
          <w:rFonts w:ascii="Arial" w:hAnsi="Arial" w:cs="Arial"/>
          <w:sz w:val="19"/>
          <w:szCs w:val="19"/>
          <w:lang w:val="es-CO"/>
        </w:rPr>
      </w:pPr>
      <w:r w:rsidRPr="0069195E">
        <w:rPr>
          <w:rStyle w:val="Refdenotaalpie"/>
          <w:rFonts w:ascii="Arial" w:hAnsi="Arial" w:cs="Arial"/>
          <w:sz w:val="19"/>
          <w:szCs w:val="19"/>
        </w:rPr>
        <w:footnoteRef/>
      </w:r>
      <w:r w:rsidRPr="0069195E">
        <w:rPr>
          <w:rFonts w:ascii="Arial" w:hAnsi="Arial" w:cs="Arial"/>
          <w:sz w:val="19"/>
          <w:szCs w:val="19"/>
        </w:rPr>
        <w:t xml:space="preserve"> </w:t>
      </w:r>
      <w:r w:rsidRPr="0069195E">
        <w:rPr>
          <w:rFonts w:ascii="Arial" w:hAnsi="Arial" w:cs="Arial"/>
          <w:sz w:val="19"/>
          <w:szCs w:val="19"/>
          <w:lang w:val="es-ES"/>
        </w:rPr>
        <w:t xml:space="preserve">Consejo de Estado. Sección Tercera. Sentencia del 6 de diciembre de 2.013. Consejera </w:t>
      </w:r>
      <w:proofErr w:type="spellStart"/>
      <w:r w:rsidRPr="0069195E">
        <w:rPr>
          <w:rFonts w:ascii="Arial" w:hAnsi="Arial" w:cs="Arial"/>
          <w:sz w:val="19"/>
          <w:szCs w:val="19"/>
          <w:lang w:val="es-ES"/>
        </w:rPr>
        <w:t>Ponentge</w:t>
      </w:r>
      <w:proofErr w:type="spellEnd"/>
      <w:r w:rsidRPr="0069195E">
        <w:rPr>
          <w:rFonts w:ascii="Arial" w:hAnsi="Arial" w:cs="Arial"/>
          <w:sz w:val="19"/>
          <w:szCs w:val="19"/>
          <w:lang w:val="es-ES"/>
        </w:rPr>
        <w:t xml:space="preserv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footnote>
  <w:footnote w:id="6">
    <w:p w14:paraId="64E13D62" w14:textId="77777777" w:rsidR="00EE7035" w:rsidRPr="0069195E" w:rsidRDefault="00EE7035">
      <w:pPr>
        <w:pStyle w:val="Textonotapie"/>
        <w:ind w:firstLine="709"/>
        <w:jc w:val="both"/>
        <w:rPr>
          <w:rFonts w:ascii="Arial" w:hAnsi="Arial" w:cs="Arial"/>
          <w:sz w:val="19"/>
          <w:szCs w:val="19"/>
          <w:lang w:val="es-ES"/>
        </w:rPr>
      </w:pPr>
      <w:r w:rsidRPr="0069195E">
        <w:rPr>
          <w:rStyle w:val="Refdenotaalpie"/>
          <w:rFonts w:ascii="Arial" w:hAnsi="Arial" w:cs="Arial"/>
          <w:sz w:val="19"/>
          <w:szCs w:val="19"/>
        </w:rPr>
        <w:footnoteRef/>
      </w:r>
      <w:r w:rsidRPr="0069195E">
        <w:rPr>
          <w:rFonts w:ascii="Arial" w:hAnsi="Arial" w:cs="Arial"/>
          <w:sz w:val="19"/>
          <w:szCs w:val="19"/>
        </w:rPr>
        <w:t xml:space="preserve"> </w:t>
      </w:r>
      <w:r w:rsidRPr="0069195E">
        <w:rPr>
          <w:rFonts w:ascii="Arial" w:hAnsi="Arial" w:cs="Arial"/>
          <w:sz w:val="19"/>
          <w:szCs w:val="19"/>
          <w:lang w:val="es-ES"/>
        </w:rPr>
        <w:t>Artículos 2 al 29.</w:t>
      </w:r>
    </w:p>
    <w:p w14:paraId="2FFCCC71" w14:textId="77777777" w:rsidR="00EE7035" w:rsidRPr="0069195E" w:rsidRDefault="00EE7035">
      <w:pPr>
        <w:pStyle w:val="Textonotapie"/>
        <w:ind w:firstLine="709"/>
        <w:jc w:val="both"/>
        <w:rPr>
          <w:rFonts w:ascii="Arial" w:hAnsi="Arial" w:cs="Arial"/>
          <w:sz w:val="19"/>
          <w:szCs w:val="19"/>
          <w:lang w:val="es-ES"/>
        </w:rPr>
      </w:pPr>
    </w:p>
  </w:footnote>
  <w:footnote w:id="7">
    <w:p w14:paraId="103BDDDA" w14:textId="77777777" w:rsidR="00EE7035" w:rsidRPr="0069195E" w:rsidRDefault="00EE7035">
      <w:pPr>
        <w:pStyle w:val="Textonotapie"/>
        <w:ind w:firstLine="709"/>
        <w:jc w:val="both"/>
        <w:rPr>
          <w:rFonts w:ascii="Arial" w:hAnsi="Arial" w:cs="Arial"/>
          <w:sz w:val="19"/>
          <w:szCs w:val="19"/>
          <w:lang w:val="es-ES"/>
        </w:rPr>
      </w:pPr>
      <w:r w:rsidRPr="0069195E">
        <w:rPr>
          <w:rStyle w:val="Refdenotaalpie"/>
          <w:rFonts w:ascii="Arial" w:hAnsi="Arial" w:cs="Arial"/>
          <w:sz w:val="19"/>
          <w:szCs w:val="19"/>
        </w:rPr>
        <w:footnoteRef/>
      </w:r>
      <w:r w:rsidRPr="0069195E">
        <w:rPr>
          <w:rFonts w:ascii="Arial" w:hAnsi="Arial" w:cs="Arial"/>
          <w:sz w:val="19"/>
          <w:szCs w:val="19"/>
        </w:rPr>
        <w:t xml:space="preserve"> </w:t>
      </w:r>
      <w:r w:rsidRPr="0069195E">
        <w:rPr>
          <w:rFonts w:ascii="Arial" w:hAnsi="Arial" w:cs="Arial"/>
          <w:sz w:val="19"/>
          <w:szCs w:val="19"/>
          <w:lang w:val="es-ES"/>
        </w:rPr>
        <w:t>Artículos 30 al 36.</w:t>
      </w:r>
    </w:p>
    <w:p w14:paraId="63BA9CA8" w14:textId="77777777" w:rsidR="00EE7035" w:rsidRPr="0069195E" w:rsidRDefault="00EE7035">
      <w:pPr>
        <w:pStyle w:val="Textonotapie"/>
        <w:ind w:firstLine="709"/>
        <w:jc w:val="both"/>
        <w:rPr>
          <w:rFonts w:ascii="Arial" w:hAnsi="Arial" w:cs="Arial"/>
          <w:sz w:val="19"/>
          <w:szCs w:val="19"/>
          <w:lang w:val="es-ES"/>
        </w:rPr>
      </w:pPr>
    </w:p>
  </w:footnote>
  <w:footnote w:id="8">
    <w:p w14:paraId="0918B62C" w14:textId="77777777" w:rsidR="00EE7035" w:rsidRPr="0069195E" w:rsidRDefault="00EE7035">
      <w:pPr>
        <w:pStyle w:val="Textonotapie"/>
        <w:ind w:firstLine="709"/>
        <w:jc w:val="both"/>
        <w:rPr>
          <w:rFonts w:ascii="Arial" w:hAnsi="Arial" w:cs="Arial"/>
          <w:sz w:val="19"/>
          <w:szCs w:val="19"/>
          <w:lang w:val="es-ES"/>
        </w:rPr>
      </w:pPr>
      <w:r w:rsidRPr="0069195E">
        <w:rPr>
          <w:rStyle w:val="Refdenotaalpie"/>
          <w:rFonts w:ascii="Arial" w:hAnsi="Arial" w:cs="Arial"/>
          <w:sz w:val="19"/>
          <w:szCs w:val="19"/>
        </w:rPr>
        <w:footnoteRef/>
      </w:r>
      <w:r w:rsidRPr="0069195E">
        <w:rPr>
          <w:rFonts w:ascii="Arial" w:hAnsi="Arial" w:cs="Arial"/>
          <w:sz w:val="19"/>
          <w:szCs w:val="19"/>
        </w:rPr>
        <w:t xml:space="preserve"> </w:t>
      </w:r>
      <w:r w:rsidRPr="0069195E">
        <w:rPr>
          <w:rFonts w:ascii="Arial" w:hAnsi="Arial" w:cs="Arial"/>
          <w:sz w:val="19"/>
          <w:szCs w:val="19"/>
          <w:lang w:val="es-ES"/>
        </w:rPr>
        <w:t>Artículos 37 al 45.</w:t>
      </w:r>
    </w:p>
    <w:p w14:paraId="141160FF" w14:textId="77777777" w:rsidR="00EE7035" w:rsidRPr="0069195E" w:rsidRDefault="00EE7035">
      <w:pPr>
        <w:pStyle w:val="Textonotapie"/>
        <w:ind w:firstLine="709"/>
        <w:jc w:val="both"/>
        <w:rPr>
          <w:rFonts w:ascii="Arial" w:hAnsi="Arial" w:cs="Arial"/>
          <w:sz w:val="19"/>
          <w:szCs w:val="19"/>
          <w:lang w:val="es-ES"/>
        </w:rPr>
      </w:pPr>
    </w:p>
  </w:footnote>
  <w:footnote w:id="9">
    <w:p w14:paraId="79C2D426" w14:textId="77777777" w:rsidR="00EE7035" w:rsidRPr="0069195E" w:rsidRDefault="00EE7035">
      <w:pPr>
        <w:pStyle w:val="Textonotapie"/>
        <w:ind w:firstLine="709"/>
        <w:jc w:val="both"/>
        <w:rPr>
          <w:rFonts w:ascii="Arial" w:hAnsi="Arial" w:cs="Arial"/>
          <w:sz w:val="19"/>
          <w:szCs w:val="19"/>
          <w:lang w:val="es-ES"/>
        </w:rPr>
      </w:pPr>
      <w:r w:rsidRPr="0069195E">
        <w:rPr>
          <w:rStyle w:val="Refdenotaalpie"/>
          <w:rFonts w:ascii="Arial" w:hAnsi="Arial" w:cs="Arial"/>
          <w:sz w:val="19"/>
          <w:szCs w:val="19"/>
        </w:rPr>
        <w:footnoteRef/>
      </w:r>
      <w:r w:rsidRPr="0069195E">
        <w:rPr>
          <w:rFonts w:ascii="Arial" w:hAnsi="Arial" w:cs="Arial"/>
          <w:sz w:val="19"/>
          <w:szCs w:val="19"/>
        </w:rPr>
        <w:t xml:space="preserve"> </w:t>
      </w:r>
      <w:r w:rsidRPr="0069195E">
        <w:rPr>
          <w:rFonts w:ascii="Arial" w:hAnsi="Arial" w:cs="Arial"/>
          <w:sz w:val="19"/>
          <w:szCs w:val="19"/>
          <w:lang w:val="es-ES"/>
        </w:rPr>
        <w:t>Artículos 46 al 73.</w:t>
      </w:r>
    </w:p>
    <w:p w14:paraId="4251BAE1" w14:textId="77777777" w:rsidR="00EE7035" w:rsidRPr="0069195E" w:rsidRDefault="00EE7035">
      <w:pPr>
        <w:pStyle w:val="Textonotapie"/>
        <w:ind w:firstLine="709"/>
        <w:jc w:val="both"/>
        <w:rPr>
          <w:rFonts w:ascii="Arial" w:hAnsi="Arial" w:cs="Arial"/>
          <w:sz w:val="19"/>
          <w:szCs w:val="19"/>
          <w:lang w:val="es-ES"/>
        </w:rPr>
      </w:pPr>
    </w:p>
  </w:footnote>
  <w:footnote w:id="10">
    <w:p w14:paraId="547B13FE" w14:textId="77777777" w:rsidR="00EE7035" w:rsidRPr="0069195E" w:rsidRDefault="00EE7035">
      <w:pPr>
        <w:pStyle w:val="Textonotapie"/>
        <w:ind w:firstLine="709"/>
        <w:jc w:val="both"/>
        <w:rPr>
          <w:rFonts w:ascii="Arial" w:hAnsi="Arial" w:cs="Arial"/>
          <w:sz w:val="19"/>
          <w:szCs w:val="19"/>
          <w:lang w:val="es-ES"/>
        </w:rPr>
      </w:pPr>
      <w:r w:rsidRPr="0069195E">
        <w:rPr>
          <w:rStyle w:val="Refdenotaalpie"/>
          <w:rFonts w:ascii="Arial" w:hAnsi="Arial" w:cs="Arial"/>
          <w:sz w:val="19"/>
          <w:szCs w:val="19"/>
        </w:rPr>
        <w:footnoteRef/>
      </w:r>
      <w:r w:rsidRPr="0069195E">
        <w:rPr>
          <w:rFonts w:ascii="Arial" w:hAnsi="Arial" w:cs="Arial"/>
          <w:sz w:val="19"/>
          <w:szCs w:val="19"/>
        </w:rPr>
        <w:t xml:space="preserve"> </w:t>
      </w:r>
      <w:r w:rsidRPr="0069195E">
        <w:rPr>
          <w:rFonts w:ascii="Arial" w:hAnsi="Arial" w:cs="Arial"/>
          <w:sz w:val="19"/>
          <w:szCs w:val="19"/>
          <w:lang w:val="es-ES"/>
        </w:rPr>
        <w:t>Artículos 74 al 83.</w:t>
      </w:r>
    </w:p>
    <w:p w14:paraId="10BAD157" w14:textId="77777777" w:rsidR="00EE7035" w:rsidRPr="0069195E" w:rsidRDefault="00EE7035">
      <w:pPr>
        <w:pStyle w:val="Textonotapie"/>
        <w:ind w:firstLine="709"/>
        <w:jc w:val="both"/>
        <w:rPr>
          <w:rFonts w:ascii="Arial" w:hAnsi="Arial" w:cs="Arial"/>
          <w:sz w:val="19"/>
          <w:szCs w:val="19"/>
          <w:lang w:val="es-ES"/>
        </w:rPr>
      </w:pPr>
    </w:p>
  </w:footnote>
  <w:footnote w:id="11">
    <w:p w14:paraId="3F77D525" w14:textId="77777777" w:rsidR="00254789" w:rsidRPr="0069195E" w:rsidRDefault="00254789">
      <w:pPr>
        <w:pStyle w:val="Textonotapie"/>
        <w:ind w:firstLine="709"/>
        <w:jc w:val="both"/>
        <w:rPr>
          <w:rFonts w:ascii="Arial" w:hAnsi="Arial" w:cs="Arial"/>
          <w:sz w:val="19"/>
          <w:szCs w:val="19"/>
          <w:lang w:val="es-ES"/>
        </w:rPr>
      </w:pPr>
      <w:r w:rsidRPr="0069195E">
        <w:rPr>
          <w:rStyle w:val="Refdenotaalpie"/>
          <w:rFonts w:ascii="Arial" w:hAnsi="Arial" w:cs="Arial"/>
          <w:sz w:val="19"/>
          <w:szCs w:val="19"/>
        </w:rPr>
        <w:footnoteRef/>
      </w:r>
      <w:r w:rsidRPr="0069195E">
        <w:rPr>
          <w:rFonts w:ascii="Arial" w:hAnsi="Arial" w:cs="Arial"/>
          <w:sz w:val="19"/>
          <w:szCs w:val="19"/>
        </w:rPr>
        <w:t xml:space="preserve"> </w:t>
      </w:r>
      <w:r w:rsidRPr="0069195E">
        <w:rPr>
          <w:rFonts w:ascii="Arial" w:hAnsi="Arial" w:cs="Arial"/>
          <w:sz w:val="19"/>
          <w:szCs w:val="19"/>
          <w:lang w:val="es-ES"/>
        </w:rPr>
        <w:t>En efecto, esta disposición reglamentaria indicaba: «En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7338CF32" w14:textId="77777777" w:rsidR="00254789" w:rsidRPr="0069195E" w:rsidRDefault="00254789">
      <w:pPr>
        <w:pStyle w:val="Textonotapie"/>
        <w:ind w:firstLine="709"/>
        <w:jc w:val="both"/>
        <w:rPr>
          <w:rFonts w:ascii="Arial" w:hAnsi="Arial" w:cs="Arial"/>
          <w:sz w:val="19"/>
          <w:szCs w:val="19"/>
          <w:lang w:val="es-ES"/>
        </w:rPr>
      </w:pPr>
      <w:proofErr w:type="gramStart"/>
      <w:r w:rsidRPr="0069195E">
        <w:rPr>
          <w:rFonts w:ascii="Arial" w:hAnsi="Arial" w:cs="Arial"/>
          <w:sz w:val="19"/>
          <w:szCs w:val="19"/>
          <w:lang w:val="es-ES"/>
        </w:rPr>
        <w:t>»Si</w:t>
      </w:r>
      <w:proofErr w:type="gramEnd"/>
      <w:r w:rsidRPr="0069195E">
        <w:rPr>
          <w:rFonts w:ascii="Arial" w:hAnsi="Arial" w:cs="Arial"/>
          <w:sz w:val="19"/>
          <w:szCs w:val="19"/>
          <w:lang w:val="es-ES"/>
        </w:rPr>
        <w:t xml:space="preserve"> persiste el empate, la Entidad Estatal debe utilizar las siguientes reglas de forma sucesiva y excluyente para seleccionar el oferente favorecido, respetando los compromisos adquiridos por Acuerdos Comerciales:</w:t>
      </w:r>
    </w:p>
    <w:p w14:paraId="65719A70" w14:textId="77777777" w:rsidR="00254789" w:rsidRPr="0069195E" w:rsidRDefault="00254789">
      <w:pPr>
        <w:pStyle w:val="Textonotapie"/>
        <w:ind w:firstLine="709"/>
        <w:jc w:val="both"/>
        <w:rPr>
          <w:rFonts w:ascii="Arial" w:hAnsi="Arial" w:cs="Arial"/>
          <w:sz w:val="19"/>
          <w:szCs w:val="19"/>
          <w:lang w:val="es-ES"/>
        </w:rPr>
      </w:pPr>
      <w:r w:rsidRPr="0069195E">
        <w:rPr>
          <w:rFonts w:ascii="Arial" w:hAnsi="Arial" w:cs="Arial"/>
          <w:sz w:val="19"/>
          <w:szCs w:val="19"/>
          <w:lang w:val="es-ES"/>
        </w:rPr>
        <w:t>»1. Preferir la oferta de bienes o servicios nacionales frente a la oferta de bienes o servicios extranjeros.</w:t>
      </w:r>
    </w:p>
    <w:p w14:paraId="523E9C78" w14:textId="77777777" w:rsidR="00254789" w:rsidRPr="0069195E" w:rsidRDefault="00254789">
      <w:pPr>
        <w:pStyle w:val="Textonotapie"/>
        <w:ind w:firstLine="709"/>
        <w:jc w:val="both"/>
        <w:rPr>
          <w:rFonts w:ascii="Arial" w:hAnsi="Arial" w:cs="Arial"/>
          <w:sz w:val="19"/>
          <w:szCs w:val="19"/>
          <w:lang w:val="es-ES"/>
        </w:rPr>
      </w:pPr>
      <w:r w:rsidRPr="0069195E">
        <w:rPr>
          <w:rFonts w:ascii="Arial" w:hAnsi="Arial" w:cs="Arial"/>
          <w:sz w:val="19"/>
          <w:szCs w:val="19"/>
          <w:lang w:val="es-ES"/>
        </w:rPr>
        <w:t xml:space="preserve">»2. Preferir las ofertas presentada por una </w:t>
      </w:r>
      <w:proofErr w:type="spellStart"/>
      <w:r w:rsidRPr="0069195E">
        <w:rPr>
          <w:rFonts w:ascii="Arial" w:hAnsi="Arial" w:cs="Arial"/>
          <w:sz w:val="19"/>
          <w:szCs w:val="19"/>
          <w:lang w:val="es-ES"/>
        </w:rPr>
        <w:t>Mipyme</w:t>
      </w:r>
      <w:proofErr w:type="spellEnd"/>
      <w:r w:rsidRPr="0069195E">
        <w:rPr>
          <w:rFonts w:ascii="Arial" w:hAnsi="Arial" w:cs="Arial"/>
          <w:sz w:val="19"/>
          <w:szCs w:val="19"/>
          <w:lang w:val="es-ES"/>
        </w:rPr>
        <w:t xml:space="preserve"> nacional.</w:t>
      </w:r>
    </w:p>
    <w:p w14:paraId="47058302" w14:textId="77777777" w:rsidR="00254789" w:rsidRPr="0069195E" w:rsidRDefault="00254789">
      <w:pPr>
        <w:pStyle w:val="Textonotapie"/>
        <w:ind w:firstLine="709"/>
        <w:jc w:val="both"/>
        <w:rPr>
          <w:rFonts w:ascii="Arial" w:hAnsi="Arial" w:cs="Arial"/>
          <w:sz w:val="19"/>
          <w:szCs w:val="19"/>
          <w:lang w:val="es-ES"/>
        </w:rPr>
      </w:pPr>
      <w:r w:rsidRPr="0069195E">
        <w:rPr>
          <w:rFonts w:ascii="Arial" w:hAnsi="Arial" w:cs="Arial"/>
          <w:sz w:val="19"/>
          <w:szCs w:val="19"/>
          <w:lang w:val="es-ES"/>
        </w:rPr>
        <w:t xml:space="preserve">»3. Preferir la oferta presentada por un consorcio, unión temporal o promesa de sociedad futura siempre que: (a) esté conformado por al menos una </w:t>
      </w:r>
      <w:proofErr w:type="spellStart"/>
      <w:r w:rsidRPr="0069195E">
        <w:rPr>
          <w:rFonts w:ascii="Arial" w:hAnsi="Arial" w:cs="Arial"/>
          <w:sz w:val="19"/>
          <w:szCs w:val="19"/>
          <w:lang w:val="es-ES"/>
        </w:rPr>
        <w:t>Mipyme</w:t>
      </w:r>
      <w:proofErr w:type="spellEnd"/>
      <w:r w:rsidRPr="0069195E">
        <w:rPr>
          <w:rFonts w:ascii="Arial" w:hAnsi="Arial" w:cs="Arial"/>
          <w:sz w:val="19"/>
          <w:szCs w:val="19"/>
          <w:lang w:val="es-ES"/>
        </w:rPr>
        <w:t xml:space="preserve"> nacional que tenga una participación de por lo menos el veinticinco por ciento (25%); (b) la </w:t>
      </w:r>
      <w:proofErr w:type="spellStart"/>
      <w:r w:rsidRPr="0069195E">
        <w:rPr>
          <w:rFonts w:ascii="Arial" w:hAnsi="Arial" w:cs="Arial"/>
          <w:sz w:val="19"/>
          <w:szCs w:val="19"/>
          <w:lang w:val="es-ES"/>
        </w:rPr>
        <w:t>Mipyme</w:t>
      </w:r>
      <w:proofErr w:type="spellEnd"/>
      <w:r w:rsidRPr="0069195E">
        <w:rPr>
          <w:rFonts w:ascii="Arial" w:hAnsi="Arial" w:cs="Arial"/>
          <w:sz w:val="19"/>
          <w:szCs w:val="19"/>
          <w:lang w:val="es-ES"/>
        </w:rPr>
        <w:t xml:space="preserve"> aporte mínimo el veinticinco por ciento (25%) de la experiencia acreditada en la oferta; y (c) ni la </w:t>
      </w:r>
      <w:proofErr w:type="spellStart"/>
      <w:r w:rsidRPr="0069195E">
        <w:rPr>
          <w:rFonts w:ascii="Arial" w:hAnsi="Arial" w:cs="Arial"/>
          <w:sz w:val="19"/>
          <w:szCs w:val="19"/>
          <w:lang w:val="es-ES"/>
        </w:rPr>
        <w:t>Mipyme</w:t>
      </w:r>
      <w:proofErr w:type="spellEnd"/>
      <w:r w:rsidRPr="0069195E">
        <w:rPr>
          <w:rFonts w:ascii="Arial" w:hAnsi="Arial" w:cs="Arial"/>
          <w:sz w:val="19"/>
          <w:szCs w:val="19"/>
          <w:lang w:val="es-ES"/>
        </w:rPr>
        <w:t>, ni sus accionistas, socios o representantes legales sean empleados, socios o accionistas de los miembros del consorcio, unión temporal o promesa de sociedad futura.</w:t>
      </w:r>
    </w:p>
    <w:p w14:paraId="397FAE48" w14:textId="77777777" w:rsidR="00254789" w:rsidRPr="0069195E" w:rsidRDefault="00254789">
      <w:pPr>
        <w:pStyle w:val="Textonotapie"/>
        <w:ind w:firstLine="709"/>
        <w:jc w:val="both"/>
        <w:rPr>
          <w:rFonts w:ascii="Arial" w:hAnsi="Arial" w:cs="Arial"/>
          <w:sz w:val="19"/>
          <w:szCs w:val="19"/>
          <w:lang w:val="es-ES"/>
        </w:rPr>
      </w:pPr>
      <w:r w:rsidRPr="0069195E">
        <w:rPr>
          <w:rFonts w:ascii="Arial" w:hAnsi="Arial" w:cs="Arial"/>
          <w:sz w:val="19"/>
          <w:szCs w:val="19"/>
          <w:lang w:val="es-ES"/>
        </w:rPr>
        <w:t>»4. 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724DCFBA" w14:textId="77777777" w:rsidR="00254789" w:rsidRPr="0069195E" w:rsidRDefault="00254789">
      <w:pPr>
        <w:pStyle w:val="Textonotapie"/>
        <w:ind w:firstLine="709"/>
        <w:jc w:val="both"/>
        <w:rPr>
          <w:rFonts w:ascii="Arial" w:hAnsi="Arial" w:cs="Arial"/>
          <w:sz w:val="19"/>
          <w:szCs w:val="19"/>
          <w:lang w:val="es-CO"/>
        </w:rPr>
      </w:pPr>
      <w:r w:rsidRPr="0069195E">
        <w:rPr>
          <w:rFonts w:ascii="Arial" w:hAnsi="Arial" w:cs="Arial"/>
          <w:sz w:val="19"/>
          <w:szCs w:val="19"/>
          <w:lang w:val="es-ES"/>
        </w:rPr>
        <w:t>»5. Utilizar un método aleatorio para seleccionar el oferente, método que deberá haber sido previsto en los pliegos de condiciones del Proceso de Contratación».</w:t>
      </w:r>
    </w:p>
  </w:footnote>
  <w:footnote w:id="12">
    <w:p w14:paraId="1B430A0E" w14:textId="3F530D3A" w:rsidR="00A65A63" w:rsidRPr="00FC204D" w:rsidRDefault="00171A2B" w:rsidP="00FC204D">
      <w:pPr>
        <w:pStyle w:val="Textonotapie"/>
        <w:spacing w:after="120"/>
        <w:ind w:firstLine="708"/>
        <w:jc w:val="both"/>
        <w:rPr>
          <w:rFonts w:ascii="Arial" w:hAnsi="Arial" w:cs="Arial"/>
          <w:sz w:val="19"/>
          <w:szCs w:val="19"/>
        </w:rPr>
      </w:pPr>
      <w:r w:rsidRPr="00FC204D">
        <w:rPr>
          <w:rStyle w:val="Refdenotaalpie"/>
          <w:rFonts w:ascii="Arial" w:hAnsi="Arial" w:cs="Arial"/>
          <w:sz w:val="19"/>
          <w:szCs w:val="19"/>
        </w:rPr>
        <w:footnoteRef/>
      </w:r>
      <w:r w:rsidRPr="00FC204D">
        <w:rPr>
          <w:rFonts w:ascii="Arial" w:hAnsi="Arial" w:cs="Arial"/>
          <w:sz w:val="19"/>
          <w:szCs w:val="19"/>
        </w:rPr>
        <w:t xml:space="preserve"> </w:t>
      </w:r>
      <w:r w:rsidR="00A65A63" w:rsidRPr="00FC204D">
        <w:rPr>
          <w:rFonts w:ascii="Arial" w:hAnsi="Arial" w:cs="Arial"/>
          <w:sz w:val="19"/>
          <w:szCs w:val="19"/>
        </w:rPr>
        <w:t>«</w:t>
      </w:r>
      <w:r w:rsidRPr="00FC204D">
        <w:rPr>
          <w:rFonts w:ascii="Arial" w:hAnsi="Arial" w:cs="Arial"/>
          <w:sz w:val="19"/>
          <w:szCs w:val="19"/>
        </w:rPr>
        <w:t>Artículo 11° Revisión constante. La Agencia en cualquier momento, ante el cambio de circunstancias fácticas o jurídicas sobre las cuales se sustentaron la adopción de los documentos tipo o la identificación de imperfecciones en la elaboración o implementación de los mismos, procederá a realizar su revisión y adoptará las modificaciones a que haya lugar mediante acto administrativo motivado. Para la revisión de los documentos tipo se podrán tener en cuenta las observaciones y experiencias allegadas con posterioridad al cierre dispuesto en el artículo 9 de la presente</w:t>
      </w:r>
      <w:r w:rsidR="00A65A63" w:rsidRPr="00FC204D">
        <w:rPr>
          <w:rFonts w:ascii="Arial" w:hAnsi="Arial" w:cs="Arial"/>
          <w:sz w:val="19"/>
          <w:szCs w:val="19"/>
        </w:rPr>
        <w:t xml:space="preserve"> resolución y los datos arrojados por el observatorio oficial de contratación de la entidad, respecto al uso de los documentos tipo por parie de las entidades estatales.</w:t>
      </w:r>
    </w:p>
    <w:p w14:paraId="75E5735B" w14:textId="5D9885D4" w:rsidR="00A65A63" w:rsidRPr="00FC204D" w:rsidRDefault="00A65A63" w:rsidP="00FC204D">
      <w:pPr>
        <w:pStyle w:val="Textonotapie"/>
        <w:spacing w:after="120"/>
        <w:ind w:firstLine="708"/>
        <w:jc w:val="both"/>
        <w:rPr>
          <w:rFonts w:ascii="Arial" w:hAnsi="Arial" w:cs="Arial"/>
          <w:sz w:val="19"/>
          <w:szCs w:val="19"/>
        </w:rPr>
      </w:pPr>
      <w:r w:rsidRPr="00FC204D">
        <w:rPr>
          <w:rFonts w:ascii="Arial" w:hAnsi="Arial" w:cs="Arial"/>
          <w:sz w:val="19"/>
          <w:szCs w:val="19"/>
        </w:rPr>
        <w:t>»El proyecto de resolución que adopta los ajustes a los documentos tipo se publicará en la página</w:t>
      </w:r>
    </w:p>
    <w:p w14:paraId="1F9DDD23" w14:textId="5814A05D" w:rsidR="00A65A63" w:rsidRPr="00FC204D" w:rsidRDefault="00A65A63" w:rsidP="00FC204D">
      <w:pPr>
        <w:pStyle w:val="Textonotapie"/>
        <w:spacing w:after="120"/>
        <w:jc w:val="both"/>
        <w:rPr>
          <w:rFonts w:ascii="Arial" w:hAnsi="Arial" w:cs="Arial"/>
          <w:sz w:val="19"/>
          <w:szCs w:val="19"/>
        </w:rPr>
      </w:pPr>
      <w:r w:rsidRPr="00FC204D">
        <w:rPr>
          <w:rFonts w:ascii="Arial" w:hAnsi="Arial" w:cs="Arial"/>
          <w:sz w:val="19"/>
          <w:szCs w:val="19"/>
        </w:rPr>
        <w:t>web y demás medios de difusión electrónica con los que cuente la entidad, para que los ciudadanos y grupos de interés puedan presentar observaciones. En todo caso, el plazo para presentar las observaciones no podrá ser inferior a diez (10) días calendario, el cual podrá ser superior para aquellos documentos que, en atención a la complejidad del tema, requiera de mayor tiempo para garantizar la participación de los interesados mediante sus comentarios y observaciones.</w:t>
      </w:r>
    </w:p>
    <w:p w14:paraId="07CCE406" w14:textId="04DCE007" w:rsidR="00A65A63" w:rsidRPr="00FC204D" w:rsidRDefault="00A65A63" w:rsidP="00FC204D">
      <w:pPr>
        <w:pStyle w:val="Textonotapie"/>
        <w:ind w:firstLine="708"/>
        <w:jc w:val="both"/>
        <w:rPr>
          <w:rFonts w:ascii="Arial" w:hAnsi="Arial" w:cs="Arial"/>
          <w:sz w:val="19"/>
          <w:szCs w:val="19"/>
        </w:rPr>
      </w:pPr>
      <w:r w:rsidRPr="00FC204D">
        <w:rPr>
          <w:rFonts w:ascii="Arial" w:hAnsi="Arial" w:cs="Arial"/>
          <w:sz w:val="19"/>
          <w:szCs w:val="19"/>
        </w:rPr>
        <w:t>»De las observaciones y comentarios presentados se elaborará un informe global que estudiará el impacto que se tuvo. Este informe se publicará en la página web de la entidad en la sección de Transparencia y Acceso de la lnformación Pública</w:t>
      </w:r>
      <w:r w:rsidR="00664472" w:rsidRPr="00FC204D">
        <w:rPr>
          <w:rFonts w:ascii="Arial" w:hAnsi="Arial" w:cs="Arial"/>
          <w:sz w:val="19"/>
          <w:szCs w:val="19"/>
        </w:rPr>
        <w:t>»</w:t>
      </w:r>
      <w:r w:rsidRPr="00FC204D">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2914" w14:textId="77777777" w:rsidR="00387886" w:rsidRDefault="00387886">
    <w:pPr>
      <w:pStyle w:val="Encabezado"/>
    </w:pPr>
    <w:r>
      <w:rPr>
        <w:noProof/>
        <w:lang w:val="es-CO" w:eastAsia="es-CO"/>
      </w:rPr>
      <w:drawing>
        <wp:anchor distT="0" distB="0" distL="114300" distR="114300" simplePos="0" relativeHeight="251659264" behindDoc="1" locked="0" layoutInCell="1" allowOverlap="1" wp14:anchorId="096CAC25" wp14:editId="2914B42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D2D0F1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6C16A1"/>
    <w:multiLevelType w:val="hybridMultilevel"/>
    <w:tmpl w:val="1AB4BA0C"/>
    <w:lvl w:ilvl="0" w:tplc="A24CC23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ECA0D0B"/>
    <w:multiLevelType w:val="hybridMultilevel"/>
    <w:tmpl w:val="9B36D16A"/>
    <w:lvl w:ilvl="0" w:tplc="CFAEEA4A">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3ECA0A6E"/>
    <w:multiLevelType w:val="multilevel"/>
    <w:tmpl w:val="E68E61D6"/>
    <w:lvl w:ilvl="0">
      <w:start w:val="2"/>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28068A8"/>
    <w:multiLevelType w:val="hybridMultilevel"/>
    <w:tmpl w:val="B308C2F4"/>
    <w:lvl w:ilvl="0" w:tplc="A4889B9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796B77"/>
    <w:multiLevelType w:val="hybridMultilevel"/>
    <w:tmpl w:val="C3C2806E"/>
    <w:lvl w:ilvl="0" w:tplc="852208B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41602F"/>
    <w:multiLevelType w:val="hybridMultilevel"/>
    <w:tmpl w:val="3BDE0786"/>
    <w:lvl w:ilvl="0" w:tplc="4956E6F8">
      <w:start w:val="1"/>
      <w:numFmt w:val="lowerRoman"/>
      <w:lvlText w:val="%1)"/>
      <w:lvlJc w:val="left"/>
      <w:pPr>
        <w:ind w:left="780" w:hanging="720"/>
      </w:pPr>
      <w:rPr>
        <w:rFonts w:eastAsia="Calibri" w:hint="default"/>
        <w:color w:val="000000" w:themeColor="text1"/>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15:restartNumberingAfterBreak="0">
    <w:nsid w:val="799C33D4"/>
    <w:multiLevelType w:val="multilevel"/>
    <w:tmpl w:val="7020D8D4"/>
    <w:lvl w:ilvl="0">
      <w:start w:val="1"/>
      <w:numFmt w:val="decimal"/>
      <w:pStyle w:val="Ttulo"/>
      <w:lvlText w:val="11.%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2"/>
  </w:num>
  <w:num w:numId="5">
    <w:abstractNumId w:val="6"/>
  </w:num>
  <w:num w:numId="6">
    <w:abstractNumId w:val="7"/>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EA"/>
    <w:rsid w:val="00001B57"/>
    <w:rsid w:val="00006860"/>
    <w:rsid w:val="000116D4"/>
    <w:rsid w:val="000135A5"/>
    <w:rsid w:val="00015425"/>
    <w:rsid w:val="00025D02"/>
    <w:rsid w:val="00026C88"/>
    <w:rsid w:val="0003267E"/>
    <w:rsid w:val="000406C4"/>
    <w:rsid w:val="00054FFE"/>
    <w:rsid w:val="000656E8"/>
    <w:rsid w:val="00072333"/>
    <w:rsid w:val="000742EA"/>
    <w:rsid w:val="000755E1"/>
    <w:rsid w:val="00094B59"/>
    <w:rsid w:val="000A5E3D"/>
    <w:rsid w:val="000A615D"/>
    <w:rsid w:val="000A787A"/>
    <w:rsid w:val="000B25FC"/>
    <w:rsid w:val="000B3835"/>
    <w:rsid w:val="000B627E"/>
    <w:rsid w:val="000B6A48"/>
    <w:rsid w:val="000C7645"/>
    <w:rsid w:val="000D7D3C"/>
    <w:rsid w:val="000D7F51"/>
    <w:rsid w:val="000F1A28"/>
    <w:rsid w:val="00102CBB"/>
    <w:rsid w:val="00106754"/>
    <w:rsid w:val="00112852"/>
    <w:rsid w:val="00113346"/>
    <w:rsid w:val="0011553A"/>
    <w:rsid w:val="001177A4"/>
    <w:rsid w:val="00135CEA"/>
    <w:rsid w:val="0015117A"/>
    <w:rsid w:val="001561B2"/>
    <w:rsid w:val="00161966"/>
    <w:rsid w:val="00171A2B"/>
    <w:rsid w:val="00182F8C"/>
    <w:rsid w:val="00184F96"/>
    <w:rsid w:val="001900DE"/>
    <w:rsid w:val="001918A8"/>
    <w:rsid w:val="0019191F"/>
    <w:rsid w:val="00195596"/>
    <w:rsid w:val="0019728C"/>
    <w:rsid w:val="001A7CE4"/>
    <w:rsid w:val="001B1773"/>
    <w:rsid w:val="001C279E"/>
    <w:rsid w:val="001E2319"/>
    <w:rsid w:val="001E2E1C"/>
    <w:rsid w:val="001E6EA0"/>
    <w:rsid w:val="001F2332"/>
    <w:rsid w:val="001F5D6E"/>
    <w:rsid w:val="00201DB9"/>
    <w:rsid w:val="00202668"/>
    <w:rsid w:val="00203FD3"/>
    <w:rsid w:val="002057A4"/>
    <w:rsid w:val="00214AAC"/>
    <w:rsid w:val="00214E9F"/>
    <w:rsid w:val="00216826"/>
    <w:rsid w:val="00222032"/>
    <w:rsid w:val="00223F65"/>
    <w:rsid w:val="00235E08"/>
    <w:rsid w:val="002367F2"/>
    <w:rsid w:val="00242621"/>
    <w:rsid w:val="00244F30"/>
    <w:rsid w:val="00254789"/>
    <w:rsid w:val="00256784"/>
    <w:rsid w:val="00256962"/>
    <w:rsid w:val="00262DCF"/>
    <w:rsid w:val="00263999"/>
    <w:rsid w:val="0026403F"/>
    <w:rsid w:val="002641CE"/>
    <w:rsid w:val="00265A2D"/>
    <w:rsid w:val="002663A9"/>
    <w:rsid w:val="0026761A"/>
    <w:rsid w:val="002676B8"/>
    <w:rsid w:val="002762D1"/>
    <w:rsid w:val="00282D3F"/>
    <w:rsid w:val="00286B8C"/>
    <w:rsid w:val="0029091F"/>
    <w:rsid w:val="002A5C76"/>
    <w:rsid w:val="002A75EC"/>
    <w:rsid w:val="002B0FCE"/>
    <w:rsid w:val="002B19F5"/>
    <w:rsid w:val="002B7024"/>
    <w:rsid w:val="002B77BB"/>
    <w:rsid w:val="002C5401"/>
    <w:rsid w:val="002E0303"/>
    <w:rsid w:val="002E4380"/>
    <w:rsid w:val="002F0E3F"/>
    <w:rsid w:val="002F1597"/>
    <w:rsid w:val="00300B5B"/>
    <w:rsid w:val="0031456F"/>
    <w:rsid w:val="003233A2"/>
    <w:rsid w:val="003239DF"/>
    <w:rsid w:val="00324FA5"/>
    <w:rsid w:val="00332594"/>
    <w:rsid w:val="00335574"/>
    <w:rsid w:val="00336AC6"/>
    <w:rsid w:val="00337876"/>
    <w:rsid w:val="0034413B"/>
    <w:rsid w:val="003447E3"/>
    <w:rsid w:val="00345FBC"/>
    <w:rsid w:val="00353024"/>
    <w:rsid w:val="00353092"/>
    <w:rsid w:val="0035732E"/>
    <w:rsid w:val="00365D3A"/>
    <w:rsid w:val="0037075E"/>
    <w:rsid w:val="0037178A"/>
    <w:rsid w:val="003737DB"/>
    <w:rsid w:val="00380F1A"/>
    <w:rsid w:val="00384FE5"/>
    <w:rsid w:val="00387886"/>
    <w:rsid w:val="00391044"/>
    <w:rsid w:val="00392411"/>
    <w:rsid w:val="00397000"/>
    <w:rsid w:val="003A5C98"/>
    <w:rsid w:val="003B7F22"/>
    <w:rsid w:val="003C1F96"/>
    <w:rsid w:val="003C5DD6"/>
    <w:rsid w:val="003C7975"/>
    <w:rsid w:val="003D09BA"/>
    <w:rsid w:val="003D22F3"/>
    <w:rsid w:val="003E248F"/>
    <w:rsid w:val="003E3E01"/>
    <w:rsid w:val="003F0706"/>
    <w:rsid w:val="003F461C"/>
    <w:rsid w:val="003F7FB1"/>
    <w:rsid w:val="00403054"/>
    <w:rsid w:val="004053CD"/>
    <w:rsid w:val="0041470E"/>
    <w:rsid w:val="00415C7B"/>
    <w:rsid w:val="00416435"/>
    <w:rsid w:val="004164FC"/>
    <w:rsid w:val="00420492"/>
    <w:rsid w:val="00445D68"/>
    <w:rsid w:val="00453E78"/>
    <w:rsid w:val="00454997"/>
    <w:rsid w:val="00457367"/>
    <w:rsid w:val="004710AE"/>
    <w:rsid w:val="0047390B"/>
    <w:rsid w:val="00475DD2"/>
    <w:rsid w:val="00476147"/>
    <w:rsid w:val="00476544"/>
    <w:rsid w:val="0048044A"/>
    <w:rsid w:val="0048469A"/>
    <w:rsid w:val="004853AF"/>
    <w:rsid w:val="004903B7"/>
    <w:rsid w:val="00491FEA"/>
    <w:rsid w:val="004B3968"/>
    <w:rsid w:val="004B539E"/>
    <w:rsid w:val="004C6ABD"/>
    <w:rsid w:val="004D7DE2"/>
    <w:rsid w:val="004E279D"/>
    <w:rsid w:val="004E4331"/>
    <w:rsid w:val="004E4A1E"/>
    <w:rsid w:val="004E7410"/>
    <w:rsid w:val="004F2E83"/>
    <w:rsid w:val="004F3D28"/>
    <w:rsid w:val="00502061"/>
    <w:rsid w:val="005145DA"/>
    <w:rsid w:val="0052140B"/>
    <w:rsid w:val="00521FC6"/>
    <w:rsid w:val="00524B49"/>
    <w:rsid w:val="005303D7"/>
    <w:rsid w:val="00531E6B"/>
    <w:rsid w:val="005342DB"/>
    <w:rsid w:val="00547A9E"/>
    <w:rsid w:val="0055029E"/>
    <w:rsid w:val="00554D93"/>
    <w:rsid w:val="0055693F"/>
    <w:rsid w:val="00563519"/>
    <w:rsid w:val="005668C1"/>
    <w:rsid w:val="0057168B"/>
    <w:rsid w:val="00572216"/>
    <w:rsid w:val="00587130"/>
    <w:rsid w:val="00591EB1"/>
    <w:rsid w:val="005A5EFD"/>
    <w:rsid w:val="005B056E"/>
    <w:rsid w:val="005B14A6"/>
    <w:rsid w:val="005B399C"/>
    <w:rsid w:val="005B76C7"/>
    <w:rsid w:val="005C59AD"/>
    <w:rsid w:val="005D46D0"/>
    <w:rsid w:val="005D4FC8"/>
    <w:rsid w:val="005E481C"/>
    <w:rsid w:val="005E66B0"/>
    <w:rsid w:val="005F03DE"/>
    <w:rsid w:val="005F04B8"/>
    <w:rsid w:val="005F1D9D"/>
    <w:rsid w:val="005F4139"/>
    <w:rsid w:val="00606451"/>
    <w:rsid w:val="006065A9"/>
    <w:rsid w:val="00611B99"/>
    <w:rsid w:val="0061648F"/>
    <w:rsid w:val="00623378"/>
    <w:rsid w:val="0063204C"/>
    <w:rsid w:val="00644800"/>
    <w:rsid w:val="00662701"/>
    <w:rsid w:val="00664472"/>
    <w:rsid w:val="006663C2"/>
    <w:rsid w:val="00667FCB"/>
    <w:rsid w:val="006757CA"/>
    <w:rsid w:val="00676D9E"/>
    <w:rsid w:val="00687BDD"/>
    <w:rsid w:val="0069195E"/>
    <w:rsid w:val="00695B76"/>
    <w:rsid w:val="006A5502"/>
    <w:rsid w:val="006B04C0"/>
    <w:rsid w:val="006C0EA1"/>
    <w:rsid w:val="006C3672"/>
    <w:rsid w:val="006D2C01"/>
    <w:rsid w:val="006D3DBD"/>
    <w:rsid w:val="006D64B1"/>
    <w:rsid w:val="006E499C"/>
    <w:rsid w:val="006E75EC"/>
    <w:rsid w:val="006F61DB"/>
    <w:rsid w:val="00703E5A"/>
    <w:rsid w:val="007118B2"/>
    <w:rsid w:val="0072221E"/>
    <w:rsid w:val="00722764"/>
    <w:rsid w:val="00725A00"/>
    <w:rsid w:val="007308F7"/>
    <w:rsid w:val="00745302"/>
    <w:rsid w:val="00754032"/>
    <w:rsid w:val="00756FD9"/>
    <w:rsid w:val="007675C8"/>
    <w:rsid w:val="00772151"/>
    <w:rsid w:val="00773948"/>
    <w:rsid w:val="00776374"/>
    <w:rsid w:val="007820EF"/>
    <w:rsid w:val="00783EBD"/>
    <w:rsid w:val="00784FEF"/>
    <w:rsid w:val="007A0123"/>
    <w:rsid w:val="007A4AE6"/>
    <w:rsid w:val="007B1D87"/>
    <w:rsid w:val="007B2580"/>
    <w:rsid w:val="007C11D6"/>
    <w:rsid w:val="007C574A"/>
    <w:rsid w:val="007C5E25"/>
    <w:rsid w:val="007D3F2E"/>
    <w:rsid w:val="007E5394"/>
    <w:rsid w:val="007F035F"/>
    <w:rsid w:val="007F1895"/>
    <w:rsid w:val="007F304E"/>
    <w:rsid w:val="007F7A62"/>
    <w:rsid w:val="007F7C03"/>
    <w:rsid w:val="00801E1B"/>
    <w:rsid w:val="00803C68"/>
    <w:rsid w:val="0081181F"/>
    <w:rsid w:val="00811D01"/>
    <w:rsid w:val="00820F88"/>
    <w:rsid w:val="008267F4"/>
    <w:rsid w:val="00827A2A"/>
    <w:rsid w:val="008312A3"/>
    <w:rsid w:val="0083264D"/>
    <w:rsid w:val="00833D8C"/>
    <w:rsid w:val="00843442"/>
    <w:rsid w:val="00847BA2"/>
    <w:rsid w:val="00852E19"/>
    <w:rsid w:val="00861714"/>
    <w:rsid w:val="00862027"/>
    <w:rsid w:val="00875F7C"/>
    <w:rsid w:val="00880110"/>
    <w:rsid w:val="008855C4"/>
    <w:rsid w:val="008873A3"/>
    <w:rsid w:val="008959DE"/>
    <w:rsid w:val="00897109"/>
    <w:rsid w:val="008A3B3A"/>
    <w:rsid w:val="008A51D3"/>
    <w:rsid w:val="008B0791"/>
    <w:rsid w:val="008B52AD"/>
    <w:rsid w:val="008C3F91"/>
    <w:rsid w:val="008C425C"/>
    <w:rsid w:val="008C5B45"/>
    <w:rsid w:val="008D1AC8"/>
    <w:rsid w:val="008F6437"/>
    <w:rsid w:val="00906CE0"/>
    <w:rsid w:val="00912F8B"/>
    <w:rsid w:val="0093085B"/>
    <w:rsid w:val="00930FAE"/>
    <w:rsid w:val="009332FC"/>
    <w:rsid w:val="00942454"/>
    <w:rsid w:val="00960FD1"/>
    <w:rsid w:val="00965D7F"/>
    <w:rsid w:val="00973FF7"/>
    <w:rsid w:val="009745AC"/>
    <w:rsid w:val="0098230F"/>
    <w:rsid w:val="009A20A7"/>
    <w:rsid w:val="009A3A2B"/>
    <w:rsid w:val="009B586F"/>
    <w:rsid w:val="009D5279"/>
    <w:rsid w:val="009D7A61"/>
    <w:rsid w:val="009E36A9"/>
    <w:rsid w:val="009F1B3C"/>
    <w:rsid w:val="009F6758"/>
    <w:rsid w:val="00A012BF"/>
    <w:rsid w:val="00A21E65"/>
    <w:rsid w:val="00A335C2"/>
    <w:rsid w:val="00A35546"/>
    <w:rsid w:val="00A4095E"/>
    <w:rsid w:val="00A4457D"/>
    <w:rsid w:val="00A44868"/>
    <w:rsid w:val="00A5027F"/>
    <w:rsid w:val="00A5157B"/>
    <w:rsid w:val="00A51E80"/>
    <w:rsid w:val="00A5202C"/>
    <w:rsid w:val="00A53195"/>
    <w:rsid w:val="00A65A63"/>
    <w:rsid w:val="00A71CEA"/>
    <w:rsid w:val="00A80425"/>
    <w:rsid w:val="00A860DE"/>
    <w:rsid w:val="00A9164B"/>
    <w:rsid w:val="00AA2D55"/>
    <w:rsid w:val="00AA477B"/>
    <w:rsid w:val="00AA5749"/>
    <w:rsid w:val="00AB0071"/>
    <w:rsid w:val="00AB3B0A"/>
    <w:rsid w:val="00AB6125"/>
    <w:rsid w:val="00AB6245"/>
    <w:rsid w:val="00AC2212"/>
    <w:rsid w:val="00AC44CB"/>
    <w:rsid w:val="00AC7423"/>
    <w:rsid w:val="00AC7AE5"/>
    <w:rsid w:val="00AD0B68"/>
    <w:rsid w:val="00AD4216"/>
    <w:rsid w:val="00AE35EA"/>
    <w:rsid w:val="00AF0F4E"/>
    <w:rsid w:val="00B02D49"/>
    <w:rsid w:val="00B06567"/>
    <w:rsid w:val="00B12F0E"/>
    <w:rsid w:val="00B213D0"/>
    <w:rsid w:val="00B2523E"/>
    <w:rsid w:val="00B315E0"/>
    <w:rsid w:val="00B31C5C"/>
    <w:rsid w:val="00B33E20"/>
    <w:rsid w:val="00B43119"/>
    <w:rsid w:val="00B432EB"/>
    <w:rsid w:val="00B4436B"/>
    <w:rsid w:val="00B52EF4"/>
    <w:rsid w:val="00B55679"/>
    <w:rsid w:val="00B5768A"/>
    <w:rsid w:val="00B6131E"/>
    <w:rsid w:val="00B651A5"/>
    <w:rsid w:val="00B7045A"/>
    <w:rsid w:val="00B70800"/>
    <w:rsid w:val="00B71711"/>
    <w:rsid w:val="00B72FB5"/>
    <w:rsid w:val="00B81F3F"/>
    <w:rsid w:val="00B83873"/>
    <w:rsid w:val="00B8757F"/>
    <w:rsid w:val="00B878A9"/>
    <w:rsid w:val="00B913DC"/>
    <w:rsid w:val="00B933DD"/>
    <w:rsid w:val="00B937CA"/>
    <w:rsid w:val="00B96688"/>
    <w:rsid w:val="00BA084A"/>
    <w:rsid w:val="00BA0BD7"/>
    <w:rsid w:val="00BA1FD8"/>
    <w:rsid w:val="00BA3355"/>
    <w:rsid w:val="00BA3C72"/>
    <w:rsid w:val="00BA55C6"/>
    <w:rsid w:val="00BA75D3"/>
    <w:rsid w:val="00BA7F22"/>
    <w:rsid w:val="00BB05AC"/>
    <w:rsid w:val="00BB0D17"/>
    <w:rsid w:val="00BB32FE"/>
    <w:rsid w:val="00BB51F3"/>
    <w:rsid w:val="00BC0FB8"/>
    <w:rsid w:val="00BC1F98"/>
    <w:rsid w:val="00BC3923"/>
    <w:rsid w:val="00BC691B"/>
    <w:rsid w:val="00BC69AA"/>
    <w:rsid w:val="00BD1EE6"/>
    <w:rsid w:val="00BD2356"/>
    <w:rsid w:val="00BF18D6"/>
    <w:rsid w:val="00BF7CAF"/>
    <w:rsid w:val="00C014D3"/>
    <w:rsid w:val="00C1196F"/>
    <w:rsid w:val="00C12881"/>
    <w:rsid w:val="00C12E90"/>
    <w:rsid w:val="00C15D6A"/>
    <w:rsid w:val="00C33A69"/>
    <w:rsid w:val="00C33B62"/>
    <w:rsid w:val="00C35FD1"/>
    <w:rsid w:val="00C47C47"/>
    <w:rsid w:val="00C54211"/>
    <w:rsid w:val="00C634E7"/>
    <w:rsid w:val="00C635D5"/>
    <w:rsid w:val="00C63CEA"/>
    <w:rsid w:val="00C71ACE"/>
    <w:rsid w:val="00C72B17"/>
    <w:rsid w:val="00C74C8B"/>
    <w:rsid w:val="00C854E5"/>
    <w:rsid w:val="00C87984"/>
    <w:rsid w:val="00C87D18"/>
    <w:rsid w:val="00C9071B"/>
    <w:rsid w:val="00C9429E"/>
    <w:rsid w:val="00CA07DE"/>
    <w:rsid w:val="00CA5B8C"/>
    <w:rsid w:val="00CC5AFE"/>
    <w:rsid w:val="00CE1110"/>
    <w:rsid w:val="00D0122C"/>
    <w:rsid w:val="00D039FB"/>
    <w:rsid w:val="00D2039F"/>
    <w:rsid w:val="00D2759D"/>
    <w:rsid w:val="00D30D6F"/>
    <w:rsid w:val="00D361AE"/>
    <w:rsid w:val="00D53EC8"/>
    <w:rsid w:val="00D60108"/>
    <w:rsid w:val="00D61F57"/>
    <w:rsid w:val="00D6639F"/>
    <w:rsid w:val="00D7246A"/>
    <w:rsid w:val="00D750C2"/>
    <w:rsid w:val="00D76B34"/>
    <w:rsid w:val="00D77BB0"/>
    <w:rsid w:val="00D80564"/>
    <w:rsid w:val="00D811B8"/>
    <w:rsid w:val="00D83DF9"/>
    <w:rsid w:val="00D842C4"/>
    <w:rsid w:val="00D848EA"/>
    <w:rsid w:val="00D8492E"/>
    <w:rsid w:val="00D8736B"/>
    <w:rsid w:val="00D8778D"/>
    <w:rsid w:val="00DA2C5A"/>
    <w:rsid w:val="00DA352E"/>
    <w:rsid w:val="00DB02A5"/>
    <w:rsid w:val="00DB0FC7"/>
    <w:rsid w:val="00DB63BB"/>
    <w:rsid w:val="00DC1D74"/>
    <w:rsid w:val="00DC56A7"/>
    <w:rsid w:val="00DC7A25"/>
    <w:rsid w:val="00DD0D94"/>
    <w:rsid w:val="00DD28D9"/>
    <w:rsid w:val="00DD2F62"/>
    <w:rsid w:val="00DE2C4E"/>
    <w:rsid w:val="00DE48B6"/>
    <w:rsid w:val="00DE736C"/>
    <w:rsid w:val="00DE7F80"/>
    <w:rsid w:val="00DF2E9E"/>
    <w:rsid w:val="00E02A6A"/>
    <w:rsid w:val="00E131F1"/>
    <w:rsid w:val="00E14492"/>
    <w:rsid w:val="00E231C5"/>
    <w:rsid w:val="00E24DB2"/>
    <w:rsid w:val="00E32788"/>
    <w:rsid w:val="00E46C4E"/>
    <w:rsid w:val="00E53D75"/>
    <w:rsid w:val="00E673A1"/>
    <w:rsid w:val="00E8055C"/>
    <w:rsid w:val="00E833FA"/>
    <w:rsid w:val="00E90F2C"/>
    <w:rsid w:val="00EA41E8"/>
    <w:rsid w:val="00EA513C"/>
    <w:rsid w:val="00EB0CCF"/>
    <w:rsid w:val="00EB1E4A"/>
    <w:rsid w:val="00EB27BA"/>
    <w:rsid w:val="00EB5133"/>
    <w:rsid w:val="00EC07EF"/>
    <w:rsid w:val="00EC0B51"/>
    <w:rsid w:val="00EC1382"/>
    <w:rsid w:val="00EC170E"/>
    <w:rsid w:val="00EC1AC1"/>
    <w:rsid w:val="00EC433E"/>
    <w:rsid w:val="00EC4E42"/>
    <w:rsid w:val="00ED3195"/>
    <w:rsid w:val="00ED5EA1"/>
    <w:rsid w:val="00EE1FFB"/>
    <w:rsid w:val="00EE54C6"/>
    <w:rsid w:val="00EE66CC"/>
    <w:rsid w:val="00EE7035"/>
    <w:rsid w:val="00EF76A9"/>
    <w:rsid w:val="00F01950"/>
    <w:rsid w:val="00F0401C"/>
    <w:rsid w:val="00F053F3"/>
    <w:rsid w:val="00F06565"/>
    <w:rsid w:val="00F10A2F"/>
    <w:rsid w:val="00F13BAE"/>
    <w:rsid w:val="00F13EFD"/>
    <w:rsid w:val="00F24FB8"/>
    <w:rsid w:val="00F3225B"/>
    <w:rsid w:val="00F34F98"/>
    <w:rsid w:val="00F3503E"/>
    <w:rsid w:val="00F3683B"/>
    <w:rsid w:val="00F40BB1"/>
    <w:rsid w:val="00F44B4C"/>
    <w:rsid w:val="00F5219A"/>
    <w:rsid w:val="00F53CB0"/>
    <w:rsid w:val="00F55F52"/>
    <w:rsid w:val="00F66114"/>
    <w:rsid w:val="00F735A7"/>
    <w:rsid w:val="00F779BA"/>
    <w:rsid w:val="00F80877"/>
    <w:rsid w:val="00F8666F"/>
    <w:rsid w:val="00F909BB"/>
    <w:rsid w:val="00F96DEA"/>
    <w:rsid w:val="00FA20B7"/>
    <w:rsid w:val="00FA42DC"/>
    <w:rsid w:val="00FA4BCE"/>
    <w:rsid w:val="00FA4CC2"/>
    <w:rsid w:val="00FC204D"/>
    <w:rsid w:val="00FC46E7"/>
    <w:rsid w:val="00FD0147"/>
    <w:rsid w:val="00FD27D7"/>
    <w:rsid w:val="00FD3E77"/>
    <w:rsid w:val="00FD6D80"/>
    <w:rsid w:val="00FE11D0"/>
    <w:rsid w:val="00FF0F91"/>
    <w:rsid w:val="00FF1F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67A5"/>
  <w15:chartTrackingRefBased/>
  <w15:docId w15:val="{E97E14D6-0A90-404C-8C98-EB4AE606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DD"/>
    <w:rPr>
      <w:rFonts w:ascii="Times New Roman" w:eastAsia="Times New Roman" w:hAnsi="Times New Roman" w:cs="Times New Roman"/>
      <w:lang w:eastAsia="es-MX"/>
    </w:rPr>
  </w:style>
  <w:style w:type="paragraph" w:styleId="Ttulo2">
    <w:name w:val="heading 2"/>
    <w:basedOn w:val="Normal"/>
    <w:link w:val="Ttulo2Car"/>
    <w:uiPriority w:val="9"/>
    <w:qFormat/>
    <w:rsid w:val="00F40BB1"/>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71CEA"/>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71CEA"/>
    <w:rPr>
      <w:szCs w:val="22"/>
      <w:lang w:val="es-MX"/>
    </w:rPr>
  </w:style>
  <w:style w:type="paragraph" w:styleId="Encabezado">
    <w:name w:val="header"/>
    <w:basedOn w:val="Normal"/>
    <w:link w:val="EncabezadoCar"/>
    <w:uiPriority w:val="99"/>
    <w:unhideWhenUsed/>
    <w:rsid w:val="00A71CEA"/>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A71CEA"/>
    <w:rPr>
      <w:szCs w:val="22"/>
      <w:lang w:val="es-MX"/>
    </w:rPr>
  </w:style>
  <w:style w:type="table" w:styleId="Tablaconcuadrcula">
    <w:name w:val="Table Grid"/>
    <w:basedOn w:val="Tablanormal"/>
    <w:uiPriority w:val="59"/>
    <w:rsid w:val="00A71C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A71CEA"/>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A71CEA"/>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A71CE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A71CEA"/>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A71CEA"/>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71CEA"/>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A71CEA"/>
    <w:rPr>
      <w:vertAlign w:val="superscript"/>
    </w:rPr>
  </w:style>
  <w:style w:type="paragraph" w:styleId="Textoindependiente">
    <w:name w:val="Body Text"/>
    <w:basedOn w:val="Normal"/>
    <w:link w:val="TextoindependienteCar"/>
    <w:uiPriority w:val="1"/>
    <w:qFormat/>
    <w:rsid w:val="00A71CEA"/>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A71CEA"/>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A71CEA"/>
    <w:pPr>
      <w:spacing w:after="160" w:line="240" w:lineRule="exact"/>
    </w:pPr>
    <w:rPr>
      <w:rFonts w:asciiTheme="minorHAnsi" w:eastAsiaTheme="minorHAnsi" w:hAnsiTheme="minorHAnsi" w:cstheme="minorBidi"/>
      <w:vertAlign w:val="superscript"/>
      <w:lang w:eastAsia="en-US"/>
    </w:rPr>
  </w:style>
  <w:style w:type="character" w:customStyle="1" w:styleId="apple-converted-space">
    <w:name w:val="apple-converted-space"/>
    <w:basedOn w:val="Fuentedeprrafopredeter"/>
    <w:rsid w:val="00A71CEA"/>
  </w:style>
  <w:style w:type="paragraph" w:styleId="NormalWeb">
    <w:name w:val="Normal (Web)"/>
    <w:basedOn w:val="Normal"/>
    <w:link w:val="NormalWebCar"/>
    <w:uiPriority w:val="99"/>
    <w:unhideWhenUsed/>
    <w:rsid w:val="00524B49"/>
    <w:pPr>
      <w:spacing w:before="100" w:beforeAutospacing="1" w:after="100" w:afterAutospacing="1"/>
    </w:pPr>
  </w:style>
  <w:style w:type="character" w:styleId="Hipervnculo">
    <w:name w:val="Hyperlink"/>
    <w:basedOn w:val="Fuentedeprrafopredeter"/>
    <w:uiPriority w:val="99"/>
    <w:unhideWhenUsed/>
    <w:rsid w:val="00524B49"/>
    <w:rPr>
      <w:color w:val="0000FF"/>
      <w:u w:val="single"/>
    </w:rPr>
  </w:style>
  <w:style w:type="character" w:styleId="Hipervnculovisitado">
    <w:name w:val="FollowedHyperlink"/>
    <w:basedOn w:val="Fuentedeprrafopredeter"/>
    <w:uiPriority w:val="99"/>
    <w:semiHidden/>
    <w:unhideWhenUsed/>
    <w:rsid w:val="00524B49"/>
    <w:rPr>
      <w:color w:val="954F72" w:themeColor="followedHyperlink"/>
      <w:u w:val="single"/>
    </w:rPr>
  </w:style>
  <w:style w:type="character" w:customStyle="1" w:styleId="Ttulo2Car">
    <w:name w:val="Título 2 Car"/>
    <w:basedOn w:val="Fuentedeprrafopredeter"/>
    <w:link w:val="Ttulo2"/>
    <w:uiPriority w:val="9"/>
    <w:rsid w:val="00F40BB1"/>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F40BB1"/>
    <w:rPr>
      <w:b/>
      <w:bCs/>
    </w:rPr>
  </w:style>
  <w:style w:type="character" w:styleId="Refdecomentario">
    <w:name w:val="annotation reference"/>
    <w:basedOn w:val="Fuentedeprrafopredeter"/>
    <w:uiPriority w:val="99"/>
    <w:semiHidden/>
    <w:unhideWhenUsed/>
    <w:rsid w:val="00776374"/>
    <w:rPr>
      <w:sz w:val="16"/>
      <w:szCs w:val="16"/>
    </w:rPr>
  </w:style>
  <w:style w:type="paragraph" w:styleId="Textocomentario">
    <w:name w:val="annotation text"/>
    <w:basedOn w:val="Normal"/>
    <w:link w:val="TextocomentarioCar"/>
    <w:uiPriority w:val="99"/>
    <w:unhideWhenUsed/>
    <w:rsid w:val="00776374"/>
    <w:rPr>
      <w:sz w:val="20"/>
      <w:szCs w:val="20"/>
    </w:rPr>
  </w:style>
  <w:style w:type="character" w:customStyle="1" w:styleId="TextocomentarioCar">
    <w:name w:val="Texto comentario Car"/>
    <w:basedOn w:val="Fuentedeprrafopredeter"/>
    <w:link w:val="Textocomentario"/>
    <w:uiPriority w:val="99"/>
    <w:rsid w:val="00776374"/>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76374"/>
    <w:rPr>
      <w:b/>
      <w:bCs/>
    </w:rPr>
  </w:style>
  <w:style w:type="character" w:customStyle="1" w:styleId="AsuntodelcomentarioCar">
    <w:name w:val="Asunto del comentario Car"/>
    <w:basedOn w:val="TextocomentarioCar"/>
    <w:link w:val="Asuntodelcomentario"/>
    <w:uiPriority w:val="99"/>
    <w:semiHidden/>
    <w:rsid w:val="00776374"/>
    <w:rPr>
      <w:rFonts w:ascii="Times New Roman" w:eastAsia="Times New Roman" w:hAnsi="Times New Roman" w:cs="Times New Roman"/>
      <w:b/>
      <w:bCs/>
      <w:sz w:val="20"/>
      <w:szCs w:val="20"/>
      <w:lang w:eastAsia="es-MX"/>
    </w:rPr>
  </w:style>
  <w:style w:type="character" w:styleId="nfasis">
    <w:name w:val="Emphasis"/>
    <w:basedOn w:val="Fuentedeprrafopredeter"/>
    <w:uiPriority w:val="20"/>
    <w:qFormat/>
    <w:rsid w:val="00A012BF"/>
    <w:rPr>
      <w:i/>
      <w:iCs/>
    </w:rPr>
  </w:style>
  <w:style w:type="paragraph" w:styleId="Ttulo">
    <w:name w:val="Title"/>
    <w:aliases w:val="Cláusula 9"/>
    <w:basedOn w:val="Normal"/>
    <w:next w:val="Normal"/>
    <w:link w:val="TtuloCar"/>
    <w:uiPriority w:val="10"/>
    <w:qFormat/>
    <w:rsid w:val="00DD0D94"/>
    <w:pPr>
      <w:numPr>
        <w:numId w:val="3"/>
      </w:numPr>
      <w:spacing w:after="300"/>
      <w:contextualSpacing/>
      <w:jc w:val="both"/>
    </w:pPr>
    <w:rPr>
      <w:rFonts w:asciiTheme="majorHAnsi" w:eastAsiaTheme="majorEastAsia" w:hAnsiTheme="majorHAnsi" w:cstheme="majorBidi"/>
      <w:color w:val="AEAAAA" w:themeColor="background2" w:themeShade="BF"/>
      <w:spacing w:val="5"/>
      <w:kern w:val="28"/>
      <w:sz w:val="20"/>
      <w:szCs w:val="52"/>
      <w:lang w:val="es-MX" w:eastAsia="en-US"/>
    </w:rPr>
  </w:style>
  <w:style w:type="character" w:customStyle="1" w:styleId="TtuloCar">
    <w:name w:val="Título Car"/>
    <w:aliases w:val="Cláusula 9 Car"/>
    <w:basedOn w:val="Fuentedeprrafopredeter"/>
    <w:link w:val="Ttulo"/>
    <w:uiPriority w:val="10"/>
    <w:rsid w:val="00DD0D94"/>
    <w:rPr>
      <w:rFonts w:asciiTheme="majorHAnsi" w:eastAsiaTheme="majorEastAsia" w:hAnsiTheme="majorHAnsi" w:cstheme="majorBidi"/>
      <w:color w:val="AEAAAA" w:themeColor="background2" w:themeShade="BF"/>
      <w:spacing w:val="5"/>
      <w:kern w:val="28"/>
      <w:sz w:val="20"/>
      <w:szCs w:val="52"/>
      <w:lang w:val="es-MX"/>
    </w:rPr>
  </w:style>
  <w:style w:type="paragraph" w:customStyle="1" w:styleId="paragraph">
    <w:name w:val="paragraph"/>
    <w:basedOn w:val="Normal"/>
    <w:rsid w:val="00687BDD"/>
    <w:pPr>
      <w:spacing w:before="100" w:beforeAutospacing="1" w:after="100" w:afterAutospacing="1" w:line="276" w:lineRule="auto"/>
      <w:ind w:firstLine="709"/>
      <w:jc w:val="both"/>
    </w:pPr>
    <w:rPr>
      <w:lang w:eastAsia="es-ES_tradnl"/>
    </w:rPr>
  </w:style>
  <w:style w:type="character" w:customStyle="1" w:styleId="normaltextrun">
    <w:name w:val="normaltextrun"/>
    <w:basedOn w:val="Fuentedeprrafopredeter"/>
    <w:rsid w:val="00687BDD"/>
  </w:style>
  <w:style w:type="character" w:customStyle="1" w:styleId="eop">
    <w:name w:val="eop"/>
    <w:basedOn w:val="Fuentedeprrafopredeter"/>
    <w:rsid w:val="00687BDD"/>
  </w:style>
  <w:style w:type="character" w:styleId="Mencinsinresolver">
    <w:name w:val="Unresolved Mention"/>
    <w:basedOn w:val="Fuentedeprrafopredeter"/>
    <w:uiPriority w:val="99"/>
    <w:semiHidden/>
    <w:unhideWhenUsed/>
    <w:rsid w:val="00094B59"/>
    <w:rPr>
      <w:color w:val="605E5C"/>
      <w:shd w:val="clear" w:color="auto" w:fill="E1DFDD"/>
    </w:rPr>
  </w:style>
  <w:style w:type="character" w:customStyle="1" w:styleId="NormalWebCar">
    <w:name w:val="Normal (Web) Car"/>
    <w:link w:val="NormalWeb"/>
    <w:uiPriority w:val="99"/>
    <w:rsid w:val="00C33A69"/>
    <w:rPr>
      <w:rFonts w:ascii="Times New Roman" w:eastAsia="Times New Roman" w:hAnsi="Times New Roman" w:cs="Times New Roman"/>
      <w:lang w:eastAsia="es-MX"/>
    </w:rPr>
  </w:style>
  <w:style w:type="paragraph" w:customStyle="1" w:styleId="Default">
    <w:name w:val="Default"/>
    <w:rsid w:val="00C33A69"/>
    <w:pPr>
      <w:autoSpaceDE w:val="0"/>
      <w:autoSpaceDN w:val="0"/>
      <w:adjustRightInd w:val="0"/>
    </w:pPr>
    <w:rPr>
      <w:rFonts w:ascii="Arial" w:hAnsi="Arial" w:cs="Arial"/>
      <w:color w:val="000000"/>
    </w:rPr>
  </w:style>
  <w:style w:type="paragraph" w:customStyle="1" w:styleId="xxmsonormal">
    <w:name w:val="x_x_msonormal"/>
    <w:basedOn w:val="Normal"/>
    <w:rsid w:val="00C33A69"/>
    <w:pPr>
      <w:spacing w:before="100" w:beforeAutospacing="1" w:after="100" w:afterAutospacing="1"/>
    </w:pPr>
  </w:style>
  <w:style w:type="character" w:customStyle="1" w:styleId="spellingerror">
    <w:name w:val="spellingerror"/>
    <w:basedOn w:val="Fuentedeprrafopredeter"/>
    <w:rsid w:val="00EB1E4A"/>
  </w:style>
  <w:style w:type="paragraph" w:customStyle="1" w:styleId="xmsonospacing">
    <w:name w:val="x_msonospacing"/>
    <w:basedOn w:val="Normal"/>
    <w:rsid w:val="0031456F"/>
    <w:pPr>
      <w:spacing w:before="100" w:beforeAutospacing="1" w:after="100" w:afterAutospacing="1"/>
    </w:pPr>
  </w:style>
  <w:style w:type="paragraph" w:styleId="Revisin">
    <w:name w:val="Revision"/>
    <w:hidden/>
    <w:uiPriority w:val="99"/>
    <w:semiHidden/>
    <w:rsid w:val="00FC204D"/>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1926">
      <w:bodyDiv w:val="1"/>
      <w:marLeft w:val="0"/>
      <w:marRight w:val="0"/>
      <w:marTop w:val="0"/>
      <w:marBottom w:val="0"/>
      <w:divBdr>
        <w:top w:val="none" w:sz="0" w:space="0" w:color="auto"/>
        <w:left w:val="none" w:sz="0" w:space="0" w:color="auto"/>
        <w:bottom w:val="none" w:sz="0" w:space="0" w:color="auto"/>
        <w:right w:val="none" w:sz="0" w:space="0" w:color="auto"/>
      </w:divBdr>
    </w:div>
    <w:div w:id="56173611">
      <w:bodyDiv w:val="1"/>
      <w:marLeft w:val="0"/>
      <w:marRight w:val="0"/>
      <w:marTop w:val="0"/>
      <w:marBottom w:val="0"/>
      <w:divBdr>
        <w:top w:val="none" w:sz="0" w:space="0" w:color="auto"/>
        <w:left w:val="none" w:sz="0" w:space="0" w:color="auto"/>
        <w:bottom w:val="none" w:sz="0" w:space="0" w:color="auto"/>
        <w:right w:val="none" w:sz="0" w:space="0" w:color="auto"/>
      </w:divBdr>
    </w:div>
    <w:div w:id="114636653">
      <w:bodyDiv w:val="1"/>
      <w:marLeft w:val="0"/>
      <w:marRight w:val="0"/>
      <w:marTop w:val="0"/>
      <w:marBottom w:val="0"/>
      <w:divBdr>
        <w:top w:val="none" w:sz="0" w:space="0" w:color="auto"/>
        <w:left w:val="none" w:sz="0" w:space="0" w:color="auto"/>
        <w:bottom w:val="none" w:sz="0" w:space="0" w:color="auto"/>
        <w:right w:val="none" w:sz="0" w:space="0" w:color="auto"/>
      </w:divBdr>
    </w:div>
    <w:div w:id="127668976">
      <w:bodyDiv w:val="1"/>
      <w:marLeft w:val="0"/>
      <w:marRight w:val="0"/>
      <w:marTop w:val="0"/>
      <w:marBottom w:val="0"/>
      <w:divBdr>
        <w:top w:val="none" w:sz="0" w:space="0" w:color="auto"/>
        <w:left w:val="none" w:sz="0" w:space="0" w:color="auto"/>
        <w:bottom w:val="none" w:sz="0" w:space="0" w:color="auto"/>
        <w:right w:val="none" w:sz="0" w:space="0" w:color="auto"/>
      </w:divBdr>
      <w:divsChild>
        <w:div w:id="116996380">
          <w:marLeft w:val="0"/>
          <w:marRight w:val="0"/>
          <w:marTop w:val="0"/>
          <w:marBottom w:val="0"/>
          <w:divBdr>
            <w:top w:val="none" w:sz="0" w:space="0" w:color="auto"/>
            <w:left w:val="none" w:sz="0" w:space="0" w:color="auto"/>
            <w:bottom w:val="none" w:sz="0" w:space="0" w:color="auto"/>
            <w:right w:val="none" w:sz="0" w:space="0" w:color="auto"/>
          </w:divBdr>
        </w:div>
      </w:divsChild>
    </w:div>
    <w:div w:id="183596897">
      <w:bodyDiv w:val="1"/>
      <w:marLeft w:val="0"/>
      <w:marRight w:val="0"/>
      <w:marTop w:val="0"/>
      <w:marBottom w:val="0"/>
      <w:divBdr>
        <w:top w:val="none" w:sz="0" w:space="0" w:color="auto"/>
        <w:left w:val="none" w:sz="0" w:space="0" w:color="auto"/>
        <w:bottom w:val="none" w:sz="0" w:space="0" w:color="auto"/>
        <w:right w:val="none" w:sz="0" w:space="0" w:color="auto"/>
      </w:divBdr>
    </w:div>
    <w:div w:id="279412230">
      <w:bodyDiv w:val="1"/>
      <w:marLeft w:val="0"/>
      <w:marRight w:val="0"/>
      <w:marTop w:val="0"/>
      <w:marBottom w:val="0"/>
      <w:divBdr>
        <w:top w:val="none" w:sz="0" w:space="0" w:color="auto"/>
        <w:left w:val="none" w:sz="0" w:space="0" w:color="auto"/>
        <w:bottom w:val="none" w:sz="0" w:space="0" w:color="auto"/>
        <w:right w:val="none" w:sz="0" w:space="0" w:color="auto"/>
      </w:divBdr>
    </w:div>
    <w:div w:id="298219995">
      <w:bodyDiv w:val="1"/>
      <w:marLeft w:val="0"/>
      <w:marRight w:val="0"/>
      <w:marTop w:val="0"/>
      <w:marBottom w:val="0"/>
      <w:divBdr>
        <w:top w:val="none" w:sz="0" w:space="0" w:color="auto"/>
        <w:left w:val="none" w:sz="0" w:space="0" w:color="auto"/>
        <w:bottom w:val="none" w:sz="0" w:space="0" w:color="auto"/>
        <w:right w:val="none" w:sz="0" w:space="0" w:color="auto"/>
      </w:divBdr>
    </w:div>
    <w:div w:id="324893756">
      <w:bodyDiv w:val="1"/>
      <w:marLeft w:val="0"/>
      <w:marRight w:val="0"/>
      <w:marTop w:val="0"/>
      <w:marBottom w:val="0"/>
      <w:divBdr>
        <w:top w:val="none" w:sz="0" w:space="0" w:color="auto"/>
        <w:left w:val="none" w:sz="0" w:space="0" w:color="auto"/>
        <w:bottom w:val="none" w:sz="0" w:space="0" w:color="auto"/>
        <w:right w:val="none" w:sz="0" w:space="0" w:color="auto"/>
      </w:divBdr>
    </w:div>
    <w:div w:id="331495140">
      <w:bodyDiv w:val="1"/>
      <w:marLeft w:val="0"/>
      <w:marRight w:val="0"/>
      <w:marTop w:val="0"/>
      <w:marBottom w:val="0"/>
      <w:divBdr>
        <w:top w:val="none" w:sz="0" w:space="0" w:color="auto"/>
        <w:left w:val="none" w:sz="0" w:space="0" w:color="auto"/>
        <w:bottom w:val="none" w:sz="0" w:space="0" w:color="auto"/>
        <w:right w:val="none" w:sz="0" w:space="0" w:color="auto"/>
      </w:divBdr>
    </w:div>
    <w:div w:id="374349182">
      <w:bodyDiv w:val="1"/>
      <w:marLeft w:val="0"/>
      <w:marRight w:val="0"/>
      <w:marTop w:val="0"/>
      <w:marBottom w:val="0"/>
      <w:divBdr>
        <w:top w:val="none" w:sz="0" w:space="0" w:color="auto"/>
        <w:left w:val="none" w:sz="0" w:space="0" w:color="auto"/>
        <w:bottom w:val="none" w:sz="0" w:space="0" w:color="auto"/>
        <w:right w:val="none" w:sz="0" w:space="0" w:color="auto"/>
      </w:divBdr>
    </w:div>
    <w:div w:id="379326216">
      <w:bodyDiv w:val="1"/>
      <w:marLeft w:val="0"/>
      <w:marRight w:val="0"/>
      <w:marTop w:val="0"/>
      <w:marBottom w:val="0"/>
      <w:divBdr>
        <w:top w:val="none" w:sz="0" w:space="0" w:color="auto"/>
        <w:left w:val="none" w:sz="0" w:space="0" w:color="auto"/>
        <w:bottom w:val="none" w:sz="0" w:space="0" w:color="auto"/>
        <w:right w:val="none" w:sz="0" w:space="0" w:color="auto"/>
      </w:divBdr>
    </w:div>
    <w:div w:id="392705629">
      <w:bodyDiv w:val="1"/>
      <w:marLeft w:val="0"/>
      <w:marRight w:val="0"/>
      <w:marTop w:val="0"/>
      <w:marBottom w:val="0"/>
      <w:divBdr>
        <w:top w:val="none" w:sz="0" w:space="0" w:color="auto"/>
        <w:left w:val="none" w:sz="0" w:space="0" w:color="auto"/>
        <w:bottom w:val="none" w:sz="0" w:space="0" w:color="auto"/>
        <w:right w:val="none" w:sz="0" w:space="0" w:color="auto"/>
      </w:divBdr>
    </w:div>
    <w:div w:id="411238431">
      <w:bodyDiv w:val="1"/>
      <w:marLeft w:val="0"/>
      <w:marRight w:val="0"/>
      <w:marTop w:val="0"/>
      <w:marBottom w:val="0"/>
      <w:divBdr>
        <w:top w:val="none" w:sz="0" w:space="0" w:color="auto"/>
        <w:left w:val="none" w:sz="0" w:space="0" w:color="auto"/>
        <w:bottom w:val="none" w:sz="0" w:space="0" w:color="auto"/>
        <w:right w:val="none" w:sz="0" w:space="0" w:color="auto"/>
      </w:divBdr>
    </w:div>
    <w:div w:id="486366192">
      <w:bodyDiv w:val="1"/>
      <w:marLeft w:val="0"/>
      <w:marRight w:val="0"/>
      <w:marTop w:val="0"/>
      <w:marBottom w:val="0"/>
      <w:divBdr>
        <w:top w:val="none" w:sz="0" w:space="0" w:color="auto"/>
        <w:left w:val="none" w:sz="0" w:space="0" w:color="auto"/>
        <w:bottom w:val="none" w:sz="0" w:space="0" w:color="auto"/>
        <w:right w:val="none" w:sz="0" w:space="0" w:color="auto"/>
      </w:divBdr>
      <w:divsChild>
        <w:div w:id="1352760980">
          <w:marLeft w:val="0"/>
          <w:marRight w:val="0"/>
          <w:marTop w:val="0"/>
          <w:marBottom w:val="0"/>
          <w:divBdr>
            <w:top w:val="none" w:sz="0" w:space="0" w:color="auto"/>
            <w:left w:val="none" w:sz="0" w:space="0" w:color="auto"/>
            <w:bottom w:val="none" w:sz="0" w:space="0" w:color="auto"/>
            <w:right w:val="none" w:sz="0" w:space="0" w:color="auto"/>
          </w:divBdr>
          <w:divsChild>
            <w:div w:id="1312324098">
              <w:marLeft w:val="0"/>
              <w:marRight w:val="0"/>
              <w:marTop w:val="0"/>
              <w:marBottom w:val="0"/>
              <w:divBdr>
                <w:top w:val="none" w:sz="0" w:space="0" w:color="auto"/>
                <w:left w:val="none" w:sz="0" w:space="0" w:color="auto"/>
                <w:bottom w:val="none" w:sz="0" w:space="0" w:color="auto"/>
                <w:right w:val="none" w:sz="0" w:space="0" w:color="auto"/>
              </w:divBdr>
              <w:divsChild>
                <w:div w:id="15849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77665">
      <w:bodyDiv w:val="1"/>
      <w:marLeft w:val="0"/>
      <w:marRight w:val="0"/>
      <w:marTop w:val="0"/>
      <w:marBottom w:val="0"/>
      <w:divBdr>
        <w:top w:val="none" w:sz="0" w:space="0" w:color="auto"/>
        <w:left w:val="none" w:sz="0" w:space="0" w:color="auto"/>
        <w:bottom w:val="none" w:sz="0" w:space="0" w:color="auto"/>
        <w:right w:val="none" w:sz="0" w:space="0" w:color="auto"/>
      </w:divBdr>
    </w:div>
    <w:div w:id="504789930">
      <w:bodyDiv w:val="1"/>
      <w:marLeft w:val="0"/>
      <w:marRight w:val="0"/>
      <w:marTop w:val="0"/>
      <w:marBottom w:val="0"/>
      <w:divBdr>
        <w:top w:val="none" w:sz="0" w:space="0" w:color="auto"/>
        <w:left w:val="none" w:sz="0" w:space="0" w:color="auto"/>
        <w:bottom w:val="none" w:sz="0" w:space="0" w:color="auto"/>
        <w:right w:val="none" w:sz="0" w:space="0" w:color="auto"/>
      </w:divBdr>
      <w:divsChild>
        <w:div w:id="1849827054">
          <w:marLeft w:val="0"/>
          <w:marRight w:val="0"/>
          <w:marTop w:val="0"/>
          <w:marBottom w:val="0"/>
          <w:divBdr>
            <w:top w:val="none" w:sz="0" w:space="0" w:color="auto"/>
            <w:left w:val="none" w:sz="0" w:space="0" w:color="auto"/>
            <w:bottom w:val="none" w:sz="0" w:space="0" w:color="auto"/>
            <w:right w:val="none" w:sz="0" w:space="0" w:color="auto"/>
          </w:divBdr>
          <w:divsChild>
            <w:div w:id="1343824708">
              <w:marLeft w:val="0"/>
              <w:marRight w:val="0"/>
              <w:marTop w:val="0"/>
              <w:marBottom w:val="0"/>
              <w:divBdr>
                <w:top w:val="none" w:sz="0" w:space="0" w:color="auto"/>
                <w:left w:val="none" w:sz="0" w:space="0" w:color="auto"/>
                <w:bottom w:val="none" w:sz="0" w:space="0" w:color="auto"/>
                <w:right w:val="none" w:sz="0" w:space="0" w:color="auto"/>
              </w:divBdr>
              <w:divsChild>
                <w:div w:id="17741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8692">
      <w:bodyDiv w:val="1"/>
      <w:marLeft w:val="0"/>
      <w:marRight w:val="0"/>
      <w:marTop w:val="0"/>
      <w:marBottom w:val="0"/>
      <w:divBdr>
        <w:top w:val="none" w:sz="0" w:space="0" w:color="auto"/>
        <w:left w:val="none" w:sz="0" w:space="0" w:color="auto"/>
        <w:bottom w:val="none" w:sz="0" w:space="0" w:color="auto"/>
        <w:right w:val="none" w:sz="0" w:space="0" w:color="auto"/>
      </w:divBdr>
    </w:div>
    <w:div w:id="597835068">
      <w:bodyDiv w:val="1"/>
      <w:marLeft w:val="0"/>
      <w:marRight w:val="0"/>
      <w:marTop w:val="0"/>
      <w:marBottom w:val="0"/>
      <w:divBdr>
        <w:top w:val="none" w:sz="0" w:space="0" w:color="auto"/>
        <w:left w:val="none" w:sz="0" w:space="0" w:color="auto"/>
        <w:bottom w:val="none" w:sz="0" w:space="0" w:color="auto"/>
        <w:right w:val="none" w:sz="0" w:space="0" w:color="auto"/>
      </w:divBdr>
    </w:div>
    <w:div w:id="704448476">
      <w:bodyDiv w:val="1"/>
      <w:marLeft w:val="0"/>
      <w:marRight w:val="0"/>
      <w:marTop w:val="0"/>
      <w:marBottom w:val="0"/>
      <w:divBdr>
        <w:top w:val="none" w:sz="0" w:space="0" w:color="auto"/>
        <w:left w:val="none" w:sz="0" w:space="0" w:color="auto"/>
        <w:bottom w:val="none" w:sz="0" w:space="0" w:color="auto"/>
        <w:right w:val="none" w:sz="0" w:space="0" w:color="auto"/>
      </w:divBdr>
    </w:div>
    <w:div w:id="882785361">
      <w:bodyDiv w:val="1"/>
      <w:marLeft w:val="0"/>
      <w:marRight w:val="0"/>
      <w:marTop w:val="0"/>
      <w:marBottom w:val="0"/>
      <w:divBdr>
        <w:top w:val="none" w:sz="0" w:space="0" w:color="auto"/>
        <w:left w:val="none" w:sz="0" w:space="0" w:color="auto"/>
        <w:bottom w:val="none" w:sz="0" w:space="0" w:color="auto"/>
        <w:right w:val="none" w:sz="0" w:space="0" w:color="auto"/>
      </w:divBdr>
    </w:div>
    <w:div w:id="914783788">
      <w:bodyDiv w:val="1"/>
      <w:marLeft w:val="0"/>
      <w:marRight w:val="0"/>
      <w:marTop w:val="0"/>
      <w:marBottom w:val="0"/>
      <w:divBdr>
        <w:top w:val="none" w:sz="0" w:space="0" w:color="auto"/>
        <w:left w:val="none" w:sz="0" w:space="0" w:color="auto"/>
        <w:bottom w:val="none" w:sz="0" w:space="0" w:color="auto"/>
        <w:right w:val="none" w:sz="0" w:space="0" w:color="auto"/>
      </w:divBdr>
    </w:div>
    <w:div w:id="956109359">
      <w:bodyDiv w:val="1"/>
      <w:marLeft w:val="0"/>
      <w:marRight w:val="0"/>
      <w:marTop w:val="0"/>
      <w:marBottom w:val="0"/>
      <w:divBdr>
        <w:top w:val="none" w:sz="0" w:space="0" w:color="auto"/>
        <w:left w:val="none" w:sz="0" w:space="0" w:color="auto"/>
        <w:bottom w:val="none" w:sz="0" w:space="0" w:color="auto"/>
        <w:right w:val="none" w:sz="0" w:space="0" w:color="auto"/>
      </w:divBdr>
    </w:div>
    <w:div w:id="964624696">
      <w:bodyDiv w:val="1"/>
      <w:marLeft w:val="0"/>
      <w:marRight w:val="0"/>
      <w:marTop w:val="0"/>
      <w:marBottom w:val="0"/>
      <w:divBdr>
        <w:top w:val="none" w:sz="0" w:space="0" w:color="auto"/>
        <w:left w:val="none" w:sz="0" w:space="0" w:color="auto"/>
        <w:bottom w:val="none" w:sz="0" w:space="0" w:color="auto"/>
        <w:right w:val="none" w:sz="0" w:space="0" w:color="auto"/>
      </w:divBdr>
    </w:div>
    <w:div w:id="1126898605">
      <w:bodyDiv w:val="1"/>
      <w:marLeft w:val="0"/>
      <w:marRight w:val="0"/>
      <w:marTop w:val="0"/>
      <w:marBottom w:val="0"/>
      <w:divBdr>
        <w:top w:val="none" w:sz="0" w:space="0" w:color="auto"/>
        <w:left w:val="none" w:sz="0" w:space="0" w:color="auto"/>
        <w:bottom w:val="none" w:sz="0" w:space="0" w:color="auto"/>
        <w:right w:val="none" w:sz="0" w:space="0" w:color="auto"/>
      </w:divBdr>
    </w:div>
    <w:div w:id="1162356463">
      <w:bodyDiv w:val="1"/>
      <w:marLeft w:val="0"/>
      <w:marRight w:val="0"/>
      <w:marTop w:val="0"/>
      <w:marBottom w:val="0"/>
      <w:divBdr>
        <w:top w:val="none" w:sz="0" w:space="0" w:color="auto"/>
        <w:left w:val="none" w:sz="0" w:space="0" w:color="auto"/>
        <w:bottom w:val="none" w:sz="0" w:space="0" w:color="auto"/>
        <w:right w:val="none" w:sz="0" w:space="0" w:color="auto"/>
      </w:divBdr>
      <w:divsChild>
        <w:div w:id="438455019">
          <w:marLeft w:val="0"/>
          <w:marRight w:val="0"/>
          <w:marTop w:val="0"/>
          <w:marBottom w:val="0"/>
          <w:divBdr>
            <w:top w:val="none" w:sz="0" w:space="0" w:color="auto"/>
            <w:left w:val="none" w:sz="0" w:space="0" w:color="auto"/>
            <w:bottom w:val="none" w:sz="0" w:space="0" w:color="auto"/>
            <w:right w:val="none" w:sz="0" w:space="0" w:color="auto"/>
          </w:divBdr>
          <w:divsChild>
            <w:div w:id="269119628">
              <w:marLeft w:val="0"/>
              <w:marRight w:val="0"/>
              <w:marTop w:val="0"/>
              <w:marBottom w:val="0"/>
              <w:divBdr>
                <w:top w:val="none" w:sz="0" w:space="0" w:color="auto"/>
                <w:left w:val="none" w:sz="0" w:space="0" w:color="auto"/>
                <w:bottom w:val="none" w:sz="0" w:space="0" w:color="auto"/>
                <w:right w:val="none" w:sz="0" w:space="0" w:color="auto"/>
              </w:divBdr>
              <w:divsChild>
                <w:div w:id="1048839759">
                  <w:marLeft w:val="0"/>
                  <w:marRight w:val="0"/>
                  <w:marTop w:val="0"/>
                  <w:marBottom w:val="0"/>
                  <w:divBdr>
                    <w:top w:val="none" w:sz="0" w:space="0" w:color="auto"/>
                    <w:left w:val="none" w:sz="0" w:space="0" w:color="auto"/>
                    <w:bottom w:val="none" w:sz="0" w:space="0" w:color="auto"/>
                    <w:right w:val="none" w:sz="0" w:space="0" w:color="auto"/>
                  </w:divBdr>
                </w:div>
              </w:divsChild>
            </w:div>
            <w:div w:id="1505196799">
              <w:marLeft w:val="0"/>
              <w:marRight w:val="0"/>
              <w:marTop w:val="0"/>
              <w:marBottom w:val="0"/>
              <w:divBdr>
                <w:top w:val="none" w:sz="0" w:space="0" w:color="auto"/>
                <w:left w:val="none" w:sz="0" w:space="0" w:color="auto"/>
                <w:bottom w:val="none" w:sz="0" w:space="0" w:color="auto"/>
                <w:right w:val="none" w:sz="0" w:space="0" w:color="auto"/>
              </w:divBdr>
              <w:divsChild>
                <w:div w:id="1286892893">
                  <w:marLeft w:val="0"/>
                  <w:marRight w:val="0"/>
                  <w:marTop w:val="0"/>
                  <w:marBottom w:val="0"/>
                  <w:divBdr>
                    <w:top w:val="none" w:sz="0" w:space="0" w:color="auto"/>
                    <w:left w:val="none" w:sz="0" w:space="0" w:color="auto"/>
                    <w:bottom w:val="none" w:sz="0" w:space="0" w:color="auto"/>
                    <w:right w:val="none" w:sz="0" w:space="0" w:color="auto"/>
                  </w:divBdr>
                </w:div>
                <w:div w:id="595864922">
                  <w:marLeft w:val="0"/>
                  <w:marRight w:val="0"/>
                  <w:marTop w:val="0"/>
                  <w:marBottom w:val="0"/>
                  <w:divBdr>
                    <w:top w:val="none" w:sz="0" w:space="0" w:color="auto"/>
                    <w:left w:val="none" w:sz="0" w:space="0" w:color="auto"/>
                    <w:bottom w:val="none" w:sz="0" w:space="0" w:color="auto"/>
                    <w:right w:val="none" w:sz="0" w:space="0" w:color="auto"/>
                  </w:divBdr>
                </w:div>
              </w:divsChild>
            </w:div>
            <w:div w:id="1259871263">
              <w:marLeft w:val="0"/>
              <w:marRight w:val="0"/>
              <w:marTop w:val="0"/>
              <w:marBottom w:val="0"/>
              <w:divBdr>
                <w:top w:val="none" w:sz="0" w:space="0" w:color="auto"/>
                <w:left w:val="none" w:sz="0" w:space="0" w:color="auto"/>
                <w:bottom w:val="none" w:sz="0" w:space="0" w:color="auto"/>
                <w:right w:val="none" w:sz="0" w:space="0" w:color="auto"/>
              </w:divBdr>
              <w:divsChild>
                <w:div w:id="814683553">
                  <w:marLeft w:val="0"/>
                  <w:marRight w:val="0"/>
                  <w:marTop w:val="0"/>
                  <w:marBottom w:val="0"/>
                  <w:divBdr>
                    <w:top w:val="none" w:sz="0" w:space="0" w:color="auto"/>
                    <w:left w:val="none" w:sz="0" w:space="0" w:color="auto"/>
                    <w:bottom w:val="none" w:sz="0" w:space="0" w:color="auto"/>
                    <w:right w:val="none" w:sz="0" w:space="0" w:color="auto"/>
                  </w:divBdr>
                </w:div>
              </w:divsChild>
            </w:div>
            <w:div w:id="1549680558">
              <w:marLeft w:val="0"/>
              <w:marRight w:val="0"/>
              <w:marTop w:val="0"/>
              <w:marBottom w:val="0"/>
              <w:divBdr>
                <w:top w:val="none" w:sz="0" w:space="0" w:color="auto"/>
                <w:left w:val="none" w:sz="0" w:space="0" w:color="auto"/>
                <w:bottom w:val="none" w:sz="0" w:space="0" w:color="auto"/>
                <w:right w:val="none" w:sz="0" w:space="0" w:color="auto"/>
              </w:divBdr>
              <w:divsChild>
                <w:div w:id="19281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40563">
      <w:bodyDiv w:val="1"/>
      <w:marLeft w:val="0"/>
      <w:marRight w:val="0"/>
      <w:marTop w:val="0"/>
      <w:marBottom w:val="0"/>
      <w:divBdr>
        <w:top w:val="none" w:sz="0" w:space="0" w:color="auto"/>
        <w:left w:val="none" w:sz="0" w:space="0" w:color="auto"/>
        <w:bottom w:val="none" w:sz="0" w:space="0" w:color="auto"/>
        <w:right w:val="none" w:sz="0" w:space="0" w:color="auto"/>
      </w:divBdr>
      <w:divsChild>
        <w:div w:id="236667670">
          <w:marLeft w:val="0"/>
          <w:marRight w:val="0"/>
          <w:marTop w:val="0"/>
          <w:marBottom w:val="0"/>
          <w:divBdr>
            <w:top w:val="none" w:sz="0" w:space="0" w:color="auto"/>
            <w:left w:val="none" w:sz="0" w:space="0" w:color="auto"/>
            <w:bottom w:val="none" w:sz="0" w:space="0" w:color="auto"/>
            <w:right w:val="none" w:sz="0" w:space="0" w:color="auto"/>
          </w:divBdr>
          <w:divsChild>
            <w:div w:id="444160927">
              <w:marLeft w:val="0"/>
              <w:marRight w:val="0"/>
              <w:marTop w:val="0"/>
              <w:marBottom w:val="0"/>
              <w:divBdr>
                <w:top w:val="none" w:sz="0" w:space="0" w:color="auto"/>
                <w:left w:val="none" w:sz="0" w:space="0" w:color="auto"/>
                <w:bottom w:val="none" w:sz="0" w:space="0" w:color="auto"/>
                <w:right w:val="none" w:sz="0" w:space="0" w:color="auto"/>
              </w:divBdr>
              <w:divsChild>
                <w:div w:id="20518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30790">
      <w:bodyDiv w:val="1"/>
      <w:marLeft w:val="0"/>
      <w:marRight w:val="0"/>
      <w:marTop w:val="0"/>
      <w:marBottom w:val="0"/>
      <w:divBdr>
        <w:top w:val="none" w:sz="0" w:space="0" w:color="auto"/>
        <w:left w:val="none" w:sz="0" w:space="0" w:color="auto"/>
        <w:bottom w:val="none" w:sz="0" w:space="0" w:color="auto"/>
        <w:right w:val="none" w:sz="0" w:space="0" w:color="auto"/>
      </w:divBdr>
    </w:div>
    <w:div w:id="1375883382">
      <w:bodyDiv w:val="1"/>
      <w:marLeft w:val="0"/>
      <w:marRight w:val="0"/>
      <w:marTop w:val="0"/>
      <w:marBottom w:val="0"/>
      <w:divBdr>
        <w:top w:val="none" w:sz="0" w:space="0" w:color="auto"/>
        <w:left w:val="none" w:sz="0" w:space="0" w:color="auto"/>
        <w:bottom w:val="none" w:sz="0" w:space="0" w:color="auto"/>
        <w:right w:val="none" w:sz="0" w:space="0" w:color="auto"/>
      </w:divBdr>
    </w:div>
    <w:div w:id="1486707341">
      <w:bodyDiv w:val="1"/>
      <w:marLeft w:val="0"/>
      <w:marRight w:val="0"/>
      <w:marTop w:val="0"/>
      <w:marBottom w:val="0"/>
      <w:divBdr>
        <w:top w:val="none" w:sz="0" w:space="0" w:color="auto"/>
        <w:left w:val="none" w:sz="0" w:space="0" w:color="auto"/>
        <w:bottom w:val="none" w:sz="0" w:space="0" w:color="auto"/>
        <w:right w:val="none" w:sz="0" w:space="0" w:color="auto"/>
      </w:divBdr>
      <w:divsChild>
        <w:div w:id="277177450">
          <w:marLeft w:val="0"/>
          <w:marRight w:val="0"/>
          <w:marTop w:val="0"/>
          <w:marBottom w:val="0"/>
          <w:divBdr>
            <w:top w:val="none" w:sz="0" w:space="0" w:color="auto"/>
            <w:left w:val="none" w:sz="0" w:space="0" w:color="auto"/>
            <w:bottom w:val="none" w:sz="0" w:space="0" w:color="auto"/>
            <w:right w:val="none" w:sz="0" w:space="0" w:color="auto"/>
          </w:divBdr>
          <w:divsChild>
            <w:div w:id="37970307">
              <w:marLeft w:val="0"/>
              <w:marRight w:val="0"/>
              <w:marTop w:val="0"/>
              <w:marBottom w:val="0"/>
              <w:divBdr>
                <w:top w:val="none" w:sz="0" w:space="0" w:color="auto"/>
                <w:left w:val="none" w:sz="0" w:space="0" w:color="auto"/>
                <w:bottom w:val="none" w:sz="0" w:space="0" w:color="auto"/>
                <w:right w:val="none" w:sz="0" w:space="0" w:color="auto"/>
              </w:divBdr>
              <w:divsChild>
                <w:div w:id="1223295099">
                  <w:marLeft w:val="0"/>
                  <w:marRight w:val="0"/>
                  <w:marTop w:val="0"/>
                  <w:marBottom w:val="0"/>
                  <w:divBdr>
                    <w:top w:val="none" w:sz="0" w:space="0" w:color="auto"/>
                    <w:left w:val="none" w:sz="0" w:space="0" w:color="auto"/>
                    <w:bottom w:val="none" w:sz="0" w:space="0" w:color="auto"/>
                    <w:right w:val="none" w:sz="0" w:space="0" w:color="auto"/>
                  </w:divBdr>
                  <w:divsChild>
                    <w:div w:id="11829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14663">
      <w:bodyDiv w:val="1"/>
      <w:marLeft w:val="0"/>
      <w:marRight w:val="0"/>
      <w:marTop w:val="0"/>
      <w:marBottom w:val="0"/>
      <w:divBdr>
        <w:top w:val="none" w:sz="0" w:space="0" w:color="auto"/>
        <w:left w:val="none" w:sz="0" w:space="0" w:color="auto"/>
        <w:bottom w:val="none" w:sz="0" w:space="0" w:color="auto"/>
        <w:right w:val="none" w:sz="0" w:space="0" w:color="auto"/>
      </w:divBdr>
    </w:div>
    <w:div w:id="1635719270">
      <w:bodyDiv w:val="1"/>
      <w:marLeft w:val="0"/>
      <w:marRight w:val="0"/>
      <w:marTop w:val="0"/>
      <w:marBottom w:val="0"/>
      <w:divBdr>
        <w:top w:val="none" w:sz="0" w:space="0" w:color="auto"/>
        <w:left w:val="none" w:sz="0" w:space="0" w:color="auto"/>
        <w:bottom w:val="none" w:sz="0" w:space="0" w:color="auto"/>
        <w:right w:val="none" w:sz="0" w:space="0" w:color="auto"/>
      </w:divBdr>
    </w:div>
    <w:div w:id="1684281040">
      <w:bodyDiv w:val="1"/>
      <w:marLeft w:val="0"/>
      <w:marRight w:val="0"/>
      <w:marTop w:val="0"/>
      <w:marBottom w:val="0"/>
      <w:divBdr>
        <w:top w:val="none" w:sz="0" w:space="0" w:color="auto"/>
        <w:left w:val="none" w:sz="0" w:space="0" w:color="auto"/>
        <w:bottom w:val="none" w:sz="0" w:space="0" w:color="auto"/>
        <w:right w:val="none" w:sz="0" w:space="0" w:color="auto"/>
      </w:divBdr>
    </w:div>
    <w:div w:id="1698769485">
      <w:bodyDiv w:val="1"/>
      <w:marLeft w:val="0"/>
      <w:marRight w:val="0"/>
      <w:marTop w:val="0"/>
      <w:marBottom w:val="0"/>
      <w:divBdr>
        <w:top w:val="none" w:sz="0" w:space="0" w:color="auto"/>
        <w:left w:val="none" w:sz="0" w:space="0" w:color="auto"/>
        <w:bottom w:val="none" w:sz="0" w:space="0" w:color="auto"/>
        <w:right w:val="none" w:sz="0" w:space="0" w:color="auto"/>
      </w:divBdr>
    </w:div>
    <w:div w:id="1770154424">
      <w:bodyDiv w:val="1"/>
      <w:marLeft w:val="0"/>
      <w:marRight w:val="0"/>
      <w:marTop w:val="0"/>
      <w:marBottom w:val="0"/>
      <w:divBdr>
        <w:top w:val="none" w:sz="0" w:space="0" w:color="auto"/>
        <w:left w:val="none" w:sz="0" w:space="0" w:color="auto"/>
        <w:bottom w:val="none" w:sz="0" w:space="0" w:color="auto"/>
        <w:right w:val="none" w:sz="0" w:space="0" w:color="auto"/>
      </w:divBdr>
    </w:div>
    <w:div w:id="1908418874">
      <w:bodyDiv w:val="1"/>
      <w:marLeft w:val="0"/>
      <w:marRight w:val="0"/>
      <w:marTop w:val="0"/>
      <w:marBottom w:val="0"/>
      <w:divBdr>
        <w:top w:val="none" w:sz="0" w:space="0" w:color="auto"/>
        <w:left w:val="none" w:sz="0" w:space="0" w:color="auto"/>
        <w:bottom w:val="none" w:sz="0" w:space="0" w:color="auto"/>
        <w:right w:val="none" w:sz="0" w:space="0" w:color="auto"/>
      </w:divBdr>
      <w:divsChild>
        <w:div w:id="793448235">
          <w:marLeft w:val="0"/>
          <w:marRight w:val="0"/>
          <w:marTop w:val="0"/>
          <w:marBottom w:val="0"/>
          <w:divBdr>
            <w:top w:val="none" w:sz="0" w:space="0" w:color="auto"/>
            <w:left w:val="none" w:sz="0" w:space="0" w:color="auto"/>
            <w:bottom w:val="none" w:sz="0" w:space="0" w:color="auto"/>
            <w:right w:val="none" w:sz="0" w:space="0" w:color="auto"/>
          </w:divBdr>
          <w:divsChild>
            <w:div w:id="1859854039">
              <w:marLeft w:val="0"/>
              <w:marRight w:val="0"/>
              <w:marTop w:val="0"/>
              <w:marBottom w:val="0"/>
              <w:divBdr>
                <w:top w:val="none" w:sz="0" w:space="0" w:color="auto"/>
                <w:left w:val="none" w:sz="0" w:space="0" w:color="auto"/>
                <w:bottom w:val="none" w:sz="0" w:space="0" w:color="auto"/>
                <w:right w:val="none" w:sz="0" w:space="0" w:color="auto"/>
              </w:divBdr>
              <w:divsChild>
                <w:div w:id="15611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09048">
      <w:bodyDiv w:val="1"/>
      <w:marLeft w:val="0"/>
      <w:marRight w:val="0"/>
      <w:marTop w:val="0"/>
      <w:marBottom w:val="0"/>
      <w:divBdr>
        <w:top w:val="none" w:sz="0" w:space="0" w:color="auto"/>
        <w:left w:val="none" w:sz="0" w:space="0" w:color="auto"/>
        <w:bottom w:val="none" w:sz="0" w:space="0" w:color="auto"/>
        <w:right w:val="none" w:sz="0" w:space="0" w:color="auto"/>
      </w:divBdr>
      <w:divsChild>
        <w:div w:id="1289624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AF8CEB-2C08-4622-9737-C68C3810E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C52AE-CEDA-FD42-B40D-BD0DC712E3CF}">
  <ds:schemaRefs>
    <ds:schemaRef ds:uri="http://schemas.openxmlformats.org/officeDocument/2006/bibliography"/>
  </ds:schemaRefs>
</ds:datastoreItem>
</file>

<file path=customXml/itemProps3.xml><?xml version="1.0" encoding="utf-8"?>
<ds:datastoreItem xmlns:ds="http://schemas.openxmlformats.org/officeDocument/2006/customXml" ds:itemID="{2DBEE605-A7BC-49E5-9370-228531F6C03E}">
  <ds:schemaRefs>
    <ds:schemaRef ds:uri="http://schemas.microsoft.com/office/2006/documentManagement/types"/>
    <ds:schemaRef ds:uri="http://purl.org/dc/elements/1.1/"/>
    <ds:schemaRef ds:uri="http://schemas.openxmlformats.org/package/2006/metadata/core-properties"/>
    <ds:schemaRef ds:uri="a6cb9e4b-f1d1-4245-83ec-6cad768d538a"/>
    <ds:schemaRef ds:uri="http://schemas.microsoft.com/office/infopath/2007/PartnerControls"/>
    <ds:schemaRef ds:uri="9d85dbaf-23eb-4e57-a637-93dcacc8b1a1"/>
    <ds:schemaRef ds:uri="http://schemas.microsoft.com/office/2006/metadata/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EC2A63B8-3B47-4280-A1BB-BEBA013CAF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4109</Words>
  <Characters>22600</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Nasly Yeana Mosquera Rivas</cp:lastModifiedBy>
  <cp:revision>2</cp:revision>
  <dcterms:created xsi:type="dcterms:W3CDTF">2021-12-13T18:51:00Z</dcterms:created>
  <dcterms:modified xsi:type="dcterms:W3CDTF">2021-12-13T18:51:00Z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