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62F8" w14:textId="7FFAC4E9" w:rsidR="007F7C03" w:rsidRPr="00830F50" w:rsidRDefault="00A71CEA" w:rsidP="00D82A76">
      <w:pPr>
        <w:jc w:val="right"/>
        <w:rPr>
          <w:rFonts w:ascii="Arial" w:hAnsi="Arial" w:cs="Arial"/>
          <w:b/>
          <w:sz w:val="16"/>
          <w:szCs w:val="16"/>
          <w:lang w:eastAsia="es-ES"/>
        </w:rPr>
      </w:pPr>
      <w:r w:rsidRPr="00830F50">
        <w:rPr>
          <w:rFonts w:ascii="Arial" w:hAnsi="Arial" w:cs="Arial"/>
          <w:b/>
          <w:sz w:val="16"/>
          <w:szCs w:val="16"/>
          <w:lang w:eastAsia="es-ES"/>
        </w:rPr>
        <w:t>CCE-DES-FM-17</w:t>
      </w:r>
    </w:p>
    <w:p w14:paraId="3E6509C7" w14:textId="77777777" w:rsidR="0031456F" w:rsidRPr="00830F50" w:rsidRDefault="0031456F" w:rsidP="005C2ED6">
      <w:pPr>
        <w:spacing w:line="276" w:lineRule="auto"/>
        <w:jc w:val="both"/>
        <w:rPr>
          <w:rFonts w:ascii="Arial" w:eastAsia="Calibri" w:hAnsi="Arial" w:cs="Arial"/>
          <w:b/>
          <w:sz w:val="22"/>
        </w:rPr>
      </w:pPr>
    </w:p>
    <w:p w14:paraId="04FEB5AA" w14:textId="5BA1A998" w:rsidR="00D82A76" w:rsidRDefault="00D82A76" w:rsidP="00D82A76">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R</w:t>
      </w:r>
      <w:r w:rsidRPr="001667C3">
        <w:rPr>
          <w:rFonts w:ascii="Arial" w:eastAsia="Calibri" w:hAnsi="Arial" w:cs="Arial"/>
          <w:b/>
          <w:bCs/>
          <w:color w:val="000000" w:themeColor="text1"/>
          <w:sz w:val="22"/>
          <w:lang w:val="es-ES_tradnl"/>
        </w:rPr>
        <w:t xml:space="preserve">ÉGIMEN DE INHABILIDADES E INCOMPATIBILIDADES </w:t>
      </w:r>
      <w:r w:rsidRPr="001667C3">
        <w:rPr>
          <w:rFonts w:ascii="Arial" w:eastAsia="Calibri" w:hAnsi="Arial" w:cs="Arial"/>
          <w:b/>
          <w:color w:val="000000" w:themeColor="text1"/>
          <w:sz w:val="22"/>
        </w:rPr>
        <w:t>–</w:t>
      </w:r>
      <w:r w:rsidRPr="001667C3">
        <w:rPr>
          <w:rFonts w:ascii="Arial" w:eastAsia="Calibri" w:hAnsi="Arial" w:cs="Arial"/>
          <w:b/>
          <w:bCs/>
          <w:color w:val="000000" w:themeColor="text1"/>
          <w:sz w:val="22"/>
          <w:lang w:val="es-ES_tradnl"/>
        </w:rPr>
        <w:t xml:space="preserve"> Concepto </w:t>
      </w:r>
      <w:r w:rsidRPr="001667C3">
        <w:rPr>
          <w:rFonts w:ascii="Arial" w:eastAsia="Calibri" w:hAnsi="Arial" w:cs="Arial"/>
          <w:b/>
          <w:color w:val="000000" w:themeColor="text1"/>
          <w:sz w:val="22"/>
        </w:rPr>
        <w:t>–</w:t>
      </w:r>
      <w:r w:rsidRPr="001667C3">
        <w:rPr>
          <w:rFonts w:ascii="Arial" w:eastAsia="Calibri" w:hAnsi="Arial" w:cs="Arial"/>
          <w:b/>
          <w:bCs/>
          <w:color w:val="000000" w:themeColor="text1"/>
          <w:sz w:val="22"/>
          <w:lang w:val="es-ES_tradnl"/>
        </w:rPr>
        <w:t xml:space="preserve"> Principio de legalidad </w:t>
      </w:r>
      <w:r w:rsidRPr="001667C3">
        <w:rPr>
          <w:rFonts w:ascii="Arial" w:eastAsia="Calibri" w:hAnsi="Arial" w:cs="Arial"/>
          <w:b/>
          <w:color w:val="000000" w:themeColor="text1"/>
          <w:sz w:val="22"/>
        </w:rPr>
        <w:t>–</w:t>
      </w:r>
      <w:r w:rsidRPr="001667C3">
        <w:rPr>
          <w:rFonts w:ascii="Arial" w:eastAsia="Calibri" w:hAnsi="Arial" w:cs="Arial"/>
          <w:b/>
          <w:bCs/>
          <w:color w:val="000000" w:themeColor="text1"/>
          <w:sz w:val="22"/>
          <w:lang w:val="es-ES_tradnl"/>
        </w:rPr>
        <w:t xml:space="preserve"> Interpretación restrictiva</w:t>
      </w:r>
    </w:p>
    <w:p w14:paraId="63F41365" w14:textId="77777777" w:rsidR="00D82A76" w:rsidRPr="001667C3" w:rsidRDefault="00D82A76" w:rsidP="005C2ED6">
      <w:pPr>
        <w:jc w:val="both"/>
        <w:rPr>
          <w:rFonts w:ascii="Arial" w:eastAsia="Calibri" w:hAnsi="Arial" w:cs="Arial"/>
          <w:b/>
          <w:bCs/>
          <w:color w:val="000000" w:themeColor="text1"/>
          <w:sz w:val="22"/>
          <w:lang w:val="es-ES_tradnl"/>
        </w:rPr>
      </w:pPr>
    </w:p>
    <w:p w14:paraId="5D6BEA84" w14:textId="77777777" w:rsidR="00CB5B7A" w:rsidRPr="005C2ED6" w:rsidRDefault="00CB5B7A" w:rsidP="00E04BDD">
      <w:pPr>
        <w:pStyle w:val="Sinespaciado"/>
        <w:jc w:val="both"/>
        <w:rPr>
          <w:rFonts w:ascii="Arial" w:hAnsi="Arial" w:cs="Arial"/>
          <w:sz w:val="20"/>
          <w:szCs w:val="20"/>
        </w:rPr>
      </w:pPr>
      <w:r w:rsidRPr="005C2ED6">
        <w:rPr>
          <w:rFonts w:ascii="Arial" w:hAnsi="Arial" w:cs="Arial"/>
          <w:sz w:val="20"/>
          <w:szCs w:val="20"/>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1010BD59" w14:textId="183B8C26" w:rsidR="00CB5B7A" w:rsidRPr="005C2ED6" w:rsidRDefault="00CB5B7A" w:rsidP="00E04BDD">
      <w:pPr>
        <w:pStyle w:val="Sinespaciado"/>
        <w:jc w:val="both"/>
        <w:rPr>
          <w:rFonts w:ascii="Arial" w:hAnsi="Arial" w:cs="Arial"/>
          <w:sz w:val="20"/>
          <w:szCs w:val="20"/>
        </w:rPr>
      </w:pPr>
      <w:r w:rsidRPr="005C2ED6">
        <w:rPr>
          <w:rFonts w:ascii="Arial" w:hAnsi="Arial" w:cs="Arial"/>
          <w:sz w:val="20"/>
          <w:szCs w:val="20"/>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w:t>
      </w:r>
    </w:p>
    <w:p w14:paraId="363309C7" w14:textId="2AF55500" w:rsidR="00D82A76" w:rsidRPr="005C2ED6" w:rsidRDefault="00CB5B7A" w:rsidP="00E04BDD">
      <w:pPr>
        <w:jc w:val="both"/>
        <w:rPr>
          <w:rFonts w:ascii="Arial" w:hAnsi="Arial" w:cs="Arial"/>
          <w:sz w:val="20"/>
          <w:szCs w:val="20"/>
        </w:rPr>
      </w:pPr>
      <w:r w:rsidRPr="005C2ED6">
        <w:rPr>
          <w:rFonts w:ascii="Arial" w:hAnsi="Arial" w:cs="Arial"/>
          <w:sz w:val="20"/>
          <w:szCs w:val="20"/>
        </w:rPr>
        <w:t>La consagración limitaciones que afectan la capacidad jurídica para contratar desarrolla los principios de la función administrativa consagrados en el artículo 209 de la Constitución Política, con especial énfasis el de moralidad.</w:t>
      </w:r>
    </w:p>
    <w:p w14:paraId="20CA9ED1" w14:textId="10ED8E87" w:rsidR="00CB5B7A" w:rsidRDefault="00CB5B7A" w:rsidP="00CB5B7A">
      <w:pPr>
        <w:jc w:val="both"/>
        <w:rPr>
          <w:rFonts w:ascii="Arial" w:eastAsia="Calibri" w:hAnsi="Arial" w:cs="Arial"/>
          <w:color w:val="000000" w:themeColor="text1"/>
          <w:sz w:val="20"/>
          <w:szCs w:val="20"/>
          <w:lang w:val="es-ES_tradnl"/>
        </w:rPr>
      </w:pPr>
    </w:p>
    <w:p w14:paraId="04819754" w14:textId="53C0309D" w:rsidR="001449D1" w:rsidRPr="00FA006F" w:rsidRDefault="001449D1" w:rsidP="005C2ED6">
      <w:pPr>
        <w:jc w:val="both"/>
        <w:rPr>
          <w:rFonts w:ascii="Arial" w:eastAsia="Calibri" w:hAnsi="Arial" w:cs="Arial"/>
          <w:b/>
          <w:bCs/>
          <w:color w:val="000000" w:themeColor="text1"/>
          <w:sz w:val="22"/>
          <w:szCs w:val="22"/>
          <w:lang w:val="es-ES_tradnl"/>
        </w:rPr>
      </w:pPr>
      <w:r w:rsidRPr="00FA006F">
        <w:rPr>
          <w:rFonts w:ascii="Arial" w:eastAsia="Calibri" w:hAnsi="Arial" w:cs="Arial"/>
          <w:b/>
          <w:bCs/>
          <w:color w:val="000000" w:themeColor="text1"/>
          <w:sz w:val="22"/>
          <w:szCs w:val="22"/>
          <w:lang w:val="es-ES_tradnl"/>
        </w:rPr>
        <w:t xml:space="preserve">AFILIACIÓN A SISTEMA DE SEGURIDAD SOCIAL – Obligatoriedad </w:t>
      </w:r>
    </w:p>
    <w:p w14:paraId="286A1974" w14:textId="095F2EAB" w:rsidR="00CB5B7A" w:rsidRDefault="00CB5B7A" w:rsidP="00340697">
      <w:pPr>
        <w:jc w:val="both"/>
        <w:rPr>
          <w:rFonts w:ascii="Arial" w:eastAsia="Calibri" w:hAnsi="Arial" w:cs="Arial"/>
          <w:b/>
          <w:sz w:val="22"/>
          <w:szCs w:val="22"/>
        </w:rPr>
      </w:pPr>
    </w:p>
    <w:p w14:paraId="0DC4D97C" w14:textId="77777777" w:rsidR="001449D1" w:rsidRPr="005C2ED6" w:rsidRDefault="001449D1" w:rsidP="00E04BDD">
      <w:pPr>
        <w:jc w:val="both"/>
        <w:rPr>
          <w:rFonts w:ascii="Arial" w:eastAsia="Calibri" w:hAnsi="Arial" w:cs="Arial"/>
          <w:sz w:val="20"/>
          <w:szCs w:val="20"/>
          <w:lang w:val="es-ES"/>
        </w:rPr>
      </w:pPr>
      <w:r w:rsidRPr="005C2ED6">
        <w:rPr>
          <w:rFonts w:ascii="Arial" w:eastAsia="Calibri" w:hAnsi="Arial" w:cs="Arial"/>
          <w:sz w:val="20"/>
          <w:szCs w:val="20"/>
          <w:lang w:val="es-ES"/>
        </w:rPr>
        <w:t>La Ley 80 de 1993, en el texto original del artículo 41, estableció que los requisitos para perfeccionar el contrato eran: i) llegar a un acuerdo sobre el objeto y la contraprestación y ii) que conste por escrito. Por su parte, para iniciar la ejecución se requería: i) la constitución y aprobación de la garantía y ii) la existencia del registro presupuestal.</w:t>
      </w:r>
    </w:p>
    <w:p w14:paraId="5521A0C4" w14:textId="7D9E8C26" w:rsidR="001449D1" w:rsidRDefault="001449D1" w:rsidP="00E04BDD">
      <w:pPr>
        <w:jc w:val="both"/>
        <w:rPr>
          <w:rFonts w:ascii="Arial" w:eastAsia="Calibri" w:hAnsi="Arial" w:cs="Arial"/>
          <w:sz w:val="20"/>
          <w:szCs w:val="20"/>
          <w:lang w:val="es-ES"/>
        </w:rPr>
      </w:pPr>
      <w:r w:rsidRPr="005C2ED6">
        <w:rPr>
          <w:rFonts w:ascii="Arial" w:eastAsia="Calibri" w:hAnsi="Arial" w:cs="Arial"/>
          <w:sz w:val="20"/>
          <w:szCs w:val="20"/>
          <w:lang w:val="es-ES"/>
        </w:rPr>
        <w:t xml:space="preserve">Posteriormente, el artículo 50 de la Ley 789 de 2002 estableció, como obligación de quien quiere celebrar, renovar o liquidar contratos de cualquier naturaleza con entidades del sector público, cumplir con las obligaciones frente a los sistemas de salud, riesgos profesionales, pensiones y aportes a la Caja de Compensación Familiar, Instituto Colombiano de Bienestar Familiar y Servicio Nacional de Aprendizaje cuando a ello haya lugar.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 </w:t>
      </w:r>
    </w:p>
    <w:p w14:paraId="06123567" w14:textId="47BA498B" w:rsidR="001449D1" w:rsidRDefault="001449D1" w:rsidP="00E04BDD">
      <w:pPr>
        <w:jc w:val="both"/>
        <w:rPr>
          <w:rFonts w:ascii="Arial" w:eastAsia="Calibri" w:hAnsi="Arial" w:cs="Arial"/>
          <w:b/>
          <w:bCs/>
          <w:lang w:val="es-ES"/>
        </w:rPr>
      </w:pPr>
    </w:p>
    <w:p w14:paraId="50A44491" w14:textId="57FA8439" w:rsidR="00684DE6" w:rsidRDefault="00684DE6" w:rsidP="00E04BDD">
      <w:pPr>
        <w:jc w:val="both"/>
        <w:rPr>
          <w:rFonts w:ascii="Arial" w:eastAsia="Calibri" w:hAnsi="Arial" w:cs="Arial"/>
          <w:b/>
          <w:bCs/>
          <w:sz w:val="22"/>
          <w:szCs w:val="22"/>
          <w:lang w:val="es-ES"/>
        </w:rPr>
      </w:pPr>
      <w:r w:rsidRPr="00684DE6">
        <w:rPr>
          <w:rFonts w:ascii="Arial" w:eastAsia="Calibri" w:hAnsi="Arial" w:cs="Arial"/>
          <w:b/>
          <w:bCs/>
          <w:sz w:val="22"/>
          <w:szCs w:val="22"/>
          <w:lang w:val="es-ES"/>
        </w:rPr>
        <w:t xml:space="preserve">INHABILIDAD Y RECHAZO DE LA OFERTA – </w:t>
      </w:r>
      <w:r w:rsidR="0024038A">
        <w:rPr>
          <w:rFonts w:ascii="Arial" w:eastAsia="Calibri" w:hAnsi="Arial" w:cs="Arial"/>
          <w:b/>
          <w:bCs/>
          <w:sz w:val="22"/>
          <w:szCs w:val="22"/>
          <w:lang w:val="es-ES"/>
        </w:rPr>
        <w:t>Causales taxativas</w:t>
      </w:r>
      <w:r w:rsidR="00C83641">
        <w:rPr>
          <w:rFonts w:ascii="Arial" w:eastAsia="Calibri" w:hAnsi="Arial" w:cs="Arial"/>
          <w:b/>
          <w:bCs/>
          <w:sz w:val="22"/>
          <w:szCs w:val="22"/>
          <w:lang w:val="es-ES"/>
        </w:rPr>
        <w:t xml:space="preserve"> – </w:t>
      </w:r>
      <w:r w:rsidR="00561979">
        <w:rPr>
          <w:rFonts w:ascii="Arial" w:eastAsia="Calibri" w:hAnsi="Arial" w:cs="Arial"/>
          <w:b/>
          <w:bCs/>
          <w:sz w:val="22"/>
          <w:szCs w:val="22"/>
          <w:lang w:val="es-ES"/>
        </w:rPr>
        <w:t>P</w:t>
      </w:r>
      <w:r w:rsidRPr="00684DE6">
        <w:rPr>
          <w:rFonts w:ascii="Arial" w:eastAsia="Calibri" w:hAnsi="Arial" w:cs="Arial"/>
          <w:b/>
          <w:bCs/>
          <w:sz w:val="22"/>
          <w:szCs w:val="22"/>
          <w:lang w:val="es-ES"/>
        </w:rPr>
        <w:t>liegos tipo</w:t>
      </w:r>
    </w:p>
    <w:p w14:paraId="6C448651" w14:textId="77777777" w:rsidR="00E04BDD" w:rsidRPr="00684DE6" w:rsidRDefault="00E04BDD" w:rsidP="00E04BDD">
      <w:pPr>
        <w:jc w:val="both"/>
        <w:rPr>
          <w:rFonts w:ascii="Arial" w:eastAsia="Calibri" w:hAnsi="Arial" w:cs="Arial"/>
          <w:b/>
          <w:bCs/>
          <w:sz w:val="22"/>
          <w:szCs w:val="22"/>
          <w:lang w:val="es-ES"/>
        </w:rPr>
      </w:pPr>
    </w:p>
    <w:p w14:paraId="3998FE79" w14:textId="09DC2313" w:rsidR="00684DE6" w:rsidRPr="00684DE6" w:rsidRDefault="00684DE6" w:rsidP="00684DE6">
      <w:pPr>
        <w:tabs>
          <w:tab w:val="left" w:pos="709"/>
          <w:tab w:val="left" w:pos="851"/>
        </w:tabs>
        <w:jc w:val="both"/>
        <w:rPr>
          <w:rFonts w:ascii="Arial" w:eastAsia="Calibri" w:hAnsi="Arial" w:cs="Arial"/>
          <w:sz w:val="20"/>
          <w:szCs w:val="20"/>
        </w:rPr>
      </w:pPr>
      <w:r w:rsidRPr="00684DE6">
        <w:rPr>
          <w:rFonts w:ascii="Arial" w:hAnsi="Arial" w:cs="Arial"/>
          <w:color w:val="000000" w:themeColor="text1"/>
          <w:sz w:val="20"/>
          <w:szCs w:val="20"/>
        </w:rPr>
        <w:t xml:space="preserve">Ahora bien, revisadas las causales de rechazo que anteceden, no se advierte referencia expresa a la obligación establecida en el </w:t>
      </w:r>
      <w:r w:rsidRPr="00684DE6">
        <w:rPr>
          <w:rFonts w:ascii="Arial" w:hAnsi="Arial" w:cs="Arial"/>
          <w:sz w:val="20"/>
          <w:szCs w:val="20"/>
        </w:rPr>
        <w:t xml:space="preserve">artículo 17 de la Ley 842 de 2003, ni tampoco se establece en otro lugar del documento tipo, por lo que resulta evidente que no es una exigencia aplicable para participar en las licitaciones de obra pública de infraestructura de transporte que apliquen dichos documentos. En efecto, el artículo indicado establece la siguiente </w:t>
      </w:r>
      <w:r w:rsidRPr="00684DE6">
        <w:rPr>
          <w:rFonts w:ascii="Arial" w:eastAsia="Calibri" w:hAnsi="Arial" w:cs="Arial"/>
          <w:sz w:val="20"/>
          <w:szCs w:val="20"/>
        </w:rPr>
        <w:t>obligación legal:</w:t>
      </w:r>
    </w:p>
    <w:p w14:paraId="3D6737C2" w14:textId="77777777" w:rsidR="00684DE6" w:rsidRPr="00684DE6" w:rsidRDefault="00684DE6" w:rsidP="00E04BDD">
      <w:pPr>
        <w:jc w:val="both"/>
        <w:rPr>
          <w:rFonts w:ascii="Arial" w:eastAsia="Calibri" w:hAnsi="Arial" w:cs="Arial"/>
          <w:color w:val="000000"/>
          <w:sz w:val="20"/>
          <w:szCs w:val="20"/>
        </w:rPr>
      </w:pPr>
      <w:r w:rsidRPr="00684DE6">
        <w:rPr>
          <w:rFonts w:ascii="Arial" w:eastAsia="Calibri" w:hAnsi="Arial" w:cs="Arial"/>
          <w:color w:val="000000"/>
          <w:sz w:val="20"/>
          <w:szCs w:val="20"/>
        </w:rPr>
        <w:t>Artículo 17. Responsabilidad de las personas jurídicas y de sus representantes. La sociedad, firma, empresa u organización profesional, cuyas actividades comprendan, en forma exclusiva o parcial, alguna o algunas de aquellas que correspondan al ejercicio de la ingeniería, de sus profesiones afines o de sus profesiones auxiliares, está obligada a incluir en su nómina permanente, como mínimo, a un profesional matriculado en la carrera correspondiente al objeto social de la respectiva persona jurídica.</w:t>
      </w:r>
    </w:p>
    <w:p w14:paraId="2DE032B0" w14:textId="6EB49970" w:rsidR="00684DE6" w:rsidRPr="00684DE6" w:rsidRDefault="00684DE6" w:rsidP="00E04BDD">
      <w:pPr>
        <w:jc w:val="both"/>
        <w:rPr>
          <w:rFonts w:ascii="Arial" w:eastAsia="Calibri" w:hAnsi="Arial" w:cs="Arial"/>
          <w:color w:val="000000"/>
          <w:sz w:val="20"/>
          <w:szCs w:val="20"/>
        </w:rPr>
      </w:pPr>
      <w:r w:rsidRPr="00684DE6">
        <w:rPr>
          <w:rFonts w:ascii="Arial" w:eastAsia="Calibri" w:hAnsi="Arial" w:cs="Arial"/>
          <w:color w:val="000000"/>
          <w:sz w:val="20"/>
          <w:szCs w:val="20"/>
        </w:rPr>
        <w:lastRenderedPageBreak/>
        <w:t>Parágrafo. Al representante legal de la persona jurídica que omita el cumplimiento de lo dispuesto en el presente artículo se le aplicarán las sanciones previstas para el ejercicio ilegal de profesión y oficio reglamentado, mediante la aplicación del procedimiento establecido para las contravenciones especiales de policía o aquel que lo sustituya.</w:t>
      </w:r>
    </w:p>
    <w:p w14:paraId="0D054DD3" w14:textId="176D904E" w:rsidR="00684DE6" w:rsidRPr="00684DE6" w:rsidRDefault="00684DE6" w:rsidP="00684DE6">
      <w:pPr>
        <w:tabs>
          <w:tab w:val="left" w:pos="709"/>
          <w:tab w:val="left" w:pos="851"/>
        </w:tabs>
        <w:spacing w:after="120"/>
        <w:jc w:val="both"/>
        <w:rPr>
          <w:rFonts w:ascii="Arial" w:hAnsi="Arial" w:cs="Arial"/>
          <w:sz w:val="20"/>
          <w:szCs w:val="20"/>
        </w:rPr>
      </w:pPr>
      <w:r w:rsidRPr="00684DE6">
        <w:rPr>
          <w:rFonts w:ascii="Arial" w:hAnsi="Arial" w:cs="Arial"/>
          <w:sz w:val="20"/>
          <w:szCs w:val="20"/>
        </w:rPr>
        <w:t>El artículo citado establece el deber para las personas jurídicas, cuyas actividades correspondan al ejercicio de la ingeniería, de incluir en su «nómina permanente» al menos a un profesional matriculado en la carrera correspondiente al objeto social de la persona jurídica. Sin embargo, pese a la existencia de dicho deber, no establece una consecuencia particular frente a su incidencia en los procedimientos de selección de contratistas adelantados por las entidades estatales, como sería la imposibilidad de participar en dichos procesos ante la inobservancia del cumplimiento de dicha exigencia o el deber de presentar algún documento para acreditar el cumplimiento de dicha obligación en el desarrollo de tales procesos contractuales.</w:t>
      </w:r>
    </w:p>
    <w:p w14:paraId="27F770FB" w14:textId="77777777" w:rsidR="00684DE6" w:rsidRDefault="00684DE6" w:rsidP="00444184">
      <w:pPr>
        <w:spacing w:after="120"/>
        <w:jc w:val="both"/>
        <w:rPr>
          <w:rFonts w:ascii="Arial" w:eastAsia="Calibri" w:hAnsi="Arial" w:cs="Arial"/>
          <w:b/>
          <w:bCs/>
          <w:lang w:val="es-ES"/>
        </w:rPr>
      </w:pPr>
    </w:p>
    <w:p w14:paraId="4D564521" w14:textId="77777777" w:rsidR="00444184" w:rsidRPr="005C2ED6" w:rsidRDefault="00444184" w:rsidP="005C2ED6">
      <w:pPr>
        <w:spacing w:after="120"/>
        <w:jc w:val="both"/>
        <w:rPr>
          <w:rFonts w:ascii="Arial" w:eastAsia="Calibri" w:hAnsi="Arial" w:cs="Arial"/>
          <w:b/>
          <w:bCs/>
          <w:lang w:val="es-ES"/>
        </w:rPr>
      </w:pPr>
    </w:p>
    <w:p w14:paraId="60A3E816" w14:textId="77777777" w:rsidR="001449D1" w:rsidRPr="005C2ED6" w:rsidRDefault="001449D1" w:rsidP="005C2ED6">
      <w:pPr>
        <w:spacing w:before="120" w:after="120"/>
        <w:jc w:val="both"/>
        <w:rPr>
          <w:rFonts w:ascii="Arial" w:eastAsia="Calibri" w:hAnsi="Arial" w:cs="Arial"/>
          <w:sz w:val="20"/>
          <w:szCs w:val="20"/>
          <w:lang w:val="es-ES"/>
        </w:rPr>
      </w:pPr>
    </w:p>
    <w:p w14:paraId="09C5EDA7" w14:textId="093ADDB6" w:rsidR="005C180C" w:rsidRPr="00830F50" w:rsidRDefault="005C180C" w:rsidP="00C33A69">
      <w:pPr>
        <w:spacing w:line="276" w:lineRule="auto"/>
        <w:rPr>
          <w:rFonts w:ascii="Arial" w:eastAsia="Calibri" w:hAnsi="Arial" w:cs="Arial"/>
          <w:b/>
          <w:sz w:val="22"/>
        </w:rPr>
      </w:pPr>
    </w:p>
    <w:p w14:paraId="325851E1" w14:textId="0149F883" w:rsidR="005C180C" w:rsidRPr="00830F50" w:rsidRDefault="005C180C" w:rsidP="00C33A69">
      <w:pPr>
        <w:spacing w:line="276" w:lineRule="auto"/>
        <w:rPr>
          <w:rFonts w:ascii="Arial" w:eastAsia="Calibri" w:hAnsi="Arial" w:cs="Arial"/>
          <w:b/>
          <w:sz w:val="22"/>
        </w:rPr>
      </w:pPr>
    </w:p>
    <w:p w14:paraId="0DCF6FEB" w14:textId="6A0531EF" w:rsidR="005C180C" w:rsidRPr="00830F50" w:rsidRDefault="005C180C" w:rsidP="00C33A69">
      <w:pPr>
        <w:spacing w:line="276" w:lineRule="auto"/>
        <w:rPr>
          <w:rFonts w:ascii="Arial" w:eastAsia="Calibri" w:hAnsi="Arial" w:cs="Arial"/>
          <w:b/>
          <w:sz w:val="22"/>
        </w:rPr>
      </w:pPr>
    </w:p>
    <w:p w14:paraId="64597F91" w14:textId="587FC8D2" w:rsidR="005C180C" w:rsidRPr="00830F50" w:rsidRDefault="005C180C" w:rsidP="00C33A69">
      <w:pPr>
        <w:spacing w:line="276" w:lineRule="auto"/>
        <w:rPr>
          <w:rFonts w:ascii="Arial" w:eastAsia="Calibri" w:hAnsi="Arial" w:cs="Arial"/>
          <w:b/>
          <w:sz w:val="22"/>
        </w:rPr>
      </w:pPr>
    </w:p>
    <w:p w14:paraId="23620D24" w14:textId="77777777" w:rsidR="0098230F" w:rsidRPr="00830F50" w:rsidRDefault="0098230F" w:rsidP="00C33A69">
      <w:pPr>
        <w:spacing w:line="276" w:lineRule="auto"/>
        <w:rPr>
          <w:rFonts w:ascii="Arial" w:eastAsia="Calibri" w:hAnsi="Arial" w:cs="Arial"/>
          <w:b/>
          <w:sz w:val="22"/>
        </w:rPr>
      </w:pPr>
    </w:p>
    <w:p w14:paraId="7BA41CF7" w14:textId="73B831A0" w:rsidR="002E06B3" w:rsidRDefault="002E06B3" w:rsidP="0093085B">
      <w:pPr>
        <w:jc w:val="both"/>
        <w:rPr>
          <w:rFonts w:ascii="Arial" w:hAnsi="Arial" w:cs="Arial"/>
          <w:b/>
          <w:bCs/>
          <w:sz w:val="22"/>
          <w:szCs w:val="22"/>
        </w:rPr>
      </w:pPr>
    </w:p>
    <w:p w14:paraId="7C54CFB7" w14:textId="5CB1A4C7" w:rsidR="00684DE6" w:rsidRDefault="00684DE6" w:rsidP="0093085B">
      <w:pPr>
        <w:jc w:val="both"/>
        <w:rPr>
          <w:rFonts w:ascii="Arial" w:hAnsi="Arial" w:cs="Arial"/>
          <w:b/>
          <w:bCs/>
          <w:sz w:val="22"/>
          <w:szCs w:val="22"/>
        </w:rPr>
      </w:pPr>
    </w:p>
    <w:p w14:paraId="260B4587" w14:textId="529E9A14" w:rsidR="00684DE6" w:rsidRDefault="00684DE6" w:rsidP="0093085B">
      <w:pPr>
        <w:jc w:val="both"/>
        <w:rPr>
          <w:rFonts w:ascii="Arial" w:hAnsi="Arial" w:cs="Arial"/>
          <w:b/>
          <w:bCs/>
          <w:sz w:val="22"/>
          <w:szCs w:val="22"/>
        </w:rPr>
      </w:pPr>
    </w:p>
    <w:p w14:paraId="2989D466" w14:textId="27A60C72" w:rsidR="00684DE6" w:rsidRDefault="00684DE6" w:rsidP="0093085B">
      <w:pPr>
        <w:jc w:val="both"/>
        <w:rPr>
          <w:rFonts w:ascii="Arial" w:hAnsi="Arial" w:cs="Arial"/>
          <w:b/>
          <w:bCs/>
          <w:sz w:val="22"/>
          <w:szCs w:val="22"/>
        </w:rPr>
      </w:pPr>
    </w:p>
    <w:p w14:paraId="28383E84" w14:textId="10C32446" w:rsidR="00684DE6" w:rsidRDefault="00684DE6" w:rsidP="0093085B">
      <w:pPr>
        <w:jc w:val="both"/>
        <w:rPr>
          <w:rFonts w:ascii="Arial" w:hAnsi="Arial" w:cs="Arial"/>
          <w:b/>
          <w:bCs/>
          <w:sz w:val="22"/>
          <w:szCs w:val="22"/>
        </w:rPr>
      </w:pPr>
    </w:p>
    <w:p w14:paraId="29534E7F" w14:textId="7BF73965" w:rsidR="00684DE6" w:rsidRDefault="00684DE6" w:rsidP="0093085B">
      <w:pPr>
        <w:jc w:val="both"/>
        <w:rPr>
          <w:rFonts w:ascii="Arial" w:hAnsi="Arial" w:cs="Arial"/>
          <w:b/>
          <w:bCs/>
          <w:sz w:val="22"/>
          <w:szCs w:val="22"/>
        </w:rPr>
      </w:pPr>
    </w:p>
    <w:p w14:paraId="5661E109" w14:textId="522DB207" w:rsidR="00684DE6" w:rsidRDefault="00684DE6" w:rsidP="0093085B">
      <w:pPr>
        <w:jc w:val="both"/>
        <w:rPr>
          <w:rFonts w:ascii="Arial" w:hAnsi="Arial" w:cs="Arial"/>
          <w:b/>
          <w:bCs/>
          <w:sz w:val="22"/>
          <w:szCs w:val="22"/>
        </w:rPr>
      </w:pPr>
    </w:p>
    <w:p w14:paraId="3E138764" w14:textId="0CF10D1D" w:rsidR="00684DE6" w:rsidRDefault="00684DE6" w:rsidP="0093085B">
      <w:pPr>
        <w:jc w:val="both"/>
        <w:rPr>
          <w:rFonts w:ascii="Arial" w:hAnsi="Arial" w:cs="Arial"/>
          <w:b/>
          <w:bCs/>
          <w:sz w:val="22"/>
          <w:szCs w:val="22"/>
        </w:rPr>
      </w:pPr>
    </w:p>
    <w:p w14:paraId="1690D50C" w14:textId="4D49FA16" w:rsidR="00684DE6" w:rsidRDefault="00684DE6" w:rsidP="0093085B">
      <w:pPr>
        <w:jc w:val="both"/>
        <w:rPr>
          <w:rFonts w:ascii="Arial" w:hAnsi="Arial" w:cs="Arial"/>
          <w:b/>
          <w:bCs/>
          <w:sz w:val="22"/>
          <w:szCs w:val="22"/>
        </w:rPr>
      </w:pPr>
    </w:p>
    <w:p w14:paraId="2A0BF7D5" w14:textId="282F780D" w:rsidR="00684DE6" w:rsidRDefault="00684DE6" w:rsidP="0093085B">
      <w:pPr>
        <w:jc w:val="both"/>
        <w:rPr>
          <w:rFonts w:ascii="Arial" w:hAnsi="Arial" w:cs="Arial"/>
          <w:b/>
          <w:bCs/>
          <w:sz w:val="22"/>
          <w:szCs w:val="22"/>
        </w:rPr>
      </w:pPr>
    </w:p>
    <w:p w14:paraId="401D641D" w14:textId="42967AC3" w:rsidR="00684DE6" w:rsidRDefault="00684DE6" w:rsidP="0093085B">
      <w:pPr>
        <w:jc w:val="both"/>
        <w:rPr>
          <w:rFonts w:ascii="Arial" w:hAnsi="Arial" w:cs="Arial"/>
          <w:b/>
          <w:bCs/>
          <w:sz w:val="22"/>
          <w:szCs w:val="22"/>
        </w:rPr>
      </w:pPr>
    </w:p>
    <w:p w14:paraId="21F05698" w14:textId="1C36D133" w:rsidR="00684DE6" w:rsidRDefault="00684DE6" w:rsidP="0093085B">
      <w:pPr>
        <w:jc w:val="both"/>
        <w:rPr>
          <w:rFonts w:ascii="Arial" w:hAnsi="Arial" w:cs="Arial"/>
          <w:b/>
          <w:bCs/>
          <w:sz w:val="22"/>
          <w:szCs w:val="22"/>
        </w:rPr>
      </w:pPr>
    </w:p>
    <w:p w14:paraId="7E044C0B" w14:textId="11E106D9" w:rsidR="00684DE6" w:rsidRDefault="00684DE6" w:rsidP="0093085B">
      <w:pPr>
        <w:jc w:val="both"/>
        <w:rPr>
          <w:rFonts w:ascii="Arial" w:hAnsi="Arial" w:cs="Arial"/>
          <w:b/>
          <w:bCs/>
          <w:sz w:val="22"/>
          <w:szCs w:val="22"/>
        </w:rPr>
      </w:pPr>
    </w:p>
    <w:p w14:paraId="00D07359" w14:textId="57E5DFDE" w:rsidR="00684DE6" w:rsidRDefault="00684DE6" w:rsidP="0093085B">
      <w:pPr>
        <w:jc w:val="both"/>
        <w:rPr>
          <w:rFonts w:ascii="Arial" w:hAnsi="Arial" w:cs="Arial"/>
          <w:b/>
          <w:bCs/>
          <w:sz w:val="22"/>
          <w:szCs w:val="22"/>
        </w:rPr>
      </w:pPr>
    </w:p>
    <w:p w14:paraId="28CA2CE1" w14:textId="6F2881E3" w:rsidR="00684DE6" w:rsidRDefault="00684DE6" w:rsidP="0093085B">
      <w:pPr>
        <w:jc w:val="both"/>
        <w:rPr>
          <w:rFonts w:ascii="Arial" w:hAnsi="Arial" w:cs="Arial"/>
          <w:b/>
          <w:bCs/>
          <w:sz w:val="22"/>
          <w:szCs w:val="22"/>
        </w:rPr>
      </w:pPr>
    </w:p>
    <w:p w14:paraId="000BCC9E" w14:textId="03CD9B3D" w:rsidR="00684DE6" w:rsidRDefault="00684DE6" w:rsidP="0093085B">
      <w:pPr>
        <w:jc w:val="both"/>
        <w:rPr>
          <w:rFonts w:ascii="Arial" w:hAnsi="Arial" w:cs="Arial"/>
          <w:b/>
          <w:bCs/>
          <w:sz w:val="22"/>
          <w:szCs w:val="22"/>
        </w:rPr>
      </w:pPr>
    </w:p>
    <w:p w14:paraId="01C92032" w14:textId="77777777" w:rsidR="00684DE6" w:rsidRDefault="00684DE6" w:rsidP="0093085B">
      <w:pPr>
        <w:jc w:val="both"/>
        <w:rPr>
          <w:rFonts w:ascii="Arial" w:hAnsi="Arial" w:cs="Arial"/>
          <w:b/>
          <w:bCs/>
          <w:sz w:val="22"/>
          <w:szCs w:val="22"/>
        </w:rPr>
      </w:pPr>
    </w:p>
    <w:p w14:paraId="0A9B66D5" w14:textId="77777777" w:rsidR="002E06B3" w:rsidRDefault="002E06B3" w:rsidP="0093085B">
      <w:pPr>
        <w:jc w:val="both"/>
        <w:rPr>
          <w:rFonts w:ascii="Arial" w:hAnsi="Arial" w:cs="Arial"/>
          <w:b/>
          <w:bCs/>
          <w:sz w:val="22"/>
          <w:szCs w:val="22"/>
        </w:rPr>
      </w:pPr>
    </w:p>
    <w:p w14:paraId="3139662E" w14:textId="6C255AC0" w:rsidR="005C180C" w:rsidRDefault="005C180C" w:rsidP="0093085B">
      <w:pPr>
        <w:jc w:val="both"/>
        <w:rPr>
          <w:rFonts w:ascii="Arial" w:hAnsi="Arial" w:cs="Arial"/>
          <w:b/>
          <w:bCs/>
        </w:rPr>
      </w:pPr>
    </w:p>
    <w:p w14:paraId="1D3B0DF5" w14:textId="38D1B94E" w:rsidR="00486AFC" w:rsidRPr="00486AFC" w:rsidRDefault="00486AFC" w:rsidP="005A0272">
      <w:pPr>
        <w:jc w:val="right"/>
      </w:pPr>
      <w:r w:rsidRPr="00486AFC">
        <w:fldChar w:fldCharType="begin"/>
      </w:r>
      <w:r w:rsidR="002F2375">
        <w:instrText xml:space="preserve"> INCLUDEPICTURE "https://cceficiente.sharepoint.com/var/folders/tb/0fmk9b510f57pz5rwhv8lnpw0000gp/T/com.microsoft.Word/WebArchiveCopyPasteTempFiles/page1image634238464" \* MERGEFORMAT </w:instrText>
      </w:r>
      <w:r w:rsidRPr="00486AFC">
        <w:fldChar w:fldCharType="separate"/>
      </w:r>
      <w:r w:rsidRPr="00486AFC">
        <w:rPr>
          <w:noProof/>
        </w:rPr>
        <w:drawing>
          <wp:inline distT="0" distB="0" distL="0" distR="0" wp14:anchorId="3CB23F81" wp14:editId="20C28B0C">
            <wp:extent cx="2401570" cy="612775"/>
            <wp:effectExtent l="0" t="0" r="0" b="0"/>
            <wp:docPr id="4" name="Imagen 4" descr="page1image63423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342384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570" cy="612775"/>
                    </a:xfrm>
                    <a:prstGeom prst="rect">
                      <a:avLst/>
                    </a:prstGeom>
                    <a:noFill/>
                    <a:ln>
                      <a:noFill/>
                    </a:ln>
                  </pic:spPr>
                </pic:pic>
              </a:graphicData>
            </a:graphic>
          </wp:inline>
        </w:drawing>
      </w:r>
      <w:r w:rsidRPr="00486AFC">
        <w:fldChar w:fldCharType="end"/>
      </w:r>
    </w:p>
    <w:p w14:paraId="701760B9" w14:textId="77777777" w:rsidR="00486AFC" w:rsidRPr="00830F50" w:rsidRDefault="00486AFC" w:rsidP="0093085B">
      <w:pPr>
        <w:jc w:val="both"/>
        <w:rPr>
          <w:rFonts w:ascii="Arial" w:hAnsi="Arial" w:cs="Arial"/>
          <w:b/>
          <w:bCs/>
        </w:rPr>
      </w:pPr>
    </w:p>
    <w:p w14:paraId="67AC7ECE" w14:textId="53B50DA0" w:rsidR="00C33A69" w:rsidRPr="00830F50" w:rsidRDefault="00C33A69" w:rsidP="00C33A69">
      <w:pPr>
        <w:rPr>
          <w:rFonts w:ascii="Arial" w:eastAsia="Calibri" w:hAnsi="Arial" w:cs="Arial"/>
          <w:sz w:val="22"/>
        </w:rPr>
      </w:pPr>
      <w:r w:rsidRPr="00830F50">
        <w:rPr>
          <w:rFonts w:ascii="Arial" w:eastAsia="Calibri" w:hAnsi="Arial" w:cs="Arial"/>
          <w:sz w:val="22"/>
        </w:rPr>
        <w:lastRenderedPageBreak/>
        <w:t>Señor</w:t>
      </w:r>
    </w:p>
    <w:p w14:paraId="4F9DF387" w14:textId="1759F8C5" w:rsidR="003C1F96" w:rsidRPr="00830F50" w:rsidRDefault="00713D7B" w:rsidP="00C33A69">
      <w:pPr>
        <w:rPr>
          <w:rFonts w:ascii="Arial" w:eastAsia="Calibri" w:hAnsi="Arial" w:cs="Arial"/>
          <w:b/>
          <w:bCs/>
          <w:sz w:val="22"/>
        </w:rPr>
      </w:pPr>
      <w:r>
        <w:rPr>
          <w:rFonts w:ascii="Arial" w:eastAsia="Calibri" w:hAnsi="Arial" w:cs="Arial"/>
          <w:b/>
          <w:bCs/>
          <w:sz w:val="22"/>
        </w:rPr>
        <w:t xml:space="preserve">José Manuel Diaz Cediel </w:t>
      </w:r>
    </w:p>
    <w:p w14:paraId="3BB8E2E5" w14:textId="610DF7C7" w:rsidR="00C33A69" w:rsidRPr="00830F50" w:rsidRDefault="00D82A76" w:rsidP="00C33A69">
      <w:pPr>
        <w:rPr>
          <w:rFonts w:ascii="Arial" w:eastAsia="Calibri" w:hAnsi="Arial" w:cs="Arial"/>
          <w:sz w:val="22"/>
        </w:rPr>
      </w:pPr>
      <w:r>
        <w:rPr>
          <w:rFonts w:ascii="Arial" w:eastAsia="Calibri" w:hAnsi="Arial" w:cs="Arial"/>
          <w:sz w:val="22"/>
        </w:rPr>
        <w:t xml:space="preserve">Bucaramanga, Santander </w:t>
      </w:r>
    </w:p>
    <w:p w14:paraId="3EE54747" w14:textId="3317939C" w:rsidR="00C33A69" w:rsidRDefault="00C33A69" w:rsidP="00C33A69">
      <w:pPr>
        <w:rPr>
          <w:rFonts w:ascii="Arial" w:eastAsia="Calibri" w:hAnsi="Arial" w:cs="Arial"/>
          <w:sz w:val="22"/>
        </w:rPr>
      </w:pPr>
    </w:p>
    <w:p w14:paraId="2A86985F" w14:textId="77777777" w:rsidR="002E06B3" w:rsidRPr="00830F50" w:rsidRDefault="002E06B3" w:rsidP="00C33A69">
      <w:pPr>
        <w:rPr>
          <w:rFonts w:ascii="Arial" w:eastAsia="Calibri" w:hAnsi="Arial" w:cs="Arial"/>
          <w:sz w:val="22"/>
        </w:rPr>
      </w:pPr>
    </w:p>
    <w:p w14:paraId="110710E1" w14:textId="6FE77B5C" w:rsidR="00C33A69" w:rsidRPr="00830F50" w:rsidRDefault="00C33A69" w:rsidP="00052D69">
      <w:pPr>
        <w:ind w:left="2124" w:firstLine="570"/>
        <w:rPr>
          <w:rFonts w:ascii="Arial" w:eastAsia="Calibri" w:hAnsi="Arial" w:cs="Arial"/>
          <w:b/>
          <w:sz w:val="22"/>
        </w:rPr>
      </w:pPr>
      <w:r w:rsidRPr="00830F50">
        <w:rPr>
          <w:rFonts w:ascii="Arial" w:eastAsia="Calibri" w:hAnsi="Arial" w:cs="Arial"/>
          <w:b/>
          <w:sz w:val="22"/>
        </w:rPr>
        <w:t>Concepto C</w:t>
      </w:r>
      <w:r w:rsidR="0098230F" w:rsidRPr="00830F50">
        <w:rPr>
          <w:rFonts w:ascii="Arial" w:eastAsia="Calibri" w:hAnsi="Arial" w:cs="Arial"/>
          <w:b/>
          <w:sz w:val="22"/>
        </w:rPr>
        <w:t>–</w:t>
      </w:r>
      <w:r w:rsidR="005C180C" w:rsidRPr="00830F50">
        <w:rPr>
          <w:rFonts w:ascii="Arial" w:eastAsia="Calibri" w:hAnsi="Arial" w:cs="Arial"/>
          <w:b/>
          <w:sz w:val="22"/>
        </w:rPr>
        <w:t>4</w:t>
      </w:r>
      <w:r w:rsidR="003F0E56">
        <w:rPr>
          <w:rFonts w:ascii="Arial" w:eastAsia="Calibri" w:hAnsi="Arial" w:cs="Arial"/>
          <w:b/>
          <w:sz w:val="22"/>
        </w:rPr>
        <w:t>63</w:t>
      </w:r>
      <w:r w:rsidRPr="00830F50">
        <w:rPr>
          <w:rFonts w:ascii="Arial" w:eastAsia="Calibri" w:hAnsi="Arial" w:cs="Arial"/>
          <w:b/>
          <w:sz w:val="22"/>
        </w:rPr>
        <w:t xml:space="preserve"> de 2021 </w:t>
      </w:r>
    </w:p>
    <w:p w14:paraId="20F59D12" w14:textId="77777777" w:rsidR="002E06B3" w:rsidRPr="00830F50" w:rsidRDefault="002E06B3" w:rsidP="00C33A69">
      <w:pPr>
        <w:jc w:val="center"/>
        <w:rPr>
          <w:rFonts w:ascii="Arial" w:eastAsia="Calibri" w:hAnsi="Arial" w:cs="Arial"/>
          <w:b/>
          <w:sz w:val="22"/>
        </w:rPr>
      </w:pPr>
    </w:p>
    <w:p w14:paraId="5530D2AD" w14:textId="77777777" w:rsidR="00667FCB" w:rsidRPr="00830F50" w:rsidRDefault="00667FCB" w:rsidP="00C33A69">
      <w:pPr>
        <w:jc w:val="center"/>
        <w:rPr>
          <w:rFonts w:ascii="Arial" w:eastAsia="Calibri" w:hAnsi="Arial" w:cs="Arial"/>
          <w:b/>
          <w:sz w:val="22"/>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5"/>
      </w:tblGrid>
      <w:tr w:rsidR="00830F50" w:rsidRPr="00830F50" w14:paraId="098B1F4D" w14:textId="77777777" w:rsidTr="00052D69">
        <w:trPr>
          <w:trHeight w:val="423"/>
        </w:trPr>
        <w:tc>
          <w:tcPr>
            <w:tcW w:w="2689" w:type="dxa"/>
          </w:tcPr>
          <w:p w14:paraId="5400FE7E" w14:textId="77777777" w:rsidR="00C33A69" w:rsidRPr="00830F50" w:rsidRDefault="00C33A69" w:rsidP="007C6F1C">
            <w:pPr>
              <w:rPr>
                <w:rFonts w:ascii="Arial" w:eastAsia="Calibri" w:hAnsi="Arial" w:cs="Arial"/>
              </w:rPr>
            </w:pPr>
            <w:r w:rsidRPr="00830F50">
              <w:rPr>
                <w:rFonts w:ascii="Arial" w:eastAsia="Calibri" w:hAnsi="Arial" w:cs="Arial"/>
                <w:b/>
              </w:rPr>
              <w:t>Temas:</w:t>
            </w:r>
            <w:r w:rsidRPr="00830F50">
              <w:rPr>
                <w:rFonts w:ascii="Arial" w:eastAsia="Calibri" w:hAnsi="Arial" w:cs="Arial"/>
              </w:rPr>
              <w:t xml:space="preserve">                                      </w:t>
            </w:r>
          </w:p>
        </w:tc>
        <w:tc>
          <w:tcPr>
            <w:tcW w:w="6525" w:type="dxa"/>
          </w:tcPr>
          <w:p w14:paraId="1E6AE781" w14:textId="00B6707C" w:rsidR="00340697" w:rsidRDefault="00CB5B7A" w:rsidP="002116C0">
            <w:pPr>
              <w:jc w:val="both"/>
              <w:rPr>
                <w:rFonts w:ascii="Arial" w:eastAsia="Calibri" w:hAnsi="Arial" w:cs="Arial"/>
                <w:color w:val="000000" w:themeColor="text1"/>
                <w:lang w:val="es-ES_tradnl"/>
              </w:rPr>
            </w:pPr>
            <w:r w:rsidRPr="005C2ED6">
              <w:rPr>
                <w:rFonts w:ascii="Arial" w:eastAsia="Calibri" w:hAnsi="Arial" w:cs="Arial"/>
                <w:color w:val="000000" w:themeColor="text1"/>
                <w:lang w:val="es-ES_tradnl"/>
              </w:rPr>
              <w:t xml:space="preserve">RÉGIMEN DE INHABILIDADES E INCOMPATIBILIDADES </w:t>
            </w:r>
            <w:r w:rsidRPr="005C2ED6">
              <w:rPr>
                <w:rFonts w:ascii="Arial" w:eastAsia="Calibri" w:hAnsi="Arial" w:cs="Arial"/>
                <w:color w:val="000000" w:themeColor="text1"/>
              </w:rPr>
              <w:t>–</w:t>
            </w:r>
            <w:r w:rsidRPr="005C2ED6">
              <w:rPr>
                <w:rFonts w:ascii="Arial" w:eastAsia="Calibri" w:hAnsi="Arial" w:cs="Arial"/>
                <w:color w:val="000000" w:themeColor="text1"/>
                <w:lang w:val="es-ES_tradnl"/>
              </w:rPr>
              <w:t xml:space="preserve"> Concepto </w:t>
            </w:r>
            <w:r w:rsidRPr="005C2ED6">
              <w:rPr>
                <w:rFonts w:ascii="Arial" w:eastAsia="Calibri" w:hAnsi="Arial" w:cs="Arial"/>
                <w:color w:val="000000" w:themeColor="text1"/>
              </w:rPr>
              <w:t>–</w:t>
            </w:r>
            <w:r w:rsidRPr="005C2ED6">
              <w:rPr>
                <w:rFonts w:ascii="Arial" w:eastAsia="Calibri" w:hAnsi="Arial" w:cs="Arial"/>
                <w:color w:val="000000" w:themeColor="text1"/>
                <w:lang w:val="es-ES_tradnl"/>
              </w:rPr>
              <w:t xml:space="preserve"> Principio de legalidad </w:t>
            </w:r>
            <w:r w:rsidRPr="005C2ED6">
              <w:rPr>
                <w:rFonts w:ascii="Arial" w:eastAsia="Calibri" w:hAnsi="Arial" w:cs="Arial"/>
                <w:color w:val="000000" w:themeColor="text1"/>
              </w:rPr>
              <w:t>–</w:t>
            </w:r>
            <w:r w:rsidRPr="005C2ED6">
              <w:rPr>
                <w:rFonts w:ascii="Arial" w:eastAsia="Calibri" w:hAnsi="Arial" w:cs="Arial"/>
                <w:color w:val="000000" w:themeColor="text1"/>
                <w:lang w:val="es-ES_tradnl"/>
              </w:rPr>
              <w:t xml:space="preserve"> Interpretación restrictiva / </w:t>
            </w:r>
            <w:r w:rsidR="001449D1" w:rsidRPr="005C2ED6">
              <w:rPr>
                <w:rFonts w:ascii="Arial" w:eastAsia="Calibri" w:hAnsi="Arial" w:cs="Arial"/>
                <w:color w:val="000000" w:themeColor="text1"/>
                <w:lang w:val="es-ES_tradnl"/>
              </w:rPr>
              <w:t>AFILIACIÓN A SISTEMA DE SEGURIDAD SOCIAL – Obligatoriedad</w:t>
            </w:r>
            <w:r w:rsidR="00684DE6">
              <w:rPr>
                <w:rFonts w:ascii="Arial" w:eastAsia="Calibri" w:hAnsi="Arial" w:cs="Arial"/>
                <w:color w:val="000000" w:themeColor="text1"/>
                <w:lang w:val="es-ES_tradnl"/>
              </w:rPr>
              <w:t xml:space="preserve"> / TAXATIVIDAD DE LAS CAUSALES DE INHABILIDAD Y RECHAZO DE LA OFERTA – pliegos tipo </w:t>
            </w:r>
          </w:p>
          <w:p w14:paraId="61836A1F" w14:textId="32D131A9" w:rsidR="00684DE6" w:rsidRPr="002116C0" w:rsidRDefault="00684DE6" w:rsidP="002116C0">
            <w:pPr>
              <w:jc w:val="both"/>
              <w:rPr>
                <w:rFonts w:ascii="Arial" w:eastAsia="Calibri" w:hAnsi="Arial" w:cs="Arial"/>
                <w:b/>
                <w:bCs/>
                <w:color w:val="000000" w:themeColor="text1"/>
                <w:sz w:val="24"/>
                <w:szCs w:val="24"/>
                <w:lang w:val="es-ES_tradnl"/>
              </w:rPr>
            </w:pPr>
          </w:p>
        </w:tc>
      </w:tr>
      <w:tr w:rsidR="00C33A69" w:rsidRPr="00830F50" w14:paraId="7050D2D2" w14:textId="77777777" w:rsidTr="009B1654">
        <w:tc>
          <w:tcPr>
            <w:tcW w:w="2689" w:type="dxa"/>
          </w:tcPr>
          <w:p w14:paraId="393C8000" w14:textId="77777777" w:rsidR="00C33A69" w:rsidRPr="00830F50" w:rsidRDefault="00C33A69" w:rsidP="007C6F1C">
            <w:pPr>
              <w:rPr>
                <w:rFonts w:ascii="Arial" w:eastAsia="Calibri" w:hAnsi="Arial" w:cs="Arial"/>
              </w:rPr>
            </w:pPr>
            <w:r w:rsidRPr="00830F50">
              <w:rPr>
                <w:rFonts w:ascii="Arial" w:eastAsia="Calibri" w:hAnsi="Arial" w:cs="Arial"/>
                <w:b/>
              </w:rPr>
              <w:t>Radicación:</w:t>
            </w:r>
            <w:r w:rsidRPr="00830F50">
              <w:rPr>
                <w:rFonts w:ascii="Arial" w:eastAsia="Calibri" w:hAnsi="Arial" w:cs="Arial"/>
              </w:rPr>
              <w:t xml:space="preserve">                              </w:t>
            </w:r>
          </w:p>
        </w:tc>
        <w:tc>
          <w:tcPr>
            <w:tcW w:w="6525" w:type="dxa"/>
          </w:tcPr>
          <w:p w14:paraId="61074E39" w14:textId="24E022EA" w:rsidR="00C33A69" w:rsidRPr="00830F50" w:rsidRDefault="00C33A69" w:rsidP="007C6F1C">
            <w:pPr>
              <w:rPr>
                <w:rFonts w:ascii="Arial" w:eastAsia="Calibri" w:hAnsi="Arial" w:cs="Arial"/>
              </w:rPr>
            </w:pPr>
            <w:r w:rsidRPr="00830F50">
              <w:rPr>
                <w:rFonts w:ascii="Arial" w:eastAsia="Calibri" w:hAnsi="Arial" w:cs="Arial"/>
              </w:rPr>
              <w:t>Respuesta a consulta P20210</w:t>
            </w:r>
            <w:r w:rsidR="005C180C" w:rsidRPr="00830F50">
              <w:rPr>
                <w:rFonts w:ascii="Arial" w:eastAsia="Calibri" w:hAnsi="Arial" w:cs="Arial"/>
              </w:rPr>
              <w:t>7</w:t>
            </w:r>
            <w:r w:rsidR="003F0E56">
              <w:rPr>
                <w:rFonts w:ascii="Arial" w:eastAsia="Calibri" w:hAnsi="Arial" w:cs="Arial"/>
              </w:rPr>
              <w:t>23006495</w:t>
            </w:r>
          </w:p>
        </w:tc>
      </w:tr>
    </w:tbl>
    <w:p w14:paraId="67B4B4A1" w14:textId="77777777" w:rsidR="00C33A69" w:rsidRPr="00830F50" w:rsidRDefault="00C33A69" w:rsidP="00C33A69">
      <w:pPr>
        <w:spacing w:line="276" w:lineRule="auto"/>
        <w:rPr>
          <w:rFonts w:ascii="Arial" w:eastAsia="Calibri" w:hAnsi="Arial" w:cs="Arial"/>
          <w:sz w:val="22"/>
        </w:rPr>
      </w:pPr>
    </w:p>
    <w:p w14:paraId="14733CA2" w14:textId="77777777" w:rsidR="002E06B3" w:rsidRPr="00830F50" w:rsidRDefault="002E06B3" w:rsidP="00C33A69">
      <w:pPr>
        <w:spacing w:line="276" w:lineRule="auto"/>
        <w:rPr>
          <w:rFonts w:ascii="Arial" w:eastAsia="Calibri" w:hAnsi="Arial" w:cs="Arial"/>
          <w:sz w:val="22"/>
        </w:rPr>
      </w:pPr>
    </w:p>
    <w:p w14:paraId="177D81C6" w14:textId="627D9E52" w:rsidR="00C33A69" w:rsidRPr="00830F50" w:rsidRDefault="00C33A69" w:rsidP="00C33A69">
      <w:pPr>
        <w:tabs>
          <w:tab w:val="left" w:pos="3736"/>
        </w:tabs>
        <w:spacing w:line="276" w:lineRule="auto"/>
        <w:rPr>
          <w:rFonts w:ascii="Arial" w:eastAsia="Calibri" w:hAnsi="Arial" w:cs="Arial"/>
          <w:sz w:val="22"/>
        </w:rPr>
      </w:pPr>
      <w:r w:rsidRPr="00830F50">
        <w:rPr>
          <w:rFonts w:ascii="Arial" w:eastAsia="Calibri" w:hAnsi="Arial" w:cs="Arial"/>
          <w:sz w:val="22"/>
        </w:rPr>
        <w:t>Estimad</w:t>
      </w:r>
      <w:r w:rsidR="005C180C" w:rsidRPr="00830F50">
        <w:rPr>
          <w:rFonts w:ascii="Arial" w:eastAsia="Calibri" w:hAnsi="Arial" w:cs="Arial"/>
          <w:sz w:val="22"/>
        </w:rPr>
        <w:t xml:space="preserve">o </w:t>
      </w:r>
      <w:r w:rsidRPr="00830F50">
        <w:rPr>
          <w:rFonts w:ascii="Arial" w:eastAsia="Calibri" w:hAnsi="Arial" w:cs="Arial"/>
          <w:sz w:val="22"/>
        </w:rPr>
        <w:t>seño</w:t>
      </w:r>
      <w:r w:rsidR="007A5777">
        <w:rPr>
          <w:rFonts w:ascii="Arial" w:eastAsia="Calibri" w:hAnsi="Arial" w:cs="Arial"/>
          <w:sz w:val="22"/>
        </w:rPr>
        <w:t>r</w:t>
      </w:r>
      <w:r w:rsidR="00713D7B">
        <w:rPr>
          <w:rFonts w:ascii="Arial" w:eastAsia="Calibri" w:hAnsi="Arial" w:cs="Arial"/>
          <w:sz w:val="22"/>
        </w:rPr>
        <w:t xml:space="preserve"> Diaz</w:t>
      </w:r>
      <w:r w:rsidRPr="00830F50">
        <w:rPr>
          <w:rFonts w:ascii="Arial" w:eastAsia="Calibri" w:hAnsi="Arial" w:cs="Arial"/>
          <w:sz w:val="22"/>
        </w:rPr>
        <w:t>,</w:t>
      </w:r>
      <w:r w:rsidRPr="00830F50">
        <w:rPr>
          <w:rFonts w:ascii="Arial" w:eastAsia="Calibri" w:hAnsi="Arial" w:cs="Arial"/>
          <w:sz w:val="22"/>
        </w:rPr>
        <w:tab/>
      </w:r>
    </w:p>
    <w:p w14:paraId="44E85655" w14:textId="77777777" w:rsidR="00C33A69" w:rsidRPr="00830F50" w:rsidRDefault="00C33A69" w:rsidP="00C33A69">
      <w:pPr>
        <w:spacing w:line="276" w:lineRule="auto"/>
        <w:rPr>
          <w:rFonts w:ascii="Arial" w:eastAsia="Calibri" w:hAnsi="Arial" w:cs="Arial"/>
          <w:sz w:val="22"/>
        </w:rPr>
      </w:pPr>
    </w:p>
    <w:p w14:paraId="2044C6B5" w14:textId="3385F7D8" w:rsidR="00C33A69" w:rsidRPr="00830F50" w:rsidRDefault="00C33A69" w:rsidP="00C33A69">
      <w:pPr>
        <w:spacing w:line="276" w:lineRule="auto"/>
        <w:jc w:val="both"/>
        <w:rPr>
          <w:rFonts w:ascii="Arial" w:eastAsia="Calibri" w:hAnsi="Arial" w:cs="Arial"/>
          <w:sz w:val="22"/>
        </w:rPr>
      </w:pPr>
      <w:r w:rsidRPr="00830F50">
        <w:rPr>
          <w:rFonts w:ascii="Arial" w:eastAsia="Calibri" w:hAnsi="Arial" w:cs="Arial"/>
          <w:sz w:val="22"/>
        </w:rPr>
        <w:t xml:space="preserve">La Agencia Nacional de Contratación Pública </w:t>
      </w:r>
      <w:r w:rsidR="00E1095A">
        <w:rPr>
          <w:rFonts w:ascii="Arial" w:eastAsia="Calibri" w:hAnsi="Arial" w:cs="Arial"/>
          <w:sz w:val="22"/>
        </w:rPr>
        <w:t xml:space="preserve">– </w:t>
      </w:r>
      <w:r w:rsidRPr="00830F50">
        <w:rPr>
          <w:rFonts w:ascii="Arial" w:eastAsia="Calibri" w:hAnsi="Arial" w:cs="Arial"/>
          <w:sz w:val="22"/>
        </w:rPr>
        <w:t xml:space="preserve">Colombia Compra Eficiente responde a su consulta del </w:t>
      </w:r>
      <w:r w:rsidR="003F0E56">
        <w:rPr>
          <w:rFonts w:ascii="Arial" w:eastAsia="Calibri" w:hAnsi="Arial" w:cs="Arial"/>
          <w:sz w:val="22"/>
        </w:rPr>
        <w:t>23</w:t>
      </w:r>
      <w:r w:rsidR="005C180C" w:rsidRPr="00830F50">
        <w:rPr>
          <w:rFonts w:ascii="Arial" w:eastAsia="Calibri" w:hAnsi="Arial" w:cs="Arial"/>
          <w:sz w:val="22"/>
        </w:rPr>
        <w:t xml:space="preserve"> de julio</w:t>
      </w:r>
      <w:r w:rsidR="005621EE" w:rsidRPr="00830F50">
        <w:rPr>
          <w:rFonts w:ascii="Arial" w:eastAsia="Calibri" w:hAnsi="Arial" w:cs="Arial"/>
          <w:sz w:val="22"/>
        </w:rPr>
        <w:t xml:space="preserve"> de 2021</w:t>
      </w:r>
      <w:r w:rsidRPr="00830F50">
        <w:rPr>
          <w:rFonts w:ascii="Arial" w:eastAsia="Calibri" w:hAnsi="Arial" w:cs="Arial"/>
          <w:sz w:val="22"/>
        </w:rPr>
        <w:t xml:space="preserve">, en ejercicio de la competencia otorgada por el numeral 8 del artículo 11 y el numeral 5 del artículo 3 del Decreto Ley 4170 de 2011. </w:t>
      </w:r>
    </w:p>
    <w:p w14:paraId="0987E0B4" w14:textId="77777777" w:rsidR="00C33A69" w:rsidRPr="00830F50" w:rsidRDefault="00C33A69" w:rsidP="00C33A69">
      <w:pPr>
        <w:pStyle w:val="Prrafodelista"/>
        <w:spacing w:line="276" w:lineRule="auto"/>
        <w:ind w:left="0"/>
        <w:rPr>
          <w:rFonts w:ascii="Arial" w:eastAsia="Calibri" w:hAnsi="Arial" w:cs="Arial"/>
          <w:sz w:val="22"/>
        </w:rPr>
      </w:pPr>
    </w:p>
    <w:p w14:paraId="6238CC02" w14:textId="09C77F03" w:rsidR="003C1F96" w:rsidRDefault="00C33A69" w:rsidP="00684DE6">
      <w:pPr>
        <w:pStyle w:val="Prrafodelista"/>
        <w:numPr>
          <w:ilvl w:val="0"/>
          <w:numId w:val="11"/>
        </w:numPr>
        <w:tabs>
          <w:tab w:val="left" w:pos="0"/>
        </w:tabs>
        <w:spacing w:line="276" w:lineRule="auto"/>
        <w:ind w:left="0" w:firstLine="0"/>
        <w:jc w:val="both"/>
        <w:rPr>
          <w:rFonts w:ascii="Arial" w:eastAsia="Calibri" w:hAnsi="Arial" w:cs="Arial"/>
          <w:b/>
          <w:sz w:val="22"/>
        </w:rPr>
      </w:pPr>
      <w:r w:rsidRPr="00830F50">
        <w:rPr>
          <w:rFonts w:ascii="Arial" w:eastAsia="Calibri" w:hAnsi="Arial" w:cs="Arial"/>
          <w:b/>
          <w:sz w:val="22"/>
        </w:rPr>
        <w:t>Problemas planteados</w:t>
      </w:r>
    </w:p>
    <w:p w14:paraId="4560575A" w14:textId="77777777" w:rsidR="000F0D0D" w:rsidRPr="00830F50" w:rsidRDefault="000F0D0D" w:rsidP="005C2ED6">
      <w:pPr>
        <w:pStyle w:val="Prrafodelista"/>
        <w:tabs>
          <w:tab w:val="left" w:pos="0"/>
        </w:tabs>
        <w:spacing w:line="276" w:lineRule="auto"/>
        <w:jc w:val="both"/>
        <w:rPr>
          <w:rFonts w:ascii="Arial" w:eastAsia="Calibri" w:hAnsi="Arial" w:cs="Arial"/>
          <w:b/>
          <w:sz w:val="22"/>
        </w:rPr>
      </w:pPr>
    </w:p>
    <w:p w14:paraId="1A2EFE98" w14:textId="77777777" w:rsidR="003F0E56" w:rsidRDefault="00C33A69" w:rsidP="005C2ED6">
      <w:pPr>
        <w:pStyle w:val="NormalWeb"/>
        <w:spacing w:before="0" w:beforeAutospacing="0" w:after="120" w:afterAutospacing="0" w:line="276" w:lineRule="auto"/>
        <w:jc w:val="both"/>
        <w:rPr>
          <w:rFonts w:ascii="Arial" w:eastAsia="Calibri" w:hAnsi="Arial" w:cs="Arial"/>
          <w:sz w:val="22"/>
          <w:szCs w:val="22"/>
        </w:rPr>
      </w:pPr>
      <w:r w:rsidRPr="00830F50">
        <w:rPr>
          <w:rFonts w:ascii="Arial" w:eastAsia="Calibri" w:hAnsi="Arial" w:cs="Arial"/>
          <w:sz w:val="22"/>
          <w:szCs w:val="22"/>
        </w:rPr>
        <w:t xml:space="preserve">Usted formula </w:t>
      </w:r>
      <w:r w:rsidR="003C1F96" w:rsidRPr="00830F50">
        <w:rPr>
          <w:rFonts w:ascii="Arial" w:eastAsia="Calibri" w:hAnsi="Arial" w:cs="Arial"/>
          <w:sz w:val="22"/>
          <w:szCs w:val="22"/>
        </w:rPr>
        <w:t>la</w:t>
      </w:r>
      <w:r w:rsidR="003F0E56">
        <w:rPr>
          <w:rFonts w:ascii="Arial" w:eastAsia="Calibri" w:hAnsi="Arial" w:cs="Arial"/>
          <w:sz w:val="22"/>
          <w:szCs w:val="22"/>
        </w:rPr>
        <w:t>s</w:t>
      </w:r>
      <w:r w:rsidR="003C1F96" w:rsidRPr="00830F50">
        <w:rPr>
          <w:rFonts w:ascii="Arial" w:eastAsia="Calibri" w:hAnsi="Arial" w:cs="Arial"/>
          <w:sz w:val="22"/>
          <w:szCs w:val="22"/>
        </w:rPr>
        <w:t xml:space="preserve"> siguiente</w:t>
      </w:r>
      <w:r w:rsidR="003F0E56">
        <w:rPr>
          <w:rFonts w:ascii="Arial" w:eastAsia="Calibri" w:hAnsi="Arial" w:cs="Arial"/>
          <w:sz w:val="22"/>
          <w:szCs w:val="22"/>
        </w:rPr>
        <w:t>s</w:t>
      </w:r>
      <w:r w:rsidR="003C1F96" w:rsidRPr="00830F50">
        <w:rPr>
          <w:rFonts w:ascii="Arial" w:eastAsia="Calibri" w:hAnsi="Arial" w:cs="Arial"/>
          <w:sz w:val="22"/>
          <w:szCs w:val="22"/>
        </w:rPr>
        <w:t xml:space="preserve"> </w:t>
      </w:r>
      <w:r w:rsidR="005C180C" w:rsidRPr="00830F50">
        <w:rPr>
          <w:rFonts w:ascii="Arial" w:eastAsia="Calibri" w:hAnsi="Arial" w:cs="Arial"/>
          <w:sz w:val="22"/>
          <w:szCs w:val="22"/>
        </w:rPr>
        <w:t>pregunta</w:t>
      </w:r>
      <w:r w:rsidR="003F0E56">
        <w:rPr>
          <w:rFonts w:ascii="Arial" w:eastAsia="Calibri" w:hAnsi="Arial" w:cs="Arial"/>
          <w:sz w:val="22"/>
          <w:szCs w:val="22"/>
        </w:rPr>
        <w:t>s</w:t>
      </w:r>
      <w:r w:rsidR="003C1F96" w:rsidRPr="00830F50">
        <w:rPr>
          <w:rFonts w:ascii="Arial" w:eastAsia="Calibri" w:hAnsi="Arial" w:cs="Arial"/>
          <w:sz w:val="22"/>
          <w:szCs w:val="22"/>
        </w:rPr>
        <w:t>:</w:t>
      </w:r>
      <w:r w:rsidR="005C180C" w:rsidRPr="00830F50">
        <w:rPr>
          <w:rFonts w:ascii="Arial" w:eastAsia="Calibri" w:hAnsi="Arial" w:cs="Arial"/>
          <w:sz w:val="22"/>
          <w:szCs w:val="22"/>
        </w:rPr>
        <w:t xml:space="preserve"> </w:t>
      </w:r>
    </w:p>
    <w:p w14:paraId="37D46944" w14:textId="097E216B" w:rsidR="003F0E56" w:rsidRPr="005C2ED6" w:rsidRDefault="00F3681E" w:rsidP="005C2ED6">
      <w:pPr>
        <w:pStyle w:val="NormalWeb"/>
        <w:numPr>
          <w:ilvl w:val="0"/>
          <w:numId w:val="14"/>
        </w:numPr>
        <w:spacing w:after="120" w:afterAutospacing="0" w:line="276" w:lineRule="auto"/>
        <w:ind w:left="709" w:right="709" w:firstLine="0"/>
        <w:jc w:val="both"/>
        <w:rPr>
          <w:rFonts w:ascii="Arial" w:hAnsi="Arial" w:cs="Arial"/>
          <w:sz w:val="21"/>
          <w:szCs w:val="21"/>
        </w:rPr>
      </w:pPr>
      <w:r w:rsidRPr="005C2ED6">
        <w:rPr>
          <w:rFonts w:ascii="Arial" w:eastAsia="Calibri" w:hAnsi="Arial" w:cs="Arial"/>
          <w:sz w:val="21"/>
          <w:szCs w:val="21"/>
        </w:rPr>
        <w:t>«</w:t>
      </w:r>
      <w:r w:rsidR="005C180C" w:rsidRPr="005C2ED6">
        <w:rPr>
          <w:rFonts w:ascii="Arial" w:eastAsia="Calibri" w:hAnsi="Arial" w:cs="Arial"/>
          <w:sz w:val="21"/>
          <w:szCs w:val="21"/>
        </w:rPr>
        <w:t>¿</w:t>
      </w:r>
      <w:r w:rsidR="003F0E56" w:rsidRPr="005C2ED6">
        <w:rPr>
          <w:rFonts w:ascii="Arial" w:hAnsi="Arial" w:cs="Arial"/>
          <w:sz w:val="21"/>
          <w:szCs w:val="21"/>
        </w:rPr>
        <w:t xml:space="preserve"> En causal de INHABILIDAD o RECHAZO de la propuesta, si una Empresa al presentarse a un proceso de </w:t>
      </w:r>
      <w:r w:rsidR="00327272" w:rsidRPr="005C2ED6">
        <w:rPr>
          <w:rFonts w:ascii="Arial" w:hAnsi="Arial" w:cs="Arial"/>
          <w:sz w:val="21"/>
          <w:szCs w:val="21"/>
        </w:rPr>
        <w:t>selección</w:t>
      </w:r>
      <w:r w:rsidR="003F0E56" w:rsidRPr="005C2ED6">
        <w:rPr>
          <w:rFonts w:ascii="Arial" w:hAnsi="Arial" w:cs="Arial"/>
          <w:sz w:val="21"/>
          <w:szCs w:val="21"/>
        </w:rPr>
        <w:t xml:space="preserve">, a </w:t>
      </w:r>
      <w:r w:rsidR="00327272" w:rsidRPr="005C2ED6">
        <w:rPr>
          <w:rFonts w:ascii="Arial" w:hAnsi="Arial" w:cs="Arial"/>
          <w:sz w:val="21"/>
          <w:szCs w:val="21"/>
        </w:rPr>
        <w:t>través</w:t>
      </w:r>
      <w:r w:rsidR="003F0E56" w:rsidRPr="005C2ED6">
        <w:rPr>
          <w:rFonts w:ascii="Arial" w:hAnsi="Arial" w:cs="Arial"/>
          <w:sz w:val="21"/>
          <w:szCs w:val="21"/>
        </w:rPr>
        <w:t xml:space="preserve"> de la plataforma Colombia Compra Eficiente, no cuenta entre su NOMINA de personal profesional vinculado de manera permanente?</w:t>
      </w:r>
      <w:r w:rsidR="003F0E56" w:rsidRPr="005C2ED6">
        <w:rPr>
          <w:rFonts w:ascii="Arial" w:eastAsia="Calibri" w:hAnsi="Arial" w:cs="Arial"/>
          <w:sz w:val="21"/>
          <w:szCs w:val="21"/>
        </w:rPr>
        <w:t>»</w:t>
      </w:r>
    </w:p>
    <w:p w14:paraId="77236A27" w14:textId="6B578110" w:rsidR="00F3681E" w:rsidRPr="005C2ED6" w:rsidRDefault="003F0E56" w:rsidP="005C2ED6">
      <w:pPr>
        <w:pStyle w:val="Prrafodelista"/>
        <w:numPr>
          <w:ilvl w:val="0"/>
          <w:numId w:val="14"/>
        </w:numPr>
        <w:spacing w:before="100" w:beforeAutospacing="1" w:after="100" w:afterAutospacing="1" w:line="276" w:lineRule="auto"/>
        <w:ind w:left="709" w:right="709" w:firstLine="0"/>
        <w:jc w:val="both"/>
        <w:rPr>
          <w:rFonts w:ascii="Arial" w:eastAsia="Times New Roman" w:hAnsi="Arial" w:cs="Arial"/>
          <w:sz w:val="21"/>
          <w:szCs w:val="21"/>
          <w:lang w:val="es-CO" w:eastAsia="es-MX"/>
        </w:rPr>
      </w:pPr>
      <w:r w:rsidRPr="005C2ED6">
        <w:rPr>
          <w:rFonts w:ascii="Arial" w:eastAsia="Calibri" w:hAnsi="Arial" w:cs="Arial"/>
          <w:sz w:val="21"/>
          <w:szCs w:val="21"/>
        </w:rPr>
        <w:t>«¿</w:t>
      </w:r>
      <w:r w:rsidR="00D82A76">
        <w:rPr>
          <w:rFonts w:ascii="Arial" w:eastAsia="Times New Roman" w:hAnsi="Arial" w:cs="Arial"/>
          <w:sz w:val="21"/>
          <w:szCs w:val="21"/>
          <w:lang w:val="es-CO" w:eastAsia="es-MX"/>
        </w:rPr>
        <w:t>P</w:t>
      </w:r>
      <w:r w:rsidRPr="005C2ED6">
        <w:rPr>
          <w:rFonts w:ascii="Arial" w:eastAsia="Times New Roman" w:hAnsi="Arial" w:cs="Arial"/>
          <w:sz w:val="21"/>
          <w:szCs w:val="21"/>
          <w:lang w:val="es-CO" w:eastAsia="es-MX"/>
        </w:rPr>
        <w:t xml:space="preserve">odrán exigir las entidades estatales en un proceso de </w:t>
      </w:r>
      <w:r w:rsidR="00327272" w:rsidRPr="005C2ED6">
        <w:rPr>
          <w:rFonts w:ascii="Arial" w:eastAsia="Times New Roman" w:hAnsi="Arial" w:cs="Arial"/>
          <w:sz w:val="21"/>
          <w:szCs w:val="21"/>
          <w:lang w:val="es-CO" w:eastAsia="es-MX"/>
        </w:rPr>
        <w:t>selección</w:t>
      </w:r>
      <w:r w:rsidRPr="005C2ED6">
        <w:rPr>
          <w:rFonts w:ascii="Arial" w:eastAsia="Times New Roman" w:hAnsi="Arial" w:cs="Arial"/>
          <w:sz w:val="21"/>
          <w:szCs w:val="21"/>
          <w:lang w:val="es-CO" w:eastAsia="es-MX"/>
        </w:rPr>
        <w:t xml:space="preserve">, la vinculación en la </w:t>
      </w:r>
      <w:r w:rsidR="00327272" w:rsidRPr="005C2ED6">
        <w:rPr>
          <w:rFonts w:ascii="Arial" w:eastAsia="Times New Roman" w:hAnsi="Arial" w:cs="Arial"/>
          <w:sz w:val="21"/>
          <w:szCs w:val="21"/>
          <w:lang w:val="es-CO" w:eastAsia="es-MX"/>
        </w:rPr>
        <w:t>nómina</w:t>
      </w:r>
      <w:r w:rsidRPr="005C2ED6">
        <w:rPr>
          <w:rFonts w:ascii="Arial" w:eastAsia="Times New Roman" w:hAnsi="Arial" w:cs="Arial"/>
          <w:sz w:val="21"/>
          <w:szCs w:val="21"/>
          <w:lang w:val="es-CO" w:eastAsia="es-MX"/>
        </w:rPr>
        <w:t xml:space="preserve"> de la Empresa a </w:t>
      </w:r>
      <w:r w:rsidR="00327272" w:rsidRPr="005C2ED6">
        <w:rPr>
          <w:rFonts w:ascii="Arial" w:eastAsia="Times New Roman" w:hAnsi="Arial" w:cs="Arial"/>
          <w:sz w:val="21"/>
          <w:szCs w:val="21"/>
          <w:lang w:val="es-CO" w:eastAsia="es-MX"/>
        </w:rPr>
        <w:t>través</w:t>
      </w:r>
      <w:r w:rsidRPr="005C2ED6">
        <w:rPr>
          <w:rFonts w:ascii="Arial" w:eastAsia="Times New Roman" w:hAnsi="Arial" w:cs="Arial"/>
          <w:sz w:val="21"/>
          <w:szCs w:val="21"/>
          <w:lang w:val="es-CO" w:eastAsia="es-MX"/>
        </w:rPr>
        <w:t xml:space="preserve"> de pagos de aportes legales y de seguridad social, personal profesional vinculado con el </w:t>
      </w:r>
      <w:r w:rsidR="00327272" w:rsidRPr="005C2ED6">
        <w:rPr>
          <w:rFonts w:ascii="Arial" w:eastAsia="Times New Roman" w:hAnsi="Arial" w:cs="Arial"/>
          <w:sz w:val="21"/>
          <w:szCs w:val="21"/>
          <w:lang w:val="es-CO" w:eastAsia="es-MX"/>
        </w:rPr>
        <w:t>área</w:t>
      </w:r>
      <w:r w:rsidRPr="005C2ED6">
        <w:rPr>
          <w:rFonts w:ascii="Arial" w:eastAsia="Times New Roman" w:hAnsi="Arial" w:cs="Arial"/>
          <w:sz w:val="21"/>
          <w:szCs w:val="21"/>
          <w:lang w:val="es-CO" w:eastAsia="es-MX"/>
        </w:rPr>
        <w:t xml:space="preserve"> de </w:t>
      </w:r>
      <w:r w:rsidR="00327272" w:rsidRPr="005C2ED6">
        <w:rPr>
          <w:rFonts w:ascii="Arial" w:eastAsia="Times New Roman" w:hAnsi="Arial" w:cs="Arial"/>
          <w:sz w:val="21"/>
          <w:szCs w:val="21"/>
          <w:lang w:val="es-CO" w:eastAsia="es-MX"/>
        </w:rPr>
        <w:t>ingeniería</w:t>
      </w:r>
      <w:r w:rsidRPr="005C2ED6">
        <w:rPr>
          <w:rFonts w:ascii="Arial" w:eastAsia="Times New Roman" w:hAnsi="Arial" w:cs="Arial"/>
          <w:sz w:val="21"/>
          <w:szCs w:val="21"/>
          <w:lang w:val="es-CO" w:eastAsia="es-MX"/>
        </w:rPr>
        <w:t xml:space="preserve">, si el mismo pliego tipo a </w:t>
      </w:r>
      <w:r w:rsidR="00327272" w:rsidRPr="005C2ED6">
        <w:rPr>
          <w:rFonts w:ascii="Arial" w:eastAsia="Times New Roman" w:hAnsi="Arial" w:cs="Arial"/>
          <w:sz w:val="21"/>
          <w:szCs w:val="21"/>
          <w:lang w:val="es-CO" w:eastAsia="es-MX"/>
        </w:rPr>
        <w:t>través</w:t>
      </w:r>
      <w:r w:rsidRPr="005C2ED6">
        <w:rPr>
          <w:rFonts w:ascii="Arial" w:eastAsia="Times New Roman" w:hAnsi="Arial" w:cs="Arial"/>
          <w:sz w:val="21"/>
          <w:szCs w:val="21"/>
          <w:lang w:val="es-CO" w:eastAsia="es-MX"/>
        </w:rPr>
        <w:t xml:space="preserve"> del FORMATO 6 PAGOS DE SEGURIDAD SOCIAL Y APORTES LEGALES, da la </w:t>
      </w:r>
      <w:r w:rsidR="00327272" w:rsidRPr="005C2ED6">
        <w:rPr>
          <w:rFonts w:ascii="Arial" w:eastAsia="Times New Roman" w:hAnsi="Arial" w:cs="Arial"/>
          <w:sz w:val="21"/>
          <w:szCs w:val="21"/>
          <w:lang w:val="es-CO" w:eastAsia="es-MX"/>
        </w:rPr>
        <w:t>opción</w:t>
      </w:r>
      <w:r w:rsidRPr="005C2ED6">
        <w:rPr>
          <w:rFonts w:ascii="Arial" w:eastAsia="Times New Roman" w:hAnsi="Arial" w:cs="Arial"/>
          <w:sz w:val="21"/>
          <w:szCs w:val="21"/>
          <w:lang w:val="es-CO" w:eastAsia="es-MX"/>
        </w:rPr>
        <w:t xml:space="preserve"> de forma juramentada indicar que dentro de los seis (6) meses anteriores a la fecha de firma del Contrato no tuve personal a cargo y por ende no estoy obligado a efectuar el pago de aportes legales y seguridad social, tal como lo indica el mismo formato del pliego tipo; y que </w:t>
      </w:r>
      <w:r w:rsidR="00327272" w:rsidRPr="005C2ED6">
        <w:rPr>
          <w:rFonts w:ascii="Arial" w:eastAsia="Times New Roman" w:hAnsi="Arial" w:cs="Arial"/>
          <w:sz w:val="21"/>
          <w:szCs w:val="21"/>
          <w:lang w:val="es-CO" w:eastAsia="es-MX"/>
        </w:rPr>
        <w:t>además</w:t>
      </w:r>
      <w:r w:rsidRPr="005C2ED6">
        <w:rPr>
          <w:rFonts w:ascii="Arial" w:eastAsia="Times New Roman" w:hAnsi="Arial" w:cs="Arial"/>
          <w:sz w:val="21"/>
          <w:szCs w:val="21"/>
          <w:lang w:val="es-CO" w:eastAsia="es-MX"/>
        </w:rPr>
        <w:t xml:space="preserve"> si El Decreto 342 de 2019 de La Agencia Nacional de </w:t>
      </w:r>
      <w:r w:rsidR="00327272" w:rsidRPr="005C2ED6">
        <w:rPr>
          <w:rFonts w:ascii="Arial" w:eastAsia="Times New Roman" w:hAnsi="Arial" w:cs="Arial"/>
          <w:sz w:val="21"/>
          <w:szCs w:val="21"/>
          <w:lang w:val="es-CO" w:eastAsia="es-MX"/>
        </w:rPr>
        <w:t>Contratación</w:t>
      </w:r>
      <w:r w:rsidRPr="005C2ED6">
        <w:rPr>
          <w:rFonts w:ascii="Arial" w:eastAsia="Times New Roman" w:hAnsi="Arial" w:cs="Arial"/>
          <w:sz w:val="21"/>
          <w:szCs w:val="21"/>
          <w:lang w:val="es-CO" w:eastAsia="es-MX"/>
        </w:rPr>
        <w:t xml:space="preserve"> </w:t>
      </w:r>
      <w:r w:rsidR="00327272" w:rsidRPr="005C2ED6">
        <w:rPr>
          <w:rFonts w:ascii="Arial" w:eastAsia="Times New Roman" w:hAnsi="Arial" w:cs="Arial"/>
          <w:sz w:val="21"/>
          <w:szCs w:val="21"/>
          <w:lang w:val="es-CO" w:eastAsia="es-MX"/>
        </w:rPr>
        <w:t>Pública</w:t>
      </w:r>
      <w:r w:rsidRPr="005C2ED6">
        <w:rPr>
          <w:rFonts w:ascii="Arial" w:eastAsia="Times New Roman" w:hAnsi="Arial" w:cs="Arial"/>
          <w:sz w:val="21"/>
          <w:szCs w:val="21"/>
          <w:lang w:val="es-CO" w:eastAsia="es-MX"/>
        </w:rPr>
        <w:t xml:space="preserve"> ― Colombia Compra Eficiente, normativa que adopta los Documentos Tipo para los pliegos de condiciones de los procesos de </w:t>
      </w:r>
      <w:r w:rsidR="00327272" w:rsidRPr="005C2ED6">
        <w:rPr>
          <w:rFonts w:ascii="Arial" w:eastAsia="Times New Roman" w:hAnsi="Arial" w:cs="Arial"/>
          <w:sz w:val="21"/>
          <w:szCs w:val="21"/>
          <w:lang w:val="es-CO" w:eastAsia="es-MX"/>
        </w:rPr>
        <w:t>selección</w:t>
      </w:r>
      <w:r w:rsidRPr="005C2ED6">
        <w:rPr>
          <w:rFonts w:ascii="Arial" w:eastAsia="Times New Roman" w:hAnsi="Arial" w:cs="Arial"/>
          <w:sz w:val="21"/>
          <w:szCs w:val="21"/>
          <w:lang w:val="es-CO" w:eastAsia="es-MX"/>
        </w:rPr>
        <w:t xml:space="preserve"> de </w:t>
      </w:r>
      <w:r w:rsidR="00327272" w:rsidRPr="005C2ED6">
        <w:rPr>
          <w:rFonts w:ascii="Arial" w:eastAsia="Times New Roman" w:hAnsi="Arial" w:cs="Arial"/>
          <w:sz w:val="21"/>
          <w:szCs w:val="21"/>
          <w:lang w:val="es-CO" w:eastAsia="es-MX"/>
        </w:rPr>
        <w:t>licitación</w:t>
      </w:r>
      <w:r w:rsidRPr="005C2ED6">
        <w:rPr>
          <w:rFonts w:ascii="Arial" w:eastAsia="Times New Roman" w:hAnsi="Arial" w:cs="Arial"/>
          <w:sz w:val="21"/>
          <w:szCs w:val="21"/>
          <w:lang w:val="es-CO" w:eastAsia="es-MX"/>
        </w:rPr>
        <w:t xml:space="preserve"> </w:t>
      </w:r>
      <w:r w:rsidRPr="005C2ED6">
        <w:rPr>
          <w:rFonts w:ascii="Arial" w:eastAsia="Times New Roman" w:hAnsi="Arial" w:cs="Arial"/>
          <w:sz w:val="21"/>
          <w:szCs w:val="21"/>
          <w:lang w:val="es-CO" w:eastAsia="es-MX"/>
        </w:rPr>
        <w:lastRenderedPageBreak/>
        <w:t xml:space="preserve">de obra </w:t>
      </w:r>
      <w:r w:rsidR="00327272" w:rsidRPr="005C2ED6">
        <w:rPr>
          <w:rFonts w:ascii="Arial" w:eastAsia="Times New Roman" w:hAnsi="Arial" w:cs="Arial"/>
          <w:sz w:val="21"/>
          <w:szCs w:val="21"/>
          <w:lang w:val="es-CO" w:eastAsia="es-MX"/>
        </w:rPr>
        <w:t>p</w:t>
      </w:r>
      <w:r w:rsidR="00327272">
        <w:rPr>
          <w:rFonts w:ascii="Arial" w:eastAsia="Times New Roman" w:hAnsi="Arial" w:cs="Arial"/>
          <w:sz w:val="21"/>
          <w:szCs w:val="21"/>
          <w:lang w:val="es-CO" w:eastAsia="es-MX"/>
        </w:rPr>
        <w:t>ú</w:t>
      </w:r>
      <w:r w:rsidR="00327272" w:rsidRPr="005C2ED6">
        <w:rPr>
          <w:rFonts w:ascii="Arial" w:eastAsia="Times New Roman" w:hAnsi="Arial" w:cs="Arial"/>
          <w:sz w:val="21"/>
          <w:szCs w:val="21"/>
          <w:lang w:val="es-CO" w:eastAsia="es-MX"/>
        </w:rPr>
        <w:t>blica</w:t>
      </w:r>
      <w:r w:rsidRPr="005C2ED6">
        <w:rPr>
          <w:rFonts w:ascii="Arial" w:eastAsia="Times New Roman" w:hAnsi="Arial" w:cs="Arial"/>
          <w:sz w:val="21"/>
          <w:szCs w:val="21"/>
          <w:lang w:val="es-CO" w:eastAsia="es-MX"/>
        </w:rPr>
        <w:t xml:space="preserve"> de infraestructura de transporte, en el </w:t>
      </w:r>
      <w:r w:rsidR="00327272" w:rsidRPr="005C2ED6">
        <w:rPr>
          <w:rFonts w:ascii="Arial" w:eastAsia="Times New Roman" w:hAnsi="Arial" w:cs="Arial"/>
          <w:sz w:val="21"/>
          <w:szCs w:val="21"/>
          <w:lang w:val="es-CO" w:eastAsia="es-MX"/>
        </w:rPr>
        <w:t>artículo</w:t>
      </w:r>
      <w:r w:rsidRPr="005C2ED6">
        <w:rPr>
          <w:rFonts w:ascii="Arial" w:eastAsia="Times New Roman" w:hAnsi="Arial" w:cs="Arial"/>
          <w:sz w:val="21"/>
          <w:szCs w:val="21"/>
          <w:lang w:val="es-CO" w:eastAsia="es-MX"/>
        </w:rPr>
        <w:t xml:space="preserve"> 2.2.1.2.6.4 establece que las entidades contratantes no </w:t>
      </w:r>
      <w:r w:rsidR="00327272" w:rsidRPr="005C2ED6">
        <w:rPr>
          <w:rFonts w:ascii="Arial" w:eastAsia="Times New Roman" w:hAnsi="Arial" w:cs="Arial"/>
          <w:sz w:val="21"/>
          <w:szCs w:val="21"/>
          <w:lang w:val="es-CO" w:eastAsia="es-MX"/>
        </w:rPr>
        <w:t>podrán</w:t>
      </w:r>
      <w:r w:rsidRPr="005C2ED6">
        <w:rPr>
          <w:rFonts w:ascii="Arial" w:eastAsia="Times New Roman" w:hAnsi="Arial" w:cs="Arial"/>
          <w:sz w:val="21"/>
          <w:szCs w:val="21"/>
          <w:lang w:val="es-CO" w:eastAsia="es-MX"/>
        </w:rPr>
        <w:t xml:space="preserve"> incluir o modificar dentro de los Documentos del Proceso las condiciones habilitantes, los factores </w:t>
      </w:r>
      <w:r w:rsidR="00327272" w:rsidRPr="005C2ED6">
        <w:rPr>
          <w:rFonts w:ascii="Arial" w:eastAsia="Times New Roman" w:hAnsi="Arial" w:cs="Arial"/>
          <w:sz w:val="21"/>
          <w:szCs w:val="21"/>
          <w:lang w:val="es-CO" w:eastAsia="es-MX"/>
        </w:rPr>
        <w:t>técnicos</w:t>
      </w:r>
      <w:r w:rsidRPr="005C2ED6">
        <w:rPr>
          <w:rFonts w:ascii="Arial" w:eastAsia="Times New Roman" w:hAnsi="Arial" w:cs="Arial"/>
          <w:sz w:val="21"/>
          <w:szCs w:val="21"/>
          <w:lang w:val="es-CO" w:eastAsia="es-MX"/>
        </w:rPr>
        <w:t xml:space="preserve"> y </w:t>
      </w:r>
      <w:r w:rsidR="00327272" w:rsidRPr="005C2ED6">
        <w:rPr>
          <w:rFonts w:ascii="Arial" w:eastAsia="Times New Roman" w:hAnsi="Arial" w:cs="Arial"/>
          <w:sz w:val="21"/>
          <w:szCs w:val="21"/>
          <w:lang w:val="es-CO" w:eastAsia="es-MX"/>
        </w:rPr>
        <w:t>económicos</w:t>
      </w:r>
      <w:r w:rsidRPr="005C2ED6">
        <w:rPr>
          <w:rFonts w:ascii="Arial" w:eastAsia="Times New Roman" w:hAnsi="Arial" w:cs="Arial"/>
          <w:sz w:val="21"/>
          <w:szCs w:val="21"/>
          <w:lang w:val="es-CO" w:eastAsia="es-MX"/>
        </w:rPr>
        <w:t xml:space="preserve"> de escogencia y los sistemas de </w:t>
      </w:r>
      <w:r w:rsidR="00327272" w:rsidRPr="005C2ED6">
        <w:rPr>
          <w:rFonts w:ascii="Arial" w:eastAsia="Times New Roman" w:hAnsi="Arial" w:cs="Arial"/>
          <w:sz w:val="21"/>
          <w:szCs w:val="21"/>
          <w:lang w:val="es-CO" w:eastAsia="es-MX"/>
        </w:rPr>
        <w:t>ponderación</w:t>
      </w:r>
      <w:r w:rsidRPr="005C2ED6">
        <w:rPr>
          <w:rFonts w:ascii="Arial" w:eastAsia="Times New Roman" w:hAnsi="Arial" w:cs="Arial"/>
          <w:sz w:val="21"/>
          <w:szCs w:val="21"/>
          <w:lang w:val="es-CO" w:eastAsia="es-MX"/>
        </w:rPr>
        <w:t xml:space="preserve"> distintos a los </w:t>
      </w:r>
      <w:r w:rsidR="00327272" w:rsidRPr="005C2ED6">
        <w:rPr>
          <w:rFonts w:ascii="Arial" w:eastAsia="Times New Roman" w:hAnsi="Arial" w:cs="Arial"/>
          <w:sz w:val="21"/>
          <w:szCs w:val="21"/>
          <w:lang w:val="es-CO" w:eastAsia="es-MX"/>
        </w:rPr>
        <w:t>señalados</w:t>
      </w:r>
      <w:r w:rsidRPr="005C2ED6">
        <w:rPr>
          <w:rFonts w:ascii="Arial" w:eastAsia="Times New Roman" w:hAnsi="Arial" w:cs="Arial"/>
          <w:sz w:val="21"/>
          <w:szCs w:val="21"/>
          <w:lang w:val="es-CO" w:eastAsia="es-MX"/>
        </w:rPr>
        <w:t xml:space="preserve"> en los Documentos Tipo</w:t>
      </w:r>
      <w:r w:rsidR="005C180C" w:rsidRPr="005C2ED6">
        <w:rPr>
          <w:rFonts w:ascii="Arial" w:hAnsi="Arial" w:cs="Arial"/>
          <w:sz w:val="21"/>
          <w:szCs w:val="21"/>
        </w:rPr>
        <w:t>?</w:t>
      </w:r>
      <w:r w:rsidR="00F3681E" w:rsidRPr="005C2ED6">
        <w:rPr>
          <w:rFonts w:ascii="Arial" w:eastAsia="Calibri" w:hAnsi="Arial" w:cs="Arial"/>
          <w:sz w:val="21"/>
          <w:szCs w:val="21"/>
        </w:rPr>
        <w:t xml:space="preserve">». </w:t>
      </w:r>
    </w:p>
    <w:p w14:paraId="72CCDD54" w14:textId="77777777" w:rsidR="003F0E56" w:rsidRPr="005C2ED6" w:rsidRDefault="003F0E56" w:rsidP="005C2ED6">
      <w:pPr>
        <w:pStyle w:val="Prrafodelista"/>
        <w:spacing w:before="100" w:beforeAutospacing="1" w:after="100" w:afterAutospacing="1"/>
        <w:ind w:left="1080"/>
        <w:jc w:val="both"/>
        <w:rPr>
          <w:rFonts w:ascii="Times New Roman" w:eastAsia="Times New Roman" w:hAnsi="Times New Roman" w:cs="Times New Roman"/>
          <w:szCs w:val="24"/>
          <w:lang w:val="es-CO" w:eastAsia="es-MX"/>
        </w:rPr>
      </w:pPr>
    </w:p>
    <w:p w14:paraId="0FCD980D" w14:textId="2BF3B09B" w:rsidR="00C33A69" w:rsidRPr="00830F50" w:rsidRDefault="00C33A69" w:rsidP="00684DE6">
      <w:pPr>
        <w:pStyle w:val="Prrafodelista"/>
        <w:numPr>
          <w:ilvl w:val="0"/>
          <w:numId w:val="11"/>
        </w:numPr>
        <w:ind w:left="0" w:firstLine="0"/>
        <w:rPr>
          <w:rFonts w:ascii="Arial" w:eastAsia="Calibri" w:hAnsi="Arial" w:cs="Arial"/>
          <w:sz w:val="22"/>
        </w:rPr>
      </w:pPr>
      <w:r w:rsidRPr="00830F50">
        <w:rPr>
          <w:rFonts w:ascii="Arial" w:eastAsia="Calibri" w:hAnsi="Arial" w:cs="Arial"/>
          <w:b/>
          <w:sz w:val="22"/>
        </w:rPr>
        <w:t>Consideraciones</w:t>
      </w:r>
    </w:p>
    <w:p w14:paraId="099E4395" w14:textId="77777777" w:rsidR="00C33A69" w:rsidRPr="00830F50" w:rsidRDefault="00C33A69" w:rsidP="00843442">
      <w:pPr>
        <w:pStyle w:val="Prrafodelista"/>
        <w:ind w:left="284"/>
        <w:jc w:val="both"/>
        <w:rPr>
          <w:rFonts w:ascii="Arial" w:eastAsia="Calibri" w:hAnsi="Arial" w:cs="Arial"/>
          <w:sz w:val="22"/>
        </w:rPr>
      </w:pPr>
    </w:p>
    <w:p w14:paraId="2DFB17AA" w14:textId="77777777" w:rsidR="002116C0" w:rsidRDefault="002116C0" w:rsidP="002116C0">
      <w:pPr>
        <w:spacing w:before="120" w:after="120" w:line="276" w:lineRule="auto"/>
        <w:jc w:val="both"/>
        <w:rPr>
          <w:rFonts w:ascii="Arial" w:hAnsi="Arial" w:cs="Arial"/>
          <w:bCs/>
          <w:sz w:val="22"/>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5F9980E" w14:textId="77777777" w:rsidR="00471F6D" w:rsidRDefault="002116C0" w:rsidP="00471F6D">
      <w:pPr>
        <w:tabs>
          <w:tab w:val="left" w:pos="426"/>
        </w:tabs>
        <w:spacing w:before="120" w:after="120" w:line="276" w:lineRule="auto"/>
        <w:jc w:val="both"/>
        <w:rPr>
          <w:rFonts w:ascii="Arial" w:eastAsia="Calibri" w:hAnsi="Arial" w:cs="Arial"/>
          <w:bCs/>
          <w:sz w:val="22"/>
        </w:rPr>
      </w:pPr>
      <w:r>
        <w:rPr>
          <w:rFonts w:ascii="Arial" w:hAnsi="Arial" w:cs="Arial"/>
          <w:sz w:val="22"/>
          <w:lang w:val="es-ES"/>
        </w:rPr>
        <w:tab/>
      </w:r>
      <w:r>
        <w:rPr>
          <w:rFonts w:ascii="Arial" w:hAnsi="Arial" w:cs="Arial"/>
          <w:sz w:val="22"/>
          <w:lang w:val="es-ES"/>
        </w:rPr>
        <w:tab/>
        <w:t>Es necesario tener en cuenta que esta entidad solo tiene competencia para responder solicitudes sobre la aplicación de normas de carácter general en materia de compras y contratación pública</w:t>
      </w:r>
      <w:r w:rsidRPr="00162BC5">
        <w:rPr>
          <w:rFonts w:ascii="Arial" w:hAnsi="Arial" w:cs="Arial"/>
          <w:sz w:val="22"/>
          <w:vertAlign w:val="superscript"/>
          <w:lang w:val="es-ES"/>
        </w:rPr>
        <w:footnoteReference w:id="1"/>
      </w:r>
      <w:r>
        <w:rPr>
          <w:rFonts w:ascii="Arial" w:hAnsi="Arial" w:cs="Arial"/>
          <w:sz w:val="22"/>
          <w:lang w:val="es-ES"/>
        </w:rPr>
        <w:t xml:space="preserve">. Esta </w:t>
      </w:r>
      <w:r w:rsidRPr="00162BC5">
        <w:rPr>
          <w:rFonts w:ascii="Arial" w:hAnsi="Arial" w:cs="Arial"/>
          <w:sz w:val="22"/>
          <w:lang w:val="es-ES"/>
        </w:rPr>
        <w:t>se fija con límites claros, con el objeto de evitar que la Agencia actúe como una instancia de validación de las actuaciones de las entidades sujetas a la Ley 80 de 1993 o de los demás participantes de la contratación pública</w:t>
      </w:r>
      <w:r>
        <w:rPr>
          <w:rFonts w:ascii="Arial" w:hAnsi="Arial" w:cs="Arial"/>
          <w:sz w:val="22"/>
          <w:lang w:val="es-ES"/>
        </w:rPr>
        <w:t>.</w:t>
      </w:r>
    </w:p>
    <w:p w14:paraId="1581C8B9" w14:textId="2C610230" w:rsidR="005C180C" w:rsidRPr="00471F6D" w:rsidRDefault="00471F6D" w:rsidP="00471F6D">
      <w:pPr>
        <w:tabs>
          <w:tab w:val="left" w:pos="426"/>
        </w:tabs>
        <w:spacing w:before="120" w:after="120" w:line="276" w:lineRule="auto"/>
        <w:jc w:val="both"/>
        <w:rPr>
          <w:rFonts w:ascii="Arial" w:eastAsia="Calibri" w:hAnsi="Arial" w:cs="Arial"/>
          <w:bCs/>
          <w:sz w:val="22"/>
        </w:rPr>
      </w:pPr>
      <w:r>
        <w:rPr>
          <w:rFonts w:ascii="Arial" w:eastAsia="Calibri" w:hAnsi="Arial" w:cs="Arial"/>
          <w:bCs/>
          <w:sz w:val="22"/>
        </w:rPr>
        <w:tab/>
      </w:r>
      <w:r>
        <w:rPr>
          <w:rFonts w:ascii="Arial" w:eastAsia="Calibri" w:hAnsi="Arial" w:cs="Arial"/>
          <w:bCs/>
          <w:sz w:val="22"/>
        </w:rPr>
        <w:tab/>
      </w:r>
      <w:r w:rsidR="002116C0">
        <w:rPr>
          <w:rFonts w:ascii="Arial" w:eastAsia="Calibri" w:hAnsi="Arial" w:cs="Arial"/>
          <w:color w:val="000000" w:themeColor="text1"/>
          <w:sz w:val="22"/>
          <w:lang w:val="es-ES"/>
        </w:rPr>
        <w:t xml:space="preserve">Por ello, la Agencia –dentro de los límites de sus atribuciones– resolverá la consulta conforme a las normas generales en materia de contratación estatal. </w:t>
      </w:r>
      <w:r>
        <w:rPr>
          <w:rFonts w:ascii="Arial" w:eastAsia="Calibri" w:hAnsi="Arial" w:cs="Arial"/>
          <w:sz w:val="22"/>
        </w:rPr>
        <w:t xml:space="preserve">Con este objetivo se </w:t>
      </w:r>
      <w:r w:rsidR="00830F50" w:rsidRPr="00830F50">
        <w:rPr>
          <w:rFonts w:ascii="Arial" w:eastAsia="Calibri" w:hAnsi="Arial" w:cs="Arial"/>
          <w:sz w:val="22"/>
        </w:rPr>
        <w:t>abordarán los siguientes temas</w:t>
      </w:r>
      <w:r w:rsidR="0061648F" w:rsidRPr="00830F50">
        <w:rPr>
          <w:rFonts w:ascii="Arial" w:eastAsia="Calibri" w:hAnsi="Arial" w:cs="Arial"/>
          <w:sz w:val="22"/>
        </w:rPr>
        <w:t>:</w:t>
      </w:r>
      <w:r w:rsidR="00C33A69" w:rsidRPr="00830F50">
        <w:rPr>
          <w:rFonts w:ascii="Arial" w:eastAsia="Calibri" w:hAnsi="Arial" w:cs="Arial"/>
          <w:sz w:val="22"/>
        </w:rPr>
        <w:t xml:space="preserve"> </w:t>
      </w:r>
      <w:r w:rsidR="005C180C" w:rsidRPr="00830F50">
        <w:rPr>
          <w:rFonts w:ascii="Arial" w:eastAsia="Calibri" w:hAnsi="Arial" w:cs="Arial"/>
          <w:sz w:val="22"/>
        </w:rPr>
        <w:t>i)</w:t>
      </w:r>
      <w:r w:rsidR="00830F50" w:rsidRPr="00830F50">
        <w:rPr>
          <w:rFonts w:ascii="Arial" w:eastAsia="Calibri" w:hAnsi="Arial" w:cs="Arial"/>
          <w:sz w:val="22"/>
        </w:rPr>
        <w:t xml:space="preserve"> </w:t>
      </w:r>
      <w:r w:rsidR="00327272">
        <w:rPr>
          <w:rFonts w:ascii="Arial" w:eastAsia="Calibri" w:hAnsi="Arial" w:cs="Arial"/>
          <w:sz w:val="22"/>
        </w:rPr>
        <w:t>régimen de inhabilidades e incompatibilidades para contratar con el Estado, ii) alcance del régimen de inhabilidades e incompatibilidades en la contratación estatal, iii) afiliación al Sistema de Seguridad Social Integral y verificación de pago de aportes al presentar la propuesta</w:t>
      </w:r>
      <w:r w:rsidR="00A82B05">
        <w:rPr>
          <w:rFonts w:ascii="Arial" w:eastAsia="Calibri" w:hAnsi="Arial" w:cs="Arial"/>
          <w:sz w:val="22"/>
        </w:rPr>
        <w:t xml:space="preserve"> y iv) taxatividad e inalterabilidad de las causales de rechazo.</w:t>
      </w:r>
    </w:p>
    <w:p w14:paraId="61DCBE23" w14:textId="3AE6AE12" w:rsidR="00327272" w:rsidRDefault="00471F6D" w:rsidP="005C2ED6">
      <w:pPr>
        <w:spacing w:line="276" w:lineRule="auto"/>
        <w:ind w:firstLine="708"/>
        <w:jc w:val="both"/>
        <w:rPr>
          <w:rFonts w:ascii="Arial" w:eastAsia="Calibri" w:hAnsi="Arial" w:cs="Arial"/>
          <w:sz w:val="22"/>
        </w:rPr>
      </w:pPr>
      <w:r>
        <w:rPr>
          <w:rFonts w:ascii="Arial" w:hAnsi="Arial" w:cs="Arial"/>
          <w:sz w:val="22"/>
        </w:rPr>
        <w:t xml:space="preserve">Esta </w:t>
      </w:r>
      <w:r w:rsidR="00327272" w:rsidRPr="003953CA">
        <w:rPr>
          <w:rFonts w:ascii="Arial" w:hAnsi="Arial" w:cs="Arial"/>
          <w:sz w:val="22"/>
        </w:rPr>
        <w:t xml:space="preserve">Agencia, en ejercicio de </w:t>
      </w:r>
      <w:r w:rsidR="00327272">
        <w:rPr>
          <w:rFonts w:ascii="Arial" w:hAnsi="Arial" w:cs="Arial"/>
          <w:sz w:val="22"/>
        </w:rPr>
        <w:t>su competencia</w:t>
      </w:r>
      <w:r w:rsidR="00327272" w:rsidRPr="003953CA">
        <w:rPr>
          <w:rFonts w:ascii="Arial" w:hAnsi="Arial" w:cs="Arial"/>
          <w:sz w:val="22"/>
        </w:rPr>
        <w:t xml:space="preserve"> consultiva, ha estudiado </w:t>
      </w:r>
      <w:r w:rsidR="00327272" w:rsidRPr="003953CA">
        <w:rPr>
          <w:rFonts w:ascii="Arial" w:eastAsia="Calibri" w:hAnsi="Arial" w:cs="Arial"/>
          <w:sz w:val="22"/>
        </w:rPr>
        <w:t xml:space="preserve">la naturaleza jurídica del régimen de inhabilidades e incompatibilidades para contratar con el Estado, </w:t>
      </w:r>
      <w:r w:rsidR="00327272">
        <w:rPr>
          <w:rFonts w:ascii="Arial" w:eastAsia="Calibri" w:hAnsi="Arial" w:cs="Arial"/>
          <w:sz w:val="22"/>
        </w:rPr>
        <w:t>señalando que</w:t>
      </w:r>
      <w:r w:rsidR="00327272" w:rsidRPr="003953CA">
        <w:rPr>
          <w:rFonts w:ascii="Arial" w:eastAsia="Calibri" w:hAnsi="Arial" w:cs="Arial"/>
          <w:sz w:val="22"/>
        </w:rPr>
        <w:t xml:space="preserve"> constituyen un límite a la capacidad contractual</w:t>
      </w:r>
      <w:r w:rsidR="00327272">
        <w:rPr>
          <w:rFonts w:ascii="Arial" w:eastAsia="Calibri" w:hAnsi="Arial" w:cs="Arial"/>
          <w:sz w:val="22"/>
        </w:rPr>
        <w:t>; además de ello, ha profundizado en la forma de interpretación de estas restricciones</w:t>
      </w:r>
      <w:r w:rsidR="00327272" w:rsidRPr="003953CA">
        <w:rPr>
          <w:rFonts w:ascii="Arial" w:eastAsia="Calibri" w:hAnsi="Arial" w:cs="Arial"/>
          <w:sz w:val="22"/>
        </w:rPr>
        <w:t xml:space="preserve">. </w:t>
      </w:r>
      <w:r w:rsidR="00327272">
        <w:rPr>
          <w:rFonts w:ascii="Arial" w:eastAsia="Calibri" w:hAnsi="Arial" w:cs="Arial"/>
          <w:sz w:val="22"/>
        </w:rPr>
        <w:t xml:space="preserve">Dicho estudio </w:t>
      </w:r>
      <w:r w:rsidR="00327272" w:rsidRPr="003953CA">
        <w:rPr>
          <w:rFonts w:ascii="Arial" w:eastAsia="Calibri" w:hAnsi="Arial" w:cs="Arial"/>
          <w:sz w:val="22"/>
        </w:rPr>
        <w:t xml:space="preserve">se </w:t>
      </w:r>
      <w:r w:rsidR="00327272">
        <w:rPr>
          <w:rFonts w:ascii="Arial" w:eastAsia="Calibri" w:hAnsi="Arial" w:cs="Arial"/>
          <w:sz w:val="22"/>
        </w:rPr>
        <w:t xml:space="preserve">puede apreciar </w:t>
      </w:r>
      <w:r w:rsidR="00327272" w:rsidRPr="003953CA">
        <w:rPr>
          <w:rFonts w:ascii="Arial" w:eastAsia="Calibri" w:hAnsi="Arial" w:cs="Arial"/>
          <w:sz w:val="22"/>
        </w:rPr>
        <w:t xml:space="preserve">en los conceptos con radicados No. 4201912000004765 de 29 de agosto de 2019, 4201913000005694 del 3 de octubre de 2019, 4201912000006288 del 7 de septiembre de </w:t>
      </w:r>
      <w:r w:rsidR="00327272" w:rsidRPr="003953CA">
        <w:rPr>
          <w:rFonts w:ascii="Arial" w:eastAsia="Calibri" w:hAnsi="Arial" w:cs="Arial"/>
          <w:sz w:val="22"/>
        </w:rPr>
        <w:lastRenderedPageBreak/>
        <w:t>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w:t>
      </w:r>
      <w:r w:rsidR="00327272">
        <w:rPr>
          <w:rFonts w:ascii="Arial" w:eastAsia="Calibri" w:hAnsi="Arial" w:cs="Arial"/>
          <w:sz w:val="22"/>
        </w:rPr>
        <w:t xml:space="preserve"> </w:t>
      </w:r>
      <w:r w:rsidR="00327272" w:rsidRPr="003953CA">
        <w:rPr>
          <w:rFonts w:ascii="Arial" w:eastAsia="Calibri" w:hAnsi="Arial" w:cs="Arial"/>
          <w:sz w:val="22"/>
        </w:rPr>
        <w:t>2020, C−032 de</w:t>
      </w:r>
      <w:r w:rsidR="00327272">
        <w:rPr>
          <w:rFonts w:ascii="Arial" w:eastAsia="Calibri" w:hAnsi="Arial" w:cs="Arial"/>
          <w:sz w:val="22"/>
        </w:rPr>
        <w:t>l</w:t>
      </w:r>
      <w:r w:rsidR="00327272" w:rsidRPr="003953CA">
        <w:rPr>
          <w:rFonts w:ascii="Arial" w:eastAsia="Calibri" w:hAnsi="Arial" w:cs="Arial"/>
          <w:sz w:val="22"/>
        </w:rPr>
        <w:t xml:space="preserve"> 19 de febrero de 2020,  C−402 del 26 de junio de 2020, C−365 del 30 de junio de 2020, C−386 del 24 de julio de 2020, C-585 del 14 de septiembre de 2020, C</w:t>
      </w:r>
      <w:r w:rsidR="00327272">
        <w:rPr>
          <w:rFonts w:ascii="Arial" w:eastAsia="Calibri" w:hAnsi="Arial" w:cs="Arial"/>
          <w:sz w:val="22"/>
        </w:rPr>
        <w:t>–</w:t>
      </w:r>
      <w:r w:rsidR="00327272" w:rsidRPr="003953CA">
        <w:rPr>
          <w:rFonts w:ascii="Arial" w:eastAsia="Calibri" w:hAnsi="Arial" w:cs="Arial"/>
          <w:sz w:val="22"/>
        </w:rPr>
        <w:t>592 del 14 de septiembre de 2020, C−551 de 24 de septiembre de 2020, C−709 del 7 de diciembre de 2020, C</w:t>
      </w:r>
      <w:r w:rsidR="00327272">
        <w:rPr>
          <w:rFonts w:ascii="Arial" w:eastAsia="Calibri" w:hAnsi="Arial" w:cs="Arial"/>
          <w:sz w:val="22"/>
        </w:rPr>
        <w:t>–</w:t>
      </w:r>
      <w:r w:rsidR="00327272" w:rsidRPr="003953CA">
        <w:rPr>
          <w:rFonts w:ascii="Arial" w:eastAsia="Calibri" w:hAnsi="Arial" w:cs="Arial"/>
          <w:sz w:val="22"/>
        </w:rPr>
        <w:t>721 de 14 de diciembre de 2020, C</w:t>
      </w:r>
      <w:r w:rsidR="00327272">
        <w:rPr>
          <w:rFonts w:ascii="Arial" w:eastAsia="Calibri" w:hAnsi="Arial" w:cs="Arial"/>
          <w:sz w:val="22"/>
        </w:rPr>
        <w:t>–</w:t>
      </w:r>
      <w:r w:rsidR="00327272" w:rsidRPr="003953CA">
        <w:rPr>
          <w:rFonts w:ascii="Arial" w:eastAsia="Calibri" w:hAnsi="Arial" w:cs="Arial"/>
          <w:sz w:val="22"/>
        </w:rPr>
        <w:t xml:space="preserve">004 del 12 de febrero de 2021, </w:t>
      </w:r>
      <w:r w:rsidR="00327272">
        <w:rPr>
          <w:rFonts w:ascii="Arial" w:eastAsia="Calibri" w:hAnsi="Arial" w:cs="Arial"/>
          <w:sz w:val="22"/>
        </w:rPr>
        <w:t xml:space="preserve">C–815 del 18 de febrero de 2021, </w:t>
      </w:r>
      <w:r w:rsidR="00327272" w:rsidRPr="003953CA">
        <w:rPr>
          <w:rFonts w:ascii="Arial" w:eastAsia="Calibri" w:hAnsi="Arial" w:cs="Arial"/>
          <w:sz w:val="22"/>
        </w:rPr>
        <w:t>C</w:t>
      </w:r>
      <w:r w:rsidR="00327272">
        <w:rPr>
          <w:rFonts w:ascii="Arial" w:eastAsia="Calibri" w:hAnsi="Arial" w:cs="Arial"/>
          <w:sz w:val="22"/>
        </w:rPr>
        <w:t>–</w:t>
      </w:r>
      <w:r w:rsidR="00327272" w:rsidRPr="003953CA">
        <w:rPr>
          <w:rFonts w:ascii="Arial" w:eastAsia="Calibri" w:hAnsi="Arial" w:cs="Arial"/>
          <w:sz w:val="22"/>
        </w:rPr>
        <w:t>047 del 8 de marzo de 2021, C</w:t>
      </w:r>
      <w:r w:rsidR="00327272">
        <w:rPr>
          <w:rFonts w:ascii="Arial" w:eastAsia="Calibri" w:hAnsi="Arial" w:cs="Arial"/>
          <w:sz w:val="22"/>
        </w:rPr>
        <w:t>–</w:t>
      </w:r>
      <w:r w:rsidR="00327272" w:rsidRPr="003953CA">
        <w:rPr>
          <w:rFonts w:ascii="Arial" w:eastAsia="Calibri" w:hAnsi="Arial" w:cs="Arial"/>
          <w:sz w:val="22"/>
        </w:rPr>
        <w:t>113 del 30 de marzo de 2021, C</w:t>
      </w:r>
      <w:r w:rsidR="00327272">
        <w:rPr>
          <w:rFonts w:ascii="Arial" w:eastAsia="Calibri" w:hAnsi="Arial" w:cs="Arial"/>
          <w:sz w:val="22"/>
        </w:rPr>
        <w:t>–</w:t>
      </w:r>
      <w:r w:rsidR="00327272" w:rsidRPr="003953CA">
        <w:rPr>
          <w:rFonts w:ascii="Arial" w:eastAsia="Calibri" w:hAnsi="Arial" w:cs="Arial"/>
          <w:sz w:val="22"/>
        </w:rPr>
        <w:t>122 del 30 de marzo de 2021, C</w:t>
      </w:r>
      <w:r w:rsidR="00327272">
        <w:rPr>
          <w:rFonts w:ascii="Arial" w:eastAsia="Calibri" w:hAnsi="Arial" w:cs="Arial"/>
          <w:sz w:val="22"/>
        </w:rPr>
        <w:t>–</w:t>
      </w:r>
      <w:r w:rsidR="00327272" w:rsidRPr="003953CA">
        <w:rPr>
          <w:rFonts w:ascii="Arial" w:eastAsia="Calibri" w:hAnsi="Arial" w:cs="Arial"/>
          <w:sz w:val="22"/>
        </w:rPr>
        <w:t>178 del 28 de abril de 2021</w:t>
      </w:r>
      <w:r w:rsidR="00AD5F09">
        <w:rPr>
          <w:rFonts w:ascii="Arial" w:eastAsia="Calibri" w:hAnsi="Arial" w:cs="Arial"/>
          <w:sz w:val="22"/>
        </w:rPr>
        <w:t xml:space="preserve"> y C-449 del 31 de agosto de 2021,</w:t>
      </w:r>
      <w:r w:rsidR="00327272" w:rsidRPr="003953CA">
        <w:rPr>
          <w:rFonts w:ascii="Arial" w:eastAsia="Calibri" w:hAnsi="Arial" w:cs="Arial"/>
          <w:sz w:val="22"/>
        </w:rPr>
        <w:t xml:space="preserve"> entre otros. Algunos de los argumentos expuestos en estos conceptos se retoman a continuación</w:t>
      </w:r>
      <w:r>
        <w:rPr>
          <w:rFonts w:ascii="Arial" w:eastAsia="Calibri" w:hAnsi="Arial" w:cs="Arial"/>
          <w:sz w:val="22"/>
        </w:rPr>
        <w:t xml:space="preserve"> y se precisarán en lo pertinente</w:t>
      </w:r>
      <w:r w:rsidR="00327272">
        <w:rPr>
          <w:rFonts w:ascii="Arial" w:eastAsia="Calibri" w:hAnsi="Arial" w:cs="Arial"/>
          <w:sz w:val="22"/>
        </w:rPr>
        <w:t>:</w:t>
      </w:r>
      <w:r w:rsidR="00327272" w:rsidRPr="003953CA">
        <w:rPr>
          <w:rFonts w:ascii="Arial" w:eastAsia="Calibri" w:hAnsi="Arial" w:cs="Arial"/>
          <w:sz w:val="22"/>
        </w:rPr>
        <w:t xml:space="preserve"> </w:t>
      </w:r>
    </w:p>
    <w:p w14:paraId="061BBF06" w14:textId="77777777" w:rsidR="00327272" w:rsidRDefault="00327272" w:rsidP="00327272">
      <w:pPr>
        <w:rPr>
          <w:rFonts w:ascii="Arial" w:eastAsia="Calibri" w:hAnsi="Arial" w:cs="Arial"/>
          <w:sz w:val="22"/>
        </w:rPr>
      </w:pPr>
    </w:p>
    <w:p w14:paraId="5284C6BE" w14:textId="1EBBEDCD" w:rsidR="00AD5F09" w:rsidRPr="00AD5F09" w:rsidRDefault="00AD5F09" w:rsidP="00AD5F09">
      <w:pPr>
        <w:tabs>
          <w:tab w:val="left" w:pos="426"/>
        </w:tabs>
        <w:spacing w:line="276" w:lineRule="auto"/>
        <w:jc w:val="both"/>
        <w:rPr>
          <w:rFonts w:ascii="Arial" w:eastAsia="Calibri" w:hAnsi="Arial" w:cs="Arial"/>
          <w:b/>
          <w:sz w:val="22"/>
          <w:szCs w:val="22"/>
          <w:lang w:val="es-ES_tradnl" w:eastAsia="en-US"/>
        </w:rPr>
      </w:pPr>
      <w:r w:rsidRPr="00AD5F09">
        <w:rPr>
          <w:rFonts w:ascii="Arial" w:eastAsia="Calibri" w:hAnsi="Arial" w:cs="Arial"/>
          <w:b/>
          <w:sz w:val="22"/>
          <w:szCs w:val="22"/>
          <w:lang w:val="es-ES_tradnl" w:eastAsia="en-US"/>
        </w:rPr>
        <w:t xml:space="preserve">2.1. Régimen de inhabilidades e incompatibilidades en la contratación estatal: un límite a la capacidad contractual. La interpretación restrictiva como criterio hermenéutico de los enunciados normativos gravosos y la reserva de ley </w:t>
      </w:r>
    </w:p>
    <w:p w14:paraId="4AC95AF0" w14:textId="77777777" w:rsidR="00AD5F09" w:rsidRPr="00AD5F09" w:rsidRDefault="00AD5F09" w:rsidP="00AD5F09">
      <w:pPr>
        <w:tabs>
          <w:tab w:val="left" w:pos="426"/>
        </w:tabs>
        <w:spacing w:line="276" w:lineRule="auto"/>
        <w:jc w:val="both"/>
        <w:rPr>
          <w:rFonts w:ascii="Arial" w:eastAsia="Calibri" w:hAnsi="Arial" w:cs="Arial"/>
          <w:b/>
          <w:sz w:val="22"/>
          <w:szCs w:val="22"/>
          <w:lang w:val="es-ES_tradnl" w:eastAsia="en-US"/>
        </w:rPr>
      </w:pPr>
    </w:p>
    <w:p w14:paraId="29B282F4" w14:textId="77777777" w:rsidR="00AD5F09" w:rsidRPr="00AD5F09" w:rsidRDefault="00AD5F09" w:rsidP="00AD5F09">
      <w:pPr>
        <w:spacing w:after="120" w:line="276" w:lineRule="auto"/>
        <w:jc w:val="both"/>
        <w:rPr>
          <w:rFonts w:ascii="Arial" w:eastAsia="Arial" w:hAnsi="Arial" w:cs="Arial"/>
          <w:color w:val="000000"/>
          <w:sz w:val="22"/>
          <w:szCs w:val="22"/>
          <w:lang w:val="es-ES_tradnl" w:eastAsia="en-US"/>
        </w:rPr>
      </w:pPr>
      <w:r w:rsidRPr="00AD5F09">
        <w:rPr>
          <w:rFonts w:ascii="Arial" w:eastAsia="Arial" w:hAnsi="Arial" w:cs="Arial"/>
          <w:color w:val="000000"/>
          <w:sz w:val="22"/>
          <w:szCs w:val="22"/>
          <w:lang w:val="es-ES_tradnl" w:eastAsia="en-US"/>
        </w:rPr>
        <w:t xml:space="preserve">En la contratación estatal, la </w:t>
      </w:r>
      <w:r w:rsidRPr="00AD5F09">
        <w:rPr>
          <w:rFonts w:ascii="Arial" w:eastAsia="Arial" w:hAnsi="Arial" w:cs="Arial"/>
          <w:i/>
          <w:iCs/>
          <w:color w:val="000000"/>
          <w:sz w:val="22"/>
          <w:szCs w:val="22"/>
          <w:lang w:val="es-ES_tradnl" w:eastAsia="en-US"/>
        </w:rPr>
        <w:t>capacidad</w:t>
      </w:r>
      <w:r w:rsidRPr="00AD5F09">
        <w:rPr>
          <w:rFonts w:ascii="Arial" w:eastAsia="Arial" w:hAnsi="Arial" w:cs="Arial"/>
          <w:color w:val="000000"/>
          <w:sz w:val="22"/>
          <w:szCs w:val="22"/>
          <w:lang w:val="es-ES_tradnl" w:eastAsia="en-US"/>
        </w:rPr>
        <w:t xml:space="preserve"> </w:t>
      </w:r>
      <w:r w:rsidRPr="00AD5F09">
        <w:rPr>
          <w:rFonts w:ascii="Arial" w:eastAsia="Arial" w:hAnsi="Arial" w:cs="Arial"/>
          <w:i/>
          <w:iCs/>
          <w:color w:val="000000"/>
          <w:sz w:val="22"/>
          <w:szCs w:val="22"/>
          <w:lang w:val="es-ES_tradnl" w:eastAsia="en-US"/>
        </w:rPr>
        <w:t>jurídica</w:t>
      </w:r>
      <w:r w:rsidRPr="00AD5F09">
        <w:rPr>
          <w:rFonts w:ascii="Arial" w:eastAsia="Arial" w:hAnsi="Arial" w:cs="Arial"/>
          <w:color w:val="000000"/>
          <w:sz w:val="22"/>
          <w:szCs w:val="22"/>
          <w:lang w:val="es-ES_tradnl" w:eastAsia="en-US"/>
        </w:rPr>
        <w:t xml:space="preserve"> también es un requisito de validez de los contratos, tanto en el régimen de las entidades sujetas al Estatuto General de Contratación de la Administración Pública</w:t>
      </w:r>
      <w:r w:rsidRPr="00AD5F09">
        <w:rPr>
          <w:rFonts w:ascii="Arial" w:eastAsia="Arial" w:hAnsi="Arial" w:cs="Arial"/>
          <w:color w:val="000000"/>
          <w:sz w:val="22"/>
          <w:szCs w:val="22"/>
          <w:vertAlign w:val="superscript"/>
          <w:lang w:val="es-ES_tradnl" w:eastAsia="en-US"/>
        </w:rPr>
        <w:footnoteReference w:id="2"/>
      </w:r>
      <w:r w:rsidRPr="00AD5F09">
        <w:rPr>
          <w:rFonts w:ascii="Arial" w:eastAsia="Arial" w:hAnsi="Arial" w:cs="Arial"/>
          <w:color w:val="000000"/>
          <w:sz w:val="22"/>
          <w:szCs w:val="22"/>
          <w:lang w:val="es-ES_tradnl" w:eastAsia="en-US"/>
        </w:rPr>
        <w:t>, como en el de las entidades exceptuadas de aquel</w:t>
      </w:r>
      <w:r w:rsidRPr="00AD5F09">
        <w:rPr>
          <w:rFonts w:ascii="Arial" w:eastAsia="Arial" w:hAnsi="Arial" w:cs="Arial"/>
          <w:color w:val="000000"/>
          <w:sz w:val="22"/>
          <w:szCs w:val="22"/>
          <w:vertAlign w:val="superscript"/>
          <w:lang w:val="es-ES_tradnl" w:eastAsia="en-US"/>
        </w:rPr>
        <w:footnoteReference w:id="3"/>
      </w:r>
      <w:r w:rsidRPr="00AD5F09">
        <w:rPr>
          <w:rFonts w:ascii="Arial" w:eastAsia="Arial" w:hAnsi="Arial" w:cs="Arial"/>
          <w:color w:val="000000"/>
          <w:sz w:val="22"/>
          <w:szCs w:val="22"/>
          <w:lang w:val="es-ES_tradnl" w:eastAsia="en-US"/>
        </w:rPr>
        <w:t>. Si bien 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AD5F09">
        <w:rPr>
          <w:rFonts w:ascii="Arial" w:eastAsia="Arial" w:hAnsi="Arial" w:cs="Arial"/>
          <w:color w:val="000000"/>
          <w:sz w:val="22"/>
          <w:szCs w:val="22"/>
          <w:vertAlign w:val="superscript"/>
          <w:lang w:val="es-ES_tradnl" w:eastAsia="en-US"/>
        </w:rPr>
        <w:footnoteReference w:id="4"/>
      </w:r>
      <w:r w:rsidRPr="00AD5F09">
        <w:rPr>
          <w:rFonts w:ascii="Arial" w:eastAsia="Arial" w:hAnsi="Arial" w:cs="Arial"/>
          <w:color w:val="000000"/>
          <w:sz w:val="22"/>
          <w:szCs w:val="22"/>
          <w:lang w:val="es-ES_tradnl" w:eastAsia="en-US"/>
        </w:rPr>
        <w:t>.</w:t>
      </w:r>
    </w:p>
    <w:p w14:paraId="40569558" w14:textId="77777777" w:rsidR="00AD5F09" w:rsidRPr="00AD5F09" w:rsidRDefault="00AD5F09" w:rsidP="00AD5F09">
      <w:pPr>
        <w:spacing w:after="120" w:line="276" w:lineRule="auto"/>
        <w:ind w:firstLine="709"/>
        <w:jc w:val="both"/>
        <w:rPr>
          <w:rFonts w:ascii="Arial" w:eastAsia="Arial" w:hAnsi="Arial" w:cs="Arial"/>
          <w:color w:val="000000"/>
          <w:sz w:val="22"/>
          <w:szCs w:val="22"/>
          <w:lang w:val="es-ES_tradnl" w:eastAsia="en-US"/>
        </w:rPr>
      </w:pPr>
      <w:r w:rsidRPr="00AD5F09">
        <w:rPr>
          <w:rFonts w:ascii="Arial" w:eastAsia="Arial" w:hAnsi="Arial" w:cs="Arial"/>
          <w:color w:val="000000"/>
          <w:sz w:val="22"/>
          <w:szCs w:val="22"/>
          <w:lang w:val="es-ES_tradnl" w:eastAsia="en-US"/>
        </w:rPr>
        <w:lastRenderedPageBreak/>
        <w:t>Las inhabilidades son prohibiciones para concurrir en los procedimientos de selección y para contratar con el Estado, que se derivan i) de la existencia de comportamientos reprochables de sanciones anteriormente impuestas, ii) de vínculos personales relativos al parentesco o al estado civil</w:t>
      </w:r>
      <w:r w:rsidRPr="00AD5F09">
        <w:rPr>
          <w:rFonts w:ascii="Arial" w:eastAsia="Arial" w:hAnsi="Arial" w:cs="Arial"/>
          <w:color w:val="000000"/>
          <w:sz w:val="22"/>
          <w:szCs w:val="22"/>
          <w:vertAlign w:val="superscript"/>
          <w:lang w:val="es-ES_tradnl" w:eastAsia="en-US"/>
        </w:rPr>
        <w:t xml:space="preserve"> </w:t>
      </w:r>
      <w:r w:rsidRPr="00AD5F09">
        <w:rPr>
          <w:rFonts w:ascii="Arial" w:eastAsia="Arial" w:hAnsi="Arial" w:cs="Arial"/>
          <w:color w:val="000000"/>
          <w:sz w:val="22"/>
          <w:szCs w:val="22"/>
          <w:lang w:val="es-ES_tradnl" w:eastAsia="en-US"/>
        </w:rPr>
        <w:t>o iii) de una actividad u oficio que se desempeñó en el pasado.</w:t>
      </w:r>
    </w:p>
    <w:p w14:paraId="54AC2E7A" w14:textId="77777777" w:rsidR="00AD5F09" w:rsidRPr="00AD5F09" w:rsidRDefault="00AD5F09" w:rsidP="00AD5F09">
      <w:pPr>
        <w:spacing w:before="120" w:after="120" w:line="276" w:lineRule="auto"/>
        <w:ind w:firstLine="709"/>
        <w:jc w:val="both"/>
        <w:rPr>
          <w:rFonts w:ascii="Arial" w:eastAsia="Arial" w:hAnsi="Arial" w:cs="Arial"/>
          <w:color w:val="000000"/>
          <w:sz w:val="22"/>
          <w:szCs w:val="22"/>
          <w:lang w:val="es-ES_tradnl" w:eastAsia="en-US"/>
        </w:rPr>
      </w:pPr>
      <w:r w:rsidRPr="00AD5F09">
        <w:rPr>
          <w:rFonts w:ascii="Arial" w:eastAsia="Arial" w:hAnsi="Arial" w:cs="Arial"/>
          <w:color w:val="000000"/>
          <w:sz w:val="22"/>
          <w:szCs w:val="22"/>
          <w:lang w:val="es-ES_tradnl" w:eastAsia="en-US"/>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carácter sancionatorio o «neopunitivo»</w:t>
      </w:r>
      <w:r w:rsidRPr="00AD5F09">
        <w:rPr>
          <w:rFonts w:ascii="Arial" w:eastAsia="Arial" w:hAnsi="Arial" w:cs="Arial"/>
          <w:color w:val="000000"/>
          <w:sz w:val="22"/>
          <w:szCs w:val="22"/>
          <w:vertAlign w:val="superscript"/>
          <w:lang w:val="es-ES_tradnl" w:eastAsia="en-US"/>
        </w:rPr>
        <w:footnoteReference w:id="5"/>
      </w:r>
      <w:r w:rsidRPr="00AD5F09">
        <w:rPr>
          <w:rFonts w:ascii="Arial" w:eastAsia="Arial" w:hAnsi="Arial" w:cs="Arial"/>
          <w:color w:val="000000"/>
          <w:sz w:val="22"/>
          <w:szCs w:val="22"/>
          <w:lang w:val="es-ES_tradnl" w:eastAsia="en-U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C7FF288" w14:textId="77777777" w:rsidR="00AD5F09" w:rsidRPr="00AD5F09" w:rsidRDefault="00AD5F09" w:rsidP="00AD5F09">
      <w:pPr>
        <w:spacing w:before="120" w:after="120" w:line="276" w:lineRule="auto"/>
        <w:ind w:firstLine="709"/>
        <w:jc w:val="both"/>
        <w:rPr>
          <w:rFonts w:ascii="Arial" w:eastAsia="Arial" w:hAnsi="Arial" w:cs="Arial"/>
          <w:color w:val="000000"/>
          <w:sz w:val="22"/>
          <w:szCs w:val="22"/>
          <w:lang w:val="es-ES_tradnl" w:eastAsia="en-US"/>
        </w:rPr>
      </w:pPr>
      <w:r w:rsidRPr="00AD5F09">
        <w:rPr>
          <w:rFonts w:ascii="Arial" w:eastAsia="Arial" w:hAnsi="Arial" w:cs="Arial"/>
          <w:color w:val="000000"/>
          <w:sz w:val="22"/>
          <w:szCs w:val="22"/>
          <w:lang w:val="es-ES_tradnl" w:eastAsia="en-US"/>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AD5F09">
        <w:rPr>
          <w:rFonts w:ascii="Arial" w:eastAsia="Arial" w:hAnsi="Arial" w:cs="Arial"/>
          <w:i/>
          <w:iCs/>
          <w:color w:val="000000"/>
          <w:sz w:val="22"/>
          <w:szCs w:val="22"/>
          <w:lang w:val="es-ES_tradnl" w:eastAsia="en-US"/>
        </w:rPr>
        <w:t>restrictiva</w:t>
      </w:r>
      <w:r w:rsidRPr="00AD5F09">
        <w:rPr>
          <w:rFonts w:ascii="Arial" w:eastAsia="Arial" w:hAnsi="Arial" w:cs="Arial"/>
          <w:color w:val="000000"/>
          <w:sz w:val="22"/>
          <w:szCs w:val="22"/>
          <w:vertAlign w:val="superscript"/>
          <w:lang w:val="es-ES_tradnl" w:eastAsia="en-US"/>
        </w:rPr>
        <w:footnoteReference w:id="6"/>
      </w:r>
      <w:r w:rsidRPr="00AD5F09">
        <w:rPr>
          <w:rFonts w:ascii="Arial" w:eastAsia="Arial" w:hAnsi="Arial" w:cs="Arial"/>
          <w:color w:val="000000"/>
          <w:sz w:val="22"/>
          <w:szCs w:val="22"/>
          <w:lang w:val="es-ES_tradnl" w:eastAsia="en-US"/>
        </w:rPr>
        <w:t xml:space="preserve">.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0388410C" w14:textId="77777777" w:rsidR="00AD5F09" w:rsidRPr="00AD5F09" w:rsidRDefault="00AD5F09" w:rsidP="00AD5F09">
      <w:pPr>
        <w:spacing w:before="120" w:line="276" w:lineRule="auto"/>
        <w:ind w:firstLine="709"/>
        <w:jc w:val="both"/>
        <w:rPr>
          <w:rFonts w:ascii="Arial" w:eastAsia="Arial" w:hAnsi="Arial" w:cs="Arial"/>
          <w:color w:val="000000"/>
          <w:sz w:val="22"/>
          <w:szCs w:val="22"/>
          <w:lang w:val="es-ES_tradnl" w:eastAsia="en-US"/>
        </w:rPr>
      </w:pPr>
      <w:r w:rsidRPr="00AD5F09">
        <w:rPr>
          <w:rFonts w:ascii="Arial" w:eastAsia="Arial" w:hAnsi="Arial" w:cs="Arial"/>
          <w:color w:val="000000"/>
          <w:sz w:val="22"/>
          <w:szCs w:val="22"/>
          <w:lang w:val="es-ES_tradnl" w:eastAsia="en-US"/>
        </w:rPr>
        <w:lastRenderedPageBreak/>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AD5F09">
        <w:rPr>
          <w:rFonts w:ascii="Arial" w:eastAsia="Arial" w:hAnsi="Arial" w:cs="Arial"/>
          <w:color w:val="000000"/>
          <w:sz w:val="22"/>
          <w:szCs w:val="22"/>
          <w:vertAlign w:val="superscript"/>
          <w:lang w:val="es-ES_tradnl" w:eastAsia="en-US"/>
        </w:rPr>
        <w:footnoteReference w:id="7"/>
      </w:r>
      <w:r w:rsidRPr="00AD5F09">
        <w:rPr>
          <w:rFonts w:ascii="Arial" w:eastAsia="Arial" w:hAnsi="Arial" w:cs="Arial"/>
          <w:color w:val="000000"/>
          <w:sz w:val="22"/>
          <w:szCs w:val="22"/>
          <w:lang w:val="es-ES_tradnl" w:eastAsia="en-US"/>
        </w:rPr>
        <w:t>.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AD5F09">
        <w:rPr>
          <w:rFonts w:ascii="Arial" w:eastAsia="Arial" w:hAnsi="Arial" w:cs="Arial"/>
          <w:color w:val="000000"/>
          <w:sz w:val="22"/>
          <w:szCs w:val="22"/>
          <w:vertAlign w:val="superscript"/>
          <w:lang w:val="es-ES_tradnl" w:eastAsia="en-US"/>
        </w:rPr>
        <w:footnoteReference w:id="8"/>
      </w:r>
      <w:r w:rsidRPr="00AD5F09">
        <w:rPr>
          <w:rFonts w:ascii="Arial" w:eastAsia="Arial" w:hAnsi="Arial" w:cs="Arial"/>
          <w:color w:val="000000"/>
          <w:sz w:val="22"/>
          <w:szCs w:val="22"/>
          <w:lang w:val="es-ES_tradnl" w:eastAsia="en-US"/>
        </w:rPr>
        <w:t>. En tal sentido, la Sección Tercera ha señalado que:</w:t>
      </w:r>
    </w:p>
    <w:p w14:paraId="1D3423BB" w14:textId="77777777" w:rsidR="00AD5F09" w:rsidRPr="00AD5F09" w:rsidRDefault="00AD5F09" w:rsidP="00AD5F09">
      <w:pPr>
        <w:spacing w:line="276" w:lineRule="auto"/>
        <w:ind w:firstLine="720"/>
        <w:jc w:val="both"/>
        <w:rPr>
          <w:rFonts w:ascii="Arial" w:eastAsia="Arial" w:hAnsi="Arial" w:cs="Arial"/>
          <w:color w:val="000000"/>
          <w:sz w:val="22"/>
          <w:szCs w:val="22"/>
          <w:lang w:val="es-ES_tradnl" w:eastAsia="en-US"/>
        </w:rPr>
      </w:pPr>
    </w:p>
    <w:p w14:paraId="744B8383" w14:textId="77777777" w:rsidR="00AD5F09" w:rsidRPr="00AD5F09" w:rsidRDefault="00AD5F09" w:rsidP="00AD5F09">
      <w:pPr>
        <w:spacing w:after="120"/>
        <w:ind w:left="709" w:right="709"/>
        <w:jc w:val="both"/>
        <w:rPr>
          <w:rFonts w:ascii="Arial" w:eastAsia="Arial" w:hAnsi="Arial" w:cs="Arial"/>
          <w:color w:val="000000"/>
          <w:sz w:val="21"/>
          <w:szCs w:val="21"/>
          <w:lang w:val="es-ES_tradnl" w:eastAsia="en-US"/>
        </w:rPr>
      </w:pPr>
      <w:r w:rsidRPr="00AD5F09">
        <w:rPr>
          <w:rFonts w:ascii="Arial" w:eastAsia="Arial" w:hAnsi="Arial" w:cs="Arial"/>
          <w:color w:val="000000"/>
          <w:sz w:val="21"/>
          <w:szCs w:val="21"/>
          <w:lang w:val="es-ES_tradnl" w:eastAsia="en-U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AD5F09">
        <w:rPr>
          <w:rFonts w:ascii="Arial" w:eastAsia="Arial" w:hAnsi="Arial" w:cs="Arial"/>
          <w:color w:val="000000"/>
          <w:sz w:val="21"/>
          <w:szCs w:val="21"/>
          <w:vertAlign w:val="superscript"/>
          <w:lang w:val="es-ES_tradnl" w:eastAsia="en-US"/>
        </w:rPr>
        <w:footnoteReference w:id="9"/>
      </w:r>
      <w:r w:rsidRPr="00AD5F09">
        <w:rPr>
          <w:rFonts w:ascii="Arial" w:eastAsia="Arial" w:hAnsi="Arial" w:cs="Arial"/>
          <w:color w:val="000000"/>
          <w:sz w:val="21"/>
          <w:szCs w:val="21"/>
          <w:lang w:val="es-ES_tradnl" w:eastAsia="en-US"/>
        </w:rPr>
        <w:t>.</w:t>
      </w:r>
    </w:p>
    <w:p w14:paraId="10013CD7" w14:textId="77777777" w:rsidR="00AD5F09" w:rsidRPr="00AD5F09" w:rsidRDefault="00AD5F09" w:rsidP="00AD5F09">
      <w:pPr>
        <w:spacing w:before="120" w:after="120" w:line="276" w:lineRule="auto"/>
        <w:ind w:firstLine="720"/>
        <w:jc w:val="both"/>
        <w:rPr>
          <w:rFonts w:ascii="Arial" w:eastAsia="Arial" w:hAnsi="Arial" w:cs="Arial"/>
          <w:color w:val="000000"/>
          <w:sz w:val="22"/>
          <w:szCs w:val="22"/>
          <w:lang w:val="es-ES_tradnl" w:eastAsia="en-US"/>
        </w:rPr>
      </w:pPr>
      <w:r w:rsidRPr="00AD5F09">
        <w:rPr>
          <w:rFonts w:ascii="Arial" w:eastAsia="Arial" w:hAnsi="Arial" w:cs="Arial"/>
          <w:color w:val="000000"/>
          <w:sz w:val="22"/>
          <w:szCs w:val="22"/>
          <w:lang w:val="es-ES_tradnl" w:eastAsia="en-US"/>
        </w:rPr>
        <w:t>También ha dicho que:</w:t>
      </w:r>
    </w:p>
    <w:p w14:paraId="1A87CE83" w14:textId="77777777" w:rsidR="00AD5F09" w:rsidRPr="00AD5F09" w:rsidRDefault="00AD5F09" w:rsidP="00AD5F09">
      <w:pPr>
        <w:spacing w:before="120"/>
        <w:ind w:left="709" w:right="709"/>
        <w:jc w:val="both"/>
        <w:rPr>
          <w:rFonts w:ascii="Arial" w:eastAsia="Arial" w:hAnsi="Arial" w:cs="Arial"/>
          <w:color w:val="000000"/>
          <w:sz w:val="21"/>
          <w:szCs w:val="21"/>
          <w:lang w:val="es-ES_tradnl" w:eastAsia="en-US"/>
        </w:rPr>
      </w:pPr>
      <w:r w:rsidRPr="00AD5F09">
        <w:rPr>
          <w:rFonts w:ascii="Arial" w:eastAsia="Arial" w:hAnsi="Arial" w:cs="Arial"/>
          <w:color w:val="000000"/>
          <w:sz w:val="21"/>
          <w:szCs w:val="21"/>
          <w:lang w:val="es-ES_tradnl" w:eastAsia="en-US"/>
        </w:rPr>
        <w:t>[…] la aplicación de estos preceptos exige una interpretación restrictiva, dado que según el principio hermenéutico pro libertate,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AD5F09">
        <w:rPr>
          <w:rFonts w:ascii="Arial" w:eastAsia="Arial" w:hAnsi="Arial" w:cs="Arial"/>
          <w:color w:val="000000"/>
          <w:sz w:val="21"/>
          <w:szCs w:val="21"/>
          <w:vertAlign w:val="superscript"/>
          <w:lang w:val="es-ES_tradnl" w:eastAsia="en-US"/>
        </w:rPr>
        <w:footnoteReference w:id="10"/>
      </w:r>
      <w:r w:rsidRPr="00AD5F09">
        <w:rPr>
          <w:rFonts w:ascii="Arial" w:eastAsia="Arial" w:hAnsi="Arial" w:cs="Arial"/>
          <w:color w:val="000000"/>
          <w:sz w:val="21"/>
          <w:szCs w:val="21"/>
          <w:lang w:val="es-ES_tradnl" w:eastAsia="en-US"/>
        </w:rPr>
        <w:t>.</w:t>
      </w:r>
    </w:p>
    <w:p w14:paraId="670A393A" w14:textId="77777777" w:rsidR="00AD5F09" w:rsidRPr="00AD5F09" w:rsidRDefault="00AD5F09" w:rsidP="00AD5F09">
      <w:pPr>
        <w:ind w:left="709" w:right="709"/>
        <w:jc w:val="both"/>
        <w:rPr>
          <w:rFonts w:ascii="Arial" w:eastAsia="Arial" w:hAnsi="Arial" w:cs="Arial"/>
          <w:color w:val="000000"/>
          <w:sz w:val="21"/>
          <w:szCs w:val="21"/>
          <w:lang w:val="es-ES_tradnl" w:eastAsia="en-US"/>
        </w:rPr>
      </w:pPr>
    </w:p>
    <w:p w14:paraId="0E424469" w14:textId="77777777" w:rsidR="00AD5F09" w:rsidRPr="00AD5F09" w:rsidRDefault="00AD5F09" w:rsidP="00AD5F09">
      <w:pPr>
        <w:spacing w:line="276" w:lineRule="auto"/>
        <w:ind w:firstLine="709"/>
        <w:jc w:val="both"/>
        <w:rPr>
          <w:rFonts w:ascii="Arial" w:eastAsia="Calibri" w:hAnsi="Arial" w:cs="Arial"/>
          <w:color w:val="000000"/>
          <w:sz w:val="22"/>
          <w:lang w:val="es-ES" w:eastAsia="en-US"/>
        </w:rPr>
      </w:pPr>
      <w:r w:rsidRPr="00AD5F09">
        <w:rPr>
          <w:rFonts w:ascii="Arial" w:eastAsia="Arial" w:hAnsi="Arial" w:cs="Arial"/>
          <w:color w:val="000000"/>
          <w:sz w:val="22"/>
          <w:szCs w:val="22"/>
          <w:lang w:val="es-ES_tradnl" w:eastAsia="en-US"/>
        </w:rPr>
        <w:t xml:space="preserve">Como se aprecia, el principio </w:t>
      </w:r>
      <w:r w:rsidRPr="00AD5F09">
        <w:rPr>
          <w:rFonts w:ascii="Arial" w:eastAsia="Arial" w:hAnsi="Arial" w:cs="Arial"/>
          <w:i/>
          <w:iCs/>
          <w:color w:val="000000"/>
          <w:sz w:val="22"/>
          <w:szCs w:val="22"/>
          <w:lang w:val="es-ES_tradnl" w:eastAsia="en-US"/>
        </w:rPr>
        <w:t>pro libertate</w:t>
      </w:r>
      <w:r w:rsidRPr="00AD5F09">
        <w:rPr>
          <w:rFonts w:ascii="Arial" w:eastAsia="Arial" w:hAnsi="Arial" w:cs="Arial"/>
          <w:color w:val="000000"/>
          <w:sz w:val="22"/>
          <w:szCs w:val="22"/>
          <w:lang w:val="es-ES_tradnl" w:eastAsia="en-US"/>
        </w:rPr>
        <w:t xml:space="preserve"> es el que debe dirigir la interpretación de las disposiciones normativas que consagran restricciones de derechos, como sucede con </w:t>
      </w:r>
      <w:r w:rsidRPr="00AD5F09">
        <w:rPr>
          <w:rFonts w:ascii="Arial" w:eastAsia="Arial" w:hAnsi="Arial" w:cs="Arial"/>
          <w:color w:val="000000"/>
          <w:sz w:val="22"/>
          <w:szCs w:val="22"/>
          <w:lang w:val="es-ES_tradnl" w:eastAsia="en-US"/>
        </w:rPr>
        <w:lastRenderedPageBreak/>
        <w:t>las causales de inhabilidad e incompatibilidad en la contratación estatal. Además, en relación con la determinación de las causales de inhabilidad e incompatibilidad, la</w:t>
      </w:r>
      <w:r w:rsidRPr="00AD5F09">
        <w:rPr>
          <w:rFonts w:ascii="Arial" w:eastAsia="Calibri" w:hAnsi="Arial" w:cs="Arial"/>
          <w:color w:val="000000"/>
          <w:sz w:val="22"/>
          <w:szCs w:val="22"/>
          <w:lang w:val="es-MX" w:eastAsia="en-US"/>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en los siguientes términos:</w:t>
      </w:r>
    </w:p>
    <w:p w14:paraId="1F47178F" w14:textId="77777777" w:rsidR="00AD5F09" w:rsidRPr="00AD5F09" w:rsidRDefault="00AD5F09" w:rsidP="00AD5F09">
      <w:pPr>
        <w:tabs>
          <w:tab w:val="left" w:pos="1532"/>
        </w:tabs>
        <w:spacing w:line="276" w:lineRule="auto"/>
        <w:jc w:val="both"/>
        <w:rPr>
          <w:rFonts w:ascii="Arial" w:eastAsia="Calibri" w:hAnsi="Arial" w:cs="Arial"/>
          <w:color w:val="000000"/>
          <w:sz w:val="22"/>
          <w:szCs w:val="22"/>
          <w:lang w:val="es-MX" w:eastAsia="en-US"/>
        </w:rPr>
      </w:pPr>
    </w:p>
    <w:p w14:paraId="055F9142" w14:textId="77777777" w:rsidR="00AD5F09" w:rsidRPr="00AD5F09" w:rsidRDefault="00AD5F09" w:rsidP="00AD5F09">
      <w:pPr>
        <w:spacing w:after="120"/>
        <w:ind w:left="709" w:right="709"/>
        <w:jc w:val="both"/>
        <w:rPr>
          <w:rFonts w:ascii="Arial" w:eastAsia="Calibri" w:hAnsi="Arial" w:cs="Arial"/>
          <w:color w:val="000000"/>
          <w:sz w:val="21"/>
          <w:szCs w:val="21"/>
          <w:lang w:val="es-MX" w:eastAsia="en-US"/>
        </w:rPr>
      </w:pPr>
      <w:r w:rsidRPr="00AD5F09">
        <w:rPr>
          <w:rFonts w:ascii="Arial" w:eastAsia="Calibri" w:hAnsi="Arial" w:cs="Arial"/>
          <w:color w:val="000000"/>
          <w:sz w:val="21"/>
          <w:szCs w:val="21"/>
          <w:lang w:val="es-MX" w:eastAsia="en-U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la función pública debe someterse estrictamente a lo que disponga la Constitución y la ley (CP art. 6). </w:t>
      </w:r>
    </w:p>
    <w:p w14:paraId="3E544F51" w14:textId="77777777" w:rsidR="00AD5F09" w:rsidRPr="00AD5F09" w:rsidRDefault="00AD5F09" w:rsidP="00AD5F09">
      <w:pPr>
        <w:spacing w:before="120" w:after="120"/>
        <w:ind w:left="709" w:right="709"/>
        <w:jc w:val="both"/>
        <w:rPr>
          <w:rFonts w:ascii="Arial" w:eastAsia="Calibri" w:hAnsi="Arial" w:cs="Arial"/>
          <w:color w:val="000000"/>
          <w:sz w:val="21"/>
          <w:szCs w:val="21"/>
          <w:lang w:val="es-MX" w:eastAsia="en-US"/>
        </w:rPr>
      </w:pPr>
      <w:r w:rsidRPr="00AD5F09">
        <w:rPr>
          <w:rFonts w:ascii="Arial" w:eastAsia="Calibri" w:hAnsi="Arial" w:cs="Arial"/>
          <w:color w:val="000000"/>
          <w:sz w:val="21"/>
          <w:szCs w:val="21"/>
          <w:lang w:val="es-MX" w:eastAsia="en-US"/>
        </w:rPr>
        <w:t>[…]</w:t>
      </w:r>
    </w:p>
    <w:p w14:paraId="4373B50F" w14:textId="77777777" w:rsidR="00AD5F09" w:rsidRPr="00AD5F09" w:rsidRDefault="00AD5F09" w:rsidP="00AD5F09">
      <w:pPr>
        <w:spacing w:before="120"/>
        <w:ind w:left="709" w:right="709"/>
        <w:jc w:val="both"/>
        <w:rPr>
          <w:rFonts w:ascii="Arial" w:eastAsia="Calibri" w:hAnsi="Arial" w:cs="Arial"/>
          <w:color w:val="000000"/>
          <w:sz w:val="21"/>
          <w:szCs w:val="21"/>
          <w:lang w:val="es-MX" w:eastAsia="en-US"/>
        </w:rPr>
      </w:pPr>
      <w:r w:rsidRPr="00AD5F09">
        <w:rPr>
          <w:rFonts w:ascii="Arial" w:eastAsia="Calibri" w:hAnsi="Arial" w:cs="Arial"/>
          <w:color w:val="000000"/>
          <w:sz w:val="21"/>
          <w:szCs w:val="21"/>
          <w:lang w:val="es-MX" w:eastAsia="en-US"/>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AD5F09">
        <w:rPr>
          <w:rFonts w:ascii="Arial" w:eastAsia="Calibri" w:hAnsi="Arial" w:cs="Arial"/>
          <w:color w:val="000000"/>
          <w:sz w:val="21"/>
          <w:szCs w:val="21"/>
          <w:vertAlign w:val="superscript"/>
          <w:lang w:val="es-MX" w:eastAsia="en-US"/>
        </w:rPr>
        <w:footnoteReference w:id="11"/>
      </w:r>
      <w:r w:rsidRPr="00AD5F09">
        <w:rPr>
          <w:rFonts w:ascii="Arial" w:eastAsia="Calibri" w:hAnsi="Arial" w:cs="Arial"/>
          <w:color w:val="000000"/>
          <w:sz w:val="21"/>
          <w:szCs w:val="21"/>
          <w:lang w:val="es-MX" w:eastAsia="en-US"/>
        </w:rPr>
        <w:t>.</w:t>
      </w:r>
    </w:p>
    <w:p w14:paraId="48F5EA19" w14:textId="77777777" w:rsidR="00AD5F09" w:rsidRPr="00AD5F09" w:rsidRDefault="00AD5F09" w:rsidP="00AD5F09">
      <w:pPr>
        <w:spacing w:line="276" w:lineRule="auto"/>
        <w:jc w:val="both"/>
        <w:rPr>
          <w:rFonts w:ascii="Arial" w:eastAsia="Calibri" w:hAnsi="Arial" w:cs="Arial"/>
          <w:color w:val="000000"/>
          <w:sz w:val="22"/>
          <w:szCs w:val="22"/>
          <w:lang w:val="es-ES" w:eastAsia="en-US"/>
        </w:rPr>
      </w:pPr>
    </w:p>
    <w:p w14:paraId="1D229F45" w14:textId="77777777" w:rsidR="00AD5F09" w:rsidRPr="00AD5F09" w:rsidRDefault="00AD5F09" w:rsidP="00AD5F09">
      <w:pPr>
        <w:spacing w:after="120" w:line="276" w:lineRule="auto"/>
        <w:ind w:firstLine="709"/>
        <w:jc w:val="both"/>
        <w:rPr>
          <w:rFonts w:ascii="Arial" w:eastAsia="Calibri" w:hAnsi="Arial" w:cs="Arial"/>
          <w:color w:val="000000"/>
          <w:sz w:val="22"/>
          <w:szCs w:val="22"/>
          <w:lang w:eastAsia="en-US"/>
        </w:rPr>
      </w:pPr>
      <w:r w:rsidRPr="00AD5F09">
        <w:rPr>
          <w:rFonts w:ascii="Arial" w:eastAsia="Calibri" w:hAnsi="Arial" w:cs="Arial"/>
          <w:color w:val="000000"/>
          <w:sz w:val="22"/>
          <w:szCs w:val="22"/>
          <w:lang w:val="es-MX" w:eastAsia="en-US"/>
        </w:rPr>
        <w:t>De igual forma, conviene acudir a la distinción que se ha trazado en torno a la fuente de las inhabilidades, las cuales han sido clasificadas en dos grupos: i) inhabilidades-sanción y ii)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r w:rsidRPr="00AD5F09">
        <w:rPr>
          <w:rFonts w:ascii="Arial" w:eastAsia="Calibri" w:hAnsi="Arial" w:cs="Arial"/>
          <w:color w:val="000000"/>
          <w:sz w:val="22"/>
          <w:szCs w:val="22"/>
          <w:vertAlign w:val="superscript"/>
          <w:lang w:val="es-MX" w:eastAsia="en-US"/>
        </w:rPr>
        <w:footnoteReference w:id="12"/>
      </w:r>
      <w:r w:rsidRPr="00AD5F09">
        <w:rPr>
          <w:rFonts w:ascii="Arial" w:eastAsia="Calibri" w:hAnsi="Arial" w:cs="Arial"/>
          <w:color w:val="000000"/>
          <w:sz w:val="22"/>
          <w:szCs w:val="22"/>
          <w:lang w:val="es-MX" w:eastAsia="en-US"/>
        </w:rPr>
        <w:t xml:space="preserve">. </w:t>
      </w:r>
    </w:p>
    <w:p w14:paraId="5444D9E8" w14:textId="77777777" w:rsidR="00AD5F09" w:rsidRPr="00AD5F09" w:rsidRDefault="00AD5F09" w:rsidP="00AD5F09">
      <w:pPr>
        <w:spacing w:before="120" w:after="120" w:line="276" w:lineRule="auto"/>
        <w:ind w:firstLine="709"/>
        <w:jc w:val="both"/>
        <w:rPr>
          <w:rFonts w:ascii="Arial" w:eastAsia="Calibri" w:hAnsi="Arial" w:cs="Arial"/>
          <w:color w:val="000000"/>
          <w:sz w:val="22"/>
          <w:szCs w:val="22"/>
          <w:lang w:val="es-ES" w:eastAsia="en-US"/>
        </w:rPr>
      </w:pPr>
      <w:r w:rsidRPr="00AD5F09">
        <w:rPr>
          <w:rFonts w:ascii="Arial" w:eastAsia="Calibri" w:hAnsi="Arial" w:cs="Arial"/>
          <w:color w:val="000000"/>
          <w:sz w:val="22"/>
          <w:szCs w:val="22"/>
          <w:lang w:val="es-ES" w:eastAsia="en-US"/>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w:t>
      </w:r>
      <w:r w:rsidRPr="00AD5F09">
        <w:rPr>
          <w:rFonts w:ascii="Arial" w:eastAsia="Calibri" w:hAnsi="Arial" w:cs="Arial"/>
          <w:color w:val="000000"/>
          <w:sz w:val="22"/>
          <w:szCs w:val="22"/>
          <w:lang w:val="es-ES" w:eastAsia="en-US"/>
        </w:rPr>
        <w:lastRenderedPageBreak/>
        <w:t>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706869D4" w14:textId="77777777" w:rsidR="00AD5F09" w:rsidRPr="00AD5F09" w:rsidRDefault="00AD5F09" w:rsidP="00AD5F09">
      <w:pPr>
        <w:spacing w:before="120" w:after="120" w:line="276" w:lineRule="auto"/>
        <w:ind w:firstLine="709"/>
        <w:jc w:val="both"/>
        <w:rPr>
          <w:rFonts w:ascii="Arial" w:eastAsia="Calibri" w:hAnsi="Arial" w:cs="Arial"/>
          <w:color w:val="000000"/>
          <w:sz w:val="22"/>
          <w:szCs w:val="22"/>
          <w:lang w:val="es-ES_tradnl" w:eastAsia="en-US"/>
        </w:rPr>
      </w:pPr>
      <w:r w:rsidRPr="00AD5F09">
        <w:rPr>
          <w:rFonts w:ascii="Arial" w:eastAsia="Calibri" w:hAnsi="Arial" w:cs="Arial"/>
          <w:color w:val="000000"/>
          <w:sz w:val="22"/>
          <w:szCs w:val="22"/>
          <w:lang w:val="es-ES_tradnl" w:eastAsia="en-US"/>
        </w:rPr>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w:t>
      </w:r>
    </w:p>
    <w:p w14:paraId="70B0CDF8" w14:textId="77777777" w:rsidR="00AD5F09" w:rsidRPr="00AD5F09" w:rsidRDefault="00AD5F09" w:rsidP="00684DE6">
      <w:pPr>
        <w:spacing w:before="120" w:line="276" w:lineRule="auto"/>
        <w:ind w:firstLine="709"/>
        <w:jc w:val="both"/>
        <w:rPr>
          <w:rFonts w:ascii="Arial" w:eastAsia="MS Mincho" w:hAnsi="Arial" w:cs="Arial"/>
          <w:b/>
          <w:bCs/>
          <w:sz w:val="22"/>
          <w:szCs w:val="22"/>
          <w:lang w:eastAsia="en-US"/>
        </w:rPr>
      </w:pPr>
      <w:r w:rsidRPr="00AD5F09">
        <w:rPr>
          <w:rFonts w:ascii="Arial" w:eastAsia="MS Mincho" w:hAnsi="Arial" w:cs="Arial"/>
          <w:sz w:val="22"/>
          <w:szCs w:val="22"/>
          <w:shd w:val="clear" w:color="auto" w:fill="FFFFFF"/>
          <w:lang w:val="es-MX" w:eastAsia="en-US"/>
        </w:rPr>
        <w:t>En este sentido, retomando una idea esbozada con anterioridad, la doctrina y la jurisprudencia son pacíficas en considerar que la creación de inhabilidades e incompatibilidades es un asunto con reserva de ley, en tanto, «</w:t>
      </w:r>
      <w:r w:rsidRPr="00AD5F09">
        <w:rPr>
          <w:rFonts w:ascii="Arial" w:eastAsia="MS Mincho" w:hAnsi="Arial" w:cs="Arial"/>
          <w:sz w:val="22"/>
          <w:szCs w:val="22"/>
          <w:shd w:val="clear" w:color="auto" w:fill="FFFFFF"/>
          <w:lang w:eastAsia="en-US"/>
        </w:rPr>
        <w:t>[…] su previsión y desarrollo es materia exclusiva del legislador (reserva de ley), quien en virtud del principio democrático debe definir y tipificar expresamente sus causas, vigencia, naturaleza y efectos</w:t>
      </w:r>
      <w:r w:rsidRPr="00AD5F09">
        <w:rPr>
          <w:rFonts w:ascii="Arial" w:eastAsia="MS Mincho" w:hAnsi="Arial" w:cs="Arial"/>
          <w:sz w:val="22"/>
          <w:szCs w:val="22"/>
          <w:shd w:val="clear" w:color="auto" w:fill="FFFFFF"/>
          <w:lang w:val="es-MX" w:eastAsia="en-US"/>
        </w:rPr>
        <w:t>»</w:t>
      </w:r>
      <w:r w:rsidRPr="00AD5F09">
        <w:rPr>
          <w:rFonts w:ascii="Arial" w:eastAsia="MS Mincho" w:hAnsi="Arial" w:cs="Arial"/>
          <w:sz w:val="22"/>
          <w:szCs w:val="22"/>
          <w:shd w:val="clear" w:color="auto" w:fill="FFFFFF"/>
          <w:vertAlign w:val="superscript"/>
          <w:lang w:val="es-MX" w:eastAsia="en-US"/>
        </w:rPr>
        <w:footnoteReference w:id="13"/>
      </w:r>
      <w:r w:rsidRPr="00AD5F09">
        <w:rPr>
          <w:rFonts w:ascii="Arial" w:eastAsia="MS Mincho" w:hAnsi="Arial" w:cs="Arial"/>
          <w:sz w:val="22"/>
          <w:szCs w:val="22"/>
          <w:shd w:val="clear" w:color="auto" w:fill="FFFFFF"/>
          <w:lang w:val="es-MX" w:eastAsia="en-US"/>
        </w:rPr>
        <w:t xml:space="preserve">. En similar sentido, la Sala de Consulta y Servicio Civil del Consejo de Estado expresó </w:t>
      </w:r>
      <w:r w:rsidRPr="00AD5F09">
        <w:rPr>
          <w:rFonts w:ascii="Arial" w:eastAsia="MS Mincho" w:hAnsi="Arial" w:cs="Arial"/>
          <w:color w:val="000000"/>
          <w:sz w:val="22"/>
          <w:szCs w:val="22"/>
          <w:shd w:val="clear" w:color="auto" w:fill="FFFFFF"/>
          <w:lang w:eastAsia="en-US"/>
        </w:rPr>
        <w:t>que «[…] las causales de inhabilidad e incompatibilidad deben estar expresa y taxativamente establecidas en la Constitución o en la ley y son de aplicación e interpretación restrictivas […]»</w:t>
      </w:r>
      <w:r w:rsidRPr="00AD5F09">
        <w:rPr>
          <w:rFonts w:ascii="Arial" w:eastAsia="MS Mincho" w:hAnsi="Arial" w:cs="Arial"/>
          <w:color w:val="000000"/>
          <w:sz w:val="22"/>
          <w:szCs w:val="22"/>
          <w:shd w:val="clear" w:color="auto" w:fill="FFFFFF"/>
          <w:vertAlign w:val="superscript"/>
          <w:lang w:eastAsia="en-US"/>
        </w:rPr>
        <w:footnoteReference w:id="14"/>
      </w:r>
      <w:r w:rsidRPr="00AD5F09">
        <w:rPr>
          <w:rFonts w:ascii="Arial" w:eastAsia="MS Mincho" w:hAnsi="Arial" w:cs="Arial"/>
          <w:color w:val="000000"/>
          <w:sz w:val="22"/>
          <w:szCs w:val="22"/>
          <w:shd w:val="clear" w:color="auto" w:fill="FFFFFF"/>
          <w:lang w:eastAsia="en-US"/>
        </w:rPr>
        <w:t>. En este sentido, como se observa, existe consenso, incluso como lo ha expresado esta Agencia en ocasiones anteriores, que la creación de inhabilidades o incompatibilidades está reservada al constituyente o al legislador.</w:t>
      </w:r>
    </w:p>
    <w:p w14:paraId="1CC5D76E" w14:textId="77777777" w:rsidR="00D21D1B" w:rsidRDefault="00D21D1B" w:rsidP="00684DE6">
      <w:pPr>
        <w:spacing w:line="276" w:lineRule="auto"/>
        <w:jc w:val="both"/>
        <w:rPr>
          <w:rFonts w:ascii="Arial" w:eastAsia="Calibri" w:hAnsi="Arial" w:cs="Arial"/>
          <w:sz w:val="22"/>
          <w:lang w:val="es-ES_tradnl"/>
        </w:rPr>
      </w:pPr>
    </w:p>
    <w:p w14:paraId="0F425C07" w14:textId="4B2BAD32" w:rsidR="00D21D1B" w:rsidRDefault="00D21D1B" w:rsidP="00A82B05">
      <w:pPr>
        <w:spacing w:line="276" w:lineRule="auto"/>
        <w:jc w:val="both"/>
        <w:rPr>
          <w:rFonts w:ascii="Arial" w:eastAsia="Calibri" w:hAnsi="Arial" w:cs="Arial"/>
          <w:b/>
          <w:bCs/>
          <w:sz w:val="22"/>
          <w:lang w:val="es-ES_tradnl"/>
        </w:rPr>
      </w:pPr>
      <w:r>
        <w:rPr>
          <w:rFonts w:ascii="Arial" w:eastAsia="Calibri" w:hAnsi="Arial" w:cs="Arial"/>
          <w:b/>
          <w:bCs/>
          <w:sz w:val="22"/>
          <w:lang w:val="es-ES_tradnl"/>
        </w:rPr>
        <w:t>2.</w:t>
      </w:r>
      <w:r w:rsidR="00AD5F09">
        <w:rPr>
          <w:rFonts w:ascii="Arial" w:eastAsia="Calibri" w:hAnsi="Arial" w:cs="Arial"/>
          <w:b/>
          <w:bCs/>
          <w:sz w:val="22"/>
          <w:lang w:val="es-ES_tradnl"/>
        </w:rPr>
        <w:t>2</w:t>
      </w:r>
      <w:r>
        <w:rPr>
          <w:rFonts w:ascii="Arial" w:eastAsia="Calibri" w:hAnsi="Arial" w:cs="Arial"/>
          <w:b/>
          <w:bCs/>
          <w:sz w:val="22"/>
          <w:lang w:val="es-ES_tradnl"/>
        </w:rPr>
        <w:t xml:space="preserve">. Afiliación al Sistema de Seguridad Social Integral y verificación de pago de aportes al presentar la propuesta </w:t>
      </w:r>
    </w:p>
    <w:p w14:paraId="5EAB4325" w14:textId="77777777" w:rsidR="00A82B05" w:rsidRDefault="00A82B05" w:rsidP="005C2ED6">
      <w:pPr>
        <w:spacing w:line="276" w:lineRule="auto"/>
        <w:jc w:val="both"/>
        <w:rPr>
          <w:rFonts w:ascii="Arial" w:eastAsia="Calibri" w:hAnsi="Arial" w:cs="Arial"/>
          <w:b/>
          <w:bCs/>
          <w:sz w:val="22"/>
          <w:lang w:val="es-ES_tradnl"/>
        </w:rPr>
      </w:pPr>
    </w:p>
    <w:p w14:paraId="22990871" w14:textId="01FD2FE3" w:rsidR="00D21D1B" w:rsidRPr="005C2ED6" w:rsidRDefault="00D21D1B" w:rsidP="005C2ED6">
      <w:pPr>
        <w:tabs>
          <w:tab w:val="left" w:pos="426"/>
        </w:tabs>
        <w:spacing w:line="276" w:lineRule="auto"/>
        <w:jc w:val="both"/>
        <w:rPr>
          <w:rFonts w:ascii="Arial" w:eastAsia="Calibri" w:hAnsi="Arial" w:cs="Arial"/>
          <w:noProof/>
          <w:color w:val="FF0000"/>
          <w:sz w:val="22"/>
          <w:szCs w:val="22"/>
        </w:rPr>
      </w:pPr>
      <w:r w:rsidRPr="005C2ED6">
        <w:rPr>
          <w:rFonts w:ascii="Arial" w:eastAsia="Calibri" w:hAnsi="Arial" w:cs="Arial"/>
          <w:noProof/>
          <w:sz w:val="22"/>
          <w:szCs w:val="22"/>
          <w:lang w:val="es-ES_tradnl"/>
        </w:rPr>
        <w:t xml:space="preserve">En cuanto a las obligaciones con el Sistema de Seguridad Social, </w:t>
      </w:r>
      <w:r w:rsidR="001D45A4">
        <w:rPr>
          <w:rFonts w:ascii="Arial" w:eastAsia="Calibri" w:hAnsi="Arial" w:cs="Arial"/>
          <w:noProof/>
          <w:sz w:val="22"/>
          <w:szCs w:val="22"/>
          <w:lang w:val="es-ES_tradnl"/>
        </w:rPr>
        <w:t>esta</w:t>
      </w:r>
      <w:r w:rsidRPr="005C2ED6">
        <w:rPr>
          <w:rFonts w:ascii="Arial" w:eastAsia="Calibri" w:hAnsi="Arial" w:cs="Arial"/>
          <w:noProof/>
          <w:sz w:val="22"/>
          <w:szCs w:val="22"/>
          <w:lang w:val="es-ES_tradnl"/>
        </w:rPr>
        <w:t xml:space="preserve"> Agencia se ha pronunciado en diferentes oportunidades, algunas se evidencian en los conceptos con</w:t>
      </w:r>
      <w:r w:rsidRPr="005C2ED6">
        <w:rPr>
          <w:rFonts w:ascii="Arial" w:eastAsia="Calibri" w:hAnsi="Arial" w:cs="Arial"/>
          <w:noProof/>
          <w:sz w:val="22"/>
          <w:szCs w:val="22"/>
        </w:rPr>
        <w:t xml:space="preserve"> </w:t>
      </w:r>
      <w:r w:rsidRPr="005C2ED6">
        <w:rPr>
          <w:rFonts w:ascii="Arial" w:eastAsia="Calibri" w:hAnsi="Arial" w:cs="Arial"/>
          <w:noProof/>
          <w:sz w:val="22"/>
          <w:szCs w:val="22"/>
        </w:rPr>
        <w:lastRenderedPageBreak/>
        <w:t xml:space="preserve">radicados No 2201913000006970 del 19 de septiembre de 2019; 2201913000007862 del 21 de octubre de 2019; C-205 del 7 de abril de 2020; </w:t>
      </w:r>
      <w:r w:rsidRPr="005C2ED6">
        <w:rPr>
          <w:rFonts w:ascii="Arial" w:eastAsia="Calibri" w:hAnsi="Arial" w:cs="Arial"/>
          <w:sz w:val="22"/>
          <w:szCs w:val="22"/>
          <w:lang w:val="es-ES"/>
        </w:rPr>
        <w:t>C-614 del 16 de septiembre de 2020</w:t>
      </w:r>
      <w:r w:rsidRPr="005C2ED6">
        <w:rPr>
          <w:rFonts w:ascii="Arial" w:eastAsia="Calibri" w:hAnsi="Arial" w:cs="Arial"/>
          <w:noProof/>
          <w:sz w:val="22"/>
          <w:szCs w:val="22"/>
        </w:rPr>
        <w:t xml:space="preserve"> y </w:t>
      </w:r>
      <w:r w:rsidR="006D5232">
        <w:rPr>
          <w:rFonts w:ascii="Arial" w:eastAsia="Calibri" w:hAnsi="Arial" w:cs="Arial"/>
          <w:noProof/>
          <w:sz w:val="22"/>
          <w:szCs w:val="22"/>
        </w:rPr>
        <w:t>C-</w:t>
      </w:r>
      <w:r w:rsidRPr="005C2ED6">
        <w:rPr>
          <w:rFonts w:ascii="Arial" w:eastAsia="Calibri" w:hAnsi="Arial" w:cs="Arial"/>
          <w:noProof/>
          <w:sz w:val="22"/>
          <w:szCs w:val="22"/>
        </w:rPr>
        <w:t>747 del 6 de enero de 2021, que se reiteran en lo pertinent</w:t>
      </w:r>
      <w:r w:rsidR="001D45A4">
        <w:rPr>
          <w:rFonts w:ascii="Arial" w:eastAsia="Calibri" w:hAnsi="Arial" w:cs="Arial"/>
          <w:noProof/>
          <w:sz w:val="22"/>
          <w:szCs w:val="22"/>
        </w:rPr>
        <w:t>e.</w:t>
      </w:r>
    </w:p>
    <w:p w14:paraId="63E5A593" w14:textId="77777777" w:rsidR="00D21D1B" w:rsidRPr="005C2ED6" w:rsidRDefault="00D21D1B" w:rsidP="005C2ED6">
      <w:pPr>
        <w:spacing w:before="120" w:after="120"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La Ley 80 de 1993, en el texto original del artículo 41, estableció que los requisitos para perfeccionar el contrato eran: i) llegar a un acuerdo sobre el objeto y la contraprestación y ii) que conste por escrito. Por su parte, para iniciar la ejecución se requería: i) la constitución y aprobación de la garantía y ii) la existencia del registro presupuestal.</w:t>
      </w:r>
    </w:p>
    <w:p w14:paraId="7C0DE006" w14:textId="77777777" w:rsidR="00D21D1B" w:rsidRPr="005C2ED6" w:rsidRDefault="00D21D1B" w:rsidP="005C2ED6">
      <w:pPr>
        <w:spacing w:before="120" w:after="120"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 xml:space="preserve">Posteriormente, el artículo 50 de la Ley 789 de 2002 estableció, como obligación de quien quiere celebrar, renovar o liquidar contratos de cualquier naturaleza con entidades del sector público, cumplir con las obligaciones frente a los sistemas de salud, riesgos profesionales, pensiones y aportes a la Caja de Compensación Familiar, Instituto Colombiano de Bienestar Familiar y Servicio Nacional de Aprendizaje cuando a ello haya lugar.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 </w:t>
      </w:r>
    </w:p>
    <w:p w14:paraId="3B584E66" w14:textId="77777777" w:rsidR="00D21D1B" w:rsidRPr="005C2ED6" w:rsidRDefault="00D21D1B" w:rsidP="005C2ED6">
      <w:pPr>
        <w:spacing w:before="120" w:after="120"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6 meses anteriores a la celebración del contrato –inciso tercero–. En este sentido, la ley señala que para presentar la oferta las personas jurídicas deben acreditar el requisito señalado anteriormente, es decir, el pago al sistema de seguridad social de sus empleados –inciso 4–.</w:t>
      </w:r>
    </w:p>
    <w:p w14:paraId="45C48196" w14:textId="77777777" w:rsidR="00D21D1B" w:rsidRPr="005C2ED6" w:rsidRDefault="00D21D1B" w:rsidP="005C2ED6">
      <w:pPr>
        <w:spacing w:before="120" w:after="120"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Esta norma fue analizada por el Consejo de Estado, quien consideró que el artículo 50 de la Ley 789 de 2002 tiene por objeto evitar la evasión por parte de los empleadores de las cotizaciones al Sistema de Seguridad Social Integral y de los aportes parafiscales. De igual forma, esa Corporación consideró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5C2ED6">
        <w:rPr>
          <w:rFonts w:ascii="Arial" w:eastAsia="Calibri" w:hAnsi="Arial" w:cs="Arial"/>
          <w:sz w:val="22"/>
          <w:szCs w:val="22"/>
          <w:vertAlign w:val="superscript"/>
          <w:lang w:val="es-ES"/>
        </w:rPr>
        <w:footnoteReference w:id="15"/>
      </w:r>
      <w:r w:rsidRPr="005C2ED6">
        <w:rPr>
          <w:rFonts w:ascii="Arial" w:eastAsia="Calibri" w:hAnsi="Arial" w:cs="Arial"/>
          <w:sz w:val="22"/>
          <w:szCs w:val="22"/>
          <w:lang w:val="es-ES"/>
        </w:rPr>
        <w:t xml:space="preserve">. Por lo tanto, la jurisprudencia reiteró la necesidad de que las entidades estatales, durante </w:t>
      </w:r>
      <w:r w:rsidRPr="005C2ED6">
        <w:rPr>
          <w:rFonts w:ascii="Arial" w:eastAsia="Calibri" w:hAnsi="Arial" w:cs="Arial"/>
          <w:sz w:val="22"/>
          <w:szCs w:val="22"/>
          <w:lang w:val="es-ES"/>
        </w:rPr>
        <w:lastRenderedPageBreak/>
        <w:t xml:space="preserve">la ejecución del contrato, verifiquen el cumplimiento de las obligaciones del Sistema de Seguridad Social Integral por parte de los contratistas. </w:t>
      </w:r>
    </w:p>
    <w:p w14:paraId="1EAC2BDD" w14:textId="77777777" w:rsidR="00D21D1B" w:rsidRPr="005C2ED6" w:rsidRDefault="00D21D1B" w:rsidP="005C2ED6">
      <w:pPr>
        <w:spacing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Posteriormente,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4E1B84FE" w14:textId="77777777" w:rsidR="00D21D1B" w:rsidRPr="005C2ED6" w:rsidRDefault="00D21D1B" w:rsidP="005C2ED6">
      <w:pPr>
        <w:spacing w:line="276" w:lineRule="auto"/>
        <w:ind w:right="709"/>
        <w:jc w:val="both"/>
        <w:rPr>
          <w:rFonts w:ascii="Arial" w:hAnsi="Arial" w:cs="Arial"/>
          <w:sz w:val="22"/>
          <w:szCs w:val="22"/>
          <w:lang w:val="es-ES" w:eastAsia="es-CO"/>
        </w:rPr>
      </w:pPr>
    </w:p>
    <w:p w14:paraId="10C9D799" w14:textId="131A7F57" w:rsidR="00D21D1B" w:rsidRPr="00E67FC3" w:rsidRDefault="00E67FC3" w:rsidP="00684DE6">
      <w:pPr>
        <w:ind w:left="709" w:right="709"/>
        <w:jc w:val="both"/>
        <w:rPr>
          <w:rFonts w:ascii="Arial" w:hAnsi="Arial" w:cs="Arial"/>
          <w:sz w:val="21"/>
          <w:szCs w:val="21"/>
          <w:lang w:val="es-ES" w:eastAsia="es-CO"/>
        </w:rPr>
      </w:pPr>
      <w:r w:rsidRPr="00E67FC3">
        <w:rPr>
          <w:rFonts w:ascii="Arial" w:hAnsi="Arial" w:cs="Arial"/>
          <w:sz w:val="21"/>
          <w:szCs w:val="21"/>
          <w:lang w:val="es-ES" w:eastAsia="es-CO"/>
        </w:rPr>
        <w:t>«</w:t>
      </w:r>
      <w:r w:rsidR="00D21D1B" w:rsidRPr="00E67FC3">
        <w:rPr>
          <w:rFonts w:ascii="Arial" w:hAnsi="Arial" w:cs="Arial"/>
          <w:sz w:val="21"/>
          <w:szCs w:val="21"/>
          <w:lang w:val="es-ES" w:eastAsia="es-CO"/>
        </w:rPr>
        <w:t>[…]</w:t>
      </w:r>
    </w:p>
    <w:p w14:paraId="2A60BB76" w14:textId="77777777" w:rsidR="00D21D1B" w:rsidRPr="00E67FC3" w:rsidRDefault="00D21D1B" w:rsidP="00684DE6">
      <w:pPr>
        <w:tabs>
          <w:tab w:val="left" w:pos="7938"/>
          <w:tab w:val="left" w:pos="8080"/>
        </w:tabs>
        <w:spacing w:after="120"/>
        <w:ind w:left="709" w:right="709"/>
        <w:jc w:val="both"/>
        <w:rPr>
          <w:rFonts w:ascii="Arial" w:hAnsi="Arial" w:cs="Arial"/>
          <w:sz w:val="21"/>
          <w:szCs w:val="21"/>
          <w:lang w:val="es-ES" w:eastAsia="es-CO"/>
        </w:rPr>
      </w:pPr>
      <w:r w:rsidRPr="00E67FC3">
        <w:rPr>
          <w:rFonts w:ascii="Arial" w:hAnsi="Arial" w:cs="Arial"/>
          <w:sz w:val="21"/>
          <w:szCs w:val="21"/>
          <w:lang w:val="es-ES" w:eastAsia="es-CO"/>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5C045E27" w14:textId="77777777" w:rsidR="00D21D1B" w:rsidRPr="00E67FC3" w:rsidRDefault="00D21D1B" w:rsidP="00684DE6">
      <w:pPr>
        <w:spacing w:after="120"/>
        <w:ind w:left="709" w:right="709"/>
        <w:jc w:val="both"/>
        <w:rPr>
          <w:rFonts w:ascii="Arial" w:hAnsi="Arial" w:cs="Arial"/>
          <w:sz w:val="21"/>
          <w:szCs w:val="21"/>
          <w:lang w:val="es-ES" w:eastAsia="es-CO"/>
        </w:rPr>
      </w:pPr>
      <w:r w:rsidRPr="00E67FC3">
        <w:rPr>
          <w:rFonts w:ascii="Arial" w:hAnsi="Arial" w:cs="Arial"/>
          <w:bCs/>
          <w:sz w:val="21"/>
          <w:szCs w:val="21"/>
          <w:lang w:val="es-ES" w:eastAsia="es-CO"/>
        </w:rPr>
        <w:t>Parágrafo 1.</w:t>
      </w:r>
      <w:r w:rsidRPr="00E67FC3">
        <w:rPr>
          <w:rFonts w:ascii="Arial" w:hAnsi="Arial" w:cs="Arial"/>
          <w:sz w:val="21"/>
          <w:szCs w:val="21"/>
          <w:lang w:val="es-ES" w:eastAsia="es-CO"/>
        </w:rPr>
        <w:t> El requisito establecido en la parte final del inciso segundo de este artículo deberá acreditarse para la realización de cada pago derivado del contrato estatal.</w:t>
      </w:r>
    </w:p>
    <w:p w14:paraId="2E9CF887" w14:textId="02A6D0F6" w:rsidR="00D21D1B" w:rsidRPr="005C2ED6" w:rsidRDefault="00D21D1B" w:rsidP="00684DE6">
      <w:pPr>
        <w:ind w:left="709" w:right="709"/>
        <w:jc w:val="both"/>
        <w:rPr>
          <w:rFonts w:ascii="Arial" w:hAnsi="Arial" w:cs="Arial"/>
          <w:sz w:val="22"/>
          <w:szCs w:val="22"/>
          <w:lang w:val="es-ES" w:eastAsia="es-CO"/>
        </w:rPr>
      </w:pPr>
      <w:r w:rsidRPr="00E67FC3">
        <w:rPr>
          <w:rFonts w:ascii="Arial" w:hAnsi="Arial" w:cs="Arial"/>
          <w:sz w:val="21"/>
          <w:szCs w:val="21"/>
          <w:lang w:val="es-ES" w:eastAsia="es-CO"/>
        </w:rPr>
        <w:t>El servidor público que sin justa causa no verifique el pago de los aportes a que se refiere el presente artículo, incurrirá en causal de mala conducta, que será sancionada con arreglo al régimen disciplinario vigente.</w:t>
      </w:r>
      <w:r w:rsidR="00E67FC3" w:rsidRPr="00E67FC3">
        <w:rPr>
          <w:rFonts w:ascii="Arial" w:hAnsi="Arial" w:cs="Arial"/>
          <w:sz w:val="21"/>
          <w:szCs w:val="21"/>
          <w:lang w:val="es-ES" w:eastAsia="es-CO"/>
        </w:rPr>
        <w:t>»</w:t>
      </w:r>
    </w:p>
    <w:p w14:paraId="56F71E45" w14:textId="77777777" w:rsidR="00D21D1B" w:rsidRPr="005C2ED6" w:rsidRDefault="00D21D1B" w:rsidP="005C2ED6">
      <w:pPr>
        <w:spacing w:line="276" w:lineRule="auto"/>
        <w:ind w:firstLine="709"/>
        <w:jc w:val="both"/>
        <w:rPr>
          <w:rFonts w:ascii="Arial" w:eastAsia="Calibri" w:hAnsi="Arial" w:cs="Arial"/>
          <w:sz w:val="22"/>
          <w:szCs w:val="22"/>
          <w:lang w:val="es-ES"/>
        </w:rPr>
      </w:pPr>
    </w:p>
    <w:p w14:paraId="615124FE" w14:textId="77777777" w:rsidR="00D21D1B" w:rsidRPr="005C2ED6" w:rsidRDefault="00D21D1B" w:rsidP="005C2ED6">
      <w:pPr>
        <w:spacing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w:t>
      </w:r>
    </w:p>
    <w:p w14:paraId="0104FBA5" w14:textId="77777777" w:rsidR="00D21D1B" w:rsidRPr="005C2ED6" w:rsidRDefault="00D21D1B" w:rsidP="005C2ED6">
      <w:pPr>
        <w:spacing w:before="120" w:after="120"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w:t>
      </w:r>
    </w:p>
    <w:p w14:paraId="3736947A" w14:textId="77777777" w:rsidR="00D21D1B" w:rsidRPr="005C2ED6" w:rsidRDefault="00D21D1B" w:rsidP="005C2ED6">
      <w:pPr>
        <w:spacing w:before="120" w:after="120"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 xml:space="preserve">En este sentido, la verificación del aporte al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w:t>
      </w:r>
      <w:r w:rsidRPr="005C2ED6">
        <w:rPr>
          <w:rFonts w:ascii="Arial" w:eastAsia="Calibri" w:hAnsi="Arial" w:cs="Arial"/>
          <w:sz w:val="22"/>
          <w:szCs w:val="22"/>
          <w:lang w:val="es-ES"/>
        </w:rPr>
        <w:lastRenderedPageBreak/>
        <w:t xml:space="preserve">Integral de sus empleados se debe aportar con la presentación de la oferta, y este constituye un criterio de admisión de la oferta. Lo anterior sin perjuicio de que durante la ejecución del contrato también se acredite el pago al Sistema de Seguridad Social Integral para pagar las cuentas o facturas si a ello hubiere lugar. </w:t>
      </w:r>
    </w:p>
    <w:p w14:paraId="43EAD441" w14:textId="77777777" w:rsidR="00D21D1B" w:rsidRPr="005C2ED6" w:rsidRDefault="00D21D1B" w:rsidP="005C2ED6">
      <w:pPr>
        <w:spacing w:before="120" w:after="120"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 xml:space="preserve">Asimismo,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22DD8EF1" w14:textId="77777777" w:rsidR="00D21D1B" w:rsidRPr="005C2ED6" w:rsidRDefault="00D21D1B" w:rsidP="005C2ED6">
      <w:pPr>
        <w:spacing w:after="120" w:line="276" w:lineRule="auto"/>
        <w:ind w:firstLine="708"/>
        <w:jc w:val="both"/>
        <w:rPr>
          <w:rFonts w:ascii="Arial" w:eastAsia="Calibri" w:hAnsi="Arial" w:cs="Arial"/>
          <w:sz w:val="22"/>
          <w:szCs w:val="22"/>
          <w:lang w:val="es-ES"/>
        </w:rPr>
      </w:pPr>
      <w:r w:rsidRPr="005C2ED6">
        <w:rPr>
          <w:rFonts w:ascii="Arial" w:eastAsia="Calibri" w:hAnsi="Arial" w:cs="Arial"/>
          <w:sz w:val="22"/>
          <w:szCs w:val="22"/>
          <w:lang w:val="es-ES"/>
        </w:rPr>
        <w:t xml:space="preserve">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contrato como durante su ejecución y liquidación, conforme a la naturaleza jurídica de la persona con quien se va a realizar el contrato. </w:t>
      </w:r>
    </w:p>
    <w:p w14:paraId="28C17869" w14:textId="12BDCCEC" w:rsidR="00D21D1B" w:rsidRPr="005C2ED6" w:rsidRDefault="00D21D1B" w:rsidP="005C2ED6">
      <w:pPr>
        <w:widowControl w:val="0"/>
        <w:autoSpaceDE w:val="0"/>
        <w:autoSpaceDN w:val="0"/>
        <w:spacing w:after="120" w:line="276" w:lineRule="auto"/>
        <w:ind w:firstLine="708"/>
        <w:jc w:val="both"/>
        <w:rPr>
          <w:rFonts w:ascii="Arial" w:eastAsia="Arial" w:hAnsi="Arial" w:cs="Arial"/>
          <w:sz w:val="22"/>
          <w:szCs w:val="22"/>
          <w:lang w:val="es-ES"/>
        </w:rPr>
      </w:pPr>
      <w:r w:rsidRPr="005C2ED6">
        <w:rPr>
          <w:rFonts w:ascii="Arial" w:eastAsia="Arial" w:hAnsi="Arial" w:cs="Arial"/>
          <w:sz w:val="22"/>
          <w:szCs w:val="22"/>
          <w:lang w:val="es-ES"/>
        </w:rPr>
        <w:t xml:space="preserve">En concordancia con lo expuesto, en el </w:t>
      </w:r>
      <w:r w:rsidRPr="005C2ED6">
        <w:rPr>
          <w:rFonts w:ascii="Arial" w:eastAsia="Calibri" w:hAnsi="Arial" w:cs="Arial"/>
          <w:noProof/>
          <w:sz w:val="22"/>
          <w:szCs w:val="22"/>
          <w:lang w:val="es-ES_tradnl"/>
        </w:rPr>
        <w:t xml:space="preserve">«Documento Base» </w:t>
      </w:r>
      <w:r w:rsidR="001542FF">
        <w:rPr>
          <w:rFonts w:ascii="Arial" w:eastAsia="Calibri" w:hAnsi="Arial" w:cs="Arial"/>
          <w:noProof/>
          <w:sz w:val="22"/>
          <w:szCs w:val="22"/>
          <w:lang w:val="es-ES_tradnl"/>
        </w:rPr>
        <w:t xml:space="preserve">de los </w:t>
      </w:r>
      <w:r w:rsidR="001542FF" w:rsidRPr="005C2ED6">
        <w:rPr>
          <w:rFonts w:ascii="Arial" w:eastAsia="Calibri" w:hAnsi="Arial" w:cs="Arial"/>
          <w:bCs/>
          <w:noProof/>
          <w:sz w:val="22"/>
          <w:szCs w:val="22"/>
          <w:lang w:val="es-ES_tradnl"/>
        </w:rPr>
        <w:t>Documento</w:t>
      </w:r>
      <w:r w:rsidR="001542FF">
        <w:rPr>
          <w:rFonts w:ascii="Arial" w:eastAsia="Calibri" w:hAnsi="Arial" w:cs="Arial"/>
          <w:bCs/>
          <w:noProof/>
          <w:sz w:val="22"/>
          <w:szCs w:val="22"/>
          <w:lang w:val="es-ES_tradnl"/>
        </w:rPr>
        <w:t>s</w:t>
      </w:r>
      <w:r w:rsidR="001542FF" w:rsidRPr="005C2ED6">
        <w:rPr>
          <w:rFonts w:ascii="Arial" w:eastAsia="Calibri" w:hAnsi="Arial" w:cs="Arial"/>
          <w:bCs/>
          <w:noProof/>
          <w:sz w:val="22"/>
          <w:szCs w:val="22"/>
          <w:lang w:val="es-ES_tradnl"/>
        </w:rPr>
        <w:t xml:space="preserve"> Tipo de </w:t>
      </w:r>
      <w:r w:rsidR="001542FF" w:rsidRPr="005C2ED6">
        <w:rPr>
          <w:rFonts w:ascii="Arial" w:eastAsia="Calibri" w:hAnsi="Arial" w:cs="Arial"/>
          <w:noProof/>
          <w:sz w:val="22"/>
          <w:szCs w:val="22"/>
          <w:lang w:val="es-ES_tradnl"/>
        </w:rPr>
        <w:t>licitación de obra pública de infraestructura de transporte – Versión 3</w:t>
      </w:r>
      <w:r w:rsidR="001542FF">
        <w:rPr>
          <w:rFonts w:ascii="Arial" w:eastAsia="Calibri" w:hAnsi="Arial" w:cs="Arial"/>
          <w:noProof/>
          <w:sz w:val="22"/>
          <w:szCs w:val="22"/>
          <w:lang w:val="es-ES_tradnl"/>
        </w:rPr>
        <w:t xml:space="preserve"> </w:t>
      </w:r>
      <w:r w:rsidRPr="005C2ED6">
        <w:rPr>
          <w:rFonts w:ascii="Arial" w:eastAsia="Arial" w:hAnsi="Arial" w:cs="Arial"/>
          <w:sz w:val="22"/>
          <w:szCs w:val="22"/>
          <w:lang w:val="es-ES"/>
        </w:rPr>
        <w:t>se establecen los requisitos habilitantes y los criterios para la ponderación de las propuestas, dentro de los cuales se encuentra la acreditación de pagos al Sistema de Seguridad Social, estableciendo en el numeral 3.4: i) las reglas para la acreditación de aportes al Sistema de Seguridad Social Integral y parafiscales, ii) los proponentes personas jurídicas deben acreditar este requisito con la suscripción y presentación del «Formato 6 – Pagos de seguridad social y aportes legales», iii) los proponentes personas naturales lo deben</w:t>
      </w:r>
      <w:r w:rsidR="00AB6307">
        <w:rPr>
          <w:rFonts w:ascii="Arial" w:eastAsia="Arial" w:hAnsi="Arial" w:cs="Arial"/>
          <w:sz w:val="22"/>
          <w:szCs w:val="22"/>
          <w:lang w:val="es-ES"/>
        </w:rPr>
        <w:t xml:space="preserve"> cumplir</w:t>
      </w:r>
      <w:r w:rsidRPr="005C2ED6">
        <w:rPr>
          <w:rFonts w:ascii="Arial" w:eastAsia="Arial" w:hAnsi="Arial" w:cs="Arial"/>
          <w:sz w:val="22"/>
          <w:szCs w:val="22"/>
          <w:lang w:val="es-ES"/>
        </w:rPr>
        <w:t xml:space="preserve"> acredita</w:t>
      </w:r>
      <w:r w:rsidR="00AB6307">
        <w:rPr>
          <w:rFonts w:ascii="Arial" w:eastAsia="Arial" w:hAnsi="Arial" w:cs="Arial"/>
          <w:sz w:val="22"/>
          <w:szCs w:val="22"/>
          <w:lang w:val="es-ES"/>
        </w:rPr>
        <w:t>ndo</w:t>
      </w:r>
      <w:r w:rsidRPr="005C2ED6">
        <w:rPr>
          <w:rFonts w:ascii="Arial" w:eastAsia="Arial" w:hAnsi="Arial" w:cs="Arial"/>
          <w:sz w:val="22"/>
          <w:szCs w:val="22"/>
          <w:lang w:val="es-ES"/>
        </w:rPr>
        <w:t xml:space="preserve"> </w:t>
      </w:r>
      <w:r w:rsidR="00AB6307" w:rsidRPr="00AB6307">
        <w:rPr>
          <w:rFonts w:ascii="Arial" w:eastAsia="Arial" w:hAnsi="Arial" w:cs="Arial"/>
          <w:sz w:val="22"/>
          <w:szCs w:val="22"/>
          <w:lang w:val="es-ES"/>
        </w:rPr>
        <w:t>la afiliación a los sistemas de seguridad social en salud y pensiones aportando los certificados de afiliación respectivos</w:t>
      </w:r>
      <w:r w:rsidR="00AB6307" w:rsidRPr="00AB6307" w:rsidDel="00AB6307">
        <w:rPr>
          <w:rFonts w:ascii="Arial" w:eastAsia="Arial" w:hAnsi="Arial" w:cs="Arial"/>
          <w:sz w:val="22"/>
          <w:szCs w:val="22"/>
          <w:lang w:val="es-ES"/>
        </w:rPr>
        <w:t xml:space="preserve"> </w:t>
      </w:r>
      <w:r w:rsidR="00AB6307">
        <w:rPr>
          <w:rFonts w:ascii="Arial" w:eastAsia="Arial" w:hAnsi="Arial" w:cs="Arial"/>
          <w:sz w:val="22"/>
          <w:szCs w:val="22"/>
          <w:lang w:val="es-ES"/>
        </w:rPr>
        <w:t>o mediante el certificado de pago de la planilla correspondiente</w:t>
      </w:r>
      <w:r w:rsidRPr="005C2ED6">
        <w:rPr>
          <w:rFonts w:ascii="Arial" w:eastAsia="Arial" w:hAnsi="Arial" w:cs="Arial"/>
          <w:sz w:val="22"/>
          <w:szCs w:val="22"/>
          <w:lang w:val="es-ES"/>
        </w:rPr>
        <w:t>, iv) los integrantes de los proponentes plurales deben acreditar el cumplimiento con las obligaciones al Sistema de Seguridad Social Integral de manera independiente, según se trate de personas naturales o jurídicas, en la forma enunciada anteriormente, v) para efectos de la suscripción del contrato, el adjudicatario debe presentar declaración donde acredite el pago correspondiente a seguridad social y aportes legales cuando a ello haya lugar.</w:t>
      </w:r>
    </w:p>
    <w:p w14:paraId="21352B37" w14:textId="77777777" w:rsidR="00D21D1B" w:rsidRPr="005C2ED6" w:rsidRDefault="00D21D1B" w:rsidP="005C2ED6">
      <w:pPr>
        <w:widowControl w:val="0"/>
        <w:autoSpaceDE w:val="0"/>
        <w:autoSpaceDN w:val="0"/>
        <w:spacing w:after="120" w:line="276" w:lineRule="auto"/>
        <w:ind w:firstLine="708"/>
        <w:jc w:val="both"/>
        <w:rPr>
          <w:rFonts w:ascii="Arial" w:eastAsia="Calibri" w:hAnsi="Arial" w:cs="Arial"/>
          <w:bCs/>
          <w:noProof/>
          <w:sz w:val="22"/>
          <w:szCs w:val="22"/>
          <w:lang w:val="es-ES_tradnl"/>
        </w:rPr>
      </w:pPr>
      <w:r w:rsidRPr="005C2ED6">
        <w:rPr>
          <w:rFonts w:ascii="Arial" w:eastAsia="Arial" w:hAnsi="Arial" w:cs="Arial"/>
          <w:sz w:val="22"/>
          <w:szCs w:val="22"/>
          <w:lang w:val="es-ES"/>
        </w:rPr>
        <w:t>En lo concerniente al tema de consulta, obedeciendo al marco legal previsto en la materia, e</w:t>
      </w:r>
      <w:r w:rsidRPr="005C2ED6">
        <w:rPr>
          <w:rFonts w:ascii="Arial" w:eastAsia="Calibri" w:hAnsi="Arial" w:cs="Arial"/>
          <w:bCs/>
          <w:noProof/>
          <w:sz w:val="22"/>
          <w:szCs w:val="22"/>
          <w:lang w:val="es-ES_tradnl"/>
        </w:rPr>
        <w:t xml:space="preserve">l numeral 3.4.1. del «Documento Base» del Documento Tipo de </w:t>
      </w:r>
      <w:r w:rsidRPr="005C2ED6">
        <w:rPr>
          <w:rFonts w:ascii="Arial" w:eastAsia="Calibri" w:hAnsi="Arial" w:cs="Arial"/>
          <w:noProof/>
          <w:sz w:val="22"/>
          <w:szCs w:val="22"/>
          <w:lang w:val="es-ES_tradnl"/>
        </w:rPr>
        <w:t xml:space="preserve">licitación de obra pública de infraestructura de transporte – Versión 3, establece que las personas jurídicas deben presentar el </w:t>
      </w:r>
      <w:r w:rsidRPr="005C2ED6">
        <w:rPr>
          <w:rFonts w:ascii="Arial" w:eastAsia="Calibri" w:hAnsi="Arial" w:cs="Arial"/>
          <w:bCs/>
          <w:noProof/>
          <w:sz w:val="22"/>
          <w:szCs w:val="22"/>
          <w:lang w:val="es-ES_tradnl"/>
        </w:rPr>
        <w:t xml:space="preserve">Formato 6 – Pagos de seguridad social y aportes legales suscrito por el representante legal de la persona jurídica o el revisor fiscal, según corresponda, </w:t>
      </w:r>
      <w:r w:rsidRPr="005C2ED6">
        <w:rPr>
          <w:rFonts w:ascii="Arial" w:eastAsia="Calibri" w:hAnsi="Arial" w:cs="Arial"/>
          <w:noProof/>
          <w:sz w:val="22"/>
          <w:szCs w:val="22"/>
          <w:lang w:val="es-ES_tradnl"/>
        </w:rPr>
        <w:t xml:space="preserve">bajo la gravedad del juramento. En dicho numeral se establece que basta con la presentación de </w:t>
      </w:r>
      <w:r w:rsidRPr="005C2ED6">
        <w:rPr>
          <w:rFonts w:ascii="Arial" w:eastAsia="Calibri" w:hAnsi="Arial" w:cs="Arial"/>
          <w:noProof/>
          <w:sz w:val="22"/>
          <w:szCs w:val="22"/>
          <w:lang w:val="es-ES_tradnl"/>
        </w:rPr>
        <w:lastRenderedPageBreak/>
        <w:t>dicho formato, aclarando expresamente que</w:t>
      </w:r>
      <w:r w:rsidRPr="005C2ED6">
        <w:rPr>
          <w:rFonts w:ascii="Arial" w:eastAsia="Calibri" w:hAnsi="Arial" w:cs="Arial"/>
          <w:bCs/>
          <w:noProof/>
          <w:sz w:val="22"/>
          <w:szCs w:val="22"/>
          <w:lang w:val="es-ES_tradnl"/>
        </w:rPr>
        <w:t xml:space="preserve"> «La entidad no exigirá las planillas de pago. Bastará el certificado suscrito por el revisor fiscal, en los casos requeridos por la ley, o por el representante legal que así lo acredite».</w:t>
      </w:r>
    </w:p>
    <w:p w14:paraId="0FC79302" w14:textId="3A8B9E77" w:rsidR="00D21D1B" w:rsidRPr="005C2ED6" w:rsidRDefault="00D21D1B" w:rsidP="005C2ED6">
      <w:pPr>
        <w:tabs>
          <w:tab w:val="left" w:pos="426"/>
        </w:tabs>
        <w:spacing w:line="276" w:lineRule="auto"/>
        <w:jc w:val="both"/>
        <w:rPr>
          <w:rFonts w:ascii="Arial" w:eastAsia="Calibri" w:hAnsi="Arial" w:cs="Arial"/>
          <w:bCs/>
          <w:noProof/>
          <w:sz w:val="22"/>
          <w:szCs w:val="22"/>
          <w:lang w:val="es-ES_tradnl"/>
        </w:rPr>
      </w:pPr>
      <w:r>
        <w:rPr>
          <w:rFonts w:ascii="Arial" w:eastAsia="Calibri" w:hAnsi="Arial" w:cs="Arial"/>
          <w:bCs/>
          <w:noProof/>
          <w:sz w:val="22"/>
          <w:szCs w:val="22"/>
          <w:lang w:val="es-ES_tradnl"/>
        </w:rPr>
        <w:tab/>
      </w:r>
      <w:r w:rsidRPr="005C2ED6">
        <w:rPr>
          <w:rFonts w:ascii="Arial" w:eastAsia="Calibri" w:hAnsi="Arial" w:cs="Arial"/>
          <w:bCs/>
          <w:noProof/>
          <w:sz w:val="22"/>
          <w:szCs w:val="22"/>
          <w:lang w:val="es-ES_tradnl"/>
        </w:rPr>
        <w:t xml:space="preserve">En cuanto a los proponentes personas naturales, el numeral 3.4.2. del </w:t>
      </w:r>
      <w:r w:rsidRPr="005C2ED6">
        <w:rPr>
          <w:rFonts w:ascii="Arial" w:eastAsia="Calibri" w:hAnsi="Arial" w:cs="Arial"/>
          <w:noProof/>
          <w:sz w:val="22"/>
          <w:szCs w:val="22"/>
          <w:lang w:val="es-ES_tradnl"/>
        </w:rPr>
        <w:t xml:space="preserve">«Documento Base» </w:t>
      </w:r>
      <w:r w:rsidRPr="005C2ED6">
        <w:rPr>
          <w:rFonts w:ascii="Arial" w:eastAsia="Calibri" w:hAnsi="Arial" w:cs="Arial"/>
          <w:bCs/>
          <w:noProof/>
          <w:sz w:val="22"/>
          <w:szCs w:val="22"/>
          <w:lang w:val="es-ES_tradnl"/>
        </w:rPr>
        <w:t xml:space="preserve">establece que la acreditación de la afiliación a los sistemas de seguridad social en salud y pensiones, puede surtirse aportando los certificados de afiliación respectivos o el certificado de pago de la correspondiente planilla; la conjunción disyuntiva </w:t>
      </w:r>
      <w:r w:rsidRPr="005C2ED6">
        <w:rPr>
          <w:rFonts w:ascii="Arial" w:eastAsia="Calibri" w:hAnsi="Arial" w:cs="Arial"/>
          <w:noProof/>
          <w:sz w:val="22"/>
          <w:szCs w:val="22"/>
          <w:lang w:val="es-ES_tradnl"/>
        </w:rPr>
        <w:t>«</w:t>
      </w:r>
      <w:r w:rsidRPr="005C2ED6">
        <w:rPr>
          <w:rFonts w:ascii="Arial" w:eastAsia="Calibri" w:hAnsi="Arial" w:cs="Arial"/>
          <w:bCs/>
          <w:noProof/>
          <w:sz w:val="22"/>
          <w:szCs w:val="22"/>
          <w:lang w:val="es-ES_tradnl"/>
        </w:rPr>
        <w:t>o</w:t>
      </w:r>
      <w:r w:rsidRPr="005C2ED6">
        <w:rPr>
          <w:rFonts w:ascii="Arial" w:eastAsia="Calibri" w:hAnsi="Arial" w:cs="Arial"/>
          <w:noProof/>
          <w:sz w:val="22"/>
          <w:szCs w:val="22"/>
          <w:lang w:val="es-ES_tradnl"/>
        </w:rPr>
        <w:t>»</w:t>
      </w:r>
      <w:r w:rsidRPr="005C2ED6">
        <w:rPr>
          <w:rFonts w:ascii="Arial" w:eastAsia="Calibri" w:hAnsi="Arial" w:cs="Arial"/>
          <w:bCs/>
          <w:noProof/>
          <w:sz w:val="22"/>
          <w:szCs w:val="22"/>
          <w:lang w:val="es-ES_tradnl"/>
        </w:rPr>
        <w:t xml:space="preserve"> permite inferir que dicha acreditación se surtirá con alguna de las dos opciones, por lo que bien puede la persona aportar solo los certificados de afiliación u optar por allegar el certificado de pago</w:t>
      </w:r>
      <w:r w:rsidRPr="005C2ED6">
        <w:rPr>
          <w:rStyle w:val="Refdenotaalpie"/>
          <w:rFonts w:ascii="Arial" w:eastAsia="Calibri" w:hAnsi="Arial" w:cs="Arial"/>
          <w:bCs/>
          <w:noProof/>
          <w:sz w:val="22"/>
          <w:szCs w:val="22"/>
          <w:lang w:val="es-ES_tradnl"/>
        </w:rPr>
        <w:footnoteReference w:id="16"/>
      </w:r>
      <w:r w:rsidRPr="005C2ED6">
        <w:rPr>
          <w:rFonts w:ascii="Arial" w:eastAsia="Calibri" w:hAnsi="Arial" w:cs="Arial"/>
          <w:bCs/>
          <w:noProof/>
          <w:sz w:val="22"/>
          <w:szCs w:val="22"/>
          <w:lang w:val="es-ES_tradnl"/>
        </w:rPr>
        <w:t>. En consecuencia la entidad no podría rechazar al proponente que eligió cumplir con este requisito allegando solo los certificados de afiliación, sin perjuicio de las normas que regulan lo relativo a la afiliación, oportunidad en el pago de dichos aportes y el  requerimiento de presentar una declaración donde acredite el pago en caso de resultar adjudicatario, correspondiendo a las entidades estatales su verificación.</w:t>
      </w:r>
    </w:p>
    <w:p w14:paraId="5BDC042D" w14:textId="426C2615" w:rsidR="00D21D1B" w:rsidRDefault="00D21D1B" w:rsidP="005C2ED6">
      <w:pPr>
        <w:spacing w:line="276" w:lineRule="auto"/>
        <w:jc w:val="both"/>
        <w:rPr>
          <w:rFonts w:ascii="Arial" w:eastAsia="Calibri" w:hAnsi="Arial" w:cs="Arial"/>
          <w:b/>
          <w:bCs/>
          <w:sz w:val="22"/>
          <w:lang w:val="es-ES_tradnl"/>
        </w:rPr>
      </w:pPr>
    </w:p>
    <w:p w14:paraId="2AA3308A" w14:textId="796A6B78" w:rsidR="00D21D1B" w:rsidRPr="005C2ED6" w:rsidRDefault="00D21D1B" w:rsidP="005C2ED6">
      <w:pPr>
        <w:tabs>
          <w:tab w:val="left" w:pos="426"/>
        </w:tabs>
        <w:spacing w:line="276" w:lineRule="auto"/>
        <w:jc w:val="both"/>
        <w:rPr>
          <w:rFonts w:ascii="Arial" w:eastAsia="Calibri" w:hAnsi="Arial" w:cs="Arial"/>
          <w:b/>
          <w:noProof/>
          <w:sz w:val="22"/>
          <w:szCs w:val="22"/>
        </w:rPr>
      </w:pPr>
      <w:r w:rsidRPr="005C2ED6">
        <w:rPr>
          <w:rFonts w:ascii="Arial" w:eastAsia="Calibri" w:hAnsi="Arial" w:cs="Arial"/>
          <w:b/>
          <w:noProof/>
          <w:sz w:val="22"/>
          <w:szCs w:val="22"/>
          <w:lang w:val="es-ES_tradnl"/>
        </w:rPr>
        <w:t>2.</w:t>
      </w:r>
      <w:r w:rsidR="005D0A4F">
        <w:rPr>
          <w:rFonts w:ascii="Arial" w:eastAsia="Calibri" w:hAnsi="Arial" w:cs="Arial"/>
          <w:b/>
          <w:noProof/>
          <w:sz w:val="22"/>
          <w:szCs w:val="22"/>
          <w:lang w:val="es-ES_tradnl"/>
        </w:rPr>
        <w:t>3.</w:t>
      </w:r>
      <w:r w:rsidRPr="005C2ED6">
        <w:rPr>
          <w:rFonts w:ascii="Arial" w:eastAsia="Calibri" w:hAnsi="Arial" w:cs="Arial"/>
          <w:b/>
          <w:noProof/>
          <w:sz w:val="22"/>
          <w:szCs w:val="22"/>
          <w:lang w:val="es-ES_tradnl"/>
        </w:rPr>
        <w:t xml:space="preserve"> T</w:t>
      </w:r>
      <w:r w:rsidRPr="005C2ED6">
        <w:rPr>
          <w:rFonts w:ascii="Arial" w:eastAsia="Calibri" w:hAnsi="Arial" w:cs="Arial"/>
          <w:b/>
          <w:noProof/>
          <w:sz w:val="22"/>
          <w:szCs w:val="22"/>
        </w:rPr>
        <w:t>axatividad e inalterabilidad de las causales de rechazo</w:t>
      </w:r>
      <w:r w:rsidR="00EF6E31">
        <w:rPr>
          <w:rFonts w:ascii="Arial" w:eastAsia="Calibri" w:hAnsi="Arial" w:cs="Arial"/>
          <w:b/>
          <w:noProof/>
          <w:sz w:val="22"/>
          <w:szCs w:val="22"/>
        </w:rPr>
        <w:t>. A</w:t>
      </w:r>
      <w:r w:rsidRPr="005C2ED6">
        <w:rPr>
          <w:rFonts w:ascii="Arial" w:eastAsia="Calibri" w:hAnsi="Arial" w:cs="Arial"/>
          <w:b/>
          <w:noProof/>
          <w:sz w:val="22"/>
          <w:szCs w:val="22"/>
        </w:rPr>
        <w:t>plicación plena de otros deberes legales</w:t>
      </w:r>
      <w:r w:rsidR="00EE4CED">
        <w:rPr>
          <w:rFonts w:ascii="Arial" w:eastAsia="Calibri" w:hAnsi="Arial" w:cs="Arial"/>
          <w:b/>
          <w:noProof/>
          <w:sz w:val="22"/>
          <w:szCs w:val="22"/>
        </w:rPr>
        <w:t xml:space="preserve"> y r</w:t>
      </w:r>
      <w:r w:rsidRPr="005C2ED6">
        <w:rPr>
          <w:rFonts w:ascii="Arial" w:eastAsia="Calibri" w:hAnsi="Arial" w:cs="Arial"/>
          <w:b/>
          <w:noProof/>
          <w:sz w:val="22"/>
          <w:szCs w:val="22"/>
        </w:rPr>
        <w:t>eferencia al artículo 17 de la Ley 842 de 2003</w:t>
      </w:r>
    </w:p>
    <w:p w14:paraId="5189F5B9" w14:textId="77777777" w:rsidR="00D21D1B" w:rsidRPr="005C2ED6" w:rsidRDefault="00D21D1B" w:rsidP="005C2ED6">
      <w:pPr>
        <w:tabs>
          <w:tab w:val="left" w:pos="426"/>
        </w:tabs>
        <w:spacing w:line="276" w:lineRule="auto"/>
        <w:jc w:val="both"/>
        <w:rPr>
          <w:rFonts w:ascii="Arial" w:eastAsia="Calibri" w:hAnsi="Arial" w:cs="Arial"/>
          <w:b/>
          <w:noProof/>
          <w:sz w:val="22"/>
          <w:szCs w:val="22"/>
        </w:rPr>
      </w:pPr>
    </w:p>
    <w:p w14:paraId="34A4A102" w14:textId="02A9C179" w:rsidR="00D21D1B" w:rsidRPr="005C2ED6" w:rsidRDefault="00EE4CED" w:rsidP="005C2ED6">
      <w:pPr>
        <w:tabs>
          <w:tab w:val="left" w:pos="709"/>
          <w:tab w:val="left" w:pos="851"/>
        </w:tabs>
        <w:spacing w:after="120" w:line="276" w:lineRule="auto"/>
        <w:jc w:val="both"/>
        <w:rPr>
          <w:rFonts w:ascii="Arial" w:hAnsi="Arial" w:cs="Arial"/>
          <w:sz w:val="22"/>
          <w:szCs w:val="22"/>
        </w:rPr>
      </w:pPr>
      <w:r>
        <w:rPr>
          <w:rFonts w:ascii="Arial" w:hAnsi="Arial" w:cs="Arial"/>
          <w:sz w:val="22"/>
          <w:szCs w:val="22"/>
        </w:rPr>
        <w:t>Esta</w:t>
      </w:r>
      <w:r w:rsidR="00D21D1B" w:rsidRPr="005C2ED6">
        <w:rPr>
          <w:rFonts w:ascii="Arial" w:hAnsi="Arial" w:cs="Arial"/>
          <w:sz w:val="22"/>
          <w:szCs w:val="22"/>
        </w:rPr>
        <w:t xml:space="preserve"> Agencia</w:t>
      </w:r>
      <w:r>
        <w:rPr>
          <w:rFonts w:ascii="Arial" w:hAnsi="Arial" w:cs="Arial"/>
          <w:sz w:val="22"/>
          <w:szCs w:val="22"/>
        </w:rPr>
        <w:t xml:space="preserve">, </w:t>
      </w:r>
      <w:r w:rsidR="00D21D1B" w:rsidRPr="005C2ED6">
        <w:rPr>
          <w:rFonts w:ascii="Arial" w:hAnsi="Arial" w:cs="Arial"/>
          <w:sz w:val="22"/>
          <w:szCs w:val="22"/>
        </w:rPr>
        <w:t>mediante los conceptos con radicados Nos. 2201913000007117 del 25 de septiembre de 2019, 2201913000009538 del 23 de diciembre de 2019</w:t>
      </w:r>
      <w:r w:rsidR="002104A7">
        <w:rPr>
          <w:rFonts w:ascii="Arial" w:hAnsi="Arial" w:cs="Arial"/>
          <w:sz w:val="22"/>
          <w:szCs w:val="22"/>
        </w:rPr>
        <w:t>,</w:t>
      </w:r>
      <w:r w:rsidR="00D21D1B" w:rsidRPr="005C2ED6">
        <w:rPr>
          <w:rFonts w:ascii="Arial" w:hAnsi="Arial" w:cs="Arial"/>
          <w:sz w:val="22"/>
          <w:szCs w:val="22"/>
        </w:rPr>
        <w:t xml:space="preserve"> C- 716 del 30 de octubre de 2020</w:t>
      </w:r>
      <w:r w:rsidR="002104A7">
        <w:rPr>
          <w:rFonts w:ascii="Arial" w:hAnsi="Arial" w:cs="Arial"/>
          <w:sz w:val="22"/>
          <w:szCs w:val="22"/>
        </w:rPr>
        <w:t xml:space="preserve"> y C-096 del 24 de marzo de 2021</w:t>
      </w:r>
      <w:r w:rsidR="00D21D1B" w:rsidRPr="005C2ED6">
        <w:rPr>
          <w:rFonts w:ascii="Arial" w:hAnsi="Arial" w:cs="Arial"/>
          <w:sz w:val="22"/>
          <w:szCs w:val="22"/>
        </w:rPr>
        <w:t>, entre otros, ha señalado que las causales de rechazo de las ofertas establecidas en los documentos tipo son taxativas, descartándose la</w:t>
      </w:r>
      <w:r w:rsidR="00B57086">
        <w:rPr>
          <w:rFonts w:ascii="Arial" w:hAnsi="Arial" w:cs="Arial"/>
          <w:sz w:val="22"/>
          <w:szCs w:val="22"/>
        </w:rPr>
        <w:t xml:space="preserve"> posibilidad de que la</w:t>
      </w:r>
      <w:r w:rsidR="00D21D1B" w:rsidRPr="005C2ED6">
        <w:rPr>
          <w:rFonts w:ascii="Arial" w:hAnsi="Arial" w:cs="Arial"/>
          <w:sz w:val="22"/>
          <w:szCs w:val="22"/>
        </w:rPr>
        <w:t xml:space="preserve"> entidad </w:t>
      </w:r>
      <w:r w:rsidR="00B57086">
        <w:rPr>
          <w:rFonts w:ascii="Arial" w:hAnsi="Arial" w:cs="Arial"/>
          <w:sz w:val="22"/>
          <w:szCs w:val="22"/>
        </w:rPr>
        <w:t xml:space="preserve">estatal </w:t>
      </w:r>
      <w:r w:rsidR="00D21D1B" w:rsidRPr="005C2ED6">
        <w:rPr>
          <w:rFonts w:ascii="Arial" w:hAnsi="Arial" w:cs="Arial"/>
          <w:sz w:val="22"/>
          <w:szCs w:val="22"/>
        </w:rPr>
        <w:t>introduzca nuevas, salvo las contempladas directamente en la ley.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w:t>
      </w:r>
    </w:p>
    <w:p w14:paraId="2AC1ABA9" w14:textId="362F675E" w:rsidR="00D21D1B" w:rsidRPr="005C2ED6" w:rsidRDefault="00D21D1B" w:rsidP="005C2ED6">
      <w:pPr>
        <w:tabs>
          <w:tab w:val="left" w:pos="709"/>
          <w:tab w:val="left" w:pos="851"/>
        </w:tabs>
        <w:spacing w:after="120" w:line="276" w:lineRule="auto"/>
        <w:jc w:val="both"/>
        <w:rPr>
          <w:rFonts w:ascii="Arial" w:hAnsi="Arial" w:cs="Arial"/>
          <w:color w:val="000000" w:themeColor="text1"/>
          <w:sz w:val="22"/>
          <w:szCs w:val="22"/>
        </w:rPr>
      </w:pPr>
      <w:r>
        <w:rPr>
          <w:rFonts w:ascii="Arial" w:hAnsi="Arial" w:cs="Arial"/>
          <w:sz w:val="22"/>
          <w:szCs w:val="22"/>
        </w:rPr>
        <w:tab/>
      </w:r>
      <w:r w:rsidRPr="005C2ED6">
        <w:rPr>
          <w:rFonts w:ascii="Arial" w:hAnsi="Arial" w:cs="Arial"/>
          <w:sz w:val="22"/>
          <w:szCs w:val="22"/>
        </w:rPr>
        <w:t>De acuerdo con lo anterior, al consultar el</w:t>
      </w:r>
      <w:r w:rsidRPr="005C2ED6">
        <w:rPr>
          <w:rFonts w:ascii="Arial" w:hAnsi="Arial" w:cs="Arial"/>
          <w:color w:val="000000" w:themeColor="text1"/>
          <w:sz w:val="22"/>
          <w:szCs w:val="22"/>
        </w:rPr>
        <w:t xml:space="preserve"> numeral 1.15</w:t>
      </w:r>
      <w:r w:rsidRPr="005C2ED6">
        <w:rPr>
          <w:rFonts w:ascii="Arial" w:hAnsi="Arial" w:cs="Arial"/>
          <w:sz w:val="22"/>
          <w:szCs w:val="22"/>
        </w:rPr>
        <w:t xml:space="preserve"> </w:t>
      </w:r>
      <w:r w:rsidRPr="005C2ED6">
        <w:rPr>
          <w:rFonts w:ascii="Arial" w:hAnsi="Arial" w:cs="Arial"/>
          <w:color w:val="000000" w:themeColor="text1"/>
          <w:sz w:val="22"/>
          <w:szCs w:val="22"/>
        </w:rPr>
        <w:t>del pliego tipo «Documento Base» de «licitación de obra pública de infraestructura de transporte – Versión 3», que consagra el listado de las causales de rechazo aplicables a estos procedimientos de selección, se observa:</w:t>
      </w:r>
    </w:p>
    <w:p w14:paraId="62E33561" w14:textId="3B2A2F97" w:rsidR="00D21D1B" w:rsidRPr="00B57086" w:rsidRDefault="00B57086" w:rsidP="00684DE6">
      <w:pPr>
        <w:tabs>
          <w:tab w:val="left" w:pos="709"/>
        </w:tabs>
        <w:spacing w:after="120"/>
        <w:ind w:left="709"/>
        <w:jc w:val="both"/>
        <w:rPr>
          <w:rFonts w:ascii="Arial" w:eastAsia="Calibri" w:hAnsi="Arial" w:cs="Arial"/>
          <w:color w:val="000000"/>
          <w:sz w:val="21"/>
          <w:szCs w:val="21"/>
        </w:rPr>
      </w:pPr>
      <w:r w:rsidRPr="00B57086">
        <w:rPr>
          <w:rFonts w:ascii="Arial" w:eastAsia="Calibri" w:hAnsi="Arial" w:cs="Arial"/>
          <w:color w:val="000000"/>
          <w:sz w:val="21"/>
          <w:szCs w:val="21"/>
        </w:rPr>
        <w:t>«</w:t>
      </w:r>
      <w:r w:rsidR="00D21D1B" w:rsidRPr="00B57086">
        <w:rPr>
          <w:rFonts w:ascii="Arial" w:eastAsia="Calibri" w:hAnsi="Arial" w:cs="Arial"/>
          <w:color w:val="000000"/>
          <w:sz w:val="21"/>
          <w:szCs w:val="21"/>
        </w:rPr>
        <w:t xml:space="preserve">Son causales de rechazo de las propuestas las siguientes </w:t>
      </w:r>
      <w:r w:rsidR="00D21D1B" w:rsidRPr="00B57086">
        <w:rPr>
          <w:rFonts w:ascii="Arial" w:eastAsia="Calibri" w:hAnsi="Arial" w:cs="Arial"/>
          <w:color w:val="000000"/>
          <w:sz w:val="21"/>
          <w:szCs w:val="21"/>
          <w:highlight w:val="lightGray"/>
        </w:rPr>
        <w:t>[Las entidades no podrán incluir causales de rechazo distintas a las señaladas en la presente sección]</w:t>
      </w:r>
      <w:r w:rsidR="00D21D1B" w:rsidRPr="00B57086">
        <w:rPr>
          <w:rFonts w:ascii="Arial" w:eastAsia="Calibri" w:hAnsi="Arial" w:cs="Arial"/>
          <w:color w:val="000000"/>
          <w:sz w:val="21"/>
          <w:szCs w:val="21"/>
        </w:rPr>
        <w:t>:</w:t>
      </w:r>
    </w:p>
    <w:p w14:paraId="4183B2EA"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lastRenderedPageBreak/>
        <w:t>Que el proponente o alguno de los integrantes del proponente plural esté incurso en causal de inhabilidad, incompatibilidad o prohibición previstas en la legislación para contratar.</w:t>
      </w:r>
    </w:p>
    <w:p w14:paraId="74738B54" w14:textId="77777777" w:rsidR="00D21D1B" w:rsidRPr="00B57086" w:rsidRDefault="00D21D1B" w:rsidP="00684DE6">
      <w:pPr>
        <w:tabs>
          <w:tab w:val="left" w:pos="709"/>
        </w:tabs>
        <w:spacing w:after="120"/>
        <w:ind w:left="709"/>
        <w:jc w:val="both"/>
        <w:rPr>
          <w:rFonts w:ascii="Arial" w:eastAsia="Calibri" w:hAnsi="Arial" w:cs="Arial"/>
          <w:color w:val="000000"/>
          <w:sz w:val="21"/>
          <w:szCs w:val="21"/>
        </w:rPr>
      </w:pPr>
      <w:r w:rsidRPr="00B57086">
        <w:rPr>
          <w:rFonts w:ascii="Arial" w:eastAsia="Calibri" w:hAnsi="Arial" w:cs="Arial"/>
          <w:color w:val="000000"/>
          <w:sz w:val="21"/>
          <w:szCs w:val="21"/>
          <w:highlight w:val="lightGray"/>
        </w:rPr>
        <w:t>[Cuando en el mismo proceso de contratación se presentan oferentes en la situación descrita por los literales g) y h) del numeral 1 del artículo 8 de la Ley 80 de 1993, la entidad solo admitirá la oferta presentada primero en el tiempo]</w:t>
      </w:r>
    </w:p>
    <w:p w14:paraId="0FB50AEE"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Cuando una misma persona natural o jurídica, o integrante de un proponente plural presente o haga parte en más de una propuesta para el presente proceso de contratación.</w:t>
      </w:r>
    </w:p>
    <w:p w14:paraId="2F711837" w14:textId="77777777" w:rsidR="00D21D1B" w:rsidRPr="00B57086" w:rsidRDefault="00D21D1B" w:rsidP="00684DE6">
      <w:pPr>
        <w:tabs>
          <w:tab w:val="left" w:pos="709"/>
        </w:tabs>
        <w:spacing w:after="120"/>
        <w:ind w:left="709"/>
        <w:jc w:val="both"/>
        <w:rPr>
          <w:rFonts w:ascii="Arial" w:eastAsia="Calibri" w:hAnsi="Arial" w:cs="Arial"/>
          <w:color w:val="000000"/>
          <w:sz w:val="21"/>
          <w:szCs w:val="21"/>
        </w:rPr>
      </w:pPr>
      <w:r w:rsidRPr="00B57086">
        <w:rPr>
          <w:rFonts w:ascii="Arial" w:eastAsia="Calibri" w:hAnsi="Arial" w:cs="Arial"/>
          <w:color w:val="000000"/>
          <w:sz w:val="21"/>
          <w:szCs w:val="21"/>
          <w:highlight w:val="lightGray"/>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B57086">
        <w:rPr>
          <w:rFonts w:ascii="Arial" w:eastAsia="Calibri" w:hAnsi="Arial" w:cs="Arial"/>
          <w:color w:val="000000"/>
          <w:sz w:val="21"/>
          <w:szCs w:val="21"/>
        </w:rPr>
        <w:t xml:space="preserve"> </w:t>
      </w:r>
    </w:p>
    <w:p w14:paraId="20BAC1F6"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Que el proponente o alguno de los integrantes del proponente plural esté reportado en el Boletín de Responsables Fiscales emitido por la Contraloría General de la República.</w:t>
      </w:r>
    </w:p>
    <w:p w14:paraId="37AFB4E3"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Que la persona jurídica proponente individual o integrante del proponente plural esté incursa en la situación descrita en el numeral 1 del artículo 38 de la Ley 1116 de 2006.</w:t>
      </w:r>
    </w:p>
    <w:p w14:paraId="6ABB3CFB"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Que el proponente no aclare, subsane o aporte documentos necesarios para cumplir un requisito habilitante o aportándolos no lo haga de forma correcta, en los términos establecidos en la sección 1.6.</w:t>
      </w:r>
    </w:p>
    <w:p w14:paraId="2C1F6531"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Que la inscripción en el Registro Único de Proponentes (RUP) que realice el proponente, por primera vez o cuando han cesado los efectos y debe volver a inscribirse, no esté en firme en la fecha prevista para el cierre del proceso de contratación.</w:t>
      </w:r>
    </w:p>
    <w:p w14:paraId="4B79D3E1"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1BC238BB"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Que el proponente aporte información inexacta sobre la cual pueda existir una posible falsedad en los términos de la sección 1.11.</w:t>
      </w:r>
    </w:p>
    <w:p w14:paraId="0507172F"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Que el proponente se encuentre inmerso en un conflicto de interés previsto en una norma de rango constitucional o legal o en la causal prevista en el numeral 1.14 del pliego de condiciones.</w:t>
      </w:r>
    </w:p>
    <w:p w14:paraId="7C1110DB"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highlight w:val="lightGray"/>
        </w:rPr>
        <w:t>[Incluir esta causal cuando las ofertas se presente en el SECOP I]</w:t>
      </w:r>
      <w:r w:rsidRPr="00B57086">
        <w:rPr>
          <w:rFonts w:ascii="Arial" w:eastAsia="Calibri" w:hAnsi="Arial" w:cs="Arial"/>
          <w:color w:val="000000"/>
          <w:sz w:val="21"/>
          <w:szCs w:val="21"/>
        </w:rPr>
        <w:t xml:space="preserve"> Que la propuesta económica no se aporte firmada.</w:t>
      </w:r>
    </w:p>
    <w:p w14:paraId="35C096E6"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No entregar la Garantía de seriedad de la oferta junto con la propuesta.</w:t>
      </w:r>
    </w:p>
    <w:p w14:paraId="3869BA6A"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Que el objeto social del proponente o el de sus integrantes no le permita ejecutar el objeto del contrato.</w:t>
      </w:r>
    </w:p>
    <w:p w14:paraId="4B214B93"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Que el valor total de la oferta o aquel revisado en la audiencia efectiva de adjudicación exceda el presupuesto oficial estimado para el proceso de contratación.</w:t>
      </w:r>
    </w:p>
    <w:p w14:paraId="575D22CA"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Presentar la oferta con tachaduras o enmendaduras que no estén convalidadas en la forma indicada en la sección 2.3 del pliego de condiciones.</w:t>
      </w:r>
    </w:p>
    <w:p w14:paraId="2B0C77CD"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themeColor="text1"/>
          <w:sz w:val="21"/>
          <w:szCs w:val="21"/>
        </w:rPr>
        <w:lastRenderedPageBreak/>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185CB3D7"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highlight w:val="lightGray"/>
        </w:rPr>
        <w:t>[Incluir solo cuando la forma de pago sea por precios unitarios]</w:t>
      </w:r>
      <w:r w:rsidRPr="00B57086">
        <w:rPr>
          <w:rFonts w:ascii="Arial" w:eastAsia="Calibri" w:hAnsi="Arial" w:cs="Arial"/>
          <w:color w:val="000000"/>
          <w:sz w:val="21"/>
          <w:szCs w:val="21"/>
        </w:rPr>
        <w:t xml:space="preserve"> No ofrecer el valor de un precio unitario u ofrecerlo en cero (0) pesos. </w:t>
      </w:r>
    </w:p>
    <w:p w14:paraId="376BF3B5"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highlight w:val="lightGray"/>
        </w:rPr>
      </w:pPr>
      <w:r w:rsidRPr="00B57086">
        <w:rPr>
          <w:rFonts w:ascii="Arial" w:eastAsia="Calibri" w:hAnsi="Arial" w:cs="Arial"/>
          <w:color w:val="000000"/>
          <w:sz w:val="21"/>
          <w:szCs w:val="21"/>
          <w:highlight w:val="lightGray"/>
        </w:rPr>
        <w:t>[Incluir solo cuando la forma de pago sea por precios unitarios]</w:t>
      </w:r>
      <w:r w:rsidRPr="00B57086">
        <w:rPr>
          <w:rFonts w:ascii="Arial" w:eastAsia="Calibri" w:hAnsi="Arial" w:cs="Arial"/>
          <w:color w:val="000000"/>
          <w:sz w:val="21"/>
          <w:szCs w:val="21"/>
        </w:rPr>
        <w:t xml:space="preserve"> Superar el valor unitario de alguno o algunos de los siguientes ítems ofrecidos con respecto al valor establecido para cada ítem del presupuesto oficial: </w:t>
      </w:r>
      <w:r w:rsidRPr="00B57086">
        <w:rPr>
          <w:rFonts w:ascii="Arial" w:eastAsia="Calibri" w:hAnsi="Arial" w:cs="Arial"/>
          <w:color w:val="000000"/>
          <w:sz w:val="21"/>
          <w:szCs w:val="21"/>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43712DDC" w14:textId="77777777" w:rsidR="00D21D1B" w:rsidRPr="00B57086" w:rsidRDefault="00D21D1B" w:rsidP="00684DE6">
      <w:pPr>
        <w:tabs>
          <w:tab w:val="left" w:pos="709"/>
        </w:tabs>
        <w:spacing w:after="120"/>
        <w:ind w:left="709"/>
        <w:jc w:val="both"/>
        <w:rPr>
          <w:rFonts w:ascii="Arial" w:eastAsia="Calibri" w:hAnsi="Arial" w:cs="Arial"/>
          <w:color w:val="000000"/>
          <w:sz w:val="21"/>
          <w:szCs w:val="21"/>
        </w:rPr>
      </w:pPr>
      <w:r w:rsidRPr="00B57086">
        <w:rPr>
          <w:rFonts w:ascii="Arial" w:eastAsia="Calibri" w:hAnsi="Arial" w:cs="Arial"/>
          <w:color w:val="000000"/>
          <w:sz w:val="21"/>
          <w:szCs w:val="21"/>
          <w:highlight w:val="lightGray"/>
        </w:rPr>
        <w:t>Para la aplicación de esta causal la entidad debe tener en cuenta que el valor unitario establecido en el Formulario 1 – Formulario de Presupuesto Oficial incluye el valor de AIU]</w:t>
      </w:r>
      <w:r w:rsidRPr="00B57086">
        <w:rPr>
          <w:rFonts w:ascii="Arial" w:eastAsia="Calibri" w:hAnsi="Arial" w:cs="Arial"/>
          <w:color w:val="000000"/>
          <w:sz w:val="21"/>
          <w:szCs w:val="21"/>
        </w:rPr>
        <w:t xml:space="preserve"> </w:t>
      </w:r>
    </w:p>
    <w:p w14:paraId="67F93938"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highlight w:val="lightGray"/>
        </w:rPr>
      </w:pPr>
      <w:r w:rsidRPr="00B57086">
        <w:rPr>
          <w:rFonts w:ascii="Arial" w:eastAsia="Calibri" w:hAnsi="Arial" w:cs="Arial"/>
          <w:color w:val="000000"/>
          <w:sz w:val="21"/>
          <w:szCs w:val="21"/>
          <w:highlight w:val="lightGray"/>
        </w:rPr>
        <w:t>[Esta causal aplica de acuerdo con la configuración de la oferta económica por parte de la entidad]</w:t>
      </w:r>
      <w:r w:rsidRPr="00B57086">
        <w:rPr>
          <w:rFonts w:ascii="Arial" w:eastAsia="Calibri" w:hAnsi="Arial" w:cs="Arial"/>
          <w:color w:val="000000"/>
          <w:sz w:val="21"/>
          <w:szCs w:val="21"/>
        </w:rPr>
        <w:t xml:space="preserve"> No discriminar en la oferta económica el porcentaje de AIU en la forma como lo establece el Pliego de Condiciones y el Formulario 1 – Formulario de presupuesto oficial. </w:t>
      </w:r>
      <w:r w:rsidRPr="00B57086">
        <w:rPr>
          <w:rFonts w:ascii="Arial" w:eastAsia="Calibri" w:hAnsi="Arial" w:cs="Arial"/>
          <w:color w:val="000000"/>
          <w:sz w:val="21"/>
          <w:szCs w:val="21"/>
          <w:highlight w:val="lightGray"/>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5F15138D"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 xml:space="preserve">Ofrecer como AIU un porcentaje cuya sumatoria sea superior al establecido por la Entidad en el </w:t>
      </w:r>
      <w:r w:rsidRPr="00B57086">
        <w:rPr>
          <w:rFonts w:ascii="Arial" w:eastAsia="Calibri" w:hAnsi="Arial" w:cs="Arial"/>
          <w:color w:val="000000"/>
          <w:sz w:val="21"/>
          <w:szCs w:val="21"/>
        </w:rPr>
        <w:fldChar w:fldCharType="begin"/>
      </w:r>
      <w:r w:rsidRPr="00B57086">
        <w:rPr>
          <w:rFonts w:ascii="Arial" w:eastAsia="Calibri" w:hAnsi="Arial" w:cs="Arial"/>
          <w:color w:val="000000"/>
          <w:sz w:val="21"/>
          <w:szCs w:val="21"/>
        </w:rPr>
        <w:instrText xml:space="preserve"> REF _Ref57725061 \h  \* MERGEFORMAT </w:instrText>
      </w:r>
      <w:r w:rsidRPr="00B57086">
        <w:rPr>
          <w:rFonts w:ascii="Arial" w:eastAsia="Calibri" w:hAnsi="Arial" w:cs="Arial"/>
          <w:color w:val="000000"/>
          <w:sz w:val="21"/>
          <w:szCs w:val="21"/>
        </w:rPr>
      </w:r>
      <w:r w:rsidRPr="00B57086">
        <w:rPr>
          <w:rFonts w:ascii="Arial" w:eastAsia="Calibri" w:hAnsi="Arial" w:cs="Arial"/>
          <w:color w:val="000000"/>
          <w:sz w:val="21"/>
          <w:szCs w:val="21"/>
        </w:rPr>
        <w:fldChar w:fldCharType="separate"/>
      </w:r>
      <w:r w:rsidRPr="00B57086">
        <w:rPr>
          <w:rFonts w:ascii="Arial" w:eastAsia="Calibri" w:hAnsi="Arial" w:cs="Arial"/>
          <w:color w:val="000000"/>
          <w:sz w:val="21"/>
          <w:szCs w:val="21"/>
        </w:rPr>
        <w:t>Formulario 1– Formulario de Presupuesto Oficial</w:t>
      </w:r>
      <w:r w:rsidRPr="00B57086">
        <w:rPr>
          <w:rFonts w:ascii="Arial" w:eastAsia="Calibri" w:hAnsi="Arial" w:cs="Arial"/>
          <w:color w:val="000000"/>
          <w:sz w:val="21"/>
          <w:szCs w:val="21"/>
        </w:rPr>
        <w:fldChar w:fldCharType="end"/>
      </w:r>
      <w:r w:rsidRPr="00B57086">
        <w:rPr>
          <w:rFonts w:ascii="Arial" w:eastAsia="Calibri" w:hAnsi="Arial" w:cs="Arial"/>
          <w:color w:val="000000"/>
          <w:sz w:val="21"/>
          <w:szCs w:val="21"/>
        </w:rPr>
        <w:t>.</w:t>
      </w:r>
    </w:p>
    <w:p w14:paraId="469BEBE1"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Cuando se presente propuesta condicionada para la adjudicación del contrato.</w:t>
      </w:r>
    </w:p>
    <w:p w14:paraId="66B4E08A"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Presentar la oferta extemporáneamente.</w:t>
      </w:r>
    </w:p>
    <w:p w14:paraId="44170B1D"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No presentar oferta económica. Entregar la información de la propuesta económica en el sobre que no corresponda.</w:t>
      </w:r>
    </w:p>
    <w:p w14:paraId="4312307A"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highlight w:val="lightGray"/>
        </w:rPr>
      </w:pPr>
      <w:r w:rsidRPr="00B57086">
        <w:rPr>
          <w:rFonts w:ascii="Arial" w:eastAsia="Calibri" w:hAnsi="Arial" w:cs="Arial"/>
          <w:color w:val="000000"/>
          <w:sz w:val="21"/>
          <w:szCs w:val="21"/>
        </w:rPr>
        <w:t xml:space="preserve">Presentar más de una oferta económica con valores distintos en el Sobre 2. </w:t>
      </w:r>
      <w:r w:rsidRPr="00B57086">
        <w:rPr>
          <w:rFonts w:ascii="Arial" w:eastAsia="Calibri" w:hAnsi="Arial" w:cs="Arial"/>
          <w:color w:val="000000"/>
          <w:sz w:val="21"/>
          <w:szCs w:val="21"/>
          <w:highlight w:val="lightGray"/>
        </w:rPr>
        <w:t>[Cuando el proceso se estructure por lotes o grupos reemplazar el texto anterior por el siguiente: Presentar más de una oferta económica con valores distintos para el mismo lote o grupo]</w:t>
      </w:r>
    </w:p>
    <w:p w14:paraId="2BDA831A"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 xml:space="preserve">Cuando se determine que el valor total de la oferta es artificialmente bajo, de acuerdo con lo establecido en la sección 4.1.3 </w:t>
      </w:r>
    </w:p>
    <w:p w14:paraId="78E43A8F"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Cuando se presenten propuestas parciales y esta posibilidad no haya sido establecida en el pliego de condiciones.</w:t>
      </w:r>
    </w:p>
    <w:p w14:paraId="66A7700A" w14:textId="77777777" w:rsidR="00D21D1B" w:rsidRPr="00B57086" w:rsidRDefault="00D21D1B" w:rsidP="00684DE6">
      <w:pPr>
        <w:numPr>
          <w:ilvl w:val="0"/>
          <w:numId w:val="15"/>
        </w:numPr>
        <w:tabs>
          <w:tab w:val="left" w:pos="709"/>
        </w:tabs>
        <w:spacing w:after="120"/>
        <w:ind w:left="709" w:hanging="283"/>
        <w:jc w:val="both"/>
        <w:rPr>
          <w:rFonts w:ascii="Arial" w:eastAsia="Calibri" w:hAnsi="Arial" w:cs="Arial"/>
          <w:color w:val="000000"/>
          <w:sz w:val="21"/>
          <w:szCs w:val="21"/>
        </w:rPr>
      </w:pPr>
      <w:r w:rsidRPr="00B57086">
        <w:rPr>
          <w:rFonts w:ascii="Arial" w:eastAsia="Calibri" w:hAnsi="Arial" w:cs="Arial"/>
          <w:color w:val="000000"/>
          <w:sz w:val="21"/>
          <w:szCs w:val="21"/>
        </w:rPr>
        <w:t>No informar todos los contratos que el proponente tenga en ejecución antes del cierre, necesarios para acreditar su capacidad residual conforme a la sección 3.10.</w:t>
      </w:r>
    </w:p>
    <w:p w14:paraId="408225A5" w14:textId="77777777" w:rsidR="00D21D1B" w:rsidRPr="00B57086" w:rsidRDefault="00D21D1B" w:rsidP="00684DE6">
      <w:pPr>
        <w:numPr>
          <w:ilvl w:val="0"/>
          <w:numId w:val="15"/>
        </w:numPr>
        <w:tabs>
          <w:tab w:val="left" w:pos="709"/>
        </w:tabs>
        <w:spacing w:after="120"/>
        <w:ind w:left="709" w:hanging="357"/>
        <w:jc w:val="both"/>
        <w:rPr>
          <w:rFonts w:ascii="Arial" w:eastAsia="Calibri" w:hAnsi="Arial" w:cs="Arial"/>
          <w:color w:val="000000"/>
          <w:sz w:val="21"/>
          <w:szCs w:val="21"/>
        </w:rPr>
      </w:pPr>
      <w:r w:rsidRPr="00B57086">
        <w:rPr>
          <w:rFonts w:ascii="Arial" w:eastAsia="Calibri" w:hAnsi="Arial" w:cs="Arial"/>
          <w:color w:val="000000"/>
          <w:sz w:val="21"/>
          <w:szCs w:val="21"/>
        </w:rPr>
        <w:t>Ofrecer un plazo superior al señalado por la entidad en el Anexo 1 – Anexo Técnico.</w:t>
      </w:r>
    </w:p>
    <w:p w14:paraId="5BEB0800" w14:textId="77777777" w:rsidR="00D21D1B" w:rsidRPr="00B57086" w:rsidRDefault="00D21D1B" w:rsidP="00684DE6">
      <w:pPr>
        <w:numPr>
          <w:ilvl w:val="0"/>
          <w:numId w:val="15"/>
        </w:numPr>
        <w:tabs>
          <w:tab w:val="left" w:pos="709"/>
        </w:tabs>
        <w:spacing w:after="120"/>
        <w:ind w:left="709" w:hanging="357"/>
        <w:jc w:val="both"/>
        <w:rPr>
          <w:rFonts w:ascii="Arial" w:eastAsia="Calibri" w:hAnsi="Arial" w:cs="Arial"/>
          <w:color w:val="000000"/>
          <w:sz w:val="21"/>
          <w:szCs w:val="21"/>
        </w:rPr>
      </w:pPr>
      <w:r w:rsidRPr="00B57086">
        <w:rPr>
          <w:rFonts w:ascii="Arial" w:eastAsia="Calibri" w:hAnsi="Arial" w:cs="Arial"/>
          <w:color w:val="000000"/>
          <w:sz w:val="21"/>
          <w:szCs w:val="21"/>
        </w:rPr>
        <w:t xml:space="preserve">Ofrecer condiciones particulares del proyecto de inferior calidad, personal profesional sin los requisitos mínimos; actividades por ejecutar y su alcance, forma de pago, obras provisionales, permisos, licencias y autorizaciones, notas técnicas específicas, y </w:t>
      </w:r>
      <w:r w:rsidRPr="00B57086">
        <w:rPr>
          <w:rFonts w:ascii="Arial" w:eastAsia="Calibri" w:hAnsi="Arial" w:cs="Arial"/>
          <w:color w:val="000000"/>
          <w:sz w:val="21"/>
          <w:szCs w:val="21"/>
        </w:rPr>
        <w:lastRenderedPageBreak/>
        <w:t>documentos técnicos adicionales, en condiciones diferentes a las establecidas por la Entidad en el Anexo 1 – Anexo Técnico.</w:t>
      </w:r>
    </w:p>
    <w:p w14:paraId="02EEBF35" w14:textId="2C0800A0" w:rsidR="00D21D1B" w:rsidRPr="005C2ED6" w:rsidRDefault="00D21D1B" w:rsidP="00684DE6">
      <w:pPr>
        <w:numPr>
          <w:ilvl w:val="0"/>
          <w:numId w:val="15"/>
        </w:numPr>
        <w:tabs>
          <w:tab w:val="left" w:pos="709"/>
        </w:tabs>
        <w:spacing w:after="120"/>
        <w:ind w:left="352" w:hanging="68"/>
        <w:jc w:val="both"/>
        <w:rPr>
          <w:rFonts w:ascii="Arial" w:eastAsia="Calibri" w:hAnsi="Arial" w:cs="Arial"/>
          <w:color w:val="000000"/>
          <w:sz w:val="22"/>
          <w:szCs w:val="22"/>
        </w:rPr>
      </w:pPr>
      <w:r w:rsidRPr="00B57086">
        <w:rPr>
          <w:rFonts w:ascii="Arial" w:eastAsia="Calibri" w:hAnsi="Arial" w:cs="Arial"/>
          <w:color w:val="000000"/>
          <w:sz w:val="21"/>
          <w:szCs w:val="21"/>
        </w:rPr>
        <w:t>Las demás previstas en la ley.</w:t>
      </w:r>
      <w:r w:rsidR="00B57086" w:rsidRPr="00B57086">
        <w:rPr>
          <w:rFonts w:ascii="Arial" w:eastAsia="Calibri" w:hAnsi="Arial" w:cs="Arial"/>
          <w:color w:val="000000"/>
          <w:sz w:val="21"/>
          <w:szCs w:val="21"/>
        </w:rPr>
        <w:t>»</w:t>
      </w:r>
    </w:p>
    <w:p w14:paraId="1C2A0C3A" w14:textId="2163473F" w:rsidR="00D21D1B" w:rsidRPr="005C2ED6" w:rsidRDefault="00D21D1B" w:rsidP="005C2ED6">
      <w:pPr>
        <w:tabs>
          <w:tab w:val="left" w:pos="709"/>
          <w:tab w:val="left" w:pos="851"/>
        </w:tabs>
        <w:spacing w:line="276" w:lineRule="auto"/>
        <w:jc w:val="both"/>
        <w:rPr>
          <w:rFonts w:ascii="Arial" w:eastAsia="Calibri" w:hAnsi="Arial" w:cs="Arial"/>
          <w:sz w:val="22"/>
          <w:szCs w:val="22"/>
        </w:rPr>
      </w:pPr>
      <w:r>
        <w:rPr>
          <w:rFonts w:ascii="Arial" w:hAnsi="Arial" w:cs="Arial"/>
          <w:color w:val="000000" w:themeColor="text1"/>
          <w:sz w:val="22"/>
          <w:szCs w:val="22"/>
        </w:rPr>
        <w:tab/>
      </w:r>
      <w:r w:rsidRPr="005C2ED6">
        <w:rPr>
          <w:rFonts w:ascii="Arial" w:hAnsi="Arial" w:cs="Arial"/>
          <w:color w:val="000000" w:themeColor="text1"/>
          <w:sz w:val="22"/>
          <w:szCs w:val="22"/>
        </w:rPr>
        <w:t xml:space="preserve">Ahora bien, revisadas las causales de rechazo que anteceden, no se advierte referencia expresa a la obligación establecida en el </w:t>
      </w:r>
      <w:r w:rsidRPr="005C2ED6">
        <w:rPr>
          <w:rFonts w:ascii="Arial" w:hAnsi="Arial" w:cs="Arial"/>
          <w:sz w:val="22"/>
          <w:szCs w:val="22"/>
        </w:rPr>
        <w:t xml:space="preserve">artículo 17 de la Ley 842 de 2003, ni tampoco se establece en otro lugar del documento tipo, por lo que resulta evidente que no es una exigencia aplicable </w:t>
      </w:r>
      <w:r w:rsidR="00EF6E31">
        <w:rPr>
          <w:rFonts w:ascii="Arial" w:hAnsi="Arial" w:cs="Arial"/>
          <w:sz w:val="22"/>
          <w:szCs w:val="22"/>
        </w:rPr>
        <w:t xml:space="preserve">para participar </w:t>
      </w:r>
      <w:r w:rsidRPr="005C2ED6">
        <w:rPr>
          <w:rFonts w:ascii="Arial" w:hAnsi="Arial" w:cs="Arial"/>
          <w:sz w:val="22"/>
          <w:szCs w:val="22"/>
        </w:rPr>
        <w:t xml:space="preserve">en las licitaciones de obra pública de infraestructura de transporte que apliquen dichos documentos. En efecto, el artículo indicado establece la siguiente </w:t>
      </w:r>
      <w:r w:rsidRPr="005C2ED6">
        <w:rPr>
          <w:rFonts w:ascii="Arial" w:eastAsia="Calibri" w:hAnsi="Arial" w:cs="Arial"/>
          <w:sz w:val="22"/>
          <w:szCs w:val="22"/>
        </w:rPr>
        <w:t>obligación legal:</w:t>
      </w:r>
    </w:p>
    <w:p w14:paraId="1423DADA" w14:textId="77777777" w:rsidR="00D21D1B" w:rsidRPr="005C2ED6" w:rsidRDefault="00D21D1B" w:rsidP="005C2ED6">
      <w:pPr>
        <w:tabs>
          <w:tab w:val="left" w:pos="709"/>
          <w:tab w:val="left" w:pos="851"/>
        </w:tabs>
        <w:spacing w:line="276" w:lineRule="auto"/>
        <w:jc w:val="both"/>
        <w:rPr>
          <w:rFonts w:ascii="Arial" w:eastAsia="Calibri" w:hAnsi="Arial" w:cs="Arial"/>
          <w:sz w:val="22"/>
          <w:szCs w:val="22"/>
        </w:rPr>
      </w:pPr>
    </w:p>
    <w:p w14:paraId="3E8F9624" w14:textId="45700191" w:rsidR="00D21D1B" w:rsidRPr="00B57086" w:rsidRDefault="00D21D1B" w:rsidP="00684DE6">
      <w:pPr>
        <w:ind w:left="709" w:right="709"/>
        <w:jc w:val="both"/>
        <w:rPr>
          <w:rFonts w:ascii="Arial" w:eastAsia="Calibri" w:hAnsi="Arial" w:cs="Arial"/>
          <w:color w:val="000000"/>
          <w:sz w:val="21"/>
          <w:szCs w:val="21"/>
        </w:rPr>
      </w:pPr>
      <w:r w:rsidRPr="00B57086">
        <w:rPr>
          <w:rFonts w:ascii="Arial" w:eastAsia="Calibri" w:hAnsi="Arial" w:cs="Arial"/>
          <w:color w:val="000000"/>
          <w:sz w:val="21"/>
          <w:szCs w:val="21"/>
        </w:rPr>
        <w:t>Artículo 17. Responsabilidad de las personas jurídicas y de sus representantes. La sociedad, firma, empresa u organización profesional, cuyas actividades comprendan, en forma exclusiva o parcial, alguna o algunas de aquellas que correspondan al ejercicio de la ingeniería, de sus profesiones afines o de sus profesiones auxiliares, está obligada a incluir en su nómina permanente, como mínimo, a un profesional matriculado en la carrera correspondiente al objeto social de la respectiva persona jurídica.</w:t>
      </w:r>
    </w:p>
    <w:p w14:paraId="257FBEB8" w14:textId="77777777" w:rsidR="00D21D1B" w:rsidRPr="00B57086" w:rsidRDefault="00D21D1B" w:rsidP="00684DE6">
      <w:pPr>
        <w:ind w:left="709" w:right="709"/>
        <w:jc w:val="both"/>
        <w:rPr>
          <w:rFonts w:ascii="Arial" w:eastAsia="Calibri" w:hAnsi="Arial" w:cs="Arial"/>
          <w:color w:val="000000"/>
          <w:sz w:val="21"/>
          <w:szCs w:val="21"/>
        </w:rPr>
      </w:pPr>
    </w:p>
    <w:p w14:paraId="30C451F1" w14:textId="10167DF2" w:rsidR="00D21D1B" w:rsidRPr="00B57086" w:rsidRDefault="00D21D1B" w:rsidP="00684DE6">
      <w:pPr>
        <w:ind w:left="709" w:right="709"/>
        <w:jc w:val="both"/>
        <w:rPr>
          <w:rFonts w:ascii="Arial" w:eastAsia="Calibri" w:hAnsi="Arial" w:cs="Arial"/>
          <w:color w:val="000000"/>
          <w:sz w:val="21"/>
          <w:szCs w:val="21"/>
        </w:rPr>
      </w:pPr>
      <w:r w:rsidRPr="00B57086">
        <w:rPr>
          <w:rFonts w:ascii="Arial" w:eastAsia="Calibri" w:hAnsi="Arial" w:cs="Arial"/>
          <w:color w:val="000000"/>
          <w:sz w:val="21"/>
          <w:szCs w:val="21"/>
        </w:rPr>
        <w:t>Parágrafo. Al representante legal de la persona jurídica que omita el cumplimiento de lo dispuesto en el presente artículo se le aplicarán las sanciones previstas para el ejercicio ilegal de profesión y oficio reglamentado, mediante la aplicación del procedimiento establecido para las contravenciones especiales de policía o aquel que lo sustituya</w:t>
      </w:r>
      <w:r w:rsidR="00EF6E31">
        <w:rPr>
          <w:rFonts w:ascii="Arial" w:eastAsia="Calibri" w:hAnsi="Arial" w:cs="Arial"/>
          <w:color w:val="000000"/>
          <w:sz w:val="21"/>
          <w:szCs w:val="21"/>
        </w:rPr>
        <w:t>.</w:t>
      </w:r>
    </w:p>
    <w:p w14:paraId="76884DC2" w14:textId="77777777" w:rsidR="00D21D1B" w:rsidRPr="005C2ED6" w:rsidRDefault="00D21D1B" w:rsidP="005C2ED6">
      <w:pPr>
        <w:spacing w:line="276" w:lineRule="auto"/>
        <w:ind w:right="709"/>
        <w:jc w:val="both"/>
        <w:rPr>
          <w:rFonts w:ascii="Arial" w:eastAsia="Calibri" w:hAnsi="Arial" w:cs="Arial"/>
          <w:color w:val="000000"/>
          <w:sz w:val="22"/>
          <w:szCs w:val="22"/>
        </w:rPr>
      </w:pPr>
    </w:p>
    <w:p w14:paraId="661C090E" w14:textId="42049108" w:rsidR="00D21D1B" w:rsidRDefault="00D21D1B" w:rsidP="005C2ED6">
      <w:pPr>
        <w:tabs>
          <w:tab w:val="left" w:pos="709"/>
          <w:tab w:val="left" w:pos="851"/>
        </w:tabs>
        <w:spacing w:after="120" w:line="276" w:lineRule="auto"/>
        <w:jc w:val="both"/>
        <w:rPr>
          <w:rFonts w:ascii="Arial" w:hAnsi="Arial" w:cs="Arial"/>
          <w:sz w:val="22"/>
          <w:szCs w:val="22"/>
        </w:rPr>
      </w:pPr>
      <w:r>
        <w:rPr>
          <w:rFonts w:ascii="Arial" w:hAnsi="Arial" w:cs="Arial"/>
          <w:sz w:val="22"/>
          <w:szCs w:val="22"/>
        </w:rPr>
        <w:tab/>
      </w:r>
      <w:r w:rsidRPr="005C2ED6">
        <w:rPr>
          <w:rFonts w:ascii="Arial" w:hAnsi="Arial" w:cs="Arial"/>
          <w:sz w:val="22"/>
          <w:szCs w:val="22"/>
        </w:rPr>
        <w:t>El artículo citado establece el deber para las personas jurídicas, cuyas actividades correspondan al ejercicio de la ingeniería, de incluir en su «nómina permanente» al menos a un profesional matriculado en la carrera correspondiente al objeto social de la persona jurídica. Sin embargo, pese a la existencia de dicho deber, no establece una consecuencia particular frente a su incidencia en los procedimientos de selección</w:t>
      </w:r>
      <w:r w:rsidR="00B57086">
        <w:rPr>
          <w:rFonts w:ascii="Arial" w:hAnsi="Arial" w:cs="Arial"/>
          <w:sz w:val="22"/>
          <w:szCs w:val="22"/>
        </w:rPr>
        <w:t xml:space="preserve"> </w:t>
      </w:r>
      <w:r w:rsidR="00D57B6C">
        <w:rPr>
          <w:rFonts w:ascii="Arial" w:hAnsi="Arial" w:cs="Arial"/>
          <w:sz w:val="22"/>
          <w:szCs w:val="22"/>
        </w:rPr>
        <w:t>de contratistas</w:t>
      </w:r>
      <w:r w:rsidR="00D57B6C" w:rsidRPr="005C2ED6">
        <w:rPr>
          <w:rFonts w:ascii="Arial" w:hAnsi="Arial" w:cs="Arial"/>
          <w:sz w:val="22"/>
          <w:szCs w:val="22"/>
        </w:rPr>
        <w:t xml:space="preserve"> </w:t>
      </w:r>
      <w:r w:rsidRPr="005C2ED6">
        <w:rPr>
          <w:rFonts w:ascii="Arial" w:hAnsi="Arial" w:cs="Arial"/>
          <w:sz w:val="22"/>
          <w:szCs w:val="22"/>
        </w:rPr>
        <w:t>adelantados por las entidades estatales, como sería la imposibilidad de participar en dichos procesos ante la inobservancia del cumplimiento de dicha exigencia o el deber de presentar algún documento para acreditar el cumplimiento de dicha obligación en el desarrollo de tales procesos contractuales.</w:t>
      </w:r>
    </w:p>
    <w:p w14:paraId="2845E669" w14:textId="3F9819D8" w:rsidR="00D57B6C" w:rsidRPr="005C2ED6" w:rsidRDefault="00D57B6C" w:rsidP="005C2ED6">
      <w:pPr>
        <w:tabs>
          <w:tab w:val="left" w:pos="709"/>
          <w:tab w:val="left" w:pos="851"/>
        </w:tabs>
        <w:spacing w:after="120" w:line="276" w:lineRule="auto"/>
        <w:jc w:val="both"/>
        <w:rPr>
          <w:rFonts w:ascii="Arial" w:hAnsi="Arial" w:cs="Arial"/>
          <w:sz w:val="22"/>
          <w:szCs w:val="22"/>
        </w:rPr>
      </w:pPr>
      <w:r>
        <w:rPr>
          <w:rFonts w:ascii="Arial" w:hAnsi="Arial" w:cs="Arial"/>
          <w:sz w:val="22"/>
          <w:szCs w:val="22"/>
        </w:rPr>
        <w:tab/>
      </w:r>
      <w:r w:rsidRPr="00D57B6C">
        <w:rPr>
          <w:rFonts w:ascii="Arial" w:hAnsi="Arial" w:cs="Arial"/>
          <w:sz w:val="22"/>
          <w:szCs w:val="22"/>
        </w:rPr>
        <w:t xml:space="preserve">A diferencia de la norma citada, y a modo de ejemplo, el artículo 20 de la misma ley sí tiene una exigencia y relación directa con las propuestas presentadas en los procesos de licitación pública, al exigir que aquellas presentadas en procesos cuyo objeto implique el desarrollo de las actividades catalogadas como ejercicio de la ingeniería, deben estar avaladas ‒o abonadas‒ por un ingeniero inscrito y con tarjeta de matrícula profesional en la respectiva rama de la ingeniería. Así, dicha obligación se refiere al cumplimiento de un requisito impuesto por el legislador que deben cumplir los proponentes con la presentación </w:t>
      </w:r>
      <w:r w:rsidRPr="00D57B6C">
        <w:rPr>
          <w:rFonts w:ascii="Arial" w:hAnsi="Arial" w:cs="Arial"/>
          <w:sz w:val="22"/>
          <w:szCs w:val="22"/>
        </w:rPr>
        <w:lastRenderedPageBreak/>
        <w:t>de sus ofertas</w:t>
      </w:r>
      <w:r>
        <w:rPr>
          <w:rStyle w:val="Refdenotaalpie"/>
          <w:rFonts w:ascii="Arial" w:hAnsi="Arial" w:cs="Arial"/>
          <w:szCs w:val="20"/>
        </w:rPr>
        <w:footnoteReference w:id="17"/>
      </w:r>
      <w:r w:rsidRPr="00D57B6C">
        <w:rPr>
          <w:rFonts w:ascii="Arial" w:hAnsi="Arial" w:cs="Arial"/>
          <w:sz w:val="22"/>
          <w:szCs w:val="22"/>
        </w:rPr>
        <w:t>. Por el contrario, retomando el artículo 17 analizado, debe tenerse en cuenta que el parágrafo de la disposición citada establece la consecuencia concreta frente al incumplimiento del deber legal establecido en dicho artículo. Nótese que la consecuencia no se relaciona con la imposibilidad de participar en los procedimientos de selección o la exigencia de acreditar su cumplimiento en dichos procedimientos; sino que prescribe una sanción concreta para el representante legal de la sociedad que incumpla el deber establecido en la disposición, al señalarse que «se aplicarán las sanciones previstas para el ejercicio ilegal de la profesión y oficio reglamentado».</w:t>
      </w:r>
    </w:p>
    <w:p w14:paraId="5C944868" w14:textId="59CF0A5B" w:rsidR="00D21D1B" w:rsidRPr="005C2ED6" w:rsidRDefault="00D21D1B" w:rsidP="00B57086">
      <w:pPr>
        <w:tabs>
          <w:tab w:val="left" w:pos="709"/>
          <w:tab w:val="left" w:pos="851"/>
        </w:tabs>
        <w:spacing w:before="120" w:after="120" w:line="276" w:lineRule="auto"/>
        <w:jc w:val="both"/>
        <w:rPr>
          <w:rFonts w:ascii="Arial" w:hAnsi="Arial" w:cs="Arial"/>
          <w:sz w:val="22"/>
          <w:szCs w:val="22"/>
        </w:rPr>
      </w:pPr>
      <w:r>
        <w:rPr>
          <w:rFonts w:ascii="Arial" w:hAnsi="Arial" w:cs="Arial"/>
          <w:sz w:val="22"/>
          <w:szCs w:val="22"/>
        </w:rPr>
        <w:tab/>
      </w:r>
      <w:r w:rsidRPr="005C2ED6">
        <w:rPr>
          <w:rFonts w:ascii="Arial" w:hAnsi="Arial" w:cs="Arial"/>
          <w:sz w:val="22"/>
          <w:szCs w:val="22"/>
        </w:rPr>
        <w:t xml:space="preserve">En tal sentido, la consecuencia aparejada al incumplimiento del deber establecido en el artículo 17 se dirige directamente a sancionar al representante legal de la sociedad, sin que se establezca alguna consecuencia frente a la capacidad de la sociedad para </w:t>
      </w:r>
      <w:r w:rsidR="00D57B6C">
        <w:rPr>
          <w:rFonts w:ascii="Arial" w:hAnsi="Arial" w:cs="Arial"/>
          <w:sz w:val="22"/>
          <w:szCs w:val="22"/>
        </w:rPr>
        <w:t xml:space="preserve">celebrar contratos o </w:t>
      </w:r>
      <w:r w:rsidRPr="005C2ED6">
        <w:rPr>
          <w:rFonts w:ascii="Arial" w:hAnsi="Arial" w:cs="Arial"/>
          <w:sz w:val="22"/>
          <w:szCs w:val="22"/>
        </w:rPr>
        <w:t>participar en procedimientos de selección de contratistas.</w:t>
      </w:r>
    </w:p>
    <w:p w14:paraId="3FAAB451" w14:textId="0E8B84A3" w:rsidR="00D21D1B" w:rsidRDefault="00D21D1B" w:rsidP="00684DE6">
      <w:pPr>
        <w:tabs>
          <w:tab w:val="left" w:pos="709"/>
          <w:tab w:val="left" w:pos="851"/>
        </w:tabs>
        <w:spacing w:after="120" w:line="276" w:lineRule="auto"/>
        <w:jc w:val="both"/>
        <w:rPr>
          <w:rFonts w:ascii="Arial" w:hAnsi="Arial" w:cs="Arial"/>
          <w:sz w:val="22"/>
          <w:szCs w:val="22"/>
        </w:rPr>
      </w:pPr>
      <w:r>
        <w:rPr>
          <w:rFonts w:ascii="Arial" w:hAnsi="Arial" w:cs="Arial"/>
          <w:sz w:val="22"/>
          <w:szCs w:val="22"/>
        </w:rPr>
        <w:tab/>
      </w:r>
      <w:r w:rsidRPr="005C2ED6">
        <w:rPr>
          <w:rFonts w:ascii="Arial" w:hAnsi="Arial" w:cs="Arial"/>
          <w:sz w:val="22"/>
          <w:szCs w:val="22"/>
        </w:rPr>
        <w:t>En armonía con lo anterior, como se enunció previamente, la obligación contenida en el artículo 17 de la Ley 842 de 2003 no se estableció como causal de rechazo y tampoco se exigió la acreditación de este requisito durante el procedimiento de selección en ningún lugar de los documentos tipo de licitación de obra pública de infraestructura de transporte. Sin embargo, ello no quiere decir que esta obligación desaparezca o no se deba cumplir, pues esta aplica por ministerio de la ley, solo que no se vincula su contenido a alguna consecuencia jurídica frente a los procedimientos de selección que se rijan por los documentos tipo, sin perjuicio de las eventuales sanciones frente al representante legal de la sociedad que no acate su contenido.</w:t>
      </w:r>
    </w:p>
    <w:p w14:paraId="43F8D9B1" w14:textId="2F9D9B5A" w:rsidR="00D57B6C" w:rsidRPr="00D57B6C" w:rsidRDefault="00D57B6C" w:rsidP="00684DE6">
      <w:pPr>
        <w:tabs>
          <w:tab w:val="left" w:pos="709"/>
          <w:tab w:val="left" w:pos="851"/>
        </w:tabs>
        <w:spacing w:after="120" w:line="276" w:lineRule="auto"/>
        <w:jc w:val="both"/>
        <w:rPr>
          <w:rFonts w:ascii="Arial" w:hAnsi="Arial" w:cs="Arial"/>
          <w:sz w:val="22"/>
          <w:szCs w:val="22"/>
        </w:rPr>
      </w:pPr>
      <w:r>
        <w:rPr>
          <w:rFonts w:ascii="Arial" w:hAnsi="Arial" w:cs="Arial"/>
          <w:sz w:val="22"/>
          <w:szCs w:val="22"/>
        </w:rPr>
        <w:tab/>
      </w:r>
      <w:r w:rsidRPr="00D57B6C">
        <w:rPr>
          <w:rFonts w:ascii="Arial" w:hAnsi="Arial" w:cs="Arial"/>
          <w:sz w:val="22"/>
          <w:szCs w:val="22"/>
        </w:rPr>
        <w:t xml:space="preserve">En efecto, el hecho de que el documento tipo no establezca todas las obligaciones legales que deben cumplir las personas naturales y jurídicas, no quiere decir que tales deberes desaparezcan, pues frente a su incumplimiento el ordenamiento jurídico establece sus consecuencias particulares. En otras palabras, las obligaciones legales tienen plena aplicación de acuerdo con su regulación concreta, sin que su ausencia en el documento </w:t>
      </w:r>
      <w:r w:rsidRPr="00D57B6C">
        <w:rPr>
          <w:rFonts w:ascii="Arial" w:hAnsi="Arial" w:cs="Arial"/>
          <w:sz w:val="22"/>
          <w:szCs w:val="22"/>
        </w:rPr>
        <w:lastRenderedPageBreak/>
        <w:t>tipo se pueda interpretar como una autorización para desconocer su exigibilidad, pues aplican por ministerio de la ley, pese a que no tengan una incidencia concreta en los procedimientos de selección.</w:t>
      </w:r>
    </w:p>
    <w:p w14:paraId="3CC4269B" w14:textId="77777777" w:rsidR="00D57B6C" w:rsidRPr="00D57B6C" w:rsidRDefault="00D57B6C" w:rsidP="00684DE6">
      <w:pPr>
        <w:tabs>
          <w:tab w:val="left" w:pos="709"/>
          <w:tab w:val="left" w:pos="851"/>
        </w:tabs>
        <w:spacing w:after="120" w:line="276" w:lineRule="auto"/>
        <w:jc w:val="both"/>
        <w:rPr>
          <w:rFonts w:ascii="Arial" w:hAnsi="Arial" w:cs="Arial"/>
          <w:sz w:val="22"/>
          <w:szCs w:val="22"/>
        </w:rPr>
      </w:pPr>
      <w:r w:rsidRPr="00D57B6C">
        <w:rPr>
          <w:rFonts w:ascii="Arial" w:hAnsi="Arial" w:cs="Arial"/>
          <w:sz w:val="22"/>
          <w:szCs w:val="22"/>
        </w:rPr>
        <w:tab/>
        <w:t>Por tanto, se reitera la idea que se está desarrollando, en el sentido de que el documento tipo no estableció la exigencia de la acreditación, durante el procedimiento de selección, del cumplimiento de la obligación legal establecida en el artículo 17 de la Ley 842 de 2003. Además, dicho evento no se encuentra establecido como causal de rechazo de las ofertas y las entidades no pueden incluir nuevas causales distintas a las establecidas en los documentos tipo.</w:t>
      </w:r>
    </w:p>
    <w:p w14:paraId="196C14D8" w14:textId="5E2E385E" w:rsidR="00D57B6C" w:rsidRPr="005C2ED6" w:rsidRDefault="00D57B6C" w:rsidP="00D57B6C">
      <w:pPr>
        <w:tabs>
          <w:tab w:val="left" w:pos="709"/>
          <w:tab w:val="left" w:pos="851"/>
        </w:tabs>
        <w:spacing w:line="276" w:lineRule="auto"/>
        <w:jc w:val="both"/>
        <w:rPr>
          <w:rFonts w:ascii="Arial" w:hAnsi="Arial" w:cs="Arial"/>
          <w:sz w:val="22"/>
          <w:szCs w:val="22"/>
        </w:rPr>
      </w:pPr>
      <w:r w:rsidRPr="00D57B6C">
        <w:rPr>
          <w:rFonts w:ascii="Arial" w:hAnsi="Arial" w:cs="Arial"/>
          <w:sz w:val="22"/>
          <w:szCs w:val="22"/>
        </w:rPr>
        <w:tab/>
        <w:t>En síntesis, como se indicó con anterioridad, en la regulación contenida en el numeral 1.15, que establece las causales de rechazo, no se estableció una exigencia adicional frente a los proponentes para acreditar el cumplimiento de dicho deber. En suma, al aplicar los documentos tipo en sus procesos, se desprenden  las siguientes reglas para las entidades estatales:</w:t>
      </w:r>
      <w:r>
        <w:rPr>
          <w:rFonts w:ascii="Arial" w:hAnsi="Arial" w:cs="Arial"/>
          <w:sz w:val="22"/>
          <w:szCs w:val="22"/>
        </w:rPr>
        <w:t xml:space="preserve"> i) no pueden incluir nuevas causales de inhabilidad o incompatibilidad; </w:t>
      </w:r>
      <w:r w:rsidRPr="00D57B6C">
        <w:rPr>
          <w:rFonts w:ascii="Arial" w:hAnsi="Arial" w:cs="Arial"/>
          <w:sz w:val="22"/>
          <w:szCs w:val="22"/>
        </w:rPr>
        <w:t xml:space="preserve"> </w:t>
      </w:r>
      <w:r>
        <w:rPr>
          <w:rFonts w:ascii="Arial" w:hAnsi="Arial" w:cs="Arial"/>
          <w:sz w:val="22"/>
          <w:szCs w:val="22"/>
        </w:rPr>
        <w:t>i</w:t>
      </w:r>
      <w:r w:rsidRPr="00D57B6C">
        <w:rPr>
          <w:rFonts w:ascii="Arial" w:hAnsi="Arial" w:cs="Arial"/>
          <w:sz w:val="22"/>
          <w:szCs w:val="22"/>
        </w:rPr>
        <w:t xml:space="preserve">i) </w:t>
      </w:r>
      <w:r>
        <w:rPr>
          <w:rFonts w:ascii="Arial" w:hAnsi="Arial" w:cs="Arial"/>
          <w:sz w:val="22"/>
          <w:szCs w:val="22"/>
        </w:rPr>
        <w:t xml:space="preserve">igualmente, </w:t>
      </w:r>
      <w:r w:rsidRPr="00D57B6C">
        <w:rPr>
          <w:rFonts w:ascii="Arial" w:hAnsi="Arial" w:cs="Arial"/>
          <w:sz w:val="22"/>
          <w:szCs w:val="22"/>
        </w:rPr>
        <w:t>no pueden incluir nuevas causales de rechazo en sus pliegos de condiciones distintas a las establecidas en los documentos tipo; ii</w:t>
      </w:r>
      <w:r>
        <w:rPr>
          <w:rFonts w:ascii="Arial" w:hAnsi="Arial" w:cs="Arial"/>
          <w:sz w:val="22"/>
          <w:szCs w:val="22"/>
        </w:rPr>
        <w:t>i</w:t>
      </w:r>
      <w:r w:rsidRPr="00D57B6C">
        <w:rPr>
          <w:rFonts w:ascii="Arial" w:hAnsi="Arial" w:cs="Arial"/>
          <w:sz w:val="22"/>
          <w:szCs w:val="22"/>
        </w:rPr>
        <w:t>) solo pueden modificar los aspectos puntuales de las causales, es decir, los apartes entre corchetes y resaltados en gris; i</w:t>
      </w:r>
      <w:r>
        <w:rPr>
          <w:rFonts w:ascii="Arial" w:hAnsi="Arial" w:cs="Arial"/>
          <w:sz w:val="22"/>
          <w:szCs w:val="22"/>
        </w:rPr>
        <w:t>v</w:t>
      </w:r>
      <w:r w:rsidRPr="00D57B6C">
        <w:rPr>
          <w:rFonts w:ascii="Arial" w:hAnsi="Arial" w:cs="Arial"/>
          <w:sz w:val="22"/>
          <w:szCs w:val="22"/>
        </w:rPr>
        <w:t>) teniendo en cuenta el contenido prohibitivo de las causales de rechazo, estas se deben interpretar de forma estricta, evitando realizar interpretaciones extensivas; y v) las obligaciones legales tienen plena aplicación de acuerdo a su regulación concreta, sin que su ausencia en el documento tipo se pueda interpretar como una autorización para desconocer su exigibilidad, pues aplican por ministerio de la ley, pese a que algunas de ellas no tengan una incidencia concreta en los procedimientos de selección</w:t>
      </w:r>
      <w:r w:rsidR="00950828">
        <w:rPr>
          <w:rFonts w:ascii="Arial" w:hAnsi="Arial" w:cs="Arial"/>
          <w:sz w:val="22"/>
          <w:szCs w:val="22"/>
        </w:rPr>
        <w:t xml:space="preserve"> de contratistas</w:t>
      </w:r>
      <w:r w:rsidRPr="00D57B6C">
        <w:rPr>
          <w:rFonts w:ascii="Arial" w:hAnsi="Arial" w:cs="Arial"/>
          <w:sz w:val="22"/>
          <w:szCs w:val="22"/>
        </w:rPr>
        <w:t>.</w:t>
      </w:r>
    </w:p>
    <w:p w14:paraId="74D800E0" w14:textId="77777777" w:rsidR="00962AB7" w:rsidRPr="00830F50" w:rsidRDefault="00962AB7" w:rsidP="005C2ED6">
      <w:pPr>
        <w:tabs>
          <w:tab w:val="left" w:pos="709"/>
        </w:tabs>
        <w:spacing w:line="276" w:lineRule="auto"/>
        <w:jc w:val="both"/>
        <w:rPr>
          <w:rFonts w:ascii="Arial" w:eastAsia="Calibri" w:hAnsi="Arial" w:cs="Arial"/>
          <w:bCs/>
          <w:sz w:val="22"/>
          <w:szCs w:val="22"/>
          <w:lang w:val="es-ES_tradnl"/>
        </w:rPr>
      </w:pPr>
    </w:p>
    <w:p w14:paraId="35A463A6" w14:textId="7AEF3954" w:rsidR="000F0D0D" w:rsidRPr="00830F50" w:rsidRDefault="00C33A69" w:rsidP="006327D2">
      <w:pPr>
        <w:pStyle w:val="Prrafodelista"/>
        <w:numPr>
          <w:ilvl w:val="0"/>
          <w:numId w:val="11"/>
        </w:numPr>
        <w:tabs>
          <w:tab w:val="left" w:pos="709"/>
        </w:tabs>
        <w:spacing w:line="276" w:lineRule="auto"/>
        <w:jc w:val="both"/>
        <w:rPr>
          <w:rFonts w:ascii="Arial" w:eastAsia="Calibri" w:hAnsi="Arial" w:cs="Arial"/>
          <w:b/>
          <w:sz w:val="22"/>
          <w:lang w:val="es-ES_tradnl"/>
        </w:rPr>
      </w:pPr>
      <w:r w:rsidRPr="00830F50">
        <w:rPr>
          <w:rFonts w:ascii="Arial" w:eastAsia="Calibri" w:hAnsi="Arial" w:cs="Arial"/>
          <w:b/>
          <w:sz w:val="22"/>
          <w:lang w:val="es-ES_tradnl"/>
        </w:rPr>
        <w:t>Respuesta</w:t>
      </w:r>
    </w:p>
    <w:p w14:paraId="63533AB0" w14:textId="7C8C191B" w:rsidR="0004028A" w:rsidRPr="005C2ED6" w:rsidRDefault="0004028A" w:rsidP="005C2ED6">
      <w:pPr>
        <w:pStyle w:val="Prrafodelista"/>
        <w:tabs>
          <w:tab w:val="left" w:pos="709"/>
        </w:tabs>
        <w:spacing w:line="276" w:lineRule="auto"/>
        <w:ind w:left="709" w:right="709"/>
        <w:jc w:val="both"/>
        <w:rPr>
          <w:rFonts w:ascii="Arial" w:eastAsia="Calibri" w:hAnsi="Arial" w:cs="Arial"/>
          <w:b/>
          <w:sz w:val="22"/>
          <w:lang w:val="es-ES_tradnl"/>
        </w:rPr>
      </w:pPr>
    </w:p>
    <w:p w14:paraId="1C03F98E" w14:textId="0D1110F1" w:rsidR="000F0D0D" w:rsidRPr="005C2ED6" w:rsidRDefault="000F0D0D" w:rsidP="00684DE6">
      <w:pPr>
        <w:pStyle w:val="NormalWeb"/>
        <w:numPr>
          <w:ilvl w:val="0"/>
          <w:numId w:val="16"/>
        </w:numPr>
        <w:spacing w:before="0" w:beforeAutospacing="0" w:after="0" w:afterAutospacing="0"/>
        <w:ind w:left="709" w:right="709" w:firstLine="0"/>
        <w:jc w:val="both"/>
        <w:rPr>
          <w:rFonts w:ascii="Arial" w:hAnsi="Arial" w:cs="Arial"/>
          <w:sz w:val="21"/>
          <w:szCs w:val="21"/>
        </w:rPr>
      </w:pPr>
      <w:r w:rsidRPr="00721EDE">
        <w:rPr>
          <w:rFonts w:ascii="Arial" w:eastAsia="Calibri" w:hAnsi="Arial" w:cs="Arial"/>
          <w:sz w:val="21"/>
          <w:szCs w:val="21"/>
        </w:rPr>
        <w:t>«¿</w:t>
      </w:r>
      <w:r w:rsidRPr="00721EDE">
        <w:rPr>
          <w:rFonts w:ascii="Arial" w:hAnsi="Arial" w:cs="Arial"/>
          <w:sz w:val="21"/>
          <w:szCs w:val="21"/>
        </w:rPr>
        <w:t xml:space="preserve"> En</w:t>
      </w:r>
      <w:r w:rsidR="00176D60">
        <w:rPr>
          <w:rFonts w:ascii="Arial" w:hAnsi="Arial" w:cs="Arial"/>
          <w:sz w:val="21"/>
          <w:szCs w:val="21"/>
        </w:rPr>
        <w:t xml:space="preserve"> (sic)</w:t>
      </w:r>
      <w:r w:rsidRPr="00721EDE">
        <w:rPr>
          <w:rFonts w:ascii="Arial" w:hAnsi="Arial" w:cs="Arial"/>
          <w:sz w:val="21"/>
          <w:szCs w:val="21"/>
        </w:rPr>
        <w:t xml:space="preserve"> causal de INHABILIDAD o RECHAZO de la propuesta, si una Empresa al presentarse a un proceso de selección, a través de la plataforma Colombia Compra Eficiente, no cuenta entre su NOMINA de personal profesional vinculado de manera permanente?</w:t>
      </w:r>
      <w:r w:rsidRPr="00721EDE">
        <w:rPr>
          <w:rFonts w:ascii="Arial" w:eastAsia="Calibri" w:hAnsi="Arial" w:cs="Arial"/>
          <w:sz w:val="21"/>
          <w:szCs w:val="21"/>
        </w:rPr>
        <w:t>»</w:t>
      </w:r>
    </w:p>
    <w:p w14:paraId="46BB143A" w14:textId="77777777" w:rsidR="000F0D0D" w:rsidRPr="00721EDE" w:rsidRDefault="000F0D0D" w:rsidP="005C2ED6">
      <w:pPr>
        <w:pStyle w:val="NormalWeb"/>
        <w:spacing w:before="0" w:beforeAutospacing="0" w:after="0" w:afterAutospacing="0" w:line="276" w:lineRule="auto"/>
        <w:ind w:left="1080" w:right="709"/>
        <w:jc w:val="both"/>
        <w:rPr>
          <w:rFonts w:ascii="Arial" w:hAnsi="Arial" w:cs="Arial"/>
          <w:sz w:val="21"/>
          <w:szCs w:val="21"/>
        </w:rPr>
      </w:pPr>
    </w:p>
    <w:p w14:paraId="3B598BDA" w14:textId="0269B000" w:rsidR="00D82A76" w:rsidRDefault="00A82B05" w:rsidP="00D82A76">
      <w:pPr>
        <w:spacing w:line="276" w:lineRule="auto"/>
        <w:jc w:val="both"/>
        <w:rPr>
          <w:rFonts w:ascii="Arial" w:hAnsi="Arial" w:cs="Arial"/>
          <w:color w:val="000000"/>
          <w:sz w:val="22"/>
          <w:szCs w:val="22"/>
          <w:bdr w:val="none" w:sz="0" w:space="0" w:color="auto" w:frame="1"/>
        </w:rPr>
      </w:pPr>
      <w:r w:rsidRPr="005C2ED6">
        <w:rPr>
          <w:rFonts w:ascii="Arial" w:hAnsi="Arial" w:cs="Arial"/>
          <w:color w:val="000000"/>
          <w:sz w:val="22"/>
          <w:szCs w:val="22"/>
          <w:bdr w:val="none" w:sz="0" w:space="0" w:color="auto" w:frame="1"/>
        </w:rPr>
        <w:t>Con base en lo anteriormente expuesto, resulta claro que en nuestro ordenamiento jurídico las causales de inhabilidad e incompatibilidad y las causales de rechazo, en aquellos procesos de selección regidos por documentos tipo, son taxativas</w:t>
      </w:r>
      <w:r w:rsidR="00EF2C73">
        <w:rPr>
          <w:rFonts w:ascii="Arial" w:hAnsi="Arial" w:cs="Arial"/>
          <w:color w:val="000000"/>
          <w:sz w:val="22"/>
          <w:szCs w:val="22"/>
          <w:bdr w:val="none" w:sz="0" w:space="0" w:color="auto" w:frame="1"/>
        </w:rPr>
        <w:t>,</w:t>
      </w:r>
      <w:r w:rsidRPr="005C2ED6">
        <w:rPr>
          <w:rFonts w:ascii="Arial" w:hAnsi="Arial" w:cs="Arial"/>
          <w:color w:val="000000"/>
          <w:sz w:val="22"/>
          <w:szCs w:val="22"/>
          <w:bdr w:val="none" w:sz="0" w:space="0" w:color="auto" w:frame="1"/>
        </w:rPr>
        <w:t xml:space="preserve"> de aplicación estricta</w:t>
      </w:r>
      <w:r w:rsidR="00EF2C73">
        <w:rPr>
          <w:rFonts w:ascii="Arial" w:hAnsi="Arial" w:cs="Arial"/>
          <w:color w:val="000000"/>
          <w:sz w:val="22"/>
          <w:szCs w:val="22"/>
          <w:bdr w:val="none" w:sz="0" w:space="0" w:color="auto" w:frame="1"/>
        </w:rPr>
        <w:t xml:space="preserve"> y restrictiva</w:t>
      </w:r>
      <w:r w:rsidRPr="005C2ED6">
        <w:rPr>
          <w:rFonts w:ascii="Arial" w:hAnsi="Arial" w:cs="Arial"/>
          <w:color w:val="000000"/>
          <w:sz w:val="22"/>
          <w:szCs w:val="22"/>
          <w:bdr w:val="none" w:sz="0" w:space="0" w:color="auto" w:frame="1"/>
        </w:rPr>
        <w:t xml:space="preserve">. Por lo tanto, al verificar que en los documentos tipo de obra pública de infraestructura de transporte </w:t>
      </w:r>
      <w:r w:rsidR="00176D60">
        <w:rPr>
          <w:rFonts w:ascii="Arial" w:hAnsi="Arial" w:cs="Arial"/>
          <w:color w:val="000000"/>
          <w:sz w:val="22"/>
          <w:szCs w:val="22"/>
          <w:bdr w:val="none" w:sz="0" w:space="0" w:color="auto" w:frame="1"/>
        </w:rPr>
        <w:t>–</w:t>
      </w:r>
      <w:r w:rsidR="00EF2C73">
        <w:rPr>
          <w:rFonts w:ascii="Arial" w:hAnsi="Arial" w:cs="Arial"/>
          <w:color w:val="000000"/>
          <w:sz w:val="22"/>
          <w:szCs w:val="22"/>
          <w:bdr w:val="none" w:sz="0" w:space="0" w:color="auto" w:frame="1"/>
        </w:rPr>
        <w:t xml:space="preserve">versión </w:t>
      </w:r>
      <w:r w:rsidR="00176D60">
        <w:rPr>
          <w:rFonts w:ascii="Arial" w:hAnsi="Arial" w:cs="Arial"/>
          <w:color w:val="000000"/>
          <w:sz w:val="22"/>
          <w:szCs w:val="22"/>
          <w:bdr w:val="none" w:sz="0" w:space="0" w:color="auto" w:frame="1"/>
        </w:rPr>
        <w:t xml:space="preserve">3– </w:t>
      </w:r>
      <w:r w:rsidR="00EF2C73" w:rsidRPr="005C2ED6">
        <w:rPr>
          <w:rFonts w:ascii="Arial" w:hAnsi="Arial" w:cs="Arial"/>
          <w:color w:val="000000"/>
          <w:sz w:val="22"/>
          <w:szCs w:val="22"/>
          <w:bdr w:val="none" w:sz="0" w:space="0" w:color="auto" w:frame="1"/>
        </w:rPr>
        <w:t xml:space="preserve">no existen tales causales </w:t>
      </w:r>
      <w:r w:rsidR="001E2D73">
        <w:rPr>
          <w:rFonts w:ascii="Arial" w:hAnsi="Arial" w:cs="Arial"/>
          <w:color w:val="000000"/>
          <w:sz w:val="22"/>
          <w:szCs w:val="22"/>
          <w:bdr w:val="none" w:sz="0" w:space="0" w:color="auto" w:frame="1"/>
        </w:rPr>
        <w:t>–</w:t>
      </w:r>
      <w:r w:rsidR="00EF2C73" w:rsidRPr="005C2ED6">
        <w:rPr>
          <w:rFonts w:ascii="Arial" w:hAnsi="Arial" w:cs="Arial"/>
          <w:color w:val="000000"/>
          <w:sz w:val="22"/>
          <w:szCs w:val="22"/>
          <w:bdr w:val="none" w:sz="0" w:space="0" w:color="auto" w:frame="1"/>
        </w:rPr>
        <w:t>de inhabilidad o incompatibilidad o de rechazo de las propuestas</w:t>
      </w:r>
      <w:r w:rsidR="001E2D73">
        <w:rPr>
          <w:rFonts w:ascii="Arial" w:hAnsi="Arial" w:cs="Arial"/>
          <w:color w:val="000000"/>
          <w:sz w:val="22"/>
          <w:szCs w:val="22"/>
          <w:bdr w:val="none" w:sz="0" w:space="0" w:color="auto" w:frame="1"/>
        </w:rPr>
        <w:t>–</w:t>
      </w:r>
      <w:r w:rsidR="00EF2C73" w:rsidRPr="005C2ED6">
        <w:rPr>
          <w:rFonts w:ascii="Arial" w:hAnsi="Arial" w:cs="Arial"/>
          <w:color w:val="000000"/>
          <w:sz w:val="22"/>
          <w:szCs w:val="22"/>
          <w:bdr w:val="none" w:sz="0" w:space="0" w:color="auto" w:frame="1"/>
        </w:rPr>
        <w:t xml:space="preserve"> </w:t>
      </w:r>
      <w:r w:rsidRPr="005C2ED6">
        <w:rPr>
          <w:rFonts w:ascii="Arial" w:hAnsi="Arial" w:cs="Arial"/>
          <w:color w:val="000000"/>
          <w:sz w:val="22"/>
          <w:szCs w:val="22"/>
          <w:bdr w:val="none" w:sz="0" w:space="0" w:color="auto" w:frame="1"/>
        </w:rPr>
        <w:t xml:space="preserve">ligadas </w:t>
      </w:r>
      <w:r w:rsidR="00176D60">
        <w:rPr>
          <w:rFonts w:ascii="Arial" w:hAnsi="Arial" w:cs="Arial"/>
          <w:color w:val="000000"/>
          <w:sz w:val="22"/>
          <w:szCs w:val="22"/>
          <w:bdr w:val="none" w:sz="0" w:space="0" w:color="auto" w:frame="1"/>
        </w:rPr>
        <w:t>a</w:t>
      </w:r>
      <w:r w:rsidRPr="005C2ED6">
        <w:rPr>
          <w:rFonts w:ascii="Arial" w:hAnsi="Arial" w:cs="Arial"/>
          <w:color w:val="000000"/>
          <w:sz w:val="22"/>
          <w:szCs w:val="22"/>
          <w:bdr w:val="none" w:sz="0" w:space="0" w:color="auto" w:frame="1"/>
        </w:rPr>
        <w:t xml:space="preserve">l hecho de que </w:t>
      </w:r>
      <w:r w:rsidR="00176D60">
        <w:rPr>
          <w:rFonts w:ascii="Arial" w:hAnsi="Arial" w:cs="Arial"/>
          <w:color w:val="000000"/>
          <w:sz w:val="22"/>
          <w:szCs w:val="22"/>
          <w:bdr w:val="none" w:sz="0" w:space="0" w:color="auto" w:frame="1"/>
        </w:rPr>
        <w:t xml:space="preserve">un </w:t>
      </w:r>
      <w:r w:rsidRPr="005C2ED6">
        <w:rPr>
          <w:rFonts w:ascii="Arial" w:hAnsi="Arial" w:cs="Arial"/>
          <w:color w:val="000000"/>
          <w:sz w:val="22"/>
          <w:szCs w:val="22"/>
          <w:bdr w:val="none" w:sz="0" w:space="0" w:color="auto" w:frame="1"/>
        </w:rPr>
        <w:t>proponente no tenga vinculado en su nómina</w:t>
      </w:r>
      <w:r w:rsidR="00EF2C73">
        <w:rPr>
          <w:rFonts w:ascii="Arial" w:hAnsi="Arial" w:cs="Arial"/>
          <w:color w:val="000000"/>
          <w:sz w:val="22"/>
          <w:szCs w:val="22"/>
          <w:bdr w:val="none" w:sz="0" w:space="0" w:color="auto" w:frame="1"/>
        </w:rPr>
        <w:t xml:space="preserve"> a</w:t>
      </w:r>
      <w:r w:rsidRPr="005C2ED6">
        <w:rPr>
          <w:rFonts w:ascii="Arial" w:hAnsi="Arial" w:cs="Arial"/>
          <w:color w:val="000000"/>
          <w:sz w:val="22"/>
          <w:szCs w:val="22"/>
          <w:bdr w:val="none" w:sz="0" w:space="0" w:color="auto" w:frame="1"/>
        </w:rPr>
        <w:t xml:space="preserve"> personal profesional de manera permanente, es posible concluir que las entidades estatales sometidas al Estatuto General de Contratación de la </w:t>
      </w:r>
      <w:r w:rsidRPr="005C2ED6">
        <w:rPr>
          <w:rFonts w:ascii="Arial" w:hAnsi="Arial" w:cs="Arial"/>
          <w:color w:val="000000"/>
          <w:sz w:val="22"/>
          <w:szCs w:val="22"/>
          <w:bdr w:val="none" w:sz="0" w:space="0" w:color="auto" w:frame="1"/>
        </w:rPr>
        <w:lastRenderedPageBreak/>
        <w:t>Administración Pública no pueden declarar inhábil</w:t>
      </w:r>
      <w:r w:rsidR="00EF2C73">
        <w:rPr>
          <w:rFonts w:ascii="Arial" w:hAnsi="Arial" w:cs="Arial"/>
          <w:color w:val="000000"/>
          <w:sz w:val="22"/>
          <w:szCs w:val="22"/>
          <w:bdr w:val="none" w:sz="0" w:space="0" w:color="auto" w:frame="1"/>
        </w:rPr>
        <w:t>es</w:t>
      </w:r>
      <w:r w:rsidRPr="005C2ED6">
        <w:rPr>
          <w:rFonts w:ascii="Arial" w:hAnsi="Arial" w:cs="Arial"/>
          <w:color w:val="000000"/>
          <w:sz w:val="22"/>
          <w:szCs w:val="22"/>
          <w:bdr w:val="none" w:sz="0" w:space="0" w:color="auto" w:frame="1"/>
        </w:rPr>
        <w:t xml:space="preserve"> o </w:t>
      </w:r>
      <w:r w:rsidR="00176D60">
        <w:rPr>
          <w:rFonts w:ascii="Arial" w:hAnsi="Arial" w:cs="Arial"/>
          <w:color w:val="000000"/>
          <w:sz w:val="22"/>
          <w:szCs w:val="22"/>
          <w:bdr w:val="none" w:sz="0" w:space="0" w:color="auto" w:frame="1"/>
        </w:rPr>
        <w:t>incursos en una incompatibilidad</w:t>
      </w:r>
      <w:r w:rsidR="00176D60" w:rsidRPr="005C2ED6">
        <w:rPr>
          <w:rFonts w:ascii="Arial" w:hAnsi="Arial" w:cs="Arial"/>
          <w:color w:val="000000"/>
          <w:sz w:val="22"/>
          <w:szCs w:val="22"/>
          <w:bdr w:val="none" w:sz="0" w:space="0" w:color="auto" w:frame="1"/>
        </w:rPr>
        <w:t xml:space="preserve"> </w:t>
      </w:r>
      <w:r w:rsidRPr="005C2ED6">
        <w:rPr>
          <w:rFonts w:ascii="Arial" w:hAnsi="Arial" w:cs="Arial"/>
          <w:color w:val="000000"/>
          <w:sz w:val="22"/>
          <w:szCs w:val="22"/>
          <w:bdr w:val="none" w:sz="0" w:space="0" w:color="auto" w:frame="1"/>
        </w:rPr>
        <w:t>a los proponentes que no certifiquen dicha vinculación de personal y tampoco declarar la configuración de alguna causal de rechazo.</w:t>
      </w:r>
    </w:p>
    <w:p w14:paraId="313FC76E" w14:textId="77777777" w:rsidR="00D82A76" w:rsidRPr="005C2ED6" w:rsidRDefault="00D82A76" w:rsidP="00684DE6">
      <w:pPr>
        <w:pStyle w:val="Prrafodelista"/>
        <w:numPr>
          <w:ilvl w:val="0"/>
          <w:numId w:val="16"/>
        </w:numPr>
        <w:spacing w:before="100" w:beforeAutospacing="1" w:after="100" w:afterAutospacing="1"/>
        <w:ind w:left="709" w:right="709" w:firstLine="0"/>
        <w:jc w:val="both"/>
        <w:rPr>
          <w:rFonts w:ascii="Arial" w:hAnsi="Arial" w:cs="Arial"/>
          <w:sz w:val="21"/>
          <w:szCs w:val="21"/>
        </w:rPr>
      </w:pPr>
      <w:r w:rsidRPr="005C2ED6">
        <w:rPr>
          <w:rFonts w:ascii="Arial" w:eastAsia="Calibri" w:hAnsi="Arial" w:cs="Arial"/>
          <w:sz w:val="21"/>
          <w:szCs w:val="21"/>
        </w:rPr>
        <w:t>«¿</w:t>
      </w:r>
      <w:r>
        <w:rPr>
          <w:rFonts w:ascii="Arial" w:hAnsi="Arial" w:cs="Arial"/>
          <w:sz w:val="21"/>
          <w:szCs w:val="21"/>
        </w:rPr>
        <w:t>P</w:t>
      </w:r>
      <w:r w:rsidRPr="005C2ED6">
        <w:rPr>
          <w:rFonts w:ascii="Arial" w:hAnsi="Arial" w:cs="Arial"/>
          <w:sz w:val="21"/>
          <w:szCs w:val="21"/>
        </w:rPr>
        <w:t>odrán exigir las entidades estatales en un proceso de selección, la vinculación en la nómina de la Empresa a través de pagos de aportes legales y de seguridad social, personal profesional vinculado con el área de ingeniería, si el mismo pliego tipo a través del FORMATO 6 PAGOS DE SEGURIDAD SOCIAL Y APORTES LEGALES, da la opción de forma juramentada indicar que dentro de los seis (6) meses anteriores a la fecha de firma del Contrato no tuve personal a cargo y por ende no estoy obligado a efectuar el pago de aportes legales y seguridad social, tal como lo indica el mismo formato del pliego tipo; y que además si El Decreto 342 de 2019 de La Agencia Nacional de Contratación Pública ― Colombia Compra Eficiente, normativa que adopta los Documentos Tipo para los pliegos de condiciones de los procesos de selección de licitación de obra pública de infraestructura de transporte, en el artículo 2.2.1.2.6.4 establece que las entidades contratantes no podrán incluir o modificar dentro de los Documentos del Proceso las condiciones habilitantes, los factores técnicos y económicos de escogencia y los sistemas de ponderación distintos a los señalados en los Documentos Tipo?</w:t>
      </w:r>
      <w:r w:rsidRPr="005C2ED6">
        <w:rPr>
          <w:rFonts w:ascii="Arial" w:eastAsia="Calibri" w:hAnsi="Arial" w:cs="Arial"/>
          <w:sz w:val="21"/>
          <w:szCs w:val="21"/>
        </w:rPr>
        <w:t xml:space="preserve">». </w:t>
      </w:r>
    </w:p>
    <w:p w14:paraId="44DFCE52" w14:textId="3F26F28E" w:rsidR="001E2D73" w:rsidRPr="001E2D73" w:rsidRDefault="001E2D73" w:rsidP="00684DE6">
      <w:pPr>
        <w:spacing w:after="120" w:line="276" w:lineRule="auto"/>
        <w:jc w:val="both"/>
        <w:rPr>
          <w:rFonts w:ascii="Arial" w:hAnsi="Arial" w:cs="Arial"/>
          <w:color w:val="000000"/>
          <w:sz w:val="22"/>
          <w:szCs w:val="22"/>
          <w:bdr w:val="none" w:sz="0" w:space="0" w:color="auto" w:frame="1"/>
        </w:rPr>
      </w:pPr>
      <w:r>
        <w:rPr>
          <w:rFonts w:ascii="Arial" w:hAnsi="Arial" w:cs="Arial"/>
          <w:color w:val="000000"/>
          <w:sz w:val="22"/>
          <w:bdr w:val="none" w:sz="0" w:space="0" w:color="auto" w:frame="1"/>
        </w:rPr>
        <w:t xml:space="preserve">En armonía con la respuesta anterior y las consideraciones de este concepto, </w:t>
      </w:r>
      <w:r>
        <w:rPr>
          <w:rFonts w:ascii="Arial" w:hAnsi="Arial" w:cs="Arial"/>
          <w:color w:val="000000"/>
          <w:sz w:val="22"/>
          <w:szCs w:val="22"/>
          <w:bdr w:val="none" w:sz="0" w:space="0" w:color="auto" w:frame="1"/>
        </w:rPr>
        <w:t xml:space="preserve">esta Agencia considera que </w:t>
      </w:r>
      <w:r w:rsidRPr="001E2D73">
        <w:rPr>
          <w:rFonts w:ascii="Arial" w:hAnsi="Arial" w:cs="Arial"/>
          <w:color w:val="000000"/>
          <w:sz w:val="22"/>
          <w:szCs w:val="22"/>
          <w:bdr w:val="none" w:sz="0" w:space="0" w:color="auto" w:frame="1"/>
        </w:rPr>
        <w:t xml:space="preserve">el documento tipo no estableció la exigencia de la acreditación, durante el procedimiento de selección, del cumplimiento de la obligación legal establecida en el artículo 17 de la Ley 842 de 2003. Además, dicho evento no se encuentra establecido como causal de rechazo de las ofertas y las entidades no pueden incluir nuevas causales distintas a las establecidas en los documentos tipo. </w:t>
      </w:r>
    </w:p>
    <w:p w14:paraId="295EB446" w14:textId="4779561A" w:rsidR="00A82B05" w:rsidRDefault="001E2D73" w:rsidP="008B41FC">
      <w:pPr>
        <w:spacing w:line="276" w:lineRule="auto"/>
        <w:ind w:firstLine="708"/>
        <w:jc w:val="both"/>
        <w:rPr>
          <w:rFonts w:ascii="Arial" w:hAnsi="Arial" w:cs="Arial"/>
          <w:color w:val="000000"/>
          <w:sz w:val="22"/>
          <w:szCs w:val="22"/>
          <w:bdr w:val="none" w:sz="0" w:space="0" w:color="auto" w:frame="1"/>
        </w:rPr>
      </w:pPr>
      <w:r w:rsidRPr="001E2D73">
        <w:rPr>
          <w:rFonts w:ascii="Arial" w:hAnsi="Arial" w:cs="Arial"/>
          <w:color w:val="000000"/>
          <w:sz w:val="22"/>
          <w:szCs w:val="22"/>
          <w:bdr w:val="none" w:sz="0" w:space="0" w:color="auto" w:frame="1"/>
        </w:rPr>
        <w:t xml:space="preserve">Adicionalmente, como se indicó, el artículo citado establece el deber para las personas jurídicas, cuyas actividades correspondan al ejercicio de la ingeniería, de incluir en su «nómina permanente» al menos a un profesional matriculado en la carrera correspondiente al objeto social de la persona jurídica. Sin embargo, pese a la existencia de dicho deber, no establece una consecuencia particular frente a su incidencia en los procedimientos de selección adelantados por las entidades estatales, como sería la imposibilidad de participar en </w:t>
      </w:r>
      <w:r w:rsidR="005B169E">
        <w:rPr>
          <w:rFonts w:ascii="Arial" w:hAnsi="Arial" w:cs="Arial"/>
          <w:color w:val="000000"/>
          <w:sz w:val="22"/>
          <w:szCs w:val="22"/>
          <w:bdr w:val="none" w:sz="0" w:space="0" w:color="auto" w:frame="1"/>
        </w:rPr>
        <w:t>ellos</w:t>
      </w:r>
      <w:r w:rsidRPr="001E2D73">
        <w:rPr>
          <w:rFonts w:ascii="Arial" w:hAnsi="Arial" w:cs="Arial"/>
          <w:color w:val="000000"/>
          <w:sz w:val="22"/>
          <w:szCs w:val="22"/>
          <w:bdr w:val="none" w:sz="0" w:space="0" w:color="auto" w:frame="1"/>
        </w:rPr>
        <w:t xml:space="preserve"> ante la inobservancia del cumplimiento de dicha exigencia o el deber de presentar algún documento para acreditar </w:t>
      </w:r>
      <w:r w:rsidR="002E7909">
        <w:rPr>
          <w:rFonts w:ascii="Arial" w:hAnsi="Arial" w:cs="Arial"/>
          <w:color w:val="000000"/>
          <w:sz w:val="22"/>
          <w:szCs w:val="22"/>
          <w:bdr w:val="none" w:sz="0" w:space="0" w:color="auto" w:frame="1"/>
        </w:rPr>
        <w:t>su</w:t>
      </w:r>
      <w:r w:rsidRPr="001E2D73">
        <w:rPr>
          <w:rFonts w:ascii="Arial" w:hAnsi="Arial" w:cs="Arial"/>
          <w:color w:val="000000"/>
          <w:sz w:val="22"/>
          <w:szCs w:val="22"/>
          <w:bdr w:val="none" w:sz="0" w:space="0" w:color="auto" w:frame="1"/>
        </w:rPr>
        <w:t xml:space="preserve"> cumplimiento en el desarrollo de tales </w:t>
      </w:r>
      <w:r w:rsidR="002E7909">
        <w:rPr>
          <w:rFonts w:ascii="Arial" w:hAnsi="Arial" w:cs="Arial"/>
          <w:color w:val="000000"/>
          <w:sz w:val="22"/>
          <w:szCs w:val="22"/>
          <w:bdr w:val="none" w:sz="0" w:space="0" w:color="auto" w:frame="1"/>
        </w:rPr>
        <w:t>procedimientos de selección</w:t>
      </w:r>
      <w:r w:rsidRPr="001E2D73">
        <w:rPr>
          <w:rFonts w:ascii="Arial" w:hAnsi="Arial" w:cs="Arial"/>
          <w:color w:val="000000"/>
          <w:sz w:val="22"/>
          <w:szCs w:val="22"/>
          <w:bdr w:val="none" w:sz="0" w:space="0" w:color="auto" w:frame="1"/>
        </w:rPr>
        <w:t>.</w:t>
      </w:r>
    </w:p>
    <w:p w14:paraId="0DD3BF44" w14:textId="77777777" w:rsidR="005C5345" w:rsidRPr="005C2ED6" w:rsidRDefault="005C5345" w:rsidP="005C2ED6">
      <w:pPr>
        <w:spacing w:line="276" w:lineRule="auto"/>
        <w:ind w:firstLine="708"/>
        <w:jc w:val="both"/>
        <w:rPr>
          <w:rFonts w:ascii="Arial" w:hAnsi="Arial" w:cs="Arial"/>
          <w:color w:val="000000"/>
          <w:sz w:val="22"/>
          <w:szCs w:val="22"/>
          <w:bdr w:val="none" w:sz="0" w:space="0" w:color="auto" w:frame="1"/>
        </w:rPr>
      </w:pPr>
    </w:p>
    <w:p w14:paraId="79826A5B" w14:textId="77777777" w:rsidR="0031456F" w:rsidRPr="00830F50" w:rsidRDefault="0031456F" w:rsidP="009B1654">
      <w:pPr>
        <w:pStyle w:val="xmsonospacing"/>
        <w:spacing w:before="0" w:beforeAutospacing="0" w:after="0" w:afterAutospacing="0" w:line="276" w:lineRule="auto"/>
        <w:jc w:val="both"/>
        <w:rPr>
          <w:rFonts w:ascii="Arial" w:hAnsi="Arial" w:cs="Arial"/>
          <w:sz w:val="22"/>
          <w:szCs w:val="22"/>
        </w:rPr>
      </w:pPr>
    </w:p>
    <w:p w14:paraId="0738C8F4" w14:textId="29CC140C" w:rsidR="00A71CEA" w:rsidRPr="00830F50" w:rsidRDefault="00A71CEA" w:rsidP="00FC46E7">
      <w:pPr>
        <w:spacing w:line="276" w:lineRule="auto"/>
        <w:jc w:val="both"/>
        <w:rPr>
          <w:rFonts w:ascii="Arial" w:eastAsia="Calibri" w:hAnsi="Arial" w:cs="Arial"/>
          <w:sz w:val="22"/>
        </w:rPr>
      </w:pPr>
      <w:r w:rsidRPr="00830F50">
        <w:rPr>
          <w:rFonts w:ascii="Arial" w:eastAsia="Calibri" w:hAnsi="Arial" w:cs="Arial"/>
          <w:sz w:val="22"/>
          <w:szCs w:val="22"/>
        </w:rPr>
        <w:t>Este concepto tiene el alcance previsto en el artículo 28 del Cód</w:t>
      </w:r>
      <w:r w:rsidRPr="00830F50">
        <w:rPr>
          <w:rFonts w:ascii="Arial" w:eastAsia="Calibri" w:hAnsi="Arial" w:cs="Arial"/>
          <w:sz w:val="22"/>
        </w:rPr>
        <w:t>igo de Procedimiento Administrativo y de lo Contencioso Administrativo.</w:t>
      </w:r>
    </w:p>
    <w:p w14:paraId="27A116DB" w14:textId="77777777" w:rsidR="00B55679" w:rsidRPr="00830F50" w:rsidRDefault="00B55679" w:rsidP="00FC46E7">
      <w:pPr>
        <w:jc w:val="both"/>
        <w:rPr>
          <w:rFonts w:ascii="Arial" w:eastAsia="Calibri" w:hAnsi="Arial" w:cs="Arial"/>
          <w:sz w:val="22"/>
        </w:rPr>
      </w:pPr>
    </w:p>
    <w:p w14:paraId="1BD8E63C" w14:textId="77777777" w:rsidR="00A71CEA" w:rsidRPr="00830F50" w:rsidRDefault="00A71CEA" w:rsidP="00FC46E7">
      <w:pPr>
        <w:jc w:val="both"/>
        <w:rPr>
          <w:rFonts w:ascii="Arial" w:hAnsi="Arial" w:cs="Arial"/>
          <w:sz w:val="22"/>
          <w:lang w:eastAsia="es-CO"/>
        </w:rPr>
      </w:pPr>
      <w:r w:rsidRPr="00830F50">
        <w:rPr>
          <w:rFonts w:ascii="Arial" w:hAnsi="Arial" w:cs="Arial"/>
          <w:sz w:val="22"/>
          <w:lang w:eastAsia="es-CO"/>
        </w:rPr>
        <w:t>Atentamente,</w:t>
      </w:r>
    </w:p>
    <w:p w14:paraId="6B055B12" w14:textId="6E14AF97" w:rsidR="00A71CEA" w:rsidRPr="00830F50" w:rsidRDefault="00A71CEA" w:rsidP="00FC46E7">
      <w:pPr>
        <w:jc w:val="center"/>
        <w:rPr>
          <w:rFonts w:ascii="Arial" w:hAnsi="Arial" w:cs="Arial"/>
          <w:sz w:val="22"/>
          <w:lang w:eastAsia="es-CO"/>
        </w:rPr>
      </w:pPr>
    </w:p>
    <w:p w14:paraId="4783A21F" w14:textId="33B14715" w:rsidR="00A71CEA" w:rsidRPr="00830F50" w:rsidRDefault="00486AFC" w:rsidP="00FC46E7">
      <w:pPr>
        <w:jc w:val="center"/>
        <w:rPr>
          <w:rFonts w:ascii="Arial" w:hAnsi="Arial" w:cs="Arial"/>
          <w:sz w:val="18"/>
          <w:szCs w:val="20"/>
          <w:lang w:eastAsia="es-CO"/>
        </w:rPr>
      </w:pPr>
      <w:r w:rsidRPr="00FC4438">
        <w:rPr>
          <w:noProof/>
        </w:rPr>
        <w:lastRenderedPageBreak/>
        <w:drawing>
          <wp:inline distT="0" distB="0" distL="0" distR="0" wp14:anchorId="23FD105E" wp14:editId="3E69B8B8">
            <wp:extent cx="2514600" cy="1114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1114425"/>
                    </a:xfrm>
                    <a:prstGeom prst="rect">
                      <a:avLst/>
                    </a:prstGeom>
                  </pic:spPr>
                </pic:pic>
              </a:graphicData>
            </a:graphic>
          </wp:inline>
        </w:drawing>
      </w:r>
    </w:p>
    <w:p w14:paraId="1FEF5E59" w14:textId="77777777" w:rsidR="00A71CEA" w:rsidRPr="00830F50" w:rsidRDefault="00A71CEA" w:rsidP="00FC46E7">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30F50" w:rsidRPr="00830F50" w14:paraId="6FD066C0" w14:textId="77777777" w:rsidTr="007F1895">
        <w:trPr>
          <w:trHeight w:val="315"/>
        </w:trPr>
        <w:tc>
          <w:tcPr>
            <w:tcW w:w="812" w:type="dxa"/>
            <w:vAlign w:val="center"/>
            <w:hideMark/>
          </w:tcPr>
          <w:p w14:paraId="3D034311" w14:textId="77777777" w:rsidR="00A71CEA" w:rsidRPr="00830F50" w:rsidRDefault="00A71CEA" w:rsidP="00FC46E7">
            <w:pPr>
              <w:rPr>
                <w:rFonts w:ascii="Arial" w:hAnsi="Arial" w:cs="Arial"/>
                <w:sz w:val="16"/>
                <w:szCs w:val="16"/>
                <w:lang w:eastAsia="es-ES"/>
              </w:rPr>
            </w:pPr>
            <w:r w:rsidRPr="00830F50">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830F50" w:rsidRDefault="00A71CEA" w:rsidP="00FC46E7">
            <w:pPr>
              <w:rPr>
                <w:rFonts w:ascii="Arial" w:hAnsi="Arial" w:cs="Arial"/>
                <w:sz w:val="16"/>
                <w:szCs w:val="16"/>
                <w:lang w:eastAsia="es-ES"/>
              </w:rPr>
            </w:pPr>
            <w:r w:rsidRPr="00830F50">
              <w:rPr>
                <w:rFonts w:ascii="Arial" w:hAnsi="Arial" w:cs="Arial"/>
                <w:sz w:val="16"/>
                <w:szCs w:val="16"/>
                <w:lang w:eastAsia="es-ES"/>
              </w:rPr>
              <w:t xml:space="preserve">Camilo Perdomo Villamil </w:t>
            </w:r>
          </w:p>
          <w:p w14:paraId="02C2374E" w14:textId="77777777" w:rsidR="00A71CEA" w:rsidRPr="00830F50" w:rsidRDefault="00A71CEA" w:rsidP="00FC46E7">
            <w:pPr>
              <w:rPr>
                <w:rFonts w:ascii="Arial" w:hAnsi="Arial" w:cs="Arial"/>
                <w:sz w:val="16"/>
                <w:szCs w:val="16"/>
                <w:lang w:eastAsia="es-ES"/>
              </w:rPr>
            </w:pPr>
            <w:r w:rsidRPr="00830F50">
              <w:rPr>
                <w:rFonts w:ascii="Arial" w:hAnsi="Arial" w:cs="Arial"/>
                <w:sz w:val="16"/>
                <w:szCs w:val="16"/>
                <w:lang w:eastAsia="es-ES"/>
              </w:rPr>
              <w:t>Contratista de la Subdirección de Gestión Contractual</w:t>
            </w:r>
          </w:p>
        </w:tc>
      </w:tr>
      <w:tr w:rsidR="00830F50" w:rsidRPr="00830F50" w14:paraId="6CE7FA18" w14:textId="77777777" w:rsidTr="007F1895">
        <w:trPr>
          <w:trHeight w:val="330"/>
        </w:trPr>
        <w:tc>
          <w:tcPr>
            <w:tcW w:w="812" w:type="dxa"/>
            <w:vAlign w:val="center"/>
            <w:hideMark/>
          </w:tcPr>
          <w:p w14:paraId="2902D588" w14:textId="77777777" w:rsidR="00A71CEA" w:rsidRPr="00830F50" w:rsidRDefault="00A71CEA" w:rsidP="00FC46E7">
            <w:pPr>
              <w:rPr>
                <w:rFonts w:ascii="Arial" w:hAnsi="Arial" w:cs="Arial"/>
                <w:sz w:val="16"/>
                <w:szCs w:val="16"/>
                <w:lang w:eastAsia="es-ES"/>
              </w:rPr>
            </w:pPr>
            <w:r w:rsidRPr="00830F50">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0F17364B" w:rsidR="00A71CEA" w:rsidRPr="00830F50" w:rsidRDefault="005C180C" w:rsidP="00FC46E7">
            <w:pPr>
              <w:rPr>
                <w:rFonts w:ascii="Arial" w:hAnsi="Arial" w:cs="Arial"/>
                <w:sz w:val="16"/>
                <w:szCs w:val="16"/>
                <w:lang w:eastAsia="es-ES"/>
              </w:rPr>
            </w:pPr>
            <w:r w:rsidRPr="00830F50">
              <w:rPr>
                <w:rFonts w:ascii="Arial" w:hAnsi="Arial" w:cs="Arial"/>
                <w:sz w:val="16"/>
                <w:szCs w:val="16"/>
                <w:lang w:eastAsia="es-ES"/>
              </w:rPr>
              <w:t>Sebastián Ramírez Grisales</w:t>
            </w:r>
          </w:p>
          <w:p w14:paraId="15D02354" w14:textId="5F8430C7" w:rsidR="00A71CEA" w:rsidRPr="00830F50" w:rsidRDefault="00A71CEA" w:rsidP="00FC46E7">
            <w:pPr>
              <w:rPr>
                <w:rFonts w:ascii="Arial" w:hAnsi="Arial" w:cs="Arial"/>
                <w:sz w:val="16"/>
                <w:szCs w:val="16"/>
                <w:lang w:eastAsia="es-ES"/>
              </w:rPr>
            </w:pPr>
            <w:r w:rsidRPr="00830F50">
              <w:rPr>
                <w:rFonts w:ascii="Arial" w:hAnsi="Arial" w:cs="Arial"/>
                <w:sz w:val="16"/>
                <w:szCs w:val="16"/>
                <w:lang w:eastAsia="es-ES"/>
              </w:rPr>
              <w:t>Gestor T1-1</w:t>
            </w:r>
            <w:r w:rsidR="00AF0F4E" w:rsidRPr="00830F50">
              <w:rPr>
                <w:rFonts w:ascii="Arial" w:hAnsi="Arial" w:cs="Arial"/>
                <w:sz w:val="16"/>
                <w:szCs w:val="16"/>
                <w:lang w:eastAsia="es-ES"/>
              </w:rPr>
              <w:t>1</w:t>
            </w:r>
            <w:r w:rsidRPr="00830F50">
              <w:rPr>
                <w:rFonts w:ascii="Arial" w:hAnsi="Arial" w:cs="Arial"/>
                <w:sz w:val="16"/>
                <w:szCs w:val="16"/>
                <w:lang w:eastAsia="es-ES"/>
              </w:rPr>
              <w:t xml:space="preserve"> de la Subdirección de Gestión Contractual</w:t>
            </w:r>
          </w:p>
        </w:tc>
      </w:tr>
      <w:tr w:rsidR="00A71CEA" w:rsidRPr="00830F50" w14:paraId="4BA2BDE6" w14:textId="77777777" w:rsidTr="007F1895">
        <w:trPr>
          <w:trHeight w:val="300"/>
        </w:trPr>
        <w:tc>
          <w:tcPr>
            <w:tcW w:w="812" w:type="dxa"/>
            <w:vAlign w:val="center"/>
            <w:hideMark/>
          </w:tcPr>
          <w:p w14:paraId="1A726DD9" w14:textId="77777777" w:rsidR="00A71CEA" w:rsidRPr="00830F50" w:rsidRDefault="00A71CEA" w:rsidP="00FC46E7">
            <w:pPr>
              <w:rPr>
                <w:rFonts w:ascii="Arial" w:hAnsi="Arial" w:cs="Arial"/>
                <w:sz w:val="16"/>
                <w:szCs w:val="16"/>
                <w:lang w:eastAsia="es-ES"/>
              </w:rPr>
            </w:pPr>
            <w:r w:rsidRPr="00830F50">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830F50" w:rsidRDefault="00A71CEA" w:rsidP="00FC46E7">
            <w:pPr>
              <w:rPr>
                <w:rFonts w:ascii="Arial" w:hAnsi="Arial" w:cs="Arial"/>
                <w:sz w:val="16"/>
                <w:szCs w:val="16"/>
                <w:lang w:eastAsia="es-ES"/>
              </w:rPr>
            </w:pPr>
            <w:r w:rsidRPr="00830F50">
              <w:rPr>
                <w:rFonts w:ascii="Arial" w:hAnsi="Arial" w:cs="Arial"/>
                <w:sz w:val="16"/>
                <w:szCs w:val="16"/>
                <w:lang w:eastAsia="es-ES"/>
              </w:rPr>
              <w:t>Jorge Augusto Tirado Navarro</w:t>
            </w:r>
          </w:p>
          <w:p w14:paraId="416E9DA6" w14:textId="77777777" w:rsidR="00A71CEA" w:rsidRPr="00830F50" w:rsidRDefault="00A71CEA" w:rsidP="00FC46E7">
            <w:pPr>
              <w:rPr>
                <w:rFonts w:ascii="Arial" w:hAnsi="Arial" w:cs="Arial"/>
                <w:sz w:val="16"/>
                <w:szCs w:val="16"/>
                <w:lang w:eastAsia="es-ES"/>
              </w:rPr>
            </w:pPr>
            <w:r w:rsidRPr="00830F50">
              <w:rPr>
                <w:rFonts w:ascii="Arial" w:hAnsi="Arial" w:cs="Arial"/>
                <w:sz w:val="16"/>
                <w:szCs w:val="16"/>
                <w:lang w:eastAsia="es-ES"/>
              </w:rPr>
              <w:t>Subdirector de Gestión Contractual ANCP – CCE</w:t>
            </w:r>
          </w:p>
        </w:tc>
      </w:tr>
    </w:tbl>
    <w:p w14:paraId="3D5BFD2B" w14:textId="77777777" w:rsidR="00A71CEA" w:rsidRPr="00830F50" w:rsidRDefault="00A71CEA" w:rsidP="00FC46E7"/>
    <w:sectPr w:rsidR="00A71CEA" w:rsidRPr="00830F50"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3AB6" w14:textId="77777777" w:rsidR="00192D6E" w:rsidRDefault="00192D6E" w:rsidP="00A71CEA">
      <w:r>
        <w:separator/>
      </w:r>
    </w:p>
  </w:endnote>
  <w:endnote w:type="continuationSeparator" w:id="0">
    <w:p w14:paraId="74A654B2" w14:textId="77777777" w:rsidR="00192D6E" w:rsidRDefault="00192D6E"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F95A" w14:textId="77777777" w:rsidR="00192D6E" w:rsidRDefault="00192D6E" w:rsidP="00A71CEA">
      <w:r>
        <w:separator/>
      </w:r>
    </w:p>
  </w:footnote>
  <w:footnote w:type="continuationSeparator" w:id="0">
    <w:p w14:paraId="568E0182" w14:textId="77777777" w:rsidR="00192D6E" w:rsidRDefault="00192D6E" w:rsidP="00A71CEA">
      <w:r>
        <w:continuationSeparator/>
      </w:r>
    </w:p>
  </w:footnote>
  <w:footnote w:id="1">
    <w:p w14:paraId="30376BC9" w14:textId="77777777" w:rsidR="002116C0" w:rsidRPr="00255CC5" w:rsidRDefault="002116C0" w:rsidP="00F247C9">
      <w:pPr>
        <w:pStyle w:val="Textonotapie"/>
        <w:ind w:firstLine="708"/>
        <w:jc w:val="both"/>
        <w:rPr>
          <w:rFonts w:ascii="Arial" w:hAnsi="Arial" w:cs="Arial"/>
          <w:sz w:val="19"/>
          <w:szCs w:val="19"/>
          <w:lang w:val="es-ES"/>
        </w:rPr>
      </w:pPr>
      <w:r w:rsidRPr="00255CC5">
        <w:rPr>
          <w:rStyle w:val="Refdenotaalpie"/>
          <w:rFonts w:ascii="Arial" w:hAnsi="Arial" w:cs="Arial"/>
          <w:sz w:val="19"/>
          <w:szCs w:val="19"/>
        </w:rPr>
        <w:footnoteRef/>
      </w:r>
      <w:r w:rsidRPr="00255CC5">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55CC5">
        <w:rPr>
          <w:rFonts w:ascii="Arial" w:hAnsi="Arial" w:cs="Arial"/>
          <w:i/>
          <w:iCs/>
          <w:sz w:val="19"/>
          <w:szCs w:val="19"/>
        </w:rPr>
        <w:t xml:space="preserve">ibidem </w:t>
      </w:r>
      <w:r w:rsidRPr="00255CC5">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9DA88EC" w14:textId="77777777" w:rsidR="00AD5F09" w:rsidRPr="00AD5F09" w:rsidRDefault="00AD5F09" w:rsidP="00AD5F09">
      <w:pPr>
        <w:pStyle w:val="Textonotapie"/>
        <w:ind w:firstLine="709"/>
        <w:jc w:val="both"/>
        <w:rPr>
          <w:rFonts w:ascii="Arial" w:hAnsi="Arial" w:cs="Arial"/>
          <w:color w:val="000000"/>
          <w:sz w:val="19"/>
          <w:szCs w:val="19"/>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5FC399E1" w14:textId="77777777" w:rsidR="00AD5F09" w:rsidRPr="00AD5F09" w:rsidRDefault="00AD5F09" w:rsidP="00AD5F09">
      <w:pPr>
        <w:pStyle w:val="Textonotapie"/>
        <w:ind w:firstLine="709"/>
        <w:jc w:val="both"/>
        <w:rPr>
          <w:rFonts w:ascii="Arial" w:eastAsia="Calibri" w:hAnsi="Arial" w:cs="Arial"/>
          <w:color w:val="000000"/>
          <w:sz w:val="19"/>
          <w:szCs w:val="19"/>
          <w:lang w:val="es-CO"/>
        </w:rPr>
      </w:pPr>
      <w:r w:rsidRPr="00AD5F09">
        <w:rPr>
          <w:rFonts w:ascii="Arial" w:hAnsi="Arial" w:cs="Arial"/>
          <w:color w:val="000000"/>
          <w:sz w:val="19"/>
          <w:szCs w:val="19"/>
        </w:rPr>
        <w:t>»Las personas jurídicas nacionales y extranjeras deberán acreditar que su duración no será inferior a la del plazo del contrato y un año más».</w:t>
      </w:r>
    </w:p>
    <w:p w14:paraId="6DF325E7" w14:textId="77777777" w:rsidR="00AD5F09" w:rsidRPr="00AD5F09" w:rsidRDefault="00AD5F09" w:rsidP="00AD5F09">
      <w:pPr>
        <w:pStyle w:val="Textonotapie"/>
        <w:ind w:firstLine="709"/>
        <w:jc w:val="both"/>
        <w:rPr>
          <w:rFonts w:ascii="Arial" w:hAnsi="Arial" w:cs="Arial"/>
          <w:color w:val="000000"/>
          <w:sz w:val="19"/>
          <w:szCs w:val="19"/>
        </w:rPr>
      </w:pPr>
    </w:p>
  </w:footnote>
  <w:footnote w:id="3">
    <w:p w14:paraId="2401EE9A" w14:textId="77777777" w:rsidR="00AD5F09" w:rsidRPr="00AD5F09" w:rsidRDefault="00AD5F09" w:rsidP="00AD5F09">
      <w:pPr>
        <w:pStyle w:val="Textonotapie"/>
        <w:ind w:firstLine="709"/>
        <w:jc w:val="both"/>
        <w:rPr>
          <w:rFonts w:ascii="Arial" w:hAnsi="Arial" w:cs="Arial"/>
          <w:color w:val="000000"/>
          <w:sz w:val="19"/>
          <w:szCs w:val="19"/>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792B6222" w14:textId="77777777" w:rsidR="00AD5F09" w:rsidRPr="00AD5F09" w:rsidRDefault="00AD5F09" w:rsidP="00AD5F09">
      <w:pPr>
        <w:pStyle w:val="Textonotapie"/>
        <w:ind w:firstLine="709"/>
        <w:jc w:val="both"/>
        <w:rPr>
          <w:rFonts w:ascii="Arial" w:hAnsi="Arial" w:cs="Arial"/>
          <w:color w:val="000000"/>
          <w:sz w:val="19"/>
          <w:szCs w:val="19"/>
        </w:rPr>
      </w:pPr>
      <w:r w:rsidRPr="00AD5F09">
        <w:rPr>
          <w:rFonts w:ascii="Arial" w:hAnsi="Arial" w:cs="Arial"/>
          <w:color w:val="000000"/>
          <w:sz w:val="19"/>
          <w:szCs w:val="19"/>
        </w:rPr>
        <w:t>»1o.) que sea legalmente capaz.</w:t>
      </w:r>
    </w:p>
    <w:p w14:paraId="1060AA8A" w14:textId="77777777" w:rsidR="00AD5F09" w:rsidRPr="00AD5F09" w:rsidRDefault="00AD5F09" w:rsidP="00AD5F09">
      <w:pPr>
        <w:pStyle w:val="Textonotapie"/>
        <w:ind w:firstLine="709"/>
        <w:jc w:val="both"/>
        <w:rPr>
          <w:rFonts w:ascii="Arial" w:hAnsi="Arial" w:cs="Arial"/>
          <w:color w:val="000000"/>
          <w:sz w:val="19"/>
          <w:szCs w:val="19"/>
        </w:rPr>
      </w:pPr>
      <w:r w:rsidRPr="00AD5F09">
        <w:rPr>
          <w:rFonts w:ascii="Arial" w:hAnsi="Arial" w:cs="Arial"/>
          <w:color w:val="000000"/>
          <w:sz w:val="19"/>
          <w:szCs w:val="19"/>
        </w:rPr>
        <w:t>[…]</w:t>
      </w:r>
    </w:p>
    <w:p w14:paraId="677B3118" w14:textId="77777777" w:rsidR="00AD5F09" w:rsidRPr="00AD5F09" w:rsidRDefault="00AD5F09" w:rsidP="00AD5F09">
      <w:pPr>
        <w:pStyle w:val="Textonotapie"/>
        <w:ind w:firstLine="709"/>
        <w:jc w:val="both"/>
        <w:rPr>
          <w:rFonts w:ascii="Arial" w:hAnsi="Arial" w:cs="Arial"/>
          <w:color w:val="000000"/>
          <w:sz w:val="19"/>
          <w:szCs w:val="19"/>
        </w:rPr>
      </w:pPr>
      <w:r w:rsidRPr="00AD5F09">
        <w:rPr>
          <w:rFonts w:ascii="Arial" w:hAnsi="Arial" w:cs="Arial"/>
          <w:color w:val="000000"/>
          <w:sz w:val="19"/>
          <w:szCs w:val="19"/>
        </w:rPr>
        <w:t>»La capacidad legal de una persona consiste en poderse obligar por sí misma, sin el ministerio o la autorización de otra».</w:t>
      </w:r>
    </w:p>
    <w:p w14:paraId="7C175210" w14:textId="77777777" w:rsidR="00AD5F09" w:rsidRPr="00AD5F09" w:rsidRDefault="00AD5F09" w:rsidP="00AD5F09">
      <w:pPr>
        <w:pStyle w:val="Textonotapie"/>
        <w:ind w:firstLine="709"/>
        <w:jc w:val="both"/>
        <w:rPr>
          <w:rFonts w:ascii="Arial" w:hAnsi="Arial" w:cs="Arial"/>
          <w:color w:val="000000"/>
          <w:sz w:val="19"/>
          <w:szCs w:val="19"/>
        </w:rPr>
      </w:pPr>
    </w:p>
  </w:footnote>
  <w:footnote w:id="4">
    <w:p w14:paraId="25B422AE" w14:textId="77777777" w:rsidR="00AD5F09" w:rsidRPr="00AD5F09" w:rsidRDefault="00AD5F09" w:rsidP="00AD5F09">
      <w:pPr>
        <w:pStyle w:val="Textonotapie"/>
        <w:ind w:firstLine="709"/>
        <w:jc w:val="both"/>
        <w:rPr>
          <w:rFonts w:ascii="Arial" w:hAnsi="Arial" w:cs="Arial"/>
          <w:color w:val="000000"/>
          <w:sz w:val="19"/>
          <w:szCs w:val="19"/>
          <w:lang w:val="es-ES"/>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w:t>
      </w:r>
      <w:r w:rsidRPr="00AD5F09">
        <w:rPr>
          <w:rFonts w:ascii="Arial" w:hAnsi="Arial" w:cs="Arial"/>
          <w:color w:val="000000"/>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AD5F09">
        <w:rPr>
          <w:rFonts w:ascii="Arial" w:hAnsi="Arial" w:cs="Arial"/>
          <w:i/>
          <w:iCs/>
          <w:color w:val="000000"/>
          <w:sz w:val="19"/>
          <w:szCs w:val="19"/>
          <w:lang w:val="es-ES"/>
        </w:rPr>
        <w:t>el régimen de inhabilidades e incompatibilidades</w:t>
      </w:r>
      <w:r w:rsidRPr="00AD5F09">
        <w:rPr>
          <w:rFonts w:ascii="Arial" w:hAnsi="Arial" w:cs="Arial"/>
          <w:color w:val="000000"/>
          <w:sz w:val="19"/>
          <w:szCs w:val="19"/>
          <w:lang w:val="es-ES"/>
        </w:rPr>
        <w:t xml:space="preserve"> (1) y la obligación de ciertos proponentes de inscribirse en el </w:t>
      </w:r>
      <w:r w:rsidRPr="00AD5F09">
        <w:rPr>
          <w:rFonts w:ascii="Arial" w:hAnsi="Arial" w:cs="Arial"/>
          <w:i/>
          <w:iCs/>
          <w:color w:val="000000"/>
          <w:sz w:val="19"/>
          <w:szCs w:val="19"/>
          <w:lang w:val="es-ES"/>
        </w:rPr>
        <w:t>registro único</w:t>
      </w:r>
      <w:r w:rsidRPr="00AD5F09">
        <w:rPr>
          <w:rFonts w:ascii="Arial" w:hAnsi="Arial" w:cs="Arial"/>
          <w:color w:val="000000"/>
          <w:sz w:val="19"/>
          <w:szCs w:val="19"/>
          <w:lang w:val="es-ES"/>
        </w:rPr>
        <w:t xml:space="preserve"> (2)» (BENAVIDES, José Luis. El contrato estatal. Entre el Derecho público y el Derecho privado. 2ª ed. Bogotá: Universidad Externado de Colombia, 2004. p. 278). </w:t>
      </w:r>
    </w:p>
    <w:p w14:paraId="0AA33239" w14:textId="77777777" w:rsidR="00AD5F09" w:rsidRPr="00AD5F09" w:rsidRDefault="00AD5F09" w:rsidP="00AD5F09">
      <w:pPr>
        <w:pStyle w:val="Textonotapie"/>
        <w:ind w:firstLine="709"/>
        <w:jc w:val="both"/>
        <w:rPr>
          <w:rFonts w:ascii="Arial" w:hAnsi="Arial" w:cs="Arial"/>
          <w:color w:val="000000"/>
          <w:sz w:val="19"/>
          <w:szCs w:val="19"/>
          <w:lang w:val="es-ES"/>
        </w:rPr>
      </w:pPr>
    </w:p>
  </w:footnote>
  <w:footnote w:id="5">
    <w:p w14:paraId="31CA7359" w14:textId="77777777" w:rsidR="00AD5F09" w:rsidRPr="00AD5F09" w:rsidRDefault="00AD5F09" w:rsidP="00AD5F09">
      <w:pPr>
        <w:pStyle w:val="Textonotapie"/>
        <w:ind w:firstLine="709"/>
        <w:jc w:val="both"/>
        <w:rPr>
          <w:rFonts w:ascii="Arial" w:hAnsi="Arial" w:cs="Arial"/>
          <w:color w:val="000000"/>
          <w:sz w:val="19"/>
          <w:szCs w:val="19"/>
          <w:lang w:val="es-ES"/>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w:t>
      </w:r>
      <w:r w:rsidRPr="00AD5F09">
        <w:rPr>
          <w:rFonts w:ascii="Arial" w:hAnsi="Arial" w:cs="Arial"/>
          <w:color w:val="000000"/>
          <w:sz w:val="19"/>
          <w:szCs w:val="19"/>
          <w:lang w:val="es-ES"/>
        </w:rPr>
        <w:t>BARRETO MORENO, Antonio Alejandro. Inhabilidades de la contratación estatal, efectos y neopunitivismo en el Estatuto Anticorrupción. En: ALVIAR GARCÍA, Helena (Coordinadora). Nuevas tendencias del Derecho administrativo. Bogotá: Universidad de los Andes; Temis, 2016. pp. 63-99.</w:t>
      </w:r>
    </w:p>
    <w:p w14:paraId="3EB7F17A" w14:textId="77777777" w:rsidR="00AD5F09" w:rsidRPr="00AD5F09" w:rsidRDefault="00AD5F09" w:rsidP="00AD5F09">
      <w:pPr>
        <w:pStyle w:val="Textonotapie"/>
        <w:ind w:firstLine="709"/>
        <w:jc w:val="both"/>
        <w:rPr>
          <w:rFonts w:ascii="Arial" w:hAnsi="Arial" w:cs="Arial"/>
          <w:color w:val="000000"/>
          <w:sz w:val="19"/>
          <w:szCs w:val="19"/>
          <w:lang w:val="es-ES"/>
        </w:rPr>
      </w:pPr>
    </w:p>
  </w:footnote>
  <w:footnote w:id="6">
    <w:p w14:paraId="31B7AE7C" w14:textId="77777777" w:rsidR="00AD5F09" w:rsidRPr="00AD5F09" w:rsidRDefault="00AD5F09" w:rsidP="00AD5F09">
      <w:pPr>
        <w:pStyle w:val="Textonotapie"/>
        <w:ind w:firstLine="709"/>
        <w:jc w:val="both"/>
        <w:rPr>
          <w:rFonts w:ascii="Arial" w:hAnsi="Arial" w:cs="Arial"/>
          <w:color w:val="000000"/>
          <w:sz w:val="19"/>
          <w:szCs w:val="19"/>
          <w:lang w:val="es-ES"/>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w:t>
      </w:r>
      <w:r w:rsidRPr="00AD5F09">
        <w:rPr>
          <w:rFonts w:ascii="Arial" w:hAnsi="Arial" w:cs="Arial"/>
          <w:color w:val="000000"/>
          <w:sz w:val="19"/>
          <w:szCs w:val="19"/>
          <w:lang w:val="es-ES"/>
        </w:rPr>
        <w:t>Ibíd., p. 69.</w:t>
      </w:r>
    </w:p>
    <w:p w14:paraId="6EADAABA" w14:textId="77777777" w:rsidR="00AD5F09" w:rsidRPr="00AD5F09" w:rsidRDefault="00AD5F09" w:rsidP="00AD5F09">
      <w:pPr>
        <w:pStyle w:val="Textonotapie"/>
        <w:ind w:firstLine="709"/>
        <w:jc w:val="both"/>
        <w:rPr>
          <w:rFonts w:ascii="Arial" w:hAnsi="Arial" w:cs="Arial"/>
          <w:color w:val="000000"/>
          <w:sz w:val="19"/>
          <w:szCs w:val="19"/>
          <w:lang w:val="es-ES"/>
        </w:rPr>
      </w:pPr>
    </w:p>
  </w:footnote>
  <w:footnote w:id="7">
    <w:p w14:paraId="177BA00D" w14:textId="77777777" w:rsidR="00AD5F09" w:rsidRPr="00AD5F09" w:rsidRDefault="00AD5F09" w:rsidP="00AD5F09">
      <w:pPr>
        <w:pStyle w:val="Textonotapie"/>
        <w:ind w:firstLine="709"/>
        <w:jc w:val="both"/>
        <w:rPr>
          <w:rFonts w:ascii="Arial" w:hAnsi="Arial" w:cs="Arial"/>
          <w:color w:val="000000"/>
          <w:sz w:val="19"/>
          <w:szCs w:val="19"/>
          <w:lang w:val="es-ES"/>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w:t>
      </w:r>
      <w:r w:rsidRPr="00AD5F09">
        <w:rPr>
          <w:rFonts w:ascii="Arial" w:hAnsi="Arial" w:cs="Arial"/>
          <w:color w:val="000000"/>
          <w:sz w:val="19"/>
          <w:szCs w:val="19"/>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footnote>
  <w:footnote w:id="8">
    <w:p w14:paraId="7CB7DD93" w14:textId="77777777" w:rsidR="00AD5F09" w:rsidRPr="00AD5F09" w:rsidRDefault="00AD5F09" w:rsidP="00AD5F09">
      <w:pPr>
        <w:pStyle w:val="Textonotapie"/>
        <w:ind w:firstLine="709"/>
        <w:jc w:val="both"/>
        <w:rPr>
          <w:rFonts w:ascii="Arial" w:hAnsi="Arial" w:cs="Arial"/>
          <w:color w:val="000000"/>
          <w:sz w:val="19"/>
          <w:szCs w:val="19"/>
          <w:lang w:val="es-ES"/>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w:t>
      </w:r>
      <w:r w:rsidRPr="00AD5F09">
        <w:rPr>
          <w:rFonts w:ascii="Arial" w:hAnsi="Arial" w:cs="Arial"/>
          <w:color w:val="000000"/>
          <w:sz w:val="19"/>
          <w:szCs w:val="19"/>
          <w:lang w:val="es-ES"/>
        </w:rPr>
        <w:t>Consejo de Estado. Sala de Consulta y Servicio Civil. Concepto del 30 de abril de 2015. Expediente: 2251. Consejero Ponente: Álvaro Namén Vargas.</w:t>
      </w:r>
    </w:p>
    <w:p w14:paraId="34BC3BDA" w14:textId="77777777" w:rsidR="00AD5F09" w:rsidRPr="00AD5F09" w:rsidRDefault="00AD5F09" w:rsidP="00AD5F09">
      <w:pPr>
        <w:pStyle w:val="Textonotapie"/>
        <w:ind w:firstLine="709"/>
        <w:jc w:val="both"/>
        <w:rPr>
          <w:rFonts w:ascii="Arial" w:hAnsi="Arial" w:cs="Arial"/>
          <w:color w:val="000000"/>
          <w:sz w:val="19"/>
          <w:szCs w:val="19"/>
          <w:lang w:val="es-ES"/>
        </w:rPr>
      </w:pPr>
    </w:p>
  </w:footnote>
  <w:footnote w:id="9">
    <w:p w14:paraId="3450DFF4" w14:textId="77777777" w:rsidR="00AD5F09" w:rsidRPr="00AD5F09" w:rsidRDefault="00AD5F09" w:rsidP="00AD5F09">
      <w:pPr>
        <w:pStyle w:val="Textonotapie"/>
        <w:ind w:firstLine="709"/>
        <w:jc w:val="both"/>
        <w:rPr>
          <w:rFonts w:ascii="Arial" w:hAnsi="Arial" w:cs="Arial"/>
          <w:color w:val="000000"/>
          <w:sz w:val="19"/>
          <w:szCs w:val="19"/>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Consejo de Estado. Sección Tercera. Subsección A. Sentencia del 24 de junio de 2015. Exp. 40.635. Consejero Ponente: Hernán Andrade Rincón (E).</w:t>
      </w:r>
    </w:p>
    <w:p w14:paraId="1DAC719A" w14:textId="77777777" w:rsidR="00AD5F09" w:rsidRPr="00AD5F09" w:rsidRDefault="00AD5F09" w:rsidP="00AD5F09">
      <w:pPr>
        <w:pStyle w:val="Textonotapie"/>
        <w:ind w:firstLine="709"/>
        <w:jc w:val="both"/>
        <w:rPr>
          <w:rFonts w:ascii="Arial" w:hAnsi="Arial" w:cs="Arial"/>
          <w:color w:val="000000"/>
          <w:sz w:val="19"/>
          <w:szCs w:val="19"/>
          <w:lang w:val="es-ES"/>
        </w:rPr>
      </w:pPr>
    </w:p>
  </w:footnote>
  <w:footnote w:id="10">
    <w:p w14:paraId="7B8EF23D" w14:textId="77777777" w:rsidR="00AD5F09" w:rsidRPr="00AD5F09" w:rsidRDefault="00AD5F09" w:rsidP="00AD5F09">
      <w:pPr>
        <w:pStyle w:val="Textonotapie"/>
        <w:ind w:firstLine="709"/>
        <w:jc w:val="both"/>
        <w:rPr>
          <w:rFonts w:ascii="Arial" w:hAnsi="Arial" w:cs="Arial"/>
          <w:color w:val="000000"/>
          <w:sz w:val="19"/>
          <w:szCs w:val="19"/>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Consejo de Estado. Sección Tercera. Subsección C. Sentencia del 22 de mayo de 2013. Exp. 24.057. Consejera Ponente: Olga Melida Valle De De La Hoz.</w:t>
      </w:r>
    </w:p>
    <w:p w14:paraId="35F0116F" w14:textId="77777777" w:rsidR="00AD5F09" w:rsidRPr="00AD5F09" w:rsidRDefault="00AD5F09" w:rsidP="00AD5F09">
      <w:pPr>
        <w:pStyle w:val="Textonotapie"/>
        <w:ind w:firstLine="709"/>
        <w:jc w:val="both"/>
        <w:rPr>
          <w:rFonts w:ascii="Arial" w:hAnsi="Arial" w:cs="Arial"/>
          <w:color w:val="000000"/>
          <w:sz w:val="19"/>
          <w:szCs w:val="19"/>
          <w:lang w:val="es-ES"/>
        </w:rPr>
      </w:pPr>
    </w:p>
  </w:footnote>
  <w:footnote w:id="11">
    <w:p w14:paraId="55D9B227" w14:textId="77777777" w:rsidR="00AD5F09" w:rsidRPr="00AD5F09" w:rsidRDefault="00AD5F09" w:rsidP="00AD5F09">
      <w:pPr>
        <w:pStyle w:val="Textonotapie"/>
        <w:ind w:firstLine="708"/>
        <w:jc w:val="both"/>
        <w:rPr>
          <w:rFonts w:ascii="Arial" w:hAnsi="Arial" w:cs="Arial"/>
          <w:color w:val="000000"/>
          <w:sz w:val="19"/>
          <w:szCs w:val="19"/>
          <w:lang w:val="es-CO"/>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w:t>
      </w:r>
      <w:r w:rsidRPr="00AD5F09">
        <w:rPr>
          <w:rFonts w:ascii="Arial" w:hAnsi="Arial" w:cs="Arial"/>
          <w:i/>
          <w:iCs/>
          <w:color w:val="000000"/>
          <w:sz w:val="19"/>
          <w:szCs w:val="19"/>
        </w:rPr>
        <w:t>Ibid</w:t>
      </w:r>
      <w:r w:rsidRPr="00AD5F09">
        <w:rPr>
          <w:rFonts w:ascii="Arial" w:hAnsi="Arial" w:cs="Arial"/>
          <w:color w:val="000000"/>
          <w:sz w:val="19"/>
          <w:szCs w:val="19"/>
        </w:rPr>
        <w:t xml:space="preserve">. </w:t>
      </w:r>
    </w:p>
    <w:p w14:paraId="1B94726A" w14:textId="77777777" w:rsidR="00AD5F09" w:rsidRPr="00AD5F09" w:rsidRDefault="00AD5F09" w:rsidP="00AD5F09">
      <w:pPr>
        <w:pStyle w:val="Textonotapie"/>
        <w:ind w:firstLine="708"/>
        <w:jc w:val="both"/>
        <w:rPr>
          <w:rFonts w:ascii="Arial" w:hAnsi="Arial" w:cs="Arial"/>
          <w:color w:val="000000"/>
          <w:sz w:val="19"/>
          <w:szCs w:val="19"/>
        </w:rPr>
      </w:pPr>
    </w:p>
  </w:footnote>
  <w:footnote w:id="12">
    <w:p w14:paraId="28F603BB" w14:textId="77777777" w:rsidR="00AD5F09" w:rsidRPr="00AD5F09" w:rsidRDefault="00AD5F09" w:rsidP="00AD5F09">
      <w:pPr>
        <w:pStyle w:val="Textonotapie"/>
        <w:ind w:firstLine="708"/>
        <w:jc w:val="both"/>
        <w:rPr>
          <w:rFonts w:ascii="Arial" w:hAnsi="Arial" w:cs="Arial"/>
          <w:color w:val="000000"/>
          <w:sz w:val="19"/>
          <w:szCs w:val="19"/>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Cfr. CORTE CONSTITUCIONAL. Sentencia C-780 de 2001. M.P. Jaime Córdoba Triviño.</w:t>
      </w:r>
    </w:p>
    <w:p w14:paraId="00F9F1C2" w14:textId="77777777" w:rsidR="00AD5F09" w:rsidRPr="00AD5F09" w:rsidRDefault="00AD5F09" w:rsidP="00AD5F09">
      <w:pPr>
        <w:pStyle w:val="Textonotapie"/>
        <w:ind w:firstLine="708"/>
        <w:jc w:val="both"/>
        <w:rPr>
          <w:rFonts w:ascii="Arial" w:hAnsi="Arial" w:cs="Arial"/>
          <w:color w:val="000000"/>
          <w:sz w:val="19"/>
          <w:szCs w:val="19"/>
        </w:rPr>
      </w:pPr>
      <w:r w:rsidRPr="00AD5F09">
        <w:rPr>
          <w:rFonts w:ascii="Arial" w:hAnsi="Arial" w:cs="Arial"/>
          <w:color w:val="000000"/>
          <w:sz w:val="19"/>
          <w:szCs w:val="19"/>
        </w:rPr>
        <w:t xml:space="preserve"> </w:t>
      </w:r>
    </w:p>
  </w:footnote>
  <w:footnote w:id="13">
    <w:p w14:paraId="0FBC4445" w14:textId="77777777" w:rsidR="00AD5F09" w:rsidRPr="00AD5F09" w:rsidRDefault="00AD5F09" w:rsidP="00AD5F09">
      <w:pPr>
        <w:pStyle w:val="Textonotapie"/>
        <w:ind w:firstLine="709"/>
        <w:jc w:val="both"/>
        <w:rPr>
          <w:rFonts w:ascii="Arial" w:hAnsi="Arial" w:cs="Arial"/>
          <w:color w:val="000000"/>
          <w:sz w:val="19"/>
          <w:szCs w:val="19"/>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CONSEJO DE ESTADO. Sala de lo contencioso administrativo. Sentencia del 12 de diciembre de 2014. Exp. 26496. C.P. Ramiro Pazos Guerrero. 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p w14:paraId="4493C5A9" w14:textId="77777777" w:rsidR="00AD5F09" w:rsidRPr="00AD5F09" w:rsidRDefault="00AD5F09" w:rsidP="00AD5F09">
      <w:pPr>
        <w:pStyle w:val="Textonotapie"/>
        <w:ind w:firstLine="709"/>
        <w:jc w:val="both"/>
        <w:rPr>
          <w:rFonts w:ascii="Arial" w:hAnsi="Arial" w:cs="Arial"/>
          <w:color w:val="000000"/>
          <w:sz w:val="19"/>
          <w:szCs w:val="19"/>
        </w:rPr>
      </w:pPr>
    </w:p>
  </w:footnote>
  <w:footnote w:id="14">
    <w:p w14:paraId="7412CB61" w14:textId="77777777" w:rsidR="00AD5F09" w:rsidRPr="00AD5F09" w:rsidRDefault="00AD5F09" w:rsidP="00AD5F09">
      <w:pPr>
        <w:ind w:firstLine="709"/>
        <w:jc w:val="both"/>
        <w:rPr>
          <w:rFonts w:ascii="Arial" w:hAnsi="Arial" w:cs="Arial"/>
          <w:color w:val="000000"/>
          <w:sz w:val="19"/>
          <w:szCs w:val="19"/>
        </w:rPr>
      </w:pPr>
      <w:r w:rsidRPr="00AD5F09">
        <w:rPr>
          <w:rStyle w:val="Refdenotaalpie"/>
          <w:rFonts w:ascii="Arial" w:hAnsi="Arial" w:cs="Arial"/>
          <w:color w:val="000000"/>
          <w:sz w:val="19"/>
          <w:szCs w:val="19"/>
        </w:rPr>
        <w:footnoteRef/>
      </w:r>
      <w:r w:rsidRPr="00AD5F09">
        <w:rPr>
          <w:rFonts w:ascii="Arial" w:hAnsi="Arial" w:cs="Arial"/>
          <w:color w:val="000000"/>
          <w:sz w:val="19"/>
          <w:szCs w:val="19"/>
        </w:rPr>
        <w:t xml:space="preserve"> CONSEJO DE ESTADO. Sala de Consulta y Servicio Civil. Concepto del 29 de abril de 1998. Rad. 1097. C.P. Augusto Trejos Jaramillo. </w:t>
      </w:r>
    </w:p>
    <w:p w14:paraId="10114ED0" w14:textId="77777777" w:rsidR="00AD5F09" w:rsidRPr="00AD5F09" w:rsidRDefault="00AD5F09" w:rsidP="00AD5F09">
      <w:pPr>
        <w:ind w:firstLine="709"/>
        <w:jc w:val="both"/>
        <w:rPr>
          <w:rFonts w:ascii="Arial" w:hAnsi="Arial" w:cs="Arial"/>
          <w:color w:val="000000"/>
          <w:sz w:val="19"/>
          <w:szCs w:val="19"/>
        </w:rPr>
      </w:pPr>
    </w:p>
  </w:footnote>
  <w:footnote w:id="15">
    <w:p w14:paraId="765F65C7" w14:textId="77777777" w:rsidR="00D21D1B" w:rsidRPr="00FB15CC" w:rsidRDefault="00D21D1B" w:rsidP="00F247C9">
      <w:pPr>
        <w:pStyle w:val="Textonotapie"/>
        <w:ind w:firstLine="709"/>
        <w:jc w:val="both"/>
        <w:rPr>
          <w:rFonts w:ascii="Arial" w:hAnsi="Arial" w:cs="Arial"/>
          <w:color w:val="000000" w:themeColor="text1"/>
          <w:sz w:val="19"/>
          <w:szCs w:val="19"/>
        </w:rPr>
      </w:pPr>
      <w:r w:rsidRPr="00FB15CC">
        <w:rPr>
          <w:rStyle w:val="Refdenotaalpie"/>
          <w:rFonts w:ascii="Arial" w:hAnsi="Arial" w:cs="Arial"/>
          <w:color w:val="000000" w:themeColor="text1"/>
          <w:sz w:val="19"/>
          <w:szCs w:val="19"/>
        </w:rPr>
        <w:footnoteRef/>
      </w:r>
      <w:r w:rsidRPr="00FB15CC">
        <w:rPr>
          <w:rFonts w:ascii="Arial" w:hAnsi="Arial" w:cs="Arial"/>
          <w:color w:val="000000" w:themeColor="text1"/>
          <w:sz w:val="19"/>
          <w:szCs w:val="19"/>
        </w:rPr>
        <w:t xml:space="preserve"> Consejo de Estado. Sección Tercera. Sentencia del 8 de junio de 2011. Rad. 20001-23-31-000-2005-00409-01[AP]. Consejero Ponente: Enrique Gil Botero.</w:t>
      </w:r>
    </w:p>
  </w:footnote>
  <w:footnote w:id="16">
    <w:p w14:paraId="44D06A05" w14:textId="77777777" w:rsidR="00D21D1B" w:rsidRPr="007A03A5" w:rsidRDefault="00D21D1B" w:rsidP="00F247C9">
      <w:pPr>
        <w:pStyle w:val="Textonotapie"/>
        <w:ind w:firstLine="708"/>
        <w:jc w:val="both"/>
        <w:rPr>
          <w:rFonts w:ascii="Arial" w:hAnsi="Arial" w:cs="Arial"/>
          <w:sz w:val="19"/>
          <w:szCs w:val="19"/>
          <w:lang w:val="es-CO"/>
        </w:rPr>
      </w:pPr>
      <w:r w:rsidRPr="007A03A5">
        <w:rPr>
          <w:rStyle w:val="Refdenotaalpie"/>
          <w:rFonts w:ascii="Arial" w:hAnsi="Arial" w:cs="Arial"/>
          <w:sz w:val="19"/>
          <w:szCs w:val="19"/>
        </w:rPr>
        <w:footnoteRef/>
      </w:r>
      <w:r w:rsidRPr="007A03A5">
        <w:rPr>
          <w:rFonts w:ascii="Arial" w:hAnsi="Arial" w:cs="Arial"/>
          <w:sz w:val="19"/>
          <w:szCs w:val="19"/>
        </w:rPr>
        <w:t xml:space="preserve"> Esta misma regla se infiere de lo establecido en el «Formato 6 – </w:t>
      </w:r>
      <w:r w:rsidRPr="00FB15CC">
        <w:rPr>
          <w:rFonts w:ascii="Arial" w:hAnsi="Arial" w:cs="Arial"/>
          <w:sz w:val="19"/>
          <w:szCs w:val="19"/>
        </w:rPr>
        <w:t>Pagos de seguridad social y aportes legales</w:t>
      </w:r>
      <w:r w:rsidRPr="007A03A5">
        <w:rPr>
          <w:rFonts w:ascii="Arial" w:hAnsi="Arial" w:cs="Arial"/>
          <w:sz w:val="19"/>
          <w:szCs w:val="19"/>
        </w:rPr>
        <w:t>» para personas naturales, donde se señala que: «El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w:t>
      </w:r>
      <w:r w:rsidRPr="00FB15CC">
        <w:rPr>
          <w:rFonts w:ascii="Arial" w:hAnsi="Arial" w:cs="Arial"/>
          <w:sz w:val="19"/>
          <w:szCs w:val="19"/>
        </w:rPr>
        <w:t xml:space="preserve"> […]</w:t>
      </w:r>
      <w:r w:rsidRPr="007A03A5">
        <w:rPr>
          <w:rFonts w:ascii="Arial" w:hAnsi="Arial" w:cs="Arial"/>
          <w:sz w:val="19"/>
          <w:szCs w:val="19"/>
        </w:rPr>
        <w:t>».</w:t>
      </w:r>
    </w:p>
  </w:footnote>
  <w:footnote w:id="17">
    <w:p w14:paraId="58C873C4" w14:textId="77777777" w:rsidR="00D57B6C" w:rsidRPr="00FB15CC" w:rsidRDefault="00D57B6C" w:rsidP="00D57B6C">
      <w:pPr>
        <w:pStyle w:val="Textonotapie"/>
        <w:ind w:firstLine="709"/>
        <w:jc w:val="both"/>
        <w:rPr>
          <w:rFonts w:ascii="Arial" w:hAnsi="Arial" w:cs="Arial"/>
          <w:sz w:val="19"/>
          <w:szCs w:val="19"/>
        </w:rPr>
      </w:pPr>
      <w:r w:rsidRPr="00FB15CC">
        <w:rPr>
          <w:rStyle w:val="Refdenotaalpie"/>
          <w:rFonts w:ascii="Arial" w:hAnsi="Arial" w:cs="Arial"/>
          <w:sz w:val="19"/>
          <w:szCs w:val="19"/>
        </w:rPr>
        <w:footnoteRef/>
      </w:r>
      <w:r w:rsidRPr="00FB15CC">
        <w:rPr>
          <w:rFonts w:ascii="Arial" w:hAnsi="Arial" w:cs="Arial"/>
          <w:sz w:val="19"/>
          <w:szCs w:val="19"/>
        </w:rPr>
        <w:t xml:space="preserve"> El artículo 20 de la Ley 842 de 2003 establece: «Artículo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1D0E16BF" w14:textId="77777777" w:rsidR="00D57B6C" w:rsidRPr="00FB15CC" w:rsidRDefault="00D57B6C" w:rsidP="00D57B6C">
      <w:pPr>
        <w:pStyle w:val="Textonotapie"/>
        <w:ind w:firstLine="709"/>
        <w:jc w:val="both"/>
        <w:rPr>
          <w:rFonts w:ascii="Arial" w:hAnsi="Arial" w:cs="Arial"/>
          <w:sz w:val="19"/>
          <w:szCs w:val="19"/>
        </w:rPr>
      </w:pPr>
      <w:r w:rsidRPr="00FB15CC">
        <w:rPr>
          <w:rFonts w:ascii="Arial" w:hAnsi="Arial" w:cs="Arial"/>
          <w:sz w:val="19"/>
          <w:szCs w:val="19"/>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w:t>
      </w:r>
    </w:p>
    <w:p w14:paraId="408B707C" w14:textId="77777777" w:rsidR="00D57B6C" w:rsidRPr="00FB15CC" w:rsidRDefault="00D57B6C" w:rsidP="00D57B6C">
      <w:pPr>
        <w:pStyle w:val="Textonotapie"/>
        <w:ind w:firstLine="709"/>
        <w:jc w:val="both"/>
        <w:rPr>
          <w:rFonts w:ascii="Arial" w:hAnsi="Arial" w:cs="Arial"/>
          <w:sz w:val="19"/>
          <w:szCs w:val="19"/>
        </w:rPr>
      </w:pPr>
      <w:r w:rsidRPr="00FB15CC">
        <w:rPr>
          <w:rFonts w:ascii="Arial" w:hAnsi="Arial" w:cs="Arial"/>
          <w:sz w:val="19"/>
          <w:szCs w:val="19"/>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7477DC"/>
    <w:multiLevelType w:val="hybridMultilevel"/>
    <w:tmpl w:val="A266AFD0"/>
    <w:lvl w:ilvl="0" w:tplc="89AC263E">
      <w:start w:val="1"/>
      <w:numFmt w:val="decimal"/>
      <w:lvlText w:val="%1."/>
      <w:lvlJc w:val="left"/>
      <w:pPr>
        <w:ind w:left="720" w:hanging="360"/>
      </w:pPr>
      <w:rPr>
        <w:rFonts w:ascii="ArialMT" w:hAnsi="ArialM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94693E"/>
    <w:multiLevelType w:val="hybridMultilevel"/>
    <w:tmpl w:val="74D0EEBE"/>
    <w:lvl w:ilvl="0" w:tplc="732E190A">
      <w:start w:val="1"/>
      <w:numFmt w:val="lowerRoman"/>
      <w:lvlText w:val="%1)"/>
      <w:lvlJc w:val="left"/>
      <w:pPr>
        <w:ind w:left="1080" w:hanging="720"/>
      </w:pPr>
      <w:rPr>
        <w:rFonts w:ascii="Arial" w:eastAsia="Calibri" w:hAnsi="Arial" w:cs="Arial"/>
        <w:b w:val="0"/>
        <w:bC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242024"/>
    <w:multiLevelType w:val="hybridMultilevel"/>
    <w:tmpl w:val="54A01010"/>
    <w:lvl w:ilvl="0" w:tplc="A9CA2538">
      <w:start w:val="1"/>
      <w:numFmt w:val="lowerRoman"/>
      <w:lvlText w:val="%1)"/>
      <w:lvlJc w:val="left"/>
      <w:pPr>
        <w:ind w:left="1080" w:hanging="720"/>
      </w:pPr>
      <w:rPr>
        <w:rFonts w:ascii="Arial" w:eastAsia="Calibri" w:hAnsi="Arial" w:cs="Arial"/>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2C06CD"/>
    <w:multiLevelType w:val="hybridMultilevel"/>
    <w:tmpl w:val="9C2A93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C3072E5"/>
    <w:multiLevelType w:val="multilevel"/>
    <w:tmpl w:val="1512B60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682DF6"/>
    <w:multiLevelType w:val="hybridMultilevel"/>
    <w:tmpl w:val="01B03BA8"/>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779B4EBC"/>
    <w:multiLevelType w:val="hybridMultilevel"/>
    <w:tmpl w:val="9A2AE280"/>
    <w:lvl w:ilvl="0" w:tplc="093A5AF8">
      <w:start w:val="1"/>
      <w:numFmt w:val="lowerRoman"/>
      <w:lvlText w:val="%1)"/>
      <w:lvlJc w:val="left"/>
      <w:pPr>
        <w:ind w:left="1080" w:hanging="720"/>
      </w:pPr>
      <w:rPr>
        <w:rFonts w:ascii="Arial" w:eastAsia="Calibri" w:hAnsi="Arial" w:cs="Arial"/>
        <w:b w:val="0"/>
        <w:bC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2"/>
  </w:num>
  <w:num w:numId="5">
    <w:abstractNumId w:val="11"/>
  </w:num>
  <w:num w:numId="6">
    <w:abstractNumId w:val="14"/>
  </w:num>
  <w:num w:numId="7">
    <w:abstractNumId w:val="8"/>
  </w:num>
  <w:num w:numId="8">
    <w:abstractNumId w:val="6"/>
  </w:num>
  <w:num w:numId="9">
    <w:abstractNumId w:val="1"/>
  </w:num>
  <w:num w:numId="10">
    <w:abstractNumId w:val="13"/>
  </w:num>
  <w:num w:numId="11">
    <w:abstractNumId w:val="12"/>
  </w:num>
  <w:num w:numId="12">
    <w:abstractNumId w:val="3"/>
  </w:num>
  <w:num w:numId="13">
    <w:abstractNumId w:val="10"/>
  </w:num>
  <w:num w:numId="14">
    <w:abstractNumId w:val="15"/>
  </w:num>
  <w:num w:numId="15">
    <w:abstractNumId w:val="7"/>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6860"/>
    <w:rsid w:val="000116D4"/>
    <w:rsid w:val="00015425"/>
    <w:rsid w:val="00026C88"/>
    <w:rsid w:val="0004028A"/>
    <w:rsid w:val="00052D69"/>
    <w:rsid w:val="00057275"/>
    <w:rsid w:val="000656E8"/>
    <w:rsid w:val="00072333"/>
    <w:rsid w:val="000755E1"/>
    <w:rsid w:val="000935CA"/>
    <w:rsid w:val="00094B59"/>
    <w:rsid w:val="000A5E3D"/>
    <w:rsid w:val="000A615D"/>
    <w:rsid w:val="000A787A"/>
    <w:rsid w:val="000B3835"/>
    <w:rsid w:val="000B627E"/>
    <w:rsid w:val="000B6A48"/>
    <w:rsid w:val="000C7645"/>
    <w:rsid w:val="000F0D0D"/>
    <w:rsid w:val="000F1A28"/>
    <w:rsid w:val="00112852"/>
    <w:rsid w:val="0011553A"/>
    <w:rsid w:val="001177A4"/>
    <w:rsid w:val="00124E70"/>
    <w:rsid w:val="00135CEA"/>
    <w:rsid w:val="001449D1"/>
    <w:rsid w:val="0015117A"/>
    <w:rsid w:val="001542FF"/>
    <w:rsid w:val="001561B2"/>
    <w:rsid w:val="00161966"/>
    <w:rsid w:val="00176D60"/>
    <w:rsid w:val="00182F8C"/>
    <w:rsid w:val="001900DE"/>
    <w:rsid w:val="00192D6E"/>
    <w:rsid w:val="00195596"/>
    <w:rsid w:val="0019728C"/>
    <w:rsid w:val="0019762F"/>
    <w:rsid w:val="001B1773"/>
    <w:rsid w:val="001C068E"/>
    <w:rsid w:val="001D45A4"/>
    <w:rsid w:val="001E2D73"/>
    <w:rsid w:val="001E2E1C"/>
    <w:rsid w:val="001E6EA0"/>
    <w:rsid w:val="001F2332"/>
    <w:rsid w:val="001F5D6E"/>
    <w:rsid w:val="00201DB9"/>
    <w:rsid w:val="00202668"/>
    <w:rsid w:val="002057A4"/>
    <w:rsid w:val="002104A7"/>
    <w:rsid w:val="002116C0"/>
    <w:rsid w:val="00214AAC"/>
    <w:rsid w:val="00214E9F"/>
    <w:rsid w:val="00216826"/>
    <w:rsid w:val="00222032"/>
    <w:rsid w:val="00223F65"/>
    <w:rsid w:val="00235E08"/>
    <w:rsid w:val="0024038A"/>
    <w:rsid w:val="0024522C"/>
    <w:rsid w:val="002500F3"/>
    <w:rsid w:val="002533FA"/>
    <w:rsid w:val="00256784"/>
    <w:rsid w:val="00256962"/>
    <w:rsid w:val="00262DCF"/>
    <w:rsid w:val="00263999"/>
    <w:rsid w:val="0026403F"/>
    <w:rsid w:val="002641CE"/>
    <w:rsid w:val="00265A2D"/>
    <w:rsid w:val="002663A9"/>
    <w:rsid w:val="0026761A"/>
    <w:rsid w:val="002676B8"/>
    <w:rsid w:val="002762D1"/>
    <w:rsid w:val="0027763F"/>
    <w:rsid w:val="00282D3F"/>
    <w:rsid w:val="00286B8C"/>
    <w:rsid w:val="002A5C76"/>
    <w:rsid w:val="002A75EC"/>
    <w:rsid w:val="002B19F5"/>
    <w:rsid w:val="002C5401"/>
    <w:rsid w:val="002E0303"/>
    <w:rsid w:val="002E06B3"/>
    <w:rsid w:val="002E16D6"/>
    <w:rsid w:val="002E7909"/>
    <w:rsid w:val="002F0E3F"/>
    <w:rsid w:val="002F1597"/>
    <w:rsid w:val="002F2375"/>
    <w:rsid w:val="00300B5B"/>
    <w:rsid w:val="00301055"/>
    <w:rsid w:val="003015B6"/>
    <w:rsid w:val="0031456F"/>
    <w:rsid w:val="003233A2"/>
    <w:rsid w:val="003239DF"/>
    <w:rsid w:val="00324FA5"/>
    <w:rsid w:val="00327272"/>
    <w:rsid w:val="00332594"/>
    <w:rsid w:val="0033660E"/>
    <w:rsid w:val="00336AC6"/>
    <w:rsid w:val="00337876"/>
    <w:rsid w:val="00340697"/>
    <w:rsid w:val="00345FBC"/>
    <w:rsid w:val="0035145C"/>
    <w:rsid w:val="00353092"/>
    <w:rsid w:val="003564F7"/>
    <w:rsid w:val="0035732E"/>
    <w:rsid w:val="00365D3A"/>
    <w:rsid w:val="0037075E"/>
    <w:rsid w:val="0037178A"/>
    <w:rsid w:val="003738E5"/>
    <w:rsid w:val="00380F1A"/>
    <w:rsid w:val="00384FE5"/>
    <w:rsid w:val="00387886"/>
    <w:rsid w:val="00392411"/>
    <w:rsid w:val="00397000"/>
    <w:rsid w:val="003A5C98"/>
    <w:rsid w:val="003B7F22"/>
    <w:rsid w:val="003C1F96"/>
    <w:rsid w:val="003C5DD6"/>
    <w:rsid w:val="003D09BA"/>
    <w:rsid w:val="003D22F3"/>
    <w:rsid w:val="003E248F"/>
    <w:rsid w:val="003E3E01"/>
    <w:rsid w:val="003F0E56"/>
    <w:rsid w:val="003F461C"/>
    <w:rsid w:val="003F7FB1"/>
    <w:rsid w:val="00403054"/>
    <w:rsid w:val="004053CD"/>
    <w:rsid w:val="0041470E"/>
    <w:rsid w:val="00416435"/>
    <w:rsid w:val="004164FC"/>
    <w:rsid w:val="00444184"/>
    <w:rsid w:val="00454997"/>
    <w:rsid w:val="00457367"/>
    <w:rsid w:val="004710AE"/>
    <w:rsid w:val="00471F6D"/>
    <w:rsid w:val="00475DD2"/>
    <w:rsid w:val="00476147"/>
    <w:rsid w:val="00476544"/>
    <w:rsid w:val="0048044A"/>
    <w:rsid w:val="0048469A"/>
    <w:rsid w:val="004853AF"/>
    <w:rsid w:val="00486AFC"/>
    <w:rsid w:val="004903B7"/>
    <w:rsid w:val="00491FEA"/>
    <w:rsid w:val="004B3968"/>
    <w:rsid w:val="004C0471"/>
    <w:rsid w:val="004C6ABD"/>
    <w:rsid w:val="004C74E8"/>
    <w:rsid w:val="004D6FBB"/>
    <w:rsid w:val="004D7DE2"/>
    <w:rsid w:val="004E4A1E"/>
    <w:rsid w:val="004E7410"/>
    <w:rsid w:val="004F1419"/>
    <w:rsid w:val="004F2E83"/>
    <w:rsid w:val="00502061"/>
    <w:rsid w:val="00521FC6"/>
    <w:rsid w:val="005224BC"/>
    <w:rsid w:val="00524B49"/>
    <w:rsid w:val="005303D7"/>
    <w:rsid w:val="00531E6B"/>
    <w:rsid w:val="005342DB"/>
    <w:rsid w:val="00543D56"/>
    <w:rsid w:val="00547A9E"/>
    <w:rsid w:val="0055029E"/>
    <w:rsid w:val="00553CEA"/>
    <w:rsid w:val="00554D93"/>
    <w:rsid w:val="0055693F"/>
    <w:rsid w:val="00561979"/>
    <w:rsid w:val="005621EE"/>
    <w:rsid w:val="00563519"/>
    <w:rsid w:val="005668C1"/>
    <w:rsid w:val="0057067B"/>
    <w:rsid w:val="0057168B"/>
    <w:rsid w:val="00572216"/>
    <w:rsid w:val="00587130"/>
    <w:rsid w:val="00591EB1"/>
    <w:rsid w:val="005A0272"/>
    <w:rsid w:val="005A5EFD"/>
    <w:rsid w:val="005A6059"/>
    <w:rsid w:val="005B056E"/>
    <w:rsid w:val="005B14A6"/>
    <w:rsid w:val="005B169E"/>
    <w:rsid w:val="005B76C7"/>
    <w:rsid w:val="005C180C"/>
    <w:rsid w:val="005C2ED6"/>
    <w:rsid w:val="005C5345"/>
    <w:rsid w:val="005D0A4F"/>
    <w:rsid w:val="005D46D0"/>
    <w:rsid w:val="005D4FC8"/>
    <w:rsid w:val="005E1123"/>
    <w:rsid w:val="005E481C"/>
    <w:rsid w:val="005E66B0"/>
    <w:rsid w:val="005F01EA"/>
    <w:rsid w:val="005F04B8"/>
    <w:rsid w:val="005F1D9D"/>
    <w:rsid w:val="005F377F"/>
    <w:rsid w:val="00605A84"/>
    <w:rsid w:val="00606451"/>
    <w:rsid w:val="006065A9"/>
    <w:rsid w:val="00611B99"/>
    <w:rsid w:val="0061648F"/>
    <w:rsid w:val="00623378"/>
    <w:rsid w:val="00626305"/>
    <w:rsid w:val="00630BCE"/>
    <w:rsid w:val="0063204C"/>
    <w:rsid w:val="006327D2"/>
    <w:rsid w:val="00641E89"/>
    <w:rsid w:val="00645311"/>
    <w:rsid w:val="00651EAF"/>
    <w:rsid w:val="00653357"/>
    <w:rsid w:val="00662701"/>
    <w:rsid w:val="006663C2"/>
    <w:rsid w:val="00667FCB"/>
    <w:rsid w:val="00671C76"/>
    <w:rsid w:val="006757CA"/>
    <w:rsid w:val="006760E1"/>
    <w:rsid w:val="00676D9E"/>
    <w:rsid w:val="00684DE6"/>
    <w:rsid w:val="006870D1"/>
    <w:rsid w:val="00687BDD"/>
    <w:rsid w:val="00695B76"/>
    <w:rsid w:val="006A5502"/>
    <w:rsid w:val="006B04C0"/>
    <w:rsid w:val="006B35C9"/>
    <w:rsid w:val="006B7EF8"/>
    <w:rsid w:val="006D2C01"/>
    <w:rsid w:val="006D36A9"/>
    <w:rsid w:val="006D3DBD"/>
    <w:rsid w:val="006D5232"/>
    <w:rsid w:val="006D64B1"/>
    <w:rsid w:val="006E75EC"/>
    <w:rsid w:val="006F1C9C"/>
    <w:rsid w:val="006F61DB"/>
    <w:rsid w:val="00703E5A"/>
    <w:rsid w:val="00705F6D"/>
    <w:rsid w:val="007066E6"/>
    <w:rsid w:val="007118B2"/>
    <w:rsid w:val="00713D7B"/>
    <w:rsid w:val="007209F4"/>
    <w:rsid w:val="0072221E"/>
    <w:rsid w:val="007308F7"/>
    <w:rsid w:val="00745302"/>
    <w:rsid w:val="00754032"/>
    <w:rsid w:val="00756FD9"/>
    <w:rsid w:val="007675C8"/>
    <w:rsid w:val="00773948"/>
    <w:rsid w:val="00776374"/>
    <w:rsid w:val="007820EF"/>
    <w:rsid w:val="00783EBD"/>
    <w:rsid w:val="00784FEF"/>
    <w:rsid w:val="007A0123"/>
    <w:rsid w:val="007A4AE6"/>
    <w:rsid w:val="007A5777"/>
    <w:rsid w:val="007B1D87"/>
    <w:rsid w:val="007B2580"/>
    <w:rsid w:val="007C574A"/>
    <w:rsid w:val="007C5E25"/>
    <w:rsid w:val="007D7B44"/>
    <w:rsid w:val="007E1178"/>
    <w:rsid w:val="007E4E85"/>
    <w:rsid w:val="007E5394"/>
    <w:rsid w:val="007F1895"/>
    <w:rsid w:val="007F28E9"/>
    <w:rsid w:val="007F304E"/>
    <w:rsid w:val="007F7A62"/>
    <w:rsid w:val="007F7C03"/>
    <w:rsid w:val="00801EE9"/>
    <w:rsid w:val="0081181F"/>
    <w:rsid w:val="00811D01"/>
    <w:rsid w:val="00820F88"/>
    <w:rsid w:val="008251B3"/>
    <w:rsid w:val="008257DF"/>
    <w:rsid w:val="00827A2A"/>
    <w:rsid w:val="00830F50"/>
    <w:rsid w:val="008312A3"/>
    <w:rsid w:val="008313D6"/>
    <w:rsid w:val="00833D8C"/>
    <w:rsid w:val="00843442"/>
    <w:rsid w:val="0084610F"/>
    <w:rsid w:val="00847BA2"/>
    <w:rsid w:val="00861714"/>
    <w:rsid w:val="00875F7C"/>
    <w:rsid w:val="00880110"/>
    <w:rsid w:val="0088392A"/>
    <w:rsid w:val="008855C4"/>
    <w:rsid w:val="008873A3"/>
    <w:rsid w:val="00887C34"/>
    <w:rsid w:val="00897109"/>
    <w:rsid w:val="008A202D"/>
    <w:rsid w:val="008A3377"/>
    <w:rsid w:val="008A3B3A"/>
    <w:rsid w:val="008A51D3"/>
    <w:rsid w:val="008B41FC"/>
    <w:rsid w:val="008B52AD"/>
    <w:rsid w:val="008B79F9"/>
    <w:rsid w:val="008C3F91"/>
    <w:rsid w:val="008C425C"/>
    <w:rsid w:val="008C5B45"/>
    <w:rsid w:val="008F3AB1"/>
    <w:rsid w:val="008F6437"/>
    <w:rsid w:val="00902AA1"/>
    <w:rsid w:val="0090460B"/>
    <w:rsid w:val="0093085B"/>
    <w:rsid w:val="00930FAE"/>
    <w:rsid w:val="009332FC"/>
    <w:rsid w:val="00947B9D"/>
    <w:rsid w:val="00950828"/>
    <w:rsid w:val="009549A3"/>
    <w:rsid w:val="0095566C"/>
    <w:rsid w:val="00960FD1"/>
    <w:rsid w:val="00962AB7"/>
    <w:rsid w:val="00965D7F"/>
    <w:rsid w:val="00973FF7"/>
    <w:rsid w:val="0098230F"/>
    <w:rsid w:val="00985488"/>
    <w:rsid w:val="009A3A2B"/>
    <w:rsid w:val="009B027C"/>
    <w:rsid w:val="009B1654"/>
    <w:rsid w:val="009B54C7"/>
    <w:rsid w:val="009B586F"/>
    <w:rsid w:val="009D43D5"/>
    <w:rsid w:val="009D5279"/>
    <w:rsid w:val="009D554B"/>
    <w:rsid w:val="009D7A61"/>
    <w:rsid w:val="009E36A9"/>
    <w:rsid w:val="009F1B3C"/>
    <w:rsid w:val="009F4E5D"/>
    <w:rsid w:val="00A012BF"/>
    <w:rsid w:val="00A20565"/>
    <w:rsid w:val="00A21E65"/>
    <w:rsid w:val="00A335C2"/>
    <w:rsid w:val="00A33AA1"/>
    <w:rsid w:val="00A35546"/>
    <w:rsid w:val="00A4095E"/>
    <w:rsid w:val="00A4457D"/>
    <w:rsid w:val="00A5027F"/>
    <w:rsid w:val="00A5157B"/>
    <w:rsid w:val="00A51E80"/>
    <w:rsid w:val="00A53195"/>
    <w:rsid w:val="00A57D52"/>
    <w:rsid w:val="00A71CEA"/>
    <w:rsid w:val="00A80425"/>
    <w:rsid w:val="00A82B05"/>
    <w:rsid w:val="00A860DE"/>
    <w:rsid w:val="00A9164B"/>
    <w:rsid w:val="00AA2D55"/>
    <w:rsid w:val="00AA5749"/>
    <w:rsid w:val="00AA7464"/>
    <w:rsid w:val="00AB0071"/>
    <w:rsid w:val="00AB344D"/>
    <w:rsid w:val="00AB3B0A"/>
    <w:rsid w:val="00AB6125"/>
    <w:rsid w:val="00AB6307"/>
    <w:rsid w:val="00AC2212"/>
    <w:rsid w:val="00AC44CB"/>
    <w:rsid w:val="00AC7423"/>
    <w:rsid w:val="00AC7AE5"/>
    <w:rsid w:val="00AD4216"/>
    <w:rsid w:val="00AD51BE"/>
    <w:rsid w:val="00AD5F09"/>
    <w:rsid w:val="00AE35EA"/>
    <w:rsid w:val="00AF0F4E"/>
    <w:rsid w:val="00AF782A"/>
    <w:rsid w:val="00B02D49"/>
    <w:rsid w:val="00B06567"/>
    <w:rsid w:val="00B12F0E"/>
    <w:rsid w:val="00B213D0"/>
    <w:rsid w:val="00B24B65"/>
    <w:rsid w:val="00B2523E"/>
    <w:rsid w:val="00B315E0"/>
    <w:rsid w:val="00B31C5C"/>
    <w:rsid w:val="00B33E20"/>
    <w:rsid w:val="00B43119"/>
    <w:rsid w:val="00B432EB"/>
    <w:rsid w:val="00B4436B"/>
    <w:rsid w:val="00B52EF4"/>
    <w:rsid w:val="00B55679"/>
    <w:rsid w:val="00B57086"/>
    <w:rsid w:val="00B5768A"/>
    <w:rsid w:val="00B6131E"/>
    <w:rsid w:val="00B651A5"/>
    <w:rsid w:val="00B7045A"/>
    <w:rsid w:val="00B70D00"/>
    <w:rsid w:val="00B71711"/>
    <w:rsid w:val="00B72FB5"/>
    <w:rsid w:val="00B81F3F"/>
    <w:rsid w:val="00B8754C"/>
    <w:rsid w:val="00B8757F"/>
    <w:rsid w:val="00B878A9"/>
    <w:rsid w:val="00B913DC"/>
    <w:rsid w:val="00B933DD"/>
    <w:rsid w:val="00B937CA"/>
    <w:rsid w:val="00B96688"/>
    <w:rsid w:val="00BA084A"/>
    <w:rsid w:val="00BA0BD7"/>
    <w:rsid w:val="00BA3C72"/>
    <w:rsid w:val="00BA55C6"/>
    <w:rsid w:val="00BA75D3"/>
    <w:rsid w:val="00BA7F22"/>
    <w:rsid w:val="00BB05AC"/>
    <w:rsid w:val="00BB0D17"/>
    <w:rsid w:val="00BB32FE"/>
    <w:rsid w:val="00BB51F3"/>
    <w:rsid w:val="00BC0FB8"/>
    <w:rsid w:val="00BC1F98"/>
    <w:rsid w:val="00BC3923"/>
    <w:rsid w:val="00BD0045"/>
    <w:rsid w:val="00BD1EE6"/>
    <w:rsid w:val="00BD2356"/>
    <w:rsid w:val="00BF18D6"/>
    <w:rsid w:val="00BF7CAF"/>
    <w:rsid w:val="00C014D3"/>
    <w:rsid w:val="00C10792"/>
    <w:rsid w:val="00C1196F"/>
    <w:rsid w:val="00C12881"/>
    <w:rsid w:val="00C12E90"/>
    <w:rsid w:val="00C15D6A"/>
    <w:rsid w:val="00C2503A"/>
    <w:rsid w:val="00C33A69"/>
    <w:rsid w:val="00C33B62"/>
    <w:rsid w:val="00C35FD1"/>
    <w:rsid w:val="00C47C47"/>
    <w:rsid w:val="00C50267"/>
    <w:rsid w:val="00C54211"/>
    <w:rsid w:val="00C634E7"/>
    <w:rsid w:val="00C635D5"/>
    <w:rsid w:val="00C63CEA"/>
    <w:rsid w:val="00C71ACE"/>
    <w:rsid w:val="00C72AB3"/>
    <w:rsid w:val="00C72B17"/>
    <w:rsid w:val="00C83641"/>
    <w:rsid w:val="00C87984"/>
    <w:rsid w:val="00C9071B"/>
    <w:rsid w:val="00C9429E"/>
    <w:rsid w:val="00C97BD5"/>
    <w:rsid w:val="00CA5B8C"/>
    <w:rsid w:val="00CB5B7A"/>
    <w:rsid w:val="00CC5AFE"/>
    <w:rsid w:val="00CD3B95"/>
    <w:rsid w:val="00CD6BD0"/>
    <w:rsid w:val="00CE1110"/>
    <w:rsid w:val="00D00240"/>
    <w:rsid w:val="00D0122C"/>
    <w:rsid w:val="00D0123D"/>
    <w:rsid w:val="00D039FB"/>
    <w:rsid w:val="00D05045"/>
    <w:rsid w:val="00D21D1B"/>
    <w:rsid w:val="00D361AE"/>
    <w:rsid w:val="00D41A9C"/>
    <w:rsid w:val="00D53EC8"/>
    <w:rsid w:val="00D57B6C"/>
    <w:rsid w:val="00D60108"/>
    <w:rsid w:val="00D61F57"/>
    <w:rsid w:val="00D7246A"/>
    <w:rsid w:val="00D750C2"/>
    <w:rsid w:val="00D76B34"/>
    <w:rsid w:val="00D77BB0"/>
    <w:rsid w:val="00D80564"/>
    <w:rsid w:val="00D811B8"/>
    <w:rsid w:val="00D82A76"/>
    <w:rsid w:val="00D83DF9"/>
    <w:rsid w:val="00D842C4"/>
    <w:rsid w:val="00D848EA"/>
    <w:rsid w:val="00D8778D"/>
    <w:rsid w:val="00DA2C5A"/>
    <w:rsid w:val="00DA352E"/>
    <w:rsid w:val="00DB0FC7"/>
    <w:rsid w:val="00DB2199"/>
    <w:rsid w:val="00DB2BAD"/>
    <w:rsid w:val="00DB63BB"/>
    <w:rsid w:val="00DB6A2B"/>
    <w:rsid w:val="00DC1D74"/>
    <w:rsid w:val="00DC56A7"/>
    <w:rsid w:val="00DC7A25"/>
    <w:rsid w:val="00DD0D94"/>
    <w:rsid w:val="00DD2F62"/>
    <w:rsid w:val="00DE0512"/>
    <w:rsid w:val="00DE2C4E"/>
    <w:rsid w:val="00DE48B6"/>
    <w:rsid w:val="00DE736C"/>
    <w:rsid w:val="00DE7F80"/>
    <w:rsid w:val="00DF2E9E"/>
    <w:rsid w:val="00DF4980"/>
    <w:rsid w:val="00E02A6A"/>
    <w:rsid w:val="00E0394D"/>
    <w:rsid w:val="00E04BDD"/>
    <w:rsid w:val="00E1095A"/>
    <w:rsid w:val="00E131F1"/>
    <w:rsid w:val="00E231C5"/>
    <w:rsid w:val="00E24DB2"/>
    <w:rsid w:val="00E32788"/>
    <w:rsid w:val="00E46C4E"/>
    <w:rsid w:val="00E53D75"/>
    <w:rsid w:val="00E56973"/>
    <w:rsid w:val="00E640A9"/>
    <w:rsid w:val="00E673A1"/>
    <w:rsid w:val="00E67FC3"/>
    <w:rsid w:val="00E73283"/>
    <w:rsid w:val="00E76BFF"/>
    <w:rsid w:val="00E833FA"/>
    <w:rsid w:val="00EA41E8"/>
    <w:rsid w:val="00EA513C"/>
    <w:rsid w:val="00EA581D"/>
    <w:rsid w:val="00EA649B"/>
    <w:rsid w:val="00EA7311"/>
    <w:rsid w:val="00EB1E4A"/>
    <w:rsid w:val="00EB27BA"/>
    <w:rsid w:val="00EB5133"/>
    <w:rsid w:val="00EC07EF"/>
    <w:rsid w:val="00EC0B51"/>
    <w:rsid w:val="00EC1382"/>
    <w:rsid w:val="00EC1AC1"/>
    <w:rsid w:val="00EC433E"/>
    <w:rsid w:val="00EC4E42"/>
    <w:rsid w:val="00ED3195"/>
    <w:rsid w:val="00EE309B"/>
    <w:rsid w:val="00EE4CED"/>
    <w:rsid w:val="00EE54C6"/>
    <w:rsid w:val="00EE66CC"/>
    <w:rsid w:val="00EF2C73"/>
    <w:rsid w:val="00EF6E31"/>
    <w:rsid w:val="00F0401C"/>
    <w:rsid w:val="00F053F3"/>
    <w:rsid w:val="00F06565"/>
    <w:rsid w:val="00F067A6"/>
    <w:rsid w:val="00F0683E"/>
    <w:rsid w:val="00F10A2F"/>
    <w:rsid w:val="00F12766"/>
    <w:rsid w:val="00F13BAE"/>
    <w:rsid w:val="00F23685"/>
    <w:rsid w:val="00F247C9"/>
    <w:rsid w:val="00F3225B"/>
    <w:rsid w:val="00F34F98"/>
    <w:rsid w:val="00F3681E"/>
    <w:rsid w:val="00F3683B"/>
    <w:rsid w:val="00F40BB1"/>
    <w:rsid w:val="00F44B4C"/>
    <w:rsid w:val="00F5219A"/>
    <w:rsid w:val="00F534AE"/>
    <w:rsid w:val="00F53CB0"/>
    <w:rsid w:val="00F55F52"/>
    <w:rsid w:val="00F66114"/>
    <w:rsid w:val="00F735A7"/>
    <w:rsid w:val="00F779BA"/>
    <w:rsid w:val="00F80877"/>
    <w:rsid w:val="00F8666F"/>
    <w:rsid w:val="00F909BB"/>
    <w:rsid w:val="00F96DEA"/>
    <w:rsid w:val="00FA006F"/>
    <w:rsid w:val="00FA42DC"/>
    <w:rsid w:val="00FA4BCE"/>
    <w:rsid w:val="00FA4CC2"/>
    <w:rsid w:val="00FC3697"/>
    <w:rsid w:val="00FC4581"/>
    <w:rsid w:val="00FC46E7"/>
    <w:rsid w:val="00FC5DFB"/>
    <w:rsid w:val="00FD0147"/>
    <w:rsid w:val="00FD27D7"/>
    <w:rsid w:val="00FD3E77"/>
    <w:rsid w:val="00FD6D80"/>
    <w:rsid w:val="00FE11D0"/>
    <w:rsid w:val="00FF0F91"/>
    <w:rsid w:val="00FF1F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59"/>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character" w:customStyle="1" w:styleId="SinespaciadoCar">
    <w:name w:val="Sin espaciado Car"/>
    <w:aliases w:val="No Indent Car"/>
    <w:link w:val="Sinespaciado"/>
    <w:uiPriority w:val="3"/>
    <w:rsid w:val="00947B9D"/>
    <w:rPr>
      <w:szCs w:val="22"/>
      <w:lang w:val="es-MX"/>
    </w:rPr>
  </w:style>
  <w:style w:type="paragraph" w:styleId="Revisin">
    <w:name w:val="Revision"/>
    <w:hidden/>
    <w:uiPriority w:val="99"/>
    <w:semiHidden/>
    <w:rsid w:val="00684DE6"/>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101347248">
      <w:bodyDiv w:val="1"/>
      <w:marLeft w:val="0"/>
      <w:marRight w:val="0"/>
      <w:marTop w:val="0"/>
      <w:marBottom w:val="0"/>
      <w:divBdr>
        <w:top w:val="none" w:sz="0" w:space="0" w:color="auto"/>
        <w:left w:val="none" w:sz="0" w:space="0" w:color="auto"/>
        <w:bottom w:val="none" w:sz="0" w:space="0" w:color="auto"/>
        <w:right w:val="none" w:sz="0" w:space="0" w:color="auto"/>
      </w:divBdr>
      <w:divsChild>
        <w:div w:id="1065108108">
          <w:marLeft w:val="0"/>
          <w:marRight w:val="0"/>
          <w:marTop w:val="0"/>
          <w:marBottom w:val="0"/>
          <w:divBdr>
            <w:top w:val="none" w:sz="0" w:space="0" w:color="auto"/>
            <w:left w:val="none" w:sz="0" w:space="0" w:color="auto"/>
            <w:bottom w:val="none" w:sz="0" w:space="0" w:color="auto"/>
            <w:right w:val="none" w:sz="0" w:space="0" w:color="auto"/>
          </w:divBdr>
        </w:div>
      </w:divsChild>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71215269">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009454661">
      <w:bodyDiv w:val="1"/>
      <w:marLeft w:val="0"/>
      <w:marRight w:val="0"/>
      <w:marTop w:val="0"/>
      <w:marBottom w:val="0"/>
      <w:divBdr>
        <w:top w:val="none" w:sz="0" w:space="0" w:color="auto"/>
        <w:left w:val="none" w:sz="0" w:space="0" w:color="auto"/>
        <w:bottom w:val="none" w:sz="0" w:space="0" w:color="auto"/>
        <w:right w:val="none" w:sz="0" w:space="0" w:color="auto"/>
      </w:divBdr>
      <w:divsChild>
        <w:div w:id="399794745">
          <w:marLeft w:val="0"/>
          <w:marRight w:val="0"/>
          <w:marTop w:val="0"/>
          <w:marBottom w:val="0"/>
          <w:divBdr>
            <w:top w:val="none" w:sz="0" w:space="0" w:color="auto"/>
            <w:left w:val="none" w:sz="0" w:space="0" w:color="auto"/>
            <w:bottom w:val="none" w:sz="0" w:space="0" w:color="auto"/>
            <w:right w:val="none" w:sz="0" w:space="0" w:color="auto"/>
          </w:divBdr>
        </w:div>
      </w:divsChild>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52827071">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22093247">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835338930">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6463">
      <w:bodyDiv w:val="1"/>
      <w:marLeft w:val="0"/>
      <w:marRight w:val="0"/>
      <w:marTop w:val="0"/>
      <w:marBottom w:val="0"/>
      <w:divBdr>
        <w:top w:val="none" w:sz="0" w:space="0" w:color="auto"/>
        <w:left w:val="none" w:sz="0" w:space="0" w:color="auto"/>
        <w:bottom w:val="none" w:sz="0" w:space="0" w:color="auto"/>
        <w:right w:val="none" w:sz="0" w:space="0" w:color="auto"/>
      </w:divBdr>
    </w:div>
    <w:div w:id="20141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DBB4D-8D19-4FD5-B737-B61530DD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3.xml><?xml version="1.0" encoding="utf-8"?>
<ds:datastoreItem xmlns:ds="http://schemas.openxmlformats.org/officeDocument/2006/customXml" ds:itemID="{EDD54744-9C77-4942-BB19-10CBE4A7A3E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D0E9BC3-D9FC-4A0D-AB3F-548BB7A5D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7539</Words>
  <Characters>41470</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Nasly Yeana Mosquera Rivas</cp:lastModifiedBy>
  <cp:revision>4</cp:revision>
  <dcterms:created xsi:type="dcterms:W3CDTF">2021-12-13T21:46:00Z</dcterms:created>
  <dcterms:modified xsi:type="dcterms:W3CDTF">2021-12-13T21:50:00Z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