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F047D" w14:textId="77777777" w:rsidR="00A37F6E" w:rsidRPr="00222A5F" w:rsidRDefault="00A37F6E" w:rsidP="00A37F6E">
      <w:pPr>
        <w:spacing w:after="0" w:line="240" w:lineRule="auto"/>
        <w:jc w:val="right"/>
        <w:rPr>
          <w:rFonts w:ascii="Arial" w:eastAsia="Calibri" w:hAnsi="Arial" w:cs="Arial"/>
          <w:bCs/>
          <w:noProof/>
          <w:sz w:val="16"/>
          <w:szCs w:val="16"/>
          <w:lang w:val="es-ES_tradnl" w:eastAsia="es-ES"/>
        </w:rPr>
      </w:pPr>
      <w:bookmarkStart w:id="0" w:name="_Hlk83655381"/>
      <w:r w:rsidRPr="00222A5F">
        <w:rPr>
          <w:rFonts w:ascii="Arial" w:eastAsia="Calibri" w:hAnsi="Arial" w:cs="Arial"/>
          <w:bCs/>
          <w:noProof/>
          <w:sz w:val="16"/>
          <w:szCs w:val="16"/>
          <w:lang w:val="es-ES_tradnl" w:eastAsia="es-ES"/>
        </w:rPr>
        <w:t>CCE-DES-FM-17</w:t>
      </w:r>
    </w:p>
    <w:p w14:paraId="69DB4536" w14:textId="77777777" w:rsidR="0051258A" w:rsidRPr="00A37F6E" w:rsidRDefault="0051258A" w:rsidP="0051258A">
      <w:pPr>
        <w:spacing w:after="0" w:line="240" w:lineRule="auto"/>
        <w:jc w:val="both"/>
        <w:rPr>
          <w:rFonts w:ascii="Arial" w:hAnsi="Arial" w:cs="Arial"/>
          <w:b/>
          <w:sz w:val="20"/>
          <w:szCs w:val="20"/>
        </w:rPr>
      </w:pPr>
    </w:p>
    <w:p w14:paraId="61D4266F" w14:textId="6DE44941" w:rsidR="002E2A35" w:rsidRPr="0051258A" w:rsidRDefault="0051258A" w:rsidP="00B00CD6">
      <w:pPr>
        <w:spacing w:after="0" w:line="240" w:lineRule="auto"/>
        <w:jc w:val="both"/>
        <w:rPr>
          <w:rFonts w:ascii="Arial" w:eastAsia="Calibri" w:hAnsi="Arial" w:cs="Arial"/>
          <w:b/>
          <w:sz w:val="20"/>
          <w:szCs w:val="20"/>
        </w:rPr>
      </w:pPr>
      <w:r w:rsidRPr="0051258A">
        <w:rPr>
          <w:rFonts w:ascii="Arial" w:hAnsi="Arial" w:cs="Arial"/>
          <w:b/>
        </w:rPr>
        <w:t>SUBSANABILIDAD − L</w:t>
      </w:r>
      <w:r w:rsidR="002E2A35" w:rsidRPr="0051258A">
        <w:rPr>
          <w:rFonts w:ascii="Arial" w:hAnsi="Arial" w:cs="Arial"/>
          <w:b/>
        </w:rPr>
        <w:t>ey 1882 de 2018</w:t>
      </w:r>
      <w:r w:rsidRPr="0051258A">
        <w:rPr>
          <w:rFonts w:ascii="Arial" w:hAnsi="Arial" w:cs="Arial"/>
          <w:b/>
        </w:rPr>
        <w:t xml:space="preserve"> – Documento tipo – Infraestructura de transporte </w:t>
      </w:r>
    </w:p>
    <w:p w14:paraId="23D5E51F" w14:textId="77777777" w:rsidR="002E2A35" w:rsidRDefault="002E2A35" w:rsidP="00B00CD6">
      <w:pPr>
        <w:spacing w:after="0" w:line="240" w:lineRule="auto"/>
        <w:jc w:val="both"/>
        <w:rPr>
          <w:rFonts w:ascii="Arial" w:eastAsia="Calibri" w:hAnsi="Arial" w:cs="Arial"/>
          <w:sz w:val="20"/>
          <w:szCs w:val="20"/>
        </w:rPr>
      </w:pPr>
    </w:p>
    <w:p w14:paraId="7B8883B7" w14:textId="0CA1D469" w:rsidR="00484960" w:rsidRPr="00484960" w:rsidRDefault="00484960" w:rsidP="0090442B">
      <w:pPr>
        <w:spacing w:after="0" w:line="240" w:lineRule="auto"/>
        <w:jc w:val="both"/>
        <w:rPr>
          <w:rFonts w:ascii="Arial" w:eastAsia="Arial" w:hAnsi="Arial" w:cs="Arial"/>
          <w:color w:val="000000"/>
          <w:sz w:val="20"/>
          <w:szCs w:val="20"/>
          <w:lang w:eastAsia="es-MX"/>
        </w:rPr>
      </w:pPr>
      <w:r w:rsidRPr="00484960">
        <w:rPr>
          <w:rFonts w:ascii="Arial" w:eastAsia="Calibri" w:hAnsi="Arial" w:cs="Arial"/>
          <w:sz w:val="20"/>
          <w:szCs w:val="20"/>
        </w:rPr>
        <w:t xml:space="preserve">[…] la normativa actual que regula la subsanabilidad de las ofertas debe tenerse en cuenta que </w:t>
      </w:r>
      <w:r w:rsidRPr="00484960">
        <w:rPr>
          <w:rFonts w:ascii="Arial" w:eastAsia="Arial" w:hAnsi="Arial" w:cs="Arial"/>
          <w:sz w:val="20"/>
          <w:szCs w:val="20"/>
          <w:lang w:val="es-ES"/>
        </w:rPr>
        <w:t>el</w:t>
      </w:r>
      <w:r w:rsidRPr="00484960">
        <w:rPr>
          <w:rFonts w:ascii="Arial" w:eastAsia="Arial" w:hAnsi="Arial" w:cs="Arial"/>
          <w:spacing w:val="-12"/>
          <w:sz w:val="20"/>
          <w:szCs w:val="20"/>
          <w:lang w:val="es-ES"/>
        </w:rPr>
        <w:t xml:space="preserve"> </w:t>
      </w:r>
      <w:r w:rsidRPr="00484960">
        <w:rPr>
          <w:rFonts w:ascii="Arial" w:eastAsia="Arial" w:hAnsi="Arial" w:cs="Arial"/>
          <w:sz w:val="20"/>
          <w:szCs w:val="20"/>
          <w:lang w:val="es-ES"/>
        </w:rPr>
        <w:t>legislador</w:t>
      </w:r>
      <w:r w:rsidRPr="00484960">
        <w:rPr>
          <w:rFonts w:ascii="Arial" w:eastAsia="Arial" w:hAnsi="Arial" w:cs="Arial"/>
          <w:spacing w:val="-12"/>
          <w:sz w:val="20"/>
          <w:szCs w:val="20"/>
          <w:lang w:val="es-ES"/>
        </w:rPr>
        <w:t xml:space="preserve"> </w:t>
      </w:r>
      <w:r w:rsidRPr="00484960">
        <w:rPr>
          <w:rFonts w:ascii="Arial" w:eastAsia="Arial" w:hAnsi="Arial" w:cs="Arial"/>
          <w:sz w:val="20"/>
          <w:szCs w:val="20"/>
          <w:lang w:val="es-ES"/>
        </w:rPr>
        <w:t>expidió</w:t>
      </w:r>
      <w:r w:rsidRPr="00484960">
        <w:rPr>
          <w:rFonts w:ascii="Arial" w:eastAsia="Arial" w:hAnsi="Arial" w:cs="Arial"/>
          <w:spacing w:val="-13"/>
          <w:sz w:val="20"/>
          <w:szCs w:val="20"/>
          <w:lang w:val="es-ES"/>
        </w:rPr>
        <w:t xml:space="preserve"> </w:t>
      </w:r>
      <w:r w:rsidRPr="00484960">
        <w:rPr>
          <w:rFonts w:ascii="Arial" w:eastAsia="Arial" w:hAnsi="Arial" w:cs="Arial"/>
          <w:sz w:val="20"/>
          <w:szCs w:val="20"/>
          <w:lang w:val="es-ES"/>
        </w:rPr>
        <w:t>la</w:t>
      </w:r>
      <w:r w:rsidRPr="00484960">
        <w:rPr>
          <w:rFonts w:ascii="Arial" w:eastAsia="Arial" w:hAnsi="Arial" w:cs="Arial"/>
          <w:spacing w:val="-12"/>
          <w:sz w:val="20"/>
          <w:szCs w:val="20"/>
          <w:lang w:val="es-ES"/>
        </w:rPr>
        <w:t xml:space="preserve"> </w:t>
      </w:r>
      <w:r w:rsidRPr="00484960">
        <w:rPr>
          <w:rFonts w:ascii="Arial" w:eastAsia="Arial" w:hAnsi="Arial" w:cs="Arial"/>
          <w:sz w:val="20"/>
          <w:szCs w:val="20"/>
          <w:lang w:val="es-ES"/>
        </w:rPr>
        <w:t>Ley</w:t>
      </w:r>
      <w:r w:rsidRPr="00484960">
        <w:rPr>
          <w:rFonts w:ascii="Arial" w:eastAsia="Arial" w:hAnsi="Arial" w:cs="Arial"/>
          <w:spacing w:val="-13"/>
          <w:sz w:val="20"/>
          <w:szCs w:val="20"/>
          <w:lang w:val="es-ES"/>
        </w:rPr>
        <w:t xml:space="preserve"> </w:t>
      </w:r>
      <w:r w:rsidRPr="00484960">
        <w:rPr>
          <w:rFonts w:ascii="Arial" w:eastAsia="Arial" w:hAnsi="Arial" w:cs="Arial"/>
          <w:sz w:val="20"/>
          <w:szCs w:val="20"/>
          <w:lang w:val="es-ES"/>
        </w:rPr>
        <w:t>1882</w:t>
      </w:r>
      <w:r w:rsidRPr="00484960">
        <w:rPr>
          <w:rFonts w:ascii="Arial" w:eastAsia="Arial" w:hAnsi="Arial" w:cs="Arial"/>
          <w:spacing w:val="-13"/>
          <w:sz w:val="20"/>
          <w:szCs w:val="20"/>
          <w:lang w:val="es-ES"/>
        </w:rPr>
        <w:t xml:space="preserve"> </w:t>
      </w:r>
      <w:r w:rsidRPr="00484960">
        <w:rPr>
          <w:rFonts w:ascii="Arial" w:eastAsia="Arial" w:hAnsi="Arial" w:cs="Arial"/>
          <w:sz w:val="20"/>
          <w:szCs w:val="20"/>
          <w:lang w:val="es-ES"/>
        </w:rPr>
        <w:t>de</w:t>
      </w:r>
      <w:r w:rsidRPr="00484960">
        <w:rPr>
          <w:rFonts w:ascii="Arial" w:eastAsia="Arial" w:hAnsi="Arial" w:cs="Arial"/>
          <w:spacing w:val="-12"/>
          <w:sz w:val="20"/>
          <w:szCs w:val="20"/>
          <w:lang w:val="es-ES"/>
        </w:rPr>
        <w:t xml:space="preserve"> </w:t>
      </w:r>
      <w:r w:rsidRPr="00484960">
        <w:rPr>
          <w:rFonts w:ascii="Arial" w:eastAsia="Arial" w:hAnsi="Arial" w:cs="Arial"/>
          <w:sz w:val="20"/>
          <w:szCs w:val="20"/>
          <w:lang w:val="es-ES"/>
        </w:rPr>
        <w:t>2018,</w:t>
      </w:r>
      <w:r w:rsidRPr="00484960">
        <w:rPr>
          <w:rFonts w:ascii="Arial" w:eastAsia="Arial" w:hAnsi="Arial" w:cs="Arial"/>
          <w:spacing w:val="-13"/>
          <w:sz w:val="20"/>
          <w:szCs w:val="20"/>
          <w:lang w:val="es-ES"/>
        </w:rPr>
        <w:t xml:space="preserve"> </w:t>
      </w:r>
      <w:r w:rsidRPr="00484960">
        <w:rPr>
          <w:rFonts w:ascii="Arial" w:eastAsia="Arial" w:hAnsi="Arial" w:cs="Arial"/>
          <w:sz w:val="20"/>
          <w:szCs w:val="20"/>
          <w:lang w:val="es-ES"/>
        </w:rPr>
        <w:t>con</w:t>
      </w:r>
      <w:r w:rsidRPr="00484960">
        <w:rPr>
          <w:rFonts w:ascii="Arial" w:eastAsia="Arial" w:hAnsi="Arial" w:cs="Arial"/>
          <w:spacing w:val="-12"/>
          <w:sz w:val="20"/>
          <w:szCs w:val="20"/>
          <w:lang w:val="es-ES"/>
        </w:rPr>
        <w:t xml:space="preserve"> </w:t>
      </w:r>
      <w:r w:rsidRPr="00484960">
        <w:rPr>
          <w:rFonts w:ascii="Arial" w:eastAsia="Arial" w:hAnsi="Arial" w:cs="Arial"/>
          <w:sz w:val="20"/>
          <w:szCs w:val="20"/>
          <w:lang w:val="es-ES"/>
        </w:rPr>
        <w:t>la</w:t>
      </w:r>
      <w:r w:rsidRPr="00484960">
        <w:rPr>
          <w:rFonts w:ascii="Arial" w:eastAsia="Arial" w:hAnsi="Arial" w:cs="Arial"/>
          <w:spacing w:val="-13"/>
          <w:sz w:val="20"/>
          <w:szCs w:val="20"/>
          <w:lang w:val="es-ES"/>
        </w:rPr>
        <w:t xml:space="preserve"> </w:t>
      </w:r>
      <w:r w:rsidRPr="00484960">
        <w:rPr>
          <w:rFonts w:ascii="Arial" w:eastAsia="Arial" w:hAnsi="Arial" w:cs="Arial"/>
          <w:sz w:val="20"/>
          <w:szCs w:val="20"/>
          <w:lang w:val="es-ES"/>
        </w:rPr>
        <w:t xml:space="preserve">finalidad de introducir cambios y ajustes para fortalecer la contratación pública. </w:t>
      </w:r>
      <w:r w:rsidRPr="00484960">
        <w:rPr>
          <w:rFonts w:ascii="Arial" w:eastAsia="Arial" w:hAnsi="Arial" w:cs="Arial"/>
          <w:color w:val="000000"/>
          <w:sz w:val="20"/>
          <w:szCs w:val="20"/>
          <w:lang w:val="es-ES_tradnl"/>
        </w:rPr>
        <w:t>Particularmente, el artículo 5 modificó el parágrafo 1º del artículo 5 de la Ley 1150 de 2007 […]</w:t>
      </w:r>
      <w:r w:rsidR="0090442B">
        <w:rPr>
          <w:rFonts w:ascii="Arial" w:eastAsia="Arial" w:hAnsi="Arial" w:cs="Arial"/>
          <w:color w:val="000000"/>
          <w:sz w:val="20"/>
          <w:szCs w:val="20"/>
          <w:lang w:val="es-ES_tradnl"/>
        </w:rPr>
        <w:t xml:space="preserve"> </w:t>
      </w:r>
      <w:r w:rsidRPr="00484960">
        <w:rPr>
          <w:rFonts w:ascii="Arial" w:eastAsia="Arial" w:hAnsi="Arial" w:cs="Arial"/>
          <w:color w:val="000000"/>
          <w:sz w:val="20"/>
          <w:szCs w:val="20"/>
          <w:lang w:eastAsia="es-MX"/>
        </w:rPr>
        <w:t xml:space="preserve">De igual manera, en los documentos tipo de obra pública de infraestructura de transporte – Versión 3, adoptados mediante la Resolución </w:t>
      </w:r>
      <w:r w:rsidRPr="00484960">
        <w:rPr>
          <w:rFonts w:ascii="Arial" w:eastAsia="Times New Roman" w:hAnsi="Arial" w:cs="Arial"/>
          <w:color w:val="0D0D0D"/>
          <w:sz w:val="20"/>
          <w:szCs w:val="20"/>
          <w:bdr w:val="none" w:sz="0" w:space="0" w:color="auto" w:frame="1"/>
          <w:lang w:eastAsia="es-CO"/>
        </w:rPr>
        <w:t>No. 240 del 27 de noviembre 2020</w:t>
      </w:r>
      <w:r w:rsidRPr="00484960">
        <w:rPr>
          <w:rFonts w:ascii="Arial" w:eastAsia="Arial" w:hAnsi="Arial" w:cs="Arial"/>
          <w:color w:val="000000"/>
          <w:sz w:val="20"/>
          <w:szCs w:val="20"/>
          <w:lang w:eastAsia="es-MX"/>
        </w:rPr>
        <w:t>, la obligación del proponente de presentar su oferta de manera íntegra es congruente con el numeral 1.6. del Documento Base.</w:t>
      </w:r>
    </w:p>
    <w:p w14:paraId="17076E55" w14:textId="77777777" w:rsidR="0090442B" w:rsidRPr="0090442B" w:rsidRDefault="0090442B" w:rsidP="0090442B">
      <w:pPr>
        <w:spacing w:after="120" w:line="240" w:lineRule="auto"/>
        <w:jc w:val="both"/>
        <w:rPr>
          <w:rFonts w:ascii="Arial" w:hAnsi="Arial" w:cs="Arial"/>
          <w:sz w:val="20"/>
          <w:szCs w:val="20"/>
          <w:lang w:val="es-ES"/>
        </w:rPr>
      </w:pPr>
      <w:r w:rsidRPr="0090442B">
        <w:rPr>
          <w:rFonts w:ascii="Arial" w:hAnsi="Arial" w:cs="Arial"/>
          <w:sz w:val="20"/>
          <w:szCs w:val="20"/>
          <w:lang w:val="es-ES"/>
        </w:rPr>
        <w:t xml:space="preserve">Ahora bien, los cinco (5) días hábiles que tienen los proponentes para subsanar, deben entenderse de acuerdo con el sistema civil para el cómputo de los plazos o </w:t>
      </w:r>
      <w:proofErr w:type="gramStart"/>
      <w:r w:rsidRPr="0090442B">
        <w:rPr>
          <w:rFonts w:ascii="Arial" w:hAnsi="Arial" w:cs="Arial"/>
          <w:sz w:val="20"/>
          <w:szCs w:val="20"/>
          <w:lang w:val="es-ES"/>
        </w:rPr>
        <w:t>términos .</w:t>
      </w:r>
      <w:proofErr w:type="gramEnd"/>
      <w:r w:rsidRPr="0090442B">
        <w:rPr>
          <w:rFonts w:ascii="Arial" w:hAnsi="Arial" w:cs="Arial"/>
          <w:sz w:val="20"/>
          <w:szCs w:val="20"/>
          <w:lang w:val="es-ES"/>
        </w:rPr>
        <w:t xml:space="preserve"> En ese sentido, el artículo 67 del código civil dispone que «Todos los plazos de días, meses o años de que se haga mención en las leyes o en los decretos del </w:t>
      </w:r>
      <w:proofErr w:type="gramStart"/>
      <w:r w:rsidRPr="0090442B">
        <w:rPr>
          <w:rFonts w:ascii="Arial" w:hAnsi="Arial" w:cs="Arial"/>
          <w:sz w:val="20"/>
          <w:szCs w:val="20"/>
          <w:lang w:val="es-ES"/>
        </w:rPr>
        <w:t>Presidente</w:t>
      </w:r>
      <w:proofErr w:type="gramEnd"/>
      <w:r w:rsidRPr="0090442B">
        <w:rPr>
          <w:rFonts w:ascii="Arial" w:hAnsi="Arial" w:cs="Arial"/>
          <w:sz w:val="20"/>
          <w:szCs w:val="20"/>
          <w:lang w:val="es-ES"/>
        </w:rPr>
        <w:t xml:space="preserve"> de la Unión, de los Tribunales o Juzgados, se entenderá que han de ser completos y correrán, además, hasta la media noche del último día de plazo». Para la interpretación del inciso anterior, debe tenerse en cuenta lo dispuesto en la Ley 4 de 1913, cuyo artículo 59 establece que «todos los plazos de días, meses o años de que se haga mención legal, se </w:t>
      </w:r>
      <w:proofErr w:type="gramStart"/>
      <w:r w:rsidRPr="0090442B">
        <w:rPr>
          <w:rFonts w:ascii="Arial" w:hAnsi="Arial" w:cs="Arial"/>
          <w:sz w:val="20"/>
          <w:szCs w:val="20"/>
          <w:lang w:val="es-ES"/>
        </w:rPr>
        <w:t>entenderá</w:t>
      </w:r>
      <w:proofErr w:type="gramEnd"/>
      <w:r w:rsidRPr="0090442B">
        <w:rPr>
          <w:rFonts w:ascii="Arial" w:hAnsi="Arial" w:cs="Arial"/>
          <w:sz w:val="20"/>
          <w:szCs w:val="20"/>
          <w:lang w:val="es-ES"/>
        </w:rPr>
        <w:t xml:space="preserve"> que terminan a la media noche del último día del plazo. Por año y por mes se entienden los del calendario común, por día el espacio de veinticuatro horas […]» y el artículo 61 que establece «Cuando se dice que una cosa debe observarse desde tal día, se entiende que ha de observarse desde el momento siguiente a la medianoche del día anterior; y cuando se dice que debe observarse hasta tal día, se entiende que ha de observarse hasta la medianoche de dicho día».</w:t>
      </w:r>
    </w:p>
    <w:p w14:paraId="0C4EC6D4" w14:textId="77777777" w:rsidR="0090442B" w:rsidRDefault="0090442B" w:rsidP="00B00CD6">
      <w:pPr>
        <w:spacing w:after="0" w:line="240" w:lineRule="auto"/>
        <w:jc w:val="both"/>
        <w:rPr>
          <w:rFonts w:ascii="Arial" w:hAnsi="Arial" w:cs="Arial"/>
          <w:color w:val="000000" w:themeColor="text1"/>
          <w:sz w:val="20"/>
          <w:szCs w:val="20"/>
          <w:lang w:val="es-MX"/>
        </w:rPr>
      </w:pPr>
    </w:p>
    <w:p w14:paraId="161DF927" w14:textId="77777777" w:rsidR="00684BF0" w:rsidRDefault="00684BF0" w:rsidP="00684BF0">
      <w:pPr>
        <w:jc w:val="both"/>
        <w:rPr>
          <w:rFonts w:ascii="Arial" w:eastAsia="Calibri" w:hAnsi="Arial" w:cs="Arial"/>
          <w:b/>
          <w:color w:val="000000" w:themeColor="text1"/>
          <w:lang w:val="es-MX"/>
        </w:rPr>
      </w:pPr>
      <w:r>
        <w:rPr>
          <w:rFonts w:ascii="Arial" w:eastAsia="Calibri" w:hAnsi="Arial" w:cs="Arial"/>
          <w:b/>
          <w:color w:val="000000" w:themeColor="text1"/>
          <w:lang w:val="es-MX"/>
        </w:rPr>
        <w:t xml:space="preserve">CAPACIDAD RESIDUAL – </w:t>
      </w:r>
      <w:r w:rsidRPr="00A03FAB">
        <w:rPr>
          <w:rFonts w:ascii="Arial" w:eastAsia="Calibri" w:hAnsi="Arial" w:cs="Arial"/>
          <w:b/>
          <w:bCs/>
        </w:rPr>
        <w:t xml:space="preserve">Cálculo – Factores </w:t>
      </w:r>
    </w:p>
    <w:p w14:paraId="78209D41" w14:textId="73889985" w:rsidR="00684BF0" w:rsidRDefault="00684BF0" w:rsidP="00684BF0">
      <w:pPr>
        <w:jc w:val="both"/>
        <w:rPr>
          <w:rFonts w:ascii="Arial" w:eastAsia="Calibri" w:hAnsi="Arial" w:cs="Arial"/>
          <w:sz w:val="20"/>
          <w:szCs w:val="20"/>
          <w:lang w:val="es-MX"/>
        </w:rPr>
      </w:pPr>
      <w:r>
        <w:rPr>
          <w:rFonts w:ascii="Arial" w:eastAsia="Calibri" w:hAnsi="Arial" w:cs="Arial"/>
          <w:sz w:val="20"/>
          <w:szCs w:val="20"/>
          <w:lang w:val="es-MX"/>
        </w:rPr>
        <w:t>El</w:t>
      </w:r>
      <w:r w:rsidRPr="00E84DDD">
        <w:rPr>
          <w:rFonts w:ascii="Arial" w:eastAsia="Calibri" w:hAnsi="Arial" w:cs="Arial"/>
          <w:sz w:val="20"/>
          <w:szCs w:val="20"/>
          <w:lang w:val="es-MX"/>
        </w:rPr>
        <w:t xml:space="preserve"> Decreto 1082 de 2015 dispone que las entidades estatales deberán calcular la capacidad residual conforme a la metodología definida por Colombia Compre Eficiente. Para tale fines, resulta necesario tener en cuenta los factores de i) Experiencia –E–, </w:t>
      </w:r>
      <w:proofErr w:type="spellStart"/>
      <w:r w:rsidRPr="00E84DDD">
        <w:rPr>
          <w:rFonts w:ascii="Arial" w:eastAsia="Calibri" w:hAnsi="Arial" w:cs="Arial"/>
          <w:sz w:val="20"/>
          <w:szCs w:val="20"/>
          <w:lang w:val="es-MX"/>
        </w:rPr>
        <w:t>ii</w:t>
      </w:r>
      <w:proofErr w:type="spellEnd"/>
      <w:r w:rsidRPr="00E84DDD">
        <w:rPr>
          <w:rFonts w:ascii="Arial" w:eastAsia="Calibri" w:hAnsi="Arial" w:cs="Arial"/>
          <w:sz w:val="20"/>
          <w:szCs w:val="20"/>
          <w:lang w:val="es-MX"/>
        </w:rPr>
        <w:t xml:space="preserve">) Capacidad Financiera –CF–, </w:t>
      </w:r>
      <w:proofErr w:type="spellStart"/>
      <w:r w:rsidRPr="00E84DDD">
        <w:rPr>
          <w:rFonts w:ascii="Arial" w:eastAsia="Calibri" w:hAnsi="Arial" w:cs="Arial"/>
          <w:sz w:val="20"/>
          <w:szCs w:val="20"/>
          <w:lang w:val="es-MX"/>
        </w:rPr>
        <w:t>iii</w:t>
      </w:r>
      <w:proofErr w:type="spellEnd"/>
      <w:r w:rsidRPr="00E84DDD">
        <w:rPr>
          <w:rFonts w:ascii="Arial" w:eastAsia="Calibri" w:hAnsi="Arial" w:cs="Arial"/>
          <w:sz w:val="20"/>
          <w:szCs w:val="20"/>
          <w:lang w:val="es-MX"/>
        </w:rPr>
        <w:t xml:space="preserve">) Capacidad Técnica –CT–, </w:t>
      </w:r>
      <w:proofErr w:type="spellStart"/>
      <w:r w:rsidRPr="00E84DDD">
        <w:rPr>
          <w:rFonts w:ascii="Arial" w:eastAsia="Calibri" w:hAnsi="Arial" w:cs="Arial"/>
          <w:sz w:val="20"/>
          <w:szCs w:val="20"/>
          <w:lang w:val="es-MX"/>
        </w:rPr>
        <w:t>iv</w:t>
      </w:r>
      <w:proofErr w:type="spellEnd"/>
      <w:r w:rsidRPr="00E84DDD">
        <w:rPr>
          <w:rFonts w:ascii="Arial" w:eastAsia="Calibri" w:hAnsi="Arial" w:cs="Arial"/>
          <w:sz w:val="20"/>
          <w:szCs w:val="20"/>
          <w:lang w:val="es-MX"/>
        </w:rPr>
        <w:t xml:space="preserve">) Capacidad de Organización y v) los Saldos de los Contratos en Ejecución –SCE–. De igual manera, establece que el interesado en celebrar contratos de obra pública acreditará su capacidad residual con los siguientes documentos: i) la lista de los contratos de obras civiles en ejecución suscritos con entidades estatales y con entidades privadas; </w:t>
      </w:r>
      <w:proofErr w:type="spellStart"/>
      <w:r w:rsidRPr="00E84DDD">
        <w:rPr>
          <w:rFonts w:ascii="Arial" w:eastAsia="Calibri" w:hAnsi="Arial" w:cs="Arial"/>
          <w:sz w:val="20"/>
          <w:szCs w:val="20"/>
          <w:lang w:val="es-MX"/>
        </w:rPr>
        <w:t>ii</w:t>
      </w:r>
      <w:proofErr w:type="spellEnd"/>
      <w:r w:rsidRPr="00E84DDD">
        <w:rPr>
          <w:rFonts w:ascii="Arial" w:eastAsia="Calibri" w:hAnsi="Arial" w:cs="Arial"/>
          <w:sz w:val="20"/>
          <w:szCs w:val="20"/>
          <w:lang w:val="es-MX"/>
        </w:rPr>
        <w:t xml:space="preserve">) la lista de contratos de obras civiles en ejecución, suscritos por sociedades, consorcios o uniones temporales, en los cuales el proponente tenga participación, con entidades estatales y con entidades privadas; y finalmente </w:t>
      </w:r>
      <w:proofErr w:type="spellStart"/>
      <w:r w:rsidRPr="00E84DDD">
        <w:rPr>
          <w:rFonts w:ascii="Arial" w:eastAsia="Calibri" w:hAnsi="Arial" w:cs="Arial"/>
          <w:sz w:val="20"/>
          <w:szCs w:val="20"/>
          <w:lang w:val="es-MX"/>
        </w:rPr>
        <w:t>iii</w:t>
      </w:r>
      <w:proofErr w:type="spellEnd"/>
      <w:r w:rsidRPr="00E84DDD">
        <w:rPr>
          <w:rFonts w:ascii="Arial" w:eastAsia="Calibri" w:hAnsi="Arial" w:cs="Arial"/>
          <w:sz w:val="20"/>
          <w:szCs w:val="20"/>
          <w:lang w:val="es-MX"/>
        </w:rPr>
        <w:t>) el balance general auditado del año inmediatamente anterior y estado de resultados auditado del año en que haya obtenido el mayor ingreso operacional en los últimos cinco (5) años</w:t>
      </w:r>
      <w:r>
        <w:rPr>
          <w:rFonts w:ascii="Arial" w:eastAsia="Calibri" w:hAnsi="Arial" w:cs="Arial"/>
          <w:sz w:val="20"/>
          <w:szCs w:val="20"/>
          <w:lang w:val="es-MX"/>
        </w:rPr>
        <w:t>.</w:t>
      </w:r>
    </w:p>
    <w:p w14:paraId="5B5FED54" w14:textId="24B26F9B" w:rsidR="00684BF0" w:rsidRPr="00E76C1B" w:rsidRDefault="00684BF0" w:rsidP="00684BF0">
      <w:pPr>
        <w:autoSpaceDE w:val="0"/>
        <w:autoSpaceDN w:val="0"/>
        <w:adjustRightInd w:val="0"/>
        <w:jc w:val="both"/>
        <w:rPr>
          <w:rFonts w:ascii="Arial" w:eastAsia="Calibri" w:hAnsi="Arial" w:cs="Arial"/>
          <w:b/>
        </w:rPr>
      </w:pPr>
      <w:r w:rsidRPr="00A03FAB">
        <w:rPr>
          <w:rFonts w:ascii="Arial" w:eastAsia="Calibri" w:hAnsi="Arial" w:cs="Arial"/>
          <w:b/>
          <w:bCs/>
        </w:rPr>
        <w:t xml:space="preserve">CAPACIDAD RESIDUAL – Saldos </w:t>
      </w:r>
      <w:r>
        <w:rPr>
          <w:rFonts w:ascii="Arial" w:eastAsia="Calibri" w:hAnsi="Arial" w:cs="Arial"/>
          <w:b/>
          <w:bCs/>
        </w:rPr>
        <w:t>de</w:t>
      </w:r>
      <w:r w:rsidRPr="00A03FAB">
        <w:rPr>
          <w:rFonts w:ascii="Arial" w:eastAsia="Calibri" w:hAnsi="Arial" w:cs="Arial"/>
          <w:b/>
          <w:bCs/>
        </w:rPr>
        <w:t xml:space="preserve"> Contratos en Ejecución </w:t>
      </w:r>
      <w:r w:rsidRPr="00E76C1B">
        <w:rPr>
          <w:rFonts w:ascii="Arial" w:eastAsia="Calibri" w:hAnsi="Arial" w:cs="Arial"/>
          <w:b/>
          <w:color w:val="000000" w:themeColor="text1"/>
        </w:rPr>
        <w:t>«SCE»</w:t>
      </w:r>
      <w:r>
        <w:rPr>
          <w:rFonts w:ascii="Arial" w:eastAsia="Calibri" w:hAnsi="Arial" w:cs="Arial"/>
          <w:b/>
          <w:color w:val="000000" w:themeColor="text1"/>
        </w:rPr>
        <w:t xml:space="preserve"> </w:t>
      </w:r>
      <w:r w:rsidRPr="00A03FAB">
        <w:rPr>
          <w:rFonts w:ascii="Arial" w:eastAsia="Calibri" w:hAnsi="Arial" w:cs="Arial"/>
          <w:b/>
          <w:bCs/>
        </w:rPr>
        <w:t>– Contratos de obra</w:t>
      </w:r>
      <w:r>
        <w:rPr>
          <w:rFonts w:ascii="Arial" w:eastAsia="Calibri" w:hAnsi="Arial" w:cs="Arial"/>
          <w:b/>
          <w:bCs/>
        </w:rPr>
        <w:t xml:space="preserve"> – Contratos suspendidos</w:t>
      </w:r>
    </w:p>
    <w:p w14:paraId="1FCEBC60" w14:textId="43327563" w:rsidR="00684BF0" w:rsidRDefault="00684BF0" w:rsidP="00684BF0">
      <w:pPr>
        <w:jc w:val="both"/>
        <w:rPr>
          <w:rFonts w:ascii="Arial" w:eastAsia="Calibri" w:hAnsi="Arial" w:cs="Arial"/>
          <w:bCs/>
          <w:color w:val="000000" w:themeColor="text1"/>
          <w:sz w:val="20"/>
          <w:szCs w:val="20"/>
        </w:rPr>
      </w:pPr>
      <w:r w:rsidRPr="00684BF0">
        <w:rPr>
          <w:rFonts w:ascii="Arial" w:eastAsia="Calibri" w:hAnsi="Arial" w:cs="Arial"/>
          <w:bCs/>
          <w:color w:val="000000" w:themeColor="text1"/>
          <w:sz w:val="20"/>
          <w:szCs w:val="20"/>
        </w:rPr>
        <w:t xml:space="preserve">En este sentido, los saldos pendientes se derivan de las obligaciones que se encuentran en ejecución al momento de la presentación de la oferta y se refieren a contratos cuyo objeto sea la ejecución de obras civiles. Se aclara que deben tenerse en cuenta los contratos sin acta de inicio, pues el criterio determinante para establecer si un contrato se encuentra en ejecución no lo determina el acta, sino que el mismo contrato obligue al proponente. Además, debe mencionarse que, si bien la suspensión de los contratos estatales no es una institución regulada explícitamente en el Estatuto General de Contratación de la Administración Pública, los saldos pendientes por ejecutar de los contratos afectados por una suspensión constituyen, también, información relevante para calcular la capacidad residual del proponente «CRP». Lo anterior, en la medida en que la ejecución de los contratos en principio suspendidos puede, eventualmente, afectar la aptitud del oferente para cumplir con el </w:t>
      </w:r>
      <w:r w:rsidRPr="00684BF0">
        <w:rPr>
          <w:rFonts w:ascii="Arial" w:eastAsia="Calibri" w:hAnsi="Arial" w:cs="Arial"/>
          <w:bCs/>
          <w:color w:val="000000" w:themeColor="text1"/>
          <w:sz w:val="20"/>
          <w:szCs w:val="20"/>
        </w:rPr>
        <w:lastRenderedPageBreak/>
        <w:t>contrato ofertado, razón por la que, ante la posibilidad de que tales contratos se reanuden, se ha estimado necesario evaluar los saldos pendientes por ejecutar de tales contratos para determinar si el proponente cumple con la capacidad residual requerida.</w:t>
      </w:r>
    </w:p>
    <w:p w14:paraId="1FFD0E45" w14:textId="6B4BE170" w:rsidR="00684BF0" w:rsidRDefault="00684BF0" w:rsidP="00684BF0">
      <w:pPr>
        <w:ind w:right="49"/>
        <w:jc w:val="both"/>
        <w:rPr>
          <w:rFonts w:ascii="Arial" w:eastAsia="Calibri" w:hAnsi="Arial" w:cs="Arial"/>
          <w:b/>
          <w:bCs/>
        </w:rPr>
      </w:pPr>
      <w:r w:rsidRPr="00A03FAB">
        <w:rPr>
          <w:rFonts w:ascii="Arial" w:eastAsia="Calibri" w:hAnsi="Arial" w:cs="Arial"/>
          <w:b/>
          <w:bCs/>
        </w:rPr>
        <w:t>CAPACIDAD RESIDUAL –</w:t>
      </w:r>
      <w:r w:rsidR="00C6288F">
        <w:rPr>
          <w:rFonts w:ascii="Arial" w:eastAsia="Calibri" w:hAnsi="Arial" w:cs="Arial"/>
          <w:b/>
          <w:bCs/>
        </w:rPr>
        <w:t xml:space="preserve"> </w:t>
      </w:r>
      <w:r w:rsidRPr="00A03FAB">
        <w:rPr>
          <w:rFonts w:ascii="Arial" w:eastAsia="Calibri" w:hAnsi="Arial" w:cs="Arial"/>
          <w:b/>
          <w:bCs/>
        </w:rPr>
        <w:t xml:space="preserve">Cálculo </w:t>
      </w:r>
      <w:r>
        <w:rPr>
          <w:rFonts w:ascii="Arial" w:eastAsia="Calibri" w:hAnsi="Arial" w:cs="Arial"/>
          <w:b/>
          <w:bCs/>
        </w:rPr>
        <w:t>y a</w:t>
      </w:r>
      <w:r w:rsidRPr="00A03FAB">
        <w:rPr>
          <w:rFonts w:ascii="Arial" w:eastAsia="Calibri" w:hAnsi="Arial" w:cs="Arial"/>
          <w:b/>
          <w:bCs/>
        </w:rPr>
        <w:t>plicativo – Obligatoriedad</w:t>
      </w:r>
    </w:p>
    <w:p w14:paraId="4A192E7B" w14:textId="3BEF3B51" w:rsidR="00684BF0" w:rsidRPr="00A03FAB" w:rsidRDefault="00684BF0" w:rsidP="00684BF0">
      <w:pPr>
        <w:ind w:right="49"/>
        <w:jc w:val="both"/>
        <w:rPr>
          <w:rFonts w:ascii="Arial" w:hAnsi="Arial" w:cs="Arial"/>
          <w:sz w:val="20"/>
          <w:szCs w:val="20"/>
        </w:rPr>
      </w:pPr>
      <w:r>
        <w:rPr>
          <w:rFonts w:ascii="Arial" w:hAnsi="Arial" w:cs="Arial"/>
          <w:sz w:val="20"/>
          <w:szCs w:val="20"/>
        </w:rPr>
        <w:t xml:space="preserve">[…] </w:t>
      </w:r>
      <w:r w:rsidRPr="00684BF0">
        <w:rPr>
          <w:rFonts w:ascii="Arial" w:hAnsi="Arial" w:cs="Arial"/>
          <w:sz w:val="20"/>
          <w:szCs w:val="20"/>
        </w:rPr>
        <w:t>si bien el aplicativo de Excel desarrollado por esta Agencia constituye una herramienta que facilita la implementación de la metodología establecida en la guía, su uso no exime del deber de aplicar lo dispuesto en la normativa pertinente. En virtud de esto, el aplicativo más que una herramienta para determinar si se cumple o no con la capacidad residual, constituye una herramienta de validación de la aplicación de la metodología dispuesta en la guía, en la medida en que si bien no es de uso obligatorio facilita el cálculo de la capacidad residual. Así mismo, se reitera, la guía es el instrumento que detenta fuerza vinculante y, por tanto, son sus disposiciones las que deben observarse para la determinación de la capacidad residual.</w:t>
      </w:r>
    </w:p>
    <w:p w14:paraId="5F6CDBEE" w14:textId="119357CC" w:rsidR="00684BF0" w:rsidRPr="00E76C1B" w:rsidRDefault="00684BF0" w:rsidP="00684BF0">
      <w:pPr>
        <w:jc w:val="both"/>
        <w:rPr>
          <w:rFonts w:ascii="Arial" w:eastAsia="Calibri" w:hAnsi="Arial" w:cs="Arial"/>
          <w:bCs/>
          <w:color w:val="000000" w:themeColor="text1"/>
          <w:sz w:val="20"/>
          <w:szCs w:val="20"/>
        </w:rPr>
      </w:pPr>
      <w:r w:rsidRPr="00A03FAB">
        <w:rPr>
          <w:rFonts w:ascii="Arial" w:eastAsia="Calibri" w:hAnsi="Arial" w:cs="Arial"/>
          <w:b/>
          <w:bCs/>
        </w:rPr>
        <w:t>CAPACIDAD RESIDUAL</w:t>
      </w:r>
      <w:r>
        <w:rPr>
          <w:rFonts w:ascii="Arial" w:eastAsia="Calibri" w:hAnsi="Arial" w:cs="Arial"/>
          <w:b/>
          <w:bCs/>
        </w:rPr>
        <w:t xml:space="preserve"> – Contrato rea</w:t>
      </w:r>
      <w:r w:rsidR="00E87F5E">
        <w:rPr>
          <w:rFonts w:ascii="Arial" w:eastAsia="Calibri" w:hAnsi="Arial" w:cs="Arial"/>
          <w:b/>
          <w:bCs/>
        </w:rPr>
        <w:t>nudado – Contrato Suspendido</w:t>
      </w:r>
    </w:p>
    <w:p w14:paraId="5FCCD14B" w14:textId="4480E8C9" w:rsidR="00684BF0" w:rsidRPr="00684BF0" w:rsidRDefault="00684BF0" w:rsidP="00684BF0">
      <w:pPr>
        <w:jc w:val="both"/>
        <w:rPr>
          <w:rFonts w:ascii="Arial" w:eastAsia="Calibri" w:hAnsi="Arial" w:cs="Arial"/>
          <w:bCs/>
          <w:color w:val="000000" w:themeColor="text1"/>
          <w:sz w:val="20"/>
          <w:szCs w:val="20"/>
          <w:lang w:val="es-ES"/>
        </w:rPr>
      </w:pPr>
      <w:r w:rsidRPr="00684BF0">
        <w:rPr>
          <w:rFonts w:ascii="Arial" w:eastAsia="Calibri" w:hAnsi="Arial" w:cs="Arial"/>
          <w:bCs/>
          <w:color w:val="000000" w:themeColor="text1"/>
          <w:sz w:val="20"/>
          <w:szCs w:val="20"/>
          <w:lang w:val="es-ES"/>
        </w:rPr>
        <w:t xml:space="preserve">Respecto del factor de saldos de los contratos en ejecución «SCE», es necesario tener en cuenta que la Guía para Determinar y Verificar la Capacidad Residual del Proponente en los Procesos de Contratación de Obra Pública, define a este factor como «la suma de los montos por ejecutar de los contratos en ejecución durante los 12 meses siguientes». </w:t>
      </w:r>
      <w:r>
        <w:rPr>
          <w:rFonts w:ascii="Arial" w:eastAsia="Calibri" w:hAnsi="Arial" w:cs="Arial"/>
          <w:bCs/>
          <w:color w:val="000000" w:themeColor="text1"/>
          <w:sz w:val="20"/>
          <w:szCs w:val="20"/>
          <w:lang w:val="es-ES"/>
        </w:rPr>
        <w:t xml:space="preserve"> </w:t>
      </w:r>
      <w:r w:rsidRPr="00684BF0">
        <w:rPr>
          <w:rFonts w:ascii="Arial" w:eastAsia="Calibri" w:hAnsi="Arial" w:cs="Arial"/>
          <w:bCs/>
          <w:color w:val="000000" w:themeColor="text1"/>
          <w:sz w:val="20"/>
          <w:szCs w:val="20"/>
          <w:lang w:val="es-ES"/>
        </w:rPr>
        <w:t xml:space="preserve">En este sentido, los saldos pendientes se derivan de las obligaciones que se encuentran en ejecución al momento de la presentación de la oferta y se refieren a contratos cuyo objeto sea la ejecución de obras civiles; así las cosas, si un contrato fue reanudado habrá que tenerse en cuenta los montos por ejecutar durante los 12 meses siguientes </w:t>
      </w:r>
    </w:p>
    <w:p w14:paraId="591D7981" w14:textId="77777777" w:rsidR="00684BF0" w:rsidRPr="00D235AA" w:rsidRDefault="00684BF0" w:rsidP="00684BF0">
      <w:pPr>
        <w:jc w:val="both"/>
        <w:rPr>
          <w:rFonts w:ascii="Arial" w:eastAsia="Calibri" w:hAnsi="Arial" w:cs="Arial"/>
          <w:bCs/>
          <w:color w:val="000000" w:themeColor="text1"/>
          <w:sz w:val="20"/>
          <w:szCs w:val="20"/>
          <w:lang w:val="es-ES"/>
        </w:rPr>
      </w:pPr>
    </w:p>
    <w:p w14:paraId="7EE9410B" w14:textId="77777777" w:rsidR="00C6288F" w:rsidRDefault="00C6288F">
      <w:pPr>
        <w:rPr>
          <w:rFonts w:ascii="Arial" w:eastAsia="Times New Roman" w:hAnsi="Arial" w:cs="Arial"/>
          <w:lang w:val="es-MX" w:eastAsia="es-CO"/>
        </w:rPr>
      </w:pPr>
      <w:r>
        <w:rPr>
          <w:rFonts w:ascii="Arial" w:eastAsia="Times New Roman" w:hAnsi="Arial" w:cs="Arial"/>
          <w:lang w:val="es-MX" w:eastAsia="es-CO"/>
        </w:rPr>
        <w:br w:type="page"/>
      </w:r>
    </w:p>
    <w:p w14:paraId="2509D09D" w14:textId="48B04C45" w:rsidR="0046438B" w:rsidRDefault="0090442B" w:rsidP="0090442B">
      <w:pPr>
        <w:spacing w:after="0" w:line="276" w:lineRule="auto"/>
        <w:jc w:val="right"/>
        <w:textAlignment w:val="baseline"/>
        <w:rPr>
          <w:rFonts w:ascii="Arial" w:eastAsia="Calibri" w:hAnsi="Arial" w:cs="Arial"/>
          <w:color w:val="000000" w:themeColor="text1"/>
          <w:szCs w:val="20"/>
          <w:lang w:val="es-MX"/>
        </w:rPr>
      </w:pPr>
      <w:r>
        <w:rPr>
          <w:noProof/>
        </w:rPr>
        <w:lastRenderedPageBreak/>
        <w:drawing>
          <wp:inline distT="0" distB="0" distL="0" distR="0" wp14:anchorId="2E6ADA9E" wp14:editId="337FDBAA">
            <wp:extent cx="2600325" cy="762000"/>
            <wp:effectExtent l="0" t="0" r="9525" b="0"/>
            <wp:docPr id="3" name="Imagen 3"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 Carta&#10;&#10;Descripción generada automáticamente"/>
                    <pic:cNvPicPr/>
                  </pic:nvPicPr>
                  <pic:blipFill>
                    <a:blip r:embed="rId8"/>
                    <a:stretch>
                      <a:fillRect/>
                    </a:stretch>
                  </pic:blipFill>
                  <pic:spPr>
                    <a:xfrm>
                      <a:off x="0" y="0"/>
                      <a:ext cx="2600325" cy="762000"/>
                    </a:xfrm>
                    <a:prstGeom prst="rect">
                      <a:avLst/>
                    </a:prstGeom>
                  </pic:spPr>
                </pic:pic>
              </a:graphicData>
            </a:graphic>
          </wp:inline>
        </w:drawing>
      </w:r>
    </w:p>
    <w:p w14:paraId="1E81EEF9" w14:textId="77777777" w:rsidR="008A0F4C" w:rsidRPr="0046438B" w:rsidRDefault="008A0F4C" w:rsidP="0046438B">
      <w:pPr>
        <w:spacing w:after="0" w:line="240" w:lineRule="auto"/>
        <w:rPr>
          <w:rFonts w:ascii="Arial" w:eastAsia="Calibri" w:hAnsi="Arial" w:cs="Arial"/>
          <w:color w:val="000000" w:themeColor="text1"/>
          <w:szCs w:val="20"/>
          <w:lang w:val="es-MX"/>
        </w:rPr>
      </w:pPr>
    </w:p>
    <w:p w14:paraId="0494ED5B" w14:textId="38BDE001" w:rsidR="0046438B" w:rsidRDefault="0046438B" w:rsidP="0046438B">
      <w:pPr>
        <w:spacing w:after="0" w:line="240" w:lineRule="auto"/>
        <w:rPr>
          <w:rFonts w:ascii="Arial" w:eastAsia="Calibri" w:hAnsi="Arial" w:cs="Arial"/>
          <w:color w:val="000000" w:themeColor="text1"/>
          <w:szCs w:val="20"/>
          <w:lang w:val="es-MX"/>
        </w:rPr>
      </w:pPr>
      <w:r w:rsidRPr="0046438B">
        <w:rPr>
          <w:rFonts w:ascii="Arial" w:eastAsia="Calibri" w:hAnsi="Arial" w:cs="Arial"/>
          <w:color w:val="000000" w:themeColor="text1"/>
          <w:szCs w:val="20"/>
          <w:lang w:val="es-MX"/>
        </w:rPr>
        <w:t>Señor</w:t>
      </w:r>
    </w:p>
    <w:p w14:paraId="6747576F" w14:textId="524CC65D" w:rsidR="00806CE0" w:rsidRPr="00AB168C" w:rsidRDefault="009728E9" w:rsidP="0046438B">
      <w:pPr>
        <w:spacing w:after="0" w:line="240" w:lineRule="auto"/>
        <w:rPr>
          <w:rFonts w:ascii="Arial" w:eastAsia="Calibri" w:hAnsi="Arial" w:cs="Arial"/>
          <w:b/>
          <w:bCs/>
          <w:color w:val="000000" w:themeColor="text1"/>
          <w:szCs w:val="20"/>
          <w:lang w:val="es-MX"/>
        </w:rPr>
      </w:pPr>
      <w:r>
        <w:rPr>
          <w:rFonts w:ascii="Arial" w:eastAsia="Calibri" w:hAnsi="Arial" w:cs="Arial"/>
          <w:b/>
          <w:bCs/>
          <w:color w:val="000000" w:themeColor="text1"/>
          <w:szCs w:val="20"/>
          <w:lang w:val="es-MX"/>
        </w:rPr>
        <w:t>Santiago Sánchez Mantilla</w:t>
      </w:r>
    </w:p>
    <w:p w14:paraId="1C16788B" w14:textId="317E0720" w:rsidR="00806CE0" w:rsidRPr="0046438B" w:rsidRDefault="00806CE0" w:rsidP="0046438B">
      <w:pPr>
        <w:spacing w:after="0" w:line="240" w:lineRule="auto"/>
        <w:rPr>
          <w:rFonts w:ascii="Arial" w:eastAsia="Calibri" w:hAnsi="Arial" w:cs="Arial"/>
          <w:color w:val="000000" w:themeColor="text1"/>
          <w:szCs w:val="20"/>
          <w:lang w:val="es-MX"/>
        </w:rPr>
      </w:pPr>
      <w:r>
        <w:rPr>
          <w:rFonts w:ascii="Arial" w:eastAsia="Calibri" w:hAnsi="Arial" w:cs="Arial"/>
          <w:color w:val="000000" w:themeColor="text1"/>
          <w:szCs w:val="20"/>
          <w:lang w:val="es-MX"/>
        </w:rPr>
        <w:t>Ciudad</w:t>
      </w:r>
    </w:p>
    <w:p w14:paraId="36E23672" w14:textId="77777777" w:rsidR="0046438B" w:rsidRPr="0046438B" w:rsidRDefault="0046438B" w:rsidP="0046438B">
      <w:pPr>
        <w:spacing w:after="0" w:line="240" w:lineRule="auto"/>
        <w:rPr>
          <w:rFonts w:ascii="Arial" w:eastAsia="Calibri" w:hAnsi="Arial" w:cs="Arial"/>
          <w:color w:val="000000" w:themeColor="text1"/>
          <w:szCs w:val="20"/>
          <w:lang w:val="es-MX"/>
        </w:rPr>
      </w:pPr>
    </w:p>
    <w:p w14:paraId="1F4F8B3B" w14:textId="77777777" w:rsidR="0046438B" w:rsidRPr="0046438B" w:rsidRDefault="0046438B" w:rsidP="0046438B">
      <w:pPr>
        <w:spacing w:after="0" w:line="240" w:lineRule="auto"/>
        <w:rPr>
          <w:rFonts w:ascii="Arial" w:eastAsia="Calibri" w:hAnsi="Arial" w:cs="Arial"/>
          <w:color w:val="000000" w:themeColor="text1"/>
          <w:szCs w:val="20"/>
          <w:lang w:val="es-MX"/>
        </w:rPr>
      </w:pPr>
    </w:p>
    <w:p w14:paraId="499D2BC7" w14:textId="6A12A693" w:rsidR="0046438B" w:rsidRPr="00402991" w:rsidRDefault="008A0F4C" w:rsidP="00291251">
      <w:pPr>
        <w:spacing w:after="0" w:line="240" w:lineRule="auto"/>
        <w:rPr>
          <w:rFonts w:ascii="Arial" w:eastAsia="Calibri" w:hAnsi="Arial" w:cs="Arial"/>
          <w:b/>
          <w:color w:val="000000" w:themeColor="text1"/>
          <w:lang w:val="es-MX"/>
        </w:rPr>
      </w:pPr>
      <w:r>
        <w:rPr>
          <w:rFonts w:ascii="Arial" w:eastAsia="Calibri" w:hAnsi="Arial" w:cs="Arial"/>
          <w:b/>
          <w:color w:val="000000" w:themeColor="text1"/>
          <w:lang w:val="es-MX"/>
        </w:rPr>
        <w:t xml:space="preserve">                                            </w:t>
      </w:r>
      <w:r w:rsidR="0046438B" w:rsidRPr="00402991">
        <w:rPr>
          <w:rFonts w:ascii="Arial" w:eastAsia="Calibri" w:hAnsi="Arial" w:cs="Arial"/>
          <w:b/>
          <w:color w:val="000000" w:themeColor="text1"/>
          <w:lang w:val="es-MX"/>
        </w:rPr>
        <w:t xml:space="preserve">Concepto C </w:t>
      </w:r>
      <w:r>
        <w:rPr>
          <w:rFonts w:ascii="Arial" w:eastAsia="Calibri" w:hAnsi="Arial" w:cs="Arial"/>
          <w:b/>
          <w:color w:val="000000" w:themeColor="text1"/>
          <w:lang w:val="es-MX"/>
        </w:rPr>
        <w:t>–</w:t>
      </w:r>
      <w:r w:rsidR="0046438B" w:rsidRPr="00402991">
        <w:rPr>
          <w:rFonts w:ascii="Arial" w:eastAsia="Calibri" w:hAnsi="Arial" w:cs="Arial"/>
          <w:b/>
          <w:color w:val="000000" w:themeColor="text1"/>
          <w:lang w:val="es-MX"/>
        </w:rPr>
        <w:t xml:space="preserve"> </w:t>
      </w:r>
      <w:r w:rsidR="009F1FE9" w:rsidRPr="00AB168C">
        <w:rPr>
          <w:rFonts w:ascii="Arial" w:hAnsi="Arial" w:cs="Arial"/>
          <w:b/>
          <w:color w:val="000000"/>
          <w:shd w:val="clear" w:color="auto" w:fill="FFFFFF"/>
          <w:lang w:val="es-MX"/>
        </w:rPr>
        <w:t>4</w:t>
      </w:r>
      <w:r w:rsidR="00E363A2">
        <w:rPr>
          <w:rFonts w:ascii="Arial" w:hAnsi="Arial" w:cs="Arial"/>
          <w:b/>
          <w:color w:val="000000"/>
          <w:shd w:val="clear" w:color="auto" w:fill="FFFFFF"/>
          <w:lang w:val="es-MX"/>
        </w:rPr>
        <w:t>24</w:t>
      </w:r>
      <w:r w:rsidR="0046438B" w:rsidRPr="00402991">
        <w:rPr>
          <w:rFonts w:ascii="Arial" w:eastAsia="Calibri" w:hAnsi="Arial" w:cs="Arial"/>
          <w:b/>
          <w:color w:val="000000" w:themeColor="text1"/>
          <w:lang w:val="es-MX"/>
        </w:rPr>
        <w:t xml:space="preserve"> de 202</w:t>
      </w:r>
      <w:r w:rsidR="00402991" w:rsidRPr="00402991">
        <w:rPr>
          <w:rFonts w:ascii="Arial" w:eastAsia="Calibri" w:hAnsi="Arial" w:cs="Arial"/>
          <w:b/>
          <w:color w:val="000000" w:themeColor="text1"/>
          <w:lang w:val="es-MX"/>
        </w:rPr>
        <w:t>1</w:t>
      </w:r>
    </w:p>
    <w:p w14:paraId="2DA546DD" w14:textId="77777777" w:rsidR="0046438B" w:rsidRPr="0046438B" w:rsidRDefault="0046438B" w:rsidP="0046438B">
      <w:pPr>
        <w:spacing w:after="0" w:line="240" w:lineRule="auto"/>
        <w:rPr>
          <w:rFonts w:ascii="Arial" w:eastAsia="Calibri" w:hAnsi="Arial" w:cs="Arial"/>
          <w:color w:val="000000" w:themeColor="text1"/>
          <w:lang w:val="es-MX"/>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6438B" w:rsidRPr="0046438B" w14:paraId="16E695D1" w14:textId="77777777" w:rsidTr="00116440">
        <w:tc>
          <w:tcPr>
            <w:tcW w:w="2689" w:type="dxa"/>
            <w:hideMark/>
          </w:tcPr>
          <w:p w14:paraId="389C5065" w14:textId="77777777" w:rsidR="0046438B" w:rsidRPr="0046438B" w:rsidRDefault="0046438B" w:rsidP="0046438B">
            <w:pPr>
              <w:rPr>
                <w:rFonts w:ascii="Arial" w:eastAsia="Calibri" w:hAnsi="Arial" w:cs="Arial"/>
                <w:color w:val="000000" w:themeColor="text1"/>
                <w:lang w:val="es-MX"/>
              </w:rPr>
            </w:pPr>
            <w:r w:rsidRPr="0046438B">
              <w:rPr>
                <w:rFonts w:ascii="Arial" w:eastAsia="Calibri" w:hAnsi="Arial" w:cs="Arial"/>
                <w:b/>
                <w:color w:val="000000" w:themeColor="text1"/>
                <w:lang w:val="es-MX"/>
              </w:rPr>
              <w:t>Temas:</w:t>
            </w:r>
            <w:r w:rsidRPr="0046438B">
              <w:rPr>
                <w:rFonts w:ascii="Arial" w:eastAsia="Calibri" w:hAnsi="Arial" w:cs="Arial"/>
                <w:color w:val="000000" w:themeColor="text1"/>
                <w:lang w:val="es-MX"/>
              </w:rPr>
              <w:t xml:space="preserve">           </w:t>
            </w:r>
          </w:p>
          <w:p w14:paraId="5FC510CD" w14:textId="77777777" w:rsidR="0046438B" w:rsidRPr="0046438B" w:rsidRDefault="0046438B" w:rsidP="0046438B">
            <w:pPr>
              <w:rPr>
                <w:rFonts w:ascii="Arial" w:eastAsia="Calibri" w:hAnsi="Arial" w:cs="Arial"/>
                <w:color w:val="000000" w:themeColor="text1"/>
                <w:lang w:val="es-MX"/>
              </w:rPr>
            </w:pPr>
            <w:r w:rsidRPr="0046438B">
              <w:rPr>
                <w:rFonts w:ascii="Arial" w:eastAsia="Calibri" w:hAnsi="Arial" w:cs="Arial"/>
                <w:color w:val="000000" w:themeColor="text1"/>
                <w:lang w:val="es-MX"/>
              </w:rPr>
              <w:t xml:space="preserve">                           </w:t>
            </w:r>
          </w:p>
        </w:tc>
        <w:tc>
          <w:tcPr>
            <w:tcW w:w="6237" w:type="dxa"/>
            <w:hideMark/>
          </w:tcPr>
          <w:p w14:paraId="5A500D48" w14:textId="77777777" w:rsidR="009728E9" w:rsidRPr="009728E9" w:rsidRDefault="009728E9" w:rsidP="009728E9">
            <w:pPr>
              <w:spacing w:after="120"/>
              <w:jc w:val="both"/>
              <w:rPr>
                <w:rFonts w:ascii="Arial" w:hAnsi="Arial" w:cs="Arial"/>
                <w:bCs/>
              </w:rPr>
            </w:pPr>
          </w:p>
          <w:p w14:paraId="10F15F6D" w14:textId="2B03ED96" w:rsidR="0046438B" w:rsidRPr="00AB168C" w:rsidRDefault="009728E9" w:rsidP="009728E9">
            <w:pPr>
              <w:spacing w:after="120"/>
              <w:jc w:val="both"/>
              <w:rPr>
                <w:rFonts w:ascii="Arial" w:eastAsia="Calibri" w:hAnsi="Arial" w:cs="Arial"/>
                <w:color w:val="000000" w:themeColor="text1"/>
                <w:highlight w:val="yellow"/>
                <w:lang w:val="es-MX"/>
              </w:rPr>
            </w:pPr>
            <w:r w:rsidRPr="009728E9">
              <w:rPr>
                <w:rFonts w:ascii="Arial" w:hAnsi="Arial" w:cs="Arial"/>
                <w:bCs/>
              </w:rPr>
              <w:t>SUBSANABILIDAD − Ley 1882 de 2018 – Documento tipo – Infraestructura de transporte / CAPACIDAD RESIDUAL – Cálculo – Factores / CAPACIDAD RESIDUAL – Saldos de Contratos en Ejecución «SCE» – Contratos de obra – Contratos suspendidos / CAPACIDAD RESIDUAL –Cálculo y aplicativo – Obligatoriedad / CAPACIDAD RESIDUAL – Contrato reanudado – Contrato Suspendido</w:t>
            </w:r>
          </w:p>
        </w:tc>
      </w:tr>
      <w:tr w:rsidR="0046438B" w:rsidRPr="0046438B" w14:paraId="6A868A54" w14:textId="77777777" w:rsidTr="00116440">
        <w:tc>
          <w:tcPr>
            <w:tcW w:w="2689" w:type="dxa"/>
          </w:tcPr>
          <w:p w14:paraId="270E35C3" w14:textId="77777777" w:rsidR="0046438B" w:rsidRPr="0046438B" w:rsidRDefault="0046438B" w:rsidP="0046438B">
            <w:pPr>
              <w:rPr>
                <w:rFonts w:ascii="Arial" w:eastAsia="Calibri" w:hAnsi="Arial" w:cs="Arial"/>
                <w:b/>
                <w:color w:val="000000" w:themeColor="text1"/>
                <w:lang w:val="es-MX"/>
              </w:rPr>
            </w:pPr>
            <w:r w:rsidRPr="0046438B">
              <w:rPr>
                <w:rFonts w:ascii="Arial" w:eastAsia="Calibri" w:hAnsi="Arial" w:cs="Arial"/>
                <w:b/>
                <w:color w:val="000000" w:themeColor="text1"/>
                <w:lang w:val="es-MX"/>
              </w:rPr>
              <w:t>Radicación:</w:t>
            </w:r>
            <w:r w:rsidRPr="0046438B">
              <w:rPr>
                <w:rFonts w:ascii="Arial" w:eastAsia="Calibri" w:hAnsi="Arial" w:cs="Arial"/>
                <w:color w:val="000000" w:themeColor="text1"/>
                <w:lang w:val="es-MX"/>
              </w:rPr>
              <w:t xml:space="preserve">                              </w:t>
            </w:r>
          </w:p>
        </w:tc>
        <w:tc>
          <w:tcPr>
            <w:tcW w:w="6237" w:type="dxa"/>
          </w:tcPr>
          <w:p w14:paraId="67315493" w14:textId="3EE2C280" w:rsidR="0046438B" w:rsidRPr="0046438B" w:rsidRDefault="0046438B" w:rsidP="0046438B">
            <w:pPr>
              <w:jc w:val="both"/>
              <w:rPr>
                <w:rFonts w:ascii="Arial" w:eastAsia="Calibri" w:hAnsi="Arial" w:cs="Arial"/>
                <w:color w:val="000000" w:themeColor="text1"/>
                <w:lang w:val="es-MX"/>
              </w:rPr>
            </w:pPr>
            <w:r w:rsidRPr="0046438B">
              <w:rPr>
                <w:rFonts w:ascii="Arial" w:eastAsia="Calibri" w:hAnsi="Arial" w:cs="Arial"/>
                <w:color w:val="000000" w:themeColor="text1"/>
                <w:lang w:val="es-MX"/>
              </w:rPr>
              <w:t xml:space="preserve">Respuesta a la consulta # </w:t>
            </w:r>
            <w:r w:rsidR="009728E9" w:rsidRPr="009728E9">
              <w:rPr>
                <w:rFonts w:ascii="Arial" w:eastAsia="Calibri" w:hAnsi="Arial" w:cs="Arial"/>
                <w:color w:val="000000" w:themeColor="text1"/>
                <w:lang w:val="es-MX"/>
              </w:rPr>
              <w:t>P20210817007309</w:t>
            </w:r>
          </w:p>
        </w:tc>
      </w:tr>
    </w:tbl>
    <w:p w14:paraId="4675AD2E" w14:textId="77777777" w:rsidR="0046438B" w:rsidRPr="0046438B" w:rsidRDefault="0046438B" w:rsidP="0046438B">
      <w:pPr>
        <w:spacing w:after="0" w:line="240" w:lineRule="auto"/>
        <w:jc w:val="both"/>
        <w:rPr>
          <w:rFonts w:ascii="Arial" w:eastAsia="Calibri" w:hAnsi="Arial" w:cs="Arial"/>
          <w:color w:val="000000" w:themeColor="text1"/>
          <w:lang w:val="es-MX"/>
        </w:rPr>
      </w:pPr>
    </w:p>
    <w:p w14:paraId="7F2F7AFA" w14:textId="77777777" w:rsidR="008A0F4C" w:rsidRDefault="008A0F4C" w:rsidP="0046438B">
      <w:pPr>
        <w:spacing w:after="0" w:line="240" w:lineRule="auto"/>
        <w:rPr>
          <w:rFonts w:ascii="Arial" w:eastAsia="Calibri" w:hAnsi="Arial" w:cs="Arial"/>
          <w:color w:val="000000" w:themeColor="text1"/>
          <w:lang w:val="es-MX"/>
        </w:rPr>
      </w:pPr>
    </w:p>
    <w:p w14:paraId="2B81906F" w14:textId="3DBA4910" w:rsidR="0046438B" w:rsidRPr="0046438B" w:rsidRDefault="0046438B" w:rsidP="00EB70EC">
      <w:pPr>
        <w:spacing w:after="0" w:line="276" w:lineRule="auto"/>
        <w:rPr>
          <w:rFonts w:ascii="Arial" w:eastAsia="Calibri" w:hAnsi="Arial" w:cs="Arial"/>
          <w:color w:val="000000" w:themeColor="text1"/>
          <w:lang w:val="es-MX"/>
        </w:rPr>
      </w:pPr>
      <w:r w:rsidRPr="0046438B">
        <w:rPr>
          <w:rFonts w:ascii="Arial" w:eastAsia="Calibri" w:hAnsi="Arial" w:cs="Arial"/>
          <w:color w:val="000000" w:themeColor="text1"/>
          <w:lang w:val="es-MX"/>
        </w:rPr>
        <w:t>Estimado señor</w:t>
      </w:r>
      <w:r w:rsidR="00402991">
        <w:rPr>
          <w:rFonts w:ascii="Arial" w:hAnsi="Arial" w:cs="Arial"/>
          <w:lang w:val="es-MX"/>
        </w:rPr>
        <w:t xml:space="preserve"> </w:t>
      </w:r>
      <w:r w:rsidR="009728E9">
        <w:rPr>
          <w:rFonts w:ascii="Arial" w:hAnsi="Arial" w:cs="Arial"/>
          <w:lang w:val="es-MX"/>
        </w:rPr>
        <w:t>Sánchez</w:t>
      </w:r>
      <w:r w:rsidR="008A0F4C">
        <w:rPr>
          <w:rFonts w:ascii="Arial" w:eastAsia="Calibri" w:hAnsi="Arial" w:cs="Arial"/>
          <w:color w:val="000000" w:themeColor="text1"/>
          <w:lang w:val="es-MX"/>
        </w:rPr>
        <w:t>:</w:t>
      </w:r>
    </w:p>
    <w:p w14:paraId="248EBA2F" w14:textId="77777777" w:rsidR="0046438B" w:rsidRPr="0046438B" w:rsidRDefault="0046438B" w:rsidP="00EB70EC">
      <w:pPr>
        <w:spacing w:after="0" w:line="276" w:lineRule="auto"/>
        <w:rPr>
          <w:rFonts w:ascii="Arial" w:eastAsia="Calibri" w:hAnsi="Arial" w:cs="Arial"/>
          <w:color w:val="000000" w:themeColor="text1"/>
          <w:lang w:val="es-MX"/>
        </w:rPr>
      </w:pPr>
    </w:p>
    <w:p w14:paraId="128957F9" w14:textId="2CD8EC70" w:rsidR="0046438B" w:rsidRPr="0046438B" w:rsidRDefault="0046438B" w:rsidP="00EB70EC">
      <w:pPr>
        <w:spacing w:after="0" w:line="276" w:lineRule="auto"/>
        <w:ind w:right="51"/>
        <w:jc w:val="both"/>
        <w:rPr>
          <w:rFonts w:ascii="Arial" w:hAnsi="Arial" w:cs="Arial"/>
          <w:color w:val="000000" w:themeColor="text1"/>
          <w:lang w:val="es-MX"/>
        </w:rPr>
      </w:pPr>
      <w:r w:rsidRPr="0046438B">
        <w:rPr>
          <w:rFonts w:ascii="Arial" w:hAnsi="Arial" w:cs="Arial"/>
          <w:color w:val="000000" w:themeColor="text1"/>
          <w:lang w:val="es-MX"/>
        </w:rPr>
        <w:t xml:space="preserve">En ejercicio de la competencia otorgada por el numeral 8 del artículo 11 y el numeral 5 del artículo 3 del Decreto Ley 4170 de 2011, la Agencia Nacional de Contratación Pública </w:t>
      </w:r>
      <w:r w:rsidR="008A0F4C">
        <w:rPr>
          <w:rFonts w:ascii="Arial" w:hAnsi="Arial" w:cs="Arial"/>
          <w:color w:val="000000" w:themeColor="text1"/>
          <w:lang w:val="es-MX"/>
        </w:rPr>
        <w:t xml:space="preserve">– </w:t>
      </w:r>
      <w:r w:rsidRPr="0046438B">
        <w:rPr>
          <w:rFonts w:ascii="Arial" w:hAnsi="Arial" w:cs="Arial"/>
          <w:color w:val="000000" w:themeColor="text1"/>
          <w:lang w:val="es-MX"/>
        </w:rPr>
        <w:t xml:space="preserve">Colombia Compra Eficiente responde su consulta del </w:t>
      </w:r>
      <w:r w:rsidR="009728E9">
        <w:rPr>
          <w:rFonts w:ascii="Arial" w:hAnsi="Arial" w:cs="Arial"/>
          <w:color w:val="000000" w:themeColor="text1"/>
          <w:lang w:val="es-MX"/>
        </w:rPr>
        <w:t>17</w:t>
      </w:r>
      <w:r w:rsidRPr="0046438B">
        <w:rPr>
          <w:rFonts w:ascii="Arial" w:hAnsi="Arial" w:cs="Arial"/>
          <w:color w:val="000000" w:themeColor="text1"/>
          <w:lang w:val="es-MX"/>
        </w:rPr>
        <w:t xml:space="preserve"> de </w:t>
      </w:r>
      <w:r w:rsidR="009861D5">
        <w:rPr>
          <w:rFonts w:ascii="Arial" w:hAnsi="Arial" w:cs="Arial"/>
          <w:color w:val="000000" w:themeColor="text1"/>
          <w:lang w:val="es-MX"/>
        </w:rPr>
        <w:t>agosto</w:t>
      </w:r>
      <w:r w:rsidRPr="0046438B">
        <w:rPr>
          <w:rFonts w:ascii="Arial" w:hAnsi="Arial" w:cs="Arial"/>
          <w:color w:val="000000" w:themeColor="text1"/>
          <w:lang w:val="es-MX"/>
        </w:rPr>
        <w:t xml:space="preserve"> de</w:t>
      </w:r>
      <w:r w:rsidR="009728E9">
        <w:rPr>
          <w:rFonts w:ascii="Arial" w:hAnsi="Arial" w:cs="Arial"/>
          <w:color w:val="000000" w:themeColor="text1"/>
          <w:lang w:val="es-MX"/>
        </w:rPr>
        <w:t xml:space="preserve">l </w:t>
      </w:r>
      <w:r w:rsidRPr="0046438B">
        <w:rPr>
          <w:rFonts w:ascii="Arial" w:hAnsi="Arial" w:cs="Arial"/>
          <w:color w:val="000000" w:themeColor="text1"/>
          <w:lang w:val="es-MX"/>
        </w:rPr>
        <w:t>202</w:t>
      </w:r>
      <w:r w:rsidR="009861D5">
        <w:rPr>
          <w:rFonts w:ascii="Arial" w:hAnsi="Arial" w:cs="Arial"/>
          <w:color w:val="000000" w:themeColor="text1"/>
          <w:lang w:val="es-MX"/>
        </w:rPr>
        <w:t>1</w:t>
      </w:r>
      <w:r w:rsidRPr="0046438B">
        <w:rPr>
          <w:rFonts w:ascii="Arial" w:hAnsi="Arial" w:cs="Arial"/>
          <w:color w:val="000000" w:themeColor="text1"/>
          <w:lang w:val="es-MX"/>
        </w:rPr>
        <w:t xml:space="preserve">. </w:t>
      </w:r>
    </w:p>
    <w:p w14:paraId="3A009618" w14:textId="77777777" w:rsidR="0046438B" w:rsidRPr="0046438B" w:rsidRDefault="0046438B" w:rsidP="00EB70EC">
      <w:pPr>
        <w:tabs>
          <w:tab w:val="left" w:pos="284"/>
        </w:tabs>
        <w:spacing w:after="0" w:line="276" w:lineRule="auto"/>
        <w:contextualSpacing/>
        <w:jc w:val="both"/>
        <w:rPr>
          <w:rFonts w:ascii="Arial" w:hAnsi="Arial" w:cs="Arial"/>
          <w:color w:val="000000" w:themeColor="text1"/>
          <w:lang w:val="es-MX"/>
        </w:rPr>
      </w:pPr>
    </w:p>
    <w:p w14:paraId="438AD7C2" w14:textId="77777777" w:rsidR="0046438B" w:rsidRPr="0046438B" w:rsidRDefault="0046438B" w:rsidP="0046438B">
      <w:pPr>
        <w:tabs>
          <w:tab w:val="left" w:pos="284"/>
        </w:tabs>
        <w:spacing w:after="0" w:line="240" w:lineRule="auto"/>
        <w:contextualSpacing/>
        <w:jc w:val="both"/>
        <w:rPr>
          <w:rFonts w:ascii="Arial" w:eastAsia="Calibri" w:hAnsi="Arial" w:cs="Arial"/>
          <w:b/>
          <w:color w:val="000000" w:themeColor="text1"/>
          <w:lang w:val="es-MX"/>
        </w:rPr>
      </w:pPr>
      <w:r w:rsidRPr="0046438B">
        <w:rPr>
          <w:rFonts w:ascii="Arial" w:eastAsia="Calibri" w:hAnsi="Arial" w:cs="Arial"/>
          <w:b/>
          <w:color w:val="000000" w:themeColor="text1"/>
          <w:lang w:val="es-MX"/>
        </w:rPr>
        <w:t>1.</w:t>
      </w:r>
      <w:r w:rsidRPr="0046438B">
        <w:rPr>
          <w:rFonts w:ascii="Arial" w:eastAsia="Calibri" w:hAnsi="Arial" w:cs="Arial"/>
          <w:color w:val="000000" w:themeColor="text1"/>
          <w:lang w:val="es-MX"/>
        </w:rPr>
        <w:t xml:space="preserve"> </w:t>
      </w:r>
      <w:r w:rsidRPr="0046438B">
        <w:rPr>
          <w:rFonts w:ascii="Arial" w:eastAsia="Calibri" w:hAnsi="Arial" w:cs="Arial"/>
          <w:b/>
          <w:color w:val="000000" w:themeColor="text1"/>
          <w:lang w:val="es-MX"/>
        </w:rPr>
        <w:t xml:space="preserve">Problemas planteados </w:t>
      </w:r>
    </w:p>
    <w:p w14:paraId="35BD9712" w14:textId="188820B6" w:rsidR="00832C62" w:rsidRDefault="00832C62" w:rsidP="00FC2E63">
      <w:pPr>
        <w:spacing w:after="0" w:line="276" w:lineRule="auto"/>
        <w:jc w:val="both"/>
        <w:rPr>
          <w:rFonts w:ascii="Arial" w:hAnsi="Arial" w:cs="Arial"/>
          <w:b/>
        </w:rPr>
      </w:pPr>
    </w:p>
    <w:p w14:paraId="1CF048C1" w14:textId="16D43B87" w:rsidR="00123371" w:rsidRDefault="000B7523" w:rsidP="00AB168C">
      <w:pPr>
        <w:spacing w:after="0" w:line="276" w:lineRule="auto"/>
        <w:jc w:val="both"/>
        <w:rPr>
          <w:rFonts w:ascii="Arial" w:hAnsi="Arial" w:cs="Arial"/>
          <w:color w:val="000000" w:themeColor="text1"/>
          <w:lang w:val="es-ES_tradnl"/>
        </w:rPr>
      </w:pPr>
      <w:r w:rsidRPr="00D9015D">
        <w:rPr>
          <w:rFonts w:ascii="Arial" w:hAnsi="Arial" w:cs="Arial"/>
          <w:color w:val="000000" w:themeColor="text1"/>
          <w:lang w:val="es-ES_tradnl"/>
        </w:rPr>
        <w:t>Usted formula las siguientes preguntas</w:t>
      </w:r>
      <w:r w:rsidR="00F24B67">
        <w:rPr>
          <w:rFonts w:ascii="Arial" w:hAnsi="Arial" w:cs="Arial"/>
          <w:color w:val="000000" w:themeColor="text1"/>
          <w:lang w:val="es-ES_tradnl"/>
        </w:rPr>
        <w:t>:</w:t>
      </w:r>
    </w:p>
    <w:p w14:paraId="54E2C529" w14:textId="50F9DF17" w:rsidR="000B7523" w:rsidRPr="00D9015D" w:rsidRDefault="00F24B67" w:rsidP="00AB168C">
      <w:pPr>
        <w:spacing w:after="0" w:line="276" w:lineRule="auto"/>
        <w:jc w:val="both"/>
        <w:rPr>
          <w:rFonts w:ascii="Arial" w:hAnsi="Arial" w:cs="Arial"/>
          <w:color w:val="000000" w:themeColor="text1"/>
          <w:lang w:val="es-ES_tradnl"/>
        </w:rPr>
      </w:pPr>
      <w:r>
        <w:rPr>
          <w:rFonts w:ascii="Arial" w:hAnsi="Arial" w:cs="Arial"/>
          <w:color w:val="000000" w:themeColor="text1"/>
          <w:lang w:val="es-ES_tradnl"/>
        </w:rPr>
        <w:t xml:space="preserve"> </w:t>
      </w:r>
    </w:p>
    <w:p w14:paraId="6D49AD89" w14:textId="4F54070A" w:rsidR="00187C06" w:rsidRPr="00187C06" w:rsidRDefault="00187C06" w:rsidP="00187C06">
      <w:pPr>
        <w:spacing w:after="0" w:line="240" w:lineRule="auto"/>
        <w:ind w:left="709" w:right="709"/>
        <w:jc w:val="both"/>
        <w:rPr>
          <w:rFonts w:ascii="Arial" w:hAnsi="Arial" w:cs="Arial"/>
          <w:bCs/>
          <w:sz w:val="21"/>
          <w:szCs w:val="21"/>
          <w:lang w:eastAsia="es-CO"/>
        </w:rPr>
      </w:pPr>
      <w:r>
        <w:rPr>
          <w:rFonts w:ascii="Arial" w:hAnsi="Arial" w:cs="Arial"/>
          <w:bCs/>
          <w:sz w:val="21"/>
          <w:szCs w:val="21"/>
          <w:lang w:val="es-ES" w:eastAsia="es-CO"/>
        </w:rPr>
        <w:t xml:space="preserve">[…] </w:t>
      </w:r>
      <w:r w:rsidRPr="00187C06">
        <w:rPr>
          <w:rFonts w:ascii="Arial" w:hAnsi="Arial" w:cs="Arial"/>
          <w:bCs/>
          <w:sz w:val="21"/>
          <w:szCs w:val="21"/>
          <w:lang w:val="es-ES" w:eastAsia="es-CO"/>
        </w:rPr>
        <w:t>en diferentes procesos donde se ha aplicado pliegos tipo de infraestructura de transporte o saneamiento básico:</w:t>
      </w:r>
    </w:p>
    <w:p w14:paraId="3E9362EC" w14:textId="659EE691" w:rsidR="00187C06" w:rsidRDefault="00187C06" w:rsidP="00187C06">
      <w:pPr>
        <w:spacing w:after="0" w:line="240" w:lineRule="auto"/>
        <w:ind w:left="709" w:right="709"/>
        <w:jc w:val="both"/>
        <w:rPr>
          <w:rFonts w:ascii="Arial" w:hAnsi="Arial" w:cs="Arial"/>
          <w:bCs/>
          <w:sz w:val="21"/>
          <w:szCs w:val="21"/>
          <w:lang w:val="es-ES" w:eastAsia="es-CO"/>
        </w:rPr>
      </w:pPr>
      <w:r w:rsidRPr="00187C06">
        <w:rPr>
          <w:rFonts w:ascii="Arial" w:hAnsi="Arial" w:cs="Arial"/>
          <w:bCs/>
          <w:sz w:val="21"/>
          <w:szCs w:val="21"/>
          <w:lang w:val="es-ES" w:eastAsia="es-CO"/>
        </w:rPr>
        <w:t xml:space="preserve"> 1.     El periodo de traslado al informe de evaluación y etapa de subsanación es de cinco días hábiles contados partir del quinto día hábil siguiente de la publicación del informe. </w:t>
      </w:r>
      <w:proofErr w:type="gramStart"/>
      <w:r w:rsidRPr="00187C06">
        <w:rPr>
          <w:rFonts w:ascii="Arial" w:hAnsi="Arial" w:cs="Arial"/>
          <w:bCs/>
          <w:sz w:val="21"/>
          <w:szCs w:val="21"/>
          <w:lang w:val="es-ES" w:eastAsia="es-CO"/>
        </w:rPr>
        <w:t>Las entidades pueden establecer que ese quinto día hábil termina antes de las 11:59 pm?</w:t>
      </w:r>
      <w:proofErr w:type="gramEnd"/>
      <w:r w:rsidRPr="00187C06">
        <w:rPr>
          <w:rFonts w:ascii="Arial" w:hAnsi="Arial" w:cs="Arial"/>
          <w:bCs/>
          <w:sz w:val="21"/>
          <w:szCs w:val="21"/>
          <w:lang w:val="es-ES" w:eastAsia="es-CO"/>
        </w:rPr>
        <w:t xml:space="preserve"> </w:t>
      </w:r>
      <w:proofErr w:type="gramStart"/>
      <w:r w:rsidRPr="00187C06">
        <w:rPr>
          <w:rFonts w:ascii="Arial" w:hAnsi="Arial" w:cs="Arial"/>
          <w:bCs/>
          <w:sz w:val="21"/>
          <w:szCs w:val="21"/>
          <w:lang w:val="es-ES" w:eastAsia="es-CO"/>
        </w:rPr>
        <w:t xml:space="preserve">A modo de ejemplo, puede una entidad decir que la subsanación en procesos de </w:t>
      </w:r>
      <w:proofErr w:type="spellStart"/>
      <w:r w:rsidRPr="00187C06">
        <w:rPr>
          <w:rFonts w:ascii="Arial" w:hAnsi="Arial" w:cs="Arial"/>
          <w:bCs/>
          <w:sz w:val="21"/>
          <w:szCs w:val="21"/>
          <w:lang w:val="es-ES" w:eastAsia="es-CO"/>
        </w:rPr>
        <w:t>secop</w:t>
      </w:r>
      <w:proofErr w:type="spellEnd"/>
      <w:r w:rsidRPr="00187C06">
        <w:rPr>
          <w:rFonts w:ascii="Arial" w:hAnsi="Arial" w:cs="Arial"/>
          <w:bCs/>
          <w:sz w:val="21"/>
          <w:szCs w:val="21"/>
          <w:lang w:val="es-ES" w:eastAsia="es-CO"/>
        </w:rPr>
        <w:t xml:space="preserve"> 2 es hasta el día 17 de agosto a las 19:00 horas, suponiendo que el informe se </w:t>
      </w:r>
      <w:proofErr w:type="spellStart"/>
      <w:r w:rsidRPr="00187C06">
        <w:rPr>
          <w:rFonts w:ascii="Arial" w:hAnsi="Arial" w:cs="Arial"/>
          <w:bCs/>
          <w:sz w:val="21"/>
          <w:szCs w:val="21"/>
          <w:lang w:val="es-ES" w:eastAsia="es-CO"/>
        </w:rPr>
        <w:t>publico</w:t>
      </w:r>
      <w:proofErr w:type="spellEnd"/>
      <w:r w:rsidRPr="00187C06">
        <w:rPr>
          <w:rFonts w:ascii="Arial" w:hAnsi="Arial" w:cs="Arial"/>
          <w:bCs/>
          <w:sz w:val="21"/>
          <w:szCs w:val="21"/>
          <w:lang w:val="es-ES" w:eastAsia="es-CO"/>
        </w:rPr>
        <w:t xml:space="preserve"> el día lunes 9 de agosto?</w:t>
      </w:r>
      <w:proofErr w:type="gramEnd"/>
      <w:r w:rsidRPr="00187C06">
        <w:rPr>
          <w:rFonts w:ascii="Arial" w:hAnsi="Arial" w:cs="Arial"/>
          <w:bCs/>
          <w:sz w:val="21"/>
          <w:szCs w:val="21"/>
          <w:lang w:val="es-ES" w:eastAsia="es-CO"/>
        </w:rPr>
        <w:t xml:space="preserve"> </w:t>
      </w:r>
    </w:p>
    <w:p w14:paraId="1C004403" w14:textId="77777777" w:rsidR="00187C06" w:rsidRPr="00187C06" w:rsidRDefault="00187C06" w:rsidP="00187C06">
      <w:pPr>
        <w:spacing w:after="0" w:line="240" w:lineRule="auto"/>
        <w:ind w:left="709" w:right="709"/>
        <w:jc w:val="both"/>
        <w:rPr>
          <w:rFonts w:ascii="Arial" w:hAnsi="Arial" w:cs="Arial"/>
          <w:bCs/>
          <w:sz w:val="21"/>
          <w:szCs w:val="21"/>
          <w:lang w:eastAsia="es-CO"/>
        </w:rPr>
      </w:pPr>
    </w:p>
    <w:p w14:paraId="3746BED8" w14:textId="513DD9D1" w:rsidR="00187C06" w:rsidRDefault="00187C06" w:rsidP="00187C06">
      <w:pPr>
        <w:spacing w:after="0" w:line="240" w:lineRule="auto"/>
        <w:ind w:left="709" w:right="709"/>
        <w:jc w:val="both"/>
        <w:rPr>
          <w:rFonts w:ascii="Arial" w:hAnsi="Arial" w:cs="Arial"/>
          <w:bCs/>
          <w:sz w:val="21"/>
          <w:szCs w:val="21"/>
          <w:lang w:val="es-ES" w:eastAsia="es-CO"/>
        </w:rPr>
      </w:pPr>
      <w:r w:rsidRPr="00187C06">
        <w:rPr>
          <w:rFonts w:ascii="Arial" w:hAnsi="Arial" w:cs="Arial"/>
          <w:bCs/>
          <w:sz w:val="21"/>
          <w:szCs w:val="21"/>
          <w:lang w:val="es-ES" w:eastAsia="es-CO"/>
        </w:rPr>
        <w:t xml:space="preserve">2. Las entidades puede contar este periodo de forma diferente acorde a lo establecido en la ley 1150 de 2007. Por </w:t>
      </w:r>
      <w:proofErr w:type="gramStart"/>
      <w:r w:rsidRPr="00187C06">
        <w:rPr>
          <w:rFonts w:ascii="Arial" w:hAnsi="Arial" w:cs="Arial"/>
          <w:bCs/>
          <w:sz w:val="21"/>
          <w:szCs w:val="21"/>
          <w:lang w:val="es-ES" w:eastAsia="es-CO"/>
        </w:rPr>
        <w:t>ejemplo</w:t>
      </w:r>
      <w:proofErr w:type="gramEnd"/>
      <w:r w:rsidRPr="00187C06">
        <w:rPr>
          <w:rFonts w:ascii="Arial" w:hAnsi="Arial" w:cs="Arial"/>
          <w:bCs/>
          <w:sz w:val="21"/>
          <w:szCs w:val="21"/>
          <w:lang w:val="es-ES" w:eastAsia="es-CO"/>
        </w:rPr>
        <w:t xml:space="preserve"> no contar los cinco días hábiles a partir del día siguiente, si no contarlo a partir de la publicación del informe?</w:t>
      </w:r>
    </w:p>
    <w:p w14:paraId="4CD9FFA4" w14:textId="77777777" w:rsidR="00187C06" w:rsidRPr="00187C06" w:rsidRDefault="00187C06" w:rsidP="00187C06">
      <w:pPr>
        <w:spacing w:after="0" w:line="240" w:lineRule="auto"/>
        <w:ind w:left="709" w:right="709"/>
        <w:jc w:val="both"/>
        <w:rPr>
          <w:rFonts w:ascii="Arial" w:hAnsi="Arial" w:cs="Arial"/>
          <w:bCs/>
          <w:sz w:val="21"/>
          <w:szCs w:val="21"/>
          <w:lang w:eastAsia="es-CO"/>
        </w:rPr>
      </w:pPr>
    </w:p>
    <w:p w14:paraId="30142668" w14:textId="623112D0" w:rsidR="00187C06" w:rsidRPr="00187C06" w:rsidRDefault="00187C06" w:rsidP="00187C06">
      <w:pPr>
        <w:spacing w:after="0" w:line="240" w:lineRule="auto"/>
        <w:ind w:left="709" w:right="709"/>
        <w:jc w:val="both"/>
        <w:rPr>
          <w:rFonts w:ascii="Arial" w:hAnsi="Arial" w:cs="Arial"/>
          <w:bCs/>
          <w:sz w:val="21"/>
          <w:szCs w:val="21"/>
          <w:lang w:eastAsia="es-CO"/>
        </w:rPr>
      </w:pPr>
      <w:r w:rsidRPr="00187C06">
        <w:rPr>
          <w:rFonts w:ascii="Arial" w:hAnsi="Arial" w:cs="Arial"/>
          <w:bCs/>
          <w:sz w:val="21"/>
          <w:szCs w:val="21"/>
          <w:lang w:val="es-ES" w:eastAsia="es-CO"/>
        </w:rPr>
        <w:lastRenderedPageBreak/>
        <w:t xml:space="preserve">Para el </w:t>
      </w:r>
      <w:proofErr w:type="spellStart"/>
      <w:r w:rsidRPr="00187C06">
        <w:rPr>
          <w:rFonts w:ascii="Arial" w:hAnsi="Arial" w:cs="Arial"/>
          <w:bCs/>
          <w:sz w:val="21"/>
          <w:szCs w:val="21"/>
          <w:lang w:val="es-ES" w:eastAsia="es-CO"/>
        </w:rPr>
        <w:t>calculo</w:t>
      </w:r>
      <w:proofErr w:type="spellEnd"/>
      <w:r w:rsidRPr="00187C06">
        <w:rPr>
          <w:rFonts w:ascii="Arial" w:hAnsi="Arial" w:cs="Arial"/>
          <w:bCs/>
          <w:sz w:val="21"/>
          <w:szCs w:val="21"/>
          <w:lang w:val="es-ES" w:eastAsia="es-CO"/>
        </w:rPr>
        <w:t xml:space="preserve"> de la capacidad residual tentemos las siguientes preguntas: </w:t>
      </w:r>
    </w:p>
    <w:p w14:paraId="101237A1" w14:textId="0FABA668" w:rsidR="00187C06" w:rsidRDefault="00187C06" w:rsidP="00187C06">
      <w:pPr>
        <w:spacing w:after="0" w:line="240" w:lineRule="auto"/>
        <w:ind w:left="709" w:right="709"/>
        <w:jc w:val="both"/>
        <w:rPr>
          <w:rFonts w:ascii="Arial" w:hAnsi="Arial" w:cs="Arial"/>
          <w:bCs/>
          <w:sz w:val="21"/>
          <w:szCs w:val="21"/>
          <w:lang w:val="es-ES" w:eastAsia="es-CO"/>
        </w:rPr>
      </w:pPr>
      <w:r w:rsidRPr="00187C06">
        <w:rPr>
          <w:rFonts w:ascii="Arial" w:hAnsi="Arial" w:cs="Arial"/>
          <w:bCs/>
          <w:sz w:val="21"/>
          <w:szCs w:val="21"/>
          <w:lang w:val="es-ES" w:eastAsia="es-CO"/>
        </w:rPr>
        <w:t xml:space="preserve">1. Las entidades están en la obligación de publicar siempre formatos para el </w:t>
      </w:r>
      <w:proofErr w:type="spellStart"/>
      <w:r w:rsidRPr="00187C06">
        <w:rPr>
          <w:rFonts w:ascii="Arial" w:hAnsi="Arial" w:cs="Arial"/>
          <w:bCs/>
          <w:sz w:val="21"/>
          <w:szCs w:val="21"/>
          <w:lang w:val="es-ES" w:eastAsia="es-CO"/>
        </w:rPr>
        <w:t>calculo</w:t>
      </w:r>
      <w:proofErr w:type="spellEnd"/>
      <w:r w:rsidRPr="00187C06">
        <w:rPr>
          <w:rFonts w:ascii="Arial" w:hAnsi="Arial" w:cs="Arial"/>
          <w:bCs/>
          <w:sz w:val="21"/>
          <w:szCs w:val="21"/>
          <w:lang w:val="es-ES" w:eastAsia="es-CO"/>
        </w:rPr>
        <w:t xml:space="preserve"> de la capacidad residual? </w:t>
      </w:r>
    </w:p>
    <w:p w14:paraId="471BAC63" w14:textId="77777777" w:rsidR="00187C06" w:rsidRPr="00187C06" w:rsidRDefault="00187C06" w:rsidP="00187C06">
      <w:pPr>
        <w:spacing w:after="0" w:line="240" w:lineRule="auto"/>
        <w:ind w:left="709" w:right="709"/>
        <w:jc w:val="both"/>
        <w:rPr>
          <w:rFonts w:ascii="Arial" w:hAnsi="Arial" w:cs="Arial"/>
          <w:bCs/>
          <w:sz w:val="21"/>
          <w:szCs w:val="21"/>
          <w:lang w:val="es-ES" w:eastAsia="es-CO"/>
        </w:rPr>
      </w:pPr>
    </w:p>
    <w:p w14:paraId="25ECD8C8" w14:textId="0BB12C2F" w:rsidR="00187C06" w:rsidRDefault="00187C06" w:rsidP="00187C06">
      <w:pPr>
        <w:spacing w:after="0" w:line="240" w:lineRule="auto"/>
        <w:ind w:left="709" w:right="709"/>
        <w:jc w:val="both"/>
        <w:rPr>
          <w:rFonts w:ascii="Arial" w:hAnsi="Arial" w:cs="Arial"/>
          <w:bCs/>
          <w:sz w:val="21"/>
          <w:szCs w:val="21"/>
          <w:lang w:val="es-ES" w:eastAsia="es-CO"/>
        </w:rPr>
      </w:pPr>
      <w:r w:rsidRPr="00187C06">
        <w:rPr>
          <w:rFonts w:ascii="Arial" w:hAnsi="Arial" w:cs="Arial"/>
          <w:bCs/>
          <w:sz w:val="21"/>
          <w:szCs w:val="21"/>
          <w:lang w:val="es-ES" w:eastAsia="es-CO"/>
        </w:rPr>
        <w:t xml:space="preserve">2. El aplicativo de CCE para el </w:t>
      </w:r>
      <w:proofErr w:type="spellStart"/>
      <w:r w:rsidRPr="00187C06">
        <w:rPr>
          <w:rFonts w:ascii="Arial" w:hAnsi="Arial" w:cs="Arial"/>
          <w:bCs/>
          <w:sz w:val="21"/>
          <w:szCs w:val="21"/>
          <w:lang w:val="es-ES" w:eastAsia="es-CO"/>
        </w:rPr>
        <w:t>calculo</w:t>
      </w:r>
      <w:proofErr w:type="spellEnd"/>
      <w:r w:rsidRPr="00187C06">
        <w:rPr>
          <w:rFonts w:ascii="Arial" w:hAnsi="Arial" w:cs="Arial"/>
          <w:bCs/>
          <w:sz w:val="21"/>
          <w:szCs w:val="21"/>
          <w:lang w:val="es-ES" w:eastAsia="es-CO"/>
        </w:rPr>
        <w:t xml:space="preserve"> de la capacidad residual es de obligatorio uso por parte de las entidades? </w:t>
      </w:r>
    </w:p>
    <w:p w14:paraId="26F8AEDD" w14:textId="77777777" w:rsidR="00187C06" w:rsidRPr="00187C06" w:rsidRDefault="00187C06" w:rsidP="00187C06">
      <w:pPr>
        <w:spacing w:after="0" w:line="240" w:lineRule="auto"/>
        <w:ind w:left="709" w:right="709"/>
        <w:jc w:val="both"/>
        <w:rPr>
          <w:rFonts w:ascii="Arial" w:hAnsi="Arial" w:cs="Arial"/>
          <w:bCs/>
          <w:sz w:val="21"/>
          <w:szCs w:val="21"/>
          <w:lang w:val="es-ES" w:eastAsia="es-CO"/>
        </w:rPr>
      </w:pPr>
    </w:p>
    <w:p w14:paraId="0A453A77" w14:textId="2D591912" w:rsidR="00187C06" w:rsidRDefault="00187C06" w:rsidP="00187C06">
      <w:pPr>
        <w:spacing w:after="0" w:line="240" w:lineRule="auto"/>
        <w:ind w:left="709" w:right="709"/>
        <w:jc w:val="both"/>
        <w:rPr>
          <w:rFonts w:ascii="Arial" w:hAnsi="Arial" w:cs="Arial"/>
          <w:bCs/>
          <w:sz w:val="21"/>
          <w:szCs w:val="21"/>
          <w:lang w:val="es-ES" w:eastAsia="es-CO"/>
        </w:rPr>
      </w:pPr>
      <w:r w:rsidRPr="00187C06">
        <w:rPr>
          <w:rFonts w:ascii="Arial" w:hAnsi="Arial" w:cs="Arial"/>
          <w:bCs/>
          <w:sz w:val="21"/>
          <w:szCs w:val="21"/>
          <w:lang w:val="es-ES" w:eastAsia="es-CO"/>
        </w:rPr>
        <w:t xml:space="preserve">3.  El pliego de condiciones establece que para contratos suspendidos se calculara acorde al valor pendiente por ejecutar al momento de la suspensión, sin </w:t>
      </w:r>
      <w:proofErr w:type="gramStart"/>
      <w:r w:rsidRPr="00187C06">
        <w:rPr>
          <w:rFonts w:ascii="Arial" w:hAnsi="Arial" w:cs="Arial"/>
          <w:bCs/>
          <w:sz w:val="21"/>
          <w:szCs w:val="21"/>
          <w:lang w:val="es-ES" w:eastAsia="es-CO"/>
        </w:rPr>
        <w:t>embargo</w:t>
      </w:r>
      <w:proofErr w:type="gramEnd"/>
      <w:r w:rsidRPr="00187C06">
        <w:rPr>
          <w:rFonts w:ascii="Arial" w:hAnsi="Arial" w:cs="Arial"/>
          <w:bCs/>
          <w:sz w:val="21"/>
          <w:szCs w:val="21"/>
          <w:lang w:val="es-ES" w:eastAsia="es-CO"/>
        </w:rPr>
        <w:t xml:space="preserve"> el aplicativo de CCE no contemplan esta situación para contrato suspendidos. </w:t>
      </w:r>
      <w:proofErr w:type="gramStart"/>
      <w:r w:rsidRPr="00187C06">
        <w:rPr>
          <w:rFonts w:ascii="Arial" w:hAnsi="Arial" w:cs="Arial"/>
          <w:bCs/>
          <w:sz w:val="21"/>
          <w:szCs w:val="21"/>
          <w:lang w:val="es-ES" w:eastAsia="es-CO"/>
        </w:rPr>
        <w:t>Como debe proceder la entidad ante esta situación?</w:t>
      </w:r>
      <w:proofErr w:type="gramEnd"/>
      <w:r w:rsidRPr="00187C06">
        <w:rPr>
          <w:rFonts w:ascii="Arial" w:hAnsi="Arial" w:cs="Arial"/>
          <w:bCs/>
          <w:sz w:val="21"/>
          <w:szCs w:val="21"/>
          <w:lang w:val="es-ES" w:eastAsia="es-CO"/>
        </w:rPr>
        <w:t xml:space="preserve"> </w:t>
      </w:r>
    </w:p>
    <w:p w14:paraId="4E2397A3" w14:textId="77777777" w:rsidR="00187C06" w:rsidRPr="00187C06" w:rsidRDefault="00187C06" w:rsidP="00187C06">
      <w:pPr>
        <w:spacing w:after="0" w:line="240" w:lineRule="auto"/>
        <w:ind w:left="709" w:right="709"/>
        <w:jc w:val="both"/>
        <w:rPr>
          <w:rFonts w:ascii="Arial" w:hAnsi="Arial" w:cs="Arial"/>
          <w:bCs/>
          <w:sz w:val="21"/>
          <w:szCs w:val="21"/>
          <w:lang w:val="es-ES" w:eastAsia="es-CO"/>
        </w:rPr>
      </w:pPr>
    </w:p>
    <w:p w14:paraId="1CE0977D" w14:textId="467D28B9" w:rsidR="00187C06" w:rsidRDefault="00187C06" w:rsidP="00187C06">
      <w:pPr>
        <w:spacing w:after="0" w:line="240" w:lineRule="auto"/>
        <w:ind w:left="709" w:right="709"/>
        <w:jc w:val="both"/>
        <w:rPr>
          <w:rFonts w:ascii="Arial" w:hAnsi="Arial" w:cs="Arial"/>
          <w:bCs/>
          <w:sz w:val="21"/>
          <w:szCs w:val="21"/>
          <w:lang w:val="es-ES" w:eastAsia="es-CO"/>
        </w:rPr>
      </w:pPr>
      <w:r w:rsidRPr="00187C06">
        <w:rPr>
          <w:rFonts w:ascii="Arial" w:hAnsi="Arial" w:cs="Arial"/>
          <w:bCs/>
          <w:sz w:val="21"/>
          <w:szCs w:val="21"/>
          <w:lang w:val="es-ES" w:eastAsia="es-CO"/>
        </w:rPr>
        <w:t xml:space="preserve">4. Como debe proceder la entidad ante contratos que tuvieron una suspensión y ya fueron reiniciados? </w:t>
      </w:r>
    </w:p>
    <w:p w14:paraId="4A90193F" w14:textId="77777777" w:rsidR="00187C06" w:rsidRPr="00187C06" w:rsidRDefault="00187C06" w:rsidP="00187C06">
      <w:pPr>
        <w:spacing w:after="0" w:line="240" w:lineRule="auto"/>
        <w:ind w:left="709" w:right="709"/>
        <w:jc w:val="both"/>
        <w:rPr>
          <w:rFonts w:ascii="Arial" w:hAnsi="Arial" w:cs="Arial"/>
          <w:bCs/>
          <w:sz w:val="21"/>
          <w:szCs w:val="21"/>
          <w:lang w:val="es-ES" w:eastAsia="es-CO"/>
        </w:rPr>
      </w:pPr>
    </w:p>
    <w:p w14:paraId="6F2048FC" w14:textId="77777777" w:rsidR="00187C06" w:rsidRPr="00187C06" w:rsidRDefault="00187C06" w:rsidP="00187C06">
      <w:pPr>
        <w:spacing w:after="0" w:line="240" w:lineRule="auto"/>
        <w:ind w:left="709" w:right="709"/>
        <w:jc w:val="both"/>
        <w:rPr>
          <w:rFonts w:ascii="Arial" w:hAnsi="Arial" w:cs="Arial"/>
          <w:bCs/>
          <w:sz w:val="21"/>
          <w:szCs w:val="21"/>
          <w:lang w:eastAsia="es-CO"/>
        </w:rPr>
      </w:pPr>
      <w:r w:rsidRPr="00187C06">
        <w:rPr>
          <w:rFonts w:ascii="Arial" w:hAnsi="Arial" w:cs="Arial"/>
          <w:bCs/>
          <w:sz w:val="21"/>
          <w:szCs w:val="21"/>
          <w:lang w:val="es-ES" w:eastAsia="es-CO"/>
        </w:rPr>
        <w:t xml:space="preserve">5.  Como debe proceder la entidad en contratos que tuvieron múltiples suspensiones durante su ejecución? </w:t>
      </w:r>
    </w:p>
    <w:p w14:paraId="0476D778" w14:textId="77777777" w:rsidR="00530E41" w:rsidRPr="00AB168C" w:rsidRDefault="00530E41" w:rsidP="00366B5B">
      <w:pPr>
        <w:spacing w:after="0" w:line="240" w:lineRule="auto"/>
        <w:ind w:left="709" w:right="709"/>
        <w:jc w:val="both"/>
        <w:rPr>
          <w:rFonts w:ascii="Arial" w:hAnsi="Arial" w:cs="Arial"/>
          <w:bCs/>
          <w:sz w:val="21"/>
          <w:szCs w:val="21"/>
        </w:rPr>
      </w:pPr>
    </w:p>
    <w:p w14:paraId="441109D3" w14:textId="09936376" w:rsidR="00530E41" w:rsidRPr="00AB168C" w:rsidRDefault="00530E41" w:rsidP="003820D9">
      <w:pPr>
        <w:spacing w:after="0"/>
        <w:jc w:val="both"/>
        <w:rPr>
          <w:rFonts w:ascii="Arial" w:eastAsia="Calibri" w:hAnsi="Arial" w:cs="Arial"/>
          <w:b/>
          <w:bCs/>
        </w:rPr>
      </w:pPr>
      <w:r w:rsidRPr="00AB168C">
        <w:rPr>
          <w:rFonts w:ascii="Arial" w:eastAsia="Calibri" w:hAnsi="Arial" w:cs="Arial"/>
          <w:b/>
          <w:bCs/>
        </w:rPr>
        <w:t xml:space="preserve">2. Consideraciones </w:t>
      </w:r>
    </w:p>
    <w:p w14:paraId="2AC707E6" w14:textId="77777777" w:rsidR="00530E41" w:rsidRDefault="00530E41" w:rsidP="003820D9">
      <w:pPr>
        <w:spacing w:after="0"/>
        <w:jc w:val="both"/>
        <w:rPr>
          <w:rFonts w:ascii="Arial" w:eastAsia="Calibri" w:hAnsi="Arial" w:cs="Arial"/>
        </w:rPr>
      </w:pPr>
    </w:p>
    <w:p w14:paraId="178B5ADA" w14:textId="51B5692C" w:rsidR="00CD1FC7" w:rsidRPr="00EE7AB2" w:rsidRDefault="00CD1FC7" w:rsidP="00B6383D">
      <w:pPr>
        <w:spacing w:line="276" w:lineRule="auto"/>
        <w:jc w:val="both"/>
        <w:rPr>
          <w:rFonts w:ascii="Arial" w:hAnsi="Arial" w:cs="Arial"/>
          <w:noProof/>
          <w:lang w:val="es-ES_tradnl"/>
        </w:rPr>
      </w:pPr>
      <w:r w:rsidRPr="00B6383D">
        <w:rPr>
          <w:rFonts w:ascii="Arial" w:hAnsi="Arial" w:cs="Arial"/>
          <w:noProof/>
          <w:lang w:val="es-ES_tradnl"/>
        </w:rPr>
        <w:t>Para resolver la presente consulta se analizarán los siguientes temas: i)</w:t>
      </w:r>
      <w:r w:rsidRPr="00B6383D">
        <w:rPr>
          <w:rFonts w:ascii="Arial" w:hAnsi="Arial" w:cs="Arial"/>
          <w:b/>
        </w:rPr>
        <w:t xml:space="preserve"> </w:t>
      </w:r>
      <w:r w:rsidR="008A0F4C">
        <w:rPr>
          <w:rFonts w:ascii="Arial" w:hAnsi="Arial" w:cs="Arial"/>
          <w:bCs/>
        </w:rPr>
        <w:t>l</w:t>
      </w:r>
      <w:r w:rsidR="001265D8" w:rsidRPr="00AB168C">
        <w:rPr>
          <w:rFonts w:ascii="Arial" w:hAnsi="Arial" w:cs="Arial"/>
          <w:bCs/>
        </w:rPr>
        <w:t>a subsanabilidad de las ofertas en los procesos de selección después de la ley 1882 de 2018</w:t>
      </w:r>
      <w:r w:rsidRPr="00B6383D">
        <w:rPr>
          <w:rFonts w:ascii="Arial" w:hAnsi="Arial" w:cs="Arial"/>
          <w:color w:val="000000"/>
          <w:lang w:val="es-ES_tradnl"/>
        </w:rPr>
        <w:t>,</w:t>
      </w:r>
      <w:r w:rsidRPr="00B6383D">
        <w:rPr>
          <w:rFonts w:ascii="Arial" w:hAnsi="Arial" w:cs="Arial"/>
          <w:b/>
          <w:bCs/>
          <w:color w:val="000000"/>
          <w:lang w:val="es-ES_tradnl"/>
        </w:rPr>
        <w:t xml:space="preserve"> </w:t>
      </w:r>
      <w:r w:rsidRPr="00B6383D">
        <w:rPr>
          <w:rFonts w:ascii="Arial" w:hAnsi="Arial" w:cs="Arial"/>
          <w:noProof/>
          <w:lang w:val="es-ES_tradnl"/>
        </w:rPr>
        <w:t>ii)</w:t>
      </w:r>
      <w:r w:rsidR="00A14154" w:rsidRPr="00B6383D">
        <w:rPr>
          <w:rFonts w:ascii="Arial" w:eastAsia="Arial" w:hAnsi="Arial" w:cs="Arial"/>
          <w:b/>
          <w:bCs/>
          <w:lang w:val="es-ES_tradnl"/>
        </w:rPr>
        <w:t xml:space="preserve"> </w:t>
      </w:r>
      <w:r w:rsidR="008A0F4C">
        <w:rPr>
          <w:rFonts w:ascii="Arial" w:eastAsia="Arial" w:hAnsi="Arial" w:cs="Arial"/>
          <w:lang w:val="es-ES_tradnl"/>
        </w:rPr>
        <w:t>l</w:t>
      </w:r>
      <w:r w:rsidR="00A14154" w:rsidRPr="00AB168C">
        <w:rPr>
          <w:rFonts w:ascii="Arial" w:eastAsia="Arial" w:hAnsi="Arial" w:cs="Arial"/>
          <w:lang w:val="es-ES_tradnl"/>
        </w:rPr>
        <w:t xml:space="preserve">a </w:t>
      </w:r>
      <w:r w:rsidR="008A2777">
        <w:rPr>
          <w:rFonts w:ascii="Arial" w:eastAsia="Arial" w:hAnsi="Arial" w:cs="Arial"/>
          <w:lang w:val="es-ES_tradnl"/>
        </w:rPr>
        <w:t>inalterabilidad de los documentos tipo</w:t>
      </w:r>
      <w:r w:rsidRPr="00B6383D">
        <w:rPr>
          <w:rFonts w:ascii="Arial" w:hAnsi="Arial" w:cs="Arial"/>
          <w:noProof/>
          <w:lang w:val="es-ES_tradnl"/>
        </w:rPr>
        <w:t xml:space="preserve">, </w:t>
      </w:r>
      <w:r w:rsidR="008A2777">
        <w:rPr>
          <w:rFonts w:ascii="Arial" w:hAnsi="Arial" w:cs="Arial"/>
          <w:noProof/>
          <w:lang w:val="es-ES_tradnl"/>
        </w:rPr>
        <w:t xml:space="preserve">y, </w:t>
      </w:r>
      <w:r w:rsidRPr="00B6383D">
        <w:rPr>
          <w:rFonts w:ascii="Arial" w:hAnsi="Arial" w:cs="Arial"/>
          <w:noProof/>
          <w:lang w:val="es-ES_tradnl"/>
        </w:rPr>
        <w:t xml:space="preserve">iii) </w:t>
      </w:r>
      <w:r w:rsidR="009728E9">
        <w:rPr>
          <w:rFonts w:ascii="Arial" w:hAnsi="Arial" w:cs="Arial"/>
          <w:noProof/>
          <w:lang w:val="es-ES_tradnl"/>
        </w:rPr>
        <w:t xml:space="preserve">la capacidad residual y </w:t>
      </w:r>
      <w:r w:rsidR="008A2777">
        <w:rPr>
          <w:rFonts w:ascii="Arial" w:hAnsi="Arial" w:cs="Arial"/>
          <w:noProof/>
          <w:lang w:val="es-ES_tradnl"/>
        </w:rPr>
        <w:t>el aplicativo de capacidad residual dispuesto por Colombia Compra Eficiente</w:t>
      </w:r>
      <w:r w:rsidR="00491EEF">
        <w:rPr>
          <w:rFonts w:ascii="Arial" w:hAnsi="Arial" w:cs="Arial"/>
          <w:noProof/>
          <w:lang w:val="es-ES_tradnl"/>
        </w:rPr>
        <w:t>.</w:t>
      </w:r>
    </w:p>
    <w:p w14:paraId="64BDCF26" w14:textId="53EC5116" w:rsidR="00FC2E63" w:rsidRDefault="001265D8" w:rsidP="00FC2E63">
      <w:pPr>
        <w:spacing w:after="0" w:line="276" w:lineRule="auto"/>
        <w:jc w:val="both"/>
        <w:rPr>
          <w:rFonts w:ascii="Arial" w:eastAsia="Arial" w:hAnsi="Arial" w:cs="Arial"/>
          <w:b/>
          <w:bCs/>
          <w:lang w:val="es-ES"/>
        </w:rPr>
      </w:pPr>
      <w:r>
        <w:rPr>
          <w:rFonts w:ascii="Arial" w:hAnsi="Arial" w:cs="Arial"/>
          <w:b/>
        </w:rPr>
        <w:t>2.1</w:t>
      </w:r>
      <w:r w:rsidR="008A0F4C">
        <w:rPr>
          <w:rFonts w:ascii="Arial" w:hAnsi="Arial" w:cs="Arial"/>
          <w:b/>
        </w:rPr>
        <w:t>.</w:t>
      </w:r>
      <w:r>
        <w:rPr>
          <w:rFonts w:ascii="Arial" w:hAnsi="Arial" w:cs="Arial"/>
          <w:b/>
        </w:rPr>
        <w:t xml:space="preserve"> </w:t>
      </w:r>
      <w:r w:rsidR="00FC2E63" w:rsidRPr="00483330">
        <w:rPr>
          <w:rFonts w:ascii="Arial" w:hAnsi="Arial" w:cs="Arial"/>
          <w:b/>
        </w:rPr>
        <w:t>La subsanabilidad de las ofertas en los procesos de selección después de la ley 1882 de 2018</w:t>
      </w:r>
    </w:p>
    <w:p w14:paraId="09B39FDB" w14:textId="0C32E0E5" w:rsidR="00FC2E63" w:rsidRDefault="00FC2E63" w:rsidP="00FC2E63">
      <w:pPr>
        <w:spacing w:after="0" w:line="276" w:lineRule="auto"/>
        <w:jc w:val="both"/>
        <w:rPr>
          <w:rFonts w:ascii="Arial" w:eastAsia="Calibri" w:hAnsi="Arial" w:cs="Arial"/>
          <w:b/>
          <w:bCs/>
          <w:lang w:val="es-ES" w:eastAsia="es-MX"/>
        </w:rPr>
      </w:pPr>
    </w:p>
    <w:p w14:paraId="3C55380F" w14:textId="77777777" w:rsidR="009728E9" w:rsidRPr="00187C06" w:rsidRDefault="009728E9" w:rsidP="009728E9">
      <w:pPr>
        <w:tabs>
          <w:tab w:val="left" w:pos="426"/>
        </w:tabs>
        <w:spacing w:line="276" w:lineRule="auto"/>
        <w:jc w:val="both"/>
        <w:rPr>
          <w:rFonts w:ascii="Arial" w:hAnsi="Arial" w:cs="Arial"/>
          <w:b/>
          <w:lang w:val="es-ES_tradnl"/>
        </w:rPr>
      </w:pPr>
      <w:r>
        <w:rPr>
          <w:rFonts w:ascii="Arial" w:eastAsia="Calibri" w:hAnsi="Arial" w:cs="Arial"/>
          <w:lang w:val="es-ES"/>
        </w:rPr>
        <w:t>L</w:t>
      </w:r>
      <w:r w:rsidRPr="00407687">
        <w:rPr>
          <w:rFonts w:ascii="Arial" w:eastAsia="Calibri" w:hAnsi="Arial" w:cs="Arial"/>
          <w:lang w:val="es-ES"/>
        </w:rPr>
        <w:t xml:space="preserve">a Agencia </w:t>
      </w:r>
      <w:r>
        <w:rPr>
          <w:rFonts w:ascii="Arial" w:eastAsia="Calibri" w:hAnsi="Arial" w:cs="Arial"/>
          <w:lang w:val="es-ES"/>
        </w:rPr>
        <w:t xml:space="preserve">Nacional de Contratación Pública – Colombia Compra Eficiente </w:t>
      </w:r>
      <w:r w:rsidRPr="00407687">
        <w:rPr>
          <w:rFonts w:ascii="Arial" w:eastAsia="Calibri" w:hAnsi="Arial" w:cs="Arial"/>
          <w:lang w:val="es-ES"/>
        </w:rPr>
        <w:t xml:space="preserve">se pronunció sobre </w:t>
      </w:r>
      <w:r w:rsidRPr="00407687">
        <w:rPr>
          <w:rFonts w:ascii="Arial" w:eastAsia="Calibri" w:hAnsi="Arial" w:cs="Arial"/>
          <w:color w:val="000000" w:themeColor="text1"/>
          <w:lang w:val="es-ES"/>
        </w:rPr>
        <w:t>el alcance de la regla de la subsanabilidad de las ofertas en los procedimientos de selección</w:t>
      </w:r>
      <w:r>
        <w:rPr>
          <w:rFonts w:ascii="Arial" w:eastAsia="Calibri" w:hAnsi="Arial" w:cs="Arial"/>
          <w:color w:val="000000" w:themeColor="text1"/>
          <w:lang w:val="es-ES"/>
        </w:rPr>
        <w:t xml:space="preserve"> en los conceptos de</w:t>
      </w:r>
      <w:r w:rsidRPr="00407687">
        <w:rPr>
          <w:rFonts w:ascii="Arial" w:eastAsia="Calibri" w:hAnsi="Arial" w:cs="Arial"/>
          <w:color w:val="000000" w:themeColor="text1"/>
          <w:lang w:val="es-ES"/>
        </w:rPr>
        <w:t xml:space="preserve"> </w:t>
      </w:r>
      <w:r w:rsidRPr="005F12D3">
        <w:rPr>
          <w:rFonts w:ascii="Arial" w:hAnsi="Arial" w:cs="Arial"/>
          <w:bCs/>
          <w:color w:val="000000" w:themeColor="text1"/>
        </w:rPr>
        <w:t>radicado No</w:t>
      </w:r>
      <w:r>
        <w:rPr>
          <w:rFonts w:ascii="Arial" w:hAnsi="Arial" w:cs="Arial"/>
          <w:bCs/>
          <w:color w:val="000000" w:themeColor="text1"/>
        </w:rPr>
        <w:t>:</w:t>
      </w:r>
      <w:r w:rsidRPr="005F12D3">
        <w:rPr>
          <w:rFonts w:ascii="Arial" w:hAnsi="Arial" w:cs="Arial"/>
          <w:bCs/>
          <w:color w:val="000000" w:themeColor="text1"/>
        </w:rPr>
        <w:t xml:space="preserve"> 4201913000006471 del 28 de octubre de 2019, 4201912000006711 del 12 de noviembre de 2019 y 4201912000006496 del 15 de noviembre de 2019</w:t>
      </w:r>
      <w:r>
        <w:rPr>
          <w:rFonts w:ascii="Arial" w:hAnsi="Arial" w:cs="Arial"/>
          <w:bCs/>
          <w:color w:val="000000" w:themeColor="text1"/>
        </w:rPr>
        <w:t xml:space="preserve">; las cuales se unificaron en el Concepto CU-060 del 24 de febrero de 2020, que se reitera en forma pacífica, entre otros, en los conceptos: </w:t>
      </w:r>
      <w:r w:rsidRPr="005F12D3">
        <w:rPr>
          <w:rFonts w:ascii="Arial" w:hAnsi="Arial" w:cs="Arial"/>
          <w:bCs/>
          <w:color w:val="000000" w:themeColor="text1"/>
        </w:rPr>
        <w:t>C</w:t>
      </w:r>
      <w:r>
        <w:rPr>
          <w:rFonts w:ascii="Arial" w:hAnsi="Arial" w:cs="Arial"/>
          <w:bCs/>
          <w:color w:val="000000" w:themeColor="text1"/>
        </w:rPr>
        <w:t>-</w:t>
      </w:r>
      <w:r w:rsidRPr="005F12D3">
        <w:rPr>
          <w:rFonts w:ascii="Arial" w:hAnsi="Arial" w:cs="Arial"/>
          <w:bCs/>
          <w:color w:val="000000" w:themeColor="text1"/>
        </w:rPr>
        <w:t>121 del 3 de marzo de 2020, C</w:t>
      </w:r>
      <w:r>
        <w:rPr>
          <w:rFonts w:ascii="Arial" w:hAnsi="Arial" w:cs="Arial"/>
          <w:bCs/>
          <w:color w:val="000000" w:themeColor="text1"/>
        </w:rPr>
        <w:t>-</w:t>
      </w:r>
      <w:r w:rsidRPr="005F12D3">
        <w:rPr>
          <w:rFonts w:ascii="Arial" w:hAnsi="Arial" w:cs="Arial"/>
          <w:bCs/>
          <w:color w:val="000000" w:themeColor="text1"/>
        </w:rPr>
        <w:t>160 del 3 de abril de 2020,</w:t>
      </w:r>
      <w:r>
        <w:rPr>
          <w:rFonts w:ascii="Arial" w:hAnsi="Arial" w:cs="Arial"/>
          <w:bCs/>
          <w:color w:val="000000" w:themeColor="text1"/>
        </w:rPr>
        <w:t xml:space="preserve"> </w:t>
      </w:r>
      <w:r w:rsidRPr="005F12D3">
        <w:rPr>
          <w:rFonts w:ascii="Arial" w:hAnsi="Arial" w:cs="Arial"/>
          <w:bCs/>
          <w:color w:val="000000" w:themeColor="text1"/>
        </w:rPr>
        <w:t xml:space="preserve">C-013 del 17 de abril de 2020, </w:t>
      </w:r>
      <w:r w:rsidRPr="008918A2">
        <w:rPr>
          <w:rFonts w:ascii="Arial" w:eastAsia="Arial" w:hAnsi="Arial" w:cs="Arial"/>
          <w:lang w:val="es-ES_tradnl"/>
        </w:rPr>
        <w:t>C-294 del 18 de mayo de 2020, C-276 y C-277 del 26 de mayo de 2020</w:t>
      </w:r>
      <w:r>
        <w:rPr>
          <w:rFonts w:ascii="Arial" w:eastAsia="Arial" w:hAnsi="Arial" w:cs="Arial"/>
          <w:lang w:val="es-ES_tradnl"/>
        </w:rPr>
        <w:t>,</w:t>
      </w:r>
      <w:r w:rsidRPr="008918A2">
        <w:rPr>
          <w:rFonts w:ascii="Arial" w:eastAsia="Arial" w:hAnsi="Arial" w:cs="Arial"/>
          <w:lang w:val="es-ES_tradnl"/>
        </w:rPr>
        <w:t xml:space="preserve"> C–380 y C–381 del 1 de junio de 2020</w:t>
      </w:r>
      <w:r>
        <w:rPr>
          <w:rFonts w:ascii="Arial" w:eastAsia="Arial" w:hAnsi="Arial" w:cs="Arial"/>
          <w:lang w:val="es-ES_tradnl"/>
        </w:rPr>
        <w:t>,</w:t>
      </w:r>
      <w:r w:rsidRPr="008918A2">
        <w:rPr>
          <w:rFonts w:ascii="Arial" w:eastAsia="Arial" w:hAnsi="Arial" w:cs="Arial"/>
          <w:lang w:val="es-ES_tradnl"/>
        </w:rPr>
        <w:t xml:space="preserve"> C-404 del 12 de junio de 2020, C-352 del 30 de junio de 2020, C-430 del 7 de julio de 2020, C-481 del 27 de julio de 2020</w:t>
      </w:r>
      <w:r>
        <w:rPr>
          <w:rFonts w:ascii="Arial" w:eastAsia="Arial" w:hAnsi="Arial" w:cs="Arial"/>
          <w:lang w:val="es-ES_tradnl"/>
        </w:rPr>
        <w:t xml:space="preserve">, </w:t>
      </w:r>
      <w:r w:rsidRPr="005F12D3">
        <w:rPr>
          <w:rFonts w:ascii="Arial" w:hAnsi="Arial" w:cs="Arial"/>
          <w:bCs/>
          <w:color w:val="000000" w:themeColor="text1"/>
        </w:rPr>
        <w:t xml:space="preserve">C-465 del 27 de julio de 2020, </w:t>
      </w:r>
      <w:r w:rsidRPr="008918A2">
        <w:rPr>
          <w:rFonts w:ascii="Arial" w:eastAsia="Arial" w:hAnsi="Arial" w:cs="Arial"/>
          <w:lang w:val="es-ES_tradnl"/>
        </w:rPr>
        <w:t>C-502 del 29 de julio de 2020, C-500 del 3 de agosto de 2020</w:t>
      </w:r>
      <w:r>
        <w:rPr>
          <w:rFonts w:ascii="Arial" w:eastAsia="Arial" w:hAnsi="Arial" w:cs="Arial"/>
          <w:lang w:val="es-ES_tradnl"/>
        </w:rPr>
        <w:t xml:space="preserve">, </w:t>
      </w:r>
      <w:r w:rsidRPr="005F12D3">
        <w:rPr>
          <w:rFonts w:ascii="Arial" w:hAnsi="Arial" w:cs="Arial"/>
          <w:bCs/>
          <w:color w:val="000000" w:themeColor="text1"/>
        </w:rPr>
        <w:t>C-557 del 21 de agosto de 2020</w:t>
      </w:r>
      <w:r>
        <w:rPr>
          <w:rFonts w:ascii="Arial" w:hAnsi="Arial" w:cs="Arial"/>
          <w:bCs/>
          <w:color w:val="000000" w:themeColor="text1"/>
        </w:rPr>
        <w:t>,</w:t>
      </w:r>
      <w:r w:rsidRPr="005F12D3">
        <w:rPr>
          <w:rFonts w:ascii="Arial" w:hAnsi="Arial" w:cs="Arial"/>
          <w:bCs/>
          <w:color w:val="000000" w:themeColor="text1"/>
        </w:rPr>
        <w:t xml:space="preserve"> </w:t>
      </w:r>
      <w:r w:rsidRPr="008918A2">
        <w:rPr>
          <w:rFonts w:ascii="Arial" w:eastAsia="Arial" w:hAnsi="Arial" w:cs="Arial"/>
          <w:lang w:val="es-ES_tradnl"/>
        </w:rPr>
        <w:t>C-563 del 26 de agosto de 2020, C-570 del 27 de agosto de 2020</w:t>
      </w:r>
      <w:r>
        <w:rPr>
          <w:rFonts w:ascii="Arial" w:eastAsia="Arial" w:hAnsi="Arial" w:cs="Arial"/>
          <w:lang w:val="es-ES_tradnl"/>
        </w:rPr>
        <w:t xml:space="preserve">, </w:t>
      </w:r>
      <w:r w:rsidRPr="005F12D3">
        <w:rPr>
          <w:rFonts w:ascii="Arial" w:hAnsi="Arial" w:cs="Arial"/>
          <w:bCs/>
          <w:color w:val="000000" w:themeColor="text1"/>
        </w:rPr>
        <w:t>C-573 del 27 de agosto de 2020</w:t>
      </w:r>
      <w:r>
        <w:rPr>
          <w:rFonts w:ascii="Arial" w:hAnsi="Arial" w:cs="Arial"/>
          <w:bCs/>
          <w:color w:val="000000" w:themeColor="text1"/>
        </w:rPr>
        <w:t>, C-595 del 21 de septiembre de 2020,</w:t>
      </w:r>
      <w:r w:rsidRPr="00017DC3">
        <w:rPr>
          <w:rFonts w:ascii="Arial" w:eastAsia="Arial" w:hAnsi="Arial" w:cs="Arial"/>
          <w:lang w:val="es-ES_tradnl"/>
        </w:rPr>
        <w:t xml:space="preserve"> </w:t>
      </w:r>
      <w:r w:rsidRPr="008918A2">
        <w:rPr>
          <w:rFonts w:ascii="Arial" w:eastAsia="Arial" w:hAnsi="Arial" w:cs="Arial"/>
          <w:lang w:val="es-ES_tradnl"/>
        </w:rPr>
        <w:t>C-713 del 2 de diciembre de 2020 y C-744 del 22 de diciembre de 2020</w:t>
      </w:r>
      <w:r>
        <w:rPr>
          <w:rFonts w:ascii="Arial" w:eastAsia="Arial" w:hAnsi="Arial" w:cs="Arial"/>
          <w:lang w:val="es-ES_tradnl"/>
        </w:rPr>
        <w:t>, C-083 del 18 de marzo de 2021, C-311 del 10 de junio de 2021 y C-329 del 8 de julio de 2021.</w:t>
      </w:r>
    </w:p>
    <w:p w14:paraId="2FE605B6" w14:textId="77777777" w:rsidR="00FC2E63" w:rsidRPr="00FC2E63" w:rsidRDefault="00FC2E63" w:rsidP="009728E9">
      <w:pPr>
        <w:spacing w:after="0" w:line="276" w:lineRule="auto"/>
        <w:ind w:firstLine="708"/>
        <w:jc w:val="both"/>
        <w:rPr>
          <w:rFonts w:ascii="Arial" w:eastAsia="Calibri" w:hAnsi="Arial" w:cs="Arial"/>
        </w:rPr>
      </w:pPr>
      <w:r w:rsidRPr="00FC2E63">
        <w:rPr>
          <w:rFonts w:ascii="Arial" w:eastAsia="Calibri" w:hAnsi="Arial" w:cs="Arial"/>
        </w:rPr>
        <w:t xml:space="preserve">La regla de subsanabilidad es un mecanismo previsto en los procesos de contratación estatal que se regulan por el Estatuto General de Contratación de la </w:t>
      </w:r>
      <w:r w:rsidRPr="00FC2E63">
        <w:rPr>
          <w:rFonts w:ascii="Arial" w:eastAsia="Calibri" w:hAnsi="Arial" w:cs="Arial"/>
        </w:rPr>
        <w:lastRenderedPageBreak/>
        <w:t>Administración Pública. Esta regla, prevista en el artículo 5 de la Ley 1150 de 2007, consiste en permitir que los proponentes puedan enmendar, corregir o modificar los errores en los que se incurre en los documentos contentivos de la oferta. Así lo ha establecido el Consejo de Estado, en los siguientes términos:</w:t>
      </w:r>
    </w:p>
    <w:p w14:paraId="2675DBC1" w14:textId="77777777" w:rsidR="00FC2E63" w:rsidRPr="00FC2E63" w:rsidRDefault="00FC2E63" w:rsidP="00B6383D">
      <w:pPr>
        <w:spacing w:after="0" w:line="276" w:lineRule="auto"/>
        <w:ind w:right="49"/>
        <w:jc w:val="both"/>
        <w:rPr>
          <w:rFonts w:ascii="Arial" w:eastAsia="Calibri" w:hAnsi="Arial" w:cs="Arial"/>
        </w:rPr>
      </w:pPr>
    </w:p>
    <w:p w14:paraId="127C3D47" w14:textId="77777777" w:rsidR="00FC2E63" w:rsidRPr="00FC2E63" w:rsidRDefault="00FC2E63" w:rsidP="00B6383D">
      <w:pPr>
        <w:tabs>
          <w:tab w:val="left" w:pos="567"/>
        </w:tabs>
        <w:spacing w:after="0" w:line="240" w:lineRule="auto"/>
        <w:ind w:left="709" w:right="709"/>
        <w:jc w:val="both"/>
        <w:rPr>
          <w:rFonts w:ascii="Arial" w:eastAsia="Calibri" w:hAnsi="Arial" w:cs="Arial"/>
          <w:sz w:val="21"/>
          <w:szCs w:val="21"/>
        </w:rPr>
      </w:pPr>
      <w:r w:rsidRPr="00FC2E63">
        <w:rPr>
          <w:rFonts w:ascii="Arial" w:eastAsia="Calibri" w:hAnsi="Arial" w:cs="Arial"/>
          <w:sz w:val="21"/>
          <w:szCs w:val="21"/>
        </w:rPr>
        <w:t xml:space="preserve">[…] materializar un principio general de primacía de lo sustancial sobre lo formal, adoptando medidas de saneamiento del proceso de selección tendientes a que los meros defectos formales, que no afecten sustancialmente la oferta, referidos a la documentación o instrumentalización de </w:t>
      </w:r>
      <w:proofErr w:type="gramStart"/>
      <w:r w:rsidRPr="00FC2E63">
        <w:rPr>
          <w:rFonts w:ascii="Arial" w:eastAsia="Calibri" w:hAnsi="Arial" w:cs="Arial"/>
          <w:sz w:val="21"/>
          <w:szCs w:val="21"/>
        </w:rPr>
        <w:t>la misma</w:t>
      </w:r>
      <w:proofErr w:type="gramEnd"/>
      <w:r w:rsidRPr="00FC2E63">
        <w:rPr>
          <w:rFonts w:ascii="Arial" w:eastAsia="Calibri" w:hAnsi="Arial" w:cs="Arial"/>
          <w:sz w:val="21"/>
          <w:szCs w:val="21"/>
        </w:rPr>
        <w:t>, priven a la administración de considerar una oferta por causa de tales falencias</w:t>
      </w:r>
      <w:r w:rsidRPr="00FC2E63">
        <w:rPr>
          <w:rFonts w:ascii="Arial" w:eastAsia="Calibri" w:hAnsi="Arial" w:cs="Arial"/>
          <w:sz w:val="21"/>
          <w:szCs w:val="21"/>
          <w:vertAlign w:val="superscript"/>
        </w:rPr>
        <w:footnoteReference w:id="2"/>
      </w:r>
      <w:r w:rsidRPr="00FC2E63">
        <w:rPr>
          <w:rFonts w:ascii="Arial" w:eastAsia="Calibri" w:hAnsi="Arial" w:cs="Arial"/>
          <w:sz w:val="21"/>
          <w:szCs w:val="21"/>
        </w:rPr>
        <w:t xml:space="preserve">. </w:t>
      </w:r>
    </w:p>
    <w:p w14:paraId="43478F2E" w14:textId="77777777" w:rsidR="00FC2E63" w:rsidRPr="00FC2E63" w:rsidRDefault="00FC2E63" w:rsidP="00B6383D">
      <w:pPr>
        <w:widowControl w:val="0"/>
        <w:autoSpaceDE w:val="0"/>
        <w:autoSpaceDN w:val="0"/>
        <w:spacing w:after="0" w:line="276" w:lineRule="auto"/>
        <w:ind w:firstLine="708"/>
        <w:jc w:val="both"/>
        <w:rPr>
          <w:rFonts w:ascii="Arial" w:eastAsia="Arial" w:hAnsi="Arial" w:cs="Arial"/>
          <w:lang w:val="es-ES"/>
        </w:rPr>
      </w:pPr>
    </w:p>
    <w:p w14:paraId="2B4CAF01" w14:textId="77777777" w:rsidR="00FC2E63" w:rsidRPr="00FC2E63" w:rsidRDefault="00FC2E63" w:rsidP="00AB168C">
      <w:pPr>
        <w:widowControl w:val="0"/>
        <w:autoSpaceDE w:val="0"/>
        <w:autoSpaceDN w:val="0"/>
        <w:spacing w:after="120" w:line="276" w:lineRule="auto"/>
        <w:ind w:firstLine="609"/>
        <w:jc w:val="both"/>
        <w:rPr>
          <w:rFonts w:ascii="Arial" w:eastAsia="Calibri" w:hAnsi="Arial" w:cs="Arial"/>
        </w:rPr>
      </w:pPr>
      <w:r w:rsidRPr="00FC2E63">
        <w:rPr>
          <w:rFonts w:ascii="Arial" w:eastAsia="Calibri" w:hAnsi="Arial" w:cs="Arial"/>
        </w:rPr>
        <w:t>Esta Subdirección se ha pronunciado en diversas oportunidades acerca del alcance de la regla de la subsanabilidad, contenida actualmente en el parágrafo 1 del artículo 5 de la Ley 1150 de 2007, modificado por el artículo 5 de la Ley 1882 de 2018</w:t>
      </w:r>
      <w:r w:rsidRPr="00FC2E63">
        <w:rPr>
          <w:rFonts w:ascii="Arial" w:eastAsia="Calibri" w:hAnsi="Arial" w:cs="Arial"/>
          <w:vertAlign w:val="superscript"/>
        </w:rPr>
        <w:footnoteReference w:id="3"/>
      </w:r>
      <w:r w:rsidRPr="00FC2E63">
        <w:rPr>
          <w:rFonts w:ascii="Arial" w:eastAsia="Calibri" w:hAnsi="Arial" w:cs="Arial"/>
        </w:rPr>
        <w:t>. Al respecto, la postura que se reitera en el presente concepto es la siguiente: por regla general, la falta de entrega o los defectos frente a los requisitos que no asignan puntaje, son subsanables. La excepción se encuentra en los casos, previstos en la ley, que limitan la subsanabilidad, como, por ejemplo, la prohibición de permitir la entrega de la garantía de seriedad de la oferta que no fue aportada con la propuesta y de permitir la acreditación de circunstancias ocurridas con posterioridad al cierre del proceso.</w:t>
      </w:r>
    </w:p>
    <w:p w14:paraId="37E2844B" w14:textId="77777777" w:rsidR="00FC2E63" w:rsidRPr="00FC2E63" w:rsidRDefault="00FC2E63" w:rsidP="00AB168C">
      <w:pPr>
        <w:widowControl w:val="0"/>
        <w:tabs>
          <w:tab w:val="left" w:pos="284"/>
        </w:tabs>
        <w:autoSpaceDE w:val="0"/>
        <w:autoSpaceDN w:val="0"/>
        <w:spacing w:after="0" w:line="276" w:lineRule="auto"/>
        <w:ind w:firstLine="709"/>
        <w:jc w:val="both"/>
        <w:rPr>
          <w:rFonts w:ascii="Arial" w:eastAsia="Calibri" w:hAnsi="Arial" w:cs="Arial"/>
          <w:color w:val="000000"/>
          <w:lang w:val="es-ES_tradnl"/>
        </w:rPr>
      </w:pPr>
      <w:r w:rsidRPr="00FC2E63">
        <w:rPr>
          <w:rFonts w:ascii="Arial" w:eastAsia="Calibri" w:hAnsi="Arial" w:cs="Arial"/>
        </w:rPr>
        <w:t xml:space="preserve">En este sentido, bajo la normativa actual que regula la subsanabilidad de las ofertas debe tenerse en cuenta que </w:t>
      </w:r>
      <w:r w:rsidRPr="00FC2E63">
        <w:rPr>
          <w:rFonts w:ascii="Arial" w:eastAsia="Arial" w:hAnsi="Arial" w:cs="Arial"/>
          <w:lang w:val="es-ES"/>
        </w:rPr>
        <w:t>el</w:t>
      </w:r>
      <w:r w:rsidRPr="00FC2E63">
        <w:rPr>
          <w:rFonts w:ascii="Arial" w:eastAsia="Arial" w:hAnsi="Arial" w:cs="Arial"/>
          <w:spacing w:val="-12"/>
          <w:lang w:val="es-ES"/>
        </w:rPr>
        <w:t xml:space="preserve"> </w:t>
      </w:r>
      <w:r w:rsidRPr="00FC2E63">
        <w:rPr>
          <w:rFonts w:ascii="Arial" w:eastAsia="Arial" w:hAnsi="Arial" w:cs="Arial"/>
          <w:lang w:val="es-ES"/>
        </w:rPr>
        <w:t>legislador</w:t>
      </w:r>
      <w:r w:rsidRPr="00FC2E63">
        <w:rPr>
          <w:rFonts w:ascii="Arial" w:eastAsia="Arial" w:hAnsi="Arial" w:cs="Arial"/>
          <w:spacing w:val="-12"/>
          <w:lang w:val="es-ES"/>
        </w:rPr>
        <w:t xml:space="preserve"> </w:t>
      </w:r>
      <w:r w:rsidRPr="00FC2E63">
        <w:rPr>
          <w:rFonts w:ascii="Arial" w:eastAsia="Arial" w:hAnsi="Arial" w:cs="Arial"/>
          <w:lang w:val="es-ES"/>
        </w:rPr>
        <w:t>expidió</w:t>
      </w:r>
      <w:r w:rsidRPr="00FC2E63">
        <w:rPr>
          <w:rFonts w:ascii="Arial" w:eastAsia="Arial" w:hAnsi="Arial" w:cs="Arial"/>
          <w:spacing w:val="-13"/>
          <w:lang w:val="es-ES"/>
        </w:rPr>
        <w:t xml:space="preserve"> </w:t>
      </w:r>
      <w:r w:rsidRPr="00FC2E63">
        <w:rPr>
          <w:rFonts w:ascii="Arial" w:eastAsia="Arial" w:hAnsi="Arial" w:cs="Arial"/>
          <w:lang w:val="es-ES"/>
        </w:rPr>
        <w:t>la</w:t>
      </w:r>
      <w:r w:rsidRPr="00FC2E63">
        <w:rPr>
          <w:rFonts w:ascii="Arial" w:eastAsia="Arial" w:hAnsi="Arial" w:cs="Arial"/>
          <w:spacing w:val="-12"/>
          <w:lang w:val="es-ES"/>
        </w:rPr>
        <w:t xml:space="preserve"> </w:t>
      </w:r>
      <w:r w:rsidRPr="00FC2E63">
        <w:rPr>
          <w:rFonts w:ascii="Arial" w:eastAsia="Arial" w:hAnsi="Arial" w:cs="Arial"/>
          <w:lang w:val="es-ES"/>
        </w:rPr>
        <w:t>Ley</w:t>
      </w:r>
      <w:r w:rsidRPr="00FC2E63">
        <w:rPr>
          <w:rFonts w:ascii="Arial" w:eastAsia="Arial" w:hAnsi="Arial" w:cs="Arial"/>
          <w:spacing w:val="-13"/>
          <w:lang w:val="es-ES"/>
        </w:rPr>
        <w:t xml:space="preserve"> </w:t>
      </w:r>
      <w:r w:rsidRPr="00FC2E63">
        <w:rPr>
          <w:rFonts w:ascii="Arial" w:eastAsia="Arial" w:hAnsi="Arial" w:cs="Arial"/>
          <w:lang w:val="es-ES"/>
        </w:rPr>
        <w:t>1882</w:t>
      </w:r>
      <w:r w:rsidRPr="00FC2E63">
        <w:rPr>
          <w:rFonts w:ascii="Arial" w:eastAsia="Arial" w:hAnsi="Arial" w:cs="Arial"/>
          <w:spacing w:val="-13"/>
          <w:lang w:val="es-ES"/>
        </w:rPr>
        <w:t xml:space="preserve"> </w:t>
      </w:r>
      <w:r w:rsidRPr="00FC2E63">
        <w:rPr>
          <w:rFonts w:ascii="Arial" w:eastAsia="Arial" w:hAnsi="Arial" w:cs="Arial"/>
          <w:lang w:val="es-ES"/>
        </w:rPr>
        <w:t>de</w:t>
      </w:r>
      <w:r w:rsidRPr="00FC2E63">
        <w:rPr>
          <w:rFonts w:ascii="Arial" w:eastAsia="Arial" w:hAnsi="Arial" w:cs="Arial"/>
          <w:spacing w:val="-12"/>
          <w:lang w:val="es-ES"/>
        </w:rPr>
        <w:t xml:space="preserve"> </w:t>
      </w:r>
      <w:r w:rsidRPr="00FC2E63">
        <w:rPr>
          <w:rFonts w:ascii="Arial" w:eastAsia="Arial" w:hAnsi="Arial" w:cs="Arial"/>
          <w:lang w:val="es-ES"/>
        </w:rPr>
        <w:t>2018,</w:t>
      </w:r>
      <w:r w:rsidRPr="00FC2E63">
        <w:rPr>
          <w:rFonts w:ascii="Arial" w:eastAsia="Arial" w:hAnsi="Arial" w:cs="Arial"/>
          <w:spacing w:val="-13"/>
          <w:lang w:val="es-ES"/>
        </w:rPr>
        <w:t xml:space="preserve"> </w:t>
      </w:r>
      <w:r w:rsidRPr="00FC2E63">
        <w:rPr>
          <w:rFonts w:ascii="Arial" w:eastAsia="Arial" w:hAnsi="Arial" w:cs="Arial"/>
          <w:lang w:val="es-ES"/>
        </w:rPr>
        <w:t>con</w:t>
      </w:r>
      <w:r w:rsidRPr="00FC2E63">
        <w:rPr>
          <w:rFonts w:ascii="Arial" w:eastAsia="Arial" w:hAnsi="Arial" w:cs="Arial"/>
          <w:spacing w:val="-12"/>
          <w:lang w:val="es-ES"/>
        </w:rPr>
        <w:t xml:space="preserve"> </w:t>
      </w:r>
      <w:r w:rsidRPr="00FC2E63">
        <w:rPr>
          <w:rFonts w:ascii="Arial" w:eastAsia="Arial" w:hAnsi="Arial" w:cs="Arial"/>
          <w:lang w:val="es-ES"/>
        </w:rPr>
        <w:t>la</w:t>
      </w:r>
      <w:r w:rsidRPr="00FC2E63">
        <w:rPr>
          <w:rFonts w:ascii="Arial" w:eastAsia="Arial" w:hAnsi="Arial" w:cs="Arial"/>
          <w:spacing w:val="-13"/>
          <w:lang w:val="es-ES"/>
        </w:rPr>
        <w:t xml:space="preserve"> </w:t>
      </w:r>
      <w:r w:rsidRPr="00FC2E63">
        <w:rPr>
          <w:rFonts w:ascii="Arial" w:eastAsia="Arial" w:hAnsi="Arial" w:cs="Arial"/>
          <w:lang w:val="es-ES"/>
        </w:rPr>
        <w:t xml:space="preserve">finalidad de introducir cambios y ajustes para fortalecer la contratación pública. </w:t>
      </w:r>
      <w:r w:rsidRPr="00FC2E63">
        <w:rPr>
          <w:rFonts w:ascii="Arial" w:eastAsia="Arial" w:hAnsi="Arial" w:cs="Arial"/>
          <w:color w:val="000000"/>
          <w:lang w:val="es-ES_tradnl"/>
        </w:rPr>
        <w:t xml:space="preserve">Particularmente, el artículo 5 modificó el parágrafo 1º del artículo 5 de la Ley 1150 de 2007: </w:t>
      </w:r>
    </w:p>
    <w:p w14:paraId="07F9FD4D" w14:textId="77777777" w:rsidR="00FC2E63" w:rsidRPr="00FC2E63" w:rsidRDefault="00FC2E63" w:rsidP="00B6383D">
      <w:pPr>
        <w:spacing w:after="0" w:line="276" w:lineRule="auto"/>
        <w:jc w:val="both"/>
        <w:rPr>
          <w:rFonts w:ascii="Arial" w:eastAsia="Calibri" w:hAnsi="Arial" w:cs="Arial"/>
          <w:color w:val="000000"/>
          <w:sz w:val="24"/>
          <w:lang w:val="es-ES_tradnl"/>
        </w:rPr>
      </w:pPr>
    </w:p>
    <w:p w14:paraId="1C773476" w14:textId="77777777" w:rsidR="00FC2E63" w:rsidRPr="00FC2E63" w:rsidRDefault="00FC2E63" w:rsidP="00B6383D">
      <w:pPr>
        <w:spacing w:after="0" w:line="240" w:lineRule="auto"/>
        <w:ind w:left="709" w:right="709"/>
        <w:jc w:val="both"/>
        <w:rPr>
          <w:rFonts w:ascii="Arial" w:eastAsia="Calibri" w:hAnsi="Arial" w:cs="Arial"/>
          <w:color w:val="000000"/>
          <w:sz w:val="21"/>
          <w:szCs w:val="21"/>
          <w:lang w:val="es-ES_tradnl"/>
        </w:rPr>
      </w:pPr>
      <w:r w:rsidRPr="00FC2E63">
        <w:rPr>
          <w:rFonts w:ascii="Arial" w:eastAsia="Calibri" w:hAnsi="Arial" w:cs="Arial"/>
          <w:color w:val="000000"/>
          <w:sz w:val="21"/>
          <w:szCs w:val="21"/>
          <w:lang w:val="es-ES_tradnl"/>
        </w:rPr>
        <w:t xml:space="preserve">Artículo 5°. De la selección objetiva. </w:t>
      </w:r>
    </w:p>
    <w:p w14:paraId="24246344" w14:textId="77777777" w:rsidR="00FC2E63" w:rsidRPr="00FC2E63" w:rsidRDefault="00FC2E63" w:rsidP="00FC2E63">
      <w:pPr>
        <w:spacing w:after="120" w:line="240" w:lineRule="auto"/>
        <w:ind w:left="709" w:right="709"/>
        <w:jc w:val="both"/>
        <w:rPr>
          <w:rFonts w:ascii="Arial" w:eastAsia="Calibri" w:hAnsi="Arial" w:cs="Arial"/>
          <w:color w:val="000000"/>
          <w:sz w:val="21"/>
          <w:szCs w:val="21"/>
          <w:lang w:val="es-ES_tradnl"/>
        </w:rPr>
      </w:pPr>
      <w:r w:rsidRPr="00FC2E63">
        <w:rPr>
          <w:rFonts w:ascii="Arial" w:eastAsia="Calibri" w:hAnsi="Arial" w:cs="Arial"/>
          <w:color w:val="000000"/>
          <w:sz w:val="21"/>
          <w:szCs w:val="21"/>
          <w:lang w:val="es-ES_tradnl"/>
        </w:rPr>
        <w:t xml:space="preserve">[...] </w:t>
      </w:r>
    </w:p>
    <w:p w14:paraId="2300FDB9" w14:textId="77777777" w:rsidR="00FC2E63" w:rsidRPr="00FC2E63" w:rsidRDefault="00FC2E63" w:rsidP="00FC2E63">
      <w:pPr>
        <w:spacing w:after="0" w:line="240" w:lineRule="auto"/>
        <w:ind w:left="709" w:right="709"/>
        <w:jc w:val="both"/>
        <w:rPr>
          <w:rFonts w:ascii="Arial" w:eastAsia="Calibri" w:hAnsi="Arial" w:cs="Arial"/>
          <w:color w:val="000000"/>
          <w:sz w:val="21"/>
          <w:szCs w:val="21"/>
          <w:lang w:val="es-ES_tradnl"/>
        </w:rPr>
      </w:pPr>
      <w:r w:rsidRPr="00FC2E63">
        <w:rPr>
          <w:rFonts w:ascii="Arial" w:eastAsia="Calibri" w:hAnsi="Arial" w:cs="Arial"/>
          <w:color w:val="000000"/>
          <w:sz w:val="21"/>
          <w:szCs w:val="21"/>
          <w:lang w:val="es-ES_tradnl"/>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FC2E63">
        <w:rPr>
          <w:rFonts w:ascii="Arial" w:eastAsia="Calibri" w:hAnsi="Arial" w:cs="Arial"/>
          <w:color w:val="000000"/>
          <w:sz w:val="21"/>
          <w:szCs w:val="21"/>
          <w:lang w:val="es-ES_tradnl"/>
        </w:rPr>
        <w:t>puntaje,</w:t>
      </w:r>
      <w:proofErr w:type="gramEnd"/>
      <w:r w:rsidRPr="00FC2E63">
        <w:rPr>
          <w:rFonts w:ascii="Arial" w:eastAsia="Calibri" w:hAnsi="Arial" w:cs="Arial"/>
          <w:color w:val="000000"/>
          <w:sz w:val="21"/>
          <w:szCs w:val="21"/>
          <w:lang w:val="es-ES_tradnl"/>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w:t>
      </w:r>
      <w:r w:rsidRPr="00FC2E63">
        <w:rPr>
          <w:rFonts w:ascii="Arial" w:eastAsia="Calibri" w:hAnsi="Arial" w:cs="Arial"/>
          <w:color w:val="000000"/>
          <w:sz w:val="21"/>
          <w:szCs w:val="21"/>
          <w:lang w:val="es-ES_tradnl"/>
        </w:rPr>
        <w:lastRenderedPageBreak/>
        <w:t xml:space="preserve">proponentes no podrán acreditar circunstancias ocurridas con posterioridad al cierre del proceso. </w:t>
      </w:r>
    </w:p>
    <w:p w14:paraId="781269C3" w14:textId="77777777" w:rsidR="00FC2E63" w:rsidRPr="00FC2E63" w:rsidRDefault="00FC2E63" w:rsidP="00FC2E63">
      <w:pPr>
        <w:spacing w:after="0" w:line="276" w:lineRule="auto"/>
        <w:jc w:val="both"/>
        <w:rPr>
          <w:rFonts w:ascii="Arial" w:eastAsia="Calibri" w:hAnsi="Arial" w:cs="Arial"/>
          <w:b/>
          <w:color w:val="000000"/>
          <w:sz w:val="24"/>
          <w:lang w:val="es-ES_tradnl"/>
        </w:rPr>
      </w:pPr>
    </w:p>
    <w:p w14:paraId="75704995" w14:textId="77777777" w:rsidR="00FC2E63" w:rsidRPr="003C5DB0" w:rsidRDefault="00FC2E63" w:rsidP="00FC2E63">
      <w:pPr>
        <w:spacing w:after="120" w:line="276" w:lineRule="auto"/>
        <w:ind w:firstLine="709"/>
        <w:jc w:val="both"/>
        <w:rPr>
          <w:rFonts w:ascii="Arial" w:eastAsia="Calibri" w:hAnsi="Arial" w:cs="Arial"/>
          <w:color w:val="000000"/>
          <w:lang w:val="es-ES_tradnl"/>
        </w:rPr>
      </w:pPr>
      <w:r w:rsidRPr="00FC2E63">
        <w:rPr>
          <w:rFonts w:ascii="Arial" w:eastAsia="Calibri" w:hAnsi="Arial" w:cs="Arial"/>
          <w:color w:val="000000"/>
          <w:lang w:val="es-ES_tradnl"/>
        </w:rPr>
        <w:t xml:space="preserve">Esta norma: i) mantiene el criterio de la Ley 80 de 1993, relativo a que todo lo que no sea necesario para la comparación de propuestas no es título suficiente para su rechazo; </w:t>
      </w:r>
      <w:proofErr w:type="spellStart"/>
      <w:r w:rsidRPr="00FC2E63">
        <w:rPr>
          <w:rFonts w:ascii="Arial" w:eastAsia="Calibri" w:hAnsi="Arial" w:cs="Arial"/>
          <w:color w:val="000000"/>
          <w:lang w:val="es-ES_tradnl"/>
        </w:rPr>
        <w:t>ii</w:t>
      </w:r>
      <w:proofErr w:type="spellEnd"/>
      <w:r w:rsidRPr="00FC2E63">
        <w:rPr>
          <w:rFonts w:ascii="Arial" w:eastAsia="Calibri" w:hAnsi="Arial" w:cs="Arial"/>
          <w:color w:val="000000"/>
          <w:lang w:val="es-ES_tradnl"/>
        </w:rPr>
        <w:t xml:space="preserve">) mantiene el criterio aclaratorio de la Ley 1150 de 2007, según el cual todo lo que no afecte la asignación de puntaje puede subsanarse y </w:t>
      </w:r>
      <w:proofErr w:type="spellStart"/>
      <w:r w:rsidRPr="00FC2E63">
        <w:rPr>
          <w:rFonts w:ascii="Arial" w:eastAsia="Calibri" w:hAnsi="Arial" w:cs="Arial"/>
          <w:color w:val="000000"/>
          <w:lang w:val="es-ES_tradnl"/>
        </w:rPr>
        <w:t>iii</w:t>
      </w:r>
      <w:proofErr w:type="spellEnd"/>
      <w:r w:rsidRPr="00FC2E63">
        <w:rPr>
          <w:rFonts w:ascii="Arial" w:eastAsia="Calibri" w:hAnsi="Arial" w:cs="Arial"/>
          <w:color w:val="000000"/>
          <w:lang w:val="es-ES_tradnl"/>
        </w:rPr>
        <w:t>) introduce modificaciones en relación c</w:t>
      </w:r>
      <w:r w:rsidRPr="003C5DB0">
        <w:rPr>
          <w:rFonts w:ascii="Arial" w:eastAsia="Calibri" w:hAnsi="Arial" w:cs="Arial"/>
          <w:color w:val="000000"/>
          <w:lang w:val="es-ES_tradnl"/>
        </w:rPr>
        <w:t>on tres aspectos que se analizarán a continuación</w:t>
      </w:r>
      <w:r w:rsidRPr="003C5DB0">
        <w:rPr>
          <w:rFonts w:ascii="Arial" w:eastAsia="Calibri" w:hAnsi="Arial" w:cs="Arial"/>
          <w:color w:val="000000"/>
          <w:vertAlign w:val="superscript"/>
          <w:lang w:val="es-ES_tradnl"/>
        </w:rPr>
        <w:footnoteReference w:id="4"/>
      </w:r>
      <w:r w:rsidRPr="003C5DB0">
        <w:rPr>
          <w:rFonts w:ascii="Arial" w:eastAsia="Calibri" w:hAnsi="Arial" w:cs="Arial"/>
          <w:color w:val="000000"/>
          <w:lang w:val="es-ES_tradnl"/>
        </w:rPr>
        <w:t xml:space="preserve">. </w:t>
      </w:r>
    </w:p>
    <w:p w14:paraId="6FC3E11F" w14:textId="77777777" w:rsidR="00FC2E63" w:rsidRPr="00FC2E63" w:rsidRDefault="00FC2E63" w:rsidP="00FC2E63">
      <w:pPr>
        <w:spacing w:after="120" w:line="276" w:lineRule="auto"/>
        <w:ind w:firstLine="709"/>
        <w:jc w:val="both"/>
        <w:rPr>
          <w:rFonts w:ascii="Arial" w:eastAsia="Arial" w:hAnsi="Arial" w:cs="Arial"/>
          <w:color w:val="000000"/>
          <w:szCs w:val="24"/>
          <w:lang w:val="es-ES" w:eastAsia="es-MX"/>
        </w:rPr>
      </w:pPr>
      <w:r w:rsidRPr="003C5DB0">
        <w:rPr>
          <w:rFonts w:ascii="Arial" w:eastAsia="Arial" w:hAnsi="Arial" w:cs="Arial"/>
          <w:color w:val="000000"/>
          <w:szCs w:val="24"/>
          <w:lang w:val="es-ES" w:eastAsia="es-MX"/>
        </w:rPr>
        <w:t xml:space="preserve">El </w:t>
      </w:r>
      <w:r w:rsidRPr="00EB70EC">
        <w:rPr>
          <w:rFonts w:ascii="Arial" w:eastAsia="Arial" w:hAnsi="Arial" w:cs="Arial"/>
          <w:i/>
          <w:iCs/>
          <w:color w:val="000000"/>
          <w:szCs w:val="24"/>
          <w:lang w:val="es-ES" w:eastAsia="es-MX"/>
        </w:rPr>
        <w:t>primero</w:t>
      </w:r>
      <w:r w:rsidRPr="003C5DB0">
        <w:rPr>
          <w:rFonts w:ascii="Arial" w:eastAsia="Arial" w:hAnsi="Arial" w:cs="Arial"/>
          <w:color w:val="000000"/>
          <w:szCs w:val="24"/>
          <w:lang w:val="es-ES" w:eastAsia="es-MX"/>
        </w:rPr>
        <w:t xml:space="preserve">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 en este último los documentos o requisitos</w:t>
      </w:r>
      <w:r w:rsidRPr="00FC2E63">
        <w:rPr>
          <w:rFonts w:ascii="Arial" w:eastAsia="Arial" w:hAnsi="Arial" w:cs="Arial"/>
          <w:color w:val="000000"/>
          <w:szCs w:val="24"/>
          <w:lang w:val="es-ES" w:eastAsia="es-MX"/>
        </w:rPr>
        <w:t xml:space="preserve"> subsanables deben solicitarse, como límite final, hasta el momento previo a su realización</w:t>
      </w:r>
      <w:r w:rsidRPr="00FC2E63">
        <w:rPr>
          <w:rFonts w:ascii="Arial" w:eastAsia="Arial" w:hAnsi="Arial" w:cs="Arial"/>
          <w:color w:val="000000"/>
          <w:vertAlign w:val="superscript"/>
          <w:lang w:eastAsia="es-MX"/>
        </w:rPr>
        <w:footnoteReference w:id="5"/>
      </w:r>
      <w:r w:rsidRPr="00FC2E63">
        <w:rPr>
          <w:rFonts w:ascii="Arial" w:eastAsia="Arial" w:hAnsi="Arial" w:cs="Arial"/>
          <w:color w:val="000000"/>
          <w:szCs w:val="24"/>
          <w:lang w:val="es-ES" w:eastAsia="es-MX"/>
        </w:rPr>
        <w:t>.</w:t>
      </w:r>
    </w:p>
    <w:p w14:paraId="48A0562D" w14:textId="46FD5C6E" w:rsidR="00FC2E63" w:rsidRPr="00FC2E63" w:rsidRDefault="00FC2E63" w:rsidP="00FC2E63">
      <w:pPr>
        <w:spacing w:after="120" w:line="276" w:lineRule="auto"/>
        <w:ind w:firstLine="709"/>
        <w:jc w:val="both"/>
        <w:rPr>
          <w:rFonts w:ascii="Arial" w:eastAsia="Arial" w:hAnsi="Arial" w:cs="Arial"/>
          <w:color w:val="000000"/>
          <w:szCs w:val="24"/>
          <w:lang w:val="es-ES" w:eastAsia="es-MX"/>
        </w:rPr>
      </w:pPr>
      <w:r w:rsidRPr="00FC2E63">
        <w:rPr>
          <w:rFonts w:ascii="Arial" w:eastAsia="Times New Roman" w:hAnsi="Arial" w:cs="Arial"/>
          <w:color w:val="000000"/>
          <w:szCs w:val="24"/>
          <w:shd w:val="clear" w:color="auto" w:fill="FFFFFF"/>
          <w:lang w:eastAsia="es-MX"/>
        </w:rPr>
        <w:t>Frente a la regla general, como se explica en el Concepto CU-060 del 24 de febrero de 2020, la norma fijó un límite final para que la Administración y los oferentes subsanen los requisitos o documentos que puedan y deban ser subsanados; pero nada impide, y la norma no lo hace, que la Administración requiera al proponente antes de publicar el informe de evaluación.</w:t>
      </w:r>
    </w:p>
    <w:p w14:paraId="4A16D630" w14:textId="77777777" w:rsidR="00FC2E63" w:rsidRPr="00FC2E63" w:rsidRDefault="00FC2E63" w:rsidP="00FC2E63">
      <w:pPr>
        <w:spacing w:after="120" w:line="276" w:lineRule="auto"/>
        <w:ind w:firstLine="720"/>
        <w:jc w:val="both"/>
        <w:rPr>
          <w:rFonts w:ascii="Arial" w:eastAsia="Calibri" w:hAnsi="Arial" w:cs="Arial"/>
          <w:color w:val="000000"/>
          <w:sz w:val="21"/>
          <w:szCs w:val="21"/>
          <w:lang w:eastAsia="es-MX"/>
        </w:rPr>
      </w:pPr>
      <w:r w:rsidRPr="00FC2E63">
        <w:rPr>
          <w:rFonts w:ascii="Arial" w:eastAsia="Arial" w:hAnsi="Arial" w:cs="Arial"/>
          <w:color w:val="000000"/>
          <w:szCs w:val="24"/>
          <w:lang w:val="es-ES" w:eastAsia="es-MX"/>
        </w:rPr>
        <w:t>De otro lado, el segundo cambio importante de la Ley 1882 de 2018</w:t>
      </w:r>
      <w:r w:rsidRPr="00FC2E63">
        <w:rPr>
          <w:rFonts w:ascii="Arial" w:eastAsia="Arial" w:hAnsi="Arial" w:cs="Arial"/>
          <w:color w:val="000000"/>
          <w:szCs w:val="24"/>
          <w:lang w:eastAsia="es-MX"/>
        </w:rPr>
        <w:t xml:space="preserve"> </w:t>
      </w:r>
      <w:r w:rsidRPr="00FC2E63">
        <w:rPr>
          <w:rFonts w:ascii="Arial" w:eastAsia="Calibri" w:hAnsi="Arial" w:cs="Arial"/>
          <w:color w:val="000000"/>
          <w:szCs w:val="24"/>
          <w:lang w:eastAsia="es-MX"/>
        </w:rPr>
        <w:t xml:space="preserve">es el correspondiente a la garantía de seriedad. El parágrafo 3 del artículo 5 de la Ley 1150 de 2007, adicionado por el artículo 5 de la Ley 1882 de 2018 dispone que la falta de entrega de la garantía de seriedad es insubsanable. Al respecto, la norma prescribe lo siguiente: «PARÁGRAFO 3o. La no entrega de la garantía de seriedad junto con la propuesta no será subsanable y será causal de rechazo de </w:t>
      </w:r>
      <w:proofErr w:type="gramStart"/>
      <w:r w:rsidRPr="00FC2E63">
        <w:rPr>
          <w:rFonts w:ascii="Arial" w:eastAsia="Calibri" w:hAnsi="Arial" w:cs="Arial"/>
          <w:color w:val="000000"/>
          <w:szCs w:val="24"/>
          <w:lang w:eastAsia="es-MX"/>
        </w:rPr>
        <w:t>la misma</w:t>
      </w:r>
      <w:proofErr w:type="gramEnd"/>
      <w:r w:rsidRPr="00FC2E63">
        <w:rPr>
          <w:rFonts w:ascii="Arial" w:eastAsia="Calibri" w:hAnsi="Arial" w:cs="Arial"/>
          <w:color w:val="000000"/>
          <w:szCs w:val="24"/>
          <w:lang w:eastAsia="es-MX"/>
        </w:rPr>
        <w:t>».</w:t>
      </w:r>
    </w:p>
    <w:p w14:paraId="6923C11B" w14:textId="2BEFA7BD" w:rsidR="00FC2E63" w:rsidRPr="00FC2E63" w:rsidRDefault="00FC2E63" w:rsidP="00FC2E63">
      <w:pPr>
        <w:spacing w:after="0" w:line="276" w:lineRule="auto"/>
        <w:ind w:firstLine="709"/>
        <w:jc w:val="both"/>
        <w:rPr>
          <w:rFonts w:ascii="Arial" w:eastAsia="Times New Roman" w:hAnsi="Arial" w:cs="Arial"/>
          <w:szCs w:val="24"/>
          <w:bdr w:val="none" w:sz="0" w:space="0" w:color="auto" w:frame="1"/>
          <w:lang w:val="es-ES_tradnl" w:eastAsia="es-MX"/>
        </w:rPr>
      </w:pPr>
      <w:r w:rsidRPr="00FC2E63">
        <w:rPr>
          <w:rFonts w:ascii="Arial" w:eastAsia="Arial" w:hAnsi="Arial" w:cs="Arial"/>
          <w:color w:val="000000"/>
          <w:szCs w:val="24"/>
          <w:lang w:eastAsia="es-MX"/>
        </w:rPr>
        <w:t>Finalmente, el último cambio</w:t>
      </w:r>
      <w:r w:rsidRPr="00FC2E63">
        <w:rPr>
          <w:rFonts w:ascii="Arial" w:eastAsia="Arial" w:hAnsi="Arial" w:cs="Arial"/>
          <w:color w:val="000000"/>
          <w:szCs w:val="24"/>
          <w:lang w:val="es-ES" w:eastAsia="es-MX"/>
        </w:rPr>
        <w:t xml:space="preserve"> importante de la Ley 1882 de 2018 fue la introducción de un criterio material, directamente relacionado con los aspectos subsanables: </w:t>
      </w:r>
      <w:r w:rsidRPr="00FC2E63">
        <w:rPr>
          <w:rFonts w:ascii="Arial" w:eastAsia="Arial" w:hAnsi="Arial" w:cs="Arial"/>
          <w:i/>
          <w:iCs/>
          <w:color w:val="000000"/>
          <w:szCs w:val="24"/>
          <w:lang w:val="es-ES" w:eastAsia="es-MX"/>
        </w:rPr>
        <w:t>«</w:t>
      </w:r>
      <w:r w:rsidRPr="00FC2E63">
        <w:rPr>
          <w:rFonts w:ascii="Arial" w:eastAsia="Arial" w:hAnsi="Arial" w:cs="Arial"/>
          <w:color w:val="000000"/>
          <w:szCs w:val="24"/>
          <w:lang w:val="es-ES" w:eastAsia="es-MX"/>
        </w:rPr>
        <w:t>los proponentes no podrán acreditar circunstancias ocurridas con posterioridad al cierre del proceso»</w:t>
      </w:r>
      <w:r w:rsidRPr="00291251">
        <w:rPr>
          <w:rFonts w:ascii="Arial" w:eastAsia="Arial" w:hAnsi="Arial" w:cs="Arial"/>
          <w:color w:val="000000"/>
          <w:szCs w:val="24"/>
          <w:lang w:val="es-ES" w:eastAsia="es-MX"/>
        </w:rPr>
        <w:t>.</w:t>
      </w:r>
      <w:r w:rsidRPr="00FC2E63">
        <w:rPr>
          <w:rFonts w:ascii="Arial" w:eastAsia="Times New Roman" w:hAnsi="Arial" w:cs="Arial"/>
          <w:szCs w:val="24"/>
          <w:bdr w:val="none" w:sz="0" w:space="0" w:color="auto" w:frame="1"/>
          <w:lang w:val="es-ES_tradnl" w:eastAsia="es-MX"/>
        </w:rPr>
        <w:t xml:space="preserve"> Esta regla tiene una finalidad particular, y es que, al momento de presentar la oferta, el proponente deberá hacerlo de forma íntegra y así evitar que a lo largo del </w:t>
      </w:r>
      <w:r w:rsidRPr="00FC2E63">
        <w:rPr>
          <w:rFonts w:ascii="Arial" w:eastAsia="Times New Roman" w:hAnsi="Arial" w:cs="Arial"/>
          <w:szCs w:val="24"/>
          <w:bdr w:val="none" w:sz="0" w:space="0" w:color="auto" w:frame="1"/>
          <w:lang w:val="es-ES_tradnl" w:eastAsia="es-MX"/>
        </w:rPr>
        <w:lastRenderedPageBreak/>
        <w:t>procedimiento contractual complete o adicione su propuesta, conforme mejora su situación particular. En términos del Consejo de Estado:</w:t>
      </w:r>
    </w:p>
    <w:p w14:paraId="1BB42890" w14:textId="77777777" w:rsidR="00FC2E63" w:rsidRPr="00FC2E63" w:rsidRDefault="00FC2E63" w:rsidP="00FC2E63">
      <w:pPr>
        <w:spacing w:after="0" w:line="276" w:lineRule="auto"/>
        <w:ind w:firstLine="709"/>
        <w:jc w:val="both"/>
        <w:rPr>
          <w:rFonts w:ascii="Arial" w:eastAsia="Times New Roman" w:hAnsi="Arial" w:cs="Arial"/>
          <w:color w:val="201F1E"/>
          <w:szCs w:val="24"/>
          <w:bdr w:val="none" w:sz="0" w:space="0" w:color="auto" w:frame="1"/>
          <w:lang w:val="es-ES_tradnl" w:eastAsia="es-MX"/>
        </w:rPr>
      </w:pPr>
    </w:p>
    <w:p w14:paraId="6984EA89" w14:textId="77777777" w:rsidR="00FC2E63" w:rsidRPr="00FC2E63" w:rsidRDefault="00FC2E63" w:rsidP="00FC2E63">
      <w:pPr>
        <w:tabs>
          <w:tab w:val="left" w:pos="426"/>
        </w:tabs>
        <w:spacing w:after="0" w:line="240" w:lineRule="auto"/>
        <w:ind w:left="709" w:right="709"/>
        <w:jc w:val="both"/>
        <w:rPr>
          <w:rFonts w:ascii="Arial" w:eastAsia="Arial" w:hAnsi="Arial" w:cs="Arial"/>
          <w:color w:val="000000"/>
          <w:sz w:val="21"/>
          <w:szCs w:val="21"/>
          <w:lang w:eastAsia="es-MX"/>
        </w:rPr>
      </w:pPr>
      <w:r w:rsidRPr="00FC2E63">
        <w:rPr>
          <w:rFonts w:ascii="Arial" w:eastAsia="Arial" w:hAnsi="Arial" w:cs="Arial"/>
          <w:color w:val="000000"/>
          <w:sz w:val="21"/>
          <w:szCs w:val="21"/>
          <w:lang w:eastAsia="es-MX"/>
        </w:rPr>
        <w:t>[…] no es posible que el oferente vaya mejorando, completando, adicionando, modificando o estructurando su propuesta a lo largo del proceso contractual según vaya evolucionando su situación particular en el mismo, pues como se establece en el numeral 6º del artículo 30 de la Ley 80 de 1993, “las propuestas deben referirse y sujetarse a todos y cada uno de los puntos contenidos en el pliego de condiciones”, es decir, todos los elementos del negocio jurídico exigidos en los pliegos de condiciones. Dicho de otra forma, el oferente tiene la carga de presentar su oferta en forma íntegra, esto es, respondiendo todos los puntos del pliego de condiciones y adjuntando todos los documentos de soporte o prueba de las condiciones habilitantes y de los elementos de su oferta, de manera que la entidad licitante pueda, con economía de medios, evaluarla lo más eficientemente posible, y sólo si hace falta algún requisito o un documento, la administración puede requerirlo del oferente.</w:t>
      </w:r>
      <w:r w:rsidRPr="00FC2E63">
        <w:rPr>
          <w:rFonts w:ascii="Arial" w:eastAsia="Arial" w:hAnsi="Arial" w:cs="Arial"/>
          <w:color w:val="000000"/>
          <w:sz w:val="21"/>
          <w:szCs w:val="21"/>
          <w:vertAlign w:val="superscript"/>
          <w:lang w:eastAsia="es-MX"/>
        </w:rPr>
        <w:footnoteReference w:id="6"/>
      </w:r>
    </w:p>
    <w:p w14:paraId="2B267BE3" w14:textId="77777777" w:rsidR="00FC2E63" w:rsidRPr="00FC2E63" w:rsidRDefault="00FC2E63" w:rsidP="00FC2E63">
      <w:pPr>
        <w:tabs>
          <w:tab w:val="left" w:pos="426"/>
        </w:tabs>
        <w:spacing w:after="0"/>
        <w:ind w:left="709" w:right="709"/>
        <w:jc w:val="both"/>
        <w:rPr>
          <w:rFonts w:ascii="Arial" w:eastAsia="Arial" w:hAnsi="Arial" w:cs="Arial"/>
          <w:color w:val="000000"/>
          <w:sz w:val="21"/>
          <w:szCs w:val="21"/>
          <w:lang w:eastAsia="es-MX"/>
        </w:rPr>
      </w:pPr>
    </w:p>
    <w:p w14:paraId="7E6B7F70" w14:textId="65C5154B" w:rsidR="00FC2E63" w:rsidRPr="00FC2E63" w:rsidRDefault="00FC2E63" w:rsidP="00FC2E63">
      <w:pPr>
        <w:spacing w:after="0" w:line="276" w:lineRule="auto"/>
        <w:ind w:firstLine="709"/>
        <w:jc w:val="both"/>
        <w:rPr>
          <w:rFonts w:ascii="Arial" w:eastAsia="Arial" w:hAnsi="Arial" w:cs="Arial"/>
          <w:color w:val="000000"/>
          <w:sz w:val="21"/>
          <w:szCs w:val="21"/>
          <w:lang w:eastAsia="es-MX"/>
        </w:rPr>
      </w:pPr>
      <w:r w:rsidRPr="00FC2E63">
        <w:rPr>
          <w:rFonts w:ascii="Arial" w:eastAsia="Arial" w:hAnsi="Arial" w:cs="Arial"/>
          <w:color w:val="000000"/>
          <w:szCs w:val="24"/>
          <w:lang w:eastAsia="es-MX"/>
        </w:rPr>
        <w:t xml:space="preserve">De igual manera, en los documentos tipo </w:t>
      </w:r>
      <w:r w:rsidR="002F0CE1">
        <w:rPr>
          <w:rFonts w:ascii="Arial" w:eastAsia="Arial" w:hAnsi="Arial" w:cs="Arial"/>
          <w:color w:val="000000"/>
          <w:szCs w:val="24"/>
          <w:lang w:eastAsia="es-MX"/>
        </w:rPr>
        <w:t xml:space="preserve">de obra pública de infraestructura de transporte – Versión 3, </w:t>
      </w:r>
      <w:r w:rsidRPr="00FC2E63">
        <w:rPr>
          <w:rFonts w:ascii="Arial" w:eastAsia="Arial" w:hAnsi="Arial" w:cs="Arial"/>
          <w:color w:val="000000"/>
          <w:szCs w:val="24"/>
          <w:lang w:eastAsia="es-MX"/>
        </w:rPr>
        <w:t xml:space="preserve">adoptados mediante la Resolución </w:t>
      </w:r>
      <w:r w:rsidRPr="00FC2E63">
        <w:rPr>
          <w:rFonts w:ascii="Arial" w:eastAsia="Times New Roman" w:hAnsi="Arial" w:cs="Arial"/>
          <w:color w:val="0D0D0D"/>
          <w:szCs w:val="24"/>
          <w:bdr w:val="none" w:sz="0" w:space="0" w:color="auto" w:frame="1"/>
          <w:lang w:eastAsia="es-CO"/>
        </w:rPr>
        <w:t>No. 240 del 27 de noviembre 2020</w:t>
      </w:r>
      <w:r w:rsidR="00676C22">
        <w:rPr>
          <w:rFonts w:ascii="Arial" w:eastAsia="Times New Roman" w:hAnsi="Arial" w:cs="Arial"/>
          <w:color w:val="0D0D0D"/>
          <w:szCs w:val="24"/>
          <w:bdr w:val="none" w:sz="0" w:space="0" w:color="auto" w:frame="1"/>
          <w:lang w:eastAsia="es-CO"/>
        </w:rPr>
        <w:t>,</w:t>
      </w:r>
      <w:r w:rsidR="00187C06">
        <w:rPr>
          <w:rFonts w:ascii="Arial" w:eastAsia="Arial" w:hAnsi="Arial" w:cs="Arial"/>
          <w:color w:val="000000"/>
          <w:szCs w:val="24"/>
          <w:lang w:eastAsia="es-MX"/>
        </w:rPr>
        <w:t xml:space="preserve"> y en los documentos tipo de agua potable y saneamiento básico</w:t>
      </w:r>
      <w:r w:rsidR="00676C22">
        <w:rPr>
          <w:rFonts w:ascii="Arial" w:eastAsia="Arial" w:hAnsi="Arial" w:cs="Arial"/>
          <w:color w:val="000000"/>
          <w:szCs w:val="24"/>
          <w:lang w:eastAsia="es-MX"/>
        </w:rPr>
        <w:t xml:space="preserve"> </w:t>
      </w:r>
      <w:r w:rsidR="00676C22">
        <w:rPr>
          <w:rFonts w:ascii="Arial" w:eastAsia="Calibri" w:hAnsi="Arial" w:cs="Arial"/>
          <w:lang w:val="es-MX"/>
        </w:rPr>
        <w:t xml:space="preserve">adoptados mediante las Resoluciones 248 y 249 del 1° de diciembre de 2020, </w:t>
      </w:r>
      <w:r w:rsidRPr="00FC2E63">
        <w:rPr>
          <w:rFonts w:ascii="Arial" w:eastAsia="Arial" w:hAnsi="Arial" w:cs="Arial"/>
          <w:color w:val="000000"/>
          <w:szCs w:val="24"/>
          <w:lang w:eastAsia="es-MX"/>
        </w:rPr>
        <w:t>la obligación del proponente de presentar su oferta de manera íntegra es congruente con el numeral 1.6. del Documento Base. Al respecto, el Pliego Tipo dispone que</w:t>
      </w:r>
      <w:r w:rsidRPr="00FC2E63">
        <w:rPr>
          <w:rFonts w:ascii="Arial" w:eastAsia="Arial" w:hAnsi="Arial" w:cs="Arial"/>
          <w:color w:val="000000"/>
          <w:sz w:val="21"/>
          <w:szCs w:val="21"/>
          <w:lang w:eastAsia="es-MX"/>
        </w:rPr>
        <w:t>:</w:t>
      </w:r>
    </w:p>
    <w:p w14:paraId="7D04F2EE" w14:textId="77777777" w:rsidR="00FC2E63" w:rsidRPr="00FC2E63" w:rsidRDefault="00FC2E63" w:rsidP="00FC2E63">
      <w:pPr>
        <w:spacing w:after="0" w:line="276" w:lineRule="auto"/>
        <w:ind w:firstLine="360"/>
        <w:jc w:val="both"/>
        <w:rPr>
          <w:rFonts w:ascii="Arial" w:eastAsia="Arial" w:hAnsi="Arial" w:cs="Arial"/>
          <w:color w:val="000000"/>
          <w:sz w:val="21"/>
          <w:szCs w:val="21"/>
          <w:lang w:eastAsia="es-MX"/>
        </w:rPr>
      </w:pPr>
    </w:p>
    <w:p w14:paraId="41E88F6B" w14:textId="77777777" w:rsidR="00FC2E63" w:rsidRPr="00FC2E63" w:rsidRDefault="00FC2E63" w:rsidP="004A000C">
      <w:pPr>
        <w:spacing w:after="120" w:line="240" w:lineRule="auto"/>
        <w:ind w:left="709" w:right="709"/>
        <w:jc w:val="both"/>
        <w:rPr>
          <w:rFonts w:ascii="Arial" w:eastAsia="Arial" w:hAnsi="Arial" w:cs="Arial"/>
          <w:color w:val="000000"/>
          <w:sz w:val="21"/>
          <w:szCs w:val="21"/>
          <w:lang w:eastAsia="es-MX"/>
        </w:rPr>
      </w:pPr>
      <w:r w:rsidRPr="00FC2E63">
        <w:rPr>
          <w:rFonts w:ascii="Arial" w:eastAsia="Arial" w:hAnsi="Arial" w:cs="Arial"/>
          <w:color w:val="000000"/>
          <w:sz w:val="21"/>
          <w:szCs w:val="21"/>
          <w:lang w:eastAsia="es-MX"/>
        </w:rPr>
        <w:t>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14:paraId="60CAB3DF" w14:textId="4A9704B3" w:rsidR="00FC2E63" w:rsidRPr="00FC2E63" w:rsidRDefault="00FC2E63" w:rsidP="004A000C">
      <w:pPr>
        <w:spacing w:after="120" w:line="240" w:lineRule="auto"/>
        <w:ind w:left="709" w:right="709"/>
        <w:jc w:val="both"/>
        <w:rPr>
          <w:rFonts w:ascii="Arial" w:eastAsia="Arial" w:hAnsi="Arial" w:cs="Arial"/>
          <w:color w:val="000000"/>
          <w:sz w:val="21"/>
          <w:szCs w:val="21"/>
          <w:lang w:eastAsia="es-MX"/>
        </w:rPr>
      </w:pPr>
      <w:r w:rsidRPr="00FC2E63">
        <w:rPr>
          <w:rFonts w:ascii="Arial" w:eastAsia="Arial" w:hAnsi="Arial" w:cs="Arial"/>
          <w:color w:val="000000"/>
          <w:sz w:val="21"/>
          <w:szCs w:val="21"/>
          <w:lang w:eastAsia="es-MX"/>
        </w:rPr>
        <w:t xml:space="preserve">En caso de ser necesario, la Entidad deberá solicitar a los Proponentes durante el proceso de evaluación, y a más tardar en el informe de evaluación, las aclaraciones, precisiones o solicitud de documentos que puedan ser subsanables. No obstante, los Proponentes no podrán completar, adicionar, modificar o mejorar sus propuestas en los aspectos que otorgan puntaje, los cuales podrán ser objeto de aclaraciones y explicaciones. Los Proponentes deberán allegar las aclaraciones o documentos requeridos en el momento en el que fueron solicitados y a más tardar hasta el término de traslado del informe de evaluación, es decir, dentro de los cinco (5) días hábiles siguientes, contados a partir del día hábil siguiente a la expedición del informe de evaluación. </w:t>
      </w:r>
    </w:p>
    <w:p w14:paraId="62A37946" w14:textId="1840F915" w:rsidR="006F03A2" w:rsidRDefault="00FC2E63" w:rsidP="004A000C">
      <w:pPr>
        <w:spacing w:after="120" w:line="240" w:lineRule="auto"/>
        <w:ind w:left="709" w:right="709"/>
        <w:jc w:val="both"/>
        <w:rPr>
          <w:rFonts w:ascii="Arial" w:eastAsia="Arial" w:hAnsi="Arial" w:cs="Arial"/>
          <w:color w:val="000000"/>
          <w:sz w:val="21"/>
          <w:szCs w:val="21"/>
          <w:lang w:eastAsia="es-MX"/>
        </w:rPr>
      </w:pPr>
      <w:r w:rsidRPr="00FC2E63">
        <w:rPr>
          <w:rFonts w:ascii="Arial" w:eastAsia="Arial" w:hAnsi="Arial" w:cs="Arial"/>
          <w:color w:val="000000"/>
          <w:sz w:val="21"/>
          <w:szCs w:val="21"/>
          <w:lang w:eastAsia="es-MX"/>
        </w:rPr>
        <w:t xml:space="preserve">En el evento en que la Entidad no advierta la ausencia de requisitos o la falta de documentos referentes a la futura contratación o al Proponente, no necesarios para la comparación de las propuestas y no los haya requerido durante el proceso de evaluación, a más tardar en el informe de evaluación, podrá requerir al Proponente, otorgándole un término igual al establecido para el traslado del </w:t>
      </w:r>
      <w:r w:rsidRPr="00FC2E63">
        <w:rPr>
          <w:rFonts w:ascii="Arial" w:eastAsia="Arial" w:hAnsi="Arial" w:cs="Arial"/>
          <w:color w:val="000000"/>
          <w:sz w:val="21"/>
          <w:szCs w:val="21"/>
          <w:lang w:eastAsia="es-MX"/>
        </w:rPr>
        <w:lastRenderedPageBreak/>
        <w:t>informe de evaluación, con el fin de que los allegue. En caso de que sea necesario, la Entidad ajustará el cronograma.</w:t>
      </w:r>
    </w:p>
    <w:p w14:paraId="57C00096" w14:textId="77777777" w:rsidR="006F03A2" w:rsidRPr="00DA7F42" w:rsidRDefault="006F03A2" w:rsidP="004A000C">
      <w:pPr>
        <w:spacing w:after="120" w:line="240" w:lineRule="auto"/>
        <w:ind w:left="709" w:right="709"/>
        <w:jc w:val="both"/>
        <w:rPr>
          <w:rFonts w:ascii="Arial" w:hAnsi="Arial" w:cs="Arial"/>
          <w:sz w:val="21"/>
          <w:szCs w:val="21"/>
          <w:lang w:val="es-MX"/>
        </w:rPr>
      </w:pPr>
      <w:r w:rsidRPr="00DA7F42">
        <w:rPr>
          <w:rFonts w:ascii="Arial" w:hAnsi="Arial" w:cs="Arial"/>
          <w:sz w:val="21"/>
          <w:szCs w:val="21"/>
          <w:lang w:val="es-MX"/>
        </w:rPr>
        <w:t>En los procesos adelantados en el SECOP I, las subsanaciones, explicaciones y aclaraciones se presentarán por cualquier medio: en físico, entre las horas de atención al público; o por correo electrónico hasta las 11:59 p. m. del día establecido en el cronograma. Los adelantados en el SECOP II se subsanarán por medio de mensajes, en la forma prevista en la plataforma.</w:t>
      </w:r>
    </w:p>
    <w:p w14:paraId="552A6DB8" w14:textId="77BB52D2" w:rsidR="006F03A2" w:rsidRPr="006F03A2" w:rsidRDefault="006F03A2" w:rsidP="004A000C">
      <w:pPr>
        <w:spacing w:after="0" w:line="240" w:lineRule="auto"/>
        <w:ind w:left="709" w:right="709"/>
        <w:jc w:val="both"/>
        <w:rPr>
          <w:rFonts w:ascii="Arial" w:eastAsia="Arial" w:hAnsi="Arial" w:cs="Arial"/>
          <w:color w:val="000000"/>
          <w:sz w:val="21"/>
          <w:szCs w:val="21"/>
          <w:lang w:eastAsia="es-MX"/>
        </w:rPr>
      </w:pPr>
      <w:r w:rsidRPr="006F03A2">
        <w:rPr>
          <w:rFonts w:ascii="Arial" w:eastAsia="Arial" w:hAnsi="Arial" w:cs="Arial"/>
          <w:color w:val="000000"/>
          <w:sz w:val="21"/>
          <w:szCs w:val="21"/>
          <w:lang w:eastAsia="es-MX"/>
        </w:rPr>
        <w:t>[…]</w:t>
      </w:r>
    </w:p>
    <w:p w14:paraId="6433BCFC" w14:textId="77777777" w:rsidR="00FC2E63" w:rsidRPr="00FC2E63" w:rsidRDefault="00FC2E63" w:rsidP="00FC2E63">
      <w:pPr>
        <w:spacing w:after="0" w:line="276" w:lineRule="auto"/>
        <w:ind w:firstLine="709"/>
        <w:jc w:val="both"/>
        <w:rPr>
          <w:rFonts w:ascii="Arial" w:eastAsia="Times New Roman" w:hAnsi="Arial" w:cs="Arial"/>
          <w:color w:val="000000"/>
          <w:szCs w:val="24"/>
          <w:shd w:val="clear" w:color="auto" w:fill="FFFFFF"/>
          <w:lang w:val="es-ES" w:eastAsia="es-MX"/>
        </w:rPr>
      </w:pPr>
    </w:p>
    <w:p w14:paraId="60C0D80B" w14:textId="2605201D" w:rsidR="00FC2E63" w:rsidRPr="004E7FAF" w:rsidRDefault="00FC2E63" w:rsidP="008016A3">
      <w:pPr>
        <w:spacing w:after="120" w:line="276" w:lineRule="auto"/>
        <w:ind w:firstLine="709"/>
        <w:jc w:val="both"/>
        <w:rPr>
          <w:rFonts w:ascii="Arial" w:eastAsia="Times New Roman" w:hAnsi="Arial" w:cs="Arial"/>
          <w:color w:val="000000"/>
          <w:shd w:val="clear" w:color="auto" w:fill="FFFFFF"/>
          <w:lang w:val="es-ES" w:eastAsia="es-MX"/>
        </w:rPr>
      </w:pPr>
      <w:r w:rsidRPr="00AA6E36">
        <w:rPr>
          <w:rFonts w:ascii="Arial" w:eastAsia="Times New Roman" w:hAnsi="Arial" w:cs="Arial"/>
          <w:color w:val="000000"/>
          <w:shd w:val="clear" w:color="auto" w:fill="FFFFFF"/>
          <w:lang w:val="es-ES" w:eastAsia="es-MX"/>
        </w:rPr>
        <w:t>El texto transcrito, es concordante con el parágrafo 3 del artículo 30 de la Ley 80 de 1993</w:t>
      </w:r>
      <w:r w:rsidRPr="00AA6E36">
        <w:rPr>
          <w:rFonts w:ascii="Arial" w:eastAsia="Arial" w:hAnsi="Arial" w:cs="Arial"/>
          <w:color w:val="000000"/>
          <w:vertAlign w:val="superscript"/>
          <w:lang w:val="es-ES" w:eastAsia="es-MX"/>
        </w:rPr>
        <w:footnoteReference w:id="7"/>
      </w:r>
      <w:r w:rsidRPr="00AA6E36">
        <w:rPr>
          <w:rFonts w:ascii="Arial" w:eastAsia="Times New Roman" w:hAnsi="Arial" w:cs="Arial"/>
          <w:color w:val="000000"/>
          <w:shd w:val="clear" w:color="auto" w:fill="FFFFFF"/>
          <w:lang w:val="es-ES" w:eastAsia="es-MX"/>
        </w:rPr>
        <w:t>, adicionado por la Ley 1882 de 2018, el cual regula la elaboración y traslado del informe de evaluación. Conforme indica dicho artículo, la entidad estatal debe publicar un informe de evaluación preliminar relacionado con los requisitos habilitantes, en e</w:t>
      </w:r>
      <w:r w:rsidRPr="004E7FAF">
        <w:rPr>
          <w:rFonts w:ascii="Arial" w:eastAsia="Times New Roman" w:hAnsi="Arial" w:cs="Arial"/>
          <w:color w:val="000000"/>
          <w:shd w:val="clear" w:color="auto" w:fill="FFFFFF"/>
          <w:lang w:val="es-ES" w:eastAsia="es-MX"/>
        </w:rPr>
        <w:t xml:space="preserve">l que se deben dar cuenta de las posibles inconsistencias en la acreditación de los mismos, el cual debe ser publicado durante un plazo de cinco (5) días hábiles, durante el cual, le corresponde a los proponentes allegar los documentos requeridos para subsanar aquellos referidos a la acreditación de </w:t>
      </w:r>
      <w:r w:rsidR="00221AE4" w:rsidRPr="00EB70EC">
        <w:rPr>
          <w:rFonts w:ascii="Arial" w:eastAsia="Times New Roman" w:hAnsi="Arial" w:cs="Arial"/>
          <w:color w:val="000000"/>
          <w:shd w:val="clear" w:color="auto" w:fill="FFFFFF"/>
          <w:lang w:val="es-ES" w:eastAsia="es-MX"/>
        </w:rPr>
        <w:t>requisitos que no afecten la asignación de puntaje</w:t>
      </w:r>
      <w:r w:rsidRPr="00AA6E36">
        <w:rPr>
          <w:rFonts w:ascii="Arial" w:eastAsia="Times New Roman" w:hAnsi="Arial" w:cs="Arial"/>
          <w:color w:val="000000"/>
          <w:shd w:val="clear" w:color="auto" w:fill="FFFFFF"/>
          <w:lang w:val="es-ES" w:eastAsia="es-MX"/>
        </w:rPr>
        <w:t>. Dicho t</w:t>
      </w:r>
      <w:r w:rsidR="009B356D" w:rsidRPr="004E7FAF">
        <w:rPr>
          <w:rFonts w:ascii="Arial" w:eastAsia="Times New Roman" w:hAnsi="Arial" w:cs="Arial"/>
          <w:color w:val="000000"/>
          <w:shd w:val="clear" w:color="auto" w:fill="FFFFFF"/>
          <w:lang w:val="es-ES" w:eastAsia="es-MX"/>
        </w:rPr>
        <w:t>é</w:t>
      </w:r>
      <w:r w:rsidRPr="004E7FAF">
        <w:rPr>
          <w:rFonts w:ascii="Arial" w:eastAsia="Times New Roman" w:hAnsi="Arial" w:cs="Arial"/>
          <w:color w:val="000000"/>
          <w:shd w:val="clear" w:color="auto" w:fill="FFFFFF"/>
          <w:lang w:val="es-ES" w:eastAsia="es-MX"/>
        </w:rPr>
        <w:t xml:space="preserve">rmino de traslado del informe de evaluación es al que se refieren el parágrafo 1 del artículo 5 de la Ley 1150 de 2007, y el 3 del artículo 30 de la Ley 80 de 1993 como oportunidad para subsanar en los procesos de licitación de obra pública. </w:t>
      </w:r>
    </w:p>
    <w:p w14:paraId="510E10A0" w14:textId="2DADB335" w:rsidR="00E37B4D" w:rsidRPr="004E7FAF" w:rsidRDefault="00665DDD" w:rsidP="00291251">
      <w:pPr>
        <w:spacing w:after="120" w:line="276" w:lineRule="auto"/>
        <w:ind w:firstLine="708"/>
        <w:jc w:val="both"/>
        <w:rPr>
          <w:rFonts w:ascii="Arial" w:hAnsi="Arial" w:cs="Arial"/>
          <w:lang w:val="es-ES"/>
        </w:rPr>
      </w:pPr>
      <w:r w:rsidRPr="004E7FAF">
        <w:rPr>
          <w:rFonts w:ascii="Arial" w:hAnsi="Arial" w:cs="Arial"/>
          <w:lang w:val="es-ES"/>
        </w:rPr>
        <w:t xml:space="preserve">Ahora bien, los cinco </w:t>
      </w:r>
      <w:r w:rsidR="00A83EC7" w:rsidRPr="004E7FAF">
        <w:rPr>
          <w:rFonts w:ascii="Arial" w:hAnsi="Arial" w:cs="Arial"/>
          <w:lang w:val="es-ES"/>
        </w:rPr>
        <w:t xml:space="preserve">(5) </w:t>
      </w:r>
      <w:r w:rsidRPr="004E7FAF">
        <w:rPr>
          <w:rFonts w:ascii="Arial" w:hAnsi="Arial" w:cs="Arial"/>
          <w:lang w:val="es-ES"/>
        </w:rPr>
        <w:t xml:space="preserve">días </w:t>
      </w:r>
      <w:r w:rsidR="00A83EC7" w:rsidRPr="004E7FAF">
        <w:rPr>
          <w:rFonts w:ascii="Arial" w:hAnsi="Arial" w:cs="Arial"/>
          <w:lang w:val="es-ES"/>
        </w:rPr>
        <w:t xml:space="preserve">hábiles </w:t>
      </w:r>
      <w:r w:rsidR="00B36E11" w:rsidRPr="004E7FAF">
        <w:rPr>
          <w:rFonts w:ascii="Arial" w:hAnsi="Arial" w:cs="Arial"/>
          <w:lang w:val="es-ES"/>
        </w:rPr>
        <w:t>que tienen</w:t>
      </w:r>
      <w:r w:rsidR="00A83EC7" w:rsidRPr="004E7FAF">
        <w:rPr>
          <w:rFonts w:ascii="Arial" w:hAnsi="Arial" w:cs="Arial"/>
          <w:lang w:val="es-ES"/>
        </w:rPr>
        <w:t xml:space="preserve"> los proponentes </w:t>
      </w:r>
      <w:r w:rsidR="00B36E11" w:rsidRPr="004E7FAF">
        <w:rPr>
          <w:rFonts w:ascii="Arial" w:hAnsi="Arial" w:cs="Arial"/>
          <w:lang w:val="es-ES"/>
        </w:rPr>
        <w:t>para</w:t>
      </w:r>
      <w:r w:rsidR="000A7F8D" w:rsidRPr="004E7FAF">
        <w:rPr>
          <w:rFonts w:ascii="Arial" w:hAnsi="Arial" w:cs="Arial"/>
          <w:lang w:val="es-ES"/>
        </w:rPr>
        <w:t xml:space="preserve"> </w:t>
      </w:r>
      <w:r w:rsidR="00A83EC7" w:rsidRPr="004E7FAF">
        <w:rPr>
          <w:rFonts w:ascii="Arial" w:hAnsi="Arial" w:cs="Arial"/>
          <w:lang w:val="es-ES"/>
        </w:rPr>
        <w:t>subs</w:t>
      </w:r>
      <w:r w:rsidR="00C14444" w:rsidRPr="004E7FAF">
        <w:rPr>
          <w:rFonts w:ascii="Arial" w:hAnsi="Arial" w:cs="Arial"/>
          <w:lang w:val="es-ES"/>
        </w:rPr>
        <w:t>an</w:t>
      </w:r>
      <w:r w:rsidR="00A83EC7" w:rsidRPr="004E7FAF">
        <w:rPr>
          <w:rFonts w:ascii="Arial" w:hAnsi="Arial" w:cs="Arial"/>
          <w:lang w:val="es-ES"/>
        </w:rPr>
        <w:t>a</w:t>
      </w:r>
      <w:r w:rsidR="000A7F8D" w:rsidRPr="004E7FAF">
        <w:rPr>
          <w:rFonts w:ascii="Arial" w:hAnsi="Arial" w:cs="Arial"/>
          <w:lang w:val="es-ES"/>
        </w:rPr>
        <w:t>r</w:t>
      </w:r>
      <w:r w:rsidR="00A83EC7" w:rsidRPr="004E7FAF">
        <w:rPr>
          <w:rFonts w:ascii="Arial" w:hAnsi="Arial" w:cs="Arial"/>
          <w:lang w:val="es-ES"/>
        </w:rPr>
        <w:t xml:space="preserve">, deben entenderse </w:t>
      </w:r>
      <w:r w:rsidRPr="004E7FAF">
        <w:rPr>
          <w:rFonts w:ascii="Arial" w:hAnsi="Arial" w:cs="Arial"/>
          <w:lang w:val="es-ES"/>
        </w:rPr>
        <w:t>de acuerdo con el sistema civil para el c</w:t>
      </w:r>
      <w:r w:rsidR="009B356D" w:rsidRPr="004E7FAF">
        <w:rPr>
          <w:rFonts w:ascii="Arial" w:hAnsi="Arial" w:cs="Arial"/>
          <w:lang w:val="es-ES"/>
        </w:rPr>
        <w:t>ó</w:t>
      </w:r>
      <w:r w:rsidRPr="004E7FAF">
        <w:rPr>
          <w:rFonts w:ascii="Arial" w:hAnsi="Arial" w:cs="Arial"/>
          <w:lang w:val="es-ES"/>
        </w:rPr>
        <w:t>mputo de los plazos o términos</w:t>
      </w:r>
      <w:r w:rsidR="000917A9" w:rsidRPr="00AA6E36">
        <w:rPr>
          <w:rStyle w:val="Refdenotaalpie"/>
          <w:rFonts w:ascii="Arial" w:hAnsi="Arial" w:cs="Arial"/>
          <w:lang w:val="es-ES"/>
        </w:rPr>
        <w:footnoteReference w:id="8"/>
      </w:r>
      <w:r w:rsidRPr="00AA6E36">
        <w:rPr>
          <w:rFonts w:ascii="Arial" w:hAnsi="Arial" w:cs="Arial"/>
          <w:lang w:val="es-ES"/>
        </w:rPr>
        <w:t xml:space="preserve">. En ese sentido, el artículo 67 del código civil </w:t>
      </w:r>
      <w:r w:rsidR="008A0F4C" w:rsidRPr="004E7FAF">
        <w:rPr>
          <w:rFonts w:ascii="Arial" w:hAnsi="Arial" w:cs="Arial"/>
          <w:lang w:val="es-ES"/>
        </w:rPr>
        <w:t xml:space="preserve">dispone que </w:t>
      </w:r>
      <w:r w:rsidR="008A0F4C" w:rsidRPr="004E7FAF">
        <w:rPr>
          <w:rFonts w:ascii="Arial" w:hAnsi="Arial" w:cs="Arial"/>
        </w:rPr>
        <w:t>«</w:t>
      </w:r>
      <w:r w:rsidRPr="004E7FAF">
        <w:rPr>
          <w:rFonts w:ascii="Arial" w:hAnsi="Arial" w:cs="Arial"/>
        </w:rPr>
        <w:t xml:space="preserve">Todos los plazos de días, meses o años de que se haga mención en las leyes o en los decretos del </w:t>
      </w:r>
      <w:proofErr w:type="gramStart"/>
      <w:r w:rsidRPr="004E7FAF">
        <w:rPr>
          <w:rFonts w:ascii="Arial" w:hAnsi="Arial" w:cs="Arial"/>
        </w:rPr>
        <w:t>Presidente</w:t>
      </w:r>
      <w:proofErr w:type="gramEnd"/>
      <w:r w:rsidRPr="004E7FAF">
        <w:rPr>
          <w:rFonts w:ascii="Arial" w:hAnsi="Arial" w:cs="Arial"/>
        </w:rPr>
        <w:t xml:space="preserve"> de la Unión, de los Tribunales o Juzgados, se entenderá que han de ser completos y correrán, además, hasta la media noche del último día de plazo</w:t>
      </w:r>
      <w:r w:rsidR="008A0F4C" w:rsidRPr="004E7FAF">
        <w:rPr>
          <w:rFonts w:ascii="Arial" w:hAnsi="Arial" w:cs="Arial"/>
        </w:rPr>
        <w:t>»</w:t>
      </w:r>
      <w:r w:rsidRPr="004E7FAF">
        <w:rPr>
          <w:rFonts w:ascii="Arial" w:hAnsi="Arial" w:cs="Arial"/>
        </w:rPr>
        <w:t>.</w:t>
      </w:r>
      <w:r w:rsidR="00E24DA1" w:rsidRPr="004E7FAF">
        <w:rPr>
          <w:rFonts w:ascii="Arial" w:hAnsi="Arial" w:cs="Arial"/>
          <w:lang w:val="es-ES"/>
        </w:rPr>
        <w:t xml:space="preserve"> </w:t>
      </w:r>
      <w:r w:rsidR="00BA276A" w:rsidRPr="004E7FAF">
        <w:rPr>
          <w:rFonts w:ascii="Arial" w:hAnsi="Arial" w:cs="Arial"/>
          <w:lang w:val="es-ES"/>
        </w:rPr>
        <w:t>Para la interpretación del inciso anterior, debe tenerse en cuenta lo dispuesto en la Ley 4 de 1913</w:t>
      </w:r>
      <w:r w:rsidR="008A0F4C" w:rsidRPr="004E7FAF">
        <w:rPr>
          <w:rFonts w:ascii="Arial" w:hAnsi="Arial" w:cs="Arial"/>
          <w:lang w:val="es-ES"/>
        </w:rPr>
        <w:t xml:space="preserve">, </w:t>
      </w:r>
      <w:r w:rsidR="00BA276A" w:rsidRPr="004E7FAF">
        <w:rPr>
          <w:rFonts w:ascii="Arial" w:hAnsi="Arial" w:cs="Arial"/>
          <w:lang w:val="es-ES"/>
        </w:rPr>
        <w:t xml:space="preserve">cuyo artículo 59 establece que «todos los plazos de días, meses o años de que se haga mención legal, se </w:t>
      </w:r>
      <w:proofErr w:type="gramStart"/>
      <w:r w:rsidR="00BA276A" w:rsidRPr="004E7FAF">
        <w:rPr>
          <w:rFonts w:ascii="Arial" w:hAnsi="Arial" w:cs="Arial"/>
          <w:lang w:val="es-ES"/>
        </w:rPr>
        <w:t>entenderá</w:t>
      </w:r>
      <w:proofErr w:type="gramEnd"/>
      <w:r w:rsidR="00BA276A" w:rsidRPr="004E7FAF">
        <w:rPr>
          <w:rFonts w:ascii="Arial" w:hAnsi="Arial" w:cs="Arial"/>
          <w:lang w:val="es-ES"/>
        </w:rPr>
        <w:t xml:space="preserve"> que terminan a la media noche del último día del plazo. Por año y por mes se entienden los del calendario común, por día el espacio de veinticuatro horas […]»</w:t>
      </w:r>
      <w:r w:rsidR="0039294B" w:rsidRPr="004E7FAF">
        <w:rPr>
          <w:rFonts w:ascii="Arial" w:hAnsi="Arial" w:cs="Arial"/>
          <w:lang w:val="es-ES"/>
        </w:rPr>
        <w:t xml:space="preserve"> y el artículo 61 que establece «Cuando se dice que una cosa debe observarse desde tal día, se entiende que </w:t>
      </w:r>
      <w:r w:rsidR="0039294B" w:rsidRPr="004E7FAF">
        <w:rPr>
          <w:rFonts w:ascii="Arial" w:hAnsi="Arial" w:cs="Arial"/>
          <w:lang w:val="es-ES"/>
        </w:rPr>
        <w:lastRenderedPageBreak/>
        <w:t>ha de observarse desde el momento siguiente a la medianoche del día anterior; y cuando se dice que debe observarse hasta tal día, se entiende que ha de observarse hasta la medianoche de dicho día».</w:t>
      </w:r>
    </w:p>
    <w:p w14:paraId="2D0F86BB" w14:textId="3F5AC309" w:rsidR="00BA276A" w:rsidRPr="00291251" w:rsidRDefault="00ED7CA9" w:rsidP="004A000C">
      <w:pPr>
        <w:spacing w:after="120" w:line="276" w:lineRule="auto"/>
        <w:ind w:firstLine="709"/>
        <w:jc w:val="both"/>
        <w:rPr>
          <w:rFonts w:ascii="Arial" w:hAnsi="Arial" w:cs="Arial"/>
          <w:lang w:val="es-ES"/>
        </w:rPr>
      </w:pPr>
      <w:r w:rsidRPr="004E7FAF">
        <w:rPr>
          <w:rFonts w:ascii="Arial" w:hAnsi="Arial" w:cs="Arial"/>
          <w:lang w:val="es-ES"/>
        </w:rPr>
        <w:t>Sin perjuicio de lo anterior,</w:t>
      </w:r>
      <w:r w:rsidR="00A56510" w:rsidRPr="004E7FAF">
        <w:rPr>
          <w:rFonts w:ascii="Arial" w:hAnsi="Arial" w:cs="Arial"/>
          <w:lang w:val="es-ES"/>
        </w:rPr>
        <w:t xml:space="preserve"> es pertinente mencionar que </w:t>
      </w:r>
      <w:r w:rsidR="00FD59FB" w:rsidRPr="004E7FAF">
        <w:rPr>
          <w:rFonts w:ascii="Arial" w:hAnsi="Arial" w:cs="Arial"/>
          <w:lang w:val="es-ES"/>
        </w:rPr>
        <w:t xml:space="preserve">la jornada y el horario de trabajo de las entidades públicas, sirve como límite </w:t>
      </w:r>
      <w:r w:rsidR="003327F2" w:rsidRPr="004E7FAF">
        <w:rPr>
          <w:rFonts w:ascii="Arial" w:hAnsi="Arial" w:cs="Arial"/>
          <w:lang w:val="es-ES"/>
        </w:rPr>
        <w:t>para determinar la hora máxima de la fecha en que termina un plazo</w:t>
      </w:r>
      <w:r w:rsidR="00E429D1" w:rsidRPr="004E7FAF">
        <w:rPr>
          <w:rFonts w:ascii="Arial" w:hAnsi="Arial" w:cs="Arial"/>
          <w:lang w:val="es-ES"/>
        </w:rPr>
        <w:t xml:space="preserve">. </w:t>
      </w:r>
      <w:r w:rsidR="00577EAD" w:rsidRPr="004E7FAF">
        <w:rPr>
          <w:rFonts w:ascii="Arial" w:hAnsi="Arial" w:cs="Arial"/>
          <w:lang w:val="es-ES"/>
        </w:rPr>
        <w:t xml:space="preserve">Así las cosas, </w:t>
      </w:r>
      <w:r w:rsidR="00C75FD4" w:rsidRPr="004E7FAF">
        <w:rPr>
          <w:rFonts w:ascii="Arial" w:hAnsi="Arial" w:cs="Arial"/>
          <w:lang w:val="es-ES"/>
        </w:rPr>
        <w:t>si ha de ejecutarse un derecho</w:t>
      </w:r>
      <w:r w:rsidR="00705281" w:rsidRPr="004E7FAF">
        <w:rPr>
          <w:rFonts w:ascii="Arial" w:hAnsi="Arial" w:cs="Arial"/>
          <w:lang w:val="es-ES"/>
        </w:rPr>
        <w:t xml:space="preserve">, </w:t>
      </w:r>
      <w:r w:rsidR="00715A9D" w:rsidRPr="004E7FAF">
        <w:rPr>
          <w:rFonts w:ascii="Arial" w:hAnsi="Arial" w:cs="Arial"/>
          <w:bCs/>
        </w:rPr>
        <w:t>el momento en el que iniciará será al a la media noche del día siguiente</w:t>
      </w:r>
      <w:r w:rsidR="00715A9D" w:rsidRPr="004E7FAF">
        <w:rPr>
          <w:rFonts w:ascii="Arial" w:hAnsi="Arial" w:cs="Arial"/>
          <w:lang w:val="es-ES"/>
        </w:rPr>
        <w:t xml:space="preserve"> y </w:t>
      </w:r>
      <w:r w:rsidR="00705281" w:rsidRPr="004E7FAF">
        <w:rPr>
          <w:rFonts w:ascii="Arial" w:hAnsi="Arial" w:cs="Arial"/>
          <w:lang w:val="es-ES"/>
        </w:rPr>
        <w:t>el momento en el que finalizará el plazo establecido</w:t>
      </w:r>
      <w:r w:rsidR="000729D1" w:rsidRPr="004E7FAF">
        <w:rPr>
          <w:rFonts w:ascii="Arial" w:hAnsi="Arial" w:cs="Arial"/>
          <w:lang w:val="es-ES"/>
        </w:rPr>
        <w:t xml:space="preserve">, no será el de la media noche del último día como dispone el Código Civil, </w:t>
      </w:r>
      <w:r w:rsidR="0011666F" w:rsidRPr="004E7FAF">
        <w:rPr>
          <w:rFonts w:ascii="Arial" w:hAnsi="Arial" w:cs="Arial"/>
          <w:lang w:val="es-ES"/>
        </w:rPr>
        <w:t>sino el de</w:t>
      </w:r>
      <w:r w:rsidR="00321279" w:rsidRPr="004E7FAF">
        <w:rPr>
          <w:rFonts w:ascii="Arial" w:hAnsi="Arial" w:cs="Arial"/>
          <w:lang w:val="es-ES"/>
        </w:rPr>
        <w:t xml:space="preserve">l horario de trabajo de la entidad, </w:t>
      </w:r>
      <w:r w:rsidR="00035BBF" w:rsidRPr="004E7FAF">
        <w:rPr>
          <w:rFonts w:ascii="Arial" w:hAnsi="Arial" w:cs="Arial"/>
          <w:lang w:val="es-ES"/>
        </w:rPr>
        <w:t>en ese sentido</w:t>
      </w:r>
      <w:r w:rsidR="00321279" w:rsidRPr="004E7FAF">
        <w:rPr>
          <w:rFonts w:ascii="Arial" w:hAnsi="Arial" w:cs="Arial"/>
          <w:lang w:val="es-ES"/>
        </w:rPr>
        <w:t xml:space="preserve">, </w:t>
      </w:r>
      <w:r w:rsidR="00830F0A" w:rsidRPr="004E7FAF">
        <w:rPr>
          <w:rFonts w:ascii="Arial" w:hAnsi="Arial" w:cs="Arial"/>
          <w:lang w:val="es-ES"/>
        </w:rPr>
        <w:t xml:space="preserve">la fecha de terminación de un plazo será el último día hábil del mismo y hasta la hora en la que termine la </w:t>
      </w:r>
      <w:r w:rsidR="00AE56EF" w:rsidRPr="004E7FAF">
        <w:rPr>
          <w:rFonts w:ascii="Arial" w:hAnsi="Arial" w:cs="Arial"/>
          <w:lang w:val="es-ES"/>
        </w:rPr>
        <w:t>jornada laboral en la entidad respectiva</w:t>
      </w:r>
      <w:r w:rsidR="00C54BFF" w:rsidRPr="00AA6E36">
        <w:rPr>
          <w:rStyle w:val="Refdenotaalpie"/>
          <w:rFonts w:ascii="Arial" w:hAnsi="Arial" w:cs="Arial"/>
          <w:lang w:val="es-ES"/>
        </w:rPr>
        <w:footnoteReference w:id="9"/>
      </w:r>
      <w:r w:rsidR="00AE56EF" w:rsidRPr="00AA6E36">
        <w:rPr>
          <w:rFonts w:ascii="Arial" w:hAnsi="Arial" w:cs="Arial"/>
          <w:lang w:val="es-ES"/>
        </w:rPr>
        <w:t>.</w:t>
      </w:r>
    </w:p>
    <w:p w14:paraId="4093DDD1" w14:textId="03993B70" w:rsidR="00A14154" w:rsidRPr="00291251" w:rsidRDefault="0093000F" w:rsidP="00AB168C">
      <w:pPr>
        <w:spacing w:after="0" w:line="276" w:lineRule="auto"/>
        <w:ind w:firstLine="708"/>
        <w:jc w:val="both"/>
        <w:rPr>
          <w:rFonts w:ascii="Arial" w:hAnsi="Arial" w:cs="Arial"/>
          <w:lang w:val="es-MX"/>
        </w:rPr>
      </w:pPr>
      <w:r w:rsidRPr="00291251">
        <w:rPr>
          <w:rFonts w:ascii="Arial" w:hAnsi="Arial" w:cs="Arial"/>
          <w:lang w:val="es-ES"/>
        </w:rPr>
        <w:t xml:space="preserve">Lo </w:t>
      </w:r>
      <w:r w:rsidR="001639F4" w:rsidRPr="00291251">
        <w:rPr>
          <w:rFonts w:ascii="Arial" w:hAnsi="Arial" w:cs="Arial"/>
          <w:lang w:val="es-ES"/>
        </w:rPr>
        <w:t xml:space="preserve">dicho en los dos párrafos precedentes, </w:t>
      </w:r>
      <w:r w:rsidRPr="00291251">
        <w:rPr>
          <w:rFonts w:ascii="Arial" w:hAnsi="Arial" w:cs="Arial"/>
          <w:lang w:val="es-ES"/>
        </w:rPr>
        <w:t xml:space="preserve">guarda relación </w:t>
      </w:r>
      <w:r w:rsidR="00AE56EF" w:rsidRPr="00291251">
        <w:rPr>
          <w:rFonts w:ascii="Arial" w:hAnsi="Arial" w:cs="Arial"/>
          <w:lang w:val="es-ES"/>
        </w:rPr>
        <w:t xml:space="preserve">con </w:t>
      </w:r>
      <w:r w:rsidRPr="00291251">
        <w:rPr>
          <w:rFonts w:ascii="Arial" w:hAnsi="Arial" w:cs="Arial"/>
          <w:lang w:val="es-ES"/>
        </w:rPr>
        <w:t xml:space="preserve">lo establecido en el </w:t>
      </w:r>
      <w:r w:rsidR="00E62048" w:rsidRPr="00291251">
        <w:rPr>
          <w:rFonts w:ascii="Arial" w:hAnsi="Arial" w:cs="Arial"/>
          <w:lang w:val="es-ES"/>
        </w:rPr>
        <w:t xml:space="preserve">antepenúltimo inciso del </w:t>
      </w:r>
      <w:r w:rsidR="004D00D3" w:rsidRPr="00291251">
        <w:rPr>
          <w:rFonts w:ascii="Arial" w:hAnsi="Arial" w:cs="Arial"/>
          <w:lang w:val="es-ES"/>
        </w:rPr>
        <w:t>numeral 1.6 del documento base del documento tipo</w:t>
      </w:r>
      <w:r w:rsidR="009C3C43" w:rsidRPr="00291251">
        <w:rPr>
          <w:rFonts w:ascii="Arial" w:hAnsi="Arial" w:cs="Arial"/>
          <w:lang w:val="es-ES"/>
        </w:rPr>
        <w:t xml:space="preserve"> </w:t>
      </w:r>
      <w:r w:rsidR="00502F4A">
        <w:rPr>
          <w:rFonts w:ascii="Arial" w:hAnsi="Arial" w:cs="Arial"/>
          <w:lang w:val="es-ES"/>
        </w:rPr>
        <w:t>mencionado</w:t>
      </w:r>
      <w:r w:rsidR="004D00D3" w:rsidRPr="00291251">
        <w:rPr>
          <w:rFonts w:ascii="Arial" w:hAnsi="Arial" w:cs="Arial"/>
          <w:lang w:val="es-ES"/>
        </w:rPr>
        <w:t xml:space="preserve">, </w:t>
      </w:r>
      <w:r w:rsidR="009C3C43" w:rsidRPr="00291251">
        <w:rPr>
          <w:rFonts w:ascii="Arial" w:hAnsi="Arial" w:cs="Arial"/>
          <w:lang w:val="es-ES"/>
        </w:rPr>
        <w:t xml:space="preserve">en donde se dispone </w:t>
      </w:r>
      <w:r w:rsidR="001836AB" w:rsidRPr="00291251">
        <w:rPr>
          <w:rFonts w:ascii="Arial" w:hAnsi="Arial" w:cs="Arial"/>
          <w:lang w:val="es-ES"/>
        </w:rPr>
        <w:t>que «</w:t>
      </w:r>
      <w:r w:rsidR="001836AB" w:rsidRPr="00291251">
        <w:rPr>
          <w:rFonts w:ascii="Arial" w:hAnsi="Arial" w:cs="Arial"/>
          <w:lang w:val="es-MX"/>
        </w:rPr>
        <w:t>En los procesos adelantados en el SECOP I, las subsanaciones, explicaciones y aclaraciones se presentarán por cualquier medio: en físico, entre las horas de atención al público; o por correo electrónico hasta las 11:59 p. m. del día establecido en el cronograma»</w:t>
      </w:r>
      <w:r w:rsidR="004F5111" w:rsidRPr="00291251">
        <w:rPr>
          <w:rFonts w:ascii="Arial" w:hAnsi="Arial" w:cs="Arial"/>
          <w:lang w:val="es-MX"/>
        </w:rPr>
        <w:t xml:space="preserve">. Aunado a lo anterior, </w:t>
      </w:r>
      <w:r w:rsidR="007D4812" w:rsidRPr="00291251">
        <w:rPr>
          <w:rFonts w:ascii="Arial" w:hAnsi="Arial" w:cs="Arial"/>
          <w:lang w:val="es-MX"/>
        </w:rPr>
        <w:t>el inciso tercero d</w:t>
      </w:r>
      <w:r w:rsidR="007303CF" w:rsidRPr="00291251">
        <w:rPr>
          <w:rFonts w:ascii="Arial" w:hAnsi="Arial" w:cs="Arial"/>
          <w:lang w:val="es-MX"/>
        </w:rPr>
        <w:t>el numeral 1.</w:t>
      </w:r>
      <w:r w:rsidR="000A56F7" w:rsidRPr="00291251">
        <w:rPr>
          <w:rFonts w:ascii="Arial" w:hAnsi="Arial" w:cs="Arial"/>
          <w:lang w:val="es-MX"/>
        </w:rPr>
        <w:t>3 «comunicaciones y observaciones al proceso»</w:t>
      </w:r>
      <w:r w:rsidR="007303CF" w:rsidRPr="00291251">
        <w:rPr>
          <w:rFonts w:ascii="Arial" w:hAnsi="Arial" w:cs="Arial"/>
          <w:lang w:val="es-MX"/>
        </w:rPr>
        <w:t xml:space="preserve"> del Documento base</w:t>
      </w:r>
      <w:r w:rsidR="00034719" w:rsidRPr="00291251">
        <w:rPr>
          <w:rFonts w:ascii="Arial" w:hAnsi="Arial" w:cs="Arial"/>
          <w:lang w:val="es-MX"/>
        </w:rPr>
        <w:t xml:space="preserve"> dispone que: </w:t>
      </w:r>
    </w:p>
    <w:p w14:paraId="019C4E71" w14:textId="77777777" w:rsidR="00A14154" w:rsidRPr="00291251" w:rsidRDefault="00A14154" w:rsidP="004A000C">
      <w:pPr>
        <w:spacing w:after="0" w:line="240" w:lineRule="auto"/>
        <w:ind w:firstLine="708"/>
        <w:jc w:val="both"/>
        <w:rPr>
          <w:rFonts w:ascii="Arial" w:hAnsi="Arial" w:cs="Arial"/>
          <w:lang w:val="es-MX"/>
        </w:rPr>
      </w:pPr>
    </w:p>
    <w:p w14:paraId="3115505F" w14:textId="71B603CD" w:rsidR="00FC3C18" w:rsidRPr="00291251" w:rsidRDefault="007303CF" w:rsidP="004A000C">
      <w:pPr>
        <w:spacing w:after="0" w:line="240" w:lineRule="auto"/>
        <w:ind w:left="709" w:right="709"/>
        <w:jc w:val="both"/>
        <w:rPr>
          <w:rFonts w:ascii="Arial" w:hAnsi="Arial" w:cs="Arial"/>
          <w:sz w:val="21"/>
          <w:szCs w:val="21"/>
          <w:lang w:val="es-MX"/>
        </w:rPr>
      </w:pPr>
      <w:r w:rsidRPr="00291251">
        <w:rPr>
          <w:rFonts w:ascii="Arial" w:hAnsi="Arial" w:cs="Arial"/>
          <w:sz w:val="21"/>
          <w:szCs w:val="21"/>
          <w:lang w:val="es-MX"/>
        </w:rPr>
        <w:t xml:space="preserve">La correspondencia física debe entregarse en </w:t>
      </w:r>
      <w:r w:rsidRPr="00EB70EC">
        <w:rPr>
          <w:rFonts w:ascii="Arial" w:hAnsi="Arial" w:cs="Arial"/>
          <w:sz w:val="21"/>
          <w:szCs w:val="21"/>
          <w:highlight w:val="lightGray"/>
          <w:lang w:val="es-MX"/>
        </w:rPr>
        <w:t>[dirección de la entidad estatal e identificación de la oficina donde se debe radicar]</w:t>
      </w:r>
      <w:r w:rsidRPr="00291251">
        <w:rPr>
          <w:rFonts w:ascii="Arial" w:hAnsi="Arial" w:cs="Arial"/>
          <w:sz w:val="21"/>
          <w:szCs w:val="21"/>
          <w:lang w:val="es-MX"/>
        </w:rPr>
        <w:t xml:space="preserve"> en </w:t>
      </w:r>
      <w:r w:rsidRPr="00EB70EC">
        <w:rPr>
          <w:rFonts w:ascii="Arial" w:hAnsi="Arial" w:cs="Arial"/>
          <w:sz w:val="21"/>
          <w:szCs w:val="21"/>
          <w:highlight w:val="lightGray"/>
          <w:lang w:val="es-MX"/>
        </w:rPr>
        <w:t>[nombre de la ciudad o municipio]</w:t>
      </w:r>
      <w:r w:rsidRPr="009B356D">
        <w:rPr>
          <w:rFonts w:ascii="Arial" w:hAnsi="Arial" w:cs="Arial"/>
          <w:sz w:val="21"/>
          <w:szCs w:val="21"/>
          <w:lang w:val="es-MX"/>
        </w:rPr>
        <w:t xml:space="preserve"> de lunes a </w:t>
      </w:r>
      <w:r w:rsidRPr="00EB70EC">
        <w:rPr>
          <w:rFonts w:ascii="Arial" w:hAnsi="Arial" w:cs="Arial"/>
          <w:sz w:val="21"/>
          <w:szCs w:val="21"/>
          <w:highlight w:val="lightGray"/>
          <w:lang w:val="es-MX"/>
        </w:rPr>
        <w:t>[último día de atención en la semana]</w:t>
      </w:r>
      <w:r w:rsidRPr="00291251">
        <w:rPr>
          <w:rFonts w:ascii="Arial" w:hAnsi="Arial" w:cs="Arial"/>
          <w:sz w:val="21"/>
          <w:szCs w:val="21"/>
          <w:lang w:val="es-MX"/>
        </w:rPr>
        <w:t xml:space="preserve"> entre </w:t>
      </w:r>
      <w:r w:rsidRPr="00EB70EC">
        <w:rPr>
          <w:rFonts w:ascii="Arial" w:hAnsi="Arial" w:cs="Arial"/>
          <w:sz w:val="21"/>
          <w:szCs w:val="21"/>
          <w:highlight w:val="lightGray"/>
          <w:lang w:val="es-MX"/>
        </w:rPr>
        <w:t>[horario de atención al público]</w:t>
      </w:r>
      <w:r w:rsidRPr="00291251">
        <w:rPr>
          <w:rFonts w:ascii="Arial" w:hAnsi="Arial" w:cs="Arial"/>
          <w:sz w:val="21"/>
          <w:szCs w:val="21"/>
          <w:lang w:val="es-MX"/>
        </w:rPr>
        <w:t xml:space="preserve">. La correspondencia electrónica debe enviarse al correo electrónico </w:t>
      </w:r>
      <w:r w:rsidRPr="00EB70EC">
        <w:rPr>
          <w:rFonts w:ascii="Arial" w:hAnsi="Arial" w:cs="Arial"/>
          <w:sz w:val="21"/>
          <w:szCs w:val="21"/>
          <w:highlight w:val="lightGray"/>
          <w:lang w:val="es-MX"/>
        </w:rPr>
        <w:t>[correo de la entidad estatal]</w:t>
      </w:r>
      <w:r w:rsidRPr="00291251">
        <w:rPr>
          <w:rFonts w:ascii="Arial" w:hAnsi="Arial" w:cs="Arial"/>
          <w:sz w:val="21"/>
          <w:szCs w:val="21"/>
          <w:lang w:val="es-MX"/>
        </w:rPr>
        <w:t xml:space="preserve"> y el horario permitido es hasta las 11:59 </w:t>
      </w:r>
      <w:proofErr w:type="spellStart"/>
      <w:r w:rsidRPr="00291251">
        <w:rPr>
          <w:rFonts w:ascii="Arial" w:hAnsi="Arial" w:cs="Arial"/>
          <w:sz w:val="21"/>
          <w:szCs w:val="21"/>
          <w:lang w:val="es-MX"/>
        </w:rPr>
        <w:t>p.m</w:t>
      </w:r>
      <w:proofErr w:type="spellEnd"/>
      <w:r w:rsidRPr="00291251">
        <w:rPr>
          <w:rFonts w:ascii="Arial" w:hAnsi="Arial" w:cs="Arial"/>
          <w:sz w:val="21"/>
          <w:szCs w:val="21"/>
          <w:lang w:val="es-MX"/>
        </w:rPr>
        <w:t xml:space="preserve"> del día establecido en el cronograma, salvo que éste establezca una hora concreta.</w:t>
      </w:r>
      <w:r w:rsidR="008316BB" w:rsidRPr="00291251">
        <w:rPr>
          <w:rFonts w:ascii="Arial" w:hAnsi="Arial" w:cs="Arial"/>
          <w:sz w:val="21"/>
          <w:szCs w:val="21"/>
          <w:lang w:val="es-MX"/>
        </w:rPr>
        <w:t xml:space="preserve"> </w:t>
      </w:r>
    </w:p>
    <w:p w14:paraId="34743969" w14:textId="77777777" w:rsidR="00A14154" w:rsidRPr="00291251" w:rsidRDefault="00A14154" w:rsidP="00AB168C">
      <w:pPr>
        <w:spacing w:after="0" w:line="276" w:lineRule="auto"/>
        <w:ind w:left="709" w:right="709" w:firstLine="709"/>
        <w:jc w:val="both"/>
        <w:rPr>
          <w:rFonts w:ascii="Arial" w:hAnsi="Arial" w:cs="Arial"/>
          <w:lang w:val="es-MX"/>
        </w:rPr>
      </w:pPr>
    </w:p>
    <w:p w14:paraId="6A994A41" w14:textId="100B0334" w:rsidR="004F5111" w:rsidRPr="00291251" w:rsidRDefault="00543B2C" w:rsidP="00AB168C">
      <w:pPr>
        <w:spacing w:after="120" w:line="276" w:lineRule="auto"/>
        <w:ind w:firstLine="709"/>
        <w:jc w:val="both"/>
        <w:rPr>
          <w:rFonts w:ascii="Arial" w:hAnsi="Arial" w:cs="Arial"/>
          <w:lang w:val="es-ES"/>
        </w:rPr>
      </w:pPr>
      <w:r w:rsidRPr="00291251">
        <w:rPr>
          <w:rFonts w:ascii="Arial" w:hAnsi="Arial" w:cs="Arial"/>
          <w:lang w:val="es-MX"/>
        </w:rPr>
        <w:t>Conforme con lo anterior</w:t>
      </w:r>
      <w:r w:rsidR="004F5111" w:rsidRPr="00291251">
        <w:rPr>
          <w:rFonts w:ascii="Arial" w:hAnsi="Arial" w:cs="Arial"/>
          <w:lang w:val="es-MX"/>
        </w:rPr>
        <w:t xml:space="preserve">, si las subsanaciones </w:t>
      </w:r>
      <w:r w:rsidRPr="00291251">
        <w:rPr>
          <w:rFonts w:ascii="Arial" w:hAnsi="Arial" w:cs="Arial"/>
          <w:lang w:val="es-MX"/>
        </w:rPr>
        <w:t xml:space="preserve">se presentan </w:t>
      </w:r>
      <w:r w:rsidR="004F5111" w:rsidRPr="00291251">
        <w:rPr>
          <w:rFonts w:ascii="Arial" w:hAnsi="Arial" w:cs="Arial"/>
          <w:lang w:val="es-MX"/>
        </w:rPr>
        <w:t>al proceso de selección por correo electrónico</w:t>
      </w:r>
      <w:r w:rsidR="00221AE4">
        <w:rPr>
          <w:rFonts w:ascii="Arial" w:hAnsi="Arial" w:cs="Arial"/>
          <w:lang w:val="es-MX"/>
        </w:rPr>
        <w:t>,</w:t>
      </w:r>
      <w:r w:rsidR="004F5111" w:rsidRPr="00291251">
        <w:rPr>
          <w:rFonts w:ascii="Arial" w:hAnsi="Arial" w:cs="Arial"/>
          <w:lang w:val="es-MX"/>
        </w:rPr>
        <w:t xml:space="preserve"> el plazo será hasta antes de la media noche del último día </w:t>
      </w:r>
      <w:r w:rsidR="00CA637B" w:rsidRPr="00291251">
        <w:rPr>
          <w:rFonts w:ascii="Arial" w:hAnsi="Arial" w:cs="Arial"/>
          <w:lang w:val="es-MX"/>
        </w:rPr>
        <w:t>que este termine</w:t>
      </w:r>
      <w:r w:rsidR="004F5111" w:rsidRPr="00291251">
        <w:rPr>
          <w:rFonts w:ascii="Arial" w:hAnsi="Arial" w:cs="Arial"/>
          <w:lang w:val="es-MX"/>
        </w:rPr>
        <w:t>, esto es</w:t>
      </w:r>
      <w:r w:rsidR="003C6902">
        <w:rPr>
          <w:rFonts w:ascii="Arial" w:hAnsi="Arial" w:cs="Arial"/>
          <w:lang w:val="es-MX"/>
        </w:rPr>
        <w:t>,</w:t>
      </w:r>
      <w:r w:rsidR="004F5111" w:rsidRPr="00291251">
        <w:rPr>
          <w:rFonts w:ascii="Arial" w:hAnsi="Arial" w:cs="Arial"/>
          <w:lang w:val="es-MX"/>
        </w:rPr>
        <w:t xml:space="preserve"> hasta las 11.59 pm</w:t>
      </w:r>
      <w:r w:rsidR="00E24DA1" w:rsidRPr="00291251">
        <w:rPr>
          <w:rFonts w:ascii="Arial" w:hAnsi="Arial" w:cs="Arial"/>
          <w:lang w:val="es-MX"/>
        </w:rPr>
        <w:t>. Por el contrario,</w:t>
      </w:r>
      <w:r w:rsidR="004F5111" w:rsidRPr="00291251">
        <w:rPr>
          <w:rFonts w:ascii="Arial" w:hAnsi="Arial" w:cs="Arial"/>
          <w:lang w:val="es-MX"/>
        </w:rPr>
        <w:t xml:space="preserve"> si se presentan en físico debe ser </w:t>
      </w:r>
      <w:r w:rsidR="00B00C41" w:rsidRPr="00291251">
        <w:rPr>
          <w:rFonts w:ascii="Arial" w:hAnsi="Arial" w:cs="Arial"/>
          <w:lang w:val="es-MX"/>
        </w:rPr>
        <w:t xml:space="preserve">entre el horario de </w:t>
      </w:r>
      <w:r w:rsidR="004F5111" w:rsidRPr="00291251">
        <w:rPr>
          <w:rFonts w:ascii="Arial" w:hAnsi="Arial" w:cs="Arial"/>
          <w:lang w:val="es-MX"/>
        </w:rPr>
        <w:t>atención al público</w:t>
      </w:r>
      <w:r w:rsidR="005C7BF3" w:rsidRPr="00291251">
        <w:rPr>
          <w:rFonts w:ascii="Arial" w:hAnsi="Arial" w:cs="Arial"/>
          <w:lang w:val="es-MX"/>
        </w:rPr>
        <w:t xml:space="preserve"> que defina la entidad</w:t>
      </w:r>
      <w:r w:rsidR="00B00C41" w:rsidRPr="00291251">
        <w:rPr>
          <w:rFonts w:ascii="Arial" w:hAnsi="Arial" w:cs="Arial"/>
          <w:lang w:val="es-MX"/>
        </w:rPr>
        <w:t>,</w:t>
      </w:r>
      <w:r w:rsidR="005C7BF3" w:rsidRPr="00291251">
        <w:rPr>
          <w:rFonts w:ascii="Arial" w:hAnsi="Arial" w:cs="Arial"/>
          <w:lang w:val="es-MX"/>
        </w:rPr>
        <w:t xml:space="preserve"> diligenciando </w:t>
      </w:r>
      <w:r w:rsidR="00BE4AF7" w:rsidRPr="00291251">
        <w:rPr>
          <w:rFonts w:ascii="Arial" w:hAnsi="Arial" w:cs="Arial"/>
          <w:lang w:val="es-MX"/>
        </w:rPr>
        <w:t xml:space="preserve">el aparte </w:t>
      </w:r>
      <w:r w:rsidR="00AA45C0" w:rsidRPr="00EB70EC">
        <w:rPr>
          <w:rFonts w:ascii="Arial" w:hAnsi="Arial" w:cs="Arial"/>
          <w:highlight w:val="lightGray"/>
          <w:lang w:val="es-MX"/>
        </w:rPr>
        <w:t>[horario de atención al público]</w:t>
      </w:r>
      <w:r w:rsidR="008C707B" w:rsidRPr="00291251">
        <w:rPr>
          <w:rFonts w:ascii="Arial" w:hAnsi="Arial" w:cs="Arial"/>
          <w:lang w:val="es-MX"/>
        </w:rPr>
        <w:t>,</w:t>
      </w:r>
      <w:r w:rsidR="00BE4AF7" w:rsidRPr="00291251">
        <w:rPr>
          <w:rFonts w:ascii="Arial" w:hAnsi="Arial" w:cs="Arial"/>
          <w:lang w:val="es-MX"/>
        </w:rPr>
        <w:t xml:space="preserve"> </w:t>
      </w:r>
      <w:r w:rsidR="00041D21" w:rsidRPr="00291251">
        <w:rPr>
          <w:rFonts w:ascii="Arial" w:hAnsi="Arial" w:cs="Arial"/>
          <w:lang w:val="es-MX"/>
        </w:rPr>
        <w:t xml:space="preserve">teniendo en cuenta que el mismo </w:t>
      </w:r>
      <w:r w:rsidR="00041D21" w:rsidRPr="00291251">
        <w:rPr>
          <w:rFonts w:ascii="Arial" w:eastAsia="Calibri" w:hAnsi="Arial" w:cs="Arial"/>
          <w:color w:val="000000"/>
        </w:rPr>
        <w:t>se encuentra entre corchetes y resalto en gris</w:t>
      </w:r>
      <w:r w:rsidR="00D37A1B" w:rsidRPr="00291251">
        <w:rPr>
          <w:rStyle w:val="Refdenotaalpie"/>
          <w:rFonts w:ascii="Arial" w:hAnsi="Arial" w:cs="Arial"/>
          <w:lang w:val="es-MX"/>
        </w:rPr>
        <w:footnoteReference w:id="10"/>
      </w:r>
      <w:r w:rsidR="00B00C41" w:rsidRPr="00291251">
        <w:rPr>
          <w:rFonts w:ascii="Arial" w:hAnsi="Arial" w:cs="Arial"/>
          <w:lang w:val="es-MX"/>
        </w:rPr>
        <w:t>.</w:t>
      </w:r>
    </w:p>
    <w:p w14:paraId="47B0763F" w14:textId="757C5BB7" w:rsidR="00BA276A" w:rsidRPr="00291251" w:rsidRDefault="00BA276A" w:rsidP="00AB168C">
      <w:pPr>
        <w:spacing w:after="120" w:line="276" w:lineRule="auto"/>
        <w:ind w:firstLine="709"/>
        <w:jc w:val="both"/>
        <w:rPr>
          <w:rFonts w:ascii="Arial" w:hAnsi="Arial" w:cs="Arial"/>
          <w:lang w:val="es-ES"/>
        </w:rPr>
      </w:pPr>
      <w:r w:rsidRPr="00291251">
        <w:rPr>
          <w:rFonts w:ascii="Arial" w:hAnsi="Arial" w:cs="Arial"/>
          <w:lang w:val="es-ES"/>
        </w:rPr>
        <w:lastRenderedPageBreak/>
        <w:t>Ahora bien, el c</w:t>
      </w:r>
      <w:r w:rsidR="003C6902">
        <w:rPr>
          <w:rFonts w:ascii="Arial" w:hAnsi="Arial" w:cs="Arial"/>
          <w:lang w:val="es-ES"/>
        </w:rPr>
        <w:t>ó</w:t>
      </w:r>
      <w:r w:rsidRPr="00291251">
        <w:rPr>
          <w:rFonts w:ascii="Arial" w:hAnsi="Arial" w:cs="Arial"/>
          <w:lang w:val="es-ES"/>
        </w:rPr>
        <w:t xml:space="preserve">mputo </w:t>
      </w:r>
      <w:r w:rsidR="00280B29" w:rsidRPr="00291251">
        <w:rPr>
          <w:rFonts w:ascii="Arial" w:hAnsi="Arial" w:cs="Arial"/>
          <w:lang w:val="es-ES"/>
        </w:rPr>
        <w:t xml:space="preserve">de </w:t>
      </w:r>
      <w:r w:rsidRPr="00291251">
        <w:rPr>
          <w:rFonts w:ascii="Arial" w:hAnsi="Arial" w:cs="Arial"/>
          <w:lang w:val="es-ES"/>
        </w:rPr>
        <w:t>cualquier plazo o t</w:t>
      </w:r>
      <w:r w:rsidR="003C6902">
        <w:rPr>
          <w:rFonts w:ascii="Arial" w:hAnsi="Arial" w:cs="Arial"/>
          <w:lang w:val="es-ES"/>
        </w:rPr>
        <w:t>é</w:t>
      </w:r>
      <w:r w:rsidRPr="00291251">
        <w:rPr>
          <w:rFonts w:ascii="Arial" w:hAnsi="Arial" w:cs="Arial"/>
          <w:lang w:val="es-ES"/>
        </w:rPr>
        <w:t>rmino contenido en la ley resulta inmutable, así las cosas, todo t</w:t>
      </w:r>
      <w:r w:rsidR="003C6902">
        <w:rPr>
          <w:rFonts w:ascii="Arial" w:hAnsi="Arial" w:cs="Arial"/>
          <w:lang w:val="es-ES"/>
        </w:rPr>
        <w:t>é</w:t>
      </w:r>
      <w:r w:rsidRPr="00291251">
        <w:rPr>
          <w:rFonts w:ascii="Arial" w:hAnsi="Arial" w:cs="Arial"/>
          <w:lang w:val="es-ES"/>
        </w:rPr>
        <w:t xml:space="preserve">rmino o plazo </w:t>
      </w:r>
      <w:r w:rsidR="00C10551">
        <w:rPr>
          <w:rFonts w:ascii="Arial" w:hAnsi="Arial" w:cs="Arial"/>
          <w:lang w:val="es-ES"/>
        </w:rPr>
        <w:t>fijado</w:t>
      </w:r>
      <w:r w:rsidRPr="00291251">
        <w:rPr>
          <w:rFonts w:ascii="Arial" w:hAnsi="Arial" w:cs="Arial"/>
          <w:lang w:val="es-ES"/>
        </w:rPr>
        <w:t xml:space="preserve"> legalmente en horas, días, meses o años deberá cumplirse</w:t>
      </w:r>
      <w:r w:rsidR="00280B29" w:rsidRPr="00291251">
        <w:rPr>
          <w:rFonts w:ascii="Arial" w:hAnsi="Arial" w:cs="Arial"/>
          <w:lang w:val="es-ES"/>
        </w:rPr>
        <w:t>,</w:t>
      </w:r>
      <w:r w:rsidRPr="00291251">
        <w:rPr>
          <w:rFonts w:ascii="Arial" w:hAnsi="Arial" w:cs="Arial"/>
          <w:lang w:val="es-ES"/>
        </w:rPr>
        <w:t xml:space="preserve"> desplegarse y computarse de acuerdo con las reglas especiales y concretas aplicables a cada uno de ellos. Conforme con lo anterior, si el </w:t>
      </w:r>
      <w:r w:rsidR="00280B29" w:rsidRPr="00291251">
        <w:rPr>
          <w:rFonts w:ascii="Arial" w:hAnsi="Arial" w:cs="Arial"/>
          <w:lang w:val="es-ES"/>
        </w:rPr>
        <w:t>término</w:t>
      </w:r>
      <w:r w:rsidRPr="00291251">
        <w:rPr>
          <w:rFonts w:ascii="Arial" w:hAnsi="Arial" w:cs="Arial"/>
          <w:lang w:val="es-ES"/>
        </w:rPr>
        <w:t xml:space="preserve"> de la ley se fijó en días, su conteo debe seguir las reglas legales para su c</w:t>
      </w:r>
      <w:r w:rsidR="003C6902">
        <w:rPr>
          <w:rFonts w:ascii="Arial" w:hAnsi="Arial" w:cs="Arial"/>
          <w:lang w:val="es-ES"/>
        </w:rPr>
        <w:t>ó</w:t>
      </w:r>
      <w:r w:rsidRPr="00291251">
        <w:rPr>
          <w:rFonts w:ascii="Arial" w:hAnsi="Arial" w:cs="Arial"/>
          <w:lang w:val="es-ES"/>
        </w:rPr>
        <w:t>mputo, pues dichas normas</w:t>
      </w:r>
      <w:r w:rsidR="003C6902">
        <w:rPr>
          <w:rFonts w:ascii="Arial" w:hAnsi="Arial" w:cs="Arial"/>
          <w:lang w:val="es-ES"/>
        </w:rPr>
        <w:t>,</w:t>
      </w:r>
      <w:r w:rsidRPr="00291251">
        <w:rPr>
          <w:rFonts w:ascii="Arial" w:hAnsi="Arial" w:cs="Arial"/>
          <w:lang w:val="es-ES"/>
        </w:rPr>
        <w:t xml:space="preserve"> que establecen la forma de </w:t>
      </w:r>
      <w:r w:rsidR="003C6902">
        <w:rPr>
          <w:rFonts w:ascii="Arial" w:hAnsi="Arial" w:cs="Arial"/>
          <w:lang w:val="es-ES"/>
        </w:rPr>
        <w:t>contabilizar</w:t>
      </w:r>
      <w:r w:rsidR="003C6902" w:rsidRPr="00291251">
        <w:rPr>
          <w:rFonts w:ascii="Arial" w:hAnsi="Arial" w:cs="Arial"/>
          <w:lang w:val="es-ES"/>
        </w:rPr>
        <w:t xml:space="preserve"> </w:t>
      </w:r>
      <w:r w:rsidRPr="00291251">
        <w:rPr>
          <w:rFonts w:ascii="Arial" w:hAnsi="Arial" w:cs="Arial"/>
          <w:lang w:val="es-ES"/>
        </w:rPr>
        <w:t>estos términos</w:t>
      </w:r>
      <w:r w:rsidR="003C6902">
        <w:rPr>
          <w:rFonts w:ascii="Arial" w:hAnsi="Arial" w:cs="Arial"/>
          <w:lang w:val="es-ES"/>
        </w:rPr>
        <w:t>,</w:t>
      </w:r>
      <w:r w:rsidRPr="00291251">
        <w:rPr>
          <w:rFonts w:ascii="Arial" w:hAnsi="Arial" w:cs="Arial"/>
          <w:lang w:val="es-ES"/>
        </w:rPr>
        <w:t xml:space="preserve"> son reglas – principios de orden público, que tiene</w:t>
      </w:r>
      <w:r w:rsidR="00280B29" w:rsidRPr="00291251">
        <w:rPr>
          <w:rFonts w:ascii="Arial" w:hAnsi="Arial" w:cs="Arial"/>
          <w:lang w:val="es-ES"/>
        </w:rPr>
        <w:t>n</w:t>
      </w:r>
      <w:r w:rsidRPr="00291251">
        <w:rPr>
          <w:rFonts w:ascii="Arial" w:hAnsi="Arial" w:cs="Arial"/>
          <w:lang w:val="es-ES"/>
        </w:rPr>
        <w:t xml:space="preserve"> como objeto la protección del conglomerado social y se establecen con certeza, teniendo en cuenta que su suceso crea, extingue o modifica un derecho o una obligación. </w:t>
      </w:r>
    </w:p>
    <w:p w14:paraId="71488657" w14:textId="3ED75EFC" w:rsidR="00593A41" w:rsidRDefault="00FC2E63" w:rsidP="00F265D4">
      <w:pPr>
        <w:spacing w:after="0" w:line="276" w:lineRule="auto"/>
        <w:ind w:firstLine="709"/>
        <w:jc w:val="both"/>
        <w:rPr>
          <w:rFonts w:ascii="Arial" w:eastAsia="Times New Roman" w:hAnsi="Arial" w:cs="Arial"/>
          <w:color w:val="000000"/>
          <w:shd w:val="clear" w:color="auto" w:fill="FFFFFF"/>
          <w:lang w:val="es-ES" w:eastAsia="es-MX"/>
        </w:rPr>
      </w:pPr>
      <w:r w:rsidRPr="00291251">
        <w:rPr>
          <w:rFonts w:ascii="Arial" w:eastAsia="Times New Roman" w:hAnsi="Arial" w:cs="Arial"/>
          <w:color w:val="000000"/>
          <w:shd w:val="clear" w:color="auto" w:fill="FFFFFF"/>
          <w:lang w:val="es-ES" w:eastAsia="es-MX"/>
        </w:rPr>
        <w:t xml:space="preserve">En todo caso, el plazo límite para subsanar es el término de traslado del informe de evaluación. Si el proponente no subsana dentro de dicho término, no le será posible allegar tales documentos </w:t>
      </w:r>
      <w:r w:rsidR="006606F5" w:rsidRPr="00291251">
        <w:rPr>
          <w:rFonts w:ascii="Arial" w:eastAsia="Times New Roman" w:hAnsi="Arial" w:cs="Arial"/>
          <w:color w:val="000000"/>
          <w:shd w:val="clear" w:color="auto" w:fill="FFFFFF"/>
          <w:lang w:val="es-ES" w:eastAsia="es-MX"/>
        </w:rPr>
        <w:t>posteriormente</w:t>
      </w:r>
      <w:r w:rsidRPr="00291251">
        <w:rPr>
          <w:rFonts w:ascii="Arial" w:eastAsia="Times New Roman" w:hAnsi="Arial" w:cs="Arial"/>
          <w:color w:val="000000"/>
          <w:shd w:val="clear" w:color="auto" w:fill="FFFFFF"/>
          <w:lang w:val="es-ES" w:eastAsia="es-MX"/>
        </w:rPr>
        <w:t xml:space="preserve">, </w:t>
      </w:r>
      <w:r w:rsidR="00C9653E" w:rsidRPr="00291251">
        <w:rPr>
          <w:rFonts w:ascii="Arial" w:eastAsia="Times New Roman" w:hAnsi="Arial" w:cs="Arial"/>
          <w:color w:val="000000"/>
          <w:shd w:val="clear" w:color="auto" w:fill="FFFFFF"/>
          <w:lang w:val="es-ES" w:eastAsia="es-MX"/>
        </w:rPr>
        <w:t>pues</w:t>
      </w:r>
      <w:r w:rsidRPr="00291251">
        <w:rPr>
          <w:rFonts w:ascii="Arial" w:eastAsia="Times New Roman" w:hAnsi="Arial" w:cs="Arial"/>
          <w:color w:val="000000"/>
          <w:shd w:val="clear" w:color="auto" w:fill="FFFFFF"/>
          <w:lang w:val="es-ES" w:eastAsia="es-MX"/>
        </w:rPr>
        <w:t xml:space="preserve"> la oportunidad para subsanar </w:t>
      </w:r>
      <w:r w:rsidR="00E24DA1" w:rsidRPr="00291251">
        <w:rPr>
          <w:rFonts w:ascii="Arial" w:eastAsia="Times New Roman" w:hAnsi="Arial" w:cs="Arial"/>
          <w:color w:val="000000"/>
          <w:shd w:val="clear" w:color="auto" w:fill="FFFFFF"/>
          <w:lang w:val="es-ES" w:eastAsia="es-MX"/>
        </w:rPr>
        <w:t>d</w:t>
      </w:r>
      <w:r w:rsidRPr="00291251">
        <w:rPr>
          <w:rFonts w:ascii="Arial" w:eastAsia="Times New Roman" w:hAnsi="Arial" w:cs="Arial"/>
          <w:color w:val="000000"/>
          <w:shd w:val="clear" w:color="auto" w:fill="FFFFFF"/>
          <w:lang w:val="es-ES" w:eastAsia="es-MX"/>
        </w:rPr>
        <w:t>el parágrafo 1 del artículo 5 de la Ley 1150 de 2007 ya habría vencido. En ese entendido, la oportunidad para subsanar no podrá extenderse a la audiencia de adjudicación, por lo que no será posible que en esta se alleguen documentos</w:t>
      </w:r>
      <w:r w:rsidR="00C9653E" w:rsidRPr="00291251">
        <w:rPr>
          <w:rFonts w:ascii="Arial" w:eastAsia="Times New Roman" w:hAnsi="Arial" w:cs="Arial"/>
          <w:color w:val="000000"/>
          <w:shd w:val="clear" w:color="auto" w:fill="FFFFFF"/>
          <w:lang w:val="es-ES" w:eastAsia="es-MX"/>
        </w:rPr>
        <w:t xml:space="preserve"> adicionales con la finalidad de</w:t>
      </w:r>
      <w:r w:rsidRPr="00291251">
        <w:rPr>
          <w:rFonts w:ascii="Arial" w:eastAsia="Times New Roman" w:hAnsi="Arial" w:cs="Arial"/>
          <w:color w:val="000000"/>
          <w:shd w:val="clear" w:color="auto" w:fill="FFFFFF"/>
          <w:lang w:val="es-ES" w:eastAsia="es-MX"/>
        </w:rPr>
        <w:t xml:space="preserve"> subsanar.</w:t>
      </w:r>
      <w:r w:rsidRPr="008016A3">
        <w:rPr>
          <w:rFonts w:ascii="Arial" w:eastAsia="Times New Roman" w:hAnsi="Arial" w:cs="Arial"/>
          <w:color w:val="000000"/>
          <w:shd w:val="clear" w:color="auto" w:fill="FFFFFF"/>
          <w:lang w:val="es-ES" w:eastAsia="es-MX"/>
        </w:rPr>
        <w:t xml:space="preserve">  </w:t>
      </w:r>
    </w:p>
    <w:p w14:paraId="52768E7A" w14:textId="77777777" w:rsidR="00F265D4" w:rsidRPr="00F265D4" w:rsidRDefault="00F265D4" w:rsidP="00F265D4">
      <w:pPr>
        <w:spacing w:after="0" w:line="276" w:lineRule="auto"/>
        <w:ind w:firstLine="709"/>
        <w:jc w:val="both"/>
        <w:rPr>
          <w:rFonts w:ascii="Arial" w:eastAsia="Times New Roman" w:hAnsi="Arial" w:cs="Arial"/>
          <w:color w:val="000000"/>
          <w:shd w:val="clear" w:color="auto" w:fill="FFFFFF"/>
          <w:lang w:val="es-ES" w:eastAsia="es-MX"/>
        </w:rPr>
      </w:pPr>
    </w:p>
    <w:p w14:paraId="2346087E" w14:textId="7317C0B3" w:rsidR="008A2777" w:rsidRDefault="008A2777" w:rsidP="008A2777">
      <w:pPr>
        <w:shd w:val="clear" w:color="auto" w:fill="FFFFFF"/>
        <w:spacing w:line="276" w:lineRule="auto"/>
        <w:jc w:val="both"/>
        <w:textAlignment w:val="baseline"/>
        <w:rPr>
          <w:rFonts w:ascii="Arial" w:hAnsi="Arial" w:cs="Arial"/>
          <w:b/>
          <w:bCs/>
          <w:color w:val="000000"/>
          <w:lang w:eastAsia="es-CO"/>
        </w:rPr>
      </w:pPr>
      <w:r w:rsidRPr="00CA5C6B">
        <w:rPr>
          <w:rFonts w:ascii="Arial" w:hAnsi="Arial" w:cs="Arial"/>
          <w:b/>
          <w:bCs/>
          <w:color w:val="000000"/>
          <w:lang w:eastAsia="es-CO"/>
        </w:rPr>
        <w:t xml:space="preserve">2.2. Inalterabilidad de los </w:t>
      </w:r>
      <w:r>
        <w:rPr>
          <w:rFonts w:ascii="Arial" w:hAnsi="Arial" w:cs="Arial"/>
          <w:b/>
          <w:bCs/>
          <w:color w:val="000000"/>
          <w:lang w:eastAsia="es-CO"/>
        </w:rPr>
        <w:t>D</w:t>
      </w:r>
      <w:r w:rsidRPr="00CA5C6B">
        <w:rPr>
          <w:rFonts w:ascii="Arial" w:hAnsi="Arial" w:cs="Arial"/>
          <w:b/>
          <w:bCs/>
          <w:color w:val="000000"/>
          <w:lang w:eastAsia="es-CO"/>
        </w:rPr>
        <w:t xml:space="preserve">ocumentos </w:t>
      </w:r>
      <w:r>
        <w:rPr>
          <w:rFonts w:ascii="Arial" w:hAnsi="Arial" w:cs="Arial"/>
          <w:b/>
          <w:bCs/>
          <w:color w:val="000000"/>
          <w:lang w:eastAsia="es-CO"/>
        </w:rPr>
        <w:t>T</w:t>
      </w:r>
      <w:r w:rsidRPr="00CA5C6B">
        <w:rPr>
          <w:rFonts w:ascii="Arial" w:hAnsi="Arial" w:cs="Arial"/>
          <w:b/>
          <w:bCs/>
          <w:color w:val="000000"/>
          <w:lang w:eastAsia="es-CO"/>
        </w:rPr>
        <w:t>ipo</w:t>
      </w:r>
      <w:r>
        <w:rPr>
          <w:rFonts w:ascii="Arial" w:hAnsi="Arial" w:cs="Arial"/>
          <w:b/>
          <w:bCs/>
          <w:color w:val="000000"/>
          <w:lang w:eastAsia="es-CO"/>
        </w:rPr>
        <w:t xml:space="preserve"> y</w:t>
      </w:r>
      <w:r w:rsidRPr="00CA5C6B">
        <w:rPr>
          <w:rFonts w:ascii="Arial" w:hAnsi="Arial" w:cs="Arial"/>
          <w:b/>
          <w:bCs/>
          <w:color w:val="000000"/>
          <w:lang w:eastAsia="es-CO"/>
        </w:rPr>
        <w:t xml:space="preserve"> sus excepciones </w:t>
      </w:r>
    </w:p>
    <w:p w14:paraId="060195DD" w14:textId="44C944DE" w:rsidR="008A2777" w:rsidRPr="00F476B4" w:rsidRDefault="008253AB" w:rsidP="008A2777">
      <w:pPr>
        <w:shd w:val="clear" w:color="auto" w:fill="FFFFFF"/>
        <w:spacing w:line="276" w:lineRule="auto"/>
        <w:jc w:val="both"/>
        <w:textAlignment w:val="baseline"/>
        <w:rPr>
          <w:rFonts w:ascii="Arial" w:hAnsi="Arial" w:cs="Arial"/>
          <w:b/>
          <w:bCs/>
          <w:color w:val="000000"/>
          <w:lang w:eastAsia="es-CO"/>
        </w:rPr>
      </w:pPr>
      <w:r>
        <w:rPr>
          <w:rFonts w:ascii="Arial" w:hAnsi="Arial" w:cs="Arial"/>
          <w:bCs/>
          <w:lang w:val="es-ES_tradnl"/>
        </w:rPr>
        <w:t xml:space="preserve">La </w:t>
      </w:r>
      <w:r w:rsidR="008A2777" w:rsidRPr="00CA5C6B">
        <w:rPr>
          <w:rFonts w:ascii="Arial" w:hAnsi="Arial" w:cs="Arial"/>
          <w:bCs/>
          <w:lang w:val="es-ES_tradnl"/>
        </w:rPr>
        <w:t>inalterabilidad de los documentos tipo consiste en que las entidades estatales no pueden incluir o modificar en los documentos del proceso las condiciones habilitantes, los factores técnicos y económicos de escogencia y los sistemas de ponderación distintos a los señalados en los documentos tipo. En consecuencia</w:t>
      </w:r>
      <w:bookmarkStart w:id="1" w:name="_Hlk64290904"/>
      <w:r w:rsidR="008A2777" w:rsidRPr="00CA5C6B">
        <w:rPr>
          <w:rFonts w:ascii="Arial" w:hAnsi="Arial" w:cs="Arial"/>
          <w:bCs/>
          <w:lang w:val="es-ES_tradnl"/>
        </w:rPr>
        <w:t>, las condiciones que sean establecidas en los documentos que adopte el Gobierno Nacional, en ejercicio del mandato establecido en el artículo 1 de la Ley 2022 de 2020</w:t>
      </w:r>
      <w:r>
        <w:rPr>
          <w:rFonts w:ascii="Arial" w:hAnsi="Arial" w:cs="Arial"/>
          <w:bCs/>
          <w:lang w:val="es-ES_tradnl"/>
        </w:rPr>
        <w:t xml:space="preserve"> s</w:t>
      </w:r>
      <w:r w:rsidR="008A2777" w:rsidRPr="00CA5C6B">
        <w:rPr>
          <w:rFonts w:ascii="Arial" w:hAnsi="Arial" w:cs="Arial"/>
          <w:bCs/>
          <w:lang w:val="es-ES_tradnl"/>
        </w:rPr>
        <w:t>on de obligatorio cumplimiento para las entidades sometidas al Estatuto General de Contratación de la Administración pública que adelanten procesos que deban regirse por su contenido y no pueden variarse los requisitos que en ellos sean fijados.</w:t>
      </w:r>
      <w:bookmarkEnd w:id="1"/>
      <w:r w:rsidR="008A2777" w:rsidRPr="00CA5C6B">
        <w:rPr>
          <w:rFonts w:ascii="Arial" w:hAnsi="Arial" w:cs="Arial"/>
          <w:bCs/>
          <w:lang w:val="es-ES_tradnl"/>
        </w:rPr>
        <w:t xml:space="preserve"> </w:t>
      </w:r>
    </w:p>
    <w:p w14:paraId="05DEE667" w14:textId="20E51DEF" w:rsidR="008A2777" w:rsidRPr="00CA5C6B" w:rsidRDefault="008A2777" w:rsidP="008A2777">
      <w:pPr>
        <w:spacing w:before="120" w:line="276" w:lineRule="auto"/>
        <w:ind w:firstLine="709"/>
        <w:jc w:val="both"/>
        <w:rPr>
          <w:rFonts w:ascii="Arial" w:hAnsi="Arial" w:cs="Arial"/>
          <w:bCs/>
          <w:lang w:val="es-ES_tradnl"/>
        </w:rPr>
      </w:pPr>
      <w:r w:rsidRPr="00CA5C6B">
        <w:rPr>
          <w:rFonts w:ascii="Arial" w:hAnsi="Arial" w:cs="Arial"/>
          <w:bCs/>
          <w:lang w:val="es-ES_tradnl"/>
        </w:rPr>
        <w:t>Esta prohibición la ratifica el artículo 3 de la</w:t>
      </w:r>
      <w:r w:rsidR="00ED6A7A">
        <w:rPr>
          <w:rFonts w:ascii="Arial" w:hAnsi="Arial" w:cs="Arial"/>
          <w:bCs/>
          <w:lang w:val="es-ES_tradnl"/>
        </w:rPr>
        <w:t>s</w:t>
      </w:r>
      <w:r w:rsidRPr="00CA5C6B">
        <w:rPr>
          <w:rFonts w:ascii="Arial" w:hAnsi="Arial" w:cs="Arial"/>
          <w:bCs/>
          <w:lang w:val="es-ES_tradnl"/>
        </w:rPr>
        <w:t xml:space="preserve"> </w:t>
      </w:r>
      <w:r>
        <w:rPr>
          <w:rFonts w:ascii="Arial" w:hAnsi="Arial" w:cs="Arial"/>
          <w:bCs/>
          <w:lang w:val="es-ES_tradnl"/>
        </w:rPr>
        <w:t>R</w:t>
      </w:r>
      <w:r w:rsidRPr="00CA5C6B">
        <w:rPr>
          <w:rFonts w:ascii="Arial" w:hAnsi="Arial" w:cs="Arial"/>
          <w:bCs/>
          <w:lang w:val="es-ES_tradnl"/>
        </w:rPr>
        <w:t>esoluci</w:t>
      </w:r>
      <w:r w:rsidR="00ED6A7A">
        <w:rPr>
          <w:rFonts w:ascii="Arial" w:hAnsi="Arial" w:cs="Arial"/>
          <w:bCs/>
          <w:lang w:val="es-ES_tradnl"/>
        </w:rPr>
        <w:t>o</w:t>
      </w:r>
      <w:r>
        <w:rPr>
          <w:rFonts w:ascii="Arial" w:hAnsi="Arial" w:cs="Arial"/>
          <w:bCs/>
          <w:lang w:val="es-ES_tradnl"/>
        </w:rPr>
        <w:t>n</w:t>
      </w:r>
      <w:r w:rsidR="00ED6A7A">
        <w:rPr>
          <w:rFonts w:ascii="Arial" w:hAnsi="Arial" w:cs="Arial"/>
          <w:bCs/>
          <w:lang w:val="es-ES_tradnl"/>
        </w:rPr>
        <w:t>es</w:t>
      </w:r>
      <w:r w:rsidRPr="00CA5C6B">
        <w:rPr>
          <w:rFonts w:ascii="Arial" w:hAnsi="Arial" w:cs="Arial"/>
          <w:bCs/>
          <w:lang w:val="es-ES_tradnl"/>
        </w:rPr>
        <w:t xml:space="preserve"> No. 240</w:t>
      </w:r>
      <w:r w:rsidR="00ED6A7A">
        <w:rPr>
          <w:rFonts w:ascii="Arial" w:hAnsi="Arial" w:cs="Arial"/>
          <w:bCs/>
          <w:lang w:val="es-ES_tradnl"/>
        </w:rPr>
        <w:t>, 248 y 249</w:t>
      </w:r>
      <w:r w:rsidRPr="00CA5C6B">
        <w:rPr>
          <w:rFonts w:ascii="Arial" w:hAnsi="Arial" w:cs="Arial"/>
          <w:bCs/>
          <w:lang w:val="es-ES_tradnl"/>
        </w:rPr>
        <w:t xml:space="preserve"> de 2020, por medio de las que se </w:t>
      </w:r>
      <w:r>
        <w:rPr>
          <w:rFonts w:ascii="Arial" w:hAnsi="Arial" w:cs="Arial"/>
          <w:bCs/>
          <w:lang w:val="es-ES_tradnl"/>
        </w:rPr>
        <w:t>implementan</w:t>
      </w:r>
      <w:r w:rsidRPr="00CA5C6B">
        <w:rPr>
          <w:rFonts w:ascii="Arial" w:hAnsi="Arial" w:cs="Arial"/>
          <w:bCs/>
          <w:lang w:val="es-ES_tradnl"/>
        </w:rPr>
        <w:t xml:space="preserve"> los documentos tipo para </w:t>
      </w:r>
      <w:r w:rsidR="008253AB">
        <w:rPr>
          <w:rFonts w:ascii="Arial" w:hAnsi="Arial" w:cs="Arial"/>
          <w:bCs/>
          <w:lang w:val="es-ES_tradnl"/>
        </w:rPr>
        <w:t>la</w:t>
      </w:r>
      <w:r w:rsidRPr="00CA5C6B">
        <w:rPr>
          <w:rFonts w:ascii="Arial" w:hAnsi="Arial" w:cs="Arial"/>
          <w:bCs/>
          <w:lang w:val="es-ES_tradnl"/>
        </w:rPr>
        <w:t xml:space="preserve"> modalidad de selección</w:t>
      </w:r>
      <w:r w:rsidR="008253AB">
        <w:rPr>
          <w:rFonts w:ascii="Arial" w:hAnsi="Arial" w:cs="Arial"/>
          <w:bCs/>
          <w:lang w:val="es-ES_tradnl"/>
        </w:rPr>
        <w:t xml:space="preserve"> de licitación de obra de infraestructura de transporte</w:t>
      </w:r>
      <w:r w:rsidR="00ED6A7A">
        <w:rPr>
          <w:rFonts w:ascii="Arial" w:hAnsi="Arial" w:cs="Arial"/>
          <w:bCs/>
          <w:lang w:val="es-ES_tradnl"/>
        </w:rPr>
        <w:t xml:space="preserve"> y agua potable y saneamiento básico</w:t>
      </w:r>
      <w:r w:rsidRPr="00CA5C6B">
        <w:rPr>
          <w:rFonts w:ascii="Arial" w:hAnsi="Arial" w:cs="Arial"/>
          <w:bCs/>
          <w:lang w:val="es-ES_tradnl"/>
        </w:rPr>
        <w:t xml:space="preserve">, al disponer la inalterabilidad de los documentos tipo en los siguientes términos: «Las entidades estatales contratantes no podrán incluir o modificar dentro de los documentos del proceso de selección las condiciones habilitantes, los factores técnicos y económicos de escogencia y los sistemas de ponderación que han sido definidos y señalados en los Documentos Tipo». </w:t>
      </w:r>
    </w:p>
    <w:p w14:paraId="5339A9D9" w14:textId="77777777" w:rsidR="008A2777" w:rsidRPr="00CA5C6B" w:rsidRDefault="008A2777" w:rsidP="008A2777">
      <w:pPr>
        <w:spacing w:before="120" w:line="276" w:lineRule="auto"/>
        <w:ind w:firstLine="708"/>
        <w:jc w:val="both"/>
        <w:rPr>
          <w:rFonts w:ascii="Arial" w:hAnsi="Arial" w:cs="Arial"/>
          <w:bCs/>
          <w:lang w:val="es-ES_tradnl"/>
        </w:rPr>
      </w:pPr>
      <w:r w:rsidRPr="00CA5C6B">
        <w:rPr>
          <w:rFonts w:ascii="Arial" w:hAnsi="Arial" w:cs="Arial"/>
          <w:bCs/>
          <w:lang w:val="es-ES_tradnl"/>
        </w:rPr>
        <w:lastRenderedPageBreak/>
        <w:t xml:space="preserve">Además, las entidades estatales deben garantizar el </w:t>
      </w:r>
      <w:r w:rsidRPr="00CA5C6B">
        <w:rPr>
          <w:rFonts w:ascii="Arial" w:hAnsi="Arial" w:cs="Arial"/>
          <w:bCs/>
          <w:i/>
          <w:iCs/>
          <w:lang w:val="es-ES_tradnl"/>
        </w:rPr>
        <w:t>principio de economía</w:t>
      </w:r>
      <w:r w:rsidRPr="00CA5C6B">
        <w:rPr>
          <w:rFonts w:ascii="Arial" w:hAnsi="Arial" w:cs="Arial"/>
          <w:bCs/>
          <w:lang w:val="es-ES_tradnl"/>
        </w:rPr>
        <w:t>, del cual se desprende que no pueden exigir documentos o requisitos más allá de los que permitan la Constitución, la ley y los reglamentos. Este postulado ha encontrado eco no solo en la contratación estatal</w:t>
      </w:r>
      <w:r w:rsidRPr="00CA5C6B">
        <w:rPr>
          <w:rStyle w:val="Refdenotaalpie"/>
          <w:rFonts w:ascii="Arial" w:hAnsi="Arial" w:cs="Arial"/>
          <w:bCs/>
          <w:lang w:val="es-ES_tradnl"/>
        </w:rPr>
        <w:footnoteReference w:id="11"/>
      </w:r>
      <w:r w:rsidRPr="00CA5C6B">
        <w:rPr>
          <w:rFonts w:ascii="Arial" w:hAnsi="Arial" w:cs="Arial"/>
          <w:bCs/>
          <w:lang w:val="es-ES_tradnl"/>
        </w:rPr>
        <w:t xml:space="preserve"> sino además en la normativa </w:t>
      </w:r>
      <w:proofErr w:type="spellStart"/>
      <w:r w:rsidRPr="00CA5C6B">
        <w:rPr>
          <w:rFonts w:ascii="Arial" w:hAnsi="Arial" w:cs="Arial"/>
          <w:bCs/>
          <w:lang w:val="es-ES_tradnl"/>
        </w:rPr>
        <w:t>antitrámites</w:t>
      </w:r>
      <w:proofErr w:type="spellEnd"/>
      <w:r>
        <w:rPr>
          <w:rFonts w:ascii="Arial" w:hAnsi="Arial" w:cs="Arial"/>
          <w:bCs/>
          <w:lang w:val="es-ES_tradnl"/>
        </w:rPr>
        <w:t>,</w:t>
      </w:r>
      <w:r w:rsidRPr="00CA5C6B">
        <w:rPr>
          <w:rFonts w:ascii="Arial" w:hAnsi="Arial" w:cs="Arial"/>
          <w:bCs/>
          <w:lang w:val="es-ES_tradnl"/>
        </w:rPr>
        <w:t xml:space="preserve"> pues se inscribe dentro de la tendencia de simplificación y racionalización de los procedimientos administrativos</w:t>
      </w:r>
      <w:r w:rsidRPr="00CA5C6B">
        <w:rPr>
          <w:rStyle w:val="Refdenotaalpie"/>
          <w:rFonts w:ascii="Arial" w:hAnsi="Arial" w:cs="Arial"/>
          <w:bCs/>
          <w:lang w:val="es-ES_tradnl"/>
        </w:rPr>
        <w:footnoteReference w:id="12"/>
      </w:r>
      <w:r w:rsidRPr="00CA5C6B">
        <w:rPr>
          <w:rFonts w:ascii="Arial" w:hAnsi="Arial" w:cs="Arial"/>
          <w:bCs/>
          <w:lang w:val="es-ES_tradnl"/>
        </w:rPr>
        <w:t>. De ahí que cuando las autoridades solicitan la entrega de documentación innecesaria, menoscaban el principio de economía.</w:t>
      </w:r>
    </w:p>
    <w:p w14:paraId="6635DF05" w14:textId="77777777" w:rsidR="008A2777" w:rsidRDefault="008A2777" w:rsidP="008A2777">
      <w:pPr>
        <w:spacing w:before="120" w:line="276" w:lineRule="auto"/>
        <w:ind w:firstLine="709"/>
        <w:jc w:val="both"/>
        <w:rPr>
          <w:rFonts w:ascii="Arial" w:hAnsi="Arial" w:cs="Arial"/>
        </w:rPr>
      </w:pPr>
      <w:r w:rsidRPr="00CA5C6B">
        <w:rPr>
          <w:rFonts w:ascii="Arial" w:hAnsi="Arial" w:cs="Arial"/>
        </w:rPr>
        <w:t xml:space="preserve">Por su parte, la parte introductoria de los documentos tipo </w:t>
      </w:r>
      <w:r>
        <w:rPr>
          <w:rFonts w:ascii="Arial" w:hAnsi="Arial" w:cs="Arial"/>
        </w:rPr>
        <w:t>dispone</w:t>
      </w:r>
      <w:r w:rsidRPr="00CA5C6B">
        <w:rPr>
          <w:rFonts w:ascii="Arial" w:hAnsi="Arial" w:cs="Arial"/>
        </w:rPr>
        <w:t xml:space="preserve"> que los aspectos incluidos en corchetes y resaltado gris</w:t>
      </w:r>
      <w:r>
        <w:rPr>
          <w:rFonts w:ascii="Arial" w:hAnsi="Arial" w:cs="Arial"/>
        </w:rPr>
        <w:t xml:space="preserve"> –</w:t>
      </w:r>
      <w:r w:rsidRPr="00BD57F2">
        <w:rPr>
          <w:rFonts w:ascii="Arial" w:hAnsi="Arial" w:cs="Arial"/>
          <w:highlight w:val="lightGray"/>
        </w:rPr>
        <w:t>[texto de ejemplo]</w:t>
      </w:r>
      <w:r>
        <w:rPr>
          <w:rFonts w:ascii="Arial" w:hAnsi="Arial" w:cs="Arial"/>
        </w:rPr>
        <w:t>–</w:t>
      </w:r>
      <w:r w:rsidRPr="00CA5C6B">
        <w:rPr>
          <w:rFonts w:ascii="Arial" w:hAnsi="Arial" w:cs="Arial"/>
        </w:rPr>
        <w:t xml:space="preserve"> deben ser diligenciados por la entidad.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w:t>
      </w:r>
      <w:r>
        <w:rPr>
          <w:rFonts w:ascii="Arial" w:hAnsi="Arial" w:cs="Arial"/>
        </w:rPr>
        <w:t>d</w:t>
      </w:r>
      <w:r w:rsidRPr="00CA5C6B">
        <w:rPr>
          <w:rFonts w:ascii="Arial" w:hAnsi="Arial" w:cs="Arial"/>
        </w:rPr>
        <w:t xml:space="preserve">el </w:t>
      </w:r>
      <w:r>
        <w:rPr>
          <w:rFonts w:ascii="Arial" w:hAnsi="Arial" w:cs="Arial"/>
        </w:rPr>
        <w:t>p</w:t>
      </w:r>
      <w:r w:rsidRPr="00CA5C6B">
        <w:rPr>
          <w:rFonts w:ascii="Arial" w:hAnsi="Arial" w:cs="Arial"/>
        </w:rPr>
        <w:t xml:space="preserve">liego. </w:t>
      </w:r>
    </w:p>
    <w:p w14:paraId="3BB99FF4" w14:textId="77777777" w:rsidR="008A2777" w:rsidRPr="005F293F" w:rsidRDefault="008A2777" w:rsidP="008A2777">
      <w:pPr>
        <w:spacing w:before="120" w:line="276" w:lineRule="auto"/>
        <w:ind w:firstLine="709"/>
        <w:jc w:val="both"/>
        <w:rPr>
          <w:rFonts w:ascii="Arial" w:hAnsi="Arial" w:cs="Arial"/>
          <w:bCs/>
        </w:rPr>
      </w:pPr>
      <w:r>
        <w:rPr>
          <w:rFonts w:ascii="Arial" w:hAnsi="Arial" w:cs="Arial"/>
          <w:bCs/>
        </w:rPr>
        <w:t xml:space="preserve">Debe precisarse que, </w:t>
      </w:r>
      <w:r w:rsidRPr="00BE6266">
        <w:rPr>
          <w:rFonts w:ascii="Arial" w:hAnsi="Arial" w:cs="Arial"/>
          <w:bCs/>
        </w:rPr>
        <w:t>la entidad durante la etapa de planeación como resultado del estudio del sector y del análisis de riesgo, debe establecer las condiciones necesarias para garantizar la ejecución del contrato, teniendo en cuenta la necesidad que pretende satisfacer, el objeto, alcance, especificaciones técnicas, forma de pago y demás aspectos inherentes al proyecto. De allí que estas condiciones, al ser fijadas por parte de la entidad, pueden implicar modificaciones a los documentos tipo, las cuales deben ser adecuadas, proporcionales y consecuentes con su contenido, respetando el principio de inalterabilidad.</w:t>
      </w:r>
    </w:p>
    <w:p w14:paraId="5B3A2503" w14:textId="0B8CBFB7" w:rsidR="008A2777" w:rsidRPr="00CA5C6B" w:rsidRDefault="008A2777" w:rsidP="008A2777">
      <w:pPr>
        <w:spacing w:before="120" w:line="276" w:lineRule="auto"/>
        <w:ind w:firstLine="709"/>
        <w:jc w:val="both"/>
        <w:rPr>
          <w:rFonts w:ascii="Arial" w:hAnsi="Arial" w:cs="Arial"/>
        </w:rPr>
      </w:pPr>
      <w:r>
        <w:rPr>
          <w:rFonts w:ascii="Arial" w:hAnsi="Arial" w:cs="Arial"/>
        </w:rPr>
        <w:t>Además</w:t>
      </w:r>
      <w:r w:rsidRPr="00CA5C6B">
        <w:rPr>
          <w:rFonts w:ascii="Arial" w:hAnsi="Arial" w:cs="Arial"/>
        </w:rPr>
        <w:t xml:space="preserve">, </w:t>
      </w:r>
      <w:r w:rsidRPr="00F73604">
        <w:rPr>
          <w:rFonts w:ascii="Arial" w:hAnsi="Arial" w:cs="Arial"/>
        </w:rPr>
        <w:t xml:space="preserve">el artículo </w:t>
      </w:r>
      <w:r>
        <w:rPr>
          <w:rFonts w:ascii="Arial" w:hAnsi="Arial" w:cs="Arial"/>
        </w:rPr>
        <w:t>4</w:t>
      </w:r>
      <w:r w:rsidRPr="00F73604">
        <w:rPr>
          <w:rFonts w:ascii="Arial" w:hAnsi="Arial" w:cs="Arial"/>
        </w:rPr>
        <w:t xml:space="preserve"> de la</w:t>
      </w:r>
      <w:r w:rsidR="00ED6A7A">
        <w:rPr>
          <w:rFonts w:ascii="Arial" w:hAnsi="Arial" w:cs="Arial"/>
        </w:rPr>
        <w:t>s</w:t>
      </w:r>
      <w:r w:rsidRPr="00F73604">
        <w:rPr>
          <w:rFonts w:ascii="Arial" w:hAnsi="Arial" w:cs="Arial"/>
        </w:rPr>
        <w:t xml:space="preserve"> Resoluci</w:t>
      </w:r>
      <w:r w:rsidR="00ED6A7A">
        <w:rPr>
          <w:rFonts w:ascii="Arial" w:hAnsi="Arial" w:cs="Arial"/>
        </w:rPr>
        <w:t>o</w:t>
      </w:r>
      <w:r w:rsidRPr="00F73604">
        <w:rPr>
          <w:rFonts w:ascii="Arial" w:hAnsi="Arial" w:cs="Arial"/>
        </w:rPr>
        <w:t>n</w:t>
      </w:r>
      <w:r w:rsidR="00ED6A7A">
        <w:rPr>
          <w:rFonts w:ascii="Arial" w:hAnsi="Arial" w:cs="Arial"/>
        </w:rPr>
        <w:t>es</w:t>
      </w:r>
      <w:r w:rsidRPr="00F73604">
        <w:rPr>
          <w:rFonts w:ascii="Arial" w:hAnsi="Arial" w:cs="Arial"/>
        </w:rPr>
        <w:t xml:space="preserve"> No. 240</w:t>
      </w:r>
      <w:r w:rsidR="00ED6A7A">
        <w:rPr>
          <w:rFonts w:ascii="Arial" w:hAnsi="Arial" w:cs="Arial"/>
        </w:rPr>
        <w:t>, 248 y 249</w:t>
      </w:r>
      <w:r w:rsidRPr="00F73604">
        <w:rPr>
          <w:rFonts w:ascii="Arial" w:hAnsi="Arial" w:cs="Arial"/>
        </w:rPr>
        <w:t xml:space="preserve"> de 2020</w:t>
      </w:r>
      <w:r w:rsidRPr="00CA5C6B">
        <w:rPr>
          <w:rFonts w:ascii="Arial" w:hAnsi="Arial" w:cs="Arial"/>
        </w:rPr>
        <w:t xml:space="preserve"> prevé los eventos en los que el objeto contractual incluye bienes o servicios adicionales a la obra pública de infraestructura de transporte</w:t>
      </w:r>
      <w:r w:rsidR="00ED6A7A">
        <w:rPr>
          <w:rFonts w:ascii="Arial" w:hAnsi="Arial" w:cs="Arial"/>
        </w:rPr>
        <w:t xml:space="preserve"> y de agua potable y saneamiento básico</w:t>
      </w:r>
      <w:r w:rsidRPr="00CA5C6B">
        <w:rPr>
          <w:rStyle w:val="Refdenotaalpie"/>
          <w:rFonts w:ascii="Arial" w:hAnsi="Arial" w:cs="Arial"/>
        </w:rPr>
        <w:footnoteReference w:id="13"/>
      </w:r>
      <w:r w:rsidRPr="00CA5C6B">
        <w:rPr>
          <w:rFonts w:ascii="Arial" w:hAnsi="Arial" w:cs="Arial"/>
        </w:rPr>
        <w:t xml:space="preserve">. En este </w:t>
      </w:r>
      <w:r w:rsidRPr="00CA5C6B">
        <w:rPr>
          <w:rFonts w:ascii="Arial" w:hAnsi="Arial" w:cs="Arial"/>
        </w:rPr>
        <w:lastRenderedPageBreak/>
        <w:t xml:space="preserve">caso, la entidad estatal puede complementar experiencia adicional para evaluar la idoneidad respecto de los bienes o servicios ajenos a la obra pública, no obstante, se deberán seguir los siguientes parámetros: i) demostrar en los estudios previos que ha verificado las condiciones de mercado para la adquisición de los bienes o servicios adicionales al componente de obra pública, </w:t>
      </w:r>
      <w:r w:rsidRPr="00F2200B">
        <w:rPr>
          <w:rFonts w:ascii="Arial" w:hAnsi="Arial" w:cs="Arial"/>
        </w:rPr>
        <w:t>de tal manera que la experiencia adicional que se exija para tales bienes o servicios procure la pluralidad de oferentes, y no limite la concurrencia de proponentes al proceso de contratación</w:t>
      </w:r>
      <w:r w:rsidRPr="00CA5C6B">
        <w:rPr>
          <w:rFonts w:ascii="Arial" w:hAnsi="Arial" w:cs="Arial"/>
        </w:rPr>
        <w:t xml:space="preserve">, </w:t>
      </w:r>
      <w:proofErr w:type="spellStart"/>
      <w:r w:rsidRPr="00CA5C6B">
        <w:rPr>
          <w:rFonts w:ascii="Arial" w:hAnsi="Arial" w:cs="Arial"/>
        </w:rPr>
        <w:t>ii</w:t>
      </w:r>
      <w:proofErr w:type="spellEnd"/>
      <w:r w:rsidRPr="00CA5C6B">
        <w:rPr>
          <w:rFonts w:ascii="Arial" w:hAnsi="Arial" w:cs="Arial"/>
        </w:rPr>
        <w:t xml:space="preserve">) conservar los requisitos exigidos en los documentos tipo, </w:t>
      </w:r>
      <w:proofErr w:type="spellStart"/>
      <w:r w:rsidRPr="00CA5C6B">
        <w:rPr>
          <w:rFonts w:ascii="Arial" w:hAnsi="Arial" w:cs="Arial"/>
        </w:rPr>
        <w:t>iii</w:t>
      </w:r>
      <w:proofErr w:type="spellEnd"/>
      <w:r w:rsidRPr="00CA5C6B">
        <w:rPr>
          <w:rFonts w:ascii="Arial" w:hAnsi="Arial" w:cs="Arial"/>
        </w:rPr>
        <w:t xml:space="preserve">) abstenerse de pedir experiencia exclusiva con entidades estatales, experiencia previa en un territorio específico, limitada en el tiempo o que incluya volúmenes o cantidades de obra específica, </w:t>
      </w:r>
      <w:r>
        <w:rPr>
          <w:rFonts w:ascii="Arial" w:hAnsi="Arial" w:cs="Arial"/>
        </w:rPr>
        <w:t xml:space="preserve">y </w:t>
      </w:r>
      <w:proofErr w:type="spellStart"/>
      <w:r w:rsidRPr="00CA5C6B">
        <w:rPr>
          <w:rFonts w:ascii="Arial" w:hAnsi="Arial" w:cs="Arial"/>
        </w:rPr>
        <w:t>iv</w:t>
      </w:r>
      <w:proofErr w:type="spellEnd"/>
      <w:r w:rsidRPr="00CA5C6B">
        <w:rPr>
          <w:rFonts w:ascii="Arial" w:hAnsi="Arial" w:cs="Arial"/>
        </w:rPr>
        <w:t xml:space="preserve">) clasificar la experiencia requerida solo hasta el tercer nivel del Clasificador de Bienes y Servicios e incluir exclusivamente los códigos que estén relacionados directamente con el objeto a contratar. </w:t>
      </w:r>
    </w:p>
    <w:p w14:paraId="60AAC7F8" w14:textId="6F441B2A" w:rsidR="008A2777" w:rsidRPr="00CA5C6B" w:rsidRDefault="008A2777" w:rsidP="008A2777">
      <w:pPr>
        <w:spacing w:before="120" w:line="276" w:lineRule="auto"/>
        <w:ind w:firstLine="709"/>
        <w:jc w:val="both"/>
        <w:rPr>
          <w:rFonts w:ascii="Arial" w:hAnsi="Arial" w:cs="Arial"/>
          <w:bCs/>
        </w:rPr>
      </w:pPr>
      <w:r w:rsidRPr="00CA5C6B">
        <w:rPr>
          <w:rFonts w:ascii="Arial" w:hAnsi="Arial" w:cs="Arial"/>
          <w:bCs/>
        </w:rPr>
        <w:t>En suma, la regla general frente la aplicación del «Documento Base» es su inalterabilidad, y no se podrán incluir o modificar en los documentos del proceso las condiciones habilitantes, los factores técnicos y económicos de escogencia y los sistemas de ponderación distintos a los señalados en los documentos tipo</w:t>
      </w:r>
      <w:r>
        <w:rPr>
          <w:rFonts w:ascii="Arial" w:hAnsi="Arial" w:cs="Arial"/>
          <w:bCs/>
        </w:rPr>
        <w:t>. Lo anterior, salvo que</w:t>
      </w:r>
      <w:r w:rsidRPr="00CA5C6B">
        <w:rPr>
          <w:rFonts w:ascii="Arial" w:hAnsi="Arial" w:cs="Arial"/>
          <w:bCs/>
        </w:rPr>
        <w:t xml:space="preserve"> el objeto contractual incluy</w:t>
      </w:r>
      <w:r>
        <w:rPr>
          <w:rFonts w:ascii="Arial" w:hAnsi="Arial" w:cs="Arial"/>
          <w:bCs/>
        </w:rPr>
        <w:t>a</w:t>
      </w:r>
      <w:r w:rsidRPr="00CA5C6B">
        <w:rPr>
          <w:rFonts w:ascii="Arial" w:hAnsi="Arial" w:cs="Arial"/>
          <w:bCs/>
        </w:rPr>
        <w:t xml:space="preserve"> bienes o servicios ajenos a la obra pública de infraestructura de transporte</w:t>
      </w:r>
      <w:r w:rsidR="00ED6A7A">
        <w:rPr>
          <w:rFonts w:ascii="Arial" w:hAnsi="Arial" w:cs="Arial"/>
          <w:bCs/>
        </w:rPr>
        <w:t xml:space="preserve"> o de agua potable y saneamiento básico</w:t>
      </w:r>
      <w:r w:rsidRPr="00CA5C6B">
        <w:rPr>
          <w:rFonts w:ascii="Arial" w:hAnsi="Arial" w:cs="Arial"/>
          <w:bCs/>
        </w:rPr>
        <w:t>, caso en el que se podrá incluir experiencia adicional</w:t>
      </w:r>
      <w:r>
        <w:rPr>
          <w:rFonts w:ascii="Arial" w:hAnsi="Arial" w:cs="Arial"/>
          <w:bCs/>
        </w:rPr>
        <w:t xml:space="preserve"> de manera excepcional</w:t>
      </w:r>
      <w:r w:rsidRPr="00CA5C6B">
        <w:rPr>
          <w:rFonts w:ascii="Arial" w:hAnsi="Arial" w:cs="Arial"/>
          <w:bCs/>
        </w:rPr>
        <w:t xml:space="preserve">; y, además, cuando el pliego tipo de forma expresa lo </w:t>
      </w:r>
      <w:r>
        <w:rPr>
          <w:rFonts w:ascii="Arial" w:hAnsi="Arial" w:cs="Arial"/>
          <w:bCs/>
        </w:rPr>
        <w:t>permita</w:t>
      </w:r>
      <w:r w:rsidRPr="00CA5C6B">
        <w:rPr>
          <w:rFonts w:ascii="Arial" w:hAnsi="Arial" w:cs="Arial"/>
          <w:bCs/>
        </w:rPr>
        <w:t>, es decir, en los aspectos incluidos en corchetes y resaltados en gris.</w:t>
      </w:r>
      <w:r>
        <w:rPr>
          <w:rFonts w:ascii="Arial" w:hAnsi="Arial" w:cs="Arial"/>
          <w:bCs/>
        </w:rPr>
        <w:t xml:space="preserve"> </w:t>
      </w:r>
    </w:p>
    <w:p w14:paraId="6633E246" w14:textId="1F14605C" w:rsidR="006A7349" w:rsidRDefault="008A2777" w:rsidP="0039294B">
      <w:pPr>
        <w:spacing w:before="120" w:after="120" w:line="276" w:lineRule="auto"/>
        <w:ind w:firstLine="709"/>
        <w:jc w:val="both"/>
        <w:rPr>
          <w:rFonts w:ascii="Arial" w:hAnsi="Arial" w:cs="Arial"/>
          <w:color w:val="000000"/>
          <w:shd w:val="clear" w:color="auto" w:fill="FFFFFF"/>
        </w:rPr>
      </w:pPr>
      <w:r w:rsidRPr="00CA5C6B">
        <w:rPr>
          <w:rFonts w:ascii="Arial" w:hAnsi="Arial" w:cs="Arial"/>
          <w:bCs/>
        </w:rPr>
        <w:t xml:space="preserve">Este principio de inalterabilidad también es aplicable a los formatos y anexos implementados junto con el «Documento Base», los cuales deben ser usados para desarrollar el procedimiento de contratación y que los proponentes acrediten los diferentes requisitos establecidos para participar en </w:t>
      </w:r>
      <w:r>
        <w:rPr>
          <w:rFonts w:ascii="Arial" w:hAnsi="Arial" w:cs="Arial"/>
          <w:bCs/>
        </w:rPr>
        <w:t>el proceso de selección</w:t>
      </w:r>
      <w:r w:rsidRPr="00CA5C6B">
        <w:rPr>
          <w:rFonts w:ascii="Arial" w:hAnsi="Arial" w:cs="Arial"/>
          <w:bCs/>
        </w:rPr>
        <w:t>. Estos, al igual que el «Documento Base», contienen apartes entre corchetes y resaltados en gris, los cuales deben ser diligenciados por la entidad, al igual que otros aspectos relativos a información que debe ser completada por los oferentes al hacer uso del formato.</w:t>
      </w:r>
      <w:r w:rsidR="0039294B">
        <w:rPr>
          <w:rFonts w:ascii="Arial" w:hAnsi="Arial" w:cs="Arial"/>
          <w:bCs/>
        </w:rPr>
        <w:t xml:space="preserve"> </w:t>
      </w:r>
      <w:r>
        <w:rPr>
          <w:rFonts w:ascii="Arial" w:eastAsia="Calibri" w:hAnsi="Arial" w:cs="Arial"/>
          <w:bCs/>
          <w:lang w:val="es-ES"/>
        </w:rPr>
        <w:tab/>
      </w:r>
      <w:r>
        <w:rPr>
          <w:rStyle w:val="normaltextrun"/>
          <w:rFonts w:ascii="Arial" w:hAnsi="Arial" w:cs="Arial"/>
          <w:color w:val="000000"/>
          <w:shd w:val="clear" w:color="auto" w:fill="FFFFFF"/>
        </w:rPr>
        <w:t xml:space="preserve"> </w:t>
      </w:r>
    </w:p>
    <w:p w14:paraId="4FDC900E" w14:textId="6BC17B51" w:rsidR="006A7349" w:rsidRDefault="006A7349" w:rsidP="006A7349">
      <w:pPr>
        <w:spacing w:after="0" w:line="276" w:lineRule="auto"/>
        <w:jc w:val="both"/>
        <w:rPr>
          <w:rFonts w:ascii="Arial" w:eastAsia="Calibri" w:hAnsi="Arial" w:cs="Arial"/>
          <w:b/>
          <w:bCs/>
          <w:color w:val="000000"/>
          <w:szCs w:val="24"/>
          <w:lang w:eastAsia="en-GB"/>
        </w:rPr>
      </w:pPr>
      <w:r w:rsidRPr="006A7349">
        <w:rPr>
          <w:rFonts w:ascii="Arial" w:eastAsia="Calibri" w:hAnsi="Arial" w:cs="Arial"/>
          <w:b/>
          <w:bCs/>
          <w:color w:val="000000"/>
          <w:szCs w:val="24"/>
          <w:lang w:eastAsia="en-GB"/>
        </w:rPr>
        <w:t>2.</w:t>
      </w:r>
      <w:r>
        <w:rPr>
          <w:rFonts w:ascii="Arial" w:eastAsia="Calibri" w:hAnsi="Arial" w:cs="Arial"/>
          <w:b/>
          <w:bCs/>
          <w:color w:val="000000"/>
          <w:szCs w:val="24"/>
          <w:lang w:eastAsia="en-GB"/>
        </w:rPr>
        <w:t>3</w:t>
      </w:r>
      <w:r w:rsidRPr="006A7349">
        <w:rPr>
          <w:rFonts w:ascii="Arial" w:eastAsia="Calibri" w:hAnsi="Arial" w:cs="Arial"/>
          <w:b/>
          <w:bCs/>
          <w:color w:val="000000"/>
          <w:szCs w:val="24"/>
          <w:lang w:eastAsia="en-GB"/>
        </w:rPr>
        <w:t xml:space="preserve">. La capacidad residual como requisito habilitante: </w:t>
      </w:r>
      <w:r w:rsidR="008A15A6">
        <w:rPr>
          <w:rFonts w:ascii="Arial" w:eastAsia="Calibri" w:hAnsi="Arial" w:cs="Arial"/>
          <w:b/>
          <w:bCs/>
          <w:color w:val="000000"/>
          <w:szCs w:val="24"/>
          <w:lang w:eastAsia="en-GB"/>
        </w:rPr>
        <w:t>s</w:t>
      </w:r>
      <w:r w:rsidRPr="006A7349">
        <w:rPr>
          <w:rFonts w:ascii="Arial" w:eastAsia="Calibri" w:hAnsi="Arial" w:cs="Arial"/>
          <w:b/>
          <w:bCs/>
          <w:color w:val="000000"/>
          <w:szCs w:val="24"/>
          <w:lang w:eastAsia="en-GB"/>
        </w:rPr>
        <w:t>aldo de Contratos en Ejecución –SCE–</w:t>
      </w:r>
    </w:p>
    <w:p w14:paraId="65AC233E" w14:textId="17D0E03C" w:rsidR="000446F3" w:rsidRDefault="000446F3" w:rsidP="006A7349">
      <w:pPr>
        <w:spacing w:after="0" w:line="276" w:lineRule="auto"/>
        <w:jc w:val="both"/>
        <w:rPr>
          <w:rFonts w:ascii="Arial" w:eastAsia="Calibri" w:hAnsi="Arial" w:cs="Arial"/>
          <w:b/>
          <w:bCs/>
          <w:color w:val="000000"/>
          <w:szCs w:val="24"/>
          <w:lang w:eastAsia="en-GB"/>
        </w:rPr>
      </w:pPr>
    </w:p>
    <w:p w14:paraId="5B8F3E34" w14:textId="78A4C0B8" w:rsidR="006A7349" w:rsidRPr="006A7349" w:rsidRDefault="000446F3" w:rsidP="00EB70EC">
      <w:pPr>
        <w:spacing w:after="120" w:line="276" w:lineRule="auto"/>
        <w:jc w:val="both"/>
        <w:rPr>
          <w:rFonts w:ascii="Arial" w:eastAsia="Calibri" w:hAnsi="Arial" w:cs="Arial"/>
          <w:b/>
          <w:bCs/>
          <w:color w:val="000000"/>
        </w:rPr>
      </w:pPr>
      <w:r w:rsidRPr="00C54AA4">
        <w:rPr>
          <w:rFonts w:ascii="Arial" w:eastAsia="Calibri" w:hAnsi="Arial" w:cs="Arial"/>
          <w:color w:val="000000" w:themeColor="text1"/>
        </w:rPr>
        <w:lastRenderedPageBreak/>
        <w:t>La Agencia Nacional de Contratación Pública − Colombia Compra Eficiente se ha pronunciado sobre</w:t>
      </w:r>
      <w:r w:rsidRPr="003A130E">
        <w:rPr>
          <w:rFonts w:ascii="Arial" w:eastAsia="Calibri" w:hAnsi="Arial" w:cs="Arial"/>
        </w:rPr>
        <w:t xml:space="preserve"> </w:t>
      </w:r>
      <w:r w:rsidRPr="008E15F6">
        <w:rPr>
          <w:rFonts w:ascii="Arial" w:eastAsia="Calibri" w:hAnsi="Arial" w:cs="Arial"/>
        </w:rPr>
        <w:t xml:space="preserve">aspectos relativos a la acreditación del requisito de capacidad residual </w:t>
      </w:r>
      <w:r w:rsidRPr="00120CBD">
        <w:rPr>
          <w:rFonts w:ascii="Arial" w:eastAsia="Calibri" w:hAnsi="Arial" w:cs="Arial"/>
        </w:rPr>
        <w:t>en procesos adelantados con documentos tipo</w:t>
      </w:r>
      <w:r w:rsidRPr="00120CBD">
        <w:rPr>
          <w:rFonts w:ascii="Arial" w:eastAsia="Calibri" w:hAnsi="Arial" w:cs="Arial"/>
          <w:color w:val="000000" w:themeColor="text1"/>
        </w:rPr>
        <w:t xml:space="preserve">, en los conceptos con radicado </w:t>
      </w:r>
      <w:r w:rsidRPr="00120CBD">
        <w:rPr>
          <w:rFonts w:ascii="Arial" w:eastAsia="Calibri" w:hAnsi="Arial" w:cs="Arial"/>
        </w:rPr>
        <w:t>Nos. 2201913000006275 del 27 de agosto de 2019, 4201912000005192 del 9 de septiembre de 2019, 2201913000009465 del 20 de diciembre de 2019 y 2201913000009642 del 26 de diciembre de 2019</w:t>
      </w:r>
      <w:r w:rsidRPr="00120CBD">
        <w:rPr>
          <w:rFonts w:ascii="Arial" w:eastAsia="Calibri" w:hAnsi="Arial" w:cs="Arial"/>
          <w:color w:val="000000" w:themeColor="text1"/>
        </w:rPr>
        <w:t xml:space="preserve">; así como en los conceptos </w:t>
      </w:r>
      <w:r w:rsidRPr="00120CBD">
        <w:rPr>
          <w:rFonts w:ascii="Arial" w:eastAsia="Calibri" w:hAnsi="Arial" w:cs="Arial"/>
        </w:rPr>
        <w:t>C-033 del 13 de marzo de 2020, C-133 del 30 de marzo de 2020, C-196 del 8 de abril de 2020, C-297 del 4 de junio de 2020, C-489 del 23 de julio de 2020, C-522 del 6 de agosto de 2020, C-547 del 21 de agosto de 2020, C-642 de 30 de octubre de 2020, C-668 del 20 de noviembre de 2020, C-720 del 11 de diciembre de 2020, C-789 del 19 de enero de 2021, C-042 del 3 de marzo de 2021</w:t>
      </w:r>
      <w:r>
        <w:rPr>
          <w:rFonts w:ascii="Arial" w:eastAsia="Calibri" w:hAnsi="Arial" w:cs="Arial"/>
        </w:rPr>
        <w:t>,</w:t>
      </w:r>
      <w:r w:rsidRPr="00120CBD">
        <w:rPr>
          <w:rFonts w:ascii="Arial" w:eastAsia="Calibri" w:hAnsi="Arial" w:cs="Arial"/>
        </w:rPr>
        <w:t xml:space="preserve"> C-219 del 19 de mayo</w:t>
      </w:r>
      <w:r>
        <w:rPr>
          <w:rFonts w:ascii="Arial" w:eastAsia="Calibri" w:hAnsi="Arial" w:cs="Arial"/>
        </w:rPr>
        <w:t xml:space="preserve"> de 2021 y C-</w:t>
      </w:r>
      <w:r w:rsidRPr="000446F3">
        <w:rPr>
          <w:rFonts w:ascii="Arial" w:eastAsia="Calibri" w:hAnsi="Arial" w:cs="Arial"/>
        </w:rPr>
        <w:t xml:space="preserve"> 460 de 2021</w:t>
      </w:r>
      <w:r>
        <w:rPr>
          <w:rFonts w:ascii="Arial" w:eastAsia="Calibri" w:hAnsi="Arial" w:cs="Arial"/>
        </w:rPr>
        <w:t xml:space="preserve"> del 2 de septiembre de 2021.</w:t>
      </w:r>
    </w:p>
    <w:p w14:paraId="215237EB" w14:textId="77777777" w:rsidR="006A7349" w:rsidRPr="006A7349" w:rsidRDefault="006A7349" w:rsidP="00EB70EC">
      <w:pPr>
        <w:spacing w:after="0" w:line="276" w:lineRule="auto"/>
        <w:ind w:firstLine="708"/>
        <w:jc w:val="both"/>
        <w:rPr>
          <w:rFonts w:ascii="Arial" w:eastAsia="Calibri" w:hAnsi="Arial" w:cs="Arial"/>
          <w:color w:val="000000"/>
          <w:lang w:val="es-MX"/>
        </w:rPr>
      </w:pPr>
      <w:r w:rsidRPr="006A7349">
        <w:rPr>
          <w:rFonts w:ascii="Arial" w:eastAsia="Calibri" w:hAnsi="Arial" w:cs="Arial"/>
          <w:color w:val="000000"/>
          <w:lang w:val="es-MX"/>
        </w:rPr>
        <w:t>De acuerdo con el artículo 2.2.1.1.1.3.1 del Decreto 1082 de 2015, la capacidad residual es la aptitud de los oferentes para cumplir de manera oportuna y a cabalidad el objeto de un contrato de obra pública, sin que los demás compromisos contractuales que han adquirido afecten su habilidad de cumplir el objeto del contrato que está en proceso de selección</w:t>
      </w:r>
      <w:r w:rsidRPr="006A7349">
        <w:rPr>
          <w:rFonts w:ascii="Arial" w:eastAsia="Calibri" w:hAnsi="Arial" w:cs="Arial"/>
          <w:color w:val="000000"/>
          <w:szCs w:val="20"/>
          <w:vertAlign w:val="superscript"/>
          <w:lang w:val="es-MX"/>
        </w:rPr>
        <w:footnoteReference w:id="14"/>
      </w:r>
      <w:r w:rsidRPr="006A7349">
        <w:rPr>
          <w:rFonts w:ascii="Arial" w:eastAsia="Calibri" w:hAnsi="Arial" w:cs="Arial"/>
          <w:color w:val="000000"/>
          <w:lang w:val="es-MX"/>
        </w:rPr>
        <w:t>. Por su parte, el Consejo de Estado ha definido la capacidad residual como «la diferencia que existe entre el potencial de contratación que se tiene y los compromisos que haya adquirido y que se encuentren en ejecución, para la fecha de presentación de la oferta»</w:t>
      </w:r>
      <w:r w:rsidRPr="006A7349">
        <w:rPr>
          <w:rFonts w:ascii="Arial" w:eastAsia="Calibri" w:hAnsi="Arial" w:cs="Arial"/>
          <w:color w:val="000000"/>
          <w:vertAlign w:val="superscript"/>
          <w:lang w:val="es-MX"/>
        </w:rPr>
        <w:footnoteReference w:id="15"/>
      </w:r>
      <w:r w:rsidRPr="006A7349">
        <w:rPr>
          <w:rFonts w:ascii="Arial" w:eastAsia="Calibri" w:hAnsi="Arial" w:cs="Arial"/>
          <w:color w:val="000000"/>
          <w:lang w:val="es-MX"/>
        </w:rPr>
        <w:t>.</w:t>
      </w:r>
    </w:p>
    <w:p w14:paraId="6A3802D8" w14:textId="77777777" w:rsidR="006A7349" w:rsidRPr="006A7349" w:rsidRDefault="006A7349" w:rsidP="006A7349">
      <w:pPr>
        <w:spacing w:before="120" w:after="0" w:line="276" w:lineRule="auto"/>
        <w:ind w:firstLine="708"/>
        <w:jc w:val="both"/>
        <w:rPr>
          <w:rFonts w:ascii="Arial" w:eastAsia="Calibri" w:hAnsi="Arial" w:cs="Arial"/>
          <w:color w:val="000000"/>
          <w:lang w:val="es-MX"/>
        </w:rPr>
      </w:pPr>
      <w:r w:rsidRPr="006A7349">
        <w:rPr>
          <w:rFonts w:ascii="Arial" w:eastAsia="Calibri" w:hAnsi="Arial" w:cs="Arial"/>
          <w:color w:val="000000"/>
          <w:lang w:val="es-MX"/>
        </w:rPr>
        <w:t xml:space="preserve">De esta manera, la capacidad residual se refiere a la suficiencia que tiene el proponente para asumir nuevas obligaciones que se derivan del contrato objeto del proceso de contratación, en relación con las obligaciones que ya adquirió frente a otros contratos. Por su parte, el artículo 6 de la Ley 1150 de 2007 dispone que la capacidad residual de los interesados en participar en procesos de selección para contratos de obra deberá ser igual o superior al que la entidad ha establecido en los pliegos de condiciones, en los siguientes términos: </w:t>
      </w:r>
    </w:p>
    <w:p w14:paraId="01D1F575" w14:textId="77777777" w:rsidR="006A7349" w:rsidRPr="006A7349" w:rsidRDefault="006A7349" w:rsidP="006A7349">
      <w:pPr>
        <w:spacing w:after="0" w:line="240" w:lineRule="auto"/>
        <w:ind w:right="709"/>
        <w:jc w:val="both"/>
        <w:rPr>
          <w:rFonts w:ascii="Arial" w:eastAsia="Calibri" w:hAnsi="Arial" w:cs="Arial"/>
          <w:color w:val="000000"/>
          <w:sz w:val="21"/>
          <w:szCs w:val="21"/>
          <w:lang w:val="es-MX"/>
        </w:rPr>
      </w:pPr>
    </w:p>
    <w:p w14:paraId="6EC24CF0" w14:textId="77777777" w:rsidR="006A7349" w:rsidRPr="006A7349" w:rsidRDefault="006A7349" w:rsidP="006A7349">
      <w:pPr>
        <w:spacing w:after="120" w:line="240" w:lineRule="auto"/>
        <w:ind w:left="709" w:right="709"/>
        <w:jc w:val="both"/>
        <w:rPr>
          <w:rFonts w:ascii="Arial" w:eastAsia="Calibri" w:hAnsi="Arial" w:cs="Arial"/>
          <w:color w:val="000000"/>
          <w:sz w:val="21"/>
          <w:szCs w:val="21"/>
          <w:lang w:val="es-MX"/>
        </w:rPr>
      </w:pPr>
      <w:r w:rsidRPr="006A7349">
        <w:rPr>
          <w:rFonts w:ascii="Arial" w:eastAsia="Calibri" w:hAnsi="Arial" w:cs="Arial"/>
          <w:color w:val="000000"/>
          <w:sz w:val="21"/>
          <w:szCs w:val="21"/>
          <w:lang w:val="es-MX"/>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2F0E7F50" w14:textId="77777777" w:rsidR="006A7349" w:rsidRPr="006A7349" w:rsidRDefault="006A7349" w:rsidP="006A7349">
      <w:pPr>
        <w:spacing w:after="0" w:line="240" w:lineRule="auto"/>
        <w:ind w:left="708" w:right="709"/>
        <w:jc w:val="both"/>
        <w:rPr>
          <w:rFonts w:ascii="Arial" w:eastAsia="Calibri" w:hAnsi="Arial" w:cs="Arial"/>
          <w:color w:val="000000"/>
          <w:sz w:val="21"/>
          <w:szCs w:val="21"/>
          <w:lang w:val="es-MX"/>
        </w:rPr>
      </w:pPr>
      <w:r w:rsidRPr="006A7349">
        <w:rPr>
          <w:rFonts w:ascii="Arial" w:eastAsia="Calibri" w:hAnsi="Arial" w:cs="Arial"/>
          <w:color w:val="000000"/>
          <w:sz w:val="21"/>
          <w:szCs w:val="21"/>
          <w:lang w:val="es-MX"/>
        </w:rPr>
        <w:lastRenderedPageBreak/>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5A36EEA9" w14:textId="77777777" w:rsidR="006A7349" w:rsidRPr="006A7349" w:rsidRDefault="006A7349" w:rsidP="006A7349">
      <w:pPr>
        <w:spacing w:after="0" w:line="276" w:lineRule="auto"/>
        <w:ind w:right="709"/>
        <w:jc w:val="both"/>
        <w:rPr>
          <w:rFonts w:ascii="Arial" w:eastAsia="Calibri" w:hAnsi="Arial" w:cs="Arial"/>
          <w:color w:val="000000"/>
          <w:lang w:val="es-MX"/>
        </w:rPr>
      </w:pPr>
    </w:p>
    <w:p w14:paraId="086EB7FE" w14:textId="77777777" w:rsidR="006A7349" w:rsidRPr="006A7349" w:rsidRDefault="006A7349" w:rsidP="006A7349">
      <w:pPr>
        <w:spacing w:after="0" w:line="276" w:lineRule="auto"/>
        <w:ind w:firstLine="709"/>
        <w:jc w:val="both"/>
        <w:rPr>
          <w:rFonts w:ascii="Arial" w:eastAsia="Calibri" w:hAnsi="Arial" w:cs="Arial"/>
          <w:color w:val="000000"/>
        </w:rPr>
      </w:pPr>
      <w:r w:rsidRPr="006A7349">
        <w:rPr>
          <w:rFonts w:ascii="Arial" w:eastAsia="Calibri" w:hAnsi="Arial" w:cs="Arial"/>
          <w:color w:val="000000"/>
          <w:lang w:val="es-MX"/>
        </w:rPr>
        <w:t xml:space="preserve">De acuerdo con </w:t>
      </w:r>
      <w:r w:rsidRPr="006A7349">
        <w:rPr>
          <w:rFonts w:ascii="Arial" w:eastAsia="Calibri" w:hAnsi="Arial" w:cs="Arial"/>
          <w:color w:val="000000"/>
        </w:rPr>
        <w:t>el artículo 72 de la Ley 1682 de 2013, la «capacidad residual de contratación cuando se realicen contratos de obra pública se obtendrá de sustraer de la capacidad de contratación, el saldo del valor de los contratos en ejecución». La «capacidad de contratación», según se desprende de la misma disposición, «[…] se deberá calcular mediante la evaluación de los siguientes factores: Experiencia (E), Capacidad Financiera (CF), Capacidad Técnica (CT), y Capacidad de Organización (CO)».</w:t>
      </w:r>
    </w:p>
    <w:p w14:paraId="1A9542A6" w14:textId="77777777" w:rsidR="006A7349" w:rsidRPr="006A7349" w:rsidRDefault="006A7349" w:rsidP="006A7349">
      <w:pPr>
        <w:spacing w:before="120" w:after="0" w:line="276" w:lineRule="auto"/>
        <w:ind w:firstLine="709"/>
        <w:jc w:val="both"/>
        <w:rPr>
          <w:rFonts w:ascii="Arial" w:eastAsia="Calibri" w:hAnsi="Arial" w:cs="Arial"/>
          <w:color w:val="000000"/>
          <w:lang w:val="es-MX"/>
        </w:rPr>
      </w:pPr>
      <w:r w:rsidRPr="006A7349">
        <w:rPr>
          <w:rFonts w:ascii="Arial" w:eastAsia="Calibri" w:hAnsi="Arial" w:cs="Arial"/>
          <w:color w:val="000000"/>
          <w:lang w:val="es-MX"/>
        </w:rPr>
        <w:t xml:space="preserve">Por su parte, el artículo 2.2.1.1.1.6.4 del Decreto 1082 de 2015 dispone que las entidades estatales deberán calcular la capacidad residual conforme a la metodología definida por Colombia Compre Eficiente. Para tale fines, resulta necesario tener en cuenta los factores de i) Experiencia –E–, </w:t>
      </w:r>
      <w:proofErr w:type="spellStart"/>
      <w:r w:rsidRPr="006A7349">
        <w:rPr>
          <w:rFonts w:ascii="Arial" w:eastAsia="Calibri" w:hAnsi="Arial" w:cs="Arial"/>
          <w:color w:val="000000"/>
          <w:lang w:val="es-MX"/>
        </w:rPr>
        <w:t>ii</w:t>
      </w:r>
      <w:proofErr w:type="spellEnd"/>
      <w:r w:rsidRPr="006A7349">
        <w:rPr>
          <w:rFonts w:ascii="Arial" w:eastAsia="Calibri" w:hAnsi="Arial" w:cs="Arial"/>
          <w:color w:val="000000"/>
          <w:lang w:val="es-MX"/>
        </w:rPr>
        <w:t xml:space="preserve">) Capacidad Financiera –CF–, </w:t>
      </w:r>
      <w:proofErr w:type="spellStart"/>
      <w:r w:rsidRPr="006A7349">
        <w:rPr>
          <w:rFonts w:ascii="Arial" w:eastAsia="Calibri" w:hAnsi="Arial" w:cs="Arial"/>
          <w:color w:val="000000"/>
          <w:lang w:val="es-MX"/>
        </w:rPr>
        <w:t>iii</w:t>
      </w:r>
      <w:proofErr w:type="spellEnd"/>
      <w:r w:rsidRPr="006A7349">
        <w:rPr>
          <w:rFonts w:ascii="Arial" w:eastAsia="Calibri" w:hAnsi="Arial" w:cs="Arial"/>
          <w:color w:val="000000"/>
          <w:lang w:val="es-MX"/>
        </w:rPr>
        <w:t xml:space="preserve">) Capacidad Técnica –CT–, </w:t>
      </w:r>
      <w:proofErr w:type="spellStart"/>
      <w:r w:rsidRPr="006A7349">
        <w:rPr>
          <w:rFonts w:ascii="Arial" w:eastAsia="Calibri" w:hAnsi="Arial" w:cs="Arial"/>
          <w:color w:val="000000"/>
          <w:lang w:val="es-MX"/>
        </w:rPr>
        <w:t>iv</w:t>
      </w:r>
      <w:proofErr w:type="spellEnd"/>
      <w:r w:rsidRPr="006A7349">
        <w:rPr>
          <w:rFonts w:ascii="Arial" w:eastAsia="Calibri" w:hAnsi="Arial" w:cs="Arial"/>
          <w:color w:val="000000"/>
          <w:lang w:val="es-MX"/>
        </w:rPr>
        <w:t xml:space="preserve">) Capacidad de Organización y v) los Saldos de los Contratos en Ejecución –SCE–. </w:t>
      </w:r>
    </w:p>
    <w:p w14:paraId="6B2A96B2" w14:textId="77777777" w:rsidR="006A7349" w:rsidRPr="006A7349" w:rsidRDefault="006A7349" w:rsidP="006A7349">
      <w:pPr>
        <w:spacing w:before="120" w:after="0" w:line="276" w:lineRule="auto"/>
        <w:ind w:firstLine="709"/>
        <w:jc w:val="both"/>
        <w:rPr>
          <w:rFonts w:ascii="Arial" w:eastAsia="Calibri" w:hAnsi="Arial" w:cs="Arial"/>
          <w:szCs w:val="20"/>
          <w:lang w:val="es-MX"/>
        </w:rPr>
      </w:pPr>
      <w:r w:rsidRPr="006A7349">
        <w:rPr>
          <w:rFonts w:ascii="Arial" w:eastAsia="Calibri" w:hAnsi="Arial" w:cs="Arial"/>
          <w:color w:val="000000"/>
          <w:lang w:val="es-MX"/>
        </w:rPr>
        <w:t xml:space="preserve">De igual manera, </w:t>
      </w:r>
      <w:r w:rsidRPr="006A7349">
        <w:rPr>
          <w:rFonts w:ascii="Arial" w:eastAsia="Calibri" w:hAnsi="Arial" w:cs="Arial"/>
          <w:szCs w:val="20"/>
          <w:lang w:val="es-MX"/>
        </w:rPr>
        <w:t xml:space="preserve">establece que el interesado en celebrar contratos de obra pública acreditará su capacidad residual con los siguientes documentos: i) la lista de los contratos de obras civiles en ejecución suscritos con entidades estatales y con entidades privadas; </w:t>
      </w:r>
      <w:proofErr w:type="spellStart"/>
      <w:r w:rsidRPr="006A7349">
        <w:rPr>
          <w:rFonts w:ascii="Arial" w:eastAsia="Calibri" w:hAnsi="Arial" w:cs="Arial"/>
          <w:szCs w:val="20"/>
          <w:lang w:val="es-MX"/>
        </w:rPr>
        <w:t>ii</w:t>
      </w:r>
      <w:proofErr w:type="spellEnd"/>
      <w:r w:rsidRPr="006A7349">
        <w:rPr>
          <w:rFonts w:ascii="Arial" w:eastAsia="Calibri" w:hAnsi="Arial" w:cs="Arial"/>
          <w:szCs w:val="20"/>
          <w:lang w:val="es-MX"/>
        </w:rPr>
        <w:t xml:space="preserve">) la lista de contratos de obras civiles en ejecución, suscritos por sociedades, consorcios o uniones temporales, en los cuales el proponente tenga participación, con entidades estatales y con entidades privadas; y finalmente </w:t>
      </w:r>
      <w:proofErr w:type="spellStart"/>
      <w:r w:rsidRPr="006A7349">
        <w:rPr>
          <w:rFonts w:ascii="Arial" w:eastAsia="Calibri" w:hAnsi="Arial" w:cs="Arial"/>
          <w:szCs w:val="20"/>
          <w:lang w:val="es-MX"/>
        </w:rPr>
        <w:t>iii</w:t>
      </w:r>
      <w:proofErr w:type="spellEnd"/>
      <w:r w:rsidRPr="006A7349">
        <w:rPr>
          <w:rFonts w:ascii="Arial" w:eastAsia="Calibri" w:hAnsi="Arial" w:cs="Arial"/>
          <w:szCs w:val="20"/>
          <w:lang w:val="es-MX"/>
        </w:rPr>
        <w:t>) el balance general auditado del año inmediatamente anterior y estado de resultados auditado del año en que haya obtenido el mayor ingreso operacional en los últimos cinco (5) años</w:t>
      </w:r>
      <w:r w:rsidRPr="006A7349">
        <w:rPr>
          <w:rFonts w:ascii="Arial" w:eastAsia="Calibri" w:hAnsi="Arial" w:cs="Arial"/>
          <w:szCs w:val="20"/>
          <w:vertAlign w:val="superscript"/>
          <w:lang w:val="es-MX"/>
        </w:rPr>
        <w:footnoteReference w:id="16"/>
      </w:r>
      <w:r w:rsidRPr="006A7349">
        <w:rPr>
          <w:rFonts w:ascii="Arial" w:eastAsia="Calibri" w:hAnsi="Arial" w:cs="Arial"/>
          <w:szCs w:val="20"/>
          <w:lang w:val="es-MX"/>
        </w:rPr>
        <w:t xml:space="preserve">. </w:t>
      </w:r>
    </w:p>
    <w:p w14:paraId="5BE413F0" w14:textId="7DF9011B" w:rsidR="006A7349" w:rsidRPr="006A7349" w:rsidRDefault="006A7349" w:rsidP="006A7349">
      <w:pPr>
        <w:spacing w:before="120" w:after="120" w:line="276" w:lineRule="auto"/>
        <w:ind w:firstLine="709"/>
        <w:jc w:val="both"/>
        <w:rPr>
          <w:rFonts w:ascii="Arial" w:eastAsia="Calibri" w:hAnsi="Arial" w:cs="Arial"/>
          <w:bCs/>
          <w:color w:val="000000"/>
        </w:rPr>
      </w:pPr>
      <w:r w:rsidRPr="006A7349">
        <w:rPr>
          <w:rFonts w:ascii="Arial" w:eastAsia="Calibri" w:hAnsi="Arial" w:cs="Arial"/>
          <w:color w:val="000000"/>
          <w:lang w:val="es-MX"/>
        </w:rPr>
        <w:t xml:space="preserve">De conformidad con lo expuesto, la Agencia Nacional para la Contratación Pública – Colombia Compra Eficiente expidió la Guía para Determinar y Verificar la Capacidad </w:t>
      </w:r>
      <w:r w:rsidRPr="006A7349">
        <w:rPr>
          <w:rFonts w:ascii="Arial" w:eastAsia="Calibri" w:hAnsi="Arial" w:cs="Arial"/>
          <w:color w:val="000000"/>
          <w:lang w:val="es-MX"/>
        </w:rPr>
        <w:lastRenderedPageBreak/>
        <w:t xml:space="preserve">Residual del Proponente en los Procesos de Contratación de Obra Pública. Este documento establece, entre otras cuestiones, que a la entidad contratante </w:t>
      </w:r>
      <w:r w:rsidR="00153560">
        <w:rPr>
          <w:rFonts w:ascii="Arial" w:eastAsia="Calibri" w:hAnsi="Arial" w:cs="Arial"/>
          <w:color w:val="000000"/>
          <w:lang w:val="es-MX"/>
        </w:rPr>
        <w:t xml:space="preserve">le </w:t>
      </w:r>
      <w:r w:rsidRPr="006A7349">
        <w:rPr>
          <w:rFonts w:ascii="Arial" w:eastAsia="Calibri" w:hAnsi="Arial" w:cs="Arial"/>
          <w:color w:val="000000"/>
          <w:lang w:val="es-MX"/>
        </w:rPr>
        <w:t>corresponde, primero, establecer la capacidad residual del proceso de contratación «CRPC» y, segundo, determinar si los proponentes cumplen con la capacidad residual del proceso de contratación, teniendo en cuenta la información mencionada en el párrafo precedente.</w:t>
      </w:r>
    </w:p>
    <w:p w14:paraId="57DDBFF8" w14:textId="63823B11" w:rsidR="006A7349" w:rsidRPr="006A7349" w:rsidRDefault="006A7349" w:rsidP="006A7349">
      <w:pPr>
        <w:spacing w:after="0" w:line="276" w:lineRule="auto"/>
        <w:ind w:firstLine="709"/>
        <w:jc w:val="both"/>
        <w:rPr>
          <w:rFonts w:ascii="Arial" w:eastAsia="Calibri" w:hAnsi="Arial" w:cs="Arial"/>
          <w:bCs/>
          <w:color w:val="000000"/>
        </w:rPr>
      </w:pPr>
      <w:r w:rsidRPr="006A7349">
        <w:rPr>
          <w:rFonts w:ascii="Arial" w:eastAsia="Calibri" w:hAnsi="Arial" w:cs="Arial"/>
          <w:bCs/>
          <w:color w:val="000000"/>
        </w:rPr>
        <w:t xml:space="preserve">En relación con el primer aspecto, sobre la determinación de la capacidad residual del proceso de contratación «CRPC», debe determinarse si el plazo del contrato es superior a doce meses. Si no lo es, la CRPC equivale al presupuesto oficial estimado del Proceso de Contratación menos el anticipo o pago anticipado cuando haya lugar. </w:t>
      </w:r>
      <w:r w:rsidR="00A57F32">
        <w:rPr>
          <w:rFonts w:ascii="Arial" w:eastAsia="Calibri" w:hAnsi="Arial" w:cs="Arial"/>
          <w:bCs/>
          <w:color w:val="000000"/>
        </w:rPr>
        <w:t>s</w:t>
      </w:r>
      <w:r w:rsidRPr="006A7349">
        <w:rPr>
          <w:rFonts w:ascii="Arial" w:eastAsia="Calibri" w:hAnsi="Arial" w:cs="Arial"/>
          <w:bCs/>
          <w:color w:val="000000"/>
        </w:rPr>
        <w:t>i lo es, equivale a la proporción lineal de 12 meses del presupuesto oficial estimado menos el anticipo o pago anticipado.</w:t>
      </w:r>
    </w:p>
    <w:p w14:paraId="711A6881" w14:textId="77777777" w:rsidR="006A7349" w:rsidRPr="006A7349" w:rsidRDefault="006A7349" w:rsidP="006A7349">
      <w:pPr>
        <w:spacing w:before="120" w:after="0" w:line="276" w:lineRule="auto"/>
        <w:ind w:firstLine="709"/>
        <w:jc w:val="both"/>
        <w:rPr>
          <w:rFonts w:ascii="Arial" w:eastAsia="Calibri" w:hAnsi="Arial" w:cs="Arial"/>
          <w:bCs/>
          <w:color w:val="000000"/>
        </w:rPr>
      </w:pPr>
      <w:r w:rsidRPr="006A7349">
        <w:rPr>
          <w:rFonts w:ascii="Arial" w:eastAsia="Calibri" w:hAnsi="Arial" w:cs="Arial"/>
          <w:bCs/>
          <w:color w:val="000000"/>
        </w:rPr>
        <w:t xml:space="preserve">En cuanto al segundo aspecto, sobre la validación de </w:t>
      </w:r>
      <w:bookmarkStart w:id="2" w:name="_Hlk68683272"/>
      <w:r w:rsidRPr="006A7349">
        <w:rPr>
          <w:rFonts w:ascii="Arial" w:eastAsia="Calibri" w:hAnsi="Arial" w:cs="Arial"/>
          <w:bCs/>
          <w:color w:val="000000"/>
        </w:rPr>
        <w:t>que cada proponente cumpla con la CRPC</w:t>
      </w:r>
      <w:bookmarkEnd w:id="2"/>
      <w:r w:rsidRPr="006A7349">
        <w:rPr>
          <w:rFonts w:ascii="Arial" w:eastAsia="Calibri" w:hAnsi="Arial" w:cs="Arial"/>
          <w:bCs/>
          <w:color w:val="000000"/>
        </w:rPr>
        <w:t xml:space="preserve">, la entidad pública debe verificar que la capacidad residual del proponente «CRP» sea igual o superior a la capacidad referida en el párrafo precedente. De todas formas, previamente debe establecer la CRP, con fundamento en los siguientes factores: i) experiencia «E»; </w:t>
      </w:r>
      <w:proofErr w:type="spellStart"/>
      <w:r w:rsidRPr="006A7349">
        <w:rPr>
          <w:rFonts w:ascii="Arial" w:eastAsia="Calibri" w:hAnsi="Arial" w:cs="Arial"/>
          <w:bCs/>
          <w:color w:val="000000"/>
        </w:rPr>
        <w:t>ii</w:t>
      </w:r>
      <w:proofErr w:type="spellEnd"/>
      <w:r w:rsidRPr="006A7349">
        <w:rPr>
          <w:rFonts w:ascii="Arial" w:eastAsia="Calibri" w:hAnsi="Arial" w:cs="Arial"/>
          <w:bCs/>
          <w:color w:val="000000"/>
        </w:rPr>
        <w:t xml:space="preserve">) capacidad financiera «CF»; </w:t>
      </w:r>
      <w:proofErr w:type="spellStart"/>
      <w:r w:rsidRPr="006A7349">
        <w:rPr>
          <w:rFonts w:ascii="Arial" w:eastAsia="Calibri" w:hAnsi="Arial" w:cs="Arial"/>
          <w:bCs/>
          <w:color w:val="000000"/>
        </w:rPr>
        <w:t>iii</w:t>
      </w:r>
      <w:proofErr w:type="spellEnd"/>
      <w:r w:rsidRPr="006A7349">
        <w:rPr>
          <w:rFonts w:ascii="Arial" w:eastAsia="Calibri" w:hAnsi="Arial" w:cs="Arial"/>
          <w:bCs/>
          <w:color w:val="000000"/>
        </w:rPr>
        <w:t xml:space="preserve">) capacidad técnica «CT», </w:t>
      </w:r>
      <w:proofErr w:type="spellStart"/>
      <w:r w:rsidRPr="006A7349">
        <w:rPr>
          <w:rFonts w:ascii="Arial" w:eastAsia="Calibri" w:hAnsi="Arial" w:cs="Arial"/>
          <w:bCs/>
          <w:color w:val="000000"/>
        </w:rPr>
        <w:t>iv</w:t>
      </w:r>
      <w:proofErr w:type="spellEnd"/>
      <w:r w:rsidRPr="006A7349">
        <w:rPr>
          <w:rFonts w:ascii="Arial" w:eastAsia="Calibri" w:hAnsi="Arial" w:cs="Arial"/>
          <w:bCs/>
          <w:color w:val="000000"/>
        </w:rPr>
        <w:t>) capacidad de organización «CO»; y v) los saldos de los contratos en ejecución «SCE», según la siguiente formula:</w:t>
      </w:r>
    </w:p>
    <w:p w14:paraId="1D280DC8" w14:textId="77777777" w:rsidR="006A7349" w:rsidRPr="006A7349" w:rsidRDefault="006A7349" w:rsidP="006A7349">
      <w:pPr>
        <w:spacing w:after="0" w:line="276" w:lineRule="auto"/>
        <w:ind w:firstLine="709"/>
        <w:jc w:val="both"/>
        <w:rPr>
          <w:rFonts w:ascii="Arial" w:eastAsia="Calibri" w:hAnsi="Arial" w:cs="Arial"/>
          <w:bCs/>
          <w:color w:val="000000"/>
        </w:rPr>
      </w:pPr>
      <w:r w:rsidRPr="006A7349">
        <w:rPr>
          <w:rFonts w:ascii="Arial" w:eastAsia="Calibri" w:hAnsi="Arial" w:cs="Arial"/>
          <w:bCs/>
          <w:noProof/>
          <w:color w:val="000000"/>
        </w:rPr>
        <w:drawing>
          <wp:anchor distT="0" distB="0" distL="0" distR="0" simplePos="0" relativeHeight="251659264" behindDoc="0" locked="0" layoutInCell="1" allowOverlap="1" wp14:anchorId="74AF4E3A" wp14:editId="0459021B">
            <wp:simplePos x="0" y="0"/>
            <wp:positionH relativeFrom="margin">
              <wp:align>center</wp:align>
            </wp:positionH>
            <wp:positionV relativeFrom="paragraph">
              <wp:posOffset>222250</wp:posOffset>
            </wp:positionV>
            <wp:extent cx="4638040" cy="552450"/>
            <wp:effectExtent l="0" t="0" r="0" b="0"/>
            <wp:wrapTopAndBottom/>
            <wp:docPr id="1" name="image3.jpeg"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descr="Diagrama&#10;&#10;Descripción generada automáticamente"/>
                    <pic:cNvPicPr/>
                  </pic:nvPicPr>
                  <pic:blipFill>
                    <a:blip r:embed="rId9" cstate="print"/>
                    <a:stretch>
                      <a:fillRect/>
                    </a:stretch>
                  </pic:blipFill>
                  <pic:spPr>
                    <a:xfrm>
                      <a:off x="0" y="0"/>
                      <a:ext cx="4638040" cy="552450"/>
                    </a:xfrm>
                    <a:prstGeom prst="rect">
                      <a:avLst/>
                    </a:prstGeom>
                  </pic:spPr>
                </pic:pic>
              </a:graphicData>
            </a:graphic>
            <wp14:sizeRelH relativeFrom="margin">
              <wp14:pctWidth>0</wp14:pctWidth>
            </wp14:sizeRelH>
            <wp14:sizeRelV relativeFrom="margin">
              <wp14:pctHeight>0</wp14:pctHeight>
            </wp14:sizeRelV>
          </wp:anchor>
        </w:drawing>
      </w:r>
    </w:p>
    <w:p w14:paraId="24A5814F" w14:textId="77777777" w:rsidR="006A7349" w:rsidRPr="006A7349" w:rsidRDefault="006A7349" w:rsidP="006A7349">
      <w:pPr>
        <w:spacing w:after="0" w:line="276" w:lineRule="auto"/>
        <w:jc w:val="both"/>
        <w:rPr>
          <w:rFonts w:ascii="Arial" w:eastAsia="Calibri" w:hAnsi="Arial" w:cs="Arial"/>
          <w:bCs/>
          <w:color w:val="000000"/>
          <w:lang w:val="es-MX"/>
        </w:rPr>
      </w:pPr>
    </w:p>
    <w:p w14:paraId="7C5E6A65" w14:textId="77777777" w:rsidR="006A7349" w:rsidRPr="006A7349" w:rsidRDefault="006A7349" w:rsidP="006A7349">
      <w:pPr>
        <w:spacing w:after="0" w:line="276" w:lineRule="auto"/>
        <w:ind w:firstLine="709"/>
        <w:jc w:val="both"/>
        <w:rPr>
          <w:rFonts w:ascii="Arial" w:eastAsia="Times New Roman" w:hAnsi="Arial" w:cs="Arial"/>
          <w:i/>
          <w:iCs/>
          <w:lang w:eastAsia="es-ES_tradnl"/>
        </w:rPr>
      </w:pPr>
      <w:r w:rsidRPr="006A7349">
        <w:rPr>
          <w:rFonts w:ascii="Arial" w:eastAsia="Calibri" w:hAnsi="Arial" w:cs="Arial"/>
          <w:bCs/>
          <w:color w:val="000000"/>
          <w:lang w:val="es-MX"/>
        </w:rPr>
        <w:t xml:space="preserve">Particularmente, respecto del factor de saldos de los contratos en ejecución </w:t>
      </w:r>
      <w:r w:rsidRPr="006A7349">
        <w:rPr>
          <w:rFonts w:ascii="Arial" w:eastAsia="Calibri" w:hAnsi="Arial" w:cs="Arial"/>
          <w:bCs/>
          <w:color w:val="000000"/>
        </w:rPr>
        <w:t>«</w:t>
      </w:r>
      <w:r w:rsidRPr="006A7349">
        <w:rPr>
          <w:rFonts w:ascii="Arial" w:eastAsia="Calibri" w:hAnsi="Arial" w:cs="Arial"/>
          <w:bCs/>
          <w:color w:val="000000"/>
          <w:szCs w:val="24"/>
          <w:lang w:eastAsia="es-ES_tradnl"/>
        </w:rPr>
        <w:t>SCE</w:t>
      </w:r>
      <w:r w:rsidRPr="006A7349">
        <w:rPr>
          <w:rFonts w:ascii="Arial" w:eastAsia="Calibri" w:hAnsi="Arial" w:cs="Arial"/>
          <w:bCs/>
          <w:color w:val="000000"/>
        </w:rPr>
        <w:t>»</w:t>
      </w:r>
      <w:r w:rsidRPr="006A7349">
        <w:rPr>
          <w:rFonts w:ascii="Arial" w:eastAsia="Calibri" w:hAnsi="Arial" w:cs="Arial"/>
          <w:bCs/>
          <w:color w:val="000000"/>
          <w:szCs w:val="24"/>
          <w:lang w:eastAsia="es-ES_tradnl"/>
        </w:rPr>
        <w:t>,</w:t>
      </w:r>
      <w:r w:rsidRPr="006A7349">
        <w:rPr>
          <w:rFonts w:ascii="Arial" w:eastAsia="Times New Roman" w:hAnsi="Arial" w:cs="Arial"/>
          <w:lang w:eastAsia="es-ES_tradnl"/>
        </w:rPr>
        <w:t xml:space="preserve"> es necesario tener en cuenta que la Guía para Determinar y Verificar la Capacidad Residual del Proponente en los Procesos de Contratación de Obra Pública</w:t>
      </w:r>
      <w:r w:rsidRPr="006A7349">
        <w:rPr>
          <w:rFonts w:ascii="Arial" w:eastAsia="Times New Roman" w:hAnsi="Arial" w:cs="Arial"/>
          <w:i/>
          <w:iCs/>
          <w:lang w:eastAsia="es-ES_tradnl"/>
        </w:rPr>
        <w:t xml:space="preserve">, </w:t>
      </w:r>
      <w:r w:rsidRPr="006A7349">
        <w:rPr>
          <w:rFonts w:ascii="Arial" w:eastAsia="Times New Roman" w:hAnsi="Arial" w:cs="Arial"/>
          <w:lang w:eastAsia="es-ES_tradnl"/>
        </w:rPr>
        <w:t xml:space="preserve">define a este factor </w:t>
      </w:r>
      <w:r w:rsidRPr="006A7349">
        <w:rPr>
          <w:rFonts w:ascii="Arial" w:eastAsia="Calibri" w:hAnsi="Arial" w:cs="Arial"/>
          <w:bCs/>
          <w:color w:val="000000"/>
        </w:rPr>
        <w:t>como «la suma de los montos por ejecutar de los contratos en ejecución durante los 12 meses siguientes». Así mismo, define los</w:t>
      </w:r>
      <w:r w:rsidRPr="006A7349">
        <w:rPr>
          <w:rFonts w:ascii="Arial" w:eastAsia="Times New Roman" w:hAnsi="Arial" w:cs="Arial"/>
          <w:lang w:eastAsia="es-ES_tradnl"/>
        </w:rPr>
        <w:t xml:space="preserve"> </w:t>
      </w:r>
      <w:bookmarkStart w:id="3" w:name="_Hlk78819022"/>
      <w:r w:rsidRPr="006A7349">
        <w:rPr>
          <w:rFonts w:ascii="Arial" w:eastAsia="Times New Roman" w:hAnsi="Arial" w:cs="Arial"/>
          <w:i/>
          <w:iCs/>
          <w:lang w:eastAsia="es-ES_tradnl"/>
        </w:rPr>
        <w:t>Contratos en Ejecución</w:t>
      </w:r>
      <w:r w:rsidRPr="006A7349">
        <w:rPr>
          <w:rFonts w:ascii="Arial" w:eastAsia="Times New Roman" w:hAnsi="Arial" w:cs="Arial"/>
          <w:lang w:eastAsia="es-ES_tradnl"/>
        </w:rPr>
        <w:t xml:space="preserve"> </w:t>
      </w:r>
      <w:bookmarkEnd w:id="3"/>
      <w:r w:rsidRPr="006A7349">
        <w:rPr>
          <w:rFonts w:ascii="Arial" w:eastAsia="Times New Roman" w:hAnsi="Arial" w:cs="Arial"/>
          <w:lang w:eastAsia="es-ES_tradnl"/>
        </w:rPr>
        <w:t xml:space="preserve">de la siguiente manera: </w:t>
      </w:r>
      <w:r w:rsidRPr="006A7349">
        <w:rPr>
          <w:rFonts w:ascii="Arial" w:eastAsia="Times New Roman" w:hAnsi="Arial" w:cs="Arial"/>
          <w:i/>
          <w:iCs/>
          <w:lang w:eastAsia="es-ES_tradnl"/>
        </w:rPr>
        <w:t xml:space="preserve"> </w:t>
      </w:r>
    </w:p>
    <w:p w14:paraId="4D249575" w14:textId="77777777" w:rsidR="006A7349" w:rsidRPr="006A7349" w:rsidRDefault="006A7349" w:rsidP="006A7349">
      <w:pPr>
        <w:spacing w:after="0" w:line="276" w:lineRule="auto"/>
        <w:ind w:firstLine="709"/>
        <w:jc w:val="both"/>
        <w:rPr>
          <w:rFonts w:ascii="Arial" w:eastAsia="Times New Roman" w:hAnsi="Arial" w:cs="Arial"/>
          <w:lang w:eastAsia="es-ES_tradnl"/>
        </w:rPr>
      </w:pPr>
    </w:p>
    <w:p w14:paraId="0F869195" w14:textId="77777777" w:rsidR="006A7349" w:rsidRPr="006A7349" w:rsidRDefault="006A7349" w:rsidP="006A7349">
      <w:pPr>
        <w:spacing w:after="0" w:line="240" w:lineRule="auto"/>
        <w:ind w:left="709" w:right="709"/>
        <w:jc w:val="both"/>
        <w:rPr>
          <w:rFonts w:ascii="Arial" w:eastAsia="Times New Roman" w:hAnsi="Arial" w:cs="Arial"/>
          <w:lang w:eastAsia="es-ES_tradnl"/>
        </w:rPr>
      </w:pPr>
      <w:r w:rsidRPr="006A7349">
        <w:rPr>
          <w:rFonts w:ascii="Arial" w:eastAsia="Times New Roman" w:hAnsi="Arial" w:cs="Arial"/>
          <w:sz w:val="21"/>
          <w:szCs w:val="21"/>
          <w:lang w:eastAsia="es-ES_tradnl"/>
        </w:rPr>
        <w:t>Son 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 incluyendo los contratos suspendidos y aquellos que no tengan acta de inicio. No se entenderán como contratos en ejecución los que se encuentren en liquidación.</w:t>
      </w:r>
    </w:p>
    <w:p w14:paraId="388BC012" w14:textId="77777777" w:rsidR="006A7349" w:rsidRPr="006A7349" w:rsidRDefault="006A7349" w:rsidP="006A7349">
      <w:pPr>
        <w:spacing w:after="0" w:line="276" w:lineRule="auto"/>
        <w:ind w:firstLine="709"/>
        <w:jc w:val="both"/>
        <w:rPr>
          <w:rFonts w:ascii="Arial" w:eastAsia="Times New Roman" w:hAnsi="Arial" w:cs="Arial"/>
          <w:lang w:eastAsia="es-ES_tradnl"/>
        </w:rPr>
      </w:pPr>
    </w:p>
    <w:p w14:paraId="64543C31" w14:textId="6FC27ADE" w:rsidR="006A7349" w:rsidRDefault="006A7349" w:rsidP="006A7349">
      <w:pPr>
        <w:spacing w:after="0" w:line="276" w:lineRule="auto"/>
        <w:ind w:firstLine="709"/>
        <w:jc w:val="both"/>
        <w:rPr>
          <w:rFonts w:ascii="Arial" w:eastAsia="Times New Roman" w:hAnsi="Arial" w:cs="Arial"/>
          <w:lang w:eastAsia="es-ES_tradnl"/>
        </w:rPr>
      </w:pPr>
      <w:r w:rsidRPr="006A7349">
        <w:rPr>
          <w:rFonts w:ascii="Arial" w:eastAsia="Times New Roman" w:hAnsi="Arial" w:cs="Arial"/>
          <w:lang w:eastAsia="es-ES_tradnl"/>
        </w:rPr>
        <w:t>En este sentido, los saldos pendientes se derivan de las obligaciones que se encuentran en ejecución al momento de la presentación de la oferta y se refieren a contratos cuyo objeto sea la ejecución de obras civiles. Se aclara que deben tenerse en cuenta los contratos sin acta de inicio, pues el criterio determinante para establecer si un contrato se encuentra en ejecución</w:t>
      </w:r>
      <w:r w:rsidR="00947B5A">
        <w:rPr>
          <w:rFonts w:ascii="Arial" w:eastAsia="Times New Roman" w:hAnsi="Arial" w:cs="Arial"/>
          <w:lang w:eastAsia="es-ES_tradnl"/>
        </w:rPr>
        <w:t>, para estos efectos,</w:t>
      </w:r>
      <w:r w:rsidRPr="006A7349">
        <w:rPr>
          <w:rFonts w:ascii="Arial" w:eastAsia="Times New Roman" w:hAnsi="Arial" w:cs="Arial"/>
          <w:lang w:eastAsia="es-ES_tradnl"/>
        </w:rPr>
        <w:t xml:space="preserve"> no lo determina el acta, sino que el mismo contrato obligue al proponente. Además, </w:t>
      </w:r>
      <w:r w:rsidR="00684BF0" w:rsidRPr="004F4910">
        <w:rPr>
          <w:rFonts w:ascii="Arial" w:hAnsi="Arial" w:cs="Arial"/>
        </w:rPr>
        <w:t xml:space="preserve">debe mencionarse que, si bien la suspensión de </w:t>
      </w:r>
      <w:r w:rsidR="00684BF0" w:rsidRPr="004F4910">
        <w:rPr>
          <w:rFonts w:ascii="Arial" w:hAnsi="Arial" w:cs="Arial"/>
        </w:rPr>
        <w:lastRenderedPageBreak/>
        <w:t xml:space="preserve">los contratos estatales no es una institución regulada explícitamente en el Estatuto General de Contratación de la Administración Pública, </w:t>
      </w:r>
      <w:r w:rsidRPr="006A7349">
        <w:rPr>
          <w:rFonts w:ascii="Arial" w:eastAsia="Times New Roman" w:hAnsi="Arial" w:cs="Arial"/>
          <w:lang w:eastAsia="es-ES_tradnl"/>
        </w:rPr>
        <w:t xml:space="preserve">los saldos pendientes por ejecutar de los contratos afectados por una suspensión constituyen, también, información relevante para calcular la capacidad residual del proponente </w:t>
      </w:r>
      <w:r w:rsidRPr="006A7349">
        <w:rPr>
          <w:rFonts w:ascii="Arial" w:eastAsia="Calibri" w:hAnsi="Arial" w:cs="Arial"/>
          <w:b/>
          <w:color w:val="000000"/>
        </w:rPr>
        <w:t>«</w:t>
      </w:r>
      <w:r w:rsidRPr="006A7349">
        <w:rPr>
          <w:rFonts w:ascii="Arial" w:eastAsia="Calibri" w:hAnsi="Arial" w:cs="Arial"/>
          <w:bCs/>
          <w:color w:val="000000"/>
          <w:lang w:eastAsia="es-ES_tradnl"/>
        </w:rPr>
        <w:t>CRP</w:t>
      </w:r>
      <w:r w:rsidRPr="006A7349">
        <w:rPr>
          <w:rFonts w:ascii="Arial" w:eastAsia="Calibri" w:hAnsi="Arial" w:cs="Arial"/>
          <w:b/>
          <w:color w:val="000000"/>
        </w:rPr>
        <w:t>»</w:t>
      </w:r>
      <w:r w:rsidRPr="006A7349">
        <w:rPr>
          <w:rFonts w:ascii="Arial" w:eastAsia="Times New Roman" w:hAnsi="Arial" w:cs="Arial"/>
          <w:lang w:eastAsia="es-ES_tradnl"/>
        </w:rPr>
        <w:t>. Lo anterior, en la medida en que la ejecución de los contratos en principio suspendidos puede, eventualmente, afectar la aptitud del oferente para cumplir con el contrato ofertado, razón por la que, ante la posibilidad de que tales contratos se reanuden, se ha estimado necesario evaluar los saldos pendientes por ejecutar de tales contratos para determinar si el proponente cumple con la capacidad residual requerida.</w:t>
      </w:r>
    </w:p>
    <w:p w14:paraId="0E9612D9" w14:textId="2FCA1E1F" w:rsidR="006A7349" w:rsidRPr="006A7349" w:rsidRDefault="006A7349" w:rsidP="006A7349">
      <w:pPr>
        <w:spacing w:before="120" w:after="0" w:line="276" w:lineRule="auto"/>
        <w:ind w:firstLine="709"/>
        <w:jc w:val="both"/>
        <w:rPr>
          <w:rFonts w:ascii="Arial" w:eastAsia="Times New Roman" w:hAnsi="Arial" w:cs="Arial"/>
          <w:lang w:eastAsia="es-ES_tradnl"/>
        </w:rPr>
      </w:pPr>
      <w:r w:rsidRPr="006A7349">
        <w:rPr>
          <w:rFonts w:ascii="Arial" w:eastAsia="Times New Roman" w:hAnsi="Arial" w:cs="Arial"/>
          <w:lang w:eastAsia="es-ES_tradnl"/>
        </w:rPr>
        <w:t xml:space="preserve">De este modo, para acreditar el factor </w:t>
      </w:r>
      <w:r w:rsidRPr="006A7349">
        <w:rPr>
          <w:rFonts w:ascii="Arial" w:eastAsia="Calibri" w:hAnsi="Arial" w:cs="Arial"/>
          <w:bCs/>
          <w:color w:val="000000"/>
          <w:lang w:val="es-MX"/>
        </w:rPr>
        <w:t xml:space="preserve">saldos de los contratos en ejecución </w:t>
      </w:r>
      <w:r w:rsidRPr="006A7349">
        <w:rPr>
          <w:rFonts w:ascii="Arial" w:eastAsia="Calibri" w:hAnsi="Arial" w:cs="Arial"/>
          <w:bCs/>
          <w:color w:val="000000"/>
        </w:rPr>
        <w:t>«</w:t>
      </w:r>
      <w:r w:rsidRPr="006A7349">
        <w:rPr>
          <w:rFonts w:ascii="Arial" w:eastAsia="Calibri" w:hAnsi="Arial" w:cs="Arial"/>
          <w:bCs/>
          <w:color w:val="000000"/>
          <w:szCs w:val="24"/>
          <w:lang w:eastAsia="es-ES_tradnl"/>
        </w:rPr>
        <w:t>SCE</w:t>
      </w:r>
      <w:r w:rsidRPr="006A7349">
        <w:rPr>
          <w:rFonts w:ascii="Arial" w:eastAsia="Calibri" w:hAnsi="Arial" w:cs="Arial"/>
          <w:bCs/>
          <w:color w:val="000000"/>
        </w:rPr>
        <w:t>»</w:t>
      </w:r>
      <w:r w:rsidRPr="006A7349">
        <w:rPr>
          <w:rFonts w:ascii="Arial" w:eastAsia="Times New Roman" w:hAnsi="Arial" w:cs="Arial"/>
          <w:lang w:eastAsia="es-ES_tradnl"/>
        </w:rPr>
        <w:t xml:space="preserve">  como lo establece la Guía, el proponente debe presentar la lista de contratos de obras civiles en ejecución, tanto a nivel nacional como internacional señalando</w:t>
      </w:r>
      <w:r w:rsidR="00947B5A">
        <w:rPr>
          <w:rFonts w:ascii="Arial" w:eastAsia="Times New Roman" w:hAnsi="Arial" w:cs="Arial"/>
          <w:lang w:eastAsia="es-ES_tradnl"/>
        </w:rPr>
        <w:t>:</w:t>
      </w:r>
      <w:r w:rsidRPr="006A7349">
        <w:rPr>
          <w:rFonts w:ascii="Arial" w:eastAsia="Times New Roman" w:hAnsi="Arial" w:cs="Arial"/>
          <w:lang w:eastAsia="es-ES_tradnl"/>
        </w:rPr>
        <w:t xml:space="preserve"> i) el valor del contrato; </w:t>
      </w:r>
      <w:proofErr w:type="spellStart"/>
      <w:r w:rsidRPr="006A7349">
        <w:rPr>
          <w:rFonts w:ascii="Arial" w:eastAsia="Times New Roman" w:hAnsi="Arial" w:cs="Arial"/>
          <w:lang w:eastAsia="es-ES_tradnl"/>
        </w:rPr>
        <w:t>ii</w:t>
      </w:r>
      <w:proofErr w:type="spellEnd"/>
      <w:r w:rsidRPr="006A7349">
        <w:rPr>
          <w:rFonts w:ascii="Arial" w:eastAsia="Times New Roman" w:hAnsi="Arial" w:cs="Arial"/>
          <w:lang w:eastAsia="es-ES_tradnl"/>
        </w:rPr>
        <w:t xml:space="preserve">) el plazo del contrato en meses; </w:t>
      </w:r>
      <w:proofErr w:type="spellStart"/>
      <w:r w:rsidRPr="006A7349">
        <w:rPr>
          <w:rFonts w:ascii="Arial" w:eastAsia="Times New Roman" w:hAnsi="Arial" w:cs="Arial"/>
          <w:lang w:eastAsia="es-ES_tradnl"/>
        </w:rPr>
        <w:t>iii</w:t>
      </w:r>
      <w:proofErr w:type="spellEnd"/>
      <w:r w:rsidRPr="006A7349">
        <w:rPr>
          <w:rFonts w:ascii="Arial" w:eastAsia="Times New Roman" w:hAnsi="Arial" w:cs="Arial"/>
          <w:lang w:eastAsia="es-ES_tradnl"/>
        </w:rPr>
        <w:t xml:space="preserve">) la fecha de inicio de las obras objeto del contrato, día, mes, año; </w:t>
      </w:r>
      <w:proofErr w:type="spellStart"/>
      <w:r w:rsidRPr="006A7349">
        <w:rPr>
          <w:rFonts w:ascii="Arial" w:eastAsia="Times New Roman" w:hAnsi="Arial" w:cs="Arial"/>
          <w:lang w:eastAsia="es-ES_tradnl"/>
        </w:rPr>
        <w:t>iv</w:t>
      </w:r>
      <w:proofErr w:type="spellEnd"/>
      <w:r w:rsidRPr="006A7349">
        <w:rPr>
          <w:rFonts w:ascii="Arial" w:eastAsia="Times New Roman" w:hAnsi="Arial" w:cs="Arial"/>
          <w:lang w:eastAsia="es-ES_tradnl"/>
        </w:rPr>
        <w:t xml:space="preserve">) si la obra la ejecuta un consorcio, unión temporal o sociedad de propósito especial, junto con el porcentaje de participación del oferente que presenta el certificado; v) si el contrato se encuentra suspendido, y si es así, la fecha de suspensión. Si el proponente no tiene contratos en ejecución, en el certificado debe constar expresamente esa circunstancia. Por ello, sobre la acreditación del factor </w:t>
      </w:r>
      <w:r w:rsidRPr="006A7349">
        <w:rPr>
          <w:rFonts w:ascii="Arial" w:eastAsia="Calibri" w:hAnsi="Arial" w:cs="Arial"/>
          <w:bCs/>
          <w:color w:val="000000"/>
        </w:rPr>
        <w:t>«</w:t>
      </w:r>
      <w:r w:rsidRPr="006A7349">
        <w:rPr>
          <w:rFonts w:ascii="Arial" w:eastAsia="Calibri" w:hAnsi="Arial" w:cs="Arial"/>
          <w:bCs/>
          <w:color w:val="000000"/>
          <w:szCs w:val="24"/>
          <w:lang w:eastAsia="es-ES_tradnl"/>
        </w:rPr>
        <w:t>SCE</w:t>
      </w:r>
      <w:r w:rsidRPr="006A7349">
        <w:rPr>
          <w:rFonts w:ascii="Arial" w:eastAsia="Calibri" w:hAnsi="Arial" w:cs="Arial"/>
          <w:bCs/>
          <w:color w:val="000000"/>
        </w:rPr>
        <w:t>»</w:t>
      </w:r>
      <w:r w:rsidRPr="006A7349">
        <w:rPr>
          <w:rFonts w:ascii="Arial" w:eastAsia="Calibri" w:hAnsi="Arial" w:cs="Arial"/>
          <w:bCs/>
          <w:color w:val="000000"/>
          <w:szCs w:val="24"/>
          <w:lang w:eastAsia="es-ES_tradnl"/>
        </w:rPr>
        <w:t xml:space="preserve"> </w:t>
      </w:r>
      <w:r w:rsidRPr="006A7349">
        <w:rPr>
          <w:rFonts w:ascii="Arial" w:eastAsia="Times New Roman" w:hAnsi="Arial" w:cs="Arial"/>
          <w:lang w:eastAsia="es-ES_tradnl"/>
        </w:rPr>
        <w:t>en los documentos tipo de licitación de obra pública de infraestructura de</w:t>
      </w:r>
      <w:r w:rsidR="00D463BC">
        <w:rPr>
          <w:rFonts w:ascii="Arial" w:eastAsia="Times New Roman" w:hAnsi="Arial" w:cs="Arial"/>
          <w:lang w:eastAsia="es-ES_tradnl"/>
        </w:rPr>
        <w:t xml:space="preserve"> transporte y de</w:t>
      </w:r>
      <w:r w:rsidRPr="006A7349">
        <w:rPr>
          <w:rFonts w:ascii="Arial" w:eastAsia="Times New Roman" w:hAnsi="Arial" w:cs="Arial"/>
          <w:lang w:eastAsia="es-ES_tradnl"/>
        </w:rPr>
        <w:t xml:space="preserve"> agua potable y saneamiento básico, el literal E del numeral 3.10.2 del documento base señala lo siguiente:</w:t>
      </w:r>
    </w:p>
    <w:p w14:paraId="2E5DC9A7" w14:textId="77777777" w:rsidR="006A7349" w:rsidRPr="006A7349" w:rsidRDefault="006A7349" w:rsidP="006A7349">
      <w:pPr>
        <w:spacing w:after="0" w:line="276" w:lineRule="auto"/>
        <w:ind w:firstLine="709"/>
        <w:jc w:val="both"/>
        <w:rPr>
          <w:rFonts w:ascii="Arial" w:eastAsia="Times New Roman" w:hAnsi="Arial" w:cs="Arial"/>
          <w:lang w:eastAsia="es-ES_tradnl"/>
        </w:rPr>
      </w:pPr>
    </w:p>
    <w:p w14:paraId="5F0DD5B2" w14:textId="77777777" w:rsidR="006A7349" w:rsidRPr="006A7349" w:rsidRDefault="006A7349" w:rsidP="006A7349">
      <w:pPr>
        <w:spacing w:after="0" w:line="240" w:lineRule="auto"/>
        <w:ind w:left="709" w:right="709"/>
        <w:jc w:val="both"/>
        <w:rPr>
          <w:rFonts w:ascii="Arial" w:eastAsia="Arial," w:hAnsi="Arial" w:cs="Arial"/>
          <w:sz w:val="21"/>
          <w:szCs w:val="21"/>
          <w:lang w:eastAsia="es-ES_tradnl"/>
        </w:rPr>
      </w:pPr>
      <w:r w:rsidRPr="006A7349">
        <w:rPr>
          <w:rFonts w:ascii="Arial" w:eastAsia="Times New Roman" w:hAnsi="Arial" w:cs="Arial"/>
          <w:sz w:val="21"/>
          <w:szCs w:val="21"/>
          <w:lang w:eastAsia="es-ES_tradnl"/>
        </w:rPr>
        <w:t>Para</w:t>
      </w:r>
      <w:r w:rsidRPr="006A7349">
        <w:rPr>
          <w:rFonts w:ascii="Arial" w:eastAsia="Arial," w:hAnsi="Arial" w:cs="Arial"/>
          <w:sz w:val="21"/>
          <w:szCs w:val="21"/>
          <w:lang w:eastAsia="es-ES_tradnl"/>
        </w:rPr>
        <w:t xml:space="preserve"> </w:t>
      </w:r>
      <w:r w:rsidRPr="006A7349">
        <w:rPr>
          <w:rFonts w:ascii="Arial" w:eastAsia="Times New Roman" w:hAnsi="Arial" w:cs="Arial"/>
          <w:sz w:val="21"/>
          <w:szCs w:val="21"/>
          <w:lang w:eastAsia="es-ES_tradnl"/>
        </w:rPr>
        <w:t>acreditar</w:t>
      </w:r>
      <w:r w:rsidRPr="006A7349">
        <w:rPr>
          <w:rFonts w:ascii="Arial" w:eastAsia="Arial," w:hAnsi="Arial" w:cs="Arial"/>
          <w:sz w:val="21"/>
          <w:szCs w:val="21"/>
          <w:lang w:eastAsia="es-ES_tradnl"/>
        </w:rPr>
        <w:t xml:space="preserve"> </w:t>
      </w:r>
      <w:r w:rsidRPr="006A7349">
        <w:rPr>
          <w:rFonts w:ascii="Arial" w:eastAsia="Times New Roman" w:hAnsi="Arial" w:cs="Arial"/>
          <w:sz w:val="21"/>
          <w:szCs w:val="21"/>
          <w:lang w:eastAsia="es-ES_tradnl"/>
        </w:rPr>
        <w:t>el</w:t>
      </w:r>
      <w:r w:rsidRPr="006A7349">
        <w:rPr>
          <w:rFonts w:ascii="Arial" w:eastAsia="Arial," w:hAnsi="Arial" w:cs="Arial"/>
          <w:sz w:val="21"/>
          <w:szCs w:val="21"/>
          <w:lang w:eastAsia="es-ES_tradnl"/>
        </w:rPr>
        <w:t xml:space="preserve"> </w:t>
      </w:r>
      <w:r w:rsidRPr="006A7349">
        <w:rPr>
          <w:rFonts w:ascii="Arial" w:eastAsia="Times New Roman" w:hAnsi="Arial" w:cs="Arial"/>
          <w:sz w:val="21"/>
          <w:szCs w:val="21"/>
          <w:lang w:eastAsia="es-ES_tradnl"/>
        </w:rPr>
        <w:t>factor</w:t>
      </w:r>
      <w:r w:rsidRPr="006A7349">
        <w:rPr>
          <w:rFonts w:ascii="Arial" w:eastAsia="Arial," w:hAnsi="Arial" w:cs="Arial"/>
          <w:sz w:val="21"/>
          <w:szCs w:val="21"/>
          <w:lang w:eastAsia="es-ES_tradnl"/>
        </w:rPr>
        <w:t xml:space="preserve"> </w:t>
      </w:r>
      <w:r w:rsidRPr="006A7349">
        <w:rPr>
          <w:rFonts w:ascii="Arial" w:eastAsia="Times New Roman" w:hAnsi="Arial" w:cs="Arial"/>
          <w:sz w:val="21"/>
          <w:szCs w:val="21"/>
          <w:lang w:eastAsia="es-ES_tradnl"/>
        </w:rPr>
        <w:t>(SCE)</w:t>
      </w:r>
      <w:r w:rsidRPr="006A7349">
        <w:rPr>
          <w:rFonts w:ascii="Arial" w:eastAsia="Arial," w:hAnsi="Arial" w:cs="Arial"/>
          <w:sz w:val="21"/>
          <w:szCs w:val="21"/>
          <w:lang w:eastAsia="es-ES_tradnl"/>
        </w:rPr>
        <w:t xml:space="preserve"> </w:t>
      </w:r>
      <w:r w:rsidRPr="006A7349">
        <w:rPr>
          <w:rFonts w:ascii="Arial" w:eastAsia="Times New Roman" w:hAnsi="Arial" w:cs="Arial"/>
          <w:sz w:val="21"/>
          <w:szCs w:val="21"/>
          <w:lang w:eastAsia="es-ES_tradnl"/>
        </w:rPr>
        <w:t>el</w:t>
      </w:r>
      <w:r w:rsidRPr="006A7349">
        <w:rPr>
          <w:rFonts w:ascii="Arial" w:eastAsia="Arial," w:hAnsi="Arial" w:cs="Arial"/>
          <w:sz w:val="21"/>
          <w:szCs w:val="21"/>
          <w:lang w:eastAsia="es-ES_tradnl"/>
        </w:rPr>
        <w:t xml:space="preserve"> </w:t>
      </w:r>
      <w:r w:rsidRPr="006A7349">
        <w:rPr>
          <w:rFonts w:ascii="Arial" w:eastAsia="Times New Roman" w:hAnsi="Arial" w:cs="Arial"/>
          <w:sz w:val="21"/>
          <w:szCs w:val="21"/>
          <w:lang w:eastAsia="es-ES_tradnl"/>
        </w:rPr>
        <w:t>Proponente</w:t>
      </w:r>
      <w:r w:rsidRPr="006A7349">
        <w:rPr>
          <w:rFonts w:ascii="Arial" w:eastAsia="Arial," w:hAnsi="Arial" w:cs="Arial"/>
          <w:sz w:val="21"/>
          <w:szCs w:val="21"/>
          <w:lang w:eastAsia="es-ES_tradnl"/>
        </w:rPr>
        <w:t xml:space="preserve"> </w:t>
      </w:r>
      <w:r w:rsidRPr="006A7349">
        <w:rPr>
          <w:rFonts w:ascii="Arial" w:eastAsia="Times New Roman" w:hAnsi="Arial" w:cs="Arial"/>
          <w:sz w:val="21"/>
          <w:szCs w:val="21"/>
          <w:lang w:eastAsia="es-ES_tradnl"/>
        </w:rPr>
        <w:t>tendrá</w:t>
      </w:r>
      <w:r w:rsidRPr="006A7349">
        <w:rPr>
          <w:rFonts w:ascii="Arial" w:eastAsia="Arial," w:hAnsi="Arial" w:cs="Arial"/>
          <w:sz w:val="21"/>
          <w:szCs w:val="21"/>
          <w:lang w:eastAsia="es-ES_tradnl"/>
        </w:rPr>
        <w:t xml:space="preserve"> </w:t>
      </w:r>
      <w:r w:rsidRPr="006A7349">
        <w:rPr>
          <w:rFonts w:ascii="Arial" w:eastAsia="Times New Roman" w:hAnsi="Arial" w:cs="Arial"/>
          <w:sz w:val="21"/>
          <w:szCs w:val="21"/>
          <w:lang w:eastAsia="es-ES_tradnl"/>
        </w:rPr>
        <w:t>en</w:t>
      </w:r>
      <w:r w:rsidRPr="006A7349">
        <w:rPr>
          <w:rFonts w:ascii="Arial" w:eastAsia="Arial," w:hAnsi="Arial" w:cs="Arial"/>
          <w:sz w:val="21"/>
          <w:szCs w:val="21"/>
          <w:lang w:eastAsia="es-ES_tradnl"/>
        </w:rPr>
        <w:t xml:space="preserve"> </w:t>
      </w:r>
      <w:r w:rsidRPr="006A7349">
        <w:rPr>
          <w:rFonts w:ascii="Arial" w:eastAsia="Times New Roman" w:hAnsi="Arial" w:cs="Arial"/>
          <w:sz w:val="21"/>
          <w:szCs w:val="21"/>
          <w:lang w:eastAsia="es-ES_tradnl"/>
        </w:rPr>
        <w:t>cuenta</w:t>
      </w:r>
      <w:r w:rsidRPr="006A7349">
        <w:rPr>
          <w:rFonts w:ascii="Arial" w:eastAsia="Arial," w:hAnsi="Arial" w:cs="Arial"/>
          <w:sz w:val="21"/>
          <w:szCs w:val="21"/>
          <w:lang w:eastAsia="es-ES_tradnl"/>
        </w:rPr>
        <w:t xml:space="preserve"> </w:t>
      </w:r>
      <w:r w:rsidRPr="006A7349">
        <w:rPr>
          <w:rFonts w:ascii="Arial" w:eastAsia="Times New Roman" w:hAnsi="Arial" w:cs="Arial"/>
          <w:sz w:val="21"/>
          <w:szCs w:val="21"/>
          <w:lang w:eastAsia="es-ES_tradnl"/>
        </w:rPr>
        <w:t>lo</w:t>
      </w:r>
      <w:r w:rsidRPr="006A7349">
        <w:rPr>
          <w:rFonts w:ascii="Arial" w:eastAsia="Arial," w:hAnsi="Arial" w:cs="Arial"/>
          <w:sz w:val="21"/>
          <w:szCs w:val="21"/>
          <w:lang w:eastAsia="es-ES_tradnl"/>
        </w:rPr>
        <w:t xml:space="preserve"> </w:t>
      </w:r>
      <w:r w:rsidRPr="006A7349">
        <w:rPr>
          <w:rFonts w:ascii="Arial" w:eastAsia="Times New Roman" w:hAnsi="Arial" w:cs="Arial"/>
          <w:sz w:val="21"/>
          <w:szCs w:val="21"/>
          <w:lang w:eastAsia="es-ES_tradnl"/>
        </w:rPr>
        <w:t>siguiente:</w:t>
      </w:r>
      <w:r w:rsidRPr="006A7349">
        <w:rPr>
          <w:rFonts w:ascii="Arial" w:eastAsia="Arial," w:hAnsi="Arial" w:cs="Arial"/>
          <w:sz w:val="21"/>
          <w:szCs w:val="21"/>
          <w:lang w:eastAsia="es-ES_tradnl"/>
        </w:rPr>
        <w:t xml:space="preserve"> </w:t>
      </w:r>
    </w:p>
    <w:p w14:paraId="30CBF930" w14:textId="77777777" w:rsidR="006A7349" w:rsidRPr="006A7349" w:rsidRDefault="006A7349" w:rsidP="006A7349">
      <w:pPr>
        <w:spacing w:after="0" w:line="240" w:lineRule="auto"/>
        <w:ind w:right="709" w:firstLine="709"/>
        <w:jc w:val="both"/>
        <w:rPr>
          <w:rFonts w:ascii="Arial" w:eastAsia="Arial," w:hAnsi="Arial" w:cs="Arial"/>
          <w:sz w:val="21"/>
          <w:szCs w:val="21"/>
          <w:lang w:eastAsia="es-ES_tradnl"/>
        </w:rPr>
      </w:pPr>
      <w:r w:rsidRPr="006A7349">
        <w:rPr>
          <w:rFonts w:ascii="Arial" w:eastAsia="Arial," w:hAnsi="Arial" w:cs="Arial"/>
          <w:sz w:val="21"/>
          <w:szCs w:val="21"/>
          <w:lang w:eastAsia="es-ES_tradnl"/>
        </w:rPr>
        <w:t>[…]</w:t>
      </w:r>
    </w:p>
    <w:p w14:paraId="1C237304" w14:textId="77777777" w:rsidR="006A7349" w:rsidRPr="006A7349" w:rsidRDefault="006A7349" w:rsidP="006A7349">
      <w:pPr>
        <w:spacing w:after="0" w:line="240" w:lineRule="auto"/>
        <w:ind w:right="709" w:firstLine="709"/>
        <w:jc w:val="both"/>
        <w:rPr>
          <w:rFonts w:ascii="Arial" w:eastAsia="Arial," w:hAnsi="Arial" w:cs="Arial"/>
          <w:sz w:val="21"/>
          <w:szCs w:val="21"/>
          <w:lang w:eastAsia="es-ES_tradnl"/>
        </w:rPr>
      </w:pPr>
    </w:p>
    <w:p w14:paraId="17002C5C" w14:textId="77777777" w:rsidR="006A7349" w:rsidRPr="006A7349" w:rsidRDefault="006A7349" w:rsidP="006A7349">
      <w:pPr>
        <w:spacing w:after="0" w:line="240" w:lineRule="auto"/>
        <w:ind w:left="1134" w:right="709" w:hanging="425"/>
        <w:jc w:val="both"/>
        <w:rPr>
          <w:rFonts w:ascii="Arial" w:eastAsia="Arial" w:hAnsi="Arial" w:cs="Arial"/>
          <w:sz w:val="21"/>
          <w:szCs w:val="21"/>
          <w:lang w:val="es-MX"/>
        </w:rPr>
      </w:pPr>
      <w:r w:rsidRPr="006A7349">
        <w:rPr>
          <w:rFonts w:ascii="Arial" w:eastAsia="Arial" w:hAnsi="Arial" w:cs="Arial"/>
          <w:sz w:val="21"/>
          <w:szCs w:val="21"/>
          <w:lang w:val="es-MX"/>
        </w:rPr>
        <w:t>II.    Los contratos de obras civiles en ejecución son aquellos que a la fecha de presentación de la oferta obligan al proponente con entidades estatales y con entidades privadas para ejecutar obras civiles. Estas incluyen las obras civiles de los contratos de concesión y los contratos de obra suscritos con concesionarios, así como, los contratos suspendidos y aquellos que no tengan acta de inicio. No se entenderán como contratos en ejecución los que se encuentren en liquidación.</w:t>
      </w:r>
    </w:p>
    <w:p w14:paraId="7CB278F8" w14:textId="77777777" w:rsidR="006A7349" w:rsidRPr="006A7349" w:rsidRDefault="006A7349" w:rsidP="006A7349">
      <w:pPr>
        <w:spacing w:after="0" w:line="240" w:lineRule="auto"/>
        <w:ind w:left="1134" w:right="709" w:hanging="425"/>
        <w:jc w:val="both"/>
        <w:rPr>
          <w:rFonts w:ascii="Arial" w:eastAsia="Arial" w:hAnsi="Arial" w:cs="Arial"/>
          <w:sz w:val="21"/>
          <w:szCs w:val="21"/>
          <w:lang w:val="es-MX"/>
        </w:rPr>
      </w:pPr>
      <w:r w:rsidRPr="006A7349">
        <w:rPr>
          <w:rFonts w:ascii="Arial" w:eastAsia="Arial" w:hAnsi="Arial" w:cs="Arial"/>
          <w:sz w:val="21"/>
          <w:szCs w:val="21"/>
          <w:lang w:val="es-MX"/>
        </w:rPr>
        <w:t>III.  Se tendrán en cuenta los contratos de obras civiles en ejecución suscritos por el proponente o por sociedades, consorcios o uniones temporales en los cuales el proponente tenga participación</w:t>
      </w:r>
    </w:p>
    <w:p w14:paraId="65D7C118" w14:textId="77777777" w:rsidR="006A7349" w:rsidRPr="006A7349" w:rsidRDefault="006A7349" w:rsidP="006A7349">
      <w:pPr>
        <w:spacing w:after="0" w:line="240" w:lineRule="auto"/>
        <w:ind w:left="1134" w:right="709" w:hanging="425"/>
        <w:jc w:val="both"/>
        <w:rPr>
          <w:rFonts w:ascii="Arial" w:eastAsia="Arial" w:hAnsi="Arial" w:cs="Arial"/>
          <w:sz w:val="21"/>
          <w:szCs w:val="21"/>
          <w:lang w:val="es-MX"/>
        </w:rPr>
      </w:pPr>
      <w:r w:rsidRPr="006A7349">
        <w:rPr>
          <w:rFonts w:ascii="Arial" w:eastAsia="Arial" w:hAnsi="Arial" w:cs="Arial"/>
          <w:sz w:val="21"/>
          <w:szCs w:val="21"/>
          <w:lang w:val="es-MX"/>
        </w:rPr>
        <w:t>IV.  Si</w:t>
      </w:r>
      <w:r w:rsidRPr="006A7349">
        <w:rPr>
          <w:rFonts w:ascii="Arial" w:eastAsia="Arial," w:hAnsi="Arial" w:cs="Arial"/>
          <w:sz w:val="21"/>
          <w:szCs w:val="21"/>
          <w:lang w:val="es-MX"/>
        </w:rPr>
        <w:t xml:space="preserve"> </w:t>
      </w:r>
      <w:r w:rsidRPr="006A7349">
        <w:rPr>
          <w:rFonts w:ascii="Arial" w:eastAsia="Arial" w:hAnsi="Arial" w:cs="Arial"/>
          <w:sz w:val="21"/>
          <w:szCs w:val="21"/>
          <w:lang w:val="es-MX"/>
        </w:rPr>
        <w:t>un</w:t>
      </w:r>
      <w:r w:rsidRPr="006A7349">
        <w:rPr>
          <w:rFonts w:ascii="Arial" w:eastAsia="Arial," w:hAnsi="Arial" w:cs="Arial"/>
          <w:sz w:val="21"/>
          <w:szCs w:val="21"/>
          <w:lang w:val="es-MX"/>
        </w:rPr>
        <w:t xml:space="preserve"> </w:t>
      </w:r>
      <w:r w:rsidRPr="006A7349">
        <w:rPr>
          <w:rFonts w:ascii="Arial" w:eastAsia="Arial" w:hAnsi="Arial" w:cs="Arial"/>
          <w:sz w:val="21"/>
          <w:szCs w:val="21"/>
          <w:lang w:val="es-MX"/>
        </w:rPr>
        <w:t>contrato</w:t>
      </w:r>
      <w:r w:rsidRPr="006A7349">
        <w:rPr>
          <w:rFonts w:ascii="Arial" w:eastAsia="Arial," w:hAnsi="Arial" w:cs="Arial"/>
          <w:sz w:val="21"/>
          <w:szCs w:val="21"/>
          <w:lang w:val="es-MX"/>
        </w:rPr>
        <w:t xml:space="preserve"> </w:t>
      </w:r>
      <w:r w:rsidRPr="006A7349">
        <w:rPr>
          <w:rFonts w:ascii="Arial" w:eastAsia="Arial" w:hAnsi="Arial" w:cs="Arial"/>
          <w:sz w:val="21"/>
          <w:szCs w:val="21"/>
          <w:lang w:val="es-MX"/>
        </w:rPr>
        <w:t>se</w:t>
      </w:r>
      <w:r w:rsidRPr="006A7349">
        <w:rPr>
          <w:rFonts w:ascii="Arial" w:eastAsia="Arial," w:hAnsi="Arial" w:cs="Arial"/>
          <w:sz w:val="21"/>
          <w:szCs w:val="21"/>
          <w:lang w:val="es-MX"/>
        </w:rPr>
        <w:t xml:space="preserve"> </w:t>
      </w:r>
      <w:r w:rsidRPr="006A7349">
        <w:rPr>
          <w:rFonts w:ascii="Arial" w:eastAsia="Arial" w:hAnsi="Arial" w:cs="Arial"/>
          <w:sz w:val="21"/>
          <w:szCs w:val="21"/>
          <w:lang w:val="es-MX"/>
        </w:rPr>
        <w:t>encuentra</w:t>
      </w:r>
      <w:r w:rsidRPr="006A7349">
        <w:rPr>
          <w:rFonts w:ascii="Arial" w:eastAsia="Arial," w:hAnsi="Arial" w:cs="Arial"/>
          <w:sz w:val="21"/>
          <w:szCs w:val="21"/>
          <w:lang w:val="es-MX"/>
        </w:rPr>
        <w:t xml:space="preserve"> </w:t>
      </w:r>
      <w:r w:rsidRPr="006A7349">
        <w:rPr>
          <w:rFonts w:ascii="Arial" w:eastAsia="Arial" w:hAnsi="Arial" w:cs="Arial"/>
          <w:sz w:val="21"/>
          <w:szCs w:val="21"/>
          <w:lang w:val="es-MX"/>
        </w:rPr>
        <w:t>suspendido,</w:t>
      </w:r>
      <w:r w:rsidRPr="006A7349">
        <w:rPr>
          <w:rFonts w:ascii="Arial" w:eastAsia="Arial," w:hAnsi="Arial" w:cs="Arial"/>
          <w:sz w:val="21"/>
          <w:szCs w:val="21"/>
          <w:lang w:val="es-MX"/>
        </w:rPr>
        <w:t xml:space="preserve"> </w:t>
      </w:r>
      <w:r w:rsidRPr="006A7349">
        <w:rPr>
          <w:rFonts w:ascii="Arial" w:eastAsia="Arial" w:hAnsi="Arial" w:cs="Arial"/>
          <w:sz w:val="21"/>
          <w:szCs w:val="21"/>
          <w:lang w:val="es-MX"/>
        </w:rPr>
        <w:t>el</w:t>
      </w:r>
      <w:r w:rsidRPr="006A7349">
        <w:rPr>
          <w:rFonts w:ascii="Arial" w:eastAsia="Arial," w:hAnsi="Arial" w:cs="Arial"/>
          <w:sz w:val="21"/>
          <w:szCs w:val="21"/>
          <w:lang w:val="es-MX"/>
        </w:rPr>
        <w:t xml:space="preserve"> </w:t>
      </w:r>
      <w:r w:rsidRPr="006A7349">
        <w:rPr>
          <w:rFonts w:ascii="Arial" w:eastAsia="Arial" w:hAnsi="Arial" w:cs="Arial"/>
          <w:sz w:val="21"/>
          <w:szCs w:val="21"/>
          <w:lang w:val="es-MX"/>
        </w:rPr>
        <w:t>cálculo</w:t>
      </w:r>
      <w:r w:rsidRPr="006A7349">
        <w:rPr>
          <w:rFonts w:ascii="Arial" w:eastAsia="Arial," w:hAnsi="Arial" w:cs="Arial"/>
          <w:sz w:val="21"/>
          <w:szCs w:val="21"/>
          <w:lang w:val="es-MX"/>
        </w:rPr>
        <w:t xml:space="preserve"> </w:t>
      </w:r>
      <w:r w:rsidRPr="006A7349">
        <w:rPr>
          <w:rFonts w:ascii="Arial" w:eastAsia="Arial" w:hAnsi="Arial" w:cs="Arial"/>
          <w:sz w:val="21"/>
          <w:szCs w:val="21"/>
          <w:lang w:val="es-MX"/>
        </w:rPr>
        <w:t>del</w:t>
      </w:r>
      <w:r w:rsidRPr="006A7349">
        <w:rPr>
          <w:rFonts w:ascii="Arial" w:eastAsia="Arial," w:hAnsi="Arial" w:cs="Arial"/>
          <w:sz w:val="21"/>
          <w:szCs w:val="21"/>
          <w:lang w:val="es-MX"/>
        </w:rPr>
        <w:t xml:space="preserve"> </w:t>
      </w:r>
      <w:r w:rsidRPr="006A7349">
        <w:rPr>
          <w:rFonts w:ascii="Arial" w:eastAsia="Arial" w:hAnsi="Arial" w:cs="Arial"/>
          <w:sz w:val="21"/>
          <w:szCs w:val="21"/>
          <w:lang w:val="es-MX"/>
        </w:rPr>
        <w:t>(SCE)</w:t>
      </w:r>
      <w:r w:rsidRPr="006A7349">
        <w:rPr>
          <w:rFonts w:ascii="Arial" w:eastAsia="Arial," w:hAnsi="Arial" w:cs="Arial"/>
          <w:sz w:val="21"/>
          <w:szCs w:val="21"/>
          <w:lang w:val="es-MX"/>
        </w:rPr>
        <w:t xml:space="preserve"> </w:t>
      </w:r>
      <w:r w:rsidRPr="006A7349">
        <w:rPr>
          <w:rFonts w:ascii="Arial" w:eastAsia="Arial" w:hAnsi="Arial" w:cs="Arial"/>
          <w:sz w:val="21"/>
          <w:szCs w:val="21"/>
          <w:lang w:val="es-MX"/>
        </w:rPr>
        <w:t>de</w:t>
      </w:r>
      <w:r w:rsidRPr="006A7349">
        <w:rPr>
          <w:rFonts w:ascii="Arial" w:eastAsia="Arial," w:hAnsi="Arial" w:cs="Arial"/>
          <w:sz w:val="21"/>
          <w:szCs w:val="21"/>
          <w:lang w:val="es-MX"/>
        </w:rPr>
        <w:t xml:space="preserve"> </w:t>
      </w:r>
      <w:r w:rsidRPr="006A7349">
        <w:rPr>
          <w:rFonts w:ascii="Arial" w:eastAsia="Arial" w:hAnsi="Arial" w:cs="Arial"/>
          <w:sz w:val="21"/>
          <w:szCs w:val="21"/>
          <w:lang w:val="es-MX"/>
        </w:rPr>
        <w:t>dicho</w:t>
      </w:r>
      <w:r w:rsidRPr="006A7349">
        <w:rPr>
          <w:rFonts w:ascii="Arial" w:eastAsia="Arial," w:hAnsi="Arial" w:cs="Arial"/>
          <w:sz w:val="21"/>
          <w:szCs w:val="21"/>
          <w:lang w:val="es-MX"/>
        </w:rPr>
        <w:t xml:space="preserve"> </w:t>
      </w:r>
      <w:r w:rsidRPr="006A7349">
        <w:rPr>
          <w:rFonts w:ascii="Arial" w:eastAsia="Arial" w:hAnsi="Arial" w:cs="Arial"/>
          <w:sz w:val="21"/>
          <w:szCs w:val="21"/>
          <w:lang w:val="es-MX"/>
        </w:rPr>
        <w:t>contrato</w:t>
      </w:r>
      <w:r w:rsidRPr="006A7349">
        <w:rPr>
          <w:rFonts w:ascii="Arial" w:eastAsia="Arial," w:hAnsi="Arial" w:cs="Arial"/>
          <w:sz w:val="21"/>
          <w:szCs w:val="21"/>
          <w:lang w:val="es-MX"/>
        </w:rPr>
        <w:t xml:space="preserve"> </w:t>
      </w:r>
      <w:r w:rsidRPr="006A7349">
        <w:rPr>
          <w:rFonts w:ascii="Arial" w:eastAsia="Arial" w:hAnsi="Arial" w:cs="Arial"/>
          <w:sz w:val="21"/>
          <w:szCs w:val="21"/>
          <w:lang w:val="es-MX"/>
        </w:rPr>
        <w:t>debe</w:t>
      </w:r>
      <w:r w:rsidRPr="006A7349">
        <w:rPr>
          <w:rFonts w:ascii="Arial" w:eastAsia="Arial," w:hAnsi="Arial" w:cs="Arial"/>
          <w:sz w:val="21"/>
          <w:szCs w:val="21"/>
          <w:lang w:val="es-MX"/>
        </w:rPr>
        <w:t xml:space="preserve"> </w:t>
      </w:r>
      <w:r w:rsidRPr="006A7349">
        <w:rPr>
          <w:rFonts w:ascii="Arial" w:eastAsia="Arial" w:hAnsi="Arial" w:cs="Arial"/>
          <w:sz w:val="21"/>
          <w:szCs w:val="21"/>
          <w:lang w:val="es-MX"/>
        </w:rPr>
        <w:t>efectuarse</w:t>
      </w:r>
      <w:r w:rsidRPr="006A7349">
        <w:rPr>
          <w:rFonts w:ascii="Arial" w:eastAsia="Arial," w:hAnsi="Arial" w:cs="Arial"/>
          <w:sz w:val="21"/>
          <w:szCs w:val="21"/>
          <w:lang w:val="es-MX"/>
        </w:rPr>
        <w:t xml:space="preserve"> </w:t>
      </w:r>
      <w:r w:rsidRPr="006A7349">
        <w:rPr>
          <w:rFonts w:ascii="Arial" w:eastAsia="Arial" w:hAnsi="Arial" w:cs="Arial"/>
          <w:sz w:val="21"/>
          <w:szCs w:val="21"/>
          <w:lang w:val="es-MX"/>
        </w:rPr>
        <w:t>asumiendo</w:t>
      </w:r>
      <w:r w:rsidRPr="006A7349">
        <w:rPr>
          <w:rFonts w:ascii="Arial" w:eastAsia="Arial," w:hAnsi="Arial" w:cs="Arial"/>
          <w:sz w:val="21"/>
          <w:szCs w:val="21"/>
          <w:lang w:val="es-MX"/>
        </w:rPr>
        <w:t xml:space="preserve"> </w:t>
      </w:r>
      <w:r w:rsidRPr="006A7349">
        <w:rPr>
          <w:rFonts w:ascii="Arial" w:eastAsia="Arial" w:hAnsi="Arial" w:cs="Arial"/>
          <w:sz w:val="21"/>
          <w:szCs w:val="21"/>
          <w:lang w:val="es-MX"/>
        </w:rPr>
        <w:t>que</w:t>
      </w:r>
      <w:r w:rsidRPr="006A7349">
        <w:rPr>
          <w:rFonts w:ascii="Arial" w:eastAsia="Arial," w:hAnsi="Arial" w:cs="Arial"/>
          <w:sz w:val="21"/>
          <w:szCs w:val="21"/>
          <w:lang w:val="es-MX"/>
        </w:rPr>
        <w:t xml:space="preserve"> </w:t>
      </w:r>
      <w:r w:rsidRPr="006A7349">
        <w:rPr>
          <w:rFonts w:ascii="Arial" w:eastAsia="Arial" w:hAnsi="Arial" w:cs="Arial"/>
          <w:sz w:val="21"/>
          <w:szCs w:val="21"/>
          <w:lang w:val="es-MX"/>
        </w:rPr>
        <w:t>lo</w:t>
      </w:r>
      <w:r w:rsidRPr="006A7349">
        <w:rPr>
          <w:rFonts w:ascii="Arial" w:eastAsia="Arial," w:hAnsi="Arial" w:cs="Arial"/>
          <w:sz w:val="21"/>
          <w:szCs w:val="21"/>
          <w:lang w:val="es-MX"/>
        </w:rPr>
        <w:t xml:space="preserve"> </w:t>
      </w:r>
      <w:r w:rsidRPr="006A7349">
        <w:rPr>
          <w:rFonts w:ascii="Arial" w:eastAsia="Arial" w:hAnsi="Arial" w:cs="Arial"/>
          <w:sz w:val="21"/>
          <w:szCs w:val="21"/>
          <w:lang w:val="es-MX"/>
        </w:rPr>
        <w:t>que</w:t>
      </w:r>
      <w:r w:rsidRPr="006A7349">
        <w:rPr>
          <w:rFonts w:ascii="Arial" w:eastAsia="Arial," w:hAnsi="Arial" w:cs="Arial"/>
          <w:sz w:val="21"/>
          <w:szCs w:val="21"/>
          <w:lang w:val="es-MX"/>
        </w:rPr>
        <w:t xml:space="preserve"> </w:t>
      </w:r>
      <w:r w:rsidRPr="006A7349">
        <w:rPr>
          <w:rFonts w:ascii="Arial" w:eastAsia="Arial" w:hAnsi="Arial" w:cs="Arial"/>
          <w:sz w:val="21"/>
          <w:szCs w:val="21"/>
          <w:lang w:val="es-MX"/>
        </w:rPr>
        <w:t>falta</w:t>
      </w:r>
      <w:r w:rsidRPr="006A7349">
        <w:rPr>
          <w:rFonts w:ascii="Arial" w:eastAsia="Arial," w:hAnsi="Arial" w:cs="Arial"/>
          <w:sz w:val="21"/>
          <w:szCs w:val="21"/>
          <w:lang w:val="es-MX"/>
        </w:rPr>
        <w:t xml:space="preserve"> </w:t>
      </w:r>
      <w:r w:rsidRPr="006A7349">
        <w:rPr>
          <w:rFonts w:ascii="Arial" w:eastAsia="Arial" w:hAnsi="Arial" w:cs="Arial"/>
          <w:sz w:val="21"/>
          <w:szCs w:val="21"/>
          <w:lang w:val="es-MX"/>
        </w:rPr>
        <w:t>por</w:t>
      </w:r>
      <w:r w:rsidRPr="006A7349">
        <w:rPr>
          <w:rFonts w:ascii="Arial" w:eastAsia="Arial," w:hAnsi="Arial" w:cs="Arial"/>
          <w:sz w:val="21"/>
          <w:szCs w:val="21"/>
          <w:lang w:val="es-MX"/>
        </w:rPr>
        <w:t xml:space="preserve"> </w:t>
      </w:r>
      <w:r w:rsidRPr="006A7349">
        <w:rPr>
          <w:rFonts w:ascii="Arial" w:eastAsia="Arial" w:hAnsi="Arial" w:cs="Arial"/>
          <w:sz w:val="21"/>
          <w:szCs w:val="21"/>
          <w:lang w:val="es-MX"/>
        </w:rPr>
        <w:t>ejecutar</w:t>
      </w:r>
      <w:r w:rsidRPr="006A7349">
        <w:rPr>
          <w:rFonts w:ascii="Arial" w:eastAsia="Arial," w:hAnsi="Arial" w:cs="Arial"/>
          <w:sz w:val="21"/>
          <w:szCs w:val="21"/>
          <w:lang w:val="es-MX"/>
        </w:rPr>
        <w:t xml:space="preserve"> </w:t>
      </w:r>
      <w:r w:rsidRPr="006A7349">
        <w:rPr>
          <w:rFonts w:ascii="Arial" w:eastAsia="Arial" w:hAnsi="Arial" w:cs="Arial"/>
          <w:sz w:val="21"/>
          <w:szCs w:val="21"/>
          <w:lang w:val="es-MX"/>
        </w:rPr>
        <w:t>iniciara</w:t>
      </w:r>
      <w:r w:rsidRPr="006A7349">
        <w:rPr>
          <w:rFonts w:ascii="Arial" w:eastAsia="Arial," w:hAnsi="Arial" w:cs="Arial"/>
          <w:sz w:val="21"/>
          <w:szCs w:val="21"/>
          <w:lang w:val="es-MX"/>
        </w:rPr>
        <w:t xml:space="preserve"> </w:t>
      </w:r>
      <w:r w:rsidRPr="006A7349">
        <w:rPr>
          <w:rFonts w:ascii="Arial" w:eastAsia="Arial" w:hAnsi="Arial" w:cs="Arial"/>
          <w:sz w:val="21"/>
          <w:szCs w:val="21"/>
          <w:lang w:val="es-MX"/>
        </w:rPr>
        <w:t>en</w:t>
      </w:r>
      <w:r w:rsidRPr="006A7349">
        <w:rPr>
          <w:rFonts w:ascii="Arial" w:eastAsia="Arial," w:hAnsi="Arial" w:cs="Arial"/>
          <w:sz w:val="21"/>
          <w:szCs w:val="21"/>
          <w:lang w:val="es-MX"/>
        </w:rPr>
        <w:t xml:space="preserve"> </w:t>
      </w:r>
      <w:r w:rsidRPr="006A7349">
        <w:rPr>
          <w:rFonts w:ascii="Arial" w:eastAsia="Arial" w:hAnsi="Arial" w:cs="Arial"/>
          <w:sz w:val="21"/>
          <w:szCs w:val="21"/>
          <w:lang w:val="es-MX"/>
        </w:rPr>
        <w:t>la</w:t>
      </w:r>
      <w:r w:rsidRPr="006A7349">
        <w:rPr>
          <w:rFonts w:ascii="Arial" w:eastAsia="Arial," w:hAnsi="Arial" w:cs="Arial"/>
          <w:sz w:val="21"/>
          <w:szCs w:val="21"/>
          <w:lang w:val="es-MX"/>
        </w:rPr>
        <w:t xml:space="preserve"> </w:t>
      </w:r>
      <w:r w:rsidRPr="006A7349">
        <w:rPr>
          <w:rFonts w:ascii="Arial" w:eastAsia="Arial" w:hAnsi="Arial" w:cs="Arial"/>
          <w:sz w:val="21"/>
          <w:szCs w:val="21"/>
          <w:lang w:val="es-MX"/>
        </w:rPr>
        <w:t>fecha de</w:t>
      </w:r>
      <w:r w:rsidRPr="006A7349">
        <w:rPr>
          <w:rFonts w:ascii="Arial" w:eastAsia="Arial," w:hAnsi="Arial" w:cs="Arial"/>
          <w:sz w:val="21"/>
          <w:szCs w:val="21"/>
          <w:lang w:val="es-MX"/>
        </w:rPr>
        <w:t xml:space="preserve"> </w:t>
      </w:r>
      <w:r w:rsidRPr="006A7349">
        <w:rPr>
          <w:rFonts w:ascii="Arial" w:eastAsia="Arial" w:hAnsi="Arial" w:cs="Arial"/>
          <w:sz w:val="21"/>
          <w:szCs w:val="21"/>
          <w:lang w:val="es-MX"/>
        </w:rPr>
        <w:t>presentación</w:t>
      </w:r>
      <w:r w:rsidRPr="006A7349">
        <w:rPr>
          <w:rFonts w:ascii="Arial" w:eastAsia="Arial," w:hAnsi="Arial" w:cs="Arial"/>
          <w:sz w:val="21"/>
          <w:szCs w:val="21"/>
          <w:lang w:val="es-MX"/>
        </w:rPr>
        <w:t xml:space="preserve"> </w:t>
      </w:r>
      <w:r w:rsidRPr="006A7349">
        <w:rPr>
          <w:rFonts w:ascii="Arial" w:eastAsia="Arial" w:hAnsi="Arial" w:cs="Arial"/>
          <w:sz w:val="21"/>
          <w:szCs w:val="21"/>
          <w:lang w:val="es-MX"/>
        </w:rPr>
        <w:t>de</w:t>
      </w:r>
      <w:r w:rsidRPr="006A7349">
        <w:rPr>
          <w:rFonts w:ascii="Arial" w:eastAsia="Arial," w:hAnsi="Arial" w:cs="Arial"/>
          <w:sz w:val="21"/>
          <w:szCs w:val="21"/>
          <w:lang w:val="es-MX"/>
        </w:rPr>
        <w:t xml:space="preserve"> </w:t>
      </w:r>
      <w:r w:rsidRPr="006A7349">
        <w:rPr>
          <w:rFonts w:ascii="Arial" w:eastAsia="Arial" w:hAnsi="Arial" w:cs="Arial"/>
          <w:sz w:val="21"/>
          <w:szCs w:val="21"/>
          <w:lang w:val="es-MX"/>
        </w:rPr>
        <w:t>la</w:t>
      </w:r>
      <w:r w:rsidRPr="006A7349">
        <w:rPr>
          <w:rFonts w:ascii="Arial" w:eastAsia="Arial," w:hAnsi="Arial" w:cs="Arial"/>
          <w:sz w:val="21"/>
          <w:szCs w:val="21"/>
          <w:lang w:val="es-MX"/>
        </w:rPr>
        <w:t xml:space="preserve"> </w:t>
      </w:r>
      <w:r w:rsidRPr="006A7349">
        <w:rPr>
          <w:rFonts w:ascii="Arial" w:eastAsia="Arial" w:hAnsi="Arial" w:cs="Arial"/>
          <w:sz w:val="21"/>
          <w:szCs w:val="21"/>
          <w:lang w:val="es-MX"/>
        </w:rPr>
        <w:t>oferta</w:t>
      </w:r>
      <w:r w:rsidRPr="006A7349">
        <w:rPr>
          <w:rFonts w:ascii="Arial" w:eastAsia="Arial," w:hAnsi="Arial" w:cs="Arial"/>
          <w:sz w:val="21"/>
          <w:szCs w:val="21"/>
          <w:lang w:val="es-MX"/>
        </w:rPr>
        <w:t xml:space="preserve"> </w:t>
      </w:r>
      <w:r w:rsidRPr="006A7349">
        <w:rPr>
          <w:rFonts w:ascii="Arial" w:eastAsia="Arial" w:hAnsi="Arial" w:cs="Arial"/>
          <w:sz w:val="21"/>
          <w:szCs w:val="21"/>
          <w:lang w:val="es-MX"/>
        </w:rPr>
        <w:t>del</w:t>
      </w:r>
      <w:r w:rsidRPr="006A7349">
        <w:rPr>
          <w:rFonts w:ascii="Arial" w:eastAsia="Arial," w:hAnsi="Arial" w:cs="Arial"/>
          <w:sz w:val="21"/>
          <w:szCs w:val="21"/>
          <w:lang w:val="es-MX"/>
        </w:rPr>
        <w:t xml:space="preserve"> </w:t>
      </w:r>
      <w:r w:rsidRPr="006A7349">
        <w:rPr>
          <w:rFonts w:ascii="Arial" w:eastAsia="Arial" w:hAnsi="Arial" w:cs="Arial"/>
          <w:sz w:val="21"/>
          <w:szCs w:val="21"/>
          <w:lang w:val="es-MX"/>
        </w:rPr>
        <w:t>Proceso de Contratación.</w:t>
      </w:r>
      <w:r w:rsidRPr="006A7349">
        <w:rPr>
          <w:rFonts w:ascii="Arial" w:eastAsia="Arial," w:hAnsi="Arial" w:cs="Arial"/>
          <w:sz w:val="21"/>
          <w:szCs w:val="21"/>
          <w:lang w:val="es-MX"/>
        </w:rPr>
        <w:t xml:space="preserve"> </w:t>
      </w:r>
      <w:r w:rsidRPr="006A7349">
        <w:rPr>
          <w:rFonts w:ascii="Arial" w:eastAsia="Arial" w:hAnsi="Arial" w:cs="Arial"/>
          <w:sz w:val="21"/>
          <w:szCs w:val="21"/>
          <w:lang w:val="es-MX"/>
        </w:rPr>
        <w:t>Si</w:t>
      </w:r>
      <w:r w:rsidRPr="006A7349">
        <w:rPr>
          <w:rFonts w:ascii="Arial" w:eastAsia="Arial," w:hAnsi="Arial" w:cs="Arial"/>
          <w:sz w:val="21"/>
          <w:szCs w:val="21"/>
          <w:lang w:val="es-MX"/>
        </w:rPr>
        <w:t xml:space="preserve"> </w:t>
      </w:r>
      <w:r w:rsidRPr="006A7349">
        <w:rPr>
          <w:rFonts w:ascii="Arial" w:eastAsia="Arial" w:hAnsi="Arial" w:cs="Arial"/>
          <w:sz w:val="21"/>
          <w:szCs w:val="21"/>
          <w:lang w:val="es-MX"/>
        </w:rPr>
        <w:t>el</w:t>
      </w:r>
      <w:r w:rsidRPr="006A7349">
        <w:rPr>
          <w:rFonts w:ascii="Arial" w:eastAsia="Arial," w:hAnsi="Arial" w:cs="Arial"/>
          <w:sz w:val="21"/>
          <w:szCs w:val="21"/>
          <w:lang w:val="es-MX"/>
        </w:rPr>
        <w:t xml:space="preserve"> </w:t>
      </w:r>
      <w:r w:rsidRPr="006A7349">
        <w:rPr>
          <w:rFonts w:ascii="Arial" w:eastAsia="Arial" w:hAnsi="Arial" w:cs="Arial"/>
          <w:sz w:val="21"/>
          <w:szCs w:val="21"/>
          <w:lang w:val="es-MX"/>
        </w:rPr>
        <w:t>contrato</w:t>
      </w:r>
      <w:r w:rsidRPr="006A7349">
        <w:rPr>
          <w:rFonts w:ascii="Arial" w:eastAsia="Arial," w:hAnsi="Arial" w:cs="Arial"/>
          <w:sz w:val="21"/>
          <w:szCs w:val="21"/>
          <w:lang w:val="es-MX"/>
        </w:rPr>
        <w:t xml:space="preserve"> </w:t>
      </w:r>
      <w:r w:rsidRPr="006A7349">
        <w:rPr>
          <w:rFonts w:ascii="Arial" w:eastAsia="Arial" w:hAnsi="Arial" w:cs="Arial"/>
          <w:sz w:val="21"/>
          <w:szCs w:val="21"/>
          <w:lang w:val="es-MX"/>
        </w:rPr>
        <w:t>está</w:t>
      </w:r>
      <w:r w:rsidRPr="006A7349">
        <w:rPr>
          <w:rFonts w:ascii="Arial" w:eastAsia="Arial," w:hAnsi="Arial" w:cs="Arial"/>
          <w:sz w:val="21"/>
          <w:szCs w:val="21"/>
          <w:lang w:val="es-MX"/>
        </w:rPr>
        <w:t xml:space="preserve"> </w:t>
      </w:r>
      <w:r w:rsidRPr="006A7349">
        <w:rPr>
          <w:rFonts w:ascii="Arial" w:eastAsia="Arial" w:hAnsi="Arial" w:cs="Arial"/>
          <w:sz w:val="21"/>
          <w:szCs w:val="21"/>
          <w:lang w:val="es-MX"/>
        </w:rPr>
        <w:t>suspendido</w:t>
      </w:r>
      <w:r w:rsidRPr="006A7349">
        <w:rPr>
          <w:rFonts w:ascii="Arial" w:eastAsia="Arial," w:hAnsi="Arial" w:cs="Arial"/>
          <w:sz w:val="21"/>
          <w:szCs w:val="21"/>
          <w:lang w:val="es-MX"/>
        </w:rPr>
        <w:t xml:space="preserve"> </w:t>
      </w:r>
      <w:r w:rsidRPr="006A7349">
        <w:rPr>
          <w:rFonts w:ascii="Arial" w:eastAsia="Arial" w:hAnsi="Arial" w:cs="Arial"/>
          <w:sz w:val="21"/>
          <w:szCs w:val="21"/>
          <w:lang w:val="es-MX"/>
        </w:rPr>
        <w:t>el</w:t>
      </w:r>
      <w:r w:rsidRPr="006A7349">
        <w:rPr>
          <w:rFonts w:ascii="Arial" w:eastAsia="Arial," w:hAnsi="Arial" w:cs="Arial"/>
          <w:sz w:val="21"/>
          <w:szCs w:val="21"/>
          <w:lang w:val="es-MX"/>
        </w:rPr>
        <w:t xml:space="preserve"> </w:t>
      </w:r>
      <w:r w:rsidRPr="006A7349">
        <w:rPr>
          <w:rFonts w:ascii="Arial" w:eastAsia="Arial" w:hAnsi="Arial" w:cs="Arial"/>
          <w:sz w:val="21"/>
          <w:szCs w:val="21"/>
          <w:lang w:val="es-MX"/>
        </w:rPr>
        <w:t>Proponente</w:t>
      </w:r>
      <w:r w:rsidRPr="006A7349">
        <w:rPr>
          <w:rFonts w:ascii="Arial" w:eastAsia="Arial," w:hAnsi="Arial" w:cs="Arial"/>
          <w:sz w:val="21"/>
          <w:szCs w:val="21"/>
          <w:lang w:val="es-MX"/>
        </w:rPr>
        <w:t xml:space="preserve"> </w:t>
      </w:r>
      <w:r w:rsidRPr="006A7349">
        <w:rPr>
          <w:rFonts w:ascii="Arial" w:eastAsia="Arial" w:hAnsi="Arial" w:cs="Arial"/>
          <w:sz w:val="21"/>
          <w:szCs w:val="21"/>
          <w:lang w:val="es-MX"/>
        </w:rPr>
        <w:t>debe</w:t>
      </w:r>
      <w:r w:rsidRPr="006A7349">
        <w:rPr>
          <w:rFonts w:ascii="Arial" w:eastAsia="Arial," w:hAnsi="Arial" w:cs="Arial"/>
          <w:sz w:val="21"/>
          <w:szCs w:val="21"/>
          <w:lang w:val="es-MX"/>
        </w:rPr>
        <w:t xml:space="preserve"> </w:t>
      </w:r>
      <w:r w:rsidRPr="006A7349">
        <w:rPr>
          <w:rFonts w:ascii="Arial" w:eastAsia="Arial" w:hAnsi="Arial" w:cs="Arial"/>
          <w:sz w:val="21"/>
          <w:szCs w:val="21"/>
          <w:lang w:val="es-MX"/>
        </w:rPr>
        <w:t>informar</w:t>
      </w:r>
      <w:r w:rsidRPr="006A7349">
        <w:rPr>
          <w:rFonts w:ascii="Arial" w:eastAsia="Arial," w:hAnsi="Arial" w:cs="Arial"/>
          <w:sz w:val="21"/>
          <w:szCs w:val="21"/>
          <w:lang w:val="es-MX"/>
        </w:rPr>
        <w:t xml:space="preserve"> </w:t>
      </w:r>
      <w:r w:rsidRPr="006A7349">
        <w:rPr>
          <w:rFonts w:ascii="Arial" w:eastAsia="Arial" w:hAnsi="Arial" w:cs="Arial"/>
          <w:sz w:val="21"/>
          <w:szCs w:val="21"/>
          <w:lang w:val="es-MX"/>
        </w:rPr>
        <w:t>el</w:t>
      </w:r>
      <w:r w:rsidRPr="006A7349">
        <w:rPr>
          <w:rFonts w:ascii="Arial" w:eastAsia="Arial," w:hAnsi="Arial" w:cs="Arial"/>
          <w:sz w:val="21"/>
          <w:szCs w:val="21"/>
          <w:lang w:val="es-MX"/>
        </w:rPr>
        <w:t xml:space="preserve"> </w:t>
      </w:r>
      <w:r w:rsidRPr="006A7349">
        <w:rPr>
          <w:rFonts w:ascii="Arial" w:eastAsia="Arial" w:hAnsi="Arial" w:cs="Arial"/>
          <w:sz w:val="21"/>
          <w:szCs w:val="21"/>
          <w:lang w:val="es-MX"/>
        </w:rPr>
        <w:t>saldo</w:t>
      </w:r>
      <w:r w:rsidRPr="006A7349">
        <w:rPr>
          <w:rFonts w:ascii="Arial" w:eastAsia="Arial," w:hAnsi="Arial" w:cs="Arial"/>
          <w:sz w:val="21"/>
          <w:szCs w:val="21"/>
          <w:lang w:val="es-MX"/>
        </w:rPr>
        <w:t xml:space="preserve"> </w:t>
      </w:r>
      <w:r w:rsidRPr="006A7349">
        <w:rPr>
          <w:rFonts w:ascii="Arial" w:eastAsia="Arial" w:hAnsi="Arial" w:cs="Arial"/>
          <w:sz w:val="21"/>
          <w:szCs w:val="21"/>
          <w:lang w:val="es-MX"/>
        </w:rPr>
        <w:t>pendiente</w:t>
      </w:r>
      <w:r w:rsidRPr="006A7349">
        <w:rPr>
          <w:rFonts w:ascii="Arial" w:eastAsia="Arial," w:hAnsi="Arial" w:cs="Arial"/>
          <w:sz w:val="21"/>
          <w:szCs w:val="21"/>
          <w:lang w:val="es-MX"/>
        </w:rPr>
        <w:t xml:space="preserve"> </w:t>
      </w:r>
      <w:r w:rsidRPr="006A7349">
        <w:rPr>
          <w:rFonts w:ascii="Arial" w:eastAsia="Arial" w:hAnsi="Arial" w:cs="Arial"/>
          <w:sz w:val="21"/>
          <w:szCs w:val="21"/>
          <w:lang w:val="es-MX"/>
        </w:rPr>
        <w:t>por</w:t>
      </w:r>
      <w:r w:rsidRPr="006A7349">
        <w:rPr>
          <w:rFonts w:ascii="Arial" w:eastAsia="Arial," w:hAnsi="Arial" w:cs="Arial"/>
          <w:sz w:val="21"/>
          <w:szCs w:val="21"/>
          <w:lang w:val="es-MX"/>
        </w:rPr>
        <w:t xml:space="preserve"> </w:t>
      </w:r>
      <w:r w:rsidRPr="006A7349">
        <w:rPr>
          <w:rFonts w:ascii="Arial" w:eastAsia="Arial" w:hAnsi="Arial" w:cs="Arial"/>
          <w:sz w:val="21"/>
          <w:szCs w:val="21"/>
          <w:lang w:val="es-MX"/>
        </w:rPr>
        <w:t xml:space="preserve">ejecutar. </w:t>
      </w:r>
    </w:p>
    <w:p w14:paraId="2117B16D" w14:textId="77777777" w:rsidR="006A7349" w:rsidRPr="006A7349" w:rsidRDefault="006A7349" w:rsidP="006A7349">
      <w:pPr>
        <w:spacing w:after="0" w:line="240" w:lineRule="auto"/>
        <w:ind w:left="1134" w:right="709" w:hanging="425"/>
        <w:jc w:val="both"/>
        <w:rPr>
          <w:rFonts w:ascii="Arial" w:eastAsia="Arial" w:hAnsi="Arial" w:cs="Arial"/>
          <w:sz w:val="21"/>
          <w:szCs w:val="21"/>
          <w:lang w:val="es-MX"/>
        </w:rPr>
      </w:pPr>
      <w:r w:rsidRPr="006A7349">
        <w:rPr>
          <w:rFonts w:ascii="Arial" w:eastAsia="Arial" w:hAnsi="Arial" w:cs="Arial"/>
          <w:sz w:val="21"/>
          <w:szCs w:val="21"/>
          <w:lang w:val="es-MX"/>
        </w:rPr>
        <w:t xml:space="preserve">V.  </w:t>
      </w:r>
      <w:r w:rsidRPr="006A7349">
        <w:rPr>
          <w:rFonts w:ascii="Arial" w:eastAsia="Calibri" w:hAnsi="Arial" w:cs="Arial"/>
          <w:sz w:val="21"/>
          <w:szCs w:val="21"/>
        </w:rPr>
        <w:t>El</w:t>
      </w:r>
      <w:r w:rsidRPr="006A7349">
        <w:rPr>
          <w:rFonts w:ascii="Arial" w:eastAsia="Arial" w:hAnsi="Arial" w:cs="Arial"/>
          <w:sz w:val="21"/>
          <w:szCs w:val="21"/>
        </w:rPr>
        <w:t xml:space="preserve"> </w:t>
      </w:r>
      <w:r w:rsidRPr="006A7349">
        <w:rPr>
          <w:rFonts w:ascii="Arial" w:eastAsia="Calibri" w:hAnsi="Arial" w:cs="Arial"/>
          <w:sz w:val="21"/>
          <w:szCs w:val="21"/>
        </w:rPr>
        <w:t>cálculo</w:t>
      </w:r>
      <w:r w:rsidRPr="006A7349">
        <w:rPr>
          <w:rFonts w:ascii="Arial" w:eastAsia="Arial" w:hAnsi="Arial" w:cs="Arial"/>
          <w:sz w:val="21"/>
          <w:szCs w:val="21"/>
        </w:rPr>
        <w:t xml:space="preserve"> </w:t>
      </w:r>
      <w:r w:rsidRPr="006A7349">
        <w:rPr>
          <w:rFonts w:ascii="Arial" w:eastAsia="Calibri" w:hAnsi="Arial" w:cs="Arial"/>
          <w:sz w:val="21"/>
          <w:szCs w:val="21"/>
        </w:rPr>
        <w:t>del</w:t>
      </w:r>
      <w:r w:rsidRPr="006A7349">
        <w:rPr>
          <w:rFonts w:ascii="Arial" w:eastAsia="Arial" w:hAnsi="Arial" w:cs="Arial"/>
          <w:sz w:val="21"/>
          <w:szCs w:val="21"/>
        </w:rPr>
        <w:t xml:space="preserve"> </w:t>
      </w:r>
      <w:r w:rsidRPr="006A7349">
        <w:rPr>
          <w:rFonts w:ascii="Arial" w:eastAsia="Calibri" w:hAnsi="Arial" w:cs="Arial"/>
          <w:sz w:val="21"/>
          <w:szCs w:val="21"/>
        </w:rPr>
        <w:t>factor</w:t>
      </w:r>
      <w:r w:rsidRPr="006A7349">
        <w:rPr>
          <w:rFonts w:ascii="Arial" w:eastAsia="Arial" w:hAnsi="Arial" w:cs="Arial"/>
          <w:sz w:val="21"/>
          <w:szCs w:val="21"/>
        </w:rPr>
        <w:t xml:space="preserve"> </w:t>
      </w:r>
      <w:r w:rsidRPr="006A7349">
        <w:rPr>
          <w:rFonts w:ascii="Arial" w:eastAsia="Calibri" w:hAnsi="Arial" w:cs="Arial"/>
          <w:sz w:val="21"/>
          <w:szCs w:val="21"/>
        </w:rPr>
        <w:t>(SCE)</w:t>
      </w:r>
      <w:r w:rsidRPr="006A7349">
        <w:rPr>
          <w:rFonts w:ascii="Arial" w:eastAsia="Arial" w:hAnsi="Arial" w:cs="Arial"/>
          <w:sz w:val="21"/>
          <w:szCs w:val="21"/>
        </w:rPr>
        <w:t xml:space="preserve"> </w:t>
      </w:r>
      <w:r w:rsidRPr="006A7349">
        <w:rPr>
          <w:rFonts w:ascii="Arial" w:eastAsia="Calibri" w:hAnsi="Arial" w:cs="Arial"/>
          <w:sz w:val="21"/>
          <w:szCs w:val="21"/>
        </w:rPr>
        <w:t>debe</w:t>
      </w:r>
      <w:r w:rsidRPr="006A7349">
        <w:rPr>
          <w:rFonts w:ascii="Arial" w:eastAsia="Arial" w:hAnsi="Arial" w:cs="Arial"/>
          <w:sz w:val="21"/>
          <w:szCs w:val="21"/>
        </w:rPr>
        <w:t xml:space="preserve"> </w:t>
      </w:r>
      <w:r w:rsidRPr="006A7349">
        <w:rPr>
          <w:rFonts w:ascii="Arial" w:eastAsia="Calibri" w:hAnsi="Arial" w:cs="Arial"/>
          <w:sz w:val="21"/>
          <w:szCs w:val="21"/>
        </w:rPr>
        <w:t>hacerse</w:t>
      </w:r>
      <w:r w:rsidRPr="006A7349">
        <w:rPr>
          <w:rFonts w:ascii="Arial" w:eastAsia="Arial" w:hAnsi="Arial" w:cs="Arial"/>
          <w:sz w:val="21"/>
          <w:szCs w:val="21"/>
        </w:rPr>
        <w:t xml:space="preserve"> </w:t>
      </w:r>
      <w:r w:rsidRPr="006A7349">
        <w:rPr>
          <w:rFonts w:ascii="Arial" w:eastAsia="Calibri" w:hAnsi="Arial" w:cs="Arial"/>
          <w:sz w:val="21"/>
          <w:szCs w:val="21"/>
        </w:rPr>
        <w:t>linealmente</w:t>
      </w:r>
      <w:r w:rsidRPr="006A7349">
        <w:rPr>
          <w:rFonts w:ascii="Arial" w:eastAsia="Arial" w:hAnsi="Arial" w:cs="Arial"/>
          <w:sz w:val="21"/>
          <w:szCs w:val="21"/>
        </w:rPr>
        <w:t xml:space="preserve"> </w:t>
      </w:r>
      <w:r w:rsidRPr="006A7349">
        <w:rPr>
          <w:rFonts w:ascii="Arial" w:eastAsia="Calibri" w:hAnsi="Arial" w:cs="Arial"/>
          <w:sz w:val="21"/>
          <w:szCs w:val="21"/>
        </w:rPr>
        <w:t>calculando</w:t>
      </w:r>
      <w:r w:rsidRPr="006A7349">
        <w:rPr>
          <w:rFonts w:ascii="Arial" w:eastAsia="Arial" w:hAnsi="Arial" w:cs="Arial"/>
          <w:sz w:val="21"/>
          <w:szCs w:val="21"/>
        </w:rPr>
        <w:t xml:space="preserve"> </w:t>
      </w:r>
      <w:r w:rsidRPr="006A7349">
        <w:rPr>
          <w:rFonts w:ascii="Arial" w:eastAsia="Calibri" w:hAnsi="Arial" w:cs="Arial"/>
          <w:sz w:val="21"/>
          <w:szCs w:val="21"/>
        </w:rPr>
        <w:t>una</w:t>
      </w:r>
      <w:r w:rsidRPr="006A7349">
        <w:rPr>
          <w:rFonts w:ascii="Arial" w:eastAsia="Arial" w:hAnsi="Arial" w:cs="Arial"/>
          <w:sz w:val="21"/>
          <w:szCs w:val="21"/>
        </w:rPr>
        <w:t xml:space="preserve"> </w:t>
      </w:r>
      <w:r w:rsidRPr="006A7349">
        <w:rPr>
          <w:rFonts w:ascii="Arial" w:eastAsia="Calibri" w:hAnsi="Arial" w:cs="Arial"/>
          <w:sz w:val="21"/>
          <w:szCs w:val="21"/>
        </w:rPr>
        <w:t>ejecución</w:t>
      </w:r>
      <w:r w:rsidRPr="006A7349">
        <w:rPr>
          <w:rFonts w:ascii="Arial" w:eastAsia="Arial" w:hAnsi="Arial" w:cs="Arial"/>
          <w:sz w:val="21"/>
          <w:szCs w:val="21"/>
        </w:rPr>
        <w:t xml:space="preserve"> </w:t>
      </w:r>
      <w:r w:rsidRPr="006A7349">
        <w:rPr>
          <w:rFonts w:ascii="Arial" w:eastAsia="Calibri" w:hAnsi="Arial" w:cs="Arial"/>
          <w:sz w:val="21"/>
          <w:szCs w:val="21"/>
        </w:rPr>
        <w:t>diaria</w:t>
      </w:r>
      <w:r w:rsidRPr="006A7349">
        <w:rPr>
          <w:rFonts w:ascii="Arial" w:eastAsia="Arial" w:hAnsi="Arial" w:cs="Arial"/>
          <w:sz w:val="21"/>
          <w:szCs w:val="21"/>
        </w:rPr>
        <w:t xml:space="preserve"> </w:t>
      </w:r>
      <w:r w:rsidRPr="006A7349">
        <w:rPr>
          <w:rFonts w:ascii="Arial" w:eastAsia="Calibri" w:hAnsi="Arial" w:cs="Arial"/>
          <w:sz w:val="21"/>
          <w:szCs w:val="21"/>
        </w:rPr>
        <w:t>equivalente</w:t>
      </w:r>
      <w:r w:rsidRPr="006A7349">
        <w:rPr>
          <w:rFonts w:ascii="Arial" w:eastAsia="Arial" w:hAnsi="Arial" w:cs="Arial"/>
          <w:sz w:val="21"/>
          <w:szCs w:val="21"/>
        </w:rPr>
        <w:t xml:space="preserve"> </w:t>
      </w:r>
      <w:r w:rsidRPr="006A7349">
        <w:rPr>
          <w:rFonts w:ascii="Arial" w:eastAsia="Calibri" w:hAnsi="Arial" w:cs="Arial"/>
          <w:sz w:val="21"/>
          <w:szCs w:val="21"/>
        </w:rPr>
        <w:t>al</w:t>
      </w:r>
      <w:r w:rsidRPr="006A7349">
        <w:rPr>
          <w:rFonts w:ascii="Arial" w:eastAsia="Arial" w:hAnsi="Arial" w:cs="Arial"/>
          <w:sz w:val="21"/>
          <w:szCs w:val="21"/>
        </w:rPr>
        <w:t xml:space="preserve"> </w:t>
      </w:r>
      <w:r w:rsidRPr="006A7349">
        <w:rPr>
          <w:rFonts w:ascii="Arial" w:eastAsia="Calibri" w:hAnsi="Arial" w:cs="Arial"/>
          <w:sz w:val="21"/>
          <w:szCs w:val="21"/>
        </w:rPr>
        <w:t>valor</w:t>
      </w:r>
      <w:r w:rsidRPr="006A7349">
        <w:rPr>
          <w:rFonts w:ascii="Arial" w:eastAsia="Arial" w:hAnsi="Arial" w:cs="Arial"/>
          <w:sz w:val="21"/>
          <w:szCs w:val="21"/>
        </w:rPr>
        <w:t xml:space="preserve"> </w:t>
      </w:r>
      <w:r w:rsidRPr="006A7349">
        <w:rPr>
          <w:rFonts w:ascii="Arial" w:eastAsia="Calibri" w:hAnsi="Arial" w:cs="Arial"/>
          <w:sz w:val="21"/>
          <w:szCs w:val="21"/>
        </w:rPr>
        <w:t>del</w:t>
      </w:r>
      <w:r w:rsidRPr="006A7349">
        <w:rPr>
          <w:rFonts w:ascii="Arial" w:eastAsia="Arial" w:hAnsi="Arial" w:cs="Arial"/>
          <w:sz w:val="21"/>
          <w:szCs w:val="21"/>
        </w:rPr>
        <w:t xml:space="preserve"> </w:t>
      </w:r>
      <w:r w:rsidRPr="006A7349">
        <w:rPr>
          <w:rFonts w:ascii="Arial" w:eastAsia="Calibri" w:hAnsi="Arial" w:cs="Arial"/>
          <w:sz w:val="21"/>
          <w:szCs w:val="21"/>
        </w:rPr>
        <w:t>contrato</w:t>
      </w:r>
      <w:r w:rsidRPr="006A7349">
        <w:rPr>
          <w:rFonts w:ascii="Arial" w:eastAsia="Arial" w:hAnsi="Arial" w:cs="Arial"/>
          <w:sz w:val="21"/>
          <w:szCs w:val="21"/>
        </w:rPr>
        <w:t xml:space="preserve"> </w:t>
      </w:r>
      <w:r w:rsidRPr="006A7349">
        <w:rPr>
          <w:rFonts w:ascii="Arial" w:eastAsia="Calibri" w:hAnsi="Arial" w:cs="Arial"/>
          <w:sz w:val="21"/>
          <w:szCs w:val="21"/>
        </w:rPr>
        <w:t>dividido</w:t>
      </w:r>
      <w:r w:rsidRPr="006A7349">
        <w:rPr>
          <w:rFonts w:ascii="Arial" w:eastAsia="Arial" w:hAnsi="Arial" w:cs="Arial"/>
          <w:sz w:val="21"/>
          <w:szCs w:val="21"/>
        </w:rPr>
        <w:t xml:space="preserve"> </w:t>
      </w:r>
      <w:r w:rsidRPr="006A7349">
        <w:rPr>
          <w:rFonts w:ascii="Arial" w:eastAsia="Calibri" w:hAnsi="Arial" w:cs="Arial"/>
          <w:sz w:val="21"/>
          <w:szCs w:val="21"/>
        </w:rPr>
        <w:t>por</w:t>
      </w:r>
      <w:r w:rsidRPr="006A7349">
        <w:rPr>
          <w:rFonts w:ascii="Arial" w:eastAsia="Arial" w:hAnsi="Arial" w:cs="Arial"/>
          <w:sz w:val="21"/>
          <w:szCs w:val="21"/>
        </w:rPr>
        <w:t xml:space="preserve"> </w:t>
      </w:r>
      <w:r w:rsidRPr="006A7349">
        <w:rPr>
          <w:rFonts w:ascii="Arial" w:eastAsia="Calibri" w:hAnsi="Arial" w:cs="Arial"/>
          <w:sz w:val="21"/>
          <w:szCs w:val="21"/>
        </w:rPr>
        <w:t>el</w:t>
      </w:r>
      <w:r w:rsidRPr="006A7349">
        <w:rPr>
          <w:rFonts w:ascii="Arial" w:eastAsia="Arial" w:hAnsi="Arial" w:cs="Arial"/>
          <w:sz w:val="21"/>
          <w:szCs w:val="21"/>
        </w:rPr>
        <w:t xml:space="preserve"> </w:t>
      </w:r>
      <w:r w:rsidRPr="006A7349">
        <w:rPr>
          <w:rFonts w:ascii="Arial" w:eastAsia="Calibri" w:hAnsi="Arial" w:cs="Arial"/>
          <w:sz w:val="21"/>
          <w:szCs w:val="21"/>
        </w:rPr>
        <w:t>plazo</w:t>
      </w:r>
      <w:r w:rsidRPr="006A7349">
        <w:rPr>
          <w:rFonts w:ascii="Arial" w:eastAsia="Arial" w:hAnsi="Arial" w:cs="Arial"/>
          <w:sz w:val="21"/>
          <w:szCs w:val="21"/>
        </w:rPr>
        <w:t xml:space="preserve"> </w:t>
      </w:r>
      <w:r w:rsidRPr="006A7349">
        <w:rPr>
          <w:rFonts w:ascii="Arial" w:eastAsia="Calibri" w:hAnsi="Arial" w:cs="Arial"/>
          <w:sz w:val="21"/>
          <w:szCs w:val="21"/>
        </w:rPr>
        <w:t>del</w:t>
      </w:r>
      <w:r w:rsidRPr="006A7349">
        <w:rPr>
          <w:rFonts w:ascii="Arial" w:eastAsia="Arial" w:hAnsi="Arial" w:cs="Arial"/>
          <w:sz w:val="21"/>
          <w:szCs w:val="21"/>
        </w:rPr>
        <w:t xml:space="preserve"> </w:t>
      </w:r>
      <w:r w:rsidRPr="006A7349">
        <w:rPr>
          <w:rFonts w:ascii="Arial" w:eastAsia="Calibri" w:hAnsi="Arial" w:cs="Arial"/>
          <w:sz w:val="21"/>
          <w:szCs w:val="21"/>
        </w:rPr>
        <w:t>contrato</w:t>
      </w:r>
      <w:r w:rsidRPr="006A7349">
        <w:rPr>
          <w:rFonts w:ascii="Arial" w:eastAsia="Arial" w:hAnsi="Arial" w:cs="Arial"/>
          <w:sz w:val="21"/>
          <w:szCs w:val="21"/>
        </w:rPr>
        <w:t xml:space="preserve"> </w:t>
      </w:r>
      <w:r w:rsidRPr="006A7349">
        <w:rPr>
          <w:rFonts w:ascii="Arial" w:eastAsia="Calibri" w:hAnsi="Arial" w:cs="Arial"/>
          <w:sz w:val="21"/>
          <w:szCs w:val="21"/>
        </w:rPr>
        <w:t>expresado</w:t>
      </w:r>
      <w:r w:rsidRPr="006A7349">
        <w:rPr>
          <w:rFonts w:ascii="Arial" w:eastAsia="Arial" w:hAnsi="Arial" w:cs="Arial"/>
          <w:sz w:val="21"/>
          <w:szCs w:val="21"/>
        </w:rPr>
        <w:t xml:space="preserve"> </w:t>
      </w:r>
      <w:r w:rsidRPr="006A7349">
        <w:rPr>
          <w:rFonts w:ascii="Arial" w:eastAsia="Calibri" w:hAnsi="Arial" w:cs="Arial"/>
          <w:sz w:val="21"/>
          <w:szCs w:val="21"/>
        </w:rPr>
        <w:t>en</w:t>
      </w:r>
      <w:r w:rsidRPr="006A7349">
        <w:rPr>
          <w:rFonts w:ascii="Arial" w:eastAsia="Arial" w:hAnsi="Arial" w:cs="Arial"/>
          <w:sz w:val="21"/>
          <w:szCs w:val="21"/>
        </w:rPr>
        <w:t xml:space="preserve"> </w:t>
      </w:r>
      <w:r w:rsidRPr="006A7349">
        <w:rPr>
          <w:rFonts w:ascii="Arial" w:eastAsia="Calibri" w:hAnsi="Arial" w:cs="Arial"/>
          <w:sz w:val="21"/>
          <w:szCs w:val="21"/>
        </w:rPr>
        <w:t>días.</w:t>
      </w:r>
      <w:r w:rsidRPr="006A7349">
        <w:rPr>
          <w:rFonts w:ascii="Arial" w:eastAsia="Arial" w:hAnsi="Arial" w:cs="Arial"/>
          <w:sz w:val="21"/>
          <w:szCs w:val="21"/>
        </w:rPr>
        <w:t xml:space="preserve"> </w:t>
      </w:r>
      <w:r w:rsidRPr="006A7349">
        <w:rPr>
          <w:rFonts w:ascii="Arial" w:eastAsia="Calibri" w:hAnsi="Arial" w:cs="Arial"/>
          <w:sz w:val="21"/>
          <w:szCs w:val="21"/>
        </w:rPr>
        <w:t>Este</w:t>
      </w:r>
      <w:r w:rsidRPr="006A7349">
        <w:rPr>
          <w:rFonts w:ascii="Arial" w:eastAsia="Arial" w:hAnsi="Arial" w:cs="Arial"/>
          <w:sz w:val="21"/>
          <w:szCs w:val="21"/>
        </w:rPr>
        <w:t xml:space="preserve"> </w:t>
      </w:r>
      <w:r w:rsidRPr="006A7349">
        <w:rPr>
          <w:rFonts w:ascii="Arial" w:eastAsia="Calibri" w:hAnsi="Arial" w:cs="Arial"/>
          <w:sz w:val="21"/>
          <w:szCs w:val="21"/>
        </w:rPr>
        <w:t>resultado</w:t>
      </w:r>
      <w:r w:rsidRPr="006A7349">
        <w:rPr>
          <w:rFonts w:ascii="Arial" w:eastAsia="Arial" w:hAnsi="Arial" w:cs="Arial"/>
          <w:sz w:val="21"/>
          <w:szCs w:val="21"/>
        </w:rPr>
        <w:t xml:space="preserve"> </w:t>
      </w:r>
      <w:r w:rsidRPr="006A7349">
        <w:rPr>
          <w:rFonts w:ascii="Arial" w:eastAsia="Calibri" w:hAnsi="Arial" w:cs="Arial"/>
          <w:sz w:val="21"/>
          <w:szCs w:val="21"/>
        </w:rPr>
        <w:t>se</w:t>
      </w:r>
      <w:r w:rsidRPr="006A7349">
        <w:rPr>
          <w:rFonts w:ascii="Arial" w:eastAsia="Arial" w:hAnsi="Arial" w:cs="Arial"/>
          <w:sz w:val="21"/>
          <w:szCs w:val="21"/>
        </w:rPr>
        <w:t xml:space="preserve"> </w:t>
      </w:r>
      <w:r w:rsidRPr="006A7349">
        <w:rPr>
          <w:rFonts w:ascii="Arial" w:eastAsia="Calibri" w:hAnsi="Arial" w:cs="Arial"/>
          <w:sz w:val="21"/>
          <w:szCs w:val="21"/>
        </w:rPr>
        <w:t>multiplica</w:t>
      </w:r>
      <w:r w:rsidRPr="006A7349">
        <w:rPr>
          <w:rFonts w:ascii="Arial" w:eastAsia="Arial" w:hAnsi="Arial" w:cs="Arial"/>
          <w:sz w:val="21"/>
          <w:szCs w:val="21"/>
        </w:rPr>
        <w:t xml:space="preserve"> </w:t>
      </w:r>
      <w:r w:rsidRPr="006A7349">
        <w:rPr>
          <w:rFonts w:ascii="Arial" w:eastAsia="Calibri" w:hAnsi="Arial" w:cs="Arial"/>
          <w:sz w:val="21"/>
          <w:szCs w:val="21"/>
        </w:rPr>
        <w:t>por</w:t>
      </w:r>
      <w:r w:rsidRPr="006A7349">
        <w:rPr>
          <w:rFonts w:ascii="Arial" w:eastAsia="Arial" w:hAnsi="Arial" w:cs="Arial"/>
          <w:sz w:val="21"/>
          <w:szCs w:val="21"/>
        </w:rPr>
        <w:t xml:space="preserve"> </w:t>
      </w:r>
      <w:r w:rsidRPr="006A7349">
        <w:rPr>
          <w:rFonts w:ascii="Arial" w:eastAsia="Calibri" w:hAnsi="Arial" w:cs="Arial"/>
          <w:sz w:val="21"/>
          <w:szCs w:val="21"/>
        </w:rPr>
        <w:t>el</w:t>
      </w:r>
      <w:r w:rsidRPr="006A7349">
        <w:rPr>
          <w:rFonts w:ascii="Arial" w:eastAsia="Arial" w:hAnsi="Arial" w:cs="Arial"/>
          <w:sz w:val="21"/>
          <w:szCs w:val="21"/>
        </w:rPr>
        <w:t xml:space="preserve"> </w:t>
      </w:r>
      <w:r w:rsidRPr="006A7349">
        <w:rPr>
          <w:rFonts w:ascii="Arial" w:eastAsia="Calibri" w:hAnsi="Arial" w:cs="Arial"/>
          <w:sz w:val="21"/>
          <w:szCs w:val="21"/>
        </w:rPr>
        <w:t>número</w:t>
      </w:r>
      <w:r w:rsidRPr="006A7349">
        <w:rPr>
          <w:rFonts w:ascii="Arial" w:eastAsia="Arial" w:hAnsi="Arial" w:cs="Arial"/>
          <w:sz w:val="21"/>
          <w:szCs w:val="21"/>
        </w:rPr>
        <w:t xml:space="preserve"> </w:t>
      </w:r>
      <w:r w:rsidRPr="006A7349">
        <w:rPr>
          <w:rFonts w:ascii="Arial" w:eastAsia="Calibri" w:hAnsi="Arial" w:cs="Arial"/>
          <w:sz w:val="21"/>
          <w:szCs w:val="21"/>
        </w:rPr>
        <w:t>de</w:t>
      </w:r>
      <w:r w:rsidRPr="006A7349">
        <w:rPr>
          <w:rFonts w:ascii="Arial" w:eastAsia="Arial" w:hAnsi="Arial" w:cs="Arial"/>
          <w:sz w:val="21"/>
          <w:szCs w:val="21"/>
        </w:rPr>
        <w:t xml:space="preserve"> </w:t>
      </w:r>
      <w:r w:rsidRPr="006A7349">
        <w:rPr>
          <w:rFonts w:ascii="Arial" w:eastAsia="Calibri" w:hAnsi="Arial" w:cs="Arial"/>
          <w:sz w:val="21"/>
          <w:szCs w:val="21"/>
        </w:rPr>
        <w:t>días</w:t>
      </w:r>
      <w:r w:rsidRPr="006A7349">
        <w:rPr>
          <w:rFonts w:ascii="Arial" w:eastAsia="Arial" w:hAnsi="Arial" w:cs="Arial"/>
          <w:sz w:val="21"/>
          <w:szCs w:val="21"/>
        </w:rPr>
        <w:t xml:space="preserve"> </w:t>
      </w:r>
      <w:r w:rsidRPr="006A7349">
        <w:rPr>
          <w:rFonts w:ascii="Arial" w:eastAsia="Calibri" w:hAnsi="Arial" w:cs="Arial"/>
          <w:sz w:val="21"/>
          <w:szCs w:val="21"/>
        </w:rPr>
        <w:t>pendientes</w:t>
      </w:r>
      <w:r w:rsidRPr="006A7349">
        <w:rPr>
          <w:rFonts w:ascii="Arial" w:eastAsia="Arial" w:hAnsi="Arial" w:cs="Arial"/>
          <w:sz w:val="21"/>
          <w:szCs w:val="21"/>
        </w:rPr>
        <w:t xml:space="preserve"> </w:t>
      </w:r>
      <w:r w:rsidRPr="006A7349">
        <w:rPr>
          <w:rFonts w:ascii="Arial" w:eastAsia="Calibri" w:hAnsi="Arial" w:cs="Arial"/>
          <w:sz w:val="21"/>
          <w:szCs w:val="21"/>
        </w:rPr>
        <w:t>para</w:t>
      </w:r>
      <w:r w:rsidRPr="006A7349">
        <w:rPr>
          <w:rFonts w:ascii="Arial" w:eastAsia="Arial" w:hAnsi="Arial" w:cs="Arial"/>
          <w:sz w:val="21"/>
          <w:szCs w:val="21"/>
        </w:rPr>
        <w:t xml:space="preserve"> </w:t>
      </w:r>
      <w:r w:rsidRPr="006A7349">
        <w:rPr>
          <w:rFonts w:ascii="Arial" w:eastAsia="Calibri" w:hAnsi="Arial" w:cs="Arial"/>
          <w:sz w:val="21"/>
          <w:szCs w:val="21"/>
        </w:rPr>
        <w:t>cumplir</w:t>
      </w:r>
      <w:r w:rsidRPr="006A7349">
        <w:rPr>
          <w:rFonts w:ascii="Arial" w:eastAsia="Arial" w:hAnsi="Arial" w:cs="Arial"/>
          <w:sz w:val="21"/>
          <w:szCs w:val="21"/>
        </w:rPr>
        <w:t xml:space="preserve"> </w:t>
      </w:r>
      <w:r w:rsidRPr="006A7349">
        <w:rPr>
          <w:rFonts w:ascii="Arial" w:eastAsia="Calibri" w:hAnsi="Arial" w:cs="Arial"/>
          <w:sz w:val="21"/>
          <w:szCs w:val="21"/>
        </w:rPr>
        <w:t>el</w:t>
      </w:r>
      <w:r w:rsidRPr="006A7349">
        <w:rPr>
          <w:rFonts w:ascii="Arial" w:eastAsia="Arial" w:hAnsi="Arial" w:cs="Arial"/>
          <w:sz w:val="21"/>
          <w:szCs w:val="21"/>
        </w:rPr>
        <w:t xml:space="preserve"> </w:t>
      </w:r>
      <w:r w:rsidRPr="006A7349">
        <w:rPr>
          <w:rFonts w:ascii="Arial" w:eastAsia="Calibri" w:hAnsi="Arial" w:cs="Arial"/>
          <w:sz w:val="21"/>
          <w:szCs w:val="21"/>
        </w:rPr>
        <w:t>plazo</w:t>
      </w:r>
      <w:r w:rsidRPr="006A7349">
        <w:rPr>
          <w:rFonts w:ascii="Arial" w:eastAsia="Arial" w:hAnsi="Arial" w:cs="Arial"/>
          <w:sz w:val="21"/>
          <w:szCs w:val="21"/>
        </w:rPr>
        <w:t xml:space="preserve"> </w:t>
      </w:r>
      <w:r w:rsidRPr="006A7349">
        <w:rPr>
          <w:rFonts w:ascii="Arial" w:eastAsia="Calibri" w:hAnsi="Arial" w:cs="Arial"/>
          <w:sz w:val="21"/>
          <w:szCs w:val="21"/>
        </w:rPr>
        <w:t>del</w:t>
      </w:r>
      <w:r w:rsidRPr="006A7349">
        <w:rPr>
          <w:rFonts w:ascii="Arial" w:eastAsia="Arial" w:hAnsi="Arial" w:cs="Arial"/>
          <w:sz w:val="21"/>
          <w:szCs w:val="21"/>
        </w:rPr>
        <w:t xml:space="preserve"> </w:t>
      </w:r>
      <w:r w:rsidRPr="006A7349">
        <w:rPr>
          <w:rFonts w:ascii="Arial" w:eastAsia="Calibri" w:hAnsi="Arial" w:cs="Arial"/>
          <w:sz w:val="21"/>
          <w:szCs w:val="21"/>
        </w:rPr>
        <w:t>contrato</w:t>
      </w:r>
      <w:r w:rsidRPr="006A7349">
        <w:rPr>
          <w:rFonts w:ascii="Arial" w:eastAsia="Arial" w:hAnsi="Arial" w:cs="Arial"/>
          <w:sz w:val="21"/>
          <w:szCs w:val="21"/>
        </w:rPr>
        <w:t xml:space="preserve"> </w:t>
      </w:r>
      <w:r w:rsidRPr="006A7349">
        <w:rPr>
          <w:rFonts w:ascii="Arial" w:eastAsia="Calibri" w:hAnsi="Arial" w:cs="Arial"/>
          <w:sz w:val="21"/>
          <w:szCs w:val="21"/>
        </w:rPr>
        <w:t>y</w:t>
      </w:r>
      <w:r w:rsidRPr="006A7349">
        <w:rPr>
          <w:rFonts w:ascii="Arial" w:eastAsia="Arial" w:hAnsi="Arial" w:cs="Arial"/>
          <w:sz w:val="21"/>
          <w:szCs w:val="21"/>
        </w:rPr>
        <w:t xml:space="preserve"> </w:t>
      </w:r>
      <w:r w:rsidRPr="006A7349">
        <w:rPr>
          <w:rFonts w:ascii="Arial" w:eastAsia="Calibri" w:hAnsi="Arial" w:cs="Arial"/>
          <w:sz w:val="21"/>
          <w:szCs w:val="21"/>
        </w:rPr>
        <w:t>si</w:t>
      </w:r>
      <w:r w:rsidRPr="006A7349">
        <w:rPr>
          <w:rFonts w:ascii="Arial" w:eastAsia="Arial" w:hAnsi="Arial" w:cs="Arial"/>
          <w:sz w:val="21"/>
          <w:szCs w:val="21"/>
        </w:rPr>
        <w:t xml:space="preserve"> </w:t>
      </w:r>
      <w:r w:rsidRPr="006A7349">
        <w:rPr>
          <w:rFonts w:ascii="Arial" w:eastAsia="Calibri" w:hAnsi="Arial" w:cs="Arial"/>
          <w:sz w:val="21"/>
          <w:szCs w:val="21"/>
        </w:rPr>
        <w:t>el</w:t>
      </w:r>
      <w:r w:rsidRPr="006A7349">
        <w:rPr>
          <w:rFonts w:ascii="Arial" w:eastAsia="Arial" w:hAnsi="Arial" w:cs="Arial"/>
          <w:sz w:val="21"/>
          <w:szCs w:val="21"/>
        </w:rPr>
        <w:t xml:space="preserve"> </w:t>
      </w:r>
      <w:r w:rsidRPr="006A7349">
        <w:rPr>
          <w:rFonts w:ascii="Arial" w:eastAsia="Calibri" w:hAnsi="Arial" w:cs="Arial"/>
          <w:sz w:val="21"/>
          <w:szCs w:val="21"/>
        </w:rPr>
        <w:t>contrato</w:t>
      </w:r>
      <w:r w:rsidRPr="006A7349">
        <w:rPr>
          <w:rFonts w:ascii="Arial" w:eastAsia="Arial" w:hAnsi="Arial" w:cs="Arial"/>
          <w:sz w:val="21"/>
          <w:szCs w:val="21"/>
        </w:rPr>
        <w:t xml:space="preserve"> </w:t>
      </w:r>
      <w:r w:rsidRPr="006A7349">
        <w:rPr>
          <w:rFonts w:ascii="Arial" w:eastAsia="Calibri" w:hAnsi="Arial" w:cs="Arial"/>
          <w:sz w:val="21"/>
          <w:szCs w:val="21"/>
        </w:rPr>
        <w:t>es</w:t>
      </w:r>
      <w:r w:rsidRPr="006A7349">
        <w:rPr>
          <w:rFonts w:ascii="Arial" w:eastAsia="Arial" w:hAnsi="Arial" w:cs="Arial"/>
          <w:sz w:val="21"/>
          <w:szCs w:val="21"/>
        </w:rPr>
        <w:t xml:space="preserve"> </w:t>
      </w:r>
      <w:r w:rsidRPr="006A7349">
        <w:rPr>
          <w:rFonts w:ascii="Arial" w:eastAsia="Calibri" w:hAnsi="Arial" w:cs="Arial"/>
          <w:sz w:val="21"/>
          <w:szCs w:val="21"/>
        </w:rPr>
        <w:t>ejecutado</w:t>
      </w:r>
      <w:r w:rsidRPr="006A7349">
        <w:rPr>
          <w:rFonts w:ascii="Arial" w:eastAsia="Arial" w:hAnsi="Arial" w:cs="Arial"/>
          <w:sz w:val="21"/>
          <w:szCs w:val="21"/>
        </w:rPr>
        <w:t xml:space="preserve"> </w:t>
      </w:r>
      <w:r w:rsidRPr="006A7349">
        <w:rPr>
          <w:rFonts w:ascii="Arial" w:eastAsia="Calibri" w:hAnsi="Arial" w:cs="Arial"/>
          <w:sz w:val="21"/>
          <w:szCs w:val="21"/>
        </w:rPr>
        <w:t>por</w:t>
      </w:r>
      <w:r w:rsidRPr="006A7349">
        <w:rPr>
          <w:rFonts w:ascii="Arial" w:eastAsia="Arial" w:hAnsi="Arial" w:cs="Arial"/>
          <w:sz w:val="21"/>
          <w:szCs w:val="21"/>
        </w:rPr>
        <w:t xml:space="preserve"> </w:t>
      </w:r>
      <w:r w:rsidRPr="006A7349">
        <w:rPr>
          <w:rFonts w:ascii="Arial" w:eastAsia="Calibri" w:hAnsi="Arial" w:cs="Arial"/>
          <w:sz w:val="21"/>
          <w:szCs w:val="21"/>
        </w:rPr>
        <w:t>una estructura plural</w:t>
      </w:r>
      <w:r w:rsidRPr="006A7349">
        <w:rPr>
          <w:rFonts w:ascii="Arial" w:eastAsia="Arial" w:hAnsi="Arial" w:cs="Arial"/>
          <w:sz w:val="21"/>
          <w:szCs w:val="21"/>
        </w:rPr>
        <w:t xml:space="preserve"> </w:t>
      </w:r>
      <w:r w:rsidRPr="006A7349">
        <w:rPr>
          <w:rFonts w:ascii="Arial" w:eastAsia="Calibri" w:hAnsi="Arial" w:cs="Arial"/>
          <w:sz w:val="21"/>
          <w:szCs w:val="21"/>
        </w:rPr>
        <w:t>por</w:t>
      </w:r>
      <w:r w:rsidRPr="006A7349">
        <w:rPr>
          <w:rFonts w:ascii="Arial" w:eastAsia="Arial" w:hAnsi="Arial" w:cs="Arial"/>
          <w:sz w:val="21"/>
          <w:szCs w:val="21"/>
        </w:rPr>
        <w:t xml:space="preserve"> </w:t>
      </w:r>
      <w:r w:rsidRPr="006A7349">
        <w:rPr>
          <w:rFonts w:ascii="Arial" w:eastAsia="Calibri" w:hAnsi="Arial" w:cs="Arial"/>
          <w:sz w:val="21"/>
          <w:szCs w:val="21"/>
        </w:rPr>
        <w:t>la</w:t>
      </w:r>
      <w:r w:rsidRPr="006A7349">
        <w:rPr>
          <w:rFonts w:ascii="Arial" w:eastAsia="Arial" w:hAnsi="Arial" w:cs="Arial"/>
          <w:sz w:val="21"/>
          <w:szCs w:val="21"/>
        </w:rPr>
        <w:t xml:space="preserve"> </w:t>
      </w:r>
      <w:r w:rsidRPr="006A7349">
        <w:rPr>
          <w:rFonts w:ascii="Arial" w:eastAsia="Calibri" w:hAnsi="Arial" w:cs="Arial"/>
          <w:sz w:val="21"/>
          <w:szCs w:val="21"/>
        </w:rPr>
        <w:t>participación</w:t>
      </w:r>
      <w:r w:rsidRPr="006A7349">
        <w:rPr>
          <w:rFonts w:ascii="Arial" w:eastAsia="Arial" w:hAnsi="Arial" w:cs="Arial"/>
          <w:sz w:val="21"/>
          <w:szCs w:val="21"/>
        </w:rPr>
        <w:t xml:space="preserve"> </w:t>
      </w:r>
      <w:r w:rsidRPr="006A7349">
        <w:rPr>
          <w:rFonts w:ascii="Arial" w:eastAsia="Calibri" w:hAnsi="Arial" w:cs="Arial"/>
          <w:sz w:val="21"/>
          <w:szCs w:val="21"/>
        </w:rPr>
        <w:t>del</w:t>
      </w:r>
      <w:r w:rsidRPr="006A7349">
        <w:rPr>
          <w:rFonts w:ascii="Arial" w:eastAsia="Arial" w:hAnsi="Arial" w:cs="Arial"/>
          <w:sz w:val="21"/>
          <w:szCs w:val="21"/>
        </w:rPr>
        <w:t xml:space="preserve"> </w:t>
      </w:r>
      <w:r w:rsidRPr="006A7349">
        <w:rPr>
          <w:rFonts w:ascii="Arial" w:eastAsia="Calibri" w:hAnsi="Arial" w:cs="Arial"/>
          <w:sz w:val="21"/>
          <w:szCs w:val="21"/>
        </w:rPr>
        <w:t>Proponente</w:t>
      </w:r>
      <w:r w:rsidRPr="006A7349">
        <w:rPr>
          <w:rFonts w:ascii="Arial" w:eastAsia="Arial" w:hAnsi="Arial" w:cs="Arial"/>
          <w:sz w:val="21"/>
          <w:szCs w:val="21"/>
        </w:rPr>
        <w:t xml:space="preserve"> </w:t>
      </w:r>
      <w:r w:rsidRPr="006A7349">
        <w:rPr>
          <w:rFonts w:ascii="Arial" w:eastAsia="Calibri" w:hAnsi="Arial" w:cs="Arial"/>
          <w:sz w:val="21"/>
          <w:szCs w:val="21"/>
        </w:rPr>
        <w:t>en</w:t>
      </w:r>
      <w:r w:rsidRPr="006A7349">
        <w:rPr>
          <w:rFonts w:ascii="Arial" w:eastAsia="Arial" w:hAnsi="Arial" w:cs="Arial"/>
          <w:sz w:val="21"/>
          <w:szCs w:val="21"/>
        </w:rPr>
        <w:t xml:space="preserve"> </w:t>
      </w:r>
      <w:r w:rsidRPr="006A7349">
        <w:rPr>
          <w:rFonts w:ascii="Arial" w:eastAsia="Calibri" w:hAnsi="Arial" w:cs="Arial"/>
          <w:sz w:val="21"/>
          <w:szCs w:val="21"/>
        </w:rPr>
        <w:t xml:space="preserve">la respectiva estructura. </w:t>
      </w:r>
    </w:p>
    <w:p w14:paraId="24FE782B" w14:textId="77777777" w:rsidR="006A7349" w:rsidRPr="006A7349" w:rsidRDefault="006A7349" w:rsidP="006A7349">
      <w:pPr>
        <w:spacing w:after="0" w:line="276" w:lineRule="auto"/>
        <w:contextualSpacing/>
        <w:jc w:val="both"/>
        <w:rPr>
          <w:rFonts w:ascii="Arial" w:eastAsia="Arial," w:hAnsi="Arial" w:cs="Arial"/>
          <w:lang w:val="es-MX"/>
        </w:rPr>
      </w:pPr>
    </w:p>
    <w:p w14:paraId="5154CDBB" w14:textId="1B4E0042" w:rsidR="006A7349" w:rsidRDefault="006A7349" w:rsidP="006A7349">
      <w:pPr>
        <w:spacing w:after="0" w:line="276" w:lineRule="auto"/>
        <w:ind w:firstLine="709"/>
        <w:jc w:val="both"/>
        <w:rPr>
          <w:rFonts w:ascii="Arial" w:eastAsia="Calibri" w:hAnsi="Arial" w:cs="Arial"/>
          <w:szCs w:val="20"/>
          <w:lang w:val="es-MX"/>
        </w:rPr>
      </w:pPr>
      <w:r w:rsidRPr="006A7349">
        <w:rPr>
          <w:rFonts w:ascii="Arial" w:eastAsia="Arial," w:hAnsi="Arial" w:cs="Arial"/>
          <w:lang w:eastAsia="es-ES_tradnl"/>
        </w:rPr>
        <w:lastRenderedPageBreak/>
        <w:t xml:space="preserve">Como se aprecia, los apartados transcritos del documento base están en armonía con lo dispuesto en la </w:t>
      </w:r>
      <w:r w:rsidRPr="006A7349">
        <w:rPr>
          <w:rFonts w:ascii="Arial" w:eastAsia="Times New Roman" w:hAnsi="Arial" w:cs="Arial"/>
          <w:lang w:eastAsia="es-ES_tradnl"/>
        </w:rPr>
        <w:t xml:space="preserve">Guía para Determinar y Verificar la Capacidad Residual del Proponente en los Procesos de Contratación de Obra Pública, y se refieren a los contratos de obras civiles en ejecución, incluyendo a los contratos suspendidos y los que no tienen acta de inicio. Lo expuesto, es congruente con </w:t>
      </w:r>
      <w:r w:rsidRPr="006A7349">
        <w:rPr>
          <w:rFonts w:ascii="Arial" w:eastAsia="Calibri" w:hAnsi="Arial" w:cs="Arial"/>
          <w:color w:val="000000"/>
          <w:lang w:val="es-MX"/>
        </w:rPr>
        <w:t xml:space="preserve">el artículo 2.2.1.1.1.6.4 del Decreto 1082 de 2015, en virtud del cual, para efectos de </w:t>
      </w:r>
      <w:r w:rsidRPr="006A7349">
        <w:rPr>
          <w:rFonts w:ascii="Arial" w:eastAsia="Calibri" w:hAnsi="Arial" w:cs="Arial"/>
          <w:szCs w:val="20"/>
          <w:lang w:val="es-MX"/>
        </w:rPr>
        <w:t>acreditar la capacidad residual del proponente, se requiere el listado de contratos de obra civiles en ejecución suscritos con entidades estatales y con entidades privadas.</w:t>
      </w:r>
    </w:p>
    <w:p w14:paraId="1A6C9A4D" w14:textId="536849E6" w:rsidR="00D463BC" w:rsidRDefault="00D463BC" w:rsidP="006A7349">
      <w:pPr>
        <w:spacing w:after="0" w:line="276" w:lineRule="auto"/>
        <w:ind w:firstLine="709"/>
        <w:jc w:val="both"/>
        <w:rPr>
          <w:rFonts w:ascii="Arial" w:eastAsia="Calibri" w:hAnsi="Arial" w:cs="Arial"/>
          <w:szCs w:val="20"/>
          <w:lang w:val="es-MX"/>
        </w:rPr>
      </w:pPr>
    </w:p>
    <w:p w14:paraId="2BF1A0F8" w14:textId="12BF1F96" w:rsidR="00474D9D" w:rsidRPr="00474D9D" w:rsidRDefault="00474D9D" w:rsidP="00EB70EC">
      <w:pPr>
        <w:spacing w:after="0" w:line="276" w:lineRule="auto"/>
        <w:jc w:val="both"/>
        <w:rPr>
          <w:rFonts w:ascii="Arial" w:hAnsi="Arial" w:cs="Arial"/>
          <w:b/>
          <w:bCs/>
        </w:rPr>
      </w:pPr>
      <w:r>
        <w:rPr>
          <w:rFonts w:ascii="Arial" w:hAnsi="Arial" w:cs="Arial"/>
          <w:b/>
          <w:bCs/>
        </w:rPr>
        <w:t xml:space="preserve">2.4 </w:t>
      </w:r>
      <w:r w:rsidRPr="00474D9D">
        <w:rPr>
          <w:rFonts w:ascii="Arial" w:hAnsi="Arial" w:cs="Arial"/>
          <w:b/>
          <w:bCs/>
        </w:rPr>
        <w:t xml:space="preserve">Aplicativo para establecer la capacidad residual </w:t>
      </w:r>
    </w:p>
    <w:p w14:paraId="1418A897" w14:textId="77777777" w:rsidR="00947B5A" w:rsidRDefault="00947B5A" w:rsidP="00EB70EC">
      <w:pPr>
        <w:spacing w:after="0" w:line="276" w:lineRule="auto"/>
        <w:jc w:val="both"/>
        <w:rPr>
          <w:rFonts w:ascii="Arial" w:eastAsia="Arial," w:hAnsi="Arial" w:cs="Arial"/>
        </w:rPr>
      </w:pPr>
    </w:p>
    <w:p w14:paraId="4FD0CF9C" w14:textId="086A2028" w:rsidR="000446F3" w:rsidRDefault="000446F3" w:rsidP="000446F3">
      <w:pPr>
        <w:spacing w:after="120" w:line="276" w:lineRule="auto"/>
        <w:jc w:val="both"/>
        <w:rPr>
          <w:rFonts w:ascii="Arial" w:eastAsia="Arial" w:hAnsi="Arial" w:cs="Arial"/>
          <w:lang w:eastAsia="es-ES" w:bidi="es-ES"/>
        </w:rPr>
      </w:pPr>
      <w:r>
        <w:rPr>
          <w:rFonts w:ascii="Arial" w:eastAsia="Arial," w:hAnsi="Arial" w:cs="Arial"/>
        </w:rPr>
        <w:t xml:space="preserve">La Agencia Nacional de Contratación Pública – Colombia Compra Eficiente en el concepto </w:t>
      </w:r>
      <w:r w:rsidRPr="000446F3">
        <w:rPr>
          <w:rFonts w:ascii="Arial" w:eastAsia="Arial," w:hAnsi="Arial" w:cs="Arial"/>
        </w:rPr>
        <w:t>C – 143 de 2021</w:t>
      </w:r>
      <w:r>
        <w:rPr>
          <w:rFonts w:ascii="Arial" w:eastAsia="Arial," w:hAnsi="Arial" w:cs="Arial"/>
        </w:rPr>
        <w:t xml:space="preserve"> del 9 de abril de 2021, analizó la obligatoriedad de la aplicación para establecer la capacidad residual</w:t>
      </w:r>
      <w:r w:rsidR="00947B5A">
        <w:rPr>
          <w:rFonts w:ascii="Arial" w:eastAsia="Arial," w:hAnsi="Arial" w:cs="Arial"/>
        </w:rPr>
        <w:t>.</w:t>
      </w:r>
      <w:r>
        <w:rPr>
          <w:rFonts w:ascii="Arial" w:eastAsia="Arial," w:hAnsi="Arial" w:cs="Arial"/>
        </w:rPr>
        <w:t xml:space="preserve"> </w:t>
      </w:r>
      <w:r w:rsidR="00947B5A">
        <w:rPr>
          <w:rFonts w:ascii="Arial" w:eastAsia="Arial," w:hAnsi="Arial" w:cs="Arial"/>
        </w:rPr>
        <w:t>S</w:t>
      </w:r>
      <w:r>
        <w:rPr>
          <w:rFonts w:ascii="Arial" w:eastAsia="Arial," w:hAnsi="Arial" w:cs="Arial"/>
        </w:rPr>
        <w:t xml:space="preserve">u contenido se </w:t>
      </w:r>
      <w:r w:rsidR="00947B5A">
        <w:rPr>
          <w:rFonts w:ascii="Arial" w:eastAsia="Arial," w:hAnsi="Arial" w:cs="Arial"/>
        </w:rPr>
        <w:t xml:space="preserve">reitera </w:t>
      </w:r>
      <w:r>
        <w:rPr>
          <w:rFonts w:ascii="Arial" w:eastAsia="Arial," w:hAnsi="Arial" w:cs="Arial"/>
        </w:rPr>
        <w:t>a continuación</w:t>
      </w:r>
      <w:r w:rsidR="00947B5A">
        <w:rPr>
          <w:rFonts w:ascii="Arial" w:eastAsia="Arial," w:hAnsi="Arial" w:cs="Arial"/>
        </w:rPr>
        <w:t>.</w:t>
      </w:r>
    </w:p>
    <w:p w14:paraId="2A6B331B" w14:textId="2328C374" w:rsidR="00474D9D" w:rsidRDefault="00474D9D" w:rsidP="000446F3">
      <w:pPr>
        <w:spacing w:after="120" w:line="276" w:lineRule="auto"/>
        <w:ind w:firstLine="708"/>
        <w:jc w:val="both"/>
        <w:rPr>
          <w:rFonts w:ascii="Arial" w:eastAsia="Arial" w:hAnsi="Arial" w:cs="Arial"/>
          <w:lang w:eastAsia="es-ES" w:bidi="es-ES"/>
        </w:rPr>
      </w:pPr>
      <w:r w:rsidRPr="00A03FAB">
        <w:rPr>
          <w:rFonts w:ascii="Arial" w:eastAsia="Arial," w:hAnsi="Arial" w:cs="Arial"/>
        </w:rPr>
        <w:t xml:space="preserve">Para facilitar la </w:t>
      </w:r>
      <w:r>
        <w:rPr>
          <w:rFonts w:ascii="Arial" w:eastAsia="Arial," w:hAnsi="Arial" w:cs="Arial"/>
        </w:rPr>
        <w:t>implementación</w:t>
      </w:r>
      <w:r w:rsidRPr="00A03FAB">
        <w:rPr>
          <w:rFonts w:ascii="Arial" w:eastAsia="Arial," w:hAnsi="Arial" w:cs="Arial"/>
        </w:rPr>
        <w:t xml:space="preserve"> de la metodología para el cálculo de la capacidad residual</w:t>
      </w:r>
      <w:r>
        <w:rPr>
          <w:rFonts w:ascii="Arial" w:eastAsia="Arial," w:hAnsi="Arial" w:cs="Arial"/>
        </w:rPr>
        <w:t>,</w:t>
      </w:r>
      <w:r w:rsidRPr="00A03FAB">
        <w:rPr>
          <w:rFonts w:ascii="Arial" w:eastAsia="Arial," w:hAnsi="Arial" w:cs="Arial"/>
        </w:rPr>
        <w:t xml:space="preserve"> </w:t>
      </w:r>
      <w:r>
        <w:rPr>
          <w:rFonts w:ascii="Arial" w:eastAsia="Arial," w:hAnsi="Arial" w:cs="Arial"/>
        </w:rPr>
        <w:t>esta Agencia</w:t>
      </w:r>
      <w:r w:rsidRPr="00A03FAB">
        <w:rPr>
          <w:rFonts w:ascii="Arial" w:eastAsia="Arial," w:hAnsi="Arial" w:cs="Arial"/>
        </w:rPr>
        <w:t xml:space="preserve"> ha puesto a disposición de la ciudadanía una «Aplicación para establecer la Capacidad Residual»</w:t>
      </w:r>
      <w:r>
        <w:rPr>
          <w:rFonts w:ascii="Arial" w:eastAsia="Arial," w:hAnsi="Arial" w:cs="Arial"/>
        </w:rPr>
        <w:t>,</w:t>
      </w:r>
      <w:r w:rsidRPr="00A03FAB">
        <w:rPr>
          <w:rFonts w:ascii="Arial" w:eastAsia="Arial," w:hAnsi="Arial" w:cs="Arial"/>
        </w:rPr>
        <w:t xml:space="preserve"> que sirve para calcular la capacidad residual en los procesos de selección</w:t>
      </w:r>
      <w:r>
        <w:rPr>
          <w:rFonts w:ascii="Arial" w:eastAsia="Arial," w:hAnsi="Arial" w:cs="Arial"/>
        </w:rPr>
        <w:t>.</w:t>
      </w:r>
      <w:r w:rsidR="000446F3">
        <w:rPr>
          <w:rFonts w:ascii="Arial" w:eastAsia="Arial," w:hAnsi="Arial" w:cs="Arial"/>
        </w:rPr>
        <w:t xml:space="preserve">  </w:t>
      </w:r>
    </w:p>
    <w:p w14:paraId="6D94502C" w14:textId="6A6063D6" w:rsidR="00474D9D" w:rsidRPr="00A03FAB" w:rsidRDefault="00474D9D" w:rsidP="00474D9D">
      <w:pPr>
        <w:spacing w:after="120" w:line="276" w:lineRule="auto"/>
        <w:ind w:firstLine="708"/>
        <w:jc w:val="both"/>
        <w:rPr>
          <w:rFonts w:ascii="Arial" w:eastAsia="Arial," w:hAnsi="Arial" w:cs="Arial"/>
        </w:rPr>
      </w:pPr>
      <w:r w:rsidRPr="00A03FAB">
        <w:rPr>
          <w:rFonts w:ascii="Arial" w:eastAsia="Arial" w:hAnsi="Arial" w:cs="Arial"/>
          <w:lang w:eastAsia="es-ES" w:bidi="es-ES"/>
        </w:rPr>
        <w:t xml:space="preserve">Este, pregunta, en primer lugar, el número de contratos en ejecución, y tras darse clic en el botón «Guardar información» despliega una tabla con una fila para cada contrato, cada una de las cuales consta de cinco columnas en las que se debe indicar: i) Valor en pesos colombianos del contrato; </w:t>
      </w:r>
      <w:proofErr w:type="spellStart"/>
      <w:r w:rsidRPr="00A03FAB">
        <w:rPr>
          <w:rFonts w:ascii="Arial" w:eastAsia="Arial" w:hAnsi="Arial" w:cs="Arial"/>
          <w:lang w:eastAsia="es-ES" w:bidi="es-ES"/>
        </w:rPr>
        <w:t>ii</w:t>
      </w:r>
      <w:proofErr w:type="spellEnd"/>
      <w:r w:rsidRPr="00A03FAB">
        <w:rPr>
          <w:rFonts w:ascii="Arial" w:eastAsia="Arial" w:hAnsi="Arial" w:cs="Arial"/>
          <w:lang w:eastAsia="es-ES" w:bidi="es-ES"/>
        </w:rPr>
        <w:t>) la fecha inicio;</w:t>
      </w:r>
      <w:r>
        <w:rPr>
          <w:rFonts w:ascii="Arial" w:eastAsia="Arial" w:hAnsi="Arial" w:cs="Arial"/>
          <w:lang w:eastAsia="es-ES" w:bidi="es-ES"/>
        </w:rPr>
        <w:t xml:space="preserve"> </w:t>
      </w:r>
      <w:proofErr w:type="spellStart"/>
      <w:r w:rsidRPr="00A03FAB">
        <w:rPr>
          <w:rFonts w:ascii="Arial" w:eastAsia="Arial" w:hAnsi="Arial" w:cs="Arial"/>
          <w:lang w:eastAsia="es-ES" w:bidi="es-ES"/>
        </w:rPr>
        <w:t>iii</w:t>
      </w:r>
      <w:proofErr w:type="spellEnd"/>
      <w:r w:rsidRPr="00A03FAB">
        <w:rPr>
          <w:rFonts w:ascii="Arial" w:eastAsia="Arial" w:hAnsi="Arial" w:cs="Arial"/>
          <w:lang w:eastAsia="es-ES" w:bidi="es-ES"/>
        </w:rPr>
        <w:t xml:space="preserve">) el plazo expresado en meses;  </w:t>
      </w:r>
      <w:proofErr w:type="spellStart"/>
      <w:r w:rsidRPr="00A03FAB">
        <w:rPr>
          <w:rFonts w:ascii="Arial" w:eastAsia="Arial" w:hAnsi="Arial" w:cs="Arial"/>
          <w:lang w:eastAsia="es-ES" w:bidi="es-ES"/>
        </w:rPr>
        <w:t>iv</w:t>
      </w:r>
      <w:proofErr w:type="spellEnd"/>
      <w:r w:rsidRPr="00A03FAB">
        <w:rPr>
          <w:rFonts w:ascii="Arial" w:eastAsia="Arial" w:hAnsi="Arial" w:cs="Arial"/>
          <w:lang w:eastAsia="es-ES" w:bidi="es-ES"/>
        </w:rPr>
        <w:t xml:space="preserve">) establecer si trata o no de un contrato ejecutado por un contratista plural; v) el porcentaje de participación en la ejecución del contrato; vi) indicar si el contrato se encuentra suspendido o no; y </w:t>
      </w:r>
      <w:proofErr w:type="spellStart"/>
      <w:r w:rsidRPr="00A03FAB">
        <w:rPr>
          <w:rFonts w:ascii="Arial" w:eastAsia="Arial" w:hAnsi="Arial" w:cs="Arial"/>
          <w:lang w:eastAsia="es-ES" w:bidi="es-ES"/>
        </w:rPr>
        <w:t>vii</w:t>
      </w:r>
      <w:proofErr w:type="spellEnd"/>
      <w:r w:rsidRPr="00A03FAB">
        <w:rPr>
          <w:rFonts w:ascii="Arial" w:eastAsia="Arial" w:hAnsi="Arial" w:cs="Arial"/>
          <w:lang w:eastAsia="es-ES" w:bidi="es-ES"/>
        </w:rPr>
        <w:t>) la fecha de suspensión.</w:t>
      </w:r>
      <w:r w:rsidRPr="00A03FAB">
        <w:rPr>
          <w:rFonts w:ascii="Arial" w:eastAsia="Arial," w:hAnsi="Arial" w:cs="Arial"/>
        </w:rPr>
        <w:t xml:space="preserve"> </w:t>
      </w:r>
      <w:r w:rsidR="00A664B3">
        <w:rPr>
          <w:rFonts w:ascii="Arial" w:eastAsia="Arial," w:hAnsi="Arial" w:cs="Arial"/>
        </w:rPr>
        <w:t>En relación con</w:t>
      </w:r>
      <w:r>
        <w:rPr>
          <w:rFonts w:ascii="Arial" w:eastAsia="Arial," w:hAnsi="Arial" w:cs="Arial"/>
        </w:rPr>
        <w:t xml:space="preserve"> las ultimas columnas, es necesario resaltar que la información solicitada se refiere a si el contrato se encuentra suspendido, caso en el cual se debe informar la fecha de suspensión. Al respecto, es necesario aclarar que la información que se requiere es únicamente la solicitada por el aplicativo y no una distinta a esta, lo cual es plenamente coincidente con las consideraciones efectuadas en relación con la capacidad residual. </w:t>
      </w:r>
    </w:p>
    <w:p w14:paraId="6DD49F1E" w14:textId="0EE3099F" w:rsidR="00474D9D" w:rsidRPr="00A03FAB" w:rsidRDefault="00474D9D" w:rsidP="00474D9D">
      <w:pPr>
        <w:spacing w:after="120" w:line="276" w:lineRule="auto"/>
        <w:ind w:right="49" w:firstLine="709"/>
        <w:jc w:val="both"/>
        <w:rPr>
          <w:rFonts w:ascii="Arial" w:eastAsia="Arial," w:hAnsi="Arial" w:cs="Arial"/>
        </w:rPr>
      </w:pPr>
      <w:r w:rsidRPr="00A03FAB">
        <w:rPr>
          <w:rFonts w:ascii="Arial" w:eastAsia="Arial," w:hAnsi="Arial" w:cs="Arial"/>
        </w:rPr>
        <w:t xml:space="preserve">Para diligenciar las columnas </w:t>
      </w:r>
      <w:r w:rsidR="00D93BFF">
        <w:rPr>
          <w:rFonts w:ascii="Arial" w:eastAsia="Arial," w:hAnsi="Arial" w:cs="Arial"/>
        </w:rPr>
        <w:t xml:space="preserve">señaladas </w:t>
      </w:r>
      <w:r w:rsidRPr="00A03FAB">
        <w:rPr>
          <w:rFonts w:ascii="Arial" w:eastAsia="Arial," w:hAnsi="Arial" w:cs="Arial"/>
        </w:rPr>
        <w:t xml:space="preserve">del aplicativo </w:t>
      </w:r>
      <w:r>
        <w:rPr>
          <w:rFonts w:ascii="Arial" w:eastAsia="Arial," w:hAnsi="Arial" w:cs="Arial"/>
        </w:rPr>
        <w:t xml:space="preserve">se </w:t>
      </w:r>
      <w:r w:rsidRPr="00A03FAB">
        <w:rPr>
          <w:rFonts w:ascii="Arial" w:eastAsia="Arial," w:hAnsi="Arial" w:cs="Arial"/>
        </w:rPr>
        <w:t xml:space="preserve">deberá tener en cuenta lo dispuesto en el </w:t>
      </w:r>
      <w:r w:rsidRPr="00A03FAB">
        <w:rPr>
          <w:rFonts w:ascii="Arial" w:hAnsi="Arial" w:cs="Arial"/>
        </w:rPr>
        <w:t xml:space="preserve">literal E del numeral 3.11.2 del Documento Base de los documentos tipo de licitación de obra pública de infraestructura de transporte – versión 3 y en la señalada guía, por lo que en lo relativo a los contratos suspendidos </w:t>
      </w:r>
      <w:r>
        <w:rPr>
          <w:rFonts w:ascii="Arial" w:hAnsi="Arial" w:cs="Arial"/>
        </w:rPr>
        <w:t xml:space="preserve">el interesado </w:t>
      </w:r>
      <w:r w:rsidRPr="00A03FAB">
        <w:rPr>
          <w:rFonts w:ascii="Arial" w:hAnsi="Arial" w:cs="Arial"/>
        </w:rPr>
        <w:t>deberá informar como valor los saldos pendientes por ejecutar y como fecha de inicio la de presentación de la oferta.</w:t>
      </w:r>
    </w:p>
    <w:p w14:paraId="10E93AE9" w14:textId="77777777" w:rsidR="00474D9D" w:rsidRPr="004F4910" w:rsidRDefault="00474D9D" w:rsidP="00474D9D">
      <w:pPr>
        <w:pStyle w:val="Textoindependiente"/>
        <w:spacing w:before="120" w:line="276" w:lineRule="auto"/>
        <w:ind w:right="51" w:firstLine="709"/>
        <w:jc w:val="both"/>
        <w:rPr>
          <w:lang w:val="es-CO"/>
        </w:rPr>
      </w:pPr>
      <w:r w:rsidRPr="004F4910">
        <w:rPr>
          <w:lang w:val="es-CO"/>
        </w:rPr>
        <w:t>Sin perjuicio de lo anterior, sobre el uso del aplicativo y la acreditación de los factores necesarios para calcular la capacidad residual, la Circular Externa Única de Colombia Compra Eficiente, en el punto 7, establece lo siguiente:</w:t>
      </w:r>
    </w:p>
    <w:p w14:paraId="5E85BD9B" w14:textId="77777777" w:rsidR="00474D9D" w:rsidRPr="00A03FAB" w:rsidRDefault="00474D9D" w:rsidP="00474D9D">
      <w:pPr>
        <w:pStyle w:val="Textoindependiente"/>
        <w:spacing w:line="276" w:lineRule="auto"/>
        <w:ind w:right="51" w:firstLine="709"/>
        <w:jc w:val="both"/>
        <w:rPr>
          <w:lang w:val="es-CO"/>
        </w:rPr>
      </w:pPr>
    </w:p>
    <w:p w14:paraId="4BC7CFA8" w14:textId="77777777" w:rsidR="00474D9D" w:rsidRPr="00A03FAB" w:rsidRDefault="00474D9D" w:rsidP="00474D9D">
      <w:pPr>
        <w:pStyle w:val="Textoindependiente"/>
        <w:ind w:left="709" w:right="709"/>
        <w:jc w:val="both"/>
        <w:rPr>
          <w:sz w:val="21"/>
          <w:szCs w:val="21"/>
          <w:lang w:val="es-CO"/>
        </w:rPr>
      </w:pPr>
      <w:r w:rsidRPr="004F4910">
        <w:rPr>
          <w:rFonts w:eastAsia="Calibri"/>
          <w:color w:val="000000" w:themeColor="text1"/>
          <w:sz w:val="21"/>
          <w:szCs w:val="21"/>
        </w:rPr>
        <w:t>«</w:t>
      </w:r>
      <w:r w:rsidRPr="00A03FAB">
        <w:rPr>
          <w:sz w:val="21"/>
          <w:szCs w:val="21"/>
          <w:lang w:val="es-CO"/>
        </w:rPr>
        <w:t xml:space="preserve">En desarrollo del artículo 2.2.1.1.1.6.4. del Decreto 1082 de 2015, Colombia </w:t>
      </w:r>
      <w:r w:rsidRPr="00A03FAB">
        <w:rPr>
          <w:sz w:val="21"/>
          <w:szCs w:val="21"/>
          <w:lang w:val="es-CO"/>
        </w:rPr>
        <w:lastRenderedPageBreak/>
        <w:t xml:space="preserve">Compra Eficiente expide la </w:t>
      </w:r>
      <w:r>
        <w:rPr>
          <w:sz w:val="21"/>
          <w:szCs w:val="21"/>
          <w:lang w:val="es-CO"/>
        </w:rPr>
        <w:t>«</w:t>
      </w:r>
      <w:r w:rsidRPr="00A03FAB">
        <w:rPr>
          <w:sz w:val="21"/>
          <w:szCs w:val="21"/>
          <w:lang w:val="es-CO"/>
        </w:rPr>
        <w:t>Guía para determinar y verificar la Capacidad Residual del proponente en los procesos de contratación de obra pública</w:t>
      </w:r>
      <w:r>
        <w:rPr>
          <w:sz w:val="21"/>
          <w:szCs w:val="21"/>
          <w:lang w:val="es-CO"/>
        </w:rPr>
        <w:t>»</w:t>
      </w:r>
      <w:r w:rsidRPr="00A03FAB">
        <w:rPr>
          <w:sz w:val="21"/>
          <w:szCs w:val="21"/>
          <w:lang w:val="es-CO"/>
        </w:rPr>
        <w:t>, y conjuntamente un aplicativo de Excel diseñado para facilitar el cálculo. Este aplicativo es un instrumento de apoyo que no exime a las Entidades Estatales y a los proponentes de realizar el cálculo de la Capacidad Residual en los términos de la Guía</w:t>
      </w:r>
      <w:r>
        <w:rPr>
          <w:sz w:val="21"/>
          <w:szCs w:val="21"/>
          <w:lang w:val="es-CO"/>
        </w:rPr>
        <w:t>.</w:t>
      </w:r>
      <w:r w:rsidRPr="00FB4D30">
        <w:rPr>
          <w:rFonts w:eastAsia="Calibri"/>
          <w:color w:val="000000" w:themeColor="text1"/>
          <w:sz w:val="21"/>
          <w:szCs w:val="21"/>
        </w:rPr>
        <w:t>»</w:t>
      </w:r>
    </w:p>
    <w:p w14:paraId="4B762C88" w14:textId="77777777" w:rsidR="00474D9D" w:rsidRPr="00A03FAB" w:rsidRDefault="00474D9D" w:rsidP="00474D9D">
      <w:pPr>
        <w:pStyle w:val="Textoindependiente"/>
        <w:ind w:left="709" w:right="760"/>
        <w:jc w:val="both"/>
        <w:rPr>
          <w:sz w:val="21"/>
          <w:szCs w:val="21"/>
          <w:lang w:val="es-CO"/>
        </w:rPr>
      </w:pPr>
    </w:p>
    <w:p w14:paraId="0F9748B5" w14:textId="0F18E865" w:rsidR="00474D9D" w:rsidRDefault="00474D9D" w:rsidP="00EB70EC">
      <w:pPr>
        <w:pStyle w:val="Textoindependiente"/>
        <w:spacing w:after="120" w:line="276" w:lineRule="auto"/>
        <w:ind w:firstLine="709"/>
        <w:jc w:val="both"/>
        <w:rPr>
          <w:rFonts w:eastAsia="Arial,"/>
          <w:lang w:val="es-CO"/>
        </w:rPr>
      </w:pPr>
      <w:r w:rsidRPr="00A03FAB">
        <w:rPr>
          <w:rFonts w:eastAsia="Arial,"/>
          <w:lang w:val="es-CO"/>
        </w:rPr>
        <w:t xml:space="preserve">Conforme a lo anterior, si bien el aplicativo de Excel desarrollado por esta </w:t>
      </w:r>
      <w:r>
        <w:rPr>
          <w:rFonts w:eastAsia="Arial,"/>
          <w:lang w:val="es-CO"/>
        </w:rPr>
        <w:t>Agencia</w:t>
      </w:r>
      <w:r w:rsidRPr="00A03FAB">
        <w:rPr>
          <w:rFonts w:eastAsia="Arial,"/>
          <w:lang w:val="es-CO"/>
        </w:rPr>
        <w:t xml:space="preserve"> constituye una herramienta que facilita la implementación de la metodología establecida en la guía, su uso no exime del deber de aplicar lo dispuesto en la </w:t>
      </w:r>
      <w:r>
        <w:rPr>
          <w:rFonts w:eastAsia="Arial,"/>
          <w:lang w:val="es-CO"/>
        </w:rPr>
        <w:t>normativa pertinente</w:t>
      </w:r>
      <w:r w:rsidRPr="00A03FAB">
        <w:rPr>
          <w:rFonts w:eastAsia="Arial,"/>
          <w:lang w:val="es-CO"/>
        </w:rPr>
        <w:t>. En virtud de esto, el aplicativo</w:t>
      </w:r>
      <w:r>
        <w:rPr>
          <w:rFonts w:eastAsia="Arial,"/>
          <w:lang w:val="es-CO"/>
        </w:rPr>
        <w:t xml:space="preserve"> </w:t>
      </w:r>
      <w:r w:rsidRPr="00A03FAB">
        <w:rPr>
          <w:rFonts w:eastAsia="Arial,"/>
          <w:lang w:val="es-CO"/>
        </w:rPr>
        <w:t>más</w:t>
      </w:r>
      <w:r>
        <w:rPr>
          <w:rFonts w:eastAsia="Arial,"/>
          <w:lang w:val="es-CO"/>
        </w:rPr>
        <w:t xml:space="preserve"> que</w:t>
      </w:r>
      <w:r w:rsidRPr="00A03FAB">
        <w:rPr>
          <w:rFonts w:eastAsia="Arial,"/>
          <w:lang w:val="es-CO"/>
        </w:rPr>
        <w:t xml:space="preserve"> una herramienta para determinar si se cumple o no con la capacidad residual, constituye una herramienta de validación de la aplicación de la metodología dispuesta en la guía, en la medida en que si bien no es de uso obligatorio facilita el cálculo de la capacidad residual</w:t>
      </w:r>
      <w:r w:rsidRPr="00A03FAB">
        <w:rPr>
          <w:lang w:val="es-CO"/>
        </w:rPr>
        <w:t>.</w:t>
      </w:r>
      <w:r>
        <w:rPr>
          <w:lang w:val="es-CO"/>
        </w:rPr>
        <w:t xml:space="preserve"> </w:t>
      </w:r>
      <w:r>
        <w:rPr>
          <w:rFonts w:eastAsia="Arial,"/>
          <w:lang w:val="es-CO"/>
        </w:rPr>
        <w:t>Así mismo</w:t>
      </w:r>
      <w:r w:rsidRPr="00A03FAB">
        <w:rPr>
          <w:rFonts w:eastAsia="Arial,"/>
          <w:lang w:val="es-CO"/>
        </w:rPr>
        <w:t xml:space="preserve">, se </w:t>
      </w:r>
      <w:r>
        <w:rPr>
          <w:rFonts w:eastAsia="Arial,"/>
          <w:lang w:val="es-CO"/>
        </w:rPr>
        <w:t>re</w:t>
      </w:r>
      <w:r w:rsidRPr="00A03FAB">
        <w:rPr>
          <w:rFonts w:eastAsia="Arial,"/>
          <w:lang w:val="es-CO"/>
        </w:rPr>
        <w:t>itera, l</w:t>
      </w:r>
      <w:r>
        <w:rPr>
          <w:rFonts w:eastAsia="Arial,"/>
          <w:lang w:val="es-CO"/>
        </w:rPr>
        <w:t xml:space="preserve">a guía es el instrumento que detenta fuerza </w:t>
      </w:r>
      <w:r w:rsidRPr="00A03FAB">
        <w:rPr>
          <w:rFonts w:eastAsia="Arial,"/>
          <w:lang w:val="es-CO"/>
        </w:rPr>
        <w:t xml:space="preserve">vinculante </w:t>
      </w:r>
      <w:r>
        <w:rPr>
          <w:rFonts w:eastAsia="Arial,"/>
          <w:lang w:val="es-CO"/>
        </w:rPr>
        <w:t>y</w:t>
      </w:r>
      <w:r w:rsidRPr="00A03FAB">
        <w:rPr>
          <w:rFonts w:eastAsia="Arial,"/>
          <w:lang w:val="es-CO"/>
        </w:rPr>
        <w:t xml:space="preserve">, por tanto, son sus disposiciones las que deben </w:t>
      </w:r>
      <w:r>
        <w:rPr>
          <w:rFonts w:eastAsia="Arial,"/>
          <w:lang w:val="es-CO"/>
        </w:rPr>
        <w:t>observarse</w:t>
      </w:r>
      <w:r w:rsidRPr="00A03FAB">
        <w:rPr>
          <w:rFonts w:eastAsia="Arial,"/>
          <w:lang w:val="es-CO"/>
        </w:rPr>
        <w:t xml:space="preserve"> para la determinación de la capacidad residual.</w:t>
      </w:r>
    </w:p>
    <w:p w14:paraId="4998267C" w14:textId="0B612CEB" w:rsidR="00853111" w:rsidRDefault="00853111" w:rsidP="00474D9D">
      <w:pPr>
        <w:pStyle w:val="Textoindependiente"/>
        <w:spacing w:line="276" w:lineRule="auto"/>
        <w:ind w:firstLine="709"/>
        <w:jc w:val="both"/>
        <w:rPr>
          <w:rFonts w:eastAsia="Arial,"/>
          <w:lang w:val="es-CO"/>
        </w:rPr>
      </w:pPr>
      <w:r>
        <w:rPr>
          <w:rFonts w:eastAsia="Arial,"/>
          <w:lang w:val="es-CO"/>
        </w:rPr>
        <w:t>De otro lado, en los procesos regidos por los documentos tipo de licitación de obra pública de infraestructura de transporte – Versión 3 y de agua potable y saneamiento básico, el Formato 5</w:t>
      </w:r>
      <w:r>
        <w:rPr>
          <w:bCs/>
        </w:rPr>
        <w:t xml:space="preserve"> – Capacidad residual faculta a las entidades estatales para establecer los formatos aplicables al proceso contractual necesarios para calcular la capacidad residual. En efecto, el Formato 5 de los documentos tipo señala que: «</w:t>
      </w:r>
      <w:r w:rsidRPr="00001D44">
        <w:rPr>
          <w:bCs/>
        </w:rPr>
        <w:t>[La entidad estatal deberá estructurar los formatos para la verificación de la capacidad residual ut</w:t>
      </w:r>
      <w:r>
        <w:rPr>
          <w:bCs/>
        </w:rPr>
        <w:t>i</w:t>
      </w:r>
      <w:r w:rsidRPr="00001D44">
        <w:rPr>
          <w:bCs/>
        </w:rPr>
        <w:t>lizando los formatos y la metodología señalada en la "Guía para Determinar y Verificar la Capacidad Residual del Proponente en los Procesos de Contratación de Obra Pública" de la Agencia Nacional de Contratación Pública - Colombia Compra Eficiente]</w:t>
      </w:r>
      <w:r>
        <w:rPr>
          <w:bCs/>
        </w:rPr>
        <w:t>»</w:t>
      </w:r>
      <w:r>
        <w:rPr>
          <w:rStyle w:val="normaltextrun"/>
          <w:color w:val="000000"/>
          <w:shd w:val="clear" w:color="auto" w:fill="FFFFFF"/>
        </w:rPr>
        <w:t>. En virtud de lo anterior, de acuerdo con lo establecido en los documentos tipo, las entidades estatales utilizarán el formato indicado para establecer los formatos que presentarán los proponentes para el cálculo de la capacidad residual.</w:t>
      </w:r>
    </w:p>
    <w:p w14:paraId="3D655D0B" w14:textId="77777777" w:rsidR="006A7349" w:rsidRPr="006A7349" w:rsidRDefault="006A7349" w:rsidP="00474D9D">
      <w:pPr>
        <w:spacing w:after="0" w:line="276" w:lineRule="auto"/>
        <w:jc w:val="both"/>
        <w:rPr>
          <w:rFonts w:ascii="Arial" w:eastAsia="Times New Roman" w:hAnsi="Arial" w:cs="Arial"/>
          <w:lang w:eastAsia="es-ES_tradnl"/>
        </w:rPr>
      </w:pPr>
    </w:p>
    <w:p w14:paraId="49610A57" w14:textId="4CA646B8" w:rsidR="004A568B" w:rsidRDefault="004A568B" w:rsidP="009F34D5">
      <w:pPr>
        <w:spacing w:after="0" w:line="276" w:lineRule="auto"/>
        <w:jc w:val="both"/>
        <w:rPr>
          <w:rFonts w:ascii="Arial" w:hAnsi="Arial" w:cs="Arial"/>
          <w:b/>
          <w:bCs/>
          <w:lang w:val="es-MX"/>
        </w:rPr>
      </w:pPr>
      <w:r>
        <w:rPr>
          <w:rFonts w:ascii="Arial" w:hAnsi="Arial" w:cs="Arial"/>
          <w:b/>
          <w:bCs/>
          <w:lang w:val="es-MX"/>
        </w:rPr>
        <w:t>3. Respuesta</w:t>
      </w:r>
      <w:r w:rsidR="002B4AA0">
        <w:rPr>
          <w:rFonts w:ascii="Arial" w:hAnsi="Arial" w:cs="Arial"/>
          <w:b/>
          <w:bCs/>
          <w:lang w:val="es-MX"/>
        </w:rPr>
        <w:t>s</w:t>
      </w:r>
    </w:p>
    <w:p w14:paraId="0317D499" w14:textId="77777777" w:rsidR="004A568B" w:rsidRPr="009F34D5" w:rsidRDefault="004A568B" w:rsidP="009F34D5">
      <w:pPr>
        <w:spacing w:after="0" w:line="276" w:lineRule="auto"/>
        <w:jc w:val="both"/>
        <w:rPr>
          <w:rFonts w:ascii="Arial" w:hAnsi="Arial" w:cs="Arial"/>
          <w:b/>
          <w:bCs/>
          <w:lang w:val="es-MX"/>
        </w:rPr>
      </w:pPr>
    </w:p>
    <w:p w14:paraId="7710241C" w14:textId="77777777" w:rsidR="0039294B" w:rsidRDefault="0039294B" w:rsidP="0039294B">
      <w:pPr>
        <w:spacing w:after="0" w:line="240" w:lineRule="auto"/>
        <w:ind w:left="709" w:right="709"/>
        <w:jc w:val="both"/>
        <w:rPr>
          <w:rFonts w:ascii="Arial" w:hAnsi="Arial" w:cs="Arial"/>
          <w:bCs/>
          <w:sz w:val="21"/>
          <w:szCs w:val="21"/>
          <w:lang w:val="es-ES" w:eastAsia="es-CO"/>
        </w:rPr>
      </w:pPr>
      <w:r w:rsidRPr="00187C06">
        <w:rPr>
          <w:rFonts w:ascii="Arial" w:hAnsi="Arial" w:cs="Arial"/>
          <w:bCs/>
          <w:sz w:val="21"/>
          <w:szCs w:val="21"/>
          <w:lang w:val="es-ES" w:eastAsia="es-CO"/>
        </w:rPr>
        <w:t xml:space="preserve"> 1.     El periodo de traslado al informe de evaluación y etapa de subsanación es de cinco días hábiles contados partir del quinto día hábil siguiente de la publicación del informe. </w:t>
      </w:r>
      <w:proofErr w:type="gramStart"/>
      <w:r w:rsidRPr="00187C06">
        <w:rPr>
          <w:rFonts w:ascii="Arial" w:hAnsi="Arial" w:cs="Arial"/>
          <w:bCs/>
          <w:sz w:val="21"/>
          <w:szCs w:val="21"/>
          <w:lang w:val="es-ES" w:eastAsia="es-CO"/>
        </w:rPr>
        <w:t>Las entidades pueden establecer que ese quinto día hábil termina antes de las 11:59 pm?</w:t>
      </w:r>
      <w:proofErr w:type="gramEnd"/>
      <w:r w:rsidRPr="00187C06">
        <w:rPr>
          <w:rFonts w:ascii="Arial" w:hAnsi="Arial" w:cs="Arial"/>
          <w:bCs/>
          <w:sz w:val="21"/>
          <w:szCs w:val="21"/>
          <w:lang w:val="es-ES" w:eastAsia="es-CO"/>
        </w:rPr>
        <w:t xml:space="preserve"> </w:t>
      </w:r>
      <w:proofErr w:type="gramStart"/>
      <w:r w:rsidRPr="00187C06">
        <w:rPr>
          <w:rFonts w:ascii="Arial" w:hAnsi="Arial" w:cs="Arial"/>
          <w:bCs/>
          <w:sz w:val="21"/>
          <w:szCs w:val="21"/>
          <w:lang w:val="es-ES" w:eastAsia="es-CO"/>
        </w:rPr>
        <w:t xml:space="preserve">A modo de ejemplo, puede una entidad decir que la subsanación en procesos de </w:t>
      </w:r>
      <w:proofErr w:type="spellStart"/>
      <w:r w:rsidRPr="00187C06">
        <w:rPr>
          <w:rFonts w:ascii="Arial" w:hAnsi="Arial" w:cs="Arial"/>
          <w:bCs/>
          <w:sz w:val="21"/>
          <w:szCs w:val="21"/>
          <w:lang w:val="es-ES" w:eastAsia="es-CO"/>
        </w:rPr>
        <w:t>secop</w:t>
      </w:r>
      <w:proofErr w:type="spellEnd"/>
      <w:r w:rsidRPr="00187C06">
        <w:rPr>
          <w:rFonts w:ascii="Arial" w:hAnsi="Arial" w:cs="Arial"/>
          <w:bCs/>
          <w:sz w:val="21"/>
          <w:szCs w:val="21"/>
          <w:lang w:val="es-ES" w:eastAsia="es-CO"/>
        </w:rPr>
        <w:t xml:space="preserve"> 2 es hasta el día 17 de agosto a las 19:00 horas, suponiendo que el informe se </w:t>
      </w:r>
      <w:proofErr w:type="spellStart"/>
      <w:r w:rsidRPr="00187C06">
        <w:rPr>
          <w:rFonts w:ascii="Arial" w:hAnsi="Arial" w:cs="Arial"/>
          <w:bCs/>
          <w:sz w:val="21"/>
          <w:szCs w:val="21"/>
          <w:lang w:val="es-ES" w:eastAsia="es-CO"/>
        </w:rPr>
        <w:t>publico</w:t>
      </w:r>
      <w:proofErr w:type="spellEnd"/>
      <w:r w:rsidRPr="00187C06">
        <w:rPr>
          <w:rFonts w:ascii="Arial" w:hAnsi="Arial" w:cs="Arial"/>
          <w:bCs/>
          <w:sz w:val="21"/>
          <w:szCs w:val="21"/>
          <w:lang w:val="es-ES" w:eastAsia="es-CO"/>
        </w:rPr>
        <w:t xml:space="preserve"> el día lunes 9 de agosto?</w:t>
      </w:r>
      <w:proofErr w:type="gramEnd"/>
      <w:r w:rsidRPr="00187C06">
        <w:rPr>
          <w:rFonts w:ascii="Arial" w:hAnsi="Arial" w:cs="Arial"/>
          <w:bCs/>
          <w:sz w:val="21"/>
          <w:szCs w:val="21"/>
          <w:lang w:val="es-ES" w:eastAsia="es-CO"/>
        </w:rPr>
        <w:t xml:space="preserve"> </w:t>
      </w:r>
    </w:p>
    <w:p w14:paraId="41463298" w14:textId="77777777" w:rsidR="0039294B" w:rsidRPr="00187C06" w:rsidRDefault="0039294B" w:rsidP="0039294B">
      <w:pPr>
        <w:spacing w:after="0" w:line="240" w:lineRule="auto"/>
        <w:ind w:left="709" w:right="709"/>
        <w:jc w:val="both"/>
        <w:rPr>
          <w:rFonts w:ascii="Arial" w:hAnsi="Arial" w:cs="Arial"/>
          <w:bCs/>
          <w:sz w:val="21"/>
          <w:szCs w:val="21"/>
          <w:lang w:eastAsia="es-CO"/>
        </w:rPr>
      </w:pPr>
    </w:p>
    <w:p w14:paraId="3D0FC4C4" w14:textId="77777777" w:rsidR="0039294B" w:rsidRDefault="0039294B" w:rsidP="0039294B">
      <w:pPr>
        <w:spacing w:after="0" w:line="240" w:lineRule="auto"/>
        <w:ind w:left="709" w:right="709"/>
        <w:jc w:val="both"/>
        <w:rPr>
          <w:rFonts w:ascii="Arial" w:hAnsi="Arial" w:cs="Arial"/>
          <w:bCs/>
          <w:sz w:val="21"/>
          <w:szCs w:val="21"/>
          <w:lang w:val="es-ES" w:eastAsia="es-CO"/>
        </w:rPr>
      </w:pPr>
      <w:r w:rsidRPr="00187C06">
        <w:rPr>
          <w:rFonts w:ascii="Arial" w:hAnsi="Arial" w:cs="Arial"/>
          <w:bCs/>
          <w:sz w:val="21"/>
          <w:szCs w:val="21"/>
          <w:lang w:val="es-ES" w:eastAsia="es-CO"/>
        </w:rPr>
        <w:t xml:space="preserve">2. Las entidades puede contar este periodo de forma diferente acorde a lo establecido en la ley 1150 de 2007. Por </w:t>
      </w:r>
      <w:proofErr w:type="gramStart"/>
      <w:r w:rsidRPr="00187C06">
        <w:rPr>
          <w:rFonts w:ascii="Arial" w:hAnsi="Arial" w:cs="Arial"/>
          <w:bCs/>
          <w:sz w:val="21"/>
          <w:szCs w:val="21"/>
          <w:lang w:val="es-ES" w:eastAsia="es-CO"/>
        </w:rPr>
        <w:t>ejemplo</w:t>
      </w:r>
      <w:proofErr w:type="gramEnd"/>
      <w:r w:rsidRPr="00187C06">
        <w:rPr>
          <w:rFonts w:ascii="Arial" w:hAnsi="Arial" w:cs="Arial"/>
          <w:bCs/>
          <w:sz w:val="21"/>
          <w:szCs w:val="21"/>
          <w:lang w:val="es-ES" w:eastAsia="es-CO"/>
        </w:rPr>
        <w:t xml:space="preserve"> no contar los cinco días hábiles a partir del día siguiente, si no contarlo a partir de la publicación del informe?</w:t>
      </w:r>
    </w:p>
    <w:p w14:paraId="20FC5AFD" w14:textId="77777777" w:rsidR="0039294B" w:rsidRPr="00187C06" w:rsidRDefault="0039294B" w:rsidP="0039294B">
      <w:pPr>
        <w:spacing w:after="0" w:line="240" w:lineRule="auto"/>
        <w:ind w:left="709" w:right="709"/>
        <w:jc w:val="both"/>
        <w:rPr>
          <w:rFonts w:ascii="Arial" w:hAnsi="Arial" w:cs="Arial"/>
          <w:bCs/>
          <w:sz w:val="21"/>
          <w:szCs w:val="21"/>
          <w:lang w:eastAsia="es-CO"/>
        </w:rPr>
      </w:pPr>
    </w:p>
    <w:p w14:paraId="77C28050" w14:textId="72314F33" w:rsidR="00270166" w:rsidRPr="00291251" w:rsidRDefault="00270166" w:rsidP="00291251">
      <w:pPr>
        <w:spacing w:after="120" w:line="276" w:lineRule="auto"/>
        <w:jc w:val="both"/>
        <w:rPr>
          <w:rFonts w:ascii="Arial" w:hAnsi="Arial" w:cs="Arial"/>
          <w:bCs/>
        </w:rPr>
      </w:pPr>
      <w:r w:rsidRPr="00291251">
        <w:rPr>
          <w:rFonts w:ascii="Arial" w:hAnsi="Arial" w:cs="Arial"/>
          <w:bCs/>
        </w:rPr>
        <w:t xml:space="preserve">Los cinco (5) días hábiles que tienen los proponentes para subsanar, deben entenderse de acuerdo con </w:t>
      </w:r>
      <w:r w:rsidR="00E4545F">
        <w:rPr>
          <w:rFonts w:ascii="Arial" w:hAnsi="Arial" w:cs="Arial"/>
          <w:bCs/>
        </w:rPr>
        <w:t xml:space="preserve">las normas citadas en este concepto </w:t>
      </w:r>
      <w:r w:rsidRPr="00291251">
        <w:rPr>
          <w:rFonts w:ascii="Arial" w:hAnsi="Arial" w:cs="Arial"/>
          <w:bCs/>
        </w:rPr>
        <w:t>para el c</w:t>
      </w:r>
      <w:r w:rsidR="00E4545F">
        <w:rPr>
          <w:rFonts w:ascii="Arial" w:hAnsi="Arial" w:cs="Arial"/>
          <w:bCs/>
        </w:rPr>
        <w:t>ó</w:t>
      </w:r>
      <w:r w:rsidRPr="00291251">
        <w:rPr>
          <w:rFonts w:ascii="Arial" w:hAnsi="Arial" w:cs="Arial"/>
          <w:bCs/>
        </w:rPr>
        <w:t>mputo de los plazos o términos.</w:t>
      </w:r>
      <w:r w:rsidR="007425CE" w:rsidRPr="00291251">
        <w:rPr>
          <w:rFonts w:ascii="Arial" w:hAnsi="Arial" w:cs="Arial"/>
          <w:bCs/>
        </w:rPr>
        <w:t xml:space="preserve"> </w:t>
      </w:r>
      <w:r w:rsidRPr="00291251">
        <w:rPr>
          <w:rFonts w:ascii="Arial" w:hAnsi="Arial" w:cs="Arial"/>
          <w:bCs/>
        </w:rPr>
        <w:t xml:space="preserve">Sin perjuicio de lo anterior, es pertinente mencionar que la jornada y el horario de trabajo </w:t>
      </w:r>
      <w:r w:rsidRPr="00291251">
        <w:rPr>
          <w:rFonts w:ascii="Arial" w:hAnsi="Arial" w:cs="Arial"/>
          <w:bCs/>
        </w:rPr>
        <w:lastRenderedPageBreak/>
        <w:t>de las entidades públicas, sirve como límite para determinar la hora máxima de la fecha en que termina un plazo. Así las cosas, si ha de ejecutarse un derecho, el momento en el que</w:t>
      </w:r>
      <w:r w:rsidR="0039294B">
        <w:rPr>
          <w:rFonts w:ascii="Arial" w:hAnsi="Arial" w:cs="Arial"/>
          <w:bCs/>
        </w:rPr>
        <w:t xml:space="preserve"> iniciará será </w:t>
      </w:r>
      <w:r w:rsidR="00715A9D">
        <w:rPr>
          <w:rFonts w:ascii="Arial" w:hAnsi="Arial" w:cs="Arial"/>
          <w:bCs/>
        </w:rPr>
        <w:t xml:space="preserve">a la media noche del día siguiente y el momento en que </w:t>
      </w:r>
      <w:r w:rsidRPr="00291251">
        <w:rPr>
          <w:rFonts w:ascii="Arial" w:hAnsi="Arial" w:cs="Arial"/>
          <w:bCs/>
        </w:rPr>
        <w:t>finalizará el plazo establecido, no será el de la media noche del último día como dispone el Código Civil, sino el del horario de trabajo de la entidad, en ese sentido, la fecha de terminación de un plazo será el último día hábil del mismo y hasta la hora en la que termine la jornada laboral en la entidad respectiva</w:t>
      </w:r>
      <w:r w:rsidR="004E7FAF">
        <w:rPr>
          <w:rFonts w:ascii="Arial" w:hAnsi="Arial" w:cs="Arial"/>
          <w:bCs/>
        </w:rPr>
        <w:t>.</w:t>
      </w:r>
    </w:p>
    <w:p w14:paraId="5AAA04C4" w14:textId="707D1447" w:rsidR="00EE60F5" w:rsidRDefault="007425CE" w:rsidP="00EB70EC">
      <w:pPr>
        <w:spacing w:after="120" w:line="276" w:lineRule="auto"/>
        <w:ind w:firstLine="709"/>
        <w:jc w:val="both"/>
        <w:rPr>
          <w:rFonts w:ascii="Arial" w:hAnsi="Arial" w:cs="Arial"/>
          <w:bCs/>
        </w:rPr>
      </w:pPr>
      <w:r w:rsidRPr="00291251">
        <w:rPr>
          <w:rFonts w:ascii="Arial" w:hAnsi="Arial" w:cs="Arial"/>
          <w:bCs/>
        </w:rPr>
        <w:t>Esto</w:t>
      </w:r>
      <w:r w:rsidR="00270166" w:rsidRPr="00291251">
        <w:rPr>
          <w:rFonts w:ascii="Arial" w:hAnsi="Arial" w:cs="Arial"/>
          <w:bCs/>
        </w:rPr>
        <w:t xml:space="preserve"> guarda relación con lo establecido en el antepenúltimo inciso del numeral 1.6 del documento base del documento tipo − Versión 3, en donde se dispone que «En los procesos adelantados en el SECOP I, las subsanaciones, explicaciones y aclaraciones se presentarán por cualquier medio: en físico, entre las horas de atención al público; o por correo electrónico hasta las 11:59 p. m. del día establecido en el cronograma».</w:t>
      </w:r>
      <w:r w:rsidR="00947B5A">
        <w:rPr>
          <w:rFonts w:ascii="Arial" w:hAnsi="Arial" w:cs="Arial"/>
          <w:bCs/>
        </w:rPr>
        <w:t xml:space="preserve"> En tal sentido, allí quedan definidas las horas límites para subsanar las ofertas, de acuerdo con el medio por el cual se realice dicha actuación</w:t>
      </w:r>
      <w:r w:rsidR="004E7FAF">
        <w:rPr>
          <w:rFonts w:ascii="Arial" w:hAnsi="Arial" w:cs="Arial"/>
          <w:bCs/>
        </w:rPr>
        <w:t>, en lo que tiene que ver con estos procesos regidos por los documentos tipo.</w:t>
      </w:r>
    </w:p>
    <w:p w14:paraId="097FCADA" w14:textId="38C79A17" w:rsidR="00047B85" w:rsidRDefault="00047B85" w:rsidP="00AB168C">
      <w:pPr>
        <w:spacing w:after="0" w:line="276" w:lineRule="auto"/>
        <w:ind w:firstLine="708"/>
        <w:jc w:val="both"/>
        <w:rPr>
          <w:rFonts w:ascii="Arial" w:hAnsi="Arial" w:cs="Arial"/>
          <w:bCs/>
        </w:rPr>
      </w:pPr>
      <w:r>
        <w:rPr>
          <w:rFonts w:ascii="Arial" w:hAnsi="Arial" w:cs="Arial"/>
          <w:bCs/>
        </w:rPr>
        <w:t xml:space="preserve">Además de lo anterior, respecto al cómputo del término de los cinco (5) días, es importante señalar que en el «documento base» </w:t>
      </w:r>
      <w:r w:rsidR="00F562DD">
        <w:rPr>
          <w:rFonts w:ascii="Arial" w:hAnsi="Arial" w:cs="Arial"/>
          <w:bCs/>
        </w:rPr>
        <w:t xml:space="preserve">de los documentos tipo </w:t>
      </w:r>
      <w:r>
        <w:rPr>
          <w:rFonts w:ascii="Arial" w:hAnsi="Arial" w:cs="Arial"/>
          <w:bCs/>
        </w:rPr>
        <w:t>establece que: «</w:t>
      </w:r>
      <w:r w:rsidRPr="00EB70EC">
        <w:rPr>
          <w:rFonts w:ascii="Arial" w:hAnsi="Arial" w:cs="Arial"/>
          <w:bCs/>
        </w:rPr>
        <w:t>Los Proponentes deberán allegar las aclaraciones o documentos requeridos en el momento en el que fueron solicitados y a más tardar hasta el término de traslado del informe de evaluación, es decir, dentro de los cinco (5) días hábiles siguientes, contados a partir del día hábil siguiente a la expedición del informe de evaluación</w:t>
      </w:r>
      <w:r>
        <w:rPr>
          <w:rFonts w:ascii="Arial" w:hAnsi="Arial" w:cs="Arial"/>
          <w:bCs/>
        </w:rPr>
        <w:t>». En tal sentido, para los procesos regidos por documentos tipo</w:t>
      </w:r>
      <w:r w:rsidR="00F562DD">
        <w:rPr>
          <w:rFonts w:ascii="Arial" w:hAnsi="Arial" w:cs="Arial"/>
          <w:bCs/>
        </w:rPr>
        <w:t>,</w:t>
      </w:r>
      <w:r>
        <w:rPr>
          <w:rFonts w:ascii="Arial" w:hAnsi="Arial" w:cs="Arial"/>
          <w:bCs/>
        </w:rPr>
        <w:t xml:space="preserve"> este sería el término que se otorgaría en los procesos regidos por </w:t>
      </w:r>
      <w:r w:rsidR="00F562DD">
        <w:rPr>
          <w:rFonts w:ascii="Arial" w:hAnsi="Arial" w:cs="Arial"/>
          <w:bCs/>
        </w:rPr>
        <w:t>ellos para la subsanación de las ofertas.</w:t>
      </w:r>
    </w:p>
    <w:p w14:paraId="6E9E1057" w14:textId="40E5C607" w:rsidR="002E34B2" w:rsidRDefault="002E34B2" w:rsidP="00AB168C">
      <w:pPr>
        <w:spacing w:after="0" w:line="276" w:lineRule="auto"/>
        <w:ind w:firstLine="708"/>
        <w:jc w:val="both"/>
        <w:rPr>
          <w:rFonts w:ascii="Arial" w:hAnsi="Arial" w:cs="Arial"/>
          <w:bCs/>
        </w:rPr>
      </w:pPr>
    </w:p>
    <w:p w14:paraId="6E04E900" w14:textId="2CB632E0" w:rsidR="002E34B2" w:rsidRPr="00EB70EC" w:rsidRDefault="002E34B2" w:rsidP="002E34B2">
      <w:pPr>
        <w:spacing w:after="0" w:line="240" w:lineRule="auto"/>
        <w:ind w:left="709" w:right="709"/>
        <w:jc w:val="both"/>
        <w:rPr>
          <w:rFonts w:ascii="Arial" w:hAnsi="Arial" w:cs="Arial"/>
          <w:bCs/>
          <w:sz w:val="21"/>
          <w:szCs w:val="21"/>
          <w:highlight w:val="red"/>
          <w:lang w:val="es-ES" w:eastAsia="es-CO"/>
        </w:rPr>
      </w:pPr>
      <w:r w:rsidRPr="00187C06">
        <w:rPr>
          <w:rFonts w:ascii="Arial" w:hAnsi="Arial" w:cs="Arial"/>
          <w:bCs/>
          <w:sz w:val="21"/>
          <w:szCs w:val="21"/>
          <w:lang w:val="es-ES" w:eastAsia="es-CO"/>
        </w:rPr>
        <w:t>1</w:t>
      </w:r>
      <w:r w:rsidRPr="00AA6E36">
        <w:rPr>
          <w:rFonts w:ascii="Arial" w:hAnsi="Arial" w:cs="Arial"/>
          <w:bCs/>
          <w:sz w:val="21"/>
          <w:szCs w:val="21"/>
          <w:lang w:val="es-ES" w:eastAsia="es-CO"/>
        </w:rPr>
        <w:t xml:space="preserve">. Las entidades están en la obligación de publicar siempre formatos para el </w:t>
      </w:r>
      <w:proofErr w:type="spellStart"/>
      <w:r w:rsidRPr="00AA6E36">
        <w:rPr>
          <w:rFonts w:ascii="Arial" w:hAnsi="Arial" w:cs="Arial"/>
          <w:bCs/>
          <w:sz w:val="21"/>
          <w:szCs w:val="21"/>
          <w:lang w:val="es-ES" w:eastAsia="es-CO"/>
        </w:rPr>
        <w:t>calculo</w:t>
      </w:r>
      <w:proofErr w:type="spellEnd"/>
      <w:r w:rsidRPr="00AA6E36">
        <w:rPr>
          <w:rFonts w:ascii="Arial" w:hAnsi="Arial" w:cs="Arial"/>
          <w:bCs/>
          <w:sz w:val="21"/>
          <w:szCs w:val="21"/>
          <w:lang w:val="es-ES" w:eastAsia="es-CO"/>
        </w:rPr>
        <w:t xml:space="preserve"> de la capacidad residual? </w:t>
      </w:r>
    </w:p>
    <w:p w14:paraId="64CA73B8" w14:textId="45C64A76" w:rsidR="002E34B2" w:rsidRPr="00EB70EC" w:rsidRDefault="002E34B2" w:rsidP="002E34B2">
      <w:pPr>
        <w:spacing w:after="0" w:line="240" w:lineRule="auto"/>
        <w:ind w:right="709"/>
        <w:jc w:val="both"/>
        <w:rPr>
          <w:rFonts w:ascii="Arial" w:hAnsi="Arial" w:cs="Arial"/>
          <w:bCs/>
          <w:sz w:val="21"/>
          <w:szCs w:val="21"/>
          <w:highlight w:val="red"/>
          <w:lang w:val="es-ES" w:eastAsia="es-CO"/>
        </w:rPr>
      </w:pPr>
    </w:p>
    <w:p w14:paraId="434933A9" w14:textId="724D5C8E" w:rsidR="002E34B2" w:rsidRPr="00EB70EC" w:rsidRDefault="00001D44" w:rsidP="00EB70EC">
      <w:pPr>
        <w:spacing w:before="120" w:after="120" w:line="276" w:lineRule="auto"/>
        <w:jc w:val="both"/>
        <w:rPr>
          <w:rStyle w:val="normaltextrun"/>
        </w:rPr>
      </w:pPr>
      <w:r>
        <w:rPr>
          <w:rFonts w:ascii="Arial" w:hAnsi="Arial" w:cs="Arial"/>
          <w:bCs/>
        </w:rPr>
        <w:t>Sin perjuicio de las consideraciones desarrolladas en torno al cálculo de la capacidad residual, en los procesos regidos por los documentos tipo</w:t>
      </w:r>
      <w:r w:rsidR="00AA6E36">
        <w:rPr>
          <w:rFonts w:ascii="Arial" w:hAnsi="Arial" w:cs="Arial"/>
          <w:bCs/>
        </w:rPr>
        <w:t>,</w:t>
      </w:r>
      <w:r>
        <w:rPr>
          <w:rFonts w:ascii="Arial" w:hAnsi="Arial" w:cs="Arial"/>
          <w:bCs/>
        </w:rPr>
        <w:t xml:space="preserve"> es importante señalar que </w:t>
      </w:r>
      <w:r w:rsidR="00AA6E36">
        <w:rPr>
          <w:rFonts w:ascii="Arial" w:hAnsi="Arial" w:cs="Arial"/>
          <w:bCs/>
        </w:rPr>
        <w:t xml:space="preserve">el </w:t>
      </w:r>
      <w:r>
        <w:rPr>
          <w:rFonts w:ascii="Arial" w:hAnsi="Arial" w:cs="Arial"/>
          <w:bCs/>
        </w:rPr>
        <w:t>Formato 5 – Capacidad residual faculta a las entidades estatales para establecer los formatos aplicables al proceso contractual necesarios para calcular la capacidad residual. En efecto, el Formato 5 de los documentos tipo señala que: «</w:t>
      </w:r>
      <w:r w:rsidRPr="00001D44">
        <w:rPr>
          <w:rFonts w:ascii="Arial" w:hAnsi="Arial" w:cs="Arial"/>
          <w:bCs/>
        </w:rPr>
        <w:t>[La entidad estatal deberá estructurar los formatos para la verificación de la capacidad residual ut</w:t>
      </w:r>
      <w:r>
        <w:rPr>
          <w:rFonts w:ascii="Arial" w:hAnsi="Arial" w:cs="Arial"/>
          <w:bCs/>
        </w:rPr>
        <w:t>i</w:t>
      </w:r>
      <w:r w:rsidRPr="00001D44">
        <w:rPr>
          <w:rFonts w:ascii="Arial" w:hAnsi="Arial" w:cs="Arial"/>
          <w:bCs/>
        </w:rPr>
        <w:t>lizando los formatos y la metodología señalada en la "Guía para Determinar y Verificar la Capacidad Residual del Proponente en los Procesos de Contratación de Obra Pública" de la Agencia Nacional de Contratación Pública - Colombia Compra Eficiente]</w:t>
      </w:r>
      <w:r>
        <w:rPr>
          <w:rFonts w:ascii="Arial" w:hAnsi="Arial" w:cs="Arial"/>
          <w:bCs/>
        </w:rPr>
        <w:t>»</w:t>
      </w:r>
      <w:r w:rsidR="008E5593">
        <w:rPr>
          <w:rStyle w:val="normaltextrun"/>
          <w:rFonts w:ascii="Arial" w:hAnsi="Arial" w:cs="Arial"/>
          <w:color w:val="000000"/>
          <w:shd w:val="clear" w:color="auto" w:fill="FFFFFF"/>
        </w:rPr>
        <w:t>.</w:t>
      </w:r>
      <w:r w:rsidR="00AA6E36">
        <w:rPr>
          <w:rStyle w:val="normaltextrun"/>
          <w:rFonts w:ascii="Arial" w:hAnsi="Arial" w:cs="Arial"/>
          <w:color w:val="000000"/>
          <w:shd w:val="clear" w:color="auto" w:fill="FFFFFF"/>
        </w:rPr>
        <w:t xml:space="preserve"> En virtud de lo anterior, de acuerdo con lo establecido en los documentos tipo, las entidades estatales utilizarán el formato indicado para establecer los formatos que presentarán los proponentes</w:t>
      </w:r>
      <w:r w:rsidR="00853111">
        <w:rPr>
          <w:rStyle w:val="normaltextrun"/>
          <w:rFonts w:ascii="Arial" w:hAnsi="Arial" w:cs="Arial"/>
          <w:color w:val="000000"/>
          <w:shd w:val="clear" w:color="auto" w:fill="FFFFFF"/>
        </w:rPr>
        <w:t xml:space="preserve"> </w:t>
      </w:r>
      <w:r w:rsidR="00853111" w:rsidRPr="00EB70EC">
        <w:rPr>
          <w:rStyle w:val="normaltextrun"/>
          <w:rFonts w:ascii="Arial" w:hAnsi="Arial" w:cs="Arial"/>
          <w:color w:val="000000"/>
          <w:shd w:val="clear" w:color="auto" w:fill="FFFFFF"/>
        </w:rPr>
        <w:t>para el cálculo de la capacidad residual</w:t>
      </w:r>
      <w:r w:rsidR="00AA6E36">
        <w:rPr>
          <w:rStyle w:val="normaltextrun"/>
          <w:rFonts w:ascii="Arial" w:hAnsi="Arial" w:cs="Arial"/>
          <w:color w:val="000000"/>
          <w:shd w:val="clear" w:color="auto" w:fill="FFFFFF"/>
        </w:rPr>
        <w:t>.</w:t>
      </w:r>
    </w:p>
    <w:p w14:paraId="4D6BA07B" w14:textId="77777777" w:rsidR="002E34B2" w:rsidRPr="00187C06" w:rsidRDefault="002E34B2" w:rsidP="002E34B2">
      <w:pPr>
        <w:spacing w:after="0" w:line="240" w:lineRule="auto"/>
        <w:ind w:left="709" w:right="709"/>
        <w:jc w:val="both"/>
        <w:rPr>
          <w:rFonts w:ascii="Arial" w:hAnsi="Arial" w:cs="Arial"/>
          <w:bCs/>
          <w:sz w:val="21"/>
          <w:szCs w:val="21"/>
          <w:lang w:val="es-ES" w:eastAsia="es-CO"/>
        </w:rPr>
      </w:pPr>
    </w:p>
    <w:p w14:paraId="34F875B6" w14:textId="553C92C7" w:rsidR="002E34B2" w:rsidRDefault="002E34B2" w:rsidP="002E34B2">
      <w:pPr>
        <w:spacing w:after="0" w:line="240" w:lineRule="auto"/>
        <w:ind w:left="709" w:right="709"/>
        <w:jc w:val="both"/>
        <w:rPr>
          <w:rFonts w:ascii="Arial" w:hAnsi="Arial" w:cs="Arial"/>
          <w:bCs/>
          <w:sz w:val="21"/>
          <w:szCs w:val="21"/>
          <w:lang w:val="es-ES" w:eastAsia="es-CO"/>
        </w:rPr>
      </w:pPr>
      <w:r w:rsidRPr="00187C06">
        <w:rPr>
          <w:rFonts w:ascii="Arial" w:hAnsi="Arial" w:cs="Arial"/>
          <w:bCs/>
          <w:sz w:val="21"/>
          <w:szCs w:val="21"/>
          <w:lang w:val="es-ES" w:eastAsia="es-CO"/>
        </w:rPr>
        <w:t xml:space="preserve">2. El aplicativo de CCE para el </w:t>
      </w:r>
      <w:r w:rsidR="00474D9D" w:rsidRPr="00187C06">
        <w:rPr>
          <w:rFonts w:ascii="Arial" w:hAnsi="Arial" w:cs="Arial"/>
          <w:bCs/>
          <w:sz w:val="21"/>
          <w:szCs w:val="21"/>
          <w:lang w:val="es-ES" w:eastAsia="es-CO"/>
        </w:rPr>
        <w:t>cálculo</w:t>
      </w:r>
      <w:r w:rsidRPr="00187C06">
        <w:rPr>
          <w:rFonts w:ascii="Arial" w:hAnsi="Arial" w:cs="Arial"/>
          <w:bCs/>
          <w:sz w:val="21"/>
          <w:szCs w:val="21"/>
          <w:lang w:val="es-ES" w:eastAsia="es-CO"/>
        </w:rPr>
        <w:t xml:space="preserve"> de la capacidad residual es de obligatorio uso por parte de las entidades? </w:t>
      </w:r>
    </w:p>
    <w:p w14:paraId="63C60D40" w14:textId="77777777" w:rsidR="000E7FD6" w:rsidRDefault="000E7FD6" w:rsidP="000E7FD6">
      <w:pPr>
        <w:spacing w:after="0" w:line="240" w:lineRule="auto"/>
        <w:ind w:left="709" w:right="709"/>
        <w:jc w:val="both"/>
        <w:rPr>
          <w:rFonts w:ascii="Arial" w:hAnsi="Arial" w:cs="Arial"/>
          <w:bCs/>
          <w:sz w:val="21"/>
          <w:szCs w:val="21"/>
          <w:lang w:val="es-ES" w:eastAsia="es-CO"/>
        </w:rPr>
      </w:pPr>
      <w:r w:rsidRPr="00187C06">
        <w:rPr>
          <w:rFonts w:ascii="Arial" w:hAnsi="Arial" w:cs="Arial"/>
          <w:bCs/>
          <w:sz w:val="21"/>
          <w:szCs w:val="21"/>
          <w:lang w:val="es-ES" w:eastAsia="es-CO"/>
        </w:rPr>
        <w:lastRenderedPageBreak/>
        <w:t xml:space="preserve">3.  El pliego de condiciones establece que para contratos suspendidos se calculara acorde al valor pendiente por ejecutar al momento de la suspensión, sin </w:t>
      </w:r>
      <w:proofErr w:type="gramStart"/>
      <w:r w:rsidRPr="00187C06">
        <w:rPr>
          <w:rFonts w:ascii="Arial" w:hAnsi="Arial" w:cs="Arial"/>
          <w:bCs/>
          <w:sz w:val="21"/>
          <w:szCs w:val="21"/>
          <w:lang w:val="es-ES" w:eastAsia="es-CO"/>
        </w:rPr>
        <w:t>embargo</w:t>
      </w:r>
      <w:proofErr w:type="gramEnd"/>
      <w:r w:rsidRPr="00187C06">
        <w:rPr>
          <w:rFonts w:ascii="Arial" w:hAnsi="Arial" w:cs="Arial"/>
          <w:bCs/>
          <w:sz w:val="21"/>
          <w:szCs w:val="21"/>
          <w:lang w:val="es-ES" w:eastAsia="es-CO"/>
        </w:rPr>
        <w:t xml:space="preserve"> el aplicativo de CCE no contemplan esta situación para contrato suspendidos. </w:t>
      </w:r>
      <w:proofErr w:type="gramStart"/>
      <w:r w:rsidRPr="00187C06">
        <w:rPr>
          <w:rFonts w:ascii="Arial" w:hAnsi="Arial" w:cs="Arial"/>
          <w:bCs/>
          <w:sz w:val="21"/>
          <w:szCs w:val="21"/>
          <w:lang w:val="es-ES" w:eastAsia="es-CO"/>
        </w:rPr>
        <w:t>Como debe proceder la entidad ante esta situación?</w:t>
      </w:r>
      <w:proofErr w:type="gramEnd"/>
      <w:r w:rsidRPr="00187C06">
        <w:rPr>
          <w:rFonts w:ascii="Arial" w:hAnsi="Arial" w:cs="Arial"/>
          <w:bCs/>
          <w:sz w:val="21"/>
          <w:szCs w:val="21"/>
          <w:lang w:val="es-ES" w:eastAsia="es-CO"/>
        </w:rPr>
        <w:t xml:space="preserve"> </w:t>
      </w:r>
    </w:p>
    <w:p w14:paraId="33FB055B" w14:textId="77777777" w:rsidR="00474D9D" w:rsidRDefault="00474D9D" w:rsidP="000E7FD6">
      <w:pPr>
        <w:pStyle w:val="Textoindependiente"/>
        <w:spacing w:line="276" w:lineRule="auto"/>
        <w:jc w:val="both"/>
        <w:rPr>
          <w:rFonts w:eastAsia="Arial,"/>
          <w:lang w:val="es-CO"/>
        </w:rPr>
      </w:pPr>
    </w:p>
    <w:p w14:paraId="16936A0A" w14:textId="0AB8963E" w:rsidR="00474D9D" w:rsidRDefault="00474D9D" w:rsidP="00EB70EC">
      <w:pPr>
        <w:pStyle w:val="Textoindependiente"/>
        <w:spacing w:after="120" w:line="276" w:lineRule="auto"/>
        <w:jc w:val="both"/>
        <w:rPr>
          <w:bCs/>
          <w:sz w:val="21"/>
          <w:szCs w:val="21"/>
          <w:lang w:eastAsia="es-CO"/>
        </w:rPr>
      </w:pPr>
      <w:r>
        <w:rPr>
          <w:rFonts w:eastAsia="Arial,"/>
          <w:lang w:val="es-CO"/>
        </w:rPr>
        <w:t>S</w:t>
      </w:r>
      <w:r w:rsidRPr="00A03FAB">
        <w:rPr>
          <w:rFonts w:eastAsia="Arial,"/>
          <w:lang w:val="es-CO"/>
        </w:rPr>
        <w:t xml:space="preserve">i bien el aplicativo de Excel desarrollado por esta </w:t>
      </w:r>
      <w:r>
        <w:rPr>
          <w:rFonts w:eastAsia="Arial,"/>
          <w:lang w:val="es-CO"/>
        </w:rPr>
        <w:t>Agencia</w:t>
      </w:r>
      <w:r w:rsidRPr="00A03FAB">
        <w:rPr>
          <w:rFonts w:eastAsia="Arial,"/>
          <w:lang w:val="es-CO"/>
        </w:rPr>
        <w:t xml:space="preserve"> constituye una herramienta que facilita la implementación de la metodología establecida en la guía, su uso no exime del deber de aplicar lo dispuesto en la </w:t>
      </w:r>
      <w:r>
        <w:rPr>
          <w:rFonts w:eastAsia="Arial,"/>
          <w:lang w:val="es-CO"/>
        </w:rPr>
        <w:t>normativa pertinente</w:t>
      </w:r>
      <w:r w:rsidRPr="00A03FAB">
        <w:rPr>
          <w:rFonts w:eastAsia="Arial,"/>
          <w:lang w:val="es-CO"/>
        </w:rPr>
        <w:t xml:space="preserve">. </w:t>
      </w:r>
      <w:r w:rsidR="00A33F73">
        <w:rPr>
          <w:rFonts w:eastAsia="Arial,"/>
          <w:lang w:val="es-CO"/>
        </w:rPr>
        <w:t>Por ello</w:t>
      </w:r>
      <w:r w:rsidRPr="00A03FAB">
        <w:rPr>
          <w:rFonts w:eastAsia="Arial,"/>
          <w:lang w:val="es-CO"/>
        </w:rPr>
        <w:t>, el aplicativo</w:t>
      </w:r>
      <w:r>
        <w:rPr>
          <w:rFonts w:eastAsia="Arial,"/>
          <w:lang w:val="es-CO"/>
        </w:rPr>
        <w:t xml:space="preserve"> </w:t>
      </w:r>
      <w:r w:rsidRPr="00A03FAB">
        <w:rPr>
          <w:rFonts w:eastAsia="Arial,"/>
          <w:lang w:val="es-CO"/>
        </w:rPr>
        <w:t>más</w:t>
      </w:r>
      <w:r>
        <w:rPr>
          <w:rFonts w:eastAsia="Arial,"/>
          <w:lang w:val="es-CO"/>
        </w:rPr>
        <w:t xml:space="preserve"> que</w:t>
      </w:r>
      <w:r w:rsidRPr="00A03FAB">
        <w:rPr>
          <w:rFonts w:eastAsia="Arial,"/>
          <w:lang w:val="es-CO"/>
        </w:rPr>
        <w:t xml:space="preserve"> una herramienta para determinar si se cumple o no con la capacidad residual, constituye una herramienta de validación de la aplicación de la metodología dispuesta en la guía, en la medida en que si bien no es de uso obligatorio facilita el cálculo de la capacidad residual</w:t>
      </w:r>
      <w:r w:rsidRPr="00A03FAB">
        <w:rPr>
          <w:lang w:val="es-CO"/>
        </w:rPr>
        <w:t>.</w:t>
      </w:r>
      <w:r>
        <w:rPr>
          <w:lang w:val="es-CO"/>
        </w:rPr>
        <w:t xml:space="preserve"> </w:t>
      </w:r>
      <w:r>
        <w:rPr>
          <w:rFonts w:eastAsia="Arial,"/>
          <w:lang w:val="es-CO"/>
        </w:rPr>
        <w:t>Así mismo</w:t>
      </w:r>
      <w:r w:rsidRPr="00A03FAB">
        <w:rPr>
          <w:rFonts w:eastAsia="Arial,"/>
          <w:lang w:val="es-CO"/>
        </w:rPr>
        <w:t xml:space="preserve">, se </w:t>
      </w:r>
      <w:r>
        <w:rPr>
          <w:rFonts w:eastAsia="Arial,"/>
          <w:lang w:val="es-CO"/>
        </w:rPr>
        <w:t>re</w:t>
      </w:r>
      <w:r w:rsidRPr="00A03FAB">
        <w:rPr>
          <w:rFonts w:eastAsia="Arial,"/>
          <w:lang w:val="es-CO"/>
        </w:rPr>
        <w:t>itera, l</w:t>
      </w:r>
      <w:r>
        <w:rPr>
          <w:rFonts w:eastAsia="Arial,"/>
          <w:lang w:val="es-CO"/>
        </w:rPr>
        <w:t xml:space="preserve">a guía es el instrumento que detenta fuerza </w:t>
      </w:r>
      <w:r w:rsidRPr="00A03FAB">
        <w:rPr>
          <w:rFonts w:eastAsia="Arial,"/>
          <w:lang w:val="es-CO"/>
        </w:rPr>
        <w:t xml:space="preserve">vinculante </w:t>
      </w:r>
      <w:r>
        <w:rPr>
          <w:rFonts w:eastAsia="Arial,"/>
          <w:lang w:val="es-CO"/>
        </w:rPr>
        <w:t>y</w:t>
      </w:r>
      <w:r w:rsidRPr="00A03FAB">
        <w:rPr>
          <w:rFonts w:eastAsia="Arial,"/>
          <w:lang w:val="es-CO"/>
        </w:rPr>
        <w:t xml:space="preserve">, por tanto, son sus disposiciones las que deben </w:t>
      </w:r>
      <w:r>
        <w:rPr>
          <w:rFonts w:eastAsia="Arial,"/>
          <w:lang w:val="es-CO"/>
        </w:rPr>
        <w:t>observarse</w:t>
      </w:r>
      <w:r w:rsidRPr="00A03FAB">
        <w:rPr>
          <w:rFonts w:eastAsia="Arial,"/>
          <w:lang w:val="es-CO"/>
        </w:rPr>
        <w:t xml:space="preserve"> para la determinación de la capacidad residual.</w:t>
      </w:r>
    </w:p>
    <w:p w14:paraId="3057CFC9" w14:textId="1400B941" w:rsidR="00474D9D" w:rsidRDefault="00474D9D" w:rsidP="00474D9D">
      <w:pPr>
        <w:tabs>
          <w:tab w:val="center" w:pos="4244"/>
        </w:tabs>
        <w:spacing w:line="276" w:lineRule="auto"/>
        <w:ind w:firstLine="709"/>
        <w:jc w:val="both"/>
        <w:rPr>
          <w:rFonts w:ascii="Arial" w:eastAsia="Calibri" w:hAnsi="Arial" w:cs="Arial"/>
          <w:color w:val="000000" w:themeColor="text1"/>
        </w:rPr>
      </w:pPr>
      <w:r>
        <w:rPr>
          <w:rFonts w:ascii="Arial" w:eastAsia="Calibri" w:hAnsi="Arial" w:cs="Arial"/>
          <w:color w:val="000000" w:themeColor="text1"/>
          <w:lang w:val="es-MX"/>
        </w:rPr>
        <w:t>Así mismo, a</w:t>
      </w:r>
      <w:r w:rsidRPr="000C2B7C">
        <w:rPr>
          <w:rFonts w:ascii="Arial" w:eastAsia="Calibri" w:hAnsi="Arial" w:cs="Arial"/>
          <w:color w:val="000000" w:themeColor="text1"/>
          <w:lang w:val="es-MX"/>
        </w:rPr>
        <w:t>l numeral 3.10.2</w:t>
      </w:r>
      <w:r w:rsidR="00CD29BB">
        <w:rPr>
          <w:rFonts w:ascii="Arial" w:eastAsia="Calibri" w:hAnsi="Arial" w:cs="Arial"/>
          <w:color w:val="000000" w:themeColor="text1"/>
          <w:lang w:val="es-MX"/>
        </w:rPr>
        <w:t>, del «documento base» al</w:t>
      </w:r>
      <w:r>
        <w:rPr>
          <w:rFonts w:ascii="Arial" w:eastAsia="Calibri" w:hAnsi="Arial" w:cs="Arial"/>
          <w:color w:val="000000" w:themeColor="text1"/>
          <w:lang w:val="es-MX"/>
        </w:rPr>
        <w:t xml:space="preserve"> establecer</w:t>
      </w:r>
      <w:r w:rsidRPr="000C2B7C">
        <w:rPr>
          <w:rFonts w:ascii="Arial" w:eastAsia="Calibri" w:hAnsi="Arial" w:cs="Arial"/>
          <w:color w:val="000000" w:themeColor="text1"/>
          <w:lang w:val="es-MX"/>
        </w:rPr>
        <w:t xml:space="preserve"> </w:t>
      </w:r>
      <w:r w:rsidR="00CD29BB">
        <w:rPr>
          <w:rFonts w:ascii="Arial" w:eastAsia="Calibri" w:hAnsi="Arial" w:cs="Arial"/>
          <w:color w:val="000000" w:themeColor="text1"/>
          <w:lang w:val="es-MX"/>
        </w:rPr>
        <w:t>que</w:t>
      </w:r>
      <w:r>
        <w:rPr>
          <w:rFonts w:ascii="Arial" w:eastAsia="Calibri" w:hAnsi="Arial" w:cs="Arial"/>
          <w:color w:val="000000" w:themeColor="text1"/>
          <w:lang w:val="es-MX"/>
        </w:rPr>
        <w:t>«</w:t>
      </w:r>
      <w:r w:rsidRPr="000C2B7C">
        <w:rPr>
          <w:rFonts w:ascii="Arial" w:eastAsia="Calibri" w:hAnsi="Arial" w:cs="Arial"/>
          <w:color w:val="000000" w:themeColor="text1"/>
          <w:lang w:val="es-MX"/>
        </w:rPr>
        <w:t>[</w:t>
      </w:r>
      <w:r w:rsidRPr="000C2B7C">
        <w:rPr>
          <w:rFonts w:ascii="Arial" w:eastAsia="Calibri" w:hAnsi="Arial" w:cs="Arial"/>
          <w:color w:val="000000" w:themeColor="text1"/>
          <w:highlight w:val="lightGray"/>
          <w:lang w:val="es-MX"/>
        </w:rPr>
        <w:t xml:space="preserve">Se recomienda el uso de la aplicación para establecer la capacidad residual, de Colombia Compra Eficiente, disponible en la página web: </w:t>
      </w:r>
      <w:hyperlink r:id="rId10" w:history="1">
        <w:r w:rsidRPr="000C2B7C">
          <w:rPr>
            <w:rStyle w:val="Hipervnculo"/>
            <w:rFonts w:ascii="Arial" w:eastAsia="Calibri" w:hAnsi="Arial" w:cs="Arial"/>
            <w:highlight w:val="lightGray"/>
            <w:lang w:val="es-MX"/>
          </w:rPr>
          <w:t>https://www.colombiacompra.gov.co/manuales-guias-y-pliegos-tipo/manuales-y-guias/</w:t>
        </w:r>
      </w:hyperlink>
      <w:r w:rsidRPr="000C2B7C">
        <w:rPr>
          <w:rFonts w:ascii="Arial" w:eastAsia="Calibri" w:hAnsi="Arial" w:cs="Arial"/>
          <w:color w:val="000000" w:themeColor="text1"/>
          <w:highlight w:val="lightGray"/>
          <w:lang w:val="es-MX"/>
        </w:rPr>
        <w:t xml:space="preserve"> así como el aplicativo para tal fin por Colombia Compra Eficiente</w:t>
      </w:r>
      <w:r w:rsidRPr="000C2B7C">
        <w:rPr>
          <w:rFonts w:ascii="Arial" w:eastAsia="Calibri" w:hAnsi="Arial" w:cs="Arial"/>
          <w:color w:val="000000" w:themeColor="text1"/>
          <w:lang w:val="es-MX"/>
        </w:rPr>
        <w:t>]</w:t>
      </w:r>
      <w:r>
        <w:rPr>
          <w:rFonts w:ascii="Arial" w:eastAsia="Calibri" w:hAnsi="Arial" w:cs="Arial"/>
          <w:color w:val="000000" w:themeColor="text1"/>
          <w:lang w:val="es-MX"/>
        </w:rPr>
        <w:t xml:space="preserve">», permite el ejercicio </w:t>
      </w:r>
      <w:r w:rsidR="00CD29BB">
        <w:rPr>
          <w:rFonts w:ascii="Arial" w:eastAsia="Calibri" w:hAnsi="Arial" w:cs="Arial"/>
          <w:color w:val="000000" w:themeColor="text1"/>
          <w:lang w:val="es-MX"/>
        </w:rPr>
        <w:t xml:space="preserve">de </w:t>
      </w:r>
      <w:r>
        <w:rPr>
          <w:rFonts w:ascii="Arial" w:eastAsia="Calibri" w:hAnsi="Arial" w:cs="Arial"/>
          <w:color w:val="000000" w:themeColor="text1"/>
          <w:lang w:val="es-MX"/>
        </w:rPr>
        <w:t xml:space="preserve">discrecionalidad administrativa. En esa medida, </w:t>
      </w:r>
      <w:r>
        <w:rPr>
          <w:rFonts w:ascii="Arial" w:eastAsia="Calibri" w:hAnsi="Arial" w:cs="Arial"/>
          <w:color w:val="000000" w:themeColor="text1"/>
        </w:rPr>
        <w:t>el uso de la aplicación para establecer la capacidad residual es facultativo</w:t>
      </w:r>
      <w:r w:rsidR="00BD6623">
        <w:rPr>
          <w:rFonts w:ascii="Arial" w:eastAsia="Calibri" w:hAnsi="Arial" w:cs="Arial"/>
          <w:color w:val="000000" w:themeColor="text1"/>
        </w:rPr>
        <w:t>,</w:t>
      </w:r>
      <w:r>
        <w:rPr>
          <w:rFonts w:ascii="Arial" w:eastAsia="Calibri" w:hAnsi="Arial" w:cs="Arial"/>
          <w:color w:val="000000" w:themeColor="text1"/>
        </w:rPr>
        <w:t xml:space="preserve"> por lo cual la entidad podrá optar por su uso o considerar otra opción que considere más conveniente. </w:t>
      </w:r>
    </w:p>
    <w:p w14:paraId="6EA57E71" w14:textId="77777777" w:rsidR="007E6DC3" w:rsidRDefault="007E6DC3" w:rsidP="007E6DC3">
      <w:pPr>
        <w:spacing w:after="0" w:line="240" w:lineRule="auto"/>
        <w:ind w:left="709" w:right="709"/>
        <w:jc w:val="both"/>
        <w:rPr>
          <w:rFonts w:ascii="Arial" w:hAnsi="Arial" w:cs="Arial"/>
          <w:bCs/>
          <w:sz w:val="21"/>
          <w:szCs w:val="21"/>
          <w:lang w:val="es-ES" w:eastAsia="es-CO"/>
        </w:rPr>
      </w:pPr>
      <w:r w:rsidRPr="00187C06">
        <w:rPr>
          <w:rFonts w:ascii="Arial" w:hAnsi="Arial" w:cs="Arial"/>
          <w:bCs/>
          <w:sz w:val="21"/>
          <w:szCs w:val="21"/>
          <w:lang w:val="es-ES" w:eastAsia="es-CO"/>
        </w:rPr>
        <w:t xml:space="preserve">4. Como debe proceder la entidad ante contratos que tuvieron una suspensión y ya fueron reiniciados? </w:t>
      </w:r>
    </w:p>
    <w:p w14:paraId="7B19FDE8" w14:textId="77777777" w:rsidR="007E6DC3" w:rsidRDefault="007E6DC3" w:rsidP="007E6DC3">
      <w:pPr>
        <w:spacing w:after="0" w:line="276" w:lineRule="auto"/>
        <w:jc w:val="both"/>
        <w:rPr>
          <w:rFonts w:ascii="Arial" w:eastAsia="Calibri" w:hAnsi="Arial" w:cs="Arial"/>
          <w:bCs/>
          <w:color w:val="000000"/>
          <w:lang w:val="es-MX"/>
        </w:rPr>
      </w:pPr>
    </w:p>
    <w:p w14:paraId="2CF9774D" w14:textId="66687EEB" w:rsidR="007E6DC3" w:rsidRDefault="007E6DC3" w:rsidP="00EB70EC">
      <w:pPr>
        <w:spacing w:after="120" w:line="276" w:lineRule="auto"/>
        <w:jc w:val="both"/>
        <w:rPr>
          <w:rFonts w:ascii="Arial" w:eastAsia="Times New Roman" w:hAnsi="Arial" w:cs="Arial"/>
          <w:lang w:eastAsia="es-ES_tradnl"/>
        </w:rPr>
      </w:pPr>
      <w:r>
        <w:rPr>
          <w:rFonts w:ascii="Arial" w:eastAsia="Calibri" w:hAnsi="Arial" w:cs="Arial"/>
          <w:bCs/>
          <w:color w:val="000000"/>
          <w:lang w:val="es-MX"/>
        </w:rPr>
        <w:t>R</w:t>
      </w:r>
      <w:r w:rsidRPr="006A7349">
        <w:rPr>
          <w:rFonts w:ascii="Arial" w:eastAsia="Calibri" w:hAnsi="Arial" w:cs="Arial"/>
          <w:bCs/>
          <w:color w:val="000000"/>
          <w:lang w:val="es-MX"/>
        </w:rPr>
        <w:t xml:space="preserve">especto del factor de saldos de los contratos en ejecución </w:t>
      </w:r>
      <w:r w:rsidRPr="006A7349">
        <w:rPr>
          <w:rFonts w:ascii="Arial" w:eastAsia="Calibri" w:hAnsi="Arial" w:cs="Arial"/>
          <w:bCs/>
          <w:color w:val="000000"/>
        </w:rPr>
        <w:t>«</w:t>
      </w:r>
      <w:r w:rsidRPr="006A7349">
        <w:rPr>
          <w:rFonts w:ascii="Arial" w:eastAsia="Calibri" w:hAnsi="Arial" w:cs="Arial"/>
          <w:bCs/>
          <w:color w:val="000000"/>
          <w:szCs w:val="24"/>
          <w:lang w:eastAsia="es-ES_tradnl"/>
        </w:rPr>
        <w:t>SCE</w:t>
      </w:r>
      <w:r w:rsidRPr="006A7349">
        <w:rPr>
          <w:rFonts w:ascii="Arial" w:eastAsia="Calibri" w:hAnsi="Arial" w:cs="Arial"/>
          <w:bCs/>
          <w:color w:val="000000"/>
        </w:rPr>
        <w:t>»</w:t>
      </w:r>
      <w:r w:rsidRPr="006A7349">
        <w:rPr>
          <w:rFonts w:ascii="Arial" w:eastAsia="Calibri" w:hAnsi="Arial" w:cs="Arial"/>
          <w:bCs/>
          <w:color w:val="000000"/>
          <w:szCs w:val="24"/>
          <w:lang w:eastAsia="es-ES_tradnl"/>
        </w:rPr>
        <w:t>,</w:t>
      </w:r>
      <w:r w:rsidRPr="006A7349">
        <w:rPr>
          <w:rFonts w:ascii="Arial" w:eastAsia="Times New Roman" w:hAnsi="Arial" w:cs="Arial"/>
          <w:lang w:eastAsia="es-ES_tradnl"/>
        </w:rPr>
        <w:t xml:space="preserve"> es necesario tener en cuenta que la Guía para Determinar y Verificar la Capacidad Residual del Proponente en los Procesos de Contratación de Obra Pública</w:t>
      </w:r>
      <w:r w:rsidRPr="006A7349">
        <w:rPr>
          <w:rFonts w:ascii="Arial" w:eastAsia="Times New Roman" w:hAnsi="Arial" w:cs="Arial"/>
          <w:i/>
          <w:iCs/>
          <w:lang w:eastAsia="es-ES_tradnl"/>
        </w:rPr>
        <w:t xml:space="preserve">, </w:t>
      </w:r>
      <w:r w:rsidRPr="006A7349">
        <w:rPr>
          <w:rFonts w:ascii="Arial" w:eastAsia="Times New Roman" w:hAnsi="Arial" w:cs="Arial"/>
          <w:lang w:eastAsia="es-ES_tradnl"/>
        </w:rPr>
        <w:t xml:space="preserve">define a este factor </w:t>
      </w:r>
      <w:r w:rsidRPr="006A7349">
        <w:rPr>
          <w:rFonts w:ascii="Arial" w:eastAsia="Calibri" w:hAnsi="Arial" w:cs="Arial"/>
          <w:bCs/>
          <w:color w:val="000000"/>
        </w:rPr>
        <w:t xml:space="preserve">como «la suma de los montos por ejecutar de los contratos en ejecución durante los 12 meses siguientes». </w:t>
      </w:r>
    </w:p>
    <w:p w14:paraId="49EACE16" w14:textId="32240A9C" w:rsidR="002E34B2" w:rsidRPr="007E6DC3" w:rsidRDefault="007E6DC3" w:rsidP="007E6DC3">
      <w:pPr>
        <w:spacing w:after="0" w:line="276" w:lineRule="auto"/>
        <w:ind w:firstLine="709"/>
        <w:jc w:val="both"/>
        <w:rPr>
          <w:rFonts w:ascii="Arial" w:eastAsia="Times New Roman" w:hAnsi="Arial" w:cs="Arial"/>
          <w:lang w:eastAsia="es-ES_tradnl"/>
        </w:rPr>
      </w:pPr>
      <w:r w:rsidRPr="006A7349">
        <w:rPr>
          <w:rFonts w:ascii="Arial" w:eastAsia="Times New Roman" w:hAnsi="Arial" w:cs="Arial"/>
          <w:lang w:eastAsia="es-ES_tradnl"/>
        </w:rPr>
        <w:t>En este sentido, los saldos pendientes se derivan de las obligaciones que se encuentran en ejecución al momento de la presentación de la oferta y se refieren a contratos cuyo objeto sea la ejecución de obras civiles</w:t>
      </w:r>
      <w:r>
        <w:rPr>
          <w:rFonts w:ascii="Arial" w:eastAsia="Times New Roman" w:hAnsi="Arial" w:cs="Arial"/>
          <w:lang w:eastAsia="es-ES_tradnl"/>
        </w:rPr>
        <w:t>; así las cosas, si un contrato fue reanudado habrá que tenerse en cuenta los</w:t>
      </w:r>
      <w:r w:rsidRPr="006A7349">
        <w:rPr>
          <w:rFonts w:ascii="Arial" w:eastAsia="Times New Roman" w:hAnsi="Arial" w:cs="Arial"/>
          <w:lang w:eastAsia="es-ES_tradnl"/>
        </w:rPr>
        <w:t xml:space="preserve"> </w:t>
      </w:r>
      <w:r w:rsidRPr="007E6DC3">
        <w:rPr>
          <w:rFonts w:ascii="Arial" w:eastAsia="Times New Roman" w:hAnsi="Arial" w:cs="Arial"/>
          <w:lang w:eastAsia="es-ES_tradnl"/>
        </w:rPr>
        <w:t xml:space="preserve">montos por ejecutar </w:t>
      </w:r>
      <w:r w:rsidR="008F43D0">
        <w:rPr>
          <w:rFonts w:ascii="Arial" w:eastAsia="Times New Roman" w:hAnsi="Arial" w:cs="Arial"/>
          <w:lang w:eastAsia="es-ES_tradnl"/>
        </w:rPr>
        <w:t>durante el tiempo restante para cumplirse el plazo del contrato y si este término fuera mayor a 12 meses, solo se tendrá en cuenta la proporción lineal de 12 meses, tal como se expresó en las consideraciones.</w:t>
      </w:r>
    </w:p>
    <w:p w14:paraId="57561076" w14:textId="77777777" w:rsidR="00270166" w:rsidRPr="00AB168C" w:rsidRDefault="00270166" w:rsidP="00AB168C">
      <w:pPr>
        <w:spacing w:after="0"/>
        <w:jc w:val="both"/>
        <w:rPr>
          <w:rFonts w:ascii="Arial" w:hAnsi="Arial" w:cs="Arial"/>
          <w:bCs/>
          <w:sz w:val="21"/>
          <w:szCs w:val="21"/>
        </w:rPr>
      </w:pPr>
    </w:p>
    <w:p w14:paraId="5545349D" w14:textId="77777777" w:rsidR="00902944" w:rsidRPr="00902944" w:rsidRDefault="00902944" w:rsidP="00902944">
      <w:pPr>
        <w:spacing w:after="0" w:line="276" w:lineRule="auto"/>
        <w:jc w:val="both"/>
        <w:rPr>
          <w:rFonts w:ascii="Arial" w:eastAsia="Calibri" w:hAnsi="Arial" w:cs="Arial"/>
          <w:color w:val="000000" w:themeColor="text1"/>
          <w:lang w:val="es-MX"/>
        </w:rPr>
      </w:pPr>
      <w:r w:rsidRPr="00902944">
        <w:rPr>
          <w:rFonts w:ascii="Arial" w:eastAsia="Calibri" w:hAnsi="Arial" w:cs="Arial"/>
          <w:color w:val="000000" w:themeColor="text1"/>
          <w:lang w:val="es-MX"/>
        </w:rPr>
        <w:t>Este concepto tiene el alcance previsto en el artículo 28 del Código de Procedimiento Administrativo y de lo Contencioso Administrativo.</w:t>
      </w:r>
    </w:p>
    <w:p w14:paraId="5B004D57" w14:textId="77777777" w:rsidR="00902944" w:rsidRPr="00902944" w:rsidRDefault="00902944" w:rsidP="00902944">
      <w:pPr>
        <w:spacing w:after="0" w:line="240" w:lineRule="auto"/>
        <w:ind w:firstLine="709"/>
        <w:jc w:val="both"/>
        <w:rPr>
          <w:rFonts w:ascii="Arial" w:eastAsia="Calibri" w:hAnsi="Arial" w:cs="Arial"/>
          <w:color w:val="000000" w:themeColor="text1"/>
          <w:lang w:val="es-MX"/>
        </w:rPr>
      </w:pPr>
    </w:p>
    <w:p w14:paraId="35A3E86F" w14:textId="77777777" w:rsidR="00902944" w:rsidRPr="00902944" w:rsidRDefault="00902944" w:rsidP="00902944">
      <w:pPr>
        <w:spacing w:after="0" w:line="240" w:lineRule="auto"/>
        <w:jc w:val="both"/>
        <w:rPr>
          <w:rFonts w:ascii="Arial" w:eastAsia="Times New Roman" w:hAnsi="Arial" w:cs="Arial"/>
          <w:color w:val="000000" w:themeColor="text1"/>
          <w:lang w:val="es-MX" w:eastAsia="es-CO"/>
        </w:rPr>
      </w:pPr>
      <w:r w:rsidRPr="00902944">
        <w:rPr>
          <w:rFonts w:ascii="Arial" w:eastAsia="Times New Roman" w:hAnsi="Arial" w:cs="Arial"/>
          <w:color w:val="000000" w:themeColor="text1"/>
          <w:lang w:val="es-MX" w:eastAsia="es-CO"/>
        </w:rPr>
        <w:t>Atentamente,</w:t>
      </w:r>
    </w:p>
    <w:p w14:paraId="6C18BE64" w14:textId="77777777" w:rsidR="00902944" w:rsidRPr="00902944" w:rsidRDefault="00902944" w:rsidP="00902944">
      <w:pPr>
        <w:spacing w:after="0" w:line="240" w:lineRule="auto"/>
        <w:jc w:val="center"/>
        <w:rPr>
          <w:rFonts w:ascii="Arial" w:eastAsia="Times New Roman" w:hAnsi="Arial" w:cs="Arial"/>
          <w:color w:val="000000" w:themeColor="text1"/>
          <w:sz w:val="18"/>
          <w:szCs w:val="20"/>
          <w:lang w:val="es-MX" w:eastAsia="es-CO"/>
        </w:rPr>
      </w:pPr>
    </w:p>
    <w:p w14:paraId="0C4CFAE4" w14:textId="147AC71B" w:rsidR="00902944" w:rsidRDefault="0090442B" w:rsidP="00902944">
      <w:pPr>
        <w:spacing w:after="0" w:line="240" w:lineRule="auto"/>
        <w:jc w:val="center"/>
        <w:rPr>
          <w:rFonts w:ascii="Arial" w:hAnsi="Arial" w:cs="Arial"/>
          <w:sz w:val="18"/>
          <w:szCs w:val="20"/>
          <w:lang w:val="es-MX" w:eastAsia="es-CO"/>
        </w:rPr>
      </w:pPr>
      <w:r>
        <w:rPr>
          <w:noProof/>
        </w:rPr>
        <w:lastRenderedPageBreak/>
        <w:drawing>
          <wp:inline distT="0" distB="0" distL="0" distR="0" wp14:anchorId="4E662E31" wp14:editId="1EB803E9">
            <wp:extent cx="2514600" cy="1114425"/>
            <wp:effectExtent l="0" t="0" r="0" b="9525"/>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p w14:paraId="1EF313B6" w14:textId="77777777" w:rsidR="00902944" w:rsidRPr="00902944" w:rsidRDefault="00902944" w:rsidP="00902944">
      <w:pPr>
        <w:spacing w:after="0" w:line="240" w:lineRule="auto"/>
        <w:jc w:val="center"/>
        <w:rPr>
          <w:rFonts w:ascii="Arial" w:hAnsi="Arial" w:cs="Arial"/>
          <w:sz w:val="18"/>
          <w:szCs w:val="20"/>
          <w:lang w:val="es-MX"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02944" w:rsidRPr="00902944" w14:paraId="3F0022DD" w14:textId="77777777" w:rsidTr="00FA31A7">
        <w:trPr>
          <w:trHeight w:val="315"/>
        </w:trPr>
        <w:tc>
          <w:tcPr>
            <w:tcW w:w="812" w:type="dxa"/>
            <w:vAlign w:val="center"/>
            <w:hideMark/>
          </w:tcPr>
          <w:p w14:paraId="7496A0AD" w14:textId="77777777" w:rsidR="00902944" w:rsidRPr="00902944" w:rsidRDefault="00902944" w:rsidP="00902944">
            <w:pPr>
              <w:spacing w:line="276" w:lineRule="auto"/>
              <w:rPr>
                <w:rFonts w:ascii="Arial" w:eastAsia="Calibri" w:hAnsi="Arial" w:cs="Arial"/>
                <w:sz w:val="16"/>
                <w:szCs w:val="16"/>
                <w:lang w:val="es-ES_tradnl" w:eastAsia="es-ES"/>
              </w:rPr>
            </w:pPr>
            <w:r w:rsidRPr="00902944">
              <w:rPr>
                <w:rFonts w:ascii="Arial" w:eastAsia="Calibri" w:hAnsi="Arial" w:cs="Arial"/>
                <w:sz w:val="16"/>
                <w:szCs w:val="16"/>
                <w:lang w:val="es-ES_tradnl" w:eastAsia="es-ES"/>
              </w:rPr>
              <w:t>Elaboró:</w:t>
            </w:r>
          </w:p>
        </w:tc>
        <w:tc>
          <w:tcPr>
            <w:tcW w:w="4413" w:type="dxa"/>
            <w:tcBorders>
              <w:top w:val="nil"/>
              <w:left w:val="nil"/>
              <w:bottom w:val="dotted" w:sz="4" w:space="0" w:color="7F7F7F"/>
              <w:right w:val="nil"/>
            </w:tcBorders>
            <w:vAlign w:val="center"/>
            <w:hideMark/>
          </w:tcPr>
          <w:p w14:paraId="519EFD77" w14:textId="2F249E45" w:rsidR="00902944" w:rsidRPr="00902944" w:rsidRDefault="002E34B2" w:rsidP="00902944">
            <w:pPr>
              <w:rPr>
                <w:rFonts w:ascii="Arial" w:eastAsia="Calibri" w:hAnsi="Arial" w:cs="Arial"/>
                <w:sz w:val="16"/>
                <w:szCs w:val="16"/>
                <w:lang w:val="es-ES_tradnl" w:eastAsia="es-ES"/>
              </w:rPr>
            </w:pPr>
            <w:r>
              <w:rPr>
                <w:rFonts w:ascii="Arial" w:eastAsia="Calibri" w:hAnsi="Arial" w:cs="Arial"/>
                <w:sz w:val="16"/>
                <w:szCs w:val="16"/>
                <w:lang w:val="es-ES_tradnl" w:eastAsia="es-ES"/>
              </w:rPr>
              <w:t>Nathalia Urrego Jiménez</w:t>
            </w:r>
          </w:p>
          <w:p w14:paraId="5B6EA6C1" w14:textId="77777777" w:rsidR="00902944" w:rsidRPr="00902944" w:rsidRDefault="00902944" w:rsidP="00902944">
            <w:pPr>
              <w:rPr>
                <w:rFonts w:ascii="Arial" w:eastAsia="Calibri" w:hAnsi="Arial" w:cs="Arial"/>
                <w:sz w:val="16"/>
                <w:szCs w:val="16"/>
                <w:lang w:val="es-ES_tradnl" w:eastAsia="es-ES"/>
              </w:rPr>
            </w:pPr>
            <w:r w:rsidRPr="00902944">
              <w:rPr>
                <w:rFonts w:ascii="Arial" w:eastAsia="Calibri" w:hAnsi="Arial" w:cs="Arial"/>
                <w:sz w:val="16"/>
                <w:szCs w:val="16"/>
                <w:lang w:val="es-ES_tradnl" w:eastAsia="es-ES"/>
              </w:rPr>
              <w:t>Contratista de la Subdirección de Gestión Contractual</w:t>
            </w:r>
          </w:p>
        </w:tc>
      </w:tr>
      <w:tr w:rsidR="00902944" w:rsidRPr="00902944" w14:paraId="16F34656" w14:textId="77777777" w:rsidTr="00FA31A7">
        <w:trPr>
          <w:trHeight w:val="330"/>
        </w:trPr>
        <w:tc>
          <w:tcPr>
            <w:tcW w:w="812" w:type="dxa"/>
            <w:vAlign w:val="center"/>
            <w:hideMark/>
          </w:tcPr>
          <w:p w14:paraId="03464F95" w14:textId="77777777" w:rsidR="00902944" w:rsidRPr="00902944" w:rsidRDefault="00902944" w:rsidP="00902944">
            <w:pPr>
              <w:spacing w:line="276" w:lineRule="auto"/>
              <w:rPr>
                <w:rFonts w:ascii="Arial" w:eastAsia="Calibri" w:hAnsi="Arial" w:cs="Arial"/>
                <w:sz w:val="16"/>
                <w:szCs w:val="16"/>
                <w:lang w:val="es-ES_tradnl" w:eastAsia="es-ES"/>
              </w:rPr>
            </w:pPr>
            <w:r w:rsidRPr="00902944">
              <w:rPr>
                <w:rFonts w:ascii="Arial" w:eastAsia="Calibri" w:hAnsi="Arial" w:cs="Arial"/>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3B67ABB2" w14:textId="612BA38A" w:rsidR="00902944" w:rsidRPr="00902944" w:rsidRDefault="002E34B2" w:rsidP="00902944">
            <w:pPr>
              <w:rPr>
                <w:rFonts w:ascii="Arial" w:eastAsia="Calibri" w:hAnsi="Arial" w:cs="Arial"/>
                <w:sz w:val="16"/>
                <w:szCs w:val="16"/>
                <w:lang w:val="es-ES_tradnl" w:eastAsia="es-ES"/>
              </w:rPr>
            </w:pPr>
            <w:r>
              <w:rPr>
                <w:rFonts w:ascii="Arial" w:eastAsia="Calibri" w:hAnsi="Arial" w:cs="Arial"/>
                <w:sz w:val="16"/>
                <w:szCs w:val="16"/>
                <w:lang w:val="es-ES_tradnl" w:eastAsia="es-ES"/>
              </w:rPr>
              <w:t>Sebastián Ramírez Grisales</w:t>
            </w:r>
          </w:p>
          <w:p w14:paraId="133297B9" w14:textId="77777777" w:rsidR="00902944" w:rsidRPr="00902944" w:rsidRDefault="00902944" w:rsidP="00902944">
            <w:pPr>
              <w:rPr>
                <w:rFonts w:ascii="Arial" w:eastAsia="Calibri" w:hAnsi="Arial" w:cs="Arial"/>
                <w:sz w:val="16"/>
                <w:szCs w:val="16"/>
                <w:lang w:val="es-ES_tradnl" w:eastAsia="es-ES"/>
              </w:rPr>
            </w:pPr>
            <w:r w:rsidRPr="00902944">
              <w:rPr>
                <w:rFonts w:ascii="Arial" w:eastAsia="Calibri" w:hAnsi="Arial" w:cs="Arial"/>
                <w:sz w:val="16"/>
                <w:szCs w:val="16"/>
                <w:lang w:val="es-ES_tradnl" w:eastAsia="es-ES"/>
              </w:rPr>
              <w:t>Gestor T1-15 de la Subdirección de Gestión Contractual</w:t>
            </w:r>
          </w:p>
        </w:tc>
      </w:tr>
      <w:tr w:rsidR="00902944" w:rsidRPr="00902944" w14:paraId="7CDA18EC" w14:textId="77777777" w:rsidTr="00FA31A7">
        <w:trPr>
          <w:trHeight w:val="300"/>
        </w:trPr>
        <w:tc>
          <w:tcPr>
            <w:tcW w:w="812" w:type="dxa"/>
            <w:vAlign w:val="center"/>
            <w:hideMark/>
          </w:tcPr>
          <w:p w14:paraId="0DDE1894" w14:textId="77777777" w:rsidR="00902944" w:rsidRPr="00902944" w:rsidRDefault="00902944" w:rsidP="00902944">
            <w:pPr>
              <w:spacing w:line="276" w:lineRule="auto"/>
              <w:rPr>
                <w:rFonts w:ascii="Arial" w:eastAsia="Calibri" w:hAnsi="Arial" w:cs="Arial"/>
                <w:sz w:val="16"/>
                <w:szCs w:val="16"/>
                <w:lang w:val="es-ES_tradnl" w:eastAsia="es-ES"/>
              </w:rPr>
            </w:pPr>
            <w:r w:rsidRPr="00902944">
              <w:rPr>
                <w:rFonts w:ascii="Arial" w:eastAsia="Calibri" w:hAnsi="Arial" w:cs="Arial"/>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1C61963F" w14:textId="77777777" w:rsidR="00902944" w:rsidRPr="00902944" w:rsidRDefault="00902944" w:rsidP="00902944">
            <w:pPr>
              <w:rPr>
                <w:rFonts w:ascii="Arial" w:eastAsia="Calibri" w:hAnsi="Arial" w:cs="Arial"/>
                <w:sz w:val="16"/>
                <w:szCs w:val="16"/>
                <w:lang w:val="pt-BR" w:eastAsia="es-ES"/>
              </w:rPr>
            </w:pPr>
            <w:r w:rsidRPr="00902944">
              <w:rPr>
                <w:rFonts w:ascii="Arial" w:eastAsia="Calibri" w:hAnsi="Arial" w:cs="Arial"/>
                <w:sz w:val="16"/>
                <w:szCs w:val="16"/>
                <w:lang w:val="pt-BR" w:eastAsia="es-ES"/>
              </w:rPr>
              <w:t>Jorge Augusto Tirado Navarro</w:t>
            </w:r>
          </w:p>
          <w:p w14:paraId="66CDB65E" w14:textId="77777777" w:rsidR="00902944" w:rsidRPr="00902944" w:rsidRDefault="00902944" w:rsidP="00902944">
            <w:pPr>
              <w:rPr>
                <w:rFonts w:ascii="Arial" w:eastAsia="Calibri" w:hAnsi="Arial" w:cs="Arial"/>
                <w:sz w:val="16"/>
                <w:szCs w:val="16"/>
                <w:lang w:val="pt-BR" w:eastAsia="es-ES"/>
              </w:rPr>
            </w:pPr>
            <w:proofErr w:type="spellStart"/>
            <w:r w:rsidRPr="00902944">
              <w:rPr>
                <w:rFonts w:ascii="Arial" w:eastAsia="Calibri" w:hAnsi="Arial" w:cs="Arial"/>
                <w:sz w:val="16"/>
                <w:szCs w:val="16"/>
                <w:lang w:eastAsia="es-ES"/>
              </w:rPr>
              <w:t>Subdirecto</w:t>
            </w:r>
            <w:proofErr w:type="spellEnd"/>
            <w:r w:rsidRPr="00902944">
              <w:rPr>
                <w:rFonts w:ascii="Arial" w:eastAsia="Calibri" w:hAnsi="Arial" w:cs="Arial"/>
                <w:sz w:val="16"/>
                <w:szCs w:val="16"/>
                <w:lang w:val="pt-BR" w:eastAsia="es-ES"/>
              </w:rPr>
              <w:t xml:space="preserve">r de </w:t>
            </w:r>
            <w:proofErr w:type="spellStart"/>
            <w:r w:rsidRPr="00902944">
              <w:rPr>
                <w:rFonts w:ascii="Arial" w:eastAsia="Calibri" w:hAnsi="Arial" w:cs="Arial"/>
                <w:sz w:val="16"/>
                <w:szCs w:val="16"/>
                <w:lang w:val="pt-BR" w:eastAsia="es-ES"/>
              </w:rPr>
              <w:t>Gestión</w:t>
            </w:r>
            <w:proofErr w:type="spellEnd"/>
            <w:r w:rsidRPr="00902944">
              <w:rPr>
                <w:rFonts w:ascii="Arial" w:eastAsia="Calibri" w:hAnsi="Arial" w:cs="Arial"/>
                <w:sz w:val="16"/>
                <w:szCs w:val="16"/>
                <w:lang w:val="pt-BR" w:eastAsia="es-ES"/>
              </w:rPr>
              <w:t xml:space="preserve"> </w:t>
            </w:r>
            <w:proofErr w:type="spellStart"/>
            <w:r w:rsidRPr="00902944">
              <w:rPr>
                <w:rFonts w:ascii="Arial" w:eastAsia="Calibri" w:hAnsi="Arial" w:cs="Arial"/>
                <w:sz w:val="16"/>
                <w:szCs w:val="16"/>
                <w:lang w:val="pt-BR" w:eastAsia="es-ES"/>
              </w:rPr>
              <w:t>Contractual</w:t>
            </w:r>
            <w:proofErr w:type="spellEnd"/>
            <w:r w:rsidRPr="00902944">
              <w:rPr>
                <w:rFonts w:ascii="Arial" w:eastAsia="Calibri" w:hAnsi="Arial" w:cs="Arial"/>
                <w:sz w:val="16"/>
                <w:szCs w:val="16"/>
                <w:lang w:val="pt-BR" w:eastAsia="es-ES"/>
              </w:rPr>
              <w:t xml:space="preserve"> ANCP - CCE</w:t>
            </w:r>
          </w:p>
        </w:tc>
      </w:tr>
    </w:tbl>
    <w:p w14:paraId="55FB21B3" w14:textId="77777777" w:rsidR="00902944" w:rsidRPr="00902944" w:rsidRDefault="00902944" w:rsidP="00902944">
      <w:pPr>
        <w:spacing w:after="0" w:line="276" w:lineRule="auto"/>
        <w:jc w:val="both"/>
        <w:rPr>
          <w:rFonts w:ascii="Arial" w:hAnsi="Arial" w:cs="Arial"/>
          <w:color w:val="000000"/>
          <w:lang w:val="es-ES_tradnl" w:eastAsia="es-CO"/>
        </w:rPr>
      </w:pPr>
    </w:p>
    <w:p w14:paraId="1E48B58F" w14:textId="77777777" w:rsidR="00902944" w:rsidRPr="00902944" w:rsidRDefault="00902944" w:rsidP="00902944">
      <w:pPr>
        <w:spacing w:after="0" w:line="240" w:lineRule="auto"/>
        <w:jc w:val="both"/>
        <w:rPr>
          <w:sz w:val="24"/>
          <w:lang w:val="es-MX"/>
        </w:rPr>
      </w:pPr>
    </w:p>
    <w:p w14:paraId="6669E725" w14:textId="77777777" w:rsidR="00902944" w:rsidRPr="00902944" w:rsidRDefault="00902944" w:rsidP="00902944">
      <w:pPr>
        <w:spacing w:after="0" w:line="240" w:lineRule="auto"/>
        <w:jc w:val="both"/>
        <w:rPr>
          <w:rFonts w:ascii="Arial" w:hAnsi="Arial" w:cs="Arial"/>
          <w:lang w:val="es-MX"/>
        </w:rPr>
      </w:pPr>
    </w:p>
    <w:p w14:paraId="07D55920" w14:textId="77777777" w:rsidR="00902944" w:rsidRPr="00902944" w:rsidRDefault="00902944" w:rsidP="00902944">
      <w:pPr>
        <w:spacing w:after="0" w:line="240" w:lineRule="auto"/>
        <w:jc w:val="both"/>
        <w:rPr>
          <w:sz w:val="24"/>
          <w:lang w:val="es-MX"/>
        </w:rPr>
      </w:pPr>
    </w:p>
    <w:bookmarkEnd w:id="0"/>
    <w:p w14:paraId="70289E31" w14:textId="77777777" w:rsidR="00D73C02" w:rsidRDefault="00D73C02" w:rsidP="00CF5D05"/>
    <w:sectPr w:rsidR="00D73C02">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9DCE0" w14:textId="77777777" w:rsidR="00E80F89" w:rsidRDefault="00E80F89" w:rsidP="00FC2E63">
      <w:pPr>
        <w:spacing w:after="0" w:line="240" w:lineRule="auto"/>
      </w:pPr>
      <w:r>
        <w:separator/>
      </w:r>
    </w:p>
  </w:endnote>
  <w:endnote w:type="continuationSeparator" w:id="0">
    <w:p w14:paraId="16B8A188" w14:textId="77777777" w:rsidR="00E80F89" w:rsidRDefault="00E80F89" w:rsidP="00FC2E63">
      <w:pPr>
        <w:spacing w:after="0" w:line="240" w:lineRule="auto"/>
      </w:pPr>
      <w:r>
        <w:continuationSeparator/>
      </w:r>
    </w:p>
  </w:endnote>
  <w:endnote w:type="continuationNotice" w:id="1">
    <w:p w14:paraId="261DA455" w14:textId="77777777" w:rsidR="00E80F89" w:rsidRDefault="00E80F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D1AF" w14:textId="77777777" w:rsidR="00BD2130" w:rsidRDefault="00BD2130" w:rsidP="00BD2130">
    <w:pPr>
      <w:pStyle w:val="Piedepgina"/>
      <w:jc w:val="right"/>
      <w:rPr>
        <w:rFonts w:ascii="Arial" w:hAnsi="Arial" w:cs="Arial"/>
        <w:bCs/>
        <w:color w:val="7F7F7F" w:themeColor="text1" w:themeTint="80"/>
        <w:sz w:val="16"/>
        <w:szCs w:val="16"/>
      </w:rPr>
    </w:pPr>
  </w:p>
  <w:p w14:paraId="04CFEEA9" w14:textId="77777777" w:rsidR="00BD2130" w:rsidRPr="005A79FE" w:rsidRDefault="00BD2130" w:rsidP="00BD2130">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380372D5" w14:textId="77777777" w:rsidR="00BD2130" w:rsidRDefault="00BD2130" w:rsidP="00BD2130">
    <w:pPr>
      <w:pStyle w:val="Piedepgina"/>
      <w:jc w:val="center"/>
      <w:rPr>
        <w:lang w:val="es-ES"/>
      </w:rPr>
    </w:pPr>
    <w:r>
      <w:rPr>
        <w:noProof/>
      </w:rPr>
      <w:drawing>
        <wp:inline distT="0" distB="0" distL="0" distR="0" wp14:anchorId="3047CD9E" wp14:editId="4DA7E8DC">
          <wp:extent cx="4241994" cy="595165"/>
          <wp:effectExtent l="0" t="0" r="6350" b="0"/>
          <wp:docPr id="698997578" name="Imagen 1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997578" name="Imagen 12"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E2163" w14:textId="77777777" w:rsidR="00E80F89" w:rsidRDefault="00E80F89" w:rsidP="00FC2E63">
      <w:pPr>
        <w:spacing w:after="0" w:line="240" w:lineRule="auto"/>
      </w:pPr>
      <w:r>
        <w:separator/>
      </w:r>
    </w:p>
  </w:footnote>
  <w:footnote w:type="continuationSeparator" w:id="0">
    <w:p w14:paraId="34D8B648" w14:textId="77777777" w:rsidR="00E80F89" w:rsidRDefault="00E80F89" w:rsidP="00FC2E63">
      <w:pPr>
        <w:spacing w:after="0" w:line="240" w:lineRule="auto"/>
      </w:pPr>
      <w:r>
        <w:continuationSeparator/>
      </w:r>
    </w:p>
  </w:footnote>
  <w:footnote w:type="continuationNotice" w:id="1">
    <w:p w14:paraId="39B43A00" w14:textId="77777777" w:rsidR="00E80F89" w:rsidRDefault="00E80F89">
      <w:pPr>
        <w:spacing w:after="0" w:line="240" w:lineRule="auto"/>
      </w:pPr>
    </w:p>
  </w:footnote>
  <w:footnote w:id="2">
    <w:p w14:paraId="10977FDD" w14:textId="77777777" w:rsidR="00FC2E63" w:rsidRPr="00A47560" w:rsidRDefault="00FC2E63" w:rsidP="009B356D">
      <w:pPr>
        <w:pStyle w:val="Textonotapie"/>
        <w:ind w:firstLine="708"/>
        <w:jc w:val="both"/>
        <w:rPr>
          <w:rFonts w:ascii="Arial" w:eastAsia="Times New Roman" w:hAnsi="Arial" w:cs="Arial"/>
          <w:color w:val="000000"/>
          <w:sz w:val="19"/>
          <w:szCs w:val="19"/>
          <w:lang w:eastAsia="es-CO"/>
        </w:rPr>
      </w:pPr>
      <w:r w:rsidRPr="00A47560">
        <w:rPr>
          <w:rStyle w:val="Refdenotaalpie"/>
          <w:rFonts w:ascii="Arial" w:hAnsi="Arial" w:cs="Arial"/>
          <w:color w:val="000000"/>
          <w:sz w:val="19"/>
          <w:szCs w:val="19"/>
        </w:rPr>
        <w:footnoteRef/>
      </w:r>
      <w:r w:rsidRPr="00A47560">
        <w:rPr>
          <w:rFonts w:ascii="Arial" w:hAnsi="Arial" w:cs="Arial"/>
          <w:color w:val="000000"/>
          <w:sz w:val="19"/>
          <w:szCs w:val="19"/>
        </w:rPr>
        <w:t xml:space="preserve"> </w:t>
      </w:r>
      <w:r w:rsidRPr="00A47560">
        <w:rPr>
          <w:rFonts w:ascii="Arial" w:eastAsia="Times New Roman" w:hAnsi="Arial" w:cs="Arial"/>
          <w:color w:val="000000"/>
          <w:sz w:val="19"/>
          <w:szCs w:val="19"/>
          <w:lang w:eastAsia="es-CO"/>
        </w:rPr>
        <w:t>Consejo de Estado. Sala de Consulta y Servicio Civil. Concepto del 20 de mayo de 2010. Exp. 1.992. C.P. Enrique José Arboleda Perdomo.</w:t>
      </w:r>
    </w:p>
    <w:p w14:paraId="1F10FA4F" w14:textId="77777777" w:rsidR="00FC2E63" w:rsidRPr="00A47560" w:rsidRDefault="00FC2E63" w:rsidP="009B356D">
      <w:pPr>
        <w:pStyle w:val="Textonotapie"/>
        <w:ind w:firstLine="708"/>
        <w:jc w:val="both"/>
        <w:rPr>
          <w:rFonts w:ascii="Arial" w:eastAsia="Times New Roman" w:hAnsi="Arial" w:cs="Arial"/>
          <w:color w:val="000000"/>
          <w:sz w:val="19"/>
          <w:szCs w:val="19"/>
          <w:lang w:eastAsia="es-CO"/>
        </w:rPr>
      </w:pPr>
    </w:p>
  </w:footnote>
  <w:footnote w:id="3">
    <w:p w14:paraId="695F64F0" w14:textId="77777777" w:rsidR="00FC2E63" w:rsidRPr="00A47560" w:rsidRDefault="00FC2E63" w:rsidP="009B356D">
      <w:pPr>
        <w:pStyle w:val="Textonotapie"/>
        <w:ind w:firstLine="708"/>
        <w:jc w:val="both"/>
        <w:rPr>
          <w:rFonts w:ascii="Arial" w:eastAsia="Times New Roman" w:hAnsi="Arial" w:cs="Arial"/>
          <w:color w:val="000000"/>
          <w:sz w:val="19"/>
          <w:szCs w:val="19"/>
          <w:lang w:eastAsia="es-CO"/>
        </w:rPr>
      </w:pPr>
      <w:r w:rsidRPr="00A47560">
        <w:rPr>
          <w:rStyle w:val="Refdenotaalpie"/>
          <w:rFonts w:ascii="Arial" w:hAnsi="Arial" w:cs="Arial"/>
          <w:color w:val="000000"/>
          <w:sz w:val="19"/>
          <w:szCs w:val="19"/>
        </w:rPr>
        <w:footnoteRef/>
      </w:r>
      <w:r w:rsidRPr="00A47560">
        <w:rPr>
          <w:rFonts w:ascii="Arial" w:hAnsi="Arial" w:cs="Arial"/>
          <w:color w:val="000000"/>
          <w:sz w:val="19"/>
          <w:szCs w:val="19"/>
        </w:rPr>
        <w:t xml:space="preserve"> </w:t>
      </w:r>
      <w:r w:rsidRPr="00A47560">
        <w:rPr>
          <w:rFonts w:ascii="Arial" w:eastAsia="Times New Roman" w:hAnsi="Arial" w:cs="Arial"/>
          <w:color w:val="000000"/>
          <w:sz w:val="19"/>
          <w:szCs w:val="19"/>
          <w:lang w:eastAsia="es-CO"/>
        </w:rPr>
        <w:t>Ver conceptos: C-008 del  4 de mayo de 2020, C-267 del 4 de mayo de 2020, C-283 del 4 de mayo de 2020, C-365 del 30 de junio de 2020 y C-730 del 14 de diciembre del 2020 y C-779 de 18 de enero de 2021.</w:t>
      </w:r>
    </w:p>
  </w:footnote>
  <w:footnote w:id="4">
    <w:p w14:paraId="0BB04CE4" w14:textId="77777777" w:rsidR="00FC2E63" w:rsidRPr="00E36193" w:rsidRDefault="00FC2E63" w:rsidP="009B356D">
      <w:pPr>
        <w:pStyle w:val="Textonotapie"/>
        <w:ind w:firstLine="708"/>
        <w:jc w:val="both"/>
        <w:rPr>
          <w:rFonts w:ascii="Arial" w:hAnsi="Arial" w:cs="Arial"/>
          <w:sz w:val="19"/>
          <w:szCs w:val="19"/>
        </w:rPr>
      </w:pPr>
      <w:r w:rsidRPr="00E36193">
        <w:rPr>
          <w:rStyle w:val="Refdenotaalpie"/>
          <w:rFonts w:ascii="Arial" w:hAnsi="Arial" w:cs="Arial"/>
          <w:sz w:val="19"/>
          <w:szCs w:val="19"/>
        </w:rPr>
        <w:footnoteRef/>
      </w:r>
      <w:r w:rsidRPr="00E36193">
        <w:rPr>
          <w:rFonts w:ascii="Arial" w:hAnsi="Arial" w:cs="Arial"/>
          <w:sz w:val="19"/>
          <w:szCs w:val="19"/>
        </w:rPr>
        <w:t xml:space="preserve"> Solo se profundizará en dos de ellos, por tener relación con el esquema general de subsanabilidad, en este sentido, el tercer aspecto, en que no se profundizará en este texto, </w:t>
      </w:r>
      <w:r>
        <w:rPr>
          <w:rFonts w:ascii="Arial" w:hAnsi="Arial" w:cs="Arial"/>
          <w:sz w:val="19"/>
          <w:szCs w:val="19"/>
        </w:rPr>
        <w:t>se deriva de lo establecido en el parágrafo 3 del artículo 5 de la Ley 1150 de 2007, incluido por el artículo 5 de la Ley 1882 de 2018: «</w:t>
      </w:r>
      <w:r w:rsidRPr="00E07D2A">
        <w:rPr>
          <w:rFonts w:ascii="Arial" w:hAnsi="Arial" w:cs="Arial"/>
          <w:sz w:val="19"/>
          <w:szCs w:val="19"/>
        </w:rPr>
        <w:t>P</w:t>
      </w:r>
      <w:r>
        <w:rPr>
          <w:rFonts w:ascii="Arial" w:hAnsi="Arial" w:cs="Arial"/>
          <w:sz w:val="19"/>
          <w:szCs w:val="19"/>
        </w:rPr>
        <w:t>arágrafo</w:t>
      </w:r>
      <w:r w:rsidRPr="00E07D2A">
        <w:rPr>
          <w:rFonts w:ascii="Arial" w:hAnsi="Arial" w:cs="Arial"/>
          <w:sz w:val="19"/>
          <w:szCs w:val="19"/>
        </w:rPr>
        <w:t xml:space="preserve"> 3. La no entrega de la garantía de seriedad junto con la propuesta no será subsanable y será causal de rechazo de la misma</w:t>
      </w:r>
      <w:r>
        <w:rPr>
          <w:rFonts w:ascii="Arial" w:hAnsi="Arial" w:cs="Arial"/>
          <w:sz w:val="19"/>
          <w:szCs w:val="19"/>
        </w:rPr>
        <w:t>»</w:t>
      </w:r>
      <w:r w:rsidRPr="00E07D2A">
        <w:rPr>
          <w:rFonts w:ascii="Arial" w:hAnsi="Arial" w:cs="Arial"/>
          <w:sz w:val="19"/>
          <w:szCs w:val="19"/>
        </w:rPr>
        <w:t>.</w:t>
      </w:r>
      <w:r w:rsidRPr="00E36193">
        <w:rPr>
          <w:rFonts w:ascii="Arial" w:hAnsi="Arial" w:cs="Arial"/>
          <w:sz w:val="19"/>
          <w:szCs w:val="19"/>
        </w:rPr>
        <w:t xml:space="preserve"> </w:t>
      </w:r>
    </w:p>
    <w:p w14:paraId="05828A6B" w14:textId="77777777" w:rsidR="00FC2E63" w:rsidRPr="00E36193" w:rsidRDefault="00FC2E63" w:rsidP="009B356D">
      <w:pPr>
        <w:pStyle w:val="Textonotapie"/>
        <w:ind w:firstLine="708"/>
        <w:rPr>
          <w:lang w:val="es-CO"/>
        </w:rPr>
      </w:pPr>
    </w:p>
  </w:footnote>
  <w:footnote w:id="5">
    <w:p w14:paraId="7C04D833" w14:textId="77777777" w:rsidR="00FC2E63" w:rsidRPr="005C4AD9" w:rsidRDefault="00FC2E63" w:rsidP="00EB70EC">
      <w:pPr>
        <w:pBdr>
          <w:top w:val="nil"/>
          <w:left w:val="nil"/>
          <w:bottom w:val="nil"/>
          <w:right w:val="nil"/>
          <w:between w:val="nil"/>
        </w:pBdr>
        <w:spacing w:after="0" w:line="240" w:lineRule="auto"/>
        <w:ind w:firstLine="709"/>
        <w:jc w:val="both"/>
        <w:rPr>
          <w:rFonts w:ascii="Arial" w:eastAsia="Arial" w:hAnsi="Arial" w:cs="Arial"/>
          <w:color w:val="000000"/>
          <w:sz w:val="19"/>
          <w:szCs w:val="19"/>
        </w:rPr>
      </w:pPr>
      <w:r w:rsidRPr="00970E89">
        <w:rPr>
          <w:rFonts w:ascii="Arial" w:hAnsi="Arial" w:cs="Arial"/>
          <w:sz w:val="19"/>
          <w:szCs w:val="19"/>
          <w:vertAlign w:val="superscript"/>
        </w:rPr>
        <w:footnoteRef/>
      </w:r>
      <w:r w:rsidRPr="00970E89">
        <w:rPr>
          <w:rFonts w:ascii="Arial" w:eastAsia="Arial" w:hAnsi="Arial" w:cs="Arial"/>
          <w:color w:val="000000"/>
          <w:sz w:val="19"/>
          <w:szCs w:val="19"/>
          <w:vertAlign w:val="superscript"/>
        </w:rPr>
        <w:t xml:space="preserve"> </w:t>
      </w:r>
      <w:r w:rsidRPr="00970E89">
        <w:rPr>
          <w:rFonts w:ascii="Arial" w:eastAsia="Arial" w:hAnsi="Arial" w:cs="Arial"/>
          <w:color w:val="000000"/>
          <w:sz w:val="19"/>
          <w:szCs w:val="19"/>
        </w:rPr>
        <w:t>Ley 1150 de 2007, artículo 5, parágrafo 4°: «En aquellos procesos de selección en los que se utilice el meca</w:t>
      </w:r>
      <w:r w:rsidRPr="005C4AD9">
        <w:rPr>
          <w:rFonts w:ascii="Arial" w:eastAsia="Arial" w:hAnsi="Arial" w:cs="Arial"/>
          <w:color w:val="000000"/>
          <w:sz w:val="19"/>
          <w:szCs w:val="19"/>
        </w:rPr>
        <w:t>nismo de subasta, los documentos referentes a la futura contratación o a proponente, no necesarios para la comparación de las propuestas, deberán ser solicitados hasta el momento previo a su realización».</w:t>
      </w:r>
    </w:p>
  </w:footnote>
  <w:footnote w:id="6">
    <w:p w14:paraId="60E7189B" w14:textId="77777777" w:rsidR="00FC2E63" w:rsidRPr="00FC2E63" w:rsidRDefault="00FC2E63" w:rsidP="009B356D">
      <w:pPr>
        <w:pStyle w:val="Textonotapie"/>
        <w:ind w:firstLine="708"/>
        <w:rPr>
          <w:rFonts w:ascii="Arial" w:hAnsi="Arial" w:cs="Arial"/>
          <w:color w:val="000000"/>
          <w:sz w:val="19"/>
          <w:szCs w:val="19"/>
          <w:lang w:val="es-ES"/>
        </w:rPr>
      </w:pPr>
      <w:r w:rsidRPr="00FC2E63">
        <w:rPr>
          <w:rFonts w:ascii="Arial" w:eastAsia="Arial" w:hAnsi="Arial" w:cs="Arial"/>
          <w:color w:val="000000"/>
          <w:sz w:val="19"/>
          <w:szCs w:val="19"/>
          <w:vertAlign w:val="superscript"/>
        </w:rPr>
        <w:footnoteRef/>
      </w:r>
      <w:r w:rsidRPr="00FC2E63">
        <w:rPr>
          <w:rFonts w:ascii="Arial" w:eastAsia="Arial" w:hAnsi="Arial" w:cs="Arial"/>
          <w:color w:val="000000"/>
          <w:sz w:val="19"/>
          <w:szCs w:val="19"/>
          <w:vertAlign w:val="superscript"/>
          <w:lang w:val="es-ES"/>
        </w:rPr>
        <w:t xml:space="preserve"> </w:t>
      </w:r>
      <w:r w:rsidRPr="00FC2E63">
        <w:rPr>
          <w:rFonts w:ascii="Arial" w:eastAsia="Arial" w:hAnsi="Arial" w:cs="Arial"/>
          <w:color w:val="000000"/>
          <w:sz w:val="19"/>
          <w:szCs w:val="19"/>
          <w:lang w:val="es-ES"/>
        </w:rPr>
        <w:t>Consejo de Estado. Sala de Consulta y Servicio Civil. Concepto del 20 de mayo de 2010. No. de Radicado: 11001-03-06-000-2010-00034-00(1992). C.P. Enrique José Arboleda Perdomo.</w:t>
      </w:r>
    </w:p>
    <w:p w14:paraId="1CA7EAB9" w14:textId="77777777" w:rsidR="00FC2E63" w:rsidRPr="00FC2E63" w:rsidRDefault="00FC2E63" w:rsidP="009B356D">
      <w:pPr>
        <w:pStyle w:val="Textonotapie"/>
        <w:ind w:firstLine="708"/>
        <w:rPr>
          <w:rFonts w:ascii="Arial" w:hAnsi="Arial" w:cs="Arial"/>
          <w:color w:val="000000"/>
          <w:sz w:val="19"/>
          <w:szCs w:val="19"/>
        </w:rPr>
      </w:pPr>
    </w:p>
  </w:footnote>
  <w:footnote w:id="7">
    <w:p w14:paraId="0DE937AD" w14:textId="77777777" w:rsidR="00FC2E63" w:rsidRPr="005C4AD9" w:rsidRDefault="00FC2E63" w:rsidP="009B356D">
      <w:pPr>
        <w:pStyle w:val="Car1"/>
        <w:ind w:firstLine="708"/>
        <w:jc w:val="both"/>
        <w:rPr>
          <w:rFonts w:ascii="Arial" w:hAnsi="Arial" w:cs="Arial"/>
          <w:sz w:val="19"/>
          <w:szCs w:val="19"/>
        </w:rPr>
      </w:pPr>
      <w:r w:rsidRPr="00970E89">
        <w:rPr>
          <w:rStyle w:val="Refdenotaalpie"/>
          <w:rFonts w:ascii="Arial" w:hAnsi="Arial" w:cs="Arial"/>
          <w:sz w:val="19"/>
          <w:szCs w:val="19"/>
        </w:rPr>
        <w:footnoteRef/>
      </w:r>
      <w:r w:rsidRPr="00970E89">
        <w:rPr>
          <w:rFonts w:ascii="Arial" w:hAnsi="Arial" w:cs="Arial"/>
          <w:sz w:val="19"/>
          <w:szCs w:val="19"/>
        </w:rPr>
        <w:t xml:space="preserve"> Ley 80 de 1993, artículo 4 parágrafo 3º: «En los procesos de licitación pública para seleccionar contratistas de obra pública, las entidades estatales deberán publicar el informe de evaluación relacionado con los documentos de los requisitos habilitantes </w:t>
      </w:r>
      <w:r w:rsidRPr="005C4AD9">
        <w:rPr>
          <w:rFonts w:ascii="Arial" w:hAnsi="Arial" w:cs="Arial"/>
          <w:sz w:val="19"/>
          <w:szCs w:val="19"/>
        </w:rPr>
        <w:t>y los requisitos que sean objeto de puntuación diferente a la oferta económica incluida en el primer sobre, dentro del plazo establecido en el pliego de condiciones.</w:t>
      </w:r>
    </w:p>
    <w:p w14:paraId="0D631534" w14:textId="7338D0B9" w:rsidR="000917A9" w:rsidRPr="000917A9" w:rsidRDefault="00FC2E63" w:rsidP="00EB70EC">
      <w:pPr>
        <w:pStyle w:val="Car1"/>
        <w:ind w:firstLine="708"/>
        <w:jc w:val="both"/>
      </w:pPr>
      <w:r w:rsidRPr="005C4AD9">
        <w:rPr>
          <w:rFonts w:ascii="Arial" w:hAnsi="Arial" w:cs="Arial"/>
          <w:sz w:val="19"/>
          <w:szCs w:val="19"/>
        </w:rPr>
        <w:t>»En estos procesos el informe permanecerá publicado en el Secop durante cinco (5) días hábiles, término hasta el cual los proponentes podrán hacer las observaciones que consideren y entregar los documentos y la información solicitada por la entidad estatal. Al finalizar este plazo, la entidad estatal se pronunciará sobre las observaciones y publicará el informe final de evaluación de los requisitos habilitantes y los requisitos objeto de puntuación distintos a la oferta económica»</w:t>
      </w:r>
      <w:r w:rsidR="000D1D00">
        <w:rPr>
          <w:rFonts w:ascii="Arial" w:hAnsi="Arial" w:cs="Arial"/>
          <w:sz w:val="19"/>
          <w:szCs w:val="19"/>
        </w:rPr>
        <w:t>.</w:t>
      </w:r>
    </w:p>
  </w:footnote>
  <w:footnote w:id="8">
    <w:p w14:paraId="1013B18B" w14:textId="41F62986" w:rsidR="000917A9" w:rsidRPr="000917A9" w:rsidRDefault="000917A9" w:rsidP="00EB70EC">
      <w:pPr>
        <w:pStyle w:val="Textonotapie"/>
        <w:ind w:firstLine="708"/>
        <w:jc w:val="both"/>
        <w:rPr>
          <w:lang w:val="es-CO"/>
        </w:rPr>
      </w:pPr>
      <w:r>
        <w:rPr>
          <w:rStyle w:val="Refdenotaalpie"/>
        </w:rPr>
        <w:footnoteRef/>
      </w:r>
      <w:r>
        <w:t xml:space="preserve"> </w:t>
      </w:r>
      <w:r>
        <w:rPr>
          <w:rFonts w:ascii="Arial" w:hAnsi="Arial" w:cs="Arial"/>
          <w:color w:val="000000"/>
          <w:sz w:val="18"/>
          <w:szCs w:val="18"/>
        </w:rPr>
        <w:t>Por tal, entendemos una forma de cálculo que toma divisiones enteras. Aplicada esa regla a los días, conduce a que no se compute de momento a momento (esto es: a que se rechace el cálculo natural), sino de medianoche a medianoche, con lo cual se desprecia la fracción</w:t>
      </w:r>
      <w:r w:rsidR="000D1D00">
        <w:rPr>
          <w:rFonts w:ascii="Arial" w:hAnsi="Arial" w:cs="Arial"/>
          <w:color w:val="000000"/>
          <w:sz w:val="18"/>
          <w:szCs w:val="18"/>
        </w:rPr>
        <w:t>. (</w:t>
      </w:r>
      <w:r w:rsidR="000D1D00" w:rsidRPr="00727833">
        <w:rPr>
          <w:rFonts w:ascii="Arial" w:hAnsi="Arial" w:cs="Arial"/>
          <w:spacing w:val="2"/>
          <w:sz w:val="19"/>
          <w:szCs w:val="19"/>
          <w:shd w:val="clear" w:color="auto" w:fill="FFFFFF"/>
        </w:rPr>
        <w:t>Pinilla Galvis, Álvaro 2013. Breves comentarios a las reglas vigentes para el cómputo de plazos o términos de origen legal. </w:t>
      </w:r>
      <w:r w:rsidR="000D1D00" w:rsidRPr="00727833">
        <w:rPr>
          <w:rFonts w:ascii="Arial" w:hAnsi="Arial" w:cs="Arial"/>
          <w:i/>
          <w:iCs/>
          <w:spacing w:val="2"/>
          <w:sz w:val="19"/>
          <w:szCs w:val="19"/>
          <w:shd w:val="clear" w:color="auto" w:fill="FFFFFF"/>
        </w:rPr>
        <w:t>Revista de Derecho Privado</w:t>
      </w:r>
      <w:r w:rsidR="000D1D00" w:rsidRPr="00727833">
        <w:rPr>
          <w:rFonts w:ascii="Arial" w:hAnsi="Arial" w:cs="Arial"/>
          <w:spacing w:val="2"/>
          <w:sz w:val="19"/>
          <w:szCs w:val="19"/>
          <w:shd w:val="clear" w:color="auto" w:fill="FFFFFF"/>
        </w:rPr>
        <w:t>. 24 (jun. 2013), 283-326</w:t>
      </w:r>
    </w:p>
  </w:footnote>
  <w:footnote w:id="9">
    <w:p w14:paraId="69F273C4" w14:textId="7BC26F1B" w:rsidR="00C54BFF" w:rsidRPr="00C54BFF" w:rsidRDefault="00C54BFF" w:rsidP="009B356D">
      <w:pPr>
        <w:pStyle w:val="Textonotapie"/>
        <w:ind w:firstLine="708"/>
        <w:jc w:val="both"/>
        <w:rPr>
          <w:lang w:val="es-CO"/>
        </w:rPr>
      </w:pPr>
      <w:r>
        <w:rPr>
          <w:rStyle w:val="Refdenotaalpie"/>
        </w:rPr>
        <w:footnoteRef/>
      </w:r>
      <w:r>
        <w:t xml:space="preserve"> </w:t>
      </w:r>
      <w:r w:rsidRPr="00727833">
        <w:rPr>
          <w:rFonts w:ascii="Arial" w:hAnsi="Arial" w:cs="Arial"/>
          <w:spacing w:val="2"/>
          <w:sz w:val="19"/>
          <w:szCs w:val="19"/>
          <w:shd w:val="clear" w:color="auto" w:fill="FFFFFF"/>
        </w:rPr>
        <w:t>Pinilla Galvis, Álvaro 2013. Breves comentarios a las reglas vigentes para el cómputo de plazos o términos de origen legal. </w:t>
      </w:r>
      <w:r w:rsidRPr="00727833">
        <w:rPr>
          <w:rFonts w:ascii="Arial" w:hAnsi="Arial" w:cs="Arial"/>
          <w:i/>
          <w:iCs/>
          <w:spacing w:val="2"/>
          <w:sz w:val="19"/>
          <w:szCs w:val="19"/>
          <w:shd w:val="clear" w:color="auto" w:fill="FFFFFF"/>
        </w:rPr>
        <w:t>Revista de Derecho Privado</w:t>
      </w:r>
      <w:r w:rsidRPr="00727833">
        <w:rPr>
          <w:rFonts w:ascii="Arial" w:hAnsi="Arial" w:cs="Arial"/>
          <w:spacing w:val="2"/>
          <w:sz w:val="19"/>
          <w:szCs w:val="19"/>
          <w:shd w:val="clear" w:color="auto" w:fill="FFFFFF"/>
        </w:rPr>
        <w:t>. 24 (jun. 2013), 283-326.</w:t>
      </w:r>
    </w:p>
  </w:footnote>
  <w:footnote w:id="10">
    <w:p w14:paraId="62C2DD07" w14:textId="5BB81789" w:rsidR="00DD2C07" w:rsidRPr="007F19C0" w:rsidRDefault="00D37A1B" w:rsidP="00EB70EC">
      <w:pPr>
        <w:spacing w:after="0" w:line="240" w:lineRule="auto"/>
        <w:ind w:firstLine="709"/>
        <w:jc w:val="both"/>
        <w:rPr>
          <w:rFonts w:ascii="Arial" w:eastAsia="Calibri" w:hAnsi="Arial" w:cs="Arial"/>
          <w:color w:val="000000"/>
          <w:sz w:val="19"/>
          <w:szCs w:val="19"/>
        </w:rPr>
      </w:pPr>
      <w:r>
        <w:rPr>
          <w:rStyle w:val="Refdenotaalpie"/>
        </w:rPr>
        <w:footnoteRef/>
      </w:r>
      <w:r>
        <w:t xml:space="preserve"> </w:t>
      </w:r>
      <w:r w:rsidR="00DD2C07" w:rsidRPr="007F19C0">
        <w:rPr>
          <w:rFonts w:ascii="Arial" w:eastAsia="Times New Roman" w:hAnsi="Arial" w:cs="Arial"/>
          <w:sz w:val="19"/>
          <w:szCs w:val="19"/>
          <w:shd w:val="clear" w:color="auto" w:fill="FFFFFF"/>
          <w:lang w:val="es-ES_tradnl" w:eastAsia="es-ES_tradnl"/>
        </w:rPr>
        <w:t>La Resoluci</w:t>
      </w:r>
      <w:r w:rsidR="00502F4A">
        <w:rPr>
          <w:rFonts w:ascii="Arial" w:eastAsia="Times New Roman" w:hAnsi="Arial" w:cs="Arial"/>
          <w:sz w:val="19"/>
          <w:szCs w:val="19"/>
          <w:shd w:val="clear" w:color="auto" w:fill="FFFFFF"/>
          <w:lang w:val="es-ES_tradnl" w:eastAsia="es-ES_tradnl"/>
        </w:rPr>
        <w:t xml:space="preserve">ones que adoptan los documentos tipo de infraestructura de transporte y de agua potable y saneamiento básico </w:t>
      </w:r>
      <w:r w:rsidR="00DD2C07" w:rsidRPr="007F19C0">
        <w:rPr>
          <w:rFonts w:ascii="Arial" w:eastAsia="Times New Roman" w:hAnsi="Arial" w:cs="Arial"/>
          <w:sz w:val="19"/>
          <w:szCs w:val="19"/>
          <w:shd w:val="clear" w:color="auto" w:fill="FFFFFF"/>
          <w:lang w:val="es-ES_tradnl" w:eastAsia="es-ES_tradnl"/>
        </w:rPr>
        <w:t>dispone</w:t>
      </w:r>
      <w:r w:rsidR="00502F4A">
        <w:rPr>
          <w:rFonts w:ascii="Arial" w:eastAsia="Times New Roman" w:hAnsi="Arial" w:cs="Arial"/>
          <w:sz w:val="19"/>
          <w:szCs w:val="19"/>
          <w:shd w:val="clear" w:color="auto" w:fill="FFFFFF"/>
          <w:lang w:val="es-ES_tradnl" w:eastAsia="es-ES_tradnl"/>
        </w:rPr>
        <w:t>n</w:t>
      </w:r>
      <w:r w:rsidR="00DD2C07" w:rsidRPr="007F19C0">
        <w:rPr>
          <w:rFonts w:ascii="Arial" w:eastAsia="Times New Roman" w:hAnsi="Arial" w:cs="Arial"/>
          <w:sz w:val="19"/>
          <w:szCs w:val="19"/>
          <w:shd w:val="clear" w:color="auto" w:fill="FFFFFF"/>
          <w:lang w:val="es-ES_tradnl" w:eastAsia="es-ES_tradnl"/>
        </w:rPr>
        <w:t xml:space="preserve"> sobre la inalterabilidad de esos documentos tipo</w:t>
      </w:r>
      <w:r w:rsidR="00502F4A">
        <w:rPr>
          <w:rFonts w:ascii="Arial" w:eastAsia="Times New Roman" w:hAnsi="Arial" w:cs="Arial"/>
          <w:sz w:val="19"/>
          <w:szCs w:val="19"/>
          <w:shd w:val="clear" w:color="auto" w:fill="FFFFFF"/>
          <w:lang w:val="es-ES_tradnl" w:eastAsia="es-ES_tradnl"/>
        </w:rPr>
        <w:t xml:space="preserve"> </w:t>
      </w:r>
      <w:r w:rsidR="00DD2C07" w:rsidRPr="007F19C0">
        <w:rPr>
          <w:rFonts w:ascii="Arial" w:eastAsia="Times New Roman" w:hAnsi="Arial" w:cs="Arial"/>
          <w:sz w:val="19"/>
          <w:szCs w:val="19"/>
          <w:shd w:val="clear" w:color="auto" w:fill="FFFFFF"/>
          <w:lang w:val="es-ES_tradnl" w:eastAsia="es-ES_tradnl"/>
        </w:rPr>
        <w:t>«</w:t>
      </w:r>
      <w:r w:rsidR="00DD2C07" w:rsidRPr="007F19C0">
        <w:rPr>
          <w:rFonts w:ascii="Arial" w:hAnsi="Arial" w:cs="Arial"/>
          <w:spacing w:val="2"/>
          <w:sz w:val="19"/>
          <w:szCs w:val="19"/>
          <w:shd w:val="clear" w:color="auto" w:fill="FFFFFF"/>
        </w:rPr>
        <w:t xml:space="preserve">Las entidades estatales contratantes no podrán incluir o modificar dentro de los documentos del proceso de selección las condiciones habilitantes, los factores técnicos y económicos de escogencia y los sistemas-de ponderación que han sido definidos y señalados en los Documentos Tipo». </w:t>
      </w:r>
      <w:r w:rsidR="00DD2C07" w:rsidRPr="007F19C0">
        <w:rPr>
          <w:rFonts w:ascii="Arial" w:eastAsia="Calibri" w:hAnsi="Arial" w:cs="Arial"/>
          <w:color w:val="000000"/>
          <w:sz w:val="19"/>
          <w:szCs w:val="19"/>
        </w:rPr>
        <w:t>Adicionalmente, la parte introductoria del documento base, de estos documentos tipo</w:t>
      </w:r>
      <w:r w:rsidR="00DD2C07" w:rsidRPr="007F19C0">
        <w:rPr>
          <w:rFonts w:ascii="Arial" w:hAnsi="Arial" w:cs="Arial"/>
          <w:sz w:val="19"/>
          <w:szCs w:val="19"/>
        </w:rPr>
        <w:t>,</w:t>
      </w:r>
      <w:r w:rsidR="00DD2C07" w:rsidRPr="007F19C0">
        <w:rPr>
          <w:rFonts w:ascii="Arial" w:eastAsia="Calibri" w:hAnsi="Arial" w:cs="Arial"/>
          <w:color w:val="000000"/>
          <w:sz w:val="19"/>
          <w:szCs w:val="19"/>
        </w:rPr>
        <w:t xml:space="preserve"> dispone que los aspectos incluidos en corchetes y resaltado gris deben ser diligenciados por la entidad y que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del pliego de condiciones. </w:t>
      </w:r>
    </w:p>
    <w:p w14:paraId="7C134C81" w14:textId="68A63EE4" w:rsidR="00D37A1B" w:rsidRPr="00D37A1B" w:rsidRDefault="00D37A1B" w:rsidP="009B356D">
      <w:pPr>
        <w:pStyle w:val="Textonotapie"/>
        <w:rPr>
          <w:lang w:val="es-CO"/>
        </w:rPr>
      </w:pPr>
    </w:p>
  </w:footnote>
  <w:footnote w:id="11">
    <w:p w14:paraId="224B27FB" w14:textId="77777777" w:rsidR="008A2777" w:rsidRPr="00133C4A" w:rsidRDefault="008A2777" w:rsidP="009B356D">
      <w:pPr>
        <w:pStyle w:val="Textonotapie"/>
        <w:ind w:firstLine="709"/>
        <w:jc w:val="both"/>
        <w:rPr>
          <w:rFonts w:ascii="Arial" w:hAnsi="Arial" w:cs="Arial"/>
          <w:color w:val="000000" w:themeColor="text1"/>
          <w:sz w:val="19"/>
          <w:szCs w:val="19"/>
        </w:rPr>
      </w:pPr>
      <w:r w:rsidRPr="00133C4A">
        <w:rPr>
          <w:rStyle w:val="Refdenotaalpie"/>
          <w:rFonts w:ascii="Arial" w:hAnsi="Arial" w:cs="Arial"/>
          <w:color w:val="000000" w:themeColor="text1"/>
          <w:sz w:val="19"/>
          <w:szCs w:val="19"/>
        </w:rPr>
        <w:footnoteRef/>
      </w:r>
      <w:r w:rsidRPr="00133C4A">
        <w:rPr>
          <w:rFonts w:ascii="Arial" w:hAnsi="Arial" w:cs="Arial"/>
          <w:color w:val="000000" w:themeColor="text1"/>
          <w:sz w:val="19"/>
          <w:szCs w:val="19"/>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38497C7C" w14:textId="77777777" w:rsidR="008A2777" w:rsidRPr="00133C4A" w:rsidRDefault="008A2777">
      <w:pPr>
        <w:pStyle w:val="Textonotapie"/>
        <w:ind w:firstLine="709"/>
        <w:jc w:val="both"/>
        <w:rPr>
          <w:rFonts w:ascii="Arial" w:hAnsi="Arial" w:cs="Arial"/>
          <w:color w:val="000000" w:themeColor="text1"/>
          <w:sz w:val="19"/>
          <w:szCs w:val="19"/>
        </w:rPr>
      </w:pPr>
    </w:p>
  </w:footnote>
  <w:footnote w:id="12">
    <w:p w14:paraId="763972A4" w14:textId="77777777" w:rsidR="008A2777" w:rsidRDefault="008A2777" w:rsidP="00EB70EC">
      <w:pPr>
        <w:spacing w:after="0" w:line="240" w:lineRule="auto"/>
        <w:ind w:firstLine="709"/>
        <w:jc w:val="both"/>
        <w:rPr>
          <w:rFonts w:ascii="Arial" w:hAnsi="Arial" w:cs="Arial"/>
          <w:color w:val="000000" w:themeColor="text1"/>
          <w:sz w:val="19"/>
          <w:szCs w:val="19"/>
          <w:lang w:val="es-ES"/>
        </w:rPr>
      </w:pPr>
      <w:r w:rsidRPr="00133C4A">
        <w:rPr>
          <w:rStyle w:val="Refdenotaalpie"/>
          <w:rFonts w:ascii="Arial" w:hAnsi="Arial" w:cs="Arial"/>
          <w:color w:val="000000" w:themeColor="text1"/>
          <w:sz w:val="19"/>
          <w:szCs w:val="19"/>
        </w:rPr>
        <w:footnoteRef/>
      </w:r>
      <w:r w:rsidRPr="00133C4A">
        <w:rPr>
          <w:rFonts w:ascii="Arial" w:hAnsi="Arial" w:cs="Arial"/>
          <w:color w:val="000000" w:themeColor="text1"/>
          <w:sz w:val="19"/>
          <w:szCs w:val="19"/>
        </w:rPr>
        <w:t xml:space="preserve"> </w:t>
      </w:r>
      <w:r w:rsidRPr="00133C4A">
        <w:rPr>
          <w:rFonts w:ascii="Arial" w:hAnsi="Arial" w:cs="Arial"/>
          <w:color w:val="000000" w:themeColor="text1"/>
          <w:sz w:val="19"/>
          <w:szCs w:val="19"/>
          <w:lang w:val="es-ES"/>
        </w:rPr>
        <w:t>En efecto, el artículo 5 del Decreto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14:paraId="14EFF65E" w14:textId="77777777" w:rsidR="008A2777" w:rsidRPr="00133C4A" w:rsidRDefault="008A2777" w:rsidP="00EB70EC">
      <w:pPr>
        <w:spacing w:after="0" w:line="240" w:lineRule="auto"/>
        <w:ind w:firstLine="709"/>
        <w:jc w:val="both"/>
        <w:rPr>
          <w:rFonts w:ascii="Arial" w:hAnsi="Arial" w:cs="Arial"/>
          <w:color w:val="000000" w:themeColor="text1"/>
          <w:sz w:val="19"/>
          <w:szCs w:val="19"/>
          <w:lang w:val="es-ES"/>
        </w:rPr>
      </w:pPr>
    </w:p>
  </w:footnote>
  <w:footnote w:id="13">
    <w:p w14:paraId="54CB2021" w14:textId="751E4543" w:rsidR="008A2777" w:rsidRPr="000F2B47" w:rsidRDefault="008A2777" w:rsidP="009B356D">
      <w:pPr>
        <w:pStyle w:val="Textonotapie"/>
        <w:ind w:firstLine="708"/>
        <w:jc w:val="both"/>
        <w:rPr>
          <w:rFonts w:ascii="Arial" w:hAnsi="Arial" w:cs="Arial"/>
          <w:sz w:val="19"/>
          <w:szCs w:val="19"/>
        </w:rPr>
      </w:pPr>
      <w:r w:rsidRPr="000F2B47">
        <w:rPr>
          <w:rStyle w:val="Refdenotaalpie"/>
          <w:rFonts w:ascii="Arial" w:hAnsi="Arial" w:cs="Arial"/>
          <w:sz w:val="19"/>
          <w:szCs w:val="19"/>
        </w:rPr>
        <w:footnoteRef/>
      </w:r>
      <w:r w:rsidRPr="000F2B47">
        <w:rPr>
          <w:rFonts w:ascii="Arial" w:hAnsi="Arial" w:cs="Arial"/>
          <w:sz w:val="19"/>
          <w:szCs w:val="19"/>
        </w:rPr>
        <w:t xml:space="preserve"> </w:t>
      </w:r>
      <w:r>
        <w:rPr>
          <w:rFonts w:ascii="Arial" w:hAnsi="Arial" w:cs="Arial"/>
          <w:sz w:val="19"/>
          <w:szCs w:val="19"/>
        </w:rPr>
        <w:t>La norma dispone que</w:t>
      </w:r>
      <w:r w:rsidRPr="000F2B47">
        <w:rPr>
          <w:rFonts w:ascii="Arial" w:hAnsi="Arial" w:cs="Arial"/>
          <w:sz w:val="19"/>
          <w:szCs w:val="19"/>
        </w:rPr>
        <w:t xml:space="preserve"> </w:t>
      </w:r>
      <w:r>
        <w:rPr>
          <w:rFonts w:ascii="Arial" w:hAnsi="Arial" w:cs="Arial"/>
          <w:sz w:val="19"/>
          <w:szCs w:val="19"/>
        </w:rPr>
        <w:t>«</w:t>
      </w:r>
      <w:r w:rsidRPr="000F2B47">
        <w:rPr>
          <w:rFonts w:ascii="Arial" w:hAnsi="Arial" w:cs="Arial"/>
          <w:sz w:val="19"/>
          <w:szCs w:val="19"/>
        </w:rPr>
        <w:t xml:space="preserve">Cuando el objeto contractual incluya bienes o servicios ajenos a la obra pública de infraestructura </w:t>
      </w:r>
      <w:r w:rsidR="00ED6A7A">
        <w:rPr>
          <w:rFonts w:ascii="Arial" w:hAnsi="Arial" w:cs="Arial"/>
          <w:sz w:val="19"/>
          <w:szCs w:val="19"/>
        </w:rPr>
        <w:t>[…]</w:t>
      </w:r>
      <w:r w:rsidRPr="000F2B47">
        <w:rPr>
          <w:rFonts w:ascii="Arial" w:hAnsi="Arial" w:cs="Arial"/>
          <w:sz w:val="19"/>
          <w:szCs w:val="19"/>
        </w:rPr>
        <w:t xml:space="preserve">, la entidad estatal deberá aplicar los Documentos Tipo. Si de manera excepcional requiere incluir experiencia adicional para evaluar la idoneidad respecto de los bienes o servicios ajenos a la obra pública, deberá seguir los siguientes parámetros:  </w:t>
      </w:r>
    </w:p>
    <w:p w14:paraId="0F9C83BC" w14:textId="77777777" w:rsidR="008A2777" w:rsidRPr="000F2B47" w:rsidRDefault="008A2777">
      <w:pPr>
        <w:pStyle w:val="Textonotapie"/>
        <w:ind w:firstLine="708"/>
        <w:jc w:val="both"/>
        <w:rPr>
          <w:rFonts w:ascii="Arial" w:hAnsi="Arial" w:cs="Arial"/>
          <w:sz w:val="19"/>
          <w:szCs w:val="19"/>
        </w:rPr>
      </w:pPr>
      <w:r w:rsidRPr="000F2B47">
        <w:rPr>
          <w:rFonts w:ascii="Arial" w:hAnsi="Arial" w:cs="Arial"/>
          <w:sz w:val="19"/>
          <w:szCs w:val="19"/>
        </w:rPr>
        <w:t xml:space="preserve">»1.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 </w:t>
      </w:r>
    </w:p>
    <w:p w14:paraId="02766C70" w14:textId="77777777" w:rsidR="008A2777" w:rsidRPr="000F2B47" w:rsidRDefault="008A2777">
      <w:pPr>
        <w:pStyle w:val="Textonotapie"/>
        <w:ind w:firstLine="708"/>
        <w:jc w:val="both"/>
        <w:rPr>
          <w:rFonts w:ascii="Arial" w:hAnsi="Arial" w:cs="Arial"/>
          <w:sz w:val="19"/>
          <w:szCs w:val="19"/>
        </w:rPr>
      </w:pPr>
      <w:r w:rsidRPr="000F2B47">
        <w:rPr>
          <w:rFonts w:ascii="Arial" w:hAnsi="Arial" w:cs="Arial"/>
          <w:sz w:val="19"/>
          <w:szCs w:val="19"/>
        </w:rPr>
        <w:t xml:space="preserve">»2. Conservar los requisitos exigidos en los Documentos Tipo.  </w:t>
      </w:r>
    </w:p>
    <w:p w14:paraId="142AAD74" w14:textId="77777777" w:rsidR="008A2777" w:rsidRDefault="008A2777">
      <w:pPr>
        <w:pStyle w:val="Textonotapie"/>
        <w:ind w:firstLine="708"/>
        <w:jc w:val="both"/>
        <w:rPr>
          <w:rFonts w:ascii="Arial" w:hAnsi="Arial" w:cs="Arial"/>
          <w:sz w:val="19"/>
          <w:szCs w:val="19"/>
        </w:rPr>
      </w:pPr>
      <w:r w:rsidRPr="000F2B47">
        <w:rPr>
          <w:rFonts w:ascii="Arial" w:hAnsi="Arial" w:cs="Arial"/>
          <w:sz w:val="19"/>
          <w:szCs w:val="19"/>
        </w:rPr>
        <w:t>»3. Abstenerse de pedir experiencia exclusiva con entidades estatales, experiencia previa en un territorio específico, limitada en el tiempo o que incluya volúmenes o cantidades de obra específica</w:t>
      </w:r>
    </w:p>
    <w:p w14:paraId="444CE76D" w14:textId="77777777" w:rsidR="008A2777" w:rsidRPr="00D5103D" w:rsidRDefault="008A2777">
      <w:pPr>
        <w:pStyle w:val="Textonotapie"/>
        <w:ind w:firstLine="708"/>
        <w:jc w:val="both"/>
        <w:rPr>
          <w:lang w:val="es-CO"/>
        </w:rPr>
      </w:pPr>
      <w:r>
        <w:rPr>
          <w:rFonts w:ascii="Arial" w:hAnsi="Arial" w:cs="Arial"/>
          <w:sz w:val="19"/>
          <w:szCs w:val="19"/>
        </w:rPr>
        <w:t xml:space="preserve">»4. </w:t>
      </w:r>
      <w:r w:rsidRPr="006A64CE">
        <w:rPr>
          <w:rFonts w:ascii="Arial" w:hAnsi="Arial" w:cs="Arial"/>
          <w:sz w:val="19"/>
          <w:szCs w:val="19"/>
        </w:rPr>
        <w:t>Clasificar la experiencia requerida solo hasta el tercer nivel del Clasificador de Bienes y Servicios e incluir exclusivamente los códigos que estén relacionados directamente con el objeto a contratar</w:t>
      </w:r>
      <w:r w:rsidRPr="000F2B47">
        <w:rPr>
          <w:rFonts w:ascii="Arial" w:hAnsi="Arial" w:cs="Arial"/>
          <w:sz w:val="19"/>
          <w:szCs w:val="19"/>
        </w:rPr>
        <w:t>».</w:t>
      </w:r>
      <w:r>
        <w:t xml:space="preserve">  </w:t>
      </w:r>
    </w:p>
  </w:footnote>
  <w:footnote w:id="14">
    <w:p w14:paraId="65B2832C" w14:textId="77777777" w:rsidR="006A7349" w:rsidRPr="006A7349" w:rsidRDefault="006A7349">
      <w:pPr>
        <w:pStyle w:val="Textonotapie"/>
        <w:ind w:firstLine="708"/>
        <w:jc w:val="both"/>
        <w:rPr>
          <w:rFonts w:ascii="Arial" w:eastAsia="Calibri" w:hAnsi="Arial" w:cs="Arial"/>
          <w:color w:val="000000"/>
          <w:sz w:val="19"/>
          <w:szCs w:val="19"/>
        </w:rPr>
      </w:pPr>
      <w:r w:rsidRPr="006A7349">
        <w:rPr>
          <w:rStyle w:val="Refdenotaalpie"/>
          <w:rFonts w:ascii="Arial" w:hAnsi="Arial" w:cs="Arial"/>
          <w:color w:val="000000"/>
          <w:sz w:val="19"/>
          <w:szCs w:val="19"/>
        </w:rPr>
        <w:footnoteRef/>
      </w:r>
      <w:r w:rsidRPr="006A7349">
        <w:rPr>
          <w:rFonts w:ascii="Arial" w:hAnsi="Arial" w:cs="Arial"/>
          <w:color w:val="000000"/>
          <w:sz w:val="19"/>
          <w:szCs w:val="19"/>
        </w:rPr>
        <w:t xml:space="preserve"> </w:t>
      </w:r>
      <w:r w:rsidRPr="006A7349">
        <w:rPr>
          <w:rFonts w:ascii="Arial" w:eastAsia="Calibri" w:hAnsi="Arial" w:cs="Arial"/>
          <w:color w:val="000000"/>
          <w:sz w:val="19"/>
          <w:szCs w:val="19"/>
        </w:rPr>
        <w:t xml:space="preserve">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0C5F2620" w14:textId="77777777" w:rsidR="006A7349" w:rsidRPr="006A7349" w:rsidRDefault="006A7349">
      <w:pPr>
        <w:pStyle w:val="Textonotapie"/>
        <w:ind w:firstLine="708"/>
        <w:jc w:val="both"/>
        <w:rPr>
          <w:rFonts w:ascii="Arial" w:eastAsia="Calibri" w:hAnsi="Arial" w:cs="Arial"/>
          <w:color w:val="000000"/>
          <w:sz w:val="19"/>
          <w:szCs w:val="19"/>
        </w:rPr>
      </w:pPr>
      <w:r w:rsidRPr="006A7349">
        <w:rPr>
          <w:rFonts w:ascii="Arial" w:eastAsia="Calibri" w:hAnsi="Arial" w:cs="Arial"/>
          <w:color w:val="000000"/>
          <w:sz w:val="19"/>
          <w:szCs w:val="19"/>
        </w:rPr>
        <w:t>[…]</w:t>
      </w:r>
    </w:p>
    <w:p w14:paraId="394645C2" w14:textId="77777777" w:rsidR="006A7349" w:rsidRPr="006A7349" w:rsidRDefault="006A7349">
      <w:pPr>
        <w:pStyle w:val="Textonotapie"/>
        <w:ind w:firstLine="708"/>
        <w:jc w:val="both"/>
        <w:rPr>
          <w:rFonts w:ascii="Arial" w:hAnsi="Arial" w:cs="Arial"/>
          <w:color w:val="000000"/>
          <w:sz w:val="19"/>
          <w:szCs w:val="19"/>
          <w:lang w:val="es-CO"/>
        </w:rPr>
      </w:pPr>
      <w:r w:rsidRPr="006A7349">
        <w:rPr>
          <w:rFonts w:ascii="Arial" w:eastAsia="Calibri" w:hAnsi="Arial" w:cs="Arial"/>
          <w:color w:val="000000"/>
          <w:sz w:val="19"/>
          <w:szCs w:val="19"/>
        </w:rPr>
        <w:t>»Capacidad Residual o K de Contratación: Aptitud de un oferente para cumplir oportuna y cabalmente con el objeto de un contrato de obra, sin que sus otros compromisos contractuales afecten su habilidad de cumplir con el contrato que está en proceso de selección».</w:t>
      </w:r>
      <w:r w:rsidRPr="006A7349">
        <w:rPr>
          <w:rFonts w:ascii="Arial" w:hAnsi="Arial" w:cs="Arial"/>
          <w:color w:val="000000"/>
          <w:sz w:val="19"/>
          <w:szCs w:val="19"/>
          <w:lang w:val="es-CO"/>
        </w:rPr>
        <w:t xml:space="preserve"> </w:t>
      </w:r>
    </w:p>
    <w:p w14:paraId="57EEFCCA" w14:textId="77777777" w:rsidR="006A7349" w:rsidRPr="006A7349" w:rsidRDefault="006A7349">
      <w:pPr>
        <w:pStyle w:val="Textonotapie"/>
        <w:ind w:firstLine="708"/>
        <w:jc w:val="both"/>
        <w:rPr>
          <w:rFonts w:ascii="Arial" w:hAnsi="Arial" w:cs="Arial"/>
          <w:color w:val="000000"/>
          <w:sz w:val="19"/>
          <w:szCs w:val="19"/>
          <w:lang w:val="es-CO"/>
        </w:rPr>
      </w:pPr>
    </w:p>
  </w:footnote>
  <w:footnote w:id="15">
    <w:p w14:paraId="0664BF02" w14:textId="77777777" w:rsidR="006A7349" w:rsidRPr="006A7349" w:rsidRDefault="006A7349">
      <w:pPr>
        <w:pStyle w:val="Textonotapie"/>
        <w:ind w:firstLine="708"/>
        <w:jc w:val="both"/>
        <w:rPr>
          <w:rFonts w:ascii="Arial" w:hAnsi="Arial" w:cs="Arial"/>
          <w:color w:val="000000"/>
          <w:sz w:val="19"/>
          <w:szCs w:val="19"/>
          <w:lang w:val="es-CO"/>
        </w:rPr>
      </w:pPr>
      <w:r w:rsidRPr="006A7349">
        <w:rPr>
          <w:rFonts w:ascii="Arial" w:eastAsia="Calibri" w:hAnsi="Arial" w:cs="Arial"/>
          <w:color w:val="000000"/>
          <w:sz w:val="19"/>
          <w:szCs w:val="19"/>
          <w:vertAlign w:val="superscript"/>
        </w:rPr>
        <w:footnoteRef/>
      </w:r>
      <w:r w:rsidRPr="006A7349">
        <w:rPr>
          <w:rFonts w:ascii="Arial" w:eastAsia="Calibri" w:hAnsi="Arial" w:cs="Arial"/>
          <w:color w:val="000000"/>
          <w:sz w:val="19"/>
          <w:szCs w:val="19"/>
          <w:vertAlign w:val="superscript"/>
        </w:rPr>
        <w:t xml:space="preserve"> </w:t>
      </w:r>
      <w:r w:rsidRPr="006A7349">
        <w:rPr>
          <w:rFonts w:ascii="Arial" w:eastAsia="Calibri" w:hAnsi="Arial" w:cs="Arial"/>
          <w:color w:val="000000"/>
          <w:sz w:val="19"/>
          <w:szCs w:val="19"/>
        </w:rPr>
        <w:t xml:space="preserve">Consejo de Estado. Sección Tercera. Sentencia del 26 de junio de 2003. Rad. 13.354. C.P: María Elena Giraldo Gómez. </w:t>
      </w:r>
    </w:p>
  </w:footnote>
  <w:footnote w:id="16">
    <w:p w14:paraId="6200593C" w14:textId="77777777" w:rsidR="006A7349" w:rsidRPr="006A7349" w:rsidRDefault="006A7349">
      <w:pPr>
        <w:pStyle w:val="NormalWeb"/>
        <w:shd w:val="clear" w:color="auto" w:fill="FFFFFF"/>
        <w:spacing w:before="0" w:beforeAutospacing="0" w:after="0" w:afterAutospacing="0"/>
        <w:ind w:firstLine="708"/>
        <w:jc w:val="both"/>
        <w:rPr>
          <w:rFonts w:ascii="Arial" w:eastAsia="Calibri" w:hAnsi="Arial" w:cs="Arial"/>
          <w:sz w:val="19"/>
          <w:szCs w:val="19"/>
          <w:lang w:eastAsia="en-US"/>
        </w:rPr>
      </w:pPr>
      <w:r w:rsidRPr="006A7349">
        <w:rPr>
          <w:rStyle w:val="Refdenotaalpie"/>
          <w:rFonts w:ascii="Arial" w:eastAsia="Calibri" w:hAnsi="Arial" w:cs="Arial"/>
          <w:sz w:val="19"/>
          <w:szCs w:val="19"/>
          <w:lang w:val="es-MX" w:eastAsia="en-US"/>
        </w:rPr>
        <w:footnoteRef/>
      </w:r>
      <w:r w:rsidRPr="006A7349">
        <w:rPr>
          <w:rStyle w:val="Refdenotaalpie"/>
          <w:rFonts w:ascii="Arial" w:eastAsia="Calibri" w:hAnsi="Arial" w:cs="Arial"/>
          <w:sz w:val="19"/>
          <w:szCs w:val="19"/>
          <w:lang w:val="es-MX" w:eastAsia="en-US"/>
        </w:rPr>
        <w:t xml:space="preserve"> </w:t>
      </w:r>
      <w:r w:rsidRPr="00816383">
        <w:rPr>
          <w:rFonts w:ascii="Arial" w:hAnsi="Arial" w:cs="Arial"/>
          <w:sz w:val="19"/>
          <w:szCs w:val="19"/>
        </w:rPr>
        <w:t>«</w:t>
      </w:r>
      <w:r w:rsidRPr="006A7349">
        <w:rPr>
          <w:rFonts w:ascii="Arial" w:eastAsia="Calibri" w:hAnsi="Arial" w:cs="Arial"/>
          <w:sz w:val="19"/>
          <w:szCs w:val="19"/>
          <w:lang w:eastAsia="en-US"/>
        </w:rPr>
        <w:t>Artículo 2.2.1.1.1.6.4. Capacidad Residual: El interesado en celebrar contratos de obra pública con Entidades Estatales debe acreditar su Capacidad Residual o K de Contratación con los siguientes documentos:</w:t>
      </w:r>
    </w:p>
    <w:p w14:paraId="426C44C3" w14:textId="77777777" w:rsidR="006A7349" w:rsidRPr="00FB670A" w:rsidRDefault="006A7349" w:rsidP="00EB70EC">
      <w:pPr>
        <w:shd w:val="clear" w:color="auto" w:fill="FFFFFF"/>
        <w:spacing w:after="0" w:line="240" w:lineRule="auto"/>
        <w:ind w:firstLine="708"/>
        <w:jc w:val="both"/>
        <w:rPr>
          <w:rFonts w:ascii="Arial" w:hAnsi="Arial" w:cs="Arial"/>
          <w:sz w:val="19"/>
          <w:szCs w:val="19"/>
        </w:rPr>
      </w:pPr>
      <w:r w:rsidRPr="00FB670A">
        <w:rPr>
          <w:rFonts w:ascii="Arial" w:hAnsi="Arial" w:cs="Arial"/>
          <w:sz w:val="19"/>
          <w:szCs w:val="19"/>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4E96D13E" w14:textId="77777777" w:rsidR="006A7349" w:rsidRPr="00FB670A" w:rsidRDefault="006A7349" w:rsidP="00EB70EC">
      <w:pPr>
        <w:shd w:val="clear" w:color="auto" w:fill="FFFFFF"/>
        <w:spacing w:after="0" w:line="240" w:lineRule="auto"/>
        <w:ind w:firstLine="708"/>
        <w:jc w:val="both"/>
        <w:rPr>
          <w:rFonts w:ascii="Arial" w:hAnsi="Arial" w:cs="Arial"/>
          <w:sz w:val="19"/>
          <w:szCs w:val="19"/>
        </w:rPr>
      </w:pPr>
      <w:r w:rsidRPr="00FB670A">
        <w:rPr>
          <w:rFonts w:ascii="Arial" w:hAnsi="Arial" w:cs="Arial"/>
          <w:sz w:val="19"/>
          <w:szCs w:val="19"/>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0AE620A7" w14:textId="77777777" w:rsidR="006A7349" w:rsidRPr="00FB670A" w:rsidRDefault="006A7349" w:rsidP="00EB70EC">
      <w:pPr>
        <w:shd w:val="clear" w:color="auto" w:fill="FFFFFF"/>
        <w:spacing w:after="0" w:line="240" w:lineRule="auto"/>
        <w:ind w:firstLine="708"/>
        <w:jc w:val="both"/>
        <w:rPr>
          <w:rFonts w:ascii="Arial" w:hAnsi="Arial" w:cs="Arial"/>
          <w:sz w:val="19"/>
          <w:szCs w:val="19"/>
        </w:rPr>
      </w:pPr>
      <w:r w:rsidRPr="00FB670A">
        <w:rPr>
          <w:rFonts w:ascii="Arial" w:hAnsi="Arial" w:cs="Arial"/>
          <w:sz w:val="19"/>
          <w:szCs w:val="19"/>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42B8B" w14:textId="7F5A26F8" w:rsidR="00BD2130" w:rsidRDefault="00722ABA">
    <w:pPr>
      <w:pStyle w:val="Encabezado"/>
    </w:pPr>
    <w:r>
      <w:rPr>
        <w:noProof/>
        <w:lang w:eastAsia="es-CO"/>
      </w:rPr>
      <w:drawing>
        <wp:anchor distT="0" distB="0" distL="114300" distR="114300" simplePos="0" relativeHeight="251658240" behindDoc="1" locked="0" layoutInCell="1" allowOverlap="1" wp14:anchorId="4095FCB8" wp14:editId="29D39ABD">
          <wp:simplePos x="0" y="0"/>
          <wp:positionH relativeFrom="margin">
            <wp:align>right</wp:align>
          </wp:positionH>
          <wp:positionV relativeFrom="paragraph">
            <wp:posOffset>-105410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D4811"/>
    <w:multiLevelType w:val="hybridMultilevel"/>
    <w:tmpl w:val="77A09DAC"/>
    <w:lvl w:ilvl="0" w:tplc="DA766BE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B7C4233"/>
    <w:multiLevelType w:val="multilevel"/>
    <w:tmpl w:val="60A05F5C"/>
    <w:lvl w:ilvl="0">
      <w:start w:val="2"/>
      <w:numFmt w:val="upperRoman"/>
      <w:lvlText w:val="%1."/>
      <w:lvlJc w:val="right"/>
      <w:pPr>
        <w:ind w:left="1067" w:hanging="360"/>
      </w:pPr>
      <w:rPr>
        <w:rFonts w:hint="default"/>
        <w:color w:val="262626" w:themeColor="text1" w:themeTint="D9"/>
        <w:sz w:val="21"/>
        <w:szCs w:val="21"/>
      </w:rPr>
    </w:lvl>
    <w:lvl w:ilvl="1">
      <w:start w:val="3"/>
      <w:numFmt w:val="decimal"/>
      <w:isLgl/>
      <w:lvlText w:val="%1.%2."/>
      <w:lvlJc w:val="left"/>
      <w:pPr>
        <w:ind w:left="720" w:hanging="720"/>
      </w:pPr>
      <w:rPr>
        <w:rFonts w:hint="default"/>
      </w:rPr>
    </w:lvl>
    <w:lvl w:ilvl="2">
      <w:start w:val="1"/>
      <w:numFmt w:val="decimal"/>
      <w:isLgl/>
      <w:lvlText w:val="%1.%2.%3."/>
      <w:lvlJc w:val="left"/>
      <w:pPr>
        <w:ind w:left="1427" w:hanging="720"/>
      </w:pPr>
      <w:rPr>
        <w:rFonts w:hint="default"/>
      </w:rPr>
    </w:lvl>
    <w:lvl w:ilvl="3">
      <w:start w:val="1"/>
      <w:numFmt w:val="decimal"/>
      <w:isLgl/>
      <w:lvlText w:val="%1.%2.%3.%4."/>
      <w:lvlJc w:val="left"/>
      <w:pPr>
        <w:ind w:left="1787" w:hanging="1080"/>
      </w:pPr>
      <w:rPr>
        <w:rFonts w:hint="default"/>
      </w:rPr>
    </w:lvl>
    <w:lvl w:ilvl="4">
      <w:start w:val="1"/>
      <w:numFmt w:val="decimal"/>
      <w:isLgl/>
      <w:lvlText w:val="%1.%2.%3.%4.%5."/>
      <w:lvlJc w:val="left"/>
      <w:pPr>
        <w:ind w:left="1787" w:hanging="1080"/>
      </w:pPr>
      <w:rPr>
        <w:rFonts w:hint="default"/>
      </w:rPr>
    </w:lvl>
    <w:lvl w:ilvl="5">
      <w:start w:val="1"/>
      <w:numFmt w:val="decimal"/>
      <w:isLgl/>
      <w:lvlText w:val="%1.%2.%3.%4.%5.%6."/>
      <w:lvlJc w:val="left"/>
      <w:pPr>
        <w:ind w:left="2147" w:hanging="1440"/>
      </w:pPr>
      <w:rPr>
        <w:rFonts w:hint="default"/>
      </w:rPr>
    </w:lvl>
    <w:lvl w:ilvl="6">
      <w:start w:val="1"/>
      <w:numFmt w:val="decimal"/>
      <w:isLgl/>
      <w:lvlText w:val="%1.%2.%3.%4.%5.%6.%7."/>
      <w:lvlJc w:val="left"/>
      <w:pPr>
        <w:ind w:left="2147" w:hanging="1440"/>
      </w:pPr>
      <w:rPr>
        <w:rFonts w:hint="default"/>
      </w:rPr>
    </w:lvl>
    <w:lvl w:ilvl="7">
      <w:start w:val="1"/>
      <w:numFmt w:val="decimal"/>
      <w:isLgl/>
      <w:lvlText w:val="%1.%2.%3.%4.%5.%6.%7.%8."/>
      <w:lvlJc w:val="left"/>
      <w:pPr>
        <w:ind w:left="2507" w:hanging="1800"/>
      </w:pPr>
      <w:rPr>
        <w:rFonts w:hint="default"/>
      </w:rPr>
    </w:lvl>
    <w:lvl w:ilvl="8">
      <w:start w:val="1"/>
      <w:numFmt w:val="decimal"/>
      <w:isLgl/>
      <w:lvlText w:val="%1.%2.%3.%4.%5.%6.%7.%8.%9."/>
      <w:lvlJc w:val="left"/>
      <w:pPr>
        <w:ind w:left="2507" w:hanging="1800"/>
      </w:pPr>
      <w:rPr>
        <w:rFonts w:hint="default"/>
      </w:rPr>
    </w:lvl>
  </w:abstractNum>
  <w:abstractNum w:abstractNumId="2" w15:restartNumberingAfterBreak="0">
    <w:nsid w:val="44D90ABE"/>
    <w:multiLevelType w:val="multilevel"/>
    <w:tmpl w:val="9DAA2204"/>
    <w:lvl w:ilvl="0">
      <w:start w:val="2"/>
      <w:numFmt w:val="decimal"/>
      <w:lvlText w:val="%1"/>
      <w:lvlJc w:val="left"/>
      <w:pPr>
        <w:ind w:left="375" w:hanging="375"/>
      </w:pPr>
      <w:rPr>
        <w:rFonts w:hint="default"/>
        <w:b/>
      </w:rPr>
    </w:lvl>
    <w:lvl w:ilvl="1">
      <w:start w:val="61"/>
      <w:numFmt w:val="decimal"/>
      <w:lvlText w:val="%1.%2"/>
      <w:lvlJc w:val="left"/>
      <w:pPr>
        <w:ind w:left="1226" w:hanging="375"/>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124" w:hanging="72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186" w:hanging="108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248" w:hanging="1440"/>
      </w:pPr>
      <w:rPr>
        <w:rFonts w:hint="default"/>
        <w:b/>
      </w:rPr>
    </w:lvl>
  </w:abstractNum>
  <w:abstractNum w:abstractNumId="3" w15:restartNumberingAfterBreak="0">
    <w:nsid w:val="48F935EC"/>
    <w:multiLevelType w:val="hybridMultilevel"/>
    <w:tmpl w:val="77A09DAC"/>
    <w:lvl w:ilvl="0" w:tplc="DA766BE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78B3D84"/>
    <w:multiLevelType w:val="multilevel"/>
    <w:tmpl w:val="17FEB804"/>
    <w:lvl w:ilvl="0">
      <w:start w:val="1"/>
      <w:numFmt w:val="decimal"/>
      <w:lvlText w:val="%1."/>
      <w:lvlJc w:val="left"/>
      <w:pPr>
        <w:ind w:left="360" w:hanging="360"/>
      </w:pPr>
      <w:rPr>
        <w:rFonts w:hint="default"/>
      </w:rPr>
    </w:lvl>
    <w:lvl w:ilvl="1">
      <w:start w:val="1"/>
      <w:numFmt w:val="decimal"/>
      <w:pStyle w:val="Ttulo2"/>
      <w:lvlText w:val="%1.%2."/>
      <w:lvlJc w:val="left"/>
      <w:pPr>
        <w:ind w:left="360" w:hanging="360"/>
      </w:pPr>
      <w:rPr>
        <w:rFonts w:hint="default"/>
      </w:rPr>
    </w:lvl>
    <w:lvl w:ilvl="2">
      <w:start w:val="1"/>
      <w:numFmt w:val="decimal"/>
      <w:pStyle w:val="Ttulo3"/>
      <w:lvlText w:val="%1.%2.%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86C3295"/>
    <w:multiLevelType w:val="hybridMultilevel"/>
    <w:tmpl w:val="77A09DAC"/>
    <w:lvl w:ilvl="0" w:tplc="DA766BE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4"/>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E63"/>
    <w:rsid w:val="00001D44"/>
    <w:rsid w:val="00025EC3"/>
    <w:rsid w:val="00026F53"/>
    <w:rsid w:val="0003301B"/>
    <w:rsid w:val="00034719"/>
    <w:rsid w:val="00035BBF"/>
    <w:rsid w:val="00041D21"/>
    <w:rsid w:val="000446F3"/>
    <w:rsid w:val="00047B85"/>
    <w:rsid w:val="00060199"/>
    <w:rsid w:val="00064A48"/>
    <w:rsid w:val="000676A5"/>
    <w:rsid w:val="000720B1"/>
    <w:rsid w:val="000729D1"/>
    <w:rsid w:val="000735AD"/>
    <w:rsid w:val="00075E85"/>
    <w:rsid w:val="00075EFB"/>
    <w:rsid w:val="00077F40"/>
    <w:rsid w:val="0008398E"/>
    <w:rsid w:val="000917A9"/>
    <w:rsid w:val="000A56F7"/>
    <w:rsid w:val="000A7F8D"/>
    <w:rsid w:val="000B30DA"/>
    <w:rsid w:val="000B7523"/>
    <w:rsid w:val="000C03B2"/>
    <w:rsid w:val="000C2B7C"/>
    <w:rsid w:val="000C2D6F"/>
    <w:rsid w:val="000C6179"/>
    <w:rsid w:val="000D1D00"/>
    <w:rsid w:val="000D6B00"/>
    <w:rsid w:val="000E3D72"/>
    <w:rsid w:val="000E7FD6"/>
    <w:rsid w:val="000F5C74"/>
    <w:rsid w:val="001032AC"/>
    <w:rsid w:val="001039F2"/>
    <w:rsid w:val="001076DF"/>
    <w:rsid w:val="00116440"/>
    <w:rsid w:val="0011666F"/>
    <w:rsid w:val="00123371"/>
    <w:rsid w:val="001265D8"/>
    <w:rsid w:val="00134252"/>
    <w:rsid w:val="001411F9"/>
    <w:rsid w:val="001425C6"/>
    <w:rsid w:val="00145F67"/>
    <w:rsid w:val="00150F67"/>
    <w:rsid w:val="00152308"/>
    <w:rsid w:val="00153560"/>
    <w:rsid w:val="0015630B"/>
    <w:rsid w:val="00161488"/>
    <w:rsid w:val="001639F4"/>
    <w:rsid w:val="00170C87"/>
    <w:rsid w:val="00171704"/>
    <w:rsid w:val="001735CB"/>
    <w:rsid w:val="00173CEA"/>
    <w:rsid w:val="00181A0F"/>
    <w:rsid w:val="001836AB"/>
    <w:rsid w:val="00183C49"/>
    <w:rsid w:val="00185C61"/>
    <w:rsid w:val="00187C06"/>
    <w:rsid w:val="00196BD1"/>
    <w:rsid w:val="001A5C14"/>
    <w:rsid w:val="001C3A41"/>
    <w:rsid w:val="001C4B68"/>
    <w:rsid w:val="001D661B"/>
    <w:rsid w:val="001E2977"/>
    <w:rsid w:val="001E4D03"/>
    <w:rsid w:val="00204F9C"/>
    <w:rsid w:val="00213F30"/>
    <w:rsid w:val="002214FB"/>
    <w:rsid w:val="00221AE4"/>
    <w:rsid w:val="002262CA"/>
    <w:rsid w:val="00226E35"/>
    <w:rsid w:val="00236AD5"/>
    <w:rsid w:val="00236CE9"/>
    <w:rsid w:val="00267FF6"/>
    <w:rsid w:val="00270166"/>
    <w:rsid w:val="00271EAF"/>
    <w:rsid w:val="00274BFA"/>
    <w:rsid w:val="00280B29"/>
    <w:rsid w:val="00281C6B"/>
    <w:rsid w:val="00284AC0"/>
    <w:rsid w:val="00287845"/>
    <w:rsid w:val="00291251"/>
    <w:rsid w:val="00294065"/>
    <w:rsid w:val="00294E3C"/>
    <w:rsid w:val="00295382"/>
    <w:rsid w:val="002B4AA0"/>
    <w:rsid w:val="002B67DF"/>
    <w:rsid w:val="002C1AE8"/>
    <w:rsid w:val="002C2EDA"/>
    <w:rsid w:val="002D3A08"/>
    <w:rsid w:val="002D44D3"/>
    <w:rsid w:val="002E2A35"/>
    <w:rsid w:val="002E3071"/>
    <w:rsid w:val="002E34B2"/>
    <w:rsid w:val="002F0CE1"/>
    <w:rsid w:val="002F1C99"/>
    <w:rsid w:val="003126CF"/>
    <w:rsid w:val="00321279"/>
    <w:rsid w:val="003212FF"/>
    <w:rsid w:val="00321A9E"/>
    <w:rsid w:val="00323C1F"/>
    <w:rsid w:val="003314DD"/>
    <w:rsid w:val="003327F2"/>
    <w:rsid w:val="00341E26"/>
    <w:rsid w:val="00342F37"/>
    <w:rsid w:val="003433B5"/>
    <w:rsid w:val="00345FF2"/>
    <w:rsid w:val="0035033D"/>
    <w:rsid w:val="00354098"/>
    <w:rsid w:val="00355737"/>
    <w:rsid w:val="00366B5B"/>
    <w:rsid w:val="0038119F"/>
    <w:rsid w:val="003820D9"/>
    <w:rsid w:val="00384272"/>
    <w:rsid w:val="00384E9B"/>
    <w:rsid w:val="0039294B"/>
    <w:rsid w:val="003930AF"/>
    <w:rsid w:val="00394C3E"/>
    <w:rsid w:val="003B556D"/>
    <w:rsid w:val="003C4661"/>
    <w:rsid w:val="003C5DB0"/>
    <w:rsid w:val="003C6902"/>
    <w:rsid w:val="003D5FC0"/>
    <w:rsid w:val="003D644D"/>
    <w:rsid w:val="003D74E5"/>
    <w:rsid w:val="003E4977"/>
    <w:rsid w:val="00402991"/>
    <w:rsid w:val="004212FA"/>
    <w:rsid w:val="00424C58"/>
    <w:rsid w:val="0043170C"/>
    <w:rsid w:val="00432775"/>
    <w:rsid w:val="00434339"/>
    <w:rsid w:val="00440AA3"/>
    <w:rsid w:val="00444167"/>
    <w:rsid w:val="004537EE"/>
    <w:rsid w:val="00462AB2"/>
    <w:rsid w:val="0046438B"/>
    <w:rsid w:val="00474D9D"/>
    <w:rsid w:val="00481836"/>
    <w:rsid w:val="00484960"/>
    <w:rsid w:val="004857E6"/>
    <w:rsid w:val="00491EEF"/>
    <w:rsid w:val="004A000C"/>
    <w:rsid w:val="004A568B"/>
    <w:rsid w:val="004D00D3"/>
    <w:rsid w:val="004D65A3"/>
    <w:rsid w:val="004E7C02"/>
    <w:rsid w:val="004E7FAF"/>
    <w:rsid w:val="004F1E47"/>
    <w:rsid w:val="004F3BC8"/>
    <w:rsid w:val="004F3E41"/>
    <w:rsid w:val="004F5111"/>
    <w:rsid w:val="004F5E80"/>
    <w:rsid w:val="00502F4A"/>
    <w:rsid w:val="005105BC"/>
    <w:rsid w:val="0051258A"/>
    <w:rsid w:val="00526405"/>
    <w:rsid w:val="00530E41"/>
    <w:rsid w:val="0053317E"/>
    <w:rsid w:val="00533278"/>
    <w:rsid w:val="00535D07"/>
    <w:rsid w:val="00543B2C"/>
    <w:rsid w:val="00551251"/>
    <w:rsid w:val="00564CD7"/>
    <w:rsid w:val="005731C6"/>
    <w:rsid w:val="00577EAD"/>
    <w:rsid w:val="00581809"/>
    <w:rsid w:val="00581DE1"/>
    <w:rsid w:val="00587184"/>
    <w:rsid w:val="00593A41"/>
    <w:rsid w:val="00597EF1"/>
    <w:rsid w:val="005A3892"/>
    <w:rsid w:val="005B0E02"/>
    <w:rsid w:val="005B1D76"/>
    <w:rsid w:val="005B53EB"/>
    <w:rsid w:val="005B6133"/>
    <w:rsid w:val="005C3DF2"/>
    <w:rsid w:val="005C7BF3"/>
    <w:rsid w:val="005D2262"/>
    <w:rsid w:val="005D2829"/>
    <w:rsid w:val="005D5D0E"/>
    <w:rsid w:val="005D644D"/>
    <w:rsid w:val="005D7648"/>
    <w:rsid w:val="005E0BB9"/>
    <w:rsid w:val="005F2DC1"/>
    <w:rsid w:val="00605F94"/>
    <w:rsid w:val="0061526C"/>
    <w:rsid w:val="00652509"/>
    <w:rsid w:val="006606F5"/>
    <w:rsid w:val="006616FB"/>
    <w:rsid w:val="006633B0"/>
    <w:rsid w:val="00665DDD"/>
    <w:rsid w:val="006723EE"/>
    <w:rsid w:val="00676C22"/>
    <w:rsid w:val="00682FEE"/>
    <w:rsid w:val="00684BF0"/>
    <w:rsid w:val="00687768"/>
    <w:rsid w:val="00693CBB"/>
    <w:rsid w:val="006A0886"/>
    <w:rsid w:val="006A0E40"/>
    <w:rsid w:val="006A520C"/>
    <w:rsid w:val="006A6E7B"/>
    <w:rsid w:val="006A7349"/>
    <w:rsid w:val="006B2308"/>
    <w:rsid w:val="006D5AA1"/>
    <w:rsid w:val="006D720F"/>
    <w:rsid w:val="006E11B6"/>
    <w:rsid w:val="006F03A2"/>
    <w:rsid w:val="006F0622"/>
    <w:rsid w:val="006F46B3"/>
    <w:rsid w:val="006F5B1B"/>
    <w:rsid w:val="00705281"/>
    <w:rsid w:val="00706B98"/>
    <w:rsid w:val="00710CDA"/>
    <w:rsid w:val="00715A9D"/>
    <w:rsid w:val="00715EE9"/>
    <w:rsid w:val="00720997"/>
    <w:rsid w:val="00721F18"/>
    <w:rsid w:val="0072272A"/>
    <w:rsid w:val="00722ABA"/>
    <w:rsid w:val="007266D2"/>
    <w:rsid w:val="007303CF"/>
    <w:rsid w:val="00740ED4"/>
    <w:rsid w:val="007425CE"/>
    <w:rsid w:val="0074757B"/>
    <w:rsid w:val="00750C6E"/>
    <w:rsid w:val="0075242E"/>
    <w:rsid w:val="00771E7E"/>
    <w:rsid w:val="00774292"/>
    <w:rsid w:val="00785707"/>
    <w:rsid w:val="00797189"/>
    <w:rsid w:val="007B52D7"/>
    <w:rsid w:val="007B6B24"/>
    <w:rsid w:val="007C6744"/>
    <w:rsid w:val="007D4812"/>
    <w:rsid w:val="007D6A7D"/>
    <w:rsid w:val="007E6DC3"/>
    <w:rsid w:val="007E7F9F"/>
    <w:rsid w:val="007F0CD3"/>
    <w:rsid w:val="007F19C0"/>
    <w:rsid w:val="008016A3"/>
    <w:rsid w:val="0080504E"/>
    <w:rsid w:val="00806CE0"/>
    <w:rsid w:val="00810493"/>
    <w:rsid w:val="00822880"/>
    <w:rsid w:val="008253AB"/>
    <w:rsid w:val="00830F0A"/>
    <w:rsid w:val="008316BB"/>
    <w:rsid w:val="00832C62"/>
    <w:rsid w:val="00834470"/>
    <w:rsid w:val="00844D2B"/>
    <w:rsid w:val="00853111"/>
    <w:rsid w:val="00865096"/>
    <w:rsid w:val="00865D93"/>
    <w:rsid w:val="00870A62"/>
    <w:rsid w:val="00871D0C"/>
    <w:rsid w:val="00881A64"/>
    <w:rsid w:val="008A0F4C"/>
    <w:rsid w:val="008A15A6"/>
    <w:rsid w:val="008A2777"/>
    <w:rsid w:val="008C707B"/>
    <w:rsid w:val="008D4AF1"/>
    <w:rsid w:val="008D5ACA"/>
    <w:rsid w:val="008E4DEF"/>
    <w:rsid w:val="008E53CE"/>
    <w:rsid w:val="008E5593"/>
    <w:rsid w:val="008E6A16"/>
    <w:rsid w:val="008E7794"/>
    <w:rsid w:val="008F43D0"/>
    <w:rsid w:val="00900AF1"/>
    <w:rsid w:val="00902197"/>
    <w:rsid w:val="00902944"/>
    <w:rsid w:val="0090442B"/>
    <w:rsid w:val="00907731"/>
    <w:rsid w:val="009204DE"/>
    <w:rsid w:val="0093000F"/>
    <w:rsid w:val="00937B94"/>
    <w:rsid w:val="00947B5A"/>
    <w:rsid w:val="00956E0F"/>
    <w:rsid w:val="009654E2"/>
    <w:rsid w:val="00965663"/>
    <w:rsid w:val="009728E9"/>
    <w:rsid w:val="0097574F"/>
    <w:rsid w:val="00984FB8"/>
    <w:rsid w:val="009861D5"/>
    <w:rsid w:val="009B356D"/>
    <w:rsid w:val="009C3983"/>
    <w:rsid w:val="009C3C43"/>
    <w:rsid w:val="009E3AD9"/>
    <w:rsid w:val="009F0676"/>
    <w:rsid w:val="009F1FE9"/>
    <w:rsid w:val="009F34D5"/>
    <w:rsid w:val="00A14154"/>
    <w:rsid w:val="00A16780"/>
    <w:rsid w:val="00A20D2E"/>
    <w:rsid w:val="00A23A78"/>
    <w:rsid w:val="00A30DAA"/>
    <w:rsid w:val="00A320A9"/>
    <w:rsid w:val="00A33F73"/>
    <w:rsid w:val="00A34CE9"/>
    <w:rsid w:val="00A36475"/>
    <w:rsid w:val="00A36C33"/>
    <w:rsid w:val="00A37F6E"/>
    <w:rsid w:val="00A5243F"/>
    <w:rsid w:val="00A56510"/>
    <w:rsid w:val="00A57F32"/>
    <w:rsid w:val="00A664B3"/>
    <w:rsid w:val="00A67252"/>
    <w:rsid w:val="00A76E00"/>
    <w:rsid w:val="00A80A90"/>
    <w:rsid w:val="00A831C1"/>
    <w:rsid w:val="00A83EC7"/>
    <w:rsid w:val="00A83F16"/>
    <w:rsid w:val="00A8548F"/>
    <w:rsid w:val="00AA1FB4"/>
    <w:rsid w:val="00AA33AF"/>
    <w:rsid w:val="00AA45C0"/>
    <w:rsid w:val="00AA532B"/>
    <w:rsid w:val="00AA6E36"/>
    <w:rsid w:val="00AB168C"/>
    <w:rsid w:val="00AC79DE"/>
    <w:rsid w:val="00AD0F97"/>
    <w:rsid w:val="00AD444D"/>
    <w:rsid w:val="00AD49D7"/>
    <w:rsid w:val="00AD65B3"/>
    <w:rsid w:val="00AE0AC3"/>
    <w:rsid w:val="00AE170D"/>
    <w:rsid w:val="00AE56EF"/>
    <w:rsid w:val="00AF30A8"/>
    <w:rsid w:val="00AF70D0"/>
    <w:rsid w:val="00B00853"/>
    <w:rsid w:val="00B00C41"/>
    <w:rsid w:val="00B00CD6"/>
    <w:rsid w:val="00B01939"/>
    <w:rsid w:val="00B04DAE"/>
    <w:rsid w:val="00B142AD"/>
    <w:rsid w:val="00B14BA9"/>
    <w:rsid w:val="00B21B43"/>
    <w:rsid w:val="00B24B81"/>
    <w:rsid w:val="00B25CCA"/>
    <w:rsid w:val="00B342FF"/>
    <w:rsid w:val="00B36E11"/>
    <w:rsid w:val="00B40D1E"/>
    <w:rsid w:val="00B5605C"/>
    <w:rsid w:val="00B6383D"/>
    <w:rsid w:val="00B8417C"/>
    <w:rsid w:val="00B90DEC"/>
    <w:rsid w:val="00BA276A"/>
    <w:rsid w:val="00BB0D88"/>
    <w:rsid w:val="00BB6893"/>
    <w:rsid w:val="00BB6BD6"/>
    <w:rsid w:val="00BB7763"/>
    <w:rsid w:val="00BC37C2"/>
    <w:rsid w:val="00BD2130"/>
    <w:rsid w:val="00BD6623"/>
    <w:rsid w:val="00BE1B21"/>
    <w:rsid w:val="00BE4AF7"/>
    <w:rsid w:val="00BF26F1"/>
    <w:rsid w:val="00C03340"/>
    <w:rsid w:val="00C10551"/>
    <w:rsid w:val="00C133FC"/>
    <w:rsid w:val="00C14271"/>
    <w:rsid w:val="00C14444"/>
    <w:rsid w:val="00C3507C"/>
    <w:rsid w:val="00C52200"/>
    <w:rsid w:val="00C5269B"/>
    <w:rsid w:val="00C54BFF"/>
    <w:rsid w:val="00C56E39"/>
    <w:rsid w:val="00C57972"/>
    <w:rsid w:val="00C6288F"/>
    <w:rsid w:val="00C75FD4"/>
    <w:rsid w:val="00C77E2F"/>
    <w:rsid w:val="00C84710"/>
    <w:rsid w:val="00C87E48"/>
    <w:rsid w:val="00C9653E"/>
    <w:rsid w:val="00CA2CA5"/>
    <w:rsid w:val="00CA637B"/>
    <w:rsid w:val="00CA7214"/>
    <w:rsid w:val="00CC342C"/>
    <w:rsid w:val="00CD1FC7"/>
    <w:rsid w:val="00CD29BB"/>
    <w:rsid w:val="00CD2F96"/>
    <w:rsid w:val="00CE4DF5"/>
    <w:rsid w:val="00CE7DD3"/>
    <w:rsid w:val="00CF0038"/>
    <w:rsid w:val="00CF3FD9"/>
    <w:rsid w:val="00CF5D05"/>
    <w:rsid w:val="00CF64C5"/>
    <w:rsid w:val="00D11BAE"/>
    <w:rsid w:val="00D135E0"/>
    <w:rsid w:val="00D36BF7"/>
    <w:rsid w:val="00D37A1B"/>
    <w:rsid w:val="00D41BC5"/>
    <w:rsid w:val="00D42C04"/>
    <w:rsid w:val="00D44827"/>
    <w:rsid w:val="00D463BC"/>
    <w:rsid w:val="00D67560"/>
    <w:rsid w:val="00D67FB4"/>
    <w:rsid w:val="00D73C02"/>
    <w:rsid w:val="00D76D49"/>
    <w:rsid w:val="00D776F1"/>
    <w:rsid w:val="00D93BFF"/>
    <w:rsid w:val="00DA0470"/>
    <w:rsid w:val="00DA0960"/>
    <w:rsid w:val="00DA314C"/>
    <w:rsid w:val="00DA344D"/>
    <w:rsid w:val="00DA7F42"/>
    <w:rsid w:val="00DB4236"/>
    <w:rsid w:val="00DB51BE"/>
    <w:rsid w:val="00DB5280"/>
    <w:rsid w:val="00DB6E37"/>
    <w:rsid w:val="00DD2781"/>
    <w:rsid w:val="00DD2C07"/>
    <w:rsid w:val="00DF4276"/>
    <w:rsid w:val="00E018C1"/>
    <w:rsid w:val="00E11703"/>
    <w:rsid w:val="00E22B4D"/>
    <w:rsid w:val="00E24DA1"/>
    <w:rsid w:val="00E300A4"/>
    <w:rsid w:val="00E363A2"/>
    <w:rsid w:val="00E36899"/>
    <w:rsid w:val="00E37B4D"/>
    <w:rsid w:val="00E40DC7"/>
    <w:rsid w:val="00E429D1"/>
    <w:rsid w:val="00E43081"/>
    <w:rsid w:val="00E444D9"/>
    <w:rsid w:val="00E4545F"/>
    <w:rsid w:val="00E47FED"/>
    <w:rsid w:val="00E50B6D"/>
    <w:rsid w:val="00E55A40"/>
    <w:rsid w:val="00E60CBF"/>
    <w:rsid w:val="00E62048"/>
    <w:rsid w:val="00E80F89"/>
    <w:rsid w:val="00E87F5E"/>
    <w:rsid w:val="00E96660"/>
    <w:rsid w:val="00EA4AA8"/>
    <w:rsid w:val="00EB70EC"/>
    <w:rsid w:val="00EC3165"/>
    <w:rsid w:val="00EC6435"/>
    <w:rsid w:val="00ED6A0E"/>
    <w:rsid w:val="00ED6A7A"/>
    <w:rsid w:val="00ED7CA9"/>
    <w:rsid w:val="00EE0D6C"/>
    <w:rsid w:val="00EE46BD"/>
    <w:rsid w:val="00EE60F5"/>
    <w:rsid w:val="00F07040"/>
    <w:rsid w:val="00F1016C"/>
    <w:rsid w:val="00F1673B"/>
    <w:rsid w:val="00F24B67"/>
    <w:rsid w:val="00F265D4"/>
    <w:rsid w:val="00F26E13"/>
    <w:rsid w:val="00F562DD"/>
    <w:rsid w:val="00F61CA8"/>
    <w:rsid w:val="00F72116"/>
    <w:rsid w:val="00F73A9B"/>
    <w:rsid w:val="00F817E8"/>
    <w:rsid w:val="00F875D0"/>
    <w:rsid w:val="00F958E2"/>
    <w:rsid w:val="00FA31A7"/>
    <w:rsid w:val="00FB347B"/>
    <w:rsid w:val="00FB75D0"/>
    <w:rsid w:val="00FC2E63"/>
    <w:rsid w:val="00FC3C18"/>
    <w:rsid w:val="00FD53E0"/>
    <w:rsid w:val="00FD58FB"/>
    <w:rsid w:val="00FD59FB"/>
    <w:rsid w:val="00FE6B4D"/>
    <w:rsid w:val="00FF26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BE533"/>
  <w15:docId w15:val="{366A13AA-A1F1-446C-8F46-B8816F09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6A0886"/>
    <w:pPr>
      <w:keepNext/>
      <w:keepLines/>
      <w:numPr>
        <w:ilvl w:val="1"/>
        <w:numId w:val="3"/>
      </w:numPr>
      <w:spacing w:before="40" w:after="120"/>
      <w:ind w:left="357" w:hanging="357"/>
      <w:jc w:val="both"/>
      <w:outlineLvl w:val="1"/>
    </w:pPr>
    <w:rPr>
      <w:rFonts w:ascii="Arial" w:eastAsiaTheme="majorEastAsia" w:hAnsi="Arial" w:cstheme="majorBidi"/>
      <w:b/>
      <w:caps/>
      <w:color w:val="000000" w:themeColor="text1"/>
      <w:sz w:val="20"/>
      <w:szCs w:val="26"/>
      <w:lang w:val="es-MX"/>
    </w:rPr>
  </w:style>
  <w:style w:type="paragraph" w:styleId="Ttulo3">
    <w:name w:val="heading 3"/>
    <w:basedOn w:val="Normal"/>
    <w:next w:val="Normal"/>
    <w:link w:val="Ttulo3Car"/>
    <w:uiPriority w:val="9"/>
    <w:unhideWhenUsed/>
    <w:qFormat/>
    <w:rsid w:val="006A0886"/>
    <w:pPr>
      <w:keepNext/>
      <w:keepLines/>
      <w:numPr>
        <w:ilvl w:val="2"/>
        <w:numId w:val="3"/>
      </w:numPr>
      <w:spacing w:before="40" w:after="120"/>
      <w:jc w:val="both"/>
      <w:outlineLvl w:val="2"/>
    </w:pPr>
    <w:rPr>
      <w:rFonts w:ascii="Arial" w:eastAsiaTheme="majorEastAsia" w:hAnsi="Arial" w:cstheme="majorBidi"/>
      <w:b/>
      <w:caps/>
      <w:color w:val="000000" w:themeColor="text1"/>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2E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2E63"/>
  </w:style>
  <w:style w:type="paragraph" w:styleId="Piedepgina">
    <w:name w:val="footer"/>
    <w:basedOn w:val="Normal"/>
    <w:link w:val="PiedepginaCar"/>
    <w:uiPriority w:val="99"/>
    <w:unhideWhenUsed/>
    <w:rsid w:val="00FC2E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2E63"/>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FC2E63"/>
    <w:rPr>
      <w:sz w:val="20"/>
      <w:szCs w:val="20"/>
      <w:lang w:val="es-MX"/>
    </w:rPr>
  </w:style>
  <w:style w:type="paragraph" w:customStyle="1" w:styleId="Car1">
    <w:name w:val="Car1"/>
    <w:basedOn w:val="Normal"/>
    <w:next w:val="Textonotapie"/>
    <w:uiPriority w:val="99"/>
    <w:unhideWhenUsed/>
    <w:qFormat/>
    <w:rsid w:val="00FC2E63"/>
    <w:pPr>
      <w:spacing w:after="0" w:line="240" w:lineRule="auto"/>
    </w:pPr>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FC2E63"/>
    <w:rPr>
      <w:vertAlign w:val="superscript"/>
    </w:rPr>
  </w:style>
  <w:style w:type="paragraph" w:customStyle="1" w:styleId="Appelnotedebasde">
    <w:name w:val="Appel note de bas de..."/>
    <w:basedOn w:val="Normal"/>
    <w:link w:val="Refdenotaalpie"/>
    <w:uiPriority w:val="99"/>
    <w:rsid w:val="00FC2E63"/>
    <w:pPr>
      <w:spacing w:line="240" w:lineRule="exact"/>
    </w:pPr>
    <w:rPr>
      <w:vertAlign w:val="superscript"/>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FC2E63"/>
    <w:pPr>
      <w:spacing w:after="0" w:line="240" w:lineRule="auto"/>
    </w:pPr>
    <w:rPr>
      <w:sz w:val="20"/>
      <w:szCs w:val="20"/>
      <w:lang w:val="es-MX"/>
    </w:rPr>
  </w:style>
  <w:style w:type="character" w:customStyle="1" w:styleId="TextonotapieCar1">
    <w:name w:val="Texto nota pie Car1"/>
    <w:basedOn w:val="Fuentedeprrafopredeter"/>
    <w:uiPriority w:val="99"/>
    <w:semiHidden/>
    <w:rsid w:val="00FC2E63"/>
    <w:rPr>
      <w:sz w:val="20"/>
      <w:szCs w:val="20"/>
    </w:rPr>
  </w:style>
  <w:style w:type="paragraph" w:styleId="NormalWeb">
    <w:name w:val="Normal (Web)"/>
    <w:basedOn w:val="Normal"/>
    <w:uiPriority w:val="99"/>
    <w:semiHidden/>
    <w:unhideWhenUsed/>
    <w:rsid w:val="000917A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0917A9"/>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32C62"/>
    <w:pPr>
      <w:spacing w:before="100" w:beforeAutospacing="1" w:after="100" w:afterAutospacing="1" w:line="240" w:lineRule="auto"/>
    </w:pPr>
    <w:rPr>
      <w:rFonts w:ascii="Calibri" w:hAnsi="Calibri" w:cs="Calibri"/>
      <w:lang w:eastAsia="es-CO"/>
    </w:rPr>
  </w:style>
  <w:style w:type="character" w:styleId="Textoennegrita">
    <w:name w:val="Strong"/>
    <w:basedOn w:val="Fuentedeprrafopredeter"/>
    <w:uiPriority w:val="22"/>
    <w:qFormat/>
    <w:rsid w:val="009F34D5"/>
    <w:rPr>
      <w:b/>
      <w:bCs/>
    </w:rPr>
  </w:style>
  <w:style w:type="paragraph" w:styleId="Textoindependiente">
    <w:name w:val="Body Text"/>
    <w:basedOn w:val="Normal"/>
    <w:link w:val="TextoindependienteCar"/>
    <w:uiPriority w:val="1"/>
    <w:qFormat/>
    <w:rsid w:val="00C133FC"/>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C133FC"/>
    <w:rPr>
      <w:rFonts w:ascii="Arial" w:eastAsia="Arial" w:hAnsi="Arial" w:cs="Arial"/>
      <w:lang w:val="es-ES"/>
    </w:rPr>
  </w:style>
  <w:style w:type="character" w:styleId="Hipervnculo">
    <w:name w:val="Hyperlink"/>
    <w:basedOn w:val="Fuentedeprrafopredeter"/>
    <w:uiPriority w:val="99"/>
    <w:unhideWhenUsed/>
    <w:rsid w:val="007E7F9F"/>
    <w:rPr>
      <w:color w:val="0563C1" w:themeColor="hyperlink"/>
      <w:u w:val="single"/>
    </w:rPr>
  </w:style>
  <w:style w:type="paragraph" w:customStyle="1" w:styleId="Invias-VietaNumerada">
    <w:name w:val="Invias-Viñeta Numerada"/>
    <w:next w:val="Normal"/>
    <w:link w:val="Invias-VietaNumeradaCar"/>
    <w:uiPriority w:val="99"/>
    <w:qFormat/>
    <w:rsid w:val="002D44D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2D44D3"/>
    <w:rPr>
      <w:rFonts w:ascii="Arial Narrow" w:eastAsia="Times New Roman" w:hAnsi="Arial Narrow" w:cs="Times New Roman"/>
      <w:sz w:val="24"/>
      <w:szCs w:val="24"/>
      <w:lang w:val="en-US" w:eastAsia="es-ES"/>
    </w:rPr>
  </w:style>
  <w:style w:type="character" w:customStyle="1" w:styleId="Ttulo2Car">
    <w:name w:val="Título 2 Car"/>
    <w:basedOn w:val="Fuentedeprrafopredeter"/>
    <w:link w:val="Ttulo2"/>
    <w:uiPriority w:val="9"/>
    <w:rsid w:val="006A0886"/>
    <w:rPr>
      <w:rFonts w:ascii="Arial" w:eastAsiaTheme="majorEastAsia" w:hAnsi="Arial" w:cstheme="majorBidi"/>
      <w:b/>
      <w:caps/>
      <w:color w:val="000000" w:themeColor="text1"/>
      <w:sz w:val="20"/>
      <w:szCs w:val="26"/>
      <w:lang w:val="es-MX"/>
    </w:rPr>
  </w:style>
  <w:style w:type="character" w:customStyle="1" w:styleId="Ttulo3Car">
    <w:name w:val="Título 3 Car"/>
    <w:basedOn w:val="Fuentedeprrafopredeter"/>
    <w:link w:val="Ttulo3"/>
    <w:uiPriority w:val="9"/>
    <w:rsid w:val="006A0886"/>
    <w:rPr>
      <w:rFonts w:ascii="Arial" w:eastAsiaTheme="majorEastAsia" w:hAnsi="Arial" w:cstheme="majorBidi"/>
      <w:b/>
      <w:caps/>
      <w:color w:val="000000" w:themeColor="text1"/>
      <w:sz w:val="20"/>
      <w:szCs w:val="24"/>
    </w:rPr>
  </w:style>
  <w:style w:type="table" w:styleId="Tablaconcuadrcula">
    <w:name w:val="Table Grid"/>
    <w:basedOn w:val="Tablanormal"/>
    <w:uiPriority w:val="59"/>
    <w:qFormat/>
    <w:rsid w:val="00464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6383D"/>
    <w:pPr>
      <w:spacing w:after="0" w:line="240" w:lineRule="auto"/>
    </w:pPr>
  </w:style>
  <w:style w:type="character" w:styleId="Refdecomentario">
    <w:name w:val="annotation reference"/>
    <w:basedOn w:val="Fuentedeprrafopredeter"/>
    <w:uiPriority w:val="99"/>
    <w:semiHidden/>
    <w:unhideWhenUsed/>
    <w:rsid w:val="00EC3165"/>
    <w:rPr>
      <w:sz w:val="16"/>
      <w:szCs w:val="16"/>
    </w:rPr>
  </w:style>
  <w:style w:type="paragraph" w:styleId="Textocomentario">
    <w:name w:val="annotation text"/>
    <w:basedOn w:val="Normal"/>
    <w:link w:val="TextocomentarioCar"/>
    <w:uiPriority w:val="99"/>
    <w:semiHidden/>
    <w:unhideWhenUsed/>
    <w:rsid w:val="00EC31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3165"/>
    <w:rPr>
      <w:sz w:val="20"/>
      <w:szCs w:val="20"/>
    </w:rPr>
  </w:style>
  <w:style w:type="paragraph" w:styleId="Asuntodelcomentario">
    <w:name w:val="annotation subject"/>
    <w:basedOn w:val="Textocomentario"/>
    <w:next w:val="Textocomentario"/>
    <w:link w:val="AsuntodelcomentarioCar"/>
    <w:uiPriority w:val="99"/>
    <w:semiHidden/>
    <w:unhideWhenUsed/>
    <w:rsid w:val="00EC3165"/>
    <w:rPr>
      <w:b/>
      <w:bCs/>
    </w:rPr>
  </w:style>
  <w:style w:type="character" w:customStyle="1" w:styleId="AsuntodelcomentarioCar">
    <w:name w:val="Asunto del comentario Car"/>
    <w:basedOn w:val="TextocomentarioCar"/>
    <w:link w:val="Asuntodelcomentario"/>
    <w:uiPriority w:val="99"/>
    <w:semiHidden/>
    <w:rsid w:val="00EC3165"/>
    <w:rPr>
      <w:b/>
      <w:bCs/>
      <w:sz w:val="20"/>
      <w:szCs w:val="20"/>
    </w:rPr>
  </w:style>
  <w:style w:type="character" w:customStyle="1" w:styleId="normaltextrun">
    <w:name w:val="normaltextrun"/>
    <w:basedOn w:val="Fuentedeprrafopredeter"/>
    <w:rsid w:val="008A2777"/>
  </w:style>
  <w:style w:type="character" w:styleId="Mencinsinresolver">
    <w:name w:val="Unresolved Mention"/>
    <w:basedOn w:val="Fuentedeprrafopredeter"/>
    <w:uiPriority w:val="99"/>
    <w:semiHidden/>
    <w:unhideWhenUsed/>
    <w:rsid w:val="000C2B7C"/>
    <w:rPr>
      <w:color w:val="605E5C"/>
      <w:shd w:val="clear" w:color="auto" w:fill="E1DFDD"/>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74D9D"/>
    <w:rPr>
      <w:rFonts w:ascii="Calibri" w:hAnsi="Calibri" w:cs="Calibri"/>
      <w:lang w:eastAsia="es-CO"/>
    </w:rPr>
  </w:style>
  <w:style w:type="character" w:customStyle="1" w:styleId="apple-converted-space">
    <w:name w:val="apple-converted-space"/>
    <w:basedOn w:val="Fuentedeprrafopredeter"/>
    <w:rsid w:val="00474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51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lombiacompra.gov.co/manuales-guias-y-pliegos-tipo/manuales-y-guia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5FA8BD76-C6D6-4162-A8D3-FB6DF47811BC}">
  <ds:schemaRefs>
    <ds:schemaRef ds:uri="http://schemas.openxmlformats.org/officeDocument/2006/bibliography"/>
  </ds:schemaRefs>
</ds:datastoreItem>
</file>

<file path=customXml/itemProps2.xml><?xml version="1.0" encoding="utf-8"?>
<ds:datastoreItem xmlns:ds="http://schemas.openxmlformats.org/officeDocument/2006/customXml" ds:itemID="{91CCFE9D-950D-4FBF-B542-8662224D04D2}"/>
</file>

<file path=customXml/itemProps3.xml><?xml version="1.0" encoding="utf-8"?>
<ds:datastoreItem xmlns:ds="http://schemas.openxmlformats.org/officeDocument/2006/customXml" ds:itemID="{A5EBD28D-0733-4773-95E9-AD61E9627A3F}"/>
</file>

<file path=customXml/itemProps4.xml><?xml version="1.0" encoding="utf-8"?>
<ds:datastoreItem xmlns:ds="http://schemas.openxmlformats.org/officeDocument/2006/customXml" ds:itemID="{D74A576D-280E-4923-BD84-23A801DB44E2}"/>
</file>

<file path=docProps/app.xml><?xml version="1.0" encoding="utf-8"?>
<Properties xmlns="http://schemas.openxmlformats.org/officeDocument/2006/extended-properties" xmlns:vt="http://schemas.openxmlformats.org/officeDocument/2006/docPropsVTypes">
  <Template>Normal</Template>
  <TotalTime>9</TotalTime>
  <Pages>21</Pages>
  <Words>8252</Words>
  <Characters>45390</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Nathalia Urrego J.</cp:lastModifiedBy>
  <cp:revision>3</cp:revision>
  <dcterms:created xsi:type="dcterms:W3CDTF">2021-09-27T22:20:00Z</dcterms:created>
  <dcterms:modified xsi:type="dcterms:W3CDTF">2021-10-07T03:14:00Z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