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A43C0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43C00">
        <w:rPr>
          <w:rFonts w:ascii="Arial" w:hAnsi="Arial" w:cs="Arial"/>
          <w:bCs/>
          <w:color w:val="000000" w:themeColor="text1"/>
          <w:sz w:val="16"/>
          <w:szCs w:val="16"/>
          <w:lang w:val="es-ES_tradnl" w:eastAsia="es-ES"/>
        </w:rPr>
        <w:t>CCE-DES-FM-17</w:t>
      </w:r>
      <w:bookmarkEnd w:id="0"/>
      <w:bookmarkEnd w:id="1"/>
    </w:p>
    <w:p w14:paraId="3742B81D" w14:textId="77777777" w:rsidR="00165003" w:rsidRDefault="00165003" w:rsidP="00165003">
      <w:pPr>
        <w:jc w:val="both"/>
        <w:rPr>
          <w:rFonts w:ascii="Arial" w:eastAsia="Calibri" w:hAnsi="Arial" w:cs="Arial"/>
          <w:b/>
          <w:color w:val="000000" w:themeColor="text1"/>
          <w:sz w:val="22"/>
        </w:rPr>
      </w:pPr>
    </w:p>
    <w:p w14:paraId="159DF58C" w14:textId="77777777" w:rsidR="00165003" w:rsidRPr="00877F7E" w:rsidRDefault="00165003" w:rsidP="00165003">
      <w:pPr>
        <w:spacing w:line="276" w:lineRule="auto"/>
        <w:jc w:val="both"/>
      </w:pPr>
      <w:r w:rsidRPr="00877F7E">
        <w:rPr>
          <w:rFonts w:ascii="Arial" w:eastAsia="Arial" w:hAnsi="Arial" w:cs="Arial"/>
          <w:b/>
          <w:bCs/>
          <w:color w:val="000000" w:themeColor="text1"/>
          <w:sz w:val="22"/>
        </w:rPr>
        <w:t>DOCUMENTOS TIPO – Fundamento normativo – Documentos tipo adoptados</w:t>
      </w:r>
    </w:p>
    <w:p w14:paraId="67E1BA7F" w14:textId="77777777" w:rsidR="00165003" w:rsidRPr="00877F7E" w:rsidRDefault="00165003" w:rsidP="00165003">
      <w:pPr>
        <w:spacing w:line="276" w:lineRule="auto"/>
        <w:jc w:val="both"/>
        <w:rPr>
          <w:rFonts w:ascii="Arial" w:eastAsia="Arial" w:hAnsi="Arial" w:cs="Arial"/>
          <w:b/>
          <w:bCs/>
          <w:color w:val="000000" w:themeColor="text1"/>
        </w:rPr>
      </w:pPr>
    </w:p>
    <w:p w14:paraId="59BC94A5" w14:textId="7A644439" w:rsidR="00165003" w:rsidRDefault="00165003" w:rsidP="00165003">
      <w:pPr>
        <w:jc w:val="both"/>
        <w:rPr>
          <w:rFonts w:ascii="Arial" w:eastAsia="Arial" w:hAnsi="Arial" w:cs="Arial"/>
          <w:color w:val="000000" w:themeColor="text1"/>
          <w:sz w:val="20"/>
          <w:szCs w:val="20"/>
        </w:rPr>
      </w:pPr>
      <w:r w:rsidRPr="00877F7E">
        <w:rPr>
          <w:rFonts w:ascii="Arial" w:eastAsia="Arial" w:hAnsi="Arial" w:cs="Arial"/>
          <w:color w:val="000000" w:themeColor="text1"/>
          <w:sz w:val="20"/>
          <w:szCs w:val="20"/>
        </w:rPr>
        <w:t xml:space="preserve">[…] </w:t>
      </w:r>
      <w:r w:rsidR="005B1AC9" w:rsidRPr="005B1AC9">
        <w:rPr>
          <w:rFonts w:ascii="Arial" w:eastAsia="Arial" w:hAnsi="Arial" w:cs="Arial"/>
          <w:color w:val="000000" w:themeColor="text1"/>
          <w:sz w:val="20"/>
          <w:szCs w:val="20"/>
        </w:rPr>
        <w:t>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C0760AE" w14:textId="77777777" w:rsidR="00165003" w:rsidRPr="00877F7E" w:rsidRDefault="00165003" w:rsidP="00165003">
      <w:pPr>
        <w:jc w:val="both"/>
      </w:pPr>
    </w:p>
    <w:p w14:paraId="215FF25D" w14:textId="77777777" w:rsidR="00F5160A" w:rsidRPr="001C64F9" w:rsidRDefault="00F5160A" w:rsidP="00F5160A">
      <w:pPr>
        <w:jc w:val="both"/>
        <w:rPr>
          <w:rFonts w:ascii="Arial" w:eastAsia="Calibri" w:hAnsi="Arial" w:cs="Arial"/>
          <w:b/>
          <w:sz w:val="22"/>
          <w:lang w:val="es-ES_tradnl"/>
        </w:rPr>
      </w:pPr>
      <w:r>
        <w:rPr>
          <w:rFonts w:ascii="Arial" w:eastAsia="Calibri" w:hAnsi="Arial" w:cs="Arial"/>
          <w:b/>
          <w:sz w:val="22"/>
          <w:lang w:val="es-ES_tradnl"/>
        </w:rPr>
        <w:t xml:space="preserve">INALTERABILIDAD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 xml:space="preserve">Regla vigente </w:t>
      </w:r>
      <w:r w:rsidRPr="001C64F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Contenido</w:t>
      </w:r>
    </w:p>
    <w:p w14:paraId="78E1998C" w14:textId="77777777" w:rsidR="00F5160A" w:rsidRDefault="00F5160A" w:rsidP="00F5160A">
      <w:pPr>
        <w:jc w:val="both"/>
        <w:rPr>
          <w:rFonts w:ascii="Arial" w:eastAsia="Calibri" w:hAnsi="Arial" w:cs="Arial"/>
          <w:sz w:val="20"/>
          <w:szCs w:val="20"/>
          <w:lang w:val="es-ES_tradnl"/>
        </w:rPr>
      </w:pPr>
    </w:p>
    <w:p w14:paraId="7A084E9D" w14:textId="270232AF" w:rsidR="005B1AC9" w:rsidRPr="00F61217" w:rsidRDefault="005B1AC9" w:rsidP="00F5160A">
      <w:pPr>
        <w:jc w:val="both"/>
        <w:rPr>
          <w:rFonts w:ascii="Arial" w:eastAsia="Calibri" w:hAnsi="Arial" w:cs="Arial"/>
          <w:sz w:val="20"/>
          <w:szCs w:val="20"/>
          <w:lang w:val="es-ES_tradnl"/>
        </w:rPr>
      </w:pPr>
      <w:r w:rsidRPr="005B1AC9">
        <w:rPr>
          <w:rFonts w:ascii="Arial" w:eastAsia="Calibri" w:hAnsi="Arial" w:cs="Arial"/>
          <w:sz w:val="20"/>
          <w:szCs w:val="20"/>
          <w:lang w:val="es-ES_tradnl"/>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D4FC3B3" w14:textId="77777777" w:rsidR="00F5160A" w:rsidRDefault="00F5160A" w:rsidP="00F5160A">
      <w:pPr>
        <w:jc w:val="both"/>
        <w:rPr>
          <w:rFonts w:ascii="Arial" w:eastAsia="Calibri" w:hAnsi="Arial" w:cs="Arial"/>
          <w:sz w:val="20"/>
          <w:szCs w:val="20"/>
          <w:lang w:val="es-ES_tradnl"/>
        </w:rPr>
      </w:pPr>
    </w:p>
    <w:p w14:paraId="3BCB87D4" w14:textId="45915530" w:rsidR="00151C1E" w:rsidRPr="00061E38" w:rsidRDefault="004702FE" w:rsidP="00151C1E">
      <w:pPr>
        <w:jc w:val="both"/>
        <w:rPr>
          <w:rFonts w:ascii="Arial" w:eastAsia="Calibri" w:hAnsi="Arial" w:cs="Arial"/>
          <w:sz w:val="20"/>
          <w:szCs w:val="20"/>
          <w:lang w:val="es-ES_tradnl"/>
        </w:rPr>
      </w:pPr>
      <w:r w:rsidRPr="004702FE">
        <w:rPr>
          <w:rFonts w:ascii="Arial" w:eastAsia="Calibri" w:hAnsi="Arial" w:cs="Arial"/>
          <w:sz w:val="20"/>
          <w:szCs w:val="20"/>
          <w:lang w:val="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097CDAA8" w14:textId="77777777" w:rsidR="00151C1E" w:rsidRDefault="00151C1E" w:rsidP="00151C1E">
      <w:pPr>
        <w:jc w:val="both"/>
        <w:rPr>
          <w:rFonts w:ascii="Arial" w:eastAsia="Calibri" w:hAnsi="Arial" w:cs="Arial"/>
          <w:b/>
          <w:sz w:val="22"/>
          <w:lang w:val="es-ES_tradnl"/>
        </w:rPr>
      </w:pPr>
    </w:p>
    <w:p w14:paraId="2E8EF02F" w14:textId="2C0EFDA7" w:rsidR="00151C1E" w:rsidRPr="001C64F9" w:rsidRDefault="00151C1E" w:rsidP="00151C1E">
      <w:pPr>
        <w:jc w:val="both"/>
        <w:rPr>
          <w:rFonts w:ascii="Arial" w:eastAsia="Calibri" w:hAnsi="Arial" w:cs="Arial"/>
          <w:b/>
          <w:sz w:val="22"/>
          <w:lang w:val="es-ES_tradnl"/>
        </w:rPr>
      </w:pPr>
      <w:r>
        <w:rPr>
          <w:rFonts w:ascii="Arial" w:eastAsia="Calibri" w:hAnsi="Arial" w:cs="Arial"/>
          <w:b/>
          <w:sz w:val="22"/>
          <w:lang w:val="es-ES_tradnl"/>
        </w:rPr>
        <w:t xml:space="preserve">RESOLUCIÓN </w:t>
      </w:r>
      <w:r w:rsidR="00DD0F88">
        <w:rPr>
          <w:rFonts w:ascii="Arial" w:eastAsia="Calibri" w:hAnsi="Arial" w:cs="Arial"/>
          <w:b/>
          <w:sz w:val="22"/>
          <w:lang w:val="es-ES_tradnl"/>
        </w:rPr>
        <w:t>193</w:t>
      </w:r>
      <w:r>
        <w:rPr>
          <w:rFonts w:ascii="Arial" w:eastAsia="Calibri" w:hAnsi="Arial" w:cs="Arial"/>
          <w:b/>
          <w:sz w:val="22"/>
          <w:lang w:val="es-ES_tradnl"/>
        </w:rPr>
        <w:t xml:space="preserve"> DE 202</w:t>
      </w:r>
      <w:r w:rsidR="00DD0F88">
        <w:rPr>
          <w:rFonts w:ascii="Arial" w:eastAsia="Calibri" w:hAnsi="Arial" w:cs="Arial"/>
          <w:b/>
          <w:sz w:val="22"/>
          <w:lang w:val="es-ES_tradnl"/>
        </w:rPr>
        <w:t>1</w:t>
      </w:r>
      <w:r>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 xml:space="preserve">Concurso de méritos </w:t>
      </w:r>
      <w:r w:rsidRPr="001C64F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DD0F88">
        <w:rPr>
          <w:rFonts w:ascii="Arial" w:eastAsia="Calibri" w:hAnsi="Arial" w:cs="Arial"/>
          <w:b/>
          <w:color w:val="000000" w:themeColor="text1"/>
          <w:sz w:val="22"/>
          <w:lang w:val="es-ES_tradnl"/>
        </w:rPr>
        <w:t xml:space="preserve">Consultoría Estudios de ingeniería </w:t>
      </w:r>
      <w:r w:rsidRPr="001C64F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Infraestructura de transporte</w:t>
      </w:r>
    </w:p>
    <w:p w14:paraId="446695D5" w14:textId="687C1457" w:rsidR="00151C1E" w:rsidRDefault="00151C1E" w:rsidP="00F5160A">
      <w:pPr>
        <w:jc w:val="both"/>
        <w:rPr>
          <w:rFonts w:ascii="Arial" w:eastAsia="Calibri" w:hAnsi="Arial" w:cs="Arial"/>
          <w:sz w:val="20"/>
          <w:szCs w:val="20"/>
          <w:lang w:val="es-ES_tradnl"/>
        </w:rPr>
      </w:pPr>
    </w:p>
    <w:p w14:paraId="1339F6B8" w14:textId="77777777" w:rsidR="002A4E45" w:rsidRPr="00F62CB0" w:rsidRDefault="002A4E45" w:rsidP="00F62CB0">
      <w:pPr>
        <w:jc w:val="both"/>
        <w:rPr>
          <w:rFonts w:ascii="Arial" w:hAnsi="Arial" w:cs="Arial"/>
          <w:sz w:val="20"/>
          <w:szCs w:val="20"/>
          <w:lang w:val="es-ES_tradnl"/>
        </w:rPr>
      </w:pPr>
      <w:r w:rsidRPr="00F62CB0">
        <w:rPr>
          <w:rFonts w:ascii="Arial" w:hAnsi="Arial" w:cs="Arial"/>
          <w:sz w:val="20"/>
          <w:szCs w:val="20"/>
          <w:lang w:val="es-ES_tradnl"/>
        </w:rPr>
        <w:t>En ejercicio de la competencia otorgada por el artículo 1 de la Ley 2022 de 2020, la Agencia Nacional de Contratación Pública – Colombia Compra Eficiente expidió la Resolución No. 193 del 14 de julio de 2021, «Por la cual se adoptan los documentos tipo para los procesos de selección de concurso de méritos, para contratar la consultoría de estudios de ingeniería de infraestructura de transporte». El artículo 5 de dicha Resolución dispuso que los documentos tipo que adoptó se deben aplicar «a los procedimientos de selección cuyo aviso de convocatoria se publique el 9 de agosto de 2021 o en una fecha posterior».</w:t>
      </w:r>
    </w:p>
    <w:p w14:paraId="10C2202F" w14:textId="137F7942" w:rsidR="004702FE" w:rsidRPr="00061E38" w:rsidRDefault="002A4E45">
      <w:pPr>
        <w:jc w:val="both"/>
        <w:rPr>
          <w:rFonts w:ascii="Arial" w:eastAsia="Calibri" w:hAnsi="Arial" w:cs="Arial"/>
          <w:sz w:val="20"/>
          <w:szCs w:val="20"/>
          <w:lang w:val="es-ES_tradnl"/>
        </w:rPr>
      </w:pPr>
      <w:r w:rsidRPr="00F62CB0">
        <w:rPr>
          <w:rFonts w:ascii="Arial" w:hAnsi="Arial" w:cs="Arial"/>
          <w:sz w:val="20"/>
          <w:szCs w:val="20"/>
          <w:lang w:val="es-ES_tradnl"/>
        </w:rPr>
        <w:t xml:space="preserve">Así, tanto por el título de la Resolución como por lo establecido en su artículo 1, no cabe duda de que los documentos tipo que en dicho reglamento se crean rigen para la modalidad de concurso de méritos dirigido a contratar la consultoría de estudios de ingeniería de infraestructura de transporte. Por consiguiente, no son aplicables a los procesos de selección de </w:t>
      </w:r>
      <w:r w:rsidRPr="00F62CB0">
        <w:rPr>
          <w:rFonts w:ascii="Arial" w:hAnsi="Arial" w:cs="Arial"/>
          <w:i/>
          <w:iCs/>
          <w:sz w:val="20"/>
          <w:szCs w:val="20"/>
          <w:lang w:val="es-ES_tradnl"/>
        </w:rPr>
        <w:t>mínima cuantía</w:t>
      </w:r>
      <w:r w:rsidRPr="00F62CB0">
        <w:rPr>
          <w:rFonts w:ascii="Arial" w:hAnsi="Arial" w:cs="Arial"/>
          <w:sz w:val="20"/>
          <w:szCs w:val="20"/>
          <w:lang w:val="es-ES_tradnl"/>
        </w:rPr>
        <w:t xml:space="preserve"> mediante los cuales se efectúe la contratación de consultoría de infraestructura de transporte.</w:t>
      </w:r>
    </w:p>
    <w:p w14:paraId="1322299F" w14:textId="77777777" w:rsidR="00061E38" w:rsidRDefault="00061E38" w:rsidP="00061E38">
      <w:pPr>
        <w:jc w:val="both"/>
      </w:pPr>
    </w:p>
    <w:p w14:paraId="38FD8C03" w14:textId="3B291FD8" w:rsidR="00061E38" w:rsidRDefault="00061E38" w:rsidP="00061E38">
      <w:pPr>
        <w:jc w:val="both"/>
        <w:rPr>
          <w:rFonts w:ascii="Arial" w:hAnsi="Arial" w:cs="Arial"/>
          <w:b/>
          <w:bCs/>
          <w:sz w:val="22"/>
          <w:szCs w:val="22"/>
        </w:rPr>
      </w:pPr>
      <w:r>
        <w:rPr>
          <w:rFonts w:ascii="Arial" w:hAnsi="Arial" w:cs="Arial"/>
          <w:b/>
          <w:bCs/>
          <w:sz w:val="22"/>
          <w:szCs w:val="22"/>
        </w:rPr>
        <w:t>DOCUMENTOS TIPO – Consultoría – Estudios de ingeniería – Infraestructura de transporte – Mínima cuantía – Aplicación – Excepción</w:t>
      </w:r>
    </w:p>
    <w:p w14:paraId="7C82A5F6" w14:textId="77777777" w:rsidR="00061E38" w:rsidRPr="00061E38" w:rsidRDefault="00061E38" w:rsidP="00061E38">
      <w:pPr>
        <w:jc w:val="both"/>
        <w:rPr>
          <w:rFonts w:ascii="Arial" w:hAnsi="Arial" w:cs="Arial"/>
          <w:b/>
          <w:bCs/>
          <w:sz w:val="22"/>
          <w:szCs w:val="22"/>
        </w:rPr>
      </w:pPr>
    </w:p>
    <w:p w14:paraId="67AC1D5B" w14:textId="2D58FEF3" w:rsidR="001B6F69" w:rsidRPr="00EC07A0" w:rsidRDefault="00864234" w:rsidP="00F62CB0">
      <w:pPr>
        <w:pStyle w:val="Normal11pt"/>
        <w:spacing w:after="120"/>
        <w:ind w:left="0"/>
        <w:rPr>
          <w:sz w:val="20"/>
          <w:szCs w:val="20"/>
        </w:rPr>
      </w:pPr>
      <w:r w:rsidRPr="00F62CB0">
        <w:rPr>
          <w:rFonts w:eastAsia="Calibri"/>
          <w:color w:val="000000" w:themeColor="text1"/>
          <w:sz w:val="20"/>
          <w:szCs w:val="20"/>
        </w:rPr>
        <w:t>Entonces, como se observa de lo anterior, en relación con el proceso de selección de mínima cuantía el criterio determinante para establecer la procedencia de esta modalidad de selección de contratistas es la cuantía, y ello, se reitera, con independencia del objeto a contratar, lo que se traduce en que, frente a la eventual concurrencia de este procedimiento con el concurso de méritos, por disposición legal, deberá preferirse aquella modalidad –mínima cuantía–.</w:t>
      </w:r>
      <w:r w:rsidR="001B6F69" w:rsidRPr="00EC07A0">
        <w:rPr>
          <w:rFonts w:eastAsia="Calibri"/>
          <w:color w:val="000000" w:themeColor="text1"/>
          <w:sz w:val="20"/>
          <w:szCs w:val="20"/>
        </w:rPr>
        <w:t xml:space="preserve"> </w:t>
      </w:r>
    </w:p>
    <w:p w14:paraId="0BF6E528" w14:textId="7E801B35" w:rsidR="001B6F69" w:rsidRPr="00EC07A0" w:rsidRDefault="001B6F69" w:rsidP="001B6F69">
      <w:pPr>
        <w:jc w:val="both"/>
        <w:textAlignment w:val="baseline"/>
        <w:rPr>
          <w:rFonts w:ascii="Segoe UI" w:hAnsi="Segoe UI" w:cs="Segoe UI"/>
          <w:color w:val="000000"/>
          <w:sz w:val="20"/>
          <w:szCs w:val="20"/>
          <w:lang w:val="es-MX" w:eastAsia="es-MX"/>
        </w:rPr>
      </w:pPr>
      <w:r w:rsidRPr="00EC07A0">
        <w:rPr>
          <w:rFonts w:ascii="Arial" w:hAnsi="Arial" w:cs="Arial"/>
          <w:color w:val="000000"/>
          <w:sz w:val="20"/>
          <w:szCs w:val="20"/>
          <w:lang w:val="es-ES" w:eastAsia="es-MX"/>
        </w:rPr>
        <w:t>[…]</w:t>
      </w:r>
      <w:r w:rsidR="00864234" w:rsidRPr="00EC07A0">
        <w:rPr>
          <w:rFonts w:ascii="Arial" w:hAnsi="Arial" w:cs="Arial"/>
          <w:color w:val="000000"/>
          <w:sz w:val="20"/>
          <w:szCs w:val="20"/>
          <w:lang w:val="es-ES" w:eastAsia="es-MX"/>
        </w:rPr>
        <w:t xml:space="preserve"> </w:t>
      </w:r>
      <w:r w:rsidR="00864234" w:rsidRPr="00F62CB0">
        <w:rPr>
          <w:rFonts w:ascii="Arial" w:hAnsi="Arial" w:cs="Arial"/>
          <w:color w:val="000000"/>
          <w:sz w:val="20"/>
          <w:szCs w:val="20"/>
          <w:lang w:val="es-ES" w:eastAsia="es-MX"/>
        </w:rPr>
        <w:t>Sin embargo, no es menos cierto que en virtud de la Ley 2022 de 2020 y el artículo 1 de la Resolución No. 193 del 14 de julio de 2021, los documentos tipo adoptados mediante este acto administrativo únicamente son obligatorios para la consultoría de estudios de ingeniería de infraestructura de transporte adelantados mediante la modalidad de concurso de méritos. De esta manera, aunque no son obligatorios para los contratos de consultoría de estudios de ingeniería adelantados por mínima cuantía, nada obsta para que –sin desconocer las diferencias entre ambos procedimientos de selección– se adopten potestativamente algunos contenidos de los documentos tipo citados como criterio de buena práctica contractual, haciendo las adaptaciones pertinentes para la contratación cuyo valor no exceda el diez por ciento –10%– de la menor cuantía.</w:t>
      </w:r>
    </w:p>
    <w:p w14:paraId="19C1E58F" w14:textId="77777777" w:rsidR="001B6F69" w:rsidRDefault="001B6F69" w:rsidP="001B6F69">
      <w:pPr>
        <w:pStyle w:val="Normal11pt"/>
        <w:spacing w:line="276" w:lineRule="auto"/>
        <w:ind w:left="0"/>
      </w:pPr>
    </w:p>
    <w:p w14:paraId="3DF5A7AA" w14:textId="77777777" w:rsidR="002F3A37" w:rsidRDefault="002F3A37" w:rsidP="00B95C30">
      <w:pPr>
        <w:spacing w:line="276" w:lineRule="auto"/>
        <w:jc w:val="both"/>
        <w:rPr>
          <w:rFonts w:ascii="Arial" w:hAnsi="Arial" w:cs="Arial"/>
          <w:noProof/>
          <w:color w:val="000000" w:themeColor="text1"/>
          <w:sz w:val="22"/>
          <w:lang w:val="es-ES_tradnl"/>
        </w:rPr>
      </w:pPr>
    </w:p>
    <w:p w14:paraId="404B6AC2" w14:textId="77777777" w:rsidR="002F3A37" w:rsidRDefault="002F3A37" w:rsidP="00B95C30">
      <w:pPr>
        <w:spacing w:line="276" w:lineRule="auto"/>
        <w:jc w:val="both"/>
        <w:rPr>
          <w:rFonts w:ascii="Arial" w:hAnsi="Arial" w:cs="Arial"/>
          <w:noProof/>
          <w:color w:val="000000" w:themeColor="text1"/>
          <w:sz w:val="22"/>
          <w:lang w:val="es-ES_tradnl"/>
        </w:rPr>
      </w:pPr>
    </w:p>
    <w:p w14:paraId="71A2E1C9" w14:textId="77777777" w:rsidR="002F3A37" w:rsidRDefault="002F3A37" w:rsidP="00B95C30">
      <w:pPr>
        <w:spacing w:line="276" w:lineRule="auto"/>
        <w:jc w:val="both"/>
        <w:rPr>
          <w:rFonts w:ascii="Arial" w:hAnsi="Arial" w:cs="Arial"/>
          <w:noProof/>
          <w:color w:val="000000" w:themeColor="text1"/>
          <w:sz w:val="22"/>
          <w:lang w:val="es-ES_tradnl"/>
        </w:rPr>
      </w:pPr>
    </w:p>
    <w:p w14:paraId="48A29B1D" w14:textId="77777777" w:rsidR="006C08E4" w:rsidRDefault="006C08E4" w:rsidP="00B95C30">
      <w:pPr>
        <w:spacing w:line="276" w:lineRule="auto"/>
        <w:jc w:val="both"/>
        <w:rPr>
          <w:rFonts w:ascii="Arial" w:hAnsi="Arial" w:cs="Arial"/>
          <w:noProof/>
          <w:color w:val="000000" w:themeColor="text1"/>
          <w:sz w:val="22"/>
          <w:lang w:val="es-ES_tradnl"/>
        </w:rPr>
      </w:pPr>
    </w:p>
    <w:p w14:paraId="0D29D042" w14:textId="2A22FDF4" w:rsidR="00231BEE" w:rsidRDefault="00231BEE" w:rsidP="00B95C30">
      <w:pPr>
        <w:spacing w:line="276" w:lineRule="auto"/>
        <w:jc w:val="both"/>
        <w:rPr>
          <w:rFonts w:ascii="Arial" w:hAnsi="Arial" w:cs="Arial"/>
          <w:noProof/>
          <w:color w:val="000000" w:themeColor="text1"/>
          <w:sz w:val="22"/>
          <w:lang w:val="es-ES_tradnl"/>
        </w:rPr>
      </w:pPr>
    </w:p>
    <w:p w14:paraId="1B753164" w14:textId="34822870" w:rsidR="001D2CB3" w:rsidRDefault="001D2CB3" w:rsidP="00B95C30">
      <w:pPr>
        <w:spacing w:line="276" w:lineRule="auto"/>
        <w:jc w:val="both"/>
        <w:rPr>
          <w:rFonts w:ascii="Arial" w:hAnsi="Arial" w:cs="Arial"/>
          <w:noProof/>
          <w:color w:val="000000" w:themeColor="text1"/>
          <w:sz w:val="22"/>
          <w:lang w:val="es-ES_tradnl"/>
        </w:rPr>
      </w:pPr>
    </w:p>
    <w:p w14:paraId="005625F6" w14:textId="03FAF69C" w:rsidR="00A46973" w:rsidRDefault="00A46973" w:rsidP="00B95C30">
      <w:pPr>
        <w:spacing w:line="276" w:lineRule="auto"/>
        <w:jc w:val="both"/>
        <w:rPr>
          <w:rFonts w:ascii="Arial" w:hAnsi="Arial" w:cs="Arial"/>
          <w:noProof/>
          <w:color w:val="000000" w:themeColor="text1"/>
          <w:sz w:val="22"/>
          <w:lang w:val="es-ES_tradnl"/>
        </w:rPr>
      </w:pPr>
    </w:p>
    <w:p w14:paraId="4DD3608A" w14:textId="02E3FFCB" w:rsidR="00A46973" w:rsidRDefault="00A46973" w:rsidP="00B95C30">
      <w:pPr>
        <w:spacing w:line="276" w:lineRule="auto"/>
        <w:jc w:val="both"/>
        <w:rPr>
          <w:rFonts w:ascii="Arial" w:hAnsi="Arial" w:cs="Arial"/>
          <w:noProof/>
          <w:color w:val="000000" w:themeColor="text1"/>
          <w:sz w:val="22"/>
          <w:lang w:val="es-ES_tradnl"/>
        </w:rPr>
      </w:pPr>
    </w:p>
    <w:p w14:paraId="7FD8BC39" w14:textId="69BCD6A8" w:rsidR="00A46973" w:rsidRDefault="00A46973" w:rsidP="00B95C30">
      <w:pPr>
        <w:spacing w:line="276" w:lineRule="auto"/>
        <w:jc w:val="both"/>
        <w:rPr>
          <w:rFonts w:ascii="Arial" w:hAnsi="Arial" w:cs="Arial"/>
          <w:noProof/>
          <w:color w:val="000000" w:themeColor="text1"/>
          <w:sz w:val="22"/>
          <w:lang w:val="es-ES_tradnl"/>
        </w:rPr>
      </w:pPr>
    </w:p>
    <w:p w14:paraId="0C83E70B" w14:textId="1E4A286B" w:rsidR="00A46973" w:rsidRDefault="00A46973" w:rsidP="00B95C30">
      <w:pPr>
        <w:spacing w:line="276" w:lineRule="auto"/>
        <w:jc w:val="both"/>
        <w:rPr>
          <w:rFonts w:ascii="Arial" w:hAnsi="Arial" w:cs="Arial"/>
          <w:noProof/>
          <w:color w:val="000000" w:themeColor="text1"/>
          <w:sz w:val="22"/>
          <w:lang w:val="es-ES_tradnl"/>
        </w:rPr>
      </w:pPr>
    </w:p>
    <w:p w14:paraId="1DFD6205" w14:textId="64EC29A2" w:rsidR="00A46973" w:rsidRDefault="00A46973" w:rsidP="00B95C30">
      <w:pPr>
        <w:spacing w:line="276" w:lineRule="auto"/>
        <w:jc w:val="both"/>
        <w:rPr>
          <w:rFonts w:ascii="Arial" w:hAnsi="Arial" w:cs="Arial"/>
          <w:noProof/>
          <w:color w:val="000000" w:themeColor="text1"/>
          <w:sz w:val="22"/>
          <w:lang w:val="es-ES_tradnl"/>
        </w:rPr>
      </w:pPr>
    </w:p>
    <w:p w14:paraId="5306107B" w14:textId="018DBD42" w:rsidR="00A46973" w:rsidRDefault="00A46973" w:rsidP="00B95C30">
      <w:pPr>
        <w:spacing w:line="276" w:lineRule="auto"/>
        <w:jc w:val="both"/>
        <w:rPr>
          <w:rFonts w:ascii="Arial" w:hAnsi="Arial" w:cs="Arial"/>
          <w:noProof/>
          <w:color w:val="000000" w:themeColor="text1"/>
          <w:sz w:val="22"/>
          <w:lang w:val="es-ES_tradnl"/>
        </w:rPr>
      </w:pPr>
    </w:p>
    <w:p w14:paraId="35A25057" w14:textId="71395510" w:rsidR="00A46973" w:rsidRDefault="00A46973" w:rsidP="00B95C30">
      <w:pPr>
        <w:spacing w:line="276" w:lineRule="auto"/>
        <w:jc w:val="both"/>
        <w:rPr>
          <w:rFonts w:ascii="Arial" w:hAnsi="Arial" w:cs="Arial"/>
          <w:noProof/>
          <w:color w:val="000000" w:themeColor="text1"/>
          <w:sz w:val="22"/>
          <w:lang w:val="es-ES_tradnl"/>
        </w:rPr>
      </w:pPr>
    </w:p>
    <w:p w14:paraId="3F813CE6" w14:textId="0E3C734F" w:rsidR="00A46973" w:rsidRDefault="00A46973" w:rsidP="00B95C30">
      <w:pPr>
        <w:spacing w:line="276" w:lineRule="auto"/>
        <w:jc w:val="both"/>
        <w:rPr>
          <w:rFonts w:ascii="Arial" w:hAnsi="Arial" w:cs="Arial"/>
          <w:noProof/>
          <w:color w:val="000000" w:themeColor="text1"/>
          <w:sz w:val="22"/>
          <w:lang w:val="es-ES_tradnl"/>
        </w:rPr>
      </w:pPr>
    </w:p>
    <w:p w14:paraId="40205226" w14:textId="05310C1E" w:rsidR="00A46973" w:rsidRDefault="00A46973" w:rsidP="00B95C30">
      <w:pPr>
        <w:spacing w:line="276" w:lineRule="auto"/>
        <w:jc w:val="both"/>
        <w:rPr>
          <w:rFonts w:ascii="Arial" w:hAnsi="Arial" w:cs="Arial"/>
          <w:noProof/>
          <w:color w:val="000000" w:themeColor="text1"/>
          <w:sz w:val="22"/>
          <w:lang w:val="es-ES_tradnl"/>
        </w:rPr>
      </w:pPr>
    </w:p>
    <w:p w14:paraId="45AA9F3C" w14:textId="30EF8119" w:rsidR="00A46973" w:rsidRDefault="00A46973" w:rsidP="00B95C30">
      <w:pPr>
        <w:spacing w:line="276" w:lineRule="auto"/>
        <w:jc w:val="both"/>
        <w:rPr>
          <w:rFonts w:ascii="Arial" w:hAnsi="Arial" w:cs="Arial"/>
          <w:noProof/>
          <w:color w:val="000000" w:themeColor="text1"/>
          <w:sz w:val="22"/>
          <w:lang w:val="es-ES_tradnl"/>
        </w:rPr>
      </w:pPr>
    </w:p>
    <w:p w14:paraId="6F38752B" w14:textId="3EF0C72F" w:rsidR="00A46973" w:rsidRDefault="00A46973" w:rsidP="00B95C30">
      <w:pPr>
        <w:spacing w:line="276" w:lineRule="auto"/>
        <w:jc w:val="both"/>
        <w:rPr>
          <w:rFonts w:ascii="Arial" w:hAnsi="Arial" w:cs="Arial"/>
          <w:noProof/>
          <w:color w:val="000000" w:themeColor="text1"/>
          <w:sz w:val="22"/>
          <w:lang w:val="es-ES_tradnl"/>
        </w:rPr>
      </w:pPr>
    </w:p>
    <w:p w14:paraId="36161EAE" w14:textId="3958EC89" w:rsidR="00A46973" w:rsidRDefault="00A46973" w:rsidP="00B95C30">
      <w:pPr>
        <w:spacing w:line="276" w:lineRule="auto"/>
        <w:jc w:val="both"/>
        <w:rPr>
          <w:rFonts w:ascii="Arial" w:hAnsi="Arial" w:cs="Arial"/>
          <w:noProof/>
          <w:color w:val="000000" w:themeColor="text1"/>
          <w:sz w:val="22"/>
          <w:lang w:val="es-ES_tradnl"/>
        </w:rPr>
      </w:pPr>
    </w:p>
    <w:p w14:paraId="23771405" w14:textId="280E95B2" w:rsidR="00A46973" w:rsidRDefault="00A46973" w:rsidP="00B95C30">
      <w:pPr>
        <w:spacing w:line="276" w:lineRule="auto"/>
        <w:jc w:val="both"/>
        <w:rPr>
          <w:rFonts w:ascii="Arial" w:hAnsi="Arial" w:cs="Arial"/>
          <w:noProof/>
          <w:color w:val="000000" w:themeColor="text1"/>
          <w:sz w:val="22"/>
          <w:lang w:val="es-ES_tradnl"/>
        </w:rPr>
      </w:pPr>
    </w:p>
    <w:p w14:paraId="52918FD3" w14:textId="4702490C" w:rsidR="00A46973" w:rsidRDefault="00A46973" w:rsidP="00B95C30">
      <w:pPr>
        <w:spacing w:line="276" w:lineRule="auto"/>
        <w:jc w:val="both"/>
        <w:rPr>
          <w:rFonts w:ascii="Arial" w:hAnsi="Arial" w:cs="Arial"/>
          <w:noProof/>
          <w:color w:val="000000" w:themeColor="text1"/>
          <w:sz w:val="22"/>
          <w:lang w:val="es-ES_tradnl"/>
        </w:rPr>
      </w:pPr>
    </w:p>
    <w:p w14:paraId="3DB91D69" w14:textId="54BA464A" w:rsidR="00A46973" w:rsidRDefault="00A46973" w:rsidP="00B95C30">
      <w:pPr>
        <w:spacing w:line="276" w:lineRule="auto"/>
        <w:jc w:val="both"/>
        <w:rPr>
          <w:rFonts w:ascii="Arial" w:hAnsi="Arial" w:cs="Arial"/>
          <w:noProof/>
          <w:color w:val="000000" w:themeColor="text1"/>
          <w:sz w:val="22"/>
          <w:lang w:val="es-ES_tradnl"/>
        </w:rPr>
      </w:pPr>
    </w:p>
    <w:p w14:paraId="28BA9CD2" w14:textId="5CA7BE28" w:rsidR="00DD0F88" w:rsidRDefault="00DD0F88" w:rsidP="00B95C30">
      <w:pPr>
        <w:spacing w:line="276" w:lineRule="auto"/>
        <w:jc w:val="both"/>
        <w:rPr>
          <w:rFonts w:ascii="Arial" w:hAnsi="Arial" w:cs="Arial"/>
          <w:noProof/>
          <w:color w:val="000000" w:themeColor="text1"/>
          <w:sz w:val="22"/>
          <w:lang w:val="es-ES_tradnl"/>
        </w:rPr>
      </w:pPr>
    </w:p>
    <w:p w14:paraId="2A36E3C4" w14:textId="77777777" w:rsidR="00061E38" w:rsidRDefault="00061E38" w:rsidP="00B95C30">
      <w:pPr>
        <w:spacing w:line="276" w:lineRule="auto"/>
        <w:jc w:val="both"/>
        <w:rPr>
          <w:rFonts w:ascii="Arial" w:hAnsi="Arial" w:cs="Arial"/>
          <w:noProof/>
          <w:color w:val="000000" w:themeColor="text1"/>
          <w:sz w:val="22"/>
          <w:lang w:val="es-ES_tradnl"/>
        </w:rPr>
      </w:pPr>
    </w:p>
    <w:p w14:paraId="25F7537D" w14:textId="77777777" w:rsidR="00832695" w:rsidRDefault="00832695" w:rsidP="00B95C30">
      <w:pPr>
        <w:spacing w:line="276" w:lineRule="auto"/>
        <w:jc w:val="both"/>
        <w:rPr>
          <w:rFonts w:ascii="Arial" w:hAnsi="Arial" w:cs="Arial"/>
          <w:noProof/>
          <w:color w:val="000000" w:themeColor="text1"/>
          <w:sz w:val="22"/>
          <w:lang w:val="es-ES_tradnl"/>
        </w:rPr>
      </w:pPr>
      <w:bookmarkStart w:id="2" w:name="_Hlk68876025"/>
    </w:p>
    <w:p w14:paraId="77E00F0B" w14:textId="77777777" w:rsidR="00832695" w:rsidRDefault="00832695" w:rsidP="00B95C30">
      <w:pPr>
        <w:spacing w:line="276" w:lineRule="auto"/>
        <w:jc w:val="both"/>
        <w:rPr>
          <w:rFonts w:ascii="Arial" w:hAnsi="Arial" w:cs="Arial"/>
          <w:noProof/>
          <w:color w:val="000000" w:themeColor="text1"/>
          <w:sz w:val="22"/>
          <w:lang w:val="es-ES_tradnl"/>
        </w:rPr>
      </w:pPr>
    </w:p>
    <w:p w14:paraId="7DD48F49" w14:textId="3BC6BCEA" w:rsidR="00B95C30" w:rsidRDefault="00B95C30" w:rsidP="00B95C30">
      <w:pPr>
        <w:spacing w:line="276" w:lineRule="auto"/>
        <w:jc w:val="both"/>
        <w:rPr>
          <w:rFonts w:ascii="Arial" w:hAnsi="Arial" w:cs="Arial"/>
          <w:noProof/>
          <w:color w:val="000000" w:themeColor="text1"/>
          <w:sz w:val="22"/>
          <w:lang w:val="es-ES_tradnl"/>
        </w:rPr>
      </w:pPr>
      <w:r w:rsidRPr="00A43C00">
        <w:rPr>
          <w:rFonts w:ascii="Arial" w:hAnsi="Arial" w:cs="Arial"/>
          <w:noProof/>
          <w:color w:val="000000" w:themeColor="text1"/>
          <w:sz w:val="22"/>
          <w:lang w:val="es-ES_tradnl"/>
        </w:rPr>
        <w:t>Bogotá D.C</w:t>
      </w:r>
      <w:bookmarkEnd w:id="2"/>
      <w:r w:rsidR="00606B43">
        <w:rPr>
          <w:rFonts w:ascii="Arial" w:hAnsi="Arial" w:cs="Arial"/>
          <w:noProof/>
          <w:color w:val="000000" w:themeColor="text1"/>
          <w:sz w:val="22"/>
          <w:lang w:val="es-ES_tradnl"/>
        </w:rPr>
        <w:t xml:space="preserve">, </w:t>
      </w:r>
      <w:r w:rsidR="008E14CC">
        <w:rPr>
          <w:rFonts w:ascii="Arial" w:hAnsi="Arial" w:cs="Arial"/>
          <w:noProof/>
          <w:color w:val="000000" w:themeColor="text1"/>
          <w:sz w:val="22"/>
          <w:lang w:val="es-ES_tradnl"/>
        </w:rPr>
        <w:t>29 de octubre de 2021</w:t>
      </w:r>
    </w:p>
    <w:p w14:paraId="524A2BAF" w14:textId="6A3FE14D" w:rsidR="008E14CC" w:rsidRDefault="008E14CC" w:rsidP="008E14CC">
      <w:pPr>
        <w:spacing w:line="276" w:lineRule="auto"/>
        <w:jc w:val="right"/>
        <w:rPr>
          <w:rFonts w:ascii="Arial" w:hAnsi="Arial" w:cs="Arial"/>
          <w:b/>
          <w:bCs/>
          <w:noProof/>
          <w:color w:val="000000" w:themeColor="text1"/>
          <w:sz w:val="22"/>
          <w:lang w:val="es-ES_tradnl"/>
        </w:rPr>
      </w:pPr>
      <w:r>
        <w:rPr>
          <w:noProof/>
        </w:rPr>
        <w:drawing>
          <wp:inline distT="0" distB="0" distL="0" distR="0" wp14:anchorId="2FB32E26" wp14:editId="07FE4638">
            <wp:extent cx="2733675" cy="7334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a:stretch>
                      <a:fillRect/>
                    </a:stretch>
                  </pic:blipFill>
                  <pic:spPr>
                    <a:xfrm>
                      <a:off x="0" y="0"/>
                      <a:ext cx="2733675" cy="733425"/>
                    </a:xfrm>
                    <a:prstGeom prst="rect">
                      <a:avLst/>
                    </a:prstGeom>
                  </pic:spPr>
                </pic:pic>
              </a:graphicData>
            </a:graphic>
          </wp:inline>
        </w:drawing>
      </w:r>
    </w:p>
    <w:p w14:paraId="6A8A869B" w14:textId="65E47156" w:rsidR="00B95C30" w:rsidRDefault="00B95C30" w:rsidP="00B95C30">
      <w:pPr>
        <w:jc w:val="both"/>
        <w:rPr>
          <w:rFonts w:ascii="Arial" w:hAnsi="Arial" w:cs="Arial"/>
          <w:b/>
          <w:color w:val="000000" w:themeColor="text1"/>
          <w:sz w:val="22"/>
          <w:lang w:val="es-ES_tradnl"/>
        </w:rPr>
      </w:pPr>
    </w:p>
    <w:p w14:paraId="5F5AE9EF" w14:textId="32ABF83C" w:rsidR="00B95C30" w:rsidRPr="00A43C00" w:rsidRDefault="00B95C30" w:rsidP="00B95C30">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Señor</w:t>
      </w:r>
    </w:p>
    <w:p w14:paraId="7F77A874" w14:textId="28794D8F" w:rsidR="001B6F69" w:rsidRDefault="001B6F69" w:rsidP="00B95C30">
      <w:pPr>
        <w:jc w:val="both"/>
        <w:rPr>
          <w:rFonts w:ascii="Arial" w:eastAsia="Calibri" w:hAnsi="Arial" w:cs="Arial"/>
          <w:b/>
          <w:color w:val="000000" w:themeColor="text1"/>
          <w:sz w:val="22"/>
          <w:lang w:val="es-ES_tradnl"/>
        </w:rPr>
      </w:pPr>
      <w:r w:rsidRPr="001B6F69">
        <w:rPr>
          <w:rFonts w:ascii="Arial" w:eastAsia="Calibri" w:hAnsi="Arial" w:cs="Arial"/>
          <w:b/>
          <w:color w:val="000000" w:themeColor="text1"/>
          <w:sz w:val="22"/>
          <w:lang w:val="es-ES_tradnl"/>
        </w:rPr>
        <w:t>ALFREDO ODACID</w:t>
      </w:r>
      <w:r>
        <w:rPr>
          <w:rFonts w:ascii="Arial" w:eastAsia="Calibri" w:hAnsi="Arial" w:cs="Arial"/>
          <w:b/>
          <w:color w:val="000000" w:themeColor="text1"/>
          <w:sz w:val="22"/>
          <w:lang w:val="es-ES_tradnl"/>
        </w:rPr>
        <w:t xml:space="preserve"> VALENCIA DOVALE</w:t>
      </w:r>
    </w:p>
    <w:p w14:paraId="3F3D1203" w14:textId="37641BA8" w:rsidR="00B95C30" w:rsidRPr="00A43C00" w:rsidRDefault="001B6F69"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Samaná</w:t>
      </w:r>
      <w:r w:rsidR="00606B43">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Caldas</w:t>
      </w:r>
    </w:p>
    <w:p w14:paraId="24E8D2A9" w14:textId="1CCDB599" w:rsidR="00B95C30" w:rsidRDefault="00B95C30" w:rsidP="00B95C30">
      <w:pPr>
        <w:jc w:val="both"/>
        <w:rPr>
          <w:rFonts w:ascii="Arial" w:eastAsia="Calibri" w:hAnsi="Arial" w:cs="Arial"/>
          <w:color w:val="000000" w:themeColor="text1"/>
          <w:sz w:val="22"/>
          <w:lang w:val="es-ES_tradnl"/>
        </w:rPr>
      </w:pPr>
    </w:p>
    <w:p w14:paraId="1ABC6356" w14:textId="77777777" w:rsidR="001D2CB3" w:rsidRPr="00A43C00" w:rsidRDefault="001D2CB3" w:rsidP="00B95C30">
      <w:pPr>
        <w:jc w:val="both"/>
        <w:rPr>
          <w:rFonts w:ascii="Arial" w:eastAsia="Calibri" w:hAnsi="Arial" w:cs="Arial"/>
          <w:color w:val="000000" w:themeColor="text1"/>
          <w:sz w:val="22"/>
          <w:lang w:val="es-ES_tradnl"/>
        </w:rPr>
      </w:pPr>
    </w:p>
    <w:p w14:paraId="12E66182" w14:textId="04730962" w:rsidR="00B95C30" w:rsidRPr="00A43C00" w:rsidRDefault="001D2CB3" w:rsidP="00FA45D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9D7BB6">
        <w:rPr>
          <w:rFonts w:ascii="Arial" w:eastAsia="Calibri" w:hAnsi="Arial" w:cs="Arial"/>
          <w:b/>
          <w:bCs/>
          <w:color w:val="000000" w:themeColor="text1"/>
          <w:sz w:val="22"/>
          <w:lang w:val="es-ES_tradnl"/>
        </w:rPr>
        <w:t xml:space="preserve">Concepto C ‒ </w:t>
      </w:r>
      <w:r w:rsidR="003F4C03">
        <w:rPr>
          <w:rFonts w:ascii="Arial" w:eastAsia="Calibri" w:hAnsi="Arial" w:cs="Arial"/>
          <w:b/>
          <w:bCs/>
          <w:color w:val="000000" w:themeColor="text1"/>
          <w:sz w:val="22"/>
          <w:lang w:val="es-ES_tradnl"/>
        </w:rPr>
        <w:t>6</w:t>
      </w:r>
      <w:r w:rsidR="001B6F69">
        <w:rPr>
          <w:rFonts w:ascii="Arial" w:eastAsia="Calibri" w:hAnsi="Arial" w:cs="Arial"/>
          <w:b/>
          <w:bCs/>
          <w:color w:val="000000" w:themeColor="text1"/>
          <w:sz w:val="22"/>
          <w:lang w:val="es-ES_tradnl"/>
        </w:rPr>
        <w:t>12</w:t>
      </w:r>
      <w:r w:rsidR="00B95C30" w:rsidRPr="009D7BB6">
        <w:rPr>
          <w:rFonts w:ascii="Arial" w:eastAsia="Calibri" w:hAnsi="Arial" w:cs="Arial"/>
          <w:b/>
          <w:bCs/>
          <w:color w:val="000000" w:themeColor="text1"/>
          <w:sz w:val="22"/>
          <w:lang w:val="es-ES_tradnl"/>
        </w:rPr>
        <w:t xml:space="preserve"> de 202</w:t>
      </w:r>
      <w:r w:rsidR="00C56976" w:rsidRPr="009D7BB6">
        <w:rPr>
          <w:rFonts w:ascii="Arial" w:eastAsia="Calibri" w:hAnsi="Arial" w:cs="Arial"/>
          <w:b/>
          <w:bCs/>
          <w:color w:val="000000" w:themeColor="text1"/>
          <w:sz w:val="22"/>
          <w:lang w:val="es-ES_tradnl"/>
        </w:rPr>
        <w:t>1</w:t>
      </w:r>
    </w:p>
    <w:p w14:paraId="1BD594F9" w14:textId="77777777" w:rsidR="00B95C30" w:rsidRPr="00A43C0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43C00" w14:paraId="19DFC051" w14:textId="77777777" w:rsidTr="002442D4">
        <w:tc>
          <w:tcPr>
            <w:tcW w:w="2689" w:type="dxa"/>
          </w:tcPr>
          <w:p w14:paraId="6BC0D1AC" w14:textId="77777777" w:rsidR="00B95C30" w:rsidRPr="00A43C00" w:rsidRDefault="00B95C30" w:rsidP="002442D4">
            <w:pPr>
              <w:jc w:val="both"/>
              <w:rPr>
                <w:rFonts w:ascii="Arial" w:eastAsia="Calibri" w:hAnsi="Arial" w:cs="Arial"/>
                <w:color w:val="000000" w:themeColor="text1"/>
                <w:sz w:val="22"/>
                <w:lang w:val="es-ES_tradnl"/>
              </w:rPr>
            </w:pPr>
            <w:r w:rsidRPr="00A43C00">
              <w:rPr>
                <w:rFonts w:ascii="Arial" w:eastAsia="Calibri" w:hAnsi="Arial" w:cs="Arial"/>
                <w:b/>
                <w:color w:val="000000" w:themeColor="text1"/>
                <w:sz w:val="22"/>
                <w:lang w:val="es-ES_tradnl"/>
              </w:rPr>
              <w:t>Temas:</w:t>
            </w:r>
            <w:r w:rsidRPr="00A43C00">
              <w:rPr>
                <w:rFonts w:ascii="Arial" w:eastAsia="Calibri" w:hAnsi="Arial" w:cs="Arial"/>
                <w:color w:val="000000" w:themeColor="text1"/>
                <w:sz w:val="22"/>
                <w:lang w:val="es-ES_tradnl"/>
              </w:rPr>
              <w:t xml:space="preserve">                                      </w:t>
            </w:r>
          </w:p>
        </w:tc>
        <w:tc>
          <w:tcPr>
            <w:tcW w:w="6237" w:type="dxa"/>
          </w:tcPr>
          <w:p w14:paraId="5F389CAF" w14:textId="687FC242" w:rsidR="00B95C30" w:rsidRPr="006C08E4" w:rsidRDefault="006C08E4" w:rsidP="007B15DE">
            <w:pPr>
              <w:jc w:val="both"/>
              <w:rPr>
                <w:lang w:val="es-ES_tradnl"/>
              </w:rPr>
            </w:pPr>
            <w:r w:rsidRPr="006C08E4">
              <w:rPr>
                <w:rFonts w:ascii="Arial" w:eastAsia="Calibri" w:hAnsi="Arial" w:cs="Arial"/>
                <w:bCs/>
                <w:sz w:val="22"/>
                <w:lang w:val="es-ES_tradnl"/>
              </w:rPr>
              <w:t xml:space="preserve">DOCUMENTOS TIPO – Fundamento normativo – </w:t>
            </w:r>
            <w:r w:rsidR="00165003">
              <w:rPr>
                <w:rFonts w:ascii="Arial" w:eastAsia="Calibri" w:hAnsi="Arial" w:cs="Arial"/>
                <w:bCs/>
                <w:sz w:val="22"/>
                <w:lang w:val="es-ES_tradnl"/>
              </w:rPr>
              <w:t>Documentos adoptados</w:t>
            </w:r>
            <w:r w:rsidRPr="006C08E4">
              <w:rPr>
                <w:rFonts w:ascii="Arial" w:eastAsia="Calibri" w:hAnsi="Arial" w:cs="Arial"/>
                <w:bCs/>
                <w:sz w:val="22"/>
                <w:lang w:val="es-ES_tradnl"/>
              </w:rPr>
              <w:t xml:space="preserve"> </w:t>
            </w:r>
            <w:r w:rsidR="00B76F9D" w:rsidRPr="006C08E4">
              <w:rPr>
                <w:rFonts w:ascii="Arial" w:eastAsia="Calibri" w:hAnsi="Arial" w:cs="Arial"/>
                <w:bCs/>
                <w:sz w:val="22"/>
                <w:lang w:val="es-ES_tradnl"/>
              </w:rPr>
              <w:t>/</w:t>
            </w:r>
            <w:r w:rsidRPr="006C08E4">
              <w:rPr>
                <w:rFonts w:ascii="Arial" w:eastAsia="Calibri" w:hAnsi="Arial" w:cs="Arial"/>
                <w:bCs/>
                <w:sz w:val="22"/>
                <w:lang w:val="es-ES_tradnl"/>
              </w:rPr>
              <w:t xml:space="preserve"> INALTERABILIDAD – Documentos tipo – Regla vigente – Contenido / RESOLUCIÓN </w:t>
            </w:r>
            <w:r w:rsidR="00DD0F88">
              <w:rPr>
                <w:rFonts w:ascii="Arial" w:eastAsia="Calibri" w:hAnsi="Arial" w:cs="Arial"/>
                <w:bCs/>
                <w:sz w:val="22"/>
                <w:lang w:val="es-ES_tradnl"/>
              </w:rPr>
              <w:t>193 DE 2021</w:t>
            </w:r>
            <w:r w:rsidRPr="006C08E4">
              <w:rPr>
                <w:rFonts w:ascii="Arial" w:eastAsia="Calibri" w:hAnsi="Arial" w:cs="Arial"/>
                <w:bCs/>
                <w:sz w:val="22"/>
                <w:lang w:val="es-ES_tradnl"/>
              </w:rPr>
              <w:t xml:space="preserve"> – Documentos tipo – Concurso de méritos – </w:t>
            </w:r>
            <w:r w:rsidR="00DD0F88">
              <w:rPr>
                <w:rFonts w:ascii="Arial" w:eastAsia="Calibri" w:hAnsi="Arial" w:cs="Arial"/>
                <w:bCs/>
                <w:sz w:val="22"/>
                <w:lang w:val="es-ES_tradnl"/>
              </w:rPr>
              <w:t>Consultoría</w:t>
            </w:r>
            <w:r w:rsidRPr="006C08E4">
              <w:rPr>
                <w:rFonts w:ascii="Arial" w:eastAsia="Calibri" w:hAnsi="Arial" w:cs="Arial"/>
                <w:bCs/>
                <w:sz w:val="22"/>
                <w:lang w:val="es-ES_tradnl"/>
              </w:rPr>
              <w:t xml:space="preserve"> – </w:t>
            </w:r>
            <w:r w:rsidR="00DD0F88">
              <w:rPr>
                <w:rFonts w:ascii="Arial" w:eastAsia="Calibri" w:hAnsi="Arial" w:cs="Arial"/>
                <w:bCs/>
                <w:sz w:val="22"/>
                <w:lang w:val="es-ES_tradnl"/>
              </w:rPr>
              <w:t xml:space="preserve">Estudios de ingeniería – </w:t>
            </w:r>
            <w:r w:rsidRPr="006C08E4">
              <w:rPr>
                <w:rFonts w:ascii="Arial" w:eastAsia="Calibri" w:hAnsi="Arial" w:cs="Arial"/>
                <w:bCs/>
                <w:sz w:val="22"/>
                <w:lang w:val="es-ES_tradnl"/>
              </w:rPr>
              <w:t>Infraestructura de transporte</w:t>
            </w:r>
            <w:r w:rsidR="00061E38">
              <w:rPr>
                <w:rFonts w:ascii="Arial" w:eastAsia="Calibri" w:hAnsi="Arial" w:cs="Arial"/>
                <w:bCs/>
                <w:sz w:val="22"/>
                <w:lang w:val="es-ES_tradnl"/>
              </w:rPr>
              <w:t xml:space="preserve"> / </w:t>
            </w:r>
            <w:r w:rsidR="00061E38" w:rsidRPr="00061E38">
              <w:rPr>
                <w:rFonts w:ascii="Arial" w:hAnsi="Arial" w:cs="Arial"/>
                <w:sz w:val="22"/>
                <w:szCs w:val="22"/>
              </w:rPr>
              <w:t xml:space="preserve">DOCUMENTOS TIPO – Consultoría – Estudios de ingeniería – Infraestructura de transporte – Mínima cuantía – Aplicación – Excepción </w:t>
            </w:r>
          </w:p>
        </w:tc>
      </w:tr>
      <w:tr w:rsidR="00B95C30" w:rsidRPr="00A43C00" w14:paraId="27CD52AB" w14:textId="77777777" w:rsidTr="002442D4">
        <w:tc>
          <w:tcPr>
            <w:tcW w:w="2689" w:type="dxa"/>
          </w:tcPr>
          <w:p w14:paraId="37E195A1" w14:textId="4C368209" w:rsidR="00B95C30" w:rsidRPr="00A43C00" w:rsidRDefault="00B95C30" w:rsidP="002442D4">
            <w:pPr>
              <w:spacing w:before="12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Radicación:</w:t>
            </w:r>
            <w:r w:rsidRPr="00A43C00">
              <w:rPr>
                <w:rFonts w:ascii="Arial" w:eastAsia="Calibri" w:hAnsi="Arial" w:cs="Arial"/>
                <w:color w:val="000000" w:themeColor="text1"/>
                <w:sz w:val="22"/>
                <w:lang w:val="es-ES_tradnl"/>
              </w:rPr>
              <w:t xml:space="preserve">                              </w:t>
            </w:r>
          </w:p>
        </w:tc>
        <w:tc>
          <w:tcPr>
            <w:tcW w:w="6237" w:type="dxa"/>
          </w:tcPr>
          <w:p w14:paraId="09088B1B" w14:textId="043B91C5" w:rsidR="00B95C30" w:rsidRPr="00A43C00" w:rsidRDefault="00B95C30" w:rsidP="002442D4">
            <w:pPr>
              <w:spacing w:before="120"/>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Respuesta a consulta #</w:t>
            </w:r>
            <w:r w:rsidR="001B6F69" w:rsidRPr="001B6F69">
              <w:rPr>
                <w:rFonts w:ascii="Arial" w:eastAsia="Calibri" w:hAnsi="Arial" w:cs="Arial"/>
                <w:color w:val="000000" w:themeColor="text1"/>
                <w:sz w:val="22"/>
                <w:lang w:val="es-ES_tradnl"/>
              </w:rPr>
              <w:t>P20210922008710</w:t>
            </w:r>
            <w:r w:rsidR="001B6F69">
              <w:rPr>
                <w:rFonts w:ascii="Arial" w:eastAsia="Calibri" w:hAnsi="Arial" w:cs="Arial"/>
                <w:color w:val="000000" w:themeColor="text1"/>
                <w:sz w:val="22"/>
                <w:lang w:val="es-ES_tradnl"/>
              </w:rPr>
              <w:t xml:space="preserve"> y</w:t>
            </w:r>
            <w:r w:rsidR="001B6F69">
              <w:t xml:space="preserve"> </w:t>
            </w:r>
            <w:r w:rsidR="001B6F69" w:rsidRPr="001B6F69">
              <w:rPr>
                <w:rFonts w:ascii="Arial" w:eastAsia="Calibri" w:hAnsi="Arial" w:cs="Arial"/>
                <w:color w:val="000000" w:themeColor="text1"/>
                <w:sz w:val="22"/>
                <w:lang w:val="es-ES_tradnl"/>
              </w:rPr>
              <w:t>P20210916008492</w:t>
            </w:r>
          </w:p>
        </w:tc>
      </w:tr>
    </w:tbl>
    <w:p w14:paraId="686BC38E" w14:textId="77777777" w:rsidR="00832695" w:rsidRDefault="00832695" w:rsidP="003C3339">
      <w:pPr>
        <w:jc w:val="both"/>
        <w:rPr>
          <w:rFonts w:ascii="Arial" w:eastAsia="Calibri" w:hAnsi="Arial" w:cs="Arial"/>
          <w:color w:val="000000" w:themeColor="text1"/>
          <w:sz w:val="22"/>
          <w:lang w:val="es-ES_tradnl"/>
        </w:rPr>
      </w:pPr>
    </w:p>
    <w:p w14:paraId="14C7A80D" w14:textId="77777777" w:rsidR="00832695" w:rsidRDefault="00832695" w:rsidP="003C3339">
      <w:pPr>
        <w:jc w:val="both"/>
        <w:rPr>
          <w:rFonts w:ascii="Arial" w:eastAsia="Calibri" w:hAnsi="Arial" w:cs="Arial"/>
          <w:color w:val="000000" w:themeColor="text1"/>
          <w:sz w:val="22"/>
          <w:lang w:val="es-ES_tradnl"/>
        </w:rPr>
      </w:pPr>
    </w:p>
    <w:p w14:paraId="1CF4AEA0" w14:textId="35E82480" w:rsidR="003C3339" w:rsidRPr="00A43C00" w:rsidRDefault="003C3339" w:rsidP="003C3339">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Estimad</w:t>
      </w:r>
      <w:r w:rsidR="001B6F69">
        <w:rPr>
          <w:rFonts w:ascii="Arial" w:eastAsia="Calibri" w:hAnsi="Arial" w:cs="Arial"/>
          <w:color w:val="000000" w:themeColor="text1"/>
          <w:sz w:val="22"/>
          <w:lang w:val="es-ES_tradnl"/>
        </w:rPr>
        <w:t>o</w:t>
      </w:r>
      <w:r w:rsidRPr="00A43C00">
        <w:rPr>
          <w:rFonts w:ascii="Arial" w:eastAsia="Calibri" w:hAnsi="Arial" w:cs="Arial"/>
          <w:color w:val="000000" w:themeColor="text1"/>
          <w:sz w:val="22"/>
          <w:lang w:val="es-ES_tradnl"/>
        </w:rPr>
        <w:t xml:space="preserve"> </w:t>
      </w:r>
      <w:r w:rsidR="00677E9C" w:rsidRPr="00A43C00">
        <w:rPr>
          <w:rFonts w:ascii="Arial" w:eastAsia="Calibri" w:hAnsi="Arial" w:cs="Arial"/>
          <w:color w:val="000000" w:themeColor="text1"/>
          <w:sz w:val="22"/>
          <w:lang w:val="es-ES_tradnl"/>
        </w:rPr>
        <w:t>señor</w:t>
      </w:r>
      <w:r w:rsidR="00606B43">
        <w:rPr>
          <w:rFonts w:ascii="Arial" w:eastAsia="Calibri" w:hAnsi="Arial" w:cs="Arial"/>
          <w:color w:val="000000" w:themeColor="text1"/>
          <w:sz w:val="22"/>
          <w:lang w:val="es-ES_tradnl"/>
        </w:rPr>
        <w:t>:</w:t>
      </w:r>
    </w:p>
    <w:p w14:paraId="1EAE5543" w14:textId="77777777" w:rsidR="00DD5B04" w:rsidRPr="00A43C00" w:rsidRDefault="00DD5B04" w:rsidP="00DF76A2">
      <w:pPr>
        <w:jc w:val="both"/>
        <w:rPr>
          <w:rFonts w:ascii="Arial" w:eastAsia="Calibri" w:hAnsi="Arial" w:cs="Arial"/>
          <w:color w:val="000000" w:themeColor="text1"/>
          <w:sz w:val="22"/>
          <w:lang w:val="es-ES_tradnl"/>
        </w:rPr>
      </w:pPr>
    </w:p>
    <w:p w14:paraId="2109B2D3" w14:textId="7C4D0B00" w:rsidR="00DD5B04" w:rsidRPr="00A43C00" w:rsidRDefault="00DD5B04" w:rsidP="00DF76A2">
      <w:pPr>
        <w:spacing w:line="276" w:lineRule="auto"/>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la Agencia Nacional de Contratación Pública ― Colombia Compra Eficiente</w:t>
      </w:r>
      <w:r w:rsidR="008C3C57"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responde su</w:t>
      </w:r>
      <w:r w:rsidR="001B6F69">
        <w:rPr>
          <w:rFonts w:ascii="Arial" w:eastAsia="Calibri" w:hAnsi="Arial" w:cs="Arial"/>
          <w:color w:val="000000" w:themeColor="text1"/>
          <w:sz w:val="22"/>
          <w:lang w:val="es-ES_tradnl"/>
        </w:rPr>
        <w:t>s</w:t>
      </w:r>
      <w:r w:rsidRPr="00A43C00">
        <w:rPr>
          <w:rFonts w:ascii="Arial" w:eastAsia="Calibri" w:hAnsi="Arial" w:cs="Arial"/>
          <w:color w:val="000000" w:themeColor="text1"/>
          <w:sz w:val="22"/>
          <w:lang w:val="es-ES_tradnl"/>
        </w:rPr>
        <w:t xml:space="preserve"> consulta</w:t>
      </w:r>
      <w:r w:rsidR="001B6F69">
        <w:rPr>
          <w:rFonts w:ascii="Arial" w:eastAsia="Calibri" w:hAnsi="Arial" w:cs="Arial"/>
          <w:color w:val="000000" w:themeColor="text1"/>
          <w:sz w:val="22"/>
          <w:lang w:val="es-ES_tradnl"/>
        </w:rPr>
        <w:t>s</w:t>
      </w:r>
      <w:r w:rsidRPr="00A43C00">
        <w:rPr>
          <w:rFonts w:ascii="Arial" w:eastAsia="Calibri" w:hAnsi="Arial" w:cs="Arial"/>
          <w:color w:val="000000" w:themeColor="text1"/>
          <w:sz w:val="22"/>
          <w:lang w:val="es-ES_tradnl"/>
        </w:rPr>
        <w:t xml:space="preserve"> del </w:t>
      </w:r>
      <w:r w:rsidR="001B6F69">
        <w:rPr>
          <w:rFonts w:ascii="Arial" w:eastAsia="Calibri" w:hAnsi="Arial" w:cs="Arial"/>
          <w:color w:val="000000" w:themeColor="text1"/>
          <w:sz w:val="22"/>
          <w:lang w:val="es-ES_tradnl"/>
        </w:rPr>
        <w:t>16</w:t>
      </w:r>
      <w:r w:rsidR="001F0AC8">
        <w:rPr>
          <w:rFonts w:ascii="Arial" w:eastAsia="Calibri" w:hAnsi="Arial" w:cs="Arial"/>
          <w:color w:val="000000" w:themeColor="text1"/>
          <w:sz w:val="22"/>
          <w:lang w:val="es-ES_tradnl"/>
        </w:rPr>
        <w:t xml:space="preserve"> </w:t>
      </w:r>
      <w:r w:rsidR="001B6F69">
        <w:rPr>
          <w:rFonts w:ascii="Arial" w:eastAsia="Calibri" w:hAnsi="Arial" w:cs="Arial"/>
          <w:color w:val="000000" w:themeColor="text1"/>
          <w:sz w:val="22"/>
          <w:lang w:val="es-ES_tradnl"/>
        </w:rPr>
        <w:t xml:space="preserve">y 22 </w:t>
      </w:r>
      <w:r w:rsidR="001F0AC8">
        <w:rPr>
          <w:rFonts w:ascii="Arial" w:eastAsia="Calibri" w:hAnsi="Arial" w:cs="Arial"/>
          <w:color w:val="000000" w:themeColor="text1"/>
          <w:sz w:val="22"/>
          <w:lang w:val="es-ES_tradnl"/>
        </w:rPr>
        <w:t xml:space="preserve">de </w:t>
      </w:r>
      <w:r w:rsidR="001B6F69">
        <w:rPr>
          <w:rFonts w:ascii="Arial" w:eastAsia="Calibri" w:hAnsi="Arial" w:cs="Arial"/>
          <w:color w:val="000000" w:themeColor="text1"/>
          <w:sz w:val="22"/>
          <w:lang w:val="es-ES_tradnl"/>
        </w:rPr>
        <w:t xml:space="preserve">septiembre </w:t>
      </w:r>
      <w:r w:rsidR="001F0AC8">
        <w:rPr>
          <w:rFonts w:ascii="Arial" w:eastAsia="Calibri" w:hAnsi="Arial" w:cs="Arial"/>
          <w:color w:val="000000" w:themeColor="text1"/>
          <w:sz w:val="22"/>
          <w:lang w:val="es-ES_tradnl"/>
        </w:rPr>
        <w:t xml:space="preserve">de 2021. </w:t>
      </w:r>
    </w:p>
    <w:p w14:paraId="0C1E0712" w14:textId="77777777" w:rsidR="00DD5B04" w:rsidRPr="00A43C0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43C0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 xml:space="preserve">Problema planteado </w:t>
      </w:r>
    </w:p>
    <w:p w14:paraId="224B43D3" w14:textId="77777777" w:rsidR="00DD5B04" w:rsidRPr="00A43C0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A239EB1" w14:textId="10EA2997" w:rsidR="007C34A9" w:rsidRPr="007B15DE" w:rsidRDefault="00DD5B04" w:rsidP="00CA6A0A">
      <w:pPr>
        <w:spacing w:line="276" w:lineRule="auto"/>
        <w:jc w:val="both"/>
        <w:rPr>
          <w:rFonts w:ascii="Arial" w:hAnsi="Arial" w:cs="Arial"/>
          <w:color w:val="000000" w:themeColor="text1"/>
          <w:sz w:val="22"/>
          <w:szCs w:val="22"/>
          <w:lang w:val="es-ES_tradnl"/>
        </w:rPr>
      </w:pPr>
      <w:r w:rsidRPr="007B15DE">
        <w:rPr>
          <w:rFonts w:ascii="Arial" w:hAnsi="Arial" w:cs="Arial"/>
          <w:color w:val="000000" w:themeColor="text1"/>
          <w:sz w:val="22"/>
          <w:szCs w:val="22"/>
          <w:lang w:val="es-ES_tradnl"/>
        </w:rPr>
        <w:t xml:space="preserve">Usted </w:t>
      </w:r>
      <w:r w:rsidR="001D2CB3" w:rsidRPr="007B15DE">
        <w:rPr>
          <w:rFonts w:ascii="Arial" w:hAnsi="Arial" w:cs="Arial"/>
          <w:color w:val="000000" w:themeColor="text1"/>
          <w:sz w:val="22"/>
          <w:szCs w:val="22"/>
          <w:lang w:val="es-ES_tradnl"/>
        </w:rPr>
        <w:t xml:space="preserve">realiza </w:t>
      </w:r>
      <w:r w:rsidR="006D46A3" w:rsidRPr="007B15DE">
        <w:rPr>
          <w:rFonts w:ascii="Arial" w:hAnsi="Arial" w:cs="Arial"/>
          <w:color w:val="000000" w:themeColor="text1"/>
          <w:sz w:val="22"/>
          <w:szCs w:val="22"/>
          <w:lang w:val="es-ES_tradnl"/>
        </w:rPr>
        <w:t xml:space="preserve">la siguiente </w:t>
      </w:r>
      <w:r w:rsidR="00B46915" w:rsidRPr="007B15DE">
        <w:rPr>
          <w:rFonts w:ascii="Arial" w:hAnsi="Arial" w:cs="Arial"/>
          <w:color w:val="000000" w:themeColor="text1"/>
          <w:sz w:val="22"/>
          <w:szCs w:val="22"/>
          <w:lang w:val="es-ES_tradnl"/>
        </w:rPr>
        <w:t>consulta</w:t>
      </w:r>
      <w:r w:rsidR="000314BD" w:rsidRPr="007B15DE">
        <w:rPr>
          <w:rFonts w:ascii="Arial" w:hAnsi="Arial" w:cs="Arial"/>
          <w:color w:val="000000" w:themeColor="text1"/>
          <w:sz w:val="22"/>
          <w:szCs w:val="22"/>
          <w:lang w:val="es-ES_tradnl"/>
        </w:rPr>
        <w:t>:</w:t>
      </w:r>
      <w:r w:rsidR="007E18DF" w:rsidRPr="007B15DE">
        <w:rPr>
          <w:rFonts w:ascii="Arial" w:hAnsi="Arial" w:cs="Arial"/>
          <w:color w:val="000000" w:themeColor="text1"/>
          <w:sz w:val="22"/>
          <w:szCs w:val="22"/>
          <w:lang w:val="es-ES_tradnl"/>
        </w:rPr>
        <w:t xml:space="preserve"> </w:t>
      </w:r>
      <w:r w:rsidR="003C2546" w:rsidRPr="007B15DE">
        <w:rPr>
          <w:rFonts w:ascii="Arial" w:hAnsi="Arial" w:cs="Arial"/>
          <w:color w:val="000000" w:themeColor="text1"/>
          <w:sz w:val="22"/>
          <w:szCs w:val="22"/>
          <w:lang w:val="es-ES_tradnl"/>
        </w:rPr>
        <w:t>«</w:t>
      </w:r>
      <w:r w:rsidR="00995115">
        <w:rPr>
          <w:rFonts w:ascii="Arial" w:hAnsi="Arial" w:cs="Arial"/>
          <w:color w:val="000000" w:themeColor="text1"/>
          <w:sz w:val="22"/>
          <w:szCs w:val="22"/>
          <w:lang w:val="es-ES_tradnl"/>
        </w:rPr>
        <w:t xml:space="preserve">[…] </w:t>
      </w:r>
      <w:r w:rsidR="007B15DE" w:rsidRPr="001B6F69">
        <w:rPr>
          <w:rFonts w:ascii="Arial" w:hAnsi="Arial" w:cs="Arial"/>
          <w:color w:val="000000" w:themeColor="text1"/>
          <w:sz w:val="22"/>
          <w:szCs w:val="22"/>
          <w:lang w:val="es-ES_tradnl"/>
        </w:rPr>
        <w:t>teniendo en cuenta que en la resolución 193 de 2021 'Por la cual se adoptan los documentos tipo para los procesos de selección de concurso de</w:t>
      </w:r>
      <w:r w:rsidR="00460A16">
        <w:rPr>
          <w:rFonts w:ascii="Arial" w:hAnsi="Arial" w:cs="Arial"/>
          <w:color w:val="000000" w:themeColor="text1"/>
          <w:sz w:val="22"/>
          <w:szCs w:val="22"/>
          <w:lang w:val="es-ES_tradnl"/>
        </w:rPr>
        <w:t xml:space="preserve"> </w:t>
      </w:r>
      <w:r w:rsidR="007B15DE" w:rsidRPr="001B6F69">
        <w:rPr>
          <w:rFonts w:ascii="Arial" w:hAnsi="Arial" w:cs="Arial"/>
          <w:color w:val="000000" w:themeColor="text1"/>
          <w:sz w:val="22"/>
          <w:szCs w:val="22"/>
          <w:lang w:val="es-ES_tradnl"/>
        </w:rPr>
        <w:t>méritos, para contratar la consultoría de estudios de ingeniería de infraestructura de transporte' no especifica si en caso de procesos mínima cuantía para consultoría es necesario usarlos, ya que en caso de concurrencia entre el concurso de méritos y la mínima cuantía, la modalidad de selección aplicable es la de mínima cuantía. Además que en la página de Colombia compra eficiente aparece una versión de pliegos publicada en el 2016</w:t>
      </w:r>
      <w:r w:rsidR="0050703E" w:rsidRPr="007B15DE">
        <w:rPr>
          <w:rFonts w:ascii="Arial" w:hAnsi="Arial" w:cs="Arial"/>
          <w:color w:val="000000" w:themeColor="text1"/>
          <w:sz w:val="22"/>
          <w:szCs w:val="22"/>
          <w:lang w:val="es-ES_tradnl"/>
        </w:rPr>
        <w:t>»</w:t>
      </w:r>
      <w:r w:rsidR="00D07836" w:rsidRPr="007B15DE">
        <w:rPr>
          <w:rFonts w:ascii="Arial" w:hAnsi="Arial" w:cs="Arial"/>
          <w:color w:val="000000" w:themeColor="text1"/>
          <w:sz w:val="22"/>
          <w:szCs w:val="22"/>
          <w:lang w:val="es-ES_tradnl"/>
        </w:rPr>
        <w:t xml:space="preserve">. </w:t>
      </w:r>
    </w:p>
    <w:p w14:paraId="1D0C9BCC" w14:textId="77777777" w:rsidR="0050703E" w:rsidRPr="00A43C00" w:rsidRDefault="0050703E" w:rsidP="0050703E">
      <w:pPr>
        <w:ind w:left="709" w:right="709"/>
        <w:jc w:val="both"/>
        <w:rPr>
          <w:rFonts w:ascii="Arial" w:hAnsi="Arial" w:cs="Arial"/>
          <w:color w:val="000000" w:themeColor="text1"/>
          <w:sz w:val="22"/>
          <w:lang w:val="es-ES_tradnl"/>
        </w:rPr>
      </w:pPr>
    </w:p>
    <w:p w14:paraId="124D2DCA" w14:textId="77777777" w:rsidR="00DD5B04" w:rsidRPr="00A43C0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lastRenderedPageBreak/>
        <w:t>Consideraciones</w:t>
      </w:r>
    </w:p>
    <w:p w14:paraId="7D050D2E" w14:textId="77777777" w:rsidR="00435703" w:rsidRPr="00A43C00" w:rsidRDefault="00435703" w:rsidP="00DF76A2">
      <w:pPr>
        <w:spacing w:line="276" w:lineRule="auto"/>
        <w:jc w:val="both"/>
        <w:rPr>
          <w:rFonts w:ascii="Arial" w:eastAsia="Calibri" w:hAnsi="Arial" w:cs="Arial"/>
          <w:color w:val="000000" w:themeColor="text1"/>
          <w:sz w:val="22"/>
          <w:szCs w:val="22"/>
          <w:lang w:val="es-ES_tradnl"/>
        </w:rPr>
      </w:pPr>
    </w:p>
    <w:p w14:paraId="2F3B50F2" w14:textId="3C8F37FE" w:rsidR="00937F58" w:rsidRPr="008918A2" w:rsidRDefault="00937F58" w:rsidP="00937F58">
      <w:pPr>
        <w:spacing w:line="276" w:lineRule="auto"/>
        <w:jc w:val="both"/>
        <w:rPr>
          <w:rFonts w:ascii="Arial" w:eastAsia="Calibri" w:hAnsi="Arial" w:cs="Arial"/>
          <w:color w:val="000000" w:themeColor="text1"/>
          <w:sz w:val="22"/>
          <w:szCs w:val="22"/>
          <w:lang w:val="es-ES_tradnl"/>
        </w:rPr>
      </w:pPr>
      <w:r w:rsidRPr="008918A2">
        <w:rPr>
          <w:rFonts w:ascii="Arial" w:eastAsia="Calibri" w:hAnsi="Arial" w:cs="Arial"/>
          <w:color w:val="000000" w:themeColor="text1"/>
          <w:sz w:val="22"/>
          <w:szCs w:val="22"/>
          <w:lang w:val="es-ES_tradnl"/>
        </w:rPr>
        <w:t xml:space="preserve">Para responder la consulta, se analizarán los siguientes temas: i) fundamento normativo de los </w:t>
      </w:r>
      <w:r>
        <w:rPr>
          <w:rFonts w:ascii="Arial" w:eastAsia="Calibri" w:hAnsi="Arial" w:cs="Arial"/>
          <w:color w:val="000000" w:themeColor="text1"/>
          <w:sz w:val="22"/>
          <w:szCs w:val="22"/>
          <w:lang w:val="es-ES_tradnl"/>
        </w:rPr>
        <w:t>documentos tipo</w:t>
      </w:r>
      <w:r w:rsidRPr="008918A2">
        <w:rPr>
          <w:rFonts w:ascii="Arial" w:eastAsia="Calibri" w:hAnsi="Arial" w:cs="Arial"/>
          <w:color w:val="000000" w:themeColor="text1"/>
          <w:sz w:val="22"/>
          <w:szCs w:val="22"/>
          <w:lang w:val="es-ES_tradnl"/>
        </w:rPr>
        <w:t xml:space="preserve"> adoptados hasta la actualidad,</w:t>
      </w:r>
      <w:r w:rsidR="00DD0F88">
        <w:rPr>
          <w:rFonts w:ascii="Arial" w:eastAsia="Calibri" w:hAnsi="Arial" w:cs="Arial"/>
          <w:color w:val="000000" w:themeColor="text1"/>
          <w:sz w:val="22"/>
          <w:szCs w:val="22"/>
          <w:lang w:val="es-ES_tradnl"/>
        </w:rPr>
        <w:t xml:space="preserve"> </w:t>
      </w:r>
      <w:r w:rsidRPr="008918A2">
        <w:rPr>
          <w:rFonts w:ascii="Arial" w:eastAsia="Calibri" w:hAnsi="Arial" w:cs="Arial"/>
          <w:color w:val="000000" w:themeColor="text1"/>
          <w:sz w:val="22"/>
          <w:szCs w:val="22"/>
          <w:lang w:val="es-ES_tradnl"/>
        </w:rPr>
        <w:t xml:space="preserve">ii) alcance de la regla de la inalterabilidad de los </w:t>
      </w:r>
      <w:r>
        <w:rPr>
          <w:rFonts w:ascii="Arial" w:eastAsia="Calibri" w:hAnsi="Arial" w:cs="Arial"/>
          <w:color w:val="000000" w:themeColor="text1"/>
          <w:sz w:val="22"/>
          <w:szCs w:val="22"/>
          <w:lang w:val="es-ES_tradnl"/>
        </w:rPr>
        <w:t>documentos tipo</w:t>
      </w:r>
      <w:r w:rsidR="00DD0F88">
        <w:rPr>
          <w:rFonts w:ascii="Arial" w:eastAsia="Calibri" w:hAnsi="Arial" w:cs="Arial"/>
          <w:color w:val="000000" w:themeColor="text1"/>
          <w:sz w:val="22"/>
          <w:szCs w:val="22"/>
          <w:lang w:val="es-ES_tradnl"/>
        </w:rPr>
        <w:t xml:space="preserve"> y iii) </w:t>
      </w:r>
      <w:r w:rsidR="00DD0F88" w:rsidRPr="00DD0F88">
        <w:rPr>
          <w:rFonts w:ascii="Arial" w:hAnsi="Arial" w:cs="Arial"/>
          <w:sz w:val="22"/>
          <w:szCs w:val="22"/>
          <w:shd w:val="clear" w:color="auto" w:fill="FFFFFF"/>
          <w:lang w:val="es-ES_tradnl"/>
        </w:rPr>
        <w:t>alcance de la Resolución No. 193 de</w:t>
      </w:r>
      <w:r w:rsidR="0065758D">
        <w:rPr>
          <w:rFonts w:ascii="Arial" w:hAnsi="Arial" w:cs="Arial"/>
          <w:sz w:val="22"/>
          <w:szCs w:val="22"/>
          <w:shd w:val="clear" w:color="auto" w:fill="FFFFFF"/>
          <w:lang w:val="es-ES_tradnl"/>
        </w:rPr>
        <w:t>l 14 de julio de</w:t>
      </w:r>
      <w:r w:rsidR="00DD0F88" w:rsidRPr="00DD0F88">
        <w:rPr>
          <w:rFonts w:ascii="Arial" w:hAnsi="Arial" w:cs="Arial"/>
          <w:sz w:val="22"/>
          <w:szCs w:val="22"/>
          <w:shd w:val="clear" w:color="auto" w:fill="FFFFFF"/>
          <w:lang w:val="es-ES_tradnl"/>
        </w:rPr>
        <w:t xml:space="preserve"> 2021 y de los documentos tipo adoptados en virtud de ella: inaplicabilidad de dicha Resolución a la contratación de la modalidad de mínima cuantía</w:t>
      </w:r>
      <w:r w:rsidR="00DD0F88">
        <w:rPr>
          <w:rFonts w:ascii="Arial" w:hAnsi="Arial" w:cs="Arial"/>
          <w:sz w:val="22"/>
          <w:szCs w:val="22"/>
          <w:shd w:val="clear" w:color="auto" w:fill="FFFFFF"/>
          <w:lang w:val="es-ES_tradnl"/>
        </w:rPr>
        <w:t xml:space="preserve">. </w:t>
      </w:r>
    </w:p>
    <w:p w14:paraId="119D2849" w14:textId="6AFBFC19" w:rsidR="00937F58" w:rsidRPr="008918A2" w:rsidRDefault="00937F58" w:rsidP="00937F58">
      <w:pPr>
        <w:spacing w:before="120" w:line="276" w:lineRule="auto"/>
        <w:ind w:firstLine="709"/>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t xml:space="preserve">La Agencia Nacional de Contratación Pública – Colombia Compra Eficiente se pronunció sobre </w:t>
      </w:r>
      <w:r w:rsidRPr="008918A2">
        <w:rPr>
          <w:rFonts w:ascii="Arial" w:eastAsia="Arial" w:hAnsi="Arial" w:cs="Arial"/>
          <w:color w:val="000000"/>
          <w:sz w:val="22"/>
          <w:lang w:val="es-ES_tradnl"/>
        </w:rPr>
        <w:t xml:space="preserve">los pliegos de condiciones tipo en la contratación estatal, así como su inalterabilidad, entre otros, en los </w:t>
      </w:r>
      <w:r w:rsidR="000703ED">
        <w:rPr>
          <w:rFonts w:ascii="Arial" w:eastAsia="Arial" w:hAnsi="Arial" w:cs="Arial"/>
          <w:color w:val="000000"/>
          <w:sz w:val="22"/>
          <w:lang w:val="es-ES_tradnl"/>
        </w:rPr>
        <w:t>C</w:t>
      </w:r>
      <w:r w:rsidRPr="008918A2">
        <w:rPr>
          <w:rFonts w:ascii="Arial" w:eastAsia="Arial" w:hAnsi="Arial" w:cs="Arial"/>
          <w:color w:val="000000"/>
          <w:sz w:val="22"/>
          <w:lang w:val="es-ES_tradnl"/>
        </w:rPr>
        <w:t xml:space="preserve">onceptos </w:t>
      </w:r>
      <w:r w:rsidRPr="008918A2">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w:t>
      </w:r>
      <w:r w:rsidR="0064763F">
        <w:rPr>
          <w:rFonts w:ascii="Arial" w:eastAsia="Arial" w:hAnsi="Arial" w:cs="Arial"/>
          <w:sz w:val="22"/>
          <w:lang w:val="es-ES_tradnl"/>
        </w:rPr>
        <w:t xml:space="preserve">, </w:t>
      </w:r>
      <w:r w:rsidRPr="008918A2">
        <w:rPr>
          <w:rFonts w:ascii="Arial" w:eastAsia="Arial" w:hAnsi="Arial" w:cs="Arial"/>
          <w:sz w:val="22"/>
          <w:lang w:val="es-ES_tradnl"/>
        </w:rPr>
        <w:t>C-744 del 22 de diciembre de 2020</w:t>
      </w:r>
      <w:r w:rsidR="0064763F">
        <w:rPr>
          <w:rFonts w:ascii="Arial" w:eastAsia="Arial" w:hAnsi="Arial" w:cs="Arial"/>
          <w:sz w:val="22"/>
          <w:lang w:val="es-ES_tradnl"/>
        </w:rPr>
        <w:t xml:space="preserve">, </w:t>
      </w:r>
      <w:r>
        <w:rPr>
          <w:rFonts w:ascii="Arial" w:eastAsia="Arial" w:hAnsi="Arial" w:cs="Arial"/>
          <w:sz w:val="22"/>
          <w:lang w:val="es-ES_tradnl"/>
        </w:rPr>
        <w:t>C-789 del 19 de enero de 2021</w:t>
      </w:r>
      <w:r w:rsidR="00EC717B">
        <w:rPr>
          <w:rFonts w:ascii="Arial" w:eastAsia="Arial" w:hAnsi="Arial" w:cs="Arial"/>
          <w:sz w:val="22"/>
          <w:lang w:val="es-ES_tradnl"/>
        </w:rPr>
        <w:t xml:space="preserve">, </w:t>
      </w:r>
      <w:r w:rsidR="00823FEA">
        <w:rPr>
          <w:rFonts w:ascii="Arial" w:eastAsia="Arial" w:hAnsi="Arial" w:cs="Arial"/>
          <w:sz w:val="22"/>
          <w:lang w:val="es-ES_tradnl"/>
        </w:rPr>
        <w:t>C-031 del 1 de febrero de 2021</w:t>
      </w:r>
      <w:r w:rsidR="00EC717B">
        <w:rPr>
          <w:rFonts w:ascii="Arial" w:eastAsia="Arial" w:hAnsi="Arial" w:cs="Arial"/>
          <w:sz w:val="22"/>
          <w:lang w:val="es-ES_tradnl"/>
        </w:rPr>
        <w:t xml:space="preserve"> y C</w:t>
      </w:r>
      <w:r w:rsidR="000703ED">
        <w:rPr>
          <w:rFonts w:ascii="Arial" w:eastAsia="Arial" w:hAnsi="Arial" w:cs="Arial"/>
          <w:sz w:val="22"/>
          <w:lang w:val="es-ES_tradnl"/>
        </w:rPr>
        <w:t>-</w:t>
      </w:r>
      <w:r w:rsidR="00EC717B">
        <w:rPr>
          <w:rFonts w:ascii="Arial" w:eastAsia="Arial" w:hAnsi="Arial" w:cs="Arial"/>
          <w:sz w:val="22"/>
          <w:lang w:val="es-ES_tradnl"/>
        </w:rPr>
        <w:t xml:space="preserve">157 de </w:t>
      </w:r>
      <w:r w:rsidR="00DC3CBF">
        <w:rPr>
          <w:rFonts w:ascii="Arial" w:eastAsia="Arial" w:hAnsi="Arial" w:cs="Arial"/>
          <w:sz w:val="22"/>
          <w:lang w:val="es-ES_tradnl"/>
        </w:rPr>
        <w:t>13 de abril de 2021</w:t>
      </w:r>
      <w:r>
        <w:rPr>
          <w:rFonts w:ascii="Arial" w:eastAsia="Arial" w:hAnsi="Arial" w:cs="Arial"/>
          <w:sz w:val="22"/>
          <w:lang w:val="es-ES_tradnl"/>
        </w:rPr>
        <w:t xml:space="preserve">. </w:t>
      </w:r>
      <w:r w:rsidR="00F07CCE">
        <w:rPr>
          <w:rFonts w:ascii="Arial" w:eastAsia="Arial" w:hAnsi="Arial" w:cs="Arial"/>
          <w:sz w:val="22"/>
          <w:lang w:val="es-ES_tradnl"/>
        </w:rPr>
        <w:t>Además,</w:t>
      </w:r>
      <w:r w:rsidR="00460A16">
        <w:rPr>
          <w:rFonts w:ascii="Arial" w:eastAsia="Arial" w:hAnsi="Arial" w:cs="Arial"/>
          <w:sz w:val="22"/>
          <w:lang w:val="es-ES_tradnl"/>
        </w:rPr>
        <w:t xml:space="preserve"> en el concepto C-566 del 11 de octubre de 2021 se pronunció sobre la aplicabilidad de los documentos tipo de consultoría a la mínima cuantía</w:t>
      </w:r>
      <w:r w:rsidR="0067123E">
        <w:rPr>
          <w:rFonts w:ascii="Arial" w:eastAsia="Arial" w:hAnsi="Arial" w:cs="Arial"/>
          <w:sz w:val="22"/>
          <w:lang w:val="es-ES_tradnl"/>
        </w:rPr>
        <w:t xml:space="preserve"> y en el concepto C-108 del 3 de marzo de 2020 respecto de</w:t>
      </w:r>
      <w:r w:rsidR="00F07CCE">
        <w:rPr>
          <w:rFonts w:ascii="Arial" w:eastAsia="Arial" w:hAnsi="Arial" w:cs="Arial"/>
          <w:sz w:val="22"/>
          <w:lang w:val="es-ES_tradnl"/>
        </w:rPr>
        <w:t xml:space="preserve"> la concurrencia entre la mínima cuantía y otras modalidades de selección</w:t>
      </w:r>
      <w:r w:rsidR="00231BEE">
        <w:rPr>
          <w:rFonts w:ascii="Arial" w:eastAsia="Arial" w:hAnsi="Arial" w:cs="Arial"/>
          <w:sz w:val="22"/>
          <w:lang w:val="es-ES_tradnl"/>
        </w:rPr>
        <w:t xml:space="preserve">. </w:t>
      </w:r>
      <w:r w:rsidRPr="008918A2">
        <w:rPr>
          <w:rFonts w:ascii="Arial" w:eastAsia="Arial" w:hAnsi="Arial" w:cs="Arial"/>
          <w:sz w:val="22"/>
          <w:lang w:val="es-ES_tradnl"/>
        </w:rPr>
        <w:t>Las ideas expuestas en dichas oportunidades se reiterarán</w:t>
      </w:r>
      <w:r w:rsidR="0067123E">
        <w:rPr>
          <w:rFonts w:ascii="Arial" w:eastAsia="Arial" w:hAnsi="Arial" w:cs="Arial"/>
          <w:sz w:val="22"/>
          <w:lang w:val="es-ES_tradnl"/>
        </w:rPr>
        <w:t>, en lo pertinente,</w:t>
      </w:r>
      <w:r w:rsidRPr="008918A2">
        <w:rPr>
          <w:rFonts w:ascii="Arial" w:eastAsia="Arial" w:hAnsi="Arial" w:cs="Arial"/>
          <w:sz w:val="22"/>
          <w:lang w:val="es-ES_tradnl"/>
        </w:rPr>
        <w:t xml:space="preserve"> a continuación</w:t>
      </w:r>
      <w:r w:rsidR="0067123E">
        <w:rPr>
          <w:rFonts w:ascii="Arial" w:eastAsia="Arial" w:hAnsi="Arial" w:cs="Arial"/>
          <w:sz w:val="22"/>
          <w:lang w:val="es-ES_tradnl"/>
        </w:rPr>
        <w:t>.</w:t>
      </w:r>
    </w:p>
    <w:p w14:paraId="29A74B44" w14:textId="77777777" w:rsidR="00231BEE" w:rsidRDefault="00231BEE" w:rsidP="00937F58">
      <w:pPr>
        <w:spacing w:line="276" w:lineRule="auto"/>
        <w:jc w:val="both"/>
        <w:rPr>
          <w:rFonts w:ascii="Arial" w:eastAsia="Arial" w:hAnsi="Arial" w:cs="Arial"/>
          <w:b/>
          <w:bCs/>
          <w:color w:val="000000"/>
          <w:sz w:val="22"/>
          <w:lang w:val="es-ES_tradnl"/>
        </w:rPr>
      </w:pPr>
    </w:p>
    <w:p w14:paraId="0C652681" w14:textId="3DEE891C" w:rsidR="00237377" w:rsidRPr="00877F7E" w:rsidRDefault="00937F58" w:rsidP="00237377">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2.1.</w:t>
      </w:r>
      <w:r w:rsidR="00237377">
        <w:rPr>
          <w:rFonts w:ascii="Arial" w:eastAsia="Arial" w:hAnsi="Arial" w:cs="Arial"/>
          <w:b/>
          <w:bCs/>
          <w:color w:val="000000"/>
          <w:sz w:val="22"/>
          <w:lang w:val="es-ES_tradnl"/>
        </w:rPr>
        <w:t xml:space="preserve"> </w:t>
      </w:r>
      <w:r w:rsidR="00237377" w:rsidRPr="00877F7E">
        <w:rPr>
          <w:rFonts w:ascii="Arial" w:eastAsia="Arial" w:hAnsi="Arial" w:cs="Arial"/>
          <w:b/>
          <w:bCs/>
          <w:color w:val="000000"/>
          <w:sz w:val="22"/>
          <w:lang w:val="es-ES_tradnl"/>
        </w:rPr>
        <w:t xml:space="preserve">Fundamento normativo de los documentos tipo adoptados </w:t>
      </w:r>
    </w:p>
    <w:p w14:paraId="1F82CED9" w14:textId="77777777" w:rsidR="00237377" w:rsidRPr="00877F7E" w:rsidRDefault="00237377" w:rsidP="00237377">
      <w:pPr>
        <w:jc w:val="both"/>
        <w:rPr>
          <w:rFonts w:ascii="Arial" w:eastAsia="Arial" w:hAnsi="Arial" w:cs="Arial"/>
          <w:b/>
          <w:bCs/>
          <w:color w:val="000000"/>
          <w:sz w:val="22"/>
          <w:lang w:val="es-ES_tradnl"/>
        </w:rPr>
      </w:pPr>
    </w:p>
    <w:p w14:paraId="78462635" w14:textId="01C538D9" w:rsidR="00237377" w:rsidRPr="00237377" w:rsidRDefault="00237377" w:rsidP="00237377">
      <w:pPr>
        <w:spacing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w:t>
      </w:r>
      <w:r w:rsidR="0065758D" w:rsidRPr="00237377">
        <w:rPr>
          <w:rFonts w:ascii="Arial" w:eastAsia="Calibri" w:hAnsi="Arial" w:cs="Arial"/>
          <w:color w:val="000000"/>
          <w:sz w:val="22"/>
          <w:szCs w:val="22"/>
          <w:vertAlign w:val="superscript"/>
          <w:lang w:val="es-ES_tradnl"/>
        </w:rPr>
        <w:footnoteReference w:id="2"/>
      </w:r>
      <w:r w:rsidRPr="00237377">
        <w:rPr>
          <w:rFonts w:ascii="Arial" w:eastAsia="Calibri" w:hAnsi="Arial" w:cs="Arial"/>
          <w:color w:val="000000"/>
          <w:sz w:val="22"/>
          <w:szCs w:val="22"/>
          <w:lang w:val="es-ES_tradnl"/>
        </w:rPr>
        <w:t xml:space="preserve">. Sin embargo, esta facultad no ha sido ejercida hasta la actualidad. </w:t>
      </w:r>
    </w:p>
    <w:p w14:paraId="3634B51E" w14:textId="77777777" w:rsidR="00237377" w:rsidRPr="00237377" w:rsidRDefault="00237377" w:rsidP="00237377">
      <w:pPr>
        <w:spacing w:line="276" w:lineRule="auto"/>
        <w:ind w:firstLine="708"/>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1F150F1A" w14:textId="77A23163" w:rsidR="00237377" w:rsidRPr="00237377" w:rsidRDefault="00237377" w:rsidP="00237377">
      <w:pPr>
        <w:spacing w:before="120" w:after="120" w:line="276" w:lineRule="auto"/>
        <w:ind w:firstLine="708"/>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lastRenderedPageBreak/>
        <w:t>La Ley 1882 de 2018, en el artículo 4, establecía que el Gobierno nacional adoptaría los documentos tipo para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237377">
        <w:rPr>
          <w:rFonts w:ascii="Arial" w:eastAsia="Calibri" w:hAnsi="Arial" w:cs="Arial"/>
          <w:color w:val="000000"/>
          <w:sz w:val="22"/>
          <w:szCs w:val="22"/>
          <w:vertAlign w:val="superscript"/>
          <w:lang w:val="es-ES_tradnl"/>
        </w:rPr>
        <w:footnoteReference w:id="3"/>
      </w:r>
      <w:r w:rsidRPr="00237377">
        <w:rPr>
          <w:rFonts w:ascii="Arial" w:eastAsia="Calibri" w:hAnsi="Arial" w:cs="Arial"/>
          <w:color w:val="000000"/>
          <w:sz w:val="22"/>
          <w:szCs w:val="22"/>
          <w:lang w:val="es-ES_tradnl"/>
        </w:rPr>
        <w:t>.</w:t>
      </w:r>
    </w:p>
    <w:p w14:paraId="05F10BB3" w14:textId="77777777" w:rsidR="00237377" w:rsidRPr="00237377" w:rsidRDefault="00237377" w:rsidP="00237377">
      <w:pPr>
        <w:spacing w:before="120"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B5A8ECC" w14:textId="77777777" w:rsidR="00237377" w:rsidRPr="00237377" w:rsidRDefault="00237377" w:rsidP="00237377">
      <w:pPr>
        <w:spacing w:before="120"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2C24E780" w14:textId="77777777" w:rsidR="00237377" w:rsidRPr="00237377" w:rsidRDefault="00237377" w:rsidP="00237377">
      <w:pPr>
        <w:spacing w:before="120"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lastRenderedPageBreak/>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237377">
        <w:rPr>
          <w:rFonts w:ascii="Arial" w:eastAsia="Calibri" w:hAnsi="Arial" w:cs="Arial"/>
          <w:color w:val="000000"/>
          <w:sz w:val="22"/>
          <w:szCs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237377">
        <w:rPr>
          <w:rFonts w:ascii="Arial" w:eastAsia="Calibri" w:hAnsi="Arial" w:cs="Arial"/>
          <w:color w:val="000000"/>
          <w:sz w:val="22"/>
          <w:szCs w:val="22"/>
          <w:lang w:val="es-ES_tradnl"/>
        </w:rPr>
        <w:t>. De igual manera, se establece que esta autonomía se garantiza con la identificación autónoma de sus necesidades y la configuración de los elementos del contrato</w:t>
      </w:r>
      <w:r w:rsidRPr="00237377">
        <w:rPr>
          <w:rFonts w:ascii="Arial" w:eastAsia="Calibri" w:hAnsi="Arial" w:cs="Arial"/>
          <w:color w:val="000000"/>
          <w:sz w:val="22"/>
          <w:szCs w:val="22"/>
          <w:vertAlign w:val="superscript"/>
          <w:lang w:val="es-ES_tradnl"/>
        </w:rPr>
        <w:footnoteReference w:id="4"/>
      </w:r>
      <w:r w:rsidRPr="00237377">
        <w:rPr>
          <w:rFonts w:ascii="Arial" w:eastAsia="Calibri" w:hAnsi="Arial" w:cs="Arial"/>
          <w:color w:val="000000"/>
          <w:sz w:val="22"/>
          <w:szCs w:val="22"/>
          <w:lang w:val="es-ES_tradnl"/>
        </w:rPr>
        <w:t>.</w:t>
      </w:r>
    </w:p>
    <w:p w14:paraId="1ED1E69B" w14:textId="77777777" w:rsidR="00237377" w:rsidRPr="00237377" w:rsidRDefault="00237377" w:rsidP="00237377">
      <w:pPr>
        <w:spacing w:before="120"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75887842" w14:textId="503FCC87" w:rsidR="00237377" w:rsidRPr="00237377" w:rsidRDefault="00237377" w:rsidP="00237377">
      <w:pPr>
        <w:spacing w:before="120" w:after="120" w:line="276" w:lineRule="auto"/>
        <w:jc w:val="both"/>
        <w:rPr>
          <w:rFonts w:ascii="Arial" w:eastAsia="Calibri" w:hAnsi="Arial" w:cs="Arial"/>
          <w:sz w:val="22"/>
          <w:szCs w:val="22"/>
          <w:lang w:val="es-ES_tradnl"/>
        </w:rPr>
      </w:pPr>
      <w:r w:rsidRPr="00237377">
        <w:rPr>
          <w:rFonts w:ascii="Arial" w:eastAsia="Calibri" w:hAnsi="Arial" w:cs="Arial"/>
          <w:color w:val="000000"/>
          <w:sz w:val="22"/>
          <w:szCs w:val="22"/>
          <w:lang w:val="es-ES_tradnl"/>
        </w:rPr>
        <w:tab/>
        <w:t>Explicado el proceso para adoptar los documentos tipo en virtud de la Ley 1882 de 2018 y estudiada su constitucionalidad de acuerdo con el pronunciamiento de la Corte Constitucional, a continuación se identificarán los documentos tipo</w:t>
      </w:r>
      <w:r w:rsidR="00D153B7">
        <w:rPr>
          <w:rFonts w:ascii="Arial" w:eastAsia="Calibri" w:hAnsi="Arial" w:cs="Arial"/>
          <w:color w:val="000000"/>
          <w:sz w:val="22"/>
          <w:szCs w:val="22"/>
          <w:lang w:val="es-ES_tradnl"/>
        </w:rPr>
        <w:t xml:space="preserve"> de infraestructura </w:t>
      </w:r>
      <w:r w:rsidRPr="00237377">
        <w:rPr>
          <w:rFonts w:ascii="Arial" w:eastAsia="Calibri" w:hAnsi="Arial" w:cs="Arial"/>
          <w:color w:val="000000"/>
          <w:sz w:val="22"/>
          <w:szCs w:val="22"/>
          <w:lang w:val="es-ES_tradnl"/>
        </w:rPr>
        <w:t xml:space="preserve">adoptados por el gobierno nacional en virtud de esta ley. </w:t>
      </w:r>
      <w:r w:rsidRPr="00237377">
        <w:rPr>
          <w:rFonts w:ascii="Arial" w:eastAsia="Calibri" w:hAnsi="Arial" w:cs="Arial"/>
          <w:sz w:val="22"/>
          <w:szCs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0F7A85C6" w14:textId="3A96311C" w:rsidR="00237377" w:rsidRPr="00237377" w:rsidRDefault="00237377" w:rsidP="00237377">
      <w:pPr>
        <w:spacing w:before="120" w:after="120" w:line="276" w:lineRule="auto"/>
        <w:ind w:firstLine="708"/>
        <w:jc w:val="both"/>
        <w:rPr>
          <w:rFonts w:ascii="Arial" w:eastAsia="Calibri" w:hAnsi="Arial" w:cs="Arial"/>
          <w:color w:val="000000"/>
          <w:sz w:val="22"/>
          <w:szCs w:val="22"/>
          <w:lang w:val="es-ES_tradnl"/>
        </w:rPr>
      </w:pPr>
      <w:r w:rsidRPr="00237377">
        <w:rPr>
          <w:rFonts w:ascii="Arial" w:eastAsia="Calibri" w:hAnsi="Arial" w:cs="Arial"/>
          <w:sz w:val="22"/>
          <w:szCs w:val="22"/>
          <w:lang w:val="es-ES_tradnl"/>
        </w:rPr>
        <w:t>Posteriormente, se expidió el Decreto 2096 del 21 de noviembre de 2019, que permitió el desarrollo de los documentos tipo para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237377" w:rsidDel="00A434AB">
        <w:rPr>
          <w:rFonts w:ascii="Arial" w:eastAsia="Calibri" w:hAnsi="Arial" w:cs="Arial"/>
          <w:sz w:val="22"/>
          <w:szCs w:val="22"/>
          <w:lang w:val="es-ES_tradnl"/>
        </w:rPr>
        <w:t xml:space="preserve"> </w:t>
      </w:r>
      <w:r w:rsidRPr="00237377">
        <w:rPr>
          <w:rFonts w:ascii="Arial" w:eastAsia="Calibri" w:hAnsi="Arial" w:cs="Arial"/>
          <w:sz w:val="22"/>
          <w:szCs w:val="22"/>
          <w:lang w:val="es-ES_tradnl"/>
        </w:rPr>
        <w:t xml:space="preserve">de infraestructura de transporte que </w:t>
      </w:r>
      <w:r w:rsidRPr="00237377">
        <w:rPr>
          <w:rFonts w:ascii="Arial" w:eastAsia="Calibri" w:hAnsi="Arial" w:cs="Arial"/>
          <w:sz w:val="22"/>
          <w:szCs w:val="22"/>
          <w:lang w:val="es-ES_tradnl"/>
        </w:rPr>
        <w:lastRenderedPageBreak/>
        <w:t xml:space="preserve">se surtieran por la modalidad de mínima cuantía. Estos documentos fueron implementados y desarrollados por la Agencia Nacional de Contratación Pública </w:t>
      </w:r>
      <w:bookmarkStart w:id="4" w:name="_Hlk37841850"/>
      <w:r w:rsidRPr="00237377">
        <w:rPr>
          <w:rFonts w:ascii="Arial" w:eastAsia="Calibri" w:hAnsi="Arial" w:cs="Arial"/>
          <w:sz w:val="22"/>
          <w:szCs w:val="22"/>
          <w:lang w:val="es-ES_tradnl"/>
        </w:rPr>
        <w:t>– Colombia Compra Eficiente,</w:t>
      </w:r>
      <w:bookmarkEnd w:id="4"/>
      <w:r w:rsidRPr="00237377">
        <w:rPr>
          <w:rFonts w:ascii="Arial" w:eastAsia="Calibri" w:hAnsi="Arial" w:cs="Arial"/>
          <w:sz w:val="22"/>
          <w:szCs w:val="22"/>
          <w:lang w:val="es-ES_tradnl"/>
        </w:rPr>
        <w:t xml:space="preserve"> mediante la Resolución 1798 de 1 de abril de 2019 –derogada por la Resolución 045 del 14 de febrero de 2020–, la Resolución 044 del 14 de febrero de 2020 y la Resolución 094 del 21 de mayo de 2020.</w:t>
      </w:r>
    </w:p>
    <w:p w14:paraId="6A6AB1E7" w14:textId="5B1BF6F3"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t>Por otra parte</w:t>
      </w:r>
      <w:r w:rsidRPr="00237377">
        <w:rPr>
          <w:rFonts w:ascii="Arial" w:eastAsia="Calibri" w:hAnsi="Arial" w:cs="Arial"/>
          <w:i/>
          <w:iCs/>
          <w:sz w:val="22"/>
          <w:szCs w:val="22"/>
          <w:lang w:val="es-ES" w:eastAsia="es-ES"/>
        </w:rPr>
        <w:t>,</w:t>
      </w:r>
      <w:r w:rsidRPr="00237377">
        <w:rPr>
          <w:rFonts w:ascii="Arial" w:eastAsia="Calibri" w:hAnsi="Arial" w:cs="Arial"/>
          <w:sz w:val="22"/>
          <w:szCs w:val="22"/>
          <w:lang w:val="es-ES" w:eastAsia="es-ES"/>
        </w:rPr>
        <w:t xml:space="preserve"> debe tenerse en cuenta que </w:t>
      </w:r>
      <w:r w:rsidRPr="00237377">
        <w:rPr>
          <w:rFonts w:ascii="Arial" w:hAnsi="Arial" w:cs="Arial"/>
          <w:color w:val="000000"/>
          <w:sz w:val="22"/>
          <w:szCs w:val="22"/>
          <w:lang w:val="es-ES_tradnl" w:eastAsia="es-ES"/>
        </w:rPr>
        <w:t>posteriormente fue expedida la Ley 2022 de 2020</w:t>
      </w:r>
      <w:r w:rsidR="000B3279">
        <w:rPr>
          <w:rFonts w:ascii="Arial" w:hAnsi="Arial" w:cs="Arial"/>
          <w:color w:val="000000"/>
          <w:sz w:val="22"/>
          <w:szCs w:val="22"/>
          <w:lang w:val="es-ES_tradnl" w:eastAsia="es-ES"/>
        </w:rPr>
        <w:t>,</w:t>
      </w:r>
      <w:r w:rsidRPr="00237377">
        <w:rPr>
          <w:rFonts w:ascii="Arial" w:hAnsi="Arial" w:cs="Arial"/>
          <w:color w:val="000000"/>
          <w:sz w:val="22"/>
          <w:szCs w:val="22"/>
          <w:lang w:val="es-ES_tradnl" w:eastAsia="es-ES"/>
        </w:rPr>
        <w:t xml:space="preserve"> «Por la cual modifica el artículo 4 de la ley 1882 de 2018 y se dictan otras disposiciones», estableciendo a cargo de esta Agencia la adopción de documentos tipo que serán de obligatorio cumplimiento en la actividad contractual de todas las entidades sometidas al Estatuto General de Contratación de la Administración Pública</w:t>
      </w:r>
      <w:r w:rsidR="000B3279" w:rsidRPr="00237377">
        <w:rPr>
          <w:rFonts w:ascii="Arial" w:hAnsi="Arial" w:cs="Arial"/>
          <w:color w:val="000000"/>
          <w:sz w:val="22"/>
          <w:szCs w:val="22"/>
          <w:vertAlign w:val="superscript"/>
          <w:lang w:val="es-ES_tradnl" w:eastAsia="es-ES"/>
        </w:rPr>
        <w:footnoteReference w:id="5"/>
      </w:r>
      <w:r w:rsidRPr="00237377">
        <w:rPr>
          <w:rFonts w:ascii="Arial" w:hAnsi="Arial" w:cs="Arial"/>
          <w:color w:val="000000"/>
          <w:sz w:val="22"/>
          <w:szCs w:val="22"/>
          <w:lang w:val="es-ES_tradnl" w:eastAsia="es-ES"/>
        </w:rPr>
        <w:t xml:space="preserve">. </w:t>
      </w:r>
      <w:r w:rsidRPr="00237377">
        <w:rPr>
          <w:rFonts w:ascii="Arial" w:eastAsia="Calibri" w:hAnsi="Arial" w:cs="Arial"/>
          <w:sz w:val="22"/>
          <w:szCs w:val="22"/>
          <w:lang w:val="es-ES" w:eastAsia="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1A37D4DF" w14:textId="77777777"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w:t>
      </w:r>
    </w:p>
    <w:p w14:paraId="6AEE1C57" w14:textId="13C23D9C"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t>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w:t>
      </w:r>
      <w:r w:rsidR="00CA4896">
        <w:rPr>
          <w:rFonts w:ascii="Arial" w:eastAsia="Calibri" w:hAnsi="Arial" w:cs="Arial"/>
          <w:sz w:val="22"/>
          <w:szCs w:val="22"/>
          <w:lang w:val="es-ES" w:eastAsia="es-ES"/>
        </w:rPr>
        <w:t>.</w:t>
      </w:r>
    </w:p>
    <w:p w14:paraId="4BC231B0" w14:textId="5ADDAEC7"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lastRenderedPageBreak/>
        <w:t xml:space="preserve">De otro lado, </w:t>
      </w:r>
      <w:r w:rsidR="006B7B5A">
        <w:rPr>
          <w:rFonts w:ascii="Arial" w:eastAsia="Calibri" w:hAnsi="Arial" w:cs="Arial"/>
          <w:sz w:val="22"/>
          <w:szCs w:val="22"/>
          <w:lang w:val="es-ES" w:eastAsia="es-ES"/>
        </w:rPr>
        <w:t>en el transcurso de la presente anualidad,</w:t>
      </w:r>
      <w:r w:rsidRPr="00237377">
        <w:rPr>
          <w:rFonts w:ascii="Arial" w:eastAsia="Calibri" w:hAnsi="Arial" w:cs="Arial"/>
          <w:sz w:val="22"/>
          <w:szCs w:val="22"/>
          <w:lang w:val="es-ES" w:eastAsia="es-ES"/>
        </w:rPr>
        <w:t xml:space="preserve">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w:t>
      </w:r>
      <w:r w:rsidR="006B7B5A">
        <w:rPr>
          <w:rFonts w:ascii="Arial" w:eastAsia="Calibri" w:hAnsi="Arial" w:cs="Arial"/>
          <w:sz w:val="22"/>
          <w:szCs w:val="22"/>
          <w:lang w:val="es-ES" w:eastAsia="es-ES"/>
        </w:rPr>
        <w:t>,</w:t>
      </w:r>
      <w:r w:rsidRPr="00237377">
        <w:rPr>
          <w:rFonts w:ascii="Arial" w:eastAsia="Calibri" w:hAnsi="Arial" w:cs="Arial"/>
          <w:sz w:val="22"/>
          <w:szCs w:val="22"/>
          <w:lang w:val="es-ES" w:eastAsia="es-ES"/>
        </w:rPr>
        <w:t xml:space="preserve"> «Por la cual se adoptan los documentos tipo para los procesos de selección de concurso de méritos, para contratar la consultoría de estudios de ingeniería de infraestructura de transporte». Finalmente, se expidieron las Resoluciones 219 y 220</w:t>
      </w:r>
      <w:r w:rsidR="006B7B5A">
        <w:rPr>
          <w:rFonts w:ascii="Arial" w:eastAsia="Calibri" w:hAnsi="Arial" w:cs="Arial"/>
          <w:sz w:val="22"/>
          <w:szCs w:val="22"/>
          <w:lang w:val="es-ES" w:eastAsia="es-ES"/>
        </w:rPr>
        <w:t xml:space="preserve"> de 2021,</w:t>
      </w:r>
      <w:r w:rsidRPr="00237377">
        <w:rPr>
          <w:rFonts w:ascii="Arial" w:eastAsia="Calibri" w:hAnsi="Arial" w:cs="Arial"/>
          <w:sz w:val="22"/>
          <w:szCs w:val="22"/>
          <w:lang w:val="es-ES" w:eastAsia="es-ES"/>
        </w:rPr>
        <w:t xml:space="preserve"> «</w:t>
      </w:r>
      <w:r w:rsidRPr="00237377">
        <w:rPr>
          <w:rFonts w:ascii="Arial" w:hAnsi="Arial" w:cs="Arial"/>
          <w:color w:val="000000"/>
          <w:sz w:val="22"/>
          <w:szCs w:val="22"/>
          <w:lang w:val="es-ES_tradnl" w:eastAsia="es-ES"/>
        </w:rPr>
        <w:t>Por la cual se adoptan los documentos tipo para los procesos de licitación de obra pública de infraestructura social» y «Por la cual se adoptan los documentos tipo complementarios para los procesos de licitación de obra pública de infraestructura social relacionados con el sector educativo», respectivamente.</w:t>
      </w:r>
    </w:p>
    <w:p w14:paraId="73F8FEFB" w14:textId="3DDF29EC"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t>En síntesis, hasta el momento se han expedido los siguientes documentos tipo</w:t>
      </w:r>
      <w:r w:rsidR="00CA4896">
        <w:rPr>
          <w:rFonts w:ascii="Arial" w:eastAsia="Calibri" w:hAnsi="Arial" w:cs="Arial"/>
          <w:sz w:val="22"/>
          <w:szCs w:val="22"/>
          <w:lang w:val="es-ES" w:eastAsia="es-ES"/>
        </w:rPr>
        <w:t xml:space="preserve"> </w:t>
      </w:r>
      <w:r w:rsidR="002A6574">
        <w:rPr>
          <w:rFonts w:ascii="Arial" w:eastAsia="Calibri" w:hAnsi="Arial" w:cs="Arial"/>
          <w:sz w:val="22"/>
          <w:szCs w:val="22"/>
          <w:lang w:val="es-ES" w:eastAsia="es-ES"/>
        </w:rPr>
        <w:t>de infraestructura</w:t>
      </w:r>
      <w:r w:rsidRPr="00237377">
        <w:rPr>
          <w:rFonts w:ascii="Arial" w:eastAsia="Calibri" w:hAnsi="Arial" w:cs="Arial"/>
          <w:sz w:val="22"/>
          <w:szCs w:val="22"/>
          <w:lang w:val="es-ES" w:eastAsia="es-ES"/>
        </w:rPr>
        <w:t xml:space="preserve"> que son obligatorios para todas las entidades sometidas al Estatuto General de Contratación de la Administración Pública: </w:t>
      </w:r>
    </w:p>
    <w:p w14:paraId="325ADF6A"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6339C5A4"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ii) Documentos tipo para licitación de obra pública de infraestructura de transporte –versión 2–, obligatorios para los procesos cuyo aviso de convocatoria se haya publicado desde el 10 de marzo de 2020.</w:t>
      </w:r>
    </w:p>
    <w:p w14:paraId="3A600024"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iii) Documentos tipo para licitación de obra pública de infraestructura de transporte –versión 3–, obligatorios para los procesos cuyo aviso de convocatoria se haya publicado desde el 1 de enero de 2021.</w:t>
      </w:r>
    </w:p>
    <w:p w14:paraId="0FF23D92"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5B30D15F"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7ADD005A"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vi) Documentos tipo para procesos de mínima cuantía de infraestructura de transporte, obligatorios para los procesos cuya invitación pública se haya publicado a partir del 10 de junio de 2020.</w:t>
      </w:r>
    </w:p>
    <w:p w14:paraId="0B636A8B"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7FFB150F"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lastRenderedPageBreak/>
        <w:t>viii)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5E63D3FD"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ix) Documentos tipo para procesos de licitación pública para obras de infraestructura de agua potable y saneamiento básico, obligatorios para los procesos cuyo aviso de convocatoria se haya publicado desde el 11 de diciembre de 2020.</w:t>
      </w:r>
    </w:p>
    <w:p w14:paraId="36C86E59" w14:textId="77777777" w:rsidR="00237377" w:rsidRPr="00237377" w:rsidRDefault="00237377" w:rsidP="00237377">
      <w:pPr>
        <w:spacing w:before="120" w:after="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273F860" w14:textId="4AC48AAE" w:rsidR="00237377" w:rsidRPr="00237377" w:rsidRDefault="00237377" w:rsidP="00CA4896">
      <w:pPr>
        <w:spacing w:before="120" w:after="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 xml:space="preserve">xi) Documentos tipo para los procesos de licitación de obra pública de infraestructura social, concretamente, para infraestructura en el sector educativo, obligatorios para los procesos cuyo aviso de convocatoria se publiquen desde el </w:t>
      </w:r>
      <w:r w:rsidR="001342A8">
        <w:rPr>
          <w:rFonts w:ascii="Arial" w:eastAsia="Calibri" w:hAnsi="Arial" w:cs="Arial"/>
          <w:color w:val="000000"/>
          <w:sz w:val="22"/>
          <w:szCs w:val="22"/>
          <w:lang w:val="es-ES_tradnl" w:eastAsia="es-ES"/>
        </w:rPr>
        <w:t>2 de noviembre</w:t>
      </w:r>
      <w:r w:rsidRPr="00237377">
        <w:rPr>
          <w:rFonts w:ascii="Arial" w:eastAsia="Calibri" w:hAnsi="Arial" w:cs="Arial"/>
          <w:color w:val="000000"/>
          <w:sz w:val="22"/>
          <w:szCs w:val="22"/>
          <w:lang w:val="es-ES_tradnl" w:eastAsia="es-ES"/>
        </w:rPr>
        <w:t xml:space="preserve"> de 2021.</w:t>
      </w:r>
    </w:p>
    <w:p w14:paraId="160C5B16" w14:textId="77777777" w:rsidR="00237377" w:rsidRPr="00237377" w:rsidRDefault="00237377" w:rsidP="00237377">
      <w:pPr>
        <w:spacing w:before="120" w:line="276" w:lineRule="auto"/>
        <w:ind w:firstLine="709"/>
        <w:jc w:val="both"/>
        <w:rPr>
          <w:rFonts w:ascii="Arial" w:eastAsia="Calibri" w:hAnsi="Arial" w:cs="Arial"/>
          <w:color w:val="000000" w:themeColor="text1"/>
          <w:sz w:val="22"/>
          <w:szCs w:val="22"/>
          <w:lang w:val="es-ES_tradnl" w:eastAsia="es-ES"/>
        </w:rPr>
      </w:pPr>
      <w:r w:rsidRPr="00237377">
        <w:rPr>
          <w:rFonts w:ascii="Arial" w:eastAsia="Calibri" w:hAnsi="Arial" w:cs="Arial"/>
          <w:sz w:val="22"/>
          <w:szCs w:val="22"/>
          <w:lang w:val="es-ES" w:eastAsia="es-MX"/>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1C0B7036" w14:textId="77777777" w:rsidR="00937F58" w:rsidRPr="008918A2" w:rsidRDefault="00937F58" w:rsidP="00937F58">
      <w:pPr>
        <w:tabs>
          <w:tab w:val="left" w:pos="0"/>
        </w:tabs>
        <w:spacing w:line="276" w:lineRule="auto"/>
        <w:jc w:val="both"/>
        <w:rPr>
          <w:rFonts w:ascii="Arial" w:eastAsia="Calibri" w:hAnsi="Arial" w:cs="Arial"/>
          <w:b/>
          <w:color w:val="000000" w:themeColor="text1"/>
          <w:sz w:val="22"/>
          <w:lang w:val="es-ES_tradnl"/>
        </w:rPr>
      </w:pPr>
    </w:p>
    <w:p w14:paraId="3A8D6AF5" w14:textId="77777777" w:rsidR="00E93E03" w:rsidRPr="007B15DE" w:rsidRDefault="00E93E03" w:rsidP="00E93E03">
      <w:pPr>
        <w:spacing w:line="276" w:lineRule="auto"/>
        <w:jc w:val="both"/>
        <w:rPr>
          <w:rFonts w:ascii="Arial" w:eastAsia="Arial" w:hAnsi="Arial" w:cs="Arial"/>
          <w:b/>
          <w:bCs/>
          <w:color w:val="000000"/>
          <w:sz w:val="22"/>
          <w:szCs w:val="22"/>
          <w:lang w:val="es-ES_tradnl"/>
        </w:rPr>
      </w:pPr>
      <w:r w:rsidRPr="007B15DE">
        <w:rPr>
          <w:rFonts w:ascii="Arial" w:eastAsia="Arial" w:hAnsi="Arial" w:cs="Arial"/>
          <w:b/>
          <w:bCs/>
          <w:color w:val="000000"/>
          <w:sz w:val="22"/>
          <w:szCs w:val="22"/>
          <w:lang w:val="es-ES_tradnl"/>
        </w:rPr>
        <w:t xml:space="preserve">2.2. Alcance de la regla de la inalterabilidad de los documentos tipo </w:t>
      </w:r>
    </w:p>
    <w:p w14:paraId="5E4D140A" w14:textId="77777777" w:rsidR="00E93E03" w:rsidRPr="00C15FAF" w:rsidRDefault="00E93E03" w:rsidP="00E93E03">
      <w:pPr>
        <w:tabs>
          <w:tab w:val="left" w:pos="0"/>
        </w:tabs>
        <w:spacing w:line="276" w:lineRule="auto"/>
        <w:jc w:val="both"/>
        <w:rPr>
          <w:rFonts w:ascii="Arial" w:eastAsia="Calibri" w:hAnsi="Arial" w:cs="Arial"/>
          <w:b/>
          <w:color w:val="000000"/>
          <w:lang w:val="es-ES_tradnl"/>
        </w:rPr>
      </w:pPr>
    </w:p>
    <w:p w14:paraId="4E06B812" w14:textId="521ADF27" w:rsidR="00E93E03" w:rsidRPr="00A265AE" w:rsidRDefault="00E93E03" w:rsidP="00E93E03">
      <w:pPr>
        <w:spacing w:line="276" w:lineRule="auto"/>
        <w:jc w:val="both"/>
        <w:rPr>
          <w:rFonts w:ascii="Arial" w:hAnsi="Arial" w:cs="Arial"/>
          <w:sz w:val="22"/>
          <w:shd w:val="clear" w:color="auto" w:fill="FFFFFF"/>
          <w:lang w:val="es-ES_tradnl"/>
        </w:rPr>
      </w:pPr>
      <w:r w:rsidRPr="00A265AE">
        <w:rPr>
          <w:rFonts w:ascii="Arial" w:hAnsi="Arial" w:cs="Arial"/>
          <w:sz w:val="22"/>
          <w:shd w:val="clear" w:color="auto" w:fill="FFFFFF"/>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A265AE">
        <w:rPr>
          <w:rFonts w:ascii="Arial" w:hAnsi="Arial" w:cs="Arial"/>
          <w:i/>
          <w:iCs/>
          <w:sz w:val="22"/>
          <w:shd w:val="clear" w:color="auto" w:fill="FFFFFF"/>
          <w:lang w:val="es-ES_tradnl"/>
        </w:rPr>
        <w:t>Documentos del Proceso</w:t>
      </w:r>
      <w:r w:rsidRPr="00A265AE">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2D06EB7" w14:textId="77777777" w:rsidR="00E93E03" w:rsidRPr="00A265AE" w:rsidRDefault="00E93E03" w:rsidP="00E93E03">
      <w:pPr>
        <w:spacing w:before="120" w:line="276" w:lineRule="auto"/>
        <w:ind w:firstLine="709"/>
        <w:jc w:val="both"/>
        <w:rPr>
          <w:rFonts w:ascii="Arial" w:hAnsi="Arial" w:cs="Arial"/>
          <w:sz w:val="22"/>
          <w:shd w:val="clear" w:color="auto" w:fill="FFFFFF"/>
          <w:lang w:val="es-ES_tradnl"/>
        </w:rPr>
      </w:pPr>
      <w:bookmarkStart w:id="5" w:name="_Hlk84852727"/>
      <w:r w:rsidRPr="00A265AE">
        <w:rPr>
          <w:rFonts w:ascii="Arial" w:hAnsi="Arial" w:cs="Arial"/>
          <w:sz w:val="22"/>
          <w:shd w:val="clear" w:color="auto" w:fill="FFFFFF"/>
          <w:lang w:val="es-ES_tradnl"/>
        </w:rPr>
        <w:t>El fundamento legal vigente de la regla de la inalterabilidad se encuentra en el artículo 1 de la Ley 2022 de 2020, según el cual «</w:t>
      </w:r>
      <w:r w:rsidRPr="00A265AE">
        <w:rPr>
          <w:rFonts w:ascii="Arial" w:hAnsi="Arial" w:cs="Arial"/>
          <w:sz w:val="22"/>
          <w:lang w:val="es-ES_tradnl"/>
        </w:rPr>
        <w:t xml:space="preserve">[…] </w:t>
      </w:r>
      <w:r w:rsidRPr="00A265AE">
        <w:rPr>
          <w:rFonts w:ascii="Arial" w:hAnsi="Arial" w:cs="Arial"/>
          <w:sz w:val="22"/>
          <w:shd w:val="clear" w:color="auto" w:fill="FFFFFF"/>
          <w:lang w:val="es-ES_tradnl"/>
        </w:rPr>
        <w:t xml:space="preserve">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w:t>
      </w:r>
      <w:r w:rsidRPr="00A265AE">
        <w:rPr>
          <w:rFonts w:ascii="Arial" w:hAnsi="Arial" w:cs="Arial"/>
          <w:sz w:val="22"/>
          <w:shd w:val="clear" w:color="auto" w:fill="FFFFFF"/>
          <w:lang w:val="es-ES_tradnl"/>
        </w:rPr>
        <w:lastRenderedPageBreak/>
        <w:t>también quedó consignado en su momento el carácter inmodificable de los pliegos tipo en el artículo 1 de los Decretos 342 de 2019 y 594 de 2020, que adicionaron, respectivamente, los artículos 2.2.1.2.6.1.4. y 2.2.1.2.6.3.4 al Decreto 1082 de 2015.</w:t>
      </w:r>
    </w:p>
    <w:bookmarkEnd w:id="5"/>
    <w:p w14:paraId="41345D10" w14:textId="77777777" w:rsidR="00E93E03" w:rsidRPr="00A265AE" w:rsidRDefault="00E93E03" w:rsidP="00E93E03">
      <w:pPr>
        <w:spacing w:before="120" w:line="276" w:lineRule="auto"/>
        <w:ind w:firstLine="709"/>
        <w:jc w:val="both"/>
        <w:rPr>
          <w:rFonts w:ascii="Arial" w:hAnsi="Arial" w:cs="Arial"/>
          <w:sz w:val="22"/>
          <w:shd w:val="clear" w:color="auto" w:fill="FFFFFF"/>
          <w:lang w:val="es-ES_tradnl"/>
        </w:rPr>
      </w:pPr>
      <w:r w:rsidRPr="00A265AE">
        <w:rPr>
          <w:rFonts w:ascii="Arial" w:hAnsi="Arial" w:cs="Arial"/>
          <w:sz w:val="22"/>
          <w:shd w:val="clear" w:color="auto" w:fill="FFFFFF"/>
          <w:lang w:val="es-ES_tradnl"/>
        </w:rPr>
        <w:t>En este orden de ideas,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w:t>
      </w:r>
    </w:p>
    <w:p w14:paraId="24B15CF1" w14:textId="77777777" w:rsidR="006F5F09" w:rsidRDefault="006F5F09" w:rsidP="006F5F09">
      <w:pPr>
        <w:spacing w:line="276" w:lineRule="auto"/>
        <w:jc w:val="both"/>
        <w:rPr>
          <w:rFonts w:ascii="Arial" w:hAnsi="Arial" w:cs="Arial"/>
          <w:b/>
          <w:bCs/>
          <w:sz w:val="22"/>
          <w:szCs w:val="22"/>
          <w:shd w:val="clear" w:color="auto" w:fill="FFFFFF"/>
          <w:lang w:val="es-ES_tradnl"/>
        </w:rPr>
      </w:pPr>
    </w:p>
    <w:p w14:paraId="51163506" w14:textId="6F330C0B" w:rsidR="006F5F09" w:rsidRPr="006F5F09" w:rsidRDefault="006F5F09" w:rsidP="006F5F09">
      <w:pPr>
        <w:spacing w:line="276" w:lineRule="auto"/>
        <w:jc w:val="both"/>
        <w:rPr>
          <w:rFonts w:ascii="Arial" w:hAnsi="Arial" w:cs="Arial"/>
          <w:b/>
          <w:bCs/>
          <w:sz w:val="22"/>
          <w:szCs w:val="22"/>
          <w:shd w:val="clear" w:color="auto" w:fill="FFFFFF"/>
          <w:lang w:val="es-ES_tradnl"/>
        </w:rPr>
      </w:pPr>
      <w:r w:rsidRPr="00591614">
        <w:rPr>
          <w:rFonts w:ascii="Arial" w:hAnsi="Arial" w:cs="Arial"/>
          <w:b/>
          <w:bCs/>
          <w:sz w:val="22"/>
          <w:szCs w:val="22"/>
          <w:shd w:val="clear" w:color="auto" w:fill="FFFFFF"/>
          <w:lang w:val="es-ES_tradnl"/>
        </w:rPr>
        <w:t>2</w:t>
      </w:r>
      <w:r w:rsidRPr="00DD0F88">
        <w:rPr>
          <w:rFonts w:ascii="Arial" w:hAnsi="Arial" w:cs="Arial"/>
          <w:b/>
          <w:bCs/>
          <w:sz w:val="22"/>
          <w:szCs w:val="22"/>
          <w:shd w:val="clear" w:color="auto" w:fill="FFFFFF"/>
          <w:lang w:val="es-ES_tradnl"/>
        </w:rPr>
        <w:t xml:space="preserve">.3. Alcance de la Resolución </w:t>
      </w:r>
      <w:r w:rsidR="00C20CC6" w:rsidRPr="00DD0F88">
        <w:rPr>
          <w:rFonts w:ascii="Arial" w:hAnsi="Arial" w:cs="Arial"/>
          <w:b/>
          <w:bCs/>
          <w:sz w:val="22"/>
          <w:szCs w:val="22"/>
          <w:shd w:val="clear" w:color="auto" w:fill="FFFFFF"/>
          <w:lang w:val="es-ES_tradnl"/>
        </w:rPr>
        <w:t xml:space="preserve">No. </w:t>
      </w:r>
      <w:r w:rsidR="00BD0ACB" w:rsidRPr="00DD0F88">
        <w:rPr>
          <w:rFonts w:ascii="Arial" w:hAnsi="Arial" w:cs="Arial"/>
          <w:b/>
          <w:bCs/>
          <w:sz w:val="22"/>
          <w:szCs w:val="22"/>
          <w:shd w:val="clear" w:color="auto" w:fill="FFFFFF"/>
          <w:lang w:val="es-ES_tradnl"/>
        </w:rPr>
        <w:t xml:space="preserve">193 </w:t>
      </w:r>
      <w:r w:rsidR="00DD0F88">
        <w:rPr>
          <w:rFonts w:ascii="Arial" w:hAnsi="Arial" w:cs="Arial"/>
          <w:b/>
          <w:bCs/>
          <w:sz w:val="22"/>
          <w:szCs w:val="22"/>
          <w:shd w:val="clear" w:color="auto" w:fill="FFFFFF"/>
          <w:lang w:val="es-ES_tradnl"/>
        </w:rPr>
        <w:t xml:space="preserve">de 14 de julio </w:t>
      </w:r>
      <w:r w:rsidR="00BD0ACB" w:rsidRPr="00DD0F88">
        <w:rPr>
          <w:rFonts w:ascii="Arial" w:hAnsi="Arial" w:cs="Arial"/>
          <w:b/>
          <w:bCs/>
          <w:sz w:val="22"/>
          <w:szCs w:val="22"/>
          <w:shd w:val="clear" w:color="auto" w:fill="FFFFFF"/>
          <w:lang w:val="es-ES_tradnl"/>
        </w:rPr>
        <w:t xml:space="preserve">de 2021 </w:t>
      </w:r>
      <w:r w:rsidR="00C20CC6" w:rsidRPr="00DD0F88">
        <w:rPr>
          <w:rFonts w:ascii="Arial" w:hAnsi="Arial" w:cs="Arial"/>
          <w:b/>
          <w:bCs/>
          <w:sz w:val="22"/>
          <w:szCs w:val="22"/>
          <w:shd w:val="clear" w:color="auto" w:fill="FFFFFF"/>
          <w:lang w:val="es-ES_tradnl"/>
        </w:rPr>
        <w:t>y de los documentos tipo adoptados en virtud de ella</w:t>
      </w:r>
      <w:r w:rsidR="00AF0FD1">
        <w:rPr>
          <w:rFonts w:ascii="Arial" w:hAnsi="Arial" w:cs="Arial"/>
          <w:b/>
          <w:bCs/>
          <w:sz w:val="22"/>
          <w:szCs w:val="22"/>
          <w:shd w:val="clear" w:color="auto" w:fill="FFFFFF"/>
          <w:lang w:val="es-ES_tradnl"/>
        </w:rPr>
        <w:t>.</w:t>
      </w:r>
      <w:r w:rsidR="0010006F" w:rsidRPr="00DD0F88">
        <w:rPr>
          <w:rFonts w:ascii="Arial" w:hAnsi="Arial" w:cs="Arial"/>
          <w:b/>
          <w:bCs/>
          <w:sz w:val="22"/>
          <w:szCs w:val="22"/>
          <w:shd w:val="clear" w:color="auto" w:fill="FFFFFF"/>
          <w:lang w:val="es-ES_tradnl"/>
        </w:rPr>
        <w:t xml:space="preserve"> </w:t>
      </w:r>
      <w:r w:rsidR="00AF0FD1">
        <w:rPr>
          <w:rFonts w:ascii="Arial" w:hAnsi="Arial" w:cs="Arial"/>
          <w:b/>
          <w:bCs/>
          <w:sz w:val="22"/>
          <w:szCs w:val="22"/>
          <w:shd w:val="clear" w:color="auto" w:fill="FFFFFF"/>
          <w:lang w:val="es-ES_tradnl"/>
        </w:rPr>
        <w:t>I</w:t>
      </w:r>
      <w:r w:rsidR="00A3535E" w:rsidRPr="00DD0F88">
        <w:rPr>
          <w:rFonts w:ascii="Arial" w:hAnsi="Arial" w:cs="Arial"/>
          <w:b/>
          <w:bCs/>
          <w:sz w:val="22"/>
          <w:szCs w:val="22"/>
          <w:shd w:val="clear" w:color="auto" w:fill="FFFFFF"/>
          <w:lang w:val="es-ES_tradnl"/>
        </w:rPr>
        <w:t>naplicabilidad</w:t>
      </w:r>
      <w:r w:rsidR="00C20CC6" w:rsidRPr="00DD0F88">
        <w:rPr>
          <w:rFonts w:ascii="Arial" w:hAnsi="Arial" w:cs="Arial"/>
          <w:b/>
          <w:bCs/>
          <w:sz w:val="22"/>
          <w:szCs w:val="22"/>
          <w:shd w:val="clear" w:color="auto" w:fill="FFFFFF"/>
          <w:lang w:val="es-ES_tradnl"/>
        </w:rPr>
        <w:t xml:space="preserve"> </w:t>
      </w:r>
      <w:r w:rsidR="007E496E" w:rsidRPr="00DD0F88">
        <w:rPr>
          <w:rFonts w:ascii="Arial" w:hAnsi="Arial" w:cs="Arial"/>
          <w:b/>
          <w:bCs/>
          <w:sz w:val="22"/>
          <w:szCs w:val="22"/>
          <w:shd w:val="clear" w:color="auto" w:fill="FFFFFF"/>
          <w:lang w:val="es-ES_tradnl"/>
        </w:rPr>
        <w:t>de dicha Resolución a la</w:t>
      </w:r>
      <w:r w:rsidR="00C20CC6" w:rsidRPr="00DD0F88">
        <w:rPr>
          <w:rFonts w:ascii="Arial" w:hAnsi="Arial" w:cs="Arial"/>
          <w:b/>
          <w:bCs/>
          <w:sz w:val="22"/>
          <w:szCs w:val="22"/>
          <w:shd w:val="clear" w:color="auto" w:fill="FFFFFF"/>
          <w:lang w:val="es-ES_tradnl"/>
        </w:rPr>
        <w:t xml:space="preserve"> contratación </w:t>
      </w:r>
      <w:r w:rsidR="00AF0FD1">
        <w:rPr>
          <w:rFonts w:ascii="Arial" w:hAnsi="Arial" w:cs="Arial"/>
          <w:b/>
          <w:bCs/>
          <w:sz w:val="22"/>
          <w:szCs w:val="22"/>
          <w:shd w:val="clear" w:color="auto" w:fill="FFFFFF"/>
          <w:lang w:val="es-ES_tradnl"/>
        </w:rPr>
        <w:t>realizada mediante</w:t>
      </w:r>
      <w:r w:rsidR="00AF0FD1" w:rsidRPr="00DD0F88">
        <w:rPr>
          <w:rFonts w:ascii="Arial" w:hAnsi="Arial" w:cs="Arial"/>
          <w:b/>
          <w:bCs/>
          <w:sz w:val="22"/>
          <w:szCs w:val="22"/>
          <w:shd w:val="clear" w:color="auto" w:fill="FFFFFF"/>
          <w:lang w:val="es-ES_tradnl"/>
        </w:rPr>
        <w:t xml:space="preserve"> </w:t>
      </w:r>
      <w:r w:rsidR="00C20CC6" w:rsidRPr="00DD0F88">
        <w:rPr>
          <w:rFonts w:ascii="Arial" w:hAnsi="Arial" w:cs="Arial"/>
          <w:b/>
          <w:bCs/>
          <w:sz w:val="22"/>
          <w:szCs w:val="22"/>
          <w:shd w:val="clear" w:color="auto" w:fill="FFFFFF"/>
          <w:lang w:val="es-ES_tradnl"/>
        </w:rPr>
        <w:t>la modalidad de mínima cuantía</w:t>
      </w:r>
    </w:p>
    <w:p w14:paraId="4B54F07C" w14:textId="703D4902" w:rsidR="004D1C27" w:rsidRDefault="004D1C27" w:rsidP="004D1C27">
      <w:pPr>
        <w:spacing w:line="276" w:lineRule="auto"/>
        <w:jc w:val="both"/>
        <w:rPr>
          <w:rFonts w:ascii="Arial" w:hAnsi="Arial" w:cs="Arial"/>
          <w:sz w:val="22"/>
          <w:lang w:val="es-ES_tradnl"/>
        </w:rPr>
      </w:pPr>
    </w:p>
    <w:p w14:paraId="41A0584C" w14:textId="0E62EE22" w:rsidR="00850F44" w:rsidRDefault="003E7890" w:rsidP="004D1C27">
      <w:pPr>
        <w:spacing w:line="276" w:lineRule="auto"/>
        <w:jc w:val="both"/>
        <w:rPr>
          <w:rFonts w:ascii="Arial" w:hAnsi="Arial" w:cs="Arial"/>
          <w:sz w:val="22"/>
          <w:lang w:val="es-ES_tradnl"/>
        </w:rPr>
      </w:pPr>
      <w:r>
        <w:rPr>
          <w:rFonts w:ascii="Arial" w:hAnsi="Arial" w:cs="Arial"/>
          <w:sz w:val="22"/>
          <w:lang w:val="es-ES_tradnl"/>
        </w:rPr>
        <w:t xml:space="preserve">En ejercicio de la competencia </w:t>
      </w:r>
      <w:r w:rsidR="000D4567">
        <w:rPr>
          <w:rFonts w:ascii="Arial" w:hAnsi="Arial" w:cs="Arial"/>
          <w:sz w:val="22"/>
          <w:lang w:val="es-ES_tradnl"/>
        </w:rPr>
        <w:t xml:space="preserve">otorgada por el </w:t>
      </w:r>
      <w:r>
        <w:rPr>
          <w:rFonts w:ascii="Arial" w:hAnsi="Arial" w:cs="Arial"/>
          <w:sz w:val="22"/>
          <w:lang w:val="es-ES_tradnl"/>
        </w:rPr>
        <w:t xml:space="preserve">artículo 1 de la Ley 2022 de 2020, la Agencia Nacional de Contratación Pública – Colombia Compra Eficiente expidió la Resolución No. </w:t>
      </w:r>
      <w:r w:rsidR="00A434B2">
        <w:rPr>
          <w:rFonts w:ascii="Arial" w:hAnsi="Arial" w:cs="Arial"/>
          <w:sz w:val="22"/>
          <w:lang w:val="es-ES_tradnl"/>
        </w:rPr>
        <w:t>193 de</w:t>
      </w:r>
      <w:r w:rsidR="006F5957">
        <w:rPr>
          <w:rFonts w:ascii="Arial" w:hAnsi="Arial" w:cs="Arial"/>
          <w:sz w:val="22"/>
          <w:lang w:val="es-ES_tradnl"/>
        </w:rPr>
        <w:t>l 14 de julio de</w:t>
      </w:r>
      <w:r w:rsidR="00A434B2">
        <w:rPr>
          <w:rFonts w:ascii="Arial" w:hAnsi="Arial" w:cs="Arial"/>
          <w:sz w:val="22"/>
          <w:lang w:val="es-ES_tradnl"/>
        </w:rPr>
        <w:t xml:space="preserve"> 2021</w:t>
      </w:r>
      <w:r w:rsidR="00410497">
        <w:rPr>
          <w:rFonts w:ascii="Arial" w:hAnsi="Arial" w:cs="Arial"/>
          <w:sz w:val="22"/>
          <w:lang w:val="es-ES_tradnl"/>
        </w:rPr>
        <w:t xml:space="preserve">, «Por la cual se adoptan los documentos tipo para los procesos de selección de concurso de méritos, para contratar la </w:t>
      </w:r>
      <w:r w:rsidR="00337903">
        <w:rPr>
          <w:rFonts w:ascii="Arial" w:hAnsi="Arial" w:cs="Arial"/>
          <w:sz w:val="22"/>
          <w:lang w:val="es-ES_tradnl"/>
        </w:rPr>
        <w:t>consultoría</w:t>
      </w:r>
      <w:r w:rsidR="00410497">
        <w:rPr>
          <w:rFonts w:ascii="Arial" w:hAnsi="Arial" w:cs="Arial"/>
          <w:sz w:val="22"/>
          <w:lang w:val="es-ES_tradnl"/>
        </w:rPr>
        <w:t xml:space="preserve"> de </w:t>
      </w:r>
      <w:r w:rsidR="00ED7725">
        <w:rPr>
          <w:rFonts w:ascii="Arial" w:hAnsi="Arial" w:cs="Arial"/>
          <w:sz w:val="22"/>
          <w:lang w:val="es-ES_tradnl"/>
        </w:rPr>
        <w:t>estudios de ingeniería</w:t>
      </w:r>
      <w:r w:rsidR="00410497">
        <w:rPr>
          <w:rFonts w:ascii="Arial" w:hAnsi="Arial" w:cs="Arial"/>
          <w:sz w:val="22"/>
          <w:lang w:val="es-ES_tradnl"/>
        </w:rPr>
        <w:t xml:space="preserve"> de infraestructura de transporte». El artículo </w:t>
      </w:r>
      <w:r w:rsidR="00375627">
        <w:rPr>
          <w:rFonts w:ascii="Arial" w:hAnsi="Arial" w:cs="Arial"/>
          <w:sz w:val="22"/>
          <w:lang w:val="es-ES_tradnl"/>
        </w:rPr>
        <w:t>5 de dicha Resolución dispuso que los documentos tipo que adoptó</w:t>
      </w:r>
      <w:r w:rsidR="00EE4BA1">
        <w:rPr>
          <w:rFonts w:ascii="Arial" w:hAnsi="Arial" w:cs="Arial"/>
          <w:sz w:val="22"/>
          <w:lang w:val="es-ES_tradnl"/>
        </w:rPr>
        <w:t xml:space="preserve"> se deben aplicar «</w:t>
      </w:r>
      <w:r w:rsidR="00EE4BA1" w:rsidRPr="00EE4BA1">
        <w:rPr>
          <w:rFonts w:ascii="Arial" w:hAnsi="Arial" w:cs="Arial"/>
          <w:sz w:val="22"/>
          <w:lang w:val="es-ES_tradnl"/>
        </w:rPr>
        <w:t xml:space="preserve">a los procedimientos de selección cuyo aviso de convocatoria se publique </w:t>
      </w:r>
      <w:r w:rsidR="00026D7A">
        <w:rPr>
          <w:rFonts w:ascii="Arial" w:hAnsi="Arial" w:cs="Arial"/>
          <w:sz w:val="22"/>
          <w:lang w:val="es-ES_tradnl"/>
        </w:rPr>
        <w:t>el 9 de agosto</w:t>
      </w:r>
      <w:r w:rsidR="00EE4BA1" w:rsidRPr="00EE4BA1">
        <w:rPr>
          <w:rFonts w:ascii="Arial" w:hAnsi="Arial" w:cs="Arial"/>
          <w:sz w:val="22"/>
          <w:lang w:val="es-ES_tradnl"/>
        </w:rPr>
        <w:t xml:space="preserve"> de 2021 o en una fecha posterior</w:t>
      </w:r>
      <w:r w:rsidR="00EE4BA1">
        <w:rPr>
          <w:rFonts w:ascii="Arial" w:hAnsi="Arial" w:cs="Arial"/>
          <w:sz w:val="22"/>
          <w:lang w:val="es-ES_tradnl"/>
        </w:rPr>
        <w:t>»</w:t>
      </w:r>
      <w:r w:rsidR="00EE4BA1" w:rsidRPr="00EE4BA1">
        <w:rPr>
          <w:rFonts w:ascii="Arial" w:hAnsi="Arial" w:cs="Arial"/>
          <w:sz w:val="22"/>
          <w:lang w:val="es-ES_tradnl"/>
        </w:rPr>
        <w:t>.</w:t>
      </w:r>
    </w:p>
    <w:p w14:paraId="7A26C244" w14:textId="045659E2" w:rsidR="007E496E" w:rsidRDefault="00850F44" w:rsidP="00850F44">
      <w:pPr>
        <w:spacing w:before="120" w:line="276" w:lineRule="auto"/>
        <w:ind w:firstLine="709"/>
        <w:jc w:val="both"/>
        <w:rPr>
          <w:rFonts w:ascii="Arial" w:hAnsi="Arial" w:cs="Arial"/>
          <w:sz w:val="22"/>
          <w:lang w:val="es-ES_tradnl"/>
        </w:rPr>
      </w:pPr>
      <w:r>
        <w:rPr>
          <w:rFonts w:ascii="Arial" w:hAnsi="Arial" w:cs="Arial"/>
          <w:sz w:val="22"/>
          <w:lang w:val="es-ES_tradnl"/>
        </w:rPr>
        <w:t>Así, tanto por el título de la Resolución</w:t>
      </w:r>
      <w:r w:rsidR="00BB368F">
        <w:rPr>
          <w:rFonts w:ascii="Arial" w:hAnsi="Arial" w:cs="Arial"/>
          <w:sz w:val="22"/>
          <w:lang w:val="es-ES_tradnl"/>
        </w:rPr>
        <w:t xml:space="preserve"> </w:t>
      </w:r>
      <w:r>
        <w:rPr>
          <w:rFonts w:ascii="Arial" w:hAnsi="Arial" w:cs="Arial"/>
          <w:sz w:val="22"/>
          <w:lang w:val="es-ES_tradnl"/>
        </w:rPr>
        <w:t xml:space="preserve">como por lo </w:t>
      </w:r>
      <w:r w:rsidR="00435FAF">
        <w:rPr>
          <w:rFonts w:ascii="Arial" w:hAnsi="Arial" w:cs="Arial"/>
          <w:sz w:val="22"/>
          <w:lang w:val="es-ES_tradnl"/>
        </w:rPr>
        <w:t>establecido en</w:t>
      </w:r>
      <w:r>
        <w:rPr>
          <w:rFonts w:ascii="Arial" w:hAnsi="Arial" w:cs="Arial"/>
          <w:sz w:val="22"/>
          <w:lang w:val="es-ES_tradnl"/>
        </w:rPr>
        <w:t xml:space="preserve"> su artículo 1</w:t>
      </w:r>
      <w:r w:rsidR="000D4567">
        <w:rPr>
          <w:rStyle w:val="Refdenotaalpie"/>
          <w:rFonts w:ascii="Arial" w:hAnsi="Arial" w:cs="Arial"/>
          <w:sz w:val="22"/>
          <w:lang w:val="es-ES_tradnl"/>
        </w:rPr>
        <w:footnoteReference w:id="6"/>
      </w:r>
      <w:r w:rsidR="00EF2388">
        <w:rPr>
          <w:rFonts w:ascii="Arial" w:hAnsi="Arial" w:cs="Arial"/>
          <w:sz w:val="22"/>
          <w:lang w:val="es-ES_tradnl"/>
        </w:rPr>
        <w:t xml:space="preserve">, no </w:t>
      </w:r>
      <w:r w:rsidR="00EF2388" w:rsidRPr="00DD0F88">
        <w:rPr>
          <w:rFonts w:ascii="Arial" w:hAnsi="Arial" w:cs="Arial"/>
          <w:sz w:val="22"/>
          <w:lang w:val="es-ES_tradnl"/>
        </w:rPr>
        <w:t xml:space="preserve">cabe duda de que los documentos tipo que en dicho reglamento se </w:t>
      </w:r>
      <w:r w:rsidR="008E6401" w:rsidRPr="00DD0F88">
        <w:rPr>
          <w:rFonts w:ascii="Arial" w:hAnsi="Arial" w:cs="Arial"/>
          <w:sz w:val="22"/>
          <w:lang w:val="es-ES_tradnl"/>
        </w:rPr>
        <w:t>crean</w:t>
      </w:r>
      <w:r w:rsidR="00A10AAD" w:rsidRPr="00DD0F88">
        <w:rPr>
          <w:rFonts w:ascii="Arial" w:hAnsi="Arial" w:cs="Arial"/>
          <w:sz w:val="22"/>
          <w:lang w:val="es-ES_tradnl"/>
        </w:rPr>
        <w:t xml:space="preserve"> rigen para </w:t>
      </w:r>
      <w:r w:rsidR="008F2DBF">
        <w:rPr>
          <w:rFonts w:ascii="Arial" w:hAnsi="Arial" w:cs="Arial"/>
          <w:sz w:val="22"/>
          <w:lang w:val="es-ES_tradnl"/>
        </w:rPr>
        <w:t>la modalidad de</w:t>
      </w:r>
      <w:r w:rsidR="008F2DBF" w:rsidRPr="00DD0F88">
        <w:rPr>
          <w:rFonts w:ascii="Arial" w:hAnsi="Arial" w:cs="Arial"/>
          <w:sz w:val="22"/>
          <w:lang w:val="es-ES_tradnl"/>
        </w:rPr>
        <w:t xml:space="preserve"> </w:t>
      </w:r>
      <w:r w:rsidR="00A10AAD" w:rsidRPr="00DD0F88">
        <w:rPr>
          <w:rFonts w:ascii="Arial" w:hAnsi="Arial" w:cs="Arial"/>
          <w:sz w:val="22"/>
          <w:lang w:val="es-ES_tradnl"/>
        </w:rPr>
        <w:t xml:space="preserve">concurso de méritos dirigido a contratar </w:t>
      </w:r>
      <w:r w:rsidR="00813AFF" w:rsidRPr="00DD0F88">
        <w:rPr>
          <w:rFonts w:ascii="Arial" w:hAnsi="Arial" w:cs="Arial"/>
          <w:sz w:val="22"/>
          <w:lang w:val="es-ES_tradnl"/>
        </w:rPr>
        <w:t>la consultoría de estudios de ingeniería</w:t>
      </w:r>
      <w:r w:rsidR="004172D8" w:rsidRPr="00DD0F88">
        <w:rPr>
          <w:rFonts w:ascii="Arial" w:hAnsi="Arial" w:cs="Arial"/>
          <w:sz w:val="22"/>
          <w:lang w:val="es-ES_tradnl"/>
        </w:rPr>
        <w:t xml:space="preserve"> </w:t>
      </w:r>
      <w:r w:rsidR="006000DA" w:rsidRPr="00DD0F88">
        <w:rPr>
          <w:rFonts w:ascii="Arial" w:hAnsi="Arial" w:cs="Arial"/>
          <w:sz w:val="22"/>
          <w:lang w:val="es-ES_tradnl"/>
        </w:rPr>
        <w:t>de infraestructura</w:t>
      </w:r>
      <w:r w:rsidR="00A10AAD" w:rsidRPr="00DD0F88">
        <w:rPr>
          <w:rFonts w:ascii="Arial" w:hAnsi="Arial" w:cs="Arial"/>
          <w:sz w:val="22"/>
          <w:lang w:val="es-ES_tradnl"/>
        </w:rPr>
        <w:t xml:space="preserve"> de transporte.</w:t>
      </w:r>
      <w:r w:rsidR="00EF2388" w:rsidRPr="00DD0F88">
        <w:rPr>
          <w:rFonts w:ascii="Arial" w:hAnsi="Arial" w:cs="Arial"/>
          <w:sz w:val="22"/>
          <w:lang w:val="es-ES_tradnl"/>
        </w:rPr>
        <w:t xml:space="preserve"> </w:t>
      </w:r>
      <w:r w:rsidR="00A10AAD" w:rsidRPr="00061E38">
        <w:rPr>
          <w:rFonts w:ascii="Arial" w:hAnsi="Arial" w:cs="Arial"/>
          <w:sz w:val="22"/>
          <w:lang w:val="es-ES_tradnl"/>
        </w:rPr>
        <w:t xml:space="preserve">Por consiguiente, </w:t>
      </w:r>
      <w:r w:rsidR="00EF2388" w:rsidRPr="00061E38">
        <w:rPr>
          <w:rFonts w:ascii="Arial" w:hAnsi="Arial" w:cs="Arial"/>
          <w:sz w:val="22"/>
          <w:lang w:val="es-ES_tradnl"/>
        </w:rPr>
        <w:t xml:space="preserve">no son aplicables a los procesos de selección de </w:t>
      </w:r>
      <w:r w:rsidR="00EF2388" w:rsidRPr="00061E38">
        <w:rPr>
          <w:rFonts w:ascii="Arial" w:hAnsi="Arial" w:cs="Arial"/>
          <w:i/>
          <w:iCs/>
          <w:sz w:val="22"/>
          <w:lang w:val="es-ES_tradnl"/>
        </w:rPr>
        <w:t>mínima cuantía</w:t>
      </w:r>
      <w:r w:rsidR="00EF2388" w:rsidRPr="00061E38">
        <w:rPr>
          <w:rFonts w:ascii="Arial" w:hAnsi="Arial" w:cs="Arial"/>
          <w:sz w:val="22"/>
          <w:lang w:val="es-ES_tradnl"/>
        </w:rPr>
        <w:t xml:space="preserve"> </w:t>
      </w:r>
      <w:r w:rsidR="00596E88" w:rsidRPr="00061E38">
        <w:rPr>
          <w:rFonts w:ascii="Arial" w:hAnsi="Arial" w:cs="Arial"/>
          <w:sz w:val="22"/>
          <w:lang w:val="es-ES_tradnl"/>
        </w:rPr>
        <w:t>mediante</w:t>
      </w:r>
      <w:r w:rsidR="00EF2388" w:rsidRPr="00061E38">
        <w:rPr>
          <w:rFonts w:ascii="Arial" w:hAnsi="Arial" w:cs="Arial"/>
          <w:sz w:val="22"/>
          <w:lang w:val="es-ES_tradnl"/>
        </w:rPr>
        <w:t xml:space="preserve"> los cuales </w:t>
      </w:r>
      <w:r w:rsidR="00FF0FA2" w:rsidRPr="00061E38">
        <w:rPr>
          <w:rFonts w:ascii="Arial" w:hAnsi="Arial" w:cs="Arial"/>
          <w:sz w:val="22"/>
          <w:lang w:val="es-ES_tradnl"/>
        </w:rPr>
        <w:t xml:space="preserve">se efectúe la contratación de </w:t>
      </w:r>
      <w:r w:rsidR="0014627C" w:rsidRPr="00061E38">
        <w:rPr>
          <w:rFonts w:ascii="Arial" w:hAnsi="Arial" w:cs="Arial"/>
          <w:sz w:val="22"/>
          <w:lang w:val="es-ES_tradnl"/>
        </w:rPr>
        <w:t xml:space="preserve">consultoría </w:t>
      </w:r>
      <w:r w:rsidR="00FF0FA2" w:rsidRPr="00061E38">
        <w:rPr>
          <w:rFonts w:ascii="Arial" w:hAnsi="Arial" w:cs="Arial"/>
          <w:sz w:val="22"/>
          <w:lang w:val="es-ES_tradnl"/>
        </w:rPr>
        <w:t>de infraestructura de transporte.</w:t>
      </w:r>
    </w:p>
    <w:p w14:paraId="34A6E9C2" w14:textId="31F9822C" w:rsidR="00C20E1E" w:rsidRDefault="00C20E1E" w:rsidP="00F9375C">
      <w:pPr>
        <w:spacing w:before="120" w:line="276" w:lineRule="auto"/>
        <w:ind w:firstLine="709"/>
        <w:jc w:val="both"/>
        <w:rPr>
          <w:rFonts w:ascii="Arial" w:hAnsi="Arial" w:cs="Arial"/>
          <w:sz w:val="22"/>
          <w:lang w:val="es-ES_tradnl"/>
        </w:rPr>
      </w:pPr>
      <w:r>
        <w:rPr>
          <w:rFonts w:ascii="Arial" w:hAnsi="Arial" w:cs="Arial"/>
          <w:sz w:val="22"/>
          <w:lang w:val="es-ES_tradnl"/>
        </w:rPr>
        <w:t>Dos</w:t>
      </w:r>
      <w:r w:rsidR="0010006F">
        <w:rPr>
          <w:rFonts w:ascii="Arial" w:hAnsi="Arial" w:cs="Arial"/>
          <w:sz w:val="22"/>
          <w:lang w:val="es-ES_tradnl"/>
        </w:rPr>
        <w:t xml:space="preserve"> (2)</w:t>
      </w:r>
      <w:r>
        <w:rPr>
          <w:rFonts w:ascii="Arial" w:hAnsi="Arial" w:cs="Arial"/>
          <w:sz w:val="22"/>
          <w:lang w:val="es-ES_tradnl"/>
        </w:rPr>
        <w:t xml:space="preserve"> argumentos adicionales apoyan la tesis señalada anteriormente. </w:t>
      </w:r>
      <w:r w:rsidRPr="00FC0BAC">
        <w:rPr>
          <w:rFonts w:ascii="Arial" w:hAnsi="Arial" w:cs="Arial"/>
          <w:i/>
          <w:iCs/>
          <w:sz w:val="22"/>
          <w:lang w:val="es-ES_tradnl"/>
        </w:rPr>
        <w:t>En primer lugar</w:t>
      </w:r>
      <w:r>
        <w:rPr>
          <w:rFonts w:ascii="Arial" w:hAnsi="Arial" w:cs="Arial"/>
          <w:sz w:val="22"/>
          <w:lang w:val="es-ES_tradnl"/>
        </w:rPr>
        <w:t>, la memoria justificativa</w:t>
      </w:r>
      <w:r w:rsidR="007B4BA9">
        <w:rPr>
          <w:rFonts w:ascii="Arial" w:hAnsi="Arial" w:cs="Arial"/>
          <w:sz w:val="22"/>
          <w:lang w:val="es-ES_tradnl"/>
        </w:rPr>
        <w:t xml:space="preserve"> del proyecto que se convirtió en la Resolución No. </w:t>
      </w:r>
      <w:r w:rsidR="00680E92">
        <w:rPr>
          <w:rFonts w:ascii="Arial" w:hAnsi="Arial" w:cs="Arial"/>
          <w:sz w:val="22"/>
          <w:lang w:val="es-ES_tradnl"/>
        </w:rPr>
        <w:t>193 de 14 de julio de 2021</w:t>
      </w:r>
      <w:r w:rsidR="002A4E9D">
        <w:rPr>
          <w:rFonts w:ascii="Arial" w:hAnsi="Arial" w:cs="Arial"/>
          <w:sz w:val="22"/>
          <w:lang w:val="es-ES_tradnl"/>
        </w:rPr>
        <w:t xml:space="preserve"> </w:t>
      </w:r>
      <w:r w:rsidR="0010006F">
        <w:rPr>
          <w:rFonts w:ascii="Arial" w:hAnsi="Arial" w:cs="Arial"/>
          <w:sz w:val="22"/>
          <w:lang w:val="es-ES_tradnl"/>
        </w:rPr>
        <w:t xml:space="preserve">explicó </w:t>
      </w:r>
      <w:r w:rsidR="002A4E9D">
        <w:rPr>
          <w:rFonts w:ascii="Arial" w:hAnsi="Arial" w:cs="Arial"/>
          <w:sz w:val="22"/>
          <w:lang w:val="es-ES_tradnl"/>
        </w:rPr>
        <w:t xml:space="preserve">en </w:t>
      </w:r>
      <w:r w:rsidR="00247F95">
        <w:rPr>
          <w:rFonts w:ascii="Arial" w:hAnsi="Arial" w:cs="Arial"/>
          <w:sz w:val="22"/>
          <w:lang w:val="es-ES_tradnl"/>
        </w:rPr>
        <w:t xml:space="preserve">el numeral </w:t>
      </w:r>
      <w:r w:rsidR="00410722">
        <w:rPr>
          <w:rFonts w:ascii="Arial" w:hAnsi="Arial" w:cs="Arial"/>
          <w:sz w:val="22"/>
          <w:lang w:val="es-ES_tradnl"/>
        </w:rPr>
        <w:t>8</w:t>
      </w:r>
      <w:r w:rsidR="00247F95">
        <w:rPr>
          <w:rFonts w:ascii="Arial" w:hAnsi="Arial" w:cs="Arial"/>
          <w:sz w:val="22"/>
          <w:lang w:val="es-ES_tradnl"/>
        </w:rPr>
        <w:t>, referido a la estructura de la Resolución</w:t>
      </w:r>
      <w:r w:rsidR="0010006F">
        <w:rPr>
          <w:rFonts w:ascii="Arial" w:hAnsi="Arial" w:cs="Arial"/>
          <w:sz w:val="22"/>
          <w:lang w:val="es-ES_tradnl"/>
        </w:rPr>
        <w:t>, que</w:t>
      </w:r>
      <w:r w:rsidR="00191473">
        <w:rPr>
          <w:rFonts w:ascii="Arial" w:hAnsi="Arial" w:cs="Arial"/>
          <w:sz w:val="22"/>
          <w:lang w:val="es-ES_tradnl"/>
        </w:rPr>
        <w:t xml:space="preserve"> </w:t>
      </w:r>
      <w:r w:rsidR="00247F95">
        <w:rPr>
          <w:rFonts w:ascii="Arial" w:hAnsi="Arial" w:cs="Arial"/>
          <w:sz w:val="22"/>
          <w:lang w:val="es-ES_tradnl"/>
        </w:rPr>
        <w:t>«</w:t>
      </w:r>
      <w:r w:rsidR="00490D21" w:rsidRPr="00490D21">
        <w:rPr>
          <w:rFonts w:ascii="Arial" w:hAnsi="Arial" w:cs="Arial"/>
          <w:sz w:val="22"/>
          <w:szCs w:val="22"/>
        </w:rPr>
        <w:t xml:space="preserve">Teniendo en cuenta el tema sobre el que recaen los documentos tipo, en el artículo 1 se indica que el objeto de la resolución es adoptarlos para los procesos de selección de consultoría de estudios de ingeniería de infraestructura de transporte que se adelanten por </w:t>
      </w:r>
      <w:r w:rsidR="00490D21" w:rsidRPr="00490D21">
        <w:rPr>
          <w:rFonts w:ascii="Arial" w:hAnsi="Arial" w:cs="Arial"/>
          <w:sz w:val="22"/>
          <w:szCs w:val="22"/>
        </w:rPr>
        <w:lastRenderedPageBreak/>
        <w:t>la modalidad de concurso de méritos</w:t>
      </w:r>
      <w:r w:rsidR="00C533F2">
        <w:rPr>
          <w:rFonts w:ascii="Arial" w:hAnsi="Arial" w:cs="Arial"/>
          <w:sz w:val="22"/>
          <w:lang w:val="es-ES_tradnl"/>
        </w:rPr>
        <w:t>»</w:t>
      </w:r>
      <w:r w:rsidR="007D20BB">
        <w:rPr>
          <w:rStyle w:val="Refdenotaalpie"/>
          <w:rFonts w:ascii="Arial" w:hAnsi="Arial" w:cs="Arial"/>
          <w:sz w:val="22"/>
          <w:lang w:val="es-ES_tradnl"/>
        </w:rPr>
        <w:footnoteReference w:id="7"/>
      </w:r>
      <w:r w:rsidR="00C533F2" w:rsidRPr="00C533F2">
        <w:rPr>
          <w:rFonts w:ascii="Arial" w:hAnsi="Arial" w:cs="Arial"/>
          <w:sz w:val="22"/>
          <w:lang w:val="es-ES_tradnl"/>
        </w:rPr>
        <w:t>.</w:t>
      </w:r>
      <w:r w:rsidR="005270E8">
        <w:rPr>
          <w:rFonts w:ascii="Arial" w:hAnsi="Arial" w:cs="Arial"/>
          <w:sz w:val="22"/>
          <w:lang w:val="es-ES_tradnl"/>
        </w:rPr>
        <w:t xml:space="preserve"> </w:t>
      </w:r>
      <w:r w:rsidR="00490D21">
        <w:rPr>
          <w:rFonts w:ascii="Arial" w:hAnsi="Arial" w:cs="Arial"/>
          <w:sz w:val="22"/>
          <w:lang w:val="es-ES_tradnl"/>
        </w:rPr>
        <w:t>Asimismo</w:t>
      </w:r>
      <w:r w:rsidR="005270E8">
        <w:rPr>
          <w:rFonts w:ascii="Arial" w:hAnsi="Arial" w:cs="Arial"/>
          <w:sz w:val="22"/>
          <w:lang w:val="es-ES_tradnl"/>
        </w:rPr>
        <w:t xml:space="preserve">, el </w:t>
      </w:r>
      <w:r w:rsidR="00490D21">
        <w:rPr>
          <w:rFonts w:ascii="Arial" w:hAnsi="Arial" w:cs="Arial"/>
          <w:sz w:val="22"/>
          <w:lang w:val="es-ES_tradnl"/>
        </w:rPr>
        <w:t xml:space="preserve">referido numeral </w:t>
      </w:r>
      <w:r w:rsidR="004C3BDA">
        <w:rPr>
          <w:rFonts w:ascii="Arial" w:hAnsi="Arial" w:cs="Arial"/>
          <w:sz w:val="22"/>
          <w:lang w:val="es-ES_tradnl"/>
        </w:rPr>
        <w:t xml:space="preserve">explica que </w:t>
      </w:r>
      <w:r w:rsidR="00F9375C">
        <w:rPr>
          <w:rFonts w:ascii="Arial" w:hAnsi="Arial" w:cs="Arial"/>
          <w:sz w:val="22"/>
          <w:lang w:val="es-ES_tradnl"/>
        </w:rPr>
        <w:t>«</w:t>
      </w:r>
      <w:r w:rsidR="00490D21" w:rsidRPr="00490D21">
        <w:rPr>
          <w:rFonts w:ascii="Arial" w:hAnsi="Arial" w:cs="Arial"/>
          <w:sz w:val="22"/>
          <w:szCs w:val="22"/>
        </w:rPr>
        <w:t>Por su parte, el artículo 2 establece que los documentos tipo para el procedimiento de selección de concurso de méritos para la contratación de consultoría de estudios de ingeniería de infraestructura de transporte, contienen parámetros obligatorios para las entidades estatales sometidas al Estatuto General de Contratación de la Administración Pública</w:t>
      </w:r>
      <w:r w:rsidR="00F9375C">
        <w:rPr>
          <w:rFonts w:ascii="Arial" w:hAnsi="Arial" w:cs="Arial"/>
          <w:sz w:val="22"/>
          <w:lang w:val="es-ES_tradnl"/>
        </w:rPr>
        <w:t>»</w:t>
      </w:r>
      <w:r w:rsidR="00F9375C">
        <w:rPr>
          <w:rStyle w:val="Refdenotaalpie"/>
          <w:rFonts w:ascii="Arial" w:hAnsi="Arial" w:cs="Arial"/>
          <w:sz w:val="22"/>
          <w:lang w:val="es-ES_tradnl"/>
        </w:rPr>
        <w:footnoteReference w:id="8"/>
      </w:r>
      <w:r w:rsidR="00F9375C">
        <w:rPr>
          <w:rFonts w:ascii="Arial" w:hAnsi="Arial" w:cs="Arial"/>
          <w:sz w:val="22"/>
          <w:lang w:val="es-ES_tradnl"/>
        </w:rPr>
        <w:t>.</w:t>
      </w:r>
    </w:p>
    <w:p w14:paraId="47F9BCD2" w14:textId="3CDA7D5D" w:rsidR="008D7119" w:rsidRDefault="005B0293" w:rsidP="0098458C">
      <w:pPr>
        <w:spacing w:before="120" w:line="276" w:lineRule="auto"/>
        <w:ind w:firstLine="709"/>
        <w:jc w:val="both"/>
        <w:rPr>
          <w:rFonts w:ascii="Arial" w:hAnsi="Arial" w:cs="Arial"/>
          <w:sz w:val="22"/>
          <w:lang w:val="es-ES_tradnl"/>
        </w:rPr>
      </w:pPr>
      <w:r w:rsidRPr="00FC0BAC">
        <w:rPr>
          <w:rFonts w:ascii="Arial" w:hAnsi="Arial" w:cs="Arial"/>
          <w:i/>
          <w:iCs/>
          <w:sz w:val="22"/>
          <w:lang w:val="es-ES_tradnl"/>
        </w:rPr>
        <w:t>En segundo lugar</w:t>
      </w:r>
      <w:r>
        <w:rPr>
          <w:rFonts w:ascii="Arial" w:hAnsi="Arial" w:cs="Arial"/>
          <w:sz w:val="22"/>
          <w:lang w:val="es-ES_tradnl"/>
        </w:rPr>
        <w:t>, si se revisan los documentos tipo adoptados por la Resolución</w:t>
      </w:r>
      <w:r w:rsidR="00107FBF">
        <w:rPr>
          <w:rFonts w:ascii="Arial" w:hAnsi="Arial" w:cs="Arial"/>
          <w:sz w:val="22"/>
          <w:lang w:val="es-ES_tradnl"/>
        </w:rPr>
        <w:t xml:space="preserve"> No. </w:t>
      </w:r>
      <w:r w:rsidR="00490D21">
        <w:rPr>
          <w:rFonts w:ascii="Arial" w:hAnsi="Arial" w:cs="Arial"/>
          <w:sz w:val="22"/>
          <w:lang w:val="es-ES_tradnl"/>
        </w:rPr>
        <w:t>193 de 14 de julio de 2021</w:t>
      </w:r>
      <w:r w:rsidR="00107FBF">
        <w:rPr>
          <w:rFonts w:ascii="Arial" w:hAnsi="Arial" w:cs="Arial"/>
          <w:sz w:val="22"/>
          <w:lang w:val="es-ES_tradnl"/>
        </w:rPr>
        <w:t xml:space="preserve"> </w:t>
      </w:r>
      <w:r>
        <w:rPr>
          <w:rFonts w:ascii="Arial" w:hAnsi="Arial" w:cs="Arial"/>
          <w:sz w:val="22"/>
          <w:lang w:val="es-ES_tradnl"/>
        </w:rPr>
        <w:t>–</w:t>
      </w:r>
      <w:r w:rsidR="00844CA4">
        <w:rPr>
          <w:rFonts w:ascii="Arial" w:hAnsi="Arial" w:cs="Arial"/>
          <w:sz w:val="22"/>
          <w:lang w:val="es-ES_tradnl"/>
        </w:rPr>
        <w:t>es decir, tanto el documento base, como</w:t>
      </w:r>
      <w:r w:rsidR="00ED4862">
        <w:rPr>
          <w:rFonts w:ascii="Arial" w:hAnsi="Arial" w:cs="Arial"/>
          <w:sz w:val="22"/>
          <w:lang w:val="es-ES_tradnl"/>
        </w:rPr>
        <w:t xml:space="preserve"> los anexos, los formatos, </w:t>
      </w:r>
      <w:r w:rsidR="00287D71">
        <w:rPr>
          <w:rFonts w:ascii="Arial" w:hAnsi="Arial" w:cs="Arial"/>
          <w:sz w:val="22"/>
          <w:lang w:val="es-ES_tradnl"/>
        </w:rPr>
        <w:t>las matrices y el formulario–, se puede evidenci</w:t>
      </w:r>
      <w:r w:rsidR="009903A7">
        <w:rPr>
          <w:rFonts w:ascii="Arial" w:hAnsi="Arial" w:cs="Arial"/>
          <w:sz w:val="22"/>
          <w:lang w:val="es-ES_tradnl"/>
        </w:rPr>
        <w:t xml:space="preserve">ar que están estructurados para la modalidad de selección de </w:t>
      </w:r>
      <w:r w:rsidR="009903A7" w:rsidRPr="00703B19">
        <w:rPr>
          <w:rFonts w:ascii="Arial" w:hAnsi="Arial" w:cs="Arial"/>
          <w:i/>
          <w:iCs/>
          <w:sz w:val="22"/>
          <w:lang w:val="es-ES_tradnl"/>
        </w:rPr>
        <w:t>concurso de méritos</w:t>
      </w:r>
      <w:r w:rsidR="003056D2">
        <w:rPr>
          <w:rFonts w:ascii="Arial" w:hAnsi="Arial" w:cs="Arial"/>
          <w:sz w:val="22"/>
          <w:lang w:val="es-ES_tradnl"/>
        </w:rPr>
        <w:t>, procedimiento que se diferencia</w:t>
      </w:r>
      <w:r w:rsidR="00703B19">
        <w:rPr>
          <w:rFonts w:ascii="Arial" w:hAnsi="Arial" w:cs="Arial"/>
          <w:sz w:val="22"/>
          <w:lang w:val="es-ES_tradnl"/>
        </w:rPr>
        <w:t xml:space="preserve"> </w:t>
      </w:r>
      <w:r w:rsidR="003056D2">
        <w:rPr>
          <w:rFonts w:ascii="Arial" w:hAnsi="Arial" w:cs="Arial"/>
          <w:sz w:val="22"/>
          <w:lang w:val="es-ES_tradnl"/>
        </w:rPr>
        <w:t>considerablemente de</w:t>
      </w:r>
      <w:r w:rsidR="0010006F">
        <w:rPr>
          <w:rFonts w:ascii="Arial" w:hAnsi="Arial" w:cs="Arial"/>
          <w:sz w:val="22"/>
          <w:lang w:val="es-ES_tradnl"/>
        </w:rPr>
        <w:t xml:space="preserve"> la</w:t>
      </w:r>
      <w:r w:rsidR="003056D2">
        <w:rPr>
          <w:rFonts w:ascii="Arial" w:hAnsi="Arial" w:cs="Arial"/>
          <w:sz w:val="22"/>
          <w:lang w:val="es-ES_tradnl"/>
        </w:rPr>
        <w:t xml:space="preserve"> mínima cuantía</w:t>
      </w:r>
      <w:r w:rsidR="00957CC5">
        <w:rPr>
          <w:rStyle w:val="Refdenotaalpie"/>
          <w:rFonts w:ascii="Arial" w:hAnsi="Arial" w:cs="Arial"/>
          <w:sz w:val="22"/>
          <w:lang w:val="es-ES_tradnl"/>
        </w:rPr>
        <w:footnoteReference w:id="9"/>
      </w:r>
      <w:r w:rsidR="008211FE">
        <w:rPr>
          <w:rFonts w:ascii="Arial" w:hAnsi="Arial" w:cs="Arial"/>
          <w:sz w:val="22"/>
          <w:lang w:val="es-ES_tradnl"/>
        </w:rPr>
        <w:t>.</w:t>
      </w:r>
      <w:r w:rsidR="00DF2919">
        <w:rPr>
          <w:rFonts w:ascii="Arial" w:hAnsi="Arial" w:cs="Arial"/>
          <w:sz w:val="22"/>
          <w:lang w:val="es-ES_tradnl"/>
        </w:rPr>
        <w:t xml:space="preserve"> Los documentos tipo tienen en cuenta estas diferencias, porque</w:t>
      </w:r>
      <w:r w:rsidR="0055583B">
        <w:rPr>
          <w:rFonts w:ascii="Arial" w:hAnsi="Arial" w:cs="Arial"/>
          <w:sz w:val="22"/>
          <w:lang w:val="es-ES_tradnl"/>
        </w:rPr>
        <w:t xml:space="preserve"> definen</w:t>
      </w:r>
      <w:r w:rsidR="00703B19">
        <w:rPr>
          <w:rFonts w:ascii="Arial" w:hAnsi="Arial" w:cs="Arial"/>
          <w:sz w:val="22"/>
          <w:lang w:val="es-ES_tradnl"/>
        </w:rPr>
        <w:t xml:space="preserve"> para el </w:t>
      </w:r>
      <w:r w:rsidR="00703B19">
        <w:rPr>
          <w:rFonts w:ascii="Arial" w:hAnsi="Arial" w:cs="Arial"/>
          <w:i/>
          <w:iCs/>
          <w:sz w:val="22"/>
          <w:lang w:val="es-ES_tradnl"/>
        </w:rPr>
        <w:t>concurso de méritos</w:t>
      </w:r>
      <w:r w:rsidR="008B2686">
        <w:rPr>
          <w:rFonts w:ascii="Arial" w:hAnsi="Arial" w:cs="Arial"/>
          <w:sz w:val="22"/>
          <w:lang w:val="es-ES_tradnl"/>
        </w:rPr>
        <w:t xml:space="preserve"> </w:t>
      </w:r>
      <w:r w:rsidR="0055583B">
        <w:rPr>
          <w:rFonts w:ascii="Arial" w:hAnsi="Arial" w:cs="Arial"/>
          <w:sz w:val="22"/>
          <w:lang w:val="es-ES_tradnl"/>
        </w:rPr>
        <w:t>aspectos como los criterios de evaluación</w:t>
      </w:r>
      <w:r w:rsidR="00703B19">
        <w:rPr>
          <w:rFonts w:ascii="Arial" w:hAnsi="Arial" w:cs="Arial"/>
          <w:sz w:val="22"/>
          <w:lang w:val="es-ES_tradnl"/>
        </w:rPr>
        <w:t xml:space="preserve"> </w:t>
      </w:r>
      <w:r w:rsidR="0055583B">
        <w:rPr>
          <w:rFonts w:ascii="Arial" w:hAnsi="Arial" w:cs="Arial"/>
          <w:sz w:val="22"/>
          <w:lang w:val="es-ES_tradnl"/>
        </w:rPr>
        <w:t>–</w:t>
      </w:r>
      <w:r w:rsidR="00BD7C55">
        <w:rPr>
          <w:rFonts w:ascii="Arial" w:hAnsi="Arial" w:cs="Arial"/>
          <w:sz w:val="22"/>
          <w:lang w:val="es-ES_tradnl"/>
        </w:rPr>
        <w:t>capítulo IV del documento base–</w:t>
      </w:r>
      <w:r w:rsidR="00EF1FAB">
        <w:rPr>
          <w:rFonts w:ascii="Arial" w:hAnsi="Arial" w:cs="Arial"/>
          <w:sz w:val="22"/>
          <w:lang w:val="es-ES_tradnl"/>
        </w:rPr>
        <w:t xml:space="preserve"> y </w:t>
      </w:r>
      <w:r w:rsidR="00285E33">
        <w:rPr>
          <w:rFonts w:ascii="Arial" w:hAnsi="Arial" w:cs="Arial"/>
          <w:sz w:val="22"/>
          <w:lang w:val="es-ES_tradnl"/>
        </w:rPr>
        <w:t>el cronograma del proceso</w:t>
      </w:r>
      <w:r w:rsidR="00703B19">
        <w:rPr>
          <w:rFonts w:ascii="Arial" w:hAnsi="Arial" w:cs="Arial"/>
          <w:sz w:val="22"/>
          <w:lang w:val="es-ES_tradnl"/>
        </w:rPr>
        <w:t xml:space="preserve"> </w:t>
      </w:r>
      <w:r w:rsidR="00285E33">
        <w:rPr>
          <w:rFonts w:ascii="Arial" w:hAnsi="Arial" w:cs="Arial"/>
          <w:sz w:val="22"/>
          <w:lang w:val="es-ES_tradnl"/>
        </w:rPr>
        <w:t>–anexo 2–</w:t>
      </w:r>
      <w:r w:rsidR="006271CF">
        <w:rPr>
          <w:rFonts w:ascii="Arial" w:hAnsi="Arial" w:cs="Arial"/>
          <w:sz w:val="22"/>
          <w:lang w:val="es-ES_tradnl"/>
        </w:rPr>
        <w:t xml:space="preserve">. Los documentos tipo implementados en virtud de la Resolución No. </w:t>
      </w:r>
      <w:r w:rsidR="00490D21">
        <w:rPr>
          <w:rFonts w:ascii="Arial" w:hAnsi="Arial" w:cs="Arial"/>
          <w:sz w:val="22"/>
          <w:lang w:val="es-ES_tradnl"/>
        </w:rPr>
        <w:t xml:space="preserve">193 de 14 de julio de 2021 </w:t>
      </w:r>
      <w:r w:rsidR="006271CF">
        <w:rPr>
          <w:rFonts w:ascii="Arial" w:hAnsi="Arial" w:cs="Arial"/>
          <w:sz w:val="22"/>
          <w:lang w:val="es-ES_tradnl"/>
        </w:rPr>
        <w:t>incluso emplean conceptos que son extraños a la modalidad de mínima cuantía –porque no se aplican a esta–, como los siguientes: proyecto de pliego de condiciones, pliego de condiciones, aviso de convocatoria</w:t>
      </w:r>
      <w:r w:rsidR="00147BED">
        <w:rPr>
          <w:rFonts w:ascii="Arial" w:hAnsi="Arial" w:cs="Arial"/>
          <w:sz w:val="22"/>
          <w:lang w:val="es-ES_tradnl"/>
        </w:rPr>
        <w:t>, acto administrativo de adjudicación, entre otros</w:t>
      </w:r>
      <w:r w:rsidR="00587229">
        <w:rPr>
          <w:rFonts w:ascii="Arial" w:hAnsi="Arial" w:cs="Arial"/>
          <w:sz w:val="22"/>
          <w:lang w:val="es-ES_tradnl"/>
        </w:rPr>
        <w:t>.</w:t>
      </w:r>
      <w:r w:rsidR="00A628ED">
        <w:rPr>
          <w:rFonts w:ascii="Arial" w:hAnsi="Arial" w:cs="Arial"/>
          <w:sz w:val="22"/>
          <w:lang w:val="es-ES_tradnl"/>
        </w:rPr>
        <w:t xml:space="preserve"> </w:t>
      </w:r>
    </w:p>
    <w:p w14:paraId="459894A1" w14:textId="7FC2EA2C" w:rsidR="0098458C" w:rsidRDefault="0098458C" w:rsidP="0098458C">
      <w:pPr>
        <w:pStyle w:val="Normal11pt"/>
        <w:spacing w:before="120" w:after="120" w:line="276" w:lineRule="auto"/>
        <w:ind w:left="0" w:firstLine="709"/>
      </w:pPr>
      <w:r w:rsidRPr="0098458C">
        <w:rPr>
          <w:color w:val="auto"/>
          <w:lang w:val="es-CO" w:eastAsia="es-ES_tradnl"/>
        </w:rPr>
        <w:t>Para comprender el problema jurídico de su consulta, vale la pena precisar</w:t>
      </w:r>
      <w:r w:rsidR="008F2DBF">
        <w:rPr>
          <w:color w:val="auto"/>
          <w:lang w:val="es-CO" w:eastAsia="es-ES_tradnl"/>
        </w:rPr>
        <w:t>,</w:t>
      </w:r>
      <w:r w:rsidRPr="0098458C">
        <w:rPr>
          <w:color w:val="auto"/>
          <w:lang w:val="es-CO" w:eastAsia="es-ES_tradnl"/>
        </w:rPr>
        <w:t xml:space="preserve"> de un lado</w:t>
      </w:r>
      <w:r w:rsidR="008F2DBF">
        <w:rPr>
          <w:color w:val="auto"/>
          <w:lang w:val="es-CO" w:eastAsia="es-ES_tradnl"/>
        </w:rPr>
        <w:t>,</w:t>
      </w:r>
      <w:r w:rsidRPr="0098458C">
        <w:rPr>
          <w:color w:val="auto"/>
          <w:lang w:val="es-CO" w:eastAsia="es-ES_tradnl"/>
        </w:rPr>
        <w:t xml:space="preserve"> que «el concurso de méritos es una modalidad establecida por la ley para la adecuada escogencia de consultores en general y de consultores de diseños, planos, anteproyectos y proyectos arquitectónicos (proyectos de arquitectura)»</w:t>
      </w:r>
      <w:r w:rsidR="00471C34" w:rsidRPr="007B15DE">
        <w:rPr>
          <w:color w:val="auto"/>
          <w:vertAlign w:val="superscript"/>
          <w:lang w:val="es-CO" w:eastAsia="es-ES_tradnl"/>
        </w:rPr>
        <w:footnoteReference w:id="10"/>
      </w:r>
      <w:r w:rsidRPr="0098458C">
        <w:rPr>
          <w:color w:val="auto"/>
          <w:lang w:val="es-CO" w:eastAsia="es-ES_tradnl"/>
        </w:rPr>
        <w:t>.</w:t>
      </w:r>
      <w:r w:rsidR="00471C34">
        <w:rPr>
          <w:color w:val="auto"/>
          <w:lang w:val="es-CO" w:eastAsia="es-ES_tradnl"/>
        </w:rPr>
        <w:t xml:space="preserve"> </w:t>
      </w:r>
      <w:r w:rsidRPr="0098458C">
        <w:rPr>
          <w:color w:val="auto"/>
          <w:lang w:val="es-CO" w:eastAsia="es-ES_tradnl"/>
        </w:rPr>
        <w:t xml:space="preserve">Así, </w:t>
      </w:r>
      <w:r w:rsidR="009133EE">
        <w:rPr>
          <w:color w:val="auto"/>
          <w:lang w:val="es-CO" w:eastAsia="es-ES_tradnl"/>
        </w:rPr>
        <w:t>la procedencia de esta modalidad de selección viene determinada por la naturaleza de</w:t>
      </w:r>
      <w:r w:rsidR="007074FF">
        <w:rPr>
          <w:color w:val="auto"/>
          <w:lang w:val="es-CO" w:eastAsia="es-ES_tradnl"/>
        </w:rPr>
        <w:t xml:space="preserve"> su </w:t>
      </w:r>
      <w:r w:rsidR="009133EE">
        <w:rPr>
          <w:color w:val="auto"/>
          <w:lang w:val="es-CO" w:eastAsia="es-ES_tradnl"/>
        </w:rPr>
        <w:t xml:space="preserve">objeto contractual, </w:t>
      </w:r>
      <w:r>
        <w:rPr>
          <w:color w:val="auto"/>
          <w:lang w:val="es-CO" w:eastAsia="es-ES_tradnl"/>
        </w:rPr>
        <w:t>ya que</w:t>
      </w:r>
      <w:r w:rsidR="009133EE">
        <w:rPr>
          <w:color w:val="auto"/>
          <w:lang w:val="es-CO" w:eastAsia="es-ES_tradnl"/>
        </w:rPr>
        <w:t xml:space="preserve"> es de </w:t>
      </w:r>
      <w:r>
        <w:rPr>
          <w:color w:val="auto"/>
          <w:lang w:val="es-CO" w:eastAsia="es-ES_tradnl"/>
        </w:rPr>
        <w:t>carácter marcadamente intelectual y de índole técnica,</w:t>
      </w:r>
      <w:r w:rsidRPr="0098458C">
        <w:rPr>
          <w:color w:val="auto"/>
          <w:lang w:val="es-CO" w:eastAsia="es-ES_tradnl"/>
        </w:rPr>
        <w:t xml:space="preserve"> lo que torna a esta modalidad de selección </w:t>
      </w:r>
      <w:r w:rsidR="007074FF">
        <w:rPr>
          <w:color w:val="auto"/>
          <w:lang w:val="es-CO" w:eastAsia="es-ES_tradnl"/>
        </w:rPr>
        <w:t>sea a su vez,</w:t>
      </w:r>
      <w:r>
        <w:t xml:space="preserve"> de carácter restringido </w:t>
      </w:r>
      <w:r w:rsidR="007074FF">
        <w:t>pues</w:t>
      </w:r>
      <w:r>
        <w:t xml:space="preserve"> se limita a </w:t>
      </w:r>
      <w:r w:rsidR="009133EE">
        <w:t>los</w:t>
      </w:r>
      <w:r>
        <w:t xml:space="preserve"> </w:t>
      </w:r>
      <w:r w:rsidR="008F2DBF">
        <w:t xml:space="preserve">supuestos </w:t>
      </w:r>
      <w:r>
        <w:lastRenderedPageBreak/>
        <w:t>establecid</w:t>
      </w:r>
      <w:r w:rsidR="009133EE">
        <w:t>o</w:t>
      </w:r>
      <w:r>
        <w:t xml:space="preserve">s en el numeral 2 del artículo 32 de </w:t>
      </w:r>
      <w:r w:rsidR="00471C34">
        <w:t>l</w:t>
      </w:r>
      <w:r>
        <w:t>a Ley 80 de 1993</w:t>
      </w:r>
      <w:r w:rsidR="008F2DBF">
        <w:t>, donde se desarrolla la tipología contractual de consultoría</w:t>
      </w:r>
      <w:r>
        <w:rPr>
          <w:rStyle w:val="Refdenotaalpie"/>
        </w:rPr>
        <w:footnoteReference w:id="11"/>
      </w:r>
      <w:r>
        <w:t xml:space="preserve">. </w:t>
      </w:r>
    </w:p>
    <w:p w14:paraId="25083998" w14:textId="275BEC89" w:rsidR="0098458C" w:rsidRDefault="0098458C" w:rsidP="0098458C">
      <w:pPr>
        <w:pStyle w:val="Normal11pt"/>
        <w:spacing w:before="120" w:after="120" w:line="276" w:lineRule="auto"/>
        <w:ind w:left="0" w:firstLine="709"/>
        <w:rPr>
          <w:rFonts w:eastAsia="Calibri"/>
          <w:color w:val="000000" w:themeColor="text1"/>
        </w:rPr>
      </w:pPr>
      <w:r>
        <w:t xml:space="preserve">Por su parte, </w:t>
      </w:r>
      <w:r w:rsidR="00F85B6F" w:rsidRPr="00C03719">
        <w:rPr>
          <w:rFonts w:eastAsia="Calibri"/>
          <w:color w:val="000000" w:themeColor="text1"/>
        </w:rPr>
        <w:t>la mínima cuantía es un procedimiento de selección «exceptivo»</w:t>
      </w:r>
      <w:r w:rsidR="00F85B6F" w:rsidRPr="00C03719">
        <w:rPr>
          <w:rStyle w:val="Refdenotaalpie"/>
          <w:rFonts w:eastAsia="Calibri"/>
          <w:color w:val="000000" w:themeColor="text1"/>
        </w:rPr>
        <w:footnoteReference w:id="12"/>
      </w:r>
      <w:r w:rsidR="00F85B6F" w:rsidRPr="00C03719">
        <w:rPr>
          <w:rFonts w:eastAsia="Calibri"/>
          <w:color w:val="000000" w:themeColor="text1"/>
        </w:rPr>
        <w:t>,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00F85B6F" w:rsidRPr="00C03719">
        <w:rPr>
          <w:rStyle w:val="Refdenotaalpie"/>
          <w:rFonts w:eastAsia="Calibri"/>
          <w:color w:val="000000" w:themeColor="text1"/>
        </w:rPr>
        <w:footnoteReference w:id="13"/>
      </w:r>
      <w:r w:rsidR="00F85B6F" w:rsidRPr="00C03719">
        <w:rPr>
          <w:rFonts w:eastAsia="Calibri"/>
          <w:color w:val="000000" w:themeColor="text1"/>
        </w:rPr>
        <w:t>, y lo segundo, porque sus requisitos, etapas y términos son peculiares.</w:t>
      </w:r>
    </w:p>
    <w:p w14:paraId="0C8E1705" w14:textId="6089D320" w:rsidR="00F85B6F" w:rsidRDefault="00F85B6F" w:rsidP="0098458C">
      <w:pPr>
        <w:pStyle w:val="Normal11pt"/>
        <w:spacing w:before="120" w:after="120" w:line="276" w:lineRule="auto"/>
        <w:ind w:left="0" w:firstLine="709"/>
      </w:pPr>
      <w:r>
        <w:rPr>
          <w:rFonts w:eastAsia="Calibri"/>
          <w:color w:val="000000" w:themeColor="text1"/>
        </w:rPr>
        <w:lastRenderedPageBreak/>
        <w:t>Entonces, como se observa</w:t>
      </w:r>
      <w:r w:rsidR="009133EE">
        <w:rPr>
          <w:rFonts w:eastAsia="Calibri"/>
          <w:color w:val="000000" w:themeColor="text1"/>
        </w:rPr>
        <w:t xml:space="preserve"> de lo anterior</w:t>
      </w:r>
      <w:r>
        <w:rPr>
          <w:rFonts w:eastAsia="Calibri"/>
          <w:color w:val="000000" w:themeColor="text1"/>
        </w:rPr>
        <w:t xml:space="preserve">, </w:t>
      </w:r>
      <w:r w:rsidR="008F2DBF">
        <w:rPr>
          <w:rFonts w:eastAsia="Calibri"/>
          <w:color w:val="000000" w:themeColor="text1"/>
        </w:rPr>
        <w:t xml:space="preserve">en relación con el </w:t>
      </w:r>
      <w:r>
        <w:rPr>
          <w:rFonts w:eastAsia="Calibri"/>
          <w:color w:val="000000" w:themeColor="text1"/>
        </w:rPr>
        <w:t>proceso de selección de mínima cuantía</w:t>
      </w:r>
      <w:r w:rsidR="009133EE">
        <w:rPr>
          <w:rFonts w:eastAsia="Calibri"/>
          <w:color w:val="000000" w:themeColor="text1"/>
        </w:rPr>
        <w:t xml:space="preserve"> el criterio determinante para establecer la procedencia de esta modalidad de selección de contratistas es la cuantía,</w:t>
      </w:r>
      <w:r>
        <w:rPr>
          <w:rFonts w:eastAsia="Calibri"/>
          <w:color w:val="000000" w:themeColor="text1"/>
        </w:rPr>
        <w:t xml:space="preserve"> </w:t>
      </w:r>
      <w:r w:rsidR="009133EE">
        <w:rPr>
          <w:rFonts w:eastAsia="Calibri"/>
          <w:color w:val="000000" w:themeColor="text1"/>
        </w:rPr>
        <w:t>y ello, se reitera,</w:t>
      </w:r>
      <w:r>
        <w:rPr>
          <w:rFonts w:eastAsia="Calibri"/>
          <w:color w:val="000000" w:themeColor="text1"/>
        </w:rPr>
        <w:t xml:space="preserve"> con independencia del objeto a contratar, lo que se traduce en que, frente a </w:t>
      </w:r>
      <w:r w:rsidR="00EB7B44">
        <w:rPr>
          <w:rFonts w:eastAsia="Calibri"/>
          <w:color w:val="000000" w:themeColor="text1"/>
        </w:rPr>
        <w:t xml:space="preserve">la eventual </w:t>
      </w:r>
      <w:r>
        <w:rPr>
          <w:rFonts w:eastAsia="Calibri"/>
          <w:color w:val="000000" w:themeColor="text1"/>
        </w:rPr>
        <w:t>concurrencia d</w:t>
      </w:r>
      <w:r w:rsidR="009133EE">
        <w:rPr>
          <w:rFonts w:eastAsia="Calibri"/>
          <w:color w:val="000000" w:themeColor="text1"/>
        </w:rPr>
        <w:t>e este procedimiento</w:t>
      </w:r>
      <w:r w:rsidR="00EB7B44">
        <w:rPr>
          <w:rFonts w:eastAsia="Calibri"/>
          <w:color w:val="000000" w:themeColor="text1"/>
        </w:rPr>
        <w:t xml:space="preserve"> con el concurso de méritos</w:t>
      </w:r>
      <w:r w:rsidR="009133EE">
        <w:rPr>
          <w:rFonts w:eastAsia="Calibri"/>
          <w:color w:val="000000" w:themeColor="text1"/>
        </w:rPr>
        <w:t xml:space="preserve">, por disposición legal, deberá preferirse aquella modalidad –mínima cuantía–. </w:t>
      </w:r>
    </w:p>
    <w:p w14:paraId="07E621C4" w14:textId="2C3BC9DF" w:rsidR="00E15AB1" w:rsidRDefault="00C94D3B" w:rsidP="00FC0BAC">
      <w:pPr>
        <w:spacing w:before="120" w:after="120" w:line="276" w:lineRule="auto"/>
        <w:ind w:firstLine="709"/>
        <w:jc w:val="both"/>
      </w:pPr>
      <w:r>
        <w:rPr>
          <w:rFonts w:ascii="Arial" w:hAnsi="Arial" w:cs="Arial"/>
          <w:sz w:val="22"/>
          <w:lang w:val="es-ES_tradnl"/>
        </w:rPr>
        <w:t>E</w:t>
      </w:r>
      <w:r w:rsidR="009133EE">
        <w:rPr>
          <w:rFonts w:ascii="Arial" w:hAnsi="Arial" w:cs="Arial"/>
          <w:sz w:val="22"/>
          <w:lang w:val="es-ES_tradnl"/>
        </w:rPr>
        <w:t>n virtud de lo anterior,</w:t>
      </w:r>
      <w:r>
        <w:rPr>
          <w:rFonts w:ascii="Arial" w:hAnsi="Arial" w:cs="Arial"/>
          <w:sz w:val="22"/>
          <w:lang w:val="es-ES_tradnl"/>
        </w:rPr>
        <w:t xml:space="preserve"> </w:t>
      </w:r>
      <w:r w:rsidR="0083261D">
        <w:rPr>
          <w:rFonts w:ascii="Arial" w:hAnsi="Arial" w:cs="Arial"/>
          <w:sz w:val="22"/>
          <w:lang w:val="es-ES_tradnl"/>
        </w:rPr>
        <w:t>el numeral 05, literal B</w:t>
      </w:r>
      <w:r w:rsidR="008D7119">
        <w:rPr>
          <w:rFonts w:ascii="Arial" w:hAnsi="Arial" w:cs="Arial"/>
          <w:sz w:val="22"/>
          <w:lang w:val="es-ES_tradnl"/>
        </w:rPr>
        <w:t>, del</w:t>
      </w:r>
      <w:r w:rsidR="0083261D">
        <w:rPr>
          <w:rFonts w:ascii="Arial" w:hAnsi="Arial" w:cs="Arial"/>
          <w:sz w:val="22"/>
          <w:lang w:val="es-ES_tradnl"/>
        </w:rPr>
        <w:t xml:space="preserve"> </w:t>
      </w:r>
      <w:r w:rsidR="006E0079">
        <w:rPr>
          <w:rFonts w:ascii="Arial" w:hAnsi="Arial" w:cs="Arial"/>
          <w:sz w:val="22"/>
          <w:lang w:val="es-ES_tradnl"/>
        </w:rPr>
        <w:t>«</w:t>
      </w:r>
      <w:r w:rsidR="006E6F90">
        <w:rPr>
          <w:rFonts w:ascii="Arial" w:hAnsi="Arial" w:cs="Arial"/>
          <w:sz w:val="22"/>
          <w:lang w:val="es-ES_tradnl"/>
        </w:rPr>
        <w:t xml:space="preserve">Manual </w:t>
      </w:r>
      <w:r w:rsidR="006E0079">
        <w:rPr>
          <w:rFonts w:ascii="Arial" w:hAnsi="Arial" w:cs="Arial"/>
          <w:sz w:val="22"/>
          <w:lang w:val="es-ES_tradnl"/>
        </w:rPr>
        <w:t>de la modalidad de selección de mínima cuantía»</w:t>
      </w:r>
      <w:r>
        <w:rPr>
          <w:rFonts w:ascii="Arial" w:hAnsi="Arial" w:cs="Arial"/>
          <w:sz w:val="22"/>
          <w:lang w:val="es-ES_tradnl"/>
        </w:rPr>
        <w:t>,</w:t>
      </w:r>
      <w:r w:rsidR="006E0079">
        <w:rPr>
          <w:rFonts w:ascii="Arial" w:hAnsi="Arial" w:cs="Arial"/>
          <w:sz w:val="22"/>
          <w:lang w:val="es-ES_tradnl"/>
        </w:rPr>
        <w:t xml:space="preserve"> publicado por la Agencia Nacional de Contratación Pública – Colombia Compra Eficiente,</w:t>
      </w:r>
      <w:r w:rsidR="0083261D">
        <w:rPr>
          <w:rFonts w:ascii="Arial" w:hAnsi="Arial" w:cs="Arial"/>
          <w:sz w:val="22"/>
          <w:lang w:val="es-ES_tradnl"/>
        </w:rPr>
        <w:t xml:space="preserve"> </w:t>
      </w:r>
      <w:r w:rsidR="00BB6721" w:rsidRPr="00490D21">
        <w:rPr>
          <w:rFonts w:ascii="Arial" w:hAnsi="Arial" w:cs="Arial"/>
          <w:sz w:val="22"/>
          <w:szCs w:val="22"/>
          <w:lang w:val="es-ES_tradnl"/>
        </w:rPr>
        <w:t>expresa</w:t>
      </w:r>
      <w:r w:rsidR="006E0079" w:rsidRPr="00490D21">
        <w:rPr>
          <w:rFonts w:ascii="Arial" w:hAnsi="Arial" w:cs="Arial"/>
          <w:sz w:val="22"/>
          <w:szCs w:val="22"/>
          <w:lang w:val="es-ES_tradnl"/>
        </w:rPr>
        <w:t xml:space="preserve"> </w:t>
      </w:r>
      <w:r w:rsidRPr="00490D21">
        <w:rPr>
          <w:rFonts w:ascii="Arial" w:hAnsi="Arial" w:cs="Arial"/>
          <w:sz w:val="22"/>
          <w:szCs w:val="22"/>
          <w:lang w:val="es-ES_tradnl"/>
        </w:rPr>
        <w:t>que</w:t>
      </w:r>
      <w:r w:rsidR="008D7119" w:rsidRPr="00490D21">
        <w:rPr>
          <w:rFonts w:ascii="Arial" w:hAnsi="Arial" w:cs="Arial"/>
          <w:sz w:val="22"/>
          <w:szCs w:val="22"/>
          <w:lang w:val="es-ES_tradnl"/>
        </w:rPr>
        <w:t xml:space="preserve"> «</w:t>
      </w:r>
      <w:r w:rsidRPr="00490D21">
        <w:rPr>
          <w:rFonts w:ascii="Arial" w:hAnsi="Arial" w:cs="Arial"/>
          <w:sz w:val="22"/>
          <w:szCs w:val="22"/>
          <w:lang w:val="es-ES_tradnl"/>
        </w:rPr>
        <w:t>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r w:rsidR="008D7119">
        <w:rPr>
          <w:rFonts w:ascii="Arial" w:hAnsi="Arial" w:cs="Arial"/>
          <w:sz w:val="21"/>
          <w:szCs w:val="21"/>
          <w:lang w:val="es-ES_tradnl"/>
        </w:rPr>
        <w:t>»</w:t>
      </w:r>
      <w:r w:rsidR="00093D14">
        <w:rPr>
          <w:rStyle w:val="Refdenotaalpie"/>
          <w:rFonts w:ascii="Arial" w:hAnsi="Arial" w:cs="Arial"/>
          <w:sz w:val="21"/>
          <w:szCs w:val="21"/>
          <w:lang w:val="es-ES_tradnl"/>
        </w:rPr>
        <w:footnoteReference w:id="14"/>
      </w:r>
      <w:r w:rsidRPr="00C94D3B">
        <w:rPr>
          <w:rFonts w:ascii="Arial" w:hAnsi="Arial" w:cs="Arial"/>
          <w:sz w:val="21"/>
          <w:szCs w:val="21"/>
          <w:lang w:val="es-ES_tradnl"/>
        </w:rPr>
        <w:t xml:space="preserve">. </w:t>
      </w:r>
    </w:p>
    <w:p w14:paraId="18CC33B4" w14:textId="62438BF6" w:rsidR="00D31F0A" w:rsidRDefault="00230552" w:rsidP="00E15AB1">
      <w:pPr>
        <w:pStyle w:val="Normal11pt"/>
        <w:spacing w:line="276" w:lineRule="auto"/>
        <w:ind w:left="0" w:firstLine="709"/>
      </w:pPr>
      <w:r>
        <w:t xml:space="preserve">De igual forma, </w:t>
      </w:r>
      <w:r w:rsidR="00CD43B3">
        <w:t>esta</w:t>
      </w:r>
      <w:r w:rsidR="00D31F0A">
        <w:t xml:space="preserve"> ha sido la interpretación del Consejo de Estado, que</w:t>
      </w:r>
      <w:r w:rsidR="00E15AB1">
        <w:t xml:space="preserve"> al estudiar la concurrencia entre la mínima cuantía y otras modalidades de selección –incluido el </w:t>
      </w:r>
      <w:r w:rsidR="004E10F5">
        <w:t xml:space="preserve">concurso de méritos para la selección de </w:t>
      </w:r>
      <w:r w:rsidR="004E10F5" w:rsidRPr="00471D8F">
        <w:rPr>
          <w:i/>
          <w:iCs/>
        </w:rPr>
        <w:t>consultores</w:t>
      </w:r>
      <w:r w:rsidR="004E10F5">
        <w:t xml:space="preserve">, al tenor del artículo 32, numeral </w:t>
      </w:r>
      <w:r w:rsidR="00F12256">
        <w:t>2 de la Ley 80 de 1993</w:t>
      </w:r>
      <w:r w:rsidR="00F12256">
        <w:rPr>
          <w:rStyle w:val="Refdenotaalpie"/>
        </w:rPr>
        <w:footnoteReference w:id="15"/>
      </w:r>
      <w:r w:rsidR="00F12256">
        <w:t xml:space="preserve">–, </w:t>
      </w:r>
      <w:r w:rsidR="00EB7B44">
        <w:t>concluyó</w:t>
      </w:r>
      <w:r w:rsidR="00F12256">
        <w:t xml:space="preserve"> que:</w:t>
      </w:r>
    </w:p>
    <w:p w14:paraId="33657541" w14:textId="77777777" w:rsidR="00E15AB1" w:rsidRDefault="00E15AB1" w:rsidP="00E15AB1">
      <w:pPr>
        <w:ind w:left="709" w:right="709"/>
        <w:jc w:val="both"/>
        <w:rPr>
          <w:rFonts w:ascii="Arial" w:hAnsi="Arial" w:cs="Arial"/>
          <w:sz w:val="21"/>
          <w:szCs w:val="21"/>
          <w:lang w:val="es-ES_tradnl"/>
        </w:rPr>
      </w:pPr>
    </w:p>
    <w:p w14:paraId="24D6A438" w14:textId="52A9D55C" w:rsidR="007C3BFC" w:rsidRPr="00E15AB1" w:rsidRDefault="007C3BFC" w:rsidP="00E15AB1">
      <w:pPr>
        <w:ind w:left="709" w:right="709"/>
        <w:jc w:val="both"/>
        <w:rPr>
          <w:rFonts w:ascii="Arial" w:hAnsi="Arial" w:cs="Arial"/>
          <w:sz w:val="21"/>
          <w:szCs w:val="21"/>
          <w:lang w:val="es-ES_tradnl"/>
        </w:rPr>
      </w:pPr>
      <w:r w:rsidRPr="00E15AB1">
        <w:rPr>
          <w:rFonts w:ascii="Arial" w:hAnsi="Arial" w:cs="Arial"/>
          <w:sz w:val="21"/>
          <w:szCs w:val="21"/>
          <w:lang w:val="es-ES_tradnl"/>
        </w:rPr>
        <w:t>[…],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w:t>
      </w:r>
      <w:r w:rsidRPr="00EB7B44">
        <w:rPr>
          <w:rFonts w:ascii="Arial" w:hAnsi="Arial" w:cs="Arial"/>
          <w:sz w:val="21"/>
          <w:szCs w:val="21"/>
          <w:lang w:val="es-ES_tradnl"/>
        </w:rPr>
        <w:t xml:space="preserve">, </w:t>
      </w:r>
      <w:r w:rsidRPr="00F62CB0">
        <w:rPr>
          <w:rFonts w:ascii="Arial" w:hAnsi="Arial" w:cs="Arial"/>
          <w:i/>
          <w:iCs/>
          <w:sz w:val="21"/>
          <w:szCs w:val="21"/>
          <w:lang w:val="es-ES_tradnl"/>
        </w:rPr>
        <w:t>el procedimiento que debe seguirse será el de mínima cuantía, independientemente –se insiste– del objeto a contratar</w:t>
      </w:r>
      <w:r w:rsidRPr="00E15AB1">
        <w:rPr>
          <w:rFonts w:ascii="Arial" w:hAnsi="Arial" w:cs="Arial"/>
          <w:sz w:val="21"/>
          <w:szCs w:val="21"/>
          <w:lang w:val="es-ES_tradnl"/>
        </w:rPr>
        <w:t xml:space="preserve">. </w:t>
      </w:r>
      <w:r w:rsidRPr="00262881">
        <w:rPr>
          <w:rFonts w:ascii="Arial" w:hAnsi="Arial" w:cs="Arial"/>
          <w:i/>
          <w:iCs/>
          <w:sz w:val="21"/>
          <w:szCs w:val="21"/>
          <w:lang w:val="es-ES_tradnl"/>
        </w:rPr>
        <w:t>Lo mismo se aplica cuando se necesita contratar una consultor</w:t>
      </w:r>
      <w:r w:rsidR="00E15AB1" w:rsidRPr="00262881">
        <w:rPr>
          <w:rFonts w:ascii="Arial" w:hAnsi="Arial" w:cs="Arial"/>
          <w:i/>
          <w:iCs/>
          <w:sz w:val="21"/>
          <w:szCs w:val="21"/>
          <w:lang w:val="es-ES_tradnl"/>
        </w:rPr>
        <w:t>ía</w:t>
      </w:r>
      <w:r w:rsidRPr="00E15AB1">
        <w:rPr>
          <w:rFonts w:ascii="Arial" w:hAnsi="Arial" w:cs="Arial"/>
          <w:sz w:val="21"/>
          <w:szCs w:val="21"/>
          <w:lang w:val="es-ES_tradnl"/>
        </w:rPr>
        <w:t xml:space="preserve"> o </w:t>
      </w:r>
      <w:r w:rsidR="00E15AB1" w:rsidRPr="00E15AB1">
        <w:rPr>
          <w:rFonts w:ascii="Arial" w:hAnsi="Arial" w:cs="Arial"/>
          <w:sz w:val="21"/>
          <w:szCs w:val="21"/>
          <w:lang w:val="es-ES_tradnl"/>
        </w:rPr>
        <w:t xml:space="preserve">adquirir </w:t>
      </w:r>
      <w:r w:rsidRPr="00E15AB1">
        <w:rPr>
          <w:rFonts w:ascii="Arial" w:hAnsi="Arial" w:cs="Arial"/>
          <w:sz w:val="21"/>
          <w:szCs w:val="21"/>
          <w:lang w:val="es-ES_tradnl"/>
        </w:rPr>
        <w:t xml:space="preserve">bienes o servicios de características </w:t>
      </w:r>
      <w:r w:rsidR="00E15AB1" w:rsidRPr="00E15AB1">
        <w:rPr>
          <w:rFonts w:ascii="Arial" w:hAnsi="Arial" w:cs="Arial"/>
          <w:sz w:val="21"/>
          <w:szCs w:val="21"/>
          <w:lang w:val="es-ES_tradnl"/>
        </w:rPr>
        <w:t>t</w:t>
      </w:r>
      <w:r w:rsidRPr="00E15AB1">
        <w:rPr>
          <w:rFonts w:ascii="Arial" w:hAnsi="Arial" w:cs="Arial"/>
          <w:sz w:val="21"/>
          <w:szCs w:val="21"/>
          <w:lang w:val="es-ES_tradnl"/>
        </w:rPr>
        <w:t>écnicas uniformes y de común</w:t>
      </w:r>
      <w:r w:rsidR="00E15AB1" w:rsidRPr="00E15AB1">
        <w:rPr>
          <w:rFonts w:ascii="Arial" w:hAnsi="Arial" w:cs="Arial"/>
          <w:sz w:val="21"/>
          <w:szCs w:val="21"/>
          <w:lang w:val="es-ES_tradnl"/>
        </w:rPr>
        <w:t xml:space="preserve"> </w:t>
      </w:r>
      <w:r w:rsidRPr="00E15AB1">
        <w:rPr>
          <w:rFonts w:ascii="Arial" w:hAnsi="Arial" w:cs="Arial"/>
          <w:sz w:val="21"/>
          <w:szCs w:val="21"/>
          <w:lang w:val="es-ES_tradnl"/>
        </w:rPr>
        <w:lastRenderedPageBreak/>
        <w:t>utilización, entre otros, siempre que el costo de la contratación no supere la</w:t>
      </w:r>
      <w:r w:rsidR="00E15AB1" w:rsidRPr="00E15AB1">
        <w:rPr>
          <w:rFonts w:ascii="Arial" w:hAnsi="Arial" w:cs="Arial"/>
          <w:sz w:val="21"/>
          <w:szCs w:val="21"/>
          <w:lang w:val="es-ES_tradnl"/>
        </w:rPr>
        <w:t xml:space="preserve"> </w:t>
      </w:r>
      <w:r w:rsidRPr="00E15AB1">
        <w:rPr>
          <w:rFonts w:ascii="Arial" w:hAnsi="Arial" w:cs="Arial"/>
          <w:sz w:val="21"/>
          <w:szCs w:val="21"/>
          <w:lang w:val="es-ES_tradnl"/>
        </w:rPr>
        <w:t>mínima cuantía de la entidad</w:t>
      </w:r>
      <w:r w:rsidR="00E15AB1" w:rsidRPr="00E15AB1">
        <w:rPr>
          <w:rStyle w:val="Refdenotaalpie"/>
          <w:rFonts w:ascii="Arial" w:hAnsi="Arial" w:cs="Arial"/>
          <w:sz w:val="21"/>
          <w:szCs w:val="21"/>
        </w:rPr>
        <w:footnoteReference w:id="16"/>
      </w:r>
      <w:r w:rsidR="00EB7B44">
        <w:rPr>
          <w:rFonts w:ascii="Arial" w:hAnsi="Arial" w:cs="Arial"/>
          <w:sz w:val="21"/>
          <w:szCs w:val="21"/>
          <w:lang w:val="es-ES_tradnl"/>
        </w:rPr>
        <w:t>.</w:t>
      </w:r>
      <w:r w:rsidR="00262881">
        <w:rPr>
          <w:rFonts w:ascii="Arial" w:hAnsi="Arial" w:cs="Arial"/>
          <w:sz w:val="21"/>
          <w:szCs w:val="21"/>
          <w:lang w:val="es-ES_tradnl"/>
        </w:rPr>
        <w:t xml:space="preserve"> (</w:t>
      </w:r>
      <w:r w:rsidR="00EA0F67">
        <w:rPr>
          <w:rFonts w:ascii="Arial" w:hAnsi="Arial" w:cs="Arial"/>
          <w:sz w:val="21"/>
          <w:szCs w:val="21"/>
          <w:lang w:val="es-ES_tradnl"/>
        </w:rPr>
        <w:t>C</w:t>
      </w:r>
      <w:r w:rsidR="00262881">
        <w:rPr>
          <w:rFonts w:ascii="Arial" w:hAnsi="Arial" w:cs="Arial"/>
          <w:sz w:val="21"/>
          <w:szCs w:val="21"/>
          <w:lang w:val="es-ES_tradnl"/>
        </w:rPr>
        <w:t>ursiva</w:t>
      </w:r>
      <w:r w:rsidR="00EA0F67">
        <w:rPr>
          <w:rFonts w:ascii="Arial" w:hAnsi="Arial" w:cs="Arial"/>
          <w:sz w:val="21"/>
          <w:szCs w:val="21"/>
          <w:lang w:val="es-ES_tradnl"/>
        </w:rPr>
        <w:t xml:space="preserve"> y subraya</w:t>
      </w:r>
      <w:r w:rsidR="00262881">
        <w:rPr>
          <w:rFonts w:ascii="Arial" w:hAnsi="Arial" w:cs="Arial"/>
          <w:sz w:val="21"/>
          <w:szCs w:val="21"/>
          <w:lang w:val="es-ES_tradnl"/>
        </w:rPr>
        <w:t xml:space="preserve"> fuera de texto)</w:t>
      </w:r>
      <w:r w:rsidRPr="00E15AB1">
        <w:rPr>
          <w:rFonts w:ascii="Arial" w:hAnsi="Arial" w:cs="Arial"/>
          <w:sz w:val="21"/>
          <w:szCs w:val="21"/>
          <w:lang w:val="es-ES_tradnl"/>
        </w:rPr>
        <w:t>.</w:t>
      </w:r>
    </w:p>
    <w:p w14:paraId="3A025A13" w14:textId="77777777" w:rsidR="00E15AB1" w:rsidRDefault="00E15AB1" w:rsidP="00E15AB1">
      <w:pPr>
        <w:pStyle w:val="Normal11pt"/>
        <w:spacing w:line="276" w:lineRule="auto"/>
        <w:ind w:left="0" w:firstLine="709"/>
      </w:pPr>
    </w:p>
    <w:p w14:paraId="515EF3A2" w14:textId="545D59B9" w:rsidR="00D85B89" w:rsidRPr="00D85B89" w:rsidRDefault="00D85B89" w:rsidP="007B15DE">
      <w:pPr>
        <w:spacing w:line="276" w:lineRule="auto"/>
        <w:ind w:firstLine="703"/>
        <w:jc w:val="both"/>
        <w:textAlignment w:val="baseline"/>
        <w:rPr>
          <w:rFonts w:ascii="Segoe UI" w:hAnsi="Segoe UI" w:cs="Segoe UI"/>
          <w:color w:val="000000"/>
          <w:sz w:val="18"/>
          <w:szCs w:val="18"/>
          <w:lang w:val="es-MX" w:eastAsia="es-MX"/>
        </w:rPr>
      </w:pPr>
      <w:r w:rsidRPr="00D85B89">
        <w:rPr>
          <w:rFonts w:ascii="Arial" w:hAnsi="Arial" w:cs="Arial"/>
          <w:color w:val="000000"/>
          <w:sz w:val="22"/>
          <w:szCs w:val="22"/>
          <w:lang w:val="es-ES" w:eastAsia="es-MX"/>
        </w:rPr>
        <w:t xml:space="preserve">Sin embargo, no es menos cierto que en virtud de la Ley 2022 de 2020 y el artículo 1 de la Resolución No. </w:t>
      </w:r>
      <w:r w:rsidR="00091DEC">
        <w:rPr>
          <w:rFonts w:ascii="Arial" w:hAnsi="Arial" w:cs="Arial"/>
          <w:color w:val="000000"/>
          <w:sz w:val="22"/>
          <w:szCs w:val="22"/>
          <w:lang w:val="es-ES" w:eastAsia="es-MX"/>
        </w:rPr>
        <w:t>193</w:t>
      </w:r>
      <w:r w:rsidRPr="00D85B89">
        <w:rPr>
          <w:rFonts w:ascii="Arial" w:hAnsi="Arial" w:cs="Arial"/>
          <w:color w:val="000000"/>
          <w:sz w:val="22"/>
          <w:szCs w:val="22"/>
          <w:lang w:val="es-ES" w:eastAsia="es-MX"/>
        </w:rPr>
        <w:t xml:space="preserve"> del 1</w:t>
      </w:r>
      <w:r w:rsidR="00091DEC">
        <w:rPr>
          <w:rFonts w:ascii="Arial" w:hAnsi="Arial" w:cs="Arial"/>
          <w:color w:val="000000"/>
          <w:sz w:val="22"/>
          <w:szCs w:val="22"/>
          <w:lang w:val="es-ES" w:eastAsia="es-MX"/>
        </w:rPr>
        <w:t>4 de julio de 2021</w:t>
      </w:r>
      <w:r w:rsidRPr="00D85B89">
        <w:rPr>
          <w:rFonts w:ascii="Arial" w:hAnsi="Arial" w:cs="Arial"/>
          <w:color w:val="000000"/>
          <w:sz w:val="22"/>
          <w:szCs w:val="22"/>
          <w:lang w:val="es-ES" w:eastAsia="es-MX"/>
        </w:rPr>
        <w:t xml:space="preserve">, los documentos tipo adoptados mediante este acto administrativo únicamente son obligatorios para la </w:t>
      </w:r>
      <w:r w:rsidR="00091DEC">
        <w:rPr>
          <w:rFonts w:ascii="Arial" w:hAnsi="Arial" w:cs="Arial"/>
          <w:color w:val="000000"/>
          <w:sz w:val="22"/>
          <w:szCs w:val="22"/>
          <w:lang w:val="es-ES" w:eastAsia="es-MX"/>
        </w:rPr>
        <w:t>consultoría de estudios de ingeniería</w:t>
      </w:r>
      <w:r w:rsidRPr="00D85B89">
        <w:rPr>
          <w:rFonts w:ascii="Arial" w:hAnsi="Arial" w:cs="Arial"/>
          <w:color w:val="000000"/>
          <w:sz w:val="22"/>
          <w:szCs w:val="22"/>
          <w:lang w:val="es-ES" w:eastAsia="es-MX"/>
        </w:rPr>
        <w:t xml:space="preserve"> de infraestructura de transporte </w:t>
      </w:r>
      <w:r w:rsidR="00EB7B44">
        <w:rPr>
          <w:rFonts w:ascii="Arial" w:hAnsi="Arial" w:cs="Arial"/>
          <w:color w:val="000000"/>
          <w:sz w:val="22"/>
          <w:szCs w:val="22"/>
          <w:lang w:val="es-ES" w:eastAsia="es-MX"/>
        </w:rPr>
        <w:t>adelantados mediante la modalidad de</w:t>
      </w:r>
      <w:r w:rsidR="00EB7B44" w:rsidRPr="00D85B89">
        <w:rPr>
          <w:rFonts w:ascii="Arial" w:hAnsi="Arial" w:cs="Arial"/>
          <w:color w:val="000000"/>
          <w:sz w:val="22"/>
          <w:szCs w:val="22"/>
          <w:lang w:val="es-ES" w:eastAsia="es-MX"/>
        </w:rPr>
        <w:t xml:space="preserve"> </w:t>
      </w:r>
      <w:r w:rsidRPr="00D85B89">
        <w:rPr>
          <w:rFonts w:ascii="Arial" w:hAnsi="Arial" w:cs="Arial"/>
          <w:color w:val="000000"/>
          <w:sz w:val="22"/>
          <w:szCs w:val="22"/>
          <w:lang w:val="es-ES" w:eastAsia="es-MX"/>
        </w:rPr>
        <w:t>concurso de méritos. De esta manera, aunque no son obligatorios para los contratos de </w:t>
      </w:r>
      <w:r w:rsidR="00091DEC">
        <w:rPr>
          <w:rFonts w:ascii="Arial" w:hAnsi="Arial" w:cs="Arial"/>
          <w:color w:val="000000"/>
          <w:sz w:val="22"/>
          <w:szCs w:val="22"/>
          <w:lang w:val="es-ES" w:eastAsia="es-MX"/>
        </w:rPr>
        <w:t xml:space="preserve">consultoría de estudios de ingeniería </w:t>
      </w:r>
      <w:r w:rsidRPr="00D85B89">
        <w:rPr>
          <w:rFonts w:ascii="Arial" w:hAnsi="Arial" w:cs="Arial"/>
          <w:color w:val="000000"/>
          <w:sz w:val="22"/>
          <w:szCs w:val="22"/>
          <w:lang w:val="es-ES" w:eastAsia="es-MX"/>
        </w:rPr>
        <w:t xml:space="preserve">adelantados por mínima cuantía, nada obsta para que –sin desconocer las diferencias entre ambos procedimientos de selección– se adopten potestativamente </w:t>
      </w:r>
      <w:r w:rsidR="00EB7B44">
        <w:rPr>
          <w:rFonts w:ascii="Arial" w:hAnsi="Arial" w:cs="Arial"/>
          <w:color w:val="000000"/>
          <w:sz w:val="22"/>
          <w:szCs w:val="22"/>
          <w:lang w:val="es-ES" w:eastAsia="es-MX"/>
        </w:rPr>
        <w:t xml:space="preserve">algunos contenidos de </w:t>
      </w:r>
      <w:r w:rsidRPr="00D85B89">
        <w:rPr>
          <w:rFonts w:ascii="Arial" w:hAnsi="Arial" w:cs="Arial"/>
          <w:color w:val="000000"/>
          <w:sz w:val="22"/>
          <w:szCs w:val="22"/>
          <w:lang w:val="es-ES" w:eastAsia="es-MX"/>
        </w:rPr>
        <w:t>los documentos tipo citados como criterio de buena práctica contractual, haciendo las adaptaciones pertinentes para la contratación cuyo valor no exceda el diez por ciento –10%– de la menor cuantía. </w:t>
      </w:r>
      <w:r w:rsidRPr="00D85B89">
        <w:rPr>
          <w:rFonts w:ascii="Arial" w:hAnsi="Arial" w:cs="Arial"/>
          <w:color w:val="000000"/>
          <w:sz w:val="22"/>
          <w:szCs w:val="22"/>
          <w:lang w:val="es-MX" w:eastAsia="es-MX"/>
        </w:rPr>
        <w:t> </w:t>
      </w:r>
    </w:p>
    <w:p w14:paraId="22579DD2" w14:textId="5E20792B" w:rsidR="00ED23EA" w:rsidRDefault="00ED23EA" w:rsidP="007B15DE">
      <w:pPr>
        <w:pStyle w:val="Normal11pt"/>
        <w:spacing w:line="276" w:lineRule="auto"/>
        <w:ind w:left="0"/>
      </w:pPr>
      <w:bookmarkStart w:id="7" w:name="_Hlk82595539"/>
    </w:p>
    <w:bookmarkEnd w:id="7"/>
    <w:p w14:paraId="37CA9805" w14:textId="2944B15C" w:rsidR="00DD5B04" w:rsidRPr="004D1C27" w:rsidRDefault="004177A6" w:rsidP="004D1C27">
      <w:pPr>
        <w:spacing w:line="276" w:lineRule="auto"/>
        <w:jc w:val="both"/>
        <w:rPr>
          <w:rFonts w:ascii="Arial" w:hAnsi="Arial" w:cs="Arial"/>
          <w:sz w:val="22"/>
          <w:lang w:val="es-ES_tradnl"/>
        </w:rPr>
      </w:pPr>
      <w:r w:rsidRPr="00A43C00">
        <w:rPr>
          <w:rFonts w:ascii="Arial" w:eastAsia="Calibri" w:hAnsi="Arial" w:cs="Arial"/>
          <w:b/>
          <w:color w:val="000000" w:themeColor="text1"/>
          <w:sz w:val="22"/>
          <w:lang w:val="es-ES_tradnl"/>
        </w:rPr>
        <w:t>3</w:t>
      </w:r>
      <w:r w:rsidR="00B011A9" w:rsidRPr="00A43C00">
        <w:rPr>
          <w:rFonts w:ascii="Arial" w:eastAsia="Calibri" w:hAnsi="Arial" w:cs="Arial"/>
          <w:b/>
          <w:color w:val="000000" w:themeColor="text1"/>
          <w:sz w:val="22"/>
          <w:lang w:val="es-ES_tradnl"/>
        </w:rPr>
        <w:t xml:space="preserve">. </w:t>
      </w:r>
      <w:r w:rsidR="00DD5B04" w:rsidRPr="00A43C00">
        <w:rPr>
          <w:rFonts w:ascii="Arial" w:eastAsia="Calibri" w:hAnsi="Arial" w:cs="Arial"/>
          <w:b/>
          <w:color w:val="000000" w:themeColor="text1"/>
          <w:sz w:val="22"/>
          <w:lang w:val="es-ES_tradnl"/>
        </w:rPr>
        <w:t>Respuest</w:t>
      </w:r>
      <w:r w:rsidR="00BF0E64" w:rsidRPr="00A43C00">
        <w:rPr>
          <w:rFonts w:ascii="Arial" w:eastAsia="Calibri" w:hAnsi="Arial" w:cs="Arial"/>
          <w:b/>
          <w:color w:val="000000" w:themeColor="text1"/>
          <w:sz w:val="22"/>
          <w:lang w:val="es-ES_tradnl"/>
        </w:rPr>
        <w:t>a</w:t>
      </w:r>
    </w:p>
    <w:p w14:paraId="0B74D5B8" w14:textId="7F0A7F13" w:rsidR="00C4581D" w:rsidRPr="00A43C00" w:rsidRDefault="00C4581D" w:rsidP="00510DE9">
      <w:pPr>
        <w:tabs>
          <w:tab w:val="left" w:pos="0"/>
        </w:tabs>
        <w:jc w:val="both"/>
        <w:rPr>
          <w:rFonts w:ascii="Arial" w:eastAsia="Calibri" w:hAnsi="Arial" w:cs="Arial"/>
          <w:color w:val="000000" w:themeColor="text1"/>
          <w:sz w:val="22"/>
          <w:lang w:val="es-ES_tradnl"/>
        </w:rPr>
      </w:pPr>
    </w:p>
    <w:p w14:paraId="5DC4F1AA" w14:textId="3ED015F5" w:rsidR="00BF0E64" w:rsidRDefault="00176716" w:rsidP="00176716">
      <w:pPr>
        <w:ind w:left="709" w:right="709"/>
        <w:jc w:val="both"/>
        <w:rPr>
          <w:rFonts w:ascii="Arial" w:hAnsi="Arial" w:cs="Arial"/>
          <w:color w:val="000000" w:themeColor="text1"/>
          <w:sz w:val="21"/>
          <w:szCs w:val="21"/>
          <w:lang w:val="es-ES_tradnl"/>
        </w:rPr>
      </w:pPr>
      <w:r w:rsidRPr="00D07836">
        <w:rPr>
          <w:rFonts w:ascii="Arial" w:hAnsi="Arial" w:cs="Arial"/>
          <w:color w:val="000000" w:themeColor="text1"/>
          <w:sz w:val="21"/>
          <w:szCs w:val="21"/>
          <w:lang w:val="es-ES_tradnl"/>
        </w:rPr>
        <w:t>«</w:t>
      </w:r>
      <w:r w:rsidR="00995115">
        <w:rPr>
          <w:rFonts w:ascii="Arial" w:hAnsi="Arial" w:cs="Arial"/>
          <w:color w:val="000000" w:themeColor="text1"/>
          <w:sz w:val="21"/>
          <w:szCs w:val="21"/>
          <w:lang w:val="es-ES_tradnl"/>
        </w:rPr>
        <w:t>[…</w:t>
      </w:r>
      <w:r w:rsidR="00995115">
        <w:rPr>
          <w:rFonts w:ascii="Arial" w:hAnsi="Arial" w:cs="Arial"/>
          <w:color w:val="000000" w:themeColor="text1"/>
          <w:sz w:val="22"/>
          <w:szCs w:val="22"/>
          <w:lang w:val="es-ES_tradnl"/>
        </w:rPr>
        <w:t>] t</w:t>
      </w:r>
      <w:r w:rsidR="00995115" w:rsidRPr="001B6F69">
        <w:rPr>
          <w:rFonts w:ascii="Arial" w:hAnsi="Arial" w:cs="Arial"/>
          <w:color w:val="000000" w:themeColor="text1"/>
          <w:sz w:val="22"/>
          <w:szCs w:val="22"/>
          <w:lang w:val="es-ES_tradnl"/>
        </w:rPr>
        <w:t>eniendo en cuenta que en la resolución 193 de 2021 'Por la cual se adoptan los documentos tipo para los procesos de selección de concurso deméritos, para contratar la consultoría de estudios de ingeniería de infraestructura de transporte' no especifica si en caso de procesos mínima cuantía para consultoría es necesario usarlos, ya que en caso de concurrencia entre el concurso de méritos y la mínima cuantía, la modalidad de selección aplicable es la de mínima cuantía. Además que en la página de Colombia compra eficiente aparece una versión de pliegos publicada en el 2016</w:t>
      </w:r>
      <w:r w:rsidRPr="00D07836">
        <w:rPr>
          <w:rFonts w:ascii="Arial" w:hAnsi="Arial" w:cs="Arial"/>
          <w:color w:val="000000" w:themeColor="text1"/>
          <w:sz w:val="21"/>
          <w:szCs w:val="21"/>
          <w:lang w:val="es-ES_tradnl"/>
        </w:rPr>
        <w:t>».</w:t>
      </w:r>
    </w:p>
    <w:p w14:paraId="7A5E9BA4" w14:textId="77777777" w:rsidR="00176716" w:rsidRPr="00FC0BAC" w:rsidRDefault="00176716" w:rsidP="007B15DE">
      <w:pPr>
        <w:spacing w:line="276" w:lineRule="auto"/>
        <w:ind w:left="709" w:right="709"/>
        <w:jc w:val="both"/>
        <w:rPr>
          <w:rFonts w:ascii="Arial" w:hAnsi="Arial" w:cs="Arial"/>
          <w:color w:val="000000" w:themeColor="text1"/>
          <w:sz w:val="22"/>
          <w:szCs w:val="22"/>
          <w:lang w:val="es-ES_tradnl"/>
        </w:rPr>
      </w:pPr>
    </w:p>
    <w:p w14:paraId="3DE86A67" w14:textId="6EED2CA2" w:rsidR="00091DEC" w:rsidRDefault="007219E1" w:rsidP="00F62CB0">
      <w:pPr>
        <w:pStyle w:val="Normal11pt"/>
        <w:spacing w:after="120" w:line="276" w:lineRule="auto"/>
        <w:ind w:left="0"/>
      </w:pPr>
      <w:r>
        <w:rPr>
          <w:rStyle w:val="normaltextrun"/>
          <w:shd w:val="clear" w:color="auto" w:fill="FFFFFF"/>
        </w:rPr>
        <w:t xml:space="preserve">De acuerdo con las consideraciones, </w:t>
      </w:r>
      <w:r>
        <w:rPr>
          <w:rStyle w:val="normaltextrun"/>
          <w:shd w:val="clear" w:color="auto" w:fill="FFFFFF"/>
          <w:lang w:val="es-ES"/>
        </w:rPr>
        <w:t>l</w:t>
      </w:r>
      <w:r w:rsidR="00091DEC">
        <w:rPr>
          <w:rStyle w:val="normaltextrun"/>
          <w:shd w:val="clear" w:color="auto" w:fill="FFFFFF"/>
          <w:lang w:val="es-ES"/>
        </w:rPr>
        <w:t xml:space="preserve">os documentos tipo adoptados por la Resolución No. </w:t>
      </w:r>
      <w:r w:rsidR="00091DEC">
        <w:rPr>
          <w:lang w:val="es-ES" w:eastAsia="es-MX"/>
        </w:rPr>
        <w:t>193</w:t>
      </w:r>
      <w:r w:rsidR="00091DEC" w:rsidRPr="00D85B89">
        <w:rPr>
          <w:lang w:val="es-ES" w:eastAsia="es-MX"/>
        </w:rPr>
        <w:t xml:space="preserve"> del 1</w:t>
      </w:r>
      <w:r w:rsidR="00091DEC">
        <w:rPr>
          <w:lang w:val="es-ES" w:eastAsia="es-MX"/>
        </w:rPr>
        <w:t>4 de julio de 2021</w:t>
      </w:r>
      <w:r w:rsidR="00091DEC">
        <w:rPr>
          <w:rStyle w:val="normaltextrun"/>
          <w:shd w:val="clear" w:color="auto" w:fill="FFFFFF"/>
          <w:lang w:val="es-ES"/>
        </w:rPr>
        <w:t xml:space="preserve"> solo </w:t>
      </w:r>
      <w:r>
        <w:rPr>
          <w:rStyle w:val="normaltextrun"/>
          <w:shd w:val="clear" w:color="auto" w:fill="FFFFFF"/>
          <w:lang w:val="es-ES"/>
        </w:rPr>
        <w:t>son obligatorios</w:t>
      </w:r>
      <w:r w:rsidR="00091DEC">
        <w:rPr>
          <w:rStyle w:val="normaltextrun"/>
          <w:shd w:val="clear" w:color="auto" w:fill="FFFFFF"/>
          <w:lang w:val="es-ES"/>
        </w:rPr>
        <w:t xml:space="preserve"> para los procesos de selección de consultoría de estudios de ingeniería </w:t>
      </w:r>
      <w:r w:rsidR="00DE0242">
        <w:rPr>
          <w:rStyle w:val="normaltextrun"/>
          <w:shd w:val="clear" w:color="auto" w:fill="FFFFFF"/>
          <w:lang w:val="es-ES"/>
        </w:rPr>
        <w:t>para</w:t>
      </w:r>
      <w:r w:rsidR="00091DEC">
        <w:rPr>
          <w:rStyle w:val="normaltextrun"/>
          <w:shd w:val="clear" w:color="auto" w:fill="FFFFFF"/>
          <w:lang w:val="es-ES"/>
        </w:rPr>
        <w:t xml:space="preserve"> infraestructura de transporte, que se adelanten por la modalidad de concurso de méritos</w:t>
      </w:r>
      <w:r>
        <w:rPr>
          <w:rStyle w:val="normaltextrun"/>
          <w:shd w:val="clear" w:color="auto" w:fill="FFFFFF"/>
          <w:lang w:val="es-ES"/>
        </w:rPr>
        <w:t>, por lo que no aplicarían para la modalidad de mínima cuantía</w:t>
      </w:r>
      <w:r w:rsidR="00091DEC">
        <w:rPr>
          <w:rStyle w:val="normaltextrun"/>
          <w:shd w:val="clear" w:color="auto" w:fill="FFFFFF"/>
          <w:lang w:val="es-ES"/>
        </w:rPr>
        <w:t>. </w:t>
      </w:r>
      <w:r>
        <w:rPr>
          <w:rStyle w:val="normaltextrun"/>
          <w:shd w:val="clear" w:color="auto" w:fill="FFFFFF"/>
          <w:lang w:val="es-ES"/>
        </w:rPr>
        <w:t>Sin perjuicio de lo anterior</w:t>
      </w:r>
      <w:r w:rsidR="00091DEC">
        <w:rPr>
          <w:rStyle w:val="normaltextrun"/>
          <w:shd w:val="clear" w:color="auto" w:fill="FFFFFF"/>
          <w:lang w:val="es-ES"/>
        </w:rPr>
        <w:t>, aunque no son obligatorios para los contratos de consultoría de estudios de ingeniería adelantados por mínima cuantía, nada obsta para que –sin desconocer las diferencias entre ambos procedimientos de selección– se adopten </w:t>
      </w:r>
      <w:r>
        <w:rPr>
          <w:rStyle w:val="normaltextrun"/>
          <w:shd w:val="clear" w:color="auto" w:fill="FFFFFF"/>
          <w:lang w:val="es-ES"/>
        </w:rPr>
        <w:t>f </w:t>
      </w:r>
      <w:r>
        <w:rPr>
          <w:lang w:val="es-ES" w:eastAsia="es-MX"/>
        </w:rPr>
        <w:t xml:space="preserve">algunos contenidos de </w:t>
      </w:r>
      <w:r w:rsidRPr="00D85B89">
        <w:rPr>
          <w:lang w:val="es-ES" w:eastAsia="es-MX"/>
        </w:rPr>
        <w:t xml:space="preserve">los </w:t>
      </w:r>
      <w:r w:rsidR="00091DEC">
        <w:rPr>
          <w:rStyle w:val="normaltextrun"/>
          <w:shd w:val="clear" w:color="auto" w:fill="FFFFFF"/>
          <w:lang w:val="es-ES"/>
        </w:rPr>
        <w:t>documentos tipo citados como criterio de buena práctica contractual, haciendo las adaptaciones pertinentes para la contratación cuyo valor no exceda el diez por ciento –10%– de la menor cuantía.</w:t>
      </w:r>
      <w:r w:rsidR="00091DEC">
        <w:rPr>
          <w:rStyle w:val="eop"/>
          <w:shd w:val="clear" w:color="auto" w:fill="FFFFFF"/>
        </w:rPr>
        <w:t> </w:t>
      </w:r>
      <w:r w:rsidR="00091DEC" w:rsidDel="00091DEC">
        <w:t xml:space="preserve"> </w:t>
      </w:r>
    </w:p>
    <w:p w14:paraId="7D6B1629" w14:textId="7C248777" w:rsidR="005023D6" w:rsidRPr="00F62CB0" w:rsidRDefault="005023D6" w:rsidP="005023D6">
      <w:pPr>
        <w:pStyle w:val="Normal11pt"/>
        <w:spacing w:line="276" w:lineRule="auto"/>
        <w:ind w:left="0" w:firstLine="708"/>
      </w:pPr>
      <w:r>
        <w:t xml:space="preserve">Finalmente, se resalta que los documentos tipo que son de </w:t>
      </w:r>
      <w:r w:rsidRPr="00237377">
        <w:t xml:space="preserve">obligatorio cumplimiento en la actividad contractual de todas las entidades sometidas al Estatuto General de </w:t>
      </w:r>
      <w:r w:rsidRPr="00237377">
        <w:lastRenderedPageBreak/>
        <w:t>Contratación de la Administración Pública</w:t>
      </w:r>
      <w:r>
        <w:t>, en virtud de lo dispuesto por la Ley 2022 de 2020</w:t>
      </w:r>
      <w:r w:rsidRPr="00237377">
        <w:t xml:space="preserve"> «Por la cual modifica el artículo 4 de la ley 1882 de 2018 y se dictan otras disposiciones»</w:t>
      </w:r>
      <w:r>
        <w:t xml:space="preserve"> son los publicados en el siguiente enlace: </w:t>
      </w:r>
      <w:hyperlink r:id="rId12" w:history="1">
        <w:r w:rsidRPr="00F62CB0">
          <w:t>https://www.colombiacompra.gov.co/documentos-tipo/documentos-tipo</w:t>
        </w:r>
      </w:hyperlink>
      <w:r w:rsidR="00407129">
        <w:t>.</w:t>
      </w:r>
      <w:r w:rsidRPr="00F62CB0">
        <w:t xml:space="preserve"> </w:t>
      </w:r>
    </w:p>
    <w:p w14:paraId="3AD2F734" w14:textId="77777777" w:rsidR="00083452" w:rsidRPr="00955021" w:rsidRDefault="00083452">
      <w:pPr>
        <w:spacing w:after="120"/>
        <w:ind w:right="709"/>
        <w:jc w:val="both"/>
        <w:rPr>
          <w:rFonts w:ascii="Arial" w:hAnsi="Arial" w:cs="Arial"/>
          <w:color w:val="000000" w:themeColor="text1"/>
          <w:sz w:val="21"/>
          <w:szCs w:val="21"/>
          <w:lang w:val="es-ES_tradnl"/>
        </w:rPr>
      </w:pPr>
    </w:p>
    <w:p w14:paraId="33A0C48E" w14:textId="77777777" w:rsidR="00407129" w:rsidRDefault="00407129">
      <w:pPr>
        <w:spacing w:line="276" w:lineRule="auto"/>
        <w:jc w:val="both"/>
        <w:rPr>
          <w:rFonts w:ascii="Arial" w:hAnsi="Arial" w:cs="Arial"/>
          <w:color w:val="000000" w:themeColor="text1"/>
          <w:sz w:val="22"/>
          <w:lang w:val="es-ES_tradnl"/>
        </w:rPr>
      </w:pPr>
    </w:p>
    <w:p w14:paraId="7B2C921D" w14:textId="206DE96D" w:rsidR="00DD5B04" w:rsidRPr="00A43C00" w:rsidRDefault="00DD5B04">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43C00">
        <w:rPr>
          <w:rFonts w:ascii="Arial" w:hAnsi="Arial" w:cs="Arial"/>
          <w:color w:val="000000" w:themeColor="text1"/>
          <w:sz w:val="22"/>
          <w:szCs w:val="22"/>
          <w:lang w:val="es-ES_tradnl"/>
        </w:rPr>
        <w:t>Atentamente,</w:t>
      </w:r>
    </w:p>
    <w:p w14:paraId="692FC307" w14:textId="210AA6B5" w:rsidR="00921304" w:rsidRPr="00A43C00"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1730035F" w:rsidR="00921304" w:rsidRPr="00A43C00" w:rsidRDefault="003E75A8"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27FE008C" wp14:editId="5667B4B4">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5CBAE239" w14:textId="77777777" w:rsidR="00425C43" w:rsidRPr="00A43C00" w:rsidRDefault="00425C43" w:rsidP="00B37657">
      <w:pPr>
        <w:jc w:val="center"/>
        <w:rPr>
          <w:rFonts w:ascii="Arial" w:hAnsi="Arial" w:cs="Arial"/>
          <w:color w:val="000000" w:themeColor="text1"/>
          <w:sz w:val="18"/>
          <w:szCs w:val="20"/>
          <w:lang w:val="es-ES_tradnl" w:eastAsia="es-CO"/>
        </w:rPr>
      </w:pPr>
    </w:p>
    <w:p w14:paraId="49730030" w14:textId="217D35F3" w:rsidR="00DD5B04" w:rsidRPr="00A43C00"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43C00" w14:paraId="0C7DC5F7" w14:textId="77777777" w:rsidTr="00083F1B">
        <w:trPr>
          <w:trHeight w:val="315"/>
        </w:trPr>
        <w:tc>
          <w:tcPr>
            <w:tcW w:w="812" w:type="dxa"/>
            <w:vAlign w:val="center"/>
            <w:hideMark/>
          </w:tcPr>
          <w:p w14:paraId="5BDB1AC9"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28B2AFA" w:rsidR="00DD5B04" w:rsidRPr="00A43C00" w:rsidRDefault="005023D6"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Nathalia Urrego Jiménez</w:t>
            </w:r>
          </w:p>
          <w:p w14:paraId="240C71FD" w14:textId="31312C95"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Contratista</w:t>
            </w:r>
            <w:r w:rsidR="00FF0050" w:rsidRPr="00A43C00">
              <w:rPr>
                <w:rFonts w:ascii="Arial" w:hAnsi="Arial" w:cs="Arial"/>
                <w:color w:val="000000" w:themeColor="text1"/>
                <w:sz w:val="16"/>
                <w:szCs w:val="16"/>
                <w:lang w:val="es-ES_tradnl" w:eastAsia="es-ES"/>
              </w:rPr>
              <w:t xml:space="preserve"> de la </w:t>
            </w:r>
            <w:r w:rsidRPr="00A43C00">
              <w:rPr>
                <w:rFonts w:ascii="Arial" w:hAnsi="Arial" w:cs="Arial"/>
                <w:color w:val="000000" w:themeColor="text1"/>
                <w:sz w:val="16"/>
                <w:szCs w:val="16"/>
                <w:lang w:val="es-ES_tradnl" w:eastAsia="es-ES"/>
              </w:rPr>
              <w:t>Subdirección de Gestión Contractual</w:t>
            </w:r>
          </w:p>
        </w:tc>
      </w:tr>
      <w:tr w:rsidR="00DD5B04" w:rsidRPr="00A43C00" w14:paraId="2F8FD650" w14:textId="77777777" w:rsidTr="00083F1B">
        <w:trPr>
          <w:trHeight w:val="330"/>
        </w:trPr>
        <w:tc>
          <w:tcPr>
            <w:tcW w:w="812" w:type="dxa"/>
            <w:vAlign w:val="center"/>
            <w:hideMark/>
          </w:tcPr>
          <w:p w14:paraId="50203A0B"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4ACCC0C4" w:rsidR="00995B3A" w:rsidRPr="00C440B6" w:rsidRDefault="005023D6" w:rsidP="00995B3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130B3228" w14:textId="174BE431" w:rsidR="00DD5B04" w:rsidRPr="00A43C00" w:rsidRDefault="00995B3A" w:rsidP="00995B3A">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tc>
      </w:tr>
      <w:tr w:rsidR="00DD5B04" w:rsidRPr="00A43C00" w14:paraId="0FCBCA4A" w14:textId="77777777" w:rsidTr="00083F1B">
        <w:trPr>
          <w:trHeight w:val="300"/>
        </w:trPr>
        <w:tc>
          <w:tcPr>
            <w:tcW w:w="812" w:type="dxa"/>
            <w:vAlign w:val="center"/>
            <w:hideMark/>
          </w:tcPr>
          <w:p w14:paraId="3C1D943A"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66FF41" w14:textId="77777777" w:rsidR="007C142B" w:rsidRPr="00BB0056" w:rsidRDefault="007C142B" w:rsidP="007C142B">
            <w:pPr>
              <w:rPr>
                <w:rFonts w:ascii="Arial" w:hAnsi="Arial" w:cs="Arial"/>
                <w:sz w:val="16"/>
                <w:szCs w:val="16"/>
                <w:lang w:eastAsia="es-ES"/>
              </w:rPr>
            </w:pPr>
            <w:r w:rsidRPr="00BB0056">
              <w:rPr>
                <w:rFonts w:ascii="Arial" w:hAnsi="Arial" w:cs="Arial"/>
                <w:sz w:val="16"/>
                <w:szCs w:val="16"/>
                <w:lang w:eastAsia="es-ES"/>
              </w:rPr>
              <w:t>Jorge Augusto Tirado Navarro</w:t>
            </w:r>
          </w:p>
          <w:p w14:paraId="1ADC483B" w14:textId="4BA39C5C" w:rsidR="00DD5B04" w:rsidRPr="00A43C00" w:rsidRDefault="007C142B" w:rsidP="00134E7E">
            <w:pPr>
              <w:jc w:val="both"/>
              <w:rPr>
                <w:rFonts w:ascii="Arial" w:hAnsi="Arial" w:cs="Arial"/>
                <w:color w:val="000000" w:themeColor="text1"/>
                <w:sz w:val="16"/>
                <w:szCs w:val="16"/>
                <w:lang w:val="es-ES_tradnl" w:eastAsia="es-ES"/>
              </w:rPr>
            </w:pPr>
            <w:r w:rsidRPr="00BB0056">
              <w:rPr>
                <w:rFonts w:ascii="Arial" w:hAnsi="Arial" w:cs="Arial"/>
                <w:sz w:val="16"/>
                <w:szCs w:val="16"/>
                <w:lang w:eastAsia="es-ES"/>
              </w:rPr>
              <w:t>Subdirector de Gestión Contractual</w:t>
            </w:r>
            <w:r>
              <w:rPr>
                <w:rFonts w:ascii="Arial" w:hAnsi="Arial" w:cs="Arial"/>
                <w:sz w:val="16"/>
                <w:szCs w:val="16"/>
                <w:lang w:eastAsia="es-ES"/>
              </w:rPr>
              <w:t xml:space="preserve"> ANCP – CCE</w:t>
            </w:r>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3958" w14:textId="77777777" w:rsidR="00B770D6" w:rsidRDefault="00B770D6">
      <w:r>
        <w:separator/>
      </w:r>
    </w:p>
  </w:endnote>
  <w:endnote w:type="continuationSeparator" w:id="0">
    <w:p w14:paraId="15344896" w14:textId="77777777" w:rsidR="00B770D6" w:rsidRDefault="00B770D6">
      <w:r>
        <w:continuationSeparator/>
      </w:r>
    </w:p>
  </w:endnote>
  <w:endnote w:type="continuationNotice" w:id="1">
    <w:p w14:paraId="2890C91C" w14:textId="77777777" w:rsidR="00B770D6" w:rsidRDefault="00B77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16ADD">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16ADD">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99EA" w14:textId="77777777" w:rsidR="00B770D6" w:rsidRDefault="00B770D6">
      <w:r>
        <w:separator/>
      </w:r>
    </w:p>
  </w:footnote>
  <w:footnote w:type="continuationSeparator" w:id="0">
    <w:p w14:paraId="3B26A0D2" w14:textId="77777777" w:rsidR="00B770D6" w:rsidRDefault="00B770D6">
      <w:r>
        <w:continuationSeparator/>
      </w:r>
    </w:p>
  </w:footnote>
  <w:footnote w:type="continuationNotice" w:id="1">
    <w:p w14:paraId="61C00532" w14:textId="77777777" w:rsidR="00B770D6" w:rsidRDefault="00B770D6"/>
  </w:footnote>
  <w:footnote w:id="2">
    <w:p w14:paraId="6228D36C" w14:textId="77777777" w:rsidR="0065758D" w:rsidRPr="005B6C2E" w:rsidRDefault="0065758D" w:rsidP="0065758D">
      <w:pPr>
        <w:pStyle w:val="Textonotapie"/>
        <w:ind w:firstLine="709"/>
        <w:jc w:val="both"/>
        <w:rPr>
          <w:rFonts w:ascii="Arial" w:hAnsi="Arial" w:cs="Arial"/>
          <w:sz w:val="19"/>
          <w:szCs w:val="19"/>
        </w:rPr>
      </w:pPr>
      <w:r w:rsidRPr="005B6C2E">
        <w:rPr>
          <w:rStyle w:val="Refdenotaalpie"/>
          <w:rFonts w:ascii="Arial" w:hAnsi="Arial" w:cs="Arial"/>
          <w:sz w:val="19"/>
          <w:szCs w:val="19"/>
        </w:rPr>
        <w:footnoteRef/>
      </w:r>
      <w:r w:rsidRPr="005B6C2E">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24F85444" w14:textId="77777777" w:rsidR="00237377" w:rsidRPr="005B6C2E" w:rsidRDefault="00237377" w:rsidP="005B6C2E">
      <w:pPr>
        <w:pStyle w:val="Textonotapie"/>
        <w:ind w:firstLine="709"/>
        <w:jc w:val="both"/>
        <w:rPr>
          <w:rFonts w:ascii="Arial" w:hAnsi="Arial" w:cs="Arial"/>
          <w:sz w:val="19"/>
          <w:szCs w:val="19"/>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CO"/>
        </w:rPr>
        <w:t xml:space="preserve">Ley 1882 de 2018: «Artículo 4. </w:t>
      </w:r>
      <w:r w:rsidRPr="005B6C2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5C57C8F" w14:textId="77777777" w:rsidR="00237377" w:rsidRPr="005B6C2E" w:rsidRDefault="00237377" w:rsidP="005B6C2E">
      <w:pPr>
        <w:pStyle w:val="Textonotapie"/>
        <w:ind w:firstLine="709"/>
        <w:jc w:val="both"/>
        <w:rPr>
          <w:rFonts w:ascii="Arial" w:hAnsi="Arial" w:cs="Arial"/>
          <w:sz w:val="19"/>
          <w:szCs w:val="19"/>
          <w:lang w:val="es-CO"/>
        </w:rPr>
      </w:pPr>
      <w:r w:rsidRPr="005B6C2E">
        <w:rPr>
          <w:rFonts w:ascii="Arial" w:hAnsi="Arial" w:cs="Arial"/>
          <w:sz w:val="19"/>
          <w:szCs w:val="19"/>
          <w:lang w:val="es-CO"/>
        </w:rPr>
        <w:t>»La facultad de adoptar documentos tipo la tendrá el Gobierno nacional, cuando lo considere necesario, en relación con otros contratos o procesos de selección.</w:t>
      </w:r>
    </w:p>
    <w:p w14:paraId="64485B34" w14:textId="77777777" w:rsidR="00237377" w:rsidRPr="005B6C2E" w:rsidRDefault="00237377" w:rsidP="005B6C2E">
      <w:pPr>
        <w:pStyle w:val="Textonotapie"/>
        <w:ind w:firstLine="709"/>
        <w:jc w:val="both"/>
        <w:rPr>
          <w:rFonts w:ascii="Arial" w:hAnsi="Arial" w:cs="Arial"/>
          <w:sz w:val="19"/>
          <w:szCs w:val="19"/>
          <w:lang w:val="es-CO"/>
        </w:rPr>
      </w:pPr>
      <w:r w:rsidRPr="005B6C2E">
        <w:rPr>
          <w:rFonts w:ascii="Arial" w:hAnsi="Arial" w:cs="Arial"/>
          <w:sz w:val="19"/>
          <w:szCs w:val="19"/>
          <w:lang w:val="es-CO"/>
        </w:rPr>
        <w:t>»Los pliegos tipo se adoptarán por categorías de acuerdo con la cuantía de la contratación, según la reglamentación que expida el Gobierno nacional».</w:t>
      </w:r>
    </w:p>
  </w:footnote>
  <w:footnote w:id="4">
    <w:p w14:paraId="46DFD140" w14:textId="77777777" w:rsidR="00237377" w:rsidRPr="005B6C2E" w:rsidRDefault="00237377" w:rsidP="005B6C2E">
      <w:pPr>
        <w:pStyle w:val="Textonotapie"/>
        <w:ind w:firstLine="709"/>
        <w:jc w:val="both"/>
        <w:rPr>
          <w:rFonts w:ascii="Arial" w:hAnsi="Arial" w:cs="Arial"/>
          <w:sz w:val="19"/>
          <w:szCs w:val="19"/>
        </w:rPr>
      </w:pPr>
      <w:r w:rsidRPr="005B6C2E">
        <w:rPr>
          <w:rStyle w:val="Refdenotaalpie"/>
          <w:rFonts w:ascii="Arial" w:hAnsi="Arial" w:cs="Arial"/>
          <w:sz w:val="19"/>
          <w:szCs w:val="19"/>
        </w:rPr>
        <w:footnoteRef/>
      </w:r>
      <w:r w:rsidRPr="005B6C2E">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36B6BA7" w14:textId="77777777" w:rsidR="00237377" w:rsidRPr="005B6C2E" w:rsidRDefault="00237377" w:rsidP="005B6C2E">
      <w:pPr>
        <w:pStyle w:val="Textonotapie"/>
        <w:ind w:firstLine="709"/>
        <w:jc w:val="both"/>
        <w:rPr>
          <w:rFonts w:ascii="Arial" w:hAnsi="Arial" w:cs="Arial"/>
          <w:sz w:val="19"/>
          <w:szCs w:val="19"/>
        </w:rPr>
      </w:pPr>
    </w:p>
  </w:footnote>
  <w:footnote w:id="5">
    <w:p w14:paraId="682448EA" w14:textId="77777777" w:rsidR="000B3279" w:rsidRPr="005B6C2E" w:rsidRDefault="000B3279" w:rsidP="000B3279">
      <w:pPr>
        <w:pStyle w:val="Normal11pt"/>
        <w:ind w:left="0" w:right="51" w:firstLine="709"/>
        <w:rPr>
          <w:rFonts w:eastAsia="Calibri"/>
          <w:color w:val="000000" w:themeColor="text1"/>
          <w:sz w:val="19"/>
          <w:szCs w:val="19"/>
        </w:rPr>
      </w:pPr>
      <w:r w:rsidRPr="005B6C2E">
        <w:rPr>
          <w:rStyle w:val="Refdenotaalpie"/>
          <w:sz w:val="19"/>
          <w:szCs w:val="19"/>
        </w:rPr>
        <w:footnoteRef/>
      </w:r>
      <w:r w:rsidRPr="005B6C2E">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530E39A9" w14:textId="77777777" w:rsidR="000B3279" w:rsidRPr="005B6C2E" w:rsidRDefault="000B3279" w:rsidP="000B3279">
      <w:pPr>
        <w:pStyle w:val="Textonotapie"/>
        <w:ind w:right="51"/>
        <w:jc w:val="both"/>
        <w:rPr>
          <w:rFonts w:ascii="Arial" w:hAnsi="Arial" w:cs="Arial"/>
          <w:sz w:val="19"/>
          <w:szCs w:val="19"/>
        </w:rPr>
      </w:pPr>
    </w:p>
  </w:footnote>
  <w:footnote w:id="6">
    <w:p w14:paraId="4CA3CFAD" w14:textId="7FFEE1EF" w:rsidR="000D4567" w:rsidRPr="00F62CB0" w:rsidRDefault="000D4567" w:rsidP="00F62CB0">
      <w:pPr>
        <w:pStyle w:val="Textonotapie"/>
        <w:ind w:firstLine="709"/>
        <w:jc w:val="both"/>
        <w:rPr>
          <w:rFonts w:ascii="Arial" w:hAnsi="Arial" w:cs="Arial"/>
          <w:sz w:val="19"/>
          <w:szCs w:val="19"/>
          <w:lang w:val="es-ES"/>
        </w:rPr>
      </w:pPr>
      <w:r>
        <w:rPr>
          <w:rStyle w:val="Refdenotaalpie"/>
        </w:rPr>
        <w:footnoteRef/>
      </w:r>
      <w:r>
        <w:t xml:space="preserve"> </w:t>
      </w:r>
      <w:r w:rsidRPr="00F62CB0">
        <w:rPr>
          <w:rFonts w:ascii="Arial" w:hAnsi="Arial" w:cs="Arial"/>
          <w:sz w:val="19"/>
          <w:szCs w:val="19"/>
          <w:lang w:val="es-ES"/>
        </w:rPr>
        <w:t xml:space="preserve">Resolución No. 193 del 14 de julio de 2021. </w:t>
      </w:r>
      <w:r>
        <w:rPr>
          <w:rFonts w:ascii="Arial" w:hAnsi="Arial" w:cs="Arial"/>
          <w:sz w:val="19"/>
          <w:szCs w:val="19"/>
          <w:lang w:val="es-ES"/>
        </w:rPr>
        <w:t>«</w:t>
      </w:r>
      <w:r w:rsidRPr="00F62CB0">
        <w:rPr>
          <w:rFonts w:ascii="Arial" w:hAnsi="Arial" w:cs="Arial"/>
          <w:sz w:val="19"/>
          <w:szCs w:val="19"/>
          <w:lang w:val="es-ES"/>
        </w:rPr>
        <w:t xml:space="preserve">Artículo 1. Objeto. Adóptese los documentos tipo para los </w:t>
      </w:r>
      <w:r w:rsidRPr="00F62CB0">
        <w:rPr>
          <w:rFonts w:ascii="Arial" w:hAnsi="Arial" w:cs="Arial"/>
          <w:i/>
          <w:iCs/>
          <w:sz w:val="19"/>
          <w:szCs w:val="19"/>
          <w:lang w:val="es-ES"/>
        </w:rPr>
        <w:t>procesos de contratación adelantados bajo la modalidad de concurso de méritos</w:t>
      </w:r>
      <w:r w:rsidRPr="00F62CB0">
        <w:rPr>
          <w:rFonts w:ascii="Arial" w:hAnsi="Arial" w:cs="Arial"/>
          <w:sz w:val="19"/>
          <w:szCs w:val="19"/>
          <w:lang w:val="es-ES"/>
        </w:rPr>
        <w:t xml:space="preserve"> cuyo objeto</w:t>
      </w:r>
      <w:r>
        <w:rPr>
          <w:rFonts w:ascii="Arial" w:hAnsi="Arial" w:cs="Arial"/>
          <w:sz w:val="19"/>
          <w:szCs w:val="19"/>
          <w:lang w:val="es-ES"/>
        </w:rPr>
        <w:t xml:space="preserve"> </w:t>
      </w:r>
      <w:r w:rsidRPr="00F62CB0">
        <w:rPr>
          <w:rFonts w:ascii="Arial" w:hAnsi="Arial" w:cs="Arial"/>
          <w:sz w:val="19"/>
          <w:szCs w:val="19"/>
          <w:lang w:val="es-ES"/>
        </w:rPr>
        <w:t>consista</w:t>
      </w:r>
      <w:r>
        <w:rPr>
          <w:rFonts w:ascii="Arial" w:hAnsi="Arial" w:cs="Arial"/>
          <w:sz w:val="19"/>
          <w:szCs w:val="19"/>
          <w:lang w:val="es-ES"/>
        </w:rPr>
        <w:t xml:space="preserve"> </w:t>
      </w:r>
      <w:r w:rsidRPr="00F62CB0">
        <w:rPr>
          <w:rFonts w:ascii="Arial" w:hAnsi="Arial" w:cs="Arial"/>
          <w:sz w:val="19"/>
          <w:szCs w:val="19"/>
          <w:lang w:val="es-ES"/>
        </w:rPr>
        <w:t>en</w:t>
      </w:r>
      <w:r>
        <w:rPr>
          <w:rFonts w:ascii="Arial" w:hAnsi="Arial" w:cs="Arial"/>
          <w:sz w:val="19"/>
          <w:szCs w:val="19"/>
          <w:lang w:val="es-ES"/>
        </w:rPr>
        <w:t xml:space="preserve"> </w:t>
      </w:r>
      <w:r w:rsidRPr="00F62CB0">
        <w:rPr>
          <w:rFonts w:ascii="Arial" w:hAnsi="Arial" w:cs="Arial"/>
          <w:sz w:val="19"/>
          <w:szCs w:val="19"/>
          <w:lang w:val="es-ES"/>
        </w:rPr>
        <w:t>la</w:t>
      </w:r>
      <w:r>
        <w:rPr>
          <w:rFonts w:ascii="Arial" w:hAnsi="Arial" w:cs="Arial"/>
          <w:sz w:val="19"/>
          <w:szCs w:val="19"/>
          <w:lang w:val="es-ES"/>
        </w:rPr>
        <w:t xml:space="preserve"> </w:t>
      </w:r>
      <w:r w:rsidRPr="00F62CB0">
        <w:rPr>
          <w:rFonts w:ascii="Arial" w:hAnsi="Arial" w:cs="Arial"/>
          <w:sz w:val="19"/>
          <w:szCs w:val="19"/>
          <w:lang w:val="es-ES"/>
        </w:rPr>
        <w:t>consultoría</w:t>
      </w:r>
      <w:r>
        <w:rPr>
          <w:rFonts w:ascii="Arial" w:hAnsi="Arial" w:cs="Arial"/>
          <w:sz w:val="19"/>
          <w:szCs w:val="19"/>
          <w:lang w:val="es-ES"/>
        </w:rPr>
        <w:t xml:space="preserve"> </w:t>
      </w:r>
      <w:r w:rsidRPr="00F62CB0">
        <w:rPr>
          <w:rFonts w:ascii="Arial" w:hAnsi="Arial" w:cs="Arial"/>
          <w:sz w:val="19"/>
          <w:szCs w:val="19"/>
          <w:lang w:val="es-ES"/>
        </w:rPr>
        <w:t>de</w:t>
      </w:r>
      <w:r>
        <w:rPr>
          <w:rFonts w:ascii="Arial" w:hAnsi="Arial" w:cs="Arial"/>
          <w:sz w:val="19"/>
          <w:szCs w:val="19"/>
          <w:lang w:val="es-ES"/>
        </w:rPr>
        <w:t xml:space="preserve"> </w:t>
      </w:r>
      <w:r w:rsidRPr="00F62CB0">
        <w:rPr>
          <w:rFonts w:ascii="Arial" w:hAnsi="Arial" w:cs="Arial"/>
          <w:sz w:val="19"/>
          <w:szCs w:val="19"/>
          <w:lang w:val="es-ES"/>
        </w:rPr>
        <w:t>estudios</w:t>
      </w:r>
      <w:r>
        <w:rPr>
          <w:rFonts w:ascii="Arial" w:hAnsi="Arial" w:cs="Arial"/>
          <w:sz w:val="19"/>
          <w:szCs w:val="19"/>
          <w:lang w:val="es-ES"/>
        </w:rPr>
        <w:t xml:space="preserve"> </w:t>
      </w:r>
      <w:r w:rsidRPr="00F62CB0">
        <w:rPr>
          <w:rFonts w:ascii="Arial" w:hAnsi="Arial" w:cs="Arial"/>
          <w:sz w:val="19"/>
          <w:szCs w:val="19"/>
          <w:lang w:val="es-ES"/>
        </w:rPr>
        <w:t>de</w:t>
      </w:r>
      <w:r>
        <w:rPr>
          <w:rFonts w:ascii="Arial" w:hAnsi="Arial" w:cs="Arial"/>
          <w:sz w:val="19"/>
          <w:szCs w:val="19"/>
          <w:lang w:val="es-ES"/>
        </w:rPr>
        <w:t xml:space="preserve"> </w:t>
      </w:r>
      <w:r w:rsidRPr="00F62CB0">
        <w:rPr>
          <w:rFonts w:ascii="Arial" w:hAnsi="Arial" w:cs="Arial"/>
          <w:sz w:val="19"/>
          <w:szCs w:val="19"/>
          <w:lang w:val="es-ES"/>
        </w:rPr>
        <w:t>ingeniería de infraestructura de transporte</w:t>
      </w:r>
      <w:r>
        <w:rPr>
          <w:rFonts w:ascii="Arial" w:hAnsi="Arial" w:cs="Arial"/>
          <w:sz w:val="19"/>
          <w:szCs w:val="19"/>
          <w:lang w:val="es-ES"/>
        </w:rPr>
        <w:t>»</w:t>
      </w:r>
      <w:r w:rsidRPr="00F62CB0">
        <w:rPr>
          <w:rFonts w:ascii="Arial" w:hAnsi="Arial" w:cs="Arial"/>
          <w:sz w:val="19"/>
          <w:szCs w:val="19"/>
          <w:lang w:val="es-ES"/>
        </w:rPr>
        <w:t>.</w:t>
      </w:r>
      <w:r>
        <w:rPr>
          <w:rFonts w:ascii="Arial" w:hAnsi="Arial" w:cs="Arial"/>
          <w:sz w:val="19"/>
          <w:szCs w:val="19"/>
          <w:lang w:val="es-ES"/>
        </w:rPr>
        <w:t xml:space="preserve"> (Cursiva fuera del original).</w:t>
      </w:r>
    </w:p>
    <w:p w14:paraId="24B7DE70" w14:textId="77777777" w:rsidR="000D4567" w:rsidRDefault="000D4567" w:rsidP="00F62CB0">
      <w:pPr>
        <w:pStyle w:val="Textonotapie"/>
        <w:ind w:firstLine="708"/>
      </w:pPr>
    </w:p>
  </w:footnote>
  <w:footnote w:id="7">
    <w:p w14:paraId="38B8FB35" w14:textId="0B14C21C" w:rsidR="007D20BB" w:rsidRPr="005B6C2E" w:rsidRDefault="007D20BB" w:rsidP="005B6C2E">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 xml:space="preserve">La memoria justificativa puede consultarse aquí: </w:t>
      </w:r>
      <w:r w:rsidR="00490D21" w:rsidRPr="005B6C2E">
        <w:rPr>
          <w:rFonts w:ascii="Arial" w:hAnsi="Arial" w:cs="Arial"/>
          <w:sz w:val="19"/>
          <w:szCs w:val="19"/>
          <w:lang w:val="es-ES"/>
        </w:rPr>
        <w:t>https://www.colombiacompra.gov.co/sites/cce_public/files/files_2020/memoria_justificativa_resolucion_193_de_2021_concurso_de_meritos.pdf</w:t>
      </w:r>
    </w:p>
  </w:footnote>
  <w:footnote w:id="8">
    <w:p w14:paraId="437693FE" w14:textId="77777777" w:rsidR="00792E15" w:rsidRPr="005B6C2E" w:rsidRDefault="00792E15" w:rsidP="005B6C2E">
      <w:pPr>
        <w:pStyle w:val="Textonotapie"/>
        <w:ind w:firstLine="709"/>
        <w:jc w:val="both"/>
        <w:rPr>
          <w:rFonts w:ascii="Arial" w:hAnsi="Arial" w:cs="Arial"/>
          <w:sz w:val="19"/>
          <w:szCs w:val="19"/>
        </w:rPr>
      </w:pPr>
    </w:p>
    <w:p w14:paraId="15162006" w14:textId="58C61DEB" w:rsidR="00F9375C" w:rsidRPr="005B6C2E" w:rsidRDefault="00F9375C" w:rsidP="005B6C2E">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Ibíd.</w:t>
      </w:r>
    </w:p>
  </w:footnote>
  <w:footnote w:id="9">
    <w:p w14:paraId="3CBEBFB3" w14:textId="37184606" w:rsidR="00792E15" w:rsidRPr="005B6C2E" w:rsidRDefault="00957CC5" w:rsidP="005B6C2E">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En efecto, mientras que la modalidad de mínima cuantía exige que la entidad estatal</w:t>
      </w:r>
      <w:r w:rsidR="00BB68DA" w:rsidRPr="005B6C2E">
        <w:rPr>
          <w:rFonts w:ascii="Arial" w:hAnsi="Arial" w:cs="Arial"/>
          <w:sz w:val="19"/>
          <w:szCs w:val="19"/>
          <w:lang w:val="es-ES"/>
        </w:rPr>
        <w:t xml:space="preserve"> publique una invitación por un término no inferior a un día hábil –según lo establece el artículo 2, numeral 5 de la Ley 1150 de 2007, modificado por el artículo </w:t>
      </w:r>
      <w:r w:rsidR="00792E15" w:rsidRPr="005B6C2E">
        <w:rPr>
          <w:rFonts w:ascii="Arial" w:hAnsi="Arial" w:cs="Arial"/>
          <w:sz w:val="19"/>
          <w:szCs w:val="19"/>
          <w:lang w:val="es-ES"/>
        </w:rPr>
        <w:t>30 de la Ley 2069 de 2020–, el procedimiento del concurso de méritos, de conformidad con el artículo 2.2.1.2.1.3.2. del Decreto 1082 de 2015, debe desarrollarse así: «Además de las reglas generales previstas en la ley y en el presente título, las siguientes reglas son aplicables al concurso de méritos abierto o con precalificación:</w:t>
      </w:r>
    </w:p>
    <w:p w14:paraId="3A7C3E52" w14:textId="74B986DB" w:rsidR="00792E15" w:rsidRPr="005B6C2E" w:rsidRDefault="00792E15" w:rsidP="005B6C2E">
      <w:pPr>
        <w:pStyle w:val="Textonotapie"/>
        <w:ind w:firstLine="709"/>
        <w:jc w:val="both"/>
        <w:rPr>
          <w:rFonts w:ascii="Arial" w:hAnsi="Arial" w:cs="Arial"/>
          <w:sz w:val="19"/>
          <w:szCs w:val="19"/>
          <w:lang w:val="es-ES"/>
        </w:rPr>
      </w:pPr>
      <w:r w:rsidRPr="005B6C2E">
        <w:rPr>
          <w:rFonts w:ascii="Arial" w:hAnsi="Arial" w:cs="Arial"/>
          <w:sz w:val="19"/>
          <w:szCs w:val="19"/>
          <w:lang w:val="es-ES"/>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3F14926A" w14:textId="56C77630" w:rsidR="00957CC5" w:rsidRPr="005B6C2E" w:rsidRDefault="00792E15" w:rsidP="005B6C2E">
      <w:pPr>
        <w:pStyle w:val="Textonotapie"/>
        <w:ind w:firstLine="709"/>
        <w:jc w:val="both"/>
        <w:rPr>
          <w:rFonts w:ascii="Arial" w:hAnsi="Arial" w:cs="Arial"/>
          <w:sz w:val="19"/>
          <w:szCs w:val="19"/>
          <w:lang w:val="es-ES"/>
        </w:rPr>
      </w:pPr>
      <w:r w:rsidRPr="005B6C2E">
        <w:rPr>
          <w:rFonts w:ascii="Arial" w:hAnsi="Arial" w:cs="Arial"/>
          <w:sz w:val="19"/>
          <w:szCs w:val="19"/>
          <w:lang w:val="es-ES"/>
        </w:rPr>
        <w:t>»2. La Entidad Estatal debe publicar durante tres (3) días hábiles el informe de evaluación, el cual debe contener la calificación técnica y el orden de elegibilidad».</w:t>
      </w:r>
    </w:p>
    <w:p w14:paraId="3D0DF8A3" w14:textId="77777777" w:rsidR="00DA293A" w:rsidRPr="005B6C2E" w:rsidRDefault="00DA293A" w:rsidP="005B6C2E">
      <w:pPr>
        <w:pStyle w:val="Textonotapie"/>
        <w:ind w:firstLine="709"/>
        <w:jc w:val="both"/>
        <w:rPr>
          <w:rFonts w:ascii="Arial" w:hAnsi="Arial" w:cs="Arial"/>
          <w:sz w:val="19"/>
          <w:szCs w:val="19"/>
          <w:lang w:val="es-CO"/>
        </w:rPr>
      </w:pPr>
    </w:p>
  </w:footnote>
  <w:footnote w:id="10">
    <w:p w14:paraId="14E54D80" w14:textId="5EB2601E" w:rsidR="00471C34" w:rsidRPr="000A1F87" w:rsidRDefault="00471C34" w:rsidP="00471C34">
      <w:pPr>
        <w:pStyle w:val="Textonotapie"/>
        <w:ind w:firstLine="708"/>
        <w:jc w:val="both"/>
      </w:pPr>
      <w:r w:rsidRPr="00652A65">
        <w:rPr>
          <w:rStyle w:val="Refdenotaalpie"/>
        </w:rPr>
        <w:footnoteRef/>
      </w:r>
      <w:r w:rsidRPr="00652A65">
        <w:rPr>
          <w:rFonts w:ascii="Arial" w:hAnsi="Arial" w:cs="Arial"/>
        </w:rPr>
        <w:t xml:space="preserve"> BELTRAN, Pardo. J</w:t>
      </w:r>
      <w:r>
        <w:rPr>
          <w:rFonts w:ascii="Arial" w:hAnsi="Arial" w:cs="Arial"/>
        </w:rPr>
        <w:t>orge Hernando</w:t>
      </w:r>
      <w:r w:rsidRPr="00652A65">
        <w:rPr>
          <w:rFonts w:ascii="Arial" w:hAnsi="Arial" w:cs="Arial"/>
        </w:rPr>
        <w:t xml:space="preserve">. </w:t>
      </w:r>
      <w:r w:rsidRPr="000A1F87">
        <w:rPr>
          <w:rFonts w:ascii="Arial" w:hAnsi="Arial" w:cs="Arial"/>
        </w:rPr>
        <w:t>Infraestructura y derecho: Consultoría e interventoría. Perspectivas, roles y responsabilidades</w:t>
      </w:r>
      <w:r w:rsidRPr="00652A65">
        <w:rPr>
          <w:rFonts w:ascii="Arial" w:hAnsi="Arial" w:cs="Arial"/>
          <w:i/>
          <w:iCs/>
        </w:rPr>
        <w:t>.</w:t>
      </w:r>
      <w:r>
        <w:rPr>
          <w:rFonts w:ascii="Arial" w:hAnsi="Arial" w:cs="Arial"/>
        </w:rPr>
        <w:t xml:space="preserve"> Editorial Legis. Bogotá,</w:t>
      </w:r>
      <w:r w:rsidR="000D4567">
        <w:rPr>
          <w:rFonts w:ascii="Arial" w:hAnsi="Arial" w:cs="Arial"/>
        </w:rPr>
        <w:t xml:space="preserve"> </w:t>
      </w:r>
      <w:r>
        <w:rPr>
          <w:rFonts w:ascii="Arial" w:hAnsi="Arial" w:cs="Arial"/>
        </w:rPr>
        <w:t>2019, 1ra Ed. p. 55.</w:t>
      </w:r>
    </w:p>
    <w:p w14:paraId="3BDAD2E2" w14:textId="77777777" w:rsidR="00471C34" w:rsidRPr="00176C46" w:rsidRDefault="00471C34" w:rsidP="00471C34">
      <w:pPr>
        <w:pStyle w:val="Textonotapie"/>
      </w:pPr>
    </w:p>
  </w:footnote>
  <w:footnote w:id="11">
    <w:p w14:paraId="25A962CC" w14:textId="77777777" w:rsidR="0098458C" w:rsidRPr="00002C21" w:rsidRDefault="0098458C" w:rsidP="0098458C">
      <w:pPr>
        <w:pStyle w:val="Textonotapie"/>
        <w:ind w:firstLine="709"/>
        <w:jc w:val="both"/>
        <w:rPr>
          <w:rFonts w:ascii="Arial" w:hAnsi="Arial" w:cs="Arial"/>
          <w:sz w:val="19"/>
          <w:szCs w:val="19"/>
          <w:lang w:val="es-ES"/>
        </w:rPr>
      </w:pPr>
      <w:r>
        <w:rPr>
          <w:rStyle w:val="Refdenotaalpie"/>
        </w:rPr>
        <w:footnoteRef/>
      </w:r>
      <w:r>
        <w:t xml:space="preserve"> </w:t>
      </w:r>
      <w:bookmarkStart w:id="6" w:name="32"/>
      <w:r w:rsidRPr="005B6C2E">
        <w:rPr>
          <w:rFonts w:ascii="Arial" w:hAnsi="Arial" w:cs="Arial"/>
          <w:sz w:val="19"/>
          <w:szCs w:val="19"/>
          <w:lang w:val="es-ES"/>
        </w:rPr>
        <w:t>«</w:t>
      </w:r>
      <w:r w:rsidRPr="00002C21">
        <w:rPr>
          <w:rFonts w:ascii="Arial" w:hAnsi="Arial" w:cs="Arial"/>
          <w:sz w:val="19"/>
          <w:szCs w:val="19"/>
          <w:lang w:val="es-ES"/>
        </w:rPr>
        <w:t>ARTÍCULO 32. DE LOS CONTRATOS ESTATALES.</w:t>
      </w:r>
      <w:bookmarkEnd w:id="6"/>
      <w:r w:rsidRPr="00002C21">
        <w:rPr>
          <w:rFonts w:ascii="Arial" w:hAnsi="Arial" w:cs="Arial"/>
          <w:sz w:val="19"/>
          <w:szCs w:val="19"/>
          <w:lang w:val="es-ES"/>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E3FEECB" w14:textId="77777777" w:rsidR="0098458C" w:rsidRPr="00002C21" w:rsidRDefault="0098458C" w:rsidP="0098458C">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sidRPr="00002C21">
        <w:rPr>
          <w:rFonts w:ascii="Arial" w:hAnsi="Arial" w:cs="Arial"/>
          <w:sz w:val="19"/>
          <w:szCs w:val="19"/>
          <w:lang w:val="es-ES"/>
        </w:rPr>
        <w:t xml:space="preserve"> […]</w:t>
      </w:r>
    </w:p>
    <w:p w14:paraId="25B8D4EA" w14:textId="77777777" w:rsidR="0098458C" w:rsidRPr="00002C21" w:rsidRDefault="0098458C" w:rsidP="0098458C">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sidRPr="00002C21">
        <w:rPr>
          <w:rFonts w:ascii="Arial" w:hAnsi="Arial" w:cs="Arial"/>
          <w:sz w:val="19"/>
          <w:szCs w:val="19"/>
          <w:lang w:val="es-ES"/>
        </w:rPr>
        <w:t>2o. Contrato de Consultoría.</w:t>
      </w:r>
    </w:p>
    <w:p w14:paraId="3ECCCF87" w14:textId="77777777" w:rsidR="0098458C" w:rsidRPr="00002C21" w:rsidRDefault="0098458C" w:rsidP="0098458C">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sidRPr="00002C21">
        <w:rPr>
          <w:rFonts w:ascii="Arial" w:hAnsi="Arial" w:cs="Arial"/>
          <w:sz w:val="19"/>
          <w:szCs w:val="19"/>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2424290" w14:textId="77777777" w:rsidR="0098458C" w:rsidRPr="00002C21" w:rsidRDefault="0098458C" w:rsidP="0098458C">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Pr>
          <w:rFonts w:ascii="Arial" w:hAnsi="Arial" w:cs="Arial"/>
          <w:sz w:val="19"/>
          <w:szCs w:val="19"/>
          <w:lang w:val="es-ES"/>
        </w:rPr>
        <w:t xml:space="preserve"> </w:t>
      </w:r>
      <w:r w:rsidRPr="00002C21">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530063F4" w14:textId="77777777" w:rsidR="0098458C" w:rsidRDefault="0098458C" w:rsidP="0098458C">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Pr>
          <w:rFonts w:ascii="Arial" w:hAnsi="Arial" w:cs="Arial"/>
          <w:sz w:val="19"/>
          <w:szCs w:val="19"/>
          <w:lang w:val="es-ES"/>
        </w:rPr>
        <w:t xml:space="preserve"> </w:t>
      </w:r>
      <w:r w:rsidRPr="00002C21">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r>
        <w:rPr>
          <w:rFonts w:ascii="Arial" w:hAnsi="Arial" w:cs="Arial"/>
          <w:sz w:val="19"/>
          <w:szCs w:val="19"/>
          <w:lang w:val="es-ES"/>
        </w:rPr>
        <w:t>.</w:t>
      </w:r>
    </w:p>
    <w:p w14:paraId="51077915" w14:textId="6D5B9049" w:rsidR="0098458C" w:rsidRDefault="0098458C" w:rsidP="0098458C">
      <w:pPr>
        <w:pStyle w:val="Textonotapie"/>
        <w:ind w:firstLine="709"/>
        <w:jc w:val="both"/>
        <w:rPr>
          <w:rFonts w:ascii="Arial" w:hAnsi="Arial" w:cs="Arial"/>
          <w:sz w:val="19"/>
          <w:szCs w:val="19"/>
          <w:lang w:val="es-ES"/>
        </w:rPr>
      </w:pPr>
      <w:r>
        <w:rPr>
          <w:rFonts w:ascii="Arial" w:hAnsi="Arial" w:cs="Arial"/>
          <w:sz w:val="19"/>
          <w:szCs w:val="19"/>
          <w:lang w:val="es-ES"/>
        </w:rPr>
        <w:t>[…]</w:t>
      </w:r>
      <w:r w:rsidRPr="005B6C2E">
        <w:rPr>
          <w:rFonts w:ascii="Arial" w:hAnsi="Arial" w:cs="Arial"/>
          <w:sz w:val="19"/>
          <w:szCs w:val="19"/>
          <w:lang w:val="es-ES"/>
        </w:rPr>
        <w:t>»</w:t>
      </w:r>
      <w:r>
        <w:rPr>
          <w:rFonts w:ascii="Arial" w:hAnsi="Arial" w:cs="Arial"/>
          <w:sz w:val="19"/>
          <w:szCs w:val="19"/>
          <w:lang w:val="es-ES"/>
        </w:rPr>
        <w:t xml:space="preserve">. </w:t>
      </w:r>
    </w:p>
    <w:p w14:paraId="6CBB29F1" w14:textId="77777777" w:rsidR="0098458C" w:rsidRPr="00002C21" w:rsidRDefault="0098458C" w:rsidP="0098458C">
      <w:pPr>
        <w:pStyle w:val="Textonotapie"/>
        <w:ind w:firstLine="709"/>
        <w:jc w:val="both"/>
        <w:rPr>
          <w:rFonts w:ascii="Arial" w:hAnsi="Arial" w:cs="Arial"/>
          <w:sz w:val="19"/>
          <w:szCs w:val="19"/>
          <w:lang w:val="es-ES"/>
        </w:rPr>
      </w:pPr>
    </w:p>
  </w:footnote>
  <w:footnote w:id="12">
    <w:p w14:paraId="4CA61512"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Style w:val="Refdenotaalpie"/>
          <w:rFonts w:ascii="Arial" w:hAnsi="Arial" w:cs="Arial"/>
          <w:color w:val="000000" w:themeColor="text1"/>
          <w:sz w:val="19"/>
          <w:szCs w:val="19"/>
        </w:rPr>
        <w:footnoteRef/>
      </w:r>
      <w:r w:rsidRPr="00C03719">
        <w:rPr>
          <w:rFonts w:ascii="Arial" w:hAnsi="Arial" w:cs="Arial"/>
          <w:color w:val="000000" w:themeColor="text1"/>
          <w:sz w:val="19"/>
          <w:szCs w:val="19"/>
        </w:rPr>
        <w:t xml:space="preserve"> DÁVILA VINUEZA, Luis Guillermo. Régimen jurídico de la contratación estatal. 3ª ed. Bogotá: Legis, 2016. p. 463.</w:t>
      </w:r>
    </w:p>
    <w:p w14:paraId="1A8341B0" w14:textId="77777777" w:rsidR="00F85B6F" w:rsidRPr="00C03719" w:rsidRDefault="00F85B6F" w:rsidP="00F85B6F">
      <w:pPr>
        <w:pStyle w:val="Textonotapie"/>
        <w:ind w:firstLine="709"/>
        <w:jc w:val="both"/>
        <w:rPr>
          <w:rFonts w:ascii="Arial" w:hAnsi="Arial" w:cs="Arial"/>
          <w:color w:val="000000" w:themeColor="text1"/>
          <w:sz w:val="19"/>
          <w:szCs w:val="19"/>
        </w:rPr>
      </w:pPr>
    </w:p>
  </w:footnote>
  <w:footnote w:id="13">
    <w:p w14:paraId="387BB0DD"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Style w:val="Refdenotaalpie"/>
          <w:rFonts w:ascii="Arial" w:hAnsi="Arial" w:cs="Arial"/>
          <w:color w:val="000000" w:themeColor="text1"/>
          <w:sz w:val="19"/>
          <w:szCs w:val="19"/>
        </w:rPr>
        <w:footnoteRef/>
      </w:r>
      <w:r w:rsidRPr="00C03719">
        <w:rPr>
          <w:rFonts w:ascii="Arial" w:hAnsi="Arial" w:cs="Arial"/>
          <w:color w:val="000000" w:themeColor="text1"/>
          <w:sz w:val="19"/>
          <w:szCs w:val="19"/>
        </w:rPr>
        <w:t xml:space="preserve"> La contratación de </w:t>
      </w:r>
      <w:r w:rsidRPr="00F62CB0">
        <w:rPr>
          <w:rFonts w:ascii="Arial" w:hAnsi="Arial" w:cs="Arial"/>
          <w:i/>
          <w:iCs/>
          <w:color w:val="000000" w:themeColor="text1"/>
          <w:sz w:val="19"/>
          <w:szCs w:val="19"/>
        </w:rPr>
        <w:t>mínima cuantía</w:t>
      </w:r>
      <w:r w:rsidRPr="00C03719">
        <w:rPr>
          <w:rFonts w:ascii="Arial" w:hAnsi="Arial" w:cs="Arial"/>
          <w:color w:val="000000" w:themeColor="text1"/>
          <w:sz w:val="19"/>
          <w:szCs w:val="19"/>
        </w:rPr>
        <w:t xml:space="preserve"> es aquella que no excede el 10% de la </w:t>
      </w:r>
      <w:r w:rsidRPr="00F62CB0">
        <w:rPr>
          <w:rFonts w:ascii="Arial" w:hAnsi="Arial" w:cs="Arial"/>
          <w:i/>
          <w:iCs/>
          <w:color w:val="000000" w:themeColor="text1"/>
          <w:sz w:val="19"/>
          <w:szCs w:val="19"/>
        </w:rPr>
        <w:t>menor cuantía</w:t>
      </w:r>
      <w:r w:rsidRPr="00C03719">
        <w:rPr>
          <w:rFonts w:ascii="Arial" w:hAnsi="Arial" w:cs="Arial"/>
          <w:color w:val="000000" w:themeColor="text1"/>
          <w:sz w:val="19"/>
          <w:szCs w:val="19"/>
        </w:rPr>
        <w:t>,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7C3CE366"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»Para las entidades que tengan un presupuesto anual superior o igual a 1.200.000 salarios mínimos legales mensuales, la menor cuantía será hasta 1.000 salarios mínimos legales mensuales.</w:t>
      </w:r>
    </w:p>
    <w:p w14:paraId="46ECCD72"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»Las que tengan un presupuesto anual superior o igual a 850.000 salarios mínimos legales mensuales e inferiores a 1.200.000 salarios mínimos legales mensuales, la menor cuantía será hasta 850 salarios mínimos legales mensuales.</w:t>
      </w:r>
    </w:p>
    <w:p w14:paraId="05925EF7"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»Las que tengan un presupuesto anual superior o igual a 400.000 salarios mínimos legales mensuales e inferior a 850.000 salarios mínimos legales mensuales, la menor cuantía será hasta 650 salarios mínimos legales mensuales.</w:t>
      </w:r>
    </w:p>
    <w:p w14:paraId="5B51E752"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»Las que tengan un presupuesto anual superior o igual a 120.000 salarios mínimos legales mensuales e inferior a 400.000 salarios mínimos legales mensuales, la menor cuantía será hasta 450 salarios mínimos legales mensuales.</w:t>
      </w:r>
    </w:p>
    <w:p w14:paraId="70241A77"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»Las que tengan un presupuesto anual inferior a 120.000 salarios mínimos legales mensuales, la menor cuantía será hasta 280 salarios mínimos legales mensuales».</w:t>
      </w:r>
    </w:p>
    <w:p w14:paraId="341833BA" w14:textId="77777777" w:rsidR="00F85B6F" w:rsidRPr="00C03719" w:rsidRDefault="00F85B6F" w:rsidP="00F85B6F">
      <w:pPr>
        <w:pStyle w:val="Textonotapie"/>
        <w:ind w:firstLine="709"/>
        <w:jc w:val="both"/>
        <w:rPr>
          <w:rFonts w:ascii="Arial" w:hAnsi="Arial" w:cs="Arial"/>
          <w:color w:val="000000" w:themeColor="text1"/>
          <w:sz w:val="19"/>
          <w:szCs w:val="19"/>
        </w:rPr>
      </w:pPr>
    </w:p>
  </w:footnote>
  <w:footnote w:id="14">
    <w:p w14:paraId="58179118" w14:textId="4905CCA1" w:rsidR="00093D14" w:rsidRPr="005B6C2E" w:rsidRDefault="00093D14" w:rsidP="005B6C2E">
      <w:pPr>
        <w:pStyle w:val="Textonotapie"/>
        <w:ind w:firstLine="709"/>
        <w:jc w:val="both"/>
        <w:rPr>
          <w:rFonts w:ascii="Arial" w:hAnsi="Arial" w:cs="Arial"/>
          <w:sz w:val="19"/>
          <w:szCs w:val="19"/>
        </w:rPr>
      </w:pPr>
      <w:r w:rsidRPr="005B6C2E">
        <w:rPr>
          <w:rStyle w:val="Refdenotaalpie"/>
          <w:rFonts w:ascii="Arial" w:hAnsi="Arial" w:cs="Arial"/>
          <w:sz w:val="19"/>
          <w:szCs w:val="19"/>
        </w:rPr>
        <w:footnoteRef/>
      </w:r>
      <w:r w:rsidR="00EA56A9" w:rsidRPr="005B6C2E">
        <w:rPr>
          <w:rFonts w:ascii="Arial" w:hAnsi="Arial" w:cs="Arial"/>
          <w:sz w:val="19"/>
          <w:szCs w:val="19"/>
        </w:rPr>
        <w:t>https://www.colombiacompra.gov.co/sites/cce_public/files/cce_documents/manual_de_la_modalidad_de_seleccion_de_minima_cuantia.pdf</w:t>
      </w:r>
    </w:p>
  </w:footnote>
  <w:footnote w:id="15">
    <w:p w14:paraId="1A041C97" w14:textId="2454AC68" w:rsidR="00F12256" w:rsidRPr="005B6C2E" w:rsidRDefault="00F12256" w:rsidP="005B6C2E">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Este numeral dispone: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FDCC816" w14:textId="7940A99E" w:rsidR="00F12256" w:rsidRPr="005B6C2E" w:rsidRDefault="00F12256" w:rsidP="005B6C2E">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sidR="00FF7919">
        <w:rPr>
          <w:rFonts w:ascii="Arial" w:hAnsi="Arial" w:cs="Arial"/>
          <w:sz w:val="19"/>
          <w:szCs w:val="19"/>
          <w:lang w:val="es-ES"/>
        </w:rPr>
        <w:t xml:space="preserve"> </w:t>
      </w:r>
      <w:r w:rsidRPr="005B6C2E">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0533C8CE" w14:textId="0FC5186B" w:rsidR="00F12256" w:rsidRPr="005B6C2E" w:rsidRDefault="00F12256" w:rsidP="005B6C2E">
      <w:pPr>
        <w:pStyle w:val="Textonotapie"/>
        <w:ind w:firstLine="709"/>
        <w:jc w:val="both"/>
        <w:rPr>
          <w:rFonts w:ascii="Arial" w:hAnsi="Arial" w:cs="Arial"/>
          <w:sz w:val="19"/>
          <w:szCs w:val="19"/>
          <w:lang w:val="es-CO"/>
        </w:rPr>
      </w:pPr>
      <w:r w:rsidRPr="005B6C2E">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6">
    <w:p w14:paraId="075E60AF" w14:textId="77777777" w:rsidR="00E15AB1" w:rsidRPr="005B6C2E" w:rsidRDefault="00E15AB1" w:rsidP="005B6C2E">
      <w:pPr>
        <w:pStyle w:val="Textonotapie"/>
        <w:ind w:firstLine="709"/>
        <w:jc w:val="both"/>
        <w:rPr>
          <w:rFonts w:ascii="Arial" w:hAnsi="Arial" w:cs="Arial"/>
          <w:color w:val="000000" w:themeColor="text1"/>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color w:val="000000" w:themeColor="text1"/>
          <w:sz w:val="19"/>
          <w:szCs w:val="19"/>
          <w:lang w:val="es-ES"/>
        </w:rPr>
        <w:t>Consejo de Estado. Sección Tercera. Subsección A. Auto del 29 de marzo de 2017. Exp. 56307. Consejero: Carlos Alberto Zambrano Barrera.</w:t>
      </w:r>
    </w:p>
    <w:p w14:paraId="4AAFC87B" w14:textId="77777777" w:rsidR="00E15AB1" w:rsidRPr="005B6C2E" w:rsidRDefault="00E15AB1" w:rsidP="005B6C2E">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C21"/>
    <w:rsid w:val="000031A8"/>
    <w:rsid w:val="00003C5C"/>
    <w:rsid w:val="000040D7"/>
    <w:rsid w:val="00004556"/>
    <w:rsid w:val="000051AF"/>
    <w:rsid w:val="000059D3"/>
    <w:rsid w:val="00005B6D"/>
    <w:rsid w:val="0000600A"/>
    <w:rsid w:val="00006081"/>
    <w:rsid w:val="00007564"/>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6D7A"/>
    <w:rsid w:val="00027787"/>
    <w:rsid w:val="000278D2"/>
    <w:rsid w:val="0003095C"/>
    <w:rsid w:val="00030BD4"/>
    <w:rsid w:val="00031158"/>
    <w:rsid w:val="00031364"/>
    <w:rsid w:val="000314BD"/>
    <w:rsid w:val="000315E1"/>
    <w:rsid w:val="00031D2F"/>
    <w:rsid w:val="00031FF6"/>
    <w:rsid w:val="0003236E"/>
    <w:rsid w:val="0003339A"/>
    <w:rsid w:val="0003370C"/>
    <w:rsid w:val="000341F2"/>
    <w:rsid w:val="000343F8"/>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4E5B"/>
    <w:rsid w:val="00045A00"/>
    <w:rsid w:val="0004610D"/>
    <w:rsid w:val="000463B5"/>
    <w:rsid w:val="00046717"/>
    <w:rsid w:val="00046A63"/>
    <w:rsid w:val="00046C09"/>
    <w:rsid w:val="0004716A"/>
    <w:rsid w:val="00047385"/>
    <w:rsid w:val="000473E8"/>
    <w:rsid w:val="00047F84"/>
    <w:rsid w:val="000504DE"/>
    <w:rsid w:val="00051074"/>
    <w:rsid w:val="000526F0"/>
    <w:rsid w:val="0005273D"/>
    <w:rsid w:val="00052B79"/>
    <w:rsid w:val="00052EA0"/>
    <w:rsid w:val="000536A7"/>
    <w:rsid w:val="000536E3"/>
    <w:rsid w:val="00053896"/>
    <w:rsid w:val="0005463D"/>
    <w:rsid w:val="0005474D"/>
    <w:rsid w:val="00055CB9"/>
    <w:rsid w:val="00056CD0"/>
    <w:rsid w:val="00056F66"/>
    <w:rsid w:val="0005702F"/>
    <w:rsid w:val="0006089F"/>
    <w:rsid w:val="00061010"/>
    <w:rsid w:val="00061D06"/>
    <w:rsid w:val="00061E38"/>
    <w:rsid w:val="00062CDD"/>
    <w:rsid w:val="000635D9"/>
    <w:rsid w:val="000640AF"/>
    <w:rsid w:val="00064940"/>
    <w:rsid w:val="00064CAE"/>
    <w:rsid w:val="00064DB7"/>
    <w:rsid w:val="00064FA7"/>
    <w:rsid w:val="00065195"/>
    <w:rsid w:val="0006533E"/>
    <w:rsid w:val="0006536C"/>
    <w:rsid w:val="000703ED"/>
    <w:rsid w:val="00070AF1"/>
    <w:rsid w:val="000714DE"/>
    <w:rsid w:val="0007254F"/>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C5"/>
    <w:rsid w:val="00080ACD"/>
    <w:rsid w:val="000811ED"/>
    <w:rsid w:val="00081D62"/>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4D6"/>
    <w:rsid w:val="00091569"/>
    <w:rsid w:val="00091DEC"/>
    <w:rsid w:val="00092CDB"/>
    <w:rsid w:val="00092DCA"/>
    <w:rsid w:val="00093D14"/>
    <w:rsid w:val="000942EB"/>
    <w:rsid w:val="00095B70"/>
    <w:rsid w:val="0009617E"/>
    <w:rsid w:val="0009628D"/>
    <w:rsid w:val="0009670F"/>
    <w:rsid w:val="00097342"/>
    <w:rsid w:val="000979CF"/>
    <w:rsid w:val="00097D92"/>
    <w:rsid w:val="00097FCD"/>
    <w:rsid w:val="000A03C8"/>
    <w:rsid w:val="000A05F2"/>
    <w:rsid w:val="000A06C4"/>
    <w:rsid w:val="000A0861"/>
    <w:rsid w:val="000A0ED1"/>
    <w:rsid w:val="000A12DB"/>
    <w:rsid w:val="000A1576"/>
    <w:rsid w:val="000A17C8"/>
    <w:rsid w:val="000A1B74"/>
    <w:rsid w:val="000A1F87"/>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3279"/>
    <w:rsid w:val="000B419B"/>
    <w:rsid w:val="000B45FB"/>
    <w:rsid w:val="000B5781"/>
    <w:rsid w:val="000B5CB1"/>
    <w:rsid w:val="000B6C36"/>
    <w:rsid w:val="000B6D08"/>
    <w:rsid w:val="000C0185"/>
    <w:rsid w:val="000C0B6E"/>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567"/>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E20"/>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6F"/>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6DD1"/>
    <w:rsid w:val="001078CE"/>
    <w:rsid w:val="00107FBF"/>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060C"/>
    <w:rsid w:val="00121103"/>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1CA8"/>
    <w:rsid w:val="00132C30"/>
    <w:rsid w:val="00132EFD"/>
    <w:rsid w:val="00133AED"/>
    <w:rsid w:val="001342A8"/>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EFD"/>
    <w:rsid w:val="00142F55"/>
    <w:rsid w:val="00144335"/>
    <w:rsid w:val="001446FC"/>
    <w:rsid w:val="0014502F"/>
    <w:rsid w:val="00145282"/>
    <w:rsid w:val="001453B0"/>
    <w:rsid w:val="001454D9"/>
    <w:rsid w:val="00145D8E"/>
    <w:rsid w:val="00146083"/>
    <w:rsid w:val="0014627C"/>
    <w:rsid w:val="001462F7"/>
    <w:rsid w:val="00147BED"/>
    <w:rsid w:val="00147F35"/>
    <w:rsid w:val="00150005"/>
    <w:rsid w:val="00150795"/>
    <w:rsid w:val="001518D7"/>
    <w:rsid w:val="00151AEB"/>
    <w:rsid w:val="00151B99"/>
    <w:rsid w:val="00151C1E"/>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003"/>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76716"/>
    <w:rsid w:val="00176C46"/>
    <w:rsid w:val="001805C1"/>
    <w:rsid w:val="001807B6"/>
    <w:rsid w:val="00180A2E"/>
    <w:rsid w:val="001813AF"/>
    <w:rsid w:val="001829CD"/>
    <w:rsid w:val="00182F01"/>
    <w:rsid w:val="00183FCD"/>
    <w:rsid w:val="00184F27"/>
    <w:rsid w:val="0018519B"/>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32CA"/>
    <w:rsid w:val="001A4A9B"/>
    <w:rsid w:val="001A4DAF"/>
    <w:rsid w:val="001A54CD"/>
    <w:rsid w:val="001A66DF"/>
    <w:rsid w:val="001A67D0"/>
    <w:rsid w:val="001A6863"/>
    <w:rsid w:val="001A7591"/>
    <w:rsid w:val="001A75B1"/>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B6F69"/>
    <w:rsid w:val="001C07C6"/>
    <w:rsid w:val="001C19CD"/>
    <w:rsid w:val="001C22D5"/>
    <w:rsid w:val="001C2394"/>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2CB3"/>
    <w:rsid w:val="001D30F3"/>
    <w:rsid w:val="001D31A0"/>
    <w:rsid w:val="001D338E"/>
    <w:rsid w:val="001D4F13"/>
    <w:rsid w:val="001D56E9"/>
    <w:rsid w:val="001D5922"/>
    <w:rsid w:val="001D5EE1"/>
    <w:rsid w:val="001D796A"/>
    <w:rsid w:val="001D7A84"/>
    <w:rsid w:val="001D7C79"/>
    <w:rsid w:val="001E003B"/>
    <w:rsid w:val="001E12FF"/>
    <w:rsid w:val="001E1CC4"/>
    <w:rsid w:val="001E1D38"/>
    <w:rsid w:val="001E28A0"/>
    <w:rsid w:val="001E2ECF"/>
    <w:rsid w:val="001E3F3C"/>
    <w:rsid w:val="001E4258"/>
    <w:rsid w:val="001E44EA"/>
    <w:rsid w:val="001E5AEF"/>
    <w:rsid w:val="001E5D6A"/>
    <w:rsid w:val="001E6A94"/>
    <w:rsid w:val="001E70FB"/>
    <w:rsid w:val="001E780A"/>
    <w:rsid w:val="001F0AC8"/>
    <w:rsid w:val="001F0FA0"/>
    <w:rsid w:val="001F1349"/>
    <w:rsid w:val="001F1863"/>
    <w:rsid w:val="001F2356"/>
    <w:rsid w:val="001F25CA"/>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5A15"/>
    <w:rsid w:val="00226055"/>
    <w:rsid w:val="0022613F"/>
    <w:rsid w:val="00226236"/>
    <w:rsid w:val="002269B2"/>
    <w:rsid w:val="002270C9"/>
    <w:rsid w:val="00227A8B"/>
    <w:rsid w:val="00230552"/>
    <w:rsid w:val="0023146B"/>
    <w:rsid w:val="002315A0"/>
    <w:rsid w:val="0023161C"/>
    <w:rsid w:val="00231748"/>
    <w:rsid w:val="00231AE0"/>
    <w:rsid w:val="00231BEE"/>
    <w:rsid w:val="00231EC7"/>
    <w:rsid w:val="00232E15"/>
    <w:rsid w:val="00233079"/>
    <w:rsid w:val="0023382C"/>
    <w:rsid w:val="00233977"/>
    <w:rsid w:val="00233C58"/>
    <w:rsid w:val="00233C71"/>
    <w:rsid w:val="002345B6"/>
    <w:rsid w:val="002347A6"/>
    <w:rsid w:val="00234B84"/>
    <w:rsid w:val="00236016"/>
    <w:rsid w:val="00237065"/>
    <w:rsid w:val="00237377"/>
    <w:rsid w:val="00237589"/>
    <w:rsid w:val="0023758D"/>
    <w:rsid w:val="002375A7"/>
    <w:rsid w:val="002378C1"/>
    <w:rsid w:val="0023798D"/>
    <w:rsid w:val="0024019A"/>
    <w:rsid w:val="00241146"/>
    <w:rsid w:val="0024120F"/>
    <w:rsid w:val="0024131D"/>
    <w:rsid w:val="002415B8"/>
    <w:rsid w:val="00242D62"/>
    <w:rsid w:val="002430BF"/>
    <w:rsid w:val="002430D0"/>
    <w:rsid w:val="002431D7"/>
    <w:rsid w:val="00244058"/>
    <w:rsid w:val="002451C6"/>
    <w:rsid w:val="00245718"/>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DB6"/>
    <w:rsid w:val="00270802"/>
    <w:rsid w:val="00270D1D"/>
    <w:rsid w:val="002711A4"/>
    <w:rsid w:val="00271ECB"/>
    <w:rsid w:val="00271F13"/>
    <w:rsid w:val="0027278E"/>
    <w:rsid w:val="0027482E"/>
    <w:rsid w:val="00274DB5"/>
    <w:rsid w:val="00275423"/>
    <w:rsid w:val="0027580E"/>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E33"/>
    <w:rsid w:val="0028663B"/>
    <w:rsid w:val="00286CEC"/>
    <w:rsid w:val="002870F9"/>
    <w:rsid w:val="002871A9"/>
    <w:rsid w:val="00287505"/>
    <w:rsid w:val="00287D71"/>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45"/>
    <w:rsid w:val="002A4E9D"/>
    <w:rsid w:val="002A55FE"/>
    <w:rsid w:val="002A6574"/>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55C"/>
    <w:rsid w:val="002E0774"/>
    <w:rsid w:val="002E1050"/>
    <w:rsid w:val="002E107E"/>
    <w:rsid w:val="002E18E5"/>
    <w:rsid w:val="002E1953"/>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B66"/>
    <w:rsid w:val="00300CB4"/>
    <w:rsid w:val="00300E24"/>
    <w:rsid w:val="003033BA"/>
    <w:rsid w:val="00303771"/>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63B"/>
    <w:rsid w:val="00335B15"/>
    <w:rsid w:val="00335B21"/>
    <w:rsid w:val="00335D3F"/>
    <w:rsid w:val="00336104"/>
    <w:rsid w:val="00336155"/>
    <w:rsid w:val="00336729"/>
    <w:rsid w:val="0033726D"/>
    <w:rsid w:val="00337903"/>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765"/>
    <w:rsid w:val="00353DD5"/>
    <w:rsid w:val="00355131"/>
    <w:rsid w:val="00355C52"/>
    <w:rsid w:val="00355F74"/>
    <w:rsid w:val="003560DB"/>
    <w:rsid w:val="003564D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A3"/>
    <w:rsid w:val="003706F2"/>
    <w:rsid w:val="0037124F"/>
    <w:rsid w:val="003722B3"/>
    <w:rsid w:val="003724CE"/>
    <w:rsid w:val="00373827"/>
    <w:rsid w:val="0037401C"/>
    <w:rsid w:val="00374D49"/>
    <w:rsid w:val="0037507B"/>
    <w:rsid w:val="00375179"/>
    <w:rsid w:val="00375627"/>
    <w:rsid w:val="00375C7C"/>
    <w:rsid w:val="00376D16"/>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491"/>
    <w:rsid w:val="003A3603"/>
    <w:rsid w:val="003A3851"/>
    <w:rsid w:val="003A39DD"/>
    <w:rsid w:val="003A4199"/>
    <w:rsid w:val="003A4A8E"/>
    <w:rsid w:val="003A563C"/>
    <w:rsid w:val="003A581E"/>
    <w:rsid w:val="003A6160"/>
    <w:rsid w:val="003A65A5"/>
    <w:rsid w:val="003A72F5"/>
    <w:rsid w:val="003A73EE"/>
    <w:rsid w:val="003A78E5"/>
    <w:rsid w:val="003B0341"/>
    <w:rsid w:val="003B0A10"/>
    <w:rsid w:val="003B1E57"/>
    <w:rsid w:val="003B29D4"/>
    <w:rsid w:val="003B2B6C"/>
    <w:rsid w:val="003B2EF3"/>
    <w:rsid w:val="003B4A4D"/>
    <w:rsid w:val="003B4DA9"/>
    <w:rsid w:val="003B534F"/>
    <w:rsid w:val="003B5391"/>
    <w:rsid w:val="003B58CE"/>
    <w:rsid w:val="003B65D7"/>
    <w:rsid w:val="003B65E0"/>
    <w:rsid w:val="003B6BD4"/>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CFB"/>
    <w:rsid w:val="003D0236"/>
    <w:rsid w:val="003D050B"/>
    <w:rsid w:val="003D0B98"/>
    <w:rsid w:val="003D0C38"/>
    <w:rsid w:val="003D0C3C"/>
    <w:rsid w:val="003D0DE5"/>
    <w:rsid w:val="003D1351"/>
    <w:rsid w:val="003D21C1"/>
    <w:rsid w:val="003D3B15"/>
    <w:rsid w:val="003D3B2E"/>
    <w:rsid w:val="003D4101"/>
    <w:rsid w:val="003D465C"/>
    <w:rsid w:val="003D484D"/>
    <w:rsid w:val="003D49CB"/>
    <w:rsid w:val="003D6B8F"/>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5A8"/>
    <w:rsid w:val="003E7890"/>
    <w:rsid w:val="003E78DA"/>
    <w:rsid w:val="003E7A8B"/>
    <w:rsid w:val="003F060E"/>
    <w:rsid w:val="003F0F7F"/>
    <w:rsid w:val="003F115C"/>
    <w:rsid w:val="003F155A"/>
    <w:rsid w:val="003F16E9"/>
    <w:rsid w:val="003F300D"/>
    <w:rsid w:val="003F391F"/>
    <w:rsid w:val="003F4599"/>
    <w:rsid w:val="003F45E1"/>
    <w:rsid w:val="003F4C03"/>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129"/>
    <w:rsid w:val="00407A7A"/>
    <w:rsid w:val="00407ABC"/>
    <w:rsid w:val="00407F1E"/>
    <w:rsid w:val="00410497"/>
    <w:rsid w:val="00410722"/>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33C"/>
    <w:rsid w:val="00416ADD"/>
    <w:rsid w:val="00416CB0"/>
    <w:rsid w:val="004170D7"/>
    <w:rsid w:val="004172D8"/>
    <w:rsid w:val="004177A6"/>
    <w:rsid w:val="00417C23"/>
    <w:rsid w:val="00417EFD"/>
    <w:rsid w:val="004200EE"/>
    <w:rsid w:val="004209D2"/>
    <w:rsid w:val="00420D6E"/>
    <w:rsid w:val="0042158C"/>
    <w:rsid w:val="00421BD2"/>
    <w:rsid w:val="00421E00"/>
    <w:rsid w:val="00421FCB"/>
    <w:rsid w:val="00422DCA"/>
    <w:rsid w:val="00423562"/>
    <w:rsid w:val="004236BF"/>
    <w:rsid w:val="00423F9F"/>
    <w:rsid w:val="00424AB2"/>
    <w:rsid w:val="00425C43"/>
    <w:rsid w:val="004273FA"/>
    <w:rsid w:val="004275A7"/>
    <w:rsid w:val="00430186"/>
    <w:rsid w:val="00430682"/>
    <w:rsid w:val="00431017"/>
    <w:rsid w:val="00431C0B"/>
    <w:rsid w:val="0043269A"/>
    <w:rsid w:val="004333C2"/>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A16"/>
    <w:rsid w:val="00460CCD"/>
    <w:rsid w:val="004614A9"/>
    <w:rsid w:val="00461E97"/>
    <w:rsid w:val="0046268F"/>
    <w:rsid w:val="0046284F"/>
    <w:rsid w:val="00462B10"/>
    <w:rsid w:val="00462C04"/>
    <w:rsid w:val="0046320A"/>
    <w:rsid w:val="004632E2"/>
    <w:rsid w:val="00463473"/>
    <w:rsid w:val="004638E2"/>
    <w:rsid w:val="00464030"/>
    <w:rsid w:val="0046477C"/>
    <w:rsid w:val="004647F8"/>
    <w:rsid w:val="004647FB"/>
    <w:rsid w:val="00465347"/>
    <w:rsid w:val="00465677"/>
    <w:rsid w:val="00466616"/>
    <w:rsid w:val="00466A0C"/>
    <w:rsid w:val="00466A53"/>
    <w:rsid w:val="004673A8"/>
    <w:rsid w:val="0046753A"/>
    <w:rsid w:val="00467D4E"/>
    <w:rsid w:val="00467EF2"/>
    <w:rsid w:val="004702FE"/>
    <w:rsid w:val="0047098A"/>
    <w:rsid w:val="00470A6A"/>
    <w:rsid w:val="00470D73"/>
    <w:rsid w:val="00470D92"/>
    <w:rsid w:val="00471C34"/>
    <w:rsid w:val="00471D8F"/>
    <w:rsid w:val="00471DF7"/>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123"/>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0D21"/>
    <w:rsid w:val="0049114B"/>
    <w:rsid w:val="004912A8"/>
    <w:rsid w:val="00491577"/>
    <w:rsid w:val="0049196A"/>
    <w:rsid w:val="0049196E"/>
    <w:rsid w:val="00491B54"/>
    <w:rsid w:val="0049241A"/>
    <w:rsid w:val="00492C1F"/>
    <w:rsid w:val="00492E4C"/>
    <w:rsid w:val="00493664"/>
    <w:rsid w:val="00493E04"/>
    <w:rsid w:val="004940E3"/>
    <w:rsid w:val="004951A1"/>
    <w:rsid w:val="0049530F"/>
    <w:rsid w:val="004957D0"/>
    <w:rsid w:val="00496664"/>
    <w:rsid w:val="00496786"/>
    <w:rsid w:val="0049695B"/>
    <w:rsid w:val="00496B9C"/>
    <w:rsid w:val="00496D8F"/>
    <w:rsid w:val="00497463"/>
    <w:rsid w:val="004978F6"/>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B27"/>
    <w:rsid w:val="004C3219"/>
    <w:rsid w:val="004C3929"/>
    <w:rsid w:val="004C3BDA"/>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335"/>
    <w:rsid w:val="004D1C27"/>
    <w:rsid w:val="004D1C7E"/>
    <w:rsid w:val="004D245A"/>
    <w:rsid w:val="004D31EE"/>
    <w:rsid w:val="004D36AF"/>
    <w:rsid w:val="004D3BD1"/>
    <w:rsid w:val="004D4720"/>
    <w:rsid w:val="004D4BA1"/>
    <w:rsid w:val="004D4EC1"/>
    <w:rsid w:val="004D584D"/>
    <w:rsid w:val="004D5A7E"/>
    <w:rsid w:val="004D5CD1"/>
    <w:rsid w:val="004D6120"/>
    <w:rsid w:val="004D6826"/>
    <w:rsid w:val="004D6D7F"/>
    <w:rsid w:val="004E023F"/>
    <w:rsid w:val="004E0546"/>
    <w:rsid w:val="004E0742"/>
    <w:rsid w:val="004E0C64"/>
    <w:rsid w:val="004E0F6B"/>
    <w:rsid w:val="004E10F5"/>
    <w:rsid w:val="004E1545"/>
    <w:rsid w:val="004E1F1C"/>
    <w:rsid w:val="004E2A35"/>
    <w:rsid w:val="004E40CE"/>
    <w:rsid w:val="004E5736"/>
    <w:rsid w:val="004E5A3C"/>
    <w:rsid w:val="004E5AA8"/>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3D6"/>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36C"/>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4F8C"/>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378C"/>
    <w:rsid w:val="00584233"/>
    <w:rsid w:val="005842D0"/>
    <w:rsid w:val="005845FB"/>
    <w:rsid w:val="005855AE"/>
    <w:rsid w:val="00585829"/>
    <w:rsid w:val="00585CA8"/>
    <w:rsid w:val="00586412"/>
    <w:rsid w:val="005864B9"/>
    <w:rsid w:val="005866C4"/>
    <w:rsid w:val="00587229"/>
    <w:rsid w:val="00590F1A"/>
    <w:rsid w:val="00591614"/>
    <w:rsid w:val="00591C03"/>
    <w:rsid w:val="00591D9E"/>
    <w:rsid w:val="00591E2A"/>
    <w:rsid w:val="005923C4"/>
    <w:rsid w:val="00592981"/>
    <w:rsid w:val="00593EA2"/>
    <w:rsid w:val="00593F75"/>
    <w:rsid w:val="005940A0"/>
    <w:rsid w:val="0059429A"/>
    <w:rsid w:val="00594462"/>
    <w:rsid w:val="00594CBE"/>
    <w:rsid w:val="0059561D"/>
    <w:rsid w:val="00596AF7"/>
    <w:rsid w:val="00596CCE"/>
    <w:rsid w:val="00596E88"/>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0293"/>
    <w:rsid w:val="005B10DC"/>
    <w:rsid w:val="005B12B2"/>
    <w:rsid w:val="005B143B"/>
    <w:rsid w:val="005B19BD"/>
    <w:rsid w:val="005B1AC9"/>
    <w:rsid w:val="005B1E45"/>
    <w:rsid w:val="005B21C4"/>
    <w:rsid w:val="005B2A28"/>
    <w:rsid w:val="005B3621"/>
    <w:rsid w:val="005B4948"/>
    <w:rsid w:val="005B501D"/>
    <w:rsid w:val="005B54CC"/>
    <w:rsid w:val="005B6C2E"/>
    <w:rsid w:val="005B74AD"/>
    <w:rsid w:val="005B7E96"/>
    <w:rsid w:val="005C0429"/>
    <w:rsid w:val="005C084F"/>
    <w:rsid w:val="005C0968"/>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3"/>
    <w:rsid w:val="005D464B"/>
    <w:rsid w:val="005D466F"/>
    <w:rsid w:val="005D49F0"/>
    <w:rsid w:val="005D51F7"/>
    <w:rsid w:val="005D51FA"/>
    <w:rsid w:val="005D53E8"/>
    <w:rsid w:val="005D5A9D"/>
    <w:rsid w:val="005D6651"/>
    <w:rsid w:val="005D6675"/>
    <w:rsid w:val="005D691D"/>
    <w:rsid w:val="005D6A72"/>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0DA"/>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6B43"/>
    <w:rsid w:val="00607996"/>
    <w:rsid w:val="00607A37"/>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452A"/>
    <w:rsid w:val="006266D7"/>
    <w:rsid w:val="00626D42"/>
    <w:rsid w:val="00626EE3"/>
    <w:rsid w:val="006271CF"/>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188"/>
    <w:rsid w:val="006424AA"/>
    <w:rsid w:val="00642A32"/>
    <w:rsid w:val="006433D5"/>
    <w:rsid w:val="00643412"/>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2A65"/>
    <w:rsid w:val="00652E70"/>
    <w:rsid w:val="0065339A"/>
    <w:rsid w:val="00653469"/>
    <w:rsid w:val="00654A38"/>
    <w:rsid w:val="00655301"/>
    <w:rsid w:val="00655371"/>
    <w:rsid w:val="00655507"/>
    <w:rsid w:val="00656C4B"/>
    <w:rsid w:val="006573EA"/>
    <w:rsid w:val="0065758D"/>
    <w:rsid w:val="0066073F"/>
    <w:rsid w:val="006608ED"/>
    <w:rsid w:val="00660BEA"/>
    <w:rsid w:val="00660D2A"/>
    <w:rsid w:val="00661029"/>
    <w:rsid w:val="0066135A"/>
    <w:rsid w:val="00661A38"/>
    <w:rsid w:val="0066272D"/>
    <w:rsid w:val="00662E58"/>
    <w:rsid w:val="00662F39"/>
    <w:rsid w:val="0066339A"/>
    <w:rsid w:val="006635A0"/>
    <w:rsid w:val="00664351"/>
    <w:rsid w:val="006644E7"/>
    <w:rsid w:val="00665875"/>
    <w:rsid w:val="00665968"/>
    <w:rsid w:val="00665BF7"/>
    <w:rsid w:val="00666027"/>
    <w:rsid w:val="00666178"/>
    <w:rsid w:val="0066639E"/>
    <w:rsid w:val="00666473"/>
    <w:rsid w:val="00666C72"/>
    <w:rsid w:val="00666E6C"/>
    <w:rsid w:val="0066707F"/>
    <w:rsid w:val="00667ED8"/>
    <w:rsid w:val="00670298"/>
    <w:rsid w:val="0067064C"/>
    <w:rsid w:val="00670B20"/>
    <w:rsid w:val="00670E12"/>
    <w:rsid w:val="00670F27"/>
    <w:rsid w:val="0067123E"/>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0E92"/>
    <w:rsid w:val="006811C9"/>
    <w:rsid w:val="006812CE"/>
    <w:rsid w:val="006826C1"/>
    <w:rsid w:val="00682C89"/>
    <w:rsid w:val="006832B8"/>
    <w:rsid w:val="006837B2"/>
    <w:rsid w:val="00683800"/>
    <w:rsid w:val="006839E9"/>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6DB3"/>
    <w:rsid w:val="006B786A"/>
    <w:rsid w:val="006B7A03"/>
    <w:rsid w:val="006B7A67"/>
    <w:rsid w:val="006B7B5A"/>
    <w:rsid w:val="006B7D67"/>
    <w:rsid w:val="006B7E4E"/>
    <w:rsid w:val="006C003A"/>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488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F13BA"/>
    <w:rsid w:val="006F15CC"/>
    <w:rsid w:val="006F15F6"/>
    <w:rsid w:val="006F1F32"/>
    <w:rsid w:val="006F36EA"/>
    <w:rsid w:val="006F4147"/>
    <w:rsid w:val="006F4315"/>
    <w:rsid w:val="006F4CB0"/>
    <w:rsid w:val="006F4F78"/>
    <w:rsid w:val="006F547E"/>
    <w:rsid w:val="006F5957"/>
    <w:rsid w:val="006F5CCF"/>
    <w:rsid w:val="006F5F09"/>
    <w:rsid w:val="006F6F04"/>
    <w:rsid w:val="006F71F5"/>
    <w:rsid w:val="00700610"/>
    <w:rsid w:val="00700B9C"/>
    <w:rsid w:val="0070138A"/>
    <w:rsid w:val="0070157E"/>
    <w:rsid w:val="007030D4"/>
    <w:rsid w:val="00703279"/>
    <w:rsid w:val="00703B19"/>
    <w:rsid w:val="00703B61"/>
    <w:rsid w:val="00703E11"/>
    <w:rsid w:val="00704102"/>
    <w:rsid w:val="0070437C"/>
    <w:rsid w:val="0070461C"/>
    <w:rsid w:val="00705631"/>
    <w:rsid w:val="00705818"/>
    <w:rsid w:val="00705F62"/>
    <w:rsid w:val="007074FF"/>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9E1"/>
    <w:rsid w:val="00721BFF"/>
    <w:rsid w:val="00723475"/>
    <w:rsid w:val="007236C4"/>
    <w:rsid w:val="007242A2"/>
    <w:rsid w:val="00724635"/>
    <w:rsid w:val="00724F21"/>
    <w:rsid w:val="00725134"/>
    <w:rsid w:val="0072554B"/>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17E"/>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0D6E"/>
    <w:rsid w:val="0077184A"/>
    <w:rsid w:val="00772100"/>
    <w:rsid w:val="00772275"/>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F6D"/>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5DE"/>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BA9"/>
    <w:rsid w:val="007B4D4A"/>
    <w:rsid w:val="007B513D"/>
    <w:rsid w:val="007B53DA"/>
    <w:rsid w:val="007B5428"/>
    <w:rsid w:val="007B59B7"/>
    <w:rsid w:val="007B6C64"/>
    <w:rsid w:val="007B6EC8"/>
    <w:rsid w:val="007B6F81"/>
    <w:rsid w:val="007B7EA2"/>
    <w:rsid w:val="007C097D"/>
    <w:rsid w:val="007C0AF2"/>
    <w:rsid w:val="007C0AFD"/>
    <w:rsid w:val="007C11CE"/>
    <w:rsid w:val="007C142B"/>
    <w:rsid w:val="007C1672"/>
    <w:rsid w:val="007C312A"/>
    <w:rsid w:val="007C34A9"/>
    <w:rsid w:val="007C3570"/>
    <w:rsid w:val="007C3BFC"/>
    <w:rsid w:val="007C3F3B"/>
    <w:rsid w:val="007C4241"/>
    <w:rsid w:val="007C425E"/>
    <w:rsid w:val="007C55FF"/>
    <w:rsid w:val="007C59E6"/>
    <w:rsid w:val="007C6339"/>
    <w:rsid w:val="007C6A4D"/>
    <w:rsid w:val="007C753F"/>
    <w:rsid w:val="007C7C43"/>
    <w:rsid w:val="007C7F0D"/>
    <w:rsid w:val="007D06E3"/>
    <w:rsid w:val="007D0E8D"/>
    <w:rsid w:val="007D1134"/>
    <w:rsid w:val="007D17F0"/>
    <w:rsid w:val="007D20BB"/>
    <w:rsid w:val="007D23F7"/>
    <w:rsid w:val="007D2566"/>
    <w:rsid w:val="007D2C18"/>
    <w:rsid w:val="007D2CDA"/>
    <w:rsid w:val="007D2D74"/>
    <w:rsid w:val="007D3693"/>
    <w:rsid w:val="007D3C6D"/>
    <w:rsid w:val="007D3EE2"/>
    <w:rsid w:val="007D42D3"/>
    <w:rsid w:val="007D481A"/>
    <w:rsid w:val="007D4ED0"/>
    <w:rsid w:val="007D5648"/>
    <w:rsid w:val="007D58C5"/>
    <w:rsid w:val="007D5DE8"/>
    <w:rsid w:val="007D7CFC"/>
    <w:rsid w:val="007E0812"/>
    <w:rsid w:val="007E18DF"/>
    <w:rsid w:val="007E2C36"/>
    <w:rsid w:val="007E3309"/>
    <w:rsid w:val="007E350D"/>
    <w:rsid w:val="007E3A0A"/>
    <w:rsid w:val="007E3ACA"/>
    <w:rsid w:val="007E496E"/>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3A7B"/>
    <w:rsid w:val="00813AFF"/>
    <w:rsid w:val="00813F04"/>
    <w:rsid w:val="0081513E"/>
    <w:rsid w:val="00815DA5"/>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48D"/>
    <w:rsid w:val="008236BE"/>
    <w:rsid w:val="00823FEA"/>
    <w:rsid w:val="008241CE"/>
    <w:rsid w:val="00825240"/>
    <w:rsid w:val="00825595"/>
    <w:rsid w:val="00825B43"/>
    <w:rsid w:val="00825FFA"/>
    <w:rsid w:val="00826F71"/>
    <w:rsid w:val="00827818"/>
    <w:rsid w:val="00827CC0"/>
    <w:rsid w:val="00830D29"/>
    <w:rsid w:val="00831026"/>
    <w:rsid w:val="0083119B"/>
    <w:rsid w:val="00831BAE"/>
    <w:rsid w:val="00832216"/>
    <w:rsid w:val="0083261D"/>
    <w:rsid w:val="00832695"/>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10D3"/>
    <w:rsid w:val="0084120E"/>
    <w:rsid w:val="008423EC"/>
    <w:rsid w:val="008429A6"/>
    <w:rsid w:val="00843615"/>
    <w:rsid w:val="00843698"/>
    <w:rsid w:val="00843A4B"/>
    <w:rsid w:val="00843B57"/>
    <w:rsid w:val="00843B60"/>
    <w:rsid w:val="00843D33"/>
    <w:rsid w:val="008440DF"/>
    <w:rsid w:val="008444F0"/>
    <w:rsid w:val="00844CA4"/>
    <w:rsid w:val="00844D4F"/>
    <w:rsid w:val="00845AE3"/>
    <w:rsid w:val="008466A0"/>
    <w:rsid w:val="00846D14"/>
    <w:rsid w:val="00847535"/>
    <w:rsid w:val="00847B6D"/>
    <w:rsid w:val="0085092D"/>
    <w:rsid w:val="00850C79"/>
    <w:rsid w:val="00850D82"/>
    <w:rsid w:val="00850F44"/>
    <w:rsid w:val="00850F79"/>
    <w:rsid w:val="0085100B"/>
    <w:rsid w:val="00852C43"/>
    <w:rsid w:val="0085304C"/>
    <w:rsid w:val="008536BB"/>
    <w:rsid w:val="00853A3C"/>
    <w:rsid w:val="0085430A"/>
    <w:rsid w:val="008548CA"/>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94E"/>
    <w:rsid w:val="00863F8A"/>
    <w:rsid w:val="00863FE3"/>
    <w:rsid w:val="00864234"/>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04"/>
    <w:rsid w:val="00875434"/>
    <w:rsid w:val="00875C1F"/>
    <w:rsid w:val="00876215"/>
    <w:rsid w:val="0087646C"/>
    <w:rsid w:val="00876815"/>
    <w:rsid w:val="00877932"/>
    <w:rsid w:val="008808C7"/>
    <w:rsid w:val="0088106B"/>
    <w:rsid w:val="0088107D"/>
    <w:rsid w:val="00881D04"/>
    <w:rsid w:val="00881E64"/>
    <w:rsid w:val="00882D24"/>
    <w:rsid w:val="00882E39"/>
    <w:rsid w:val="008850EB"/>
    <w:rsid w:val="00885228"/>
    <w:rsid w:val="00886114"/>
    <w:rsid w:val="00886C32"/>
    <w:rsid w:val="00886DF2"/>
    <w:rsid w:val="00886FB9"/>
    <w:rsid w:val="00887057"/>
    <w:rsid w:val="00887080"/>
    <w:rsid w:val="00887C79"/>
    <w:rsid w:val="00887E72"/>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B0862"/>
    <w:rsid w:val="008B088C"/>
    <w:rsid w:val="008B1BF5"/>
    <w:rsid w:val="008B263F"/>
    <w:rsid w:val="008B2686"/>
    <w:rsid w:val="008B3045"/>
    <w:rsid w:val="008B47A6"/>
    <w:rsid w:val="008B672C"/>
    <w:rsid w:val="008C065F"/>
    <w:rsid w:val="008C0743"/>
    <w:rsid w:val="008C0B4C"/>
    <w:rsid w:val="008C0D9F"/>
    <w:rsid w:val="008C11F0"/>
    <w:rsid w:val="008C1DBA"/>
    <w:rsid w:val="008C24E7"/>
    <w:rsid w:val="008C2500"/>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6D3"/>
    <w:rsid w:val="008D3B85"/>
    <w:rsid w:val="008D43D0"/>
    <w:rsid w:val="008D462D"/>
    <w:rsid w:val="008D47E6"/>
    <w:rsid w:val="008D560B"/>
    <w:rsid w:val="008D6084"/>
    <w:rsid w:val="008D64AC"/>
    <w:rsid w:val="008D66CA"/>
    <w:rsid w:val="008D69B1"/>
    <w:rsid w:val="008D7119"/>
    <w:rsid w:val="008D7338"/>
    <w:rsid w:val="008D785E"/>
    <w:rsid w:val="008E0012"/>
    <w:rsid w:val="008E0DF7"/>
    <w:rsid w:val="008E0FAD"/>
    <w:rsid w:val="008E11E4"/>
    <w:rsid w:val="008E1252"/>
    <w:rsid w:val="008E1347"/>
    <w:rsid w:val="008E14CC"/>
    <w:rsid w:val="008E16E0"/>
    <w:rsid w:val="008E1C15"/>
    <w:rsid w:val="008E1C9A"/>
    <w:rsid w:val="008E28BD"/>
    <w:rsid w:val="008E30C4"/>
    <w:rsid w:val="008E38B4"/>
    <w:rsid w:val="008E3BA4"/>
    <w:rsid w:val="008E44AB"/>
    <w:rsid w:val="008E5179"/>
    <w:rsid w:val="008E57FE"/>
    <w:rsid w:val="008E6226"/>
    <w:rsid w:val="008E6401"/>
    <w:rsid w:val="008E6598"/>
    <w:rsid w:val="008E6CC2"/>
    <w:rsid w:val="008E7214"/>
    <w:rsid w:val="008E7884"/>
    <w:rsid w:val="008E7D6E"/>
    <w:rsid w:val="008F1056"/>
    <w:rsid w:val="008F2DBF"/>
    <w:rsid w:val="008F2E8D"/>
    <w:rsid w:val="008F361D"/>
    <w:rsid w:val="008F387B"/>
    <w:rsid w:val="008F3952"/>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3EE"/>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3C0"/>
    <w:rsid w:val="009415BB"/>
    <w:rsid w:val="00941FA9"/>
    <w:rsid w:val="009444B4"/>
    <w:rsid w:val="00944644"/>
    <w:rsid w:val="00944C27"/>
    <w:rsid w:val="00946603"/>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021"/>
    <w:rsid w:val="0095780A"/>
    <w:rsid w:val="009578C3"/>
    <w:rsid w:val="009579E4"/>
    <w:rsid w:val="00957AA4"/>
    <w:rsid w:val="00957ACB"/>
    <w:rsid w:val="00957CC5"/>
    <w:rsid w:val="00957F27"/>
    <w:rsid w:val="00960156"/>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E5"/>
    <w:rsid w:val="00971441"/>
    <w:rsid w:val="009715D4"/>
    <w:rsid w:val="0097179A"/>
    <w:rsid w:val="009732A4"/>
    <w:rsid w:val="009739A8"/>
    <w:rsid w:val="00973C05"/>
    <w:rsid w:val="0097494E"/>
    <w:rsid w:val="00974999"/>
    <w:rsid w:val="00974B58"/>
    <w:rsid w:val="00975445"/>
    <w:rsid w:val="009761ED"/>
    <w:rsid w:val="0097769A"/>
    <w:rsid w:val="00980206"/>
    <w:rsid w:val="0098022F"/>
    <w:rsid w:val="00980EAB"/>
    <w:rsid w:val="009810DE"/>
    <w:rsid w:val="00981B91"/>
    <w:rsid w:val="00981DFC"/>
    <w:rsid w:val="009822D7"/>
    <w:rsid w:val="009827E6"/>
    <w:rsid w:val="00982F84"/>
    <w:rsid w:val="0098427D"/>
    <w:rsid w:val="00984567"/>
    <w:rsid w:val="0098458C"/>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5"/>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707D"/>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A0"/>
    <w:rsid w:val="009D2BDF"/>
    <w:rsid w:val="009D3736"/>
    <w:rsid w:val="009D3C84"/>
    <w:rsid w:val="009D4529"/>
    <w:rsid w:val="009D474E"/>
    <w:rsid w:val="009D604F"/>
    <w:rsid w:val="009D61BB"/>
    <w:rsid w:val="009D6410"/>
    <w:rsid w:val="009D68BB"/>
    <w:rsid w:val="009D70C2"/>
    <w:rsid w:val="009D7ADB"/>
    <w:rsid w:val="009D7B33"/>
    <w:rsid w:val="009D7BB6"/>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05C"/>
    <w:rsid w:val="009E61EA"/>
    <w:rsid w:val="009E6343"/>
    <w:rsid w:val="009E6990"/>
    <w:rsid w:val="009E6FEE"/>
    <w:rsid w:val="009E7E8F"/>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A"/>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AD"/>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2E4C"/>
    <w:rsid w:val="00A24560"/>
    <w:rsid w:val="00A25B0F"/>
    <w:rsid w:val="00A25BBB"/>
    <w:rsid w:val="00A27207"/>
    <w:rsid w:val="00A27FB6"/>
    <w:rsid w:val="00A30121"/>
    <w:rsid w:val="00A30368"/>
    <w:rsid w:val="00A3043A"/>
    <w:rsid w:val="00A30E02"/>
    <w:rsid w:val="00A30F6A"/>
    <w:rsid w:val="00A3141E"/>
    <w:rsid w:val="00A31C3E"/>
    <w:rsid w:val="00A32D39"/>
    <w:rsid w:val="00A34538"/>
    <w:rsid w:val="00A34677"/>
    <w:rsid w:val="00A3535E"/>
    <w:rsid w:val="00A3540F"/>
    <w:rsid w:val="00A35630"/>
    <w:rsid w:val="00A35914"/>
    <w:rsid w:val="00A36189"/>
    <w:rsid w:val="00A37E73"/>
    <w:rsid w:val="00A37FB6"/>
    <w:rsid w:val="00A409E2"/>
    <w:rsid w:val="00A4104A"/>
    <w:rsid w:val="00A41081"/>
    <w:rsid w:val="00A411CA"/>
    <w:rsid w:val="00A4195B"/>
    <w:rsid w:val="00A42080"/>
    <w:rsid w:val="00A42096"/>
    <w:rsid w:val="00A426F3"/>
    <w:rsid w:val="00A4294D"/>
    <w:rsid w:val="00A42E8D"/>
    <w:rsid w:val="00A42FDF"/>
    <w:rsid w:val="00A430A9"/>
    <w:rsid w:val="00A431FE"/>
    <w:rsid w:val="00A434B2"/>
    <w:rsid w:val="00A439E5"/>
    <w:rsid w:val="00A43C00"/>
    <w:rsid w:val="00A4497A"/>
    <w:rsid w:val="00A44BE8"/>
    <w:rsid w:val="00A44C96"/>
    <w:rsid w:val="00A44CDD"/>
    <w:rsid w:val="00A44F54"/>
    <w:rsid w:val="00A45346"/>
    <w:rsid w:val="00A45EC5"/>
    <w:rsid w:val="00A45F9B"/>
    <w:rsid w:val="00A46574"/>
    <w:rsid w:val="00A46973"/>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BBF"/>
    <w:rsid w:val="00A56DE7"/>
    <w:rsid w:val="00A56F12"/>
    <w:rsid w:val="00A57EB2"/>
    <w:rsid w:val="00A6009E"/>
    <w:rsid w:val="00A60265"/>
    <w:rsid w:val="00A60B1F"/>
    <w:rsid w:val="00A613E5"/>
    <w:rsid w:val="00A61C60"/>
    <w:rsid w:val="00A62589"/>
    <w:rsid w:val="00A628ED"/>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874BB"/>
    <w:rsid w:val="00A90F12"/>
    <w:rsid w:val="00A91DAA"/>
    <w:rsid w:val="00A93101"/>
    <w:rsid w:val="00A9413E"/>
    <w:rsid w:val="00A94281"/>
    <w:rsid w:val="00A94293"/>
    <w:rsid w:val="00A9496E"/>
    <w:rsid w:val="00A949F0"/>
    <w:rsid w:val="00A94BDE"/>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C02"/>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C7212"/>
    <w:rsid w:val="00AD09F7"/>
    <w:rsid w:val="00AD11E3"/>
    <w:rsid w:val="00AD1EFA"/>
    <w:rsid w:val="00AD2072"/>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0E5"/>
    <w:rsid w:val="00AE25C0"/>
    <w:rsid w:val="00AE25E8"/>
    <w:rsid w:val="00AE2AD4"/>
    <w:rsid w:val="00AE2CA7"/>
    <w:rsid w:val="00AE2F1D"/>
    <w:rsid w:val="00AE4C81"/>
    <w:rsid w:val="00AE586F"/>
    <w:rsid w:val="00AE6582"/>
    <w:rsid w:val="00AE6DC5"/>
    <w:rsid w:val="00AE6FCE"/>
    <w:rsid w:val="00AE7686"/>
    <w:rsid w:val="00AE799A"/>
    <w:rsid w:val="00AF041E"/>
    <w:rsid w:val="00AF0E81"/>
    <w:rsid w:val="00AF0FD1"/>
    <w:rsid w:val="00AF117A"/>
    <w:rsid w:val="00AF16CA"/>
    <w:rsid w:val="00AF186E"/>
    <w:rsid w:val="00AF19DF"/>
    <w:rsid w:val="00AF1D41"/>
    <w:rsid w:val="00AF26CF"/>
    <w:rsid w:val="00AF344D"/>
    <w:rsid w:val="00AF39B3"/>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19AE"/>
    <w:rsid w:val="00B11D47"/>
    <w:rsid w:val="00B1219D"/>
    <w:rsid w:val="00B12469"/>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657"/>
    <w:rsid w:val="00B37AFD"/>
    <w:rsid w:val="00B37B07"/>
    <w:rsid w:val="00B4046F"/>
    <w:rsid w:val="00B406B3"/>
    <w:rsid w:val="00B40A36"/>
    <w:rsid w:val="00B40DCB"/>
    <w:rsid w:val="00B41D39"/>
    <w:rsid w:val="00B41FD1"/>
    <w:rsid w:val="00B422C0"/>
    <w:rsid w:val="00B426CA"/>
    <w:rsid w:val="00B426E1"/>
    <w:rsid w:val="00B42F6D"/>
    <w:rsid w:val="00B43449"/>
    <w:rsid w:val="00B4387A"/>
    <w:rsid w:val="00B43DA1"/>
    <w:rsid w:val="00B44746"/>
    <w:rsid w:val="00B44854"/>
    <w:rsid w:val="00B44BA5"/>
    <w:rsid w:val="00B458D0"/>
    <w:rsid w:val="00B4661B"/>
    <w:rsid w:val="00B46915"/>
    <w:rsid w:val="00B4792C"/>
    <w:rsid w:val="00B50CAE"/>
    <w:rsid w:val="00B50E01"/>
    <w:rsid w:val="00B512AD"/>
    <w:rsid w:val="00B5196C"/>
    <w:rsid w:val="00B51D4D"/>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938"/>
    <w:rsid w:val="00B65C8A"/>
    <w:rsid w:val="00B65CE2"/>
    <w:rsid w:val="00B660AD"/>
    <w:rsid w:val="00B66109"/>
    <w:rsid w:val="00B66349"/>
    <w:rsid w:val="00B66CB4"/>
    <w:rsid w:val="00B6757E"/>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6DC"/>
    <w:rsid w:val="00B76F9D"/>
    <w:rsid w:val="00B770D6"/>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86B"/>
    <w:rsid w:val="00BA6FE8"/>
    <w:rsid w:val="00BA732D"/>
    <w:rsid w:val="00BA7370"/>
    <w:rsid w:val="00BA778B"/>
    <w:rsid w:val="00BB04A0"/>
    <w:rsid w:val="00BB0888"/>
    <w:rsid w:val="00BB0DF1"/>
    <w:rsid w:val="00BB0E9B"/>
    <w:rsid w:val="00BB1251"/>
    <w:rsid w:val="00BB1F02"/>
    <w:rsid w:val="00BB2268"/>
    <w:rsid w:val="00BB2841"/>
    <w:rsid w:val="00BB2A74"/>
    <w:rsid w:val="00BB300F"/>
    <w:rsid w:val="00BB32C9"/>
    <w:rsid w:val="00BB35C5"/>
    <w:rsid w:val="00BB368F"/>
    <w:rsid w:val="00BB4293"/>
    <w:rsid w:val="00BB4C8E"/>
    <w:rsid w:val="00BB57ED"/>
    <w:rsid w:val="00BB65C3"/>
    <w:rsid w:val="00BB662E"/>
    <w:rsid w:val="00BB6721"/>
    <w:rsid w:val="00BB67A9"/>
    <w:rsid w:val="00BB68DA"/>
    <w:rsid w:val="00BB6C01"/>
    <w:rsid w:val="00BB748C"/>
    <w:rsid w:val="00BB7942"/>
    <w:rsid w:val="00BB7CD1"/>
    <w:rsid w:val="00BC0F33"/>
    <w:rsid w:val="00BC14A7"/>
    <w:rsid w:val="00BC17CC"/>
    <w:rsid w:val="00BC2898"/>
    <w:rsid w:val="00BC2928"/>
    <w:rsid w:val="00BC29BD"/>
    <w:rsid w:val="00BC2BB1"/>
    <w:rsid w:val="00BC34A3"/>
    <w:rsid w:val="00BC3FF9"/>
    <w:rsid w:val="00BC4112"/>
    <w:rsid w:val="00BC4834"/>
    <w:rsid w:val="00BC4A97"/>
    <w:rsid w:val="00BC4E15"/>
    <w:rsid w:val="00BC520E"/>
    <w:rsid w:val="00BC5A25"/>
    <w:rsid w:val="00BC5FDD"/>
    <w:rsid w:val="00BC68B4"/>
    <w:rsid w:val="00BD0140"/>
    <w:rsid w:val="00BD02CC"/>
    <w:rsid w:val="00BD0611"/>
    <w:rsid w:val="00BD088E"/>
    <w:rsid w:val="00BD0ACB"/>
    <w:rsid w:val="00BD0F18"/>
    <w:rsid w:val="00BD115F"/>
    <w:rsid w:val="00BD2063"/>
    <w:rsid w:val="00BD33D9"/>
    <w:rsid w:val="00BD38C5"/>
    <w:rsid w:val="00BD3DEA"/>
    <w:rsid w:val="00BD3E97"/>
    <w:rsid w:val="00BD40E4"/>
    <w:rsid w:val="00BD48E5"/>
    <w:rsid w:val="00BD52FE"/>
    <w:rsid w:val="00BD59CA"/>
    <w:rsid w:val="00BD62CF"/>
    <w:rsid w:val="00BD654F"/>
    <w:rsid w:val="00BD67B2"/>
    <w:rsid w:val="00BD68E2"/>
    <w:rsid w:val="00BD76E5"/>
    <w:rsid w:val="00BD78FE"/>
    <w:rsid w:val="00BD7C55"/>
    <w:rsid w:val="00BD7D10"/>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38"/>
    <w:rsid w:val="00BE6074"/>
    <w:rsid w:val="00BE6938"/>
    <w:rsid w:val="00BE7257"/>
    <w:rsid w:val="00BF01B5"/>
    <w:rsid w:val="00BF020D"/>
    <w:rsid w:val="00BF0609"/>
    <w:rsid w:val="00BF0E64"/>
    <w:rsid w:val="00BF0EE8"/>
    <w:rsid w:val="00BF1DD2"/>
    <w:rsid w:val="00BF22BF"/>
    <w:rsid w:val="00BF23A3"/>
    <w:rsid w:val="00BF2A7E"/>
    <w:rsid w:val="00BF3331"/>
    <w:rsid w:val="00BF3A45"/>
    <w:rsid w:val="00BF436F"/>
    <w:rsid w:val="00BF4484"/>
    <w:rsid w:val="00BF5C05"/>
    <w:rsid w:val="00BF6FC6"/>
    <w:rsid w:val="00BF7C52"/>
    <w:rsid w:val="00BF7D44"/>
    <w:rsid w:val="00BF7F99"/>
    <w:rsid w:val="00C00713"/>
    <w:rsid w:val="00C009A0"/>
    <w:rsid w:val="00C01F74"/>
    <w:rsid w:val="00C02558"/>
    <w:rsid w:val="00C0285F"/>
    <w:rsid w:val="00C02A1D"/>
    <w:rsid w:val="00C02F35"/>
    <w:rsid w:val="00C03305"/>
    <w:rsid w:val="00C03515"/>
    <w:rsid w:val="00C03738"/>
    <w:rsid w:val="00C037A6"/>
    <w:rsid w:val="00C039F8"/>
    <w:rsid w:val="00C043F5"/>
    <w:rsid w:val="00C044E3"/>
    <w:rsid w:val="00C04607"/>
    <w:rsid w:val="00C04BDB"/>
    <w:rsid w:val="00C052C6"/>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CC6"/>
    <w:rsid w:val="00C20E1E"/>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322E"/>
    <w:rsid w:val="00C337F5"/>
    <w:rsid w:val="00C33B90"/>
    <w:rsid w:val="00C34161"/>
    <w:rsid w:val="00C34B5F"/>
    <w:rsid w:val="00C358D4"/>
    <w:rsid w:val="00C36462"/>
    <w:rsid w:val="00C365C6"/>
    <w:rsid w:val="00C366F4"/>
    <w:rsid w:val="00C36785"/>
    <w:rsid w:val="00C3711C"/>
    <w:rsid w:val="00C37256"/>
    <w:rsid w:val="00C37A7B"/>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595C"/>
    <w:rsid w:val="00C760DC"/>
    <w:rsid w:val="00C8082B"/>
    <w:rsid w:val="00C81A88"/>
    <w:rsid w:val="00C81AE5"/>
    <w:rsid w:val="00C81D46"/>
    <w:rsid w:val="00C82298"/>
    <w:rsid w:val="00C833B4"/>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90C"/>
    <w:rsid w:val="00C93D8C"/>
    <w:rsid w:val="00C93E07"/>
    <w:rsid w:val="00C946CC"/>
    <w:rsid w:val="00C94D3B"/>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896"/>
    <w:rsid w:val="00CA4A99"/>
    <w:rsid w:val="00CA5520"/>
    <w:rsid w:val="00CA5812"/>
    <w:rsid w:val="00CA5BD4"/>
    <w:rsid w:val="00CA5C14"/>
    <w:rsid w:val="00CA6A0A"/>
    <w:rsid w:val="00CA7500"/>
    <w:rsid w:val="00CA76FC"/>
    <w:rsid w:val="00CA7E7B"/>
    <w:rsid w:val="00CB0236"/>
    <w:rsid w:val="00CB0DC1"/>
    <w:rsid w:val="00CB1969"/>
    <w:rsid w:val="00CB19E3"/>
    <w:rsid w:val="00CB2C3A"/>
    <w:rsid w:val="00CB2D38"/>
    <w:rsid w:val="00CB4137"/>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866"/>
    <w:rsid w:val="00CC4E5D"/>
    <w:rsid w:val="00CC50AE"/>
    <w:rsid w:val="00CC5FFE"/>
    <w:rsid w:val="00CC61B7"/>
    <w:rsid w:val="00CC61CA"/>
    <w:rsid w:val="00CC64DE"/>
    <w:rsid w:val="00CC69EC"/>
    <w:rsid w:val="00CC6DF1"/>
    <w:rsid w:val="00CC71D3"/>
    <w:rsid w:val="00CC743D"/>
    <w:rsid w:val="00CC7A62"/>
    <w:rsid w:val="00CD050A"/>
    <w:rsid w:val="00CD0A77"/>
    <w:rsid w:val="00CD1017"/>
    <w:rsid w:val="00CD205D"/>
    <w:rsid w:val="00CD2A22"/>
    <w:rsid w:val="00CD2B50"/>
    <w:rsid w:val="00CD2FD9"/>
    <w:rsid w:val="00CD3172"/>
    <w:rsid w:val="00CD4357"/>
    <w:rsid w:val="00CD43B3"/>
    <w:rsid w:val="00CD4506"/>
    <w:rsid w:val="00CD520B"/>
    <w:rsid w:val="00CD592E"/>
    <w:rsid w:val="00CD5982"/>
    <w:rsid w:val="00CD5A1A"/>
    <w:rsid w:val="00CD7496"/>
    <w:rsid w:val="00CD7EFA"/>
    <w:rsid w:val="00CE020E"/>
    <w:rsid w:val="00CE0566"/>
    <w:rsid w:val="00CE1CD4"/>
    <w:rsid w:val="00CE207C"/>
    <w:rsid w:val="00CE2761"/>
    <w:rsid w:val="00CE28FC"/>
    <w:rsid w:val="00CE314E"/>
    <w:rsid w:val="00CE3D5C"/>
    <w:rsid w:val="00CE3E09"/>
    <w:rsid w:val="00CE3E14"/>
    <w:rsid w:val="00CE44C7"/>
    <w:rsid w:val="00CE53CC"/>
    <w:rsid w:val="00CE559D"/>
    <w:rsid w:val="00CE65A7"/>
    <w:rsid w:val="00CE68FE"/>
    <w:rsid w:val="00CE69CC"/>
    <w:rsid w:val="00CE6DAF"/>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07836"/>
    <w:rsid w:val="00D1060D"/>
    <w:rsid w:val="00D10E7C"/>
    <w:rsid w:val="00D11182"/>
    <w:rsid w:val="00D1137B"/>
    <w:rsid w:val="00D11807"/>
    <w:rsid w:val="00D11DB3"/>
    <w:rsid w:val="00D12D82"/>
    <w:rsid w:val="00D12F77"/>
    <w:rsid w:val="00D1306E"/>
    <w:rsid w:val="00D134CD"/>
    <w:rsid w:val="00D14B5F"/>
    <w:rsid w:val="00D14E13"/>
    <w:rsid w:val="00D14F23"/>
    <w:rsid w:val="00D153B7"/>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CFA"/>
    <w:rsid w:val="00D2742F"/>
    <w:rsid w:val="00D2754F"/>
    <w:rsid w:val="00D277C5"/>
    <w:rsid w:val="00D279D9"/>
    <w:rsid w:val="00D312DC"/>
    <w:rsid w:val="00D31B84"/>
    <w:rsid w:val="00D31C6A"/>
    <w:rsid w:val="00D31EDF"/>
    <w:rsid w:val="00D31F0A"/>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0DC"/>
    <w:rsid w:val="00D416D5"/>
    <w:rsid w:val="00D41858"/>
    <w:rsid w:val="00D41BA8"/>
    <w:rsid w:val="00D422DB"/>
    <w:rsid w:val="00D42303"/>
    <w:rsid w:val="00D42314"/>
    <w:rsid w:val="00D42AC2"/>
    <w:rsid w:val="00D44498"/>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82C"/>
    <w:rsid w:val="00D858B1"/>
    <w:rsid w:val="00D85B89"/>
    <w:rsid w:val="00D85D61"/>
    <w:rsid w:val="00D8616D"/>
    <w:rsid w:val="00D86363"/>
    <w:rsid w:val="00D866CA"/>
    <w:rsid w:val="00D8711B"/>
    <w:rsid w:val="00D87384"/>
    <w:rsid w:val="00D87AE8"/>
    <w:rsid w:val="00D9052A"/>
    <w:rsid w:val="00D90683"/>
    <w:rsid w:val="00D90B2A"/>
    <w:rsid w:val="00D91391"/>
    <w:rsid w:val="00D91483"/>
    <w:rsid w:val="00D915C8"/>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862"/>
    <w:rsid w:val="00DA286D"/>
    <w:rsid w:val="00DA293A"/>
    <w:rsid w:val="00DA2969"/>
    <w:rsid w:val="00DA29B7"/>
    <w:rsid w:val="00DA337C"/>
    <w:rsid w:val="00DA385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3CBF"/>
    <w:rsid w:val="00DC478F"/>
    <w:rsid w:val="00DC62E5"/>
    <w:rsid w:val="00DC6D70"/>
    <w:rsid w:val="00DC6F33"/>
    <w:rsid w:val="00DC7349"/>
    <w:rsid w:val="00DD0F88"/>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242"/>
    <w:rsid w:val="00DE064A"/>
    <w:rsid w:val="00DE082D"/>
    <w:rsid w:val="00DE1410"/>
    <w:rsid w:val="00DE14A6"/>
    <w:rsid w:val="00DE20C6"/>
    <w:rsid w:val="00DE3119"/>
    <w:rsid w:val="00DE3FF0"/>
    <w:rsid w:val="00DE4105"/>
    <w:rsid w:val="00DE41C4"/>
    <w:rsid w:val="00DE5189"/>
    <w:rsid w:val="00DE55DC"/>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F43"/>
    <w:rsid w:val="00DF752F"/>
    <w:rsid w:val="00DF76A2"/>
    <w:rsid w:val="00DF7B87"/>
    <w:rsid w:val="00E00B7A"/>
    <w:rsid w:val="00E01FDD"/>
    <w:rsid w:val="00E02186"/>
    <w:rsid w:val="00E026BB"/>
    <w:rsid w:val="00E027C5"/>
    <w:rsid w:val="00E03124"/>
    <w:rsid w:val="00E031C3"/>
    <w:rsid w:val="00E03951"/>
    <w:rsid w:val="00E03DB8"/>
    <w:rsid w:val="00E03F17"/>
    <w:rsid w:val="00E0420C"/>
    <w:rsid w:val="00E04230"/>
    <w:rsid w:val="00E04EDD"/>
    <w:rsid w:val="00E055C2"/>
    <w:rsid w:val="00E05E70"/>
    <w:rsid w:val="00E064BC"/>
    <w:rsid w:val="00E065C9"/>
    <w:rsid w:val="00E067F8"/>
    <w:rsid w:val="00E07225"/>
    <w:rsid w:val="00E076B4"/>
    <w:rsid w:val="00E07B55"/>
    <w:rsid w:val="00E10579"/>
    <w:rsid w:val="00E109DD"/>
    <w:rsid w:val="00E11229"/>
    <w:rsid w:val="00E114CA"/>
    <w:rsid w:val="00E11FE2"/>
    <w:rsid w:val="00E1397F"/>
    <w:rsid w:val="00E13AB8"/>
    <w:rsid w:val="00E1482E"/>
    <w:rsid w:val="00E153AE"/>
    <w:rsid w:val="00E15AB1"/>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56C"/>
    <w:rsid w:val="00E57811"/>
    <w:rsid w:val="00E5798B"/>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937"/>
    <w:rsid w:val="00E77AF5"/>
    <w:rsid w:val="00E81925"/>
    <w:rsid w:val="00E823F9"/>
    <w:rsid w:val="00E82C1F"/>
    <w:rsid w:val="00E83671"/>
    <w:rsid w:val="00E840EE"/>
    <w:rsid w:val="00E84A71"/>
    <w:rsid w:val="00E85170"/>
    <w:rsid w:val="00E86556"/>
    <w:rsid w:val="00E86D35"/>
    <w:rsid w:val="00E86DC2"/>
    <w:rsid w:val="00E86E32"/>
    <w:rsid w:val="00E86F2E"/>
    <w:rsid w:val="00E8732E"/>
    <w:rsid w:val="00E8744A"/>
    <w:rsid w:val="00E87E9C"/>
    <w:rsid w:val="00E9011F"/>
    <w:rsid w:val="00E906EB"/>
    <w:rsid w:val="00E90A66"/>
    <w:rsid w:val="00E919FB"/>
    <w:rsid w:val="00E9241E"/>
    <w:rsid w:val="00E92460"/>
    <w:rsid w:val="00E92E62"/>
    <w:rsid w:val="00E93804"/>
    <w:rsid w:val="00E93E03"/>
    <w:rsid w:val="00E9429D"/>
    <w:rsid w:val="00E95434"/>
    <w:rsid w:val="00E96467"/>
    <w:rsid w:val="00E966DA"/>
    <w:rsid w:val="00E96948"/>
    <w:rsid w:val="00E9737B"/>
    <w:rsid w:val="00E97A3F"/>
    <w:rsid w:val="00E97F0A"/>
    <w:rsid w:val="00EA0100"/>
    <w:rsid w:val="00EA0BCE"/>
    <w:rsid w:val="00EA0F67"/>
    <w:rsid w:val="00EA1155"/>
    <w:rsid w:val="00EA2744"/>
    <w:rsid w:val="00EA37B9"/>
    <w:rsid w:val="00EA39F7"/>
    <w:rsid w:val="00EA3DC2"/>
    <w:rsid w:val="00EA434E"/>
    <w:rsid w:val="00EA4757"/>
    <w:rsid w:val="00EA5051"/>
    <w:rsid w:val="00EA560B"/>
    <w:rsid w:val="00EA5669"/>
    <w:rsid w:val="00EA56A9"/>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B44"/>
    <w:rsid w:val="00EB7D8A"/>
    <w:rsid w:val="00EC05E2"/>
    <w:rsid w:val="00EC07A0"/>
    <w:rsid w:val="00EC08AC"/>
    <w:rsid w:val="00EC0B18"/>
    <w:rsid w:val="00EC0E84"/>
    <w:rsid w:val="00EC16E2"/>
    <w:rsid w:val="00EC1CE7"/>
    <w:rsid w:val="00EC26F1"/>
    <w:rsid w:val="00EC3C94"/>
    <w:rsid w:val="00EC44DF"/>
    <w:rsid w:val="00EC4FB9"/>
    <w:rsid w:val="00EC5393"/>
    <w:rsid w:val="00EC5741"/>
    <w:rsid w:val="00EC5C42"/>
    <w:rsid w:val="00EC5DA3"/>
    <w:rsid w:val="00EC6014"/>
    <w:rsid w:val="00EC6656"/>
    <w:rsid w:val="00EC6B3E"/>
    <w:rsid w:val="00EC717B"/>
    <w:rsid w:val="00EC73DE"/>
    <w:rsid w:val="00EC7637"/>
    <w:rsid w:val="00EC7CF2"/>
    <w:rsid w:val="00ED046C"/>
    <w:rsid w:val="00ED053A"/>
    <w:rsid w:val="00ED1220"/>
    <w:rsid w:val="00ED15DF"/>
    <w:rsid w:val="00ED1F03"/>
    <w:rsid w:val="00ED23EA"/>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25"/>
    <w:rsid w:val="00ED77F0"/>
    <w:rsid w:val="00ED7C60"/>
    <w:rsid w:val="00ED7FBC"/>
    <w:rsid w:val="00EE0253"/>
    <w:rsid w:val="00EE0297"/>
    <w:rsid w:val="00EE1258"/>
    <w:rsid w:val="00EE13DA"/>
    <w:rsid w:val="00EE1668"/>
    <w:rsid w:val="00EE1EDB"/>
    <w:rsid w:val="00EE24E2"/>
    <w:rsid w:val="00EE366D"/>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96B"/>
    <w:rsid w:val="00EF2B2B"/>
    <w:rsid w:val="00EF2E17"/>
    <w:rsid w:val="00EF2E1C"/>
    <w:rsid w:val="00EF2FD6"/>
    <w:rsid w:val="00EF326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CB"/>
    <w:rsid w:val="00F02BFD"/>
    <w:rsid w:val="00F02D25"/>
    <w:rsid w:val="00F03C3D"/>
    <w:rsid w:val="00F03D42"/>
    <w:rsid w:val="00F0435D"/>
    <w:rsid w:val="00F04580"/>
    <w:rsid w:val="00F04ECA"/>
    <w:rsid w:val="00F04F8B"/>
    <w:rsid w:val="00F06E19"/>
    <w:rsid w:val="00F06F84"/>
    <w:rsid w:val="00F076E7"/>
    <w:rsid w:val="00F07AA1"/>
    <w:rsid w:val="00F07CCE"/>
    <w:rsid w:val="00F105AE"/>
    <w:rsid w:val="00F10618"/>
    <w:rsid w:val="00F1108B"/>
    <w:rsid w:val="00F114FA"/>
    <w:rsid w:val="00F11768"/>
    <w:rsid w:val="00F11951"/>
    <w:rsid w:val="00F12256"/>
    <w:rsid w:val="00F12262"/>
    <w:rsid w:val="00F12564"/>
    <w:rsid w:val="00F12AF8"/>
    <w:rsid w:val="00F12C52"/>
    <w:rsid w:val="00F13E62"/>
    <w:rsid w:val="00F148B7"/>
    <w:rsid w:val="00F14EA9"/>
    <w:rsid w:val="00F1546F"/>
    <w:rsid w:val="00F15505"/>
    <w:rsid w:val="00F15BFF"/>
    <w:rsid w:val="00F168A8"/>
    <w:rsid w:val="00F16E4F"/>
    <w:rsid w:val="00F17244"/>
    <w:rsid w:val="00F1744F"/>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BEF"/>
    <w:rsid w:val="00F33968"/>
    <w:rsid w:val="00F3399B"/>
    <w:rsid w:val="00F33F4B"/>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60A"/>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A7"/>
    <w:rsid w:val="00F62AB6"/>
    <w:rsid w:val="00F62CB0"/>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B6F"/>
    <w:rsid w:val="00F85CC1"/>
    <w:rsid w:val="00F86B5D"/>
    <w:rsid w:val="00F875E1"/>
    <w:rsid w:val="00F87634"/>
    <w:rsid w:val="00F87C13"/>
    <w:rsid w:val="00F87C5A"/>
    <w:rsid w:val="00F87E29"/>
    <w:rsid w:val="00F87F18"/>
    <w:rsid w:val="00F87F68"/>
    <w:rsid w:val="00F90C4D"/>
    <w:rsid w:val="00F9167D"/>
    <w:rsid w:val="00F91CB2"/>
    <w:rsid w:val="00F9232A"/>
    <w:rsid w:val="00F927E8"/>
    <w:rsid w:val="00F9289C"/>
    <w:rsid w:val="00F9374A"/>
    <w:rsid w:val="00F9375C"/>
    <w:rsid w:val="00F93DBC"/>
    <w:rsid w:val="00F93E41"/>
    <w:rsid w:val="00F94644"/>
    <w:rsid w:val="00F952E4"/>
    <w:rsid w:val="00F9537B"/>
    <w:rsid w:val="00F963FC"/>
    <w:rsid w:val="00F97CF1"/>
    <w:rsid w:val="00FA015F"/>
    <w:rsid w:val="00FA0160"/>
    <w:rsid w:val="00FA0FAC"/>
    <w:rsid w:val="00FA10F7"/>
    <w:rsid w:val="00FA1DA2"/>
    <w:rsid w:val="00FA1E83"/>
    <w:rsid w:val="00FA3414"/>
    <w:rsid w:val="00FA347A"/>
    <w:rsid w:val="00FA3CDE"/>
    <w:rsid w:val="00FA40FC"/>
    <w:rsid w:val="00FA45D7"/>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BAC"/>
    <w:rsid w:val="00FC1196"/>
    <w:rsid w:val="00FC15EB"/>
    <w:rsid w:val="00FC162C"/>
    <w:rsid w:val="00FC18DC"/>
    <w:rsid w:val="00FC1ABF"/>
    <w:rsid w:val="00FC2477"/>
    <w:rsid w:val="00FC28D0"/>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0FA2"/>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919"/>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61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character" w:customStyle="1" w:styleId="superscript">
    <w:name w:val="superscript"/>
    <w:basedOn w:val="Fuentedeprrafopredeter"/>
    <w:rsid w:val="00D85B89"/>
  </w:style>
  <w:style w:type="character" w:styleId="Mencinsinresolver">
    <w:name w:val="Unresolved Mention"/>
    <w:basedOn w:val="Fuentedeprrafopredeter"/>
    <w:uiPriority w:val="99"/>
    <w:semiHidden/>
    <w:unhideWhenUsed/>
    <w:rsid w:val="005023D6"/>
    <w:rPr>
      <w:color w:val="605E5C"/>
      <w:shd w:val="clear" w:color="auto" w:fill="E1DFDD"/>
    </w:rPr>
  </w:style>
  <w:style w:type="character" w:styleId="Hipervnculovisitado">
    <w:name w:val="FollowedHyperlink"/>
    <w:basedOn w:val="Fuentedeprrafopredeter"/>
    <w:uiPriority w:val="99"/>
    <w:semiHidden/>
    <w:unhideWhenUsed/>
    <w:rsid w:val="007219E1"/>
    <w:rPr>
      <w:color w:val="F2F2F2" w:themeColor="followedHyperlink"/>
      <w:u w:val="single"/>
    </w:rPr>
  </w:style>
  <w:style w:type="paragraph" w:styleId="Revisin">
    <w:name w:val="Revision"/>
    <w:hidden/>
    <w:uiPriority w:val="99"/>
    <w:semiHidden/>
    <w:rsid w:val="00875404"/>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8777">
      <w:bodyDiv w:val="1"/>
      <w:marLeft w:val="0"/>
      <w:marRight w:val="0"/>
      <w:marTop w:val="0"/>
      <w:marBottom w:val="0"/>
      <w:divBdr>
        <w:top w:val="none" w:sz="0" w:space="0" w:color="auto"/>
        <w:left w:val="none" w:sz="0" w:space="0" w:color="auto"/>
        <w:bottom w:val="none" w:sz="0" w:space="0" w:color="auto"/>
        <w:right w:val="none" w:sz="0" w:space="0" w:color="auto"/>
      </w:divBdr>
      <w:divsChild>
        <w:div w:id="823011068">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8338090">
      <w:bodyDiv w:val="1"/>
      <w:marLeft w:val="0"/>
      <w:marRight w:val="0"/>
      <w:marTop w:val="0"/>
      <w:marBottom w:val="0"/>
      <w:divBdr>
        <w:top w:val="none" w:sz="0" w:space="0" w:color="auto"/>
        <w:left w:val="none" w:sz="0" w:space="0" w:color="auto"/>
        <w:bottom w:val="none" w:sz="0" w:space="0" w:color="auto"/>
        <w:right w:val="none" w:sz="0" w:space="0" w:color="auto"/>
      </w:divBdr>
      <w:divsChild>
        <w:div w:id="2025205657">
          <w:marLeft w:val="0"/>
          <w:marRight w:val="0"/>
          <w:marTop w:val="0"/>
          <w:marBottom w:val="0"/>
          <w:divBdr>
            <w:top w:val="none" w:sz="0" w:space="0" w:color="auto"/>
            <w:left w:val="none" w:sz="0" w:space="0" w:color="auto"/>
            <w:bottom w:val="none" w:sz="0" w:space="0" w:color="auto"/>
            <w:right w:val="none" w:sz="0" w:space="0" w:color="auto"/>
          </w:divBdr>
        </w:div>
        <w:div w:id="73548810">
          <w:marLeft w:val="0"/>
          <w:marRight w:val="0"/>
          <w:marTop w:val="0"/>
          <w:marBottom w:val="0"/>
          <w:divBdr>
            <w:top w:val="none" w:sz="0" w:space="0" w:color="auto"/>
            <w:left w:val="none" w:sz="0" w:space="0" w:color="auto"/>
            <w:bottom w:val="none" w:sz="0" w:space="0" w:color="auto"/>
            <w:right w:val="none" w:sz="0" w:space="0" w:color="auto"/>
          </w:divBdr>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87568054">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documentos-tipo/documentos-tip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360D7C2-D566-4144-B9D6-4FBE7C3B4EFD}">
  <ds:schemaRefs>
    <ds:schemaRef ds:uri="http://schemas.openxmlformats.org/officeDocument/2006/bibliography"/>
  </ds:schemaRefs>
</ds:datastoreItem>
</file>

<file path=customXml/itemProps4.xml><?xml version="1.0" encoding="utf-8"?>
<ds:datastoreItem xmlns:ds="http://schemas.openxmlformats.org/officeDocument/2006/customXml" ds:itemID="{8F42FA2E-7BC7-4E20-AFCB-B2EBFD6C5582}"/>
</file>

<file path=docProps/app.xml><?xml version="1.0" encoding="utf-8"?>
<Properties xmlns="http://schemas.openxmlformats.org/officeDocument/2006/extended-properties" xmlns:vt="http://schemas.openxmlformats.org/officeDocument/2006/docPropsVTypes">
  <Template>Respuesta a consultas</Template>
  <TotalTime>4</TotalTime>
  <Pages>15</Pages>
  <Words>5059</Words>
  <Characters>27828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CCE</cp:lastModifiedBy>
  <cp:revision>6</cp:revision>
  <cp:lastPrinted>2020-01-30T15:05:00Z</cp:lastPrinted>
  <dcterms:created xsi:type="dcterms:W3CDTF">2021-12-14T14:40:00Z</dcterms:created>
  <dcterms:modified xsi:type="dcterms:W3CDTF">2021-12-14T15:04:00Z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