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E113" w14:textId="77777777" w:rsidR="00FC1D76" w:rsidRPr="009868CC" w:rsidRDefault="00FC1D76" w:rsidP="00FC1D76">
      <w:pPr>
        <w:jc w:val="right"/>
        <w:rPr>
          <w:rFonts w:ascii="Arial" w:hAnsi="Arial" w:cs="Arial"/>
          <w:b/>
          <w:sz w:val="16"/>
          <w:szCs w:val="16"/>
          <w:lang w:eastAsia="es-ES"/>
        </w:rPr>
      </w:pPr>
      <w:bookmarkStart w:id="0" w:name="_Hlk28946138"/>
      <w:bookmarkStart w:id="1" w:name="_Hlk29548183"/>
      <w:r w:rsidRPr="009868CC">
        <w:rPr>
          <w:rFonts w:ascii="Arial" w:hAnsi="Arial" w:cs="Arial"/>
          <w:b/>
          <w:sz w:val="16"/>
          <w:szCs w:val="16"/>
          <w:lang w:eastAsia="es-ES"/>
        </w:rPr>
        <w:tab/>
        <w:t>CCE-DES-FM-17</w:t>
      </w:r>
    </w:p>
    <w:p w14:paraId="7DAC78E1" w14:textId="77777777" w:rsidR="00FC1D76" w:rsidRPr="009868CC" w:rsidRDefault="00FC1D76" w:rsidP="00FC1D76">
      <w:pPr>
        <w:spacing w:line="276" w:lineRule="auto"/>
        <w:jc w:val="both"/>
        <w:rPr>
          <w:rFonts w:ascii="Arial" w:eastAsia="Calibri" w:hAnsi="Arial" w:cs="Arial"/>
          <w:b/>
          <w:sz w:val="16"/>
          <w:szCs w:val="16"/>
        </w:rPr>
      </w:pPr>
    </w:p>
    <w:bookmarkEnd w:id="0"/>
    <w:bookmarkEnd w:id="1"/>
    <w:p w14:paraId="5CA64DEB" w14:textId="77777777" w:rsidR="00FC1D76" w:rsidRPr="009868CC" w:rsidRDefault="00FC1D76" w:rsidP="00FC1D76">
      <w:pPr>
        <w:jc w:val="both"/>
        <w:rPr>
          <w:rFonts w:ascii="Arial" w:eastAsia="Calibri" w:hAnsi="Arial" w:cs="Arial"/>
          <w:b/>
          <w:bCs/>
          <w:sz w:val="22"/>
          <w:lang w:val="es-ES"/>
        </w:rPr>
      </w:pPr>
      <w:r w:rsidRPr="009868CC">
        <w:rPr>
          <w:rFonts w:ascii="Arial" w:eastAsia="Calibri" w:hAnsi="Arial" w:cs="Arial"/>
          <w:b/>
          <w:bCs/>
          <w:sz w:val="22"/>
          <w:lang w:val="es-ES"/>
        </w:rPr>
        <w:t xml:space="preserve">CONTRATACIÓN CON ESAL </w:t>
      </w:r>
      <w:r w:rsidRPr="009868CC">
        <w:rPr>
          <w:rFonts w:ascii="Arial" w:eastAsia="Calibri" w:hAnsi="Arial" w:cs="Arial"/>
          <w:b/>
          <w:bCs/>
          <w:sz w:val="22"/>
        </w:rPr>
        <w:t>– Artículo</w:t>
      </w:r>
      <w:r w:rsidRPr="009868CC">
        <w:rPr>
          <w:rFonts w:ascii="Arial" w:eastAsia="Calibri" w:hAnsi="Arial" w:cs="Arial"/>
          <w:b/>
          <w:bCs/>
          <w:sz w:val="22"/>
          <w:lang w:val="es-ES"/>
        </w:rPr>
        <w:t xml:space="preserve"> 355 </w:t>
      </w:r>
      <w:r w:rsidRPr="009868CC">
        <w:rPr>
          <w:rFonts w:ascii="Arial" w:eastAsia="Calibri" w:hAnsi="Arial" w:cs="Arial"/>
          <w:b/>
          <w:bCs/>
          <w:sz w:val="22"/>
        </w:rPr>
        <w:t xml:space="preserve">– Constitución Política – Convenios de asociación </w:t>
      </w:r>
    </w:p>
    <w:p w14:paraId="730805B6" w14:textId="77777777" w:rsidR="00FC1D76" w:rsidRPr="009868CC" w:rsidRDefault="00FC1D76" w:rsidP="00FC1D76">
      <w:pPr>
        <w:jc w:val="both"/>
        <w:rPr>
          <w:rFonts w:ascii="Arial" w:eastAsia="Calibri" w:hAnsi="Arial" w:cs="Arial"/>
          <w:sz w:val="20"/>
          <w:szCs w:val="20"/>
          <w:lang w:val="es-ES_tradnl"/>
        </w:rPr>
      </w:pPr>
    </w:p>
    <w:p w14:paraId="15D0130D" w14:textId="77777777" w:rsidR="00FC1D76" w:rsidRPr="007F00BA" w:rsidRDefault="00FC1D76" w:rsidP="00FC1D76">
      <w:pPr>
        <w:jc w:val="both"/>
        <w:rPr>
          <w:rFonts w:ascii="Arial" w:eastAsia="Calibri" w:hAnsi="Arial" w:cs="Arial"/>
          <w:sz w:val="20"/>
          <w:szCs w:val="20"/>
          <w:lang w:val="es-ES_tradnl"/>
        </w:rPr>
      </w:pPr>
      <w:r w:rsidRPr="007F00BA">
        <w:rPr>
          <w:rFonts w:ascii="Arial" w:eastAsia="Calibri" w:hAnsi="Arial" w:cs="Arial"/>
          <w:sz w:val="20"/>
          <w:szCs w:val="20"/>
          <w:lang w:val="es-ES_tradnl"/>
        </w:rPr>
        <w:t xml:space="preserve">[…] </w:t>
      </w:r>
      <w:r w:rsidRPr="00B6638E">
        <w:rPr>
          <w:rFonts w:ascii="Arial" w:eastAsia="Calibri" w:hAnsi="Arial" w:cs="Arial"/>
          <w:sz w:val="20"/>
          <w:szCs w:val="20"/>
          <w:lang w:val="es-ES_tradnl"/>
        </w:rPr>
        <w:t xml:space="preserve">El Decreto </w:t>
      </w:r>
      <w:r>
        <w:rPr>
          <w:rFonts w:ascii="Arial" w:eastAsia="Calibri" w:hAnsi="Arial" w:cs="Arial"/>
          <w:sz w:val="20"/>
          <w:szCs w:val="20"/>
          <w:lang w:val="es-ES_tradnl"/>
        </w:rPr>
        <w:t xml:space="preserve">[092 de 2017] </w:t>
      </w:r>
      <w:r w:rsidRPr="00B6638E">
        <w:rPr>
          <w:rFonts w:ascii="Arial" w:eastAsia="Calibri" w:hAnsi="Arial" w:cs="Arial"/>
          <w:sz w:val="20"/>
          <w:szCs w:val="20"/>
          <w:lang w:val="es-ES_tradnl"/>
        </w:rPr>
        <w:t xml:space="preserve">regula dos [2] eventos: i) los contratos de colaboración o de interés público con el fin de impulsar programas y actividades de interés público de acuerdo con el plan nacional o los planes seccionales de desarrollo, en los términos del artículo 355 de la Constitución Política, y </w:t>
      </w:r>
      <w:proofErr w:type="spellStart"/>
      <w:r w:rsidRPr="00B6638E">
        <w:rPr>
          <w:rFonts w:ascii="Arial" w:eastAsia="Calibri" w:hAnsi="Arial" w:cs="Arial"/>
          <w:sz w:val="20"/>
          <w:szCs w:val="20"/>
          <w:lang w:val="es-ES_tradnl"/>
        </w:rPr>
        <w:t>ii</w:t>
      </w:r>
      <w:proofErr w:type="spellEnd"/>
      <w:r w:rsidRPr="00B6638E">
        <w:rPr>
          <w:rFonts w:ascii="Arial" w:eastAsia="Calibri" w:hAnsi="Arial" w:cs="Arial"/>
          <w:sz w:val="20"/>
          <w:szCs w:val="20"/>
          <w:lang w:val="es-ES_tradnl"/>
        </w:rPr>
        <w:t>)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están previstos en el artículo 5 ibidem. Así, es posible diferenciar, los convenios de asociación, regulados en el artículo 5, de los contratos de colaboración, establecidos en el artículo 2 del Decreto 092 de 201</w:t>
      </w:r>
      <w:r>
        <w:rPr>
          <w:rFonts w:ascii="Arial" w:eastAsia="Calibri" w:hAnsi="Arial" w:cs="Arial"/>
          <w:sz w:val="20"/>
          <w:szCs w:val="20"/>
          <w:lang w:val="es-ES_tradnl"/>
        </w:rPr>
        <w:t>7.</w:t>
      </w:r>
    </w:p>
    <w:p w14:paraId="6A779DFB" w14:textId="77777777" w:rsidR="00FC1D76" w:rsidRPr="009868CC" w:rsidRDefault="00FC1D76" w:rsidP="00FC1D76">
      <w:pPr>
        <w:jc w:val="right"/>
        <w:rPr>
          <w:rFonts w:ascii="Arial" w:eastAsia="Calibri" w:hAnsi="Arial" w:cs="Arial"/>
          <w:sz w:val="20"/>
          <w:szCs w:val="20"/>
        </w:rPr>
      </w:pPr>
    </w:p>
    <w:p w14:paraId="09F4923C" w14:textId="77777777" w:rsidR="00FC1D76" w:rsidRPr="009868CC" w:rsidRDefault="00FC1D76" w:rsidP="00FC1D76">
      <w:pPr>
        <w:rPr>
          <w:rFonts w:ascii="Arial" w:eastAsia="Calibri" w:hAnsi="Arial" w:cs="Arial"/>
          <w:b/>
          <w:bCs/>
          <w:sz w:val="22"/>
        </w:rPr>
      </w:pPr>
      <w:r w:rsidRPr="009868CC">
        <w:rPr>
          <w:rFonts w:ascii="Arial" w:eastAsia="Calibri" w:hAnsi="Arial" w:cs="Arial"/>
          <w:b/>
          <w:bCs/>
          <w:sz w:val="22"/>
        </w:rPr>
        <w:t xml:space="preserve">CONVENIOS DE ASOCIACIÓN – Noción – Proceso competitivo </w:t>
      </w:r>
    </w:p>
    <w:p w14:paraId="069AB86E" w14:textId="77777777" w:rsidR="00FC1D76" w:rsidRPr="009868CC" w:rsidRDefault="00FC1D76" w:rsidP="00FC1D76">
      <w:pPr>
        <w:rPr>
          <w:rFonts w:ascii="Arial" w:eastAsia="Calibri" w:hAnsi="Arial" w:cs="Arial"/>
          <w:sz w:val="20"/>
          <w:szCs w:val="20"/>
        </w:rPr>
      </w:pPr>
    </w:p>
    <w:p w14:paraId="78A20303" w14:textId="77777777" w:rsidR="00FC1D76" w:rsidRDefault="00FC1D76" w:rsidP="00FC1D76">
      <w:pPr>
        <w:jc w:val="both"/>
        <w:rPr>
          <w:rFonts w:ascii="Arial" w:hAnsi="Arial" w:cs="Arial"/>
          <w:sz w:val="20"/>
          <w:szCs w:val="20"/>
        </w:rPr>
      </w:pPr>
      <w:r w:rsidRPr="00294A34">
        <w:rPr>
          <w:rFonts w:ascii="Arial" w:eastAsia="Calibri" w:hAnsi="Arial" w:cs="Arial"/>
          <w:sz w:val="20"/>
          <w:szCs w:val="20"/>
        </w:rPr>
        <w:t xml:space="preserve">[…] </w:t>
      </w:r>
      <w:r w:rsidRPr="00EA4FC6">
        <w:rPr>
          <w:rFonts w:ascii="Arial" w:eastAsia="Calibri" w:hAnsi="Arial" w:cs="Arial"/>
          <w:sz w:val="20"/>
          <w:szCs w:val="20"/>
        </w:rPr>
        <w:t xml:space="preserve">los </w:t>
      </w:r>
      <w:r w:rsidRPr="00EA4FC6">
        <w:rPr>
          <w:rFonts w:ascii="Arial" w:eastAsia="Calibri" w:hAnsi="Arial" w:cs="Arial"/>
          <w:i/>
          <w:iCs/>
          <w:sz w:val="20"/>
          <w:szCs w:val="20"/>
        </w:rPr>
        <w:t>convenios de asociación</w:t>
      </w:r>
      <w:r w:rsidRPr="00EA4FC6">
        <w:rPr>
          <w:rFonts w:ascii="Arial" w:eastAsia="Calibri" w:hAnsi="Arial" w:cs="Arial"/>
          <w:sz w:val="20"/>
          <w:szCs w:val="20"/>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no existe contraprestación o pago, sino aportes, los cuales están dirigidos, exclusivamente, a lograr la ejecución del convenio y no a remunerar la actividad o las actuaciones del asociado. De todos modos, la entidad debe adelantar un proceso competitivo, salvo cuando la ESAL comprometa recursos en dinero para la ejecución de estas actividades, en una proporción no inferior al 30% del valor total del convenio.</w:t>
      </w:r>
    </w:p>
    <w:p w14:paraId="7A5A8CFD" w14:textId="77777777" w:rsidR="00FC1D76" w:rsidRDefault="00FC1D76" w:rsidP="00FC1D76">
      <w:pPr>
        <w:jc w:val="both"/>
        <w:rPr>
          <w:rFonts w:ascii="Arial" w:hAnsi="Arial" w:cs="Arial"/>
          <w:sz w:val="20"/>
          <w:szCs w:val="20"/>
        </w:rPr>
      </w:pPr>
      <w:r>
        <w:rPr>
          <w:rFonts w:ascii="Arial" w:hAnsi="Arial" w:cs="Arial"/>
          <w:sz w:val="20"/>
          <w:szCs w:val="20"/>
        </w:rPr>
        <w:t>[…]</w:t>
      </w:r>
    </w:p>
    <w:p w14:paraId="7EDFAC55" w14:textId="77777777" w:rsidR="00FC1D76" w:rsidRDefault="00FC1D76" w:rsidP="00FC1D76">
      <w:pPr>
        <w:jc w:val="both"/>
        <w:rPr>
          <w:rFonts w:ascii="Arial" w:eastAsia="Calibri" w:hAnsi="Arial" w:cs="Arial"/>
          <w:sz w:val="20"/>
          <w:szCs w:val="20"/>
        </w:rPr>
      </w:pPr>
      <w:r w:rsidRPr="00EA4FC6">
        <w:rPr>
          <w:rFonts w:ascii="Arial" w:eastAsia="Calibri" w:hAnsi="Arial" w:cs="Arial"/>
          <w:sz w:val="20"/>
          <w:szCs w:val="20"/>
        </w:rPr>
        <w:t>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ya que de lo contrario deberá celebrarse un proceso competitivo.</w:t>
      </w:r>
    </w:p>
    <w:p w14:paraId="65E344C5" w14:textId="77777777" w:rsidR="00FC1D76" w:rsidRPr="009868CC" w:rsidRDefault="00FC1D76" w:rsidP="00FC1D76">
      <w:pPr>
        <w:jc w:val="both"/>
        <w:rPr>
          <w:rFonts w:ascii="Arial" w:eastAsia="Calibri" w:hAnsi="Arial" w:cs="Arial"/>
          <w:sz w:val="20"/>
          <w:szCs w:val="20"/>
        </w:rPr>
      </w:pPr>
    </w:p>
    <w:p w14:paraId="5AD21833" w14:textId="77777777" w:rsidR="00FC1D76" w:rsidRPr="009868CC" w:rsidRDefault="00FC1D76" w:rsidP="00FC1D76">
      <w:pPr>
        <w:jc w:val="both"/>
        <w:rPr>
          <w:rFonts w:ascii="Arial" w:eastAsia="Calibri" w:hAnsi="Arial" w:cs="Arial"/>
          <w:sz w:val="20"/>
          <w:szCs w:val="20"/>
        </w:rPr>
      </w:pPr>
      <w:r w:rsidRPr="009868CC">
        <w:rPr>
          <w:rFonts w:ascii="Arial" w:eastAsia="Calibri" w:hAnsi="Arial" w:cs="Arial"/>
          <w:b/>
          <w:bCs/>
          <w:sz w:val="22"/>
        </w:rPr>
        <w:t xml:space="preserve">CONVENIOS DE ASOCIACIÓN – </w:t>
      </w:r>
      <w:r>
        <w:rPr>
          <w:rFonts w:ascii="Arial" w:eastAsia="Calibri" w:hAnsi="Arial" w:cs="Arial"/>
          <w:b/>
          <w:bCs/>
          <w:sz w:val="22"/>
        </w:rPr>
        <w:t>Aportes</w:t>
      </w:r>
      <w:r w:rsidRPr="009868CC">
        <w:rPr>
          <w:rFonts w:ascii="Arial" w:eastAsia="Calibri" w:hAnsi="Arial" w:cs="Arial"/>
          <w:b/>
          <w:bCs/>
          <w:sz w:val="22"/>
        </w:rPr>
        <w:t xml:space="preserve"> – </w:t>
      </w:r>
      <w:r>
        <w:rPr>
          <w:rFonts w:ascii="Arial" w:eastAsia="Calibri" w:hAnsi="Arial" w:cs="Arial"/>
          <w:b/>
          <w:bCs/>
          <w:sz w:val="22"/>
        </w:rPr>
        <w:t>Cuentas</w:t>
      </w:r>
    </w:p>
    <w:p w14:paraId="48F7462D" w14:textId="77777777" w:rsidR="00FC1D76" w:rsidRPr="009868CC" w:rsidRDefault="00FC1D76" w:rsidP="00FC1D76">
      <w:pPr>
        <w:jc w:val="both"/>
        <w:rPr>
          <w:rFonts w:ascii="Arial" w:eastAsia="Calibri" w:hAnsi="Arial" w:cs="Arial"/>
          <w:sz w:val="20"/>
          <w:szCs w:val="20"/>
        </w:rPr>
      </w:pPr>
    </w:p>
    <w:p w14:paraId="514C0A88" w14:textId="77777777" w:rsidR="00FC1D76" w:rsidRDefault="00FC1D76" w:rsidP="00FC1D76">
      <w:pPr>
        <w:jc w:val="both"/>
        <w:rPr>
          <w:rFonts w:ascii="Arial" w:eastAsia="Calibri" w:hAnsi="Arial" w:cs="Arial"/>
          <w:sz w:val="20"/>
          <w:szCs w:val="20"/>
        </w:rPr>
      </w:pPr>
      <w:r>
        <w:rPr>
          <w:rFonts w:ascii="Arial" w:eastAsia="Calibri" w:hAnsi="Arial" w:cs="Arial"/>
          <w:sz w:val="20"/>
          <w:szCs w:val="20"/>
        </w:rPr>
        <w:t xml:space="preserve">[…] </w:t>
      </w:r>
      <w:r w:rsidRPr="00DA53D4">
        <w:rPr>
          <w:rFonts w:ascii="Arial" w:eastAsia="Calibri" w:hAnsi="Arial" w:cs="Arial"/>
          <w:sz w:val="20"/>
          <w:szCs w:val="20"/>
        </w:rPr>
        <w:t>la Superintendencia Financiera, de acuerdo con el Concepto 2009036212-001 del 18 de junio de 2009, explica que lo normal es que las cuentas bancarias no se abran más que a nombre de una sola persona. Sin embargo, nada obsta para que la cuenta sea abierta a nombre de dos o más, caso en el cual se presenta el fenómeno de la pluralidad de titulares. Estas cuentas colectivas pueden ser mancomunadas, solidarias o conjuntas. Frente a este tipo de situaciones, de acuerdo con lo explicado en la parte considerativa de este concepto, las entidades definirán autónomamente en cada caso concreto si los recursos que estas aporten pueden estar o no en la misma cuenta bancaria donde se encuentran los aportes de la ESAL. Esto último en la medida que, de acuerdo con las competencias asignadas en el Decreto – Ley 4170 de 2011, esta entidad carece de atribuciones para vigilar la gestión contractual de los partícipes del sistema de compras y contratación pública.</w:t>
      </w:r>
    </w:p>
    <w:p w14:paraId="6D3CE99B" w14:textId="77777777" w:rsidR="00FC1D76" w:rsidRPr="00DA53D4" w:rsidRDefault="00FC1D76" w:rsidP="00FC1D76">
      <w:pPr>
        <w:jc w:val="both"/>
        <w:rPr>
          <w:rFonts w:ascii="Arial" w:eastAsia="Calibri" w:hAnsi="Arial" w:cs="Arial"/>
          <w:sz w:val="20"/>
          <w:szCs w:val="20"/>
        </w:rPr>
      </w:pPr>
      <w:r w:rsidRPr="00DA53D4">
        <w:rPr>
          <w:rFonts w:ascii="Arial" w:eastAsia="Calibri" w:hAnsi="Arial" w:cs="Arial"/>
          <w:sz w:val="20"/>
          <w:szCs w:val="20"/>
        </w:rPr>
        <w:lastRenderedPageBreak/>
        <w:t xml:space="preserve">   </w:t>
      </w:r>
    </w:p>
    <w:p w14:paraId="54DAD638" w14:textId="77777777" w:rsidR="00FC1D76" w:rsidRPr="00101496" w:rsidRDefault="00FC1D76" w:rsidP="00FC1D76">
      <w:pPr>
        <w:jc w:val="both"/>
        <w:rPr>
          <w:rFonts w:ascii="Arial" w:eastAsia="Calibri" w:hAnsi="Arial" w:cs="Arial"/>
          <w:sz w:val="20"/>
          <w:szCs w:val="20"/>
          <w:lang w:val="es-ES"/>
        </w:rPr>
      </w:pPr>
      <w:r w:rsidRPr="00DA53D4">
        <w:rPr>
          <w:rFonts w:ascii="Arial" w:eastAsia="Calibri" w:hAnsi="Arial" w:cs="Arial"/>
          <w:sz w:val="20"/>
          <w:szCs w:val="20"/>
        </w:rPr>
        <w:t xml:space="preserve">Lo normal es que los aportes estén en cuentas diferentes. No obstante, si la entidad estima oportuno que los recursos estén en una cuenta colectiva, deberá analizar –en función de la titularidad de los saldos disponibles– el cumplimiento de las condiciones previstas en el artículo 5 del Decreto 092 de 2017 para acudir al procedimiento no competitivo, y permitirá la pluralidad de oferentes en caso de que no concurran dichos requisitos. Por lo anterior, previo concepto de sus órganos asesores, la solución de estos temas corresponde a la entidad que adelanta el procedimiento de selección y, en caso de que se presente alguna irregularidad, a las autoridades judiciales, fiscales y disciplinarias. Lo anterior sin perjuicio del cumplimiento de las disposiciones presupuestales vigentes.   </w:t>
      </w:r>
    </w:p>
    <w:p w14:paraId="6A59065F" w14:textId="77777777" w:rsidR="00FC1D76" w:rsidRPr="009868CC" w:rsidRDefault="00FC1D76" w:rsidP="00FC1D76">
      <w:pPr>
        <w:jc w:val="right"/>
        <w:rPr>
          <w:rFonts w:ascii="Arial" w:eastAsia="Calibri" w:hAnsi="Arial" w:cs="Arial"/>
          <w:sz w:val="20"/>
          <w:szCs w:val="20"/>
        </w:rPr>
      </w:pPr>
    </w:p>
    <w:p w14:paraId="74565728" w14:textId="77777777" w:rsidR="00FC1D76" w:rsidRPr="009868CC" w:rsidRDefault="00FC1D76" w:rsidP="00FC1D76">
      <w:pPr>
        <w:jc w:val="right"/>
        <w:rPr>
          <w:rFonts w:ascii="Arial" w:eastAsia="Calibri" w:hAnsi="Arial" w:cs="Arial"/>
          <w:sz w:val="20"/>
          <w:szCs w:val="20"/>
        </w:rPr>
      </w:pPr>
    </w:p>
    <w:p w14:paraId="2F5A81E8" w14:textId="77777777" w:rsidR="00FC1D76" w:rsidRPr="009868CC" w:rsidRDefault="00FC1D76" w:rsidP="00FC1D76">
      <w:pPr>
        <w:jc w:val="right"/>
        <w:rPr>
          <w:rFonts w:ascii="Arial" w:eastAsia="Calibri" w:hAnsi="Arial" w:cs="Arial"/>
          <w:sz w:val="20"/>
          <w:szCs w:val="20"/>
        </w:rPr>
      </w:pPr>
    </w:p>
    <w:p w14:paraId="3E367C2B" w14:textId="77777777" w:rsidR="00FC1D76" w:rsidRPr="009868CC" w:rsidRDefault="00FC1D76" w:rsidP="00FC1D76">
      <w:pPr>
        <w:jc w:val="right"/>
        <w:rPr>
          <w:rFonts w:ascii="Arial" w:eastAsia="Calibri" w:hAnsi="Arial" w:cs="Arial"/>
          <w:sz w:val="20"/>
          <w:szCs w:val="20"/>
        </w:rPr>
      </w:pPr>
    </w:p>
    <w:p w14:paraId="4B46641F" w14:textId="77777777" w:rsidR="00FC1D76" w:rsidRPr="009868CC" w:rsidRDefault="00FC1D76" w:rsidP="00FC1D76">
      <w:pPr>
        <w:jc w:val="right"/>
        <w:rPr>
          <w:rFonts w:ascii="Arial" w:eastAsia="Calibri" w:hAnsi="Arial" w:cs="Arial"/>
          <w:sz w:val="20"/>
          <w:szCs w:val="20"/>
        </w:rPr>
      </w:pPr>
    </w:p>
    <w:p w14:paraId="667BE5AE" w14:textId="77777777" w:rsidR="00FC1D76" w:rsidRPr="009868CC" w:rsidRDefault="00FC1D76" w:rsidP="00FC1D76">
      <w:pPr>
        <w:jc w:val="right"/>
        <w:rPr>
          <w:rFonts w:ascii="Arial" w:eastAsia="Calibri" w:hAnsi="Arial" w:cs="Arial"/>
          <w:sz w:val="20"/>
          <w:szCs w:val="20"/>
        </w:rPr>
      </w:pPr>
    </w:p>
    <w:p w14:paraId="3A273E0C" w14:textId="77777777" w:rsidR="00FC1D76" w:rsidRPr="009868CC" w:rsidRDefault="00FC1D76" w:rsidP="00FC1D76">
      <w:pPr>
        <w:jc w:val="right"/>
        <w:rPr>
          <w:rFonts w:ascii="Arial" w:eastAsia="Calibri" w:hAnsi="Arial" w:cs="Arial"/>
          <w:sz w:val="20"/>
          <w:szCs w:val="20"/>
        </w:rPr>
      </w:pPr>
    </w:p>
    <w:p w14:paraId="0E84132D" w14:textId="77777777" w:rsidR="00FC1D76" w:rsidRPr="009868CC" w:rsidRDefault="00FC1D76" w:rsidP="00FC1D76">
      <w:pPr>
        <w:jc w:val="right"/>
        <w:rPr>
          <w:rFonts w:ascii="Arial" w:eastAsia="Calibri" w:hAnsi="Arial" w:cs="Arial"/>
          <w:sz w:val="20"/>
          <w:szCs w:val="20"/>
        </w:rPr>
      </w:pPr>
    </w:p>
    <w:p w14:paraId="7BE05D64" w14:textId="77777777" w:rsidR="00FC1D76" w:rsidRPr="009868CC" w:rsidRDefault="00FC1D76" w:rsidP="00FC1D76">
      <w:pPr>
        <w:jc w:val="right"/>
        <w:rPr>
          <w:rFonts w:ascii="Arial" w:eastAsia="Calibri" w:hAnsi="Arial" w:cs="Arial"/>
          <w:sz w:val="20"/>
          <w:szCs w:val="20"/>
        </w:rPr>
      </w:pPr>
    </w:p>
    <w:p w14:paraId="696BC06F" w14:textId="77777777" w:rsidR="00FC1D76" w:rsidRPr="009868CC" w:rsidRDefault="00FC1D76" w:rsidP="00FC1D76">
      <w:pPr>
        <w:jc w:val="right"/>
        <w:rPr>
          <w:rFonts w:ascii="Arial" w:eastAsia="Calibri" w:hAnsi="Arial" w:cs="Arial"/>
          <w:sz w:val="20"/>
          <w:szCs w:val="20"/>
        </w:rPr>
      </w:pPr>
    </w:p>
    <w:p w14:paraId="65C24CF2" w14:textId="77777777" w:rsidR="00FC1D76" w:rsidRPr="009868CC" w:rsidRDefault="00FC1D76" w:rsidP="00FC1D76">
      <w:pPr>
        <w:jc w:val="right"/>
        <w:rPr>
          <w:rFonts w:ascii="Arial" w:eastAsia="Calibri" w:hAnsi="Arial" w:cs="Arial"/>
          <w:sz w:val="20"/>
          <w:szCs w:val="20"/>
        </w:rPr>
      </w:pPr>
    </w:p>
    <w:p w14:paraId="6A0ECBF5" w14:textId="77777777" w:rsidR="00FC1D76" w:rsidRPr="009868CC" w:rsidRDefault="00FC1D76" w:rsidP="00FC1D76">
      <w:pPr>
        <w:jc w:val="right"/>
        <w:rPr>
          <w:rFonts w:ascii="Arial" w:eastAsia="Calibri" w:hAnsi="Arial" w:cs="Arial"/>
          <w:sz w:val="20"/>
          <w:szCs w:val="20"/>
        </w:rPr>
      </w:pPr>
    </w:p>
    <w:p w14:paraId="54B3735C" w14:textId="77777777" w:rsidR="00FC1D76" w:rsidRPr="009868CC" w:rsidRDefault="00FC1D76" w:rsidP="00FC1D76">
      <w:pPr>
        <w:jc w:val="right"/>
        <w:rPr>
          <w:rFonts w:ascii="Arial" w:eastAsia="Calibri" w:hAnsi="Arial" w:cs="Arial"/>
          <w:sz w:val="20"/>
          <w:szCs w:val="20"/>
        </w:rPr>
      </w:pPr>
    </w:p>
    <w:p w14:paraId="035D65D8" w14:textId="77777777" w:rsidR="00FC1D76" w:rsidRPr="009868CC" w:rsidRDefault="00FC1D76" w:rsidP="00FC1D76">
      <w:pPr>
        <w:jc w:val="right"/>
        <w:rPr>
          <w:rFonts w:ascii="Arial" w:eastAsia="Calibri" w:hAnsi="Arial" w:cs="Arial"/>
          <w:sz w:val="20"/>
          <w:szCs w:val="20"/>
        </w:rPr>
      </w:pPr>
    </w:p>
    <w:p w14:paraId="3118C5A5" w14:textId="77777777" w:rsidR="00FC1D76" w:rsidRDefault="00FC1D76" w:rsidP="00FC1D76">
      <w:pPr>
        <w:rPr>
          <w:rFonts w:ascii="Arial" w:hAnsi="Arial" w:cs="Arial"/>
          <w:color w:val="000000" w:themeColor="text1"/>
          <w:sz w:val="22"/>
          <w:lang w:val="es-CO"/>
        </w:rPr>
      </w:pPr>
      <w:bookmarkStart w:id="2" w:name="_Hlk57621034"/>
    </w:p>
    <w:p w14:paraId="1E630AEF" w14:textId="77777777" w:rsidR="00FC1D76" w:rsidRDefault="00FC1D76" w:rsidP="00FC1D76">
      <w:pPr>
        <w:rPr>
          <w:rFonts w:ascii="Arial" w:hAnsi="Arial" w:cs="Arial"/>
          <w:color w:val="000000" w:themeColor="text1"/>
          <w:sz w:val="22"/>
          <w:lang w:val="es-CO"/>
        </w:rPr>
      </w:pPr>
    </w:p>
    <w:p w14:paraId="58A72AF2" w14:textId="77777777" w:rsidR="00FC1D76" w:rsidRDefault="00FC1D76" w:rsidP="00FC1D76">
      <w:pPr>
        <w:rPr>
          <w:rFonts w:ascii="Arial" w:hAnsi="Arial" w:cs="Arial"/>
          <w:color w:val="000000" w:themeColor="text1"/>
          <w:sz w:val="22"/>
          <w:lang w:val="es-CO"/>
        </w:rPr>
      </w:pPr>
    </w:p>
    <w:p w14:paraId="202761A1" w14:textId="77777777" w:rsidR="00FC1D76" w:rsidRDefault="00FC1D76" w:rsidP="00FC1D76">
      <w:pPr>
        <w:rPr>
          <w:rFonts w:ascii="Arial" w:hAnsi="Arial" w:cs="Arial"/>
          <w:color w:val="000000" w:themeColor="text1"/>
          <w:sz w:val="22"/>
          <w:lang w:val="es-CO"/>
        </w:rPr>
      </w:pPr>
    </w:p>
    <w:p w14:paraId="21D91D8E" w14:textId="77777777" w:rsidR="00FC1D76" w:rsidRDefault="00FC1D76" w:rsidP="00FC1D76">
      <w:pPr>
        <w:rPr>
          <w:rFonts w:ascii="Arial" w:hAnsi="Arial" w:cs="Arial"/>
          <w:color w:val="000000" w:themeColor="text1"/>
          <w:sz w:val="22"/>
          <w:lang w:val="es-CO"/>
        </w:rPr>
      </w:pPr>
    </w:p>
    <w:p w14:paraId="214F8FAE" w14:textId="77777777" w:rsidR="00FC1D76" w:rsidRDefault="00FC1D76" w:rsidP="00FC1D76">
      <w:pPr>
        <w:rPr>
          <w:rFonts w:ascii="Arial" w:hAnsi="Arial" w:cs="Arial"/>
          <w:color w:val="000000" w:themeColor="text1"/>
          <w:sz w:val="22"/>
          <w:lang w:val="es-CO"/>
        </w:rPr>
      </w:pPr>
    </w:p>
    <w:p w14:paraId="0447B771" w14:textId="77777777" w:rsidR="00FC1D76" w:rsidRDefault="00FC1D76" w:rsidP="00FC1D76">
      <w:pPr>
        <w:rPr>
          <w:rFonts w:ascii="Arial" w:hAnsi="Arial" w:cs="Arial"/>
          <w:color w:val="000000" w:themeColor="text1"/>
          <w:sz w:val="22"/>
          <w:lang w:val="es-CO"/>
        </w:rPr>
      </w:pPr>
    </w:p>
    <w:p w14:paraId="4E552A7D" w14:textId="77777777" w:rsidR="00FC1D76" w:rsidRDefault="00FC1D76" w:rsidP="00FC1D76">
      <w:pPr>
        <w:rPr>
          <w:rFonts w:ascii="Arial" w:hAnsi="Arial" w:cs="Arial"/>
          <w:color w:val="000000" w:themeColor="text1"/>
          <w:sz w:val="22"/>
          <w:lang w:val="es-CO"/>
        </w:rPr>
      </w:pPr>
    </w:p>
    <w:p w14:paraId="344BDF58" w14:textId="77777777" w:rsidR="00FC1D76" w:rsidRDefault="00FC1D76" w:rsidP="00FC1D76">
      <w:pPr>
        <w:rPr>
          <w:rFonts w:ascii="Arial" w:hAnsi="Arial" w:cs="Arial"/>
          <w:color w:val="000000" w:themeColor="text1"/>
          <w:sz w:val="22"/>
          <w:lang w:val="es-CO"/>
        </w:rPr>
      </w:pPr>
    </w:p>
    <w:p w14:paraId="5DC3F5F4" w14:textId="77777777" w:rsidR="00FC1D76" w:rsidRDefault="00FC1D76" w:rsidP="00FC1D76">
      <w:pPr>
        <w:rPr>
          <w:rFonts w:ascii="Arial" w:hAnsi="Arial" w:cs="Arial"/>
          <w:color w:val="000000" w:themeColor="text1"/>
          <w:sz w:val="22"/>
          <w:lang w:val="es-CO"/>
        </w:rPr>
      </w:pPr>
    </w:p>
    <w:p w14:paraId="41BF7A51" w14:textId="77777777" w:rsidR="00FC1D76" w:rsidRDefault="00FC1D76" w:rsidP="00FC1D76">
      <w:pPr>
        <w:rPr>
          <w:rFonts w:ascii="Arial" w:hAnsi="Arial" w:cs="Arial"/>
          <w:color w:val="000000" w:themeColor="text1"/>
          <w:sz w:val="22"/>
          <w:lang w:val="es-CO"/>
        </w:rPr>
      </w:pPr>
    </w:p>
    <w:p w14:paraId="69C445BF" w14:textId="77777777" w:rsidR="00FC1D76" w:rsidRDefault="00FC1D76" w:rsidP="00FC1D76">
      <w:pPr>
        <w:rPr>
          <w:rFonts w:ascii="Arial" w:hAnsi="Arial" w:cs="Arial"/>
          <w:color w:val="000000" w:themeColor="text1"/>
          <w:sz w:val="22"/>
          <w:lang w:val="es-CO"/>
        </w:rPr>
      </w:pPr>
    </w:p>
    <w:p w14:paraId="29B4A5CD" w14:textId="77777777" w:rsidR="00FC1D76" w:rsidRDefault="00FC1D76" w:rsidP="00FC1D76">
      <w:pPr>
        <w:rPr>
          <w:rFonts w:ascii="Arial" w:hAnsi="Arial" w:cs="Arial"/>
          <w:color w:val="000000" w:themeColor="text1"/>
          <w:sz w:val="22"/>
          <w:lang w:val="es-CO"/>
        </w:rPr>
      </w:pPr>
    </w:p>
    <w:p w14:paraId="12497527" w14:textId="77777777" w:rsidR="00FC1D76" w:rsidRDefault="00FC1D76" w:rsidP="00FC1D76">
      <w:pPr>
        <w:rPr>
          <w:rFonts w:ascii="Arial" w:hAnsi="Arial" w:cs="Arial"/>
          <w:color w:val="000000" w:themeColor="text1"/>
          <w:sz w:val="22"/>
          <w:lang w:val="es-CO"/>
        </w:rPr>
      </w:pPr>
    </w:p>
    <w:p w14:paraId="27201E2E" w14:textId="77777777" w:rsidR="00FC1D76" w:rsidRDefault="00FC1D76" w:rsidP="00FC1D76">
      <w:pPr>
        <w:rPr>
          <w:rFonts w:ascii="Arial" w:hAnsi="Arial" w:cs="Arial"/>
          <w:color w:val="000000" w:themeColor="text1"/>
          <w:sz w:val="22"/>
          <w:lang w:val="es-CO"/>
        </w:rPr>
      </w:pPr>
    </w:p>
    <w:p w14:paraId="1632895B" w14:textId="77777777" w:rsidR="00FC1D76" w:rsidRDefault="00FC1D76" w:rsidP="00FC1D76">
      <w:pPr>
        <w:rPr>
          <w:rFonts w:ascii="Arial" w:hAnsi="Arial" w:cs="Arial"/>
          <w:color w:val="000000" w:themeColor="text1"/>
          <w:sz w:val="22"/>
          <w:lang w:val="es-CO"/>
        </w:rPr>
      </w:pPr>
    </w:p>
    <w:p w14:paraId="2BCC15D7" w14:textId="77777777" w:rsidR="00FC1D76" w:rsidRDefault="00FC1D76" w:rsidP="00FC1D76">
      <w:pPr>
        <w:rPr>
          <w:rFonts w:ascii="Arial" w:hAnsi="Arial" w:cs="Arial"/>
          <w:color w:val="000000" w:themeColor="text1"/>
          <w:sz w:val="22"/>
          <w:lang w:val="es-CO"/>
        </w:rPr>
      </w:pPr>
    </w:p>
    <w:p w14:paraId="4F6EB245" w14:textId="77777777" w:rsidR="00FC1D76" w:rsidRDefault="00FC1D76" w:rsidP="00FC1D76">
      <w:pPr>
        <w:rPr>
          <w:rFonts w:ascii="Arial" w:hAnsi="Arial" w:cs="Arial"/>
          <w:color w:val="000000" w:themeColor="text1"/>
          <w:sz w:val="22"/>
          <w:lang w:val="es-CO"/>
        </w:rPr>
      </w:pPr>
    </w:p>
    <w:p w14:paraId="64B9E0BF" w14:textId="77777777" w:rsidR="00FC1D76" w:rsidRDefault="00FC1D76" w:rsidP="00FC1D76">
      <w:pPr>
        <w:rPr>
          <w:rFonts w:ascii="Arial" w:hAnsi="Arial" w:cs="Arial"/>
          <w:color w:val="000000" w:themeColor="text1"/>
          <w:sz w:val="22"/>
          <w:lang w:val="es-CO"/>
        </w:rPr>
      </w:pPr>
    </w:p>
    <w:p w14:paraId="49EFFDDE" w14:textId="77777777" w:rsidR="00FC1D76" w:rsidRDefault="00FC1D76" w:rsidP="00FC1D76">
      <w:pPr>
        <w:rPr>
          <w:rFonts w:ascii="Arial" w:hAnsi="Arial" w:cs="Arial"/>
          <w:color w:val="000000" w:themeColor="text1"/>
          <w:sz w:val="22"/>
          <w:lang w:val="es-CO"/>
        </w:rPr>
      </w:pPr>
    </w:p>
    <w:p w14:paraId="16EAF881" w14:textId="77777777" w:rsidR="00FC1D76" w:rsidRDefault="00FC1D76" w:rsidP="00FC1D76">
      <w:pPr>
        <w:rPr>
          <w:rFonts w:ascii="Arial" w:hAnsi="Arial" w:cs="Arial"/>
          <w:color w:val="000000" w:themeColor="text1"/>
          <w:sz w:val="22"/>
          <w:lang w:val="es-CO"/>
        </w:rPr>
      </w:pPr>
    </w:p>
    <w:p w14:paraId="4F4C31F2" w14:textId="77777777" w:rsidR="00FC1D76" w:rsidRDefault="00FC1D76" w:rsidP="00FC1D76">
      <w:pPr>
        <w:rPr>
          <w:rFonts w:ascii="Arial" w:hAnsi="Arial" w:cs="Arial"/>
          <w:color w:val="000000" w:themeColor="text1"/>
          <w:sz w:val="22"/>
          <w:lang w:val="es-CO"/>
        </w:rPr>
      </w:pPr>
    </w:p>
    <w:p w14:paraId="3924FCE3" w14:textId="77777777" w:rsidR="00FC1D76" w:rsidRDefault="00FC1D76" w:rsidP="00FC1D76">
      <w:pPr>
        <w:rPr>
          <w:rFonts w:ascii="Arial" w:hAnsi="Arial" w:cs="Arial"/>
          <w:color w:val="000000" w:themeColor="text1"/>
          <w:sz w:val="22"/>
          <w:lang w:val="es-CO"/>
        </w:rPr>
      </w:pPr>
    </w:p>
    <w:p w14:paraId="5B06607D" w14:textId="77777777" w:rsidR="00FC1D76" w:rsidRDefault="00FC1D76" w:rsidP="00FC1D76">
      <w:pPr>
        <w:jc w:val="right"/>
        <w:rPr>
          <w:rFonts w:ascii="Arial" w:hAnsi="Arial" w:cs="Arial"/>
          <w:color w:val="000000" w:themeColor="text1"/>
          <w:sz w:val="22"/>
          <w:lang w:val="es-CO"/>
        </w:rPr>
      </w:pPr>
    </w:p>
    <w:p w14:paraId="1EB074F4" w14:textId="77777777" w:rsidR="00FC1D76" w:rsidRDefault="00FC1D76" w:rsidP="00FC1D76">
      <w:pPr>
        <w:jc w:val="right"/>
        <w:rPr>
          <w:rFonts w:ascii="Arial" w:hAnsi="Arial" w:cs="Arial"/>
          <w:color w:val="000000" w:themeColor="text1"/>
          <w:sz w:val="22"/>
          <w:lang w:val="es-CO"/>
        </w:rPr>
      </w:pPr>
      <w:r>
        <w:rPr>
          <w:rFonts w:ascii="Arial" w:hAnsi="Arial" w:cs="Arial"/>
          <w:noProof/>
          <w:color w:val="000000" w:themeColor="text1"/>
          <w:sz w:val="22"/>
          <w:lang w:val="es-CO"/>
        </w:rPr>
        <w:drawing>
          <wp:inline distT="0" distB="0" distL="0" distR="0" wp14:anchorId="11DF840B" wp14:editId="46D954D1">
            <wp:extent cx="2476846" cy="71447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2476846" cy="714475"/>
                    </a:xfrm>
                    <a:prstGeom prst="rect">
                      <a:avLst/>
                    </a:prstGeom>
                  </pic:spPr>
                </pic:pic>
              </a:graphicData>
            </a:graphic>
          </wp:inline>
        </w:drawing>
      </w:r>
    </w:p>
    <w:bookmarkEnd w:id="2"/>
    <w:p w14:paraId="72836A70" w14:textId="77777777" w:rsidR="00FC1D76" w:rsidRPr="009868CC" w:rsidRDefault="00FC1D76" w:rsidP="00FC1D76">
      <w:pPr>
        <w:rPr>
          <w:rFonts w:ascii="Arial" w:eastAsia="Calibri" w:hAnsi="Arial" w:cs="Arial"/>
          <w:sz w:val="22"/>
          <w:szCs w:val="20"/>
        </w:rPr>
      </w:pPr>
    </w:p>
    <w:p w14:paraId="36973490" w14:textId="77777777" w:rsidR="00FC1D76" w:rsidRDefault="00FC1D76" w:rsidP="00FC1D76">
      <w:pPr>
        <w:rPr>
          <w:rFonts w:ascii="Arial" w:eastAsia="Calibri" w:hAnsi="Arial" w:cs="Arial"/>
          <w:sz w:val="22"/>
          <w:szCs w:val="20"/>
        </w:rPr>
      </w:pPr>
    </w:p>
    <w:p w14:paraId="61C8451D" w14:textId="77777777" w:rsidR="00FC1D76" w:rsidRPr="009868CC" w:rsidRDefault="00FC1D76" w:rsidP="00FC1D76">
      <w:pPr>
        <w:rPr>
          <w:rFonts w:ascii="Arial" w:eastAsia="Calibri" w:hAnsi="Arial" w:cs="Arial"/>
          <w:sz w:val="22"/>
          <w:szCs w:val="20"/>
        </w:rPr>
      </w:pPr>
      <w:r w:rsidRPr="009868CC">
        <w:rPr>
          <w:rFonts w:ascii="Arial" w:eastAsia="Calibri" w:hAnsi="Arial" w:cs="Arial"/>
          <w:sz w:val="22"/>
          <w:szCs w:val="20"/>
        </w:rPr>
        <w:t>Seño</w:t>
      </w:r>
      <w:r>
        <w:rPr>
          <w:rFonts w:ascii="Arial" w:eastAsia="Calibri" w:hAnsi="Arial" w:cs="Arial"/>
          <w:sz w:val="22"/>
          <w:szCs w:val="20"/>
        </w:rPr>
        <w:t>ra</w:t>
      </w:r>
    </w:p>
    <w:p w14:paraId="5B104A57" w14:textId="77777777" w:rsidR="00FC1D76" w:rsidRPr="009868CC" w:rsidRDefault="00FC1D76" w:rsidP="00FC1D76">
      <w:pPr>
        <w:rPr>
          <w:rFonts w:ascii="Arial" w:eastAsia="Calibri" w:hAnsi="Arial" w:cs="Arial"/>
          <w:b/>
          <w:sz w:val="22"/>
          <w:szCs w:val="20"/>
        </w:rPr>
      </w:pPr>
      <w:proofErr w:type="spellStart"/>
      <w:r>
        <w:rPr>
          <w:rFonts w:ascii="Arial" w:eastAsia="Calibri" w:hAnsi="Arial" w:cs="Arial"/>
          <w:b/>
          <w:sz w:val="22"/>
          <w:szCs w:val="20"/>
        </w:rPr>
        <w:t>Hanny</w:t>
      </w:r>
      <w:proofErr w:type="spellEnd"/>
      <w:r>
        <w:rPr>
          <w:rFonts w:ascii="Arial" w:eastAsia="Calibri" w:hAnsi="Arial" w:cs="Arial"/>
          <w:b/>
          <w:sz w:val="22"/>
          <w:szCs w:val="20"/>
        </w:rPr>
        <w:t xml:space="preserve"> Morales</w:t>
      </w:r>
    </w:p>
    <w:p w14:paraId="1B00DF86" w14:textId="77777777" w:rsidR="00FC1D76" w:rsidRPr="009868CC" w:rsidRDefault="00FC1D76" w:rsidP="00FC1D76">
      <w:pPr>
        <w:rPr>
          <w:rFonts w:ascii="Arial" w:eastAsia="Calibri" w:hAnsi="Arial" w:cs="Arial"/>
          <w:sz w:val="22"/>
          <w:szCs w:val="20"/>
        </w:rPr>
      </w:pPr>
      <w:r>
        <w:rPr>
          <w:rFonts w:ascii="Arial" w:eastAsia="Calibri" w:hAnsi="Arial" w:cs="Arial"/>
          <w:sz w:val="22"/>
          <w:szCs w:val="20"/>
        </w:rPr>
        <w:t>Bogotá, D.C.</w:t>
      </w:r>
    </w:p>
    <w:p w14:paraId="0B8BCB16" w14:textId="77777777" w:rsidR="00FC1D76" w:rsidRPr="009868CC" w:rsidRDefault="00FC1D76" w:rsidP="00FC1D76">
      <w:pPr>
        <w:rPr>
          <w:rFonts w:ascii="Arial" w:eastAsia="Calibri" w:hAnsi="Arial" w:cs="Arial"/>
          <w:sz w:val="22"/>
          <w:szCs w:val="20"/>
        </w:rPr>
      </w:pPr>
    </w:p>
    <w:p w14:paraId="0CFAAF56" w14:textId="77777777" w:rsidR="00FC1D76" w:rsidRPr="009868CC" w:rsidRDefault="00FC1D76" w:rsidP="00FC1D76">
      <w:pPr>
        <w:rPr>
          <w:rFonts w:ascii="Arial" w:eastAsia="Calibri" w:hAnsi="Arial" w:cs="Arial"/>
          <w:sz w:val="22"/>
          <w:szCs w:val="20"/>
        </w:rPr>
      </w:pPr>
    </w:p>
    <w:p w14:paraId="08252D65" w14:textId="77777777" w:rsidR="00FC1D76" w:rsidRPr="009868CC" w:rsidRDefault="00FC1D76" w:rsidP="00FC1D76">
      <w:pPr>
        <w:rPr>
          <w:rFonts w:ascii="Arial" w:eastAsia="Calibri" w:hAnsi="Arial" w:cs="Arial"/>
          <w:b/>
          <w:sz w:val="22"/>
        </w:rPr>
      </w:pPr>
      <w:r>
        <w:rPr>
          <w:rFonts w:ascii="Arial" w:eastAsia="Calibri" w:hAnsi="Arial" w:cs="Arial"/>
          <w:b/>
          <w:sz w:val="22"/>
        </w:rPr>
        <w:t xml:space="preserve">                                            </w:t>
      </w:r>
      <w:r w:rsidRPr="009868CC">
        <w:rPr>
          <w:rFonts w:ascii="Arial" w:eastAsia="Calibri" w:hAnsi="Arial" w:cs="Arial"/>
          <w:b/>
          <w:sz w:val="22"/>
        </w:rPr>
        <w:t xml:space="preserve">Concepto C – </w:t>
      </w:r>
      <w:r>
        <w:rPr>
          <w:rFonts w:ascii="Arial" w:eastAsia="Calibri" w:hAnsi="Arial" w:cs="Arial"/>
          <w:b/>
          <w:sz w:val="22"/>
        </w:rPr>
        <w:t>638</w:t>
      </w:r>
      <w:r w:rsidRPr="009868CC">
        <w:rPr>
          <w:rFonts w:ascii="Arial" w:eastAsia="Calibri" w:hAnsi="Arial" w:cs="Arial"/>
          <w:b/>
          <w:sz w:val="22"/>
        </w:rPr>
        <w:t xml:space="preserve"> de 202</w:t>
      </w:r>
      <w:r>
        <w:rPr>
          <w:rFonts w:ascii="Arial" w:eastAsia="Calibri" w:hAnsi="Arial" w:cs="Arial"/>
          <w:b/>
          <w:sz w:val="22"/>
        </w:rPr>
        <w:t>1</w:t>
      </w:r>
    </w:p>
    <w:p w14:paraId="154B232E" w14:textId="77777777" w:rsidR="00FC1D76" w:rsidRPr="009868CC" w:rsidRDefault="00FC1D76" w:rsidP="00FC1D76">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C1D76" w:rsidRPr="00F8030A" w14:paraId="210C62A3" w14:textId="77777777" w:rsidTr="00DE0AF4">
        <w:tc>
          <w:tcPr>
            <w:tcW w:w="2689" w:type="dxa"/>
            <w:hideMark/>
          </w:tcPr>
          <w:p w14:paraId="7E916AFB" w14:textId="77777777" w:rsidR="00FC1D76" w:rsidRPr="009868CC" w:rsidRDefault="00FC1D76" w:rsidP="00DE0AF4">
            <w:pPr>
              <w:rPr>
                <w:rFonts w:ascii="Arial" w:eastAsia="Calibri" w:hAnsi="Arial" w:cs="Arial"/>
              </w:rPr>
            </w:pPr>
            <w:r w:rsidRPr="009868CC">
              <w:rPr>
                <w:rFonts w:ascii="Arial" w:eastAsia="Calibri" w:hAnsi="Arial" w:cs="Arial"/>
                <w:b/>
              </w:rPr>
              <w:t>Temas:</w:t>
            </w:r>
            <w:r w:rsidRPr="009868CC">
              <w:rPr>
                <w:rFonts w:ascii="Arial" w:eastAsia="Calibri" w:hAnsi="Arial" w:cs="Arial"/>
              </w:rPr>
              <w:t xml:space="preserve">           </w:t>
            </w:r>
          </w:p>
          <w:p w14:paraId="2BC22622" w14:textId="77777777" w:rsidR="00FC1D76" w:rsidRPr="009868CC" w:rsidRDefault="00FC1D76" w:rsidP="00DE0AF4">
            <w:pPr>
              <w:rPr>
                <w:rFonts w:ascii="Arial" w:eastAsia="Calibri" w:hAnsi="Arial" w:cs="Arial"/>
              </w:rPr>
            </w:pPr>
            <w:r w:rsidRPr="009868CC">
              <w:rPr>
                <w:rFonts w:ascii="Arial" w:eastAsia="Calibri" w:hAnsi="Arial" w:cs="Arial"/>
              </w:rPr>
              <w:t xml:space="preserve">                           </w:t>
            </w:r>
          </w:p>
        </w:tc>
        <w:tc>
          <w:tcPr>
            <w:tcW w:w="6237" w:type="dxa"/>
            <w:hideMark/>
          </w:tcPr>
          <w:p w14:paraId="523D9F12" w14:textId="77777777" w:rsidR="00FC1D76" w:rsidRPr="00F8030A" w:rsidRDefault="00FC1D76" w:rsidP="00DE0AF4">
            <w:pPr>
              <w:spacing w:after="120"/>
              <w:jc w:val="both"/>
              <w:rPr>
                <w:rFonts w:ascii="Arial" w:eastAsia="Calibri" w:hAnsi="Arial" w:cs="Arial"/>
              </w:rPr>
            </w:pPr>
            <w:r w:rsidRPr="005B1B81">
              <w:rPr>
                <w:rFonts w:ascii="Arial" w:eastAsia="Calibri" w:hAnsi="Arial" w:cs="Arial"/>
              </w:rPr>
              <w:t>CONTRATACIÓN CON ESAL – Artículo 355 – Constitución Política – Convenios de asociación</w:t>
            </w:r>
            <w:r>
              <w:rPr>
                <w:rFonts w:ascii="Arial" w:eastAsia="Calibri" w:hAnsi="Arial" w:cs="Arial"/>
              </w:rPr>
              <w:t xml:space="preserve"> </w:t>
            </w:r>
            <w:r w:rsidRPr="00F8030A">
              <w:rPr>
                <w:rFonts w:ascii="Arial" w:eastAsia="Calibri" w:hAnsi="Arial" w:cs="Arial"/>
              </w:rPr>
              <w:t>/</w:t>
            </w:r>
            <w:r>
              <w:rPr>
                <w:rFonts w:ascii="Arial" w:eastAsia="Calibri" w:hAnsi="Arial" w:cs="Arial"/>
              </w:rPr>
              <w:t xml:space="preserve"> </w:t>
            </w:r>
            <w:r w:rsidRPr="005B1B81">
              <w:rPr>
                <w:rFonts w:ascii="Arial" w:eastAsia="Calibri" w:hAnsi="Arial" w:cs="Arial"/>
              </w:rPr>
              <w:t xml:space="preserve">CONVENIOS DE ASOCIACIÓN – Noción – Proceso competitivo </w:t>
            </w:r>
            <w:r w:rsidRPr="00F8030A">
              <w:rPr>
                <w:rFonts w:ascii="Arial" w:eastAsia="Calibri" w:hAnsi="Arial" w:cs="Arial"/>
              </w:rPr>
              <w:t xml:space="preserve">/ </w:t>
            </w:r>
            <w:r w:rsidRPr="005B1B81">
              <w:rPr>
                <w:rFonts w:ascii="Arial" w:eastAsia="Calibri" w:hAnsi="Arial" w:cs="Arial"/>
              </w:rPr>
              <w:t>CONVENIOS DE ASOCIACIÓN – Aportes – Cuentas</w:t>
            </w:r>
          </w:p>
        </w:tc>
      </w:tr>
      <w:tr w:rsidR="00FC1D76" w:rsidRPr="009868CC" w14:paraId="61FE14C1" w14:textId="77777777" w:rsidTr="00DE0AF4">
        <w:tc>
          <w:tcPr>
            <w:tcW w:w="2689" w:type="dxa"/>
          </w:tcPr>
          <w:p w14:paraId="7330CCAC" w14:textId="77777777" w:rsidR="00FC1D76" w:rsidRPr="009868CC" w:rsidRDefault="00FC1D76" w:rsidP="00DE0AF4">
            <w:pPr>
              <w:rPr>
                <w:rFonts w:ascii="Arial" w:eastAsia="Calibri" w:hAnsi="Arial" w:cs="Arial"/>
                <w:b/>
              </w:rPr>
            </w:pPr>
            <w:r w:rsidRPr="009868CC">
              <w:rPr>
                <w:rFonts w:ascii="Arial" w:eastAsia="Calibri" w:hAnsi="Arial" w:cs="Arial"/>
                <w:b/>
              </w:rPr>
              <w:t>Radicación:</w:t>
            </w:r>
            <w:r w:rsidRPr="009868CC">
              <w:rPr>
                <w:rFonts w:ascii="Arial" w:eastAsia="Calibri" w:hAnsi="Arial" w:cs="Arial"/>
              </w:rPr>
              <w:t xml:space="preserve">                              </w:t>
            </w:r>
          </w:p>
        </w:tc>
        <w:tc>
          <w:tcPr>
            <w:tcW w:w="6237" w:type="dxa"/>
          </w:tcPr>
          <w:p w14:paraId="3228CAF0" w14:textId="77777777" w:rsidR="00FC1D76" w:rsidRPr="009868CC" w:rsidRDefault="00FC1D76" w:rsidP="00DE0AF4">
            <w:pPr>
              <w:jc w:val="both"/>
              <w:rPr>
                <w:rFonts w:ascii="Arial" w:eastAsia="Calibri" w:hAnsi="Arial" w:cs="Arial"/>
              </w:rPr>
            </w:pPr>
            <w:r w:rsidRPr="009868CC">
              <w:rPr>
                <w:rFonts w:ascii="Arial" w:eastAsia="Calibri" w:hAnsi="Arial" w:cs="Arial"/>
              </w:rPr>
              <w:t xml:space="preserve">Respuesta a consulta </w:t>
            </w:r>
            <w:r w:rsidRPr="00B5606C">
              <w:rPr>
                <w:rStyle w:val="apple-converted-space"/>
                <w:rFonts w:ascii="Arial" w:hAnsi="Arial" w:cs="Arial"/>
                <w:color w:val="000000" w:themeColor="text1"/>
              </w:rPr>
              <w:t>P20211102010144</w:t>
            </w:r>
          </w:p>
        </w:tc>
      </w:tr>
    </w:tbl>
    <w:p w14:paraId="6B6F1976" w14:textId="77777777" w:rsidR="00FC1D76" w:rsidRDefault="00FC1D76" w:rsidP="00FC1D76">
      <w:pPr>
        <w:spacing w:line="276" w:lineRule="auto"/>
        <w:jc w:val="both"/>
        <w:rPr>
          <w:rFonts w:ascii="Arial" w:eastAsia="Calibri" w:hAnsi="Arial" w:cs="Arial"/>
          <w:sz w:val="22"/>
        </w:rPr>
      </w:pPr>
    </w:p>
    <w:p w14:paraId="2030AC8B" w14:textId="77777777" w:rsidR="00FC1D76" w:rsidRPr="009868CC" w:rsidRDefault="00FC1D76" w:rsidP="00FC1D76">
      <w:pPr>
        <w:spacing w:line="276" w:lineRule="auto"/>
        <w:jc w:val="both"/>
        <w:rPr>
          <w:rFonts w:ascii="Arial" w:eastAsia="Calibri" w:hAnsi="Arial" w:cs="Arial"/>
          <w:sz w:val="22"/>
        </w:rPr>
      </w:pPr>
    </w:p>
    <w:p w14:paraId="065820E6" w14:textId="77777777" w:rsidR="00FC1D76" w:rsidRPr="009868CC" w:rsidRDefault="00FC1D76" w:rsidP="00FC1D76">
      <w:pPr>
        <w:spacing w:line="276" w:lineRule="auto"/>
        <w:rPr>
          <w:rFonts w:ascii="Arial" w:eastAsia="Calibri" w:hAnsi="Arial" w:cs="Arial"/>
          <w:sz w:val="22"/>
        </w:rPr>
      </w:pPr>
      <w:r w:rsidRPr="009868CC">
        <w:rPr>
          <w:rFonts w:ascii="Arial" w:eastAsia="Calibri" w:hAnsi="Arial" w:cs="Arial"/>
          <w:sz w:val="22"/>
        </w:rPr>
        <w:t xml:space="preserve">Estimada señora </w:t>
      </w:r>
      <w:r>
        <w:rPr>
          <w:rFonts w:ascii="Arial" w:eastAsia="Calibri" w:hAnsi="Arial" w:cs="Arial"/>
          <w:sz w:val="22"/>
        </w:rPr>
        <w:t>Morales:</w:t>
      </w:r>
    </w:p>
    <w:p w14:paraId="7DF2C735" w14:textId="77777777" w:rsidR="00FC1D76" w:rsidRPr="009868CC" w:rsidRDefault="00FC1D76" w:rsidP="00FC1D76">
      <w:pPr>
        <w:spacing w:line="276" w:lineRule="auto"/>
        <w:rPr>
          <w:rFonts w:ascii="Arial" w:eastAsia="Calibri" w:hAnsi="Arial" w:cs="Arial"/>
          <w:sz w:val="22"/>
        </w:rPr>
      </w:pPr>
    </w:p>
    <w:p w14:paraId="65D12A2C" w14:textId="77777777" w:rsidR="00FC1D76" w:rsidRPr="009868CC" w:rsidRDefault="00FC1D76" w:rsidP="00FC1D76">
      <w:pPr>
        <w:spacing w:line="276" w:lineRule="auto"/>
        <w:ind w:right="51"/>
        <w:jc w:val="both"/>
        <w:rPr>
          <w:rFonts w:ascii="Arial" w:hAnsi="Arial" w:cs="Arial"/>
          <w:sz w:val="22"/>
        </w:rPr>
      </w:pPr>
      <w:r w:rsidRPr="009868CC">
        <w:rPr>
          <w:rFonts w:ascii="Arial" w:hAnsi="Arial" w:cs="Arial"/>
          <w:sz w:val="22"/>
        </w:rPr>
        <w:t xml:space="preserve">La Agencia Nacional de Contratación Pública </w:t>
      </w:r>
      <w:r>
        <w:rPr>
          <w:rFonts w:ascii="Arial" w:hAnsi="Arial" w:cs="Arial"/>
          <w:sz w:val="22"/>
        </w:rPr>
        <w:t xml:space="preserve">– </w:t>
      </w:r>
      <w:r w:rsidRPr="009868CC">
        <w:rPr>
          <w:rFonts w:ascii="Arial" w:hAnsi="Arial" w:cs="Arial"/>
          <w:sz w:val="22"/>
        </w:rPr>
        <w:t>Colombia Compra Eficiente, en ejercicio de la competencia otorgada por el numeral 8 del artículo 11 y el numeral 5 del artículo 3 del Decreto Ley 4170 de 2011</w:t>
      </w:r>
      <w:r>
        <w:rPr>
          <w:rFonts w:ascii="Arial" w:hAnsi="Arial" w:cs="Arial"/>
          <w:sz w:val="22"/>
        </w:rPr>
        <w:t xml:space="preserve">, </w:t>
      </w:r>
      <w:r w:rsidRPr="009868CC">
        <w:rPr>
          <w:rFonts w:ascii="Arial" w:hAnsi="Arial" w:cs="Arial"/>
          <w:sz w:val="22"/>
        </w:rPr>
        <w:t xml:space="preserve">responde su consulta del 2 de </w:t>
      </w:r>
      <w:r>
        <w:rPr>
          <w:rFonts w:ascii="Arial" w:hAnsi="Arial" w:cs="Arial"/>
          <w:sz w:val="22"/>
        </w:rPr>
        <w:t xml:space="preserve">noviembre </w:t>
      </w:r>
      <w:r w:rsidRPr="009868CC">
        <w:rPr>
          <w:rFonts w:ascii="Arial" w:hAnsi="Arial" w:cs="Arial"/>
          <w:sz w:val="22"/>
        </w:rPr>
        <w:t>de 202</w:t>
      </w:r>
      <w:r>
        <w:rPr>
          <w:rFonts w:ascii="Arial" w:hAnsi="Arial" w:cs="Arial"/>
          <w:sz w:val="22"/>
        </w:rPr>
        <w:t>1</w:t>
      </w:r>
      <w:r w:rsidRPr="009868CC">
        <w:rPr>
          <w:rFonts w:ascii="Arial" w:hAnsi="Arial" w:cs="Arial"/>
          <w:sz w:val="22"/>
        </w:rPr>
        <w:t xml:space="preserve">. </w:t>
      </w:r>
    </w:p>
    <w:p w14:paraId="244BC5CF" w14:textId="77777777" w:rsidR="00FC1D76" w:rsidRPr="009868CC" w:rsidRDefault="00FC1D76" w:rsidP="00FC1D76">
      <w:pPr>
        <w:pStyle w:val="Prrafodelista"/>
        <w:tabs>
          <w:tab w:val="left" w:pos="284"/>
        </w:tabs>
        <w:spacing w:line="276" w:lineRule="auto"/>
        <w:ind w:left="0"/>
        <w:jc w:val="both"/>
        <w:rPr>
          <w:rFonts w:ascii="Arial" w:hAnsi="Arial" w:cs="Arial"/>
          <w:sz w:val="22"/>
        </w:rPr>
      </w:pPr>
    </w:p>
    <w:p w14:paraId="09F0584A" w14:textId="77777777" w:rsidR="00FC1D76" w:rsidRPr="009868CC" w:rsidRDefault="00FC1D76" w:rsidP="00FC1D76">
      <w:pPr>
        <w:pStyle w:val="Prrafodelista"/>
        <w:tabs>
          <w:tab w:val="left" w:pos="284"/>
        </w:tabs>
        <w:spacing w:line="276" w:lineRule="auto"/>
        <w:ind w:left="0"/>
        <w:jc w:val="both"/>
        <w:rPr>
          <w:rFonts w:ascii="Arial" w:eastAsia="Calibri" w:hAnsi="Arial" w:cs="Arial"/>
          <w:b/>
          <w:sz w:val="22"/>
        </w:rPr>
      </w:pPr>
      <w:r w:rsidRPr="009868CC">
        <w:rPr>
          <w:rFonts w:ascii="Arial" w:eastAsia="Calibri" w:hAnsi="Arial" w:cs="Arial"/>
          <w:b/>
          <w:sz w:val="22"/>
        </w:rPr>
        <w:t>1.</w:t>
      </w:r>
      <w:r w:rsidRPr="009868CC">
        <w:rPr>
          <w:rFonts w:ascii="Arial" w:eastAsia="Calibri" w:hAnsi="Arial" w:cs="Arial"/>
          <w:sz w:val="22"/>
        </w:rPr>
        <w:t xml:space="preserve"> </w:t>
      </w:r>
      <w:r w:rsidRPr="009868CC">
        <w:rPr>
          <w:rFonts w:ascii="Arial" w:eastAsia="Calibri" w:hAnsi="Arial" w:cs="Arial"/>
          <w:b/>
          <w:sz w:val="22"/>
        </w:rPr>
        <w:t xml:space="preserve">Problema planteado </w:t>
      </w:r>
    </w:p>
    <w:p w14:paraId="6477CA4D" w14:textId="77777777" w:rsidR="00FC1D76" w:rsidRPr="009868CC" w:rsidRDefault="00FC1D76" w:rsidP="00FC1D76">
      <w:pPr>
        <w:pStyle w:val="Prrafodelista"/>
        <w:tabs>
          <w:tab w:val="left" w:pos="284"/>
        </w:tabs>
        <w:spacing w:line="276" w:lineRule="auto"/>
        <w:ind w:left="0"/>
        <w:jc w:val="both"/>
        <w:rPr>
          <w:rFonts w:ascii="Arial" w:eastAsia="Calibri" w:hAnsi="Arial" w:cs="Arial"/>
          <w:b/>
          <w:sz w:val="22"/>
        </w:rPr>
      </w:pPr>
    </w:p>
    <w:p w14:paraId="6298C762" w14:textId="77777777" w:rsidR="00FC1D76" w:rsidRPr="00F127AA" w:rsidRDefault="00FC1D76" w:rsidP="00FC1D76">
      <w:pPr>
        <w:tabs>
          <w:tab w:val="left" w:pos="426"/>
        </w:tabs>
        <w:spacing w:line="276" w:lineRule="auto"/>
        <w:jc w:val="both"/>
        <w:rPr>
          <w:rFonts w:ascii="Arial" w:hAnsi="Arial" w:cs="Arial"/>
          <w:sz w:val="22"/>
        </w:rPr>
      </w:pPr>
      <w:r w:rsidRPr="009868CC">
        <w:rPr>
          <w:rFonts w:ascii="Arial" w:eastAsia="Calibri" w:hAnsi="Arial" w:cs="Arial"/>
          <w:sz w:val="22"/>
        </w:rPr>
        <w:t xml:space="preserve">Usted </w:t>
      </w:r>
      <w:r>
        <w:rPr>
          <w:rFonts w:ascii="Arial" w:eastAsia="Calibri" w:hAnsi="Arial" w:cs="Arial"/>
          <w:sz w:val="22"/>
        </w:rPr>
        <w:t xml:space="preserve">pregunta lo siguiente: </w:t>
      </w:r>
      <w:r w:rsidRPr="00F127AA">
        <w:rPr>
          <w:rFonts w:ascii="Arial" w:hAnsi="Arial" w:cs="Arial"/>
          <w:sz w:val="22"/>
        </w:rPr>
        <w:t xml:space="preserve">«El artículo 5 de la Ley 092 de 2017 dice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 (...)" ¿Estos recursos deben estar en una cuenta </w:t>
      </w:r>
      <w:r w:rsidRPr="00F127AA">
        <w:rPr>
          <w:rFonts w:ascii="Arial" w:hAnsi="Arial" w:cs="Arial"/>
          <w:sz w:val="22"/>
        </w:rPr>
        <w:lastRenderedPageBreak/>
        <w:t>bancaria independiente o diferente de la cuenta bancaria donde están los recursos totales de la ESAL?».</w:t>
      </w:r>
    </w:p>
    <w:p w14:paraId="1A25EB85" w14:textId="77777777" w:rsidR="00FC1D76" w:rsidRDefault="00FC1D76" w:rsidP="00FC1D76">
      <w:pPr>
        <w:tabs>
          <w:tab w:val="left" w:pos="426"/>
        </w:tabs>
        <w:spacing w:line="276" w:lineRule="auto"/>
        <w:jc w:val="both"/>
        <w:rPr>
          <w:rFonts w:ascii="Arial" w:eastAsia="Calibri" w:hAnsi="Arial" w:cs="Arial"/>
          <w:sz w:val="22"/>
        </w:rPr>
      </w:pPr>
    </w:p>
    <w:p w14:paraId="3BC91CE4" w14:textId="77777777" w:rsidR="00FC1D76" w:rsidRPr="009868CC" w:rsidRDefault="00FC1D76" w:rsidP="00FC1D76">
      <w:pPr>
        <w:tabs>
          <w:tab w:val="left" w:pos="426"/>
        </w:tabs>
        <w:spacing w:line="276" w:lineRule="auto"/>
        <w:jc w:val="both"/>
        <w:rPr>
          <w:rFonts w:ascii="Arial" w:eastAsia="Calibri" w:hAnsi="Arial" w:cs="Arial"/>
          <w:b/>
          <w:sz w:val="22"/>
        </w:rPr>
      </w:pPr>
      <w:r w:rsidRPr="009868CC">
        <w:rPr>
          <w:rFonts w:ascii="Arial" w:eastAsia="Calibri" w:hAnsi="Arial" w:cs="Arial"/>
          <w:b/>
          <w:sz w:val="22"/>
        </w:rPr>
        <w:t>2.</w:t>
      </w:r>
      <w:r w:rsidRPr="009868CC">
        <w:rPr>
          <w:rFonts w:ascii="Arial" w:eastAsia="Calibri" w:hAnsi="Arial" w:cs="Arial"/>
          <w:sz w:val="22"/>
        </w:rPr>
        <w:t xml:space="preserve"> </w:t>
      </w:r>
      <w:r w:rsidRPr="009868CC">
        <w:rPr>
          <w:rFonts w:ascii="Arial" w:eastAsia="Calibri" w:hAnsi="Arial" w:cs="Arial"/>
          <w:b/>
          <w:sz w:val="22"/>
        </w:rPr>
        <w:t>Consideraciones</w:t>
      </w:r>
    </w:p>
    <w:p w14:paraId="2D662CEC" w14:textId="77777777" w:rsidR="00FC1D76" w:rsidRDefault="00FC1D76" w:rsidP="00FC1D76">
      <w:pPr>
        <w:spacing w:line="276" w:lineRule="auto"/>
        <w:jc w:val="both"/>
        <w:rPr>
          <w:rFonts w:ascii="Arial" w:hAnsi="Arial" w:cs="Arial"/>
          <w:sz w:val="22"/>
          <w:shd w:val="clear" w:color="auto" w:fill="FFFFFF"/>
          <w:lang w:val="es-ES"/>
        </w:rPr>
      </w:pPr>
    </w:p>
    <w:p w14:paraId="43D62842" w14:textId="77777777" w:rsidR="00FC1D76" w:rsidRDefault="00FC1D76" w:rsidP="00FC1D76">
      <w:pPr>
        <w:spacing w:after="120"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09D3539B" w14:textId="77777777" w:rsidR="00FC1D76" w:rsidRDefault="00FC1D76" w:rsidP="00FC1D76">
      <w:pPr>
        <w:spacing w:after="120" w:line="276" w:lineRule="auto"/>
        <w:ind w:firstLine="708"/>
        <w:jc w:val="both"/>
        <w:rPr>
          <w:rFonts w:ascii="Arial" w:hAnsi="Arial" w:cs="Arial"/>
          <w:sz w:val="22"/>
          <w:lang w:val="es-ES"/>
        </w:rPr>
      </w:pPr>
      <w:bookmarkStart w:id="3" w:name="_Hlk61701014"/>
      <w:bookmarkStart w:id="4"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5"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w:t>
      </w:r>
    </w:p>
    <w:p w14:paraId="0B3B1CCE" w14:textId="77777777" w:rsidR="00FC1D76" w:rsidRDefault="00FC1D76" w:rsidP="00FC1D76">
      <w:pPr>
        <w:spacing w:after="120" w:line="276" w:lineRule="auto"/>
        <w:ind w:firstLine="708"/>
        <w:jc w:val="both"/>
        <w:rPr>
          <w:rFonts w:ascii="Arial" w:eastAsia="Calibri" w:hAnsi="Arial" w:cs="Arial"/>
          <w:color w:val="000000" w:themeColor="text1"/>
          <w:sz w:val="22"/>
          <w:lang w:val="es-ES"/>
        </w:rPr>
      </w:pPr>
      <w:r w:rsidRPr="00162BC5">
        <w:rPr>
          <w:rFonts w:ascii="Arial" w:hAnsi="Arial" w:cs="Arial"/>
          <w:sz w:val="22"/>
          <w:lang w:val="es-ES"/>
        </w:rPr>
        <w:t>Esta competencia de interpretación de normas generales, por definición, no puede extenderse a la resolución de controversias, ni a brindar asesorías sobre casos puntuales.</w:t>
      </w:r>
      <w:bookmarkEnd w:id="5"/>
      <w:r>
        <w:rPr>
          <w:rFonts w:ascii="Arial" w:hAnsi="Arial" w:cs="Arial"/>
          <w:sz w:val="22"/>
          <w:lang w:val="es-ES"/>
        </w:rPr>
        <w:t xml:space="preserve"> Por lo anterior, previo concepto de sus órganos asesores, la solución de estos temas corresponde a la entidad que adelanta el procedimiento de selección y, en caso de que se presenten irregularidades, a las autoridades judiciales, fiscales y disciplinarias</w:t>
      </w:r>
      <w:bookmarkEnd w:id="3"/>
      <w:r>
        <w:rPr>
          <w:rFonts w:ascii="Arial" w:hAnsi="Arial" w:cs="Arial"/>
          <w:sz w:val="22"/>
          <w:lang w:val="es-ES"/>
        </w:rPr>
        <w:t>.</w:t>
      </w:r>
      <w:r>
        <w:rPr>
          <w:rFonts w:ascii="Arial" w:eastAsia="Calibri" w:hAnsi="Arial" w:cs="Arial"/>
          <w:color w:val="000000" w:themeColor="text1"/>
          <w:sz w:val="22"/>
        </w:rPr>
        <w:t xml:space="preserve"> </w:t>
      </w:r>
      <w:bookmarkEnd w:id="4"/>
      <w:r>
        <w:rPr>
          <w:rFonts w:ascii="Arial" w:eastAsia="Calibri" w:hAnsi="Arial" w:cs="Arial"/>
          <w:color w:val="000000" w:themeColor="text1"/>
          <w:sz w:val="22"/>
        </w:rPr>
        <w:t xml:space="preserve">En todo caso, </w:t>
      </w:r>
      <w:r>
        <w:rPr>
          <w:rFonts w:ascii="Arial" w:eastAsia="Calibri" w:hAnsi="Arial" w:cs="Arial"/>
          <w:color w:val="000000" w:themeColor="text1"/>
          <w:sz w:val="22"/>
          <w:lang w:val="es-ES"/>
        </w:rPr>
        <w:t xml:space="preserve">la Subdirección –dentro de los límites de sus atribuciones, esto es, haciendo abstracción del caso puntual objeto de consulta– resolverá la petición conforme a las normas generales en materia de contratación estatal. </w:t>
      </w:r>
    </w:p>
    <w:p w14:paraId="75CCC6DA" w14:textId="77777777" w:rsidR="00FC1D76" w:rsidRPr="00F62401" w:rsidRDefault="00FC1D76" w:rsidP="00FC1D76">
      <w:pPr>
        <w:spacing w:line="276" w:lineRule="auto"/>
        <w:ind w:firstLine="709"/>
        <w:jc w:val="both"/>
        <w:rPr>
          <w:rFonts w:ascii="Arial" w:eastAsia="Calibri" w:hAnsi="Arial" w:cs="Arial"/>
          <w:color w:val="000000" w:themeColor="text1"/>
          <w:sz w:val="22"/>
          <w:lang w:val="es-ES"/>
        </w:rPr>
      </w:pPr>
      <w:r w:rsidRPr="009868CC">
        <w:rPr>
          <w:rFonts w:ascii="Arial" w:hAnsi="Arial" w:cs="Arial"/>
          <w:sz w:val="22"/>
          <w:shd w:val="clear" w:color="auto" w:fill="FFFFFF"/>
          <w:lang w:val="es-ES"/>
        </w:rPr>
        <w:lastRenderedPageBreak/>
        <w:t xml:space="preserve">La Agencia Nacional de Contratación Pública </w:t>
      </w:r>
      <w:r>
        <w:rPr>
          <w:rFonts w:ascii="Arial" w:hAnsi="Arial" w:cs="Arial"/>
          <w:sz w:val="22"/>
          <w:shd w:val="clear" w:color="auto" w:fill="FFFFFF"/>
          <w:lang w:val="es-ES"/>
        </w:rPr>
        <w:t xml:space="preserve">– </w:t>
      </w:r>
      <w:r w:rsidRPr="009868CC">
        <w:rPr>
          <w:rFonts w:ascii="Arial" w:hAnsi="Arial" w:cs="Arial"/>
          <w:sz w:val="22"/>
          <w:shd w:val="clear" w:color="auto" w:fill="FFFFFF"/>
          <w:lang w:val="es-ES"/>
        </w:rPr>
        <w:t>Colombia Compra Eficiente</w:t>
      </w:r>
      <w:r>
        <w:rPr>
          <w:rFonts w:ascii="Arial" w:hAnsi="Arial" w:cs="Arial"/>
          <w:sz w:val="22"/>
          <w:shd w:val="clear" w:color="auto" w:fill="FFFFFF"/>
          <w:lang w:val="es-ES"/>
        </w:rPr>
        <w:t xml:space="preserve"> </w:t>
      </w:r>
      <w:r w:rsidRPr="009868CC">
        <w:rPr>
          <w:rFonts w:ascii="Arial" w:hAnsi="Arial" w:cs="Arial"/>
          <w:sz w:val="22"/>
          <w:shd w:val="clear" w:color="auto" w:fill="FFFFFF"/>
        </w:rPr>
        <w:t>se ha pronunciado en diferentes conceptos sobre la contratación con entidades privadas sin ánimo de lucro y de reconocida idoneidad –desde ahora ESAL–, en particular</w:t>
      </w:r>
      <w:r>
        <w:rPr>
          <w:rFonts w:ascii="Arial" w:hAnsi="Arial" w:cs="Arial"/>
          <w:sz w:val="22"/>
          <w:shd w:val="clear" w:color="auto" w:fill="FFFFFF"/>
        </w:rPr>
        <w:t>,</w:t>
      </w:r>
      <w:r w:rsidRPr="009868CC">
        <w:rPr>
          <w:rFonts w:ascii="Arial" w:hAnsi="Arial" w:cs="Arial"/>
          <w:sz w:val="22"/>
          <w:shd w:val="clear" w:color="auto" w:fill="FFFFFF"/>
        </w:rPr>
        <w:t xml:space="preserve"> en los </w:t>
      </w:r>
      <w:r>
        <w:rPr>
          <w:rFonts w:ascii="Arial" w:hAnsi="Arial" w:cs="Arial"/>
          <w:sz w:val="22"/>
          <w:shd w:val="clear" w:color="auto" w:fill="FFFFFF"/>
        </w:rPr>
        <w:t>C</w:t>
      </w:r>
      <w:r w:rsidRPr="009868CC">
        <w:rPr>
          <w:rFonts w:ascii="Arial" w:hAnsi="Arial" w:cs="Arial"/>
          <w:sz w:val="22"/>
          <w:shd w:val="clear" w:color="auto" w:fill="FFFFFF"/>
        </w:rPr>
        <w:t>onceptos</w:t>
      </w:r>
      <w:r>
        <w:rPr>
          <w:rFonts w:ascii="Arial" w:hAnsi="Arial" w:cs="Arial"/>
          <w:sz w:val="22"/>
          <w:shd w:val="clear" w:color="auto" w:fill="FFFFFF"/>
        </w:rPr>
        <w:t xml:space="preserve"> </w:t>
      </w:r>
      <w:r w:rsidRPr="00AD04C5">
        <w:rPr>
          <w:rFonts w:ascii="Arial" w:hAnsi="Arial" w:cs="Arial"/>
          <w:sz w:val="22"/>
          <w:shd w:val="clear" w:color="auto" w:fill="FFFFFF"/>
        </w:rPr>
        <w:t>2201913000008611</w:t>
      </w:r>
      <w:r>
        <w:rPr>
          <w:rFonts w:ascii="Arial" w:hAnsi="Arial" w:cs="Arial"/>
          <w:sz w:val="22"/>
          <w:shd w:val="clear" w:color="auto" w:fill="FFFFFF"/>
        </w:rPr>
        <w:t xml:space="preserve"> del 19 de noviembre de 2019,</w:t>
      </w:r>
      <w:r w:rsidRPr="009868CC">
        <w:rPr>
          <w:rFonts w:ascii="Arial" w:hAnsi="Arial" w:cs="Arial"/>
          <w:sz w:val="22"/>
          <w:shd w:val="clear" w:color="auto" w:fill="FFFFFF"/>
        </w:rPr>
        <w:t xml:space="preserve"> 4201912000008310 del 26 de diciembre de 2019,  4201912000007899 del 27 de diciembre de 2019, 4201912000007901 del 27 de diciembre de 2019, C</w:t>
      </w:r>
      <w:r>
        <w:rPr>
          <w:rFonts w:ascii="Arial" w:hAnsi="Arial" w:cs="Arial"/>
          <w:sz w:val="22"/>
          <w:shd w:val="clear" w:color="auto" w:fill="FFFFFF"/>
        </w:rPr>
        <w:t>-</w:t>
      </w:r>
      <w:r w:rsidRPr="009868CC">
        <w:rPr>
          <w:rFonts w:ascii="Arial" w:hAnsi="Arial" w:cs="Arial"/>
          <w:sz w:val="22"/>
          <w:shd w:val="clear" w:color="auto" w:fill="FFFFFF"/>
        </w:rPr>
        <w:t xml:space="preserve">070 </w:t>
      </w:r>
      <w:r>
        <w:rPr>
          <w:rFonts w:ascii="Arial" w:hAnsi="Arial" w:cs="Arial"/>
          <w:sz w:val="22"/>
          <w:shd w:val="clear" w:color="auto" w:fill="FFFFFF"/>
        </w:rPr>
        <w:t xml:space="preserve">del </w:t>
      </w:r>
      <w:r w:rsidRPr="009868CC">
        <w:rPr>
          <w:rFonts w:ascii="Arial" w:hAnsi="Arial" w:cs="Arial"/>
          <w:sz w:val="22"/>
          <w:shd w:val="clear" w:color="auto" w:fill="FFFFFF"/>
        </w:rPr>
        <w:t>4 de marzo de 2020, C</w:t>
      </w:r>
      <w:r>
        <w:rPr>
          <w:rFonts w:ascii="Arial" w:hAnsi="Arial" w:cs="Arial"/>
          <w:sz w:val="22"/>
          <w:shd w:val="clear" w:color="auto" w:fill="FFFFFF"/>
        </w:rPr>
        <w:t>-</w:t>
      </w:r>
      <w:r w:rsidRPr="009868CC">
        <w:rPr>
          <w:rFonts w:ascii="Arial" w:hAnsi="Arial" w:cs="Arial"/>
          <w:sz w:val="22"/>
          <w:shd w:val="clear" w:color="auto" w:fill="FFFFFF"/>
        </w:rPr>
        <w:t>094 del 4 de marzo de 2020, C</w:t>
      </w:r>
      <w:r>
        <w:rPr>
          <w:rFonts w:ascii="Arial" w:hAnsi="Arial" w:cs="Arial"/>
          <w:sz w:val="22"/>
          <w:shd w:val="clear" w:color="auto" w:fill="FFFFFF"/>
        </w:rPr>
        <w:t>-</w:t>
      </w:r>
      <w:r w:rsidRPr="009868CC">
        <w:rPr>
          <w:rFonts w:ascii="Arial" w:hAnsi="Arial" w:cs="Arial"/>
          <w:sz w:val="22"/>
          <w:shd w:val="clear" w:color="auto" w:fill="FFFFFF"/>
        </w:rPr>
        <w:t>086 del 16 de marzo de 2020,  C</w:t>
      </w:r>
      <w:r>
        <w:rPr>
          <w:rFonts w:ascii="Arial" w:hAnsi="Arial" w:cs="Arial"/>
          <w:sz w:val="22"/>
          <w:shd w:val="clear" w:color="auto" w:fill="FFFFFF"/>
        </w:rPr>
        <w:t>-</w:t>
      </w:r>
      <w:r w:rsidRPr="009868CC">
        <w:rPr>
          <w:rFonts w:ascii="Arial" w:hAnsi="Arial" w:cs="Arial"/>
          <w:sz w:val="22"/>
          <w:shd w:val="clear" w:color="auto" w:fill="FFFFFF"/>
        </w:rPr>
        <w:t>101 del 16 de marzo de 2020, C</w:t>
      </w:r>
      <w:r>
        <w:rPr>
          <w:rFonts w:ascii="Arial" w:hAnsi="Arial" w:cs="Arial"/>
          <w:sz w:val="22"/>
          <w:shd w:val="clear" w:color="auto" w:fill="FFFFFF"/>
        </w:rPr>
        <w:t>-</w:t>
      </w:r>
      <w:r w:rsidRPr="009868CC">
        <w:rPr>
          <w:rFonts w:ascii="Arial" w:hAnsi="Arial" w:cs="Arial"/>
          <w:sz w:val="22"/>
          <w:shd w:val="clear" w:color="auto" w:fill="FFFFFF"/>
        </w:rPr>
        <w:t>228 del 17 de marzo de 2020, C</w:t>
      </w:r>
      <w:r>
        <w:rPr>
          <w:rFonts w:ascii="Arial" w:hAnsi="Arial" w:cs="Arial"/>
          <w:sz w:val="22"/>
          <w:shd w:val="clear" w:color="auto" w:fill="FFFFFF"/>
        </w:rPr>
        <w:t>-</w:t>
      </w:r>
      <w:r w:rsidRPr="009868CC">
        <w:rPr>
          <w:rFonts w:ascii="Arial" w:hAnsi="Arial" w:cs="Arial"/>
          <w:sz w:val="22"/>
          <w:shd w:val="clear" w:color="auto" w:fill="FFFFFF"/>
        </w:rPr>
        <w:t>014 del 24 de marzo de 2020, C</w:t>
      </w:r>
      <w:r>
        <w:rPr>
          <w:rFonts w:ascii="Arial" w:hAnsi="Arial" w:cs="Arial"/>
          <w:sz w:val="22"/>
          <w:shd w:val="clear" w:color="auto" w:fill="FFFFFF"/>
        </w:rPr>
        <w:t>-</w:t>
      </w:r>
      <w:r w:rsidRPr="009868CC">
        <w:rPr>
          <w:rFonts w:ascii="Arial" w:hAnsi="Arial" w:cs="Arial"/>
          <w:sz w:val="22"/>
          <w:shd w:val="clear" w:color="auto" w:fill="FFFFFF"/>
        </w:rPr>
        <w:t>215 de</w:t>
      </w:r>
      <w:r>
        <w:rPr>
          <w:rFonts w:ascii="Arial" w:hAnsi="Arial" w:cs="Arial"/>
          <w:sz w:val="22"/>
          <w:shd w:val="clear" w:color="auto" w:fill="FFFFFF"/>
        </w:rPr>
        <w:t>l</w:t>
      </w:r>
      <w:r w:rsidRPr="009868CC">
        <w:rPr>
          <w:rFonts w:ascii="Arial" w:hAnsi="Arial" w:cs="Arial"/>
          <w:sz w:val="22"/>
          <w:shd w:val="clear" w:color="auto" w:fill="FFFFFF"/>
        </w:rPr>
        <w:t xml:space="preserve"> 31 de marzo de 2020, C</w:t>
      </w:r>
      <w:r>
        <w:rPr>
          <w:rFonts w:ascii="Arial" w:hAnsi="Arial" w:cs="Arial"/>
          <w:sz w:val="22"/>
          <w:shd w:val="clear" w:color="auto" w:fill="FFFFFF"/>
        </w:rPr>
        <w:t>-</w:t>
      </w:r>
      <w:r w:rsidRPr="009868CC">
        <w:rPr>
          <w:rFonts w:ascii="Arial" w:hAnsi="Arial" w:cs="Arial"/>
          <w:sz w:val="22"/>
          <w:shd w:val="clear" w:color="auto" w:fill="FFFFFF"/>
        </w:rPr>
        <w:t>223 del 29 de abril de 2020, C</w:t>
      </w:r>
      <w:r>
        <w:rPr>
          <w:rFonts w:ascii="Arial" w:hAnsi="Arial" w:cs="Arial"/>
          <w:sz w:val="22"/>
          <w:shd w:val="clear" w:color="auto" w:fill="FFFFFF"/>
        </w:rPr>
        <w:t>-</w:t>
      </w:r>
      <w:r w:rsidRPr="009868CC">
        <w:rPr>
          <w:rFonts w:ascii="Arial" w:hAnsi="Arial" w:cs="Arial"/>
          <w:sz w:val="22"/>
          <w:shd w:val="clear" w:color="auto" w:fill="FFFFFF"/>
        </w:rPr>
        <w:t>416 del 30 junio de 2020, C</w:t>
      </w:r>
      <w:r>
        <w:rPr>
          <w:rFonts w:ascii="Arial" w:hAnsi="Arial" w:cs="Arial"/>
          <w:sz w:val="22"/>
          <w:shd w:val="clear" w:color="auto" w:fill="FFFFFF"/>
        </w:rPr>
        <w:t>-</w:t>
      </w:r>
      <w:r w:rsidRPr="009868CC">
        <w:rPr>
          <w:rFonts w:ascii="Arial" w:hAnsi="Arial" w:cs="Arial"/>
          <w:sz w:val="22"/>
          <w:shd w:val="clear" w:color="auto" w:fill="FFFFFF"/>
        </w:rPr>
        <w:t>447 del 27 de julio de 2020, C-513 del 30 de julio de 2020, C-483 del 6 de agosto de 2020,</w:t>
      </w:r>
      <w:r>
        <w:rPr>
          <w:rFonts w:ascii="Arial" w:hAnsi="Arial" w:cs="Arial"/>
          <w:sz w:val="22"/>
          <w:shd w:val="clear" w:color="auto" w:fill="FFFFFF"/>
        </w:rPr>
        <w:t xml:space="preserve"> C-532 del 11 de agosto de 2020, C-515 del 19 de agosto de 2020,</w:t>
      </w:r>
      <w:r w:rsidRPr="009868CC">
        <w:rPr>
          <w:rFonts w:ascii="Arial" w:hAnsi="Arial" w:cs="Arial"/>
          <w:sz w:val="22"/>
          <w:shd w:val="clear" w:color="auto" w:fill="FFFFFF"/>
        </w:rPr>
        <w:t xml:space="preserve"> C-579 del 4 de septiembre de 2020, C-594 del 7 de septiembre de 2020, C-670 del 22 de noviembre de 2020, C-689 del 1 de diciembre de 2020, C-724 de 14 de diciembre de  2020, C-749 del 23 de diciembre de 2020</w:t>
      </w:r>
      <w:r>
        <w:rPr>
          <w:rFonts w:ascii="Arial" w:hAnsi="Arial" w:cs="Arial"/>
          <w:sz w:val="22"/>
          <w:shd w:val="clear" w:color="auto" w:fill="FFFFFF"/>
        </w:rPr>
        <w:t>,</w:t>
      </w:r>
      <w:r w:rsidRPr="009868CC">
        <w:rPr>
          <w:rFonts w:ascii="Arial" w:hAnsi="Arial" w:cs="Arial"/>
          <w:sz w:val="22"/>
          <w:shd w:val="clear" w:color="auto" w:fill="FFFFFF"/>
        </w:rPr>
        <w:t xml:space="preserve"> C</w:t>
      </w:r>
      <w:r>
        <w:rPr>
          <w:rFonts w:ascii="Arial" w:hAnsi="Arial" w:cs="Arial"/>
          <w:sz w:val="22"/>
          <w:shd w:val="clear" w:color="auto" w:fill="FFFFFF"/>
        </w:rPr>
        <w:t>-</w:t>
      </w:r>
      <w:r w:rsidRPr="009868CC">
        <w:rPr>
          <w:rFonts w:ascii="Arial" w:hAnsi="Arial" w:cs="Arial"/>
          <w:sz w:val="22"/>
          <w:shd w:val="clear" w:color="auto" w:fill="FFFFFF"/>
        </w:rPr>
        <w:t>758 del 4 de enero de 2021</w:t>
      </w:r>
      <w:r>
        <w:rPr>
          <w:rFonts w:ascii="Arial" w:hAnsi="Arial" w:cs="Arial"/>
          <w:sz w:val="22"/>
          <w:shd w:val="clear" w:color="auto" w:fill="FFFFFF"/>
        </w:rPr>
        <w:t>, C-806 del 8 de febrero de 2021, C-379 del 26 de julio de 2021 y C-560 del 1 de septiembre de 2021</w:t>
      </w:r>
      <w:r w:rsidRPr="009868CC">
        <w:rPr>
          <w:rFonts w:ascii="Arial" w:hAnsi="Arial" w:cs="Arial"/>
          <w:sz w:val="22"/>
          <w:shd w:val="clear" w:color="auto" w:fill="FFFFFF"/>
        </w:rPr>
        <w:t>.</w:t>
      </w:r>
      <w:r>
        <w:rPr>
          <w:rFonts w:ascii="Arial" w:hAnsi="Arial" w:cs="Arial"/>
          <w:sz w:val="22"/>
          <w:shd w:val="clear" w:color="auto" w:fill="FFFFFF"/>
        </w:rPr>
        <w:t xml:space="preserve"> </w:t>
      </w:r>
      <w:r w:rsidRPr="009868CC">
        <w:rPr>
          <w:rFonts w:ascii="Arial" w:hAnsi="Arial" w:cs="Arial"/>
          <w:sz w:val="22"/>
          <w:shd w:val="clear" w:color="auto" w:fill="FFFFFF"/>
        </w:rPr>
        <w:t xml:space="preserve">Las tesis propuestas en tales conceptos </w:t>
      </w:r>
      <w:r w:rsidRPr="009868CC">
        <w:rPr>
          <w:rFonts w:ascii="Arial" w:eastAsia="Times New Roman" w:hAnsi="Arial" w:cs="Arial"/>
          <w:sz w:val="22"/>
          <w:bdr w:val="none" w:sz="0" w:space="0" w:color="auto" w:frame="1"/>
          <w:lang w:eastAsia="es-ES_tradnl"/>
        </w:rPr>
        <w:t>se reiteran a continuación y se complementan en lo pertinente</w:t>
      </w:r>
      <w:r>
        <w:rPr>
          <w:rFonts w:ascii="Arial" w:eastAsia="Times New Roman" w:hAnsi="Arial" w:cs="Arial"/>
          <w:sz w:val="22"/>
          <w:bdr w:val="none" w:sz="0" w:space="0" w:color="auto" w:frame="1"/>
          <w:lang w:eastAsia="es-ES_tradnl"/>
        </w:rPr>
        <w:t>:</w:t>
      </w:r>
    </w:p>
    <w:p w14:paraId="4BF585FE" w14:textId="77777777" w:rsidR="00FC1D76" w:rsidRPr="009868CC" w:rsidRDefault="00FC1D76" w:rsidP="00FC1D76">
      <w:pPr>
        <w:spacing w:line="276" w:lineRule="auto"/>
        <w:jc w:val="both"/>
        <w:rPr>
          <w:rFonts w:ascii="Arial" w:eastAsia="Times New Roman" w:hAnsi="Arial" w:cs="Arial"/>
          <w:sz w:val="22"/>
          <w:bdr w:val="none" w:sz="0" w:space="0" w:color="auto" w:frame="1"/>
          <w:lang w:eastAsia="es-ES_tradnl"/>
        </w:rPr>
      </w:pPr>
    </w:p>
    <w:p w14:paraId="25223139" w14:textId="77777777" w:rsidR="00FC1D76" w:rsidRPr="009868CC" w:rsidRDefault="00FC1D76" w:rsidP="00FC1D76">
      <w:pPr>
        <w:pStyle w:val="Sinespaciado"/>
        <w:tabs>
          <w:tab w:val="left" w:pos="426"/>
        </w:tabs>
        <w:spacing w:line="276" w:lineRule="auto"/>
        <w:jc w:val="both"/>
        <w:rPr>
          <w:rFonts w:ascii="Arial" w:hAnsi="Arial" w:cs="Arial"/>
          <w:b/>
          <w:bCs/>
          <w:i/>
          <w:iCs/>
          <w:sz w:val="22"/>
        </w:rPr>
      </w:pPr>
      <w:r w:rsidRPr="009868CC">
        <w:rPr>
          <w:rFonts w:ascii="Arial" w:hAnsi="Arial" w:cs="Arial"/>
          <w:b/>
          <w:bCs/>
          <w:sz w:val="22"/>
        </w:rPr>
        <w:t>2.1.</w:t>
      </w:r>
      <w:r w:rsidRPr="009868CC">
        <w:rPr>
          <w:rFonts w:ascii="Arial" w:hAnsi="Arial" w:cs="Arial"/>
          <w:b/>
          <w:bCs/>
          <w:sz w:val="22"/>
        </w:rPr>
        <w:tab/>
      </w:r>
      <w:r>
        <w:rPr>
          <w:rFonts w:ascii="Arial" w:hAnsi="Arial" w:cs="Arial"/>
          <w:b/>
          <w:bCs/>
          <w:sz w:val="22"/>
        </w:rPr>
        <w:t>C</w:t>
      </w:r>
      <w:r w:rsidRPr="00621056">
        <w:rPr>
          <w:rFonts w:ascii="Arial" w:hAnsi="Arial" w:cs="Arial"/>
          <w:b/>
          <w:bCs/>
          <w:sz w:val="22"/>
        </w:rPr>
        <w:t>ontratos del artículo 355 de la Constitución Política y convenios de asociación del artículo 96 de la Ley 489 de 1998</w:t>
      </w:r>
    </w:p>
    <w:p w14:paraId="2BC72A48" w14:textId="77777777" w:rsidR="00FC1D76" w:rsidRPr="009868CC" w:rsidRDefault="00FC1D76" w:rsidP="00FC1D76">
      <w:pPr>
        <w:pStyle w:val="Sinespaciado"/>
        <w:spacing w:line="276" w:lineRule="auto"/>
        <w:jc w:val="both"/>
        <w:rPr>
          <w:rFonts w:ascii="Arial" w:hAnsi="Arial" w:cs="Arial"/>
          <w:i/>
          <w:iCs/>
          <w:sz w:val="22"/>
        </w:rPr>
      </w:pPr>
    </w:p>
    <w:p w14:paraId="12ADC614" w14:textId="77777777" w:rsidR="00FC1D76" w:rsidRPr="009868CC" w:rsidRDefault="00FC1D76" w:rsidP="00FC1D76">
      <w:pPr>
        <w:pStyle w:val="Sinespaciado"/>
        <w:spacing w:line="276" w:lineRule="auto"/>
        <w:jc w:val="both"/>
        <w:rPr>
          <w:rFonts w:ascii="Arial" w:hAnsi="Arial" w:cs="Arial"/>
          <w:sz w:val="22"/>
        </w:rPr>
      </w:pPr>
      <w:r w:rsidRPr="009868CC">
        <w:rPr>
          <w:rFonts w:ascii="Arial" w:hAnsi="Arial" w:cs="Arial"/>
          <w:sz w:val="22"/>
        </w:rPr>
        <w:t>El artículo 355 de la Constitución Política prohíbe a las ramas y órganos del poder público decretar auxilios o donaciones en favor de personas naturales o jurídicas de derecho privado.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9868CC">
        <w:rPr>
          <w:rStyle w:val="Refdenotaalpie"/>
          <w:rFonts w:ascii="Arial" w:hAnsi="Arial" w:cs="Arial"/>
          <w:sz w:val="22"/>
        </w:rPr>
        <w:footnoteReference w:id="2"/>
      </w:r>
      <w:r w:rsidRPr="009868CC">
        <w:rPr>
          <w:rFonts w:ascii="Arial" w:hAnsi="Arial" w:cs="Arial"/>
          <w:sz w:val="22"/>
        </w:rPr>
        <w:t>.</w:t>
      </w:r>
    </w:p>
    <w:p w14:paraId="2F94B067" w14:textId="77777777" w:rsidR="00FC1D76" w:rsidRPr="009868CC" w:rsidRDefault="00FC1D76" w:rsidP="00FC1D76">
      <w:pPr>
        <w:spacing w:before="120" w:line="276" w:lineRule="auto"/>
        <w:ind w:firstLine="708"/>
        <w:jc w:val="both"/>
        <w:rPr>
          <w:rFonts w:ascii="Arial" w:eastAsia="Calibri" w:hAnsi="Arial" w:cs="Arial"/>
          <w:sz w:val="22"/>
        </w:rPr>
      </w:pPr>
      <w:r w:rsidRPr="009868CC">
        <w:rPr>
          <w:rFonts w:ascii="Arial" w:eastAsia="Calibri" w:hAnsi="Arial" w:cs="Arial"/>
          <w:sz w:val="22"/>
        </w:rPr>
        <w:t>Por otra parte, el artículo 96</w:t>
      </w:r>
      <w:r>
        <w:rPr>
          <w:rFonts w:ascii="Arial" w:eastAsia="Calibri" w:hAnsi="Arial" w:cs="Arial"/>
          <w:sz w:val="22"/>
        </w:rPr>
        <w:t xml:space="preserve"> de </w:t>
      </w:r>
      <w:r w:rsidRPr="009868CC">
        <w:rPr>
          <w:rFonts w:ascii="Arial" w:eastAsia="Calibri" w:hAnsi="Arial" w:cs="Arial"/>
          <w:sz w:val="22"/>
        </w:rPr>
        <w:t>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9868CC">
        <w:rPr>
          <w:rStyle w:val="Refdenotaalpie"/>
          <w:rFonts w:ascii="Arial" w:eastAsia="Calibri" w:hAnsi="Arial" w:cs="Arial"/>
          <w:sz w:val="22"/>
        </w:rPr>
        <w:footnoteReference w:id="3"/>
      </w:r>
      <w:r w:rsidRPr="009868CC">
        <w:rPr>
          <w:rFonts w:ascii="Arial" w:eastAsia="Calibri" w:hAnsi="Arial" w:cs="Arial"/>
          <w:sz w:val="22"/>
        </w:rPr>
        <w:t>.</w:t>
      </w:r>
    </w:p>
    <w:p w14:paraId="76402FAA" w14:textId="77777777" w:rsidR="00FC1D76" w:rsidRDefault="00FC1D76" w:rsidP="00FC1D76">
      <w:pPr>
        <w:spacing w:before="120" w:line="276" w:lineRule="auto"/>
        <w:ind w:firstLine="708"/>
        <w:jc w:val="both"/>
        <w:rPr>
          <w:rFonts w:ascii="Arial" w:eastAsia="Calibri" w:hAnsi="Arial" w:cs="Arial"/>
          <w:sz w:val="22"/>
        </w:rPr>
      </w:pPr>
      <w:r w:rsidRPr="009868CC">
        <w:rPr>
          <w:rFonts w:ascii="Arial" w:hAnsi="Arial" w:cs="Arial"/>
          <w:sz w:val="22"/>
        </w:rPr>
        <w:lastRenderedPageBreak/>
        <w:t xml:space="preserve">El Gobierno </w:t>
      </w:r>
      <w:r>
        <w:rPr>
          <w:rFonts w:ascii="Arial" w:hAnsi="Arial" w:cs="Arial"/>
          <w:sz w:val="22"/>
        </w:rPr>
        <w:t>N</w:t>
      </w:r>
      <w:r w:rsidRPr="009868CC">
        <w:rPr>
          <w:rFonts w:ascii="Arial" w:hAnsi="Arial" w:cs="Arial"/>
          <w:sz w:val="22"/>
        </w:rPr>
        <w:t>acional, en desarrollo del artículo 355 de la Constitución, expidió el Decreto 092 de 2017, q</w:t>
      </w:r>
      <w:r w:rsidRPr="009868CC">
        <w:rPr>
          <w:rFonts w:ascii="Arial" w:eastAsia="Calibri" w:hAnsi="Arial" w:cs="Arial"/>
          <w:sz w:val="22"/>
        </w:rPr>
        <w:t>ue dispone las reglas para las contrataciones que realicen las entidades estatales con las ESAL. El Decreto regula dos</w:t>
      </w:r>
      <w:r>
        <w:rPr>
          <w:rFonts w:ascii="Arial" w:eastAsia="Calibri" w:hAnsi="Arial" w:cs="Arial"/>
          <w:sz w:val="22"/>
        </w:rPr>
        <w:t xml:space="preserve"> [2]</w:t>
      </w:r>
      <w:r w:rsidRPr="009868CC">
        <w:rPr>
          <w:rFonts w:ascii="Arial" w:eastAsia="Calibri" w:hAnsi="Arial" w:cs="Arial"/>
          <w:sz w:val="22"/>
        </w:rPr>
        <w:t xml:space="preserve"> eventos: i) los contratos de colaboración o de interés público con el fin de impulsar programas y actividades de interés público de acuerdo con el plan nacional o los planes seccionales de desarrollo, en los términos del artículo 355 de la Constitución Política</w:t>
      </w:r>
      <w:r>
        <w:rPr>
          <w:rFonts w:ascii="Arial" w:eastAsia="Calibri" w:hAnsi="Arial" w:cs="Arial"/>
          <w:sz w:val="22"/>
        </w:rPr>
        <w:t>,</w:t>
      </w:r>
      <w:r w:rsidRPr="009868CC">
        <w:rPr>
          <w:rFonts w:ascii="Arial" w:eastAsia="Calibri" w:hAnsi="Arial" w:cs="Arial"/>
          <w:sz w:val="22"/>
        </w:rPr>
        <w:t xml:space="preserve"> y </w:t>
      </w:r>
      <w:proofErr w:type="spellStart"/>
      <w:r w:rsidRPr="009868CC">
        <w:rPr>
          <w:rFonts w:ascii="Arial" w:eastAsia="Calibri" w:hAnsi="Arial" w:cs="Arial"/>
          <w:sz w:val="22"/>
        </w:rPr>
        <w:t>ii</w:t>
      </w:r>
      <w:proofErr w:type="spellEnd"/>
      <w:r w:rsidRPr="009868CC">
        <w:rPr>
          <w:rFonts w:ascii="Arial" w:eastAsia="Calibri" w:hAnsi="Arial" w:cs="Arial"/>
          <w:sz w:val="22"/>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w:t>
      </w:r>
      <w:r>
        <w:rPr>
          <w:rFonts w:ascii="Arial" w:eastAsia="Calibri" w:hAnsi="Arial" w:cs="Arial"/>
          <w:sz w:val="22"/>
        </w:rPr>
        <w:t xml:space="preserve">están previstos en el </w:t>
      </w:r>
      <w:r w:rsidRPr="009868CC">
        <w:rPr>
          <w:rFonts w:ascii="Arial" w:eastAsia="Calibri" w:hAnsi="Arial" w:cs="Arial"/>
          <w:sz w:val="22"/>
        </w:rPr>
        <w:t>artículo 5</w:t>
      </w:r>
      <w:r>
        <w:rPr>
          <w:rFonts w:ascii="Arial" w:eastAsia="Calibri" w:hAnsi="Arial" w:cs="Arial"/>
          <w:sz w:val="22"/>
        </w:rPr>
        <w:t xml:space="preserve"> </w:t>
      </w:r>
      <w:r w:rsidRPr="009868CC">
        <w:rPr>
          <w:rFonts w:ascii="Arial" w:eastAsia="Calibri" w:hAnsi="Arial" w:cs="Arial"/>
          <w:i/>
          <w:iCs/>
          <w:sz w:val="22"/>
        </w:rPr>
        <w:t>ibidem</w:t>
      </w:r>
      <w:r w:rsidRPr="009868CC">
        <w:rPr>
          <w:rFonts w:ascii="Arial" w:eastAsia="Calibri" w:hAnsi="Arial" w:cs="Arial"/>
          <w:sz w:val="22"/>
        </w:rPr>
        <w:t xml:space="preserve">. </w:t>
      </w:r>
      <w:r>
        <w:rPr>
          <w:rFonts w:ascii="Arial" w:eastAsia="Calibri" w:hAnsi="Arial" w:cs="Arial"/>
          <w:sz w:val="22"/>
        </w:rPr>
        <w:t>Así, e</w:t>
      </w:r>
      <w:r w:rsidRPr="00FA37C6">
        <w:rPr>
          <w:rFonts w:ascii="Arial" w:eastAsia="Calibri" w:hAnsi="Arial" w:cs="Arial"/>
          <w:sz w:val="22"/>
        </w:rPr>
        <w:t xml:space="preserve">s posible diferenciar, los </w:t>
      </w:r>
      <w:r w:rsidRPr="00FA37C6">
        <w:rPr>
          <w:rFonts w:ascii="Arial" w:eastAsia="Calibri" w:hAnsi="Arial" w:cs="Arial"/>
          <w:i/>
          <w:iCs/>
          <w:sz w:val="22"/>
        </w:rPr>
        <w:t>convenios de asociación</w:t>
      </w:r>
      <w:r w:rsidRPr="00FA37C6">
        <w:rPr>
          <w:rFonts w:ascii="Arial" w:eastAsia="Calibri" w:hAnsi="Arial" w:cs="Arial"/>
          <w:sz w:val="22"/>
        </w:rPr>
        <w:t xml:space="preserve">, regulados en el artículo 5, de los </w:t>
      </w:r>
      <w:r w:rsidRPr="00FA37C6">
        <w:rPr>
          <w:rFonts w:ascii="Arial" w:eastAsia="Calibri" w:hAnsi="Arial" w:cs="Arial"/>
          <w:i/>
          <w:iCs/>
          <w:sz w:val="22"/>
        </w:rPr>
        <w:t>contratos de colaboración</w:t>
      </w:r>
      <w:r w:rsidRPr="00FA37C6">
        <w:rPr>
          <w:rFonts w:ascii="Arial" w:eastAsia="Calibri" w:hAnsi="Arial" w:cs="Arial"/>
          <w:sz w:val="22"/>
        </w:rPr>
        <w:t xml:space="preserve">, establecidos en el artículo 2 del Decreto </w:t>
      </w:r>
      <w:r>
        <w:rPr>
          <w:rFonts w:ascii="Arial" w:eastAsia="Calibri" w:hAnsi="Arial" w:cs="Arial"/>
          <w:sz w:val="22"/>
        </w:rPr>
        <w:t>0</w:t>
      </w:r>
      <w:r w:rsidRPr="00FA37C6">
        <w:rPr>
          <w:rFonts w:ascii="Arial" w:eastAsia="Calibri" w:hAnsi="Arial" w:cs="Arial"/>
          <w:sz w:val="22"/>
        </w:rPr>
        <w:t>92 de 2017</w:t>
      </w:r>
      <w:r w:rsidRPr="00FA37C6">
        <w:rPr>
          <w:rStyle w:val="Refdenotaalpie"/>
          <w:rFonts w:ascii="Arial" w:eastAsia="Calibri" w:hAnsi="Arial" w:cs="Arial"/>
          <w:sz w:val="22"/>
        </w:rPr>
        <w:footnoteReference w:id="4"/>
      </w:r>
      <w:r w:rsidRPr="00FA37C6">
        <w:rPr>
          <w:rFonts w:ascii="Arial" w:eastAsia="Calibri" w:hAnsi="Arial" w:cs="Arial"/>
          <w:sz w:val="22"/>
        </w:rPr>
        <w:t>.</w:t>
      </w:r>
    </w:p>
    <w:p w14:paraId="17717B34" w14:textId="77777777" w:rsidR="00FC1D76" w:rsidRPr="009868CC" w:rsidRDefault="00FC1D76" w:rsidP="00FC1D76">
      <w:pPr>
        <w:spacing w:before="120" w:line="276" w:lineRule="auto"/>
        <w:ind w:firstLine="708"/>
        <w:jc w:val="both"/>
        <w:rPr>
          <w:rFonts w:ascii="Arial" w:eastAsia="Calibri" w:hAnsi="Arial" w:cs="Arial"/>
          <w:sz w:val="22"/>
        </w:rPr>
      </w:pPr>
      <w:r w:rsidRPr="00FA37C6">
        <w:rPr>
          <w:rFonts w:ascii="Arial" w:eastAsia="Calibri" w:hAnsi="Arial" w:cs="Arial"/>
          <w:sz w:val="22"/>
        </w:rPr>
        <w:t xml:space="preserve">De conformidad con el artículo 96 de la Ley 489 de 1996, los </w:t>
      </w:r>
      <w:r w:rsidRPr="00FA37C6">
        <w:rPr>
          <w:rFonts w:ascii="Arial" w:eastAsia="Calibri" w:hAnsi="Arial" w:cs="Arial"/>
          <w:i/>
          <w:sz w:val="22"/>
        </w:rPr>
        <w:t>convenios de asociación</w:t>
      </w:r>
      <w:r w:rsidRPr="00FA37C6">
        <w:rPr>
          <w:rFonts w:ascii="Arial" w:eastAsia="Calibri" w:hAnsi="Arial" w:cs="Arial"/>
          <w:sz w:val="22"/>
        </w:rPr>
        <w:t xml:space="preserve"> pueden ser celebrados por cualquier entidad estatal «cualquiera sea su naturaleza y orden administrativo», mientras que el artículo 355 </w:t>
      </w:r>
      <w:r>
        <w:rPr>
          <w:rFonts w:ascii="Arial" w:eastAsia="Calibri" w:hAnsi="Arial" w:cs="Arial"/>
          <w:sz w:val="22"/>
        </w:rPr>
        <w:t>S</w:t>
      </w:r>
      <w:r w:rsidRPr="00FA37C6">
        <w:rPr>
          <w:rFonts w:ascii="Arial" w:eastAsia="Calibri" w:hAnsi="Arial" w:cs="Arial"/>
          <w:sz w:val="22"/>
        </w:rPr>
        <w:t xml:space="preserve">uperior establece que los </w:t>
      </w:r>
      <w:r w:rsidRPr="00FA37C6">
        <w:rPr>
          <w:rFonts w:ascii="Arial" w:eastAsia="Calibri" w:hAnsi="Arial" w:cs="Arial"/>
          <w:i/>
          <w:sz w:val="22"/>
        </w:rPr>
        <w:t>contratos de colaboración</w:t>
      </w:r>
      <w:r w:rsidRPr="00FA37C6">
        <w:rPr>
          <w:rFonts w:ascii="Arial" w:eastAsia="Calibri" w:hAnsi="Arial" w:cs="Arial"/>
          <w:sz w:val="22"/>
        </w:rPr>
        <w:t xml:space="preserve"> podrán ser celebrados por «El Gobierno, en los niveles nacional, departamental, distrital y municipal». Respecto de lo que se debe entender por «Gobierno» en esta norma</w:t>
      </w:r>
      <w:r>
        <w:rPr>
          <w:rFonts w:ascii="Arial" w:eastAsia="Calibri" w:hAnsi="Arial" w:cs="Arial"/>
          <w:sz w:val="22"/>
        </w:rPr>
        <w:t>,</w:t>
      </w:r>
      <w:r w:rsidRPr="00FA37C6">
        <w:rPr>
          <w:rFonts w:ascii="Arial" w:eastAsia="Calibri" w:hAnsi="Arial" w:cs="Arial"/>
          <w:sz w:val="22"/>
        </w:rPr>
        <w:t xml:space="preserve">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w:t>
      </w:r>
      <w:proofErr w:type="spellStart"/>
      <w:r w:rsidRPr="00FA37C6">
        <w:rPr>
          <w:rFonts w:ascii="Arial" w:eastAsia="Calibri" w:hAnsi="Arial" w:cs="Arial"/>
          <w:sz w:val="22"/>
        </w:rPr>
        <w:t>finalística</w:t>
      </w:r>
      <w:proofErr w:type="spellEnd"/>
      <w:r w:rsidRPr="00FA37C6">
        <w:rPr>
          <w:rFonts w:ascii="Arial" w:eastAsia="Calibri" w:hAnsi="Arial" w:cs="Arial"/>
          <w:sz w:val="22"/>
        </w:rPr>
        <w:t xml:space="preserve"> supone una lectura de la norma en sentido amplio, es decir, de tal forma que se entienda que todas las </w:t>
      </w:r>
      <w:r w:rsidRPr="00FA37C6">
        <w:rPr>
          <w:rFonts w:ascii="Arial" w:eastAsia="Calibri" w:hAnsi="Arial" w:cs="Arial"/>
          <w:sz w:val="22"/>
        </w:rPr>
        <w:lastRenderedPageBreak/>
        <w:t>entidades que forman parte de la Rama Ejecutiva pueden celebrar contratos con ESAL para la ejecución de actividades de interés público»</w:t>
      </w:r>
      <w:r w:rsidRPr="00FA37C6">
        <w:rPr>
          <w:rStyle w:val="Refdenotaalpie"/>
          <w:rFonts w:ascii="Arial" w:eastAsia="Calibri" w:hAnsi="Arial" w:cs="Arial"/>
          <w:sz w:val="22"/>
        </w:rPr>
        <w:footnoteReference w:id="5"/>
      </w:r>
      <w:r w:rsidRPr="00FA37C6">
        <w:rPr>
          <w:rFonts w:ascii="Arial" w:eastAsia="Calibri" w:hAnsi="Arial" w:cs="Arial"/>
          <w:sz w:val="22"/>
        </w:rPr>
        <w:t xml:space="preserve">.   </w:t>
      </w:r>
    </w:p>
    <w:p w14:paraId="779049D6" w14:textId="77777777" w:rsidR="00FC1D76" w:rsidRPr="009868CC" w:rsidRDefault="00FC1D76" w:rsidP="00FC1D76">
      <w:pPr>
        <w:spacing w:before="120" w:line="276" w:lineRule="auto"/>
        <w:ind w:firstLine="708"/>
        <w:jc w:val="both"/>
        <w:rPr>
          <w:rFonts w:ascii="Arial" w:eastAsia="Calibri" w:hAnsi="Arial" w:cs="Arial"/>
          <w:sz w:val="22"/>
        </w:rPr>
      </w:pPr>
      <w:r w:rsidRPr="009868CC">
        <w:rPr>
          <w:rFonts w:ascii="Arial" w:eastAsia="Calibri" w:hAnsi="Arial" w:cs="Arial"/>
          <w:sz w:val="22"/>
        </w:rPr>
        <w:t xml:space="preserve">Los </w:t>
      </w:r>
      <w:r w:rsidRPr="009868CC">
        <w:rPr>
          <w:rFonts w:ascii="Arial" w:eastAsia="Calibri" w:hAnsi="Arial" w:cs="Arial"/>
          <w:i/>
          <w:iCs/>
          <w:sz w:val="22"/>
        </w:rPr>
        <w:t xml:space="preserve">contratos de colaboración </w:t>
      </w:r>
      <w:r w:rsidRPr="009868CC">
        <w:rPr>
          <w:rFonts w:ascii="Arial" w:eastAsia="Calibri" w:hAnsi="Arial" w:cs="Arial"/>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w:t>
      </w:r>
      <w:r>
        <w:rPr>
          <w:rFonts w:ascii="Arial" w:eastAsia="Calibri" w:hAnsi="Arial" w:cs="Arial"/>
          <w:sz w:val="22"/>
        </w:rPr>
        <w:t>. Esto</w:t>
      </w:r>
      <w:r w:rsidRPr="009868CC">
        <w:rPr>
          <w:rFonts w:ascii="Arial" w:eastAsia="Calibri" w:hAnsi="Arial" w:cs="Arial"/>
          <w:sz w:val="22"/>
        </w:rPr>
        <w:t xml:space="preserve"> toda vez que el beneficio real y directo lo reciben, en últimas, los terceros beneficiarios de este tipo de acciones de fomento. Para celebrar estos contratos, según el artículo </w:t>
      </w:r>
      <w:r>
        <w:rPr>
          <w:rFonts w:ascii="Arial" w:eastAsia="Calibri" w:hAnsi="Arial" w:cs="Arial"/>
          <w:sz w:val="22"/>
        </w:rPr>
        <w:t>4</w:t>
      </w:r>
      <w:r w:rsidRPr="009868CC">
        <w:rPr>
          <w:rFonts w:ascii="Arial" w:eastAsia="Calibri" w:hAnsi="Arial" w:cs="Arial"/>
          <w:sz w:val="22"/>
        </w:rPr>
        <w:t xml:space="preserve"> del Decreto 092 de 2017, la entidad debe adelantar</w:t>
      </w:r>
      <w:r>
        <w:rPr>
          <w:rFonts w:ascii="Arial" w:eastAsia="Calibri" w:hAnsi="Arial" w:cs="Arial"/>
          <w:sz w:val="22"/>
        </w:rPr>
        <w:t xml:space="preserve"> –</w:t>
      </w:r>
      <w:r w:rsidRPr="009868CC">
        <w:rPr>
          <w:rFonts w:ascii="Arial" w:eastAsia="Calibri" w:hAnsi="Arial" w:cs="Arial"/>
          <w:sz w:val="22"/>
        </w:rPr>
        <w:t>por regla general</w:t>
      </w:r>
      <w:r>
        <w:rPr>
          <w:rFonts w:ascii="Arial" w:eastAsia="Calibri" w:hAnsi="Arial" w:cs="Arial"/>
          <w:sz w:val="22"/>
        </w:rPr>
        <w:t>–</w:t>
      </w:r>
      <w:r w:rsidRPr="009868CC">
        <w:rPr>
          <w:rFonts w:ascii="Arial" w:eastAsia="Calibri" w:hAnsi="Arial" w:cs="Arial"/>
          <w:sz w:val="22"/>
        </w:rPr>
        <w:t xml:space="preserve"> un proceso competitivo para seleccionar la entidad </w:t>
      </w:r>
      <w:r>
        <w:rPr>
          <w:rFonts w:ascii="Arial" w:eastAsia="Calibri" w:hAnsi="Arial" w:cs="Arial"/>
          <w:sz w:val="22"/>
        </w:rPr>
        <w:t xml:space="preserve">contratista </w:t>
      </w:r>
      <w:r w:rsidRPr="009868CC">
        <w:rPr>
          <w:rFonts w:ascii="Arial" w:eastAsia="Calibri" w:hAnsi="Arial" w:cs="Arial"/>
          <w:sz w:val="22"/>
        </w:rPr>
        <w:t xml:space="preserve">sin ánimo de lucro. </w:t>
      </w:r>
    </w:p>
    <w:p w14:paraId="756D8FAC" w14:textId="77777777" w:rsidR="00FC1D76" w:rsidRPr="009868CC" w:rsidRDefault="00FC1D76" w:rsidP="00FC1D76">
      <w:pPr>
        <w:spacing w:before="120" w:line="276" w:lineRule="auto"/>
        <w:ind w:firstLine="708"/>
        <w:jc w:val="both"/>
        <w:rPr>
          <w:rFonts w:ascii="Arial" w:eastAsia="Calibri" w:hAnsi="Arial" w:cs="Arial"/>
          <w:sz w:val="22"/>
        </w:rPr>
      </w:pPr>
      <w:r w:rsidRPr="009868CC">
        <w:rPr>
          <w:rFonts w:ascii="Arial" w:eastAsia="Calibri" w:hAnsi="Arial" w:cs="Arial"/>
          <w:sz w:val="22"/>
        </w:rPr>
        <w:t>En particular, debe verificar el cumplimiento de los siguientes requisitos</w:t>
      </w:r>
      <w:r>
        <w:rPr>
          <w:rFonts w:ascii="Arial" w:eastAsia="Calibri" w:hAnsi="Arial" w:cs="Arial"/>
          <w:sz w:val="22"/>
        </w:rPr>
        <w:t xml:space="preserve">. Por un lado, </w:t>
      </w:r>
      <w:r w:rsidRPr="009868CC">
        <w:rPr>
          <w:rFonts w:ascii="Arial" w:eastAsia="Calibri" w:hAnsi="Arial" w:cs="Arial"/>
          <w:sz w:val="22"/>
        </w:rPr>
        <w:t>que el objeto del contrato corresponda a programas y actividades de interés público acordes con el Plan Nacional o Seccional de Desarrollo</w:t>
      </w:r>
      <w:r>
        <w:rPr>
          <w:rFonts w:ascii="Arial" w:eastAsia="Calibri" w:hAnsi="Arial" w:cs="Arial"/>
          <w:sz w:val="22"/>
        </w:rPr>
        <w:t>. Por otra parte,</w:t>
      </w:r>
      <w:r w:rsidRPr="009868CC">
        <w:rPr>
          <w:rFonts w:ascii="Arial" w:eastAsia="Calibri" w:hAnsi="Arial" w:cs="Arial"/>
          <w:sz w:val="22"/>
        </w:rPr>
        <w:t xml:space="preserve"> que no </w:t>
      </w:r>
      <w:r>
        <w:rPr>
          <w:rFonts w:ascii="Arial" w:eastAsia="Calibri" w:hAnsi="Arial" w:cs="Arial"/>
          <w:sz w:val="22"/>
        </w:rPr>
        <w:t>exista</w:t>
      </w:r>
      <w:r w:rsidRPr="009868CC">
        <w:rPr>
          <w:rFonts w:ascii="Arial" w:eastAsia="Calibri" w:hAnsi="Arial" w:cs="Arial"/>
          <w:sz w:val="22"/>
        </w:rPr>
        <w:t xml:space="preserve"> una contraprestación directa a favor de la entidad estatal, es decir, que el programa o actividad a desarrollar esté dirigido al beneficio de la población en general</w:t>
      </w:r>
      <w:r>
        <w:rPr>
          <w:rFonts w:ascii="Arial" w:eastAsia="Calibri" w:hAnsi="Arial" w:cs="Arial"/>
          <w:sz w:val="22"/>
        </w:rPr>
        <w:t>. Lo anterior teniendo en cuenta</w:t>
      </w:r>
      <w:r w:rsidRPr="009868CC">
        <w:rPr>
          <w:rFonts w:ascii="Arial" w:eastAsia="Calibri" w:hAnsi="Arial" w:cs="Arial"/>
          <w:sz w:val="22"/>
        </w:rPr>
        <w:t xml:space="preserve"> que cuando se adquieren bienes o servicios o se ejecutan obras en una relación conmutativa, las normas aplicables son las del Estatuto General de Contratación de la Administración Pública –en adelante EGCAP–. </w:t>
      </w:r>
      <w:r>
        <w:rPr>
          <w:rFonts w:ascii="Arial" w:eastAsia="Calibri" w:hAnsi="Arial" w:cs="Arial"/>
          <w:sz w:val="22"/>
        </w:rPr>
        <w:t>Por ello, s</w:t>
      </w:r>
      <w:r w:rsidRPr="009868CC">
        <w:rPr>
          <w:rFonts w:ascii="Arial" w:eastAsia="Calibri" w:hAnsi="Arial" w:cs="Arial"/>
          <w:sz w:val="22"/>
        </w:rPr>
        <w:t>olo cuando se reúnan estas condiciones, y se cuente con la autorización previa y escrita del representante legal de la entidad estatal, es procedente celebrar contratos de colaboración.</w:t>
      </w:r>
    </w:p>
    <w:p w14:paraId="072DC049" w14:textId="77777777" w:rsidR="00FC1D76" w:rsidRDefault="00FC1D76" w:rsidP="00FC1D76">
      <w:pPr>
        <w:pStyle w:val="Sinespaciado"/>
        <w:spacing w:before="120" w:line="276" w:lineRule="auto"/>
        <w:ind w:firstLine="708"/>
        <w:jc w:val="both"/>
        <w:rPr>
          <w:rFonts w:ascii="Arial" w:hAnsi="Arial" w:cs="Arial"/>
          <w:sz w:val="22"/>
        </w:rPr>
      </w:pPr>
      <w:r w:rsidRPr="009868CC">
        <w:rPr>
          <w:rFonts w:ascii="Arial" w:hAnsi="Arial" w:cs="Arial"/>
          <w:sz w:val="22"/>
        </w:rPr>
        <w:t xml:space="preserve">De otro lado, </w:t>
      </w:r>
      <w:bookmarkStart w:id="6" w:name="_Hlk90391817"/>
      <w:r w:rsidRPr="009868CC">
        <w:rPr>
          <w:rFonts w:ascii="Arial" w:hAnsi="Arial" w:cs="Arial"/>
          <w:sz w:val="22"/>
        </w:rPr>
        <w:t xml:space="preserve">los </w:t>
      </w:r>
      <w:r w:rsidRPr="009868CC">
        <w:rPr>
          <w:rFonts w:ascii="Arial" w:hAnsi="Arial" w:cs="Arial"/>
          <w:i/>
          <w:iCs/>
          <w:sz w:val="22"/>
        </w:rPr>
        <w:t>convenios de asociación</w:t>
      </w:r>
      <w:r w:rsidRPr="009868CC">
        <w:rPr>
          <w:rFonts w:ascii="Arial" w:hAnsi="Arial" w:cs="Arial"/>
          <w:sz w:val="22"/>
        </w:rPr>
        <w:t xml:space="preserve"> «</w:t>
      </w:r>
      <w:r>
        <w:rPr>
          <w:rFonts w:ascii="Arial" w:hAnsi="Arial" w:cs="Arial"/>
          <w:sz w:val="22"/>
        </w:rPr>
        <w:t>T</w:t>
      </w:r>
      <w:r w:rsidRPr="009868CC">
        <w:rPr>
          <w:rFonts w:ascii="Arial" w:hAnsi="Arial" w:cs="Arial"/>
          <w:sz w:val="22"/>
        </w:rPr>
        <w: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9868CC">
        <w:rPr>
          <w:rStyle w:val="Refdenotaalpie"/>
          <w:rFonts w:ascii="Arial" w:hAnsi="Arial" w:cs="Arial"/>
          <w:sz w:val="22"/>
        </w:rPr>
        <w:footnoteReference w:id="6"/>
      </w:r>
      <w:r w:rsidRPr="009868CC">
        <w:rPr>
          <w:rFonts w:ascii="Arial" w:hAnsi="Arial" w:cs="Arial"/>
          <w:sz w:val="22"/>
        </w:rPr>
        <w:t xml:space="preserve">. En estos convenios no existe contraprestación o pago, sino aportes, los cuales están dirigidos, exclusivamente, a lograr la ejecución del convenio y no a remunerar la actividad o </w:t>
      </w:r>
      <w:r>
        <w:rPr>
          <w:rFonts w:ascii="Arial" w:hAnsi="Arial" w:cs="Arial"/>
          <w:sz w:val="22"/>
        </w:rPr>
        <w:t xml:space="preserve">las </w:t>
      </w:r>
      <w:r w:rsidRPr="009868CC">
        <w:rPr>
          <w:rFonts w:ascii="Arial" w:hAnsi="Arial" w:cs="Arial"/>
          <w:sz w:val="22"/>
        </w:rPr>
        <w:t xml:space="preserve">actuaciones del asociado. De todos modos, la entidad debe adelantar un proceso competitivo, salvo cuando la ESAL comprometa recursos en dinero para la ejecución de estas actividades, en una proporción no inferior al 30% del valor total del convenio. </w:t>
      </w:r>
      <w:bookmarkEnd w:id="6"/>
    </w:p>
    <w:p w14:paraId="01365B4F" w14:textId="77777777" w:rsidR="00FC1D76" w:rsidRPr="009868CC" w:rsidRDefault="00FC1D76" w:rsidP="00FC1D76">
      <w:pPr>
        <w:spacing w:before="120" w:line="276" w:lineRule="auto"/>
        <w:ind w:firstLine="709"/>
        <w:jc w:val="both"/>
        <w:rPr>
          <w:rFonts w:ascii="Arial" w:hAnsi="Arial" w:cs="Arial"/>
          <w:sz w:val="22"/>
        </w:rPr>
      </w:pPr>
      <w:r w:rsidRPr="007830F1">
        <w:rPr>
          <w:rFonts w:ascii="Arial" w:hAnsi="Arial" w:cs="Arial"/>
          <w:sz w:val="22"/>
        </w:rPr>
        <w:lastRenderedPageBreak/>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1D598E50" w14:textId="77777777" w:rsidR="00FC1D76" w:rsidRPr="009868CC" w:rsidRDefault="00FC1D76" w:rsidP="00FC1D76">
      <w:pPr>
        <w:pStyle w:val="Sinespaciado"/>
        <w:spacing w:before="120" w:line="276" w:lineRule="auto"/>
        <w:ind w:firstLine="708"/>
        <w:jc w:val="both"/>
        <w:rPr>
          <w:rFonts w:ascii="Arial" w:hAnsi="Arial" w:cs="Arial"/>
          <w:sz w:val="22"/>
        </w:rPr>
      </w:pPr>
      <w:r w:rsidRPr="009868CC">
        <w:rPr>
          <w:rFonts w:ascii="Arial" w:hAnsi="Arial" w:cs="Arial"/>
          <w:sz w:val="22"/>
        </w:rPr>
        <w:t>De conformidad con el inciso segundo del artículo 96 de la Ley 489 de 1998, en estos convenios debe determinarse «con precisión su objeto, término, obligaciones de las partes, aportes, coordinación y todos aquellos aspectos que se consideren pertinentes»</w:t>
      </w:r>
      <w:r>
        <w:rPr>
          <w:rFonts w:ascii="Arial" w:hAnsi="Arial" w:cs="Arial"/>
          <w:sz w:val="22"/>
        </w:rPr>
        <w:t>. Dentro de estos</w:t>
      </w:r>
      <w:r w:rsidRPr="009868CC">
        <w:rPr>
          <w:rFonts w:ascii="Arial" w:hAnsi="Arial" w:cs="Arial"/>
          <w:sz w:val="22"/>
        </w:rPr>
        <w:t xml:space="preserve"> elementos resalta la exigencia de aportes, que debe interpretarse en el sentido de que las ESAL deben realizar aportes a los convenios que suscriban. Dichos aportes pueden ser en dinero, en porcentajes inferiores o superiores al 30%, o en especie, los cuales deben servir al desarrollo de los objetivos comunes de la asociación. </w:t>
      </w:r>
    </w:p>
    <w:p w14:paraId="0FB557C7" w14:textId="77777777" w:rsidR="00FC1D76" w:rsidRPr="00866D6C" w:rsidRDefault="00FC1D76" w:rsidP="00FC1D76">
      <w:pPr>
        <w:pStyle w:val="Sinespaciado"/>
        <w:spacing w:before="120" w:line="276" w:lineRule="auto"/>
        <w:ind w:firstLine="708"/>
        <w:jc w:val="both"/>
        <w:rPr>
          <w:rFonts w:ascii="Arial" w:hAnsi="Arial" w:cs="Arial"/>
          <w:sz w:val="22"/>
        </w:rPr>
      </w:pPr>
      <w:r w:rsidRPr="00866D6C">
        <w:rPr>
          <w:rFonts w:ascii="Arial" w:hAnsi="Arial" w:cs="Arial"/>
          <w:sz w:val="22"/>
        </w:rPr>
        <w:t>La normativa vigente no impide que varias entidades suscriban conjuntamente el convenio de asociación y tampoco que dos o más ESAL pueden hacerlo, a través de las figuras asociativas autorizadas por la ley, por ejemplo, la unión temporal o el consorcio</w:t>
      </w:r>
      <w:r w:rsidRPr="00866D6C">
        <w:rPr>
          <w:rStyle w:val="Refdenotaalpie"/>
          <w:rFonts w:ascii="Arial" w:hAnsi="Arial" w:cs="Arial"/>
          <w:sz w:val="22"/>
        </w:rPr>
        <w:footnoteReference w:id="7"/>
      </w:r>
      <w:r w:rsidRPr="00866D6C">
        <w:rPr>
          <w:rFonts w:ascii="Arial" w:hAnsi="Arial" w:cs="Arial"/>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w:t>
      </w:r>
      <w:r w:rsidRPr="00866D6C">
        <w:rPr>
          <w:rFonts w:ascii="Arial" w:hAnsi="Arial" w:cs="Arial"/>
          <w:sz w:val="22"/>
        </w:rPr>
        <w:lastRenderedPageBreak/>
        <w:t xml:space="preserve">por ciento del valor del convenio para celebrarlo directamente, ya que de lo contrario deberá celebrarse un proceso competitivo. </w:t>
      </w:r>
    </w:p>
    <w:p w14:paraId="3AF51B90" w14:textId="77777777" w:rsidR="00FC1D76" w:rsidRPr="00866D6C" w:rsidRDefault="00FC1D76" w:rsidP="00FC1D76">
      <w:pPr>
        <w:pStyle w:val="Sinespaciado"/>
        <w:spacing w:before="120" w:line="276" w:lineRule="auto"/>
        <w:ind w:firstLine="708"/>
        <w:jc w:val="both"/>
        <w:rPr>
          <w:rFonts w:ascii="Arial" w:hAnsi="Arial" w:cs="Arial"/>
          <w:sz w:val="22"/>
        </w:rPr>
      </w:pPr>
      <w:r w:rsidRPr="00866D6C">
        <w:rPr>
          <w:rFonts w:ascii="Arial" w:hAnsi="Arial" w:cs="Arial"/>
          <w:sz w:val="22"/>
        </w:rPr>
        <w:t xml:space="preserve">Además, en atención al inciso 2 del artículo 5 del Decreto </w:t>
      </w:r>
      <w:r>
        <w:rPr>
          <w:rFonts w:ascii="Arial" w:hAnsi="Arial" w:cs="Arial"/>
          <w:sz w:val="22"/>
        </w:rPr>
        <w:t>0</w:t>
      </w:r>
      <w:r w:rsidRPr="00866D6C">
        <w:rPr>
          <w:rFonts w:ascii="Arial" w:hAnsi="Arial" w:cs="Arial"/>
          <w:sz w:val="22"/>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866D6C">
        <w:rPr>
          <w:rStyle w:val="Refdenotaalpie"/>
          <w:rFonts w:ascii="Arial" w:hAnsi="Arial" w:cs="Arial"/>
          <w:sz w:val="22"/>
        </w:rPr>
        <w:footnoteReference w:id="8"/>
      </w:r>
      <w:r w:rsidRPr="00866D6C">
        <w:rPr>
          <w:rFonts w:ascii="Arial" w:hAnsi="Arial" w:cs="Arial"/>
          <w:sz w:val="22"/>
        </w:rPr>
        <w:t>.</w:t>
      </w:r>
    </w:p>
    <w:p w14:paraId="682F3039" w14:textId="77777777" w:rsidR="00FC1D76" w:rsidRPr="00866D6C" w:rsidRDefault="00FC1D76" w:rsidP="00FC1D76">
      <w:pPr>
        <w:spacing w:before="120" w:line="276" w:lineRule="auto"/>
        <w:ind w:firstLine="708"/>
        <w:jc w:val="both"/>
        <w:rPr>
          <w:rFonts w:ascii="Arial" w:hAnsi="Arial" w:cs="Arial"/>
          <w:sz w:val="22"/>
        </w:rPr>
      </w:pPr>
      <w:r w:rsidRPr="00866D6C">
        <w:rPr>
          <w:rFonts w:ascii="Arial" w:hAnsi="Arial" w:cs="Arial"/>
          <w:sz w:val="22"/>
        </w:rPr>
        <w:t xml:space="preserve">La noción «seleccionar de forma objetiva», contenida en la disposición </w:t>
      </w:r>
      <w:r w:rsidRPr="00866D6C">
        <w:rPr>
          <w:rFonts w:ascii="Arial" w:hAnsi="Arial" w:cs="Arial"/>
          <w:i/>
          <w:iCs/>
          <w:sz w:val="22"/>
        </w:rPr>
        <w:t xml:space="preserve">sub examine </w:t>
      </w:r>
      <w:r w:rsidRPr="00866D6C">
        <w:rPr>
          <w:rFonts w:ascii="Arial" w:hAnsi="Arial" w:cs="Arial"/>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7559F92F" w14:textId="77777777" w:rsidR="00FC1D76" w:rsidRPr="00866D6C" w:rsidRDefault="00FC1D76" w:rsidP="00FC1D76">
      <w:pPr>
        <w:spacing w:before="120" w:line="276" w:lineRule="auto"/>
        <w:ind w:firstLine="708"/>
        <w:jc w:val="both"/>
        <w:rPr>
          <w:rFonts w:ascii="Arial" w:hAnsi="Arial" w:cs="Arial"/>
          <w:sz w:val="22"/>
        </w:rPr>
      </w:pPr>
      <w:r w:rsidRPr="00866D6C">
        <w:rPr>
          <w:rFonts w:ascii="Arial" w:hAnsi="Arial" w:cs="Arial"/>
          <w:sz w:val="22"/>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w:t>
      </w:r>
      <w:r>
        <w:rPr>
          <w:rFonts w:ascii="Arial" w:hAnsi="Arial" w:cs="Arial"/>
          <w:sz w:val="22"/>
        </w:rPr>
        <w:t xml:space="preserve">, por lo que </w:t>
      </w:r>
      <w:r w:rsidRPr="00866D6C">
        <w:rPr>
          <w:rFonts w:ascii="Arial" w:hAnsi="Arial" w:cs="Arial"/>
          <w:sz w:val="22"/>
        </w:rPr>
        <w:t>este procedimiento puede ser análogo a otros donde existe competencia, como la licitación pública.</w:t>
      </w:r>
    </w:p>
    <w:p w14:paraId="17B9714B" w14:textId="77777777" w:rsidR="00FC1D76" w:rsidRPr="009868CC" w:rsidRDefault="00FC1D76" w:rsidP="00FC1D76">
      <w:pPr>
        <w:spacing w:line="276" w:lineRule="auto"/>
        <w:jc w:val="both"/>
        <w:rPr>
          <w:rFonts w:ascii="Arial" w:eastAsia="Times New Roman" w:hAnsi="Arial" w:cs="Arial"/>
          <w:sz w:val="22"/>
          <w:bdr w:val="none" w:sz="0" w:space="0" w:color="auto" w:frame="1"/>
          <w:lang w:eastAsia="es-ES_tradnl"/>
        </w:rPr>
      </w:pPr>
    </w:p>
    <w:p w14:paraId="403C0F68" w14:textId="77777777" w:rsidR="00FC1D76" w:rsidRPr="00866D6C" w:rsidRDefault="00FC1D76" w:rsidP="00FC1D76">
      <w:pPr>
        <w:tabs>
          <w:tab w:val="left" w:pos="426"/>
        </w:tabs>
        <w:spacing w:line="276" w:lineRule="auto"/>
        <w:jc w:val="both"/>
        <w:rPr>
          <w:rFonts w:ascii="Arial" w:hAnsi="Arial" w:cs="Arial"/>
          <w:b/>
          <w:bCs/>
          <w:sz w:val="22"/>
        </w:rPr>
      </w:pPr>
      <w:r w:rsidRPr="00F127AA">
        <w:rPr>
          <w:rFonts w:ascii="Arial" w:hAnsi="Arial" w:cs="Arial"/>
          <w:b/>
          <w:bCs/>
          <w:sz w:val="22"/>
        </w:rPr>
        <w:t xml:space="preserve">2.2. </w:t>
      </w:r>
      <w:r w:rsidRPr="00866D6C">
        <w:rPr>
          <w:rFonts w:ascii="Arial" w:hAnsi="Arial" w:cs="Arial"/>
          <w:b/>
          <w:bCs/>
          <w:sz w:val="22"/>
        </w:rPr>
        <w:t xml:space="preserve">Suspensión provisional de algunas normas del Decreto </w:t>
      </w:r>
      <w:r>
        <w:rPr>
          <w:rFonts w:ascii="Arial" w:hAnsi="Arial" w:cs="Arial"/>
          <w:b/>
          <w:bCs/>
          <w:sz w:val="22"/>
        </w:rPr>
        <w:t>0</w:t>
      </w:r>
      <w:r w:rsidRPr="00866D6C">
        <w:rPr>
          <w:rFonts w:ascii="Arial" w:hAnsi="Arial" w:cs="Arial"/>
          <w:b/>
          <w:bCs/>
          <w:sz w:val="22"/>
        </w:rPr>
        <w:t>92 de 2017</w:t>
      </w:r>
    </w:p>
    <w:p w14:paraId="5B27D55B" w14:textId="77777777" w:rsidR="00FC1D76" w:rsidRPr="00866D6C" w:rsidRDefault="00FC1D76" w:rsidP="00FC1D76">
      <w:pPr>
        <w:spacing w:line="276" w:lineRule="auto"/>
        <w:jc w:val="both"/>
        <w:rPr>
          <w:rFonts w:ascii="Arial" w:hAnsi="Arial" w:cs="Arial"/>
          <w:b/>
          <w:bCs/>
          <w:sz w:val="22"/>
        </w:rPr>
      </w:pPr>
    </w:p>
    <w:p w14:paraId="2230F654" w14:textId="77777777" w:rsidR="00FC1D76" w:rsidRPr="00866D6C" w:rsidRDefault="00FC1D76" w:rsidP="00FC1D76">
      <w:pPr>
        <w:spacing w:line="276" w:lineRule="auto"/>
        <w:jc w:val="both"/>
        <w:rPr>
          <w:rFonts w:ascii="Arial" w:eastAsia="Calibri" w:hAnsi="Arial" w:cs="Arial"/>
          <w:sz w:val="22"/>
        </w:rPr>
      </w:pPr>
      <w:r w:rsidRPr="00866D6C">
        <w:rPr>
          <w:rFonts w:ascii="Arial" w:eastAsia="Calibri" w:hAnsi="Arial" w:cs="Arial"/>
          <w:sz w:val="22"/>
        </w:rPr>
        <w:t>El Consejo de Estado, en el Auto del 6 de agosto de 2019 de la Sección Tercera, Subsección A –</w:t>
      </w:r>
      <w:proofErr w:type="spellStart"/>
      <w:r w:rsidRPr="00866D6C">
        <w:rPr>
          <w:rFonts w:ascii="Arial" w:eastAsia="Calibri" w:hAnsi="Arial" w:cs="Arial"/>
          <w:sz w:val="22"/>
        </w:rPr>
        <w:t>Exp</w:t>
      </w:r>
      <w:proofErr w:type="spellEnd"/>
      <w:r w:rsidRPr="00866D6C">
        <w:rPr>
          <w:rFonts w:ascii="Arial" w:eastAsia="Calibri" w:hAnsi="Arial" w:cs="Arial"/>
          <w:sz w:val="22"/>
        </w:rPr>
        <w:t>. 62.003–, estudió la solicitud de suspensión provisional</w:t>
      </w:r>
      <w:r w:rsidRPr="00866D6C">
        <w:rPr>
          <w:rStyle w:val="Refdenotaalpie"/>
          <w:rFonts w:ascii="Arial" w:eastAsia="Calibri" w:hAnsi="Arial" w:cs="Arial"/>
          <w:sz w:val="22"/>
        </w:rPr>
        <w:footnoteReference w:id="9"/>
      </w:r>
      <w:r w:rsidRPr="00866D6C">
        <w:rPr>
          <w:rFonts w:ascii="Arial" w:eastAsia="Calibri" w:hAnsi="Arial" w:cs="Arial"/>
          <w:sz w:val="22"/>
        </w:rPr>
        <w:t xml:space="preserve"> del inciso 2 del </w:t>
      </w:r>
      <w:r w:rsidRPr="00866D6C">
        <w:rPr>
          <w:rFonts w:ascii="Arial" w:eastAsia="Calibri" w:hAnsi="Arial" w:cs="Arial"/>
          <w:sz w:val="22"/>
        </w:rPr>
        <w:lastRenderedPageBreak/>
        <w:t xml:space="preserve">artículo 1, literales a y c del artículo 2, inciso 5 del artículo 2, inciso 2 del artículo 3, inciso final del artículo 4 y artículo 5 del Decreto </w:t>
      </w:r>
      <w:r>
        <w:rPr>
          <w:rFonts w:ascii="Arial" w:eastAsia="Calibri" w:hAnsi="Arial" w:cs="Arial"/>
          <w:sz w:val="22"/>
        </w:rPr>
        <w:t>0</w:t>
      </w:r>
      <w:r w:rsidRPr="00866D6C">
        <w:rPr>
          <w:rFonts w:ascii="Arial" w:eastAsia="Calibri" w:hAnsi="Arial" w:cs="Arial"/>
          <w:sz w:val="22"/>
        </w:rPr>
        <w:t xml:space="preserve">92 de 2017. </w:t>
      </w:r>
    </w:p>
    <w:p w14:paraId="4B66A811" w14:textId="77777777" w:rsidR="00FC1D76" w:rsidRPr="00866D6C" w:rsidRDefault="00FC1D76" w:rsidP="00FC1D76">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La </w:t>
      </w:r>
      <w:r w:rsidRPr="00866D6C">
        <w:rPr>
          <w:rFonts w:ascii="Arial" w:eastAsia="Calibri" w:hAnsi="Arial" w:cs="Arial"/>
          <w:i/>
          <w:iCs/>
          <w:sz w:val="22"/>
        </w:rPr>
        <w:t>primera</w:t>
      </w:r>
      <w:r w:rsidRPr="00866D6C">
        <w:rPr>
          <w:rFonts w:ascii="Arial" w:eastAsia="Calibri" w:hAnsi="Arial" w:cs="Arial"/>
          <w:sz w:val="22"/>
        </w:rPr>
        <w:t xml:space="preserve"> norma que estudió el Consejo de Estado fue el inciso 2 del artículo 1 del Decreto </w:t>
      </w:r>
      <w:r>
        <w:rPr>
          <w:rFonts w:ascii="Arial" w:eastAsia="Calibri" w:hAnsi="Arial" w:cs="Arial"/>
          <w:sz w:val="22"/>
        </w:rPr>
        <w:t>0</w:t>
      </w:r>
      <w:r w:rsidRPr="00866D6C">
        <w:rPr>
          <w:rFonts w:ascii="Arial" w:eastAsia="Calibri" w:hAnsi="Arial" w:cs="Arial"/>
          <w:sz w:val="22"/>
        </w:rPr>
        <w:t xml:space="preserve">92 de 2017, el cual establece que la interpretación de las expresiones que se encuentran en mayúsculas en el Decreto </w:t>
      </w:r>
      <w:r>
        <w:rPr>
          <w:rFonts w:ascii="Arial" w:eastAsia="Calibri" w:hAnsi="Arial" w:cs="Arial"/>
          <w:sz w:val="22"/>
        </w:rPr>
        <w:t>0</w:t>
      </w:r>
      <w:r w:rsidRPr="00866D6C">
        <w:rPr>
          <w:rFonts w:ascii="Arial" w:eastAsia="Calibri" w:hAnsi="Arial" w:cs="Arial"/>
          <w:sz w:val="22"/>
        </w:rPr>
        <w:t>92 de 2017 se harían de conformidad con la guía que expida la Agencia Nacional de Contratación Pública</w:t>
      </w:r>
      <w:r w:rsidRPr="00866D6C">
        <w:rPr>
          <w:rStyle w:val="Refdenotaalpie"/>
          <w:rFonts w:ascii="Arial" w:eastAsia="Calibri" w:hAnsi="Arial" w:cs="Arial"/>
          <w:sz w:val="22"/>
        </w:rPr>
        <w:footnoteReference w:id="10"/>
      </w:r>
      <w:r w:rsidRPr="00866D6C">
        <w:rPr>
          <w:rFonts w:ascii="Arial" w:eastAsia="Calibri" w:hAnsi="Arial" w:cs="Arial"/>
          <w:sz w:val="22"/>
        </w:rPr>
        <w:t>. Señaló que esta disposición, así como el inciso segundo del artículo 3 del Decreto 92 de 2017</w:t>
      </w:r>
      <w:r w:rsidRPr="00866D6C">
        <w:rPr>
          <w:rStyle w:val="Refdenotaalpie"/>
          <w:rFonts w:ascii="Arial" w:eastAsia="Calibri" w:hAnsi="Arial" w:cs="Arial"/>
          <w:sz w:val="22"/>
        </w:rPr>
        <w:footnoteReference w:id="11"/>
      </w:r>
      <w:r w:rsidRPr="00866D6C">
        <w:rPr>
          <w:rFonts w:ascii="Arial" w:eastAsia="Calibri" w:hAnsi="Arial" w:cs="Arial"/>
          <w:sz w:val="22"/>
        </w:rPr>
        <w:t>,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w:t>
      </w:r>
      <w:r>
        <w:rPr>
          <w:rFonts w:ascii="Arial" w:eastAsia="Calibri" w:hAnsi="Arial" w:cs="Arial"/>
          <w:sz w:val="22"/>
        </w:rPr>
        <w:t xml:space="preserve">, el Consejo de Estado </w:t>
      </w:r>
      <w:r w:rsidRPr="00866D6C">
        <w:rPr>
          <w:rFonts w:ascii="Arial" w:eastAsia="Calibri" w:hAnsi="Arial" w:cs="Arial"/>
          <w:sz w:val="22"/>
        </w:rPr>
        <w:t>señal</w:t>
      </w:r>
      <w:r>
        <w:rPr>
          <w:rFonts w:ascii="Arial" w:eastAsia="Calibri" w:hAnsi="Arial" w:cs="Arial"/>
          <w:sz w:val="22"/>
        </w:rPr>
        <w:t>ó</w:t>
      </w:r>
      <w:r w:rsidRPr="00866D6C">
        <w:rPr>
          <w:rFonts w:ascii="Arial" w:eastAsia="Calibri" w:hAnsi="Arial" w:cs="Arial"/>
          <w:sz w:val="22"/>
        </w:rPr>
        <w:t xml:space="preserve">: </w:t>
      </w:r>
    </w:p>
    <w:p w14:paraId="3C4A6CD1" w14:textId="77777777" w:rsidR="00FC1D76" w:rsidRPr="00866D6C" w:rsidRDefault="00FC1D76" w:rsidP="00FC1D76">
      <w:pPr>
        <w:spacing w:line="276" w:lineRule="auto"/>
        <w:jc w:val="both"/>
        <w:rPr>
          <w:rFonts w:ascii="Arial" w:eastAsia="Calibri" w:hAnsi="Arial" w:cs="Arial"/>
          <w:sz w:val="22"/>
        </w:rPr>
      </w:pPr>
    </w:p>
    <w:p w14:paraId="0E3D6333" w14:textId="77777777" w:rsidR="00FC1D76" w:rsidRPr="00866D6C" w:rsidRDefault="00FC1D76" w:rsidP="00FC1D76">
      <w:pPr>
        <w:tabs>
          <w:tab w:val="left" w:pos="8789"/>
        </w:tabs>
        <w:ind w:left="708" w:right="709"/>
        <w:jc w:val="both"/>
        <w:rPr>
          <w:rFonts w:ascii="Arial" w:eastAsia="Calibri" w:hAnsi="Arial" w:cs="Arial"/>
          <w:sz w:val="21"/>
          <w:szCs w:val="21"/>
        </w:rPr>
      </w:pPr>
      <w:r w:rsidRPr="00866D6C">
        <w:rPr>
          <w:rFonts w:ascii="Arial" w:eastAsia="Calibri" w:hAnsi="Arial" w:cs="Arial"/>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641343C3" w14:textId="77777777" w:rsidR="00FC1D76" w:rsidRPr="00866D6C" w:rsidRDefault="00FC1D76" w:rsidP="00FC1D76">
      <w:pPr>
        <w:spacing w:line="276" w:lineRule="auto"/>
        <w:jc w:val="both"/>
        <w:rPr>
          <w:rFonts w:ascii="Arial" w:eastAsia="Calibri" w:hAnsi="Arial" w:cs="Arial"/>
          <w:sz w:val="22"/>
        </w:rPr>
      </w:pPr>
    </w:p>
    <w:p w14:paraId="521B7E6F" w14:textId="77777777" w:rsidR="00FC1D76" w:rsidRPr="00866D6C" w:rsidRDefault="00FC1D76" w:rsidP="00FC1D76">
      <w:pPr>
        <w:spacing w:line="276" w:lineRule="auto"/>
        <w:ind w:firstLine="708"/>
        <w:jc w:val="both"/>
        <w:rPr>
          <w:rFonts w:ascii="Arial" w:eastAsia="Calibri" w:hAnsi="Arial" w:cs="Arial"/>
          <w:sz w:val="22"/>
        </w:rPr>
      </w:pPr>
      <w:r w:rsidRPr="00866D6C">
        <w:rPr>
          <w:rFonts w:ascii="Arial" w:eastAsia="Calibri" w:hAnsi="Arial" w:cs="Arial"/>
          <w:sz w:val="22"/>
        </w:rPr>
        <w:lastRenderedPageBreak/>
        <w:t xml:space="preserve">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03CE4610" w14:textId="77777777" w:rsidR="00FC1D76" w:rsidRPr="00866D6C" w:rsidRDefault="00FC1D76" w:rsidP="00FC1D76">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La </w:t>
      </w:r>
      <w:r w:rsidRPr="00866D6C">
        <w:rPr>
          <w:rFonts w:ascii="Arial" w:eastAsia="Calibri" w:hAnsi="Arial" w:cs="Arial"/>
          <w:i/>
          <w:iCs/>
          <w:sz w:val="22"/>
        </w:rPr>
        <w:t>segunda</w:t>
      </w:r>
      <w:r w:rsidRPr="00866D6C">
        <w:rPr>
          <w:rFonts w:ascii="Arial" w:eastAsia="Calibri" w:hAnsi="Arial" w:cs="Arial"/>
          <w:sz w:val="22"/>
        </w:rPr>
        <w:t xml:space="preserve"> norma que analizó el Consejo de Estado fue el literal a), del artículo 2, del Decreto </w:t>
      </w:r>
      <w:r>
        <w:rPr>
          <w:rFonts w:ascii="Arial" w:eastAsia="Calibri" w:hAnsi="Arial" w:cs="Arial"/>
          <w:sz w:val="22"/>
        </w:rPr>
        <w:t>0</w:t>
      </w:r>
      <w:r w:rsidRPr="00866D6C">
        <w:rPr>
          <w:rFonts w:ascii="Arial" w:eastAsia="Calibri" w:hAnsi="Arial" w:cs="Arial"/>
          <w:sz w:val="22"/>
        </w:rPr>
        <w:t>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866D6C">
        <w:rPr>
          <w:rStyle w:val="Refdenotaalpie"/>
          <w:rFonts w:ascii="Arial" w:hAnsi="Arial" w:cs="Arial"/>
          <w:sz w:val="22"/>
        </w:rPr>
        <w:footnoteReference w:id="12"/>
      </w:r>
      <w:r w:rsidRPr="00866D6C">
        <w:rPr>
          <w:rFonts w:ascii="Arial" w:eastAsia="Calibri" w:hAnsi="Arial" w:cs="Arial"/>
          <w:sz w:val="22"/>
        </w:rPr>
        <w:t>. 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w:t>
      </w:r>
      <w:r>
        <w:rPr>
          <w:rFonts w:ascii="Arial" w:eastAsia="Calibri" w:hAnsi="Arial" w:cs="Arial"/>
          <w:sz w:val="22"/>
        </w:rPr>
        <w:t>ó</w:t>
      </w:r>
      <w:r w:rsidRPr="00866D6C">
        <w:rPr>
          <w:rFonts w:ascii="Arial" w:eastAsia="Calibri" w:hAnsi="Arial" w:cs="Arial"/>
          <w:sz w:val="22"/>
        </w:rPr>
        <w:t xml:space="preserve">: </w:t>
      </w:r>
    </w:p>
    <w:p w14:paraId="1B629035" w14:textId="77777777" w:rsidR="00FC1D76" w:rsidRPr="00866D6C" w:rsidRDefault="00FC1D76" w:rsidP="00FC1D76">
      <w:pPr>
        <w:spacing w:line="276" w:lineRule="auto"/>
        <w:jc w:val="both"/>
        <w:rPr>
          <w:rFonts w:ascii="Arial" w:eastAsia="Calibri" w:hAnsi="Arial" w:cs="Arial"/>
          <w:sz w:val="22"/>
        </w:rPr>
      </w:pPr>
    </w:p>
    <w:p w14:paraId="2F43042B" w14:textId="77777777" w:rsidR="00FC1D76" w:rsidRPr="00866D6C" w:rsidRDefault="00FC1D76" w:rsidP="00FC1D76">
      <w:pPr>
        <w:ind w:left="708" w:right="709"/>
        <w:jc w:val="both"/>
        <w:rPr>
          <w:rFonts w:ascii="Arial" w:eastAsia="Calibri" w:hAnsi="Arial" w:cs="Arial"/>
          <w:sz w:val="21"/>
          <w:szCs w:val="21"/>
        </w:rPr>
      </w:pPr>
      <w:r w:rsidRPr="00866D6C">
        <w:rPr>
          <w:rFonts w:ascii="Arial" w:eastAsia="Calibri" w:hAnsi="Arial" w:cs="Arial"/>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3903A0F7" w14:textId="77777777" w:rsidR="00FC1D76" w:rsidRPr="00866D6C" w:rsidRDefault="00FC1D76" w:rsidP="00FC1D76">
      <w:pPr>
        <w:spacing w:line="276" w:lineRule="auto"/>
        <w:jc w:val="both"/>
        <w:rPr>
          <w:rFonts w:ascii="Arial" w:eastAsia="Calibri" w:hAnsi="Arial" w:cs="Arial"/>
          <w:sz w:val="22"/>
        </w:rPr>
      </w:pPr>
    </w:p>
    <w:p w14:paraId="5B42F82C" w14:textId="77777777" w:rsidR="00FC1D76" w:rsidRPr="00866D6C" w:rsidRDefault="00FC1D76" w:rsidP="00FC1D76">
      <w:pPr>
        <w:spacing w:line="276" w:lineRule="auto"/>
        <w:ind w:firstLine="708"/>
        <w:jc w:val="both"/>
        <w:rPr>
          <w:rFonts w:ascii="Arial" w:eastAsia="Calibri" w:hAnsi="Arial" w:cs="Arial"/>
          <w:sz w:val="22"/>
        </w:rPr>
      </w:pPr>
      <w:r w:rsidRPr="00866D6C">
        <w:rPr>
          <w:rFonts w:ascii="Arial" w:eastAsia="Calibri" w:hAnsi="Arial" w:cs="Arial"/>
          <w:sz w:val="22"/>
        </w:rPr>
        <w:t xml:space="preserve">Así mismo, el Consejo de Estado consideró que el literal a) del artículo 2, al establecer que los programas y actividades de interés público deben buscar la promoción </w:t>
      </w:r>
      <w:r w:rsidRPr="00866D6C">
        <w:rPr>
          <w:rFonts w:ascii="Arial" w:eastAsia="Calibri" w:hAnsi="Arial" w:cs="Arial"/>
          <w:sz w:val="22"/>
        </w:rPr>
        <w:lastRenderedPageBreak/>
        <w:t>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w:t>
      </w:r>
      <w:r>
        <w:rPr>
          <w:rFonts w:ascii="Arial" w:eastAsia="Calibri" w:hAnsi="Arial" w:cs="Arial"/>
          <w:sz w:val="22"/>
        </w:rPr>
        <w:t>ó</w:t>
      </w:r>
      <w:r w:rsidRPr="00866D6C">
        <w:rPr>
          <w:rFonts w:ascii="Arial" w:eastAsia="Calibri" w:hAnsi="Arial" w:cs="Arial"/>
          <w:sz w:val="22"/>
        </w:rPr>
        <w:t xml:space="preserve">: </w:t>
      </w:r>
    </w:p>
    <w:p w14:paraId="3337A506" w14:textId="77777777" w:rsidR="00FC1D76" w:rsidRPr="00866D6C" w:rsidRDefault="00FC1D76" w:rsidP="00FC1D76">
      <w:pPr>
        <w:spacing w:line="276" w:lineRule="auto"/>
        <w:jc w:val="both"/>
        <w:rPr>
          <w:rFonts w:ascii="Arial" w:eastAsia="Calibri" w:hAnsi="Arial" w:cs="Arial"/>
          <w:sz w:val="22"/>
        </w:rPr>
      </w:pPr>
    </w:p>
    <w:p w14:paraId="78C2A660" w14:textId="77777777" w:rsidR="00FC1D76" w:rsidRPr="00866D6C" w:rsidRDefault="00FC1D76" w:rsidP="00FC1D76">
      <w:pPr>
        <w:tabs>
          <w:tab w:val="left" w:pos="8080"/>
        </w:tabs>
        <w:ind w:left="708" w:right="709"/>
        <w:jc w:val="both"/>
        <w:rPr>
          <w:rFonts w:ascii="Arial" w:eastAsia="Calibri" w:hAnsi="Arial" w:cs="Arial"/>
          <w:sz w:val="21"/>
          <w:szCs w:val="21"/>
        </w:rPr>
      </w:pPr>
      <w:r w:rsidRPr="00866D6C">
        <w:rPr>
          <w:rFonts w:ascii="Arial" w:eastAsia="Calibri" w:hAnsi="Arial" w:cs="Arial"/>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5E75B0DA" w14:textId="77777777" w:rsidR="00FC1D76" w:rsidRPr="00866D6C" w:rsidRDefault="00FC1D76" w:rsidP="00FC1D76">
      <w:pPr>
        <w:spacing w:line="276" w:lineRule="auto"/>
        <w:jc w:val="both"/>
        <w:rPr>
          <w:rFonts w:ascii="Arial" w:eastAsia="Calibri" w:hAnsi="Arial" w:cs="Arial"/>
          <w:sz w:val="22"/>
        </w:rPr>
      </w:pPr>
      <w:r w:rsidRPr="00866D6C">
        <w:rPr>
          <w:rFonts w:ascii="Arial" w:eastAsia="Calibri" w:hAnsi="Arial" w:cs="Arial"/>
          <w:sz w:val="22"/>
        </w:rPr>
        <w:t xml:space="preserve"> </w:t>
      </w:r>
    </w:p>
    <w:p w14:paraId="640E7E53" w14:textId="77777777" w:rsidR="00FC1D76" w:rsidRPr="00866D6C" w:rsidRDefault="00FC1D76" w:rsidP="00FC1D76">
      <w:pPr>
        <w:spacing w:line="276" w:lineRule="auto"/>
        <w:ind w:firstLine="708"/>
        <w:jc w:val="both"/>
        <w:rPr>
          <w:rFonts w:ascii="Arial" w:eastAsia="Calibri" w:hAnsi="Arial" w:cs="Arial"/>
          <w:sz w:val="22"/>
        </w:rPr>
      </w:pPr>
      <w:r>
        <w:rPr>
          <w:rFonts w:ascii="Arial" w:eastAsia="Calibri" w:hAnsi="Arial" w:cs="Arial"/>
          <w:sz w:val="22"/>
        </w:rPr>
        <w:t>De lo anterior se desprende que</w:t>
      </w:r>
      <w:r w:rsidRPr="00866D6C">
        <w:rPr>
          <w:rFonts w:ascii="Arial" w:eastAsia="Calibri" w:hAnsi="Arial" w:cs="Arial"/>
          <w:sz w:val="22"/>
        </w:rPr>
        <w:t xml:space="preserve">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w:t>
      </w:r>
      <w:r>
        <w:rPr>
          <w:rFonts w:ascii="Arial" w:eastAsia="Calibri" w:hAnsi="Arial" w:cs="Arial"/>
          <w:sz w:val="22"/>
        </w:rPr>
        <w:t>0</w:t>
      </w:r>
      <w:r w:rsidRPr="00866D6C">
        <w:rPr>
          <w:rFonts w:ascii="Arial" w:eastAsia="Calibri" w:hAnsi="Arial" w:cs="Arial"/>
          <w:sz w:val="22"/>
        </w:rPr>
        <w:t>92 de 2017.</w:t>
      </w:r>
    </w:p>
    <w:p w14:paraId="1B111BE8" w14:textId="77777777" w:rsidR="00FC1D76" w:rsidRPr="00866D6C" w:rsidRDefault="00FC1D76" w:rsidP="00FC1D76">
      <w:pPr>
        <w:spacing w:before="120" w:line="276" w:lineRule="auto"/>
        <w:ind w:firstLine="708"/>
        <w:jc w:val="both"/>
        <w:rPr>
          <w:rFonts w:ascii="Arial" w:eastAsia="Calibri" w:hAnsi="Arial" w:cs="Arial"/>
          <w:sz w:val="22"/>
        </w:rPr>
      </w:pPr>
      <w:r>
        <w:rPr>
          <w:rFonts w:ascii="Arial" w:eastAsia="Calibri" w:hAnsi="Arial" w:cs="Arial"/>
          <w:sz w:val="22"/>
        </w:rPr>
        <w:t xml:space="preserve">En </w:t>
      </w:r>
      <w:r w:rsidRPr="00B702D0">
        <w:rPr>
          <w:rFonts w:ascii="Arial" w:eastAsia="Calibri" w:hAnsi="Arial" w:cs="Arial"/>
          <w:i/>
          <w:iCs/>
          <w:sz w:val="22"/>
        </w:rPr>
        <w:t>tercer lugar</w:t>
      </w:r>
      <w:r>
        <w:rPr>
          <w:rFonts w:ascii="Arial" w:eastAsia="Calibri" w:hAnsi="Arial" w:cs="Arial"/>
          <w:sz w:val="22"/>
        </w:rPr>
        <w:t>, e</w:t>
      </w:r>
      <w:r w:rsidRPr="00866D6C">
        <w:rPr>
          <w:rFonts w:ascii="Arial" w:eastAsia="Calibri" w:hAnsi="Arial" w:cs="Arial"/>
          <w:sz w:val="22"/>
        </w:rPr>
        <w:t>l Consejo de Estado, examinó el literal c) y el inciso 5 del artículo 2 del Decreto</w:t>
      </w:r>
      <w:r w:rsidRPr="00866D6C">
        <w:rPr>
          <w:rStyle w:val="Refdenotaalpie"/>
          <w:rFonts w:ascii="Arial" w:eastAsia="Calibri" w:hAnsi="Arial" w:cs="Arial"/>
          <w:sz w:val="22"/>
        </w:rPr>
        <w:footnoteReference w:id="13"/>
      </w:r>
      <w:r w:rsidRPr="00866D6C">
        <w:rPr>
          <w:rFonts w:ascii="Arial" w:eastAsia="Calibri" w:hAnsi="Arial" w:cs="Arial"/>
          <w:sz w:val="22"/>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w:t>
      </w:r>
      <w:r w:rsidRPr="00866D6C">
        <w:rPr>
          <w:rFonts w:ascii="Arial" w:eastAsia="Calibri" w:hAnsi="Arial" w:cs="Arial"/>
          <w:sz w:val="22"/>
        </w:rPr>
        <w:lastRenderedPageBreak/>
        <w:t xml:space="preserve">de la misma forma que las demás sociedades. En este sentido, el Consejo de Estado manifestó: </w:t>
      </w:r>
    </w:p>
    <w:p w14:paraId="7A686061" w14:textId="77777777" w:rsidR="00FC1D76" w:rsidRPr="00866D6C" w:rsidRDefault="00FC1D76" w:rsidP="00FC1D76">
      <w:pPr>
        <w:spacing w:line="276" w:lineRule="auto"/>
        <w:jc w:val="both"/>
        <w:rPr>
          <w:rFonts w:ascii="Arial" w:eastAsia="Calibri" w:hAnsi="Arial" w:cs="Arial"/>
          <w:sz w:val="22"/>
        </w:rPr>
      </w:pPr>
    </w:p>
    <w:p w14:paraId="114665EC" w14:textId="77777777" w:rsidR="00FC1D76" w:rsidRPr="00866D6C" w:rsidRDefault="00FC1D76" w:rsidP="00FC1D76">
      <w:pPr>
        <w:ind w:left="708" w:right="709"/>
        <w:jc w:val="both"/>
        <w:rPr>
          <w:rFonts w:ascii="Arial" w:eastAsia="Calibri" w:hAnsi="Arial" w:cs="Arial"/>
          <w:sz w:val="21"/>
          <w:szCs w:val="21"/>
        </w:rPr>
      </w:pPr>
      <w:r w:rsidRPr="00866D6C">
        <w:rPr>
          <w:rFonts w:ascii="Arial" w:eastAsia="Calibri" w:hAnsi="Arial"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866D6C">
        <w:rPr>
          <w:rFonts w:ascii="Arial" w:eastAsia="Calibri" w:hAnsi="Arial" w:cs="Arial"/>
          <w:sz w:val="21"/>
          <w:szCs w:val="21"/>
        </w:rPr>
        <w:t>ii</w:t>
      </w:r>
      <w:proofErr w:type="spellEnd"/>
      <w:r w:rsidRPr="00866D6C">
        <w:rPr>
          <w:rFonts w:ascii="Arial" w:eastAsia="Calibri" w:hAnsi="Arial" w:cs="Arial"/>
          <w:sz w:val="21"/>
          <w:szCs w:val="21"/>
        </w:rPr>
        <w:t>) desarrollan programas y actividades de interés público con reconocida idoneidad. No son, entonces, entidades creadas para competir en el mercado.</w:t>
      </w:r>
    </w:p>
    <w:p w14:paraId="54C0CBCD" w14:textId="77777777" w:rsidR="00FC1D76" w:rsidRPr="00866D6C" w:rsidRDefault="00FC1D76" w:rsidP="00FC1D76">
      <w:pPr>
        <w:spacing w:line="276" w:lineRule="auto"/>
        <w:jc w:val="both"/>
        <w:rPr>
          <w:rFonts w:ascii="Arial" w:eastAsia="Calibri" w:hAnsi="Arial" w:cs="Arial"/>
          <w:sz w:val="22"/>
        </w:rPr>
      </w:pPr>
    </w:p>
    <w:p w14:paraId="035752BD" w14:textId="77777777" w:rsidR="00FC1D76" w:rsidRPr="00866D6C" w:rsidRDefault="00FC1D76" w:rsidP="00FC1D76">
      <w:pPr>
        <w:spacing w:line="276" w:lineRule="auto"/>
        <w:ind w:firstLine="708"/>
        <w:jc w:val="both"/>
        <w:rPr>
          <w:rFonts w:ascii="Arial" w:eastAsia="Calibri" w:hAnsi="Arial" w:cs="Arial"/>
          <w:sz w:val="22"/>
        </w:rPr>
      </w:pPr>
      <w:r w:rsidRPr="00866D6C">
        <w:rPr>
          <w:rFonts w:ascii="Arial" w:eastAsia="Calibri" w:hAnsi="Arial" w:cs="Arial"/>
          <w:sz w:val="22"/>
        </w:rPr>
        <w:t xml:space="preserve">Así las cosas, se suspendió provisionalmente el literal c) y el inciso 5º del artículo 2 del Decreto </w:t>
      </w:r>
      <w:r>
        <w:rPr>
          <w:rFonts w:ascii="Arial" w:eastAsia="Calibri" w:hAnsi="Arial" w:cs="Arial"/>
          <w:sz w:val="22"/>
        </w:rPr>
        <w:t>0</w:t>
      </w:r>
      <w:r w:rsidRPr="00866D6C">
        <w:rPr>
          <w:rFonts w:ascii="Arial" w:eastAsia="Calibri" w:hAnsi="Arial" w:cs="Arial"/>
          <w:sz w:val="22"/>
        </w:rPr>
        <w:t>92 de 2017, razón por la cual los procesos de contratación con entidades privadas sin ánimo de lucro no quedan condicionados a la inexistencia de oferta en el mercado de bienes y servicios, ni a que la ESAL garantice la mejor oferta y la optimización de los recursos públicos</w:t>
      </w:r>
      <w:r>
        <w:rPr>
          <w:rFonts w:ascii="Arial" w:eastAsia="Calibri" w:hAnsi="Arial" w:cs="Arial"/>
          <w:sz w:val="22"/>
        </w:rPr>
        <w:t>. Lo anterior teniendo en cuenta que</w:t>
      </w:r>
      <w:r w:rsidRPr="00866D6C">
        <w:rPr>
          <w:rFonts w:ascii="Arial" w:eastAsia="Calibri" w:hAnsi="Arial" w:cs="Arial"/>
          <w:sz w:val="22"/>
        </w:rPr>
        <w:t xml:space="preserve"> estas condiciones son propias de la contratación del Estatuto General de Contratación de la Administración Pública y no del régimen jurídico especial que establece el artículo 355 de la Constitución Política.</w:t>
      </w:r>
    </w:p>
    <w:p w14:paraId="480DD947" w14:textId="77777777" w:rsidR="00FC1D76" w:rsidRPr="00866D6C" w:rsidRDefault="00FC1D76" w:rsidP="00FC1D76">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La </w:t>
      </w:r>
      <w:r w:rsidRPr="00866D6C">
        <w:rPr>
          <w:rFonts w:ascii="Arial" w:eastAsia="Calibri" w:hAnsi="Arial" w:cs="Arial"/>
          <w:i/>
          <w:iCs/>
          <w:sz w:val="22"/>
        </w:rPr>
        <w:t>cuarta</w:t>
      </w:r>
      <w:r w:rsidRPr="00866D6C">
        <w:rPr>
          <w:rFonts w:ascii="Arial" w:eastAsia="Calibri" w:hAnsi="Arial" w:cs="Arial"/>
          <w:sz w:val="22"/>
        </w:rPr>
        <w:t xml:space="preserve"> norma que estudió el Consejo de Estado fue el inciso final del artículo 4 del Decreto </w:t>
      </w:r>
      <w:r>
        <w:rPr>
          <w:rFonts w:ascii="Arial" w:eastAsia="Calibri" w:hAnsi="Arial" w:cs="Arial"/>
          <w:sz w:val="22"/>
        </w:rPr>
        <w:t>0</w:t>
      </w:r>
      <w:r w:rsidRPr="00866D6C">
        <w:rPr>
          <w:rFonts w:ascii="Arial" w:eastAsia="Calibri" w:hAnsi="Arial" w:cs="Arial"/>
          <w:sz w:val="22"/>
        </w:rPr>
        <w:t>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866D6C">
        <w:rPr>
          <w:rStyle w:val="Refdenotaalpie"/>
          <w:rFonts w:ascii="Arial" w:eastAsia="Calibri" w:hAnsi="Arial" w:cs="Arial"/>
          <w:sz w:val="22"/>
        </w:rPr>
        <w:footnoteReference w:id="14"/>
      </w:r>
      <w:r w:rsidRPr="00866D6C">
        <w:rPr>
          <w:rFonts w:ascii="Arial" w:eastAsia="Calibri" w:hAnsi="Arial" w:cs="Arial"/>
          <w:sz w:val="22"/>
        </w:rPr>
        <w:t>. Para la Sala, esta norma vulnera el principio de igualdad, por establecer un privilegio para determinadas personas jurídicas o naturales que ejecutar</w:t>
      </w:r>
      <w:r>
        <w:rPr>
          <w:rFonts w:ascii="Arial" w:eastAsia="Calibri" w:hAnsi="Arial" w:cs="Arial"/>
          <w:sz w:val="22"/>
        </w:rPr>
        <w:t>á</w:t>
      </w:r>
      <w:r w:rsidRPr="00866D6C">
        <w:rPr>
          <w:rFonts w:ascii="Arial" w:eastAsia="Calibri" w:hAnsi="Arial" w:cs="Arial"/>
          <w:sz w:val="22"/>
        </w:rPr>
        <w:t>n únicamente las actividades allí previstas, contratándolas sin realizar un proceso competitivo. 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14:paraId="5655509C" w14:textId="77777777" w:rsidR="00FC1D76" w:rsidRPr="00866D6C" w:rsidRDefault="00FC1D76" w:rsidP="00FC1D76">
      <w:pPr>
        <w:spacing w:before="120" w:line="276" w:lineRule="auto"/>
        <w:ind w:firstLine="708"/>
        <w:jc w:val="both"/>
        <w:rPr>
          <w:rFonts w:ascii="Arial" w:eastAsia="Calibri" w:hAnsi="Arial" w:cs="Arial"/>
          <w:sz w:val="22"/>
        </w:rPr>
      </w:pPr>
      <w:r w:rsidRPr="00866D6C">
        <w:rPr>
          <w:rFonts w:ascii="Arial" w:eastAsia="Calibri" w:hAnsi="Arial" w:cs="Arial"/>
          <w:sz w:val="22"/>
        </w:rPr>
        <w:lastRenderedPageBreak/>
        <w:t xml:space="preserve">En consecuencia, hasta tanto se emita una sentencia definitiva en el proceso reseñado, no es posible aplicar el «beneficio» al que se refiere el inciso tercero del artículo 4 del Decreto </w:t>
      </w:r>
      <w:r>
        <w:rPr>
          <w:rFonts w:ascii="Arial" w:eastAsia="Calibri" w:hAnsi="Arial" w:cs="Arial"/>
          <w:sz w:val="22"/>
        </w:rPr>
        <w:t>0</w:t>
      </w:r>
      <w:r w:rsidRPr="00866D6C">
        <w:rPr>
          <w:rFonts w:ascii="Arial" w:eastAsia="Calibri" w:hAnsi="Arial" w:cs="Arial"/>
          <w:sz w:val="22"/>
        </w:rPr>
        <w:t xml:space="preserve">92 de 2017. </w:t>
      </w:r>
      <w:r>
        <w:rPr>
          <w:rFonts w:ascii="Arial" w:eastAsia="Calibri" w:hAnsi="Arial" w:cs="Arial"/>
          <w:sz w:val="22"/>
        </w:rPr>
        <w:t>Por ello, e</w:t>
      </w:r>
      <w:r w:rsidRPr="00866D6C">
        <w:rPr>
          <w:rFonts w:ascii="Arial" w:eastAsia="Calibri" w:hAnsi="Arial" w:cs="Arial"/>
          <w:sz w:val="22"/>
        </w:rPr>
        <w:t xml:space="preserve">n estos procesos se debe acudir a los criterios aplicables a los otros negocios jurídicos que regula el Decreto </w:t>
      </w:r>
      <w:r>
        <w:rPr>
          <w:rFonts w:ascii="Arial" w:eastAsia="Calibri" w:hAnsi="Arial" w:cs="Arial"/>
          <w:sz w:val="22"/>
        </w:rPr>
        <w:t>0</w:t>
      </w:r>
      <w:r w:rsidRPr="00866D6C">
        <w:rPr>
          <w:rFonts w:ascii="Arial" w:eastAsia="Calibri" w:hAnsi="Arial" w:cs="Arial"/>
          <w:sz w:val="22"/>
        </w:rPr>
        <w:t xml:space="preserve">92 de 2017, particularmente las exigencias del artículo 2 </w:t>
      </w:r>
      <w:r w:rsidRPr="00866D6C">
        <w:rPr>
          <w:rFonts w:ascii="Arial" w:eastAsia="Calibri" w:hAnsi="Arial" w:cs="Arial"/>
          <w:i/>
          <w:iCs/>
          <w:sz w:val="22"/>
        </w:rPr>
        <w:t>ibidem</w:t>
      </w:r>
      <w:r w:rsidRPr="00866D6C">
        <w:rPr>
          <w:rFonts w:ascii="Arial" w:eastAsia="Calibri" w:hAnsi="Arial" w:cs="Arial"/>
          <w:sz w:val="22"/>
        </w:rPr>
        <w:t xml:space="preserve">. Incluso, habría lugar </w:t>
      </w:r>
      <w:proofErr w:type="gramStart"/>
      <w:r w:rsidRPr="00866D6C">
        <w:rPr>
          <w:rFonts w:ascii="Arial" w:eastAsia="Calibri" w:hAnsi="Arial" w:cs="Arial"/>
          <w:sz w:val="22"/>
        </w:rPr>
        <w:t>a</w:t>
      </w:r>
      <w:proofErr w:type="gramEnd"/>
      <w:r w:rsidRPr="00866D6C">
        <w:rPr>
          <w:rFonts w:ascii="Arial" w:eastAsia="Calibri" w:hAnsi="Arial" w:cs="Arial"/>
          <w:sz w:val="22"/>
        </w:rPr>
        <w:t xml:space="preserve"> tener en cuenta las exigencias del inciso 2 del artículo 4 </w:t>
      </w:r>
      <w:proofErr w:type="spellStart"/>
      <w:r w:rsidRPr="00866D6C">
        <w:rPr>
          <w:rFonts w:ascii="Arial" w:eastAsia="Calibri" w:hAnsi="Arial" w:cs="Arial"/>
          <w:i/>
          <w:iCs/>
          <w:sz w:val="22"/>
        </w:rPr>
        <w:t>íbídem</w:t>
      </w:r>
      <w:proofErr w:type="spellEnd"/>
      <w:r w:rsidRPr="00866D6C">
        <w:rPr>
          <w:rFonts w:ascii="Arial" w:eastAsia="Calibri" w:hAnsi="Arial" w:cs="Arial"/>
          <w:sz w:val="22"/>
        </w:rPr>
        <w:t>, claro está, siempre que se configuren los supuestos de aplicación de dicha normativa, esto es, siempre que «</w:t>
      </w:r>
      <w:proofErr w:type="spellStart"/>
      <w:r w:rsidRPr="00866D6C">
        <w:rPr>
          <w:rFonts w:ascii="Arial" w:eastAsia="Calibri" w:hAnsi="Arial" w:cs="Arial"/>
          <w:sz w:val="22"/>
        </w:rPr>
        <w:t>exist</w:t>
      </w:r>
      <w:proofErr w:type="spellEnd"/>
      <w:r w:rsidRPr="00866D6C">
        <w:rPr>
          <w:rFonts w:ascii="Arial" w:eastAsia="Calibri" w:hAnsi="Arial" w:cs="Arial"/>
          <w:sz w:val="22"/>
        </w:rPr>
        <w:t>[a] más de una entidad sin ánimo de lucro de reconocida idoneidad».</w:t>
      </w:r>
    </w:p>
    <w:p w14:paraId="22024604" w14:textId="77777777" w:rsidR="00FC1D76" w:rsidRPr="00866D6C" w:rsidRDefault="00FC1D76" w:rsidP="00FC1D76">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Por último, en </w:t>
      </w:r>
      <w:r w:rsidRPr="00866D6C">
        <w:rPr>
          <w:rFonts w:ascii="Arial" w:eastAsia="Calibri" w:hAnsi="Arial" w:cs="Arial"/>
          <w:i/>
          <w:iCs/>
          <w:sz w:val="22"/>
        </w:rPr>
        <w:t xml:space="preserve">quinto </w:t>
      </w:r>
      <w:r w:rsidRPr="00866D6C">
        <w:rPr>
          <w:rFonts w:ascii="Arial" w:eastAsia="Calibri" w:hAnsi="Arial" w:cs="Arial"/>
          <w:sz w:val="22"/>
        </w:rPr>
        <w:t xml:space="preserve">lugar, el Consejo de Estado analizó la solicitud de suspensión del artículo 5 del Decreto </w:t>
      </w:r>
      <w:r>
        <w:rPr>
          <w:rFonts w:ascii="Arial" w:eastAsia="Calibri" w:hAnsi="Arial" w:cs="Arial"/>
          <w:sz w:val="22"/>
        </w:rPr>
        <w:t>0</w:t>
      </w:r>
      <w:r w:rsidRPr="00866D6C">
        <w:rPr>
          <w:rFonts w:ascii="Arial" w:eastAsia="Calibri" w:hAnsi="Arial" w:cs="Arial"/>
          <w:sz w:val="22"/>
        </w:rPr>
        <w:t xml:space="preserve">92 de 2017, que reglamenta los convenios de asociación que prevé el artículo 96 de la Ley 489 de 1998. </w:t>
      </w:r>
      <w:r>
        <w:rPr>
          <w:rFonts w:ascii="Arial" w:eastAsia="Calibri" w:hAnsi="Arial" w:cs="Arial"/>
          <w:sz w:val="22"/>
        </w:rPr>
        <w:t>Dicha Corporación c</w:t>
      </w:r>
      <w:r w:rsidRPr="00866D6C">
        <w:rPr>
          <w:rFonts w:ascii="Arial" w:eastAsia="Calibri" w:hAnsi="Arial" w:cs="Arial"/>
          <w:sz w:val="22"/>
        </w:rPr>
        <w:t xml:space="preserve">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4C44DD05" w14:textId="77777777" w:rsidR="00FC1D76" w:rsidRPr="00866D6C" w:rsidRDefault="00FC1D76" w:rsidP="00FC1D76">
      <w:pPr>
        <w:spacing w:before="120" w:line="276" w:lineRule="auto"/>
        <w:ind w:firstLine="708"/>
        <w:jc w:val="both"/>
        <w:rPr>
          <w:rFonts w:ascii="Arial" w:eastAsia="Calibri" w:hAnsi="Arial" w:cs="Arial"/>
          <w:sz w:val="22"/>
        </w:rPr>
      </w:pPr>
      <w:r w:rsidRPr="00866D6C">
        <w:rPr>
          <w:rFonts w:ascii="Arial" w:hAnsi="Arial" w:cs="Arial"/>
          <w:sz w:val="22"/>
        </w:rPr>
        <w:t xml:space="preserve">En este orden de ideas, la contratación con entidades sin ánimo de lucro se sigue rigiendo por el Decreto </w:t>
      </w:r>
      <w:r>
        <w:rPr>
          <w:rFonts w:ascii="Arial" w:hAnsi="Arial" w:cs="Arial"/>
          <w:sz w:val="22"/>
        </w:rPr>
        <w:t>0</w:t>
      </w:r>
      <w:r w:rsidRPr="00866D6C">
        <w:rPr>
          <w:rFonts w:ascii="Arial" w:hAnsi="Arial" w:cs="Arial"/>
          <w:sz w:val="22"/>
        </w:rPr>
        <w:t xml:space="preserve">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866D6C">
        <w:rPr>
          <w:rFonts w:ascii="Arial" w:hAnsi="Arial" w:cs="Arial"/>
          <w:sz w:val="22"/>
        </w:rPr>
        <w:t>ii</w:t>
      </w:r>
      <w:proofErr w:type="spellEnd"/>
      <w:r w:rsidRPr="00866D6C">
        <w:rPr>
          <w:rFonts w:ascii="Arial" w:hAnsi="Arial" w:cs="Arial"/>
          <w:sz w:val="22"/>
        </w:rPr>
        <w:t xml:space="preserve">) tampoco se debe condicionar a que la contratación con las ESAL garantice la optimización de los recursos públicos en términos de eficiencia, eficacia, economía y manejo del riesgo; </w:t>
      </w:r>
      <w:proofErr w:type="spellStart"/>
      <w:r w:rsidRPr="00866D6C">
        <w:rPr>
          <w:rFonts w:ascii="Arial" w:hAnsi="Arial" w:cs="Arial"/>
          <w:sz w:val="22"/>
        </w:rPr>
        <w:t>iii</w:t>
      </w:r>
      <w:proofErr w:type="spellEnd"/>
      <w:r w:rsidRPr="00866D6C">
        <w:rPr>
          <w:rFonts w:ascii="Arial" w:hAnsi="Arial" w:cs="Arial"/>
          <w:sz w:val="22"/>
        </w:rPr>
        <w:t xml:space="preserve">) el objeto del contrato debe estar acorde con el plan nacional o seccional de desarrollo; </w:t>
      </w:r>
      <w:proofErr w:type="spellStart"/>
      <w:r w:rsidRPr="00866D6C">
        <w:rPr>
          <w:rFonts w:ascii="Arial" w:hAnsi="Arial" w:cs="Arial"/>
          <w:sz w:val="22"/>
        </w:rPr>
        <w:t>iv</w:t>
      </w:r>
      <w:proofErr w:type="spellEnd"/>
      <w:r w:rsidRPr="00866D6C">
        <w:rPr>
          <w:rFonts w:ascii="Arial" w:hAnsi="Arial" w:cs="Arial"/>
          <w:sz w:val="22"/>
        </w:rPr>
        <w:t>)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866D6C">
        <w:rPr>
          <w:rFonts w:ascii="Arial" w:hAnsi="Arial" w:cs="Arial"/>
          <w:sz w:val="22"/>
        </w:rPr>
        <w:t>iii</w:t>
      </w:r>
      <w:proofErr w:type="spellEnd"/>
      <w:r w:rsidRPr="00866D6C">
        <w:rPr>
          <w:rFonts w:ascii="Arial" w:hAnsi="Arial" w:cs="Arial"/>
          <w:sz w:val="22"/>
        </w:rPr>
        <w:t>); y v) el contrato no establezca una relación conmutativa en el cual haya una contraprestación directa a favor de la entidad, ni instrucciones precisas dadas por esta al contratista para cumplir con el objeto del contrato.</w:t>
      </w:r>
    </w:p>
    <w:p w14:paraId="08DFF34B" w14:textId="77777777" w:rsidR="00FC1D76" w:rsidRDefault="00FC1D76" w:rsidP="00FC1D76">
      <w:pPr>
        <w:spacing w:before="120" w:line="276" w:lineRule="auto"/>
        <w:ind w:firstLine="708"/>
        <w:jc w:val="both"/>
        <w:rPr>
          <w:rFonts w:ascii="Arial" w:eastAsia="Calibri" w:hAnsi="Arial" w:cs="Arial"/>
          <w:sz w:val="22"/>
        </w:rPr>
      </w:pPr>
      <w:r w:rsidRPr="00866D6C">
        <w:rPr>
          <w:rFonts w:ascii="Arial" w:eastAsia="Calibri" w:hAnsi="Arial" w:cs="Arial"/>
          <w:sz w:val="22"/>
        </w:rPr>
        <w:t xml:space="preserve">Ahora, si se pretende realizar un </w:t>
      </w:r>
      <w:r w:rsidRPr="00866D6C">
        <w:rPr>
          <w:rFonts w:ascii="Arial" w:eastAsia="Calibri" w:hAnsi="Arial" w:cs="Arial"/>
          <w:i/>
          <w:iCs/>
          <w:sz w:val="22"/>
        </w:rPr>
        <w:t>convenio de asociación</w:t>
      </w:r>
      <w:r w:rsidRPr="00866D6C">
        <w:rPr>
          <w:rFonts w:ascii="Arial" w:eastAsia="Calibri" w:hAnsi="Arial" w:cs="Arial"/>
          <w:sz w:val="22"/>
        </w:rPr>
        <w:t xml:space="preserve"> con ESAL de reconocida idoneidad para el cumplimiento de las funciones que la ley les asigna a las entidades </w:t>
      </w:r>
      <w:r w:rsidRPr="00866D6C">
        <w:rPr>
          <w:rFonts w:ascii="Arial" w:eastAsia="Calibri" w:hAnsi="Arial" w:cs="Arial"/>
          <w:sz w:val="22"/>
        </w:rPr>
        <w:lastRenderedPageBreak/>
        <w:t xml:space="preserve">públicas, deben aplicar lo dispuesto en el artículo 5 del Decreto </w:t>
      </w:r>
      <w:r>
        <w:rPr>
          <w:rFonts w:ascii="Arial" w:eastAsia="Calibri" w:hAnsi="Arial" w:cs="Arial"/>
          <w:sz w:val="22"/>
        </w:rPr>
        <w:t>0</w:t>
      </w:r>
      <w:r w:rsidRPr="00866D6C">
        <w:rPr>
          <w:rFonts w:ascii="Arial" w:eastAsia="Calibri" w:hAnsi="Arial" w:cs="Arial"/>
          <w:sz w:val="22"/>
        </w:rPr>
        <w:t xml:space="preserve">92 de 2017. </w:t>
      </w:r>
      <w:r>
        <w:rPr>
          <w:rFonts w:ascii="Arial" w:eastAsia="Calibri" w:hAnsi="Arial" w:cs="Arial"/>
          <w:sz w:val="22"/>
        </w:rPr>
        <w:t xml:space="preserve">Dicho artículo </w:t>
      </w:r>
      <w:r w:rsidRPr="00866D6C">
        <w:rPr>
          <w:rFonts w:ascii="Arial" w:eastAsia="Calibri" w:hAnsi="Arial" w:cs="Arial"/>
          <w:sz w:val="22"/>
        </w:rPr>
        <w:t>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866D6C">
        <w:rPr>
          <w:rStyle w:val="Refdenotaalpie"/>
          <w:rFonts w:ascii="Arial" w:hAnsi="Arial" w:cs="Arial"/>
        </w:rPr>
        <w:footnoteReference w:id="15"/>
      </w:r>
      <w:r w:rsidRPr="00866D6C">
        <w:rPr>
          <w:rFonts w:ascii="Arial" w:eastAsia="Calibri" w:hAnsi="Arial" w:cs="Arial"/>
          <w:sz w:val="22"/>
        </w:rPr>
        <w:t>, y siempre que la entidad estatal verifique previamente que no existe ninguna otra entidad sin ánimo de lucro que ofrezca aportes iguales o superiores al 30%.</w:t>
      </w:r>
      <w:r>
        <w:rPr>
          <w:rFonts w:ascii="Arial" w:eastAsia="Calibri" w:hAnsi="Arial" w:cs="Arial"/>
          <w:sz w:val="22"/>
        </w:rPr>
        <w:t xml:space="preserve"> </w:t>
      </w:r>
    </w:p>
    <w:p w14:paraId="12853BFF" w14:textId="77777777" w:rsidR="00FC1D76" w:rsidRPr="00B6638E" w:rsidRDefault="00FC1D76" w:rsidP="00FC1D76">
      <w:pPr>
        <w:spacing w:before="120" w:line="276" w:lineRule="auto"/>
        <w:ind w:firstLine="708"/>
        <w:jc w:val="both"/>
        <w:rPr>
          <w:rFonts w:ascii="Arial" w:eastAsia="Calibri" w:hAnsi="Arial" w:cs="Arial"/>
          <w:sz w:val="22"/>
        </w:rPr>
      </w:pPr>
      <w:r w:rsidRPr="00B6638E">
        <w:rPr>
          <w:rFonts w:ascii="Arial" w:eastAsia="Calibri" w:hAnsi="Arial" w:cs="Arial"/>
          <w:sz w:val="22"/>
        </w:rPr>
        <w:t xml:space="preserve">De hecho,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Lo importante es que la norma citada solo regula el porcentaje de los aportes para efectos del procedimiento de selección, sin disponer si los recursos de la entidad pueden encontrarse o no en una cuenta bancaria independiente o diferente de la cuenta bancaria donde están los recursos totales de la ESAL. </w:t>
      </w:r>
    </w:p>
    <w:p w14:paraId="1C5B5E83" w14:textId="77777777" w:rsidR="00FC1D76" w:rsidRPr="00B6638E" w:rsidRDefault="00FC1D76" w:rsidP="00FC1D76">
      <w:pPr>
        <w:spacing w:before="120" w:line="276" w:lineRule="auto"/>
        <w:ind w:firstLine="708"/>
        <w:jc w:val="both"/>
        <w:rPr>
          <w:rFonts w:ascii="Arial" w:eastAsia="Calibri" w:hAnsi="Arial" w:cs="Arial"/>
          <w:sz w:val="22"/>
        </w:rPr>
      </w:pPr>
      <w:r w:rsidRPr="00B6638E">
        <w:rPr>
          <w:rFonts w:ascii="Arial" w:eastAsia="Calibri" w:hAnsi="Arial" w:cs="Arial"/>
          <w:sz w:val="22"/>
        </w:rPr>
        <w:t xml:space="preserve">Al respecto, la Superintendencia Financiera, de acuerdo con el </w:t>
      </w:r>
      <w:bookmarkStart w:id="7" w:name="_Hlk90384644"/>
      <w:r w:rsidRPr="00B6638E">
        <w:rPr>
          <w:rFonts w:ascii="Arial" w:eastAsia="Calibri" w:hAnsi="Arial" w:cs="Arial"/>
          <w:sz w:val="22"/>
        </w:rPr>
        <w:t>Concepto 2009036212-001 del 18 de junio de 2009</w:t>
      </w:r>
      <w:bookmarkEnd w:id="7"/>
      <w:r w:rsidRPr="00B6638E">
        <w:rPr>
          <w:rFonts w:ascii="Arial" w:eastAsia="Calibri" w:hAnsi="Arial" w:cs="Arial"/>
          <w:sz w:val="22"/>
        </w:rPr>
        <w:t>, explica que lo normal es que las cuentas bancarias no se abran más que a nombre de una sola persona. Sin embargo, nada obsta para que la cuenta sea abierta a nombre de dos o más, caso en el cual se presenta el fenómeno de la pluralidad de titulares. Estas cuentas colectivas pueden ser mancomunadas, solidarias o conjuntas</w:t>
      </w:r>
      <w:r w:rsidRPr="00B6638E">
        <w:rPr>
          <w:rStyle w:val="Refdenotaalpie"/>
          <w:rFonts w:ascii="Arial" w:eastAsia="Calibri" w:hAnsi="Arial" w:cs="Arial"/>
          <w:sz w:val="22"/>
        </w:rPr>
        <w:footnoteReference w:id="16"/>
      </w:r>
      <w:r w:rsidRPr="00B6638E">
        <w:rPr>
          <w:rFonts w:ascii="Arial" w:eastAsia="Calibri" w:hAnsi="Arial" w:cs="Arial"/>
          <w:sz w:val="22"/>
        </w:rPr>
        <w:t xml:space="preserve">. Frente a este tipo de situaciones, de acuerdo con </w:t>
      </w:r>
      <w:r w:rsidRPr="00B6638E">
        <w:rPr>
          <w:rFonts w:ascii="Arial" w:eastAsia="Calibri" w:hAnsi="Arial" w:cs="Arial"/>
          <w:sz w:val="22"/>
        </w:rPr>
        <w:lastRenderedPageBreak/>
        <w:t xml:space="preserve">lo explicado en la parte considerativa de este concepto, las entidades definirán autónomamente en cada caso concreto si los recursos que estas aporten pueden estar o no en la misma cuenta bancaria donde se encuentran los aportes de la ESAL. </w:t>
      </w:r>
      <w:r w:rsidRPr="00B6638E">
        <w:rPr>
          <w:rStyle w:val="normaltextrun"/>
          <w:rFonts w:ascii="Arial" w:hAnsi="Arial" w:cs="Arial"/>
          <w:color w:val="000000"/>
          <w:sz w:val="22"/>
          <w:shd w:val="clear" w:color="auto" w:fill="FFFFFF"/>
        </w:rPr>
        <w:t>Esto último en la medida que, de acuerdo con las competencias asignadas en el Decreto – Ley 4170 de 2011, esta entidad carece de atribuciones para vigilar la gestión contractual de los partícipes del sistema de compras y contratación pública.</w:t>
      </w:r>
      <w:r w:rsidRPr="00B6638E">
        <w:rPr>
          <w:rStyle w:val="eop"/>
          <w:rFonts w:ascii="Arial" w:hAnsi="Arial" w:cs="Arial"/>
          <w:color w:val="000000"/>
          <w:sz w:val="22"/>
          <w:shd w:val="clear" w:color="auto" w:fill="FFFFFF"/>
        </w:rPr>
        <w:t> </w:t>
      </w:r>
      <w:r w:rsidRPr="00B6638E">
        <w:rPr>
          <w:rFonts w:ascii="Arial" w:eastAsia="Calibri" w:hAnsi="Arial" w:cs="Arial"/>
          <w:sz w:val="22"/>
        </w:rPr>
        <w:t xml:space="preserve">  </w:t>
      </w:r>
    </w:p>
    <w:p w14:paraId="784575E4" w14:textId="77777777" w:rsidR="00FC1D76" w:rsidRPr="00866D6C" w:rsidRDefault="00FC1D76" w:rsidP="00FC1D76">
      <w:pPr>
        <w:spacing w:before="120" w:line="276" w:lineRule="auto"/>
        <w:ind w:firstLine="708"/>
        <w:jc w:val="both"/>
        <w:rPr>
          <w:rFonts w:ascii="Arial" w:eastAsia="Calibri" w:hAnsi="Arial" w:cs="Arial"/>
          <w:sz w:val="22"/>
        </w:rPr>
      </w:pPr>
      <w:bookmarkStart w:id="8" w:name="_Hlk90387415"/>
      <w:r w:rsidRPr="00B6638E">
        <w:rPr>
          <w:rFonts w:ascii="Arial" w:eastAsia="Calibri" w:hAnsi="Arial" w:cs="Arial"/>
          <w:sz w:val="22"/>
        </w:rPr>
        <w:t>Lo normal es que los aportes estén en cuentas diferentes</w:t>
      </w:r>
      <w:bookmarkEnd w:id="8"/>
      <w:r w:rsidRPr="00B6638E">
        <w:rPr>
          <w:rFonts w:ascii="Arial" w:eastAsia="Calibri" w:hAnsi="Arial" w:cs="Arial"/>
          <w:sz w:val="22"/>
        </w:rPr>
        <w:t xml:space="preserve">. No obstante, si la entidad estima oportuno que los recursos estén en una cuenta colectiva, deberá analizar –en función de la titularidad de los saldos disponibles– el cumplimiento de las condiciones previstas en el artículo 5 del Decreto 092 de 2017 para acudir al procedimiento no competitivo, y permitirá la pluralidad de oferentes en caso de que no concurran dichos requisitos. </w:t>
      </w:r>
      <w:r w:rsidRPr="00B6638E">
        <w:rPr>
          <w:rFonts w:ascii="Arial" w:hAnsi="Arial" w:cs="Arial"/>
          <w:sz w:val="22"/>
          <w:lang w:val="es-ES"/>
        </w:rPr>
        <w:t xml:space="preserve">Por lo anterior, previo concepto de sus órganos asesores, la solución de estos temas corresponde a la entidad que adelanta el procedimiento de selección y, en caso de que se presente alguna irregularidad, a las autoridades judiciales, fiscales y disciplinarias. </w:t>
      </w:r>
      <w:r w:rsidRPr="00B6638E">
        <w:rPr>
          <w:rFonts w:ascii="Arial" w:eastAsia="Calibri" w:hAnsi="Arial" w:cs="Arial"/>
          <w:sz w:val="22"/>
        </w:rPr>
        <w:t>Lo anterior sin perjuicio del cumplimiento de las disposiciones presupuestales vigentes</w:t>
      </w:r>
      <w:r w:rsidRPr="00B6638E">
        <w:rPr>
          <w:rStyle w:val="Refdenotaalpie"/>
          <w:rFonts w:ascii="Arial" w:eastAsia="Calibri" w:hAnsi="Arial" w:cs="Arial"/>
          <w:sz w:val="22"/>
        </w:rPr>
        <w:footnoteReference w:id="17"/>
      </w:r>
      <w:r w:rsidRPr="00B6638E">
        <w:rPr>
          <w:rFonts w:ascii="Arial" w:eastAsia="Calibri" w:hAnsi="Arial" w:cs="Arial"/>
          <w:sz w:val="22"/>
        </w:rPr>
        <w:t>.</w:t>
      </w:r>
      <w:r>
        <w:rPr>
          <w:rFonts w:ascii="Arial" w:eastAsia="Calibri" w:hAnsi="Arial" w:cs="Arial"/>
          <w:sz w:val="22"/>
        </w:rPr>
        <w:t xml:space="preserve">   </w:t>
      </w:r>
    </w:p>
    <w:p w14:paraId="1BC8B5C6" w14:textId="77777777" w:rsidR="00FC1D76" w:rsidRPr="009868CC" w:rsidRDefault="00FC1D76" w:rsidP="00FC1D76">
      <w:pPr>
        <w:pStyle w:val="Sinespaciado"/>
        <w:tabs>
          <w:tab w:val="left" w:pos="426"/>
        </w:tabs>
        <w:spacing w:line="276" w:lineRule="auto"/>
        <w:jc w:val="both"/>
        <w:rPr>
          <w:rFonts w:ascii="Arial" w:eastAsia="Calibri" w:hAnsi="Arial" w:cs="Arial"/>
          <w:bCs/>
          <w:sz w:val="22"/>
          <w:lang w:val="es-ES_tradnl"/>
        </w:rPr>
      </w:pPr>
    </w:p>
    <w:p w14:paraId="7DF22FD6" w14:textId="77777777" w:rsidR="00FC1D76" w:rsidRPr="009868CC" w:rsidRDefault="00FC1D76" w:rsidP="00FC1D76">
      <w:pPr>
        <w:pStyle w:val="Prrafodelista"/>
        <w:tabs>
          <w:tab w:val="left" w:pos="284"/>
        </w:tabs>
        <w:spacing w:line="276" w:lineRule="auto"/>
        <w:ind w:left="0"/>
        <w:jc w:val="both"/>
        <w:rPr>
          <w:rFonts w:ascii="Arial" w:eastAsia="Calibri" w:hAnsi="Arial" w:cs="Arial"/>
          <w:sz w:val="22"/>
        </w:rPr>
      </w:pPr>
      <w:r w:rsidRPr="009868CC">
        <w:rPr>
          <w:rFonts w:ascii="Arial" w:eastAsia="Calibri" w:hAnsi="Arial" w:cs="Arial"/>
          <w:b/>
          <w:sz w:val="22"/>
        </w:rPr>
        <w:t>3. Respuesta</w:t>
      </w:r>
    </w:p>
    <w:p w14:paraId="4F222CD0" w14:textId="77777777" w:rsidR="00FC1D76" w:rsidRPr="009868CC" w:rsidRDefault="00FC1D76" w:rsidP="00FC1D76">
      <w:pPr>
        <w:tabs>
          <w:tab w:val="left" w:pos="426"/>
        </w:tabs>
        <w:spacing w:line="276" w:lineRule="auto"/>
        <w:ind w:right="709"/>
        <w:jc w:val="both"/>
        <w:rPr>
          <w:rFonts w:ascii="Arial" w:eastAsia="Calibri" w:hAnsi="Arial" w:cs="Arial"/>
          <w:sz w:val="22"/>
        </w:rPr>
      </w:pPr>
    </w:p>
    <w:p w14:paraId="6D1DFC01" w14:textId="77777777" w:rsidR="00FC1D76" w:rsidRPr="00234FB0" w:rsidRDefault="00FC1D76" w:rsidP="00FC1D76">
      <w:pPr>
        <w:pStyle w:val="xxdefault"/>
        <w:spacing w:before="0" w:beforeAutospacing="0" w:after="0" w:afterAutospacing="0"/>
        <w:ind w:left="709" w:right="709"/>
        <w:jc w:val="both"/>
        <w:rPr>
          <w:rFonts w:ascii="Arial" w:hAnsi="Arial" w:cs="Arial"/>
          <w:color w:val="000000" w:themeColor="text1"/>
          <w:sz w:val="21"/>
          <w:szCs w:val="21"/>
        </w:rPr>
      </w:pPr>
      <w:r w:rsidRPr="006E29CF">
        <w:rPr>
          <w:rFonts w:ascii="Arial" w:hAnsi="Arial" w:cs="Arial"/>
          <w:color w:val="000000" w:themeColor="text1"/>
          <w:sz w:val="21"/>
          <w:szCs w:val="21"/>
        </w:rPr>
        <w:t xml:space="preserve">«El artículo 5 de la Ley 092 de 2017 dice "(...) no estarán sujetos a competencia cuando la entidad sin ánimo de lucro comprometa recursos en dinero para la </w:t>
      </w:r>
      <w:r w:rsidRPr="006E29CF">
        <w:rPr>
          <w:rFonts w:ascii="Arial" w:hAnsi="Arial" w:cs="Arial"/>
          <w:color w:val="000000" w:themeColor="text1"/>
          <w:sz w:val="21"/>
          <w:szCs w:val="21"/>
        </w:rPr>
        <w:lastRenderedPageBreak/>
        <w:t xml:space="preserve">ejecución de esas actividades en una proporción no inferior al 30% del valor total del convenio. Los recursos que compromete la entidad sin ánimo de lucro pueden ser propios o de cooperación internacional. (...)" ¿Estos recursos deben estar </w:t>
      </w:r>
      <w:bookmarkStart w:id="9" w:name="_Hlk90306096"/>
      <w:r w:rsidRPr="006E29CF">
        <w:rPr>
          <w:rFonts w:ascii="Arial" w:hAnsi="Arial" w:cs="Arial"/>
          <w:color w:val="000000" w:themeColor="text1"/>
          <w:sz w:val="21"/>
          <w:szCs w:val="21"/>
        </w:rPr>
        <w:t>en una cuenta bancaria independiente o diferente de la cuenta bancaria donde están los recursos totales de la ESAL</w:t>
      </w:r>
      <w:bookmarkEnd w:id="9"/>
      <w:r w:rsidRPr="006E29CF">
        <w:rPr>
          <w:rFonts w:ascii="Arial" w:hAnsi="Arial" w:cs="Arial"/>
          <w:color w:val="000000" w:themeColor="text1"/>
          <w:sz w:val="21"/>
          <w:szCs w:val="21"/>
        </w:rPr>
        <w:t>?»</w:t>
      </w:r>
      <w:r>
        <w:rPr>
          <w:rFonts w:ascii="Arial" w:hAnsi="Arial" w:cs="Arial"/>
          <w:color w:val="000000" w:themeColor="text1"/>
          <w:sz w:val="21"/>
          <w:szCs w:val="21"/>
        </w:rPr>
        <w:t>.</w:t>
      </w:r>
    </w:p>
    <w:p w14:paraId="3259A767" w14:textId="77777777" w:rsidR="00FC1D76" w:rsidRDefault="00FC1D76" w:rsidP="00FC1D76">
      <w:pPr>
        <w:pStyle w:val="Sinespaciado"/>
        <w:spacing w:line="276" w:lineRule="auto"/>
        <w:jc w:val="both"/>
        <w:rPr>
          <w:rFonts w:ascii="Arial" w:eastAsia="Calibri" w:hAnsi="Arial" w:cs="Arial"/>
          <w:sz w:val="22"/>
        </w:rPr>
      </w:pPr>
    </w:p>
    <w:p w14:paraId="3477E9C5" w14:textId="77777777" w:rsidR="00FC1D76" w:rsidRDefault="00FC1D76" w:rsidP="00FC1D76">
      <w:pPr>
        <w:spacing w:line="276" w:lineRule="auto"/>
        <w:jc w:val="both"/>
        <w:rPr>
          <w:rFonts w:ascii="Arial" w:eastAsia="Calibri" w:hAnsi="Arial" w:cs="Arial"/>
          <w:sz w:val="22"/>
        </w:rPr>
      </w:pPr>
      <w:r>
        <w:rPr>
          <w:rFonts w:ascii="Arial" w:eastAsia="Calibri" w:hAnsi="Arial" w:cs="Arial"/>
          <w:sz w:val="22"/>
        </w:rPr>
        <w:t xml:space="preserve">De acuerdo con la interpretación de las normas generales del sistema de compras públicas, </w:t>
      </w:r>
      <w:r w:rsidRPr="00866D6C">
        <w:rPr>
          <w:rFonts w:ascii="Arial" w:eastAsia="Calibri" w:hAnsi="Arial" w:cs="Arial"/>
          <w:sz w:val="22"/>
        </w:rPr>
        <w:t xml:space="preserve">si se pretende realizar un </w:t>
      </w:r>
      <w:r w:rsidRPr="00866D6C">
        <w:rPr>
          <w:rFonts w:ascii="Arial" w:eastAsia="Calibri" w:hAnsi="Arial" w:cs="Arial"/>
          <w:i/>
          <w:iCs/>
          <w:sz w:val="22"/>
        </w:rPr>
        <w:t>convenio de asociación</w:t>
      </w:r>
      <w:r w:rsidRPr="00866D6C">
        <w:rPr>
          <w:rFonts w:ascii="Arial" w:eastAsia="Calibri" w:hAnsi="Arial" w:cs="Arial"/>
          <w:sz w:val="22"/>
        </w:rPr>
        <w:t xml:space="preserve"> con ESAL de reconocida idoneidad para el cumplimiento de las funciones que la ley les asigna a las entidades públicas, deben aplicar lo dispuesto en el artículo 5 del Decreto </w:t>
      </w:r>
      <w:r>
        <w:rPr>
          <w:rFonts w:ascii="Arial" w:eastAsia="Calibri" w:hAnsi="Arial" w:cs="Arial"/>
          <w:sz w:val="22"/>
        </w:rPr>
        <w:t>0</w:t>
      </w:r>
      <w:r w:rsidRPr="00866D6C">
        <w:rPr>
          <w:rFonts w:ascii="Arial" w:eastAsia="Calibri" w:hAnsi="Arial" w:cs="Arial"/>
          <w:sz w:val="22"/>
        </w:rPr>
        <w:t xml:space="preserve">92 de 2017. </w:t>
      </w:r>
      <w:r>
        <w:rPr>
          <w:rFonts w:ascii="Arial" w:eastAsia="Calibri" w:hAnsi="Arial" w:cs="Arial"/>
          <w:sz w:val="22"/>
        </w:rPr>
        <w:t xml:space="preserve">Dicho artículo </w:t>
      </w:r>
      <w:r w:rsidRPr="00866D6C">
        <w:rPr>
          <w:rFonts w:ascii="Arial" w:eastAsia="Calibri" w:hAnsi="Arial" w:cs="Arial"/>
          <w:sz w:val="22"/>
        </w:rPr>
        <w:t>establece que el proceso para la selección de la ESAL, por regla general, debe estar sujeto a competencia; salvo en aquellos casos en que una entidad sin ánimo de lucro comprometa recursos en dinero por un valor igual o superior al 30% del valor total del convenio, y siempre que la entidad estatal verifique previamente que no existe ninguna otra entidad sin ánimo de lucro que ofrezca aportes iguales o superiores al 30%.</w:t>
      </w:r>
      <w:r>
        <w:rPr>
          <w:rFonts w:ascii="Arial" w:eastAsia="Calibri" w:hAnsi="Arial" w:cs="Arial"/>
          <w:sz w:val="22"/>
        </w:rPr>
        <w:t xml:space="preserve"> </w:t>
      </w:r>
    </w:p>
    <w:p w14:paraId="774FEBC0" w14:textId="77777777" w:rsidR="00FC1D76" w:rsidRPr="00B6638E" w:rsidRDefault="00FC1D76" w:rsidP="00FC1D76">
      <w:pPr>
        <w:spacing w:before="120" w:line="276" w:lineRule="auto"/>
        <w:ind w:firstLine="708"/>
        <w:jc w:val="both"/>
        <w:rPr>
          <w:rFonts w:ascii="Arial" w:eastAsia="Calibri" w:hAnsi="Arial" w:cs="Arial"/>
          <w:sz w:val="22"/>
        </w:rPr>
      </w:pPr>
      <w:r w:rsidRPr="00B6638E">
        <w:rPr>
          <w:rFonts w:ascii="Arial" w:eastAsia="Calibri" w:hAnsi="Arial" w:cs="Arial"/>
          <w:sz w:val="22"/>
        </w:rPr>
        <w:t xml:space="preserve">De hecho,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Lo importantes es que la norma citada solo regula el porcentaje de los aportes para efectos del procedimiento de selección, sin disponer si los recursos de la entidad pueden encontrarse o no en una cuenta bancaria independiente o diferente de la cuenta bancaria donde están los recursos totales de la ESAL. </w:t>
      </w:r>
    </w:p>
    <w:p w14:paraId="50142600" w14:textId="77777777" w:rsidR="00FC1D76" w:rsidRPr="00B6638E" w:rsidRDefault="00FC1D76" w:rsidP="00FC1D76">
      <w:pPr>
        <w:spacing w:before="120" w:line="276" w:lineRule="auto"/>
        <w:ind w:firstLine="708"/>
        <w:jc w:val="both"/>
        <w:rPr>
          <w:rFonts w:ascii="Arial" w:eastAsia="Calibri" w:hAnsi="Arial" w:cs="Arial"/>
          <w:sz w:val="22"/>
        </w:rPr>
      </w:pPr>
      <w:r w:rsidRPr="00B6638E">
        <w:rPr>
          <w:rFonts w:ascii="Arial" w:eastAsia="Calibri" w:hAnsi="Arial" w:cs="Arial"/>
          <w:sz w:val="22"/>
        </w:rPr>
        <w:t xml:space="preserve">Al respecto, la Superintendencia Financiera, en Concepto 2009036212-001 del 18 de junio de 2009, explica que lo normal es que las cuentas bancarias no se abran más que a nombre de una sola persona. Sin embargo, nada obsta para que la cuenta sea abierta a nombre de dos o más, caso en el cual se presenta el fenómeno de la pluralidad de titulares. Estas cuentas colectivas pueden ser mancomunadas, solidarias o conjuntas. Frente a este tipo de situaciones, de acuerdo con lo explicado en la parte considerativa de este concepto, las entidades definirán autónomamente en cada caso concreto si los recursos que estas aporten pueden estar o no en la misma cuenta bancaria donde se encuentran los aportes de la ESAL. </w:t>
      </w:r>
      <w:r w:rsidRPr="00B6638E">
        <w:rPr>
          <w:rStyle w:val="normaltextrun"/>
          <w:rFonts w:ascii="Arial" w:hAnsi="Arial" w:cs="Arial"/>
          <w:color w:val="000000"/>
          <w:sz w:val="22"/>
          <w:shd w:val="clear" w:color="auto" w:fill="FFFFFF"/>
        </w:rPr>
        <w:t>Esto último en la medida que, de acuerdo con las competencias asignadas en el Decreto – Ley 4170 de 2011, esta entidad carece de atribuciones para vigilar la gestión contractual de los partícipes del sistema de compras y contratación pública.</w:t>
      </w:r>
      <w:r w:rsidRPr="00B6638E">
        <w:rPr>
          <w:rStyle w:val="eop"/>
          <w:rFonts w:ascii="Arial" w:hAnsi="Arial" w:cs="Arial"/>
          <w:color w:val="000000"/>
          <w:sz w:val="22"/>
          <w:shd w:val="clear" w:color="auto" w:fill="FFFFFF"/>
        </w:rPr>
        <w:t> </w:t>
      </w:r>
      <w:r w:rsidRPr="00B6638E">
        <w:rPr>
          <w:rFonts w:ascii="Arial" w:eastAsia="Calibri" w:hAnsi="Arial" w:cs="Arial"/>
          <w:sz w:val="22"/>
        </w:rPr>
        <w:t xml:space="preserve">  </w:t>
      </w:r>
    </w:p>
    <w:p w14:paraId="3002B494" w14:textId="77777777" w:rsidR="00FC1D76" w:rsidRDefault="00FC1D76" w:rsidP="00FC1D76">
      <w:pPr>
        <w:spacing w:before="120" w:line="276" w:lineRule="auto"/>
        <w:ind w:firstLine="708"/>
        <w:jc w:val="both"/>
        <w:rPr>
          <w:rFonts w:ascii="Arial" w:eastAsia="Calibri" w:hAnsi="Arial" w:cs="Arial"/>
          <w:sz w:val="22"/>
        </w:rPr>
      </w:pPr>
      <w:r w:rsidRPr="00B6638E">
        <w:rPr>
          <w:rFonts w:ascii="Arial" w:eastAsia="Calibri" w:hAnsi="Arial" w:cs="Arial"/>
          <w:sz w:val="22"/>
        </w:rPr>
        <w:t xml:space="preserve">Lo normal es que los aportes estén en cuentas diferentes. No obstante, si la entidad estima oportuno que los recursos estén en una cuenta colectiva, deberá analizar –en </w:t>
      </w:r>
      <w:r w:rsidRPr="00B6638E">
        <w:rPr>
          <w:rFonts w:ascii="Arial" w:eastAsia="Calibri" w:hAnsi="Arial" w:cs="Arial"/>
          <w:sz w:val="22"/>
        </w:rPr>
        <w:lastRenderedPageBreak/>
        <w:t xml:space="preserve">función de la titularidad de los saldos disponibles– el cumplimiento de las condiciones previstas en el artículo 5 del Decreto 092 de 2017 para acudir al procedimiento no competitivo, y permitirá la pluralidad de oferentes en caso de que no se den dichos requisitos. </w:t>
      </w:r>
      <w:r w:rsidRPr="00B6638E">
        <w:rPr>
          <w:rFonts w:ascii="Arial" w:hAnsi="Arial" w:cs="Arial"/>
          <w:sz w:val="22"/>
          <w:lang w:val="es-ES"/>
        </w:rPr>
        <w:t>En este contexto, previo concepto de sus órganos asesores, la solución de estos temas corresponde a la entidad que adelanta el procedimiento de selección y, en caso de que se presente alguna irregularidad, a las autoridades judiciales, fiscales y disciplinarias.</w:t>
      </w:r>
      <w:r w:rsidRPr="00B6638E">
        <w:rPr>
          <w:rFonts w:ascii="Arial" w:eastAsia="Calibri" w:hAnsi="Arial" w:cs="Arial"/>
          <w:sz w:val="22"/>
        </w:rPr>
        <w:t xml:space="preserve"> Lo anterior sin perjuicio del cumplimiento de las disposiciones presupuestales vigentes.</w:t>
      </w:r>
    </w:p>
    <w:p w14:paraId="72D65ECA" w14:textId="77777777" w:rsidR="00FC1D76" w:rsidRDefault="00FC1D76" w:rsidP="00FC1D76">
      <w:pPr>
        <w:spacing w:line="276" w:lineRule="auto"/>
        <w:jc w:val="both"/>
        <w:rPr>
          <w:rFonts w:ascii="Arial" w:eastAsia="Calibri" w:hAnsi="Arial" w:cs="Arial"/>
          <w:sz w:val="22"/>
        </w:rPr>
      </w:pPr>
    </w:p>
    <w:p w14:paraId="24FF6119" w14:textId="77777777" w:rsidR="00FC1D76" w:rsidRDefault="00FC1D76" w:rsidP="00FC1D76">
      <w:pPr>
        <w:spacing w:line="276" w:lineRule="auto"/>
        <w:jc w:val="both"/>
        <w:rPr>
          <w:rFonts w:ascii="Arial" w:eastAsia="Calibri" w:hAnsi="Arial" w:cs="Arial"/>
          <w:sz w:val="22"/>
        </w:rPr>
      </w:pPr>
      <w:r w:rsidRPr="009868CC">
        <w:rPr>
          <w:rFonts w:ascii="Arial" w:eastAsia="Calibri" w:hAnsi="Arial" w:cs="Arial"/>
          <w:sz w:val="22"/>
        </w:rPr>
        <w:t>Este concepto tiene el alcance previsto en el artículo 28 del Código de Procedimiento Administrativo y de lo Contencioso Administrativo.</w:t>
      </w:r>
    </w:p>
    <w:p w14:paraId="743CBD57" w14:textId="77777777" w:rsidR="00FC1D76" w:rsidRDefault="00FC1D76" w:rsidP="00FC1D76">
      <w:pPr>
        <w:spacing w:line="276" w:lineRule="auto"/>
        <w:jc w:val="both"/>
        <w:rPr>
          <w:rFonts w:ascii="Arial" w:eastAsia="Calibri" w:hAnsi="Arial" w:cs="Arial"/>
          <w:sz w:val="22"/>
        </w:rPr>
      </w:pPr>
    </w:p>
    <w:p w14:paraId="5938BAD3" w14:textId="77777777" w:rsidR="00FC1D76" w:rsidRPr="00697DFA" w:rsidRDefault="00FC1D76" w:rsidP="00FC1D76">
      <w:pPr>
        <w:spacing w:line="276" w:lineRule="auto"/>
        <w:jc w:val="both"/>
        <w:rPr>
          <w:rFonts w:ascii="Arial" w:eastAsia="Calibri" w:hAnsi="Arial" w:cs="Arial"/>
          <w:sz w:val="22"/>
        </w:rPr>
      </w:pPr>
      <w:r>
        <w:rPr>
          <w:rFonts w:ascii="Arial" w:eastAsia="Calibri" w:hAnsi="Arial" w:cs="Arial"/>
          <w:sz w:val="22"/>
        </w:rPr>
        <w:t>Atentamente,</w:t>
      </w:r>
    </w:p>
    <w:p w14:paraId="7064132E" w14:textId="77777777" w:rsidR="00FC1D76" w:rsidRPr="009868CC" w:rsidRDefault="00FC1D76" w:rsidP="00FC1D76">
      <w:pPr>
        <w:pStyle w:val="NormalWeb"/>
        <w:spacing w:before="0" w:beforeAutospacing="0" w:after="0" w:afterAutospacing="0" w:line="276" w:lineRule="auto"/>
        <w:jc w:val="center"/>
        <w:rPr>
          <w:rFonts w:ascii="Arial" w:hAnsi="Arial" w:cs="Arial"/>
          <w:sz w:val="22"/>
          <w:szCs w:val="22"/>
          <w:lang w:val="es-ES_tradnl"/>
        </w:rPr>
      </w:pPr>
    </w:p>
    <w:p w14:paraId="4A40C671" w14:textId="14D3838D" w:rsidR="00FC1D76" w:rsidRPr="009868CC" w:rsidRDefault="00FC1D76" w:rsidP="00FC1D76">
      <w:pPr>
        <w:jc w:val="center"/>
        <w:rPr>
          <w:rFonts w:ascii="Arial" w:hAnsi="Arial" w:cs="Arial"/>
          <w:sz w:val="18"/>
          <w:szCs w:val="20"/>
          <w:lang w:val="es-ES_tradnl" w:eastAsia="es-CO"/>
        </w:rPr>
      </w:pPr>
      <w:r>
        <w:rPr>
          <w:rFonts w:ascii="Arial" w:hAnsi="Arial" w:cs="Arial"/>
          <w:noProof/>
          <w:color w:val="000000" w:themeColor="text1"/>
          <w:sz w:val="22"/>
          <w:lang w:val="es-ES_tradnl"/>
        </w:rPr>
        <w:drawing>
          <wp:inline distT="0" distB="0" distL="0" distR="0" wp14:anchorId="116A633C" wp14:editId="396DB250">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3209CB45" w14:textId="77777777" w:rsidR="00FC1D76" w:rsidRPr="009868CC" w:rsidRDefault="00FC1D76" w:rsidP="00FC1D7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FC1D76" w:rsidRPr="009868CC" w14:paraId="1C3D2F35" w14:textId="77777777" w:rsidTr="00DE0AF4">
        <w:trPr>
          <w:trHeight w:val="315"/>
        </w:trPr>
        <w:tc>
          <w:tcPr>
            <w:tcW w:w="1044" w:type="dxa"/>
            <w:vAlign w:val="center"/>
          </w:tcPr>
          <w:p w14:paraId="3CC7F753" w14:textId="77777777" w:rsidR="00FC1D76" w:rsidRPr="009868CC" w:rsidRDefault="00FC1D76" w:rsidP="00DE0AF4">
            <w:pPr>
              <w:jc w:val="both"/>
              <w:rPr>
                <w:rFonts w:ascii="Arial" w:hAnsi="Arial" w:cs="Arial"/>
                <w:sz w:val="16"/>
                <w:szCs w:val="16"/>
                <w:lang w:val="es-ES_tradnl" w:eastAsia="es-ES"/>
              </w:rPr>
            </w:pPr>
            <w:r w:rsidRPr="009868CC">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5E67FC26" w14:textId="77777777" w:rsidR="00FC1D76" w:rsidRPr="009868CC" w:rsidRDefault="00FC1D76" w:rsidP="00DE0AF4">
            <w:pPr>
              <w:jc w:val="both"/>
              <w:rPr>
                <w:rFonts w:ascii="Arial" w:hAnsi="Arial" w:cs="Arial"/>
                <w:sz w:val="16"/>
                <w:szCs w:val="16"/>
                <w:lang w:val="es-ES_tradnl" w:eastAsia="es-ES"/>
              </w:rPr>
            </w:pPr>
            <w:r>
              <w:rPr>
                <w:rFonts w:ascii="Arial" w:hAnsi="Arial" w:cs="Arial"/>
                <w:sz w:val="16"/>
                <w:szCs w:val="16"/>
                <w:lang w:val="es-ES_tradnl" w:eastAsia="es-ES"/>
              </w:rPr>
              <w:t>Kevin Arlid Herrera Santa</w:t>
            </w:r>
          </w:p>
          <w:p w14:paraId="56412534" w14:textId="77777777" w:rsidR="00FC1D76" w:rsidRPr="009868CC" w:rsidRDefault="00FC1D76" w:rsidP="00DE0AF4">
            <w:pPr>
              <w:jc w:val="both"/>
              <w:rPr>
                <w:rFonts w:ascii="Arial" w:hAnsi="Arial" w:cs="Arial"/>
                <w:sz w:val="16"/>
                <w:szCs w:val="16"/>
                <w:lang w:val="es-ES_tradnl" w:eastAsia="es-ES"/>
              </w:rPr>
            </w:pPr>
            <w:r>
              <w:rPr>
                <w:rFonts w:ascii="Arial" w:hAnsi="Arial" w:cs="Arial"/>
                <w:sz w:val="16"/>
                <w:szCs w:val="16"/>
                <w:lang w:val="es-ES_tradnl" w:eastAsia="es-ES"/>
              </w:rPr>
              <w:t>Analista</w:t>
            </w:r>
            <w:r w:rsidRPr="009868CC">
              <w:rPr>
                <w:rFonts w:ascii="Arial" w:hAnsi="Arial" w:cs="Arial"/>
                <w:sz w:val="16"/>
                <w:szCs w:val="16"/>
                <w:lang w:val="es-ES_tradnl" w:eastAsia="es-ES"/>
              </w:rPr>
              <w:t xml:space="preserve"> </w:t>
            </w:r>
            <w:r>
              <w:rPr>
                <w:rFonts w:ascii="Arial" w:hAnsi="Arial" w:cs="Arial"/>
                <w:sz w:val="16"/>
                <w:szCs w:val="16"/>
                <w:lang w:val="es-ES_tradnl" w:eastAsia="es-ES"/>
              </w:rPr>
              <w:t>T2–04</w:t>
            </w:r>
            <w:r w:rsidRPr="009868CC">
              <w:rPr>
                <w:rFonts w:ascii="Arial" w:hAnsi="Arial" w:cs="Arial"/>
                <w:sz w:val="16"/>
                <w:szCs w:val="16"/>
                <w:lang w:val="es-ES_tradnl" w:eastAsia="es-ES"/>
              </w:rPr>
              <w:t xml:space="preserve"> de la Subdirección de Gestión Contractual</w:t>
            </w:r>
          </w:p>
        </w:tc>
      </w:tr>
      <w:tr w:rsidR="00FC1D76" w:rsidRPr="009868CC" w14:paraId="2C7232C5" w14:textId="77777777" w:rsidTr="00DE0AF4">
        <w:trPr>
          <w:trHeight w:val="411"/>
        </w:trPr>
        <w:tc>
          <w:tcPr>
            <w:tcW w:w="1044" w:type="dxa"/>
            <w:vAlign w:val="center"/>
          </w:tcPr>
          <w:p w14:paraId="7248CCA2" w14:textId="77777777" w:rsidR="00FC1D76" w:rsidRPr="009868CC" w:rsidRDefault="00FC1D76" w:rsidP="00DE0AF4">
            <w:pPr>
              <w:jc w:val="both"/>
              <w:rPr>
                <w:rFonts w:ascii="Arial" w:hAnsi="Arial" w:cs="Arial"/>
                <w:sz w:val="16"/>
                <w:szCs w:val="16"/>
                <w:lang w:val="es-ES_tradnl" w:eastAsia="es-ES"/>
              </w:rPr>
            </w:pPr>
            <w:r w:rsidRPr="009868CC">
              <w:rPr>
                <w:rFonts w:ascii="Arial" w:hAnsi="Arial" w:cs="Arial"/>
                <w:sz w:val="16"/>
                <w:szCs w:val="16"/>
                <w:lang w:val="es-ES_tradnl" w:eastAsia="es-ES"/>
              </w:rPr>
              <w:t>Revisó:</w:t>
            </w:r>
          </w:p>
        </w:tc>
        <w:tc>
          <w:tcPr>
            <w:tcW w:w="4413" w:type="dxa"/>
            <w:tcBorders>
              <w:top w:val="dotted" w:sz="4" w:space="0" w:color="7F7F7F" w:themeColor="text1" w:themeTint="80"/>
              <w:left w:val="nil"/>
              <w:right w:val="nil"/>
            </w:tcBorders>
            <w:vAlign w:val="center"/>
          </w:tcPr>
          <w:p w14:paraId="6DDF4E85" w14:textId="77777777" w:rsidR="00FC1D76" w:rsidRPr="009868CC" w:rsidRDefault="00FC1D76" w:rsidP="00DE0AF4">
            <w:pPr>
              <w:jc w:val="both"/>
              <w:rPr>
                <w:rFonts w:ascii="Arial" w:hAnsi="Arial" w:cs="Arial"/>
                <w:sz w:val="16"/>
                <w:szCs w:val="16"/>
                <w:lang w:val="es-ES_tradnl" w:eastAsia="es-ES"/>
              </w:rPr>
            </w:pPr>
            <w:r w:rsidRPr="009868CC">
              <w:rPr>
                <w:rFonts w:ascii="Arial" w:hAnsi="Arial" w:cs="Arial"/>
                <w:sz w:val="16"/>
                <w:szCs w:val="16"/>
                <w:lang w:val="es-ES_tradnl" w:eastAsia="es-ES"/>
              </w:rPr>
              <w:t>Juan David Montoya Penagos</w:t>
            </w:r>
          </w:p>
          <w:p w14:paraId="2AD44545" w14:textId="77777777" w:rsidR="00FC1D76" w:rsidRPr="009868CC" w:rsidRDefault="00FC1D76" w:rsidP="00DE0AF4">
            <w:pPr>
              <w:jc w:val="both"/>
              <w:rPr>
                <w:rFonts w:ascii="Arial" w:hAnsi="Arial" w:cs="Arial"/>
                <w:sz w:val="16"/>
                <w:szCs w:val="16"/>
                <w:lang w:val="es-ES_tradnl" w:eastAsia="es-ES"/>
              </w:rPr>
            </w:pPr>
            <w:r w:rsidRPr="009868CC">
              <w:rPr>
                <w:rFonts w:ascii="Arial" w:hAnsi="Arial" w:cs="Arial"/>
                <w:sz w:val="16"/>
                <w:szCs w:val="16"/>
                <w:lang w:val="es-ES_tradnl" w:eastAsia="es-ES"/>
              </w:rPr>
              <w:t>Gestor T1</w:t>
            </w:r>
            <w:r>
              <w:rPr>
                <w:rFonts w:ascii="Arial" w:hAnsi="Arial" w:cs="Arial"/>
                <w:sz w:val="16"/>
                <w:szCs w:val="16"/>
                <w:lang w:val="es-ES_tradnl" w:eastAsia="es-ES"/>
              </w:rPr>
              <w:t>–</w:t>
            </w:r>
            <w:r w:rsidRPr="009868CC">
              <w:rPr>
                <w:rFonts w:ascii="Arial" w:hAnsi="Arial" w:cs="Arial"/>
                <w:sz w:val="16"/>
                <w:szCs w:val="16"/>
                <w:lang w:val="es-ES_tradnl" w:eastAsia="es-ES"/>
              </w:rPr>
              <w:t>15 de la Subdirección de Gestión Contractual</w:t>
            </w:r>
          </w:p>
        </w:tc>
      </w:tr>
      <w:tr w:rsidR="00FC1D76" w:rsidRPr="009868CC" w14:paraId="18368492" w14:textId="77777777" w:rsidTr="00DE0AF4">
        <w:trPr>
          <w:trHeight w:val="300"/>
        </w:trPr>
        <w:tc>
          <w:tcPr>
            <w:tcW w:w="1044" w:type="dxa"/>
            <w:vAlign w:val="center"/>
            <w:hideMark/>
          </w:tcPr>
          <w:p w14:paraId="34128D14" w14:textId="77777777" w:rsidR="00FC1D76" w:rsidRPr="009868CC" w:rsidRDefault="00FC1D76" w:rsidP="00DE0AF4">
            <w:pPr>
              <w:jc w:val="both"/>
              <w:rPr>
                <w:rFonts w:ascii="Arial" w:hAnsi="Arial" w:cs="Arial"/>
                <w:sz w:val="16"/>
                <w:szCs w:val="16"/>
                <w:lang w:val="es-ES_tradnl" w:eastAsia="es-ES"/>
              </w:rPr>
            </w:pPr>
            <w:r w:rsidRPr="009868CC">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BB061E" w14:textId="77777777" w:rsidR="00FC1D76" w:rsidRPr="009868CC" w:rsidRDefault="00FC1D76" w:rsidP="00DE0AF4">
            <w:pPr>
              <w:jc w:val="both"/>
              <w:rPr>
                <w:rFonts w:ascii="Arial" w:hAnsi="Arial" w:cs="Arial"/>
                <w:sz w:val="16"/>
                <w:szCs w:val="16"/>
                <w:lang w:val="es-ES_tradnl" w:eastAsia="es-ES"/>
              </w:rPr>
            </w:pPr>
            <w:r w:rsidRPr="009868CC">
              <w:rPr>
                <w:rFonts w:ascii="Arial" w:hAnsi="Arial" w:cs="Arial"/>
                <w:sz w:val="16"/>
                <w:szCs w:val="16"/>
                <w:lang w:val="es-ES_tradnl" w:eastAsia="es-ES"/>
              </w:rPr>
              <w:t>Jorge Augusto Tirado Navarro</w:t>
            </w:r>
          </w:p>
          <w:p w14:paraId="0FE67C2D" w14:textId="77777777" w:rsidR="00FC1D76" w:rsidRPr="009868CC" w:rsidRDefault="00FC1D76" w:rsidP="00DE0AF4">
            <w:pPr>
              <w:jc w:val="both"/>
              <w:rPr>
                <w:rFonts w:ascii="Arial" w:hAnsi="Arial" w:cs="Arial"/>
                <w:sz w:val="16"/>
                <w:szCs w:val="16"/>
                <w:lang w:val="es-ES_tradnl" w:eastAsia="es-ES"/>
              </w:rPr>
            </w:pPr>
            <w:r w:rsidRPr="009868CC">
              <w:rPr>
                <w:rFonts w:ascii="Arial" w:hAnsi="Arial" w:cs="Arial"/>
                <w:sz w:val="16"/>
                <w:szCs w:val="16"/>
                <w:lang w:val="es-ES_tradnl" w:eastAsia="es-ES"/>
              </w:rPr>
              <w:t>Subdirector de Gestión Contractual ANCP - CCE</w:t>
            </w:r>
          </w:p>
        </w:tc>
      </w:tr>
    </w:tbl>
    <w:p w14:paraId="7E888DAE" w14:textId="77777777" w:rsidR="00FC1D76" w:rsidRPr="009868CC" w:rsidRDefault="00FC1D76" w:rsidP="00FC1D76">
      <w:pPr>
        <w:spacing w:before="120" w:line="276" w:lineRule="auto"/>
        <w:jc w:val="both"/>
      </w:pPr>
    </w:p>
    <w:p w14:paraId="57B058B3" w14:textId="77777777" w:rsidR="00FC1D76" w:rsidRPr="009868CC" w:rsidRDefault="00FC1D76" w:rsidP="00FC1D76">
      <w:pPr>
        <w:spacing w:before="120" w:line="276" w:lineRule="auto"/>
        <w:jc w:val="both"/>
        <w:rPr>
          <w:rFonts w:ascii="Arial" w:eastAsia="Times New Roman" w:hAnsi="Arial" w:cs="Arial"/>
          <w:sz w:val="16"/>
          <w:szCs w:val="16"/>
          <w:lang w:eastAsia="es-ES"/>
        </w:rPr>
      </w:pPr>
    </w:p>
    <w:p w14:paraId="2347BB0C" w14:textId="77777777" w:rsidR="00FC1D76" w:rsidRDefault="00FC1D76" w:rsidP="00FC1D76"/>
    <w:p w14:paraId="6122DF23" w14:textId="77777777" w:rsidR="00FC1D76" w:rsidRDefault="00FC1D76"/>
    <w:sectPr w:rsidR="00FC1D76" w:rsidSect="005D791B">
      <w:headerReference w:type="default" r:id="rId8"/>
      <w:footerReference w:type="default" r:id="rId9"/>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A68C" w14:textId="77777777" w:rsidR="00FC1D76" w:rsidRDefault="00FC1D76" w:rsidP="00FC1D76">
      <w:r>
        <w:separator/>
      </w:r>
    </w:p>
  </w:endnote>
  <w:endnote w:type="continuationSeparator" w:id="0">
    <w:p w14:paraId="724C62A4" w14:textId="77777777" w:rsidR="00FC1D76" w:rsidRDefault="00FC1D76" w:rsidP="00FC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EC66" w14:textId="77777777" w:rsidR="000A47AF" w:rsidRDefault="00FC1D76" w:rsidP="00322937">
    <w:pPr>
      <w:pStyle w:val="Sinespaciado"/>
      <w:jc w:val="right"/>
      <w:rPr>
        <w:rFonts w:ascii="Arial" w:hAnsi="Arial" w:cs="Arial"/>
        <w:sz w:val="18"/>
        <w:szCs w:val="18"/>
      </w:rPr>
    </w:pPr>
  </w:p>
  <w:p w14:paraId="5CD0C501" w14:textId="77777777" w:rsidR="000A47AF" w:rsidRPr="008217B7" w:rsidRDefault="00FC1D7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 xml:space="preserve">NUMPAGES  \* Arabic  \* </w:instrText>
    </w:r>
    <w:r w:rsidRPr="00084B97">
      <w:rPr>
        <w:rFonts w:ascii="Arial" w:hAnsi="Arial" w:cs="Arial"/>
        <w:b/>
        <w:bCs/>
        <w:color w:val="7F7F7F" w:themeColor="text1" w:themeTint="80"/>
        <w:sz w:val="16"/>
        <w:szCs w:val="16"/>
      </w:rPr>
      <w:instrText>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5022A58B" w14:textId="77777777" w:rsidR="000A47AF" w:rsidRDefault="00FC1D76" w:rsidP="00322937">
    <w:pPr>
      <w:pStyle w:val="Piedepgina"/>
      <w:jc w:val="center"/>
      <w:rPr>
        <w:lang w:val="es-ES"/>
      </w:rPr>
    </w:pPr>
    <w:r>
      <w:rPr>
        <w:noProof/>
      </w:rPr>
      <w:drawing>
        <wp:inline distT="0" distB="0" distL="0" distR="0" wp14:anchorId="67DCC068" wp14:editId="1ACE437B">
          <wp:extent cx="3700130" cy="519139"/>
          <wp:effectExtent l="0" t="0" r="0" b="0"/>
          <wp:docPr id="13170037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C35B67D" w14:textId="77777777" w:rsidR="000A47AF" w:rsidRDefault="00FC1D76" w:rsidP="007B0854">
    <w:pPr>
      <w:pStyle w:val="Piedepgina"/>
      <w:jc w:val="center"/>
      <w:rPr>
        <w:lang w:val="es-ES"/>
      </w:rPr>
    </w:pPr>
  </w:p>
  <w:p w14:paraId="13A6AFF5" w14:textId="77777777" w:rsidR="000A47AF" w:rsidRPr="007B0854" w:rsidRDefault="00FC1D76" w:rsidP="007B0854">
    <w:pPr>
      <w:pStyle w:val="Piedepgina"/>
      <w:jc w:val="center"/>
      <w:rPr>
        <w:lang w:val="es-ES"/>
      </w:rPr>
    </w:pPr>
  </w:p>
  <w:p w14:paraId="7CB8F59C" w14:textId="77777777" w:rsidR="00183D77" w:rsidRDefault="00FC1D76"/>
  <w:p w14:paraId="5EB356EF" w14:textId="77777777" w:rsidR="00183D77" w:rsidRDefault="00FC1D76"/>
  <w:p w14:paraId="211AF301" w14:textId="77777777" w:rsidR="00183D77" w:rsidRDefault="00FC1D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F5FC" w14:textId="77777777" w:rsidR="00FC1D76" w:rsidRDefault="00FC1D76" w:rsidP="00FC1D76">
      <w:r>
        <w:separator/>
      </w:r>
    </w:p>
  </w:footnote>
  <w:footnote w:type="continuationSeparator" w:id="0">
    <w:p w14:paraId="532321D6" w14:textId="77777777" w:rsidR="00FC1D76" w:rsidRDefault="00FC1D76" w:rsidP="00FC1D76">
      <w:r>
        <w:continuationSeparator/>
      </w:r>
    </w:p>
  </w:footnote>
  <w:footnote w:id="1">
    <w:p w14:paraId="46E3FAD6" w14:textId="77777777" w:rsidR="00FC1D76" w:rsidRDefault="00FC1D76" w:rsidP="00FC1D76">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w:t>
      </w:r>
      <w:r w:rsidRPr="004917BD">
        <w:rPr>
          <w:rFonts w:ascii="Arial" w:hAnsi="Arial" w:cs="Arial"/>
          <w:i/>
          <w:iCs/>
          <w:sz w:val="19"/>
          <w:szCs w:val="19"/>
        </w:rPr>
        <w:t>ibidem</w:t>
      </w:r>
      <w:r>
        <w:rPr>
          <w:rFonts w:ascii="Arial" w:hAnsi="Arial" w:cs="Arial"/>
          <w:sz w:val="19"/>
          <w:szCs w:val="19"/>
        </w:rPr>
        <w:t xml:space="preserve">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2">
    <w:p w14:paraId="331AAFA5" w14:textId="77777777" w:rsidR="00FC1D76" w:rsidRPr="0086183C" w:rsidRDefault="00FC1D76" w:rsidP="00FC1D76">
      <w:pPr>
        <w:pStyle w:val="Textonotapie"/>
        <w:ind w:firstLine="708"/>
        <w:jc w:val="both"/>
        <w:rPr>
          <w:rFonts w:ascii="Arial" w:hAnsi="Arial" w:cs="Arial"/>
          <w:color w:val="000000" w:themeColor="text1"/>
          <w:sz w:val="19"/>
          <w:szCs w:val="19"/>
        </w:rPr>
      </w:pPr>
      <w:r w:rsidRPr="0086183C">
        <w:rPr>
          <w:rStyle w:val="Refdenotaalpie"/>
          <w:rFonts w:ascii="Arial" w:hAnsi="Arial" w:cs="Arial"/>
          <w:color w:val="000000" w:themeColor="text1"/>
          <w:sz w:val="19"/>
          <w:szCs w:val="19"/>
        </w:rPr>
        <w:footnoteRef/>
      </w:r>
      <w:r w:rsidRPr="0086183C">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21D126DC" w14:textId="77777777" w:rsidR="00FC1D76" w:rsidRPr="0086183C" w:rsidRDefault="00FC1D76" w:rsidP="00FC1D76">
      <w:pPr>
        <w:pStyle w:val="Textonotapie"/>
        <w:ind w:firstLine="708"/>
        <w:jc w:val="both"/>
        <w:rPr>
          <w:rFonts w:ascii="Arial" w:hAnsi="Arial" w:cs="Arial"/>
          <w:color w:val="000000" w:themeColor="text1"/>
          <w:sz w:val="19"/>
          <w:szCs w:val="19"/>
          <w:lang w:val="es-ES"/>
        </w:rPr>
      </w:pPr>
    </w:p>
  </w:footnote>
  <w:footnote w:id="3">
    <w:p w14:paraId="6FCC7832" w14:textId="77777777" w:rsidR="00FC1D76" w:rsidRPr="0086183C" w:rsidRDefault="00FC1D76" w:rsidP="00FC1D76">
      <w:pPr>
        <w:pStyle w:val="Textonotapie"/>
        <w:ind w:firstLine="708"/>
        <w:jc w:val="both"/>
        <w:rPr>
          <w:rFonts w:ascii="Arial" w:hAnsi="Arial" w:cs="Arial"/>
          <w:color w:val="000000" w:themeColor="text1"/>
          <w:sz w:val="19"/>
          <w:szCs w:val="19"/>
        </w:rPr>
      </w:pPr>
      <w:r w:rsidRPr="0086183C">
        <w:rPr>
          <w:rStyle w:val="Refdenotaalpie"/>
          <w:rFonts w:ascii="Arial" w:hAnsi="Arial" w:cs="Arial"/>
          <w:color w:val="000000" w:themeColor="text1"/>
          <w:sz w:val="19"/>
          <w:szCs w:val="19"/>
        </w:rPr>
        <w:footnoteRef/>
      </w:r>
      <w:r w:rsidRPr="0086183C">
        <w:rPr>
          <w:rFonts w:ascii="Arial" w:hAnsi="Arial" w:cs="Arial"/>
          <w:color w:val="000000" w:themeColor="text1"/>
          <w:sz w:val="19"/>
          <w:szCs w:val="19"/>
        </w:rPr>
        <w:t xml:space="preserve"> </w:t>
      </w:r>
      <w:r>
        <w:rPr>
          <w:rFonts w:ascii="Arial" w:hAnsi="Arial" w:cs="Arial"/>
          <w:color w:val="000000" w:themeColor="text1"/>
          <w:sz w:val="19"/>
          <w:szCs w:val="19"/>
        </w:rPr>
        <w:t xml:space="preserve">Ley 489 de 1998: </w:t>
      </w:r>
      <w:r w:rsidRPr="0086183C">
        <w:rPr>
          <w:rFonts w:ascii="Arial" w:hAnsi="Arial" w:cs="Arial"/>
          <w:color w:val="000000" w:themeColor="text1"/>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22C11CD" w14:textId="77777777" w:rsidR="00FC1D76" w:rsidRDefault="00FC1D76" w:rsidP="00FC1D76">
      <w:pPr>
        <w:pStyle w:val="Textonotapie"/>
        <w:ind w:firstLine="708"/>
        <w:jc w:val="both"/>
        <w:rPr>
          <w:rFonts w:ascii="Arial" w:hAnsi="Arial" w:cs="Arial"/>
          <w:color w:val="000000" w:themeColor="text1"/>
          <w:sz w:val="19"/>
          <w:szCs w:val="19"/>
        </w:rPr>
      </w:pPr>
      <w:proofErr w:type="gramStart"/>
      <w:r w:rsidRPr="0086183C">
        <w:rPr>
          <w:rFonts w:ascii="Arial" w:hAnsi="Arial" w:cs="Arial"/>
          <w:color w:val="000000" w:themeColor="text1"/>
          <w:sz w:val="19"/>
          <w:szCs w:val="19"/>
        </w:rPr>
        <w:t>»Los</w:t>
      </w:r>
      <w:proofErr w:type="gramEnd"/>
      <w:r w:rsidRPr="0086183C">
        <w:rPr>
          <w:rFonts w:ascii="Arial" w:hAnsi="Arial" w:cs="Arial"/>
          <w:color w:val="000000" w:themeColor="text1"/>
          <w:sz w:val="19"/>
          <w:szCs w:val="19"/>
        </w:rPr>
        <w:t xml:space="preserve">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3FB38DDC" w14:textId="77777777" w:rsidR="00FC1D76" w:rsidRPr="0086183C" w:rsidRDefault="00FC1D76" w:rsidP="00FC1D76">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66560716" w14:textId="77777777" w:rsidR="00FC1D76" w:rsidRPr="0086183C" w:rsidRDefault="00FC1D76" w:rsidP="00FC1D76">
      <w:pPr>
        <w:pStyle w:val="Textonotapie"/>
        <w:ind w:firstLine="708"/>
        <w:jc w:val="both"/>
        <w:rPr>
          <w:rFonts w:ascii="Arial" w:hAnsi="Arial" w:cs="Arial"/>
          <w:color w:val="000000" w:themeColor="text1"/>
          <w:sz w:val="19"/>
          <w:szCs w:val="19"/>
          <w:lang w:val="es-CO"/>
        </w:rPr>
      </w:pPr>
    </w:p>
  </w:footnote>
  <w:footnote w:id="4">
    <w:p w14:paraId="0D5AD2DA" w14:textId="77777777" w:rsidR="00FC1D76" w:rsidRPr="00405B21" w:rsidRDefault="00FC1D76" w:rsidP="00FC1D76">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7057B256" w14:textId="77777777" w:rsidR="00FC1D76" w:rsidRPr="00405B21" w:rsidRDefault="00FC1D76" w:rsidP="00FC1D76">
      <w:pPr>
        <w:pStyle w:val="Textonotapie"/>
        <w:ind w:firstLine="708"/>
        <w:jc w:val="both"/>
        <w:rPr>
          <w:rFonts w:ascii="Arial" w:hAnsi="Arial" w:cs="Arial"/>
          <w:color w:val="000000" w:themeColor="text1"/>
          <w:sz w:val="19"/>
          <w:szCs w:val="19"/>
          <w:lang w:val="es-ES"/>
        </w:rPr>
      </w:pPr>
    </w:p>
  </w:footnote>
  <w:footnote w:id="5">
    <w:p w14:paraId="6F616F78" w14:textId="77777777" w:rsidR="00FC1D76" w:rsidRDefault="00FC1D76" w:rsidP="00FC1D76">
      <w:pPr>
        <w:pStyle w:val="Textonotapie"/>
        <w:ind w:firstLine="708"/>
        <w:jc w:val="both"/>
        <w:rPr>
          <w:rFonts w:ascii="Arial" w:hAnsi="Arial" w:cs="Arial"/>
          <w:sz w:val="19"/>
          <w:szCs w:val="19"/>
        </w:rPr>
      </w:pPr>
      <w:r w:rsidRPr="00405B21">
        <w:rPr>
          <w:rStyle w:val="Refdenotaalpie"/>
          <w:rFonts w:ascii="Arial" w:hAnsi="Arial" w:cs="Arial"/>
          <w:sz w:val="19"/>
          <w:szCs w:val="19"/>
        </w:rPr>
        <w:footnoteRef/>
      </w:r>
      <w:r w:rsidRPr="00405B21">
        <w:rPr>
          <w:rFonts w:ascii="Arial" w:hAnsi="Arial" w:cs="Arial"/>
          <w:sz w:val="19"/>
          <w:szCs w:val="19"/>
        </w:rPr>
        <w:t xml:space="preserve"> Concepto del 12 de diciembre de 2019, radicado No. </w:t>
      </w:r>
      <w:r w:rsidRPr="00405B21">
        <w:rPr>
          <w:rFonts w:ascii="Arial" w:eastAsia="Calibri" w:hAnsi="Arial" w:cs="Arial"/>
          <w:color w:val="000000" w:themeColor="text1"/>
          <w:sz w:val="19"/>
          <w:szCs w:val="19"/>
        </w:rPr>
        <w:t>2201913000009196</w:t>
      </w:r>
      <w:r w:rsidRPr="00405B21">
        <w:rPr>
          <w:rFonts w:ascii="Arial" w:hAnsi="Arial" w:cs="Arial"/>
          <w:sz w:val="19"/>
          <w:szCs w:val="19"/>
        </w:rPr>
        <w:t>.</w:t>
      </w:r>
    </w:p>
    <w:p w14:paraId="07FE53E5" w14:textId="77777777" w:rsidR="00FC1D76" w:rsidRPr="00405B21" w:rsidRDefault="00FC1D76" w:rsidP="00FC1D76">
      <w:pPr>
        <w:pStyle w:val="Textonotapie"/>
        <w:ind w:firstLine="708"/>
        <w:jc w:val="both"/>
        <w:rPr>
          <w:rFonts w:ascii="Arial" w:hAnsi="Arial" w:cs="Arial"/>
          <w:sz w:val="19"/>
          <w:szCs w:val="19"/>
        </w:rPr>
      </w:pPr>
    </w:p>
  </w:footnote>
  <w:footnote w:id="6">
    <w:p w14:paraId="42E53110" w14:textId="77777777" w:rsidR="00FC1D76" w:rsidRPr="0086183C" w:rsidRDefault="00FC1D76" w:rsidP="00FC1D76">
      <w:pPr>
        <w:pStyle w:val="Textonotapie"/>
        <w:ind w:firstLine="708"/>
        <w:jc w:val="both"/>
        <w:rPr>
          <w:rFonts w:ascii="Arial" w:hAnsi="Arial" w:cs="Arial"/>
          <w:color w:val="000000" w:themeColor="text1"/>
          <w:sz w:val="19"/>
          <w:szCs w:val="19"/>
        </w:rPr>
      </w:pPr>
      <w:r w:rsidRPr="0086183C">
        <w:rPr>
          <w:rStyle w:val="Refdenotaalpie"/>
          <w:rFonts w:ascii="Arial" w:hAnsi="Arial" w:cs="Arial"/>
          <w:color w:val="000000" w:themeColor="text1"/>
          <w:sz w:val="19"/>
          <w:szCs w:val="19"/>
        </w:rPr>
        <w:footnoteRef/>
      </w:r>
      <w:r w:rsidRPr="0086183C">
        <w:rPr>
          <w:rFonts w:ascii="Arial" w:hAnsi="Arial" w:cs="Arial"/>
          <w:color w:val="000000" w:themeColor="text1"/>
          <w:sz w:val="19"/>
          <w:szCs w:val="19"/>
        </w:rPr>
        <w:t xml:space="preserve"> Concepto del 3 de septiembre de 2019, emitido en el radicado No. 2201913000006512.</w:t>
      </w:r>
    </w:p>
    <w:p w14:paraId="6D98077B" w14:textId="77777777" w:rsidR="00FC1D76" w:rsidRPr="0086183C" w:rsidRDefault="00FC1D76" w:rsidP="00FC1D76">
      <w:pPr>
        <w:pStyle w:val="Textonotapie"/>
        <w:ind w:firstLine="708"/>
        <w:jc w:val="both"/>
        <w:rPr>
          <w:rFonts w:ascii="Arial" w:hAnsi="Arial" w:cs="Arial"/>
          <w:color w:val="000000" w:themeColor="text1"/>
          <w:sz w:val="19"/>
          <w:szCs w:val="19"/>
          <w:lang w:val="es-ES"/>
        </w:rPr>
      </w:pPr>
    </w:p>
  </w:footnote>
  <w:footnote w:id="7">
    <w:p w14:paraId="7C63DD43" w14:textId="77777777" w:rsidR="00FC1D76" w:rsidRPr="00485CA9" w:rsidRDefault="00FC1D76" w:rsidP="00FC1D76">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El numeral 16.9 de la Circular Externa Única de Colombia Compra Eficiente determina:</w:t>
      </w:r>
    </w:p>
    <w:p w14:paraId="1E2C3C9E" w14:textId="77777777" w:rsidR="00FC1D76" w:rsidRPr="00485CA9" w:rsidRDefault="00FC1D76" w:rsidP="00FC1D76">
      <w:pPr>
        <w:pStyle w:val="Textonotapie"/>
        <w:ind w:firstLine="708"/>
        <w:jc w:val="both"/>
        <w:rPr>
          <w:rFonts w:ascii="Arial" w:hAnsi="Arial" w:cs="Arial"/>
          <w:color w:val="000000"/>
          <w:sz w:val="19"/>
          <w:szCs w:val="19"/>
        </w:rPr>
      </w:pPr>
      <w:r w:rsidRPr="00485CA9">
        <w:rPr>
          <w:rFonts w:ascii="Arial" w:hAnsi="Arial" w:cs="Arial"/>
          <w:color w:val="000000"/>
          <w:sz w:val="19"/>
          <w:szCs w:val="19"/>
        </w:rPr>
        <w:t>«16.9 Uniones temporales y consorcios conformados por entidades sin ánimo de lucro.</w:t>
      </w:r>
    </w:p>
    <w:p w14:paraId="221E34D2" w14:textId="77777777" w:rsidR="00FC1D76" w:rsidRPr="00485CA9" w:rsidRDefault="00FC1D76" w:rsidP="00FC1D76">
      <w:pPr>
        <w:pStyle w:val="Textonotapie"/>
        <w:ind w:firstLine="708"/>
        <w:jc w:val="both"/>
        <w:rPr>
          <w:rFonts w:ascii="Arial" w:hAnsi="Arial" w:cs="Arial"/>
          <w:color w:val="000000"/>
          <w:sz w:val="19"/>
          <w:szCs w:val="19"/>
        </w:rPr>
      </w:pPr>
      <w:proofErr w:type="gramStart"/>
      <w:r w:rsidRPr="00485CA9">
        <w:rPr>
          <w:rFonts w:ascii="Arial" w:hAnsi="Arial" w:cs="Arial"/>
          <w:color w:val="000000"/>
          <w:sz w:val="19"/>
          <w:szCs w:val="19"/>
        </w:rPr>
        <w:t>»El</w:t>
      </w:r>
      <w:proofErr w:type="gramEnd"/>
      <w:r w:rsidRPr="00485CA9">
        <w:rPr>
          <w:rFonts w:ascii="Arial" w:hAnsi="Arial" w:cs="Arial"/>
          <w:color w:val="000000"/>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7BDD1156" w14:textId="77777777" w:rsidR="00FC1D76" w:rsidRPr="00485CA9" w:rsidRDefault="00FC1D76" w:rsidP="00FC1D76">
      <w:pPr>
        <w:pStyle w:val="Textonotapie"/>
        <w:ind w:firstLine="708"/>
        <w:jc w:val="both"/>
        <w:rPr>
          <w:rFonts w:ascii="Arial" w:hAnsi="Arial" w:cs="Arial"/>
          <w:color w:val="000000"/>
          <w:sz w:val="19"/>
          <w:szCs w:val="19"/>
          <w:lang w:val="es-ES"/>
        </w:rPr>
      </w:pPr>
    </w:p>
  </w:footnote>
  <w:footnote w:id="8">
    <w:p w14:paraId="6AEF0128" w14:textId="77777777" w:rsidR="00FC1D76" w:rsidRDefault="00FC1D76" w:rsidP="00FC1D76">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Concepto del 19 de noviembre de 2019, emitido en el radicado No. 2201913000008611.</w:t>
      </w:r>
    </w:p>
    <w:p w14:paraId="6E0C518A" w14:textId="77777777" w:rsidR="00FC1D76" w:rsidRPr="00485CA9" w:rsidRDefault="00FC1D76" w:rsidP="00FC1D76">
      <w:pPr>
        <w:pStyle w:val="Textonotapie"/>
        <w:ind w:firstLine="708"/>
        <w:jc w:val="both"/>
        <w:rPr>
          <w:rFonts w:ascii="Arial" w:hAnsi="Arial" w:cs="Arial"/>
          <w:color w:val="000000"/>
          <w:sz w:val="19"/>
          <w:szCs w:val="19"/>
          <w:lang w:val="es-ES"/>
        </w:rPr>
      </w:pPr>
    </w:p>
  </w:footnote>
  <w:footnote w:id="9">
    <w:p w14:paraId="69A11EA1" w14:textId="77777777" w:rsidR="00FC1D76" w:rsidRPr="00485CA9" w:rsidRDefault="00FC1D76" w:rsidP="00FC1D76">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6520FE4C" w14:textId="77777777" w:rsidR="00FC1D76" w:rsidRPr="00485CA9" w:rsidRDefault="00FC1D76" w:rsidP="00FC1D76">
      <w:pPr>
        <w:pStyle w:val="Textonotapie"/>
        <w:ind w:firstLine="708"/>
        <w:jc w:val="both"/>
        <w:rPr>
          <w:rFonts w:ascii="Arial" w:hAnsi="Arial" w:cs="Arial"/>
          <w:color w:val="000000"/>
          <w:sz w:val="19"/>
          <w:szCs w:val="19"/>
          <w:lang w:val="es-ES"/>
        </w:rPr>
      </w:pPr>
    </w:p>
  </w:footnote>
  <w:footnote w:id="10">
    <w:p w14:paraId="3DC89475" w14:textId="77777777" w:rsidR="00FC1D76" w:rsidRPr="00485CA9" w:rsidRDefault="00FC1D76" w:rsidP="00FC1D76">
      <w:pPr>
        <w:pStyle w:val="Textonotapie"/>
        <w:ind w:firstLine="708"/>
        <w:jc w:val="both"/>
        <w:rPr>
          <w:rFonts w:ascii="Arial" w:eastAsia="Calibri"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eastAsia="Calibri" w:hAnsi="Arial" w:cs="Arial"/>
          <w:color w:val="000000"/>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52F42717" w14:textId="77777777" w:rsidR="00FC1D76" w:rsidRPr="00485CA9" w:rsidRDefault="00FC1D76" w:rsidP="00FC1D76">
      <w:pPr>
        <w:pStyle w:val="Textonotapie"/>
        <w:ind w:firstLine="708"/>
        <w:jc w:val="both"/>
        <w:rPr>
          <w:rFonts w:ascii="Arial" w:hAnsi="Arial" w:cs="Arial"/>
          <w:color w:val="000000"/>
          <w:sz w:val="19"/>
          <w:szCs w:val="19"/>
          <w:lang w:val="es-ES"/>
        </w:rPr>
      </w:pPr>
    </w:p>
  </w:footnote>
  <w:footnote w:id="11">
    <w:p w14:paraId="7B8C8E58" w14:textId="77777777" w:rsidR="00FC1D76" w:rsidRDefault="00FC1D76" w:rsidP="00FC1D76">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w:t>
      </w:r>
      <w:r w:rsidRPr="00485CA9">
        <w:rPr>
          <w:rFonts w:ascii="Arial" w:eastAsia="Calibri" w:hAnsi="Arial" w:cs="Arial"/>
          <w:color w:val="000000"/>
          <w:sz w:val="19"/>
          <w:szCs w:val="19"/>
        </w:rPr>
        <w:t>Decreto 092 de 2017, artículo 3, inciso 2: «</w:t>
      </w:r>
      <w:r w:rsidRPr="00485CA9">
        <w:rPr>
          <w:rFonts w:ascii="Arial" w:hAnsi="Arial" w:cs="Arial"/>
          <w:color w:val="000000"/>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14:paraId="5A3DC2DF" w14:textId="77777777" w:rsidR="00FC1D76" w:rsidRPr="00485CA9" w:rsidRDefault="00FC1D76" w:rsidP="00FC1D76">
      <w:pPr>
        <w:pStyle w:val="Textonotapie"/>
        <w:ind w:firstLine="708"/>
        <w:jc w:val="both"/>
        <w:rPr>
          <w:rFonts w:ascii="Arial" w:hAnsi="Arial" w:cs="Arial"/>
          <w:color w:val="000000"/>
          <w:sz w:val="19"/>
          <w:szCs w:val="19"/>
          <w:lang w:val="es-ES"/>
        </w:rPr>
      </w:pPr>
    </w:p>
  </w:footnote>
  <w:footnote w:id="12">
    <w:p w14:paraId="0E69DD6D" w14:textId="77777777" w:rsidR="00FC1D76" w:rsidRPr="00485CA9" w:rsidRDefault="00FC1D76" w:rsidP="00FC1D76">
      <w:pPr>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0E604E1B" w14:textId="77777777" w:rsidR="00FC1D76" w:rsidRPr="00485CA9" w:rsidRDefault="00FC1D76" w:rsidP="00FC1D76">
      <w:pPr>
        <w:ind w:firstLine="708"/>
        <w:jc w:val="both"/>
        <w:rPr>
          <w:rFonts w:ascii="Arial" w:hAnsi="Arial" w:cs="Arial"/>
          <w:color w:val="000000"/>
          <w:sz w:val="19"/>
          <w:szCs w:val="19"/>
        </w:rPr>
      </w:pPr>
    </w:p>
  </w:footnote>
  <w:footnote w:id="13">
    <w:p w14:paraId="1FA11B6E" w14:textId="77777777" w:rsidR="00FC1D76" w:rsidRPr="00485CA9" w:rsidRDefault="00FC1D76" w:rsidP="00FC1D76">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02A61897" w14:textId="77777777" w:rsidR="00FC1D76" w:rsidRPr="00485CA9" w:rsidRDefault="00FC1D76" w:rsidP="00FC1D76">
      <w:pPr>
        <w:pStyle w:val="Textonotapie"/>
        <w:ind w:firstLine="708"/>
        <w:jc w:val="both"/>
        <w:rPr>
          <w:rFonts w:ascii="Arial" w:hAnsi="Arial" w:cs="Arial"/>
          <w:color w:val="000000"/>
          <w:sz w:val="19"/>
          <w:szCs w:val="19"/>
          <w:lang w:val="es-ES"/>
        </w:rPr>
      </w:pPr>
    </w:p>
  </w:footnote>
  <w:footnote w:id="14">
    <w:p w14:paraId="390A133A" w14:textId="77777777" w:rsidR="00FC1D76" w:rsidRPr="00485CA9" w:rsidRDefault="00FC1D76" w:rsidP="00FC1D76">
      <w:pPr>
        <w:pStyle w:val="Textonotapie"/>
        <w:ind w:firstLine="708"/>
        <w:jc w:val="both"/>
        <w:rPr>
          <w:rFonts w:ascii="Arial" w:hAnsi="Arial" w:cs="Arial"/>
          <w:color w:val="000000"/>
          <w:sz w:val="19"/>
          <w:szCs w:val="19"/>
          <w:lang w:val="es-ES"/>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5">
    <w:p w14:paraId="52905EA8" w14:textId="77777777" w:rsidR="00FC1D76" w:rsidRPr="00485CA9" w:rsidRDefault="00FC1D76" w:rsidP="00FC1D76">
      <w:pPr>
        <w:pStyle w:val="Textonotapie"/>
        <w:ind w:firstLine="708"/>
        <w:jc w:val="both"/>
        <w:rPr>
          <w:rFonts w:ascii="Arial" w:hAnsi="Arial" w:cs="Arial"/>
          <w:color w:val="000000"/>
          <w:sz w:val="19"/>
          <w:szCs w:val="19"/>
        </w:rPr>
      </w:pPr>
      <w:r w:rsidRPr="00485CA9">
        <w:rPr>
          <w:rStyle w:val="Refdenotaalpie"/>
          <w:rFonts w:ascii="Arial" w:hAnsi="Arial" w:cs="Arial"/>
          <w:color w:val="000000"/>
          <w:sz w:val="19"/>
          <w:szCs w:val="19"/>
        </w:rPr>
        <w:footnoteRef/>
      </w:r>
      <w:r w:rsidRPr="00485CA9">
        <w:rPr>
          <w:rFonts w:ascii="Arial" w:hAnsi="Arial" w:cs="Arial"/>
          <w:color w:val="000000"/>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078C218F" w14:textId="77777777" w:rsidR="00FC1D76" w:rsidRPr="00485CA9" w:rsidRDefault="00FC1D76" w:rsidP="00FC1D76">
      <w:pPr>
        <w:pStyle w:val="Textonotapie"/>
        <w:jc w:val="both"/>
        <w:rPr>
          <w:rFonts w:ascii="Arial" w:hAnsi="Arial" w:cs="Arial"/>
          <w:color w:val="000000"/>
          <w:sz w:val="19"/>
          <w:szCs w:val="19"/>
          <w:lang w:val="es-ES"/>
        </w:rPr>
      </w:pPr>
    </w:p>
  </w:footnote>
  <w:footnote w:id="16">
    <w:p w14:paraId="25F02C37" w14:textId="77777777" w:rsidR="00FC1D76" w:rsidRPr="00B33BD4" w:rsidRDefault="00FC1D76" w:rsidP="00FC1D76">
      <w:pPr>
        <w:pStyle w:val="Textonotapie"/>
        <w:ind w:firstLine="708"/>
        <w:jc w:val="both"/>
        <w:rPr>
          <w:rFonts w:ascii="Arial" w:hAnsi="Arial" w:cs="Arial"/>
          <w:sz w:val="19"/>
          <w:szCs w:val="19"/>
        </w:rPr>
      </w:pPr>
      <w:r w:rsidRPr="001D22DC">
        <w:rPr>
          <w:rStyle w:val="Refdenotaalpie"/>
          <w:rFonts w:ascii="Arial" w:hAnsi="Arial" w:cs="Arial"/>
          <w:sz w:val="19"/>
          <w:szCs w:val="19"/>
        </w:rPr>
        <w:footnoteRef/>
      </w:r>
      <w:r w:rsidRPr="001D22DC">
        <w:rPr>
          <w:rFonts w:ascii="Arial" w:hAnsi="Arial" w:cs="Arial"/>
          <w:sz w:val="19"/>
          <w:szCs w:val="19"/>
        </w:rPr>
        <w:t xml:space="preserve"> </w:t>
      </w:r>
      <w:r>
        <w:rPr>
          <w:rFonts w:ascii="Arial" w:hAnsi="Arial" w:cs="Arial"/>
          <w:sz w:val="19"/>
          <w:szCs w:val="19"/>
        </w:rPr>
        <w:t xml:space="preserve">De acuerdo con el </w:t>
      </w:r>
      <w:r w:rsidRPr="00B33BD4">
        <w:rPr>
          <w:rFonts w:ascii="Arial" w:hAnsi="Arial" w:cs="Arial"/>
          <w:sz w:val="19"/>
          <w:szCs w:val="19"/>
        </w:rPr>
        <w:t>Concepto</w:t>
      </w:r>
      <w:r>
        <w:rPr>
          <w:rFonts w:ascii="Arial" w:hAnsi="Arial" w:cs="Arial"/>
          <w:sz w:val="19"/>
          <w:szCs w:val="19"/>
        </w:rPr>
        <w:t xml:space="preserve"> de la Superintendencia Financiera</w:t>
      </w:r>
      <w:r w:rsidRPr="00B33BD4">
        <w:rPr>
          <w:rFonts w:ascii="Arial" w:hAnsi="Arial" w:cs="Arial"/>
          <w:sz w:val="19"/>
          <w:szCs w:val="19"/>
        </w:rPr>
        <w:t xml:space="preserve"> 2009036212-001 del 18 de junio de 2009</w:t>
      </w:r>
      <w:r>
        <w:rPr>
          <w:rFonts w:ascii="Arial" w:hAnsi="Arial" w:cs="Arial"/>
          <w:sz w:val="19"/>
          <w:szCs w:val="19"/>
        </w:rPr>
        <w:t>,</w:t>
      </w:r>
      <w:r w:rsidRPr="00B33BD4">
        <w:rPr>
          <w:rFonts w:ascii="Arial" w:hAnsi="Arial" w:cs="Arial"/>
          <w:sz w:val="19"/>
          <w:szCs w:val="19"/>
        </w:rPr>
        <w:t xml:space="preserve"> </w:t>
      </w:r>
      <w:r>
        <w:rPr>
          <w:rFonts w:ascii="Arial" w:hAnsi="Arial" w:cs="Arial"/>
          <w:sz w:val="19"/>
          <w:szCs w:val="19"/>
        </w:rPr>
        <w:t>las cuentas bancarias se dividen en: «</w:t>
      </w:r>
      <w:r w:rsidRPr="00B33BD4">
        <w:rPr>
          <w:rFonts w:ascii="Arial" w:hAnsi="Arial" w:cs="Arial"/>
          <w:sz w:val="19"/>
          <w:szCs w:val="19"/>
        </w:rPr>
        <w:t xml:space="preserve">(A) Cuentas colectivas mancomunadas. Son aquellas en las cuales cada uno de los cuentahabientes, cada cotitular de una cuenta </w:t>
      </w:r>
      <w:proofErr w:type="gramStart"/>
      <w:r w:rsidRPr="00B33BD4">
        <w:rPr>
          <w:rFonts w:ascii="Arial" w:hAnsi="Arial" w:cs="Arial"/>
          <w:sz w:val="19"/>
          <w:szCs w:val="19"/>
        </w:rPr>
        <w:t>única,</w:t>
      </w:r>
      <w:proofErr w:type="gramEnd"/>
      <w:r w:rsidRPr="00B33BD4">
        <w:rPr>
          <w:rFonts w:ascii="Arial" w:hAnsi="Arial" w:cs="Arial"/>
          <w:sz w:val="19"/>
          <w:szCs w:val="19"/>
        </w:rPr>
        <w:t xml:space="preserve"> solamente puede retirar, de los depósitos disponibles, la parte conveniente de antemano o, en su defecto, la parte alícuota que corresponde según el número de las personas que ostenta la titularidad colectiva frente al banco. En otras palabras, en estos casos se trata de depósitos comunes cuya disponibilidad corresponde por cuotas (que se presumen iguales) a cada uno de los depositantes, llamados estos últimos ‘cuentacorrentistas’ según la terminología empleada por el artículo 1382 del Código de Comercio.</w:t>
      </w:r>
    </w:p>
    <w:p w14:paraId="09DCF57A" w14:textId="77777777" w:rsidR="00FC1D76" w:rsidRPr="00B33BD4" w:rsidRDefault="00FC1D76" w:rsidP="00FC1D76">
      <w:pPr>
        <w:pStyle w:val="Textonotapie"/>
        <w:ind w:firstLine="708"/>
        <w:jc w:val="both"/>
        <w:rPr>
          <w:rFonts w:ascii="Arial" w:hAnsi="Arial" w:cs="Arial"/>
          <w:sz w:val="19"/>
          <w:szCs w:val="19"/>
        </w:rPr>
      </w:pPr>
      <w:proofErr w:type="gramStart"/>
      <w:r>
        <w:rPr>
          <w:rFonts w:ascii="Arial" w:hAnsi="Arial" w:cs="Arial"/>
          <w:sz w:val="19"/>
          <w:szCs w:val="19"/>
        </w:rPr>
        <w:t>»</w:t>
      </w:r>
      <w:r w:rsidRPr="00B33BD4">
        <w:rPr>
          <w:rFonts w:ascii="Arial" w:hAnsi="Arial" w:cs="Arial"/>
          <w:sz w:val="19"/>
          <w:szCs w:val="19"/>
        </w:rPr>
        <w:t>(</w:t>
      </w:r>
      <w:proofErr w:type="gramEnd"/>
      <w:r w:rsidRPr="00B33BD4">
        <w:rPr>
          <w:rFonts w:ascii="Arial" w:hAnsi="Arial" w:cs="Arial"/>
          <w:sz w:val="19"/>
          <w:szCs w:val="19"/>
        </w:rPr>
        <w:t xml:space="preserve">B) Cuentas colectivas solidarias o del ‘y/o’. El uso bancario indica cómo, con frecuencia bastante notable, los establecimientos crediticios habilitados para ello abren cuentas corrientes con las conjunciones ‘y/o’ a nombre de dos o más personas, situación </w:t>
      </w:r>
      <w:proofErr w:type="spellStart"/>
      <w:r w:rsidRPr="00B33BD4">
        <w:rPr>
          <w:rFonts w:ascii="Arial" w:hAnsi="Arial" w:cs="Arial"/>
          <w:sz w:val="19"/>
          <w:szCs w:val="19"/>
        </w:rPr>
        <w:t>esta</w:t>
      </w:r>
      <w:proofErr w:type="spellEnd"/>
      <w:r w:rsidRPr="00B33BD4">
        <w:rPr>
          <w:rFonts w:ascii="Arial" w:hAnsi="Arial" w:cs="Arial"/>
          <w:sz w:val="19"/>
          <w:szCs w:val="19"/>
        </w:rPr>
        <w:t xml:space="preserve"> que da lugar a las que se conocen como cuentas ‘solidarias’ o cuentas colectivas en sentido estricto. Esta especie puede definirse, entonces, como aquella en que dos o más personas abren una cuenta corriente bancaria única, entendiéndose que es posible disponer conjunta o separadamente de los fondos depositados hasta la totalidad del saldo utilizable. En otras palabras, en este tipo de cuenta colectiva el reembolso o restitución de fondos, al que se encuentra obligado el banco depositario, puede ser pedido válidamente por cada uno </w:t>
      </w:r>
      <w:proofErr w:type="gramStart"/>
      <w:r w:rsidRPr="00B33BD4">
        <w:rPr>
          <w:rFonts w:ascii="Arial" w:hAnsi="Arial" w:cs="Arial"/>
          <w:sz w:val="19"/>
          <w:szCs w:val="19"/>
        </w:rPr>
        <w:t>de</w:t>
      </w:r>
      <w:r>
        <w:rPr>
          <w:rFonts w:ascii="Arial" w:hAnsi="Arial" w:cs="Arial"/>
          <w:sz w:val="19"/>
          <w:szCs w:val="19"/>
        </w:rPr>
        <w:t xml:space="preserve"> </w:t>
      </w:r>
      <w:r w:rsidRPr="00B33BD4">
        <w:rPr>
          <w:rFonts w:ascii="Arial" w:hAnsi="Arial" w:cs="Arial"/>
          <w:sz w:val="19"/>
          <w:szCs w:val="19"/>
        </w:rPr>
        <w:t>los depositante</w:t>
      </w:r>
      <w:proofErr w:type="gramEnd"/>
      <w:r w:rsidRPr="00B33BD4">
        <w:rPr>
          <w:rFonts w:ascii="Arial" w:hAnsi="Arial" w:cs="Arial"/>
          <w:sz w:val="19"/>
          <w:szCs w:val="19"/>
        </w:rPr>
        <w:t>(s), puesto que corresponde a cada uno de ellos en su totalidad.</w:t>
      </w:r>
    </w:p>
    <w:p w14:paraId="7CC20556" w14:textId="77777777" w:rsidR="00FC1D76" w:rsidRDefault="00FC1D76" w:rsidP="00FC1D76">
      <w:pPr>
        <w:pStyle w:val="Textonotapie"/>
        <w:ind w:firstLine="708"/>
        <w:jc w:val="both"/>
        <w:rPr>
          <w:rFonts w:ascii="Arial" w:hAnsi="Arial" w:cs="Arial"/>
          <w:sz w:val="19"/>
          <w:szCs w:val="19"/>
        </w:rPr>
      </w:pPr>
      <w:proofErr w:type="gramStart"/>
      <w:r>
        <w:rPr>
          <w:rFonts w:ascii="Arial" w:hAnsi="Arial" w:cs="Arial"/>
          <w:sz w:val="19"/>
          <w:szCs w:val="19"/>
        </w:rPr>
        <w:t>»</w:t>
      </w:r>
      <w:r w:rsidRPr="00B33BD4">
        <w:rPr>
          <w:rFonts w:ascii="Arial" w:hAnsi="Arial" w:cs="Arial"/>
          <w:sz w:val="19"/>
          <w:szCs w:val="19"/>
        </w:rPr>
        <w:t>(</w:t>
      </w:r>
      <w:proofErr w:type="gramEnd"/>
      <w:r w:rsidRPr="00B33BD4">
        <w:rPr>
          <w:rFonts w:ascii="Arial" w:hAnsi="Arial" w:cs="Arial"/>
          <w:sz w:val="19"/>
          <w:szCs w:val="19"/>
        </w:rPr>
        <w:t>C) Las cuentas colectivas conjuntas o ‘indistintas’. Con este nombre se conocen los depósitos en cuenta corriente bancaria a nombre de dos o más personas, las cuales han de actuar conjuntamente para hacer válidamente disposiciones sobre los saldos existentes. En consecuencia, tratándose sobre este tipo especial de cuentas colectivas, los fondos depositados únicamente podrían ser retirados, total o parcialmente, con la concurrencia de todos los depositantes o, cuando menos, de un número plural de ellos autorizados de antemano para girar contra los saldos</w:t>
      </w:r>
      <w:r>
        <w:rPr>
          <w:rFonts w:ascii="Arial" w:hAnsi="Arial" w:cs="Arial"/>
          <w:sz w:val="19"/>
          <w:szCs w:val="19"/>
        </w:rPr>
        <w:t xml:space="preserve">». </w:t>
      </w:r>
    </w:p>
    <w:p w14:paraId="3A53A10A" w14:textId="77777777" w:rsidR="00FC1D76" w:rsidRPr="001D22DC" w:rsidRDefault="00FC1D76" w:rsidP="00FC1D76">
      <w:pPr>
        <w:pStyle w:val="Textonotapie"/>
        <w:ind w:firstLine="708"/>
        <w:jc w:val="both"/>
        <w:rPr>
          <w:rFonts w:ascii="Arial" w:hAnsi="Arial" w:cs="Arial"/>
          <w:sz w:val="19"/>
          <w:szCs w:val="19"/>
        </w:rPr>
      </w:pPr>
    </w:p>
  </w:footnote>
  <w:footnote w:id="17">
    <w:p w14:paraId="3555CC95" w14:textId="77777777" w:rsidR="00FC1D76" w:rsidRPr="001D22DC" w:rsidRDefault="00FC1D76" w:rsidP="00FC1D76">
      <w:pPr>
        <w:pStyle w:val="Textonotapie"/>
        <w:ind w:firstLine="708"/>
        <w:jc w:val="both"/>
        <w:rPr>
          <w:rFonts w:ascii="Arial" w:hAnsi="Arial" w:cs="Arial"/>
          <w:sz w:val="19"/>
          <w:szCs w:val="19"/>
        </w:rPr>
      </w:pPr>
      <w:r w:rsidRPr="001D22DC">
        <w:rPr>
          <w:rStyle w:val="Refdenotaalpie"/>
          <w:rFonts w:ascii="Arial" w:hAnsi="Arial" w:cs="Arial"/>
          <w:sz w:val="19"/>
          <w:szCs w:val="19"/>
        </w:rPr>
        <w:footnoteRef/>
      </w:r>
      <w:r>
        <w:rPr>
          <w:rFonts w:ascii="Arial" w:hAnsi="Arial" w:cs="Arial"/>
          <w:sz w:val="19"/>
          <w:szCs w:val="19"/>
        </w:rPr>
        <w:t xml:space="preserve"> El artículo 7 del Decreto 092 de 2017 dispone que «</w:t>
      </w:r>
      <w:r w:rsidRPr="001D22DC">
        <w:rPr>
          <w:rFonts w:ascii="Arial" w:hAnsi="Arial" w:cs="Arial"/>
          <w:i/>
          <w:iCs/>
          <w:sz w:val="19"/>
          <w:szCs w:val="19"/>
        </w:rPr>
        <w:t>La contratación a la que hace referencia el presente decreto está sujeta a los principios de la contratación estatal y a las normas presupuestales aplicables</w:t>
      </w:r>
      <w:r w:rsidRPr="00D34320">
        <w:rPr>
          <w:rFonts w:ascii="Arial" w:hAnsi="Arial" w:cs="Arial"/>
          <w:sz w:val="19"/>
          <w:szCs w:val="19"/>
        </w:rPr>
        <w:t xml:space="preserve">. En consecuencia, las normas relativas a la publicidad son de obligatorio cumplimiento, por lo cual, la actividad contractual y los Documentos del Proceso de </w:t>
      </w:r>
      <w:proofErr w:type="spellStart"/>
      <w:r w:rsidRPr="00D34320">
        <w:rPr>
          <w:rFonts w:ascii="Arial" w:hAnsi="Arial" w:cs="Arial"/>
          <w:sz w:val="19"/>
          <w:szCs w:val="19"/>
        </w:rPr>
        <w:t>que</w:t>
      </w:r>
      <w:proofErr w:type="spellEnd"/>
      <w:r w:rsidRPr="00D34320">
        <w:rPr>
          <w:rFonts w:ascii="Arial" w:hAnsi="Arial" w:cs="Arial"/>
          <w:sz w:val="19"/>
          <w:szCs w:val="19"/>
        </w:rPr>
        <w:t xml:space="preserve"> trata el presente decreto deberán ser objeto de publicación en el Sistema Electrónico de Contratación Pública (SECOP). Adicionalmente, la entidad privada sin ánimo de lucro contratista deberá entregar a la Entidad Estatal, y ésta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r>
        <w:rPr>
          <w:rFonts w:ascii="Arial" w:hAnsi="Arial" w:cs="Arial"/>
          <w:sz w:val="19"/>
          <w:szCs w:val="19"/>
        </w:rPr>
        <w:t>» (Énfasis fuera de texto).</w:t>
      </w:r>
      <w:r w:rsidRPr="001D22DC">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42B3" w14:textId="77777777" w:rsidR="000A47AF" w:rsidRDefault="00FC1D76">
    <w:pPr>
      <w:pStyle w:val="Encabezado"/>
    </w:pPr>
    <w:r>
      <w:rPr>
        <w:noProof/>
        <w:lang w:val="en-US"/>
      </w:rPr>
      <w:drawing>
        <wp:anchor distT="0" distB="0" distL="114300" distR="114300" simplePos="0" relativeHeight="251659264" behindDoc="1" locked="0" layoutInCell="1" allowOverlap="1" wp14:anchorId="0C85D144" wp14:editId="04B9D2E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89AD50" w14:textId="77777777" w:rsidR="00183D77" w:rsidRDefault="00FC1D76"/>
  <w:p w14:paraId="2ECA9933" w14:textId="77777777" w:rsidR="00183D77" w:rsidRDefault="00FC1D76"/>
  <w:p w14:paraId="2D6409C7" w14:textId="77777777" w:rsidR="00183D77" w:rsidRDefault="00FC1D76"/>
  <w:p w14:paraId="71D7DF5F" w14:textId="77777777" w:rsidR="0048285E" w:rsidRDefault="00FC1D76"/>
  <w:p w14:paraId="01A135AE" w14:textId="77777777" w:rsidR="0048285E" w:rsidRDefault="00FC1D76"/>
  <w:p w14:paraId="2094F28F" w14:textId="77777777" w:rsidR="0048285E" w:rsidRDefault="00FC1D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76"/>
    <w:rsid w:val="00FC1D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5A5A"/>
  <w15:chartTrackingRefBased/>
  <w15:docId w15:val="{6ED978C9-4E85-4D64-A951-D5864877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7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C1D76"/>
    <w:pPr>
      <w:tabs>
        <w:tab w:val="center" w:pos="4419"/>
        <w:tab w:val="right" w:pos="8838"/>
      </w:tabs>
    </w:pPr>
  </w:style>
  <w:style w:type="character" w:customStyle="1" w:styleId="PiedepginaCar">
    <w:name w:val="Pie de página Car"/>
    <w:basedOn w:val="Fuentedeprrafopredeter"/>
    <w:link w:val="Piedepgina"/>
    <w:uiPriority w:val="99"/>
    <w:rsid w:val="00FC1D76"/>
    <w:rPr>
      <w:sz w:val="24"/>
      <w:lang w:val="es-MX"/>
    </w:rPr>
  </w:style>
  <w:style w:type="paragraph" w:styleId="Encabezado">
    <w:name w:val="header"/>
    <w:basedOn w:val="Normal"/>
    <w:link w:val="EncabezadoCar"/>
    <w:uiPriority w:val="99"/>
    <w:unhideWhenUsed/>
    <w:rsid w:val="00FC1D76"/>
    <w:pPr>
      <w:tabs>
        <w:tab w:val="center" w:pos="4252"/>
        <w:tab w:val="right" w:pos="8504"/>
      </w:tabs>
    </w:pPr>
  </w:style>
  <w:style w:type="character" w:customStyle="1" w:styleId="EncabezadoCar">
    <w:name w:val="Encabezado Car"/>
    <w:basedOn w:val="Fuentedeprrafopredeter"/>
    <w:link w:val="Encabezado"/>
    <w:uiPriority w:val="99"/>
    <w:rsid w:val="00FC1D76"/>
    <w:rPr>
      <w:sz w:val="24"/>
      <w:lang w:val="es-MX"/>
    </w:rPr>
  </w:style>
  <w:style w:type="table" w:styleId="Tablaconcuadrcula">
    <w:name w:val="Table Grid"/>
    <w:basedOn w:val="Tablanormal"/>
    <w:uiPriority w:val="59"/>
    <w:rsid w:val="00FC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C1D76"/>
    <w:pPr>
      <w:ind w:left="720"/>
      <w:contextualSpacing/>
    </w:pPr>
  </w:style>
  <w:style w:type="paragraph" w:styleId="NormalWeb">
    <w:name w:val="Normal (Web)"/>
    <w:basedOn w:val="Normal"/>
    <w:link w:val="NormalWebCar"/>
    <w:uiPriority w:val="99"/>
    <w:unhideWhenUsed/>
    <w:rsid w:val="00FC1D76"/>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FC1D7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C1D7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FC1D76"/>
    <w:rPr>
      <w:sz w:val="20"/>
      <w:szCs w:val="20"/>
    </w:rPr>
  </w:style>
  <w:style w:type="character" w:customStyle="1" w:styleId="TextonotapieCar1">
    <w:name w:val="Texto nota pie Car1"/>
    <w:basedOn w:val="Fuentedeprrafopredeter"/>
    <w:uiPriority w:val="99"/>
    <w:semiHidden/>
    <w:rsid w:val="00FC1D76"/>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C1D7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
    <w:basedOn w:val="Fuentedeprrafopredeter"/>
    <w:link w:val="Appelnotedebasde"/>
    <w:uiPriority w:val="99"/>
    <w:unhideWhenUsed/>
    <w:qFormat/>
    <w:rsid w:val="00FC1D76"/>
    <w:rPr>
      <w:vertAlign w:val="superscript"/>
    </w:rPr>
  </w:style>
  <w:style w:type="character" w:customStyle="1" w:styleId="NormalWebCar">
    <w:name w:val="Normal (Web) Car"/>
    <w:link w:val="NormalWeb"/>
    <w:uiPriority w:val="99"/>
    <w:rsid w:val="00FC1D76"/>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C1D76"/>
  </w:style>
  <w:style w:type="paragraph" w:customStyle="1" w:styleId="xxdefault">
    <w:name w:val="x_x_default"/>
    <w:basedOn w:val="Normal"/>
    <w:rsid w:val="00FC1D76"/>
    <w:pPr>
      <w:spacing w:before="100" w:beforeAutospacing="1" w:after="100" w:afterAutospacing="1"/>
    </w:pPr>
    <w:rPr>
      <w:rFonts w:ascii="Times New Roman" w:eastAsia="Times New Roman" w:hAnsi="Times New Roman" w:cs="Times New Roman"/>
      <w:szCs w:val="24"/>
      <w:lang w:val="es-CO" w:eastAsia="es-MX"/>
    </w:rPr>
  </w:style>
  <w:style w:type="paragraph" w:customStyle="1" w:styleId="Appelnotedebasde">
    <w:name w:val="Appel note de bas de..."/>
    <w:basedOn w:val="Normal"/>
    <w:link w:val="Refdenotaalpie"/>
    <w:uiPriority w:val="99"/>
    <w:rsid w:val="00FC1D76"/>
    <w:pPr>
      <w:spacing w:after="160" w:line="240" w:lineRule="exact"/>
    </w:pPr>
    <w:rPr>
      <w:sz w:val="22"/>
      <w:vertAlign w:val="superscript"/>
      <w:lang w:val="es-CO"/>
    </w:rPr>
  </w:style>
  <w:style w:type="character" w:customStyle="1" w:styleId="normaltextrun">
    <w:name w:val="normaltextrun"/>
    <w:basedOn w:val="Fuentedeprrafopredeter"/>
    <w:rsid w:val="00FC1D76"/>
  </w:style>
  <w:style w:type="character" w:customStyle="1" w:styleId="eop">
    <w:name w:val="eop"/>
    <w:basedOn w:val="Fuentedeprrafopredeter"/>
    <w:rsid w:val="00FC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C1269AD-D082-4B1D-8F10-E22757AB52F9}"/>
</file>

<file path=customXml/itemProps2.xml><?xml version="1.0" encoding="utf-8"?>
<ds:datastoreItem xmlns:ds="http://schemas.openxmlformats.org/officeDocument/2006/customXml" ds:itemID="{47E3E5CD-CF92-4A85-B68F-20354549DCC7}"/>
</file>

<file path=customXml/itemProps3.xml><?xml version="1.0" encoding="utf-8"?>
<ds:datastoreItem xmlns:ds="http://schemas.openxmlformats.org/officeDocument/2006/customXml" ds:itemID="{D1B662D2-ECB4-4E93-8CAC-0D4A82AD3BBC}"/>
</file>

<file path=docProps/app.xml><?xml version="1.0" encoding="utf-8"?>
<Properties xmlns="http://schemas.openxmlformats.org/officeDocument/2006/extended-properties" xmlns:vt="http://schemas.openxmlformats.org/officeDocument/2006/docPropsVTypes">
  <Template>Normal</Template>
  <TotalTime>3</TotalTime>
  <Pages>18</Pages>
  <Words>5691</Words>
  <Characters>31301</Characters>
  <Application>Microsoft Office Word</Application>
  <DocSecurity>0</DocSecurity>
  <Lines>260</Lines>
  <Paragraphs>73</Paragraphs>
  <ScaleCrop>false</ScaleCrop>
  <Company/>
  <LinksUpToDate>false</LinksUpToDate>
  <CharactersWithSpaces>36919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1</cp:revision>
  <dcterms:created xsi:type="dcterms:W3CDTF">2021-12-14T22:38:00Z</dcterms:created>
  <dcterms:modified xsi:type="dcterms:W3CDTF">2021-12-14T22:41:00Z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