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D0F5" w14:textId="79DBDD34" w:rsidR="00D9457C" w:rsidRPr="0060686E" w:rsidRDefault="00904CD9" w:rsidP="00FE0395">
      <w:pPr>
        <w:spacing w:after="0" w:line="240" w:lineRule="auto"/>
        <w:jc w:val="right"/>
        <w:rPr>
          <w:rFonts w:ascii="Arial" w:eastAsia="Calibri" w:hAnsi="Arial" w:cs="Arial"/>
          <w:b/>
          <w:bCs/>
          <w:sz w:val="20"/>
          <w:szCs w:val="20"/>
          <w:lang w:val="es-CO"/>
        </w:rPr>
      </w:pPr>
      <w:bookmarkStart w:id="0" w:name="_Hlk29890381"/>
      <w:bookmarkEnd w:id="0"/>
      <w:r w:rsidRPr="0060686E">
        <w:rPr>
          <w:rFonts w:ascii="Arial" w:eastAsia="Times New Roman" w:hAnsi="Arial" w:cs="Arial"/>
          <w:b/>
          <w:bCs/>
          <w:sz w:val="20"/>
          <w:szCs w:val="20"/>
          <w:lang w:val="es-CO" w:eastAsia="es-ES"/>
        </w:rPr>
        <w:t>CCE-DES-FM-17</w:t>
      </w:r>
    </w:p>
    <w:p w14:paraId="3B922040" w14:textId="77777777" w:rsidR="00FE0395" w:rsidRPr="006F33F6" w:rsidRDefault="00FE0395" w:rsidP="00FE0395">
      <w:pPr>
        <w:spacing w:after="0" w:line="240" w:lineRule="auto"/>
        <w:rPr>
          <w:rFonts w:ascii="Arial" w:eastAsia="Calibri" w:hAnsi="Arial" w:cs="Arial"/>
          <w:b/>
          <w:sz w:val="22"/>
        </w:rPr>
      </w:pPr>
    </w:p>
    <w:p w14:paraId="77009C38" w14:textId="631603C8" w:rsidR="00432C5F" w:rsidRPr="006F33F6" w:rsidRDefault="00432C5F" w:rsidP="009273B1">
      <w:pPr>
        <w:spacing w:after="0" w:line="240" w:lineRule="auto"/>
        <w:rPr>
          <w:rFonts w:ascii="Arial" w:eastAsia="Calibri" w:hAnsi="Arial" w:cs="Arial"/>
          <w:b/>
          <w:sz w:val="22"/>
        </w:rPr>
      </w:pPr>
      <w:r w:rsidRPr="006F33F6">
        <w:rPr>
          <w:rFonts w:ascii="Arial" w:eastAsia="Calibri" w:hAnsi="Arial" w:cs="Arial"/>
          <w:b/>
          <w:sz w:val="22"/>
        </w:rPr>
        <w:t xml:space="preserve">LEY DE GARANTÍAS ELECTORALES ─ </w:t>
      </w:r>
      <w:r w:rsidR="006F33F6" w:rsidRPr="006F33F6">
        <w:rPr>
          <w:rFonts w:ascii="Arial" w:eastAsia="Calibri" w:hAnsi="Arial" w:cs="Arial"/>
          <w:b/>
          <w:sz w:val="22"/>
        </w:rPr>
        <w:t xml:space="preserve">Empresas </w:t>
      </w:r>
      <w:r w:rsidR="0037134F">
        <w:rPr>
          <w:rFonts w:ascii="Arial" w:eastAsia="Calibri" w:hAnsi="Arial" w:cs="Arial"/>
          <w:b/>
          <w:sz w:val="22"/>
        </w:rPr>
        <w:t>s</w:t>
      </w:r>
      <w:r w:rsidR="006F33F6" w:rsidRPr="006F33F6">
        <w:rPr>
          <w:rFonts w:ascii="Arial" w:eastAsia="Calibri" w:hAnsi="Arial" w:cs="Arial"/>
          <w:b/>
          <w:sz w:val="22"/>
        </w:rPr>
        <w:t xml:space="preserve">ociales del </w:t>
      </w:r>
      <w:r w:rsidR="0037134F">
        <w:rPr>
          <w:rFonts w:ascii="Arial" w:eastAsia="Calibri" w:hAnsi="Arial" w:cs="Arial"/>
          <w:b/>
          <w:sz w:val="22"/>
        </w:rPr>
        <w:t>e</w:t>
      </w:r>
      <w:r w:rsidR="006F33F6" w:rsidRPr="006F33F6">
        <w:rPr>
          <w:rFonts w:ascii="Arial" w:eastAsia="Calibri" w:hAnsi="Arial" w:cs="Arial"/>
          <w:b/>
          <w:sz w:val="22"/>
        </w:rPr>
        <w:t>stado</w:t>
      </w:r>
      <w:r w:rsidRPr="006F33F6">
        <w:rPr>
          <w:rFonts w:ascii="Arial" w:eastAsia="Calibri" w:hAnsi="Arial" w:cs="Arial"/>
          <w:b/>
          <w:sz w:val="22"/>
        </w:rPr>
        <w:t xml:space="preserve"> </w:t>
      </w:r>
    </w:p>
    <w:p w14:paraId="6FEC1D00" w14:textId="77777777" w:rsidR="00FE0395" w:rsidRPr="0060686E" w:rsidRDefault="00FE0395">
      <w:pPr>
        <w:spacing w:after="0" w:line="240" w:lineRule="auto"/>
        <w:rPr>
          <w:rFonts w:ascii="Arial" w:eastAsia="Calibri" w:hAnsi="Arial" w:cs="Arial"/>
          <w:b/>
          <w:sz w:val="22"/>
        </w:rPr>
      </w:pPr>
    </w:p>
    <w:p w14:paraId="16F8F1C9" w14:textId="260543C1" w:rsidR="006F33F6" w:rsidRPr="00851E9D" w:rsidRDefault="006F33F6" w:rsidP="006F33F6">
      <w:pPr>
        <w:tabs>
          <w:tab w:val="left" w:pos="426"/>
        </w:tabs>
        <w:spacing w:after="120" w:line="240" w:lineRule="auto"/>
        <w:rPr>
          <w:rFonts w:ascii="Arial" w:eastAsia="Calibri" w:hAnsi="Arial" w:cs="Arial"/>
          <w:bCs/>
          <w:sz w:val="20"/>
          <w:szCs w:val="20"/>
          <w:lang w:val="es-CO"/>
        </w:rPr>
      </w:pPr>
      <w:r w:rsidRPr="006F33F6">
        <w:rPr>
          <w:rFonts w:ascii="Arial" w:eastAsia="Calibri" w:hAnsi="Arial" w:cs="Arial"/>
          <w:bCs/>
          <w:sz w:val="20"/>
          <w:szCs w:val="20"/>
          <w:lang w:val="es-ES_tradnl"/>
        </w:rPr>
        <w:t>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w:t>
      </w:r>
      <w:r w:rsidRPr="006F33F6">
        <w:rPr>
          <w:rFonts w:ascii="Arial" w:eastAsia="Calibri" w:hAnsi="Arial" w:cs="Arial"/>
          <w:bCs/>
          <w:sz w:val="20"/>
          <w:szCs w:val="20"/>
          <w:lang w:val="es-CO"/>
        </w:rPr>
        <w:t xml:space="preserve">. </w:t>
      </w:r>
      <w:r w:rsidRPr="006F33F6">
        <w:rPr>
          <w:rFonts w:ascii="Arial" w:eastAsia="Calibri" w:hAnsi="Arial" w:cs="Arial"/>
          <w:bCs/>
          <w:sz w:val="20"/>
          <w:szCs w:val="20"/>
          <w:lang w:val="es-ES_tradnl"/>
        </w:rPr>
        <w:t xml:space="preserve">Sin perjuicio de lo anterior, esta Agencia considera importante señalar que le corresponderá a cada entidad estatal definir la viabilidad técnica, jurídica y financiera de celebrar determinado contrato estatal en específico. Además, pese a que en los términos expuestos no aplicaría la prohibición establecida en el artículo 33 de la Ley 996 de 2005, la excepción analizada no se extendería frente a la restricción establecida en el parágrafo del artículo 38 de la misma ley, por lo que sí aplicaría la prohibición en los términos analizados en el numeral 2.2.2. de este concepto. </w:t>
      </w:r>
    </w:p>
    <w:p w14:paraId="3B9AD430" w14:textId="630C9D1E" w:rsidR="00081E50" w:rsidRPr="0060686E" w:rsidRDefault="00081E50">
      <w:pPr>
        <w:spacing w:after="0" w:line="240" w:lineRule="auto"/>
        <w:rPr>
          <w:rFonts w:ascii="Arial" w:eastAsia="Calibri" w:hAnsi="Arial" w:cs="Arial"/>
          <w:bCs/>
          <w:sz w:val="20"/>
          <w:szCs w:val="20"/>
        </w:rPr>
      </w:pPr>
    </w:p>
    <w:p w14:paraId="42D0C3DC" w14:textId="77777777" w:rsidR="00081E50" w:rsidRPr="0060686E" w:rsidRDefault="00081E50">
      <w:pPr>
        <w:spacing w:after="0" w:line="240" w:lineRule="auto"/>
        <w:rPr>
          <w:rFonts w:ascii="Arial" w:eastAsia="Calibri" w:hAnsi="Arial" w:cs="Arial"/>
          <w:sz w:val="20"/>
          <w:szCs w:val="20"/>
        </w:rPr>
      </w:pPr>
    </w:p>
    <w:p w14:paraId="787F84CE" w14:textId="0018092E" w:rsidR="009273B1" w:rsidRPr="0060686E" w:rsidRDefault="009273B1">
      <w:pPr>
        <w:rPr>
          <w:rFonts w:ascii="Arial" w:eastAsia="Calibri" w:hAnsi="Arial" w:cs="Arial"/>
          <w:sz w:val="22"/>
        </w:rPr>
      </w:pPr>
      <w:r w:rsidRPr="0060686E">
        <w:rPr>
          <w:rFonts w:ascii="Arial" w:eastAsia="Calibri" w:hAnsi="Arial" w:cs="Arial"/>
          <w:sz w:val="22"/>
        </w:rPr>
        <w:br w:type="page"/>
      </w:r>
    </w:p>
    <w:p w14:paraId="5A12F7E7" w14:textId="62279288" w:rsidR="00E72371" w:rsidRDefault="00E72371" w:rsidP="00E72371">
      <w:pPr>
        <w:jc w:val="right"/>
        <w:rPr>
          <w:rFonts w:ascii="Arial" w:eastAsia="Calibri" w:hAnsi="Arial" w:cs="Arial"/>
          <w:sz w:val="22"/>
        </w:rPr>
      </w:pPr>
    </w:p>
    <w:p w14:paraId="3C762C38" w14:textId="6B2889EA" w:rsidR="0003698C" w:rsidRPr="0060686E" w:rsidRDefault="0003698C" w:rsidP="0003698C">
      <w:pPr>
        <w:jc w:val="right"/>
        <w:rPr>
          <w:rFonts w:ascii="Arial" w:eastAsia="Calibri" w:hAnsi="Arial" w:cs="Arial"/>
          <w:sz w:val="22"/>
        </w:rPr>
      </w:pPr>
      <w:r>
        <w:rPr>
          <w:noProof/>
        </w:rPr>
        <w:drawing>
          <wp:inline distT="0" distB="0" distL="0" distR="0" wp14:anchorId="331A0B7E" wp14:editId="0937ABDB">
            <wp:extent cx="3219450" cy="8763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19450" cy="876300"/>
                    </a:xfrm>
                    <a:prstGeom prst="rect">
                      <a:avLst/>
                    </a:prstGeom>
                  </pic:spPr>
                </pic:pic>
              </a:graphicData>
            </a:graphic>
          </wp:inline>
        </w:drawing>
      </w:r>
    </w:p>
    <w:p w14:paraId="0C422C45" w14:textId="29FC06E8" w:rsidR="00E72371" w:rsidRPr="0060686E" w:rsidRDefault="006C604A" w:rsidP="006C604A">
      <w:pPr>
        <w:jc w:val="right"/>
        <w:rPr>
          <w:rFonts w:ascii="Arial" w:eastAsia="Calibri" w:hAnsi="Arial" w:cs="Arial"/>
          <w:sz w:val="22"/>
        </w:rPr>
      </w:pPr>
      <w:r w:rsidRPr="0060686E">
        <w:rPr>
          <w:rFonts w:ascii="Arial" w:hAnsi="Arial" w:cs="Arial"/>
          <w:sz w:val="22"/>
        </w:rPr>
        <w:t>CCE-DES-FM-17</w:t>
      </w:r>
    </w:p>
    <w:p w14:paraId="2B86DE84" w14:textId="4310A9FF" w:rsidR="00E72371" w:rsidRPr="0060686E" w:rsidRDefault="001B31F5" w:rsidP="00D12124">
      <w:pPr>
        <w:rPr>
          <w:rFonts w:ascii="Arial" w:eastAsia="Calibri" w:hAnsi="Arial" w:cs="Arial"/>
          <w:sz w:val="22"/>
        </w:rPr>
      </w:pPr>
      <w:r w:rsidRPr="0060686E">
        <w:rPr>
          <w:rFonts w:ascii="Arial" w:hAnsi="Arial" w:cs="Arial"/>
          <w:sz w:val="22"/>
        </w:rPr>
        <w:t>Bogotá D.C.,</w:t>
      </w:r>
      <w:r w:rsidR="0003698C">
        <w:rPr>
          <w:rFonts w:ascii="Arial" w:hAnsi="Arial" w:cs="Arial"/>
          <w:sz w:val="22"/>
        </w:rPr>
        <w:t xml:space="preserve"> 25 </w:t>
      </w:r>
      <w:proofErr w:type="gramStart"/>
      <w:r w:rsidR="0003698C">
        <w:rPr>
          <w:rFonts w:ascii="Arial" w:hAnsi="Arial" w:cs="Arial"/>
          <w:sz w:val="22"/>
        </w:rPr>
        <w:t>Octubre</w:t>
      </w:r>
      <w:proofErr w:type="gramEnd"/>
      <w:r w:rsidR="0003698C">
        <w:rPr>
          <w:rFonts w:ascii="Arial" w:hAnsi="Arial" w:cs="Arial"/>
          <w:sz w:val="22"/>
        </w:rPr>
        <w:t xml:space="preserve"> 2021</w:t>
      </w:r>
    </w:p>
    <w:p w14:paraId="535DD622" w14:textId="77777777" w:rsidR="00FE0395" w:rsidRPr="0060686E" w:rsidRDefault="00FE0395" w:rsidP="00FE0395">
      <w:pPr>
        <w:tabs>
          <w:tab w:val="left" w:pos="3374"/>
        </w:tabs>
        <w:spacing w:after="0"/>
        <w:rPr>
          <w:rFonts w:ascii="Arial" w:eastAsia="Calibri" w:hAnsi="Arial" w:cs="Arial"/>
          <w:noProof/>
          <w:lang w:val="es-ES_tradnl"/>
        </w:rPr>
      </w:pPr>
    </w:p>
    <w:p w14:paraId="32503595" w14:textId="75B93C4B" w:rsidR="00904CD9" w:rsidRPr="0060686E" w:rsidRDefault="00904CD9" w:rsidP="00FE0395">
      <w:pPr>
        <w:spacing w:after="0" w:line="240" w:lineRule="auto"/>
        <w:rPr>
          <w:rFonts w:ascii="Arial" w:eastAsia="Calibri" w:hAnsi="Arial" w:cs="Arial"/>
          <w:sz w:val="22"/>
          <w:lang w:val="es-CO"/>
        </w:rPr>
      </w:pPr>
      <w:r w:rsidRPr="0060686E">
        <w:rPr>
          <w:rFonts w:ascii="Arial" w:eastAsia="Calibri" w:hAnsi="Arial" w:cs="Arial"/>
          <w:sz w:val="22"/>
          <w:lang w:val="es-CO"/>
        </w:rPr>
        <w:t>Señor</w:t>
      </w:r>
      <w:r w:rsidR="001B31F5" w:rsidRPr="0060686E">
        <w:rPr>
          <w:rFonts w:ascii="Arial" w:eastAsia="Calibri" w:hAnsi="Arial" w:cs="Arial"/>
          <w:sz w:val="22"/>
          <w:lang w:val="es-CO"/>
        </w:rPr>
        <w:t>a</w:t>
      </w:r>
    </w:p>
    <w:p w14:paraId="2A99D125" w14:textId="312A69E8" w:rsidR="00645CE0" w:rsidRPr="0060686E" w:rsidRDefault="001B31F5" w:rsidP="00FE0395">
      <w:pPr>
        <w:spacing w:after="0" w:line="240" w:lineRule="auto"/>
        <w:rPr>
          <w:rFonts w:ascii="Arial" w:eastAsia="Calibri" w:hAnsi="Arial" w:cs="Arial"/>
          <w:b/>
          <w:sz w:val="22"/>
          <w:lang w:val="es-CO"/>
        </w:rPr>
      </w:pPr>
      <w:r w:rsidRPr="0060686E">
        <w:rPr>
          <w:rFonts w:ascii="Arial" w:eastAsia="Calibri" w:hAnsi="Arial" w:cs="Arial"/>
          <w:b/>
          <w:sz w:val="22"/>
          <w:lang w:val="es-CO"/>
        </w:rPr>
        <w:t xml:space="preserve">Valentina </w:t>
      </w:r>
      <w:proofErr w:type="spellStart"/>
      <w:r w:rsidRPr="0060686E">
        <w:rPr>
          <w:rFonts w:ascii="Arial" w:eastAsia="Calibri" w:hAnsi="Arial" w:cs="Arial"/>
          <w:b/>
          <w:sz w:val="22"/>
          <w:lang w:val="es-CO"/>
        </w:rPr>
        <w:t>Manjarres</w:t>
      </w:r>
      <w:proofErr w:type="spellEnd"/>
      <w:r w:rsidRPr="0060686E">
        <w:rPr>
          <w:rFonts w:ascii="Arial" w:eastAsia="Calibri" w:hAnsi="Arial" w:cs="Arial"/>
          <w:b/>
          <w:sz w:val="22"/>
          <w:lang w:val="es-CO"/>
        </w:rPr>
        <w:t xml:space="preserve"> González </w:t>
      </w:r>
    </w:p>
    <w:p w14:paraId="2AAF63C0" w14:textId="22B94328" w:rsidR="00901CD9" w:rsidRPr="0060686E" w:rsidRDefault="001B31F5" w:rsidP="00901CD9">
      <w:pPr>
        <w:spacing w:after="0" w:line="240" w:lineRule="auto"/>
        <w:rPr>
          <w:rFonts w:ascii="Arial" w:eastAsia="Times New Roman" w:hAnsi="Arial" w:cs="Arial"/>
          <w:sz w:val="22"/>
          <w:lang w:eastAsia="es-CO"/>
        </w:rPr>
      </w:pPr>
      <w:r w:rsidRPr="0060686E">
        <w:rPr>
          <w:rFonts w:ascii="Arial" w:eastAsia="Times New Roman" w:hAnsi="Arial" w:cs="Arial"/>
          <w:sz w:val="22"/>
          <w:lang w:eastAsia="es-CO"/>
        </w:rPr>
        <w:t xml:space="preserve">Ciudad </w:t>
      </w:r>
    </w:p>
    <w:p w14:paraId="6377CEDE" w14:textId="77777777" w:rsidR="00901CD9" w:rsidRPr="0060686E" w:rsidRDefault="00901CD9" w:rsidP="00901CD9">
      <w:pPr>
        <w:spacing w:after="0" w:line="240" w:lineRule="auto"/>
        <w:rPr>
          <w:rFonts w:ascii="Arial" w:eastAsia="Times New Roman" w:hAnsi="Arial" w:cs="Arial"/>
          <w:color w:val="000000"/>
          <w:sz w:val="22"/>
          <w:lang w:eastAsia="es-CO"/>
        </w:rPr>
      </w:pPr>
    </w:p>
    <w:p w14:paraId="44D4BC65" w14:textId="77777777" w:rsidR="002D5D70" w:rsidRPr="0060686E" w:rsidRDefault="002D5D70" w:rsidP="00FE0395">
      <w:pPr>
        <w:spacing w:after="0" w:line="240" w:lineRule="auto"/>
        <w:rPr>
          <w:rFonts w:ascii="Arial" w:eastAsia="Calibri" w:hAnsi="Arial" w:cs="Arial"/>
          <w:sz w:val="22"/>
          <w:lang w:val="es-CO"/>
        </w:rPr>
      </w:pPr>
    </w:p>
    <w:p w14:paraId="52B37521" w14:textId="68BF6F7C" w:rsidR="00904CD9" w:rsidRPr="0060686E" w:rsidRDefault="00904CD9" w:rsidP="00FE0395">
      <w:pPr>
        <w:spacing w:after="0" w:line="240" w:lineRule="auto"/>
        <w:rPr>
          <w:rFonts w:ascii="Arial" w:hAnsi="Arial" w:cs="Arial"/>
          <w:sz w:val="22"/>
          <w:lang w:val="es-CO"/>
        </w:rPr>
      </w:pPr>
      <w:r w:rsidRPr="0060686E">
        <w:rPr>
          <w:rFonts w:ascii="Arial" w:eastAsia="Calibri" w:hAnsi="Arial" w:cs="Arial"/>
          <w:sz w:val="22"/>
          <w:lang w:val="es-CO"/>
        </w:rPr>
        <w:t xml:space="preserve">                                            </w:t>
      </w:r>
      <w:r w:rsidRPr="0060686E">
        <w:rPr>
          <w:rFonts w:ascii="Arial" w:eastAsia="Calibri" w:hAnsi="Arial" w:cs="Arial"/>
          <w:b/>
          <w:sz w:val="22"/>
          <w:lang w:val="es-CO"/>
        </w:rPr>
        <w:t xml:space="preserve">Concepto C – </w:t>
      </w:r>
      <w:r w:rsidR="001B31F5" w:rsidRPr="0060686E">
        <w:rPr>
          <w:rFonts w:ascii="Arial" w:eastAsia="Calibri" w:hAnsi="Arial" w:cs="Arial"/>
          <w:b/>
          <w:sz w:val="22"/>
          <w:lang w:val="es-CO"/>
        </w:rPr>
        <w:t>553</w:t>
      </w:r>
      <w:r w:rsidR="00285D82" w:rsidRPr="0060686E">
        <w:rPr>
          <w:rFonts w:ascii="Arial" w:eastAsia="Calibri" w:hAnsi="Arial" w:cs="Arial"/>
          <w:b/>
          <w:sz w:val="22"/>
          <w:lang w:val="es-CO"/>
        </w:rPr>
        <w:t xml:space="preserve"> de 2021</w:t>
      </w:r>
      <w:r w:rsidR="00B346CC" w:rsidRPr="0060686E">
        <w:rPr>
          <w:rFonts w:ascii="Arial" w:hAnsi="Arial" w:cs="Arial"/>
          <w:sz w:val="22"/>
          <w:lang w:val="es-CO"/>
        </w:rPr>
        <w:t xml:space="preserve"> </w:t>
      </w:r>
    </w:p>
    <w:p w14:paraId="6316E3D6" w14:textId="77777777" w:rsidR="00FE0395" w:rsidRPr="0060686E" w:rsidRDefault="00FE0395" w:rsidP="00FE0395">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0395" w:rsidRPr="0060686E" w14:paraId="1701BC3D" w14:textId="77777777" w:rsidTr="008615B3">
        <w:trPr>
          <w:trHeight w:val="1038"/>
        </w:trPr>
        <w:tc>
          <w:tcPr>
            <w:tcW w:w="2689" w:type="dxa"/>
            <w:hideMark/>
          </w:tcPr>
          <w:p w14:paraId="69F7D7B9" w14:textId="77777777" w:rsidR="00FE0395" w:rsidRPr="0060686E" w:rsidRDefault="00FE0395" w:rsidP="008A3FB9">
            <w:pPr>
              <w:ind w:left="720"/>
              <w:contextualSpacing/>
              <w:rPr>
                <w:rFonts w:ascii="Arial" w:eastAsia="Calibri" w:hAnsi="Arial" w:cs="Arial"/>
                <w:noProof/>
                <w:sz w:val="22"/>
                <w:lang w:val="es-ES_tradnl"/>
              </w:rPr>
            </w:pPr>
            <w:r w:rsidRPr="0060686E">
              <w:rPr>
                <w:rFonts w:ascii="Arial" w:eastAsia="Calibri" w:hAnsi="Arial" w:cs="Arial"/>
                <w:b/>
                <w:noProof/>
                <w:sz w:val="22"/>
                <w:lang w:val="es-ES_tradnl"/>
              </w:rPr>
              <w:t>Temas:</w:t>
            </w:r>
            <w:r w:rsidRPr="0060686E">
              <w:rPr>
                <w:rFonts w:ascii="Arial" w:eastAsia="Calibri" w:hAnsi="Arial" w:cs="Arial"/>
                <w:noProof/>
                <w:sz w:val="22"/>
                <w:lang w:val="es-ES_tradnl"/>
              </w:rPr>
              <w:t xml:space="preserve">        </w:t>
            </w:r>
          </w:p>
        </w:tc>
        <w:tc>
          <w:tcPr>
            <w:tcW w:w="6237" w:type="dxa"/>
            <w:hideMark/>
          </w:tcPr>
          <w:p w14:paraId="641BBBD5" w14:textId="37D0D8CC" w:rsidR="008615B3" w:rsidRPr="00851E9D" w:rsidRDefault="00851E9D" w:rsidP="00851E9D">
            <w:pPr>
              <w:rPr>
                <w:rFonts w:ascii="Arial" w:eastAsia="Calibri" w:hAnsi="Arial" w:cs="Arial"/>
                <w:bCs/>
                <w:sz w:val="22"/>
              </w:rPr>
            </w:pPr>
            <w:r w:rsidRPr="00851E9D">
              <w:rPr>
                <w:rFonts w:ascii="Arial" w:eastAsia="Calibri" w:hAnsi="Arial" w:cs="Arial"/>
                <w:bCs/>
                <w:sz w:val="22"/>
              </w:rPr>
              <w:t xml:space="preserve">LEY DE GARANTÍAS ELECTORALES ─ Empresas Sociales del Estado </w:t>
            </w:r>
            <w:r>
              <w:rPr>
                <w:rFonts w:ascii="Arial" w:eastAsia="Calibri" w:hAnsi="Arial" w:cs="Arial"/>
                <w:bCs/>
                <w:sz w:val="22"/>
              </w:rPr>
              <w:t>/</w:t>
            </w:r>
          </w:p>
        </w:tc>
      </w:tr>
      <w:tr w:rsidR="00FE0395" w:rsidRPr="0060686E" w14:paraId="4074FCE6" w14:textId="77777777" w:rsidTr="008615B3">
        <w:tc>
          <w:tcPr>
            <w:tcW w:w="2689" w:type="dxa"/>
          </w:tcPr>
          <w:p w14:paraId="389F2C2E" w14:textId="77777777" w:rsidR="00FE0395" w:rsidRPr="0060686E" w:rsidRDefault="00FE0395" w:rsidP="008A3FB9">
            <w:pPr>
              <w:ind w:left="720"/>
              <w:contextualSpacing/>
              <w:rPr>
                <w:rFonts w:ascii="Arial" w:eastAsia="Calibri" w:hAnsi="Arial" w:cs="Arial"/>
                <w:b/>
                <w:noProof/>
                <w:sz w:val="22"/>
                <w:lang w:val="es-ES_tradnl"/>
              </w:rPr>
            </w:pPr>
            <w:r w:rsidRPr="0060686E">
              <w:rPr>
                <w:rFonts w:ascii="Arial" w:eastAsia="Calibri" w:hAnsi="Arial" w:cs="Arial"/>
                <w:b/>
                <w:noProof/>
                <w:sz w:val="22"/>
                <w:lang w:val="es-ES_tradnl"/>
              </w:rPr>
              <w:t>Radicación:</w:t>
            </w:r>
            <w:r w:rsidRPr="0060686E">
              <w:rPr>
                <w:rFonts w:ascii="Arial" w:eastAsia="Calibri" w:hAnsi="Arial" w:cs="Arial"/>
                <w:noProof/>
                <w:sz w:val="22"/>
                <w:lang w:val="es-ES_tradnl"/>
              </w:rPr>
              <w:t xml:space="preserve">                              </w:t>
            </w:r>
          </w:p>
        </w:tc>
        <w:tc>
          <w:tcPr>
            <w:tcW w:w="6237" w:type="dxa"/>
          </w:tcPr>
          <w:p w14:paraId="4D6EA725" w14:textId="5B5CC4FD" w:rsidR="00FE0395" w:rsidRPr="0060686E" w:rsidRDefault="00FE0395" w:rsidP="00FE0395">
            <w:pPr>
              <w:spacing w:after="200" w:line="276" w:lineRule="auto"/>
              <w:contextualSpacing/>
              <w:jc w:val="both"/>
              <w:rPr>
                <w:rFonts w:ascii="Arial" w:eastAsia="Calibri" w:hAnsi="Arial" w:cs="Arial"/>
                <w:noProof/>
                <w:sz w:val="22"/>
                <w:lang w:val="es-ES_tradnl"/>
              </w:rPr>
            </w:pPr>
            <w:r w:rsidRPr="0060686E">
              <w:rPr>
                <w:rFonts w:ascii="Arial" w:eastAsia="Calibri" w:hAnsi="Arial" w:cs="Arial"/>
                <w:noProof/>
                <w:sz w:val="22"/>
                <w:lang w:val="es-ES_tradnl"/>
              </w:rPr>
              <w:t xml:space="preserve">Respuesta a consulta </w:t>
            </w:r>
            <w:r w:rsidR="001B31F5" w:rsidRPr="0060686E">
              <w:rPr>
                <w:rFonts w:ascii="Arial" w:eastAsia="Calibri" w:hAnsi="Arial" w:cs="Arial"/>
                <w:noProof/>
                <w:sz w:val="22"/>
                <w:lang w:val="es-ES_tradnl"/>
              </w:rPr>
              <w:t>P20210910008304</w:t>
            </w:r>
          </w:p>
          <w:p w14:paraId="290F0664" w14:textId="77777777" w:rsidR="00FE0395" w:rsidRPr="0060686E" w:rsidRDefault="00FE0395" w:rsidP="00FE0395">
            <w:pPr>
              <w:ind w:left="720"/>
              <w:contextualSpacing/>
              <w:jc w:val="both"/>
              <w:rPr>
                <w:rFonts w:ascii="Arial" w:eastAsia="Calibri" w:hAnsi="Arial" w:cs="Arial"/>
                <w:noProof/>
                <w:sz w:val="22"/>
                <w:lang w:val="es-ES_tradnl"/>
              </w:rPr>
            </w:pPr>
          </w:p>
        </w:tc>
      </w:tr>
    </w:tbl>
    <w:p w14:paraId="0CB3D4D0" w14:textId="77777777" w:rsidR="00FE0395" w:rsidRPr="0060686E" w:rsidRDefault="00FE0395" w:rsidP="00FE0395">
      <w:pPr>
        <w:spacing w:after="0" w:line="240" w:lineRule="auto"/>
        <w:rPr>
          <w:rFonts w:ascii="Arial" w:eastAsia="Calibri" w:hAnsi="Arial" w:cs="Arial"/>
          <w:sz w:val="22"/>
          <w:lang w:val="es-CO"/>
        </w:rPr>
      </w:pPr>
    </w:p>
    <w:p w14:paraId="0ADE9D41" w14:textId="2EC0FB53" w:rsidR="00990612" w:rsidRPr="0060686E" w:rsidRDefault="00990612" w:rsidP="00FE0395">
      <w:pPr>
        <w:spacing w:after="0" w:line="240" w:lineRule="auto"/>
        <w:rPr>
          <w:rFonts w:ascii="Arial" w:eastAsia="Calibri" w:hAnsi="Arial" w:cs="Arial"/>
          <w:sz w:val="22"/>
          <w:lang w:val="es-CO"/>
        </w:rPr>
      </w:pPr>
      <w:r w:rsidRPr="0060686E">
        <w:rPr>
          <w:rFonts w:ascii="Arial" w:eastAsia="Calibri" w:hAnsi="Arial" w:cs="Arial"/>
          <w:sz w:val="22"/>
          <w:lang w:val="es-CO"/>
        </w:rPr>
        <w:t>Estimad</w:t>
      </w:r>
      <w:r w:rsidR="001B31F5" w:rsidRPr="0060686E">
        <w:rPr>
          <w:rFonts w:ascii="Arial" w:eastAsia="Calibri" w:hAnsi="Arial" w:cs="Arial"/>
          <w:sz w:val="22"/>
          <w:lang w:val="es-CO"/>
        </w:rPr>
        <w:t xml:space="preserve">a señora </w:t>
      </w:r>
      <w:proofErr w:type="spellStart"/>
      <w:r w:rsidR="001B31F5" w:rsidRPr="0060686E">
        <w:rPr>
          <w:rFonts w:ascii="Arial" w:eastAsia="Calibri" w:hAnsi="Arial" w:cs="Arial"/>
          <w:sz w:val="22"/>
          <w:lang w:val="es-CO"/>
        </w:rPr>
        <w:t>Manjarres</w:t>
      </w:r>
      <w:proofErr w:type="spellEnd"/>
      <w:r w:rsidR="001B31F5" w:rsidRPr="0060686E">
        <w:rPr>
          <w:rFonts w:ascii="Arial" w:eastAsia="Calibri" w:hAnsi="Arial" w:cs="Arial"/>
          <w:sz w:val="22"/>
          <w:lang w:val="es-CO"/>
        </w:rPr>
        <w:t xml:space="preserve"> González</w:t>
      </w:r>
      <w:r w:rsidRPr="0060686E">
        <w:rPr>
          <w:rFonts w:ascii="Arial" w:eastAsia="Calibri" w:hAnsi="Arial" w:cs="Arial"/>
          <w:sz w:val="22"/>
          <w:lang w:val="es-CO"/>
        </w:rPr>
        <w:t>:</w:t>
      </w:r>
    </w:p>
    <w:p w14:paraId="19436ABB" w14:textId="77777777" w:rsidR="00990612" w:rsidRPr="0060686E" w:rsidRDefault="00990612" w:rsidP="00FE0395">
      <w:pPr>
        <w:spacing w:after="0" w:line="240" w:lineRule="auto"/>
        <w:rPr>
          <w:rFonts w:ascii="Arial" w:eastAsia="Calibri" w:hAnsi="Arial" w:cs="Arial"/>
          <w:sz w:val="22"/>
          <w:lang w:val="es-CO"/>
        </w:rPr>
      </w:pPr>
    </w:p>
    <w:p w14:paraId="4A62508A" w14:textId="376358F8" w:rsidR="00990612" w:rsidRPr="0060686E" w:rsidRDefault="00990612" w:rsidP="005A114C">
      <w:pPr>
        <w:spacing w:after="0"/>
        <w:ind w:right="51"/>
        <w:rPr>
          <w:rFonts w:ascii="Arial" w:eastAsia="Calibri" w:hAnsi="Arial" w:cs="Arial"/>
          <w:sz w:val="22"/>
          <w:lang w:val="es-CO"/>
        </w:rPr>
      </w:pPr>
      <w:r w:rsidRPr="0060686E">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37E82" w:rsidRPr="0060686E">
        <w:rPr>
          <w:rFonts w:ascii="Arial" w:eastAsia="Calibri" w:hAnsi="Arial" w:cs="Arial"/>
          <w:sz w:val="22"/>
          <w:lang w:val="es-CO"/>
        </w:rPr>
        <w:t xml:space="preserve"> </w:t>
      </w:r>
      <w:proofErr w:type="gramStart"/>
      <w:r w:rsidR="00E37E82" w:rsidRPr="0060686E">
        <w:rPr>
          <w:rFonts w:ascii="Arial" w:eastAsia="Calibri" w:hAnsi="Arial" w:cs="Arial"/>
          <w:sz w:val="22"/>
          <w:lang w:val="es-CO"/>
        </w:rPr>
        <w:t xml:space="preserve">– </w:t>
      </w:r>
      <w:r w:rsidRPr="0060686E">
        <w:rPr>
          <w:rFonts w:ascii="Arial" w:eastAsia="Calibri" w:hAnsi="Arial" w:cs="Arial"/>
          <w:sz w:val="22"/>
          <w:lang w:val="es-CO"/>
        </w:rPr>
        <w:t xml:space="preserve"> responde</w:t>
      </w:r>
      <w:proofErr w:type="gramEnd"/>
      <w:r w:rsidRPr="0060686E">
        <w:rPr>
          <w:rFonts w:ascii="Arial" w:eastAsia="Calibri" w:hAnsi="Arial" w:cs="Arial"/>
          <w:sz w:val="22"/>
          <w:lang w:val="es-CO"/>
        </w:rPr>
        <w:t xml:space="preserve"> la consulta realizada el </w:t>
      </w:r>
      <w:r w:rsidR="001B31F5" w:rsidRPr="0060686E">
        <w:rPr>
          <w:rFonts w:ascii="Arial" w:eastAsia="Calibri" w:hAnsi="Arial" w:cs="Arial"/>
          <w:sz w:val="22"/>
          <w:lang w:val="es-CO"/>
        </w:rPr>
        <w:t xml:space="preserve">10 de septiembre de 2021. </w:t>
      </w:r>
    </w:p>
    <w:p w14:paraId="38B89859" w14:textId="77777777" w:rsidR="00990612" w:rsidRPr="0060686E" w:rsidRDefault="00990612" w:rsidP="005A114C">
      <w:pPr>
        <w:spacing w:after="0"/>
        <w:rPr>
          <w:rFonts w:ascii="Arial" w:eastAsia="Calibri" w:hAnsi="Arial" w:cs="Arial"/>
          <w:sz w:val="22"/>
          <w:lang w:val="es-CO"/>
        </w:rPr>
      </w:pPr>
    </w:p>
    <w:p w14:paraId="3B0D1063" w14:textId="09E51B12" w:rsidR="005A114C" w:rsidRPr="0060686E" w:rsidRDefault="00990612" w:rsidP="005A114C">
      <w:pPr>
        <w:pStyle w:val="Prrafodelista"/>
        <w:numPr>
          <w:ilvl w:val="0"/>
          <w:numId w:val="6"/>
        </w:numPr>
        <w:tabs>
          <w:tab w:val="left" w:pos="284"/>
        </w:tabs>
        <w:spacing w:after="0"/>
        <w:ind w:left="0" w:firstLine="0"/>
        <w:rPr>
          <w:rFonts w:ascii="Arial" w:eastAsia="Calibri" w:hAnsi="Arial" w:cs="Arial"/>
          <w:b/>
          <w:sz w:val="22"/>
          <w:lang w:val="es-CO"/>
        </w:rPr>
      </w:pPr>
      <w:r w:rsidRPr="0060686E">
        <w:rPr>
          <w:rFonts w:ascii="Arial" w:eastAsia="Calibri" w:hAnsi="Arial" w:cs="Arial"/>
          <w:b/>
          <w:sz w:val="22"/>
          <w:lang w:val="es-CO"/>
        </w:rPr>
        <w:t xml:space="preserve">Problemas planteados </w:t>
      </w:r>
    </w:p>
    <w:p w14:paraId="2FBDB7F6" w14:textId="77777777" w:rsidR="005A114C" w:rsidRPr="0060686E" w:rsidRDefault="005A114C" w:rsidP="005A114C">
      <w:pPr>
        <w:pStyle w:val="Prrafodelista"/>
        <w:tabs>
          <w:tab w:val="left" w:pos="284"/>
        </w:tabs>
        <w:spacing w:after="0"/>
        <w:ind w:left="0"/>
        <w:rPr>
          <w:rFonts w:ascii="Arial" w:eastAsia="Calibri" w:hAnsi="Arial" w:cs="Arial"/>
          <w:b/>
          <w:sz w:val="22"/>
          <w:lang w:val="es-CO"/>
        </w:rPr>
      </w:pPr>
    </w:p>
    <w:p w14:paraId="52A9DF75" w14:textId="3B1D9284" w:rsidR="00EB7B03" w:rsidRPr="0060686E" w:rsidRDefault="006B7576" w:rsidP="00EB7B03">
      <w:pPr>
        <w:tabs>
          <w:tab w:val="left" w:pos="426"/>
        </w:tabs>
        <w:spacing w:after="0"/>
        <w:rPr>
          <w:rFonts w:ascii="Arial" w:eastAsia="Times New Roman" w:hAnsi="Arial" w:cs="Arial"/>
          <w:color w:val="000000"/>
          <w:sz w:val="22"/>
          <w:shd w:val="clear" w:color="auto" w:fill="FFFFFF"/>
          <w:lang w:eastAsia="es-CO"/>
        </w:rPr>
      </w:pPr>
      <w:r w:rsidRPr="0060686E">
        <w:rPr>
          <w:rFonts w:ascii="Arial" w:eastAsia="Calibri" w:hAnsi="Arial" w:cs="Arial"/>
          <w:sz w:val="22"/>
          <w:lang w:val="es-CO"/>
        </w:rPr>
        <w:t>Usted plantea la</w:t>
      </w:r>
      <w:r w:rsidR="00562D14" w:rsidRPr="0060686E">
        <w:rPr>
          <w:rFonts w:ascii="Arial" w:eastAsia="Calibri" w:hAnsi="Arial" w:cs="Arial"/>
          <w:sz w:val="22"/>
          <w:lang w:val="es-CO"/>
        </w:rPr>
        <w:t xml:space="preserve">s siguientes preguntas: </w:t>
      </w:r>
      <w:bookmarkStart w:id="1" w:name="_Hlk58917991"/>
      <w:bookmarkStart w:id="2" w:name="_Hlk56103000"/>
      <w:r w:rsidR="00990612" w:rsidRPr="0060686E">
        <w:rPr>
          <w:rFonts w:ascii="Arial" w:eastAsia="Calibri" w:hAnsi="Arial" w:cs="Arial"/>
          <w:sz w:val="22"/>
          <w:lang w:val="es-CO"/>
        </w:rPr>
        <w:t>«</w:t>
      </w:r>
      <w:r w:rsidR="00F118E5" w:rsidRPr="0060686E">
        <w:rPr>
          <w:rFonts w:ascii="Arial" w:eastAsia="Times New Roman" w:hAnsi="Arial" w:cs="Arial"/>
          <w:color w:val="000000"/>
          <w:sz w:val="22"/>
          <w:shd w:val="clear" w:color="auto" w:fill="FFFFFF"/>
          <w:lang w:eastAsia="es-CO"/>
        </w:rPr>
        <w:t>[…]</w:t>
      </w:r>
      <w:r w:rsidR="00D06ECB" w:rsidRPr="0060686E">
        <w:rPr>
          <w:rFonts w:ascii="Arial" w:eastAsia="Times New Roman" w:hAnsi="Arial" w:cs="Arial"/>
          <w:color w:val="000000"/>
          <w:sz w:val="22"/>
          <w:shd w:val="clear" w:color="auto" w:fill="FFFFFF"/>
          <w:lang w:eastAsia="es-CO"/>
        </w:rPr>
        <w:t xml:space="preserve"> </w:t>
      </w:r>
      <w:r w:rsidR="00EB7B03" w:rsidRPr="0060686E">
        <w:rPr>
          <w:rFonts w:ascii="Arial" w:eastAsia="Times New Roman" w:hAnsi="Arial" w:cs="Arial"/>
          <w:color w:val="000000"/>
          <w:sz w:val="22"/>
          <w:shd w:val="clear" w:color="auto" w:fill="FFFFFF"/>
          <w:lang w:eastAsia="es-CO"/>
        </w:rPr>
        <w:t xml:space="preserve">es mi </w:t>
      </w:r>
      <w:proofErr w:type="spellStart"/>
      <w:r w:rsidR="00EB7B03" w:rsidRPr="0060686E">
        <w:rPr>
          <w:rFonts w:ascii="Arial" w:eastAsia="Times New Roman" w:hAnsi="Arial" w:cs="Arial"/>
          <w:color w:val="000000"/>
          <w:sz w:val="22"/>
          <w:shd w:val="clear" w:color="auto" w:fill="FFFFFF"/>
          <w:lang w:eastAsia="es-CO"/>
        </w:rPr>
        <w:t>interes</w:t>
      </w:r>
      <w:proofErr w:type="spellEnd"/>
      <w:r w:rsidR="00EB7B03" w:rsidRPr="0060686E">
        <w:rPr>
          <w:rFonts w:ascii="Arial" w:eastAsia="Times New Roman" w:hAnsi="Arial" w:cs="Arial"/>
          <w:color w:val="000000"/>
          <w:sz w:val="22"/>
          <w:shd w:val="clear" w:color="auto" w:fill="FFFFFF"/>
          <w:lang w:eastAsia="es-CO"/>
        </w:rPr>
        <w:t xml:space="preserve"> conocer en mi condición de estudiante de derecho activa en la universidad cooperativa de Colombia, consultar si durante ese tiempo (el de la ley de garantía) las empresas sociales del estado (Hospital) pueden realizar CONTRATACION DIRECTA a través de contratos de prestación de servicios profesionales o de apoyo a la gestión y contratos de suministro de mínima cuantía.</w:t>
      </w:r>
    </w:p>
    <w:p w14:paraId="70E66300" w14:textId="5BF350A6" w:rsidR="00CE170E" w:rsidRPr="0060686E" w:rsidRDefault="00EB7B03" w:rsidP="00EB7B03">
      <w:pPr>
        <w:tabs>
          <w:tab w:val="left" w:pos="426"/>
        </w:tabs>
        <w:spacing w:after="0"/>
        <w:rPr>
          <w:rFonts w:ascii="Arial" w:eastAsia="Calibri" w:hAnsi="Arial" w:cs="Arial"/>
          <w:sz w:val="22"/>
        </w:rPr>
      </w:pPr>
      <w:r w:rsidRPr="0060686E">
        <w:rPr>
          <w:rFonts w:ascii="Arial" w:eastAsia="Times New Roman" w:hAnsi="Arial" w:cs="Arial"/>
          <w:color w:val="000000"/>
          <w:sz w:val="22"/>
          <w:shd w:val="clear" w:color="auto" w:fill="FFFFFF"/>
          <w:lang w:eastAsia="es-CO"/>
        </w:rPr>
        <w:t xml:space="preserve">Lo anterior se da, en virtud de que la norma señala en específico a las entidades estatales, pero como las </w:t>
      </w:r>
      <w:proofErr w:type="spellStart"/>
      <w:r w:rsidRPr="0060686E">
        <w:rPr>
          <w:rFonts w:ascii="Arial" w:eastAsia="Times New Roman" w:hAnsi="Arial" w:cs="Arial"/>
          <w:color w:val="000000"/>
          <w:sz w:val="22"/>
          <w:shd w:val="clear" w:color="auto" w:fill="FFFFFF"/>
          <w:lang w:eastAsia="es-CO"/>
        </w:rPr>
        <w:t>ESEs</w:t>
      </w:r>
      <w:proofErr w:type="spellEnd"/>
      <w:r w:rsidRPr="0060686E">
        <w:rPr>
          <w:rFonts w:ascii="Arial" w:eastAsia="Times New Roman" w:hAnsi="Arial" w:cs="Arial"/>
          <w:color w:val="000000"/>
          <w:sz w:val="22"/>
          <w:shd w:val="clear" w:color="auto" w:fill="FFFFFF"/>
          <w:lang w:eastAsia="es-CO"/>
        </w:rPr>
        <w:t xml:space="preserve"> tienen una regulación privada en temas de contratación, es totalmente relevante determinar si en los hospitales públicos, se puede realizar contrataciones </w:t>
      </w:r>
      <w:r w:rsidRPr="0060686E">
        <w:rPr>
          <w:rFonts w:ascii="Arial" w:eastAsia="Times New Roman" w:hAnsi="Arial" w:cs="Arial"/>
          <w:color w:val="000000"/>
          <w:sz w:val="22"/>
          <w:shd w:val="clear" w:color="auto" w:fill="FFFFFF"/>
          <w:lang w:eastAsia="es-CO"/>
        </w:rPr>
        <w:lastRenderedPageBreak/>
        <w:t xml:space="preserve">directas, específicamente contratos de prestación de servicios profesionales o de apoyo a la gestión y contratos de suministro de mínima cuantía durante la </w:t>
      </w:r>
      <w:r w:rsidR="007554BE" w:rsidRPr="0060686E">
        <w:rPr>
          <w:rFonts w:ascii="Arial" w:eastAsia="Times New Roman" w:hAnsi="Arial" w:cs="Arial"/>
          <w:color w:val="000000"/>
          <w:sz w:val="22"/>
          <w:shd w:val="clear" w:color="auto" w:fill="FFFFFF"/>
          <w:lang w:eastAsia="es-CO"/>
        </w:rPr>
        <w:t>vigencia de la ley de garantías</w:t>
      </w:r>
      <w:r w:rsidR="002F5098" w:rsidRPr="0060686E">
        <w:rPr>
          <w:rFonts w:ascii="Arial" w:eastAsia="Times New Roman" w:hAnsi="Arial" w:cs="Arial"/>
          <w:color w:val="000000"/>
          <w:sz w:val="22"/>
          <w:shd w:val="clear" w:color="auto" w:fill="FFFFFF"/>
          <w:lang w:eastAsia="es-CO"/>
        </w:rPr>
        <w:t>»</w:t>
      </w:r>
      <w:r w:rsidR="00CE170E" w:rsidRPr="0060686E">
        <w:rPr>
          <w:rFonts w:ascii="Arial" w:eastAsia="Calibri" w:hAnsi="Arial" w:cs="Arial"/>
          <w:sz w:val="22"/>
        </w:rPr>
        <w:t>.</w:t>
      </w:r>
    </w:p>
    <w:p w14:paraId="0D6CC038" w14:textId="77777777" w:rsidR="00392E7E" w:rsidRPr="0060686E" w:rsidRDefault="00392E7E" w:rsidP="00535A7F">
      <w:pPr>
        <w:tabs>
          <w:tab w:val="left" w:pos="426"/>
        </w:tabs>
        <w:spacing w:after="0"/>
        <w:rPr>
          <w:rFonts w:ascii="Arial" w:eastAsia="Calibri" w:hAnsi="Arial" w:cs="Arial"/>
          <w:sz w:val="22"/>
        </w:rPr>
      </w:pPr>
    </w:p>
    <w:bookmarkEnd w:id="1"/>
    <w:bookmarkEnd w:id="2"/>
    <w:p w14:paraId="4CC8DC72" w14:textId="77777777" w:rsidR="00990612" w:rsidRPr="0060686E" w:rsidRDefault="00990612" w:rsidP="005A114C">
      <w:pPr>
        <w:pStyle w:val="Prrafodelista"/>
        <w:numPr>
          <w:ilvl w:val="0"/>
          <w:numId w:val="6"/>
        </w:numPr>
        <w:tabs>
          <w:tab w:val="left" w:pos="426"/>
        </w:tabs>
        <w:spacing w:after="120"/>
        <w:ind w:left="284" w:hanging="284"/>
        <w:rPr>
          <w:rFonts w:ascii="Arial" w:eastAsia="Calibri" w:hAnsi="Arial" w:cs="Arial"/>
          <w:b/>
          <w:sz w:val="22"/>
          <w:lang w:val="es-CO"/>
        </w:rPr>
      </w:pPr>
      <w:r w:rsidRPr="0060686E">
        <w:rPr>
          <w:rFonts w:ascii="Arial" w:eastAsia="Calibri" w:hAnsi="Arial" w:cs="Arial"/>
          <w:b/>
          <w:sz w:val="22"/>
          <w:lang w:val="es-CO"/>
        </w:rPr>
        <w:t>Consideraciones</w:t>
      </w:r>
    </w:p>
    <w:p w14:paraId="08F918EF" w14:textId="4C5F24E3" w:rsidR="0012687C" w:rsidRPr="0060686E" w:rsidRDefault="0075455D" w:rsidP="0012687C">
      <w:pPr>
        <w:tabs>
          <w:tab w:val="left" w:pos="426"/>
        </w:tabs>
        <w:spacing w:after="120"/>
        <w:rPr>
          <w:rFonts w:ascii="Arial" w:eastAsia="Calibri" w:hAnsi="Arial" w:cs="Arial"/>
          <w:bCs/>
          <w:sz w:val="22"/>
          <w:lang w:val="es-CO"/>
        </w:rPr>
      </w:pPr>
      <w:r w:rsidRPr="0060686E">
        <w:rPr>
          <w:rFonts w:ascii="Arial" w:eastAsia="Calibri" w:hAnsi="Arial" w:cs="Arial"/>
          <w:bCs/>
          <w:sz w:val="22"/>
          <w:lang w:val="es-CO"/>
        </w:rPr>
        <w:t xml:space="preserve">Con el propósito de </w:t>
      </w:r>
      <w:r w:rsidR="00990612" w:rsidRPr="0060686E">
        <w:rPr>
          <w:rFonts w:ascii="Arial" w:eastAsia="Calibri" w:hAnsi="Arial" w:cs="Arial"/>
          <w:bCs/>
          <w:sz w:val="22"/>
          <w:lang w:val="es-CO"/>
        </w:rPr>
        <w:t xml:space="preserve">resolver la consulta se analizará: i) </w:t>
      </w:r>
      <w:r w:rsidR="003B76AF" w:rsidRPr="0060686E">
        <w:rPr>
          <w:rFonts w:ascii="Arial" w:eastAsia="Calibri" w:hAnsi="Arial" w:cs="Arial"/>
          <w:bCs/>
          <w:sz w:val="22"/>
          <w:lang w:val="es-CO"/>
        </w:rPr>
        <w:t xml:space="preserve">la </w:t>
      </w:r>
      <w:r w:rsidR="006D4EC2" w:rsidRPr="0060686E">
        <w:rPr>
          <w:rFonts w:ascii="Arial" w:eastAsia="Calibri" w:hAnsi="Arial" w:cs="Arial"/>
          <w:bCs/>
          <w:sz w:val="22"/>
          <w:lang w:val="es-CO"/>
        </w:rPr>
        <w:t xml:space="preserve">definición y finalidad de la Ley de Garantías Electorales; </w:t>
      </w:r>
      <w:proofErr w:type="spellStart"/>
      <w:r w:rsidR="006D4EC2" w:rsidRPr="0060686E">
        <w:rPr>
          <w:rFonts w:ascii="Arial" w:eastAsia="Calibri" w:hAnsi="Arial" w:cs="Arial"/>
          <w:bCs/>
          <w:sz w:val="22"/>
          <w:lang w:val="es-CO"/>
        </w:rPr>
        <w:t>ii</w:t>
      </w:r>
      <w:proofErr w:type="spellEnd"/>
      <w:r w:rsidR="006D4EC2" w:rsidRPr="0060686E">
        <w:rPr>
          <w:rFonts w:ascii="Arial" w:eastAsia="Calibri" w:hAnsi="Arial" w:cs="Arial"/>
          <w:bCs/>
          <w:sz w:val="22"/>
          <w:lang w:val="es-CO"/>
        </w:rPr>
        <w:t>)</w:t>
      </w:r>
      <w:r w:rsidR="003B76AF" w:rsidRPr="0060686E">
        <w:rPr>
          <w:rFonts w:ascii="Arial" w:eastAsia="Calibri" w:hAnsi="Arial" w:cs="Arial"/>
          <w:bCs/>
          <w:sz w:val="22"/>
          <w:lang w:val="es-CO"/>
        </w:rPr>
        <w:t xml:space="preserve"> la</w:t>
      </w:r>
      <w:r w:rsidR="00EB7836" w:rsidRPr="0060686E">
        <w:rPr>
          <w:rFonts w:ascii="Arial" w:eastAsia="Calibri" w:hAnsi="Arial" w:cs="Arial"/>
          <w:bCs/>
          <w:sz w:val="22"/>
          <w:lang w:val="es-CO"/>
        </w:rPr>
        <w:t xml:space="preserve"> </w:t>
      </w:r>
      <w:r w:rsidR="00392E7E" w:rsidRPr="0060686E">
        <w:rPr>
          <w:rFonts w:ascii="Arial" w:eastAsia="Calibri" w:hAnsi="Arial" w:cs="Arial"/>
          <w:bCs/>
          <w:sz w:val="22"/>
          <w:lang w:val="es-CO"/>
        </w:rPr>
        <w:t>d</w:t>
      </w:r>
      <w:r w:rsidR="003767EE" w:rsidRPr="0060686E">
        <w:rPr>
          <w:rFonts w:ascii="Arial" w:eastAsia="Calibri" w:hAnsi="Arial" w:cs="Arial"/>
          <w:bCs/>
          <w:sz w:val="22"/>
          <w:lang w:val="es-CO"/>
        </w:rPr>
        <w:t>eterminación de las</w:t>
      </w:r>
      <w:r w:rsidR="00EB7836" w:rsidRPr="0060686E">
        <w:rPr>
          <w:rFonts w:ascii="Arial" w:eastAsia="Calibri" w:hAnsi="Arial" w:cs="Arial"/>
          <w:bCs/>
          <w:sz w:val="22"/>
          <w:lang w:val="es-CO"/>
        </w:rPr>
        <w:t xml:space="preserve"> restricciones</w:t>
      </w:r>
      <w:r w:rsidR="00392E7E" w:rsidRPr="0060686E">
        <w:rPr>
          <w:rFonts w:ascii="Arial" w:eastAsia="Calibri" w:hAnsi="Arial" w:cs="Arial"/>
          <w:bCs/>
          <w:sz w:val="22"/>
          <w:lang w:val="es-CO"/>
        </w:rPr>
        <w:t xml:space="preserve"> según el tipo de elecciones</w:t>
      </w:r>
      <w:r w:rsidR="002A55BF" w:rsidRPr="0060686E">
        <w:rPr>
          <w:rFonts w:ascii="Arial" w:eastAsia="Calibri" w:hAnsi="Arial" w:cs="Arial"/>
          <w:bCs/>
          <w:sz w:val="22"/>
          <w:lang w:val="es-CO"/>
        </w:rPr>
        <w:t xml:space="preserve"> y excepciones a las mismas</w:t>
      </w:r>
      <w:r w:rsidR="00EB7B03" w:rsidRPr="0060686E">
        <w:rPr>
          <w:rFonts w:ascii="Arial" w:eastAsia="Calibri" w:hAnsi="Arial" w:cs="Arial"/>
          <w:bCs/>
          <w:sz w:val="22"/>
          <w:lang w:val="es-CO"/>
        </w:rPr>
        <w:t>;</w:t>
      </w:r>
      <w:r w:rsidR="009B4F07" w:rsidRPr="0060686E">
        <w:rPr>
          <w:rFonts w:ascii="Arial" w:eastAsia="Calibri" w:hAnsi="Arial" w:cs="Arial"/>
          <w:bCs/>
          <w:sz w:val="22"/>
          <w:lang w:val="es-CO"/>
        </w:rPr>
        <w:t xml:space="preserve"> y </w:t>
      </w:r>
      <w:proofErr w:type="spellStart"/>
      <w:r w:rsidR="003B76AF" w:rsidRPr="0060686E">
        <w:rPr>
          <w:rFonts w:ascii="Arial" w:eastAsia="Calibri" w:hAnsi="Arial" w:cs="Arial"/>
          <w:bCs/>
          <w:sz w:val="22"/>
          <w:lang w:val="es-CO"/>
        </w:rPr>
        <w:t>iii</w:t>
      </w:r>
      <w:proofErr w:type="spellEnd"/>
      <w:r w:rsidR="009B4F07" w:rsidRPr="0060686E">
        <w:rPr>
          <w:rFonts w:ascii="Arial" w:eastAsia="Calibri" w:hAnsi="Arial" w:cs="Arial"/>
          <w:bCs/>
          <w:sz w:val="22"/>
          <w:lang w:val="es-CO"/>
        </w:rPr>
        <w:t xml:space="preserve">) </w:t>
      </w:r>
      <w:r w:rsidR="003B76AF" w:rsidRPr="0060686E">
        <w:rPr>
          <w:rFonts w:ascii="Arial" w:eastAsia="Calibri" w:hAnsi="Arial" w:cs="Arial"/>
          <w:bCs/>
          <w:sz w:val="22"/>
          <w:lang w:val="es-CO"/>
        </w:rPr>
        <w:t xml:space="preserve">la excepción a la prohibición de la contratación directa del artículo 33 de la </w:t>
      </w:r>
      <w:r w:rsidR="00FE45F3" w:rsidRPr="0060686E">
        <w:rPr>
          <w:rFonts w:ascii="Arial" w:eastAsia="Calibri" w:hAnsi="Arial" w:cs="Arial"/>
          <w:bCs/>
          <w:sz w:val="22"/>
          <w:lang w:val="es-CO"/>
        </w:rPr>
        <w:t>L</w:t>
      </w:r>
      <w:r w:rsidR="003B76AF" w:rsidRPr="0060686E">
        <w:rPr>
          <w:rFonts w:ascii="Arial" w:eastAsia="Calibri" w:hAnsi="Arial" w:cs="Arial"/>
          <w:bCs/>
          <w:sz w:val="22"/>
          <w:lang w:val="es-CO"/>
        </w:rPr>
        <w:t xml:space="preserve">ey de </w:t>
      </w:r>
      <w:r w:rsidR="00FE45F3" w:rsidRPr="0060686E">
        <w:rPr>
          <w:rFonts w:ascii="Arial" w:eastAsia="Calibri" w:hAnsi="Arial" w:cs="Arial"/>
          <w:bCs/>
          <w:sz w:val="22"/>
          <w:lang w:val="es-CO"/>
        </w:rPr>
        <w:t>G</w:t>
      </w:r>
      <w:r w:rsidR="003B76AF" w:rsidRPr="0060686E">
        <w:rPr>
          <w:rFonts w:ascii="Arial" w:eastAsia="Calibri" w:hAnsi="Arial" w:cs="Arial"/>
          <w:bCs/>
          <w:sz w:val="22"/>
          <w:lang w:val="es-CO"/>
        </w:rPr>
        <w:t xml:space="preserve">arantías </w:t>
      </w:r>
      <w:r w:rsidR="00FE45F3" w:rsidRPr="0060686E">
        <w:rPr>
          <w:rFonts w:ascii="Arial" w:eastAsia="Calibri" w:hAnsi="Arial" w:cs="Arial"/>
          <w:bCs/>
          <w:sz w:val="22"/>
          <w:lang w:val="es-CO"/>
        </w:rPr>
        <w:t>E</w:t>
      </w:r>
      <w:r w:rsidR="003B76AF" w:rsidRPr="0060686E">
        <w:rPr>
          <w:rFonts w:ascii="Arial" w:eastAsia="Calibri" w:hAnsi="Arial" w:cs="Arial"/>
          <w:bCs/>
          <w:sz w:val="22"/>
          <w:lang w:val="es-CO"/>
        </w:rPr>
        <w:t>lectorales a las entidades hospitalarias y sanitarias</w:t>
      </w:r>
      <w:r w:rsidR="009A3BE0" w:rsidRPr="0060686E">
        <w:rPr>
          <w:rFonts w:ascii="Arial" w:eastAsia="Calibri" w:hAnsi="Arial" w:cs="Arial"/>
          <w:bCs/>
          <w:sz w:val="22"/>
          <w:lang w:val="es-CO"/>
        </w:rPr>
        <w:t>.</w:t>
      </w:r>
      <w:r w:rsidR="009B4F07" w:rsidRPr="0060686E">
        <w:rPr>
          <w:rFonts w:ascii="Arial" w:eastAsia="Calibri" w:hAnsi="Arial" w:cs="Arial"/>
          <w:bCs/>
          <w:sz w:val="22"/>
          <w:lang w:val="es-CO"/>
        </w:rPr>
        <w:t xml:space="preserve"> </w:t>
      </w:r>
    </w:p>
    <w:p w14:paraId="1B0A4F73" w14:textId="6AF6ABB5" w:rsidR="008F39BD" w:rsidRPr="0060686E" w:rsidRDefault="008F39BD" w:rsidP="0014735B">
      <w:pPr>
        <w:tabs>
          <w:tab w:val="left" w:pos="426"/>
        </w:tabs>
        <w:ind w:firstLine="709"/>
        <w:rPr>
          <w:rFonts w:ascii="Arial" w:hAnsi="Arial" w:cs="Arial"/>
          <w:color w:val="000000" w:themeColor="text1"/>
          <w:sz w:val="22"/>
          <w:lang w:val="es-ES_tradnl"/>
        </w:rPr>
      </w:pPr>
      <w:r w:rsidRPr="0060686E">
        <w:rPr>
          <w:rFonts w:ascii="Arial" w:eastAsia="Calibri" w:hAnsi="Arial" w:cs="Arial"/>
          <w:color w:val="000000" w:themeColor="text1"/>
          <w:sz w:val="22"/>
          <w:lang w:val="es-ES_tradnl"/>
        </w:rPr>
        <w:t>L</w:t>
      </w:r>
      <w:r w:rsidRPr="0060686E">
        <w:rPr>
          <w:rFonts w:ascii="Arial" w:hAnsi="Arial" w:cs="Arial"/>
          <w:color w:val="000000" w:themeColor="text1"/>
          <w:sz w:val="22"/>
          <w:lang w:val="es-ES_tradnl"/>
        </w:rPr>
        <w:t xml:space="preserve">a Agencia Nacional de Contratación Pública ― Colombia Compra Eficiente </w:t>
      </w:r>
      <w:r w:rsidR="00D06ECB" w:rsidRPr="0060686E">
        <w:rPr>
          <w:rFonts w:ascii="Arial" w:hAnsi="Arial" w:cs="Arial"/>
          <w:color w:val="000000" w:themeColor="text1"/>
          <w:sz w:val="22"/>
          <w:lang w:val="es-ES_tradnl"/>
        </w:rPr>
        <w:t xml:space="preserve">se ha </w:t>
      </w:r>
      <w:proofErr w:type="spellStart"/>
      <w:r w:rsidR="00D06ECB" w:rsidRPr="0060686E">
        <w:rPr>
          <w:rFonts w:ascii="Arial" w:hAnsi="Arial" w:cs="Arial"/>
          <w:color w:val="000000" w:themeColor="text1"/>
          <w:sz w:val="22"/>
          <w:lang w:val="es-ES_tradnl"/>
        </w:rPr>
        <w:t>prinunciado</w:t>
      </w:r>
      <w:proofErr w:type="spellEnd"/>
      <w:r w:rsidR="00D06ECB" w:rsidRPr="0060686E">
        <w:rPr>
          <w:rFonts w:ascii="Arial" w:hAnsi="Arial" w:cs="Arial"/>
          <w:color w:val="000000" w:themeColor="text1"/>
          <w:sz w:val="22"/>
          <w:lang w:val="es-ES_tradnl"/>
        </w:rPr>
        <w:t xml:space="preserve"> </w:t>
      </w:r>
      <w:r w:rsidR="00A56A79" w:rsidRPr="0060686E">
        <w:rPr>
          <w:rFonts w:ascii="Arial" w:hAnsi="Arial" w:cs="Arial"/>
          <w:color w:val="000000" w:themeColor="text1"/>
          <w:sz w:val="22"/>
          <w:lang w:val="es-ES_tradnl"/>
        </w:rPr>
        <w:t>sobre la</w:t>
      </w:r>
      <w:r w:rsidRPr="0060686E">
        <w:rPr>
          <w:rFonts w:ascii="Arial" w:hAnsi="Arial" w:cs="Arial"/>
          <w:color w:val="000000" w:themeColor="text1"/>
          <w:sz w:val="22"/>
          <w:lang w:val="es-ES_tradnl"/>
        </w:rPr>
        <w:t xml:space="preserve"> </w:t>
      </w:r>
      <w:r w:rsidR="00D05E28" w:rsidRPr="0060686E">
        <w:rPr>
          <w:rFonts w:ascii="Arial" w:hAnsi="Arial" w:cs="Arial"/>
          <w:color w:val="000000" w:themeColor="text1"/>
          <w:sz w:val="22"/>
          <w:lang w:val="es-ES_tradnl"/>
        </w:rPr>
        <w:t>aplicación de la Ley 996 de 2005</w:t>
      </w:r>
      <w:r w:rsidR="00D06ECB" w:rsidRPr="0060686E">
        <w:rPr>
          <w:rFonts w:ascii="Arial" w:hAnsi="Arial" w:cs="Arial"/>
          <w:color w:val="000000" w:themeColor="text1"/>
          <w:sz w:val="22"/>
          <w:lang w:val="es-ES_tradnl"/>
        </w:rPr>
        <w:t xml:space="preserve">, en materia contractual, en </w:t>
      </w:r>
      <w:r w:rsidRPr="0060686E">
        <w:rPr>
          <w:rFonts w:ascii="Arial" w:hAnsi="Arial" w:cs="Arial"/>
          <w:color w:val="000000" w:themeColor="text1"/>
          <w:sz w:val="22"/>
          <w:lang w:val="es-ES_tradnl"/>
        </w:rPr>
        <w:t>los conceptos con radicados:</w:t>
      </w:r>
      <w:r w:rsidR="003767EE" w:rsidRPr="0060686E">
        <w:rPr>
          <w:rFonts w:ascii="Arial" w:hAnsi="Arial" w:cs="Arial"/>
          <w:color w:val="000000" w:themeColor="text1"/>
          <w:sz w:val="22"/>
          <w:lang w:val="es-ES_tradnl"/>
        </w:rPr>
        <w:t xml:space="preserve"> </w:t>
      </w:r>
      <w:r w:rsidR="004D1653" w:rsidRPr="0060686E">
        <w:rPr>
          <w:rFonts w:ascii="Arial" w:hAnsi="Arial" w:cs="Arial"/>
          <w:color w:val="000000" w:themeColor="text1"/>
          <w:sz w:val="22"/>
          <w:lang w:val="es-ES_tradnl"/>
        </w:rPr>
        <w:t xml:space="preserve">4201912000004632 del 6 de agosto de 2019, </w:t>
      </w:r>
      <w:r w:rsidR="00A56A79" w:rsidRPr="0060686E">
        <w:rPr>
          <w:rFonts w:ascii="Arial" w:hAnsi="Arial" w:cs="Arial"/>
          <w:color w:val="000000" w:themeColor="text1"/>
          <w:sz w:val="22"/>
          <w:lang w:val="es-ES_tradnl"/>
        </w:rPr>
        <w:t>2201913000005655 del 8 de agosto de 2019,</w:t>
      </w:r>
      <w:r w:rsidR="00735A39" w:rsidRPr="0060686E">
        <w:rPr>
          <w:rFonts w:ascii="Arial" w:hAnsi="Arial" w:cs="Arial"/>
          <w:color w:val="000000" w:themeColor="text1"/>
          <w:sz w:val="22"/>
          <w:lang w:val="es-ES_tradnl"/>
        </w:rPr>
        <w:t xml:space="preserve"> </w:t>
      </w:r>
      <w:r w:rsidR="003767EE" w:rsidRPr="0060686E">
        <w:rPr>
          <w:rFonts w:ascii="Arial" w:hAnsi="Arial" w:cs="Arial"/>
          <w:color w:val="000000" w:themeColor="text1"/>
          <w:sz w:val="22"/>
          <w:lang w:val="es-ES_tradnl"/>
        </w:rPr>
        <w:t>2201913000006283 del 27 de agosto de 2019</w:t>
      </w:r>
      <w:r w:rsidR="00D047D3" w:rsidRPr="0060686E">
        <w:rPr>
          <w:rFonts w:ascii="Arial" w:hAnsi="Arial" w:cs="Arial"/>
          <w:color w:val="000000" w:themeColor="text1"/>
          <w:sz w:val="22"/>
          <w:lang w:val="es-ES_tradnl"/>
        </w:rPr>
        <w:t>, 2201913000006521  del 3 de septiembre de 2019,</w:t>
      </w:r>
      <w:r w:rsidR="00AD2E44" w:rsidRPr="0060686E">
        <w:rPr>
          <w:rFonts w:ascii="Arial" w:hAnsi="Arial" w:cs="Arial"/>
          <w:color w:val="000000" w:themeColor="text1"/>
          <w:sz w:val="22"/>
          <w:lang w:val="es-ES_tradnl"/>
        </w:rPr>
        <w:t xml:space="preserve"> </w:t>
      </w:r>
      <w:r w:rsidR="00D047D3" w:rsidRPr="0060686E">
        <w:rPr>
          <w:rFonts w:ascii="Arial" w:hAnsi="Arial" w:cs="Arial"/>
          <w:color w:val="000000" w:themeColor="text1"/>
          <w:sz w:val="22"/>
          <w:lang w:val="es-ES_tradnl"/>
        </w:rPr>
        <w:t xml:space="preserve"> </w:t>
      </w:r>
      <w:r w:rsidR="00AD2E44" w:rsidRPr="0060686E">
        <w:rPr>
          <w:rFonts w:ascii="Arial" w:hAnsi="Arial" w:cs="Arial"/>
          <w:color w:val="000000" w:themeColor="text1"/>
          <w:sz w:val="22"/>
          <w:lang w:val="es-ES_tradnl"/>
        </w:rPr>
        <w:t xml:space="preserve">2201913000006634 del 6 de septiembre de 2019, </w:t>
      </w:r>
      <w:r w:rsidR="004F5F6A" w:rsidRPr="0060686E">
        <w:rPr>
          <w:rFonts w:ascii="Arial" w:hAnsi="Arial" w:cs="Arial"/>
          <w:color w:val="000000" w:themeColor="text1"/>
          <w:sz w:val="22"/>
          <w:lang w:val="es-ES_tradnl"/>
        </w:rPr>
        <w:t xml:space="preserve">2201913000006639 del 9 de septiembre de 2019, </w:t>
      </w:r>
      <w:r w:rsidR="003528F0" w:rsidRPr="0060686E">
        <w:rPr>
          <w:rFonts w:ascii="Arial" w:hAnsi="Arial" w:cs="Arial"/>
          <w:sz w:val="22"/>
        </w:rPr>
        <w:t xml:space="preserve">2201913000007430 del 7 de octubre de 2019, </w:t>
      </w:r>
      <w:r w:rsidR="00C8219B" w:rsidRPr="0060686E">
        <w:rPr>
          <w:rFonts w:ascii="Arial" w:hAnsi="Arial" w:cs="Arial"/>
          <w:color w:val="000000" w:themeColor="text1"/>
          <w:sz w:val="22"/>
          <w:lang w:val="es-ES_tradnl"/>
        </w:rPr>
        <w:t xml:space="preserve">2201913000007565 del 10 de octubre de 2019, </w:t>
      </w:r>
      <w:r w:rsidR="00D63081" w:rsidRPr="0060686E">
        <w:rPr>
          <w:rFonts w:ascii="Arial" w:hAnsi="Arial" w:cs="Arial"/>
          <w:color w:val="000000" w:themeColor="text1"/>
          <w:sz w:val="22"/>
          <w:lang w:val="es-ES_tradnl"/>
        </w:rPr>
        <w:t>2201913000008259 del 6 de noviembre de 2019</w:t>
      </w:r>
      <w:r w:rsidR="00EB7B03" w:rsidRPr="0060686E">
        <w:rPr>
          <w:rFonts w:ascii="Arial" w:hAnsi="Arial" w:cs="Arial"/>
          <w:color w:val="000000" w:themeColor="text1"/>
          <w:sz w:val="22"/>
          <w:lang w:val="es-ES_tradnl"/>
        </w:rPr>
        <w:t>, C- 259 de 2 de junio de 2021, C-296 de 22 de junio de 2021</w:t>
      </w:r>
      <w:r w:rsidR="001F1B10" w:rsidRPr="0060686E">
        <w:rPr>
          <w:rFonts w:ascii="Arial" w:hAnsi="Arial" w:cs="Arial"/>
          <w:color w:val="000000" w:themeColor="text1"/>
          <w:sz w:val="22"/>
          <w:lang w:val="es-ES_tradnl"/>
        </w:rPr>
        <w:t>, C-337 de 13 de julio de 2021, C-350 de 16 de julio de 2021, C-374 de 16 de septiembre de 2021, C-376 de 26 de julio de 2021, C-381 de 2 de agosto de 2021, C-391 de 11 de agosto de 2021, C-396 de 13 de agosto de 2021, C-401 de 10 de agosto de 2021, C-439 de 27 de agosto de 2021</w:t>
      </w:r>
      <w:r w:rsidR="00D06ECB" w:rsidRPr="0060686E">
        <w:rPr>
          <w:rFonts w:ascii="Arial" w:hAnsi="Arial" w:cs="Arial"/>
          <w:color w:val="000000" w:themeColor="text1"/>
          <w:sz w:val="22"/>
          <w:lang w:val="es-ES_tradnl"/>
        </w:rPr>
        <w:t>,</w:t>
      </w:r>
      <w:r w:rsidR="001F1B10" w:rsidRPr="0060686E">
        <w:rPr>
          <w:rFonts w:ascii="Arial" w:hAnsi="Arial" w:cs="Arial"/>
          <w:color w:val="000000" w:themeColor="text1"/>
          <w:sz w:val="22"/>
          <w:lang w:val="es-ES_tradnl"/>
        </w:rPr>
        <w:t xml:space="preserve"> C-456 de 3 de septiembre de 2021, C</w:t>
      </w:r>
      <w:r w:rsidR="00D06ECB" w:rsidRPr="0060686E">
        <w:rPr>
          <w:rFonts w:ascii="Arial" w:hAnsi="Arial" w:cs="Arial"/>
          <w:color w:val="000000" w:themeColor="text1"/>
          <w:sz w:val="22"/>
          <w:lang w:val="es-ES_tradnl"/>
        </w:rPr>
        <w:t>–</w:t>
      </w:r>
      <w:r w:rsidR="001F1B10" w:rsidRPr="0060686E">
        <w:rPr>
          <w:rFonts w:ascii="Arial" w:hAnsi="Arial" w:cs="Arial"/>
          <w:color w:val="000000" w:themeColor="text1"/>
          <w:sz w:val="22"/>
          <w:lang w:val="es-ES_tradnl"/>
        </w:rPr>
        <w:t>477 de 6 de septiembre de 2021, C-481 de 9 de septiembre de 2021, C-494 de 17 de septiembre de 2021</w:t>
      </w:r>
      <w:r w:rsidR="00D06ECB" w:rsidRPr="0060686E">
        <w:rPr>
          <w:rFonts w:ascii="Arial" w:hAnsi="Arial" w:cs="Arial"/>
          <w:color w:val="000000" w:themeColor="text1"/>
          <w:sz w:val="22"/>
          <w:lang w:val="es-ES_tradnl"/>
        </w:rPr>
        <w:t>,</w:t>
      </w:r>
      <w:r w:rsidR="001F1B10" w:rsidRPr="0060686E">
        <w:rPr>
          <w:rFonts w:ascii="Arial" w:hAnsi="Arial" w:cs="Arial"/>
          <w:color w:val="000000" w:themeColor="text1"/>
          <w:sz w:val="22"/>
          <w:lang w:val="es-ES_tradnl"/>
        </w:rPr>
        <w:t xml:space="preserve"> </w:t>
      </w:r>
      <w:r w:rsidR="002E72D5" w:rsidRPr="0060686E">
        <w:rPr>
          <w:rFonts w:ascii="Arial" w:hAnsi="Arial" w:cs="Arial"/>
          <w:color w:val="000000" w:themeColor="text1"/>
          <w:sz w:val="22"/>
          <w:lang w:val="es-ES_tradnl"/>
        </w:rPr>
        <w:t>C-495 de 15 de septiembre de 2021</w:t>
      </w:r>
      <w:r w:rsidR="00D06ECB" w:rsidRPr="0060686E">
        <w:rPr>
          <w:rFonts w:ascii="Arial" w:hAnsi="Arial" w:cs="Arial"/>
          <w:color w:val="000000" w:themeColor="text1"/>
          <w:sz w:val="22"/>
          <w:lang w:val="es-ES_tradnl"/>
        </w:rPr>
        <w:t>,</w:t>
      </w:r>
      <w:r w:rsidR="002E72D5" w:rsidRPr="0060686E">
        <w:rPr>
          <w:rFonts w:ascii="Arial" w:hAnsi="Arial" w:cs="Arial"/>
          <w:color w:val="000000" w:themeColor="text1"/>
          <w:sz w:val="22"/>
          <w:lang w:val="es-ES_tradnl"/>
        </w:rPr>
        <w:t xml:space="preserve"> C- 497 de 15 de septiembre de 2021</w:t>
      </w:r>
      <w:r w:rsidR="00D06ECB" w:rsidRPr="0060686E">
        <w:rPr>
          <w:rFonts w:ascii="Arial" w:hAnsi="Arial" w:cs="Arial"/>
          <w:color w:val="000000" w:themeColor="text1"/>
          <w:sz w:val="22"/>
          <w:lang w:val="es-ES_tradnl"/>
        </w:rPr>
        <w:t xml:space="preserve"> y</w:t>
      </w:r>
      <w:r w:rsidR="002E72D5" w:rsidRPr="0060686E">
        <w:rPr>
          <w:rFonts w:ascii="Arial" w:hAnsi="Arial" w:cs="Arial"/>
          <w:color w:val="000000" w:themeColor="text1"/>
          <w:sz w:val="22"/>
          <w:lang w:val="es-ES_tradnl"/>
        </w:rPr>
        <w:t xml:space="preserve"> C- 499 de 15 de septiembre de 2021</w:t>
      </w:r>
      <w:r w:rsidR="0014735B" w:rsidRPr="0060686E">
        <w:rPr>
          <w:rFonts w:ascii="Arial" w:hAnsi="Arial" w:cs="Arial"/>
          <w:color w:val="000000" w:themeColor="text1"/>
          <w:sz w:val="22"/>
          <w:lang w:val="es-ES_tradnl"/>
        </w:rPr>
        <w:t>.</w:t>
      </w:r>
      <w:r w:rsidR="00EB7B03" w:rsidRPr="0060686E">
        <w:rPr>
          <w:rFonts w:ascii="Arial" w:hAnsi="Arial" w:cs="Arial"/>
          <w:color w:val="000000" w:themeColor="text1"/>
          <w:sz w:val="22"/>
          <w:lang w:val="es-ES_tradnl"/>
        </w:rPr>
        <w:t xml:space="preserve"> </w:t>
      </w:r>
      <w:r w:rsidR="00D05E28" w:rsidRPr="0060686E">
        <w:rPr>
          <w:rFonts w:ascii="Arial" w:hAnsi="Arial" w:cs="Arial"/>
          <w:color w:val="000000" w:themeColor="text1"/>
          <w:sz w:val="22"/>
          <w:lang w:val="es-ES_tradnl"/>
        </w:rPr>
        <w:t>La</w:t>
      </w:r>
      <w:r w:rsidR="00C01713" w:rsidRPr="0060686E">
        <w:rPr>
          <w:rFonts w:ascii="Arial" w:hAnsi="Arial" w:cs="Arial"/>
          <w:color w:val="000000" w:themeColor="text1"/>
          <w:sz w:val="22"/>
          <w:lang w:val="es-ES_tradnl"/>
        </w:rPr>
        <w:t>s</w:t>
      </w:r>
      <w:r w:rsidRPr="0060686E">
        <w:rPr>
          <w:rFonts w:ascii="Arial" w:hAnsi="Arial" w:cs="Arial"/>
          <w:color w:val="000000" w:themeColor="text1"/>
          <w:sz w:val="22"/>
          <w:lang w:val="es-ES_tradnl"/>
        </w:rPr>
        <w:t xml:space="preserve"> tesis desarrollada</w:t>
      </w:r>
      <w:r w:rsidR="00C01713" w:rsidRPr="0060686E">
        <w:rPr>
          <w:rFonts w:ascii="Arial" w:hAnsi="Arial" w:cs="Arial"/>
          <w:color w:val="000000" w:themeColor="text1"/>
          <w:sz w:val="22"/>
          <w:lang w:val="es-ES_tradnl"/>
        </w:rPr>
        <w:t>s</w:t>
      </w:r>
      <w:r w:rsidRPr="0060686E">
        <w:rPr>
          <w:rFonts w:ascii="Arial" w:hAnsi="Arial" w:cs="Arial"/>
          <w:color w:val="000000" w:themeColor="text1"/>
          <w:sz w:val="22"/>
          <w:lang w:val="es-ES_tradnl"/>
        </w:rPr>
        <w:t xml:space="preserve"> en estos conceptos </w:t>
      </w:r>
      <w:r w:rsidR="002C5F45" w:rsidRPr="0060686E">
        <w:rPr>
          <w:rFonts w:ascii="Arial" w:hAnsi="Arial" w:cs="Arial"/>
          <w:color w:val="000000" w:themeColor="text1"/>
          <w:sz w:val="22"/>
          <w:lang w:val="es-ES_tradnl"/>
        </w:rPr>
        <w:t>se reiteran y se complementan</w:t>
      </w:r>
      <w:r w:rsidR="00815027" w:rsidRPr="0060686E">
        <w:rPr>
          <w:rFonts w:ascii="Arial" w:hAnsi="Arial" w:cs="Arial"/>
          <w:color w:val="000000" w:themeColor="text1"/>
          <w:sz w:val="22"/>
          <w:lang w:val="es-ES_tradnl"/>
        </w:rPr>
        <w:t xml:space="preserve"> a continuación </w:t>
      </w:r>
      <w:r w:rsidRPr="0060686E">
        <w:rPr>
          <w:rFonts w:ascii="Arial" w:hAnsi="Arial" w:cs="Arial"/>
          <w:color w:val="000000" w:themeColor="text1"/>
          <w:sz w:val="22"/>
          <w:lang w:val="es-ES_tradnl"/>
        </w:rPr>
        <w:t xml:space="preserve">con </w:t>
      </w:r>
      <w:r w:rsidR="00D05E28" w:rsidRPr="0060686E">
        <w:rPr>
          <w:rFonts w:ascii="Arial" w:hAnsi="Arial" w:cs="Arial"/>
          <w:color w:val="000000" w:themeColor="text1"/>
          <w:sz w:val="22"/>
          <w:lang w:val="es-ES_tradnl"/>
        </w:rPr>
        <w:t>la respuesta a</w:t>
      </w:r>
      <w:r w:rsidRPr="0060686E">
        <w:rPr>
          <w:rFonts w:ascii="Arial" w:hAnsi="Arial" w:cs="Arial"/>
          <w:color w:val="000000" w:themeColor="text1"/>
          <w:sz w:val="22"/>
          <w:lang w:val="es-ES_tradnl"/>
        </w:rPr>
        <w:t xml:space="preserve"> la consulta objeto de análisis</w:t>
      </w:r>
      <w:r w:rsidR="002C5F45" w:rsidRPr="0060686E">
        <w:rPr>
          <w:rFonts w:ascii="Arial" w:hAnsi="Arial" w:cs="Arial"/>
          <w:color w:val="000000" w:themeColor="text1"/>
          <w:sz w:val="22"/>
          <w:lang w:val="es-ES_tradnl"/>
        </w:rPr>
        <w:t>, la cual se realizará conforme a las disposiciones vigentes.</w:t>
      </w:r>
    </w:p>
    <w:p w14:paraId="3F6AE1E9" w14:textId="5D8142AE" w:rsidR="00A8268C" w:rsidRPr="0060686E" w:rsidRDefault="00577EF5" w:rsidP="0012687C">
      <w:pPr>
        <w:tabs>
          <w:tab w:val="left" w:pos="426"/>
        </w:tabs>
        <w:rPr>
          <w:rFonts w:ascii="Arial" w:eastAsia="Calibri" w:hAnsi="Arial" w:cs="Arial"/>
          <w:b/>
          <w:bCs/>
          <w:sz w:val="22"/>
          <w:lang w:val="es-CO"/>
        </w:rPr>
      </w:pPr>
      <w:r w:rsidRPr="0060686E">
        <w:rPr>
          <w:rFonts w:ascii="Arial" w:eastAsia="Calibri" w:hAnsi="Arial" w:cs="Arial"/>
          <w:b/>
          <w:bCs/>
          <w:sz w:val="22"/>
          <w:lang w:val="es-CO"/>
        </w:rPr>
        <w:t>2.1 D</w:t>
      </w:r>
      <w:r w:rsidR="00EB7836" w:rsidRPr="0060686E">
        <w:rPr>
          <w:rFonts w:ascii="Arial" w:eastAsia="Calibri" w:hAnsi="Arial" w:cs="Arial"/>
          <w:b/>
          <w:bCs/>
          <w:sz w:val="22"/>
          <w:lang w:val="es-CO"/>
        </w:rPr>
        <w:t>efinición y finalidad de la Ley de Garantías Electorales</w:t>
      </w:r>
    </w:p>
    <w:p w14:paraId="489BD8A1" w14:textId="0630CFDD" w:rsidR="00B51689" w:rsidRPr="0060686E" w:rsidRDefault="00A8268C" w:rsidP="00FE32A0">
      <w:pPr>
        <w:tabs>
          <w:tab w:val="left" w:pos="426"/>
        </w:tabs>
        <w:spacing w:after="120"/>
        <w:rPr>
          <w:rFonts w:ascii="Arial" w:eastAsia="Calibri" w:hAnsi="Arial" w:cs="Arial"/>
          <w:bCs/>
          <w:sz w:val="22"/>
          <w:lang w:val="es-CO"/>
        </w:rPr>
      </w:pPr>
      <w:r w:rsidRPr="0060686E">
        <w:rPr>
          <w:rFonts w:ascii="Arial" w:eastAsia="Calibri" w:hAnsi="Arial" w:cs="Arial"/>
          <w:bCs/>
          <w:sz w:val="22"/>
          <w:lang w:val="es-CO"/>
        </w:rPr>
        <w:t>El ordenamiento jurídico colombiano</w:t>
      </w:r>
      <w:r w:rsidR="009604AE" w:rsidRPr="0060686E">
        <w:rPr>
          <w:rFonts w:ascii="Arial" w:eastAsia="Calibri" w:hAnsi="Arial" w:cs="Arial"/>
          <w:bCs/>
          <w:sz w:val="22"/>
          <w:lang w:val="es-CO"/>
        </w:rPr>
        <w:t xml:space="preserve"> </w:t>
      </w:r>
      <w:r w:rsidR="00B51689" w:rsidRPr="0060686E">
        <w:rPr>
          <w:rFonts w:ascii="Arial" w:eastAsia="Calibri" w:hAnsi="Arial" w:cs="Arial"/>
          <w:bCs/>
          <w:sz w:val="22"/>
          <w:lang w:val="es-CO"/>
        </w:rPr>
        <w:t xml:space="preserve">contempla previsiones claras para evitar </w:t>
      </w:r>
      <w:r w:rsidR="00E008F1" w:rsidRPr="0060686E">
        <w:rPr>
          <w:rFonts w:ascii="Arial" w:eastAsia="Calibri" w:hAnsi="Arial" w:cs="Arial"/>
          <w:bCs/>
          <w:sz w:val="22"/>
          <w:lang w:val="es-CO"/>
        </w:rPr>
        <w:t>la obtención de</w:t>
      </w:r>
      <w:r w:rsidR="00B51689" w:rsidRPr="0060686E">
        <w:rPr>
          <w:rFonts w:ascii="Arial" w:eastAsia="Calibri" w:hAnsi="Arial" w:cs="Arial"/>
          <w:bCs/>
          <w:sz w:val="22"/>
          <w:lang w:val="es-CO"/>
        </w:rPr>
        <w:t xml:space="preserve"> </w:t>
      </w:r>
      <w:r w:rsidR="00E008F1" w:rsidRPr="0060686E">
        <w:rPr>
          <w:rFonts w:ascii="Arial" w:eastAsia="Calibri" w:hAnsi="Arial" w:cs="Arial"/>
          <w:bCs/>
          <w:sz w:val="22"/>
          <w:lang w:val="es-CO"/>
        </w:rPr>
        <w:t>beneficios</w:t>
      </w:r>
      <w:r w:rsidR="00B51689" w:rsidRPr="0060686E">
        <w:rPr>
          <w:rFonts w:ascii="Arial" w:eastAsia="Calibri" w:hAnsi="Arial" w:cs="Arial"/>
          <w:bCs/>
          <w:sz w:val="22"/>
          <w:lang w:val="es-CO"/>
        </w:rPr>
        <w:t xml:space="preserve"> </w:t>
      </w:r>
      <w:r w:rsidR="00E008F1" w:rsidRPr="0060686E">
        <w:rPr>
          <w:rFonts w:ascii="Arial" w:eastAsia="Calibri" w:hAnsi="Arial" w:cs="Arial"/>
          <w:bCs/>
          <w:sz w:val="22"/>
          <w:lang w:val="es-CO"/>
        </w:rPr>
        <w:t>personales</w:t>
      </w:r>
      <w:r w:rsidR="00B51689" w:rsidRPr="0060686E">
        <w:rPr>
          <w:rFonts w:ascii="Arial" w:eastAsia="Calibri" w:hAnsi="Arial" w:cs="Arial"/>
          <w:bCs/>
          <w:sz w:val="22"/>
          <w:lang w:val="es-CO"/>
        </w:rPr>
        <w:t xml:space="preserve"> en asuntos propios de la administración pública, </w:t>
      </w:r>
      <w:r w:rsidR="00B51689" w:rsidRPr="0060686E">
        <w:rPr>
          <w:rFonts w:ascii="Arial" w:eastAsia="Calibri" w:hAnsi="Arial" w:cs="Arial"/>
          <w:bCs/>
          <w:i/>
          <w:iCs/>
          <w:sz w:val="22"/>
          <w:lang w:val="es-CO"/>
        </w:rPr>
        <w:t>verbigracia</w:t>
      </w:r>
      <w:r w:rsidR="00B51689" w:rsidRPr="0060686E">
        <w:rPr>
          <w:rFonts w:ascii="Arial" w:eastAsia="Calibri" w:hAnsi="Arial" w:cs="Arial"/>
          <w:bCs/>
          <w:sz w:val="22"/>
          <w:lang w:val="es-CO"/>
        </w:rPr>
        <w:t xml:space="preserve">, el artículo 127 de la Constitución Política </w:t>
      </w:r>
      <w:r w:rsidR="00E008F1" w:rsidRPr="0060686E">
        <w:rPr>
          <w:rFonts w:ascii="Arial" w:eastAsia="Calibri" w:hAnsi="Arial" w:cs="Arial"/>
          <w:bCs/>
          <w:sz w:val="22"/>
          <w:lang w:val="es-CO"/>
        </w:rPr>
        <w:t>establece una prohibición contractual a los servidores</w:t>
      </w:r>
      <w:r w:rsidR="00B51689" w:rsidRPr="0060686E">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60686E">
        <w:rPr>
          <w:rStyle w:val="Refdenotaalpie"/>
          <w:rFonts w:ascii="Arial" w:eastAsia="Calibri" w:hAnsi="Arial" w:cs="Arial"/>
          <w:bCs/>
          <w:sz w:val="22"/>
          <w:lang w:val="es-CO"/>
        </w:rPr>
        <w:footnoteReference w:id="1"/>
      </w:r>
      <w:r w:rsidR="00B51689" w:rsidRPr="0060686E">
        <w:rPr>
          <w:rFonts w:ascii="Arial" w:eastAsia="Calibri" w:hAnsi="Arial" w:cs="Arial"/>
          <w:bCs/>
          <w:sz w:val="22"/>
          <w:lang w:val="es-CO"/>
        </w:rPr>
        <w:t xml:space="preserve">. </w:t>
      </w:r>
    </w:p>
    <w:p w14:paraId="2A229386" w14:textId="3C48233B" w:rsidR="00930831" w:rsidRPr="0060686E" w:rsidRDefault="004E0D32" w:rsidP="00FE32A0">
      <w:pPr>
        <w:tabs>
          <w:tab w:val="left" w:pos="426"/>
        </w:tabs>
        <w:spacing w:after="120"/>
        <w:rPr>
          <w:rFonts w:ascii="Arial" w:eastAsia="Times New Roman" w:hAnsi="Arial" w:cs="Arial"/>
          <w:bCs/>
          <w:color w:val="000000"/>
          <w:sz w:val="22"/>
          <w:lang w:eastAsia="es-CO"/>
        </w:rPr>
      </w:pPr>
      <w:r w:rsidRPr="0060686E">
        <w:rPr>
          <w:rFonts w:ascii="Arial" w:eastAsia="Times New Roman" w:hAnsi="Arial" w:cs="Arial"/>
          <w:bCs/>
          <w:color w:val="000000"/>
          <w:sz w:val="22"/>
          <w:lang w:val="es-CO" w:eastAsia="es-CO"/>
        </w:rPr>
        <w:lastRenderedPageBreak/>
        <w:tab/>
      </w:r>
      <w:r w:rsidRPr="0060686E">
        <w:rPr>
          <w:rFonts w:ascii="Arial" w:eastAsia="Times New Roman" w:hAnsi="Arial" w:cs="Arial"/>
          <w:bCs/>
          <w:color w:val="000000"/>
          <w:sz w:val="22"/>
          <w:lang w:val="es-CO" w:eastAsia="es-CO"/>
        </w:rPr>
        <w:tab/>
      </w:r>
      <w:r w:rsidR="00847B6B" w:rsidRPr="0060686E">
        <w:rPr>
          <w:rFonts w:ascii="Arial" w:eastAsia="Times New Roman" w:hAnsi="Arial" w:cs="Arial"/>
          <w:bCs/>
          <w:color w:val="000000"/>
          <w:sz w:val="22"/>
          <w:lang w:val="es-CO" w:eastAsia="es-CO"/>
        </w:rPr>
        <w:t>En el mismo sentido</w:t>
      </w:r>
      <w:r w:rsidR="003833D7" w:rsidRPr="0060686E">
        <w:rPr>
          <w:rFonts w:ascii="Arial" w:eastAsia="Times New Roman" w:hAnsi="Arial" w:cs="Arial"/>
          <w:bCs/>
          <w:color w:val="000000"/>
          <w:sz w:val="22"/>
          <w:lang w:eastAsia="es-CO"/>
        </w:rPr>
        <w:t>, l</w:t>
      </w:r>
      <w:r w:rsidR="00A8268C" w:rsidRPr="0060686E">
        <w:rPr>
          <w:rFonts w:ascii="Arial" w:eastAsia="Times New Roman" w:hAnsi="Arial" w:cs="Arial"/>
          <w:bCs/>
          <w:color w:val="000000"/>
          <w:sz w:val="22"/>
          <w:lang w:eastAsia="es-CO"/>
        </w:rPr>
        <w:t>a Ley 996 de 2005 se suma al andamiaje de orden constitucional y legal que se ha ocupado de evitar la injerencia inadecuada de intereses particulares en el ejercicio de la función pública</w:t>
      </w:r>
      <w:r w:rsidR="002E29EE" w:rsidRPr="0060686E">
        <w:rPr>
          <w:rFonts w:ascii="Arial" w:eastAsia="Times New Roman" w:hAnsi="Arial" w:cs="Arial"/>
          <w:bCs/>
          <w:color w:val="000000"/>
          <w:sz w:val="22"/>
          <w:lang w:eastAsia="es-CO"/>
        </w:rPr>
        <w:t>.</w:t>
      </w:r>
      <w:r w:rsidR="00D63081" w:rsidRPr="0060686E">
        <w:rPr>
          <w:rFonts w:ascii="Arial" w:eastAsia="Times New Roman" w:hAnsi="Arial" w:cs="Arial"/>
          <w:bCs/>
          <w:color w:val="000000"/>
          <w:sz w:val="22"/>
          <w:lang w:eastAsia="es-CO"/>
        </w:rPr>
        <w:t xml:space="preserve"> </w:t>
      </w:r>
      <w:r w:rsidR="002E29EE" w:rsidRPr="0060686E">
        <w:rPr>
          <w:rFonts w:ascii="Arial" w:eastAsia="Times New Roman" w:hAnsi="Arial" w:cs="Arial"/>
          <w:bCs/>
          <w:color w:val="000000"/>
          <w:sz w:val="22"/>
          <w:lang w:eastAsia="es-CO"/>
        </w:rPr>
        <w:t>R</w:t>
      </w:r>
      <w:r w:rsidR="00D63081" w:rsidRPr="0060686E">
        <w:rPr>
          <w:rFonts w:ascii="Arial" w:eastAsia="Times New Roman" w:hAnsi="Arial" w:cs="Arial"/>
          <w:bCs/>
          <w:color w:val="000000"/>
          <w:sz w:val="22"/>
          <w:lang w:eastAsia="es-CO"/>
        </w:rPr>
        <w:t xml:space="preserve">especto a su finalidad, </w:t>
      </w:r>
      <w:r w:rsidR="00B346CC" w:rsidRPr="0060686E">
        <w:rPr>
          <w:rFonts w:ascii="Arial" w:eastAsia="Times New Roman" w:hAnsi="Arial" w:cs="Arial"/>
          <w:bCs/>
          <w:color w:val="000000"/>
          <w:sz w:val="22"/>
          <w:lang w:eastAsia="es-CO"/>
        </w:rPr>
        <w:t>en la</w:t>
      </w:r>
      <w:r w:rsidR="00BD4104" w:rsidRPr="0060686E">
        <w:rPr>
          <w:rFonts w:ascii="Arial" w:eastAsia="Times New Roman" w:hAnsi="Arial" w:cs="Arial"/>
          <w:bCs/>
          <w:color w:val="000000"/>
          <w:sz w:val="22"/>
          <w:lang w:eastAsia="es-CO"/>
        </w:rPr>
        <w:t xml:space="preserve"> Gaceta</w:t>
      </w:r>
      <w:r w:rsidR="00C5659C" w:rsidRPr="0060686E">
        <w:rPr>
          <w:rFonts w:ascii="Arial" w:eastAsia="Times New Roman" w:hAnsi="Arial" w:cs="Arial"/>
          <w:bCs/>
          <w:color w:val="000000"/>
          <w:sz w:val="22"/>
          <w:lang w:eastAsia="es-CO"/>
        </w:rPr>
        <w:t xml:space="preserve"> del Congreso</w:t>
      </w:r>
      <w:r w:rsidR="00BD4104" w:rsidRPr="0060686E">
        <w:rPr>
          <w:rFonts w:ascii="Arial" w:eastAsia="Times New Roman" w:hAnsi="Arial" w:cs="Arial"/>
          <w:bCs/>
          <w:color w:val="000000"/>
          <w:sz w:val="22"/>
          <w:lang w:eastAsia="es-CO"/>
        </w:rPr>
        <w:t xml:space="preserve"> </w:t>
      </w:r>
      <w:r w:rsidR="001B59D6" w:rsidRPr="0060686E">
        <w:rPr>
          <w:rFonts w:ascii="Arial" w:eastAsia="Times New Roman" w:hAnsi="Arial" w:cs="Arial"/>
          <w:bCs/>
          <w:color w:val="000000"/>
          <w:sz w:val="22"/>
          <w:lang w:eastAsia="es-CO"/>
        </w:rPr>
        <w:t xml:space="preserve">de la República </w:t>
      </w:r>
      <w:r w:rsidR="00BD4104" w:rsidRPr="0060686E">
        <w:rPr>
          <w:rFonts w:ascii="Arial" w:eastAsia="Times New Roman" w:hAnsi="Arial" w:cs="Arial"/>
          <w:bCs/>
          <w:color w:val="000000"/>
          <w:sz w:val="22"/>
          <w:lang w:eastAsia="es-CO"/>
        </w:rPr>
        <w:t>No. 71 del 2005</w:t>
      </w:r>
      <w:r w:rsidR="00B346CC" w:rsidRPr="0060686E">
        <w:rPr>
          <w:rFonts w:ascii="Arial" w:eastAsia="Times New Roman" w:hAnsi="Arial" w:cs="Arial"/>
          <w:bCs/>
          <w:color w:val="000000"/>
          <w:sz w:val="22"/>
          <w:lang w:eastAsia="es-CO"/>
        </w:rPr>
        <w:t xml:space="preserve"> se observa que</w:t>
      </w:r>
      <w:r w:rsidR="00BD4104" w:rsidRPr="0060686E">
        <w:rPr>
          <w:rFonts w:ascii="Arial" w:eastAsia="Times New Roman" w:hAnsi="Arial" w:cs="Arial"/>
          <w:bCs/>
          <w:color w:val="000000"/>
          <w:sz w:val="22"/>
          <w:lang w:eastAsia="es-CO"/>
        </w:rPr>
        <w:t xml:space="preserve"> tiene como propósito evitar cualquier tipo de arbitrariedad, de ventaja injustificada, de uso irregular de los recursos del Estado en las campañas o falta de garantías en la elección presidencial,</w:t>
      </w:r>
      <w:r w:rsidR="00A8268C" w:rsidRPr="0060686E">
        <w:rPr>
          <w:rFonts w:ascii="Arial" w:eastAsia="Times New Roman" w:hAnsi="Arial" w:cs="Arial"/>
          <w:bCs/>
          <w:color w:val="000000"/>
          <w:sz w:val="22"/>
          <w:lang w:eastAsia="es-CO"/>
        </w:rPr>
        <w:t xml:space="preserve"> introduciendo en el ordenamiento jurídico limitaciones para realizar nombramientos, postulaciones, contrataciones </w:t>
      </w:r>
      <w:r w:rsidR="002E29EE" w:rsidRPr="0060686E">
        <w:rPr>
          <w:rFonts w:ascii="Arial" w:eastAsia="Times New Roman" w:hAnsi="Arial" w:cs="Arial"/>
          <w:bCs/>
          <w:color w:val="000000"/>
          <w:sz w:val="22"/>
          <w:lang w:eastAsia="es-CO"/>
        </w:rPr>
        <w:t>y otro tipo de</w:t>
      </w:r>
      <w:r w:rsidR="00A8268C" w:rsidRPr="0060686E">
        <w:rPr>
          <w:rFonts w:ascii="Arial" w:eastAsia="Times New Roman" w:hAnsi="Arial" w:cs="Arial"/>
          <w:bCs/>
          <w:color w:val="000000"/>
          <w:sz w:val="22"/>
          <w:lang w:eastAsia="es-CO"/>
        </w:rPr>
        <w:t xml:space="preserve"> </w:t>
      </w:r>
      <w:r w:rsidR="002E29EE" w:rsidRPr="0060686E">
        <w:rPr>
          <w:rFonts w:ascii="Arial" w:eastAsia="Times New Roman" w:hAnsi="Arial" w:cs="Arial"/>
          <w:bCs/>
          <w:color w:val="000000"/>
          <w:sz w:val="22"/>
          <w:lang w:eastAsia="es-CO"/>
        </w:rPr>
        <w:t xml:space="preserve">actuaciones </w:t>
      </w:r>
      <w:r w:rsidR="00A8268C" w:rsidRPr="0060686E">
        <w:rPr>
          <w:rFonts w:ascii="Arial" w:eastAsia="Times New Roman" w:hAnsi="Arial" w:cs="Arial"/>
          <w:bCs/>
          <w:color w:val="000000"/>
          <w:sz w:val="22"/>
          <w:lang w:eastAsia="es-CO"/>
        </w:rPr>
        <w:t>que implique</w:t>
      </w:r>
      <w:r w:rsidR="002E29EE" w:rsidRPr="0060686E">
        <w:rPr>
          <w:rFonts w:ascii="Arial" w:eastAsia="Times New Roman" w:hAnsi="Arial" w:cs="Arial"/>
          <w:bCs/>
          <w:color w:val="000000"/>
          <w:sz w:val="22"/>
          <w:lang w:eastAsia="es-CO"/>
        </w:rPr>
        <w:t>n</w:t>
      </w:r>
      <w:r w:rsidR="00A8268C" w:rsidRPr="0060686E">
        <w:rPr>
          <w:rFonts w:ascii="Arial" w:eastAsia="Times New Roman" w:hAnsi="Arial" w:cs="Arial"/>
          <w:bCs/>
          <w:color w:val="000000"/>
          <w:sz w:val="22"/>
          <w:lang w:eastAsia="es-CO"/>
        </w:rPr>
        <w:t xml:space="preserve"> </w:t>
      </w:r>
      <w:r w:rsidR="002E29EE" w:rsidRPr="0060686E">
        <w:rPr>
          <w:rFonts w:ascii="Arial" w:eastAsia="Times New Roman" w:hAnsi="Arial" w:cs="Arial"/>
          <w:bCs/>
          <w:color w:val="000000"/>
          <w:sz w:val="22"/>
          <w:lang w:eastAsia="es-CO"/>
        </w:rPr>
        <w:t>destinar</w:t>
      </w:r>
      <w:r w:rsidR="00A8268C" w:rsidRPr="0060686E">
        <w:rPr>
          <w:rFonts w:ascii="Arial" w:eastAsia="Times New Roman" w:hAnsi="Arial" w:cs="Arial"/>
          <w:bCs/>
          <w:color w:val="000000"/>
          <w:sz w:val="22"/>
          <w:lang w:eastAsia="es-CO"/>
        </w:rPr>
        <w:t xml:space="preserve"> recursos públicos bajo el devenir propio de las entidades estatales</w:t>
      </w:r>
      <w:r w:rsidR="00D63081" w:rsidRPr="0060686E">
        <w:rPr>
          <w:rFonts w:ascii="Arial" w:eastAsia="Times New Roman" w:hAnsi="Arial" w:cs="Arial"/>
          <w:bCs/>
          <w:color w:val="000000"/>
          <w:sz w:val="22"/>
          <w:lang w:eastAsia="es-CO"/>
        </w:rPr>
        <w:t>.</w:t>
      </w:r>
      <w:r w:rsidR="000B680C" w:rsidRPr="0060686E">
        <w:rPr>
          <w:rFonts w:ascii="Arial" w:eastAsia="Calibri" w:hAnsi="Arial" w:cs="Arial"/>
          <w:noProof/>
          <w:sz w:val="22"/>
          <w:lang w:val="es-ES_tradnl"/>
        </w:rPr>
        <w:t xml:space="preserve"> </w:t>
      </w:r>
      <w:r w:rsidR="00847B6B" w:rsidRPr="0060686E">
        <w:rPr>
          <w:rFonts w:ascii="Arial" w:eastAsia="Times New Roman" w:hAnsi="Arial" w:cs="Arial"/>
          <w:bCs/>
          <w:color w:val="000000"/>
          <w:sz w:val="22"/>
          <w:lang w:eastAsia="es-CO"/>
        </w:rPr>
        <w:t xml:space="preserve">En </w:t>
      </w:r>
      <w:r w:rsidR="00EB7836" w:rsidRPr="0060686E">
        <w:rPr>
          <w:rFonts w:ascii="Arial" w:eastAsia="Times New Roman" w:hAnsi="Arial" w:cs="Arial"/>
          <w:bCs/>
          <w:color w:val="000000"/>
          <w:sz w:val="22"/>
          <w:lang w:eastAsia="es-CO"/>
        </w:rPr>
        <w:t xml:space="preserve">armonía con lo anterior, </w:t>
      </w:r>
      <w:r w:rsidR="00847B6B" w:rsidRPr="0060686E">
        <w:rPr>
          <w:rFonts w:ascii="Arial" w:eastAsia="Times New Roman" w:hAnsi="Arial" w:cs="Arial"/>
          <w:bCs/>
          <w:color w:val="000000"/>
          <w:sz w:val="22"/>
          <w:lang w:eastAsia="es-CO"/>
        </w:rPr>
        <w:t>l</w:t>
      </w:r>
      <w:r w:rsidR="00930831" w:rsidRPr="0060686E">
        <w:rPr>
          <w:rFonts w:ascii="Arial" w:eastAsia="Times New Roman" w:hAnsi="Arial" w:cs="Arial"/>
          <w:bCs/>
          <w:color w:val="000000"/>
          <w:sz w:val="22"/>
          <w:lang w:eastAsia="es-CO"/>
        </w:rPr>
        <w:t>a Corte Constitucional ha abordado la definición y señalado los propósitos de una ley de garantías, así:</w:t>
      </w:r>
    </w:p>
    <w:p w14:paraId="2AE4C60A" w14:textId="77777777" w:rsidR="000B680C" w:rsidRPr="0060686E" w:rsidRDefault="000B680C" w:rsidP="000B680C">
      <w:pPr>
        <w:spacing w:after="0" w:line="240" w:lineRule="auto"/>
        <w:ind w:right="709"/>
        <w:rPr>
          <w:rFonts w:ascii="Arial" w:eastAsia="Times New Roman" w:hAnsi="Arial" w:cs="Arial"/>
          <w:sz w:val="21"/>
          <w:szCs w:val="21"/>
          <w:lang w:val="es-ES" w:eastAsia="es-CO"/>
        </w:rPr>
      </w:pPr>
    </w:p>
    <w:p w14:paraId="1EC4C745" w14:textId="734BA5A0" w:rsidR="00930831" w:rsidRPr="0060686E" w:rsidRDefault="000B680C" w:rsidP="00890C2D">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sz w:val="21"/>
          <w:szCs w:val="21"/>
          <w:lang w:val="es-ES" w:eastAsia="es-CO"/>
        </w:rPr>
        <w:t>[…]</w:t>
      </w:r>
      <w:r w:rsidR="006D5176" w:rsidRPr="0060686E">
        <w:rPr>
          <w:rFonts w:ascii="Arial" w:eastAsia="Times New Roman" w:hAnsi="Arial" w:cs="Arial"/>
          <w:sz w:val="21"/>
          <w:szCs w:val="21"/>
          <w:lang w:val="es-ES" w:eastAsia="es-CO"/>
        </w:rPr>
        <w:t xml:space="preserve"> </w:t>
      </w:r>
      <w:r w:rsidR="00930831" w:rsidRPr="0060686E">
        <w:rPr>
          <w:rFonts w:ascii="Arial" w:eastAsia="Times New Roman" w:hAnsi="Arial"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60686E" w:rsidRDefault="00930831" w:rsidP="00890C2D">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 xml:space="preserve">[…] </w:t>
      </w:r>
    </w:p>
    <w:p w14:paraId="4AEB132E" w14:textId="6FE7B21F" w:rsidR="00930831" w:rsidRPr="0060686E" w:rsidRDefault="00930831" w:rsidP="00890C2D">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60686E">
        <w:rPr>
          <w:rFonts w:ascii="Arial" w:eastAsia="Times New Roman" w:hAnsi="Arial" w:cs="Arial"/>
          <w:bCs/>
          <w:color w:val="000000"/>
          <w:sz w:val="21"/>
          <w:szCs w:val="21"/>
          <w:lang w:eastAsia="es-CO"/>
        </w:rPr>
        <w:t>ómico de los que se lo disputan</w:t>
      </w:r>
      <w:r w:rsidRPr="0060686E">
        <w:rPr>
          <w:rFonts w:ascii="Arial" w:eastAsia="Times New Roman" w:hAnsi="Arial" w:cs="Arial"/>
          <w:bCs/>
          <w:color w:val="000000"/>
          <w:sz w:val="21"/>
          <w:szCs w:val="21"/>
          <w:lang w:eastAsia="es-CO"/>
        </w:rPr>
        <w:t>.</w:t>
      </w:r>
    </w:p>
    <w:p w14:paraId="0512AD18" w14:textId="77777777" w:rsidR="00535A7F" w:rsidRPr="0060686E" w:rsidRDefault="00535A7F" w:rsidP="00890C2D">
      <w:pPr>
        <w:spacing w:after="0" w:line="240" w:lineRule="auto"/>
        <w:ind w:left="709" w:right="709"/>
        <w:rPr>
          <w:rFonts w:ascii="Arial" w:eastAsia="Times New Roman" w:hAnsi="Arial" w:cs="Arial"/>
          <w:bCs/>
          <w:color w:val="000000"/>
          <w:sz w:val="21"/>
          <w:szCs w:val="21"/>
          <w:lang w:eastAsia="es-CO"/>
        </w:rPr>
      </w:pPr>
    </w:p>
    <w:p w14:paraId="10D1BAF5" w14:textId="57319D89" w:rsidR="004E0D32" w:rsidRPr="0060686E" w:rsidRDefault="004E0D32" w:rsidP="004E0D32">
      <w:pPr>
        <w:spacing w:after="120"/>
        <w:ind w:firstLine="709"/>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 xml:space="preserve">Siguiendo </w:t>
      </w:r>
      <w:r w:rsidR="00921A5A" w:rsidRPr="0060686E">
        <w:rPr>
          <w:rFonts w:ascii="Arial" w:eastAsia="Times New Roman" w:hAnsi="Arial" w:cs="Arial"/>
          <w:bCs/>
          <w:color w:val="000000"/>
          <w:sz w:val="22"/>
          <w:lang w:eastAsia="es-CO"/>
        </w:rPr>
        <w:t>l</w:t>
      </w:r>
      <w:r w:rsidR="006B389C" w:rsidRPr="0060686E">
        <w:rPr>
          <w:rFonts w:ascii="Arial" w:eastAsia="Times New Roman" w:hAnsi="Arial" w:cs="Arial"/>
          <w:bCs/>
          <w:color w:val="000000"/>
          <w:sz w:val="22"/>
          <w:lang w:eastAsia="es-CO"/>
        </w:rPr>
        <w:t>a</w:t>
      </w:r>
      <w:r w:rsidR="00921A5A" w:rsidRPr="0060686E">
        <w:rPr>
          <w:rFonts w:ascii="Arial" w:eastAsia="Times New Roman" w:hAnsi="Arial" w:cs="Arial"/>
          <w:bCs/>
          <w:color w:val="000000"/>
          <w:sz w:val="22"/>
          <w:lang w:eastAsia="es-CO"/>
        </w:rPr>
        <w:t xml:space="preserve"> finalidad mencionad</w:t>
      </w:r>
      <w:r w:rsidR="006B389C" w:rsidRPr="0060686E">
        <w:rPr>
          <w:rFonts w:ascii="Arial" w:eastAsia="Times New Roman" w:hAnsi="Arial" w:cs="Arial"/>
          <w:bCs/>
          <w:color w:val="000000"/>
          <w:sz w:val="22"/>
          <w:lang w:eastAsia="es-CO"/>
        </w:rPr>
        <w:t>a</w:t>
      </w:r>
      <w:r w:rsidRPr="0060686E">
        <w:rPr>
          <w:rFonts w:ascii="Arial" w:eastAsia="Times New Roman" w:hAnsi="Arial" w:cs="Arial"/>
          <w:bCs/>
          <w:color w:val="000000"/>
          <w:sz w:val="22"/>
          <w:lang w:eastAsia="es-CO"/>
        </w:rPr>
        <w:t>, la Ley de Garantías Electorales establece el marco jurídico para el desarrollo de las elecciones, procurando condiciones de igualdad y transparencia para los aspirantes</w:t>
      </w:r>
      <w:r w:rsidR="002E29EE" w:rsidRPr="0060686E">
        <w:rPr>
          <w:rFonts w:ascii="Arial" w:eastAsia="Times New Roman" w:hAnsi="Arial" w:cs="Arial"/>
          <w:bCs/>
          <w:color w:val="000000"/>
          <w:sz w:val="22"/>
          <w:lang w:eastAsia="es-CO"/>
        </w:rPr>
        <w:t>,</w:t>
      </w:r>
      <w:r w:rsidRPr="0060686E">
        <w:rPr>
          <w:rFonts w:ascii="Arial" w:eastAsia="Times New Roman" w:hAnsi="Arial" w:cs="Arial"/>
          <w:bCs/>
          <w:color w:val="000000"/>
          <w:sz w:val="22"/>
          <w:lang w:eastAsia="es-CO"/>
        </w:rPr>
        <w:t xml:space="preserve"> y paralelamente se incluyen restricciones en el actuar de los servidores públicos, evitando interferencias en la contienda electoral, así como la posible desviación de recursos públicos en aspiraciones electorales.</w:t>
      </w:r>
    </w:p>
    <w:p w14:paraId="7592456D" w14:textId="5383C968" w:rsidR="000D457E" w:rsidRPr="0060686E" w:rsidRDefault="004E0D32" w:rsidP="003C432C">
      <w:pPr>
        <w:spacing w:after="0"/>
        <w:ind w:firstLine="709"/>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 xml:space="preserve">De otra parte, varias de las disposiciones de la Ley 996 de 2005, al contener normas prohibitivas, no admiten una interpretación amplia, sino que deben interpretarse </w:t>
      </w:r>
      <w:r w:rsidRPr="0060686E">
        <w:rPr>
          <w:rFonts w:ascii="Arial" w:eastAsia="Times New Roman" w:hAnsi="Arial" w:cs="Arial"/>
          <w:bCs/>
          <w:color w:val="000000"/>
          <w:sz w:val="22"/>
          <w:lang w:eastAsia="es-CO"/>
        </w:rPr>
        <w:lastRenderedPageBreak/>
        <w:t>restrictivamente. En efecto, lo anterior fue indicado por la Sala de Consulta y Servicio Civil del Consejo de Estado al analizar la referida ley, precisando lo siguiente:</w:t>
      </w:r>
    </w:p>
    <w:p w14:paraId="2ED9437B" w14:textId="77777777" w:rsidR="009B7190" w:rsidRPr="0060686E" w:rsidRDefault="009B7190" w:rsidP="003C432C">
      <w:pPr>
        <w:spacing w:after="0"/>
        <w:ind w:firstLine="709"/>
        <w:rPr>
          <w:rFonts w:ascii="Arial" w:eastAsia="Times New Roman" w:hAnsi="Arial" w:cs="Arial"/>
          <w:bCs/>
          <w:color w:val="000000"/>
          <w:sz w:val="22"/>
          <w:lang w:eastAsia="es-CO"/>
        </w:rPr>
      </w:pPr>
    </w:p>
    <w:p w14:paraId="63944E08" w14:textId="73C81FFD" w:rsidR="000D457E" w:rsidRPr="0060686E" w:rsidRDefault="000D457E" w:rsidP="001F55B5">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0686E">
        <w:rPr>
          <w:rFonts w:ascii="Arial" w:eastAsia="Times New Roman" w:hAnsi="Arial" w:cs="Arial"/>
          <w:bCs/>
          <w:color w:val="000000"/>
          <w:sz w:val="21"/>
          <w:szCs w:val="21"/>
          <w:lang w:eastAsia="es-CO"/>
        </w:rPr>
        <w:t>legis</w:t>
      </w:r>
      <w:proofErr w:type="spellEnd"/>
      <w:r w:rsidRPr="0060686E">
        <w:rPr>
          <w:rFonts w:ascii="Arial" w:eastAsia="Times New Roman" w:hAnsi="Arial" w:cs="Arial"/>
          <w:bCs/>
          <w:color w:val="000000"/>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F802D56" w14:textId="000DDCB9" w:rsidR="000D457E" w:rsidRPr="0060686E" w:rsidRDefault="000D457E" w:rsidP="001F55B5">
      <w:pPr>
        <w:spacing w:after="0" w:line="240" w:lineRule="auto"/>
        <w:ind w:left="709" w:right="709" w:firstLine="709"/>
        <w:rPr>
          <w:rFonts w:ascii="Arial" w:eastAsia="Times New Roman" w:hAnsi="Arial" w:cs="Arial"/>
          <w:bCs/>
          <w:color w:val="000000"/>
          <w:sz w:val="21"/>
          <w:szCs w:val="21"/>
          <w:lang w:eastAsia="es-CO"/>
        </w:rPr>
      </w:pPr>
    </w:p>
    <w:p w14:paraId="3BC36AE9" w14:textId="49837A28" w:rsidR="00883662" w:rsidRPr="0060686E" w:rsidRDefault="000D457E" w:rsidP="001F55B5">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La jurisprudencia de la Corte Constitucional</w:t>
      </w:r>
      <w:r w:rsidR="001F55B5" w:rsidRPr="0060686E">
        <w:rPr>
          <w:rStyle w:val="Refdenotaalpie"/>
          <w:rFonts w:ascii="Arial" w:eastAsia="Times New Roman" w:hAnsi="Arial" w:cs="Arial"/>
          <w:bCs/>
          <w:color w:val="000000"/>
          <w:sz w:val="21"/>
          <w:szCs w:val="21"/>
          <w:lang w:eastAsia="es-CO"/>
        </w:rPr>
        <w:footnoteReference w:id="2"/>
      </w:r>
      <w:r w:rsidRPr="0060686E">
        <w:rPr>
          <w:rFonts w:ascii="Arial" w:eastAsia="Times New Roman" w:hAnsi="Arial" w:cs="Arial"/>
          <w:bCs/>
          <w:color w:val="000000"/>
          <w:sz w:val="21"/>
          <w:szCs w:val="21"/>
          <w:lang w:eastAsia="es-CO"/>
        </w:rPr>
        <w:t> y del Consejo de Estado</w:t>
      </w:r>
      <w:r w:rsidR="001F55B5" w:rsidRPr="0060686E">
        <w:rPr>
          <w:rStyle w:val="Refdenotaalpie"/>
          <w:rFonts w:ascii="Arial" w:eastAsia="Times New Roman" w:hAnsi="Arial" w:cs="Arial"/>
          <w:bCs/>
          <w:color w:val="000000"/>
          <w:sz w:val="21"/>
          <w:szCs w:val="21"/>
          <w:lang w:eastAsia="es-CO"/>
        </w:rPr>
        <w:footnoteReference w:id="3"/>
      </w:r>
      <w:r w:rsidRPr="0060686E">
        <w:rPr>
          <w:rFonts w:ascii="Arial" w:eastAsia="Times New Roman" w:hAnsi="Arial" w:cs="Arial"/>
          <w:bCs/>
          <w:color w:val="000000"/>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60686E">
        <w:rPr>
          <w:rFonts w:ascii="Arial" w:eastAsia="Times New Roman" w:hAnsi="Arial" w:cs="Arial"/>
          <w:bCs/>
          <w:color w:val="000000"/>
          <w:sz w:val="21"/>
          <w:szCs w:val="21"/>
          <w:lang w:eastAsia="es-CO"/>
        </w:rPr>
        <w:t>intérprete</w:t>
      </w:r>
      <w:r w:rsidRPr="0060686E">
        <w:rPr>
          <w:rFonts w:ascii="Arial" w:eastAsia="Times New Roman" w:hAnsi="Arial" w:cs="Arial"/>
          <w:bCs/>
          <w:color w:val="000000"/>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60686E">
        <w:rPr>
          <w:rStyle w:val="Refdenotaalpie"/>
          <w:rFonts w:ascii="Arial" w:eastAsia="Times New Roman" w:hAnsi="Arial" w:cs="Arial"/>
          <w:bCs/>
          <w:color w:val="000000"/>
          <w:sz w:val="22"/>
          <w:lang w:eastAsia="es-CO"/>
        </w:rPr>
        <w:footnoteReference w:id="4"/>
      </w:r>
    </w:p>
    <w:p w14:paraId="53F22C05" w14:textId="41225180" w:rsidR="004E0D32" w:rsidRPr="0060686E" w:rsidRDefault="004E0D32" w:rsidP="00FE32A0">
      <w:pPr>
        <w:spacing w:after="0" w:line="240" w:lineRule="auto"/>
        <w:rPr>
          <w:rFonts w:ascii="Arial" w:eastAsia="Times New Roman" w:hAnsi="Arial" w:cs="Arial"/>
          <w:bCs/>
          <w:color w:val="000000"/>
          <w:sz w:val="21"/>
          <w:szCs w:val="21"/>
          <w:lang w:eastAsia="es-CO"/>
        </w:rPr>
      </w:pPr>
    </w:p>
    <w:p w14:paraId="5C9D6394" w14:textId="2CE3A252" w:rsidR="004E0D32" w:rsidRPr="0060686E" w:rsidRDefault="002E29EE" w:rsidP="00FE32A0">
      <w:pPr>
        <w:spacing w:after="0"/>
        <w:ind w:firstLine="708"/>
        <w:rPr>
          <w:rFonts w:ascii="Arial" w:eastAsia="Times New Roman" w:hAnsi="Arial" w:cs="Arial"/>
          <w:bCs/>
          <w:color w:val="000000"/>
          <w:sz w:val="22"/>
          <w:lang w:eastAsia="es-CO"/>
        </w:rPr>
      </w:pPr>
      <w:r w:rsidRPr="0060686E">
        <w:rPr>
          <w:rFonts w:ascii="Arial" w:eastAsia="Times New Roman" w:hAnsi="Arial" w:cs="Arial"/>
          <w:bCs/>
          <w:sz w:val="22"/>
          <w:lang w:eastAsia="es-CO"/>
        </w:rPr>
        <w:t>De lo anterior se desprende que las limitaciones a la libertad contractual establecidas en la Ley 996 de 2005 deben interpretarse de forma restrictiva, y como se precisará se dirigen a dos tipos de campañas electorales claramente diferenciadas: las presidenciales y las demás que se adelanten para la elección de los demás cargos de elección popular, tanto a nivel nacional como territorial, siendo necesario analizar las restricciones aplicables según cada tipo de elecciones.</w:t>
      </w:r>
    </w:p>
    <w:p w14:paraId="1E362307" w14:textId="77777777" w:rsidR="003C432C" w:rsidRPr="0060686E" w:rsidRDefault="003C432C" w:rsidP="003C432C">
      <w:pPr>
        <w:spacing w:after="0"/>
        <w:rPr>
          <w:rFonts w:ascii="Arial" w:eastAsia="Calibri" w:hAnsi="Arial" w:cs="Arial"/>
          <w:b/>
          <w:bCs/>
          <w:sz w:val="22"/>
          <w:lang w:val="es-CO"/>
        </w:rPr>
      </w:pPr>
    </w:p>
    <w:p w14:paraId="54CF1F26" w14:textId="42DD3595" w:rsidR="00930831" w:rsidRPr="0060686E" w:rsidRDefault="00387F0A" w:rsidP="00A8268C">
      <w:pPr>
        <w:rPr>
          <w:rFonts w:ascii="Arial" w:eastAsia="Times New Roman" w:hAnsi="Arial" w:cs="Arial"/>
          <w:b/>
          <w:bCs/>
          <w:color w:val="000000"/>
          <w:sz w:val="22"/>
          <w:lang w:eastAsia="es-CO"/>
        </w:rPr>
      </w:pPr>
      <w:r w:rsidRPr="0060686E">
        <w:rPr>
          <w:rFonts w:ascii="Arial" w:eastAsia="Calibri" w:hAnsi="Arial" w:cs="Arial"/>
          <w:b/>
          <w:bCs/>
          <w:sz w:val="22"/>
          <w:lang w:val="es-CO"/>
        </w:rPr>
        <w:lastRenderedPageBreak/>
        <w:t>2.2</w:t>
      </w:r>
      <w:r w:rsidR="00D63081" w:rsidRPr="0060686E">
        <w:rPr>
          <w:rFonts w:ascii="Arial" w:eastAsia="Calibri" w:hAnsi="Arial" w:cs="Arial"/>
          <w:b/>
          <w:bCs/>
          <w:sz w:val="22"/>
          <w:lang w:val="es-CO"/>
        </w:rPr>
        <w:t xml:space="preserve"> Determinación de las restricciones según el tipo de elecciones</w:t>
      </w:r>
      <w:r w:rsidR="00CB2786" w:rsidRPr="0060686E">
        <w:rPr>
          <w:rFonts w:ascii="Arial" w:eastAsia="Calibri" w:hAnsi="Arial" w:cs="Arial"/>
          <w:b/>
          <w:bCs/>
          <w:sz w:val="22"/>
          <w:lang w:val="es-CO"/>
        </w:rPr>
        <w:t xml:space="preserve"> y excepciones a las mismas</w:t>
      </w:r>
    </w:p>
    <w:p w14:paraId="06C27B2D" w14:textId="47D4B6DC" w:rsidR="003C432C" w:rsidRPr="0060686E" w:rsidRDefault="00C0300E" w:rsidP="003C432C">
      <w:pPr>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 xml:space="preserve">La Ley 996 de </w:t>
      </w:r>
      <w:proofErr w:type="gramStart"/>
      <w:r w:rsidRPr="0060686E">
        <w:rPr>
          <w:rFonts w:ascii="Arial" w:eastAsia="Times New Roman" w:hAnsi="Arial" w:cs="Arial"/>
          <w:bCs/>
          <w:color w:val="000000"/>
          <w:sz w:val="22"/>
          <w:lang w:eastAsia="es-CO"/>
        </w:rPr>
        <w:t>2005  hace</w:t>
      </w:r>
      <w:proofErr w:type="gramEnd"/>
      <w:r w:rsidRPr="0060686E">
        <w:rPr>
          <w:rFonts w:ascii="Arial" w:eastAsia="Times New Roman" w:hAnsi="Arial" w:cs="Arial"/>
          <w:bCs/>
          <w:color w:val="000000"/>
          <w:sz w:val="22"/>
          <w:lang w:eastAsia="es-CO"/>
        </w:rPr>
        <w:t xml:space="preserve"> referencia a las elecciones presidenciales concretamente</w:t>
      </w:r>
      <w:r w:rsidR="004E4A6B" w:rsidRPr="0060686E">
        <w:rPr>
          <w:rFonts w:ascii="Arial" w:eastAsia="Times New Roman" w:hAnsi="Arial" w:cs="Arial"/>
          <w:bCs/>
          <w:color w:val="000000"/>
          <w:sz w:val="22"/>
          <w:lang w:eastAsia="es-CO"/>
        </w:rPr>
        <w:t>,</w:t>
      </w:r>
      <w:r w:rsidRPr="0060686E">
        <w:rPr>
          <w:rFonts w:ascii="Arial" w:eastAsia="Times New Roman" w:hAnsi="Arial" w:cs="Arial"/>
          <w:bCs/>
          <w:color w:val="000000"/>
          <w:sz w:val="22"/>
          <w:lang w:eastAsia="es-CO"/>
        </w:rPr>
        <w:t xml:space="preserve"> y en forma general a las que se realizan para acceder a cargos de elección popular</w:t>
      </w:r>
      <w:r w:rsidR="00566406" w:rsidRPr="0060686E">
        <w:rPr>
          <w:rFonts w:ascii="Arial" w:eastAsia="Times New Roman" w:hAnsi="Arial" w:cs="Arial"/>
          <w:bCs/>
          <w:color w:val="000000"/>
          <w:sz w:val="22"/>
          <w:lang w:eastAsia="es-CO"/>
        </w:rPr>
        <w:t>.</w:t>
      </w:r>
      <w:r w:rsidR="002E74C9" w:rsidRPr="0060686E">
        <w:rPr>
          <w:rFonts w:ascii="Arial" w:eastAsia="Times New Roman" w:hAnsi="Arial" w:cs="Arial"/>
          <w:bCs/>
          <w:color w:val="000000"/>
          <w:sz w:val="22"/>
          <w:lang w:eastAsia="es-CO"/>
        </w:rPr>
        <w:t xml:space="preserve"> </w:t>
      </w:r>
      <w:r w:rsidR="00566406" w:rsidRPr="0060686E">
        <w:rPr>
          <w:rFonts w:ascii="Arial" w:eastAsia="Times New Roman" w:hAnsi="Arial" w:cs="Arial"/>
          <w:bCs/>
          <w:color w:val="000000"/>
          <w:sz w:val="22"/>
          <w:lang w:eastAsia="es-CO"/>
        </w:rPr>
        <w:t>E</w:t>
      </w:r>
      <w:r w:rsidR="002E74C9" w:rsidRPr="0060686E">
        <w:rPr>
          <w:rFonts w:ascii="Arial" w:eastAsia="Times New Roman" w:hAnsi="Arial" w:cs="Arial"/>
          <w:bCs/>
          <w:color w:val="000000"/>
          <w:sz w:val="22"/>
          <w:lang w:eastAsia="es-CO"/>
        </w:rPr>
        <w:t>sta diferenciación ha sido también objeto de análisis por el Consejo de Estado, que ha precisado</w:t>
      </w:r>
      <w:r w:rsidR="00D7083A" w:rsidRPr="0060686E">
        <w:rPr>
          <w:rFonts w:ascii="Arial" w:eastAsia="Times New Roman" w:hAnsi="Arial" w:cs="Arial"/>
          <w:bCs/>
          <w:color w:val="000000"/>
          <w:sz w:val="22"/>
          <w:lang w:eastAsia="es-CO"/>
        </w:rPr>
        <w:t xml:space="preserve"> </w:t>
      </w:r>
      <w:r w:rsidR="005F5A82" w:rsidRPr="0060686E">
        <w:rPr>
          <w:rFonts w:ascii="Arial" w:eastAsia="Times New Roman" w:hAnsi="Arial" w:cs="Arial"/>
          <w:bCs/>
          <w:color w:val="000000"/>
          <w:sz w:val="22"/>
          <w:lang w:eastAsia="es-CO"/>
        </w:rPr>
        <w:t xml:space="preserve">que de esa ley </w:t>
      </w:r>
      <w:r w:rsidR="00566406" w:rsidRPr="0060686E">
        <w:rPr>
          <w:rFonts w:ascii="Arial" w:eastAsia="Times New Roman" w:hAnsi="Arial" w:cs="Arial"/>
          <w:bCs/>
          <w:color w:val="000000"/>
          <w:sz w:val="22"/>
          <w:lang w:eastAsia="es-CO"/>
        </w:rPr>
        <w:t>se derivan distintos tipos de prohibiciones</w:t>
      </w:r>
      <w:r w:rsidR="002E74C9" w:rsidRPr="0060686E">
        <w:rPr>
          <w:rFonts w:ascii="Arial" w:eastAsia="Times New Roman" w:hAnsi="Arial" w:cs="Arial"/>
          <w:bCs/>
          <w:color w:val="000000"/>
          <w:sz w:val="22"/>
          <w:lang w:eastAsia="es-CO"/>
        </w:rPr>
        <w:t>:</w:t>
      </w:r>
    </w:p>
    <w:p w14:paraId="0A1C3FE3" w14:textId="6DFC308E" w:rsidR="002E74C9" w:rsidRPr="0060686E" w:rsidRDefault="00E42F9D" w:rsidP="0047358F">
      <w:pPr>
        <w:spacing w:after="0" w:line="240" w:lineRule="auto"/>
        <w:ind w:firstLine="708"/>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w:t>
      </w:r>
    </w:p>
    <w:p w14:paraId="3235884F" w14:textId="103B03B9" w:rsidR="002E74C9" w:rsidRPr="0060686E" w:rsidRDefault="00296D38" w:rsidP="0047358F">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La</w:t>
      </w:r>
      <w:r w:rsidR="002E74C9" w:rsidRPr="0060686E">
        <w:rPr>
          <w:rFonts w:ascii="Arial" w:eastAsia="Times New Roman" w:hAnsi="Arial" w:cs="Arial"/>
          <w:bCs/>
          <w:color w:val="000000"/>
          <w:sz w:val="21"/>
          <w:szCs w:val="21"/>
          <w:lang w:eastAsia="es-CO"/>
        </w:rPr>
        <w:t xml:space="preserve"> ley 996 de 2005 es el instrumento jurídico garantizador de las condiciones de igualdad y equidad entre los candidatos y </w:t>
      </w:r>
      <w:proofErr w:type="gramStart"/>
      <w:r w:rsidR="002E74C9" w:rsidRPr="0060686E">
        <w:rPr>
          <w:rFonts w:ascii="Arial" w:eastAsia="Times New Roman" w:hAnsi="Arial" w:cs="Arial"/>
          <w:bCs/>
          <w:color w:val="000000"/>
          <w:sz w:val="21"/>
          <w:szCs w:val="21"/>
          <w:lang w:eastAsia="es-CO"/>
        </w:rPr>
        <w:t>en razón de</w:t>
      </w:r>
      <w:proofErr w:type="gramEnd"/>
      <w:r w:rsidR="002E74C9" w:rsidRPr="0060686E">
        <w:rPr>
          <w:rFonts w:ascii="Arial" w:eastAsia="Times New Roman" w:hAnsi="Arial" w:cs="Arial"/>
          <w:bCs/>
          <w:color w:val="000000"/>
          <w:sz w:val="21"/>
          <w:szCs w:val="21"/>
          <w:lang w:eastAsia="es-CO"/>
        </w:rPr>
        <w:t xml:space="preserv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w:t>
      </w:r>
      <w:r w:rsidRPr="0060686E">
        <w:rPr>
          <w:rFonts w:ascii="Arial" w:eastAsia="Times New Roman" w:hAnsi="Arial" w:cs="Arial"/>
          <w:bCs/>
          <w:color w:val="000000"/>
          <w:sz w:val="21"/>
          <w:szCs w:val="21"/>
          <w:lang w:eastAsia="es-CO"/>
        </w:rPr>
        <w:t>territoriales [</w:t>
      </w:r>
      <w:r w:rsidR="00E42F9D" w:rsidRPr="0060686E">
        <w:rPr>
          <w:rFonts w:ascii="Arial" w:eastAsia="Times New Roman" w:hAnsi="Arial" w:cs="Arial"/>
          <w:bCs/>
          <w:color w:val="000000"/>
          <w:sz w:val="21"/>
          <w:szCs w:val="21"/>
          <w:lang w:eastAsia="es-CO"/>
        </w:rPr>
        <w:t>…]</w:t>
      </w:r>
      <w:r w:rsidR="00E42F9D" w:rsidRPr="0060686E">
        <w:rPr>
          <w:rStyle w:val="Refdenotaalpie"/>
          <w:rFonts w:ascii="Arial" w:eastAsia="Times New Roman" w:hAnsi="Arial" w:cs="Arial"/>
          <w:bCs/>
          <w:color w:val="000000"/>
          <w:sz w:val="21"/>
          <w:szCs w:val="21"/>
          <w:lang w:eastAsia="es-CO"/>
        </w:rPr>
        <w:footnoteReference w:id="5"/>
      </w:r>
    </w:p>
    <w:p w14:paraId="4ABB03DC" w14:textId="77777777" w:rsidR="002E74C9" w:rsidRPr="0060686E" w:rsidRDefault="002E74C9" w:rsidP="0047358F">
      <w:pPr>
        <w:spacing w:after="0"/>
        <w:rPr>
          <w:rFonts w:ascii="Arial" w:eastAsia="Times New Roman" w:hAnsi="Arial" w:cs="Arial"/>
          <w:bCs/>
          <w:color w:val="000000"/>
          <w:sz w:val="22"/>
          <w:lang w:eastAsia="es-CO"/>
        </w:rPr>
      </w:pPr>
    </w:p>
    <w:p w14:paraId="54B58E37" w14:textId="01D28123" w:rsidR="00930831" w:rsidRPr="0060686E" w:rsidRDefault="00E42F9D" w:rsidP="00FE32A0">
      <w:pPr>
        <w:spacing w:after="0"/>
        <w:ind w:firstLine="708"/>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Por lo anterior, es</w:t>
      </w:r>
      <w:r w:rsidR="00C0300E" w:rsidRPr="0060686E">
        <w:rPr>
          <w:rFonts w:ascii="Arial" w:eastAsia="Times New Roman" w:hAnsi="Arial" w:cs="Arial"/>
          <w:bCs/>
          <w:color w:val="000000"/>
          <w:sz w:val="22"/>
          <w:lang w:eastAsia="es-CO"/>
        </w:rPr>
        <w:t xml:space="preserve"> importante analizar las restricciones aplicables </w:t>
      </w:r>
      <w:r w:rsidR="009B646F" w:rsidRPr="0060686E">
        <w:rPr>
          <w:rFonts w:ascii="Arial" w:eastAsia="Times New Roman" w:hAnsi="Arial" w:cs="Arial"/>
          <w:bCs/>
          <w:color w:val="000000"/>
          <w:sz w:val="22"/>
          <w:lang w:eastAsia="es-CO"/>
        </w:rPr>
        <w:t>a cada una de estas elecciones, pues presentan importantes diferencias, contando cada una con un fundamento jurídico diferente.</w:t>
      </w:r>
      <w:r w:rsidR="00C0300E" w:rsidRPr="0060686E">
        <w:rPr>
          <w:rFonts w:ascii="Arial" w:eastAsia="Times New Roman" w:hAnsi="Arial" w:cs="Arial"/>
          <w:bCs/>
          <w:color w:val="000000"/>
          <w:sz w:val="22"/>
          <w:lang w:eastAsia="es-CO"/>
        </w:rPr>
        <w:t xml:space="preserve"> </w:t>
      </w:r>
      <w:r w:rsidR="00A02CEE" w:rsidRPr="0060686E">
        <w:rPr>
          <w:rFonts w:ascii="Arial" w:eastAsia="Times New Roman" w:hAnsi="Arial" w:cs="Arial"/>
          <w:bCs/>
          <w:color w:val="000000"/>
          <w:sz w:val="22"/>
          <w:lang w:eastAsia="es-CO"/>
        </w:rPr>
        <w:t xml:space="preserve">En tal sentido, en primer </w:t>
      </w:r>
      <w:proofErr w:type="gramStart"/>
      <w:r w:rsidR="00A02CEE" w:rsidRPr="0060686E">
        <w:rPr>
          <w:rFonts w:ascii="Arial" w:eastAsia="Times New Roman" w:hAnsi="Arial" w:cs="Arial"/>
          <w:bCs/>
          <w:color w:val="000000"/>
          <w:sz w:val="22"/>
          <w:lang w:eastAsia="es-CO"/>
        </w:rPr>
        <w:t>lugar</w:t>
      </w:r>
      <w:proofErr w:type="gramEnd"/>
      <w:r w:rsidR="00A02CEE" w:rsidRPr="0060686E">
        <w:rPr>
          <w:rFonts w:ascii="Arial" w:eastAsia="Times New Roman" w:hAnsi="Arial" w:cs="Arial"/>
          <w:bCs/>
          <w:color w:val="000000"/>
          <w:sz w:val="22"/>
          <w:lang w:eastAsia="es-CO"/>
        </w:rPr>
        <w:t xml:space="preserve"> se analizarán las restricciones aplicables frente a las elecciones presidenciales y posteriormente frente a los comicios a cargos de elección popular.</w:t>
      </w:r>
    </w:p>
    <w:p w14:paraId="3815CC75" w14:textId="77777777" w:rsidR="0047358F" w:rsidRPr="0060686E" w:rsidRDefault="0047358F" w:rsidP="0047358F">
      <w:pPr>
        <w:spacing w:after="0"/>
        <w:rPr>
          <w:rFonts w:ascii="Arial" w:eastAsia="Times New Roman" w:hAnsi="Arial" w:cs="Arial"/>
          <w:bCs/>
          <w:color w:val="000000"/>
          <w:sz w:val="22"/>
          <w:lang w:eastAsia="es-CO"/>
        </w:rPr>
      </w:pPr>
    </w:p>
    <w:p w14:paraId="2908C52E" w14:textId="220F7FAD" w:rsidR="00681A07" w:rsidRPr="0060686E" w:rsidRDefault="00387F0A" w:rsidP="0047358F">
      <w:pPr>
        <w:spacing w:after="0"/>
        <w:rPr>
          <w:rFonts w:ascii="Arial" w:eastAsia="Times New Roman" w:hAnsi="Arial" w:cs="Arial"/>
          <w:b/>
          <w:bCs/>
          <w:color w:val="000000"/>
          <w:sz w:val="22"/>
          <w:lang w:eastAsia="es-CO"/>
        </w:rPr>
      </w:pPr>
      <w:r w:rsidRPr="0060686E">
        <w:rPr>
          <w:rFonts w:ascii="Arial" w:eastAsia="Times New Roman" w:hAnsi="Arial" w:cs="Arial"/>
          <w:b/>
          <w:bCs/>
          <w:color w:val="000000"/>
          <w:sz w:val="22"/>
          <w:lang w:eastAsia="es-CO"/>
        </w:rPr>
        <w:t>2.2</w:t>
      </w:r>
      <w:r w:rsidR="00681A07" w:rsidRPr="0060686E">
        <w:rPr>
          <w:rFonts w:ascii="Arial" w:eastAsia="Times New Roman" w:hAnsi="Arial" w:cs="Arial"/>
          <w:b/>
          <w:bCs/>
          <w:color w:val="000000"/>
          <w:sz w:val="22"/>
          <w:lang w:eastAsia="es-CO"/>
        </w:rPr>
        <w:t xml:space="preserve">.1 Restricciones en elecciones presidenciales </w:t>
      </w:r>
    </w:p>
    <w:p w14:paraId="14372CE0" w14:textId="77777777" w:rsidR="0047358F" w:rsidRPr="0060686E" w:rsidRDefault="0047358F" w:rsidP="0047358F">
      <w:pPr>
        <w:spacing w:after="0"/>
        <w:rPr>
          <w:rFonts w:ascii="Arial" w:eastAsia="Times New Roman" w:hAnsi="Arial" w:cs="Arial"/>
          <w:b/>
          <w:bCs/>
          <w:color w:val="000000"/>
          <w:sz w:val="22"/>
          <w:lang w:eastAsia="es-CO"/>
        </w:rPr>
      </w:pPr>
    </w:p>
    <w:p w14:paraId="5D07C8D0" w14:textId="6BD01873" w:rsidR="00964C6F" w:rsidRPr="0060686E" w:rsidRDefault="00C0300E" w:rsidP="00090D35">
      <w:pPr>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Para</w:t>
      </w:r>
      <w:r w:rsidR="00A8268C" w:rsidRPr="0060686E">
        <w:rPr>
          <w:rFonts w:ascii="Arial" w:eastAsia="Times New Roman" w:hAnsi="Arial" w:cs="Arial"/>
          <w:bCs/>
          <w:color w:val="000000"/>
          <w:sz w:val="22"/>
          <w:lang w:eastAsia="es-CO"/>
        </w:rPr>
        <w:t xml:space="preserve"> las elecciones a la Presidencia de la República</w:t>
      </w:r>
      <w:r w:rsidR="00710422" w:rsidRPr="0060686E">
        <w:rPr>
          <w:rFonts w:ascii="Arial" w:eastAsia="Times New Roman" w:hAnsi="Arial" w:cs="Arial"/>
          <w:bCs/>
          <w:color w:val="000000"/>
          <w:sz w:val="22"/>
          <w:lang w:eastAsia="es-CO"/>
        </w:rPr>
        <w:t>,</w:t>
      </w:r>
      <w:r w:rsidR="00A8268C" w:rsidRPr="0060686E">
        <w:rPr>
          <w:rFonts w:ascii="Arial" w:eastAsia="Times New Roman" w:hAnsi="Arial" w:cs="Arial"/>
          <w:bCs/>
          <w:color w:val="000000"/>
          <w:sz w:val="22"/>
          <w:lang w:eastAsia="es-CO"/>
        </w:rPr>
        <w:t xml:space="preserve"> la Ley </w:t>
      </w:r>
      <w:r w:rsidR="00710422" w:rsidRPr="0060686E">
        <w:rPr>
          <w:rFonts w:ascii="Arial" w:eastAsia="Times New Roman" w:hAnsi="Arial" w:cs="Arial"/>
          <w:bCs/>
          <w:color w:val="000000"/>
          <w:sz w:val="22"/>
          <w:lang w:eastAsia="es-CO"/>
        </w:rPr>
        <w:t>996 de 2005</w:t>
      </w:r>
      <w:r w:rsidR="00090D35" w:rsidRPr="0060686E">
        <w:rPr>
          <w:rFonts w:ascii="Arial" w:eastAsia="Times New Roman" w:hAnsi="Arial" w:cs="Arial"/>
          <w:bCs/>
          <w:color w:val="000000"/>
          <w:sz w:val="22"/>
          <w:lang w:eastAsia="es-CO"/>
        </w:rPr>
        <w:t xml:space="preserve"> prohíbe </w:t>
      </w:r>
      <w:r w:rsidR="00B101EE" w:rsidRPr="0060686E">
        <w:rPr>
          <w:rFonts w:ascii="Arial" w:eastAsia="Times New Roman" w:hAnsi="Arial" w:cs="Arial"/>
          <w:bCs/>
          <w:color w:val="000000"/>
          <w:sz w:val="22"/>
          <w:lang w:eastAsia="es-CO"/>
        </w:rPr>
        <w:t>la contratación directa por parte de todos los entes del Estado</w:t>
      </w:r>
      <w:r w:rsidR="00B822EF" w:rsidRPr="0060686E">
        <w:rPr>
          <w:rFonts w:ascii="Arial" w:eastAsia="Times New Roman" w:hAnsi="Arial" w:cs="Arial"/>
          <w:bCs/>
          <w:color w:val="000000"/>
          <w:sz w:val="22"/>
          <w:lang w:eastAsia="es-CO"/>
        </w:rPr>
        <w:t>.</w:t>
      </w:r>
      <w:r w:rsidR="00B101EE" w:rsidRPr="0060686E">
        <w:rPr>
          <w:rFonts w:ascii="Arial" w:eastAsia="Times New Roman" w:hAnsi="Arial" w:cs="Arial"/>
          <w:bCs/>
          <w:color w:val="000000"/>
          <w:sz w:val="22"/>
          <w:lang w:eastAsia="es-CO"/>
        </w:rPr>
        <w:t xml:space="preserve"> </w:t>
      </w:r>
      <w:r w:rsidR="00B822EF" w:rsidRPr="0060686E">
        <w:rPr>
          <w:rFonts w:ascii="Arial" w:eastAsia="Times New Roman" w:hAnsi="Arial" w:cs="Arial"/>
          <w:bCs/>
          <w:color w:val="000000"/>
          <w:sz w:val="22"/>
          <w:lang w:eastAsia="es-CO"/>
        </w:rPr>
        <w:t>A</w:t>
      </w:r>
      <w:r w:rsidR="00B101EE" w:rsidRPr="0060686E">
        <w:rPr>
          <w:rFonts w:ascii="Arial" w:eastAsia="Times New Roman" w:hAnsi="Arial" w:cs="Arial"/>
          <w:bCs/>
          <w:color w:val="000000"/>
          <w:sz w:val="22"/>
          <w:lang w:eastAsia="es-CO"/>
        </w:rPr>
        <w:t xml:space="preserve">sí lo señala </w:t>
      </w:r>
      <w:r w:rsidR="00710422" w:rsidRPr="0060686E">
        <w:rPr>
          <w:rFonts w:ascii="Arial" w:eastAsia="Times New Roman" w:hAnsi="Arial" w:cs="Arial"/>
          <w:bCs/>
          <w:color w:val="000000"/>
          <w:sz w:val="22"/>
          <w:lang w:eastAsia="es-CO"/>
        </w:rPr>
        <w:t xml:space="preserve">su </w:t>
      </w:r>
      <w:r w:rsidR="00B101EE" w:rsidRPr="0060686E">
        <w:rPr>
          <w:rFonts w:ascii="Arial" w:eastAsia="Times New Roman" w:hAnsi="Arial" w:cs="Arial"/>
          <w:bCs/>
          <w:color w:val="000000"/>
          <w:sz w:val="22"/>
          <w:lang w:eastAsia="es-CO"/>
        </w:rPr>
        <w:t>artículo 33, limitación que se aplica</w:t>
      </w:r>
      <w:r w:rsidR="001B2F7F" w:rsidRPr="0060686E">
        <w:rPr>
          <w:rFonts w:ascii="Arial" w:eastAsia="Times New Roman" w:hAnsi="Arial" w:cs="Arial"/>
          <w:bCs/>
          <w:color w:val="000000"/>
          <w:sz w:val="22"/>
          <w:lang w:eastAsia="es-CO"/>
        </w:rPr>
        <w:t xml:space="preserve"> durante los cuatro (4) meses anteriores a la elección presidencial y hasta la realización de la elección en la segunda vuelta, coincidiendo con la delimitación temporal señalada para la campaña política</w:t>
      </w:r>
      <w:r w:rsidR="00964C6F" w:rsidRPr="0060686E">
        <w:rPr>
          <w:rFonts w:ascii="Arial" w:eastAsia="Times New Roman" w:hAnsi="Arial" w:cs="Arial"/>
          <w:bCs/>
          <w:color w:val="000000"/>
          <w:sz w:val="22"/>
          <w:lang w:eastAsia="es-CO"/>
        </w:rPr>
        <w:t>.</w:t>
      </w:r>
      <w:r w:rsidR="007F5DAA" w:rsidRPr="0060686E">
        <w:rPr>
          <w:rFonts w:ascii="Arial" w:eastAsia="Times New Roman" w:hAnsi="Arial" w:cs="Arial"/>
          <w:bCs/>
          <w:color w:val="000000"/>
          <w:sz w:val="22"/>
          <w:lang w:eastAsia="es-CO"/>
        </w:rPr>
        <w:t xml:space="preserve"> La norma también señala las excepciones a la prohibición, en los siguientes términos: </w:t>
      </w:r>
      <w:r w:rsidR="00710422" w:rsidRPr="0060686E">
        <w:rPr>
          <w:rFonts w:ascii="Arial" w:eastAsia="Times New Roman" w:hAnsi="Arial" w:cs="Arial"/>
          <w:bCs/>
          <w:color w:val="000000"/>
          <w:sz w:val="22"/>
          <w:lang w:eastAsia="es-CO"/>
        </w:rPr>
        <w:t xml:space="preserve"> </w:t>
      </w:r>
    </w:p>
    <w:p w14:paraId="66FE0BDE" w14:textId="3E4D61ED" w:rsidR="007F5DAA" w:rsidRPr="0060686E" w:rsidRDefault="007F5DAA" w:rsidP="003F667F">
      <w:pPr>
        <w:spacing w:after="0" w:line="240" w:lineRule="auto"/>
        <w:ind w:left="709" w:right="709"/>
        <w:rPr>
          <w:rFonts w:ascii="Arial" w:eastAsia="Times New Roman" w:hAnsi="Arial" w:cs="Arial"/>
          <w:bCs/>
          <w:color w:val="000000"/>
          <w:sz w:val="21"/>
          <w:szCs w:val="21"/>
          <w:lang w:eastAsia="es-CO"/>
        </w:rPr>
      </w:pPr>
      <w:r w:rsidRPr="0060686E">
        <w:rPr>
          <w:rFonts w:ascii="Arial" w:eastAsia="Times New Roman" w:hAnsi="Arial" w:cs="Arial"/>
          <w:bCs/>
          <w:color w:val="000000"/>
          <w:sz w:val="21"/>
          <w:szCs w:val="21"/>
          <w:lang w:eastAsia="es-CO"/>
        </w:rPr>
        <w:t xml:space="preserve">«[…] </w:t>
      </w:r>
      <w:r w:rsidR="00710422" w:rsidRPr="0060686E">
        <w:rPr>
          <w:rFonts w:ascii="Arial" w:eastAsia="Times New Roman" w:hAnsi="Arial" w:cs="Arial"/>
          <w:bCs/>
          <w:color w:val="000000"/>
          <w:sz w:val="21"/>
          <w:szCs w:val="21"/>
          <w:lang w:eastAsia="es-CO"/>
        </w:rPr>
        <w:t xml:space="preserve">Queda exceptuado lo referente a la defensa y seguridad del Estado, los contratos de crédito público, </w:t>
      </w:r>
      <w:r w:rsidR="00710422" w:rsidRPr="0060686E">
        <w:rPr>
          <w:rFonts w:ascii="Arial" w:eastAsia="Times New Roman" w:hAnsi="Arial" w:cs="Arial"/>
          <w:bCs/>
          <w:i/>
          <w:color w:val="000000"/>
          <w:sz w:val="21"/>
          <w:szCs w:val="21"/>
          <w:lang w:eastAsia="es-CO"/>
        </w:rPr>
        <w:t>los requeridos para cubrir las emergencias</w:t>
      </w:r>
      <w:r w:rsidR="00710422" w:rsidRPr="0060686E">
        <w:rPr>
          <w:rFonts w:ascii="Arial" w:eastAsia="Times New Roman" w:hAnsi="Arial" w:cs="Arial"/>
          <w:bCs/>
          <w:color w:val="000000"/>
          <w:sz w:val="21"/>
          <w:szCs w:val="21"/>
          <w:lang w:eastAsia="es-CO"/>
        </w:rPr>
        <w:t xml:space="preserve"> educativas, </w:t>
      </w:r>
      <w:r w:rsidR="00710422" w:rsidRPr="0060686E">
        <w:rPr>
          <w:rFonts w:ascii="Arial" w:eastAsia="Times New Roman" w:hAnsi="Arial" w:cs="Arial"/>
          <w:bCs/>
          <w:i/>
          <w:color w:val="000000"/>
          <w:sz w:val="21"/>
          <w:szCs w:val="21"/>
          <w:lang w:eastAsia="es-CO"/>
        </w:rPr>
        <w:t>sanitarias</w:t>
      </w:r>
      <w:r w:rsidR="00710422" w:rsidRPr="0060686E">
        <w:rPr>
          <w:rFonts w:ascii="Arial" w:eastAsia="Times New Roman" w:hAnsi="Arial"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terroristas, desastres naturales o casos de fuerza mayor, </w:t>
      </w:r>
      <w:r w:rsidR="00710422" w:rsidRPr="0060686E">
        <w:rPr>
          <w:rFonts w:ascii="Arial" w:eastAsia="Times New Roman" w:hAnsi="Arial" w:cs="Arial"/>
          <w:bCs/>
          <w:i/>
          <w:color w:val="000000"/>
          <w:sz w:val="21"/>
          <w:szCs w:val="21"/>
          <w:lang w:eastAsia="es-CO"/>
        </w:rPr>
        <w:t>y los que deban realizar las entidades sanitarias y hospitalarias</w:t>
      </w:r>
      <w:r w:rsidR="00710422" w:rsidRPr="0060686E">
        <w:rPr>
          <w:rFonts w:ascii="Arial" w:eastAsia="Times New Roman" w:hAnsi="Arial" w:cs="Arial"/>
          <w:bCs/>
          <w:color w:val="000000"/>
          <w:sz w:val="21"/>
          <w:szCs w:val="21"/>
          <w:lang w:eastAsia="es-CO"/>
        </w:rPr>
        <w:t>».</w:t>
      </w:r>
      <w:r w:rsidRPr="0060686E">
        <w:rPr>
          <w:rFonts w:ascii="Arial" w:eastAsia="Times New Roman" w:hAnsi="Arial" w:cs="Arial"/>
          <w:bCs/>
          <w:color w:val="000000"/>
          <w:sz w:val="21"/>
          <w:szCs w:val="21"/>
          <w:lang w:eastAsia="es-CO"/>
        </w:rPr>
        <w:t xml:space="preserve"> </w:t>
      </w:r>
      <w:r w:rsidR="00B822EF" w:rsidRPr="0060686E">
        <w:rPr>
          <w:rFonts w:ascii="Arial" w:eastAsia="Times New Roman" w:hAnsi="Arial" w:cs="Arial"/>
          <w:bCs/>
          <w:color w:val="000000"/>
          <w:sz w:val="22"/>
          <w:lang w:eastAsia="es-CO"/>
        </w:rPr>
        <w:t>(</w:t>
      </w:r>
      <w:r w:rsidRPr="0060686E">
        <w:rPr>
          <w:rFonts w:ascii="Arial" w:eastAsia="Times New Roman" w:hAnsi="Arial" w:cs="Arial"/>
          <w:bCs/>
          <w:color w:val="000000"/>
          <w:sz w:val="22"/>
          <w:lang w:eastAsia="es-CO"/>
        </w:rPr>
        <w:t>Cursiva fuera de texto</w:t>
      </w:r>
      <w:r w:rsidR="00B822EF" w:rsidRPr="0060686E">
        <w:rPr>
          <w:rFonts w:ascii="Arial" w:eastAsia="Times New Roman" w:hAnsi="Arial" w:cs="Arial"/>
          <w:bCs/>
          <w:color w:val="000000"/>
          <w:sz w:val="22"/>
          <w:lang w:eastAsia="es-CO"/>
        </w:rPr>
        <w:t>)</w:t>
      </w:r>
    </w:p>
    <w:p w14:paraId="36FFFBF0" w14:textId="77777777" w:rsidR="003F667F" w:rsidRPr="0060686E" w:rsidRDefault="003F667F" w:rsidP="003F667F">
      <w:pPr>
        <w:spacing w:after="0" w:line="240" w:lineRule="auto"/>
        <w:ind w:left="709" w:right="709"/>
        <w:rPr>
          <w:rFonts w:ascii="Arial" w:eastAsia="Times New Roman" w:hAnsi="Arial" w:cs="Arial"/>
          <w:bCs/>
          <w:color w:val="000000"/>
          <w:sz w:val="21"/>
          <w:szCs w:val="21"/>
          <w:lang w:eastAsia="es-CO"/>
        </w:rPr>
      </w:pPr>
    </w:p>
    <w:p w14:paraId="28C02E98" w14:textId="38BF8339" w:rsidR="009C4DAD" w:rsidRPr="0060686E" w:rsidRDefault="00B37F90" w:rsidP="00090D35">
      <w:pPr>
        <w:pStyle w:val="Textoindependiente"/>
        <w:spacing w:after="120"/>
        <w:ind w:firstLine="709"/>
      </w:pPr>
      <w:r w:rsidRPr="0060686E">
        <w:lastRenderedPageBreak/>
        <w:t xml:space="preserve">Por su parte, el </w:t>
      </w:r>
      <w:r w:rsidR="00964C6F" w:rsidRPr="0060686E">
        <w:t>artículo 2</w:t>
      </w:r>
      <w:r w:rsidRPr="0060686E">
        <w:t>, numeral 4</w:t>
      </w:r>
      <w:r w:rsidR="00964C6F" w:rsidRPr="0060686E">
        <w:t xml:space="preserve"> de la Ley 1150 de 2007</w:t>
      </w:r>
      <w:r w:rsidRPr="0060686E">
        <w:t>,</w:t>
      </w:r>
      <w:r w:rsidR="00964C6F" w:rsidRPr="0060686E">
        <w:t xml:space="preserve"> establece</w:t>
      </w:r>
      <w:r w:rsidRPr="0060686E">
        <w:t xml:space="preserve"> las causales específicas y de aplicación restrictiva para la escogencia del contratista a través de la modalidad de selección de contratación directa</w:t>
      </w:r>
      <w:r w:rsidR="00964C6F" w:rsidRPr="0060686E">
        <w:rPr>
          <w:rStyle w:val="Refdenotaalpie"/>
        </w:rPr>
        <w:footnoteReference w:id="6"/>
      </w:r>
      <w:r w:rsidR="00964C6F" w:rsidRPr="0060686E">
        <w:t>,</w:t>
      </w:r>
      <w:r w:rsidR="00EB770F" w:rsidRPr="0060686E">
        <w:t xml:space="preserve"> tratándose de las entidades sometidas al estatuto General de Contratación de la Administración Pública</w:t>
      </w:r>
      <w:r w:rsidRPr="0060686E">
        <w:t xml:space="preserve">: </w:t>
      </w:r>
      <w:r w:rsidR="00964C6F" w:rsidRPr="0060686E">
        <w:t xml:space="preserve">i) la urgencia manifiesta; </w:t>
      </w:r>
      <w:proofErr w:type="spellStart"/>
      <w:r w:rsidR="00964C6F" w:rsidRPr="0060686E">
        <w:t>ii</w:t>
      </w:r>
      <w:proofErr w:type="spellEnd"/>
      <w:r w:rsidR="00964C6F" w:rsidRPr="0060686E">
        <w:t xml:space="preserve">) la contratación entre entidades estatales; </w:t>
      </w:r>
      <w:proofErr w:type="spellStart"/>
      <w:r w:rsidR="00964C6F" w:rsidRPr="0060686E">
        <w:t>iii</w:t>
      </w:r>
      <w:proofErr w:type="spellEnd"/>
      <w:r w:rsidR="00964C6F" w:rsidRPr="0060686E">
        <w:t>) cuando no exista pluralidad de oferentes</w:t>
      </w:r>
      <w:r w:rsidR="00964C6F" w:rsidRPr="0060686E">
        <w:rPr>
          <w:rStyle w:val="Refdenotaalpie"/>
        </w:rPr>
        <w:footnoteReference w:id="7"/>
      </w:r>
      <w:r w:rsidR="00964C6F" w:rsidRPr="0060686E">
        <w:t xml:space="preserve">; </w:t>
      </w:r>
      <w:proofErr w:type="spellStart"/>
      <w:r w:rsidR="00964C6F" w:rsidRPr="0060686E">
        <w:t>iv</w:t>
      </w:r>
      <w:proofErr w:type="spellEnd"/>
      <w:r w:rsidR="00964C6F" w:rsidRPr="0060686E">
        <w:t>) contratos de prestación de servicios profesionales y de apoyo a la gestión</w:t>
      </w:r>
      <w:r w:rsidR="00964C6F" w:rsidRPr="0060686E">
        <w:rPr>
          <w:rStyle w:val="Refdenotaalpie"/>
        </w:rPr>
        <w:footnoteReference w:id="8"/>
      </w:r>
      <w:r w:rsidR="00964C6F" w:rsidRPr="0060686E">
        <w:t xml:space="preserve">; v) contratos para la ejecución de contratos artísticos que sólo pueden encomendarse a determinadas personas naturales; vi) adquisición y arrendamiento de bienes inmuebles; </w:t>
      </w:r>
      <w:proofErr w:type="spellStart"/>
      <w:r w:rsidR="00964C6F" w:rsidRPr="0060686E">
        <w:t>vii</w:t>
      </w:r>
      <w:proofErr w:type="spellEnd"/>
      <w:r w:rsidR="00964C6F" w:rsidRPr="0060686E">
        <w:t xml:space="preserve">) contratos de empréstitos; </w:t>
      </w:r>
      <w:proofErr w:type="spellStart"/>
      <w:r w:rsidR="00964C6F" w:rsidRPr="0060686E">
        <w:t>viii</w:t>
      </w:r>
      <w:proofErr w:type="spellEnd"/>
      <w:r w:rsidR="00964C6F" w:rsidRPr="0060686E">
        <w:t xml:space="preserve">) contratación de bienes y servicios del sector defensa que requieran reserva; </w:t>
      </w:r>
      <w:proofErr w:type="spellStart"/>
      <w:r w:rsidR="00964C6F" w:rsidRPr="0060686E">
        <w:t>ix</w:t>
      </w:r>
      <w:proofErr w:type="spellEnd"/>
      <w:r w:rsidR="00964C6F" w:rsidRPr="0060686E">
        <w:t>) contratos para el desarrollo de actividades científicas y tecnológicas; x) contratos de encargo fiduciario que celebren las entidades territoriales cuando inicien el acuerdo de reestructuración de pasivos</w:t>
      </w:r>
      <w:r w:rsidR="00EB770F" w:rsidRPr="0060686E">
        <w:t>; y xi) la selección de peritos expertos o asesores técnicos para presentar o contradecir el dictamen pericial en procesos judiciales.</w:t>
      </w:r>
      <w:r w:rsidR="009C4DAD" w:rsidRPr="0060686E">
        <w:rPr>
          <w:rFonts w:eastAsia="Calibri"/>
        </w:rPr>
        <w:t xml:space="preserve"> </w:t>
      </w:r>
    </w:p>
    <w:p w14:paraId="352E21A8" w14:textId="101A4947" w:rsidR="00D521EA" w:rsidRPr="0060686E" w:rsidRDefault="00880626" w:rsidP="009C4DAD">
      <w:pPr>
        <w:pStyle w:val="Textoindependiente"/>
        <w:spacing w:after="0"/>
        <w:ind w:firstLine="709"/>
        <w:rPr>
          <w:rFonts w:eastAsia="Calibri"/>
          <w:color w:val="000000" w:themeColor="text1"/>
          <w:lang w:val="es-ES_tradnl"/>
        </w:rPr>
      </w:pPr>
      <w:r w:rsidRPr="0060686E">
        <w:rPr>
          <w:rFonts w:eastAsia="Calibri"/>
          <w:color w:val="000000" w:themeColor="text1"/>
          <w:lang w:val="es-ES_tradnl"/>
        </w:rPr>
        <w:t>Así las cosas</w:t>
      </w:r>
      <w:r w:rsidR="00E43A2C" w:rsidRPr="0060686E">
        <w:rPr>
          <w:rFonts w:eastAsia="Calibri"/>
          <w:color w:val="000000" w:themeColor="text1"/>
          <w:lang w:val="es-ES_tradnl"/>
        </w:rPr>
        <w:t>, existe</w:t>
      </w:r>
      <w:r w:rsidR="00D521EA" w:rsidRPr="0060686E">
        <w:rPr>
          <w:rFonts w:eastAsia="Calibri"/>
          <w:color w:val="000000" w:themeColor="text1"/>
          <w:lang w:val="es-ES_tradnl"/>
        </w:rPr>
        <w:t xml:space="preserv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la contratación directa</w:t>
      </w:r>
      <w:r w:rsidR="002F116A" w:rsidRPr="0060686E">
        <w:rPr>
          <w:rFonts w:eastAsia="Calibri"/>
          <w:color w:val="000000" w:themeColor="text1"/>
          <w:lang w:val="es-ES_tradnl"/>
        </w:rPr>
        <w:t>, en los siguientes términos</w:t>
      </w:r>
      <w:r w:rsidR="00D521EA" w:rsidRPr="0060686E">
        <w:rPr>
          <w:rFonts w:eastAsia="Calibri"/>
          <w:color w:val="000000" w:themeColor="text1"/>
          <w:lang w:val="es-ES_tradnl"/>
        </w:rPr>
        <w:t xml:space="preserve">: </w:t>
      </w:r>
    </w:p>
    <w:p w14:paraId="3906A81C" w14:textId="77777777" w:rsidR="009C4DAD" w:rsidRPr="0060686E" w:rsidRDefault="009C4DAD" w:rsidP="009C4DAD">
      <w:pPr>
        <w:spacing w:after="0" w:line="240" w:lineRule="auto"/>
        <w:ind w:left="709" w:right="709"/>
        <w:rPr>
          <w:rFonts w:ascii="Arial" w:hAnsi="Arial" w:cs="Arial"/>
          <w:color w:val="000000" w:themeColor="text1"/>
          <w:sz w:val="21"/>
          <w:szCs w:val="21"/>
          <w:lang w:val="es-ES_tradnl"/>
        </w:rPr>
      </w:pPr>
    </w:p>
    <w:p w14:paraId="0B23F770" w14:textId="3301925B" w:rsidR="00D521EA" w:rsidRPr="0060686E" w:rsidRDefault="009C4DAD" w:rsidP="009C4DAD">
      <w:pPr>
        <w:spacing w:after="0" w:line="240" w:lineRule="auto"/>
        <w:ind w:left="709" w:right="709"/>
        <w:rPr>
          <w:rFonts w:ascii="Arial" w:hAnsi="Arial" w:cs="Arial"/>
          <w:color w:val="000000" w:themeColor="text1"/>
          <w:sz w:val="21"/>
          <w:szCs w:val="21"/>
          <w:lang w:val="es-ES_tradnl"/>
        </w:rPr>
      </w:pPr>
      <w:r w:rsidRPr="0060686E">
        <w:rPr>
          <w:rFonts w:ascii="Arial" w:hAnsi="Arial" w:cs="Arial"/>
          <w:color w:val="000000" w:themeColor="text1"/>
          <w:sz w:val="21"/>
          <w:szCs w:val="21"/>
          <w:lang w:val="es-ES_tradnl"/>
        </w:rPr>
        <w:t>[…]</w:t>
      </w:r>
      <w:r w:rsidR="0005241F" w:rsidRPr="0060686E">
        <w:rPr>
          <w:rFonts w:ascii="Arial" w:hAnsi="Arial" w:cs="Arial"/>
          <w:color w:val="000000" w:themeColor="text1"/>
          <w:sz w:val="21"/>
          <w:szCs w:val="21"/>
          <w:lang w:val="es-ES_tradnl"/>
        </w:rPr>
        <w:t xml:space="preserve"> </w:t>
      </w:r>
      <w:r w:rsidR="00D521EA" w:rsidRPr="0060686E">
        <w:rPr>
          <w:rFonts w:ascii="Arial" w:hAnsi="Arial" w:cs="Arial"/>
          <w:color w:val="000000" w:themeColor="text1"/>
          <w:sz w:val="21"/>
          <w:szCs w:val="21"/>
          <w:lang w:val="es-ES_tradnl"/>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w:t>
      </w:r>
      <w:r w:rsidR="00D521EA" w:rsidRPr="0060686E">
        <w:rPr>
          <w:rFonts w:ascii="Arial" w:hAnsi="Arial" w:cs="Arial"/>
          <w:color w:val="000000" w:themeColor="text1"/>
          <w:sz w:val="21"/>
          <w:szCs w:val="21"/>
          <w:lang w:val="es-ES_tradnl"/>
        </w:rPr>
        <w:lastRenderedPageBreak/>
        <w:t xml:space="preserve">Contratación de la Administración Pública - ley 80 de 1993 -, o uno especial </w:t>
      </w:r>
      <w:proofErr w:type="gramStart"/>
      <w:r w:rsidR="00D521EA" w:rsidRPr="0060686E">
        <w:rPr>
          <w:rFonts w:ascii="Arial" w:hAnsi="Arial" w:cs="Arial"/>
          <w:color w:val="000000" w:themeColor="text1"/>
          <w:sz w:val="21"/>
          <w:szCs w:val="21"/>
          <w:lang w:val="es-ES_tradnl"/>
        </w:rPr>
        <w:t>en razón del</w:t>
      </w:r>
      <w:proofErr w:type="gramEnd"/>
      <w:r w:rsidR="00D521EA" w:rsidRPr="0060686E">
        <w:rPr>
          <w:rFonts w:ascii="Arial" w:hAnsi="Arial" w:cs="Arial"/>
          <w:color w:val="000000" w:themeColor="text1"/>
          <w:sz w:val="21"/>
          <w:szCs w:val="21"/>
          <w:lang w:val="es-ES_tradnl"/>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00D521EA" w:rsidRPr="0060686E">
        <w:rPr>
          <w:rStyle w:val="Refdenotaalpie"/>
          <w:rFonts w:ascii="Arial" w:hAnsi="Arial" w:cs="Arial"/>
          <w:color w:val="000000" w:themeColor="text1"/>
          <w:sz w:val="21"/>
          <w:szCs w:val="21"/>
          <w:lang w:val="es-ES_tradnl"/>
        </w:rPr>
        <w:footnoteReference w:id="9"/>
      </w:r>
      <w:r w:rsidR="00D521EA" w:rsidRPr="0060686E">
        <w:rPr>
          <w:rFonts w:ascii="Arial" w:hAnsi="Arial" w:cs="Arial"/>
          <w:color w:val="000000" w:themeColor="text1"/>
          <w:sz w:val="21"/>
          <w:szCs w:val="21"/>
          <w:lang w:val="es-ES_tradnl"/>
        </w:rPr>
        <w:t>.</w:t>
      </w:r>
    </w:p>
    <w:p w14:paraId="5512258A" w14:textId="77777777" w:rsidR="00964C6F" w:rsidRPr="0060686E" w:rsidRDefault="00964C6F" w:rsidP="009C4DAD">
      <w:pPr>
        <w:pStyle w:val="Textoindependiente"/>
        <w:spacing w:after="0" w:line="240" w:lineRule="auto"/>
        <w:ind w:left="709" w:right="709" w:firstLine="709"/>
        <w:rPr>
          <w:sz w:val="21"/>
          <w:szCs w:val="21"/>
        </w:rPr>
      </w:pPr>
    </w:p>
    <w:p w14:paraId="386FCE11" w14:textId="4E0E5D99" w:rsidR="00321A13" w:rsidRPr="0060686E" w:rsidRDefault="00321A13" w:rsidP="002326AC">
      <w:pPr>
        <w:spacing w:after="120"/>
        <w:ind w:firstLine="709"/>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w:t>
      </w:r>
      <w:r w:rsidR="00CC101A" w:rsidRPr="0060686E">
        <w:rPr>
          <w:rFonts w:ascii="Arial" w:eastAsia="Times New Roman" w:hAnsi="Arial" w:cs="Arial"/>
          <w:bCs/>
          <w:color w:val="000000"/>
          <w:sz w:val="22"/>
          <w:lang w:eastAsia="es-CO"/>
        </w:rPr>
        <w:t>, sino también</w:t>
      </w:r>
      <w:r w:rsidR="0005241F" w:rsidRPr="0060686E">
        <w:rPr>
          <w:rFonts w:ascii="Arial" w:eastAsia="Times New Roman" w:hAnsi="Arial" w:cs="Arial"/>
          <w:bCs/>
          <w:color w:val="000000"/>
          <w:sz w:val="22"/>
          <w:lang w:eastAsia="es-CO"/>
        </w:rPr>
        <w:t xml:space="preserve"> frente a las entidades que tengan un régimen especial de contra</w:t>
      </w:r>
      <w:r w:rsidR="00795599" w:rsidRPr="0060686E">
        <w:rPr>
          <w:rFonts w:ascii="Arial" w:eastAsia="Times New Roman" w:hAnsi="Arial" w:cs="Arial"/>
          <w:bCs/>
          <w:color w:val="000000"/>
          <w:sz w:val="22"/>
          <w:lang w:eastAsia="es-CO"/>
        </w:rPr>
        <w:t>t</w:t>
      </w:r>
      <w:r w:rsidR="0005241F" w:rsidRPr="0060686E">
        <w:rPr>
          <w:rFonts w:ascii="Arial" w:eastAsia="Times New Roman" w:hAnsi="Arial" w:cs="Arial"/>
          <w:bCs/>
          <w:color w:val="000000"/>
          <w:sz w:val="22"/>
          <w:lang w:eastAsia="es-CO"/>
        </w:rPr>
        <w:t>ación</w:t>
      </w:r>
      <w:r w:rsidRPr="0060686E">
        <w:rPr>
          <w:rFonts w:ascii="Arial" w:eastAsia="Times New Roman" w:hAnsi="Arial" w:cs="Arial"/>
          <w:bCs/>
          <w:color w:val="000000"/>
          <w:sz w:val="22"/>
          <w:lang w:eastAsia="es-CO"/>
        </w:rPr>
        <w:t>. No obstante, cabe aclarar que el pronunciamiento anterior se profirió antes de expedirse la Ley 1150 de 2007, de manera 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Pr="0060686E">
        <w:rPr>
          <w:rFonts w:ascii="Arial" w:eastAsia="Times New Roman" w:hAnsi="Arial" w:cs="Arial"/>
          <w:bCs/>
          <w:color w:val="000000"/>
          <w:sz w:val="22"/>
          <w:vertAlign w:val="superscript"/>
          <w:lang w:eastAsia="es-CO"/>
        </w:rPr>
        <w:footnoteReference w:id="10"/>
      </w:r>
      <w:r w:rsidRPr="0060686E">
        <w:rPr>
          <w:rFonts w:ascii="Arial" w:eastAsia="Times New Roman" w:hAnsi="Arial" w:cs="Arial"/>
          <w:bCs/>
          <w:color w:val="000000"/>
          <w:sz w:val="22"/>
          <w:lang w:eastAsia="es-CO"/>
        </w:rPr>
        <w:t>.</w:t>
      </w:r>
      <w:r w:rsidR="0005241F" w:rsidRPr="0060686E">
        <w:rPr>
          <w:rFonts w:ascii="Arial" w:eastAsia="Times New Roman" w:hAnsi="Arial" w:cs="Arial"/>
          <w:bCs/>
          <w:color w:val="000000"/>
          <w:sz w:val="22"/>
          <w:lang w:eastAsia="es-CO"/>
        </w:rPr>
        <w:t xml:space="preserve"> </w:t>
      </w:r>
      <w:r w:rsidR="00883D39" w:rsidRPr="0060686E">
        <w:rPr>
          <w:rFonts w:ascii="Arial" w:eastAsia="Times New Roman" w:hAnsi="Arial" w:cs="Arial"/>
          <w:bCs/>
          <w:color w:val="000000"/>
          <w:sz w:val="22"/>
          <w:lang w:eastAsia="es-CO"/>
        </w:rPr>
        <w:t>De lo anterior se despende que</w:t>
      </w:r>
      <w:r w:rsidR="0005241F" w:rsidRPr="0060686E">
        <w:rPr>
          <w:rFonts w:ascii="Arial" w:eastAsia="Times New Roman" w:hAnsi="Arial" w:cs="Arial"/>
          <w:bCs/>
          <w:color w:val="000000"/>
          <w:sz w:val="22"/>
          <w:lang w:eastAsia="es-CO"/>
        </w:rPr>
        <w:t xml:space="preserve"> la restricción aplica, sin perjuicio de las excepciones establecidas en la misma ley, para celebrar cualquier contrato de forma directa, esto es, sin que exista un proceso competitivo.</w:t>
      </w:r>
    </w:p>
    <w:p w14:paraId="11F22FAA" w14:textId="2619F661" w:rsidR="001B2F7F" w:rsidRPr="0060686E" w:rsidRDefault="00EB770F" w:rsidP="009C4DAD">
      <w:pPr>
        <w:spacing w:after="0"/>
        <w:ind w:firstLine="709"/>
        <w:rPr>
          <w:rFonts w:ascii="Arial" w:eastAsia="Times New Roman" w:hAnsi="Arial" w:cs="Arial"/>
          <w:bCs/>
          <w:color w:val="000000"/>
          <w:sz w:val="22"/>
          <w:lang w:eastAsia="es-CO"/>
        </w:rPr>
      </w:pPr>
      <w:r w:rsidRPr="0060686E">
        <w:rPr>
          <w:rFonts w:ascii="Arial" w:eastAsia="Times New Roman" w:hAnsi="Arial" w:cs="Arial"/>
          <w:bCs/>
          <w:color w:val="000000"/>
          <w:sz w:val="22"/>
          <w:lang w:eastAsia="es-CO"/>
        </w:rPr>
        <w:t>De otro lado, como se ha hecho mención previamente, p</w:t>
      </w:r>
      <w:r w:rsidR="0091237C" w:rsidRPr="0060686E">
        <w:rPr>
          <w:rFonts w:ascii="Arial" w:eastAsia="Times New Roman" w:hAnsi="Arial" w:cs="Arial"/>
          <w:bCs/>
          <w:color w:val="000000"/>
          <w:sz w:val="22"/>
          <w:lang w:eastAsia="es-CO"/>
        </w:rPr>
        <w:t>ara efectos de las elecciones presidenciales</w:t>
      </w:r>
      <w:r w:rsidR="00AE53EB" w:rsidRPr="0060686E">
        <w:rPr>
          <w:rFonts w:ascii="Arial" w:eastAsia="Times New Roman" w:hAnsi="Arial" w:cs="Arial"/>
          <w:bCs/>
          <w:color w:val="000000"/>
          <w:sz w:val="22"/>
          <w:lang w:eastAsia="es-CO"/>
        </w:rPr>
        <w:t>,</w:t>
      </w:r>
      <w:r w:rsidR="0091237C" w:rsidRPr="0060686E">
        <w:rPr>
          <w:rFonts w:ascii="Arial" w:eastAsia="Times New Roman" w:hAnsi="Arial" w:cs="Arial"/>
          <w:bCs/>
          <w:color w:val="000000"/>
          <w:sz w:val="22"/>
          <w:lang w:eastAsia="es-CO"/>
        </w:rPr>
        <w:t xml:space="preserve"> a la prohibición de la contratación directa se sumarán</w:t>
      </w:r>
      <w:r w:rsidR="003A529D" w:rsidRPr="0060686E">
        <w:rPr>
          <w:rFonts w:ascii="Arial" w:eastAsia="Times New Roman" w:hAnsi="Arial" w:cs="Arial"/>
          <w:bCs/>
          <w:color w:val="000000"/>
          <w:sz w:val="22"/>
          <w:lang w:eastAsia="es-CO"/>
        </w:rPr>
        <w:t xml:space="preserve"> las restricciones que</w:t>
      </w:r>
      <w:r w:rsidR="00AE53EB" w:rsidRPr="0060686E">
        <w:rPr>
          <w:rFonts w:ascii="Arial" w:eastAsia="Times New Roman" w:hAnsi="Arial" w:cs="Arial"/>
          <w:bCs/>
          <w:color w:val="000000"/>
          <w:sz w:val="22"/>
          <w:lang w:eastAsia="es-CO"/>
        </w:rPr>
        <w:t xml:space="preserve"> prevé</w:t>
      </w:r>
      <w:r w:rsidR="0022678E" w:rsidRPr="0060686E">
        <w:rPr>
          <w:rFonts w:ascii="Arial" w:eastAsia="Times New Roman" w:hAnsi="Arial" w:cs="Arial"/>
          <w:bCs/>
          <w:color w:val="000000"/>
          <w:sz w:val="22"/>
          <w:lang w:eastAsia="es-CO"/>
        </w:rPr>
        <w:t xml:space="preserve"> </w:t>
      </w:r>
      <w:r w:rsidR="00AE53EB" w:rsidRPr="0060686E">
        <w:rPr>
          <w:rFonts w:ascii="Arial" w:eastAsia="Times New Roman" w:hAnsi="Arial" w:cs="Arial"/>
          <w:bCs/>
          <w:color w:val="000000"/>
          <w:sz w:val="22"/>
          <w:lang w:eastAsia="es-CO"/>
        </w:rPr>
        <w:t>la Ley de Garant</w:t>
      </w:r>
      <w:r w:rsidR="00756C0F" w:rsidRPr="0060686E">
        <w:rPr>
          <w:rFonts w:ascii="Arial" w:eastAsia="Times New Roman" w:hAnsi="Arial" w:cs="Arial"/>
          <w:bCs/>
          <w:color w:val="000000"/>
          <w:sz w:val="22"/>
          <w:lang w:eastAsia="es-CO"/>
        </w:rPr>
        <w:t>ías para</w:t>
      </w:r>
      <w:r w:rsidR="0022678E" w:rsidRPr="0060686E">
        <w:rPr>
          <w:rFonts w:ascii="Arial" w:eastAsia="Times New Roman" w:hAnsi="Arial" w:cs="Arial"/>
          <w:bCs/>
          <w:color w:val="000000"/>
          <w:sz w:val="22"/>
          <w:lang w:eastAsia="es-CO"/>
        </w:rPr>
        <w:t xml:space="preserve"> </w:t>
      </w:r>
      <w:r w:rsidR="0076744F" w:rsidRPr="0060686E">
        <w:rPr>
          <w:rFonts w:ascii="Arial" w:eastAsia="Times New Roman" w:hAnsi="Arial" w:cs="Arial"/>
          <w:bCs/>
          <w:color w:val="000000"/>
          <w:sz w:val="22"/>
          <w:lang w:eastAsia="es-CO"/>
        </w:rPr>
        <w:t>los comicios</w:t>
      </w:r>
      <w:r w:rsidR="00B360BE" w:rsidRPr="0060686E">
        <w:rPr>
          <w:rFonts w:ascii="Arial" w:eastAsia="Times New Roman" w:hAnsi="Arial" w:cs="Arial"/>
          <w:bCs/>
          <w:color w:val="000000"/>
          <w:sz w:val="22"/>
          <w:lang w:eastAsia="es-CO"/>
        </w:rPr>
        <w:t xml:space="preserve"> </w:t>
      </w:r>
      <w:r w:rsidR="00756C0F" w:rsidRPr="0060686E">
        <w:rPr>
          <w:rFonts w:ascii="Arial" w:eastAsia="Times New Roman" w:hAnsi="Arial" w:cs="Arial"/>
          <w:bCs/>
          <w:color w:val="000000"/>
          <w:sz w:val="22"/>
          <w:lang w:eastAsia="es-CO"/>
        </w:rPr>
        <w:t xml:space="preserve">que definen el acceso </w:t>
      </w:r>
      <w:r w:rsidR="00B360BE" w:rsidRPr="0060686E">
        <w:rPr>
          <w:rFonts w:ascii="Arial" w:eastAsia="Times New Roman" w:hAnsi="Arial" w:cs="Arial"/>
          <w:bCs/>
          <w:color w:val="000000"/>
          <w:sz w:val="22"/>
          <w:lang w:eastAsia="es-CO"/>
        </w:rPr>
        <w:t>a</w:t>
      </w:r>
      <w:r w:rsidR="0022678E" w:rsidRPr="0060686E">
        <w:rPr>
          <w:rFonts w:ascii="Arial" w:eastAsia="Times New Roman" w:hAnsi="Arial" w:cs="Arial"/>
          <w:bCs/>
          <w:color w:val="000000"/>
          <w:sz w:val="22"/>
          <w:lang w:eastAsia="es-CO"/>
        </w:rPr>
        <w:t xml:space="preserve"> cargos de elección popula</w:t>
      </w:r>
      <w:r w:rsidR="009831AC" w:rsidRPr="0060686E">
        <w:rPr>
          <w:rFonts w:ascii="Arial" w:eastAsia="Times New Roman" w:hAnsi="Arial" w:cs="Arial"/>
          <w:bCs/>
          <w:color w:val="000000"/>
          <w:sz w:val="22"/>
          <w:lang w:eastAsia="es-CO"/>
        </w:rPr>
        <w:t>r, como se desarrolla a continuación.</w:t>
      </w:r>
    </w:p>
    <w:p w14:paraId="4AE0A23F" w14:textId="77777777" w:rsidR="00FB58AF" w:rsidRPr="0060686E" w:rsidRDefault="00FB58AF" w:rsidP="009C4DAD">
      <w:pPr>
        <w:spacing w:after="0"/>
        <w:rPr>
          <w:rFonts w:ascii="Arial" w:eastAsia="Times New Roman" w:hAnsi="Arial" w:cs="Arial"/>
          <w:bCs/>
          <w:color w:val="000000"/>
          <w:sz w:val="22"/>
          <w:lang w:eastAsia="es-CO"/>
        </w:rPr>
      </w:pPr>
    </w:p>
    <w:p w14:paraId="26BD23AE" w14:textId="2CEC9108" w:rsidR="00FB58AF" w:rsidRPr="0060686E" w:rsidRDefault="00387F0A" w:rsidP="009C4DAD">
      <w:pPr>
        <w:rPr>
          <w:rFonts w:ascii="Arial" w:eastAsia="Times New Roman" w:hAnsi="Arial" w:cs="Arial"/>
          <w:b/>
          <w:bCs/>
          <w:color w:val="000000"/>
          <w:sz w:val="22"/>
          <w:lang w:eastAsia="es-CO"/>
        </w:rPr>
      </w:pPr>
      <w:r w:rsidRPr="0060686E">
        <w:rPr>
          <w:rFonts w:ascii="Arial" w:eastAsia="Times New Roman" w:hAnsi="Arial" w:cs="Arial"/>
          <w:b/>
          <w:bCs/>
          <w:color w:val="000000"/>
          <w:sz w:val="22"/>
          <w:lang w:eastAsia="es-CO"/>
        </w:rPr>
        <w:t>2.2</w:t>
      </w:r>
      <w:r w:rsidR="00964C6F" w:rsidRPr="0060686E">
        <w:rPr>
          <w:rFonts w:ascii="Arial" w:eastAsia="Times New Roman" w:hAnsi="Arial" w:cs="Arial"/>
          <w:b/>
          <w:bCs/>
          <w:color w:val="000000"/>
          <w:sz w:val="22"/>
          <w:lang w:eastAsia="es-CO"/>
        </w:rPr>
        <w:t>.2</w:t>
      </w:r>
      <w:r w:rsidR="00681A07" w:rsidRPr="0060686E">
        <w:rPr>
          <w:rFonts w:ascii="Arial" w:eastAsia="Times New Roman" w:hAnsi="Arial" w:cs="Arial"/>
          <w:b/>
          <w:bCs/>
          <w:color w:val="000000"/>
          <w:sz w:val="22"/>
          <w:lang w:eastAsia="es-CO"/>
        </w:rPr>
        <w:t xml:space="preserve"> Restricciones </w:t>
      </w:r>
      <w:r w:rsidR="00161DA2" w:rsidRPr="0060686E">
        <w:rPr>
          <w:rFonts w:ascii="Arial" w:eastAsia="Times New Roman" w:hAnsi="Arial" w:cs="Arial"/>
          <w:b/>
          <w:bCs/>
          <w:color w:val="000000"/>
          <w:sz w:val="22"/>
          <w:lang w:eastAsia="es-CO"/>
        </w:rPr>
        <w:t>frente a los comicios</w:t>
      </w:r>
      <w:r w:rsidR="0000682D" w:rsidRPr="0060686E">
        <w:rPr>
          <w:rFonts w:ascii="Arial" w:eastAsia="Times New Roman" w:hAnsi="Arial" w:cs="Arial"/>
          <w:b/>
          <w:bCs/>
          <w:color w:val="000000"/>
          <w:sz w:val="22"/>
          <w:lang w:eastAsia="es-CO"/>
        </w:rPr>
        <w:t xml:space="preserve"> </w:t>
      </w:r>
      <w:r w:rsidR="00681A07" w:rsidRPr="0060686E">
        <w:rPr>
          <w:rFonts w:ascii="Arial" w:eastAsia="Times New Roman" w:hAnsi="Arial" w:cs="Arial"/>
          <w:b/>
          <w:bCs/>
          <w:color w:val="000000"/>
          <w:sz w:val="22"/>
          <w:lang w:eastAsia="es-CO"/>
        </w:rPr>
        <w:t xml:space="preserve">a cargos de elección popular </w:t>
      </w:r>
    </w:p>
    <w:p w14:paraId="6D86B2EA" w14:textId="77777777" w:rsidR="00681A07" w:rsidRPr="0060686E" w:rsidRDefault="00681A07" w:rsidP="00681A07">
      <w:pPr>
        <w:tabs>
          <w:tab w:val="left" w:pos="426"/>
        </w:tabs>
        <w:rPr>
          <w:rFonts w:ascii="Arial" w:eastAsia="Calibri" w:hAnsi="Arial" w:cs="Arial"/>
          <w:bCs/>
          <w:sz w:val="22"/>
          <w:lang w:val="es-CO"/>
        </w:rPr>
      </w:pPr>
      <w:r w:rsidRPr="0060686E">
        <w:rPr>
          <w:rFonts w:ascii="Arial" w:eastAsia="Calibri" w:hAnsi="Arial" w:cs="Arial"/>
          <w:bCs/>
          <w:sz w:val="22"/>
          <w:lang w:val="es-C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 términos:</w:t>
      </w:r>
    </w:p>
    <w:p w14:paraId="57F5A990" w14:textId="29E77FD4" w:rsidR="00681A07" w:rsidRPr="0060686E" w:rsidRDefault="009C4DAD" w:rsidP="009C4DAD">
      <w:pPr>
        <w:tabs>
          <w:tab w:val="left" w:pos="426"/>
        </w:tabs>
        <w:spacing w:after="0" w:line="240" w:lineRule="auto"/>
        <w:ind w:right="709"/>
        <w:rPr>
          <w:rFonts w:ascii="Arial" w:eastAsia="Calibri" w:hAnsi="Arial" w:cs="Arial"/>
          <w:bCs/>
          <w:sz w:val="21"/>
          <w:szCs w:val="21"/>
          <w:lang w:val="es-CO"/>
        </w:rPr>
      </w:pPr>
      <w:r w:rsidRPr="0060686E">
        <w:rPr>
          <w:rFonts w:ascii="Arial" w:eastAsia="Calibri" w:hAnsi="Arial" w:cs="Arial"/>
          <w:bCs/>
          <w:sz w:val="22"/>
          <w:lang w:val="es-CO"/>
        </w:rPr>
        <w:tab/>
      </w:r>
      <w:r w:rsidRPr="0060686E">
        <w:rPr>
          <w:rFonts w:ascii="Arial" w:eastAsia="Calibri" w:hAnsi="Arial" w:cs="Arial"/>
          <w:bCs/>
          <w:sz w:val="22"/>
          <w:lang w:val="es-CO"/>
        </w:rPr>
        <w:tab/>
      </w:r>
      <w:r w:rsidR="00681A07" w:rsidRPr="0060686E">
        <w:rPr>
          <w:rFonts w:ascii="Arial" w:eastAsia="Calibri" w:hAnsi="Arial" w:cs="Arial"/>
          <w:bCs/>
          <w:sz w:val="21"/>
          <w:szCs w:val="21"/>
          <w:lang w:val="es-CO"/>
        </w:rPr>
        <w:t>[…]</w:t>
      </w:r>
    </w:p>
    <w:p w14:paraId="1713B667" w14:textId="05C905E2" w:rsidR="00681A07" w:rsidRPr="0060686E" w:rsidRDefault="00681A07" w:rsidP="009C4DAD">
      <w:pPr>
        <w:tabs>
          <w:tab w:val="left" w:pos="426"/>
        </w:tabs>
        <w:spacing w:after="0" w:line="240" w:lineRule="auto"/>
        <w:ind w:left="709" w:right="709" w:firstLine="1"/>
        <w:rPr>
          <w:rFonts w:ascii="Arial" w:eastAsia="Calibri" w:hAnsi="Arial" w:cs="Arial"/>
          <w:bCs/>
          <w:sz w:val="21"/>
          <w:szCs w:val="21"/>
          <w:lang w:val="es-CO"/>
        </w:rPr>
      </w:pPr>
      <w:r w:rsidRPr="0060686E">
        <w:rPr>
          <w:rFonts w:ascii="Arial" w:eastAsia="Calibri" w:hAnsi="Arial" w:cs="Arial"/>
          <w:bCs/>
          <w:sz w:val="21"/>
          <w:szCs w:val="21"/>
          <w:lang w:val="es-CO"/>
        </w:rPr>
        <w:t xml:space="preserve">Gobernadores, Alcaldes Municipales y/o Distritales, Secretarios, Gerentes y directores de Entidades Descentralizadas del orden Municipal, Departamental o Distrital, dentro de los cuatro (4) meses anteriores a las elecciones, no podrán </w:t>
      </w:r>
      <w:r w:rsidRPr="0060686E">
        <w:rPr>
          <w:rFonts w:ascii="Arial" w:eastAsia="Calibri" w:hAnsi="Arial" w:cs="Arial"/>
          <w:bCs/>
          <w:sz w:val="21"/>
          <w:szCs w:val="21"/>
          <w:lang w:val="es-CO"/>
        </w:rPr>
        <w:lastRenderedPageBreak/>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w:t>
      </w:r>
      <w:r w:rsidR="009C4DAD" w:rsidRPr="0060686E">
        <w:rPr>
          <w:rFonts w:ascii="Arial" w:eastAsia="Calibri" w:hAnsi="Arial" w:cs="Arial"/>
          <w:bCs/>
          <w:sz w:val="21"/>
          <w:szCs w:val="21"/>
          <w:lang w:val="es-CO"/>
        </w:rPr>
        <w:t>cipen voceros de los candidatos</w:t>
      </w:r>
      <w:r w:rsidRPr="0060686E">
        <w:rPr>
          <w:rFonts w:ascii="Arial" w:eastAsia="Calibri" w:hAnsi="Arial" w:cs="Arial"/>
          <w:bCs/>
          <w:sz w:val="21"/>
          <w:szCs w:val="21"/>
          <w:lang w:val="es-CO"/>
        </w:rPr>
        <w:t>.</w:t>
      </w:r>
    </w:p>
    <w:p w14:paraId="1651D04A" w14:textId="77777777" w:rsidR="009C4DAD" w:rsidRPr="0060686E" w:rsidRDefault="009C4DAD" w:rsidP="009C4DAD">
      <w:pPr>
        <w:tabs>
          <w:tab w:val="left" w:pos="426"/>
        </w:tabs>
        <w:spacing w:after="0"/>
        <w:ind w:firstLine="709"/>
        <w:rPr>
          <w:rFonts w:ascii="Arial" w:eastAsia="Calibri" w:hAnsi="Arial" w:cs="Arial"/>
          <w:bCs/>
          <w:sz w:val="22"/>
          <w:lang w:val="es-CO"/>
        </w:rPr>
      </w:pPr>
    </w:p>
    <w:p w14:paraId="1AC95AA5" w14:textId="181FAF25" w:rsidR="00681A07" w:rsidRPr="0060686E" w:rsidRDefault="00681A07" w:rsidP="00374753">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Ahora bien, un contrato o una convención es un acuerdo de voluntades entre dos o más partes generador de obligaciones, sean estas de dar, hacer o no hacer algo. Dicho acuerdo es ley para los extremos de la relación contractual, por lo que solo podrá ser invalidado por su consentimi</w:t>
      </w:r>
      <w:r w:rsidR="009C4DAD" w:rsidRPr="0060686E">
        <w:rPr>
          <w:rFonts w:ascii="Arial" w:eastAsia="Calibri" w:hAnsi="Arial" w:cs="Arial"/>
          <w:bCs/>
          <w:sz w:val="22"/>
          <w:lang w:val="es-CO"/>
        </w:rPr>
        <w:t>ento mutuo o por causas legales</w:t>
      </w:r>
      <w:r w:rsidRPr="0060686E">
        <w:rPr>
          <w:rFonts w:ascii="Arial" w:eastAsia="Calibri" w:hAnsi="Arial" w:cs="Arial"/>
          <w:bCs/>
          <w:sz w:val="22"/>
          <w:lang w:val="es-CO"/>
        </w:rPr>
        <w:t>.</w:t>
      </w:r>
    </w:p>
    <w:p w14:paraId="2C9A2F31" w14:textId="77777777" w:rsidR="00374753" w:rsidRPr="0060686E" w:rsidRDefault="00681A07" w:rsidP="00374753">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define la noción de contrato estatal indicando que es cualquier acto jurídico generador de obligaciones que celebren las entidades estatales a las que dicha Ley se refiere, previstos en el derecho privado o derivados del ejercicio de la autonomía de la voluntad.</w:t>
      </w:r>
    </w:p>
    <w:p w14:paraId="24C3F65E" w14:textId="4D0DA474" w:rsidR="00374753" w:rsidRPr="0060686E" w:rsidRDefault="00681A07" w:rsidP="00374753">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Además, la Ley 80 de 1993 también facultó de manera expresa a las entidades estatales para celebrar contratos y los demás acuerdos que permitan la autonomía de la voluntad y requieran el cumplimiento de los fines estatales, así como la continua y eficiente pr</w:t>
      </w:r>
      <w:r w:rsidR="00374753" w:rsidRPr="0060686E">
        <w:rPr>
          <w:rFonts w:ascii="Arial" w:eastAsia="Calibri" w:hAnsi="Arial" w:cs="Arial"/>
          <w:bCs/>
          <w:sz w:val="22"/>
          <w:lang w:val="es-CO"/>
        </w:rPr>
        <w:t>estación de servicios públicos.</w:t>
      </w:r>
    </w:p>
    <w:p w14:paraId="2BBAAADC" w14:textId="6206E758" w:rsidR="00374753" w:rsidRPr="0060686E" w:rsidRDefault="00681A07" w:rsidP="00374753">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Lo anterior quiere decir que las entidades estatales que se rigen por la Ley 80 de 1993, en virtud de la autonomía de la voluntad, pueden celebrar todos los acuerdos, denomínese contrato, convención</w:t>
      </w:r>
      <w:r w:rsidR="00673832" w:rsidRPr="0060686E">
        <w:rPr>
          <w:rFonts w:ascii="Arial" w:eastAsia="Calibri" w:hAnsi="Arial" w:cs="Arial"/>
          <w:bCs/>
          <w:sz w:val="22"/>
          <w:lang w:val="es-CO"/>
        </w:rPr>
        <w:t xml:space="preserve"> o</w:t>
      </w:r>
      <w:r w:rsidRPr="0060686E">
        <w:rPr>
          <w:rFonts w:ascii="Arial" w:eastAsia="Calibri" w:hAnsi="Arial" w:cs="Arial"/>
          <w:bCs/>
          <w:sz w:val="22"/>
          <w:lang w:val="es-CO"/>
        </w:rPr>
        <w:t xml:space="preserve"> convenio, que requieran para la materialización de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w:t>
      </w:r>
      <w:r w:rsidR="00374753" w:rsidRPr="0060686E">
        <w:rPr>
          <w:rFonts w:ascii="Arial" w:eastAsia="Calibri" w:hAnsi="Arial" w:cs="Arial"/>
          <w:bCs/>
          <w:sz w:val="22"/>
          <w:lang w:val="es-CO"/>
        </w:rPr>
        <w:t>miento de los fines del Estado.</w:t>
      </w:r>
    </w:p>
    <w:p w14:paraId="2B0811BF" w14:textId="60BBADF5" w:rsidR="00374753" w:rsidRPr="0060686E" w:rsidRDefault="007928FC" w:rsidP="00374753">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Considerando la prohibición de que trata el artículo 38 de la Ley 996 de 2005, conviene precisar que l</w:t>
      </w:r>
      <w:r w:rsidR="00681A07" w:rsidRPr="0060686E">
        <w:rPr>
          <w:rFonts w:ascii="Arial" w:eastAsia="Calibri" w:hAnsi="Arial" w:cs="Arial"/>
          <w:bCs/>
          <w:sz w:val="22"/>
          <w:lang w:val="es-CO"/>
        </w:rPr>
        <w:t>a tipología de contrato interadministrativo fue creada en la Ley 80 de 1993, y aunque no la definió ni la desarrolló, el Decreto 1082 de 2015 califica a los contratos o contratos interadministrativos como aquella contrata</w:t>
      </w:r>
      <w:r w:rsidR="00374753" w:rsidRPr="0060686E">
        <w:rPr>
          <w:rFonts w:ascii="Arial" w:eastAsia="Calibri" w:hAnsi="Arial" w:cs="Arial"/>
          <w:bCs/>
          <w:sz w:val="22"/>
          <w:lang w:val="es-CO"/>
        </w:rPr>
        <w:t>ción entre entidades estatales.</w:t>
      </w:r>
    </w:p>
    <w:p w14:paraId="618A1FEC" w14:textId="4BEFA04A" w:rsidR="00374753" w:rsidRPr="0060686E" w:rsidRDefault="00681A07" w:rsidP="00374753">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 xml:space="preserve">De acuerdo con lo anterior, el contrato o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w:t>
      </w:r>
      <w:r w:rsidRPr="0060686E">
        <w:rPr>
          <w:rFonts w:ascii="Arial" w:eastAsia="Calibri" w:hAnsi="Arial" w:cs="Arial"/>
          <w:bCs/>
          <w:sz w:val="22"/>
          <w:lang w:val="es-CO"/>
        </w:rPr>
        <w:lastRenderedPageBreak/>
        <w:t xml:space="preserve">nominados en la Ley 80 de 1993 están </w:t>
      </w:r>
      <w:r w:rsidR="00296D38" w:rsidRPr="0060686E">
        <w:rPr>
          <w:rFonts w:ascii="Arial" w:eastAsia="Calibri" w:hAnsi="Arial" w:cs="Arial"/>
          <w:bCs/>
          <w:sz w:val="22"/>
          <w:lang w:val="es-CO"/>
        </w:rPr>
        <w:t>determinados por</w:t>
      </w:r>
      <w:r w:rsidRPr="0060686E">
        <w:rPr>
          <w:rFonts w:ascii="Arial" w:eastAsia="Calibri" w:hAnsi="Arial" w:cs="Arial"/>
          <w:bCs/>
          <w:sz w:val="22"/>
          <w:lang w:val="es-CO"/>
        </w:rPr>
        <w:t xml:space="preserve"> un criterio orgánico, pues es necesario que los extremos de la relación contractual sean entidades estatales.</w:t>
      </w:r>
    </w:p>
    <w:p w14:paraId="59B3A5DA" w14:textId="13E28E43" w:rsidR="002F51E1" w:rsidRPr="0060686E" w:rsidRDefault="00D704B4" w:rsidP="00374753">
      <w:pPr>
        <w:tabs>
          <w:tab w:val="left" w:pos="426"/>
        </w:tabs>
        <w:spacing w:after="120"/>
        <w:ind w:firstLine="709"/>
        <w:rPr>
          <w:rFonts w:ascii="Arial" w:eastAsia="Calibri" w:hAnsi="Arial" w:cs="Arial"/>
          <w:bCs/>
          <w:sz w:val="22"/>
          <w:lang w:val="es-CO"/>
        </w:rPr>
      </w:pPr>
      <w:r w:rsidRPr="0060686E">
        <w:rPr>
          <w:rFonts w:ascii="Arial" w:hAnsi="Arial" w:cs="Arial"/>
          <w:color w:val="000000" w:themeColor="text1"/>
          <w:sz w:val="22"/>
        </w:rPr>
        <w:t>En relación con</w:t>
      </w:r>
      <w:r w:rsidR="002F51E1" w:rsidRPr="0060686E">
        <w:rPr>
          <w:rFonts w:ascii="Arial" w:hAnsi="Arial" w:cs="Arial"/>
          <w:color w:val="000000" w:themeColor="text1"/>
          <w:sz w:val="22"/>
        </w:rPr>
        <w:t xml:space="preserve"> este </w:t>
      </w:r>
      <w:r w:rsidR="001052AF" w:rsidRPr="0060686E">
        <w:rPr>
          <w:rFonts w:ascii="Arial" w:hAnsi="Arial" w:cs="Arial"/>
          <w:color w:val="000000" w:themeColor="text1"/>
          <w:sz w:val="22"/>
        </w:rPr>
        <w:t>aspecto</w:t>
      </w:r>
      <w:r w:rsidR="002F51E1" w:rsidRPr="0060686E">
        <w:rPr>
          <w:rFonts w:ascii="Arial" w:hAnsi="Arial" w:cs="Arial"/>
          <w:color w:val="000000" w:themeColor="text1"/>
          <w:sz w:val="22"/>
        </w:rPr>
        <w:t xml:space="preserve">, la Corte Constitucional, en la Sentencia C–671 del 28 de octubre 2015, en </w:t>
      </w:r>
      <w:r w:rsidR="00B42CC0" w:rsidRPr="0060686E">
        <w:rPr>
          <w:rFonts w:ascii="Arial" w:hAnsi="Arial" w:cs="Arial"/>
          <w:color w:val="000000" w:themeColor="text1"/>
          <w:sz w:val="22"/>
        </w:rPr>
        <w:t xml:space="preserve">desarrollo del </w:t>
      </w:r>
      <w:r w:rsidR="002F51E1" w:rsidRPr="0060686E">
        <w:rPr>
          <w:rFonts w:ascii="Arial" w:hAnsi="Arial" w:cs="Arial"/>
          <w:color w:val="000000" w:themeColor="text1"/>
          <w:sz w:val="22"/>
        </w:rPr>
        <w:t xml:space="preserve">control automático de constitucionalidad del Decreto legislativo 1773 de 2015, </w:t>
      </w:r>
      <w:r w:rsidR="00EB770F" w:rsidRPr="0060686E">
        <w:rPr>
          <w:rFonts w:ascii="Arial" w:hAnsi="Arial" w:cs="Arial"/>
          <w:color w:val="000000" w:themeColor="text1"/>
          <w:sz w:val="22"/>
        </w:rPr>
        <w:t>«</w:t>
      </w:r>
      <w:r w:rsidR="002F51E1" w:rsidRPr="0060686E">
        <w:rPr>
          <w:rFonts w:ascii="Arial" w:hAnsi="Arial" w:cs="Arial"/>
          <w:color w:val="000000" w:themeColor="text1"/>
          <w:sz w:val="22"/>
        </w:rPr>
        <w:t>Por el cual se autoriza la celebración de convenios administrativos para la ejecución de recursos públicos por parte de algunas entidades territoriales</w:t>
      </w:r>
      <w:r w:rsidR="00EB770F" w:rsidRPr="0060686E">
        <w:rPr>
          <w:rFonts w:ascii="Arial" w:hAnsi="Arial" w:cs="Arial"/>
          <w:color w:val="000000" w:themeColor="text1"/>
          <w:sz w:val="22"/>
        </w:rPr>
        <w:t>»</w:t>
      </w:r>
      <w:r w:rsidR="002F51E1" w:rsidRPr="0060686E">
        <w:rPr>
          <w:rFonts w:ascii="Arial" w:hAnsi="Arial" w:cs="Arial"/>
          <w:color w:val="000000" w:themeColor="text1"/>
          <w:sz w:val="22"/>
        </w:rPr>
        <w:t>, se pronunció respecto de la naturaleza de los convenios interadministrativos en relación con la Ley de Garantías, indicando</w:t>
      </w:r>
      <w:r w:rsidR="002F51E1" w:rsidRPr="0060686E">
        <w:rPr>
          <w:rFonts w:ascii="Arial" w:hAnsi="Arial" w:cs="Arial"/>
          <w:color w:val="000000" w:themeColor="text1"/>
          <w:spacing w:val="-15"/>
          <w:sz w:val="22"/>
        </w:rPr>
        <w:t xml:space="preserve"> </w:t>
      </w:r>
      <w:r w:rsidR="002F51E1" w:rsidRPr="0060686E">
        <w:rPr>
          <w:rFonts w:ascii="Arial" w:hAnsi="Arial" w:cs="Arial"/>
          <w:color w:val="000000" w:themeColor="text1"/>
          <w:sz w:val="22"/>
        </w:rPr>
        <w:t>que:</w:t>
      </w:r>
    </w:p>
    <w:p w14:paraId="5BEE92BB" w14:textId="249954B1" w:rsidR="002F51E1" w:rsidRPr="0060686E" w:rsidRDefault="00374753" w:rsidP="007928FC">
      <w:pPr>
        <w:pStyle w:val="Textoindependiente"/>
        <w:spacing w:before="11" w:after="0" w:line="240" w:lineRule="auto"/>
        <w:ind w:left="709" w:right="709"/>
        <w:rPr>
          <w:color w:val="000000" w:themeColor="text1"/>
          <w:sz w:val="21"/>
          <w:szCs w:val="21"/>
        </w:rPr>
      </w:pPr>
      <w:r w:rsidRPr="0060686E">
        <w:rPr>
          <w:color w:val="000000" w:themeColor="text1"/>
          <w:sz w:val="21"/>
          <w:szCs w:val="21"/>
        </w:rPr>
        <w:t>[…]</w:t>
      </w:r>
    </w:p>
    <w:p w14:paraId="6A7FF768" w14:textId="77777777" w:rsidR="002F51E1" w:rsidRPr="0060686E" w:rsidRDefault="002F51E1" w:rsidP="007928FC">
      <w:pPr>
        <w:pStyle w:val="Textoindependiente"/>
        <w:spacing w:after="0" w:line="240" w:lineRule="auto"/>
        <w:ind w:left="709" w:right="709"/>
        <w:rPr>
          <w:color w:val="000000" w:themeColor="text1"/>
          <w:sz w:val="21"/>
          <w:szCs w:val="21"/>
        </w:rPr>
      </w:pPr>
      <w:r w:rsidRPr="0060686E">
        <w:rPr>
          <w:color w:val="000000" w:themeColor="text1"/>
          <w:sz w:val="21"/>
          <w:szCs w:val="21"/>
        </w:rPr>
        <w:t>Lo que hace interadministrativo a un contrato o convenio no es el procedimiento de selección aplicable, sino la calidad de los sujetos contratantes, esto es que las dos partes de la relación jurídica contractual formen parte de la administración</w:t>
      </w:r>
      <w:r w:rsidRPr="0060686E">
        <w:rPr>
          <w:color w:val="000000" w:themeColor="text1"/>
          <w:spacing w:val="-2"/>
          <w:sz w:val="21"/>
          <w:szCs w:val="21"/>
        </w:rPr>
        <w:t xml:space="preserve"> </w:t>
      </w:r>
      <w:r w:rsidRPr="0060686E">
        <w:rPr>
          <w:color w:val="000000" w:themeColor="text1"/>
          <w:sz w:val="21"/>
          <w:szCs w:val="21"/>
        </w:rPr>
        <w:t>pública.</w:t>
      </w:r>
    </w:p>
    <w:p w14:paraId="2ABC6B58" w14:textId="77777777" w:rsidR="00374753" w:rsidRPr="0060686E" w:rsidRDefault="00374753" w:rsidP="00374753">
      <w:pPr>
        <w:pStyle w:val="Textoindependiente"/>
        <w:spacing w:after="0"/>
        <w:ind w:left="709" w:right="709"/>
        <w:rPr>
          <w:color w:val="000000" w:themeColor="text1"/>
          <w:sz w:val="21"/>
          <w:szCs w:val="21"/>
        </w:rPr>
      </w:pPr>
    </w:p>
    <w:p w14:paraId="2F153FDD" w14:textId="60D63A10" w:rsidR="000709A5" w:rsidRPr="0060686E" w:rsidRDefault="00681A07" w:rsidP="0060686E">
      <w:pPr>
        <w:tabs>
          <w:tab w:val="left" w:pos="426"/>
        </w:tabs>
        <w:spacing w:after="120"/>
        <w:ind w:firstLine="709"/>
        <w:rPr>
          <w:rFonts w:ascii="Arial" w:eastAsia="Calibri" w:hAnsi="Arial" w:cs="Arial"/>
          <w:bCs/>
          <w:sz w:val="22"/>
          <w:lang w:val="es-CO"/>
        </w:rPr>
      </w:pPr>
      <w:r w:rsidRPr="0060686E">
        <w:rPr>
          <w:rFonts w:ascii="Arial" w:eastAsia="Calibri" w:hAnsi="Arial" w:cs="Arial"/>
          <w:bCs/>
          <w:sz w:val="22"/>
          <w:lang w:val="es-CO"/>
        </w:rPr>
        <w:t>Si bien los contratos y convenios interadministrativos están previstos en la Ley 80 de 1993, y en la Ley 1150 de 2007 y en el Decreto en el 1082 de 2015, no quiere decir que solo puedan celebrarse entre entidades estatales que apliquen el régimen de contratación allí previsto, pues una entidad estatal de Ley 80 de 1993 bien puede celebrar esta clase de convenios con una entidad estatal de régimen especial y no por ello dejará de ser un contrato o convenio interadministrativo, caso en el cual su ejecución estará sometida a la Ley 80 de 1993</w:t>
      </w:r>
      <w:r w:rsidR="001052AF" w:rsidRPr="0060686E">
        <w:rPr>
          <w:rFonts w:ascii="Arial" w:eastAsia="Calibri" w:hAnsi="Arial" w:cs="Arial"/>
          <w:bCs/>
          <w:sz w:val="22"/>
          <w:lang w:val="es-CO"/>
        </w:rPr>
        <w:t>. En este sentido, debe entenderse por contrato o convenio interadministrativo, aquel celebrado entre dos entidades públicas.</w:t>
      </w:r>
    </w:p>
    <w:p w14:paraId="0F683392" w14:textId="52605BA8" w:rsidR="00EB770F" w:rsidRPr="0060686E" w:rsidRDefault="00EB770F" w:rsidP="0060686E">
      <w:pPr>
        <w:widowControl w:val="0"/>
        <w:autoSpaceDE w:val="0"/>
        <w:autoSpaceDN w:val="0"/>
        <w:spacing w:after="0"/>
        <w:ind w:firstLine="708"/>
        <w:rPr>
          <w:rFonts w:ascii="Arial" w:eastAsia="Arial" w:hAnsi="Arial" w:cs="Arial"/>
          <w:sz w:val="22"/>
          <w:lang w:val="es-ES" w:eastAsia="es-ES" w:bidi="es-ES"/>
        </w:rPr>
      </w:pPr>
      <w:r w:rsidRPr="0060686E">
        <w:rPr>
          <w:rFonts w:ascii="Arial" w:eastAsia="Arial" w:hAnsi="Arial" w:cs="Arial"/>
          <w:sz w:val="22"/>
          <w:lang w:val="es-ES" w:eastAsia="es-ES" w:bidi="es-ES"/>
        </w:rPr>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2B8F2110" w14:textId="77777777" w:rsidR="00EB770F" w:rsidRPr="0060686E" w:rsidRDefault="00EB770F" w:rsidP="00EB770F">
      <w:pPr>
        <w:widowControl w:val="0"/>
        <w:autoSpaceDE w:val="0"/>
        <w:autoSpaceDN w:val="0"/>
        <w:spacing w:after="0"/>
        <w:rPr>
          <w:rFonts w:ascii="Arial" w:eastAsia="Arial" w:hAnsi="Arial" w:cs="Arial"/>
          <w:sz w:val="22"/>
          <w:lang w:val="es-ES" w:eastAsia="es-ES" w:bidi="es-ES"/>
        </w:rPr>
      </w:pPr>
    </w:p>
    <w:p w14:paraId="2CF41F0E" w14:textId="77777777" w:rsidR="00EB770F" w:rsidRPr="0060686E" w:rsidRDefault="00EB770F" w:rsidP="00EB770F">
      <w:pPr>
        <w:spacing w:after="0" w:line="240" w:lineRule="auto"/>
        <w:ind w:left="709" w:right="709"/>
        <w:rPr>
          <w:rFonts w:ascii="Arial" w:eastAsia="Calibri" w:hAnsi="Arial" w:cs="Arial"/>
          <w:sz w:val="21"/>
          <w:szCs w:val="21"/>
        </w:rPr>
      </w:pPr>
      <w:r w:rsidRPr="0060686E">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0686E">
        <w:rPr>
          <w:rFonts w:ascii="Arial" w:eastAsia="Calibri"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C58376D" w14:textId="77777777" w:rsidR="00EB770F" w:rsidRPr="0060686E" w:rsidRDefault="00EB770F" w:rsidP="00EB770F">
      <w:pPr>
        <w:spacing w:after="0" w:line="240" w:lineRule="auto"/>
        <w:ind w:left="709" w:right="709"/>
        <w:rPr>
          <w:rFonts w:ascii="Arial" w:eastAsia="Calibri" w:hAnsi="Arial" w:cs="Arial"/>
          <w:sz w:val="21"/>
          <w:szCs w:val="21"/>
        </w:rPr>
      </w:pPr>
    </w:p>
    <w:p w14:paraId="4F53142F" w14:textId="77777777" w:rsidR="00EB770F" w:rsidRPr="0060686E" w:rsidRDefault="00EB770F" w:rsidP="00EB770F">
      <w:pPr>
        <w:spacing w:after="0" w:line="240" w:lineRule="auto"/>
        <w:ind w:left="709" w:right="709"/>
        <w:rPr>
          <w:rFonts w:ascii="Arial" w:eastAsia="Calibri" w:hAnsi="Arial" w:cs="Arial"/>
          <w:sz w:val="21"/>
          <w:szCs w:val="21"/>
        </w:rPr>
      </w:pPr>
      <w:r w:rsidRPr="0060686E">
        <w:rPr>
          <w:rFonts w:ascii="Arial" w:eastAsia="Calibri" w:hAnsi="Arial" w:cs="Arial"/>
          <w:sz w:val="21"/>
          <w:szCs w:val="21"/>
        </w:rPr>
        <w:lastRenderedPageBreak/>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13A22C5" w14:textId="77777777" w:rsidR="00EB770F" w:rsidRPr="0060686E" w:rsidRDefault="00EB770F" w:rsidP="00EB770F">
      <w:pPr>
        <w:spacing w:after="0" w:line="240" w:lineRule="auto"/>
        <w:ind w:left="709" w:right="709"/>
        <w:rPr>
          <w:rFonts w:ascii="Arial" w:eastAsia="Calibri" w:hAnsi="Arial" w:cs="Arial"/>
          <w:sz w:val="21"/>
          <w:szCs w:val="21"/>
        </w:rPr>
      </w:pPr>
    </w:p>
    <w:p w14:paraId="6E54B548" w14:textId="77777777" w:rsidR="00EB770F" w:rsidRPr="0060686E" w:rsidRDefault="00EB770F" w:rsidP="00EB770F">
      <w:pPr>
        <w:spacing w:after="0" w:line="240" w:lineRule="auto"/>
        <w:ind w:left="709" w:right="709"/>
        <w:rPr>
          <w:rFonts w:ascii="Calibri" w:eastAsia="Calibri" w:hAnsi="Calibri" w:cs="Times New Roman"/>
        </w:rPr>
      </w:pPr>
      <w:r w:rsidRPr="0060686E">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2BB8391" w14:textId="77777777" w:rsidR="00EB770F" w:rsidRPr="0060686E" w:rsidRDefault="00EB770F" w:rsidP="00EB770F">
      <w:pPr>
        <w:widowControl w:val="0"/>
        <w:autoSpaceDE w:val="0"/>
        <w:autoSpaceDN w:val="0"/>
        <w:spacing w:before="3" w:after="0" w:line="240" w:lineRule="auto"/>
        <w:jc w:val="left"/>
        <w:rPr>
          <w:rFonts w:ascii="Arial" w:eastAsia="Arial" w:hAnsi="Arial" w:cs="Arial"/>
          <w:sz w:val="25"/>
          <w:lang w:val="es-ES" w:eastAsia="es-ES" w:bidi="es-ES"/>
        </w:rPr>
      </w:pPr>
    </w:p>
    <w:p w14:paraId="2EB3279F" w14:textId="06FAD609" w:rsidR="00EB770F" w:rsidRPr="0060686E" w:rsidRDefault="00EB770F" w:rsidP="00EB770F">
      <w:pPr>
        <w:widowControl w:val="0"/>
        <w:autoSpaceDE w:val="0"/>
        <w:autoSpaceDN w:val="0"/>
        <w:spacing w:before="3" w:after="0"/>
        <w:rPr>
          <w:rFonts w:ascii="Arial" w:eastAsia="Arial" w:hAnsi="Arial" w:cs="Arial"/>
          <w:sz w:val="22"/>
          <w:lang w:val="es-ES" w:eastAsia="es-ES" w:bidi="es-ES"/>
        </w:rPr>
      </w:pPr>
      <w:r w:rsidRPr="0060686E">
        <w:rPr>
          <w:rFonts w:ascii="Arial" w:eastAsia="Arial" w:hAnsi="Arial" w:cs="Arial"/>
          <w:sz w:val="25"/>
          <w:lang w:val="es-ES" w:eastAsia="es-ES" w:bidi="es-ES"/>
        </w:rPr>
        <w:tab/>
      </w:r>
      <w:r w:rsidRPr="0060686E">
        <w:rPr>
          <w:rFonts w:ascii="Arial" w:eastAsia="Calibri" w:hAnsi="Arial" w:cs="Arial"/>
          <w:sz w:val="22"/>
          <w:lang w:val="es-ES"/>
        </w:rPr>
        <w:t xml:space="preserve">Teniendo en cuenta lo anterior, se reitera la conclusión en el sentido de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anteriores, esto es, para los contratos o convenios interadministrativos. Finalmente, es importante destacar que la prohibición aplicará cuando el </w:t>
      </w:r>
      <w:r w:rsidR="00B22787" w:rsidRPr="0060686E">
        <w:rPr>
          <w:rFonts w:ascii="Arial" w:eastAsia="Calibri" w:hAnsi="Arial" w:cs="Arial"/>
          <w:sz w:val="22"/>
          <w:lang w:val="es-ES"/>
        </w:rPr>
        <w:t>contrato o convenio interadministrativo sea celebrado por los gobernadores, alcaldes, secretarios, gerentes y directores de entidades del orden municipal, departamental o distrital, como expresamente lo establece el parágrafo del artículo 38 de la Ley 996 de 2005</w:t>
      </w:r>
      <w:r w:rsidR="00356F09" w:rsidRPr="0060686E">
        <w:rPr>
          <w:rFonts w:ascii="Arial" w:eastAsia="Calibri" w:hAnsi="Arial" w:cs="Arial"/>
          <w:sz w:val="22"/>
          <w:lang w:val="es-ES"/>
        </w:rPr>
        <w:t>.</w:t>
      </w:r>
      <w:r w:rsidR="007C59D4" w:rsidRPr="0060686E">
        <w:rPr>
          <w:rFonts w:ascii="Arial" w:eastAsia="Calibri" w:hAnsi="Arial" w:cs="Arial"/>
          <w:sz w:val="22"/>
          <w:lang w:val="es-ES"/>
        </w:rPr>
        <w:t xml:space="preserve"> </w:t>
      </w:r>
    </w:p>
    <w:p w14:paraId="04D60377" w14:textId="77777777" w:rsidR="006547CE" w:rsidRPr="0060686E" w:rsidRDefault="006547CE" w:rsidP="006547CE">
      <w:pPr>
        <w:tabs>
          <w:tab w:val="left" w:pos="426"/>
        </w:tabs>
        <w:spacing w:after="0"/>
        <w:rPr>
          <w:rFonts w:ascii="Arial" w:eastAsia="Calibri" w:hAnsi="Arial" w:cs="Arial"/>
          <w:bCs/>
          <w:sz w:val="22"/>
          <w:lang w:val="es-CO"/>
        </w:rPr>
      </w:pPr>
    </w:p>
    <w:p w14:paraId="214F97FE" w14:textId="75786831" w:rsidR="006547CE" w:rsidRPr="0060686E" w:rsidRDefault="006547CE" w:rsidP="006547CE">
      <w:pPr>
        <w:tabs>
          <w:tab w:val="left" w:pos="426"/>
        </w:tabs>
        <w:spacing w:after="0"/>
        <w:rPr>
          <w:rFonts w:ascii="Arial" w:eastAsia="Calibri" w:hAnsi="Arial" w:cs="Arial"/>
          <w:b/>
          <w:bCs/>
          <w:sz w:val="22"/>
          <w:lang w:val="es-CO"/>
        </w:rPr>
      </w:pPr>
      <w:r w:rsidRPr="0060686E">
        <w:rPr>
          <w:rFonts w:ascii="Arial" w:eastAsia="Calibri" w:hAnsi="Arial" w:cs="Arial"/>
          <w:b/>
          <w:bCs/>
          <w:sz w:val="22"/>
          <w:lang w:val="es-CO"/>
        </w:rPr>
        <w:t>2.3</w:t>
      </w:r>
      <w:r w:rsidR="00013D7F" w:rsidRPr="0060686E">
        <w:rPr>
          <w:rFonts w:ascii="Arial" w:eastAsia="Calibri" w:hAnsi="Arial" w:cs="Arial"/>
          <w:b/>
          <w:bCs/>
          <w:sz w:val="22"/>
          <w:lang w:val="es-CO"/>
        </w:rPr>
        <w:t xml:space="preserve">. </w:t>
      </w:r>
      <w:r w:rsidR="00AC45E9" w:rsidRPr="0060686E">
        <w:rPr>
          <w:rFonts w:ascii="Arial" w:eastAsia="Calibri" w:hAnsi="Arial" w:cs="Arial"/>
          <w:b/>
          <w:bCs/>
          <w:sz w:val="22"/>
          <w:lang w:val="es-CO"/>
        </w:rPr>
        <w:t>E</w:t>
      </w:r>
      <w:r w:rsidR="00013D7F" w:rsidRPr="0060686E">
        <w:rPr>
          <w:rFonts w:ascii="Arial" w:eastAsia="Calibri" w:hAnsi="Arial" w:cs="Arial"/>
          <w:b/>
          <w:bCs/>
          <w:sz w:val="22"/>
          <w:lang w:val="es-CO"/>
        </w:rPr>
        <w:t>xcepción a la prohibición de la contratación directa del art</w:t>
      </w:r>
      <w:r w:rsidR="006C06F2" w:rsidRPr="0060686E">
        <w:rPr>
          <w:rFonts w:ascii="Arial" w:eastAsia="Calibri" w:hAnsi="Arial" w:cs="Arial"/>
          <w:b/>
          <w:bCs/>
          <w:sz w:val="22"/>
          <w:lang w:val="es-CO"/>
        </w:rPr>
        <w:t>íc</w:t>
      </w:r>
      <w:r w:rsidR="00013D7F" w:rsidRPr="0060686E">
        <w:rPr>
          <w:rFonts w:ascii="Arial" w:eastAsia="Calibri" w:hAnsi="Arial" w:cs="Arial"/>
          <w:b/>
          <w:bCs/>
          <w:sz w:val="22"/>
          <w:lang w:val="es-CO"/>
        </w:rPr>
        <w:t xml:space="preserve">ulo 33 de la </w:t>
      </w:r>
      <w:r w:rsidR="00FE45F3" w:rsidRPr="0060686E">
        <w:rPr>
          <w:rFonts w:ascii="Arial" w:eastAsia="Calibri" w:hAnsi="Arial" w:cs="Arial"/>
          <w:b/>
          <w:bCs/>
          <w:sz w:val="22"/>
          <w:lang w:val="es-CO"/>
        </w:rPr>
        <w:t>L</w:t>
      </w:r>
      <w:r w:rsidR="00013D7F" w:rsidRPr="0060686E">
        <w:rPr>
          <w:rFonts w:ascii="Arial" w:eastAsia="Calibri" w:hAnsi="Arial" w:cs="Arial"/>
          <w:b/>
          <w:bCs/>
          <w:sz w:val="22"/>
          <w:lang w:val="es-CO"/>
        </w:rPr>
        <w:t xml:space="preserve">ey de </w:t>
      </w:r>
      <w:r w:rsidR="00FE45F3" w:rsidRPr="0060686E">
        <w:rPr>
          <w:rFonts w:ascii="Arial" w:eastAsia="Calibri" w:hAnsi="Arial" w:cs="Arial"/>
          <w:b/>
          <w:bCs/>
          <w:sz w:val="22"/>
          <w:lang w:val="es-CO"/>
        </w:rPr>
        <w:t>G</w:t>
      </w:r>
      <w:r w:rsidR="00013D7F" w:rsidRPr="0060686E">
        <w:rPr>
          <w:rFonts w:ascii="Arial" w:eastAsia="Calibri" w:hAnsi="Arial" w:cs="Arial"/>
          <w:b/>
          <w:bCs/>
          <w:sz w:val="22"/>
          <w:lang w:val="es-CO"/>
        </w:rPr>
        <w:t xml:space="preserve">arantías </w:t>
      </w:r>
      <w:r w:rsidR="00FE45F3" w:rsidRPr="0060686E">
        <w:rPr>
          <w:rFonts w:ascii="Arial" w:eastAsia="Calibri" w:hAnsi="Arial" w:cs="Arial"/>
          <w:b/>
          <w:bCs/>
          <w:sz w:val="22"/>
          <w:lang w:val="es-CO"/>
        </w:rPr>
        <w:t>E</w:t>
      </w:r>
      <w:r w:rsidR="00013D7F" w:rsidRPr="0060686E">
        <w:rPr>
          <w:rFonts w:ascii="Arial" w:eastAsia="Calibri" w:hAnsi="Arial" w:cs="Arial"/>
          <w:b/>
          <w:bCs/>
          <w:sz w:val="22"/>
          <w:lang w:val="es-CO"/>
        </w:rPr>
        <w:t xml:space="preserve">lectorales </w:t>
      </w:r>
      <w:r w:rsidR="006C06F2" w:rsidRPr="0060686E">
        <w:rPr>
          <w:rFonts w:ascii="Arial" w:eastAsia="Calibri" w:hAnsi="Arial" w:cs="Arial"/>
          <w:b/>
          <w:bCs/>
          <w:sz w:val="22"/>
          <w:lang w:val="es-CO"/>
        </w:rPr>
        <w:t xml:space="preserve">a </w:t>
      </w:r>
      <w:r w:rsidR="00FE45F3" w:rsidRPr="0060686E">
        <w:rPr>
          <w:rFonts w:ascii="Arial" w:eastAsia="Calibri" w:hAnsi="Arial" w:cs="Arial"/>
          <w:b/>
          <w:bCs/>
          <w:sz w:val="22"/>
          <w:lang w:val="es-CO"/>
        </w:rPr>
        <w:t xml:space="preserve">las </w:t>
      </w:r>
      <w:r w:rsidR="006C06F2" w:rsidRPr="0060686E">
        <w:rPr>
          <w:rFonts w:ascii="Arial" w:eastAsia="Calibri" w:hAnsi="Arial" w:cs="Arial"/>
          <w:b/>
          <w:bCs/>
          <w:sz w:val="22"/>
          <w:lang w:val="es-CO"/>
        </w:rPr>
        <w:t xml:space="preserve">entidades hospitalarias y sanitarias </w:t>
      </w:r>
    </w:p>
    <w:p w14:paraId="1DA43C69" w14:textId="77777777" w:rsidR="00351820" w:rsidRPr="0060686E" w:rsidRDefault="00351820" w:rsidP="006547CE">
      <w:pPr>
        <w:tabs>
          <w:tab w:val="left" w:pos="426"/>
        </w:tabs>
        <w:spacing w:after="0"/>
        <w:rPr>
          <w:rFonts w:ascii="Arial" w:eastAsia="Calibri" w:hAnsi="Arial" w:cs="Arial"/>
          <w:b/>
          <w:bCs/>
          <w:sz w:val="22"/>
          <w:lang w:val="es-CO"/>
        </w:rPr>
      </w:pPr>
    </w:p>
    <w:p w14:paraId="61D471D7" w14:textId="5E51EEA7" w:rsidR="00AC45E9" w:rsidRPr="0060686E" w:rsidRDefault="00AC45E9" w:rsidP="00AC45E9">
      <w:pPr>
        <w:tabs>
          <w:tab w:val="left" w:pos="426"/>
        </w:tabs>
        <w:spacing w:after="120"/>
        <w:rPr>
          <w:rFonts w:ascii="Arial" w:eastAsia="Calibri" w:hAnsi="Arial" w:cs="Arial"/>
          <w:bCs/>
          <w:sz w:val="22"/>
          <w:lang w:val="es-ES_tradnl"/>
        </w:rPr>
      </w:pPr>
      <w:r w:rsidRPr="0060686E">
        <w:rPr>
          <w:rFonts w:ascii="Arial" w:eastAsia="Calibri" w:hAnsi="Arial" w:cs="Arial"/>
          <w:bCs/>
          <w:sz w:val="22"/>
          <w:lang w:val="es-ES_tradnl"/>
        </w:rPr>
        <w:t>Como se referenció anteriormente, el segundo inciso del artículo 33 de la Ley de Garantías Electorales consagró las excepciones aplicables a la prohibición de contratación directa establecida en el mismo artículo, esto es, supuestos bajo los cuales no aplicaría la limitación analizada en el numeral 2.2.1. de este concepto. Las excepciones a la prohibición del artículo 33 de la norma mencionada son las siguientes:</w:t>
      </w:r>
    </w:p>
    <w:p w14:paraId="2E201D5F" w14:textId="77777777" w:rsidR="00AC45E9" w:rsidRPr="0060686E" w:rsidRDefault="00AC45E9" w:rsidP="0060686E">
      <w:pPr>
        <w:tabs>
          <w:tab w:val="left" w:pos="709"/>
        </w:tabs>
        <w:spacing w:after="120"/>
        <w:rPr>
          <w:rFonts w:ascii="Arial" w:eastAsia="Calibri" w:hAnsi="Arial" w:cs="Arial"/>
          <w:bCs/>
          <w:sz w:val="22"/>
          <w:lang w:val="es-ES_tradnl"/>
        </w:rPr>
      </w:pPr>
      <w:r w:rsidRPr="0060686E">
        <w:rPr>
          <w:rFonts w:ascii="Arial" w:eastAsia="Calibri" w:hAnsi="Arial" w:cs="Arial"/>
          <w:bCs/>
          <w:sz w:val="22"/>
          <w:lang w:val="es-ES_tradnl"/>
        </w:rPr>
        <w:tab/>
        <w:t>i) La contratación referente a la defensa y seguridad del Estado;</w:t>
      </w:r>
    </w:p>
    <w:p w14:paraId="21139E4E" w14:textId="77777777" w:rsidR="00AC45E9" w:rsidRPr="0060686E" w:rsidRDefault="00AC45E9" w:rsidP="0060686E">
      <w:pPr>
        <w:tabs>
          <w:tab w:val="left" w:pos="709"/>
        </w:tabs>
        <w:spacing w:after="120"/>
        <w:rPr>
          <w:rFonts w:ascii="Arial" w:eastAsia="Calibri" w:hAnsi="Arial" w:cs="Arial"/>
          <w:bCs/>
          <w:sz w:val="22"/>
          <w:lang w:val="es-ES_tradnl"/>
        </w:rPr>
      </w:pPr>
      <w:r w:rsidRPr="0060686E">
        <w:rPr>
          <w:rFonts w:ascii="Arial" w:eastAsia="Calibri" w:hAnsi="Arial" w:cs="Arial"/>
          <w:bCs/>
          <w:sz w:val="22"/>
          <w:lang w:val="es-ES_tradnl"/>
        </w:rPr>
        <w:lastRenderedPageBreak/>
        <w:tab/>
      </w:r>
      <w:proofErr w:type="spellStart"/>
      <w:r w:rsidRPr="0060686E">
        <w:rPr>
          <w:rFonts w:ascii="Arial" w:eastAsia="Calibri" w:hAnsi="Arial" w:cs="Arial"/>
          <w:bCs/>
          <w:sz w:val="22"/>
          <w:lang w:val="es-ES_tradnl"/>
        </w:rPr>
        <w:t>ii</w:t>
      </w:r>
      <w:proofErr w:type="spellEnd"/>
      <w:r w:rsidRPr="0060686E">
        <w:rPr>
          <w:rFonts w:ascii="Arial" w:eastAsia="Calibri" w:hAnsi="Arial" w:cs="Arial"/>
          <w:bCs/>
          <w:sz w:val="22"/>
          <w:lang w:val="es-ES_tradnl"/>
        </w:rPr>
        <w:t>) Los contratos de crédito público;</w:t>
      </w:r>
    </w:p>
    <w:p w14:paraId="08ACD32E" w14:textId="77777777" w:rsidR="00AC45E9" w:rsidRPr="0060686E" w:rsidRDefault="00AC45E9" w:rsidP="0060686E">
      <w:pPr>
        <w:tabs>
          <w:tab w:val="left" w:pos="709"/>
        </w:tabs>
        <w:spacing w:after="120"/>
        <w:rPr>
          <w:rFonts w:ascii="Arial" w:eastAsia="Calibri" w:hAnsi="Arial" w:cs="Arial"/>
          <w:bCs/>
          <w:sz w:val="22"/>
          <w:lang w:val="es-ES_tradnl"/>
        </w:rPr>
      </w:pPr>
      <w:r w:rsidRPr="0060686E">
        <w:rPr>
          <w:rFonts w:ascii="Arial" w:eastAsia="Calibri" w:hAnsi="Arial" w:cs="Arial"/>
          <w:bCs/>
          <w:sz w:val="22"/>
          <w:lang w:val="es-ES_tradnl"/>
        </w:rPr>
        <w:tab/>
      </w:r>
      <w:proofErr w:type="spellStart"/>
      <w:r w:rsidRPr="0060686E">
        <w:rPr>
          <w:rFonts w:ascii="Arial" w:eastAsia="Calibri" w:hAnsi="Arial" w:cs="Arial"/>
          <w:bCs/>
          <w:sz w:val="22"/>
          <w:lang w:val="es-ES_tradnl"/>
        </w:rPr>
        <w:t>iii</w:t>
      </w:r>
      <w:proofErr w:type="spellEnd"/>
      <w:r w:rsidRPr="0060686E">
        <w:rPr>
          <w:rFonts w:ascii="Arial" w:eastAsia="Calibri" w:hAnsi="Arial" w:cs="Arial"/>
          <w:bCs/>
          <w:sz w:val="22"/>
          <w:lang w:val="es-ES_tradnl"/>
        </w:rPr>
        <w:t xml:space="preserve">) Los contratos requeridos para cubrir las emergencias educativas, sanitarias y desastres; </w:t>
      </w:r>
    </w:p>
    <w:p w14:paraId="692E5211" w14:textId="77777777" w:rsidR="00AC45E9" w:rsidRPr="0060686E" w:rsidRDefault="00AC45E9" w:rsidP="0060686E">
      <w:pPr>
        <w:tabs>
          <w:tab w:val="left" w:pos="709"/>
        </w:tabs>
        <w:spacing w:after="120"/>
        <w:rPr>
          <w:rFonts w:ascii="Arial" w:eastAsia="Calibri" w:hAnsi="Arial" w:cs="Arial"/>
          <w:bCs/>
          <w:sz w:val="22"/>
          <w:lang w:val="es-ES_tradnl"/>
        </w:rPr>
      </w:pPr>
      <w:r w:rsidRPr="0060686E">
        <w:rPr>
          <w:rFonts w:ascii="Arial" w:eastAsia="Calibri" w:hAnsi="Arial" w:cs="Arial"/>
          <w:bCs/>
          <w:sz w:val="22"/>
          <w:lang w:val="es-ES_tradnl"/>
        </w:rPr>
        <w:tab/>
      </w:r>
      <w:proofErr w:type="spellStart"/>
      <w:r w:rsidRPr="0060686E">
        <w:rPr>
          <w:rFonts w:ascii="Arial" w:eastAsia="Calibri" w:hAnsi="Arial" w:cs="Arial"/>
          <w:bCs/>
          <w:sz w:val="22"/>
          <w:lang w:val="es-ES_tradnl"/>
        </w:rPr>
        <w:t>iv</w:t>
      </w:r>
      <w:proofErr w:type="spellEnd"/>
      <w:r w:rsidRPr="0060686E">
        <w:rPr>
          <w:rFonts w:ascii="Arial" w:eastAsia="Calibri" w:hAnsi="Arial" w:cs="Arial"/>
          <w:bCs/>
          <w:sz w:val="22"/>
          <w:lang w:val="es-ES_tradnl"/>
        </w:rPr>
        <w:t>) La contratación para la reconstrucción de vías, puentes, carreteras, infraestructura energética y de comunicaciones, en caso de que hayan sido objeto de atentados, acciones terroristas, desastres naturales o casos de fuerza mayor y;</w:t>
      </w:r>
    </w:p>
    <w:p w14:paraId="310F4585" w14:textId="083D5C21" w:rsidR="00AC45E9" w:rsidRPr="0060686E" w:rsidRDefault="00AC45E9" w:rsidP="0060686E">
      <w:pPr>
        <w:tabs>
          <w:tab w:val="left" w:pos="709"/>
        </w:tabs>
        <w:spacing w:after="120"/>
        <w:rPr>
          <w:rFonts w:ascii="Arial" w:eastAsia="Calibri" w:hAnsi="Arial" w:cs="Arial"/>
          <w:bCs/>
          <w:sz w:val="22"/>
          <w:lang w:val="es-ES_tradnl"/>
        </w:rPr>
      </w:pPr>
      <w:r w:rsidRPr="0060686E">
        <w:rPr>
          <w:rFonts w:ascii="Arial" w:eastAsia="Calibri" w:hAnsi="Arial" w:cs="Arial"/>
          <w:bCs/>
          <w:sz w:val="22"/>
          <w:lang w:val="es-ES_tradnl"/>
        </w:rPr>
        <w:tab/>
        <w:t>v) La contratación que deban realizar las entidades sanitarias y hospitalarias</w:t>
      </w:r>
      <w:r w:rsidRPr="0060686E">
        <w:rPr>
          <w:rStyle w:val="Refdenotaalpie"/>
          <w:rFonts w:ascii="Arial" w:eastAsia="Calibri" w:hAnsi="Arial" w:cs="Arial"/>
          <w:bCs/>
          <w:sz w:val="22"/>
          <w:lang w:val="es-ES_tradnl"/>
        </w:rPr>
        <w:footnoteReference w:id="11"/>
      </w:r>
      <w:r w:rsidRPr="0060686E">
        <w:rPr>
          <w:rFonts w:ascii="Arial" w:eastAsia="Calibri" w:hAnsi="Arial" w:cs="Arial"/>
          <w:bCs/>
          <w:sz w:val="22"/>
          <w:lang w:val="es-ES_tradnl"/>
        </w:rPr>
        <w:t xml:space="preserve">. </w:t>
      </w:r>
    </w:p>
    <w:p w14:paraId="31EAD602" w14:textId="3ACBEA6C" w:rsidR="00AC45E9" w:rsidRPr="0060686E" w:rsidRDefault="008F5AF3" w:rsidP="00AC45E9">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t>L</w:t>
      </w:r>
      <w:r w:rsidR="00AC45E9" w:rsidRPr="0060686E">
        <w:rPr>
          <w:rFonts w:ascii="Arial" w:eastAsia="Calibri" w:hAnsi="Arial" w:cs="Arial"/>
          <w:bCs/>
          <w:sz w:val="22"/>
          <w:lang w:val="es-ES_tradnl"/>
        </w:rPr>
        <w:t xml:space="preserve">a Sala de Consulta y Servicio Civil del Consejo de Estado, en </w:t>
      </w:r>
      <w:r w:rsidRPr="0060686E">
        <w:rPr>
          <w:rFonts w:ascii="Arial" w:eastAsia="Calibri" w:hAnsi="Arial" w:cs="Arial"/>
          <w:bCs/>
          <w:sz w:val="22"/>
          <w:lang w:val="es-ES_tradnl"/>
        </w:rPr>
        <w:t>c</w:t>
      </w:r>
      <w:r w:rsidR="00AC45E9" w:rsidRPr="0060686E">
        <w:rPr>
          <w:rFonts w:ascii="Arial" w:eastAsia="Calibri" w:hAnsi="Arial" w:cs="Arial"/>
          <w:bCs/>
          <w:sz w:val="22"/>
          <w:lang w:val="es-ES_tradnl"/>
        </w:rPr>
        <w:t>oncepto de</w:t>
      </w:r>
      <w:r w:rsidRPr="0060686E">
        <w:rPr>
          <w:rFonts w:ascii="Arial" w:eastAsia="Calibri" w:hAnsi="Arial" w:cs="Arial"/>
          <w:bCs/>
          <w:sz w:val="22"/>
          <w:lang w:val="es-ES_tradnl"/>
        </w:rPr>
        <w:t>l</w:t>
      </w:r>
      <w:r w:rsidR="00AC45E9" w:rsidRPr="0060686E">
        <w:rPr>
          <w:rFonts w:ascii="Arial" w:eastAsia="Calibri" w:hAnsi="Arial" w:cs="Arial"/>
          <w:bCs/>
          <w:sz w:val="22"/>
          <w:lang w:val="es-ES_tradnl"/>
        </w:rPr>
        <w:t xml:space="preserve"> 4 de febrero de 2010, </w:t>
      </w:r>
      <w:r w:rsidRPr="0060686E">
        <w:rPr>
          <w:rFonts w:ascii="Arial" w:eastAsia="Calibri" w:hAnsi="Arial" w:cs="Arial"/>
          <w:bCs/>
          <w:sz w:val="22"/>
          <w:lang w:val="es-ES_tradnl"/>
        </w:rPr>
        <w:t xml:space="preserve">se pronunció frente </w:t>
      </w:r>
      <w:r w:rsidR="00E93705" w:rsidRPr="0060686E">
        <w:rPr>
          <w:rFonts w:ascii="Arial" w:eastAsia="Calibri" w:hAnsi="Arial" w:cs="Arial"/>
          <w:bCs/>
          <w:sz w:val="22"/>
          <w:lang w:val="es-ES_tradnl"/>
        </w:rPr>
        <w:t xml:space="preserve">a las razones por las que el legislador consagró excepciones al artículo 33 de la Ley de Garantías </w:t>
      </w:r>
      <w:proofErr w:type="spellStart"/>
      <w:r w:rsidR="00E93705" w:rsidRPr="0060686E">
        <w:rPr>
          <w:rFonts w:ascii="Arial" w:eastAsia="Calibri" w:hAnsi="Arial" w:cs="Arial"/>
          <w:bCs/>
          <w:sz w:val="22"/>
          <w:lang w:val="es-ES_tradnl"/>
        </w:rPr>
        <w:t>Electroales</w:t>
      </w:r>
      <w:proofErr w:type="spellEnd"/>
      <w:r w:rsidR="00AC45E9" w:rsidRPr="0060686E">
        <w:rPr>
          <w:rFonts w:ascii="Arial" w:eastAsia="Calibri" w:hAnsi="Arial" w:cs="Arial"/>
          <w:bCs/>
          <w:sz w:val="22"/>
          <w:lang w:val="es-ES_tradnl"/>
        </w:rPr>
        <w:t xml:space="preserve">: </w:t>
      </w:r>
    </w:p>
    <w:p w14:paraId="1920EAA3" w14:textId="77777777" w:rsidR="00AC45E9" w:rsidRPr="0060686E" w:rsidRDefault="00AC45E9" w:rsidP="00AC45E9">
      <w:pPr>
        <w:shd w:val="clear" w:color="auto" w:fill="FFFFFF"/>
        <w:spacing w:after="100" w:afterAutospacing="1" w:line="240" w:lineRule="auto"/>
        <w:ind w:left="709" w:right="709"/>
        <w:rPr>
          <w:rFonts w:ascii="Arial" w:eastAsia="Times New Roman" w:hAnsi="Arial" w:cs="Arial"/>
          <w:sz w:val="21"/>
          <w:szCs w:val="21"/>
          <w:lang w:val="es-ES_tradnl" w:eastAsia="es-CO"/>
        </w:rPr>
      </w:pPr>
      <w:r w:rsidRPr="0060686E">
        <w:rPr>
          <w:rFonts w:ascii="Arial" w:eastAsia="Times New Roman" w:hAnsi="Arial" w:cs="Arial"/>
          <w:sz w:val="21"/>
          <w:szCs w:val="21"/>
          <w:lang w:val="es-ES_tradnl" w:eastAsia="es-CO"/>
        </w:rPr>
        <w:t>[…]Las excepciones establecidas en los artículos 32 y 33 en comento, guardan relación, exclusivamente, con algunos servicios públicos que por su naturaleza no admiten postergaciones en la atención de sus necesidades de personal, bienes y servicios [...]</w:t>
      </w:r>
      <w:r w:rsidRPr="0060686E">
        <w:rPr>
          <w:rStyle w:val="Refdenotaalpie"/>
          <w:rFonts w:ascii="Arial" w:eastAsia="Times New Roman" w:hAnsi="Arial" w:cs="Arial"/>
          <w:sz w:val="21"/>
          <w:szCs w:val="21"/>
          <w:lang w:val="es-ES_tradnl" w:eastAsia="es-CO"/>
        </w:rPr>
        <w:footnoteReference w:id="12"/>
      </w:r>
      <w:r w:rsidRPr="0060686E">
        <w:rPr>
          <w:rFonts w:ascii="Arial" w:eastAsia="Times New Roman" w:hAnsi="Arial" w:cs="Arial"/>
          <w:sz w:val="21"/>
          <w:szCs w:val="21"/>
          <w:lang w:val="es-ES_tradnl" w:eastAsia="es-CO"/>
        </w:rPr>
        <w:t xml:space="preserve">. </w:t>
      </w:r>
    </w:p>
    <w:p w14:paraId="1ED635E0" w14:textId="2742276C" w:rsidR="00AC45E9" w:rsidRPr="0060686E" w:rsidRDefault="00AC45E9" w:rsidP="0060686E">
      <w:pPr>
        <w:shd w:val="clear" w:color="auto" w:fill="FFFFFF"/>
        <w:spacing w:after="120"/>
        <w:ind w:firstLine="709"/>
        <w:rPr>
          <w:rFonts w:ascii="Arial" w:eastAsia="Times New Roman" w:hAnsi="Arial" w:cs="Arial"/>
          <w:sz w:val="22"/>
          <w:lang w:val="es-ES_tradnl" w:eastAsia="es-CO"/>
        </w:rPr>
      </w:pPr>
      <w:r w:rsidRPr="0060686E">
        <w:rPr>
          <w:rFonts w:ascii="Arial" w:eastAsia="Times New Roman" w:hAnsi="Arial" w:cs="Arial"/>
          <w:sz w:val="22"/>
          <w:lang w:val="es-ES_tradnl" w:eastAsia="es-CO"/>
        </w:rPr>
        <w:t>A su vez, la Corte Constitucional</w:t>
      </w:r>
      <w:r w:rsidR="00E93705" w:rsidRPr="0060686E">
        <w:rPr>
          <w:rFonts w:ascii="Arial" w:eastAsia="Times New Roman" w:hAnsi="Arial" w:cs="Arial"/>
          <w:sz w:val="22"/>
          <w:lang w:val="es-ES_tradnl" w:eastAsia="es-CO"/>
        </w:rPr>
        <w:t>,</w:t>
      </w:r>
      <w:r w:rsidRPr="0060686E">
        <w:rPr>
          <w:rFonts w:ascii="Arial" w:eastAsia="Times New Roman" w:hAnsi="Arial" w:cs="Arial"/>
          <w:sz w:val="22"/>
          <w:lang w:val="es-ES_tradnl" w:eastAsia="es-CO"/>
        </w:rPr>
        <w:t xml:space="preserve"> al analizar la constitucionalidad de la Ley de Garantías</w:t>
      </w:r>
      <w:r w:rsidR="00E93705" w:rsidRPr="0060686E">
        <w:rPr>
          <w:rFonts w:ascii="Arial" w:eastAsia="Times New Roman" w:hAnsi="Arial" w:cs="Arial"/>
          <w:sz w:val="22"/>
          <w:lang w:val="es-ES_tradnl" w:eastAsia="es-CO"/>
        </w:rPr>
        <w:t xml:space="preserve"> Electo</w:t>
      </w:r>
      <w:r w:rsidR="00D810A5" w:rsidRPr="0060686E">
        <w:rPr>
          <w:rFonts w:ascii="Arial" w:eastAsia="Times New Roman" w:hAnsi="Arial" w:cs="Arial"/>
          <w:sz w:val="22"/>
          <w:lang w:val="es-ES_tradnl" w:eastAsia="es-CO"/>
        </w:rPr>
        <w:t>r</w:t>
      </w:r>
      <w:r w:rsidR="00E93705" w:rsidRPr="0060686E">
        <w:rPr>
          <w:rFonts w:ascii="Arial" w:eastAsia="Times New Roman" w:hAnsi="Arial" w:cs="Arial"/>
          <w:sz w:val="22"/>
          <w:lang w:val="es-ES_tradnl" w:eastAsia="es-CO"/>
        </w:rPr>
        <w:t>ales</w:t>
      </w:r>
      <w:r w:rsidRPr="0060686E">
        <w:rPr>
          <w:rFonts w:ascii="Arial" w:eastAsia="Times New Roman" w:hAnsi="Arial" w:cs="Arial"/>
          <w:sz w:val="22"/>
          <w:lang w:val="es-ES_tradnl" w:eastAsia="es-CO"/>
        </w:rPr>
        <w:t xml:space="preserve">, consideró que las prohibiciones consagradas en los artículos 32 y 33 de la ley mencionada no pueden ir en detrimento de intereses públicos. Por lo anterior, la Alta Corte consideró que las excepciones para la prohibición de contratación se </w:t>
      </w:r>
      <w:r w:rsidR="00E93705" w:rsidRPr="0060686E">
        <w:rPr>
          <w:rFonts w:ascii="Arial" w:eastAsia="Times New Roman" w:hAnsi="Arial" w:cs="Arial"/>
          <w:sz w:val="22"/>
          <w:lang w:val="es-ES_tradnl" w:eastAsia="es-CO"/>
        </w:rPr>
        <w:t>encontraban</w:t>
      </w:r>
      <w:r w:rsidRPr="0060686E">
        <w:rPr>
          <w:rFonts w:ascii="Arial" w:eastAsia="Times New Roman" w:hAnsi="Arial" w:cs="Arial"/>
          <w:sz w:val="22"/>
          <w:lang w:val="es-ES_tradnl" w:eastAsia="es-CO"/>
        </w:rPr>
        <w:t xml:space="preserve"> justificadas</w:t>
      </w:r>
      <w:r w:rsidR="00E93705" w:rsidRPr="0060686E">
        <w:rPr>
          <w:rFonts w:ascii="Arial" w:eastAsia="Times New Roman" w:hAnsi="Arial" w:cs="Arial"/>
          <w:sz w:val="22"/>
          <w:lang w:val="es-ES_tradnl" w:eastAsia="es-CO"/>
        </w:rPr>
        <w:t xml:space="preserve">, avalando su </w:t>
      </w:r>
      <w:proofErr w:type="spellStart"/>
      <w:r w:rsidR="00E93705" w:rsidRPr="0060686E">
        <w:rPr>
          <w:rFonts w:ascii="Arial" w:eastAsia="Times New Roman" w:hAnsi="Arial" w:cs="Arial"/>
          <w:sz w:val="22"/>
          <w:lang w:val="es-ES_tradnl" w:eastAsia="es-CO"/>
        </w:rPr>
        <w:t>exequibilidad</w:t>
      </w:r>
      <w:proofErr w:type="spellEnd"/>
      <w:r w:rsidRPr="0060686E">
        <w:rPr>
          <w:rFonts w:ascii="Arial" w:eastAsia="Times New Roman" w:hAnsi="Arial" w:cs="Arial"/>
          <w:sz w:val="22"/>
          <w:lang w:val="es-ES_tradnl" w:eastAsia="es-CO"/>
        </w:rPr>
        <w:t>. Así, por ejemplo, la Corte Constitucional explic</w:t>
      </w:r>
      <w:r w:rsidR="00E93705" w:rsidRPr="0060686E">
        <w:rPr>
          <w:rFonts w:ascii="Arial" w:eastAsia="Times New Roman" w:hAnsi="Arial" w:cs="Arial"/>
          <w:sz w:val="22"/>
          <w:lang w:val="es-ES_tradnl" w:eastAsia="es-CO"/>
        </w:rPr>
        <w:t>ó</w:t>
      </w:r>
      <w:r w:rsidRPr="0060686E">
        <w:rPr>
          <w:rFonts w:ascii="Arial" w:eastAsia="Times New Roman" w:hAnsi="Arial" w:cs="Arial"/>
          <w:sz w:val="22"/>
          <w:lang w:val="es-ES_tradnl" w:eastAsia="es-CO"/>
        </w:rPr>
        <w:t xml:space="preserve">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60686E">
        <w:rPr>
          <w:rStyle w:val="Refdenotaalpie"/>
          <w:rFonts w:ascii="Arial" w:eastAsia="Times New Roman" w:hAnsi="Arial" w:cs="Arial"/>
          <w:sz w:val="22"/>
          <w:lang w:val="es-ES_tradnl" w:eastAsia="es-CO"/>
        </w:rPr>
        <w:footnoteReference w:id="13"/>
      </w:r>
      <w:r w:rsidRPr="0060686E">
        <w:rPr>
          <w:rFonts w:ascii="Arial" w:eastAsia="Times New Roman" w:hAnsi="Arial" w:cs="Arial"/>
          <w:sz w:val="22"/>
          <w:lang w:val="es-ES_tradnl" w:eastAsia="es-CO"/>
        </w:rPr>
        <w:t xml:space="preserve">. </w:t>
      </w:r>
    </w:p>
    <w:p w14:paraId="1ADD90DE" w14:textId="2FEF2B62" w:rsidR="00AC45E9" w:rsidRPr="0060686E" w:rsidRDefault="00AC45E9" w:rsidP="00AC45E9">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lastRenderedPageBreak/>
        <w:t xml:space="preserve">Por tanto, las excepciones a la prohibición contenida en el inciso segundo de artículo 33 de la ley de garantías electorales tienen por finalidad garantizar la prestación ininterrumpida de algunos servicios públicos, </w:t>
      </w:r>
      <w:proofErr w:type="gramStart"/>
      <w:r w:rsidRPr="0060686E">
        <w:rPr>
          <w:rFonts w:ascii="Arial" w:eastAsia="Calibri" w:hAnsi="Arial" w:cs="Arial"/>
          <w:bCs/>
          <w:sz w:val="22"/>
          <w:lang w:val="es-ES_tradnl"/>
        </w:rPr>
        <w:t>que</w:t>
      </w:r>
      <w:proofErr w:type="gramEnd"/>
      <w:r w:rsidRPr="0060686E">
        <w:rPr>
          <w:rFonts w:ascii="Arial" w:eastAsia="Calibri" w:hAnsi="Arial" w:cs="Arial"/>
          <w:bCs/>
          <w:sz w:val="22"/>
          <w:lang w:val="es-ES_tradnl"/>
        </w:rPr>
        <w:t xml:space="preserve"> dada su importancia en el orden interno, se verían irrazonablemente afectados por la restricción explicada. De igual forma, </w:t>
      </w:r>
      <w:r w:rsidR="00E93705" w:rsidRPr="0060686E">
        <w:rPr>
          <w:rFonts w:ascii="Arial" w:eastAsia="Calibri" w:hAnsi="Arial" w:cs="Arial"/>
          <w:bCs/>
          <w:sz w:val="22"/>
          <w:lang w:val="es-ES_tradnl"/>
        </w:rPr>
        <w:t xml:space="preserve">la Sala de Consulta y Servicio Civil del </w:t>
      </w:r>
      <w:r w:rsidRPr="0060686E">
        <w:rPr>
          <w:rFonts w:ascii="Arial" w:eastAsia="Calibri" w:hAnsi="Arial" w:cs="Arial"/>
          <w:bCs/>
          <w:sz w:val="22"/>
          <w:lang w:val="es-ES_tradnl"/>
        </w:rPr>
        <w:t>Consejo de Estado, en concepto de</w:t>
      </w:r>
      <w:r w:rsidR="00E93705" w:rsidRPr="0060686E">
        <w:rPr>
          <w:rFonts w:ascii="Arial" w:eastAsia="Calibri" w:hAnsi="Arial" w:cs="Arial"/>
          <w:bCs/>
          <w:sz w:val="22"/>
          <w:lang w:val="es-ES_tradnl"/>
        </w:rPr>
        <w:t>l</w:t>
      </w:r>
      <w:r w:rsidRPr="0060686E">
        <w:rPr>
          <w:rFonts w:ascii="Arial" w:eastAsia="Calibri" w:hAnsi="Arial" w:cs="Arial"/>
          <w:bCs/>
          <w:sz w:val="22"/>
          <w:lang w:val="es-ES_tradnl"/>
        </w:rPr>
        <w:t xml:space="preserve"> 2 de septiembre de 2013</w:t>
      </w:r>
      <w:r w:rsidRPr="0060686E">
        <w:rPr>
          <w:rFonts w:ascii="Arial" w:hAnsi="Arial" w:cs="Arial"/>
          <w:sz w:val="22"/>
          <w:lang w:val="es-ES_tradnl"/>
        </w:rPr>
        <w:t xml:space="preserve">, mencionó las excepciones a la prohibición del artículo 33 de la </w:t>
      </w:r>
      <w:r w:rsidR="00E93705" w:rsidRPr="0060686E">
        <w:rPr>
          <w:rFonts w:ascii="Arial" w:hAnsi="Arial" w:cs="Arial"/>
          <w:sz w:val="22"/>
          <w:lang w:val="es-ES_tradnl"/>
        </w:rPr>
        <w:t>Ley de Garantías Electorales,</w:t>
      </w:r>
      <w:r w:rsidRPr="0060686E">
        <w:rPr>
          <w:rFonts w:ascii="Arial" w:hAnsi="Arial" w:cs="Arial"/>
          <w:sz w:val="22"/>
          <w:lang w:val="es-ES_tradnl"/>
        </w:rPr>
        <w:t xml:space="preserve"> </w:t>
      </w:r>
      <w:r w:rsidR="00E93705" w:rsidRPr="0060686E">
        <w:rPr>
          <w:rFonts w:ascii="Arial" w:hAnsi="Arial" w:cs="Arial"/>
          <w:sz w:val="22"/>
          <w:lang w:val="es-ES_tradnl"/>
        </w:rPr>
        <w:t>resaltando</w:t>
      </w:r>
      <w:r w:rsidRPr="0060686E">
        <w:rPr>
          <w:rFonts w:ascii="Arial" w:hAnsi="Arial" w:cs="Arial"/>
          <w:sz w:val="22"/>
          <w:lang w:val="es-ES_tradnl"/>
        </w:rPr>
        <w:t xml:space="preserve"> el carácter taxativo de la regla de excepción referida, </w:t>
      </w:r>
      <w:r w:rsidR="00E93705" w:rsidRPr="0060686E">
        <w:rPr>
          <w:rFonts w:ascii="Arial" w:hAnsi="Arial" w:cs="Arial"/>
          <w:sz w:val="22"/>
          <w:lang w:val="es-ES_tradnl"/>
        </w:rPr>
        <w:t xml:space="preserve">y señalando la independencia de los </w:t>
      </w:r>
      <w:proofErr w:type="gramStart"/>
      <w:r w:rsidR="00E93705" w:rsidRPr="0060686E">
        <w:rPr>
          <w:rFonts w:ascii="Arial" w:hAnsi="Arial" w:cs="Arial"/>
          <w:sz w:val="22"/>
          <w:lang w:val="es-ES_tradnl"/>
        </w:rPr>
        <w:t>supuesto establecidos allí</w:t>
      </w:r>
      <w:proofErr w:type="gramEnd"/>
      <w:r w:rsidR="00E93705" w:rsidRPr="0060686E">
        <w:rPr>
          <w:rFonts w:ascii="Arial" w:hAnsi="Arial" w:cs="Arial"/>
          <w:sz w:val="22"/>
          <w:lang w:val="es-ES_tradnl"/>
        </w:rPr>
        <w:t xml:space="preserve">, </w:t>
      </w:r>
      <w:r w:rsidRPr="0060686E">
        <w:rPr>
          <w:rFonts w:ascii="Arial" w:hAnsi="Arial" w:cs="Arial"/>
          <w:sz w:val="22"/>
          <w:lang w:val="es-ES_tradnl"/>
        </w:rPr>
        <w:t xml:space="preserve">así: </w:t>
      </w:r>
    </w:p>
    <w:p w14:paraId="410B5ADB" w14:textId="77777777" w:rsidR="00AC45E9" w:rsidRPr="0060686E" w:rsidRDefault="00AC45E9" w:rsidP="00CE168F">
      <w:pPr>
        <w:tabs>
          <w:tab w:val="left" w:pos="426"/>
        </w:tabs>
        <w:spacing w:after="120" w:line="240" w:lineRule="auto"/>
        <w:ind w:right="709"/>
        <w:rPr>
          <w:rFonts w:ascii="Arial" w:hAnsi="Arial" w:cs="Arial"/>
          <w:sz w:val="21"/>
          <w:szCs w:val="21"/>
          <w:lang w:val="es-ES_tradnl"/>
        </w:rPr>
      </w:pPr>
      <w:r w:rsidRPr="0060686E">
        <w:rPr>
          <w:rFonts w:ascii="Arial" w:hAnsi="Arial" w:cs="Arial"/>
          <w:sz w:val="21"/>
          <w:szCs w:val="21"/>
          <w:lang w:val="es-ES_tradnl"/>
        </w:rPr>
        <w:tab/>
      </w:r>
      <w:r w:rsidRPr="0060686E">
        <w:rPr>
          <w:rFonts w:ascii="Arial" w:hAnsi="Arial" w:cs="Arial"/>
          <w:sz w:val="21"/>
          <w:szCs w:val="21"/>
          <w:lang w:val="es-ES_tradnl"/>
        </w:rPr>
        <w:tab/>
        <w:t>[…]</w:t>
      </w:r>
    </w:p>
    <w:p w14:paraId="6BA964F7" w14:textId="77777777" w:rsidR="00AC45E9" w:rsidRPr="0060686E" w:rsidRDefault="00AC45E9" w:rsidP="0060686E">
      <w:pPr>
        <w:spacing w:after="120" w:line="240" w:lineRule="auto"/>
        <w:ind w:left="709" w:right="709"/>
        <w:rPr>
          <w:rFonts w:ascii="Arial" w:hAnsi="Arial" w:cs="Arial"/>
          <w:i/>
          <w:sz w:val="21"/>
          <w:szCs w:val="21"/>
          <w:lang w:val="es-ES_tradnl"/>
        </w:rPr>
      </w:pPr>
      <w:r w:rsidRPr="0060686E">
        <w:rPr>
          <w:rFonts w:ascii="Arial" w:hAnsi="Arial" w:cs="Arial"/>
          <w:i/>
          <w:sz w:val="21"/>
          <w:szCs w:val="21"/>
          <w:lang w:val="es-ES_tradnl"/>
        </w:rPr>
        <w:t>Las excepciones aplicables a la restricción de contratación pública</w:t>
      </w:r>
    </w:p>
    <w:p w14:paraId="16A4F6FF" w14:textId="77777777" w:rsidR="00AC45E9" w:rsidRPr="0060686E" w:rsidRDefault="00AC45E9" w:rsidP="0060686E">
      <w:pPr>
        <w:spacing w:after="120" w:line="240" w:lineRule="auto"/>
        <w:ind w:left="709" w:right="709"/>
        <w:rPr>
          <w:rFonts w:ascii="Arial" w:hAnsi="Arial" w:cs="Arial"/>
          <w:sz w:val="21"/>
          <w:szCs w:val="21"/>
          <w:shd w:val="clear" w:color="auto" w:fill="FFFFFF"/>
          <w:lang w:val="es-ES_tradnl"/>
        </w:rPr>
      </w:pPr>
      <w:r w:rsidRPr="0060686E">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51A442F1" w14:textId="77777777" w:rsidR="00AC45E9" w:rsidRPr="0060686E" w:rsidRDefault="00AC45E9" w:rsidP="0060686E">
      <w:pPr>
        <w:spacing w:after="120" w:line="240" w:lineRule="auto"/>
        <w:ind w:left="709" w:right="709"/>
        <w:rPr>
          <w:rFonts w:ascii="Arial" w:hAnsi="Arial" w:cs="Arial"/>
          <w:sz w:val="21"/>
          <w:szCs w:val="21"/>
          <w:shd w:val="clear" w:color="auto" w:fill="FFFFFF"/>
          <w:lang w:val="es-ES_tradnl"/>
        </w:rPr>
      </w:pPr>
      <w:r w:rsidRPr="0060686E">
        <w:rPr>
          <w:rFonts w:ascii="Arial" w:hAnsi="Arial" w:cs="Arial"/>
          <w:sz w:val="21"/>
          <w:szCs w:val="21"/>
          <w:shd w:val="clear" w:color="auto" w:fill="FFFFFF"/>
          <w:lang w:val="es-ES_tradnl"/>
        </w:rPr>
        <w:t xml:space="preserve">[…] </w:t>
      </w:r>
    </w:p>
    <w:p w14:paraId="25A8FB22" w14:textId="77777777" w:rsidR="00AC45E9" w:rsidRPr="0060686E" w:rsidRDefault="00AC45E9" w:rsidP="00AC45E9">
      <w:pPr>
        <w:spacing w:line="240" w:lineRule="auto"/>
        <w:ind w:left="709" w:right="709"/>
        <w:rPr>
          <w:rFonts w:ascii="Arial" w:hAnsi="Arial" w:cs="Arial"/>
          <w:sz w:val="21"/>
          <w:szCs w:val="21"/>
          <w:shd w:val="clear" w:color="auto" w:fill="FFFFFF"/>
          <w:lang w:val="es-ES_tradnl"/>
        </w:rPr>
      </w:pPr>
      <w:r w:rsidRPr="0060686E">
        <w:rPr>
          <w:rFonts w:ascii="Arial" w:hAnsi="Arial" w:cs="Arial"/>
          <w:sz w:val="21"/>
          <w:szCs w:val="21"/>
          <w:shd w:val="clear" w:color="auto" w:fill="FFFFFF"/>
          <w:lang w:val="es-ES_tradnl"/>
        </w:rPr>
        <w:t>5. Los que deban realizar las entidades sanitarias y hospitalarias […]</w:t>
      </w:r>
      <w:r w:rsidRPr="0060686E">
        <w:rPr>
          <w:rStyle w:val="Refdenotaalpie"/>
          <w:rFonts w:ascii="Arial" w:hAnsi="Arial" w:cs="Arial"/>
          <w:sz w:val="21"/>
          <w:szCs w:val="21"/>
          <w:shd w:val="clear" w:color="auto" w:fill="FFFFFF"/>
          <w:lang w:val="es-ES_tradnl"/>
        </w:rPr>
        <w:footnoteReference w:id="14"/>
      </w:r>
      <w:r w:rsidRPr="0060686E">
        <w:rPr>
          <w:rFonts w:ascii="Arial" w:hAnsi="Arial" w:cs="Arial"/>
          <w:sz w:val="21"/>
          <w:szCs w:val="21"/>
          <w:shd w:val="clear" w:color="auto" w:fill="FFFFFF"/>
          <w:lang w:val="es-ES_tradnl"/>
        </w:rPr>
        <w:t>.</w:t>
      </w:r>
    </w:p>
    <w:p w14:paraId="5EB70A30" w14:textId="21E2D308" w:rsidR="00AC45E9" w:rsidRPr="0060686E" w:rsidRDefault="00AC45E9" w:rsidP="00AC45E9">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t xml:space="preserve">Lo anterior implica que las excepciones al artículo 33 en comento deben interpretarse y aplicarse manera restrictiva. En otras palabras, que no </w:t>
      </w:r>
      <w:r w:rsidR="00E93705" w:rsidRPr="0060686E">
        <w:rPr>
          <w:rFonts w:ascii="Arial" w:eastAsia="Calibri" w:hAnsi="Arial" w:cs="Arial"/>
          <w:bCs/>
          <w:sz w:val="22"/>
          <w:lang w:val="es-ES_tradnl"/>
        </w:rPr>
        <w:t>sería</w:t>
      </w:r>
      <w:r w:rsidRPr="0060686E">
        <w:rPr>
          <w:rFonts w:ascii="Arial" w:eastAsia="Calibri" w:hAnsi="Arial" w:cs="Arial"/>
          <w:bCs/>
          <w:sz w:val="22"/>
          <w:lang w:val="es-ES_tradnl"/>
        </w:rPr>
        <w:t xml:space="preserve"> factible hacer interpretaciones extensivas</w:t>
      </w:r>
      <w:r w:rsidRPr="0060686E">
        <w:rPr>
          <w:rFonts w:ascii="Arial" w:eastAsia="Calibri" w:hAnsi="Arial" w:cs="Arial"/>
          <w:bCs/>
          <w:i/>
          <w:iCs/>
          <w:sz w:val="22"/>
          <w:lang w:val="es-ES_tradnl"/>
        </w:rPr>
        <w:t xml:space="preserve"> </w:t>
      </w:r>
      <w:r w:rsidRPr="0060686E">
        <w:rPr>
          <w:rFonts w:ascii="Arial" w:eastAsia="Calibri"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w:t>
      </w:r>
      <w:r w:rsidR="00E93705" w:rsidRPr="0060686E">
        <w:rPr>
          <w:rFonts w:ascii="Arial" w:eastAsia="Calibri" w:hAnsi="Arial" w:cs="Arial"/>
          <w:bCs/>
          <w:sz w:val="22"/>
          <w:lang w:val="es-ES_tradnl"/>
        </w:rPr>
        <w:t>ciertas entidades estatales</w:t>
      </w:r>
      <w:r w:rsidRPr="0060686E">
        <w:rPr>
          <w:rFonts w:ascii="Arial" w:eastAsia="Calibri" w:hAnsi="Arial" w:cs="Arial"/>
          <w:bCs/>
          <w:sz w:val="22"/>
          <w:lang w:val="es-ES_tradnl"/>
        </w:rPr>
        <w:t xml:space="preserve"> se vea</w:t>
      </w:r>
      <w:r w:rsidR="00E93705" w:rsidRPr="0060686E">
        <w:rPr>
          <w:rFonts w:ascii="Arial" w:eastAsia="Calibri" w:hAnsi="Arial" w:cs="Arial"/>
          <w:bCs/>
          <w:sz w:val="22"/>
          <w:lang w:val="es-ES_tradnl"/>
        </w:rPr>
        <w:t>n</w:t>
      </w:r>
      <w:r w:rsidRPr="0060686E">
        <w:rPr>
          <w:rFonts w:ascii="Arial" w:eastAsia="Calibri" w:hAnsi="Arial" w:cs="Arial"/>
          <w:bCs/>
          <w:sz w:val="22"/>
          <w:lang w:val="es-ES_tradnl"/>
        </w:rPr>
        <w:t xml:space="preserve"> exceptuada</w:t>
      </w:r>
      <w:r w:rsidR="00E93705" w:rsidRPr="0060686E">
        <w:rPr>
          <w:rFonts w:ascii="Arial" w:eastAsia="Calibri" w:hAnsi="Arial" w:cs="Arial"/>
          <w:bCs/>
          <w:sz w:val="22"/>
          <w:lang w:val="es-ES_tradnl"/>
        </w:rPr>
        <w:t>s</w:t>
      </w:r>
      <w:r w:rsidRPr="0060686E">
        <w:rPr>
          <w:rFonts w:ascii="Arial" w:eastAsia="Calibri" w:hAnsi="Arial" w:cs="Arial"/>
          <w:bCs/>
          <w:sz w:val="22"/>
          <w:lang w:val="es-ES_tradnl"/>
        </w:rPr>
        <w:t xml:space="preserve"> de la prohibición. </w:t>
      </w:r>
    </w:p>
    <w:p w14:paraId="2F0EAE2D" w14:textId="2807E147" w:rsidR="00AC45E9" w:rsidRPr="0060686E" w:rsidRDefault="00AC45E9" w:rsidP="00AC45E9">
      <w:pPr>
        <w:tabs>
          <w:tab w:val="left" w:pos="426"/>
        </w:tabs>
        <w:spacing w:after="120"/>
        <w:ind w:firstLine="709"/>
        <w:rPr>
          <w:rFonts w:ascii="Arial" w:hAnsi="Arial" w:cs="Arial"/>
          <w:sz w:val="22"/>
          <w:lang w:val="es-ES_tradnl"/>
        </w:rPr>
      </w:pPr>
      <w:r w:rsidRPr="0060686E">
        <w:rPr>
          <w:rFonts w:ascii="Arial" w:eastAsia="Calibri" w:hAnsi="Arial" w:cs="Arial"/>
          <w:bCs/>
          <w:sz w:val="22"/>
          <w:lang w:val="es-ES_tradnl"/>
        </w:rPr>
        <w:t xml:space="preserve">Ahora, para </w:t>
      </w:r>
      <w:r w:rsidR="00E93705" w:rsidRPr="0060686E">
        <w:rPr>
          <w:rFonts w:ascii="Arial" w:eastAsia="Calibri" w:hAnsi="Arial" w:cs="Arial"/>
          <w:bCs/>
          <w:sz w:val="22"/>
          <w:lang w:val="es-ES_tradnl"/>
        </w:rPr>
        <w:t>responder</w:t>
      </w:r>
      <w:r w:rsidRPr="0060686E">
        <w:rPr>
          <w:rFonts w:ascii="Arial" w:eastAsia="Calibri" w:hAnsi="Arial" w:cs="Arial"/>
          <w:bCs/>
          <w:sz w:val="22"/>
          <w:lang w:val="es-ES_tradnl"/>
        </w:rPr>
        <w:t xml:space="preserve"> su consulta, es pertinente analizar el</w:t>
      </w:r>
      <w:r w:rsidR="00E93705" w:rsidRPr="0060686E">
        <w:rPr>
          <w:rFonts w:ascii="Arial" w:eastAsia="Calibri" w:hAnsi="Arial" w:cs="Arial"/>
          <w:bCs/>
          <w:sz w:val="22"/>
          <w:lang w:val="es-ES_tradnl"/>
        </w:rPr>
        <w:t xml:space="preserve"> quinto</w:t>
      </w:r>
      <w:r w:rsidRPr="0060686E">
        <w:rPr>
          <w:rFonts w:ascii="Arial" w:eastAsia="Calibri" w:hAnsi="Arial" w:cs="Arial"/>
          <w:bCs/>
          <w:sz w:val="22"/>
          <w:lang w:val="es-ES_tradnl"/>
        </w:rPr>
        <w:t xml:space="preserve"> evento</w:t>
      </w:r>
      <w:r w:rsidRPr="0060686E">
        <w:rPr>
          <w:rFonts w:ascii="Arial" w:eastAsia="Calibri" w:hAnsi="Arial" w:cs="Arial"/>
          <w:bCs/>
          <w:i/>
          <w:sz w:val="22"/>
          <w:lang w:val="es-ES_tradnl"/>
        </w:rPr>
        <w:t xml:space="preserve"> </w:t>
      </w:r>
      <w:r w:rsidR="00E93705" w:rsidRPr="0060686E">
        <w:rPr>
          <w:rFonts w:ascii="Arial" w:eastAsia="Calibri" w:hAnsi="Arial" w:cs="Arial"/>
          <w:bCs/>
          <w:iCs/>
          <w:sz w:val="22"/>
          <w:lang w:val="es-ES_tradnl"/>
        </w:rPr>
        <w:t xml:space="preserve">exceptuado de la prohibición, relacionado con la contratación por parte de las </w:t>
      </w:r>
      <w:r w:rsidRPr="0060686E">
        <w:rPr>
          <w:rFonts w:ascii="Arial" w:eastAsia="Calibri" w:hAnsi="Arial" w:cs="Arial"/>
          <w:bCs/>
          <w:sz w:val="22"/>
          <w:lang w:val="es-ES_tradnl"/>
        </w:rPr>
        <w:t xml:space="preserve">entidades sanitarias y hospitalarias, a efectos de determinar si la </w:t>
      </w:r>
      <w:r w:rsidR="00E93705" w:rsidRPr="0060686E">
        <w:rPr>
          <w:rFonts w:ascii="Arial" w:eastAsia="Calibri" w:hAnsi="Arial" w:cs="Arial"/>
          <w:bCs/>
          <w:sz w:val="22"/>
          <w:lang w:val="es-ES_tradnl"/>
        </w:rPr>
        <w:t>excepción</w:t>
      </w:r>
      <w:r w:rsidRPr="0060686E">
        <w:rPr>
          <w:rFonts w:ascii="Arial" w:eastAsia="Calibri" w:hAnsi="Arial" w:cs="Arial"/>
          <w:bCs/>
          <w:sz w:val="22"/>
          <w:lang w:val="es-ES_tradnl"/>
        </w:rPr>
        <w:t xml:space="preserve"> referida es aplicable a los contratos suscritos por </w:t>
      </w:r>
      <w:r w:rsidR="00E93705" w:rsidRPr="0060686E">
        <w:rPr>
          <w:rFonts w:ascii="Arial" w:eastAsia="Calibri" w:hAnsi="Arial" w:cs="Arial"/>
          <w:bCs/>
          <w:sz w:val="22"/>
          <w:lang w:val="es-ES_tradnl"/>
        </w:rPr>
        <w:t xml:space="preserve">las </w:t>
      </w:r>
      <w:r w:rsidRPr="0060686E">
        <w:rPr>
          <w:rFonts w:ascii="Arial" w:eastAsia="Calibri" w:hAnsi="Arial" w:cs="Arial"/>
          <w:bCs/>
          <w:sz w:val="22"/>
          <w:lang w:val="es-ES_tradnl"/>
        </w:rPr>
        <w:t xml:space="preserve">Empresas Sociales del Estado </w:t>
      </w:r>
      <w:r w:rsidR="00E93705" w:rsidRPr="0060686E">
        <w:rPr>
          <w:rFonts w:ascii="Arial" w:eastAsia="Calibri" w:hAnsi="Arial" w:cs="Arial"/>
          <w:bCs/>
          <w:sz w:val="22"/>
          <w:lang w:val="es-ES_tradnl"/>
        </w:rPr>
        <w:t>–</w:t>
      </w:r>
      <w:r w:rsidRPr="0060686E">
        <w:rPr>
          <w:rFonts w:ascii="Arial" w:eastAsia="Calibri" w:hAnsi="Arial" w:cs="Arial"/>
          <w:bCs/>
          <w:sz w:val="22"/>
          <w:lang w:val="es-ES_tradnl"/>
        </w:rPr>
        <w:t>ESE</w:t>
      </w:r>
      <w:r w:rsidR="00E93705" w:rsidRPr="0060686E">
        <w:rPr>
          <w:rFonts w:ascii="Arial" w:eastAsia="Calibri" w:hAnsi="Arial" w:cs="Arial"/>
          <w:bCs/>
          <w:sz w:val="22"/>
          <w:lang w:val="es-ES_tradnl"/>
        </w:rPr>
        <w:t>–</w:t>
      </w:r>
      <w:r w:rsidRPr="0060686E">
        <w:rPr>
          <w:rFonts w:ascii="Arial" w:eastAsia="Calibri" w:hAnsi="Arial" w:cs="Arial"/>
          <w:bCs/>
          <w:sz w:val="22"/>
          <w:lang w:val="es-ES_tradnl"/>
        </w:rPr>
        <w:t xml:space="preserve">. En este sentido, el artículo 94 de la Ley 100 de 1993 señaló que, </w:t>
      </w:r>
      <w:r w:rsidRPr="0060686E">
        <w:rPr>
          <w:rFonts w:ascii="Arial" w:eastAsia="Times New Roman" w:hAnsi="Arial" w:cs="Arial"/>
          <w:bCs/>
          <w:sz w:val="22"/>
          <w:lang w:val="es-ES_tradnl" w:eastAsia="es-CO"/>
        </w:rPr>
        <w:t>«</w:t>
      </w:r>
      <w:r w:rsidRPr="0060686E">
        <w:rPr>
          <w:rFonts w:ascii="Arial" w:eastAsia="Calibri" w:hAnsi="Arial" w:cs="Arial"/>
          <w:bCs/>
          <w:sz w:val="22"/>
          <w:lang w:val="es-ES_tradnl"/>
        </w:rPr>
        <w:t>l</w:t>
      </w:r>
      <w:r w:rsidRPr="0060686E">
        <w:rPr>
          <w:rFonts w:ascii="Arial" w:hAnsi="Arial" w:cs="Arial"/>
          <w:sz w:val="22"/>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60686E">
        <w:rPr>
          <w:rFonts w:ascii="Arial" w:eastAsia="Times New Roman" w:hAnsi="Arial" w:cs="Arial"/>
          <w:bCs/>
          <w:sz w:val="22"/>
          <w:lang w:val="es-ES_tradnl" w:eastAsia="es-CO"/>
        </w:rPr>
        <w:t>»</w:t>
      </w:r>
      <w:r w:rsidRPr="0060686E">
        <w:rPr>
          <w:rFonts w:ascii="Arial" w:hAnsi="Arial" w:cs="Arial"/>
          <w:sz w:val="22"/>
          <w:lang w:val="es-ES_tradnl"/>
        </w:rPr>
        <w:t xml:space="preserve">. </w:t>
      </w:r>
    </w:p>
    <w:p w14:paraId="613CCCE9" w14:textId="3FD15BC7" w:rsidR="00AC45E9" w:rsidRPr="0060686E" w:rsidRDefault="00AC45E9" w:rsidP="00AC45E9">
      <w:pPr>
        <w:tabs>
          <w:tab w:val="left" w:pos="426"/>
        </w:tabs>
        <w:spacing w:after="120"/>
        <w:ind w:firstLine="709"/>
        <w:rPr>
          <w:rFonts w:ascii="Arial" w:hAnsi="Arial" w:cs="Arial"/>
          <w:sz w:val="22"/>
          <w:lang w:val="es-CO"/>
        </w:rPr>
      </w:pPr>
      <w:r w:rsidRPr="0060686E">
        <w:rPr>
          <w:rFonts w:ascii="Arial" w:hAnsi="Arial" w:cs="Arial"/>
          <w:sz w:val="22"/>
          <w:lang w:val="es-ES_tradnl"/>
        </w:rPr>
        <w:t xml:space="preserve">Es decir que, a partir de la </w:t>
      </w:r>
      <w:proofErr w:type="gramStart"/>
      <w:r w:rsidRPr="0060686E">
        <w:rPr>
          <w:rFonts w:ascii="Arial" w:hAnsi="Arial" w:cs="Arial"/>
          <w:sz w:val="22"/>
          <w:lang w:val="es-ES_tradnl"/>
        </w:rPr>
        <w:t xml:space="preserve">entrada en </w:t>
      </w:r>
      <w:r w:rsidR="00E93705" w:rsidRPr="0060686E">
        <w:rPr>
          <w:rFonts w:ascii="Arial" w:hAnsi="Arial" w:cs="Arial"/>
          <w:sz w:val="22"/>
          <w:lang w:val="es-ES_tradnl"/>
        </w:rPr>
        <w:t>vigencia</w:t>
      </w:r>
      <w:proofErr w:type="gramEnd"/>
      <w:r w:rsidRPr="0060686E">
        <w:rPr>
          <w:rFonts w:ascii="Arial" w:hAnsi="Arial" w:cs="Arial"/>
          <w:sz w:val="22"/>
          <w:lang w:val="es-ES_tradnl"/>
        </w:rPr>
        <w:t xml:space="preserve"> de la Ley 100 de 1993, las Empresas Sociales del Estado son las entidades públicas que tienen a su cargo la prestación de </w:t>
      </w:r>
      <w:r w:rsidRPr="0060686E">
        <w:rPr>
          <w:rFonts w:ascii="Arial" w:hAnsi="Arial" w:cs="Arial"/>
          <w:sz w:val="22"/>
          <w:lang w:val="es-ES_tradnl"/>
        </w:rPr>
        <w:lastRenderedPageBreak/>
        <w:t>servicios de salud de manera directa. Igualmente, el artículo 197 de la misma disposición</w:t>
      </w:r>
      <w:r w:rsidRPr="0060686E">
        <w:rPr>
          <w:rStyle w:val="Refdenotaalpie"/>
          <w:rFonts w:ascii="Arial" w:hAnsi="Arial" w:cs="Arial"/>
          <w:sz w:val="22"/>
          <w:lang w:val="es-ES_tradnl"/>
        </w:rPr>
        <w:footnoteReference w:id="15"/>
      </w:r>
      <w:r w:rsidRPr="0060686E">
        <w:rPr>
          <w:rFonts w:ascii="Arial" w:hAnsi="Arial" w:cs="Arial"/>
          <w:sz w:val="22"/>
          <w:lang w:val="es-ES_tradnl"/>
        </w:rPr>
        <w:t xml:space="preserve"> otorgó un término de 6 meses a las entidades territoriales prestadoras del servicio de salud para restructurarlas en Empresas Sociales del Estado. </w:t>
      </w:r>
    </w:p>
    <w:p w14:paraId="748DFB4E" w14:textId="535B7B79" w:rsidR="00AC45E9" w:rsidRPr="0060686E" w:rsidRDefault="00AC45E9" w:rsidP="00AC45E9">
      <w:pPr>
        <w:tabs>
          <w:tab w:val="left" w:pos="426"/>
        </w:tabs>
        <w:spacing w:after="120"/>
        <w:ind w:firstLine="709"/>
        <w:rPr>
          <w:rFonts w:ascii="Arial" w:hAnsi="Arial" w:cs="Arial"/>
          <w:sz w:val="22"/>
          <w:lang w:val="es-ES_tradnl"/>
        </w:rPr>
      </w:pPr>
      <w:r w:rsidRPr="0060686E">
        <w:rPr>
          <w:rFonts w:ascii="Arial" w:hAnsi="Arial" w:cs="Arial"/>
          <w:sz w:val="22"/>
          <w:lang w:val="es-ES_tradnl"/>
        </w:rPr>
        <w:t xml:space="preserve">De lo anterior se </w:t>
      </w:r>
      <w:r w:rsidR="009C30A3" w:rsidRPr="0060686E">
        <w:rPr>
          <w:rFonts w:ascii="Arial" w:hAnsi="Arial" w:cs="Arial"/>
          <w:sz w:val="22"/>
          <w:lang w:val="es-ES_tradnl"/>
        </w:rPr>
        <w:t>desprende</w:t>
      </w:r>
      <w:r w:rsidRPr="0060686E">
        <w:rPr>
          <w:rFonts w:ascii="Arial" w:hAnsi="Arial" w:cs="Arial"/>
          <w:sz w:val="22"/>
          <w:lang w:val="es-ES_tradnl"/>
        </w:rPr>
        <w:t xml:space="preserve"> que, bajo la Ley 100 de 1993, dentro de la estructura de la administración pública las entidades encargas de prestar el servicio de salud de manera directa son las Empresas Sociales del Estado.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05EED86D" w14:textId="77777777" w:rsidR="00AC45E9" w:rsidRPr="0060686E" w:rsidRDefault="00AC45E9" w:rsidP="00AC45E9">
      <w:pPr>
        <w:tabs>
          <w:tab w:val="left" w:pos="426"/>
        </w:tabs>
        <w:spacing w:after="120"/>
        <w:ind w:firstLine="709"/>
        <w:rPr>
          <w:rFonts w:ascii="Arial" w:hAnsi="Arial" w:cs="Arial"/>
          <w:sz w:val="22"/>
          <w:lang w:val="es-ES_tradnl"/>
        </w:rPr>
      </w:pPr>
      <w:r w:rsidRPr="0060686E">
        <w:rPr>
          <w:rFonts w:ascii="Arial" w:hAnsi="Arial" w:cs="Arial"/>
          <w:sz w:val="22"/>
          <w:lang w:val="es-ES_tradnl"/>
        </w:rPr>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36F16F17" w14:textId="6832B439" w:rsidR="00AC45E9" w:rsidRPr="0060686E" w:rsidRDefault="00AC45E9" w:rsidP="00AC45E9">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t>Ahora, a pesar de la apreciación anterior, este proceso de reestructuración, dada las implicaciones administrativas que suponen, no ha sido inmediato, según se observa de lo señalado por el Ministerio de la Protección Social como cabeza del sector salud del orden nacional</w:t>
      </w:r>
      <w:r w:rsidR="00E93705" w:rsidRPr="0060686E">
        <w:rPr>
          <w:rFonts w:ascii="Arial" w:eastAsia="Calibri" w:hAnsi="Arial" w:cs="Arial"/>
          <w:bCs/>
          <w:sz w:val="22"/>
          <w:lang w:val="es-ES_tradnl"/>
        </w:rPr>
        <w:t>.</w:t>
      </w:r>
      <w:r w:rsidRPr="0060686E">
        <w:rPr>
          <w:rFonts w:ascii="Arial" w:eastAsia="Calibri" w:hAnsi="Arial" w:cs="Arial"/>
          <w:bCs/>
          <w:sz w:val="22"/>
          <w:lang w:val="es-ES_tradnl"/>
        </w:rPr>
        <w:t xml:space="preserve"> </w:t>
      </w:r>
      <w:r w:rsidR="00E93705" w:rsidRPr="0060686E">
        <w:rPr>
          <w:rFonts w:ascii="Arial" w:eastAsia="Calibri" w:hAnsi="Arial" w:cs="Arial"/>
          <w:bCs/>
          <w:sz w:val="22"/>
          <w:lang w:val="es-ES_tradnl"/>
        </w:rPr>
        <w:t xml:space="preserve">En este sentido, </w:t>
      </w:r>
      <w:r w:rsidRPr="0060686E">
        <w:rPr>
          <w:rFonts w:ascii="Arial" w:eastAsia="Calibri" w:hAnsi="Arial" w:cs="Arial"/>
          <w:bCs/>
          <w:sz w:val="22"/>
          <w:lang w:val="es-ES_tradnl"/>
        </w:rPr>
        <w:t>en concepto de</w:t>
      </w:r>
      <w:r w:rsidR="00E93705" w:rsidRPr="0060686E">
        <w:rPr>
          <w:rFonts w:ascii="Arial" w:eastAsia="Calibri" w:hAnsi="Arial" w:cs="Arial"/>
          <w:bCs/>
          <w:sz w:val="22"/>
          <w:lang w:val="es-ES_tradnl"/>
        </w:rPr>
        <w:t>l</w:t>
      </w:r>
      <w:r w:rsidRPr="0060686E">
        <w:rPr>
          <w:rFonts w:ascii="Arial" w:eastAsia="Calibri" w:hAnsi="Arial" w:cs="Arial"/>
          <w:bCs/>
          <w:sz w:val="22"/>
          <w:lang w:val="es-ES_tradnl"/>
        </w:rPr>
        <w:t xml:space="preserve"> 14 de marzo de 2006, identificado con radicación No. 38644, al </w:t>
      </w:r>
      <w:r w:rsidR="00E93705" w:rsidRPr="0060686E">
        <w:rPr>
          <w:rFonts w:ascii="Arial" w:eastAsia="Calibri" w:hAnsi="Arial" w:cs="Arial"/>
          <w:bCs/>
          <w:sz w:val="22"/>
          <w:lang w:val="es-ES_tradnl"/>
        </w:rPr>
        <w:t>pronunciarse sobre</w:t>
      </w:r>
      <w:r w:rsidRPr="0060686E">
        <w:rPr>
          <w:rFonts w:ascii="Arial" w:eastAsia="Calibri" w:hAnsi="Arial" w:cs="Arial"/>
          <w:bCs/>
          <w:sz w:val="22"/>
          <w:lang w:val="es-ES_tradnl"/>
        </w:rPr>
        <w:t xml:space="preserve"> el alcance de la regla de excepción establecida en el inciso 2 del artículo 33 de la Ley de Garantías Electorales, frente a </w:t>
      </w:r>
      <w:r w:rsidR="00E93705" w:rsidRPr="0060686E">
        <w:rPr>
          <w:rFonts w:ascii="Arial" w:eastAsia="Calibri" w:hAnsi="Arial" w:cs="Arial"/>
          <w:bCs/>
          <w:sz w:val="22"/>
          <w:lang w:val="es-ES_tradnl"/>
        </w:rPr>
        <w:t xml:space="preserve">las </w:t>
      </w:r>
      <w:r w:rsidRPr="0060686E">
        <w:rPr>
          <w:rFonts w:ascii="Arial" w:eastAsia="Calibri" w:hAnsi="Arial" w:cs="Arial"/>
          <w:bCs/>
          <w:sz w:val="22"/>
          <w:lang w:val="es-ES_tradnl"/>
        </w:rPr>
        <w:t xml:space="preserve">entidades sanitarias y hospitalarias, puso de presente el retardo en el proceso de reestructuración mencionado en la Ley 100 de 1993, así: </w:t>
      </w:r>
    </w:p>
    <w:p w14:paraId="673FA69C" w14:textId="069FF275" w:rsidR="00AC45E9" w:rsidRPr="0060686E" w:rsidRDefault="00AC45E9" w:rsidP="00AC45E9">
      <w:pPr>
        <w:tabs>
          <w:tab w:val="left" w:pos="426"/>
        </w:tabs>
        <w:spacing w:after="120" w:line="240" w:lineRule="auto"/>
        <w:ind w:left="709" w:right="709"/>
        <w:rPr>
          <w:rFonts w:ascii="Arial" w:eastAsia="Calibri" w:hAnsi="Arial" w:cs="Arial"/>
          <w:bCs/>
          <w:sz w:val="21"/>
          <w:szCs w:val="21"/>
          <w:lang w:val="es-ES_tradnl"/>
        </w:rPr>
      </w:pPr>
      <w:r w:rsidRPr="0060686E">
        <w:rPr>
          <w:rFonts w:ascii="Arial" w:hAnsi="Arial" w:cs="Arial"/>
          <w:sz w:val="21"/>
          <w:szCs w:val="21"/>
          <w:shd w:val="clear" w:color="auto" w:fill="FFFFFF"/>
          <w:lang w:val="es-ES_tradnl"/>
        </w:rPr>
        <w:t>[…]</w:t>
      </w:r>
      <w:r w:rsidR="006B1976" w:rsidRPr="0060686E">
        <w:rPr>
          <w:rFonts w:ascii="Arial" w:hAnsi="Arial" w:cs="Arial"/>
          <w:sz w:val="21"/>
          <w:szCs w:val="21"/>
          <w:shd w:val="clear" w:color="auto" w:fill="FFFFFF"/>
          <w:lang w:val="es-ES_tradnl"/>
        </w:rPr>
        <w:t xml:space="preserve"> </w:t>
      </w:r>
      <w:r w:rsidRPr="0060686E">
        <w:rPr>
          <w:rFonts w:ascii="Arial" w:hAnsi="Arial" w:cs="Arial"/>
          <w:sz w:val="21"/>
          <w:szCs w:val="21"/>
          <w:shd w:val="clear" w:color="auto" w:fill="FFFFFF"/>
          <w:lang w:val="es-ES_tradnl"/>
        </w:rPr>
        <w:t xml:space="preserve">se encuentran cubiertos por la excepción contemplada en el inciso 2 del artículo 33 de la Ley de Garantías Electorales, las entidades hospitalarias que a la luz de las normas vigentes no son otras distintas que las Empresas Sociales del estado y todas aquellas instituciones públicas </w:t>
      </w:r>
      <w:proofErr w:type="gramStart"/>
      <w:r w:rsidRPr="0060686E">
        <w:rPr>
          <w:rFonts w:ascii="Arial" w:hAnsi="Arial" w:cs="Arial"/>
          <w:sz w:val="21"/>
          <w:szCs w:val="21"/>
          <w:shd w:val="clear" w:color="auto" w:fill="FFFFFF"/>
          <w:lang w:val="es-ES_tradnl"/>
        </w:rPr>
        <w:t>que</w:t>
      </w:r>
      <w:proofErr w:type="gramEnd"/>
      <w:r w:rsidRPr="0060686E">
        <w:rPr>
          <w:rFonts w:ascii="Arial" w:hAnsi="Arial" w:cs="Arial"/>
          <w:sz w:val="21"/>
          <w:szCs w:val="21"/>
          <w:shd w:val="clear" w:color="auto" w:fill="FFFFFF"/>
          <w:lang w:val="es-ES_tradnl"/>
        </w:rPr>
        <w:t xml:space="preserve"> a pesar de no haberse transformado en Empresas Sociales del Estado, prestan un servicio de salud directo sobre el usuario en su carácter general de entidad hospitalaria […]. </w:t>
      </w:r>
    </w:p>
    <w:p w14:paraId="0FE7A609" w14:textId="538FE068" w:rsidR="00AC45E9" w:rsidRPr="0060686E" w:rsidRDefault="00AC45E9" w:rsidP="00AC45E9">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t xml:space="preserve">Del aparte trascrito se encuentra que, para la autoridad administrativa del sector salud, las Empresas Sociales del Estado son las entidades hospitalarias de que trata la excepción a la prohibición establecida en el artículo 33 de la ley de Garantías Electorales. </w:t>
      </w:r>
      <w:r w:rsidR="00D16544" w:rsidRPr="0060686E">
        <w:rPr>
          <w:rFonts w:ascii="Arial" w:eastAsia="Calibri" w:hAnsi="Arial" w:cs="Arial"/>
          <w:bCs/>
          <w:sz w:val="22"/>
          <w:lang w:val="es-ES_tradnl"/>
        </w:rPr>
        <w:t>De igual forma, i</w:t>
      </w:r>
      <w:r w:rsidR="006B1976" w:rsidRPr="0060686E">
        <w:rPr>
          <w:rFonts w:ascii="Arial" w:eastAsia="Calibri" w:hAnsi="Arial" w:cs="Arial"/>
          <w:bCs/>
          <w:sz w:val="22"/>
          <w:lang w:val="es-ES_tradnl"/>
        </w:rPr>
        <w:t>ncluyen también dentro de esta excepción a la prohibición, a</w:t>
      </w:r>
      <w:r w:rsidRPr="0060686E">
        <w:rPr>
          <w:rFonts w:ascii="Arial" w:eastAsia="Calibri" w:hAnsi="Arial" w:cs="Arial"/>
          <w:bCs/>
          <w:sz w:val="22"/>
          <w:lang w:val="es-ES_tradnl"/>
        </w:rPr>
        <w:t xml:space="preserve"> aquellas instituciones públicas que, aunque no cumplieron con el deber de reestructuración </w:t>
      </w:r>
      <w:r w:rsidRPr="0060686E">
        <w:rPr>
          <w:rFonts w:ascii="Arial" w:eastAsia="Calibri" w:hAnsi="Arial" w:cs="Arial"/>
          <w:bCs/>
          <w:sz w:val="22"/>
          <w:lang w:val="es-ES_tradnl"/>
        </w:rPr>
        <w:lastRenderedPageBreak/>
        <w:t xml:space="preserve">establecido en el artículo 197 de la Ley 100 de 1993, prestan un servicio de salud directo como entidad hospitalaria. </w:t>
      </w:r>
    </w:p>
    <w:p w14:paraId="44D9684F" w14:textId="51A0CD86" w:rsidR="00AC45E9" w:rsidRPr="0060686E" w:rsidRDefault="007D31CB" w:rsidP="00AC45E9">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t>Por tanto</w:t>
      </w:r>
      <w:r w:rsidR="00AC45E9" w:rsidRPr="0060686E">
        <w:rPr>
          <w:rFonts w:ascii="Arial" w:eastAsia="Calibri" w:hAnsi="Arial" w:cs="Arial"/>
          <w:bCs/>
          <w:sz w:val="22"/>
          <w:lang w:val="es-ES_tradnl"/>
        </w:rPr>
        <w:t xml:space="preserve">, las Empresas Sociales del Estado </w:t>
      </w:r>
      <w:r w:rsidR="006B1976" w:rsidRPr="0060686E">
        <w:rPr>
          <w:rFonts w:ascii="Arial" w:eastAsia="Calibri" w:hAnsi="Arial" w:cs="Arial"/>
          <w:bCs/>
          <w:sz w:val="22"/>
          <w:lang w:val="es-ES_tradnl"/>
        </w:rPr>
        <w:t>podrían</w:t>
      </w:r>
      <w:r w:rsidR="00AC45E9" w:rsidRPr="0060686E">
        <w:rPr>
          <w:rFonts w:ascii="Arial" w:eastAsia="Calibri" w:hAnsi="Arial" w:cs="Arial"/>
          <w:bCs/>
          <w:sz w:val="22"/>
          <w:lang w:val="es-ES_tradnl"/>
        </w:rPr>
        <w:t xml:space="preserve"> suscribir contratos bajo la modalidad de contratación directa, porque el inciso segundo del artículo 33 de la ley 100 de 1993 exceptuó de la prohibición de contratación bajo la modalidad referida a las entidades hospitalarias, </w:t>
      </w:r>
      <w:r w:rsidR="006B1976" w:rsidRPr="0060686E">
        <w:rPr>
          <w:rFonts w:ascii="Arial" w:eastAsia="Calibri" w:hAnsi="Arial" w:cs="Arial"/>
          <w:bCs/>
          <w:sz w:val="22"/>
          <w:lang w:val="es-ES_tradnl"/>
        </w:rPr>
        <w:t>categoría dentro de las cu</w:t>
      </w:r>
      <w:r w:rsidR="00590CF2" w:rsidRPr="0060686E">
        <w:rPr>
          <w:rFonts w:ascii="Arial" w:eastAsia="Calibri" w:hAnsi="Arial" w:cs="Arial"/>
          <w:bCs/>
          <w:sz w:val="22"/>
          <w:lang w:val="es-ES_tradnl"/>
        </w:rPr>
        <w:t>a</w:t>
      </w:r>
      <w:r w:rsidR="006B1976" w:rsidRPr="0060686E">
        <w:rPr>
          <w:rFonts w:ascii="Arial" w:eastAsia="Calibri" w:hAnsi="Arial" w:cs="Arial"/>
          <w:bCs/>
          <w:sz w:val="22"/>
          <w:lang w:val="es-ES_tradnl"/>
        </w:rPr>
        <w:t xml:space="preserve">les se </w:t>
      </w:r>
      <w:r w:rsidR="007C59D4" w:rsidRPr="0060686E">
        <w:rPr>
          <w:rFonts w:ascii="Arial" w:eastAsia="Calibri" w:hAnsi="Arial" w:cs="Arial"/>
          <w:bCs/>
          <w:sz w:val="22"/>
          <w:lang w:val="es-ES_tradnl"/>
        </w:rPr>
        <w:t>incluye</w:t>
      </w:r>
      <w:r w:rsidR="006B1976" w:rsidRPr="0060686E">
        <w:rPr>
          <w:rFonts w:ascii="Arial" w:eastAsia="Calibri" w:hAnsi="Arial" w:cs="Arial"/>
          <w:bCs/>
          <w:sz w:val="22"/>
          <w:lang w:val="es-ES_tradnl"/>
        </w:rPr>
        <w:t xml:space="preserve"> a</w:t>
      </w:r>
      <w:r w:rsidR="00AC45E9" w:rsidRPr="0060686E">
        <w:rPr>
          <w:rFonts w:ascii="Arial" w:eastAsia="Calibri" w:hAnsi="Arial" w:cs="Arial"/>
          <w:bCs/>
          <w:sz w:val="22"/>
          <w:lang w:val="es-ES_tradnl"/>
        </w:rPr>
        <w:t xml:space="preserve"> las Empresas Sociales del Estado y</w:t>
      </w:r>
      <w:r w:rsidR="006B1976" w:rsidRPr="0060686E">
        <w:rPr>
          <w:rFonts w:ascii="Arial" w:eastAsia="Calibri" w:hAnsi="Arial" w:cs="Arial"/>
          <w:bCs/>
          <w:sz w:val="22"/>
          <w:lang w:val="es-ES_tradnl"/>
        </w:rPr>
        <w:t>,</w:t>
      </w:r>
      <w:r w:rsidR="00AC45E9" w:rsidRPr="0060686E">
        <w:rPr>
          <w:rFonts w:ascii="Arial" w:eastAsia="Calibri" w:hAnsi="Arial" w:cs="Arial"/>
          <w:bCs/>
          <w:sz w:val="22"/>
          <w:lang w:val="es-ES_tradnl"/>
        </w:rPr>
        <w:t xml:space="preserve"> en consecuencia, </w:t>
      </w:r>
      <w:r w:rsidR="006B1976" w:rsidRPr="0060686E">
        <w:rPr>
          <w:rFonts w:ascii="Arial" w:eastAsia="Calibri" w:hAnsi="Arial" w:cs="Arial"/>
          <w:bCs/>
          <w:sz w:val="22"/>
          <w:lang w:val="es-ES_tradnl"/>
        </w:rPr>
        <w:t>podrán</w:t>
      </w:r>
      <w:r w:rsidR="00AC45E9" w:rsidRPr="0060686E">
        <w:rPr>
          <w:rFonts w:ascii="Arial" w:eastAsia="Calibri" w:hAnsi="Arial" w:cs="Arial"/>
          <w:bCs/>
          <w:sz w:val="22"/>
          <w:lang w:val="es-ES_tradnl"/>
        </w:rPr>
        <w:t xml:space="preserve"> suscribir sus contratos en la forma establecida en sus manuales de contratación</w:t>
      </w:r>
      <w:r w:rsidR="006B1976" w:rsidRPr="0060686E">
        <w:rPr>
          <w:rFonts w:ascii="Arial" w:eastAsia="Calibri" w:hAnsi="Arial" w:cs="Arial"/>
          <w:bCs/>
          <w:sz w:val="22"/>
          <w:lang w:val="es-ES_tradnl"/>
        </w:rPr>
        <w:t>, sin que les resulte aplicable la prohibición establecida en el artículo 33 de la Ley 996 de 2005.</w:t>
      </w:r>
      <w:r w:rsidR="00AC45E9" w:rsidRPr="0060686E">
        <w:rPr>
          <w:rFonts w:ascii="Arial" w:eastAsia="Calibri" w:hAnsi="Arial" w:cs="Arial"/>
          <w:bCs/>
          <w:sz w:val="22"/>
          <w:lang w:val="es-ES_tradnl"/>
        </w:rPr>
        <w:t xml:space="preserve"> </w:t>
      </w:r>
    </w:p>
    <w:p w14:paraId="52D34CB7" w14:textId="149AB15F" w:rsidR="005E53F5" w:rsidRPr="0060686E" w:rsidRDefault="005E53F5" w:rsidP="005E53F5">
      <w:pPr>
        <w:spacing w:after="0"/>
        <w:ind w:firstLine="709"/>
        <w:rPr>
          <w:rFonts w:ascii="Arial" w:eastAsia="Calibri" w:hAnsi="Arial" w:cs="Arial"/>
          <w:color w:val="000000" w:themeColor="text1"/>
          <w:sz w:val="22"/>
          <w:lang w:val="es-ES_tradnl"/>
        </w:rPr>
      </w:pPr>
    </w:p>
    <w:p w14:paraId="70E52E7E" w14:textId="149662D9" w:rsidR="0078165F" w:rsidRPr="0060686E" w:rsidRDefault="0078165F" w:rsidP="00893180">
      <w:pPr>
        <w:pStyle w:val="Prrafodelista"/>
        <w:numPr>
          <w:ilvl w:val="0"/>
          <w:numId w:val="6"/>
        </w:numPr>
        <w:tabs>
          <w:tab w:val="left" w:pos="284"/>
        </w:tabs>
        <w:spacing w:after="0"/>
        <w:ind w:left="0" w:firstLine="0"/>
        <w:rPr>
          <w:rFonts w:ascii="Arial" w:eastAsia="Calibri" w:hAnsi="Arial" w:cs="Arial"/>
          <w:sz w:val="22"/>
          <w:lang w:val="es-CO"/>
        </w:rPr>
      </w:pPr>
      <w:r w:rsidRPr="0060686E">
        <w:rPr>
          <w:rFonts w:ascii="Arial" w:eastAsia="Calibri" w:hAnsi="Arial" w:cs="Arial"/>
          <w:b/>
          <w:sz w:val="22"/>
          <w:lang w:val="es-CO"/>
        </w:rPr>
        <w:t>Respuesta</w:t>
      </w:r>
      <w:r w:rsidR="009C446F" w:rsidRPr="0060686E">
        <w:rPr>
          <w:rFonts w:ascii="Arial" w:eastAsia="Calibri" w:hAnsi="Arial" w:cs="Arial"/>
          <w:b/>
          <w:sz w:val="22"/>
          <w:lang w:val="es-CO"/>
        </w:rPr>
        <w:t>s</w:t>
      </w:r>
    </w:p>
    <w:p w14:paraId="0E731697" w14:textId="77777777" w:rsidR="0078165F" w:rsidRPr="0060686E" w:rsidRDefault="0078165F" w:rsidP="0078165F">
      <w:pPr>
        <w:pStyle w:val="Prrafodelista"/>
        <w:tabs>
          <w:tab w:val="left" w:pos="284"/>
        </w:tabs>
        <w:spacing w:after="0"/>
        <w:ind w:left="0"/>
        <w:rPr>
          <w:rFonts w:ascii="Arial" w:eastAsia="Calibri" w:hAnsi="Arial" w:cs="Arial"/>
          <w:sz w:val="22"/>
          <w:lang w:val="es-CO"/>
        </w:rPr>
      </w:pPr>
    </w:p>
    <w:p w14:paraId="7FB1D501" w14:textId="064DD9DC" w:rsidR="007554BE" w:rsidRPr="0060686E" w:rsidRDefault="007554BE" w:rsidP="007554BE">
      <w:pPr>
        <w:tabs>
          <w:tab w:val="left" w:pos="426"/>
        </w:tabs>
        <w:spacing w:after="0" w:line="240" w:lineRule="auto"/>
        <w:ind w:left="709" w:right="709"/>
        <w:rPr>
          <w:rFonts w:ascii="Arial" w:eastAsia="Times New Roman" w:hAnsi="Arial" w:cs="Arial"/>
          <w:color w:val="000000"/>
          <w:sz w:val="22"/>
          <w:shd w:val="clear" w:color="auto" w:fill="FFFFFF"/>
          <w:lang w:eastAsia="es-CO"/>
        </w:rPr>
      </w:pPr>
      <w:bookmarkStart w:id="3" w:name="_Hlk57650395"/>
      <w:r w:rsidRPr="0060686E">
        <w:rPr>
          <w:rFonts w:ascii="Arial" w:eastAsia="Calibri" w:hAnsi="Arial" w:cs="Arial"/>
          <w:sz w:val="22"/>
          <w:lang w:val="es-CO"/>
        </w:rPr>
        <w:t>«</w:t>
      </w:r>
      <w:r w:rsidRPr="0060686E">
        <w:rPr>
          <w:rFonts w:ascii="Arial" w:eastAsia="Times New Roman" w:hAnsi="Arial" w:cs="Arial"/>
          <w:color w:val="000000"/>
          <w:sz w:val="22"/>
          <w:shd w:val="clear" w:color="auto" w:fill="FFFFFF"/>
          <w:lang w:eastAsia="es-CO"/>
        </w:rPr>
        <w:t xml:space="preserve">[…] es mi </w:t>
      </w:r>
      <w:proofErr w:type="spellStart"/>
      <w:r w:rsidRPr="0060686E">
        <w:rPr>
          <w:rFonts w:ascii="Arial" w:eastAsia="Times New Roman" w:hAnsi="Arial" w:cs="Arial"/>
          <w:color w:val="000000"/>
          <w:sz w:val="22"/>
          <w:shd w:val="clear" w:color="auto" w:fill="FFFFFF"/>
          <w:lang w:eastAsia="es-CO"/>
        </w:rPr>
        <w:t>interes</w:t>
      </w:r>
      <w:proofErr w:type="spellEnd"/>
      <w:r w:rsidRPr="0060686E">
        <w:rPr>
          <w:rFonts w:ascii="Arial" w:eastAsia="Times New Roman" w:hAnsi="Arial" w:cs="Arial"/>
          <w:color w:val="000000"/>
          <w:sz w:val="22"/>
          <w:shd w:val="clear" w:color="auto" w:fill="FFFFFF"/>
          <w:lang w:eastAsia="es-CO"/>
        </w:rPr>
        <w:t xml:space="preserve"> conocer en mi condición de estudiante de derecho activa en la universidad cooperativa de Colombia, consultar si durante ese tiempo (el de la ley de garantía) las empresas sociales del estado (Hospital) pueden realizar CONTRATACION DIRECTA a través de contratos de prestación de servicios profesionales o de apoyo a la gestión y contratos de suministro de mínima cuantía.</w:t>
      </w:r>
    </w:p>
    <w:p w14:paraId="64458850" w14:textId="77777777" w:rsidR="007554BE" w:rsidRPr="0060686E" w:rsidRDefault="007554BE" w:rsidP="007554BE">
      <w:pPr>
        <w:tabs>
          <w:tab w:val="left" w:pos="426"/>
        </w:tabs>
        <w:spacing w:after="0" w:line="240" w:lineRule="auto"/>
        <w:ind w:left="709" w:right="709"/>
        <w:rPr>
          <w:rFonts w:ascii="Arial" w:eastAsia="Calibri" w:hAnsi="Arial" w:cs="Arial"/>
          <w:sz w:val="22"/>
        </w:rPr>
      </w:pPr>
      <w:r w:rsidRPr="0060686E">
        <w:rPr>
          <w:rFonts w:ascii="Arial" w:eastAsia="Times New Roman" w:hAnsi="Arial" w:cs="Arial"/>
          <w:color w:val="000000"/>
          <w:sz w:val="22"/>
          <w:shd w:val="clear" w:color="auto" w:fill="FFFFFF"/>
          <w:lang w:eastAsia="es-CO"/>
        </w:rPr>
        <w:t xml:space="preserve">Lo anterior se da, en virtud de que la norma señala en específico a las entidades estatales, pero como las </w:t>
      </w:r>
      <w:proofErr w:type="spellStart"/>
      <w:r w:rsidRPr="0060686E">
        <w:rPr>
          <w:rFonts w:ascii="Arial" w:eastAsia="Times New Roman" w:hAnsi="Arial" w:cs="Arial"/>
          <w:color w:val="000000"/>
          <w:sz w:val="22"/>
          <w:shd w:val="clear" w:color="auto" w:fill="FFFFFF"/>
          <w:lang w:eastAsia="es-CO"/>
        </w:rPr>
        <w:t>ESEs</w:t>
      </w:r>
      <w:proofErr w:type="spellEnd"/>
      <w:r w:rsidRPr="0060686E">
        <w:rPr>
          <w:rFonts w:ascii="Arial" w:eastAsia="Times New Roman" w:hAnsi="Arial" w:cs="Arial"/>
          <w:color w:val="000000"/>
          <w:sz w:val="22"/>
          <w:shd w:val="clear" w:color="auto" w:fill="FFFFFF"/>
          <w:lang w:eastAsia="es-CO"/>
        </w:rPr>
        <w:t xml:space="preserve"> tienen una regulación privada en temas de contratación, es totalmente relevante determinar si en los hospitales públicos, se puede realizar contrataciones directas, específicamente contratos de prestación de servicios profesionales o de apoyo a la gestión y contratos de suministro de mínima cuantía durante la vigencia de la ley de garantías»</w:t>
      </w:r>
      <w:r w:rsidRPr="0060686E">
        <w:rPr>
          <w:rFonts w:ascii="Arial" w:eastAsia="Calibri" w:hAnsi="Arial" w:cs="Arial"/>
          <w:sz w:val="22"/>
        </w:rPr>
        <w:t>.</w:t>
      </w:r>
    </w:p>
    <w:p w14:paraId="5A8B5621" w14:textId="77777777" w:rsidR="007554BE" w:rsidRPr="0060686E" w:rsidRDefault="007554BE" w:rsidP="007554BE">
      <w:pPr>
        <w:tabs>
          <w:tab w:val="left" w:pos="426"/>
        </w:tabs>
        <w:spacing w:after="0"/>
        <w:rPr>
          <w:rFonts w:ascii="Arial" w:eastAsia="Calibri" w:hAnsi="Arial" w:cs="Arial"/>
          <w:sz w:val="22"/>
        </w:rPr>
      </w:pPr>
    </w:p>
    <w:bookmarkEnd w:id="3"/>
    <w:p w14:paraId="7B57F844" w14:textId="1601560C" w:rsidR="007554BE" w:rsidRPr="0060686E" w:rsidRDefault="00E03E93" w:rsidP="0060686E">
      <w:pPr>
        <w:tabs>
          <w:tab w:val="left" w:pos="426"/>
        </w:tabs>
        <w:spacing w:after="120"/>
        <w:rPr>
          <w:rFonts w:ascii="Arial" w:eastAsia="Calibri" w:hAnsi="Arial" w:cs="Arial"/>
          <w:bCs/>
          <w:sz w:val="22"/>
          <w:lang w:val="es-CO"/>
        </w:rPr>
      </w:pPr>
      <w:r w:rsidRPr="0060686E">
        <w:rPr>
          <w:rFonts w:ascii="Arial" w:eastAsia="Calibri" w:hAnsi="Arial" w:cs="Arial"/>
          <w:bCs/>
          <w:sz w:val="22"/>
          <w:lang w:val="es-CO"/>
        </w:rPr>
        <w:t xml:space="preserve">De acuerdo con las consideraciones desarrolladas en este concepto, </w:t>
      </w:r>
      <w:r w:rsidRPr="0060686E">
        <w:rPr>
          <w:rFonts w:ascii="Arial" w:eastAsia="Calibri" w:hAnsi="Arial" w:cs="Arial"/>
          <w:bCs/>
          <w:sz w:val="22"/>
          <w:lang w:val="es-ES_tradnl"/>
        </w:rPr>
        <w:t>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w:t>
      </w:r>
      <w:r w:rsidR="00590CF2" w:rsidRPr="0060686E">
        <w:rPr>
          <w:rFonts w:ascii="Arial" w:eastAsia="Calibri" w:hAnsi="Arial" w:cs="Arial"/>
          <w:bCs/>
          <w:sz w:val="22"/>
          <w:lang w:val="es-ES_tradnl"/>
        </w:rPr>
        <w:t>a</w:t>
      </w:r>
      <w:r w:rsidRPr="0060686E">
        <w:rPr>
          <w:rFonts w:ascii="Arial" w:eastAsia="Calibri" w:hAnsi="Arial" w:cs="Arial"/>
          <w:bCs/>
          <w:sz w:val="22"/>
          <w:lang w:val="es-ES_tradnl"/>
        </w:rPr>
        <w:t xml:space="preserve">les se </w:t>
      </w:r>
      <w:r w:rsidR="007C59D4" w:rsidRPr="0060686E">
        <w:rPr>
          <w:rFonts w:ascii="Arial" w:eastAsia="Calibri" w:hAnsi="Arial" w:cs="Arial"/>
          <w:bCs/>
          <w:sz w:val="22"/>
          <w:lang w:val="es-ES_tradnl"/>
        </w:rPr>
        <w:t>incluye</w:t>
      </w:r>
      <w:r w:rsidRPr="0060686E">
        <w:rPr>
          <w:rFonts w:ascii="Arial" w:eastAsia="Calibri" w:hAnsi="Arial" w:cs="Arial"/>
          <w:bCs/>
          <w:sz w:val="22"/>
          <w:lang w:val="es-ES_tradnl"/>
        </w:rPr>
        <w:t xml:space="preserve"> a las Empresas Sociales del Estado y, en consecuencia, podrán suscribir sus contratos en la forma establecida en sus manuales de contratación, sin que les resulte aplicable la prohibición establecida en el artículo 33 de la Ley 996 de 2005</w:t>
      </w:r>
      <w:r w:rsidR="006320CB" w:rsidRPr="0060686E">
        <w:rPr>
          <w:rFonts w:ascii="Arial" w:eastAsia="Calibri" w:hAnsi="Arial" w:cs="Arial"/>
          <w:bCs/>
          <w:sz w:val="22"/>
          <w:lang w:val="es-CO"/>
        </w:rPr>
        <w:t xml:space="preserve">. </w:t>
      </w:r>
    </w:p>
    <w:p w14:paraId="47970DFD" w14:textId="576DF5A2" w:rsidR="006320CB" w:rsidRPr="0060686E" w:rsidRDefault="006320CB" w:rsidP="006320CB">
      <w:pPr>
        <w:tabs>
          <w:tab w:val="left" w:pos="426"/>
        </w:tabs>
        <w:spacing w:after="120"/>
        <w:ind w:firstLine="709"/>
        <w:rPr>
          <w:rFonts w:ascii="Arial" w:eastAsia="Calibri" w:hAnsi="Arial" w:cs="Arial"/>
          <w:bCs/>
          <w:sz w:val="22"/>
          <w:lang w:val="es-ES_tradnl"/>
        </w:rPr>
      </w:pPr>
      <w:r w:rsidRPr="0060686E">
        <w:rPr>
          <w:rFonts w:ascii="Arial" w:eastAsia="Calibri" w:hAnsi="Arial" w:cs="Arial"/>
          <w:bCs/>
          <w:sz w:val="22"/>
          <w:lang w:val="es-ES_tradnl"/>
        </w:rPr>
        <w:t xml:space="preserve">Sin perjuicio de lo anterior, </w:t>
      </w:r>
      <w:r w:rsidR="009B2234" w:rsidRPr="0060686E">
        <w:rPr>
          <w:rFonts w:ascii="Arial" w:eastAsia="Calibri" w:hAnsi="Arial" w:cs="Arial"/>
          <w:bCs/>
          <w:sz w:val="22"/>
          <w:lang w:val="es-ES_tradnl"/>
        </w:rPr>
        <w:t xml:space="preserve">esta Agencia considera importante señalar que </w:t>
      </w:r>
      <w:r w:rsidRPr="0060686E">
        <w:rPr>
          <w:rFonts w:ascii="Arial" w:eastAsia="Calibri" w:hAnsi="Arial" w:cs="Arial"/>
          <w:bCs/>
          <w:sz w:val="22"/>
          <w:lang w:val="es-ES_tradnl"/>
        </w:rPr>
        <w:t>le corresponderá a cada entidad estatal definir la viabilidad técnica, jurídica y financiera de celebrar determinado contrato estatal en específico. Además, pese a que en los términos expuestos no aplicaría la prohibición establecida en el artículo 33 de la Ley 996 de 2005, la excepción analizada</w:t>
      </w:r>
      <w:r w:rsidR="009B2234" w:rsidRPr="0060686E">
        <w:rPr>
          <w:rFonts w:ascii="Arial" w:eastAsia="Calibri" w:hAnsi="Arial" w:cs="Arial"/>
          <w:bCs/>
          <w:sz w:val="22"/>
          <w:lang w:val="es-ES_tradnl"/>
        </w:rPr>
        <w:t xml:space="preserve"> no se extendería frente </w:t>
      </w:r>
      <w:r w:rsidR="003D4275" w:rsidRPr="0060686E">
        <w:rPr>
          <w:rFonts w:ascii="Arial" w:eastAsia="Calibri" w:hAnsi="Arial" w:cs="Arial"/>
          <w:bCs/>
          <w:sz w:val="22"/>
          <w:lang w:val="es-ES_tradnl"/>
        </w:rPr>
        <w:t>a la restricción establecida</w:t>
      </w:r>
      <w:r w:rsidR="009B2234" w:rsidRPr="0060686E">
        <w:rPr>
          <w:rFonts w:ascii="Arial" w:eastAsia="Calibri" w:hAnsi="Arial" w:cs="Arial"/>
          <w:bCs/>
          <w:sz w:val="22"/>
          <w:lang w:val="es-ES_tradnl"/>
        </w:rPr>
        <w:t xml:space="preserve"> </w:t>
      </w:r>
      <w:r w:rsidR="003D4275" w:rsidRPr="0060686E">
        <w:rPr>
          <w:rFonts w:ascii="Arial" w:eastAsia="Calibri" w:hAnsi="Arial" w:cs="Arial"/>
          <w:bCs/>
          <w:sz w:val="22"/>
          <w:lang w:val="es-ES_tradnl"/>
        </w:rPr>
        <w:t xml:space="preserve">en </w:t>
      </w:r>
      <w:r w:rsidR="009B2234" w:rsidRPr="0060686E">
        <w:rPr>
          <w:rFonts w:ascii="Arial" w:eastAsia="Calibri" w:hAnsi="Arial" w:cs="Arial"/>
          <w:bCs/>
          <w:sz w:val="22"/>
          <w:lang w:val="es-ES_tradnl"/>
        </w:rPr>
        <w:t>el parágrafo del artículo 38 de la misma ley, por lo que sí aplicaría la prohibición</w:t>
      </w:r>
      <w:r w:rsidR="003D4275" w:rsidRPr="0060686E">
        <w:rPr>
          <w:rFonts w:ascii="Arial" w:eastAsia="Calibri" w:hAnsi="Arial" w:cs="Arial"/>
          <w:bCs/>
          <w:sz w:val="22"/>
          <w:lang w:val="es-ES_tradnl"/>
        </w:rPr>
        <w:t xml:space="preserve"> </w:t>
      </w:r>
      <w:r w:rsidR="009B2234" w:rsidRPr="0060686E">
        <w:rPr>
          <w:rFonts w:ascii="Arial" w:eastAsia="Calibri" w:hAnsi="Arial" w:cs="Arial"/>
          <w:bCs/>
          <w:sz w:val="22"/>
          <w:lang w:val="es-ES_tradnl"/>
        </w:rPr>
        <w:t>en los término</w:t>
      </w:r>
      <w:r w:rsidR="008B340D" w:rsidRPr="0060686E">
        <w:rPr>
          <w:rFonts w:ascii="Arial" w:eastAsia="Calibri" w:hAnsi="Arial" w:cs="Arial"/>
          <w:bCs/>
          <w:sz w:val="22"/>
          <w:lang w:val="es-ES_tradnl"/>
        </w:rPr>
        <w:t>s</w:t>
      </w:r>
      <w:r w:rsidR="009B2234" w:rsidRPr="0060686E">
        <w:rPr>
          <w:rFonts w:ascii="Arial" w:eastAsia="Calibri" w:hAnsi="Arial" w:cs="Arial"/>
          <w:bCs/>
          <w:sz w:val="22"/>
          <w:lang w:val="es-ES_tradnl"/>
        </w:rPr>
        <w:t xml:space="preserve"> analizados en el numeral 2.2.2. de este concepto.</w:t>
      </w:r>
      <w:r w:rsidRPr="0060686E">
        <w:rPr>
          <w:rFonts w:ascii="Arial" w:eastAsia="Calibri" w:hAnsi="Arial" w:cs="Arial"/>
          <w:bCs/>
          <w:sz w:val="22"/>
          <w:lang w:val="es-ES_tradnl"/>
        </w:rPr>
        <w:t xml:space="preserve"> </w:t>
      </w:r>
    </w:p>
    <w:p w14:paraId="77B23C1F" w14:textId="347D812E" w:rsidR="002B5357" w:rsidRPr="0060686E" w:rsidRDefault="0061397F" w:rsidP="004556FA">
      <w:pPr>
        <w:spacing w:after="120"/>
        <w:ind w:firstLine="708"/>
        <w:rPr>
          <w:rFonts w:ascii="Arial" w:eastAsia="Calibri" w:hAnsi="Arial" w:cs="Arial"/>
          <w:sz w:val="22"/>
          <w:lang w:val="es-CO"/>
        </w:rPr>
      </w:pPr>
      <w:r w:rsidRPr="0060686E">
        <w:rPr>
          <w:rFonts w:ascii="Arial" w:eastAsia="Calibri" w:hAnsi="Arial" w:cs="Arial"/>
          <w:sz w:val="22"/>
          <w:lang w:val="es-CO"/>
        </w:rPr>
        <w:lastRenderedPageBreak/>
        <w:t xml:space="preserve"> </w:t>
      </w:r>
    </w:p>
    <w:p w14:paraId="00CE8453" w14:textId="0BB9561E" w:rsidR="00904CD9" w:rsidRPr="0060686E" w:rsidRDefault="00990612" w:rsidP="0061397F">
      <w:pPr>
        <w:spacing w:after="120"/>
        <w:rPr>
          <w:rFonts w:ascii="Arial" w:eastAsia="Calibri" w:hAnsi="Arial" w:cs="Arial"/>
          <w:sz w:val="22"/>
          <w:lang w:val="es-CO"/>
        </w:rPr>
      </w:pPr>
      <w:r w:rsidRPr="0060686E">
        <w:rPr>
          <w:rFonts w:ascii="Arial" w:eastAsia="Calibri" w:hAnsi="Arial" w:cs="Arial"/>
          <w:sz w:val="22"/>
          <w:lang w:val="es-CO"/>
        </w:rPr>
        <w:t>Este concepto tiene el alcance previsto en el artículo 28 del Código de Procedimiento Administrativo y de lo Contencioso Administrativo.</w:t>
      </w:r>
    </w:p>
    <w:p w14:paraId="45FDD70C" w14:textId="2464704A" w:rsidR="00904CD9" w:rsidRPr="0060686E" w:rsidRDefault="00904CD9" w:rsidP="00904CD9">
      <w:pPr>
        <w:rPr>
          <w:rFonts w:ascii="Arial" w:eastAsia="Times New Roman" w:hAnsi="Arial" w:cs="Arial"/>
          <w:sz w:val="22"/>
          <w:lang w:val="es-CO" w:eastAsia="es-CO"/>
        </w:rPr>
      </w:pPr>
      <w:r w:rsidRPr="0060686E">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FF0E7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60686E">
        <w:rPr>
          <w:rFonts w:ascii="Arial" w:eastAsia="Times New Roman" w:hAnsi="Arial" w:cs="Arial"/>
          <w:sz w:val="22"/>
          <w:lang w:val="es-CO" w:eastAsia="es-CO"/>
        </w:rPr>
        <w:t>Atentamente,</w:t>
      </w:r>
    </w:p>
    <w:p w14:paraId="609C4887" w14:textId="5EF175BE" w:rsidR="00904CD9" w:rsidRPr="0060686E" w:rsidRDefault="00FA7AC0" w:rsidP="00904CD9">
      <w:pPr>
        <w:jc w:val="center"/>
        <w:rPr>
          <w:rFonts w:ascii="Arial" w:eastAsia="Times New Roman" w:hAnsi="Arial" w:cs="Arial"/>
          <w:sz w:val="22"/>
          <w:lang w:val="es-CO" w:eastAsia="es-CO"/>
        </w:rPr>
      </w:pPr>
      <w:r>
        <w:rPr>
          <w:noProof/>
        </w:rPr>
        <w:drawing>
          <wp:inline distT="0" distB="0" distL="0" distR="0" wp14:anchorId="703EDA14" wp14:editId="36412C39">
            <wp:extent cx="2514600" cy="1114425"/>
            <wp:effectExtent l="0" t="0" r="0" b="9525"/>
            <wp:docPr id="3" name="Imagen 3"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r w:rsidR="00904CD9" w:rsidRPr="0060686E">
        <w:rPr>
          <w:rFonts w:ascii="Arial" w:hAnsi="Arial" w:cs="Arial"/>
          <w:noProof/>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0E9C" w:rsidRPr="0060686E" w14:paraId="7A6A91A1" w14:textId="77777777" w:rsidTr="008A3FB9">
        <w:trPr>
          <w:trHeight w:val="315"/>
        </w:trPr>
        <w:tc>
          <w:tcPr>
            <w:tcW w:w="812" w:type="dxa"/>
            <w:vAlign w:val="center"/>
            <w:hideMark/>
          </w:tcPr>
          <w:p w14:paraId="56F58FD0"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59AF3AF" w14:textId="69F2ACCC" w:rsidR="00FE0E9C" w:rsidRPr="0060686E" w:rsidRDefault="00777061"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sz w:val="16"/>
                <w:szCs w:val="16"/>
                <w:lang w:eastAsia="es-CO"/>
              </w:rPr>
              <w:t xml:space="preserve">Nina María Padrón Ballestas </w:t>
            </w:r>
          </w:p>
          <w:p w14:paraId="4483413D"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Contratista de la Subdirección de Gestión Contractual</w:t>
            </w:r>
          </w:p>
        </w:tc>
      </w:tr>
      <w:tr w:rsidR="00FE0E9C" w:rsidRPr="0060686E" w14:paraId="07771A78" w14:textId="77777777" w:rsidTr="008A3FB9">
        <w:trPr>
          <w:trHeight w:val="330"/>
        </w:trPr>
        <w:tc>
          <w:tcPr>
            <w:tcW w:w="812" w:type="dxa"/>
            <w:vAlign w:val="center"/>
            <w:hideMark/>
          </w:tcPr>
          <w:p w14:paraId="6561D0D6"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958B9D"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Sebastián Ramírez Grisales</w:t>
            </w:r>
          </w:p>
          <w:p w14:paraId="2819F920"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Gestor T1 – Grado 15 Subdirección de Gestión Contractual</w:t>
            </w:r>
          </w:p>
        </w:tc>
      </w:tr>
      <w:tr w:rsidR="00FE0E9C" w:rsidRPr="00781A1B" w14:paraId="5699AAB8" w14:textId="77777777" w:rsidTr="008A3FB9">
        <w:trPr>
          <w:trHeight w:val="300"/>
        </w:trPr>
        <w:tc>
          <w:tcPr>
            <w:tcW w:w="812" w:type="dxa"/>
            <w:vAlign w:val="center"/>
            <w:hideMark/>
          </w:tcPr>
          <w:p w14:paraId="7F3F18E6"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B2F4F" w14:textId="77777777" w:rsidR="00FE0E9C" w:rsidRPr="0060686E"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Jorge Augusto Tirado Navarro</w:t>
            </w:r>
          </w:p>
          <w:p w14:paraId="6C42B7FF" w14:textId="77777777" w:rsidR="00FE0E9C" w:rsidRPr="00781A1B" w:rsidRDefault="00FE0E9C" w:rsidP="008A3FB9">
            <w:pPr>
              <w:rPr>
                <w:rFonts w:ascii="Arial" w:eastAsia="Times New Roman" w:hAnsi="Arial" w:cs="Arial"/>
                <w:color w:val="000000" w:themeColor="text1"/>
                <w:sz w:val="16"/>
                <w:szCs w:val="16"/>
                <w:lang w:val="es-ES_tradnl" w:eastAsia="es-ES"/>
              </w:rPr>
            </w:pPr>
            <w:r w:rsidRPr="0060686E">
              <w:rPr>
                <w:rFonts w:ascii="Arial" w:eastAsia="Times New Roman" w:hAnsi="Arial" w:cs="Arial"/>
                <w:color w:val="000000" w:themeColor="text1"/>
                <w:sz w:val="16"/>
                <w:szCs w:val="16"/>
                <w:lang w:val="es-ES_tradnl" w:eastAsia="es-ES"/>
              </w:rPr>
              <w:t>Subdirector Gestión Contractual ANCP – CCE</w:t>
            </w:r>
          </w:p>
        </w:tc>
      </w:tr>
    </w:tbl>
    <w:p w14:paraId="7EBF297E" w14:textId="77777777" w:rsidR="007B0854" w:rsidRPr="00351820" w:rsidRDefault="007B0854" w:rsidP="006C604A">
      <w:pPr>
        <w:rPr>
          <w:rFonts w:ascii="Arial" w:hAnsi="Arial" w:cs="Arial"/>
        </w:rPr>
      </w:pPr>
    </w:p>
    <w:sectPr w:rsidR="007B0854" w:rsidRPr="00351820" w:rsidSect="005264AF">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0A5A" w14:textId="77777777" w:rsidR="00D7202C" w:rsidRDefault="00D7202C">
      <w:r>
        <w:separator/>
      </w:r>
    </w:p>
  </w:endnote>
  <w:endnote w:type="continuationSeparator" w:id="0">
    <w:p w14:paraId="0301D0B0" w14:textId="77777777" w:rsidR="00D7202C" w:rsidRDefault="00D7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6881" w14:textId="77777777" w:rsidR="007554BE" w:rsidRDefault="007554BE" w:rsidP="00EA3683">
    <w:pPr>
      <w:pStyle w:val="Sinespaciado"/>
      <w:jc w:val="right"/>
      <w:rPr>
        <w:rFonts w:ascii="Arial" w:hAnsi="Arial" w:cs="Arial"/>
        <w:sz w:val="18"/>
        <w:szCs w:val="18"/>
      </w:rPr>
    </w:pPr>
  </w:p>
  <w:p w14:paraId="0C3A0398" w14:textId="77777777" w:rsidR="007554BE" w:rsidRDefault="007554BE" w:rsidP="00EA3683">
    <w:pPr>
      <w:pStyle w:val="Sinespaciado"/>
      <w:jc w:val="right"/>
      <w:rPr>
        <w:rFonts w:ascii="Arial" w:hAnsi="Arial" w:cs="Arial"/>
        <w:sz w:val="18"/>
        <w:szCs w:val="18"/>
      </w:rPr>
    </w:pPr>
  </w:p>
  <w:p w14:paraId="28A892D2" w14:textId="77777777" w:rsidR="007554BE" w:rsidRPr="008217B7" w:rsidRDefault="007554BE" w:rsidP="00EA368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77061">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77061">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66154965" w14:textId="77777777" w:rsidR="007554BE" w:rsidRDefault="007554BE" w:rsidP="00EA3683">
    <w:pPr>
      <w:pStyle w:val="Piedepgina"/>
      <w:jc w:val="center"/>
      <w:rPr>
        <w:lang w:val="es-ES"/>
      </w:rPr>
    </w:pPr>
    <w:r>
      <w:rPr>
        <w:noProof/>
        <w:lang w:val="es-CO" w:eastAsia="es-CO"/>
      </w:rPr>
      <w:drawing>
        <wp:inline distT="0" distB="0" distL="0" distR="0" wp14:anchorId="59AD8FFE" wp14:editId="7279D71E">
          <wp:extent cx="3700130" cy="519139"/>
          <wp:effectExtent l="0" t="0" r="0"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45768A8" w14:textId="77777777" w:rsidR="007554BE" w:rsidRPr="007B0854" w:rsidRDefault="007554B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D8D2" w14:textId="77777777" w:rsidR="00D7202C" w:rsidRDefault="00D7202C">
      <w:r>
        <w:separator/>
      </w:r>
    </w:p>
  </w:footnote>
  <w:footnote w:type="continuationSeparator" w:id="0">
    <w:p w14:paraId="042B3668" w14:textId="77777777" w:rsidR="00D7202C" w:rsidRDefault="00D7202C">
      <w:r>
        <w:continuationSeparator/>
      </w:r>
    </w:p>
  </w:footnote>
  <w:footnote w:id="1">
    <w:p w14:paraId="4DEAC599" w14:textId="5881580C" w:rsidR="007554BE" w:rsidRPr="00AC45E9" w:rsidRDefault="007554BE" w:rsidP="00AC45E9">
      <w:pPr>
        <w:pStyle w:val="Textonotapie"/>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066378B" w14:textId="48045EEB" w:rsidR="007554BE" w:rsidRPr="00AC45E9" w:rsidRDefault="007554BE" w:rsidP="00AC45E9">
      <w:pPr>
        <w:pStyle w:val="Textonotapie"/>
        <w:tabs>
          <w:tab w:val="left" w:pos="0"/>
        </w:tabs>
        <w:spacing w:after="0" w:line="240" w:lineRule="auto"/>
        <w:ind w:firstLine="709"/>
        <w:rPr>
          <w:rFonts w:ascii="Arial" w:hAnsi="Arial" w:cs="Arial"/>
          <w:sz w:val="19"/>
          <w:szCs w:val="19"/>
        </w:rPr>
      </w:pPr>
      <w:proofErr w:type="gramStart"/>
      <w:r w:rsidRPr="00AC45E9">
        <w:rPr>
          <w:rFonts w:ascii="Arial" w:hAnsi="Arial" w:cs="Arial"/>
          <w:sz w:val="19"/>
          <w:szCs w:val="19"/>
        </w:rPr>
        <w:t>»A</w:t>
      </w:r>
      <w:proofErr w:type="gramEnd"/>
      <w:r w:rsidRPr="00AC45E9">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w:t>
      </w:r>
      <w:proofErr w:type="gramStart"/>
      <w:r w:rsidRPr="00AC45E9">
        <w:rPr>
          <w:rFonts w:ascii="Arial" w:hAnsi="Arial" w:cs="Arial"/>
          <w:sz w:val="19"/>
          <w:szCs w:val="19"/>
        </w:rPr>
        <w:t>»Los</w:t>
      </w:r>
      <w:proofErr w:type="gramEnd"/>
      <w:r w:rsidRPr="00AC45E9">
        <w:rPr>
          <w:rFonts w:ascii="Arial" w:hAnsi="Arial" w:cs="Arial"/>
          <w:sz w:val="19"/>
          <w:szCs w:val="19"/>
        </w:rPr>
        <w:t xml:space="preserve"> empleados no contemplados en esta prohibición solo podrán participar en dichas actividades y controversias en las condiciones que señale la Ley Estatutaria».</w:t>
      </w:r>
    </w:p>
    <w:p w14:paraId="4525A19C" w14:textId="77777777" w:rsidR="007554BE" w:rsidRPr="00AC45E9" w:rsidRDefault="007554BE" w:rsidP="00AC45E9">
      <w:pPr>
        <w:pStyle w:val="Textonotapie"/>
        <w:spacing w:after="0" w:line="240" w:lineRule="auto"/>
        <w:ind w:firstLine="709"/>
        <w:rPr>
          <w:rFonts w:ascii="Arial" w:hAnsi="Arial" w:cs="Arial"/>
          <w:sz w:val="19"/>
          <w:szCs w:val="19"/>
        </w:rPr>
      </w:pPr>
    </w:p>
  </w:footnote>
  <w:footnote w:id="2">
    <w:p w14:paraId="063490B9" w14:textId="18C41A83" w:rsidR="007554BE" w:rsidRPr="00AC45E9" w:rsidRDefault="007554BE" w:rsidP="00AC45E9">
      <w:pPr>
        <w:pStyle w:val="Textonotapie"/>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639D155" w14:textId="77777777" w:rsidR="007554BE" w:rsidRPr="00AC45E9" w:rsidRDefault="007554BE" w:rsidP="00AC45E9">
      <w:pPr>
        <w:pStyle w:val="Textonotapie"/>
        <w:spacing w:after="0" w:line="240" w:lineRule="auto"/>
        <w:ind w:firstLine="709"/>
        <w:rPr>
          <w:rFonts w:ascii="Arial" w:hAnsi="Arial" w:cs="Arial"/>
          <w:sz w:val="19"/>
          <w:szCs w:val="19"/>
          <w:lang w:val="es-CO"/>
        </w:rPr>
      </w:pPr>
    </w:p>
  </w:footnote>
  <w:footnote w:id="3">
    <w:p w14:paraId="07A67B7A" w14:textId="63207721" w:rsidR="007554BE" w:rsidRPr="00AC45E9" w:rsidRDefault="007554BE" w:rsidP="00AC45E9">
      <w:pPr>
        <w:pStyle w:val="Textonotapie"/>
        <w:spacing w:after="0" w:line="240" w:lineRule="auto"/>
        <w:ind w:firstLine="709"/>
        <w:rPr>
          <w:rFonts w:ascii="Arial" w:hAnsi="Arial" w:cs="Arial"/>
          <w:sz w:val="19"/>
          <w:szCs w:val="19"/>
          <w:lang w:val="es-CO"/>
        </w:rPr>
      </w:pPr>
      <w:r w:rsidRPr="00AC45E9">
        <w:rPr>
          <w:rStyle w:val="Refdenotaalpie"/>
          <w:rFonts w:ascii="Arial" w:hAnsi="Arial" w:cs="Arial"/>
          <w:sz w:val="19"/>
          <w:szCs w:val="19"/>
        </w:rPr>
        <w:footnoteRef/>
      </w:r>
      <w:r w:rsidRPr="00AC45E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F87113D" w14:textId="77777777" w:rsidR="007554BE" w:rsidRPr="00AC45E9" w:rsidRDefault="007554BE" w:rsidP="00AC45E9">
      <w:pPr>
        <w:pStyle w:val="Textonotapie"/>
        <w:spacing w:after="0" w:line="240" w:lineRule="auto"/>
        <w:ind w:firstLine="709"/>
        <w:rPr>
          <w:rFonts w:ascii="Arial" w:hAnsi="Arial" w:cs="Arial"/>
          <w:sz w:val="19"/>
          <w:szCs w:val="19"/>
          <w:lang w:val="es-CO"/>
        </w:rPr>
      </w:pPr>
    </w:p>
  </w:footnote>
  <w:footnote w:id="4">
    <w:p w14:paraId="7412ACEF" w14:textId="67F527CC" w:rsidR="007554BE" w:rsidRPr="00AC45E9" w:rsidRDefault="007554BE" w:rsidP="00AC45E9">
      <w:pPr>
        <w:pStyle w:val="Textonotapie"/>
        <w:spacing w:after="0" w:line="240" w:lineRule="auto"/>
        <w:ind w:firstLine="709"/>
        <w:rPr>
          <w:rFonts w:ascii="Arial" w:hAnsi="Arial" w:cs="Arial"/>
          <w:sz w:val="19"/>
          <w:szCs w:val="19"/>
          <w:lang w:val="es-CO"/>
        </w:rPr>
      </w:pPr>
      <w:r w:rsidRPr="00AC45E9">
        <w:rPr>
          <w:rStyle w:val="Refdenotaalpie"/>
          <w:rFonts w:ascii="Arial" w:hAnsi="Arial" w:cs="Arial"/>
          <w:sz w:val="19"/>
          <w:szCs w:val="19"/>
        </w:rPr>
        <w:footnoteRef/>
      </w:r>
      <w:r w:rsidRPr="00AC45E9">
        <w:rPr>
          <w:rFonts w:ascii="Arial" w:hAnsi="Arial" w:cs="Arial"/>
          <w:sz w:val="19"/>
          <w:szCs w:val="19"/>
        </w:rPr>
        <w:t xml:space="preserve"> Consejo de Estado, Sala de Consulta y Servicio Civil de </w:t>
      </w:r>
      <w:proofErr w:type="gramStart"/>
      <w:r w:rsidRPr="00AC45E9">
        <w:rPr>
          <w:rFonts w:ascii="Arial" w:hAnsi="Arial" w:cs="Arial"/>
          <w:sz w:val="19"/>
          <w:szCs w:val="19"/>
        </w:rPr>
        <w:t>fecha  24</w:t>
      </w:r>
      <w:proofErr w:type="gramEnd"/>
      <w:r w:rsidRPr="00AC45E9">
        <w:rPr>
          <w:rFonts w:ascii="Arial" w:hAnsi="Arial" w:cs="Arial"/>
          <w:sz w:val="19"/>
          <w:szCs w:val="19"/>
        </w:rPr>
        <w:t xml:space="preserve"> de julio de 2013, radicado 2166, Consejero Ponente Álvaro </w:t>
      </w:r>
      <w:proofErr w:type="spellStart"/>
      <w:r w:rsidRPr="00AC45E9">
        <w:rPr>
          <w:rFonts w:ascii="Arial" w:hAnsi="Arial" w:cs="Arial"/>
          <w:sz w:val="19"/>
          <w:szCs w:val="19"/>
        </w:rPr>
        <w:t>Namén</w:t>
      </w:r>
      <w:proofErr w:type="spellEnd"/>
      <w:r w:rsidRPr="00AC45E9">
        <w:rPr>
          <w:rFonts w:ascii="Arial" w:hAnsi="Arial" w:cs="Arial"/>
          <w:sz w:val="19"/>
          <w:szCs w:val="19"/>
        </w:rPr>
        <w:t xml:space="preserve"> Vargas.  </w:t>
      </w:r>
    </w:p>
  </w:footnote>
  <w:footnote w:id="5">
    <w:p w14:paraId="0C4EA281" w14:textId="78423949" w:rsidR="007554BE" w:rsidRPr="00AC45E9" w:rsidRDefault="007554BE" w:rsidP="00AC45E9">
      <w:pPr>
        <w:pStyle w:val="Textonotapie"/>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Consejo de Estado. Sala de Consulta y Servicio Civil. Concepto del 18 de febrero de 2010. Radicación 2010-00006-00(</w:t>
      </w:r>
      <w:proofErr w:type="gramStart"/>
      <w:r w:rsidRPr="00AC45E9">
        <w:rPr>
          <w:rFonts w:ascii="Arial" w:hAnsi="Arial" w:cs="Arial"/>
          <w:sz w:val="19"/>
          <w:szCs w:val="19"/>
        </w:rPr>
        <w:t>1985)A.</w:t>
      </w:r>
      <w:proofErr w:type="gramEnd"/>
    </w:p>
    <w:p w14:paraId="48631F8F" w14:textId="77777777" w:rsidR="007554BE" w:rsidRPr="00AC45E9" w:rsidRDefault="007554BE" w:rsidP="00AC45E9">
      <w:pPr>
        <w:pStyle w:val="Textonotapie"/>
        <w:spacing w:after="0" w:line="240" w:lineRule="auto"/>
        <w:ind w:firstLine="709"/>
        <w:rPr>
          <w:rFonts w:ascii="Arial" w:hAnsi="Arial" w:cs="Arial"/>
          <w:sz w:val="19"/>
          <w:szCs w:val="19"/>
          <w:lang w:val="es-CO"/>
        </w:rPr>
      </w:pPr>
    </w:p>
  </w:footnote>
  <w:footnote w:id="6">
    <w:p w14:paraId="3B22A3D4" w14:textId="68639CC8" w:rsidR="007554BE" w:rsidRPr="00AC45E9" w:rsidRDefault="007554BE" w:rsidP="00AC45E9">
      <w:pPr>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Ley 1150 de 2007, artículo 2: «La escogencia del contratista se efectuará con arreglo a las modalidades de selección de licitación pública, selección abreviada, concurso de méritos y contratación directa, con base en las siguientes reglas:</w:t>
      </w:r>
    </w:p>
    <w:p w14:paraId="3AF3D794" w14:textId="7CFC96D0" w:rsidR="007554BE" w:rsidRPr="00AC45E9" w:rsidRDefault="007554BE" w:rsidP="00AC45E9">
      <w:pPr>
        <w:spacing w:after="0" w:line="240" w:lineRule="auto"/>
        <w:ind w:firstLine="709"/>
        <w:rPr>
          <w:rFonts w:ascii="Arial" w:hAnsi="Arial" w:cs="Arial"/>
          <w:sz w:val="19"/>
          <w:szCs w:val="19"/>
        </w:rPr>
      </w:pPr>
      <w:r w:rsidRPr="00AC45E9">
        <w:rPr>
          <w:rFonts w:ascii="Arial" w:hAnsi="Arial" w:cs="Arial"/>
          <w:sz w:val="19"/>
          <w:szCs w:val="19"/>
        </w:rPr>
        <w:t>[…]</w:t>
      </w:r>
    </w:p>
    <w:p w14:paraId="61E2A84E" w14:textId="1F9C9C0F" w:rsidR="007554BE" w:rsidRPr="00AC45E9" w:rsidRDefault="007554BE" w:rsidP="00AC45E9">
      <w:pPr>
        <w:spacing w:after="0" w:line="240" w:lineRule="auto"/>
        <w:ind w:firstLine="709"/>
        <w:rPr>
          <w:rFonts w:ascii="Arial" w:hAnsi="Arial" w:cs="Arial"/>
          <w:sz w:val="19"/>
          <w:szCs w:val="19"/>
        </w:rPr>
      </w:pPr>
      <w:r w:rsidRPr="00AC45E9">
        <w:rPr>
          <w:rFonts w:ascii="Arial" w:hAnsi="Arial" w:cs="Arial"/>
          <w:sz w:val="19"/>
          <w:szCs w:val="19"/>
        </w:rPr>
        <w:t>»4. Contratación directa. La modalidad de selección de contratación directa, solamente procederá en los siguientes casos:</w:t>
      </w:r>
    </w:p>
    <w:p w14:paraId="0F069D32" w14:textId="77777777" w:rsidR="007554BE" w:rsidRPr="00AC45E9" w:rsidRDefault="007554BE" w:rsidP="00AC45E9">
      <w:pPr>
        <w:spacing w:after="0" w:line="240" w:lineRule="auto"/>
        <w:ind w:firstLine="709"/>
        <w:rPr>
          <w:rFonts w:ascii="Arial" w:hAnsi="Arial" w:cs="Arial"/>
          <w:sz w:val="19"/>
          <w:szCs w:val="19"/>
        </w:rPr>
      </w:pPr>
      <w:r w:rsidRPr="00AC45E9">
        <w:rPr>
          <w:rFonts w:ascii="Arial" w:hAnsi="Arial" w:cs="Arial"/>
          <w:sz w:val="19"/>
          <w:szCs w:val="19"/>
        </w:rPr>
        <w:t>[…]</w:t>
      </w:r>
    </w:p>
    <w:p w14:paraId="792FC798" w14:textId="7EBDA3F8" w:rsidR="007554BE" w:rsidRPr="00AC45E9" w:rsidRDefault="007554BE" w:rsidP="00AC45E9">
      <w:pPr>
        <w:spacing w:after="0" w:line="240" w:lineRule="auto"/>
        <w:ind w:firstLine="709"/>
        <w:rPr>
          <w:rFonts w:ascii="Arial" w:hAnsi="Arial" w:cs="Arial"/>
          <w:sz w:val="19"/>
          <w:szCs w:val="19"/>
        </w:rPr>
      </w:pPr>
      <w:r w:rsidRPr="00AC45E9">
        <w:rPr>
          <w:rFonts w:ascii="Arial" w:hAnsi="Arial" w:cs="Arial"/>
          <w:sz w:val="19"/>
          <w:szCs w:val="19"/>
        </w:rPr>
        <w:t>»h) Para la prestación de servicios profesionales y de apoyo a la gestión, o para la ejecución de trabajos artísticos que sólo puedan encomendarse a determinadas personas naturales».</w:t>
      </w:r>
    </w:p>
    <w:p w14:paraId="39091E2F" w14:textId="77777777" w:rsidR="007554BE" w:rsidRPr="00AC45E9" w:rsidRDefault="007554BE" w:rsidP="00AC45E9">
      <w:pPr>
        <w:pStyle w:val="Textonotapie"/>
        <w:spacing w:after="0" w:line="240" w:lineRule="auto"/>
        <w:ind w:firstLine="709"/>
        <w:rPr>
          <w:rFonts w:ascii="Arial" w:hAnsi="Arial" w:cs="Arial"/>
          <w:sz w:val="19"/>
          <w:szCs w:val="19"/>
          <w:lang w:val="es-CO"/>
        </w:rPr>
      </w:pPr>
    </w:p>
  </w:footnote>
  <w:footnote w:id="7">
    <w:p w14:paraId="4C50B081" w14:textId="2A7966C0" w:rsidR="007554BE" w:rsidRPr="00AC45E9" w:rsidRDefault="007554BE" w:rsidP="00AC45E9">
      <w:pPr>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14:paraId="0BC941C3" w14:textId="77777777" w:rsidR="007554BE" w:rsidRPr="00AC45E9" w:rsidRDefault="007554BE" w:rsidP="00AC45E9">
      <w:pPr>
        <w:spacing w:after="0" w:line="240" w:lineRule="auto"/>
        <w:ind w:firstLine="709"/>
        <w:rPr>
          <w:rFonts w:ascii="Arial" w:hAnsi="Arial" w:cs="Arial"/>
          <w:sz w:val="19"/>
          <w:szCs w:val="19"/>
          <w:lang w:val="es-CO"/>
        </w:rPr>
      </w:pPr>
    </w:p>
  </w:footnote>
  <w:footnote w:id="8">
    <w:p w14:paraId="0B49E1CE" w14:textId="0E679DA2" w:rsidR="007554BE" w:rsidRPr="00AC45E9" w:rsidRDefault="007554BE" w:rsidP="00AC45E9">
      <w:pPr>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w:t>
      </w:r>
      <w:r w:rsidRPr="00AC45E9">
        <w:rPr>
          <w:rFonts w:ascii="Arial" w:hAnsi="Arial" w:cs="Arial"/>
          <w:spacing w:val="-5"/>
          <w:sz w:val="19"/>
          <w:szCs w:val="19"/>
        </w:rPr>
        <w:t xml:space="preserve"> </w:t>
      </w:r>
      <w:r w:rsidRPr="00AC45E9">
        <w:rPr>
          <w:rFonts w:ascii="Arial" w:hAnsi="Arial" w:cs="Arial"/>
          <w:sz w:val="19"/>
          <w:szCs w:val="19"/>
        </w:rPr>
        <w:t>2015.</w:t>
      </w:r>
    </w:p>
    <w:p w14:paraId="2F7DFB31" w14:textId="77777777" w:rsidR="007554BE" w:rsidRPr="00AC45E9" w:rsidRDefault="007554BE" w:rsidP="00AC45E9">
      <w:pPr>
        <w:spacing w:after="0" w:line="240" w:lineRule="auto"/>
        <w:ind w:firstLine="709"/>
        <w:rPr>
          <w:rFonts w:ascii="Arial" w:hAnsi="Arial" w:cs="Arial"/>
          <w:sz w:val="19"/>
          <w:szCs w:val="19"/>
          <w:lang w:val="es-CO"/>
        </w:rPr>
      </w:pPr>
    </w:p>
  </w:footnote>
  <w:footnote w:id="9">
    <w:p w14:paraId="6B617113" w14:textId="4C4869D6" w:rsidR="007554BE" w:rsidRPr="00AC45E9" w:rsidRDefault="007554BE" w:rsidP="00AC45E9">
      <w:pPr>
        <w:pStyle w:val="Textonotapie"/>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Consejo de Estado. Sala de consulta y servicio civil. Sentencia del 20 de febrero de 2006. Radicado No. 1.727. Consejero Ponente: Enrique José Arboleda Perdomo.</w:t>
      </w:r>
    </w:p>
  </w:footnote>
  <w:footnote w:id="10">
    <w:p w14:paraId="06E60406" w14:textId="50020B35" w:rsidR="007554BE" w:rsidRPr="00AC45E9" w:rsidRDefault="007554BE" w:rsidP="00AC45E9">
      <w:pPr>
        <w:pStyle w:val="Textonotapie"/>
        <w:spacing w:after="0" w:line="240" w:lineRule="auto"/>
        <w:ind w:firstLine="709"/>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CONSEJO DE ESTADO. Sala de Consulta y Servicio Civil. Concepto del 08 de mayo de 2018. </w:t>
      </w:r>
      <w:proofErr w:type="spellStart"/>
      <w:r w:rsidRPr="00AC45E9">
        <w:rPr>
          <w:rFonts w:ascii="Arial" w:hAnsi="Arial" w:cs="Arial"/>
          <w:sz w:val="19"/>
          <w:szCs w:val="19"/>
        </w:rPr>
        <w:t>Exp</w:t>
      </w:r>
      <w:proofErr w:type="spellEnd"/>
      <w:r w:rsidRPr="00AC45E9">
        <w:rPr>
          <w:rFonts w:ascii="Arial" w:hAnsi="Arial" w:cs="Arial"/>
          <w:sz w:val="19"/>
          <w:szCs w:val="19"/>
        </w:rPr>
        <w:t xml:space="preserve">. 2.382. C.P. Álvaro </w:t>
      </w:r>
      <w:proofErr w:type="spellStart"/>
      <w:r w:rsidRPr="00AC45E9">
        <w:rPr>
          <w:rFonts w:ascii="Arial" w:hAnsi="Arial" w:cs="Arial"/>
          <w:sz w:val="19"/>
          <w:szCs w:val="19"/>
        </w:rPr>
        <w:t>Namén</w:t>
      </w:r>
      <w:proofErr w:type="spellEnd"/>
      <w:r w:rsidRPr="00AC45E9">
        <w:rPr>
          <w:rFonts w:ascii="Arial" w:hAnsi="Arial" w:cs="Arial"/>
          <w:sz w:val="19"/>
          <w:szCs w:val="19"/>
        </w:rPr>
        <w:t xml:space="preserve"> Vargas.</w:t>
      </w:r>
    </w:p>
  </w:footnote>
  <w:footnote w:id="11">
    <w:p w14:paraId="0A24A03E" w14:textId="1BFCE50D" w:rsidR="00AC45E9" w:rsidRPr="00AC45E9" w:rsidRDefault="00AC45E9" w:rsidP="00AC45E9">
      <w:pPr>
        <w:pStyle w:val="Textonotapie"/>
        <w:spacing w:after="0" w:line="240" w:lineRule="auto"/>
        <w:ind w:firstLine="708"/>
        <w:rPr>
          <w:rFonts w:ascii="Arial" w:hAnsi="Arial" w:cs="Arial"/>
          <w:sz w:val="19"/>
          <w:szCs w:val="19"/>
          <w:lang w:val="es-CO"/>
        </w:rPr>
      </w:pPr>
      <w:r w:rsidRPr="0060686E">
        <w:rPr>
          <w:rStyle w:val="Refdenotaalpie"/>
          <w:rFonts w:ascii="Arial" w:hAnsi="Arial" w:cs="Arial"/>
          <w:sz w:val="19"/>
          <w:szCs w:val="19"/>
        </w:rPr>
        <w:footnoteRef/>
      </w:r>
      <w:r w:rsidRPr="0060686E">
        <w:rPr>
          <w:rFonts w:ascii="Arial" w:hAnsi="Arial" w:cs="Arial"/>
          <w:sz w:val="19"/>
          <w:szCs w:val="19"/>
        </w:rPr>
        <w:t xml:space="preserve"> </w:t>
      </w:r>
      <w:r>
        <w:rPr>
          <w:rFonts w:ascii="Arial" w:hAnsi="Arial" w:cs="Arial"/>
          <w:sz w:val="19"/>
          <w:szCs w:val="19"/>
        </w:rPr>
        <w:t>El artículo 33 de la Ley 996 de 2005 prescribe: «</w:t>
      </w:r>
      <w:r>
        <w:rPr>
          <w:rFonts w:ascii="Arial" w:hAnsi="Arial" w:cs="Arial"/>
          <w:sz w:val="19"/>
          <w:szCs w:val="19"/>
          <w:lang w:val="es-CO"/>
        </w:rPr>
        <w:t>A</w:t>
      </w:r>
      <w:r w:rsidRPr="00CE168F">
        <w:rPr>
          <w:rFonts w:ascii="Arial" w:hAnsi="Arial" w:cs="Arial"/>
          <w:sz w:val="19"/>
          <w:szCs w:val="19"/>
          <w:lang w:val="es-CO"/>
        </w:rPr>
        <w:t>rtículo</w:t>
      </w:r>
      <w:r w:rsidRPr="0060686E">
        <w:rPr>
          <w:rFonts w:ascii="Arial" w:hAnsi="Arial" w:cs="Arial"/>
          <w:sz w:val="19"/>
          <w:szCs w:val="19"/>
          <w:lang w:val="es-CO"/>
        </w:rPr>
        <w:t xml:space="preserve"> 33. </w:t>
      </w:r>
      <w:r>
        <w:rPr>
          <w:rFonts w:ascii="Arial" w:hAnsi="Arial" w:cs="Arial"/>
          <w:sz w:val="19"/>
          <w:szCs w:val="19"/>
          <w:lang w:val="es-CO"/>
        </w:rPr>
        <w:t>R</w:t>
      </w:r>
      <w:r w:rsidRPr="00CE168F">
        <w:rPr>
          <w:rFonts w:ascii="Arial" w:hAnsi="Arial" w:cs="Arial"/>
          <w:sz w:val="19"/>
          <w:szCs w:val="19"/>
          <w:lang w:val="es-CO"/>
        </w:rPr>
        <w:t>estricciones a la contratación pública</w:t>
      </w:r>
      <w:r w:rsidRPr="0060686E">
        <w:rPr>
          <w:rFonts w:ascii="Arial" w:hAnsi="Arial" w:cs="Arial"/>
          <w:sz w:val="19"/>
          <w:szCs w:val="19"/>
          <w:lang w:val="es-CO"/>
        </w:rPr>
        <w:t>.</w:t>
      </w:r>
      <w:r w:rsidRPr="00AC45E9">
        <w:rPr>
          <w:rFonts w:ascii="Arial" w:hAnsi="Arial" w:cs="Arial"/>
          <w:sz w:val="19"/>
          <w:szCs w:val="19"/>
          <w:lang w:val="es-CO"/>
        </w:rPr>
        <w:t xml:space="preserve"> Durante los cuatro (4) meses anteriores a la elección presidencial y hasta la realización de la elección en la segunda vuelta, si fuere el caso, queda prohibida la contratación directa por parte de todos los entes del Estado.</w:t>
      </w:r>
    </w:p>
    <w:p w14:paraId="3A242797" w14:textId="6DD4C418" w:rsidR="00AC45E9" w:rsidRPr="00AC45E9" w:rsidRDefault="00AC45E9" w:rsidP="00AC45E9">
      <w:pPr>
        <w:pStyle w:val="Textonotapie"/>
        <w:spacing w:after="0" w:line="240" w:lineRule="auto"/>
        <w:ind w:firstLine="708"/>
        <w:rPr>
          <w:rFonts w:ascii="Arial" w:hAnsi="Arial" w:cs="Arial"/>
          <w:sz w:val="19"/>
          <w:szCs w:val="19"/>
          <w:lang w:val="es-CO"/>
        </w:rPr>
      </w:pPr>
      <w:r>
        <w:rPr>
          <w:rFonts w:ascii="Arial" w:hAnsi="Arial" w:cs="Arial"/>
          <w:sz w:val="19"/>
          <w:szCs w:val="19"/>
          <w:lang w:val="es-CO"/>
        </w:rPr>
        <w:t>»</w:t>
      </w:r>
      <w:r w:rsidRPr="0060686E">
        <w:rPr>
          <w:rFonts w:ascii="Arial" w:hAnsi="Arial" w:cs="Arial"/>
          <w:i/>
          <w:iCs/>
          <w:sz w:val="19"/>
          <w:szCs w:val="19"/>
          <w:lang w:val="es-CO"/>
        </w:rPr>
        <w:t>Queda exceptuado</w:t>
      </w:r>
      <w:r w:rsidRPr="00AC45E9">
        <w:rPr>
          <w:rFonts w:ascii="Arial" w:hAnsi="Arial" w:cs="Arial"/>
          <w:sz w:val="19"/>
          <w:szCs w:val="19"/>
          <w:lang w:val="es-CO"/>
        </w:rPr>
        <w:t xml:space="preserve"> lo referente a la defensa y seguridad del Estado, </w:t>
      </w:r>
      <w:r w:rsidRPr="0060686E">
        <w:rPr>
          <w:rFonts w:ascii="Arial" w:hAnsi="Arial" w:cs="Arial"/>
          <w:i/>
          <w:iCs/>
          <w:sz w:val="19"/>
          <w:szCs w:val="19"/>
          <w:lang w:val="es-CO"/>
        </w:rPr>
        <w:t>los contratos</w:t>
      </w:r>
      <w:r w:rsidRPr="00AC45E9">
        <w:rPr>
          <w:rFonts w:ascii="Arial" w:hAnsi="Arial" w:cs="Arial"/>
          <w:sz w:val="19"/>
          <w:szCs w:val="19"/>
          <w:lang w:val="es-CO"/>
        </w:rPr>
        <w:t xml:space="preserve">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w:t>
      </w:r>
      <w:r w:rsidRPr="0060686E">
        <w:rPr>
          <w:rFonts w:ascii="Arial" w:hAnsi="Arial" w:cs="Arial"/>
          <w:i/>
          <w:iCs/>
          <w:sz w:val="19"/>
          <w:szCs w:val="19"/>
          <w:lang w:val="es-CO"/>
        </w:rPr>
        <w:t>los que deban realizar las entidades sanitarias y hospitalarias</w:t>
      </w:r>
      <w:r>
        <w:rPr>
          <w:rFonts w:ascii="Arial" w:hAnsi="Arial" w:cs="Arial"/>
          <w:sz w:val="19"/>
          <w:szCs w:val="19"/>
          <w:lang w:val="es-CO"/>
        </w:rPr>
        <w:t>» (Cursiva fuera del original).</w:t>
      </w:r>
    </w:p>
    <w:p w14:paraId="039F4779" w14:textId="77777777" w:rsidR="00AC45E9" w:rsidRPr="0060686E" w:rsidRDefault="00AC45E9" w:rsidP="0060686E">
      <w:pPr>
        <w:pStyle w:val="Textonotapie"/>
        <w:spacing w:after="0" w:line="240" w:lineRule="auto"/>
        <w:ind w:firstLine="708"/>
        <w:rPr>
          <w:rFonts w:ascii="Arial" w:hAnsi="Arial" w:cs="Arial"/>
          <w:sz w:val="19"/>
          <w:szCs w:val="19"/>
          <w:lang w:val="es-CO"/>
        </w:rPr>
      </w:pPr>
    </w:p>
  </w:footnote>
  <w:footnote w:id="12">
    <w:p w14:paraId="63836BA6" w14:textId="0A24B8D9" w:rsidR="00AC45E9" w:rsidRDefault="00AC45E9" w:rsidP="00AC45E9">
      <w:pPr>
        <w:pStyle w:val="Textonotapie"/>
        <w:spacing w:after="0" w:line="240" w:lineRule="auto"/>
        <w:ind w:firstLine="708"/>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Consejo de Estado. Sala de Consulta y Servicio Civil. Concepto del 18 de febrero 2010. Rad. 11001-03-06-000-2010-00006-00 (1985). C.P. Enrique José Arboleda Perdomo.</w:t>
      </w:r>
    </w:p>
    <w:p w14:paraId="3DD41A33" w14:textId="77777777" w:rsidR="00AC45E9" w:rsidRPr="00AC45E9" w:rsidRDefault="00AC45E9" w:rsidP="0060686E">
      <w:pPr>
        <w:pStyle w:val="Textonotapie"/>
        <w:spacing w:after="0" w:line="240" w:lineRule="auto"/>
        <w:ind w:firstLine="708"/>
        <w:rPr>
          <w:rFonts w:ascii="Arial" w:hAnsi="Arial" w:cs="Arial"/>
          <w:sz w:val="19"/>
          <w:szCs w:val="19"/>
        </w:rPr>
      </w:pPr>
    </w:p>
  </w:footnote>
  <w:footnote w:id="13">
    <w:p w14:paraId="43C5AE0C" w14:textId="77777777" w:rsidR="00AC45E9" w:rsidRPr="00AC45E9" w:rsidRDefault="00AC45E9" w:rsidP="0060686E">
      <w:pPr>
        <w:pStyle w:val="Textonotapie"/>
        <w:spacing w:after="0" w:line="240" w:lineRule="auto"/>
        <w:ind w:firstLine="708"/>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Corte Constitucional. Sentencia C-1153 de 2005 M.P. Marco Gerardo Monroy Cabra. </w:t>
      </w:r>
    </w:p>
  </w:footnote>
  <w:footnote w:id="14">
    <w:p w14:paraId="11B2EE09" w14:textId="3938FFC6" w:rsidR="00AC45E9" w:rsidRDefault="00AC45E9" w:rsidP="0060686E">
      <w:pPr>
        <w:pStyle w:val="Textonotapie"/>
        <w:spacing w:after="0" w:line="240" w:lineRule="auto"/>
        <w:ind w:firstLine="708"/>
        <w:rPr>
          <w:rFonts w:ascii="Arial" w:hAnsi="Arial" w:cs="Arial"/>
          <w:sz w:val="19"/>
          <w:szCs w:val="19"/>
        </w:rPr>
      </w:pPr>
      <w:r w:rsidRPr="00AC45E9">
        <w:rPr>
          <w:rStyle w:val="Refdenotaalpie"/>
          <w:rFonts w:ascii="Arial" w:hAnsi="Arial" w:cs="Arial"/>
          <w:sz w:val="19"/>
          <w:szCs w:val="19"/>
        </w:rPr>
        <w:footnoteRef/>
      </w:r>
      <w:r w:rsidRPr="00AC45E9">
        <w:rPr>
          <w:rFonts w:ascii="Arial" w:hAnsi="Arial" w:cs="Arial"/>
          <w:sz w:val="19"/>
          <w:szCs w:val="19"/>
        </w:rPr>
        <w:t xml:space="preserve"> Consejo de Estado. Sala de Consulta y Servicio Civil. Concepto del 02 de septiembre de 2013. Rad. 11001-03-06-000-2013-00412-00 (2168). C.P. Álvaro </w:t>
      </w:r>
      <w:proofErr w:type="spellStart"/>
      <w:r w:rsidRPr="00AC45E9">
        <w:rPr>
          <w:rFonts w:ascii="Arial" w:hAnsi="Arial" w:cs="Arial"/>
          <w:sz w:val="19"/>
          <w:szCs w:val="19"/>
        </w:rPr>
        <w:t>Namén</w:t>
      </w:r>
      <w:proofErr w:type="spellEnd"/>
      <w:r w:rsidRPr="00AC45E9">
        <w:rPr>
          <w:rFonts w:ascii="Arial" w:hAnsi="Arial" w:cs="Arial"/>
          <w:sz w:val="19"/>
          <w:szCs w:val="19"/>
        </w:rPr>
        <w:t xml:space="preserve"> Vargas.</w:t>
      </w:r>
    </w:p>
    <w:p w14:paraId="5AB919EE" w14:textId="77777777" w:rsidR="00AC45E9" w:rsidRPr="00AC45E9" w:rsidRDefault="00AC45E9" w:rsidP="0060686E">
      <w:pPr>
        <w:pStyle w:val="Textonotapie"/>
        <w:spacing w:after="0" w:line="240" w:lineRule="auto"/>
        <w:rPr>
          <w:rFonts w:ascii="Arial" w:hAnsi="Arial" w:cs="Arial"/>
          <w:sz w:val="19"/>
          <w:szCs w:val="19"/>
        </w:rPr>
      </w:pPr>
    </w:p>
  </w:footnote>
  <w:footnote w:id="15">
    <w:p w14:paraId="1862836C" w14:textId="47A29DDD" w:rsidR="00AC45E9" w:rsidRPr="00AC45E9" w:rsidRDefault="00AC45E9" w:rsidP="0060686E">
      <w:pPr>
        <w:pStyle w:val="Textonotapie"/>
        <w:spacing w:after="0" w:line="240" w:lineRule="auto"/>
        <w:ind w:firstLine="708"/>
        <w:rPr>
          <w:rFonts w:ascii="Arial" w:hAnsi="Arial" w:cs="Arial"/>
          <w:sz w:val="19"/>
          <w:szCs w:val="19"/>
          <w:lang w:val="es-ES"/>
        </w:rPr>
      </w:pPr>
      <w:r w:rsidRPr="00AC45E9">
        <w:rPr>
          <w:rStyle w:val="Refdenotaalpie"/>
          <w:rFonts w:ascii="Arial" w:hAnsi="Arial" w:cs="Arial"/>
          <w:sz w:val="19"/>
          <w:szCs w:val="19"/>
        </w:rPr>
        <w:footnoteRef/>
      </w:r>
      <w:r w:rsidRPr="00AC45E9">
        <w:rPr>
          <w:rFonts w:ascii="Arial" w:hAnsi="Arial" w:cs="Arial"/>
          <w:sz w:val="19"/>
          <w:szCs w:val="19"/>
        </w:rPr>
        <w:t xml:space="preserve"> </w:t>
      </w:r>
      <w:r w:rsidR="00E93705">
        <w:rPr>
          <w:rFonts w:ascii="Arial" w:hAnsi="Arial" w:cs="Arial"/>
          <w:sz w:val="19"/>
          <w:szCs w:val="19"/>
          <w:lang w:val="es-CO"/>
        </w:rPr>
        <w:t>«</w:t>
      </w:r>
      <w:r w:rsidR="00E93705">
        <w:rPr>
          <w:rFonts w:ascii="Arial" w:hAnsi="Arial" w:cs="Arial"/>
          <w:sz w:val="19"/>
          <w:szCs w:val="19"/>
        </w:rPr>
        <w:t>A</w:t>
      </w:r>
      <w:r w:rsidR="00E93705" w:rsidRPr="00CE168F">
        <w:rPr>
          <w:rFonts w:ascii="Arial" w:hAnsi="Arial" w:cs="Arial"/>
          <w:sz w:val="19"/>
          <w:szCs w:val="19"/>
        </w:rPr>
        <w:t xml:space="preserve">rtículo 197. </w:t>
      </w:r>
      <w:r w:rsidR="00E93705">
        <w:rPr>
          <w:rFonts w:ascii="Arial" w:hAnsi="Arial" w:cs="Arial"/>
          <w:sz w:val="19"/>
          <w:szCs w:val="19"/>
        </w:rPr>
        <w:t>E</w:t>
      </w:r>
      <w:r w:rsidR="00E93705" w:rsidRPr="00CE168F">
        <w:rPr>
          <w:rFonts w:ascii="Arial" w:hAnsi="Arial" w:cs="Arial"/>
          <w:sz w:val="19"/>
          <w:szCs w:val="19"/>
        </w:rPr>
        <w:t xml:space="preserve">mpresas sociales de salud de </w:t>
      </w:r>
      <w:proofErr w:type="spellStart"/>
      <w:r w:rsidR="00E93705" w:rsidRPr="00CE168F">
        <w:rPr>
          <w:rFonts w:ascii="Arial" w:hAnsi="Arial" w:cs="Arial"/>
          <w:sz w:val="19"/>
          <w:szCs w:val="19"/>
        </w:rPr>
        <w:t>caracter</w:t>
      </w:r>
      <w:proofErr w:type="spellEnd"/>
      <w:r w:rsidR="00E93705" w:rsidRPr="00CE168F">
        <w:rPr>
          <w:rFonts w:ascii="Arial" w:hAnsi="Arial" w:cs="Arial"/>
          <w:sz w:val="19"/>
          <w:szCs w:val="19"/>
        </w:rPr>
        <w:t xml:space="preserve"> territorial.</w:t>
      </w:r>
      <w:r w:rsidR="00E93705" w:rsidRPr="00AC45E9">
        <w:rPr>
          <w:rFonts w:ascii="Arial" w:hAnsi="Arial" w:cs="Arial"/>
          <w:sz w:val="19"/>
          <w:szCs w:val="19"/>
        </w:rPr>
        <w:t> </w:t>
      </w:r>
      <w:r w:rsidRPr="00AC45E9">
        <w:rPr>
          <w:rFonts w:ascii="Arial" w:hAnsi="Arial" w:cs="Arial"/>
          <w:sz w:val="19"/>
          <w:szCs w:val="19"/>
        </w:rPr>
        <w:t>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7554BE" w:rsidRDefault="007554B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7554BE" w:rsidRDefault="007554BE" w:rsidP="00FE0395">
    <w:pPr>
      <w:pStyle w:val="Encabezado"/>
      <w:spacing w:after="0"/>
    </w:pPr>
  </w:p>
  <w:p w14:paraId="6520770B" w14:textId="18EB07B5" w:rsidR="007554BE" w:rsidRDefault="007554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8D3B73"/>
    <w:multiLevelType w:val="hybridMultilevel"/>
    <w:tmpl w:val="6F464806"/>
    <w:lvl w:ilvl="0" w:tplc="6388BED4">
      <w:start w:val="1"/>
      <w:numFmt w:val="lowerRoman"/>
      <w:lvlText w:val="(%1)"/>
      <w:lvlJc w:val="left"/>
      <w:pPr>
        <w:ind w:left="108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4"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3"/>
    <w:lvlOverride w:ilvl="0">
      <w:startOverride w:val="1"/>
    </w:lvlOverride>
  </w:num>
  <w:num w:numId="10">
    <w:abstractNumId w:val="14"/>
  </w:num>
  <w:num w:numId="11">
    <w:abstractNumId w:val="4"/>
  </w:num>
  <w:num w:numId="12">
    <w:abstractNumId w:val="1"/>
  </w:num>
  <w:num w:numId="13">
    <w:abstractNumId w:val="2"/>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0682D"/>
    <w:rsid w:val="000105E2"/>
    <w:rsid w:val="000113E6"/>
    <w:rsid w:val="00011726"/>
    <w:rsid w:val="000126BB"/>
    <w:rsid w:val="00012A1B"/>
    <w:rsid w:val="000136DC"/>
    <w:rsid w:val="00013D7F"/>
    <w:rsid w:val="00016F33"/>
    <w:rsid w:val="00016FAC"/>
    <w:rsid w:val="0001726A"/>
    <w:rsid w:val="0001794A"/>
    <w:rsid w:val="0001795B"/>
    <w:rsid w:val="00020801"/>
    <w:rsid w:val="00024BE5"/>
    <w:rsid w:val="00026AD9"/>
    <w:rsid w:val="000271AD"/>
    <w:rsid w:val="00027940"/>
    <w:rsid w:val="00027F74"/>
    <w:rsid w:val="000303EC"/>
    <w:rsid w:val="0003041B"/>
    <w:rsid w:val="00030FF0"/>
    <w:rsid w:val="00034F55"/>
    <w:rsid w:val="000365C0"/>
    <w:rsid w:val="0003690D"/>
    <w:rsid w:val="0003698C"/>
    <w:rsid w:val="00037112"/>
    <w:rsid w:val="00042964"/>
    <w:rsid w:val="000503A1"/>
    <w:rsid w:val="00051590"/>
    <w:rsid w:val="0005241F"/>
    <w:rsid w:val="0005275D"/>
    <w:rsid w:val="00054C6E"/>
    <w:rsid w:val="00054E46"/>
    <w:rsid w:val="000551B3"/>
    <w:rsid w:val="00055B28"/>
    <w:rsid w:val="00056024"/>
    <w:rsid w:val="00057953"/>
    <w:rsid w:val="00061727"/>
    <w:rsid w:val="0006293E"/>
    <w:rsid w:val="00063E52"/>
    <w:rsid w:val="0006625D"/>
    <w:rsid w:val="00070770"/>
    <w:rsid w:val="000709A5"/>
    <w:rsid w:val="00070A22"/>
    <w:rsid w:val="00071D6E"/>
    <w:rsid w:val="000724C8"/>
    <w:rsid w:val="000743C2"/>
    <w:rsid w:val="00075262"/>
    <w:rsid w:val="0007590A"/>
    <w:rsid w:val="00076771"/>
    <w:rsid w:val="00077D20"/>
    <w:rsid w:val="00077E04"/>
    <w:rsid w:val="00077E1C"/>
    <w:rsid w:val="00080D35"/>
    <w:rsid w:val="00081AF3"/>
    <w:rsid w:val="00081E50"/>
    <w:rsid w:val="0008260E"/>
    <w:rsid w:val="000831E9"/>
    <w:rsid w:val="00083BE4"/>
    <w:rsid w:val="00084DC0"/>
    <w:rsid w:val="0008592F"/>
    <w:rsid w:val="00085CC3"/>
    <w:rsid w:val="00086C08"/>
    <w:rsid w:val="00087888"/>
    <w:rsid w:val="00090D35"/>
    <w:rsid w:val="000939E0"/>
    <w:rsid w:val="00093D35"/>
    <w:rsid w:val="000942EB"/>
    <w:rsid w:val="0009651A"/>
    <w:rsid w:val="00096EAB"/>
    <w:rsid w:val="0009712F"/>
    <w:rsid w:val="000972BA"/>
    <w:rsid w:val="000976FD"/>
    <w:rsid w:val="000A15CB"/>
    <w:rsid w:val="000A1B81"/>
    <w:rsid w:val="000A2C01"/>
    <w:rsid w:val="000A5189"/>
    <w:rsid w:val="000A668C"/>
    <w:rsid w:val="000A7E46"/>
    <w:rsid w:val="000B103F"/>
    <w:rsid w:val="000B1C28"/>
    <w:rsid w:val="000B3893"/>
    <w:rsid w:val="000B4FC6"/>
    <w:rsid w:val="000B53D0"/>
    <w:rsid w:val="000B680C"/>
    <w:rsid w:val="000C0B7C"/>
    <w:rsid w:val="000C21BA"/>
    <w:rsid w:val="000C2DD2"/>
    <w:rsid w:val="000C6347"/>
    <w:rsid w:val="000C755D"/>
    <w:rsid w:val="000D0AFA"/>
    <w:rsid w:val="000D1A40"/>
    <w:rsid w:val="000D28E0"/>
    <w:rsid w:val="000D457E"/>
    <w:rsid w:val="000E1761"/>
    <w:rsid w:val="000E1F13"/>
    <w:rsid w:val="000E4543"/>
    <w:rsid w:val="000E68FA"/>
    <w:rsid w:val="000E6962"/>
    <w:rsid w:val="000E6D84"/>
    <w:rsid w:val="000F14E8"/>
    <w:rsid w:val="000F3B04"/>
    <w:rsid w:val="000F6869"/>
    <w:rsid w:val="000F7AE4"/>
    <w:rsid w:val="001015E9"/>
    <w:rsid w:val="001017F1"/>
    <w:rsid w:val="001024CE"/>
    <w:rsid w:val="00102AA1"/>
    <w:rsid w:val="00103915"/>
    <w:rsid w:val="00103D3D"/>
    <w:rsid w:val="00104049"/>
    <w:rsid w:val="001052AF"/>
    <w:rsid w:val="001065D1"/>
    <w:rsid w:val="00106B75"/>
    <w:rsid w:val="00107A60"/>
    <w:rsid w:val="001112CF"/>
    <w:rsid w:val="00111438"/>
    <w:rsid w:val="00111636"/>
    <w:rsid w:val="00112192"/>
    <w:rsid w:val="00112D2F"/>
    <w:rsid w:val="00114236"/>
    <w:rsid w:val="001152BA"/>
    <w:rsid w:val="0011561C"/>
    <w:rsid w:val="001207BD"/>
    <w:rsid w:val="001214FF"/>
    <w:rsid w:val="001229C6"/>
    <w:rsid w:val="00122B23"/>
    <w:rsid w:val="001242D1"/>
    <w:rsid w:val="00124E73"/>
    <w:rsid w:val="00124EC3"/>
    <w:rsid w:val="00125291"/>
    <w:rsid w:val="00125D4C"/>
    <w:rsid w:val="0012624F"/>
    <w:rsid w:val="0012687C"/>
    <w:rsid w:val="0012754A"/>
    <w:rsid w:val="0013045B"/>
    <w:rsid w:val="0013236F"/>
    <w:rsid w:val="001332D0"/>
    <w:rsid w:val="00133CD5"/>
    <w:rsid w:val="00134030"/>
    <w:rsid w:val="001344AA"/>
    <w:rsid w:val="00137BA1"/>
    <w:rsid w:val="00137FFA"/>
    <w:rsid w:val="00141E84"/>
    <w:rsid w:val="00141F99"/>
    <w:rsid w:val="001425C5"/>
    <w:rsid w:val="00142ED4"/>
    <w:rsid w:val="001448B5"/>
    <w:rsid w:val="00146E1D"/>
    <w:rsid w:val="0014735B"/>
    <w:rsid w:val="001520A3"/>
    <w:rsid w:val="00152609"/>
    <w:rsid w:val="00152C65"/>
    <w:rsid w:val="0015382E"/>
    <w:rsid w:val="001550CF"/>
    <w:rsid w:val="001554A4"/>
    <w:rsid w:val="00156DAF"/>
    <w:rsid w:val="0016135A"/>
    <w:rsid w:val="0016149E"/>
    <w:rsid w:val="00161D78"/>
    <w:rsid w:val="00161DA2"/>
    <w:rsid w:val="00164BBF"/>
    <w:rsid w:val="00165EA8"/>
    <w:rsid w:val="0016680A"/>
    <w:rsid w:val="00166CD8"/>
    <w:rsid w:val="00167B9D"/>
    <w:rsid w:val="00167F0C"/>
    <w:rsid w:val="00170733"/>
    <w:rsid w:val="00170E51"/>
    <w:rsid w:val="00171AFC"/>
    <w:rsid w:val="00172E0A"/>
    <w:rsid w:val="00174107"/>
    <w:rsid w:val="001755EC"/>
    <w:rsid w:val="00175795"/>
    <w:rsid w:val="00177BAA"/>
    <w:rsid w:val="00180B3B"/>
    <w:rsid w:val="00184E93"/>
    <w:rsid w:val="00186253"/>
    <w:rsid w:val="00186D8E"/>
    <w:rsid w:val="001900CF"/>
    <w:rsid w:val="001918D6"/>
    <w:rsid w:val="001939B7"/>
    <w:rsid w:val="001963C6"/>
    <w:rsid w:val="0019745D"/>
    <w:rsid w:val="001A08F7"/>
    <w:rsid w:val="001A0DF1"/>
    <w:rsid w:val="001A0EC0"/>
    <w:rsid w:val="001A0F99"/>
    <w:rsid w:val="001A26FC"/>
    <w:rsid w:val="001A27D7"/>
    <w:rsid w:val="001A34A2"/>
    <w:rsid w:val="001A3721"/>
    <w:rsid w:val="001A387A"/>
    <w:rsid w:val="001A3F04"/>
    <w:rsid w:val="001A5059"/>
    <w:rsid w:val="001B2EA0"/>
    <w:rsid w:val="001B2F7F"/>
    <w:rsid w:val="001B31F5"/>
    <w:rsid w:val="001B3306"/>
    <w:rsid w:val="001B464A"/>
    <w:rsid w:val="001B4A46"/>
    <w:rsid w:val="001B528A"/>
    <w:rsid w:val="001B53B4"/>
    <w:rsid w:val="001B59D6"/>
    <w:rsid w:val="001B6044"/>
    <w:rsid w:val="001B686F"/>
    <w:rsid w:val="001B7618"/>
    <w:rsid w:val="001B7DEA"/>
    <w:rsid w:val="001C219D"/>
    <w:rsid w:val="001C33CB"/>
    <w:rsid w:val="001C722C"/>
    <w:rsid w:val="001D0988"/>
    <w:rsid w:val="001D172E"/>
    <w:rsid w:val="001D5E4D"/>
    <w:rsid w:val="001E0042"/>
    <w:rsid w:val="001E008B"/>
    <w:rsid w:val="001E0545"/>
    <w:rsid w:val="001E0849"/>
    <w:rsid w:val="001E1A13"/>
    <w:rsid w:val="001E1D30"/>
    <w:rsid w:val="001E3E0C"/>
    <w:rsid w:val="001E453C"/>
    <w:rsid w:val="001E4A2B"/>
    <w:rsid w:val="001F0570"/>
    <w:rsid w:val="001F140A"/>
    <w:rsid w:val="001F1AFA"/>
    <w:rsid w:val="001F1B10"/>
    <w:rsid w:val="001F267A"/>
    <w:rsid w:val="001F2AD0"/>
    <w:rsid w:val="001F3A3A"/>
    <w:rsid w:val="001F3D53"/>
    <w:rsid w:val="001F416A"/>
    <w:rsid w:val="001F55B5"/>
    <w:rsid w:val="001F5E0A"/>
    <w:rsid w:val="001F6AAC"/>
    <w:rsid w:val="001F790E"/>
    <w:rsid w:val="002005CC"/>
    <w:rsid w:val="00200F34"/>
    <w:rsid w:val="00203F1A"/>
    <w:rsid w:val="00204114"/>
    <w:rsid w:val="002047AF"/>
    <w:rsid w:val="00204C65"/>
    <w:rsid w:val="00204FCD"/>
    <w:rsid w:val="002059AF"/>
    <w:rsid w:val="00211909"/>
    <w:rsid w:val="002135F3"/>
    <w:rsid w:val="002146C0"/>
    <w:rsid w:val="00214A72"/>
    <w:rsid w:val="00215A2F"/>
    <w:rsid w:val="00215CA0"/>
    <w:rsid w:val="00216F1A"/>
    <w:rsid w:val="0021759E"/>
    <w:rsid w:val="002208DC"/>
    <w:rsid w:val="00220CE5"/>
    <w:rsid w:val="002215FF"/>
    <w:rsid w:val="002236DB"/>
    <w:rsid w:val="00224570"/>
    <w:rsid w:val="0022655C"/>
    <w:rsid w:val="0022678E"/>
    <w:rsid w:val="00227541"/>
    <w:rsid w:val="002326AC"/>
    <w:rsid w:val="00233A24"/>
    <w:rsid w:val="0023484E"/>
    <w:rsid w:val="00234B84"/>
    <w:rsid w:val="00235B42"/>
    <w:rsid w:val="00236740"/>
    <w:rsid w:val="00237329"/>
    <w:rsid w:val="00240225"/>
    <w:rsid w:val="00240A06"/>
    <w:rsid w:val="002416BA"/>
    <w:rsid w:val="00244C00"/>
    <w:rsid w:val="002457FD"/>
    <w:rsid w:val="00245C7E"/>
    <w:rsid w:val="0024781B"/>
    <w:rsid w:val="00250718"/>
    <w:rsid w:val="00251445"/>
    <w:rsid w:val="00251E47"/>
    <w:rsid w:val="00253276"/>
    <w:rsid w:val="00253C1D"/>
    <w:rsid w:val="00254319"/>
    <w:rsid w:val="00254D37"/>
    <w:rsid w:val="002563B9"/>
    <w:rsid w:val="0025685E"/>
    <w:rsid w:val="0025768C"/>
    <w:rsid w:val="00264666"/>
    <w:rsid w:val="00265C96"/>
    <w:rsid w:val="00265CEB"/>
    <w:rsid w:val="00265ED0"/>
    <w:rsid w:val="00266E0C"/>
    <w:rsid w:val="00270234"/>
    <w:rsid w:val="0027071C"/>
    <w:rsid w:val="00272C62"/>
    <w:rsid w:val="00275701"/>
    <w:rsid w:val="00276521"/>
    <w:rsid w:val="00277428"/>
    <w:rsid w:val="00283380"/>
    <w:rsid w:val="00284F66"/>
    <w:rsid w:val="00285D7E"/>
    <w:rsid w:val="00285D82"/>
    <w:rsid w:val="00285FED"/>
    <w:rsid w:val="00286660"/>
    <w:rsid w:val="00286A53"/>
    <w:rsid w:val="00287542"/>
    <w:rsid w:val="002877E9"/>
    <w:rsid w:val="0029159E"/>
    <w:rsid w:val="00294801"/>
    <w:rsid w:val="00294CF0"/>
    <w:rsid w:val="00294EFD"/>
    <w:rsid w:val="0029562E"/>
    <w:rsid w:val="00296D38"/>
    <w:rsid w:val="0029772C"/>
    <w:rsid w:val="002A1031"/>
    <w:rsid w:val="002A1B62"/>
    <w:rsid w:val="002A4F10"/>
    <w:rsid w:val="002A55BF"/>
    <w:rsid w:val="002A63F4"/>
    <w:rsid w:val="002A7E3A"/>
    <w:rsid w:val="002B056F"/>
    <w:rsid w:val="002B36EB"/>
    <w:rsid w:val="002B4907"/>
    <w:rsid w:val="002B50DA"/>
    <w:rsid w:val="002B5357"/>
    <w:rsid w:val="002B690D"/>
    <w:rsid w:val="002B7DD1"/>
    <w:rsid w:val="002C087E"/>
    <w:rsid w:val="002C27C5"/>
    <w:rsid w:val="002C2BF2"/>
    <w:rsid w:val="002C5172"/>
    <w:rsid w:val="002C5F45"/>
    <w:rsid w:val="002D0C62"/>
    <w:rsid w:val="002D3456"/>
    <w:rsid w:val="002D4756"/>
    <w:rsid w:val="002D4BB3"/>
    <w:rsid w:val="002D5D70"/>
    <w:rsid w:val="002D5E5A"/>
    <w:rsid w:val="002D7E62"/>
    <w:rsid w:val="002D7F92"/>
    <w:rsid w:val="002E0A18"/>
    <w:rsid w:val="002E1964"/>
    <w:rsid w:val="002E1E7E"/>
    <w:rsid w:val="002E27E0"/>
    <w:rsid w:val="002E29EE"/>
    <w:rsid w:val="002E6B6F"/>
    <w:rsid w:val="002E72D5"/>
    <w:rsid w:val="002E74C9"/>
    <w:rsid w:val="002F043A"/>
    <w:rsid w:val="002F0800"/>
    <w:rsid w:val="002F116A"/>
    <w:rsid w:val="002F3606"/>
    <w:rsid w:val="002F5098"/>
    <w:rsid w:val="002F5131"/>
    <w:rsid w:val="002F51E1"/>
    <w:rsid w:val="002F70EB"/>
    <w:rsid w:val="002F779E"/>
    <w:rsid w:val="003033BA"/>
    <w:rsid w:val="003038BC"/>
    <w:rsid w:val="00303DF8"/>
    <w:rsid w:val="00303EFC"/>
    <w:rsid w:val="003046D6"/>
    <w:rsid w:val="0031068B"/>
    <w:rsid w:val="003112B5"/>
    <w:rsid w:val="0031293C"/>
    <w:rsid w:val="00312DEB"/>
    <w:rsid w:val="00312F3D"/>
    <w:rsid w:val="00313BBA"/>
    <w:rsid w:val="00313D9F"/>
    <w:rsid w:val="00314899"/>
    <w:rsid w:val="00315623"/>
    <w:rsid w:val="00316182"/>
    <w:rsid w:val="003204F1"/>
    <w:rsid w:val="0032072B"/>
    <w:rsid w:val="00320DFD"/>
    <w:rsid w:val="00321A13"/>
    <w:rsid w:val="00326F22"/>
    <w:rsid w:val="003276A0"/>
    <w:rsid w:val="0033002D"/>
    <w:rsid w:val="0033222F"/>
    <w:rsid w:val="00332906"/>
    <w:rsid w:val="00332C3C"/>
    <w:rsid w:val="00333BE1"/>
    <w:rsid w:val="00334B76"/>
    <w:rsid w:val="00336644"/>
    <w:rsid w:val="00337299"/>
    <w:rsid w:val="0033763C"/>
    <w:rsid w:val="00337ADB"/>
    <w:rsid w:val="00337BD8"/>
    <w:rsid w:val="0034149E"/>
    <w:rsid w:val="00341CE5"/>
    <w:rsid w:val="00342202"/>
    <w:rsid w:val="003426C6"/>
    <w:rsid w:val="003429C9"/>
    <w:rsid w:val="003429E9"/>
    <w:rsid w:val="00343AE9"/>
    <w:rsid w:val="00344889"/>
    <w:rsid w:val="0034680A"/>
    <w:rsid w:val="00347661"/>
    <w:rsid w:val="003478E7"/>
    <w:rsid w:val="00350DCD"/>
    <w:rsid w:val="00351383"/>
    <w:rsid w:val="00351820"/>
    <w:rsid w:val="003528F0"/>
    <w:rsid w:val="00352927"/>
    <w:rsid w:val="00353FDF"/>
    <w:rsid w:val="00354545"/>
    <w:rsid w:val="00354B64"/>
    <w:rsid w:val="003555B4"/>
    <w:rsid w:val="00356F09"/>
    <w:rsid w:val="003605C7"/>
    <w:rsid w:val="00360753"/>
    <w:rsid w:val="00360A53"/>
    <w:rsid w:val="0036201A"/>
    <w:rsid w:val="00362486"/>
    <w:rsid w:val="00362CEC"/>
    <w:rsid w:val="00363A1E"/>
    <w:rsid w:val="0036497E"/>
    <w:rsid w:val="00364F1A"/>
    <w:rsid w:val="00366C32"/>
    <w:rsid w:val="0037099D"/>
    <w:rsid w:val="0037134F"/>
    <w:rsid w:val="00372A55"/>
    <w:rsid w:val="00374753"/>
    <w:rsid w:val="003767EE"/>
    <w:rsid w:val="00377AD6"/>
    <w:rsid w:val="00381B41"/>
    <w:rsid w:val="00381CF5"/>
    <w:rsid w:val="00382531"/>
    <w:rsid w:val="003833D7"/>
    <w:rsid w:val="003839DC"/>
    <w:rsid w:val="00383C5B"/>
    <w:rsid w:val="00383DDA"/>
    <w:rsid w:val="00384B44"/>
    <w:rsid w:val="00385819"/>
    <w:rsid w:val="00385EC9"/>
    <w:rsid w:val="00386456"/>
    <w:rsid w:val="00387241"/>
    <w:rsid w:val="00387F0A"/>
    <w:rsid w:val="0039010E"/>
    <w:rsid w:val="003901D8"/>
    <w:rsid w:val="003908FD"/>
    <w:rsid w:val="00391D93"/>
    <w:rsid w:val="00392E7E"/>
    <w:rsid w:val="00393184"/>
    <w:rsid w:val="0039340C"/>
    <w:rsid w:val="003934DD"/>
    <w:rsid w:val="00395AAA"/>
    <w:rsid w:val="00396D23"/>
    <w:rsid w:val="003A046A"/>
    <w:rsid w:val="003A25E4"/>
    <w:rsid w:val="003A2C66"/>
    <w:rsid w:val="003A4F71"/>
    <w:rsid w:val="003A529D"/>
    <w:rsid w:val="003A581E"/>
    <w:rsid w:val="003A5E28"/>
    <w:rsid w:val="003A651C"/>
    <w:rsid w:val="003B0136"/>
    <w:rsid w:val="003B0B16"/>
    <w:rsid w:val="003B4162"/>
    <w:rsid w:val="003B76AF"/>
    <w:rsid w:val="003B79A5"/>
    <w:rsid w:val="003C11B2"/>
    <w:rsid w:val="003C40DD"/>
    <w:rsid w:val="003C4141"/>
    <w:rsid w:val="003C432C"/>
    <w:rsid w:val="003C50C9"/>
    <w:rsid w:val="003C62BD"/>
    <w:rsid w:val="003D2137"/>
    <w:rsid w:val="003D284B"/>
    <w:rsid w:val="003D40F4"/>
    <w:rsid w:val="003D4275"/>
    <w:rsid w:val="003D4A38"/>
    <w:rsid w:val="003D4F72"/>
    <w:rsid w:val="003E07B4"/>
    <w:rsid w:val="003E11A8"/>
    <w:rsid w:val="003E14B0"/>
    <w:rsid w:val="003E15E5"/>
    <w:rsid w:val="003E5505"/>
    <w:rsid w:val="003E5ED1"/>
    <w:rsid w:val="003E6682"/>
    <w:rsid w:val="003E7261"/>
    <w:rsid w:val="003E7A20"/>
    <w:rsid w:val="003F094C"/>
    <w:rsid w:val="003F0FBE"/>
    <w:rsid w:val="003F15C6"/>
    <w:rsid w:val="003F28CF"/>
    <w:rsid w:val="003F328D"/>
    <w:rsid w:val="003F32DB"/>
    <w:rsid w:val="003F47E5"/>
    <w:rsid w:val="003F5CDD"/>
    <w:rsid w:val="003F5D5D"/>
    <w:rsid w:val="003F667F"/>
    <w:rsid w:val="003F72C9"/>
    <w:rsid w:val="003F7E6A"/>
    <w:rsid w:val="00400083"/>
    <w:rsid w:val="0040059A"/>
    <w:rsid w:val="00404797"/>
    <w:rsid w:val="004047D0"/>
    <w:rsid w:val="00405524"/>
    <w:rsid w:val="00405BEB"/>
    <w:rsid w:val="0040675A"/>
    <w:rsid w:val="00406F2B"/>
    <w:rsid w:val="00407BD2"/>
    <w:rsid w:val="004100CD"/>
    <w:rsid w:val="0041043C"/>
    <w:rsid w:val="00411B85"/>
    <w:rsid w:val="00412132"/>
    <w:rsid w:val="00414B54"/>
    <w:rsid w:val="0041614E"/>
    <w:rsid w:val="00416511"/>
    <w:rsid w:val="00416C2E"/>
    <w:rsid w:val="004207E3"/>
    <w:rsid w:val="00420D01"/>
    <w:rsid w:val="0042154A"/>
    <w:rsid w:val="0042321C"/>
    <w:rsid w:val="00423267"/>
    <w:rsid w:val="00424A5D"/>
    <w:rsid w:val="004252E8"/>
    <w:rsid w:val="00426EEE"/>
    <w:rsid w:val="00426F4A"/>
    <w:rsid w:val="0043155D"/>
    <w:rsid w:val="00432915"/>
    <w:rsid w:val="00432C5F"/>
    <w:rsid w:val="00433BA1"/>
    <w:rsid w:val="004349E0"/>
    <w:rsid w:val="00435AA2"/>
    <w:rsid w:val="004363BC"/>
    <w:rsid w:val="0043754D"/>
    <w:rsid w:val="00437BF5"/>
    <w:rsid w:val="00437BF8"/>
    <w:rsid w:val="004411F1"/>
    <w:rsid w:val="004417C6"/>
    <w:rsid w:val="004422D6"/>
    <w:rsid w:val="00442BFD"/>
    <w:rsid w:val="00444A46"/>
    <w:rsid w:val="00444D60"/>
    <w:rsid w:val="00445EE4"/>
    <w:rsid w:val="00445FFD"/>
    <w:rsid w:val="00447095"/>
    <w:rsid w:val="00447483"/>
    <w:rsid w:val="004507CF"/>
    <w:rsid w:val="00450BE2"/>
    <w:rsid w:val="0045342C"/>
    <w:rsid w:val="00454B0F"/>
    <w:rsid w:val="004556FA"/>
    <w:rsid w:val="00462726"/>
    <w:rsid w:val="00462897"/>
    <w:rsid w:val="00463997"/>
    <w:rsid w:val="004648D2"/>
    <w:rsid w:val="0046604D"/>
    <w:rsid w:val="0047250D"/>
    <w:rsid w:val="0047358F"/>
    <w:rsid w:val="0047444E"/>
    <w:rsid w:val="00474614"/>
    <w:rsid w:val="00474880"/>
    <w:rsid w:val="004768C9"/>
    <w:rsid w:val="00476A0B"/>
    <w:rsid w:val="00477A49"/>
    <w:rsid w:val="00477BFF"/>
    <w:rsid w:val="00481FA4"/>
    <w:rsid w:val="00485197"/>
    <w:rsid w:val="00485AD7"/>
    <w:rsid w:val="00485ED3"/>
    <w:rsid w:val="00486B4B"/>
    <w:rsid w:val="00487569"/>
    <w:rsid w:val="004878C1"/>
    <w:rsid w:val="00492EB5"/>
    <w:rsid w:val="0049505C"/>
    <w:rsid w:val="00496626"/>
    <w:rsid w:val="0049684A"/>
    <w:rsid w:val="00497B27"/>
    <w:rsid w:val="004A34D2"/>
    <w:rsid w:val="004A411B"/>
    <w:rsid w:val="004A486C"/>
    <w:rsid w:val="004A488B"/>
    <w:rsid w:val="004A5218"/>
    <w:rsid w:val="004A5B0B"/>
    <w:rsid w:val="004B219E"/>
    <w:rsid w:val="004B272B"/>
    <w:rsid w:val="004B2774"/>
    <w:rsid w:val="004B4A0E"/>
    <w:rsid w:val="004B6D5C"/>
    <w:rsid w:val="004B6DE0"/>
    <w:rsid w:val="004B742E"/>
    <w:rsid w:val="004C003F"/>
    <w:rsid w:val="004C0993"/>
    <w:rsid w:val="004C1226"/>
    <w:rsid w:val="004C1F44"/>
    <w:rsid w:val="004C1F93"/>
    <w:rsid w:val="004C5092"/>
    <w:rsid w:val="004C5273"/>
    <w:rsid w:val="004D1653"/>
    <w:rsid w:val="004D2B08"/>
    <w:rsid w:val="004D2C64"/>
    <w:rsid w:val="004D3473"/>
    <w:rsid w:val="004D4556"/>
    <w:rsid w:val="004D725A"/>
    <w:rsid w:val="004D7A98"/>
    <w:rsid w:val="004D7C48"/>
    <w:rsid w:val="004E0D32"/>
    <w:rsid w:val="004E1873"/>
    <w:rsid w:val="004E20F8"/>
    <w:rsid w:val="004E2973"/>
    <w:rsid w:val="004E2BBF"/>
    <w:rsid w:val="004E4142"/>
    <w:rsid w:val="004E4A6B"/>
    <w:rsid w:val="004E4AB3"/>
    <w:rsid w:val="004E5102"/>
    <w:rsid w:val="004E5B78"/>
    <w:rsid w:val="004F01A2"/>
    <w:rsid w:val="004F0B50"/>
    <w:rsid w:val="004F1050"/>
    <w:rsid w:val="004F18D3"/>
    <w:rsid w:val="004F3134"/>
    <w:rsid w:val="004F32CC"/>
    <w:rsid w:val="004F4EB9"/>
    <w:rsid w:val="004F5F6A"/>
    <w:rsid w:val="004F7153"/>
    <w:rsid w:val="00502929"/>
    <w:rsid w:val="00502F06"/>
    <w:rsid w:val="005037BC"/>
    <w:rsid w:val="005037CD"/>
    <w:rsid w:val="00503872"/>
    <w:rsid w:val="00503C1E"/>
    <w:rsid w:val="005053B0"/>
    <w:rsid w:val="00506501"/>
    <w:rsid w:val="0051074C"/>
    <w:rsid w:val="0051089A"/>
    <w:rsid w:val="00510BB6"/>
    <w:rsid w:val="0051288D"/>
    <w:rsid w:val="00513A69"/>
    <w:rsid w:val="00513AF2"/>
    <w:rsid w:val="005152C2"/>
    <w:rsid w:val="005200B5"/>
    <w:rsid w:val="00521B54"/>
    <w:rsid w:val="005222B7"/>
    <w:rsid w:val="00522A4E"/>
    <w:rsid w:val="0052307C"/>
    <w:rsid w:val="00524F8D"/>
    <w:rsid w:val="00525153"/>
    <w:rsid w:val="005264AF"/>
    <w:rsid w:val="005268C9"/>
    <w:rsid w:val="0052715F"/>
    <w:rsid w:val="00533367"/>
    <w:rsid w:val="00535161"/>
    <w:rsid w:val="00535A7F"/>
    <w:rsid w:val="0053606E"/>
    <w:rsid w:val="00537D21"/>
    <w:rsid w:val="005418FA"/>
    <w:rsid w:val="00542FF3"/>
    <w:rsid w:val="00543C0B"/>
    <w:rsid w:val="0054413A"/>
    <w:rsid w:val="005443C9"/>
    <w:rsid w:val="00545144"/>
    <w:rsid w:val="00545326"/>
    <w:rsid w:val="005457A0"/>
    <w:rsid w:val="0054711B"/>
    <w:rsid w:val="00550551"/>
    <w:rsid w:val="00553411"/>
    <w:rsid w:val="00554515"/>
    <w:rsid w:val="00555967"/>
    <w:rsid w:val="005564CA"/>
    <w:rsid w:val="00557DD1"/>
    <w:rsid w:val="00561510"/>
    <w:rsid w:val="005620AD"/>
    <w:rsid w:val="005626E7"/>
    <w:rsid w:val="00562D14"/>
    <w:rsid w:val="00566406"/>
    <w:rsid w:val="00570BD6"/>
    <w:rsid w:val="00571897"/>
    <w:rsid w:val="005731B5"/>
    <w:rsid w:val="0057389B"/>
    <w:rsid w:val="00574D20"/>
    <w:rsid w:val="00575B77"/>
    <w:rsid w:val="00575D08"/>
    <w:rsid w:val="005770F6"/>
    <w:rsid w:val="00577DD4"/>
    <w:rsid w:val="00577EF5"/>
    <w:rsid w:val="005811F1"/>
    <w:rsid w:val="00584E86"/>
    <w:rsid w:val="005867EF"/>
    <w:rsid w:val="00590CF2"/>
    <w:rsid w:val="00590DD9"/>
    <w:rsid w:val="00590E6F"/>
    <w:rsid w:val="0059266D"/>
    <w:rsid w:val="005A0585"/>
    <w:rsid w:val="005A114C"/>
    <w:rsid w:val="005A1570"/>
    <w:rsid w:val="005A32AF"/>
    <w:rsid w:val="005A34F0"/>
    <w:rsid w:val="005A3C9D"/>
    <w:rsid w:val="005A422C"/>
    <w:rsid w:val="005A436F"/>
    <w:rsid w:val="005A456B"/>
    <w:rsid w:val="005A4A3D"/>
    <w:rsid w:val="005A4A4C"/>
    <w:rsid w:val="005A5275"/>
    <w:rsid w:val="005A66A0"/>
    <w:rsid w:val="005A6DCD"/>
    <w:rsid w:val="005A79FE"/>
    <w:rsid w:val="005B0D0B"/>
    <w:rsid w:val="005B2AF3"/>
    <w:rsid w:val="005B4049"/>
    <w:rsid w:val="005B43FE"/>
    <w:rsid w:val="005B4AA6"/>
    <w:rsid w:val="005B7215"/>
    <w:rsid w:val="005B7515"/>
    <w:rsid w:val="005B7A2F"/>
    <w:rsid w:val="005C0D43"/>
    <w:rsid w:val="005C1FFD"/>
    <w:rsid w:val="005C266E"/>
    <w:rsid w:val="005C3C95"/>
    <w:rsid w:val="005C51A7"/>
    <w:rsid w:val="005C5A22"/>
    <w:rsid w:val="005C5B5C"/>
    <w:rsid w:val="005D29B5"/>
    <w:rsid w:val="005D3445"/>
    <w:rsid w:val="005D3807"/>
    <w:rsid w:val="005D4693"/>
    <w:rsid w:val="005D474D"/>
    <w:rsid w:val="005D552E"/>
    <w:rsid w:val="005D7F00"/>
    <w:rsid w:val="005E1BC6"/>
    <w:rsid w:val="005E1CF3"/>
    <w:rsid w:val="005E2E0F"/>
    <w:rsid w:val="005E2F44"/>
    <w:rsid w:val="005E3788"/>
    <w:rsid w:val="005E4F20"/>
    <w:rsid w:val="005E53F5"/>
    <w:rsid w:val="005E605B"/>
    <w:rsid w:val="005E67FC"/>
    <w:rsid w:val="005E7572"/>
    <w:rsid w:val="005E7A0B"/>
    <w:rsid w:val="005F0C78"/>
    <w:rsid w:val="005F1050"/>
    <w:rsid w:val="005F3431"/>
    <w:rsid w:val="005F4BF5"/>
    <w:rsid w:val="005F5A82"/>
    <w:rsid w:val="006007CC"/>
    <w:rsid w:val="00601496"/>
    <w:rsid w:val="0060197B"/>
    <w:rsid w:val="00601FCA"/>
    <w:rsid w:val="006030AA"/>
    <w:rsid w:val="00603BDE"/>
    <w:rsid w:val="0060686E"/>
    <w:rsid w:val="00610C94"/>
    <w:rsid w:val="00611D58"/>
    <w:rsid w:val="00612BDB"/>
    <w:rsid w:val="00613035"/>
    <w:rsid w:val="006134DB"/>
    <w:rsid w:val="0061397F"/>
    <w:rsid w:val="006178DB"/>
    <w:rsid w:val="00620CBF"/>
    <w:rsid w:val="00620E47"/>
    <w:rsid w:val="00621A0D"/>
    <w:rsid w:val="00624730"/>
    <w:rsid w:val="00625446"/>
    <w:rsid w:val="0062567A"/>
    <w:rsid w:val="00625793"/>
    <w:rsid w:val="006320CB"/>
    <w:rsid w:val="006334A8"/>
    <w:rsid w:val="006367B1"/>
    <w:rsid w:val="0063788B"/>
    <w:rsid w:val="006404C9"/>
    <w:rsid w:val="00640B37"/>
    <w:rsid w:val="00640B75"/>
    <w:rsid w:val="006426C6"/>
    <w:rsid w:val="00642D57"/>
    <w:rsid w:val="00645CE0"/>
    <w:rsid w:val="00646512"/>
    <w:rsid w:val="00647622"/>
    <w:rsid w:val="00651D31"/>
    <w:rsid w:val="00652011"/>
    <w:rsid w:val="006524BE"/>
    <w:rsid w:val="00652A5C"/>
    <w:rsid w:val="006533F8"/>
    <w:rsid w:val="006547CE"/>
    <w:rsid w:val="00655360"/>
    <w:rsid w:val="00655371"/>
    <w:rsid w:val="006563C3"/>
    <w:rsid w:val="00663138"/>
    <w:rsid w:val="00663A19"/>
    <w:rsid w:val="006645BF"/>
    <w:rsid w:val="0066584D"/>
    <w:rsid w:val="006661E2"/>
    <w:rsid w:val="00666AF7"/>
    <w:rsid w:val="00667EBB"/>
    <w:rsid w:val="00670B1B"/>
    <w:rsid w:val="006718BB"/>
    <w:rsid w:val="00672B53"/>
    <w:rsid w:val="00672EEC"/>
    <w:rsid w:val="00673789"/>
    <w:rsid w:val="00673832"/>
    <w:rsid w:val="00673AB7"/>
    <w:rsid w:val="006819FF"/>
    <w:rsid w:val="00681A07"/>
    <w:rsid w:val="00683085"/>
    <w:rsid w:val="0068338B"/>
    <w:rsid w:val="00686E92"/>
    <w:rsid w:val="0069158F"/>
    <w:rsid w:val="00691C58"/>
    <w:rsid w:val="00693CC2"/>
    <w:rsid w:val="0069678A"/>
    <w:rsid w:val="00696FE7"/>
    <w:rsid w:val="00697665"/>
    <w:rsid w:val="00697D73"/>
    <w:rsid w:val="006A12F4"/>
    <w:rsid w:val="006A1A12"/>
    <w:rsid w:val="006A2013"/>
    <w:rsid w:val="006A2F2D"/>
    <w:rsid w:val="006A3206"/>
    <w:rsid w:val="006A3CD1"/>
    <w:rsid w:val="006A454C"/>
    <w:rsid w:val="006A5273"/>
    <w:rsid w:val="006A58B8"/>
    <w:rsid w:val="006A64A9"/>
    <w:rsid w:val="006A7FD0"/>
    <w:rsid w:val="006B161A"/>
    <w:rsid w:val="006B1976"/>
    <w:rsid w:val="006B2195"/>
    <w:rsid w:val="006B26E2"/>
    <w:rsid w:val="006B34D7"/>
    <w:rsid w:val="006B389C"/>
    <w:rsid w:val="006B55C5"/>
    <w:rsid w:val="006B66B4"/>
    <w:rsid w:val="006B7576"/>
    <w:rsid w:val="006C06F2"/>
    <w:rsid w:val="006C084F"/>
    <w:rsid w:val="006C14D1"/>
    <w:rsid w:val="006C36D0"/>
    <w:rsid w:val="006C4F96"/>
    <w:rsid w:val="006C604A"/>
    <w:rsid w:val="006C627E"/>
    <w:rsid w:val="006C68E5"/>
    <w:rsid w:val="006C6A9E"/>
    <w:rsid w:val="006C7E2B"/>
    <w:rsid w:val="006D23BA"/>
    <w:rsid w:val="006D2CB8"/>
    <w:rsid w:val="006D2CF6"/>
    <w:rsid w:val="006D40DC"/>
    <w:rsid w:val="006D4EC2"/>
    <w:rsid w:val="006D4F07"/>
    <w:rsid w:val="006D5176"/>
    <w:rsid w:val="006D7687"/>
    <w:rsid w:val="006E0385"/>
    <w:rsid w:val="006E0572"/>
    <w:rsid w:val="006E0C98"/>
    <w:rsid w:val="006E1324"/>
    <w:rsid w:val="006E1CCF"/>
    <w:rsid w:val="006E6D63"/>
    <w:rsid w:val="006E6E42"/>
    <w:rsid w:val="006F23C2"/>
    <w:rsid w:val="006F33F6"/>
    <w:rsid w:val="006F3DAA"/>
    <w:rsid w:val="006F510F"/>
    <w:rsid w:val="00700377"/>
    <w:rsid w:val="007015C6"/>
    <w:rsid w:val="007020A1"/>
    <w:rsid w:val="00702115"/>
    <w:rsid w:val="007029A4"/>
    <w:rsid w:val="00703E2C"/>
    <w:rsid w:val="00705631"/>
    <w:rsid w:val="00705FE1"/>
    <w:rsid w:val="00706399"/>
    <w:rsid w:val="00707EFD"/>
    <w:rsid w:val="00707FF5"/>
    <w:rsid w:val="00710422"/>
    <w:rsid w:val="00711A50"/>
    <w:rsid w:val="007130EA"/>
    <w:rsid w:val="00713DE5"/>
    <w:rsid w:val="00714254"/>
    <w:rsid w:val="00714718"/>
    <w:rsid w:val="00715929"/>
    <w:rsid w:val="0072005B"/>
    <w:rsid w:val="007201E7"/>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1FC4"/>
    <w:rsid w:val="00742DD2"/>
    <w:rsid w:val="00743DB1"/>
    <w:rsid w:val="00744E7F"/>
    <w:rsid w:val="00745879"/>
    <w:rsid w:val="00745950"/>
    <w:rsid w:val="007464C8"/>
    <w:rsid w:val="00746D17"/>
    <w:rsid w:val="00752568"/>
    <w:rsid w:val="00753C90"/>
    <w:rsid w:val="0075455D"/>
    <w:rsid w:val="00754621"/>
    <w:rsid w:val="0075531B"/>
    <w:rsid w:val="007554BE"/>
    <w:rsid w:val="0075582E"/>
    <w:rsid w:val="0075647A"/>
    <w:rsid w:val="00756C0F"/>
    <w:rsid w:val="007573C1"/>
    <w:rsid w:val="007574E5"/>
    <w:rsid w:val="007611DB"/>
    <w:rsid w:val="007634AD"/>
    <w:rsid w:val="00764CD2"/>
    <w:rsid w:val="0076566F"/>
    <w:rsid w:val="007656C2"/>
    <w:rsid w:val="007656E6"/>
    <w:rsid w:val="00765BE2"/>
    <w:rsid w:val="007673F0"/>
    <w:rsid w:val="0076744F"/>
    <w:rsid w:val="00770438"/>
    <w:rsid w:val="0077280A"/>
    <w:rsid w:val="00772C6C"/>
    <w:rsid w:val="007741D9"/>
    <w:rsid w:val="007743B6"/>
    <w:rsid w:val="007748F6"/>
    <w:rsid w:val="007750BB"/>
    <w:rsid w:val="00776ED5"/>
    <w:rsid w:val="00777061"/>
    <w:rsid w:val="00780D84"/>
    <w:rsid w:val="0078122E"/>
    <w:rsid w:val="0078165F"/>
    <w:rsid w:val="00782024"/>
    <w:rsid w:val="00782DC1"/>
    <w:rsid w:val="00783506"/>
    <w:rsid w:val="0078442B"/>
    <w:rsid w:val="00785A12"/>
    <w:rsid w:val="0078614D"/>
    <w:rsid w:val="00787D16"/>
    <w:rsid w:val="00791C0F"/>
    <w:rsid w:val="007928FC"/>
    <w:rsid w:val="00793845"/>
    <w:rsid w:val="00793FA2"/>
    <w:rsid w:val="0079520D"/>
    <w:rsid w:val="00795599"/>
    <w:rsid w:val="00796EC8"/>
    <w:rsid w:val="00797659"/>
    <w:rsid w:val="00797DF7"/>
    <w:rsid w:val="007A0D0E"/>
    <w:rsid w:val="007A341E"/>
    <w:rsid w:val="007A4C5A"/>
    <w:rsid w:val="007A562D"/>
    <w:rsid w:val="007A615D"/>
    <w:rsid w:val="007B0854"/>
    <w:rsid w:val="007B0F58"/>
    <w:rsid w:val="007B24B5"/>
    <w:rsid w:val="007C0326"/>
    <w:rsid w:val="007C2221"/>
    <w:rsid w:val="007C36EC"/>
    <w:rsid w:val="007C59D4"/>
    <w:rsid w:val="007C60A9"/>
    <w:rsid w:val="007C6410"/>
    <w:rsid w:val="007C672F"/>
    <w:rsid w:val="007C7077"/>
    <w:rsid w:val="007C7638"/>
    <w:rsid w:val="007C7F04"/>
    <w:rsid w:val="007D0305"/>
    <w:rsid w:val="007D1727"/>
    <w:rsid w:val="007D1AD1"/>
    <w:rsid w:val="007D31CB"/>
    <w:rsid w:val="007D40E2"/>
    <w:rsid w:val="007D5E0B"/>
    <w:rsid w:val="007D71A4"/>
    <w:rsid w:val="007D751F"/>
    <w:rsid w:val="007D7795"/>
    <w:rsid w:val="007E01FC"/>
    <w:rsid w:val="007E4585"/>
    <w:rsid w:val="007E5B03"/>
    <w:rsid w:val="007E6035"/>
    <w:rsid w:val="007E750C"/>
    <w:rsid w:val="007F047F"/>
    <w:rsid w:val="007F0D40"/>
    <w:rsid w:val="007F168F"/>
    <w:rsid w:val="007F367B"/>
    <w:rsid w:val="007F4347"/>
    <w:rsid w:val="007F45DC"/>
    <w:rsid w:val="007F5DAA"/>
    <w:rsid w:val="007F723E"/>
    <w:rsid w:val="007F72CB"/>
    <w:rsid w:val="007F73EA"/>
    <w:rsid w:val="00802A13"/>
    <w:rsid w:val="00802D30"/>
    <w:rsid w:val="00804C29"/>
    <w:rsid w:val="00804CE6"/>
    <w:rsid w:val="00804EB1"/>
    <w:rsid w:val="0080594C"/>
    <w:rsid w:val="008059E3"/>
    <w:rsid w:val="008101D2"/>
    <w:rsid w:val="008111B0"/>
    <w:rsid w:val="00811ED3"/>
    <w:rsid w:val="00812DEC"/>
    <w:rsid w:val="00813504"/>
    <w:rsid w:val="00815027"/>
    <w:rsid w:val="008159D3"/>
    <w:rsid w:val="00816302"/>
    <w:rsid w:val="00817237"/>
    <w:rsid w:val="00817A26"/>
    <w:rsid w:val="00817CA8"/>
    <w:rsid w:val="00822D58"/>
    <w:rsid w:val="008259B9"/>
    <w:rsid w:val="00826A9D"/>
    <w:rsid w:val="0083119B"/>
    <w:rsid w:val="0083133A"/>
    <w:rsid w:val="00834864"/>
    <w:rsid w:val="008366AF"/>
    <w:rsid w:val="00836EAB"/>
    <w:rsid w:val="00841280"/>
    <w:rsid w:val="0084152B"/>
    <w:rsid w:val="00841639"/>
    <w:rsid w:val="00842535"/>
    <w:rsid w:val="00842F23"/>
    <w:rsid w:val="00843BC4"/>
    <w:rsid w:val="00843E6C"/>
    <w:rsid w:val="00844326"/>
    <w:rsid w:val="00845303"/>
    <w:rsid w:val="00847B6B"/>
    <w:rsid w:val="00847DD7"/>
    <w:rsid w:val="0085092D"/>
    <w:rsid w:val="008509DD"/>
    <w:rsid w:val="00850DF5"/>
    <w:rsid w:val="0085128C"/>
    <w:rsid w:val="00851E9D"/>
    <w:rsid w:val="00852018"/>
    <w:rsid w:val="008524B4"/>
    <w:rsid w:val="0085264F"/>
    <w:rsid w:val="00852E12"/>
    <w:rsid w:val="00852F5E"/>
    <w:rsid w:val="00853776"/>
    <w:rsid w:val="008541AC"/>
    <w:rsid w:val="00854DBB"/>
    <w:rsid w:val="00857F63"/>
    <w:rsid w:val="00860B10"/>
    <w:rsid w:val="008612BF"/>
    <w:rsid w:val="00861408"/>
    <w:rsid w:val="008615B3"/>
    <w:rsid w:val="008617E0"/>
    <w:rsid w:val="00862B2A"/>
    <w:rsid w:val="00865967"/>
    <w:rsid w:val="008705DE"/>
    <w:rsid w:val="00873BCF"/>
    <w:rsid w:val="00877366"/>
    <w:rsid w:val="00880626"/>
    <w:rsid w:val="00881690"/>
    <w:rsid w:val="008817ED"/>
    <w:rsid w:val="0088243F"/>
    <w:rsid w:val="00883662"/>
    <w:rsid w:val="00883D39"/>
    <w:rsid w:val="0088457C"/>
    <w:rsid w:val="00884CF3"/>
    <w:rsid w:val="00885AA7"/>
    <w:rsid w:val="00886201"/>
    <w:rsid w:val="00886A5B"/>
    <w:rsid w:val="008871CF"/>
    <w:rsid w:val="00887B15"/>
    <w:rsid w:val="00890882"/>
    <w:rsid w:val="00890C2D"/>
    <w:rsid w:val="008927A8"/>
    <w:rsid w:val="00893165"/>
    <w:rsid w:val="00893180"/>
    <w:rsid w:val="00896A1B"/>
    <w:rsid w:val="008A0A11"/>
    <w:rsid w:val="008A257A"/>
    <w:rsid w:val="008A2F81"/>
    <w:rsid w:val="008A3228"/>
    <w:rsid w:val="008A3FB9"/>
    <w:rsid w:val="008A53F7"/>
    <w:rsid w:val="008A54C1"/>
    <w:rsid w:val="008A575E"/>
    <w:rsid w:val="008A69BA"/>
    <w:rsid w:val="008B1A31"/>
    <w:rsid w:val="008B340D"/>
    <w:rsid w:val="008C0AF6"/>
    <w:rsid w:val="008C0ED3"/>
    <w:rsid w:val="008C26E3"/>
    <w:rsid w:val="008C41C5"/>
    <w:rsid w:val="008C7750"/>
    <w:rsid w:val="008D1B84"/>
    <w:rsid w:val="008D3FBB"/>
    <w:rsid w:val="008D4225"/>
    <w:rsid w:val="008D4B97"/>
    <w:rsid w:val="008D4C63"/>
    <w:rsid w:val="008D5547"/>
    <w:rsid w:val="008D5F00"/>
    <w:rsid w:val="008D76C2"/>
    <w:rsid w:val="008D776A"/>
    <w:rsid w:val="008E0A7E"/>
    <w:rsid w:val="008E1C15"/>
    <w:rsid w:val="008E3219"/>
    <w:rsid w:val="008E6F70"/>
    <w:rsid w:val="008F14CC"/>
    <w:rsid w:val="008F1D84"/>
    <w:rsid w:val="008F2734"/>
    <w:rsid w:val="008F30C9"/>
    <w:rsid w:val="008F39BD"/>
    <w:rsid w:val="008F4123"/>
    <w:rsid w:val="008F489B"/>
    <w:rsid w:val="008F5AF3"/>
    <w:rsid w:val="008F5C25"/>
    <w:rsid w:val="008F646E"/>
    <w:rsid w:val="008F6E4A"/>
    <w:rsid w:val="00900239"/>
    <w:rsid w:val="00900DA0"/>
    <w:rsid w:val="00900DDB"/>
    <w:rsid w:val="0090136A"/>
    <w:rsid w:val="00901CD9"/>
    <w:rsid w:val="009030CB"/>
    <w:rsid w:val="009047C5"/>
    <w:rsid w:val="00904CD9"/>
    <w:rsid w:val="009064C4"/>
    <w:rsid w:val="009066C0"/>
    <w:rsid w:val="00907A73"/>
    <w:rsid w:val="0091085E"/>
    <w:rsid w:val="00910B86"/>
    <w:rsid w:val="0091237C"/>
    <w:rsid w:val="00914F02"/>
    <w:rsid w:val="009167D0"/>
    <w:rsid w:val="00916C89"/>
    <w:rsid w:val="009176F3"/>
    <w:rsid w:val="00917700"/>
    <w:rsid w:val="00921659"/>
    <w:rsid w:val="00921A5A"/>
    <w:rsid w:val="00923DC9"/>
    <w:rsid w:val="00924541"/>
    <w:rsid w:val="0092462A"/>
    <w:rsid w:val="0092465E"/>
    <w:rsid w:val="0092478E"/>
    <w:rsid w:val="00924C21"/>
    <w:rsid w:val="009273B1"/>
    <w:rsid w:val="009278F1"/>
    <w:rsid w:val="00930831"/>
    <w:rsid w:val="0093193A"/>
    <w:rsid w:val="00931B7E"/>
    <w:rsid w:val="00932FBD"/>
    <w:rsid w:val="00937BFF"/>
    <w:rsid w:val="009405BB"/>
    <w:rsid w:val="009409CA"/>
    <w:rsid w:val="00942B12"/>
    <w:rsid w:val="00944EA4"/>
    <w:rsid w:val="009465F7"/>
    <w:rsid w:val="00946737"/>
    <w:rsid w:val="00946CFA"/>
    <w:rsid w:val="00950258"/>
    <w:rsid w:val="00951364"/>
    <w:rsid w:val="00952949"/>
    <w:rsid w:val="00952E20"/>
    <w:rsid w:val="0095385A"/>
    <w:rsid w:val="009538BA"/>
    <w:rsid w:val="00955CAC"/>
    <w:rsid w:val="00955E10"/>
    <w:rsid w:val="00955ECF"/>
    <w:rsid w:val="009568DA"/>
    <w:rsid w:val="00956C80"/>
    <w:rsid w:val="00956E82"/>
    <w:rsid w:val="009604AE"/>
    <w:rsid w:val="00962034"/>
    <w:rsid w:val="00962A37"/>
    <w:rsid w:val="00964C6F"/>
    <w:rsid w:val="00965849"/>
    <w:rsid w:val="00971941"/>
    <w:rsid w:val="00971A67"/>
    <w:rsid w:val="00973F55"/>
    <w:rsid w:val="00975D1B"/>
    <w:rsid w:val="00976CC3"/>
    <w:rsid w:val="00977088"/>
    <w:rsid w:val="00981B5D"/>
    <w:rsid w:val="00982489"/>
    <w:rsid w:val="009831AC"/>
    <w:rsid w:val="009859D0"/>
    <w:rsid w:val="009866C8"/>
    <w:rsid w:val="009874B4"/>
    <w:rsid w:val="00987F32"/>
    <w:rsid w:val="00990612"/>
    <w:rsid w:val="00990A2F"/>
    <w:rsid w:val="009A3523"/>
    <w:rsid w:val="009A353C"/>
    <w:rsid w:val="009A3AEB"/>
    <w:rsid w:val="009A3BE0"/>
    <w:rsid w:val="009A741B"/>
    <w:rsid w:val="009B0CB9"/>
    <w:rsid w:val="009B1BF2"/>
    <w:rsid w:val="009B2234"/>
    <w:rsid w:val="009B2695"/>
    <w:rsid w:val="009B2854"/>
    <w:rsid w:val="009B29F8"/>
    <w:rsid w:val="009B4F07"/>
    <w:rsid w:val="009B646F"/>
    <w:rsid w:val="009B7190"/>
    <w:rsid w:val="009C1FFB"/>
    <w:rsid w:val="009C24BD"/>
    <w:rsid w:val="009C27C3"/>
    <w:rsid w:val="009C2A57"/>
    <w:rsid w:val="009C30A3"/>
    <w:rsid w:val="009C376A"/>
    <w:rsid w:val="009C446F"/>
    <w:rsid w:val="009C4DAD"/>
    <w:rsid w:val="009C55A7"/>
    <w:rsid w:val="009C782E"/>
    <w:rsid w:val="009D063C"/>
    <w:rsid w:val="009D0FC4"/>
    <w:rsid w:val="009D3049"/>
    <w:rsid w:val="009D4609"/>
    <w:rsid w:val="009D4FF8"/>
    <w:rsid w:val="009D52B5"/>
    <w:rsid w:val="009D53FF"/>
    <w:rsid w:val="009D54EC"/>
    <w:rsid w:val="009E0D1B"/>
    <w:rsid w:val="009E164C"/>
    <w:rsid w:val="009E245B"/>
    <w:rsid w:val="009E2882"/>
    <w:rsid w:val="009E3217"/>
    <w:rsid w:val="009E48B1"/>
    <w:rsid w:val="009F48F0"/>
    <w:rsid w:val="009F6523"/>
    <w:rsid w:val="009F6B3F"/>
    <w:rsid w:val="009F773F"/>
    <w:rsid w:val="00A00987"/>
    <w:rsid w:val="00A028FC"/>
    <w:rsid w:val="00A02CEE"/>
    <w:rsid w:val="00A02DEF"/>
    <w:rsid w:val="00A0353C"/>
    <w:rsid w:val="00A03556"/>
    <w:rsid w:val="00A035A4"/>
    <w:rsid w:val="00A036C4"/>
    <w:rsid w:val="00A044A1"/>
    <w:rsid w:val="00A064D0"/>
    <w:rsid w:val="00A07446"/>
    <w:rsid w:val="00A10135"/>
    <w:rsid w:val="00A10706"/>
    <w:rsid w:val="00A10732"/>
    <w:rsid w:val="00A11267"/>
    <w:rsid w:val="00A118A0"/>
    <w:rsid w:val="00A11B6B"/>
    <w:rsid w:val="00A136ED"/>
    <w:rsid w:val="00A14F3C"/>
    <w:rsid w:val="00A15ACB"/>
    <w:rsid w:val="00A2069D"/>
    <w:rsid w:val="00A23E37"/>
    <w:rsid w:val="00A24560"/>
    <w:rsid w:val="00A26D28"/>
    <w:rsid w:val="00A27EFE"/>
    <w:rsid w:val="00A305CD"/>
    <w:rsid w:val="00A308D1"/>
    <w:rsid w:val="00A316F7"/>
    <w:rsid w:val="00A32529"/>
    <w:rsid w:val="00A32559"/>
    <w:rsid w:val="00A338FC"/>
    <w:rsid w:val="00A34538"/>
    <w:rsid w:val="00A35156"/>
    <w:rsid w:val="00A37529"/>
    <w:rsid w:val="00A41BFA"/>
    <w:rsid w:val="00A42A3B"/>
    <w:rsid w:val="00A43490"/>
    <w:rsid w:val="00A43FD5"/>
    <w:rsid w:val="00A44DA5"/>
    <w:rsid w:val="00A4608A"/>
    <w:rsid w:val="00A46CED"/>
    <w:rsid w:val="00A470F2"/>
    <w:rsid w:val="00A47803"/>
    <w:rsid w:val="00A47DA6"/>
    <w:rsid w:val="00A47F59"/>
    <w:rsid w:val="00A50173"/>
    <w:rsid w:val="00A507B2"/>
    <w:rsid w:val="00A50AD2"/>
    <w:rsid w:val="00A5235A"/>
    <w:rsid w:val="00A53B56"/>
    <w:rsid w:val="00A546CA"/>
    <w:rsid w:val="00A54A2B"/>
    <w:rsid w:val="00A54AB9"/>
    <w:rsid w:val="00A5584C"/>
    <w:rsid w:val="00A56A79"/>
    <w:rsid w:val="00A572E1"/>
    <w:rsid w:val="00A578E2"/>
    <w:rsid w:val="00A61FEE"/>
    <w:rsid w:val="00A6404B"/>
    <w:rsid w:val="00A656EF"/>
    <w:rsid w:val="00A658F7"/>
    <w:rsid w:val="00A65AA6"/>
    <w:rsid w:val="00A679E3"/>
    <w:rsid w:val="00A70419"/>
    <w:rsid w:val="00A705BD"/>
    <w:rsid w:val="00A72A3B"/>
    <w:rsid w:val="00A814D6"/>
    <w:rsid w:val="00A8268C"/>
    <w:rsid w:val="00A84361"/>
    <w:rsid w:val="00A84904"/>
    <w:rsid w:val="00A852F0"/>
    <w:rsid w:val="00A95B9D"/>
    <w:rsid w:val="00A97342"/>
    <w:rsid w:val="00AA03C4"/>
    <w:rsid w:val="00AA18DB"/>
    <w:rsid w:val="00AA318B"/>
    <w:rsid w:val="00AA3DEF"/>
    <w:rsid w:val="00AA442B"/>
    <w:rsid w:val="00AA6CC1"/>
    <w:rsid w:val="00AB00BD"/>
    <w:rsid w:val="00AB0D4D"/>
    <w:rsid w:val="00AB14CE"/>
    <w:rsid w:val="00AB1580"/>
    <w:rsid w:val="00AB196B"/>
    <w:rsid w:val="00AB1AC8"/>
    <w:rsid w:val="00AB30DF"/>
    <w:rsid w:val="00AB3E40"/>
    <w:rsid w:val="00AB47E2"/>
    <w:rsid w:val="00AB4996"/>
    <w:rsid w:val="00AB4DF6"/>
    <w:rsid w:val="00AB769D"/>
    <w:rsid w:val="00AC0EEB"/>
    <w:rsid w:val="00AC1272"/>
    <w:rsid w:val="00AC1646"/>
    <w:rsid w:val="00AC3414"/>
    <w:rsid w:val="00AC3ACC"/>
    <w:rsid w:val="00AC45E9"/>
    <w:rsid w:val="00AC65B4"/>
    <w:rsid w:val="00AD0801"/>
    <w:rsid w:val="00AD0B1D"/>
    <w:rsid w:val="00AD22FC"/>
    <w:rsid w:val="00AD25DF"/>
    <w:rsid w:val="00AD2E44"/>
    <w:rsid w:val="00AD2F7B"/>
    <w:rsid w:val="00AD3B96"/>
    <w:rsid w:val="00AD47FB"/>
    <w:rsid w:val="00AD48B1"/>
    <w:rsid w:val="00AD493D"/>
    <w:rsid w:val="00AD4D1D"/>
    <w:rsid w:val="00AD51BA"/>
    <w:rsid w:val="00AD5E7A"/>
    <w:rsid w:val="00AD612A"/>
    <w:rsid w:val="00AD6135"/>
    <w:rsid w:val="00AD642E"/>
    <w:rsid w:val="00AD7A11"/>
    <w:rsid w:val="00AD7C52"/>
    <w:rsid w:val="00AD7E2E"/>
    <w:rsid w:val="00AE0AC7"/>
    <w:rsid w:val="00AE110F"/>
    <w:rsid w:val="00AE1289"/>
    <w:rsid w:val="00AE19FC"/>
    <w:rsid w:val="00AE26AA"/>
    <w:rsid w:val="00AE3E75"/>
    <w:rsid w:val="00AE4119"/>
    <w:rsid w:val="00AE4E69"/>
    <w:rsid w:val="00AE53EB"/>
    <w:rsid w:val="00AE5B43"/>
    <w:rsid w:val="00AE65B9"/>
    <w:rsid w:val="00AE6D68"/>
    <w:rsid w:val="00AF1383"/>
    <w:rsid w:val="00AF152E"/>
    <w:rsid w:val="00AF1ED8"/>
    <w:rsid w:val="00AF3832"/>
    <w:rsid w:val="00AF51A0"/>
    <w:rsid w:val="00AF5CE1"/>
    <w:rsid w:val="00AF6C9C"/>
    <w:rsid w:val="00AF713D"/>
    <w:rsid w:val="00B00F9B"/>
    <w:rsid w:val="00B02601"/>
    <w:rsid w:val="00B04843"/>
    <w:rsid w:val="00B04C92"/>
    <w:rsid w:val="00B055C7"/>
    <w:rsid w:val="00B0560B"/>
    <w:rsid w:val="00B06243"/>
    <w:rsid w:val="00B07B14"/>
    <w:rsid w:val="00B07BE4"/>
    <w:rsid w:val="00B101EE"/>
    <w:rsid w:val="00B1060D"/>
    <w:rsid w:val="00B118E9"/>
    <w:rsid w:val="00B120C2"/>
    <w:rsid w:val="00B1288F"/>
    <w:rsid w:val="00B12C69"/>
    <w:rsid w:val="00B13009"/>
    <w:rsid w:val="00B16D08"/>
    <w:rsid w:val="00B16E58"/>
    <w:rsid w:val="00B17763"/>
    <w:rsid w:val="00B21D6C"/>
    <w:rsid w:val="00B22787"/>
    <w:rsid w:val="00B22E22"/>
    <w:rsid w:val="00B243F7"/>
    <w:rsid w:val="00B2492F"/>
    <w:rsid w:val="00B24E87"/>
    <w:rsid w:val="00B258A0"/>
    <w:rsid w:val="00B26CEB"/>
    <w:rsid w:val="00B32C0B"/>
    <w:rsid w:val="00B32DE6"/>
    <w:rsid w:val="00B33D08"/>
    <w:rsid w:val="00B346CC"/>
    <w:rsid w:val="00B360BE"/>
    <w:rsid w:val="00B368CE"/>
    <w:rsid w:val="00B36E67"/>
    <w:rsid w:val="00B371E9"/>
    <w:rsid w:val="00B379A5"/>
    <w:rsid w:val="00B37F90"/>
    <w:rsid w:val="00B403DE"/>
    <w:rsid w:val="00B42A55"/>
    <w:rsid w:val="00B42CC0"/>
    <w:rsid w:val="00B439B4"/>
    <w:rsid w:val="00B43C9B"/>
    <w:rsid w:val="00B44938"/>
    <w:rsid w:val="00B46C3D"/>
    <w:rsid w:val="00B47785"/>
    <w:rsid w:val="00B50315"/>
    <w:rsid w:val="00B512C3"/>
    <w:rsid w:val="00B51451"/>
    <w:rsid w:val="00B5146F"/>
    <w:rsid w:val="00B51689"/>
    <w:rsid w:val="00B5178D"/>
    <w:rsid w:val="00B525CB"/>
    <w:rsid w:val="00B531D7"/>
    <w:rsid w:val="00B53F68"/>
    <w:rsid w:val="00B5556E"/>
    <w:rsid w:val="00B55682"/>
    <w:rsid w:val="00B60926"/>
    <w:rsid w:val="00B60D86"/>
    <w:rsid w:val="00B613B9"/>
    <w:rsid w:val="00B6143C"/>
    <w:rsid w:val="00B62CA6"/>
    <w:rsid w:val="00B630A6"/>
    <w:rsid w:val="00B6341F"/>
    <w:rsid w:val="00B637F3"/>
    <w:rsid w:val="00B63CB2"/>
    <w:rsid w:val="00B64278"/>
    <w:rsid w:val="00B6444C"/>
    <w:rsid w:val="00B66866"/>
    <w:rsid w:val="00B70169"/>
    <w:rsid w:val="00B71561"/>
    <w:rsid w:val="00B73B11"/>
    <w:rsid w:val="00B754CA"/>
    <w:rsid w:val="00B75BAA"/>
    <w:rsid w:val="00B75C7C"/>
    <w:rsid w:val="00B80316"/>
    <w:rsid w:val="00B80794"/>
    <w:rsid w:val="00B80D60"/>
    <w:rsid w:val="00B81F14"/>
    <w:rsid w:val="00B822EF"/>
    <w:rsid w:val="00B8385C"/>
    <w:rsid w:val="00B83F84"/>
    <w:rsid w:val="00B85623"/>
    <w:rsid w:val="00B86B1E"/>
    <w:rsid w:val="00B90205"/>
    <w:rsid w:val="00B90B34"/>
    <w:rsid w:val="00B92E85"/>
    <w:rsid w:val="00B93287"/>
    <w:rsid w:val="00B94B1F"/>
    <w:rsid w:val="00BA101A"/>
    <w:rsid w:val="00BA1433"/>
    <w:rsid w:val="00BA4904"/>
    <w:rsid w:val="00BA4B5B"/>
    <w:rsid w:val="00BA549C"/>
    <w:rsid w:val="00BA54F0"/>
    <w:rsid w:val="00BA5B4B"/>
    <w:rsid w:val="00BA6306"/>
    <w:rsid w:val="00BA737C"/>
    <w:rsid w:val="00BB37BD"/>
    <w:rsid w:val="00BB3AAF"/>
    <w:rsid w:val="00BB5C7A"/>
    <w:rsid w:val="00BC0980"/>
    <w:rsid w:val="00BC1901"/>
    <w:rsid w:val="00BC3610"/>
    <w:rsid w:val="00BC3A7B"/>
    <w:rsid w:val="00BC46FA"/>
    <w:rsid w:val="00BC4CFC"/>
    <w:rsid w:val="00BC5D3F"/>
    <w:rsid w:val="00BC5E6E"/>
    <w:rsid w:val="00BC638A"/>
    <w:rsid w:val="00BD03DD"/>
    <w:rsid w:val="00BD0942"/>
    <w:rsid w:val="00BD09C9"/>
    <w:rsid w:val="00BD0F68"/>
    <w:rsid w:val="00BD16E4"/>
    <w:rsid w:val="00BD3639"/>
    <w:rsid w:val="00BD404B"/>
    <w:rsid w:val="00BD4104"/>
    <w:rsid w:val="00BD5979"/>
    <w:rsid w:val="00BD5F91"/>
    <w:rsid w:val="00BD78FE"/>
    <w:rsid w:val="00BE1B2E"/>
    <w:rsid w:val="00BE2B53"/>
    <w:rsid w:val="00BE43C0"/>
    <w:rsid w:val="00BE4C31"/>
    <w:rsid w:val="00BE60C5"/>
    <w:rsid w:val="00BE68A7"/>
    <w:rsid w:val="00BE7972"/>
    <w:rsid w:val="00BF0945"/>
    <w:rsid w:val="00BF0F80"/>
    <w:rsid w:val="00BF239F"/>
    <w:rsid w:val="00BF2E6F"/>
    <w:rsid w:val="00BF3E3E"/>
    <w:rsid w:val="00BF3E9C"/>
    <w:rsid w:val="00BF46EB"/>
    <w:rsid w:val="00BF52BB"/>
    <w:rsid w:val="00BF59DD"/>
    <w:rsid w:val="00BF6F68"/>
    <w:rsid w:val="00BF7FBC"/>
    <w:rsid w:val="00C01713"/>
    <w:rsid w:val="00C01888"/>
    <w:rsid w:val="00C02FEB"/>
    <w:rsid w:val="00C0300E"/>
    <w:rsid w:val="00C03D7A"/>
    <w:rsid w:val="00C06C24"/>
    <w:rsid w:val="00C06F4E"/>
    <w:rsid w:val="00C07969"/>
    <w:rsid w:val="00C07EFC"/>
    <w:rsid w:val="00C1063D"/>
    <w:rsid w:val="00C108FF"/>
    <w:rsid w:val="00C128D8"/>
    <w:rsid w:val="00C16340"/>
    <w:rsid w:val="00C215F9"/>
    <w:rsid w:val="00C21979"/>
    <w:rsid w:val="00C22C1C"/>
    <w:rsid w:val="00C2341D"/>
    <w:rsid w:val="00C236F1"/>
    <w:rsid w:val="00C248E6"/>
    <w:rsid w:val="00C24A8F"/>
    <w:rsid w:val="00C24CB7"/>
    <w:rsid w:val="00C25356"/>
    <w:rsid w:val="00C2785E"/>
    <w:rsid w:val="00C3050E"/>
    <w:rsid w:val="00C32E42"/>
    <w:rsid w:val="00C35CCA"/>
    <w:rsid w:val="00C3789F"/>
    <w:rsid w:val="00C37E77"/>
    <w:rsid w:val="00C40C20"/>
    <w:rsid w:val="00C41A44"/>
    <w:rsid w:val="00C421D2"/>
    <w:rsid w:val="00C42475"/>
    <w:rsid w:val="00C4266A"/>
    <w:rsid w:val="00C4281E"/>
    <w:rsid w:val="00C43FAA"/>
    <w:rsid w:val="00C44120"/>
    <w:rsid w:val="00C445C0"/>
    <w:rsid w:val="00C4553B"/>
    <w:rsid w:val="00C46DAD"/>
    <w:rsid w:val="00C474F7"/>
    <w:rsid w:val="00C50FFB"/>
    <w:rsid w:val="00C51383"/>
    <w:rsid w:val="00C52AA0"/>
    <w:rsid w:val="00C53C40"/>
    <w:rsid w:val="00C5659C"/>
    <w:rsid w:val="00C606C0"/>
    <w:rsid w:val="00C60A58"/>
    <w:rsid w:val="00C63537"/>
    <w:rsid w:val="00C63B97"/>
    <w:rsid w:val="00C64C51"/>
    <w:rsid w:val="00C67675"/>
    <w:rsid w:val="00C70193"/>
    <w:rsid w:val="00C713D7"/>
    <w:rsid w:val="00C71798"/>
    <w:rsid w:val="00C74D7F"/>
    <w:rsid w:val="00C75515"/>
    <w:rsid w:val="00C76A33"/>
    <w:rsid w:val="00C8023B"/>
    <w:rsid w:val="00C80B95"/>
    <w:rsid w:val="00C8107E"/>
    <w:rsid w:val="00C814B8"/>
    <w:rsid w:val="00C817A8"/>
    <w:rsid w:val="00C818C5"/>
    <w:rsid w:val="00C81AC2"/>
    <w:rsid w:val="00C8219B"/>
    <w:rsid w:val="00C82754"/>
    <w:rsid w:val="00C83D45"/>
    <w:rsid w:val="00C845E6"/>
    <w:rsid w:val="00C859B3"/>
    <w:rsid w:val="00C878E8"/>
    <w:rsid w:val="00C87A79"/>
    <w:rsid w:val="00C87FB1"/>
    <w:rsid w:val="00C921B1"/>
    <w:rsid w:val="00C92306"/>
    <w:rsid w:val="00C97546"/>
    <w:rsid w:val="00CA0C3E"/>
    <w:rsid w:val="00CA1540"/>
    <w:rsid w:val="00CA287E"/>
    <w:rsid w:val="00CA44C0"/>
    <w:rsid w:val="00CA44E6"/>
    <w:rsid w:val="00CA5926"/>
    <w:rsid w:val="00CA5FFD"/>
    <w:rsid w:val="00CA6B80"/>
    <w:rsid w:val="00CA73A8"/>
    <w:rsid w:val="00CA7525"/>
    <w:rsid w:val="00CB084F"/>
    <w:rsid w:val="00CB21C6"/>
    <w:rsid w:val="00CB22AF"/>
    <w:rsid w:val="00CB2786"/>
    <w:rsid w:val="00CB3DAB"/>
    <w:rsid w:val="00CB4924"/>
    <w:rsid w:val="00CB4B63"/>
    <w:rsid w:val="00CB4C30"/>
    <w:rsid w:val="00CB532E"/>
    <w:rsid w:val="00CB5663"/>
    <w:rsid w:val="00CB6280"/>
    <w:rsid w:val="00CB7FCB"/>
    <w:rsid w:val="00CC00CD"/>
    <w:rsid w:val="00CC088B"/>
    <w:rsid w:val="00CC101A"/>
    <w:rsid w:val="00CC14C5"/>
    <w:rsid w:val="00CC2C34"/>
    <w:rsid w:val="00CC5BE0"/>
    <w:rsid w:val="00CC5E3E"/>
    <w:rsid w:val="00CC670C"/>
    <w:rsid w:val="00CC786F"/>
    <w:rsid w:val="00CD080F"/>
    <w:rsid w:val="00CD1434"/>
    <w:rsid w:val="00CD1A2C"/>
    <w:rsid w:val="00CD279E"/>
    <w:rsid w:val="00CD4CEE"/>
    <w:rsid w:val="00CD5978"/>
    <w:rsid w:val="00CD59EC"/>
    <w:rsid w:val="00CD5AB4"/>
    <w:rsid w:val="00CD5F34"/>
    <w:rsid w:val="00CE041B"/>
    <w:rsid w:val="00CE168F"/>
    <w:rsid w:val="00CE170E"/>
    <w:rsid w:val="00CE21CD"/>
    <w:rsid w:val="00CE33FA"/>
    <w:rsid w:val="00CE3652"/>
    <w:rsid w:val="00CE3F49"/>
    <w:rsid w:val="00CE50B8"/>
    <w:rsid w:val="00CE72E3"/>
    <w:rsid w:val="00CF248C"/>
    <w:rsid w:val="00CF2BA2"/>
    <w:rsid w:val="00CF2CA1"/>
    <w:rsid w:val="00CF2EF6"/>
    <w:rsid w:val="00CF4690"/>
    <w:rsid w:val="00CF4DAF"/>
    <w:rsid w:val="00CF6B14"/>
    <w:rsid w:val="00CF7DE3"/>
    <w:rsid w:val="00D004A0"/>
    <w:rsid w:val="00D03273"/>
    <w:rsid w:val="00D04268"/>
    <w:rsid w:val="00D047D3"/>
    <w:rsid w:val="00D04F45"/>
    <w:rsid w:val="00D054BD"/>
    <w:rsid w:val="00D05E28"/>
    <w:rsid w:val="00D063D2"/>
    <w:rsid w:val="00D06D43"/>
    <w:rsid w:val="00D06ECB"/>
    <w:rsid w:val="00D1185B"/>
    <w:rsid w:val="00D11E53"/>
    <w:rsid w:val="00D12124"/>
    <w:rsid w:val="00D12348"/>
    <w:rsid w:val="00D15D40"/>
    <w:rsid w:val="00D16345"/>
    <w:rsid w:val="00D16544"/>
    <w:rsid w:val="00D16E36"/>
    <w:rsid w:val="00D16E39"/>
    <w:rsid w:val="00D20C61"/>
    <w:rsid w:val="00D24CC2"/>
    <w:rsid w:val="00D250D0"/>
    <w:rsid w:val="00D31F4A"/>
    <w:rsid w:val="00D32C9D"/>
    <w:rsid w:val="00D35D5C"/>
    <w:rsid w:val="00D361D0"/>
    <w:rsid w:val="00D376C1"/>
    <w:rsid w:val="00D40DDB"/>
    <w:rsid w:val="00D44275"/>
    <w:rsid w:val="00D44846"/>
    <w:rsid w:val="00D46F16"/>
    <w:rsid w:val="00D50796"/>
    <w:rsid w:val="00D5088B"/>
    <w:rsid w:val="00D521EA"/>
    <w:rsid w:val="00D52852"/>
    <w:rsid w:val="00D53EA2"/>
    <w:rsid w:val="00D542C3"/>
    <w:rsid w:val="00D55E8F"/>
    <w:rsid w:val="00D56AB8"/>
    <w:rsid w:val="00D57255"/>
    <w:rsid w:val="00D577D1"/>
    <w:rsid w:val="00D60372"/>
    <w:rsid w:val="00D6148F"/>
    <w:rsid w:val="00D63081"/>
    <w:rsid w:val="00D63787"/>
    <w:rsid w:val="00D644AA"/>
    <w:rsid w:val="00D64797"/>
    <w:rsid w:val="00D65554"/>
    <w:rsid w:val="00D704B4"/>
    <w:rsid w:val="00D70679"/>
    <w:rsid w:val="00D7083A"/>
    <w:rsid w:val="00D70901"/>
    <w:rsid w:val="00D710DF"/>
    <w:rsid w:val="00D7202C"/>
    <w:rsid w:val="00D729F6"/>
    <w:rsid w:val="00D72E9D"/>
    <w:rsid w:val="00D73D62"/>
    <w:rsid w:val="00D74389"/>
    <w:rsid w:val="00D74E75"/>
    <w:rsid w:val="00D76689"/>
    <w:rsid w:val="00D80EB6"/>
    <w:rsid w:val="00D810A5"/>
    <w:rsid w:val="00D81B3A"/>
    <w:rsid w:val="00D82CE5"/>
    <w:rsid w:val="00D84D9D"/>
    <w:rsid w:val="00D851F9"/>
    <w:rsid w:val="00D856F4"/>
    <w:rsid w:val="00D90C79"/>
    <w:rsid w:val="00D9294F"/>
    <w:rsid w:val="00D9457C"/>
    <w:rsid w:val="00D963EC"/>
    <w:rsid w:val="00DA01E8"/>
    <w:rsid w:val="00DA0FD1"/>
    <w:rsid w:val="00DA17CF"/>
    <w:rsid w:val="00DA1E8F"/>
    <w:rsid w:val="00DA2FF5"/>
    <w:rsid w:val="00DA3452"/>
    <w:rsid w:val="00DA5AB1"/>
    <w:rsid w:val="00DA6996"/>
    <w:rsid w:val="00DA6EE1"/>
    <w:rsid w:val="00DA72B4"/>
    <w:rsid w:val="00DB12BD"/>
    <w:rsid w:val="00DB2EB1"/>
    <w:rsid w:val="00DB3448"/>
    <w:rsid w:val="00DB44D8"/>
    <w:rsid w:val="00DB49AA"/>
    <w:rsid w:val="00DB5ED4"/>
    <w:rsid w:val="00DB768D"/>
    <w:rsid w:val="00DB7729"/>
    <w:rsid w:val="00DC32BD"/>
    <w:rsid w:val="00DC3D67"/>
    <w:rsid w:val="00DC443C"/>
    <w:rsid w:val="00DC4962"/>
    <w:rsid w:val="00DC578F"/>
    <w:rsid w:val="00DC62E5"/>
    <w:rsid w:val="00DC6ACC"/>
    <w:rsid w:val="00DC6C76"/>
    <w:rsid w:val="00DD160B"/>
    <w:rsid w:val="00DD1C18"/>
    <w:rsid w:val="00DD31A9"/>
    <w:rsid w:val="00DD3432"/>
    <w:rsid w:val="00DD3460"/>
    <w:rsid w:val="00DD54B2"/>
    <w:rsid w:val="00DD735D"/>
    <w:rsid w:val="00DD7D8D"/>
    <w:rsid w:val="00DE0618"/>
    <w:rsid w:val="00DE0FE3"/>
    <w:rsid w:val="00DE1FEF"/>
    <w:rsid w:val="00DE3119"/>
    <w:rsid w:val="00DE5723"/>
    <w:rsid w:val="00DE683C"/>
    <w:rsid w:val="00DE6B11"/>
    <w:rsid w:val="00DE6E79"/>
    <w:rsid w:val="00DE70DC"/>
    <w:rsid w:val="00DF0AB4"/>
    <w:rsid w:val="00DF0AE3"/>
    <w:rsid w:val="00DF16DA"/>
    <w:rsid w:val="00DF1DAA"/>
    <w:rsid w:val="00DF1FA6"/>
    <w:rsid w:val="00DF236B"/>
    <w:rsid w:val="00DF29D3"/>
    <w:rsid w:val="00DF5090"/>
    <w:rsid w:val="00DF5198"/>
    <w:rsid w:val="00DF6ACD"/>
    <w:rsid w:val="00E000C8"/>
    <w:rsid w:val="00E008F1"/>
    <w:rsid w:val="00E01453"/>
    <w:rsid w:val="00E017C4"/>
    <w:rsid w:val="00E03E93"/>
    <w:rsid w:val="00E04C9B"/>
    <w:rsid w:val="00E056B2"/>
    <w:rsid w:val="00E06F42"/>
    <w:rsid w:val="00E07843"/>
    <w:rsid w:val="00E10A6D"/>
    <w:rsid w:val="00E12C18"/>
    <w:rsid w:val="00E13AB8"/>
    <w:rsid w:val="00E13FD3"/>
    <w:rsid w:val="00E14299"/>
    <w:rsid w:val="00E144AB"/>
    <w:rsid w:val="00E17C49"/>
    <w:rsid w:val="00E17EE1"/>
    <w:rsid w:val="00E21256"/>
    <w:rsid w:val="00E21494"/>
    <w:rsid w:val="00E22647"/>
    <w:rsid w:val="00E240E7"/>
    <w:rsid w:val="00E24A49"/>
    <w:rsid w:val="00E2553E"/>
    <w:rsid w:val="00E260AD"/>
    <w:rsid w:val="00E3090F"/>
    <w:rsid w:val="00E33B62"/>
    <w:rsid w:val="00E3568A"/>
    <w:rsid w:val="00E36BAD"/>
    <w:rsid w:val="00E36E37"/>
    <w:rsid w:val="00E37E82"/>
    <w:rsid w:val="00E42CEA"/>
    <w:rsid w:val="00E42F9D"/>
    <w:rsid w:val="00E43A2C"/>
    <w:rsid w:val="00E43A34"/>
    <w:rsid w:val="00E449E0"/>
    <w:rsid w:val="00E44ADD"/>
    <w:rsid w:val="00E45104"/>
    <w:rsid w:val="00E453B7"/>
    <w:rsid w:val="00E50019"/>
    <w:rsid w:val="00E52D01"/>
    <w:rsid w:val="00E5557F"/>
    <w:rsid w:val="00E5588F"/>
    <w:rsid w:val="00E60196"/>
    <w:rsid w:val="00E60756"/>
    <w:rsid w:val="00E61E09"/>
    <w:rsid w:val="00E64B60"/>
    <w:rsid w:val="00E66E98"/>
    <w:rsid w:val="00E67E83"/>
    <w:rsid w:val="00E72371"/>
    <w:rsid w:val="00E737A7"/>
    <w:rsid w:val="00E768B7"/>
    <w:rsid w:val="00E80C3F"/>
    <w:rsid w:val="00E832F8"/>
    <w:rsid w:val="00E8330E"/>
    <w:rsid w:val="00E83789"/>
    <w:rsid w:val="00E83F77"/>
    <w:rsid w:val="00E87315"/>
    <w:rsid w:val="00E91477"/>
    <w:rsid w:val="00E915AC"/>
    <w:rsid w:val="00E9178F"/>
    <w:rsid w:val="00E91DA5"/>
    <w:rsid w:val="00E93705"/>
    <w:rsid w:val="00E9754A"/>
    <w:rsid w:val="00E9760B"/>
    <w:rsid w:val="00E97CC7"/>
    <w:rsid w:val="00E97E46"/>
    <w:rsid w:val="00EA04EF"/>
    <w:rsid w:val="00EA1131"/>
    <w:rsid w:val="00EA2F09"/>
    <w:rsid w:val="00EA345D"/>
    <w:rsid w:val="00EA3483"/>
    <w:rsid w:val="00EA3683"/>
    <w:rsid w:val="00EA6BEE"/>
    <w:rsid w:val="00EA704D"/>
    <w:rsid w:val="00EA79EB"/>
    <w:rsid w:val="00EB079E"/>
    <w:rsid w:val="00EB0DF1"/>
    <w:rsid w:val="00EB42A2"/>
    <w:rsid w:val="00EB560A"/>
    <w:rsid w:val="00EB6138"/>
    <w:rsid w:val="00EB68A7"/>
    <w:rsid w:val="00EB770F"/>
    <w:rsid w:val="00EB7836"/>
    <w:rsid w:val="00EB7B03"/>
    <w:rsid w:val="00EB7E0C"/>
    <w:rsid w:val="00EC20EA"/>
    <w:rsid w:val="00EC4988"/>
    <w:rsid w:val="00EC5009"/>
    <w:rsid w:val="00EC5E1B"/>
    <w:rsid w:val="00EC5F41"/>
    <w:rsid w:val="00EC60CB"/>
    <w:rsid w:val="00EC7B4C"/>
    <w:rsid w:val="00ED0667"/>
    <w:rsid w:val="00ED0F19"/>
    <w:rsid w:val="00ED2EFF"/>
    <w:rsid w:val="00ED3411"/>
    <w:rsid w:val="00ED3AC7"/>
    <w:rsid w:val="00ED3BF4"/>
    <w:rsid w:val="00ED4234"/>
    <w:rsid w:val="00ED42A5"/>
    <w:rsid w:val="00ED7F90"/>
    <w:rsid w:val="00EE05EB"/>
    <w:rsid w:val="00EE094E"/>
    <w:rsid w:val="00EE1CCD"/>
    <w:rsid w:val="00EE4DB7"/>
    <w:rsid w:val="00EE5189"/>
    <w:rsid w:val="00EE7272"/>
    <w:rsid w:val="00EE776B"/>
    <w:rsid w:val="00EF15DA"/>
    <w:rsid w:val="00EF16DD"/>
    <w:rsid w:val="00EF1F79"/>
    <w:rsid w:val="00EF298E"/>
    <w:rsid w:val="00EF6533"/>
    <w:rsid w:val="00EF66D5"/>
    <w:rsid w:val="00EF66D6"/>
    <w:rsid w:val="00F01322"/>
    <w:rsid w:val="00F04CC2"/>
    <w:rsid w:val="00F058FE"/>
    <w:rsid w:val="00F05F75"/>
    <w:rsid w:val="00F06B15"/>
    <w:rsid w:val="00F0755F"/>
    <w:rsid w:val="00F109B1"/>
    <w:rsid w:val="00F1157D"/>
    <w:rsid w:val="00F118E5"/>
    <w:rsid w:val="00F11EDA"/>
    <w:rsid w:val="00F1301C"/>
    <w:rsid w:val="00F13DF7"/>
    <w:rsid w:val="00F155B7"/>
    <w:rsid w:val="00F16C53"/>
    <w:rsid w:val="00F24361"/>
    <w:rsid w:val="00F26EF6"/>
    <w:rsid w:val="00F26F7B"/>
    <w:rsid w:val="00F27675"/>
    <w:rsid w:val="00F277D0"/>
    <w:rsid w:val="00F27A52"/>
    <w:rsid w:val="00F30A5C"/>
    <w:rsid w:val="00F3325F"/>
    <w:rsid w:val="00F34B8F"/>
    <w:rsid w:val="00F36E11"/>
    <w:rsid w:val="00F379A3"/>
    <w:rsid w:val="00F41D25"/>
    <w:rsid w:val="00F42730"/>
    <w:rsid w:val="00F43777"/>
    <w:rsid w:val="00F449FE"/>
    <w:rsid w:val="00F44CA3"/>
    <w:rsid w:val="00F46903"/>
    <w:rsid w:val="00F46AAC"/>
    <w:rsid w:val="00F47B8F"/>
    <w:rsid w:val="00F50234"/>
    <w:rsid w:val="00F50F9E"/>
    <w:rsid w:val="00F51F73"/>
    <w:rsid w:val="00F555DB"/>
    <w:rsid w:val="00F55AA3"/>
    <w:rsid w:val="00F562BD"/>
    <w:rsid w:val="00F57B5D"/>
    <w:rsid w:val="00F608B9"/>
    <w:rsid w:val="00F60DB7"/>
    <w:rsid w:val="00F60E91"/>
    <w:rsid w:val="00F71570"/>
    <w:rsid w:val="00F728C3"/>
    <w:rsid w:val="00F72BAE"/>
    <w:rsid w:val="00F7558E"/>
    <w:rsid w:val="00F76205"/>
    <w:rsid w:val="00F77829"/>
    <w:rsid w:val="00F803F1"/>
    <w:rsid w:val="00F81111"/>
    <w:rsid w:val="00F8177B"/>
    <w:rsid w:val="00F81A59"/>
    <w:rsid w:val="00F81B47"/>
    <w:rsid w:val="00F83B75"/>
    <w:rsid w:val="00F84899"/>
    <w:rsid w:val="00F859F0"/>
    <w:rsid w:val="00F86E28"/>
    <w:rsid w:val="00F8789E"/>
    <w:rsid w:val="00F92E29"/>
    <w:rsid w:val="00FA06A3"/>
    <w:rsid w:val="00FA0AD1"/>
    <w:rsid w:val="00FA310C"/>
    <w:rsid w:val="00FA3B5A"/>
    <w:rsid w:val="00FA40C0"/>
    <w:rsid w:val="00FA4A30"/>
    <w:rsid w:val="00FA4B7C"/>
    <w:rsid w:val="00FA540E"/>
    <w:rsid w:val="00FA6177"/>
    <w:rsid w:val="00FA6587"/>
    <w:rsid w:val="00FA6DE2"/>
    <w:rsid w:val="00FA7AC0"/>
    <w:rsid w:val="00FB0D40"/>
    <w:rsid w:val="00FB301D"/>
    <w:rsid w:val="00FB42FF"/>
    <w:rsid w:val="00FB47F3"/>
    <w:rsid w:val="00FB516F"/>
    <w:rsid w:val="00FB5771"/>
    <w:rsid w:val="00FB58AF"/>
    <w:rsid w:val="00FB5BF9"/>
    <w:rsid w:val="00FB7E8B"/>
    <w:rsid w:val="00FC0B6A"/>
    <w:rsid w:val="00FC3D45"/>
    <w:rsid w:val="00FC48B2"/>
    <w:rsid w:val="00FC711A"/>
    <w:rsid w:val="00FD019A"/>
    <w:rsid w:val="00FD2533"/>
    <w:rsid w:val="00FD3213"/>
    <w:rsid w:val="00FD3A2E"/>
    <w:rsid w:val="00FD4AFF"/>
    <w:rsid w:val="00FD50F2"/>
    <w:rsid w:val="00FD674C"/>
    <w:rsid w:val="00FD7A75"/>
    <w:rsid w:val="00FD7C89"/>
    <w:rsid w:val="00FE0395"/>
    <w:rsid w:val="00FE0C75"/>
    <w:rsid w:val="00FE0DC4"/>
    <w:rsid w:val="00FE0E9C"/>
    <w:rsid w:val="00FE125A"/>
    <w:rsid w:val="00FE141E"/>
    <w:rsid w:val="00FE24F4"/>
    <w:rsid w:val="00FE2A33"/>
    <w:rsid w:val="00FE32A0"/>
    <w:rsid w:val="00FE45F3"/>
    <w:rsid w:val="00FE46AA"/>
    <w:rsid w:val="00FE50C6"/>
    <w:rsid w:val="00FE5ECC"/>
    <w:rsid w:val="00FE674D"/>
    <w:rsid w:val="00FE6CCA"/>
    <w:rsid w:val="00FF3657"/>
    <w:rsid w:val="00FF417D"/>
    <w:rsid w:val="00FF49BD"/>
    <w:rsid w:val="00FF4A64"/>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05E0F94B-AFD0-49BA-856D-E295B56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BE"/>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EA3683"/>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79">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99371">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40407523">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3370962">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0862643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8659516">
      <w:bodyDiv w:val="1"/>
      <w:marLeft w:val="0"/>
      <w:marRight w:val="0"/>
      <w:marTop w:val="0"/>
      <w:marBottom w:val="0"/>
      <w:divBdr>
        <w:top w:val="none" w:sz="0" w:space="0" w:color="auto"/>
        <w:left w:val="none" w:sz="0" w:space="0" w:color="auto"/>
        <w:bottom w:val="none" w:sz="0" w:space="0" w:color="auto"/>
        <w:right w:val="none" w:sz="0" w:space="0" w:color="auto"/>
      </w:divBdr>
    </w:div>
    <w:div w:id="1352148728">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1DF3D-9CAA-4B86-A07C-6AD14B3A5FC0}">
  <ds:schemaRefs>
    <ds:schemaRef ds:uri="http://schemas.openxmlformats.org/officeDocument/2006/bibliography"/>
  </ds:schemaRefs>
</ds:datastoreItem>
</file>

<file path=customXml/itemProps2.xml><?xml version="1.0" encoding="utf-8"?>
<ds:datastoreItem xmlns:ds="http://schemas.openxmlformats.org/officeDocument/2006/customXml" ds:itemID="{6C2AA215-1E90-45CA-809B-D83263F7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31237-C176-4595-9494-449A98B1F907}">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9d85dbaf-23eb-4e57-a637-93dcacc8b1a1"/>
    <ds:schemaRef ds:uri="http://schemas.microsoft.com/office/2006/documentManagement/types"/>
    <ds:schemaRef ds:uri="http://schemas.microsoft.com/office/2006/metadata/properties"/>
    <ds:schemaRef ds:uri="a6cb9e4b-f1d1-4245-83ec-6cad768d538a"/>
    <ds:schemaRef ds:uri="http://purl.org/dc/term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5398</Words>
  <Characters>29690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dcterms:created xsi:type="dcterms:W3CDTF">2021-12-21T16:26:00Z</dcterms:created>
  <dcterms:modified xsi:type="dcterms:W3CDTF">2021-12-21T16:26:00Z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