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B275" w14:textId="042A457C" w:rsidR="00B14520" w:rsidRDefault="00B14520">
      <w:pPr>
        <w:spacing w:after="814" w:line="259" w:lineRule="auto"/>
        <w:ind w:left="4724" w:firstLine="0"/>
        <w:jc w:val="left"/>
      </w:pPr>
    </w:p>
    <w:p w14:paraId="063B7CBC" w14:textId="420C623D" w:rsidR="00FC4BD6" w:rsidRDefault="00FC4BD6" w:rsidP="00CE75A7">
      <w:pPr>
        <w:pStyle w:val="Ttulo2"/>
        <w:numPr>
          <w:ilvl w:val="0"/>
          <w:numId w:val="0"/>
        </w:numPr>
        <w:spacing w:after="0" w:line="240" w:lineRule="auto"/>
        <w:ind w:right="0"/>
      </w:pPr>
      <w:r>
        <w:t xml:space="preserve">LEY DE GARANTÍAS ELECTORALES – Finalidad − Restricciones </w:t>
      </w:r>
    </w:p>
    <w:p w14:paraId="3CB54B43" w14:textId="5727810F" w:rsidR="00CE75A7" w:rsidRDefault="00CE75A7" w:rsidP="00CE75A7">
      <w:pPr>
        <w:pStyle w:val="Sinespaciado"/>
        <w:rPr>
          <w:sz w:val="20"/>
          <w:szCs w:val="20"/>
        </w:rPr>
      </w:pPr>
    </w:p>
    <w:p w14:paraId="602A41DD" w14:textId="64F24105" w:rsidR="00FC4BD6" w:rsidRPr="00FC4BD6" w:rsidRDefault="00FC4BD6" w:rsidP="00CE75A7">
      <w:pPr>
        <w:pStyle w:val="Sinespaciado"/>
        <w:rPr>
          <w:sz w:val="20"/>
          <w:szCs w:val="20"/>
        </w:rPr>
      </w:pPr>
      <w:r w:rsidRPr="00FC4BD6">
        <w:rPr>
          <w:sz w:val="20"/>
          <w:szCs w:val="20"/>
        </w:rPr>
        <w:t>El ordenamiento jurídico colombiano contempla previsiones claras para evitar la obtención de beneficios personales en asuntos propios de la administración pública. Por ejemplo, el artículo 127 de la Constitución Política establece una prohibición contractual a los servidores públicos y en cuanto a aspectos políticos establece restricciones a ciertos empleados del Estado, incluso en época no electoral</w:t>
      </w:r>
      <w:r w:rsidRPr="00FC4BD6">
        <w:rPr>
          <w:sz w:val="20"/>
          <w:szCs w:val="20"/>
          <w:vertAlign w:val="superscript"/>
        </w:rPr>
        <w:t xml:space="preserve">. </w:t>
      </w:r>
      <w:r w:rsidRPr="00FC4BD6">
        <w:rPr>
          <w:sz w:val="20"/>
          <w:szCs w:val="20"/>
        </w:rPr>
        <w:t>En el mismo sentido, la Ley 996 de 2005 se suma al andamiaje de orden constitucional y legal que se ha ocupado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En armonía con lo anterior, la Corte Constitucional –en la Sentencia C-1153 de 2005– considera que: 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p>
    <w:p w14:paraId="617BFCEC" w14:textId="77777777" w:rsidR="00CE75A7" w:rsidRDefault="00CE75A7" w:rsidP="00CE75A7">
      <w:pPr>
        <w:pStyle w:val="Ttulo2"/>
        <w:numPr>
          <w:ilvl w:val="0"/>
          <w:numId w:val="0"/>
        </w:numPr>
        <w:spacing w:after="0" w:line="240" w:lineRule="auto"/>
        <w:ind w:right="0"/>
      </w:pPr>
    </w:p>
    <w:p w14:paraId="0F21A2D5" w14:textId="0340A163" w:rsidR="00FC4BD6" w:rsidRDefault="00FC4BD6" w:rsidP="00CE75A7">
      <w:pPr>
        <w:pStyle w:val="Ttulo2"/>
        <w:numPr>
          <w:ilvl w:val="0"/>
          <w:numId w:val="0"/>
        </w:numPr>
        <w:spacing w:after="0" w:line="240" w:lineRule="auto"/>
        <w:ind w:right="0"/>
      </w:pPr>
      <w:r>
        <w:t xml:space="preserve">CONTRATOS ESTATALES − Derecho nacional – Normatividad </w:t>
      </w:r>
    </w:p>
    <w:p w14:paraId="79EAED84" w14:textId="4227DB12" w:rsidR="00FC4BD6" w:rsidRPr="00FC4BD6" w:rsidRDefault="00FC4BD6" w:rsidP="00CE75A7">
      <w:pPr>
        <w:spacing w:before="120" w:after="120" w:line="240" w:lineRule="auto"/>
        <w:ind w:left="-6" w:right="40" w:hanging="11"/>
        <w:rPr>
          <w:sz w:val="20"/>
          <w:szCs w:val="20"/>
        </w:rPr>
      </w:pPr>
      <w:r w:rsidRPr="00FC4BD6">
        <w:rPr>
          <w:sz w:val="20"/>
          <w:szCs w:val="20"/>
        </w:rPr>
        <w:t xml:space="preserve">por expresa disposición constitucional, la actividad contractual del estado debe sujetarse al estatuto general de contratación, el cual se encuentra previsto en las leyes 80 de 1993 y 1150 de 2007, así como en el decreto 1082 de 2015. las normas citadas contienen de forma sistematizada y ordenada las reglas y principios básicos que deben encaminar la realización y ejecución de todos los contratos que celebren las entidades del estado, indistintamente del orden en que se encuentran. en concordancia con lo anterior, el artículo 13 de la ley 80 de 1993 establece que por regla general los contratos que celebren las entidades a que se refiere el artículo </w:t>
      </w:r>
      <w:hyperlink r:id="rId10" w:anchor="2">
        <w:r w:rsidRPr="00FC4BD6">
          <w:rPr>
            <w:sz w:val="20"/>
            <w:szCs w:val="20"/>
            <w:u w:val="single" w:color="000000"/>
          </w:rPr>
          <w:t xml:space="preserve"> </w:t>
        </w:r>
      </w:hyperlink>
      <w:hyperlink r:id="rId11" w:anchor="2">
        <w:r w:rsidRPr="00FC4BD6">
          <w:rPr>
            <w:sz w:val="20"/>
            <w:szCs w:val="20"/>
            <w:u w:val="single" w:color="000000"/>
          </w:rPr>
          <w:t>2</w:t>
        </w:r>
      </w:hyperlink>
      <w:r w:rsidRPr="00FC4BD6">
        <w:rPr>
          <w:sz w:val="20"/>
          <w:szCs w:val="20"/>
        </w:rPr>
        <w:t xml:space="preserve"> o. del estatuto general de contratación se regirán en primer término por las normas que emanan  de dicho conjunto normativo, y en segundo término, por las normas civiles y comerciales en lo no regulado por dicho estatuto, como criterio de integración normativa. sin embargo, el artículo 13 en cita, reconoce casos excepcionales donde la normatividad aplicable es distinta al derecho nacional. al respecto, de manera textual se establece: los contratos que celebren las entidades a que se refiere el artículo </w:t>
      </w:r>
      <w:hyperlink r:id="rId12" w:anchor="2">
        <w:r w:rsidRPr="00FC4BD6">
          <w:rPr>
            <w:sz w:val="20"/>
            <w:szCs w:val="20"/>
            <w:u w:val="single" w:color="000000"/>
          </w:rPr>
          <w:t xml:space="preserve"> </w:t>
        </w:r>
      </w:hyperlink>
      <w:hyperlink r:id="rId13" w:anchor="2">
        <w:r w:rsidRPr="00FC4BD6">
          <w:rPr>
            <w:sz w:val="20"/>
            <w:szCs w:val="20"/>
            <w:u w:val="single" w:color="000000"/>
          </w:rPr>
          <w:t>2</w:t>
        </w:r>
      </w:hyperlink>
      <w:r w:rsidRPr="00FC4BD6">
        <w:rPr>
          <w:sz w:val="20"/>
          <w:szCs w:val="20"/>
        </w:rPr>
        <w:t>o. del presente estatuto se regirán por las disposiciones comerciales y civiles pertinentes, salvo en las materias particularmente reguladas en esta ley.</w:t>
      </w:r>
    </w:p>
    <w:p w14:paraId="7A0B9B78" w14:textId="41E66F0D" w:rsidR="00FC4BD6" w:rsidRPr="00CE75A7" w:rsidRDefault="00FC4BD6" w:rsidP="00CE75A7">
      <w:pPr>
        <w:spacing w:before="120" w:after="120" w:line="240" w:lineRule="auto"/>
        <w:ind w:left="-6" w:right="40" w:hanging="11"/>
        <w:rPr>
          <w:b/>
          <w:bCs/>
          <w:i/>
          <w:sz w:val="20"/>
          <w:szCs w:val="20"/>
        </w:rPr>
      </w:pPr>
      <w:r w:rsidRPr="00CE75A7">
        <w:rPr>
          <w:b/>
          <w:bCs/>
        </w:rPr>
        <w:t xml:space="preserve">CONTRATOS ESTATALES – Organismos </w:t>
      </w:r>
      <w:r w:rsidR="00CE75A7" w:rsidRPr="00CE75A7">
        <w:rPr>
          <w:b/>
          <w:bCs/>
        </w:rPr>
        <w:t>internacionales − Celebrados</w:t>
      </w:r>
      <w:r w:rsidRPr="00CE75A7">
        <w:rPr>
          <w:b/>
          <w:bCs/>
        </w:rPr>
        <w:t xml:space="preserve"> en el exterior  </w:t>
      </w:r>
    </w:p>
    <w:p w14:paraId="21D96EE3" w14:textId="52804920" w:rsidR="00CE75A7" w:rsidRPr="00FC4BD6" w:rsidRDefault="00CE75A7" w:rsidP="00CE75A7">
      <w:pPr>
        <w:spacing w:after="0" w:line="240" w:lineRule="auto"/>
        <w:ind w:right="41"/>
        <w:rPr>
          <w:b/>
          <w:iCs/>
          <w:sz w:val="20"/>
          <w:szCs w:val="20"/>
        </w:rPr>
      </w:pPr>
      <w:r>
        <w:rPr>
          <w:iCs/>
          <w:sz w:val="20"/>
          <w:szCs w:val="20"/>
        </w:rPr>
        <w:t>L</w:t>
      </w:r>
      <w:r w:rsidR="00FC4BD6" w:rsidRPr="00FC4BD6">
        <w:rPr>
          <w:iCs/>
          <w:sz w:val="20"/>
          <w:szCs w:val="20"/>
        </w:rPr>
        <w:t>os contratos celebrados en el exterior se podrán regir en su ejecución por las reglas del país en donde se hayan suscrito, a menos que deban cumplirse en Colombia. Los contratos que se celebren en Colombia y deban ejecutarse o cumplirse en el extranjero, podrán someterse a la ley extranjera.</w:t>
      </w:r>
      <w:r w:rsidR="00FC4BD6">
        <w:rPr>
          <w:iCs/>
          <w:sz w:val="20"/>
          <w:szCs w:val="20"/>
        </w:rPr>
        <w:t xml:space="preserve"> </w:t>
      </w:r>
      <w:r w:rsidR="00FC4BD6" w:rsidRPr="00FC4BD6">
        <w:rPr>
          <w:iCs/>
          <w:sz w:val="20"/>
          <w:szCs w:val="20"/>
        </w:rPr>
        <w:t>Aunado a lo anterior, el artículo 20 de la Ley 1150 de 2007 establece unas reglas específicas para la contratación con organismos internacionales. La disposición en cita señala:</w:t>
      </w:r>
      <w:r>
        <w:rPr>
          <w:iCs/>
          <w:sz w:val="20"/>
          <w:szCs w:val="20"/>
        </w:rPr>
        <w:t xml:space="preserve"> </w:t>
      </w:r>
      <w:r w:rsidR="00FC4BD6" w:rsidRPr="00FC4BD6">
        <w:rPr>
          <w:b/>
          <w:iCs/>
          <w:sz w:val="20"/>
          <w:szCs w:val="20"/>
        </w:rPr>
        <w:tab/>
      </w:r>
    </w:p>
    <w:p w14:paraId="2D7FC0E6" w14:textId="067C81E3" w:rsidR="00FC4BD6" w:rsidRPr="00FC4BD6" w:rsidRDefault="00FC4BD6" w:rsidP="00CE75A7">
      <w:pPr>
        <w:spacing w:after="0" w:line="240" w:lineRule="auto"/>
        <w:ind w:left="0" w:right="41" w:firstLine="0"/>
        <w:rPr>
          <w:iCs/>
          <w:sz w:val="20"/>
          <w:szCs w:val="20"/>
        </w:rPr>
      </w:pPr>
      <w:r w:rsidRPr="00FC4BD6">
        <w:rPr>
          <w:iCs/>
          <w:sz w:val="20"/>
          <w:szCs w:val="20"/>
        </w:rPr>
        <w:t xml:space="preserve">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w:t>
      </w:r>
      <w:hyperlink r:id="rId14" w:anchor="1">
        <w:r w:rsidRPr="00FC4BD6">
          <w:rPr>
            <w:iCs/>
            <w:sz w:val="20"/>
            <w:szCs w:val="20"/>
            <w:u w:val="single" w:color="000000"/>
          </w:rPr>
          <w:t xml:space="preserve"> </w:t>
        </w:r>
      </w:hyperlink>
      <w:hyperlink r:id="rId15" w:anchor="1">
        <w:r w:rsidRPr="00FC4BD6">
          <w:rPr>
            <w:iCs/>
            <w:sz w:val="20"/>
            <w:szCs w:val="20"/>
            <w:u w:val="single" w:color="000000"/>
          </w:rPr>
          <w:t>80</w:t>
        </w:r>
      </w:hyperlink>
      <w:r w:rsidRPr="00FC4BD6">
        <w:rPr>
          <w:iCs/>
          <w:sz w:val="20"/>
          <w:szCs w:val="20"/>
        </w:rPr>
        <w:t xml:space="preserve">  de 1993. Los recursos de contrapartida vinculados a estas operaciones podrán tener el mismo tratamiento.</w:t>
      </w:r>
    </w:p>
    <w:p w14:paraId="75EF51E5" w14:textId="77777777" w:rsidR="00CE75A7" w:rsidRDefault="00CE75A7" w:rsidP="00CE75A7">
      <w:pPr>
        <w:pStyle w:val="Ttulo3"/>
        <w:numPr>
          <w:ilvl w:val="0"/>
          <w:numId w:val="0"/>
        </w:numPr>
        <w:ind w:left="10" w:right="0" w:hanging="10"/>
      </w:pPr>
    </w:p>
    <w:p w14:paraId="085C6801" w14:textId="1BB3CCCA" w:rsidR="00CE75A7" w:rsidRDefault="00CE75A7" w:rsidP="00CE75A7">
      <w:pPr>
        <w:pStyle w:val="Ttulo3"/>
        <w:numPr>
          <w:ilvl w:val="0"/>
          <w:numId w:val="0"/>
        </w:numPr>
        <w:ind w:right="0"/>
      </w:pPr>
      <w:r>
        <w:t xml:space="preserve">CONTRATACIÓN </w:t>
      </w:r>
      <w:r w:rsidR="006D06B8">
        <w:t>ESTATAL</w:t>
      </w:r>
      <w:r>
        <w:t xml:space="preserve"> − Organismos internacionales</w:t>
      </w:r>
    </w:p>
    <w:p w14:paraId="0E738D64" w14:textId="723A4FAA" w:rsidR="00CE75A7" w:rsidRDefault="00CE75A7" w:rsidP="006D06B8">
      <w:pPr>
        <w:spacing w:before="120" w:after="120" w:line="240" w:lineRule="auto"/>
        <w:ind w:left="-5" w:right="248" w:hanging="11"/>
        <w:rPr>
          <w:sz w:val="20"/>
          <w:szCs w:val="20"/>
        </w:rPr>
      </w:pPr>
      <w:r w:rsidRPr="00CE75A7">
        <w:rPr>
          <w:sz w:val="20"/>
          <w:szCs w:val="20"/>
        </w:rPr>
        <w:t xml:space="preserve">En línea con lo sostenido por esta Subdirección en los Conceptos C-374 del 23 de julio de 2020, C-680 del 18 de noviembre de 2020 y C-296 del 22 de junio de 2021, </w:t>
      </w:r>
      <w:proofErr w:type="gramStart"/>
      <w:r w:rsidRPr="00CE75A7">
        <w:rPr>
          <w:sz w:val="20"/>
          <w:szCs w:val="20"/>
        </w:rPr>
        <w:t>el  artículo</w:t>
      </w:r>
      <w:proofErr w:type="gramEnd"/>
      <w:r w:rsidRPr="00CE75A7">
        <w:rPr>
          <w:sz w:val="20"/>
          <w:szCs w:val="20"/>
        </w:rPr>
        <w:t xml:space="preserve"> 20 de la Ley 1150 de 2007 estableció la posibilidad de que la contratación que lleven a cabo las entidades públicas con los organismos internacionales pueda  someterse a los reglamentos de estos últimos organismos. Sobre este punto cabe destacar que si bien el concepto de organismos internacionales hace referencia a las organizaciones de carácter intergubernamental dentro del ámbito de aplicación de la norma también se incluyó la contratación con los </w:t>
      </w:r>
      <w:r w:rsidR="00AA323B" w:rsidRPr="00CE75A7">
        <w:rPr>
          <w:sz w:val="20"/>
          <w:szCs w:val="20"/>
        </w:rPr>
        <w:t>Estados extranjeros</w:t>
      </w:r>
      <w:r w:rsidRPr="00CE75A7">
        <w:rPr>
          <w:sz w:val="20"/>
          <w:szCs w:val="20"/>
        </w:rPr>
        <w:t xml:space="preserve"> y sus correspondientes entidades públicas.</w:t>
      </w:r>
      <w:r w:rsidR="00AA323B">
        <w:rPr>
          <w:sz w:val="20"/>
          <w:szCs w:val="20"/>
        </w:rPr>
        <w:t xml:space="preserve"> </w:t>
      </w:r>
      <w:r w:rsidRPr="00CE75A7">
        <w:rPr>
          <w:sz w:val="20"/>
          <w:szCs w:val="20"/>
        </w:rPr>
        <w:t>Esta facultad especial encuentra su fundamento en la necesidad y el deber que tiene el Estado Colombiano (art. 9º de la C. P.) de incorporarse al ámbito de la contratación internacional para aprovechar todos sus recursos y disponibilidades financieras y tecnológicas, pero dentro de la regulación general prevista para todos los Estados usuarios.</w:t>
      </w:r>
      <w:r w:rsidR="00AA323B">
        <w:rPr>
          <w:sz w:val="20"/>
          <w:szCs w:val="20"/>
        </w:rPr>
        <w:t xml:space="preserve"> </w:t>
      </w:r>
      <w:r w:rsidRPr="00CE75A7">
        <w:rPr>
          <w:sz w:val="20"/>
          <w:szCs w:val="20"/>
        </w:rPr>
        <w:t xml:space="preserve">Sin embargo, la regla prescrita en el artículo 20 de la Ley 1150 de 2007, contempla tres categorías distintas, las cuales tienen su génesis </w:t>
      </w:r>
      <w:proofErr w:type="gramStart"/>
      <w:r w:rsidRPr="00CE75A7">
        <w:rPr>
          <w:sz w:val="20"/>
          <w:szCs w:val="20"/>
        </w:rPr>
        <w:t xml:space="preserve">en  </w:t>
      </w:r>
      <w:r w:rsidRPr="00CE75A7">
        <w:rPr>
          <w:b/>
          <w:sz w:val="20"/>
          <w:szCs w:val="20"/>
        </w:rPr>
        <w:t>i</w:t>
      </w:r>
      <w:proofErr w:type="gramEnd"/>
      <w:r w:rsidRPr="00CE75A7">
        <w:rPr>
          <w:b/>
          <w:sz w:val="20"/>
          <w:szCs w:val="20"/>
        </w:rPr>
        <w:t>)</w:t>
      </w:r>
      <w:r w:rsidRPr="00CE75A7">
        <w:rPr>
          <w:sz w:val="20"/>
          <w:szCs w:val="20"/>
        </w:rPr>
        <w:t xml:space="preserve"> el origen de los recursos,  </w:t>
      </w:r>
      <w:proofErr w:type="spellStart"/>
      <w:r w:rsidRPr="00CE75A7">
        <w:rPr>
          <w:b/>
          <w:sz w:val="20"/>
          <w:szCs w:val="20"/>
        </w:rPr>
        <w:t>ii</w:t>
      </w:r>
      <w:proofErr w:type="spellEnd"/>
      <w:r w:rsidRPr="00CE75A7">
        <w:rPr>
          <w:b/>
          <w:sz w:val="20"/>
          <w:szCs w:val="20"/>
        </w:rPr>
        <w:t xml:space="preserve"> )</w:t>
      </w:r>
      <w:r w:rsidRPr="00CE75A7">
        <w:rPr>
          <w:sz w:val="20"/>
          <w:szCs w:val="20"/>
        </w:rPr>
        <w:t xml:space="preserve"> el objeto del contrato o  </w:t>
      </w:r>
      <w:proofErr w:type="spellStart"/>
      <w:r w:rsidRPr="00CE75A7">
        <w:rPr>
          <w:b/>
          <w:sz w:val="20"/>
          <w:szCs w:val="20"/>
        </w:rPr>
        <w:t>iii</w:t>
      </w:r>
      <w:proofErr w:type="spellEnd"/>
      <w:r w:rsidRPr="00CE75A7">
        <w:rPr>
          <w:b/>
          <w:sz w:val="20"/>
          <w:szCs w:val="20"/>
        </w:rPr>
        <w:t xml:space="preserve"> )</w:t>
      </w:r>
      <w:r w:rsidRPr="00CE75A7">
        <w:rPr>
          <w:sz w:val="20"/>
          <w:szCs w:val="20"/>
        </w:rPr>
        <w:t xml:space="preserve"> que se trate de contratos con personas de derecho público extranjero. El anterior condicionamiento, se debe a la mala práctica en que incurrieron algunas entidades del Estado, que celebraron convenios con organismos de derecho internacional sin que en su objeto hubiera ánimo de colaboración, ayuda o financiación en favor de las entidades públicas colombianas. Bajo el ropaje de esta tipología contractual, las entidades públicas entregaban su presupuesto anual a los organismos internacionales para que lo administraran aplicando las normas de contratación extranjeras, en muchos casos bastante flexibles y de esta forma eludir el régimen de contratación pública.</w:t>
      </w:r>
    </w:p>
    <w:p w14:paraId="0C62E3E9" w14:textId="77777777" w:rsidR="00AA323B" w:rsidRDefault="00AA323B" w:rsidP="006D06B8">
      <w:pPr>
        <w:pStyle w:val="Ttulo4"/>
        <w:numPr>
          <w:ilvl w:val="0"/>
          <w:numId w:val="0"/>
        </w:numPr>
        <w:spacing w:before="120" w:after="120" w:line="240" w:lineRule="auto"/>
        <w:ind w:left="10" w:right="0" w:hanging="11"/>
      </w:pPr>
    </w:p>
    <w:p w14:paraId="420F2FBC" w14:textId="2AE2DCAE" w:rsidR="00AA323B" w:rsidRPr="001D042C" w:rsidRDefault="00AA323B" w:rsidP="006D06B8">
      <w:pPr>
        <w:pStyle w:val="Ttulo4"/>
        <w:numPr>
          <w:ilvl w:val="0"/>
          <w:numId w:val="0"/>
        </w:numPr>
        <w:spacing w:before="120" w:after="120" w:line="240" w:lineRule="auto"/>
        <w:ind w:left="10" w:right="0" w:hanging="11"/>
        <w:rPr>
          <w:sz w:val="20"/>
          <w:szCs w:val="20"/>
        </w:rPr>
      </w:pPr>
      <w:r>
        <w:t>C</w:t>
      </w:r>
      <w:r w:rsidRPr="001D042C">
        <w:t xml:space="preserve">ONTRATOS </w:t>
      </w:r>
      <w:r w:rsidR="006D06B8">
        <w:t xml:space="preserve">ORGANISMOS INTERNACIONALES </w:t>
      </w:r>
      <w:proofErr w:type="gramStart"/>
      <w:r w:rsidRPr="001D042C">
        <w:t xml:space="preserve">– </w:t>
      </w:r>
      <w:r w:rsidR="001D042C" w:rsidRPr="001D042C">
        <w:t xml:space="preserve"> Hipótesis</w:t>
      </w:r>
      <w:proofErr w:type="gramEnd"/>
      <w:r w:rsidR="001D042C" w:rsidRPr="001D042C">
        <w:t xml:space="preserve"> − Origen de los recursos – Objeto del contrato − Contratos personas extranjeras</w:t>
      </w:r>
    </w:p>
    <w:p w14:paraId="7EC033DE" w14:textId="77777777" w:rsidR="006D06B8" w:rsidRDefault="00CE75A7" w:rsidP="001D042C">
      <w:pPr>
        <w:spacing w:before="120" w:after="120" w:line="240" w:lineRule="auto"/>
        <w:ind w:left="-15" w:right="41" w:firstLine="0"/>
        <w:rPr>
          <w:sz w:val="20"/>
          <w:szCs w:val="20"/>
        </w:rPr>
      </w:pPr>
      <w:r w:rsidRPr="001D042C">
        <w:rPr>
          <w:sz w:val="20"/>
          <w:szCs w:val="20"/>
        </w:rPr>
        <w:t>Realizadas las anteriores precisiones, esta subdirección procederá   a analizar las tres hipótesis de contratación contempladas en el artículo 20 de la Ley 1150 de 2007.</w:t>
      </w:r>
    </w:p>
    <w:p w14:paraId="4FA7E1F6" w14:textId="38F0915B" w:rsidR="001D042C" w:rsidRPr="001D042C" w:rsidRDefault="006D06B8" w:rsidP="001D042C">
      <w:pPr>
        <w:spacing w:before="120" w:after="120" w:line="240" w:lineRule="auto"/>
        <w:ind w:left="-15" w:right="41" w:firstLine="0"/>
        <w:rPr>
          <w:sz w:val="20"/>
          <w:szCs w:val="20"/>
        </w:rPr>
      </w:pPr>
      <w:r>
        <w:rPr>
          <w:sz w:val="20"/>
          <w:szCs w:val="20"/>
        </w:rPr>
        <w:t xml:space="preserve">Origen de los recursos </w:t>
      </w:r>
      <w:r w:rsidR="00CE75A7" w:rsidRPr="001D042C">
        <w:rPr>
          <w:sz w:val="20"/>
          <w:szCs w:val="20"/>
        </w:rPr>
        <w:t xml:space="preserve">El inciso primero del artículo 20 de la Ley 1150 de 2007, establece que los contratos o convenios financiados en su totalidad o en sumas iguales o superiores al cincuenta por ciento (50%) con fondos de los organismos de cooperación, asistencia o ayudas </w:t>
      </w:r>
      <w:r w:rsidR="001D042C" w:rsidRPr="001D042C">
        <w:rPr>
          <w:sz w:val="20"/>
          <w:szCs w:val="20"/>
        </w:rPr>
        <w:t>i</w:t>
      </w:r>
      <w:r w:rsidR="00CE75A7" w:rsidRPr="001D042C">
        <w:rPr>
          <w:sz w:val="20"/>
          <w:szCs w:val="20"/>
        </w:rPr>
        <w:t>nternacionales, podrán someterse a los reglamentos de tales entidades. Respecto al alcance de esta tipología de contratos, la Sala de Consulta y Servicio Civil en concepto No 11001-03-06-000-2018-00129-00(2389) del 25 de septiembre de 2018, resaltó las principales características en el siguiente sentido:</w:t>
      </w:r>
      <w:r w:rsidR="00CE75A7" w:rsidRPr="001D042C">
        <w:rPr>
          <w:b/>
          <w:sz w:val="20"/>
          <w:szCs w:val="20"/>
        </w:rPr>
        <w:t xml:space="preserve"> i)</w:t>
      </w:r>
      <w:r w:rsidR="00CE75A7" w:rsidRPr="001D042C">
        <w:rPr>
          <w:sz w:val="20"/>
          <w:szCs w:val="20"/>
        </w:rPr>
        <w:t xml:space="preserve"> De acuerdo con lo previsto en el art. 20 de la Ley 1150 de 2007, los contratos financiados con recursos provenientes de organismos multilaterales de crédito pueden someterse a los reglamentos de tales organismos</w:t>
      </w:r>
      <w:r w:rsidR="001D042C" w:rsidRPr="001D042C">
        <w:rPr>
          <w:sz w:val="20"/>
          <w:szCs w:val="20"/>
        </w:rPr>
        <w:t xml:space="preserve"> </w:t>
      </w:r>
      <w:proofErr w:type="spellStart"/>
      <w:r w:rsidR="001D042C" w:rsidRPr="001D042C">
        <w:rPr>
          <w:sz w:val="20"/>
          <w:szCs w:val="20"/>
        </w:rPr>
        <w:t>ii</w:t>
      </w:r>
      <w:proofErr w:type="spellEnd"/>
      <w:r w:rsidR="00CE75A7" w:rsidRPr="001D042C">
        <w:rPr>
          <w:sz w:val="20"/>
          <w:szCs w:val="20"/>
        </w:rPr>
        <w:t xml:space="preserve"> </w:t>
      </w:r>
      <w:r w:rsidR="00CE75A7" w:rsidRPr="001D042C">
        <w:rPr>
          <w:b/>
          <w:sz w:val="20"/>
          <w:szCs w:val="20"/>
        </w:rPr>
        <w:t>)</w:t>
      </w:r>
      <w:r w:rsidR="00CE75A7" w:rsidRPr="001D042C">
        <w:rPr>
          <w:sz w:val="20"/>
          <w:szCs w:val="20"/>
        </w:rPr>
        <w:t xml:space="preserve"> Es importante destacar que la posibilidad de inaplicar las normas nacionales de contratación pública a los contratos financiados con recursos provenientes de organismos multilaterales de crédito es de naturaleza excepcional y, por lo tanto, de aplicación restrictiva</w:t>
      </w:r>
      <w:r w:rsidR="001D042C" w:rsidRPr="001D042C">
        <w:rPr>
          <w:sz w:val="20"/>
          <w:szCs w:val="20"/>
        </w:rPr>
        <w:t xml:space="preserve"> .</w:t>
      </w:r>
      <w:proofErr w:type="spellStart"/>
      <w:r w:rsidR="001D042C" w:rsidRPr="001D042C">
        <w:rPr>
          <w:sz w:val="20"/>
          <w:szCs w:val="20"/>
        </w:rPr>
        <w:t>iii</w:t>
      </w:r>
      <w:proofErr w:type="spellEnd"/>
      <w:r w:rsidR="00CE75A7" w:rsidRPr="001D042C">
        <w:rPr>
          <w:b/>
          <w:sz w:val="20"/>
          <w:szCs w:val="20"/>
        </w:rPr>
        <w:t xml:space="preserve">)  </w:t>
      </w:r>
      <w:r w:rsidR="00CE75A7" w:rsidRPr="001D042C">
        <w:rPr>
          <w:sz w:val="20"/>
          <w:szCs w:val="20"/>
        </w:rPr>
        <w:t xml:space="preserve">De conformidad con lo expuesto, al procedimiento administrativo contractual y al respectivo contrato financiado con recursos provenientes de organismos multilaterales de crédito, y sometidos a los reglamentos de tales organismos, les resulta inaplicable por regla general el Estatuto General de la Contratación Pública. Sin embargo, estarán sometidos al Estatuto Orgánico del presupuesto y, entre otras obligaciones, a la </w:t>
      </w:r>
      <w:r w:rsidRPr="001D042C">
        <w:rPr>
          <w:sz w:val="20"/>
          <w:szCs w:val="20"/>
        </w:rPr>
        <w:t>obtener el</w:t>
      </w:r>
      <w:r w:rsidR="00CE75A7" w:rsidRPr="001D042C">
        <w:rPr>
          <w:sz w:val="20"/>
          <w:szCs w:val="20"/>
        </w:rPr>
        <w:t xml:space="preserve"> certificado de disponibilidad presupuestal, en cumplimiento del régimen presupuestal analizado en este concepto. </w:t>
      </w:r>
    </w:p>
    <w:p w14:paraId="5982F2A5" w14:textId="09EA9887" w:rsidR="00CE75A7" w:rsidRPr="00750488" w:rsidRDefault="00CE75A7" w:rsidP="006D06B8">
      <w:pPr>
        <w:spacing w:before="120" w:after="120" w:line="240" w:lineRule="auto"/>
        <w:ind w:left="-5" w:right="40"/>
        <w:rPr>
          <w:sz w:val="20"/>
          <w:szCs w:val="20"/>
        </w:rPr>
      </w:pPr>
      <w:r w:rsidRPr="00750488">
        <w:rPr>
          <w:sz w:val="20"/>
          <w:szCs w:val="20"/>
        </w:rPr>
        <w:t xml:space="preserve">Objeto del contrato </w:t>
      </w:r>
      <w:r w:rsidR="001D042C" w:rsidRPr="00750488">
        <w:rPr>
          <w:sz w:val="20"/>
          <w:szCs w:val="20"/>
        </w:rPr>
        <w:t xml:space="preserve">; </w:t>
      </w:r>
      <w:r w:rsidRPr="00750488">
        <w:rPr>
          <w:sz w:val="20"/>
          <w:szCs w:val="20"/>
        </w:rPr>
        <w:t>Por su parte, en el inciso segundo del artículo 20 de la Ley 1150 de 2007, se</w:t>
      </w:r>
      <w:r w:rsidRPr="00750488">
        <w:rPr>
          <w:b/>
          <w:sz w:val="20"/>
          <w:szCs w:val="20"/>
        </w:rPr>
        <w:t xml:space="preserve">  </w:t>
      </w:r>
      <w:r w:rsidRPr="00750488">
        <w:rPr>
          <w:sz w:val="20"/>
          <w:szCs w:val="20"/>
        </w:rPr>
        <w:t>contempla una segunda hipótesis de remisión a los  reglamentos de los órganos internacionales, pero condicionado a que el objeto del contrato se encuentre enmarcado en alguno de los siguientes supuestos:</w:t>
      </w:r>
      <w:r w:rsidR="006D06B8">
        <w:rPr>
          <w:sz w:val="20"/>
          <w:szCs w:val="20"/>
        </w:rPr>
        <w:t xml:space="preserve"> </w:t>
      </w:r>
      <w:r w:rsidRPr="00750488">
        <w:rPr>
          <w:sz w:val="20"/>
          <w:szCs w:val="20"/>
        </w:rPr>
        <w:t xml:space="preserve">Contratos o convenios celebrados con personas extranjeras </w:t>
      </w:r>
      <w:r w:rsidRPr="00750488">
        <w:rPr>
          <w:sz w:val="20"/>
          <w:szCs w:val="20"/>
        </w:rPr>
        <w:lastRenderedPageBreak/>
        <w:t>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w:t>
      </w:r>
      <w:r w:rsidR="006D06B8">
        <w:rPr>
          <w:sz w:val="20"/>
          <w:szCs w:val="20"/>
        </w:rPr>
        <w:t xml:space="preserve"> </w:t>
      </w:r>
      <w:r w:rsidRPr="00750488">
        <w:rPr>
          <w:sz w:val="20"/>
          <w:szCs w:val="20"/>
        </w:rPr>
        <w:t xml:space="preserve">Contratos y convenios para el desarrollo de programas de apoyo educativo a población desplazada y vulnerable adelantados por la Unesco y la OIM. </w:t>
      </w:r>
    </w:p>
    <w:p w14:paraId="7D69BC2A" w14:textId="6E82F764" w:rsidR="00750488" w:rsidRDefault="00750488" w:rsidP="006D06B8">
      <w:pPr>
        <w:pStyle w:val="Ttulo4"/>
        <w:numPr>
          <w:ilvl w:val="0"/>
          <w:numId w:val="0"/>
        </w:numPr>
        <w:spacing w:before="120" w:after="120" w:line="240" w:lineRule="auto"/>
        <w:ind w:left="10" w:right="0" w:hanging="10"/>
        <w:rPr>
          <w:b w:val="0"/>
          <w:bCs/>
          <w:sz w:val="20"/>
          <w:szCs w:val="20"/>
        </w:rPr>
      </w:pPr>
      <w:r w:rsidRPr="006D06B8">
        <w:rPr>
          <w:b w:val="0"/>
          <w:bCs/>
          <w:sz w:val="20"/>
          <w:szCs w:val="20"/>
        </w:rPr>
        <w:t>Pe</w:t>
      </w:r>
      <w:r w:rsidR="00CE75A7" w:rsidRPr="006D06B8">
        <w:rPr>
          <w:b w:val="0"/>
          <w:bCs/>
          <w:sz w:val="20"/>
          <w:szCs w:val="20"/>
        </w:rPr>
        <w:t>rsonas extranjeras El parágrafo primero del artículo 20 de la Ley 1150 de 2007 contempla la posibilidad de que los contratos que suscriban las entidades públicas con personas extranjeras de derecho público puedan someterse a los reglamentos de estas últimas personas, entendiendo personas extranjeras de derecho público como los Estados y sus correspondientes entidades públicas.</w:t>
      </w:r>
    </w:p>
    <w:p w14:paraId="5664B64C" w14:textId="40038F74" w:rsidR="00176E6D" w:rsidRDefault="00176E6D" w:rsidP="00176E6D">
      <w:pPr>
        <w:pStyle w:val="Ttulo3"/>
        <w:numPr>
          <w:ilvl w:val="0"/>
          <w:numId w:val="0"/>
        </w:numPr>
        <w:ind w:right="0"/>
      </w:pPr>
      <w:bookmarkStart w:id="0" w:name="_Hlk89679650"/>
      <w:r>
        <w:t>CONTRATOS CELEBRADOS EN TERRITORIO COLOMBIANO − Ejecutarse −  cumplirse − Extranjero</w:t>
      </w:r>
    </w:p>
    <w:bookmarkEnd w:id="0"/>
    <w:p w14:paraId="3159A03B" w14:textId="7D5A0BD3" w:rsidR="00176E6D" w:rsidRPr="00176E6D" w:rsidRDefault="00176E6D" w:rsidP="00176E6D">
      <w:pPr>
        <w:rPr>
          <w:sz w:val="20"/>
          <w:szCs w:val="20"/>
        </w:rPr>
      </w:pPr>
      <w:r w:rsidRPr="00176E6D">
        <w:rPr>
          <w:sz w:val="20"/>
          <w:szCs w:val="20"/>
        </w:rPr>
        <w:t xml:space="preserve">De igual manera, cuando los contratos fueron celebrados en Colombia, pero su ejecución se llevará a cabo en el extranjero, tanto la etapa precontractual como contractual podrá someterse a la ley extranjera, o, en su defecto a falta de pacto expreso, se rigen en parte por la ley colombiana en cuanto a la </w:t>
      </w:r>
      <w:r>
        <w:rPr>
          <w:sz w:val="20"/>
          <w:szCs w:val="20"/>
        </w:rPr>
        <w:t xml:space="preserve">celebración </w:t>
      </w:r>
      <w:r w:rsidRPr="00176E6D">
        <w:rPr>
          <w:sz w:val="20"/>
          <w:szCs w:val="20"/>
        </w:rPr>
        <w:t>y en parte por la extranjera (en cuanto a su ejecución)</w:t>
      </w:r>
    </w:p>
    <w:p w14:paraId="7B2239B4" w14:textId="40865B4F" w:rsidR="00CE75A7" w:rsidRPr="00750488" w:rsidRDefault="00750488" w:rsidP="006D06B8">
      <w:pPr>
        <w:spacing w:before="120" w:after="120" w:line="240" w:lineRule="auto"/>
        <w:ind w:left="-6" w:right="40" w:hanging="11"/>
      </w:pPr>
      <w:r w:rsidRPr="00750488">
        <w:rPr>
          <w:b/>
        </w:rPr>
        <w:t>CONTRATOS FINANCIADOS − Recursos organismos de crédito − R</w:t>
      </w:r>
      <w:r w:rsidR="00CE75A7" w:rsidRPr="00750488">
        <w:rPr>
          <w:b/>
        </w:rPr>
        <w:t xml:space="preserve">estricción del artículo 33 de la ley 996 de 2005 </w:t>
      </w:r>
    </w:p>
    <w:p w14:paraId="6B0C981D" w14:textId="77777777" w:rsidR="00CE75A7" w:rsidRPr="00750488" w:rsidRDefault="00CE75A7" w:rsidP="006D06B8">
      <w:pPr>
        <w:spacing w:before="120" w:after="120" w:line="240" w:lineRule="auto"/>
        <w:ind w:left="-5" w:right="40"/>
        <w:rPr>
          <w:sz w:val="20"/>
          <w:szCs w:val="20"/>
        </w:rPr>
      </w:pPr>
      <w:r w:rsidRPr="00750488">
        <w:rPr>
          <w:sz w:val="20"/>
          <w:szCs w:val="20"/>
        </w:rPr>
        <w:t>De lo expuesto en los numerales precedentes de este concepto, resulta claro que el legislador prohibió a las Entidades Públicas contratar de manera directa dentro de cuatro (4) meses anteriores a la celebración de las elecciones presidenciales, salvo en los siguientes supuestos:</w:t>
      </w:r>
    </w:p>
    <w:p w14:paraId="526F97BA" w14:textId="067DD211" w:rsidR="00750488" w:rsidRDefault="00CE75A7" w:rsidP="00750488">
      <w:pPr>
        <w:spacing w:before="120" w:after="120" w:line="240" w:lineRule="auto"/>
        <w:ind w:right="40"/>
        <w:rPr>
          <w:sz w:val="20"/>
          <w:szCs w:val="20"/>
        </w:rPr>
      </w:pPr>
      <w:r w:rsidRPr="00750488">
        <w:rPr>
          <w:sz w:val="20"/>
          <w:szCs w:val="20"/>
        </w:rPr>
        <w:t>Defensa y seguridad del Estado, Los contratos de crédito público,</w:t>
      </w:r>
      <w:r w:rsidR="00750488">
        <w:rPr>
          <w:sz w:val="20"/>
          <w:szCs w:val="20"/>
        </w:rPr>
        <w:t xml:space="preserve"> </w:t>
      </w:r>
      <w:r w:rsidRPr="00750488">
        <w:rPr>
          <w:sz w:val="20"/>
          <w:szCs w:val="20"/>
        </w:rPr>
        <w:t xml:space="preserve">Los requeridos para </w:t>
      </w:r>
      <w:proofErr w:type="spellStart"/>
      <w:r w:rsidRPr="00750488">
        <w:rPr>
          <w:sz w:val="20"/>
          <w:szCs w:val="20"/>
        </w:rPr>
        <w:t>cubir</w:t>
      </w:r>
      <w:proofErr w:type="spellEnd"/>
      <w:r w:rsidRPr="00750488">
        <w:rPr>
          <w:sz w:val="20"/>
          <w:szCs w:val="20"/>
        </w:rPr>
        <w:t xml:space="preserve">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Los que deban realizar las entidades sanitarias y hospitalarias.</w:t>
      </w:r>
    </w:p>
    <w:p w14:paraId="6B3E2FE5" w14:textId="68D4F4F7" w:rsidR="00CE75A7" w:rsidRPr="00750488" w:rsidRDefault="00CE75A7" w:rsidP="00750488">
      <w:pPr>
        <w:spacing w:before="120" w:after="120" w:line="240" w:lineRule="auto"/>
        <w:ind w:right="40"/>
        <w:rPr>
          <w:sz w:val="20"/>
          <w:szCs w:val="20"/>
        </w:rPr>
      </w:pPr>
      <w:r w:rsidRPr="00750488">
        <w:rPr>
          <w:sz w:val="20"/>
          <w:szCs w:val="20"/>
        </w:rPr>
        <w:t>Respecto al alcance de esta prohibición contenida en el artículo 33 de la Ley 996 de 2005, la Sala de Consulta y Servicio Civil del Consejo de Estado en concepto del 2 de febrero de 2006, expediente 11001-0306-000-2006-00011-00 (1712), aclaró que comprende a la totalidad de los entes del Estado, sin que resulten relevantes su régimen jurídico, forma de organización o naturaleza, su pertenencia a una u otra rama del poder público o su autonomía. Sin</w:t>
      </w:r>
      <w:r w:rsidR="00176E6D">
        <w:rPr>
          <w:sz w:val="20"/>
          <w:szCs w:val="20"/>
        </w:rPr>
        <w:t xml:space="preserve"> </w:t>
      </w:r>
      <w:r w:rsidR="00176E6D" w:rsidRPr="00750488">
        <w:rPr>
          <w:sz w:val="20"/>
          <w:szCs w:val="20"/>
        </w:rPr>
        <w:t>embargo,</w:t>
      </w:r>
      <w:r w:rsidRPr="00750488">
        <w:rPr>
          <w:sz w:val="20"/>
          <w:szCs w:val="20"/>
        </w:rPr>
        <w:t xml:space="preserve"> esta interpretación parte de un supuesto de hecho, y es que el contrato se encuentra sometido a las normas nacionales, dado que como se puso de presente en los considerandos de este concepto, existen algunos casos en los cuales el legislador habilitó a las entidades públicas para que suscribieran contratos cuyo régimen es distinto al derecho nacional, por lo que en estos eventos dicha restricción no sería aplicable. En ese sentido, se concluye que la restricción contemplada en el primer inciso del artículo 33 de la Ley 996 de 2005 no resulta extensiva a </w:t>
      </w:r>
      <w:r w:rsidR="00176E6D">
        <w:rPr>
          <w:sz w:val="20"/>
          <w:szCs w:val="20"/>
        </w:rPr>
        <w:t>l</w:t>
      </w:r>
      <w:r w:rsidRPr="00750488">
        <w:rPr>
          <w:sz w:val="20"/>
          <w:szCs w:val="20"/>
        </w:rPr>
        <w:t xml:space="preserve">os </w:t>
      </w:r>
      <w:r w:rsidR="00176E6D" w:rsidRPr="00750488">
        <w:rPr>
          <w:sz w:val="20"/>
          <w:szCs w:val="20"/>
        </w:rPr>
        <w:t>contratos que</w:t>
      </w:r>
      <w:r w:rsidRPr="00750488">
        <w:rPr>
          <w:sz w:val="20"/>
          <w:szCs w:val="20"/>
        </w:rPr>
        <w:t xml:space="preserve"> </w:t>
      </w:r>
      <w:r w:rsidR="00176E6D" w:rsidRPr="00750488">
        <w:rPr>
          <w:sz w:val="20"/>
          <w:szCs w:val="20"/>
        </w:rPr>
        <w:t>son financiados</w:t>
      </w:r>
      <w:r w:rsidRPr="00750488">
        <w:rPr>
          <w:sz w:val="20"/>
          <w:szCs w:val="20"/>
        </w:rPr>
        <w:t xml:space="preserve"> en su totalidad o en sumas iguales o superiores al cincuenta por ciento con fondos de los organismos de cooperación, asistencia o ayudas internacionales, y cuyo régimen es el dispuesto en los reglamentos de tales entidades. Lo anterior, por cuanto en estos casos el artículo 20 de la Ley 1150 de 2007 </w:t>
      </w:r>
      <w:r w:rsidR="00176E6D" w:rsidRPr="00750488">
        <w:rPr>
          <w:sz w:val="20"/>
          <w:szCs w:val="20"/>
        </w:rPr>
        <w:t>autoriza para</w:t>
      </w:r>
      <w:r w:rsidRPr="00750488">
        <w:rPr>
          <w:sz w:val="20"/>
          <w:szCs w:val="20"/>
        </w:rPr>
        <w:t xml:space="preserve"> aplicar </w:t>
      </w:r>
      <w:r w:rsidR="00176E6D" w:rsidRPr="00750488">
        <w:rPr>
          <w:sz w:val="20"/>
          <w:szCs w:val="20"/>
        </w:rPr>
        <w:t>integralmente</w:t>
      </w:r>
      <w:r w:rsidRPr="00750488">
        <w:rPr>
          <w:sz w:val="20"/>
          <w:szCs w:val="20"/>
        </w:rPr>
        <w:t xml:space="preserve"> el reglamento de dichos organismos, tal y como se puso de presente en el numeral 2.2.3.1. del concepto. </w:t>
      </w:r>
    </w:p>
    <w:p w14:paraId="25D58DE7" w14:textId="77777777" w:rsidR="00750488" w:rsidRDefault="00750488" w:rsidP="00CE75A7">
      <w:pPr>
        <w:spacing w:after="273"/>
        <w:ind w:left="-15" w:right="41" w:firstLine="709"/>
      </w:pPr>
    </w:p>
    <w:p w14:paraId="716D74AA" w14:textId="77777777" w:rsidR="00FC4BD6" w:rsidRPr="00FC4BD6" w:rsidRDefault="00FC4BD6">
      <w:pPr>
        <w:spacing w:after="814" w:line="259" w:lineRule="auto"/>
        <w:ind w:left="4724" w:firstLine="0"/>
        <w:jc w:val="left"/>
        <w:rPr>
          <w:iCs/>
        </w:rPr>
      </w:pPr>
    </w:p>
    <w:p w14:paraId="0881F8E8" w14:textId="69C9008F" w:rsidR="00323EAA" w:rsidRDefault="0017442F" w:rsidP="00323EAA">
      <w:pPr>
        <w:spacing w:after="689" w:line="259" w:lineRule="auto"/>
        <w:ind w:left="0" w:right="56" w:firstLine="0"/>
        <w:jc w:val="right"/>
        <w:rPr>
          <w:b/>
          <w:color w:val="595959"/>
          <w:sz w:val="18"/>
        </w:rPr>
      </w:pPr>
      <w:r>
        <w:rPr>
          <w:b/>
          <w:color w:val="595959"/>
          <w:sz w:val="18"/>
        </w:rPr>
        <w:lastRenderedPageBreak/>
        <w:t>CCE-DES-FM-17</w:t>
      </w:r>
    </w:p>
    <w:p w14:paraId="70E5715B" w14:textId="2D3A95E3" w:rsidR="00323EAA" w:rsidRDefault="00323EAA">
      <w:pPr>
        <w:spacing w:after="689" w:line="259" w:lineRule="auto"/>
        <w:ind w:left="0" w:right="56" w:firstLine="0"/>
        <w:jc w:val="right"/>
      </w:pPr>
      <w:r>
        <w:rPr>
          <w:noProof/>
        </w:rPr>
        <w:drawing>
          <wp:inline distT="0" distB="0" distL="0" distR="0" wp14:anchorId="3B94F99C" wp14:editId="5D38AED6">
            <wp:extent cx="2400300" cy="615950"/>
            <wp:effectExtent l="0" t="0" r="0" b="0"/>
            <wp:docPr id="356" name="Picture 356"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356" name="Picture 356" descr="Texto&#10;&#10;Descripción generada automáticamente"/>
                    <pic:cNvPicPr/>
                  </pic:nvPicPr>
                  <pic:blipFill>
                    <a:blip r:embed="rId16"/>
                    <a:stretch>
                      <a:fillRect/>
                    </a:stretch>
                  </pic:blipFill>
                  <pic:spPr>
                    <a:xfrm>
                      <a:off x="0" y="0"/>
                      <a:ext cx="2400300" cy="615950"/>
                    </a:xfrm>
                    <a:prstGeom prst="rect">
                      <a:avLst/>
                    </a:prstGeom>
                  </pic:spPr>
                </pic:pic>
              </a:graphicData>
            </a:graphic>
          </wp:inline>
        </w:drawing>
      </w:r>
    </w:p>
    <w:p w14:paraId="16E43520" w14:textId="77777777" w:rsidR="00B14520" w:rsidRDefault="0017442F">
      <w:pPr>
        <w:spacing w:after="698" w:line="259" w:lineRule="auto"/>
        <w:ind w:left="0" w:firstLine="0"/>
        <w:jc w:val="left"/>
      </w:pPr>
      <w:r>
        <w:rPr>
          <w:color w:val="4E4D4D"/>
        </w:rPr>
        <w:t xml:space="preserve">Bogotá, 31 </w:t>
      </w:r>
      <w:proofErr w:type="gramStart"/>
      <w:r>
        <w:rPr>
          <w:color w:val="4E4D4D"/>
        </w:rPr>
        <w:t>Agosto</w:t>
      </w:r>
      <w:proofErr w:type="gramEnd"/>
      <w:r>
        <w:rPr>
          <w:color w:val="4E4D4D"/>
        </w:rPr>
        <w:t xml:space="preserve"> 2021</w:t>
      </w:r>
    </w:p>
    <w:p w14:paraId="4BD6C2DF" w14:textId="77777777" w:rsidR="00B14520" w:rsidRDefault="0017442F">
      <w:pPr>
        <w:spacing w:after="10"/>
        <w:ind w:left="-5" w:right="41"/>
      </w:pPr>
      <w:r>
        <w:t>Señora</w:t>
      </w:r>
    </w:p>
    <w:p w14:paraId="08FED256" w14:textId="77777777" w:rsidR="00B14520" w:rsidRDefault="0017442F">
      <w:pPr>
        <w:spacing w:after="244" w:line="250" w:lineRule="auto"/>
        <w:ind w:left="-5" w:right="4479"/>
        <w:jc w:val="left"/>
      </w:pPr>
      <w:r>
        <w:rPr>
          <w:b/>
        </w:rPr>
        <w:t xml:space="preserve">Eddy Constanza Romero Anzola </w:t>
      </w:r>
      <w:r>
        <w:t>Bogotá D.C.</w:t>
      </w:r>
    </w:p>
    <w:p w14:paraId="32D7E13E" w14:textId="77777777" w:rsidR="00B14520" w:rsidRDefault="0017442F">
      <w:pPr>
        <w:spacing w:after="0" w:line="259" w:lineRule="auto"/>
        <w:ind w:left="0" w:firstLine="0"/>
        <w:jc w:val="left"/>
      </w:pPr>
      <w:r>
        <w:rPr>
          <w:b/>
        </w:rPr>
        <w:t xml:space="preserve">                                                                      </w:t>
      </w:r>
    </w:p>
    <w:p w14:paraId="7C396C96" w14:textId="584E9C10" w:rsidR="00176E6D" w:rsidRDefault="0017442F">
      <w:pPr>
        <w:pStyle w:val="Ttulo1"/>
        <w:numPr>
          <w:ilvl w:val="0"/>
          <w:numId w:val="0"/>
        </w:numPr>
        <w:spacing w:after="381"/>
        <w:ind w:left="-5" w:right="0"/>
      </w:pPr>
      <w:r>
        <w:t xml:space="preserve">                                            </w:t>
      </w:r>
    </w:p>
    <w:p w14:paraId="3E546CB0" w14:textId="77777777" w:rsidR="00176E6D" w:rsidRDefault="00176E6D">
      <w:pPr>
        <w:pStyle w:val="Ttulo1"/>
        <w:numPr>
          <w:ilvl w:val="0"/>
          <w:numId w:val="0"/>
        </w:numPr>
        <w:spacing w:after="381"/>
        <w:ind w:left="-5" w:right="0"/>
      </w:pPr>
    </w:p>
    <w:p w14:paraId="1EE8E39D" w14:textId="7465DF1D" w:rsidR="00B14520" w:rsidRDefault="0017442F">
      <w:pPr>
        <w:pStyle w:val="Ttulo1"/>
        <w:numPr>
          <w:ilvl w:val="0"/>
          <w:numId w:val="0"/>
        </w:numPr>
        <w:spacing w:after="381"/>
        <w:ind w:left="-5" w:right="0"/>
      </w:pPr>
      <w:r>
        <w:t xml:space="preserve">          </w:t>
      </w:r>
      <w:r w:rsidR="00176E6D">
        <w:tab/>
      </w:r>
      <w:r w:rsidR="00176E6D">
        <w:tab/>
      </w:r>
      <w:r w:rsidR="00176E6D">
        <w:tab/>
      </w:r>
      <w:r w:rsidR="00176E6D">
        <w:tab/>
      </w:r>
      <w:r>
        <w:t>Concepto C ‒ 559 de 2021</w:t>
      </w:r>
    </w:p>
    <w:p w14:paraId="032D4197" w14:textId="77777777" w:rsidR="00176E6D" w:rsidRPr="0062311A" w:rsidRDefault="00176E6D" w:rsidP="00176E6D">
      <w:pPr>
        <w:pStyle w:val="Ttulo3"/>
        <w:numPr>
          <w:ilvl w:val="0"/>
          <w:numId w:val="0"/>
        </w:numPr>
        <w:ind w:left="2832" w:right="0"/>
        <w:jc w:val="both"/>
        <w:rPr>
          <w:b w:val="0"/>
          <w:bCs/>
          <w:sz w:val="20"/>
          <w:szCs w:val="20"/>
        </w:rPr>
      </w:pPr>
      <w:r w:rsidRPr="0062311A">
        <w:rPr>
          <w:b w:val="0"/>
          <w:bCs/>
          <w:sz w:val="20"/>
          <w:szCs w:val="20"/>
        </w:rPr>
        <w:t xml:space="preserve">LEY DE GARANTÍAS ELECTORALES – Finalidad − Restricciones − CONTRATOS ESTATALES − Derecho nacional – Normatividad − Organismos internacionales − Celebrados en el exterior − Organismos internacionales − CONTRATOS CELEBRADOS EN TERRITORIO COLOMBIANO − Ejecutarse −  cumplirse – Extranjero − CONTRATOS ORGANISMOS INTERNACIONALES –  Hipótesis − Origen de los recursos – Objeto del contrato − Contratos personas extranjeras −CONTRATOS FINANCIADOS − Recursos organismos de crédito − Restricción del artículo 33 de la ley 996 de 2005 </w:t>
      </w:r>
    </w:p>
    <w:p w14:paraId="6770BA93" w14:textId="2467DFAB" w:rsidR="00B14520" w:rsidRDefault="0017442F">
      <w:pPr>
        <w:tabs>
          <w:tab w:val="center" w:pos="4798"/>
        </w:tabs>
        <w:spacing w:after="513"/>
        <w:ind w:left="-15" w:firstLine="0"/>
        <w:jc w:val="left"/>
      </w:pPr>
      <w:r>
        <w:rPr>
          <w:b/>
        </w:rPr>
        <w:t>Radicación:</w:t>
      </w:r>
      <w:r>
        <w:rPr>
          <w:b/>
        </w:rPr>
        <w:tab/>
      </w:r>
      <w:r>
        <w:t>Respuesta a consulta # P20210830007811</w:t>
      </w:r>
    </w:p>
    <w:p w14:paraId="6AB2909C" w14:textId="77777777" w:rsidR="00B14520" w:rsidRDefault="0017442F">
      <w:pPr>
        <w:spacing w:after="0" w:line="259" w:lineRule="auto"/>
        <w:ind w:left="0" w:firstLine="0"/>
        <w:jc w:val="left"/>
      </w:pPr>
      <w:r>
        <w:rPr>
          <w:b/>
        </w:rPr>
        <w:t xml:space="preserve"> </w:t>
      </w:r>
    </w:p>
    <w:p w14:paraId="5F62B07F" w14:textId="77777777" w:rsidR="00B14520" w:rsidRDefault="0017442F">
      <w:pPr>
        <w:spacing w:after="336"/>
        <w:ind w:left="-5" w:right="41"/>
      </w:pPr>
      <w:r>
        <w:t xml:space="preserve">En ejercicio de la competencia otorgada por el numeral 8 del artículo 11 y el numeral 5 del artículo 3 del Decreto Ley 4170 de 2011, la Agencia Nacional de Contratación Pública – Colombia Compra Eficiente responde su consulta del 30 de agosto de 2021. </w:t>
      </w:r>
    </w:p>
    <w:p w14:paraId="6819F3B1" w14:textId="77777777" w:rsidR="00B14520" w:rsidRDefault="0017442F">
      <w:pPr>
        <w:pStyle w:val="Ttulo1"/>
        <w:spacing w:after="286"/>
        <w:ind w:left="269" w:right="0" w:hanging="284"/>
      </w:pPr>
      <w:r>
        <w:t xml:space="preserve">Problema planteado </w:t>
      </w:r>
    </w:p>
    <w:p w14:paraId="46A6BB4C" w14:textId="77777777" w:rsidR="00B14520" w:rsidRDefault="0017442F">
      <w:pPr>
        <w:spacing w:after="336"/>
        <w:ind w:left="-5" w:right="41"/>
      </w:pPr>
      <w:r>
        <w:t>Usted realiza la siguiente consulta:</w:t>
      </w:r>
      <w:r>
        <w:rPr>
          <w:sz w:val="21"/>
        </w:rPr>
        <w:t xml:space="preserve"> </w:t>
      </w:r>
      <w:r>
        <w:t>«¿</w:t>
      </w:r>
      <w:proofErr w:type="gramStart"/>
      <w:r>
        <w:t>La</w:t>
      </w:r>
      <w:r>
        <w:rPr>
          <w:sz w:val="21"/>
        </w:rPr>
        <w:t xml:space="preserve"> </w:t>
      </w:r>
      <w:r>
        <w:t xml:space="preserve"> restricción</w:t>
      </w:r>
      <w:proofErr w:type="gramEnd"/>
      <w:r>
        <w:t xml:space="preserve"> prevista en el artículo 33 de la Ley 996 de 2005, resulta aplicable a los contratos financiados total o parcialmente con recursos de crédito externo?».</w:t>
      </w:r>
    </w:p>
    <w:p w14:paraId="056C1EF7" w14:textId="77777777" w:rsidR="00B14520" w:rsidRDefault="0017442F">
      <w:pPr>
        <w:pStyle w:val="Ttulo1"/>
        <w:spacing w:after="286"/>
        <w:ind w:left="269" w:right="0" w:hanging="284"/>
      </w:pPr>
      <w:r>
        <w:lastRenderedPageBreak/>
        <w:t>Consideraciones</w:t>
      </w:r>
    </w:p>
    <w:p w14:paraId="1FECA0BB" w14:textId="77777777" w:rsidR="00B14520" w:rsidRDefault="0017442F">
      <w:pPr>
        <w:spacing w:after="146"/>
        <w:ind w:left="-5" w:right="41"/>
      </w:pPr>
      <w:r>
        <w:t xml:space="preserve">La Agencia Nacional de Contratación Pública </w:t>
      </w:r>
      <w:proofErr w:type="gramStart"/>
      <w:r>
        <w:t>–  Colombia</w:t>
      </w:r>
      <w:proofErr w:type="gramEnd"/>
      <w:r>
        <w:t xml:space="preserve"> Compra Eficiente responderá la consulta, luego de analizar el régimen de los convenios de asociación, los contratos suscritos con organismos internacionales y su relación con la Ley de Garantías. </w:t>
      </w:r>
    </w:p>
    <w:p w14:paraId="53DEE5D9" w14:textId="77777777" w:rsidR="00B14520" w:rsidRDefault="0017442F">
      <w:pPr>
        <w:ind w:left="-15" w:right="41" w:firstLine="708"/>
      </w:pPr>
      <w:r>
        <w:t>Al respecto, la Agencia se ha pronunciado en diferentes ocasiones sobre la Ley de Garantías, entre otros, en los Conceptos 4201913000004536 del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y C-227 del 24 de mayo de 2021.</w:t>
      </w:r>
    </w:p>
    <w:p w14:paraId="29248D5A" w14:textId="77777777" w:rsidR="00B14520" w:rsidRDefault="0017442F">
      <w:pPr>
        <w:spacing w:after="317"/>
        <w:ind w:left="-15" w:right="41" w:firstLine="708"/>
      </w:pPr>
      <w:r>
        <w:t>Finalmente, en los Conceptos C-374 del 23 de julio de 2020, C-680 del 18 de noviembre de 2020 y C-296 del 22 de junio de 2021, estudió el contenido del artículo 20 de la Ley 1150 de 2007, referente al régimen aplicable a los contratos financiados con recursos de organismos internacionales. En lo pertinente, la tesis propuesta en estos conceptos se reitera y se complementa, dándole alcance a continuación:</w:t>
      </w:r>
    </w:p>
    <w:p w14:paraId="7A4F6F29" w14:textId="77777777" w:rsidR="00B14520" w:rsidRDefault="0017442F">
      <w:pPr>
        <w:pStyle w:val="Ttulo2"/>
        <w:spacing w:after="317"/>
        <w:ind w:left="412" w:right="0" w:hanging="427"/>
      </w:pPr>
      <w:r>
        <w:t>Finalidad y restricciones de la Ley de Garantías Electorales</w:t>
      </w:r>
    </w:p>
    <w:p w14:paraId="5468844F" w14:textId="77777777" w:rsidR="00B14520" w:rsidRDefault="0017442F">
      <w:pPr>
        <w:spacing w:after="174"/>
        <w:ind w:left="-5" w:right="41"/>
      </w:pPr>
      <w:r>
        <w:t>El ordenamiento jurídico colombiano contempla previsiones claras para evitar la obtención de beneficios personales en asuntos propios de la administración pública. Por ejemplo, el artículo 127 de la Constitución Política establece una prohibición contractual a los servidores públicos y en cuanto a aspectos políticos establece restricciones a ciertos empleados del Estado, incluso en época no electoral</w:t>
      </w:r>
      <w:r>
        <w:rPr>
          <w:vertAlign w:val="superscript"/>
        </w:rPr>
        <w:footnoteReference w:id="1"/>
      </w:r>
      <w:r>
        <w:t xml:space="preserve">. </w:t>
      </w:r>
    </w:p>
    <w:p w14:paraId="48A8B3D3" w14:textId="77777777" w:rsidR="00B14520" w:rsidRDefault="0017442F">
      <w:pPr>
        <w:ind w:left="-15" w:right="41" w:firstLine="709"/>
      </w:pPr>
      <w:r>
        <w:t>En el mismo sentido, la Ley 996 de 2005 se suma al andamiaje de orden constitucional y legal que se ha ocupado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En armonía con lo anterior, la Corte Constitucional –en la Sentencia C-1153 de 2005– considera que:</w:t>
      </w:r>
    </w:p>
    <w:p w14:paraId="0B07796D" w14:textId="77777777" w:rsidR="00B14520" w:rsidRDefault="0017442F">
      <w:pPr>
        <w:spacing w:after="262" w:line="241" w:lineRule="auto"/>
        <w:ind w:left="704" w:right="749"/>
      </w:pPr>
      <w:r>
        <w:rPr>
          <w:sz w:val="21"/>
        </w:rPr>
        <w:t xml:space="preserve">Una ley de garantías electorales es una guía para el ejercicio equitativo y transparente de la democracia representativa. Un estatuto diseñado para asegurar que la contienda democrática se cumpla en condiciones igualitarias </w:t>
      </w:r>
      <w:r>
        <w:rPr>
          <w:sz w:val="21"/>
        </w:rPr>
        <w:lastRenderedPageBreak/>
        <w:t>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p>
    <w:p w14:paraId="38CA00EC" w14:textId="77777777" w:rsidR="00B14520" w:rsidRDefault="0017442F">
      <w:pPr>
        <w:spacing w:after="244" w:line="276" w:lineRule="auto"/>
        <w:ind w:left="0" w:firstLine="709"/>
        <w:jc w:val="left"/>
      </w:pPr>
      <w:r>
        <w:t xml:space="preserve">Siguiendo el mencionado derrotero, la Ley de Garantías Electorales establece el marco jurídico para el desarrollo de las elecciones, procurando condiciones de igualdad y transparencia para los aspirantes al tiempo que se incluyen restricciones en el </w:t>
      </w:r>
      <w:proofErr w:type="gramStart"/>
      <w:r>
        <w:t>actuar  de</w:t>
      </w:r>
      <w:proofErr w:type="gramEnd"/>
      <w:r>
        <w:t xml:space="preserv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 En efecto, lo anterior fue indicado por la Sala de Consulta y Servicio Civil del Consejo de Estado al precisar que:</w:t>
      </w:r>
    </w:p>
    <w:p w14:paraId="38922BA9" w14:textId="77777777" w:rsidR="00B14520" w:rsidRDefault="0017442F">
      <w:pPr>
        <w:spacing w:after="262" w:line="241" w:lineRule="auto"/>
        <w:ind w:left="704" w:right="749"/>
      </w:pPr>
      <w:r>
        <w:rPr>
          <w:sz w:val="21"/>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w:t>
      </w:r>
      <w:proofErr w:type="gramStart"/>
      <w:r>
        <w:rPr>
          <w:sz w:val="21"/>
        </w:rPr>
        <w:t xml:space="preserve">analogía  </w:t>
      </w:r>
      <w:proofErr w:type="spellStart"/>
      <w:r>
        <w:rPr>
          <w:sz w:val="21"/>
        </w:rPr>
        <w:t>legis</w:t>
      </w:r>
      <w:proofErr w:type="spellEnd"/>
      <w:proofErr w:type="gramEnd"/>
      <w:r>
        <w:rPr>
          <w:sz w:val="21"/>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5AA1C8A3" w14:textId="77777777" w:rsidR="00B14520" w:rsidRDefault="0017442F">
      <w:pPr>
        <w:spacing w:after="330" w:line="241" w:lineRule="auto"/>
        <w:ind w:left="704" w:right="749"/>
      </w:pPr>
      <w:r>
        <w:rPr>
          <w:sz w:val="21"/>
        </w:rPr>
        <w:t>La jurisprudencia de la Corte Constitucional</w:t>
      </w:r>
      <w:r>
        <w:rPr>
          <w:sz w:val="21"/>
          <w:vertAlign w:val="superscript"/>
        </w:rPr>
        <w:footnoteReference w:id="2"/>
      </w:r>
      <w:r>
        <w:rPr>
          <w:sz w:val="21"/>
        </w:rPr>
        <w:t xml:space="preserve">   y del Consejo de Estado</w:t>
      </w:r>
      <w:r>
        <w:rPr>
          <w:sz w:val="21"/>
          <w:vertAlign w:val="superscript"/>
        </w:rPr>
        <w:footnoteReference w:id="3"/>
      </w:r>
      <w:r>
        <w:rPr>
          <w:sz w:val="21"/>
        </w:rPr>
        <w:t xml:space="preserve"> ,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w:t>
      </w:r>
      <w:r>
        <w:rPr>
          <w:sz w:val="21"/>
        </w:rPr>
        <w:lastRenderedPageBreak/>
        <w:t>sobrepasar sus precisos términos comporta el desconocimiento de la voluntad del legislador</w:t>
      </w:r>
      <w:r>
        <w:rPr>
          <w:sz w:val="21"/>
          <w:vertAlign w:val="superscript"/>
        </w:rPr>
        <w:footnoteReference w:id="4"/>
      </w:r>
      <w:r>
        <w:rPr>
          <w:sz w:val="21"/>
        </w:rPr>
        <w:t>.</w:t>
      </w:r>
    </w:p>
    <w:p w14:paraId="0B9AF1AE" w14:textId="77777777" w:rsidR="00B14520" w:rsidRDefault="0017442F">
      <w:pPr>
        <w:spacing w:after="146"/>
        <w:ind w:left="-15" w:right="41" w:firstLine="708"/>
      </w:pPr>
      <w:r>
        <w:t xml:space="preserve">De conformidad con lo anterior, es claro que la 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los demás cargos de elección popular, tanto a nivel nacional como territorial. </w:t>
      </w:r>
    </w:p>
    <w:p w14:paraId="5236593B" w14:textId="77777777" w:rsidR="00B14520" w:rsidRDefault="0017442F">
      <w:pPr>
        <w:spacing w:after="206"/>
        <w:ind w:left="-15" w:right="41" w:firstLine="708"/>
      </w:pPr>
      <w:r>
        <w:t>Conforme a esto, el artículo 33 de la Ley 996 de 2005 prohíbe «</w:t>
      </w:r>
      <w:proofErr w:type="gramStart"/>
      <w:r>
        <w:t>[  …</w:t>
      </w:r>
      <w:proofErr w:type="gramEnd"/>
      <w:r>
        <w:t xml:space="preserve"> ]  la contratación directa por parte de todos los entes del </w:t>
      </w:r>
      <w:proofErr w:type="gramStart"/>
      <w:r>
        <w:t>Estado »</w:t>
      </w:r>
      <w:proofErr w:type="gramEnd"/>
      <w:r>
        <w:t xml:space="preserve"> durante los cuatro (4) meses anteriores a las elecciones presidenciales, salvo  «[ …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Pr>
          <w:vertAlign w:val="superscript"/>
        </w:rPr>
        <w:footnoteReference w:id="5"/>
      </w:r>
      <w:r>
        <w:t>.</w:t>
      </w:r>
    </w:p>
    <w:p w14:paraId="0A0A0F0B" w14:textId="77777777" w:rsidR="00B14520" w:rsidRDefault="0017442F">
      <w:pPr>
        <w:spacing w:after="279"/>
        <w:ind w:left="-15" w:right="41" w:firstLine="708"/>
      </w:pPr>
      <w:r>
        <w:t>Por su parte, el parágrafo del artículo 38 de la Ley 996 de 2005 prevé una restricción, aplicable respecto de cualquier tipo de elección, que prohíbe a los gobernadores, alcaldes municipales o distritales, secretarios, gerentes y directores de entidades descentralizadas del orden municipal, departamental o distrital «</w:t>
      </w:r>
      <w:proofErr w:type="gramStart"/>
      <w:r>
        <w:t>[  …</w:t>
      </w:r>
      <w:proofErr w:type="gramEnd"/>
      <w:r>
        <w:t xml:space="preserve"> ]  celebrar convenios interadministrativos para la ejecución de recursos públicos, ni participar, promover y destinar recursos públicos de las entidades a su cargo, como tampoco de las que participen como miembros de sus juntas directivas, en o para reuniones de carácter </w:t>
      </w:r>
      <w:proofErr w:type="gramStart"/>
      <w:r>
        <w:t xml:space="preserve">proselitista </w:t>
      </w:r>
      <w:r>
        <w:rPr>
          <w:sz w:val="19"/>
        </w:rPr>
        <w:t>»</w:t>
      </w:r>
      <w:proofErr w:type="gramEnd"/>
      <w:r>
        <w:rPr>
          <w:sz w:val="19"/>
          <w:vertAlign w:val="superscript"/>
        </w:rPr>
        <w:footnoteReference w:id="6"/>
      </w:r>
      <w:r>
        <w:rPr>
          <w:sz w:val="19"/>
        </w:rPr>
        <w:t xml:space="preserve"> </w:t>
      </w:r>
      <w:r>
        <w:t xml:space="preserve">. </w:t>
      </w:r>
      <w:proofErr w:type="gramStart"/>
      <w:r>
        <w:t>La  Sala</w:t>
      </w:r>
      <w:proofErr w:type="gramEnd"/>
      <w:r>
        <w:t xml:space="preserve"> de Consulta y Servicio Civil del Consejo de Estado </w:t>
      </w:r>
      <w:r>
        <w:lastRenderedPageBreak/>
        <w:t>aclara la distinción en las prohibiciones de la Ley 996 de 2005, dependiendo del tipo de elección que se trate, en los siguientes términos:</w:t>
      </w:r>
    </w:p>
    <w:p w14:paraId="3EEFCDF9" w14:textId="77777777" w:rsidR="00B14520" w:rsidRDefault="0017442F">
      <w:pPr>
        <w:spacing w:after="326"/>
        <w:ind w:left="719" w:right="764"/>
      </w:pPr>
      <w: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proofErr w:type="gramStart"/>
      <w:r>
        <w:t>En  cambio</w:t>
      </w:r>
      <w:proofErr w:type="gramEnd"/>
      <w:r>
        <w:t>, para elecciones en general, excluyendo las correspondientes a Presidente  de la República, a las autoridades territoriales allí mencionadas sólo se aplican las restricciones contenidas en el parágrafo del artículo 38</w:t>
      </w:r>
      <w:r>
        <w:rPr>
          <w:vertAlign w:val="superscript"/>
        </w:rPr>
        <w:footnoteReference w:id="7"/>
      </w:r>
      <w:r>
        <w:t>.</w:t>
      </w:r>
    </w:p>
    <w:p w14:paraId="10BD8D0C" w14:textId="77777777" w:rsidR="00B14520" w:rsidRDefault="0017442F">
      <w:pPr>
        <w:spacing w:after="597"/>
        <w:ind w:left="-15" w:right="41" w:firstLine="708"/>
      </w:pPr>
      <w:r>
        <w:t xml:space="preserve">De lo anterior se desprende que la Ley 996 de 2005 establece dos tipos de restricciones en materia de contratación, las cuales coinciden parcialmente. Por un lado, la del artículo 33 que opera solo respecto de las elecciones presidenciales, en virtud de la cual queda proscrita la contratación directa dentro de los cuatro (4) meses anteriores a la celebración de los comicios, salvo las aludidas excepciones. Por otra parte, la del artículo 38, aplicable respecto de cualquier tipo de elección, que prohíbe la celebración de convenios interadministrativos que impliquen la ejecución de recursos públicos. </w:t>
      </w:r>
    </w:p>
    <w:p w14:paraId="52D8B2B1" w14:textId="77777777" w:rsidR="00B14520" w:rsidRDefault="0017442F">
      <w:pPr>
        <w:pStyle w:val="Ttulo2"/>
        <w:spacing w:after="271"/>
        <w:ind w:left="-5" w:right="0"/>
      </w:pPr>
      <w:r>
        <w:t>Contratos estatales cuya normatividad aplicable es distinta al derecho nacional</w:t>
      </w:r>
    </w:p>
    <w:p w14:paraId="5E4C0604" w14:textId="77777777" w:rsidR="00B14520" w:rsidRDefault="0017442F">
      <w:pPr>
        <w:ind w:left="-5" w:right="41"/>
      </w:pPr>
      <w:r>
        <w:t>Por expresa disposición constitucional, la actividad contractual del Estado debe sujetarse al Estatuto General de Contratación</w:t>
      </w:r>
      <w:r>
        <w:rPr>
          <w:vertAlign w:val="superscript"/>
        </w:rPr>
        <w:footnoteReference w:id="8"/>
      </w:r>
      <w:r>
        <w:t xml:space="preserve"> , el cual se encuentra previsto en las Leyes 80 de 1993 y 1150 de 2007, así como en el Decreto 1082 de 2015. Las normas citadas contienen de forma sistematizada y ordenada las reglas y principios básicos que deben encaminar la realización y ejecución de todos los contratos que celebren las entidades del Estado, indistintamente del orden en que se encuentran.</w:t>
      </w:r>
    </w:p>
    <w:p w14:paraId="258FBFDD" w14:textId="77777777" w:rsidR="00B14520" w:rsidRDefault="0017442F">
      <w:pPr>
        <w:ind w:left="-15" w:right="41" w:firstLine="567"/>
      </w:pPr>
      <w:r>
        <w:lastRenderedPageBreak/>
        <w:t xml:space="preserve">En concordancia con lo anterior, el artículo 13 de la Ley 80 de 1993 establece que por regla general los contratos que celebren las entidades a que se refiere el artículo </w:t>
      </w:r>
      <w:hyperlink r:id="rId17" w:anchor="2">
        <w:r>
          <w:rPr>
            <w:u w:val="single" w:color="000000"/>
          </w:rPr>
          <w:t xml:space="preserve"> </w:t>
        </w:r>
      </w:hyperlink>
      <w:hyperlink r:id="rId18" w:anchor="2">
        <w:r>
          <w:rPr>
            <w:u w:val="single" w:color="000000"/>
          </w:rPr>
          <w:t>2</w:t>
        </w:r>
      </w:hyperlink>
      <w:r>
        <w:t xml:space="preserve"> o. del Estatuto General de Contratación</w:t>
      </w:r>
      <w:r>
        <w:rPr>
          <w:vertAlign w:val="superscript"/>
        </w:rPr>
        <w:footnoteReference w:id="9"/>
      </w:r>
      <w:r>
        <w:t xml:space="preserve"> , se regirán en primer término por las normas que emanan  de dicho conjunto normativo, y en segundo término, por las normas civiles y comerciales en lo no regulado por dicho estatuto, como criterio de integración normativa. Sin embargo, el artículo 13 en cita, reconoce casos excepcionales donde la normatividad aplicable es distinta al derecho nacional. Al respecto, de manera textual se establece:</w:t>
      </w:r>
    </w:p>
    <w:p w14:paraId="16C05728" w14:textId="77777777" w:rsidR="00B14520" w:rsidRDefault="0017442F">
      <w:pPr>
        <w:spacing w:after="0" w:line="259" w:lineRule="auto"/>
        <w:ind w:left="562"/>
        <w:jc w:val="left"/>
      </w:pPr>
      <w:proofErr w:type="gramStart"/>
      <w:r>
        <w:rPr>
          <w:b/>
          <w:i/>
          <w:sz w:val="20"/>
        </w:rPr>
        <w:t>“ ARTÍCULO</w:t>
      </w:r>
      <w:proofErr w:type="gramEnd"/>
      <w:r>
        <w:rPr>
          <w:b/>
          <w:i/>
          <w:sz w:val="20"/>
        </w:rPr>
        <w:t xml:space="preserve"> 13. DE LA NORMATIVIDAD APLICABLE A LOS CONTRATOS </w:t>
      </w:r>
    </w:p>
    <w:p w14:paraId="6BDC5326" w14:textId="77777777" w:rsidR="00B14520" w:rsidRDefault="0017442F">
      <w:pPr>
        <w:spacing w:after="0" w:line="250" w:lineRule="auto"/>
        <w:ind w:left="562" w:right="41"/>
      </w:pPr>
      <w:r>
        <w:rPr>
          <w:b/>
          <w:i/>
          <w:sz w:val="20"/>
        </w:rPr>
        <w:t>ESTATALES.</w:t>
      </w:r>
      <w:r>
        <w:rPr>
          <w:i/>
          <w:sz w:val="20"/>
        </w:rPr>
        <w:t xml:space="preserve">  Los contratos que celebren las entidades a que se refiere el artículo </w:t>
      </w:r>
      <w:hyperlink r:id="rId19" w:anchor="2">
        <w:r>
          <w:rPr>
            <w:i/>
            <w:sz w:val="20"/>
            <w:u w:val="single" w:color="000000"/>
          </w:rPr>
          <w:t xml:space="preserve"> </w:t>
        </w:r>
      </w:hyperlink>
      <w:hyperlink r:id="rId20" w:anchor="2">
        <w:r>
          <w:rPr>
            <w:i/>
            <w:sz w:val="20"/>
            <w:u w:val="single" w:color="000000"/>
          </w:rPr>
          <w:t>2</w:t>
        </w:r>
      </w:hyperlink>
      <w:r>
        <w:rPr>
          <w:i/>
          <w:sz w:val="20"/>
        </w:rPr>
        <w:t>o. del presente estatuto se regirán por las disposiciones comerciales y civiles pertinentes, salvo en las materias particularmente reguladas en esta ley.</w:t>
      </w:r>
    </w:p>
    <w:p w14:paraId="7E6ECCCA" w14:textId="77777777" w:rsidR="00B14520" w:rsidRDefault="0017442F">
      <w:pPr>
        <w:spacing w:after="0" w:line="250" w:lineRule="auto"/>
        <w:ind w:left="562" w:right="41"/>
      </w:pPr>
      <w:r>
        <w:rPr>
          <w:i/>
          <w:sz w:val="20"/>
        </w:rPr>
        <w:t>Los contratos celebrados en el exterior se podrán regir en su ejecución por las reglas del país en donde se hayan suscrito, a menos que deban cumplirse en Colombia.</w:t>
      </w:r>
    </w:p>
    <w:p w14:paraId="7BB3687A" w14:textId="77777777" w:rsidR="00B14520" w:rsidRDefault="0017442F">
      <w:pPr>
        <w:spacing w:after="221" w:line="250" w:lineRule="auto"/>
        <w:ind w:left="562" w:right="41"/>
      </w:pPr>
      <w:r>
        <w:rPr>
          <w:i/>
          <w:sz w:val="20"/>
        </w:rPr>
        <w:t>Los contratos que se celebren en Colombia y deban ejecutarse o cumplirse en el extranjero, podrán someterse a la ley extranjera”.</w:t>
      </w:r>
    </w:p>
    <w:p w14:paraId="2CBBFD58" w14:textId="77777777" w:rsidR="00B14520" w:rsidRDefault="0017442F">
      <w:pPr>
        <w:spacing w:after="268"/>
        <w:ind w:left="-15" w:right="41" w:firstLine="567"/>
      </w:pPr>
      <w:r>
        <w:t>Aunado a lo anterior, el artículo 20 de la Ley 1150 de 2007 establece unas reglas específicas para la contratación con organismos internacionales. La disposición en cita señala:</w:t>
      </w:r>
    </w:p>
    <w:p w14:paraId="42F2D789" w14:textId="77777777" w:rsidR="00B14520" w:rsidRDefault="0017442F">
      <w:pPr>
        <w:tabs>
          <w:tab w:val="center" w:pos="1133"/>
          <w:tab w:val="center" w:pos="2260"/>
          <w:tab w:val="center" w:pos="2959"/>
          <w:tab w:val="center" w:pos="3652"/>
          <w:tab w:val="center" w:pos="5017"/>
          <w:tab w:val="center" w:pos="6472"/>
          <w:tab w:val="right" w:pos="8559"/>
        </w:tabs>
        <w:spacing w:after="0" w:line="259" w:lineRule="auto"/>
        <w:ind w:left="0" w:firstLine="0"/>
        <w:jc w:val="left"/>
      </w:pPr>
      <w:r>
        <w:rPr>
          <w:rFonts w:ascii="Calibri" w:eastAsia="Calibri" w:hAnsi="Calibri" w:cs="Calibri"/>
        </w:rPr>
        <w:tab/>
      </w:r>
      <w:proofErr w:type="gramStart"/>
      <w:r>
        <w:rPr>
          <w:b/>
          <w:i/>
          <w:sz w:val="20"/>
        </w:rPr>
        <w:t>“ ARTÍCULO</w:t>
      </w:r>
      <w:proofErr w:type="gramEnd"/>
      <w:r>
        <w:rPr>
          <w:b/>
          <w:i/>
          <w:sz w:val="20"/>
        </w:rPr>
        <w:t xml:space="preserve"> </w:t>
      </w:r>
      <w:r>
        <w:rPr>
          <w:b/>
          <w:i/>
          <w:sz w:val="20"/>
        </w:rPr>
        <w:tab/>
        <w:t xml:space="preserve">20. </w:t>
      </w:r>
      <w:r>
        <w:rPr>
          <w:b/>
          <w:i/>
          <w:sz w:val="20"/>
        </w:rPr>
        <w:tab/>
        <w:t xml:space="preserve">DE </w:t>
      </w:r>
      <w:r>
        <w:rPr>
          <w:b/>
          <w:i/>
          <w:sz w:val="20"/>
        </w:rPr>
        <w:tab/>
        <w:t xml:space="preserve">LA </w:t>
      </w:r>
      <w:r>
        <w:rPr>
          <w:b/>
          <w:i/>
          <w:sz w:val="20"/>
        </w:rPr>
        <w:tab/>
        <w:t xml:space="preserve">CONTRATACIÓN </w:t>
      </w:r>
      <w:r>
        <w:rPr>
          <w:b/>
          <w:i/>
          <w:sz w:val="20"/>
        </w:rPr>
        <w:tab/>
        <w:t xml:space="preserve">CON </w:t>
      </w:r>
      <w:r>
        <w:rPr>
          <w:b/>
          <w:i/>
          <w:sz w:val="20"/>
        </w:rPr>
        <w:tab/>
        <w:t xml:space="preserve">ORGANISMOS </w:t>
      </w:r>
    </w:p>
    <w:p w14:paraId="79436FF1" w14:textId="77777777" w:rsidR="00B14520" w:rsidRDefault="0017442F">
      <w:pPr>
        <w:spacing w:after="221" w:line="250" w:lineRule="auto"/>
        <w:ind w:left="562" w:right="41"/>
      </w:pPr>
      <w:r>
        <w:rPr>
          <w:b/>
          <w:i/>
          <w:sz w:val="20"/>
        </w:rPr>
        <w:t>INTERNACIONALES.</w:t>
      </w:r>
      <w:r>
        <w:rPr>
          <w:i/>
          <w:sz w:val="20"/>
        </w:rPr>
        <w:t xml:space="preserve">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w:t>
      </w:r>
      <w:hyperlink r:id="rId21" w:anchor="1">
        <w:r>
          <w:rPr>
            <w:i/>
            <w:sz w:val="20"/>
            <w:u w:val="single" w:color="000000"/>
          </w:rPr>
          <w:t xml:space="preserve"> </w:t>
        </w:r>
      </w:hyperlink>
      <w:hyperlink r:id="rId22" w:anchor="1">
        <w:r>
          <w:rPr>
            <w:i/>
            <w:sz w:val="20"/>
            <w:u w:val="single" w:color="000000"/>
          </w:rPr>
          <w:t>80</w:t>
        </w:r>
      </w:hyperlink>
      <w:r>
        <w:rPr>
          <w:i/>
          <w:sz w:val="20"/>
        </w:rPr>
        <w:t xml:space="preserve">  de 1993. Los recursos de contrapartida vinculados a estas operaciones podrán tener el mismo tratamiento.</w:t>
      </w:r>
    </w:p>
    <w:p w14:paraId="2B2A7434" w14:textId="77777777" w:rsidR="00B14520" w:rsidRDefault="0017442F">
      <w:pPr>
        <w:spacing w:after="221" w:line="250" w:lineRule="auto"/>
        <w:ind w:left="562" w:right="41"/>
      </w:pPr>
      <w:r>
        <w:rPr>
          <w:i/>
          <w:sz w:val="20"/>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16B8A7EA" w14:textId="77777777" w:rsidR="00B14520" w:rsidRDefault="0017442F">
      <w:pPr>
        <w:spacing w:after="221" w:line="250" w:lineRule="auto"/>
        <w:ind w:left="562" w:right="41"/>
      </w:pPr>
      <w:r>
        <w:rPr>
          <w:i/>
          <w:sz w:val="20"/>
        </w:rPr>
        <w:lastRenderedPageBreak/>
        <w:t>Las entidades estatales no podrán celebrar contratos o convenios para la administración o gerencia de sus recursos propios o de aquellos que les asignen los presupuestos públicos, con organismos de cooperación, asistencia o ayuda internacional.</w:t>
      </w:r>
    </w:p>
    <w:p w14:paraId="450E7840" w14:textId="77777777" w:rsidR="00B14520" w:rsidRDefault="0017442F">
      <w:pPr>
        <w:spacing w:after="221" w:line="250" w:lineRule="auto"/>
        <w:ind w:left="562" w:right="41"/>
      </w:pPr>
      <w:r>
        <w:rPr>
          <w:b/>
          <w:i/>
          <w:sz w:val="20"/>
        </w:rPr>
        <w:t>PARÁGRAFO 1o.</w:t>
      </w:r>
      <w:r>
        <w:rPr>
          <w:i/>
          <w:sz w:val="20"/>
        </w:rPr>
        <w:t xml:space="preserve">  Los contratos o acuerdos celebrados con personas extranjeras de derecho </w:t>
      </w:r>
      <w:proofErr w:type="gramStart"/>
      <w:r>
        <w:rPr>
          <w:i/>
          <w:sz w:val="20"/>
        </w:rPr>
        <w:t>público,</w:t>
      </w:r>
      <w:proofErr w:type="gramEnd"/>
      <w:r>
        <w:rPr>
          <w:i/>
          <w:sz w:val="20"/>
        </w:rPr>
        <w:t xml:space="preserve"> podrán someterse a las reglas de tales organismos.</w:t>
      </w:r>
    </w:p>
    <w:p w14:paraId="57280A96" w14:textId="77777777" w:rsidR="00B14520" w:rsidRDefault="0017442F">
      <w:pPr>
        <w:spacing w:after="221" w:line="250" w:lineRule="auto"/>
        <w:ind w:left="562" w:right="41"/>
      </w:pPr>
      <w:r>
        <w:rPr>
          <w:b/>
          <w:i/>
          <w:sz w:val="20"/>
        </w:rPr>
        <w:t>PARÁGRAFO 2o.</w:t>
      </w:r>
      <w:r>
        <w:rPr>
          <w:i/>
          <w:sz w:val="20"/>
        </w:rPr>
        <w:t xml:space="preserve">  Las entidades estatales tendrán la obligación de reportar la información a los organismos de control y </w:t>
      </w:r>
      <w:proofErr w:type="gramStart"/>
      <w:r>
        <w:rPr>
          <w:i/>
          <w:sz w:val="20"/>
        </w:rPr>
        <w:t>al  Secop</w:t>
      </w:r>
      <w:proofErr w:type="gramEnd"/>
      <w:r>
        <w:rPr>
          <w:i/>
          <w:sz w:val="20"/>
        </w:rPr>
        <w:t xml:space="preserve"> relativa a la ejecución de los contratos a los que se refiere el presente artículo.</w:t>
      </w:r>
    </w:p>
    <w:p w14:paraId="362B0671" w14:textId="77777777" w:rsidR="00B14520" w:rsidRDefault="0017442F">
      <w:pPr>
        <w:spacing w:after="263" w:line="250" w:lineRule="auto"/>
        <w:ind w:left="562" w:right="41"/>
      </w:pPr>
      <w:r>
        <w:rPr>
          <w:b/>
          <w:i/>
          <w:sz w:val="20"/>
        </w:rPr>
        <w:t>PARÁGRAFO 3o.</w:t>
      </w:r>
      <w:r>
        <w:rPr>
          <w:i/>
          <w:sz w:val="20"/>
        </w:rPr>
        <w:t xml:space="preserve">  En todo Proyecto de cooperación que involucre recursos estatales se deberán cuantificar en moneda nacional, los aportes en especie de la entidad, organización o persona cooperante, así como los del ente nacional colombiano. </w:t>
      </w:r>
      <w:proofErr w:type="gramStart"/>
      <w:r>
        <w:rPr>
          <w:i/>
          <w:sz w:val="20"/>
        </w:rPr>
        <w:t>Las  contralorías</w:t>
      </w:r>
      <w:proofErr w:type="gramEnd"/>
      <w:r>
        <w:rPr>
          <w:i/>
          <w:sz w:val="20"/>
        </w:rPr>
        <w:t xml:space="preserve"> ejercerán el control fiscal sobre los proyectos y contratos celebrados con organismos multilaterales”.</w:t>
      </w:r>
    </w:p>
    <w:p w14:paraId="2BA2F0BF" w14:textId="77777777" w:rsidR="00B14520" w:rsidRDefault="0017442F">
      <w:pPr>
        <w:ind w:left="-15" w:right="41" w:firstLine="567"/>
      </w:pPr>
      <w:r>
        <w:t xml:space="preserve">De lo anterior, se puede concluir que el legislador ha previsto </w:t>
      </w:r>
      <w:proofErr w:type="gramStart"/>
      <w:r>
        <w:t>casos  excepcionales</w:t>
      </w:r>
      <w:proofErr w:type="gramEnd"/>
      <w:r>
        <w:t xml:space="preserve"> donde la normativa aplicable a los contratos que celebren las entidades públicas sometidas al estatuto general de contratación es otra distinta a la prevista en el derecho nacional. Se trata de situaciones puntuales donde el régimen jurídico aplicable deviene de acuerdos o tratados internacionales de derecho público suscritos por el Estado Colombiano, del derecho contractual vigente en otro Estado o de las reglamentaciones internas de organismos internacionales multilaterales. Respecto a la justificación de que el legislador haya previsto esta excepcionalidad en la aplicación de la normatividad nacional, la Subsección C de la Sección Tercera del Consejo de Estado, en sentencia del 26 de noviembre de 2015, radicado No. 05001-23-31-000-2001-03849-01(54069</w:t>
      </w:r>
      <w:proofErr w:type="gramStart"/>
      <w:r>
        <w:t>)  señaló</w:t>
      </w:r>
      <w:proofErr w:type="gramEnd"/>
      <w:r>
        <w:t>:</w:t>
      </w:r>
    </w:p>
    <w:p w14:paraId="24FAA51B" w14:textId="77777777" w:rsidR="00B14520" w:rsidRDefault="0017442F">
      <w:pPr>
        <w:spacing w:after="249" w:line="250" w:lineRule="auto"/>
        <w:ind w:left="562" w:right="41"/>
      </w:pPr>
      <w:proofErr w:type="gramStart"/>
      <w:r>
        <w:rPr>
          <w:i/>
          <w:sz w:val="20"/>
        </w:rPr>
        <w:t>“ Por</w:t>
      </w:r>
      <w:proofErr w:type="gramEnd"/>
      <w:r>
        <w:rPr>
          <w:i/>
          <w:sz w:val="20"/>
        </w:rPr>
        <w:t xml:space="preserve"> averiguado se tiene que, por regla general, la normativa aplicable a los contratos estatales de que trata la Ley 80 de 1993 es aquella que emana de dicho conjunto normativo en armonía con los preceptos comerciales y civiles pertinentes, en otras palabras, se trata de la aplicación del derecho público y privado nacional pertinente según la materia de cada caso. Tal criterio se desprende no solo de lo preceptuado en el inciso primero del artículo 13 de la Ley 80 de 1993</w:t>
      </w:r>
      <w:r>
        <w:rPr>
          <w:i/>
          <w:sz w:val="20"/>
          <w:vertAlign w:val="superscript"/>
        </w:rPr>
        <w:footnoteReference w:id="10"/>
      </w:r>
      <w:r>
        <w:rPr>
          <w:i/>
          <w:sz w:val="20"/>
        </w:rPr>
        <w:t xml:space="preserve">  sino también, de manera general, conforme a la regla de integración normativa de los negocios jurídicos</w:t>
      </w:r>
      <w:r>
        <w:rPr>
          <w:i/>
          <w:sz w:val="20"/>
          <w:vertAlign w:val="superscript"/>
        </w:rPr>
        <w:footnoteReference w:id="11"/>
      </w:r>
      <w:r>
        <w:rPr>
          <w:i/>
          <w:sz w:val="20"/>
        </w:rPr>
        <w:t xml:space="preserve">  que enseña el artículo 38 de la Ley 153 de 1887:  “ En todo contrato se entenderán incorporadas las leyes vigentes al tiempo de </w:t>
      </w:r>
      <w:r>
        <w:rPr>
          <w:i/>
          <w:sz w:val="20"/>
        </w:rPr>
        <w:lastRenderedPageBreak/>
        <w:t>su celebración ( … ) ” y de manera especial del principio de la territorialidad de la Ley cuya regla general se ubica en preceptos tales como el artículo 18 del Código Civil</w:t>
      </w:r>
      <w:r>
        <w:rPr>
          <w:i/>
          <w:sz w:val="20"/>
          <w:vertAlign w:val="superscript"/>
        </w:rPr>
        <w:footnoteReference w:id="12"/>
      </w:r>
      <w:r>
        <w:rPr>
          <w:i/>
          <w:sz w:val="20"/>
        </w:rPr>
        <w:t xml:space="preserve">  y 57 del Código de régimen Político y Municipal (Ley 4º de 1913)</w:t>
      </w:r>
      <w:r>
        <w:rPr>
          <w:i/>
          <w:sz w:val="20"/>
          <w:vertAlign w:val="superscript"/>
        </w:rPr>
        <w:footnoteReference w:id="13"/>
      </w:r>
      <w:r>
        <w:rPr>
          <w:i/>
          <w:sz w:val="20"/>
        </w:rPr>
        <w:t xml:space="preserve">. </w:t>
      </w:r>
    </w:p>
    <w:p w14:paraId="3E9CCEDB" w14:textId="77777777" w:rsidR="00B14520" w:rsidRDefault="0017442F">
      <w:pPr>
        <w:spacing w:after="221" w:line="250" w:lineRule="auto"/>
        <w:ind w:left="562" w:right="41"/>
      </w:pPr>
      <w:r>
        <w:rPr>
          <w:i/>
          <w:sz w:val="20"/>
        </w:rPr>
        <w:t xml:space="preserve">1.2.- Empero, el mismo artículo 13 en comento (y ulteriormente el artículo 20 de la Ley 1150 de 2007) reconoce casos excepcionales donde la normativa aplicable es otra distinta a la del derecho nacional. Se trata de situaciones puntuales donde el régimen jurídico aplicable deviene de acuerdos o tratados internacionales de derecho público suscritos por el Estado Colombiano, del derecho contractual vigente en otro Estado o de las reglamentaciones internas de organismos internacionales multilaterales. </w:t>
      </w:r>
    </w:p>
    <w:p w14:paraId="20B87D6E" w14:textId="77777777" w:rsidR="00B14520" w:rsidRDefault="0017442F">
      <w:pPr>
        <w:spacing w:after="286" w:line="250" w:lineRule="auto"/>
        <w:ind w:left="562" w:right="41"/>
      </w:pPr>
      <w:r>
        <w:rPr>
          <w:i/>
          <w:sz w:val="20"/>
        </w:rPr>
        <w:t>1.3.- Tal cuestión particular no obedece al capricho del legislador sino que encuentra su justificación en las propias exigencias de ajustes normativos derivadas del marco de interacciones económicas propias de un contexto globalizado e imbricado entre Estados y estos con organizaciones o entes internacionales</w:t>
      </w:r>
      <w:r>
        <w:rPr>
          <w:i/>
          <w:sz w:val="20"/>
          <w:vertAlign w:val="superscript"/>
        </w:rPr>
        <w:footnoteReference w:id="14"/>
      </w:r>
      <w:r>
        <w:rPr>
          <w:i/>
          <w:sz w:val="20"/>
        </w:rPr>
        <w:t xml:space="preserve"> , esto es, se trata de “  obvias razones de política económica exterior y de apertura para obtener la colaboración efectiva de los organismos multilaterales de crédito, en un mundo globalizado en donde el concepto de soberanía se ha relativizado, [razón por la cual] el legislador ha dispuesto flexibilizar los mecanismos jurídicos de relacionamiento con estas entidades ( … ) lo anterior sin desconocer los parámetros institucionales, legales y sobre todo los marcos constitucionales del Estado.”</w:t>
      </w:r>
      <w:r>
        <w:rPr>
          <w:i/>
          <w:sz w:val="20"/>
          <w:vertAlign w:val="superscript"/>
        </w:rPr>
        <w:footnoteReference w:id="15"/>
      </w:r>
      <w:r>
        <w:rPr>
          <w:i/>
          <w:sz w:val="20"/>
        </w:rPr>
        <w:t xml:space="preserve">. </w:t>
      </w:r>
    </w:p>
    <w:p w14:paraId="60B09E94" w14:textId="77777777" w:rsidR="00B14520" w:rsidRDefault="0017442F">
      <w:pPr>
        <w:spacing w:after="287"/>
        <w:ind w:left="-15" w:right="41" w:firstLine="709"/>
      </w:pPr>
      <w:r>
        <w:t>Sin embargo, es importante destacar que la aplicación de dichos regímenes es de carácter excepcional y su adopción resulta facultativa por parte de las entidades públicas, en tanto que no es un imperativo que los contratos suscritos bajo las hipótesis objeto de análisis se rijan por un derecho distinto al nacional. Ahora bien, para facilitar el análisis del alcance de las hipótesis de excepción a la aplicación del estatuto general de contratación, esta subdirección sistematizará las causales descritas en los artículos 13 de la Ley 80 de 1993 y 1150 de 2007 de la siguiente manera:</w:t>
      </w:r>
    </w:p>
    <w:p w14:paraId="72C087C0" w14:textId="77777777" w:rsidR="00B14520" w:rsidRDefault="0017442F">
      <w:pPr>
        <w:numPr>
          <w:ilvl w:val="0"/>
          <w:numId w:val="1"/>
        </w:numPr>
        <w:spacing w:after="10"/>
        <w:ind w:right="41" w:hanging="567"/>
      </w:pPr>
      <w:r>
        <w:t>Contratos estatales celebrados en el exterior.</w:t>
      </w:r>
    </w:p>
    <w:p w14:paraId="5F24D7D8" w14:textId="77777777" w:rsidR="00B14520" w:rsidRDefault="0017442F">
      <w:pPr>
        <w:numPr>
          <w:ilvl w:val="0"/>
          <w:numId w:val="1"/>
        </w:numPr>
        <w:spacing w:after="34"/>
        <w:ind w:right="41" w:hanging="567"/>
      </w:pPr>
      <w:r>
        <w:t>Contratos celebrados en territorio colombiano que deben ejecutarse o cumplirse en el extranjero.</w:t>
      </w:r>
    </w:p>
    <w:p w14:paraId="2379667E" w14:textId="77777777" w:rsidR="00B14520" w:rsidRDefault="0017442F">
      <w:pPr>
        <w:numPr>
          <w:ilvl w:val="0"/>
          <w:numId w:val="1"/>
        </w:numPr>
        <w:spacing w:after="219"/>
        <w:ind w:right="41" w:hanging="567"/>
      </w:pPr>
      <w:r>
        <w:t>Contratos con organismos internacionales.</w:t>
      </w:r>
    </w:p>
    <w:p w14:paraId="035DAE45" w14:textId="77777777" w:rsidR="00B14520" w:rsidRDefault="0017442F">
      <w:pPr>
        <w:pStyle w:val="Ttulo3"/>
        <w:ind w:left="705" w:right="0" w:hanging="720"/>
      </w:pPr>
      <w:r>
        <w:lastRenderedPageBreak/>
        <w:t>Contratos estatales celebrados en el exterior</w:t>
      </w:r>
    </w:p>
    <w:p w14:paraId="3BF32CE9" w14:textId="77777777" w:rsidR="00B14520" w:rsidRDefault="0017442F">
      <w:pPr>
        <w:ind w:left="-5" w:right="41"/>
      </w:pPr>
      <w:r>
        <w:t xml:space="preserve">De conformidad con lo establecido en el inciso 1º del artículo 13 y en el inciso 1° del artículo 40 de la Ley 80 de 1993, por lo general la contratación del Estado y de las entidades estatales se sujetan a la legislación interna, razón por la cual dichos actos se encuentran sometidos al régimen jurídico colombiano (arts. 1º, 2º y 4º de la C. P.). </w:t>
      </w:r>
    </w:p>
    <w:p w14:paraId="7B0EC80C" w14:textId="77777777" w:rsidR="00B14520" w:rsidRDefault="0017442F">
      <w:pPr>
        <w:ind w:left="-15" w:right="41" w:firstLine="708"/>
      </w:pPr>
      <w:r>
        <w:t>Sin embargo, la ley prevé la eventualidad de que una entidad que se encuentra sometida al estatuto de contratación estatal requiera la celebración de alguno o algunos de sus contratos en el extranjero. Cuando ello ocurra, la ley autoriza explícitamente la posibilidad de que se de aplicación a la ley extranjera.</w:t>
      </w:r>
    </w:p>
    <w:p w14:paraId="011D79A9" w14:textId="77777777" w:rsidR="00B14520" w:rsidRDefault="0017442F">
      <w:pPr>
        <w:pStyle w:val="Ttulo3"/>
        <w:ind w:left="705" w:right="0" w:hanging="720"/>
      </w:pPr>
      <w:r>
        <w:t>Contratos celebrados en territorio colombiano que deben ejecutarse o cumplirse en el extranjero</w:t>
      </w:r>
    </w:p>
    <w:p w14:paraId="62D10143" w14:textId="77777777" w:rsidR="00B14520" w:rsidRDefault="0017442F">
      <w:pPr>
        <w:spacing w:after="311"/>
        <w:ind w:left="-5" w:right="41"/>
      </w:pPr>
      <w:r>
        <w:t xml:space="preserve">De igual manera, cuando los contratos fueron celebrados en Colombia, pero su ejecución se llevará a cabo en el extranjero, tanto la etapa precontractual como contractual podrá someterse a la ley extranjera, o, en su defecto (a falta de </w:t>
      </w:r>
      <w:proofErr w:type="gramStart"/>
      <w:r>
        <w:t>pacto  expreso</w:t>
      </w:r>
      <w:proofErr w:type="gramEnd"/>
      <w:r>
        <w:t>), se rigen en parte por la ley colombiana (en cuanto a la celebración) y en parte por la extranjera (en cuanto a su ejecución)</w:t>
      </w:r>
      <w:r>
        <w:rPr>
          <w:vertAlign w:val="superscript"/>
        </w:rPr>
        <w:t xml:space="preserve"> </w:t>
      </w:r>
      <w:r>
        <w:rPr>
          <w:vertAlign w:val="superscript"/>
        </w:rPr>
        <w:footnoteReference w:id="16"/>
      </w:r>
      <w:r>
        <w:t>.</w:t>
      </w:r>
    </w:p>
    <w:p w14:paraId="072A6261" w14:textId="77777777" w:rsidR="00B14520" w:rsidRDefault="0017442F">
      <w:pPr>
        <w:pStyle w:val="Ttulo3"/>
        <w:ind w:left="705" w:right="0" w:hanging="720"/>
      </w:pPr>
      <w:r>
        <w:t>Contratación con organismos internacionales</w:t>
      </w:r>
    </w:p>
    <w:p w14:paraId="000CC58F" w14:textId="77777777" w:rsidR="00B14520" w:rsidRDefault="0017442F">
      <w:pPr>
        <w:spacing w:after="112"/>
        <w:ind w:left="-5" w:right="248"/>
      </w:pPr>
      <w:r>
        <w:t xml:space="preserve">En línea con lo sostenido por esta Subdirección en los Conceptos C-374 del 23 de julio de 2020, C-680 del 18 de noviembre de 2020 y C-296 del 22 de junio de 2021, </w:t>
      </w:r>
      <w:proofErr w:type="gramStart"/>
      <w:r>
        <w:t>el  artículo</w:t>
      </w:r>
      <w:proofErr w:type="gramEnd"/>
      <w:r>
        <w:t xml:space="preserve"> 20 de la Ley 1150 de 2007 estableció la posibilidad de que la contratación que lleven a cabo las entidades públicas con los organismos internacionales pueda  someterse a los reglamentos de estos últimos organismos. Sobre este punto cabe destacar que si bien el concepto de organismos internacionales hace referencia a las organizaciones de carácter intergubernamental</w:t>
      </w:r>
      <w:r>
        <w:rPr>
          <w:vertAlign w:val="superscript"/>
        </w:rPr>
        <w:footnoteReference w:id="17"/>
      </w:r>
      <w:r>
        <w:t xml:space="preserve"> , dentro del ámbito de aplicación de la norma también se incluyó la contratación con los </w:t>
      </w:r>
      <w:proofErr w:type="gramStart"/>
      <w:r>
        <w:t>Estados  extranjeros</w:t>
      </w:r>
      <w:proofErr w:type="gramEnd"/>
      <w:r>
        <w:t xml:space="preserve"> y sus correspondientes entidades públicas.</w:t>
      </w:r>
    </w:p>
    <w:p w14:paraId="0503B9C6" w14:textId="77777777" w:rsidR="00B14520" w:rsidRDefault="0017442F">
      <w:pPr>
        <w:ind w:left="-15" w:right="41" w:firstLine="708"/>
      </w:pPr>
      <w:r>
        <w:t>Esta facultad especial encuentra su fundamento en la necesidad y el deber que tiene el Estado Colombiano (art. 9º de la C. P.) de incorporarse al ámbito de la contratación internacional para aprovechar todos sus recursos y disponibilidades financieras y tecnológicas, pero dentro de la regulación general prevista para todos los Estados usuarios.</w:t>
      </w:r>
    </w:p>
    <w:p w14:paraId="7AFA8498" w14:textId="77777777" w:rsidR="00B14520" w:rsidRDefault="0017442F">
      <w:pPr>
        <w:ind w:left="-15" w:right="41" w:firstLine="708"/>
      </w:pPr>
      <w:r>
        <w:t xml:space="preserve">Sin embargo, la regla prescrita en el artículo 20 de la Ley 1150 de 2007, contempla tres categorías distintas, las cuales tienen su génesis </w:t>
      </w:r>
      <w:proofErr w:type="gramStart"/>
      <w:r>
        <w:t xml:space="preserve">en  </w:t>
      </w:r>
      <w:r>
        <w:rPr>
          <w:b/>
        </w:rPr>
        <w:t>i</w:t>
      </w:r>
      <w:proofErr w:type="gramEnd"/>
      <w:r>
        <w:rPr>
          <w:b/>
        </w:rPr>
        <w:t>)</w:t>
      </w:r>
      <w:r>
        <w:t xml:space="preserve"> el origen de los recursos,  </w:t>
      </w:r>
      <w:proofErr w:type="spellStart"/>
      <w:r>
        <w:rPr>
          <w:b/>
        </w:rPr>
        <w:t>ii</w:t>
      </w:r>
      <w:proofErr w:type="spellEnd"/>
      <w:r>
        <w:rPr>
          <w:b/>
        </w:rPr>
        <w:t xml:space="preserve"> )</w:t>
      </w:r>
      <w:r>
        <w:t xml:space="preserve"> el objeto del contrato o  </w:t>
      </w:r>
      <w:proofErr w:type="spellStart"/>
      <w:r>
        <w:rPr>
          <w:b/>
        </w:rPr>
        <w:t>iii</w:t>
      </w:r>
      <w:proofErr w:type="spellEnd"/>
      <w:r>
        <w:rPr>
          <w:b/>
        </w:rPr>
        <w:t xml:space="preserve"> )</w:t>
      </w:r>
      <w:r>
        <w:t xml:space="preserve"> que se trate de contratos con personas de derecho público extranjero. </w:t>
      </w:r>
    </w:p>
    <w:p w14:paraId="77BDB465" w14:textId="77777777" w:rsidR="00B14520" w:rsidRDefault="0017442F">
      <w:pPr>
        <w:spacing w:after="283"/>
        <w:ind w:left="-15" w:right="41" w:firstLine="708"/>
      </w:pPr>
      <w:r>
        <w:lastRenderedPageBreak/>
        <w:t>El anterior condicionamiento, se debe a la mala práctica en que incurrieron algunas entidades del Estado, que celebraron convenios con organismos de derecho internacional sin que en su objeto hubiera ánimo de colaboración, ayuda o financiación en favor de las entidades públicas colombianas. Bajo el ropaje de esta tipología contractual, las entidades públicas entregaban su presupuesto anual a los organismos internacionales para que lo administraran aplicando las normas de contratación extranjeras, en muchos casos bastante flexibles y de esta forma eludir el régimen de contratación pública.</w:t>
      </w:r>
    </w:p>
    <w:p w14:paraId="43BE7429" w14:textId="77777777" w:rsidR="00B14520" w:rsidRDefault="0017442F">
      <w:pPr>
        <w:ind w:left="-15" w:right="41" w:firstLine="708"/>
      </w:pPr>
      <w:r>
        <w:t>Realizadas las anteriores precisiones, esta subdirección procederá</w:t>
      </w:r>
      <w:r>
        <w:rPr>
          <w:sz w:val="24"/>
        </w:rPr>
        <w:t xml:space="preserve"> </w:t>
      </w:r>
      <w:r>
        <w:t xml:space="preserve"> </w:t>
      </w:r>
      <w:r>
        <w:rPr>
          <w:sz w:val="24"/>
        </w:rPr>
        <w:t xml:space="preserve"> </w:t>
      </w:r>
      <w:r>
        <w:t>a analizar las tres hipótesis de contratación contempladas en el artículo 20 de la Ley 1150 de 2007.</w:t>
      </w:r>
    </w:p>
    <w:p w14:paraId="7C7B3144" w14:textId="77777777" w:rsidR="00B14520" w:rsidRDefault="0017442F">
      <w:pPr>
        <w:pStyle w:val="Ttulo4"/>
        <w:spacing w:after="122"/>
        <w:ind w:left="1065" w:right="0" w:hanging="1080"/>
      </w:pPr>
      <w:r>
        <w:t xml:space="preserve">Origen de los recursos </w:t>
      </w:r>
    </w:p>
    <w:p w14:paraId="1D1DFEE2" w14:textId="77777777" w:rsidR="00B14520" w:rsidRDefault="0017442F">
      <w:pPr>
        <w:ind w:left="-5" w:right="41"/>
      </w:pPr>
      <w:r>
        <w:t xml:space="preserve">El inciso primero del artículo 20 de la Ley 1150 de 2007, establece que los contratos o convenios financiados en su totalidad o en sumas iguales o superiores al cincuenta por ciento (50%) con fondos de los organismos de cooperación, asistencia o ayudas </w:t>
      </w:r>
    </w:p>
    <w:p w14:paraId="22C7DD46" w14:textId="77777777" w:rsidR="00B14520" w:rsidRDefault="00B14520">
      <w:pPr>
        <w:sectPr w:rsidR="00B14520">
          <w:footerReference w:type="even" r:id="rId23"/>
          <w:footerReference w:type="default" r:id="rId24"/>
          <w:footerReference w:type="first" r:id="rId25"/>
          <w:pgSz w:w="11900" w:h="16820"/>
          <w:pgMar w:top="1417" w:right="1640" w:bottom="2235" w:left="1701" w:header="720" w:footer="840" w:gutter="0"/>
          <w:cols w:space="720"/>
          <w:titlePg/>
        </w:sectPr>
      </w:pPr>
    </w:p>
    <w:p w14:paraId="6880909B" w14:textId="77777777" w:rsidR="00B14520" w:rsidRDefault="0017442F">
      <w:pPr>
        <w:spacing w:after="0"/>
        <w:ind w:left="-5" w:right="41"/>
      </w:pPr>
      <w:r>
        <w:lastRenderedPageBreak/>
        <w:t>internacionales, podrán someterse a los reglamentos de tales entidades. Respecto al alcance de esta tipología de contratos, la Sala de Consulta y Servicio Civil en concepto No 11001-03-06-000-2018-00129-00(2389) del 25 de septiembre de 2018, resaltó las principales características en el siguiente sentido:</w:t>
      </w:r>
    </w:p>
    <w:p w14:paraId="273883C5" w14:textId="77777777" w:rsidR="00B14520" w:rsidRDefault="0017442F">
      <w:pPr>
        <w:spacing w:after="0" w:line="259" w:lineRule="auto"/>
        <w:ind w:left="0" w:firstLine="0"/>
        <w:jc w:val="left"/>
      </w:pPr>
      <w:r>
        <w:t xml:space="preserve"> </w:t>
      </w:r>
    </w:p>
    <w:p w14:paraId="3E23E0E7" w14:textId="77777777" w:rsidR="00B14520" w:rsidRDefault="0017442F">
      <w:pPr>
        <w:spacing w:after="274" w:line="250" w:lineRule="auto"/>
        <w:ind w:left="562" w:right="41"/>
      </w:pPr>
      <w:proofErr w:type="gramStart"/>
      <w:r>
        <w:rPr>
          <w:b/>
          <w:i/>
          <w:sz w:val="20"/>
        </w:rPr>
        <w:t>“ i</w:t>
      </w:r>
      <w:proofErr w:type="gramEnd"/>
      <w:r>
        <w:rPr>
          <w:b/>
          <w:i/>
          <w:sz w:val="20"/>
        </w:rPr>
        <w:t>)</w:t>
      </w:r>
      <w:r>
        <w:rPr>
          <w:i/>
          <w:sz w:val="20"/>
        </w:rPr>
        <w:t xml:space="preserve"> De acuerdo con lo previsto en el art. 20 de la Ley 1150 de 2007, los contratos financiados con recursos provenientes de organismos multilaterales de crédito pueden someterse a los reglamentos de tales organismos. </w:t>
      </w:r>
    </w:p>
    <w:p w14:paraId="0177CA93" w14:textId="77777777" w:rsidR="00B14520" w:rsidRDefault="0017442F">
      <w:pPr>
        <w:spacing w:after="274" w:line="250" w:lineRule="auto"/>
        <w:ind w:left="562" w:right="41"/>
      </w:pPr>
      <w:r>
        <w:rPr>
          <w:i/>
          <w:sz w:val="20"/>
        </w:rPr>
        <w:t xml:space="preserve">De ser así, </w:t>
      </w:r>
      <w:proofErr w:type="gramStart"/>
      <w:r>
        <w:rPr>
          <w:i/>
          <w:sz w:val="20"/>
        </w:rPr>
        <w:t>el  Estatuto</w:t>
      </w:r>
      <w:proofErr w:type="gramEnd"/>
      <w:r>
        <w:rPr>
          <w:i/>
          <w:sz w:val="20"/>
        </w:rPr>
        <w:t xml:space="preserve"> de Contratación Pública no será aplicable a los procesos de selección, a la celebración y a la ejecución de estos contratos, a  menos que los reglamentos de tales organismos se remitan a las normas de contratación pública nacional, o guarden silencio respecto a determinados aspectos del proceso contractual o de su ejecución. En este último caso, el Estatuto General de Contratación Pública será aplicable de manera supletiva.    </w:t>
      </w:r>
    </w:p>
    <w:p w14:paraId="6BA315E8" w14:textId="77777777" w:rsidR="00B14520" w:rsidRDefault="0017442F">
      <w:pPr>
        <w:numPr>
          <w:ilvl w:val="0"/>
          <w:numId w:val="2"/>
        </w:numPr>
        <w:spacing w:after="274" w:line="250" w:lineRule="auto"/>
        <w:ind w:right="41"/>
      </w:pPr>
      <w:r>
        <w:rPr>
          <w:b/>
          <w:i/>
          <w:sz w:val="20"/>
        </w:rPr>
        <w:t>)</w:t>
      </w:r>
      <w:r>
        <w:rPr>
          <w:i/>
          <w:sz w:val="20"/>
        </w:rPr>
        <w:t xml:space="preserve"> Es importante destacar que la posibilidad de inaplicar las normas nacionales de contratación pública a los contratos financiados con recursos provenientes de organismos multilaterales de crédito es de naturaleza excepcional y, por lo tanto, de aplicación restrictiva.</w:t>
      </w:r>
    </w:p>
    <w:p w14:paraId="6A8C6170" w14:textId="77777777" w:rsidR="00B14520" w:rsidRDefault="0017442F">
      <w:pPr>
        <w:spacing w:after="274" w:line="250" w:lineRule="auto"/>
        <w:ind w:left="562" w:right="41"/>
      </w:pPr>
      <w:r>
        <w:rPr>
          <w:i/>
          <w:sz w:val="20"/>
        </w:rPr>
        <w:t>Además, dicha posibilidad no se extiende a las normas del régimen presupuestal contenido en la Constitución Política, en el Estatuto Orgánico del Presupuesto y en sus demás normas reglamentarias. Este régimen es diferente del consagrado para los contratos estatales regulados por la Ley 80 de 1993 o por los reglamentos de los organismos multilaterales de crédito, aunque se encuentren relacionados e incluso en condición de complementariedad.</w:t>
      </w:r>
    </w:p>
    <w:p w14:paraId="2682EA51" w14:textId="77777777" w:rsidR="00B14520" w:rsidRDefault="0017442F">
      <w:pPr>
        <w:spacing w:after="274" w:line="250" w:lineRule="auto"/>
        <w:ind w:left="562" w:right="41"/>
      </w:pPr>
      <w:r>
        <w:rPr>
          <w:i/>
          <w:sz w:val="20"/>
        </w:rPr>
        <w:t xml:space="preserve">Por lo tanto, si bien los contratos financiados con recursos provenientes de organismos multilaterales de crédito pueden someterse a los reglamentos de tales entidades, permanecen sujetos a los principios y reglas del régimen presupuestal colombiano.  </w:t>
      </w:r>
    </w:p>
    <w:p w14:paraId="0763FD18" w14:textId="77777777" w:rsidR="00B14520" w:rsidRDefault="0017442F">
      <w:pPr>
        <w:numPr>
          <w:ilvl w:val="0"/>
          <w:numId w:val="2"/>
        </w:numPr>
        <w:spacing w:after="274" w:line="250" w:lineRule="auto"/>
        <w:ind w:right="41"/>
      </w:pPr>
      <w:proofErr w:type="gramStart"/>
      <w:r>
        <w:rPr>
          <w:b/>
          <w:i/>
          <w:sz w:val="20"/>
        </w:rPr>
        <w:t xml:space="preserve">)  </w:t>
      </w:r>
      <w:r>
        <w:rPr>
          <w:i/>
          <w:sz w:val="20"/>
        </w:rPr>
        <w:t>De</w:t>
      </w:r>
      <w:proofErr w:type="gramEnd"/>
      <w:r>
        <w:rPr>
          <w:i/>
          <w:sz w:val="20"/>
        </w:rPr>
        <w:t xml:space="preserve"> conformidad con lo expuesto, al procedimiento administrativo contractual y al respectivo contrato financiado con recursos provenientes de organismos multilaterales de crédito, y sometidos a los reglamentos de tales organismos, les resulta inaplicable por regla general el Estatuto General de la Contratación Pública. Sin embargo, estarán sometidos al Estatuto Orgánico del presupuesto y, entre otras obligaciones, a la </w:t>
      </w:r>
      <w:proofErr w:type="gramStart"/>
      <w:r>
        <w:rPr>
          <w:i/>
          <w:sz w:val="20"/>
        </w:rPr>
        <w:t>obtener  el</w:t>
      </w:r>
      <w:proofErr w:type="gramEnd"/>
      <w:r>
        <w:rPr>
          <w:i/>
          <w:sz w:val="20"/>
        </w:rPr>
        <w:t xml:space="preserve"> certificado de disponibilidad presupuestal, en cumplimiento del régimen presupuestal analizado en este concepto. </w:t>
      </w:r>
    </w:p>
    <w:p w14:paraId="21F14921" w14:textId="77777777" w:rsidR="00B14520" w:rsidRDefault="0017442F">
      <w:pPr>
        <w:spacing w:after="263" w:line="250" w:lineRule="auto"/>
        <w:ind w:left="562" w:right="41"/>
      </w:pPr>
      <w:r>
        <w:rPr>
          <w:i/>
          <w:sz w:val="20"/>
        </w:rPr>
        <w:t xml:space="preserve">Ahora bien, en cuanto a la oportunidad para </w:t>
      </w:r>
      <w:proofErr w:type="gramStart"/>
      <w:r>
        <w:rPr>
          <w:i/>
          <w:sz w:val="20"/>
        </w:rPr>
        <w:t>expedir  el</w:t>
      </w:r>
      <w:proofErr w:type="gramEnd"/>
      <w:r>
        <w:rPr>
          <w:i/>
          <w:sz w:val="20"/>
        </w:rPr>
        <w:t xml:space="preserve"> certificado de disponibilidad, tanto el EOP, en su art. 71, como el art. 25 de la Ley 80 de 1993, consagran que este certificado debe expedirse en forma previa a la expedición del acto administrativo que afecte la apropiación presupuestal, como pueden ser los actos expedidos al inicio del proceso de contratación”.</w:t>
      </w:r>
    </w:p>
    <w:p w14:paraId="408F2E6F" w14:textId="77777777" w:rsidR="00B14520" w:rsidRDefault="0017442F">
      <w:pPr>
        <w:ind w:left="-15" w:right="41" w:firstLine="567"/>
      </w:pPr>
      <w:r>
        <w:t>Es importante recordar que la regla transcrita fue originalmente contemplada por el derogado art. 13, numeral 4 de la Ley 80 de 1993</w:t>
      </w:r>
      <w:r>
        <w:rPr>
          <w:vertAlign w:val="superscript"/>
        </w:rPr>
        <w:footnoteReference w:id="18"/>
      </w:r>
      <w:r>
        <w:t xml:space="preserve"> , el cual fue objeto de análisis por parte de la Corte Constitucional en la sentencia C-249 de 2004 y en la que enfatizó  que este precepto sólo podía ser aplicado por la Administración Pública cuando los ingresos </w:t>
      </w:r>
      <w:r>
        <w:lastRenderedPageBreak/>
        <w:t xml:space="preserve">o fondos provengan de empréstitos o donaciones de organismos internacionales, lo que lo hace enteramente improcedente cuando se trata de recursos que se encuentran en el presupuesto general de la Nación o de los entes territoriales. </w:t>
      </w:r>
    </w:p>
    <w:p w14:paraId="4FF5420C" w14:textId="77777777" w:rsidR="00B14520" w:rsidRDefault="0017442F">
      <w:pPr>
        <w:ind w:left="-15" w:right="41" w:firstLine="709"/>
      </w:pPr>
      <w:r>
        <w:t xml:space="preserve">En estos términos la regla de interpretación que fijó la Corte Constitucional en la Sentencia </w:t>
      </w:r>
      <w:proofErr w:type="gramStart"/>
      <w:r>
        <w:t>en  comento</w:t>
      </w:r>
      <w:proofErr w:type="gramEnd"/>
      <w:r>
        <w:t xml:space="preserve">, es clara, al señalar que siempre que se esté en presencia de  contratos que se financian con recursos que provengan del organismo internacional, es viable optar por la aplicación de los reglamentos de tales entidades internacionales. </w:t>
      </w:r>
      <w:r>
        <w:rPr>
          <w:i/>
        </w:rPr>
        <w:t xml:space="preserve"> Contrario </w:t>
      </w:r>
      <w:proofErr w:type="gramStart"/>
      <w:r>
        <w:rPr>
          <w:i/>
        </w:rPr>
        <w:t>sensu</w:t>
      </w:r>
      <w:r>
        <w:t>,</w:t>
      </w:r>
      <w:r>
        <w:rPr>
          <w:i/>
        </w:rPr>
        <w:t xml:space="preserve"> </w:t>
      </w:r>
      <w:r>
        <w:t xml:space="preserve"> cuando</w:t>
      </w:r>
      <w:proofErr w:type="gramEnd"/>
      <w:r>
        <w:t xml:space="preserve"> se trate de contratos que se financian con recursos del presupuesto general de la nación, se deberá aplicar el Estatuto General de Contratación Pública.</w:t>
      </w:r>
    </w:p>
    <w:p w14:paraId="0EF3AB84" w14:textId="77777777" w:rsidR="00B14520" w:rsidRDefault="0017442F">
      <w:pPr>
        <w:ind w:left="-15" w:right="41" w:firstLine="709"/>
      </w:pPr>
      <w:r>
        <w:t>Aunado a lo anterior, cabe destacar que el inciso segundo del citado artículo 20 de la Ley 1150 fue reglamentado por el Decreto 1082 de 2015, el cual dispone:</w:t>
      </w:r>
    </w:p>
    <w:p w14:paraId="3507A2AC" w14:textId="77777777" w:rsidR="00B14520" w:rsidRDefault="0017442F">
      <w:pPr>
        <w:spacing w:after="0" w:line="250" w:lineRule="auto"/>
        <w:ind w:left="730" w:right="41"/>
      </w:pPr>
      <w:proofErr w:type="gramStart"/>
      <w:r>
        <w:rPr>
          <w:i/>
          <w:sz w:val="20"/>
        </w:rPr>
        <w:t>“ Artículo</w:t>
      </w:r>
      <w:proofErr w:type="gramEnd"/>
      <w:r>
        <w:rPr>
          <w:i/>
          <w:sz w:val="20"/>
        </w:rPr>
        <w:t xml:space="preserve"> 2.2.1.2.4.4.1. Régimen aplicable a los contratos o convenios de cooperación Internacional. 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14:paraId="00F87169" w14:textId="77777777" w:rsidR="00B14520" w:rsidRDefault="0017442F">
      <w:pPr>
        <w:spacing w:after="0" w:line="259" w:lineRule="auto"/>
        <w:ind w:left="720" w:firstLine="0"/>
        <w:jc w:val="left"/>
      </w:pPr>
      <w:r>
        <w:rPr>
          <w:i/>
          <w:sz w:val="20"/>
        </w:rPr>
        <w:t xml:space="preserve"> </w:t>
      </w:r>
    </w:p>
    <w:p w14:paraId="56238337" w14:textId="77777777" w:rsidR="00B14520" w:rsidRDefault="0017442F">
      <w:pPr>
        <w:spacing w:after="221" w:line="250" w:lineRule="auto"/>
        <w:ind w:left="730" w:right="41"/>
      </w:pPr>
      <w:r>
        <w:rPr>
          <w:i/>
          <w:sz w:val="20"/>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p>
    <w:p w14:paraId="2B6DA60E" w14:textId="77777777" w:rsidR="00B14520" w:rsidRDefault="0017442F">
      <w:pPr>
        <w:spacing w:after="221" w:line="250" w:lineRule="auto"/>
        <w:ind w:left="730" w:right="41"/>
      </w:pPr>
      <w:r>
        <w:rPr>
          <w:i/>
          <w:sz w:val="20"/>
        </w:rPr>
        <w:t>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14:paraId="28883A8F" w14:textId="77777777" w:rsidR="00B14520" w:rsidRDefault="0017442F">
      <w:pPr>
        <w:spacing w:after="221" w:line="250" w:lineRule="auto"/>
        <w:ind w:left="730" w:right="41"/>
      </w:pPr>
      <w:r>
        <w:rPr>
          <w:i/>
          <w:sz w:val="20"/>
        </w:rPr>
        <w:t>Los recursos generados en desarrollo de los contratos o convenios financiados con fondos de los organismos de cooperación, asistencia o ayudas internacionales no deben ser tenidos en cuenta para determinar los porcentajes de los aportes de las partes.</w:t>
      </w:r>
    </w:p>
    <w:p w14:paraId="0D3B40C4" w14:textId="77777777" w:rsidR="00B14520" w:rsidRDefault="0017442F">
      <w:pPr>
        <w:spacing w:after="221" w:line="250" w:lineRule="auto"/>
        <w:ind w:left="730" w:right="41"/>
      </w:pPr>
      <w:r>
        <w:rPr>
          <w:i/>
          <w:sz w:val="20"/>
        </w:rPr>
        <w:t xml:space="preserve">Los contratos o convenios financiados con fondos de los organismos multilaterales de crédito, entes gubernamentales extranjeros o personas extranjeras de derecho público, así como aquellos a los que se refiere el inciso 2 del artículo 20 de la Ley 1150 de 2007,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 Ley 1150 de 2007. </w:t>
      </w:r>
    </w:p>
    <w:p w14:paraId="35305740" w14:textId="77777777" w:rsidR="00B14520" w:rsidRDefault="0017442F">
      <w:pPr>
        <w:spacing w:after="221" w:line="250" w:lineRule="auto"/>
        <w:ind w:left="730" w:right="41"/>
      </w:pPr>
      <w:r>
        <w:rPr>
          <w:i/>
          <w:sz w:val="20"/>
        </w:rPr>
        <w:t>Los contratos con personas extranjeras de derecho público se deben celebrar y ejecutar según se acuerde entre las partes”.</w:t>
      </w:r>
    </w:p>
    <w:p w14:paraId="1A9006FF" w14:textId="77777777" w:rsidR="00B14520" w:rsidRDefault="0017442F">
      <w:pPr>
        <w:spacing w:after="288"/>
        <w:ind w:left="-15" w:right="41" w:firstLine="708"/>
      </w:pPr>
      <w:r>
        <w:lastRenderedPageBreak/>
        <w:t xml:space="preserve">De conformidad con lo expuesto, se concluye </w:t>
      </w:r>
      <w:proofErr w:type="gramStart"/>
      <w:r>
        <w:t>que  los</w:t>
      </w:r>
      <w:proofErr w:type="gramEnd"/>
      <w:r>
        <w:t xml:space="preserve"> contratos o convenios que son financiados en su totalidad o en sumas iguales o superiores al cincuenta por ciento con fondos de los organismos de cooperación, asistencia o ayudas internacionales, pueden someterse a los reglamentos de tales entidades y en consecuencia sustraerse de la aplicación de las normas nacionales. Sin embargo, es importante destacar que dicha posibilidad es de naturaleza excepcional y, por tanto, de aplicación restrictiva.</w:t>
      </w:r>
    </w:p>
    <w:p w14:paraId="226928D3" w14:textId="77777777" w:rsidR="00B14520" w:rsidRDefault="0017442F">
      <w:pPr>
        <w:pStyle w:val="Ttulo4"/>
        <w:ind w:left="1065" w:right="0" w:hanging="1080"/>
      </w:pPr>
      <w:r>
        <w:t xml:space="preserve">Objeto del contrato </w:t>
      </w:r>
    </w:p>
    <w:p w14:paraId="374FE55E" w14:textId="77777777" w:rsidR="00B14520" w:rsidRDefault="0017442F">
      <w:pPr>
        <w:spacing w:after="154"/>
        <w:ind w:left="-5" w:right="248"/>
      </w:pPr>
      <w:r>
        <w:t xml:space="preserve">Por su parte, en el inciso segundo del artículo 20 de la Ley 1150 de 2007, </w:t>
      </w:r>
      <w:proofErr w:type="gramStart"/>
      <w:r>
        <w:t>se</w:t>
      </w:r>
      <w:r>
        <w:rPr>
          <w:b/>
        </w:rPr>
        <w:t xml:space="preserve">  </w:t>
      </w:r>
      <w:r>
        <w:t>contempla</w:t>
      </w:r>
      <w:proofErr w:type="gramEnd"/>
      <w:r>
        <w:t xml:space="preserve"> una segunda hipótesis de remisión a los  reglamentos de los órganos internacionales, pero condicionado a que el objeto del contrato se encuentre enmarcado en alguno de los siguientes supuestos:</w:t>
      </w:r>
    </w:p>
    <w:p w14:paraId="0F1F2244" w14:textId="77777777" w:rsidR="00B14520" w:rsidRDefault="0017442F">
      <w:pPr>
        <w:numPr>
          <w:ilvl w:val="0"/>
          <w:numId w:val="3"/>
        </w:numPr>
        <w:spacing w:after="287"/>
        <w:ind w:right="41" w:hanging="360"/>
      </w:pPr>
      <w:r>
        <w:t xml:space="preserve">Contratos o convenios celebrados con personas extranjeras de derecho público u organismos de derecho internacional cuyo objeto sea el desarrollo de programas de promoción, prevención y atención en salud. </w:t>
      </w:r>
    </w:p>
    <w:p w14:paraId="38723962" w14:textId="77777777" w:rsidR="00B14520" w:rsidRDefault="0017442F">
      <w:pPr>
        <w:numPr>
          <w:ilvl w:val="0"/>
          <w:numId w:val="3"/>
        </w:numPr>
        <w:ind w:right="41" w:hanging="360"/>
      </w:pPr>
      <w:r>
        <w:t xml:space="preserve">Contratos y convenios necesarios para la operación de la OIT. </w:t>
      </w:r>
    </w:p>
    <w:p w14:paraId="111044AA" w14:textId="77777777" w:rsidR="00B14520" w:rsidRDefault="0017442F">
      <w:pPr>
        <w:numPr>
          <w:ilvl w:val="0"/>
          <w:numId w:val="3"/>
        </w:numPr>
        <w:spacing w:after="287"/>
        <w:ind w:right="41" w:hanging="360"/>
      </w:pPr>
      <w:r>
        <w:t xml:space="preserve">Contratos y convenios que se ejecuten en desarrollo del sistema integrado de monitoreo de cultivos ilícitos. </w:t>
      </w:r>
    </w:p>
    <w:p w14:paraId="3826DBFD" w14:textId="77777777" w:rsidR="00B14520" w:rsidRDefault="0017442F">
      <w:pPr>
        <w:numPr>
          <w:ilvl w:val="0"/>
          <w:numId w:val="3"/>
        </w:numPr>
        <w:ind w:right="41" w:hanging="360"/>
      </w:pPr>
      <w:r>
        <w:t>Contratos y convenios para la operación del programa mundial de alimentos.</w:t>
      </w:r>
    </w:p>
    <w:p w14:paraId="45D25586" w14:textId="77777777" w:rsidR="00B14520" w:rsidRDefault="0017442F">
      <w:pPr>
        <w:numPr>
          <w:ilvl w:val="0"/>
          <w:numId w:val="3"/>
        </w:numPr>
        <w:ind w:right="41" w:hanging="360"/>
      </w:pPr>
      <w:r>
        <w:t xml:space="preserve">Contratos y convenios para el desarrollo de programas de apoyo educativo a población desplazada y vulnerable adelantados por la Unesco y la OIM. </w:t>
      </w:r>
    </w:p>
    <w:p w14:paraId="3127BCA3" w14:textId="77777777" w:rsidR="00B14520" w:rsidRDefault="0017442F">
      <w:pPr>
        <w:spacing w:after="435"/>
        <w:ind w:left="-15" w:right="41" w:firstLine="709"/>
      </w:pPr>
      <w:r>
        <w:t xml:space="preserve">Respecto a esta hipótesis, la Subsección C de la Sección Tercera del Consejo de Estado, mediante sentencia de 12 de junio de 2014, </w:t>
      </w:r>
      <w:proofErr w:type="gramStart"/>
      <w:r>
        <w:t>radicación  13001</w:t>
      </w:r>
      <w:proofErr w:type="gramEnd"/>
      <w:r>
        <w:t>-23-31-000- 1999-00275-01(28279), aclaró:</w:t>
      </w:r>
    </w:p>
    <w:p w14:paraId="5C7C9394" w14:textId="77777777" w:rsidR="00B14520" w:rsidRDefault="0017442F">
      <w:pPr>
        <w:spacing w:after="221" w:line="250" w:lineRule="auto"/>
        <w:ind w:left="562" w:right="41"/>
      </w:pPr>
      <w:proofErr w:type="gramStart"/>
      <w:r>
        <w:rPr>
          <w:i/>
          <w:sz w:val="20"/>
        </w:rPr>
        <w:t>“ El</w:t>
      </w:r>
      <w:proofErr w:type="gramEnd"/>
      <w:r>
        <w:rPr>
          <w:i/>
          <w:sz w:val="20"/>
        </w:rPr>
        <w:t xml:space="preserve"> artículo 20 también distinguió los sujetos y los negocios jurídicos a que se refirió el inciso derogado del artículo 13 de la Ley 80. En ese orden, en el inciso segundo señaló que los convenios o contratos celebrados por personas extranjeras de derecho público o por organismos de derecho internacional,  “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 pueden acogerse a los regímenes de dichos entes, no obstante, en este inciso no se impuso el límite de financiación, establecido para la contratación de organismos de cooperación, asistencia o ayudas internacionales:</w:t>
      </w:r>
    </w:p>
    <w:p w14:paraId="323670DB" w14:textId="77777777" w:rsidR="00B14520" w:rsidRDefault="0017442F">
      <w:pPr>
        <w:spacing w:after="221" w:line="250" w:lineRule="auto"/>
        <w:ind w:left="562" w:right="41"/>
      </w:pPr>
      <w:r>
        <w:rPr>
          <w:i/>
          <w:sz w:val="20"/>
        </w:rPr>
        <w:t>(…)</w:t>
      </w:r>
    </w:p>
    <w:p w14:paraId="6D943E19" w14:textId="77777777" w:rsidR="00B14520" w:rsidRDefault="0017442F">
      <w:pPr>
        <w:spacing w:after="221" w:line="250" w:lineRule="auto"/>
        <w:ind w:left="562" w:right="41"/>
      </w:pPr>
      <w:r>
        <w:rPr>
          <w:i/>
          <w:sz w:val="20"/>
        </w:rPr>
        <w:t xml:space="preserve">Esta norma, recogiendo la historia, la filosofía del Decreto 2170 de 2002 y la sentencia C- 249 de 2003, señaló que las entidades no podían celebrar </w:t>
      </w:r>
      <w:proofErr w:type="gramStart"/>
      <w:r>
        <w:rPr>
          <w:i/>
          <w:sz w:val="20"/>
        </w:rPr>
        <w:t>“  contratos</w:t>
      </w:r>
      <w:proofErr w:type="gramEnd"/>
      <w:r>
        <w:rPr>
          <w:i/>
          <w:sz w:val="20"/>
        </w:rPr>
        <w:t xml:space="preserve"> de administración de recursos ” con organismos de cooperación, asistencia o ayuda internacional, sin </w:t>
      </w:r>
      <w:r>
        <w:rPr>
          <w:i/>
          <w:sz w:val="20"/>
        </w:rPr>
        <w:lastRenderedPageBreak/>
        <w:t>embargo, en esta oportunidad también distinguió los sujetos a los que no dio un trato diferenciado el inciso 4 del artículo 13 de la Ley 80:</w:t>
      </w:r>
    </w:p>
    <w:p w14:paraId="6B1F3C4A" w14:textId="77777777" w:rsidR="00B14520" w:rsidRDefault="0017442F">
      <w:pPr>
        <w:spacing w:after="221" w:line="250" w:lineRule="auto"/>
        <w:ind w:left="562" w:right="41"/>
      </w:pPr>
      <w:r>
        <w:rPr>
          <w:i/>
          <w:sz w:val="20"/>
        </w:rPr>
        <w:t>(…)</w:t>
      </w:r>
    </w:p>
    <w:p w14:paraId="2858E2CA" w14:textId="77777777" w:rsidR="00B14520" w:rsidRDefault="0017442F">
      <w:pPr>
        <w:spacing w:after="286" w:line="250" w:lineRule="auto"/>
        <w:ind w:left="562" w:right="41"/>
      </w:pPr>
      <w:r>
        <w:rPr>
          <w:i/>
          <w:sz w:val="20"/>
        </w:rPr>
        <w:t xml:space="preserve">En este contexto normativo y jurisprudencial, se concluye que los contratos celebrados por las entidades estatales con organismos de cooperación, ayuda o asistencia, incluso con organismos de derecho público internacional, </w:t>
      </w:r>
      <w:proofErr w:type="gramStart"/>
      <w:r>
        <w:rPr>
          <w:i/>
          <w:sz w:val="20"/>
        </w:rPr>
        <w:t>son  válidos</w:t>
      </w:r>
      <w:proofErr w:type="gramEnd"/>
      <w:r>
        <w:rPr>
          <w:i/>
          <w:sz w:val="20"/>
        </w:rPr>
        <w:t xml:space="preserve"> pero tiene limitaciones cuando se aprovecha la posibilidad de someter los contratos que desarrollen esos convenios a las normas contractuales de esos organismos”.</w:t>
      </w:r>
    </w:p>
    <w:p w14:paraId="75011541" w14:textId="77777777" w:rsidR="00B14520" w:rsidRDefault="0017442F">
      <w:pPr>
        <w:ind w:left="-15" w:right="41" w:firstLine="567"/>
      </w:pPr>
      <w:r>
        <w:t>Por tanto, se concluye que los contratos que suscriban las entidades estatales con personas extranjeras de derecho público u organismos de derecho internacional, cuyo objeto se encuentre enmarcado en cualquiera de las hipótesis descritas, podrán someterse a los reglamentos de dichos órganos internacionales. Igualmente, bajo ningún escenario, las entidades públicas podrán celebrar contratos o convenios para la administración o gerencia de sus recursos propios o de aquellos que les asignen los presupuestos públicos, con organismos de cooperación, asistencia o ayuda internacional.</w:t>
      </w:r>
    </w:p>
    <w:p w14:paraId="45994F75" w14:textId="77777777" w:rsidR="00B14520" w:rsidRDefault="0017442F">
      <w:pPr>
        <w:pStyle w:val="Ttulo4"/>
        <w:ind w:left="1065" w:right="0" w:hanging="1080"/>
      </w:pPr>
      <w:r>
        <w:t xml:space="preserve">Contratos con personas extranjeras de derecho público </w:t>
      </w:r>
    </w:p>
    <w:p w14:paraId="258A0443" w14:textId="77777777" w:rsidR="00B14520" w:rsidRDefault="0017442F">
      <w:pPr>
        <w:spacing w:after="518"/>
        <w:ind w:left="-5" w:right="41"/>
      </w:pPr>
      <w:r>
        <w:t>El parágrafo primero del artículo 20 de la Ley 1150 de 2007 contempla la posibilidad de que los contratos que suscriban las entidades públicas con personas extranjeras de derecho público puedan someterse a los reglamentos de estas últimas personas, entendiendo personas extranjeras de derecho público como los Estados y sus correspondientes entidades públicas.</w:t>
      </w:r>
    </w:p>
    <w:p w14:paraId="3AD24021" w14:textId="77777777" w:rsidR="00B14520" w:rsidRDefault="0017442F">
      <w:pPr>
        <w:spacing w:after="244" w:line="250" w:lineRule="auto"/>
        <w:ind w:left="705" w:hanging="720"/>
        <w:jc w:val="left"/>
      </w:pPr>
      <w:r>
        <w:rPr>
          <w:b/>
        </w:rPr>
        <w:t xml:space="preserve">2.3. Alcance de la restricción del artículo 33 de la ley 996 de 2005 para los contratos financiados con recursos de organismos de crédito. </w:t>
      </w:r>
    </w:p>
    <w:p w14:paraId="2EF2F7E6" w14:textId="77777777" w:rsidR="00B14520" w:rsidRDefault="0017442F">
      <w:pPr>
        <w:spacing w:after="287"/>
        <w:ind w:left="-5" w:right="41"/>
      </w:pPr>
      <w:r>
        <w:t>De lo expuesto en los numerales precedentes de este concepto, resulta claro que el legislador prohibió a las Entidades Públicas contratar de manera directa dentro de cuatro (4) meses anteriores a la celebración de las elecciones presidenciales, salvo en los siguientes supuestos:</w:t>
      </w:r>
    </w:p>
    <w:p w14:paraId="3A1CF817" w14:textId="77777777" w:rsidR="00B14520" w:rsidRDefault="0017442F">
      <w:pPr>
        <w:numPr>
          <w:ilvl w:val="0"/>
          <w:numId w:val="4"/>
        </w:numPr>
        <w:spacing w:after="10"/>
        <w:ind w:right="41" w:hanging="360"/>
      </w:pPr>
      <w:r>
        <w:t xml:space="preserve">Defensa y seguridad del Estado, </w:t>
      </w:r>
    </w:p>
    <w:p w14:paraId="0466536A" w14:textId="77777777" w:rsidR="00B14520" w:rsidRDefault="0017442F">
      <w:pPr>
        <w:numPr>
          <w:ilvl w:val="0"/>
          <w:numId w:val="4"/>
        </w:numPr>
        <w:spacing w:after="10"/>
        <w:ind w:right="41" w:hanging="360"/>
      </w:pPr>
      <w:r>
        <w:t>Los contratos de crédito público,</w:t>
      </w:r>
    </w:p>
    <w:p w14:paraId="649AC0CE" w14:textId="77777777" w:rsidR="00B14520" w:rsidRDefault="0017442F">
      <w:pPr>
        <w:numPr>
          <w:ilvl w:val="0"/>
          <w:numId w:val="4"/>
        </w:numPr>
        <w:spacing w:after="34"/>
        <w:ind w:right="41" w:hanging="360"/>
      </w:pPr>
      <w:r>
        <w:t xml:space="preserve">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w:t>
      </w:r>
    </w:p>
    <w:p w14:paraId="1FE37AA0" w14:textId="77777777" w:rsidR="00B14520" w:rsidRDefault="0017442F">
      <w:pPr>
        <w:numPr>
          <w:ilvl w:val="0"/>
          <w:numId w:val="4"/>
        </w:numPr>
        <w:spacing w:after="200"/>
        <w:ind w:right="41" w:hanging="360"/>
      </w:pPr>
      <w:r>
        <w:t>Los que deban realizar las entidades sanitarias y hospitalarias.</w:t>
      </w:r>
    </w:p>
    <w:p w14:paraId="74E41327" w14:textId="77777777" w:rsidR="00B14520" w:rsidRDefault="0017442F">
      <w:pPr>
        <w:ind w:left="-15" w:right="41" w:firstLine="709"/>
      </w:pPr>
      <w:r>
        <w:t xml:space="preserve">Respecto al alcance de esta prohibición contenida en el artículo 33 de la Ley 996 de 2005, la Sala de Consulta y Servicio Civil del Consejo de Estado en concepto del 2 de febrero de 2006, expediente 11001-0306-000-2006-00011-00 (1712), aclaró que comprende a la totalidad de los entes del </w:t>
      </w:r>
      <w:proofErr w:type="gramStart"/>
      <w:r>
        <w:t>Estado,  sin</w:t>
      </w:r>
      <w:proofErr w:type="gramEnd"/>
      <w:r>
        <w:t xml:space="preserve"> que resulten relevantes su régimen </w:t>
      </w:r>
      <w:r>
        <w:lastRenderedPageBreak/>
        <w:t xml:space="preserve">jurídico, forma de organización o naturaleza, su pertenencia a una u otra rama del poder público o su autonomía. </w:t>
      </w:r>
    </w:p>
    <w:p w14:paraId="6CBFC6DC" w14:textId="77777777" w:rsidR="00B14520" w:rsidRDefault="0017442F">
      <w:pPr>
        <w:ind w:left="-15" w:right="41" w:firstLine="709"/>
      </w:pPr>
      <w:proofErr w:type="gramStart"/>
      <w:r>
        <w:t>Sin  embargo</w:t>
      </w:r>
      <w:proofErr w:type="gramEnd"/>
      <w:r>
        <w:t xml:space="preserve"> esta interpretación parte de un supuesto de hecho, y es que el contrato se encuentra sometido a las normas nacionales, dado que como se puso de presente en los considerandos de este concepto, existen algunos casos en los cuales el legislador habilitó a las entidades públicas para que suscribieran contratos cuyo régimen es distinto al derecho nacional, por lo que en estos eventos dicha restricción no sería aplicable. </w:t>
      </w:r>
    </w:p>
    <w:p w14:paraId="143CE454" w14:textId="77777777" w:rsidR="00B14520" w:rsidRDefault="0017442F">
      <w:pPr>
        <w:spacing w:after="273"/>
        <w:ind w:left="-15" w:right="41" w:firstLine="709"/>
      </w:pPr>
      <w:r>
        <w:t xml:space="preserve">En ese sentido, se concluye que la restricción contemplada en el primer inciso del artículo 33 de la Ley 996 de 2005 no resulta extensiva </w:t>
      </w:r>
      <w:proofErr w:type="gramStart"/>
      <w:r>
        <w:t>a  los</w:t>
      </w:r>
      <w:proofErr w:type="gramEnd"/>
      <w:r>
        <w:t xml:space="preserve"> contratos  que son  financiados en su totalidad o en sumas iguales o superiores al cincuenta por ciento con fondos de los organismos de cooperación, asistencia o ayudas internacionales, y cuyo régimen es el dispuesto en los reglamentos de tales entidades. Lo anterior, por cuanto en estos casos el artículo 20 de la Ley 1150 de 2007 </w:t>
      </w:r>
      <w:proofErr w:type="gramStart"/>
      <w:r>
        <w:t>autoriza  para</w:t>
      </w:r>
      <w:proofErr w:type="gramEnd"/>
      <w:r>
        <w:t xml:space="preserve"> aplicar “ integralmente ” el reglamento de dichos organismos, tal y como se puso de presente en el numeral 2.2.3.1. del concepto. </w:t>
      </w:r>
    </w:p>
    <w:p w14:paraId="7F102E79" w14:textId="77777777" w:rsidR="00B14520" w:rsidRDefault="0017442F">
      <w:pPr>
        <w:spacing w:after="273"/>
        <w:ind w:left="-15" w:right="41" w:firstLine="709"/>
      </w:pPr>
      <w:r>
        <w:t xml:space="preserve">Sobre este punto, cabe destacar que el supuesto contemplado en el artículo 20 de la Ley 1150 de 2007 resulta diferente a los demás regímenes exceptivos del Estatuto General de Contratación Pública, dado que el derecho aplicable a estos contratos no es el derecho nacional, sino normas de carácter internacional, que se materializan en los reglamentos expedidos por los  organismos de cooperación, asistencia o ayudas internacionales, razón por la cual se le da alcance a lo sostenido en concepto C-296 del 22 de junio de 2021. </w:t>
      </w:r>
    </w:p>
    <w:p w14:paraId="2AD3CE7F" w14:textId="77777777" w:rsidR="00B14520" w:rsidRDefault="0017442F">
      <w:pPr>
        <w:spacing w:after="273"/>
        <w:ind w:left="-15" w:right="41" w:firstLine="709"/>
      </w:pPr>
      <w:r>
        <w:t xml:space="preserve">Lo anterior, obedece a que </w:t>
      </w:r>
      <w:proofErr w:type="gramStart"/>
      <w:r>
        <w:t>el  Estado</w:t>
      </w:r>
      <w:proofErr w:type="gramEnd"/>
      <w:r>
        <w:t xml:space="preserve"> colombiano, para obtener la colaboración efectiva de los organismos internacionales, flexibilizó su legislación y los mecanismos jurídicos de relacionamiento con ellos, mediante casos excepcionales en los que la normativa aplicable a los contratos que celebren las entidades públicas sometidas al estatuto general de contratación es otra distinta a la prevista en el derecho nacional. </w:t>
      </w:r>
    </w:p>
    <w:p w14:paraId="1AA59F67" w14:textId="77777777" w:rsidR="00B14520" w:rsidRDefault="0017442F">
      <w:pPr>
        <w:spacing w:after="545"/>
        <w:ind w:left="-15" w:right="41" w:firstLine="709"/>
      </w:pPr>
      <w:r>
        <w:t xml:space="preserve">Por tanto, la Agencia Nacional de Contratación Pública considera, dándole alcance y complementando el criterio expuesto en concepto C-296 del 22 de junio de </w:t>
      </w:r>
      <w:proofErr w:type="gramStart"/>
      <w:r>
        <w:t>2021,  que</w:t>
      </w:r>
      <w:proofErr w:type="gramEnd"/>
      <w:r>
        <w:t xml:space="preserve"> una vez pactado el sometimiento integral de la actividad contractual al derecho del organismo internacional, no se pueden aplicar normas cuyo ámbito de aplicación es el régimen de contratación nacional, como lo serían las contenidas en la Ley de Garantías. Sin duda, una interpretación distinta podría suponer un desconocimiento a lo pactado por las partes en el negocio jurídico celebrado.</w:t>
      </w:r>
    </w:p>
    <w:p w14:paraId="5EE0EDE9" w14:textId="77777777" w:rsidR="00B14520" w:rsidRDefault="0017442F">
      <w:pPr>
        <w:pStyle w:val="Ttulo1"/>
        <w:ind w:left="525" w:right="0" w:hanging="540"/>
      </w:pPr>
      <w:r>
        <w:t>Respuestas</w:t>
      </w:r>
    </w:p>
    <w:p w14:paraId="7613E606" w14:textId="77777777" w:rsidR="00B14520" w:rsidRDefault="0017442F">
      <w:pPr>
        <w:spacing w:after="262" w:line="241" w:lineRule="auto"/>
        <w:ind w:left="694" w:right="749" w:firstLine="709"/>
      </w:pPr>
      <w:r>
        <w:rPr>
          <w:sz w:val="21"/>
        </w:rPr>
        <w:t xml:space="preserve">«Las restricciones previstas en el artículo 33 de la Ley 996 de 2005, resulta aplicable a los contratos financiados total o parcialmente con recursos de crédito </w:t>
      </w:r>
      <w:proofErr w:type="gramStart"/>
      <w:r>
        <w:rPr>
          <w:sz w:val="21"/>
        </w:rPr>
        <w:t>externo »</w:t>
      </w:r>
      <w:proofErr w:type="gramEnd"/>
      <w:r>
        <w:rPr>
          <w:sz w:val="21"/>
        </w:rPr>
        <w:t>.</w:t>
      </w:r>
    </w:p>
    <w:p w14:paraId="746C60F9" w14:textId="77777777" w:rsidR="00B14520" w:rsidRDefault="0017442F">
      <w:pPr>
        <w:spacing w:after="113"/>
        <w:ind w:left="-5" w:right="41"/>
      </w:pPr>
      <w:r>
        <w:lastRenderedPageBreak/>
        <w:t xml:space="preserve">El artículo 33 de la Ley 996 de 2005 </w:t>
      </w:r>
      <w:proofErr w:type="gramStart"/>
      <w:r>
        <w:t>prohíbe  «</w:t>
      </w:r>
      <w:proofErr w:type="gramEnd"/>
      <w:r>
        <w:t xml:space="preserve">[ …]   la contratación directa por parte de todos los entes del </w:t>
      </w:r>
      <w:proofErr w:type="gramStart"/>
      <w:r>
        <w:t>Estado »</w:t>
      </w:r>
      <w:proofErr w:type="gramEnd"/>
      <w:r>
        <w:t xml:space="preserve"> durante los cuatro (4) meses anteriores a las elecciones presidenciales, salvo entre otras excepciones, los contratos de crédito público.</w:t>
      </w:r>
    </w:p>
    <w:p w14:paraId="7CD126C4" w14:textId="77777777" w:rsidR="00B14520" w:rsidRDefault="0017442F">
      <w:pPr>
        <w:spacing w:after="113"/>
        <w:ind w:left="-15" w:right="41" w:firstLine="709"/>
      </w:pPr>
      <w:r>
        <w:t xml:space="preserve">Por su parte, a los </w:t>
      </w:r>
      <w:proofErr w:type="gramStart"/>
      <w:r>
        <w:t>contratos  que</w:t>
      </w:r>
      <w:proofErr w:type="gramEnd"/>
      <w:r>
        <w:t xml:space="preserve"> son financiados en su totalidad o en sumas iguales o superiores al cincuenta por ciento con fondos de los organismos de cooperación, asistencia o ayudas internacionales, y cuyo régimen es el dispuesto en los reglamentos de tales entidades, tampoco les resulta aplicable la prohibición contemplada en el inciso primero del  artículo 33 de la Ley 996 de 2005, por las razones expuestas en este concepto.</w:t>
      </w:r>
    </w:p>
    <w:p w14:paraId="7EC92635" w14:textId="77777777" w:rsidR="00B14520" w:rsidRDefault="0017442F">
      <w:pPr>
        <w:spacing w:after="657"/>
        <w:ind w:left="-15" w:right="41" w:firstLine="709"/>
      </w:pPr>
      <w:r>
        <w:t xml:space="preserve">Lo anterior, por </w:t>
      </w:r>
      <w:proofErr w:type="gramStart"/>
      <w:r>
        <w:t>cuanto  esta</w:t>
      </w:r>
      <w:proofErr w:type="gramEnd"/>
      <w:r>
        <w:t xml:space="preserve"> tipología de negocios jurídicos se encuentra no sólo excluida del Estatuto General de Contratación de la Administración Pública, sino también del sistema de normas nacionales, por lo que al ser la Ley de 996 de 2005 una norma de carácter interno, las restricciones allí contempladas no resultan aplicables a esas relaciones jurídicas.</w:t>
      </w:r>
    </w:p>
    <w:p w14:paraId="05CBCCF2" w14:textId="77777777" w:rsidR="00B14520" w:rsidRDefault="0017442F">
      <w:pPr>
        <w:spacing w:after="74"/>
        <w:ind w:left="-5" w:right="41"/>
      </w:pPr>
      <w:r>
        <w:t>Atentamente,</w:t>
      </w:r>
    </w:p>
    <w:p w14:paraId="768225F8" w14:textId="0961BBEC" w:rsidR="00B14520" w:rsidRDefault="00323EAA">
      <w:pPr>
        <w:spacing w:after="238" w:line="259" w:lineRule="auto"/>
        <w:ind w:left="2439" w:firstLine="0"/>
        <w:jc w:val="left"/>
      </w:pPr>
      <w:r>
        <w:rPr>
          <w:noProof/>
        </w:rPr>
        <w:drawing>
          <wp:inline distT="0" distB="0" distL="0" distR="0" wp14:anchorId="0572F26D" wp14:editId="25CB0116">
            <wp:extent cx="2514600" cy="1114425"/>
            <wp:effectExtent l="0" t="0" r="0" b="9525"/>
            <wp:docPr id="4" name="Imagen 4"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26"/>
                    <a:stretch>
                      <a:fillRect/>
                    </a:stretch>
                  </pic:blipFill>
                  <pic:spPr>
                    <a:xfrm>
                      <a:off x="0" y="0"/>
                      <a:ext cx="2514600" cy="1114425"/>
                    </a:xfrm>
                    <a:prstGeom prst="rect">
                      <a:avLst/>
                    </a:prstGeom>
                  </pic:spPr>
                </pic:pic>
              </a:graphicData>
            </a:graphic>
          </wp:inline>
        </w:drawing>
      </w:r>
    </w:p>
    <w:p w14:paraId="79F794ED" w14:textId="77777777" w:rsidR="00B14520" w:rsidRDefault="0017442F">
      <w:pPr>
        <w:spacing w:after="3" w:line="259" w:lineRule="auto"/>
        <w:ind w:left="915"/>
        <w:jc w:val="left"/>
      </w:pPr>
      <w:r>
        <w:rPr>
          <w:sz w:val="16"/>
        </w:rPr>
        <w:t>Juan David Marín López</w:t>
      </w:r>
    </w:p>
    <w:tbl>
      <w:tblPr>
        <w:tblStyle w:val="TableGrid"/>
        <w:tblW w:w="5117" w:type="dxa"/>
        <w:tblInd w:w="108" w:type="dxa"/>
        <w:tblLook w:val="04A0" w:firstRow="1" w:lastRow="0" w:firstColumn="1" w:lastColumn="0" w:noHBand="0" w:noVBand="1"/>
      </w:tblPr>
      <w:tblGrid>
        <w:gridCol w:w="812"/>
        <w:gridCol w:w="4305"/>
      </w:tblGrid>
      <w:tr w:rsidR="00B14520" w14:paraId="43ED33AD" w14:textId="77777777">
        <w:trPr>
          <w:trHeight w:val="267"/>
        </w:trPr>
        <w:tc>
          <w:tcPr>
            <w:tcW w:w="812" w:type="dxa"/>
            <w:tcBorders>
              <w:top w:val="nil"/>
              <w:left w:val="nil"/>
              <w:bottom w:val="nil"/>
              <w:right w:val="nil"/>
            </w:tcBorders>
          </w:tcPr>
          <w:p w14:paraId="2A192F6D" w14:textId="77777777" w:rsidR="00B14520" w:rsidRDefault="0017442F">
            <w:pPr>
              <w:spacing w:after="0" w:line="259" w:lineRule="auto"/>
              <w:ind w:left="0" w:firstLine="0"/>
              <w:jc w:val="left"/>
            </w:pPr>
            <w:r>
              <w:rPr>
                <w:sz w:val="16"/>
              </w:rPr>
              <w:t>Elaboró:</w:t>
            </w:r>
          </w:p>
        </w:tc>
        <w:tc>
          <w:tcPr>
            <w:tcW w:w="4305" w:type="dxa"/>
            <w:tcBorders>
              <w:top w:val="nil"/>
              <w:left w:val="nil"/>
              <w:bottom w:val="nil"/>
              <w:right w:val="nil"/>
            </w:tcBorders>
          </w:tcPr>
          <w:p w14:paraId="233D2EA8" w14:textId="77777777" w:rsidR="00B14520" w:rsidRDefault="0017442F">
            <w:pPr>
              <w:spacing w:after="0" w:line="259" w:lineRule="auto"/>
              <w:ind w:left="0" w:firstLine="0"/>
              <w:jc w:val="left"/>
            </w:pPr>
            <w:r>
              <w:rPr>
                <w:sz w:val="16"/>
              </w:rPr>
              <w:t>Asesor Jurídico – Dirección General</w:t>
            </w:r>
          </w:p>
          <w:p w14:paraId="7D33B67F" w14:textId="77777777" w:rsidR="00B14520" w:rsidRDefault="0017442F">
            <w:pPr>
              <w:spacing w:after="0" w:line="259" w:lineRule="auto"/>
              <w:ind w:left="-108" w:firstLine="0"/>
              <w:jc w:val="left"/>
            </w:pPr>
            <w:r>
              <w:rPr>
                <w:rFonts w:ascii="Calibri" w:eastAsia="Calibri" w:hAnsi="Calibri" w:cs="Calibri"/>
                <w:noProof/>
              </w:rPr>
              <mc:AlternateContent>
                <mc:Choice Requires="wpg">
                  <w:drawing>
                    <wp:inline distT="0" distB="0" distL="0" distR="0" wp14:anchorId="23F4C668" wp14:editId="006C4F77">
                      <wp:extent cx="2802255" cy="6350"/>
                      <wp:effectExtent l="0" t="0" r="0" b="0"/>
                      <wp:docPr id="61772" name="Group 61772"/>
                      <wp:cNvGraphicFramePr/>
                      <a:graphic xmlns:a="http://schemas.openxmlformats.org/drawingml/2006/main">
                        <a:graphicData uri="http://schemas.microsoft.com/office/word/2010/wordprocessingGroup">
                          <wpg:wgp>
                            <wpg:cNvGrpSpPr/>
                            <wpg:grpSpPr>
                              <a:xfrm>
                                <a:off x="0" y="0"/>
                                <a:ext cx="2802255" cy="6350"/>
                                <a:chOff x="0" y="0"/>
                                <a:chExt cx="2802255" cy="6350"/>
                              </a:xfrm>
                            </wpg:grpSpPr>
                            <wps:wsp>
                              <wps:cNvPr id="13174" name="Shape 13174"/>
                              <wps:cNvSpPr/>
                              <wps:spPr>
                                <a:xfrm>
                                  <a:off x="0" y="0"/>
                                  <a:ext cx="2802255" cy="0"/>
                                </a:xfrm>
                                <a:custGeom>
                                  <a:avLst/>
                                  <a:gdLst/>
                                  <a:ahLst/>
                                  <a:cxnLst/>
                                  <a:rect l="0" t="0" r="0" b="0"/>
                                  <a:pathLst>
                                    <a:path w="2802255">
                                      <a:moveTo>
                                        <a:pt x="0" y="0"/>
                                      </a:moveTo>
                                      <a:lnTo>
                                        <a:pt x="2802255" y="0"/>
                                      </a:lnTo>
                                    </a:path>
                                  </a:pathLst>
                                </a:custGeom>
                                <a:ln w="6350"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13175" name="Shape 13175"/>
                              <wps:cNvSpPr/>
                              <wps:spPr>
                                <a:xfrm>
                                  <a:off x="0" y="0"/>
                                  <a:ext cx="2802255" cy="0"/>
                                </a:xfrm>
                                <a:custGeom>
                                  <a:avLst/>
                                  <a:gdLst/>
                                  <a:ahLst/>
                                  <a:cxnLst/>
                                  <a:rect l="0" t="0" r="0" b="0"/>
                                  <a:pathLst>
                                    <a:path w="2802255">
                                      <a:moveTo>
                                        <a:pt x="0" y="0"/>
                                      </a:moveTo>
                                      <a:lnTo>
                                        <a:pt x="2802255" y="0"/>
                                      </a:lnTo>
                                    </a:path>
                                  </a:pathLst>
                                </a:custGeom>
                                <a:ln w="6350" cap="sq">
                                  <a:custDash>
                                    <a:ds d="1" sp="300000"/>
                                  </a:custDash>
                                  <a:miter lim="127000"/>
                                </a:ln>
                              </wps:spPr>
                              <wps:style>
                                <a:lnRef idx="1">
                                  <a:srgbClr val="7F7F7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1772" style="width:220.65pt;height:0.5pt;mso-position-horizontal-relative:char;mso-position-vertical-relative:line" coordsize="28022,63">
                      <v:shape id="Shape 13174" style="position:absolute;width:28022;height:0;left:0;top:0;" coordsize="2802255,0" path="m0,0l2802255,0">
                        <v:stroke weight="0.5pt" endcap="square" dashstyle="0 6" joinstyle="miter" miterlimit="10" on="true" color="#7f7f7f"/>
                        <v:fill on="false" color="#000000" opacity="0"/>
                      </v:shape>
                      <v:shape id="Shape 13175" style="position:absolute;width:28022;height:0;left:0;top:0;" coordsize="2802255,0" path="m0,0l2802255,0">
                        <v:stroke weight="0.5pt" endcap="square" dashstyle="0 6" joinstyle="miter" miterlimit="10" on="true" color="#7f7f7f"/>
                        <v:fill on="false" color="#000000" opacity="0"/>
                      </v:shape>
                    </v:group>
                  </w:pict>
                </mc:Fallback>
              </mc:AlternateContent>
            </w:r>
          </w:p>
        </w:tc>
      </w:tr>
      <w:tr w:rsidR="00B14520" w14:paraId="3CDFAC9C" w14:textId="77777777">
        <w:trPr>
          <w:trHeight w:val="351"/>
        </w:trPr>
        <w:tc>
          <w:tcPr>
            <w:tcW w:w="812" w:type="dxa"/>
            <w:tcBorders>
              <w:top w:val="nil"/>
              <w:left w:val="nil"/>
              <w:bottom w:val="nil"/>
              <w:right w:val="nil"/>
            </w:tcBorders>
            <w:vAlign w:val="bottom"/>
          </w:tcPr>
          <w:p w14:paraId="7DE45254" w14:textId="77777777" w:rsidR="00B14520" w:rsidRDefault="0017442F">
            <w:pPr>
              <w:spacing w:after="0" w:line="259" w:lineRule="auto"/>
              <w:ind w:left="0" w:firstLine="0"/>
              <w:jc w:val="left"/>
            </w:pPr>
            <w:r>
              <w:rPr>
                <w:sz w:val="16"/>
              </w:rPr>
              <w:t>Revisó:</w:t>
            </w:r>
          </w:p>
        </w:tc>
        <w:tc>
          <w:tcPr>
            <w:tcW w:w="4305" w:type="dxa"/>
            <w:tcBorders>
              <w:top w:val="nil"/>
              <w:left w:val="nil"/>
              <w:bottom w:val="nil"/>
              <w:right w:val="nil"/>
            </w:tcBorders>
          </w:tcPr>
          <w:p w14:paraId="3B376297" w14:textId="77777777" w:rsidR="00B14520" w:rsidRDefault="0017442F">
            <w:pPr>
              <w:spacing w:after="0" w:line="259" w:lineRule="auto"/>
              <w:ind w:left="0" w:firstLine="0"/>
              <w:jc w:val="left"/>
            </w:pPr>
            <w:r>
              <w:rPr>
                <w:sz w:val="16"/>
              </w:rPr>
              <w:t>Juan David Marín López</w:t>
            </w:r>
          </w:p>
          <w:p w14:paraId="56CE2148" w14:textId="77777777" w:rsidR="00B14520" w:rsidRDefault="0017442F">
            <w:pPr>
              <w:spacing w:after="0" w:line="259" w:lineRule="auto"/>
              <w:ind w:left="0" w:firstLine="0"/>
              <w:jc w:val="left"/>
            </w:pPr>
            <w:r>
              <w:rPr>
                <w:sz w:val="16"/>
              </w:rPr>
              <w:t>Asesor Jurídico – Dirección General</w:t>
            </w:r>
          </w:p>
        </w:tc>
      </w:tr>
    </w:tbl>
    <w:p w14:paraId="6BEDB443" w14:textId="77777777" w:rsidR="00B14520" w:rsidRDefault="0017442F">
      <w:pPr>
        <w:spacing w:after="3" w:line="259" w:lineRule="auto"/>
        <w:ind w:left="108" w:right="4937" w:firstLine="812"/>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563126E0" wp14:editId="36AD4461">
                <wp:simplePos x="0" y="0"/>
                <wp:positionH relativeFrom="column">
                  <wp:posOffset>515620</wp:posOffset>
                </wp:positionH>
                <wp:positionV relativeFrom="paragraph">
                  <wp:posOffset>-21182</wp:posOffset>
                </wp:positionV>
                <wp:extent cx="2802255" cy="240011"/>
                <wp:effectExtent l="0" t="0" r="0" b="0"/>
                <wp:wrapNone/>
                <wp:docPr id="61630" name="Group 61630"/>
                <wp:cNvGraphicFramePr/>
                <a:graphic xmlns:a="http://schemas.openxmlformats.org/drawingml/2006/main">
                  <a:graphicData uri="http://schemas.microsoft.com/office/word/2010/wordprocessingGroup">
                    <wpg:wgp>
                      <wpg:cNvGrpSpPr/>
                      <wpg:grpSpPr>
                        <a:xfrm>
                          <a:off x="0" y="0"/>
                          <a:ext cx="2802255" cy="240011"/>
                          <a:chOff x="0" y="0"/>
                          <a:chExt cx="2802255" cy="240011"/>
                        </a:xfrm>
                      </wpg:grpSpPr>
                      <wps:wsp>
                        <wps:cNvPr id="13176" name="Shape 13176"/>
                        <wps:cNvSpPr/>
                        <wps:spPr>
                          <a:xfrm>
                            <a:off x="0" y="0"/>
                            <a:ext cx="2802255" cy="0"/>
                          </a:xfrm>
                          <a:custGeom>
                            <a:avLst/>
                            <a:gdLst/>
                            <a:ahLst/>
                            <a:cxnLst/>
                            <a:rect l="0" t="0" r="0" b="0"/>
                            <a:pathLst>
                              <a:path w="2802255">
                                <a:moveTo>
                                  <a:pt x="0" y="0"/>
                                </a:moveTo>
                                <a:lnTo>
                                  <a:pt x="2802255" y="0"/>
                                </a:lnTo>
                              </a:path>
                            </a:pathLst>
                          </a:custGeom>
                          <a:ln w="6350"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13177" name="Shape 13177"/>
                        <wps:cNvSpPr/>
                        <wps:spPr>
                          <a:xfrm>
                            <a:off x="0" y="0"/>
                            <a:ext cx="2802255" cy="0"/>
                          </a:xfrm>
                          <a:custGeom>
                            <a:avLst/>
                            <a:gdLst/>
                            <a:ahLst/>
                            <a:cxnLst/>
                            <a:rect l="0" t="0" r="0" b="0"/>
                            <a:pathLst>
                              <a:path w="2802255">
                                <a:moveTo>
                                  <a:pt x="0" y="0"/>
                                </a:moveTo>
                                <a:lnTo>
                                  <a:pt x="2802255" y="0"/>
                                </a:lnTo>
                              </a:path>
                            </a:pathLst>
                          </a:custGeom>
                          <a:ln w="6350"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13178" name="Shape 13178"/>
                        <wps:cNvSpPr/>
                        <wps:spPr>
                          <a:xfrm>
                            <a:off x="0" y="240011"/>
                            <a:ext cx="2802255" cy="0"/>
                          </a:xfrm>
                          <a:custGeom>
                            <a:avLst/>
                            <a:gdLst/>
                            <a:ahLst/>
                            <a:cxnLst/>
                            <a:rect l="0" t="0" r="0" b="0"/>
                            <a:pathLst>
                              <a:path w="2802255">
                                <a:moveTo>
                                  <a:pt x="0" y="0"/>
                                </a:moveTo>
                                <a:lnTo>
                                  <a:pt x="2802255" y="0"/>
                                </a:lnTo>
                              </a:path>
                            </a:pathLst>
                          </a:custGeom>
                          <a:ln w="6350" cap="sq">
                            <a:custDash>
                              <a:ds d="1" sp="300000"/>
                            </a:custDash>
                            <a:miter lim="127000"/>
                          </a:ln>
                        </wps:spPr>
                        <wps:style>
                          <a:lnRef idx="1">
                            <a:srgbClr val="7F7F7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630" style="width:220.65pt;height:18.8985pt;position:absolute;z-index:-2147483457;mso-position-horizontal-relative:text;mso-position-horizontal:absolute;margin-left:40.6pt;mso-position-vertical-relative:text;margin-top:-1.66797pt;" coordsize="28022,2400">
                <v:shape id="Shape 13176" style="position:absolute;width:28022;height:0;left:0;top:0;" coordsize="2802255,0" path="m0,0l2802255,0">
                  <v:stroke weight="0.5pt" endcap="square" dashstyle="0 6" joinstyle="miter" miterlimit="10" on="true" color="#7f7f7f"/>
                  <v:fill on="false" color="#000000" opacity="0"/>
                </v:shape>
                <v:shape id="Shape 13177" style="position:absolute;width:28022;height:0;left:0;top:0;" coordsize="2802255,0" path="m0,0l2802255,0">
                  <v:stroke weight="0.5pt" endcap="square" dashstyle="0 6" joinstyle="miter" miterlimit="10" on="true" color="#7f7f7f"/>
                  <v:fill on="false" color="#000000" opacity="0"/>
                </v:shape>
                <v:shape id="Shape 13178" style="position:absolute;width:28022;height:0;left:0;top:2400;" coordsize="2802255,0" path="m0,0l2802255,0">
                  <v:stroke weight="0.5pt" endcap="square" dashstyle="0 6" joinstyle="miter" miterlimit="10" on="true" color="#7f7f7f"/>
                  <v:fill on="false" color="#000000" opacity="0"/>
                </v:shape>
              </v:group>
            </w:pict>
          </mc:Fallback>
        </mc:AlternateContent>
      </w:r>
      <w:r>
        <w:rPr>
          <w:sz w:val="16"/>
        </w:rPr>
        <w:t>Jorge Augusto Tirado Navarro Aprobó:</w:t>
      </w:r>
    </w:p>
    <w:p w14:paraId="19295525" w14:textId="77777777" w:rsidR="00B14520" w:rsidRDefault="0017442F">
      <w:pPr>
        <w:spacing w:after="3" w:line="259" w:lineRule="auto"/>
        <w:ind w:left="915"/>
        <w:jc w:val="left"/>
      </w:pPr>
      <w:r>
        <w:rPr>
          <w:sz w:val="16"/>
        </w:rPr>
        <w:t>Subdirector de Gestión Contractual ANCP – CCE</w:t>
      </w:r>
    </w:p>
    <w:sectPr w:rsidR="00B14520">
      <w:footerReference w:type="even" r:id="rId27"/>
      <w:footerReference w:type="default" r:id="rId28"/>
      <w:footerReference w:type="first" r:id="rId29"/>
      <w:pgSz w:w="11900" w:h="16820"/>
      <w:pgMar w:top="1456" w:right="1640" w:bottom="2237" w:left="1701" w:header="720"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36D20" w14:textId="77777777" w:rsidR="008B0A3C" w:rsidRDefault="008B0A3C">
      <w:pPr>
        <w:spacing w:after="0" w:line="240" w:lineRule="auto"/>
      </w:pPr>
      <w:r>
        <w:separator/>
      </w:r>
    </w:p>
  </w:endnote>
  <w:endnote w:type="continuationSeparator" w:id="0">
    <w:p w14:paraId="176BF1C3" w14:textId="77777777" w:rsidR="008B0A3C" w:rsidRDefault="008B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4683" w14:textId="77777777" w:rsidR="00B14520" w:rsidRDefault="0017442F">
    <w:pPr>
      <w:spacing w:after="0" w:line="259" w:lineRule="auto"/>
      <w:ind w:left="0" w:right="55" w:firstLine="0"/>
      <w:jc w:val="right"/>
    </w:pPr>
    <w:r>
      <w:rPr>
        <w:noProof/>
      </w:rPr>
      <w:drawing>
        <wp:anchor distT="0" distB="0" distL="114300" distR="114300" simplePos="0" relativeHeight="251658240" behindDoc="0" locked="0" layoutInCell="1" allowOverlap="0" wp14:anchorId="35851460" wp14:editId="4D6B86A2">
          <wp:simplePos x="0" y="0"/>
          <wp:positionH relativeFrom="page">
            <wp:posOffset>1080135</wp:posOffset>
          </wp:positionH>
          <wp:positionV relativeFrom="page">
            <wp:posOffset>9389657</wp:posOffset>
          </wp:positionV>
          <wp:extent cx="5400040" cy="757643"/>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400040" cy="757643"/>
                  </a:xfrm>
                  <a:prstGeom prst="rect">
                    <a:avLst/>
                  </a:prstGeom>
                </pic:spPr>
              </pic:pic>
            </a:graphicData>
          </a:graphic>
        </wp:anchor>
      </w:drawing>
    </w:r>
    <w:r>
      <w:rPr>
        <w:rFonts w:ascii="Calibri" w:eastAsia="Calibri" w:hAnsi="Calibri" w:cs="Calibri"/>
        <w:color w:val="808080"/>
        <w:sz w:val="16"/>
      </w:rPr>
      <w:t xml:space="preserve">Página </w:t>
    </w:r>
    <w:r>
      <w:fldChar w:fldCharType="begin"/>
    </w:r>
    <w:r>
      <w:instrText xml:space="preserve"> PAGE   \* MERGEFORMAT </w:instrText>
    </w:r>
    <w:r>
      <w:fldChar w:fldCharType="separate"/>
    </w:r>
    <w:r>
      <w:rPr>
        <w:rFonts w:ascii="Calibri" w:eastAsia="Calibri" w:hAnsi="Calibri" w:cs="Calibri"/>
        <w:b/>
        <w:color w:val="808080"/>
        <w:sz w:val="16"/>
      </w:rPr>
      <w:t>1</w:t>
    </w:r>
    <w:r>
      <w:rPr>
        <w:rFonts w:ascii="Calibri" w:eastAsia="Calibri" w:hAnsi="Calibri" w:cs="Calibri"/>
        <w:b/>
        <w:color w:val="808080"/>
        <w:sz w:val="16"/>
      </w:rPr>
      <w:fldChar w:fldCharType="end"/>
    </w:r>
    <w:r>
      <w:rPr>
        <w:rFonts w:ascii="Calibri" w:eastAsia="Calibri" w:hAnsi="Calibri" w:cs="Calibri"/>
        <w:color w:val="808080"/>
        <w:sz w:val="16"/>
      </w:rPr>
      <w:t xml:space="preserve"> de </w:t>
    </w:r>
    <w:fldSimple w:instr=" NUMPAGES   \* MERGEFORMAT ">
      <w:r>
        <w:rPr>
          <w:rFonts w:ascii="Calibri" w:eastAsia="Calibri" w:hAnsi="Calibri" w:cs="Calibri"/>
          <w:b/>
          <w:color w:val="808080"/>
          <w:sz w:val="16"/>
        </w:rPr>
        <w:t>15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ED68" w14:textId="77777777" w:rsidR="00B14520" w:rsidRDefault="0017442F">
    <w:pPr>
      <w:spacing w:after="400" w:line="259" w:lineRule="auto"/>
      <w:ind w:left="0" w:right="2" w:firstLine="0"/>
      <w:jc w:val="right"/>
    </w:pPr>
    <w:r>
      <w:rPr>
        <w:noProof/>
      </w:rPr>
      <w:drawing>
        <wp:anchor distT="0" distB="0" distL="114300" distR="114300" simplePos="0" relativeHeight="251659264" behindDoc="0" locked="0" layoutInCell="1" allowOverlap="0" wp14:anchorId="3118D3F0" wp14:editId="208764EC">
          <wp:simplePos x="0" y="0"/>
          <wp:positionH relativeFrom="page">
            <wp:posOffset>1080135</wp:posOffset>
          </wp:positionH>
          <wp:positionV relativeFrom="page">
            <wp:posOffset>9389657</wp:posOffset>
          </wp:positionV>
          <wp:extent cx="5400040" cy="757643"/>
          <wp:effectExtent l="0" t="0" r="0" b="0"/>
          <wp:wrapSquare wrapText="bothSides"/>
          <wp:docPr id="1410" name="Picture 1410"/>
          <wp:cNvGraphicFramePr/>
          <a:graphic xmlns:a="http://schemas.openxmlformats.org/drawingml/2006/main">
            <a:graphicData uri="http://schemas.openxmlformats.org/drawingml/2006/picture">
              <pic:pic xmlns:pic="http://schemas.openxmlformats.org/drawingml/2006/picture">
                <pic:nvPicPr>
                  <pic:cNvPr id="1410" name="Picture 1410"/>
                  <pic:cNvPicPr/>
                </pic:nvPicPr>
                <pic:blipFill>
                  <a:blip r:embed="rId1"/>
                  <a:stretch>
                    <a:fillRect/>
                  </a:stretch>
                </pic:blipFill>
                <pic:spPr>
                  <a:xfrm>
                    <a:off x="0" y="0"/>
                    <a:ext cx="5400040" cy="757643"/>
                  </a:xfrm>
                  <a:prstGeom prst="rect">
                    <a:avLst/>
                  </a:prstGeom>
                </pic:spPr>
              </pic:pic>
            </a:graphicData>
          </a:graphic>
        </wp:anchor>
      </w:drawing>
    </w:r>
    <w:r>
      <w:rPr>
        <w:sz w:val="19"/>
      </w:rPr>
      <w:t xml:space="preserve"> </w:t>
    </w:r>
  </w:p>
  <w:p w14:paraId="59F56ADF" w14:textId="77777777" w:rsidR="00B14520" w:rsidRDefault="0017442F">
    <w:pPr>
      <w:spacing w:after="0" w:line="259" w:lineRule="auto"/>
      <w:ind w:left="0" w:right="55" w:firstLine="0"/>
      <w:jc w:val="right"/>
    </w:pPr>
    <w:r>
      <w:rPr>
        <w:rFonts w:ascii="Calibri" w:eastAsia="Calibri" w:hAnsi="Calibri" w:cs="Calibri"/>
        <w:color w:val="808080"/>
        <w:sz w:val="16"/>
      </w:rPr>
      <w:t xml:space="preserve">Página </w:t>
    </w:r>
    <w:r>
      <w:fldChar w:fldCharType="begin"/>
    </w:r>
    <w:r>
      <w:instrText xml:space="preserve"> PAGE   \* MERGEFORMAT </w:instrText>
    </w:r>
    <w:r>
      <w:fldChar w:fldCharType="separate"/>
    </w:r>
    <w:r>
      <w:rPr>
        <w:rFonts w:ascii="Calibri" w:eastAsia="Calibri" w:hAnsi="Calibri" w:cs="Calibri"/>
        <w:b/>
        <w:color w:val="808080"/>
        <w:sz w:val="16"/>
      </w:rPr>
      <w:t>3</w:t>
    </w:r>
    <w:r>
      <w:rPr>
        <w:rFonts w:ascii="Calibri" w:eastAsia="Calibri" w:hAnsi="Calibri" w:cs="Calibri"/>
        <w:b/>
        <w:color w:val="808080"/>
        <w:sz w:val="16"/>
      </w:rPr>
      <w:fldChar w:fldCharType="end"/>
    </w:r>
    <w:r>
      <w:rPr>
        <w:rFonts w:ascii="Calibri" w:eastAsia="Calibri" w:hAnsi="Calibri" w:cs="Calibri"/>
        <w:color w:val="808080"/>
        <w:sz w:val="16"/>
      </w:rPr>
      <w:t xml:space="preserve"> de </w:t>
    </w:r>
    <w:fldSimple w:instr=" NUMPAGES   \* MERGEFORMAT ">
      <w:r>
        <w:rPr>
          <w:rFonts w:ascii="Calibri" w:eastAsia="Calibri" w:hAnsi="Calibri" w:cs="Calibri"/>
          <w:b/>
          <w:color w:val="808080"/>
          <w:sz w:val="16"/>
        </w:rPr>
        <w:t>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FE1F" w14:textId="77777777" w:rsidR="00B14520" w:rsidRDefault="0017442F">
    <w:pPr>
      <w:spacing w:after="0" w:line="259" w:lineRule="auto"/>
      <w:ind w:left="0" w:right="55" w:firstLine="0"/>
      <w:jc w:val="right"/>
    </w:pPr>
    <w:r>
      <w:rPr>
        <w:noProof/>
      </w:rPr>
      <w:drawing>
        <wp:anchor distT="0" distB="0" distL="114300" distR="114300" simplePos="0" relativeHeight="251660288" behindDoc="0" locked="0" layoutInCell="1" allowOverlap="0" wp14:anchorId="05377732" wp14:editId="3BE47B40">
          <wp:simplePos x="0" y="0"/>
          <wp:positionH relativeFrom="page">
            <wp:posOffset>1080135</wp:posOffset>
          </wp:positionH>
          <wp:positionV relativeFrom="page">
            <wp:posOffset>9389657</wp:posOffset>
          </wp:positionV>
          <wp:extent cx="5400040" cy="757643"/>
          <wp:effectExtent l="0" t="0" r="0" b="0"/>
          <wp:wrapSquare wrapText="bothSides"/>
          <wp:docPr id="1"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400040" cy="757643"/>
                  </a:xfrm>
                  <a:prstGeom prst="rect">
                    <a:avLst/>
                  </a:prstGeom>
                </pic:spPr>
              </pic:pic>
            </a:graphicData>
          </a:graphic>
        </wp:anchor>
      </w:drawing>
    </w:r>
    <w:r>
      <w:rPr>
        <w:rFonts w:ascii="Calibri" w:eastAsia="Calibri" w:hAnsi="Calibri" w:cs="Calibri"/>
        <w:color w:val="808080"/>
        <w:sz w:val="16"/>
      </w:rPr>
      <w:t xml:space="preserve">Página </w:t>
    </w:r>
    <w:r>
      <w:fldChar w:fldCharType="begin"/>
    </w:r>
    <w:r>
      <w:instrText xml:space="preserve"> PAGE   \* MERGEFORMAT </w:instrText>
    </w:r>
    <w:r>
      <w:fldChar w:fldCharType="separate"/>
    </w:r>
    <w:r>
      <w:rPr>
        <w:rFonts w:ascii="Calibri" w:eastAsia="Calibri" w:hAnsi="Calibri" w:cs="Calibri"/>
        <w:b/>
        <w:color w:val="808080"/>
        <w:sz w:val="16"/>
      </w:rPr>
      <w:t>1</w:t>
    </w:r>
    <w:r>
      <w:rPr>
        <w:rFonts w:ascii="Calibri" w:eastAsia="Calibri" w:hAnsi="Calibri" w:cs="Calibri"/>
        <w:b/>
        <w:color w:val="808080"/>
        <w:sz w:val="16"/>
      </w:rPr>
      <w:fldChar w:fldCharType="end"/>
    </w:r>
    <w:r>
      <w:rPr>
        <w:rFonts w:ascii="Calibri" w:eastAsia="Calibri" w:hAnsi="Calibri" w:cs="Calibri"/>
        <w:color w:val="808080"/>
        <w:sz w:val="16"/>
      </w:rPr>
      <w:t xml:space="preserve"> de </w:t>
    </w:r>
    <w:fldSimple w:instr=" NUMPAGES   \* MERGEFORMAT ">
      <w:r>
        <w:rPr>
          <w:rFonts w:ascii="Calibri" w:eastAsia="Calibri" w:hAnsi="Calibri" w:cs="Calibri"/>
          <w:b/>
          <w:color w:val="808080"/>
          <w:sz w:val="16"/>
        </w:rPr>
        <w:t>15</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D403" w14:textId="77777777" w:rsidR="00B14520" w:rsidRDefault="0017442F">
    <w:pPr>
      <w:spacing w:after="0" w:line="259" w:lineRule="auto"/>
      <w:ind w:left="0" w:right="56" w:firstLine="0"/>
      <w:jc w:val="right"/>
    </w:pPr>
    <w:r>
      <w:rPr>
        <w:noProof/>
      </w:rPr>
      <w:drawing>
        <wp:anchor distT="0" distB="0" distL="114300" distR="114300" simplePos="0" relativeHeight="251661312" behindDoc="0" locked="0" layoutInCell="1" allowOverlap="0" wp14:anchorId="47592808" wp14:editId="42619652">
          <wp:simplePos x="0" y="0"/>
          <wp:positionH relativeFrom="page">
            <wp:posOffset>1080135</wp:posOffset>
          </wp:positionH>
          <wp:positionV relativeFrom="page">
            <wp:posOffset>9389657</wp:posOffset>
          </wp:positionV>
          <wp:extent cx="5400040" cy="757643"/>
          <wp:effectExtent l="0" t="0" r="0" b="0"/>
          <wp:wrapSquare wrapText="bothSides"/>
          <wp:docPr id="8491" name="Picture 8491"/>
          <wp:cNvGraphicFramePr/>
          <a:graphic xmlns:a="http://schemas.openxmlformats.org/drawingml/2006/main">
            <a:graphicData uri="http://schemas.openxmlformats.org/drawingml/2006/picture">
              <pic:pic xmlns:pic="http://schemas.openxmlformats.org/drawingml/2006/picture">
                <pic:nvPicPr>
                  <pic:cNvPr id="8491" name="Picture 8491"/>
                  <pic:cNvPicPr/>
                </pic:nvPicPr>
                <pic:blipFill>
                  <a:blip r:embed="rId1"/>
                  <a:stretch>
                    <a:fillRect/>
                  </a:stretch>
                </pic:blipFill>
                <pic:spPr>
                  <a:xfrm>
                    <a:off x="0" y="0"/>
                    <a:ext cx="5400040" cy="757643"/>
                  </a:xfrm>
                  <a:prstGeom prst="rect">
                    <a:avLst/>
                  </a:prstGeom>
                </pic:spPr>
              </pic:pic>
            </a:graphicData>
          </a:graphic>
        </wp:anchor>
      </w:drawing>
    </w:r>
    <w:r>
      <w:rPr>
        <w:rFonts w:ascii="Calibri" w:eastAsia="Calibri" w:hAnsi="Calibri" w:cs="Calibri"/>
        <w:color w:val="808080"/>
        <w:sz w:val="16"/>
      </w:rPr>
      <w:t xml:space="preserve">Página </w:t>
    </w:r>
    <w:r>
      <w:fldChar w:fldCharType="begin"/>
    </w:r>
    <w:r>
      <w:instrText xml:space="preserve"> PAGE   \* MERGEFORMAT </w:instrText>
    </w:r>
    <w:r>
      <w:fldChar w:fldCharType="separate"/>
    </w:r>
    <w:r>
      <w:rPr>
        <w:rFonts w:ascii="Calibri" w:eastAsia="Calibri" w:hAnsi="Calibri" w:cs="Calibri"/>
        <w:b/>
        <w:color w:val="808080"/>
        <w:sz w:val="16"/>
      </w:rPr>
      <w:t>10</w:t>
    </w:r>
    <w:r>
      <w:rPr>
        <w:rFonts w:ascii="Calibri" w:eastAsia="Calibri" w:hAnsi="Calibri" w:cs="Calibri"/>
        <w:b/>
        <w:color w:val="808080"/>
        <w:sz w:val="16"/>
      </w:rPr>
      <w:fldChar w:fldCharType="end"/>
    </w:r>
    <w:r>
      <w:rPr>
        <w:rFonts w:ascii="Calibri" w:eastAsia="Calibri" w:hAnsi="Calibri" w:cs="Calibri"/>
        <w:color w:val="808080"/>
        <w:sz w:val="16"/>
      </w:rPr>
      <w:t xml:space="preserve"> de </w:t>
    </w:r>
    <w:fldSimple w:instr=" NUMPAGES   \* MERGEFORMAT ">
      <w:r>
        <w:rPr>
          <w:rFonts w:ascii="Calibri" w:eastAsia="Calibri" w:hAnsi="Calibri" w:cs="Calibri"/>
          <w:b/>
          <w:color w:val="808080"/>
          <w:sz w:val="16"/>
        </w:rPr>
        <w:t>15</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9274" w14:textId="77777777" w:rsidR="00B14520" w:rsidRDefault="0017442F">
    <w:pPr>
      <w:spacing w:after="0" w:line="259" w:lineRule="auto"/>
      <w:ind w:left="0" w:right="56" w:firstLine="0"/>
      <w:jc w:val="right"/>
    </w:pPr>
    <w:r>
      <w:rPr>
        <w:noProof/>
      </w:rPr>
      <w:drawing>
        <wp:anchor distT="0" distB="0" distL="114300" distR="114300" simplePos="0" relativeHeight="251662336" behindDoc="0" locked="0" layoutInCell="1" allowOverlap="0" wp14:anchorId="34D09258" wp14:editId="408B098B">
          <wp:simplePos x="0" y="0"/>
          <wp:positionH relativeFrom="page">
            <wp:posOffset>1080135</wp:posOffset>
          </wp:positionH>
          <wp:positionV relativeFrom="page">
            <wp:posOffset>9389657</wp:posOffset>
          </wp:positionV>
          <wp:extent cx="5400040" cy="757643"/>
          <wp:effectExtent l="0" t="0" r="0" b="0"/>
          <wp:wrapSquare wrapText="bothSides"/>
          <wp:docPr id="2" name="Picture 8491"/>
          <wp:cNvGraphicFramePr/>
          <a:graphic xmlns:a="http://schemas.openxmlformats.org/drawingml/2006/main">
            <a:graphicData uri="http://schemas.openxmlformats.org/drawingml/2006/picture">
              <pic:pic xmlns:pic="http://schemas.openxmlformats.org/drawingml/2006/picture">
                <pic:nvPicPr>
                  <pic:cNvPr id="8491" name="Picture 8491"/>
                  <pic:cNvPicPr/>
                </pic:nvPicPr>
                <pic:blipFill>
                  <a:blip r:embed="rId1"/>
                  <a:stretch>
                    <a:fillRect/>
                  </a:stretch>
                </pic:blipFill>
                <pic:spPr>
                  <a:xfrm>
                    <a:off x="0" y="0"/>
                    <a:ext cx="5400040" cy="757643"/>
                  </a:xfrm>
                  <a:prstGeom prst="rect">
                    <a:avLst/>
                  </a:prstGeom>
                </pic:spPr>
              </pic:pic>
            </a:graphicData>
          </a:graphic>
        </wp:anchor>
      </w:drawing>
    </w:r>
    <w:r>
      <w:rPr>
        <w:rFonts w:ascii="Calibri" w:eastAsia="Calibri" w:hAnsi="Calibri" w:cs="Calibri"/>
        <w:color w:val="808080"/>
        <w:sz w:val="16"/>
      </w:rPr>
      <w:t xml:space="preserve">Página </w:t>
    </w:r>
    <w:r>
      <w:fldChar w:fldCharType="begin"/>
    </w:r>
    <w:r>
      <w:instrText xml:space="preserve"> PAGE   \* MERGEFORMAT </w:instrText>
    </w:r>
    <w:r>
      <w:fldChar w:fldCharType="separate"/>
    </w:r>
    <w:r>
      <w:rPr>
        <w:rFonts w:ascii="Calibri" w:eastAsia="Calibri" w:hAnsi="Calibri" w:cs="Calibri"/>
        <w:b/>
        <w:color w:val="808080"/>
        <w:sz w:val="16"/>
      </w:rPr>
      <w:t>10</w:t>
    </w:r>
    <w:r>
      <w:rPr>
        <w:rFonts w:ascii="Calibri" w:eastAsia="Calibri" w:hAnsi="Calibri" w:cs="Calibri"/>
        <w:b/>
        <w:color w:val="808080"/>
        <w:sz w:val="16"/>
      </w:rPr>
      <w:fldChar w:fldCharType="end"/>
    </w:r>
    <w:r>
      <w:rPr>
        <w:rFonts w:ascii="Calibri" w:eastAsia="Calibri" w:hAnsi="Calibri" w:cs="Calibri"/>
        <w:color w:val="808080"/>
        <w:sz w:val="16"/>
      </w:rPr>
      <w:t xml:space="preserve"> de </w:t>
    </w:r>
    <w:fldSimple w:instr=" NUMPAGES   \* MERGEFORMAT ">
      <w:r>
        <w:rPr>
          <w:rFonts w:ascii="Calibri" w:eastAsia="Calibri" w:hAnsi="Calibri" w:cs="Calibri"/>
          <w:b/>
          <w:color w:val="808080"/>
          <w:sz w:val="16"/>
        </w:rPr>
        <w:t>15</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7AAF" w14:textId="77777777" w:rsidR="00B14520" w:rsidRDefault="0017442F">
    <w:pPr>
      <w:spacing w:after="0" w:line="259" w:lineRule="auto"/>
      <w:ind w:left="0" w:right="56" w:firstLine="0"/>
      <w:jc w:val="right"/>
    </w:pPr>
    <w:r>
      <w:rPr>
        <w:noProof/>
      </w:rPr>
      <w:drawing>
        <wp:anchor distT="0" distB="0" distL="114300" distR="114300" simplePos="0" relativeHeight="251663360" behindDoc="0" locked="0" layoutInCell="1" allowOverlap="0" wp14:anchorId="30F9EF97" wp14:editId="7F694260">
          <wp:simplePos x="0" y="0"/>
          <wp:positionH relativeFrom="page">
            <wp:posOffset>1080135</wp:posOffset>
          </wp:positionH>
          <wp:positionV relativeFrom="page">
            <wp:posOffset>9389657</wp:posOffset>
          </wp:positionV>
          <wp:extent cx="5400040" cy="757643"/>
          <wp:effectExtent l="0" t="0" r="0" b="0"/>
          <wp:wrapSquare wrapText="bothSides"/>
          <wp:docPr id="3" name="Picture 8491"/>
          <wp:cNvGraphicFramePr/>
          <a:graphic xmlns:a="http://schemas.openxmlformats.org/drawingml/2006/main">
            <a:graphicData uri="http://schemas.openxmlformats.org/drawingml/2006/picture">
              <pic:pic xmlns:pic="http://schemas.openxmlformats.org/drawingml/2006/picture">
                <pic:nvPicPr>
                  <pic:cNvPr id="8491" name="Picture 8491"/>
                  <pic:cNvPicPr/>
                </pic:nvPicPr>
                <pic:blipFill>
                  <a:blip r:embed="rId1"/>
                  <a:stretch>
                    <a:fillRect/>
                  </a:stretch>
                </pic:blipFill>
                <pic:spPr>
                  <a:xfrm>
                    <a:off x="0" y="0"/>
                    <a:ext cx="5400040" cy="757643"/>
                  </a:xfrm>
                  <a:prstGeom prst="rect">
                    <a:avLst/>
                  </a:prstGeom>
                </pic:spPr>
              </pic:pic>
            </a:graphicData>
          </a:graphic>
        </wp:anchor>
      </w:drawing>
    </w:r>
    <w:r>
      <w:rPr>
        <w:rFonts w:ascii="Calibri" w:eastAsia="Calibri" w:hAnsi="Calibri" w:cs="Calibri"/>
        <w:color w:val="808080"/>
        <w:sz w:val="16"/>
      </w:rPr>
      <w:t xml:space="preserve">Página </w:t>
    </w:r>
    <w:r>
      <w:fldChar w:fldCharType="begin"/>
    </w:r>
    <w:r>
      <w:instrText xml:space="preserve"> PAGE   \* MERGEFORMAT </w:instrText>
    </w:r>
    <w:r>
      <w:fldChar w:fldCharType="separate"/>
    </w:r>
    <w:r>
      <w:rPr>
        <w:rFonts w:ascii="Calibri" w:eastAsia="Calibri" w:hAnsi="Calibri" w:cs="Calibri"/>
        <w:b/>
        <w:color w:val="808080"/>
        <w:sz w:val="16"/>
      </w:rPr>
      <w:t>10</w:t>
    </w:r>
    <w:r>
      <w:rPr>
        <w:rFonts w:ascii="Calibri" w:eastAsia="Calibri" w:hAnsi="Calibri" w:cs="Calibri"/>
        <w:b/>
        <w:color w:val="808080"/>
        <w:sz w:val="16"/>
      </w:rPr>
      <w:fldChar w:fldCharType="end"/>
    </w:r>
    <w:r>
      <w:rPr>
        <w:rFonts w:ascii="Calibri" w:eastAsia="Calibri" w:hAnsi="Calibri" w:cs="Calibri"/>
        <w:color w:val="808080"/>
        <w:sz w:val="16"/>
      </w:rPr>
      <w:t xml:space="preserve"> de </w:t>
    </w:r>
    <w:fldSimple w:instr=" NUMPAGES   \* MERGEFORMAT ">
      <w:r>
        <w:rPr>
          <w:rFonts w:ascii="Calibri" w:eastAsia="Calibri" w:hAnsi="Calibri" w:cs="Calibri"/>
          <w:b/>
          <w:color w:val="808080"/>
          <w:sz w:val="16"/>
        </w:rP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9AA01" w14:textId="77777777" w:rsidR="008B0A3C" w:rsidRDefault="008B0A3C">
      <w:pPr>
        <w:spacing w:after="0" w:line="242" w:lineRule="auto"/>
        <w:ind w:left="0" w:right="55" w:firstLine="709"/>
      </w:pPr>
      <w:r>
        <w:separator/>
      </w:r>
    </w:p>
  </w:footnote>
  <w:footnote w:type="continuationSeparator" w:id="0">
    <w:p w14:paraId="1E452836" w14:textId="77777777" w:rsidR="008B0A3C" w:rsidRDefault="008B0A3C">
      <w:pPr>
        <w:spacing w:after="0" w:line="242" w:lineRule="auto"/>
        <w:ind w:left="0" w:right="55" w:firstLine="709"/>
      </w:pPr>
      <w:r>
        <w:continuationSeparator/>
      </w:r>
    </w:p>
  </w:footnote>
  <w:footnote w:id="1">
    <w:p w14:paraId="04246ADE" w14:textId="77777777" w:rsidR="00B14520" w:rsidRDefault="0017442F">
      <w:pPr>
        <w:pStyle w:val="footnotedescription"/>
        <w:spacing w:after="0" w:line="242" w:lineRule="auto"/>
      </w:pPr>
      <w:r>
        <w:rPr>
          <w:rStyle w:val="footnotemark"/>
        </w:rPr>
        <w:footnoteRef/>
      </w:r>
      <w: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04248238" w14:textId="77777777" w:rsidR="00B14520" w:rsidRDefault="0017442F">
      <w:pPr>
        <w:pStyle w:val="footnotedescription"/>
        <w:spacing w:after="0" w:line="240" w:lineRule="auto"/>
        <w:ind w:right="3"/>
      </w:pPr>
      <w:proofErr w:type="gramStart"/>
      <w:r>
        <w:t>»A</w:t>
      </w:r>
      <w:proofErr w:type="gramEnd"/>
      <w: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w:t>
      </w:r>
      <w:proofErr w:type="gramStart"/>
      <w:r>
        <w:t>Constitución .</w:t>
      </w:r>
      <w:proofErr w:type="gramEnd"/>
      <w:r>
        <w:t xml:space="preserve">  Los empleados no contemplados en esta prohibición solo podrán participar en dichas actividades y controversias en las condiciones que señale la Ley Estatutaria».</w:t>
      </w:r>
    </w:p>
  </w:footnote>
  <w:footnote w:id="2">
    <w:p w14:paraId="07A46155" w14:textId="77777777" w:rsidR="00B14520" w:rsidRDefault="0017442F">
      <w:pPr>
        <w:pStyle w:val="footnotedescription"/>
        <w:spacing w:after="236" w:line="242" w:lineRule="auto"/>
        <w:ind w:right="3"/>
      </w:pPr>
      <w:r>
        <w:rPr>
          <w:rStyle w:val="footnotemark"/>
        </w:rPr>
        <w:footnoteRef/>
      </w:r>
      <w:r>
        <w:t xml:space="preserve"> Corte Constitucional. Sentencias: C-233 de 4 de abril de 2002, expediente: D-3704; C-551 de 9 de julio de 2003, expediente: CRF-001 de 9 de julio de 2003; C-652 de 5 de agosto de </w:t>
      </w:r>
      <w:proofErr w:type="gramStart"/>
      <w:r>
        <w:t>2003,  expediente</w:t>
      </w:r>
      <w:proofErr w:type="gramEnd"/>
      <w:r>
        <w:t>: D-4330; C-353 de 20 de mayo de 2009, expediente: D-7518, C-541 de 30 de junio de 2010, expediente: DD7966; entre otras.</w:t>
      </w:r>
    </w:p>
  </w:footnote>
  <w:footnote w:id="3">
    <w:p w14:paraId="4836BC31" w14:textId="77777777" w:rsidR="00B14520" w:rsidRDefault="0017442F">
      <w:pPr>
        <w:pStyle w:val="footnotedescription"/>
        <w:spacing w:after="237" w:line="242" w:lineRule="auto"/>
      </w:pPr>
      <w:r>
        <w:rPr>
          <w:rStyle w:val="footnotemark"/>
        </w:rPr>
        <w:footnoteRef/>
      </w:r>
      <w: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4">
    <w:p w14:paraId="76DE741F" w14:textId="77777777" w:rsidR="00B14520" w:rsidRDefault="0017442F">
      <w:pPr>
        <w:pStyle w:val="footnotedescription"/>
        <w:spacing w:after="0" w:line="245" w:lineRule="auto"/>
        <w:ind w:right="0"/>
      </w:pPr>
      <w:r>
        <w:rPr>
          <w:rStyle w:val="footnotemark"/>
        </w:rPr>
        <w:footnoteRef/>
      </w:r>
      <w:r>
        <w:t xml:space="preserve"> Consejo de Estado, Sala de Consulta y Servicio Civil de fecha 24 de julio de 2013, radicado 2166, </w:t>
      </w:r>
      <w:proofErr w:type="gramStart"/>
      <w:r>
        <w:t>Consejero</w:t>
      </w:r>
      <w:proofErr w:type="gramEnd"/>
      <w:r>
        <w:t xml:space="preserve"> Ponente Álvaro </w:t>
      </w:r>
      <w:proofErr w:type="spellStart"/>
      <w:r>
        <w:t>Namén</w:t>
      </w:r>
      <w:proofErr w:type="spellEnd"/>
      <w:r>
        <w:t xml:space="preserve"> Vargas.  </w:t>
      </w:r>
    </w:p>
  </w:footnote>
  <w:footnote w:id="5">
    <w:p w14:paraId="4F19BEAC" w14:textId="77777777" w:rsidR="00B14520" w:rsidRDefault="0017442F">
      <w:pPr>
        <w:pStyle w:val="footnotedescription"/>
        <w:spacing w:after="197" w:line="279" w:lineRule="auto"/>
      </w:pPr>
      <w:r>
        <w:rPr>
          <w:rStyle w:val="footnotemark"/>
        </w:rPr>
        <w:footnoteRef/>
      </w:r>
      <w:r>
        <w:t xml:space="preserve"> </w:t>
      </w:r>
      <w:proofErr w:type="gramStart"/>
      <w:r>
        <w:t>« Artículo</w:t>
      </w:r>
      <w:proofErr w:type="gramEnd"/>
      <w:r>
        <w:t xml:space="preserve"> 33. Restricciones a la contratación pública.  Durante los </w:t>
      </w:r>
      <w:proofErr w:type="spellStart"/>
      <w:r>
        <w:t>cu</w:t>
      </w:r>
      <w:proofErr w:type="spellEnd"/>
      <w:r>
        <w:t xml:space="preserve"> </w:t>
      </w:r>
      <w:proofErr w:type="spellStart"/>
      <w:r>
        <w:t>atro</w:t>
      </w:r>
      <w:proofErr w:type="spellEnd"/>
      <w:r>
        <w:t xml:space="preserve"> (4) meses anteriores a la elección presidencial y hasta la realización de la elección en la segunda vuelta, si fuere el caso, queda prohibida la contratación directa por parte de todos los entes del Estado.</w:t>
      </w:r>
    </w:p>
    <w:p w14:paraId="29B4BE9A" w14:textId="77777777" w:rsidR="00B14520" w:rsidRDefault="0017442F">
      <w:pPr>
        <w:pStyle w:val="footnotedescription"/>
        <w:spacing w:after="439" w:line="276" w:lineRule="auto"/>
        <w:ind w:firstLine="708"/>
      </w:pPr>
      <w:r>
        <w:t>»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footnote>
  <w:footnote w:id="6">
    <w:p w14:paraId="1600E5ED" w14:textId="77777777" w:rsidR="00B14520" w:rsidRDefault="0017442F">
      <w:pPr>
        <w:pStyle w:val="footnotedescription"/>
        <w:spacing w:after="0" w:line="288" w:lineRule="auto"/>
        <w:ind w:right="0" w:firstLine="708"/>
        <w:jc w:val="left"/>
      </w:pPr>
      <w:r>
        <w:rPr>
          <w:rStyle w:val="footnotemark"/>
        </w:rPr>
        <w:footnoteRef/>
      </w:r>
      <w:r>
        <w:t xml:space="preserve"> «Artículo </w:t>
      </w:r>
      <w:r>
        <w:tab/>
        <w:t xml:space="preserve"> 38. Prohibiciones para los servidores públicos.   A los empleados del Estado les está prohibido:</w:t>
      </w:r>
    </w:p>
    <w:p w14:paraId="3B816F9E" w14:textId="77777777" w:rsidR="00B14520" w:rsidRDefault="0017442F">
      <w:pPr>
        <w:pStyle w:val="footnotedescription"/>
        <w:spacing w:after="15" w:line="259" w:lineRule="auto"/>
        <w:ind w:left="708" w:right="0" w:firstLine="0"/>
        <w:jc w:val="left"/>
      </w:pPr>
      <w:r>
        <w:t>»[…]</w:t>
      </w:r>
    </w:p>
    <w:p w14:paraId="6FA3D4EA" w14:textId="77777777" w:rsidR="00B14520" w:rsidRDefault="0017442F">
      <w:pPr>
        <w:pStyle w:val="footnotedescription"/>
        <w:spacing w:after="0" w:line="276" w:lineRule="auto"/>
        <w:ind w:firstLine="708"/>
      </w:pPr>
      <w:r>
        <w:t xml:space="preserve">» </w:t>
      </w:r>
      <w:proofErr w:type="gramStart"/>
      <w:r>
        <w:t>Parágrafo .</w:t>
      </w:r>
      <w:proofErr w:type="gramEnd"/>
      <w:r>
        <w:t xml:space="preserv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footnote>
  <w:footnote w:id="7">
    <w:p w14:paraId="7B2C1103" w14:textId="77777777" w:rsidR="00B14520" w:rsidRDefault="0017442F">
      <w:pPr>
        <w:pStyle w:val="footnotedescription"/>
        <w:spacing w:after="433" w:line="282" w:lineRule="auto"/>
        <w:ind w:left="102" w:right="0"/>
      </w:pPr>
      <w:r>
        <w:rPr>
          <w:rStyle w:val="footnotemark"/>
        </w:rPr>
        <w:footnoteRef/>
      </w:r>
      <w:r>
        <w:t xml:space="preserve"> Consejo de Estado. Sala de Consulta y Servicio Civil. Concepto del 17 de febrero de 2015. C.P. William Zambrano Cetina. Radicación No. 11001-03-06-000-2015-00164-00(2269).</w:t>
      </w:r>
    </w:p>
  </w:footnote>
  <w:footnote w:id="8">
    <w:p w14:paraId="6495919B" w14:textId="77777777" w:rsidR="00B14520" w:rsidRDefault="0017442F">
      <w:pPr>
        <w:pStyle w:val="footnotedescription"/>
        <w:spacing w:after="669" w:line="279" w:lineRule="auto"/>
      </w:pPr>
      <w:r>
        <w:rPr>
          <w:rStyle w:val="footnotemark"/>
        </w:rPr>
        <w:footnoteRef/>
      </w:r>
      <w:r>
        <w:t xml:space="preserve"> Al respecto, el artículo 150 de la Constitución establece</w:t>
      </w:r>
      <w:proofErr w:type="gramStart"/>
      <w:r>
        <w:t>:  “</w:t>
      </w:r>
      <w:proofErr w:type="gramEnd"/>
      <w:r>
        <w:t xml:space="preserve"> Compete al Congreso expedir el estatuto general de contratación de la administración pública y en especial de la administración nacional”.</w:t>
      </w:r>
    </w:p>
  </w:footnote>
  <w:footnote w:id="9">
    <w:p w14:paraId="58FFC857" w14:textId="77777777" w:rsidR="00B14520" w:rsidRDefault="0017442F">
      <w:pPr>
        <w:pStyle w:val="footnotedescription"/>
        <w:spacing w:after="0" w:line="277" w:lineRule="auto"/>
      </w:pPr>
      <w:r>
        <w:rPr>
          <w:rStyle w:val="footnotemark"/>
        </w:rPr>
        <w:footnoteRef/>
      </w:r>
      <w:r>
        <w:t xml:space="preserve"> En lo pertinente, el artículo 2º de la Ley 80 de 1993 establece que son entidades públicas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footnote>
  <w:footnote w:id="10">
    <w:p w14:paraId="67B5940F" w14:textId="77777777" w:rsidR="00B14520" w:rsidRDefault="0017442F">
      <w:pPr>
        <w:pStyle w:val="footnotedescription"/>
        <w:spacing w:after="17" w:line="243" w:lineRule="auto"/>
      </w:pPr>
      <w:r>
        <w:rPr>
          <w:rStyle w:val="footnotemark"/>
        </w:rPr>
        <w:footnoteRef/>
      </w:r>
      <w:r>
        <w:t xml:space="preserve"> Ley 80 de 1993. Artículo 13. Inc. 1º. Los contratos que celebren las entidades a que se refiere el artículo 2 del presente estatuto se regirán por las disposiciones comerciales y civiles pertinentes, salvo en las materias particularmente reguladas en esta Ley.</w:t>
      </w:r>
    </w:p>
  </w:footnote>
  <w:footnote w:id="11">
    <w:p w14:paraId="3BFDF737" w14:textId="77777777" w:rsidR="00B14520" w:rsidRDefault="0017442F">
      <w:pPr>
        <w:pStyle w:val="footnotedescription"/>
        <w:spacing w:after="0" w:line="242" w:lineRule="auto"/>
      </w:pPr>
      <w:r>
        <w:rPr>
          <w:rStyle w:val="footnotemark"/>
        </w:rPr>
        <w:footnoteRef/>
      </w:r>
      <w:r>
        <w:t xml:space="preserve"> La integración del negocio </w:t>
      </w:r>
      <w:proofErr w:type="gramStart"/>
      <w:r>
        <w:t>jurídico  “</w:t>
      </w:r>
      <w:proofErr w:type="gramEnd"/>
      <w:r>
        <w:t xml:space="preserve"> consiste en incorporarle toda aquella regulación que no tiene fuente en el acuerdo de las partes sino en la ley y en general en las restantes fuentes del derecho externas al contrato, tales como los principios generales del derecho, la equidad y los usos normativos o costumbres como también se les llama. </w:t>
      </w:r>
    </w:p>
    <w:p w14:paraId="1901C4D0" w14:textId="77777777" w:rsidR="00B14520" w:rsidRDefault="0017442F">
      <w:pPr>
        <w:pStyle w:val="footnotedescription"/>
        <w:spacing w:after="20" w:line="240" w:lineRule="auto"/>
      </w:pPr>
      <w:r>
        <w:t xml:space="preserve">En lo que atañe a la integración de la ley al contrato debe decirse que han de incorporarse no sólo las normas legales imperativas sino también las dispositivas, teniendo en cuenta que las primeras tienen que anidarse de manera ineludible e inmediata en el contrato, independientemente del querer de las partes, mientras que las segundas han de integrarse a falta de estipulación o de acuerdo en contrario de los contratantes, razón por la que en este último caso se dice que estas normas supletivas colman los vacíos dejados por los disponentes pero sólo aquellos que no puedan ni deban ser llenados con los criterios de la hermenéutica negocial, pues en este evento se estaría entonces frente a una labor de interpretación y no a una de integración contractual ”.  Consejo de Estado, Sala de lo Contencioso Administrativo, Sección Tercera, Subsección C. Sentencia de 13 de junio de 2013, </w:t>
      </w:r>
      <w:proofErr w:type="spellStart"/>
      <w:proofErr w:type="gramStart"/>
      <w:r>
        <w:t>Exp</w:t>
      </w:r>
      <w:proofErr w:type="spellEnd"/>
      <w:r>
        <w:t xml:space="preserve"> .</w:t>
      </w:r>
      <w:proofErr w:type="gramEnd"/>
      <w:r>
        <w:t xml:space="preserve">  23730.</w:t>
      </w:r>
    </w:p>
  </w:footnote>
  <w:footnote w:id="12">
    <w:p w14:paraId="73E80C24" w14:textId="77777777" w:rsidR="00B14520" w:rsidRDefault="0017442F">
      <w:pPr>
        <w:pStyle w:val="footnotedescription"/>
        <w:ind w:right="0"/>
      </w:pPr>
      <w:r>
        <w:rPr>
          <w:rStyle w:val="footnotemark"/>
        </w:rPr>
        <w:footnoteRef/>
      </w:r>
      <w:r>
        <w:t xml:space="preserve"> Código Civil. Artículo 18. La Ley es obligatoria tanto a los nacionales como a los extranjeros residentes en Colombia.</w:t>
      </w:r>
    </w:p>
  </w:footnote>
  <w:footnote w:id="13">
    <w:p w14:paraId="2826C434" w14:textId="77777777" w:rsidR="00B14520" w:rsidRDefault="0017442F">
      <w:pPr>
        <w:pStyle w:val="footnotedescription"/>
        <w:spacing w:after="0" w:line="243" w:lineRule="auto"/>
      </w:pPr>
      <w:r>
        <w:rPr>
          <w:rStyle w:val="footnotemark"/>
        </w:rPr>
        <w:footnoteRef/>
      </w:r>
      <w:r>
        <w:t xml:space="preserve"> Ley 4º de 1913. Código de Régimen Político y Municipal. Artículo 57. Las leyes obligan a todos los habitantes del país, inclusive a los extranjeros, sean domiciliados o transeúntes, salvo, respecto de estos, los derechos concedidos en los tratados públicos.</w:t>
      </w:r>
    </w:p>
  </w:footnote>
  <w:footnote w:id="14">
    <w:p w14:paraId="7241D3EE" w14:textId="77777777" w:rsidR="00B14520" w:rsidRDefault="0017442F">
      <w:pPr>
        <w:pStyle w:val="footnotedescription"/>
        <w:spacing w:after="17" w:line="241" w:lineRule="auto"/>
      </w:pPr>
      <w:r>
        <w:rPr>
          <w:rStyle w:val="footnotemark"/>
        </w:rPr>
        <w:footnoteRef/>
      </w:r>
      <w:r>
        <w:t xml:space="preserve"> </w:t>
      </w:r>
      <w:proofErr w:type="gramStart"/>
      <w:r>
        <w:t>“ Los</w:t>
      </w:r>
      <w:proofErr w:type="gramEnd"/>
      <w:r>
        <w:t xml:space="preserve"> controles y regulaciones nacionales verán muy limitada su efectividad si son incongruentes con las condiciones internacionales. En otras palabras, las normas y reglas de los mercados regionales y globales no pueden ser trasgredidas a largo plazo. O, para expresarlo de otra manera, las medidas económicas de un Estado deben ser compatibles con los movimientos de capital regionales y globales, a menos que el gobierno nacional quiera arriesgarse a sufrir graves desbarajustes entre sus objetivos y los flujos de la economía internacional</w:t>
      </w:r>
      <w:proofErr w:type="gramStart"/>
      <w:r>
        <w:t>. ”</w:t>
      </w:r>
      <w:proofErr w:type="gramEnd"/>
      <w:r>
        <w:t xml:space="preserve"> . HELD, David. La democracia y el orden global. Del Estado moderno al gobierno cosmopolita. Barcelona, Paidós, 1997, p. 164.</w:t>
      </w:r>
    </w:p>
  </w:footnote>
  <w:footnote w:id="15">
    <w:p w14:paraId="626C57E1" w14:textId="77777777" w:rsidR="00B14520" w:rsidRDefault="0017442F">
      <w:pPr>
        <w:pStyle w:val="footnotedescription"/>
        <w:spacing w:after="0" w:line="249" w:lineRule="auto"/>
        <w:ind w:right="0"/>
      </w:pPr>
      <w:r>
        <w:rPr>
          <w:rStyle w:val="footnotemark"/>
        </w:rPr>
        <w:footnoteRef/>
      </w:r>
      <w:r>
        <w:t xml:space="preserve"> SANTOFIMIO GAMBOA, Jaime Orlando. Tratado de Derecho Administrativo. Tomo IV. Contratación Indebida. Bogotá, Universidad Externado de Colombia, 2004, p.</w:t>
      </w:r>
    </w:p>
  </w:footnote>
  <w:footnote w:id="16">
    <w:p w14:paraId="71744DD8" w14:textId="77777777" w:rsidR="00B14520" w:rsidRDefault="0017442F">
      <w:pPr>
        <w:pStyle w:val="footnotedescription"/>
        <w:spacing w:after="15" w:line="247" w:lineRule="auto"/>
        <w:ind w:right="0"/>
      </w:pPr>
      <w:r>
        <w:rPr>
          <w:rStyle w:val="footnotemark"/>
        </w:rPr>
        <w:footnoteRef/>
      </w:r>
      <w:r>
        <w:t xml:space="preserve"> Consejo de Estado, Sala de Consulta y Servicio Civil, concepto de 29 enero de 2004, radicado No. 1531.</w:t>
      </w:r>
    </w:p>
  </w:footnote>
  <w:footnote w:id="17">
    <w:p w14:paraId="15DB4205" w14:textId="77777777" w:rsidR="00B14520" w:rsidRDefault="0017442F">
      <w:pPr>
        <w:pStyle w:val="footnotedescription"/>
        <w:spacing w:after="0" w:line="238" w:lineRule="auto"/>
      </w:pPr>
      <w:r>
        <w:rPr>
          <w:rStyle w:val="footnotemark"/>
        </w:rPr>
        <w:footnoteRef/>
      </w:r>
      <w:r>
        <w:t xml:space="preserve"> Al respecto, </w:t>
      </w:r>
      <w:proofErr w:type="gramStart"/>
      <w:r>
        <w:t xml:space="preserve">el  </w:t>
      </w:r>
      <w:proofErr w:type="spellStart"/>
      <w:r>
        <w:t>el</w:t>
      </w:r>
      <w:proofErr w:type="spellEnd"/>
      <w:proofErr w:type="gramEnd"/>
      <w:r>
        <w:t xml:space="preserve"> literal i) del numeral 1 del artículo 1 de la Ley 32 de 1985, “  Por medio de la cual se aprueba la  “ Convención de Viena sobre el derecho de los tratados ” , establece: “  se entiende por organización internacional una organización intergubernamental”</w:t>
      </w:r>
      <w:r>
        <w:rPr>
          <w:rFonts w:ascii="Calibri" w:eastAsia="Calibri" w:hAnsi="Calibri" w:cs="Calibri"/>
        </w:rPr>
        <w:t xml:space="preserve"> </w:t>
      </w:r>
    </w:p>
  </w:footnote>
  <w:footnote w:id="18">
    <w:p w14:paraId="178078AF" w14:textId="77777777" w:rsidR="00B14520" w:rsidRDefault="0017442F">
      <w:pPr>
        <w:pStyle w:val="footnotedescription"/>
        <w:spacing w:after="0" w:line="259" w:lineRule="auto"/>
        <w:ind w:left="709" w:right="0" w:firstLine="0"/>
        <w:jc w:val="left"/>
      </w:pPr>
      <w:r>
        <w:rPr>
          <w:rStyle w:val="footnotemark"/>
        </w:rPr>
        <w:footnoteRef/>
      </w:r>
      <w:r>
        <w:t xml:space="preserve"> Esta norma fue expresamente derogada por el art. 32 de la Ley 1150 de 2007</w:t>
      </w:r>
      <w:r>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2315"/>
    <w:multiLevelType w:val="hybridMultilevel"/>
    <w:tmpl w:val="1596A38E"/>
    <w:lvl w:ilvl="0" w:tplc="1C2C3CAC">
      <w:start w:val="1"/>
      <w:numFmt w:val="bullet"/>
      <w:lvlText w:val="•"/>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1ABC60">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8049A2">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6C18C6">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4E9EA2">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F062DE">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12F6FE">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C24EAE">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605D42">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E76228"/>
    <w:multiLevelType w:val="hybridMultilevel"/>
    <w:tmpl w:val="D0640D2A"/>
    <w:lvl w:ilvl="0" w:tplc="6594464E">
      <w:start w:val="2"/>
      <w:numFmt w:val="lowerRoman"/>
      <w:lvlText w:val="%1"/>
      <w:lvlJc w:val="left"/>
      <w:pPr>
        <w:ind w:left="562"/>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1" w:tplc="6B0AC524">
      <w:start w:val="1"/>
      <w:numFmt w:val="lowerLetter"/>
      <w:lvlText w:val="%2"/>
      <w:lvlJc w:val="left"/>
      <w:pPr>
        <w:ind w:left="164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768C5F5A">
      <w:start w:val="1"/>
      <w:numFmt w:val="lowerRoman"/>
      <w:lvlText w:val="%3"/>
      <w:lvlJc w:val="left"/>
      <w:pPr>
        <w:ind w:left="236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605E8F16">
      <w:start w:val="1"/>
      <w:numFmt w:val="decimal"/>
      <w:lvlText w:val="%4"/>
      <w:lvlJc w:val="left"/>
      <w:pPr>
        <w:ind w:left="308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AA1A1572">
      <w:start w:val="1"/>
      <w:numFmt w:val="lowerLetter"/>
      <w:lvlText w:val="%5"/>
      <w:lvlJc w:val="left"/>
      <w:pPr>
        <w:ind w:left="380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111E286C">
      <w:start w:val="1"/>
      <w:numFmt w:val="lowerRoman"/>
      <w:lvlText w:val="%6"/>
      <w:lvlJc w:val="left"/>
      <w:pPr>
        <w:ind w:left="452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12F83868">
      <w:start w:val="1"/>
      <w:numFmt w:val="decimal"/>
      <w:lvlText w:val="%7"/>
      <w:lvlJc w:val="left"/>
      <w:pPr>
        <w:ind w:left="524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35D6A722">
      <w:start w:val="1"/>
      <w:numFmt w:val="lowerLetter"/>
      <w:lvlText w:val="%8"/>
      <w:lvlJc w:val="left"/>
      <w:pPr>
        <w:ind w:left="596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3A38C710">
      <w:start w:val="1"/>
      <w:numFmt w:val="lowerRoman"/>
      <w:lvlText w:val="%9"/>
      <w:lvlJc w:val="left"/>
      <w:pPr>
        <w:ind w:left="6687"/>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B977883"/>
    <w:multiLevelType w:val="multilevel"/>
    <w:tmpl w:val="2DB856E2"/>
    <w:lvl w:ilvl="0">
      <w:start w:val="1"/>
      <w:numFmt w:val="decimal"/>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pStyle w:val="Ttulo3"/>
      <w:lvlText w:val="%1.%2.%3."/>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pStyle w:val="Ttulo4"/>
      <w:lvlText w:val="%1.%2.%3.%4."/>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7C35A2"/>
    <w:multiLevelType w:val="hybridMultilevel"/>
    <w:tmpl w:val="7B68B14E"/>
    <w:lvl w:ilvl="0" w:tplc="737846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C2FC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C627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D630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20B4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38D3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7EE0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7C1F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90EF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6BB0508"/>
    <w:multiLevelType w:val="hybridMultilevel"/>
    <w:tmpl w:val="77346C4C"/>
    <w:lvl w:ilvl="0" w:tplc="1CDEC7F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B23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4469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A2E5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7A13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DEF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D072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0037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1C15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20"/>
    <w:rsid w:val="0017442F"/>
    <w:rsid w:val="00176E6D"/>
    <w:rsid w:val="001D042C"/>
    <w:rsid w:val="001F797E"/>
    <w:rsid w:val="00323EAA"/>
    <w:rsid w:val="006D06B8"/>
    <w:rsid w:val="00750488"/>
    <w:rsid w:val="008B0A3C"/>
    <w:rsid w:val="00AA323B"/>
    <w:rsid w:val="00B14520"/>
    <w:rsid w:val="00CE75A7"/>
    <w:rsid w:val="00FC4B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294E3"/>
  <w15:docId w15:val="{5C4EA67C-95E0-464C-86C5-DA8999C9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6" w:line="248" w:lineRule="auto"/>
      <w:ind w:left="10" w:hanging="10"/>
      <w:jc w:val="both"/>
    </w:pPr>
    <w:rPr>
      <w:rFonts w:ascii="Arial" w:eastAsia="Arial" w:hAnsi="Arial" w:cs="Arial"/>
      <w:color w:val="000000"/>
    </w:rPr>
  </w:style>
  <w:style w:type="paragraph" w:styleId="Ttulo1">
    <w:name w:val="heading 1"/>
    <w:next w:val="Normal"/>
    <w:link w:val="Ttulo1Car"/>
    <w:uiPriority w:val="9"/>
    <w:qFormat/>
    <w:pPr>
      <w:keepNext/>
      <w:keepLines/>
      <w:numPr>
        <w:numId w:val="5"/>
      </w:numPr>
      <w:spacing w:after="244" w:line="250" w:lineRule="auto"/>
      <w:ind w:left="10" w:right="4479" w:hanging="10"/>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numPr>
        <w:ilvl w:val="1"/>
        <w:numId w:val="5"/>
      </w:numPr>
      <w:spacing w:after="244" w:line="250" w:lineRule="auto"/>
      <w:ind w:left="10" w:right="4479" w:hanging="10"/>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numPr>
        <w:ilvl w:val="2"/>
        <w:numId w:val="5"/>
      </w:numPr>
      <w:spacing w:after="244" w:line="250" w:lineRule="auto"/>
      <w:ind w:left="10" w:right="4479" w:hanging="10"/>
      <w:outlineLvl w:val="2"/>
    </w:pPr>
    <w:rPr>
      <w:rFonts w:ascii="Arial" w:eastAsia="Arial" w:hAnsi="Arial" w:cs="Arial"/>
      <w:b/>
      <w:color w:val="000000"/>
    </w:rPr>
  </w:style>
  <w:style w:type="paragraph" w:styleId="Ttulo4">
    <w:name w:val="heading 4"/>
    <w:next w:val="Normal"/>
    <w:link w:val="Ttulo4Car"/>
    <w:uiPriority w:val="9"/>
    <w:unhideWhenUsed/>
    <w:qFormat/>
    <w:pPr>
      <w:keepNext/>
      <w:keepLines/>
      <w:numPr>
        <w:ilvl w:val="3"/>
        <w:numId w:val="5"/>
      </w:numPr>
      <w:spacing w:after="244" w:line="250" w:lineRule="auto"/>
      <w:ind w:left="10" w:right="4479" w:hanging="10"/>
      <w:outlineLvl w:val="3"/>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14" w:line="246" w:lineRule="auto"/>
      <w:ind w:right="55" w:firstLine="709"/>
      <w:jc w:val="both"/>
    </w:pPr>
    <w:rPr>
      <w:rFonts w:ascii="Arial" w:eastAsia="Arial" w:hAnsi="Arial" w:cs="Arial"/>
      <w:color w:val="000000"/>
      <w:sz w:val="19"/>
    </w:rPr>
  </w:style>
  <w:style w:type="character" w:customStyle="1" w:styleId="footnotedescriptionChar">
    <w:name w:val="footnote description Char"/>
    <w:link w:val="footnotedescription"/>
    <w:rPr>
      <w:rFonts w:ascii="Arial" w:eastAsia="Arial" w:hAnsi="Arial" w:cs="Arial"/>
      <w:color w:val="000000"/>
      <w:sz w:val="19"/>
    </w:rPr>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character" w:customStyle="1" w:styleId="Ttulo3Car">
    <w:name w:val="Título 3 Car"/>
    <w:link w:val="Ttulo3"/>
    <w:rPr>
      <w:rFonts w:ascii="Arial" w:eastAsia="Arial" w:hAnsi="Arial" w:cs="Arial"/>
      <w:b/>
      <w:color w:val="000000"/>
      <w:sz w:val="22"/>
    </w:rPr>
  </w:style>
  <w:style w:type="character" w:customStyle="1" w:styleId="Ttulo4Car">
    <w:name w:val="Título 4 Car"/>
    <w:link w:val="Ttulo4"/>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9"/>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inespaciado">
    <w:name w:val="No Spacing"/>
    <w:uiPriority w:val="1"/>
    <w:qFormat/>
    <w:rsid w:val="00FC4BD6"/>
    <w:pPr>
      <w:spacing w:after="0" w:line="240" w:lineRule="auto"/>
      <w:ind w:left="10" w:hanging="10"/>
      <w:jc w:val="both"/>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retariasenado.gov.co/senado/basedoc/ley_0080_1993.html" TargetMode="External"/><Relationship Id="rId18" Type="http://schemas.openxmlformats.org/officeDocument/2006/relationships/hyperlink" Target="http://www.secretariasenado.gov.co/senado/basedoc/ley_0080_1993.html"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www.secretariasenado.gov.co/senado/basedoc/ley_0080_1993.html" TargetMode="External"/><Relationship Id="rId7" Type="http://schemas.openxmlformats.org/officeDocument/2006/relationships/webSettings" Target="webSettings.xml"/><Relationship Id="rId12" Type="http://schemas.openxmlformats.org/officeDocument/2006/relationships/hyperlink" Target="http://www.secretariasenado.gov.co/senado/basedoc/ley_0080_1993.html" TargetMode="External"/><Relationship Id="rId17" Type="http://schemas.openxmlformats.org/officeDocument/2006/relationships/hyperlink" Target="http://www.secretariasenado.gov.co/senado/basedoc/ley_0080_1993.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yperlink" Target="http://www.secretariasenado.gov.co/senado/basedoc/ley_0080_1993.html"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ley_0080_1993.html"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secretariasenado.gov.co/senado/basedoc/ley_0080_1993.html" TargetMode="External"/><Relationship Id="rId23" Type="http://schemas.openxmlformats.org/officeDocument/2006/relationships/footer" Target="footer1.xml"/><Relationship Id="rId28" Type="http://schemas.openxmlformats.org/officeDocument/2006/relationships/footer" Target="footer5.xml"/><Relationship Id="rId10" Type="http://schemas.openxmlformats.org/officeDocument/2006/relationships/hyperlink" Target="http://www.secretariasenado.gov.co/senado/basedoc/ley_0080_1993.html" TargetMode="External"/><Relationship Id="rId19" Type="http://schemas.openxmlformats.org/officeDocument/2006/relationships/hyperlink" Target="http://www.secretariasenado.gov.co/senado/basedoc/ley_0080_1993.htm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cretariasenado.gov.co/senado/basedoc/ley_0080_1993.html" TargetMode="External"/><Relationship Id="rId22" Type="http://schemas.openxmlformats.org/officeDocument/2006/relationships/hyperlink" Target="http://www.secretariasenado.gov.co/senado/basedoc/ley_0080_1993.html" TargetMode="External"/><Relationship Id="rId27" Type="http://schemas.openxmlformats.org/officeDocument/2006/relationships/footer" Target="footer4.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A74196F-2C64-4336-BA50-30EA43B74CCB}">
  <ds:schemaRefs>
    <ds:schemaRef ds:uri="http://schemas.microsoft.com/sharepoint/v3/contenttype/forms"/>
  </ds:schemaRefs>
</ds:datastoreItem>
</file>

<file path=customXml/itemProps2.xml><?xml version="1.0" encoding="utf-8"?>
<ds:datastoreItem xmlns:ds="http://schemas.openxmlformats.org/officeDocument/2006/customXml" ds:itemID="{7260E50F-4CFE-40DE-A6A4-3675226E4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3D008-4C67-4381-A98C-75BDC1728764}">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8009</Words>
  <Characters>44055</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Londoño</dc:creator>
  <cp:keywords/>
  <cp:lastModifiedBy>Nina María Padrón</cp:lastModifiedBy>
  <cp:revision>2</cp:revision>
  <dcterms:created xsi:type="dcterms:W3CDTF">2021-12-29T16:52:00Z</dcterms:created>
  <dcterms:modified xsi:type="dcterms:W3CDTF">2021-12-29T16:52:00Z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