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6072" w14:textId="3E0D5479" w:rsidR="00DE7D58" w:rsidRDefault="00904CD9" w:rsidP="00904CD9">
      <w:pPr>
        <w:spacing w:line="276" w:lineRule="auto"/>
        <w:jc w:val="right"/>
        <w:rPr>
          <w:rFonts w:ascii="Arial" w:eastAsia="Calibri" w:hAnsi="Arial" w:cs="Arial"/>
          <w:sz w:val="20"/>
          <w:szCs w:val="20"/>
          <w:lang w:val="es-CO"/>
        </w:rPr>
      </w:pPr>
      <w:bookmarkStart w:id="0" w:name="_Hlk29890381"/>
      <w:bookmarkEnd w:id="0"/>
      <w:r w:rsidRPr="00BB0056">
        <w:rPr>
          <w:rFonts w:ascii="Arial" w:eastAsia="Times New Roman" w:hAnsi="Arial" w:cs="Arial"/>
          <w:b/>
          <w:bCs/>
          <w:sz w:val="16"/>
          <w:szCs w:val="16"/>
          <w:lang w:val="es-CO" w:eastAsia="es-ES"/>
        </w:rPr>
        <w:t>CCE-DES-FM-17</w:t>
      </w:r>
    </w:p>
    <w:p w14:paraId="38FF1264" w14:textId="4C3E38E4" w:rsidR="00904CD9" w:rsidRDefault="00904CD9" w:rsidP="001E1694">
      <w:pPr>
        <w:spacing w:line="276" w:lineRule="auto"/>
        <w:rPr>
          <w:rFonts w:ascii="Arial" w:eastAsia="Calibri" w:hAnsi="Arial" w:cs="Arial"/>
          <w:sz w:val="20"/>
          <w:szCs w:val="20"/>
          <w:lang w:val="es-CO"/>
        </w:rPr>
      </w:pPr>
    </w:p>
    <w:p w14:paraId="0A196D88" w14:textId="053EC513" w:rsidR="0028382A" w:rsidRDefault="0028382A" w:rsidP="001C54B1">
      <w:pPr>
        <w:rPr>
          <w:rFonts w:ascii="Arial" w:eastAsia="Calibri" w:hAnsi="Arial" w:cs="Arial"/>
          <w:sz w:val="20"/>
          <w:szCs w:val="20"/>
          <w:lang w:val="es-CO"/>
        </w:rPr>
      </w:pPr>
    </w:p>
    <w:p w14:paraId="7C64A921" w14:textId="380C11AF" w:rsidR="00C339FE" w:rsidRDefault="00C339FE" w:rsidP="001C54B1">
      <w:pPr>
        <w:jc w:val="both"/>
        <w:rPr>
          <w:rFonts w:ascii="Arial" w:eastAsia="Calibri" w:hAnsi="Arial" w:cs="Arial"/>
          <w:b/>
          <w:sz w:val="22"/>
          <w:lang w:val="es-CO"/>
        </w:rPr>
      </w:pPr>
      <w:r>
        <w:rPr>
          <w:rFonts w:ascii="Arial" w:eastAsia="Calibri" w:hAnsi="Arial" w:cs="Arial"/>
          <w:b/>
          <w:sz w:val="22"/>
          <w:lang w:val="es-CO"/>
        </w:rPr>
        <w:t>DOCUMENTOS TIPO – Fundamento normativo – generalidades</w:t>
      </w:r>
    </w:p>
    <w:p w14:paraId="2A4A99DB" w14:textId="77777777" w:rsidR="00C339FE" w:rsidRDefault="00C339FE" w:rsidP="001C54B1">
      <w:pPr>
        <w:jc w:val="both"/>
        <w:rPr>
          <w:rFonts w:ascii="Arial" w:eastAsia="Calibri" w:hAnsi="Arial" w:cs="Arial"/>
          <w:b/>
          <w:sz w:val="22"/>
          <w:lang w:val="es-CO"/>
        </w:rPr>
      </w:pPr>
    </w:p>
    <w:p w14:paraId="0EA4AA7B" w14:textId="29F0E07F" w:rsidR="00C339FE" w:rsidRPr="00C339FE" w:rsidRDefault="00C339FE" w:rsidP="00C339FE">
      <w:pPr>
        <w:shd w:val="clear" w:color="auto" w:fill="FFFFFF"/>
        <w:jc w:val="both"/>
        <w:rPr>
          <w:rFonts w:ascii="Arial" w:hAnsi="Arial" w:cs="Arial"/>
          <w:color w:val="0D0D0D"/>
          <w:sz w:val="20"/>
          <w:szCs w:val="20"/>
          <w:bdr w:val="none" w:sz="0" w:space="0" w:color="auto" w:frame="1"/>
          <w:lang w:eastAsia="es-CO"/>
        </w:rPr>
      </w:pPr>
      <w:r w:rsidRPr="00C339FE">
        <w:rPr>
          <w:rFonts w:ascii="Arial" w:hAnsi="Arial" w:cs="Arial"/>
          <w:color w:val="0D0D0D"/>
          <w:sz w:val="20"/>
          <w:szCs w:val="20"/>
          <w:bdr w:val="none" w:sz="0" w:space="0" w:color="auto" w:frame="1"/>
          <w:lang w:eastAsia="es-CO"/>
        </w:rPr>
        <w:t>Los pliegos tipo surgen en el 2007 cuando el legislador facultó al Gobierno Nacional para adoptarlos en la compra o suministro de bienes de características técnicas uniformes.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p>
    <w:p w14:paraId="18E12402" w14:textId="77777777" w:rsidR="00C339FE" w:rsidRPr="00C339FE" w:rsidRDefault="00C339FE" w:rsidP="00C339FE">
      <w:pPr>
        <w:shd w:val="clear" w:color="auto" w:fill="FFFFFF"/>
        <w:jc w:val="both"/>
        <w:rPr>
          <w:rFonts w:ascii="Arial" w:hAnsi="Arial" w:cs="Arial"/>
          <w:color w:val="0D0D0D"/>
          <w:sz w:val="20"/>
          <w:szCs w:val="20"/>
          <w:bdr w:val="none" w:sz="0" w:space="0" w:color="auto" w:frame="1"/>
          <w:lang w:eastAsia="es-CO"/>
        </w:rPr>
      </w:pPr>
    </w:p>
    <w:p w14:paraId="51A69FF6" w14:textId="49EC6D42" w:rsidR="00C339FE" w:rsidRDefault="00C339FE" w:rsidP="00C339FE">
      <w:pPr>
        <w:jc w:val="both"/>
        <w:rPr>
          <w:rFonts w:ascii="Arial" w:hAnsi="Arial" w:cs="Arial"/>
          <w:color w:val="0D0D0D"/>
          <w:sz w:val="20"/>
          <w:szCs w:val="20"/>
          <w:bdr w:val="none" w:sz="0" w:space="0" w:color="auto" w:frame="1"/>
          <w:lang w:eastAsia="es-CO"/>
        </w:rPr>
      </w:pPr>
      <w:r w:rsidRPr="00C339FE">
        <w:rPr>
          <w:rFonts w:ascii="Arial" w:hAnsi="Arial" w:cs="Arial"/>
          <w:color w:val="0D0D0D"/>
          <w:sz w:val="20"/>
          <w:szCs w:val="20"/>
          <w:bdr w:val="none" w:sz="0" w:space="0" w:color="auto" w:frame="1"/>
          <w:lang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 Sin embargo, en el texto aprobado, los pliegos tipo se limitaron a la adquisición o suministro de bienes de características técnicas uniformes</w:t>
      </w:r>
      <w:r>
        <w:rPr>
          <w:rFonts w:ascii="Arial" w:hAnsi="Arial" w:cs="Arial"/>
          <w:color w:val="0D0D0D"/>
          <w:sz w:val="20"/>
          <w:szCs w:val="20"/>
          <w:bdr w:val="none" w:sz="0" w:space="0" w:color="auto" w:frame="1"/>
          <w:lang w:eastAsia="es-CO"/>
        </w:rPr>
        <w:t>.</w:t>
      </w:r>
    </w:p>
    <w:p w14:paraId="0E28637B" w14:textId="24DE08B6" w:rsidR="00C339FE" w:rsidRDefault="00C339FE" w:rsidP="00C339FE">
      <w:pPr>
        <w:jc w:val="both"/>
        <w:rPr>
          <w:rFonts w:ascii="Arial" w:hAnsi="Arial" w:cs="Arial"/>
          <w:color w:val="0D0D0D"/>
          <w:sz w:val="20"/>
          <w:szCs w:val="20"/>
          <w:bdr w:val="none" w:sz="0" w:space="0" w:color="auto" w:frame="1"/>
          <w:lang w:eastAsia="es-CO"/>
        </w:rPr>
      </w:pPr>
    </w:p>
    <w:p w14:paraId="7500F692" w14:textId="565627DD" w:rsidR="00C339FE" w:rsidRPr="00C65F11" w:rsidRDefault="00C65F11" w:rsidP="00C339FE">
      <w:pPr>
        <w:jc w:val="both"/>
        <w:rPr>
          <w:rFonts w:ascii="Arial" w:hAnsi="Arial" w:cs="Arial"/>
          <w:b/>
          <w:color w:val="0D0D0D"/>
          <w:sz w:val="22"/>
          <w:bdr w:val="none" w:sz="0" w:space="0" w:color="auto" w:frame="1"/>
          <w:lang w:eastAsia="es-CO"/>
        </w:rPr>
      </w:pPr>
      <w:r w:rsidRPr="00C65F11">
        <w:rPr>
          <w:rFonts w:ascii="Arial" w:hAnsi="Arial" w:cs="Arial"/>
          <w:b/>
          <w:color w:val="0D0D0D"/>
          <w:sz w:val="22"/>
          <w:bdr w:val="none" w:sz="0" w:space="0" w:color="auto" w:frame="1"/>
          <w:lang w:eastAsia="es-CO"/>
        </w:rPr>
        <w:t xml:space="preserve">DOCUMENTO TIPO – Fundamento normativo – obligatoriedad de los documentos o pliegos tipo – Ley </w:t>
      </w:r>
      <w:r>
        <w:rPr>
          <w:rFonts w:ascii="Arial" w:hAnsi="Arial" w:cs="Arial"/>
          <w:b/>
          <w:color w:val="0D0D0D"/>
          <w:sz w:val="22"/>
          <w:bdr w:val="none" w:sz="0" w:space="0" w:color="auto" w:frame="1"/>
          <w:lang w:eastAsia="es-CO"/>
        </w:rPr>
        <w:t>2022 de 2020</w:t>
      </w:r>
      <w:r w:rsidRPr="00C65F11">
        <w:rPr>
          <w:rFonts w:ascii="Arial" w:hAnsi="Arial" w:cs="Arial"/>
          <w:b/>
          <w:color w:val="0D0D0D"/>
          <w:sz w:val="22"/>
          <w:bdr w:val="none" w:sz="0" w:space="0" w:color="auto" w:frame="1"/>
          <w:lang w:eastAsia="es-CO"/>
        </w:rPr>
        <w:t xml:space="preserve"> </w:t>
      </w:r>
    </w:p>
    <w:p w14:paraId="722B38D0" w14:textId="02B127D0" w:rsidR="00C65F11" w:rsidRDefault="00C65F11" w:rsidP="00C339FE">
      <w:pPr>
        <w:jc w:val="both"/>
        <w:rPr>
          <w:rFonts w:ascii="Arial" w:hAnsi="Arial" w:cs="Arial"/>
          <w:color w:val="0D0D0D"/>
          <w:sz w:val="20"/>
          <w:szCs w:val="20"/>
          <w:bdr w:val="none" w:sz="0" w:space="0" w:color="auto" w:frame="1"/>
          <w:lang w:eastAsia="es-CO"/>
        </w:rPr>
      </w:pPr>
    </w:p>
    <w:p w14:paraId="4DCF4E48" w14:textId="77777777" w:rsidR="00C65F11" w:rsidRDefault="00C65F11" w:rsidP="00C65F11">
      <w:pPr>
        <w:shd w:val="clear" w:color="auto" w:fill="FFFFFF"/>
        <w:jc w:val="both"/>
        <w:rPr>
          <w:rFonts w:ascii="Arial" w:hAnsi="Arial" w:cs="Arial"/>
          <w:color w:val="0D0D0D"/>
          <w:sz w:val="20"/>
          <w:szCs w:val="20"/>
          <w:bdr w:val="none" w:sz="0" w:space="0" w:color="auto" w:frame="1"/>
          <w:lang w:eastAsia="es-CO"/>
        </w:rPr>
      </w:pPr>
      <w:r w:rsidRPr="00C65F11">
        <w:rPr>
          <w:rFonts w:ascii="Arial" w:hAnsi="Arial" w:cs="Arial"/>
          <w:color w:val="0D0D0D"/>
          <w:sz w:val="20"/>
          <w:szCs w:val="20"/>
          <w:bdr w:val="none" w:sz="0" w:space="0" w:color="auto" w:frame="1"/>
          <w:lang w:eastAsia="es-CO"/>
        </w:rPr>
        <w:t>[…]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p>
    <w:p w14:paraId="43482380" w14:textId="593B2A36" w:rsidR="00C65F11" w:rsidRPr="00C65F11" w:rsidRDefault="00C65F11" w:rsidP="00C65F11">
      <w:pPr>
        <w:shd w:val="clear" w:color="auto" w:fill="FFFFFF"/>
        <w:jc w:val="both"/>
        <w:rPr>
          <w:rFonts w:ascii="Arial" w:hAnsi="Arial" w:cs="Arial"/>
          <w:color w:val="0D0D0D"/>
          <w:sz w:val="20"/>
          <w:szCs w:val="20"/>
          <w:bdr w:val="none" w:sz="0" w:space="0" w:color="auto" w:frame="1"/>
          <w:lang w:eastAsia="es-CO"/>
        </w:rPr>
      </w:pPr>
      <w:r w:rsidRPr="00C65F11">
        <w:rPr>
          <w:rFonts w:ascii="Arial" w:hAnsi="Arial" w:cs="Arial"/>
          <w:color w:val="0D0D0D"/>
          <w:sz w:val="20"/>
          <w:szCs w:val="20"/>
          <w:bdr w:val="none" w:sz="0" w:space="0" w:color="auto" w:frame="1"/>
          <w:lang w:eastAsia="es-CO"/>
        </w:rPr>
        <w:t xml:space="preserve">  </w:t>
      </w:r>
    </w:p>
    <w:p w14:paraId="61510EFC" w14:textId="491C2309" w:rsidR="00C65F11" w:rsidRPr="00C339FE" w:rsidRDefault="00C65F11" w:rsidP="00C65F11">
      <w:pPr>
        <w:jc w:val="both"/>
        <w:rPr>
          <w:rFonts w:ascii="Arial" w:hAnsi="Arial" w:cs="Arial"/>
          <w:color w:val="0D0D0D"/>
          <w:sz w:val="20"/>
          <w:szCs w:val="20"/>
          <w:bdr w:val="none" w:sz="0" w:space="0" w:color="auto" w:frame="1"/>
          <w:lang w:eastAsia="es-CO"/>
        </w:rPr>
      </w:pPr>
      <w:r w:rsidRPr="00C65F11">
        <w:rPr>
          <w:rFonts w:ascii="Arial" w:hAnsi="Arial" w:cs="Arial"/>
          <w:color w:val="0D0D0D"/>
          <w:sz w:val="20"/>
          <w:szCs w:val="20"/>
          <w:bdr w:val="none" w:sz="0" w:space="0" w:color="auto" w:frame="1"/>
          <w:lang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w:t>
      </w:r>
      <w:r>
        <w:rPr>
          <w:rFonts w:ascii="Arial" w:hAnsi="Arial" w:cs="Arial"/>
          <w:color w:val="0D0D0D"/>
          <w:sz w:val="20"/>
          <w:szCs w:val="20"/>
          <w:bdr w:val="none" w:sz="0" w:space="0" w:color="auto" w:frame="1"/>
          <w:lang w:eastAsia="es-CO"/>
        </w:rPr>
        <w:t>.</w:t>
      </w:r>
    </w:p>
    <w:p w14:paraId="00C5BC42" w14:textId="77777777" w:rsidR="00C339FE" w:rsidRDefault="00C339FE" w:rsidP="00C339FE">
      <w:pPr>
        <w:jc w:val="both"/>
        <w:rPr>
          <w:rFonts w:ascii="Arial" w:eastAsia="Calibri" w:hAnsi="Arial" w:cs="Arial"/>
          <w:b/>
          <w:sz w:val="22"/>
          <w:lang w:val="es-CO"/>
        </w:rPr>
      </w:pPr>
    </w:p>
    <w:p w14:paraId="541B2240" w14:textId="0DA36D59" w:rsidR="0028382A" w:rsidRPr="00E96EC1" w:rsidRDefault="00E96EC1" w:rsidP="001C54B1">
      <w:pPr>
        <w:jc w:val="both"/>
        <w:rPr>
          <w:rFonts w:ascii="Arial" w:eastAsia="Calibri" w:hAnsi="Arial" w:cs="Arial"/>
          <w:b/>
          <w:sz w:val="22"/>
          <w:lang w:val="es-CO"/>
        </w:rPr>
      </w:pPr>
      <w:r w:rsidRPr="00E96EC1">
        <w:rPr>
          <w:rFonts w:ascii="Arial" w:eastAsia="Calibri" w:hAnsi="Arial" w:cs="Arial"/>
          <w:b/>
          <w:sz w:val="22"/>
          <w:lang w:val="es-CO"/>
        </w:rPr>
        <w:t>DOCUMENTO TIPO DE INFRAESTRUCTURA DE TRANSPORTE- Selección abreviada de menor cuantía – versión 2- método</w:t>
      </w:r>
      <w:r w:rsidR="001C54B1">
        <w:rPr>
          <w:rFonts w:ascii="Arial" w:eastAsia="Calibri" w:hAnsi="Arial" w:cs="Arial"/>
          <w:b/>
          <w:sz w:val="22"/>
          <w:lang w:val="es-CO"/>
        </w:rPr>
        <w:t>s</w:t>
      </w:r>
      <w:r w:rsidRPr="00E96EC1">
        <w:rPr>
          <w:rFonts w:ascii="Arial" w:eastAsia="Calibri" w:hAnsi="Arial" w:cs="Arial"/>
          <w:b/>
          <w:sz w:val="22"/>
          <w:lang w:val="es-CO"/>
        </w:rPr>
        <w:t xml:space="preserve"> de ponderación de la propuesta económica</w:t>
      </w:r>
    </w:p>
    <w:p w14:paraId="0CDE2450" w14:textId="788533B4" w:rsidR="00E96EC1" w:rsidRDefault="00E96EC1" w:rsidP="001C54B1">
      <w:pPr>
        <w:rPr>
          <w:rFonts w:ascii="Arial" w:eastAsia="Calibri" w:hAnsi="Arial" w:cs="Arial"/>
          <w:sz w:val="20"/>
          <w:szCs w:val="20"/>
          <w:lang w:val="es-CO"/>
        </w:rPr>
      </w:pPr>
    </w:p>
    <w:p w14:paraId="1874590B" w14:textId="212EB958" w:rsidR="003567B6" w:rsidRPr="003567B6" w:rsidRDefault="003567B6" w:rsidP="003567B6">
      <w:pPr>
        <w:pStyle w:val="InviasNormal"/>
        <w:spacing w:after="120"/>
        <w:outlineLvl w:val="2"/>
        <w:rPr>
          <w:rFonts w:ascii="Arial" w:eastAsia="Calibri" w:hAnsi="Arial" w:cs="Arial"/>
          <w:color w:val="auto"/>
          <w:sz w:val="20"/>
          <w:szCs w:val="20"/>
        </w:rPr>
      </w:pPr>
      <w:r w:rsidRPr="003567B6">
        <w:rPr>
          <w:rFonts w:ascii="Arial" w:eastAsia="Calibri" w:hAnsi="Arial" w:cs="Arial"/>
          <w:color w:val="auto"/>
          <w:sz w:val="20"/>
          <w:szCs w:val="20"/>
          <w:lang w:val="es-CO"/>
        </w:rPr>
        <w:lastRenderedPageBreak/>
        <w:t>[…] e</w:t>
      </w:r>
      <w:r w:rsidRPr="003567B6">
        <w:rPr>
          <w:rFonts w:ascii="Arial" w:eastAsia="Calibri" w:hAnsi="Arial" w:cs="Arial"/>
          <w:color w:val="auto"/>
          <w:sz w:val="20"/>
          <w:szCs w:val="20"/>
        </w:rPr>
        <w:t>l documento base para la selección abreviada de menor cuantía de infraestructura de transporte</w:t>
      </w:r>
      <w:r w:rsidRPr="003567B6">
        <w:rPr>
          <w:rFonts w:ascii="Arial" w:eastAsia="Calibri" w:hAnsi="Arial" w:cs="Arial"/>
          <w:color w:val="auto"/>
          <w:sz w:val="20"/>
          <w:szCs w:val="20"/>
          <w:lang w:val="es-CO"/>
        </w:rPr>
        <w:t xml:space="preserve"> –versión 2–</w:t>
      </w:r>
      <w:r w:rsidRPr="003567B6">
        <w:rPr>
          <w:rFonts w:ascii="Arial" w:eastAsia="Calibri" w:hAnsi="Arial" w:cs="Arial"/>
          <w:color w:val="auto"/>
          <w:sz w:val="20"/>
          <w:szCs w:val="20"/>
        </w:rPr>
        <w:t xml:space="preserve"> establece en el numeral </w:t>
      </w:r>
      <w:r w:rsidRPr="003567B6">
        <w:rPr>
          <w:rFonts w:ascii="Arial" w:eastAsia="Calibri" w:hAnsi="Arial" w:cs="Arial"/>
          <w:color w:val="auto"/>
          <w:sz w:val="20"/>
          <w:szCs w:val="20"/>
          <w:lang w:val="es-CO"/>
        </w:rPr>
        <w:t xml:space="preserve">4.1.4. </w:t>
      </w:r>
      <w:r w:rsidRPr="003567B6">
        <w:rPr>
          <w:rFonts w:ascii="Arial" w:eastAsia="Arial" w:hAnsi="Arial" w:cs="Arial"/>
          <w:color w:val="auto"/>
          <w:sz w:val="20"/>
          <w:szCs w:val="20"/>
          <w:lang w:val="es-CO"/>
        </w:rPr>
        <w:t xml:space="preserve">DETERMINACIÓN DEL MÉTODO PARA LA PONDERACIÓN DE LA PROPUESTA ECONÓMICA </w:t>
      </w:r>
      <w:r w:rsidRPr="003567B6">
        <w:rPr>
          <w:rFonts w:ascii="Arial" w:eastAsia="Calibri" w:hAnsi="Arial" w:cs="Arial"/>
          <w:color w:val="auto"/>
          <w:sz w:val="20"/>
          <w:szCs w:val="20"/>
        </w:rPr>
        <w:t>cuatro alternativas para escoger el método de ponderación de la</w:t>
      </w:r>
      <w:r w:rsidRPr="003567B6">
        <w:rPr>
          <w:rFonts w:ascii="Arial" w:eastAsia="Calibri" w:hAnsi="Arial" w:cs="Arial"/>
          <w:color w:val="auto"/>
          <w:sz w:val="20"/>
          <w:szCs w:val="20"/>
          <w:lang w:val="es-CO"/>
        </w:rPr>
        <w:t>s</w:t>
      </w:r>
      <w:r w:rsidRPr="003567B6">
        <w:rPr>
          <w:rFonts w:ascii="Arial" w:eastAsia="Calibri" w:hAnsi="Arial" w:cs="Arial"/>
          <w:color w:val="auto"/>
          <w:sz w:val="20"/>
          <w:szCs w:val="20"/>
        </w:rPr>
        <w:t xml:space="preserve"> propuesta</w:t>
      </w:r>
      <w:r w:rsidRPr="003567B6">
        <w:rPr>
          <w:rFonts w:ascii="Arial" w:eastAsia="Calibri" w:hAnsi="Arial" w:cs="Arial"/>
          <w:color w:val="auto"/>
          <w:sz w:val="20"/>
          <w:szCs w:val="20"/>
          <w:lang w:val="es-CO"/>
        </w:rPr>
        <w:t>s</w:t>
      </w:r>
      <w:r w:rsidRPr="003567B6">
        <w:rPr>
          <w:rFonts w:ascii="Arial" w:eastAsia="Calibri" w:hAnsi="Arial" w:cs="Arial"/>
          <w:color w:val="auto"/>
          <w:sz w:val="20"/>
          <w:szCs w:val="20"/>
        </w:rPr>
        <w:t xml:space="preserve"> económica</w:t>
      </w:r>
      <w:r w:rsidRPr="003567B6">
        <w:rPr>
          <w:rFonts w:ascii="Arial" w:eastAsia="Calibri" w:hAnsi="Arial" w:cs="Arial"/>
          <w:color w:val="auto"/>
          <w:sz w:val="20"/>
          <w:szCs w:val="20"/>
          <w:lang w:val="es-CO"/>
        </w:rPr>
        <w:t>s</w:t>
      </w:r>
      <w:r w:rsidRPr="003567B6">
        <w:rPr>
          <w:rFonts w:ascii="Arial" w:eastAsia="Calibri" w:hAnsi="Arial" w:cs="Arial"/>
          <w:color w:val="auto"/>
          <w:sz w:val="20"/>
          <w:szCs w:val="20"/>
        </w:rPr>
        <w:t xml:space="preserve">, a saber: i) mediana con valor absoluto; </w:t>
      </w:r>
      <w:proofErr w:type="spellStart"/>
      <w:r w:rsidRPr="003567B6">
        <w:rPr>
          <w:rFonts w:ascii="Arial" w:eastAsia="Calibri" w:hAnsi="Arial" w:cs="Arial"/>
          <w:color w:val="auto"/>
          <w:sz w:val="20"/>
          <w:szCs w:val="20"/>
        </w:rPr>
        <w:t>ii</w:t>
      </w:r>
      <w:proofErr w:type="spellEnd"/>
      <w:r w:rsidRPr="003567B6">
        <w:rPr>
          <w:rFonts w:ascii="Arial" w:eastAsia="Calibri" w:hAnsi="Arial" w:cs="Arial"/>
          <w:color w:val="auto"/>
          <w:sz w:val="20"/>
          <w:szCs w:val="20"/>
        </w:rPr>
        <w:t xml:space="preserve">) media geométrica; </w:t>
      </w:r>
      <w:proofErr w:type="spellStart"/>
      <w:r w:rsidRPr="003567B6">
        <w:rPr>
          <w:rFonts w:ascii="Arial" w:eastAsia="Calibri" w:hAnsi="Arial" w:cs="Arial"/>
          <w:color w:val="auto"/>
          <w:sz w:val="20"/>
          <w:szCs w:val="20"/>
        </w:rPr>
        <w:t>iii</w:t>
      </w:r>
      <w:proofErr w:type="spellEnd"/>
      <w:r w:rsidRPr="003567B6">
        <w:rPr>
          <w:rFonts w:ascii="Arial" w:eastAsia="Calibri" w:hAnsi="Arial" w:cs="Arial"/>
          <w:color w:val="auto"/>
          <w:sz w:val="20"/>
          <w:szCs w:val="20"/>
        </w:rPr>
        <w:t xml:space="preserve">) media aritmética baja y </w:t>
      </w:r>
      <w:proofErr w:type="spellStart"/>
      <w:r w:rsidRPr="003567B6">
        <w:rPr>
          <w:rFonts w:ascii="Arial" w:eastAsia="Calibri" w:hAnsi="Arial" w:cs="Arial"/>
          <w:color w:val="auto"/>
          <w:sz w:val="20"/>
          <w:szCs w:val="20"/>
        </w:rPr>
        <w:t>iv</w:t>
      </w:r>
      <w:proofErr w:type="spellEnd"/>
      <w:r w:rsidRPr="003567B6">
        <w:rPr>
          <w:rFonts w:ascii="Arial" w:eastAsia="Calibri" w:hAnsi="Arial" w:cs="Arial"/>
          <w:color w:val="auto"/>
          <w:sz w:val="20"/>
          <w:szCs w:val="20"/>
        </w:rPr>
        <w:t>) menor valor.</w:t>
      </w:r>
      <w:r w:rsidRPr="003567B6">
        <w:rPr>
          <w:rFonts w:ascii="Arial" w:eastAsia="Calibri" w:hAnsi="Arial" w:cs="Arial"/>
          <w:color w:val="auto"/>
          <w:sz w:val="20"/>
          <w:szCs w:val="20"/>
          <w:lang w:val="es-CO"/>
        </w:rPr>
        <w:t xml:space="preserve"> A partir de estas alternativas</w:t>
      </w:r>
      <w:r w:rsidRPr="003567B6">
        <w:rPr>
          <w:rFonts w:ascii="Arial" w:eastAsia="Calibri" w:hAnsi="Arial" w:cs="Arial"/>
          <w:color w:val="auto"/>
          <w:sz w:val="20"/>
          <w:szCs w:val="20"/>
        </w:rPr>
        <w:t>, la entidad</w:t>
      </w:r>
      <w:r w:rsidRPr="003567B6">
        <w:rPr>
          <w:rFonts w:ascii="Arial" w:eastAsia="Calibri" w:hAnsi="Arial" w:cs="Arial"/>
          <w:color w:val="auto"/>
          <w:sz w:val="20"/>
          <w:szCs w:val="20"/>
          <w:lang w:val="es-ES"/>
        </w:rPr>
        <w:t>,</w:t>
      </w:r>
      <w:r w:rsidRPr="003567B6">
        <w:rPr>
          <w:rFonts w:ascii="Arial" w:eastAsia="Calibri" w:hAnsi="Arial" w:cs="Arial"/>
          <w:color w:val="auto"/>
          <w:sz w:val="20"/>
          <w:szCs w:val="20"/>
        </w:rPr>
        <w:t xml:space="preserve"> para establecer el método de ponderación</w:t>
      </w:r>
      <w:r w:rsidRPr="003567B6">
        <w:rPr>
          <w:rFonts w:ascii="Arial" w:eastAsia="Calibri" w:hAnsi="Arial" w:cs="Arial"/>
          <w:color w:val="auto"/>
          <w:sz w:val="20"/>
          <w:szCs w:val="20"/>
          <w:lang w:val="es-ES"/>
        </w:rPr>
        <w:t>,</w:t>
      </w:r>
      <w:r w:rsidRPr="003567B6">
        <w:rPr>
          <w:rFonts w:ascii="Arial" w:eastAsia="Calibri" w:hAnsi="Arial" w:cs="Arial"/>
          <w:color w:val="auto"/>
          <w:sz w:val="20"/>
          <w:szCs w:val="20"/>
        </w:rPr>
        <w:t xml:space="preserve"> tomará los centavos de la Tasa de Cambio Representativa del Mercado (TRM), certificada por la Superintendencia Financiera de Colombia. </w:t>
      </w:r>
    </w:p>
    <w:p w14:paraId="5E81FDDA" w14:textId="74A9B9A6" w:rsidR="001C54B1" w:rsidRPr="003567B6" w:rsidRDefault="003567B6" w:rsidP="003567B6">
      <w:pPr>
        <w:jc w:val="both"/>
        <w:rPr>
          <w:rFonts w:ascii="Arial" w:eastAsia="Calibri" w:hAnsi="Arial" w:cs="Arial"/>
          <w:color w:val="000000"/>
          <w:sz w:val="20"/>
          <w:szCs w:val="20"/>
          <w:lang w:val="es-ES_tradnl"/>
        </w:rPr>
      </w:pPr>
      <w:r w:rsidRPr="003567B6">
        <w:rPr>
          <w:rFonts w:ascii="Arial" w:eastAsia="Calibri" w:hAnsi="Arial" w:cs="Arial"/>
          <w:color w:val="000000"/>
          <w:sz w:val="20"/>
          <w:szCs w:val="20"/>
          <w:lang w:val="es-ES_tradnl"/>
        </w:rPr>
        <w:t>La Tasa de Cambio Representativa del Mercado – TRM «</w:t>
      </w:r>
      <w:r w:rsidRPr="003567B6">
        <w:rPr>
          <w:rFonts w:ascii="Arial" w:eastAsia="Calibri" w:hAnsi="Arial" w:cs="Arial"/>
          <w:sz w:val="20"/>
          <w:szCs w:val="20"/>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3567B6">
        <w:rPr>
          <w:rFonts w:ascii="Arial" w:eastAsia="Calibri" w:hAnsi="Arial" w:cs="Arial"/>
          <w:color w:val="000000"/>
          <w:sz w:val="20"/>
          <w:szCs w:val="20"/>
          <w:lang w:val="es-ES_tradnl"/>
        </w:rPr>
        <w:t>», definido por la Superintendencia Financiera, es decir, denota la relación entre la moneda colombiana y el dólar. Por su parte, el Banco de la República ha definido la tasa de cambio representativa del mercado como «la cantidad de pesos colombianos por un dólar de los Estados Unidos». Es decir que es claro que la TRM es un valor que se origina en la fluctuación del mercado.</w:t>
      </w:r>
    </w:p>
    <w:p w14:paraId="36091C6D" w14:textId="77777777" w:rsidR="003567B6" w:rsidRDefault="003567B6" w:rsidP="003567B6">
      <w:pPr>
        <w:rPr>
          <w:rFonts w:ascii="Arial" w:eastAsia="Calibri" w:hAnsi="Arial" w:cs="Arial"/>
          <w:sz w:val="20"/>
          <w:szCs w:val="20"/>
          <w:lang w:val="es-CO"/>
        </w:rPr>
      </w:pPr>
    </w:p>
    <w:p w14:paraId="3BF46C76" w14:textId="008BF99A" w:rsidR="001C54B1" w:rsidRPr="00E96EC1" w:rsidRDefault="001C54B1" w:rsidP="001C54B1">
      <w:pPr>
        <w:jc w:val="both"/>
        <w:rPr>
          <w:rFonts w:ascii="Arial" w:eastAsia="Calibri" w:hAnsi="Arial" w:cs="Arial"/>
          <w:b/>
          <w:sz w:val="22"/>
          <w:lang w:val="es-CO"/>
        </w:rPr>
      </w:pPr>
      <w:r w:rsidRPr="00E96EC1">
        <w:rPr>
          <w:rFonts w:ascii="Arial" w:eastAsia="Calibri" w:hAnsi="Arial" w:cs="Arial"/>
          <w:b/>
          <w:sz w:val="22"/>
          <w:lang w:val="es-CO"/>
        </w:rPr>
        <w:t xml:space="preserve">DOCUMENTO TIPO DE INFRAESTRUCTURA DE TRANSPORTE- Selección abreviada de menor cuantía – versión 2- </w:t>
      </w:r>
      <w:r>
        <w:rPr>
          <w:rFonts w:ascii="Arial" w:eastAsia="Calibri" w:hAnsi="Arial" w:cs="Arial"/>
          <w:b/>
          <w:sz w:val="22"/>
          <w:lang w:val="es-CO"/>
        </w:rPr>
        <w:t xml:space="preserve">método de ponderación de la propuesta económica por lotes – orden </w:t>
      </w:r>
      <w:proofErr w:type="spellStart"/>
      <w:r>
        <w:rPr>
          <w:rFonts w:ascii="Arial" w:eastAsia="Calibri" w:hAnsi="Arial" w:cs="Arial"/>
          <w:b/>
          <w:sz w:val="22"/>
          <w:lang w:val="es-CO"/>
        </w:rPr>
        <w:t>ascedente</w:t>
      </w:r>
      <w:proofErr w:type="spellEnd"/>
      <w:r>
        <w:rPr>
          <w:rFonts w:ascii="Arial" w:eastAsia="Calibri" w:hAnsi="Arial" w:cs="Arial"/>
          <w:b/>
          <w:sz w:val="22"/>
          <w:lang w:val="es-CO"/>
        </w:rPr>
        <w:t>–</w:t>
      </w:r>
    </w:p>
    <w:p w14:paraId="1EFE7EFB" w14:textId="290B004F" w:rsidR="0028382A" w:rsidRDefault="0028382A" w:rsidP="001E1694">
      <w:pPr>
        <w:spacing w:line="276" w:lineRule="auto"/>
        <w:rPr>
          <w:rFonts w:ascii="Arial" w:eastAsia="Calibri" w:hAnsi="Arial" w:cs="Arial"/>
          <w:sz w:val="20"/>
          <w:szCs w:val="20"/>
          <w:lang w:val="es-CO"/>
        </w:rPr>
      </w:pPr>
    </w:p>
    <w:p w14:paraId="794A3AB6" w14:textId="06BB1F94" w:rsidR="005379F9" w:rsidRPr="008C1555" w:rsidRDefault="005379F9" w:rsidP="008C1555">
      <w:pPr>
        <w:jc w:val="both"/>
        <w:rPr>
          <w:rFonts w:ascii="Arial" w:eastAsia="Calibri" w:hAnsi="Arial" w:cs="Arial"/>
          <w:sz w:val="20"/>
          <w:szCs w:val="20"/>
        </w:rPr>
      </w:pPr>
      <w:r w:rsidRPr="008C1555">
        <w:rPr>
          <w:rFonts w:ascii="Arial" w:eastAsia="Calibri" w:hAnsi="Arial" w:cs="Arial"/>
          <w:sz w:val="20"/>
          <w:szCs w:val="20"/>
        </w:rPr>
        <w:t xml:space="preserve">Es necesario observar que para los procesos de contratación estructurados por lotes se establecieron tres reglas básicas: i) para el primer lote, el método se asignará de acuerdo con la TRM, esto es, a la metodología que ya se explicó, ii) para la adjudicación del segundo lote se tomará el siguiente método en orden ascendente y así sucesivamente, de acuerdo con la tabla de métodos de ponderación y, iii) en caso de agotarse el último método se reiniciará desde el primer método de la tabla. </w:t>
      </w:r>
    </w:p>
    <w:p w14:paraId="53B7376C" w14:textId="77777777" w:rsidR="005379F9" w:rsidRPr="008C1555" w:rsidRDefault="005379F9" w:rsidP="008C1555">
      <w:pPr>
        <w:jc w:val="both"/>
        <w:rPr>
          <w:rFonts w:ascii="Arial" w:eastAsia="Calibri" w:hAnsi="Arial" w:cs="Arial"/>
          <w:sz w:val="20"/>
          <w:szCs w:val="20"/>
        </w:rPr>
      </w:pPr>
    </w:p>
    <w:p w14:paraId="6A4B45B7" w14:textId="09C34758" w:rsidR="005379F9" w:rsidRPr="008C1555" w:rsidRDefault="005379F9" w:rsidP="008C1555">
      <w:pPr>
        <w:jc w:val="both"/>
        <w:rPr>
          <w:rFonts w:ascii="Arial" w:eastAsia="Calibri" w:hAnsi="Arial" w:cs="Arial"/>
          <w:sz w:val="20"/>
          <w:szCs w:val="20"/>
        </w:rPr>
      </w:pPr>
      <w:r w:rsidRPr="008C1555">
        <w:rPr>
          <w:rFonts w:ascii="Arial" w:eastAsia="Calibri" w:hAnsi="Arial" w:cs="Arial"/>
          <w:sz w:val="20"/>
          <w:szCs w:val="20"/>
        </w:rPr>
        <w:t>[…]</w:t>
      </w:r>
    </w:p>
    <w:p w14:paraId="2394B291" w14:textId="77777777" w:rsidR="005379F9" w:rsidRPr="008C1555" w:rsidRDefault="005379F9" w:rsidP="008C1555">
      <w:pPr>
        <w:jc w:val="both"/>
        <w:rPr>
          <w:rFonts w:ascii="Arial" w:eastAsia="Calibri" w:hAnsi="Arial" w:cs="Arial"/>
          <w:sz w:val="20"/>
          <w:szCs w:val="20"/>
        </w:rPr>
      </w:pPr>
    </w:p>
    <w:p w14:paraId="09F84358" w14:textId="77777777" w:rsidR="008C1555" w:rsidRPr="008C1555" w:rsidRDefault="008C1555" w:rsidP="008C1555">
      <w:pPr>
        <w:spacing w:before="120" w:after="120"/>
        <w:jc w:val="both"/>
        <w:rPr>
          <w:rFonts w:ascii="Arial" w:eastAsia="Calibri" w:hAnsi="Arial" w:cs="Arial"/>
          <w:sz w:val="20"/>
          <w:szCs w:val="20"/>
        </w:rPr>
      </w:pPr>
      <w:r w:rsidRPr="008C1555">
        <w:rPr>
          <w:rFonts w:ascii="Arial" w:eastAsia="Calibri" w:hAnsi="Arial" w:cs="Arial"/>
          <w:sz w:val="20"/>
          <w:szCs w:val="20"/>
        </w:rPr>
        <w:t xml:space="preserve">La asignación de este número en la tabla tiene como objetivo principal que las entidades determinen el orden ascendente al que se refiere la segunda regla, entendiendo orden ascendente como aquel que corresponde a los números que siguen una secuencia de menor a mayor. Es decir, desde una interpretación y significado de las palabras, corresponde al número mayor dentro de la secuencia de los métodos a utilizar para la ponderación, y no propiamente desde su ubicación dentro del cuadro ni mucho menos por el rango.  </w:t>
      </w:r>
    </w:p>
    <w:p w14:paraId="2688B5C3" w14:textId="07311052" w:rsidR="005379F9" w:rsidRDefault="005379F9" w:rsidP="005379F9">
      <w:pPr>
        <w:spacing w:before="120" w:after="120" w:line="276" w:lineRule="auto"/>
        <w:jc w:val="both"/>
        <w:rPr>
          <w:rFonts w:ascii="Arial" w:eastAsia="Calibri" w:hAnsi="Arial" w:cs="Arial"/>
          <w:sz w:val="22"/>
        </w:rPr>
      </w:pPr>
    </w:p>
    <w:p w14:paraId="004BE001" w14:textId="608F8257" w:rsidR="005379F9" w:rsidRDefault="005379F9" w:rsidP="005379F9">
      <w:pPr>
        <w:spacing w:before="120" w:after="120" w:line="276" w:lineRule="auto"/>
        <w:jc w:val="both"/>
        <w:rPr>
          <w:rFonts w:ascii="Arial" w:eastAsia="Calibri" w:hAnsi="Arial" w:cs="Arial"/>
          <w:sz w:val="22"/>
        </w:rPr>
      </w:pPr>
    </w:p>
    <w:p w14:paraId="7C88320C" w14:textId="0B2A10DC" w:rsidR="005379F9" w:rsidRDefault="005379F9" w:rsidP="005379F9">
      <w:pPr>
        <w:spacing w:before="120" w:after="120" w:line="276" w:lineRule="auto"/>
        <w:jc w:val="both"/>
        <w:rPr>
          <w:rFonts w:ascii="Arial" w:eastAsia="Calibri" w:hAnsi="Arial" w:cs="Arial"/>
          <w:sz w:val="22"/>
        </w:rPr>
      </w:pPr>
    </w:p>
    <w:p w14:paraId="67D5813D" w14:textId="79FDF5AE" w:rsidR="005379F9" w:rsidRDefault="005379F9" w:rsidP="005379F9">
      <w:pPr>
        <w:spacing w:before="120" w:after="120" w:line="276" w:lineRule="auto"/>
        <w:jc w:val="both"/>
        <w:rPr>
          <w:rFonts w:ascii="Arial" w:eastAsia="Calibri" w:hAnsi="Arial" w:cs="Arial"/>
          <w:sz w:val="22"/>
        </w:rPr>
      </w:pPr>
    </w:p>
    <w:p w14:paraId="1EC7038F" w14:textId="5657FDD0" w:rsidR="005379F9" w:rsidRDefault="005379F9" w:rsidP="005379F9">
      <w:pPr>
        <w:spacing w:before="120" w:after="120" w:line="276" w:lineRule="auto"/>
        <w:jc w:val="both"/>
        <w:rPr>
          <w:rFonts w:ascii="Arial" w:eastAsia="Calibri" w:hAnsi="Arial" w:cs="Arial"/>
          <w:sz w:val="22"/>
        </w:rPr>
      </w:pPr>
    </w:p>
    <w:p w14:paraId="6866F327" w14:textId="7BC1F4B2" w:rsidR="005379F9" w:rsidRPr="00757862" w:rsidRDefault="005379F9" w:rsidP="00757862">
      <w:pPr>
        <w:widowControl w:val="0"/>
        <w:autoSpaceDE w:val="0"/>
        <w:autoSpaceDN w:val="0"/>
        <w:spacing w:before="10"/>
        <w:rPr>
          <w:rFonts w:ascii="Times New Roman" w:eastAsia="Arial MT" w:hAnsi="Arial MT" w:cs="Arial MT"/>
          <w:sz w:val="21"/>
          <w:lang w:val="es-ES"/>
        </w:rPr>
      </w:pPr>
    </w:p>
    <w:p w14:paraId="2E583F56" w14:textId="77777777" w:rsidR="00C65F11" w:rsidRDefault="00C65F11" w:rsidP="00757862">
      <w:pPr>
        <w:widowControl w:val="0"/>
        <w:autoSpaceDE w:val="0"/>
        <w:autoSpaceDN w:val="0"/>
        <w:spacing w:before="94"/>
        <w:ind w:right="533"/>
        <w:jc w:val="right"/>
        <w:rPr>
          <w:rFonts w:ascii="Arial" w:eastAsia="Arial MT" w:hAnsi="Arial MT" w:cs="Arial MT"/>
          <w:b/>
          <w:color w:val="585858"/>
          <w:sz w:val="18"/>
          <w:lang w:val="es-ES"/>
        </w:rPr>
      </w:pPr>
    </w:p>
    <w:p w14:paraId="0F86D29F" w14:textId="77777777" w:rsidR="00C65F11" w:rsidRDefault="00C65F11" w:rsidP="00757862">
      <w:pPr>
        <w:widowControl w:val="0"/>
        <w:autoSpaceDE w:val="0"/>
        <w:autoSpaceDN w:val="0"/>
        <w:spacing w:before="94"/>
        <w:ind w:right="533"/>
        <w:jc w:val="right"/>
        <w:rPr>
          <w:rFonts w:ascii="Arial" w:eastAsia="Arial MT" w:hAnsi="Arial MT" w:cs="Arial MT"/>
          <w:b/>
          <w:color w:val="585858"/>
          <w:sz w:val="18"/>
          <w:lang w:val="es-ES"/>
        </w:rPr>
      </w:pPr>
    </w:p>
    <w:p w14:paraId="5AD20A9F" w14:textId="4560CFEF" w:rsidR="00C65F11" w:rsidRDefault="00C65F11" w:rsidP="00757862">
      <w:pPr>
        <w:widowControl w:val="0"/>
        <w:autoSpaceDE w:val="0"/>
        <w:autoSpaceDN w:val="0"/>
        <w:spacing w:before="94"/>
        <w:ind w:right="533"/>
        <w:jc w:val="right"/>
        <w:rPr>
          <w:rFonts w:ascii="Arial" w:eastAsia="Arial MT" w:hAnsi="Arial MT" w:cs="Arial MT"/>
          <w:b/>
          <w:color w:val="585858"/>
          <w:sz w:val="18"/>
          <w:lang w:val="es-ES"/>
        </w:rPr>
      </w:pPr>
    </w:p>
    <w:p w14:paraId="211D29EB" w14:textId="747BB881" w:rsidR="008C1555" w:rsidRDefault="008C1555" w:rsidP="0058545D">
      <w:pPr>
        <w:widowControl w:val="0"/>
        <w:autoSpaceDE w:val="0"/>
        <w:autoSpaceDN w:val="0"/>
        <w:spacing w:before="94"/>
        <w:ind w:right="533"/>
        <w:rPr>
          <w:rFonts w:ascii="Arial" w:eastAsia="Arial MT" w:hAnsi="Arial MT" w:cs="Arial MT"/>
          <w:b/>
          <w:color w:val="585858"/>
          <w:sz w:val="18"/>
          <w:lang w:val="es-ES"/>
        </w:rPr>
      </w:pPr>
    </w:p>
    <w:p w14:paraId="51AF4B5F" w14:textId="77777777" w:rsidR="00C175DA" w:rsidRPr="00C175DA" w:rsidRDefault="00C175DA" w:rsidP="00C175DA">
      <w:pPr>
        <w:widowControl w:val="0"/>
        <w:autoSpaceDE w:val="0"/>
        <w:autoSpaceDN w:val="0"/>
        <w:ind w:left="4825"/>
        <w:rPr>
          <w:rFonts w:ascii="Times New Roman" w:eastAsia="Arial MT" w:hAnsi="Arial MT" w:cs="Arial MT"/>
          <w:sz w:val="20"/>
          <w:lang w:val="es-ES"/>
        </w:rPr>
      </w:pPr>
      <w:r w:rsidRPr="00C175DA">
        <w:rPr>
          <w:rFonts w:ascii="Times New Roman" w:eastAsia="Arial MT" w:hAnsi="Arial MT" w:cs="Arial MT"/>
          <w:noProof/>
          <w:sz w:val="20"/>
          <w:lang w:val="en-US"/>
        </w:rPr>
        <w:drawing>
          <wp:inline distT="0" distB="0" distL="0" distR="0" wp14:anchorId="25B79C2B" wp14:editId="0FEED85E">
            <wp:extent cx="2379945" cy="60883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4CEB4C36" w14:textId="77777777" w:rsidR="00C175DA" w:rsidRPr="00C175DA" w:rsidRDefault="00C175DA" w:rsidP="00C175DA">
      <w:pPr>
        <w:widowControl w:val="0"/>
        <w:autoSpaceDE w:val="0"/>
        <w:autoSpaceDN w:val="0"/>
        <w:rPr>
          <w:rFonts w:ascii="Times New Roman" w:eastAsia="Arial MT" w:hAnsi="Arial MT" w:cs="Arial MT"/>
          <w:sz w:val="20"/>
          <w:lang w:val="es-ES"/>
        </w:rPr>
      </w:pPr>
    </w:p>
    <w:p w14:paraId="5B358BE0" w14:textId="1C4AC832" w:rsidR="00C175DA" w:rsidRPr="00C175DA" w:rsidRDefault="00C175DA" w:rsidP="00C175DA">
      <w:pPr>
        <w:widowControl w:val="0"/>
        <w:autoSpaceDE w:val="0"/>
        <w:autoSpaceDN w:val="0"/>
        <w:rPr>
          <w:rFonts w:ascii="Times New Roman" w:eastAsia="Arial MT" w:hAnsi="Arial MT" w:cs="Arial MT"/>
          <w:sz w:val="20"/>
          <w:lang w:val="es-ES"/>
        </w:rPr>
      </w:pPr>
    </w:p>
    <w:p w14:paraId="309E98A2" w14:textId="68E4D78C" w:rsidR="00C175DA" w:rsidRPr="007874E8" w:rsidRDefault="00C175DA" w:rsidP="007874E8">
      <w:pPr>
        <w:widowControl w:val="0"/>
        <w:autoSpaceDE w:val="0"/>
        <w:autoSpaceDN w:val="0"/>
        <w:spacing w:before="94"/>
        <w:ind w:right="173"/>
        <w:jc w:val="right"/>
        <w:rPr>
          <w:rFonts w:ascii="Arial" w:eastAsia="Arial MT" w:hAnsi="Arial MT" w:cs="Arial MT"/>
          <w:b/>
          <w:sz w:val="18"/>
          <w:lang w:val="es-ES"/>
        </w:rPr>
      </w:pPr>
      <w:r w:rsidRPr="00C175DA">
        <w:rPr>
          <w:rFonts w:ascii="Arial" w:eastAsia="Arial MT" w:hAnsi="Arial MT" w:cs="Arial MT"/>
          <w:b/>
          <w:color w:val="585858"/>
          <w:sz w:val="18"/>
          <w:lang w:val="es-ES"/>
        </w:rPr>
        <w:t>CCE-DES-FM-17</w:t>
      </w:r>
    </w:p>
    <w:p w14:paraId="4F523B65" w14:textId="1374F7E1" w:rsidR="00C175DA" w:rsidRPr="00C175DA" w:rsidRDefault="00C175DA" w:rsidP="00C175DA">
      <w:pPr>
        <w:widowControl w:val="0"/>
        <w:autoSpaceDE w:val="0"/>
        <w:autoSpaceDN w:val="0"/>
        <w:spacing w:before="93"/>
        <w:ind w:left="200"/>
        <w:rPr>
          <w:rFonts w:ascii="Arial MT" w:eastAsia="Arial MT" w:hAnsi="Arial MT" w:cs="Arial MT"/>
          <w:sz w:val="22"/>
          <w:lang w:val="es-ES"/>
        </w:rPr>
      </w:pPr>
      <w:r w:rsidRPr="00C175DA">
        <w:rPr>
          <w:rFonts w:ascii="Arial MT" w:eastAsia="Arial MT" w:hAnsi="Arial MT" w:cs="Arial MT"/>
          <w:color w:val="4E4D4D"/>
          <w:sz w:val="22"/>
          <w:lang w:val="es-ES"/>
        </w:rPr>
        <w:t>Bogotá,</w:t>
      </w:r>
      <w:r>
        <w:rPr>
          <w:rFonts w:ascii="Arial MT" w:eastAsia="Arial MT" w:hAnsi="Arial MT" w:cs="Arial MT"/>
          <w:color w:val="4E4D4D"/>
          <w:sz w:val="22"/>
          <w:lang w:val="es-ES"/>
        </w:rPr>
        <w:t xml:space="preserve"> 9 de diciembre de 2021</w:t>
      </w:r>
    </w:p>
    <w:p w14:paraId="20BD628B" w14:textId="77777777" w:rsidR="00C175DA" w:rsidRPr="00C175DA" w:rsidRDefault="00C175DA" w:rsidP="00C175DA">
      <w:pPr>
        <w:widowControl w:val="0"/>
        <w:autoSpaceDE w:val="0"/>
        <w:autoSpaceDN w:val="0"/>
        <w:rPr>
          <w:rFonts w:ascii="Arial MT" w:eastAsia="Arial MT" w:hAnsi="Arial MT" w:cs="Arial MT"/>
          <w:lang w:val="es-ES"/>
        </w:rPr>
      </w:pPr>
    </w:p>
    <w:p w14:paraId="1C7A219A" w14:textId="77777777" w:rsidR="00C175DA" w:rsidRPr="00C175DA" w:rsidRDefault="00C175DA" w:rsidP="00C175DA">
      <w:pPr>
        <w:widowControl w:val="0"/>
        <w:autoSpaceDE w:val="0"/>
        <w:autoSpaceDN w:val="0"/>
        <w:rPr>
          <w:rFonts w:ascii="Arial MT" w:eastAsia="Arial MT" w:hAnsi="Arial MT" w:cs="Arial MT"/>
          <w:lang w:val="es-ES"/>
        </w:rPr>
      </w:pPr>
    </w:p>
    <w:p w14:paraId="1467BFC7" w14:textId="77777777" w:rsidR="00C175DA" w:rsidRPr="00C175DA" w:rsidRDefault="00C175DA" w:rsidP="00C175DA">
      <w:pPr>
        <w:widowControl w:val="0"/>
        <w:autoSpaceDE w:val="0"/>
        <w:autoSpaceDN w:val="0"/>
        <w:spacing w:before="144"/>
        <w:ind w:left="200"/>
        <w:rPr>
          <w:rFonts w:ascii="Arial MT" w:eastAsia="Arial MT" w:hAnsi="Arial MT" w:cs="Arial MT"/>
          <w:sz w:val="22"/>
          <w:lang w:val="es-ES"/>
        </w:rPr>
      </w:pPr>
      <w:r w:rsidRPr="00C175DA">
        <w:rPr>
          <w:rFonts w:ascii="Arial MT" w:eastAsia="Arial MT" w:hAnsi="Arial MT" w:cs="Arial MT"/>
          <w:sz w:val="22"/>
          <w:lang w:val="es-ES"/>
        </w:rPr>
        <w:t>Señor</w:t>
      </w:r>
    </w:p>
    <w:p w14:paraId="6B34FCEC" w14:textId="77777777" w:rsidR="00C175DA" w:rsidRPr="00C175DA" w:rsidRDefault="00C175DA" w:rsidP="00C175DA">
      <w:pPr>
        <w:widowControl w:val="0"/>
        <w:autoSpaceDE w:val="0"/>
        <w:autoSpaceDN w:val="0"/>
        <w:ind w:left="200"/>
        <w:outlineLvl w:val="0"/>
        <w:rPr>
          <w:rFonts w:ascii="Arial" w:eastAsia="Arial" w:hAnsi="Arial" w:cs="Arial"/>
          <w:b/>
          <w:bCs/>
          <w:sz w:val="22"/>
          <w:lang w:val="es-ES"/>
        </w:rPr>
      </w:pPr>
      <w:r w:rsidRPr="00C175DA">
        <w:rPr>
          <w:rFonts w:ascii="Arial" w:eastAsia="Arial" w:hAnsi="Arial" w:cs="Arial"/>
          <w:b/>
          <w:bCs/>
          <w:sz w:val="22"/>
          <w:lang w:val="es-ES"/>
        </w:rPr>
        <w:t>Maira</w:t>
      </w:r>
      <w:r w:rsidRPr="00C175DA">
        <w:rPr>
          <w:rFonts w:ascii="Arial" w:eastAsia="Arial" w:hAnsi="Arial" w:cs="Arial"/>
          <w:b/>
          <w:bCs/>
          <w:spacing w:val="-6"/>
          <w:sz w:val="22"/>
          <w:lang w:val="es-ES"/>
        </w:rPr>
        <w:t xml:space="preserve"> </w:t>
      </w:r>
      <w:r w:rsidRPr="00C175DA">
        <w:rPr>
          <w:rFonts w:ascii="Arial" w:eastAsia="Arial" w:hAnsi="Arial" w:cs="Arial"/>
          <w:b/>
          <w:bCs/>
          <w:sz w:val="22"/>
          <w:lang w:val="es-ES"/>
        </w:rPr>
        <w:t>Alejandra</w:t>
      </w:r>
      <w:r w:rsidRPr="00C175DA">
        <w:rPr>
          <w:rFonts w:ascii="Arial" w:eastAsia="Arial" w:hAnsi="Arial" w:cs="Arial"/>
          <w:b/>
          <w:bCs/>
          <w:spacing w:val="-6"/>
          <w:sz w:val="22"/>
          <w:lang w:val="es-ES"/>
        </w:rPr>
        <w:t xml:space="preserve"> </w:t>
      </w:r>
      <w:r w:rsidRPr="00C175DA">
        <w:rPr>
          <w:rFonts w:ascii="Arial" w:eastAsia="Arial" w:hAnsi="Arial" w:cs="Arial"/>
          <w:b/>
          <w:bCs/>
          <w:sz w:val="22"/>
          <w:lang w:val="es-ES"/>
        </w:rPr>
        <w:t>Sepúlveda</w:t>
      </w:r>
      <w:r w:rsidRPr="00C175DA">
        <w:rPr>
          <w:rFonts w:ascii="Arial" w:eastAsia="Arial" w:hAnsi="Arial" w:cs="Arial"/>
          <w:b/>
          <w:bCs/>
          <w:spacing w:val="-6"/>
          <w:sz w:val="22"/>
          <w:lang w:val="es-ES"/>
        </w:rPr>
        <w:t xml:space="preserve"> </w:t>
      </w:r>
      <w:r w:rsidRPr="00C175DA">
        <w:rPr>
          <w:rFonts w:ascii="Arial" w:eastAsia="Arial" w:hAnsi="Arial" w:cs="Arial"/>
          <w:b/>
          <w:bCs/>
          <w:sz w:val="22"/>
          <w:lang w:val="es-ES"/>
        </w:rPr>
        <w:t>Lasso</w:t>
      </w:r>
    </w:p>
    <w:p w14:paraId="6AD7DC73" w14:textId="77777777" w:rsidR="00C175DA" w:rsidRPr="00C175DA" w:rsidRDefault="00C175DA" w:rsidP="00C175DA">
      <w:pPr>
        <w:widowControl w:val="0"/>
        <w:autoSpaceDE w:val="0"/>
        <w:autoSpaceDN w:val="0"/>
        <w:ind w:left="200"/>
        <w:rPr>
          <w:rFonts w:ascii="Arial MT" w:eastAsia="Arial MT" w:hAnsi="Arial MT" w:cs="Arial MT"/>
          <w:sz w:val="22"/>
          <w:lang w:val="es-ES"/>
        </w:rPr>
      </w:pPr>
      <w:proofErr w:type="spellStart"/>
      <w:r w:rsidRPr="00C175DA">
        <w:rPr>
          <w:rFonts w:ascii="Arial MT" w:eastAsia="Arial MT" w:hAnsi="Arial MT" w:cs="Arial MT"/>
          <w:sz w:val="22"/>
          <w:lang w:val="es-ES"/>
        </w:rPr>
        <w:t>Cucutá</w:t>
      </w:r>
      <w:proofErr w:type="spellEnd"/>
      <w:r w:rsidRPr="00C175DA">
        <w:rPr>
          <w:rFonts w:ascii="Arial MT" w:eastAsia="Arial MT" w:hAnsi="Arial MT" w:cs="Arial MT"/>
          <w:sz w:val="22"/>
          <w:lang w:val="es-ES"/>
        </w:rPr>
        <w:t>-Norte</w:t>
      </w:r>
      <w:r w:rsidRPr="00C175DA">
        <w:rPr>
          <w:rFonts w:ascii="Arial MT" w:eastAsia="Arial MT" w:hAnsi="Arial MT" w:cs="Arial MT"/>
          <w:spacing w:val="-9"/>
          <w:sz w:val="22"/>
          <w:lang w:val="es-ES"/>
        </w:rPr>
        <w:t xml:space="preserve"> </w:t>
      </w:r>
      <w:r w:rsidRPr="00C175DA">
        <w:rPr>
          <w:rFonts w:ascii="Arial MT" w:eastAsia="Arial MT" w:hAnsi="Arial MT" w:cs="Arial MT"/>
          <w:sz w:val="22"/>
          <w:lang w:val="es-ES"/>
        </w:rPr>
        <w:t>de</w:t>
      </w:r>
      <w:r w:rsidRPr="00C175DA">
        <w:rPr>
          <w:rFonts w:ascii="Arial MT" w:eastAsia="Arial MT" w:hAnsi="Arial MT" w:cs="Arial MT"/>
          <w:spacing w:val="-8"/>
          <w:sz w:val="22"/>
          <w:lang w:val="es-ES"/>
        </w:rPr>
        <w:t xml:space="preserve"> </w:t>
      </w:r>
      <w:r w:rsidRPr="00C175DA">
        <w:rPr>
          <w:rFonts w:ascii="Arial MT" w:eastAsia="Arial MT" w:hAnsi="Arial MT" w:cs="Arial MT"/>
          <w:sz w:val="22"/>
          <w:lang w:val="es-ES"/>
        </w:rPr>
        <w:t>Santander</w:t>
      </w:r>
    </w:p>
    <w:p w14:paraId="76310536" w14:textId="77777777" w:rsidR="00C175DA" w:rsidRPr="00C175DA" w:rsidRDefault="00C175DA" w:rsidP="00C175DA">
      <w:pPr>
        <w:widowControl w:val="0"/>
        <w:autoSpaceDE w:val="0"/>
        <w:autoSpaceDN w:val="0"/>
        <w:rPr>
          <w:rFonts w:ascii="Arial MT" w:eastAsia="Arial MT" w:hAnsi="Arial MT" w:cs="Arial MT"/>
          <w:lang w:val="es-ES"/>
        </w:rPr>
      </w:pPr>
    </w:p>
    <w:p w14:paraId="51A1D5F0" w14:textId="77777777" w:rsidR="00C175DA" w:rsidRPr="00C175DA" w:rsidRDefault="00C175DA" w:rsidP="00C175DA">
      <w:pPr>
        <w:widowControl w:val="0"/>
        <w:autoSpaceDE w:val="0"/>
        <w:autoSpaceDN w:val="0"/>
        <w:rPr>
          <w:rFonts w:ascii="Arial MT" w:eastAsia="Arial MT" w:hAnsi="Arial MT" w:cs="Arial MT"/>
          <w:sz w:val="20"/>
          <w:lang w:val="es-ES"/>
        </w:rPr>
      </w:pPr>
    </w:p>
    <w:p w14:paraId="489932A0" w14:textId="77777777" w:rsidR="00C175DA" w:rsidRPr="00C175DA" w:rsidRDefault="00C175DA" w:rsidP="00C175DA">
      <w:pPr>
        <w:widowControl w:val="0"/>
        <w:autoSpaceDE w:val="0"/>
        <w:autoSpaceDN w:val="0"/>
        <w:ind w:left="2891"/>
        <w:jc w:val="both"/>
        <w:outlineLvl w:val="0"/>
        <w:rPr>
          <w:rFonts w:ascii="Arial" w:eastAsia="Arial" w:hAnsi="Arial" w:cs="Arial"/>
          <w:b/>
          <w:bCs/>
          <w:sz w:val="22"/>
          <w:lang w:val="es-ES"/>
        </w:rPr>
      </w:pPr>
      <w:r w:rsidRPr="00C175DA">
        <w:rPr>
          <w:rFonts w:ascii="Arial" w:eastAsia="Arial" w:hAnsi="Arial" w:cs="Arial"/>
          <w:b/>
          <w:bCs/>
          <w:sz w:val="22"/>
          <w:lang w:val="es-ES"/>
        </w:rPr>
        <w:t>Concepto</w:t>
      </w:r>
      <w:r w:rsidRPr="00C175DA">
        <w:rPr>
          <w:rFonts w:ascii="Arial" w:eastAsia="Arial" w:hAnsi="Arial" w:cs="Arial"/>
          <w:b/>
          <w:bCs/>
          <w:spacing w:val="-7"/>
          <w:sz w:val="22"/>
          <w:lang w:val="es-ES"/>
        </w:rPr>
        <w:t xml:space="preserve"> </w:t>
      </w:r>
      <w:r w:rsidRPr="00C175DA">
        <w:rPr>
          <w:rFonts w:ascii="Arial" w:eastAsia="Arial" w:hAnsi="Arial" w:cs="Arial"/>
          <w:b/>
          <w:bCs/>
          <w:sz w:val="22"/>
          <w:lang w:val="es-ES"/>
        </w:rPr>
        <w:t>C</w:t>
      </w:r>
      <w:r w:rsidRPr="00C175DA">
        <w:rPr>
          <w:rFonts w:ascii="Arial" w:eastAsia="Arial" w:hAnsi="Arial" w:cs="Arial"/>
          <w:b/>
          <w:bCs/>
          <w:spacing w:val="-4"/>
          <w:sz w:val="22"/>
          <w:lang w:val="es-ES"/>
        </w:rPr>
        <w:t xml:space="preserve"> </w:t>
      </w:r>
      <w:r w:rsidRPr="00C175DA">
        <w:rPr>
          <w:rFonts w:ascii="Arial" w:eastAsia="Arial" w:hAnsi="Arial" w:cs="Arial"/>
          <w:b/>
          <w:bCs/>
          <w:sz w:val="22"/>
          <w:lang w:val="es-ES"/>
        </w:rPr>
        <w:t>–</w:t>
      </w:r>
      <w:r w:rsidRPr="00C175DA">
        <w:rPr>
          <w:rFonts w:ascii="Arial" w:eastAsia="Arial" w:hAnsi="Arial" w:cs="Arial"/>
          <w:b/>
          <w:bCs/>
          <w:spacing w:val="-5"/>
          <w:sz w:val="22"/>
          <w:lang w:val="es-ES"/>
        </w:rPr>
        <w:t xml:space="preserve"> </w:t>
      </w:r>
      <w:r w:rsidRPr="00C175DA">
        <w:rPr>
          <w:rFonts w:ascii="Arial" w:eastAsia="Arial" w:hAnsi="Arial" w:cs="Arial"/>
          <w:b/>
          <w:bCs/>
          <w:sz w:val="22"/>
          <w:lang w:val="es-ES"/>
        </w:rPr>
        <w:t>680</w:t>
      </w:r>
      <w:r w:rsidRPr="00C175DA">
        <w:rPr>
          <w:rFonts w:ascii="Arial" w:eastAsia="Arial" w:hAnsi="Arial" w:cs="Arial"/>
          <w:b/>
          <w:bCs/>
          <w:spacing w:val="-6"/>
          <w:sz w:val="22"/>
          <w:lang w:val="es-ES"/>
        </w:rPr>
        <w:t xml:space="preserve"> </w:t>
      </w:r>
      <w:r w:rsidRPr="00C175DA">
        <w:rPr>
          <w:rFonts w:ascii="Arial" w:eastAsia="Arial" w:hAnsi="Arial" w:cs="Arial"/>
          <w:b/>
          <w:bCs/>
          <w:sz w:val="22"/>
          <w:lang w:val="es-ES"/>
        </w:rPr>
        <w:t>de</w:t>
      </w:r>
      <w:r w:rsidRPr="00C175DA">
        <w:rPr>
          <w:rFonts w:ascii="Arial" w:eastAsia="Arial" w:hAnsi="Arial" w:cs="Arial"/>
          <w:b/>
          <w:bCs/>
          <w:spacing w:val="-6"/>
          <w:sz w:val="22"/>
          <w:lang w:val="es-ES"/>
        </w:rPr>
        <w:t xml:space="preserve"> </w:t>
      </w:r>
      <w:r w:rsidRPr="00C175DA">
        <w:rPr>
          <w:rFonts w:ascii="Arial" w:eastAsia="Arial" w:hAnsi="Arial" w:cs="Arial"/>
          <w:b/>
          <w:bCs/>
          <w:sz w:val="22"/>
          <w:lang w:val="es-ES"/>
        </w:rPr>
        <w:t>2021</w:t>
      </w:r>
    </w:p>
    <w:p w14:paraId="3838072E" w14:textId="77777777" w:rsidR="00C175DA" w:rsidRPr="00C175DA" w:rsidRDefault="00C175DA" w:rsidP="00C175DA">
      <w:pPr>
        <w:widowControl w:val="0"/>
        <w:autoSpaceDE w:val="0"/>
        <w:autoSpaceDN w:val="0"/>
        <w:spacing w:before="10"/>
        <w:rPr>
          <w:rFonts w:ascii="Arial" w:eastAsia="Arial MT" w:hAnsi="Arial MT" w:cs="Arial MT"/>
          <w:b/>
          <w:sz w:val="35"/>
          <w:lang w:val="es-ES"/>
        </w:rPr>
      </w:pPr>
    </w:p>
    <w:p w14:paraId="58784E7E" w14:textId="77777777" w:rsidR="00C175DA" w:rsidRPr="00C175DA" w:rsidRDefault="00C175DA" w:rsidP="00C175DA">
      <w:pPr>
        <w:widowControl w:val="0"/>
        <w:tabs>
          <w:tab w:val="left" w:pos="2889"/>
        </w:tabs>
        <w:autoSpaceDE w:val="0"/>
        <w:autoSpaceDN w:val="0"/>
        <w:ind w:left="2891" w:right="282" w:hanging="2689"/>
        <w:jc w:val="both"/>
        <w:rPr>
          <w:rFonts w:ascii="Arial MT" w:eastAsia="Arial MT" w:hAnsi="Arial MT" w:cs="Arial MT"/>
          <w:sz w:val="22"/>
          <w:lang w:val="es-ES"/>
        </w:rPr>
      </w:pPr>
      <w:r w:rsidRPr="00C175DA">
        <w:rPr>
          <w:rFonts w:ascii="Arial" w:eastAsia="Arial MT" w:hAnsi="Arial" w:cs="Arial MT"/>
          <w:b/>
          <w:sz w:val="22"/>
          <w:lang w:val="es-ES"/>
        </w:rPr>
        <w:t>Temas:</w:t>
      </w:r>
      <w:r w:rsidRPr="00C175DA">
        <w:rPr>
          <w:rFonts w:ascii="Arial" w:eastAsia="Arial MT" w:hAnsi="Arial" w:cs="Arial MT"/>
          <w:b/>
          <w:sz w:val="22"/>
          <w:lang w:val="es-ES"/>
        </w:rPr>
        <w:tab/>
      </w:r>
      <w:r w:rsidRPr="00C175DA">
        <w:rPr>
          <w:rFonts w:ascii="Arial MT" w:eastAsia="Arial MT" w:hAnsi="Arial MT" w:cs="Arial MT"/>
          <w:sz w:val="22"/>
          <w:lang w:val="es-ES"/>
        </w:rPr>
        <w:t>DOCUMENTOS</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TIPO</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1"/>
          <w:sz w:val="22"/>
          <w:lang w:val="es-ES"/>
        </w:rPr>
        <w:t xml:space="preserve"> </w:t>
      </w:r>
      <w:r w:rsidRPr="00C175DA">
        <w:rPr>
          <w:rFonts w:ascii="Arial MT" w:eastAsia="Arial MT" w:hAnsi="Arial MT" w:cs="Arial MT"/>
          <w:spacing w:val="18"/>
          <w:sz w:val="22"/>
          <w:lang w:val="es-ES"/>
        </w:rPr>
        <w:t>Fundamento</w:t>
      </w:r>
      <w:r w:rsidRPr="00C175DA">
        <w:rPr>
          <w:rFonts w:ascii="Arial MT" w:eastAsia="Arial MT" w:hAnsi="Arial MT" w:cs="Arial MT"/>
          <w:spacing w:val="19"/>
          <w:sz w:val="22"/>
          <w:lang w:val="es-ES"/>
        </w:rPr>
        <w:t xml:space="preserve"> </w:t>
      </w:r>
      <w:r w:rsidRPr="00C175DA">
        <w:rPr>
          <w:rFonts w:ascii="Arial MT" w:eastAsia="Arial MT" w:hAnsi="Arial MT" w:cs="Arial MT"/>
          <w:spacing w:val="17"/>
          <w:sz w:val="22"/>
          <w:lang w:val="es-ES"/>
        </w:rPr>
        <w:t>normativo</w:t>
      </w:r>
      <w:r w:rsidRPr="00C175DA">
        <w:rPr>
          <w:rFonts w:ascii="Arial MT" w:eastAsia="Arial MT" w:hAnsi="Arial MT" w:cs="Arial MT"/>
          <w:spacing w:val="18"/>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59"/>
          <w:sz w:val="22"/>
          <w:lang w:val="es-ES"/>
        </w:rPr>
        <w:t xml:space="preserve"> </w:t>
      </w:r>
      <w:r w:rsidRPr="00C175DA">
        <w:rPr>
          <w:rFonts w:ascii="Arial MT" w:eastAsia="Arial MT" w:hAnsi="Arial MT" w:cs="Arial MT"/>
          <w:sz w:val="22"/>
          <w:lang w:val="es-ES"/>
        </w:rPr>
        <w:t>generalidades</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DOCUMENTO</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TIPO</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Fundamento</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normativo- obligatoriedad de los documentos tipo pliegos</w:t>
      </w:r>
      <w:r w:rsidRPr="00C175DA">
        <w:rPr>
          <w:rFonts w:ascii="Arial MT" w:eastAsia="Arial MT" w:hAnsi="Arial MT" w:cs="Arial MT"/>
          <w:spacing w:val="-59"/>
          <w:sz w:val="22"/>
          <w:lang w:val="es-ES"/>
        </w:rPr>
        <w:t xml:space="preserve"> </w:t>
      </w:r>
      <w:r w:rsidRPr="00C175DA">
        <w:rPr>
          <w:rFonts w:ascii="Arial MT" w:eastAsia="Arial MT" w:hAnsi="Arial MT" w:cs="Arial MT"/>
          <w:sz w:val="22"/>
          <w:lang w:val="es-ES"/>
        </w:rPr>
        <w:t>tipo</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Ley</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2022</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de</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2020</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DOCUMENTOS</w:t>
      </w:r>
      <w:r w:rsidRPr="00C175DA">
        <w:rPr>
          <w:rFonts w:ascii="Arial MT" w:eastAsia="Arial MT" w:hAnsi="Arial MT" w:cs="Arial MT"/>
          <w:spacing w:val="58"/>
          <w:sz w:val="22"/>
          <w:lang w:val="es-ES"/>
        </w:rPr>
        <w:t xml:space="preserve"> </w:t>
      </w:r>
      <w:r w:rsidRPr="00C175DA">
        <w:rPr>
          <w:rFonts w:ascii="Arial MT" w:eastAsia="Arial MT" w:hAnsi="Arial MT" w:cs="Arial MT"/>
          <w:sz w:val="22"/>
          <w:lang w:val="es-ES"/>
        </w:rPr>
        <w:t>TIPO</w:t>
      </w:r>
      <w:r w:rsidRPr="00C175DA">
        <w:rPr>
          <w:rFonts w:ascii="Arial MT" w:eastAsia="Arial MT" w:hAnsi="Arial MT" w:cs="Arial MT"/>
          <w:spacing w:val="57"/>
          <w:sz w:val="22"/>
          <w:lang w:val="es-ES"/>
        </w:rPr>
        <w:t xml:space="preserve"> </w:t>
      </w:r>
      <w:r w:rsidRPr="00C175DA">
        <w:rPr>
          <w:rFonts w:ascii="Arial MT" w:eastAsia="Arial MT" w:hAnsi="Arial MT" w:cs="Arial MT"/>
          <w:sz w:val="22"/>
          <w:lang w:val="es-ES"/>
        </w:rPr>
        <w:t>DE</w:t>
      </w:r>
      <w:r w:rsidRPr="00C175DA">
        <w:rPr>
          <w:rFonts w:ascii="Arial MT" w:eastAsia="Arial MT" w:hAnsi="Arial MT" w:cs="Arial MT"/>
          <w:spacing w:val="-59"/>
          <w:sz w:val="22"/>
          <w:lang w:val="es-ES"/>
        </w:rPr>
        <w:t xml:space="preserve"> </w:t>
      </w:r>
      <w:r w:rsidRPr="00C175DA">
        <w:rPr>
          <w:rFonts w:ascii="Arial MT" w:eastAsia="Arial MT" w:hAnsi="Arial MT" w:cs="Arial MT"/>
          <w:sz w:val="22"/>
          <w:lang w:val="es-ES"/>
        </w:rPr>
        <w:t>INFRAESTRUCTURA</w:t>
      </w:r>
      <w:r w:rsidRPr="00C175DA">
        <w:rPr>
          <w:rFonts w:ascii="Arial MT" w:eastAsia="Arial MT" w:hAnsi="Arial MT" w:cs="Arial MT"/>
          <w:spacing w:val="73"/>
          <w:sz w:val="22"/>
          <w:lang w:val="es-ES"/>
        </w:rPr>
        <w:t xml:space="preserve"> </w:t>
      </w:r>
      <w:r w:rsidRPr="00C175DA">
        <w:rPr>
          <w:rFonts w:ascii="Arial MT" w:eastAsia="Arial MT" w:hAnsi="Arial MT" w:cs="Arial MT"/>
          <w:sz w:val="22"/>
          <w:lang w:val="es-ES"/>
        </w:rPr>
        <w:t>DE</w:t>
      </w:r>
      <w:r w:rsidRPr="00C175DA">
        <w:rPr>
          <w:rFonts w:ascii="Arial MT" w:eastAsia="Arial MT" w:hAnsi="Arial MT" w:cs="Arial MT"/>
          <w:spacing w:val="73"/>
          <w:sz w:val="22"/>
          <w:lang w:val="es-ES"/>
        </w:rPr>
        <w:t xml:space="preserve"> </w:t>
      </w:r>
      <w:r w:rsidRPr="00C175DA">
        <w:rPr>
          <w:rFonts w:ascii="Arial MT" w:eastAsia="Arial MT" w:hAnsi="Arial MT" w:cs="Arial MT"/>
          <w:sz w:val="22"/>
          <w:lang w:val="es-ES"/>
        </w:rPr>
        <w:t>TRANSPORTE</w:t>
      </w:r>
      <w:r w:rsidRPr="00C175DA">
        <w:rPr>
          <w:rFonts w:ascii="Arial MT" w:eastAsia="Arial MT" w:hAnsi="Arial MT" w:cs="Arial MT"/>
          <w:spacing w:val="73"/>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79"/>
          <w:sz w:val="22"/>
          <w:lang w:val="es-ES"/>
        </w:rPr>
        <w:t xml:space="preserve"> </w:t>
      </w:r>
      <w:r w:rsidRPr="00C175DA">
        <w:rPr>
          <w:rFonts w:ascii="Arial MT" w:eastAsia="Arial MT" w:hAnsi="Arial MT" w:cs="Arial MT"/>
          <w:sz w:val="22"/>
          <w:lang w:val="es-ES"/>
        </w:rPr>
        <w:t>Selección</w:t>
      </w:r>
    </w:p>
    <w:p w14:paraId="1A682F5D" w14:textId="77777777" w:rsidR="00C175DA" w:rsidRPr="00C175DA" w:rsidRDefault="00C175DA" w:rsidP="00C175DA">
      <w:pPr>
        <w:widowControl w:val="0"/>
        <w:autoSpaceDE w:val="0"/>
        <w:autoSpaceDN w:val="0"/>
        <w:ind w:left="2891" w:right="284"/>
        <w:jc w:val="both"/>
        <w:rPr>
          <w:rFonts w:ascii="Arial MT" w:eastAsia="Arial MT" w:hAnsi="Arial MT" w:cs="Arial MT"/>
          <w:sz w:val="22"/>
          <w:lang w:val="es-ES"/>
        </w:rPr>
      </w:pPr>
      <w:r w:rsidRPr="00C175DA">
        <w:rPr>
          <w:rFonts w:ascii="Arial MT" w:eastAsia="Arial MT" w:hAnsi="Arial MT" w:cs="Arial MT"/>
          <w:sz w:val="22"/>
          <w:lang w:val="es-ES"/>
        </w:rPr>
        <w:t>abreviada de menor cuantía – versión 2 – métodos de</w:t>
      </w:r>
      <w:r w:rsidRPr="00C175DA">
        <w:rPr>
          <w:rFonts w:ascii="Arial MT" w:eastAsia="Arial MT" w:hAnsi="Arial MT" w:cs="Arial MT"/>
          <w:spacing w:val="1"/>
          <w:sz w:val="22"/>
          <w:lang w:val="es-ES"/>
        </w:rPr>
        <w:t xml:space="preserve"> </w:t>
      </w:r>
      <w:r w:rsidRPr="00C175DA">
        <w:rPr>
          <w:rFonts w:ascii="Arial MT" w:eastAsia="Arial MT" w:hAnsi="Arial MT" w:cs="Arial MT"/>
          <w:spacing w:val="-1"/>
          <w:sz w:val="22"/>
          <w:lang w:val="es-ES"/>
        </w:rPr>
        <w:t>ponderación</w:t>
      </w:r>
      <w:r w:rsidRPr="00C175DA">
        <w:rPr>
          <w:rFonts w:ascii="Arial MT" w:eastAsia="Arial MT" w:hAnsi="Arial MT" w:cs="Arial MT"/>
          <w:spacing w:val="-14"/>
          <w:sz w:val="22"/>
          <w:lang w:val="es-ES"/>
        </w:rPr>
        <w:t xml:space="preserve"> </w:t>
      </w:r>
      <w:r w:rsidRPr="00C175DA">
        <w:rPr>
          <w:rFonts w:ascii="Arial MT" w:eastAsia="Arial MT" w:hAnsi="Arial MT" w:cs="Arial MT"/>
          <w:spacing w:val="-1"/>
          <w:sz w:val="22"/>
          <w:lang w:val="es-ES"/>
        </w:rPr>
        <w:t>de</w:t>
      </w:r>
      <w:r w:rsidRPr="00C175DA">
        <w:rPr>
          <w:rFonts w:ascii="Arial MT" w:eastAsia="Arial MT" w:hAnsi="Arial MT" w:cs="Arial MT"/>
          <w:spacing w:val="-13"/>
          <w:sz w:val="22"/>
          <w:lang w:val="es-ES"/>
        </w:rPr>
        <w:t xml:space="preserve"> </w:t>
      </w:r>
      <w:r w:rsidRPr="00C175DA">
        <w:rPr>
          <w:rFonts w:ascii="Arial MT" w:eastAsia="Arial MT" w:hAnsi="Arial MT" w:cs="Arial MT"/>
          <w:spacing w:val="-1"/>
          <w:sz w:val="22"/>
          <w:lang w:val="es-ES"/>
        </w:rPr>
        <w:t>la</w:t>
      </w:r>
      <w:r w:rsidRPr="00C175DA">
        <w:rPr>
          <w:rFonts w:ascii="Arial MT" w:eastAsia="Arial MT" w:hAnsi="Arial MT" w:cs="Arial MT"/>
          <w:spacing w:val="-13"/>
          <w:sz w:val="22"/>
          <w:lang w:val="es-ES"/>
        </w:rPr>
        <w:t xml:space="preserve"> </w:t>
      </w:r>
      <w:r w:rsidRPr="00C175DA">
        <w:rPr>
          <w:rFonts w:ascii="Arial MT" w:eastAsia="Arial MT" w:hAnsi="Arial MT" w:cs="Arial MT"/>
          <w:spacing w:val="-1"/>
          <w:sz w:val="22"/>
          <w:lang w:val="es-ES"/>
        </w:rPr>
        <w:t>propuesta</w:t>
      </w:r>
      <w:r w:rsidRPr="00C175DA">
        <w:rPr>
          <w:rFonts w:ascii="Arial MT" w:eastAsia="Arial MT" w:hAnsi="Arial MT" w:cs="Arial MT"/>
          <w:spacing w:val="-13"/>
          <w:sz w:val="22"/>
          <w:lang w:val="es-ES"/>
        </w:rPr>
        <w:t xml:space="preserve"> </w:t>
      </w:r>
      <w:r w:rsidRPr="00C175DA">
        <w:rPr>
          <w:rFonts w:ascii="Arial MT" w:eastAsia="Arial MT" w:hAnsi="Arial MT" w:cs="Arial MT"/>
          <w:spacing w:val="-1"/>
          <w:sz w:val="22"/>
          <w:lang w:val="es-ES"/>
        </w:rPr>
        <w:t>económica</w:t>
      </w:r>
      <w:r w:rsidRPr="00C175DA">
        <w:rPr>
          <w:rFonts w:ascii="Arial MT" w:eastAsia="Arial MT" w:hAnsi="Arial MT" w:cs="Arial MT"/>
          <w:spacing w:val="-13"/>
          <w:sz w:val="22"/>
          <w:lang w:val="es-ES"/>
        </w:rPr>
        <w:t xml:space="preserve"> </w:t>
      </w:r>
      <w:r w:rsidRPr="00C175DA">
        <w:rPr>
          <w:rFonts w:ascii="Arial MT" w:eastAsia="Arial MT" w:hAnsi="Arial MT" w:cs="Arial MT"/>
          <w:spacing w:val="-1"/>
          <w:sz w:val="22"/>
          <w:lang w:val="es-ES"/>
        </w:rPr>
        <w:t>/</w:t>
      </w:r>
      <w:r w:rsidRPr="00C175DA">
        <w:rPr>
          <w:rFonts w:ascii="Arial MT" w:eastAsia="Arial MT" w:hAnsi="Arial MT" w:cs="Arial MT"/>
          <w:spacing w:val="-13"/>
          <w:sz w:val="22"/>
          <w:lang w:val="es-ES"/>
        </w:rPr>
        <w:t xml:space="preserve"> </w:t>
      </w:r>
      <w:r w:rsidRPr="00C175DA">
        <w:rPr>
          <w:rFonts w:ascii="Arial MT" w:eastAsia="Arial MT" w:hAnsi="Arial MT" w:cs="Arial MT"/>
          <w:spacing w:val="-1"/>
          <w:sz w:val="22"/>
          <w:lang w:val="es-ES"/>
        </w:rPr>
        <w:t>DOCUMENTOS</w:t>
      </w:r>
      <w:r w:rsidRPr="00C175DA">
        <w:rPr>
          <w:rFonts w:ascii="Arial MT" w:eastAsia="Arial MT" w:hAnsi="Arial MT" w:cs="Arial MT"/>
          <w:spacing w:val="-59"/>
          <w:sz w:val="22"/>
          <w:lang w:val="es-ES"/>
        </w:rPr>
        <w:t xml:space="preserve"> </w:t>
      </w:r>
      <w:r w:rsidRPr="00C175DA">
        <w:rPr>
          <w:rFonts w:ascii="Arial MT" w:eastAsia="Arial MT" w:hAnsi="Arial MT" w:cs="Arial MT"/>
          <w:sz w:val="22"/>
          <w:lang w:val="es-ES"/>
        </w:rPr>
        <w:t>TIPO</w:t>
      </w:r>
      <w:r w:rsidRPr="00C175DA">
        <w:rPr>
          <w:rFonts w:ascii="Arial MT" w:eastAsia="Arial MT" w:hAnsi="Arial MT" w:cs="Arial MT"/>
          <w:spacing w:val="71"/>
          <w:sz w:val="22"/>
          <w:lang w:val="es-ES"/>
        </w:rPr>
        <w:t xml:space="preserve"> </w:t>
      </w:r>
      <w:r w:rsidRPr="00C175DA">
        <w:rPr>
          <w:rFonts w:ascii="Arial MT" w:eastAsia="Arial MT" w:hAnsi="Arial MT" w:cs="Arial MT"/>
          <w:sz w:val="22"/>
          <w:lang w:val="es-ES"/>
        </w:rPr>
        <w:t>DE</w:t>
      </w:r>
      <w:r w:rsidRPr="00C175DA">
        <w:rPr>
          <w:rFonts w:ascii="Arial MT" w:eastAsia="Arial MT" w:hAnsi="Arial MT" w:cs="Arial MT"/>
          <w:spacing w:val="71"/>
          <w:sz w:val="22"/>
          <w:lang w:val="es-ES"/>
        </w:rPr>
        <w:t xml:space="preserve"> </w:t>
      </w:r>
      <w:r w:rsidRPr="00C175DA">
        <w:rPr>
          <w:rFonts w:ascii="Arial MT" w:eastAsia="Arial MT" w:hAnsi="Arial MT" w:cs="Arial MT"/>
          <w:sz w:val="22"/>
          <w:lang w:val="es-ES"/>
        </w:rPr>
        <w:t>INFRAESTRUCTURA</w:t>
      </w:r>
      <w:r w:rsidRPr="00C175DA">
        <w:rPr>
          <w:rFonts w:ascii="Arial MT" w:eastAsia="Arial MT" w:hAnsi="Arial MT" w:cs="Arial MT"/>
          <w:spacing w:val="73"/>
          <w:sz w:val="22"/>
          <w:lang w:val="es-ES"/>
        </w:rPr>
        <w:t xml:space="preserve"> </w:t>
      </w:r>
      <w:r w:rsidRPr="00C175DA">
        <w:rPr>
          <w:rFonts w:ascii="Arial MT" w:eastAsia="Arial MT" w:hAnsi="Arial MT" w:cs="Arial MT"/>
          <w:sz w:val="22"/>
          <w:lang w:val="es-ES"/>
        </w:rPr>
        <w:t>DE</w:t>
      </w:r>
      <w:r w:rsidRPr="00C175DA">
        <w:rPr>
          <w:rFonts w:ascii="Arial MT" w:eastAsia="Arial MT" w:hAnsi="Arial MT" w:cs="Arial MT"/>
          <w:spacing w:val="71"/>
          <w:sz w:val="22"/>
          <w:lang w:val="es-ES"/>
        </w:rPr>
        <w:t xml:space="preserve"> </w:t>
      </w:r>
      <w:r w:rsidRPr="00C175DA">
        <w:rPr>
          <w:rFonts w:ascii="Arial MT" w:eastAsia="Arial MT" w:hAnsi="Arial MT" w:cs="Arial MT"/>
          <w:sz w:val="22"/>
          <w:lang w:val="es-ES"/>
        </w:rPr>
        <w:t>TRANSPORTE</w:t>
      </w:r>
      <w:r w:rsidRPr="00C175DA">
        <w:rPr>
          <w:rFonts w:ascii="Arial MT" w:eastAsia="Arial MT" w:hAnsi="Arial MT" w:cs="Arial MT"/>
          <w:spacing w:val="72"/>
          <w:sz w:val="22"/>
          <w:lang w:val="es-ES"/>
        </w:rPr>
        <w:t xml:space="preserve"> </w:t>
      </w:r>
      <w:r w:rsidRPr="00C175DA">
        <w:rPr>
          <w:rFonts w:ascii="Arial MT" w:eastAsia="Arial MT" w:hAnsi="Arial MT" w:cs="Arial MT"/>
          <w:sz w:val="22"/>
          <w:lang w:val="es-ES"/>
        </w:rPr>
        <w:t>–</w:t>
      </w:r>
    </w:p>
    <w:p w14:paraId="29EDB25E" w14:textId="77777777" w:rsidR="00C175DA" w:rsidRPr="00C175DA" w:rsidRDefault="00C175DA" w:rsidP="00C175DA">
      <w:pPr>
        <w:widowControl w:val="0"/>
        <w:autoSpaceDE w:val="0"/>
        <w:autoSpaceDN w:val="0"/>
        <w:ind w:left="2891" w:right="284"/>
        <w:jc w:val="both"/>
        <w:rPr>
          <w:rFonts w:ascii="Arial MT" w:eastAsia="Arial MT" w:hAnsi="Arial MT" w:cs="Arial MT"/>
          <w:sz w:val="22"/>
          <w:lang w:val="es-ES"/>
        </w:rPr>
      </w:pPr>
      <w:r w:rsidRPr="00C175DA">
        <w:rPr>
          <w:rFonts w:ascii="Arial MT" w:eastAsia="Arial MT" w:hAnsi="Arial MT" w:cs="Arial MT"/>
          <w:sz w:val="22"/>
          <w:lang w:val="es-ES"/>
        </w:rPr>
        <w:t>Selección</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abreviada</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de</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menor</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cuantía</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versión</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2</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59"/>
          <w:sz w:val="22"/>
          <w:lang w:val="es-ES"/>
        </w:rPr>
        <w:t xml:space="preserve"> </w:t>
      </w:r>
      <w:r w:rsidRPr="00C175DA">
        <w:rPr>
          <w:rFonts w:ascii="Arial MT" w:eastAsia="Arial MT" w:hAnsi="Arial MT" w:cs="Arial MT"/>
          <w:sz w:val="22"/>
          <w:lang w:val="es-ES"/>
        </w:rPr>
        <w:t>método de ponderación de la propuesta económica por</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lotes</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w:t>
      </w:r>
      <w:r w:rsidRPr="00C175DA">
        <w:rPr>
          <w:rFonts w:ascii="Arial MT" w:eastAsia="Arial MT" w:hAnsi="Arial MT" w:cs="Arial MT"/>
          <w:spacing w:val="-1"/>
          <w:sz w:val="22"/>
          <w:lang w:val="es-ES"/>
        </w:rPr>
        <w:t xml:space="preserve"> </w:t>
      </w:r>
      <w:r w:rsidRPr="00C175DA">
        <w:rPr>
          <w:rFonts w:ascii="Arial MT" w:eastAsia="Arial MT" w:hAnsi="Arial MT" w:cs="Arial MT"/>
          <w:sz w:val="22"/>
          <w:lang w:val="es-ES"/>
        </w:rPr>
        <w:t>orden</w:t>
      </w:r>
      <w:r w:rsidRPr="00C175DA">
        <w:rPr>
          <w:rFonts w:ascii="Arial MT" w:eastAsia="Arial MT" w:hAnsi="Arial MT" w:cs="Arial MT"/>
          <w:spacing w:val="-1"/>
          <w:sz w:val="22"/>
          <w:lang w:val="es-ES"/>
        </w:rPr>
        <w:t xml:space="preserve"> </w:t>
      </w:r>
      <w:proofErr w:type="spellStart"/>
      <w:r w:rsidRPr="00C175DA">
        <w:rPr>
          <w:rFonts w:ascii="Arial MT" w:eastAsia="Arial MT" w:hAnsi="Arial MT" w:cs="Arial MT"/>
          <w:sz w:val="22"/>
          <w:lang w:val="es-ES"/>
        </w:rPr>
        <w:t>ascedente</w:t>
      </w:r>
      <w:proofErr w:type="spellEnd"/>
      <w:r w:rsidRPr="00C175DA">
        <w:rPr>
          <w:rFonts w:ascii="Arial MT" w:eastAsia="Arial MT" w:hAnsi="Arial MT" w:cs="Arial MT"/>
          <w:sz w:val="22"/>
          <w:lang w:val="es-ES"/>
        </w:rPr>
        <w:t>–.</w:t>
      </w:r>
    </w:p>
    <w:p w14:paraId="1EE080BD" w14:textId="77777777" w:rsidR="00C175DA" w:rsidRPr="00C175DA" w:rsidRDefault="00C175DA" w:rsidP="00C175DA">
      <w:pPr>
        <w:widowControl w:val="0"/>
        <w:autoSpaceDE w:val="0"/>
        <w:autoSpaceDN w:val="0"/>
        <w:rPr>
          <w:rFonts w:ascii="Arial MT" w:eastAsia="Arial MT" w:hAnsi="Arial MT" w:cs="Arial MT"/>
          <w:lang w:val="es-ES"/>
        </w:rPr>
      </w:pPr>
    </w:p>
    <w:p w14:paraId="1021241C" w14:textId="77777777" w:rsidR="008C1555" w:rsidRDefault="008C1555" w:rsidP="0058545D">
      <w:pPr>
        <w:widowControl w:val="0"/>
        <w:autoSpaceDE w:val="0"/>
        <w:autoSpaceDN w:val="0"/>
        <w:spacing w:before="94"/>
        <w:ind w:right="533"/>
        <w:rPr>
          <w:rFonts w:ascii="Arial" w:eastAsia="Arial MT" w:hAnsi="Arial MT" w:cs="Arial MT"/>
          <w:b/>
          <w:color w:val="585858"/>
          <w:sz w:val="18"/>
          <w:lang w:val="es-ES"/>
        </w:rPr>
      </w:pPr>
    </w:p>
    <w:p w14:paraId="49294305" w14:textId="362F9D8D" w:rsidR="00757862" w:rsidRPr="00757862" w:rsidRDefault="008A5AC8" w:rsidP="008A5AC8">
      <w:pPr>
        <w:widowControl w:val="0"/>
        <w:tabs>
          <w:tab w:val="left" w:pos="2789"/>
        </w:tabs>
        <w:autoSpaceDE w:val="0"/>
        <w:autoSpaceDN w:val="0"/>
        <w:spacing w:before="144"/>
        <w:ind w:left="2785" w:hanging="2685"/>
        <w:jc w:val="both"/>
        <w:rPr>
          <w:rFonts w:ascii="Arial MT" w:eastAsia="Arial MT" w:hAnsi="Arial MT" w:cs="Arial MT"/>
          <w:sz w:val="22"/>
          <w:lang w:val="es-ES"/>
        </w:rPr>
      </w:pPr>
      <w:r>
        <w:rPr>
          <w:rFonts w:ascii="Arial" w:eastAsia="Arial MT" w:hAnsi="Arial" w:cs="Arial MT"/>
          <w:b/>
          <w:sz w:val="22"/>
          <w:lang w:val="es-ES"/>
        </w:rPr>
        <w:t xml:space="preserve">Radicación: </w:t>
      </w:r>
      <w:r>
        <w:rPr>
          <w:rFonts w:ascii="Arial" w:eastAsia="Arial MT" w:hAnsi="Arial" w:cs="Arial MT"/>
          <w:b/>
          <w:sz w:val="22"/>
          <w:lang w:val="es-ES"/>
        </w:rPr>
        <w:tab/>
      </w:r>
      <w:r>
        <w:rPr>
          <w:rFonts w:ascii="Arial" w:eastAsia="Arial MT" w:hAnsi="Arial" w:cs="Arial MT"/>
          <w:b/>
          <w:sz w:val="22"/>
          <w:lang w:val="es-ES"/>
        </w:rPr>
        <w:tab/>
      </w:r>
      <w:r w:rsidR="00757862" w:rsidRPr="008A5AC8">
        <w:rPr>
          <w:rFonts w:ascii="Arial" w:eastAsia="Arial MT" w:hAnsi="Arial" w:cs="Arial"/>
          <w:sz w:val="22"/>
          <w:lang w:val="es-ES"/>
        </w:rPr>
        <w:t>Respuesta</w:t>
      </w:r>
      <w:r w:rsidR="00757862" w:rsidRPr="008A5AC8">
        <w:rPr>
          <w:rFonts w:ascii="Arial" w:eastAsia="Arial MT" w:hAnsi="Arial" w:cs="Arial"/>
          <w:spacing w:val="-6"/>
          <w:sz w:val="22"/>
          <w:lang w:val="es-ES"/>
        </w:rPr>
        <w:t xml:space="preserve"> </w:t>
      </w:r>
      <w:r w:rsidR="00757862" w:rsidRPr="008A5AC8">
        <w:rPr>
          <w:rFonts w:ascii="Arial" w:eastAsia="Arial MT" w:hAnsi="Arial" w:cs="Arial"/>
          <w:sz w:val="22"/>
          <w:lang w:val="es-ES"/>
        </w:rPr>
        <w:t>a</w:t>
      </w:r>
      <w:r w:rsidR="00757862" w:rsidRPr="008A5AC8">
        <w:rPr>
          <w:rFonts w:ascii="Arial" w:eastAsia="Arial MT" w:hAnsi="Arial" w:cs="Arial"/>
          <w:spacing w:val="-6"/>
          <w:sz w:val="22"/>
          <w:lang w:val="es-ES"/>
        </w:rPr>
        <w:t xml:space="preserve"> </w:t>
      </w:r>
      <w:r w:rsidR="00757862" w:rsidRPr="008A5AC8">
        <w:rPr>
          <w:rFonts w:ascii="Arial" w:eastAsia="Arial MT" w:hAnsi="Arial" w:cs="Arial"/>
          <w:sz w:val="22"/>
          <w:lang w:val="es-ES"/>
        </w:rPr>
        <w:t>la</w:t>
      </w:r>
      <w:r w:rsidRPr="008A5AC8">
        <w:rPr>
          <w:rFonts w:ascii="Arial" w:eastAsia="Arial MT" w:hAnsi="Arial" w:cs="Arial"/>
          <w:sz w:val="22"/>
          <w:lang w:val="es-ES"/>
        </w:rPr>
        <w:t>s</w:t>
      </w:r>
      <w:r w:rsidR="00757862" w:rsidRPr="008A5AC8">
        <w:rPr>
          <w:rFonts w:ascii="Arial" w:eastAsia="Arial MT" w:hAnsi="Arial" w:cs="Arial"/>
          <w:spacing w:val="-5"/>
          <w:sz w:val="22"/>
          <w:lang w:val="es-ES"/>
        </w:rPr>
        <w:t xml:space="preserve"> </w:t>
      </w:r>
      <w:r w:rsidR="00757862" w:rsidRPr="008A5AC8">
        <w:rPr>
          <w:rFonts w:ascii="Arial" w:eastAsia="Arial MT" w:hAnsi="Arial" w:cs="Arial"/>
          <w:sz w:val="22"/>
          <w:lang w:val="es-ES"/>
        </w:rPr>
        <w:t>consulta</w:t>
      </w:r>
      <w:r w:rsidRPr="008A5AC8">
        <w:rPr>
          <w:rFonts w:ascii="Arial" w:eastAsia="Arial MT" w:hAnsi="Arial" w:cs="Arial"/>
          <w:sz w:val="22"/>
          <w:lang w:val="es-ES"/>
        </w:rPr>
        <w:t>s</w:t>
      </w:r>
      <w:r w:rsidR="00757862" w:rsidRPr="008A5AC8">
        <w:rPr>
          <w:rFonts w:ascii="Arial" w:eastAsia="Arial MT" w:hAnsi="Arial" w:cs="Arial"/>
          <w:spacing w:val="-6"/>
          <w:sz w:val="22"/>
          <w:lang w:val="es-ES"/>
        </w:rPr>
        <w:t xml:space="preserve"> </w:t>
      </w:r>
      <w:r w:rsidRPr="008A5AC8">
        <w:rPr>
          <w:rFonts w:ascii="Arial" w:hAnsi="Arial" w:cs="Arial"/>
          <w:bCs/>
          <w:sz w:val="22"/>
          <w:shd w:val="clear" w:color="auto" w:fill="FFFFFF"/>
        </w:rPr>
        <w:t>P20211101010072 y P20211102010135</w:t>
      </w:r>
    </w:p>
    <w:p w14:paraId="1A6394F9" w14:textId="77777777" w:rsidR="003567B6" w:rsidRPr="00757862" w:rsidRDefault="003567B6" w:rsidP="00757862">
      <w:pPr>
        <w:widowControl w:val="0"/>
        <w:autoSpaceDE w:val="0"/>
        <w:autoSpaceDN w:val="0"/>
        <w:rPr>
          <w:rFonts w:ascii="Arial MT" w:eastAsia="Arial MT" w:hAnsi="Arial MT" w:cs="Arial MT"/>
          <w:lang w:val="es-ES"/>
        </w:rPr>
      </w:pPr>
    </w:p>
    <w:p w14:paraId="5F87200B" w14:textId="77777777" w:rsidR="001F3C7B" w:rsidRPr="00667C72" w:rsidRDefault="001F3C7B" w:rsidP="00DE7D58">
      <w:pPr>
        <w:jc w:val="both"/>
        <w:rPr>
          <w:rFonts w:ascii="Arial" w:eastAsia="Calibri" w:hAnsi="Arial" w:cs="Arial"/>
          <w:sz w:val="22"/>
          <w:lang w:val="es-CO"/>
        </w:rPr>
      </w:pPr>
    </w:p>
    <w:p w14:paraId="23FFBBCE" w14:textId="56F07E92" w:rsidR="00904CD9" w:rsidRPr="00667C72" w:rsidRDefault="00567165" w:rsidP="00904CD9">
      <w:pPr>
        <w:rPr>
          <w:rFonts w:ascii="Arial" w:eastAsia="Calibri" w:hAnsi="Arial" w:cs="Arial"/>
          <w:sz w:val="22"/>
          <w:lang w:val="es-CO"/>
        </w:rPr>
      </w:pPr>
      <w:r>
        <w:rPr>
          <w:rFonts w:ascii="Arial" w:eastAsia="Calibri" w:hAnsi="Arial" w:cs="Arial"/>
          <w:sz w:val="22"/>
          <w:lang w:val="es-CO"/>
        </w:rPr>
        <w:t xml:space="preserve">Estimada Señora </w:t>
      </w:r>
      <w:r w:rsidR="00D30246">
        <w:rPr>
          <w:rFonts w:ascii="Arial" w:eastAsia="Calibri" w:hAnsi="Arial" w:cs="Arial"/>
          <w:sz w:val="22"/>
          <w:lang w:val="es-CO"/>
        </w:rPr>
        <w:t>Sepúlveda</w:t>
      </w:r>
      <w:r>
        <w:rPr>
          <w:rFonts w:ascii="Arial" w:eastAsia="Calibri" w:hAnsi="Arial" w:cs="Arial"/>
          <w:sz w:val="22"/>
          <w:lang w:val="es-CO"/>
        </w:rPr>
        <w:t xml:space="preserve">: </w:t>
      </w:r>
    </w:p>
    <w:p w14:paraId="24D48CA1" w14:textId="77777777" w:rsidR="00904CD9" w:rsidRPr="00667C72" w:rsidRDefault="00904CD9" w:rsidP="00904CD9">
      <w:pPr>
        <w:rPr>
          <w:rFonts w:ascii="Arial" w:eastAsia="Calibri" w:hAnsi="Arial" w:cs="Arial"/>
          <w:sz w:val="22"/>
          <w:lang w:val="es-CO"/>
        </w:rPr>
      </w:pPr>
    </w:p>
    <w:p w14:paraId="0923B836" w14:textId="63348094" w:rsidR="00904CD9" w:rsidRPr="00667C72" w:rsidRDefault="00912BD6" w:rsidP="00904CD9">
      <w:pPr>
        <w:spacing w:line="276" w:lineRule="auto"/>
        <w:ind w:right="49"/>
        <w:jc w:val="both"/>
        <w:rPr>
          <w:rFonts w:ascii="Arial" w:eastAsia="Calibri" w:hAnsi="Arial" w:cs="Arial"/>
          <w:sz w:val="22"/>
          <w:lang w:val="es-CO"/>
        </w:rPr>
      </w:pPr>
      <w:r w:rsidRPr="00E807B5">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Pr>
          <w:rFonts w:ascii="Arial" w:eastAsia="Calibri" w:hAnsi="Arial" w:cs="Arial"/>
          <w:color w:val="000000" w:themeColor="text1"/>
          <w:sz w:val="22"/>
          <w:lang w:val="es-ES_tradnl"/>
        </w:rPr>
        <w:t xml:space="preserve"> y dentro de los términos establecidos en el artí</w:t>
      </w:r>
      <w:r w:rsidR="008A5AC8">
        <w:rPr>
          <w:rFonts w:ascii="Arial" w:eastAsia="Calibri" w:hAnsi="Arial" w:cs="Arial"/>
          <w:color w:val="000000" w:themeColor="text1"/>
          <w:sz w:val="22"/>
          <w:lang w:val="es-ES_tradnl"/>
        </w:rPr>
        <w:t>culo 14 de la Ley 1437 de 2011</w:t>
      </w:r>
      <w:r>
        <w:rPr>
          <w:rFonts w:ascii="Arial" w:eastAsia="Calibri" w:hAnsi="Arial" w:cs="Arial"/>
          <w:color w:val="000000" w:themeColor="text1"/>
          <w:sz w:val="22"/>
          <w:lang w:val="es-ES_tradnl"/>
        </w:rPr>
        <w:t>,</w:t>
      </w:r>
      <w:r w:rsidRPr="00E807B5">
        <w:rPr>
          <w:rFonts w:ascii="Arial" w:eastAsia="Calibri" w:hAnsi="Arial" w:cs="Arial"/>
          <w:color w:val="000000" w:themeColor="text1"/>
          <w:sz w:val="22"/>
          <w:lang w:val="es-ES_tradnl"/>
        </w:rPr>
        <w:t xml:space="preserve"> la Agencia Nacional de Contratación Pública – Colombia Compra</w:t>
      </w:r>
      <w:r w:rsidR="008A5AC8">
        <w:rPr>
          <w:rFonts w:ascii="Arial" w:eastAsia="Calibri" w:hAnsi="Arial" w:cs="Arial"/>
          <w:color w:val="000000" w:themeColor="text1"/>
          <w:sz w:val="22"/>
          <w:lang w:val="es-ES_tradnl"/>
        </w:rPr>
        <w:t xml:space="preserve"> Eficiente responde sus consultas del 1 y 2 de noviembre de 2021</w:t>
      </w:r>
      <w:r w:rsidR="00FD7994" w:rsidRPr="00667C72">
        <w:rPr>
          <w:rFonts w:ascii="Arial" w:eastAsia="Calibri" w:hAnsi="Arial" w:cs="Arial"/>
          <w:sz w:val="22"/>
          <w:lang w:val="es-CO"/>
        </w:rPr>
        <w:t>.</w:t>
      </w:r>
    </w:p>
    <w:p w14:paraId="3A5E9A2D" w14:textId="77777777" w:rsidR="00904CD9" w:rsidRPr="00667C72" w:rsidRDefault="00904CD9" w:rsidP="00904CD9">
      <w:pPr>
        <w:spacing w:line="276" w:lineRule="auto"/>
        <w:jc w:val="both"/>
        <w:rPr>
          <w:rFonts w:ascii="Arial" w:eastAsia="Calibri" w:hAnsi="Arial" w:cs="Arial"/>
          <w:sz w:val="22"/>
          <w:lang w:val="es-CO"/>
        </w:rPr>
      </w:pPr>
    </w:p>
    <w:p w14:paraId="5A4D90C7" w14:textId="3CFBE737" w:rsidR="00904CD9" w:rsidRPr="00667C72"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667C72">
        <w:rPr>
          <w:rFonts w:ascii="Arial" w:eastAsia="Calibri" w:hAnsi="Arial" w:cs="Arial"/>
          <w:b/>
          <w:sz w:val="22"/>
          <w:lang w:val="es-CO"/>
        </w:rPr>
        <w:t xml:space="preserve">Problema planteado </w:t>
      </w:r>
    </w:p>
    <w:p w14:paraId="6CB819BA" w14:textId="77777777" w:rsidR="00904CD9" w:rsidRPr="00667C72" w:rsidRDefault="00904CD9" w:rsidP="00FD7994">
      <w:pPr>
        <w:tabs>
          <w:tab w:val="left" w:pos="426"/>
        </w:tabs>
        <w:spacing w:line="276" w:lineRule="auto"/>
        <w:jc w:val="both"/>
        <w:rPr>
          <w:rFonts w:ascii="Arial" w:eastAsia="Calibri" w:hAnsi="Arial" w:cs="Arial"/>
          <w:b/>
          <w:sz w:val="22"/>
          <w:lang w:val="es-CO"/>
        </w:rPr>
      </w:pPr>
    </w:p>
    <w:p w14:paraId="75720074" w14:textId="703589ED" w:rsidR="00904CD9" w:rsidRPr="0028382A" w:rsidRDefault="005E1D1D" w:rsidP="0021571D">
      <w:pPr>
        <w:spacing w:line="276" w:lineRule="auto"/>
        <w:jc w:val="both"/>
        <w:rPr>
          <w:rFonts w:ascii="Arial" w:eastAsia="Calibri" w:hAnsi="Arial" w:cs="Arial"/>
          <w:sz w:val="22"/>
          <w:lang w:val="es-CO"/>
        </w:rPr>
      </w:pPr>
      <w:r>
        <w:rPr>
          <w:rFonts w:ascii="Arial" w:eastAsia="Calibri" w:hAnsi="Arial" w:cs="Arial"/>
          <w:sz w:val="22"/>
          <w:lang w:val="es-CO"/>
        </w:rPr>
        <w:t>Sobre</w:t>
      </w:r>
      <w:r w:rsidR="00E23732" w:rsidRPr="0028382A">
        <w:rPr>
          <w:rFonts w:ascii="Arial" w:eastAsia="Calibri" w:hAnsi="Arial" w:cs="Arial"/>
          <w:sz w:val="22"/>
          <w:lang w:val="es-CO"/>
        </w:rPr>
        <w:t xml:space="preserve"> los «Documentos Tipo – Versión </w:t>
      </w:r>
      <w:r w:rsidR="00965638" w:rsidRPr="0028382A">
        <w:rPr>
          <w:rFonts w:ascii="Arial" w:eastAsia="Calibri" w:hAnsi="Arial" w:cs="Arial"/>
          <w:sz w:val="22"/>
          <w:lang w:val="es-CO"/>
        </w:rPr>
        <w:t>2</w:t>
      </w:r>
      <w:r w:rsidR="00E23732" w:rsidRPr="0028382A">
        <w:rPr>
          <w:rFonts w:ascii="Arial" w:eastAsia="Calibri" w:hAnsi="Arial" w:cs="Arial"/>
          <w:sz w:val="22"/>
          <w:lang w:val="es-CO"/>
        </w:rPr>
        <w:t xml:space="preserve">» de </w:t>
      </w:r>
      <w:r w:rsidR="0028382A">
        <w:rPr>
          <w:rFonts w:ascii="Arial" w:eastAsia="Calibri" w:hAnsi="Arial" w:cs="Arial"/>
          <w:sz w:val="22"/>
          <w:lang w:val="es-CO"/>
        </w:rPr>
        <w:t xml:space="preserve">selección abreviada de menor </w:t>
      </w:r>
      <w:proofErr w:type="spellStart"/>
      <w:r w:rsidR="0028382A">
        <w:rPr>
          <w:rFonts w:ascii="Arial" w:eastAsia="Calibri" w:hAnsi="Arial" w:cs="Arial"/>
          <w:sz w:val="22"/>
          <w:lang w:val="es-CO"/>
        </w:rPr>
        <w:t>cuantia</w:t>
      </w:r>
      <w:proofErr w:type="spellEnd"/>
      <w:r w:rsidR="0028382A">
        <w:rPr>
          <w:rFonts w:ascii="Arial" w:eastAsia="Calibri" w:hAnsi="Arial" w:cs="Arial"/>
          <w:sz w:val="22"/>
          <w:lang w:val="es-CO"/>
        </w:rPr>
        <w:t xml:space="preserve"> </w:t>
      </w:r>
      <w:r w:rsidR="00E23732" w:rsidRPr="0028382A">
        <w:rPr>
          <w:rFonts w:ascii="Arial" w:eastAsia="Calibri" w:hAnsi="Arial" w:cs="Arial"/>
          <w:sz w:val="22"/>
          <w:lang w:val="es-CO"/>
        </w:rPr>
        <w:t>de infraestructura de transporte</w:t>
      </w:r>
      <w:r w:rsidR="00965638" w:rsidRPr="0028382A">
        <w:rPr>
          <w:rFonts w:ascii="Arial" w:eastAsia="Calibri" w:hAnsi="Arial" w:cs="Arial"/>
          <w:sz w:val="22"/>
          <w:lang w:val="es-CO"/>
        </w:rPr>
        <w:t xml:space="preserve">, </w:t>
      </w:r>
      <w:r w:rsidR="00E23732" w:rsidRPr="0028382A">
        <w:rPr>
          <w:rFonts w:ascii="Arial" w:eastAsia="Calibri" w:hAnsi="Arial" w:cs="Arial"/>
          <w:sz w:val="22"/>
          <w:lang w:val="es-CO"/>
        </w:rPr>
        <w:t>u</w:t>
      </w:r>
      <w:r w:rsidR="00256EDF">
        <w:rPr>
          <w:rFonts w:ascii="Arial" w:eastAsia="Calibri" w:hAnsi="Arial" w:cs="Arial"/>
          <w:sz w:val="22"/>
          <w:lang w:val="es-CO"/>
        </w:rPr>
        <w:t>sted realiza una pregunta en torno al método para la ponderación de la propuesta económica, por lo que expresa</w:t>
      </w:r>
      <w:r w:rsidR="00904CD9" w:rsidRPr="0028382A">
        <w:rPr>
          <w:rFonts w:ascii="Arial" w:eastAsia="Calibri" w:hAnsi="Arial" w:cs="Arial"/>
          <w:sz w:val="22"/>
          <w:lang w:val="es-CO"/>
        </w:rPr>
        <w:t>:</w:t>
      </w:r>
      <w:r w:rsidR="00567165" w:rsidRPr="0028382A">
        <w:rPr>
          <w:rFonts w:ascii="Arial" w:eastAsia="Calibri" w:hAnsi="Arial" w:cs="Arial"/>
          <w:sz w:val="22"/>
          <w:lang w:val="es-CO"/>
        </w:rPr>
        <w:t xml:space="preserve"> «</w:t>
      </w:r>
      <w:bookmarkStart w:id="1" w:name="_Hlk81476722"/>
      <w:r w:rsidR="0028382A">
        <w:rPr>
          <w:rFonts w:ascii="Arial" w:eastAsia="Calibri" w:hAnsi="Arial" w:cs="Arial"/>
          <w:sz w:val="22"/>
          <w:lang w:val="es-CO"/>
        </w:rPr>
        <w:t>L</w:t>
      </w:r>
      <w:r w:rsidR="0028382A" w:rsidRPr="0028382A">
        <w:rPr>
          <w:rFonts w:ascii="Arial" w:eastAsia="Calibri" w:hAnsi="Arial" w:cs="Arial"/>
          <w:sz w:val="22"/>
          <w:lang w:val="es-CO"/>
        </w:rPr>
        <w:t>a duda consiste, en los lotes siguientes cuando el pliego dice lo siguiente: "Para la adjudicación del segundo lote se tomará el siguiente método de acuerdo con la tabla anterior, en orden ascendente, y así sucesivamente" y  continua diciendo "teniendo en cuenta que se reiniciará desde el primer método en caso de agotarse el último método”</w:t>
      </w:r>
      <w:r w:rsidR="0028382A" w:rsidRPr="0028382A">
        <w:rPr>
          <w:rFonts w:ascii="Arial" w:hAnsi="Arial" w:cs="Arial"/>
          <w:color w:val="000000" w:themeColor="text1"/>
          <w:sz w:val="22"/>
        </w:rPr>
        <w:t>»</w:t>
      </w:r>
      <w:r w:rsidR="005E7B38">
        <w:rPr>
          <w:rFonts w:ascii="Arial" w:hAnsi="Arial" w:cs="Arial"/>
          <w:color w:val="000000" w:themeColor="text1"/>
          <w:sz w:val="22"/>
        </w:rPr>
        <w:t xml:space="preserve"> (sic)</w:t>
      </w:r>
      <w:r w:rsidR="0028382A" w:rsidRPr="0028382A">
        <w:rPr>
          <w:rFonts w:ascii="Arial" w:hAnsi="Arial" w:cs="Arial"/>
          <w:color w:val="000000" w:themeColor="text1"/>
          <w:sz w:val="22"/>
        </w:rPr>
        <w:t>.</w:t>
      </w:r>
    </w:p>
    <w:bookmarkEnd w:id="1"/>
    <w:p w14:paraId="1E437AFA" w14:textId="77777777" w:rsidR="00E23732" w:rsidRPr="00BB0056" w:rsidRDefault="00E23732" w:rsidP="00904CD9">
      <w:pPr>
        <w:tabs>
          <w:tab w:val="left" w:pos="426"/>
        </w:tabs>
        <w:spacing w:line="276" w:lineRule="auto"/>
        <w:jc w:val="both"/>
        <w:rPr>
          <w:rFonts w:ascii="Arial" w:eastAsia="Calibri" w:hAnsi="Arial" w:cs="Arial"/>
          <w:sz w:val="22"/>
          <w:lang w:val="es-CO"/>
        </w:rPr>
      </w:pPr>
    </w:p>
    <w:p w14:paraId="3188584E" w14:textId="6F489ECD" w:rsidR="00904CD9" w:rsidRDefault="00904CD9" w:rsidP="00904CD9">
      <w:pPr>
        <w:pStyle w:val="Prrafodelista"/>
        <w:numPr>
          <w:ilvl w:val="0"/>
          <w:numId w:val="6"/>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500108CC" w14:textId="35222373" w:rsidR="00C439A1" w:rsidRDefault="00C439A1" w:rsidP="00C439A1">
      <w:pPr>
        <w:tabs>
          <w:tab w:val="left" w:pos="426"/>
        </w:tabs>
        <w:spacing w:line="276" w:lineRule="auto"/>
        <w:jc w:val="both"/>
        <w:rPr>
          <w:rFonts w:ascii="Arial" w:eastAsia="Calibri" w:hAnsi="Arial" w:cs="Arial"/>
          <w:b/>
          <w:sz w:val="22"/>
          <w:lang w:val="es-CO"/>
        </w:rPr>
      </w:pPr>
    </w:p>
    <w:p w14:paraId="79B6D215" w14:textId="4A37DF93" w:rsidR="00C439A1" w:rsidRDefault="00945536" w:rsidP="00C439A1">
      <w:pPr>
        <w:tabs>
          <w:tab w:val="left" w:pos="426"/>
        </w:tabs>
        <w:spacing w:line="276" w:lineRule="auto"/>
        <w:jc w:val="both"/>
        <w:rPr>
          <w:rFonts w:ascii="Arial" w:hAnsi="Arial" w:cs="Arial"/>
          <w:color w:val="000000" w:themeColor="text1"/>
          <w:sz w:val="22"/>
          <w:lang w:val="es-ES_tradnl"/>
        </w:rPr>
      </w:pPr>
      <w:r w:rsidRPr="009C7D09">
        <w:rPr>
          <w:rFonts w:ascii="Arial" w:eastAsia="Calibri" w:hAnsi="Arial" w:cs="Arial"/>
          <w:color w:val="000000" w:themeColor="text1"/>
          <w:sz w:val="22"/>
          <w:lang w:val="es-ES_tradnl"/>
        </w:rPr>
        <w:t>La Agencia Nacional de Contratación Pública – Colombia Compra Eficiente se pronunció sobre la regulación relacionada con la elección y aplicación del método</w:t>
      </w:r>
      <w:r>
        <w:rPr>
          <w:rFonts w:ascii="Arial" w:eastAsia="Calibri" w:hAnsi="Arial" w:cs="Arial"/>
          <w:color w:val="000000" w:themeColor="text1"/>
          <w:sz w:val="22"/>
          <w:lang w:val="es-ES_tradnl"/>
        </w:rPr>
        <w:t xml:space="preserve"> </w:t>
      </w:r>
      <w:r w:rsidRPr="009C7D09">
        <w:rPr>
          <w:rFonts w:ascii="Arial" w:eastAsia="Calibri" w:hAnsi="Arial" w:cs="Arial"/>
          <w:color w:val="000000" w:themeColor="text1"/>
          <w:sz w:val="22"/>
          <w:lang w:val="es-ES_tradnl"/>
        </w:rPr>
        <w:t>de ponderación</w:t>
      </w:r>
      <w:r>
        <w:rPr>
          <w:rFonts w:ascii="Arial" w:eastAsia="Calibri" w:hAnsi="Arial" w:cs="Arial"/>
          <w:color w:val="000000" w:themeColor="text1"/>
          <w:sz w:val="22"/>
          <w:lang w:val="es-ES_tradnl"/>
        </w:rPr>
        <w:t xml:space="preserve"> de ofertas</w:t>
      </w:r>
      <w:r w:rsidRPr="009C7D09">
        <w:rPr>
          <w:rFonts w:ascii="Arial" w:eastAsia="Calibri" w:hAnsi="Arial" w:cs="Arial"/>
          <w:color w:val="000000" w:themeColor="text1"/>
          <w:sz w:val="22"/>
          <w:lang w:val="es-ES_tradnl"/>
        </w:rPr>
        <w:t xml:space="preserve"> en procesos contractuales regidos por documentos tipo </w:t>
      </w:r>
      <w:r w:rsidR="00E91306">
        <w:rPr>
          <w:rFonts w:ascii="Arial" w:eastAsia="Calibri" w:hAnsi="Arial" w:cs="Arial"/>
          <w:color w:val="000000" w:themeColor="text1"/>
          <w:sz w:val="22"/>
          <w:lang w:val="es-ES_tradnl"/>
        </w:rPr>
        <w:t>en</w:t>
      </w:r>
      <w:r w:rsidR="00E91306" w:rsidRPr="009C7D09">
        <w:rPr>
          <w:rFonts w:ascii="Arial" w:eastAsia="Calibri" w:hAnsi="Arial" w:cs="Arial"/>
          <w:color w:val="000000" w:themeColor="text1"/>
          <w:sz w:val="22"/>
          <w:lang w:val="es-ES_tradnl"/>
        </w:rPr>
        <w:t xml:space="preserve"> </w:t>
      </w:r>
      <w:r w:rsidRPr="009C7D09">
        <w:rPr>
          <w:rFonts w:ascii="Arial" w:eastAsia="Calibri" w:hAnsi="Arial" w:cs="Arial"/>
          <w:color w:val="000000" w:themeColor="text1"/>
          <w:sz w:val="22"/>
          <w:lang w:val="es-ES_tradnl"/>
        </w:rPr>
        <w:t xml:space="preserve">los conceptos C-193 del 6 de abril de 2020, C-279 del 18 de mayo de 2020, C-349 del 23 de junio de 2020, C-431 del 9 de julio de 2020, C-793 del 20 de enero de 2021, C-810 del 8 de febrero de 2021, C-011 del 17 de febrero de 2021, C-042 del 3 de marzo de </w:t>
      </w:r>
      <w:r>
        <w:rPr>
          <w:rFonts w:ascii="Arial" w:eastAsia="Calibri" w:hAnsi="Arial" w:cs="Arial"/>
          <w:color w:val="000000" w:themeColor="text1"/>
          <w:sz w:val="22"/>
          <w:lang w:val="es-ES_tradnl"/>
        </w:rPr>
        <w:t xml:space="preserve">2021, </w:t>
      </w:r>
      <w:r w:rsidRPr="009C7D09">
        <w:rPr>
          <w:rFonts w:ascii="Arial" w:eastAsia="Calibri" w:hAnsi="Arial" w:cs="Arial"/>
          <w:color w:val="000000" w:themeColor="text1"/>
          <w:sz w:val="22"/>
          <w:lang w:val="es-ES_tradnl"/>
        </w:rPr>
        <w:t>C-174 del 26 de abril de 2021</w:t>
      </w:r>
      <w:r>
        <w:rPr>
          <w:rFonts w:ascii="Arial" w:eastAsia="Calibri" w:hAnsi="Arial" w:cs="Arial"/>
          <w:color w:val="000000" w:themeColor="text1"/>
          <w:sz w:val="22"/>
          <w:lang w:val="es-ES_tradnl"/>
        </w:rPr>
        <w:t xml:space="preserve">, C-332 del 07 de mayo de 2021, </w:t>
      </w:r>
      <w:r w:rsidR="002131AD">
        <w:rPr>
          <w:rFonts w:ascii="Arial" w:eastAsia="Calibri" w:hAnsi="Arial" w:cs="Arial"/>
          <w:color w:val="000000" w:themeColor="text1"/>
          <w:sz w:val="22"/>
          <w:lang w:val="es-ES_tradnl"/>
        </w:rPr>
        <w:t xml:space="preserve">C-412 del 17 de agosto de 2021, </w:t>
      </w:r>
      <w:r>
        <w:rPr>
          <w:rFonts w:ascii="Arial" w:eastAsia="Calibri" w:hAnsi="Arial" w:cs="Arial"/>
          <w:color w:val="000000" w:themeColor="text1"/>
          <w:sz w:val="22"/>
          <w:lang w:val="es-ES_tradnl"/>
        </w:rPr>
        <w:t>C-402 del 19 de agosto de 2021</w:t>
      </w:r>
      <w:r w:rsidR="002131AD">
        <w:rPr>
          <w:rFonts w:ascii="Arial" w:eastAsia="Calibri" w:hAnsi="Arial" w:cs="Arial"/>
          <w:color w:val="000000" w:themeColor="text1"/>
          <w:sz w:val="22"/>
          <w:lang w:val="es-ES_tradnl"/>
        </w:rPr>
        <w:t>, C-425 del 19 de agosto de 2021</w:t>
      </w:r>
      <w:r w:rsidR="00634CC6">
        <w:rPr>
          <w:rFonts w:ascii="Arial" w:eastAsia="Calibri" w:hAnsi="Arial" w:cs="Arial"/>
          <w:color w:val="000000" w:themeColor="text1"/>
          <w:sz w:val="22"/>
          <w:lang w:val="es-ES_tradnl"/>
        </w:rPr>
        <w:t xml:space="preserve"> y C-632 del 19 de noviembre de 2021</w:t>
      </w:r>
      <w:r>
        <w:rPr>
          <w:rFonts w:ascii="Arial" w:eastAsia="Calibri" w:hAnsi="Arial" w:cs="Arial"/>
          <w:color w:val="000000" w:themeColor="text1"/>
          <w:sz w:val="22"/>
          <w:lang w:val="es-ES_tradnl"/>
        </w:rPr>
        <w:t>.</w:t>
      </w:r>
      <w:r w:rsidRPr="00E91076">
        <w:rPr>
          <w:rFonts w:ascii="Arial" w:hAnsi="Arial" w:cs="Arial"/>
          <w:color w:val="000000" w:themeColor="text1"/>
          <w:sz w:val="22"/>
          <w:lang w:val="es-ES_tradnl"/>
        </w:rPr>
        <w:t xml:space="preserve"> La tesis propuesta en estos conceptos se reitera a continuación</w:t>
      </w:r>
      <w:r w:rsidR="007C5086">
        <w:rPr>
          <w:rFonts w:ascii="Arial" w:hAnsi="Arial" w:cs="Arial"/>
          <w:color w:val="000000" w:themeColor="text1"/>
          <w:sz w:val="22"/>
          <w:lang w:val="es-ES_tradnl"/>
        </w:rPr>
        <w:t xml:space="preserve"> y se complementa con respecto a los métodos de ponderación de la propuesta económica en la selección abreviada de menor cuantía de infraestructura de transporte–versión 2–</w:t>
      </w:r>
      <w:r>
        <w:rPr>
          <w:rFonts w:ascii="Arial" w:hAnsi="Arial" w:cs="Arial"/>
          <w:color w:val="000000" w:themeColor="text1"/>
          <w:sz w:val="22"/>
          <w:lang w:val="es-ES_tradnl"/>
        </w:rPr>
        <w:t>.</w:t>
      </w:r>
    </w:p>
    <w:p w14:paraId="37FC775F" w14:textId="77777777" w:rsidR="00945536" w:rsidRDefault="00945536" w:rsidP="00C439A1">
      <w:pPr>
        <w:tabs>
          <w:tab w:val="left" w:pos="426"/>
        </w:tabs>
        <w:spacing w:line="276" w:lineRule="auto"/>
        <w:jc w:val="both"/>
        <w:rPr>
          <w:rFonts w:ascii="Arial" w:eastAsia="Calibri" w:hAnsi="Arial" w:cs="Arial"/>
          <w:b/>
          <w:sz w:val="22"/>
          <w:lang w:val="es-CO"/>
        </w:rPr>
      </w:pPr>
    </w:p>
    <w:p w14:paraId="32FD80C3" w14:textId="464252C7" w:rsidR="00843BC4" w:rsidRDefault="00C439A1" w:rsidP="009B4391">
      <w:pPr>
        <w:tabs>
          <w:tab w:val="left" w:pos="426"/>
        </w:tabs>
        <w:jc w:val="both"/>
        <w:rPr>
          <w:rFonts w:ascii="Arial" w:eastAsia="Calibri" w:hAnsi="Arial" w:cs="Arial"/>
          <w:b/>
          <w:sz w:val="22"/>
          <w:lang w:val="es-CO"/>
        </w:rPr>
      </w:pPr>
      <w:r>
        <w:rPr>
          <w:rFonts w:ascii="Arial" w:eastAsia="Calibri" w:hAnsi="Arial" w:cs="Arial"/>
          <w:b/>
          <w:sz w:val="22"/>
          <w:lang w:val="es-CO"/>
        </w:rPr>
        <w:t xml:space="preserve">2.1. Generalidades de los documentos tipo </w:t>
      </w:r>
      <w:r w:rsidR="00611D3C">
        <w:rPr>
          <w:rFonts w:ascii="Arial" w:eastAsia="Calibri" w:hAnsi="Arial" w:cs="Arial"/>
          <w:b/>
          <w:sz w:val="22"/>
          <w:lang w:val="es-CO"/>
        </w:rPr>
        <w:t>de infraestructura de transporte</w:t>
      </w:r>
    </w:p>
    <w:p w14:paraId="37931115" w14:textId="77777777" w:rsidR="00C439A1" w:rsidRDefault="00C439A1" w:rsidP="00C439A1">
      <w:pPr>
        <w:shd w:val="clear" w:color="auto" w:fill="FFFFFF"/>
        <w:spacing w:line="276" w:lineRule="auto"/>
        <w:jc w:val="both"/>
        <w:rPr>
          <w:rFonts w:ascii="Arial" w:eastAsia="Calibri" w:hAnsi="Arial" w:cs="Arial"/>
          <w:b/>
          <w:sz w:val="22"/>
          <w:lang w:val="es-CO"/>
        </w:rPr>
      </w:pPr>
    </w:p>
    <w:p w14:paraId="458DC2E7" w14:textId="1AC2A079" w:rsidR="002A4E44" w:rsidRPr="0043040E" w:rsidRDefault="002A4E44" w:rsidP="00C439A1">
      <w:pPr>
        <w:shd w:val="clear" w:color="auto" w:fill="FFFFFF"/>
        <w:spacing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Los pliegos tipo </w:t>
      </w:r>
      <w:r>
        <w:rPr>
          <w:rFonts w:ascii="Arial" w:hAnsi="Arial" w:cs="Arial"/>
          <w:color w:val="0D0D0D"/>
          <w:sz w:val="22"/>
          <w:bdr w:val="none" w:sz="0" w:space="0" w:color="auto" w:frame="1"/>
          <w:lang w:eastAsia="es-CO"/>
        </w:rPr>
        <w:t>surgen</w:t>
      </w:r>
      <w:r w:rsidRPr="0043040E">
        <w:rPr>
          <w:rFonts w:ascii="Arial" w:hAnsi="Arial" w:cs="Arial"/>
          <w:color w:val="0D0D0D"/>
          <w:sz w:val="22"/>
          <w:bdr w:val="none" w:sz="0" w:space="0" w:color="auto" w:frame="1"/>
          <w:lang w:eastAsia="es-CO"/>
        </w:rPr>
        <w:t xml:space="preserve"> en el 2007 cuando el legislador facultó al Gobierno Nacional para adoptarlos en la compra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1"/>
      </w:r>
      <w:r w:rsidRPr="0043040E">
        <w:rPr>
          <w:rFonts w:ascii="Arial" w:hAnsi="Arial" w:cs="Arial"/>
          <w:color w:val="0D0D0D"/>
          <w:sz w:val="22"/>
          <w:bdr w:val="none" w:sz="0" w:space="0" w:color="auto" w:frame="1"/>
          <w:lang w:eastAsia="es-CO"/>
        </w:rPr>
        <w:t xml:space="preserve">. La orientación inicial del proyecto que se convirtió en la Ley 1150 de 2007 era facultar al Gobierno Nacional para adoptar los pliegos tipo en todos los contratos estatales, pues en el proyecto el parágrafo 3º disponía que: «El Gobierno Nacional tendrá la facultad de </w:t>
      </w:r>
      <w:r w:rsidRPr="0043040E">
        <w:rPr>
          <w:rFonts w:ascii="Arial" w:hAnsi="Arial" w:cs="Arial"/>
          <w:color w:val="0D0D0D"/>
          <w:sz w:val="22"/>
          <w:bdr w:val="none" w:sz="0" w:space="0" w:color="auto" w:frame="1"/>
          <w:lang w:eastAsia="es-CO"/>
        </w:rPr>
        <w:lastRenderedPageBreak/>
        <w:t>estandarizar los pliegos de condiciones o términos de referencia y los contratos de las entidades estatales»</w:t>
      </w:r>
      <w:r w:rsidRPr="00CA5C6B">
        <w:rPr>
          <w:rStyle w:val="Refdenotaalpie"/>
          <w:rFonts w:ascii="Arial" w:hAnsi="Arial" w:cs="Arial"/>
          <w:color w:val="0D0D0D"/>
          <w:sz w:val="22"/>
          <w:bdr w:val="none" w:sz="0" w:space="0" w:color="auto" w:frame="1"/>
          <w:lang w:eastAsia="es-CO"/>
        </w:rPr>
        <w:footnoteReference w:id="2"/>
      </w:r>
      <w:r w:rsidRPr="0043040E">
        <w:rPr>
          <w:rFonts w:ascii="Arial" w:hAnsi="Arial" w:cs="Arial"/>
          <w:color w:val="0D0D0D"/>
          <w:sz w:val="22"/>
          <w:bdr w:val="none" w:sz="0" w:space="0" w:color="auto" w:frame="1"/>
          <w:lang w:eastAsia="es-CO"/>
        </w:rPr>
        <w:t>. </w:t>
      </w:r>
    </w:p>
    <w:p w14:paraId="6A7AFB32" w14:textId="77777777" w:rsidR="002A4E44" w:rsidRPr="0043040E"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w:t>
      </w:r>
      <w:r w:rsidRPr="00CA5C6B">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se asigna al Gobierno Nacional la facultad de estandarizar los pliegos de condiciones y términos de referencia de los contratos, medida que redundará en la agilidad y claridad de los procedimientos»</w:t>
      </w:r>
      <w:r w:rsidRPr="00CA5C6B">
        <w:rPr>
          <w:rStyle w:val="Refdenotaalpie"/>
          <w:rFonts w:ascii="Arial" w:hAnsi="Arial" w:cs="Arial"/>
          <w:color w:val="0D0D0D"/>
          <w:sz w:val="22"/>
          <w:bdr w:val="none" w:sz="0" w:space="0" w:color="auto" w:frame="1"/>
          <w:lang w:eastAsia="es-CO"/>
        </w:rPr>
        <w:footnoteReference w:id="3"/>
      </w:r>
      <w:r w:rsidRPr="0043040E">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4"/>
      </w:r>
      <w:r w:rsidRPr="0043040E">
        <w:rPr>
          <w:rFonts w:ascii="Arial" w:hAnsi="Arial" w:cs="Arial"/>
          <w:color w:val="0D0D0D"/>
          <w:sz w:val="22"/>
          <w:bdr w:val="none" w:sz="0" w:space="0" w:color="auto" w:frame="1"/>
          <w:lang w:eastAsia="es-CO"/>
        </w:rPr>
        <w:t>. </w:t>
      </w:r>
    </w:p>
    <w:p w14:paraId="0B03A0DB" w14:textId="77777777" w:rsidR="002A4E44" w:rsidRDefault="002A4E44" w:rsidP="002A4E44">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253EB66B" w14:textId="77777777" w:rsidR="002A4E44" w:rsidRPr="0043040E" w:rsidRDefault="002A4E44" w:rsidP="002A4E44">
      <w:pPr>
        <w:shd w:val="clear" w:color="auto" w:fill="FFFFFF"/>
        <w:spacing w:line="276" w:lineRule="auto"/>
        <w:ind w:firstLine="709"/>
        <w:jc w:val="both"/>
        <w:rPr>
          <w:rFonts w:ascii="Arial" w:hAnsi="Arial" w:cs="Arial"/>
          <w:color w:val="000000"/>
          <w:sz w:val="22"/>
          <w:lang w:eastAsia="es-CO"/>
        </w:rPr>
      </w:pPr>
    </w:p>
    <w:p w14:paraId="71E8FDEF" w14:textId="77777777" w:rsidR="002A4E44" w:rsidRDefault="002A4E44" w:rsidP="002A4E44">
      <w:pPr>
        <w:shd w:val="clear" w:color="auto" w:fill="FFFFFF"/>
        <w:ind w:left="709" w:right="709"/>
        <w:jc w:val="both"/>
        <w:rPr>
          <w:rFonts w:ascii="Arial" w:hAnsi="Arial" w:cs="Arial"/>
          <w:color w:val="0D0D0D"/>
          <w:sz w:val="21"/>
          <w:szCs w:val="21"/>
          <w:bdr w:val="none" w:sz="0" w:space="0" w:color="auto" w:frame="1"/>
          <w:lang w:eastAsia="es-CO"/>
        </w:rPr>
      </w:pPr>
      <w:r w:rsidRPr="0043040E">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sz="0" w:space="0" w:color="auto" w:frame="1"/>
          <w:lang w:eastAsia="es-CO"/>
        </w:rPr>
        <w:t> […] </w:t>
      </w:r>
      <w:r w:rsidRPr="0043040E">
        <w:rPr>
          <w:rFonts w:ascii="Arial" w:hAnsi="Arial" w:cs="Arial"/>
          <w:i/>
          <w:iCs/>
          <w:color w:val="0D0D0D"/>
          <w:sz w:val="21"/>
          <w:szCs w:val="21"/>
          <w:bdr w:val="none" w:sz="0" w:space="0" w:color="auto" w:frame="1"/>
          <w:lang w:eastAsia="es-CO"/>
        </w:rPr>
        <w:t>teniendo en cuenta la naturaleza y cuantía de los contratos</w:t>
      </w:r>
      <w:r w:rsidRPr="0043040E">
        <w:rPr>
          <w:rFonts w:ascii="Arial" w:hAnsi="Arial" w:cs="Arial"/>
          <w:color w:val="0D0D0D"/>
          <w:sz w:val="21"/>
          <w:szCs w:val="21"/>
          <w:bdr w:val="none" w:sz="0" w:space="0" w:color="auto" w:frame="1"/>
          <w:lang w:eastAsia="es-CO"/>
        </w:rPr>
        <w:t> […]. (Énfasis fuera de texto) </w:t>
      </w:r>
    </w:p>
    <w:p w14:paraId="1262BC94" w14:textId="77777777" w:rsidR="002A4E44" w:rsidRPr="00346E84" w:rsidRDefault="002A4E44" w:rsidP="002A4E44">
      <w:pPr>
        <w:shd w:val="clear" w:color="auto" w:fill="FFFFFF"/>
        <w:spacing w:line="276" w:lineRule="auto"/>
        <w:ind w:left="709" w:right="709"/>
        <w:jc w:val="both"/>
        <w:rPr>
          <w:rFonts w:ascii="Arial" w:hAnsi="Arial" w:cs="Arial"/>
          <w:color w:val="000000"/>
          <w:sz w:val="22"/>
          <w:lang w:eastAsia="es-CO"/>
        </w:rPr>
      </w:pPr>
    </w:p>
    <w:p w14:paraId="70E92BE4" w14:textId="7591352C" w:rsidR="002A4E44" w:rsidRPr="00B57F79" w:rsidRDefault="002A4E44" w:rsidP="002A4E44">
      <w:pPr>
        <w:shd w:val="clear" w:color="auto" w:fill="FFFFFF"/>
        <w:spacing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Sin embargo,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w:t>
      </w:r>
      <w:r w:rsidR="00BE6711">
        <w:rPr>
          <w:rFonts w:ascii="Arial" w:hAnsi="Arial" w:cs="Arial"/>
          <w:color w:val="0D0D0D"/>
          <w:sz w:val="22"/>
          <w:bdr w:val="none" w:sz="0" w:space="0" w:color="auto" w:frame="1"/>
          <w:lang w:eastAsia="es-CO"/>
        </w:rPr>
        <w:t>pues</w:t>
      </w:r>
      <w:r w:rsidRPr="00B57F79">
        <w:rPr>
          <w:rFonts w:ascii="Arial" w:hAnsi="Arial" w:cs="Arial"/>
          <w:color w:val="0D0D0D"/>
          <w:sz w:val="22"/>
          <w:bdr w:val="none" w:sz="0" w:space="0" w:color="auto" w:frame="1"/>
          <w:lang w:eastAsia="es-CO"/>
        </w:rPr>
        <w:t xml:space="preserve"> antes se señalaba al Gobierno Nacional y ahora la entidad encargada directamente por la Ley es la Agencia Nacional de Contratación Pública – Colombia Compra Eficiente</w:t>
      </w:r>
      <w:r w:rsidR="00DE3A59" w:rsidRPr="00B57F79">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w:t>
      </w:r>
      <w:r w:rsidRPr="00B57F79">
        <w:rPr>
          <w:rFonts w:ascii="Arial" w:hAnsi="Arial" w:cs="Arial"/>
          <w:color w:val="0D0D0D"/>
          <w:sz w:val="22"/>
          <w:bdr w:val="none" w:sz="0" w:space="0" w:color="auto" w:frame="1"/>
          <w:lang w:eastAsia="es-CO"/>
        </w:rPr>
        <w:lastRenderedPageBreak/>
        <w:t>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B57F79">
        <w:rPr>
          <w:rStyle w:val="Refdenotaalpie"/>
          <w:rFonts w:ascii="Arial" w:hAnsi="Arial" w:cs="Arial"/>
          <w:color w:val="0D0D0D"/>
          <w:sz w:val="22"/>
          <w:bdr w:val="none" w:sz="0" w:space="0" w:color="auto" w:frame="1"/>
          <w:lang w:eastAsia="es-CO"/>
        </w:rPr>
        <w:footnoteReference w:id="5"/>
      </w:r>
      <w:r w:rsidRPr="00B57F79">
        <w:rPr>
          <w:rFonts w:ascii="Arial" w:hAnsi="Arial" w:cs="Arial"/>
          <w:color w:val="0D0D0D"/>
          <w:sz w:val="22"/>
          <w:bdr w:val="none" w:sz="0" w:space="0" w:color="auto" w:frame="1"/>
          <w:lang w:eastAsia="es-CO"/>
        </w:rPr>
        <w:t>.  </w:t>
      </w:r>
    </w:p>
    <w:p w14:paraId="3C45B786" w14:textId="77777777" w:rsidR="002A4E44" w:rsidRPr="00B57F79" w:rsidRDefault="002A4E44" w:rsidP="002A4E44">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599E6685" w14:textId="65D7CFC6" w:rsidR="002A4E44" w:rsidRPr="00B57F79"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En ejercicio de la competencia conferida por el citado parágrafo, el Gobierno Nacional expidió el Decreto 342 de 2019, por medio del </w:t>
      </w:r>
      <w:r w:rsidR="004C3FAA">
        <w:rPr>
          <w:rFonts w:ascii="Arial" w:hAnsi="Arial" w:cs="Arial"/>
          <w:color w:val="0D0D0D"/>
          <w:sz w:val="22"/>
          <w:bdr w:val="none" w:sz="0" w:space="0" w:color="auto" w:frame="1"/>
          <w:lang w:eastAsia="es-CO"/>
        </w:rPr>
        <w:t>cual</w:t>
      </w:r>
      <w:r w:rsidR="004C3FAA" w:rsidRPr="00B57F79">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 xml:space="preserve">se adoptaron los documentos tipo </w:t>
      </w:r>
      <w:r w:rsidR="00E57442">
        <w:rPr>
          <w:rFonts w:ascii="Arial" w:hAnsi="Arial" w:cs="Arial"/>
          <w:color w:val="0D0D0D"/>
          <w:sz w:val="22"/>
          <w:bdr w:val="none" w:sz="0" w:space="0" w:color="auto" w:frame="1"/>
          <w:lang w:eastAsia="es-CO"/>
        </w:rPr>
        <w:t>de</w:t>
      </w:r>
      <w:r w:rsidR="00E57442" w:rsidRPr="00B57F79">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 xml:space="preserve">licitaciones públicas para </w:t>
      </w:r>
      <w:r w:rsidR="00E57442">
        <w:rPr>
          <w:rFonts w:ascii="Arial" w:hAnsi="Arial" w:cs="Arial"/>
          <w:color w:val="0D0D0D"/>
          <w:sz w:val="22"/>
          <w:bdr w:val="none" w:sz="0" w:space="0" w:color="auto" w:frame="1"/>
          <w:lang w:eastAsia="es-CO"/>
        </w:rPr>
        <w:t xml:space="preserve">la </w:t>
      </w:r>
      <w:r w:rsidRPr="00B57F79">
        <w:rPr>
          <w:rFonts w:ascii="Arial" w:hAnsi="Arial" w:cs="Arial"/>
          <w:color w:val="0D0D0D"/>
          <w:sz w:val="22"/>
          <w:bdr w:val="none" w:sz="0" w:space="0" w:color="auto" w:frame="1"/>
          <w:lang w:eastAsia="es-CO"/>
        </w:rPr>
        <w:t>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2CCFEA2A" w14:textId="77777777" w:rsidR="002A4E44" w:rsidRPr="00B57F79"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lastRenderedPageBreak/>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3F570BAC" w14:textId="1AD00198" w:rsidR="002A4E44" w:rsidRPr="00B57F79" w:rsidRDefault="002A4E44" w:rsidP="002A4E44">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w:t>
      </w:r>
      <w:r w:rsidR="00874CC0">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en coordinación con el Departamento Nacional de Planeación –DNP– y el Ministerio de Transporte, desarrollara e implementara los Documentos Tipo. </w:t>
      </w:r>
      <w:r w:rsidR="003776F1" w:rsidRPr="00B57F79">
        <w:rPr>
          <w:rFonts w:ascii="Arial" w:hAnsi="Arial" w:cs="Arial"/>
          <w:color w:val="0D0D0D"/>
          <w:sz w:val="22"/>
          <w:bdr w:val="none" w:sz="0" w:space="0" w:color="auto" w:frame="1"/>
          <w:lang w:eastAsia="es-CO"/>
        </w:rPr>
        <w:t xml:space="preserve">Lo anterior se materializó </w:t>
      </w:r>
      <w:r w:rsidRPr="00B57F79">
        <w:rPr>
          <w:rFonts w:ascii="Arial" w:hAnsi="Arial" w:cs="Arial"/>
          <w:color w:val="0D0D0D"/>
          <w:sz w:val="22"/>
          <w:bdr w:val="none" w:sz="0" w:space="0" w:color="auto" w:frame="1"/>
          <w:lang w:eastAsia="es-CO"/>
        </w:rPr>
        <w:t>con la expedición de la Resolución No. 1798 del 1º de abril de 2019 que implementó la Versión 1 de los documentos tipo para procesos de licitación de obra pública de infraestructura de transporte. </w:t>
      </w:r>
    </w:p>
    <w:p w14:paraId="0967AB17" w14:textId="234AD192" w:rsidR="002A4E44" w:rsidRPr="00B57F79" w:rsidRDefault="002A4E44" w:rsidP="00F52A68">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La Agencia Nacional de Contratación Pública – Colombia Compra Eficiente</w:t>
      </w:r>
      <w:r w:rsidR="00874CC0">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luego de identificar, junto con el Departamento Nacional de Planeación y el Ministerio de Transporte, la necesidad de actualizar los documentos tipo para los procesos de licitación pública </w:t>
      </w:r>
      <w:r w:rsidR="005A0B35">
        <w:rPr>
          <w:rFonts w:ascii="Arial" w:hAnsi="Arial" w:cs="Arial"/>
          <w:color w:val="0D0D0D"/>
          <w:sz w:val="22"/>
          <w:bdr w:val="none" w:sz="0" w:space="0" w:color="auto" w:frame="1"/>
          <w:lang w:eastAsia="es-CO"/>
        </w:rPr>
        <w:t>con la finalidad</w:t>
      </w:r>
      <w:r w:rsidRPr="00B57F79">
        <w:rPr>
          <w:rFonts w:ascii="Arial" w:hAnsi="Arial" w:cs="Arial"/>
          <w:color w:val="0D0D0D"/>
          <w:sz w:val="22"/>
          <w:bdr w:val="none" w:sz="0" w:space="0" w:color="auto" w:frame="1"/>
          <w:lang w:eastAsia="es-CO"/>
        </w:rPr>
        <w:t xml:space="preserve">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691B5085" w14:textId="0856A46F" w:rsidR="002A4E44" w:rsidRPr="00B57F79"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 xml:space="preserve">El Gobierno Nacional ejerció nuevamente la competencia prevista en el citado artículo 4 de la Ley 1882 de 2018, expidiendo el Decreto 2096 de 2019. </w:t>
      </w:r>
      <w:r w:rsidR="00F52A68" w:rsidRPr="00B57F79">
        <w:rPr>
          <w:rFonts w:ascii="Arial" w:hAnsi="Arial" w:cs="Arial"/>
          <w:color w:val="0D0D0D"/>
          <w:sz w:val="22"/>
          <w:bdr w:val="none" w:sz="0" w:space="0" w:color="auto" w:frame="1"/>
          <w:lang w:eastAsia="es-CO"/>
        </w:rPr>
        <w:t xml:space="preserve">En este Decreto se autorizó </w:t>
      </w:r>
      <w:r w:rsidR="00C85B4E">
        <w:rPr>
          <w:rFonts w:ascii="Arial" w:hAnsi="Arial" w:cs="Arial"/>
          <w:color w:val="0D0D0D"/>
          <w:sz w:val="22"/>
          <w:bdr w:val="none" w:sz="0" w:space="0" w:color="auto" w:frame="1"/>
          <w:lang w:eastAsia="es-CO"/>
        </w:rPr>
        <w:t xml:space="preserve">la elaboración de </w:t>
      </w:r>
      <w:r w:rsidRPr="00B57F79">
        <w:rPr>
          <w:rFonts w:ascii="Arial" w:hAnsi="Arial" w:cs="Arial"/>
          <w:color w:val="0D0D0D"/>
          <w:sz w:val="22"/>
          <w:bdr w:val="none" w:sz="0" w:space="0" w:color="auto" w:frame="1"/>
          <w:lang w:eastAsia="es-CO"/>
        </w:rPr>
        <w:t xml:space="preserve">los documentos tipo para procesos de contratación de obra pública de infraestructura de transporte adelantados </w:t>
      </w:r>
      <w:r w:rsidR="00C85B4E">
        <w:rPr>
          <w:rFonts w:ascii="Arial" w:hAnsi="Arial" w:cs="Arial"/>
          <w:color w:val="0D0D0D"/>
          <w:sz w:val="22"/>
          <w:bdr w:val="none" w:sz="0" w:space="0" w:color="auto" w:frame="1"/>
          <w:lang w:eastAsia="es-CO"/>
        </w:rPr>
        <w:t>bajo</w:t>
      </w:r>
      <w:r w:rsidR="00C85B4E" w:rsidRPr="00B57F79">
        <w:rPr>
          <w:rFonts w:ascii="Arial" w:hAnsi="Arial" w:cs="Arial"/>
          <w:color w:val="0D0D0D"/>
          <w:sz w:val="22"/>
          <w:bdr w:val="none" w:sz="0" w:space="0" w:color="auto" w:frame="1"/>
          <w:lang w:eastAsia="es-CO"/>
        </w:rPr>
        <w:t xml:space="preserve"> </w:t>
      </w:r>
      <w:r w:rsidRPr="00B57F79">
        <w:rPr>
          <w:rFonts w:ascii="Arial" w:hAnsi="Arial" w:cs="Arial"/>
          <w:color w:val="0D0D0D"/>
          <w:sz w:val="22"/>
          <w:bdr w:val="none" w:sz="0" w:space="0" w:color="auto" w:frame="1"/>
          <w:lang w:eastAsia="es-CO"/>
        </w:rPr>
        <w:t>la modalidad de selección abreviada de menor cuantía. Este reglamento adicionó la Subsección 2 a la Sección 6 del Capítulo 2 del Título 1 de la parte 2 del Libro 2 del Decreto 1082 de 2015. </w:t>
      </w:r>
    </w:p>
    <w:p w14:paraId="57ECDCE0" w14:textId="4F23D5E0" w:rsidR="002A4E44" w:rsidRPr="00B57F79" w:rsidRDefault="002A4E44" w:rsidP="00C439A1">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B57F79">
        <w:rPr>
          <w:rFonts w:ascii="Arial" w:hAnsi="Arial" w:cs="Arial"/>
          <w:color w:val="0D0D0D"/>
          <w:sz w:val="22"/>
          <w:bdr w:val="none" w:sz="0" w:space="0" w:color="auto" w:frame="1"/>
          <w:lang w:eastAsia="es-CO"/>
        </w:rPr>
        <w:t>El artículo 2.2.1.2.6.2.2 del Decreto 1082 de 2015 contiene el listado de los documentos tipo aplicables a los procesos de selección abreviada de menor cuantía para la contratación de obra pública de infraestructura de transporte. Además, el 2.2.1.2.6.2.3 </w:t>
      </w:r>
      <w:r w:rsidRPr="00B57F79">
        <w:rPr>
          <w:rFonts w:ascii="Arial" w:hAnsi="Arial" w:cs="Arial"/>
          <w:i/>
          <w:iCs/>
          <w:color w:val="0D0D0D"/>
          <w:sz w:val="22"/>
          <w:bdr w:val="none" w:sz="0" w:space="0" w:color="auto" w:frame="1"/>
          <w:lang w:eastAsia="es-CO"/>
        </w:rPr>
        <w:t>ibidem</w:t>
      </w:r>
      <w:r w:rsidRPr="00B57F79">
        <w:rPr>
          <w:rFonts w:ascii="Arial" w:hAnsi="Arial" w:cs="Arial"/>
          <w:color w:val="0D0D0D"/>
          <w:sz w:val="22"/>
          <w:bdr w:val="none" w:sz="0" w:space="0" w:color="auto" w:frame="1"/>
          <w:lang w:eastAsia="es-CO"/>
        </w:rPr>
        <w:t> facultó a la Agencia Nacional de Contratación Pública – Colombia Compra Eficiente, para que</w:t>
      </w:r>
      <w:r w:rsidR="00A2737D">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en coordinación con el Departamento Nacional de Planeación –DNP– y el Ministerio de Transporte, desarrollara e implementara los documentos tipo. La entidad ejerció esta competencia mediante la expedición de la Resolución No. 044 del 14 de febrero de 2020</w:t>
      </w:r>
      <w:r w:rsidR="00A2737D">
        <w:rPr>
          <w:rFonts w:ascii="Arial" w:hAnsi="Arial" w:cs="Arial"/>
          <w:color w:val="0D0D0D"/>
          <w:sz w:val="22"/>
          <w:bdr w:val="none" w:sz="0" w:space="0" w:color="auto" w:frame="1"/>
          <w:lang w:eastAsia="es-CO"/>
        </w:rPr>
        <w:t>,</w:t>
      </w:r>
      <w:r w:rsidRPr="00B57F79">
        <w:rPr>
          <w:rFonts w:ascii="Arial" w:hAnsi="Arial" w:cs="Arial"/>
          <w:color w:val="0D0D0D"/>
          <w:sz w:val="22"/>
          <w:bdr w:val="none" w:sz="0" w:space="0" w:color="auto" w:frame="1"/>
          <w:lang w:eastAsia="es-CO"/>
        </w:rPr>
        <w:t xml:space="preserve"> que implementó los documentos tipo para esta modalidad de selección. </w:t>
      </w:r>
    </w:p>
    <w:p w14:paraId="34E2600E" w14:textId="77777777" w:rsidR="002A4E44" w:rsidRPr="00567165"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567165">
        <w:rPr>
          <w:rFonts w:ascii="Arial" w:hAnsi="Arial" w:cs="Arial"/>
          <w:color w:val="0D0D0D"/>
          <w:sz w:val="22"/>
          <w:bdr w:val="none" w:sz="0" w:space="0" w:color="auto" w:frame="1"/>
          <w:lang w:eastAsia="es-CO"/>
        </w:rPr>
        <w:lastRenderedPageBreak/>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6B8BDB64" w14:textId="72E5EA87" w:rsidR="002A4E44" w:rsidRPr="00567165" w:rsidRDefault="002A4E44" w:rsidP="002A4E44">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567165">
        <w:rPr>
          <w:rFonts w:ascii="Arial" w:hAnsi="Arial" w:cs="Arial"/>
          <w:color w:val="0D0D0D"/>
          <w:sz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w:t>
      </w:r>
      <w:r w:rsidR="00F52A68" w:rsidRPr="00567165">
        <w:rPr>
          <w:rFonts w:ascii="Arial" w:hAnsi="Arial" w:cs="Arial"/>
          <w:color w:val="0D0D0D"/>
          <w:sz w:val="22"/>
          <w:bdr w:val="none" w:sz="0" w:space="0" w:color="auto" w:frame="1"/>
          <w:lang w:eastAsia="es-CO"/>
        </w:rPr>
        <w:t xml:space="preserve"> </w:t>
      </w:r>
      <w:r w:rsidRPr="00567165">
        <w:rPr>
          <w:rFonts w:ascii="Arial" w:hAnsi="Arial" w:cs="Arial"/>
          <w:color w:val="0D0D0D"/>
          <w:sz w:val="22"/>
          <w:bdr w:val="none" w:sz="0" w:space="0" w:color="auto" w:frame="1"/>
          <w:lang w:eastAsia="es-CO"/>
        </w:rPr>
        <w:t>2.2.1.2.6.3.3</w:t>
      </w:r>
      <w:r w:rsidR="00F52A68" w:rsidRPr="00567165">
        <w:rPr>
          <w:rFonts w:ascii="Arial" w:hAnsi="Arial" w:cs="Arial"/>
          <w:color w:val="0D0D0D"/>
          <w:sz w:val="22"/>
          <w:bdr w:val="none" w:sz="0" w:space="0" w:color="auto" w:frame="1"/>
          <w:lang w:eastAsia="es-CO"/>
        </w:rPr>
        <w:t xml:space="preserve"> </w:t>
      </w:r>
      <w:r w:rsidRPr="00567165">
        <w:rPr>
          <w:rFonts w:ascii="Arial" w:hAnsi="Arial" w:cs="Arial"/>
          <w:color w:val="0D0D0D"/>
          <w:sz w:val="22"/>
          <w:bdr w:val="none" w:sz="0" w:space="0" w:color="auto" w:frame="1"/>
          <w:lang w:eastAsia="es-CO"/>
        </w:rPr>
        <w:t>facultó a la Agencia Nacional de Contratación Pública – Colombia Compra Eficiente, para que</w:t>
      </w:r>
      <w:r w:rsidR="00FF5D63">
        <w:rPr>
          <w:rFonts w:ascii="Arial" w:hAnsi="Arial" w:cs="Arial"/>
          <w:color w:val="0D0D0D"/>
          <w:sz w:val="22"/>
          <w:bdr w:val="none" w:sz="0" w:space="0" w:color="auto" w:frame="1"/>
          <w:lang w:eastAsia="es-CO"/>
        </w:rPr>
        <w:t>,</w:t>
      </w:r>
      <w:r w:rsidRPr="00567165">
        <w:rPr>
          <w:rFonts w:ascii="Arial" w:hAnsi="Arial" w:cs="Arial"/>
          <w:color w:val="0D0D0D"/>
          <w:sz w:val="22"/>
          <w:bdr w:val="none" w:sz="0" w:space="0" w:color="auto" w:frame="1"/>
          <w:lang w:eastAsia="es-CO"/>
        </w:rPr>
        <w:t xml:space="preserv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6F6C7127" w14:textId="205B114A" w:rsidR="002A4E44" w:rsidRPr="00567165" w:rsidRDefault="00F52A68" w:rsidP="00567165">
      <w:pPr>
        <w:pStyle w:val="Normal11pt"/>
        <w:spacing w:before="120" w:after="120" w:line="276" w:lineRule="auto"/>
        <w:ind w:left="0" w:firstLine="709"/>
        <w:rPr>
          <w:color w:val="0D0D0D"/>
          <w:bdr w:val="none" w:sz="0" w:space="0" w:color="auto" w:frame="1"/>
          <w:lang w:eastAsia="es-CO"/>
        </w:rPr>
      </w:pPr>
      <w:r w:rsidRPr="00567165">
        <w:rPr>
          <w:color w:val="0D0D0D"/>
          <w:bdr w:val="none" w:sz="0" w:space="0" w:color="auto" w:frame="1"/>
          <w:lang w:eastAsia="es-CO"/>
        </w:rPr>
        <w:t xml:space="preserve">Esta </w:t>
      </w:r>
      <w:r w:rsidR="00FF5D63">
        <w:rPr>
          <w:color w:val="0D0D0D"/>
          <w:bdr w:val="none" w:sz="0" w:space="0" w:color="auto" w:frame="1"/>
          <w:lang w:eastAsia="es-CO"/>
        </w:rPr>
        <w:t>A</w:t>
      </w:r>
      <w:r w:rsidRPr="00567165">
        <w:rPr>
          <w:color w:val="0D0D0D"/>
          <w:bdr w:val="none" w:sz="0" w:space="0" w:color="auto" w:frame="1"/>
          <w:lang w:eastAsia="es-CO"/>
        </w:rPr>
        <w:t>gencia</w:t>
      </w:r>
      <w:r w:rsidR="00FF5D63">
        <w:rPr>
          <w:color w:val="0D0D0D"/>
          <w:bdr w:val="none" w:sz="0" w:space="0" w:color="auto" w:frame="1"/>
          <w:lang w:eastAsia="es-CO"/>
        </w:rPr>
        <w:t>,</w:t>
      </w:r>
      <w:r w:rsidRPr="00567165">
        <w:rPr>
          <w:color w:val="0D0D0D"/>
          <w:bdr w:val="none" w:sz="0" w:space="0" w:color="auto" w:frame="1"/>
          <w:lang w:eastAsia="es-CO"/>
        </w:rPr>
        <w:t xml:space="preserve"> analizando </w:t>
      </w:r>
      <w:r w:rsidR="002A4E44" w:rsidRPr="00567165">
        <w:rPr>
          <w:color w:val="0D0D0D"/>
          <w:bdr w:val="none" w:sz="0" w:space="0" w:color="auto" w:frame="1"/>
          <w:lang w:eastAsia="es-CO"/>
        </w:rPr>
        <w:t xml:space="preserve">la afectación económica que causaron las medidas adoptadas para contener la pandemia COVID – 19 en el país, </w:t>
      </w:r>
      <w:r w:rsidR="00FF5D63" w:rsidRPr="00567165">
        <w:rPr>
          <w:color w:val="0D0D0D"/>
          <w:bdr w:val="none" w:sz="0" w:space="0" w:color="auto" w:frame="1"/>
          <w:lang w:eastAsia="es-CO"/>
        </w:rPr>
        <w:t>decid</w:t>
      </w:r>
      <w:r w:rsidR="00FF5D63">
        <w:rPr>
          <w:color w:val="0D0D0D"/>
          <w:bdr w:val="none" w:sz="0" w:space="0" w:color="auto" w:frame="1"/>
          <w:lang w:eastAsia="es-CO"/>
        </w:rPr>
        <w:t>ió</w:t>
      </w:r>
      <w:r w:rsidR="00FF5D63" w:rsidRPr="00567165">
        <w:rPr>
          <w:color w:val="0D0D0D"/>
          <w:bdr w:val="none" w:sz="0" w:space="0" w:color="auto" w:frame="1"/>
          <w:lang w:eastAsia="es-CO"/>
        </w:rPr>
        <w:t xml:space="preserve"> </w:t>
      </w:r>
      <w:r w:rsidR="002A4E44" w:rsidRPr="00567165">
        <w:rPr>
          <w:color w:val="0D0D0D"/>
          <w:bdr w:val="none" w:sz="0" w:space="0" w:color="auto" w:frame="1"/>
          <w:lang w:eastAsia="es-CO"/>
        </w:rPr>
        <w:t>actualizar los documentos tipo para los procesos de licitación de obra pública y selección abreviada de menor cuantía de infraestructura de transporte y, en consecuencia, adopt</w:t>
      </w:r>
      <w:r w:rsidR="00FF5D63">
        <w:rPr>
          <w:color w:val="0D0D0D"/>
          <w:bdr w:val="none" w:sz="0" w:space="0" w:color="auto" w:frame="1"/>
          <w:lang w:eastAsia="es-CO"/>
        </w:rPr>
        <w:t>ó</w:t>
      </w:r>
      <w:r w:rsidR="002A4E44" w:rsidRPr="00567165">
        <w:rPr>
          <w:color w:val="0D0D0D"/>
          <w:bdr w:val="none" w:sz="0" w:space="0" w:color="auto" w:frame="1"/>
          <w:lang w:eastAsia="es-CO"/>
        </w:rPr>
        <w:t xml:space="preserve"> medidas en apoyo a la industria nacional. Por tanto, bajo la competencia prevista en la Ley 2022 de 2020, Colombia Compra Eficiente </w:t>
      </w:r>
      <w:r w:rsidR="00FF5D63" w:rsidRPr="00567165">
        <w:rPr>
          <w:color w:val="0D0D0D"/>
          <w:bdr w:val="none" w:sz="0" w:space="0" w:color="auto" w:frame="1"/>
          <w:lang w:eastAsia="es-CO"/>
        </w:rPr>
        <w:t>expid</w:t>
      </w:r>
      <w:r w:rsidR="00FF5D63">
        <w:rPr>
          <w:color w:val="0D0D0D"/>
          <w:bdr w:val="none" w:sz="0" w:space="0" w:color="auto" w:frame="1"/>
          <w:lang w:eastAsia="es-CO"/>
        </w:rPr>
        <w:t>ió</w:t>
      </w:r>
      <w:r w:rsidR="00FF5D63" w:rsidRPr="00567165">
        <w:rPr>
          <w:color w:val="0D0D0D"/>
          <w:bdr w:val="none" w:sz="0" w:space="0" w:color="auto" w:frame="1"/>
          <w:lang w:eastAsia="es-CO"/>
        </w:rPr>
        <w:t xml:space="preserve"> </w:t>
      </w:r>
      <w:r w:rsidR="002A4E44" w:rsidRPr="00567165">
        <w:rPr>
          <w:color w:val="0D0D0D"/>
          <w:bdr w:val="none" w:sz="0" w:space="0" w:color="auto" w:frame="1"/>
          <w:lang w:eastAsia="es-CO"/>
        </w:rPr>
        <w:t xml:space="preserve">las Resoluciones No. 240 y 241 del 27 de noviembre 2020 </w:t>
      </w:r>
      <w:r w:rsidR="00D945B8" w:rsidRPr="00567165">
        <w:rPr>
          <w:color w:val="0D0D0D"/>
          <w:bdr w:val="none" w:sz="0" w:space="0" w:color="auto" w:frame="1"/>
          <w:lang w:eastAsia="es-CO"/>
        </w:rPr>
        <w:t>mediante</w:t>
      </w:r>
      <w:r w:rsidR="002A4E44" w:rsidRPr="00567165">
        <w:rPr>
          <w:color w:val="0D0D0D"/>
          <w:bdr w:val="none" w:sz="0" w:space="0" w:color="auto" w:frame="1"/>
          <w:lang w:eastAsia="es-CO"/>
        </w:rPr>
        <w:t xml:space="preserve"> las cuales se adoptan los documentos tipo de licitación de obra pública – versión 3 y de selección abreviada de menor cuantía – versión 2 de infraestructura de transporte, los cuales son obligatorios a partir del 1º de enero de 2021. Incluso, con la expedición de la Ley de Emprendimiento, estos se ajustaron </w:t>
      </w:r>
      <w:r w:rsidR="003A3686" w:rsidRPr="00567165">
        <w:rPr>
          <w:color w:val="0D0D0D"/>
          <w:bdr w:val="none" w:sz="0" w:space="0" w:color="auto" w:frame="1"/>
          <w:lang w:eastAsia="es-CO"/>
        </w:rPr>
        <w:t>mediante</w:t>
      </w:r>
      <w:r w:rsidR="002A4E44" w:rsidRPr="00567165">
        <w:rPr>
          <w:color w:val="0D0D0D"/>
          <w:bdr w:val="none" w:sz="0" w:space="0" w:color="auto" w:frame="1"/>
          <w:lang w:eastAsia="es-CO"/>
        </w:rPr>
        <w:t xml:space="preserv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3DB13CCD" w14:textId="7CE53C99" w:rsidR="00567165" w:rsidRPr="00567165" w:rsidRDefault="00567165" w:rsidP="00567165">
      <w:pPr>
        <w:spacing w:after="120" w:line="276" w:lineRule="auto"/>
        <w:jc w:val="both"/>
        <w:rPr>
          <w:rFonts w:ascii="Arial" w:eastAsia="Times New Roman" w:hAnsi="Arial" w:cs="Arial"/>
          <w:spacing w:val="2"/>
          <w:sz w:val="22"/>
          <w:lang w:val="es-CO" w:eastAsia="es-CO"/>
        </w:rPr>
      </w:pPr>
      <w:r w:rsidRPr="00567165">
        <w:rPr>
          <w:rFonts w:ascii="Arial" w:eastAsia="Times New Roman" w:hAnsi="Arial" w:cs="Arial"/>
          <w:spacing w:val="2"/>
          <w:sz w:val="22"/>
          <w:lang w:val="es-CO" w:eastAsia="es-CO"/>
        </w:rPr>
        <w:tab/>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w:t>
      </w:r>
      <w:r w:rsidRPr="00567165">
        <w:rPr>
          <w:rFonts w:ascii="Arial" w:hAnsi="Arial" w:cs="Arial"/>
          <w:spacing w:val="2"/>
          <w:sz w:val="22"/>
          <w:lang w:val="es-CO" w:eastAsia="es-CO"/>
        </w:rPr>
        <w:t>Ante este cambio normativo, se expidió la Resolución 304 del 13 de octubre de 2021, la cual ajusta los documentos tipo a las nuevas reglas de origen aplicables a los servicios nacionales</w:t>
      </w:r>
      <w:r w:rsidR="002A01C4">
        <w:rPr>
          <w:rFonts w:ascii="Arial" w:hAnsi="Arial" w:cs="Arial"/>
          <w:spacing w:val="2"/>
          <w:sz w:val="22"/>
          <w:lang w:val="es-CO" w:eastAsia="es-CO"/>
        </w:rPr>
        <w:t>.</w:t>
      </w:r>
    </w:p>
    <w:p w14:paraId="6457D38F" w14:textId="16379069" w:rsidR="00163B50" w:rsidRDefault="00163B50" w:rsidP="00BC7DCD">
      <w:pPr>
        <w:pStyle w:val="Normal11pt"/>
        <w:spacing w:line="276" w:lineRule="auto"/>
        <w:ind w:left="0"/>
        <w:rPr>
          <w:color w:val="0D0D0D"/>
          <w:bdr w:val="none" w:sz="0" w:space="0" w:color="auto" w:frame="1"/>
          <w:lang w:eastAsia="es-CO"/>
        </w:rPr>
      </w:pPr>
    </w:p>
    <w:p w14:paraId="7B910B1D" w14:textId="61341AE5" w:rsidR="00A07B99" w:rsidRPr="005977A4" w:rsidRDefault="00A07B99" w:rsidP="00163B50">
      <w:pPr>
        <w:pStyle w:val="Normal11pt"/>
        <w:spacing w:line="276" w:lineRule="auto"/>
        <w:ind w:left="0"/>
        <w:rPr>
          <w:rFonts w:eastAsia="Calibri"/>
          <w:b/>
          <w:bCs/>
          <w:lang w:val="es-CO"/>
        </w:rPr>
      </w:pPr>
      <w:r w:rsidRPr="00DE7D58">
        <w:rPr>
          <w:b/>
          <w:bCs/>
          <w:color w:val="0D0D0D"/>
          <w:bdr w:val="none" w:sz="0" w:space="0" w:color="auto" w:frame="1"/>
          <w:lang w:eastAsia="es-CO"/>
        </w:rPr>
        <w:t xml:space="preserve">2.2. </w:t>
      </w:r>
      <w:r w:rsidR="00FD39C2">
        <w:rPr>
          <w:b/>
          <w:bCs/>
          <w:color w:val="0D0D0D"/>
          <w:bdr w:val="none" w:sz="0" w:space="0" w:color="auto" w:frame="1"/>
          <w:lang w:eastAsia="es-CO"/>
        </w:rPr>
        <w:t>Determinación de la p</w:t>
      </w:r>
      <w:r w:rsidR="00567165">
        <w:rPr>
          <w:b/>
          <w:bCs/>
          <w:color w:val="0D0D0D"/>
          <w:bdr w:val="none" w:sz="0" w:space="0" w:color="auto" w:frame="1"/>
          <w:lang w:eastAsia="es-CO"/>
        </w:rPr>
        <w:t xml:space="preserve">onderación de la propuesta económica </w:t>
      </w:r>
      <w:r w:rsidR="00E96EC1">
        <w:rPr>
          <w:b/>
          <w:bCs/>
          <w:color w:val="0D0D0D"/>
          <w:bdr w:val="none" w:sz="0" w:space="0" w:color="auto" w:frame="1"/>
          <w:lang w:eastAsia="es-CO"/>
        </w:rPr>
        <w:t>en los documentos tipo de selección abreviada de menor cuantía de infraestructura de transporte –versión 2–</w:t>
      </w:r>
    </w:p>
    <w:p w14:paraId="14B72452" w14:textId="68F320B7" w:rsidR="00601C07" w:rsidRPr="00B57F79" w:rsidRDefault="00601C07" w:rsidP="00DE7D58">
      <w:pPr>
        <w:pStyle w:val="Normal11pt"/>
        <w:spacing w:line="276" w:lineRule="auto"/>
        <w:ind w:left="0"/>
        <w:rPr>
          <w:rFonts w:eastAsia="Calibri"/>
          <w:color w:val="000000" w:themeColor="text1"/>
        </w:rPr>
      </w:pPr>
    </w:p>
    <w:p w14:paraId="63F3120B" w14:textId="77777777" w:rsidR="008437E8" w:rsidRPr="008437E8" w:rsidRDefault="008437E8" w:rsidP="008437E8">
      <w:pPr>
        <w:spacing w:line="276" w:lineRule="auto"/>
        <w:jc w:val="both"/>
        <w:rPr>
          <w:rFonts w:ascii="Arial" w:eastAsia="Calibri" w:hAnsi="Arial" w:cs="Arial"/>
          <w:color w:val="000000" w:themeColor="text1"/>
          <w:sz w:val="22"/>
        </w:rPr>
      </w:pPr>
      <w:r w:rsidRPr="008437E8">
        <w:rPr>
          <w:rFonts w:ascii="Arial" w:eastAsia="Calibri" w:hAnsi="Arial" w:cs="Arial"/>
          <w:color w:val="000000" w:themeColor="text1"/>
          <w:sz w:val="22"/>
        </w:rPr>
        <w:t>La Ley 1150 de 2007, en el artículo 2, regula las modalidades de selección, y en el numeral 2 se refiere a la selección abreviada, en los siguientes términos:</w:t>
      </w:r>
    </w:p>
    <w:p w14:paraId="7F0814B2" w14:textId="77777777" w:rsidR="008437E8" w:rsidRPr="008437E8" w:rsidRDefault="008437E8" w:rsidP="008437E8">
      <w:pPr>
        <w:spacing w:line="276" w:lineRule="auto"/>
        <w:jc w:val="both"/>
        <w:rPr>
          <w:rFonts w:ascii="Arial" w:eastAsia="Calibri" w:hAnsi="Arial" w:cs="Arial"/>
          <w:color w:val="000000" w:themeColor="text1"/>
          <w:sz w:val="22"/>
        </w:rPr>
      </w:pPr>
    </w:p>
    <w:p w14:paraId="740EF5A9" w14:textId="77777777" w:rsidR="008437E8" w:rsidRPr="008437E8" w:rsidRDefault="008437E8" w:rsidP="008437E8">
      <w:pPr>
        <w:ind w:left="708" w:right="680"/>
        <w:jc w:val="both"/>
        <w:rPr>
          <w:rFonts w:ascii="Arial" w:eastAsia="Calibri" w:hAnsi="Arial" w:cs="Arial"/>
          <w:color w:val="000000" w:themeColor="text1"/>
          <w:sz w:val="21"/>
          <w:szCs w:val="21"/>
        </w:rPr>
      </w:pPr>
      <w:r w:rsidRPr="008437E8">
        <w:rPr>
          <w:rFonts w:ascii="Arial" w:eastAsia="Calibri" w:hAnsi="Arial" w:cs="Arial"/>
          <w:color w:val="000000" w:themeColor="text1"/>
          <w:sz w:val="21"/>
          <w:szCs w:val="21"/>
        </w:rPr>
        <w:t xml:space="preserve">2. Selección abreviada. La Selección abreviada corresponde a la modalidad de selección objetiva prevista para aquellos casos en </w:t>
      </w:r>
      <w:proofErr w:type="gramStart"/>
      <w:r w:rsidRPr="008437E8">
        <w:rPr>
          <w:rFonts w:ascii="Arial" w:eastAsia="Calibri" w:hAnsi="Arial" w:cs="Arial"/>
          <w:color w:val="000000" w:themeColor="text1"/>
          <w:sz w:val="21"/>
          <w:szCs w:val="21"/>
        </w:rPr>
        <w:t>que</w:t>
      </w:r>
      <w:proofErr w:type="gramEnd"/>
      <w:r w:rsidRPr="008437E8">
        <w:rPr>
          <w:rFonts w:ascii="Arial" w:eastAsia="Calibri" w:hAnsi="Arial" w:cs="Arial"/>
          <w:color w:val="000000" w:themeColor="text1"/>
          <w:sz w:val="21"/>
          <w:szCs w:val="21"/>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7CF33E1D" w14:textId="77777777" w:rsidR="008437E8" w:rsidRPr="008437E8" w:rsidRDefault="008437E8" w:rsidP="008437E8">
      <w:pPr>
        <w:ind w:left="708" w:right="680"/>
        <w:jc w:val="both"/>
        <w:rPr>
          <w:rFonts w:ascii="Arial" w:eastAsia="Calibri" w:hAnsi="Arial" w:cs="Arial"/>
          <w:color w:val="000000" w:themeColor="text1"/>
          <w:sz w:val="21"/>
          <w:szCs w:val="21"/>
        </w:rPr>
      </w:pPr>
    </w:p>
    <w:p w14:paraId="1AA2EA21" w14:textId="77777777" w:rsidR="008437E8" w:rsidRPr="008437E8" w:rsidRDefault="008437E8" w:rsidP="008437E8">
      <w:pPr>
        <w:ind w:left="709" w:right="680"/>
        <w:jc w:val="both"/>
        <w:rPr>
          <w:rFonts w:ascii="Arial" w:eastAsia="Calibri" w:hAnsi="Arial" w:cs="Arial"/>
          <w:color w:val="000000" w:themeColor="text1"/>
          <w:sz w:val="21"/>
          <w:szCs w:val="21"/>
        </w:rPr>
      </w:pPr>
      <w:r w:rsidRPr="008437E8">
        <w:rPr>
          <w:rFonts w:ascii="Arial" w:eastAsia="Calibri" w:hAnsi="Arial" w:cs="Arial"/>
          <w:color w:val="000000" w:themeColor="text1"/>
          <w:sz w:val="21"/>
          <w:szCs w:val="21"/>
        </w:rPr>
        <w:t xml:space="preserve">El Gobierno Nacional reglamentará la materia. </w:t>
      </w:r>
    </w:p>
    <w:p w14:paraId="76FCB6BF" w14:textId="77777777" w:rsidR="008437E8" w:rsidRPr="008437E8" w:rsidRDefault="008437E8" w:rsidP="008437E8">
      <w:pPr>
        <w:ind w:left="709" w:right="680"/>
        <w:jc w:val="both"/>
        <w:rPr>
          <w:rFonts w:ascii="Arial" w:eastAsia="Calibri" w:hAnsi="Arial" w:cs="Arial"/>
          <w:color w:val="000000" w:themeColor="text1"/>
          <w:sz w:val="21"/>
          <w:szCs w:val="21"/>
        </w:rPr>
      </w:pPr>
      <w:r w:rsidRPr="008437E8">
        <w:rPr>
          <w:rFonts w:ascii="Arial" w:eastAsia="Calibri" w:hAnsi="Arial" w:cs="Arial"/>
          <w:color w:val="000000" w:themeColor="text1"/>
          <w:sz w:val="21"/>
          <w:szCs w:val="21"/>
        </w:rPr>
        <w:t>[...]</w:t>
      </w:r>
    </w:p>
    <w:p w14:paraId="57FBB785" w14:textId="77777777" w:rsidR="008437E8" w:rsidRPr="008437E8" w:rsidRDefault="008437E8" w:rsidP="008437E8">
      <w:pPr>
        <w:spacing w:line="276" w:lineRule="auto"/>
        <w:ind w:left="708" w:right="680"/>
        <w:jc w:val="both"/>
        <w:rPr>
          <w:rFonts w:ascii="Arial" w:eastAsia="Calibri" w:hAnsi="Arial" w:cs="Arial"/>
          <w:color w:val="000000" w:themeColor="text1"/>
          <w:sz w:val="21"/>
          <w:szCs w:val="21"/>
        </w:rPr>
      </w:pPr>
    </w:p>
    <w:p w14:paraId="6EBC4626" w14:textId="4E270651" w:rsidR="008437E8" w:rsidRPr="008437E8" w:rsidRDefault="008437E8" w:rsidP="008437E8">
      <w:pPr>
        <w:spacing w:after="120" w:line="276" w:lineRule="auto"/>
        <w:ind w:firstLine="709"/>
        <w:jc w:val="both"/>
        <w:rPr>
          <w:rFonts w:ascii="Arial" w:eastAsia="Calibri" w:hAnsi="Arial" w:cs="Arial"/>
          <w:color w:val="000000" w:themeColor="text1"/>
          <w:sz w:val="22"/>
        </w:rPr>
      </w:pPr>
      <w:r w:rsidRPr="008437E8">
        <w:rPr>
          <w:rFonts w:ascii="Arial" w:eastAsia="Calibri" w:hAnsi="Arial" w:cs="Arial"/>
          <w:color w:val="000000" w:themeColor="text1"/>
          <w:sz w:val="22"/>
        </w:rPr>
        <w:t>Esta norma contempla una modalidad de selección que se caracteriza por tener etapas sencillas y términos más cortos que la licitación pública</w:t>
      </w:r>
      <w:r w:rsidR="00637235">
        <w:rPr>
          <w:rFonts w:ascii="Arial" w:eastAsia="Calibri" w:hAnsi="Arial" w:cs="Arial"/>
          <w:color w:val="000000" w:themeColor="text1"/>
          <w:sz w:val="22"/>
        </w:rPr>
        <w:t>.</w:t>
      </w:r>
      <w:r w:rsidRPr="008437E8">
        <w:rPr>
          <w:rFonts w:ascii="Arial" w:eastAsia="Calibri" w:hAnsi="Arial" w:cs="Arial"/>
          <w:color w:val="000000" w:themeColor="text1"/>
          <w:sz w:val="22"/>
        </w:rPr>
        <w:t xml:space="preserve"> </w:t>
      </w:r>
      <w:r w:rsidR="00637235">
        <w:rPr>
          <w:rFonts w:ascii="Arial" w:eastAsia="Calibri" w:hAnsi="Arial" w:cs="Arial"/>
          <w:color w:val="000000" w:themeColor="text1"/>
          <w:sz w:val="22"/>
        </w:rPr>
        <w:t>Esto</w:t>
      </w:r>
      <w:r w:rsidRPr="008437E8">
        <w:rPr>
          <w:rFonts w:ascii="Arial" w:eastAsia="Calibri" w:hAnsi="Arial" w:cs="Arial"/>
          <w:color w:val="000000" w:themeColor="text1"/>
          <w:sz w:val="22"/>
        </w:rPr>
        <w:t xml:space="preserve"> se justifica por la complejidad de los asuntos que se contratan a través de esta modalidad, que requieren de procedimientos más ágiles, sencillos y eficientes. </w:t>
      </w:r>
    </w:p>
    <w:p w14:paraId="63125B0E" w14:textId="4A2A26C5" w:rsidR="008437E8" w:rsidRPr="008437E8" w:rsidRDefault="008437E8" w:rsidP="008437E8">
      <w:pPr>
        <w:spacing w:line="276" w:lineRule="auto"/>
        <w:ind w:firstLine="709"/>
        <w:jc w:val="both"/>
        <w:rPr>
          <w:rFonts w:ascii="Arial" w:eastAsia="Calibri" w:hAnsi="Arial" w:cs="Arial"/>
          <w:color w:val="000000" w:themeColor="text1"/>
          <w:sz w:val="22"/>
        </w:rPr>
      </w:pPr>
      <w:r w:rsidRPr="008437E8">
        <w:rPr>
          <w:rFonts w:ascii="Arial" w:eastAsia="Calibri" w:hAnsi="Arial" w:cs="Arial"/>
          <w:color w:val="000000" w:themeColor="text1"/>
          <w:sz w:val="22"/>
        </w:rPr>
        <w:t xml:space="preserve">En concordancia con lo anterior, el Decreto 1082 de 2015 desarrolla las causales de la modalidad de selección abreviada, establecidas en el numeral 2 del artículo 2 de la Ley 1150 de 2007, y </w:t>
      </w:r>
      <w:r w:rsidR="00154263">
        <w:rPr>
          <w:rFonts w:ascii="Arial" w:eastAsia="Calibri" w:hAnsi="Arial" w:cs="Arial"/>
          <w:color w:val="000000" w:themeColor="text1"/>
          <w:sz w:val="22"/>
        </w:rPr>
        <w:t>establece</w:t>
      </w:r>
      <w:r w:rsidR="00154263" w:rsidRPr="008437E8">
        <w:rPr>
          <w:rFonts w:ascii="Arial" w:eastAsia="Calibri" w:hAnsi="Arial" w:cs="Arial"/>
          <w:color w:val="000000" w:themeColor="text1"/>
          <w:sz w:val="22"/>
        </w:rPr>
        <w:t xml:space="preserve"> </w:t>
      </w:r>
      <w:r w:rsidRPr="008437E8">
        <w:rPr>
          <w:rFonts w:ascii="Arial" w:eastAsia="Calibri" w:hAnsi="Arial" w:cs="Arial"/>
          <w:color w:val="000000" w:themeColor="text1"/>
          <w:sz w:val="22"/>
        </w:rPr>
        <w:t>el procedimiento aplicable, describiendo documentos como el pliego de condiciones, el procedimiento, las etapas, entre otros.</w:t>
      </w:r>
      <w:r>
        <w:rPr>
          <w:rFonts w:ascii="Arial" w:eastAsia="Calibri" w:hAnsi="Arial" w:cs="Arial"/>
          <w:color w:val="000000" w:themeColor="text1"/>
          <w:sz w:val="22"/>
        </w:rPr>
        <w:t xml:space="preserve"> </w:t>
      </w:r>
      <w:r w:rsidRPr="008437E8">
        <w:rPr>
          <w:rFonts w:ascii="Arial" w:eastAsia="Calibri" w:hAnsi="Arial" w:cs="Arial"/>
          <w:color w:val="000000" w:themeColor="text1"/>
          <w:sz w:val="22"/>
        </w:rPr>
        <w:t>Una de las causales de selección abreviada es la de menor cuantía, que se refiere a los procesos contractuales que no superan la menor cuantía de la entidad, porque su valor es inferior a los topes que la norma señala respecto de su presupuesto anual</w:t>
      </w:r>
      <w:r w:rsidRPr="008437E8">
        <w:rPr>
          <w:rFonts w:ascii="Arial" w:eastAsia="Calibri" w:hAnsi="Arial" w:cs="Arial"/>
          <w:bCs/>
          <w:color w:val="000000" w:themeColor="text1"/>
          <w:sz w:val="22"/>
          <w:vertAlign w:val="superscript"/>
        </w:rPr>
        <w:footnoteReference w:id="6"/>
      </w:r>
      <w:r w:rsidRPr="008437E8">
        <w:rPr>
          <w:rFonts w:ascii="Arial" w:eastAsia="Calibri" w:hAnsi="Arial" w:cs="Arial"/>
          <w:color w:val="000000" w:themeColor="text1"/>
          <w:sz w:val="22"/>
        </w:rPr>
        <w:t>. Esta modalidad se desarrolla en el Decreto 1082 de 2015, reglamentario de la Ley 1150 de 2007, donde se establece su procedimiento. De esta manera, en relación con las etapas, el artículo 2.2.1.2.1.2.20 del Decreto 1082 de 2015</w:t>
      </w:r>
      <w:r w:rsidRPr="008437E8">
        <w:rPr>
          <w:rFonts w:ascii="Arial" w:eastAsia="Calibri" w:hAnsi="Arial" w:cs="Arial"/>
          <w:color w:val="000000" w:themeColor="text1"/>
          <w:sz w:val="22"/>
          <w:vertAlign w:val="superscript"/>
        </w:rPr>
        <w:footnoteReference w:id="7"/>
      </w:r>
      <w:r w:rsidRPr="008437E8">
        <w:rPr>
          <w:rFonts w:ascii="Arial" w:eastAsia="Calibri" w:hAnsi="Arial" w:cs="Arial"/>
          <w:color w:val="000000" w:themeColor="text1"/>
          <w:sz w:val="22"/>
        </w:rPr>
        <w:t xml:space="preserve"> señala que se rige por las normas generales del título en que se encuentra ubicado dicha norma y por las especiales contenidas en ese artículo. </w:t>
      </w:r>
    </w:p>
    <w:p w14:paraId="2C87A11D" w14:textId="095AA900" w:rsidR="00601C07" w:rsidRDefault="008437E8" w:rsidP="00945536">
      <w:pPr>
        <w:pStyle w:val="InviasNormal"/>
        <w:spacing w:after="120" w:line="276" w:lineRule="auto"/>
        <w:outlineLvl w:val="2"/>
        <w:rPr>
          <w:rFonts w:ascii="Arial" w:eastAsia="Calibri" w:hAnsi="Arial" w:cs="Arial"/>
          <w:color w:val="auto"/>
          <w:sz w:val="22"/>
          <w:szCs w:val="22"/>
        </w:rPr>
      </w:pPr>
      <w:r>
        <w:rPr>
          <w:rFonts w:ascii="Arial" w:eastAsia="Calibri" w:hAnsi="Arial" w:cs="Arial"/>
          <w:color w:val="auto"/>
          <w:sz w:val="22"/>
          <w:szCs w:val="22"/>
        </w:rPr>
        <w:lastRenderedPageBreak/>
        <w:tab/>
      </w:r>
      <w:r>
        <w:rPr>
          <w:rFonts w:ascii="Arial" w:eastAsia="Calibri" w:hAnsi="Arial" w:cs="Arial"/>
          <w:color w:val="auto"/>
          <w:sz w:val="22"/>
          <w:szCs w:val="22"/>
          <w:lang w:val="es-CO"/>
        </w:rPr>
        <w:t>Teniendo en cuenta esta conceptualización, e</w:t>
      </w:r>
      <w:r w:rsidR="003A02EB" w:rsidRPr="00D36A8C">
        <w:rPr>
          <w:rFonts w:ascii="Arial" w:eastAsia="Calibri" w:hAnsi="Arial" w:cs="Arial"/>
          <w:color w:val="auto"/>
          <w:sz w:val="22"/>
          <w:szCs w:val="22"/>
        </w:rPr>
        <w:t xml:space="preserve">l documento base </w:t>
      </w:r>
      <w:r w:rsidR="00BC7DCD" w:rsidRPr="00D36A8C">
        <w:rPr>
          <w:rFonts w:ascii="Arial" w:eastAsia="Calibri" w:hAnsi="Arial" w:cs="Arial"/>
          <w:color w:val="auto"/>
          <w:sz w:val="22"/>
          <w:szCs w:val="22"/>
        </w:rPr>
        <w:t>para la selección abreviada de menor cuantía de infraestructura de transporte</w:t>
      </w:r>
      <w:r w:rsidR="00256EDF">
        <w:rPr>
          <w:rFonts w:ascii="Arial" w:eastAsia="Calibri" w:hAnsi="Arial" w:cs="Arial"/>
          <w:color w:val="auto"/>
          <w:sz w:val="22"/>
          <w:szCs w:val="22"/>
          <w:lang w:val="es-CO"/>
        </w:rPr>
        <w:t xml:space="preserve"> –versión 2</w:t>
      </w:r>
      <w:r w:rsidR="00634CC6">
        <w:rPr>
          <w:rFonts w:ascii="Arial" w:eastAsia="Calibri" w:hAnsi="Arial" w:cs="Arial"/>
          <w:color w:val="auto"/>
          <w:sz w:val="22"/>
          <w:szCs w:val="22"/>
          <w:lang w:val="es-CO"/>
        </w:rPr>
        <w:t>–</w:t>
      </w:r>
      <w:r w:rsidR="00BC7DCD" w:rsidRPr="00D36A8C">
        <w:rPr>
          <w:rFonts w:ascii="Arial" w:eastAsia="Calibri" w:hAnsi="Arial" w:cs="Arial"/>
          <w:color w:val="auto"/>
          <w:sz w:val="22"/>
          <w:szCs w:val="22"/>
        </w:rPr>
        <w:t xml:space="preserve"> </w:t>
      </w:r>
      <w:r w:rsidR="003A02EB" w:rsidRPr="00D36A8C">
        <w:rPr>
          <w:rFonts w:ascii="Arial" w:eastAsia="Calibri" w:hAnsi="Arial" w:cs="Arial"/>
          <w:color w:val="auto"/>
          <w:sz w:val="22"/>
          <w:szCs w:val="22"/>
        </w:rPr>
        <w:t>establece</w:t>
      </w:r>
      <w:r w:rsidR="008D11FF" w:rsidRPr="00D36A8C">
        <w:rPr>
          <w:rFonts w:ascii="Arial" w:eastAsia="Calibri" w:hAnsi="Arial" w:cs="Arial"/>
          <w:color w:val="auto"/>
          <w:sz w:val="22"/>
          <w:szCs w:val="22"/>
        </w:rPr>
        <w:t xml:space="preserve"> en el numeral </w:t>
      </w:r>
      <w:bookmarkStart w:id="2" w:name="_Toc32147369"/>
      <w:bookmarkStart w:id="3" w:name="_Toc84413953"/>
      <w:bookmarkStart w:id="4" w:name="_Hlk511666009"/>
      <w:r w:rsidR="00D36A8C" w:rsidRPr="00D36A8C">
        <w:rPr>
          <w:rFonts w:ascii="Arial" w:eastAsia="Calibri" w:hAnsi="Arial" w:cs="Arial"/>
          <w:color w:val="auto"/>
          <w:sz w:val="22"/>
          <w:szCs w:val="22"/>
          <w:lang w:val="es-CO"/>
        </w:rPr>
        <w:t xml:space="preserve">4.1.4. </w:t>
      </w:r>
      <w:r w:rsidR="00D36A8C" w:rsidRPr="00634CC6">
        <w:rPr>
          <w:rFonts w:ascii="Arial" w:eastAsia="Arial" w:hAnsi="Arial" w:cs="Arial"/>
          <w:color w:val="auto"/>
          <w:sz w:val="22"/>
          <w:szCs w:val="22"/>
          <w:lang w:val="es-CO"/>
        </w:rPr>
        <w:t>DETERMINACIÓN DEL MÉTODO PARA LA PONDERACIÓN DE LA PROPUESTA ECONÓMICA</w:t>
      </w:r>
      <w:bookmarkEnd w:id="2"/>
      <w:bookmarkEnd w:id="3"/>
      <w:bookmarkEnd w:id="4"/>
      <w:r w:rsidR="00D36A8C" w:rsidRPr="00D36A8C">
        <w:rPr>
          <w:rFonts w:ascii="Arial" w:eastAsia="Arial" w:hAnsi="Arial" w:cs="Arial"/>
          <w:color w:val="auto"/>
          <w:sz w:val="22"/>
          <w:szCs w:val="22"/>
          <w:lang w:val="es-CO"/>
        </w:rPr>
        <w:t xml:space="preserve"> </w:t>
      </w:r>
      <w:r w:rsidR="003A02EB" w:rsidRPr="00D36A8C">
        <w:rPr>
          <w:rFonts w:ascii="Arial" w:eastAsia="Calibri" w:hAnsi="Arial" w:cs="Arial"/>
          <w:color w:val="auto"/>
          <w:sz w:val="22"/>
          <w:szCs w:val="22"/>
        </w:rPr>
        <w:t>cuatro alternativas para escoger el método de ponderación de la</w:t>
      </w:r>
      <w:r w:rsidR="00745E02">
        <w:rPr>
          <w:rFonts w:ascii="Arial" w:eastAsia="Calibri" w:hAnsi="Arial" w:cs="Arial"/>
          <w:color w:val="auto"/>
          <w:sz w:val="22"/>
          <w:szCs w:val="22"/>
          <w:lang w:val="es-CO"/>
        </w:rPr>
        <w:t>s</w:t>
      </w:r>
      <w:r w:rsidR="003A02EB" w:rsidRPr="00D36A8C">
        <w:rPr>
          <w:rFonts w:ascii="Arial" w:eastAsia="Calibri" w:hAnsi="Arial" w:cs="Arial"/>
          <w:color w:val="auto"/>
          <w:sz w:val="22"/>
          <w:szCs w:val="22"/>
        </w:rPr>
        <w:t xml:space="preserve"> propuesta</w:t>
      </w:r>
      <w:r w:rsidR="00745E02">
        <w:rPr>
          <w:rFonts w:ascii="Arial" w:eastAsia="Calibri" w:hAnsi="Arial" w:cs="Arial"/>
          <w:color w:val="auto"/>
          <w:sz w:val="22"/>
          <w:szCs w:val="22"/>
          <w:lang w:val="es-CO"/>
        </w:rPr>
        <w:t>s</w:t>
      </w:r>
      <w:r w:rsidR="003A02EB" w:rsidRPr="00D36A8C">
        <w:rPr>
          <w:rFonts w:ascii="Arial" w:eastAsia="Calibri" w:hAnsi="Arial" w:cs="Arial"/>
          <w:color w:val="auto"/>
          <w:sz w:val="22"/>
          <w:szCs w:val="22"/>
        </w:rPr>
        <w:t xml:space="preserve"> económica</w:t>
      </w:r>
      <w:r w:rsidR="00745E02">
        <w:rPr>
          <w:rFonts w:ascii="Arial" w:eastAsia="Calibri" w:hAnsi="Arial" w:cs="Arial"/>
          <w:color w:val="auto"/>
          <w:sz w:val="22"/>
          <w:szCs w:val="22"/>
          <w:lang w:val="es-CO"/>
        </w:rPr>
        <w:t>s</w:t>
      </w:r>
      <w:r w:rsidR="003A02EB" w:rsidRPr="00D36A8C">
        <w:rPr>
          <w:rFonts w:ascii="Arial" w:eastAsia="Calibri" w:hAnsi="Arial" w:cs="Arial"/>
          <w:color w:val="auto"/>
          <w:sz w:val="22"/>
          <w:szCs w:val="22"/>
        </w:rPr>
        <w:t xml:space="preserve">, a saber: i) mediana con valor absoluto; </w:t>
      </w:r>
      <w:proofErr w:type="spellStart"/>
      <w:r w:rsidR="003A02EB" w:rsidRPr="00D36A8C">
        <w:rPr>
          <w:rFonts w:ascii="Arial" w:eastAsia="Calibri" w:hAnsi="Arial" w:cs="Arial"/>
          <w:color w:val="auto"/>
          <w:sz w:val="22"/>
          <w:szCs w:val="22"/>
        </w:rPr>
        <w:t>ii</w:t>
      </w:r>
      <w:proofErr w:type="spellEnd"/>
      <w:r w:rsidR="003A02EB" w:rsidRPr="00D36A8C">
        <w:rPr>
          <w:rFonts w:ascii="Arial" w:eastAsia="Calibri" w:hAnsi="Arial" w:cs="Arial"/>
          <w:color w:val="auto"/>
          <w:sz w:val="22"/>
          <w:szCs w:val="22"/>
        </w:rPr>
        <w:t xml:space="preserve">) media geométrica; </w:t>
      </w:r>
      <w:proofErr w:type="spellStart"/>
      <w:r w:rsidR="003A02EB" w:rsidRPr="00D36A8C">
        <w:rPr>
          <w:rFonts w:ascii="Arial" w:eastAsia="Calibri" w:hAnsi="Arial" w:cs="Arial"/>
          <w:color w:val="auto"/>
          <w:sz w:val="22"/>
          <w:szCs w:val="22"/>
        </w:rPr>
        <w:t>iii</w:t>
      </w:r>
      <w:proofErr w:type="spellEnd"/>
      <w:r w:rsidR="003A02EB" w:rsidRPr="00D36A8C">
        <w:rPr>
          <w:rFonts w:ascii="Arial" w:eastAsia="Calibri" w:hAnsi="Arial" w:cs="Arial"/>
          <w:color w:val="auto"/>
          <w:sz w:val="22"/>
          <w:szCs w:val="22"/>
        </w:rPr>
        <w:t xml:space="preserve">) media aritmética baja y </w:t>
      </w:r>
      <w:proofErr w:type="spellStart"/>
      <w:r w:rsidR="003A02EB" w:rsidRPr="00D36A8C">
        <w:rPr>
          <w:rFonts w:ascii="Arial" w:eastAsia="Calibri" w:hAnsi="Arial" w:cs="Arial"/>
          <w:color w:val="auto"/>
          <w:sz w:val="22"/>
          <w:szCs w:val="22"/>
        </w:rPr>
        <w:t>iv</w:t>
      </w:r>
      <w:proofErr w:type="spellEnd"/>
      <w:r w:rsidR="003A02EB" w:rsidRPr="00D36A8C">
        <w:rPr>
          <w:rFonts w:ascii="Arial" w:eastAsia="Calibri" w:hAnsi="Arial" w:cs="Arial"/>
          <w:color w:val="auto"/>
          <w:sz w:val="22"/>
          <w:szCs w:val="22"/>
        </w:rPr>
        <w:t>) menor valor.</w:t>
      </w:r>
      <w:r>
        <w:rPr>
          <w:rFonts w:ascii="Arial" w:eastAsia="Calibri" w:hAnsi="Arial" w:cs="Arial"/>
          <w:color w:val="auto"/>
          <w:sz w:val="22"/>
          <w:szCs w:val="22"/>
          <w:lang w:val="es-CO"/>
        </w:rPr>
        <w:t xml:space="preserve"> A partir de estas alternativas</w:t>
      </w:r>
      <w:r w:rsidR="00601C07" w:rsidRPr="00D36A8C">
        <w:rPr>
          <w:rFonts w:ascii="Arial" w:eastAsia="Calibri" w:hAnsi="Arial" w:cs="Arial"/>
          <w:color w:val="auto"/>
          <w:sz w:val="22"/>
          <w:szCs w:val="22"/>
        </w:rPr>
        <w:t>, la entidad</w:t>
      </w:r>
      <w:r w:rsidR="006D07CF">
        <w:rPr>
          <w:rFonts w:ascii="Arial" w:eastAsia="Calibri" w:hAnsi="Arial" w:cs="Arial"/>
          <w:color w:val="auto"/>
          <w:sz w:val="22"/>
          <w:szCs w:val="22"/>
          <w:lang w:val="es-ES"/>
        </w:rPr>
        <w:t>,</w:t>
      </w:r>
      <w:r w:rsidR="00601C07" w:rsidRPr="00D36A8C">
        <w:rPr>
          <w:rFonts w:ascii="Arial" w:eastAsia="Calibri" w:hAnsi="Arial" w:cs="Arial"/>
          <w:color w:val="auto"/>
          <w:sz w:val="22"/>
          <w:szCs w:val="22"/>
        </w:rPr>
        <w:t xml:space="preserve"> para establecer el método de ponderación</w:t>
      </w:r>
      <w:r w:rsidR="006D07CF">
        <w:rPr>
          <w:rFonts w:ascii="Arial" w:eastAsia="Calibri" w:hAnsi="Arial" w:cs="Arial"/>
          <w:color w:val="auto"/>
          <w:sz w:val="22"/>
          <w:szCs w:val="22"/>
          <w:lang w:val="es-ES"/>
        </w:rPr>
        <w:t>,</w:t>
      </w:r>
      <w:r w:rsidR="00601C07" w:rsidRPr="00D36A8C">
        <w:rPr>
          <w:rFonts w:ascii="Arial" w:eastAsia="Calibri" w:hAnsi="Arial" w:cs="Arial"/>
          <w:color w:val="auto"/>
          <w:sz w:val="22"/>
          <w:szCs w:val="22"/>
        </w:rPr>
        <w:t xml:space="preserve"> </w:t>
      </w:r>
      <w:r w:rsidR="00411F9D" w:rsidRPr="00D36A8C">
        <w:rPr>
          <w:rFonts w:ascii="Arial" w:eastAsia="Calibri" w:hAnsi="Arial" w:cs="Arial"/>
          <w:color w:val="auto"/>
          <w:sz w:val="22"/>
          <w:szCs w:val="22"/>
        </w:rPr>
        <w:t xml:space="preserve">tomará los centavos de la Tasa de Cambio Representativa del Mercado (TRM), certificada por la Superintendencia Financiera de Colombia. </w:t>
      </w:r>
    </w:p>
    <w:p w14:paraId="4D8D4864" w14:textId="761CE7D2" w:rsidR="00745E02" w:rsidRPr="00745E02" w:rsidRDefault="00745E02" w:rsidP="00745E02">
      <w:pPr>
        <w:spacing w:before="120" w:after="120" w:line="276" w:lineRule="auto"/>
        <w:ind w:firstLine="709"/>
        <w:jc w:val="both"/>
        <w:rPr>
          <w:rFonts w:ascii="Arial" w:eastAsia="Calibri" w:hAnsi="Arial" w:cs="Arial"/>
          <w:color w:val="000000"/>
          <w:sz w:val="22"/>
          <w:lang w:val="es-ES_tradnl"/>
        </w:rPr>
      </w:pPr>
      <w:r w:rsidRPr="00745E02">
        <w:rPr>
          <w:rFonts w:ascii="Arial" w:eastAsia="Calibri" w:hAnsi="Arial" w:cs="Arial"/>
          <w:color w:val="000000"/>
          <w:sz w:val="22"/>
          <w:lang w:val="es-ES_tradnl"/>
        </w:rPr>
        <w:t>La Tasa de Cambio Representativa del Mercado – TRM «</w:t>
      </w:r>
      <w:r w:rsidRPr="00745E02">
        <w:rPr>
          <w:rFonts w:ascii="Arial" w:eastAsia="Calibri" w:hAnsi="Arial" w:cs="Arial"/>
          <w:sz w:val="22"/>
        </w:rPr>
        <w:t>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(IMC) entre las 7:30 a.m. y la 1:00 p.m.</w:t>
      </w:r>
      <w:r w:rsidRPr="00745E02">
        <w:rPr>
          <w:rFonts w:ascii="Arial" w:eastAsia="Calibri" w:hAnsi="Arial" w:cs="Arial"/>
          <w:color w:val="000000"/>
          <w:sz w:val="22"/>
          <w:lang w:val="es-ES_tradnl"/>
        </w:rPr>
        <w:t>»</w:t>
      </w:r>
      <w:r w:rsidRPr="00745E02">
        <w:rPr>
          <w:rFonts w:ascii="Arial" w:eastAsia="Calibri" w:hAnsi="Arial" w:cs="Arial"/>
          <w:color w:val="000000"/>
          <w:sz w:val="22"/>
          <w:vertAlign w:val="superscript"/>
          <w:lang w:val="es-ES_tradnl"/>
        </w:rPr>
        <w:t xml:space="preserve"> </w:t>
      </w:r>
      <w:r w:rsidRPr="00745E02">
        <w:rPr>
          <w:rFonts w:ascii="Arial" w:eastAsia="Calibri" w:hAnsi="Arial" w:cs="Arial"/>
          <w:color w:val="000000"/>
          <w:sz w:val="22"/>
          <w:vertAlign w:val="superscript"/>
          <w:lang w:val="es-ES_tradnl"/>
        </w:rPr>
        <w:footnoteReference w:id="8"/>
      </w:r>
      <w:r w:rsidRPr="00745E02">
        <w:rPr>
          <w:rFonts w:ascii="Arial" w:eastAsia="Calibri" w:hAnsi="Arial" w:cs="Arial"/>
          <w:color w:val="000000"/>
          <w:sz w:val="22"/>
          <w:lang w:val="es-ES_tradnl"/>
        </w:rPr>
        <w:t>, definido por la Superintendencia Financiera, es decir, denota la relación entre la moneda colombiana y el dólar. Por su parte, el Banco de la República ha definido la tasa de cambio representativa del mercado como «la cantidad de pesos colombianos por un dólar de los Estados Unidos</w:t>
      </w:r>
      <w:r w:rsidRPr="00745E02">
        <w:rPr>
          <w:rFonts w:ascii="Arial" w:eastAsia="Calibri" w:hAnsi="Arial" w:cs="Arial"/>
          <w:color w:val="000000"/>
          <w:sz w:val="22"/>
          <w:vertAlign w:val="superscript"/>
          <w:lang w:val="es-ES_tradnl"/>
        </w:rPr>
        <w:footnoteReference w:id="9"/>
      </w:r>
      <w:r w:rsidRPr="00745E02">
        <w:rPr>
          <w:rFonts w:ascii="Arial" w:eastAsia="Calibri" w:hAnsi="Arial" w:cs="Arial"/>
          <w:color w:val="000000"/>
          <w:sz w:val="22"/>
          <w:lang w:val="es-ES_tradnl"/>
        </w:rPr>
        <w:t xml:space="preserve">». Es decir que es claro que la TRM es un valor que se origina en la fluctuación del mercado. </w:t>
      </w:r>
    </w:p>
    <w:p w14:paraId="5955262C" w14:textId="61133A19" w:rsidR="003A02EB" w:rsidRDefault="00411F9D" w:rsidP="00084278">
      <w:pPr>
        <w:spacing w:before="120" w:after="120" w:line="276" w:lineRule="auto"/>
        <w:jc w:val="both"/>
        <w:rPr>
          <w:rFonts w:ascii="Arial" w:eastAsia="Calibri" w:hAnsi="Arial" w:cs="Arial"/>
          <w:sz w:val="22"/>
        </w:rPr>
      </w:pPr>
      <w:r w:rsidRPr="00D36A8C">
        <w:rPr>
          <w:rFonts w:ascii="Arial" w:eastAsia="Calibri" w:hAnsi="Arial" w:cs="Arial"/>
          <w:sz w:val="22"/>
        </w:rPr>
        <w:tab/>
      </w:r>
      <w:proofErr w:type="spellStart"/>
      <w:r w:rsidR="00D36A8C">
        <w:rPr>
          <w:rFonts w:ascii="Arial" w:eastAsia="Calibri" w:hAnsi="Arial" w:cs="Arial"/>
          <w:sz w:val="22"/>
        </w:rPr>
        <w:t>La</w:t>
      </w:r>
      <w:r w:rsidRPr="00D36A8C">
        <w:rPr>
          <w:rFonts w:ascii="Arial" w:eastAsia="Calibri" w:hAnsi="Arial" w:cs="Arial"/>
          <w:sz w:val="22"/>
        </w:rPr>
        <w:t>TRM</w:t>
      </w:r>
      <w:proofErr w:type="spellEnd"/>
      <w:r w:rsidRPr="00D36A8C">
        <w:rPr>
          <w:rFonts w:ascii="Arial" w:eastAsia="Calibri" w:hAnsi="Arial" w:cs="Arial"/>
          <w:sz w:val="22"/>
        </w:rPr>
        <w:t xml:space="preserve"> que la entidad usará para el método de ponderaci</w:t>
      </w:r>
      <w:r w:rsidR="00D36A8C">
        <w:rPr>
          <w:rFonts w:ascii="Arial" w:eastAsia="Calibri" w:hAnsi="Arial" w:cs="Arial"/>
          <w:sz w:val="22"/>
        </w:rPr>
        <w:t>ón se</w:t>
      </w:r>
      <w:r w:rsidRPr="00D36A8C">
        <w:rPr>
          <w:rFonts w:ascii="Arial" w:eastAsia="Calibri" w:hAnsi="Arial" w:cs="Arial"/>
          <w:sz w:val="22"/>
        </w:rPr>
        <w:t xml:space="preserve">rá </w:t>
      </w:r>
      <w:r w:rsidR="00132C50">
        <w:rPr>
          <w:rFonts w:ascii="Arial" w:eastAsia="Calibri" w:hAnsi="Arial" w:cs="Arial"/>
          <w:sz w:val="22"/>
        </w:rPr>
        <w:t>la</w:t>
      </w:r>
      <w:r w:rsidR="00132C50" w:rsidRPr="00D36A8C">
        <w:rPr>
          <w:rFonts w:ascii="Arial" w:eastAsia="Calibri" w:hAnsi="Arial" w:cs="Arial"/>
          <w:sz w:val="22"/>
        </w:rPr>
        <w:t xml:space="preserve"> </w:t>
      </w:r>
      <w:r w:rsidRPr="00D36A8C">
        <w:rPr>
          <w:rFonts w:ascii="Arial" w:eastAsia="Calibri" w:hAnsi="Arial" w:cs="Arial"/>
          <w:sz w:val="22"/>
        </w:rPr>
        <w:t>que aplique en el segundo día hábil después del cierre del proceso</w:t>
      </w:r>
      <w:r w:rsidR="00867771">
        <w:rPr>
          <w:rFonts w:ascii="Arial" w:eastAsia="Calibri" w:hAnsi="Arial" w:cs="Arial"/>
          <w:sz w:val="22"/>
        </w:rPr>
        <w:t>, según la publicación hecha por</w:t>
      </w:r>
      <w:r w:rsidR="00084278" w:rsidRPr="00D36A8C">
        <w:rPr>
          <w:rFonts w:ascii="Arial" w:eastAsia="Calibri" w:hAnsi="Arial" w:cs="Arial"/>
          <w:sz w:val="22"/>
        </w:rPr>
        <w:t xml:space="preserve"> la Superintendencia </w:t>
      </w:r>
      <w:r w:rsidRPr="00601C07">
        <w:rPr>
          <w:rFonts w:ascii="Arial" w:eastAsia="Calibri" w:hAnsi="Arial" w:cs="Arial"/>
          <w:color w:val="000000"/>
          <w:sz w:val="22"/>
          <w:lang w:val="es-CO"/>
        </w:rPr>
        <w:t>en horas de la tarde del día hábil siguiente a la fecha efectiva de</w:t>
      </w:r>
      <w:r w:rsidR="00256EDF">
        <w:rPr>
          <w:rFonts w:ascii="Arial" w:eastAsia="Calibri" w:hAnsi="Arial" w:cs="Arial"/>
          <w:color w:val="000000"/>
          <w:sz w:val="22"/>
          <w:lang w:val="es-CO"/>
        </w:rPr>
        <w:t xml:space="preserve"> cierre del proceso.</w:t>
      </w:r>
      <w:r w:rsidR="00084278" w:rsidRPr="00D36A8C">
        <w:rPr>
          <w:rFonts w:ascii="Arial" w:eastAsia="Calibri" w:hAnsi="Arial" w:cs="Arial"/>
          <w:color w:val="000000"/>
          <w:sz w:val="22"/>
          <w:lang w:val="es-CO"/>
        </w:rPr>
        <w:t xml:space="preserve"> Por ejemplo, si el cierre del proceso se efect</w:t>
      </w:r>
      <w:r w:rsidR="00D36A8C">
        <w:rPr>
          <w:rFonts w:ascii="Arial" w:eastAsia="Calibri" w:hAnsi="Arial" w:cs="Arial"/>
          <w:color w:val="000000"/>
          <w:sz w:val="22"/>
          <w:lang w:val="es-CO"/>
        </w:rPr>
        <w:t>úa el 15</w:t>
      </w:r>
      <w:r w:rsidR="00084278" w:rsidRPr="00D36A8C">
        <w:rPr>
          <w:rFonts w:ascii="Arial" w:eastAsia="Calibri" w:hAnsi="Arial" w:cs="Arial"/>
          <w:color w:val="000000"/>
          <w:sz w:val="22"/>
          <w:lang w:val="es-CO"/>
        </w:rPr>
        <w:t xml:space="preserve"> de noviembre, la TRM que se usará para determinar el método de evaluación ser</w:t>
      </w:r>
      <w:r w:rsidR="00D36A8C">
        <w:rPr>
          <w:rFonts w:ascii="Arial" w:eastAsia="Calibri" w:hAnsi="Arial" w:cs="Arial"/>
          <w:color w:val="000000"/>
          <w:sz w:val="22"/>
          <w:lang w:val="es-CO"/>
        </w:rPr>
        <w:t>á la del 17</w:t>
      </w:r>
      <w:r w:rsidR="00084278" w:rsidRPr="00D36A8C">
        <w:rPr>
          <w:rFonts w:ascii="Arial" w:eastAsia="Calibri" w:hAnsi="Arial" w:cs="Arial"/>
          <w:color w:val="000000"/>
          <w:sz w:val="22"/>
          <w:lang w:val="es-CO"/>
        </w:rPr>
        <w:t xml:space="preserve"> de noviembre, que se </w:t>
      </w:r>
      <w:r w:rsidR="00084278" w:rsidRPr="00D36A8C">
        <w:rPr>
          <w:rFonts w:ascii="Arial" w:eastAsia="Calibri" w:hAnsi="Arial" w:cs="Arial"/>
          <w:color w:val="000000"/>
          <w:sz w:val="22"/>
          <w:lang w:val="es-CO"/>
        </w:rPr>
        <w:lastRenderedPageBreak/>
        <w:t>pub</w:t>
      </w:r>
      <w:r w:rsidR="00D36A8C">
        <w:rPr>
          <w:rFonts w:ascii="Arial" w:eastAsia="Calibri" w:hAnsi="Arial" w:cs="Arial"/>
          <w:color w:val="000000"/>
          <w:sz w:val="22"/>
          <w:lang w:val="es-CO"/>
        </w:rPr>
        <w:t>lica en la tarde del 16</w:t>
      </w:r>
      <w:r w:rsidR="00084278" w:rsidRPr="00D36A8C">
        <w:rPr>
          <w:rFonts w:ascii="Arial" w:eastAsia="Calibri" w:hAnsi="Arial" w:cs="Arial"/>
          <w:color w:val="000000"/>
          <w:sz w:val="22"/>
          <w:lang w:val="es-CO"/>
        </w:rPr>
        <w:t xml:space="preserve"> de noviembre. De acuerdo </w:t>
      </w:r>
      <w:r w:rsidR="00DA0FB4">
        <w:rPr>
          <w:rFonts w:ascii="Arial" w:eastAsia="Calibri" w:hAnsi="Arial" w:cs="Arial"/>
          <w:color w:val="000000"/>
          <w:sz w:val="22"/>
          <w:lang w:val="es-CO"/>
        </w:rPr>
        <w:t>con</w:t>
      </w:r>
      <w:r w:rsidR="00084278" w:rsidRPr="00D36A8C">
        <w:rPr>
          <w:rFonts w:ascii="Arial" w:eastAsia="Calibri" w:hAnsi="Arial" w:cs="Arial"/>
          <w:color w:val="000000"/>
          <w:sz w:val="22"/>
          <w:lang w:val="es-CO"/>
        </w:rPr>
        <w:t xml:space="preserve"> lo anterior, el método de ponderación se determinará con los rangos del siguiente cuadro</w:t>
      </w:r>
      <w:r w:rsidR="003A02EB" w:rsidRPr="003A02EB">
        <w:rPr>
          <w:rFonts w:ascii="Arial" w:eastAsia="Calibri" w:hAnsi="Arial" w:cs="Arial"/>
          <w:sz w:val="22"/>
        </w:rPr>
        <w:t xml:space="preserve">: </w:t>
      </w:r>
    </w:p>
    <w:p w14:paraId="19FE9A4E" w14:textId="77777777" w:rsidR="00084278" w:rsidRPr="003A02EB" w:rsidRDefault="00084278" w:rsidP="00084278">
      <w:pPr>
        <w:spacing w:before="120" w:after="120"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972"/>
        <w:gridCol w:w="2503"/>
      </w:tblGrid>
      <w:tr w:rsidR="003A02EB" w:rsidRPr="003A02EB" w14:paraId="032E9EEE" w14:textId="77777777" w:rsidTr="003A02EB">
        <w:trPr>
          <w:trHeight w:val="20"/>
          <w:tblHeader/>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vAlign w:val="center"/>
            <w:hideMark/>
          </w:tcPr>
          <w:p w14:paraId="32A65029" w14:textId="77777777" w:rsidR="003A02EB" w:rsidRPr="003A02EB" w:rsidRDefault="003A02EB" w:rsidP="003A02EB">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Rango</w:t>
            </w:r>
            <w:r w:rsidRPr="003A02EB">
              <w:rPr>
                <w:rFonts w:ascii="Arial" w:eastAsia="Arial,Calibri" w:hAnsi="Arial" w:cs="Arial"/>
                <w:b/>
                <w:bCs/>
                <w:color w:val="FFFFFF"/>
                <w:sz w:val="20"/>
                <w:szCs w:val="20"/>
                <w:lang w:val="es-CO"/>
              </w:rPr>
              <w:t xml:space="preserve"> </w:t>
            </w:r>
            <w:r w:rsidRPr="003A02EB">
              <w:rPr>
                <w:rFonts w:ascii="Arial" w:eastAsia="Calibri" w:hAnsi="Arial" w:cs="Arial"/>
                <w:b/>
                <w:bCs/>
                <w:color w:val="FFFFFF"/>
                <w:sz w:val="20"/>
                <w:szCs w:val="20"/>
                <w:lang w:val="es-CO"/>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vAlign w:val="center"/>
            <w:hideMark/>
          </w:tcPr>
          <w:p w14:paraId="315DF722" w14:textId="77777777" w:rsidR="003A02EB" w:rsidRPr="003A02EB" w:rsidRDefault="003A02EB" w:rsidP="003A02EB">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vAlign w:val="center"/>
            <w:hideMark/>
          </w:tcPr>
          <w:p w14:paraId="7CDE9CB4" w14:textId="77777777" w:rsidR="003A02EB" w:rsidRPr="003A02EB" w:rsidRDefault="003A02EB" w:rsidP="003A02EB">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Método</w:t>
            </w:r>
          </w:p>
        </w:tc>
      </w:tr>
      <w:tr w:rsidR="003A02EB" w:rsidRPr="003A02EB" w14:paraId="7929E0A6" w14:textId="77777777" w:rsidTr="00C65F1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2E93B58D"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73A8B8B0"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2AC2404F"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Mediana con valor absoluto</w:t>
            </w:r>
          </w:p>
        </w:tc>
      </w:tr>
      <w:tr w:rsidR="003A02EB" w:rsidRPr="003A02EB" w14:paraId="10F3AEEB" w14:textId="77777777" w:rsidTr="00C65F11">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69C4B38"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44FE9A8E"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Arial,Times New Roman" w:hAnsi="Arial" w:cs="Arial"/>
                <w:sz w:val="20"/>
                <w:szCs w:val="20"/>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67C130C"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Media geométrica</w:t>
            </w:r>
          </w:p>
        </w:tc>
      </w:tr>
      <w:tr w:rsidR="003A02EB" w:rsidRPr="003A02EB" w14:paraId="26E0FE96" w14:textId="77777777" w:rsidTr="00C65F1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6F8A3513"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24231397"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70B33ABB"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Media aritmética baja</w:t>
            </w:r>
          </w:p>
        </w:tc>
      </w:tr>
      <w:tr w:rsidR="003A02EB" w:rsidRPr="003A02EB" w14:paraId="7F08D7D9" w14:textId="77777777" w:rsidTr="00C65F11">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209394A4"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58BA0A61"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742D0AEB"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Menor valor</w:t>
            </w:r>
          </w:p>
        </w:tc>
      </w:tr>
    </w:tbl>
    <w:p w14:paraId="5BE3E2EB" w14:textId="77777777" w:rsidR="00CD4748" w:rsidRDefault="00CD4748" w:rsidP="003A02EB">
      <w:pPr>
        <w:spacing w:before="160" w:after="160" w:line="276" w:lineRule="auto"/>
        <w:ind w:firstLine="709"/>
        <w:jc w:val="both"/>
        <w:rPr>
          <w:rFonts w:ascii="Arial" w:hAnsi="Arial" w:cs="Arial"/>
          <w:color w:val="000000" w:themeColor="text1"/>
          <w:sz w:val="22"/>
        </w:rPr>
      </w:pPr>
    </w:p>
    <w:p w14:paraId="114D910D" w14:textId="5CBD056D" w:rsidR="003A02EB" w:rsidRPr="003A02EB" w:rsidRDefault="008437E8" w:rsidP="003A02EB">
      <w:pPr>
        <w:spacing w:before="160" w:after="160" w:line="276" w:lineRule="auto"/>
        <w:ind w:firstLine="709"/>
        <w:jc w:val="both"/>
        <w:rPr>
          <w:rFonts w:ascii="Arial" w:eastAsia="Calibri" w:hAnsi="Arial" w:cs="Arial"/>
          <w:sz w:val="22"/>
        </w:rPr>
      </w:pPr>
      <w:r>
        <w:rPr>
          <w:rFonts w:ascii="Arial" w:eastAsia="Calibri" w:hAnsi="Arial" w:cs="Arial"/>
          <w:sz w:val="22"/>
        </w:rPr>
        <w:t>S</w:t>
      </w:r>
      <w:r w:rsidR="003A02EB" w:rsidRPr="003A02EB">
        <w:rPr>
          <w:rFonts w:ascii="Arial" w:eastAsia="Calibri" w:hAnsi="Arial" w:cs="Arial"/>
          <w:sz w:val="22"/>
        </w:rPr>
        <w:t>e advierte que el documento tipo acudió a este valor -TRM- como el criterio de escogencia del método aleatorio para evaluar la experiencia de los proponentes, porque su definición no depende de la discrecionalidad de la administración pública en cualquiera de sus órdenes y niveles</w:t>
      </w:r>
      <w:r w:rsidR="00E55371">
        <w:rPr>
          <w:rFonts w:ascii="Arial" w:eastAsia="Calibri" w:hAnsi="Arial" w:cs="Arial"/>
          <w:sz w:val="22"/>
        </w:rPr>
        <w:t>.</w:t>
      </w:r>
      <w:r w:rsidR="003A02EB" w:rsidRPr="003A02EB">
        <w:rPr>
          <w:rFonts w:ascii="Arial" w:eastAsia="Calibri" w:hAnsi="Arial" w:cs="Arial"/>
          <w:sz w:val="22"/>
        </w:rPr>
        <w:t xml:space="preserve"> </w:t>
      </w:r>
      <w:r w:rsidR="00E55371">
        <w:rPr>
          <w:rFonts w:ascii="Arial" w:eastAsia="Calibri" w:hAnsi="Arial" w:cs="Arial"/>
          <w:sz w:val="22"/>
        </w:rPr>
        <w:t>A</w:t>
      </w:r>
      <w:r w:rsidR="003A02EB" w:rsidRPr="003A02EB">
        <w:rPr>
          <w:rFonts w:ascii="Arial" w:eastAsia="Calibri" w:hAnsi="Arial" w:cs="Arial"/>
          <w:sz w:val="22"/>
        </w:rPr>
        <w:t>unque se establece y certifica por parte de la</w:t>
      </w:r>
      <w:r w:rsidR="00AB27FD">
        <w:rPr>
          <w:rFonts w:ascii="Arial" w:eastAsia="Calibri" w:hAnsi="Arial" w:cs="Arial"/>
          <w:sz w:val="22"/>
        </w:rPr>
        <w:t xml:space="preserve"> Superintendencia Financiera</w:t>
      </w:r>
      <w:r w:rsidR="00BC7DCD">
        <w:rPr>
          <w:rFonts w:ascii="Arial" w:eastAsia="Calibri" w:hAnsi="Arial" w:cs="Arial"/>
          <w:sz w:val="22"/>
        </w:rPr>
        <w:t>, su</w:t>
      </w:r>
      <w:r w:rsidR="003A02EB" w:rsidRPr="003A02EB">
        <w:rPr>
          <w:rFonts w:ascii="Arial" w:eastAsia="Calibri" w:hAnsi="Arial" w:cs="Arial"/>
          <w:sz w:val="22"/>
        </w:rPr>
        <w:t xml:space="preserve"> determinación depende de las dinámicas del mercado de divisas, garantizando una e</w:t>
      </w:r>
      <w:r w:rsidR="00AB27FD">
        <w:rPr>
          <w:rFonts w:ascii="Arial" w:eastAsia="Calibri" w:hAnsi="Arial" w:cs="Arial"/>
          <w:sz w:val="22"/>
        </w:rPr>
        <w:t xml:space="preserve">lección </w:t>
      </w:r>
      <w:r w:rsidR="003A02EB" w:rsidRPr="003A02EB">
        <w:rPr>
          <w:rFonts w:ascii="Arial" w:eastAsia="Calibri" w:hAnsi="Arial" w:cs="Arial"/>
          <w:sz w:val="22"/>
        </w:rPr>
        <w:t>aleatoria del método de ponderación aplicable para tal propósito, lo que dota de transparencia</w:t>
      </w:r>
      <w:r w:rsidR="00256EDF">
        <w:rPr>
          <w:rFonts w:ascii="Arial" w:eastAsia="Calibri" w:hAnsi="Arial" w:cs="Arial"/>
          <w:sz w:val="22"/>
        </w:rPr>
        <w:t xml:space="preserve"> y selección objetiva</w:t>
      </w:r>
      <w:r w:rsidR="003A02EB" w:rsidRPr="003A02EB">
        <w:rPr>
          <w:rFonts w:ascii="Arial" w:eastAsia="Calibri" w:hAnsi="Arial" w:cs="Arial"/>
          <w:sz w:val="22"/>
        </w:rPr>
        <w:t xml:space="preserve"> la evaluación de las ofertas. </w:t>
      </w:r>
    </w:p>
    <w:p w14:paraId="67C264E1" w14:textId="26473B06" w:rsidR="003A02EB" w:rsidRPr="003A02EB" w:rsidRDefault="003A02EB" w:rsidP="003A02EB">
      <w:pPr>
        <w:spacing w:before="120" w:after="120" w:line="276" w:lineRule="auto"/>
        <w:ind w:firstLine="709"/>
        <w:jc w:val="both"/>
        <w:rPr>
          <w:rFonts w:ascii="Arial" w:eastAsia="Calibri" w:hAnsi="Arial" w:cs="Arial"/>
          <w:sz w:val="22"/>
        </w:rPr>
      </w:pPr>
      <w:r w:rsidRPr="003A02EB">
        <w:rPr>
          <w:rFonts w:ascii="Arial" w:eastAsia="Calibri" w:hAnsi="Arial" w:cs="Arial"/>
          <w:sz w:val="22"/>
        </w:rPr>
        <w:t>Con respecto a la determinación del método de ponderación</w:t>
      </w:r>
      <w:r w:rsidR="00CD4748">
        <w:rPr>
          <w:rFonts w:ascii="Arial" w:eastAsia="Calibri" w:hAnsi="Arial" w:cs="Arial"/>
          <w:sz w:val="22"/>
        </w:rPr>
        <w:t xml:space="preserve"> de propuestas</w:t>
      </w:r>
      <w:r w:rsidRPr="003A02EB">
        <w:rPr>
          <w:rFonts w:ascii="Arial" w:eastAsia="Calibri" w:hAnsi="Arial" w:cs="Arial"/>
          <w:sz w:val="22"/>
        </w:rPr>
        <w:t>, para los procesos de contratación estructurados por lotes</w:t>
      </w:r>
      <w:r w:rsidR="00BC7DCD">
        <w:rPr>
          <w:rFonts w:ascii="Arial" w:eastAsia="Calibri" w:hAnsi="Arial" w:cs="Arial"/>
          <w:sz w:val="22"/>
        </w:rPr>
        <w:t>,</w:t>
      </w:r>
      <w:r w:rsidRPr="003A02EB">
        <w:rPr>
          <w:rFonts w:ascii="Arial" w:eastAsia="Calibri" w:hAnsi="Arial" w:cs="Arial"/>
          <w:sz w:val="22"/>
        </w:rPr>
        <w:t xml:space="preserve"> </w:t>
      </w:r>
      <w:r w:rsidRPr="00FD39C2">
        <w:rPr>
          <w:rFonts w:ascii="Arial" w:eastAsia="Calibri" w:hAnsi="Arial" w:cs="Arial"/>
          <w:sz w:val="22"/>
        </w:rPr>
        <w:t>el numeral 4.1.4. del documento base</w:t>
      </w:r>
      <w:r w:rsidR="00FD39C2">
        <w:rPr>
          <w:rFonts w:ascii="Arial" w:eastAsia="Calibri" w:hAnsi="Arial" w:cs="Arial"/>
          <w:sz w:val="22"/>
        </w:rPr>
        <w:t>,</w:t>
      </w:r>
      <w:r w:rsidR="00BC7DCD">
        <w:rPr>
          <w:rFonts w:ascii="Arial" w:eastAsia="Calibri" w:hAnsi="Arial" w:cs="Arial"/>
          <w:sz w:val="22"/>
        </w:rPr>
        <w:t xml:space="preserve"> </w:t>
      </w:r>
      <w:r w:rsidR="00FD39C2">
        <w:rPr>
          <w:rFonts w:ascii="Arial" w:eastAsia="Calibri" w:hAnsi="Arial" w:cs="Arial"/>
          <w:sz w:val="22"/>
        </w:rPr>
        <w:t>dispone</w:t>
      </w:r>
      <w:r w:rsidR="00CD4748">
        <w:rPr>
          <w:rFonts w:ascii="Arial" w:eastAsia="Calibri" w:hAnsi="Arial" w:cs="Arial"/>
          <w:sz w:val="22"/>
        </w:rPr>
        <w:t xml:space="preserve"> la siguiente regla</w:t>
      </w:r>
      <w:r w:rsidRPr="003A02EB">
        <w:rPr>
          <w:rFonts w:ascii="Arial" w:eastAsia="Calibri" w:hAnsi="Arial" w:cs="Arial"/>
          <w:sz w:val="22"/>
        </w:rPr>
        <w:t>:</w:t>
      </w:r>
    </w:p>
    <w:p w14:paraId="27A4FEAE" w14:textId="77777777" w:rsidR="003A02EB" w:rsidRPr="003A02EB" w:rsidRDefault="003A02EB" w:rsidP="003A02EB">
      <w:pPr>
        <w:spacing w:after="160" w:line="259" w:lineRule="auto"/>
        <w:ind w:left="680" w:right="680"/>
        <w:jc w:val="both"/>
        <w:rPr>
          <w:rFonts w:ascii="Arial" w:eastAsia="Calibri" w:hAnsi="Arial" w:cs="Arial"/>
          <w:color w:val="000000"/>
          <w:sz w:val="20"/>
          <w:szCs w:val="20"/>
        </w:rPr>
      </w:pPr>
      <w:r w:rsidRPr="003A02EB">
        <w:rPr>
          <w:rFonts w:ascii="Arial" w:eastAsia="Calibri" w:hAnsi="Arial" w:cs="Arial"/>
          <w:color w:val="000000"/>
          <w:sz w:val="20"/>
          <w:szCs w:val="20"/>
        </w:rPr>
        <w:t>[...]</w:t>
      </w:r>
    </w:p>
    <w:p w14:paraId="05D5E80E" w14:textId="67C10132" w:rsidR="00FD39C2" w:rsidRPr="003A02EB" w:rsidRDefault="003A02EB" w:rsidP="00FD39C2">
      <w:pPr>
        <w:spacing w:after="160" w:line="259" w:lineRule="auto"/>
        <w:ind w:left="680" w:right="680"/>
        <w:jc w:val="both"/>
        <w:rPr>
          <w:rFonts w:ascii="Arial" w:eastAsia="Calibri" w:hAnsi="Arial" w:cs="Arial"/>
          <w:color w:val="000000"/>
          <w:sz w:val="21"/>
          <w:szCs w:val="21"/>
        </w:rPr>
      </w:pPr>
      <w:r w:rsidRPr="00FD39C2">
        <w:rPr>
          <w:rFonts w:ascii="Arial" w:eastAsia="Calibri" w:hAnsi="Arial" w:cs="Arial"/>
          <w:color w:val="000000"/>
          <w:sz w:val="21"/>
          <w:szCs w:val="21"/>
        </w:rPr>
        <w:t>[En los procesos de contratación estructurados por lotes, la TRM definirá el método con el cual se asignará el puntaje para el primer lote o grupo a adjudicar, según el orden definido por la entidad. Para la adjudicación del segundo lote o grupo se tomará el siguiente método de acuerdo con la tabla anterior, en orden ascendente, y así sucesivamente; teniendo en cuenta que se reiniciará desde el primer método en caso de agotarse el último método]</w:t>
      </w:r>
    </w:p>
    <w:p w14:paraId="2F5BA373" w14:textId="4843B744" w:rsidR="003A02EB" w:rsidRPr="003A02EB" w:rsidRDefault="003A02EB" w:rsidP="003A02EB">
      <w:pPr>
        <w:spacing w:before="120" w:after="120" w:line="276" w:lineRule="auto"/>
        <w:ind w:firstLine="709"/>
        <w:jc w:val="both"/>
        <w:rPr>
          <w:rFonts w:ascii="Arial" w:eastAsia="Calibri" w:hAnsi="Arial" w:cs="Arial"/>
          <w:sz w:val="22"/>
        </w:rPr>
      </w:pPr>
      <w:r w:rsidRPr="003A02EB">
        <w:rPr>
          <w:rFonts w:ascii="Arial" w:eastAsia="Calibri" w:hAnsi="Arial" w:cs="Arial"/>
          <w:sz w:val="22"/>
        </w:rPr>
        <w:t>En este sentido, es necesario observar que para los procesos de contratación estructurados por lotes se establecieron</w:t>
      </w:r>
      <w:r w:rsidR="00CD4748">
        <w:rPr>
          <w:rFonts w:ascii="Arial" w:eastAsia="Calibri" w:hAnsi="Arial" w:cs="Arial"/>
          <w:sz w:val="22"/>
        </w:rPr>
        <w:t xml:space="preserve"> tres reglas básicas</w:t>
      </w:r>
      <w:r w:rsidRPr="003A02EB">
        <w:rPr>
          <w:rFonts w:ascii="Arial" w:eastAsia="Calibri" w:hAnsi="Arial" w:cs="Arial"/>
          <w:sz w:val="22"/>
        </w:rPr>
        <w:t>: i) para el primer lote, el método se asignará de acuerdo con la TRM</w:t>
      </w:r>
      <w:r w:rsidR="00256EDF">
        <w:rPr>
          <w:rFonts w:ascii="Arial" w:eastAsia="Calibri" w:hAnsi="Arial" w:cs="Arial"/>
          <w:sz w:val="22"/>
        </w:rPr>
        <w:t>, esto es, a la metodología que ya se explicó</w:t>
      </w:r>
      <w:r w:rsidRPr="003A02EB">
        <w:rPr>
          <w:rFonts w:ascii="Arial" w:eastAsia="Calibri" w:hAnsi="Arial" w:cs="Arial"/>
          <w:sz w:val="22"/>
        </w:rPr>
        <w:t xml:space="preserve">, ii) para la adjudicación del segundo lote se tomará el siguiente método en orden ascendente y así sucesivamente, de acuerdo con la tabla </w:t>
      </w:r>
      <w:r w:rsidR="00256EDF">
        <w:rPr>
          <w:rFonts w:ascii="Arial" w:eastAsia="Calibri" w:hAnsi="Arial" w:cs="Arial"/>
          <w:sz w:val="22"/>
        </w:rPr>
        <w:t xml:space="preserve">de métodos de ponderación </w:t>
      </w:r>
      <w:r w:rsidRPr="003A02EB">
        <w:rPr>
          <w:rFonts w:ascii="Arial" w:eastAsia="Calibri" w:hAnsi="Arial" w:cs="Arial"/>
          <w:sz w:val="22"/>
        </w:rPr>
        <w:t>y, iii) en caso de agotarse el último método se reiniciará desde el primer método</w:t>
      </w:r>
      <w:r w:rsidR="00CD4748">
        <w:rPr>
          <w:rFonts w:ascii="Arial" w:eastAsia="Calibri" w:hAnsi="Arial" w:cs="Arial"/>
          <w:sz w:val="22"/>
        </w:rPr>
        <w:t xml:space="preserve"> de la tabla</w:t>
      </w:r>
      <w:r w:rsidRPr="003A02EB">
        <w:rPr>
          <w:rFonts w:ascii="Arial" w:eastAsia="Calibri" w:hAnsi="Arial" w:cs="Arial"/>
          <w:sz w:val="22"/>
        </w:rPr>
        <w:t xml:space="preserve">. </w:t>
      </w:r>
    </w:p>
    <w:p w14:paraId="699A4B6A" w14:textId="47057EE2" w:rsidR="003A02EB" w:rsidRPr="003A02EB" w:rsidRDefault="00CD4748" w:rsidP="003A02EB">
      <w:pPr>
        <w:spacing w:before="120" w:after="120" w:line="276" w:lineRule="auto"/>
        <w:ind w:firstLine="709"/>
        <w:jc w:val="both"/>
        <w:rPr>
          <w:rFonts w:ascii="Arial" w:eastAsia="Calibri" w:hAnsi="Arial" w:cs="Arial"/>
          <w:sz w:val="22"/>
        </w:rPr>
      </w:pPr>
      <w:r>
        <w:rPr>
          <w:rFonts w:ascii="Arial" w:eastAsia="Calibri" w:hAnsi="Arial" w:cs="Arial"/>
          <w:sz w:val="22"/>
        </w:rPr>
        <w:lastRenderedPageBreak/>
        <w:t>Para mayor claridad, en</w:t>
      </w:r>
      <w:r w:rsidR="003A02EB" w:rsidRPr="003A02EB">
        <w:rPr>
          <w:rFonts w:ascii="Arial" w:eastAsia="Calibri" w:hAnsi="Arial" w:cs="Arial"/>
          <w:sz w:val="22"/>
        </w:rPr>
        <w:t xml:space="preserve"> la segunda columna de la tabla en mención, se asignó un número -del 1 al 4- para cada método de ponderación, tal y como se resalta a continuación: </w:t>
      </w:r>
    </w:p>
    <w:p w14:paraId="0606BCAF" w14:textId="15BCE3A5" w:rsidR="003A02EB" w:rsidRPr="003A02EB" w:rsidRDefault="003A02EB" w:rsidP="00AB27FD">
      <w:pPr>
        <w:spacing w:before="120" w:after="120"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972"/>
        <w:gridCol w:w="2503"/>
      </w:tblGrid>
      <w:tr w:rsidR="003A02EB" w:rsidRPr="003A02EB" w14:paraId="5EEEE134" w14:textId="77777777" w:rsidTr="003A02EB">
        <w:trPr>
          <w:trHeight w:val="20"/>
          <w:tblHeader/>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vAlign w:val="center"/>
            <w:hideMark/>
          </w:tcPr>
          <w:p w14:paraId="4B812771" w14:textId="77777777" w:rsidR="003A02EB" w:rsidRPr="003A02EB" w:rsidRDefault="003A02EB" w:rsidP="003A02EB">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Rango</w:t>
            </w:r>
            <w:r w:rsidRPr="003A02EB">
              <w:rPr>
                <w:rFonts w:ascii="Arial" w:eastAsia="Arial,Calibri" w:hAnsi="Arial" w:cs="Arial"/>
                <w:b/>
                <w:bCs/>
                <w:color w:val="FFFFFF"/>
                <w:sz w:val="20"/>
                <w:szCs w:val="20"/>
                <w:lang w:val="es-CO"/>
              </w:rPr>
              <w:t xml:space="preserve"> </w:t>
            </w:r>
            <w:r w:rsidRPr="003A02EB">
              <w:rPr>
                <w:rFonts w:ascii="Arial" w:eastAsia="Calibri" w:hAnsi="Arial" w:cs="Arial"/>
                <w:b/>
                <w:bCs/>
                <w:color w:val="FFFFFF"/>
                <w:sz w:val="20"/>
                <w:szCs w:val="20"/>
                <w:lang w:val="es-CO"/>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vAlign w:val="center"/>
            <w:hideMark/>
          </w:tcPr>
          <w:p w14:paraId="34D2F7C9" w14:textId="77777777" w:rsidR="003A02EB" w:rsidRPr="003A02EB" w:rsidRDefault="003A02EB" w:rsidP="003A02EB">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noProof/>
                <w:color w:val="FFFFFF"/>
                <w:sz w:val="20"/>
                <w:szCs w:val="20"/>
                <w:lang w:val="en-US"/>
              </w:rPr>
              <mc:AlternateContent>
                <mc:Choice Requires="wps">
                  <w:drawing>
                    <wp:anchor distT="0" distB="0" distL="114300" distR="114300" simplePos="0" relativeHeight="251661312" behindDoc="0" locked="0" layoutInCell="1" allowOverlap="1" wp14:anchorId="20196052" wp14:editId="0890E55C">
                      <wp:simplePos x="0" y="0"/>
                      <wp:positionH relativeFrom="column">
                        <wp:posOffset>-38100</wp:posOffset>
                      </wp:positionH>
                      <wp:positionV relativeFrom="paragraph">
                        <wp:posOffset>-17780</wp:posOffset>
                      </wp:positionV>
                      <wp:extent cx="561975" cy="1724025"/>
                      <wp:effectExtent l="0" t="0" r="9525" b="9525"/>
                      <wp:wrapNone/>
                      <wp:docPr id="5" name="Rectángulo 5"/>
                      <wp:cNvGraphicFramePr/>
                      <a:graphic xmlns:a="http://schemas.openxmlformats.org/drawingml/2006/main">
                        <a:graphicData uri="http://schemas.microsoft.com/office/word/2010/wordprocessingShape">
                          <wps:wsp>
                            <wps:cNvSpPr/>
                            <wps:spPr>
                              <a:xfrm>
                                <a:off x="0" y="0"/>
                                <a:ext cx="561975" cy="1724025"/>
                              </a:xfrm>
                              <a:prstGeom prst="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116CC" id="Rectángulo 5" o:spid="_x0000_s1026" style="position:absolute;margin-left:-3pt;margin-top:-1.4pt;width:44.25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" fillcolor="#5b9bd5" stroked="f">
                      <v:fill opacity="32896f"/>
                    </v:rect>
                  </w:pict>
                </mc:Fallback>
              </mc:AlternateContent>
            </w:r>
            <w:r w:rsidRPr="003A02EB">
              <w:rPr>
                <w:rFonts w:ascii="Arial" w:eastAsia="Calibri" w:hAnsi="Arial" w:cs="Arial"/>
                <w:b/>
                <w:bCs/>
                <w:color w:val="FFFFFF"/>
                <w:sz w:val="20"/>
                <w:szCs w:val="20"/>
                <w:lang w:val="es-CO"/>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vAlign w:val="center"/>
            <w:hideMark/>
          </w:tcPr>
          <w:p w14:paraId="1C78BCC7" w14:textId="77777777" w:rsidR="003A02EB" w:rsidRPr="003A02EB" w:rsidRDefault="003A02EB" w:rsidP="003A02EB">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Método</w:t>
            </w:r>
          </w:p>
        </w:tc>
      </w:tr>
      <w:tr w:rsidR="003A02EB" w:rsidRPr="003A02EB" w14:paraId="2041218C" w14:textId="77777777" w:rsidTr="00C65F1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0D42699A"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47D9E707"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0D80C639"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Mediana con valor absoluto</w:t>
            </w:r>
          </w:p>
        </w:tc>
      </w:tr>
      <w:tr w:rsidR="003A02EB" w:rsidRPr="003A02EB" w14:paraId="067BB39F" w14:textId="77777777" w:rsidTr="00C65F11">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7DB0AB1B"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7DA1344C"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Arial,Times New Roman" w:hAnsi="Arial" w:cs="Arial"/>
                <w:sz w:val="20"/>
                <w:szCs w:val="20"/>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2C6053CD" w14:textId="77777777" w:rsidR="003A02EB" w:rsidRPr="003A02EB" w:rsidRDefault="003A02EB" w:rsidP="003A02EB">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Media geométrica</w:t>
            </w:r>
          </w:p>
        </w:tc>
      </w:tr>
      <w:tr w:rsidR="003A02EB" w:rsidRPr="003A02EB" w14:paraId="0D25D8F8" w14:textId="77777777" w:rsidTr="00C65F11">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52A68D90"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5A91ACFF"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21A68AC1"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Media aritmética baja</w:t>
            </w:r>
          </w:p>
        </w:tc>
      </w:tr>
      <w:tr w:rsidR="003A02EB" w:rsidRPr="003A02EB" w14:paraId="4771A4F7" w14:textId="77777777" w:rsidTr="00C65F11">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0001672F"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50E01552"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3F9EBAD0" w14:textId="77777777" w:rsidR="003A02EB" w:rsidRPr="003A02EB" w:rsidRDefault="003A02EB" w:rsidP="003A02EB">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Menor valor</w:t>
            </w:r>
          </w:p>
        </w:tc>
      </w:tr>
    </w:tbl>
    <w:p w14:paraId="72394F6F" w14:textId="3CB7D2D0" w:rsidR="009C3794" w:rsidRDefault="009C3794" w:rsidP="00745E02">
      <w:pPr>
        <w:spacing w:before="120" w:after="120" w:line="276" w:lineRule="auto"/>
        <w:jc w:val="both"/>
        <w:rPr>
          <w:rFonts w:ascii="Arial" w:eastAsia="Calibri" w:hAnsi="Arial" w:cs="Arial"/>
          <w:sz w:val="22"/>
        </w:rPr>
      </w:pPr>
    </w:p>
    <w:p w14:paraId="731F4D4D" w14:textId="5A861C62" w:rsidR="00634CC6" w:rsidRDefault="00634CC6" w:rsidP="003567B6">
      <w:pPr>
        <w:spacing w:before="120" w:after="120" w:line="276" w:lineRule="auto"/>
        <w:ind w:left="709" w:right="709"/>
        <w:jc w:val="both"/>
        <w:rPr>
          <w:rFonts w:ascii="Arial" w:eastAsia="Calibri" w:hAnsi="Arial" w:cs="Arial"/>
          <w:sz w:val="22"/>
        </w:rPr>
      </w:pPr>
      <w:r w:rsidRPr="00634CC6">
        <w:rPr>
          <w:rFonts w:ascii="Arial" w:eastAsia="Calibri" w:hAnsi="Arial" w:cs="Arial"/>
          <w:color w:val="000000"/>
          <w:sz w:val="21"/>
          <w:szCs w:val="21"/>
          <w:lang w:val="es-CO"/>
        </w:rPr>
        <w:t>En todos los casos se tendrá en cuenta hasta el séptimo (7°) decimal del valor obtenido como puntaje y las fórmulas se aplicarán con las propuestas que no han sido rechazadas y se encuentran válidas</w:t>
      </w:r>
      <w:r>
        <w:rPr>
          <w:rFonts w:ascii="Arial" w:eastAsia="Calibri" w:hAnsi="Arial" w:cs="Arial"/>
          <w:color w:val="000000"/>
          <w:sz w:val="21"/>
          <w:szCs w:val="21"/>
          <w:lang w:val="es-CO"/>
        </w:rPr>
        <w:t>.</w:t>
      </w:r>
    </w:p>
    <w:p w14:paraId="6DD264AE" w14:textId="65FBCA1E" w:rsidR="003A02EB" w:rsidRPr="003A02EB" w:rsidRDefault="003A02EB" w:rsidP="003A02EB">
      <w:pPr>
        <w:spacing w:before="120" w:after="120" w:line="276" w:lineRule="auto"/>
        <w:ind w:firstLine="709"/>
        <w:jc w:val="both"/>
        <w:rPr>
          <w:rFonts w:ascii="Arial" w:eastAsia="Calibri" w:hAnsi="Arial" w:cs="Arial"/>
          <w:sz w:val="22"/>
        </w:rPr>
      </w:pPr>
      <w:r w:rsidRPr="003A02EB">
        <w:rPr>
          <w:rFonts w:ascii="Arial" w:eastAsia="Calibri" w:hAnsi="Arial" w:cs="Arial"/>
          <w:sz w:val="22"/>
        </w:rPr>
        <w:t xml:space="preserve">La asignación de este número en la tabla tiene como objetivo principal que las entidades determinen el orden ascendente al que se refiere la segunda regla, entendiendo orden ascendente como aquel que corresponde a los números que siguen una secuencia de menor a mayor. </w:t>
      </w:r>
      <w:r w:rsidR="008D11FF">
        <w:rPr>
          <w:rFonts w:ascii="Arial" w:eastAsia="Calibri" w:hAnsi="Arial" w:cs="Arial"/>
          <w:sz w:val="22"/>
        </w:rPr>
        <w:t xml:space="preserve">Es decir, desde una interpretación </w:t>
      </w:r>
      <w:r w:rsidR="00CD4748">
        <w:rPr>
          <w:rFonts w:ascii="Arial" w:eastAsia="Calibri" w:hAnsi="Arial" w:cs="Arial"/>
          <w:sz w:val="22"/>
        </w:rPr>
        <w:t xml:space="preserve">y significado </w:t>
      </w:r>
      <w:r w:rsidR="00D36A8C">
        <w:rPr>
          <w:rFonts w:ascii="Arial" w:eastAsia="Calibri" w:hAnsi="Arial" w:cs="Arial"/>
          <w:sz w:val="22"/>
        </w:rPr>
        <w:t>de las palabras</w:t>
      </w:r>
      <w:r w:rsidR="009C3794">
        <w:rPr>
          <w:rStyle w:val="Refdenotaalpie"/>
          <w:rFonts w:ascii="Arial" w:eastAsia="Calibri" w:hAnsi="Arial" w:cs="Arial"/>
          <w:sz w:val="22"/>
        </w:rPr>
        <w:footnoteReference w:id="10"/>
      </w:r>
      <w:r w:rsidR="00D36A8C">
        <w:rPr>
          <w:rFonts w:ascii="Arial" w:eastAsia="Calibri" w:hAnsi="Arial" w:cs="Arial"/>
          <w:sz w:val="22"/>
        </w:rPr>
        <w:t xml:space="preserve">, corresponde al número mayor dentro de la secuencia de los métodos </w:t>
      </w:r>
      <w:r w:rsidR="00F93C66">
        <w:rPr>
          <w:rFonts w:ascii="Arial" w:eastAsia="Calibri" w:hAnsi="Arial" w:cs="Arial"/>
          <w:sz w:val="22"/>
        </w:rPr>
        <w:t>a utilizar para la ponderaci</w:t>
      </w:r>
      <w:r w:rsidR="00256EDF">
        <w:rPr>
          <w:rFonts w:ascii="Arial" w:eastAsia="Calibri" w:hAnsi="Arial" w:cs="Arial"/>
          <w:sz w:val="22"/>
        </w:rPr>
        <w:t xml:space="preserve">ón, y no propiamente desde su ubicación dentro del cuadro ni mucho menos por el rango. </w:t>
      </w:r>
      <w:r w:rsidR="00F93C66">
        <w:rPr>
          <w:rFonts w:ascii="Arial" w:eastAsia="Calibri" w:hAnsi="Arial" w:cs="Arial"/>
          <w:sz w:val="22"/>
        </w:rPr>
        <w:t xml:space="preserve"> </w:t>
      </w:r>
    </w:p>
    <w:p w14:paraId="3B6D55F5" w14:textId="0785DE08" w:rsidR="003A02EB" w:rsidRPr="003A02EB" w:rsidRDefault="00EF2829" w:rsidP="003A02EB">
      <w:pPr>
        <w:spacing w:before="120" w:after="120" w:line="276" w:lineRule="auto"/>
        <w:ind w:firstLine="709"/>
        <w:jc w:val="both"/>
        <w:rPr>
          <w:rFonts w:ascii="Arial" w:eastAsia="Calibri" w:hAnsi="Arial" w:cs="Arial"/>
          <w:sz w:val="22"/>
        </w:rPr>
      </w:pPr>
      <w:r>
        <w:rPr>
          <w:rFonts w:ascii="Arial" w:eastAsia="Calibri" w:hAnsi="Arial" w:cs="Arial"/>
          <w:sz w:val="22"/>
        </w:rPr>
        <w:t>Teniendo en cuenta esta explicación</w:t>
      </w:r>
      <w:r w:rsidR="003A02EB" w:rsidRPr="003A02EB">
        <w:rPr>
          <w:rFonts w:ascii="Arial" w:eastAsia="Calibri" w:hAnsi="Arial" w:cs="Arial"/>
          <w:sz w:val="22"/>
        </w:rPr>
        <w:t xml:space="preserve">, se tiene que para el primer lote la entidad asignó el método de </w:t>
      </w:r>
      <w:r w:rsidR="00F93C66">
        <w:rPr>
          <w:rFonts w:ascii="Arial" w:eastAsia="Calibri" w:hAnsi="Arial" w:cs="Arial"/>
          <w:sz w:val="22"/>
        </w:rPr>
        <w:t xml:space="preserve">mediana con valor absoluto </w:t>
      </w:r>
      <w:r w:rsidR="003A02EB" w:rsidRPr="003A02EB">
        <w:rPr>
          <w:rFonts w:ascii="Arial" w:eastAsia="Calibri" w:hAnsi="Arial" w:cs="Arial"/>
          <w:sz w:val="22"/>
        </w:rPr>
        <w:t>de acuerdo con la TRM, por lo que para el segundo lote se debería seguir la regla y tomar el siguiente método en orden ascendente, y así sucesivamente. Es decir, al segu</w:t>
      </w:r>
      <w:r w:rsidR="000C5A1F">
        <w:rPr>
          <w:rFonts w:ascii="Arial" w:eastAsia="Calibri" w:hAnsi="Arial" w:cs="Arial"/>
          <w:sz w:val="22"/>
        </w:rPr>
        <w:t>ndo lote le corresponde la media geométrica</w:t>
      </w:r>
      <w:r w:rsidR="003A02EB" w:rsidRPr="003A02EB">
        <w:rPr>
          <w:rFonts w:ascii="Arial" w:eastAsia="Calibri" w:hAnsi="Arial" w:cs="Arial"/>
          <w:sz w:val="22"/>
        </w:rPr>
        <w:t xml:space="preserve">, esto es, el </w:t>
      </w:r>
      <w:r w:rsidR="000C5A1F">
        <w:rPr>
          <w:rFonts w:ascii="Arial" w:eastAsia="Calibri" w:hAnsi="Arial" w:cs="Arial"/>
          <w:sz w:val="22"/>
        </w:rPr>
        <w:t>método número dos. El tercer lote le corresponde</w:t>
      </w:r>
      <w:r w:rsidR="003A02EB" w:rsidRPr="003A02EB">
        <w:rPr>
          <w:rFonts w:ascii="Arial" w:eastAsia="Calibri" w:hAnsi="Arial" w:cs="Arial"/>
          <w:sz w:val="22"/>
        </w:rPr>
        <w:t xml:space="preserve"> el método</w:t>
      </w:r>
      <w:r w:rsidR="000C5A1F">
        <w:rPr>
          <w:rFonts w:ascii="Arial" w:eastAsia="Calibri" w:hAnsi="Arial" w:cs="Arial"/>
          <w:sz w:val="22"/>
        </w:rPr>
        <w:t xml:space="preserve"> media aritmética baja</w:t>
      </w:r>
      <w:r w:rsidR="003A02EB" w:rsidRPr="003A02EB">
        <w:rPr>
          <w:rFonts w:ascii="Arial" w:eastAsia="Calibri" w:hAnsi="Arial" w:cs="Arial"/>
          <w:sz w:val="22"/>
        </w:rPr>
        <w:t xml:space="preserve">, es decir, el </w:t>
      </w:r>
      <w:r w:rsidR="000C5A1F">
        <w:rPr>
          <w:rFonts w:ascii="Arial" w:eastAsia="Calibri" w:hAnsi="Arial" w:cs="Arial"/>
          <w:sz w:val="22"/>
        </w:rPr>
        <w:t xml:space="preserve">tercer método; </w:t>
      </w:r>
      <w:proofErr w:type="gramStart"/>
      <w:r w:rsidR="000C5A1F">
        <w:rPr>
          <w:rFonts w:ascii="Arial" w:eastAsia="Calibri" w:hAnsi="Arial" w:cs="Arial"/>
          <w:sz w:val="22"/>
        </w:rPr>
        <w:t>y</w:t>
      </w:r>
      <w:proofErr w:type="gramEnd"/>
      <w:r w:rsidR="000C5A1F">
        <w:rPr>
          <w:rFonts w:ascii="Arial" w:eastAsia="Calibri" w:hAnsi="Arial" w:cs="Arial"/>
          <w:sz w:val="22"/>
        </w:rPr>
        <w:t xml:space="preserve"> por último, el cuarto lote le corresponde el método de menor valor. </w:t>
      </w:r>
      <w:r w:rsidR="003A02EB" w:rsidRPr="003A02EB">
        <w:rPr>
          <w:rFonts w:ascii="Arial" w:eastAsia="Calibri" w:hAnsi="Arial" w:cs="Arial"/>
          <w:sz w:val="22"/>
        </w:rPr>
        <w:t xml:space="preserve"> </w:t>
      </w:r>
    </w:p>
    <w:p w14:paraId="6C875D76" w14:textId="22790DEB" w:rsidR="003A02EB" w:rsidRPr="003A02EB" w:rsidRDefault="003A02EB" w:rsidP="003A02EB">
      <w:pPr>
        <w:spacing w:before="120" w:after="120" w:line="276" w:lineRule="auto"/>
        <w:ind w:firstLine="709"/>
        <w:jc w:val="both"/>
        <w:rPr>
          <w:rFonts w:ascii="Arial" w:eastAsia="Calibri" w:hAnsi="Arial" w:cs="Arial"/>
          <w:sz w:val="22"/>
        </w:rPr>
      </w:pPr>
      <w:r w:rsidRPr="003A02EB">
        <w:rPr>
          <w:rFonts w:ascii="Arial" w:eastAsia="Calibri" w:hAnsi="Arial" w:cs="Arial"/>
          <w:sz w:val="22"/>
        </w:rPr>
        <w:t>Finalmente, dado que en es</w:t>
      </w:r>
      <w:r w:rsidR="008D11FF">
        <w:rPr>
          <w:rFonts w:ascii="Arial" w:eastAsia="Calibri" w:hAnsi="Arial" w:cs="Arial"/>
          <w:sz w:val="22"/>
        </w:rPr>
        <w:t>te caso</w:t>
      </w:r>
      <w:r w:rsidR="00F93C66">
        <w:rPr>
          <w:rFonts w:ascii="Arial" w:eastAsia="Calibri" w:hAnsi="Arial" w:cs="Arial"/>
          <w:sz w:val="22"/>
        </w:rPr>
        <w:t xml:space="preserve"> el proceso se puede estructurar</w:t>
      </w:r>
      <w:r w:rsidR="008D11FF">
        <w:rPr>
          <w:rFonts w:ascii="Arial" w:eastAsia="Calibri" w:hAnsi="Arial" w:cs="Arial"/>
          <w:sz w:val="22"/>
        </w:rPr>
        <w:t xml:space="preserve"> en m</w:t>
      </w:r>
      <w:r w:rsidR="00F93C66">
        <w:rPr>
          <w:rFonts w:ascii="Arial" w:eastAsia="Calibri" w:hAnsi="Arial" w:cs="Arial"/>
          <w:sz w:val="22"/>
        </w:rPr>
        <w:t>ás de 4 lot</w:t>
      </w:r>
      <w:r w:rsidR="008D11FF">
        <w:rPr>
          <w:rFonts w:ascii="Arial" w:eastAsia="Calibri" w:hAnsi="Arial" w:cs="Arial"/>
          <w:sz w:val="22"/>
        </w:rPr>
        <w:t xml:space="preserve">es, </w:t>
      </w:r>
      <w:r w:rsidRPr="003A02EB">
        <w:rPr>
          <w:rFonts w:ascii="Arial" w:eastAsia="Calibri" w:hAnsi="Arial" w:cs="Arial"/>
          <w:sz w:val="22"/>
        </w:rPr>
        <w:t xml:space="preserve">debe aplicarse la regla según la cual «se reiniciará desde el primer método en caso </w:t>
      </w:r>
      <w:r w:rsidRPr="003A02EB">
        <w:rPr>
          <w:rFonts w:ascii="Arial" w:eastAsia="Calibri" w:hAnsi="Arial" w:cs="Arial"/>
          <w:sz w:val="22"/>
        </w:rPr>
        <w:lastRenderedPageBreak/>
        <w:t xml:space="preserve">de agotarse el último método», por lo que al </w:t>
      </w:r>
      <w:r w:rsidR="000C5A1F">
        <w:rPr>
          <w:rFonts w:ascii="Arial" w:eastAsia="Calibri" w:hAnsi="Arial" w:cs="Arial"/>
          <w:sz w:val="22"/>
        </w:rPr>
        <w:t xml:space="preserve">quinto </w:t>
      </w:r>
      <w:r w:rsidRPr="003A02EB">
        <w:rPr>
          <w:rFonts w:ascii="Arial" w:eastAsia="Calibri" w:hAnsi="Arial" w:cs="Arial"/>
          <w:sz w:val="22"/>
        </w:rPr>
        <w:t>lote le correspondería el método de me</w:t>
      </w:r>
      <w:r w:rsidR="000C5A1F">
        <w:rPr>
          <w:rFonts w:ascii="Arial" w:eastAsia="Calibri" w:hAnsi="Arial" w:cs="Arial"/>
          <w:sz w:val="22"/>
        </w:rPr>
        <w:t xml:space="preserve">diana con valor absoluto, al sexto </w:t>
      </w:r>
      <w:r w:rsidRPr="003A02EB">
        <w:rPr>
          <w:rFonts w:ascii="Arial" w:eastAsia="Calibri" w:hAnsi="Arial" w:cs="Arial"/>
          <w:sz w:val="22"/>
        </w:rPr>
        <w:t xml:space="preserve">lote el método de media geométrica, al </w:t>
      </w:r>
      <w:r w:rsidR="000C5A1F">
        <w:rPr>
          <w:rFonts w:ascii="Arial" w:eastAsia="Calibri" w:hAnsi="Arial" w:cs="Arial"/>
          <w:sz w:val="22"/>
        </w:rPr>
        <w:t xml:space="preserve">séptimo </w:t>
      </w:r>
      <w:r w:rsidRPr="003A02EB">
        <w:rPr>
          <w:rFonts w:ascii="Arial" w:eastAsia="Calibri" w:hAnsi="Arial" w:cs="Arial"/>
          <w:sz w:val="22"/>
        </w:rPr>
        <w:t xml:space="preserve">lote el método </w:t>
      </w:r>
      <w:r w:rsidR="000C5A1F">
        <w:rPr>
          <w:rFonts w:ascii="Arial" w:eastAsia="Calibri" w:hAnsi="Arial" w:cs="Arial"/>
          <w:sz w:val="22"/>
        </w:rPr>
        <w:t xml:space="preserve">de media aritmética baja y, así sucesivamente. </w:t>
      </w:r>
    </w:p>
    <w:p w14:paraId="0DCB767B" w14:textId="77777777" w:rsidR="00FB0D40" w:rsidRPr="00B57F79" w:rsidRDefault="00FB0D40" w:rsidP="002F4BC7">
      <w:pPr>
        <w:spacing w:line="276" w:lineRule="auto"/>
        <w:jc w:val="both"/>
        <w:rPr>
          <w:rFonts w:ascii="Arial" w:hAnsi="Arial" w:cs="Arial"/>
          <w:sz w:val="22"/>
          <w:lang w:val="es-CO"/>
        </w:rPr>
      </w:pPr>
    </w:p>
    <w:p w14:paraId="5F15466E" w14:textId="77777777" w:rsidR="00904CD9" w:rsidRPr="00B57F79" w:rsidRDefault="00904CD9" w:rsidP="00904CD9">
      <w:pPr>
        <w:pStyle w:val="Prrafodelista"/>
        <w:numPr>
          <w:ilvl w:val="0"/>
          <w:numId w:val="6"/>
        </w:numPr>
        <w:tabs>
          <w:tab w:val="left" w:pos="284"/>
        </w:tabs>
        <w:spacing w:line="276" w:lineRule="auto"/>
        <w:ind w:left="0" w:firstLine="0"/>
        <w:jc w:val="both"/>
        <w:rPr>
          <w:rFonts w:ascii="Arial" w:eastAsia="Calibri" w:hAnsi="Arial" w:cs="Arial"/>
          <w:sz w:val="22"/>
          <w:lang w:val="es-CO"/>
        </w:rPr>
      </w:pPr>
      <w:r w:rsidRPr="00B57F79">
        <w:rPr>
          <w:rFonts w:ascii="Arial" w:eastAsia="Calibri" w:hAnsi="Arial" w:cs="Arial"/>
          <w:b/>
          <w:sz w:val="22"/>
          <w:lang w:val="es-CO"/>
        </w:rPr>
        <w:t>Respuestas</w:t>
      </w:r>
    </w:p>
    <w:p w14:paraId="4E3BC453" w14:textId="1681A673" w:rsidR="00904CD9" w:rsidRPr="00B57F79" w:rsidRDefault="00904CD9" w:rsidP="005379F9">
      <w:pPr>
        <w:ind w:right="709"/>
        <w:jc w:val="both"/>
        <w:rPr>
          <w:rFonts w:ascii="Arial" w:eastAsia="Calibri" w:hAnsi="Arial" w:cs="Arial"/>
          <w:iCs/>
          <w:sz w:val="22"/>
          <w:lang w:val="es-CO"/>
        </w:rPr>
      </w:pPr>
    </w:p>
    <w:p w14:paraId="4B56F4F4" w14:textId="58F533F5" w:rsidR="0028382A" w:rsidRPr="0028382A" w:rsidRDefault="0028382A" w:rsidP="005379F9">
      <w:pPr>
        <w:ind w:left="709" w:right="709"/>
        <w:jc w:val="both"/>
        <w:rPr>
          <w:rFonts w:ascii="Arial" w:eastAsia="Calibri" w:hAnsi="Arial" w:cs="Arial"/>
          <w:sz w:val="21"/>
          <w:szCs w:val="21"/>
          <w:lang w:val="es-CO"/>
        </w:rPr>
      </w:pPr>
      <w:r w:rsidRPr="0028382A">
        <w:rPr>
          <w:rFonts w:ascii="Arial" w:eastAsia="Calibri" w:hAnsi="Arial" w:cs="Arial"/>
          <w:sz w:val="21"/>
          <w:szCs w:val="21"/>
          <w:lang w:val="es-CO"/>
        </w:rPr>
        <w:t xml:space="preserve">«La duda consiste, en los lotes siguientes cuando el pliego dice lo siguiente: "Para la adjudicación del segundo lote se tomará el siguiente método de acuerdo con la tabla anterior, en orden ascendente, y así sucesivamente" </w:t>
      </w:r>
      <w:proofErr w:type="gramStart"/>
      <w:r w:rsidRPr="0028382A">
        <w:rPr>
          <w:rFonts w:ascii="Arial" w:eastAsia="Calibri" w:hAnsi="Arial" w:cs="Arial"/>
          <w:sz w:val="21"/>
          <w:szCs w:val="21"/>
          <w:lang w:val="es-CO"/>
        </w:rPr>
        <w:t>y  continua</w:t>
      </w:r>
      <w:proofErr w:type="gramEnd"/>
      <w:r w:rsidRPr="0028382A">
        <w:rPr>
          <w:rFonts w:ascii="Arial" w:eastAsia="Calibri" w:hAnsi="Arial" w:cs="Arial"/>
          <w:sz w:val="21"/>
          <w:szCs w:val="21"/>
          <w:lang w:val="es-CO"/>
        </w:rPr>
        <w:t xml:space="preserve"> diciendo "teniendo en cuenta que se reiniciará desde el primer método en caso de agotarse el último método”</w:t>
      </w:r>
      <w:r w:rsidRPr="0028382A">
        <w:rPr>
          <w:rFonts w:ascii="Arial" w:hAnsi="Arial" w:cs="Arial"/>
          <w:color w:val="000000" w:themeColor="text1"/>
          <w:sz w:val="21"/>
          <w:szCs w:val="21"/>
        </w:rPr>
        <w:t>».</w:t>
      </w:r>
    </w:p>
    <w:p w14:paraId="1CE87560" w14:textId="7B3A62ED" w:rsidR="000B3893" w:rsidRDefault="000B3893" w:rsidP="00DE7D58">
      <w:pPr>
        <w:spacing w:after="120" w:line="276" w:lineRule="auto"/>
        <w:jc w:val="both"/>
        <w:rPr>
          <w:rFonts w:ascii="Arial" w:hAnsi="Arial" w:cs="Arial"/>
          <w:color w:val="000000" w:themeColor="text1"/>
          <w:sz w:val="22"/>
        </w:rPr>
      </w:pPr>
    </w:p>
    <w:p w14:paraId="77815E82" w14:textId="77777777" w:rsidR="003567B6" w:rsidRPr="003A02EB" w:rsidRDefault="0028382A" w:rsidP="003567B6">
      <w:pPr>
        <w:spacing w:before="120" w:after="120" w:line="276" w:lineRule="auto"/>
        <w:ind w:firstLine="709"/>
        <w:jc w:val="both"/>
        <w:rPr>
          <w:rFonts w:ascii="Arial" w:eastAsia="Calibri" w:hAnsi="Arial" w:cs="Arial"/>
          <w:sz w:val="22"/>
        </w:rPr>
      </w:pPr>
      <w:r>
        <w:rPr>
          <w:rFonts w:ascii="Arial" w:eastAsia="Calibri" w:hAnsi="Arial" w:cs="Arial"/>
          <w:sz w:val="22"/>
        </w:rPr>
        <w:t>Para resolver la pregunta, motivo de consulta</w:t>
      </w:r>
      <w:r w:rsidR="000C5A1F" w:rsidRPr="003A02EB">
        <w:rPr>
          <w:rFonts w:ascii="Arial" w:eastAsia="Calibri" w:hAnsi="Arial" w:cs="Arial"/>
          <w:sz w:val="22"/>
        </w:rPr>
        <w:t>,</w:t>
      </w:r>
      <w:r w:rsidR="003567B6">
        <w:rPr>
          <w:rFonts w:ascii="Arial" w:eastAsia="Calibri" w:hAnsi="Arial" w:cs="Arial"/>
          <w:sz w:val="22"/>
        </w:rPr>
        <w:t xml:space="preserve"> </w:t>
      </w:r>
      <w:r w:rsidR="003567B6" w:rsidRPr="003A02EB">
        <w:rPr>
          <w:rFonts w:ascii="Arial" w:eastAsia="Calibri" w:hAnsi="Arial" w:cs="Arial"/>
          <w:sz w:val="22"/>
        </w:rPr>
        <w:t>es necesario observar que para los procesos de contratación estructurados por lotes se establecieron</w:t>
      </w:r>
      <w:r w:rsidR="003567B6">
        <w:rPr>
          <w:rFonts w:ascii="Arial" w:eastAsia="Calibri" w:hAnsi="Arial" w:cs="Arial"/>
          <w:sz w:val="22"/>
        </w:rPr>
        <w:t xml:space="preserve"> tres reglas básicas</w:t>
      </w:r>
      <w:r w:rsidR="003567B6" w:rsidRPr="003A02EB">
        <w:rPr>
          <w:rFonts w:ascii="Arial" w:eastAsia="Calibri" w:hAnsi="Arial" w:cs="Arial"/>
          <w:sz w:val="22"/>
        </w:rPr>
        <w:t>: i) para el primer lote, el método se asignará de acuerdo con la TRM</w:t>
      </w:r>
      <w:r w:rsidR="003567B6">
        <w:rPr>
          <w:rFonts w:ascii="Arial" w:eastAsia="Calibri" w:hAnsi="Arial" w:cs="Arial"/>
          <w:sz w:val="22"/>
        </w:rPr>
        <w:t>, esto es, a la metodología que ya se explicó</w:t>
      </w:r>
      <w:r w:rsidR="003567B6" w:rsidRPr="003A02EB">
        <w:rPr>
          <w:rFonts w:ascii="Arial" w:eastAsia="Calibri" w:hAnsi="Arial" w:cs="Arial"/>
          <w:sz w:val="22"/>
        </w:rPr>
        <w:t xml:space="preserve">, ii) para la adjudicación del segundo lote se tomará el siguiente método en orden ascendente y así sucesivamente, de acuerdo con la tabla </w:t>
      </w:r>
      <w:r w:rsidR="003567B6">
        <w:rPr>
          <w:rFonts w:ascii="Arial" w:eastAsia="Calibri" w:hAnsi="Arial" w:cs="Arial"/>
          <w:sz w:val="22"/>
        </w:rPr>
        <w:t xml:space="preserve">de métodos de ponderación </w:t>
      </w:r>
      <w:r w:rsidR="003567B6" w:rsidRPr="003A02EB">
        <w:rPr>
          <w:rFonts w:ascii="Arial" w:eastAsia="Calibri" w:hAnsi="Arial" w:cs="Arial"/>
          <w:sz w:val="22"/>
        </w:rPr>
        <w:t>y, iii) en caso de agotarse el último método se reiniciará desde el primer método</w:t>
      </w:r>
      <w:r w:rsidR="003567B6">
        <w:rPr>
          <w:rFonts w:ascii="Arial" w:eastAsia="Calibri" w:hAnsi="Arial" w:cs="Arial"/>
          <w:sz w:val="22"/>
        </w:rPr>
        <w:t xml:space="preserve"> de la tabla</w:t>
      </w:r>
      <w:r w:rsidR="003567B6" w:rsidRPr="003A02EB">
        <w:rPr>
          <w:rFonts w:ascii="Arial" w:eastAsia="Calibri" w:hAnsi="Arial" w:cs="Arial"/>
          <w:sz w:val="22"/>
        </w:rPr>
        <w:t xml:space="preserve">. </w:t>
      </w:r>
    </w:p>
    <w:p w14:paraId="3913AA45" w14:textId="77777777" w:rsidR="003567B6" w:rsidRPr="003A02EB" w:rsidRDefault="003567B6" w:rsidP="003567B6">
      <w:pPr>
        <w:spacing w:before="120" w:after="120" w:line="276" w:lineRule="auto"/>
        <w:ind w:firstLine="709"/>
        <w:jc w:val="both"/>
        <w:rPr>
          <w:rFonts w:ascii="Arial" w:eastAsia="Calibri" w:hAnsi="Arial" w:cs="Arial"/>
          <w:sz w:val="22"/>
        </w:rPr>
      </w:pPr>
      <w:r>
        <w:rPr>
          <w:rFonts w:ascii="Arial" w:eastAsia="Calibri" w:hAnsi="Arial" w:cs="Arial"/>
          <w:sz w:val="22"/>
        </w:rPr>
        <w:t>Para mayor claridad, en</w:t>
      </w:r>
      <w:r w:rsidRPr="003A02EB">
        <w:rPr>
          <w:rFonts w:ascii="Arial" w:eastAsia="Calibri" w:hAnsi="Arial" w:cs="Arial"/>
          <w:sz w:val="22"/>
        </w:rPr>
        <w:t xml:space="preserve"> la segunda columna de la tabla en mención, se asignó un número -del 1 al 4- para cada método de ponderación, tal y como se resalta a continuación: </w:t>
      </w:r>
    </w:p>
    <w:p w14:paraId="4277FB73" w14:textId="77777777" w:rsidR="003567B6" w:rsidRPr="003A02EB" w:rsidRDefault="003567B6" w:rsidP="003567B6">
      <w:pPr>
        <w:spacing w:before="120" w:after="120"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972"/>
        <w:gridCol w:w="2503"/>
      </w:tblGrid>
      <w:tr w:rsidR="003567B6" w:rsidRPr="003A02EB" w14:paraId="2B9CDE52" w14:textId="77777777" w:rsidTr="000B3C80">
        <w:trPr>
          <w:trHeight w:val="20"/>
          <w:tblHeader/>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vAlign w:val="center"/>
            <w:hideMark/>
          </w:tcPr>
          <w:p w14:paraId="0FF63137" w14:textId="77777777" w:rsidR="003567B6" w:rsidRPr="003A02EB" w:rsidRDefault="003567B6" w:rsidP="000B3C80">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Rango</w:t>
            </w:r>
            <w:r w:rsidRPr="003A02EB">
              <w:rPr>
                <w:rFonts w:ascii="Arial" w:eastAsia="Arial,Calibri" w:hAnsi="Arial" w:cs="Arial"/>
                <w:b/>
                <w:bCs/>
                <w:color w:val="FFFFFF"/>
                <w:sz w:val="20"/>
                <w:szCs w:val="20"/>
                <w:lang w:val="es-CO"/>
              </w:rPr>
              <w:t xml:space="preserve"> </w:t>
            </w:r>
            <w:r w:rsidRPr="003A02EB">
              <w:rPr>
                <w:rFonts w:ascii="Arial" w:eastAsia="Calibri" w:hAnsi="Arial" w:cs="Arial"/>
                <w:b/>
                <w:bCs/>
                <w:color w:val="FFFFFF"/>
                <w:sz w:val="20"/>
                <w:szCs w:val="20"/>
                <w:lang w:val="es-CO"/>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vAlign w:val="center"/>
            <w:hideMark/>
          </w:tcPr>
          <w:p w14:paraId="72CAB490" w14:textId="77777777" w:rsidR="003567B6" w:rsidRPr="003A02EB" w:rsidRDefault="003567B6" w:rsidP="000B3C80">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noProof/>
                <w:color w:val="FFFFFF"/>
                <w:sz w:val="20"/>
                <w:szCs w:val="20"/>
                <w:lang w:val="en-US"/>
              </w:rPr>
              <mc:AlternateContent>
                <mc:Choice Requires="wps">
                  <w:drawing>
                    <wp:anchor distT="0" distB="0" distL="114300" distR="114300" simplePos="0" relativeHeight="251671552" behindDoc="0" locked="0" layoutInCell="1" allowOverlap="1" wp14:anchorId="3D9C7F92" wp14:editId="37D6C6CD">
                      <wp:simplePos x="0" y="0"/>
                      <wp:positionH relativeFrom="column">
                        <wp:posOffset>-38100</wp:posOffset>
                      </wp:positionH>
                      <wp:positionV relativeFrom="paragraph">
                        <wp:posOffset>-17780</wp:posOffset>
                      </wp:positionV>
                      <wp:extent cx="561975" cy="1724025"/>
                      <wp:effectExtent l="0" t="0" r="9525" b="9525"/>
                      <wp:wrapNone/>
                      <wp:docPr id="8" name="Rectángulo 8"/>
                      <wp:cNvGraphicFramePr/>
                      <a:graphic xmlns:a="http://schemas.openxmlformats.org/drawingml/2006/main">
                        <a:graphicData uri="http://schemas.microsoft.com/office/word/2010/wordprocessingShape">
                          <wps:wsp>
                            <wps:cNvSpPr/>
                            <wps:spPr>
                              <a:xfrm>
                                <a:off x="0" y="0"/>
                                <a:ext cx="561975" cy="1724025"/>
                              </a:xfrm>
                              <a:prstGeom prst="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4986D" id="Rectángulo 8" o:spid="_x0000_s1026" style="position:absolute;margin-left:-3pt;margin-top:-1.4pt;width:44.25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" fillcolor="#5b9bd5" stroked="f">
                      <v:fill opacity="32896f"/>
                    </v:rect>
                  </w:pict>
                </mc:Fallback>
              </mc:AlternateContent>
            </w:r>
            <w:r w:rsidRPr="003A02EB">
              <w:rPr>
                <w:rFonts w:ascii="Arial" w:eastAsia="Calibri" w:hAnsi="Arial" w:cs="Arial"/>
                <w:b/>
                <w:bCs/>
                <w:color w:val="FFFFFF"/>
                <w:sz w:val="20"/>
                <w:szCs w:val="20"/>
                <w:lang w:val="es-CO"/>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vAlign w:val="center"/>
            <w:hideMark/>
          </w:tcPr>
          <w:p w14:paraId="657DF13F" w14:textId="77777777" w:rsidR="003567B6" w:rsidRPr="003A02EB" w:rsidRDefault="003567B6" w:rsidP="000B3C80">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Método</w:t>
            </w:r>
          </w:p>
        </w:tc>
      </w:tr>
      <w:tr w:rsidR="003567B6" w:rsidRPr="003A02EB" w14:paraId="61B64C05" w14:textId="77777777" w:rsidTr="000B3C80">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3C09C0DD" w14:textId="77777777" w:rsidR="003567B6" w:rsidRPr="003A02EB" w:rsidRDefault="003567B6" w:rsidP="000B3C80">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5D38A64A" w14:textId="77777777" w:rsidR="003567B6" w:rsidRPr="003A02EB" w:rsidRDefault="003567B6" w:rsidP="000B3C80">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61505413" w14:textId="77777777" w:rsidR="003567B6" w:rsidRPr="003A02EB" w:rsidRDefault="003567B6" w:rsidP="000B3C80">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Mediana con valor absoluto</w:t>
            </w:r>
          </w:p>
        </w:tc>
      </w:tr>
      <w:tr w:rsidR="003567B6" w:rsidRPr="003A02EB" w14:paraId="174C5E9D" w14:textId="77777777" w:rsidTr="000B3C80">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298F43F8" w14:textId="77777777" w:rsidR="003567B6" w:rsidRPr="003A02EB" w:rsidRDefault="003567B6" w:rsidP="000B3C80">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782F4700" w14:textId="77777777" w:rsidR="003567B6" w:rsidRPr="003A02EB" w:rsidRDefault="003567B6" w:rsidP="000B3C80">
            <w:pPr>
              <w:spacing w:line="276" w:lineRule="auto"/>
              <w:jc w:val="center"/>
              <w:rPr>
                <w:rFonts w:ascii="Arial" w:eastAsia="Arial,Times New Roman" w:hAnsi="Arial" w:cs="Arial"/>
                <w:sz w:val="20"/>
                <w:szCs w:val="20"/>
                <w:lang w:val="es-ES" w:eastAsia="es-CO"/>
              </w:rPr>
            </w:pPr>
            <w:r w:rsidRPr="003A02EB">
              <w:rPr>
                <w:rFonts w:ascii="Arial" w:eastAsia="Arial,Times New Roman" w:hAnsi="Arial" w:cs="Arial"/>
                <w:sz w:val="20"/>
                <w:szCs w:val="20"/>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48C3B6E6" w14:textId="77777777" w:rsidR="003567B6" w:rsidRPr="003A02EB" w:rsidRDefault="003567B6" w:rsidP="000B3C80">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Media geométrica</w:t>
            </w:r>
          </w:p>
        </w:tc>
      </w:tr>
      <w:tr w:rsidR="003567B6" w:rsidRPr="003A02EB" w14:paraId="30F07080" w14:textId="77777777" w:rsidTr="000B3C80">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67D66455" w14:textId="77777777" w:rsidR="003567B6" w:rsidRPr="003A02EB" w:rsidRDefault="003567B6" w:rsidP="000B3C80">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26D3ECAB" w14:textId="77777777" w:rsidR="003567B6" w:rsidRPr="003A02EB" w:rsidRDefault="003567B6" w:rsidP="000B3C80">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2B2B2328" w14:textId="77777777" w:rsidR="003567B6" w:rsidRPr="003A02EB" w:rsidRDefault="003567B6" w:rsidP="000B3C80">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Media aritmética baja</w:t>
            </w:r>
          </w:p>
        </w:tc>
      </w:tr>
      <w:tr w:rsidR="003567B6" w:rsidRPr="003A02EB" w14:paraId="36EDF83B" w14:textId="77777777" w:rsidTr="000B3C80">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1318B678" w14:textId="77777777" w:rsidR="003567B6" w:rsidRPr="003A02EB" w:rsidRDefault="003567B6" w:rsidP="000B3C80">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361CD683" w14:textId="77777777" w:rsidR="003567B6" w:rsidRPr="003A02EB" w:rsidRDefault="003567B6" w:rsidP="000B3C80">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0B5E2CEB" w14:textId="77777777" w:rsidR="003567B6" w:rsidRPr="003A02EB" w:rsidRDefault="003567B6" w:rsidP="000B3C80">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Menor valor</w:t>
            </w:r>
          </w:p>
        </w:tc>
      </w:tr>
    </w:tbl>
    <w:p w14:paraId="6258C680" w14:textId="77777777" w:rsidR="003567B6" w:rsidRDefault="003567B6" w:rsidP="003567B6">
      <w:pPr>
        <w:spacing w:before="120" w:after="120" w:line="276" w:lineRule="auto"/>
        <w:jc w:val="both"/>
        <w:rPr>
          <w:rFonts w:ascii="Arial" w:eastAsia="Calibri" w:hAnsi="Arial" w:cs="Arial"/>
          <w:sz w:val="22"/>
        </w:rPr>
      </w:pPr>
    </w:p>
    <w:p w14:paraId="02C3F8E4" w14:textId="77777777" w:rsidR="003567B6" w:rsidRDefault="003567B6" w:rsidP="003567B6">
      <w:pPr>
        <w:spacing w:before="120" w:after="120" w:line="276" w:lineRule="auto"/>
        <w:ind w:left="709" w:right="709"/>
        <w:jc w:val="both"/>
        <w:rPr>
          <w:rFonts w:ascii="Arial" w:eastAsia="Calibri" w:hAnsi="Arial" w:cs="Arial"/>
          <w:sz w:val="22"/>
        </w:rPr>
      </w:pPr>
      <w:r w:rsidRPr="00634CC6">
        <w:rPr>
          <w:rFonts w:ascii="Arial" w:eastAsia="Calibri" w:hAnsi="Arial" w:cs="Arial"/>
          <w:color w:val="000000"/>
          <w:sz w:val="21"/>
          <w:szCs w:val="21"/>
          <w:lang w:val="es-CO"/>
        </w:rPr>
        <w:t>En todos los casos se tendrá en cuenta hasta el séptimo (7°) decimal del valor obtenido como puntaje y las fórmulas se aplicarán con las propuestas que no han sido rechazadas y se encuentran válidas</w:t>
      </w:r>
      <w:r>
        <w:rPr>
          <w:rFonts w:ascii="Arial" w:eastAsia="Calibri" w:hAnsi="Arial" w:cs="Arial"/>
          <w:color w:val="000000"/>
          <w:sz w:val="21"/>
          <w:szCs w:val="21"/>
          <w:lang w:val="es-CO"/>
        </w:rPr>
        <w:t>.</w:t>
      </w:r>
    </w:p>
    <w:p w14:paraId="332FF4E2" w14:textId="4B880F79" w:rsidR="003567B6" w:rsidRPr="003A02EB" w:rsidRDefault="003567B6" w:rsidP="003567B6">
      <w:pPr>
        <w:spacing w:before="120" w:after="120" w:line="276" w:lineRule="auto"/>
        <w:ind w:firstLine="709"/>
        <w:jc w:val="both"/>
        <w:rPr>
          <w:rFonts w:ascii="Arial" w:eastAsia="Calibri" w:hAnsi="Arial" w:cs="Arial"/>
          <w:sz w:val="22"/>
        </w:rPr>
      </w:pPr>
      <w:r w:rsidRPr="003A02EB">
        <w:rPr>
          <w:rFonts w:ascii="Arial" w:eastAsia="Calibri" w:hAnsi="Arial" w:cs="Arial"/>
          <w:sz w:val="22"/>
        </w:rPr>
        <w:t xml:space="preserve">La asignación de este número en la tabla tiene como objetivo principal que las entidades determinen el orden ascendente al que se refiere la segunda regla, entendiendo </w:t>
      </w:r>
      <w:r w:rsidRPr="003A02EB">
        <w:rPr>
          <w:rFonts w:ascii="Arial" w:eastAsia="Calibri" w:hAnsi="Arial" w:cs="Arial"/>
          <w:sz w:val="22"/>
        </w:rPr>
        <w:lastRenderedPageBreak/>
        <w:t xml:space="preserve">orden ascendente como aquel que corresponde a los números que siguen una secuencia de menor a mayor. </w:t>
      </w:r>
      <w:r>
        <w:rPr>
          <w:rFonts w:ascii="Arial" w:eastAsia="Calibri" w:hAnsi="Arial" w:cs="Arial"/>
          <w:sz w:val="22"/>
        </w:rPr>
        <w:t xml:space="preserve">Es decir, desde una interpretación y significado de las palabras, corresponde al número mayor dentro de la secuencia de los métodos a utilizar para la ponderación, y no propiamente desde su ubicación dentro del cuadro ni mucho menos por el rango.  </w:t>
      </w:r>
    </w:p>
    <w:p w14:paraId="51D24277" w14:textId="77777777" w:rsidR="003567B6" w:rsidRPr="003A02EB" w:rsidRDefault="003567B6" w:rsidP="003567B6">
      <w:pPr>
        <w:spacing w:before="120" w:after="120" w:line="276" w:lineRule="auto"/>
        <w:ind w:firstLine="709"/>
        <w:jc w:val="both"/>
        <w:rPr>
          <w:rFonts w:ascii="Arial" w:eastAsia="Calibri" w:hAnsi="Arial" w:cs="Arial"/>
          <w:sz w:val="22"/>
        </w:rPr>
      </w:pPr>
      <w:r>
        <w:rPr>
          <w:rFonts w:ascii="Arial" w:eastAsia="Calibri" w:hAnsi="Arial" w:cs="Arial"/>
          <w:sz w:val="22"/>
        </w:rPr>
        <w:t>Teniendo en cuenta esta explicación</w:t>
      </w:r>
      <w:r w:rsidRPr="003A02EB">
        <w:rPr>
          <w:rFonts w:ascii="Arial" w:eastAsia="Calibri" w:hAnsi="Arial" w:cs="Arial"/>
          <w:sz w:val="22"/>
        </w:rPr>
        <w:t xml:space="preserve">, se tiene que para el primer lote la entidad asignó el método de </w:t>
      </w:r>
      <w:r>
        <w:rPr>
          <w:rFonts w:ascii="Arial" w:eastAsia="Calibri" w:hAnsi="Arial" w:cs="Arial"/>
          <w:sz w:val="22"/>
        </w:rPr>
        <w:t xml:space="preserve">mediana con valor absoluto </w:t>
      </w:r>
      <w:r w:rsidRPr="003A02EB">
        <w:rPr>
          <w:rFonts w:ascii="Arial" w:eastAsia="Calibri" w:hAnsi="Arial" w:cs="Arial"/>
          <w:sz w:val="22"/>
        </w:rPr>
        <w:t>de acuerdo con la TRM, por lo que para el segundo lote se debería seguir la regla y tomar el siguiente método en orden ascendente, y así sucesivamente. Es decir, al segu</w:t>
      </w:r>
      <w:r>
        <w:rPr>
          <w:rFonts w:ascii="Arial" w:eastAsia="Calibri" w:hAnsi="Arial" w:cs="Arial"/>
          <w:sz w:val="22"/>
        </w:rPr>
        <w:t>ndo lote le corresponde la media geométrica</w:t>
      </w:r>
      <w:r w:rsidRPr="003A02EB">
        <w:rPr>
          <w:rFonts w:ascii="Arial" w:eastAsia="Calibri" w:hAnsi="Arial" w:cs="Arial"/>
          <w:sz w:val="22"/>
        </w:rPr>
        <w:t xml:space="preserve">, esto es, el </w:t>
      </w:r>
      <w:r>
        <w:rPr>
          <w:rFonts w:ascii="Arial" w:eastAsia="Calibri" w:hAnsi="Arial" w:cs="Arial"/>
          <w:sz w:val="22"/>
        </w:rPr>
        <w:t>método número dos. El tercer lote le corresponde</w:t>
      </w:r>
      <w:r w:rsidRPr="003A02EB">
        <w:rPr>
          <w:rFonts w:ascii="Arial" w:eastAsia="Calibri" w:hAnsi="Arial" w:cs="Arial"/>
          <w:sz w:val="22"/>
        </w:rPr>
        <w:t xml:space="preserve"> el método</w:t>
      </w:r>
      <w:r>
        <w:rPr>
          <w:rFonts w:ascii="Arial" w:eastAsia="Calibri" w:hAnsi="Arial" w:cs="Arial"/>
          <w:sz w:val="22"/>
        </w:rPr>
        <w:t xml:space="preserve"> media aritmética baja</w:t>
      </w:r>
      <w:r w:rsidRPr="003A02EB">
        <w:rPr>
          <w:rFonts w:ascii="Arial" w:eastAsia="Calibri" w:hAnsi="Arial" w:cs="Arial"/>
          <w:sz w:val="22"/>
        </w:rPr>
        <w:t xml:space="preserve">, es decir, el </w:t>
      </w:r>
      <w:r>
        <w:rPr>
          <w:rFonts w:ascii="Arial" w:eastAsia="Calibri" w:hAnsi="Arial" w:cs="Arial"/>
          <w:sz w:val="22"/>
        </w:rPr>
        <w:t xml:space="preserve">tercer método; </w:t>
      </w:r>
      <w:proofErr w:type="gramStart"/>
      <w:r>
        <w:rPr>
          <w:rFonts w:ascii="Arial" w:eastAsia="Calibri" w:hAnsi="Arial" w:cs="Arial"/>
          <w:sz w:val="22"/>
        </w:rPr>
        <w:t>y</w:t>
      </w:r>
      <w:proofErr w:type="gramEnd"/>
      <w:r>
        <w:rPr>
          <w:rFonts w:ascii="Arial" w:eastAsia="Calibri" w:hAnsi="Arial" w:cs="Arial"/>
          <w:sz w:val="22"/>
        </w:rPr>
        <w:t xml:space="preserve"> por último, el cuarto lote le corresponde el método de menor valor. </w:t>
      </w:r>
      <w:r w:rsidRPr="003A02EB">
        <w:rPr>
          <w:rFonts w:ascii="Arial" w:eastAsia="Calibri" w:hAnsi="Arial" w:cs="Arial"/>
          <w:sz w:val="22"/>
        </w:rPr>
        <w:t xml:space="preserve"> </w:t>
      </w:r>
    </w:p>
    <w:p w14:paraId="05F45D49" w14:textId="61817D4F" w:rsidR="003567B6" w:rsidRPr="003A02EB" w:rsidRDefault="003567B6" w:rsidP="003567B6">
      <w:pPr>
        <w:spacing w:before="120" w:after="120" w:line="276" w:lineRule="auto"/>
        <w:ind w:firstLine="708"/>
        <w:jc w:val="both"/>
        <w:rPr>
          <w:rFonts w:ascii="Arial" w:eastAsia="Calibri" w:hAnsi="Arial" w:cs="Arial"/>
          <w:sz w:val="22"/>
        </w:rPr>
      </w:pPr>
      <w:r w:rsidRPr="003A02EB">
        <w:rPr>
          <w:rFonts w:ascii="Arial" w:eastAsia="Calibri" w:hAnsi="Arial" w:cs="Arial"/>
          <w:sz w:val="22"/>
        </w:rPr>
        <w:t>Finalmente, dado que en es</w:t>
      </w:r>
      <w:r>
        <w:rPr>
          <w:rFonts w:ascii="Arial" w:eastAsia="Calibri" w:hAnsi="Arial" w:cs="Arial"/>
          <w:sz w:val="22"/>
        </w:rPr>
        <w:t xml:space="preserve">te caso el proceso se puede estructurar en más de 4 lotes, </w:t>
      </w:r>
      <w:r w:rsidRPr="003A02EB">
        <w:rPr>
          <w:rFonts w:ascii="Arial" w:eastAsia="Calibri" w:hAnsi="Arial" w:cs="Arial"/>
          <w:sz w:val="22"/>
        </w:rPr>
        <w:t xml:space="preserve">debe aplicarse la regla según la cual «se reiniciará desde el primer método en caso de agotarse el último método», por lo que al </w:t>
      </w:r>
      <w:r>
        <w:rPr>
          <w:rFonts w:ascii="Arial" w:eastAsia="Calibri" w:hAnsi="Arial" w:cs="Arial"/>
          <w:sz w:val="22"/>
        </w:rPr>
        <w:t xml:space="preserve">quinto </w:t>
      </w:r>
      <w:r w:rsidRPr="003A02EB">
        <w:rPr>
          <w:rFonts w:ascii="Arial" w:eastAsia="Calibri" w:hAnsi="Arial" w:cs="Arial"/>
          <w:sz w:val="22"/>
        </w:rPr>
        <w:t>lote le correspondería el método de me</w:t>
      </w:r>
      <w:r>
        <w:rPr>
          <w:rFonts w:ascii="Arial" w:eastAsia="Calibri" w:hAnsi="Arial" w:cs="Arial"/>
          <w:sz w:val="22"/>
        </w:rPr>
        <w:t xml:space="preserve">diana con valor absoluto, al sexto </w:t>
      </w:r>
      <w:r w:rsidRPr="003A02EB">
        <w:rPr>
          <w:rFonts w:ascii="Arial" w:eastAsia="Calibri" w:hAnsi="Arial" w:cs="Arial"/>
          <w:sz w:val="22"/>
        </w:rPr>
        <w:t xml:space="preserve">lote el método de media geométrica, al </w:t>
      </w:r>
      <w:r>
        <w:rPr>
          <w:rFonts w:ascii="Arial" w:eastAsia="Calibri" w:hAnsi="Arial" w:cs="Arial"/>
          <w:sz w:val="22"/>
        </w:rPr>
        <w:t xml:space="preserve">séptimo </w:t>
      </w:r>
      <w:r w:rsidRPr="003A02EB">
        <w:rPr>
          <w:rFonts w:ascii="Arial" w:eastAsia="Calibri" w:hAnsi="Arial" w:cs="Arial"/>
          <w:sz w:val="22"/>
        </w:rPr>
        <w:t xml:space="preserve">lote el método </w:t>
      </w:r>
      <w:r>
        <w:rPr>
          <w:rFonts w:ascii="Arial" w:eastAsia="Calibri" w:hAnsi="Arial" w:cs="Arial"/>
          <w:sz w:val="22"/>
        </w:rPr>
        <w:t xml:space="preserve">de media aritmética baja y, así sucesivamente. </w:t>
      </w:r>
      <w:r w:rsidRPr="003A02EB">
        <w:rPr>
          <w:rFonts w:ascii="Arial" w:eastAsia="Calibri" w:hAnsi="Arial" w:cs="Arial"/>
          <w:sz w:val="22"/>
        </w:rPr>
        <w:t>es necesario observar que para los procesos de contratación estructurados por lotes se establecieron</w:t>
      </w:r>
      <w:r>
        <w:rPr>
          <w:rFonts w:ascii="Arial" w:eastAsia="Calibri" w:hAnsi="Arial" w:cs="Arial"/>
          <w:sz w:val="22"/>
        </w:rPr>
        <w:t xml:space="preserve"> tres reglas básicas</w:t>
      </w:r>
      <w:r w:rsidRPr="003A02EB">
        <w:rPr>
          <w:rFonts w:ascii="Arial" w:eastAsia="Calibri" w:hAnsi="Arial" w:cs="Arial"/>
          <w:sz w:val="22"/>
        </w:rPr>
        <w:t>: i) para el primer lote, el método se asignará de acuerdo con la TRM</w:t>
      </w:r>
      <w:r>
        <w:rPr>
          <w:rFonts w:ascii="Arial" w:eastAsia="Calibri" w:hAnsi="Arial" w:cs="Arial"/>
          <w:sz w:val="22"/>
        </w:rPr>
        <w:t>, esto es, a la metodología que ya se explicó</w:t>
      </w:r>
      <w:r w:rsidRPr="003A02EB">
        <w:rPr>
          <w:rFonts w:ascii="Arial" w:eastAsia="Calibri" w:hAnsi="Arial" w:cs="Arial"/>
          <w:sz w:val="22"/>
        </w:rPr>
        <w:t xml:space="preserve">, ii) para la adjudicación del segundo lote se tomará el siguiente método en orden ascendente y así sucesivamente, de acuerdo con la tabla </w:t>
      </w:r>
      <w:r>
        <w:rPr>
          <w:rFonts w:ascii="Arial" w:eastAsia="Calibri" w:hAnsi="Arial" w:cs="Arial"/>
          <w:sz w:val="22"/>
        </w:rPr>
        <w:t xml:space="preserve">de métodos de ponderación </w:t>
      </w:r>
      <w:r w:rsidRPr="003A02EB">
        <w:rPr>
          <w:rFonts w:ascii="Arial" w:eastAsia="Calibri" w:hAnsi="Arial" w:cs="Arial"/>
          <w:sz w:val="22"/>
        </w:rPr>
        <w:t>y, iii) en caso de agotarse el último método se reiniciará desde el primer método</w:t>
      </w:r>
      <w:r>
        <w:rPr>
          <w:rFonts w:ascii="Arial" w:eastAsia="Calibri" w:hAnsi="Arial" w:cs="Arial"/>
          <w:sz w:val="22"/>
        </w:rPr>
        <w:t xml:space="preserve"> de la tabla</w:t>
      </w:r>
      <w:r w:rsidRPr="003A02EB">
        <w:rPr>
          <w:rFonts w:ascii="Arial" w:eastAsia="Calibri" w:hAnsi="Arial" w:cs="Arial"/>
          <w:sz w:val="22"/>
        </w:rPr>
        <w:t xml:space="preserve">. </w:t>
      </w:r>
    </w:p>
    <w:p w14:paraId="0AAB6D26" w14:textId="77777777" w:rsidR="003567B6" w:rsidRPr="003A02EB" w:rsidRDefault="003567B6" w:rsidP="003567B6">
      <w:pPr>
        <w:spacing w:before="120" w:after="120" w:line="276" w:lineRule="auto"/>
        <w:ind w:firstLine="709"/>
        <w:jc w:val="both"/>
        <w:rPr>
          <w:rFonts w:ascii="Arial" w:eastAsia="Calibri" w:hAnsi="Arial" w:cs="Arial"/>
          <w:sz w:val="22"/>
        </w:rPr>
      </w:pPr>
      <w:r>
        <w:rPr>
          <w:rFonts w:ascii="Arial" w:eastAsia="Calibri" w:hAnsi="Arial" w:cs="Arial"/>
          <w:sz w:val="22"/>
        </w:rPr>
        <w:t>Para mayor claridad, en</w:t>
      </w:r>
      <w:r w:rsidRPr="003A02EB">
        <w:rPr>
          <w:rFonts w:ascii="Arial" w:eastAsia="Calibri" w:hAnsi="Arial" w:cs="Arial"/>
          <w:sz w:val="22"/>
        </w:rPr>
        <w:t xml:space="preserve"> la segunda columna de la tabla en mención, se asignó un número -del 1 al 4- para cada método de ponderación, tal y como se resalta a continuación: </w:t>
      </w:r>
    </w:p>
    <w:p w14:paraId="6D87040C" w14:textId="77777777" w:rsidR="003567B6" w:rsidRPr="003A02EB" w:rsidRDefault="003567B6" w:rsidP="003567B6">
      <w:pPr>
        <w:spacing w:before="120" w:after="120"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972"/>
        <w:gridCol w:w="2503"/>
      </w:tblGrid>
      <w:tr w:rsidR="003567B6" w:rsidRPr="003A02EB" w14:paraId="7582F0A6" w14:textId="77777777" w:rsidTr="000B3C80">
        <w:trPr>
          <w:trHeight w:val="20"/>
          <w:tblHeader/>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vAlign w:val="center"/>
            <w:hideMark/>
          </w:tcPr>
          <w:p w14:paraId="6FB337DE" w14:textId="77777777" w:rsidR="003567B6" w:rsidRPr="003A02EB" w:rsidRDefault="003567B6" w:rsidP="003567B6">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Rango</w:t>
            </w:r>
            <w:r w:rsidRPr="003A02EB">
              <w:rPr>
                <w:rFonts w:ascii="Arial" w:eastAsia="Arial,Calibri" w:hAnsi="Arial" w:cs="Arial"/>
                <w:b/>
                <w:bCs/>
                <w:color w:val="FFFFFF"/>
                <w:sz w:val="20"/>
                <w:szCs w:val="20"/>
                <w:lang w:val="es-CO"/>
              </w:rPr>
              <w:t xml:space="preserve"> </w:t>
            </w:r>
            <w:r w:rsidRPr="003A02EB">
              <w:rPr>
                <w:rFonts w:ascii="Arial" w:eastAsia="Calibri" w:hAnsi="Arial" w:cs="Arial"/>
                <w:b/>
                <w:bCs/>
                <w:color w:val="FFFFFF"/>
                <w:sz w:val="20"/>
                <w:szCs w:val="20"/>
                <w:lang w:val="es-CO"/>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vAlign w:val="center"/>
            <w:hideMark/>
          </w:tcPr>
          <w:p w14:paraId="49733510" w14:textId="77777777" w:rsidR="003567B6" w:rsidRPr="003A02EB" w:rsidRDefault="003567B6" w:rsidP="003567B6">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noProof/>
                <w:color w:val="FFFFFF"/>
                <w:sz w:val="20"/>
                <w:szCs w:val="20"/>
                <w:lang w:val="en-US"/>
              </w:rPr>
              <mc:AlternateContent>
                <mc:Choice Requires="wps">
                  <w:drawing>
                    <wp:anchor distT="0" distB="0" distL="114300" distR="114300" simplePos="0" relativeHeight="251669504" behindDoc="0" locked="0" layoutInCell="1" allowOverlap="1" wp14:anchorId="026F341E" wp14:editId="7F2F04EA">
                      <wp:simplePos x="0" y="0"/>
                      <wp:positionH relativeFrom="column">
                        <wp:posOffset>-38100</wp:posOffset>
                      </wp:positionH>
                      <wp:positionV relativeFrom="paragraph">
                        <wp:posOffset>-17780</wp:posOffset>
                      </wp:positionV>
                      <wp:extent cx="561975" cy="1724025"/>
                      <wp:effectExtent l="0" t="0" r="9525" b="9525"/>
                      <wp:wrapNone/>
                      <wp:docPr id="7" name="Rectángulo 7"/>
                      <wp:cNvGraphicFramePr/>
                      <a:graphic xmlns:a="http://schemas.openxmlformats.org/drawingml/2006/main">
                        <a:graphicData uri="http://schemas.microsoft.com/office/word/2010/wordprocessingShape">
                          <wps:wsp>
                            <wps:cNvSpPr/>
                            <wps:spPr>
                              <a:xfrm>
                                <a:off x="0" y="0"/>
                                <a:ext cx="561975" cy="1724025"/>
                              </a:xfrm>
                              <a:prstGeom prst="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71045" id="Rectángulo 7" o:spid="_x0000_s1026" style="position:absolute;margin-left:-3pt;margin-top:-1.4pt;width:44.25pt;height:1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" fillcolor="#5b9bd5" stroked="f">
                      <v:fill opacity="32896f"/>
                    </v:rect>
                  </w:pict>
                </mc:Fallback>
              </mc:AlternateContent>
            </w:r>
            <w:r w:rsidRPr="003A02EB">
              <w:rPr>
                <w:rFonts w:ascii="Arial" w:eastAsia="Calibri" w:hAnsi="Arial" w:cs="Arial"/>
                <w:b/>
                <w:bCs/>
                <w:color w:val="FFFFFF"/>
                <w:sz w:val="20"/>
                <w:szCs w:val="20"/>
                <w:lang w:val="es-CO"/>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vAlign w:val="center"/>
            <w:hideMark/>
          </w:tcPr>
          <w:p w14:paraId="63C77290" w14:textId="77777777" w:rsidR="003567B6" w:rsidRPr="003A02EB" w:rsidRDefault="003567B6" w:rsidP="003567B6">
            <w:pPr>
              <w:spacing w:line="276" w:lineRule="auto"/>
              <w:jc w:val="center"/>
              <w:rPr>
                <w:rFonts w:ascii="Arial" w:eastAsia="Arial,Calibri" w:hAnsi="Arial" w:cs="Arial"/>
                <w:b/>
                <w:bCs/>
                <w:color w:val="FFFFFF"/>
                <w:sz w:val="20"/>
                <w:szCs w:val="20"/>
                <w:lang w:val="es-CO"/>
              </w:rPr>
            </w:pPr>
            <w:r w:rsidRPr="003A02EB">
              <w:rPr>
                <w:rFonts w:ascii="Arial" w:eastAsia="Calibri" w:hAnsi="Arial" w:cs="Arial"/>
                <w:b/>
                <w:bCs/>
                <w:color w:val="FFFFFF"/>
                <w:sz w:val="20"/>
                <w:szCs w:val="20"/>
                <w:lang w:val="es-CO"/>
              </w:rPr>
              <w:t>Método</w:t>
            </w:r>
          </w:p>
        </w:tc>
      </w:tr>
      <w:tr w:rsidR="003567B6" w:rsidRPr="003A02EB" w14:paraId="5B37FB17" w14:textId="77777777" w:rsidTr="000B3C80">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3B57178D" w14:textId="77777777" w:rsidR="003567B6" w:rsidRPr="003A02EB" w:rsidRDefault="003567B6" w:rsidP="003567B6">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172F50D2" w14:textId="77777777" w:rsidR="003567B6" w:rsidRPr="003A02EB" w:rsidRDefault="003567B6" w:rsidP="003567B6">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0D3C3E8A" w14:textId="77777777" w:rsidR="003567B6" w:rsidRPr="003A02EB" w:rsidRDefault="003567B6" w:rsidP="003567B6">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Mediana con valor absoluto</w:t>
            </w:r>
          </w:p>
        </w:tc>
      </w:tr>
      <w:tr w:rsidR="003567B6" w:rsidRPr="003A02EB" w14:paraId="3402E4FF" w14:textId="77777777" w:rsidTr="000B3C80">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0DA87BB9" w14:textId="77777777" w:rsidR="003567B6" w:rsidRPr="003A02EB" w:rsidRDefault="003567B6" w:rsidP="003567B6">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139F1DEF" w14:textId="77777777" w:rsidR="003567B6" w:rsidRPr="003A02EB" w:rsidRDefault="003567B6" w:rsidP="003567B6">
            <w:pPr>
              <w:spacing w:line="276" w:lineRule="auto"/>
              <w:jc w:val="center"/>
              <w:rPr>
                <w:rFonts w:ascii="Arial" w:eastAsia="Arial,Times New Roman" w:hAnsi="Arial" w:cs="Arial"/>
                <w:sz w:val="20"/>
                <w:szCs w:val="20"/>
                <w:lang w:val="es-ES" w:eastAsia="es-CO"/>
              </w:rPr>
            </w:pPr>
            <w:r w:rsidRPr="003A02EB">
              <w:rPr>
                <w:rFonts w:ascii="Arial" w:eastAsia="Arial,Times New Roman" w:hAnsi="Arial" w:cs="Arial"/>
                <w:sz w:val="20"/>
                <w:szCs w:val="20"/>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5A4C165D" w14:textId="77777777" w:rsidR="003567B6" w:rsidRPr="003A02EB" w:rsidRDefault="003567B6" w:rsidP="003567B6">
            <w:pPr>
              <w:spacing w:line="276" w:lineRule="auto"/>
              <w:jc w:val="center"/>
              <w:rPr>
                <w:rFonts w:ascii="Arial" w:eastAsia="Arial,Times New Roman" w:hAnsi="Arial" w:cs="Arial"/>
                <w:sz w:val="20"/>
                <w:szCs w:val="20"/>
                <w:lang w:val="es-ES" w:eastAsia="es-CO"/>
              </w:rPr>
            </w:pPr>
            <w:r w:rsidRPr="003A02EB">
              <w:rPr>
                <w:rFonts w:ascii="Arial" w:eastAsia="Calibri" w:hAnsi="Arial" w:cs="Arial"/>
                <w:sz w:val="20"/>
                <w:szCs w:val="20"/>
                <w:lang w:val="es-ES" w:eastAsia="es-CO"/>
              </w:rPr>
              <w:t>Media geométrica</w:t>
            </w:r>
          </w:p>
        </w:tc>
      </w:tr>
      <w:tr w:rsidR="003567B6" w:rsidRPr="003A02EB" w14:paraId="1F3750D8" w14:textId="77777777" w:rsidTr="000B3C80">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6E17E419" w14:textId="77777777" w:rsidR="003567B6" w:rsidRPr="003A02EB" w:rsidRDefault="003567B6" w:rsidP="003567B6">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25968EA4" w14:textId="77777777" w:rsidR="003567B6" w:rsidRPr="003A02EB" w:rsidRDefault="003567B6" w:rsidP="003567B6">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1BEAF149" w14:textId="77777777" w:rsidR="003567B6" w:rsidRPr="003A02EB" w:rsidRDefault="003567B6" w:rsidP="003567B6">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Media aritmética baja</w:t>
            </w:r>
          </w:p>
        </w:tc>
      </w:tr>
      <w:tr w:rsidR="003567B6" w:rsidRPr="003A02EB" w14:paraId="597F73B4" w14:textId="77777777" w:rsidTr="000B3C80">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28252159" w14:textId="77777777" w:rsidR="003567B6" w:rsidRPr="003A02EB" w:rsidRDefault="003567B6" w:rsidP="003567B6">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337D139F" w14:textId="77777777" w:rsidR="003567B6" w:rsidRPr="003A02EB" w:rsidRDefault="003567B6" w:rsidP="003567B6">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60668EC1" w14:textId="77777777" w:rsidR="003567B6" w:rsidRPr="003A02EB" w:rsidRDefault="003567B6" w:rsidP="003567B6">
            <w:pPr>
              <w:spacing w:line="276" w:lineRule="auto"/>
              <w:jc w:val="center"/>
              <w:rPr>
                <w:rFonts w:ascii="Arial" w:eastAsia="Calibri" w:hAnsi="Arial" w:cs="Arial"/>
                <w:sz w:val="20"/>
                <w:szCs w:val="20"/>
                <w:lang w:val="es-ES" w:eastAsia="es-CO"/>
              </w:rPr>
            </w:pPr>
            <w:r w:rsidRPr="003A02EB">
              <w:rPr>
                <w:rFonts w:ascii="Arial" w:eastAsia="Calibri" w:hAnsi="Arial" w:cs="Arial"/>
                <w:sz w:val="20"/>
                <w:szCs w:val="20"/>
                <w:lang w:val="es-ES" w:eastAsia="es-CO"/>
              </w:rPr>
              <w:t>Menor valor</w:t>
            </w:r>
          </w:p>
        </w:tc>
      </w:tr>
    </w:tbl>
    <w:p w14:paraId="0986A852" w14:textId="77777777" w:rsidR="003567B6" w:rsidRDefault="003567B6" w:rsidP="003567B6">
      <w:pPr>
        <w:spacing w:before="120" w:after="120" w:line="276" w:lineRule="auto"/>
        <w:jc w:val="both"/>
        <w:rPr>
          <w:rFonts w:ascii="Arial" w:eastAsia="Calibri" w:hAnsi="Arial" w:cs="Arial"/>
          <w:sz w:val="22"/>
        </w:rPr>
      </w:pPr>
    </w:p>
    <w:p w14:paraId="0DF402CC" w14:textId="77777777" w:rsidR="003567B6" w:rsidRDefault="003567B6" w:rsidP="003567B6">
      <w:pPr>
        <w:spacing w:before="120" w:after="120" w:line="276" w:lineRule="auto"/>
        <w:ind w:left="709" w:right="709"/>
        <w:jc w:val="both"/>
        <w:rPr>
          <w:rFonts w:ascii="Arial" w:eastAsia="Calibri" w:hAnsi="Arial" w:cs="Arial"/>
          <w:sz w:val="22"/>
        </w:rPr>
      </w:pPr>
      <w:r w:rsidRPr="00634CC6">
        <w:rPr>
          <w:rFonts w:ascii="Arial" w:eastAsia="Calibri" w:hAnsi="Arial" w:cs="Arial"/>
          <w:color w:val="000000"/>
          <w:sz w:val="21"/>
          <w:szCs w:val="21"/>
          <w:lang w:val="es-CO"/>
        </w:rPr>
        <w:lastRenderedPageBreak/>
        <w:t>En todos los casos se tendrá en cuenta hasta el séptimo (7°) decimal del valor obtenido como puntaje y las fórmulas se aplicarán con las propuestas que no han sido rechazadas y se encuentran válidas</w:t>
      </w:r>
      <w:r>
        <w:rPr>
          <w:rFonts w:ascii="Arial" w:eastAsia="Calibri" w:hAnsi="Arial" w:cs="Arial"/>
          <w:color w:val="000000"/>
          <w:sz w:val="21"/>
          <w:szCs w:val="21"/>
          <w:lang w:val="es-CO"/>
        </w:rPr>
        <w:t>.</w:t>
      </w:r>
    </w:p>
    <w:p w14:paraId="651BF7A4" w14:textId="136AF2DF" w:rsidR="003567B6" w:rsidRPr="003A02EB" w:rsidRDefault="003567B6" w:rsidP="003567B6">
      <w:pPr>
        <w:spacing w:before="120" w:after="120" w:line="276" w:lineRule="auto"/>
        <w:ind w:firstLine="709"/>
        <w:jc w:val="both"/>
        <w:rPr>
          <w:rFonts w:ascii="Arial" w:eastAsia="Calibri" w:hAnsi="Arial" w:cs="Arial"/>
          <w:sz w:val="22"/>
        </w:rPr>
      </w:pPr>
      <w:r w:rsidRPr="003A02EB">
        <w:rPr>
          <w:rFonts w:ascii="Arial" w:eastAsia="Calibri" w:hAnsi="Arial" w:cs="Arial"/>
          <w:sz w:val="22"/>
        </w:rPr>
        <w:t xml:space="preserve">La asignación de este número en la tabla tiene como objetivo principal que las entidades determinen el orden ascendente al que se refiere la segunda regla, entendiendo orden ascendente como aquel que corresponde a los números que siguen una secuencia de menor a mayor. </w:t>
      </w:r>
      <w:r>
        <w:rPr>
          <w:rFonts w:ascii="Arial" w:eastAsia="Calibri" w:hAnsi="Arial" w:cs="Arial"/>
          <w:sz w:val="22"/>
        </w:rPr>
        <w:t xml:space="preserve">Es decir, desde una interpretación y significado de las palabras, corresponde al número mayor dentro de la secuencia de los métodos a utilizar para la ponderación, y no propiamente desde su ubicación dentro del cuadro ni mucho menos por el rango.  </w:t>
      </w:r>
    </w:p>
    <w:p w14:paraId="7CF83CDF" w14:textId="77777777" w:rsidR="003567B6" w:rsidRPr="003A02EB" w:rsidRDefault="003567B6" w:rsidP="003567B6">
      <w:pPr>
        <w:spacing w:before="120" w:after="120" w:line="276" w:lineRule="auto"/>
        <w:ind w:firstLine="709"/>
        <w:jc w:val="both"/>
        <w:rPr>
          <w:rFonts w:ascii="Arial" w:eastAsia="Calibri" w:hAnsi="Arial" w:cs="Arial"/>
          <w:sz w:val="22"/>
        </w:rPr>
      </w:pPr>
      <w:r>
        <w:rPr>
          <w:rFonts w:ascii="Arial" w:eastAsia="Calibri" w:hAnsi="Arial" w:cs="Arial"/>
          <w:sz w:val="22"/>
        </w:rPr>
        <w:t>Teniendo en cuenta esta explicación</w:t>
      </w:r>
      <w:r w:rsidRPr="003A02EB">
        <w:rPr>
          <w:rFonts w:ascii="Arial" w:eastAsia="Calibri" w:hAnsi="Arial" w:cs="Arial"/>
          <w:sz w:val="22"/>
        </w:rPr>
        <w:t xml:space="preserve">, se tiene que para el primer lote la entidad asignó el método de </w:t>
      </w:r>
      <w:r>
        <w:rPr>
          <w:rFonts w:ascii="Arial" w:eastAsia="Calibri" w:hAnsi="Arial" w:cs="Arial"/>
          <w:sz w:val="22"/>
        </w:rPr>
        <w:t xml:space="preserve">mediana con valor absoluto </w:t>
      </w:r>
      <w:r w:rsidRPr="003A02EB">
        <w:rPr>
          <w:rFonts w:ascii="Arial" w:eastAsia="Calibri" w:hAnsi="Arial" w:cs="Arial"/>
          <w:sz w:val="22"/>
        </w:rPr>
        <w:t>de acuerdo con la TRM, por lo que para el segundo lote se debería seguir la regla y tomar el siguiente método en orden ascendente, y así sucesivamente. Es decir, al segu</w:t>
      </w:r>
      <w:r>
        <w:rPr>
          <w:rFonts w:ascii="Arial" w:eastAsia="Calibri" w:hAnsi="Arial" w:cs="Arial"/>
          <w:sz w:val="22"/>
        </w:rPr>
        <w:t>ndo lote le corresponde la media geométrica</w:t>
      </w:r>
      <w:r w:rsidRPr="003A02EB">
        <w:rPr>
          <w:rFonts w:ascii="Arial" w:eastAsia="Calibri" w:hAnsi="Arial" w:cs="Arial"/>
          <w:sz w:val="22"/>
        </w:rPr>
        <w:t xml:space="preserve">, esto es, el </w:t>
      </w:r>
      <w:r>
        <w:rPr>
          <w:rFonts w:ascii="Arial" w:eastAsia="Calibri" w:hAnsi="Arial" w:cs="Arial"/>
          <w:sz w:val="22"/>
        </w:rPr>
        <w:t>método número dos. El tercer lote le corresponde</w:t>
      </w:r>
      <w:r w:rsidRPr="003A02EB">
        <w:rPr>
          <w:rFonts w:ascii="Arial" w:eastAsia="Calibri" w:hAnsi="Arial" w:cs="Arial"/>
          <w:sz w:val="22"/>
        </w:rPr>
        <w:t xml:space="preserve"> el método</w:t>
      </w:r>
      <w:r>
        <w:rPr>
          <w:rFonts w:ascii="Arial" w:eastAsia="Calibri" w:hAnsi="Arial" w:cs="Arial"/>
          <w:sz w:val="22"/>
        </w:rPr>
        <w:t xml:space="preserve"> media aritmética baja</w:t>
      </w:r>
      <w:r w:rsidRPr="003A02EB">
        <w:rPr>
          <w:rFonts w:ascii="Arial" w:eastAsia="Calibri" w:hAnsi="Arial" w:cs="Arial"/>
          <w:sz w:val="22"/>
        </w:rPr>
        <w:t xml:space="preserve">, es decir, el </w:t>
      </w:r>
      <w:r>
        <w:rPr>
          <w:rFonts w:ascii="Arial" w:eastAsia="Calibri" w:hAnsi="Arial" w:cs="Arial"/>
          <w:sz w:val="22"/>
        </w:rPr>
        <w:t xml:space="preserve">tercer método; </w:t>
      </w:r>
      <w:proofErr w:type="gramStart"/>
      <w:r>
        <w:rPr>
          <w:rFonts w:ascii="Arial" w:eastAsia="Calibri" w:hAnsi="Arial" w:cs="Arial"/>
          <w:sz w:val="22"/>
        </w:rPr>
        <w:t>y</w:t>
      </w:r>
      <w:proofErr w:type="gramEnd"/>
      <w:r>
        <w:rPr>
          <w:rFonts w:ascii="Arial" w:eastAsia="Calibri" w:hAnsi="Arial" w:cs="Arial"/>
          <w:sz w:val="22"/>
        </w:rPr>
        <w:t xml:space="preserve"> por último, el cuarto lote le corresponde el método de menor valor. </w:t>
      </w:r>
      <w:r w:rsidRPr="003A02EB">
        <w:rPr>
          <w:rFonts w:ascii="Arial" w:eastAsia="Calibri" w:hAnsi="Arial" w:cs="Arial"/>
          <w:sz w:val="22"/>
        </w:rPr>
        <w:t xml:space="preserve"> </w:t>
      </w:r>
    </w:p>
    <w:p w14:paraId="05011FEB" w14:textId="0EE09B25" w:rsidR="0028382A" w:rsidRPr="0028382A" w:rsidRDefault="003567B6" w:rsidP="008C1555">
      <w:pPr>
        <w:spacing w:before="120" w:after="120" w:line="276" w:lineRule="auto"/>
        <w:ind w:firstLine="709"/>
        <w:jc w:val="both"/>
        <w:rPr>
          <w:rFonts w:ascii="Arial" w:eastAsia="Calibri" w:hAnsi="Arial" w:cs="Arial"/>
          <w:sz w:val="22"/>
        </w:rPr>
      </w:pPr>
      <w:r w:rsidRPr="003A02EB">
        <w:rPr>
          <w:rFonts w:ascii="Arial" w:eastAsia="Calibri" w:hAnsi="Arial" w:cs="Arial"/>
          <w:sz w:val="22"/>
        </w:rPr>
        <w:t>Finalmente, dado que en es</w:t>
      </w:r>
      <w:r>
        <w:rPr>
          <w:rFonts w:ascii="Arial" w:eastAsia="Calibri" w:hAnsi="Arial" w:cs="Arial"/>
          <w:sz w:val="22"/>
        </w:rPr>
        <w:t xml:space="preserve">te caso el proceso se puede estructurar en más de 4 lotes, </w:t>
      </w:r>
      <w:r w:rsidRPr="003A02EB">
        <w:rPr>
          <w:rFonts w:ascii="Arial" w:eastAsia="Calibri" w:hAnsi="Arial" w:cs="Arial"/>
          <w:sz w:val="22"/>
        </w:rPr>
        <w:t xml:space="preserve">debe aplicarse la regla según la cual «se reiniciará desde el primer método en caso de agotarse el último método», por lo que al </w:t>
      </w:r>
      <w:r>
        <w:rPr>
          <w:rFonts w:ascii="Arial" w:eastAsia="Calibri" w:hAnsi="Arial" w:cs="Arial"/>
          <w:sz w:val="22"/>
        </w:rPr>
        <w:t xml:space="preserve">quinto </w:t>
      </w:r>
      <w:r w:rsidRPr="003A02EB">
        <w:rPr>
          <w:rFonts w:ascii="Arial" w:eastAsia="Calibri" w:hAnsi="Arial" w:cs="Arial"/>
          <w:sz w:val="22"/>
        </w:rPr>
        <w:t>lote le correspondería el método de me</w:t>
      </w:r>
      <w:r>
        <w:rPr>
          <w:rFonts w:ascii="Arial" w:eastAsia="Calibri" w:hAnsi="Arial" w:cs="Arial"/>
          <w:sz w:val="22"/>
        </w:rPr>
        <w:t xml:space="preserve">diana con valor absoluto, al sexto </w:t>
      </w:r>
      <w:r w:rsidRPr="003A02EB">
        <w:rPr>
          <w:rFonts w:ascii="Arial" w:eastAsia="Calibri" w:hAnsi="Arial" w:cs="Arial"/>
          <w:sz w:val="22"/>
        </w:rPr>
        <w:t xml:space="preserve">lote el método de media geométrica, al </w:t>
      </w:r>
      <w:r>
        <w:rPr>
          <w:rFonts w:ascii="Arial" w:eastAsia="Calibri" w:hAnsi="Arial" w:cs="Arial"/>
          <w:sz w:val="22"/>
        </w:rPr>
        <w:t xml:space="preserve">séptimo </w:t>
      </w:r>
      <w:r w:rsidRPr="003A02EB">
        <w:rPr>
          <w:rFonts w:ascii="Arial" w:eastAsia="Calibri" w:hAnsi="Arial" w:cs="Arial"/>
          <w:sz w:val="22"/>
        </w:rPr>
        <w:t xml:space="preserve">lote el método </w:t>
      </w:r>
      <w:r>
        <w:rPr>
          <w:rFonts w:ascii="Arial" w:eastAsia="Calibri" w:hAnsi="Arial" w:cs="Arial"/>
          <w:sz w:val="22"/>
        </w:rPr>
        <w:t xml:space="preserve">de media aritmética baja y, así sucesivamente. </w:t>
      </w:r>
    </w:p>
    <w:p w14:paraId="0DB72472" w14:textId="46C55E25" w:rsidR="00904CD9" w:rsidRPr="00BB0056" w:rsidRDefault="00904CD9" w:rsidP="008437E8">
      <w:pPr>
        <w:spacing w:after="120" w:line="276" w:lineRule="auto"/>
        <w:jc w:val="both"/>
        <w:rPr>
          <w:rFonts w:ascii="Arial" w:eastAsia="Calibri" w:hAnsi="Arial" w:cs="Arial"/>
          <w:sz w:val="22"/>
          <w:lang w:val="es-CO"/>
        </w:rPr>
      </w:pPr>
      <w:r w:rsidRPr="00BB0056">
        <w:rPr>
          <w:rFonts w:ascii="Arial" w:eastAsia="Calibri" w:hAnsi="Arial" w:cs="Arial"/>
          <w:sz w:val="22"/>
          <w:lang w:val="es-CO"/>
        </w:rPr>
        <w:t>Este concepto tiene el alcance previsto en el artículo 28 del Código de Procedimiento Administrativo y de</w:t>
      </w:r>
      <w:r w:rsidR="008437E8">
        <w:rPr>
          <w:rFonts w:ascii="Arial" w:eastAsia="Calibri" w:hAnsi="Arial" w:cs="Arial"/>
          <w:sz w:val="22"/>
          <w:lang w:val="es-CO"/>
        </w:rPr>
        <w:t xml:space="preserve"> lo Contencioso Administrativo.</w:t>
      </w:r>
      <w:r w:rsidRPr="00BB0056">
        <w:rPr>
          <w:noProof/>
          <w:lang w:val="en-US"/>
        </w:rPr>
        <mc:AlternateContent>
          <mc:Choice Requires="wps">
            <w:drawing>
              <wp:anchor distT="0" distB="0" distL="114300" distR="114300" simplePos="0" relativeHeight="251659264" behindDoc="0" locked="0" layoutInCell="1" allowOverlap="1" wp14:anchorId="188B94D4" wp14:editId="3DD956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62ABC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362FBE17" w14:textId="65257AF3" w:rsidR="00904CD9" w:rsidRPr="00BB0056" w:rsidRDefault="00904CD9" w:rsidP="00904CD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1D9B2D4C" w14:textId="77777777" w:rsidR="005A56D5" w:rsidRDefault="005A56D5" w:rsidP="00C175DA">
      <w:pPr>
        <w:jc w:val="center"/>
        <w:rPr>
          <w:noProof/>
          <w:lang w:val="es-CO"/>
        </w:rPr>
      </w:pPr>
      <w:r w:rsidRPr="00B865D7">
        <w:rPr>
          <w:rFonts w:ascii="Arial" w:hAnsi="Arial" w:cs="Arial"/>
          <w:noProof/>
          <w:sz w:val="18"/>
          <w:szCs w:val="18"/>
          <w:lang w:val="es-ES" w:eastAsia="es-ES"/>
        </w:rPr>
        <w:drawing>
          <wp:inline distT="0" distB="0" distL="0" distR="0" wp14:anchorId="6A372F3D" wp14:editId="621C2813">
            <wp:extent cx="2561590" cy="117157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611802" cy="1194540"/>
                    </a:xfrm>
                    <a:prstGeom prst="rect">
                      <a:avLst/>
                    </a:prstGeom>
                  </pic:spPr>
                </pic:pic>
              </a:graphicData>
            </a:graphic>
          </wp:inline>
        </w:drawing>
      </w:r>
    </w:p>
    <w:p w14:paraId="5512A43C" w14:textId="28D20F21" w:rsidR="00904CD9" w:rsidRPr="00C175DA" w:rsidRDefault="00904CD9" w:rsidP="00C175DA">
      <w:pPr>
        <w:jc w:val="center"/>
        <w:rPr>
          <w:rFonts w:ascii="Arial" w:eastAsia="Times New Roman" w:hAnsi="Arial" w:cs="Arial"/>
          <w:sz w:val="22"/>
          <w:lang w:val="es-CO" w:eastAsia="es-CO"/>
        </w:rPr>
      </w:pPr>
      <w:r w:rsidRPr="00BB0056">
        <w:rPr>
          <w:noProof/>
          <w:lang w:val="es-CO"/>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4CD9" w:rsidRPr="00BB0056" w14:paraId="2464DB35" w14:textId="77777777" w:rsidTr="00C67675">
        <w:trPr>
          <w:trHeight w:val="315"/>
        </w:trPr>
        <w:tc>
          <w:tcPr>
            <w:tcW w:w="488" w:type="dxa"/>
            <w:vAlign w:val="center"/>
            <w:hideMark/>
          </w:tcPr>
          <w:p w14:paraId="47337C6B"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A4C4AD5" w14:textId="77777777" w:rsidR="00DF0A9C" w:rsidRDefault="00DF0A9C" w:rsidP="004E1E4A">
            <w:pPr>
              <w:rPr>
                <w:rFonts w:ascii="Arial" w:eastAsia="Times New Roman" w:hAnsi="Arial" w:cs="Arial"/>
                <w:sz w:val="16"/>
                <w:szCs w:val="16"/>
                <w:lang w:val="es-CO" w:eastAsia="es-ES"/>
              </w:rPr>
            </w:pPr>
            <w:r>
              <w:rPr>
                <w:rFonts w:ascii="Arial" w:eastAsia="Times New Roman" w:hAnsi="Arial" w:cs="Arial"/>
                <w:sz w:val="16"/>
                <w:szCs w:val="16"/>
                <w:lang w:val="es-CO" w:eastAsia="es-ES"/>
              </w:rPr>
              <w:t>José Luis Sánchez Cardona</w:t>
            </w:r>
          </w:p>
          <w:p w14:paraId="2EE50E5D" w14:textId="267E164D" w:rsidR="00904CD9" w:rsidRPr="00BB0056" w:rsidRDefault="00DF0A9C" w:rsidP="00DF0A9C">
            <w:pPr>
              <w:rPr>
                <w:rFonts w:ascii="Arial" w:eastAsia="Times New Roman" w:hAnsi="Arial" w:cs="Arial"/>
                <w:sz w:val="16"/>
                <w:szCs w:val="16"/>
                <w:lang w:val="es-CO" w:eastAsia="es-ES"/>
              </w:rPr>
            </w:pPr>
            <w:r>
              <w:rPr>
                <w:rFonts w:ascii="Arial" w:eastAsia="Times New Roman" w:hAnsi="Arial" w:cs="Arial"/>
                <w:sz w:val="16"/>
                <w:szCs w:val="16"/>
                <w:lang w:val="es-CO" w:eastAsia="es-ES"/>
              </w:rPr>
              <w:t xml:space="preserve">Contratista </w:t>
            </w:r>
            <w:r w:rsidR="004E1E4A" w:rsidRPr="004E1E4A">
              <w:rPr>
                <w:rFonts w:ascii="Arial" w:eastAsia="Times New Roman" w:hAnsi="Arial" w:cs="Arial"/>
                <w:sz w:val="16"/>
                <w:szCs w:val="16"/>
                <w:lang w:val="es-CO" w:eastAsia="es-ES"/>
              </w:rPr>
              <w:t>de la Subdirección de Gestión Contractual</w:t>
            </w:r>
          </w:p>
        </w:tc>
      </w:tr>
      <w:tr w:rsidR="00904CD9" w:rsidRPr="00BB0056" w14:paraId="29969DA1" w14:textId="77777777" w:rsidTr="00C67675">
        <w:trPr>
          <w:trHeight w:val="330"/>
        </w:trPr>
        <w:tc>
          <w:tcPr>
            <w:tcW w:w="488" w:type="dxa"/>
            <w:vAlign w:val="center"/>
            <w:hideMark/>
          </w:tcPr>
          <w:p w14:paraId="4C3A366D"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EDF0B6" w14:textId="5467CF1C" w:rsidR="004E1E4A" w:rsidRPr="00BB0056" w:rsidRDefault="00D50CC2" w:rsidP="004E1E4A">
            <w:pPr>
              <w:rPr>
                <w:rFonts w:ascii="Arial" w:eastAsia="Times New Roman" w:hAnsi="Arial" w:cs="Arial"/>
                <w:sz w:val="16"/>
                <w:szCs w:val="16"/>
                <w:lang w:val="es-CO" w:eastAsia="es-ES"/>
              </w:rPr>
            </w:pPr>
            <w:r>
              <w:rPr>
                <w:rFonts w:ascii="Arial" w:eastAsia="Times New Roman" w:hAnsi="Arial" w:cs="Arial"/>
                <w:sz w:val="16"/>
                <w:szCs w:val="16"/>
                <w:lang w:val="es-CO" w:eastAsia="es-ES"/>
              </w:rPr>
              <w:t>Cristián Andrés Díaz Díez</w:t>
            </w:r>
          </w:p>
          <w:p w14:paraId="69241DC2" w14:textId="0DA51DD2" w:rsidR="00B243F7" w:rsidRPr="00B243F7" w:rsidRDefault="00D50CC2" w:rsidP="000F6869">
            <w:pPr>
              <w:rPr>
                <w:rFonts w:ascii="Arial" w:eastAsia="Times New Roman" w:hAnsi="Arial" w:cs="Arial"/>
                <w:sz w:val="14"/>
                <w:szCs w:val="14"/>
                <w:lang w:eastAsia="es-ES"/>
              </w:rPr>
            </w:pPr>
            <w:r>
              <w:rPr>
                <w:rFonts w:ascii="Arial" w:eastAsia="Times New Roman" w:hAnsi="Arial" w:cs="Arial"/>
                <w:sz w:val="16"/>
                <w:szCs w:val="16"/>
                <w:lang w:val="es-CO" w:eastAsia="es-ES"/>
              </w:rPr>
              <w:t xml:space="preserve">Contratista de </w:t>
            </w:r>
            <w:r w:rsidR="004E1E4A" w:rsidRPr="00BB0056">
              <w:rPr>
                <w:rFonts w:ascii="Arial" w:eastAsia="Times New Roman" w:hAnsi="Arial" w:cs="Arial"/>
                <w:sz w:val="16"/>
                <w:szCs w:val="16"/>
                <w:lang w:val="es-CO" w:eastAsia="es-ES"/>
              </w:rPr>
              <w:t>la Subdirección de Gestión Contractual</w:t>
            </w:r>
            <w:r w:rsidR="004E1E4A" w:rsidRPr="00485F24">
              <w:rPr>
                <w:rFonts w:ascii="Arial" w:eastAsia="Times New Roman" w:hAnsi="Arial" w:cs="Arial"/>
                <w:sz w:val="16"/>
                <w:szCs w:val="16"/>
                <w:lang w:val="es-CO" w:eastAsia="es-ES"/>
              </w:rPr>
              <w:t xml:space="preserve"> </w:t>
            </w:r>
          </w:p>
        </w:tc>
      </w:tr>
      <w:tr w:rsidR="00904CD9" w:rsidRPr="00BB0056" w14:paraId="7602497E" w14:textId="77777777" w:rsidTr="00C67675">
        <w:trPr>
          <w:trHeight w:val="300"/>
        </w:trPr>
        <w:tc>
          <w:tcPr>
            <w:tcW w:w="488" w:type="dxa"/>
            <w:vAlign w:val="center"/>
            <w:hideMark/>
          </w:tcPr>
          <w:p w14:paraId="1229F086"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FCFFA5"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1DE85B46" w14:textId="7E9D2E4D"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sidR="00720966">
              <w:rPr>
                <w:rFonts w:ascii="Arial" w:eastAsia="Times New Roman" w:hAnsi="Arial" w:cs="Arial"/>
                <w:sz w:val="16"/>
                <w:szCs w:val="16"/>
                <w:lang w:val="es-CO" w:eastAsia="es-ES"/>
              </w:rPr>
              <w:t xml:space="preserve"> ANCP – CCE</w:t>
            </w:r>
          </w:p>
        </w:tc>
      </w:tr>
    </w:tbl>
    <w:p w14:paraId="7EBF297E" w14:textId="1B6AC04C" w:rsidR="007B0854" w:rsidRPr="00904CD9" w:rsidRDefault="007B0854" w:rsidP="00904CD9"/>
    <w:sectPr w:rsidR="007B0854" w:rsidRPr="00904CD9"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E7BC" w14:textId="77777777" w:rsidR="003471BA" w:rsidRDefault="003471BA">
      <w:r>
        <w:separator/>
      </w:r>
    </w:p>
  </w:endnote>
  <w:endnote w:type="continuationSeparator" w:id="0">
    <w:p w14:paraId="7FEEB01E" w14:textId="77777777" w:rsidR="003471BA" w:rsidRDefault="0034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Calibri">
    <w:altName w:val="Arial"/>
    <w:charset w:val="00"/>
    <w:family w:val="roman"/>
    <w:pitch w:val="default"/>
  </w:font>
  <w:font w:name="Arial,Times New Roman">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C65F11" w:rsidRDefault="00C65F11" w:rsidP="00B6444C">
    <w:pPr>
      <w:pStyle w:val="Sinespaciado"/>
      <w:rPr>
        <w:rFonts w:ascii="Arial" w:hAnsi="Arial" w:cs="Arial"/>
        <w:sz w:val="18"/>
        <w:szCs w:val="18"/>
      </w:rPr>
    </w:pPr>
  </w:p>
  <w:p w14:paraId="53DF6B5B" w14:textId="77777777" w:rsidR="00C65F11" w:rsidRDefault="00C65F11" w:rsidP="00B6444C">
    <w:pPr>
      <w:pStyle w:val="Sinespaciado"/>
      <w:rPr>
        <w:rFonts w:ascii="Arial" w:hAnsi="Arial" w:cs="Arial"/>
        <w:sz w:val="18"/>
        <w:szCs w:val="18"/>
      </w:rPr>
    </w:pPr>
  </w:p>
  <w:p w14:paraId="312C4A14" w14:textId="3B507045" w:rsidR="00C65F11" w:rsidRPr="005A79FE" w:rsidRDefault="00C65F11"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175DA">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175DA">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4A5E79D2" w:rsidR="00C65F11" w:rsidRDefault="00C65F11" w:rsidP="007B0854">
    <w:pPr>
      <w:pStyle w:val="Piedepgina"/>
      <w:jc w:val="center"/>
      <w:rPr>
        <w:lang w:val="es-ES"/>
      </w:rPr>
    </w:pPr>
    <w:r>
      <w:rPr>
        <w:noProof/>
        <w:lang w:val="en-US"/>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C65F11" w:rsidRDefault="00C65F11" w:rsidP="007B0854">
    <w:pPr>
      <w:pStyle w:val="Piedepgina"/>
      <w:jc w:val="center"/>
      <w:rPr>
        <w:lang w:val="es-ES"/>
      </w:rPr>
    </w:pPr>
  </w:p>
  <w:p w14:paraId="645768A8" w14:textId="77777777" w:rsidR="00C65F11" w:rsidRPr="007B0854" w:rsidRDefault="00C65F11"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1B0F" w14:textId="77777777" w:rsidR="003471BA" w:rsidRDefault="003471BA">
      <w:r>
        <w:separator/>
      </w:r>
    </w:p>
  </w:footnote>
  <w:footnote w:type="continuationSeparator" w:id="0">
    <w:p w14:paraId="62E6D039" w14:textId="77777777" w:rsidR="003471BA" w:rsidRDefault="003471BA">
      <w:r>
        <w:continuationSeparator/>
      </w:r>
    </w:p>
  </w:footnote>
  <w:footnote w:id="1">
    <w:p w14:paraId="16BAC917" w14:textId="5069AC7B" w:rsidR="00C65F11" w:rsidRPr="005A5BF9" w:rsidRDefault="00C65F11" w:rsidP="00CF7584">
      <w:pPr>
        <w:pStyle w:val="Textonotapie"/>
        <w:ind w:firstLine="709"/>
        <w:jc w:val="both"/>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footnote>
  <w:footnote w:id="2">
    <w:p w14:paraId="0D8088F0" w14:textId="5BC78F02" w:rsidR="00C65F11" w:rsidRPr="005A5BF9" w:rsidRDefault="00C65F11" w:rsidP="00CF7584">
      <w:pPr>
        <w:pStyle w:val="Textonotapie"/>
        <w:ind w:firstLine="709"/>
        <w:rPr>
          <w:rFonts w:ascii="Arial" w:eastAsia="Times New Roman"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eastAsia="Times New Roman" w:hAnsi="Arial" w:cs="Arial"/>
          <w:color w:val="000000"/>
          <w:sz w:val="19"/>
          <w:szCs w:val="19"/>
          <w:bdr w:val="none" w:sz="0" w:space="0" w:color="auto" w:frame="1"/>
          <w:lang w:eastAsia="es-CO"/>
        </w:rPr>
        <w:t>Diario Oficial. Gaceta del Congreso 458 de 2005.  </w:t>
      </w:r>
    </w:p>
  </w:footnote>
  <w:footnote w:id="3">
    <w:p w14:paraId="2EF20C6F" w14:textId="099F903F" w:rsidR="00C65F11" w:rsidRDefault="00C65F11" w:rsidP="00CF7584">
      <w:pPr>
        <w:pStyle w:val="Textonotapie"/>
        <w:ind w:firstLine="709"/>
        <w:rPr>
          <w:rFonts w:ascii="Arial" w:hAnsi="Arial" w:cs="Arial"/>
          <w:sz w:val="19"/>
          <w:szCs w:val="19"/>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sz w:val="19"/>
          <w:szCs w:val="19"/>
        </w:rPr>
        <w:t>Ibídem.</w:t>
      </w:r>
      <w:r w:rsidRPr="003567B6">
        <w:rPr>
          <w:rFonts w:ascii="Arial" w:hAnsi="Arial" w:cs="Arial"/>
          <w:sz w:val="19"/>
          <w:szCs w:val="19"/>
        </w:rPr>
        <w:t xml:space="preserve">  </w:t>
      </w:r>
    </w:p>
    <w:p w14:paraId="496D72CA" w14:textId="77777777" w:rsidR="003567B6" w:rsidRPr="003567B6" w:rsidRDefault="003567B6" w:rsidP="00CF7584">
      <w:pPr>
        <w:pStyle w:val="Textonotapie"/>
        <w:ind w:firstLine="709"/>
        <w:rPr>
          <w:rFonts w:ascii="Arial" w:hAnsi="Arial" w:cs="Arial"/>
          <w:sz w:val="19"/>
          <w:szCs w:val="19"/>
        </w:rPr>
      </w:pPr>
    </w:p>
  </w:footnote>
  <w:footnote w:id="4">
    <w:p w14:paraId="16D3D5B2" w14:textId="77777777" w:rsidR="00C65F11" w:rsidRPr="00BE6711" w:rsidRDefault="00C65F11" w:rsidP="002A4E44">
      <w:pPr>
        <w:shd w:val="clear" w:color="auto" w:fill="FFFFFF"/>
        <w:ind w:firstLine="709"/>
        <w:jc w:val="both"/>
        <w:textAlignment w:val="baseline"/>
        <w:rPr>
          <w:rFonts w:ascii="Arial" w:hAnsi="Arial" w:cs="Arial"/>
          <w:color w:val="000000"/>
          <w:sz w:val="19"/>
          <w:szCs w:val="19"/>
          <w:bdr w:val="none" w:sz="0" w:space="0" w:color="auto" w:frame="1"/>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Diario Oficial. Gaceta del Congreso 416 de 2007, Informe de Conciliación Senado. </w:t>
      </w:r>
    </w:p>
    <w:p w14:paraId="57B9B932"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p>
  </w:footnote>
  <w:footnote w:id="5">
    <w:p w14:paraId="0B02A176"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r w:rsidRPr="003567B6">
        <w:rPr>
          <w:rStyle w:val="Refdenotaalpie"/>
          <w:rFonts w:ascii="Arial" w:hAnsi="Arial" w:cs="Arial"/>
          <w:sz w:val="19"/>
          <w:szCs w:val="19"/>
        </w:rPr>
        <w:footnoteRef/>
      </w:r>
      <w:r w:rsidRPr="003567B6">
        <w:rPr>
          <w:rFonts w:ascii="Arial" w:hAnsi="Arial" w:cs="Arial"/>
          <w:sz w:val="19"/>
          <w:szCs w:val="19"/>
        </w:rPr>
        <w:t xml:space="preserve"> </w:t>
      </w:r>
      <w:r w:rsidRPr="005A5BF9">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7EF8EDBA"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proofErr w:type="gramStart"/>
      <w:r w:rsidRPr="005A5BF9">
        <w:rPr>
          <w:rFonts w:ascii="Arial" w:hAnsi="Arial" w:cs="Arial"/>
          <w:color w:val="000000"/>
          <w:sz w:val="19"/>
          <w:szCs w:val="19"/>
          <w:bdr w:val="none" w:sz="0" w:space="0" w:color="auto" w:frame="1"/>
          <w:lang w:eastAsia="es-CO"/>
        </w:rPr>
        <w:t>»Dentro</w:t>
      </w:r>
      <w:proofErr w:type="gramEnd"/>
      <w:r w:rsidRPr="005A5BF9">
        <w:rPr>
          <w:rFonts w:ascii="Arial" w:hAnsi="Arial" w:cs="Arial"/>
          <w:color w:val="000000"/>
          <w:sz w:val="19"/>
          <w:szCs w:val="19"/>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EC4EBD0"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proofErr w:type="gramStart"/>
      <w:r w:rsidRPr="005A5BF9">
        <w:rPr>
          <w:rFonts w:ascii="Arial" w:hAnsi="Arial" w:cs="Arial"/>
          <w:color w:val="000000"/>
          <w:sz w:val="19"/>
          <w:szCs w:val="19"/>
          <w:bdr w:val="none" w:sz="0" w:space="0" w:color="auto" w:frame="1"/>
          <w:lang w:eastAsia="es-CO"/>
        </w:rPr>
        <w:t>»Con</w:t>
      </w:r>
      <w:proofErr w:type="gramEnd"/>
      <w:r w:rsidRPr="005A5BF9">
        <w:rPr>
          <w:rFonts w:ascii="Arial" w:hAnsi="Arial" w:cs="Arial"/>
          <w:color w:val="000000"/>
          <w:sz w:val="19"/>
          <w:szCs w:val="19"/>
          <w:bdr w:val="none" w:sz="0" w:space="0" w:color="auto" w:frame="1"/>
          <w:lang w:eastAsia="es-CO"/>
        </w:rPr>
        <w:t xml:space="preserve"> el ánimo de promover la descentralización, el empleo local, el desarrollo, los </w:t>
      </w:r>
      <w:r w:rsidRPr="00BE6711">
        <w:rPr>
          <w:rFonts w:ascii="Arial" w:hAnsi="Arial" w:cs="Arial"/>
          <w:color w:val="000000"/>
          <w:sz w:val="19"/>
          <w:szCs w:val="19"/>
          <w:bdr w:val="none" w:sz="0" w:space="0" w:color="auto" w:frame="1"/>
          <w:lang w:eastAsia="es-CO"/>
        </w:rPr>
        <w:t>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53974C20" w14:textId="77777777" w:rsidR="00C65F11" w:rsidRPr="003567B6" w:rsidRDefault="00C65F11" w:rsidP="002A4E44">
      <w:pPr>
        <w:shd w:val="clear" w:color="auto" w:fill="FFFFFF"/>
        <w:ind w:firstLine="709"/>
        <w:jc w:val="both"/>
        <w:textAlignment w:val="baseline"/>
        <w:rPr>
          <w:rFonts w:ascii="Arial" w:hAnsi="Arial" w:cs="Arial"/>
          <w:color w:val="000000"/>
          <w:sz w:val="19"/>
          <w:szCs w:val="19"/>
          <w:lang w:eastAsia="es-CO"/>
        </w:rPr>
      </w:pPr>
      <w:r w:rsidRPr="005A5BF9">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E503EFD" w14:textId="77777777" w:rsidR="00C65F11" w:rsidRPr="003567B6" w:rsidRDefault="00C65F11" w:rsidP="002A4E44">
      <w:pPr>
        <w:shd w:val="clear" w:color="auto" w:fill="FFFFFF"/>
        <w:ind w:firstLine="708"/>
        <w:jc w:val="both"/>
        <w:textAlignment w:val="baseline"/>
        <w:rPr>
          <w:rFonts w:ascii="Arial" w:hAnsi="Arial" w:cs="Arial"/>
          <w:color w:val="000000"/>
          <w:sz w:val="19"/>
          <w:szCs w:val="19"/>
          <w:lang w:eastAsia="es-CO"/>
        </w:rPr>
      </w:pPr>
      <w:proofErr w:type="gramStart"/>
      <w:r w:rsidRPr="005A5BF9">
        <w:rPr>
          <w:rFonts w:ascii="Arial" w:hAnsi="Arial" w:cs="Arial"/>
          <w:color w:val="000000"/>
          <w:sz w:val="19"/>
          <w:szCs w:val="19"/>
          <w:bdr w:val="none" w:sz="0" w:space="0" w:color="auto" w:frame="1"/>
          <w:lang w:eastAsia="es-CO"/>
        </w:rPr>
        <w:t>»En</w:t>
      </w:r>
      <w:proofErr w:type="gramEnd"/>
      <w:r w:rsidRPr="005A5BF9">
        <w:rPr>
          <w:rFonts w:ascii="Arial" w:hAnsi="Arial" w:cs="Arial"/>
          <w:color w:val="000000"/>
          <w:sz w:val="19"/>
          <w:szCs w:val="19"/>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178D682C" w14:textId="77777777" w:rsidR="00C65F11" w:rsidRPr="003567B6" w:rsidRDefault="00C65F11" w:rsidP="002A4E44">
      <w:pPr>
        <w:pStyle w:val="Textonotapie"/>
        <w:rPr>
          <w:rFonts w:ascii="Arial" w:hAnsi="Arial" w:cs="Arial"/>
          <w:sz w:val="19"/>
          <w:szCs w:val="19"/>
        </w:rPr>
      </w:pPr>
    </w:p>
  </w:footnote>
  <w:footnote w:id="6">
    <w:p w14:paraId="46BA95B3" w14:textId="77777777" w:rsidR="008437E8" w:rsidRPr="005A0B35" w:rsidRDefault="008437E8" w:rsidP="008437E8">
      <w:pPr>
        <w:pStyle w:val="Textonotapie"/>
        <w:ind w:firstLine="708"/>
        <w:jc w:val="both"/>
        <w:rPr>
          <w:rFonts w:ascii="Arial" w:hAnsi="Arial" w:cs="Arial"/>
          <w:color w:val="000000" w:themeColor="text1"/>
          <w:sz w:val="19"/>
          <w:szCs w:val="19"/>
        </w:rPr>
      </w:pPr>
      <w:r w:rsidRPr="00874CC0">
        <w:rPr>
          <w:rStyle w:val="Refdenotaalpie"/>
          <w:rFonts w:ascii="Arial" w:hAnsi="Arial" w:cs="Arial"/>
          <w:color w:val="000000" w:themeColor="text1"/>
          <w:sz w:val="19"/>
          <w:szCs w:val="19"/>
        </w:rPr>
        <w:footnoteRef/>
      </w:r>
      <w:r w:rsidRPr="00874CC0">
        <w:rPr>
          <w:rFonts w:ascii="Arial" w:hAnsi="Arial" w:cs="Arial"/>
          <w:color w:val="000000" w:themeColor="text1"/>
          <w:sz w:val="19"/>
          <w:szCs w:val="19"/>
        </w:rPr>
        <w:t xml:space="preserve"> Ley 1150 de 2007: </w:t>
      </w:r>
      <w:r w:rsidRPr="005A0B35">
        <w:rPr>
          <w:rFonts w:ascii="Arial" w:hAnsi="Arial" w:cs="Arial"/>
          <w:color w:val="000000" w:themeColor="text1"/>
          <w:sz w:val="19"/>
          <w:szCs w:val="19"/>
        </w:rPr>
        <w:t>«Artículo 2. […] «Serán causales de selección abreviada las siguientes:</w:t>
      </w:r>
    </w:p>
    <w:p w14:paraId="7F0DCC11" w14:textId="77777777" w:rsidR="008437E8" w:rsidRPr="005A5BF9" w:rsidRDefault="008437E8" w:rsidP="008437E8">
      <w:pPr>
        <w:pStyle w:val="Textonotapie"/>
        <w:ind w:firstLine="708"/>
        <w:jc w:val="both"/>
        <w:rPr>
          <w:rFonts w:ascii="Arial" w:hAnsi="Arial" w:cs="Arial"/>
          <w:color w:val="000000" w:themeColor="text1"/>
          <w:sz w:val="19"/>
          <w:szCs w:val="19"/>
        </w:rPr>
      </w:pPr>
      <w:r w:rsidRPr="005A5BF9">
        <w:rPr>
          <w:rFonts w:ascii="Arial" w:hAnsi="Arial" w:cs="Arial"/>
          <w:color w:val="000000" w:themeColor="text1"/>
          <w:sz w:val="19"/>
          <w:szCs w:val="19"/>
        </w:rPr>
        <w:t>[...]</w:t>
      </w:r>
    </w:p>
    <w:p w14:paraId="4F5A926C" w14:textId="77777777" w:rsidR="008437E8" w:rsidRPr="005A5BF9" w:rsidRDefault="008437E8" w:rsidP="008437E8">
      <w:pPr>
        <w:pStyle w:val="Textonotapie"/>
        <w:ind w:firstLine="708"/>
        <w:jc w:val="both"/>
        <w:rPr>
          <w:rFonts w:ascii="Arial" w:hAnsi="Arial" w:cs="Arial"/>
          <w:color w:val="000000" w:themeColor="text1"/>
          <w:sz w:val="19"/>
          <w:szCs w:val="19"/>
        </w:rPr>
      </w:pPr>
      <w:proofErr w:type="gramStart"/>
      <w:r w:rsidRPr="005A5BF9">
        <w:rPr>
          <w:rFonts w:ascii="Arial" w:hAnsi="Arial" w:cs="Arial"/>
          <w:color w:val="000000" w:themeColor="text1"/>
          <w:sz w:val="19"/>
          <w:szCs w:val="19"/>
        </w:rPr>
        <w:t>»b</w:t>
      </w:r>
      <w:proofErr w:type="gramEnd"/>
      <w:r w:rsidRPr="005A5BF9">
        <w:rPr>
          <w:rFonts w:ascii="Arial" w:hAnsi="Arial" w:cs="Arial"/>
          <w:color w:val="000000" w:themeColor="text1"/>
          <w:sz w:val="19"/>
          <w:szCs w:val="19"/>
        </w:rPr>
        <w:t>) La contratación de menor cuantía. Se entenderá por menor cuantía los valores que a continuación se relacionan, determinados en función de los presupuestos anuales de las entidades públicas expresados en salarios mínimos legales mensuales [...]».</w:t>
      </w:r>
    </w:p>
    <w:p w14:paraId="60B028F3" w14:textId="77777777" w:rsidR="008437E8" w:rsidRPr="005A5BF9" w:rsidRDefault="008437E8" w:rsidP="008437E8">
      <w:pPr>
        <w:pStyle w:val="Textonotapie"/>
        <w:jc w:val="both"/>
        <w:rPr>
          <w:rFonts w:ascii="Arial" w:hAnsi="Arial" w:cs="Arial"/>
          <w:color w:val="000000" w:themeColor="text1"/>
          <w:sz w:val="19"/>
          <w:szCs w:val="19"/>
        </w:rPr>
      </w:pPr>
    </w:p>
  </w:footnote>
  <w:footnote w:id="7">
    <w:p w14:paraId="611FEBCF" w14:textId="77777777" w:rsidR="008437E8" w:rsidRPr="005A5BF9" w:rsidRDefault="008437E8" w:rsidP="008437E8">
      <w:pPr>
        <w:pStyle w:val="Textonotapie"/>
        <w:ind w:firstLine="709"/>
        <w:jc w:val="both"/>
        <w:rPr>
          <w:rFonts w:ascii="Arial" w:hAnsi="Arial" w:cs="Arial"/>
          <w:color w:val="000000" w:themeColor="text1"/>
          <w:sz w:val="19"/>
          <w:szCs w:val="19"/>
        </w:rPr>
      </w:pPr>
      <w:r w:rsidRPr="00874CC0">
        <w:rPr>
          <w:rStyle w:val="Refdenotaalpie"/>
          <w:rFonts w:ascii="Arial" w:hAnsi="Arial" w:cs="Arial"/>
          <w:color w:val="000000" w:themeColor="text1"/>
          <w:sz w:val="19"/>
          <w:szCs w:val="19"/>
        </w:rPr>
        <w:footnoteRef/>
      </w:r>
      <w:r w:rsidRPr="00874CC0">
        <w:rPr>
          <w:rFonts w:ascii="Arial" w:hAnsi="Arial" w:cs="Arial"/>
          <w:color w:val="000000" w:themeColor="text1"/>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20A655DE" w14:textId="77777777" w:rsidR="008437E8" w:rsidRPr="005A5BF9" w:rsidRDefault="008437E8" w:rsidP="008437E8">
      <w:pPr>
        <w:pStyle w:val="Textonotapie"/>
        <w:ind w:firstLine="708"/>
        <w:jc w:val="both"/>
        <w:rPr>
          <w:rFonts w:ascii="Arial" w:hAnsi="Arial" w:cs="Arial"/>
          <w:color w:val="000000" w:themeColor="text1"/>
          <w:sz w:val="19"/>
          <w:szCs w:val="19"/>
        </w:rPr>
      </w:pPr>
      <w:r w:rsidRPr="005A5BF9">
        <w:rPr>
          <w:rFonts w:ascii="Arial" w:hAnsi="Arial" w:cs="Arial"/>
          <w:color w:val="000000" w:themeColor="text1"/>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2838EE2E" w14:textId="77777777" w:rsidR="008437E8" w:rsidRPr="005A5BF9" w:rsidRDefault="008437E8" w:rsidP="008437E8">
      <w:pPr>
        <w:pStyle w:val="Textonotapie"/>
        <w:ind w:firstLine="709"/>
        <w:jc w:val="both"/>
        <w:rPr>
          <w:rFonts w:ascii="Arial" w:hAnsi="Arial" w:cs="Arial"/>
          <w:color w:val="000000" w:themeColor="text1"/>
          <w:sz w:val="19"/>
          <w:szCs w:val="19"/>
        </w:rPr>
      </w:pPr>
      <w:r w:rsidRPr="005A5BF9">
        <w:rPr>
          <w:rFonts w:ascii="Arial" w:hAnsi="Arial" w:cs="Arial"/>
          <w:color w:val="000000" w:themeColor="text1"/>
          <w:sz w:val="19"/>
          <w:szCs w:val="19"/>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2B162DF5" w14:textId="77777777" w:rsidR="008437E8" w:rsidRPr="005A5BF9" w:rsidRDefault="008437E8" w:rsidP="008437E8">
      <w:pPr>
        <w:pStyle w:val="Textonotapie"/>
        <w:ind w:firstLine="709"/>
        <w:jc w:val="both"/>
        <w:rPr>
          <w:rFonts w:ascii="Arial" w:hAnsi="Arial" w:cs="Arial"/>
          <w:color w:val="000000" w:themeColor="text1"/>
          <w:sz w:val="19"/>
          <w:szCs w:val="19"/>
        </w:rPr>
      </w:pPr>
      <w:r w:rsidRPr="005A5BF9">
        <w:rPr>
          <w:rFonts w:ascii="Arial" w:hAnsi="Arial" w:cs="Arial"/>
          <w:color w:val="000000" w:themeColor="text1"/>
          <w:sz w:val="19"/>
          <w:szCs w:val="19"/>
        </w:rPr>
        <w:t>»3. Si hay lugar a sorteo, el plazo para la presentación de las ofertas empezará a correr el día hábil siguiente a la fecha en la cual la Entidad Estatal informe a los interesados el resultado del sorteo.</w:t>
      </w:r>
    </w:p>
    <w:p w14:paraId="0CEDE247" w14:textId="77777777" w:rsidR="008437E8" w:rsidRPr="005A5BF9" w:rsidRDefault="008437E8" w:rsidP="008437E8">
      <w:pPr>
        <w:pStyle w:val="Textonotapie"/>
        <w:ind w:firstLine="709"/>
        <w:jc w:val="both"/>
        <w:rPr>
          <w:rFonts w:ascii="Arial" w:hAnsi="Arial" w:cs="Arial"/>
          <w:color w:val="000000" w:themeColor="text1"/>
          <w:sz w:val="19"/>
          <w:szCs w:val="19"/>
        </w:rPr>
      </w:pPr>
      <w:r w:rsidRPr="005A5BF9">
        <w:rPr>
          <w:rFonts w:ascii="Arial" w:hAnsi="Arial" w:cs="Arial"/>
          <w:color w:val="000000" w:themeColor="text1"/>
          <w:sz w:val="19"/>
          <w:szCs w:val="19"/>
        </w:rPr>
        <w:t xml:space="preserve">»4. La Entidad Estatal debe publicar el informe de evaluación de ofertas durante tres (3) días hábiles» </w:t>
      </w:r>
    </w:p>
    <w:p w14:paraId="1D0E8234" w14:textId="77777777" w:rsidR="008437E8" w:rsidRPr="005A5BF9" w:rsidRDefault="008437E8" w:rsidP="008437E8">
      <w:pPr>
        <w:pStyle w:val="Textonotapie"/>
        <w:ind w:firstLine="709"/>
        <w:jc w:val="both"/>
        <w:rPr>
          <w:rFonts w:ascii="Arial" w:hAnsi="Arial" w:cs="Arial"/>
          <w:color w:val="000000" w:themeColor="text1"/>
          <w:sz w:val="19"/>
          <w:szCs w:val="19"/>
          <w:lang w:val="es-CO"/>
        </w:rPr>
      </w:pPr>
    </w:p>
  </w:footnote>
  <w:footnote w:id="8">
    <w:p w14:paraId="041CAA6C" w14:textId="411A1E8F" w:rsidR="00745E02" w:rsidRPr="005A5BF9" w:rsidRDefault="00745E02" w:rsidP="00745E02">
      <w:pPr>
        <w:pStyle w:val="Textonotapie"/>
        <w:ind w:firstLine="708"/>
        <w:jc w:val="both"/>
        <w:rPr>
          <w:rFonts w:ascii="Arial" w:hAnsi="Arial" w:cs="Arial"/>
          <w:color w:val="000000" w:themeColor="text1"/>
          <w:sz w:val="19"/>
          <w:szCs w:val="19"/>
        </w:rPr>
      </w:pPr>
      <w:r w:rsidRPr="005A0B35">
        <w:rPr>
          <w:rStyle w:val="Refdenotaalpie"/>
          <w:rFonts w:ascii="Arial" w:hAnsi="Arial" w:cs="Arial"/>
          <w:color w:val="000000" w:themeColor="text1"/>
          <w:sz w:val="19"/>
          <w:szCs w:val="19"/>
        </w:rPr>
        <w:footnoteRef/>
      </w:r>
      <w:r w:rsidRPr="005A0B35">
        <w:rPr>
          <w:rFonts w:ascii="Arial" w:hAnsi="Arial" w:cs="Arial"/>
          <w:color w:val="000000" w:themeColor="text1"/>
          <w:sz w:val="19"/>
          <w:szCs w:val="19"/>
        </w:rPr>
        <w:t xml:space="preserve"> </w:t>
      </w:r>
      <w:r w:rsidR="00D50CC2" w:rsidRPr="005A0B35">
        <w:rPr>
          <w:rFonts w:ascii="Arial" w:hAnsi="Arial" w:cs="Arial"/>
          <w:color w:val="000000" w:themeColor="text1"/>
          <w:sz w:val="19"/>
          <w:szCs w:val="19"/>
        </w:rPr>
        <w:t xml:space="preserve">BANCO DE LA REPÚBLICA. </w:t>
      </w:r>
      <w:r w:rsidRPr="00A2737D">
        <w:rPr>
          <w:rFonts w:ascii="Arial" w:hAnsi="Arial" w:cs="Arial"/>
          <w:color w:val="000000" w:themeColor="text1"/>
          <w:sz w:val="19"/>
          <w:szCs w:val="19"/>
        </w:rPr>
        <w:t>Circular Reglamentaria Externa – DOAM</w:t>
      </w:r>
      <w:r w:rsidR="00D50CC2" w:rsidRPr="002E0FAD">
        <w:rPr>
          <w:rFonts w:ascii="Arial" w:hAnsi="Arial" w:cs="Arial"/>
          <w:color w:val="000000" w:themeColor="text1"/>
          <w:sz w:val="19"/>
          <w:szCs w:val="19"/>
        </w:rPr>
        <w:t>- 146 de 4 de noviembre de 2020</w:t>
      </w:r>
      <w:r w:rsidRPr="005A5BF9">
        <w:rPr>
          <w:rFonts w:ascii="Arial" w:hAnsi="Arial" w:cs="Arial"/>
          <w:color w:val="000000" w:themeColor="text1"/>
          <w:sz w:val="19"/>
          <w:szCs w:val="19"/>
        </w:rPr>
        <w:t xml:space="preserve">. </w:t>
      </w:r>
    </w:p>
    <w:p w14:paraId="5AC29832" w14:textId="77777777" w:rsidR="00745E02" w:rsidRPr="005A5BF9" w:rsidRDefault="00745E02" w:rsidP="00745E02">
      <w:pPr>
        <w:pStyle w:val="Textonotapie"/>
        <w:ind w:firstLine="708"/>
        <w:jc w:val="both"/>
        <w:rPr>
          <w:rFonts w:ascii="Arial" w:hAnsi="Arial" w:cs="Arial"/>
          <w:color w:val="000000" w:themeColor="text1"/>
          <w:sz w:val="19"/>
          <w:szCs w:val="19"/>
        </w:rPr>
      </w:pPr>
    </w:p>
  </w:footnote>
  <w:footnote w:id="9">
    <w:p w14:paraId="7655A162" w14:textId="73287D05" w:rsidR="00745E02" w:rsidRPr="002E0FAD" w:rsidRDefault="00745E02" w:rsidP="00745E02">
      <w:pPr>
        <w:pStyle w:val="Textonotapie"/>
        <w:ind w:firstLine="708"/>
        <w:jc w:val="both"/>
        <w:rPr>
          <w:rFonts w:ascii="Arial" w:hAnsi="Arial" w:cs="Arial"/>
          <w:color w:val="000000" w:themeColor="text1"/>
          <w:sz w:val="19"/>
          <w:szCs w:val="19"/>
        </w:rPr>
      </w:pPr>
      <w:r w:rsidRPr="005A0B35">
        <w:rPr>
          <w:rStyle w:val="Refdenotaalpie"/>
          <w:rFonts w:ascii="Arial" w:hAnsi="Arial" w:cs="Arial"/>
          <w:color w:val="000000" w:themeColor="text1"/>
          <w:sz w:val="19"/>
          <w:szCs w:val="19"/>
        </w:rPr>
        <w:footnoteRef/>
      </w:r>
      <w:r w:rsidRPr="005A0B35">
        <w:rPr>
          <w:rFonts w:ascii="Arial" w:hAnsi="Arial" w:cs="Arial"/>
          <w:color w:val="000000" w:themeColor="text1"/>
          <w:sz w:val="19"/>
          <w:szCs w:val="19"/>
        </w:rPr>
        <w:t xml:space="preserve"> BANCO DE LA REPÚBLICA. Disponible en línea: </w:t>
      </w:r>
      <w:hyperlink r:id="rId1" w:history="1">
        <w:r w:rsidRPr="005A5BF9">
          <w:rPr>
            <w:rStyle w:val="Hipervnculo"/>
            <w:rFonts w:ascii="Arial" w:hAnsi="Arial" w:cs="Arial"/>
            <w:color w:val="000000" w:themeColor="text1"/>
            <w:sz w:val="19"/>
            <w:szCs w:val="19"/>
          </w:rPr>
          <w:t>https://www.banrep.gov.co/es/estadisticas/trm</w:t>
        </w:r>
      </w:hyperlink>
      <w:r w:rsidRPr="005A0B35">
        <w:rPr>
          <w:rStyle w:val="Hipervnculo"/>
          <w:rFonts w:ascii="Arial" w:hAnsi="Arial" w:cs="Arial"/>
          <w:color w:val="000000" w:themeColor="text1"/>
          <w:sz w:val="19"/>
          <w:szCs w:val="19"/>
        </w:rPr>
        <w:t xml:space="preserve">. </w:t>
      </w:r>
      <w:r w:rsidRPr="005A0B35">
        <w:rPr>
          <w:rStyle w:val="Hipervnculo"/>
          <w:rFonts w:ascii="Arial" w:hAnsi="Arial" w:cs="Arial"/>
          <w:color w:val="000000" w:themeColor="text1"/>
          <w:sz w:val="19"/>
          <w:szCs w:val="19"/>
          <w:u w:val="none"/>
        </w:rPr>
        <w:t>Consultado el 3 de diciembre de 2021.</w:t>
      </w:r>
      <w:r w:rsidRPr="00A2737D">
        <w:rPr>
          <w:rStyle w:val="Hipervnculo"/>
          <w:rFonts w:ascii="Arial" w:hAnsi="Arial" w:cs="Arial"/>
          <w:color w:val="000000" w:themeColor="text1"/>
          <w:sz w:val="19"/>
          <w:szCs w:val="19"/>
        </w:rPr>
        <w:t xml:space="preserve"> </w:t>
      </w:r>
      <w:r w:rsidRPr="002E0FAD">
        <w:rPr>
          <w:rFonts w:ascii="Arial" w:hAnsi="Arial" w:cs="Arial"/>
          <w:color w:val="000000" w:themeColor="text1"/>
          <w:sz w:val="19"/>
          <w:szCs w:val="19"/>
        </w:rPr>
        <w:t xml:space="preserve"> </w:t>
      </w:r>
    </w:p>
  </w:footnote>
  <w:footnote w:id="10">
    <w:p w14:paraId="4F16D78C" w14:textId="0A2902E1" w:rsidR="00C65F11" w:rsidRPr="003567B6" w:rsidRDefault="00C65F11" w:rsidP="0058545D">
      <w:pPr>
        <w:pStyle w:val="NormalWeb"/>
        <w:spacing w:before="0" w:beforeAutospacing="0" w:after="0" w:afterAutospacing="0"/>
        <w:ind w:firstLine="708"/>
        <w:jc w:val="both"/>
        <w:rPr>
          <w:rFonts w:ascii="Arial" w:hAnsi="Arial" w:cs="Arial"/>
          <w:sz w:val="19"/>
          <w:szCs w:val="19"/>
        </w:rPr>
      </w:pPr>
      <w:r w:rsidRPr="003567B6">
        <w:rPr>
          <w:rStyle w:val="Refdenotaalpie"/>
          <w:rFonts w:ascii="Arial" w:hAnsi="Arial" w:cs="Arial"/>
          <w:sz w:val="19"/>
          <w:szCs w:val="19"/>
        </w:rPr>
        <w:footnoteRef/>
      </w:r>
      <w:r w:rsidRPr="003567B6">
        <w:rPr>
          <w:rFonts w:ascii="Arial" w:hAnsi="Arial" w:cs="Arial"/>
          <w:sz w:val="19"/>
          <w:szCs w:val="19"/>
        </w:rPr>
        <w:t xml:space="preserve"> </w:t>
      </w:r>
      <w:bookmarkStart w:id="5" w:name="28"/>
      <w:r w:rsidRPr="003567B6">
        <w:rPr>
          <w:rFonts w:ascii="Arial" w:hAnsi="Arial" w:cs="Arial"/>
          <w:bCs/>
          <w:sz w:val="19"/>
          <w:szCs w:val="19"/>
        </w:rPr>
        <w:t>ARTICULO 28 del Código Civil. &lt;SIGNIFICADO DE LAS PALABRAS&gt;.</w:t>
      </w:r>
      <w:bookmarkEnd w:id="5"/>
      <w:r w:rsidRPr="003567B6">
        <w:rPr>
          <w:rFonts w:ascii="Arial" w:hAnsi="Arial" w:cs="Arial"/>
          <w:sz w:val="19"/>
          <w:szCs w:val="19"/>
        </w:rPr>
        <w:t xml:space="preserve"> Las palabras de la ley se entenderán en su sentido natural y obvio, según el uso general de las mismas palabras; pero cuando el legislador las haya </w:t>
      </w:r>
      <w:proofErr w:type="gramStart"/>
      <w:r w:rsidRPr="003567B6">
        <w:rPr>
          <w:rFonts w:ascii="Arial" w:hAnsi="Arial" w:cs="Arial"/>
          <w:sz w:val="19"/>
          <w:szCs w:val="19"/>
        </w:rPr>
        <w:t>definido  expresamente</w:t>
      </w:r>
      <w:proofErr w:type="gramEnd"/>
      <w:r w:rsidRPr="003567B6">
        <w:rPr>
          <w:rFonts w:ascii="Arial" w:hAnsi="Arial" w:cs="Arial"/>
          <w:sz w:val="19"/>
          <w:szCs w:val="19"/>
        </w:rPr>
        <w:t xml:space="preserve"> para ciertas materias, se les dará en éstas su significado legal.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C65F11" w:rsidRDefault="00C65F11">
    <w:pPr>
      <w:pStyle w:val="Encabezado"/>
    </w:pPr>
  </w:p>
  <w:p w14:paraId="6A4C7F2C" w14:textId="7D093DBB" w:rsidR="00C65F11" w:rsidRDefault="00C65F11">
    <w:pPr>
      <w:pStyle w:val="Encabezado"/>
    </w:pPr>
  </w:p>
  <w:p w14:paraId="055F2E1F" w14:textId="0B935ADD" w:rsidR="00C65F11" w:rsidRDefault="00C65F11">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C65F11" w:rsidRDefault="00C65F11">
    <w:pPr>
      <w:pStyle w:val="Encabezado"/>
    </w:pPr>
  </w:p>
  <w:p w14:paraId="3D323BDB" w14:textId="04AF0DE6" w:rsidR="00C65F11" w:rsidRDefault="00C65F11">
    <w:pPr>
      <w:pStyle w:val="Encabezado"/>
    </w:pPr>
  </w:p>
  <w:p w14:paraId="6520770B" w14:textId="18EB07B5" w:rsidR="00C65F11" w:rsidRDefault="00C65F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6728C"/>
    <w:multiLevelType w:val="multilevel"/>
    <w:tmpl w:val="4E16258E"/>
    <w:lvl w:ilvl="0">
      <w:start w:val="2"/>
      <w:numFmt w:val="decimal"/>
      <w:lvlText w:val="%1."/>
      <w:lvlJc w:val="left"/>
      <w:pPr>
        <w:ind w:left="435" w:hanging="435"/>
      </w:pPr>
      <w:rPr>
        <w:rFonts w:hint="default"/>
        <w:b/>
      </w:rPr>
    </w:lvl>
    <w:lvl w:ilvl="1">
      <w:start w:val="3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5D158D2"/>
    <w:multiLevelType w:val="multilevel"/>
    <w:tmpl w:val="5EF0B0CA"/>
    <w:lvl w:ilvl="0">
      <w:start w:val="2"/>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3"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4"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3"/>
    <w:lvlOverride w:ilvl="0">
      <w:startOverride w:val="1"/>
    </w:lvlOverride>
  </w:num>
  <w:num w:numId="10">
    <w:abstractNumId w:val="13"/>
  </w:num>
  <w:num w:numId="11">
    <w:abstractNumId w:val="4"/>
  </w:num>
  <w:num w:numId="12">
    <w:abstractNumId w:val="14"/>
  </w:num>
  <w:num w:numId="13">
    <w:abstractNumId w:val="8"/>
  </w:num>
  <w:num w:numId="14">
    <w:abstractNumId w:val="1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68F"/>
    <w:rsid w:val="0000404B"/>
    <w:rsid w:val="0000645E"/>
    <w:rsid w:val="0000651A"/>
    <w:rsid w:val="00006C9C"/>
    <w:rsid w:val="00010563"/>
    <w:rsid w:val="00010D56"/>
    <w:rsid w:val="000126BB"/>
    <w:rsid w:val="00012A1B"/>
    <w:rsid w:val="00013517"/>
    <w:rsid w:val="000136DC"/>
    <w:rsid w:val="00016F33"/>
    <w:rsid w:val="00016FAC"/>
    <w:rsid w:val="0001726A"/>
    <w:rsid w:val="0001795B"/>
    <w:rsid w:val="000201EA"/>
    <w:rsid w:val="00020801"/>
    <w:rsid w:val="00023549"/>
    <w:rsid w:val="00024BE5"/>
    <w:rsid w:val="0002665B"/>
    <w:rsid w:val="00026AD9"/>
    <w:rsid w:val="000271AD"/>
    <w:rsid w:val="00027940"/>
    <w:rsid w:val="00027F74"/>
    <w:rsid w:val="000303EC"/>
    <w:rsid w:val="00032DA3"/>
    <w:rsid w:val="000365C0"/>
    <w:rsid w:val="00037112"/>
    <w:rsid w:val="00037BF5"/>
    <w:rsid w:val="000503A1"/>
    <w:rsid w:val="00051882"/>
    <w:rsid w:val="00056024"/>
    <w:rsid w:val="00057953"/>
    <w:rsid w:val="0006293E"/>
    <w:rsid w:val="0006625D"/>
    <w:rsid w:val="00070770"/>
    <w:rsid w:val="00070A22"/>
    <w:rsid w:val="00071D6E"/>
    <w:rsid w:val="0007590A"/>
    <w:rsid w:val="00080D35"/>
    <w:rsid w:val="00081AF3"/>
    <w:rsid w:val="0008260E"/>
    <w:rsid w:val="00084278"/>
    <w:rsid w:val="00084DC0"/>
    <w:rsid w:val="00085CC3"/>
    <w:rsid w:val="00085D36"/>
    <w:rsid w:val="00087888"/>
    <w:rsid w:val="00090683"/>
    <w:rsid w:val="000939E0"/>
    <w:rsid w:val="00093D35"/>
    <w:rsid w:val="000942EB"/>
    <w:rsid w:val="0009440D"/>
    <w:rsid w:val="0009651A"/>
    <w:rsid w:val="00096EAB"/>
    <w:rsid w:val="0009712F"/>
    <w:rsid w:val="000972BA"/>
    <w:rsid w:val="000A15CB"/>
    <w:rsid w:val="000A1B81"/>
    <w:rsid w:val="000A2169"/>
    <w:rsid w:val="000A2C01"/>
    <w:rsid w:val="000A44E8"/>
    <w:rsid w:val="000A5189"/>
    <w:rsid w:val="000A668C"/>
    <w:rsid w:val="000A7E46"/>
    <w:rsid w:val="000B103F"/>
    <w:rsid w:val="000B1C28"/>
    <w:rsid w:val="000B26E7"/>
    <w:rsid w:val="000B3893"/>
    <w:rsid w:val="000B4FC6"/>
    <w:rsid w:val="000B53D0"/>
    <w:rsid w:val="000C0B7C"/>
    <w:rsid w:val="000C2DD2"/>
    <w:rsid w:val="000C4F67"/>
    <w:rsid w:val="000C5A1F"/>
    <w:rsid w:val="000C6347"/>
    <w:rsid w:val="000D0AFA"/>
    <w:rsid w:val="000E00A8"/>
    <w:rsid w:val="000E1761"/>
    <w:rsid w:val="000E1F13"/>
    <w:rsid w:val="000E2297"/>
    <w:rsid w:val="000E2B3A"/>
    <w:rsid w:val="000E68FA"/>
    <w:rsid w:val="000E6962"/>
    <w:rsid w:val="000E6D84"/>
    <w:rsid w:val="000F07B8"/>
    <w:rsid w:val="000F14E8"/>
    <w:rsid w:val="000F3B04"/>
    <w:rsid w:val="000F6869"/>
    <w:rsid w:val="000F7AE4"/>
    <w:rsid w:val="001015E9"/>
    <w:rsid w:val="001017F1"/>
    <w:rsid w:val="00102AA1"/>
    <w:rsid w:val="00103915"/>
    <w:rsid w:val="00103D3D"/>
    <w:rsid w:val="00106085"/>
    <w:rsid w:val="001065D1"/>
    <w:rsid w:val="00106B75"/>
    <w:rsid w:val="001112CF"/>
    <w:rsid w:val="00111438"/>
    <w:rsid w:val="00111636"/>
    <w:rsid w:val="00112192"/>
    <w:rsid w:val="00112D2F"/>
    <w:rsid w:val="00114236"/>
    <w:rsid w:val="00114D72"/>
    <w:rsid w:val="001152BA"/>
    <w:rsid w:val="0011561C"/>
    <w:rsid w:val="00115D3E"/>
    <w:rsid w:val="001170AB"/>
    <w:rsid w:val="001214FF"/>
    <w:rsid w:val="0012244A"/>
    <w:rsid w:val="001229C6"/>
    <w:rsid w:val="00122B23"/>
    <w:rsid w:val="00124E73"/>
    <w:rsid w:val="00124EC3"/>
    <w:rsid w:val="00125291"/>
    <w:rsid w:val="0012570E"/>
    <w:rsid w:val="00125D4C"/>
    <w:rsid w:val="0012754A"/>
    <w:rsid w:val="00130333"/>
    <w:rsid w:val="0013236F"/>
    <w:rsid w:val="00132C50"/>
    <w:rsid w:val="001332D0"/>
    <w:rsid w:val="001344AA"/>
    <w:rsid w:val="00137BA1"/>
    <w:rsid w:val="00137FFA"/>
    <w:rsid w:val="001425C5"/>
    <w:rsid w:val="001428CF"/>
    <w:rsid w:val="001448B5"/>
    <w:rsid w:val="00146E1D"/>
    <w:rsid w:val="00152609"/>
    <w:rsid w:val="0015382E"/>
    <w:rsid w:val="00154263"/>
    <w:rsid w:val="001550CF"/>
    <w:rsid w:val="001554A4"/>
    <w:rsid w:val="00156DAF"/>
    <w:rsid w:val="00157821"/>
    <w:rsid w:val="0016135A"/>
    <w:rsid w:val="0016149E"/>
    <w:rsid w:val="00161D78"/>
    <w:rsid w:val="00163B50"/>
    <w:rsid w:val="00164225"/>
    <w:rsid w:val="00165EA8"/>
    <w:rsid w:val="0016680A"/>
    <w:rsid w:val="00167B9D"/>
    <w:rsid w:val="00167F0C"/>
    <w:rsid w:val="00170733"/>
    <w:rsid w:val="00172E0A"/>
    <w:rsid w:val="00174107"/>
    <w:rsid w:val="00175343"/>
    <w:rsid w:val="001755EC"/>
    <w:rsid w:val="00175795"/>
    <w:rsid w:val="00177BAA"/>
    <w:rsid w:val="00180B3B"/>
    <w:rsid w:val="00184E93"/>
    <w:rsid w:val="001900CF"/>
    <w:rsid w:val="001918D6"/>
    <w:rsid w:val="00191FB4"/>
    <w:rsid w:val="00192B77"/>
    <w:rsid w:val="001939B7"/>
    <w:rsid w:val="001963C6"/>
    <w:rsid w:val="0019745D"/>
    <w:rsid w:val="001A08F7"/>
    <w:rsid w:val="001A0DF1"/>
    <w:rsid w:val="001A0EC0"/>
    <w:rsid w:val="001A27D7"/>
    <w:rsid w:val="001A3721"/>
    <w:rsid w:val="001A387A"/>
    <w:rsid w:val="001B2EA0"/>
    <w:rsid w:val="001B3306"/>
    <w:rsid w:val="001B464A"/>
    <w:rsid w:val="001B4A46"/>
    <w:rsid w:val="001B4BEB"/>
    <w:rsid w:val="001B528A"/>
    <w:rsid w:val="001B53B4"/>
    <w:rsid w:val="001B6044"/>
    <w:rsid w:val="001B686F"/>
    <w:rsid w:val="001B68B7"/>
    <w:rsid w:val="001B7618"/>
    <w:rsid w:val="001B7DEA"/>
    <w:rsid w:val="001C219D"/>
    <w:rsid w:val="001C33CB"/>
    <w:rsid w:val="001C54B1"/>
    <w:rsid w:val="001C722C"/>
    <w:rsid w:val="001D172E"/>
    <w:rsid w:val="001D5E4D"/>
    <w:rsid w:val="001E0042"/>
    <w:rsid w:val="001E008B"/>
    <w:rsid w:val="001E0545"/>
    <w:rsid w:val="001E0849"/>
    <w:rsid w:val="001E1694"/>
    <w:rsid w:val="001E1A13"/>
    <w:rsid w:val="001E30CF"/>
    <w:rsid w:val="001E453C"/>
    <w:rsid w:val="001F140A"/>
    <w:rsid w:val="001F1AFA"/>
    <w:rsid w:val="001F25AA"/>
    <w:rsid w:val="001F2AD0"/>
    <w:rsid w:val="001F3C7B"/>
    <w:rsid w:val="001F3D53"/>
    <w:rsid w:val="001F416A"/>
    <w:rsid w:val="001F6AAC"/>
    <w:rsid w:val="001F790E"/>
    <w:rsid w:val="002005CC"/>
    <w:rsid w:val="00203F1A"/>
    <w:rsid w:val="00204114"/>
    <w:rsid w:val="00204C65"/>
    <w:rsid w:val="002059AF"/>
    <w:rsid w:val="002131AD"/>
    <w:rsid w:val="002135F3"/>
    <w:rsid w:val="002146C0"/>
    <w:rsid w:val="0021571D"/>
    <w:rsid w:val="00216478"/>
    <w:rsid w:val="00216F1A"/>
    <w:rsid w:val="0021759E"/>
    <w:rsid w:val="00220CE5"/>
    <w:rsid w:val="002215FF"/>
    <w:rsid w:val="002236DB"/>
    <w:rsid w:val="00224570"/>
    <w:rsid w:val="0022655C"/>
    <w:rsid w:val="00233A24"/>
    <w:rsid w:val="0023484E"/>
    <w:rsid w:val="00234B84"/>
    <w:rsid w:val="00235EAA"/>
    <w:rsid w:val="00237329"/>
    <w:rsid w:val="00237CB3"/>
    <w:rsid w:val="002416BA"/>
    <w:rsid w:val="00242EFF"/>
    <w:rsid w:val="002457FD"/>
    <w:rsid w:val="00245C7E"/>
    <w:rsid w:val="00250718"/>
    <w:rsid w:val="00251445"/>
    <w:rsid w:val="00253276"/>
    <w:rsid w:val="00253C1D"/>
    <w:rsid w:val="00254319"/>
    <w:rsid w:val="002563B9"/>
    <w:rsid w:val="0025685E"/>
    <w:rsid w:val="00256BB9"/>
    <w:rsid w:val="00256EDF"/>
    <w:rsid w:val="0025768C"/>
    <w:rsid w:val="00265C96"/>
    <w:rsid w:val="00265CEB"/>
    <w:rsid w:val="00265ED0"/>
    <w:rsid w:val="00266E0C"/>
    <w:rsid w:val="00270234"/>
    <w:rsid w:val="0027071C"/>
    <w:rsid w:val="00272C62"/>
    <w:rsid w:val="00275701"/>
    <w:rsid w:val="00276521"/>
    <w:rsid w:val="00283380"/>
    <w:rsid w:val="0028382A"/>
    <w:rsid w:val="00284F66"/>
    <w:rsid w:val="00285D7E"/>
    <w:rsid w:val="00285FED"/>
    <w:rsid w:val="00286A53"/>
    <w:rsid w:val="00287542"/>
    <w:rsid w:val="002877E9"/>
    <w:rsid w:val="0029159E"/>
    <w:rsid w:val="00294801"/>
    <w:rsid w:val="002A01C4"/>
    <w:rsid w:val="002A3730"/>
    <w:rsid w:val="002A4E44"/>
    <w:rsid w:val="002A4F10"/>
    <w:rsid w:val="002A63F4"/>
    <w:rsid w:val="002B0BD2"/>
    <w:rsid w:val="002B4907"/>
    <w:rsid w:val="002B50DA"/>
    <w:rsid w:val="002B7DD1"/>
    <w:rsid w:val="002C087E"/>
    <w:rsid w:val="002C27C5"/>
    <w:rsid w:val="002C2B17"/>
    <w:rsid w:val="002C2BF2"/>
    <w:rsid w:val="002D17B8"/>
    <w:rsid w:val="002D3456"/>
    <w:rsid w:val="002D4BB3"/>
    <w:rsid w:val="002D7E62"/>
    <w:rsid w:val="002D7F92"/>
    <w:rsid w:val="002E0A18"/>
    <w:rsid w:val="002E0FAD"/>
    <w:rsid w:val="002E1964"/>
    <w:rsid w:val="002E1E7E"/>
    <w:rsid w:val="002E6B6F"/>
    <w:rsid w:val="002E6F7C"/>
    <w:rsid w:val="002F0602"/>
    <w:rsid w:val="002F0800"/>
    <w:rsid w:val="002F3606"/>
    <w:rsid w:val="002F4BC7"/>
    <w:rsid w:val="002F5131"/>
    <w:rsid w:val="002F70EB"/>
    <w:rsid w:val="002F779E"/>
    <w:rsid w:val="002F7BFE"/>
    <w:rsid w:val="003033BA"/>
    <w:rsid w:val="003038BC"/>
    <w:rsid w:val="00303EFC"/>
    <w:rsid w:val="003046D6"/>
    <w:rsid w:val="003112B5"/>
    <w:rsid w:val="0031293C"/>
    <w:rsid w:val="00313BBA"/>
    <w:rsid w:val="00313D9F"/>
    <w:rsid w:val="00314899"/>
    <w:rsid w:val="00315623"/>
    <w:rsid w:val="00316182"/>
    <w:rsid w:val="0032072B"/>
    <w:rsid w:val="00320DFD"/>
    <w:rsid w:val="00320E68"/>
    <w:rsid w:val="00326F22"/>
    <w:rsid w:val="0033002D"/>
    <w:rsid w:val="00332906"/>
    <w:rsid w:val="00332C3C"/>
    <w:rsid w:val="00333BE1"/>
    <w:rsid w:val="00334B76"/>
    <w:rsid w:val="00336644"/>
    <w:rsid w:val="00337299"/>
    <w:rsid w:val="0033763C"/>
    <w:rsid w:val="0034149E"/>
    <w:rsid w:val="00341CE5"/>
    <w:rsid w:val="00342202"/>
    <w:rsid w:val="003429C9"/>
    <w:rsid w:val="00344889"/>
    <w:rsid w:val="0034680A"/>
    <w:rsid w:val="003471BA"/>
    <w:rsid w:val="00347661"/>
    <w:rsid w:val="003478E7"/>
    <w:rsid w:val="00351383"/>
    <w:rsid w:val="0035216C"/>
    <w:rsid w:val="00352927"/>
    <w:rsid w:val="00353FDF"/>
    <w:rsid w:val="00354545"/>
    <w:rsid w:val="003555B4"/>
    <w:rsid w:val="003567B6"/>
    <w:rsid w:val="00362486"/>
    <w:rsid w:val="0036497E"/>
    <w:rsid w:val="00364F1A"/>
    <w:rsid w:val="00366C32"/>
    <w:rsid w:val="00370640"/>
    <w:rsid w:val="0037099D"/>
    <w:rsid w:val="00372A55"/>
    <w:rsid w:val="00374F25"/>
    <w:rsid w:val="003776F1"/>
    <w:rsid w:val="00377AD6"/>
    <w:rsid w:val="00381A7D"/>
    <w:rsid w:val="00381B41"/>
    <w:rsid w:val="00383DDA"/>
    <w:rsid w:val="00384B44"/>
    <w:rsid w:val="00385EC9"/>
    <w:rsid w:val="00386456"/>
    <w:rsid w:val="00387241"/>
    <w:rsid w:val="0039010E"/>
    <w:rsid w:val="003901D8"/>
    <w:rsid w:val="003914FA"/>
    <w:rsid w:val="00391D93"/>
    <w:rsid w:val="00393184"/>
    <w:rsid w:val="0039340C"/>
    <w:rsid w:val="003934DD"/>
    <w:rsid w:val="003960C7"/>
    <w:rsid w:val="00396D23"/>
    <w:rsid w:val="003A02EB"/>
    <w:rsid w:val="003A046A"/>
    <w:rsid w:val="003A25E4"/>
    <w:rsid w:val="003A2C66"/>
    <w:rsid w:val="003A3686"/>
    <w:rsid w:val="003A4F71"/>
    <w:rsid w:val="003A581E"/>
    <w:rsid w:val="003A651C"/>
    <w:rsid w:val="003B0B16"/>
    <w:rsid w:val="003B241A"/>
    <w:rsid w:val="003B2705"/>
    <w:rsid w:val="003B79A5"/>
    <w:rsid w:val="003C40DD"/>
    <w:rsid w:val="003C4141"/>
    <w:rsid w:val="003C50C9"/>
    <w:rsid w:val="003C62BD"/>
    <w:rsid w:val="003C7DFA"/>
    <w:rsid w:val="003D284B"/>
    <w:rsid w:val="003D40F4"/>
    <w:rsid w:val="003D4F72"/>
    <w:rsid w:val="003E07B4"/>
    <w:rsid w:val="003E11A8"/>
    <w:rsid w:val="003E14B0"/>
    <w:rsid w:val="003E5505"/>
    <w:rsid w:val="003E5ED1"/>
    <w:rsid w:val="003E6682"/>
    <w:rsid w:val="003E7261"/>
    <w:rsid w:val="003E7A20"/>
    <w:rsid w:val="003F0FBE"/>
    <w:rsid w:val="003F28CF"/>
    <w:rsid w:val="003F2E7B"/>
    <w:rsid w:val="003F328D"/>
    <w:rsid w:val="003F415A"/>
    <w:rsid w:val="003F47E5"/>
    <w:rsid w:val="003F5CDD"/>
    <w:rsid w:val="003F5F8D"/>
    <w:rsid w:val="003F7E6A"/>
    <w:rsid w:val="00400083"/>
    <w:rsid w:val="0040059A"/>
    <w:rsid w:val="00407BD2"/>
    <w:rsid w:val="0041043C"/>
    <w:rsid w:val="00411B85"/>
    <w:rsid w:val="00411D1B"/>
    <w:rsid w:val="00411F9D"/>
    <w:rsid w:val="004129E3"/>
    <w:rsid w:val="00416511"/>
    <w:rsid w:val="004200BB"/>
    <w:rsid w:val="004207E3"/>
    <w:rsid w:val="00420D01"/>
    <w:rsid w:val="0042321C"/>
    <w:rsid w:val="00423267"/>
    <w:rsid w:val="004250CD"/>
    <w:rsid w:val="004252E8"/>
    <w:rsid w:val="00426EEE"/>
    <w:rsid w:val="00426F4A"/>
    <w:rsid w:val="0043155D"/>
    <w:rsid w:val="00432915"/>
    <w:rsid w:val="00435AA2"/>
    <w:rsid w:val="004363BC"/>
    <w:rsid w:val="0043754D"/>
    <w:rsid w:val="00437BF5"/>
    <w:rsid w:val="00437BF8"/>
    <w:rsid w:val="004422D6"/>
    <w:rsid w:val="00442BFD"/>
    <w:rsid w:val="00444A46"/>
    <w:rsid w:val="004453FD"/>
    <w:rsid w:val="00445EE4"/>
    <w:rsid w:val="00447095"/>
    <w:rsid w:val="004507CF"/>
    <w:rsid w:val="0045342C"/>
    <w:rsid w:val="00454B0F"/>
    <w:rsid w:val="00460FD4"/>
    <w:rsid w:val="0046169F"/>
    <w:rsid w:val="00463997"/>
    <w:rsid w:val="0046604D"/>
    <w:rsid w:val="0047250D"/>
    <w:rsid w:val="0047444E"/>
    <w:rsid w:val="00474491"/>
    <w:rsid w:val="00474614"/>
    <w:rsid w:val="00474644"/>
    <w:rsid w:val="00474880"/>
    <w:rsid w:val="0047589D"/>
    <w:rsid w:val="004768C9"/>
    <w:rsid w:val="00476A0B"/>
    <w:rsid w:val="00477A49"/>
    <w:rsid w:val="00477BFF"/>
    <w:rsid w:val="00481FA4"/>
    <w:rsid w:val="004838AB"/>
    <w:rsid w:val="00485F24"/>
    <w:rsid w:val="004878C1"/>
    <w:rsid w:val="0049189C"/>
    <w:rsid w:val="00491F45"/>
    <w:rsid w:val="0049331C"/>
    <w:rsid w:val="0049505C"/>
    <w:rsid w:val="00496626"/>
    <w:rsid w:val="0049684A"/>
    <w:rsid w:val="00496EEE"/>
    <w:rsid w:val="00497B27"/>
    <w:rsid w:val="004A34D2"/>
    <w:rsid w:val="004A411B"/>
    <w:rsid w:val="004A488B"/>
    <w:rsid w:val="004B1AF2"/>
    <w:rsid w:val="004B219E"/>
    <w:rsid w:val="004B4A0E"/>
    <w:rsid w:val="004B6DE0"/>
    <w:rsid w:val="004C003F"/>
    <w:rsid w:val="004C0993"/>
    <w:rsid w:val="004C1226"/>
    <w:rsid w:val="004C1F44"/>
    <w:rsid w:val="004C1F93"/>
    <w:rsid w:val="004C3FAA"/>
    <w:rsid w:val="004C5092"/>
    <w:rsid w:val="004D2B08"/>
    <w:rsid w:val="004D2C64"/>
    <w:rsid w:val="004D3473"/>
    <w:rsid w:val="004D40F7"/>
    <w:rsid w:val="004D4556"/>
    <w:rsid w:val="004D7A98"/>
    <w:rsid w:val="004E1E4A"/>
    <w:rsid w:val="004E2973"/>
    <w:rsid w:val="004E4142"/>
    <w:rsid w:val="004E5102"/>
    <w:rsid w:val="004E5B78"/>
    <w:rsid w:val="004F0B50"/>
    <w:rsid w:val="004F1050"/>
    <w:rsid w:val="004F32CC"/>
    <w:rsid w:val="004F4EB9"/>
    <w:rsid w:val="00502467"/>
    <w:rsid w:val="00502929"/>
    <w:rsid w:val="00502A2B"/>
    <w:rsid w:val="00502F06"/>
    <w:rsid w:val="005037CD"/>
    <w:rsid w:val="00503872"/>
    <w:rsid w:val="005053B0"/>
    <w:rsid w:val="0051074C"/>
    <w:rsid w:val="0051089A"/>
    <w:rsid w:val="00510BB6"/>
    <w:rsid w:val="0051288D"/>
    <w:rsid w:val="00513A69"/>
    <w:rsid w:val="00513AF2"/>
    <w:rsid w:val="0051420E"/>
    <w:rsid w:val="005148C5"/>
    <w:rsid w:val="005152C2"/>
    <w:rsid w:val="005200B5"/>
    <w:rsid w:val="0052099D"/>
    <w:rsid w:val="005216BC"/>
    <w:rsid w:val="00521B54"/>
    <w:rsid w:val="0052307C"/>
    <w:rsid w:val="00524F8D"/>
    <w:rsid w:val="0052715F"/>
    <w:rsid w:val="00527891"/>
    <w:rsid w:val="00533367"/>
    <w:rsid w:val="00535161"/>
    <w:rsid w:val="0053606E"/>
    <w:rsid w:val="00536424"/>
    <w:rsid w:val="005379F9"/>
    <w:rsid w:val="005418FA"/>
    <w:rsid w:val="0054413A"/>
    <w:rsid w:val="005443C9"/>
    <w:rsid w:val="00545144"/>
    <w:rsid w:val="00545326"/>
    <w:rsid w:val="005457A0"/>
    <w:rsid w:val="0054784F"/>
    <w:rsid w:val="00550551"/>
    <w:rsid w:val="00550E5E"/>
    <w:rsid w:val="005564CA"/>
    <w:rsid w:val="00561510"/>
    <w:rsid w:val="005620AD"/>
    <w:rsid w:val="005626E7"/>
    <w:rsid w:val="00562799"/>
    <w:rsid w:val="0056664B"/>
    <w:rsid w:val="00567165"/>
    <w:rsid w:val="00571897"/>
    <w:rsid w:val="005731B5"/>
    <w:rsid w:val="0057389B"/>
    <w:rsid w:val="00574D20"/>
    <w:rsid w:val="0057593D"/>
    <w:rsid w:val="00575B77"/>
    <w:rsid w:val="00575D08"/>
    <w:rsid w:val="005770F6"/>
    <w:rsid w:val="005811F1"/>
    <w:rsid w:val="00584E86"/>
    <w:rsid w:val="0058545D"/>
    <w:rsid w:val="00590DD9"/>
    <w:rsid w:val="0059266D"/>
    <w:rsid w:val="00592B47"/>
    <w:rsid w:val="005938AB"/>
    <w:rsid w:val="005977A4"/>
    <w:rsid w:val="005A0585"/>
    <w:rsid w:val="005A0B35"/>
    <w:rsid w:val="005A1570"/>
    <w:rsid w:val="005A34F0"/>
    <w:rsid w:val="005A456B"/>
    <w:rsid w:val="005A4A4C"/>
    <w:rsid w:val="005A5272"/>
    <w:rsid w:val="005A5275"/>
    <w:rsid w:val="005A56D5"/>
    <w:rsid w:val="005A5BF9"/>
    <w:rsid w:val="005A6DCD"/>
    <w:rsid w:val="005A79FE"/>
    <w:rsid w:val="005B2AF3"/>
    <w:rsid w:val="005B4AA6"/>
    <w:rsid w:val="005B7215"/>
    <w:rsid w:val="005B7515"/>
    <w:rsid w:val="005B7A2F"/>
    <w:rsid w:val="005C0D43"/>
    <w:rsid w:val="005C1FFD"/>
    <w:rsid w:val="005C24FC"/>
    <w:rsid w:val="005C266E"/>
    <w:rsid w:val="005C51A7"/>
    <w:rsid w:val="005C5A22"/>
    <w:rsid w:val="005C5B5C"/>
    <w:rsid w:val="005D29B5"/>
    <w:rsid w:val="005D3445"/>
    <w:rsid w:val="005D474D"/>
    <w:rsid w:val="005D552E"/>
    <w:rsid w:val="005E1D1D"/>
    <w:rsid w:val="005E2F44"/>
    <w:rsid w:val="005E3788"/>
    <w:rsid w:val="005E605B"/>
    <w:rsid w:val="005E67FC"/>
    <w:rsid w:val="005E7572"/>
    <w:rsid w:val="005E7A0B"/>
    <w:rsid w:val="005E7B38"/>
    <w:rsid w:val="005F0C78"/>
    <w:rsid w:val="005F1050"/>
    <w:rsid w:val="005F3431"/>
    <w:rsid w:val="005F4AAF"/>
    <w:rsid w:val="005F4BF5"/>
    <w:rsid w:val="0060010B"/>
    <w:rsid w:val="006007CC"/>
    <w:rsid w:val="00601496"/>
    <w:rsid w:val="00601C07"/>
    <w:rsid w:val="00601FCA"/>
    <w:rsid w:val="006030AA"/>
    <w:rsid w:val="00603BDE"/>
    <w:rsid w:val="00604673"/>
    <w:rsid w:val="0060549B"/>
    <w:rsid w:val="00610C94"/>
    <w:rsid w:val="0061135A"/>
    <w:rsid w:val="00611D3C"/>
    <w:rsid w:val="00612BDB"/>
    <w:rsid w:val="006134DB"/>
    <w:rsid w:val="00620CBF"/>
    <w:rsid w:val="00620E47"/>
    <w:rsid w:val="0062567A"/>
    <w:rsid w:val="006334A8"/>
    <w:rsid w:val="00634CC6"/>
    <w:rsid w:val="006367B1"/>
    <w:rsid w:val="00637235"/>
    <w:rsid w:val="0063788B"/>
    <w:rsid w:val="006404C9"/>
    <w:rsid w:val="00641EB9"/>
    <w:rsid w:val="00642D57"/>
    <w:rsid w:val="00647622"/>
    <w:rsid w:val="00651D31"/>
    <w:rsid w:val="006524BE"/>
    <w:rsid w:val="00652A5C"/>
    <w:rsid w:val="006533F8"/>
    <w:rsid w:val="00655360"/>
    <w:rsid w:val="00655371"/>
    <w:rsid w:val="006563C3"/>
    <w:rsid w:val="006622BE"/>
    <w:rsid w:val="006623E2"/>
    <w:rsid w:val="00666AF7"/>
    <w:rsid w:val="00667C72"/>
    <w:rsid w:val="00667EBB"/>
    <w:rsid w:val="00670B1B"/>
    <w:rsid w:val="00671F22"/>
    <w:rsid w:val="00672EEC"/>
    <w:rsid w:val="00673789"/>
    <w:rsid w:val="00673AB7"/>
    <w:rsid w:val="00677F77"/>
    <w:rsid w:val="0068250F"/>
    <w:rsid w:val="00683085"/>
    <w:rsid w:val="0068338B"/>
    <w:rsid w:val="0069158F"/>
    <w:rsid w:val="00691C58"/>
    <w:rsid w:val="00693CC2"/>
    <w:rsid w:val="0069678A"/>
    <w:rsid w:val="00697665"/>
    <w:rsid w:val="00697D73"/>
    <w:rsid w:val="006A12F4"/>
    <w:rsid w:val="006A1A12"/>
    <w:rsid w:val="006A27C9"/>
    <w:rsid w:val="006A2F2D"/>
    <w:rsid w:val="006A3206"/>
    <w:rsid w:val="006A3CD1"/>
    <w:rsid w:val="006A454C"/>
    <w:rsid w:val="006A58B8"/>
    <w:rsid w:val="006A64A9"/>
    <w:rsid w:val="006A7FD0"/>
    <w:rsid w:val="006B161A"/>
    <w:rsid w:val="006B2195"/>
    <w:rsid w:val="006B34D7"/>
    <w:rsid w:val="006B55C5"/>
    <w:rsid w:val="006C084F"/>
    <w:rsid w:val="006C5364"/>
    <w:rsid w:val="006C68E5"/>
    <w:rsid w:val="006D07CF"/>
    <w:rsid w:val="006D23BA"/>
    <w:rsid w:val="006D2CB8"/>
    <w:rsid w:val="006D40DC"/>
    <w:rsid w:val="006D4F07"/>
    <w:rsid w:val="006D5386"/>
    <w:rsid w:val="006D7687"/>
    <w:rsid w:val="006E0385"/>
    <w:rsid w:val="006E0572"/>
    <w:rsid w:val="006E1324"/>
    <w:rsid w:val="006E1CCF"/>
    <w:rsid w:val="006E6D63"/>
    <w:rsid w:val="006E6E42"/>
    <w:rsid w:val="006F27FF"/>
    <w:rsid w:val="006F3DAA"/>
    <w:rsid w:val="006F3EF7"/>
    <w:rsid w:val="006F4573"/>
    <w:rsid w:val="00700377"/>
    <w:rsid w:val="007020A1"/>
    <w:rsid w:val="00702115"/>
    <w:rsid w:val="00703E2C"/>
    <w:rsid w:val="007054AA"/>
    <w:rsid w:val="00705631"/>
    <w:rsid w:val="00705FE1"/>
    <w:rsid w:val="00706399"/>
    <w:rsid w:val="00707FF5"/>
    <w:rsid w:val="00711A50"/>
    <w:rsid w:val="00713DE5"/>
    <w:rsid w:val="00714254"/>
    <w:rsid w:val="00714718"/>
    <w:rsid w:val="00714774"/>
    <w:rsid w:val="00715929"/>
    <w:rsid w:val="00715AC3"/>
    <w:rsid w:val="00720966"/>
    <w:rsid w:val="007210EC"/>
    <w:rsid w:val="0072127D"/>
    <w:rsid w:val="007229B0"/>
    <w:rsid w:val="007252B4"/>
    <w:rsid w:val="00725AC2"/>
    <w:rsid w:val="00726DBE"/>
    <w:rsid w:val="00727A8F"/>
    <w:rsid w:val="00727EAE"/>
    <w:rsid w:val="00727FB6"/>
    <w:rsid w:val="007300F3"/>
    <w:rsid w:val="00731139"/>
    <w:rsid w:val="0073364E"/>
    <w:rsid w:val="00734D43"/>
    <w:rsid w:val="007363BD"/>
    <w:rsid w:val="0073763F"/>
    <w:rsid w:val="007404BC"/>
    <w:rsid w:val="00742DD2"/>
    <w:rsid w:val="00745E02"/>
    <w:rsid w:val="00752568"/>
    <w:rsid w:val="00752A9B"/>
    <w:rsid w:val="00754621"/>
    <w:rsid w:val="00755EFB"/>
    <w:rsid w:val="0075647A"/>
    <w:rsid w:val="00757862"/>
    <w:rsid w:val="00757A66"/>
    <w:rsid w:val="007634AD"/>
    <w:rsid w:val="00764CD2"/>
    <w:rsid w:val="0076566F"/>
    <w:rsid w:val="007656E6"/>
    <w:rsid w:val="00765BE2"/>
    <w:rsid w:val="007673F0"/>
    <w:rsid w:val="00771679"/>
    <w:rsid w:val="00772C6C"/>
    <w:rsid w:val="00772FD2"/>
    <w:rsid w:val="007741D9"/>
    <w:rsid w:val="007743B6"/>
    <w:rsid w:val="007748F6"/>
    <w:rsid w:val="007750BB"/>
    <w:rsid w:val="0078122E"/>
    <w:rsid w:val="00782024"/>
    <w:rsid w:val="00783506"/>
    <w:rsid w:val="0078442B"/>
    <w:rsid w:val="00785A12"/>
    <w:rsid w:val="0078614D"/>
    <w:rsid w:val="007874E8"/>
    <w:rsid w:val="00791C0F"/>
    <w:rsid w:val="00793845"/>
    <w:rsid w:val="0079520D"/>
    <w:rsid w:val="00796EC8"/>
    <w:rsid w:val="00797AAA"/>
    <w:rsid w:val="00797DF7"/>
    <w:rsid w:val="007A0D0E"/>
    <w:rsid w:val="007A2E32"/>
    <w:rsid w:val="007A4C5A"/>
    <w:rsid w:val="007A615D"/>
    <w:rsid w:val="007B0854"/>
    <w:rsid w:val="007B0F58"/>
    <w:rsid w:val="007B192E"/>
    <w:rsid w:val="007B24B5"/>
    <w:rsid w:val="007B3AE4"/>
    <w:rsid w:val="007C0326"/>
    <w:rsid w:val="007C38CA"/>
    <w:rsid w:val="007C4430"/>
    <w:rsid w:val="007C5086"/>
    <w:rsid w:val="007C6410"/>
    <w:rsid w:val="007C672F"/>
    <w:rsid w:val="007C744F"/>
    <w:rsid w:val="007C7638"/>
    <w:rsid w:val="007C7F04"/>
    <w:rsid w:val="007D0305"/>
    <w:rsid w:val="007D1AD1"/>
    <w:rsid w:val="007D55E9"/>
    <w:rsid w:val="007D5E0B"/>
    <w:rsid w:val="007E01FC"/>
    <w:rsid w:val="007E39F0"/>
    <w:rsid w:val="007E750C"/>
    <w:rsid w:val="007F0D40"/>
    <w:rsid w:val="007F168F"/>
    <w:rsid w:val="007F367B"/>
    <w:rsid w:val="007F4347"/>
    <w:rsid w:val="007F72CB"/>
    <w:rsid w:val="007F7BDE"/>
    <w:rsid w:val="00802A13"/>
    <w:rsid w:val="00804C29"/>
    <w:rsid w:val="00804CE6"/>
    <w:rsid w:val="00804EB1"/>
    <w:rsid w:val="0080594C"/>
    <w:rsid w:val="008101D2"/>
    <w:rsid w:val="008111B0"/>
    <w:rsid w:val="00811ED3"/>
    <w:rsid w:val="00813504"/>
    <w:rsid w:val="008159D3"/>
    <w:rsid w:val="00816302"/>
    <w:rsid w:val="00817578"/>
    <w:rsid w:val="00817CA8"/>
    <w:rsid w:val="0082159E"/>
    <w:rsid w:val="00822D58"/>
    <w:rsid w:val="008259B9"/>
    <w:rsid w:val="00826A9D"/>
    <w:rsid w:val="008272F1"/>
    <w:rsid w:val="0083119B"/>
    <w:rsid w:val="0083133A"/>
    <w:rsid w:val="0083271F"/>
    <w:rsid w:val="008362A4"/>
    <w:rsid w:val="008366AF"/>
    <w:rsid w:val="00836EAB"/>
    <w:rsid w:val="00841280"/>
    <w:rsid w:val="0084152B"/>
    <w:rsid w:val="00841639"/>
    <w:rsid w:val="00842535"/>
    <w:rsid w:val="00842F23"/>
    <w:rsid w:val="008437E8"/>
    <w:rsid w:val="00843BC4"/>
    <w:rsid w:val="00843E6C"/>
    <w:rsid w:val="00847D50"/>
    <w:rsid w:val="0085092D"/>
    <w:rsid w:val="008509DD"/>
    <w:rsid w:val="00850DF5"/>
    <w:rsid w:val="0085128C"/>
    <w:rsid w:val="00852018"/>
    <w:rsid w:val="008524B4"/>
    <w:rsid w:val="0085264F"/>
    <w:rsid w:val="00852E12"/>
    <w:rsid w:val="00852F5E"/>
    <w:rsid w:val="00853776"/>
    <w:rsid w:val="00854DBB"/>
    <w:rsid w:val="00855FDF"/>
    <w:rsid w:val="00857F63"/>
    <w:rsid w:val="00860B10"/>
    <w:rsid w:val="00861408"/>
    <w:rsid w:val="008617E0"/>
    <w:rsid w:val="00862B2A"/>
    <w:rsid w:val="00865967"/>
    <w:rsid w:val="00867771"/>
    <w:rsid w:val="008705DE"/>
    <w:rsid w:val="00873BCF"/>
    <w:rsid w:val="00874031"/>
    <w:rsid w:val="00874CC0"/>
    <w:rsid w:val="00877366"/>
    <w:rsid w:val="00881730"/>
    <w:rsid w:val="008817ED"/>
    <w:rsid w:val="0088243F"/>
    <w:rsid w:val="0088457C"/>
    <w:rsid w:val="00885AA7"/>
    <w:rsid w:val="00886201"/>
    <w:rsid w:val="008871CF"/>
    <w:rsid w:val="00887B15"/>
    <w:rsid w:val="00890882"/>
    <w:rsid w:val="008927A8"/>
    <w:rsid w:val="00893165"/>
    <w:rsid w:val="008A0A11"/>
    <w:rsid w:val="008A2225"/>
    <w:rsid w:val="008A257A"/>
    <w:rsid w:val="008A265F"/>
    <w:rsid w:val="008A3228"/>
    <w:rsid w:val="008A3DB4"/>
    <w:rsid w:val="008A53F7"/>
    <w:rsid w:val="008A54C1"/>
    <w:rsid w:val="008A575E"/>
    <w:rsid w:val="008A5AC8"/>
    <w:rsid w:val="008A69BA"/>
    <w:rsid w:val="008B1A31"/>
    <w:rsid w:val="008C0AF6"/>
    <w:rsid w:val="008C1555"/>
    <w:rsid w:val="008C26E3"/>
    <w:rsid w:val="008C41C5"/>
    <w:rsid w:val="008C4724"/>
    <w:rsid w:val="008C7BC2"/>
    <w:rsid w:val="008D11FF"/>
    <w:rsid w:val="008D17B2"/>
    <w:rsid w:val="008D1B84"/>
    <w:rsid w:val="008D3411"/>
    <w:rsid w:val="008D3FBB"/>
    <w:rsid w:val="008D4225"/>
    <w:rsid w:val="008D4C63"/>
    <w:rsid w:val="008D5317"/>
    <w:rsid w:val="008D56F0"/>
    <w:rsid w:val="008D76C2"/>
    <w:rsid w:val="008D776A"/>
    <w:rsid w:val="008E1C15"/>
    <w:rsid w:val="008E3219"/>
    <w:rsid w:val="008E6F70"/>
    <w:rsid w:val="008F14CC"/>
    <w:rsid w:val="008F1D84"/>
    <w:rsid w:val="008F2734"/>
    <w:rsid w:val="008F4227"/>
    <w:rsid w:val="008F51F5"/>
    <w:rsid w:val="008F5C25"/>
    <w:rsid w:val="008F646E"/>
    <w:rsid w:val="008F6E4A"/>
    <w:rsid w:val="00900239"/>
    <w:rsid w:val="00900DDB"/>
    <w:rsid w:val="0090136A"/>
    <w:rsid w:val="009015DF"/>
    <w:rsid w:val="009030CB"/>
    <w:rsid w:val="00903815"/>
    <w:rsid w:val="009047C5"/>
    <w:rsid w:val="00904CD9"/>
    <w:rsid w:val="009064C4"/>
    <w:rsid w:val="009066C0"/>
    <w:rsid w:val="00907A73"/>
    <w:rsid w:val="0091085E"/>
    <w:rsid w:val="00910B86"/>
    <w:rsid w:val="00912BD6"/>
    <w:rsid w:val="00914F02"/>
    <w:rsid w:val="00916C89"/>
    <w:rsid w:val="009176F3"/>
    <w:rsid w:val="00917700"/>
    <w:rsid w:val="00921659"/>
    <w:rsid w:val="00923DC9"/>
    <w:rsid w:val="00924541"/>
    <w:rsid w:val="0092462A"/>
    <w:rsid w:val="0092465E"/>
    <w:rsid w:val="0092478E"/>
    <w:rsid w:val="00924D2F"/>
    <w:rsid w:val="009278F1"/>
    <w:rsid w:val="00931310"/>
    <w:rsid w:val="0093193A"/>
    <w:rsid w:val="00931B7E"/>
    <w:rsid w:val="00932FBD"/>
    <w:rsid w:val="00935661"/>
    <w:rsid w:val="00936908"/>
    <w:rsid w:val="00937BFF"/>
    <w:rsid w:val="009409CA"/>
    <w:rsid w:val="00944EA4"/>
    <w:rsid w:val="00945536"/>
    <w:rsid w:val="009465F7"/>
    <w:rsid w:val="00946737"/>
    <w:rsid w:val="00946CFA"/>
    <w:rsid w:val="00950258"/>
    <w:rsid w:val="0095385A"/>
    <w:rsid w:val="00955CAC"/>
    <w:rsid w:val="009568DA"/>
    <w:rsid w:val="00956C80"/>
    <w:rsid w:val="00956E82"/>
    <w:rsid w:val="00962034"/>
    <w:rsid w:val="00962A37"/>
    <w:rsid w:val="00964EB4"/>
    <w:rsid w:val="00965638"/>
    <w:rsid w:val="00965849"/>
    <w:rsid w:val="00973F55"/>
    <w:rsid w:val="00975D1B"/>
    <w:rsid w:val="00976CC3"/>
    <w:rsid w:val="00977088"/>
    <w:rsid w:val="00981B5D"/>
    <w:rsid w:val="00982489"/>
    <w:rsid w:val="009859D0"/>
    <w:rsid w:val="009866C8"/>
    <w:rsid w:val="009874B4"/>
    <w:rsid w:val="009877AC"/>
    <w:rsid w:val="00987F32"/>
    <w:rsid w:val="00990A2F"/>
    <w:rsid w:val="009967F8"/>
    <w:rsid w:val="009A353C"/>
    <w:rsid w:val="009A77CC"/>
    <w:rsid w:val="009A7A2E"/>
    <w:rsid w:val="009B0CB9"/>
    <w:rsid w:val="009B1BF2"/>
    <w:rsid w:val="009B29F8"/>
    <w:rsid w:val="009B4391"/>
    <w:rsid w:val="009C24BD"/>
    <w:rsid w:val="009C2A57"/>
    <w:rsid w:val="009C376A"/>
    <w:rsid w:val="009C3794"/>
    <w:rsid w:val="009C6A4B"/>
    <w:rsid w:val="009C782E"/>
    <w:rsid w:val="009D0923"/>
    <w:rsid w:val="009D0FC4"/>
    <w:rsid w:val="009D3049"/>
    <w:rsid w:val="009D54EC"/>
    <w:rsid w:val="009E0D1B"/>
    <w:rsid w:val="009E2882"/>
    <w:rsid w:val="009E48B1"/>
    <w:rsid w:val="009E5CE5"/>
    <w:rsid w:val="009E7320"/>
    <w:rsid w:val="009E7C61"/>
    <w:rsid w:val="009F2377"/>
    <w:rsid w:val="009F48F0"/>
    <w:rsid w:val="009F4F93"/>
    <w:rsid w:val="009F6B3F"/>
    <w:rsid w:val="00A02449"/>
    <w:rsid w:val="00A028FC"/>
    <w:rsid w:val="00A03556"/>
    <w:rsid w:val="00A035A4"/>
    <w:rsid w:val="00A036C4"/>
    <w:rsid w:val="00A044A1"/>
    <w:rsid w:val="00A07446"/>
    <w:rsid w:val="00A07B99"/>
    <w:rsid w:val="00A10135"/>
    <w:rsid w:val="00A11267"/>
    <w:rsid w:val="00A118A0"/>
    <w:rsid w:val="00A14F3C"/>
    <w:rsid w:val="00A24560"/>
    <w:rsid w:val="00A26900"/>
    <w:rsid w:val="00A26D28"/>
    <w:rsid w:val="00A2737D"/>
    <w:rsid w:val="00A27EFE"/>
    <w:rsid w:val="00A3050C"/>
    <w:rsid w:val="00A305CD"/>
    <w:rsid w:val="00A308D1"/>
    <w:rsid w:val="00A316F7"/>
    <w:rsid w:val="00A32559"/>
    <w:rsid w:val="00A338FC"/>
    <w:rsid w:val="00A34378"/>
    <w:rsid w:val="00A34538"/>
    <w:rsid w:val="00A35156"/>
    <w:rsid w:val="00A37529"/>
    <w:rsid w:val="00A41BFA"/>
    <w:rsid w:val="00A42A3B"/>
    <w:rsid w:val="00A43FD5"/>
    <w:rsid w:val="00A44DA5"/>
    <w:rsid w:val="00A470F2"/>
    <w:rsid w:val="00A47DA6"/>
    <w:rsid w:val="00A47F59"/>
    <w:rsid w:val="00A507B2"/>
    <w:rsid w:val="00A5235A"/>
    <w:rsid w:val="00A52E43"/>
    <w:rsid w:val="00A53490"/>
    <w:rsid w:val="00A53B56"/>
    <w:rsid w:val="00A546CA"/>
    <w:rsid w:val="00A54AB9"/>
    <w:rsid w:val="00A572E1"/>
    <w:rsid w:val="00A578E2"/>
    <w:rsid w:val="00A61FEE"/>
    <w:rsid w:val="00A6404B"/>
    <w:rsid w:val="00A72A3B"/>
    <w:rsid w:val="00A7716E"/>
    <w:rsid w:val="00A814D6"/>
    <w:rsid w:val="00A8216B"/>
    <w:rsid w:val="00A8432B"/>
    <w:rsid w:val="00A84361"/>
    <w:rsid w:val="00A84904"/>
    <w:rsid w:val="00A852F0"/>
    <w:rsid w:val="00A87C40"/>
    <w:rsid w:val="00A97342"/>
    <w:rsid w:val="00AA03C4"/>
    <w:rsid w:val="00AA0F9D"/>
    <w:rsid w:val="00AA18DB"/>
    <w:rsid w:val="00AA3DEF"/>
    <w:rsid w:val="00AA442B"/>
    <w:rsid w:val="00AA6CC1"/>
    <w:rsid w:val="00AB00BD"/>
    <w:rsid w:val="00AB0D4D"/>
    <w:rsid w:val="00AB0FFD"/>
    <w:rsid w:val="00AB14CE"/>
    <w:rsid w:val="00AB196B"/>
    <w:rsid w:val="00AB1AC8"/>
    <w:rsid w:val="00AB27FD"/>
    <w:rsid w:val="00AB30DF"/>
    <w:rsid w:val="00AB3E40"/>
    <w:rsid w:val="00AB47E2"/>
    <w:rsid w:val="00AB4DF6"/>
    <w:rsid w:val="00AC0EEB"/>
    <w:rsid w:val="00AC1646"/>
    <w:rsid w:val="00AC3414"/>
    <w:rsid w:val="00AC3ACC"/>
    <w:rsid w:val="00AC65A4"/>
    <w:rsid w:val="00AC787D"/>
    <w:rsid w:val="00AD0B1D"/>
    <w:rsid w:val="00AD22FC"/>
    <w:rsid w:val="00AD2F7B"/>
    <w:rsid w:val="00AD47FB"/>
    <w:rsid w:val="00AD48B1"/>
    <w:rsid w:val="00AD5E7A"/>
    <w:rsid w:val="00AD6135"/>
    <w:rsid w:val="00AD7298"/>
    <w:rsid w:val="00AD7C52"/>
    <w:rsid w:val="00AE1289"/>
    <w:rsid w:val="00AE19FC"/>
    <w:rsid w:val="00AE4119"/>
    <w:rsid w:val="00AE4E69"/>
    <w:rsid w:val="00AE5B43"/>
    <w:rsid w:val="00AE65B9"/>
    <w:rsid w:val="00AE6D68"/>
    <w:rsid w:val="00AF1383"/>
    <w:rsid w:val="00AF1ED8"/>
    <w:rsid w:val="00AF426F"/>
    <w:rsid w:val="00AF51A9"/>
    <w:rsid w:val="00AF5CE1"/>
    <w:rsid w:val="00AF6FAC"/>
    <w:rsid w:val="00AF713D"/>
    <w:rsid w:val="00B02705"/>
    <w:rsid w:val="00B04843"/>
    <w:rsid w:val="00B055C7"/>
    <w:rsid w:val="00B0560B"/>
    <w:rsid w:val="00B0615F"/>
    <w:rsid w:val="00B06243"/>
    <w:rsid w:val="00B07B48"/>
    <w:rsid w:val="00B07BE4"/>
    <w:rsid w:val="00B1060D"/>
    <w:rsid w:val="00B118E9"/>
    <w:rsid w:val="00B120C2"/>
    <w:rsid w:val="00B16E58"/>
    <w:rsid w:val="00B17763"/>
    <w:rsid w:val="00B21D6C"/>
    <w:rsid w:val="00B22E22"/>
    <w:rsid w:val="00B230FE"/>
    <w:rsid w:val="00B243F7"/>
    <w:rsid w:val="00B258A0"/>
    <w:rsid w:val="00B32C0B"/>
    <w:rsid w:val="00B32DE6"/>
    <w:rsid w:val="00B33D08"/>
    <w:rsid w:val="00B36E67"/>
    <w:rsid w:val="00B371E9"/>
    <w:rsid w:val="00B439B4"/>
    <w:rsid w:val="00B43C9B"/>
    <w:rsid w:val="00B4473B"/>
    <w:rsid w:val="00B46402"/>
    <w:rsid w:val="00B50315"/>
    <w:rsid w:val="00B50DB8"/>
    <w:rsid w:val="00B512C3"/>
    <w:rsid w:val="00B5146F"/>
    <w:rsid w:val="00B5178D"/>
    <w:rsid w:val="00B525CB"/>
    <w:rsid w:val="00B531D7"/>
    <w:rsid w:val="00B53F68"/>
    <w:rsid w:val="00B5556E"/>
    <w:rsid w:val="00B55682"/>
    <w:rsid w:val="00B57F79"/>
    <w:rsid w:val="00B60926"/>
    <w:rsid w:val="00B613B9"/>
    <w:rsid w:val="00B6143C"/>
    <w:rsid w:val="00B6341F"/>
    <w:rsid w:val="00B637F3"/>
    <w:rsid w:val="00B63CB2"/>
    <w:rsid w:val="00B64278"/>
    <w:rsid w:val="00B6444C"/>
    <w:rsid w:val="00B71561"/>
    <w:rsid w:val="00B71E68"/>
    <w:rsid w:val="00B73B11"/>
    <w:rsid w:val="00B754CA"/>
    <w:rsid w:val="00B75BAA"/>
    <w:rsid w:val="00B75C7C"/>
    <w:rsid w:val="00B76DD3"/>
    <w:rsid w:val="00B80316"/>
    <w:rsid w:val="00B80794"/>
    <w:rsid w:val="00B80D60"/>
    <w:rsid w:val="00B81F14"/>
    <w:rsid w:val="00B82E58"/>
    <w:rsid w:val="00B8385C"/>
    <w:rsid w:val="00B90205"/>
    <w:rsid w:val="00B90B34"/>
    <w:rsid w:val="00B914C4"/>
    <w:rsid w:val="00B93287"/>
    <w:rsid w:val="00B94B3C"/>
    <w:rsid w:val="00BA1433"/>
    <w:rsid w:val="00BA4904"/>
    <w:rsid w:val="00BA4B5B"/>
    <w:rsid w:val="00BA549C"/>
    <w:rsid w:val="00BA54F0"/>
    <w:rsid w:val="00BA73DE"/>
    <w:rsid w:val="00BB37BD"/>
    <w:rsid w:val="00BB5C7A"/>
    <w:rsid w:val="00BC0980"/>
    <w:rsid w:val="00BC1901"/>
    <w:rsid w:val="00BC3610"/>
    <w:rsid w:val="00BC46FA"/>
    <w:rsid w:val="00BC4CFC"/>
    <w:rsid w:val="00BC638A"/>
    <w:rsid w:val="00BC7DCD"/>
    <w:rsid w:val="00BD0942"/>
    <w:rsid w:val="00BD16E4"/>
    <w:rsid w:val="00BD3D5B"/>
    <w:rsid w:val="00BD3F0A"/>
    <w:rsid w:val="00BD404B"/>
    <w:rsid w:val="00BD44E7"/>
    <w:rsid w:val="00BD5979"/>
    <w:rsid w:val="00BD6F8C"/>
    <w:rsid w:val="00BD78FE"/>
    <w:rsid w:val="00BE1B2E"/>
    <w:rsid w:val="00BE43C0"/>
    <w:rsid w:val="00BE4C31"/>
    <w:rsid w:val="00BE60C5"/>
    <w:rsid w:val="00BE6711"/>
    <w:rsid w:val="00BF0068"/>
    <w:rsid w:val="00BF0945"/>
    <w:rsid w:val="00BF0F80"/>
    <w:rsid w:val="00BF239F"/>
    <w:rsid w:val="00BF2E6F"/>
    <w:rsid w:val="00BF3E3E"/>
    <w:rsid w:val="00BF46EB"/>
    <w:rsid w:val="00BF52BB"/>
    <w:rsid w:val="00BF59DD"/>
    <w:rsid w:val="00BF6B5E"/>
    <w:rsid w:val="00BF6F68"/>
    <w:rsid w:val="00C02F56"/>
    <w:rsid w:val="00C0391F"/>
    <w:rsid w:val="00C03D7A"/>
    <w:rsid w:val="00C06C24"/>
    <w:rsid w:val="00C07969"/>
    <w:rsid w:val="00C07EFC"/>
    <w:rsid w:val="00C1063D"/>
    <w:rsid w:val="00C108FF"/>
    <w:rsid w:val="00C175DA"/>
    <w:rsid w:val="00C17996"/>
    <w:rsid w:val="00C204CE"/>
    <w:rsid w:val="00C215F9"/>
    <w:rsid w:val="00C21979"/>
    <w:rsid w:val="00C22C1C"/>
    <w:rsid w:val="00C2341D"/>
    <w:rsid w:val="00C236F1"/>
    <w:rsid w:val="00C248E6"/>
    <w:rsid w:val="00C25356"/>
    <w:rsid w:val="00C2785E"/>
    <w:rsid w:val="00C32E42"/>
    <w:rsid w:val="00C339FE"/>
    <w:rsid w:val="00C35CCA"/>
    <w:rsid w:val="00C3789F"/>
    <w:rsid w:val="00C37E77"/>
    <w:rsid w:val="00C40C20"/>
    <w:rsid w:val="00C41A44"/>
    <w:rsid w:val="00C421D2"/>
    <w:rsid w:val="00C4266A"/>
    <w:rsid w:val="00C42BAC"/>
    <w:rsid w:val="00C439A1"/>
    <w:rsid w:val="00C43FAA"/>
    <w:rsid w:val="00C44120"/>
    <w:rsid w:val="00C44219"/>
    <w:rsid w:val="00C44D43"/>
    <w:rsid w:val="00C4553B"/>
    <w:rsid w:val="00C474F7"/>
    <w:rsid w:val="00C50FFB"/>
    <w:rsid w:val="00C51383"/>
    <w:rsid w:val="00C51D0E"/>
    <w:rsid w:val="00C527CB"/>
    <w:rsid w:val="00C52AA0"/>
    <w:rsid w:val="00C54884"/>
    <w:rsid w:val="00C606C0"/>
    <w:rsid w:val="00C61197"/>
    <w:rsid w:val="00C63537"/>
    <w:rsid w:val="00C63B97"/>
    <w:rsid w:val="00C65F11"/>
    <w:rsid w:val="00C67675"/>
    <w:rsid w:val="00C713D7"/>
    <w:rsid w:val="00C74D7F"/>
    <w:rsid w:val="00C75515"/>
    <w:rsid w:val="00C8023B"/>
    <w:rsid w:val="00C81AC2"/>
    <w:rsid w:val="00C82754"/>
    <w:rsid w:val="00C83D45"/>
    <w:rsid w:val="00C845E6"/>
    <w:rsid w:val="00C8556C"/>
    <w:rsid w:val="00C85B4E"/>
    <w:rsid w:val="00C878E8"/>
    <w:rsid w:val="00C87FB1"/>
    <w:rsid w:val="00C92306"/>
    <w:rsid w:val="00C93C7B"/>
    <w:rsid w:val="00C9425D"/>
    <w:rsid w:val="00C97546"/>
    <w:rsid w:val="00CA0C3E"/>
    <w:rsid w:val="00CA1540"/>
    <w:rsid w:val="00CA287E"/>
    <w:rsid w:val="00CA44C0"/>
    <w:rsid w:val="00CA44E6"/>
    <w:rsid w:val="00CA5926"/>
    <w:rsid w:val="00CA5FFD"/>
    <w:rsid w:val="00CA6B80"/>
    <w:rsid w:val="00CA73A8"/>
    <w:rsid w:val="00CB084F"/>
    <w:rsid w:val="00CB21C6"/>
    <w:rsid w:val="00CB3DAB"/>
    <w:rsid w:val="00CB4B63"/>
    <w:rsid w:val="00CB532E"/>
    <w:rsid w:val="00CB7FCB"/>
    <w:rsid w:val="00CC00CD"/>
    <w:rsid w:val="00CC2C34"/>
    <w:rsid w:val="00CC5BE0"/>
    <w:rsid w:val="00CC5E3E"/>
    <w:rsid w:val="00CC670C"/>
    <w:rsid w:val="00CC786F"/>
    <w:rsid w:val="00CD080F"/>
    <w:rsid w:val="00CD1A2C"/>
    <w:rsid w:val="00CD2F3A"/>
    <w:rsid w:val="00CD4012"/>
    <w:rsid w:val="00CD4748"/>
    <w:rsid w:val="00CD4CEE"/>
    <w:rsid w:val="00CD5F34"/>
    <w:rsid w:val="00CE041B"/>
    <w:rsid w:val="00CE163D"/>
    <w:rsid w:val="00CE33FA"/>
    <w:rsid w:val="00CE3652"/>
    <w:rsid w:val="00CE3953"/>
    <w:rsid w:val="00CF298B"/>
    <w:rsid w:val="00CF2CA1"/>
    <w:rsid w:val="00CF2EF6"/>
    <w:rsid w:val="00CF4690"/>
    <w:rsid w:val="00CF6B14"/>
    <w:rsid w:val="00CF7584"/>
    <w:rsid w:val="00CF7DE3"/>
    <w:rsid w:val="00D004A0"/>
    <w:rsid w:val="00D03273"/>
    <w:rsid w:val="00D04268"/>
    <w:rsid w:val="00D04F45"/>
    <w:rsid w:val="00D054BD"/>
    <w:rsid w:val="00D063D2"/>
    <w:rsid w:val="00D06D43"/>
    <w:rsid w:val="00D1185B"/>
    <w:rsid w:val="00D11E53"/>
    <w:rsid w:val="00D13CF4"/>
    <w:rsid w:val="00D15D40"/>
    <w:rsid w:val="00D16345"/>
    <w:rsid w:val="00D16E36"/>
    <w:rsid w:val="00D16E39"/>
    <w:rsid w:val="00D20C61"/>
    <w:rsid w:val="00D23634"/>
    <w:rsid w:val="00D24CC2"/>
    <w:rsid w:val="00D250D0"/>
    <w:rsid w:val="00D30246"/>
    <w:rsid w:val="00D31F4A"/>
    <w:rsid w:val="00D32C9D"/>
    <w:rsid w:val="00D35D5C"/>
    <w:rsid w:val="00D361D0"/>
    <w:rsid w:val="00D36A8C"/>
    <w:rsid w:val="00D376C1"/>
    <w:rsid w:val="00D40DDB"/>
    <w:rsid w:val="00D4245F"/>
    <w:rsid w:val="00D44846"/>
    <w:rsid w:val="00D45AF8"/>
    <w:rsid w:val="00D4690E"/>
    <w:rsid w:val="00D50796"/>
    <w:rsid w:val="00D5088B"/>
    <w:rsid w:val="00D50CC2"/>
    <w:rsid w:val="00D53EA2"/>
    <w:rsid w:val="00D55E8F"/>
    <w:rsid w:val="00D56AB8"/>
    <w:rsid w:val="00D57255"/>
    <w:rsid w:val="00D577D1"/>
    <w:rsid w:val="00D63787"/>
    <w:rsid w:val="00D644AA"/>
    <w:rsid w:val="00D64797"/>
    <w:rsid w:val="00D65554"/>
    <w:rsid w:val="00D70679"/>
    <w:rsid w:val="00D710DF"/>
    <w:rsid w:val="00D729F6"/>
    <w:rsid w:val="00D72E9D"/>
    <w:rsid w:val="00D73D62"/>
    <w:rsid w:val="00D74389"/>
    <w:rsid w:val="00D74E75"/>
    <w:rsid w:val="00D76689"/>
    <w:rsid w:val="00D80EB6"/>
    <w:rsid w:val="00D8209A"/>
    <w:rsid w:val="00D82CE5"/>
    <w:rsid w:val="00D848A7"/>
    <w:rsid w:val="00D84D9D"/>
    <w:rsid w:val="00D856F4"/>
    <w:rsid w:val="00D864FC"/>
    <w:rsid w:val="00D87C9A"/>
    <w:rsid w:val="00D9054B"/>
    <w:rsid w:val="00D9294F"/>
    <w:rsid w:val="00D945B8"/>
    <w:rsid w:val="00DA01E8"/>
    <w:rsid w:val="00DA0FB4"/>
    <w:rsid w:val="00DA0FD1"/>
    <w:rsid w:val="00DA1E8F"/>
    <w:rsid w:val="00DA2FF5"/>
    <w:rsid w:val="00DA3452"/>
    <w:rsid w:val="00DA4710"/>
    <w:rsid w:val="00DA5AB1"/>
    <w:rsid w:val="00DA6EE1"/>
    <w:rsid w:val="00DA72B4"/>
    <w:rsid w:val="00DB04FC"/>
    <w:rsid w:val="00DB12BD"/>
    <w:rsid w:val="00DB2EB1"/>
    <w:rsid w:val="00DB3448"/>
    <w:rsid w:val="00DB44D8"/>
    <w:rsid w:val="00DB49AA"/>
    <w:rsid w:val="00DB5ED4"/>
    <w:rsid w:val="00DB768D"/>
    <w:rsid w:val="00DC32BD"/>
    <w:rsid w:val="00DC3D67"/>
    <w:rsid w:val="00DC578F"/>
    <w:rsid w:val="00DC62E5"/>
    <w:rsid w:val="00DC6ACC"/>
    <w:rsid w:val="00DD160B"/>
    <w:rsid w:val="00DD1C18"/>
    <w:rsid w:val="00DD31A9"/>
    <w:rsid w:val="00DD3432"/>
    <w:rsid w:val="00DD3F40"/>
    <w:rsid w:val="00DD735D"/>
    <w:rsid w:val="00DD7D8D"/>
    <w:rsid w:val="00DE035A"/>
    <w:rsid w:val="00DE0618"/>
    <w:rsid w:val="00DE1FEF"/>
    <w:rsid w:val="00DE3119"/>
    <w:rsid w:val="00DE3A59"/>
    <w:rsid w:val="00DE6B11"/>
    <w:rsid w:val="00DE6E79"/>
    <w:rsid w:val="00DE70DC"/>
    <w:rsid w:val="00DE7D58"/>
    <w:rsid w:val="00DF0A9C"/>
    <w:rsid w:val="00DF0AB4"/>
    <w:rsid w:val="00DF16DA"/>
    <w:rsid w:val="00DF1DAA"/>
    <w:rsid w:val="00DF236B"/>
    <w:rsid w:val="00DF5090"/>
    <w:rsid w:val="00DF6ACD"/>
    <w:rsid w:val="00E000C8"/>
    <w:rsid w:val="00E01453"/>
    <w:rsid w:val="00E017C4"/>
    <w:rsid w:val="00E04C9B"/>
    <w:rsid w:val="00E056B2"/>
    <w:rsid w:val="00E06F42"/>
    <w:rsid w:val="00E07843"/>
    <w:rsid w:val="00E10A6D"/>
    <w:rsid w:val="00E13AB8"/>
    <w:rsid w:val="00E13FD3"/>
    <w:rsid w:val="00E14299"/>
    <w:rsid w:val="00E144AB"/>
    <w:rsid w:val="00E163A8"/>
    <w:rsid w:val="00E17C49"/>
    <w:rsid w:val="00E17EE1"/>
    <w:rsid w:val="00E21494"/>
    <w:rsid w:val="00E23732"/>
    <w:rsid w:val="00E240E7"/>
    <w:rsid w:val="00E24319"/>
    <w:rsid w:val="00E2553E"/>
    <w:rsid w:val="00E3090F"/>
    <w:rsid w:val="00E33B62"/>
    <w:rsid w:val="00E34612"/>
    <w:rsid w:val="00E36BAD"/>
    <w:rsid w:val="00E36E37"/>
    <w:rsid w:val="00E42CEA"/>
    <w:rsid w:val="00E43A34"/>
    <w:rsid w:val="00E449E0"/>
    <w:rsid w:val="00E45104"/>
    <w:rsid w:val="00E453B7"/>
    <w:rsid w:val="00E45E0B"/>
    <w:rsid w:val="00E52D01"/>
    <w:rsid w:val="00E55371"/>
    <w:rsid w:val="00E5557F"/>
    <w:rsid w:val="00E5588F"/>
    <w:rsid w:val="00E57442"/>
    <w:rsid w:val="00E60196"/>
    <w:rsid w:val="00E60756"/>
    <w:rsid w:val="00E61E09"/>
    <w:rsid w:val="00E62192"/>
    <w:rsid w:val="00E64B60"/>
    <w:rsid w:val="00E657D4"/>
    <w:rsid w:val="00E66E98"/>
    <w:rsid w:val="00E67E83"/>
    <w:rsid w:val="00E737A7"/>
    <w:rsid w:val="00E768B7"/>
    <w:rsid w:val="00E80C3F"/>
    <w:rsid w:val="00E832F8"/>
    <w:rsid w:val="00E83789"/>
    <w:rsid w:val="00E87315"/>
    <w:rsid w:val="00E91306"/>
    <w:rsid w:val="00E91477"/>
    <w:rsid w:val="00E915AC"/>
    <w:rsid w:val="00E9178F"/>
    <w:rsid w:val="00E91DA5"/>
    <w:rsid w:val="00E921B1"/>
    <w:rsid w:val="00E96EC1"/>
    <w:rsid w:val="00E9754A"/>
    <w:rsid w:val="00E9760B"/>
    <w:rsid w:val="00E97CC7"/>
    <w:rsid w:val="00EA04EF"/>
    <w:rsid w:val="00EA1131"/>
    <w:rsid w:val="00EA3483"/>
    <w:rsid w:val="00EA4DB3"/>
    <w:rsid w:val="00EA704D"/>
    <w:rsid w:val="00EA79EB"/>
    <w:rsid w:val="00EB0D81"/>
    <w:rsid w:val="00EB0DF1"/>
    <w:rsid w:val="00EC0082"/>
    <w:rsid w:val="00EC44C2"/>
    <w:rsid w:val="00EC5F41"/>
    <w:rsid w:val="00EC60CB"/>
    <w:rsid w:val="00EC7B4C"/>
    <w:rsid w:val="00ED0667"/>
    <w:rsid w:val="00ED0F19"/>
    <w:rsid w:val="00ED2ED4"/>
    <w:rsid w:val="00ED2EFF"/>
    <w:rsid w:val="00ED3BF4"/>
    <w:rsid w:val="00ED4234"/>
    <w:rsid w:val="00ED55E1"/>
    <w:rsid w:val="00ED7F90"/>
    <w:rsid w:val="00EE094E"/>
    <w:rsid w:val="00EE1CCD"/>
    <w:rsid w:val="00EE4DB7"/>
    <w:rsid w:val="00EE5189"/>
    <w:rsid w:val="00EE776B"/>
    <w:rsid w:val="00EF1522"/>
    <w:rsid w:val="00EF15DA"/>
    <w:rsid w:val="00EF16DD"/>
    <w:rsid w:val="00EF2829"/>
    <w:rsid w:val="00EF5251"/>
    <w:rsid w:val="00EF66D5"/>
    <w:rsid w:val="00EF66D6"/>
    <w:rsid w:val="00F04CC2"/>
    <w:rsid w:val="00F058FE"/>
    <w:rsid w:val="00F06B15"/>
    <w:rsid w:val="00F0755F"/>
    <w:rsid w:val="00F109B1"/>
    <w:rsid w:val="00F1157D"/>
    <w:rsid w:val="00F11EDA"/>
    <w:rsid w:val="00F1301C"/>
    <w:rsid w:val="00F13DF7"/>
    <w:rsid w:val="00F155B7"/>
    <w:rsid w:val="00F237C9"/>
    <w:rsid w:val="00F24361"/>
    <w:rsid w:val="00F277D0"/>
    <w:rsid w:val="00F30701"/>
    <w:rsid w:val="00F36E11"/>
    <w:rsid w:val="00F379A3"/>
    <w:rsid w:val="00F42730"/>
    <w:rsid w:val="00F43415"/>
    <w:rsid w:val="00F449FE"/>
    <w:rsid w:val="00F44CA3"/>
    <w:rsid w:val="00F46903"/>
    <w:rsid w:val="00F472E1"/>
    <w:rsid w:val="00F47B8F"/>
    <w:rsid w:val="00F50F9E"/>
    <w:rsid w:val="00F52A68"/>
    <w:rsid w:val="00F55AA3"/>
    <w:rsid w:val="00F562BD"/>
    <w:rsid w:val="00F57B5D"/>
    <w:rsid w:val="00F608B9"/>
    <w:rsid w:val="00F60DB7"/>
    <w:rsid w:val="00F60E91"/>
    <w:rsid w:val="00F62C3C"/>
    <w:rsid w:val="00F71570"/>
    <w:rsid w:val="00F72BAE"/>
    <w:rsid w:val="00F7558E"/>
    <w:rsid w:val="00F76205"/>
    <w:rsid w:val="00F803F1"/>
    <w:rsid w:val="00F8177B"/>
    <w:rsid w:val="00F81B47"/>
    <w:rsid w:val="00F83B75"/>
    <w:rsid w:val="00F84899"/>
    <w:rsid w:val="00F859F0"/>
    <w:rsid w:val="00F8789E"/>
    <w:rsid w:val="00F92E29"/>
    <w:rsid w:val="00F93C66"/>
    <w:rsid w:val="00FA06A3"/>
    <w:rsid w:val="00FA0FB5"/>
    <w:rsid w:val="00FA310C"/>
    <w:rsid w:val="00FA3B5A"/>
    <w:rsid w:val="00FA40C0"/>
    <w:rsid w:val="00FA4A30"/>
    <w:rsid w:val="00FA540E"/>
    <w:rsid w:val="00FA6587"/>
    <w:rsid w:val="00FB0D40"/>
    <w:rsid w:val="00FB301D"/>
    <w:rsid w:val="00FB42FF"/>
    <w:rsid w:val="00FB47F3"/>
    <w:rsid w:val="00FB516F"/>
    <w:rsid w:val="00FC711A"/>
    <w:rsid w:val="00FD2533"/>
    <w:rsid w:val="00FD3213"/>
    <w:rsid w:val="00FD39C2"/>
    <w:rsid w:val="00FD3A2E"/>
    <w:rsid w:val="00FD4AFF"/>
    <w:rsid w:val="00FD674C"/>
    <w:rsid w:val="00FD7994"/>
    <w:rsid w:val="00FD7A75"/>
    <w:rsid w:val="00FD7C89"/>
    <w:rsid w:val="00FE0DC4"/>
    <w:rsid w:val="00FE125A"/>
    <w:rsid w:val="00FE141E"/>
    <w:rsid w:val="00FE18E0"/>
    <w:rsid w:val="00FE24F4"/>
    <w:rsid w:val="00FE2A33"/>
    <w:rsid w:val="00FE2B5E"/>
    <w:rsid w:val="00FE58FE"/>
    <w:rsid w:val="00FE5ECC"/>
    <w:rsid w:val="00FE674D"/>
    <w:rsid w:val="00FE78CB"/>
    <w:rsid w:val="00FF3657"/>
    <w:rsid w:val="00FF417D"/>
    <w:rsid w:val="00FF5D63"/>
    <w:rsid w:val="00FF66DD"/>
    <w:rsid w:val="00FF7737"/>
    <w:rsid w:val="00FF7CFA"/>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5F9A6F8-23B1-4C7D-BF19-C70E5FF1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customStyle="1" w:styleId="Mencinsinresolver2">
    <w:name w:val="Mención sin resolver2"/>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 w:type="table" w:customStyle="1" w:styleId="Tablaconcuadrcula1">
    <w:name w:val="Tabla con cuadrícula1"/>
    <w:basedOn w:val="Tablanormal"/>
    <w:next w:val="Tablaconcuadrcula"/>
    <w:uiPriority w:val="59"/>
    <w:rsid w:val="00601C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28346294">
      <w:bodyDiv w:val="1"/>
      <w:marLeft w:val="0"/>
      <w:marRight w:val="0"/>
      <w:marTop w:val="0"/>
      <w:marBottom w:val="0"/>
      <w:divBdr>
        <w:top w:val="none" w:sz="0" w:space="0" w:color="auto"/>
        <w:left w:val="none" w:sz="0" w:space="0" w:color="auto"/>
        <w:bottom w:val="none" w:sz="0" w:space="0" w:color="auto"/>
        <w:right w:val="none" w:sz="0" w:space="0" w:color="auto"/>
      </w:divBdr>
    </w:div>
    <w:div w:id="94707797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215052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7035932">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16924715">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520">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0DAA8-90A8-448D-8783-7687FF7ED42E}">
  <ds:schemaRefs>
    <ds:schemaRef ds:uri="http://schemas.openxmlformats.org/officeDocument/2006/bibliography"/>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6702B8D-5A15-4E70-B4B0-91E05679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15</Pages>
  <Words>5078</Words>
  <Characters>27933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Martin Rojas Mejia</cp:lastModifiedBy>
  <cp:revision>5</cp:revision>
  <dcterms:created xsi:type="dcterms:W3CDTF">2021-12-09T20:42:00Z</dcterms:created>
  <dcterms:modified xsi:type="dcterms:W3CDTF">2021-12-29T20:10:00Z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