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B3D8" w14:textId="77777777" w:rsidR="0073137C" w:rsidRPr="008E6190" w:rsidRDefault="0073137C" w:rsidP="0073137C">
      <w:pPr>
        <w:jc w:val="both"/>
        <w:rPr>
          <w:rFonts w:ascii="Arial" w:hAnsi="Arial" w:cs="Arial"/>
          <w:b/>
          <w:sz w:val="22"/>
          <w:lang w:val="es-ES_tradnl" w:eastAsia="es-ES"/>
        </w:rPr>
      </w:pPr>
      <w:r w:rsidRPr="008E6190">
        <w:rPr>
          <w:rFonts w:ascii="Arial" w:hAnsi="Arial" w:cs="Arial"/>
          <w:b/>
          <w:sz w:val="22"/>
          <w:lang w:val="es-ES_tradnl" w:eastAsia="es-ES"/>
        </w:rPr>
        <w:t>PRINCIPIO DE PUBLICIDAD – Democracia – Estado social de Derecho – Fundamento axiológico</w:t>
      </w:r>
    </w:p>
    <w:p w14:paraId="79E60DB4" w14:textId="77777777" w:rsidR="0073137C" w:rsidRPr="008E6190" w:rsidRDefault="0073137C" w:rsidP="0073137C">
      <w:pPr>
        <w:jc w:val="both"/>
        <w:rPr>
          <w:rFonts w:ascii="Arial" w:hAnsi="Arial" w:cs="Arial"/>
          <w:noProof/>
          <w:color w:val="000000" w:themeColor="text1"/>
          <w:sz w:val="22"/>
          <w:lang w:val="es-ES_tradnl"/>
        </w:rPr>
      </w:pPr>
    </w:p>
    <w:p w14:paraId="09A8A0FD" w14:textId="77777777" w:rsidR="0073137C" w:rsidRPr="008E6190" w:rsidRDefault="0073137C" w:rsidP="0073137C">
      <w:pPr>
        <w:jc w:val="both"/>
        <w:rPr>
          <w:rFonts w:ascii="Arial" w:eastAsia="Calibri" w:hAnsi="Arial" w:cs="Arial"/>
          <w:color w:val="000000" w:themeColor="text1"/>
          <w:sz w:val="20"/>
          <w:szCs w:val="20"/>
          <w:lang w:val="es-ES_tradnl"/>
        </w:rPr>
      </w:pPr>
      <w:r w:rsidRPr="008E6190">
        <w:rPr>
          <w:rFonts w:ascii="Arial" w:eastAsia="Calibri" w:hAnsi="Arial" w:cs="Arial"/>
          <w:color w:val="000000" w:themeColor="text1"/>
          <w:sz w:val="20"/>
          <w:szCs w:val="20"/>
          <w:lang w:val="es-ES_tradnl"/>
        </w:rPr>
        <w:t xml:space="preserve">Uno de los postulados más importantes de un Estado social y democrático de derecho es el principio de </w:t>
      </w:r>
      <w:r w:rsidRPr="008E6190">
        <w:rPr>
          <w:rFonts w:ascii="Arial" w:eastAsia="Calibri" w:hAnsi="Arial" w:cs="Arial"/>
          <w:i/>
          <w:iCs/>
          <w:color w:val="000000" w:themeColor="text1"/>
          <w:sz w:val="20"/>
          <w:szCs w:val="20"/>
          <w:lang w:val="es-ES_tradnl"/>
        </w:rPr>
        <w:t>publicidad</w:t>
      </w:r>
      <w:r w:rsidRPr="008E6190">
        <w:rPr>
          <w:rFonts w:ascii="Arial" w:eastAsia="Calibri" w:hAnsi="Arial" w:cs="Arial"/>
          <w:color w:val="000000" w:themeColor="text1"/>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2534C149" w14:textId="77777777" w:rsidR="0073137C" w:rsidRPr="008E6190" w:rsidRDefault="0073137C" w:rsidP="0073137C">
      <w:pPr>
        <w:jc w:val="both"/>
        <w:rPr>
          <w:rFonts w:ascii="Arial" w:hAnsi="Arial" w:cs="Arial"/>
          <w:sz w:val="20"/>
          <w:szCs w:val="20"/>
          <w:lang w:val="es-ES_tradnl" w:eastAsia="es-ES"/>
        </w:rPr>
      </w:pPr>
    </w:p>
    <w:p w14:paraId="31893A1F" w14:textId="4F9BE511" w:rsidR="009F0116" w:rsidRPr="008E6190" w:rsidRDefault="00FA020C" w:rsidP="00410548">
      <w:pPr>
        <w:jc w:val="both"/>
        <w:rPr>
          <w:rFonts w:ascii="Arial" w:eastAsia="Calibri" w:hAnsi="Arial" w:cs="Arial"/>
          <w:b/>
          <w:sz w:val="22"/>
        </w:rPr>
      </w:pPr>
      <w:r w:rsidRPr="008E6190">
        <w:rPr>
          <w:rFonts w:ascii="Arial" w:eastAsia="Calibri" w:hAnsi="Arial" w:cs="Arial"/>
          <w:b/>
          <w:sz w:val="22"/>
        </w:rPr>
        <w:t>SECOP – Publicación – Actividad Contractual - Excepciones</w:t>
      </w:r>
    </w:p>
    <w:p w14:paraId="04A55ACF" w14:textId="56997490" w:rsidR="009F0116" w:rsidRPr="008E6190" w:rsidRDefault="009F0116" w:rsidP="00410548">
      <w:pPr>
        <w:jc w:val="both"/>
        <w:rPr>
          <w:rFonts w:ascii="Arial" w:eastAsia="Calibri" w:hAnsi="Arial" w:cs="Arial"/>
          <w:b/>
          <w:sz w:val="20"/>
          <w:szCs w:val="20"/>
        </w:rPr>
      </w:pPr>
    </w:p>
    <w:p w14:paraId="608C08DC" w14:textId="77777777" w:rsidR="001C58F8" w:rsidRPr="001C58F8" w:rsidRDefault="00FA020C" w:rsidP="001C58F8">
      <w:pPr>
        <w:jc w:val="both"/>
        <w:rPr>
          <w:rFonts w:ascii="Arial" w:eastAsia="Calibri" w:hAnsi="Arial" w:cs="Arial"/>
          <w:bCs/>
          <w:sz w:val="20"/>
          <w:szCs w:val="20"/>
          <w:lang w:val="es-ES_tradnl"/>
        </w:rPr>
      </w:pPr>
      <w:r w:rsidRPr="008E6190">
        <w:rPr>
          <w:rFonts w:ascii="Arial" w:eastAsia="Calibri" w:hAnsi="Arial" w:cs="Arial"/>
          <w:bCs/>
          <w:sz w:val="20"/>
          <w:szCs w:val="20"/>
        </w:rPr>
        <w:t xml:space="preserve">[…] </w:t>
      </w:r>
    </w:p>
    <w:p w14:paraId="35722FFE" w14:textId="7969759C" w:rsidR="001C58F8" w:rsidRDefault="001C58F8" w:rsidP="001C58F8">
      <w:pPr>
        <w:jc w:val="both"/>
        <w:rPr>
          <w:rFonts w:ascii="Arial" w:eastAsia="Calibri" w:hAnsi="Arial" w:cs="Arial"/>
          <w:bCs/>
          <w:sz w:val="20"/>
          <w:szCs w:val="20"/>
          <w:lang w:val="es-ES_tradnl"/>
        </w:rPr>
      </w:pPr>
      <w:r w:rsidRPr="001C58F8">
        <w:rPr>
          <w:rFonts w:ascii="Arial" w:eastAsia="Calibri" w:hAnsi="Arial" w:cs="Arial"/>
          <w:bCs/>
          <w:sz w:val="20"/>
          <w:szCs w:val="20"/>
          <w:lang w:val="es-ES_tradnl"/>
        </w:rPr>
        <w:t xml:space="preserve">para que una entidad estatal se encuentre exceptuada de publicar su actividad contractual en el SECOP, de acuerdo con el fundamento citado en el párrafo anterior, se requiere el cumplimiento de las siguientes condiciones: i) Que se trate de una empresa industrial y comercial del Estado, sociedad de economía mixta o una empresa de servicios públicos domiciliarios. </w:t>
      </w:r>
      <w:proofErr w:type="spellStart"/>
      <w:r w:rsidRPr="001C58F8">
        <w:rPr>
          <w:rFonts w:ascii="Arial" w:eastAsia="Calibri" w:hAnsi="Arial" w:cs="Arial"/>
          <w:bCs/>
          <w:sz w:val="20"/>
          <w:szCs w:val="20"/>
          <w:lang w:val="es-ES_tradnl"/>
        </w:rPr>
        <w:t>ii</w:t>
      </w:r>
      <w:proofErr w:type="spellEnd"/>
      <w:r w:rsidRPr="001C58F8">
        <w:rPr>
          <w:rFonts w:ascii="Arial" w:eastAsia="Calibri" w:hAnsi="Arial" w:cs="Arial"/>
          <w:bCs/>
          <w:sz w:val="20"/>
          <w:szCs w:val="20"/>
          <w:lang w:val="es-ES_tradnl"/>
        </w:rPr>
        <w:t xml:space="preserve">) Que la entidad desarrolle su actividad en competencia con el sector privado. </w:t>
      </w:r>
      <w:proofErr w:type="spellStart"/>
      <w:r w:rsidRPr="001C58F8">
        <w:rPr>
          <w:rFonts w:ascii="Arial" w:eastAsia="Calibri" w:hAnsi="Arial" w:cs="Arial"/>
          <w:bCs/>
          <w:sz w:val="20"/>
          <w:szCs w:val="20"/>
          <w:lang w:val="es-ES_tradnl"/>
        </w:rPr>
        <w:t>iii</w:t>
      </w:r>
      <w:proofErr w:type="spellEnd"/>
      <w:r w:rsidRPr="001C58F8">
        <w:rPr>
          <w:rFonts w:ascii="Arial" w:eastAsia="Calibri" w:hAnsi="Arial" w:cs="Arial"/>
          <w:bCs/>
          <w:sz w:val="20"/>
          <w:szCs w:val="20"/>
          <w:lang w:val="es-ES_tradnl"/>
        </w:rPr>
        <w:t xml:space="preserve">) Que antes del 30 de noviembre de 2015 haya solicitado a Colombia Compra Eficiente el enlace que comunica su sistema de información propio con el SECOP. </w:t>
      </w:r>
      <w:proofErr w:type="spellStart"/>
      <w:r w:rsidRPr="001C58F8">
        <w:rPr>
          <w:rFonts w:ascii="Arial" w:eastAsia="Calibri" w:hAnsi="Arial" w:cs="Arial"/>
          <w:bCs/>
          <w:sz w:val="20"/>
          <w:szCs w:val="20"/>
          <w:lang w:val="es-ES_tradnl"/>
        </w:rPr>
        <w:t>iv</w:t>
      </w:r>
      <w:proofErr w:type="spellEnd"/>
      <w:r w:rsidRPr="001C58F8">
        <w:rPr>
          <w:rFonts w:ascii="Arial" w:eastAsia="Calibri" w:hAnsi="Arial" w:cs="Arial"/>
          <w:bCs/>
          <w:sz w:val="20"/>
          <w:szCs w:val="20"/>
          <w:lang w:val="es-ES_tradnl"/>
        </w:rPr>
        <w:t xml:space="preserve">) Que el sistema de información permita realizar el proceso de contratación en línea y se permita a los proveedores y al público tener acceso oportuno, permanente e ininterrumpido a la información de su actividad contractual. </w:t>
      </w:r>
    </w:p>
    <w:p w14:paraId="5DD1E744" w14:textId="77777777" w:rsidR="001C58F8" w:rsidRPr="001C58F8" w:rsidRDefault="001C58F8" w:rsidP="001C58F8">
      <w:pPr>
        <w:jc w:val="both"/>
        <w:rPr>
          <w:rFonts w:ascii="Arial" w:eastAsia="Calibri" w:hAnsi="Arial" w:cs="Arial"/>
          <w:bCs/>
          <w:sz w:val="20"/>
          <w:szCs w:val="20"/>
          <w:lang w:val="es-ES_tradnl"/>
        </w:rPr>
      </w:pPr>
    </w:p>
    <w:p w14:paraId="1E73D3BF" w14:textId="5C8F0DA4" w:rsidR="009F0116" w:rsidRPr="008E6190" w:rsidRDefault="009F0116" w:rsidP="00410548">
      <w:pPr>
        <w:jc w:val="both"/>
        <w:rPr>
          <w:rFonts w:ascii="Arial" w:eastAsia="Calibri" w:hAnsi="Arial" w:cs="Arial"/>
          <w:b/>
          <w:sz w:val="20"/>
          <w:szCs w:val="20"/>
          <w:lang w:val="es-ES_tradnl"/>
        </w:rPr>
      </w:pPr>
    </w:p>
    <w:p w14:paraId="770B42D0" w14:textId="64B7ABDA" w:rsidR="009F0116" w:rsidRDefault="00FA020C" w:rsidP="00410548">
      <w:pPr>
        <w:jc w:val="both"/>
        <w:rPr>
          <w:rFonts w:ascii="Arial" w:eastAsia="Calibri" w:hAnsi="Arial" w:cs="Arial"/>
          <w:b/>
          <w:sz w:val="22"/>
        </w:rPr>
      </w:pPr>
      <w:r w:rsidRPr="008E6190">
        <w:rPr>
          <w:rFonts w:ascii="Arial" w:eastAsia="Calibri" w:hAnsi="Arial" w:cs="Arial"/>
          <w:b/>
          <w:sz w:val="22"/>
        </w:rPr>
        <w:t>PUBLICIDAD – Deber – Alcance – Entidades Contratantes</w:t>
      </w:r>
    </w:p>
    <w:p w14:paraId="7548B4E4" w14:textId="77777777" w:rsidR="001C58F8" w:rsidRPr="008E6190" w:rsidRDefault="001C58F8" w:rsidP="00410548">
      <w:pPr>
        <w:jc w:val="both"/>
        <w:rPr>
          <w:rFonts w:ascii="Arial" w:eastAsia="Calibri" w:hAnsi="Arial" w:cs="Arial"/>
          <w:b/>
          <w:sz w:val="22"/>
        </w:rPr>
      </w:pPr>
    </w:p>
    <w:p w14:paraId="51343D7B" w14:textId="43570167" w:rsidR="005A4DC0" w:rsidRPr="008E6190" w:rsidRDefault="001C58F8" w:rsidP="001C58F8">
      <w:pPr>
        <w:jc w:val="both"/>
        <w:rPr>
          <w:rFonts w:ascii="Arial" w:hAnsi="Arial" w:cs="Arial"/>
          <w:bCs/>
          <w:color w:val="000000" w:themeColor="text1"/>
          <w:sz w:val="22"/>
          <w:lang w:val="es-ES_tradnl"/>
        </w:rPr>
      </w:pPr>
      <w:r w:rsidRPr="001C58F8">
        <w:rPr>
          <w:rFonts w:ascii="Arial" w:eastAsia="Calibri" w:hAnsi="Arial" w:cs="Arial"/>
          <w:bCs/>
          <w:sz w:val="20"/>
          <w:szCs w:val="20"/>
        </w:rPr>
        <w:t>Ahora bien, es importante precisar que la excepción establecida en la Circular está dirigida a los supuestos en que dichas entidades funjan como contratantes, esto es, cuando sean ellas quienes adelanten los procesos contractuales. En este sentido, si dichas entidades participan en procesos contractuales adelantados por otras entidades estatales, que efectivamente deben publicar su actividad contractual en el SECOP, aquellas participarán en las mismas condiciones que cualquier otro proponente o contratista, por lo que la entidad que dirige el proceso contractual realizará la publicidad respectiva en el SECOP. En efecto, la regulación establecida en la Circular está dirigida a las entidades que dirigen el proceso contractual, por lo que el hecho de que una entidad que cumpla con la excepción de publicidad señalada en el párrafo anterior y participe en un proceso contractual adelantado por una entidad estatal que sí debe realizar la publicidad en el SECOP, no hace que opere la excepción estudiada, en el entendido de que la entidad contratante sí debe cumplir con el deber general de publicidad.</w:t>
      </w:r>
    </w:p>
    <w:p w14:paraId="2146344E" w14:textId="1D516676" w:rsidR="00E76FD5" w:rsidRPr="008E6190" w:rsidRDefault="00E76FD5" w:rsidP="005A4DC0">
      <w:pPr>
        <w:rPr>
          <w:rFonts w:ascii="Arial" w:hAnsi="Arial" w:cs="Arial"/>
          <w:bCs/>
          <w:color w:val="000000" w:themeColor="text1"/>
          <w:sz w:val="22"/>
          <w:lang w:val="es-ES"/>
        </w:rPr>
      </w:pPr>
    </w:p>
    <w:p w14:paraId="56D47357" w14:textId="2F59AC78" w:rsidR="00E76FD5" w:rsidRPr="008E6190" w:rsidRDefault="00E76FD5" w:rsidP="005A4DC0">
      <w:pPr>
        <w:rPr>
          <w:rFonts w:ascii="Arial" w:hAnsi="Arial" w:cs="Arial"/>
          <w:bCs/>
          <w:color w:val="000000" w:themeColor="text1"/>
          <w:sz w:val="22"/>
          <w:lang w:val="es-ES"/>
        </w:rPr>
      </w:pPr>
    </w:p>
    <w:p w14:paraId="1E3A4599" w14:textId="3C8CB56E" w:rsidR="00E76FD5" w:rsidRPr="008E6190" w:rsidRDefault="00E76FD5" w:rsidP="005A4DC0">
      <w:pPr>
        <w:rPr>
          <w:rFonts w:ascii="Arial" w:hAnsi="Arial" w:cs="Arial"/>
          <w:bCs/>
          <w:color w:val="000000" w:themeColor="text1"/>
          <w:sz w:val="22"/>
          <w:lang w:val="es-ES"/>
        </w:rPr>
      </w:pPr>
    </w:p>
    <w:p w14:paraId="7D19154C" w14:textId="46530ABB" w:rsidR="00E76FD5" w:rsidRPr="008E6190" w:rsidRDefault="00E76FD5" w:rsidP="005A4DC0">
      <w:pPr>
        <w:rPr>
          <w:rFonts w:ascii="Arial" w:hAnsi="Arial" w:cs="Arial"/>
          <w:bCs/>
          <w:color w:val="000000" w:themeColor="text1"/>
          <w:sz w:val="22"/>
          <w:lang w:val="es-ES"/>
        </w:rPr>
      </w:pPr>
    </w:p>
    <w:p w14:paraId="37246095" w14:textId="7E0BC49A" w:rsidR="0073137C" w:rsidRPr="008E6190" w:rsidRDefault="0073137C" w:rsidP="005A4DC0">
      <w:pPr>
        <w:rPr>
          <w:rFonts w:ascii="Arial" w:hAnsi="Arial" w:cs="Arial"/>
          <w:bCs/>
          <w:color w:val="000000" w:themeColor="text1"/>
          <w:sz w:val="22"/>
          <w:lang w:val="es-ES"/>
        </w:rPr>
      </w:pPr>
    </w:p>
    <w:p w14:paraId="24823AAA" w14:textId="331142D5" w:rsidR="004307DC" w:rsidRPr="008E6190" w:rsidRDefault="004307DC" w:rsidP="005A4DC0">
      <w:pPr>
        <w:rPr>
          <w:rFonts w:ascii="Arial" w:hAnsi="Arial" w:cs="Arial"/>
          <w:bCs/>
          <w:color w:val="000000" w:themeColor="text1"/>
          <w:sz w:val="22"/>
          <w:lang w:val="es-ES"/>
        </w:rPr>
      </w:pPr>
    </w:p>
    <w:p w14:paraId="383DAC43" w14:textId="310659BC" w:rsidR="004307DC" w:rsidRPr="008E6190" w:rsidRDefault="004307DC" w:rsidP="005A4DC0">
      <w:pPr>
        <w:rPr>
          <w:rFonts w:ascii="Arial" w:hAnsi="Arial" w:cs="Arial"/>
          <w:bCs/>
          <w:color w:val="000000" w:themeColor="text1"/>
          <w:sz w:val="22"/>
          <w:lang w:val="es-ES"/>
        </w:rPr>
      </w:pPr>
    </w:p>
    <w:p w14:paraId="2C8E968F" w14:textId="77777777" w:rsidR="004307DC" w:rsidRPr="008E6190" w:rsidRDefault="004307DC" w:rsidP="00850B2A">
      <w:pPr>
        <w:widowControl w:val="0"/>
        <w:autoSpaceDE w:val="0"/>
        <w:autoSpaceDN w:val="0"/>
        <w:rPr>
          <w:rFonts w:ascii="Arial" w:hAnsi="Arial" w:cs="Arial"/>
          <w:sz w:val="22"/>
          <w:szCs w:val="20"/>
          <w:lang w:val="es-ES"/>
        </w:rPr>
      </w:pPr>
    </w:p>
    <w:p w14:paraId="353FC60F" w14:textId="77777777" w:rsidR="004307DC" w:rsidRPr="008E6190" w:rsidRDefault="004307DC" w:rsidP="00850B2A">
      <w:pPr>
        <w:widowControl w:val="0"/>
        <w:autoSpaceDE w:val="0"/>
        <w:autoSpaceDN w:val="0"/>
        <w:rPr>
          <w:rFonts w:ascii="Arial" w:hAnsi="Arial" w:cs="Arial"/>
          <w:sz w:val="22"/>
          <w:szCs w:val="20"/>
          <w:lang w:val="es-ES"/>
        </w:rPr>
      </w:pPr>
    </w:p>
    <w:p w14:paraId="4B0BF93F" w14:textId="77777777" w:rsidR="004307DC" w:rsidRPr="008E6190" w:rsidRDefault="004307DC" w:rsidP="00850B2A">
      <w:pPr>
        <w:widowControl w:val="0"/>
        <w:autoSpaceDE w:val="0"/>
        <w:autoSpaceDN w:val="0"/>
        <w:rPr>
          <w:rFonts w:ascii="Arial" w:hAnsi="Arial" w:cs="Arial"/>
          <w:sz w:val="22"/>
          <w:szCs w:val="20"/>
          <w:lang w:val="es-ES"/>
        </w:rPr>
      </w:pPr>
    </w:p>
    <w:p w14:paraId="1AF5CEE8" w14:textId="4B08CAC2" w:rsidR="00850B2A" w:rsidRPr="008E6190" w:rsidRDefault="00850B2A" w:rsidP="00850B2A">
      <w:pPr>
        <w:widowControl w:val="0"/>
        <w:autoSpaceDE w:val="0"/>
        <w:autoSpaceDN w:val="0"/>
        <w:rPr>
          <w:rFonts w:ascii="Arial" w:hAnsi="Arial" w:cs="Arial"/>
          <w:sz w:val="22"/>
          <w:szCs w:val="20"/>
          <w:lang w:val="es-ES"/>
        </w:rPr>
      </w:pPr>
      <w:bookmarkStart w:id="0" w:name="_Hlk91089846"/>
      <w:r w:rsidRPr="008E6190">
        <w:rPr>
          <w:rFonts w:ascii="Arial" w:hAnsi="Arial" w:cs="Arial"/>
          <w:sz w:val="22"/>
          <w:szCs w:val="20"/>
          <w:lang w:val="es-ES"/>
        </w:rPr>
        <w:t>Bogotá,</w:t>
      </w:r>
      <w:r w:rsidRPr="008E6190">
        <w:rPr>
          <w:rFonts w:ascii="Arial" w:hAnsi="Arial" w:cs="Arial"/>
          <w:b/>
          <w:bCs/>
          <w:sz w:val="22"/>
          <w:szCs w:val="20"/>
          <w:lang w:val="es-ES"/>
        </w:rPr>
        <w:t xml:space="preserve"> </w:t>
      </w:r>
      <w:r w:rsidR="000D51C0">
        <w:rPr>
          <w:rFonts w:ascii="Arial" w:hAnsi="Arial" w:cs="Arial"/>
          <w:b/>
          <w:bCs/>
          <w:sz w:val="22"/>
          <w:szCs w:val="20"/>
          <w:lang w:val="es-ES"/>
        </w:rPr>
        <w:t>27/12/2021</w:t>
      </w:r>
    </w:p>
    <w:bookmarkEnd w:id="0"/>
    <w:p w14:paraId="630F6967" w14:textId="77777777" w:rsidR="00850B2A" w:rsidRPr="008E6190" w:rsidRDefault="00850B2A" w:rsidP="00850B2A">
      <w:pPr>
        <w:widowControl w:val="0"/>
        <w:autoSpaceDE w:val="0"/>
        <w:autoSpaceDN w:val="0"/>
        <w:rPr>
          <w:rFonts w:ascii="Arial" w:hAnsi="Arial" w:cs="Arial"/>
          <w:sz w:val="22"/>
          <w:szCs w:val="20"/>
          <w:lang w:val="es-ES"/>
        </w:rPr>
      </w:pPr>
    </w:p>
    <w:p w14:paraId="2D82B633" w14:textId="680E8D62" w:rsidR="00865A20" w:rsidRPr="008E6190" w:rsidRDefault="000D51C0" w:rsidP="000D51C0">
      <w:pPr>
        <w:jc w:val="right"/>
        <w:rPr>
          <w:rFonts w:ascii="Arial" w:eastAsia="Calibri" w:hAnsi="Arial" w:cs="Arial"/>
          <w:sz w:val="22"/>
        </w:rPr>
      </w:pPr>
      <w:bookmarkStart w:id="1" w:name="_Hlk86315253"/>
      <w:r>
        <w:rPr>
          <w:rFonts w:ascii="Times New Roman"/>
          <w:noProof/>
          <w:sz w:val="20"/>
        </w:rPr>
        <w:drawing>
          <wp:inline distT="0" distB="0" distL="0" distR="0" wp14:anchorId="1152DED7" wp14:editId="36F80129">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4BA04FCC" w14:textId="60A35B95" w:rsidR="00410548" w:rsidRPr="008E6190" w:rsidRDefault="00410548" w:rsidP="00410548">
      <w:pPr>
        <w:rPr>
          <w:rFonts w:ascii="Arial" w:eastAsia="Calibri" w:hAnsi="Arial" w:cs="Arial"/>
          <w:sz w:val="22"/>
        </w:rPr>
      </w:pPr>
      <w:r w:rsidRPr="008E6190">
        <w:rPr>
          <w:rFonts w:ascii="Arial" w:eastAsia="Calibri" w:hAnsi="Arial" w:cs="Arial"/>
          <w:sz w:val="22"/>
        </w:rPr>
        <w:t xml:space="preserve">Señor </w:t>
      </w:r>
    </w:p>
    <w:p w14:paraId="247A0483" w14:textId="48943CD2" w:rsidR="006C061A" w:rsidRPr="008E6190" w:rsidRDefault="00850B2A" w:rsidP="00410548">
      <w:pPr>
        <w:rPr>
          <w:rFonts w:ascii="Arial" w:eastAsia="Calibri" w:hAnsi="Arial" w:cs="Arial"/>
          <w:b/>
          <w:sz w:val="22"/>
        </w:rPr>
      </w:pPr>
      <w:bookmarkStart w:id="2" w:name="_Hlk91489422"/>
      <w:r w:rsidRPr="008E6190">
        <w:rPr>
          <w:rFonts w:ascii="Arial" w:eastAsia="Calibri" w:hAnsi="Arial" w:cs="Arial"/>
          <w:b/>
          <w:sz w:val="22"/>
        </w:rPr>
        <w:t>Alex Alberto Estupiñán González</w:t>
      </w:r>
    </w:p>
    <w:p w14:paraId="3A94D94E" w14:textId="157270CD" w:rsidR="006B2049" w:rsidRPr="008E6190" w:rsidRDefault="00850B2A" w:rsidP="00410548">
      <w:pPr>
        <w:rPr>
          <w:rFonts w:ascii="Arial" w:eastAsia="Calibri" w:hAnsi="Arial" w:cs="Arial"/>
          <w:sz w:val="22"/>
        </w:rPr>
      </w:pPr>
      <w:r w:rsidRPr="008E6190">
        <w:rPr>
          <w:rFonts w:ascii="Arial" w:eastAsia="Calibri" w:hAnsi="Arial" w:cs="Arial"/>
          <w:sz w:val="22"/>
        </w:rPr>
        <w:t>Bogotá D.C.</w:t>
      </w:r>
    </w:p>
    <w:p w14:paraId="18CD9928" w14:textId="3A2F1066" w:rsidR="00410548" w:rsidRPr="008E6190" w:rsidRDefault="00410548" w:rsidP="00410548">
      <w:pPr>
        <w:rPr>
          <w:rFonts w:ascii="Arial" w:eastAsia="Calibri" w:hAnsi="Arial" w:cs="Arial"/>
          <w:sz w:val="22"/>
        </w:rPr>
      </w:pPr>
      <w:r w:rsidRPr="008E6190">
        <w:rPr>
          <w:rFonts w:ascii="Arial" w:eastAsia="Calibri" w:hAnsi="Arial" w:cs="Arial"/>
          <w:sz w:val="22"/>
        </w:rPr>
        <w:t xml:space="preserve"> </w:t>
      </w:r>
    </w:p>
    <w:p w14:paraId="2279613C" w14:textId="70440F4C" w:rsidR="00410548" w:rsidRPr="008E6190" w:rsidRDefault="00410548" w:rsidP="00410548">
      <w:pPr>
        <w:jc w:val="center"/>
        <w:rPr>
          <w:rFonts w:ascii="Arial" w:eastAsia="Calibri" w:hAnsi="Arial" w:cs="Arial"/>
          <w:b/>
          <w:sz w:val="22"/>
        </w:rPr>
      </w:pPr>
      <w:r w:rsidRPr="008E6190">
        <w:rPr>
          <w:rFonts w:ascii="Arial" w:eastAsia="Calibri" w:hAnsi="Arial" w:cs="Arial"/>
          <w:b/>
          <w:sz w:val="22"/>
        </w:rPr>
        <w:t>Concepto C –</w:t>
      </w:r>
      <w:r w:rsidR="005F79CF" w:rsidRPr="008E6190">
        <w:rPr>
          <w:rFonts w:ascii="Arial" w:eastAsia="Calibri" w:hAnsi="Arial" w:cs="Arial"/>
          <w:b/>
          <w:sz w:val="22"/>
        </w:rPr>
        <w:t xml:space="preserve"> </w:t>
      </w:r>
      <w:r w:rsidR="004307DC" w:rsidRPr="008E6190">
        <w:rPr>
          <w:rFonts w:ascii="Arial" w:eastAsia="Calibri" w:hAnsi="Arial" w:cs="Arial"/>
          <w:b/>
          <w:sz w:val="22"/>
        </w:rPr>
        <w:t xml:space="preserve">671 </w:t>
      </w:r>
      <w:r w:rsidRPr="008E6190">
        <w:rPr>
          <w:rFonts w:ascii="Arial" w:eastAsia="Calibri" w:hAnsi="Arial" w:cs="Arial"/>
          <w:b/>
          <w:sz w:val="22"/>
        </w:rPr>
        <w:t>de 2021</w:t>
      </w:r>
    </w:p>
    <w:p w14:paraId="2593FC23" w14:textId="77777777" w:rsidR="00410548" w:rsidRPr="008E6190" w:rsidRDefault="00410548" w:rsidP="00410548">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50B2A" w:rsidRPr="008E6190" w14:paraId="55C54D80" w14:textId="77777777" w:rsidTr="00850B2A">
        <w:trPr>
          <w:trHeight w:val="253"/>
        </w:trPr>
        <w:tc>
          <w:tcPr>
            <w:tcW w:w="2689" w:type="dxa"/>
            <w:hideMark/>
          </w:tcPr>
          <w:p w14:paraId="1B61C999" w14:textId="77777777" w:rsidR="00850B2A" w:rsidRPr="008E6190" w:rsidRDefault="00850B2A" w:rsidP="00850B2A">
            <w:pPr>
              <w:rPr>
                <w:rFonts w:ascii="Arial" w:eastAsia="Calibri" w:hAnsi="Arial" w:cs="Arial"/>
                <w:sz w:val="22"/>
              </w:rPr>
            </w:pPr>
            <w:r w:rsidRPr="008E6190">
              <w:rPr>
                <w:rFonts w:ascii="Arial" w:eastAsia="Calibri" w:hAnsi="Arial" w:cs="Arial"/>
                <w:b/>
                <w:sz w:val="22"/>
              </w:rPr>
              <w:t>Temas:</w:t>
            </w:r>
            <w:r w:rsidRPr="008E6190">
              <w:rPr>
                <w:rFonts w:ascii="Arial" w:eastAsia="Calibri" w:hAnsi="Arial" w:cs="Arial"/>
                <w:sz w:val="22"/>
              </w:rPr>
              <w:t xml:space="preserve">           </w:t>
            </w:r>
          </w:p>
          <w:p w14:paraId="6300D59B" w14:textId="117FAB75" w:rsidR="00850B2A" w:rsidRPr="008E6190" w:rsidRDefault="00850B2A" w:rsidP="00850B2A">
            <w:pPr>
              <w:rPr>
                <w:rFonts w:ascii="Arial" w:eastAsia="Calibri" w:hAnsi="Arial" w:cs="Arial"/>
                <w:sz w:val="22"/>
              </w:rPr>
            </w:pPr>
            <w:r w:rsidRPr="008E6190">
              <w:rPr>
                <w:rFonts w:ascii="Arial" w:eastAsia="Calibri" w:hAnsi="Arial" w:cs="Arial"/>
                <w:sz w:val="22"/>
              </w:rPr>
              <w:t xml:space="preserve">                           </w:t>
            </w:r>
          </w:p>
        </w:tc>
        <w:tc>
          <w:tcPr>
            <w:tcW w:w="6237" w:type="dxa"/>
            <w:hideMark/>
          </w:tcPr>
          <w:p w14:paraId="18F3A31D" w14:textId="3B7FAECF" w:rsidR="00850B2A" w:rsidRPr="008E6190" w:rsidRDefault="004307DC" w:rsidP="004307DC">
            <w:pPr>
              <w:jc w:val="both"/>
              <w:rPr>
                <w:rFonts w:ascii="Arial" w:eastAsia="Calibri" w:hAnsi="Arial" w:cs="Arial"/>
                <w:sz w:val="22"/>
                <w:lang w:val="es-ES_tradnl"/>
              </w:rPr>
            </w:pPr>
            <w:r w:rsidRPr="008E6190">
              <w:rPr>
                <w:rFonts w:ascii="Arial" w:eastAsia="Calibri" w:hAnsi="Arial" w:cs="Arial"/>
                <w:sz w:val="22"/>
                <w:lang w:val="es-ES_tradnl"/>
              </w:rPr>
              <w:t>PRINCIPIO DE PUBLICIDAD – Democracia – Estado social de Derecho – Fundamento axiológico / SECOP – Publicación – Actividad Contractual – Excepciones / PUBLICIDAD – Deber – Alcance – Entidades Contratantes</w:t>
            </w:r>
          </w:p>
        </w:tc>
      </w:tr>
      <w:tr w:rsidR="00850B2A" w:rsidRPr="008E6190" w14:paraId="4C96BF0C" w14:textId="77777777" w:rsidTr="00850B2A">
        <w:trPr>
          <w:trHeight w:val="163"/>
        </w:trPr>
        <w:tc>
          <w:tcPr>
            <w:tcW w:w="2689" w:type="dxa"/>
            <w:hideMark/>
          </w:tcPr>
          <w:p w14:paraId="0D3B09A9" w14:textId="673AC07D" w:rsidR="00850B2A" w:rsidRPr="008E6190" w:rsidRDefault="00850B2A" w:rsidP="00850B2A">
            <w:pPr>
              <w:rPr>
                <w:rFonts w:ascii="Arial" w:eastAsia="Calibri" w:hAnsi="Arial" w:cs="Arial"/>
                <w:b/>
                <w:sz w:val="22"/>
              </w:rPr>
            </w:pPr>
            <w:r w:rsidRPr="008E6190">
              <w:rPr>
                <w:rFonts w:ascii="Arial" w:eastAsia="Calibri" w:hAnsi="Arial" w:cs="Arial"/>
                <w:b/>
                <w:sz w:val="22"/>
              </w:rPr>
              <w:t>Radicación:</w:t>
            </w:r>
            <w:r w:rsidRPr="008E6190">
              <w:rPr>
                <w:rFonts w:ascii="Arial" w:eastAsia="Calibri" w:hAnsi="Arial" w:cs="Arial"/>
                <w:sz w:val="22"/>
              </w:rPr>
              <w:t xml:space="preserve">                              </w:t>
            </w:r>
          </w:p>
        </w:tc>
        <w:tc>
          <w:tcPr>
            <w:tcW w:w="6237" w:type="dxa"/>
            <w:hideMark/>
          </w:tcPr>
          <w:p w14:paraId="2CEE49EC" w14:textId="54FDA7A2" w:rsidR="00850B2A" w:rsidRPr="008E6190" w:rsidRDefault="00850B2A" w:rsidP="00850B2A">
            <w:pPr>
              <w:spacing w:line="276" w:lineRule="auto"/>
              <w:jc w:val="both"/>
              <w:rPr>
                <w:rFonts w:ascii="Arial" w:eastAsia="Calibri" w:hAnsi="Arial" w:cs="Arial"/>
                <w:sz w:val="22"/>
              </w:rPr>
            </w:pPr>
            <w:r w:rsidRPr="008E6190">
              <w:rPr>
                <w:rFonts w:ascii="Arial" w:eastAsia="Calibri" w:hAnsi="Arial" w:cs="Arial"/>
                <w:sz w:val="22"/>
              </w:rPr>
              <w:t>Respuesta a la P20211110010460</w:t>
            </w:r>
          </w:p>
        </w:tc>
      </w:tr>
    </w:tbl>
    <w:p w14:paraId="4E2C00CE" w14:textId="77777777" w:rsidR="00410548" w:rsidRPr="008E6190" w:rsidRDefault="00410548" w:rsidP="00410548">
      <w:pPr>
        <w:jc w:val="both"/>
        <w:rPr>
          <w:rFonts w:ascii="Arial" w:eastAsia="Calibri" w:hAnsi="Arial" w:cs="Arial"/>
          <w:sz w:val="22"/>
        </w:rPr>
      </w:pPr>
    </w:p>
    <w:p w14:paraId="0927C9B0" w14:textId="77777777" w:rsidR="00410548" w:rsidRPr="008E6190" w:rsidRDefault="00410548" w:rsidP="00410548">
      <w:pPr>
        <w:jc w:val="both"/>
        <w:rPr>
          <w:rFonts w:ascii="Arial" w:eastAsia="Calibri" w:hAnsi="Arial" w:cs="Arial"/>
          <w:sz w:val="22"/>
        </w:rPr>
      </w:pPr>
    </w:p>
    <w:p w14:paraId="56711929" w14:textId="1DAD397C" w:rsidR="00410548" w:rsidRPr="008E6190" w:rsidRDefault="00410548" w:rsidP="00410548">
      <w:pPr>
        <w:rPr>
          <w:rFonts w:ascii="Arial" w:eastAsia="Calibri" w:hAnsi="Arial" w:cs="Arial"/>
          <w:sz w:val="22"/>
        </w:rPr>
      </w:pPr>
      <w:r w:rsidRPr="008E6190">
        <w:rPr>
          <w:rFonts w:ascii="Arial" w:eastAsia="Calibri" w:hAnsi="Arial" w:cs="Arial"/>
          <w:sz w:val="22"/>
        </w:rPr>
        <w:t>Estimad</w:t>
      </w:r>
      <w:r w:rsidR="005A4DC0" w:rsidRPr="008E6190">
        <w:rPr>
          <w:rFonts w:ascii="Arial" w:eastAsia="Calibri" w:hAnsi="Arial" w:cs="Arial"/>
          <w:sz w:val="22"/>
        </w:rPr>
        <w:t>o</w:t>
      </w:r>
      <w:r w:rsidRPr="008E6190">
        <w:rPr>
          <w:rFonts w:ascii="Arial" w:eastAsia="Calibri" w:hAnsi="Arial" w:cs="Arial"/>
          <w:sz w:val="22"/>
        </w:rPr>
        <w:t xml:space="preserve"> señor </w:t>
      </w:r>
      <w:r w:rsidR="00850B2A" w:rsidRPr="008E6190">
        <w:rPr>
          <w:rFonts w:ascii="Arial" w:eastAsia="Calibri" w:hAnsi="Arial" w:cs="Arial"/>
          <w:sz w:val="22"/>
        </w:rPr>
        <w:t>Estupiñán González</w:t>
      </w:r>
      <w:r w:rsidRPr="008E6190">
        <w:rPr>
          <w:rFonts w:ascii="Arial" w:eastAsia="Calibri" w:hAnsi="Arial" w:cs="Arial"/>
          <w:sz w:val="22"/>
        </w:rPr>
        <w:t>:</w:t>
      </w:r>
    </w:p>
    <w:p w14:paraId="4BDF2AE3" w14:textId="77777777" w:rsidR="00410548" w:rsidRPr="008E6190" w:rsidRDefault="00410548" w:rsidP="00410548">
      <w:pPr>
        <w:rPr>
          <w:rFonts w:ascii="Arial" w:eastAsia="Calibri" w:hAnsi="Arial" w:cs="Arial"/>
          <w:sz w:val="22"/>
        </w:rPr>
      </w:pPr>
    </w:p>
    <w:p w14:paraId="4B7D1D02" w14:textId="0CC4F16A" w:rsidR="00410548" w:rsidRPr="008E6190" w:rsidRDefault="00410548" w:rsidP="00410548">
      <w:pPr>
        <w:spacing w:line="276" w:lineRule="auto"/>
        <w:jc w:val="both"/>
        <w:rPr>
          <w:rFonts w:ascii="Arial" w:eastAsia="Calibri" w:hAnsi="Arial" w:cs="Arial"/>
          <w:sz w:val="22"/>
        </w:rPr>
      </w:pPr>
      <w:r w:rsidRPr="008E6190">
        <w:rPr>
          <w:rFonts w:ascii="Arial" w:eastAsia="Calibri" w:hAnsi="Arial" w:cs="Arial"/>
          <w:sz w:val="22"/>
        </w:rPr>
        <w:t>En ejercicio de la competencia otorgada por los artículos 11, numeral 8º, y 3º, numeral 5º, del Decreto Ley 4170 de 2011,</w:t>
      </w:r>
      <w:r w:rsidR="00A724B8" w:rsidRPr="008E6190">
        <w:rPr>
          <w:rFonts w:ascii="Arial" w:eastAsia="Calibri" w:hAnsi="Arial" w:cs="Arial"/>
          <w:sz w:val="22"/>
        </w:rPr>
        <w:t xml:space="preserve"> </w:t>
      </w:r>
      <w:r w:rsidRPr="008E6190">
        <w:rPr>
          <w:rFonts w:ascii="Arial" w:eastAsia="Calibri" w:hAnsi="Arial" w:cs="Arial"/>
          <w:sz w:val="22"/>
        </w:rPr>
        <w:t>la Agencia Nacional de Contratación Pública ― Colombia Compra Eficiente responde</w:t>
      </w:r>
      <w:r w:rsidR="005A4DC0" w:rsidRPr="008E6190">
        <w:rPr>
          <w:rFonts w:ascii="Arial" w:eastAsia="Calibri" w:hAnsi="Arial" w:cs="Arial"/>
          <w:sz w:val="22"/>
        </w:rPr>
        <w:t xml:space="preserve"> a</w:t>
      </w:r>
      <w:r w:rsidRPr="008E6190">
        <w:rPr>
          <w:rFonts w:ascii="Arial" w:eastAsia="Calibri" w:hAnsi="Arial" w:cs="Arial"/>
          <w:sz w:val="22"/>
        </w:rPr>
        <w:t xml:space="preserve"> su</w:t>
      </w:r>
      <w:r w:rsidR="005A4DC0" w:rsidRPr="008E6190">
        <w:rPr>
          <w:rFonts w:ascii="Arial" w:eastAsia="Calibri" w:hAnsi="Arial" w:cs="Arial"/>
          <w:sz w:val="22"/>
        </w:rPr>
        <w:t xml:space="preserve"> </w:t>
      </w:r>
      <w:r w:rsidRPr="008E6190">
        <w:rPr>
          <w:rFonts w:ascii="Arial" w:eastAsia="Calibri" w:hAnsi="Arial" w:cs="Arial"/>
          <w:sz w:val="22"/>
        </w:rPr>
        <w:t xml:space="preserve">consulta </w:t>
      </w:r>
      <w:r w:rsidR="00850B2A" w:rsidRPr="008E6190">
        <w:rPr>
          <w:rFonts w:ascii="Arial" w:eastAsia="Calibri" w:hAnsi="Arial" w:cs="Arial"/>
          <w:sz w:val="22"/>
        </w:rPr>
        <w:t>del 10 de noviembre de 2021.</w:t>
      </w:r>
    </w:p>
    <w:p w14:paraId="19CEA7B3" w14:textId="77777777" w:rsidR="00410548" w:rsidRPr="008E6190" w:rsidRDefault="00410548" w:rsidP="00410548">
      <w:pPr>
        <w:spacing w:line="276" w:lineRule="auto"/>
        <w:jc w:val="both"/>
        <w:rPr>
          <w:rFonts w:ascii="Arial" w:eastAsia="Calibri" w:hAnsi="Arial" w:cs="Arial"/>
          <w:sz w:val="22"/>
        </w:rPr>
      </w:pPr>
    </w:p>
    <w:p w14:paraId="28044CEE" w14:textId="77777777" w:rsidR="00410548" w:rsidRPr="008E6190" w:rsidRDefault="00410548" w:rsidP="00410548">
      <w:pPr>
        <w:pStyle w:val="Prrafodelista"/>
        <w:numPr>
          <w:ilvl w:val="0"/>
          <w:numId w:val="1"/>
        </w:numPr>
        <w:tabs>
          <w:tab w:val="left" w:pos="284"/>
        </w:tabs>
        <w:spacing w:line="276" w:lineRule="auto"/>
        <w:ind w:left="0" w:firstLine="0"/>
        <w:jc w:val="both"/>
        <w:rPr>
          <w:rFonts w:ascii="Arial" w:eastAsia="Calibri" w:hAnsi="Arial" w:cs="Arial"/>
          <w:b/>
          <w:sz w:val="22"/>
        </w:rPr>
      </w:pPr>
      <w:r w:rsidRPr="008E6190">
        <w:rPr>
          <w:rFonts w:ascii="Arial" w:eastAsia="Calibri" w:hAnsi="Arial" w:cs="Arial"/>
          <w:b/>
          <w:sz w:val="22"/>
        </w:rPr>
        <w:t xml:space="preserve">Problemas planteados </w:t>
      </w:r>
    </w:p>
    <w:p w14:paraId="537C8ECD" w14:textId="750E4B58" w:rsidR="005A4DC0" w:rsidRPr="008E6190" w:rsidRDefault="00FC1AF5" w:rsidP="005A4DC0">
      <w:pPr>
        <w:pStyle w:val="Default"/>
        <w:spacing w:before="120" w:line="276" w:lineRule="auto"/>
        <w:jc w:val="both"/>
        <w:rPr>
          <w:rFonts w:eastAsia="Calibri"/>
          <w:color w:val="auto"/>
          <w:sz w:val="22"/>
        </w:rPr>
      </w:pPr>
      <w:r w:rsidRPr="008E6190">
        <w:rPr>
          <w:rFonts w:eastAsia="Calibri"/>
          <w:color w:val="auto"/>
          <w:sz w:val="22"/>
        </w:rPr>
        <w:t>Usted presenta una consulta relacionada con la Circular Externa Única de Colombia Compra Eficiente, específicamente sobre el alcance del numeral «1.1. Quiénes deben publicar su actividad contractual en SECOP». Las preguntas realizadas son las siguientes:</w:t>
      </w:r>
    </w:p>
    <w:p w14:paraId="1913D375" w14:textId="771DF63E" w:rsidR="008B2B8A" w:rsidRPr="008E6190" w:rsidRDefault="005A4DC0" w:rsidP="00B741B7">
      <w:pPr>
        <w:pStyle w:val="Default"/>
        <w:spacing w:before="120"/>
        <w:jc w:val="both"/>
        <w:rPr>
          <w:sz w:val="21"/>
          <w:szCs w:val="21"/>
        </w:rPr>
      </w:pPr>
      <w:r w:rsidRPr="008E6190">
        <w:rPr>
          <w:rFonts w:eastAsia="Calibri"/>
          <w:color w:val="auto"/>
          <w:sz w:val="22"/>
        </w:rPr>
        <w:t xml:space="preserve"> </w:t>
      </w:r>
      <w:r w:rsidR="00AF2F5A" w:rsidRPr="008E6190">
        <w:rPr>
          <w:rFonts w:eastAsia="Calibri"/>
          <w:color w:val="auto"/>
          <w:sz w:val="22"/>
        </w:rPr>
        <w:t xml:space="preserve"> </w:t>
      </w:r>
    </w:p>
    <w:p w14:paraId="0E6572F9" w14:textId="787D8CD7" w:rsidR="008E2B38" w:rsidRPr="008E6190" w:rsidRDefault="00A96F43" w:rsidP="00B741B7">
      <w:pPr>
        <w:autoSpaceDE w:val="0"/>
        <w:autoSpaceDN w:val="0"/>
        <w:adjustRightInd w:val="0"/>
        <w:ind w:left="709" w:right="709"/>
        <w:jc w:val="both"/>
        <w:rPr>
          <w:rFonts w:ascii="Arial" w:hAnsi="Arial" w:cs="Arial"/>
          <w:sz w:val="21"/>
          <w:szCs w:val="21"/>
        </w:rPr>
      </w:pPr>
      <w:r w:rsidRPr="008E6190">
        <w:rPr>
          <w:rFonts w:ascii="Arial" w:hAnsi="Arial" w:cs="Arial"/>
          <w:sz w:val="21"/>
          <w:szCs w:val="21"/>
        </w:rPr>
        <w:t xml:space="preserve">1. </w:t>
      </w:r>
      <w:proofErr w:type="spellStart"/>
      <w:r w:rsidR="00FC1AF5" w:rsidRPr="008E6190">
        <w:rPr>
          <w:rFonts w:ascii="Arial" w:hAnsi="Arial" w:cs="Arial"/>
          <w:sz w:val="21"/>
          <w:szCs w:val="21"/>
        </w:rPr>
        <w:t>Cual</w:t>
      </w:r>
      <w:proofErr w:type="spellEnd"/>
      <w:r w:rsidR="00FC1AF5" w:rsidRPr="008E6190">
        <w:rPr>
          <w:rFonts w:ascii="Arial" w:hAnsi="Arial" w:cs="Arial"/>
          <w:sz w:val="21"/>
          <w:szCs w:val="21"/>
        </w:rPr>
        <w:t xml:space="preserve"> es el alcance de la condición establecida en el punto 3 del numeral 1.1 de la circular única expedida por Colombia compra Eficiente, si esto aplica solo para las contrataciones que genere la Empresa Industrial y comercial del Estado y/o si aplica también para las contrataciones en las cuales este tipo de empresas actúan como contratista de una Entidad Sometida al Estatuto General de contratación en la plataforma SECOP I</w:t>
      </w:r>
      <w:r w:rsidR="00DF2EEF" w:rsidRPr="008E6190">
        <w:rPr>
          <w:rFonts w:ascii="Arial" w:hAnsi="Arial" w:cs="Arial"/>
          <w:sz w:val="21"/>
          <w:szCs w:val="21"/>
        </w:rPr>
        <w:t>.</w:t>
      </w:r>
      <w:r w:rsidR="00FC1AF5" w:rsidRPr="008E6190">
        <w:rPr>
          <w:rFonts w:ascii="Arial" w:hAnsi="Arial" w:cs="Arial"/>
          <w:sz w:val="21"/>
          <w:szCs w:val="21"/>
        </w:rPr>
        <w:t xml:space="preserve"> [SIC]</w:t>
      </w:r>
    </w:p>
    <w:p w14:paraId="6D788BD6" w14:textId="77777777" w:rsidR="005F79CF" w:rsidRPr="008E6190" w:rsidRDefault="005F79CF" w:rsidP="00B741B7">
      <w:pPr>
        <w:autoSpaceDE w:val="0"/>
        <w:autoSpaceDN w:val="0"/>
        <w:adjustRightInd w:val="0"/>
        <w:ind w:left="709" w:right="709"/>
        <w:jc w:val="both"/>
        <w:rPr>
          <w:rFonts w:ascii="Arial" w:hAnsi="Arial" w:cs="Arial"/>
          <w:sz w:val="21"/>
          <w:szCs w:val="21"/>
        </w:rPr>
      </w:pPr>
    </w:p>
    <w:p w14:paraId="2B246042" w14:textId="7011CD9A" w:rsidR="00A96F43" w:rsidRPr="008E6190" w:rsidRDefault="00A96F43" w:rsidP="00B741B7">
      <w:pPr>
        <w:autoSpaceDE w:val="0"/>
        <w:autoSpaceDN w:val="0"/>
        <w:adjustRightInd w:val="0"/>
        <w:ind w:left="709" w:right="709"/>
        <w:jc w:val="both"/>
        <w:rPr>
          <w:rFonts w:ascii="Arial" w:hAnsi="Arial" w:cs="Arial"/>
          <w:sz w:val="21"/>
          <w:szCs w:val="21"/>
        </w:rPr>
      </w:pPr>
      <w:r w:rsidRPr="008E6190">
        <w:rPr>
          <w:rFonts w:ascii="Arial" w:hAnsi="Arial" w:cs="Arial"/>
          <w:sz w:val="21"/>
          <w:szCs w:val="21"/>
        </w:rPr>
        <w:t xml:space="preserve">2. </w:t>
      </w:r>
      <w:r w:rsidR="00FC1AF5" w:rsidRPr="008E6190">
        <w:rPr>
          <w:rFonts w:ascii="Arial" w:hAnsi="Arial" w:cs="Arial"/>
          <w:sz w:val="21"/>
          <w:szCs w:val="21"/>
        </w:rPr>
        <w:t xml:space="preserve">Bajo las indicaciones en este numeral, las Empresas Industriales y Comerciales del Estado que tengan habilitado el enlace y que pretendan celebrar contratos y/o convenios con Entidades sometidas al estatuto general de contratación, deben estar inscritas y fungir como contratistas en la plataforma SECOP II y las Entidades deben exigir su registro para la celebración de este tipo de contratos. </w:t>
      </w:r>
      <w:r w:rsidR="00DC5BFF" w:rsidRPr="008E6190">
        <w:rPr>
          <w:rFonts w:ascii="Arial" w:hAnsi="Arial" w:cs="Arial"/>
          <w:sz w:val="21"/>
          <w:szCs w:val="21"/>
        </w:rPr>
        <w:t>[SIC]</w:t>
      </w:r>
    </w:p>
    <w:p w14:paraId="318308EA" w14:textId="0AF9C2E4" w:rsidR="00A96F43" w:rsidRPr="008E6190" w:rsidRDefault="00A96F43" w:rsidP="00B741B7">
      <w:pPr>
        <w:autoSpaceDE w:val="0"/>
        <w:autoSpaceDN w:val="0"/>
        <w:adjustRightInd w:val="0"/>
        <w:ind w:left="709" w:right="709"/>
        <w:jc w:val="both"/>
        <w:rPr>
          <w:rFonts w:ascii="Arial" w:hAnsi="Arial" w:cs="Arial"/>
          <w:sz w:val="21"/>
          <w:szCs w:val="21"/>
        </w:rPr>
      </w:pPr>
    </w:p>
    <w:p w14:paraId="52F107A7" w14:textId="43100011" w:rsidR="00A96F43" w:rsidRPr="008E6190" w:rsidRDefault="00A96F43" w:rsidP="00B741B7">
      <w:pPr>
        <w:autoSpaceDE w:val="0"/>
        <w:autoSpaceDN w:val="0"/>
        <w:adjustRightInd w:val="0"/>
        <w:spacing w:after="120"/>
        <w:ind w:left="709" w:right="709"/>
        <w:jc w:val="both"/>
        <w:rPr>
          <w:rFonts w:ascii="Arial" w:hAnsi="Arial" w:cs="Arial"/>
          <w:sz w:val="21"/>
          <w:szCs w:val="21"/>
        </w:rPr>
      </w:pPr>
      <w:r w:rsidRPr="008E6190">
        <w:rPr>
          <w:rFonts w:ascii="Arial" w:hAnsi="Arial" w:cs="Arial"/>
          <w:sz w:val="21"/>
          <w:szCs w:val="21"/>
        </w:rPr>
        <w:t xml:space="preserve">3. </w:t>
      </w:r>
      <w:r w:rsidR="00DF2EEF" w:rsidRPr="008E6190">
        <w:rPr>
          <w:rFonts w:ascii="Arial" w:hAnsi="Arial" w:cs="Arial"/>
          <w:sz w:val="21"/>
          <w:szCs w:val="21"/>
        </w:rPr>
        <w:t xml:space="preserve">Las Empresas Industriales y Comerciales del estado que tengan habilitado el enlace, debido a esta excepción de publicación en SECOP, dicha excepción condiciona a la Entidades Estatales sometidas al Estatuto General de Contratación y obligadas a publicar en la plataforma SECOP II que no puedan </w:t>
      </w:r>
      <w:r w:rsidR="00DF2EEF" w:rsidRPr="008E6190">
        <w:rPr>
          <w:rFonts w:ascii="Arial" w:hAnsi="Arial" w:cs="Arial"/>
          <w:sz w:val="21"/>
          <w:szCs w:val="21"/>
        </w:rPr>
        <w:lastRenderedPageBreak/>
        <w:t>exigir el registro y posterior firma de tramites contractuales a través de esta plataforma SECOP II. [SIC]</w:t>
      </w:r>
    </w:p>
    <w:p w14:paraId="755CA554" w14:textId="77777777" w:rsidR="00410548" w:rsidRPr="008E6190" w:rsidRDefault="00410548" w:rsidP="00B41A3D">
      <w:pPr>
        <w:pStyle w:val="Prrafodelista"/>
        <w:numPr>
          <w:ilvl w:val="0"/>
          <w:numId w:val="1"/>
        </w:numPr>
        <w:tabs>
          <w:tab w:val="left" w:pos="426"/>
        </w:tabs>
        <w:spacing w:after="120" w:line="276" w:lineRule="auto"/>
        <w:ind w:left="284" w:hanging="284"/>
        <w:jc w:val="both"/>
        <w:rPr>
          <w:rFonts w:ascii="Arial" w:eastAsia="Calibri" w:hAnsi="Arial" w:cs="Arial"/>
          <w:b/>
          <w:sz w:val="22"/>
        </w:rPr>
      </w:pPr>
      <w:r w:rsidRPr="008E6190">
        <w:rPr>
          <w:rFonts w:ascii="Arial" w:eastAsia="Calibri" w:hAnsi="Arial" w:cs="Arial"/>
          <w:b/>
          <w:sz w:val="22"/>
        </w:rPr>
        <w:t>Consideraciones</w:t>
      </w:r>
    </w:p>
    <w:p w14:paraId="7F5DF400" w14:textId="2C094379" w:rsidR="004760EB" w:rsidRPr="008E6190" w:rsidRDefault="00B41A3D" w:rsidP="004760EB">
      <w:pPr>
        <w:spacing w:after="120" w:line="276" w:lineRule="auto"/>
        <w:jc w:val="both"/>
        <w:rPr>
          <w:rFonts w:ascii="Arial" w:eastAsia="Calibri" w:hAnsi="Arial" w:cs="Arial"/>
          <w:bCs/>
          <w:color w:val="000000" w:themeColor="text1"/>
          <w:sz w:val="22"/>
          <w:lang w:val="es-ES_tradnl"/>
        </w:rPr>
      </w:pPr>
      <w:r w:rsidRPr="008E6190">
        <w:rPr>
          <w:rFonts w:ascii="Arial" w:eastAsia="Calibri" w:hAnsi="Arial" w:cs="Arial"/>
          <w:bCs/>
          <w:color w:val="000000" w:themeColor="text1"/>
          <w:sz w:val="22"/>
          <w:lang w:val="es-ES_tradnl"/>
        </w:rPr>
        <w:t xml:space="preserve">Para responder la consulta se analizarán los siguientes temas: i) fundamento axiológico de la publicidad de la información oficial de la contratación estatal en el Sistema Electrónico para la Contratación Pública –SECOP– y </w:t>
      </w:r>
      <w:proofErr w:type="spellStart"/>
      <w:r w:rsidRPr="008E6190">
        <w:rPr>
          <w:rFonts w:ascii="Arial" w:eastAsia="Calibri" w:hAnsi="Arial" w:cs="Arial"/>
          <w:bCs/>
          <w:color w:val="000000" w:themeColor="text1"/>
          <w:sz w:val="22"/>
          <w:lang w:val="es-ES_tradnl"/>
        </w:rPr>
        <w:t>ii</w:t>
      </w:r>
      <w:proofErr w:type="spellEnd"/>
      <w:r w:rsidRPr="008E6190">
        <w:rPr>
          <w:rFonts w:ascii="Arial" w:eastAsia="Calibri" w:hAnsi="Arial" w:cs="Arial"/>
          <w:bCs/>
          <w:color w:val="000000" w:themeColor="text1"/>
          <w:sz w:val="22"/>
          <w:lang w:val="es-ES_tradnl"/>
        </w:rPr>
        <w:t>)</w:t>
      </w:r>
      <w:r w:rsidR="00962385" w:rsidRPr="008E6190">
        <w:rPr>
          <w:rFonts w:ascii="Arial" w:eastAsia="Calibri" w:hAnsi="Arial" w:cs="Arial"/>
          <w:bCs/>
          <w:color w:val="000000" w:themeColor="text1"/>
          <w:sz w:val="22"/>
          <w:lang w:val="es-ES_tradnl"/>
        </w:rPr>
        <w:t xml:space="preserve"> </w:t>
      </w:r>
      <w:r w:rsidR="003354E7" w:rsidRPr="008E6190">
        <w:rPr>
          <w:rFonts w:ascii="Arial" w:eastAsia="Calibri" w:hAnsi="Arial" w:cs="Arial"/>
          <w:bCs/>
          <w:color w:val="000000" w:themeColor="text1"/>
          <w:sz w:val="22"/>
          <w:lang w:val="es-ES_tradnl"/>
        </w:rPr>
        <w:t>e</w:t>
      </w:r>
      <w:r w:rsidR="00962385" w:rsidRPr="008E6190">
        <w:rPr>
          <w:rFonts w:ascii="Arial" w:eastAsia="Calibri" w:hAnsi="Arial" w:cs="Arial"/>
          <w:bCs/>
          <w:color w:val="000000" w:themeColor="text1"/>
          <w:sz w:val="22"/>
          <w:lang w:val="es-ES_tradnl"/>
        </w:rPr>
        <w:t>ntidades estatales exceptuadas de publicar en el SECOP.</w:t>
      </w:r>
    </w:p>
    <w:p w14:paraId="5B61400F" w14:textId="7A6E3D23" w:rsidR="004760EB" w:rsidRPr="008E6190" w:rsidRDefault="004760EB" w:rsidP="004760EB">
      <w:pPr>
        <w:spacing w:after="120" w:line="276" w:lineRule="auto"/>
        <w:jc w:val="both"/>
        <w:rPr>
          <w:rFonts w:ascii="Arial" w:hAnsi="Arial" w:cs="Arial"/>
          <w:color w:val="1A1A1A" w:themeColor="background1" w:themeShade="1A"/>
          <w:sz w:val="22"/>
        </w:rPr>
      </w:pPr>
      <w:r w:rsidRPr="008E6190">
        <w:rPr>
          <w:rFonts w:ascii="Arial" w:eastAsia="Calibri" w:hAnsi="Arial" w:cs="Arial"/>
          <w:bCs/>
          <w:color w:val="000000" w:themeColor="text1"/>
          <w:sz w:val="22"/>
          <w:lang w:val="es-ES_tradnl"/>
        </w:rPr>
        <w:tab/>
        <w:t xml:space="preserve">La Agencia Nacional de Contratación Pública – Colombia Compra Eficiente estudió el deber de publicidad de la información contractual en el SECOP en la consulta No. </w:t>
      </w:r>
      <w:r w:rsidRPr="008E6190">
        <w:rPr>
          <w:rFonts w:ascii="Arial" w:eastAsia="Calibri" w:hAnsi="Arial" w:cs="Arial"/>
          <w:bCs/>
          <w:color w:val="1A1A1A" w:themeColor="background1" w:themeShade="1A"/>
          <w:sz w:val="22"/>
        </w:rPr>
        <w:t xml:space="preserve">4201913000005397 del 9 de agosto de 2019 y reiteró la posición en los siguientes conceptos: 4201912000006611 del 25 de septiembre de 2019, </w:t>
      </w:r>
      <w:r w:rsidRPr="008E6190">
        <w:rPr>
          <w:rFonts w:ascii="Arial" w:hAnsi="Arial" w:cs="Arial"/>
          <w:sz w:val="22"/>
        </w:rPr>
        <w:t>4201913000006847</w:t>
      </w:r>
      <w:r w:rsidRPr="008E6190">
        <w:rPr>
          <w:rFonts w:ascii="Arial" w:hAnsi="Arial" w:cs="Arial"/>
          <w:color w:val="1A1A1A" w:themeColor="background1" w:themeShade="1A"/>
          <w:sz w:val="22"/>
        </w:rPr>
        <w:t xml:space="preserve"> del 4 de octubre de 2019, </w:t>
      </w:r>
      <w:r w:rsidRPr="008E6190">
        <w:rPr>
          <w:rFonts w:ascii="Arial" w:eastAsia="Calibri" w:hAnsi="Arial" w:cs="Arial"/>
          <w:bCs/>
          <w:color w:val="1A1A1A" w:themeColor="background1" w:themeShade="1A"/>
          <w:sz w:val="22"/>
        </w:rPr>
        <w:t xml:space="preserve">4201912000007762 del 18 de noviembre de 2019 y 4201912000007828 del 13 de noviembre de 2019. Las tesis expuestas en los anteriores conceptos fueron unificadas en el concepto CU-003 del 15 de enero de 2020. </w:t>
      </w:r>
      <w:r w:rsidRPr="008E6190">
        <w:rPr>
          <w:rFonts w:ascii="Arial" w:hAnsi="Arial" w:cs="Arial"/>
          <w:color w:val="1A1A1A" w:themeColor="background1" w:themeShade="1A"/>
          <w:sz w:val="22"/>
        </w:rPr>
        <w:t>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 C-6</w:t>
      </w:r>
      <w:r w:rsidR="00C02F95" w:rsidRPr="008E6190">
        <w:rPr>
          <w:rFonts w:ascii="Arial" w:hAnsi="Arial" w:cs="Arial"/>
          <w:color w:val="1A1A1A" w:themeColor="background1" w:themeShade="1A"/>
          <w:sz w:val="22"/>
        </w:rPr>
        <w:t>|</w:t>
      </w:r>
      <w:r w:rsidRPr="008E6190">
        <w:rPr>
          <w:rFonts w:ascii="Arial" w:hAnsi="Arial" w:cs="Arial"/>
          <w:color w:val="1A1A1A" w:themeColor="background1" w:themeShade="1A"/>
          <w:sz w:val="22"/>
        </w:rPr>
        <w:t>80 de 18 de noviembre de 2020, C-780 del 18 de enero de 2021 y C-253 del 2 de junio de 2021.</w:t>
      </w:r>
      <w:r w:rsidR="00CD76E8" w:rsidRPr="008E6190">
        <w:rPr>
          <w:rFonts w:ascii="Arial" w:hAnsi="Arial" w:cs="Arial"/>
          <w:color w:val="1A1A1A" w:themeColor="background1" w:themeShade="1A"/>
          <w:sz w:val="22"/>
        </w:rPr>
        <w:t xml:space="preserve"> La tesis y argumentos expuestos en estos conceptos se reiteran y se complementan a continuación:</w:t>
      </w:r>
    </w:p>
    <w:p w14:paraId="36A83B24" w14:textId="4B49CDC0" w:rsidR="00384465" w:rsidRPr="008E6190" w:rsidRDefault="00384465" w:rsidP="00384465">
      <w:pPr>
        <w:tabs>
          <w:tab w:val="left" w:pos="426"/>
        </w:tabs>
        <w:spacing w:after="120" w:line="276" w:lineRule="auto"/>
        <w:jc w:val="both"/>
        <w:rPr>
          <w:rFonts w:ascii="Arial" w:eastAsia="Calibri" w:hAnsi="Arial" w:cs="Arial"/>
          <w:b/>
          <w:color w:val="000000" w:themeColor="text1"/>
          <w:sz w:val="22"/>
          <w:szCs w:val="24"/>
          <w:lang w:val="es-ES_tradnl" w:eastAsia="es-ES_tradnl"/>
        </w:rPr>
      </w:pPr>
      <w:r w:rsidRPr="008E6190">
        <w:rPr>
          <w:rFonts w:ascii="Arial" w:eastAsia="Calibri" w:hAnsi="Arial" w:cs="Arial"/>
          <w:b/>
          <w:color w:val="000000" w:themeColor="text1"/>
          <w:sz w:val="22"/>
          <w:szCs w:val="24"/>
          <w:lang w:val="es-ES_tradnl" w:eastAsia="es-ES_tradnl"/>
        </w:rPr>
        <w:t>2.1. Fundamento axiológico de la publicidad de la información oficial de la contratación estatal en el Sistema Electrónico para la Contratación Pública –SECOP–</w:t>
      </w:r>
    </w:p>
    <w:p w14:paraId="6EF1B795" w14:textId="77777777" w:rsidR="00384465" w:rsidRPr="008E6190" w:rsidRDefault="00384465" w:rsidP="00384465">
      <w:pPr>
        <w:spacing w:line="276" w:lineRule="auto"/>
        <w:jc w:val="both"/>
        <w:rPr>
          <w:rFonts w:ascii="Arial" w:eastAsia="Calibri" w:hAnsi="Arial" w:cs="Arial"/>
          <w:color w:val="000000" w:themeColor="text1"/>
          <w:sz w:val="22"/>
          <w:szCs w:val="24"/>
          <w:lang w:val="es-ES_tradnl" w:eastAsia="es-ES_tradnl"/>
        </w:rPr>
      </w:pPr>
      <w:r w:rsidRPr="008E6190">
        <w:rPr>
          <w:rFonts w:ascii="Arial" w:eastAsia="Calibri" w:hAnsi="Arial" w:cs="Arial"/>
          <w:color w:val="000000" w:themeColor="text1"/>
          <w:sz w:val="22"/>
          <w:szCs w:val="24"/>
          <w:lang w:val="es-ES_tradnl" w:eastAsia="es-ES_tradnl"/>
        </w:rPr>
        <w:t xml:space="preserve">Uno de los postulados más importantes de un Estado social y democrático de derecho es el principio de </w:t>
      </w:r>
      <w:r w:rsidRPr="008E6190">
        <w:rPr>
          <w:rFonts w:ascii="Arial" w:eastAsia="Calibri" w:hAnsi="Arial" w:cs="Arial"/>
          <w:i/>
          <w:iCs/>
          <w:color w:val="000000" w:themeColor="text1"/>
          <w:sz w:val="22"/>
          <w:szCs w:val="24"/>
          <w:lang w:val="es-ES_tradnl" w:eastAsia="es-ES_tradnl"/>
        </w:rPr>
        <w:t>publicidad</w:t>
      </w:r>
      <w:r w:rsidRPr="008E6190">
        <w:rPr>
          <w:rFonts w:ascii="Arial" w:eastAsia="Calibri" w:hAnsi="Arial" w:cs="Arial"/>
          <w:color w:val="000000" w:themeColor="text1"/>
          <w:sz w:val="22"/>
          <w:szCs w:val="24"/>
          <w:lang w:val="es-ES_tradnl" w:eastAsia="es-ES_tradnl"/>
        </w:rPr>
        <w:t>,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w:t>
      </w:r>
      <w:r w:rsidRPr="008E6190">
        <w:rPr>
          <w:rFonts w:ascii="Arial" w:eastAsia="Calibri" w:hAnsi="Arial" w:cs="Arial"/>
          <w:color w:val="000000" w:themeColor="text1"/>
          <w:sz w:val="22"/>
          <w:szCs w:val="24"/>
          <w:vertAlign w:val="superscript"/>
          <w:lang w:val="es-ES_tradnl" w:eastAsia="es-ES_tradnl"/>
        </w:rPr>
        <w:footnoteReference w:id="2"/>
      </w:r>
      <w:r w:rsidRPr="008E6190">
        <w:rPr>
          <w:rFonts w:ascii="Arial" w:eastAsia="Calibri" w:hAnsi="Arial" w:cs="Arial"/>
          <w:color w:val="000000" w:themeColor="text1"/>
          <w:sz w:val="22"/>
          <w:szCs w:val="24"/>
          <w:lang w:val="es-ES_tradnl" w:eastAsia="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w:t>
      </w:r>
      <w:r w:rsidRPr="008E6190">
        <w:rPr>
          <w:rFonts w:ascii="Arial" w:eastAsia="Calibri" w:hAnsi="Arial" w:cs="Arial"/>
          <w:color w:val="000000" w:themeColor="text1"/>
          <w:sz w:val="22"/>
          <w:szCs w:val="24"/>
          <w:lang w:val="es-ES_tradnl" w:eastAsia="es-ES_tradnl"/>
        </w:rPr>
        <w:lastRenderedPageBreak/>
        <w:t>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indica:</w:t>
      </w:r>
    </w:p>
    <w:p w14:paraId="4A1CB15C" w14:textId="77777777" w:rsidR="00384465" w:rsidRPr="008E6190" w:rsidRDefault="00384465" w:rsidP="00384465">
      <w:pPr>
        <w:ind w:firstLine="709"/>
        <w:jc w:val="both"/>
        <w:rPr>
          <w:rFonts w:ascii="Arial" w:eastAsia="Calibri" w:hAnsi="Arial" w:cs="Arial"/>
          <w:color w:val="000000" w:themeColor="text1"/>
          <w:sz w:val="22"/>
          <w:szCs w:val="24"/>
          <w:lang w:val="es-ES_tradnl" w:eastAsia="es-ES_tradnl"/>
        </w:rPr>
      </w:pPr>
    </w:p>
    <w:p w14:paraId="49CCF55B"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r w:rsidRPr="008E6190">
        <w:rPr>
          <w:rFonts w:ascii="Arial" w:eastAsia="Times New Roman" w:hAnsi="Arial" w:cs="Arial"/>
          <w:color w:val="000000" w:themeColor="text1"/>
          <w:sz w:val="21"/>
          <w:szCs w:val="21"/>
          <w:lang w:val="es-ES_tradnl" w:eastAsia="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6ED8337"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p>
    <w:p w14:paraId="70CFC90B" w14:textId="77777777" w:rsidR="00384465" w:rsidRPr="008E6190" w:rsidRDefault="00384465" w:rsidP="00384465">
      <w:pPr>
        <w:tabs>
          <w:tab w:val="left" w:pos="3885"/>
          <w:tab w:val="left" w:pos="8222"/>
        </w:tabs>
        <w:ind w:left="709" w:right="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1"/>
          <w:szCs w:val="21"/>
          <w:lang w:val="es-ES_tradnl" w:eastAsia="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8E6190">
        <w:rPr>
          <w:rFonts w:ascii="Arial" w:eastAsia="Times New Roman" w:hAnsi="Arial" w:cs="Arial"/>
          <w:color w:val="000000" w:themeColor="text1"/>
          <w:sz w:val="21"/>
          <w:szCs w:val="21"/>
          <w:lang w:val="es-ES_tradnl" w:eastAsia="es-ES_tradnl"/>
        </w:rPr>
        <w:t>autoridades públicas</w:t>
      </w:r>
      <w:proofErr w:type="gramEnd"/>
      <w:r w:rsidRPr="008E6190">
        <w:rPr>
          <w:rFonts w:ascii="Arial" w:eastAsia="Times New Roman" w:hAnsi="Arial" w:cs="Arial"/>
          <w:color w:val="000000" w:themeColor="text1"/>
          <w:sz w:val="21"/>
          <w:szCs w:val="21"/>
          <w:lang w:val="es-ES_tradnl" w:eastAsia="es-ES_tradnl"/>
        </w:rPr>
        <w:t xml:space="preserve"> y, a través de ese conocimiento, a exigir que ellas se surtan conforme a la ley</w:t>
      </w:r>
      <w:r w:rsidRPr="008E6190">
        <w:rPr>
          <w:rFonts w:ascii="Arial" w:eastAsia="Calibri" w:hAnsi="Arial" w:cs="Arial"/>
          <w:color w:val="000000" w:themeColor="text1"/>
          <w:sz w:val="21"/>
          <w:szCs w:val="21"/>
          <w:vertAlign w:val="superscript"/>
          <w:lang w:val="es-ES_tradnl" w:eastAsia="es-ES_tradnl"/>
        </w:rPr>
        <w:footnoteReference w:id="3"/>
      </w:r>
      <w:r w:rsidRPr="008E6190">
        <w:rPr>
          <w:rFonts w:ascii="Arial" w:eastAsia="Calibri" w:hAnsi="Arial" w:cs="Arial"/>
          <w:color w:val="000000" w:themeColor="text1"/>
          <w:sz w:val="21"/>
          <w:szCs w:val="21"/>
          <w:lang w:val="es-ES_tradnl" w:eastAsia="es-ES_tradnl"/>
        </w:rPr>
        <w:t>.</w:t>
      </w:r>
    </w:p>
    <w:p w14:paraId="6E6092B2" w14:textId="77777777" w:rsidR="00384465" w:rsidRPr="008E6190" w:rsidRDefault="00384465" w:rsidP="00384465">
      <w:pPr>
        <w:spacing w:line="276" w:lineRule="auto"/>
        <w:ind w:right="709"/>
        <w:jc w:val="both"/>
        <w:rPr>
          <w:rFonts w:ascii="Arial" w:eastAsia="Calibri" w:hAnsi="Arial" w:cs="Arial"/>
          <w:color w:val="000000" w:themeColor="text1"/>
          <w:sz w:val="22"/>
          <w:szCs w:val="24"/>
          <w:lang w:val="es-ES_tradnl" w:eastAsia="es-ES_tradnl"/>
        </w:rPr>
      </w:pPr>
    </w:p>
    <w:p w14:paraId="09E89F7E" w14:textId="77777777" w:rsidR="00384465" w:rsidRPr="008E6190" w:rsidRDefault="00384465" w:rsidP="00384465">
      <w:pPr>
        <w:spacing w:line="276" w:lineRule="auto"/>
        <w:ind w:firstLine="709"/>
        <w:jc w:val="both"/>
        <w:rPr>
          <w:rFonts w:ascii="Arial" w:eastAsia="Calibri" w:hAnsi="Arial" w:cs="Arial"/>
          <w:color w:val="000000" w:themeColor="text1"/>
          <w:sz w:val="22"/>
          <w:szCs w:val="24"/>
          <w:lang w:val="es-ES_tradnl" w:eastAsia="es-ES_tradnl"/>
        </w:rPr>
      </w:pPr>
      <w:r w:rsidRPr="008E6190">
        <w:rPr>
          <w:rFonts w:ascii="Arial" w:eastAsia="Calibri" w:hAnsi="Arial" w:cs="Arial"/>
          <w:color w:val="000000" w:themeColor="text1"/>
          <w:sz w:val="22"/>
          <w:szCs w:val="24"/>
          <w:lang w:val="es-ES_tradnl" w:eastAsia="es-ES_tradnl"/>
        </w:rPr>
        <w:t xml:space="preserve">El principio de publicidad impone a las autoridades administrativas el deber de dar a conocer sus actos, contratos y decisiones, para que se divulguen y eventualmente se controlen dichas actuaciones. Es por eso </w:t>
      </w:r>
      <w:proofErr w:type="gramStart"/>
      <w:r w:rsidRPr="008E6190">
        <w:rPr>
          <w:rFonts w:ascii="Arial" w:eastAsia="Calibri" w:hAnsi="Arial" w:cs="Arial"/>
          <w:color w:val="000000" w:themeColor="text1"/>
          <w:sz w:val="22"/>
          <w:szCs w:val="24"/>
          <w:lang w:val="es-ES_tradnl" w:eastAsia="es-ES_tradnl"/>
        </w:rPr>
        <w:t>que</w:t>
      </w:r>
      <w:proofErr w:type="gramEnd"/>
      <w:r w:rsidRPr="008E6190">
        <w:rPr>
          <w:rFonts w:ascii="Arial" w:eastAsia="Calibri" w:hAnsi="Arial" w:cs="Arial"/>
          <w:color w:val="000000" w:themeColor="text1"/>
          <w:sz w:val="22"/>
          <w:szCs w:val="24"/>
          <w:lang w:val="es-ES_tradnl" w:eastAsia="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8E6190">
        <w:rPr>
          <w:rFonts w:ascii="Arial" w:eastAsia="Calibri" w:hAnsi="Arial" w:cs="Arial"/>
          <w:color w:val="000000" w:themeColor="text1"/>
          <w:sz w:val="22"/>
          <w:szCs w:val="24"/>
          <w:vertAlign w:val="superscript"/>
          <w:lang w:val="es-ES_tradnl" w:eastAsia="es-ES_tradnl"/>
        </w:rPr>
        <w:footnoteReference w:id="4"/>
      </w:r>
      <w:r w:rsidRPr="008E6190">
        <w:rPr>
          <w:rFonts w:ascii="Arial" w:eastAsia="Calibri" w:hAnsi="Arial" w:cs="Arial"/>
          <w:color w:val="000000" w:themeColor="text1"/>
          <w:sz w:val="22"/>
          <w:szCs w:val="24"/>
          <w:lang w:val="es-ES_tradnl" w:eastAsia="es-ES_tradnl"/>
        </w:rPr>
        <w:t xml:space="preserve">. </w:t>
      </w:r>
    </w:p>
    <w:p w14:paraId="3C3B5CBF" w14:textId="77777777" w:rsidR="00384465" w:rsidRPr="008E6190" w:rsidRDefault="00384465" w:rsidP="00384465">
      <w:pPr>
        <w:spacing w:before="120" w:line="276" w:lineRule="auto"/>
        <w:ind w:firstLine="709"/>
        <w:jc w:val="both"/>
        <w:rPr>
          <w:rFonts w:ascii="Arial" w:eastAsia="Calibri"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w:t>
      </w:r>
      <w:r w:rsidRPr="008E6190">
        <w:rPr>
          <w:rFonts w:ascii="Arial" w:eastAsia="Times New Roman" w:hAnsi="Arial" w:cs="Arial"/>
          <w:color w:val="000000" w:themeColor="text1"/>
          <w:sz w:val="22"/>
          <w:szCs w:val="24"/>
          <w:lang w:val="es-ES_tradnl" w:eastAsia="es-ES_tradnl"/>
        </w:rPr>
        <w:lastRenderedPageBreak/>
        <w:t>no podrá ser reservada o limitada sino por disposición constitucional o legal»</w:t>
      </w:r>
      <w:r w:rsidRPr="008E6190">
        <w:rPr>
          <w:rFonts w:ascii="Arial" w:eastAsia="Times New Roman" w:hAnsi="Arial" w:cs="Arial"/>
          <w:color w:val="000000" w:themeColor="text1"/>
          <w:sz w:val="22"/>
          <w:szCs w:val="24"/>
          <w:vertAlign w:val="superscript"/>
          <w:lang w:val="es-ES_tradnl" w:eastAsia="es-ES_tradnl"/>
        </w:rPr>
        <w:footnoteReference w:id="5"/>
      </w:r>
      <w:r w:rsidRPr="008E6190">
        <w:rPr>
          <w:rFonts w:ascii="Arial" w:eastAsia="Times New Roman" w:hAnsi="Arial" w:cs="Arial"/>
          <w:color w:val="000000" w:themeColor="text1"/>
          <w:sz w:val="22"/>
          <w:szCs w:val="24"/>
          <w:lang w:val="es-ES_tradnl" w:eastAsia="es-ES_tradnl"/>
        </w:rPr>
        <w:t xml:space="preserve">. El principio de transparencia en la información alude al deber de los sujetos de proporcionar y facilitar el acceso a la misma en los términos más amplios posibles, y a través de los medios y procedimientos legales. </w:t>
      </w:r>
      <w:r w:rsidRPr="008E6190">
        <w:rPr>
          <w:rFonts w:ascii="Arial" w:hAnsi="Arial" w:cs="Arial"/>
          <w:color w:val="000000" w:themeColor="text1"/>
          <w:sz w:val="22"/>
          <w:lang w:val="es-ES_tradnl"/>
        </w:rPr>
        <w:t>La ley estatutaria citada establece, en el literal e) del artículo 9, que los sujetos obligados, que son todas las entidades públicas</w:t>
      </w:r>
      <w:r w:rsidRPr="008E6190">
        <w:rPr>
          <w:rFonts w:ascii="Arial" w:hAnsi="Arial" w:cs="Arial"/>
          <w:color w:val="000000" w:themeColor="text1"/>
          <w:sz w:val="22"/>
          <w:vertAlign w:val="superscript"/>
          <w:lang w:val="es-ES_tradnl"/>
        </w:rPr>
        <w:footnoteReference w:id="6"/>
      </w:r>
      <w:r w:rsidRPr="008E6190">
        <w:rPr>
          <w:rFonts w:ascii="Arial" w:hAnsi="Arial" w:cs="Arial"/>
          <w:color w:val="000000" w:themeColor="text1"/>
          <w:sz w:val="22"/>
          <w:lang w:val="es-ES_tradnl"/>
        </w:rPr>
        <w:t>, deben publicar la información relativa a su contratación. Esta obligación fue desarrollada por el Decreto Único Reglamentario 1081 de 2015</w:t>
      </w:r>
      <w:r w:rsidRPr="008E6190">
        <w:rPr>
          <w:rFonts w:ascii="Arial" w:hAnsi="Arial" w:cs="Arial"/>
          <w:color w:val="000000" w:themeColor="text1"/>
          <w:sz w:val="22"/>
          <w:vertAlign w:val="superscript"/>
          <w:lang w:val="es-ES_tradnl"/>
        </w:rPr>
        <w:footnoteReference w:id="7"/>
      </w:r>
      <w:r w:rsidRPr="008E6190">
        <w:rPr>
          <w:rFonts w:ascii="Arial" w:hAnsi="Arial" w:cs="Arial"/>
          <w:color w:val="000000" w:themeColor="text1"/>
          <w:sz w:val="22"/>
          <w:lang w:val="es-ES_tradnl"/>
        </w:rPr>
        <w:t>, el cual dispuso que la publicación de la información contractual de los sujetos obligados, que contratan con cargo a recursos públicos, debe hacerse en el Sistema Electrónico para la Contratación Pública ─</w:t>
      </w:r>
      <w:r w:rsidRPr="008E6190">
        <w:rPr>
          <w:rFonts w:ascii="Arial" w:hAnsi="Arial" w:cs="Arial"/>
          <w:color w:val="000000" w:themeColor="text1"/>
          <w:sz w:val="22"/>
          <w:lang w:val="es-ES_tradnl"/>
        </w:rPr>
        <w:softHyphen/>
        <w:t xml:space="preserve"> </w:t>
      </w:r>
      <w:r w:rsidRPr="008E6190">
        <w:rPr>
          <w:rFonts w:ascii="Arial" w:hAnsi="Arial" w:cs="Arial"/>
          <w:color w:val="000000" w:themeColor="text1"/>
          <w:sz w:val="22"/>
          <w:lang w:val="es-ES_tradnl"/>
        </w:rPr>
        <w:softHyphen/>
        <w:t>SECOP–.</w:t>
      </w:r>
    </w:p>
    <w:p w14:paraId="4C61D929" w14:textId="77777777" w:rsidR="00384465" w:rsidRPr="008E6190" w:rsidRDefault="00384465" w:rsidP="00384465">
      <w:pPr>
        <w:spacing w:before="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8E6190">
        <w:rPr>
          <w:rFonts w:ascii="Arial" w:eastAsia="Calibri" w:hAnsi="Arial" w:cs="Arial"/>
          <w:color w:val="000000" w:themeColor="text1"/>
          <w:sz w:val="22"/>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8E6190">
        <w:rPr>
          <w:rFonts w:ascii="Arial" w:eastAsia="Calibri" w:hAnsi="Arial" w:cs="Arial"/>
          <w:color w:val="000000" w:themeColor="text1"/>
          <w:sz w:val="22"/>
          <w:szCs w:val="24"/>
          <w:vertAlign w:val="superscript"/>
          <w:lang w:val="es-ES_tradnl" w:eastAsia="es-ES_tradnl"/>
        </w:rPr>
        <w:footnoteReference w:id="8"/>
      </w:r>
      <w:r w:rsidRPr="008E6190">
        <w:rPr>
          <w:rFonts w:ascii="Arial" w:eastAsia="Calibri" w:hAnsi="Arial" w:cs="Arial"/>
          <w:color w:val="000000" w:themeColor="text1"/>
          <w:sz w:val="22"/>
          <w:szCs w:val="24"/>
          <w:lang w:val="es-ES_tradnl" w:eastAsia="es-ES_tradnl"/>
        </w:rPr>
        <w:t>.</w:t>
      </w:r>
    </w:p>
    <w:p w14:paraId="60D4E890" w14:textId="686AB1F8" w:rsidR="00384465" w:rsidRPr="008E6190" w:rsidRDefault="00384465" w:rsidP="00384465">
      <w:pPr>
        <w:spacing w:before="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8E6190">
        <w:rPr>
          <w:rFonts w:ascii="Arial" w:eastAsia="Times New Roman" w:hAnsi="Arial" w:cs="Arial"/>
          <w:color w:val="000000" w:themeColor="text1"/>
          <w:sz w:val="22"/>
          <w:szCs w:val="24"/>
          <w:vertAlign w:val="superscript"/>
          <w:lang w:val="es-ES_tradnl" w:eastAsia="es-ES_tradnl"/>
        </w:rPr>
        <w:footnoteReference w:id="9"/>
      </w:r>
      <w:r w:rsidRPr="008E6190">
        <w:rPr>
          <w:rFonts w:ascii="Arial" w:eastAsia="Times New Roman" w:hAnsi="Arial" w:cs="Arial"/>
          <w:color w:val="000000" w:themeColor="text1"/>
          <w:sz w:val="22"/>
          <w:szCs w:val="24"/>
          <w:lang w:val="es-ES_tradnl" w:eastAsia="es-ES_tradnl"/>
        </w:rPr>
        <w:t>.</w:t>
      </w:r>
      <w:r w:rsidR="00C3453D" w:rsidRPr="008E6190">
        <w:rPr>
          <w:rFonts w:ascii="Arial" w:eastAsia="Times New Roman" w:hAnsi="Arial" w:cs="Arial"/>
          <w:color w:val="000000" w:themeColor="text1"/>
          <w:sz w:val="22"/>
          <w:szCs w:val="24"/>
          <w:lang w:val="es-ES_tradnl" w:eastAsia="es-ES_tradnl"/>
        </w:rPr>
        <w:t xml:space="preserve"> </w:t>
      </w:r>
      <w:r w:rsidRPr="008E6190">
        <w:rPr>
          <w:rFonts w:ascii="Arial" w:eastAsia="Times New Roman" w:hAnsi="Arial" w:cs="Arial"/>
          <w:color w:val="000000" w:themeColor="text1"/>
          <w:sz w:val="22"/>
          <w:szCs w:val="24"/>
          <w:lang w:val="es-ES_tradnl" w:eastAsia="es-ES_tradnl"/>
        </w:rPr>
        <w:t xml:space="preserve">Además, la Circular Externa Única, en el numeral 1.1., estableció, de manera enunciativa, </w:t>
      </w:r>
      <w:r w:rsidRPr="008E6190">
        <w:rPr>
          <w:rFonts w:ascii="Arial" w:eastAsia="Times New Roman" w:hAnsi="Arial" w:cs="Arial"/>
          <w:color w:val="000000" w:themeColor="text1"/>
          <w:sz w:val="22"/>
          <w:szCs w:val="24"/>
          <w:lang w:val="es-ES_tradnl" w:eastAsia="es-ES_tradnl"/>
        </w:rPr>
        <w:lastRenderedPageBreak/>
        <w:t>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2EAC104" w14:textId="77777777" w:rsidR="00384465" w:rsidRPr="008E6190" w:rsidRDefault="00384465" w:rsidP="00384465">
      <w:pPr>
        <w:spacing w:before="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El debate sobre la obligatoriedad o no de publicar en el SECOP, para las entidades con régimen especial de contratación, había sido definido, al menos de manera preliminar, por el Consejo de Estado. En este sentido, la Sección Tercera, Subsección C, en el Auto del 14 de agosto de 2017</w:t>
      </w:r>
      <w:r w:rsidRPr="008E6190">
        <w:rPr>
          <w:rFonts w:ascii="Arial" w:eastAsia="Times New Roman" w:hAnsi="Arial" w:cs="Arial"/>
          <w:color w:val="000000" w:themeColor="text1"/>
          <w:sz w:val="22"/>
          <w:szCs w:val="24"/>
          <w:vertAlign w:val="superscript"/>
          <w:lang w:val="es-ES_tradnl" w:eastAsia="es-ES_tradnl"/>
        </w:rPr>
        <w:footnoteReference w:id="10"/>
      </w:r>
      <w:r w:rsidRPr="008E6190">
        <w:rPr>
          <w:rFonts w:ascii="Arial" w:eastAsia="Times New Roman" w:hAnsi="Arial" w:cs="Arial"/>
          <w:color w:val="000000" w:themeColor="text1"/>
          <w:sz w:val="22"/>
          <w:szCs w:val="24"/>
          <w:lang w:val="es-ES_tradnl" w:eastAsia="es-ES_tradnl"/>
        </w:rPr>
        <w:t>, expresó que la obligación prevista en la Circular Externa No. 1 se ajusta a la normativa superior, en los siguientes términos:</w:t>
      </w:r>
    </w:p>
    <w:p w14:paraId="62FB9516" w14:textId="77777777" w:rsidR="00384465" w:rsidRPr="008E6190" w:rsidRDefault="00384465" w:rsidP="00384465">
      <w:pPr>
        <w:spacing w:line="276" w:lineRule="auto"/>
        <w:jc w:val="both"/>
        <w:rPr>
          <w:rFonts w:ascii="Arial" w:eastAsia="Times New Roman" w:hAnsi="Arial" w:cs="Arial"/>
          <w:color w:val="000000" w:themeColor="text1"/>
          <w:sz w:val="22"/>
          <w:szCs w:val="24"/>
          <w:lang w:val="es-ES_tradnl" w:eastAsia="es-ES_tradnl"/>
        </w:rPr>
      </w:pPr>
    </w:p>
    <w:p w14:paraId="689356A4"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r w:rsidRPr="008E6190">
        <w:rPr>
          <w:rFonts w:ascii="Arial" w:eastAsia="Times New Roman" w:hAnsi="Arial" w:cs="Arial"/>
          <w:color w:val="000000" w:themeColor="text1"/>
          <w:sz w:val="21"/>
          <w:szCs w:val="21"/>
          <w:lang w:val="es-ES_tradnl" w:eastAsia="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776FAFC3"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p>
    <w:p w14:paraId="12B6B20C"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r w:rsidRPr="008E6190">
        <w:rPr>
          <w:rFonts w:ascii="Arial" w:eastAsia="Times New Roman" w:hAnsi="Arial" w:cs="Arial"/>
          <w:color w:val="000000" w:themeColor="text1"/>
          <w:sz w:val="21"/>
          <w:szCs w:val="21"/>
          <w:lang w:val="es-ES_tradnl" w:eastAsia="es-ES_tradnl"/>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8E6190">
        <w:rPr>
          <w:rFonts w:ascii="Arial" w:eastAsia="Times New Roman" w:hAnsi="Arial" w:cs="Arial"/>
          <w:color w:val="000000" w:themeColor="text1"/>
          <w:sz w:val="21"/>
          <w:szCs w:val="21"/>
          <w:lang w:val="es-ES_tradnl" w:eastAsia="es-ES_tradnl"/>
        </w:rPr>
        <w:t>en razón de</w:t>
      </w:r>
      <w:proofErr w:type="gramEnd"/>
      <w:r w:rsidRPr="008E6190">
        <w:rPr>
          <w:rFonts w:ascii="Arial" w:eastAsia="Times New Roman" w:hAnsi="Arial" w:cs="Arial"/>
          <w:color w:val="000000" w:themeColor="text1"/>
          <w:sz w:val="21"/>
          <w:szCs w:val="21"/>
          <w:lang w:val="es-ES_tradnl" w:eastAsia="es-ES_tradnl"/>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5D9208C"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r w:rsidRPr="008E6190">
        <w:rPr>
          <w:rFonts w:ascii="Arial" w:eastAsia="Times New Roman" w:hAnsi="Arial" w:cs="Arial"/>
          <w:color w:val="000000" w:themeColor="text1"/>
          <w:sz w:val="21"/>
          <w:szCs w:val="21"/>
          <w:lang w:val="es-ES_tradnl" w:eastAsia="es-ES_tradnl"/>
        </w:rPr>
        <w:t>[…]</w:t>
      </w:r>
    </w:p>
    <w:p w14:paraId="75C25873"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p>
    <w:p w14:paraId="3BC81975" w14:textId="77777777" w:rsidR="00384465" w:rsidRPr="008E6190" w:rsidRDefault="00384465" w:rsidP="00384465">
      <w:pPr>
        <w:tabs>
          <w:tab w:val="left" w:pos="3885"/>
        </w:tabs>
        <w:ind w:left="709" w:right="709"/>
        <w:jc w:val="both"/>
        <w:rPr>
          <w:rFonts w:ascii="Arial" w:eastAsia="Times New Roman" w:hAnsi="Arial" w:cs="Arial"/>
          <w:color w:val="000000" w:themeColor="text1"/>
          <w:sz w:val="21"/>
          <w:szCs w:val="21"/>
          <w:lang w:val="es-ES_tradnl" w:eastAsia="es-ES_tradnl"/>
        </w:rPr>
      </w:pPr>
      <w:r w:rsidRPr="008E6190">
        <w:rPr>
          <w:rFonts w:ascii="Arial" w:eastAsia="Times New Roman" w:hAnsi="Arial" w:cs="Arial"/>
          <w:color w:val="000000" w:themeColor="text1"/>
          <w:sz w:val="21"/>
          <w:szCs w:val="21"/>
          <w:lang w:val="es-ES_tradnl" w:eastAsia="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8E6190">
        <w:rPr>
          <w:rFonts w:ascii="Arial" w:eastAsia="Times New Roman" w:hAnsi="Arial" w:cs="Arial"/>
          <w:color w:val="000000" w:themeColor="text1"/>
          <w:sz w:val="21"/>
          <w:szCs w:val="21"/>
          <w:vertAlign w:val="superscript"/>
          <w:lang w:val="es-ES_tradnl" w:eastAsia="es-ES_tradnl"/>
        </w:rPr>
        <w:footnoteReference w:id="11"/>
      </w:r>
      <w:r w:rsidRPr="008E6190">
        <w:rPr>
          <w:rFonts w:ascii="Arial" w:eastAsia="Times New Roman" w:hAnsi="Arial" w:cs="Arial"/>
          <w:color w:val="000000" w:themeColor="text1"/>
          <w:sz w:val="21"/>
          <w:szCs w:val="21"/>
          <w:lang w:val="es-ES_tradnl" w:eastAsia="es-ES_tradnl"/>
        </w:rPr>
        <w:t>.</w:t>
      </w:r>
    </w:p>
    <w:p w14:paraId="068563B7" w14:textId="77777777" w:rsidR="00384465" w:rsidRPr="008E6190" w:rsidRDefault="00384465" w:rsidP="00384465">
      <w:pPr>
        <w:tabs>
          <w:tab w:val="left" w:pos="3885"/>
        </w:tabs>
        <w:spacing w:line="276" w:lineRule="auto"/>
        <w:ind w:left="709" w:right="709"/>
        <w:jc w:val="both"/>
        <w:rPr>
          <w:rFonts w:ascii="Arial" w:eastAsia="Calibri" w:hAnsi="Arial" w:cs="Arial"/>
          <w:color w:val="000000" w:themeColor="text1"/>
          <w:sz w:val="22"/>
          <w:szCs w:val="24"/>
          <w:lang w:val="es-ES_tradnl" w:eastAsia="es-ES_tradnl"/>
        </w:rPr>
      </w:pPr>
    </w:p>
    <w:p w14:paraId="464F1E86" w14:textId="77777777" w:rsidR="00384465" w:rsidRPr="008E6190" w:rsidRDefault="00384465" w:rsidP="00384465">
      <w:pPr>
        <w:spacing w:line="276" w:lineRule="auto"/>
        <w:ind w:firstLine="708"/>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Adicionalmente, el deber de hacer pública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6452D99D" w14:textId="77777777" w:rsidR="00384465" w:rsidRPr="008E6190" w:rsidRDefault="00384465" w:rsidP="00384465">
      <w:pPr>
        <w:ind w:leftChars="709" w:left="1702" w:right="709" w:firstLine="2"/>
        <w:jc w:val="both"/>
        <w:rPr>
          <w:rFonts w:ascii="Arial" w:eastAsia="Times New Roman" w:hAnsi="Arial" w:cs="Arial"/>
          <w:color w:val="000000" w:themeColor="text1"/>
          <w:sz w:val="21"/>
          <w:szCs w:val="21"/>
          <w:lang w:val="es-ES_tradnl" w:eastAsia="es-ES_tradnl"/>
        </w:rPr>
      </w:pPr>
    </w:p>
    <w:p w14:paraId="59733B31" w14:textId="77777777" w:rsidR="00384465" w:rsidRPr="008E6190" w:rsidRDefault="00384465" w:rsidP="00384465">
      <w:pPr>
        <w:ind w:left="709" w:right="709"/>
        <w:jc w:val="both"/>
        <w:rPr>
          <w:rFonts w:ascii="Arial" w:eastAsia="Times New Roman" w:hAnsi="Arial" w:cs="Arial"/>
          <w:color w:val="000000" w:themeColor="text1"/>
          <w:sz w:val="21"/>
          <w:szCs w:val="21"/>
          <w:lang w:val="es-ES_tradnl" w:eastAsia="es-ES_tradnl"/>
        </w:rPr>
      </w:pPr>
      <w:r w:rsidRPr="008E6190">
        <w:rPr>
          <w:rFonts w:ascii="Arial" w:eastAsia="Times New Roman" w:hAnsi="Arial" w:cs="Arial"/>
          <w:color w:val="000000" w:themeColor="text1"/>
          <w:sz w:val="21"/>
          <w:szCs w:val="21"/>
          <w:lang w:val="es-ES_tradnl" w:eastAsia="es-ES_tradnl"/>
        </w:rPr>
        <w:lastRenderedPageBreak/>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8E6190">
        <w:rPr>
          <w:rFonts w:ascii="Arial" w:eastAsia="Times New Roman" w:hAnsi="Arial" w:cs="Arial"/>
          <w:color w:val="000000" w:themeColor="text1"/>
          <w:sz w:val="21"/>
          <w:szCs w:val="21"/>
          <w:vertAlign w:val="superscript"/>
          <w:lang w:val="es-ES_tradnl" w:eastAsia="es-ES_tradnl"/>
        </w:rPr>
        <w:footnoteReference w:id="12"/>
      </w:r>
      <w:r w:rsidRPr="008E6190">
        <w:rPr>
          <w:rFonts w:ascii="Arial" w:eastAsia="Times New Roman" w:hAnsi="Arial" w:cs="Arial"/>
          <w:color w:val="000000" w:themeColor="text1"/>
          <w:sz w:val="21"/>
          <w:szCs w:val="21"/>
          <w:lang w:val="es-ES_tradnl" w:eastAsia="es-ES_tradnl"/>
        </w:rPr>
        <w:t>.</w:t>
      </w:r>
    </w:p>
    <w:p w14:paraId="34B2BADE" w14:textId="77777777" w:rsidR="00384465" w:rsidRPr="008E6190" w:rsidRDefault="00384465" w:rsidP="00384465">
      <w:pPr>
        <w:spacing w:line="276" w:lineRule="auto"/>
        <w:ind w:leftChars="709" w:left="1702" w:right="709"/>
        <w:jc w:val="both"/>
        <w:rPr>
          <w:rFonts w:ascii="Arial" w:eastAsia="Times New Roman" w:hAnsi="Arial" w:cs="Arial"/>
          <w:color w:val="000000" w:themeColor="text1"/>
          <w:sz w:val="21"/>
          <w:szCs w:val="21"/>
          <w:lang w:val="es-ES_tradnl" w:eastAsia="es-ES_tradnl"/>
        </w:rPr>
      </w:pPr>
    </w:p>
    <w:p w14:paraId="47B797FC" w14:textId="478DBD6D" w:rsidR="00384465" w:rsidRPr="008E6190" w:rsidRDefault="00384465" w:rsidP="00C3453D">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Nótese, entonces, que en ese momento el Consejo de Estado asumió como criterio para determinar la obligatoriedad de publicar en el SECOP que la contratación se realizara con recursos públicos, conclusión que extrajo del literal c) del artículo 3 de la Ley 1150 de 2007. Así, la decisión judicial citada vino a reforzar la obligación de publicar en el SECOP, mandato que además está expresamente consagrado en las Leyes 1150 de 2007, 1712 de 2014 y la Circular Externa Única. </w:t>
      </w:r>
    </w:p>
    <w:p w14:paraId="23A8CB2D" w14:textId="722C7327" w:rsidR="00506249" w:rsidRPr="008E6190" w:rsidRDefault="00506249" w:rsidP="00506249">
      <w:pPr>
        <w:spacing w:after="120" w:line="276" w:lineRule="auto"/>
        <w:jc w:val="both"/>
        <w:rPr>
          <w:rFonts w:ascii="Arial" w:eastAsia="Times New Roman" w:hAnsi="Arial" w:cs="Arial"/>
          <w:b/>
          <w:bCs/>
          <w:color w:val="000000" w:themeColor="text1"/>
          <w:sz w:val="22"/>
          <w:szCs w:val="24"/>
          <w:lang w:val="es-ES_tradnl" w:eastAsia="es-ES_tradnl"/>
        </w:rPr>
      </w:pPr>
      <w:r w:rsidRPr="008E6190">
        <w:rPr>
          <w:rFonts w:ascii="Arial" w:eastAsia="Times New Roman" w:hAnsi="Arial" w:cs="Arial"/>
          <w:b/>
          <w:bCs/>
          <w:color w:val="000000" w:themeColor="text1"/>
          <w:sz w:val="22"/>
          <w:szCs w:val="24"/>
          <w:lang w:val="es-ES_tradnl" w:eastAsia="es-ES_tradnl"/>
        </w:rPr>
        <w:t>2.2. Entidades estatales exceptuadas de publicar en el SECOP</w:t>
      </w:r>
    </w:p>
    <w:p w14:paraId="3953A615" w14:textId="3B87C7A6" w:rsidR="00C3453D" w:rsidRPr="008E6190" w:rsidRDefault="00C3453D" w:rsidP="00506249">
      <w:pPr>
        <w:spacing w:after="120" w:line="276" w:lineRule="auto"/>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No </w:t>
      </w:r>
      <w:proofErr w:type="gramStart"/>
      <w:r w:rsidRPr="008E6190">
        <w:rPr>
          <w:rFonts w:ascii="Arial" w:eastAsia="Times New Roman" w:hAnsi="Arial" w:cs="Arial"/>
          <w:color w:val="000000" w:themeColor="text1"/>
          <w:sz w:val="22"/>
          <w:szCs w:val="24"/>
          <w:lang w:val="es-ES_tradnl" w:eastAsia="es-ES_tradnl"/>
        </w:rPr>
        <w:t>obstante</w:t>
      </w:r>
      <w:proofErr w:type="gramEnd"/>
      <w:r w:rsidR="00721481" w:rsidRPr="008E6190">
        <w:rPr>
          <w:rFonts w:ascii="Arial" w:eastAsia="Times New Roman" w:hAnsi="Arial" w:cs="Arial"/>
          <w:color w:val="000000" w:themeColor="text1"/>
          <w:sz w:val="22"/>
          <w:szCs w:val="24"/>
          <w:lang w:val="es-ES_tradnl" w:eastAsia="es-ES_tradnl"/>
        </w:rPr>
        <w:t xml:space="preserve"> lo señalado en el numeral anterior</w:t>
      </w:r>
      <w:r w:rsidR="00506249" w:rsidRPr="008E6190">
        <w:rPr>
          <w:rFonts w:ascii="Arial" w:eastAsia="Times New Roman" w:hAnsi="Arial" w:cs="Arial"/>
          <w:color w:val="000000" w:themeColor="text1"/>
          <w:sz w:val="22"/>
          <w:szCs w:val="24"/>
          <w:lang w:val="es-ES_tradnl" w:eastAsia="es-ES_tradnl"/>
        </w:rPr>
        <w:t>,</w:t>
      </w:r>
      <w:r w:rsidRPr="008E6190">
        <w:rPr>
          <w:rFonts w:ascii="Arial" w:eastAsia="Times New Roman" w:hAnsi="Arial" w:cs="Arial"/>
          <w:color w:val="000000" w:themeColor="text1"/>
          <w:sz w:val="22"/>
          <w:szCs w:val="24"/>
          <w:lang w:val="es-ES_tradnl" w:eastAsia="es-ES_tradnl"/>
        </w:rPr>
        <w:t xml:space="preserve"> en el punto 3 del numeral 1.1. de la Circular Externa Única, la Agencia estableció </w:t>
      </w:r>
      <w:r w:rsidR="00E40B6E" w:rsidRPr="008E6190">
        <w:rPr>
          <w:rFonts w:ascii="Arial" w:eastAsia="Times New Roman" w:hAnsi="Arial" w:cs="Arial"/>
          <w:color w:val="000000" w:themeColor="text1"/>
          <w:sz w:val="22"/>
          <w:szCs w:val="24"/>
          <w:lang w:val="es-ES_tradnl" w:eastAsia="es-ES_tradnl"/>
        </w:rPr>
        <w:t xml:space="preserve">una </w:t>
      </w:r>
      <w:r w:rsidRPr="008E6190">
        <w:rPr>
          <w:rFonts w:ascii="Arial" w:eastAsia="Times New Roman" w:hAnsi="Arial" w:cs="Arial"/>
          <w:color w:val="000000" w:themeColor="text1"/>
          <w:sz w:val="22"/>
          <w:szCs w:val="24"/>
          <w:lang w:val="es-ES_tradnl" w:eastAsia="es-ES_tradnl"/>
        </w:rPr>
        <w:t>excepción a la obligatoriedad de publicar en el SECOP</w:t>
      </w:r>
      <w:r w:rsidR="00E40B6E" w:rsidRPr="008E6190">
        <w:rPr>
          <w:rFonts w:ascii="Arial" w:eastAsia="Times New Roman" w:hAnsi="Arial" w:cs="Arial"/>
          <w:color w:val="000000" w:themeColor="text1"/>
          <w:sz w:val="22"/>
          <w:szCs w:val="24"/>
          <w:lang w:val="es-ES_tradnl" w:eastAsia="es-ES_tradnl"/>
        </w:rPr>
        <w:t>. Concretamente,</w:t>
      </w:r>
      <w:r w:rsidRPr="008E6190">
        <w:rPr>
          <w:rFonts w:ascii="Arial" w:eastAsia="Times New Roman" w:hAnsi="Arial" w:cs="Arial"/>
          <w:color w:val="000000" w:themeColor="text1"/>
          <w:sz w:val="22"/>
          <w:szCs w:val="24"/>
          <w:lang w:val="es-ES_tradnl" w:eastAsia="es-ES_tradnl"/>
        </w:rPr>
        <w:t xml:space="preserve"> cuando las empresas comerciales del Estado, las sociedades economía mixta y las empresas de servicios públicos domici</w:t>
      </w:r>
      <w:r w:rsidR="0030648B" w:rsidRPr="008E6190">
        <w:rPr>
          <w:rFonts w:ascii="Arial" w:eastAsia="Times New Roman" w:hAnsi="Arial" w:cs="Arial"/>
          <w:color w:val="000000" w:themeColor="text1"/>
          <w:sz w:val="22"/>
          <w:szCs w:val="24"/>
          <w:lang w:val="es-ES_tradnl" w:eastAsia="es-ES_tradnl"/>
        </w:rPr>
        <w:t>liarios que desarrollen su actividad en competencia con el sector privado, que antes del 30 de noviembre de 2015, hayan solicitado a Colombia Compra Eficiente el enlace que comunica al SECOP con sus sistemas de información propios para efectos de la publicidad de su actividad contractual</w:t>
      </w:r>
      <w:r w:rsidR="00E40B6E" w:rsidRPr="008E6190">
        <w:rPr>
          <w:rFonts w:ascii="Arial" w:eastAsia="Times New Roman" w:hAnsi="Arial" w:cs="Arial"/>
          <w:color w:val="000000" w:themeColor="text1"/>
          <w:sz w:val="22"/>
          <w:szCs w:val="24"/>
          <w:lang w:val="es-ES_tradnl" w:eastAsia="es-ES_tradnl"/>
        </w:rPr>
        <w:t>. Lo anterior,</w:t>
      </w:r>
      <w:r w:rsidR="0030648B" w:rsidRPr="008E6190">
        <w:rPr>
          <w:rFonts w:ascii="Arial" w:eastAsia="Times New Roman" w:hAnsi="Arial" w:cs="Arial"/>
          <w:color w:val="000000" w:themeColor="text1"/>
          <w:sz w:val="22"/>
          <w:szCs w:val="24"/>
          <w:lang w:val="es-ES_tradnl" w:eastAsia="es-ES_tradnl"/>
        </w:rPr>
        <w:t xml:space="preserve"> siempre que estos </w:t>
      </w:r>
      <w:r w:rsidR="00E40B6E" w:rsidRPr="008E6190">
        <w:rPr>
          <w:rFonts w:ascii="Arial" w:eastAsia="Times New Roman" w:hAnsi="Arial" w:cs="Arial"/>
          <w:color w:val="000000" w:themeColor="text1"/>
          <w:sz w:val="22"/>
          <w:szCs w:val="24"/>
          <w:lang w:val="es-ES_tradnl" w:eastAsia="es-ES_tradnl"/>
        </w:rPr>
        <w:t xml:space="preserve">sistemas </w:t>
      </w:r>
      <w:r w:rsidR="0030648B" w:rsidRPr="008E6190">
        <w:rPr>
          <w:rFonts w:ascii="Arial" w:eastAsia="Times New Roman" w:hAnsi="Arial" w:cs="Arial"/>
          <w:color w:val="000000" w:themeColor="text1"/>
          <w:sz w:val="22"/>
          <w:szCs w:val="24"/>
          <w:lang w:val="es-ES_tradnl" w:eastAsia="es-ES_tradnl"/>
        </w:rPr>
        <w:t>permitan hacer el proceso de contratación en línea y se permita a los proveedores y al público en general tener acceso oportuno, permanente e ininterrumpido a la información de su actividad contractual</w:t>
      </w:r>
      <w:r w:rsidR="007475F1">
        <w:rPr>
          <w:rStyle w:val="Refdenotaalpie"/>
          <w:rFonts w:ascii="Arial" w:eastAsia="Times New Roman" w:hAnsi="Arial" w:cs="Arial"/>
          <w:color w:val="000000" w:themeColor="text1"/>
          <w:sz w:val="22"/>
          <w:szCs w:val="24"/>
          <w:lang w:val="es-ES_tradnl" w:eastAsia="es-ES_tradnl"/>
        </w:rPr>
        <w:footnoteReference w:id="13"/>
      </w:r>
      <w:r w:rsidR="0030648B" w:rsidRPr="008E6190">
        <w:rPr>
          <w:rFonts w:ascii="Arial" w:eastAsia="Times New Roman" w:hAnsi="Arial" w:cs="Arial"/>
          <w:color w:val="000000" w:themeColor="text1"/>
          <w:sz w:val="22"/>
          <w:szCs w:val="24"/>
          <w:lang w:val="es-ES_tradnl" w:eastAsia="es-ES_tradnl"/>
        </w:rPr>
        <w:t xml:space="preserve">. </w:t>
      </w:r>
      <w:r w:rsidRPr="008E6190">
        <w:rPr>
          <w:rFonts w:ascii="Arial" w:eastAsia="Times New Roman" w:hAnsi="Arial" w:cs="Arial"/>
          <w:color w:val="000000" w:themeColor="text1"/>
          <w:sz w:val="22"/>
          <w:szCs w:val="24"/>
          <w:lang w:val="es-ES_tradnl" w:eastAsia="es-ES_tradnl"/>
        </w:rPr>
        <w:t xml:space="preserve"> </w:t>
      </w:r>
    </w:p>
    <w:p w14:paraId="770EA5B5" w14:textId="6C021F84" w:rsidR="00956FB2" w:rsidRPr="008E6190" w:rsidRDefault="0030648B" w:rsidP="00D51EC8">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En ese sentido, </w:t>
      </w:r>
      <w:r w:rsidR="00956FB2" w:rsidRPr="008E6190">
        <w:rPr>
          <w:rFonts w:ascii="Arial" w:eastAsia="Times New Roman" w:hAnsi="Arial" w:cs="Arial"/>
          <w:color w:val="000000" w:themeColor="text1"/>
          <w:sz w:val="22"/>
          <w:szCs w:val="24"/>
          <w:lang w:val="es-ES_tradnl" w:eastAsia="es-ES_tradnl"/>
        </w:rPr>
        <w:t xml:space="preserve">para que una entidad estatal se encuentre exceptuada de publicar su actividad contractual en el SECOP, </w:t>
      </w:r>
      <w:r w:rsidR="00236CE0" w:rsidRPr="008E6190">
        <w:rPr>
          <w:rFonts w:ascii="Arial" w:eastAsia="Times New Roman" w:hAnsi="Arial" w:cs="Arial"/>
          <w:color w:val="000000" w:themeColor="text1"/>
          <w:sz w:val="22"/>
          <w:szCs w:val="24"/>
          <w:lang w:val="es-ES_tradnl" w:eastAsia="es-ES_tradnl"/>
        </w:rPr>
        <w:t xml:space="preserve">de acuerdo con el fundamento citado en el párrafo anterior, </w:t>
      </w:r>
      <w:r w:rsidR="00956FB2" w:rsidRPr="008E6190">
        <w:rPr>
          <w:rFonts w:ascii="Arial" w:eastAsia="Times New Roman" w:hAnsi="Arial" w:cs="Arial"/>
          <w:color w:val="000000" w:themeColor="text1"/>
          <w:sz w:val="22"/>
          <w:szCs w:val="24"/>
          <w:lang w:val="es-ES_tradnl" w:eastAsia="es-ES_tradnl"/>
        </w:rPr>
        <w:t xml:space="preserve">se requiere el cumplimiento de las siguientes condiciones: i) </w:t>
      </w:r>
      <w:r w:rsidR="00C459BE" w:rsidRPr="008E6190">
        <w:rPr>
          <w:rFonts w:ascii="Arial" w:eastAsia="Times New Roman" w:hAnsi="Arial" w:cs="Arial"/>
          <w:color w:val="000000" w:themeColor="text1"/>
          <w:sz w:val="22"/>
          <w:szCs w:val="24"/>
          <w:lang w:val="es-ES_tradnl" w:eastAsia="es-ES_tradnl"/>
        </w:rPr>
        <w:t>Q</w:t>
      </w:r>
      <w:r w:rsidR="00602B20" w:rsidRPr="008E6190">
        <w:rPr>
          <w:rFonts w:ascii="Arial" w:eastAsia="Times New Roman" w:hAnsi="Arial" w:cs="Arial"/>
          <w:color w:val="000000" w:themeColor="text1"/>
          <w:sz w:val="22"/>
          <w:szCs w:val="24"/>
          <w:lang w:val="es-ES_tradnl" w:eastAsia="es-ES_tradnl"/>
        </w:rPr>
        <w:t>ue s</w:t>
      </w:r>
      <w:r w:rsidR="00956FB2" w:rsidRPr="008E6190">
        <w:rPr>
          <w:rFonts w:ascii="Arial" w:eastAsia="Times New Roman" w:hAnsi="Arial" w:cs="Arial"/>
          <w:color w:val="000000" w:themeColor="text1"/>
          <w:sz w:val="22"/>
          <w:szCs w:val="24"/>
          <w:lang w:val="es-ES_tradnl" w:eastAsia="es-ES_tradnl"/>
        </w:rPr>
        <w:t xml:space="preserve">e trate de una empresa industrial y comercial del </w:t>
      </w:r>
      <w:r w:rsidR="00C806E7" w:rsidRPr="008E6190">
        <w:rPr>
          <w:rFonts w:ascii="Arial" w:eastAsia="Times New Roman" w:hAnsi="Arial" w:cs="Arial"/>
          <w:color w:val="000000" w:themeColor="text1"/>
          <w:sz w:val="22"/>
          <w:szCs w:val="24"/>
          <w:lang w:val="es-ES_tradnl" w:eastAsia="es-ES_tradnl"/>
        </w:rPr>
        <w:t>E</w:t>
      </w:r>
      <w:r w:rsidR="00956FB2" w:rsidRPr="008E6190">
        <w:rPr>
          <w:rFonts w:ascii="Arial" w:eastAsia="Times New Roman" w:hAnsi="Arial" w:cs="Arial"/>
          <w:color w:val="000000" w:themeColor="text1"/>
          <w:sz w:val="22"/>
          <w:szCs w:val="24"/>
          <w:lang w:val="es-ES_tradnl" w:eastAsia="es-ES_tradnl"/>
        </w:rPr>
        <w:t xml:space="preserve">stado, sociedad de economía mixta o una empresa de </w:t>
      </w:r>
      <w:r w:rsidR="00956FB2" w:rsidRPr="008E6190">
        <w:rPr>
          <w:rFonts w:ascii="Arial" w:eastAsia="Times New Roman" w:hAnsi="Arial" w:cs="Arial"/>
          <w:color w:val="000000" w:themeColor="text1"/>
          <w:sz w:val="22"/>
          <w:szCs w:val="24"/>
          <w:lang w:val="es-ES_tradnl" w:eastAsia="es-ES_tradnl"/>
        </w:rPr>
        <w:lastRenderedPageBreak/>
        <w:t xml:space="preserve">servicios públicos domiciliarios. </w:t>
      </w:r>
      <w:proofErr w:type="spellStart"/>
      <w:r w:rsidR="00956FB2" w:rsidRPr="008E6190">
        <w:rPr>
          <w:rFonts w:ascii="Arial" w:eastAsia="Times New Roman" w:hAnsi="Arial" w:cs="Arial"/>
          <w:color w:val="000000" w:themeColor="text1"/>
          <w:sz w:val="22"/>
          <w:szCs w:val="24"/>
          <w:lang w:val="es-ES_tradnl" w:eastAsia="es-ES_tradnl"/>
        </w:rPr>
        <w:t>ii</w:t>
      </w:r>
      <w:proofErr w:type="spellEnd"/>
      <w:r w:rsidR="00956FB2" w:rsidRPr="008E6190">
        <w:rPr>
          <w:rFonts w:ascii="Arial" w:eastAsia="Times New Roman" w:hAnsi="Arial" w:cs="Arial"/>
          <w:color w:val="000000" w:themeColor="text1"/>
          <w:sz w:val="22"/>
          <w:szCs w:val="24"/>
          <w:lang w:val="es-ES_tradnl" w:eastAsia="es-ES_tradnl"/>
        </w:rPr>
        <w:t xml:space="preserve">) Que la entidad desarrolle su actividad en competencia con el sector privado. </w:t>
      </w:r>
      <w:proofErr w:type="spellStart"/>
      <w:r w:rsidR="00956FB2" w:rsidRPr="008E6190">
        <w:rPr>
          <w:rFonts w:ascii="Arial" w:eastAsia="Times New Roman" w:hAnsi="Arial" w:cs="Arial"/>
          <w:color w:val="000000" w:themeColor="text1"/>
          <w:sz w:val="22"/>
          <w:szCs w:val="24"/>
          <w:lang w:val="es-ES_tradnl" w:eastAsia="es-ES_tradnl"/>
        </w:rPr>
        <w:t>iii</w:t>
      </w:r>
      <w:proofErr w:type="spellEnd"/>
      <w:r w:rsidR="00956FB2" w:rsidRPr="008E6190">
        <w:rPr>
          <w:rFonts w:ascii="Arial" w:eastAsia="Times New Roman" w:hAnsi="Arial" w:cs="Arial"/>
          <w:color w:val="000000" w:themeColor="text1"/>
          <w:sz w:val="22"/>
          <w:szCs w:val="24"/>
          <w:lang w:val="es-ES_tradnl" w:eastAsia="es-ES_tradnl"/>
        </w:rPr>
        <w:t xml:space="preserve">) Que antes del 30 de noviembre de 2015 haya solicitado a Colombia Compra Eficiente el enlace que comunica su sistema de información propio con el SECOP. </w:t>
      </w:r>
      <w:proofErr w:type="spellStart"/>
      <w:r w:rsidR="00956FB2" w:rsidRPr="008E6190">
        <w:rPr>
          <w:rFonts w:ascii="Arial" w:eastAsia="Times New Roman" w:hAnsi="Arial" w:cs="Arial"/>
          <w:color w:val="000000" w:themeColor="text1"/>
          <w:sz w:val="22"/>
          <w:szCs w:val="24"/>
          <w:lang w:val="es-ES_tradnl" w:eastAsia="es-ES_tradnl"/>
        </w:rPr>
        <w:t>iv</w:t>
      </w:r>
      <w:proofErr w:type="spellEnd"/>
      <w:r w:rsidR="00956FB2" w:rsidRPr="008E6190">
        <w:rPr>
          <w:rFonts w:ascii="Arial" w:eastAsia="Times New Roman" w:hAnsi="Arial" w:cs="Arial"/>
          <w:color w:val="000000" w:themeColor="text1"/>
          <w:sz w:val="22"/>
          <w:szCs w:val="24"/>
          <w:lang w:val="es-ES_tradnl" w:eastAsia="es-ES_tradnl"/>
        </w:rPr>
        <w:t>) Que el sistema de información permita realizar el proceso de contratación en línea y se permita a los proveedores y al público tener acceso oportun</w:t>
      </w:r>
      <w:r w:rsidR="00A700D9" w:rsidRPr="008E6190">
        <w:rPr>
          <w:rFonts w:ascii="Arial" w:eastAsia="Times New Roman" w:hAnsi="Arial" w:cs="Arial"/>
          <w:color w:val="000000" w:themeColor="text1"/>
          <w:sz w:val="22"/>
          <w:szCs w:val="24"/>
          <w:lang w:val="es-ES_tradnl" w:eastAsia="es-ES_tradnl"/>
        </w:rPr>
        <w:t>o</w:t>
      </w:r>
      <w:r w:rsidR="00956FB2" w:rsidRPr="008E6190">
        <w:rPr>
          <w:rFonts w:ascii="Arial" w:eastAsia="Times New Roman" w:hAnsi="Arial" w:cs="Arial"/>
          <w:color w:val="000000" w:themeColor="text1"/>
          <w:sz w:val="22"/>
          <w:szCs w:val="24"/>
          <w:lang w:val="es-ES_tradnl" w:eastAsia="es-ES_tradnl"/>
        </w:rPr>
        <w:t>, permanente e ininterrumpido a la información de su actividad</w:t>
      </w:r>
      <w:r w:rsidR="00236CE0" w:rsidRPr="008E6190">
        <w:rPr>
          <w:rFonts w:ascii="Arial" w:eastAsia="Times New Roman" w:hAnsi="Arial" w:cs="Arial"/>
          <w:color w:val="000000" w:themeColor="text1"/>
          <w:sz w:val="22"/>
          <w:szCs w:val="24"/>
          <w:lang w:val="es-ES_tradnl" w:eastAsia="es-ES_tradnl"/>
        </w:rPr>
        <w:t xml:space="preserve"> contractual</w:t>
      </w:r>
      <w:r w:rsidR="00956FB2" w:rsidRPr="008E6190">
        <w:rPr>
          <w:rFonts w:ascii="Arial" w:eastAsia="Times New Roman" w:hAnsi="Arial" w:cs="Arial"/>
          <w:color w:val="000000" w:themeColor="text1"/>
          <w:sz w:val="22"/>
          <w:szCs w:val="24"/>
          <w:lang w:val="es-ES_tradnl" w:eastAsia="es-ES_tradnl"/>
        </w:rPr>
        <w:t xml:space="preserve">. </w:t>
      </w:r>
    </w:p>
    <w:p w14:paraId="65440B41" w14:textId="12CD85F7" w:rsidR="00845807" w:rsidRPr="008E6190" w:rsidRDefault="00D51EC8" w:rsidP="00D51EC8">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Ahora bien, </w:t>
      </w:r>
      <w:r w:rsidR="00E40B6E" w:rsidRPr="008E6190">
        <w:rPr>
          <w:rFonts w:ascii="Arial" w:eastAsia="Times New Roman" w:hAnsi="Arial" w:cs="Arial"/>
          <w:color w:val="000000" w:themeColor="text1"/>
          <w:sz w:val="22"/>
          <w:szCs w:val="24"/>
          <w:lang w:val="es-ES_tradnl" w:eastAsia="es-ES_tradnl"/>
        </w:rPr>
        <w:t xml:space="preserve">es importante precisar que la excepción establecida en la Circular está dirigida a los supuestos en que dichas entidades funjan como contratantes, esto es, cuando sean ellas quienes adelanten los procesos contractuales. En este sentido, si dichas entidades participan en proceso contractuales adelantados por otras entidades estatales, que efectivamente deben publicar su actividad contractual en el SECOP, </w:t>
      </w:r>
      <w:r w:rsidR="007D0D11" w:rsidRPr="008E6190">
        <w:rPr>
          <w:rFonts w:ascii="Arial" w:eastAsia="Times New Roman" w:hAnsi="Arial" w:cs="Arial"/>
          <w:color w:val="000000" w:themeColor="text1"/>
          <w:sz w:val="22"/>
          <w:szCs w:val="24"/>
          <w:lang w:val="es-ES_tradnl" w:eastAsia="es-ES_tradnl"/>
        </w:rPr>
        <w:t>aquellas participarán en las mismas condiciones que cualquier otro proponente o contratista, por lo que la entidad que dirige el proceso contractual realizará la publicidad respectiva en el SECOP. En efecto, la regulación establecida en la Circular está dirigida a las entidades q</w:t>
      </w:r>
      <w:r w:rsidR="00845807" w:rsidRPr="008E6190">
        <w:rPr>
          <w:rFonts w:ascii="Arial" w:eastAsia="Times New Roman" w:hAnsi="Arial" w:cs="Arial"/>
          <w:color w:val="000000" w:themeColor="text1"/>
          <w:sz w:val="22"/>
          <w:szCs w:val="24"/>
          <w:lang w:val="es-ES_tradnl" w:eastAsia="es-ES_tradnl"/>
        </w:rPr>
        <w:t>ue dirigen el proceso contractual, por lo que el hecho de que una entidad que cumpla con la excepción de publicidad señalada en el párrafo anterior y participe en un proceso contractual adelantado por una entidad estatal que sí debe realizar la publicidad en el SECOP, no hace que opere la excepción estudiada, en el entendido de que la entidad contratante sí debe cumplir con el deber general de publicidad.</w:t>
      </w:r>
    </w:p>
    <w:p w14:paraId="4090FA6E" w14:textId="509797FB" w:rsidR="000E78DC" w:rsidRPr="008E6190" w:rsidRDefault="00845807" w:rsidP="00D51EC8">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Lo anterior, además se fundamenta en que </w:t>
      </w:r>
      <w:r w:rsidR="00A20ABC" w:rsidRPr="008E6190">
        <w:rPr>
          <w:rFonts w:ascii="Arial" w:eastAsia="Times New Roman" w:hAnsi="Arial" w:cs="Arial"/>
          <w:color w:val="000000" w:themeColor="text1"/>
          <w:sz w:val="22"/>
          <w:szCs w:val="24"/>
          <w:lang w:val="es-ES_tradnl" w:eastAsia="es-ES_tradnl"/>
        </w:rPr>
        <w:t>el artículo 2.1.1.2.1.7. del Decreto 1081 de 2015</w:t>
      </w:r>
      <w:r w:rsidR="00F528CD" w:rsidRPr="008E6190">
        <w:rPr>
          <w:rStyle w:val="Refdenotaalpie"/>
          <w:rFonts w:ascii="Arial" w:eastAsia="Times New Roman" w:hAnsi="Arial" w:cs="Arial"/>
          <w:color w:val="000000" w:themeColor="text1"/>
          <w:sz w:val="22"/>
          <w:szCs w:val="24"/>
          <w:lang w:val="es-ES_tradnl" w:eastAsia="es-ES_tradnl"/>
        </w:rPr>
        <w:footnoteReference w:id="14"/>
      </w:r>
      <w:r w:rsidR="00A20ABC" w:rsidRPr="008E6190">
        <w:rPr>
          <w:rFonts w:ascii="Arial" w:eastAsia="Times New Roman" w:hAnsi="Arial" w:cs="Arial"/>
          <w:color w:val="000000" w:themeColor="text1"/>
          <w:sz w:val="22"/>
          <w:szCs w:val="24"/>
          <w:lang w:val="es-ES_tradnl" w:eastAsia="es-ES_tradnl"/>
        </w:rPr>
        <w:t xml:space="preserve">, al establecer que los sujetos que contratan con cargo a recursos públicos </w:t>
      </w:r>
      <w:r w:rsidR="000E0C13" w:rsidRPr="008E6190">
        <w:rPr>
          <w:rFonts w:ascii="Arial" w:eastAsia="Times New Roman" w:hAnsi="Arial" w:cs="Arial"/>
          <w:color w:val="000000" w:themeColor="text1"/>
          <w:sz w:val="22"/>
          <w:szCs w:val="24"/>
          <w:lang w:val="es-ES_tradnl" w:eastAsia="es-ES_tradnl"/>
        </w:rPr>
        <w:t xml:space="preserve">son los que </w:t>
      </w:r>
      <w:r w:rsidR="00A20ABC" w:rsidRPr="008E6190">
        <w:rPr>
          <w:rFonts w:ascii="Arial" w:eastAsia="Times New Roman" w:hAnsi="Arial" w:cs="Arial"/>
          <w:color w:val="000000" w:themeColor="text1"/>
          <w:sz w:val="22"/>
          <w:szCs w:val="24"/>
          <w:lang w:val="es-ES_tradnl" w:eastAsia="es-ES_tradnl"/>
        </w:rPr>
        <w:t>deben publicar la información de su gestión contractual, implica que</w:t>
      </w:r>
      <w:r w:rsidR="00063361" w:rsidRPr="008E6190">
        <w:rPr>
          <w:rFonts w:ascii="Arial" w:eastAsia="Times New Roman" w:hAnsi="Arial" w:cs="Arial"/>
          <w:color w:val="000000" w:themeColor="text1"/>
          <w:sz w:val="22"/>
          <w:szCs w:val="24"/>
          <w:lang w:val="es-ES_tradnl" w:eastAsia="es-ES_tradnl"/>
        </w:rPr>
        <w:t xml:space="preserve"> la publicidad de la información contractual es un deber de la entidad contratante, pues esta es la parte contractual que</w:t>
      </w:r>
      <w:r w:rsidR="00BF2182" w:rsidRPr="008E6190">
        <w:rPr>
          <w:rFonts w:ascii="Arial" w:eastAsia="Times New Roman" w:hAnsi="Arial" w:cs="Arial"/>
          <w:color w:val="000000" w:themeColor="text1"/>
          <w:sz w:val="22"/>
          <w:szCs w:val="24"/>
          <w:lang w:val="es-ES_tradnl" w:eastAsia="es-ES_tradnl"/>
        </w:rPr>
        <w:t xml:space="preserve">, en efecto, «contrata con cargo a </w:t>
      </w:r>
      <w:r w:rsidR="00063361" w:rsidRPr="008E6190">
        <w:rPr>
          <w:rFonts w:ascii="Arial" w:eastAsia="Times New Roman" w:hAnsi="Arial" w:cs="Arial"/>
          <w:color w:val="000000" w:themeColor="text1"/>
          <w:sz w:val="22"/>
          <w:szCs w:val="24"/>
          <w:lang w:val="es-ES_tradnl" w:eastAsia="es-ES_tradnl"/>
        </w:rPr>
        <w:t>recursos públicos</w:t>
      </w:r>
      <w:r w:rsidR="00BF2182" w:rsidRPr="008E6190">
        <w:rPr>
          <w:rFonts w:ascii="Arial" w:eastAsia="Times New Roman" w:hAnsi="Arial" w:cs="Arial"/>
          <w:color w:val="000000" w:themeColor="text1"/>
          <w:sz w:val="22"/>
          <w:szCs w:val="24"/>
          <w:lang w:val="es-ES_tradnl" w:eastAsia="es-ES_tradnl"/>
        </w:rPr>
        <w:t>»</w:t>
      </w:r>
      <w:r w:rsidR="00E71134" w:rsidRPr="008E6190">
        <w:rPr>
          <w:rFonts w:ascii="Arial" w:eastAsia="Times New Roman" w:hAnsi="Arial" w:cs="Arial"/>
          <w:color w:val="000000" w:themeColor="text1"/>
          <w:sz w:val="22"/>
          <w:szCs w:val="24"/>
          <w:lang w:val="es-ES_tradnl" w:eastAsia="es-ES_tradnl"/>
        </w:rPr>
        <w:t xml:space="preserve"> para la realización del objeto contractual</w:t>
      </w:r>
      <w:r w:rsidR="00063361" w:rsidRPr="008E6190">
        <w:rPr>
          <w:rFonts w:ascii="Arial" w:eastAsia="Times New Roman" w:hAnsi="Arial" w:cs="Arial"/>
          <w:color w:val="000000" w:themeColor="text1"/>
          <w:sz w:val="22"/>
          <w:szCs w:val="24"/>
          <w:lang w:val="es-ES_tradnl" w:eastAsia="es-ES_tradnl"/>
        </w:rPr>
        <w:t>.</w:t>
      </w:r>
      <w:r w:rsidR="00336B28" w:rsidRPr="008E6190">
        <w:rPr>
          <w:rFonts w:ascii="Arial" w:eastAsia="Times New Roman" w:hAnsi="Arial" w:cs="Arial"/>
          <w:color w:val="000000" w:themeColor="text1"/>
          <w:sz w:val="22"/>
          <w:szCs w:val="24"/>
          <w:lang w:val="es-ES_tradnl" w:eastAsia="es-ES_tradnl"/>
        </w:rPr>
        <w:t xml:space="preserve"> </w:t>
      </w:r>
      <w:r w:rsidR="00BF2182" w:rsidRPr="008E6190">
        <w:rPr>
          <w:rFonts w:ascii="Arial" w:eastAsia="Times New Roman" w:hAnsi="Arial" w:cs="Arial"/>
          <w:color w:val="000000" w:themeColor="text1"/>
          <w:sz w:val="22"/>
          <w:szCs w:val="24"/>
          <w:lang w:val="es-ES_tradnl" w:eastAsia="es-ES_tradnl"/>
        </w:rPr>
        <w:t>De igual forma</w:t>
      </w:r>
      <w:r w:rsidR="00E71134" w:rsidRPr="008E6190">
        <w:rPr>
          <w:rFonts w:ascii="Arial" w:eastAsia="Times New Roman" w:hAnsi="Arial" w:cs="Arial"/>
          <w:color w:val="000000" w:themeColor="text1"/>
          <w:sz w:val="22"/>
          <w:szCs w:val="24"/>
          <w:lang w:val="es-ES_tradnl" w:eastAsia="es-ES_tradnl"/>
        </w:rPr>
        <w:t xml:space="preserve">, </w:t>
      </w:r>
      <w:r w:rsidR="004B7089" w:rsidRPr="008E6190">
        <w:rPr>
          <w:rFonts w:ascii="Arial" w:eastAsia="Times New Roman" w:hAnsi="Arial" w:cs="Arial"/>
          <w:color w:val="000000" w:themeColor="text1"/>
          <w:sz w:val="22"/>
          <w:szCs w:val="24"/>
          <w:lang w:val="es-ES_tradnl" w:eastAsia="es-ES_tradnl"/>
        </w:rPr>
        <w:t xml:space="preserve">el Consejo de Estado ha explicado que el principio de publicidad, </w:t>
      </w:r>
      <w:r w:rsidR="00277EAD" w:rsidRPr="008E6190">
        <w:rPr>
          <w:rFonts w:ascii="Arial" w:eastAsia="Times New Roman" w:hAnsi="Arial" w:cs="Arial"/>
          <w:color w:val="000000" w:themeColor="text1"/>
          <w:sz w:val="22"/>
          <w:szCs w:val="24"/>
          <w:lang w:val="es-ES_tradnl" w:eastAsia="es-ES_tradnl"/>
        </w:rPr>
        <w:t>cuando se manifiesta como un deber de la administración</w:t>
      </w:r>
      <w:r w:rsidR="004B7089" w:rsidRPr="008E6190">
        <w:rPr>
          <w:rFonts w:ascii="Arial" w:eastAsia="Times New Roman" w:hAnsi="Arial" w:cs="Arial"/>
          <w:color w:val="000000" w:themeColor="text1"/>
          <w:sz w:val="22"/>
          <w:szCs w:val="24"/>
          <w:lang w:val="es-ES_tradnl" w:eastAsia="es-ES_tradnl"/>
        </w:rPr>
        <w:t xml:space="preserve">, se </w:t>
      </w:r>
      <w:r w:rsidR="00336B28" w:rsidRPr="008E6190">
        <w:rPr>
          <w:rFonts w:ascii="Arial" w:eastAsia="Times New Roman" w:hAnsi="Arial" w:cs="Arial"/>
          <w:color w:val="000000" w:themeColor="text1"/>
          <w:sz w:val="22"/>
          <w:szCs w:val="24"/>
          <w:lang w:val="es-ES_tradnl" w:eastAsia="es-ES_tradnl"/>
        </w:rPr>
        <w:t xml:space="preserve">dirige </w:t>
      </w:r>
      <w:r w:rsidR="004B7089" w:rsidRPr="008E6190">
        <w:rPr>
          <w:rFonts w:ascii="Arial" w:eastAsia="Times New Roman" w:hAnsi="Arial" w:cs="Arial"/>
          <w:color w:val="000000" w:themeColor="text1"/>
          <w:sz w:val="22"/>
          <w:szCs w:val="24"/>
          <w:lang w:val="es-ES_tradnl" w:eastAsia="es-ES_tradnl"/>
        </w:rPr>
        <w:t>a la publicación</w:t>
      </w:r>
      <w:r w:rsidR="000E78DC" w:rsidRPr="008E6190">
        <w:rPr>
          <w:rFonts w:ascii="Arial" w:eastAsia="Times New Roman" w:hAnsi="Arial" w:cs="Arial"/>
          <w:color w:val="000000" w:themeColor="text1"/>
          <w:sz w:val="22"/>
          <w:szCs w:val="24"/>
          <w:lang w:val="es-ES_tradnl" w:eastAsia="es-ES_tradnl"/>
        </w:rPr>
        <w:t xml:space="preserve"> de la información contractual</w:t>
      </w:r>
      <w:r w:rsidR="004B7089" w:rsidRPr="008E6190">
        <w:rPr>
          <w:rFonts w:ascii="Arial" w:eastAsia="Times New Roman" w:hAnsi="Arial" w:cs="Arial"/>
          <w:color w:val="000000" w:themeColor="text1"/>
          <w:sz w:val="22"/>
          <w:szCs w:val="24"/>
          <w:lang w:val="es-ES_tradnl" w:eastAsia="es-ES_tradnl"/>
        </w:rPr>
        <w:t xml:space="preserve"> </w:t>
      </w:r>
      <w:r w:rsidR="00277EAD" w:rsidRPr="008E6190">
        <w:rPr>
          <w:rFonts w:ascii="Arial" w:eastAsia="Times New Roman" w:hAnsi="Arial" w:cs="Arial"/>
          <w:color w:val="000000" w:themeColor="text1"/>
          <w:sz w:val="22"/>
          <w:szCs w:val="24"/>
          <w:lang w:val="es-ES_tradnl" w:eastAsia="es-ES_tradnl"/>
        </w:rPr>
        <w:t>de las</w:t>
      </w:r>
      <w:r w:rsidR="004B7089" w:rsidRPr="008E6190">
        <w:rPr>
          <w:rFonts w:ascii="Arial" w:eastAsia="Times New Roman" w:hAnsi="Arial" w:cs="Arial"/>
          <w:color w:val="000000" w:themeColor="text1"/>
          <w:sz w:val="22"/>
          <w:szCs w:val="24"/>
          <w:lang w:val="es-ES_tradnl" w:eastAsia="es-ES_tradnl"/>
        </w:rPr>
        <w:t xml:space="preserve"> entidades contratantes. De este modo, indica lo siguiente</w:t>
      </w:r>
      <w:r w:rsidR="000E78DC" w:rsidRPr="008E6190">
        <w:rPr>
          <w:rFonts w:ascii="Arial" w:eastAsia="Times New Roman" w:hAnsi="Arial" w:cs="Arial"/>
          <w:color w:val="000000" w:themeColor="text1"/>
          <w:sz w:val="22"/>
          <w:szCs w:val="24"/>
          <w:lang w:val="es-ES_tradnl" w:eastAsia="es-ES_tradnl"/>
        </w:rPr>
        <w:t>:</w:t>
      </w:r>
    </w:p>
    <w:p w14:paraId="30241C96" w14:textId="48E89072" w:rsidR="00A20ABC" w:rsidRPr="001C58F8" w:rsidRDefault="000E78DC" w:rsidP="00277EAD">
      <w:pPr>
        <w:spacing w:after="120"/>
        <w:ind w:left="709" w:right="709"/>
        <w:jc w:val="both"/>
        <w:rPr>
          <w:rFonts w:ascii="Arial" w:eastAsia="Times New Roman" w:hAnsi="Arial" w:cs="Arial"/>
          <w:color w:val="000000" w:themeColor="text1"/>
          <w:sz w:val="21"/>
          <w:szCs w:val="21"/>
          <w:lang w:val="es-ES_tradnl" w:eastAsia="es-ES_tradnl"/>
        </w:rPr>
      </w:pPr>
      <w:r w:rsidRPr="001C58F8">
        <w:rPr>
          <w:rFonts w:ascii="Arial" w:eastAsia="Times New Roman" w:hAnsi="Arial" w:cs="Arial"/>
          <w:color w:val="000000" w:themeColor="text1"/>
          <w:sz w:val="21"/>
          <w:szCs w:val="21"/>
          <w:lang w:val="es-ES_tradnl" w:eastAsia="es-ES_tradnl"/>
        </w:rPr>
        <w:t xml:space="preserve">Por una parte, </w:t>
      </w:r>
      <w:r w:rsidR="00277EAD" w:rsidRPr="001C58F8">
        <w:rPr>
          <w:rFonts w:ascii="Arial" w:eastAsia="Times New Roman" w:hAnsi="Arial" w:cs="Arial"/>
          <w:color w:val="000000" w:themeColor="text1"/>
          <w:sz w:val="21"/>
          <w:szCs w:val="21"/>
          <w:lang w:val="es-ES_tradnl" w:eastAsia="es-ES_tradnl"/>
        </w:rPr>
        <w:t xml:space="preserve">[el principio de publicidad] </w:t>
      </w:r>
      <w:r w:rsidRPr="001C58F8">
        <w:rPr>
          <w:rFonts w:ascii="Arial" w:eastAsia="Times New Roman" w:hAnsi="Arial" w:cs="Arial"/>
          <w:color w:val="000000" w:themeColor="text1"/>
          <w:sz w:val="21"/>
          <w:szCs w:val="21"/>
          <w:lang w:val="es-ES_tradnl" w:eastAsia="es-ES_tradnl"/>
        </w:rPr>
        <w:t xml:space="preserve">se trata del deber que tienen las </w:t>
      </w:r>
      <w:r w:rsidRPr="001C58F8">
        <w:rPr>
          <w:rFonts w:ascii="Arial" w:eastAsia="Times New Roman" w:hAnsi="Arial" w:cs="Arial"/>
          <w:i/>
          <w:iCs/>
          <w:color w:val="000000" w:themeColor="text1"/>
          <w:sz w:val="21"/>
          <w:szCs w:val="21"/>
          <w:lang w:val="es-ES_tradnl" w:eastAsia="es-ES_tradnl"/>
        </w:rPr>
        <w:t>entidades contratantes</w:t>
      </w:r>
      <w:r w:rsidRPr="001C58F8">
        <w:rPr>
          <w:rFonts w:ascii="Arial" w:eastAsia="Times New Roman" w:hAnsi="Arial" w:cs="Arial"/>
          <w:color w:val="000000" w:themeColor="text1"/>
          <w:sz w:val="21"/>
          <w:szCs w:val="21"/>
          <w:lang w:val="es-ES_tradnl" w:eastAsia="es-ES_tradnl"/>
        </w:rPr>
        <w:t xml:space="preserve"> de comunicar a los administrados la totalidad de las actuaciones que realizan dentro de los procesos de selección de sus contratistas. Ello no podría ser de otro modo, pues la publicación generalizada de la información referida a los procesos de contratación que adelantan las entidades del Estado es la que permite que a los mismos asistan todas aquellas personas interesadas en la ejecución de los proyectos allí tratados y que toda la </w:t>
      </w:r>
      <w:r w:rsidRPr="001C58F8">
        <w:rPr>
          <w:rFonts w:ascii="Arial" w:eastAsia="Times New Roman" w:hAnsi="Arial" w:cs="Arial"/>
          <w:color w:val="000000" w:themeColor="text1"/>
          <w:sz w:val="21"/>
          <w:szCs w:val="21"/>
          <w:lang w:val="es-ES_tradnl" w:eastAsia="es-ES_tradnl"/>
        </w:rPr>
        <w:lastRenderedPageBreak/>
        <w:t>ciudadanía tenga la posibilidad de conocer la actividad contractual de la Administración, como garantía de transparencia.</w:t>
      </w:r>
      <w:r w:rsidR="00277EAD" w:rsidRPr="001C58F8">
        <w:rPr>
          <w:rStyle w:val="Refdenotaalpie"/>
          <w:rFonts w:ascii="Arial" w:eastAsia="Times New Roman" w:hAnsi="Arial" w:cs="Arial"/>
          <w:color w:val="000000" w:themeColor="text1"/>
          <w:sz w:val="21"/>
          <w:szCs w:val="21"/>
          <w:lang w:val="es-ES_tradnl" w:eastAsia="es-ES_tradnl"/>
        </w:rPr>
        <w:footnoteReference w:id="15"/>
      </w:r>
      <w:r w:rsidRPr="001C58F8">
        <w:rPr>
          <w:rFonts w:ascii="Arial" w:eastAsia="Times New Roman" w:hAnsi="Arial" w:cs="Arial"/>
          <w:color w:val="000000" w:themeColor="text1"/>
          <w:sz w:val="21"/>
          <w:szCs w:val="21"/>
          <w:lang w:val="es-ES_tradnl" w:eastAsia="es-ES_tradnl"/>
        </w:rPr>
        <w:t xml:space="preserve"> (Énfasis por fuera de texto) </w:t>
      </w:r>
    </w:p>
    <w:p w14:paraId="7716B5BB" w14:textId="3A8E397D" w:rsidR="00417712" w:rsidRPr="008E6190" w:rsidRDefault="00417712" w:rsidP="000E0C13">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 xml:space="preserve">Como se observa del aparte citado, el sujeto obligado a publicar su actividad contractual es la entidad contratante, pues </w:t>
      </w:r>
      <w:r w:rsidR="00DD0C0A" w:rsidRPr="008E6190">
        <w:rPr>
          <w:rFonts w:ascii="Arial" w:eastAsia="Times New Roman" w:hAnsi="Arial" w:cs="Arial"/>
          <w:color w:val="000000" w:themeColor="text1"/>
          <w:sz w:val="22"/>
          <w:szCs w:val="24"/>
          <w:lang w:val="es-ES_tradnl" w:eastAsia="es-ES_tradnl"/>
        </w:rPr>
        <w:t>al ser la parte que desarrolla el proceso de contratación</w:t>
      </w:r>
      <w:r w:rsidR="000E76E1" w:rsidRPr="008E6190">
        <w:rPr>
          <w:rFonts w:ascii="Arial" w:eastAsia="Times New Roman" w:hAnsi="Arial" w:cs="Arial"/>
          <w:color w:val="000000" w:themeColor="text1"/>
          <w:sz w:val="22"/>
          <w:szCs w:val="24"/>
          <w:lang w:val="es-ES_tradnl" w:eastAsia="es-ES_tradnl"/>
        </w:rPr>
        <w:t>, está obligada a</w:t>
      </w:r>
      <w:r w:rsidR="00DD0C0A" w:rsidRPr="008E6190">
        <w:rPr>
          <w:rFonts w:ascii="Arial" w:eastAsia="Times New Roman" w:hAnsi="Arial" w:cs="Arial"/>
          <w:color w:val="000000" w:themeColor="text1"/>
          <w:sz w:val="22"/>
          <w:szCs w:val="24"/>
          <w:lang w:val="es-ES_tradnl" w:eastAsia="es-ES_tradnl"/>
        </w:rPr>
        <w:t xml:space="preserve"> </w:t>
      </w:r>
      <w:r w:rsidR="00BF2182" w:rsidRPr="008E6190">
        <w:rPr>
          <w:rFonts w:ascii="Arial" w:eastAsia="Times New Roman" w:hAnsi="Arial" w:cs="Arial"/>
          <w:color w:val="000000" w:themeColor="text1"/>
          <w:sz w:val="22"/>
          <w:szCs w:val="24"/>
          <w:lang w:val="es-ES_tradnl" w:eastAsia="es-ES_tradnl"/>
        </w:rPr>
        <w:t>brindar información sobre</w:t>
      </w:r>
      <w:r w:rsidR="00DD0C0A" w:rsidRPr="008E6190">
        <w:rPr>
          <w:rFonts w:ascii="Arial" w:eastAsia="Times New Roman" w:hAnsi="Arial" w:cs="Arial"/>
          <w:color w:val="000000" w:themeColor="text1"/>
          <w:sz w:val="22"/>
          <w:szCs w:val="24"/>
          <w:lang w:val="es-ES_tradnl" w:eastAsia="es-ES_tradnl"/>
        </w:rPr>
        <w:t xml:space="preserve"> </w:t>
      </w:r>
      <w:r w:rsidR="00BF2182" w:rsidRPr="008E6190">
        <w:rPr>
          <w:rFonts w:ascii="Arial" w:eastAsia="Times New Roman" w:hAnsi="Arial" w:cs="Arial"/>
          <w:color w:val="000000" w:themeColor="text1"/>
          <w:sz w:val="22"/>
          <w:szCs w:val="24"/>
          <w:lang w:val="es-ES_tradnl" w:eastAsia="es-ES_tradnl"/>
        </w:rPr>
        <w:t>e</w:t>
      </w:r>
      <w:r w:rsidR="00DD0C0A" w:rsidRPr="008E6190">
        <w:rPr>
          <w:rFonts w:ascii="Arial" w:eastAsia="Times New Roman" w:hAnsi="Arial" w:cs="Arial"/>
          <w:color w:val="000000" w:themeColor="text1"/>
          <w:sz w:val="22"/>
          <w:szCs w:val="24"/>
          <w:lang w:val="es-ES_tradnl" w:eastAsia="es-ES_tradnl"/>
        </w:rPr>
        <w:t>l proyecto que pretende contratar</w:t>
      </w:r>
      <w:r w:rsidR="000E76E1" w:rsidRPr="008E6190">
        <w:rPr>
          <w:rFonts w:ascii="Arial" w:eastAsia="Times New Roman" w:hAnsi="Arial" w:cs="Arial"/>
          <w:color w:val="000000" w:themeColor="text1"/>
          <w:sz w:val="22"/>
          <w:szCs w:val="24"/>
          <w:lang w:val="es-ES_tradnl" w:eastAsia="es-ES_tradnl"/>
        </w:rPr>
        <w:t xml:space="preserve">. Lo anterior, con el fin de </w:t>
      </w:r>
      <w:r w:rsidR="00DD0C0A" w:rsidRPr="008E6190">
        <w:rPr>
          <w:rFonts w:ascii="Arial" w:eastAsia="Times New Roman" w:hAnsi="Arial" w:cs="Arial"/>
          <w:color w:val="000000" w:themeColor="text1"/>
          <w:sz w:val="22"/>
          <w:szCs w:val="24"/>
          <w:lang w:val="es-ES_tradnl" w:eastAsia="es-ES_tradnl"/>
        </w:rPr>
        <w:t xml:space="preserve">que </w:t>
      </w:r>
      <w:r w:rsidR="000E76E1" w:rsidRPr="008E6190">
        <w:rPr>
          <w:rFonts w:ascii="Arial" w:eastAsia="Times New Roman" w:hAnsi="Arial" w:cs="Arial"/>
          <w:color w:val="000000" w:themeColor="text1"/>
          <w:sz w:val="22"/>
          <w:szCs w:val="24"/>
          <w:lang w:val="es-ES_tradnl" w:eastAsia="es-ES_tradnl"/>
        </w:rPr>
        <w:t>las</w:t>
      </w:r>
      <w:r w:rsidR="00DD0C0A" w:rsidRPr="008E6190">
        <w:rPr>
          <w:rFonts w:ascii="Arial" w:eastAsia="Times New Roman" w:hAnsi="Arial" w:cs="Arial"/>
          <w:color w:val="000000" w:themeColor="text1"/>
          <w:sz w:val="22"/>
          <w:szCs w:val="24"/>
          <w:lang w:val="es-ES_tradnl" w:eastAsia="es-ES_tradnl"/>
        </w:rPr>
        <w:t xml:space="preserve"> personas interesadas puedan participar</w:t>
      </w:r>
      <w:r w:rsidR="000E76E1" w:rsidRPr="008E6190">
        <w:rPr>
          <w:rFonts w:ascii="Arial" w:eastAsia="Times New Roman" w:hAnsi="Arial" w:cs="Arial"/>
          <w:color w:val="000000" w:themeColor="text1"/>
          <w:sz w:val="22"/>
          <w:szCs w:val="24"/>
          <w:lang w:val="es-ES_tradnl" w:eastAsia="es-ES_tradnl"/>
        </w:rPr>
        <w:t xml:space="preserve"> en el proceso de selección</w:t>
      </w:r>
      <w:r w:rsidR="00DD0C0A" w:rsidRPr="008E6190">
        <w:rPr>
          <w:rFonts w:ascii="Arial" w:eastAsia="Times New Roman" w:hAnsi="Arial" w:cs="Arial"/>
          <w:color w:val="000000" w:themeColor="text1"/>
          <w:sz w:val="22"/>
          <w:szCs w:val="24"/>
          <w:lang w:val="es-ES_tradnl" w:eastAsia="es-ES_tradnl"/>
        </w:rPr>
        <w:t xml:space="preserve"> y toda la ciudadanía tenga la posibilidad de conocer la actividad contractual de la Administración</w:t>
      </w:r>
      <w:r w:rsidR="000E76E1" w:rsidRPr="008E6190">
        <w:rPr>
          <w:rFonts w:ascii="Arial" w:eastAsia="Times New Roman" w:hAnsi="Arial" w:cs="Arial"/>
          <w:color w:val="000000" w:themeColor="text1"/>
          <w:sz w:val="22"/>
          <w:szCs w:val="24"/>
          <w:lang w:val="es-ES_tradnl" w:eastAsia="es-ES_tradnl"/>
        </w:rPr>
        <w:t>.</w:t>
      </w:r>
      <w:r w:rsidRPr="008E6190">
        <w:rPr>
          <w:rFonts w:ascii="Arial" w:eastAsia="Times New Roman" w:hAnsi="Arial" w:cs="Arial"/>
          <w:color w:val="000000" w:themeColor="text1"/>
          <w:sz w:val="22"/>
          <w:szCs w:val="24"/>
          <w:lang w:val="es-ES_tradnl" w:eastAsia="es-ES_tradnl"/>
        </w:rPr>
        <w:t xml:space="preserve"> </w:t>
      </w:r>
    </w:p>
    <w:p w14:paraId="333F059B" w14:textId="02E740D6" w:rsidR="00063361" w:rsidRPr="008E6190" w:rsidRDefault="00BF2182" w:rsidP="000E0C13">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Finalmente</w:t>
      </w:r>
      <w:r w:rsidR="00063361" w:rsidRPr="008E6190">
        <w:rPr>
          <w:rFonts w:ascii="Arial" w:eastAsia="Times New Roman" w:hAnsi="Arial" w:cs="Arial"/>
          <w:color w:val="000000" w:themeColor="text1"/>
          <w:sz w:val="22"/>
          <w:szCs w:val="24"/>
          <w:lang w:val="es-ES_tradnl" w:eastAsia="es-ES_tradnl"/>
        </w:rPr>
        <w:t xml:space="preserve">, de una interpretación sistemática de la normativa del sistema de compras públicas, se evidencia que el deber de publicidad </w:t>
      </w:r>
      <w:r w:rsidR="00336B28" w:rsidRPr="008E6190">
        <w:rPr>
          <w:rFonts w:ascii="Arial" w:eastAsia="Times New Roman" w:hAnsi="Arial" w:cs="Arial"/>
          <w:color w:val="000000" w:themeColor="text1"/>
          <w:sz w:val="22"/>
          <w:szCs w:val="24"/>
          <w:lang w:val="es-ES_tradnl" w:eastAsia="es-ES_tradnl"/>
        </w:rPr>
        <w:t xml:space="preserve">se dirige a </w:t>
      </w:r>
      <w:r w:rsidR="00063361" w:rsidRPr="008E6190">
        <w:rPr>
          <w:rFonts w:ascii="Arial" w:eastAsia="Times New Roman" w:hAnsi="Arial" w:cs="Arial"/>
          <w:color w:val="000000" w:themeColor="text1"/>
          <w:sz w:val="22"/>
          <w:szCs w:val="24"/>
          <w:lang w:val="es-ES_tradnl" w:eastAsia="es-ES_tradnl"/>
        </w:rPr>
        <w:t xml:space="preserve">la entidad contratante. </w:t>
      </w:r>
      <w:r w:rsidR="000E0C13" w:rsidRPr="008E6190">
        <w:rPr>
          <w:rFonts w:ascii="Arial" w:eastAsia="Times New Roman" w:hAnsi="Arial" w:cs="Arial"/>
          <w:color w:val="000000" w:themeColor="text1"/>
          <w:sz w:val="22"/>
          <w:szCs w:val="24"/>
          <w:lang w:val="es-ES_tradnl" w:eastAsia="es-ES_tradnl"/>
        </w:rPr>
        <w:t>En efecto,</w:t>
      </w:r>
      <w:r w:rsidR="00092D98" w:rsidRPr="008E6190">
        <w:rPr>
          <w:rFonts w:ascii="Arial" w:eastAsia="Times New Roman" w:hAnsi="Arial" w:cs="Arial"/>
          <w:color w:val="000000" w:themeColor="text1"/>
          <w:sz w:val="22"/>
          <w:szCs w:val="24"/>
          <w:lang w:val="es-ES_tradnl" w:eastAsia="es-ES_tradnl"/>
        </w:rPr>
        <w:t xml:space="preserve"> el artículo 2.2.1.1.1.7.1. del Decreto 1082 de 2015</w:t>
      </w:r>
      <w:r w:rsidR="00A538E0" w:rsidRPr="008E6190">
        <w:rPr>
          <w:rFonts w:ascii="Arial" w:eastAsia="Times New Roman" w:hAnsi="Arial" w:cs="Arial"/>
          <w:color w:val="000000" w:themeColor="text1"/>
          <w:sz w:val="22"/>
          <w:szCs w:val="24"/>
          <w:lang w:val="es-ES_tradnl" w:eastAsia="es-ES_tradnl"/>
        </w:rPr>
        <w:t xml:space="preserve"> </w:t>
      </w:r>
      <w:r w:rsidR="00092D98" w:rsidRPr="008E6190">
        <w:rPr>
          <w:rFonts w:ascii="Arial" w:eastAsia="Times New Roman" w:hAnsi="Arial" w:cs="Arial"/>
          <w:color w:val="000000" w:themeColor="text1"/>
          <w:sz w:val="22"/>
          <w:szCs w:val="24"/>
          <w:lang w:val="es-ES_tradnl" w:eastAsia="es-ES_tradnl"/>
        </w:rPr>
        <w:t>al establecer que «La Entidad Estatal está obligada a publicar en el SECOP los Documentos del Proceso y los actos administrativos del Proceso de Contratación, dentro de los tres (3) días siguientes a su expedición», se refiere a una actuación de la entidad contratante, pues l</w:t>
      </w:r>
      <w:r w:rsidR="00DD0C0A" w:rsidRPr="008E6190">
        <w:rPr>
          <w:rFonts w:ascii="Arial" w:eastAsia="Times New Roman" w:hAnsi="Arial" w:cs="Arial"/>
          <w:color w:val="000000" w:themeColor="text1"/>
          <w:sz w:val="22"/>
          <w:szCs w:val="24"/>
          <w:lang w:val="es-ES_tradnl" w:eastAsia="es-ES_tradnl"/>
        </w:rPr>
        <w:t>a definición de</w:t>
      </w:r>
      <w:r w:rsidR="00092D98" w:rsidRPr="008E6190">
        <w:rPr>
          <w:rFonts w:ascii="Arial" w:eastAsia="Times New Roman" w:hAnsi="Arial" w:cs="Arial"/>
          <w:color w:val="000000" w:themeColor="text1"/>
          <w:sz w:val="22"/>
          <w:szCs w:val="24"/>
          <w:lang w:val="es-ES_tradnl" w:eastAsia="es-ES_tradnl"/>
        </w:rPr>
        <w:t xml:space="preserve"> «Documentos del Proceso»</w:t>
      </w:r>
      <w:r w:rsidR="00DD0C0A" w:rsidRPr="008E6190">
        <w:rPr>
          <w:rFonts w:ascii="Arial" w:eastAsia="Times New Roman" w:hAnsi="Arial" w:cs="Arial"/>
          <w:color w:val="000000" w:themeColor="text1"/>
          <w:sz w:val="22"/>
          <w:szCs w:val="24"/>
          <w:lang w:val="es-ES_tradnl" w:eastAsia="es-ES_tradnl"/>
        </w:rPr>
        <w:t xml:space="preserve"> del artículo 2.2.1.1.1.3.1. </w:t>
      </w:r>
      <w:proofErr w:type="spellStart"/>
      <w:r w:rsidR="00DD0C0A" w:rsidRPr="008E6190">
        <w:rPr>
          <w:rFonts w:ascii="Arial" w:eastAsia="Times New Roman" w:hAnsi="Arial" w:cs="Arial"/>
          <w:i/>
          <w:iCs/>
          <w:color w:val="000000" w:themeColor="text1"/>
          <w:sz w:val="22"/>
          <w:szCs w:val="24"/>
          <w:lang w:val="es-ES_tradnl" w:eastAsia="es-ES_tradnl"/>
        </w:rPr>
        <w:t>Ibídem</w:t>
      </w:r>
      <w:proofErr w:type="spellEnd"/>
      <w:r w:rsidR="000E76E1" w:rsidRPr="008E6190">
        <w:rPr>
          <w:rStyle w:val="Refdenotaalpie"/>
          <w:rFonts w:ascii="Arial" w:eastAsia="Times New Roman" w:hAnsi="Arial" w:cs="Arial"/>
          <w:i/>
          <w:iCs/>
          <w:color w:val="000000" w:themeColor="text1"/>
          <w:sz w:val="22"/>
          <w:szCs w:val="24"/>
          <w:lang w:val="es-ES_tradnl" w:eastAsia="es-ES_tradnl"/>
        </w:rPr>
        <w:footnoteReference w:id="16"/>
      </w:r>
      <w:r w:rsidR="00092D98" w:rsidRPr="008E6190">
        <w:rPr>
          <w:rFonts w:ascii="Arial" w:eastAsia="Times New Roman" w:hAnsi="Arial" w:cs="Arial"/>
          <w:color w:val="000000" w:themeColor="text1"/>
          <w:sz w:val="22"/>
          <w:szCs w:val="24"/>
          <w:lang w:val="es-ES_tradnl" w:eastAsia="es-ES_tradnl"/>
        </w:rPr>
        <w:t>,</w:t>
      </w:r>
      <w:r w:rsidR="00DD0C0A" w:rsidRPr="008E6190">
        <w:rPr>
          <w:rFonts w:ascii="Arial" w:eastAsia="Times New Roman" w:hAnsi="Arial" w:cs="Arial"/>
          <w:color w:val="000000" w:themeColor="text1"/>
          <w:sz w:val="22"/>
          <w:szCs w:val="24"/>
          <w:lang w:val="es-ES_tradnl" w:eastAsia="es-ES_tradnl"/>
        </w:rPr>
        <w:t xml:space="preserve"> se refiere </w:t>
      </w:r>
      <w:r w:rsidR="00092D98" w:rsidRPr="008E6190">
        <w:rPr>
          <w:rFonts w:ascii="Arial" w:eastAsia="Times New Roman" w:hAnsi="Arial" w:cs="Arial"/>
          <w:color w:val="000000" w:themeColor="text1"/>
          <w:sz w:val="22"/>
          <w:szCs w:val="24"/>
          <w:lang w:val="es-ES_tradnl" w:eastAsia="es-ES_tradnl"/>
        </w:rPr>
        <w:t>a</w:t>
      </w:r>
      <w:r w:rsidR="00A538E0" w:rsidRPr="008E6190">
        <w:rPr>
          <w:rFonts w:ascii="Arial" w:eastAsia="Times New Roman" w:hAnsi="Arial" w:cs="Arial"/>
          <w:color w:val="000000" w:themeColor="text1"/>
          <w:sz w:val="22"/>
          <w:szCs w:val="24"/>
          <w:lang w:val="es-ES_tradnl" w:eastAsia="es-ES_tradnl"/>
        </w:rPr>
        <w:t xml:space="preserve"> los</w:t>
      </w:r>
      <w:r w:rsidR="00092D98" w:rsidRPr="008E6190">
        <w:rPr>
          <w:rFonts w:ascii="Arial" w:eastAsia="Times New Roman" w:hAnsi="Arial" w:cs="Arial"/>
          <w:color w:val="000000" w:themeColor="text1"/>
          <w:sz w:val="22"/>
          <w:szCs w:val="24"/>
          <w:lang w:val="es-ES_tradnl" w:eastAsia="es-ES_tradnl"/>
        </w:rPr>
        <w:t xml:space="preserve"> documentos elaborados por la entidad contratante</w:t>
      </w:r>
      <w:r w:rsidR="00DD0C0A" w:rsidRPr="008E6190">
        <w:rPr>
          <w:rFonts w:ascii="Arial" w:eastAsia="Times New Roman" w:hAnsi="Arial" w:cs="Arial"/>
          <w:color w:val="000000" w:themeColor="text1"/>
          <w:sz w:val="22"/>
          <w:szCs w:val="24"/>
          <w:lang w:val="es-ES_tradnl" w:eastAsia="es-ES_tradnl"/>
        </w:rPr>
        <w:t xml:space="preserve">, con excepción de la oferta, la cual no debe publicar la entidad </w:t>
      </w:r>
      <w:r w:rsidR="00A538E0" w:rsidRPr="008E6190">
        <w:rPr>
          <w:rFonts w:ascii="Arial" w:eastAsia="Times New Roman" w:hAnsi="Arial" w:cs="Arial"/>
          <w:color w:val="000000" w:themeColor="text1"/>
          <w:sz w:val="22"/>
          <w:szCs w:val="24"/>
          <w:lang w:val="es-ES_tradnl" w:eastAsia="es-ES_tradnl"/>
        </w:rPr>
        <w:t xml:space="preserve">contratante, </w:t>
      </w:r>
      <w:r w:rsidR="00DD0C0A" w:rsidRPr="008E6190">
        <w:rPr>
          <w:rFonts w:ascii="Arial" w:eastAsia="Times New Roman" w:hAnsi="Arial" w:cs="Arial"/>
          <w:color w:val="000000" w:themeColor="text1"/>
          <w:sz w:val="22"/>
          <w:szCs w:val="24"/>
          <w:lang w:val="es-ES_tradnl" w:eastAsia="es-ES_tradnl"/>
        </w:rPr>
        <w:t xml:space="preserve">a menos que </w:t>
      </w:r>
      <w:r w:rsidR="00A538E0" w:rsidRPr="008E6190">
        <w:rPr>
          <w:rFonts w:ascii="Arial" w:eastAsia="Times New Roman" w:hAnsi="Arial" w:cs="Arial"/>
          <w:color w:val="000000" w:themeColor="text1"/>
          <w:sz w:val="22"/>
          <w:szCs w:val="24"/>
          <w:lang w:val="es-ES_tradnl" w:eastAsia="es-ES_tradnl"/>
        </w:rPr>
        <w:t>sea la oferta del adjudicatario</w:t>
      </w:r>
      <w:r w:rsidR="00A12A00" w:rsidRPr="008E6190">
        <w:rPr>
          <w:rFonts w:ascii="Arial" w:eastAsia="Times New Roman" w:hAnsi="Arial" w:cs="Arial"/>
          <w:color w:val="000000" w:themeColor="text1"/>
          <w:sz w:val="22"/>
          <w:szCs w:val="24"/>
          <w:lang w:val="es-ES_tradnl" w:eastAsia="es-ES_tradnl"/>
        </w:rPr>
        <w:t xml:space="preserve"> –</w:t>
      </w:r>
      <w:r w:rsidR="00A04FAB" w:rsidRPr="008E6190">
        <w:t xml:space="preserve"> </w:t>
      </w:r>
      <w:r w:rsidR="00A04FAB" w:rsidRPr="008E6190">
        <w:rPr>
          <w:rFonts w:ascii="Arial" w:eastAsia="Times New Roman" w:hAnsi="Arial" w:cs="Arial"/>
          <w:color w:val="000000" w:themeColor="text1"/>
          <w:sz w:val="22"/>
          <w:szCs w:val="24"/>
          <w:lang w:val="es-ES_tradnl" w:eastAsia="es-ES_tradnl"/>
        </w:rPr>
        <w:t>artículo 2.2.1.1.1.7.1.–.</w:t>
      </w:r>
      <w:r w:rsidR="00092D98" w:rsidRPr="008E6190">
        <w:rPr>
          <w:rFonts w:ascii="Arial" w:eastAsia="Times New Roman" w:hAnsi="Arial" w:cs="Arial"/>
          <w:color w:val="000000" w:themeColor="text1"/>
          <w:sz w:val="22"/>
          <w:szCs w:val="24"/>
          <w:lang w:val="es-ES_tradnl" w:eastAsia="es-ES_tradnl"/>
        </w:rPr>
        <w:t xml:space="preserve"> </w:t>
      </w:r>
    </w:p>
    <w:p w14:paraId="34DD79E3" w14:textId="36EF32B7" w:rsidR="00962385" w:rsidRPr="008E6190" w:rsidRDefault="00962385" w:rsidP="000E0C13">
      <w:pPr>
        <w:spacing w:after="120" w:line="276" w:lineRule="auto"/>
        <w:ind w:firstLine="709"/>
        <w:jc w:val="both"/>
        <w:rPr>
          <w:rFonts w:ascii="Arial" w:eastAsia="Times New Roman" w:hAnsi="Arial" w:cs="Arial"/>
          <w:color w:val="000000" w:themeColor="text1"/>
          <w:sz w:val="22"/>
          <w:szCs w:val="24"/>
          <w:lang w:eastAsia="es-ES_tradnl"/>
        </w:rPr>
      </w:pPr>
      <w:r w:rsidRPr="008E6190">
        <w:rPr>
          <w:rFonts w:ascii="Arial" w:eastAsia="Times New Roman" w:hAnsi="Arial" w:cs="Arial"/>
          <w:color w:val="000000" w:themeColor="text1"/>
          <w:sz w:val="22"/>
          <w:szCs w:val="24"/>
          <w:lang w:val="es-ES_tradnl" w:eastAsia="es-ES_tradnl"/>
        </w:rPr>
        <w:t xml:space="preserve">Por otro lado, </w:t>
      </w:r>
      <w:r w:rsidR="0077210B" w:rsidRPr="008E6190">
        <w:rPr>
          <w:rFonts w:ascii="Arial" w:eastAsia="Times New Roman" w:hAnsi="Arial" w:cs="Arial"/>
          <w:color w:val="000000" w:themeColor="text1"/>
          <w:sz w:val="22"/>
          <w:szCs w:val="24"/>
          <w:lang w:val="es-ES_tradnl" w:eastAsia="es-ES_tradnl"/>
        </w:rPr>
        <w:t xml:space="preserve">el peticionario </w:t>
      </w:r>
      <w:r w:rsidR="004161BB" w:rsidRPr="008E6190">
        <w:rPr>
          <w:rFonts w:ascii="Arial" w:eastAsia="Times New Roman" w:hAnsi="Arial" w:cs="Arial"/>
          <w:color w:val="000000" w:themeColor="text1"/>
          <w:sz w:val="22"/>
          <w:szCs w:val="24"/>
          <w:lang w:val="es-ES_tradnl" w:eastAsia="es-ES_tradnl"/>
        </w:rPr>
        <w:t>indaga</w:t>
      </w:r>
      <w:r w:rsidRPr="008E6190">
        <w:rPr>
          <w:rFonts w:ascii="Arial" w:eastAsia="Times New Roman" w:hAnsi="Arial" w:cs="Arial"/>
          <w:color w:val="000000" w:themeColor="text1"/>
          <w:sz w:val="22"/>
          <w:szCs w:val="24"/>
          <w:lang w:val="es-ES_tradnl" w:eastAsia="es-ES_tradnl"/>
        </w:rPr>
        <w:t xml:space="preserve"> si las </w:t>
      </w:r>
      <w:r w:rsidR="00AB1205" w:rsidRPr="008E6190">
        <w:rPr>
          <w:rFonts w:ascii="Arial" w:eastAsia="Times New Roman" w:hAnsi="Arial" w:cs="Arial"/>
          <w:color w:val="000000" w:themeColor="text1"/>
          <w:sz w:val="22"/>
          <w:szCs w:val="24"/>
          <w:lang w:val="es-ES_tradnl" w:eastAsia="es-ES_tradnl"/>
        </w:rPr>
        <w:t>e</w:t>
      </w:r>
      <w:r w:rsidRPr="008E6190">
        <w:rPr>
          <w:rFonts w:ascii="Arial" w:eastAsia="Times New Roman" w:hAnsi="Arial" w:cs="Arial"/>
          <w:color w:val="000000" w:themeColor="text1"/>
          <w:sz w:val="22"/>
          <w:szCs w:val="24"/>
          <w:lang w:val="es-ES_tradnl" w:eastAsia="es-ES_tradnl"/>
        </w:rPr>
        <w:t xml:space="preserve">mpresas </w:t>
      </w:r>
      <w:r w:rsidR="00AB1205" w:rsidRPr="008E6190">
        <w:rPr>
          <w:rFonts w:ascii="Arial" w:eastAsia="Times New Roman" w:hAnsi="Arial" w:cs="Arial"/>
          <w:color w:val="000000" w:themeColor="text1"/>
          <w:sz w:val="22"/>
          <w:szCs w:val="24"/>
          <w:lang w:val="es-ES_tradnl" w:eastAsia="es-ES_tradnl"/>
        </w:rPr>
        <w:t>i</w:t>
      </w:r>
      <w:r w:rsidRPr="008E6190">
        <w:rPr>
          <w:rFonts w:ascii="Arial" w:eastAsia="Times New Roman" w:hAnsi="Arial" w:cs="Arial"/>
          <w:color w:val="000000" w:themeColor="text1"/>
          <w:sz w:val="22"/>
          <w:szCs w:val="24"/>
          <w:lang w:val="es-ES_tradnl" w:eastAsia="es-ES_tradnl"/>
        </w:rPr>
        <w:t xml:space="preserve">ndustriales y </w:t>
      </w:r>
      <w:r w:rsidR="00AB1205" w:rsidRPr="008E6190">
        <w:rPr>
          <w:rFonts w:ascii="Arial" w:eastAsia="Times New Roman" w:hAnsi="Arial" w:cs="Arial"/>
          <w:color w:val="000000" w:themeColor="text1"/>
          <w:sz w:val="22"/>
          <w:szCs w:val="24"/>
          <w:lang w:val="es-ES_tradnl" w:eastAsia="es-ES_tradnl"/>
        </w:rPr>
        <w:t>c</w:t>
      </w:r>
      <w:r w:rsidRPr="008E6190">
        <w:rPr>
          <w:rFonts w:ascii="Arial" w:eastAsia="Times New Roman" w:hAnsi="Arial" w:cs="Arial"/>
          <w:color w:val="000000" w:themeColor="text1"/>
          <w:sz w:val="22"/>
          <w:szCs w:val="24"/>
          <w:lang w:val="es-ES_tradnl" w:eastAsia="es-ES_tradnl"/>
        </w:rPr>
        <w:t xml:space="preserve">omerciales del Estado no obligadas a publicar su actividad contractual en el SECOP II, </w:t>
      </w:r>
      <w:r w:rsidR="0077210B" w:rsidRPr="008E6190">
        <w:rPr>
          <w:rFonts w:ascii="Arial" w:eastAsia="Times New Roman" w:hAnsi="Arial" w:cs="Arial"/>
          <w:color w:val="000000" w:themeColor="text1"/>
          <w:sz w:val="22"/>
          <w:szCs w:val="24"/>
          <w:lang w:val="es-ES_tradnl" w:eastAsia="es-ES_tradnl"/>
        </w:rPr>
        <w:t xml:space="preserve">de acuerdo con la excepción estudiada anteriormente, </w:t>
      </w:r>
      <w:r w:rsidRPr="008E6190">
        <w:rPr>
          <w:rFonts w:ascii="Arial" w:eastAsia="Times New Roman" w:hAnsi="Arial" w:cs="Arial"/>
          <w:color w:val="000000" w:themeColor="text1"/>
          <w:sz w:val="22"/>
          <w:szCs w:val="24"/>
          <w:lang w:eastAsia="es-ES_tradnl"/>
        </w:rPr>
        <w:t>deben estar inscritas y fungir como contratistas en esta plataforma</w:t>
      </w:r>
      <w:r w:rsidR="009F420D" w:rsidRPr="008E6190">
        <w:rPr>
          <w:rFonts w:ascii="Arial" w:eastAsia="Times New Roman" w:hAnsi="Arial" w:cs="Arial"/>
          <w:color w:val="000000" w:themeColor="text1"/>
          <w:sz w:val="22"/>
          <w:szCs w:val="24"/>
          <w:lang w:eastAsia="es-ES_tradnl"/>
        </w:rPr>
        <w:t>,</w:t>
      </w:r>
      <w:r w:rsidRPr="008E6190">
        <w:rPr>
          <w:rFonts w:ascii="Arial" w:eastAsia="Times New Roman" w:hAnsi="Arial" w:cs="Arial"/>
          <w:color w:val="000000" w:themeColor="text1"/>
          <w:sz w:val="22"/>
          <w:szCs w:val="24"/>
          <w:lang w:eastAsia="es-ES_tradnl"/>
        </w:rPr>
        <w:t xml:space="preserve"> y</w:t>
      </w:r>
      <w:r w:rsidR="009F420D" w:rsidRPr="008E6190">
        <w:rPr>
          <w:rFonts w:ascii="Arial" w:eastAsia="Times New Roman" w:hAnsi="Arial" w:cs="Arial"/>
          <w:color w:val="000000" w:themeColor="text1"/>
          <w:sz w:val="22"/>
          <w:szCs w:val="24"/>
          <w:lang w:eastAsia="es-ES_tradnl"/>
        </w:rPr>
        <w:t xml:space="preserve"> </w:t>
      </w:r>
      <w:r w:rsidRPr="008E6190">
        <w:rPr>
          <w:rFonts w:ascii="Arial" w:eastAsia="Times New Roman" w:hAnsi="Arial" w:cs="Arial"/>
          <w:color w:val="000000" w:themeColor="text1"/>
          <w:sz w:val="22"/>
          <w:szCs w:val="24"/>
          <w:lang w:eastAsia="es-ES_tradnl"/>
        </w:rPr>
        <w:t xml:space="preserve">si las entidades deben exigir su registro para la celebración de contratos publicados </w:t>
      </w:r>
      <w:r w:rsidR="009F420D" w:rsidRPr="008E6190">
        <w:rPr>
          <w:rFonts w:ascii="Arial" w:eastAsia="Times New Roman" w:hAnsi="Arial" w:cs="Arial"/>
          <w:color w:val="000000" w:themeColor="text1"/>
          <w:sz w:val="22"/>
          <w:szCs w:val="24"/>
          <w:lang w:eastAsia="es-ES_tradnl"/>
        </w:rPr>
        <w:t>por este</w:t>
      </w:r>
      <w:r w:rsidRPr="008E6190">
        <w:rPr>
          <w:rFonts w:ascii="Arial" w:eastAsia="Times New Roman" w:hAnsi="Arial" w:cs="Arial"/>
          <w:color w:val="000000" w:themeColor="text1"/>
          <w:sz w:val="22"/>
          <w:szCs w:val="24"/>
          <w:lang w:eastAsia="es-ES_tradnl"/>
        </w:rPr>
        <w:t xml:space="preserve"> medio. </w:t>
      </w:r>
      <w:r w:rsidR="004161BB" w:rsidRPr="008E6190">
        <w:rPr>
          <w:rFonts w:ascii="Arial" w:eastAsia="Times New Roman" w:hAnsi="Arial" w:cs="Arial"/>
          <w:color w:val="000000" w:themeColor="text1"/>
          <w:sz w:val="22"/>
          <w:szCs w:val="24"/>
          <w:lang w:eastAsia="es-ES_tradnl"/>
        </w:rPr>
        <w:t xml:space="preserve">Además, pregunta si las entidades contratantes no </w:t>
      </w:r>
      <w:r w:rsidR="004161BB" w:rsidRPr="008E6190">
        <w:rPr>
          <w:rFonts w:ascii="Arial" w:hAnsi="Arial" w:cs="Arial"/>
          <w:sz w:val="21"/>
          <w:szCs w:val="21"/>
        </w:rPr>
        <w:t>pued</w:t>
      </w:r>
      <w:r w:rsidR="0082047A" w:rsidRPr="008E6190">
        <w:rPr>
          <w:rFonts w:ascii="Arial" w:hAnsi="Arial" w:cs="Arial"/>
          <w:sz w:val="21"/>
          <w:szCs w:val="21"/>
        </w:rPr>
        <w:t>e</w:t>
      </w:r>
      <w:r w:rsidR="004161BB" w:rsidRPr="008E6190">
        <w:rPr>
          <w:rFonts w:ascii="Arial" w:hAnsi="Arial" w:cs="Arial"/>
          <w:sz w:val="21"/>
          <w:szCs w:val="21"/>
        </w:rPr>
        <w:t xml:space="preserve">n exigir el registro y posterior firma de trámites contractuales a través de la plataforma SECOP II cuando el proponente es una </w:t>
      </w:r>
      <w:r w:rsidR="00AB1205" w:rsidRPr="008E6190">
        <w:rPr>
          <w:rFonts w:ascii="Arial" w:hAnsi="Arial" w:cs="Arial"/>
          <w:sz w:val="21"/>
          <w:szCs w:val="21"/>
        </w:rPr>
        <w:t>e</w:t>
      </w:r>
      <w:r w:rsidR="004161BB" w:rsidRPr="008E6190">
        <w:rPr>
          <w:rFonts w:ascii="Arial" w:hAnsi="Arial" w:cs="Arial"/>
          <w:sz w:val="21"/>
          <w:szCs w:val="21"/>
        </w:rPr>
        <w:t xml:space="preserve">mpresa </w:t>
      </w:r>
      <w:r w:rsidR="00AB1205" w:rsidRPr="008E6190">
        <w:rPr>
          <w:rFonts w:ascii="Arial" w:hAnsi="Arial" w:cs="Arial"/>
          <w:sz w:val="21"/>
          <w:szCs w:val="21"/>
        </w:rPr>
        <w:t>i</w:t>
      </w:r>
      <w:r w:rsidR="004161BB" w:rsidRPr="008E6190">
        <w:rPr>
          <w:rFonts w:ascii="Arial" w:hAnsi="Arial" w:cs="Arial"/>
          <w:sz w:val="21"/>
          <w:szCs w:val="21"/>
        </w:rPr>
        <w:t xml:space="preserve">ndustrial y </w:t>
      </w:r>
      <w:r w:rsidR="00AB1205" w:rsidRPr="008E6190">
        <w:rPr>
          <w:rFonts w:ascii="Arial" w:hAnsi="Arial" w:cs="Arial"/>
          <w:sz w:val="21"/>
          <w:szCs w:val="21"/>
        </w:rPr>
        <w:t>c</w:t>
      </w:r>
      <w:r w:rsidR="004161BB" w:rsidRPr="008E6190">
        <w:rPr>
          <w:rFonts w:ascii="Arial" w:hAnsi="Arial" w:cs="Arial"/>
          <w:sz w:val="21"/>
          <w:szCs w:val="21"/>
        </w:rPr>
        <w:t>omercial del Estado no obligada a publicar en el SECOP</w:t>
      </w:r>
      <w:r w:rsidR="0082047A" w:rsidRPr="008E6190">
        <w:rPr>
          <w:rFonts w:ascii="Arial" w:hAnsi="Arial" w:cs="Arial"/>
          <w:sz w:val="21"/>
          <w:szCs w:val="21"/>
        </w:rPr>
        <w:t>, de acuerdo con el punto 3 del numeral 1.1. de la Circular Externa Única.</w:t>
      </w:r>
      <w:r w:rsidR="004161BB" w:rsidRPr="008E6190">
        <w:rPr>
          <w:rFonts w:ascii="Arial" w:hAnsi="Arial" w:cs="Arial"/>
          <w:sz w:val="21"/>
          <w:szCs w:val="21"/>
        </w:rPr>
        <w:t xml:space="preserve"> </w:t>
      </w:r>
    </w:p>
    <w:p w14:paraId="43A03E70" w14:textId="72A7C533" w:rsidR="00E81E00" w:rsidRPr="008E6190" w:rsidRDefault="00F528CD" w:rsidP="001C58F8">
      <w:pPr>
        <w:spacing w:before="120" w:after="120" w:line="276" w:lineRule="auto"/>
        <w:ind w:firstLine="708"/>
        <w:jc w:val="both"/>
        <w:rPr>
          <w:rFonts w:ascii="Arial" w:eastAsia="Times New Roman" w:hAnsi="Arial" w:cs="Arial"/>
          <w:color w:val="000000" w:themeColor="text1"/>
          <w:sz w:val="22"/>
          <w:szCs w:val="24"/>
          <w:lang w:eastAsia="es-ES_tradnl"/>
        </w:rPr>
      </w:pPr>
      <w:r w:rsidRPr="008E6190">
        <w:rPr>
          <w:rFonts w:ascii="Arial" w:eastAsia="Times New Roman" w:hAnsi="Arial" w:cs="Arial"/>
          <w:color w:val="000000" w:themeColor="text1"/>
          <w:sz w:val="22"/>
          <w:szCs w:val="24"/>
          <w:lang w:eastAsia="es-ES_tradnl"/>
        </w:rPr>
        <w:t xml:space="preserve">Ahora bien, para </w:t>
      </w:r>
      <w:r w:rsidR="00E21BD3" w:rsidRPr="008E6190">
        <w:rPr>
          <w:rFonts w:ascii="Arial" w:eastAsia="Times New Roman" w:hAnsi="Arial" w:cs="Arial"/>
          <w:color w:val="000000" w:themeColor="text1"/>
          <w:sz w:val="22"/>
          <w:szCs w:val="24"/>
          <w:lang w:eastAsia="es-ES_tradnl"/>
        </w:rPr>
        <w:t>responder</w:t>
      </w:r>
      <w:r w:rsidRPr="008E6190">
        <w:rPr>
          <w:rFonts w:ascii="Arial" w:eastAsia="Times New Roman" w:hAnsi="Arial" w:cs="Arial"/>
          <w:color w:val="000000" w:themeColor="text1"/>
          <w:sz w:val="22"/>
          <w:szCs w:val="24"/>
          <w:lang w:eastAsia="es-ES_tradnl"/>
        </w:rPr>
        <w:t xml:space="preserve"> este interrogante, </w:t>
      </w:r>
      <w:r w:rsidR="000E18C2" w:rsidRPr="008E6190">
        <w:rPr>
          <w:rFonts w:ascii="Arial" w:eastAsia="Times New Roman" w:hAnsi="Arial" w:cs="Arial"/>
          <w:color w:val="000000" w:themeColor="text1"/>
          <w:sz w:val="22"/>
          <w:szCs w:val="24"/>
          <w:lang w:eastAsia="es-ES_tradnl"/>
        </w:rPr>
        <w:t xml:space="preserve">vale la pena recordar que el </w:t>
      </w:r>
      <w:bookmarkStart w:id="3" w:name="_Hlk88832646"/>
      <w:r w:rsidR="000E18C2" w:rsidRPr="008E6190">
        <w:rPr>
          <w:rFonts w:ascii="Arial" w:eastAsia="Times New Roman" w:hAnsi="Arial" w:cs="Arial"/>
          <w:color w:val="000000" w:themeColor="text1"/>
          <w:sz w:val="22"/>
          <w:szCs w:val="24"/>
          <w:lang w:eastAsia="es-ES_tradnl"/>
        </w:rPr>
        <w:t>SECOP II</w:t>
      </w:r>
      <w:r w:rsidR="00EE2BAC" w:rsidRPr="008E6190">
        <w:rPr>
          <w:rFonts w:ascii="Arial" w:eastAsia="Times New Roman" w:hAnsi="Arial" w:cs="Arial"/>
          <w:color w:val="000000" w:themeColor="text1"/>
          <w:sz w:val="22"/>
          <w:szCs w:val="24"/>
          <w:lang w:eastAsia="es-ES_tradnl"/>
        </w:rPr>
        <w:t xml:space="preserve"> es</w:t>
      </w:r>
      <w:r w:rsidR="000E18C2" w:rsidRPr="008E6190">
        <w:rPr>
          <w:rFonts w:ascii="Arial" w:eastAsia="Times New Roman" w:hAnsi="Arial" w:cs="Arial"/>
          <w:color w:val="000000" w:themeColor="text1"/>
          <w:sz w:val="22"/>
          <w:szCs w:val="24"/>
          <w:lang w:eastAsia="es-ES_tradnl"/>
        </w:rPr>
        <w:t xml:space="preserve"> una plataforma </w:t>
      </w:r>
      <w:r w:rsidR="00602B20" w:rsidRPr="008E6190">
        <w:rPr>
          <w:rFonts w:ascii="Arial" w:eastAsia="Times New Roman" w:hAnsi="Arial" w:cs="Arial"/>
          <w:color w:val="000000" w:themeColor="text1"/>
          <w:sz w:val="22"/>
          <w:szCs w:val="24"/>
          <w:lang w:eastAsia="es-ES_tradnl"/>
        </w:rPr>
        <w:t xml:space="preserve">transaccional </w:t>
      </w:r>
      <w:r w:rsidR="000E18C2" w:rsidRPr="008E6190">
        <w:rPr>
          <w:rFonts w:ascii="Arial" w:eastAsia="Times New Roman" w:hAnsi="Arial" w:cs="Arial"/>
          <w:color w:val="000000" w:themeColor="text1"/>
          <w:sz w:val="22"/>
          <w:szCs w:val="24"/>
          <w:lang w:eastAsia="es-ES_tradnl"/>
        </w:rPr>
        <w:t>en la que las entidades contratantes crean, evalúan y adjudican proceso</w:t>
      </w:r>
      <w:r w:rsidR="000E548D" w:rsidRPr="008E6190">
        <w:rPr>
          <w:rFonts w:ascii="Arial" w:eastAsia="Times New Roman" w:hAnsi="Arial" w:cs="Arial"/>
          <w:color w:val="000000" w:themeColor="text1"/>
          <w:sz w:val="22"/>
          <w:szCs w:val="24"/>
          <w:lang w:eastAsia="es-ES_tradnl"/>
        </w:rPr>
        <w:t>s</w:t>
      </w:r>
      <w:r w:rsidR="000E18C2" w:rsidRPr="008E6190">
        <w:rPr>
          <w:rFonts w:ascii="Arial" w:eastAsia="Times New Roman" w:hAnsi="Arial" w:cs="Arial"/>
          <w:color w:val="000000" w:themeColor="text1"/>
          <w:sz w:val="22"/>
          <w:szCs w:val="24"/>
          <w:lang w:eastAsia="es-ES_tradnl"/>
        </w:rPr>
        <w:t xml:space="preserve"> de contratación, y gestionan la fase de ejecución del contrato </w:t>
      </w:r>
      <w:r w:rsidR="00EE2BAC" w:rsidRPr="008E6190">
        <w:rPr>
          <w:rFonts w:ascii="Arial" w:eastAsia="Times New Roman" w:hAnsi="Arial" w:cs="Arial"/>
          <w:color w:val="000000" w:themeColor="text1"/>
          <w:sz w:val="22"/>
          <w:szCs w:val="24"/>
          <w:lang w:eastAsia="es-ES_tradnl"/>
        </w:rPr>
        <w:t>y</w:t>
      </w:r>
      <w:r w:rsidR="0077210B" w:rsidRPr="008E6190">
        <w:rPr>
          <w:rFonts w:ascii="Arial" w:eastAsia="Times New Roman" w:hAnsi="Arial" w:cs="Arial"/>
          <w:color w:val="000000" w:themeColor="text1"/>
          <w:sz w:val="22"/>
          <w:szCs w:val="24"/>
          <w:lang w:eastAsia="es-ES_tradnl"/>
        </w:rPr>
        <w:t>,</w:t>
      </w:r>
      <w:r w:rsidR="00EE2BAC" w:rsidRPr="008E6190">
        <w:rPr>
          <w:rFonts w:ascii="Arial" w:eastAsia="Times New Roman" w:hAnsi="Arial" w:cs="Arial"/>
          <w:color w:val="000000" w:themeColor="text1"/>
          <w:sz w:val="22"/>
          <w:szCs w:val="24"/>
          <w:lang w:eastAsia="es-ES_tradnl"/>
        </w:rPr>
        <w:t xml:space="preserve"> en consecuencia</w:t>
      </w:r>
      <w:r w:rsidR="005D519E" w:rsidRPr="008E6190">
        <w:rPr>
          <w:rFonts w:ascii="Arial" w:eastAsia="Times New Roman" w:hAnsi="Arial" w:cs="Arial"/>
          <w:color w:val="000000" w:themeColor="text1"/>
          <w:sz w:val="22"/>
          <w:szCs w:val="24"/>
          <w:lang w:eastAsia="es-ES_tradnl"/>
        </w:rPr>
        <w:t xml:space="preserve">, el </w:t>
      </w:r>
      <w:r w:rsidR="005D519E" w:rsidRPr="008E6190">
        <w:rPr>
          <w:rFonts w:ascii="Arial" w:eastAsia="Calibri" w:hAnsi="Arial" w:cs="Arial"/>
          <w:color w:val="000000" w:themeColor="text1"/>
          <w:sz w:val="22"/>
          <w:lang w:val="es-ES"/>
        </w:rPr>
        <w:t>procedimiento contractual se desarrolla en línea y dentro de la plataforma,</w:t>
      </w:r>
      <w:r w:rsidR="0077210B" w:rsidRPr="008E6190">
        <w:rPr>
          <w:rFonts w:ascii="Arial" w:eastAsia="Calibri" w:hAnsi="Arial" w:cs="Arial"/>
          <w:color w:val="000000" w:themeColor="text1"/>
          <w:sz w:val="22"/>
          <w:lang w:val="es-ES"/>
        </w:rPr>
        <w:t xml:space="preserve"> de manera que</w:t>
      </w:r>
      <w:r w:rsidR="005D519E" w:rsidRPr="008E6190">
        <w:rPr>
          <w:rFonts w:ascii="Arial" w:eastAsia="Calibri" w:hAnsi="Arial" w:cs="Arial"/>
          <w:color w:val="000000" w:themeColor="text1"/>
          <w:sz w:val="22"/>
          <w:lang w:val="es-ES"/>
        </w:rPr>
        <w:t xml:space="preserve"> </w:t>
      </w:r>
      <w:r w:rsidR="00DB469F" w:rsidRPr="008E6190">
        <w:rPr>
          <w:rFonts w:ascii="Arial" w:eastAsia="Calibri" w:hAnsi="Arial" w:cs="Arial"/>
          <w:color w:val="000000" w:themeColor="text1"/>
          <w:sz w:val="22"/>
          <w:lang w:val="es-ES"/>
        </w:rPr>
        <w:t>en forma progresiva</w:t>
      </w:r>
      <w:r w:rsidR="005D519E" w:rsidRPr="008E6190">
        <w:rPr>
          <w:rFonts w:ascii="Arial" w:eastAsia="Calibri" w:hAnsi="Arial" w:cs="Arial"/>
          <w:color w:val="000000" w:themeColor="text1"/>
          <w:sz w:val="22"/>
          <w:lang w:val="es-ES"/>
        </w:rPr>
        <w:t xml:space="preserve"> se va conformando un expediente electrónico. </w:t>
      </w:r>
      <w:r w:rsidR="0077210B" w:rsidRPr="008E6190">
        <w:rPr>
          <w:rFonts w:ascii="Arial" w:eastAsia="Calibri" w:hAnsi="Arial" w:cs="Arial"/>
          <w:color w:val="000000" w:themeColor="text1"/>
          <w:sz w:val="22"/>
          <w:lang w:val="es-ES"/>
        </w:rPr>
        <w:t>De acuerdo con el esquema brevemente expuesto, ello implica</w:t>
      </w:r>
      <w:r w:rsidR="005D519E" w:rsidRPr="008E6190">
        <w:rPr>
          <w:rFonts w:ascii="Arial" w:eastAsia="Calibri" w:hAnsi="Arial" w:cs="Arial"/>
          <w:color w:val="000000" w:themeColor="text1"/>
          <w:sz w:val="22"/>
          <w:lang w:val="es-ES"/>
        </w:rPr>
        <w:t xml:space="preserve"> que los </w:t>
      </w:r>
      <w:r w:rsidR="0077210B" w:rsidRPr="008E6190">
        <w:rPr>
          <w:rFonts w:ascii="Arial" w:eastAsia="Calibri" w:hAnsi="Arial" w:cs="Arial"/>
          <w:color w:val="000000" w:themeColor="text1"/>
          <w:sz w:val="22"/>
          <w:lang w:val="es-ES"/>
        </w:rPr>
        <w:t xml:space="preserve">proponentes o </w:t>
      </w:r>
      <w:r w:rsidR="005D519E" w:rsidRPr="008E6190">
        <w:rPr>
          <w:rFonts w:ascii="Arial" w:eastAsia="Calibri" w:hAnsi="Arial" w:cs="Arial"/>
          <w:color w:val="000000" w:themeColor="text1"/>
          <w:sz w:val="22"/>
          <w:lang w:val="es-ES"/>
        </w:rPr>
        <w:t xml:space="preserve">proveedores interesados </w:t>
      </w:r>
      <w:r w:rsidR="000E548D" w:rsidRPr="008E6190">
        <w:rPr>
          <w:rFonts w:ascii="Arial" w:eastAsia="Calibri" w:hAnsi="Arial" w:cs="Arial"/>
          <w:color w:val="000000" w:themeColor="text1"/>
          <w:sz w:val="22"/>
          <w:lang w:val="es-ES"/>
        </w:rPr>
        <w:t xml:space="preserve">en </w:t>
      </w:r>
      <w:r w:rsidR="005D519E" w:rsidRPr="008E6190">
        <w:rPr>
          <w:rFonts w:ascii="Arial" w:eastAsia="Calibri" w:hAnsi="Arial" w:cs="Arial"/>
          <w:color w:val="000000" w:themeColor="text1"/>
          <w:sz w:val="22"/>
          <w:lang w:val="es-ES"/>
        </w:rPr>
        <w:t>participar en los procesos de contratación que se publican en esta plataforma</w:t>
      </w:r>
      <w:r w:rsidR="007E6623" w:rsidRPr="008E6190">
        <w:rPr>
          <w:rFonts w:ascii="Arial" w:eastAsia="Calibri" w:hAnsi="Arial" w:cs="Arial"/>
          <w:color w:val="000000" w:themeColor="text1"/>
          <w:sz w:val="22"/>
          <w:lang w:val="es-ES"/>
        </w:rPr>
        <w:t xml:space="preserve"> </w:t>
      </w:r>
      <w:r w:rsidR="005D519E" w:rsidRPr="008E6190">
        <w:rPr>
          <w:rFonts w:ascii="Arial" w:eastAsia="Calibri" w:hAnsi="Arial" w:cs="Arial"/>
          <w:color w:val="000000" w:themeColor="text1"/>
          <w:sz w:val="22"/>
          <w:lang w:val="es-ES"/>
        </w:rPr>
        <w:t>deban registrarse en el SECOP II, pues de lo contrario</w:t>
      </w:r>
      <w:r w:rsidR="007E6623" w:rsidRPr="008E6190">
        <w:rPr>
          <w:rFonts w:ascii="Arial" w:eastAsia="Calibri" w:hAnsi="Arial" w:cs="Arial"/>
          <w:color w:val="000000" w:themeColor="text1"/>
          <w:sz w:val="22"/>
          <w:lang w:val="es-ES"/>
        </w:rPr>
        <w:t xml:space="preserve"> no podrían</w:t>
      </w:r>
      <w:r w:rsidR="005D519E" w:rsidRPr="008E6190">
        <w:rPr>
          <w:rFonts w:ascii="Arial" w:eastAsia="Calibri" w:hAnsi="Arial" w:cs="Arial"/>
          <w:color w:val="000000" w:themeColor="text1"/>
          <w:sz w:val="22"/>
          <w:lang w:val="es-ES"/>
        </w:rPr>
        <w:t xml:space="preserve"> </w:t>
      </w:r>
      <w:r w:rsidR="007E6623" w:rsidRPr="008E6190">
        <w:rPr>
          <w:rFonts w:ascii="Arial" w:eastAsia="Calibri" w:hAnsi="Arial" w:cs="Arial"/>
          <w:color w:val="000000" w:themeColor="text1"/>
          <w:sz w:val="22"/>
          <w:lang w:val="es-ES"/>
        </w:rPr>
        <w:t>hacer comentarios a los documentos del procedimiento, presentar ofertas y, en general, seguir el procedimiento de selección en línea</w:t>
      </w:r>
      <w:r w:rsidR="0077210B" w:rsidRPr="008E6190">
        <w:rPr>
          <w:rFonts w:ascii="Arial" w:eastAsia="Calibri" w:hAnsi="Arial" w:cs="Arial"/>
          <w:color w:val="000000" w:themeColor="text1"/>
          <w:sz w:val="22"/>
          <w:lang w:val="es-ES"/>
        </w:rPr>
        <w:t xml:space="preserve">, pues la plataforma exige </w:t>
      </w:r>
      <w:r w:rsidR="00DB469F" w:rsidRPr="008E6190">
        <w:rPr>
          <w:rFonts w:ascii="Arial" w:eastAsia="Calibri" w:hAnsi="Arial" w:cs="Arial"/>
          <w:color w:val="000000" w:themeColor="text1"/>
          <w:sz w:val="22"/>
          <w:lang w:val="es-ES"/>
        </w:rPr>
        <w:t>el</w:t>
      </w:r>
      <w:r w:rsidR="0077210B" w:rsidRPr="008E6190">
        <w:rPr>
          <w:rFonts w:ascii="Arial" w:eastAsia="Calibri" w:hAnsi="Arial" w:cs="Arial"/>
          <w:color w:val="000000" w:themeColor="text1"/>
          <w:sz w:val="22"/>
          <w:lang w:val="es-ES"/>
        </w:rPr>
        <w:t xml:space="preserve"> registro para realizar dichas actuaciones. </w:t>
      </w:r>
      <w:bookmarkEnd w:id="3"/>
      <w:r w:rsidR="000E18C2" w:rsidRPr="008E6190">
        <w:rPr>
          <w:rFonts w:ascii="Arial" w:eastAsia="Times New Roman" w:hAnsi="Arial" w:cs="Arial"/>
          <w:color w:val="000000" w:themeColor="text1"/>
          <w:sz w:val="22"/>
          <w:szCs w:val="24"/>
          <w:lang w:eastAsia="es-ES_tradnl"/>
        </w:rPr>
        <w:t xml:space="preserve">En particular, </w:t>
      </w:r>
      <w:r w:rsidR="00E833ED" w:rsidRPr="008E6190">
        <w:rPr>
          <w:rFonts w:ascii="Arial" w:eastAsia="Calibri" w:hAnsi="Arial" w:cs="Arial"/>
          <w:color w:val="000000" w:themeColor="text1"/>
          <w:sz w:val="22"/>
          <w:lang w:val="es-ES"/>
        </w:rPr>
        <w:t>las empresas industriales y comerciales del Estado</w:t>
      </w:r>
      <w:r w:rsidR="0077210B" w:rsidRPr="008E6190">
        <w:rPr>
          <w:rFonts w:ascii="Arial" w:eastAsia="Calibri" w:hAnsi="Arial" w:cs="Arial"/>
          <w:color w:val="000000" w:themeColor="text1"/>
          <w:sz w:val="22"/>
          <w:lang w:val="es-ES"/>
        </w:rPr>
        <w:t xml:space="preserve"> –al </w:t>
      </w:r>
      <w:r w:rsidR="0077210B" w:rsidRPr="008E6190">
        <w:rPr>
          <w:rFonts w:ascii="Arial" w:eastAsia="Calibri" w:hAnsi="Arial" w:cs="Arial"/>
          <w:color w:val="000000" w:themeColor="text1"/>
          <w:sz w:val="22"/>
          <w:lang w:val="es-ES"/>
        </w:rPr>
        <w:lastRenderedPageBreak/>
        <w:t>igual que las demás entidades del Estado–,</w:t>
      </w:r>
      <w:r w:rsidR="00E833ED" w:rsidRPr="008E6190">
        <w:rPr>
          <w:rFonts w:ascii="Arial" w:eastAsia="Calibri" w:hAnsi="Arial" w:cs="Arial"/>
          <w:color w:val="000000" w:themeColor="text1"/>
          <w:sz w:val="22"/>
          <w:lang w:val="es-ES"/>
        </w:rPr>
        <w:t xml:space="preserve"> que pretendan fungir como contratistas de entidades estatales que publiquen su actividad contractual en el SECOP II, deben registrarse en la plataforma como Entidad y solicitar a la mesa de servicio la habilitación del perfil de proveedor.  </w:t>
      </w:r>
    </w:p>
    <w:p w14:paraId="118C3D7C" w14:textId="77777777" w:rsidR="00B41A3D" w:rsidRPr="008E6190" w:rsidRDefault="00B41A3D" w:rsidP="000D0EC1">
      <w:pPr>
        <w:ind w:firstLine="709"/>
        <w:jc w:val="both"/>
        <w:rPr>
          <w:rFonts w:ascii="Arial" w:hAnsi="Arial" w:cs="Arial"/>
          <w:sz w:val="22"/>
        </w:rPr>
      </w:pPr>
    </w:p>
    <w:p w14:paraId="594520E8" w14:textId="61DF8CF1" w:rsidR="00F13D3A" w:rsidRPr="008E6190" w:rsidRDefault="001527BD" w:rsidP="00F13D3A">
      <w:pPr>
        <w:pStyle w:val="Prrafodelista"/>
        <w:numPr>
          <w:ilvl w:val="0"/>
          <w:numId w:val="1"/>
        </w:numPr>
        <w:spacing w:line="276" w:lineRule="auto"/>
        <w:ind w:left="284" w:hanging="284"/>
        <w:jc w:val="both"/>
        <w:rPr>
          <w:rFonts w:ascii="Arial" w:hAnsi="Arial" w:cs="Arial"/>
          <w:b/>
          <w:bCs/>
          <w:sz w:val="22"/>
        </w:rPr>
      </w:pPr>
      <w:r w:rsidRPr="008E6190">
        <w:rPr>
          <w:rFonts w:ascii="Arial" w:hAnsi="Arial" w:cs="Arial"/>
          <w:b/>
          <w:bCs/>
          <w:sz w:val="22"/>
        </w:rPr>
        <w:t>Respuesta</w:t>
      </w:r>
    </w:p>
    <w:p w14:paraId="0FF9976F" w14:textId="0937E44F" w:rsidR="00F13D3A" w:rsidRPr="008E6190" w:rsidRDefault="00F13D3A" w:rsidP="00F13D3A">
      <w:pPr>
        <w:pStyle w:val="Default"/>
        <w:spacing w:before="120"/>
        <w:ind w:left="709" w:right="709"/>
        <w:jc w:val="both"/>
        <w:rPr>
          <w:sz w:val="21"/>
          <w:szCs w:val="21"/>
        </w:rPr>
      </w:pPr>
      <w:r w:rsidRPr="008E6190">
        <w:rPr>
          <w:sz w:val="21"/>
          <w:szCs w:val="21"/>
        </w:rPr>
        <w:t xml:space="preserve">1. </w:t>
      </w:r>
      <w:proofErr w:type="spellStart"/>
      <w:r w:rsidRPr="008E6190">
        <w:rPr>
          <w:sz w:val="21"/>
          <w:szCs w:val="21"/>
        </w:rPr>
        <w:t>Cual</w:t>
      </w:r>
      <w:proofErr w:type="spellEnd"/>
      <w:r w:rsidRPr="008E6190">
        <w:rPr>
          <w:sz w:val="21"/>
          <w:szCs w:val="21"/>
        </w:rPr>
        <w:t xml:space="preserve"> es el alcance de la condición establecida en el punto 3 del numeral 1.1 de la circular única expedida por Colombia compra Eficiente, si esto aplica solo para las contrataciones que genere la Empresa Industrial y comercial del Estado y/o si aplica también para las contrataciones en las cuales este tipo de empresas actúan como contratista de una Entidad Sometida al Estatuto General de contratación en la plataforma SECOP I. [SIC]</w:t>
      </w:r>
    </w:p>
    <w:p w14:paraId="403E5F39" w14:textId="10669797" w:rsidR="00F13D3A" w:rsidRPr="008E6190" w:rsidRDefault="00842D73" w:rsidP="001C58F8">
      <w:pPr>
        <w:pStyle w:val="Default"/>
        <w:spacing w:before="120" w:after="120" w:line="276" w:lineRule="auto"/>
        <w:jc w:val="both"/>
        <w:rPr>
          <w:sz w:val="22"/>
          <w:szCs w:val="22"/>
        </w:rPr>
      </w:pPr>
      <w:r w:rsidRPr="008E6190">
        <w:rPr>
          <w:sz w:val="22"/>
          <w:szCs w:val="22"/>
        </w:rPr>
        <w:t xml:space="preserve">De acuerdo con el punto 3 del numeral 1.1. de la Circular Única Externa expedida por Colombia Compra Eficiente, para que una entidad estatal se encuentre exceptuada de publicar su actividad contractual en el SECOP, se requiere el cumplimiento de las siguientes condiciones: </w:t>
      </w:r>
      <w:r w:rsidR="00602B20" w:rsidRPr="008E6190">
        <w:rPr>
          <w:rFonts w:eastAsia="Times New Roman"/>
          <w:color w:val="000000" w:themeColor="text1"/>
          <w:sz w:val="22"/>
          <w:lang w:val="es-ES_tradnl" w:eastAsia="es-ES_tradnl"/>
        </w:rPr>
        <w:t xml:space="preserve">i) que se trate de una empresa industrial y comercial del Estado, sociedad de economía mixta o una empresa de servicios públicos domiciliarios. </w:t>
      </w:r>
      <w:proofErr w:type="spellStart"/>
      <w:r w:rsidR="00602B20" w:rsidRPr="008E6190">
        <w:rPr>
          <w:rFonts w:eastAsia="Times New Roman"/>
          <w:color w:val="000000" w:themeColor="text1"/>
          <w:sz w:val="22"/>
          <w:lang w:val="es-ES_tradnl" w:eastAsia="es-ES_tradnl"/>
        </w:rPr>
        <w:t>ii</w:t>
      </w:r>
      <w:proofErr w:type="spellEnd"/>
      <w:r w:rsidR="00602B20" w:rsidRPr="008E6190">
        <w:rPr>
          <w:rFonts w:eastAsia="Times New Roman"/>
          <w:color w:val="000000" w:themeColor="text1"/>
          <w:sz w:val="22"/>
          <w:lang w:val="es-ES_tradnl" w:eastAsia="es-ES_tradnl"/>
        </w:rPr>
        <w:t xml:space="preserve">) Que la entidad desarrolle su actividad en competencia con el sector privado. </w:t>
      </w:r>
      <w:proofErr w:type="spellStart"/>
      <w:r w:rsidR="00602B20" w:rsidRPr="008E6190">
        <w:rPr>
          <w:rFonts w:eastAsia="Times New Roman"/>
          <w:color w:val="000000" w:themeColor="text1"/>
          <w:sz w:val="22"/>
          <w:lang w:val="es-ES_tradnl" w:eastAsia="es-ES_tradnl"/>
        </w:rPr>
        <w:t>iii</w:t>
      </w:r>
      <w:proofErr w:type="spellEnd"/>
      <w:r w:rsidR="00602B20" w:rsidRPr="008E6190">
        <w:rPr>
          <w:rFonts w:eastAsia="Times New Roman"/>
          <w:color w:val="000000" w:themeColor="text1"/>
          <w:sz w:val="22"/>
          <w:lang w:val="es-ES_tradnl" w:eastAsia="es-ES_tradnl"/>
        </w:rPr>
        <w:t xml:space="preserve">) Que antes del 30 de noviembre de 2015 haya solicitado a Colombia Compra Eficiente el enlace que comunica su sistema de información propio con el SECOP. </w:t>
      </w:r>
      <w:proofErr w:type="spellStart"/>
      <w:r w:rsidR="00602B20" w:rsidRPr="008E6190">
        <w:rPr>
          <w:rFonts w:eastAsia="Times New Roman"/>
          <w:color w:val="000000" w:themeColor="text1"/>
          <w:sz w:val="22"/>
          <w:lang w:val="es-ES_tradnl" w:eastAsia="es-ES_tradnl"/>
        </w:rPr>
        <w:t>iv</w:t>
      </w:r>
      <w:proofErr w:type="spellEnd"/>
      <w:r w:rsidR="00602B20" w:rsidRPr="008E6190">
        <w:rPr>
          <w:rFonts w:eastAsia="Times New Roman"/>
          <w:color w:val="000000" w:themeColor="text1"/>
          <w:sz w:val="22"/>
          <w:lang w:val="es-ES_tradnl" w:eastAsia="es-ES_tradnl"/>
        </w:rPr>
        <w:t>) Que el sistema de información permita realizar el proceso de contratación en línea y se permita a los proveedores y al público tener acceso oportuno, permanente e ininterrumpido a la información de su actividad contractual.</w:t>
      </w:r>
    </w:p>
    <w:p w14:paraId="7C93C5F8" w14:textId="1C52609B" w:rsidR="00602B20" w:rsidRPr="008E6190" w:rsidRDefault="00602B20" w:rsidP="00602B20">
      <w:pPr>
        <w:spacing w:after="120" w:line="276" w:lineRule="auto"/>
        <w:ind w:firstLine="709"/>
        <w:jc w:val="both"/>
        <w:rPr>
          <w:rFonts w:ascii="Arial" w:eastAsia="Times New Roman" w:hAnsi="Arial" w:cs="Arial"/>
          <w:color w:val="000000" w:themeColor="text1"/>
          <w:sz w:val="22"/>
          <w:szCs w:val="24"/>
          <w:lang w:val="es-ES_tradnl" w:eastAsia="es-ES_tradnl"/>
        </w:rPr>
      </w:pPr>
      <w:r w:rsidRPr="008E6190">
        <w:rPr>
          <w:rFonts w:ascii="Arial" w:eastAsia="Times New Roman" w:hAnsi="Arial" w:cs="Arial"/>
          <w:color w:val="000000" w:themeColor="text1"/>
          <w:sz w:val="22"/>
          <w:szCs w:val="24"/>
          <w:lang w:val="es-ES_tradnl" w:eastAsia="es-ES_tradnl"/>
        </w:rPr>
        <w:t>Ahora bien, es importante precisar que la excepción establecida en la Circular está dirigida a los supuestos en que dichas entidades funjan como contratantes, esto es, cuando sean ellas quienes adelanten los procesos contractuales. En este sentido, si dichas entidades participan en proceso</w:t>
      </w:r>
      <w:r w:rsidR="00DB469F" w:rsidRPr="008E6190">
        <w:rPr>
          <w:rFonts w:ascii="Arial" w:eastAsia="Times New Roman" w:hAnsi="Arial" w:cs="Arial"/>
          <w:color w:val="000000" w:themeColor="text1"/>
          <w:sz w:val="22"/>
          <w:szCs w:val="24"/>
          <w:lang w:val="es-ES_tradnl" w:eastAsia="es-ES_tradnl"/>
        </w:rPr>
        <w:t>s</w:t>
      </w:r>
      <w:r w:rsidRPr="008E6190">
        <w:rPr>
          <w:rFonts w:ascii="Arial" w:eastAsia="Times New Roman" w:hAnsi="Arial" w:cs="Arial"/>
          <w:color w:val="000000" w:themeColor="text1"/>
          <w:sz w:val="22"/>
          <w:szCs w:val="24"/>
          <w:lang w:val="es-ES_tradnl" w:eastAsia="es-ES_tradnl"/>
        </w:rPr>
        <w:t xml:space="preserve"> contractuales adelantados por otras entidades estatales, que efectivamente deben publicar su actividad contractual en el SECOP, aquellas participarán en las mismas condiciones que cualquier otro proponente o contratista, por lo que la entidad que dirige el proceso contractual realizará la publicidad respectiva en el SECOP. En efecto, la regulación establecida en la Circular está dirigida a las entidades que dirigen el proceso contractual, por lo que el hecho de que una entidad que cumpla con la excepción de publicidad señalada en el párrafo anterior y participe en un proceso contractual adelantado por una entidad estatal que sí debe realizar la publicidad en el SECOP, no hace que opere la excepción estudiada, en el entendido de que la entidad contratante sí debe cumplir con el deber general de publicidad.</w:t>
      </w:r>
    </w:p>
    <w:p w14:paraId="75332A81" w14:textId="6CAF8F3A" w:rsidR="00F13D3A" w:rsidRPr="008E6190" w:rsidRDefault="00F13D3A" w:rsidP="00F13D3A">
      <w:pPr>
        <w:pStyle w:val="Default"/>
        <w:spacing w:before="120"/>
        <w:ind w:left="709" w:right="709"/>
        <w:jc w:val="both"/>
        <w:rPr>
          <w:sz w:val="21"/>
          <w:szCs w:val="21"/>
        </w:rPr>
      </w:pPr>
      <w:r w:rsidRPr="008E6190">
        <w:rPr>
          <w:sz w:val="21"/>
          <w:szCs w:val="21"/>
        </w:rPr>
        <w:t>2. Bajo las indicaciones en este numeral, las Empresas Industriales y Comerciales del Estado que tengan habilitado el enlace y que pretendan celebrar contratos y/o convenios con Entidades sometidas al estatuto general de contratación, deben estar inscritas y fungir como contratistas en la plataforma SECOP II y las Entidades deben exigir su registro para la celebración de este tipo de contratos. [SIC]</w:t>
      </w:r>
    </w:p>
    <w:p w14:paraId="21A40A8B" w14:textId="16BDDAE7" w:rsidR="00924510" w:rsidRPr="008E6190" w:rsidRDefault="00F13D3A" w:rsidP="00E833ED">
      <w:pPr>
        <w:pStyle w:val="Default"/>
        <w:spacing w:before="120" w:after="120"/>
        <w:ind w:left="709" w:right="709"/>
        <w:jc w:val="both"/>
        <w:rPr>
          <w:sz w:val="21"/>
          <w:szCs w:val="21"/>
        </w:rPr>
      </w:pPr>
      <w:r w:rsidRPr="008E6190">
        <w:rPr>
          <w:sz w:val="21"/>
          <w:szCs w:val="21"/>
        </w:rPr>
        <w:t xml:space="preserve">3. Las Empresas Industriales y Comerciales del estado que tengan habilitado el enlace, debido a esta excepción de publicación en SECOP, dicha excepción condiciona a la Entidades Estatales sometidas al Estatuto General de Contratación y obligadas a publicar en la plataforma SECOP II que no puedan </w:t>
      </w:r>
      <w:r w:rsidRPr="008E6190">
        <w:rPr>
          <w:sz w:val="21"/>
          <w:szCs w:val="21"/>
        </w:rPr>
        <w:lastRenderedPageBreak/>
        <w:t>exigir el registro y posterior firma de tramites contractuales a través de esta plataforma SECOP II. [SIC]</w:t>
      </w:r>
    </w:p>
    <w:p w14:paraId="27D8934C" w14:textId="060DF9E6" w:rsidR="00DB469F" w:rsidRPr="008E6190" w:rsidRDefault="00602B20" w:rsidP="004307DC">
      <w:pPr>
        <w:pStyle w:val="Default"/>
        <w:spacing w:before="120" w:line="276" w:lineRule="auto"/>
        <w:jc w:val="both"/>
        <w:rPr>
          <w:rFonts w:eastAsia="Calibri"/>
          <w:color w:val="000000" w:themeColor="text1"/>
          <w:sz w:val="22"/>
          <w:lang w:val="es-ES"/>
        </w:rPr>
      </w:pPr>
      <w:r w:rsidRPr="001C58F8">
        <w:rPr>
          <w:rFonts w:eastAsia="Times New Roman"/>
          <w:color w:val="000000" w:themeColor="text1"/>
          <w:sz w:val="22"/>
          <w:lang w:val="es-ES_tradnl" w:eastAsia="es-ES_tradnl"/>
        </w:rPr>
        <w:t xml:space="preserve">Teniendo en cuenta la respuesta a la pregunta anterior, </w:t>
      </w:r>
      <w:r w:rsidRPr="008E6190">
        <w:rPr>
          <w:rFonts w:eastAsia="Times New Roman"/>
          <w:color w:val="000000" w:themeColor="text1"/>
          <w:sz w:val="22"/>
          <w:lang w:val="es-ES_tradnl" w:eastAsia="es-ES_tradnl"/>
        </w:rPr>
        <w:t xml:space="preserve">en relación con estos </w:t>
      </w:r>
      <w:r w:rsidR="00DB469F" w:rsidRPr="008E6190">
        <w:rPr>
          <w:rFonts w:eastAsia="Times New Roman"/>
          <w:color w:val="000000" w:themeColor="text1"/>
          <w:sz w:val="22"/>
          <w:lang w:val="es-ES_tradnl" w:eastAsia="es-ES_tradnl"/>
        </w:rPr>
        <w:t>interrogantes</w:t>
      </w:r>
      <w:r w:rsidRPr="008E6190">
        <w:rPr>
          <w:rFonts w:eastAsia="Times New Roman"/>
          <w:color w:val="000000" w:themeColor="text1"/>
          <w:sz w:val="22"/>
          <w:lang w:val="es-ES_tradnl" w:eastAsia="es-ES_tradnl"/>
        </w:rPr>
        <w:t xml:space="preserve"> </w:t>
      </w:r>
      <w:r w:rsidRPr="001C58F8">
        <w:rPr>
          <w:rFonts w:eastAsia="Times New Roman"/>
          <w:color w:val="000000" w:themeColor="text1"/>
          <w:sz w:val="22"/>
          <w:lang w:val="es-ES_tradnl" w:eastAsia="es-ES_tradnl"/>
        </w:rPr>
        <w:t xml:space="preserve">vale la pena recordar que el SECOP II es una plataforma </w:t>
      </w:r>
      <w:r w:rsidRPr="008E6190">
        <w:rPr>
          <w:rFonts w:eastAsia="Times New Roman"/>
          <w:color w:val="000000" w:themeColor="text1"/>
          <w:sz w:val="22"/>
          <w:lang w:val="es-ES_tradnl" w:eastAsia="es-ES_tradnl"/>
        </w:rPr>
        <w:t xml:space="preserve">transaccional </w:t>
      </w:r>
      <w:r w:rsidRPr="001C58F8">
        <w:rPr>
          <w:rFonts w:eastAsia="Times New Roman"/>
          <w:color w:val="000000" w:themeColor="text1"/>
          <w:sz w:val="22"/>
          <w:lang w:val="es-ES_tradnl" w:eastAsia="es-ES_tradnl"/>
        </w:rPr>
        <w:t>en la que las entidades contratantes crean, evalúan y adjudican</w:t>
      </w:r>
      <w:r w:rsidRPr="008E6190">
        <w:rPr>
          <w:rFonts w:eastAsia="Times New Roman"/>
          <w:color w:val="000000" w:themeColor="text1"/>
          <w:sz w:val="22"/>
          <w:lang w:eastAsia="es-ES_tradnl"/>
        </w:rPr>
        <w:t xml:space="preserve"> procesos de contratación, y gestionan la fase de ejecución del contrato y, en consecuencia, el </w:t>
      </w:r>
      <w:r w:rsidRPr="008E6190">
        <w:rPr>
          <w:rFonts w:eastAsia="Calibri"/>
          <w:color w:val="000000" w:themeColor="text1"/>
          <w:sz w:val="22"/>
          <w:lang w:val="es-ES"/>
        </w:rPr>
        <w:t xml:space="preserve">procedimiento contractual se desarrolla en línea y dentro de la plataforma, de manera que </w:t>
      </w:r>
      <w:r w:rsidR="00DB469F" w:rsidRPr="008E6190">
        <w:rPr>
          <w:rFonts w:eastAsia="Calibri"/>
          <w:color w:val="000000" w:themeColor="text1"/>
          <w:sz w:val="22"/>
          <w:lang w:val="es-ES"/>
        </w:rPr>
        <w:t>en forma progresiva</w:t>
      </w:r>
      <w:r w:rsidRPr="008E6190">
        <w:rPr>
          <w:rFonts w:eastAsia="Calibri"/>
          <w:color w:val="000000" w:themeColor="text1"/>
          <w:sz w:val="22"/>
          <w:lang w:val="es-ES"/>
        </w:rPr>
        <w:t xml:space="preserve"> se va conformando un expediente electrónico. </w:t>
      </w:r>
    </w:p>
    <w:p w14:paraId="4A17A0F6" w14:textId="6138A44D" w:rsidR="00E833ED" w:rsidRPr="008E6190" w:rsidRDefault="00602B20" w:rsidP="004307DC">
      <w:pPr>
        <w:pStyle w:val="Default"/>
        <w:spacing w:before="120" w:line="276" w:lineRule="auto"/>
        <w:jc w:val="both"/>
        <w:rPr>
          <w:sz w:val="22"/>
          <w:szCs w:val="22"/>
        </w:rPr>
      </w:pPr>
      <w:r w:rsidRPr="008E6190">
        <w:rPr>
          <w:rFonts w:eastAsia="Calibri"/>
          <w:color w:val="000000" w:themeColor="text1"/>
          <w:sz w:val="22"/>
          <w:lang w:val="es-ES"/>
        </w:rPr>
        <w:t xml:space="preserve">De acuerdo con el esquema expuesto, ello implica que los proponentes o proveedores interesados en participar en los procesos de contratación que se publican en esta plataforma deban registrarse en el SECOP II, pues de lo contrario no podrían hacer comentarios a los documentos del procedimiento, presentar ofertas y, en general, seguir el procedimiento de selección en línea, pues la plataforma exige dicho registro para realizar dichas actuaciones. </w:t>
      </w:r>
      <w:r w:rsidRPr="008E6190">
        <w:rPr>
          <w:rFonts w:eastAsia="Times New Roman"/>
          <w:color w:val="000000" w:themeColor="text1"/>
          <w:sz w:val="22"/>
          <w:lang w:eastAsia="es-ES_tradnl"/>
        </w:rPr>
        <w:t xml:space="preserve">En particular, </w:t>
      </w:r>
      <w:r w:rsidRPr="008E6190">
        <w:rPr>
          <w:rFonts w:eastAsia="Calibri"/>
          <w:color w:val="000000" w:themeColor="text1"/>
          <w:sz w:val="22"/>
          <w:lang w:val="es-ES"/>
        </w:rPr>
        <w:t>las empresas industriales y comerciales del Estado –al igual que las demás entidades del Estado–, que pretendan fungir como contratistas de entidades estatales que publiquen su actividad contractual en el SECOP II, deben registrarse en la plataforma como Entidad y solicitar a la mesa de servicio la habilitación del perfil de proveedor.</w:t>
      </w:r>
    </w:p>
    <w:p w14:paraId="58AD9870" w14:textId="77777777" w:rsidR="00E833ED" w:rsidRPr="008E6190" w:rsidRDefault="00E833ED" w:rsidP="00DF2638">
      <w:pPr>
        <w:spacing w:line="276" w:lineRule="auto"/>
        <w:jc w:val="both"/>
        <w:rPr>
          <w:rFonts w:ascii="Arial" w:eastAsia="Calibri" w:hAnsi="Arial" w:cs="Arial"/>
          <w:sz w:val="22"/>
          <w:lang w:val="es-CO"/>
        </w:rPr>
      </w:pPr>
    </w:p>
    <w:p w14:paraId="2EB79B8A" w14:textId="0786C7DA" w:rsidR="00DF2638" w:rsidRPr="008E6190" w:rsidRDefault="00DF2638" w:rsidP="00DF2638">
      <w:pPr>
        <w:spacing w:line="276" w:lineRule="auto"/>
        <w:jc w:val="both"/>
        <w:rPr>
          <w:rFonts w:ascii="Arial" w:eastAsia="Calibri" w:hAnsi="Arial" w:cs="Arial"/>
          <w:sz w:val="22"/>
        </w:rPr>
      </w:pPr>
      <w:r w:rsidRPr="008E6190">
        <w:rPr>
          <w:rFonts w:ascii="Arial" w:eastAsia="Calibri" w:hAnsi="Arial" w:cs="Arial"/>
          <w:sz w:val="22"/>
        </w:rPr>
        <w:t>Este concepto tiene el alcance previsto en el artículo 28 del Código de Procedimiento Administrativo y de lo Contencioso Administrativo.</w:t>
      </w:r>
    </w:p>
    <w:p w14:paraId="54D6CECE" w14:textId="546DA5DB" w:rsidR="00DF2638" w:rsidRPr="008E6190" w:rsidRDefault="00DF2638" w:rsidP="00DF2638">
      <w:pPr>
        <w:spacing w:line="276" w:lineRule="auto"/>
        <w:rPr>
          <w:rFonts w:ascii="Arial" w:hAnsi="Arial" w:cs="Arial"/>
          <w:lang w:eastAsia="es-CO"/>
        </w:rPr>
      </w:pPr>
      <w:bookmarkStart w:id="4" w:name="_Hlk50370367"/>
    </w:p>
    <w:bookmarkEnd w:id="4"/>
    <w:p w14:paraId="4FC8A53A" w14:textId="14AFEF93" w:rsidR="00DF2638" w:rsidRPr="008E6190" w:rsidRDefault="00DF2638" w:rsidP="00DF2638">
      <w:pPr>
        <w:spacing w:line="276" w:lineRule="auto"/>
        <w:rPr>
          <w:rFonts w:ascii="Arial" w:hAnsi="Arial" w:cs="Arial"/>
          <w:sz w:val="22"/>
          <w:szCs w:val="20"/>
          <w:lang w:eastAsia="es-CO"/>
        </w:rPr>
      </w:pPr>
      <w:r w:rsidRPr="008E6190">
        <w:rPr>
          <w:rFonts w:ascii="Arial" w:hAnsi="Arial" w:cs="Arial"/>
          <w:sz w:val="22"/>
          <w:szCs w:val="20"/>
          <w:lang w:eastAsia="es-CO"/>
        </w:rPr>
        <w:t>Atentamente,</w:t>
      </w:r>
    </w:p>
    <w:p w14:paraId="1C906C8D" w14:textId="0338C0F1" w:rsidR="002F6640" w:rsidRPr="008E6190" w:rsidRDefault="00732939" w:rsidP="00732939">
      <w:pPr>
        <w:spacing w:line="276" w:lineRule="auto"/>
        <w:jc w:val="center"/>
        <w:rPr>
          <w:rFonts w:ascii="Arial" w:hAnsi="Arial" w:cs="Arial"/>
          <w:sz w:val="22"/>
          <w:szCs w:val="20"/>
          <w:lang w:eastAsia="es-CO"/>
        </w:rPr>
      </w:pPr>
      <w:r>
        <w:rPr>
          <w:rFonts w:ascii="Arial" w:hAnsi="Arial" w:cs="Arial"/>
          <w:noProof/>
          <w:sz w:val="22"/>
          <w:szCs w:val="20"/>
        </w:rPr>
        <w:drawing>
          <wp:inline distT="0" distB="0" distL="0" distR="0" wp14:anchorId="02078CB3" wp14:editId="0DD0C0DE">
            <wp:extent cx="2517775" cy="1116330"/>
            <wp:effectExtent l="0" t="0" r="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r>
        <w:rPr>
          <w:color w:val="000000"/>
          <w:shd w:val="clear" w:color="auto" w:fill="FFFFFF"/>
        </w:rPr>
        <w:br/>
      </w:r>
    </w:p>
    <w:p w14:paraId="2009F22C" w14:textId="18F40632" w:rsidR="002F6640" w:rsidRPr="008E6190" w:rsidRDefault="002F6640" w:rsidP="00DF2638">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F16BC8" w:rsidRPr="008E6190" w14:paraId="2C2CB244" w14:textId="77777777" w:rsidTr="002F6640">
        <w:trPr>
          <w:trHeight w:val="286"/>
        </w:trPr>
        <w:tc>
          <w:tcPr>
            <w:tcW w:w="886" w:type="dxa"/>
            <w:vAlign w:val="center"/>
            <w:hideMark/>
          </w:tcPr>
          <w:p w14:paraId="48D28BCE" w14:textId="77777777" w:rsidR="002F6640" w:rsidRPr="008E6190" w:rsidRDefault="002F6640" w:rsidP="002F6640">
            <w:pPr>
              <w:rPr>
                <w:rFonts w:ascii="Arial" w:hAnsi="Arial" w:cs="Arial"/>
                <w:sz w:val="14"/>
                <w:szCs w:val="14"/>
                <w:lang w:eastAsia="es-ES"/>
              </w:rPr>
            </w:pPr>
            <w:r w:rsidRPr="008E6190">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3369225E" w14:textId="77777777" w:rsidR="002F6640" w:rsidRPr="008E6190" w:rsidRDefault="00A724B8" w:rsidP="002F6640">
            <w:pPr>
              <w:rPr>
                <w:rFonts w:ascii="Arial" w:hAnsi="Arial" w:cs="Arial"/>
                <w:sz w:val="14"/>
                <w:szCs w:val="14"/>
                <w:lang w:eastAsia="es-ES"/>
              </w:rPr>
            </w:pPr>
            <w:r w:rsidRPr="008E6190">
              <w:rPr>
                <w:rFonts w:ascii="Arial" w:hAnsi="Arial" w:cs="Arial"/>
                <w:sz w:val="14"/>
                <w:szCs w:val="14"/>
                <w:lang w:eastAsia="es-ES"/>
              </w:rPr>
              <w:t xml:space="preserve">David Torres Rojas </w:t>
            </w:r>
          </w:p>
          <w:p w14:paraId="48E2498E" w14:textId="6C4A369B" w:rsidR="00A724B8" w:rsidRPr="008E6190" w:rsidRDefault="00A724B8" w:rsidP="002F6640">
            <w:pPr>
              <w:rPr>
                <w:rFonts w:ascii="Arial" w:hAnsi="Arial" w:cs="Arial"/>
                <w:sz w:val="14"/>
                <w:szCs w:val="14"/>
                <w:lang w:eastAsia="es-ES"/>
              </w:rPr>
            </w:pPr>
            <w:r w:rsidRPr="008E6190">
              <w:rPr>
                <w:rFonts w:ascii="Arial" w:hAnsi="Arial" w:cs="Arial"/>
                <w:sz w:val="14"/>
                <w:szCs w:val="14"/>
                <w:lang w:eastAsia="es-ES"/>
              </w:rPr>
              <w:t>Contratista de la Subdirección de Gestión Contractual</w:t>
            </w:r>
          </w:p>
        </w:tc>
      </w:tr>
      <w:tr w:rsidR="00F16BC8" w:rsidRPr="008E6190" w14:paraId="7AC63B07" w14:textId="77777777" w:rsidTr="002F6640">
        <w:trPr>
          <w:trHeight w:val="299"/>
        </w:trPr>
        <w:tc>
          <w:tcPr>
            <w:tcW w:w="886" w:type="dxa"/>
            <w:vAlign w:val="center"/>
          </w:tcPr>
          <w:p w14:paraId="071D5F23" w14:textId="77299AE0" w:rsidR="002F6640" w:rsidRPr="008E6190" w:rsidRDefault="00B741B7" w:rsidP="002F6640">
            <w:pPr>
              <w:rPr>
                <w:rFonts w:ascii="Arial" w:hAnsi="Arial" w:cs="Arial"/>
                <w:sz w:val="14"/>
                <w:szCs w:val="14"/>
                <w:lang w:eastAsia="es-ES"/>
              </w:rPr>
            </w:pPr>
            <w:r w:rsidRPr="008E6190">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0CD7714C" w14:textId="30C33282" w:rsidR="002F6640" w:rsidRPr="008E6190" w:rsidRDefault="00575C88" w:rsidP="002F6640">
            <w:pPr>
              <w:rPr>
                <w:rFonts w:ascii="Arial" w:hAnsi="Arial" w:cs="Arial"/>
                <w:sz w:val="14"/>
                <w:szCs w:val="14"/>
                <w:lang w:eastAsia="es-ES"/>
              </w:rPr>
            </w:pPr>
            <w:r w:rsidRPr="008E6190">
              <w:rPr>
                <w:rFonts w:ascii="Arial" w:hAnsi="Arial" w:cs="Arial"/>
                <w:sz w:val="14"/>
                <w:szCs w:val="14"/>
                <w:lang w:eastAsia="es-ES"/>
              </w:rPr>
              <w:t>Sebastián Ramí</w:t>
            </w:r>
            <w:r w:rsidR="00481E49" w:rsidRPr="008E6190">
              <w:rPr>
                <w:rFonts w:ascii="Arial" w:hAnsi="Arial" w:cs="Arial"/>
                <w:sz w:val="14"/>
                <w:szCs w:val="14"/>
                <w:lang w:eastAsia="es-ES"/>
              </w:rPr>
              <w:t>rez Grisales</w:t>
            </w:r>
          </w:p>
          <w:p w14:paraId="40223133" w14:textId="77777777" w:rsidR="002F6640" w:rsidRPr="008E6190" w:rsidRDefault="002F6640" w:rsidP="002F6640">
            <w:pPr>
              <w:rPr>
                <w:rFonts w:ascii="Arial" w:hAnsi="Arial" w:cs="Arial"/>
                <w:sz w:val="14"/>
                <w:szCs w:val="14"/>
                <w:lang w:eastAsia="es-ES"/>
              </w:rPr>
            </w:pPr>
            <w:r w:rsidRPr="008E6190">
              <w:rPr>
                <w:rFonts w:ascii="Arial" w:hAnsi="Arial" w:cs="Arial"/>
                <w:sz w:val="14"/>
                <w:szCs w:val="14"/>
                <w:lang w:eastAsia="es-ES"/>
              </w:rPr>
              <w:t xml:space="preserve">Gestor T1-15 de la Subdirección de Gestión Contractual  </w:t>
            </w:r>
          </w:p>
        </w:tc>
      </w:tr>
      <w:tr w:rsidR="00F16BC8" w:rsidRPr="00F16BC8" w14:paraId="6A5341FF" w14:textId="77777777" w:rsidTr="002F6640">
        <w:trPr>
          <w:trHeight w:val="272"/>
        </w:trPr>
        <w:tc>
          <w:tcPr>
            <w:tcW w:w="886" w:type="dxa"/>
            <w:vAlign w:val="center"/>
            <w:hideMark/>
          </w:tcPr>
          <w:p w14:paraId="21D38304" w14:textId="77777777" w:rsidR="002F6640" w:rsidRPr="008E6190" w:rsidRDefault="002F6640" w:rsidP="002F6640">
            <w:pPr>
              <w:rPr>
                <w:rFonts w:ascii="Arial" w:hAnsi="Arial" w:cs="Arial"/>
                <w:sz w:val="14"/>
                <w:szCs w:val="14"/>
                <w:lang w:eastAsia="es-ES"/>
              </w:rPr>
            </w:pPr>
            <w:r w:rsidRPr="008E6190">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A55F383" w14:textId="77777777" w:rsidR="002F6640" w:rsidRPr="008E6190" w:rsidRDefault="002F6640" w:rsidP="002F6640">
            <w:pPr>
              <w:rPr>
                <w:rFonts w:ascii="Arial" w:hAnsi="Arial" w:cs="Arial"/>
                <w:sz w:val="14"/>
                <w:szCs w:val="14"/>
                <w:lang w:eastAsia="es-ES"/>
              </w:rPr>
            </w:pPr>
            <w:r w:rsidRPr="008E6190">
              <w:rPr>
                <w:rFonts w:ascii="Arial" w:hAnsi="Arial" w:cs="Arial"/>
                <w:sz w:val="14"/>
                <w:szCs w:val="14"/>
                <w:lang w:eastAsia="es-ES"/>
              </w:rPr>
              <w:t>Jorge Augusto Tirado Navarro</w:t>
            </w:r>
          </w:p>
          <w:p w14:paraId="5E6BD83B" w14:textId="77777777" w:rsidR="002F6640" w:rsidRPr="00F16BC8" w:rsidRDefault="002F6640" w:rsidP="002F6640">
            <w:pPr>
              <w:rPr>
                <w:rFonts w:ascii="Arial" w:hAnsi="Arial" w:cs="Arial"/>
                <w:sz w:val="14"/>
                <w:szCs w:val="14"/>
                <w:lang w:eastAsia="es-ES"/>
              </w:rPr>
            </w:pPr>
            <w:r w:rsidRPr="008E6190">
              <w:rPr>
                <w:rFonts w:ascii="Arial" w:hAnsi="Arial" w:cs="Arial"/>
                <w:sz w:val="14"/>
                <w:szCs w:val="14"/>
                <w:lang w:eastAsia="es-ES"/>
              </w:rPr>
              <w:t>Subdirector de Gestión Contractual</w:t>
            </w:r>
          </w:p>
        </w:tc>
      </w:tr>
    </w:tbl>
    <w:p w14:paraId="5F778D97" w14:textId="27D8D698" w:rsidR="00DF2638" w:rsidRPr="00F16BC8" w:rsidRDefault="00DF2638" w:rsidP="00DF2638">
      <w:pPr>
        <w:jc w:val="both"/>
        <w:rPr>
          <w:rFonts w:ascii="Arial" w:hAnsi="Arial" w:cs="Arial"/>
          <w:lang w:eastAsia="es-CO"/>
        </w:rPr>
      </w:pPr>
    </w:p>
    <w:p w14:paraId="087FCCCD" w14:textId="77777777" w:rsidR="00DF2638" w:rsidRPr="00F16BC8" w:rsidRDefault="00DF2638" w:rsidP="00DF2638">
      <w:pPr>
        <w:spacing w:after="18"/>
        <w:jc w:val="center"/>
        <w:rPr>
          <w:rFonts w:ascii="Arial" w:hAnsi="Arial" w:cs="Arial"/>
          <w:lang w:eastAsia="es-CO"/>
        </w:rPr>
      </w:pPr>
    </w:p>
    <w:p w14:paraId="29E07A03" w14:textId="77777777" w:rsidR="00DF2638" w:rsidRPr="00F16BC8" w:rsidRDefault="00DF2638" w:rsidP="00DF2638">
      <w:pPr>
        <w:spacing w:after="18"/>
        <w:jc w:val="center"/>
        <w:rPr>
          <w:rFonts w:ascii="Arial" w:hAnsi="Arial" w:cs="Arial"/>
          <w:lang w:eastAsia="es-CO"/>
        </w:rPr>
      </w:pPr>
    </w:p>
    <w:p w14:paraId="1D9C75A2" w14:textId="77777777" w:rsidR="00DF2638" w:rsidRPr="00F16BC8" w:rsidRDefault="00DF2638" w:rsidP="00DF2638">
      <w:pPr>
        <w:spacing w:after="18"/>
        <w:jc w:val="center"/>
        <w:rPr>
          <w:rFonts w:ascii="Arial" w:hAnsi="Arial" w:cs="Arial"/>
          <w:lang w:eastAsia="es-CO"/>
        </w:rPr>
      </w:pPr>
    </w:p>
    <w:bookmarkEnd w:id="1"/>
    <w:bookmarkEnd w:id="2"/>
    <w:p w14:paraId="25957266" w14:textId="77777777" w:rsidR="00232A00" w:rsidRPr="00F16BC8" w:rsidRDefault="00232A00">
      <w:pPr>
        <w:tabs>
          <w:tab w:val="left" w:pos="7938"/>
          <w:tab w:val="left" w:pos="8080"/>
        </w:tabs>
        <w:spacing w:line="276" w:lineRule="auto"/>
        <w:ind w:right="900"/>
        <w:jc w:val="both"/>
        <w:rPr>
          <w:rFonts w:ascii="Arial" w:hAnsi="Arial" w:cs="Arial"/>
          <w:sz w:val="22"/>
        </w:rPr>
      </w:pPr>
    </w:p>
    <w:sectPr w:rsidR="00232A00" w:rsidRPr="00F16BC8" w:rsidSect="000D0EC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06B5" w14:textId="77777777" w:rsidR="000F1791" w:rsidRDefault="000F1791" w:rsidP="00410548">
      <w:r>
        <w:separator/>
      </w:r>
    </w:p>
  </w:endnote>
  <w:endnote w:type="continuationSeparator" w:id="0">
    <w:p w14:paraId="1AAC084A" w14:textId="77777777" w:rsidR="000F1791" w:rsidRDefault="000F1791" w:rsidP="00410548">
      <w:r>
        <w:continuationSeparator/>
      </w:r>
    </w:p>
  </w:endnote>
  <w:endnote w:type="continuationNotice" w:id="1">
    <w:p w14:paraId="69641AAC" w14:textId="77777777" w:rsidR="000F1791" w:rsidRDefault="000F1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0D07" w14:textId="77777777" w:rsidR="000F1791" w:rsidRDefault="000F1791" w:rsidP="00410548">
      <w:r>
        <w:separator/>
      </w:r>
    </w:p>
  </w:footnote>
  <w:footnote w:type="continuationSeparator" w:id="0">
    <w:p w14:paraId="1B4554D4" w14:textId="77777777" w:rsidR="000F1791" w:rsidRDefault="000F1791" w:rsidP="00410548">
      <w:r>
        <w:continuationSeparator/>
      </w:r>
    </w:p>
  </w:footnote>
  <w:footnote w:type="continuationNotice" w:id="1">
    <w:p w14:paraId="5CC8CE8F" w14:textId="77777777" w:rsidR="000F1791" w:rsidRDefault="000F1791"/>
  </w:footnote>
  <w:footnote w:id="2">
    <w:p w14:paraId="694E875F" w14:textId="77777777" w:rsidR="00384465" w:rsidRPr="007475F1" w:rsidRDefault="00384465" w:rsidP="007475F1">
      <w:pPr>
        <w:pStyle w:val="Textonotapie"/>
        <w:ind w:firstLine="709"/>
        <w:jc w:val="both"/>
        <w:rPr>
          <w:rFonts w:ascii="Arial" w:hAnsi="Arial" w:cs="Arial"/>
          <w:sz w:val="19"/>
          <w:szCs w:val="19"/>
          <w:lang w:val="es-ES"/>
        </w:rPr>
      </w:pPr>
      <w:r w:rsidRPr="007475F1">
        <w:rPr>
          <w:rStyle w:val="Refdenotaalpie"/>
          <w:rFonts w:ascii="Arial" w:hAnsi="Arial" w:cs="Arial"/>
          <w:sz w:val="19"/>
          <w:szCs w:val="19"/>
        </w:rPr>
        <w:footnoteRef/>
      </w:r>
      <w:r w:rsidRPr="007475F1">
        <w:rPr>
          <w:rFonts w:ascii="Arial" w:hAnsi="Arial" w:cs="Arial"/>
          <w:sz w:val="19"/>
          <w:szCs w:val="19"/>
        </w:rPr>
        <w:t xml:space="preserve"> </w:t>
      </w:r>
      <w:r w:rsidRPr="007475F1">
        <w:rPr>
          <w:rFonts w:ascii="Arial" w:hAnsi="Arial" w:cs="Arial"/>
          <w:sz w:val="19"/>
          <w:szCs w:val="19"/>
          <w:lang w:val="es-ES"/>
        </w:rPr>
        <w:t>BOBBIO, Norberto. Democracia y secreto. México: Fondo de Cultura Económica, 2013. p. 27.</w:t>
      </w:r>
    </w:p>
  </w:footnote>
  <w:footnote w:id="3">
    <w:p w14:paraId="04AC25C7" w14:textId="77777777" w:rsidR="00384465" w:rsidRPr="007475F1" w:rsidRDefault="00384465" w:rsidP="007475F1">
      <w:pPr>
        <w:pStyle w:val="Textonotapie"/>
        <w:ind w:firstLine="709"/>
        <w:jc w:val="both"/>
        <w:rPr>
          <w:rFonts w:ascii="Arial" w:hAnsi="Arial" w:cs="Arial"/>
          <w:color w:val="000000" w:themeColor="text1"/>
          <w:sz w:val="19"/>
          <w:szCs w:val="19"/>
        </w:rPr>
      </w:pPr>
    </w:p>
    <w:p w14:paraId="5B31E3BC"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Corte Constitucional. Sentencia C- 341 del 4 de junio de 2014. M. P. Mauricio González Cuervo.</w:t>
      </w:r>
    </w:p>
    <w:p w14:paraId="23FA9617" w14:textId="77777777" w:rsidR="00384465" w:rsidRPr="007475F1" w:rsidRDefault="00384465" w:rsidP="007475F1">
      <w:pPr>
        <w:pStyle w:val="Textonotapie"/>
        <w:ind w:firstLine="709"/>
        <w:jc w:val="both"/>
        <w:rPr>
          <w:rFonts w:ascii="Arial" w:hAnsi="Arial" w:cs="Arial"/>
          <w:color w:val="000000" w:themeColor="text1"/>
          <w:sz w:val="19"/>
          <w:szCs w:val="19"/>
        </w:rPr>
      </w:pPr>
    </w:p>
  </w:footnote>
  <w:footnote w:id="4">
    <w:p w14:paraId="5F5CAE52"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19861F3" w14:textId="77777777" w:rsidR="00384465" w:rsidRPr="007475F1" w:rsidRDefault="00384465" w:rsidP="007475F1">
      <w:pPr>
        <w:pStyle w:val="Textonotapie"/>
        <w:ind w:firstLine="709"/>
        <w:jc w:val="both"/>
        <w:rPr>
          <w:rFonts w:ascii="Arial" w:hAnsi="Arial" w:cs="Arial"/>
          <w:color w:val="000000" w:themeColor="text1"/>
          <w:sz w:val="19"/>
          <w:szCs w:val="19"/>
        </w:rPr>
      </w:pPr>
      <w:proofErr w:type="gramStart"/>
      <w:r w:rsidRPr="007475F1">
        <w:rPr>
          <w:rFonts w:ascii="Arial" w:hAnsi="Arial" w:cs="Arial"/>
          <w:color w:val="000000" w:themeColor="text1"/>
          <w:sz w:val="19"/>
          <w:szCs w:val="19"/>
        </w:rPr>
        <w:t>»Lo</w:t>
      </w:r>
      <w:proofErr w:type="gramEnd"/>
      <w:r w:rsidRPr="007475F1">
        <w:rPr>
          <w:rFonts w:ascii="Arial" w:hAnsi="Arial" w:cs="Arial"/>
          <w:color w:val="000000" w:themeColor="text1"/>
          <w:sz w:val="19"/>
          <w:szCs w:val="19"/>
        </w:rPr>
        <w:t xml:space="preserve"> anterior, sin perjuicio de las publicaciones previstas en el numeral 3 del artículo 30 de la Ley 80 de 1993.</w:t>
      </w:r>
    </w:p>
    <w:p w14:paraId="4DF258CE" w14:textId="77777777" w:rsidR="00384465" w:rsidRPr="007475F1" w:rsidRDefault="00384465" w:rsidP="007475F1">
      <w:pPr>
        <w:pStyle w:val="Textonotapie"/>
        <w:ind w:firstLine="709"/>
        <w:jc w:val="both"/>
        <w:rPr>
          <w:rFonts w:ascii="Arial" w:hAnsi="Arial" w:cs="Arial"/>
          <w:color w:val="000000" w:themeColor="text1"/>
          <w:sz w:val="19"/>
          <w:szCs w:val="19"/>
        </w:rPr>
      </w:pPr>
      <w:proofErr w:type="gramStart"/>
      <w:r w:rsidRPr="007475F1">
        <w:rPr>
          <w:rFonts w:ascii="Arial" w:hAnsi="Arial" w:cs="Arial"/>
          <w:color w:val="000000" w:themeColor="text1"/>
          <w:sz w:val="19"/>
          <w:szCs w:val="19"/>
        </w:rPr>
        <w:t>»Con</w:t>
      </w:r>
      <w:proofErr w:type="gramEnd"/>
      <w:r w:rsidRPr="007475F1">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7475F1">
        <w:rPr>
          <w:rFonts w:ascii="Arial" w:hAnsi="Arial" w:cs="Arial"/>
          <w:color w:val="000000" w:themeColor="text1"/>
          <w:sz w:val="19"/>
          <w:szCs w:val="19"/>
        </w:rPr>
        <w:t>Secop</w:t>
      </w:r>
      <w:proofErr w:type="spellEnd"/>
      <w:r w:rsidRPr="007475F1">
        <w:rPr>
          <w:rFonts w:ascii="Arial" w:hAnsi="Arial" w:cs="Arial"/>
          <w:color w:val="000000" w:themeColor="text1"/>
          <w:sz w:val="19"/>
          <w:szCs w:val="19"/>
        </w:rPr>
        <w:t xml:space="preserve">, el cual: </w:t>
      </w:r>
    </w:p>
    <w:p w14:paraId="6545B326"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Fonts w:ascii="Arial" w:hAnsi="Arial" w:cs="Arial"/>
          <w:color w:val="000000" w:themeColor="text1"/>
          <w:sz w:val="19"/>
          <w:szCs w:val="19"/>
        </w:rPr>
        <w:t>[…]</w:t>
      </w:r>
    </w:p>
    <w:p w14:paraId="3DF695B7"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7DA7050" w14:textId="77777777" w:rsidR="00384465" w:rsidRPr="007475F1" w:rsidRDefault="00384465" w:rsidP="007475F1">
      <w:pPr>
        <w:pStyle w:val="Textonotapie"/>
        <w:ind w:firstLine="709"/>
        <w:jc w:val="both"/>
        <w:rPr>
          <w:rFonts w:ascii="Arial" w:hAnsi="Arial" w:cs="Arial"/>
          <w:color w:val="000000" w:themeColor="text1"/>
          <w:sz w:val="19"/>
          <w:szCs w:val="19"/>
          <w:lang w:val="es-CO"/>
        </w:rPr>
      </w:pPr>
    </w:p>
  </w:footnote>
  <w:footnote w:id="5">
    <w:p w14:paraId="521376F1"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FC6D923" w14:textId="77777777" w:rsidR="00384465" w:rsidRPr="007475F1" w:rsidRDefault="00384465" w:rsidP="007475F1">
      <w:pPr>
        <w:pStyle w:val="Textonotapie"/>
        <w:ind w:firstLine="709"/>
        <w:jc w:val="both"/>
        <w:rPr>
          <w:rFonts w:ascii="Arial" w:hAnsi="Arial" w:cs="Arial"/>
          <w:color w:val="000000" w:themeColor="text1"/>
          <w:sz w:val="19"/>
          <w:szCs w:val="19"/>
          <w:lang w:val="es-CO"/>
        </w:rPr>
      </w:pPr>
    </w:p>
  </w:footnote>
  <w:footnote w:id="6">
    <w:p w14:paraId="1A84E889"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7D99AEB" w14:textId="77777777" w:rsidR="00384465" w:rsidRPr="007475F1" w:rsidRDefault="00384465" w:rsidP="007475F1">
      <w:pPr>
        <w:pStyle w:val="Textonotapie"/>
        <w:ind w:firstLine="709"/>
        <w:jc w:val="both"/>
        <w:rPr>
          <w:rFonts w:ascii="Arial" w:hAnsi="Arial" w:cs="Arial"/>
          <w:color w:val="000000" w:themeColor="text1"/>
          <w:sz w:val="19"/>
          <w:szCs w:val="19"/>
        </w:rPr>
      </w:pPr>
      <w:proofErr w:type="gramStart"/>
      <w:r w:rsidRPr="007475F1">
        <w:rPr>
          <w:rFonts w:ascii="Arial" w:hAnsi="Arial" w:cs="Arial"/>
          <w:color w:val="000000" w:themeColor="text1"/>
          <w:sz w:val="19"/>
          <w:szCs w:val="19"/>
        </w:rPr>
        <w:t>»a</w:t>
      </w:r>
      <w:proofErr w:type="gramEnd"/>
      <w:r w:rsidRPr="007475F1">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721930B0" w14:textId="77777777" w:rsidR="00384465" w:rsidRPr="007475F1" w:rsidRDefault="00384465" w:rsidP="007475F1">
      <w:pPr>
        <w:pStyle w:val="Textonotapie"/>
        <w:ind w:firstLine="709"/>
        <w:jc w:val="both"/>
        <w:rPr>
          <w:rFonts w:ascii="Arial" w:hAnsi="Arial" w:cs="Arial"/>
          <w:color w:val="000000" w:themeColor="text1"/>
          <w:sz w:val="19"/>
          <w:szCs w:val="19"/>
          <w:lang w:val="es-CO"/>
        </w:rPr>
      </w:pPr>
    </w:p>
  </w:footnote>
  <w:footnote w:id="7">
    <w:p w14:paraId="4B6DD1F0"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Fonts w:ascii="Arial" w:eastAsia="Times New Roman" w:hAnsi="Arial" w:cs="Arial"/>
          <w:color w:val="000000" w:themeColor="text1"/>
          <w:sz w:val="19"/>
          <w:szCs w:val="19"/>
          <w:vertAlign w:val="superscript"/>
          <w:lang w:val="es-ES" w:eastAsia="es-ES"/>
        </w:rPr>
        <w:footnoteRef/>
      </w:r>
      <w:r w:rsidRPr="007475F1">
        <w:rPr>
          <w:rFonts w:ascii="Arial" w:eastAsia="Times New Roman" w:hAnsi="Arial" w:cs="Arial"/>
          <w:color w:val="000000" w:themeColor="text1"/>
          <w:sz w:val="19"/>
          <w:szCs w:val="19"/>
          <w:vertAlign w:val="superscript"/>
          <w:lang w:val="es-ES" w:eastAsia="es-ES"/>
        </w:rPr>
        <w:t xml:space="preserve"> </w:t>
      </w:r>
      <w:r w:rsidRPr="007475F1">
        <w:rPr>
          <w:rFonts w:ascii="Arial" w:eastAsia="Times New Roman" w:hAnsi="Arial" w:cs="Arial"/>
          <w:color w:val="000000" w:themeColor="text1"/>
          <w:sz w:val="19"/>
          <w:szCs w:val="19"/>
          <w:lang w:val="es-ES" w:eastAsia="es-ES"/>
        </w:rPr>
        <w:t>«</w:t>
      </w:r>
      <w:r w:rsidRPr="007475F1">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F1BC3B8" w14:textId="77777777" w:rsidR="00384465" w:rsidRPr="007475F1" w:rsidRDefault="00384465" w:rsidP="007475F1">
      <w:pPr>
        <w:pStyle w:val="Textonotapie"/>
        <w:ind w:firstLine="709"/>
        <w:jc w:val="both"/>
        <w:rPr>
          <w:rFonts w:ascii="Arial" w:eastAsia="Times New Roman" w:hAnsi="Arial" w:cs="Arial"/>
          <w:color w:val="000000" w:themeColor="text1"/>
          <w:sz w:val="19"/>
          <w:szCs w:val="19"/>
          <w:lang w:val="es-ES" w:eastAsia="es-ES"/>
        </w:rPr>
      </w:pPr>
      <w:r w:rsidRPr="007475F1">
        <w:rPr>
          <w:rFonts w:ascii="Arial" w:hAnsi="Arial" w:cs="Arial"/>
          <w:color w:val="000000" w:themeColor="text1"/>
          <w:sz w:val="19"/>
          <w:szCs w:val="19"/>
        </w:rPr>
        <w:t>[…].</w:t>
      </w:r>
    </w:p>
    <w:p w14:paraId="77305A62" w14:textId="77777777" w:rsidR="00384465" w:rsidRPr="007475F1" w:rsidRDefault="00384465" w:rsidP="007475F1">
      <w:pPr>
        <w:pStyle w:val="Textonotapie"/>
        <w:ind w:firstLine="709"/>
        <w:jc w:val="both"/>
        <w:rPr>
          <w:rFonts w:ascii="Arial" w:eastAsia="Times New Roman" w:hAnsi="Arial" w:cs="Arial"/>
          <w:color w:val="000000" w:themeColor="text1"/>
          <w:sz w:val="19"/>
          <w:szCs w:val="19"/>
          <w:lang w:val="es-ES" w:eastAsia="es-ES"/>
        </w:rPr>
      </w:pPr>
      <w:r w:rsidRPr="007475F1">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5085B10" w14:textId="77777777" w:rsidR="00384465" w:rsidRPr="007475F1" w:rsidRDefault="00384465" w:rsidP="007475F1">
      <w:pPr>
        <w:pStyle w:val="Textonotapie"/>
        <w:ind w:firstLine="709"/>
        <w:jc w:val="both"/>
        <w:rPr>
          <w:rFonts w:ascii="Arial" w:eastAsia="Times New Roman" w:hAnsi="Arial" w:cs="Arial"/>
          <w:color w:val="000000" w:themeColor="text1"/>
          <w:sz w:val="19"/>
          <w:szCs w:val="19"/>
          <w:lang w:val="es-ES" w:eastAsia="es-ES"/>
        </w:rPr>
      </w:pPr>
    </w:p>
  </w:footnote>
  <w:footnote w:id="8">
    <w:p w14:paraId="7C9A3938"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C</w:t>
      </w:r>
      <w:proofErr w:type="spellStart"/>
      <w:r w:rsidRPr="007475F1">
        <w:rPr>
          <w:rFonts w:ascii="Arial" w:eastAsia="Times New Roman" w:hAnsi="Arial" w:cs="Arial"/>
          <w:color w:val="000000" w:themeColor="text1"/>
          <w:sz w:val="19"/>
          <w:szCs w:val="19"/>
          <w:lang w:val="es-ES" w:eastAsia="es-ES"/>
        </w:rPr>
        <w:t>orte</w:t>
      </w:r>
      <w:proofErr w:type="spellEnd"/>
      <w:r w:rsidRPr="007475F1">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43921354" w14:textId="77777777" w:rsidR="00384465" w:rsidRPr="007475F1" w:rsidRDefault="00384465" w:rsidP="007475F1">
      <w:pPr>
        <w:pStyle w:val="Textonotapie"/>
        <w:ind w:firstLine="709"/>
        <w:jc w:val="both"/>
        <w:rPr>
          <w:rFonts w:ascii="Arial" w:hAnsi="Arial" w:cs="Arial"/>
          <w:color w:val="000000" w:themeColor="text1"/>
          <w:sz w:val="19"/>
          <w:szCs w:val="19"/>
          <w:lang w:val="es-CO"/>
        </w:rPr>
      </w:pPr>
    </w:p>
  </w:footnote>
  <w:footnote w:id="9">
    <w:p w14:paraId="55FC4C44"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B06A2DF" w14:textId="77777777" w:rsidR="00384465" w:rsidRPr="007475F1" w:rsidRDefault="00384465" w:rsidP="007475F1">
      <w:pPr>
        <w:pStyle w:val="Textonotapie"/>
        <w:ind w:firstLine="709"/>
        <w:jc w:val="both"/>
        <w:rPr>
          <w:rFonts w:ascii="Arial" w:hAnsi="Arial" w:cs="Arial"/>
          <w:color w:val="000000" w:themeColor="text1"/>
          <w:sz w:val="19"/>
          <w:szCs w:val="19"/>
          <w:lang w:val="es-CO"/>
        </w:rPr>
      </w:pPr>
    </w:p>
  </w:footnote>
  <w:footnote w:id="10">
    <w:p w14:paraId="58A31A81" w14:textId="77777777" w:rsidR="00384465" w:rsidRPr="007475F1" w:rsidRDefault="00384465" w:rsidP="007475F1">
      <w:pPr>
        <w:pStyle w:val="Textonotapie"/>
        <w:ind w:firstLine="709"/>
        <w:jc w:val="both"/>
        <w:rPr>
          <w:rFonts w:ascii="Arial" w:hAnsi="Arial" w:cs="Arial"/>
          <w:sz w:val="19"/>
          <w:szCs w:val="19"/>
          <w:lang w:val="es-ES"/>
        </w:rPr>
      </w:pPr>
      <w:r w:rsidRPr="007475F1">
        <w:rPr>
          <w:rStyle w:val="Refdenotaalpie"/>
          <w:rFonts w:ascii="Arial" w:hAnsi="Arial" w:cs="Arial"/>
          <w:sz w:val="19"/>
          <w:szCs w:val="19"/>
        </w:rPr>
        <w:footnoteRef/>
      </w:r>
      <w:r w:rsidRPr="007475F1">
        <w:rPr>
          <w:rFonts w:ascii="Arial" w:hAnsi="Arial" w:cs="Arial"/>
          <w:sz w:val="19"/>
          <w:szCs w:val="19"/>
        </w:rPr>
        <w:t xml:space="preserve"> </w:t>
      </w:r>
      <w:r w:rsidRPr="007475F1">
        <w:rPr>
          <w:rFonts w:ascii="Arial" w:hAnsi="Arial" w:cs="Arial"/>
          <w:color w:val="000000" w:themeColor="text1"/>
          <w:sz w:val="19"/>
          <w:szCs w:val="19"/>
          <w:lang w:val="es-ES"/>
        </w:rPr>
        <w:t>Consejero Ponente: Jaime Orlando Santofimio Gamboa.</w:t>
      </w:r>
    </w:p>
  </w:footnote>
  <w:footnote w:id="11">
    <w:p w14:paraId="043CAA5F" w14:textId="77777777" w:rsidR="00384465" w:rsidRPr="007475F1" w:rsidRDefault="00384465" w:rsidP="007475F1">
      <w:pPr>
        <w:pStyle w:val="Textonotapie"/>
        <w:ind w:firstLine="709"/>
        <w:jc w:val="both"/>
        <w:rPr>
          <w:rFonts w:ascii="Arial" w:hAnsi="Arial" w:cs="Arial"/>
          <w:color w:val="000000" w:themeColor="text1"/>
          <w:sz w:val="19"/>
          <w:szCs w:val="19"/>
        </w:rPr>
      </w:pPr>
    </w:p>
    <w:p w14:paraId="2660BA62" w14:textId="77777777" w:rsidR="00384465" w:rsidRPr="007475F1" w:rsidRDefault="00384465" w:rsidP="007475F1">
      <w:pPr>
        <w:pStyle w:val="Textonotapie"/>
        <w:ind w:firstLine="709"/>
        <w:jc w:val="both"/>
        <w:rPr>
          <w:rFonts w:ascii="Arial" w:hAnsi="Arial" w:cs="Arial"/>
          <w:color w:val="000000" w:themeColor="text1"/>
          <w:sz w:val="19"/>
          <w:szCs w:val="19"/>
        </w:rPr>
      </w:pPr>
      <w:r w:rsidRPr="007475F1">
        <w:rPr>
          <w:rStyle w:val="Refdenotaalpie"/>
          <w:rFonts w:ascii="Arial" w:hAnsi="Arial" w:cs="Arial"/>
          <w:color w:val="000000" w:themeColor="text1"/>
          <w:sz w:val="19"/>
          <w:szCs w:val="19"/>
        </w:rPr>
        <w:footnoteRef/>
      </w:r>
      <w:r w:rsidRPr="007475F1">
        <w:rPr>
          <w:rFonts w:ascii="Arial" w:hAnsi="Arial" w:cs="Arial"/>
          <w:color w:val="000000" w:themeColor="text1"/>
          <w:sz w:val="19"/>
          <w:szCs w:val="19"/>
        </w:rPr>
        <w:t xml:space="preserve"> Consejo de Estado. Sección Tercera. Subsección C. Auto del 14 de agosto de 2017. </w:t>
      </w:r>
      <w:proofErr w:type="spellStart"/>
      <w:r w:rsidRPr="007475F1">
        <w:rPr>
          <w:rFonts w:ascii="Arial" w:hAnsi="Arial" w:cs="Arial"/>
          <w:color w:val="000000" w:themeColor="text1"/>
          <w:sz w:val="19"/>
          <w:szCs w:val="19"/>
        </w:rPr>
        <w:t>Exp</w:t>
      </w:r>
      <w:proofErr w:type="spellEnd"/>
      <w:r w:rsidRPr="007475F1">
        <w:rPr>
          <w:rFonts w:ascii="Arial" w:hAnsi="Arial" w:cs="Arial"/>
          <w:color w:val="000000" w:themeColor="text1"/>
          <w:sz w:val="19"/>
          <w:szCs w:val="19"/>
        </w:rPr>
        <w:t xml:space="preserve">. 58.820. C.P. Jaime Orlando Santofimio Gamboa. </w:t>
      </w:r>
    </w:p>
    <w:p w14:paraId="67DAFA18" w14:textId="77777777" w:rsidR="00384465" w:rsidRPr="007475F1" w:rsidRDefault="00384465" w:rsidP="007475F1">
      <w:pPr>
        <w:pStyle w:val="Textonotapie"/>
        <w:ind w:firstLine="709"/>
        <w:jc w:val="both"/>
        <w:rPr>
          <w:rFonts w:ascii="Arial" w:hAnsi="Arial" w:cs="Arial"/>
          <w:color w:val="000000" w:themeColor="text1"/>
          <w:sz w:val="19"/>
          <w:szCs w:val="19"/>
          <w:lang w:val="es-CO"/>
        </w:rPr>
      </w:pPr>
    </w:p>
  </w:footnote>
  <w:footnote w:id="12">
    <w:p w14:paraId="56B96946" w14:textId="7F299976" w:rsidR="00384465" w:rsidRPr="007475F1" w:rsidRDefault="00384465" w:rsidP="007475F1">
      <w:pPr>
        <w:pStyle w:val="Textonotapie"/>
        <w:ind w:firstLine="709"/>
        <w:jc w:val="both"/>
        <w:rPr>
          <w:rFonts w:ascii="Arial" w:hAnsi="Arial" w:cs="Arial"/>
          <w:sz w:val="19"/>
          <w:szCs w:val="19"/>
        </w:rPr>
      </w:pPr>
      <w:r w:rsidRPr="007475F1">
        <w:rPr>
          <w:rStyle w:val="Refdenotaalpie"/>
          <w:rFonts w:ascii="Arial" w:hAnsi="Arial" w:cs="Arial"/>
          <w:sz w:val="19"/>
          <w:szCs w:val="19"/>
        </w:rPr>
        <w:footnoteRef/>
      </w:r>
      <w:r w:rsidRPr="007475F1">
        <w:rPr>
          <w:rFonts w:ascii="Arial" w:hAnsi="Arial" w:cs="Arial"/>
          <w:sz w:val="19"/>
          <w:szCs w:val="19"/>
        </w:rPr>
        <w:t xml:space="preserve"> </w:t>
      </w:r>
      <w:proofErr w:type="spellStart"/>
      <w:r w:rsidRPr="007475F1">
        <w:rPr>
          <w:rFonts w:ascii="Arial" w:hAnsi="Arial" w:cs="Arial"/>
          <w:sz w:val="19"/>
          <w:szCs w:val="19"/>
        </w:rPr>
        <w:t>Ibíd</w:t>
      </w:r>
      <w:proofErr w:type="spellEnd"/>
      <w:r w:rsidRPr="007475F1">
        <w:rPr>
          <w:rFonts w:ascii="Arial" w:hAnsi="Arial" w:cs="Arial"/>
          <w:sz w:val="19"/>
          <w:szCs w:val="19"/>
        </w:rPr>
        <w:t xml:space="preserve">. </w:t>
      </w:r>
    </w:p>
    <w:p w14:paraId="79F14E42" w14:textId="77777777" w:rsidR="007475F1" w:rsidRPr="007475F1" w:rsidRDefault="007475F1" w:rsidP="007475F1">
      <w:pPr>
        <w:pStyle w:val="Textonotapie"/>
        <w:ind w:firstLine="709"/>
        <w:jc w:val="both"/>
        <w:rPr>
          <w:rFonts w:ascii="Arial" w:hAnsi="Arial" w:cs="Arial"/>
          <w:sz w:val="19"/>
          <w:szCs w:val="19"/>
        </w:rPr>
      </w:pPr>
    </w:p>
  </w:footnote>
  <w:footnote w:id="13">
    <w:p w14:paraId="41EB77F2" w14:textId="325344D1" w:rsidR="007475F1" w:rsidRPr="007475F1" w:rsidRDefault="007475F1" w:rsidP="001C58F8">
      <w:pPr>
        <w:pStyle w:val="Textonotapie"/>
        <w:ind w:firstLine="708"/>
        <w:jc w:val="both"/>
        <w:rPr>
          <w:rFonts w:ascii="Arial" w:hAnsi="Arial" w:cs="Arial"/>
          <w:sz w:val="19"/>
          <w:szCs w:val="19"/>
        </w:rPr>
      </w:pPr>
      <w:r w:rsidRPr="001C58F8">
        <w:rPr>
          <w:rStyle w:val="Refdenotaalpie"/>
          <w:rFonts w:ascii="Arial" w:hAnsi="Arial" w:cs="Arial"/>
          <w:sz w:val="19"/>
          <w:szCs w:val="19"/>
        </w:rPr>
        <w:footnoteRef/>
      </w:r>
      <w:r w:rsidRPr="001C58F8">
        <w:rPr>
          <w:rFonts w:ascii="Arial" w:hAnsi="Arial" w:cs="Arial"/>
          <w:sz w:val="19"/>
          <w:szCs w:val="19"/>
        </w:rPr>
        <w:t xml:space="preserve"> COLOMBIA COMPRA EFICIENTE. Circular Externa Única. </w:t>
      </w:r>
      <w:r>
        <w:rPr>
          <w:rFonts w:ascii="Arial" w:hAnsi="Arial" w:cs="Arial"/>
          <w:sz w:val="19"/>
          <w:szCs w:val="19"/>
        </w:rPr>
        <w:t>Numeral 1.1 –</w:t>
      </w:r>
      <w:proofErr w:type="spellStart"/>
      <w:r>
        <w:rPr>
          <w:rFonts w:ascii="Arial" w:hAnsi="Arial" w:cs="Arial"/>
          <w:sz w:val="19"/>
          <w:szCs w:val="19"/>
        </w:rPr>
        <w:t>subnumaral</w:t>
      </w:r>
      <w:proofErr w:type="spellEnd"/>
      <w:r>
        <w:rPr>
          <w:rFonts w:ascii="Arial" w:hAnsi="Arial" w:cs="Arial"/>
          <w:sz w:val="19"/>
          <w:szCs w:val="19"/>
        </w:rPr>
        <w:t xml:space="preserve"> 3–: «</w:t>
      </w:r>
      <w:r w:rsidRPr="007475F1">
        <w:rPr>
          <w:rFonts w:ascii="Arial" w:hAnsi="Arial" w:cs="Arial"/>
          <w:sz w:val="19"/>
          <w:szCs w:val="19"/>
        </w:rPr>
        <w:t>3. No deberán publicar en SECOP las empresas industriales y comerciales</w:t>
      </w:r>
      <w:r>
        <w:rPr>
          <w:rFonts w:ascii="Arial" w:hAnsi="Arial" w:cs="Arial"/>
          <w:sz w:val="19"/>
          <w:szCs w:val="19"/>
        </w:rPr>
        <w:t xml:space="preserve"> </w:t>
      </w:r>
      <w:r w:rsidRPr="007475F1">
        <w:rPr>
          <w:rFonts w:ascii="Arial" w:hAnsi="Arial" w:cs="Arial"/>
          <w:sz w:val="19"/>
          <w:szCs w:val="19"/>
        </w:rPr>
        <w:t>del Estado, las sociedades de economía mixta y las empresas de</w:t>
      </w:r>
      <w:r>
        <w:rPr>
          <w:rFonts w:ascii="Arial" w:hAnsi="Arial" w:cs="Arial"/>
          <w:sz w:val="19"/>
          <w:szCs w:val="19"/>
        </w:rPr>
        <w:t xml:space="preserve"> </w:t>
      </w:r>
      <w:r w:rsidRPr="007475F1">
        <w:rPr>
          <w:rFonts w:ascii="Arial" w:hAnsi="Arial" w:cs="Arial"/>
          <w:sz w:val="19"/>
          <w:szCs w:val="19"/>
        </w:rPr>
        <w:t>servicios públicos domiciliarios que desarrollen su actividad en situación</w:t>
      </w:r>
      <w:r>
        <w:rPr>
          <w:rFonts w:ascii="Arial" w:hAnsi="Arial" w:cs="Arial"/>
          <w:sz w:val="19"/>
          <w:szCs w:val="19"/>
        </w:rPr>
        <w:t xml:space="preserve"> </w:t>
      </w:r>
      <w:r w:rsidRPr="007475F1">
        <w:rPr>
          <w:rFonts w:ascii="Arial" w:hAnsi="Arial" w:cs="Arial"/>
          <w:sz w:val="19"/>
          <w:szCs w:val="19"/>
        </w:rPr>
        <w:t>de competencia con el sector privado y que antes del 30 de noviembre</w:t>
      </w:r>
      <w:r>
        <w:rPr>
          <w:rFonts w:ascii="Arial" w:hAnsi="Arial" w:cs="Arial"/>
          <w:sz w:val="19"/>
          <w:szCs w:val="19"/>
        </w:rPr>
        <w:t xml:space="preserve"> </w:t>
      </w:r>
      <w:r w:rsidRPr="007475F1">
        <w:rPr>
          <w:rFonts w:ascii="Arial" w:hAnsi="Arial" w:cs="Arial"/>
          <w:sz w:val="19"/>
          <w:szCs w:val="19"/>
        </w:rPr>
        <w:t>de 2015, en cumplimiento de la Circular Externa No. 20 del 27 de agosto</w:t>
      </w:r>
      <w:r>
        <w:rPr>
          <w:rFonts w:ascii="Arial" w:hAnsi="Arial" w:cs="Arial"/>
          <w:sz w:val="19"/>
          <w:szCs w:val="19"/>
        </w:rPr>
        <w:t xml:space="preserve"> </w:t>
      </w:r>
      <w:r w:rsidRPr="007475F1">
        <w:rPr>
          <w:rFonts w:ascii="Arial" w:hAnsi="Arial" w:cs="Arial"/>
          <w:sz w:val="19"/>
          <w:szCs w:val="19"/>
        </w:rPr>
        <w:t>de 2015, solicitaron a Colombia Compra Eficiente el hipervínculo que</w:t>
      </w:r>
      <w:r>
        <w:rPr>
          <w:rFonts w:ascii="Arial" w:hAnsi="Arial" w:cs="Arial"/>
          <w:sz w:val="19"/>
          <w:szCs w:val="19"/>
        </w:rPr>
        <w:t xml:space="preserve"> </w:t>
      </w:r>
      <w:r w:rsidRPr="007475F1">
        <w:rPr>
          <w:rFonts w:ascii="Arial" w:hAnsi="Arial" w:cs="Arial"/>
          <w:sz w:val="19"/>
          <w:szCs w:val="19"/>
        </w:rPr>
        <w:t>comunica al SECOP con sus sistemas de información propios para</w:t>
      </w:r>
      <w:r>
        <w:rPr>
          <w:rFonts w:ascii="Arial" w:hAnsi="Arial" w:cs="Arial"/>
          <w:sz w:val="19"/>
          <w:szCs w:val="19"/>
        </w:rPr>
        <w:t xml:space="preserve"> </w:t>
      </w:r>
      <w:r w:rsidRPr="007475F1">
        <w:rPr>
          <w:rFonts w:ascii="Arial" w:hAnsi="Arial" w:cs="Arial"/>
          <w:sz w:val="19"/>
          <w:szCs w:val="19"/>
        </w:rPr>
        <w:t>efectos de la publicidad de su actividad contractual, siempre que dichos</w:t>
      </w:r>
      <w:r>
        <w:rPr>
          <w:rFonts w:ascii="Arial" w:hAnsi="Arial" w:cs="Arial"/>
          <w:sz w:val="19"/>
          <w:szCs w:val="19"/>
        </w:rPr>
        <w:t xml:space="preserve"> </w:t>
      </w:r>
      <w:r w:rsidRPr="007475F1">
        <w:rPr>
          <w:rFonts w:ascii="Arial" w:hAnsi="Arial" w:cs="Arial"/>
          <w:sz w:val="19"/>
          <w:szCs w:val="19"/>
        </w:rPr>
        <w:t>sistemas permitan hacer el proceso de contratación en línea, además de</w:t>
      </w:r>
      <w:r>
        <w:rPr>
          <w:rFonts w:ascii="Arial" w:hAnsi="Arial" w:cs="Arial"/>
          <w:sz w:val="19"/>
          <w:szCs w:val="19"/>
        </w:rPr>
        <w:t xml:space="preserve"> </w:t>
      </w:r>
      <w:r w:rsidRPr="007475F1">
        <w:rPr>
          <w:rFonts w:ascii="Arial" w:hAnsi="Arial" w:cs="Arial"/>
          <w:sz w:val="19"/>
          <w:szCs w:val="19"/>
        </w:rPr>
        <w:t>permitir a los proveedores y al público en general tener acceso oportuno,</w:t>
      </w:r>
      <w:r>
        <w:rPr>
          <w:rFonts w:ascii="Arial" w:hAnsi="Arial" w:cs="Arial"/>
          <w:sz w:val="19"/>
          <w:szCs w:val="19"/>
        </w:rPr>
        <w:t xml:space="preserve"> </w:t>
      </w:r>
      <w:r w:rsidRPr="007475F1">
        <w:rPr>
          <w:rFonts w:ascii="Arial" w:hAnsi="Arial" w:cs="Arial"/>
          <w:sz w:val="19"/>
          <w:szCs w:val="19"/>
        </w:rPr>
        <w:t>permanente e ininterrumpido a la información de su actividad contractual.</w:t>
      </w:r>
      <w:r>
        <w:rPr>
          <w:rFonts w:ascii="Arial" w:hAnsi="Arial" w:cs="Arial"/>
          <w:sz w:val="19"/>
          <w:szCs w:val="19"/>
        </w:rPr>
        <w:t xml:space="preserve"> </w:t>
      </w:r>
      <w:r w:rsidRPr="007475F1">
        <w:rPr>
          <w:rFonts w:ascii="Arial" w:hAnsi="Arial" w:cs="Arial"/>
          <w:sz w:val="19"/>
          <w:szCs w:val="19"/>
        </w:rPr>
        <w:t>La información debe cumplir los plazos y requerimientos de las normas</w:t>
      </w:r>
      <w:r>
        <w:rPr>
          <w:rFonts w:ascii="Arial" w:hAnsi="Arial" w:cs="Arial"/>
          <w:sz w:val="19"/>
          <w:szCs w:val="19"/>
        </w:rPr>
        <w:t xml:space="preserve"> </w:t>
      </w:r>
      <w:r w:rsidRPr="007475F1">
        <w:rPr>
          <w:rFonts w:ascii="Arial" w:hAnsi="Arial" w:cs="Arial"/>
          <w:sz w:val="19"/>
          <w:szCs w:val="19"/>
        </w:rPr>
        <w:t>aplicables en materia de contratación y de acceso a la información,</w:t>
      </w:r>
      <w:r>
        <w:rPr>
          <w:rFonts w:ascii="Arial" w:hAnsi="Arial" w:cs="Arial"/>
          <w:sz w:val="19"/>
          <w:szCs w:val="19"/>
        </w:rPr>
        <w:t xml:space="preserve"> </w:t>
      </w:r>
      <w:r w:rsidRPr="007475F1">
        <w:rPr>
          <w:rFonts w:ascii="Arial" w:hAnsi="Arial" w:cs="Arial"/>
          <w:sz w:val="19"/>
          <w:szCs w:val="19"/>
        </w:rPr>
        <w:t>respetando la información y documentos reservados de acuerdo con la</w:t>
      </w:r>
      <w:r>
        <w:rPr>
          <w:rFonts w:ascii="Arial" w:hAnsi="Arial" w:cs="Arial"/>
          <w:sz w:val="19"/>
          <w:szCs w:val="19"/>
        </w:rPr>
        <w:t xml:space="preserve"> </w:t>
      </w:r>
      <w:r w:rsidRPr="007475F1">
        <w:rPr>
          <w:rFonts w:ascii="Arial" w:hAnsi="Arial" w:cs="Arial"/>
          <w:sz w:val="19"/>
          <w:szCs w:val="19"/>
        </w:rPr>
        <w:t>normativa aplicable.</w:t>
      </w:r>
    </w:p>
    <w:p w14:paraId="6B1E5AEB" w14:textId="1C10C784" w:rsidR="007475F1" w:rsidRPr="001C58F8" w:rsidRDefault="007475F1" w:rsidP="001C58F8">
      <w:pPr>
        <w:pStyle w:val="Textonotapie"/>
        <w:ind w:firstLine="708"/>
        <w:jc w:val="both"/>
        <w:rPr>
          <w:rFonts w:ascii="Arial" w:hAnsi="Arial" w:cs="Arial"/>
          <w:sz w:val="19"/>
          <w:szCs w:val="19"/>
        </w:rPr>
      </w:pPr>
      <w:proofErr w:type="gramStart"/>
      <w:r>
        <w:rPr>
          <w:rFonts w:ascii="Arial" w:hAnsi="Arial" w:cs="Arial"/>
          <w:sz w:val="19"/>
          <w:szCs w:val="19"/>
        </w:rPr>
        <w:t>»</w:t>
      </w:r>
      <w:r w:rsidRPr="007475F1">
        <w:rPr>
          <w:rFonts w:ascii="Arial" w:hAnsi="Arial" w:cs="Arial"/>
          <w:sz w:val="19"/>
          <w:szCs w:val="19"/>
        </w:rPr>
        <w:t>Las</w:t>
      </w:r>
      <w:proofErr w:type="gramEnd"/>
      <w:r w:rsidRPr="007475F1">
        <w:rPr>
          <w:rFonts w:ascii="Arial" w:hAnsi="Arial" w:cs="Arial"/>
          <w:sz w:val="19"/>
          <w:szCs w:val="19"/>
        </w:rPr>
        <w:t xml:space="preserve"> Entidades que no hayan solicitado el mencionado hipervínculo en</w:t>
      </w:r>
      <w:r>
        <w:rPr>
          <w:rFonts w:ascii="Arial" w:hAnsi="Arial" w:cs="Arial"/>
          <w:sz w:val="19"/>
          <w:szCs w:val="19"/>
        </w:rPr>
        <w:t xml:space="preserve"> </w:t>
      </w:r>
      <w:r w:rsidRPr="007475F1">
        <w:rPr>
          <w:rFonts w:ascii="Arial" w:hAnsi="Arial" w:cs="Arial"/>
          <w:sz w:val="19"/>
          <w:szCs w:val="19"/>
        </w:rPr>
        <w:t>el plazo establecido en la Circular 20 o que habiéndolo solicitado sus</w:t>
      </w:r>
      <w:r>
        <w:rPr>
          <w:rFonts w:ascii="Arial" w:hAnsi="Arial" w:cs="Arial"/>
          <w:sz w:val="19"/>
          <w:szCs w:val="19"/>
        </w:rPr>
        <w:t xml:space="preserve"> </w:t>
      </w:r>
      <w:r w:rsidRPr="007475F1">
        <w:rPr>
          <w:rFonts w:ascii="Arial" w:hAnsi="Arial" w:cs="Arial"/>
          <w:sz w:val="19"/>
          <w:szCs w:val="19"/>
        </w:rPr>
        <w:t>sistemas de información propios no cumplieron las condiciones señaladas,</w:t>
      </w:r>
      <w:r>
        <w:rPr>
          <w:rFonts w:ascii="Arial" w:hAnsi="Arial" w:cs="Arial"/>
          <w:sz w:val="19"/>
          <w:szCs w:val="19"/>
        </w:rPr>
        <w:t xml:space="preserve"> </w:t>
      </w:r>
      <w:r w:rsidRPr="007475F1">
        <w:rPr>
          <w:rFonts w:ascii="Arial" w:hAnsi="Arial" w:cs="Arial"/>
          <w:sz w:val="19"/>
          <w:szCs w:val="19"/>
        </w:rPr>
        <w:t>deben publicar su actividad contractual en el SECOP utilizando el módulo</w:t>
      </w:r>
      <w:r>
        <w:rPr>
          <w:rFonts w:ascii="Arial" w:hAnsi="Arial" w:cs="Arial"/>
          <w:sz w:val="19"/>
          <w:szCs w:val="19"/>
        </w:rPr>
        <w:t xml:space="preserve"> </w:t>
      </w:r>
      <w:r w:rsidRPr="007475F1">
        <w:rPr>
          <w:rFonts w:ascii="Arial" w:hAnsi="Arial" w:cs="Arial"/>
          <w:sz w:val="19"/>
          <w:szCs w:val="19"/>
        </w:rPr>
        <w:t>“Régimen Especial”</w:t>
      </w:r>
      <w:r>
        <w:rPr>
          <w:rFonts w:ascii="Arial" w:hAnsi="Arial" w:cs="Arial"/>
          <w:sz w:val="19"/>
          <w:szCs w:val="19"/>
        </w:rPr>
        <w:t>»</w:t>
      </w:r>
      <w:r w:rsidRPr="007475F1">
        <w:rPr>
          <w:rFonts w:ascii="Arial" w:hAnsi="Arial" w:cs="Arial"/>
          <w:sz w:val="19"/>
          <w:szCs w:val="19"/>
        </w:rPr>
        <w:t>.</w:t>
      </w:r>
    </w:p>
  </w:footnote>
  <w:footnote w:id="14">
    <w:p w14:paraId="61F0289C" w14:textId="6827D4C8" w:rsidR="00F528CD" w:rsidRPr="007475F1" w:rsidRDefault="00F528CD" w:rsidP="001C58F8">
      <w:pPr>
        <w:pStyle w:val="Textonotapie"/>
        <w:ind w:firstLine="708"/>
        <w:jc w:val="both"/>
        <w:rPr>
          <w:rFonts w:ascii="Arial" w:hAnsi="Arial" w:cs="Arial"/>
          <w:sz w:val="19"/>
          <w:szCs w:val="19"/>
        </w:rPr>
      </w:pPr>
      <w:r w:rsidRPr="007475F1">
        <w:rPr>
          <w:rStyle w:val="Refdenotaalpie"/>
          <w:rFonts w:ascii="Arial" w:hAnsi="Arial" w:cs="Arial"/>
          <w:sz w:val="19"/>
          <w:szCs w:val="19"/>
        </w:rPr>
        <w:footnoteRef/>
      </w:r>
      <w:r w:rsidRPr="007475F1">
        <w:rPr>
          <w:rFonts w:ascii="Arial" w:hAnsi="Arial" w:cs="Arial"/>
          <w:sz w:val="19"/>
          <w:szCs w:val="19"/>
        </w:rPr>
        <w:t xml:space="preserve"> </w:t>
      </w:r>
      <w:r w:rsidR="004161BB" w:rsidRPr="007475F1">
        <w:rPr>
          <w:rFonts w:ascii="Arial" w:hAnsi="Arial" w:cs="Arial"/>
          <w:sz w:val="19"/>
          <w:szCs w:val="19"/>
        </w:rPr>
        <w:t>«</w:t>
      </w:r>
      <w:r w:rsidRPr="007475F1">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7DCA119" w14:textId="77777777" w:rsidR="00F528CD" w:rsidRPr="007475F1" w:rsidRDefault="00F528CD" w:rsidP="001C58F8">
      <w:pPr>
        <w:pStyle w:val="Textonotapie"/>
        <w:ind w:firstLine="708"/>
        <w:jc w:val="both"/>
        <w:rPr>
          <w:rFonts w:ascii="Arial" w:hAnsi="Arial" w:cs="Arial"/>
          <w:sz w:val="19"/>
          <w:szCs w:val="19"/>
        </w:rPr>
      </w:pPr>
      <w:proofErr w:type="gramStart"/>
      <w:r w:rsidRPr="007475F1">
        <w:rPr>
          <w:rFonts w:ascii="Arial" w:hAnsi="Arial" w:cs="Arial"/>
          <w:sz w:val="19"/>
          <w:szCs w:val="19"/>
        </w:rPr>
        <w:t>»Los</w:t>
      </w:r>
      <w:proofErr w:type="gramEnd"/>
      <w:r w:rsidRPr="007475F1">
        <w:rPr>
          <w:rFonts w:ascii="Arial" w:hAnsi="Arial" w:cs="Arial"/>
          <w:sz w:val="19"/>
          <w:szCs w:val="19"/>
        </w:rPr>
        <w:t xml:space="preserve"> sujetos obligados que contratan con cargo a recursos públicos deben publicar la información de su gestión contractual en el plazo previsto en el artículo 19 del Decreto 1510 de 2013, o el que lo modifique, sustituya o adicione. </w:t>
      </w:r>
    </w:p>
    <w:p w14:paraId="066AED3B" w14:textId="30BA6B44" w:rsidR="00F528CD" w:rsidRPr="007475F1" w:rsidRDefault="00F528CD" w:rsidP="001C58F8">
      <w:pPr>
        <w:pStyle w:val="Textonotapie"/>
        <w:ind w:firstLine="708"/>
        <w:jc w:val="both"/>
        <w:rPr>
          <w:rFonts w:ascii="Arial" w:hAnsi="Arial" w:cs="Arial"/>
          <w:sz w:val="19"/>
          <w:szCs w:val="19"/>
        </w:rPr>
      </w:pPr>
      <w:proofErr w:type="gramStart"/>
      <w:r w:rsidRPr="007475F1">
        <w:rPr>
          <w:rFonts w:ascii="Arial" w:hAnsi="Arial" w:cs="Arial"/>
          <w:sz w:val="19"/>
          <w:szCs w:val="19"/>
        </w:rPr>
        <w:t>»Los</w:t>
      </w:r>
      <w:proofErr w:type="gramEnd"/>
      <w:r w:rsidRPr="007475F1">
        <w:rPr>
          <w:rFonts w:ascii="Arial" w:hAnsi="Arial" w:cs="Arial"/>
          <w:sz w:val="19"/>
          <w:szCs w:val="19"/>
        </w:rPr>
        <w:t xml:space="preserve"> sujetos obligados que contratan con recursos públicos y recursos privados, deben publicar la información de su gestión contractual con cargo a recursos públicos en el Sistema Electrónico para la Contratación Pública (SECOP)»</w:t>
      </w:r>
      <w:r w:rsidR="004161BB" w:rsidRPr="007475F1">
        <w:rPr>
          <w:rFonts w:ascii="Arial" w:hAnsi="Arial" w:cs="Arial"/>
          <w:sz w:val="19"/>
          <w:szCs w:val="19"/>
        </w:rPr>
        <w:t>.</w:t>
      </w:r>
    </w:p>
    <w:p w14:paraId="76642FB7" w14:textId="77777777" w:rsidR="00F528CD" w:rsidRPr="001C58F8" w:rsidRDefault="00F528CD" w:rsidP="001C58F8">
      <w:pPr>
        <w:pStyle w:val="Textonotapie"/>
        <w:jc w:val="both"/>
        <w:rPr>
          <w:rFonts w:ascii="Arial" w:hAnsi="Arial" w:cs="Arial"/>
          <w:sz w:val="19"/>
          <w:szCs w:val="19"/>
        </w:rPr>
      </w:pPr>
    </w:p>
  </w:footnote>
  <w:footnote w:id="15">
    <w:p w14:paraId="21415E3E" w14:textId="0BBB280E" w:rsidR="00277EAD" w:rsidRPr="007475F1" w:rsidRDefault="00277EAD" w:rsidP="001C58F8">
      <w:pPr>
        <w:pStyle w:val="Textonotapie"/>
        <w:ind w:firstLine="709"/>
        <w:jc w:val="both"/>
        <w:rPr>
          <w:rFonts w:ascii="Arial" w:hAnsi="Arial" w:cs="Arial"/>
          <w:sz w:val="19"/>
          <w:szCs w:val="19"/>
          <w:lang w:val="es-CO"/>
        </w:rPr>
      </w:pPr>
      <w:r w:rsidRPr="007475F1">
        <w:rPr>
          <w:rStyle w:val="Refdenotaalpie"/>
          <w:rFonts w:ascii="Arial" w:hAnsi="Arial" w:cs="Arial"/>
          <w:sz w:val="19"/>
          <w:szCs w:val="19"/>
        </w:rPr>
        <w:footnoteRef/>
      </w:r>
      <w:r w:rsidRPr="007475F1">
        <w:rPr>
          <w:rFonts w:ascii="Arial" w:hAnsi="Arial" w:cs="Arial"/>
          <w:sz w:val="19"/>
          <w:szCs w:val="19"/>
        </w:rPr>
        <w:t xml:space="preserve"> </w:t>
      </w:r>
      <w:r w:rsidRPr="007475F1">
        <w:rPr>
          <w:rFonts w:ascii="Arial" w:hAnsi="Arial" w:cs="Arial"/>
          <w:sz w:val="19"/>
          <w:szCs w:val="19"/>
          <w:lang w:val="es-CO"/>
        </w:rPr>
        <w:t xml:space="preserve">Consejo de Estado, Sección Tercera, Sentencia del 29 de agosto de 2013. </w:t>
      </w:r>
      <w:proofErr w:type="spellStart"/>
      <w:r w:rsidRPr="007475F1">
        <w:rPr>
          <w:rFonts w:ascii="Arial" w:hAnsi="Arial" w:cs="Arial"/>
          <w:sz w:val="19"/>
          <w:szCs w:val="19"/>
          <w:lang w:val="es-CO"/>
        </w:rPr>
        <w:t>Exp</w:t>
      </w:r>
      <w:proofErr w:type="spellEnd"/>
      <w:r w:rsidRPr="007475F1">
        <w:rPr>
          <w:rFonts w:ascii="Arial" w:hAnsi="Arial" w:cs="Arial"/>
          <w:sz w:val="19"/>
          <w:szCs w:val="19"/>
          <w:lang w:val="es-CO"/>
        </w:rPr>
        <w:t>. 39005. C.P. Jaime Orlando Santofimio Gamboa.</w:t>
      </w:r>
    </w:p>
    <w:p w14:paraId="25FC47D3" w14:textId="77777777" w:rsidR="000E76E1" w:rsidRPr="007475F1" w:rsidRDefault="000E76E1" w:rsidP="007475F1">
      <w:pPr>
        <w:pStyle w:val="Textonotapie"/>
        <w:ind w:firstLine="709"/>
        <w:jc w:val="both"/>
        <w:rPr>
          <w:rFonts w:ascii="Arial" w:hAnsi="Arial" w:cs="Arial"/>
          <w:sz w:val="19"/>
          <w:szCs w:val="19"/>
          <w:lang w:val="es-CO"/>
        </w:rPr>
      </w:pPr>
    </w:p>
  </w:footnote>
  <w:footnote w:id="16">
    <w:p w14:paraId="12186430" w14:textId="505DD55F" w:rsidR="000E76E1" w:rsidRPr="007475F1" w:rsidRDefault="000E76E1" w:rsidP="007475F1">
      <w:pPr>
        <w:pStyle w:val="Textonotapie"/>
        <w:ind w:firstLine="708"/>
        <w:jc w:val="both"/>
        <w:rPr>
          <w:rFonts w:ascii="Arial" w:hAnsi="Arial" w:cs="Arial"/>
          <w:sz w:val="19"/>
          <w:szCs w:val="19"/>
        </w:rPr>
      </w:pPr>
      <w:r w:rsidRPr="007475F1">
        <w:rPr>
          <w:rStyle w:val="Refdenotaalpie"/>
          <w:rFonts w:ascii="Arial" w:hAnsi="Arial" w:cs="Arial"/>
          <w:sz w:val="19"/>
          <w:szCs w:val="19"/>
        </w:rPr>
        <w:footnoteRef/>
      </w:r>
      <w:r w:rsidRPr="007475F1">
        <w:rPr>
          <w:rFonts w:ascii="Arial" w:hAnsi="Arial" w:cs="Arial"/>
          <w:sz w:val="19"/>
          <w:szCs w:val="19"/>
        </w:rPr>
        <w:t xml:space="preserve"> «Artículo 2.2.1.1.1.3.1. Definiciones. […]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5529E0"/>
    <w:multiLevelType w:val="multilevel"/>
    <w:tmpl w:val="22A6AAD4"/>
    <w:lvl w:ilvl="0">
      <w:start w:val="2"/>
      <w:numFmt w:val="decimal"/>
      <w:lvlText w:val="%1."/>
      <w:lvlJc w:val="left"/>
      <w:pPr>
        <w:ind w:left="435" w:hanging="435"/>
      </w:pPr>
      <w:rPr>
        <w:rFonts w:hint="default"/>
        <w:b/>
      </w:rPr>
    </w:lvl>
    <w:lvl w:ilvl="1">
      <w:start w:val="70"/>
      <w:numFmt w:val="decimal"/>
      <w:lvlText w:val="%1.%2."/>
      <w:lvlJc w:val="left"/>
      <w:pPr>
        <w:ind w:left="1221" w:hanging="435"/>
      </w:pPr>
      <w:rPr>
        <w:rFonts w:hint="default"/>
        <w:b w:val="0"/>
        <w:bCs/>
        <w:i w:val="0"/>
        <w:iCs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5796" w:hanging="108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7728" w:hanging="1440"/>
      </w:pPr>
      <w:rPr>
        <w:rFonts w:hint="default"/>
        <w:b/>
      </w:r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8"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10"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E013AD6"/>
    <w:multiLevelType w:val="hybridMultilevel"/>
    <w:tmpl w:val="0C8A5A40"/>
    <w:lvl w:ilvl="0" w:tplc="064E3E22">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1"/>
  </w:num>
  <w:num w:numId="6">
    <w:abstractNumId w:val="10"/>
  </w:num>
  <w:num w:numId="7">
    <w:abstractNumId w:val="2"/>
  </w:num>
  <w:num w:numId="8">
    <w:abstractNumId w:val="9"/>
  </w:num>
  <w:num w:numId="9">
    <w:abstractNumId w:val="7"/>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215"/>
    <w:rsid w:val="00000763"/>
    <w:rsid w:val="0000081D"/>
    <w:rsid w:val="00002FC6"/>
    <w:rsid w:val="000033CB"/>
    <w:rsid w:val="00006637"/>
    <w:rsid w:val="00011D84"/>
    <w:rsid w:val="000127CE"/>
    <w:rsid w:val="00012A57"/>
    <w:rsid w:val="00014A40"/>
    <w:rsid w:val="00020023"/>
    <w:rsid w:val="00022230"/>
    <w:rsid w:val="000224DA"/>
    <w:rsid w:val="0002268A"/>
    <w:rsid w:val="00022C75"/>
    <w:rsid w:val="00025B83"/>
    <w:rsid w:val="00026814"/>
    <w:rsid w:val="00026955"/>
    <w:rsid w:val="000270F3"/>
    <w:rsid w:val="00032557"/>
    <w:rsid w:val="00033E56"/>
    <w:rsid w:val="00035C21"/>
    <w:rsid w:val="00036F15"/>
    <w:rsid w:val="000410F2"/>
    <w:rsid w:val="00042F47"/>
    <w:rsid w:val="000431F1"/>
    <w:rsid w:val="00044ACD"/>
    <w:rsid w:val="00045034"/>
    <w:rsid w:val="000458A6"/>
    <w:rsid w:val="00046A76"/>
    <w:rsid w:val="00047028"/>
    <w:rsid w:val="000503AA"/>
    <w:rsid w:val="00052F79"/>
    <w:rsid w:val="000530F6"/>
    <w:rsid w:val="00053EAC"/>
    <w:rsid w:val="00055F5C"/>
    <w:rsid w:val="000565F6"/>
    <w:rsid w:val="000576B2"/>
    <w:rsid w:val="00060244"/>
    <w:rsid w:val="00063361"/>
    <w:rsid w:val="000669B5"/>
    <w:rsid w:val="000747D8"/>
    <w:rsid w:val="000767C8"/>
    <w:rsid w:val="0007686B"/>
    <w:rsid w:val="00081F6E"/>
    <w:rsid w:val="00082780"/>
    <w:rsid w:val="00085EB2"/>
    <w:rsid w:val="000866CE"/>
    <w:rsid w:val="00086BBE"/>
    <w:rsid w:val="00086D89"/>
    <w:rsid w:val="00090B39"/>
    <w:rsid w:val="0009174B"/>
    <w:rsid w:val="00092D98"/>
    <w:rsid w:val="0009323D"/>
    <w:rsid w:val="00097123"/>
    <w:rsid w:val="000A2893"/>
    <w:rsid w:val="000A328D"/>
    <w:rsid w:val="000A4EEA"/>
    <w:rsid w:val="000A52B1"/>
    <w:rsid w:val="000A55B7"/>
    <w:rsid w:val="000A62CA"/>
    <w:rsid w:val="000A66C8"/>
    <w:rsid w:val="000B6073"/>
    <w:rsid w:val="000B65BC"/>
    <w:rsid w:val="000C043E"/>
    <w:rsid w:val="000C4A5C"/>
    <w:rsid w:val="000C4D06"/>
    <w:rsid w:val="000C5695"/>
    <w:rsid w:val="000D0EC1"/>
    <w:rsid w:val="000D39F0"/>
    <w:rsid w:val="000D4449"/>
    <w:rsid w:val="000D51C0"/>
    <w:rsid w:val="000D6CAB"/>
    <w:rsid w:val="000E0C13"/>
    <w:rsid w:val="000E1286"/>
    <w:rsid w:val="000E1797"/>
    <w:rsid w:val="000E18C2"/>
    <w:rsid w:val="000E3A95"/>
    <w:rsid w:val="000E3E20"/>
    <w:rsid w:val="000E4924"/>
    <w:rsid w:val="000E4FE6"/>
    <w:rsid w:val="000E51DD"/>
    <w:rsid w:val="000E548D"/>
    <w:rsid w:val="000E5798"/>
    <w:rsid w:val="000E5886"/>
    <w:rsid w:val="000E7573"/>
    <w:rsid w:val="000E76E1"/>
    <w:rsid w:val="000E78DC"/>
    <w:rsid w:val="000F01F1"/>
    <w:rsid w:val="000F1791"/>
    <w:rsid w:val="000F2151"/>
    <w:rsid w:val="000F27BD"/>
    <w:rsid w:val="000F29FC"/>
    <w:rsid w:val="000F3CBC"/>
    <w:rsid w:val="000F4487"/>
    <w:rsid w:val="000F4643"/>
    <w:rsid w:val="000F4BFE"/>
    <w:rsid w:val="000F5854"/>
    <w:rsid w:val="000F5C45"/>
    <w:rsid w:val="000F6CC2"/>
    <w:rsid w:val="000F7CA0"/>
    <w:rsid w:val="001049F0"/>
    <w:rsid w:val="0011000B"/>
    <w:rsid w:val="00112645"/>
    <w:rsid w:val="00113845"/>
    <w:rsid w:val="001140ED"/>
    <w:rsid w:val="00114C4D"/>
    <w:rsid w:val="001160E2"/>
    <w:rsid w:val="0012018C"/>
    <w:rsid w:val="00120E3E"/>
    <w:rsid w:val="001232A6"/>
    <w:rsid w:val="00123708"/>
    <w:rsid w:val="001244C5"/>
    <w:rsid w:val="0012471D"/>
    <w:rsid w:val="0012477B"/>
    <w:rsid w:val="00125377"/>
    <w:rsid w:val="00125D2A"/>
    <w:rsid w:val="00126570"/>
    <w:rsid w:val="00142F3E"/>
    <w:rsid w:val="00144763"/>
    <w:rsid w:val="001452BC"/>
    <w:rsid w:val="0014664B"/>
    <w:rsid w:val="00146996"/>
    <w:rsid w:val="00146D63"/>
    <w:rsid w:val="00147606"/>
    <w:rsid w:val="00150F53"/>
    <w:rsid w:val="00152640"/>
    <w:rsid w:val="001527BD"/>
    <w:rsid w:val="00155917"/>
    <w:rsid w:val="00156BD3"/>
    <w:rsid w:val="0015721C"/>
    <w:rsid w:val="001605D3"/>
    <w:rsid w:val="00161B65"/>
    <w:rsid w:val="001624A1"/>
    <w:rsid w:val="001644DA"/>
    <w:rsid w:val="0016628A"/>
    <w:rsid w:val="00170C2F"/>
    <w:rsid w:val="00171A04"/>
    <w:rsid w:val="00173D24"/>
    <w:rsid w:val="0017608E"/>
    <w:rsid w:val="00176214"/>
    <w:rsid w:val="001776A5"/>
    <w:rsid w:val="00185346"/>
    <w:rsid w:val="00186971"/>
    <w:rsid w:val="00190243"/>
    <w:rsid w:val="00190407"/>
    <w:rsid w:val="0019072B"/>
    <w:rsid w:val="0019150A"/>
    <w:rsid w:val="001927C2"/>
    <w:rsid w:val="00192BF7"/>
    <w:rsid w:val="00193678"/>
    <w:rsid w:val="0019554C"/>
    <w:rsid w:val="00196E72"/>
    <w:rsid w:val="001A170A"/>
    <w:rsid w:val="001A1F6B"/>
    <w:rsid w:val="001A3C41"/>
    <w:rsid w:val="001A48CC"/>
    <w:rsid w:val="001A5E8A"/>
    <w:rsid w:val="001A6C92"/>
    <w:rsid w:val="001B1DE6"/>
    <w:rsid w:val="001B40E3"/>
    <w:rsid w:val="001B5378"/>
    <w:rsid w:val="001B73CF"/>
    <w:rsid w:val="001C0567"/>
    <w:rsid w:val="001C2CD8"/>
    <w:rsid w:val="001C3648"/>
    <w:rsid w:val="001C3668"/>
    <w:rsid w:val="001C58F8"/>
    <w:rsid w:val="001C6D47"/>
    <w:rsid w:val="001D1139"/>
    <w:rsid w:val="001D3A49"/>
    <w:rsid w:val="001D4DB6"/>
    <w:rsid w:val="001D5B2E"/>
    <w:rsid w:val="001D60ED"/>
    <w:rsid w:val="001E0E22"/>
    <w:rsid w:val="001E1A69"/>
    <w:rsid w:val="001E2CCC"/>
    <w:rsid w:val="001E39C4"/>
    <w:rsid w:val="001E46D6"/>
    <w:rsid w:val="001E4979"/>
    <w:rsid w:val="001E5FE7"/>
    <w:rsid w:val="001E7411"/>
    <w:rsid w:val="001F0B25"/>
    <w:rsid w:val="001F219A"/>
    <w:rsid w:val="001F48CC"/>
    <w:rsid w:val="001F6081"/>
    <w:rsid w:val="001F6929"/>
    <w:rsid w:val="001F7285"/>
    <w:rsid w:val="00200FE1"/>
    <w:rsid w:val="00201616"/>
    <w:rsid w:val="00201875"/>
    <w:rsid w:val="0020200F"/>
    <w:rsid w:val="00205369"/>
    <w:rsid w:val="002103E2"/>
    <w:rsid w:val="00210809"/>
    <w:rsid w:val="00213A0C"/>
    <w:rsid w:val="00214F1F"/>
    <w:rsid w:val="002159DA"/>
    <w:rsid w:val="00216748"/>
    <w:rsid w:val="002209C5"/>
    <w:rsid w:val="00222D8B"/>
    <w:rsid w:val="00227078"/>
    <w:rsid w:val="00232642"/>
    <w:rsid w:val="00232A00"/>
    <w:rsid w:val="002351EC"/>
    <w:rsid w:val="0023617A"/>
    <w:rsid w:val="00236CE0"/>
    <w:rsid w:val="002405A0"/>
    <w:rsid w:val="00241A76"/>
    <w:rsid w:val="00244BCF"/>
    <w:rsid w:val="00245B0C"/>
    <w:rsid w:val="00246C58"/>
    <w:rsid w:val="00247D0A"/>
    <w:rsid w:val="0025131E"/>
    <w:rsid w:val="0025162F"/>
    <w:rsid w:val="002521A9"/>
    <w:rsid w:val="002522D8"/>
    <w:rsid w:val="0025609A"/>
    <w:rsid w:val="0025697D"/>
    <w:rsid w:val="00261759"/>
    <w:rsid w:val="00265D8F"/>
    <w:rsid w:val="00265EC2"/>
    <w:rsid w:val="002666FA"/>
    <w:rsid w:val="00267F2A"/>
    <w:rsid w:val="0027380E"/>
    <w:rsid w:val="0027694C"/>
    <w:rsid w:val="00276E01"/>
    <w:rsid w:val="00277002"/>
    <w:rsid w:val="00277EAD"/>
    <w:rsid w:val="00280938"/>
    <w:rsid w:val="00280A24"/>
    <w:rsid w:val="0028129E"/>
    <w:rsid w:val="00285637"/>
    <w:rsid w:val="002860AF"/>
    <w:rsid w:val="002861D8"/>
    <w:rsid w:val="00292604"/>
    <w:rsid w:val="00296B10"/>
    <w:rsid w:val="00297782"/>
    <w:rsid w:val="00297846"/>
    <w:rsid w:val="002A0D9B"/>
    <w:rsid w:val="002A2DFC"/>
    <w:rsid w:val="002A2F32"/>
    <w:rsid w:val="002B08B6"/>
    <w:rsid w:val="002B2022"/>
    <w:rsid w:val="002B2467"/>
    <w:rsid w:val="002B325B"/>
    <w:rsid w:val="002B4264"/>
    <w:rsid w:val="002B6BBE"/>
    <w:rsid w:val="002B7A08"/>
    <w:rsid w:val="002B7C10"/>
    <w:rsid w:val="002C0CC9"/>
    <w:rsid w:val="002C12DF"/>
    <w:rsid w:val="002C13CF"/>
    <w:rsid w:val="002C14DB"/>
    <w:rsid w:val="002C22C4"/>
    <w:rsid w:val="002C34EF"/>
    <w:rsid w:val="002C3632"/>
    <w:rsid w:val="002C7D94"/>
    <w:rsid w:val="002D3318"/>
    <w:rsid w:val="002D3AC9"/>
    <w:rsid w:val="002D5B02"/>
    <w:rsid w:val="002D75D8"/>
    <w:rsid w:val="002E01CD"/>
    <w:rsid w:val="002E1130"/>
    <w:rsid w:val="002E2051"/>
    <w:rsid w:val="002E46F4"/>
    <w:rsid w:val="002E5161"/>
    <w:rsid w:val="002E5716"/>
    <w:rsid w:val="002E60E0"/>
    <w:rsid w:val="002F2C29"/>
    <w:rsid w:val="002F4571"/>
    <w:rsid w:val="002F526C"/>
    <w:rsid w:val="002F5B8B"/>
    <w:rsid w:val="002F6640"/>
    <w:rsid w:val="003025AD"/>
    <w:rsid w:val="00302C0C"/>
    <w:rsid w:val="00303C89"/>
    <w:rsid w:val="00304A37"/>
    <w:rsid w:val="0030648B"/>
    <w:rsid w:val="00307EE3"/>
    <w:rsid w:val="00310C7B"/>
    <w:rsid w:val="003135B9"/>
    <w:rsid w:val="003143C1"/>
    <w:rsid w:val="003149A2"/>
    <w:rsid w:val="003151A7"/>
    <w:rsid w:val="0031525B"/>
    <w:rsid w:val="00316AF8"/>
    <w:rsid w:val="00316C70"/>
    <w:rsid w:val="00317145"/>
    <w:rsid w:val="00317FE1"/>
    <w:rsid w:val="00323682"/>
    <w:rsid w:val="00323E02"/>
    <w:rsid w:val="0032443C"/>
    <w:rsid w:val="00324B19"/>
    <w:rsid w:val="003255C9"/>
    <w:rsid w:val="00327DA2"/>
    <w:rsid w:val="003317F1"/>
    <w:rsid w:val="00333613"/>
    <w:rsid w:val="003354E7"/>
    <w:rsid w:val="00335DF9"/>
    <w:rsid w:val="00336B28"/>
    <w:rsid w:val="0034229B"/>
    <w:rsid w:val="00342544"/>
    <w:rsid w:val="0034287A"/>
    <w:rsid w:val="00345265"/>
    <w:rsid w:val="00345D94"/>
    <w:rsid w:val="00345F3B"/>
    <w:rsid w:val="003473CF"/>
    <w:rsid w:val="00347F01"/>
    <w:rsid w:val="00351B88"/>
    <w:rsid w:val="0035229F"/>
    <w:rsid w:val="00353683"/>
    <w:rsid w:val="003576A9"/>
    <w:rsid w:val="00357EA0"/>
    <w:rsid w:val="003603B2"/>
    <w:rsid w:val="00361FE6"/>
    <w:rsid w:val="003636D5"/>
    <w:rsid w:val="0036472F"/>
    <w:rsid w:val="003660B5"/>
    <w:rsid w:val="00366492"/>
    <w:rsid w:val="0037142C"/>
    <w:rsid w:val="003716D7"/>
    <w:rsid w:val="00371D41"/>
    <w:rsid w:val="0038089B"/>
    <w:rsid w:val="00380F36"/>
    <w:rsid w:val="003817BF"/>
    <w:rsid w:val="0038421D"/>
    <w:rsid w:val="00384465"/>
    <w:rsid w:val="0038503A"/>
    <w:rsid w:val="00387394"/>
    <w:rsid w:val="003876F0"/>
    <w:rsid w:val="00387A0E"/>
    <w:rsid w:val="00393348"/>
    <w:rsid w:val="00394102"/>
    <w:rsid w:val="003A4FFE"/>
    <w:rsid w:val="003A5B9B"/>
    <w:rsid w:val="003A65D2"/>
    <w:rsid w:val="003B2F11"/>
    <w:rsid w:val="003B3A6C"/>
    <w:rsid w:val="003B6BBE"/>
    <w:rsid w:val="003C260C"/>
    <w:rsid w:val="003C4EF1"/>
    <w:rsid w:val="003C549C"/>
    <w:rsid w:val="003C6B98"/>
    <w:rsid w:val="003C7269"/>
    <w:rsid w:val="003D389E"/>
    <w:rsid w:val="003D434B"/>
    <w:rsid w:val="003D5429"/>
    <w:rsid w:val="003D77AA"/>
    <w:rsid w:val="003D780D"/>
    <w:rsid w:val="003E0052"/>
    <w:rsid w:val="003E07E4"/>
    <w:rsid w:val="003E12DF"/>
    <w:rsid w:val="003E148B"/>
    <w:rsid w:val="003E3AD1"/>
    <w:rsid w:val="003E66AB"/>
    <w:rsid w:val="003E6C00"/>
    <w:rsid w:val="003F1C1F"/>
    <w:rsid w:val="003F55B8"/>
    <w:rsid w:val="003F5935"/>
    <w:rsid w:val="003F753E"/>
    <w:rsid w:val="00401026"/>
    <w:rsid w:val="0040149B"/>
    <w:rsid w:val="00403977"/>
    <w:rsid w:val="00404EB3"/>
    <w:rsid w:val="004072CC"/>
    <w:rsid w:val="004103D2"/>
    <w:rsid w:val="0041053A"/>
    <w:rsid w:val="00410548"/>
    <w:rsid w:val="00412ABE"/>
    <w:rsid w:val="00415CA0"/>
    <w:rsid w:val="004161BB"/>
    <w:rsid w:val="00416B9D"/>
    <w:rsid w:val="00417322"/>
    <w:rsid w:val="00417712"/>
    <w:rsid w:val="00420CE1"/>
    <w:rsid w:val="004220A8"/>
    <w:rsid w:val="00422495"/>
    <w:rsid w:val="004307DC"/>
    <w:rsid w:val="00432F59"/>
    <w:rsid w:val="0043370E"/>
    <w:rsid w:val="00435ECD"/>
    <w:rsid w:val="00440C5D"/>
    <w:rsid w:val="00441348"/>
    <w:rsid w:val="00441563"/>
    <w:rsid w:val="0044215A"/>
    <w:rsid w:val="00442271"/>
    <w:rsid w:val="00443F3A"/>
    <w:rsid w:val="00445BD3"/>
    <w:rsid w:val="00445EA7"/>
    <w:rsid w:val="00451183"/>
    <w:rsid w:val="0045129A"/>
    <w:rsid w:val="00451A10"/>
    <w:rsid w:val="00453B02"/>
    <w:rsid w:val="004549A2"/>
    <w:rsid w:val="004549E4"/>
    <w:rsid w:val="00454D8E"/>
    <w:rsid w:val="0045551B"/>
    <w:rsid w:val="00455DD2"/>
    <w:rsid w:val="00456A93"/>
    <w:rsid w:val="004609C3"/>
    <w:rsid w:val="004626D4"/>
    <w:rsid w:val="00466230"/>
    <w:rsid w:val="004662AB"/>
    <w:rsid w:val="004666A0"/>
    <w:rsid w:val="00466922"/>
    <w:rsid w:val="00467260"/>
    <w:rsid w:val="0047013F"/>
    <w:rsid w:val="004731A1"/>
    <w:rsid w:val="004742A9"/>
    <w:rsid w:val="00474A2F"/>
    <w:rsid w:val="00474C32"/>
    <w:rsid w:val="004760EB"/>
    <w:rsid w:val="00476762"/>
    <w:rsid w:val="00476AC7"/>
    <w:rsid w:val="004807D6"/>
    <w:rsid w:val="00481E49"/>
    <w:rsid w:val="00484A5C"/>
    <w:rsid w:val="00486222"/>
    <w:rsid w:val="00486942"/>
    <w:rsid w:val="00487E09"/>
    <w:rsid w:val="0049047E"/>
    <w:rsid w:val="00491724"/>
    <w:rsid w:val="00493AAD"/>
    <w:rsid w:val="00494267"/>
    <w:rsid w:val="004A16F6"/>
    <w:rsid w:val="004A70F0"/>
    <w:rsid w:val="004A7260"/>
    <w:rsid w:val="004B0B56"/>
    <w:rsid w:val="004B1599"/>
    <w:rsid w:val="004B2CD0"/>
    <w:rsid w:val="004B49DA"/>
    <w:rsid w:val="004B5419"/>
    <w:rsid w:val="004B7089"/>
    <w:rsid w:val="004B76EA"/>
    <w:rsid w:val="004C101A"/>
    <w:rsid w:val="004C1BEC"/>
    <w:rsid w:val="004C27ED"/>
    <w:rsid w:val="004D03FF"/>
    <w:rsid w:val="004D086D"/>
    <w:rsid w:val="004D1E82"/>
    <w:rsid w:val="004D5483"/>
    <w:rsid w:val="004D5C61"/>
    <w:rsid w:val="004E139B"/>
    <w:rsid w:val="004E2C8B"/>
    <w:rsid w:val="004E2D43"/>
    <w:rsid w:val="004E3492"/>
    <w:rsid w:val="004E5034"/>
    <w:rsid w:val="004E6DE6"/>
    <w:rsid w:val="004E6F3B"/>
    <w:rsid w:val="004F0943"/>
    <w:rsid w:val="004F09A2"/>
    <w:rsid w:val="004F1520"/>
    <w:rsid w:val="004F2AEC"/>
    <w:rsid w:val="004F34BA"/>
    <w:rsid w:val="004F68B7"/>
    <w:rsid w:val="004F6B17"/>
    <w:rsid w:val="004F7C93"/>
    <w:rsid w:val="00504511"/>
    <w:rsid w:val="00504959"/>
    <w:rsid w:val="00505D1D"/>
    <w:rsid w:val="00506249"/>
    <w:rsid w:val="005121A5"/>
    <w:rsid w:val="00513ADD"/>
    <w:rsid w:val="005152A5"/>
    <w:rsid w:val="0052117A"/>
    <w:rsid w:val="0052416F"/>
    <w:rsid w:val="005268E0"/>
    <w:rsid w:val="00531152"/>
    <w:rsid w:val="00535798"/>
    <w:rsid w:val="00535E57"/>
    <w:rsid w:val="00537702"/>
    <w:rsid w:val="00537CE7"/>
    <w:rsid w:val="00540859"/>
    <w:rsid w:val="00543859"/>
    <w:rsid w:val="00544CA9"/>
    <w:rsid w:val="00552161"/>
    <w:rsid w:val="005525C8"/>
    <w:rsid w:val="00552C13"/>
    <w:rsid w:val="00557E40"/>
    <w:rsid w:val="0056315E"/>
    <w:rsid w:val="00563AE3"/>
    <w:rsid w:val="00564CA8"/>
    <w:rsid w:val="00564DF9"/>
    <w:rsid w:val="00570E65"/>
    <w:rsid w:val="00572753"/>
    <w:rsid w:val="00572AC3"/>
    <w:rsid w:val="005736C0"/>
    <w:rsid w:val="00573F58"/>
    <w:rsid w:val="005747A8"/>
    <w:rsid w:val="00574FCE"/>
    <w:rsid w:val="00575C88"/>
    <w:rsid w:val="00577989"/>
    <w:rsid w:val="00584CC6"/>
    <w:rsid w:val="005916EB"/>
    <w:rsid w:val="005922DB"/>
    <w:rsid w:val="0059265C"/>
    <w:rsid w:val="00592931"/>
    <w:rsid w:val="005934A5"/>
    <w:rsid w:val="00594D23"/>
    <w:rsid w:val="00596A86"/>
    <w:rsid w:val="00596D18"/>
    <w:rsid w:val="005A03BA"/>
    <w:rsid w:val="005A095C"/>
    <w:rsid w:val="005A145F"/>
    <w:rsid w:val="005A1B4C"/>
    <w:rsid w:val="005A22D0"/>
    <w:rsid w:val="005A4C5E"/>
    <w:rsid w:val="005A4DC0"/>
    <w:rsid w:val="005A737F"/>
    <w:rsid w:val="005B024B"/>
    <w:rsid w:val="005B0CC9"/>
    <w:rsid w:val="005B0E00"/>
    <w:rsid w:val="005B3CFC"/>
    <w:rsid w:val="005B4625"/>
    <w:rsid w:val="005B4A56"/>
    <w:rsid w:val="005C056B"/>
    <w:rsid w:val="005C1582"/>
    <w:rsid w:val="005C2E15"/>
    <w:rsid w:val="005C3176"/>
    <w:rsid w:val="005C448E"/>
    <w:rsid w:val="005C4677"/>
    <w:rsid w:val="005C565D"/>
    <w:rsid w:val="005C78CC"/>
    <w:rsid w:val="005D0099"/>
    <w:rsid w:val="005D170F"/>
    <w:rsid w:val="005D17F4"/>
    <w:rsid w:val="005D2581"/>
    <w:rsid w:val="005D30CF"/>
    <w:rsid w:val="005D44D8"/>
    <w:rsid w:val="005D4987"/>
    <w:rsid w:val="005D4A8F"/>
    <w:rsid w:val="005D519E"/>
    <w:rsid w:val="005D5320"/>
    <w:rsid w:val="005D5F92"/>
    <w:rsid w:val="005D62AD"/>
    <w:rsid w:val="005D6D3D"/>
    <w:rsid w:val="005E21F0"/>
    <w:rsid w:val="005E2316"/>
    <w:rsid w:val="005E28EA"/>
    <w:rsid w:val="005E409D"/>
    <w:rsid w:val="005E42EB"/>
    <w:rsid w:val="005E4F05"/>
    <w:rsid w:val="005F0068"/>
    <w:rsid w:val="005F2089"/>
    <w:rsid w:val="005F2B43"/>
    <w:rsid w:val="005F43FA"/>
    <w:rsid w:val="005F581E"/>
    <w:rsid w:val="005F63D8"/>
    <w:rsid w:val="005F6FF4"/>
    <w:rsid w:val="005F79CF"/>
    <w:rsid w:val="005F7C07"/>
    <w:rsid w:val="006005E9"/>
    <w:rsid w:val="00602A56"/>
    <w:rsid w:val="00602B20"/>
    <w:rsid w:val="0060378F"/>
    <w:rsid w:val="00604FE0"/>
    <w:rsid w:val="00605ABE"/>
    <w:rsid w:val="00611BBF"/>
    <w:rsid w:val="00611BC2"/>
    <w:rsid w:val="00616821"/>
    <w:rsid w:val="006220D3"/>
    <w:rsid w:val="00630EF3"/>
    <w:rsid w:val="006329C3"/>
    <w:rsid w:val="0063642E"/>
    <w:rsid w:val="00640819"/>
    <w:rsid w:val="0064176D"/>
    <w:rsid w:val="0064206D"/>
    <w:rsid w:val="0064349A"/>
    <w:rsid w:val="00651D06"/>
    <w:rsid w:val="00651D6B"/>
    <w:rsid w:val="00653E73"/>
    <w:rsid w:val="0065623E"/>
    <w:rsid w:val="00656BAC"/>
    <w:rsid w:val="00661BDB"/>
    <w:rsid w:val="00661BE0"/>
    <w:rsid w:val="0066398A"/>
    <w:rsid w:val="0066563F"/>
    <w:rsid w:val="0066613A"/>
    <w:rsid w:val="006669E9"/>
    <w:rsid w:val="00666E21"/>
    <w:rsid w:val="0067093D"/>
    <w:rsid w:val="00670E88"/>
    <w:rsid w:val="00671553"/>
    <w:rsid w:val="006734BE"/>
    <w:rsid w:val="0067355F"/>
    <w:rsid w:val="00674BA8"/>
    <w:rsid w:val="006760B1"/>
    <w:rsid w:val="00676E41"/>
    <w:rsid w:val="0067779B"/>
    <w:rsid w:val="006778B9"/>
    <w:rsid w:val="00677E27"/>
    <w:rsid w:val="00677FC3"/>
    <w:rsid w:val="006820CD"/>
    <w:rsid w:val="00686EC9"/>
    <w:rsid w:val="00687BA9"/>
    <w:rsid w:val="00687EAF"/>
    <w:rsid w:val="00692A58"/>
    <w:rsid w:val="0069334F"/>
    <w:rsid w:val="00695648"/>
    <w:rsid w:val="00695738"/>
    <w:rsid w:val="0069615A"/>
    <w:rsid w:val="006972F8"/>
    <w:rsid w:val="006A1DC7"/>
    <w:rsid w:val="006A375B"/>
    <w:rsid w:val="006A41E6"/>
    <w:rsid w:val="006A5150"/>
    <w:rsid w:val="006B0546"/>
    <w:rsid w:val="006B2049"/>
    <w:rsid w:val="006B4707"/>
    <w:rsid w:val="006B59B8"/>
    <w:rsid w:val="006B5AE8"/>
    <w:rsid w:val="006C061A"/>
    <w:rsid w:val="006C1CA2"/>
    <w:rsid w:val="006C619E"/>
    <w:rsid w:val="006C628B"/>
    <w:rsid w:val="006C6346"/>
    <w:rsid w:val="006D0DD7"/>
    <w:rsid w:val="006D208D"/>
    <w:rsid w:val="006D3FD6"/>
    <w:rsid w:val="006E08C6"/>
    <w:rsid w:val="006E090B"/>
    <w:rsid w:val="006E366F"/>
    <w:rsid w:val="006E4915"/>
    <w:rsid w:val="006E5DF1"/>
    <w:rsid w:val="006E61EF"/>
    <w:rsid w:val="006E626A"/>
    <w:rsid w:val="006F24BC"/>
    <w:rsid w:val="006F7E0A"/>
    <w:rsid w:val="007001EC"/>
    <w:rsid w:val="00702786"/>
    <w:rsid w:val="00704D8B"/>
    <w:rsid w:val="00705038"/>
    <w:rsid w:val="00705960"/>
    <w:rsid w:val="0070664D"/>
    <w:rsid w:val="00706F63"/>
    <w:rsid w:val="00707C02"/>
    <w:rsid w:val="00712B09"/>
    <w:rsid w:val="00713339"/>
    <w:rsid w:val="00715810"/>
    <w:rsid w:val="00715FD6"/>
    <w:rsid w:val="00716AFE"/>
    <w:rsid w:val="00720C76"/>
    <w:rsid w:val="00721481"/>
    <w:rsid w:val="007241ED"/>
    <w:rsid w:val="00724E18"/>
    <w:rsid w:val="007265F3"/>
    <w:rsid w:val="00727063"/>
    <w:rsid w:val="00730CFE"/>
    <w:rsid w:val="0073137C"/>
    <w:rsid w:val="00732939"/>
    <w:rsid w:val="00734F96"/>
    <w:rsid w:val="00737718"/>
    <w:rsid w:val="00742CD5"/>
    <w:rsid w:val="007463CD"/>
    <w:rsid w:val="007466FD"/>
    <w:rsid w:val="00746719"/>
    <w:rsid w:val="007475F1"/>
    <w:rsid w:val="00750F05"/>
    <w:rsid w:val="00751141"/>
    <w:rsid w:val="007530D2"/>
    <w:rsid w:val="00754A0D"/>
    <w:rsid w:val="00755F0C"/>
    <w:rsid w:val="007573CC"/>
    <w:rsid w:val="00760A6E"/>
    <w:rsid w:val="007619D2"/>
    <w:rsid w:val="00761C18"/>
    <w:rsid w:val="0076290A"/>
    <w:rsid w:val="007647DC"/>
    <w:rsid w:val="00765466"/>
    <w:rsid w:val="00765646"/>
    <w:rsid w:val="00766336"/>
    <w:rsid w:val="00770A54"/>
    <w:rsid w:val="00770C96"/>
    <w:rsid w:val="0077210B"/>
    <w:rsid w:val="007726E5"/>
    <w:rsid w:val="0077538D"/>
    <w:rsid w:val="00775CC1"/>
    <w:rsid w:val="00780149"/>
    <w:rsid w:val="0078033A"/>
    <w:rsid w:val="00780A88"/>
    <w:rsid w:val="00782632"/>
    <w:rsid w:val="00784A37"/>
    <w:rsid w:val="00785B05"/>
    <w:rsid w:val="00785D88"/>
    <w:rsid w:val="0078650D"/>
    <w:rsid w:val="007870E3"/>
    <w:rsid w:val="00787564"/>
    <w:rsid w:val="0078790D"/>
    <w:rsid w:val="0079057E"/>
    <w:rsid w:val="00791CA8"/>
    <w:rsid w:val="00795776"/>
    <w:rsid w:val="00795BE2"/>
    <w:rsid w:val="00795F1B"/>
    <w:rsid w:val="007A1CB5"/>
    <w:rsid w:val="007A3666"/>
    <w:rsid w:val="007A3E03"/>
    <w:rsid w:val="007A4D08"/>
    <w:rsid w:val="007A5087"/>
    <w:rsid w:val="007A58A5"/>
    <w:rsid w:val="007A5991"/>
    <w:rsid w:val="007A5C34"/>
    <w:rsid w:val="007A64D8"/>
    <w:rsid w:val="007A65AD"/>
    <w:rsid w:val="007A7C13"/>
    <w:rsid w:val="007B08E1"/>
    <w:rsid w:val="007B1772"/>
    <w:rsid w:val="007B2F7C"/>
    <w:rsid w:val="007B34D3"/>
    <w:rsid w:val="007B69F3"/>
    <w:rsid w:val="007C0CF6"/>
    <w:rsid w:val="007C54F3"/>
    <w:rsid w:val="007C799D"/>
    <w:rsid w:val="007D08DC"/>
    <w:rsid w:val="007D0D11"/>
    <w:rsid w:val="007D25EB"/>
    <w:rsid w:val="007D38BC"/>
    <w:rsid w:val="007D4E8C"/>
    <w:rsid w:val="007D7C80"/>
    <w:rsid w:val="007E0A82"/>
    <w:rsid w:val="007E1111"/>
    <w:rsid w:val="007E12BE"/>
    <w:rsid w:val="007E138A"/>
    <w:rsid w:val="007E35E5"/>
    <w:rsid w:val="007E38CC"/>
    <w:rsid w:val="007E4B23"/>
    <w:rsid w:val="007E5433"/>
    <w:rsid w:val="007E55FB"/>
    <w:rsid w:val="007E6329"/>
    <w:rsid w:val="007E6623"/>
    <w:rsid w:val="007F093F"/>
    <w:rsid w:val="007F3A1C"/>
    <w:rsid w:val="008007F0"/>
    <w:rsid w:val="00804567"/>
    <w:rsid w:val="00805972"/>
    <w:rsid w:val="008066AC"/>
    <w:rsid w:val="008066CA"/>
    <w:rsid w:val="00810A4D"/>
    <w:rsid w:val="00812554"/>
    <w:rsid w:val="00812799"/>
    <w:rsid w:val="00812FC1"/>
    <w:rsid w:val="00813EFD"/>
    <w:rsid w:val="0081521B"/>
    <w:rsid w:val="00815A8D"/>
    <w:rsid w:val="0081777C"/>
    <w:rsid w:val="008178BA"/>
    <w:rsid w:val="00820175"/>
    <w:rsid w:val="0082047A"/>
    <w:rsid w:val="0082074F"/>
    <w:rsid w:val="00825498"/>
    <w:rsid w:val="00826866"/>
    <w:rsid w:val="00831F6D"/>
    <w:rsid w:val="008333C9"/>
    <w:rsid w:val="00833DB2"/>
    <w:rsid w:val="00834F4B"/>
    <w:rsid w:val="00837CCC"/>
    <w:rsid w:val="00842D73"/>
    <w:rsid w:val="00842E10"/>
    <w:rsid w:val="00844DB0"/>
    <w:rsid w:val="008452A7"/>
    <w:rsid w:val="00845807"/>
    <w:rsid w:val="00847743"/>
    <w:rsid w:val="00847B11"/>
    <w:rsid w:val="00850B2A"/>
    <w:rsid w:val="0085261E"/>
    <w:rsid w:val="0085400C"/>
    <w:rsid w:val="008554B4"/>
    <w:rsid w:val="00856045"/>
    <w:rsid w:val="008571A9"/>
    <w:rsid w:val="00857F2F"/>
    <w:rsid w:val="00860BCA"/>
    <w:rsid w:val="00863B79"/>
    <w:rsid w:val="00863CB3"/>
    <w:rsid w:val="00865A20"/>
    <w:rsid w:val="00866A31"/>
    <w:rsid w:val="00867AC2"/>
    <w:rsid w:val="00870E9A"/>
    <w:rsid w:val="00872597"/>
    <w:rsid w:val="008728EF"/>
    <w:rsid w:val="008745B5"/>
    <w:rsid w:val="0087596D"/>
    <w:rsid w:val="00876AB2"/>
    <w:rsid w:val="00884C3E"/>
    <w:rsid w:val="0088502E"/>
    <w:rsid w:val="00890BF8"/>
    <w:rsid w:val="00891050"/>
    <w:rsid w:val="00891A4E"/>
    <w:rsid w:val="00892C10"/>
    <w:rsid w:val="00893821"/>
    <w:rsid w:val="00896E25"/>
    <w:rsid w:val="008A0F87"/>
    <w:rsid w:val="008A1BB9"/>
    <w:rsid w:val="008A3FE0"/>
    <w:rsid w:val="008B0510"/>
    <w:rsid w:val="008B2B8A"/>
    <w:rsid w:val="008B3563"/>
    <w:rsid w:val="008B7491"/>
    <w:rsid w:val="008C0075"/>
    <w:rsid w:val="008C00F1"/>
    <w:rsid w:val="008C26D5"/>
    <w:rsid w:val="008C296F"/>
    <w:rsid w:val="008C2D00"/>
    <w:rsid w:val="008C395F"/>
    <w:rsid w:val="008C42DE"/>
    <w:rsid w:val="008C68C2"/>
    <w:rsid w:val="008C7520"/>
    <w:rsid w:val="008C7EDA"/>
    <w:rsid w:val="008D088A"/>
    <w:rsid w:val="008D21C6"/>
    <w:rsid w:val="008D2297"/>
    <w:rsid w:val="008D2706"/>
    <w:rsid w:val="008D2EBF"/>
    <w:rsid w:val="008D4B86"/>
    <w:rsid w:val="008D542F"/>
    <w:rsid w:val="008D7440"/>
    <w:rsid w:val="008D79B4"/>
    <w:rsid w:val="008DA1DF"/>
    <w:rsid w:val="008E0777"/>
    <w:rsid w:val="008E1CD0"/>
    <w:rsid w:val="008E272D"/>
    <w:rsid w:val="008E283A"/>
    <w:rsid w:val="008E2B38"/>
    <w:rsid w:val="008E3E65"/>
    <w:rsid w:val="008E5706"/>
    <w:rsid w:val="008E572D"/>
    <w:rsid w:val="008E6190"/>
    <w:rsid w:val="008E7DC9"/>
    <w:rsid w:val="008F049C"/>
    <w:rsid w:val="008F0F4D"/>
    <w:rsid w:val="008F10F3"/>
    <w:rsid w:val="008F167F"/>
    <w:rsid w:val="008F2748"/>
    <w:rsid w:val="008F2840"/>
    <w:rsid w:val="008F31F9"/>
    <w:rsid w:val="009020F8"/>
    <w:rsid w:val="00903CAC"/>
    <w:rsid w:val="00903CBF"/>
    <w:rsid w:val="00904CB3"/>
    <w:rsid w:val="00905AE8"/>
    <w:rsid w:val="00905F6B"/>
    <w:rsid w:val="00910D83"/>
    <w:rsid w:val="00915946"/>
    <w:rsid w:val="00924510"/>
    <w:rsid w:val="009246C0"/>
    <w:rsid w:val="00930A48"/>
    <w:rsid w:val="00933AF9"/>
    <w:rsid w:val="0093440A"/>
    <w:rsid w:val="00934904"/>
    <w:rsid w:val="009352A2"/>
    <w:rsid w:val="009362E2"/>
    <w:rsid w:val="00937668"/>
    <w:rsid w:val="00940E67"/>
    <w:rsid w:val="009414EF"/>
    <w:rsid w:val="00941D5D"/>
    <w:rsid w:val="00944030"/>
    <w:rsid w:val="00944BBF"/>
    <w:rsid w:val="00945B70"/>
    <w:rsid w:val="009479CF"/>
    <w:rsid w:val="00950D32"/>
    <w:rsid w:val="00951AC6"/>
    <w:rsid w:val="00951CE2"/>
    <w:rsid w:val="009554D3"/>
    <w:rsid w:val="00956FB2"/>
    <w:rsid w:val="009576C1"/>
    <w:rsid w:val="00957F44"/>
    <w:rsid w:val="009603DD"/>
    <w:rsid w:val="00960A0E"/>
    <w:rsid w:val="00961B44"/>
    <w:rsid w:val="00961D9E"/>
    <w:rsid w:val="00962385"/>
    <w:rsid w:val="00962A54"/>
    <w:rsid w:val="00963255"/>
    <w:rsid w:val="00965E79"/>
    <w:rsid w:val="00967DC1"/>
    <w:rsid w:val="009732C2"/>
    <w:rsid w:val="00975220"/>
    <w:rsid w:val="0097731E"/>
    <w:rsid w:val="00980F03"/>
    <w:rsid w:val="009814E3"/>
    <w:rsid w:val="00983E4C"/>
    <w:rsid w:val="00992E81"/>
    <w:rsid w:val="00993111"/>
    <w:rsid w:val="00993B59"/>
    <w:rsid w:val="0099586C"/>
    <w:rsid w:val="009A0B8E"/>
    <w:rsid w:val="009A0FD4"/>
    <w:rsid w:val="009A11D7"/>
    <w:rsid w:val="009A326C"/>
    <w:rsid w:val="009A34D5"/>
    <w:rsid w:val="009A7D2B"/>
    <w:rsid w:val="009A7D4E"/>
    <w:rsid w:val="009B3052"/>
    <w:rsid w:val="009B3972"/>
    <w:rsid w:val="009B76E3"/>
    <w:rsid w:val="009C0948"/>
    <w:rsid w:val="009C469F"/>
    <w:rsid w:val="009C4EE9"/>
    <w:rsid w:val="009C639C"/>
    <w:rsid w:val="009D103E"/>
    <w:rsid w:val="009D2119"/>
    <w:rsid w:val="009D2DF4"/>
    <w:rsid w:val="009E33EA"/>
    <w:rsid w:val="009E545F"/>
    <w:rsid w:val="009E623B"/>
    <w:rsid w:val="009E62B9"/>
    <w:rsid w:val="009E6B54"/>
    <w:rsid w:val="009E6DD3"/>
    <w:rsid w:val="009F0116"/>
    <w:rsid w:val="009F2938"/>
    <w:rsid w:val="009F2D33"/>
    <w:rsid w:val="009F420D"/>
    <w:rsid w:val="009F5559"/>
    <w:rsid w:val="009F77CB"/>
    <w:rsid w:val="00A01CE6"/>
    <w:rsid w:val="00A04FAB"/>
    <w:rsid w:val="00A07917"/>
    <w:rsid w:val="00A07F9A"/>
    <w:rsid w:val="00A12A00"/>
    <w:rsid w:val="00A13939"/>
    <w:rsid w:val="00A14880"/>
    <w:rsid w:val="00A14F6B"/>
    <w:rsid w:val="00A160CF"/>
    <w:rsid w:val="00A165DA"/>
    <w:rsid w:val="00A1693B"/>
    <w:rsid w:val="00A177B0"/>
    <w:rsid w:val="00A17D58"/>
    <w:rsid w:val="00A20700"/>
    <w:rsid w:val="00A20ABC"/>
    <w:rsid w:val="00A21E37"/>
    <w:rsid w:val="00A22DDD"/>
    <w:rsid w:val="00A24370"/>
    <w:rsid w:val="00A24EE3"/>
    <w:rsid w:val="00A25BD0"/>
    <w:rsid w:val="00A26CFD"/>
    <w:rsid w:val="00A26E7F"/>
    <w:rsid w:val="00A27C75"/>
    <w:rsid w:val="00A32007"/>
    <w:rsid w:val="00A32320"/>
    <w:rsid w:val="00A325F9"/>
    <w:rsid w:val="00A35A44"/>
    <w:rsid w:val="00A373CC"/>
    <w:rsid w:val="00A423EF"/>
    <w:rsid w:val="00A4359A"/>
    <w:rsid w:val="00A439EC"/>
    <w:rsid w:val="00A43B46"/>
    <w:rsid w:val="00A46755"/>
    <w:rsid w:val="00A538E0"/>
    <w:rsid w:val="00A57770"/>
    <w:rsid w:val="00A605D1"/>
    <w:rsid w:val="00A60864"/>
    <w:rsid w:val="00A621BA"/>
    <w:rsid w:val="00A62ED2"/>
    <w:rsid w:val="00A63061"/>
    <w:rsid w:val="00A6385A"/>
    <w:rsid w:val="00A63CE7"/>
    <w:rsid w:val="00A700D9"/>
    <w:rsid w:val="00A707ED"/>
    <w:rsid w:val="00A70ABD"/>
    <w:rsid w:val="00A70D55"/>
    <w:rsid w:val="00A710F6"/>
    <w:rsid w:val="00A724B8"/>
    <w:rsid w:val="00A72F28"/>
    <w:rsid w:val="00A74241"/>
    <w:rsid w:val="00A772CD"/>
    <w:rsid w:val="00A804B7"/>
    <w:rsid w:val="00A8377F"/>
    <w:rsid w:val="00A8459A"/>
    <w:rsid w:val="00A87399"/>
    <w:rsid w:val="00A87B80"/>
    <w:rsid w:val="00A913C0"/>
    <w:rsid w:val="00A9308A"/>
    <w:rsid w:val="00A95859"/>
    <w:rsid w:val="00A969D3"/>
    <w:rsid w:val="00A96F43"/>
    <w:rsid w:val="00A973A7"/>
    <w:rsid w:val="00AA02A4"/>
    <w:rsid w:val="00AA2AB4"/>
    <w:rsid w:val="00AA6041"/>
    <w:rsid w:val="00AA773A"/>
    <w:rsid w:val="00AA7A3D"/>
    <w:rsid w:val="00AB0604"/>
    <w:rsid w:val="00AB0AC9"/>
    <w:rsid w:val="00AB0C91"/>
    <w:rsid w:val="00AB1205"/>
    <w:rsid w:val="00AB24C4"/>
    <w:rsid w:val="00AB3C45"/>
    <w:rsid w:val="00AB5D62"/>
    <w:rsid w:val="00AB7996"/>
    <w:rsid w:val="00AB7EF3"/>
    <w:rsid w:val="00AC02B2"/>
    <w:rsid w:val="00AC21D2"/>
    <w:rsid w:val="00AC418D"/>
    <w:rsid w:val="00AC68DE"/>
    <w:rsid w:val="00AD04F0"/>
    <w:rsid w:val="00AD08CE"/>
    <w:rsid w:val="00AD12C0"/>
    <w:rsid w:val="00AD3712"/>
    <w:rsid w:val="00AD3C75"/>
    <w:rsid w:val="00AD3D64"/>
    <w:rsid w:val="00AD49FD"/>
    <w:rsid w:val="00AD5908"/>
    <w:rsid w:val="00AD6603"/>
    <w:rsid w:val="00AE05A6"/>
    <w:rsid w:val="00AE18C2"/>
    <w:rsid w:val="00AE5CD3"/>
    <w:rsid w:val="00AE61AB"/>
    <w:rsid w:val="00AE7CC7"/>
    <w:rsid w:val="00AF2F5A"/>
    <w:rsid w:val="00B00652"/>
    <w:rsid w:val="00B01631"/>
    <w:rsid w:val="00B021D0"/>
    <w:rsid w:val="00B029F5"/>
    <w:rsid w:val="00B03B13"/>
    <w:rsid w:val="00B0433E"/>
    <w:rsid w:val="00B07C03"/>
    <w:rsid w:val="00B11E6A"/>
    <w:rsid w:val="00B13704"/>
    <w:rsid w:val="00B218B4"/>
    <w:rsid w:val="00B21BA2"/>
    <w:rsid w:val="00B2367F"/>
    <w:rsid w:val="00B23B41"/>
    <w:rsid w:val="00B241B4"/>
    <w:rsid w:val="00B245B6"/>
    <w:rsid w:val="00B25AF0"/>
    <w:rsid w:val="00B260C1"/>
    <w:rsid w:val="00B32CC6"/>
    <w:rsid w:val="00B34FD1"/>
    <w:rsid w:val="00B35F6D"/>
    <w:rsid w:val="00B36949"/>
    <w:rsid w:val="00B3778C"/>
    <w:rsid w:val="00B40044"/>
    <w:rsid w:val="00B4093C"/>
    <w:rsid w:val="00B41A3D"/>
    <w:rsid w:val="00B42527"/>
    <w:rsid w:val="00B43F1A"/>
    <w:rsid w:val="00B4456D"/>
    <w:rsid w:val="00B447D4"/>
    <w:rsid w:val="00B44F2F"/>
    <w:rsid w:val="00B45A0D"/>
    <w:rsid w:val="00B4603D"/>
    <w:rsid w:val="00B4699D"/>
    <w:rsid w:val="00B50152"/>
    <w:rsid w:val="00B51267"/>
    <w:rsid w:val="00B51546"/>
    <w:rsid w:val="00B52D9E"/>
    <w:rsid w:val="00B534CB"/>
    <w:rsid w:val="00B54117"/>
    <w:rsid w:val="00B54541"/>
    <w:rsid w:val="00B548E4"/>
    <w:rsid w:val="00B55622"/>
    <w:rsid w:val="00B5666F"/>
    <w:rsid w:val="00B616DB"/>
    <w:rsid w:val="00B6194B"/>
    <w:rsid w:val="00B619B4"/>
    <w:rsid w:val="00B675EE"/>
    <w:rsid w:val="00B67718"/>
    <w:rsid w:val="00B707E8"/>
    <w:rsid w:val="00B712F3"/>
    <w:rsid w:val="00B7137E"/>
    <w:rsid w:val="00B727D5"/>
    <w:rsid w:val="00B72B04"/>
    <w:rsid w:val="00B73468"/>
    <w:rsid w:val="00B738D6"/>
    <w:rsid w:val="00B73BC0"/>
    <w:rsid w:val="00B741B7"/>
    <w:rsid w:val="00B75FEC"/>
    <w:rsid w:val="00B76933"/>
    <w:rsid w:val="00B773D6"/>
    <w:rsid w:val="00B77A7E"/>
    <w:rsid w:val="00B80FDC"/>
    <w:rsid w:val="00B82072"/>
    <w:rsid w:val="00B8350B"/>
    <w:rsid w:val="00B84A09"/>
    <w:rsid w:val="00B85A97"/>
    <w:rsid w:val="00B85B1B"/>
    <w:rsid w:val="00B86A5C"/>
    <w:rsid w:val="00B90DA7"/>
    <w:rsid w:val="00BA115A"/>
    <w:rsid w:val="00BA1507"/>
    <w:rsid w:val="00BA1FE1"/>
    <w:rsid w:val="00BA23C3"/>
    <w:rsid w:val="00BA3CCD"/>
    <w:rsid w:val="00BA7508"/>
    <w:rsid w:val="00BB070D"/>
    <w:rsid w:val="00BB105B"/>
    <w:rsid w:val="00BB117A"/>
    <w:rsid w:val="00BB2F59"/>
    <w:rsid w:val="00BB7083"/>
    <w:rsid w:val="00BB7310"/>
    <w:rsid w:val="00BB7BDB"/>
    <w:rsid w:val="00BB7D88"/>
    <w:rsid w:val="00BC0216"/>
    <w:rsid w:val="00BC12A1"/>
    <w:rsid w:val="00BC1FD7"/>
    <w:rsid w:val="00BC268F"/>
    <w:rsid w:val="00BC2BFD"/>
    <w:rsid w:val="00BC5DB0"/>
    <w:rsid w:val="00BC6573"/>
    <w:rsid w:val="00BD0847"/>
    <w:rsid w:val="00BD0FC2"/>
    <w:rsid w:val="00BD20A5"/>
    <w:rsid w:val="00BD50B2"/>
    <w:rsid w:val="00BD7EEE"/>
    <w:rsid w:val="00BE1B4F"/>
    <w:rsid w:val="00BE1F59"/>
    <w:rsid w:val="00BE1F8F"/>
    <w:rsid w:val="00BE5AC2"/>
    <w:rsid w:val="00BE74DB"/>
    <w:rsid w:val="00BF2182"/>
    <w:rsid w:val="00BF284B"/>
    <w:rsid w:val="00BF5ADE"/>
    <w:rsid w:val="00BF731F"/>
    <w:rsid w:val="00C007F9"/>
    <w:rsid w:val="00C0092D"/>
    <w:rsid w:val="00C019F3"/>
    <w:rsid w:val="00C01E7E"/>
    <w:rsid w:val="00C01F18"/>
    <w:rsid w:val="00C0231A"/>
    <w:rsid w:val="00C028B3"/>
    <w:rsid w:val="00C02F95"/>
    <w:rsid w:val="00C0578C"/>
    <w:rsid w:val="00C07E20"/>
    <w:rsid w:val="00C107D7"/>
    <w:rsid w:val="00C10CF1"/>
    <w:rsid w:val="00C10D77"/>
    <w:rsid w:val="00C14015"/>
    <w:rsid w:val="00C15636"/>
    <w:rsid w:val="00C169F8"/>
    <w:rsid w:val="00C2255A"/>
    <w:rsid w:val="00C23778"/>
    <w:rsid w:val="00C23C6C"/>
    <w:rsid w:val="00C24767"/>
    <w:rsid w:val="00C24773"/>
    <w:rsid w:val="00C308F3"/>
    <w:rsid w:val="00C319EE"/>
    <w:rsid w:val="00C3453D"/>
    <w:rsid w:val="00C34A2F"/>
    <w:rsid w:val="00C35046"/>
    <w:rsid w:val="00C36E4C"/>
    <w:rsid w:val="00C37EAD"/>
    <w:rsid w:val="00C427C5"/>
    <w:rsid w:val="00C43F30"/>
    <w:rsid w:val="00C459BE"/>
    <w:rsid w:val="00C45CB7"/>
    <w:rsid w:val="00C50A1E"/>
    <w:rsid w:val="00C50E51"/>
    <w:rsid w:val="00C53388"/>
    <w:rsid w:val="00C551A7"/>
    <w:rsid w:val="00C5558F"/>
    <w:rsid w:val="00C55926"/>
    <w:rsid w:val="00C63A8A"/>
    <w:rsid w:val="00C7086F"/>
    <w:rsid w:val="00C72059"/>
    <w:rsid w:val="00C72AC6"/>
    <w:rsid w:val="00C72BB5"/>
    <w:rsid w:val="00C7341D"/>
    <w:rsid w:val="00C751F1"/>
    <w:rsid w:val="00C756F9"/>
    <w:rsid w:val="00C75AA4"/>
    <w:rsid w:val="00C806E7"/>
    <w:rsid w:val="00C8097E"/>
    <w:rsid w:val="00C82C7D"/>
    <w:rsid w:val="00C8563D"/>
    <w:rsid w:val="00C8663B"/>
    <w:rsid w:val="00C9249A"/>
    <w:rsid w:val="00C964DC"/>
    <w:rsid w:val="00CA27C8"/>
    <w:rsid w:val="00CA37ED"/>
    <w:rsid w:val="00CA5669"/>
    <w:rsid w:val="00CA5FC1"/>
    <w:rsid w:val="00CB1E96"/>
    <w:rsid w:val="00CB49D7"/>
    <w:rsid w:val="00CB537A"/>
    <w:rsid w:val="00CB5DAE"/>
    <w:rsid w:val="00CC304C"/>
    <w:rsid w:val="00CC33B3"/>
    <w:rsid w:val="00CC516B"/>
    <w:rsid w:val="00CC791E"/>
    <w:rsid w:val="00CD0353"/>
    <w:rsid w:val="00CD0DF5"/>
    <w:rsid w:val="00CD131E"/>
    <w:rsid w:val="00CD1D0A"/>
    <w:rsid w:val="00CD1F2A"/>
    <w:rsid w:val="00CD625D"/>
    <w:rsid w:val="00CD6A2A"/>
    <w:rsid w:val="00CD76E8"/>
    <w:rsid w:val="00CD7EFF"/>
    <w:rsid w:val="00CE0DA9"/>
    <w:rsid w:val="00CE2088"/>
    <w:rsid w:val="00CE37D3"/>
    <w:rsid w:val="00CE42FC"/>
    <w:rsid w:val="00CE433E"/>
    <w:rsid w:val="00CE7EFF"/>
    <w:rsid w:val="00CF2C3B"/>
    <w:rsid w:val="00CF63DB"/>
    <w:rsid w:val="00CF72FE"/>
    <w:rsid w:val="00CF7A0A"/>
    <w:rsid w:val="00D008CA"/>
    <w:rsid w:val="00D01C60"/>
    <w:rsid w:val="00D04670"/>
    <w:rsid w:val="00D04E0C"/>
    <w:rsid w:val="00D06519"/>
    <w:rsid w:val="00D124DA"/>
    <w:rsid w:val="00D22722"/>
    <w:rsid w:val="00D23672"/>
    <w:rsid w:val="00D23987"/>
    <w:rsid w:val="00D26761"/>
    <w:rsid w:val="00D3001C"/>
    <w:rsid w:val="00D31935"/>
    <w:rsid w:val="00D33499"/>
    <w:rsid w:val="00D33DDA"/>
    <w:rsid w:val="00D35266"/>
    <w:rsid w:val="00D354A6"/>
    <w:rsid w:val="00D36975"/>
    <w:rsid w:val="00D40E07"/>
    <w:rsid w:val="00D4243C"/>
    <w:rsid w:val="00D43CA3"/>
    <w:rsid w:val="00D43CE4"/>
    <w:rsid w:val="00D44A71"/>
    <w:rsid w:val="00D44AC0"/>
    <w:rsid w:val="00D45E48"/>
    <w:rsid w:val="00D46216"/>
    <w:rsid w:val="00D4727D"/>
    <w:rsid w:val="00D51540"/>
    <w:rsid w:val="00D51EC8"/>
    <w:rsid w:val="00D540D1"/>
    <w:rsid w:val="00D600E5"/>
    <w:rsid w:val="00D60486"/>
    <w:rsid w:val="00D604AD"/>
    <w:rsid w:val="00D605DE"/>
    <w:rsid w:val="00D622C5"/>
    <w:rsid w:val="00D65576"/>
    <w:rsid w:val="00D661A7"/>
    <w:rsid w:val="00D67649"/>
    <w:rsid w:val="00D73F9E"/>
    <w:rsid w:val="00D74CBE"/>
    <w:rsid w:val="00D74D38"/>
    <w:rsid w:val="00D764E9"/>
    <w:rsid w:val="00D7665B"/>
    <w:rsid w:val="00D76E15"/>
    <w:rsid w:val="00D77F49"/>
    <w:rsid w:val="00D802FF"/>
    <w:rsid w:val="00D808D3"/>
    <w:rsid w:val="00D817D4"/>
    <w:rsid w:val="00D841CA"/>
    <w:rsid w:val="00D853F5"/>
    <w:rsid w:val="00D87825"/>
    <w:rsid w:val="00D87AB8"/>
    <w:rsid w:val="00D914F9"/>
    <w:rsid w:val="00D9154D"/>
    <w:rsid w:val="00D9179A"/>
    <w:rsid w:val="00D93EDF"/>
    <w:rsid w:val="00D952C4"/>
    <w:rsid w:val="00D95773"/>
    <w:rsid w:val="00D95D12"/>
    <w:rsid w:val="00D96057"/>
    <w:rsid w:val="00DA09D6"/>
    <w:rsid w:val="00DA3A5C"/>
    <w:rsid w:val="00DA6660"/>
    <w:rsid w:val="00DA6AAB"/>
    <w:rsid w:val="00DB03FF"/>
    <w:rsid w:val="00DB21A4"/>
    <w:rsid w:val="00DB3186"/>
    <w:rsid w:val="00DB4246"/>
    <w:rsid w:val="00DB469F"/>
    <w:rsid w:val="00DB579A"/>
    <w:rsid w:val="00DB7908"/>
    <w:rsid w:val="00DC1215"/>
    <w:rsid w:val="00DC2881"/>
    <w:rsid w:val="00DC33AA"/>
    <w:rsid w:val="00DC422F"/>
    <w:rsid w:val="00DC50C4"/>
    <w:rsid w:val="00DC5BFF"/>
    <w:rsid w:val="00DC6CF2"/>
    <w:rsid w:val="00DC7365"/>
    <w:rsid w:val="00DC7E72"/>
    <w:rsid w:val="00DC7FA5"/>
    <w:rsid w:val="00DD0C0A"/>
    <w:rsid w:val="00DD0F60"/>
    <w:rsid w:val="00DD179C"/>
    <w:rsid w:val="00DD1F0A"/>
    <w:rsid w:val="00DD279D"/>
    <w:rsid w:val="00DD3792"/>
    <w:rsid w:val="00DD4719"/>
    <w:rsid w:val="00DD647A"/>
    <w:rsid w:val="00DD723A"/>
    <w:rsid w:val="00DE5660"/>
    <w:rsid w:val="00DE5F2F"/>
    <w:rsid w:val="00DE6B61"/>
    <w:rsid w:val="00DE7C70"/>
    <w:rsid w:val="00DF136E"/>
    <w:rsid w:val="00DF2638"/>
    <w:rsid w:val="00DF2EEF"/>
    <w:rsid w:val="00DF510B"/>
    <w:rsid w:val="00DF5764"/>
    <w:rsid w:val="00DF6D09"/>
    <w:rsid w:val="00E01D21"/>
    <w:rsid w:val="00E03081"/>
    <w:rsid w:val="00E03CD5"/>
    <w:rsid w:val="00E0484A"/>
    <w:rsid w:val="00E0686C"/>
    <w:rsid w:val="00E107C3"/>
    <w:rsid w:val="00E121D5"/>
    <w:rsid w:val="00E12B15"/>
    <w:rsid w:val="00E13412"/>
    <w:rsid w:val="00E154C2"/>
    <w:rsid w:val="00E162E0"/>
    <w:rsid w:val="00E215FE"/>
    <w:rsid w:val="00E21BD3"/>
    <w:rsid w:val="00E2228C"/>
    <w:rsid w:val="00E3775E"/>
    <w:rsid w:val="00E379B6"/>
    <w:rsid w:val="00E37DB1"/>
    <w:rsid w:val="00E40B6E"/>
    <w:rsid w:val="00E40C90"/>
    <w:rsid w:val="00E412EB"/>
    <w:rsid w:val="00E42DDD"/>
    <w:rsid w:val="00E452BF"/>
    <w:rsid w:val="00E51859"/>
    <w:rsid w:val="00E5222D"/>
    <w:rsid w:val="00E54F73"/>
    <w:rsid w:val="00E561D1"/>
    <w:rsid w:val="00E57200"/>
    <w:rsid w:val="00E62C13"/>
    <w:rsid w:val="00E6443F"/>
    <w:rsid w:val="00E656E4"/>
    <w:rsid w:val="00E664FF"/>
    <w:rsid w:val="00E66773"/>
    <w:rsid w:val="00E66ED3"/>
    <w:rsid w:val="00E67565"/>
    <w:rsid w:val="00E71134"/>
    <w:rsid w:val="00E71E62"/>
    <w:rsid w:val="00E71FBA"/>
    <w:rsid w:val="00E7289A"/>
    <w:rsid w:val="00E74568"/>
    <w:rsid w:val="00E76FD5"/>
    <w:rsid w:val="00E77764"/>
    <w:rsid w:val="00E81E00"/>
    <w:rsid w:val="00E81E2B"/>
    <w:rsid w:val="00E833ED"/>
    <w:rsid w:val="00E85125"/>
    <w:rsid w:val="00E8755C"/>
    <w:rsid w:val="00E90CF0"/>
    <w:rsid w:val="00E913AE"/>
    <w:rsid w:val="00E931D4"/>
    <w:rsid w:val="00E95BD7"/>
    <w:rsid w:val="00E95E59"/>
    <w:rsid w:val="00E96256"/>
    <w:rsid w:val="00E9665C"/>
    <w:rsid w:val="00E96C71"/>
    <w:rsid w:val="00EA0F3A"/>
    <w:rsid w:val="00EA4CB3"/>
    <w:rsid w:val="00EA7224"/>
    <w:rsid w:val="00EB03AA"/>
    <w:rsid w:val="00EB0D9C"/>
    <w:rsid w:val="00EB3537"/>
    <w:rsid w:val="00EB5FB1"/>
    <w:rsid w:val="00EB61D2"/>
    <w:rsid w:val="00EB61DC"/>
    <w:rsid w:val="00EB65F8"/>
    <w:rsid w:val="00EB7FF8"/>
    <w:rsid w:val="00EC3A03"/>
    <w:rsid w:val="00EC69A9"/>
    <w:rsid w:val="00ED1637"/>
    <w:rsid w:val="00ED3640"/>
    <w:rsid w:val="00ED3FE8"/>
    <w:rsid w:val="00ED58CC"/>
    <w:rsid w:val="00ED64DA"/>
    <w:rsid w:val="00ED7BDB"/>
    <w:rsid w:val="00EE133A"/>
    <w:rsid w:val="00EE2BAC"/>
    <w:rsid w:val="00EE6030"/>
    <w:rsid w:val="00EE7F36"/>
    <w:rsid w:val="00EF1EC9"/>
    <w:rsid w:val="00EF601F"/>
    <w:rsid w:val="00EF65A4"/>
    <w:rsid w:val="00EF65B7"/>
    <w:rsid w:val="00EF6628"/>
    <w:rsid w:val="00EF684B"/>
    <w:rsid w:val="00EF7B67"/>
    <w:rsid w:val="00F003B2"/>
    <w:rsid w:val="00F03EF6"/>
    <w:rsid w:val="00F053D4"/>
    <w:rsid w:val="00F05F52"/>
    <w:rsid w:val="00F077D6"/>
    <w:rsid w:val="00F1028A"/>
    <w:rsid w:val="00F13D3A"/>
    <w:rsid w:val="00F15BDF"/>
    <w:rsid w:val="00F16794"/>
    <w:rsid w:val="00F16BC8"/>
    <w:rsid w:val="00F17578"/>
    <w:rsid w:val="00F17BD0"/>
    <w:rsid w:val="00F21B45"/>
    <w:rsid w:val="00F26E83"/>
    <w:rsid w:val="00F27E47"/>
    <w:rsid w:val="00F27F61"/>
    <w:rsid w:val="00F30F9C"/>
    <w:rsid w:val="00F322F8"/>
    <w:rsid w:val="00F33D52"/>
    <w:rsid w:val="00F3446C"/>
    <w:rsid w:val="00F34A97"/>
    <w:rsid w:val="00F34ED3"/>
    <w:rsid w:val="00F35ACA"/>
    <w:rsid w:val="00F3687E"/>
    <w:rsid w:val="00F37698"/>
    <w:rsid w:val="00F40EF7"/>
    <w:rsid w:val="00F41F46"/>
    <w:rsid w:val="00F4336D"/>
    <w:rsid w:val="00F43555"/>
    <w:rsid w:val="00F44D26"/>
    <w:rsid w:val="00F46640"/>
    <w:rsid w:val="00F51B08"/>
    <w:rsid w:val="00F528CD"/>
    <w:rsid w:val="00F54547"/>
    <w:rsid w:val="00F55874"/>
    <w:rsid w:val="00F55ADA"/>
    <w:rsid w:val="00F603E8"/>
    <w:rsid w:val="00F605EE"/>
    <w:rsid w:val="00F6069D"/>
    <w:rsid w:val="00F617B9"/>
    <w:rsid w:val="00F62626"/>
    <w:rsid w:val="00F6331E"/>
    <w:rsid w:val="00F637E5"/>
    <w:rsid w:val="00F67B39"/>
    <w:rsid w:val="00F67CB9"/>
    <w:rsid w:val="00F72895"/>
    <w:rsid w:val="00F7376A"/>
    <w:rsid w:val="00F73ED6"/>
    <w:rsid w:val="00F74CD4"/>
    <w:rsid w:val="00F775BD"/>
    <w:rsid w:val="00F77A16"/>
    <w:rsid w:val="00F81D72"/>
    <w:rsid w:val="00F83583"/>
    <w:rsid w:val="00F85B70"/>
    <w:rsid w:val="00F8626C"/>
    <w:rsid w:val="00F873E1"/>
    <w:rsid w:val="00F9274E"/>
    <w:rsid w:val="00F9297E"/>
    <w:rsid w:val="00F9457E"/>
    <w:rsid w:val="00F94819"/>
    <w:rsid w:val="00F94CEA"/>
    <w:rsid w:val="00FA020C"/>
    <w:rsid w:val="00FA1BE7"/>
    <w:rsid w:val="00FA1FCC"/>
    <w:rsid w:val="00FA3786"/>
    <w:rsid w:val="00FA3B8D"/>
    <w:rsid w:val="00FA41C3"/>
    <w:rsid w:val="00FA582E"/>
    <w:rsid w:val="00FA5873"/>
    <w:rsid w:val="00FA66B1"/>
    <w:rsid w:val="00FB52F3"/>
    <w:rsid w:val="00FB5687"/>
    <w:rsid w:val="00FB5DEC"/>
    <w:rsid w:val="00FB6483"/>
    <w:rsid w:val="00FC08EB"/>
    <w:rsid w:val="00FC095D"/>
    <w:rsid w:val="00FC10A9"/>
    <w:rsid w:val="00FC1AF5"/>
    <w:rsid w:val="00FC1D32"/>
    <w:rsid w:val="00FC213B"/>
    <w:rsid w:val="00FC35DD"/>
    <w:rsid w:val="00FC46DA"/>
    <w:rsid w:val="00FC4C74"/>
    <w:rsid w:val="00FD091E"/>
    <w:rsid w:val="00FD0E43"/>
    <w:rsid w:val="00FD2D36"/>
    <w:rsid w:val="00FD39D4"/>
    <w:rsid w:val="00FD49BB"/>
    <w:rsid w:val="00FD55D9"/>
    <w:rsid w:val="00FD5B5F"/>
    <w:rsid w:val="00FD6309"/>
    <w:rsid w:val="00FE0EE0"/>
    <w:rsid w:val="00FE0F91"/>
    <w:rsid w:val="00FE2740"/>
    <w:rsid w:val="00FE3CA0"/>
    <w:rsid w:val="00FE3D42"/>
    <w:rsid w:val="00FE527B"/>
    <w:rsid w:val="00FE5358"/>
    <w:rsid w:val="00FE6701"/>
    <w:rsid w:val="00FF0CBB"/>
    <w:rsid w:val="00FF11A0"/>
    <w:rsid w:val="01C0FEEC"/>
    <w:rsid w:val="01CB1686"/>
    <w:rsid w:val="0205F5DB"/>
    <w:rsid w:val="1039BEBE"/>
    <w:rsid w:val="16A7D152"/>
    <w:rsid w:val="185A7B0E"/>
    <w:rsid w:val="18CE553C"/>
    <w:rsid w:val="1A900480"/>
    <w:rsid w:val="270F394C"/>
    <w:rsid w:val="2896CFE1"/>
    <w:rsid w:val="2B5D4386"/>
    <w:rsid w:val="2DD47AC0"/>
    <w:rsid w:val="2EF470EC"/>
    <w:rsid w:val="2F73724F"/>
    <w:rsid w:val="35579705"/>
    <w:rsid w:val="39163148"/>
    <w:rsid w:val="39BC784E"/>
    <w:rsid w:val="39E975D0"/>
    <w:rsid w:val="51E5040B"/>
    <w:rsid w:val="54BF1CF9"/>
    <w:rsid w:val="5C3B49CD"/>
    <w:rsid w:val="64B7B8AB"/>
    <w:rsid w:val="6C064F8A"/>
    <w:rsid w:val="6C412EDF"/>
    <w:rsid w:val="6D9B2F7F"/>
    <w:rsid w:val="72720539"/>
    <w:rsid w:val="72B6FC28"/>
    <w:rsid w:val="73184C3F"/>
    <w:rsid w:val="74F22323"/>
    <w:rsid w:val="751F20A5"/>
    <w:rsid w:val="7590E245"/>
    <w:rsid w:val="7F756667"/>
    <w:rsid w:val="7FBA5D5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3F2"/>
  <w15:docId w15:val="{A404CEAE-F133-4487-9A67-43995DD0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F8"/>
    <w:pPr>
      <w:spacing w:after="0" w:line="240" w:lineRule="auto"/>
    </w:pPr>
    <w:rPr>
      <w:sz w:val="24"/>
      <w:lang w:val="es-MX"/>
    </w:rPr>
  </w:style>
  <w:style w:type="paragraph" w:styleId="Ttulo2">
    <w:name w:val="heading 2"/>
    <w:basedOn w:val="Normal"/>
    <w:next w:val="Normal"/>
    <w:link w:val="Ttulo2Car"/>
    <w:uiPriority w:val="9"/>
    <w:unhideWhenUsed/>
    <w:qFormat/>
    <w:rsid w:val="0052117A"/>
    <w:pPr>
      <w:keepNext/>
      <w:keepLines/>
      <w:numPr>
        <w:ilvl w:val="1"/>
        <w:numId w:val="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52117A"/>
    <w:pPr>
      <w:keepNext/>
      <w:keepLines/>
      <w:numPr>
        <w:ilvl w:val="2"/>
        <w:numId w:val="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10548"/>
    <w:pPr>
      <w:ind w:left="720"/>
      <w:contextualSpacing/>
    </w:pPr>
  </w:style>
  <w:style w:type="paragraph" w:styleId="NormalWeb">
    <w:name w:val="Normal (Web)"/>
    <w:basedOn w:val="Normal"/>
    <w:link w:val="NormalWebCar"/>
    <w:uiPriority w:val="99"/>
    <w:unhideWhenUsed/>
    <w:rsid w:val="0041054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105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10548"/>
    <w:rPr>
      <w:sz w:val="20"/>
      <w:szCs w:val="20"/>
    </w:rPr>
  </w:style>
  <w:style w:type="character" w:customStyle="1" w:styleId="TextonotapieCar1">
    <w:name w:val="Texto nota pie Car1"/>
    <w:basedOn w:val="Fuentedeprrafopredeter"/>
    <w:uiPriority w:val="99"/>
    <w:semiHidden/>
    <w:rsid w:val="0041054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054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10548"/>
    <w:rPr>
      <w:vertAlign w:val="superscript"/>
    </w:rPr>
  </w:style>
  <w:style w:type="paragraph" w:customStyle="1" w:styleId="Default">
    <w:name w:val="Default"/>
    <w:rsid w:val="00410548"/>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41054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26E7F"/>
  </w:style>
  <w:style w:type="character" w:styleId="Refdecomentario">
    <w:name w:val="annotation reference"/>
    <w:basedOn w:val="Fuentedeprrafopredeter"/>
    <w:uiPriority w:val="99"/>
    <w:semiHidden/>
    <w:unhideWhenUsed/>
    <w:rsid w:val="008E283A"/>
    <w:rPr>
      <w:sz w:val="16"/>
      <w:szCs w:val="16"/>
    </w:rPr>
  </w:style>
  <w:style w:type="paragraph" w:styleId="Textocomentario">
    <w:name w:val="annotation text"/>
    <w:basedOn w:val="Normal"/>
    <w:link w:val="TextocomentarioCar"/>
    <w:uiPriority w:val="99"/>
    <w:unhideWhenUsed/>
    <w:rsid w:val="008E283A"/>
    <w:rPr>
      <w:sz w:val="20"/>
      <w:szCs w:val="20"/>
    </w:rPr>
  </w:style>
  <w:style w:type="character" w:customStyle="1" w:styleId="TextocomentarioCar">
    <w:name w:val="Texto comentario Car"/>
    <w:basedOn w:val="Fuentedeprrafopredeter"/>
    <w:link w:val="Textocomentario"/>
    <w:uiPriority w:val="99"/>
    <w:rsid w:val="008E283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E283A"/>
    <w:rPr>
      <w:b/>
      <w:bCs/>
    </w:rPr>
  </w:style>
  <w:style w:type="character" w:customStyle="1" w:styleId="AsuntodelcomentarioCar">
    <w:name w:val="Asunto del comentario Car"/>
    <w:basedOn w:val="TextocomentarioCar"/>
    <w:link w:val="Asuntodelcomentario"/>
    <w:uiPriority w:val="99"/>
    <w:semiHidden/>
    <w:rsid w:val="008E283A"/>
    <w:rPr>
      <w:b/>
      <w:bCs/>
      <w:sz w:val="20"/>
      <w:szCs w:val="20"/>
      <w:lang w:val="es-MX"/>
    </w:rPr>
  </w:style>
  <w:style w:type="character" w:customStyle="1" w:styleId="Ttulo2Car">
    <w:name w:val="Título 2 Car"/>
    <w:basedOn w:val="Fuentedeprrafopredeter"/>
    <w:link w:val="Ttulo2"/>
    <w:uiPriority w:val="9"/>
    <w:rsid w:val="0052117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52117A"/>
    <w:rPr>
      <w:rFonts w:ascii="Arial" w:eastAsiaTheme="majorEastAsia" w:hAnsi="Arial" w:cstheme="majorBidi"/>
      <w:b/>
      <w:caps/>
      <w:color w:val="000000" w:themeColor="text1"/>
      <w:sz w:val="20"/>
      <w:szCs w:val="24"/>
    </w:rPr>
  </w:style>
  <w:style w:type="table" w:customStyle="1" w:styleId="Tablaconcuadrcula1">
    <w:name w:val="Tabla con cuadrícula1"/>
    <w:basedOn w:val="Tablanormal"/>
    <w:next w:val="Tablaconcuadrcula"/>
    <w:uiPriority w:val="59"/>
    <w:rsid w:val="00DF263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ias-VietaNumeradaCar">
    <w:name w:val="Invias-Viñeta Numerada Car"/>
    <w:link w:val="Invias-VietaNumerada"/>
    <w:uiPriority w:val="99"/>
    <w:locked/>
    <w:rsid w:val="002860AF"/>
    <w:rPr>
      <w:rFonts w:ascii="Arial Narrow" w:eastAsia="Times New Roman" w:hAnsi="Arial Narrow" w:cs="Times New Roman"/>
      <w:sz w:val="24"/>
      <w:szCs w:val="24"/>
      <w:lang w:val="en-US" w:eastAsia="es-ES"/>
    </w:rPr>
  </w:style>
  <w:style w:type="paragraph" w:customStyle="1" w:styleId="Invias-VietaNumerada">
    <w:name w:val="Invias-Viñeta Numerada"/>
    <w:next w:val="Normal"/>
    <w:link w:val="Invias-VietaNumeradaCar"/>
    <w:uiPriority w:val="99"/>
    <w:qFormat/>
    <w:rsid w:val="002860AF"/>
    <w:pPr>
      <w:spacing w:before="240" w:after="120" w:line="240" w:lineRule="auto"/>
      <w:jc w:val="both"/>
    </w:pPr>
    <w:rPr>
      <w:rFonts w:ascii="Arial Narrow" w:eastAsia="Times New Roman" w:hAnsi="Arial Narrow" w:cs="Times New Roman"/>
      <w:sz w:val="24"/>
      <w:szCs w:val="24"/>
      <w:lang w:val="en-US" w:eastAsia="es-ES"/>
    </w:rPr>
  </w:style>
  <w:style w:type="character" w:styleId="Textoennegrita">
    <w:name w:val="Strong"/>
    <w:basedOn w:val="Fuentedeprrafopredeter"/>
    <w:uiPriority w:val="22"/>
    <w:qFormat/>
    <w:rsid w:val="00713339"/>
    <w:rPr>
      <w:b/>
      <w:bCs/>
    </w:rPr>
  </w:style>
  <w:style w:type="character" w:styleId="nfasis">
    <w:name w:val="Emphasis"/>
    <w:basedOn w:val="Fuentedeprrafopredeter"/>
    <w:uiPriority w:val="20"/>
    <w:qFormat/>
    <w:rsid w:val="00205369"/>
    <w:rPr>
      <w:i/>
      <w:iCs/>
    </w:rPr>
  </w:style>
  <w:style w:type="paragraph" w:customStyle="1" w:styleId="InviasNormal">
    <w:name w:val="Invias Normal"/>
    <w:basedOn w:val="Normal"/>
    <w:link w:val="InviasNormalCar"/>
    <w:qFormat/>
    <w:rsid w:val="0029778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297782"/>
    <w:rPr>
      <w:rFonts w:ascii="Arial Narrow" w:eastAsia="Times New Roman" w:hAnsi="Arial Narrow" w:cs="Times New Roman"/>
      <w:color w:val="3B3838" w:themeColor="background2" w:themeShade="40"/>
      <w:sz w:val="24"/>
      <w:szCs w:val="24"/>
      <w:lang w:val="x-none" w:eastAsia="es-ES"/>
    </w:rPr>
  </w:style>
  <w:style w:type="paragraph" w:customStyle="1" w:styleId="paragraph">
    <w:name w:val="paragraph"/>
    <w:basedOn w:val="Normal"/>
    <w:rsid w:val="007726E5"/>
    <w:pPr>
      <w:spacing w:before="100" w:beforeAutospacing="1" w:after="100" w:afterAutospacing="1"/>
    </w:pPr>
    <w:rPr>
      <w:rFonts w:ascii="Times New Roman" w:eastAsia="Times New Roman" w:hAnsi="Times New Roman" w:cs="Times New Roman"/>
      <w:szCs w:val="24"/>
      <w:lang w:val="es-CO" w:eastAsia="es-CO"/>
    </w:rPr>
  </w:style>
  <w:style w:type="paragraph" w:styleId="Encabezado">
    <w:name w:val="header"/>
    <w:basedOn w:val="Normal"/>
    <w:link w:val="EncabezadoCar"/>
    <w:uiPriority w:val="99"/>
    <w:semiHidden/>
    <w:unhideWhenUsed/>
    <w:rsid w:val="007A5991"/>
    <w:pPr>
      <w:tabs>
        <w:tab w:val="center" w:pos="4419"/>
        <w:tab w:val="right" w:pos="8838"/>
      </w:tabs>
    </w:pPr>
  </w:style>
  <w:style w:type="character" w:customStyle="1" w:styleId="EncabezadoCar">
    <w:name w:val="Encabezado Car"/>
    <w:basedOn w:val="Fuentedeprrafopredeter"/>
    <w:link w:val="Encabezado"/>
    <w:uiPriority w:val="99"/>
    <w:semiHidden/>
    <w:rsid w:val="007A5991"/>
    <w:rPr>
      <w:sz w:val="24"/>
      <w:lang w:val="es-MX"/>
    </w:rPr>
  </w:style>
  <w:style w:type="paragraph" w:styleId="Piedepgina">
    <w:name w:val="footer"/>
    <w:basedOn w:val="Normal"/>
    <w:link w:val="PiedepginaCar"/>
    <w:uiPriority w:val="99"/>
    <w:semiHidden/>
    <w:unhideWhenUsed/>
    <w:rsid w:val="007A5991"/>
    <w:pPr>
      <w:tabs>
        <w:tab w:val="center" w:pos="4419"/>
        <w:tab w:val="right" w:pos="8838"/>
      </w:tabs>
    </w:pPr>
  </w:style>
  <w:style w:type="character" w:customStyle="1" w:styleId="PiedepginaCar">
    <w:name w:val="Pie de página Car"/>
    <w:basedOn w:val="Fuentedeprrafopredeter"/>
    <w:link w:val="Piedepgina"/>
    <w:uiPriority w:val="99"/>
    <w:semiHidden/>
    <w:rsid w:val="007A5991"/>
    <w:rPr>
      <w:sz w:val="24"/>
      <w:lang w:val="es-MX"/>
    </w:rPr>
  </w:style>
  <w:style w:type="character" w:styleId="Hipervnculo">
    <w:name w:val="Hyperlink"/>
    <w:basedOn w:val="Fuentedeprrafopredeter"/>
    <w:uiPriority w:val="99"/>
    <w:unhideWhenUsed/>
    <w:rsid w:val="005F0068"/>
    <w:rPr>
      <w:color w:val="0563C1" w:themeColor="hyperlink"/>
      <w:u w:val="single"/>
    </w:rPr>
  </w:style>
  <w:style w:type="character" w:styleId="Mencinsinresolver">
    <w:name w:val="Unresolved Mention"/>
    <w:basedOn w:val="Fuentedeprrafopredeter"/>
    <w:uiPriority w:val="99"/>
    <w:semiHidden/>
    <w:unhideWhenUsed/>
    <w:rsid w:val="005F0068"/>
    <w:rPr>
      <w:color w:val="605E5C"/>
      <w:shd w:val="clear" w:color="auto" w:fill="E1DFDD"/>
    </w:rPr>
  </w:style>
  <w:style w:type="paragraph" w:customStyle="1" w:styleId="Appelnotedebasde">
    <w:name w:val="Appel note de bas de..."/>
    <w:basedOn w:val="Normal"/>
    <w:link w:val="Refdenotaalpie"/>
    <w:uiPriority w:val="99"/>
    <w:rsid w:val="00384465"/>
    <w:pPr>
      <w:spacing w:after="160" w:line="240" w:lineRule="exact"/>
    </w:pPr>
    <w:rPr>
      <w:sz w:val="22"/>
      <w:vertAlign w:val="superscript"/>
      <w:lang w:val="es-CO"/>
    </w:rPr>
  </w:style>
  <w:style w:type="paragraph" w:styleId="Revisin">
    <w:name w:val="Revision"/>
    <w:hidden/>
    <w:uiPriority w:val="99"/>
    <w:semiHidden/>
    <w:rsid w:val="003354E7"/>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604">
      <w:bodyDiv w:val="1"/>
      <w:marLeft w:val="0"/>
      <w:marRight w:val="0"/>
      <w:marTop w:val="0"/>
      <w:marBottom w:val="0"/>
      <w:divBdr>
        <w:top w:val="none" w:sz="0" w:space="0" w:color="auto"/>
        <w:left w:val="none" w:sz="0" w:space="0" w:color="auto"/>
        <w:bottom w:val="none" w:sz="0" w:space="0" w:color="auto"/>
        <w:right w:val="none" w:sz="0" w:space="0" w:color="auto"/>
      </w:divBdr>
    </w:div>
    <w:div w:id="237133028">
      <w:bodyDiv w:val="1"/>
      <w:marLeft w:val="0"/>
      <w:marRight w:val="0"/>
      <w:marTop w:val="0"/>
      <w:marBottom w:val="0"/>
      <w:divBdr>
        <w:top w:val="none" w:sz="0" w:space="0" w:color="auto"/>
        <w:left w:val="none" w:sz="0" w:space="0" w:color="auto"/>
        <w:bottom w:val="none" w:sz="0" w:space="0" w:color="auto"/>
        <w:right w:val="none" w:sz="0" w:space="0" w:color="auto"/>
      </w:divBdr>
    </w:div>
    <w:div w:id="317728928">
      <w:bodyDiv w:val="1"/>
      <w:marLeft w:val="0"/>
      <w:marRight w:val="0"/>
      <w:marTop w:val="0"/>
      <w:marBottom w:val="0"/>
      <w:divBdr>
        <w:top w:val="none" w:sz="0" w:space="0" w:color="auto"/>
        <w:left w:val="none" w:sz="0" w:space="0" w:color="auto"/>
        <w:bottom w:val="none" w:sz="0" w:space="0" w:color="auto"/>
        <w:right w:val="none" w:sz="0" w:space="0" w:color="auto"/>
      </w:divBdr>
    </w:div>
    <w:div w:id="494564691">
      <w:bodyDiv w:val="1"/>
      <w:marLeft w:val="0"/>
      <w:marRight w:val="0"/>
      <w:marTop w:val="0"/>
      <w:marBottom w:val="0"/>
      <w:divBdr>
        <w:top w:val="none" w:sz="0" w:space="0" w:color="auto"/>
        <w:left w:val="none" w:sz="0" w:space="0" w:color="auto"/>
        <w:bottom w:val="none" w:sz="0" w:space="0" w:color="auto"/>
        <w:right w:val="none" w:sz="0" w:space="0" w:color="auto"/>
      </w:divBdr>
    </w:div>
    <w:div w:id="521167852">
      <w:bodyDiv w:val="1"/>
      <w:marLeft w:val="0"/>
      <w:marRight w:val="0"/>
      <w:marTop w:val="0"/>
      <w:marBottom w:val="0"/>
      <w:divBdr>
        <w:top w:val="none" w:sz="0" w:space="0" w:color="auto"/>
        <w:left w:val="none" w:sz="0" w:space="0" w:color="auto"/>
        <w:bottom w:val="none" w:sz="0" w:space="0" w:color="auto"/>
        <w:right w:val="none" w:sz="0" w:space="0" w:color="auto"/>
      </w:divBdr>
    </w:div>
    <w:div w:id="950359390">
      <w:bodyDiv w:val="1"/>
      <w:marLeft w:val="0"/>
      <w:marRight w:val="0"/>
      <w:marTop w:val="0"/>
      <w:marBottom w:val="0"/>
      <w:divBdr>
        <w:top w:val="none" w:sz="0" w:space="0" w:color="auto"/>
        <w:left w:val="none" w:sz="0" w:space="0" w:color="auto"/>
        <w:bottom w:val="none" w:sz="0" w:space="0" w:color="auto"/>
        <w:right w:val="none" w:sz="0" w:space="0" w:color="auto"/>
      </w:divBdr>
    </w:div>
    <w:div w:id="1084836439">
      <w:bodyDiv w:val="1"/>
      <w:marLeft w:val="0"/>
      <w:marRight w:val="0"/>
      <w:marTop w:val="0"/>
      <w:marBottom w:val="0"/>
      <w:divBdr>
        <w:top w:val="none" w:sz="0" w:space="0" w:color="auto"/>
        <w:left w:val="none" w:sz="0" w:space="0" w:color="auto"/>
        <w:bottom w:val="none" w:sz="0" w:space="0" w:color="auto"/>
        <w:right w:val="none" w:sz="0" w:space="0" w:color="auto"/>
      </w:divBdr>
    </w:div>
    <w:div w:id="1125198203">
      <w:bodyDiv w:val="1"/>
      <w:marLeft w:val="0"/>
      <w:marRight w:val="0"/>
      <w:marTop w:val="0"/>
      <w:marBottom w:val="0"/>
      <w:divBdr>
        <w:top w:val="none" w:sz="0" w:space="0" w:color="auto"/>
        <w:left w:val="none" w:sz="0" w:space="0" w:color="auto"/>
        <w:bottom w:val="none" w:sz="0" w:space="0" w:color="auto"/>
        <w:right w:val="none" w:sz="0" w:space="0" w:color="auto"/>
      </w:divBdr>
    </w:div>
    <w:div w:id="1222055984">
      <w:bodyDiv w:val="1"/>
      <w:marLeft w:val="0"/>
      <w:marRight w:val="0"/>
      <w:marTop w:val="0"/>
      <w:marBottom w:val="0"/>
      <w:divBdr>
        <w:top w:val="none" w:sz="0" w:space="0" w:color="auto"/>
        <w:left w:val="none" w:sz="0" w:space="0" w:color="auto"/>
        <w:bottom w:val="none" w:sz="0" w:space="0" w:color="auto"/>
        <w:right w:val="none" w:sz="0" w:space="0" w:color="auto"/>
      </w:divBdr>
    </w:div>
    <w:div w:id="1464419683">
      <w:bodyDiv w:val="1"/>
      <w:marLeft w:val="0"/>
      <w:marRight w:val="0"/>
      <w:marTop w:val="0"/>
      <w:marBottom w:val="0"/>
      <w:divBdr>
        <w:top w:val="none" w:sz="0" w:space="0" w:color="auto"/>
        <w:left w:val="none" w:sz="0" w:space="0" w:color="auto"/>
        <w:bottom w:val="none" w:sz="0" w:space="0" w:color="auto"/>
        <w:right w:val="none" w:sz="0" w:space="0" w:color="auto"/>
      </w:divBdr>
    </w:div>
    <w:div w:id="1793354619">
      <w:bodyDiv w:val="1"/>
      <w:marLeft w:val="0"/>
      <w:marRight w:val="0"/>
      <w:marTop w:val="0"/>
      <w:marBottom w:val="0"/>
      <w:divBdr>
        <w:top w:val="none" w:sz="0" w:space="0" w:color="auto"/>
        <w:left w:val="none" w:sz="0" w:space="0" w:color="auto"/>
        <w:bottom w:val="none" w:sz="0" w:space="0" w:color="auto"/>
        <w:right w:val="none" w:sz="0" w:space="0" w:color="auto"/>
      </w:divBdr>
    </w:div>
    <w:div w:id="1827822623">
      <w:bodyDiv w:val="1"/>
      <w:marLeft w:val="0"/>
      <w:marRight w:val="0"/>
      <w:marTop w:val="0"/>
      <w:marBottom w:val="0"/>
      <w:divBdr>
        <w:top w:val="none" w:sz="0" w:space="0" w:color="auto"/>
        <w:left w:val="none" w:sz="0" w:space="0" w:color="auto"/>
        <w:bottom w:val="none" w:sz="0" w:space="0" w:color="auto"/>
        <w:right w:val="none" w:sz="0" w:space="0" w:color="auto"/>
      </w:divBdr>
      <w:divsChild>
        <w:div w:id="1964385359">
          <w:marLeft w:val="0"/>
          <w:marRight w:val="0"/>
          <w:marTop w:val="0"/>
          <w:marBottom w:val="0"/>
          <w:divBdr>
            <w:top w:val="none" w:sz="0" w:space="0" w:color="auto"/>
            <w:left w:val="none" w:sz="0" w:space="0" w:color="auto"/>
            <w:bottom w:val="none" w:sz="0" w:space="0" w:color="auto"/>
            <w:right w:val="none" w:sz="0" w:space="0" w:color="auto"/>
          </w:divBdr>
        </w:div>
        <w:div w:id="2028871782">
          <w:marLeft w:val="0"/>
          <w:marRight w:val="0"/>
          <w:marTop w:val="0"/>
          <w:marBottom w:val="0"/>
          <w:divBdr>
            <w:top w:val="none" w:sz="0" w:space="0" w:color="auto"/>
            <w:left w:val="none" w:sz="0" w:space="0" w:color="auto"/>
            <w:bottom w:val="none" w:sz="0" w:space="0" w:color="auto"/>
            <w:right w:val="none" w:sz="0" w:space="0" w:color="auto"/>
          </w:divBdr>
        </w:div>
      </w:divsChild>
    </w:div>
    <w:div w:id="1860854940">
      <w:bodyDiv w:val="1"/>
      <w:marLeft w:val="0"/>
      <w:marRight w:val="0"/>
      <w:marTop w:val="0"/>
      <w:marBottom w:val="0"/>
      <w:divBdr>
        <w:top w:val="none" w:sz="0" w:space="0" w:color="auto"/>
        <w:left w:val="none" w:sz="0" w:space="0" w:color="auto"/>
        <w:bottom w:val="none" w:sz="0" w:space="0" w:color="auto"/>
        <w:right w:val="none" w:sz="0" w:space="0" w:color="auto"/>
      </w:divBdr>
    </w:div>
    <w:div w:id="1875919278">
      <w:bodyDiv w:val="1"/>
      <w:marLeft w:val="0"/>
      <w:marRight w:val="0"/>
      <w:marTop w:val="0"/>
      <w:marBottom w:val="0"/>
      <w:divBdr>
        <w:top w:val="none" w:sz="0" w:space="0" w:color="auto"/>
        <w:left w:val="none" w:sz="0" w:space="0" w:color="auto"/>
        <w:bottom w:val="none" w:sz="0" w:space="0" w:color="auto"/>
        <w:right w:val="none" w:sz="0" w:space="0" w:color="auto"/>
      </w:divBdr>
    </w:div>
    <w:div w:id="191057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FBF6-95BE-4E3B-BFED-898A189E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2FDF1-D039-4F39-85FD-BE2CCAB33BA5}">
  <ds:schemaRefs>
    <ds:schemaRef ds:uri="http://schemas.microsoft.com/sharepoint/v3/contenttype/forms"/>
  </ds:schemaRefs>
</ds:datastoreItem>
</file>

<file path=customXml/itemProps3.xml><?xml version="1.0" encoding="utf-8"?>
<ds:datastoreItem xmlns:ds="http://schemas.openxmlformats.org/officeDocument/2006/customXml" ds:itemID="{5D4BF772-2AF3-4C7F-8A66-3160FB8C9B4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C3DDB6F-0B17-49E3-BA38-FB7D71E4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4549</Words>
  <Characters>25021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David Torres</cp:lastModifiedBy>
  <cp:revision>8</cp:revision>
  <dcterms:created xsi:type="dcterms:W3CDTF">2021-12-27T14:22:00Z</dcterms:created>
  <dcterms:modified xsi:type="dcterms:W3CDTF">2021-12-27T14:43:00Z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