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48A5" w14:textId="77777777" w:rsidR="001554CA" w:rsidRDefault="001554CA" w:rsidP="001554CA">
      <w:pPr>
        <w:jc w:val="right"/>
        <w:rPr>
          <w:rFonts w:ascii="Arial" w:hAnsi="Arial" w:cs="Arial"/>
          <w:b/>
          <w:color w:val="000000" w:themeColor="text1"/>
          <w:sz w:val="16"/>
          <w:szCs w:val="16"/>
          <w:lang w:val="es-ES" w:eastAsia="es-ES"/>
        </w:rPr>
      </w:pPr>
      <w:r>
        <w:rPr>
          <w:rFonts w:ascii="Arial" w:hAnsi="Arial" w:cs="Arial"/>
          <w:b/>
          <w:color w:val="000000" w:themeColor="text1"/>
          <w:sz w:val="16"/>
          <w:szCs w:val="16"/>
          <w:lang w:val="es-ES" w:eastAsia="es-ES"/>
        </w:rPr>
        <w:t>CCE-DES-FM-17</w:t>
      </w:r>
    </w:p>
    <w:p w14:paraId="481F8EA2" w14:textId="77777777" w:rsidR="00CA3863" w:rsidRPr="00CA3863" w:rsidRDefault="00CA3863" w:rsidP="00CA3863">
      <w:pPr>
        <w:widowControl w:val="0"/>
        <w:autoSpaceDE w:val="0"/>
        <w:autoSpaceDN w:val="0"/>
        <w:spacing w:line="276" w:lineRule="auto"/>
        <w:jc w:val="both"/>
        <w:rPr>
          <w:rFonts w:ascii="Arial" w:eastAsia="Calibri" w:hAnsi="Arial" w:cs="Arial"/>
          <w:b/>
          <w:bCs/>
          <w:sz w:val="22"/>
          <w:lang w:val="es-CO"/>
        </w:rPr>
      </w:pPr>
      <w:r w:rsidRPr="00CA3863">
        <w:rPr>
          <w:rFonts w:ascii="Arial" w:eastAsia="Calibri" w:hAnsi="Arial" w:cs="Arial"/>
          <w:b/>
          <w:bCs/>
          <w:sz w:val="22"/>
          <w:lang w:val="es-CO"/>
        </w:rPr>
        <w:t xml:space="preserve">LEY DE GARANTÍAS ELECTORALES – Alcance </w:t>
      </w:r>
    </w:p>
    <w:p w14:paraId="7DAFB796" w14:textId="77777777" w:rsidR="00CA3863" w:rsidRPr="00CA3863" w:rsidRDefault="00CA3863" w:rsidP="00CA3863">
      <w:pPr>
        <w:widowControl w:val="0"/>
        <w:autoSpaceDE w:val="0"/>
        <w:autoSpaceDN w:val="0"/>
        <w:spacing w:line="276" w:lineRule="auto"/>
        <w:jc w:val="both"/>
        <w:rPr>
          <w:rFonts w:ascii="Arial" w:eastAsia="Calibri" w:hAnsi="Arial" w:cs="Arial"/>
          <w:sz w:val="22"/>
          <w:lang w:val="es-CO"/>
        </w:rPr>
      </w:pPr>
    </w:p>
    <w:p w14:paraId="2D07A1B0" w14:textId="58C570BC" w:rsidR="00CA3863" w:rsidRDefault="00233F2B" w:rsidP="00233F2B">
      <w:pPr>
        <w:widowControl w:val="0"/>
        <w:autoSpaceDE w:val="0"/>
        <w:autoSpaceDN w:val="0"/>
        <w:jc w:val="both"/>
        <w:rPr>
          <w:rFonts w:ascii="Arial" w:eastAsia="Arial" w:hAnsi="Arial" w:cs="Arial"/>
          <w:bCs/>
          <w:sz w:val="20"/>
          <w:szCs w:val="20"/>
          <w:lang w:val="es-ES" w:eastAsia="es-CO"/>
        </w:rPr>
      </w:pPr>
      <w:r w:rsidRPr="00233F2B">
        <w:rPr>
          <w:rFonts w:ascii="Arial" w:eastAsia="Arial" w:hAnsi="Arial" w:cs="Arial"/>
          <w:bCs/>
          <w:sz w:val="20"/>
          <w:szCs w:val="20"/>
          <w:lang w:val="es-ES" w:eastAsia="es-CO"/>
        </w:rPr>
        <w:t xml:space="preserve">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w:t>
      </w:r>
      <w:proofErr w:type="gramStart"/>
      <w:r w:rsidRPr="00233F2B">
        <w:rPr>
          <w:rFonts w:ascii="Arial" w:eastAsia="Arial" w:hAnsi="Arial" w:cs="Arial"/>
          <w:bCs/>
          <w:sz w:val="20"/>
          <w:szCs w:val="20"/>
          <w:lang w:val="es-ES" w:eastAsia="es-CO"/>
        </w:rPr>
        <w:t>presidencial .</w:t>
      </w:r>
      <w:proofErr w:type="gramEnd"/>
      <w:r w:rsidRPr="00233F2B">
        <w:rPr>
          <w:rFonts w:ascii="Arial" w:eastAsia="Arial" w:hAnsi="Arial" w:cs="Arial"/>
          <w:bCs/>
          <w:sz w:val="20"/>
          <w:szCs w:val="20"/>
          <w:lang w:val="es-ES" w:eastAsia="es-CO"/>
        </w:rPr>
        <w:t xml:space="preserve">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p>
    <w:p w14:paraId="2982C8A5" w14:textId="77777777" w:rsidR="00233F2B" w:rsidRPr="00CA3863" w:rsidRDefault="00233F2B" w:rsidP="00233F2B">
      <w:pPr>
        <w:widowControl w:val="0"/>
        <w:autoSpaceDE w:val="0"/>
        <w:autoSpaceDN w:val="0"/>
        <w:jc w:val="both"/>
        <w:rPr>
          <w:rFonts w:ascii="Arial" w:eastAsia="Calibri" w:hAnsi="Arial" w:cs="Arial"/>
          <w:sz w:val="22"/>
          <w:lang w:val="es-CO"/>
        </w:rPr>
      </w:pPr>
    </w:p>
    <w:p w14:paraId="18D2973C" w14:textId="77777777" w:rsidR="00CA3863" w:rsidRPr="00CA3863" w:rsidRDefault="00CA3863" w:rsidP="00CA3863">
      <w:pPr>
        <w:widowControl w:val="0"/>
        <w:autoSpaceDE w:val="0"/>
        <w:autoSpaceDN w:val="0"/>
        <w:spacing w:line="276" w:lineRule="auto"/>
        <w:jc w:val="both"/>
        <w:rPr>
          <w:rFonts w:ascii="Arial" w:eastAsia="Calibri" w:hAnsi="Arial" w:cs="Arial"/>
          <w:b/>
          <w:bCs/>
          <w:sz w:val="22"/>
          <w:lang w:val="es-CO"/>
        </w:rPr>
      </w:pPr>
      <w:r w:rsidRPr="00CA3863">
        <w:rPr>
          <w:rFonts w:ascii="Arial" w:eastAsia="Calibri" w:hAnsi="Arial" w:cs="Arial"/>
          <w:b/>
          <w:bCs/>
          <w:sz w:val="22"/>
          <w:lang w:val="es-CO"/>
        </w:rPr>
        <w:t xml:space="preserve">LEY DE GARANTÍAS ELECTORALES – Restricciones a la compra pública </w:t>
      </w:r>
    </w:p>
    <w:p w14:paraId="62009869" w14:textId="77777777" w:rsidR="00CA3863" w:rsidRPr="00CA3863" w:rsidRDefault="00CA3863" w:rsidP="00CA3863">
      <w:pPr>
        <w:widowControl w:val="0"/>
        <w:autoSpaceDE w:val="0"/>
        <w:autoSpaceDN w:val="0"/>
        <w:spacing w:line="276" w:lineRule="auto"/>
        <w:jc w:val="both"/>
        <w:rPr>
          <w:rFonts w:ascii="Arial" w:eastAsia="Calibri" w:hAnsi="Arial" w:cs="Arial"/>
          <w:b/>
          <w:bCs/>
          <w:sz w:val="22"/>
          <w:lang w:val="es-CO"/>
        </w:rPr>
      </w:pPr>
    </w:p>
    <w:p w14:paraId="75F3F08B" w14:textId="77777777" w:rsidR="00233F2B" w:rsidRPr="00233F2B" w:rsidRDefault="00CA3863" w:rsidP="00233F2B">
      <w:pPr>
        <w:widowControl w:val="0"/>
        <w:autoSpaceDE w:val="0"/>
        <w:autoSpaceDN w:val="0"/>
        <w:jc w:val="both"/>
        <w:rPr>
          <w:rFonts w:ascii="Arial" w:eastAsia="Arial" w:hAnsi="Arial" w:cs="Arial"/>
          <w:sz w:val="20"/>
          <w:szCs w:val="20"/>
          <w:lang w:val="es-ES" w:eastAsia="es-ES" w:bidi="es-ES"/>
        </w:rPr>
      </w:pPr>
      <w:r w:rsidRPr="00CA3863">
        <w:rPr>
          <w:rFonts w:ascii="Arial" w:eastAsia="Arial" w:hAnsi="Arial" w:cs="Arial"/>
          <w:sz w:val="20"/>
          <w:szCs w:val="20"/>
          <w:lang w:val="es-ES" w:eastAsia="es-ES" w:bidi="es-ES"/>
        </w:rPr>
        <w:t xml:space="preserve">[…] </w:t>
      </w:r>
      <w:r w:rsidR="00233F2B" w:rsidRPr="00233F2B">
        <w:rPr>
          <w:rFonts w:ascii="Arial" w:eastAsia="Arial" w:hAnsi="Arial" w:cs="Arial"/>
          <w:sz w:val="20"/>
          <w:szCs w:val="20"/>
          <w:lang w:val="es-ES" w:eastAsia="es-ES" w:bidi="es-ES"/>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conforme al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ABB8102" w14:textId="77777777" w:rsidR="00902529" w:rsidRDefault="00902529" w:rsidP="00233F2B">
      <w:pPr>
        <w:widowControl w:val="0"/>
        <w:autoSpaceDE w:val="0"/>
        <w:autoSpaceDN w:val="0"/>
        <w:jc w:val="both"/>
        <w:rPr>
          <w:rFonts w:ascii="Arial" w:eastAsia="Arial" w:hAnsi="Arial" w:cs="Arial"/>
          <w:sz w:val="20"/>
          <w:szCs w:val="20"/>
          <w:lang w:val="es-ES" w:eastAsia="es-ES" w:bidi="es-ES"/>
        </w:rPr>
      </w:pPr>
    </w:p>
    <w:p w14:paraId="17E607E3" w14:textId="441668B3" w:rsidR="00CA3863" w:rsidRDefault="00233F2B" w:rsidP="00233F2B">
      <w:pPr>
        <w:widowControl w:val="0"/>
        <w:autoSpaceDE w:val="0"/>
        <w:autoSpaceDN w:val="0"/>
        <w:jc w:val="both"/>
        <w:rPr>
          <w:rFonts w:ascii="Arial" w:eastAsia="Arial" w:hAnsi="Arial" w:cs="Arial"/>
          <w:sz w:val="20"/>
          <w:szCs w:val="20"/>
          <w:lang w:val="es-ES" w:eastAsia="es-ES" w:bidi="es-ES"/>
        </w:rPr>
      </w:pPr>
      <w:r w:rsidRPr="00233F2B">
        <w:rPr>
          <w:rFonts w:ascii="Arial" w:eastAsia="Arial" w:hAnsi="Arial" w:cs="Arial"/>
          <w:sz w:val="20"/>
          <w:szCs w:val="20"/>
          <w:lang w:val="es-ES" w:eastAsia="es-ES" w:bidi="es-ES"/>
        </w:rPr>
        <w:t xml:space="preserve">Ambas restricciones no son excluyentes, lo que permite concluir que en el período preelectoral para elección de </w:t>
      </w:r>
      <w:proofErr w:type="gramStart"/>
      <w:r w:rsidRPr="00233F2B">
        <w:rPr>
          <w:rFonts w:ascii="Arial" w:eastAsia="Arial" w:hAnsi="Arial" w:cs="Arial"/>
          <w:sz w:val="20"/>
          <w:szCs w:val="20"/>
          <w:lang w:val="es-ES" w:eastAsia="es-ES" w:bidi="es-ES"/>
        </w:rPr>
        <w:t>Presidente</w:t>
      </w:r>
      <w:proofErr w:type="gramEnd"/>
      <w:r w:rsidRPr="00233F2B">
        <w:rPr>
          <w:rFonts w:ascii="Arial" w:eastAsia="Arial" w:hAnsi="Arial" w:cs="Arial"/>
          <w:sz w:val="20"/>
          <w:szCs w:val="20"/>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233F2B">
        <w:rPr>
          <w:rFonts w:ascii="Arial" w:eastAsia="Arial" w:hAnsi="Arial" w:cs="Arial"/>
          <w:sz w:val="20"/>
          <w:szCs w:val="20"/>
          <w:lang w:val="es-ES" w:eastAsia="es-ES" w:bidi="es-ES"/>
        </w:rPr>
        <w:t>Presidente</w:t>
      </w:r>
      <w:proofErr w:type="gramEnd"/>
      <w:r w:rsidRPr="00233F2B">
        <w:rPr>
          <w:rFonts w:ascii="Arial" w:eastAsia="Arial" w:hAnsi="Arial" w:cs="Arial"/>
          <w:sz w:val="20"/>
          <w:szCs w:val="20"/>
          <w:lang w:val="es-ES" w:eastAsia="es-ES" w:bidi="es-ES"/>
        </w:rPr>
        <w:t xml:space="preserve"> de la República, las autoridades allí mencionadas solo deben aplicar las restricciones contenidas en el parágrafo del artículo 38.</w:t>
      </w:r>
    </w:p>
    <w:p w14:paraId="233BB188" w14:textId="77777777" w:rsidR="00902529" w:rsidRPr="00CA3863" w:rsidRDefault="00902529" w:rsidP="00233F2B">
      <w:pPr>
        <w:widowControl w:val="0"/>
        <w:autoSpaceDE w:val="0"/>
        <w:autoSpaceDN w:val="0"/>
        <w:jc w:val="both"/>
        <w:rPr>
          <w:rFonts w:ascii="Arial" w:eastAsia="Arial" w:hAnsi="Arial" w:cs="Arial"/>
          <w:sz w:val="20"/>
          <w:szCs w:val="20"/>
          <w:lang w:val="es-CO"/>
        </w:rPr>
      </w:pPr>
    </w:p>
    <w:p w14:paraId="6EC9572B" w14:textId="77777777" w:rsidR="00CA3863" w:rsidRPr="00CA3863" w:rsidRDefault="00CA3863" w:rsidP="00CA3863">
      <w:pPr>
        <w:widowControl w:val="0"/>
        <w:autoSpaceDE w:val="0"/>
        <w:autoSpaceDN w:val="0"/>
        <w:jc w:val="both"/>
        <w:rPr>
          <w:rFonts w:ascii="Arial" w:eastAsia="Arial" w:hAnsi="Arial" w:cs="Arial"/>
          <w:b/>
          <w:bCs/>
          <w:sz w:val="22"/>
          <w:lang w:val="es-ES"/>
        </w:rPr>
      </w:pPr>
      <w:r w:rsidRPr="00CA3863">
        <w:rPr>
          <w:rFonts w:ascii="Arial" w:eastAsia="Arial" w:hAnsi="Arial" w:cs="Arial"/>
          <w:b/>
          <w:bCs/>
          <w:sz w:val="22"/>
          <w:lang w:val="es-ES"/>
        </w:rPr>
        <w:t xml:space="preserve">DESTINATARIOS – Artículo 33 ley 996 de 2005 – Ley de garantías </w:t>
      </w:r>
    </w:p>
    <w:p w14:paraId="3D22064E" w14:textId="77777777" w:rsidR="00CA3863" w:rsidRPr="00CA3863" w:rsidRDefault="00CA3863" w:rsidP="00CA3863">
      <w:pPr>
        <w:rPr>
          <w:rFonts w:ascii="Arial" w:eastAsia="Times New Roman" w:hAnsi="Arial" w:cs="Arial"/>
          <w:b/>
          <w:bCs/>
          <w:sz w:val="22"/>
          <w:lang w:val="es-CO" w:eastAsia="es-MX"/>
        </w:rPr>
      </w:pPr>
    </w:p>
    <w:p w14:paraId="7C0E354C" w14:textId="0EAFFFAD" w:rsidR="00CA3863" w:rsidRPr="00902529" w:rsidRDefault="00902529" w:rsidP="00902529">
      <w:pPr>
        <w:widowControl w:val="0"/>
        <w:autoSpaceDE w:val="0"/>
        <w:autoSpaceDN w:val="0"/>
        <w:jc w:val="both"/>
        <w:rPr>
          <w:rFonts w:ascii="Arial" w:eastAsia="Arial" w:hAnsi="Arial" w:cs="Arial"/>
          <w:sz w:val="20"/>
          <w:szCs w:val="20"/>
          <w:lang w:val="es-ES" w:eastAsia="es-ES" w:bidi="es-ES"/>
        </w:rPr>
      </w:pPr>
      <w:r w:rsidRPr="00902529">
        <w:rPr>
          <w:rFonts w:ascii="Arial" w:eastAsia="Arial" w:hAnsi="Arial" w:cs="Arial"/>
          <w:sz w:val="20"/>
          <w:szCs w:val="20"/>
          <w:lang w:val="es-ES" w:eastAsia="es-ES" w:bidi="es-ES"/>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0F046EC" w14:textId="77777777" w:rsidR="00902529" w:rsidRPr="00902529" w:rsidRDefault="00902529" w:rsidP="00902529">
      <w:pPr>
        <w:widowControl w:val="0"/>
        <w:autoSpaceDE w:val="0"/>
        <w:autoSpaceDN w:val="0"/>
        <w:jc w:val="both"/>
        <w:rPr>
          <w:rFonts w:ascii="Arial" w:eastAsia="Arial" w:hAnsi="Arial" w:cs="Arial"/>
          <w:sz w:val="20"/>
          <w:szCs w:val="20"/>
          <w:lang w:val="es-ES" w:eastAsia="es-ES" w:bidi="es-ES"/>
        </w:rPr>
      </w:pPr>
    </w:p>
    <w:p w14:paraId="1549D37C" w14:textId="3BA5555A" w:rsidR="00295280" w:rsidRDefault="00295280" w:rsidP="00715079">
      <w:pPr>
        <w:pStyle w:val="Textoindependiente"/>
        <w:spacing w:line="276" w:lineRule="auto"/>
        <w:jc w:val="both"/>
        <w:rPr>
          <w:rFonts w:eastAsia="Calibri"/>
          <w:b/>
          <w:bCs/>
          <w:color w:val="000000" w:themeColor="text1"/>
        </w:rPr>
      </w:pPr>
      <w:r w:rsidRPr="00295280">
        <w:rPr>
          <w:b/>
          <w:bCs/>
        </w:rPr>
        <w:t xml:space="preserve">CONVENIO DE ASOCIACIÓN </w:t>
      </w:r>
      <w:r w:rsidR="004929BE">
        <w:rPr>
          <w:b/>
          <w:bCs/>
        </w:rPr>
        <w:t>–</w:t>
      </w:r>
      <w:r w:rsidRPr="00295280">
        <w:rPr>
          <w:b/>
          <w:bCs/>
        </w:rPr>
        <w:t xml:space="preserve"> </w:t>
      </w:r>
      <w:r w:rsidR="004929BE">
        <w:rPr>
          <w:rFonts w:eastAsia="Calibri"/>
          <w:b/>
          <w:bCs/>
          <w:color w:val="000000" w:themeColor="text1"/>
        </w:rPr>
        <w:t>A</w:t>
      </w:r>
      <w:r w:rsidRPr="00295280">
        <w:rPr>
          <w:rFonts w:eastAsia="Calibri"/>
          <w:b/>
          <w:bCs/>
          <w:color w:val="000000" w:themeColor="text1"/>
        </w:rPr>
        <w:t>rtículo 5 del Decreto 092 de 2017</w:t>
      </w:r>
      <w:r w:rsidR="004929BE">
        <w:rPr>
          <w:rFonts w:eastAsia="Calibri"/>
          <w:b/>
          <w:bCs/>
          <w:color w:val="000000" w:themeColor="text1"/>
        </w:rPr>
        <w:t xml:space="preserve"> –</w:t>
      </w:r>
      <w:r w:rsidR="004F60FB">
        <w:rPr>
          <w:rFonts w:eastAsia="Calibri"/>
          <w:b/>
          <w:bCs/>
          <w:color w:val="000000" w:themeColor="text1"/>
        </w:rPr>
        <w:t xml:space="preserve"> Restricción de contratación directa</w:t>
      </w:r>
    </w:p>
    <w:p w14:paraId="3E843E02" w14:textId="77777777" w:rsidR="00295280" w:rsidRDefault="00295280" w:rsidP="00715079">
      <w:pPr>
        <w:pStyle w:val="Textoindependiente"/>
        <w:spacing w:line="276" w:lineRule="auto"/>
        <w:jc w:val="both"/>
        <w:rPr>
          <w:rFonts w:eastAsia="Calibri"/>
          <w:b/>
          <w:bCs/>
          <w:color w:val="000000" w:themeColor="text1"/>
        </w:rPr>
      </w:pPr>
    </w:p>
    <w:p w14:paraId="7D269B93" w14:textId="523B066A" w:rsidR="00734C72" w:rsidRPr="00902529" w:rsidRDefault="00902529" w:rsidP="00902529">
      <w:pPr>
        <w:jc w:val="both"/>
        <w:rPr>
          <w:rFonts w:ascii="Arial" w:eastAsia="Times New Roman" w:hAnsi="Arial" w:cs="Arial"/>
          <w:bCs/>
          <w:sz w:val="20"/>
          <w:szCs w:val="20"/>
          <w:lang w:eastAsia="x-none"/>
        </w:rPr>
      </w:pPr>
      <w:r w:rsidRPr="00902529">
        <w:rPr>
          <w:rFonts w:ascii="Arial" w:eastAsia="Times New Roman" w:hAnsi="Arial" w:cs="Arial"/>
          <w:bCs/>
          <w:sz w:val="20"/>
          <w:szCs w:val="20"/>
          <w:lang w:eastAsia="x-none"/>
        </w:rPr>
        <w:t xml:space="preserve">Para los convenios de asociación, como se explicó ut supra, el artículo 5 del citado Decreto establece que el proceso para la selección de la ESAL, por regla general, debe estar sujeto a competencia; salvo en aquellos casos en que una entidad sin ánimo de lucro comprometa recursos en dinero por </w:t>
      </w:r>
      <w:r w:rsidRPr="00902529">
        <w:rPr>
          <w:rFonts w:ascii="Arial" w:eastAsia="Times New Roman" w:hAnsi="Arial" w:cs="Arial"/>
          <w:bCs/>
          <w:sz w:val="20"/>
          <w:szCs w:val="20"/>
          <w:lang w:eastAsia="x-none"/>
        </w:rPr>
        <w:lastRenderedPageBreak/>
        <w:t>un valor igual o superior al 30% del valor total del convenio ,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solo indica que en esos casos la entidad estatal debe acudir al proceso competitivo para seleccionar a la entidad sin ánimo de lucro con la cual celebrará el respectivo convenio. Teniendo en cuenta lo anterior, y las consideraciones realizadas en los acápites previos, la prohibición de contratación directa del artículo 33 de la Ley de Garantías Electorales únicamente aplica frente a los procedimientos no competitivos, que son los que implican una contratación directa. Como explica la Sala de Consulta y Servicio Civil del Consejo de Estado:</w:t>
      </w:r>
      <w:r>
        <w:rPr>
          <w:rFonts w:ascii="Arial" w:eastAsia="Times New Roman" w:hAnsi="Arial" w:cs="Arial"/>
          <w:bCs/>
          <w:sz w:val="20"/>
          <w:szCs w:val="20"/>
          <w:lang w:eastAsia="x-none"/>
        </w:rPr>
        <w:t xml:space="preserve"> </w:t>
      </w:r>
      <w:r w:rsidRPr="00902529">
        <w:rPr>
          <w:rFonts w:ascii="Arial" w:eastAsia="Times New Roman" w:hAnsi="Arial" w:cs="Arial"/>
          <w:bCs/>
          <w:sz w:val="20"/>
          <w:szCs w:val="20"/>
          <w:lang w:eastAsia="x-none"/>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p>
    <w:p w14:paraId="141C04C9" w14:textId="11F04D51" w:rsidR="00734C72" w:rsidRDefault="00734C72" w:rsidP="00715079">
      <w:pPr>
        <w:spacing w:line="276" w:lineRule="auto"/>
        <w:ind w:firstLine="708"/>
        <w:jc w:val="both"/>
        <w:rPr>
          <w:rFonts w:ascii="Arial" w:hAnsi="Arial" w:cs="Arial"/>
        </w:rPr>
      </w:pPr>
    </w:p>
    <w:p w14:paraId="41EC1977" w14:textId="05F2A7A0" w:rsidR="00AC0974" w:rsidRDefault="00AC0974" w:rsidP="001554CA">
      <w:pPr>
        <w:jc w:val="both"/>
        <w:rPr>
          <w:rFonts w:ascii="Arial" w:eastAsia="Calibri" w:hAnsi="Arial" w:cs="Arial"/>
          <w:bCs/>
          <w:color w:val="000000" w:themeColor="text1"/>
          <w:sz w:val="22"/>
        </w:rPr>
      </w:pPr>
    </w:p>
    <w:p w14:paraId="491565CA" w14:textId="77777777" w:rsidR="00DD0082" w:rsidRDefault="00DD0082" w:rsidP="001554CA">
      <w:pPr>
        <w:jc w:val="both"/>
        <w:rPr>
          <w:rFonts w:ascii="Arial" w:eastAsia="Calibri" w:hAnsi="Arial" w:cs="Arial"/>
          <w:bCs/>
          <w:color w:val="000000" w:themeColor="text1"/>
          <w:sz w:val="22"/>
        </w:rPr>
      </w:pPr>
    </w:p>
    <w:p w14:paraId="799C11D5" w14:textId="77777777" w:rsidR="004F60FB" w:rsidRDefault="004F60FB" w:rsidP="009E05ED">
      <w:pPr>
        <w:jc w:val="both"/>
        <w:rPr>
          <w:rFonts w:ascii="Arial" w:hAnsi="Arial" w:cs="Arial"/>
          <w:sz w:val="22"/>
        </w:rPr>
      </w:pPr>
    </w:p>
    <w:p w14:paraId="05C67C67" w14:textId="77777777" w:rsidR="004F60FB" w:rsidRDefault="004F60FB" w:rsidP="009E05ED">
      <w:pPr>
        <w:jc w:val="both"/>
        <w:rPr>
          <w:rFonts w:ascii="Arial" w:hAnsi="Arial" w:cs="Arial"/>
          <w:sz w:val="22"/>
        </w:rPr>
      </w:pPr>
    </w:p>
    <w:p w14:paraId="3519786B" w14:textId="77777777" w:rsidR="004F60FB" w:rsidRDefault="004F60FB" w:rsidP="009E05ED">
      <w:pPr>
        <w:jc w:val="both"/>
        <w:rPr>
          <w:rFonts w:ascii="Arial" w:hAnsi="Arial" w:cs="Arial"/>
          <w:sz w:val="22"/>
        </w:rPr>
      </w:pPr>
    </w:p>
    <w:p w14:paraId="45EE9C99" w14:textId="77777777" w:rsidR="004F60FB" w:rsidRDefault="004F60FB" w:rsidP="009E05ED">
      <w:pPr>
        <w:jc w:val="both"/>
        <w:rPr>
          <w:rFonts w:ascii="Arial" w:hAnsi="Arial" w:cs="Arial"/>
          <w:sz w:val="22"/>
        </w:rPr>
      </w:pPr>
    </w:p>
    <w:p w14:paraId="3C58C5D6" w14:textId="77777777" w:rsidR="004F60FB" w:rsidRDefault="004F60FB" w:rsidP="009E05ED">
      <w:pPr>
        <w:jc w:val="both"/>
        <w:rPr>
          <w:rFonts w:ascii="Arial" w:hAnsi="Arial" w:cs="Arial"/>
          <w:sz w:val="22"/>
        </w:rPr>
      </w:pPr>
    </w:p>
    <w:p w14:paraId="0D0C9FB3" w14:textId="77777777" w:rsidR="004F60FB" w:rsidRDefault="004F60FB" w:rsidP="009E05ED">
      <w:pPr>
        <w:jc w:val="both"/>
        <w:rPr>
          <w:rFonts w:ascii="Arial" w:hAnsi="Arial" w:cs="Arial"/>
          <w:sz w:val="22"/>
        </w:rPr>
      </w:pPr>
    </w:p>
    <w:p w14:paraId="0760EEE7" w14:textId="77777777" w:rsidR="004F60FB" w:rsidRDefault="004F60FB" w:rsidP="009E05ED">
      <w:pPr>
        <w:jc w:val="both"/>
        <w:rPr>
          <w:rFonts w:ascii="Arial" w:hAnsi="Arial" w:cs="Arial"/>
          <w:sz w:val="22"/>
        </w:rPr>
      </w:pPr>
    </w:p>
    <w:p w14:paraId="6CE14DD8" w14:textId="77777777" w:rsidR="004F60FB" w:rsidRDefault="004F60FB" w:rsidP="009E05ED">
      <w:pPr>
        <w:jc w:val="both"/>
        <w:rPr>
          <w:rFonts w:ascii="Arial" w:hAnsi="Arial" w:cs="Arial"/>
          <w:sz w:val="22"/>
        </w:rPr>
      </w:pPr>
    </w:p>
    <w:p w14:paraId="7C70F1EF" w14:textId="77777777" w:rsidR="004F60FB" w:rsidRDefault="004F60FB" w:rsidP="009E05ED">
      <w:pPr>
        <w:jc w:val="both"/>
        <w:rPr>
          <w:rFonts w:ascii="Arial" w:hAnsi="Arial" w:cs="Arial"/>
          <w:sz w:val="22"/>
        </w:rPr>
      </w:pPr>
    </w:p>
    <w:p w14:paraId="20F6DDE1" w14:textId="77777777" w:rsidR="004F60FB" w:rsidRDefault="004F60FB" w:rsidP="009E05ED">
      <w:pPr>
        <w:jc w:val="both"/>
        <w:rPr>
          <w:rFonts w:ascii="Arial" w:hAnsi="Arial" w:cs="Arial"/>
          <w:sz w:val="22"/>
        </w:rPr>
      </w:pPr>
    </w:p>
    <w:p w14:paraId="68FAE3AC" w14:textId="77777777" w:rsidR="004F60FB" w:rsidRDefault="004F60FB" w:rsidP="009E05ED">
      <w:pPr>
        <w:jc w:val="both"/>
        <w:rPr>
          <w:rFonts w:ascii="Arial" w:hAnsi="Arial" w:cs="Arial"/>
          <w:sz w:val="22"/>
        </w:rPr>
      </w:pPr>
    </w:p>
    <w:p w14:paraId="383AF3E7" w14:textId="77777777" w:rsidR="004F60FB" w:rsidRDefault="004F60FB" w:rsidP="009E05ED">
      <w:pPr>
        <w:jc w:val="both"/>
        <w:rPr>
          <w:rFonts w:ascii="Arial" w:hAnsi="Arial" w:cs="Arial"/>
          <w:sz w:val="22"/>
        </w:rPr>
      </w:pPr>
    </w:p>
    <w:p w14:paraId="7D550614" w14:textId="77777777" w:rsidR="004F60FB" w:rsidRDefault="004F60FB" w:rsidP="009E05ED">
      <w:pPr>
        <w:jc w:val="both"/>
        <w:rPr>
          <w:rFonts w:ascii="Arial" w:hAnsi="Arial" w:cs="Arial"/>
          <w:sz w:val="22"/>
        </w:rPr>
      </w:pPr>
    </w:p>
    <w:p w14:paraId="7811D9AA" w14:textId="77777777" w:rsidR="004F60FB" w:rsidRDefault="004F60FB" w:rsidP="009E05ED">
      <w:pPr>
        <w:jc w:val="both"/>
        <w:rPr>
          <w:rFonts w:ascii="Arial" w:hAnsi="Arial" w:cs="Arial"/>
          <w:sz w:val="22"/>
        </w:rPr>
      </w:pPr>
    </w:p>
    <w:p w14:paraId="064BFCB6" w14:textId="77777777" w:rsidR="004F60FB" w:rsidRDefault="004F60FB" w:rsidP="009E05ED">
      <w:pPr>
        <w:jc w:val="both"/>
        <w:rPr>
          <w:rFonts w:ascii="Arial" w:hAnsi="Arial" w:cs="Arial"/>
          <w:sz w:val="22"/>
        </w:rPr>
      </w:pPr>
    </w:p>
    <w:p w14:paraId="744BA14C" w14:textId="77777777" w:rsidR="004F60FB" w:rsidRDefault="004F60FB" w:rsidP="009E05ED">
      <w:pPr>
        <w:jc w:val="both"/>
        <w:rPr>
          <w:rFonts w:ascii="Arial" w:hAnsi="Arial" w:cs="Arial"/>
          <w:sz w:val="22"/>
        </w:rPr>
      </w:pPr>
    </w:p>
    <w:p w14:paraId="52B3E2DE" w14:textId="77777777" w:rsidR="004F60FB" w:rsidRDefault="004F60FB" w:rsidP="009E05ED">
      <w:pPr>
        <w:jc w:val="both"/>
        <w:rPr>
          <w:rFonts w:ascii="Arial" w:hAnsi="Arial" w:cs="Arial"/>
          <w:sz w:val="22"/>
        </w:rPr>
      </w:pPr>
    </w:p>
    <w:p w14:paraId="2FD7F4A9" w14:textId="77777777" w:rsidR="004F60FB" w:rsidRDefault="004F60FB" w:rsidP="009E05ED">
      <w:pPr>
        <w:jc w:val="both"/>
        <w:rPr>
          <w:rFonts w:ascii="Arial" w:hAnsi="Arial" w:cs="Arial"/>
          <w:sz w:val="22"/>
        </w:rPr>
      </w:pPr>
    </w:p>
    <w:p w14:paraId="2A91C7CB" w14:textId="77777777" w:rsidR="004F60FB" w:rsidRDefault="004F60FB" w:rsidP="009E05ED">
      <w:pPr>
        <w:jc w:val="both"/>
        <w:rPr>
          <w:rFonts w:ascii="Arial" w:hAnsi="Arial" w:cs="Arial"/>
          <w:sz w:val="22"/>
        </w:rPr>
      </w:pPr>
    </w:p>
    <w:p w14:paraId="6B543DD8" w14:textId="77777777" w:rsidR="004F60FB" w:rsidRDefault="004F60FB" w:rsidP="009E05ED">
      <w:pPr>
        <w:jc w:val="both"/>
        <w:rPr>
          <w:rFonts w:ascii="Arial" w:hAnsi="Arial" w:cs="Arial"/>
          <w:sz w:val="22"/>
        </w:rPr>
      </w:pPr>
    </w:p>
    <w:p w14:paraId="2C392BE5" w14:textId="77777777" w:rsidR="004F60FB" w:rsidRDefault="004F60FB" w:rsidP="009E05ED">
      <w:pPr>
        <w:jc w:val="both"/>
        <w:rPr>
          <w:rFonts w:ascii="Arial" w:hAnsi="Arial" w:cs="Arial"/>
          <w:sz w:val="22"/>
        </w:rPr>
      </w:pPr>
    </w:p>
    <w:p w14:paraId="7D349216" w14:textId="77777777" w:rsidR="004F60FB" w:rsidRDefault="004F60FB" w:rsidP="009E05ED">
      <w:pPr>
        <w:jc w:val="both"/>
        <w:rPr>
          <w:rFonts w:ascii="Arial" w:hAnsi="Arial" w:cs="Arial"/>
          <w:sz w:val="22"/>
        </w:rPr>
      </w:pPr>
    </w:p>
    <w:p w14:paraId="64C08BB5" w14:textId="77777777" w:rsidR="004F60FB" w:rsidRDefault="004F60FB" w:rsidP="009E05ED">
      <w:pPr>
        <w:jc w:val="both"/>
        <w:rPr>
          <w:rFonts w:ascii="Arial" w:hAnsi="Arial" w:cs="Arial"/>
          <w:sz w:val="22"/>
        </w:rPr>
      </w:pPr>
    </w:p>
    <w:p w14:paraId="63089BBC" w14:textId="77777777" w:rsidR="004F60FB" w:rsidRDefault="004F60FB" w:rsidP="009E05ED">
      <w:pPr>
        <w:jc w:val="both"/>
        <w:rPr>
          <w:rFonts w:ascii="Arial" w:hAnsi="Arial" w:cs="Arial"/>
          <w:sz w:val="22"/>
        </w:rPr>
      </w:pPr>
    </w:p>
    <w:p w14:paraId="55DF19E8" w14:textId="77777777" w:rsidR="004F60FB" w:rsidRDefault="004F60FB" w:rsidP="009E05ED">
      <w:pPr>
        <w:jc w:val="both"/>
        <w:rPr>
          <w:rFonts w:ascii="Arial" w:hAnsi="Arial" w:cs="Arial"/>
          <w:sz w:val="22"/>
        </w:rPr>
      </w:pPr>
    </w:p>
    <w:p w14:paraId="54E4A445" w14:textId="77777777" w:rsidR="004F60FB" w:rsidRDefault="004F60FB" w:rsidP="009E05ED">
      <w:pPr>
        <w:jc w:val="both"/>
        <w:rPr>
          <w:rFonts w:ascii="Arial" w:hAnsi="Arial" w:cs="Arial"/>
          <w:sz w:val="22"/>
        </w:rPr>
      </w:pPr>
    </w:p>
    <w:p w14:paraId="35CA7924" w14:textId="77777777" w:rsidR="004F60FB" w:rsidRDefault="004F60FB" w:rsidP="009E05ED">
      <w:pPr>
        <w:jc w:val="both"/>
        <w:rPr>
          <w:rFonts w:ascii="Arial" w:hAnsi="Arial" w:cs="Arial"/>
          <w:sz w:val="22"/>
        </w:rPr>
      </w:pPr>
    </w:p>
    <w:p w14:paraId="24750E7E" w14:textId="77777777" w:rsidR="004F60FB" w:rsidRDefault="004F60FB" w:rsidP="009E05ED">
      <w:pPr>
        <w:jc w:val="both"/>
        <w:rPr>
          <w:rFonts w:ascii="Arial" w:hAnsi="Arial" w:cs="Arial"/>
          <w:sz w:val="22"/>
        </w:rPr>
      </w:pPr>
    </w:p>
    <w:p w14:paraId="26F099A0" w14:textId="77777777" w:rsidR="004F60FB" w:rsidRDefault="004F60FB" w:rsidP="009E05ED">
      <w:pPr>
        <w:jc w:val="both"/>
        <w:rPr>
          <w:rFonts w:ascii="Arial" w:hAnsi="Arial" w:cs="Arial"/>
          <w:sz w:val="22"/>
        </w:rPr>
      </w:pPr>
    </w:p>
    <w:p w14:paraId="470FBC71" w14:textId="77777777" w:rsidR="004F60FB" w:rsidRDefault="004F60FB" w:rsidP="009E05ED">
      <w:pPr>
        <w:jc w:val="both"/>
        <w:rPr>
          <w:rFonts w:ascii="Arial" w:hAnsi="Arial" w:cs="Arial"/>
          <w:sz w:val="22"/>
        </w:rPr>
      </w:pPr>
    </w:p>
    <w:p w14:paraId="0C89CF81" w14:textId="77777777" w:rsidR="004F60FB" w:rsidRDefault="004F60FB" w:rsidP="009E05ED">
      <w:pPr>
        <w:jc w:val="both"/>
        <w:rPr>
          <w:rFonts w:ascii="Arial" w:hAnsi="Arial" w:cs="Arial"/>
          <w:sz w:val="22"/>
        </w:rPr>
      </w:pPr>
    </w:p>
    <w:p w14:paraId="40886C88" w14:textId="77777777" w:rsidR="004F60FB" w:rsidRDefault="004F60FB" w:rsidP="009E05ED">
      <w:pPr>
        <w:jc w:val="both"/>
        <w:rPr>
          <w:rFonts w:ascii="Arial" w:hAnsi="Arial" w:cs="Arial"/>
          <w:sz w:val="22"/>
        </w:rPr>
      </w:pPr>
    </w:p>
    <w:p w14:paraId="4233CCF6" w14:textId="082B9515" w:rsidR="00CF0398" w:rsidRDefault="00CF0398" w:rsidP="009E05ED">
      <w:pPr>
        <w:jc w:val="both"/>
        <w:rPr>
          <w:rFonts w:ascii="Arial" w:hAnsi="Arial" w:cs="Arial"/>
          <w:sz w:val="22"/>
        </w:rPr>
      </w:pPr>
      <w:r w:rsidRPr="00CF0398">
        <w:rPr>
          <w:rFonts w:ascii="Arial" w:hAnsi="Arial" w:cs="Arial"/>
          <w:sz w:val="22"/>
        </w:rPr>
        <w:lastRenderedPageBreak/>
        <w:drawing>
          <wp:inline distT="0" distB="0" distL="0" distR="0" wp14:anchorId="3525AFB6" wp14:editId="01D29F08">
            <wp:extent cx="1257300" cy="139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57300" cy="139700"/>
                    </a:xfrm>
                    <a:prstGeom prst="rect">
                      <a:avLst/>
                    </a:prstGeom>
                  </pic:spPr>
                </pic:pic>
              </a:graphicData>
            </a:graphic>
          </wp:inline>
        </w:drawing>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F0398">
        <w:rPr>
          <w:rFonts w:ascii="Arial" w:hAnsi="Arial" w:cs="Arial"/>
          <w:sz w:val="22"/>
        </w:rPr>
        <w:drawing>
          <wp:inline distT="0" distB="0" distL="0" distR="0" wp14:anchorId="045AA24E" wp14:editId="24114921">
            <wp:extent cx="1790700" cy="4699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1790700" cy="469900"/>
                    </a:xfrm>
                    <a:prstGeom prst="rect">
                      <a:avLst/>
                    </a:prstGeom>
                  </pic:spPr>
                </pic:pic>
              </a:graphicData>
            </a:graphic>
          </wp:inline>
        </w:drawing>
      </w:r>
    </w:p>
    <w:p w14:paraId="46AA0B8D" w14:textId="77777777" w:rsidR="00CF0398" w:rsidRDefault="00CF0398" w:rsidP="009E05ED">
      <w:pPr>
        <w:jc w:val="both"/>
        <w:rPr>
          <w:rFonts w:ascii="Arial" w:hAnsi="Arial" w:cs="Arial"/>
          <w:sz w:val="22"/>
        </w:rPr>
      </w:pPr>
    </w:p>
    <w:p w14:paraId="376163D3" w14:textId="584ABFB9" w:rsidR="001554CA" w:rsidRPr="009E05ED" w:rsidRDefault="001554CA" w:rsidP="009E05ED">
      <w:pPr>
        <w:jc w:val="both"/>
        <w:rPr>
          <w:rFonts w:ascii="Arial" w:eastAsia="Calibri" w:hAnsi="Arial" w:cs="Arial"/>
          <w:bCs/>
          <w:color w:val="000000" w:themeColor="text1"/>
          <w:sz w:val="22"/>
        </w:rPr>
      </w:pPr>
      <w:r w:rsidRPr="003D1995">
        <w:rPr>
          <w:rFonts w:ascii="Arial" w:hAnsi="Arial" w:cs="Arial"/>
          <w:sz w:val="22"/>
        </w:rPr>
        <w:t>Señor</w:t>
      </w:r>
    </w:p>
    <w:p w14:paraId="4E9A3501" w14:textId="407A1C34" w:rsidR="001554CA" w:rsidRDefault="009E05ED" w:rsidP="009E05ED">
      <w:pPr>
        <w:rPr>
          <w:rFonts w:ascii="Arial" w:eastAsia="Calibri" w:hAnsi="Arial" w:cs="Arial"/>
          <w:sz w:val="22"/>
        </w:rPr>
      </w:pPr>
      <w:r>
        <w:rPr>
          <w:rFonts w:ascii="Arial" w:hAnsi="Arial" w:cs="Arial"/>
          <w:b/>
          <w:bCs/>
          <w:sz w:val="22"/>
        </w:rPr>
        <w:t xml:space="preserve">Andrés Felipe Goez Pareja </w:t>
      </w:r>
    </w:p>
    <w:p w14:paraId="760E1010" w14:textId="265805D3" w:rsidR="001554CA" w:rsidRDefault="009E05ED" w:rsidP="001554CA">
      <w:pPr>
        <w:rPr>
          <w:rFonts w:ascii="Arial" w:eastAsia="Calibri" w:hAnsi="Arial" w:cs="Arial"/>
          <w:sz w:val="22"/>
        </w:rPr>
      </w:pPr>
      <w:r>
        <w:rPr>
          <w:rFonts w:ascii="Arial" w:eastAsia="Calibri" w:hAnsi="Arial" w:cs="Arial"/>
          <w:sz w:val="22"/>
        </w:rPr>
        <w:t>Envigado</w:t>
      </w:r>
    </w:p>
    <w:p w14:paraId="447C86AB" w14:textId="77777777" w:rsidR="00F41D27" w:rsidRPr="00AC2EB0" w:rsidRDefault="00F41D27" w:rsidP="001554CA">
      <w:pPr>
        <w:rPr>
          <w:rFonts w:ascii="Arial" w:eastAsia="Calibri" w:hAnsi="Arial" w:cs="Arial"/>
          <w:sz w:val="22"/>
        </w:rPr>
      </w:pPr>
    </w:p>
    <w:p w14:paraId="148B29BB" w14:textId="403BAB5E" w:rsidR="001554CA" w:rsidRDefault="001554CA" w:rsidP="00F80B2E">
      <w:pPr>
        <w:jc w:val="center"/>
        <w:rPr>
          <w:rFonts w:ascii="Arial" w:eastAsia="Calibri" w:hAnsi="Arial" w:cs="Arial"/>
          <w:b/>
          <w:sz w:val="22"/>
        </w:rPr>
      </w:pPr>
      <w:r w:rsidRPr="00AC2EB0">
        <w:rPr>
          <w:rFonts w:ascii="Arial" w:eastAsia="Calibri" w:hAnsi="Arial" w:cs="Arial"/>
          <w:b/>
          <w:sz w:val="22"/>
        </w:rPr>
        <w:t>Concepto C</w:t>
      </w:r>
      <w:r>
        <w:rPr>
          <w:rFonts w:ascii="Arial" w:eastAsia="Calibri" w:hAnsi="Arial" w:cs="Arial"/>
          <w:b/>
          <w:sz w:val="22"/>
        </w:rPr>
        <w:t>−</w:t>
      </w:r>
      <w:r w:rsidR="009E05ED">
        <w:rPr>
          <w:rFonts w:ascii="Arial" w:eastAsia="Calibri" w:hAnsi="Arial" w:cs="Arial"/>
          <w:b/>
          <w:sz w:val="22"/>
        </w:rPr>
        <w:t>6</w:t>
      </w:r>
      <w:r w:rsidR="00DD0082">
        <w:rPr>
          <w:rFonts w:ascii="Arial" w:eastAsia="Calibri" w:hAnsi="Arial" w:cs="Arial"/>
          <w:b/>
          <w:sz w:val="22"/>
        </w:rPr>
        <w:t>70</w:t>
      </w:r>
      <w:r>
        <w:rPr>
          <w:rFonts w:ascii="Arial" w:eastAsia="Calibri" w:hAnsi="Arial" w:cs="Arial"/>
          <w:b/>
          <w:sz w:val="22"/>
        </w:rPr>
        <w:t xml:space="preserve"> </w:t>
      </w:r>
      <w:r w:rsidRPr="00AC2EB0">
        <w:rPr>
          <w:rFonts w:ascii="Arial" w:eastAsia="Calibri" w:hAnsi="Arial" w:cs="Arial"/>
          <w:b/>
          <w:sz w:val="22"/>
        </w:rPr>
        <w:t>de 202</w:t>
      </w:r>
      <w:r>
        <w:rPr>
          <w:rFonts w:ascii="Arial" w:eastAsia="Calibri" w:hAnsi="Arial" w:cs="Arial"/>
          <w:b/>
          <w:sz w:val="22"/>
        </w:rPr>
        <w:t>1</w:t>
      </w:r>
    </w:p>
    <w:p w14:paraId="3C46F7A8" w14:textId="77777777" w:rsidR="00016992" w:rsidRDefault="00016992" w:rsidP="001554CA">
      <w:pPr>
        <w:rPr>
          <w:rFonts w:ascii="Arial" w:eastAsia="Calibri" w:hAnsi="Arial" w:cs="Arial"/>
          <w:b/>
          <w:sz w:val="22"/>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9"/>
        <w:gridCol w:w="5920"/>
      </w:tblGrid>
      <w:tr w:rsidR="001554CA" w:rsidRPr="00AC2EB0" w14:paraId="7DC0C14A" w14:textId="77777777" w:rsidTr="00F80B2E">
        <w:trPr>
          <w:trHeight w:val="1040"/>
        </w:trPr>
        <w:tc>
          <w:tcPr>
            <w:tcW w:w="2869" w:type="dxa"/>
          </w:tcPr>
          <w:p w14:paraId="79E5F3D0" w14:textId="1EBB54B2" w:rsidR="001554CA" w:rsidRPr="00AC2EB0" w:rsidRDefault="001554CA" w:rsidP="00EC01FD">
            <w:pPr>
              <w:rPr>
                <w:rFonts w:ascii="Arial" w:eastAsia="Calibri" w:hAnsi="Arial" w:cs="Arial"/>
                <w:sz w:val="22"/>
              </w:rPr>
            </w:pPr>
            <w:r w:rsidRPr="00AC2EB0">
              <w:rPr>
                <w:rFonts w:ascii="Arial" w:eastAsia="Calibri" w:hAnsi="Arial" w:cs="Arial"/>
                <w:b/>
                <w:sz w:val="22"/>
              </w:rPr>
              <w:t>Temas:</w:t>
            </w:r>
            <w:r w:rsidR="007D69D3">
              <w:rPr>
                <w:rFonts w:ascii="Arial" w:eastAsia="Calibri" w:hAnsi="Arial" w:cs="Arial"/>
                <w:sz w:val="22"/>
              </w:rPr>
              <w:t xml:space="preserve">     </w:t>
            </w:r>
          </w:p>
          <w:p w14:paraId="05C77252" w14:textId="163574DF" w:rsidR="001554CA" w:rsidRPr="00AC2EB0" w:rsidRDefault="007D69D3" w:rsidP="00EC01FD">
            <w:pPr>
              <w:rPr>
                <w:rFonts w:ascii="Arial" w:eastAsia="Calibri" w:hAnsi="Arial" w:cs="Arial"/>
                <w:sz w:val="22"/>
              </w:rPr>
            </w:pPr>
            <w:r>
              <w:rPr>
                <w:rFonts w:ascii="Arial" w:eastAsia="Calibri" w:hAnsi="Arial" w:cs="Arial"/>
                <w:sz w:val="22"/>
              </w:rPr>
              <w:t xml:space="preserve">             </w:t>
            </w:r>
          </w:p>
        </w:tc>
        <w:tc>
          <w:tcPr>
            <w:tcW w:w="5920" w:type="dxa"/>
          </w:tcPr>
          <w:p w14:paraId="784E700E" w14:textId="4217FFA8" w:rsidR="00FD7933" w:rsidRPr="00FD7933" w:rsidRDefault="00CA3863" w:rsidP="00F80B2E">
            <w:pPr>
              <w:jc w:val="both"/>
              <w:rPr>
                <w:rFonts w:ascii="Arial" w:hAnsi="Arial" w:cs="Arial"/>
                <w:sz w:val="22"/>
              </w:rPr>
            </w:pPr>
            <w:r w:rsidRPr="00CA3863">
              <w:rPr>
                <w:rFonts w:ascii="Arial" w:hAnsi="Arial" w:cs="Arial"/>
                <w:sz w:val="22"/>
              </w:rPr>
              <w:t xml:space="preserve">LEY DE GARANTÍAS ELECTORALES – Alcance / LEY DE GARANTÍAS ELECTORALES – Restricciones a la compra pública / DESTINATARIOS – Artículo 33 Ley 996 de 2005 – Ley de Garantías </w:t>
            </w:r>
            <w:r w:rsidR="00861232">
              <w:rPr>
                <w:rFonts w:ascii="Arial" w:hAnsi="Arial" w:cs="Arial"/>
                <w:sz w:val="22"/>
              </w:rPr>
              <w:t>/</w:t>
            </w:r>
            <w:r>
              <w:rPr>
                <w:rFonts w:ascii="Arial" w:hAnsi="Arial" w:cs="Arial"/>
                <w:sz w:val="22"/>
              </w:rPr>
              <w:t xml:space="preserve"> </w:t>
            </w:r>
            <w:r w:rsidR="004F60FB" w:rsidRPr="004F60FB">
              <w:rPr>
                <w:rFonts w:ascii="Arial" w:hAnsi="Arial" w:cs="Arial"/>
                <w:sz w:val="22"/>
              </w:rPr>
              <w:t xml:space="preserve">CONVENIO DE ASOCIACIÓN </w:t>
            </w:r>
            <w:r w:rsidR="004929BE">
              <w:rPr>
                <w:rFonts w:ascii="Arial" w:hAnsi="Arial" w:cs="Arial"/>
                <w:sz w:val="22"/>
              </w:rPr>
              <w:t>–</w:t>
            </w:r>
            <w:r w:rsidR="004F60FB" w:rsidRPr="004F60FB">
              <w:rPr>
                <w:rFonts w:ascii="Arial" w:hAnsi="Arial" w:cs="Arial"/>
                <w:sz w:val="22"/>
              </w:rPr>
              <w:t xml:space="preserve"> </w:t>
            </w:r>
            <w:r w:rsidR="004929BE">
              <w:rPr>
                <w:rFonts w:ascii="Arial" w:hAnsi="Arial" w:cs="Arial"/>
                <w:sz w:val="22"/>
              </w:rPr>
              <w:t>A</w:t>
            </w:r>
            <w:r w:rsidR="004F60FB" w:rsidRPr="004F60FB">
              <w:rPr>
                <w:rFonts w:ascii="Arial" w:hAnsi="Arial" w:cs="Arial"/>
                <w:sz w:val="22"/>
              </w:rPr>
              <w:t>rtículo 5 del Decreto 092 de 2017</w:t>
            </w:r>
            <w:r w:rsidR="004929BE">
              <w:rPr>
                <w:rFonts w:ascii="Arial" w:hAnsi="Arial" w:cs="Arial"/>
                <w:sz w:val="22"/>
              </w:rPr>
              <w:t xml:space="preserve"> –</w:t>
            </w:r>
            <w:r w:rsidR="004F60FB" w:rsidRPr="004F60FB">
              <w:rPr>
                <w:rFonts w:ascii="Arial" w:hAnsi="Arial" w:cs="Arial"/>
                <w:sz w:val="22"/>
              </w:rPr>
              <w:t xml:space="preserve"> Restricción de contratación directa</w:t>
            </w:r>
          </w:p>
          <w:p w14:paraId="4F795BBA" w14:textId="742DC9F6" w:rsidR="001554CA" w:rsidRPr="00AC2EB0" w:rsidRDefault="001554CA" w:rsidP="00CE04BD">
            <w:pPr>
              <w:spacing w:after="120"/>
              <w:jc w:val="both"/>
              <w:rPr>
                <w:rFonts w:ascii="Arial" w:eastAsia="Calibri" w:hAnsi="Arial" w:cs="Arial"/>
                <w:bCs/>
                <w:sz w:val="22"/>
              </w:rPr>
            </w:pPr>
          </w:p>
        </w:tc>
      </w:tr>
      <w:tr w:rsidR="001554CA" w:rsidRPr="00AC2EB0" w14:paraId="61BA164D" w14:textId="77777777" w:rsidTr="00F80B2E">
        <w:trPr>
          <w:trHeight w:val="370"/>
        </w:trPr>
        <w:tc>
          <w:tcPr>
            <w:tcW w:w="2869" w:type="dxa"/>
          </w:tcPr>
          <w:p w14:paraId="66C4221A" w14:textId="348ED430" w:rsidR="001554CA" w:rsidRPr="003D6F18" w:rsidRDefault="001554CA" w:rsidP="00A47FA3">
            <w:pPr>
              <w:rPr>
                <w:rFonts w:ascii="Arial" w:eastAsia="Calibri" w:hAnsi="Arial" w:cs="Arial"/>
                <w:b/>
                <w:sz w:val="22"/>
              </w:rPr>
            </w:pPr>
            <w:r w:rsidRPr="003D6F18">
              <w:rPr>
                <w:rFonts w:ascii="Arial" w:eastAsia="Calibri" w:hAnsi="Arial" w:cs="Arial"/>
                <w:b/>
                <w:sz w:val="22"/>
              </w:rPr>
              <w:t>Radicación:</w:t>
            </w:r>
            <w:r w:rsidR="007D69D3">
              <w:rPr>
                <w:rFonts w:ascii="Arial" w:eastAsia="Calibri" w:hAnsi="Arial" w:cs="Arial"/>
                <w:sz w:val="22"/>
              </w:rPr>
              <w:t xml:space="preserve">               </w:t>
            </w:r>
          </w:p>
        </w:tc>
        <w:tc>
          <w:tcPr>
            <w:tcW w:w="5920" w:type="dxa"/>
          </w:tcPr>
          <w:p w14:paraId="522B1661" w14:textId="09EF39B5" w:rsidR="00C34479" w:rsidRPr="00C34479" w:rsidRDefault="001554CA" w:rsidP="00C34479">
            <w:pPr>
              <w:jc w:val="both"/>
              <w:rPr>
                <w:rFonts w:ascii="Arial" w:eastAsia="Calibri" w:hAnsi="Arial" w:cs="Arial"/>
                <w:sz w:val="22"/>
              </w:rPr>
            </w:pPr>
            <w:r w:rsidRPr="003D6F18">
              <w:rPr>
                <w:rFonts w:ascii="Arial" w:eastAsia="Calibri" w:hAnsi="Arial" w:cs="Arial"/>
                <w:sz w:val="22"/>
              </w:rPr>
              <w:t xml:space="preserve">Respuesta a consulta # </w:t>
            </w:r>
            <w:r w:rsidR="009E05ED" w:rsidRPr="009E05ED">
              <w:rPr>
                <w:rFonts w:ascii="Arial" w:eastAsia="Calibri" w:hAnsi="Arial" w:cs="Arial"/>
                <w:sz w:val="22"/>
                <w:lang w:val="es-CO"/>
              </w:rPr>
              <w:t>P20211118010693​</w:t>
            </w:r>
          </w:p>
          <w:p w14:paraId="6D90A941" w14:textId="63A1EA7B" w:rsidR="001554CA" w:rsidRPr="00A47FA3" w:rsidRDefault="001554CA" w:rsidP="00A47FA3">
            <w:pPr>
              <w:jc w:val="both"/>
              <w:rPr>
                <w:rFonts w:ascii="Arial" w:eastAsia="Calibri" w:hAnsi="Arial" w:cs="Arial"/>
                <w:sz w:val="20"/>
                <w:szCs w:val="20"/>
              </w:rPr>
            </w:pPr>
          </w:p>
        </w:tc>
      </w:tr>
    </w:tbl>
    <w:p w14:paraId="601B8E3B" w14:textId="77777777" w:rsidR="00F41D27" w:rsidRDefault="00F41D27" w:rsidP="00A47FA3">
      <w:pPr>
        <w:rPr>
          <w:rFonts w:ascii="Arial" w:eastAsia="Calibri" w:hAnsi="Arial" w:cs="Arial"/>
          <w:sz w:val="22"/>
        </w:rPr>
      </w:pPr>
    </w:p>
    <w:p w14:paraId="3AF67332" w14:textId="31EA19AF" w:rsidR="001554CA" w:rsidRPr="00AC2EB0" w:rsidRDefault="001554CA" w:rsidP="00A47FA3">
      <w:pPr>
        <w:rPr>
          <w:rFonts w:ascii="Arial" w:eastAsia="Calibri" w:hAnsi="Arial" w:cs="Arial"/>
          <w:sz w:val="22"/>
        </w:rPr>
      </w:pPr>
      <w:r w:rsidRPr="00AC2EB0">
        <w:rPr>
          <w:rFonts w:ascii="Arial" w:eastAsia="Calibri" w:hAnsi="Arial" w:cs="Arial"/>
          <w:sz w:val="22"/>
        </w:rPr>
        <w:t>Estimad</w:t>
      </w:r>
      <w:r>
        <w:rPr>
          <w:rFonts w:ascii="Arial" w:eastAsia="Calibri" w:hAnsi="Arial" w:cs="Arial"/>
          <w:sz w:val="22"/>
        </w:rPr>
        <w:t xml:space="preserve">o señor </w:t>
      </w:r>
      <w:r w:rsidR="00C41627">
        <w:rPr>
          <w:rFonts w:ascii="Arial" w:hAnsi="Arial" w:cs="Arial"/>
          <w:sz w:val="22"/>
        </w:rPr>
        <w:t>Quintero</w:t>
      </w:r>
      <w:r w:rsidR="00C41627">
        <w:rPr>
          <w:rFonts w:ascii="Arial" w:eastAsia="Calibri" w:hAnsi="Arial" w:cs="Arial"/>
          <w:sz w:val="22"/>
        </w:rPr>
        <w:t>,</w:t>
      </w:r>
    </w:p>
    <w:p w14:paraId="1BAE1C3C" w14:textId="77777777" w:rsidR="001554CA" w:rsidRPr="00AC2EB0" w:rsidRDefault="001554CA" w:rsidP="001554CA">
      <w:pPr>
        <w:spacing w:line="276" w:lineRule="auto"/>
        <w:rPr>
          <w:rFonts w:ascii="Arial" w:eastAsia="Calibri" w:hAnsi="Arial" w:cs="Arial"/>
          <w:sz w:val="22"/>
        </w:rPr>
      </w:pPr>
    </w:p>
    <w:p w14:paraId="017DDFD3" w14:textId="40BA8D6E" w:rsidR="001554CA" w:rsidRPr="00AC2EB0" w:rsidRDefault="001554CA" w:rsidP="001554CA">
      <w:pPr>
        <w:spacing w:line="276" w:lineRule="auto"/>
        <w:jc w:val="both"/>
        <w:rPr>
          <w:rFonts w:ascii="Arial" w:eastAsia="Calibri" w:hAnsi="Arial" w:cs="Arial"/>
          <w:sz w:val="22"/>
        </w:rPr>
      </w:pPr>
      <w:bookmarkStart w:id="0" w:name="_Hlk44427398"/>
      <w:r w:rsidRPr="00AC2EB0">
        <w:rPr>
          <w:rFonts w:ascii="Arial" w:eastAsia="Calibri" w:hAnsi="Arial" w:cs="Arial"/>
          <w:sz w:val="22"/>
        </w:rPr>
        <w:t xml:space="preserve">La Agencia Nacional de Contratación Pública </w:t>
      </w:r>
      <w:r>
        <w:rPr>
          <w:rFonts w:ascii="Arial" w:eastAsia="Calibri" w:hAnsi="Arial" w:cs="Arial"/>
          <w:sz w:val="22"/>
        </w:rPr>
        <w:t xml:space="preserve">– </w:t>
      </w:r>
      <w:r w:rsidRPr="00AC2EB0">
        <w:rPr>
          <w:rFonts w:ascii="Arial" w:eastAsia="Calibri" w:hAnsi="Arial" w:cs="Arial"/>
          <w:sz w:val="22"/>
        </w:rPr>
        <w:t>Colombia Compra Eficiente</w:t>
      </w:r>
      <w:r w:rsidR="009E05ED">
        <w:rPr>
          <w:rFonts w:ascii="Arial" w:eastAsia="Calibri" w:hAnsi="Arial" w:cs="Arial"/>
          <w:sz w:val="22"/>
        </w:rPr>
        <w:t>,</w:t>
      </w:r>
      <w:r w:rsidR="009E05ED" w:rsidRPr="009E05ED">
        <w:rPr>
          <w:rFonts w:ascii="Arial" w:eastAsia="Calibri" w:hAnsi="Arial" w:cs="Arial"/>
          <w:sz w:val="22"/>
        </w:rPr>
        <w:t xml:space="preserve"> </w:t>
      </w:r>
      <w:r w:rsidR="009E05ED" w:rsidRPr="00AC2EB0">
        <w:rPr>
          <w:rFonts w:ascii="Arial" w:eastAsia="Calibri" w:hAnsi="Arial" w:cs="Arial"/>
          <w:sz w:val="22"/>
        </w:rPr>
        <w:t>en ejercicio de la competencia otorgada por el numeral 8 del artículo 11 y el numeral 5 del artículo 3 del Decreto Ley 4170 de 2011</w:t>
      </w:r>
      <w:r w:rsidR="009E05ED">
        <w:rPr>
          <w:rFonts w:ascii="Arial" w:eastAsia="Calibri" w:hAnsi="Arial" w:cs="Arial"/>
          <w:sz w:val="22"/>
        </w:rPr>
        <w:t>,</w:t>
      </w:r>
      <w:r w:rsidRPr="00AC2EB0">
        <w:rPr>
          <w:rFonts w:ascii="Arial" w:eastAsia="Calibri" w:hAnsi="Arial" w:cs="Arial"/>
          <w:sz w:val="22"/>
        </w:rPr>
        <w:t xml:space="preserve"> responde su consulta del</w:t>
      </w:r>
      <w:r>
        <w:rPr>
          <w:rFonts w:ascii="Arial" w:eastAsia="Calibri" w:hAnsi="Arial" w:cs="Arial"/>
          <w:sz w:val="22"/>
        </w:rPr>
        <w:t xml:space="preserve"> </w:t>
      </w:r>
      <w:r w:rsidR="009E05ED">
        <w:rPr>
          <w:rFonts w:ascii="Arial" w:eastAsia="Calibri" w:hAnsi="Arial" w:cs="Arial"/>
          <w:sz w:val="22"/>
        </w:rPr>
        <w:t>18</w:t>
      </w:r>
      <w:r>
        <w:rPr>
          <w:rFonts w:ascii="Arial" w:eastAsia="Calibri" w:hAnsi="Arial" w:cs="Arial"/>
          <w:sz w:val="22"/>
        </w:rPr>
        <w:t xml:space="preserve"> de </w:t>
      </w:r>
      <w:r w:rsidR="009E05ED">
        <w:rPr>
          <w:rFonts w:ascii="Arial" w:eastAsia="Calibri" w:hAnsi="Arial" w:cs="Arial"/>
          <w:sz w:val="22"/>
        </w:rPr>
        <w:t>noviembre</w:t>
      </w:r>
      <w:r>
        <w:rPr>
          <w:rFonts w:ascii="Arial" w:eastAsia="Calibri" w:hAnsi="Arial" w:cs="Arial"/>
          <w:sz w:val="22"/>
        </w:rPr>
        <w:t xml:space="preserve"> de 2021</w:t>
      </w:r>
      <w:r w:rsidR="009E05ED">
        <w:rPr>
          <w:rFonts w:ascii="Arial" w:eastAsia="Calibri" w:hAnsi="Arial" w:cs="Arial"/>
          <w:sz w:val="22"/>
        </w:rPr>
        <w:t>.</w:t>
      </w:r>
      <w:r w:rsidRPr="00AC2EB0">
        <w:rPr>
          <w:rFonts w:ascii="Arial" w:eastAsia="Calibri" w:hAnsi="Arial" w:cs="Arial"/>
          <w:sz w:val="22"/>
        </w:rPr>
        <w:t xml:space="preserve"> </w:t>
      </w:r>
    </w:p>
    <w:p w14:paraId="550053B4" w14:textId="77777777" w:rsidR="001554CA" w:rsidRPr="00AC2EB0" w:rsidRDefault="001554CA" w:rsidP="001554CA">
      <w:pPr>
        <w:pStyle w:val="Prrafodelista"/>
        <w:tabs>
          <w:tab w:val="left" w:pos="284"/>
        </w:tabs>
        <w:spacing w:line="276" w:lineRule="auto"/>
        <w:ind w:left="0"/>
        <w:contextualSpacing w:val="0"/>
        <w:jc w:val="both"/>
        <w:rPr>
          <w:rFonts w:ascii="Arial" w:eastAsia="Calibri" w:hAnsi="Arial" w:cs="Arial"/>
          <w:b/>
          <w:sz w:val="22"/>
        </w:rPr>
      </w:pPr>
    </w:p>
    <w:bookmarkEnd w:id="0"/>
    <w:p w14:paraId="0898071F" w14:textId="77777777" w:rsidR="001554CA" w:rsidRPr="00AC2EB0" w:rsidRDefault="001554CA" w:rsidP="001554CA">
      <w:pPr>
        <w:pStyle w:val="Prrafodelista"/>
        <w:numPr>
          <w:ilvl w:val="0"/>
          <w:numId w:val="1"/>
        </w:numPr>
        <w:tabs>
          <w:tab w:val="left" w:pos="284"/>
        </w:tabs>
        <w:spacing w:line="276" w:lineRule="auto"/>
        <w:ind w:left="0" w:firstLine="0"/>
        <w:contextualSpacing w:val="0"/>
        <w:jc w:val="both"/>
        <w:rPr>
          <w:rFonts w:ascii="Arial" w:eastAsia="Calibri" w:hAnsi="Arial" w:cs="Arial"/>
          <w:b/>
          <w:sz w:val="22"/>
        </w:rPr>
      </w:pPr>
      <w:r w:rsidRPr="00AC2EB0">
        <w:rPr>
          <w:rFonts w:ascii="Arial" w:eastAsia="Calibri" w:hAnsi="Arial" w:cs="Arial"/>
          <w:b/>
          <w:sz w:val="22"/>
        </w:rPr>
        <w:t xml:space="preserve">Problemas planteados </w:t>
      </w:r>
    </w:p>
    <w:p w14:paraId="75F15640" w14:textId="77777777" w:rsidR="00116D08" w:rsidRDefault="00116D08" w:rsidP="00C41627">
      <w:pPr>
        <w:pStyle w:val="Sinespaciado"/>
        <w:spacing w:line="276" w:lineRule="auto"/>
        <w:jc w:val="both"/>
        <w:rPr>
          <w:rFonts w:ascii="Arial" w:hAnsi="Arial" w:cs="Arial"/>
          <w:bCs/>
          <w:sz w:val="22"/>
          <w:shd w:val="clear" w:color="auto" w:fill="FFFFFF"/>
        </w:rPr>
      </w:pPr>
    </w:p>
    <w:p w14:paraId="5E9F62E6" w14:textId="6723D434" w:rsidR="001554CA" w:rsidRPr="00C41627" w:rsidRDefault="009E05ED" w:rsidP="00C41627">
      <w:pPr>
        <w:pStyle w:val="Sinespaciado"/>
        <w:spacing w:line="276" w:lineRule="auto"/>
        <w:jc w:val="both"/>
        <w:rPr>
          <w:rFonts w:ascii="Arial" w:hAnsi="Arial" w:cs="Arial"/>
          <w:bCs/>
          <w:sz w:val="22"/>
          <w:shd w:val="clear" w:color="auto" w:fill="FFFFFF"/>
        </w:rPr>
      </w:pPr>
      <w:r>
        <w:rPr>
          <w:rFonts w:ascii="Arial" w:hAnsi="Arial" w:cs="Arial"/>
          <w:bCs/>
          <w:sz w:val="22"/>
          <w:shd w:val="clear" w:color="auto" w:fill="FFFFFF"/>
        </w:rPr>
        <w:t>Frente a la aplicación del artículo 33 de la Ley de Garantías Electorales, u</w:t>
      </w:r>
      <w:r w:rsidR="00116D08">
        <w:rPr>
          <w:rFonts w:ascii="Arial" w:hAnsi="Arial" w:cs="Arial"/>
          <w:bCs/>
          <w:sz w:val="22"/>
          <w:shd w:val="clear" w:color="auto" w:fill="FFFFFF"/>
        </w:rPr>
        <w:t>sted formuló la siguiente pregunta</w:t>
      </w:r>
      <w:r>
        <w:rPr>
          <w:rFonts w:ascii="Arial" w:hAnsi="Arial" w:cs="Arial"/>
          <w:bCs/>
          <w:sz w:val="22"/>
          <w:shd w:val="clear" w:color="auto" w:fill="FFFFFF"/>
        </w:rPr>
        <w:t>,</w:t>
      </w:r>
      <w:r w:rsidR="00116D08">
        <w:rPr>
          <w:rFonts w:ascii="Arial" w:hAnsi="Arial" w:cs="Arial"/>
          <w:bCs/>
          <w:sz w:val="22"/>
          <w:shd w:val="clear" w:color="auto" w:fill="FFFFFF"/>
        </w:rPr>
        <w:t>:</w:t>
      </w:r>
      <w:r w:rsidR="00F41D27">
        <w:rPr>
          <w:rFonts w:ascii="Arial" w:hAnsi="Arial" w:cs="Arial"/>
          <w:bCs/>
          <w:sz w:val="22"/>
          <w:shd w:val="clear" w:color="auto" w:fill="FFFFFF"/>
        </w:rPr>
        <w:t xml:space="preserve"> «</w:t>
      </w:r>
      <w:r w:rsidR="00116D08">
        <w:rPr>
          <w:rFonts w:ascii="Arial" w:hAnsi="Arial" w:cs="Arial"/>
          <w:bCs/>
          <w:sz w:val="22"/>
          <w:shd w:val="clear" w:color="auto" w:fill="FFFFFF"/>
        </w:rPr>
        <w:t>[…]</w:t>
      </w:r>
      <w:r w:rsidRPr="009E05ED">
        <w:t xml:space="preserve"> </w:t>
      </w:r>
      <w:r w:rsidRPr="009E05ED">
        <w:rPr>
          <w:rFonts w:ascii="Arial" w:hAnsi="Arial" w:cs="Arial"/>
          <w:bCs/>
          <w:sz w:val="22"/>
          <w:shd w:val="clear" w:color="auto" w:fill="FFFFFF"/>
        </w:rPr>
        <w:t>se solicita aclarar si dentro de esta restricción se encuentran cobijados los Contratos y/o Convenio de Asociación suscritos con Entidades Sin Ánimo de Lucro para Cumplir Actividades Propias de las Entidades Estatales, cuando éstas comprometen recursos en dinero para la ejecución de dichas actividades en una proporción no inferior al 30% del valor del Convenio</w:t>
      </w:r>
      <w:r>
        <w:rPr>
          <w:rFonts w:ascii="Arial" w:hAnsi="Arial" w:cs="Arial"/>
          <w:bCs/>
          <w:sz w:val="22"/>
          <w:shd w:val="clear" w:color="auto" w:fill="FFFFFF"/>
        </w:rPr>
        <w:t xml:space="preserve">. […) </w:t>
      </w:r>
      <w:r w:rsidRPr="009E05ED">
        <w:rPr>
          <w:rFonts w:ascii="Arial" w:hAnsi="Arial" w:cs="Arial"/>
          <w:bCs/>
          <w:sz w:val="22"/>
          <w:shd w:val="clear" w:color="auto" w:fill="FFFFFF"/>
        </w:rPr>
        <w:t>Al no existir proceso competitivo en estos casos, ¿se entiende que es una contratación directa, pese a no encontrarse dentro de las causales de contratación directa establecidas en la Ley 80 de 1993 y el Decreto 1082 de 2015?</w:t>
      </w:r>
      <w:r w:rsidR="00F41D27">
        <w:rPr>
          <w:rFonts w:ascii="Arial" w:hAnsi="Arial" w:cs="Arial"/>
          <w:bCs/>
          <w:sz w:val="22"/>
          <w:shd w:val="clear" w:color="auto" w:fill="FFFFFF"/>
        </w:rPr>
        <w:t>»</w:t>
      </w:r>
      <w:r w:rsidR="00C41627">
        <w:rPr>
          <w:rFonts w:ascii="Arial" w:hAnsi="Arial" w:cs="Arial"/>
          <w:bCs/>
          <w:sz w:val="22"/>
          <w:shd w:val="clear" w:color="auto" w:fill="FFFFFF"/>
        </w:rPr>
        <w:t>.</w:t>
      </w:r>
    </w:p>
    <w:p w14:paraId="24E53470" w14:textId="77777777" w:rsidR="00585F75" w:rsidRPr="00AC2EB0" w:rsidRDefault="00585F75" w:rsidP="001554CA">
      <w:pPr>
        <w:pStyle w:val="Sinespaciado"/>
        <w:spacing w:line="276" w:lineRule="auto"/>
        <w:jc w:val="both"/>
        <w:rPr>
          <w:rFonts w:ascii="Arial" w:eastAsia="Calibri" w:hAnsi="Arial" w:cs="Arial"/>
          <w:sz w:val="22"/>
        </w:rPr>
      </w:pPr>
    </w:p>
    <w:p w14:paraId="23A1F85C" w14:textId="77777777" w:rsidR="001554CA" w:rsidRPr="00AC2EB0" w:rsidRDefault="001554CA" w:rsidP="001554CA">
      <w:pPr>
        <w:pStyle w:val="Prrafodelista"/>
        <w:numPr>
          <w:ilvl w:val="0"/>
          <w:numId w:val="1"/>
        </w:numPr>
        <w:tabs>
          <w:tab w:val="left" w:pos="426"/>
        </w:tabs>
        <w:spacing w:line="276" w:lineRule="auto"/>
        <w:ind w:left="284" w:hanging="284"/>
        <w:contextualSpacing w:val="0"/>
        <w:jc w:val="both"/>
        <w:rPr>
          <w:rFonts w:ascii="Arial" w:eastAsia="Calibri" w:hAnsi="Arial" w:cs="Arial"/>
          <w:b/>
          <w:sz w:val="22"/>
        </w:rPr>
      </w:pPr>
      <w:r w:rsidRPr="00AC2EB0">
        <w:rPr>
          <w:rFonts w:ascii="Arial" w:eastAsia="Calibri" w:hAnsi="Arial" w:cs="Arial"/>
          <w:b/>
          <w:sz w:val="22"/>
        </w:rPr>
        <w:t>Consideraciones</w:t>
      </w:r>
    </w:p>
    <w:p w14:paraId="17C19CFE" w14:textId="77777777" w:rsidR="001554CA" w:rsidRPr="00AC2EB0" w:rsidRDefault="001554CA" w:rsidP="001554CA">
      <w:pPr>
        <w:tabs>
          <w:tab w:val="left" w:pos="426"/>
        </w:tabs>
        <w:spacing w:line="276" w:lineRule="auto"/>
        <w:jc w:val="both"/>
        <w:rPr>
          <w:rFonts w:ascii="Arial" w:eastAsia="Calibri" w:hAnsi="Arial" w:cs="Arial"/>
          <w:b/>
          <w:sz w:val="22"/>
        </w:rPr>
      </w:pPr>
    </w:p>
    <w:p w14:paraId="25D4855F" w14:textId="2DB7ABE5" w:rsidR="001554CA" w:rsidRPr="007F2C6D" w:rsidRDefault="001554CA" w:rsidP="00CE04BD">
      <w:pPr>
        <w:pStyle w:val="Textoindependiente"/>
        <w:spacing w:after="120" w:line="276" w:lineRule="auto"/>
        <w:jc w:val="both"/>
      </w:pPr>
      <w:r>
        <w:t>Para resolver la inquietud planteada se abordarán los siguientes temas:</w:t>
      </w:r>
      <w:r w:rsidR="004F60FB">
        <w:t xml:space="preserve"> </w:t>
      </w:r>
      <w:r w:rsidR="00B94562" w:rsidRPr="008756F3">
        <w:rPr>
          <w:rFonts w:eastAsia="Calibri"/>
          <w:bCs/>
          <w:lang w:eastAsia="en-US"/>
        </w:rPr>
        <w:t xml:space="preserve">i) definición y finalidad de la Ley de Garantías Electorales, ii) restricciones </w:t>
      </w:r>
      <w:r w:rsidR="00B94562" w:rsidRPr="008756F3">
        <w:rPr>
          <w:rFonts w:eastAsia="Calibri"/>
          <w:bCs/>
          <w:lang w:val="es-MX" w:eastAsia="en-US"/>
        </w:rPr>
        <w:t>para elecciones presidenciales, iii) destinatarios de la prohibición del artículo 33 de la Ley 996 de 2005</w:t>
      </w:r>
      <w:r w:rsidR="00B94562">
        <w:rPr>
          <w:rFonts w:eastAsia="Calibri"/>
          <w:bCs/>
          <w:lang w:val="es-MX" w:eastAsia="en-US"/>
        </w:rPr>
        <w:t xml:space="preserve"> </w:t>
      </w:r>
      <w:r w:rsidR="004929BE">
        <w:rPr>
          <w:rFonts w:eastAsia="Calibri"/>
          <w:bCs/>
          <w:lang w:val="es-MX" w:eastAsia="en-US"/>
        </w:rPr>
        <w:t xml:space="preserve">y </w:t>
      </w:r>
      <w:r w:rsidR="004F60FB">
        <w:t>vi</w:t>
      </w:r>
      <w:r w:rsidRPr="00267031">
        <w:t xml:space="preserve">) </w:t>
      </w:r>
      <w:r w:rsidR="004929BE">
        <w:t>los c</w:t>
      </w:r>
      <w:r w:rsidR="004F60FB" w:rsidRPr="004F60FB">
        <w:t xml:space="preserve">onvenios de asociación y </w:t>
      </w:r>
      <w:r w:rsidR="004929BE">
        <w:t xml:space="preserve">la </w:t>
      </w:r>
      <w:proofErr w:type="gramStart"/>
      <w:r w:rsidR="004F60FB" w:rsidRPr="004F60FB">
        <w:t>restricción  de</w:t>
      </w:r>
      <w:proofErr w:type="gramEnd"/>
      <w:r w:rsidR="004F60FB" w:rsidRPr="004F60FB">
        <w:t xml:space="preserve"> contratación directa de la Ley de Garantías</w:t>
      </w:r>
      <w:r w:rsidR="004929BE">
        <w:t xml:space="preserve"> Electorales</w:t>
      </w:r>
      <w:r w:rsidR="004F60FB">
        <w:t>.</w:t>
      </w:r>
      <w:r w:rsidR="007F2C6D">
        <w:t xml:space="preserve"> </w:t>
      </w:r>
    </w:p>
    <w:p w14:paraId="143213F7" w14:textId="77777777" w:rsidR="00B94562" w:rsidRDefault="00156A1A" w:rsidP="00436BDA">
      <w:pPr>
        <w:pStyle w:val="Textoindependiente"/>
        <w:spacing w:after="120" w:line="276" w:lineRule="auto"/>
        <w:ind w:firstLine="709"/>
        <w:jc w:val="both"/>
        <w:rPr>
          <w:shd w:val="clear" w:color="auto" w:fill="FFFFFF"/>
        </w:rPr>
      </w:pPr>
      <w:r w:rsidRPr="00FA37C6">
        <w:rPr>
          <w:shd w:val="clear" w:color="auto" w:fill="FFFFFF"/>
        </w:rPr>
        <w:lastRenderedPageBreak/>
        <w:t>La Agencia Nacional de Contratación Pública – Colombia Compra Eficiente</w:t>
      </w:r>
      <w:r w:rsidR="00B94562">
        <w:rPr>
          <w:shd w:val="clear" w:color="auto" w:fill="FFFFFF"/>
        </w:rPr>
        <w:t xml:space="preserve"> ha </w:t>
      </w:r>
      <w:r w:rsidR="00B94562" w:rsidRPr="00156A1A">
        <w:rPr>
          <w:shd w:val="clear" w:color="auto" w:fill="FFFFFF"/>
        </w:rPr>
        <w:t>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 C-381 del 2 de agosto de 2021</w:t>
      </w:r>
      <w:r w:rsidR="00B94562">
        <w:rPr>
          <w:shd w:val="clear" w:color="auto" w:fill="FFFFFF"/>
        </w:rPr>
        <w:t>,</w:t>
      </w:r>
      <w:r w:rsidR="00B94562" w:rsidRPr="00156A1A">
        <w:rPr>
          <w:shd w:val="clear" w:color="auto" w:fill="FFFFFF"/>
        </w:rPr>
        <w:t xml:space="preserve"> C-499 del 15 de septiembre de 2021</w:t>
      </w:r>
      <w:r w:rsidR="00B94562">
        <w:rPr>
          <w:shd w:val="clear" w:color="auto" w:fill="FFFFFF"/>
        </w:rPr>
        <w:t>, C-550 de 05 de octubre de 2021 y C-543 de 9 de noviembre de 2021.</w:t>
      </w:r>
    </w:p>
    <w:p w14:paraId="0944CC7D" w14:textId="0D40BB04" w:rsidR="00F41D27" w:rsidRPr="00B94562" w:rsidRDefault="00B94562" w:rsidP="00B94562">
      <w:pPr>
        <w:pStyle w:val="Textoindependiente"/>
        <w:spacing w:line="276" w:lineRule="auto"/>
        <w:ind w:firstLine="708"/>
        <w:jc w:val="both"/>
        <w:rPr>
          <w:shd w:val="clear" w:color="auto" w:fill="FFFFFF"/>
        </w:rPr>
      </w:pPr>
      <w:r>
        <w:rPr>
          <w:shd w:val="clear" w:color="auto" w:fill="FFFFFF"/>
        </w:rPr>
        <w:t>Igualmente, esta Agencia</w:t>
      </w:r>
      <w:r w:rsidRPr="00FA37C6">
        <w:rPr>
          <w:shd w:val="clear" w:color="auto" w:fill="FFFFFF"/>
        </w:rPr>
        <w:t xml:space="preserve"> </w:t>
      </w:r>
      <w:r w:rsidR="00156A1A" w:rsidRPr="00FA37C6">
        <w:rPr>
          <w:shd w:val="clear" w:color="auto" w:fill="FFFFFF"/>
        </w:rPr>
        <w:t>se ha pronunciado en diferentes conceptos sobre la contratación con 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del 8 de febrero de 2021, C-057 del 10 de marzo de 2021</w:t>
      </w:r>
      <w:r w:rsidR="00156A1A">
        <w:rPr>
          <w:shd w:val="clear" w:color="auto" w:fill="FFFFFF"/>
        </w:rPr>
        <w:t xml:space="preserve">, </w:t>
      </w:r>
      <w:r w:rsidR="00156A1A" w:rsidRPr="00FA37C6">
        <w:rPr>
          <w:shd w:val="clear" w:color="auto" w:fill="FFFFFF"/>
        </w:rPr>
        <w:t>C-280 del 15 de junio de 2021</w:t>
      </w:r>
      <w:r w:rsidR="00861232">
        <w:rPr>
          <w:shd w:val="clear" w:color="auto" w:fill="FFFFFF"/>
        </w:rPr>
        <w:t>, C-391 de 11 de agosto de 2021</w:t>
      </w:r>
      <w:r w:rsidR="00156A1A">
        <w:rPr>
          <w:shd w:val="clear" w:color="auto" w:fill="FFFFFF"/>
        </w:rPr>
        <w:t xml:space="preserve"> y C-560 de</w:t>
      </w:r>
      <w:r w:rsidR="004929BE">
        <w:rPr>
          <w:shd w:val="clear" w:color="auto" w:fill="FFFFFF"/>
        </w:rPr>
        <w:t>l</w:t>
      </w:r>
      <w:r w:rsidR="00156A1A">
        <w:rPr>
          <w:shd w:val="clear" w:color="auto" w:fill="FFFFFF"/>
        </w:rPr>
        <w:t xml:space="preserve"> 1 de septiembre de 2021</w:t>
      </w:r>
      <w:r w:rsidR="00156A1A" w:rsidRPr="00FA37C6">
        <w:rPr>
          <w:shd w:val="clear" w:color="auto" w:fill="FFFFFF"/>
        </w:rPr>
        <w:t>.</w:t>
      </w:r>
      <w:r>
        <w:rPr>
          <w:shd w:val="clear" w:color="auto" w:fill="FFFFFF"/>
        </w:rPr>
        <w:t xml:space="preserve"> </w:t>
      </w:r>
      <w:r w:rsidR="00F41D27" w:rsidRPr="00AF4643">
        <w:t xml:space="preserve">En lo pertinente, </w:t>
      </w:r>
      <w:r w:rsidR="00C23176" w:rsidRPr="00AF4643">
        <w:t>la</w:t>
      </w:r>
      <w:r w:rsidR="00C23176">
        <w:t>s</w:t>
      </w:r>
      <w:r w:rsidR="00C23176" w:rsidRPr="00AF4643">
        <w:t xml:space="preserve"> tesis desarrollada</w:t>
      </w:r>
      <w:r w:rsidR="00C23176">
        <w:t xml:space="preserve">s </w:t>
      </w:r>
      <w:r w:rsidR="00C23176" w:rsidRPr="00AF4643">
        <w:t>en estos conceptos se reiteran a continuación</w:t>
      </w:r>
      <w:r w:rsidR="00F41D27" w:rsidRPr="00AF4643">
        <w:t>.</w:t>
      </w:r>
    </w:p>
    <w:p w14:paraId="3B94B28B" w14:textId="77777777" w:rsidR="00C52FDD" w:rsidRDefault="00C52FDD" w:rsidP="001554CA">
      <w:pPr>
        <w:pStyle w:val="Textoindependiente"/>
        <w:spacing w:line="276" w:lineRule="auto"/>
        <w:jc w:val="both"/>
      </w:pPr>
    </w:p>
    <w:p w14:paraId="701F28EB" w14:textId="77777777" w:rsidR="00CA3863" w:rsidRPr="00CA3863" w:rsidRDefault="00CA3863" w:rsidP="00CA3863">
      <w:pPr>
        <w:tabs>
          <w:tab w:val="left" w:pos="426"/>
        </w:tabs>
        <w:spacing w:line="276" w:lineRule="auto"/>
        <w:jc w:val="both"/>
        <w:rPr>
          <w:rFonts w:ascii="Arial" w:eastAsia="Calibri" w:hAnsi="Arial" w:cs="Arial"/>
          <w:b/>
          <w:bCs/>
          <w:sz w:val="22"/>
          <w:lang w:val="es-CO"/>
        </w:rPr>
      </w:pPr>
      <w:r w:rsidRPr="00CA3863">
        <w:rPr>
          <w:rFonts w:ascii="Arial" w:eastAsia="Calibri" w:hAnsi="Arial" w:cs="Arial"/>
          <w:b/>
          <w:bCs/>
          <w:sz w:val="22"/>
          <w:lang w:val="es-CO"/>
        </w:rPr>
        <w:t>2.1. Definición y finalidad de la Ley de Garantías Electorales: alcance de las restricciones</w:t>
      </w:r>
    </w:p>
    <w:p w14:paraId="7671C57D" w14:textId="77777777" w:rsidR="00CA3863" w:rsidRPr="00CA3863" w:rsidRDefault="00CA3863" w:rsidP="00CA3863">
      <w:pPr>
        <w:tabs>
          <w:tab w:val="left" w:pos="426"/>
        </w:tabs>
        <w:spacing w:line="276" w:lineRule="auto"/>
        <w:ind w:firstLine="709"/>
        <w:jc w:val="both"/>
        <w:rPr>
          <w:rFonts w:ascii="Arial" w:eastAsia="Calibri" w:hAnsi="Arial" w:cs="Arial"/>
          <w:bCs/>
          <w:sz w:val="22"/>
          <w:lang w:val="es-CO"/>
        </w:rPr>
      </w:pPr>
    </w:p>
    <w:p w14:paraId="05B25203" w14:textId="77777777" w:rsidR="00CA3863" w:rsidRPr="00CA3863" w:rsidRDefault="00CA3863" w:rsidP="00CA3863">
      <w:pPr>
        <w:tabs>
          <w:tab w:val="left" w:pos="426"/>
        </w:tabs>
        <w:spacing w:after="120" w:line="276" w:lineRule="auto"/>
        <w:jc w:val="both"/>
        <w:rPr>
          <w:rFonts w:ascii="Arial" w:eastAsia="Times New Roman" w:hAnsi="Arial" w:cs="Arial"/>
          <w:bCs/>
          <w:sz w:val="22"/>
          <w:lang w:val="es-CO" w:eastAsia="es-CO"/>
        </w:rPr>
      </w:pPr>
      <w:r w:rsidRPr="00CA3863">
        <w:rPr>
          <w:rFonts w:ascii="Arial" w:eastAsia="Calibri" w:hAnsi="Arial" w:cs="Arial"/>
          <w:bCs/>
          <w:sz w:val="22"/>
          <w:lang w:val="es-CO"/>
        </w:rPr>
        <w:t>El ordenamiento jurídico colombiano contempla previsiones claras para evitar la obtención de beneficios personales en asuntos propios de la administración pública</w:t>
      </w:r>
      <w:r w:rsidRPr="00CA3863">
        <w:rPr>
          <w:rFonts w:ascii="Arial" w:eastAsia="Calibri" w:hAnsi="Arial" w:cs="Arial"/>
          <w:bCs/>
          <w:i/>
          <w:iCs/>
          <w:sz w:val="22"/>
          <w:lang w:val="es-CO"/>
        </w:rPr>
        <w:t xml:space="preserve">. </w:t>
      </w:r>
      <w:r w:rsidRPr="00CA3863">
        <w:rPr>
          <w:rFonts w:ascii="Arial" w:eastAsia="Calibri" w:hAnsi="Arial" w:cs="Arial"/>
          <w:bCs/>
          <w:sz w:val="22"/>
          <w:lang w:val="es-CO"/>
        </w:rPr>
        <w:t>Por ejemplo, el artículo 127 de la Constitución Política establece una prohibición contractual a los servidores públicos y en cuanto a aspectos políticos establece restricciones a ciertos empleados del Estado, incluso en época no electoral</w:t>
      </w:r>
      <w:r w:rsidRPr="00CA3863">
        <w:rPr>
          <w:rFonts w:ascii="Arial" w:eastAsia="Calibri" w:hAnsi="Arial" w:cs="Arial"/>
          <w:bCs/>
          <w:sz w:val="22"/>
          <w:vertAlign w:val="superscript"/>
          <w:lang w:val="es-CO"/>
        </w:rPr>
        <w:footnoteReference w:id="1"/>
      </w:r>
      <w:r w:rsidRPr="00CA3863">
        <w:rPr>
          <w:rFonts w:ascii="Arial" w:eastAsia="Calibri" w:hAnsi="Arial" w:cs="Arial"/>
          <w:bCs/>
          <w:sz w:val="22"/>
          <w:lang w:val="es-CO"/>
        </w:rPr>
        <w:t xml:space="preserve">. </w:t>
      </w:r>
    </w:p>
    <w:p w14:paraId="2500EB79" w14:textId="77777777" w:rsidR="00CA3863" w:rsidRPr="00CA3863" w:rsidRDefault="00CA3863" w:rsidP="00CA3863">
      <w:pPr>
        <w:tabs>
          <w:tab w:val="left" w:pos="426"/>
        </w:tabs>
        <w:spacing w:line="276" w:lineRule="auto"/>
        <w:ind w:firstLine="709"/>
        <w:jc w:val="both"/>
        <w:rPr>
          <w:rFonts w:ascii="Arial" w:eastAsia="Times New Roman" w:hAnsi="Arial" w:cs="Arial"/>
          <w:bCs/>
          <w:sz w:val="22"/>
          <w:lang w:eastAsia="es-CO"/>
        </w:rPr>
      </w:pPr>
      <w:r w:rsidRPr="00CA3863">
        <w:rPr>
          <w:rFonts w:ascii="Arial" w:eastAsia="Times New Roman" w:hAnsi="Arial" w:cs="Arial"/>
          <w:bCs/>
          <w:sz w:val="22"/>
          <w:lang w:val="es-CO" w:eastAsia="es-CO"/>
        </w:rPr>
        <w:lastRenderedPageBreak/>
        <w:t>En el mismo sentido</w:t>
      </w:r>
      <w:r w:rsidRPr="00CA3863">
        <w:rPr>
          <w:rFonts w:ascii="Arial" w:eastAsia="Times New Roman" w:hAnsi="Arial" w:cs="Arial"/>
          <w:bCs/>
          <w:sz w:val="22"/>
          <w:lang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A3863">
        <w:rPr>
          <w:rFonts w:ascii="Arial" w:eastAsia="Times New Roman" w:hAnsi="Arial" w:cs="Arial"/>
          <w:bCs/>
          <w:sz w:val="22"/>
          <w:vertAlign w:val="superscript"/>
          <w:lang w:eastAsia="es-CO"/>
        </w:rPr>
        <w:footnoteReference w:id="2"/>
      </w:r>
      <w:r w:rsidRPr="00CA3863">
        <w:rPr>
          <w:rFonts w:ascii="Arial" w:eastAsia="Times New Roman"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CA3863">
        <w:rPr>
          <w:rFonts w:ascii="Arial" w:eastAsia="Calibri" w:hAnsi="Arial" w:cs="Arial"/>
          <w:noProof/>
          <w:sz w:val="22"/>
          <w:lang w:val="es-ES_tradnl"/>
        </w:rPr>
        <w:t xml:space="preserve"> </w:t>
      </w:r>
      <w:r w:rsidRPr="00CA3863">
        <w:rPr>
          <w:rFonts w:ascii="Arial" w:eastAsia="Times New Roman" w:hAnsi="Arial" w:cs="Arial"/>
          <w:bCs/>
          <w:sz w:val="22"/>
          <w:lang w:eastAsia="es-CO"/>
        </w:rPr>
        <w:t>En armonía con lo anterior, la Corte Constitucional ha abordado la definición de la Ley de Garantías Electorales. De esta manera, explica que tiene como propósito:</w:t>
      </w:r>
    </w:p>
    <w:p w14:paraId="2F564525" w14:textId="77777777" w:rsidR="00CA3863" w:rsidRPr="00CA3863" w:rsidRDefault="00CA3863" w:rsidP="00CA3863">
      <w:pPr>
        <w:ind w:right="709"/>
        <w:jc w:val="both"/>
        <w:rPr>
          <w:rFonts w:ascii="Arial" w:eastAsia="Times New Roman" w:hAnsi="Arial" w:cs="Arial"/>
          <w:sz w:val="21"/>
          <w:szCs w:val="21"/>
          <w:lang w:val="es-ES" w:eastAsia="es-CO"/>
        </w:rPr>
      </w:pPr>
    </w:p>
    <w:p w14:paraId="1BA75B29" w14:textId="77777777" w:rsidR="00CA3863" w:rsidRPr="00CA3863" w:rsidRDefault="00CA3863" w:rsidP="00CA3863">
      <w:pPr>
        <w:ind w:left="709" w:right="709"/>
        <w:jc w:val="both"/>
        <w:rPr>
          <w:rFonts w:ascii="Arial" w:eastAsia="Times New Roman" w:hAnsi="Arial" w:cs="Arial"/>
          <w:bCs/>
          <w:sz w:val="21"/>
          <w:szCs w:val="21"/>
          <w:lang w:eastAsia="es-CO"/>
        </w:rPr>
      </w:pPr>
      <w:r w:rsidRPr="00CA3863">
        <w:rPr>
          <w:rFonts w:ascii="Arial" w:eastAsia="Times New Roman" w:hAnsi="Arial" w:cs="Arial"/>
          <w:sz w:val="21"/>
          <w:szCs w:val="21"/>
          <w:lang w:val="es-ES" w:eastAsia="es-CO"/>
        </w:rPr>
        <w:t xml:space="preserve">[…] </w:t>
      </w:r>
      <w:r w:rsidRPr="00CA386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60E8A4" w14:textId="77777777" w:rsidR="00CA3863" w:rsidRPr="00CA3863" w:rsidRDefault="00CA3863" w:rsidP="00CA3863">
      <w:pPr>
        <w:spacing w:after="120"/>
        <w:ind w:left="709" w:right="709"/>
        <w:jc w:val="both"/>
        <w:rPr>
          <w:rFonts w:ascii="Arial" w:eastAsia="Times New Roman" w:hAnsi="Arial" w:cs="Arial"/>
          <w:bCs/>
          <w:sz w:val="21"/>
          <w:szCs w:val="21"/>
          <w:lang w:eastAsia="es-CO"/>
        </w:rPr>
      </w:pPr>
      <w:r w:rsidRPr="00CA3863">
        <w:rPr>
          <w:rFonts w:ascii="Arial" w:eastAsia="Times New Roman" w:hAnsi="Arial" w:cs="Arial"/>
          <w:bCs/>
          <w:sz w:val="21"/>
          <w:szCs w:val="21"/>
          <w:lang w:eastAsia="es-CO"/>
        </w:rPr>
        <w:t xml:space="preserve">[…] </w:t>
      </w:r>
    </w:p>
    <w:p w14:paraId="66C9D6FC" w14:textId="77777777" w:rsidR="00CA3863" w:rsidRPr="00CA3863" w:rsidRDefault="00CA3863" w:rsidP="00CA3863">
      <w:pPr>
        <w:ind w:left="709" w:right="709"/>
        <w:jc w:val="both"/>
        <w:rPr>
          <w:rFonts w:ascii="Arial" w:eastAsia="Times New Roman" w:hAnsi="Arial" w:cs="Arial"/>
          <w:bCs/>
          <w:sz w:val="21"/>
          <w:szCs w:val="21"/>
          <w:lang w:eastAsia="es-CO"/>
        </w:rPr>
      </w:pPr>
      <w:r w:rsidRPr="00CA3863">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A3863">
        <w:rPr>
          <w:rFonts w:ascii="Arial" w:hAnsi="Arial" w:cs="Arial"/>
          <w:sz w:val="20"/>
          <w:szCs w:val="20"/>
          <w:vertAlign w:val="superscript"/>
        </w:rPr>
        <w:footnoteReference w:id="3"/>
      </w:r>
    </w:p>
    <w:p w14:paraId="684961AE" w14:textId="77777777" w:rsidR="00CA3863" w:rsidRPr="00CA3863" w:rsidRDefault="00CA3863" w:rsidP="00CA3863">
      <w:pPr>
        <w:spacing w:line="276" w:lineRule="auto"/>
        <w:ind w:left="709" w:right="709"/>
        <w:jc w:val="both"/>
        <w:rPr>
          <w:rFonts w:ascii="Arial" w:eastAsia="Times New Roman" w:hAnsi="Arial" w:cs="Arial"/>
          <w:bCs/>
          <w:sz w:val="21"/>
          <w:szCs w:val="21"/>
          <w:lang w:eastAsia="es-CO"/>
        </w:rPr>
      </w:pPr>
    </w:p>
    <w:p w14:paraId="62352BC6" w14:textId="77777777" w:rsidR="00CA3863" w:rsidRPr="00CA3863" w:rsidRDefault="00CA3863" w:rsidP="00CA3863">
      <w:pPr>
        <w:spacing w:line="276" w:lineRule="auto"/>
        <w:ind w:firstLine="709"/>
        <w:jc w:val="both"/>
        <w:rPr>
          <w:rFonts w:ascii="Arial" w:eastAsia="Times New Roman" w:hAnsi="Arial" w:cs="Arial"/>
          <w:bCs/>
          <w:sz w:val="22"/>
          <w:lang w:eastAsia="es-CO"/>
        </w:rPr>
      </w:pPr>
      <w:r w:rsidRPr="00CA3863">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CDD236C" w14:textId="77777777" w:rsidR="00CA3863" w:rsidRPr="00CA3863" w:rsidRDefault="00CA3863" w:rsidP="00CA3863">
      <w:pPr>
        <w:spacing w:line="276" w:lineRule="auto"/>
        <w:ind w:firstLine="709"/>
        <w:jc w:val="both"/>
        <w:rPr>
          <w:rFonts w:ascii="Arial" w:eastAsia="Times New Roman" w:hAnsi="Arial" w:cs="Arial"/>
          <w:bCs/>
          <w:sz w:val="22"/>
          <w:lang w:eastAsia="es-CO"/>
        </w:rPr>
      </w:pPr>
    </w:p>
    <w:p w14:paraId="3AA4AD91" w14:textId="77777777" w:rsidR="00CA3863" w:rsidRPr="00CA3863" w:rsidRDefault="00CA3863" w:rsidP="00CA3863">
      <w:pPr>
        <w:spacing w:after="120"/>
        <w:ind w:left="709" w:right="709"/>
        <w:jc w:val="both"/>
        <w:rPr>
          <w:rFonts w:ascii="Arial" w:eastAsia="Times New Roman" w:hAnsi="Arial" w:cs="Arial"/>
          <w:bCs/>
          <w:sz w:val="21"/>
          <w:szCs w:val="21"/>
          <w:lang w:eastAsia="es-CO"/>
        </w:rPr>
      </w:pPr>
      <w:r w:rsidRPr="00CA3863">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w:t>
      </w:r>
      <w:r w:rsidRPr="00CA3863">
        <w:rPr>
          <w:rFonts w:ascii="Arial" w:eastAsia="Times New Roman" w:hAnsi="Arial" w:cs="Arial"/>
          <w:bCs/>
          <w:sz w:val="21"/>
          <w:szCs w:val="21"/>
          <w:lang w:eastAsia="es-CO"/>
        </w:rPr>
        <w:lastRenderedPageBreak/>
        <w:t>público, razón por la cual no son disponibles ni pueden ser derogadas, modificadas, ampliadas o adicionadas por acuerdo o convenio o acto unilateral.</w:t>
      </w:r>
    </w:p>
    <w:p w14:paraId="5AA36A84" w14:textId="77777777" w:rsidR="00CA3863" w:rsidRPr="00CA3863" w:rsidRDefault="00CA3863" w:rsidP="00CA3863">
      <w:pPr>
        <w:ind w:left="709" w:right="709"/>
        <w:jc w:val="both"/>
        <w:rPr>
          <w:rFonts w:ascii="Arial" w:eastAsia="Times New Roman" w:hAnsi="Arial" w:cs="Arial"/>
          <w:bCs/>
          <w:sz w:val="21"/>
          <w:szCs w:val="21"/>
          <w:lang w:eastAsia="es-CO"/>
        </w:rPr>
      </w:pPr>
      <w:r w:rsidRPr="00CA3863">
        <w:rPr>
          <w:rFonts w:ascii="Arial" w:eastAsia="Times New Roman" w:hAnsi="Arial" w:cs="Arial"/>
          <w:bCs/>
          <w:sz w:val="21"/>
          <w:szCs w:val="21"/>
          <w:lang w:eastAsia="es-CO"/>
        </w:rPr>
        <w:t>La jurisprudencia de la Corte Constitucional</w:t>
      </w:r>
      <w:r w:rsidRPr="00CA3863">
        <w:rPr>
          <w:rFonts w:ascii="Arial" w:eastAsia="Times New Roman" w:hAnsi="Arial" w:cs="Arial"/>
          <w:bCs/>
          <w:sz w:val="21"/>
          <w:szCs w:val="21"/>
          <w:vertAlign w:val="superscript"/>
          <w:lang w:eastAsia="es-CO"/>
        </w:rPr>
        <w:footnoteReference w:id="4"/>
      </w:r>
      <w:r w:rsidRPr="00CA3863">
        <w:rPr>
          <w:rFonts w:ascii="Arial" w:eastAsia="Times New Roman" w:hAnsi="Arial" w:cs="Arial"/>
          <w:bCs/>
          <w:sz w:val="21"/>
          <w:szCs w:val="21"/>
          <w:lang w:eastAsia="es-CO"/>
        </w:rPr>
        <w:t> y del Consejo de Estado</w:t>
      </w:r>
      <w:r w:rsidRPr="00CA3863">
        <w:rPr>
          <w:rFonts w:ascii="Arial" w:eastAsia="Times New Roman" w:hAnsi="Arial" w:cs="Arial"/>
          <w:bCs/>
          <w:sz w:val="21"/>
          <w:szCs w:val="21"/>
          <w:vertAlign w:val="superscript"/>
          <w:lang w:eastAsia="es-CO"/>
        </w:rPr>
        <w:footnoteReference w:id="5"/>
      </w:r>
      <w:r w:rsidRPr="00CA3863">
        <w:rPr>
          <w:rFonts w:ascii="Arial" w:eastAsia="Times New Roman"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A3863">
        <w:rPr>
          <w:rFonts w:ascii="Arial" w:eastAsia="Times New Roman" w:hAnsi="Arial" w:cs="Arial"/>
          <w:bCs/>
          <w:sz w:val="22"/>
          <w:vertAlign w:val="superscript"/>
          <w:lang w:eastAsia="es-CO"/>
        </w:rPr>
        <w:footnoteReference w:id="6"/>
      </w:r>
      <w:r w:rsidRPr="00CA3863">
        <w:rPr>
          <w:rFonts w:ascii="Arial" w:eastAsia="Times New Roman" w:hAnsi="Arial" w:cs="Arial"/>
          <w:bCs/>
          <w:sz w:val="21"/>
          <w:szCs w:val="21"/>
          <w:lang w:eastAsia="es-CO"/>
        </w:rPr>
        <w:t>.</w:t>
      </w:r>
    </w:p>
    <w:p w14:paraId="4A3A37CC" w14:textId="77777777" w:rsidR="00CA3863" w:rsidRPr="00CA3863" w:rsidRDefault="00CA3863" w:rsidP="00CA3863">
      <w:pPr>
        <w:spacing w:line="276" w:lineRule="auto"/>
        <w:ind w:right="709"/>
        <w:jc w:val="both"/>
        <w:rPr>
          <w:rFonts w:ascii="Arial" w:eastAsia="Times New Roman" w:hAnsi="Arial" w:cs="Arial"/>
          <w:bCs/>
          <w:sz w:val="22"/>
          <w:lang w:eastAsia="es-CO"/>
        </w:rPr>
      </w:pPr>
    </w:p>
    <w:p w14:paraId="367B71E4" w14:textId="77777777" w:rsidR="00CA3863" w:rsidRPr="00CA3863" w:rsidRDefault="00CA3863" w:rsidP="00CA3863">
      <w:pPr>
        <w:spacing w:after="120" w:line="276" w:lineRule="auto"/>
        <w:jc w:val="both"/>
        <w:rPr>
          <w:rFonts w:ascii="Arial" w:eastAsia="Arial" w:hAnsi="Arial" w:cs="Arial"/>
          <w:sz w:val="22"/>
          <w:lang w:val="es-ES" w:eastAsia="es-ES" w:bidi="es-ES"/>
        </w:rPr>
      </w:pPr>
      <w:r w:rsidRPr="00CA3863">
        <w:rPr>
          <w:rFonts w:ascii="Arial" w:eastAsia="Times New Roman" w:hAnsi="Arial" w:cs="Arial"/>
          <w:bCs/>
          <w:sz w:val="22"/>
          <w:lang w:eastAsia="es-CO"/>
        </w:rPr>
        <w:tab/>
        <w:t>De</w:t>
      </w:r>
      <w:r w:rsidRPr="00CA3863">
        <w:rPr>
          <w:rFonts w:ascii="Arial" w:eastAsia="Arial" w:hAnsi="Arial" w:cs="Arial"/>
          <w:sz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8CCF712" w14:textId="77777777" w:rsidR="00CA3863" w:rsidRPr="00CA3863" w:rsidRDefault="00CA3863" w:rsidP="00CA3863">
      <w:pPr>
        <w:spacing w:after="120" w:line="276" w:lineRule="auto"/>
        <w:ind w:firstLine="708"/>
        <w:jc w:val="both"/>
        <w:rPr>
          <w:rFonts w:ascii="Arial" w:eastAsia="Calibri" w:hAnsi="Arial" w:cs="Arial"/>
          <w:sz w:val="22"/>
          <w:lang w:val="es-CO"/>
        </w:rPr>
      </w:pPr>
      <w:r w:rsidRPr="00CA3863">
        <w:rPr>
          <w:rFonts w:ascii="Arial" w:eastAsia="Calibri" w:hAnsi="Arial" w:cs="Arial"/>
          <w:sz w:val="22"/>
          <w:lang w:val="es-CO"/>
        </w:rPr>
        <w:t xml:space="preserve">Por un lado, el artículo 33 de la Ley 996 de 2005 prohíbe </w:t>
      </w:r>
      <w:r w:rsidRPr="00CA3863">
        <w:rPr>
          <w:rFonts w:ascii="Arial" w:eastAsia="Calibri" w:hAnsi="Arial" w:cs="Arial"/>
          <w:bCs/>
          <w:sz w:val="22"/>
          <w:lang w:val="es-CO"/>
        </w:rPr>
        <w:t xml:space="preserve">«[…] </w:t>
      </w:r>
      <w:r w:rsidRPr="00CA3863">
        <w:rPr>
          <w:rFonts w:ascii="Arial" w:eastAsia="Calibri" w:hAnsi="Arial" w:cs="Arial"/>
          <w:sz w:val="22"/>
          <w:lang w:val="es-CO"/>
        </w:rPr>
        <w:t>la contratación directa por parte de todos los entes del Estado</w:t>
      </w:r>
      <w:r w:rsidRPr="00CA3863">
        <w:rPr>
          <w:rFonts w:ascii="Arial" w:eastAsia="Calibri" w:hAnsi="Arial" w:cs="Arial"/>
          <w:bCs/>
          <w:sz w:val="22"/>
          <w:lang w:val="es-CO"/>
        </w:rPr>
        <w:t>»</w:t>
      </w:r>
      <w:r w:rsidRPr="00CA3863">
        <w:rPr>
          <w:rFonts w:ascii="Arial" w:eastAsia="Calibri" w:hAnsi="Arial" w:cs="Arial"/>
          <w:sz w:val="22"/>
          <w:lang w:val="es-CO"/>
        </w:rPr>
        <w:t xml:space="preserve"> durante los cuatro (4) meses anteriores a las elecciones presidenciales, salvo </w:t>
      </w:r>
      <w:r w:rsidRPr="00CA3863">
        <w:rPr>
          <w:rFonts w:ascii="Arial" w:eastAsia="Calibri" w:hAnsi="Arial" w:cs="Arial"/>
          <w:bCs/>
          <w:sz w:val="22"/>
          <w:lang w:val="es-CO"/>
        </w:rPr>
        <w:t xml:space="preserve">«[…] </w:t>
      </w:r>
      <w:r w:rsidRPr="00CA3863">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A3863">
        <w:rPr>
          <w:rFonts w:ascii="Arial" w:eastAsia="Calibri" w:hAnsi="Arial" w:cs="Arial"/>
          <w:bCs/>
          <w:sz w:val="22"/>
          <w:lang w:val="es-CO"/>
        </w:rPr>
        <w:t>»</w:t>
      </w:r>
      <w:r w:rsidRPr="00CA3863">
        <w:rPr>
          <w:rFonts w:ascii="Arial" w:eastAsia="Calibri" w:hAnsi="Arial" w:cs="Arial"/>
          <w:bCs/>
          <w:sz w:val="22"/>
          <w:vertAlign w:val="superscript"/>
          <w:lang w:val="es-CO"/>
        </w:rPr>
        <w:footnoteReference w:id="7"/>
      </w:r>
      <w:r w:rsidRPr="00CA3863">
        <w:rPr>
          <w:rFonts w:ascii="Arial" w:eastAsia="Calibri" w:hAnsi="Arial" w:cs="Arial"/>
          <w:sz w:val="22"/>
          <w:lang w:val="es-CO"/>
        </w:rPr>
        <w:t>.</w:t>
      </w:r>
    </w:p>
    <w:p w14:paraId="2A2F2CB5" w14:textId="77777777" w:rsidR="00CA3863" w:rsidRPr="00CA3863" w:rsidRDefault="00CA3863" w:rsidP="00CA3863">
      <w:pPr>
        <w:widowControl w:val="0"/>
        <w:autoSpaceDE w:val="0"/>
        <w:autoSpaceDN w:val="0"/>
        <w:spacing w:line="276" w:lineRule="auto"/>
        <w:ind w:right="113" w:firstLine="708"/>
        <w:jc w:val="both"/>
        <w:rPr>
          <w:rFonts w:ascii="Arial" w:eastAsia="Arial" w:hAnsi="Arial" w:cs="Arial"/>
          <w:sz w:val="22"/>
          <w:lang w:val="es-ES" w:eastAsia="es-ES" w:bidi="es-ES"/>
        </w:rPr>
      </w:pPr>
      <w:r w:rsidRPr="00CA3863">
        <w:rPr>
          <w:rFonts w:ascii="Arial" w:eastAsia="Calibri" w:hAnsi="Arial" w:cs="Arial"/>
          <w:sz w:val="22"/>
          <w:lang w:val="es-CO"/>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A3863">
        <w:rPr>
          <w:rFonts w:ascii="Arial" w:eastAsia="Calibri" w:hAnsi="Arial" w:cs="Arial"/>
          <w:bCs/>
          <w:sz w:val="22"/>
          <w:lang w:val="es-CO"/>
        </w:rPr>
        <w:t xml:space="preserve">«[…] </w:t>
      </w:r>
      <w:r w:rsidRPr="00CA386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A3863">
        <w:rPr>
          <w:rFonts w:ascii="Arial" w:eastAsia="Calibri" w:hAnsi="Arial" w:cs="Arial"/>
          <w:bCs/>
          <w:sz w:val="19"/>
          <w:szCs w:val="19"/>
          <w:lang w:val="es-CO"/>
        </w:rPr>
        <w:t>»</w:t>
      </w:r>
      <w:r w:rsidRPr="00CA3863">
        <w:rPr>
          <w:rFonts w:ascii="Arial" w:eastAsia="Calibri" w:hAnsi="Arial" w:cs="Arial"/>
          <w:bCs/>
          <w:sz w:val="19"/>
          <w:szCs w:val="19"/>
          <w:vertAlign w:val="superscript"/>
          <w:lang w:val="es-CO"/>
        </w:rPr>
        <w:footnoteReference w:id="8"/>
      </w:r>
      <w:r w:rsidRPr="00CA3863">
        <w:rPr>
          <w:rFonts w:ascii="Arial" w:eastAsia="Calibri" w:hAnsi="Arial" w:cs="Arial"/>
          <w:sz w:val="22"/>
        </w:rPr>
        <w:t>.</w:t>
      </w:r>
      <w:r w:rsidRPr="00CA3863">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6ED2D3F3" w14:textId="77777777" w:rsidR="00CA3863" w:rsidRPr="00CA3863" w:rsidRDefault="00CA3863" w:rsidP="00CA3863">
      <w:pPr>
        <w:widowControl w:val="0"/>
        <w:autoSpaceDE w:val="0"/>
        <w:autoSpaceDN w:val="0"/>
        <w:ind w:left="805" w:right="812"/>
        <w:jc w:val="both"/>
        <w:rPr>
          <w:rFonts w:ascii="Arial" w:eastAsia="Arial" w:hAnsi="Arial" w:cs="Arial"/>
          <w:sz w:val="22"/>
          <w:lang w:val="es-ES" w:eastAsia="es-ES" w:bidi="es-ES"/>
        </w:rPr>
      </w:pPr>
    </w:p>
    <w:p w14:paraId="2919F3F6" w14:textId="77777777" w:rsidR="00CA3863" w:rsidRPr="00CA3863" w:rsidRDefault="00CA3863" w:rsidP="00CA3863">
      <w:pPr>
        <w:widowControl w:val="0"/>
        <w:autoSpaceDE w:val="0"/>
        <w:autoSpaceDN w:val="0"/>
        <w:ind w:left="709" w:right="709"/>
        <w:jc w:val="both"/>
        <w:rPr>
          <w:rFonts w:ascii="Arial" w:eastAsia="Arial" w:hAnsi="Arial" w:cs="Arial"/>
          <w:sz w:val="21"/>
          <w:szCs w:val="21"/>
          <w:lang w:val="es-ES" w:eastAsia="es-ES" w:bidi="es-ES"/>
        </w:rPr>
      </w:pPr>
      <w:r w:rsidRPr="00CA386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A3863">
        <w:rPr>
          <w:rFonts w:ascii="Arial" w:eastAsia="Arial" w:hAnsi="Arial" w:cs="Arial"/>
          <w:bCs/>
          <w:sz w:val="21"/>
          <w:szCs w:val="21"/>
          <w:lang w:val="es-ES" w:eastAsia="es-ES" w:bidi="es-ES"/>
        </w:rPr>
        <w:t xml:space="preserve">En cambio, para elecciones en general, excluyendo las correspondientes a </w:t>
      </w:r>
      <w:proofErr w:type="gramStart"/>
      <w:r w:rsidRPr="00CA3863">
        <w:rPr>
          <w:rFonts w:ascii="Arial" w:eastAsia="Arial" w:hAnsi="Arial" w:cs="Arial"/>
          <w:bCs/>
          <w:sz w:val="21"/>
          <w:szCs w:val="21"/>
          <w:lang w:val="es-ES" w:eastAsia="es-ES" w:bidi="es-ES"/>
        </w:rPr>
        <w:t>Presidente</w:t>
      </w:r>
      <w:proofErr w:type="gramEnd"/>
      <w:r w:rsidRPr="00CA386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CA3863">
        <w:rPr>
          <w:rFonts w:ascii="Arial" w:eastAsia="Arial" w:hAnsi="Arial" w:cs="Arial"/>
          <w:sz w:val="21"/>
          <w:szCs w:val="21"/>
          <w:vertAlign w:val="superscript"/>
          <w:lang w:val="es-ES" w:eastAsia="es-ES" w:bidi="es-ES"/>
        </w:rPr>
        <w:footnoteReference w:id="9"/>
      </w:r>
      <w:r w:rsidRPr="00CA3863">
        <w:rPr>
          <w:rFonts w:ascii="Arial" w:eastAsia="Arial" w:hAnsi="Arial" w:cs="Arial"/>
          <w:bCs/>
          <w:sz w:val="21"/>
          <w:szCs w:val="21"/>
          <w:lang w:val="es-ES" w:eastAsia="es-ES" w:bidi="es-ES"/>
        </w:rPr>
        <w:t>.</w:t>
      </w:r>
    </w:p>
    <w:p w14:paraId="63B0E062" w14:textId="77777777" w:rsidR="00CA3863" w:rsidRPr="00CA3863" w:rsidRDefault="00CA3863" w:rsidP="00CA3863">
      <w:pPr>
        <w:widowControl w:val="0"/>
        <w:autoSpaceDE w:val="0"/>
        <w:autoSpaceDN w:val="0"/>
        <w:spacing w:before="8"/>
        <w:rPr>
          <w:rFonts w:ascii="Arial" w:eastAsia="Arial" w:hAnsi="Arial" w:cs="Arial"/>
          <w:sz w:val="22"/>
          <w:lang w:val="es-ES" w:eastAsia="es-ES" w:bidi="es-ES"/>
        </w:rPr>
      </w:pPr>
    </w:p>
    <w:p w14:paraId="139CFC67" w14:textId="0FC8EDBC" w:rsidR="00CA3863" w:rsidRPr="00CA3863" w:rsidRDefault="00CA3863" w:rsidP="00CA3863">
      <w:pPr>
        <w:spacing w:after="120" w:line="276" w:lineRule="auto"/>
        <w:ind w:firstLine="709"/>
        <w:jc w:val="both"/>
        <w:rPr>
          <w:rFonts w:ascii="Arial" w:eastAsia="Arial" w:hAnsi="Arial" w:cs="Arial"/>
          <w:sz w:val="22"/>
          <w:lang w:val="es-ES" w:eastAsia="es-ES" w:bidi="es-ES"/>
        </w:rPr>
      </w:pPr>
      <w:r w:rsidRPr="00CA3863">
        <w:rPr>
          <w:rFonts w:ascii="Arial" w:eastAsia="Arial" w:hAnsi="Arial" w:cs="Arial"/>
          <w:sz w:val="22"/>
          <w:lang w:val="es-ES" w:eastAsia="es-ES" w:bidi="es-ES"/>
        </w:rPr>
        <w:t xml:space="preserve">De lo anterior se desprende que </w:t>
      </w:r>
      <w:bookmarkStart w:id="1" w:name="_Hlk87359343"/>
      <w:r w:rsidRPr="00CA3863">
        <w:rPr>
          <w:rFonts w:ascii="Arial" w:eastAsia="Arial" w:hAnsi="Arial" w:cs="Arial"/>
          <w:sz w:val="22"/>
          <w:lang w:val="es-ES" w:eastAsia="es-ES" w:bidi="es-ES"/>
        </w:rPr>
        <w:t xml:space="preserve">la Ley 996 de 2005 establece dos (2) tipos de restricciones en materia de contratación, las cuales coinciden parcialmente. </w:t>
      </w:r>
      <w:r w:rsidRPr="00CA3863">
        <w:rPr>
          <w:rFonts w:ascii="Arial" w:eastAsia="Arial" w:hAnsi="Arial" w:cs="Arial"/>
          <w:i/>
          <w:iCs/>
          <w:sz w:val="22"/>
          <w:lang w:val="es-ES" w:eastAsia="es-ES" w:bidi="es-ES"/>
        </w:rPr>
        <w:t>En primer lugar</w:t>
      </w:r>
      <w:r w:rsidRPr="00CA3863">
        <w:rPr>
          <w:rFonts w:ascii="Arial" w:eastAsia="Arial" w:hAnsi="Arial" w:cs="Arial"/>
          <w:sz w:val="22"/>
          <w:lang w:val="es-ES" w:eastAsia="es-ES" w:bidi="es-ES"/>
        </w:rPr>
        <w:t xml:space="preserve">, la del artículo 33 que opera solo respecto de las elecciones presidenciales, en virtud de la </w:t>
      </w:r>
      <w:r w:rsidRPr="00CA3863">
        <w:rPr>
          <w:rFonts w:ascii="Arial" w:eastAsia="Arial" w:hAnsi="Arial" w:cs="Arial"/>
          <w:sz w:val="22"/>
          <w:lang w:val="es-ES" w:eastAsia="es-ES" w:bidi="es-ES"/>
        </w:rPr>
        <w:lastRenderedPageBreak/>
        <w:t>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w:t>
      </w:r>
      <w:r w:rsidR="004929BE">
        <w:rPr>
          <w:rFonts w:ascii="Arial" w:eastAsia="Arial" w:hAnsi="Arial" w:cs="Arial"/>
          <w:sz w:val="22"/>
          <w:lang w:val="es-ES" w:eastAsia="es-ES" w:bidi="es-ES"/>
        </w:rPr>
        <w:t>o</w:t>
      </w:r>
      <w:r w:rsidRPr="00CA3863">
        <w:rPr>
          <w:rFonts w:ascii="Arial" w:eastAsia="Arial" w:hAnsi="Arial" w:cs="Arial"/>
          <w:sz w:val="22"/>
          <w:lang w:val="es-ES" w:eastAsia="es-ES" w:bidi="es-ES"/>
        </w:rPr>
        <w:t xml:space="preserve">lo participarán los dos candidatos que hubieren obtenido las votaciones más altas, conforme al artículo 190 de la Constitución Política. Para estos efectos, la restricción se extenderá hasta la fecha en la que se realice la segunda vuelta. </w:t>
      </w:r>
      <w:r w:rsidRPr="00CA3863">
        <w:rPr>
          <w:rFonts w:ascii="Arial" w:eastAsia="Arial" w:hAnsi="Arial" w:cs="Arial"/>
          <w:i/>
          <w:iCs/>
          <w:sz w:val="22"/>
          <w:lang w:val="es-ES" w:eastAsia="es-ES" w:bidi="es-ES"/>
        </w:rPr>
        <w:t>En segundo lugar</w:t>
      </w:r>
      <w:r w:rsidRPr="00CA3863">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1"/>
    <w:p w14:paraId="088BA502" w14:textId="45AE9C70" w:rsidR="00CA3863" w:rsidRPr="00CA3863" w:rsidRDefault="00CA3863" w:rsidP="00CA3863">
      <w:pPr>
        <w:spacing w:after="120" w:line="276" w:lineRule="auto"/>
        <w:ind w:firstLine="709"/>
        <w:jc w:val="both"/>
        <w:rPr>
          <w:rFonts w:ascii="Arial" w:eastAsia="Arial" w:hAnsi="Arial" w:cs="Arial"/>
          <w:sz w:val="22"/>
          <w:lang w:val="es-ES" w:eastAsia="es-ES" w:bidi="es-ES"/>
        </w:rPr>
      </w:pPr>
      <w:r w:rsidRPr="00CA3863">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CA3863">
        <w:rPr>
          <w:rFonts w:ascii="Arial" w:eastAsia="Arial" w:hAnsi="Arial" w:cs="Arial"/>
          <w:sz w:val="22"/>
          <w:lang w:val="es-ES" w:eastAsia="es-ES" w:bidi="es-ES"/>
        </w:rPr>
        <w:t>Presidente</w:t>
      </w:r>
      <w:proofErr w:type="gramEnd"/>
      <w:r w:rsidRPr="00CA386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CA3863">
        <w:rPr>
          <w:rFonts w:ascii="Arial" w:eastAsia="Arial" w:hAnsi="Arial" w:cs="Arial"/>
          <w:sz w:val="22"/>
          <w:lang w:val="es-ES" w:eastAsia="es-ES" w:bidi="es-ES"/>
        </w:rPr>
        <w:t>Presidente</w:t>
      </w:r>
      <w:proofErr w:type="gramEnd"/>
      <w:r w:rsidRPr="00CA3863">
        <w:rPr>
          <w:rFonts w:ascii="Arial" w:eastAsia="Arial" w:hAnsi="Arial" w:cs="Arial"/>
          <w:sz w:val="22"/>
          <w:lang w:val="es-ES" w:eastAsia="es-ES" w:bidi="es-ES"/>
        </w:rPr>
        <w:t xml:space="preserve"> de la República, las autoridades allí mencionadas s</w:t>
      </w:r>
      <w:r w:rsidR="001F304F">
        <w:rPr>
          <w:rFonts w:ascii="Arial" w:eastAsia="Arial" w:hAnsi="Arial" w:cs="Arial"/>
          <w:sz w:val="22"/>
          <w:lang w:val="es-ES" w:eastAsia="es-ES" w:bidi="es-ES"/>
        </w:rPr>
        <w:t>o</w:t>
      </w:r>
      <w:r w:rsidRPr="00CA3863">
        <w:rPr>
          <w:rFonts w:ascii="Arial" w:eastAsia="Arial" w:hAnsi="Arial" w:cs="Arial"/>
          <w:sz w:val="22"/>
          <w:lang w:val="es-ES" w:eastAsia="es-ES" w:bidi="es-ES"/>
        </w:rPr>
        <w:t>lo deben aplicar las restricciones contenidas en el parágrafo del artículo 38.</w:t>
      </w:r>
    </w:p>
    <w:p w14:paraId="50F03362" w14:textId="77777777" w:rsidR="00CA3863" w:rsidRPr="00CA3863" w:rsidRDefault="00CA3863" w:rsidP="00CA3863">
      <w:pPr>
        <w:spacing w:line="276" w:lineRule="auto"/>
        <w:jc w:val="both"/>
        <w:rPr>
          <w:rFonts w:ascii="Arial" w:eastAsia="Times New Roman" w:hAnsi="Arial" w:cs="Arial"/>
          <w:bCs/>
          <w:sz w:val="22"/>
          <w:lang w:val="es-ES" w:eastAsia="es-CO"/>
        </w:rPr>
      </w:pPr>
    </w:p>
    <w:p w14:paraId="29F00DD2" w14:textId="7F47A6BB" w:rsidR="00CA3863" w:rsidRPr="00CA3863" w:rsidRDefault="00CA3863" w:rsidP="00CA3863">
      <w:pPr>
        <w:spacing w:line="276" w:lineRule="auto"/>
        <w:jc w:val="both"/>
        <w:rPr>
          <w:rFonts w:ascii="Arial" w:eastAsia="Times New Roman" w:hAnsi="Arial" w:cs="Arial"/>
          <w:b/>
          <w:sz w:val="22"/>
          <w:lang w:val="es-ES" w:eastAsia="es-CO"/>
        </w:rPr>
      </w:pPr>
      <w:r w:rsidRPr="00CA3863">
        <w:rPr>
          <w:rFonts w:ascii="Arial" w:eastAsia="Times New Roman" w:hAnsi="Arial" w:cs="Arial"/>
          <w:b/>
          <w:sz w:val="22"/>
          <w:lang w:val="es-ES" w:eastAsia="es-CO"/>
        </w:rPr>
        <w:t xml:space="preserve">2.2. </w:t>
      </w:r>
      <w:r w:rsidRPr="00CA3863">
        <w:rPr>
          <w:rFonts w:ascii="Arial" w:eastAsia="Times New Roman" w:hAnsi="Arial" w:cs="Arial"/>
          <w:b/>
          <w:bCs/>
          <w:sz w:val="22"/>
          <w:lang w:eastAsia="es-CO"/>
        </w:rPr>
        <w:t xml:space="preserve">Restricciones </w:t>
      </w:r>
      <w:r w:rsidR="001F304F">
        <w:rPr>
          <w:rFonts w:ascii="Arial" w:eastAsia="Times New Roman" w:hAnsi="Arial" w:cs="Arial"/>
          <w:b/>
          <w:bCs/>
          <w:sz w:val="22"/>
          <w:lang w:eastAsia="es-CO"/>
        </w:rPr>
        <w:t>aplicables respecto de las</w:t>
      </w:r>
      <w:r w:rsidR="001F304F" w:rsidRPr="00CA3863">
        <w:rPr>
          <w:rFonts w:ascii="Arial" w:eastAsia="Times New Roman" w:hAnsi="Arial" w:cs="Arial"/>
          <w:b/>
          <w:bCs/>
          <w:sz w:val="22"/>
          <w:lang w:eastAsia="es-CO"/>
        </w:rPr>
        <w:t xml:space="preserve"> </w:t>
      </w:r>
      <w:r w:rsidRPr="00CA3863">
        <w:rPr>
          <w:rFonts w:ascii="Arial" w:eastAsia="Times New Roman" w:hAnsi="Arial" w:cs="Arial"/>
          <w:b/>
          <w:bCs/>
          <w:sz w:val="22"/>
          <w:lang w:eastAsia="es-CO"/>
        </w:rPr>
        <w:t xml:space="preserve">elecciones presidenciales </w:t>
      </w:r>
    </w:p>
    <w:p w14:paraId="794EF53F" w14:textId="77777777" w:rsidR="00CA3863" w:rsidRPr="00CA3863" w:rsidRDefault="00CA3863" w:rsidP="00CA3863">
      <w:pPr>
        <w:spacing w:line="276" w:lineRule="auto"/>
        <w:jc w:val="both"/>
        <w:rPr>
          <w:rFonts w:ascii="Arial" w:eastAsia="Times New Roman" w:hAnsi="Arial" w:cs="Arial"/>
          <w:bCs/>
          <w:sz w:val="22"/>
          <w:lang w:eastAsia="x-none"/>
        </w:rPr>
      </w:pPr>
    </w:p>
    <w:p w14:paraId="6523686C" w14:textId="77777777" w:rsidR="00CA3863" w:rsidRPr="00CA3863" w:rsidRDefault="00CA3863" w:rsidP="00CA3863">
      <w:pPr>
        <w:spacing w:line="276" w:lineRule="auto"/>
        <w:jc w:val="both"/>
        <w:rPr>
          <w:rFonts w:ascii="Arial" w:eastAsia="Times New Roman" w:hAnsi="Arial" w:cs="Arial"/>
          <w:bCs/>
          <w:sz w:val="22"/>
          <w:lang w:eastAsia="es-CO"/>
        </w:rPr>
      </w:pPr>
      <w:r w:rsidRPr="00CA3863">
        <w:rPr>
          <w:rFonts w:ascii="Arial" w:eastAsia="Times New Roman" w:hAnsi="Arial" w:cs="Arial"/>
          <w:bCs/>
          <w:sz w:val="22"/>
          <w:lang w:eastAsia="x-none"/>
        </w:rPr>
        <w:t xml:space="preserve">El ámbito material de la prohibición contenida en el artículo 33 de la ley 996 de 2005 está delimitado por la expresión </w:t>
      </w:r>
      <w:r w:rsidRPr="00CA3863">
        <w:rPr>
          <w:rFonts w:ascii="Arial" w:eastAsia="Calibri" w:hAnsi="Arial" w:cs="Arial"/>
          <w:bCs/>
          <w:sz w:val="20"/>
          <w:szCs w:val="20"/>
        </w:rPr>
        <w:t>«</w:t>
      </w:r>
      <w:r w:rsidRPr="00CA3863">
        <w:rPr>
          <w:rFonts w:ascii="Arial" w:eastAsia="Times New Roman" w:hAnsi="Arial" w:cs="Arial"/>
          <w:bCs/>
          <w:sz w:val="22"/>
          <w:lang w:eastAsia="x-none"/>
        </w:rPr>
        <w:t>queda prohibida la contratación directa</w:t>
      </w:r>
      <w:r w:rsidRPr="00CA3863">
        <w:rPr>
          <w:rFonts w:ascii="Arial" w:hAnsi="Arial" w:cs="Arial"/>
          <w:sz w:val="20"/>
          <w:szCs w:val="20"/>
        </w:rPr>
        <w:t>»</w:t>
      </w:r>
      <w:r w:rsidRPr="00CA3863">
        <w:rPr>
          <w:rFonts w:ascii="Arial" w:eastAsia="Times New Roman" w:hAnsi="Arial" w:cs="Arial"/>
          <w:bCs/>
          <w:sz w:val="22"/>
          <w:lang w:eastAsia="x-none"/>
        </w:rPr>
        <w:t xml:space="preserve">. </w:t>
      </w:r>
      <w:r w:rsidRPr="00CA3863">
        <w:rPr>
          <w:rFonts w:ascii="Arial" w:eastAsia="Times New Roman" w:hAnsi="Arial" w:cs="Arial"/>
          <w:sz w:val="22"/>
          <w:lang w:eastAsia="es-CO"/>
        </w:rPr>
        <w:t xml:space="preserve"> A propósito de </w:t>
      </w:r>
      <w:r w:rsidRPr="00CA3863">
        <w:rPr>
          <w:rFonts w:ascii="Arial" w:eastAsia="Times New Roman" w:hAnsi="Arial" w:cs="Arial"/>
          <w:sz w:val="22"/>
          <w:lang w:val="es-CO" w:eastAsia="es-CO"/>
        </w:rPr>
        <w:t>esta restricción de la Ley de Garantías Electorales, la Sala de Consulta y Servicio Civil del Consejo de Estado ha considerado que:</w:t>
      </w:r>
    </w:p>
    <w:p w14:paraId="1A69DEDD" w14:textId="77777777" w:rsidR="00CA3863" w:rsidRPr="00CA3863" w:rsidRDefault="00CA3863" w:rsidP="00CA3863">
      <w:pPr>
        <w:ind w:left="708" w:right="709"/>
        <w:jc w:val="both"/>
        <w:rPr>
          <w:rFonts w:ascii="Arial" w:hAnsi="Arial" w:cs="Arial"/>
          <w:sz w:val="21"/>
          <w:szCs w:val="21"/>
        </w:rPr>
      </w:pPr>
    </w:p>
    <w:p w14:paraId="6A977FC7" w14:textId="77777777" w:rsidR="00CA3863" w:rsidRPr="00CA3863" w:rsidRDefault="00CA3863" w:rsidP="00CA3863">
      <w:pPr>
        <w:spacing w:after="120"/>
        <w:ind w:left="709" w:right="709"/>
        <w:jc w:val="both"/>
        <w:rPr>
          <w:rFonts w:ascii="Arial" w:hAnsi="Arial" w:cs="Arial"/>
          <w:sz w:val="21"/>
          <w:szCs w:val="21"/>
        </w:rPr>
      </w:pPr>
      <w:r w:rsidRPr="00CA386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A3863">
        <w:rPr>
          <w:rFonts w:ascii="Arial" w:eastAsia="Times New Roman" w:hAnsi="Arial" w:cs="Arial"/>
          <w:sz w:val="22"/>
          <w:vertAlign w:val="superscript"/>
          <w:lang w:val="es-CO" w:eastAsia="es-CO"/>
        </w:rPr>
        <w:footnoteReference w:id="10"/>
      </w:r>
      <w:r w:rsidRPr="00CA3863">
        <w:rPr>
          <w:rFonts w:ascii="Arial" w:hAnsi="Arial" w:cs="Arial"/>
          <w:sz w:val="21"/>
          <w:szCs w:val="21"/>
        </w:rPr>
        <w:t>.</w:t>
      </w:r>
    </w:p>
    <w:p w14:paraId="510DD7AC" w14:textId="77777777" w:rsidR="00CA3863" w:rsidRPr="00CA3863" w:rsidRDefault="00CA3863" w:rsidP="00CA3863">
      <w:pPr>
        <w:ind w:left="708" w:right="709"/>
        <w:jc w:val="both"/>
        <w:rPr>
          <w:rFonts w:ascii="Arial" w:hAnsi="Arial" w:cs="Arial"/>
          <w:sz w:val="21"/>
          <w:szCs w:val="21"/>
        </w:rPr>
      </w:pPr>
      <w:r w:rsidRPr="00CA3863">
        <w:rPr>
          <w:rFonts w:ascii="Arial" w:hAnsi="Arial" w:cs="Arial"/>
          <w:sz w:val="21"/>
          <w:szCs w:val="21"/>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CA3863">
        <w:rPr>
          <w:rFonts w:ascii="Arial" w:eastAsia="Times New Roman" w:hAnsi="Arial" w:cs="Arial"/>
          <w:sz w:val="21"/>
          <w:szCs w:val="21"/>
          <w:vertAlign w:val="superscript"/>
        </w:rPr>
        <w:footnoteReference w:id="11"/>
      </w:r>
      <w:r w:rsidRPr="00CA3863">
        <w:rPr>
          <w:rFonts w:ascii="Arial" w:eastAsia="Times New Roman" w:hAnsi="Arial" w:cs="Arial"/>
          <w:sz w:val="21"/>
          <w:szCs w:val="21"/>
          <w:vertAlign w:val="superscript"/>
        </w:rPr>
        <w:t>.</w:t>
      </w:r>
      <w:r w:rsidRPr="00CA3863">
        <w:rPr>
          <w:rFonts w:ascii="Arial" w:hAnsi="Arial" w:cs="Arial"/>
          <w:sz w:val="21"/>
          <w:szCs w:val="21"/>
        </w:rPr>
        <w:t xml:space="preserve"> Por tanto, no son materia de la prohibición las demás modalidades de selección previstas en la ley 1150 de </w:t>
      </w:r>
      <w:r w:rsidRPr="00CA3863">
        <w:rPr>
          <w:rFonts w:ascii="Arial" w:hAnsi="Arial" w:cs="Arial"/>
          <w:sz w:val="21"/>
          <w:szCs w:val="21"/>
        </w:rPr>
        <w:lastRenderedPageBreak/>
        <w:t>2007, siendo estas, la licitación pública, el concurso de méritos y la selección abreviada, razón por la cual en ese periodo preelectoral de que trata la disposición pueden las entidades públicas seguir contratando bajo estos sistemas. [...]</w:t>
      </w:r>
      <w:r w:rsidRPr="00CA3863">
        <w:rPr>
          <w:rFonts w:ascii="Arial" w:eastAsia="Times New Roman" w:hAnsi="Arial" w:cs="Arial"/>
          <w:sz w:val="22"/>
          <w:vertAlign w:val="superscript"/>
          <w:lang w:val="es-CO" w:eastAsia="es-CO"/>
        </w:rPr>
        <w:footnoteReference w:id="12"/>
      </w:r>
      <w:r w:rsidRPr="00CA3863">
        <w:rPr>
          <w:rFonts w:ascii="Arial" w:hAnsi="Arial" w:cs="Arial"/>
          <w:sz w:val="21"/>
          <w:szCs w:val="21"/>
        </w:rPr>
        <w:t xml:space="preserve"> .</w:t>
      </w:r>
    </w:p>
    <w:p w14:paraId="1B17CE48" w14:textId="77777777" w:rsidR="00CA3863" w:rsidRPr="00CA3863" w:rsidRDefault="00CA3863" w:rsidP="00CA3863">
      <w:pPr>
        <w:shd w:val="clear" w:color="auto" w:fill="FFFFFF"/>
        <w:spacing w:line="276" w:lineRule="auto"/>
        <w:ind w:firstLine="709"/>
        <w:jc w:val="both"/>
        <w:rPr>
          <w:rFonts w:ascii="Arial" w:eastAsia="Times New Roman" w:hAnsi="Arial" w:cs="Arial"/>
          <w:sz w:val="22"/>
          <w:lang w:val="es-CO" w:eastAsia="x-none"/>
        </w:rPr>
      </w:pPr>
    </w:p>
    <w:p w14:paraId="7B51701A" w14:textId="7C036C36" w:rsidR="00CA3863" w:rsidRPr="00CA3863" w:rsidRDefault="00CA3863" w:rsidP="00CA3863">
      <w:pPr>
        <w:spacing w:after="120" w:line="276" w:lineRule="auto"/>
        <w:ind w:firstLine="708"/>
        <w:jc w:val="both"/>
        <w:rPr>
          <w:rFonts w:ascii="Arial" w:eastAsia="Times New Roman" w:hAnsi="Arial" w:cs="Arial"/>
          <w:bCs/>
          <w:sz w:val="22"/>
          <w:lang w:val="es-CO" w:eastAsia="x-none"/>
        </w:rPr>
      </w:pPr>
      <w:r w:rsidRPr="00CA3863">
        <w:rPr>
          <w:rFonts w:ascii="Arial" w:eastAsia="Times New Roman" w:hAnsi="Arial" w:cs="Arial"/>
          <w:sz w:val="22"/>
          <w:lang w:val="es-CO" w:eastAsia="x-none"/>
        </w:rPr>
        <w:t xml:space="preserve">De acuerdo con el citado concepto, la prohibición del artículo 33 de la Ley de Garantías Electorales se refiere a </w:t>
      </w:r>
      <w:r w:rsidRPr="00CA3863">
        <w:rPr>
          <w:rFonts w:ascii="Arial" w:eastAsia="Times New Roman" w:hAnsi="Arial" w:cs="Arial"/>
          <w:sz w:val="19"/>
          <w:szCs w:val="19"/>
          <w:lang w:val="es-CO" w:eastAsia="en-GB"/>
        </w:rPr>
        <w:t>«</w:t>
      </w:r>
      <w:r w:rsidRPr="00CA3863">
        <w:rPr>
          <w:rFonts w:ascii="Arial" w:eastAsia="Times New Roman" w:hAnsi="Arial" w:cs="Arial"/>
          <w:sz w:val="22"/>
          <w:lang w:val="es-CO" w:eastAsia="x-none"/>
        </w:rPr>
        <w:t>cualquier sistema que no implique convocatoria pública y posibilidad de pluralidad de oferentes</w:t>
      </w:r>
      <w:r w:rsidRPr="00CA3863">
        <w:rPr>
          <w:rFonts w:ascii="Arial" w:eastAsia="Times New Roman" w:hAnsi="Arial" w:cs="Arial"/>
          <w:sz w:val="22"/>
          <w:lang w:val="es-CO" w:eastAsia="en-GB"/>
        </w:rPr>
        <w:t>»</w:t>
      </w:r>
      <w:r w:rsidRPr="00CA3863">
        <w:rPr>
          <w:rFonts w:ascii="Arial" w:eastAsia="Times New Roman" w:hAnsi="Arial" w:cs="Arial"/>
          <w:sz w:val="22"/>
          <w:lang w:val="es-CO" w:eastAsia="x-none"/>
        </w:rPr>
        <w:t>, por lo que excluye las demás modalidades de contratación previstas en la Ley 1150 de 2007, es decir, la licitación pública, la selección abreviada</w:t>
      </w:r>
      <w:r w:rsidR="001F304F">
        <w:rPr>
          <w:rFonts w:ascii="Arial" w:eastAsia="Times New Roman" w:hAnsi="Arial" w:cs="Arial"/>
          <w:sz w:val="22"/>
          <w:lang w:val="es-CO" w:eastAsia="x-none"/>
        </w:rPr>
        <w:t>,</w:t>
      </w:r>
      <w:r w:rsidRPr="00CA3863">
        <w:rPr>
          <w:rFonts w:ascii="Arial" w:eastAsia="Times New Roman" w:hAnsi="Arial" w:cs="Arial"/>
          <w:sz w:val="22"/>
          <w:lang w:val="es-CO" w:eastAsia="x-none"/>
        </w:rPr>
        <w:t xml:space="preserve"> el concurso de méritos</w:t>
      </w:r>
      <w:r w:rsidR="001F304F">
        <w:rPr>
          <w:rFonts w:ascii="Arial" w:eastAsia="Times New Roman" w:hAnsi="Arial" w:cs="Arial"/>
          <w:sz w:val="22"/>
          <w:lang w:val="es-CO" w:eastAsia="x-none"/>
        </w:rPr>
        <w:t xml:space="preserve">, la mínima cuantía </w:t>
      </w:r>
      <w:r w:rsidRPr="00CA3863">
        <w:rPr>
          <w:rFonts w:ascii="Arial" w:eastAsia="Times New Roman" w:hAnsi="Arial" w:cs="Arial"/>
          <w:sz w:val="22"/>
          <w:lang w:val="es-CO" w:eastAsia="x-none"/>
        </w:rPr>
        <w:t>u otros previstos en normas especiales. Esta posición es congruente con la expedición de la Ley 1150 de 2007 que, entre otras reformas, introdujo la selección abreviada, rediseñó el concurso de méritos</w:t>
      </w:r>
      <w:r w:rsidRPr="00CA3863">
        <w:rPr>
          <w:rFonts w:ascii="Arial" w:eastAsia="Times New Roman" w:hAnsi="Arial" w:cs="Arial"/>
          <w:sz w:val="22"/>
          <w:vertAlign w:val="superscript"/>
          <w:lang w:val="en-GB" w:eastAsia="x-none"/>
        </w:rPr>
        <w:footnoteReference w:id="13"/>
      </w:r>
      <w:r w:rsidRPr="00CA3863">
        <w:rPr>
          <w:rFonts w:ascii="Arial" w:eastAsia="Times New Roman" w:hAnsi="Arial" w:cs="Arial"/>
          <w:sz w:val="22"/>
          <w:lang w:val="es-CO" w:eastAsia="x-none"/>
        </w:rPr>
        <w:t xml:space="preserve"> y sistematizó las causales de contratación directa</w:t>
      </w:r>
      <w:r w:rsidRPr="00CA3863">
        <w:rPr>
          <w:rFonts w:ascii="Arial" w:eastAsia="Times New Roman" w:hAnsi="Arial" w:cs="Arial"/>
          <w:sz w:val="22"/>
          <w:vertAlign w:val="superscript"/>
          <w:lang w:val="en-GB" w:eastAsia="x-none"/>
        </w:rPr>
        <w:footnoteReference w:id="14"/>
      </w:r>
      <w:r w:rsidR="001F304F">
        <w:rPr>
          <w:rFonts w:ascii="Arial" w:eastAsia="Times New Roman" w:hAnsi="Arial" w:cs="Arial"/>
          <w:sz w:val="22"/>
          <w:lang w:val="es-CO" w:eastAsia="x-none"/>
        </w:rPr>
        <w:t>, además lo es con la posterior creación de la modalidad de mínima cuantía establecida actualmente en el numeral 5 del artículo 2 de la Ley 1150 de 2007, de acuerdo con las modificaciones realizadas por leyes posteriores.</w:t>
      </w:r>
      <w:r w:rsidRPr="00CA3863">
        <w:rPr>
          <w:rFonts w:ascii="Arial" w:eastAsia="Times New Roman" w:hAnsi="Arial" w:cs="Arial"/>
          <w:sz w:val="22"/>
          <w:lang w:val="es-CO" w:eastAsia="x-none"/>
        </w:rPr>
        <w:t xml:space="preserve"> </w:t>
      </w:r>
    </w:p>
    <w:p w14:paraId="7E468E60" w14:textId="77777777" w:rsidR="00CA3863" w:rsidRPr="00CA3863" w:rsidRDefault="00CA3863" w:rsidP="00CA3863">
      <w:pPr>
        <w:spacing w:after="120" w:line="276" w:lineRule="auto"/>
        <w:ind w:firstLine="708"/>
        <w:jc w:val="both"/>
        <w:rPr>
          <w:rFonts w:ascii="Arial" w:eastAsia="Times New Roman" w:hAnsi="Arial" w:cs="Arial"/>
          <w:sz w:val="22"/>
          <w:lang w:eastAsia="x-none"/>
        </w:rPr>
      </w:pPr>
      <w:r w:rsidRPr="00CA3863">
        <w:rPr>
          <w:rFonts w:ascii="Arial" w:eastAsia="Times New Roman" w:hAnsi="Arial" w:cs="Arial"/>
          <w:sz w:val="22"/>
          <w:lang w:val="es-CO" w:eastAsia="x-none"/>
        </w:rPr>
        <w:t xml:space="preserve">De esta forma, con fundamento en la evolución de la normativa sobre la contratación pública, se ha depurado la noción de </w:t>
      </w:r>
      <w:r w:rsidRPr="00CA3863">
        <w:rPr>
          <w:rFonts w:ascii="Arial" w:eastAsia="Times New Roman" w:hAnsi="Arial" w:cs="Arial"/>
          <w:sz w:val="19"/>
          <w:szCs w:val="19"/>
          <w:lang w:val="es-CO" w:eastAsia="en-GB"/>
        </w:rPr>
        <w:t>«</w:t>
      </w:r>
      <w:r w:rsidRPr="00CA3863">
        <w:rPr>
          <w:rFonts w:ascii="Arial" w:eastAsia="Times New Roman" w:hAnsi="Arial" w:cs="Arial"/>
          <w:sz w:val="22"/>
          <w:lang w:val="es-CO" w:eastAsia="x-none"/>
        </w:rPr>
        <w:t>contratación directa</w:t>
      </w:r>
      <w:r w:rsidRPr="00CA3863">
        <w:rPr>
          <w:rFonts w:ascii="Arial" w:eastAsia="Times New Roman" w:hAnsi="Arial" w:cs="Arial"/>
          <w:sz w:val="22"/>
          <w:lang w:val="es-CO" w:eastAsia="en-GB"/>
        </w:rPr>
        <w:t>»</w:t>
      </w:r>
      <w:r w:rsidRPr="00CA3863">
        <w:rPr>
          <w:rFonts w:ascii="Arial" w:eastAsia="Times New Roman" w:hAnsi="Arial" w:cs="Arial"/>
          <w:sz w:val="22"/>
          <w:lang w:val="es-CO"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A3863">
        <w:rPr>
          <w:rFonts w:ascii="Arial" w:eastAsia="Times New Roman" w:hAnsi="Arial" w:cs="Arial"/>
          <w:sz w:val="22"/>
          <w:vertAlign w:val="superscript"/>
          <w:lang w:val="en-GB" w:eastAsia="x-none"/>
        </w:rPr>
        <w:footnoteReference w:id="15"/>
      </w:r>
      <w:r w:rsidRPr="00CA3863">
        <w:rPr>
          <w:rFonts w:ascii="Arial" w:eastAsia="Times New Roman" w:hAnsi="Arial" w:cs="Arial"/>
          <w:sz w:val="22"/>
          <w:lang w:val="es-CO" w:eastAsia="x-none"/>
        </w:rPr>
        <w:t>, han establecido sistemas de contratación que implican convocatoria pública y participación de varios oferentes</w:t>
      </w:r>
      <w:r w:rsidRPr="00CA3863">
        <w:rPr>
          <w:rFonts w:ascii="Arial" w:eastAsia="Times New Roman" w:hAnsi="Arial" w:cs="Arial"/>
          <w:sz w:val="22"/>
          <w:lang w:val="es-CO" w:eastAsia="en-GB"/>
        </w:rPr>
        <w:t>»</w:t>
      </w:r>
      <w:r w:rsidRPr="00CA3863">
        <w:rPr>
          <w:rFonts w:ascii="Arial" w:eastAsia="Times New Roman" w:hAnsi="Arial" w:cs="Arial"/>
          <w:sz w:val="22"/>
          <w:lang w:val="es-CO" w:eastAsia="x-none"/>
        </w:rPr>
        <w:t xml:space="preserve">. </w:t>
      </w:r>
    </w:p>
    <w:p w14:paraId="33ED3AA2" w14:textId="225AE7A2" w:rsidR="00CA3863" w:rsidRPr="00CA3863" w:rsidRDefault="00CA3863" w:rsidP="00CA3863">
      <w:pPr>
        <w:spacing w:after="120" w:line="276" w:lineRule="auto"/>
        <w:ind w:firstLine="708"/>
        <w:jc w:val="both"/>
        <w:rPr>
          <w:rFonts w:ascii="Arial" w:eastAsia="Times New Roman" w:hAnsi="Arial" w:cs="Arial"/>
          <w:bCs/>
          <w:sz w:val="22"/>
          <w:lang w:eastAsia="es-CO"/>
        </w:rPr>
      </w:pPr>
      <w:r w:rsidRPr="00CA386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w:t>
      </w:r>
      <w:r w:rsidR="001F304F">
        <w:rPr>
          <w:rFonts w:ascii="Arial" w:eastAsia="Times New Roman" w:hAnsi="Arial" w:cs="Arial"/>
          <w:bCs/>
          <w:sz w:val="22"/>
          <w:lang w:eastAsia="es-CO"/>
        </w:rPr>
        <w:t xml:space="preserve"> Electorales</w:t>
      </w:r>
      <w:r w:rsidRPr="00CA3863">
        <w:rPr>
          <w:rFonts w:ascii="Arial" w:eastAsia="Times New Roman" w:hAnsi="Arial" w:cs="Arial"/>
          <w:bCs/>
          <w:sz w:val="22"/>
          <w:lang w:eastAsia="es-CO"/>
        </w:rPr>
        <w:t xml:space="preserve">, al señalar que no solo aplica frente a las entidades sometidas al Estatuto </w:t>
      </w:r>
      <w:r w:rsidR="00AE7466">
        <w:rPr>
          <w:rFonts w:ascii="Arial" w:eastAsia="Times New Roman" w:hAnsi="Arial" w:cs="Arial"/>
          <w:bCs/>
          <w:sz w:val="22"/>
          <w:lang w:eastAsia="es-CO"/>
        </w:rPr>
        <w:t>G</w:t>
      </w:r>
      <w:r w:rsidRPr="00CA3863">
        <w:rPr>
          <w:rFonts w:ascii="Arial" w:eastAsia="Times New Roman" w:hAnsi="Arial" w:cs="Arial"/>
          <w:bCs/>
          <w:sz w:val="22"/>
          <w:lang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EEF27E7" w14:textId="77777777" w:rsidR="00CA3863" w:rsidRPr="00CA3863" w:rsidRDefault="00CA3863" w:rsidP="00CA3863">
      <w:pPr>
        <w:spacing w:after="120" w:line="276" w:lineRule="auto"/>
        <w:ind w:firstLine="708"/>
        <w:jc w:val="both"/>
        <w:rPr>
          <w:rFonts w:ascii="Arial" w:eastAsia="Times New Roman" w:hAnsi="Arial" w:cs="Arial"/>
          <w:bCs/>
          <w:sz w:val="22"/>
          <w:lang w:eastAsia="x-none"/>
        </w:rPr>
      </w:pPr>
      <w:r w:rsidRPr="00CA3863">
        <w:rPr>
          <w:rFonts w:ascii="Arial" w:eastAsia="Times New Roman"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CA3863">
        <w:rPr>
          <w:rFonts w:ascii="Arial" w:eastAsia="Times New Roman" w:hAnsi="Arial" w:cs="Arial"/>
          <w:bCs/>
          <w:sz w:val="22"/>
          <w:lang w:eastAsia="x-none"/>
        </w:rPr>
        <w:lastRenderedPageBreak/>
        <w:t>contratación utilizado por las entidades estatales que no incluya la convocatoria pública en alguna de sus etapas, ni permita la participación de una pluralidad de oferentes</w:t>
      </w:r>
      <w:r w:rsidRPr="00CA3863">
        <w:rPr>
          <w:rFonts w:ascii="Arial" w:eastAsia="Times New Roman" w:hAnsi="Arial" w:cs="Arial"/>
          <w:sz w:val="22"/>
          <w:vertAlign w:val="superscript"/>
          <w:lang w:val="es-CO" w:eastAsia="x-none"/>
        </w:rPr>
        <w:footnoteReference w:id="16"/>
      </w:r>
      <w:r w:rsidRPr="00CA3863">
        <w:rPr>
          <w:rFonts w:ascii="Arial" w:eastAsia="Times New Roman" w:hAnsi="Arial" w:cs="Arial"/>
          <w:bCs/>
          <w:sz w:val="22"/>
          <w:lang w:eastAsia="x-none"/>
        </w:rPr>
        <w:t>.</w:t>
      </w:r>
      <w:r w:rsidRPr="00CA3863">
        <w:rPr>
          <w:rFonts w:ascii="Arial" w:eastAsia="Times New Roman" w:hAnsi="Arial" w:cs="Arial"/>
          <w:sz w:val="22"/>
          <w:vertAlign w:val="superscript"/>
          <w:lang w:val="es-CO" w:eastAsia="x-none"/>
        </w:rPr>
        <w:t xml:space="preserve"> </w:t>
      </w:r>
    </w:p>
    <w:p w14:paraId="27DA9499" w14:textId="52F83CE8" w:rsidR="00CA3863" w:rsidRPr="00CA3863" w:rsidRDefault="00CA3863" w:rsidP="00CA3863">
      <w:pPr>
        <w:spacing w:after="120" w:line="276" w:lineRule="auto"/>
        <w:ind w:firstLine="708"/>
        <w:jc w:val="both"/>
        <w:rPr>
          <w:rFonts w:ascii="Arial" w:eastAsia="Times New Roman" w:hAnsi="Arial" w:cs="Arial"/>
          <w:sz w:val="22"/>
          <w:lang w:val="es-CO" w:eastAsia="x-none"/>
        </w:rPr>
      </w:pPr>
      <w:r w:rsidRPr="00CA3863">
        <w:rPr>
          <w:rFonts w:ascii="Arial" w:eastAsia="Times New Roman"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CA3863">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w:t>
      </w:r>
      <w:r w:rsidR="00AE7466">
        <w:rPr>
          <w:rFonts w:ascii="Arial" w:eastAsia="Times New Roman" w:hAnsi="Arial" w:cs="Arial"/>
          <w:sz w:val="22"/>
          <w:lang w:val="es-CO" w:eastAsia="x-none"/>
        </w:rPr>
        <w:t>,</w:t>
      </w:r>
      <w:r w:rsidRPr="00CA3863">
        <w:rPr>
          <w:rFonts w:ascii="Arial" w:eastAsia="Times New Roman" w:hAnsi="Arial" w:cs="Arial"/>
          <w:sz w:val="22"/>
          <w:lang w:val="es-CO" w:eastAsia="x-none"/>
        </w:rPr>
        <w:t xml:space="preserve"> la selección abreviada</w:t>
      </w:r>
      <w:r w:rsidR="00AE7466">
        <w:rPr>
          <w:rFonts w:ascii="Arial" w:eastAsia="Times New Roman" w:hAnsi="Arial" w:cs="Arial"/>
          <w:sz w:val="22"/>
          <w:lang w:val="es-CO" w:eastAsia="x-none"/>
        </w:rPr>
        <w:t xml:space="preserve"> y la mínima cuantía,</w:t>
      </w:r>
      <w:r w:rsidRPr="00CA3863">
        <w:rPr>
          <w:rFonts w:ascii="Arial" w:eastAsia="Times New Roman" w:hAnsi="Arial" w:cs="Arial"/>
          <w:sz w:val="22"/>
          <w:lang w:val="es-CO" w:eastAsia="x-none"/>
        </w:rPr>
        <w:t xml:space="preserve"> razón por la cual en ese período preelectoral de que trata la disposición las entidades públicas </w:t>
      </w:r>
      <w:r w:rsidR="00AE7466" w:rsidRPr="00CA3863">
        <w:rPr>
          <w:rFonts w:ascii="Arial" w:eastAsia="Times New Roman" w:hAnsi="Arial" w:cs="Arial"/>
          <w:sz w:val="22"/>
          <w:lang w:val="es-CO" w:eastAsia="x-none"/>
        </w:rPr>
        <w:t xml:space="preserve">pueden </w:t>
      </w:r>
      <w:r w:rsidRPr="00CA3863">
        <w:rPr>
          <w:rFonts w:ascii="Arial" w:eastAsia="Times New Roman" w:hAnsi="Arial" w:cs="Arial"/>
          <w:sz w:val="22"/>
          <w:lang w:val="es-CO" w:eastAsia="x-none"/>
        </w:rPr>
        <w:t>seguir contratando bajo estos sistemas.</w:t>
      </w:r>
    </w:p>
    <w:p w14:paraId="07837698" w14:textId="2EC6546E" w:rsidR="00CA3863" w:rsidRPr="00CA3863" w:rsidRDefault="00CA3863" w:rsidP="00CA3863">
      <w:pPr>
        <w:spacing w:after="120" w:line="276" w:lineRule="auto"/>
        <w:ind w:firstLine="708"/>
        <w:jc w:val="both"/>
        <w:rPr>
          <w:rFonts w:ascii="Arial" w:eastAsia="Times New Roman" w:hAnsi="Arial" w:cs="Arial"/>
          <w:bCs/>
          <w:sz w:val="22"/>
          <w:lang w:eastAsia="x-none"/>
        </w:rPr>
      </w:pPr>
      <w:bookmarkStart w:id="2" w:name="_Hlk77237094"/>
      <w:r w:rsidRPr="00CA3863">
        <w:rPr>
          <w:rFonts w:ascii="Arial" w:eastAsia="Times New Roman" w:hAnsi="Arial" w:cs="Arial"/>
          <w:bCs/>
          <w:sz w:val="22"/>
          <w:lang w:eastAsia="es-CO"/>
        </w:rPr>
        <w:t xml:space="preserve">Como en otras oportunidades lo ha manifestado esta Agencia, </w:t>
      </w:r>
      <w:r w:rsidR="00AE7466">
        <w:rPr>
          <w:rFonts w:ascii="Arial" w:eastAsia="Times New Roman" w:hAnsi="Arial" w:cs="Arial"/>
          <w:bCs/>
          <w:sz w:val="22"/>
          <w:lang w:eastAsia="es-CO"/>
        </w:rPr>
        <w:t xml:space="preserve">particularmente en la Circular Externa Única, </w:t>
      </w:r>
      <w:r w:rsidRPr="00CA3863">
        <w:rPr>
          <w:rFonts w:ascii="Arial" w:eastAsia="Times New Roman" w:hAnsi="Arial" w:cs="Arial"/>
          <w:bCs/>
          <w:sz w:val="22"/>
          <w:lang w:eastAsia="es-CO"/>
        </w:rPr>
        <w:t>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
    </w:p>
    <w:p w14:paraId="596963DC" w14:textId="5BC77CE7" w:rsidR="00CA3863" w:rsidRPr="00CA3863" w:rsidRDefault="00CA3863" w:rsidP="00CA3863">
      <w:pPr>
        <w:spacing w:after="120" w:line="276" w:lineRule="auto"/>
        <w:ind w:firstLine="708"/>
        <w:jc w:val="both"/>
        <w:rPr>
          <w:rFonts w:ascii="Arial" w:eastAsia="Times New Roman" w:hAnsi="Arial" w:cs="Arial"/>
          <w:bCs/>
          <w:sz w:val="22"/>
          <w:lang w:eastAsia="es-CO"/>
        </w:rPr>
      </w:pPr>
      <w:r w:rsidRPr="00CA3863">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w:t>
      </w:r>
      <w:r w:rsidR="004E7FEF">
        <w:rPr>
          <w:rFonts w:ascii="Arial" w:eastAsia="Times New Roman" w:hAnsi="Arial" w:cs="Arial"/>
          <w:bCs/>
          <w:sz w:val="22"/>
          <w:lang w:eastAsia="x-none"/>
        </w:rPr>
        <w:t>,</w:t>
      </w:r>
      <w:r w:rsidRPr="00CA3863">
        <w:rPr>
          <w:rFonts w:ascii="Arial" w:eastAsia="Times New Roman" w:hAnsi="Arial" w:cs="Arial"/>
          <w:bCs/>
          <w:sz w:val="22"/>
          <w:lang w:eastAsia="x-none"/>
        </w:rPr>
        <w:t xml:space="preserve"> en lo referente a</w:t>
      </w:r>
      <w:r w:rsidR="004E7FEF">
        <w:rPr>
          <w:rFonts w:ascii="Arial" w:eastAsia="Times New Roman" w:hAnsi="Arial" w:cs="Arial"/>
          <w:bCs/>
          <w:sz w:val="22"/>
          <w:lang w:eastAsia="x-none"/>
        </w:rPr>
        <w:t>:</w:t>
      </w:r>
      <w:r w:rsidRPr="00CA3863">
        <w:rPr>
          <w:rFonts w:ascii="Arial" w:eastAsia="Times New Roman" w:hAnsi="Arial" w:cs="Arial"/>
          <w:bCs/>
          <w:sz w:val="22"/>
          <w:lang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A3863">
        <w:rPr>
          <w:rFonts w:ascii="Arial" w:eastAsia="Times New Roman" w:hAnsi="Arial" w:cs="Arial"/>
          <w:bCs/>
          <w:sz w:val="22"/>
          <w:lang w:eastAsia="es-CO"/>
        </w:rPr>
        <w:t xml:space="preserve"> </w:t>
      </w:r>
      <w:r w:rsidR="00556C19">
        <w:rPr>
          <w:rFonts w:ascii="Arial" w:eastAsia="Times New Roman" w:hAnsi="Arial" w:cs="Arial"/>
          <w:bCs/>
          <w:sz w:val="22"/>
          <w:lang w:eastAsia="es-CO"/>
        </w:rPr>
        <w:t>Teniendo en cuenta lo anterior, e</w:t>
      </w:r>
      <w:r w:rsidRPr="00CA3863">
        <w:rPr>
          <w:rFonts w:ascii="Arial" w:eastAsia="Times New Roman" w:hAnsi="Arial" w:cs="Arial"/>
          <w:bCs/>
          <w:sz w:val="22"/>
          <w:lang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B28C311" w14:textId="407EA6E2" w:rsidR="00CA3863" w:rsidRPr="00CA3863" w:rsidRDefault="00CA3863" w:rsidP="00CA3863">
      <w:pPr>
        <w:spacing w:line="276" w:lineRule="auto"/>
        <w:ind w:firstLine="708"/>
        <w:jc w:val="both"/>
        <w:rPr>
          <w:rFonts w:ascii="Arial" w:eastAsia="Times New Roman" w:hAnsi="Arial" w:cs="Arial"/>
          <w:bCs/>
          <w:sz w:val="22"/>
          <w:lang w:eastAsia="x-none"/>
        </w:rPr>
      </w:pPr>
      <w:r w:rsidRPr="00CA3863">
        <w:rPr>
          <w:rFonts w:ascii="Arial" w:eastAsia="Times New Roman" w:hAnsi="Arial" w:cs="Arial"/>
          <w:bCs/>
          <w:sz w:val="22"/>
          <w:lang w:eastAsia="x-none"/>
        </w:rPr>
        <w:t xml:space="preserve">En esta labor es importante tener en cuenta, como lo anotó la Corte Constitucional, en </w:t>
      </w:r>
      <w:r w:rsidR="00556C19">
        <w:rPr>
          <w:rFonts w:ascii="Arial" w:eastAsia="Times New Roman" w:hAnsi="Arial" w:cs="Arial"/>
          <w:bCs/>
          <w:sz w:val="22"/>
          <w:lang w:eastAsia="x-none"/>
        </w:rPr>
        <w:t xml:space="preserve">la </w:t>
      </w:r>
      <w:r w:rsidRPr="00CA3863">
        <w:rPr>
          <w:rFonts w:ascii="Arial" w:eastAsia="Times New Roman" w:hAnsi="Arial" w:cs="Arial"/>
          <w:bCs/>
          <w:sz w:val="22"/>
          <w:lang w:eastAsia="x-none"/>
        </w:rPr>
        <w:t xml:space="preserve">Sentencia C-1153 de noviembre 11 de 2005 </w:t>
      </w:r>
      <w:bookmarkStart w:id="3" w:name="_Hlk74309042"/>
      <w:r w:rsidRPr="00CA3863">
        <w:rPr>
          <w:rFonts w:ascii="Arial" w:eastAsia="Times New Roman" w:hAnsi="Arial" w:cs="Arial"/>
          <w:bCs/>
          <w:sz w:val="22"/>
          <w:lang w:eastAsia="x-none"/>
        </w:rPr>
        <w:t>que «</w:t>
      </w:r>
      <w:bookmarkEnd w:id="3"/>
      <w:r w:rsidRPr="00CA386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4" w:name="_Hlk75768308"/>
      <w:r w:rsidRPr="00CA3863">
        <w:rPr>
          <w:rFonts w:ascii="Arial" w:eastAsia="Times New Roman" w:hAnsi="Arial" w:cs="Arial"/>
          <w:bCs/>
          <w:sz w:val="22"/>
          <w:lang w:eastAsia="x-none"/>
        </w:rPr>
        <w:t>no termine yendo en detrimento de intereses públicos, cuya garantía está en cabeza del ejecutivo, como son los inmersos en las excepciones para la prohibición de contratación</w:t>
      </w:r>
      <w:bookmarkStart w:id="5" w:name="_Hlk74309060"/>
      <w:r w:rsidRPr="00CA3863">
        <w:rPr>
          <w:rFonts w:ascii="Arial" w:eastAsia="Times New Roman" w:hAnsi="Arial" w:cs="Arial"/>
          <w:bCs/>
          <w:sz w:val="22"/>
          <w:lang w:eastAsia="x-none"/>
        </w:rPr>
        <w:t>»</w:t>
      </w:r>
      <w:bookmarkEnd w:id="5"/>
      <w:r w:rsidRPr="00CA3863">
        <w:rPr>
          <w:rFonts w:ascii="Arial" w:hAnsi="Arial" w:cs="Arial"/>
          <w:sz w:val="22"/>
          <w:vertAlign w:val="superscript"/>
        </w:rPr>
        <w:footnoteReference w:id="17"/>
      </w:r>
      <w:r w:rsidRPr="00CA3863">
        <w:rPr>
          <w:rFonts w:ascii="Arial" w:eastAsia="Times New Roman" w:hAnsi="Arial" w:cs="Arial"/>
          <w:bCs/>
          <w:sz w:val="22"/>
          <w:lang w:eastAsia="x-none"/>
        </w:rPr>
        <w:t xml:space="preserve">. De ahí que la Corte haya señalado que las excepciones a la restricción protegen diversos tipos de urgencias de defensa, salud, educación, infraestructura vial y de servicios públicos </w:t>
      </w:r>
      <w:r w:rsidRPr="00CA3863">
        <w:rPr>
          <w:rFonts w:ascii="Arial" w:eastAsia="Times New Roman" w:hAnsi="Arial" w:cs="Arial"/>
          <w:bCs/>
          <w:sz w:val="22"/>
          <w:lang w:eastAsia="x-none"/>
        </w:rPr>
        <w:lastRenderedPageBreak/>
        <w:t>y ecológicas, que tienden a no limitar desproporcionadamente la acción del Estado en el cumplimiento de sus fines, en procura de la igualdad entre los candidatos como garantía electoral.</w:t>
      </w:r>
      <w:bookmarkStart w:id="6" w:name="_Hlk75783800"/>
      <w:bookmarkEnd w:id="4"/>
    </w:p>
    <w:p w14:paraId="25D03C58" w14:textId="77777777" w:rsidR="00CA3863" w:rsidRPr="00CA3863" w:rsidRDefault="00CA3863" w:rsidP="00CA3863">
      <w:pPr>
        <w:spacing w:line="276" w:lineRule="auto"/>
        <w:ind w:firstLine="708"/>
        <w:jc w:val="both"/>
        <w:rPr>
          <w:rFonts w:ascii="Arial" w:eastAsia="Times New Roman" w:hAnsi="Arial" w:cs="Arial"/>
          <w:bCs/>
          <w:sz w:val="22"/>
          <w:lang w:eastAsia="x-none"/>
        </w:rPr>
      </w:pPr>
    </w:p>
    <w:p w14:paraId="40A7B54A" w14:textId="77777777" w:rsidR="00CA3863" w:rsidRPr="00CA3863" w:rsidRDefault="00CA3863" w:rsidP="00CA3863">
      <w:pPr>
        <w:spacing w:line="276" w:lineRule="auto"/>
        <w:jc w:val="both"/>
        <w:rPr>
          <w:rFonts w:ascii="Arial" w:eastAsia="Times New Roman" w:hAnsi="Arial" w:cs="Arial"/>
          <w:b/>
          <w:sz w:val="22"/>
          <w:lang w:eastAsia="x-none"/>
        </w:rPr>
      </w:pPr>
      <w:r w:rsidRPr="00CA3863">
        <w:rPr>
          <w:rFonts w:ascii="Arial" w:eastAsia="Times New Roman" w:hAnsi="Arial" w:cs="Arial"/>
          <w:b/>
          <w:sz w:val="22"/>
          <w:lang w:eastAsia="x-none"/>
        </w:rPr>
        <w:t>2.3.  Destinatarios de la restricción del artículo 33 de la Ley 996 de 2005</w:t>
      </w:r>
    </w:p>
    <w:p w14:paraId="7CE2AFFF" w14:textId="77777777" w:rsidR="00CA3863" w:rsidRPr="00CA3863" w:rsidRDefault="00CA3863" w:rsidP="00CA3863">
      <w:pPr>
        <w:spacing w:line="276" w:lineRule="auto"/>
        <w:jc w:val="both"/>
        <w:rPr>
          <w:rFonts w:ascii="Arial" w:eastAsia="Times New Roman" w:hAnsi="Arial" w:cs="Arial"/>
          <w:bCs/>
          <w:sz w:val="22"/>
          <w:lang w:eastAsia="x-none"/>
        </w:rPr>
      </w:pPr>
    </w:p>
    <w:p w14:paraId="1F86BADB" w14:textId="77777777" w:rsidR="00CA3863" w:rsidRPr="00CA3863" w:rsidRDefault="00CA3863" w:rsidP="00CA3863">
      <w:pPr>
        <w:spacing w:line="276" w:lineRule="auto"/>
        <w:jc w:val="both"/>
        <w:rPr>
          <w:rFonts w:ascii="Arial" w:eastAsia="Times New Roman" w:hAnsi="Arial" w:cs="Arial"/>
          <w:bCs/>
          <w:sz w:val="22"/>
          <w:lang w:eastAsia="x-none"/>
        </w:rPr>
      </w:pPr>
      <w:r w:rsidRPr="00CA3863">
        <w:rPr>
          <w:rFonts w:ascii="Arial" w:eastAsia="Times New Roman"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A3863">
        <w:rPr>
          <w:rFonts w:ascii="Arial" w:hAnsi="Arial" w:cs="Arial"/>
        </w:rPr>
        <w:t xml:space="preserve"> </w:t>
      </w:r>
      <w:r w:rsidRPr="00CA3863">
        <w:rPr>
          <w:rFonts w:ascii="Arial" w:eastAsia="Times New Roman" w:hAnsi="Arial" w:cs="Arial"/>
          <w:bCs/>
          <w:sz w:val="22"/>
          <w:lang w:eastAsia="x-none"/>
        </w:rPr>
        <w:t>En efecto, tal como lo ha sostenido el Consejo de Estado, el vocablo «todos» utilizado por el legislador comprende</w:t>
      </w:r>
      <w:r w:rsidRPr="00CA3863">
        <w:rPr>
          <w:rFonts w:ascii="Arial" w:hAnsi="Arial" w:cs="Arial"/>
        </w:rPr>
        <w:t xml:space="preserve"> </w:t>
      </w:r>
      <w:r w:rsidRPr="00CA3863">
        <w:rPr>
          <w:rFonts w:ascii="Arial" w:eastAsia="Times New Roman" w:hAnsi="Arial" w:cs="Arial"/>
          <w:bCs/>
          <w:sz w:val="22"/>
          <w:lang w:eastAsia="x-none"/>
        </w:rPr>
        <w:t>a la totalidad de los entes del Estado, sin distinción del régimen jurídico, forma de organización o naturaleza, su pertenencia a una u otra rama del poder público o su autonomía</w:t>
      </w:r>
      <w:bookmarkEnd w:id="6"/>
      <w:r w:rsidRPr="00CA3863">
        <w:rPr>
          <w:rFonts w:ascii="Arial" w:eastAsia="Times New Roman"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EBB28B9" w14:textId="77777777" w:rsidR="00CA3863" w:rsidRPr="00CA3863" w:rsidRDefault="00CA3863" w:rsidP="00CA3863">
      <w:pPr>
        <w:spacing w:line="276" w:lineRule="auto"/>
        <w:ind w:firstLine="708"/>
        <w:jc w:val="both"/>
        <w:rPr>
          <w:rFonts w:ascii="Arial" w:eastAsia="Times New Roman" w:hAnsi="Arial" w:cs="Arial"/>
          <w:bCs/>
          <w:sz w:val="22"/>
          <w:lang w:eastAsia="x-none"/>
        </w:rPr>
      </w:pPr>
    </w:p>
    <w:p w14:paraId="3D15E76C" w14:textId="77777777" w:rsidR="00CA3863" w:rsidRPr="00CA3863" w:rsidRDefault="00CA3863" w:rsidP="00CA3863">
      <w:pPr>
        <w:ind w:left="708" w:right="709"/>
        <w:jc w:val="both"/>
        <w:rPr>
          <w:rFonts w:ascii="Arial" w:eastAsia="Times New Roman" w:hAnsi="Arial" w:cs="Arial"/>
          <w:bCs/>
          <w:sz w:val="21"/>
          <w:szCs w:val="21"/>
          <w:lang w:eastAsia="es-CO"/>
        </w:rPr>
      </w:pPr>
      <w:r w:rsidRPr="00CA3863">
        <w:rPr>
          <w:rFonts w:ascii="Arial" w:eastAsia="Times New Roman" w:hAnsi="Arial" w:cs="Arial"/>
          <w:bCs/>
          <w:sz w:val="21"/>
          <w:szCs w:val="21"/>
          <w:lang w:eastAsia="x-none"/>
        </w:rPr>
        <w:t xml:space="preserve">El artículo 33 de la ley 996 de 2005, </w:t>
      </w:r>
      <w:bookmarkStart w:id="7" w:name="_Hlk75787147"/>
      <w:r w:rsidRPr="00CA3863">
        <w:rPr>
          <w:rFonts w:ascii="Arial" w:eastAsia="Times New Roman"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A3863">
        <w:rPr>
          <w:rFonts w:ascii="Arial" w:eastAsia="Times New Roman" w:hAnsi="Arial" w:cs="Arial"/>
          <w:bCs/>
          <w:sz w:val="21"/>
          <w:szCs w:val="21"/>
          <w:vertAlign w:val="superscript"/>
          <w:lang w:eastAsia="x-none"/>
        </w:rPr>
        <w:footnoteReference w:id="18"/>
      </w:r>
      <w:r w:rsidRPr="00CA3863">
        <w:rPr>
          <w:rFonts w:ascii="Arial" w:eastAsia="Times New Roman" w:hAnsi="Arial" w:cs="Arial"/>
          <w:bCs/>
          <w:sz w:val="21"/>
          <w:szCs w:val="21"/>
          <w:lang w:eastAsia="x-none"/>
        </w:rPr>
        <w:t>.</w:t>
      </w:r>
      <w:r w:rsidRPr="00CA3863">
        <w:rPr>
          <w:rFonts w:ascii="Arial" w:eastAsia="Times New Roman" w:hAnsi="Arial" w:cs="Arial"/>
          <w:bCs/>
          <w:sz w:val="21"/>
          <w:szCs w:val="21"/>
          <w:lang w:eastAsia="es-CO"/>
        </w:rPr>
        <w:t xml:space="preserve"> </w:t>
      </w:r>
    </w:p>
    <w:p w14:paraId="0C5BE624" w14:textId="77777777" w:rsidR="00CA3863" w:rsidRPr="00CA3863" w:rsidRDefault="00CA3863" w:rsidP="00CA3863">
      <w:pPr>
        <w:spacing w:line="276" w:lineRule="auto"/>
        <w:ind w:firstLine="708"/>
        <w:jc w:val="both"/>
        <w:rPr>
          <w:rFonts w:ascii="Arial" w:eastAsia="Times New Roman" w:hAnsi="Arial" w:cs="Arial"/>
          <w:bCs/>
          <w:sz w:val="22"/>
          <w:lang w:eastAsia="es-CO"/>
        </w:rPr>
      </w:pPr>
    </w:p>
    <w:p w14:paraId="3C98A6A1" w14:textId="2A325368" w:rsidR="00CA3863" w:rsidRPr="00CA3863" w:rsidRDefault="00CA3863" w:rsidP="00CA3863">
      <w:pPr>
        <w:spacing w:line="276" w:lineRule="auto"/>
        <w:ind w:firstLine="708"/>
        <w:jc w:val="both"/>
        <w:rPr>
          <w:rFonts w:ascii="Arial" w:hAnsi="Arial" w:cs="Arial"/>
          <w:sz w:val="22"/>
        </w:rPr>
      </w:pPr>
      <w:r w:rsidRPr="00CA3863">
        <w:rPr>
          <w:rFonts w:ascii="Arial" w:eastAsia="Times New Roman" w:hAnsi="Arial" w:cs="Arial"/>
          <w:bCs/>
          <w:sz w:val="22"/>
          <w:lang w:eastAsia="x-none"/>
        </w:rPr>
        <w:t>De igual forma, en Concepto con radicado 1738 de</w:t>
      </w:r>
      <w:r w:rsidR="00556C19">
        <w:rPr>
          <w:rFonts w:ascii="Arial" w:eastAsia="Times New Roman" w:hAnsi="Arial" w:cs="Arial"/>
          <w:bCs/>
          <w:sz w:val="22"/>
          <w:lang w:eastAsia="x-none"/>
        </w:rPr>
        <w:t>l</w:t>
      </w:r>
      <w:r w:rsidRPr="00CA3863">
        <w:rPr>
          <w:rFonts w:ascii="Arial" w:eastAsia="Times New Roman" w:hAnsi="Arial" w:cs="Arial"/>
          <w:bCs/>
          <w:sz w:val="22"/>
          <w:lang w:eastAsia="x-none"/>
        </w:rPr>
        <w:t xml:space="preserv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8" w:name="_Hlk75635823"/>
      <w:r w:rsidRPr="00CA3863">
        <w:rPr>
          <w:rFonts w:ascii="Arial" w:eastAsia="Times New Roman" w:hAnsi="Arial" w:cs="Arial"/>
          <w:bCs/>
          <w:sz w:val="22"/>
          <w:lang w:eastAsia="x-none"/>
        </w:rPr>
        <w:t>»</w:t>
      </w:r>
      <w:bookmarkStart w:id="9" w:name="_Hlk75758868"/>
      <w:bookmarkStart w:id="10" w:name="_Hlk75741220"/>
      <w:bookmarkEnd w:id="8"/>
      <w:r w:rsidRPr="00CA3863">
        <w:rPr>
          <w:rFonts w:ascii="Arial" w:hAnsi="Arial" w:cs="Arial"/>
          <w:vertAlign w:val="superscript"/>
        </w:rPr>
        <w:footnoteReference w:id="19"/>
      </w:r>
      <w:bookmarkEnd w:id="9"/>
      <w:bookmarkEnd w:id="10"/>
      <w:r w:rsidRPr="00CA3863">
        <w:rPr>
          <w:rFonts w:ascii="Arial" w:eastAsia="Times New Roman" w:hAnsi="Arial" w:cs="Arial"/>
          <w:bCs/>
          <w:sz w:val="22"/>
          <w:lang w:eastAsia="x-none"/>
        </w:rPr>
        <w:t>.</w:t>
      </w:r>
      <w:r w:rsidRPr="00CA3863">
        <w:rPr>
          <w:rFonts w:ascii="Arial" w:hAnsi="Arial" w:cs="Arial"/>
          <w:sz w:val="22"/>
        </w:rPr>
        <w:t xml:space="preserve"> Sin embargo, debe precisarse el siguiente aspecto que distinguió la Sala de Consulta y Servicio Civil:</w:t>
      </w:r>
    </w:p>
    <w:p w14:paraId="473D4721" w14:textId="77777777" w:rsidR="00CA3863" w:rsidRPr="00CA3863" w:rsidRDefault="00CA3863" w:rsidP="00CA3863">
      <w:pPr>
        <w:spacing w:line="276" w:lineRule="auto"/>
        <w:jc w:val="both"/>
        <w:rPr>
          <w:rFonts w:ascii="Arial" w:hAnsi="Arial" w:cs="Arial"/>
          <w:sz w:val="22"/>
        </w:rPr>
      </w:pPr>
    </w:p>
    <w:p w14:paraId="14DE9242" w14:textId="77777777" w:rsidR="00CA3863" w:rsidRPr="00CA3863" w:rsidRDefault="00CA3863" w:rsidP="00CA3863">
      <w:pPr>
        <w:ind w:left="708" w:right="709"/>
        <w:jc w:val="both"/>
        <w:rPr>
          <w:rFonts w:ascii="Arial" w:hAnsi="Arial" w:cs="Arial"/>
          <w:sz w:val="21"/>
          <w:szCs w:val="21"/>
        </w:rPr>
      </w:pPr>
      <w:bookmarkStart w:id="12" w:name="_Hlk75811446"/>
      <w:r w:rsidRPr="00CA386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2"/>
      <w:r w:rsidRPr="00CA3863">
        <w:rPr>
          <w:rFonts w:ascii="Arial" w:hAnsi="Arial" w:cs="Arial"/>
          <w:vertAlign w:val="superscript"/>
        </w:rPr>
        <w:footnoteReference w:id="20"/>
      </w:r>
      <w:r w:rsidRPr="00CA3863">
        <w:rPr>
          <w:rFonts w:ascii="Arial" w:eastAsia="Times New Roman" w:hAnsi="Arial" w:cs="Arial"/>
          <w:bCs/>
          <w:sz w:val="22"/>
          <w:lang w:eastAsia="x-none"/>
        </w:rPr>
        <w:t>.</w:t>
      </w:r>
    </w:p>
    <w:p w14:paraId="399DBC94" w14:textId="77777777" w:rsidR="00CA3863" w:rsidRPr="00CA3863" w:rsidRDefault="00CA3863" w:rsidP="00CA3863">
      <w:pPr>
        <w:spacing w:line="276" w:lineRule="auto"/>
        <w:jc w:val="both"/>
        <w:rPr>
          <w:rFonts w:ascii="Arial" w:hAnsi="Arial" w:cs="Arial"/>
          <w:sz w:val="22"/>
        </w:rPr>
      </w:pPr>
    </w:p>
    <w:p w14:paraId="735841FE" w14:textId="77777777" w:rsidR="00CA3863" w:rsidRPr="00CA3863" w:rsidRDefault="00CA3863" w:rsidP="00CA3863">
      <w:pPr>
        <w:spacing w:after="120" w:line="276" w:lineRule="auto"/>
        <w:ind w:firstLine="709"/>
        <w:jc w:val="both"/>
        <w:rPr>
          <w:rFonts w:ascii="Arial" w:eastAsia="Times New Roman" w:hAnsi="Arial" w:cs="Arial"/>
          <w:bCs/>
          <w:sz w:val="22"/>
          <w:lang w:eastAsia="x-none"/>
        </w:rPr>
      </w:pPr>
      <w:r w:rsidRPr="00CA3863">
        <w:rPr>
          <w:rFonts w:ascii="Arial" w:hAnsi="Arial" w:cs="Arial"/>
          <w:sz w:val="22"/>
        </w:rPr>
        <w:t>Aplicando este razonamiento,</w:t>
      </w:r>
      <w:bookmarkStart w:id="13" w:name="_Hlk75811096"/>
      <w:r w:rsidRPr="00CA3863">
        <w:rPr>
          <w:rFonts w:ascii="Arial" w:hAnsi="Arial" w:cs="Arial"/>
          <w:sz w:val="22"/>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3"/>
      <w:r w:rsidRPr="00CA3863">
        <w:rPr>
          <w:rFonts w:ascii="Arial" w:hAnsi="Arial" w:cs="Arial"/>
          <w:sz w:val="22"/>
        </w:rPr>
        <w:t>»</w:t>
      </w:r>
      <w:r w:rsidRPr="00CA3863">
        <w:rPr>
          <w:rFonts w:ascii="Arial" w:hAnsi="Arial" w:cs="Arial"/>
          <w:vertAlign w:val="superscript"/>
        </w:rPr>
        <w:t xml:space="preserve"> </w:t>
      </w:r>
      <w:r w:rsidRPr="00CA3863">
        <w:rPr>
          <w:rFonts w:ascii="Arial" w:hAnsi="Arial" w:cs="Arial"/>
          <w:sz w:val="22"/>
          <w:vertAlign w:val="superscript"/>
        </w:rPr>
        <w:footnoteReference w:id="21"/>
      </w:r>
      <w:r w:rsidRPr="00CA3863">
        <w:rPr>
          <w:rFonts w:ascii="Arial" w:hAnsi="Arial" w:cs="Arial"/>
          <w:sz w:val="22"/>
        </w:rPr>
        <w:t>.</w:t>
      </w:r>
    </w:p>
    <w:p w14:paraId="1BE8B160" w14:textId="77777777" w:rsidR="00CA3863" w:rsidRPr="00CA3863" w:rsidRDefault="00CA3863" w:rsidP="00CA3863">
      <w:pPr>
        <w:spacing w:line="276" w:lineRule="auto"/>
        <w:ind w:firstLine="708"/>
        <w:jc w:val="both"/>
        <w:rPr>
          <w:rFonts w:ascii="Arial" w:eastAsia="Times New Roman" w:hAnsi="Arial" w:cs="Arial"/>
          <w:bCs/>
          <w:sz w:val="22"/>
          <w:lang w:eastAsia="x-none"/>
        </w:rPr>
      </w:pPr>
      <w:bookmarkStart w:id="14" w:name="_Hlk77237229"/>
      <w:bookmarkEnd w:id="7"/>
      <w:r w:rsidRPr="00CA3863">
        <w:rPr>
          <w:rFonts w:ascii="Arial" w:hAnsi="Arial" w:cs="Arial"/>
          <w:sz w:val="22"/>
        </w:rPr>
        <w:t>Por lo tanto, la restricción prevista en la Ley 996 de 200</w:t>
      </w:r>
      <w:bookmarkStart w:id="15" w:name="_Hlk75741539"/>
      <w:r w:rsidRPr="00CA3863">
        <w:rPr>
          <w:rFonts w:ascii="Arial" w:hAnsi="Arial" w:cs="Arial"/>
          <w:sz w:val="22"/>
        </w:rPr>
        <w:t xml:space="preserve">5, </w:t>
      </w:r>
      <w:r w:rsidRPr="00CA386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14"/>
    <w:bookmarkEnd w:id="15"/>
    <w:p w14:paraId="5C0CBF99" w14:textId="30B89408" w:rsidR="00CA3863" w:rsidRDefault="00CA3863" w:rsidP="005702EB">
      <w:pPr>
        <w:jc w:val="both"/>
        <w:rPr>
          <w:rFonts w:ascii="Arial" w:hAnsi="Arial" w:cs="Arial"/>
          <w:b/>
          <w:sz w:val="22"/>
        </w:rPr>
      </w:pPr>
    </w:p>
    <w:p w14:paraId="0956AB06" w14:textId="1CAECCC9" w:rsidR="00861232" w:rsidRPr="00901819" w:rsidRDefault="00861232" w:rsidP="00861232">
      <w:pPr>
        <w:spacing w:line="276" w:lineRule="auto"/>
        <w:jc w:val="both"/>
        <w:rPr>
          <w:rFonts w:ascii="Arial" w:eastAsia="Arial" w:hAnsi="Arial" w:cs="Arial"/>
          <w:b/>
          <w:bCs/>
          <w:sz w:val="22"/>
          <w:lang w:val="es-ES" w:eastAsia="es-ES" w:bidi="es-ES"/>
        </w:rPr>
      </w:pPr>
      <w:r w:rsidRPr="00DD15DE">
        <w:rPr>
          <w:rFonts w:ascii="Arial" w:eastAsia="Arial" w:hAnsi="Arial" w:cs="Arial"/>
          <w:b/>
          <w:bCs/>
          <w:sz w:val="22"/>
          <w:lang w:val="es-ES" w:eastAsia="es-ES" w:bidi="es-ES"/>
        </w:rPr>
        <w:t>2.</w:t>
      </w:r>
      <w:r w:rsidR="004F60FB">
        <w:rPr>
          <w:rFonts w:ascii="Arial" w:eastAsia="Arial" w:hAnsi="Arial" w:cs="Arial"/>
          <w:b/>
          <w:bCs/>
          <w:sz w:val="22"/>
          <w:lang w:val="es-ES" w:eastAsia="es-ES" w:bidi="es-ES"/>
        </w:rPr>
        <w:t>4</w:t>
      </w:r>
      <w:r w:rsidRPr="00DD15DE">
        <w:rPr>
          <w:rFonts w:ascii="Arial" w:eastAsia="Arial" w:hAnsi="Arial" w:cs="Arial"/>
          <w:b/>
          <w:bCs/>
          <w:sz w:val="22"/>
          <w:lang w:val="es-ES" w:eastAsia="es-ES" w:bidi="es-ES"/>
        </w:rPr>
        <w:t xml:space="preserve">. Convenios de asociación y </w:t>
      </w:r>
      <w:r w:rsidR="004F60FB" w:rsidRPr="00DD15DE">
        <w:rPr>
          <w:rFonts w:ascii="Arial" w:eastAsia="Arial" w:hAnsi="Arial" w:cs="Arial"/>
          <w:b/>
          <w:bCs/>
          <w:sz w:val="22"/>
          <w:lang w:val="es-ES" w:eastAsia="es-ES" w:bidi="es-ES"/>
        </w:rPr>
        <w:t>restricci</w:t>
      </w:r>
      <w:r w:rsidR="004F60FB">
        <w:rPr>
          <w:rFonts w:ascii="Arial" w:eastAsia="Arial" w:hAnsi="Arial" w:cs="Arial"/>
          <w:b/>
          <w:bCs/>
          <w:sz w:val="22"/>
          <w:lang w:val="es-ES" w:eastAsia="es-ES" w:bidi="es-ES"/>
        </w:rPr>
        <w:t>ón de contratación directa</w:t>
      </w:r>
      <w:r w:rsidRPr="00DD15DE">
        <w:rPr>
          <w:rFonts w:ascii="Arial" w:eastAsia="Arial" w:hAnsi="Arial" w:cs="Arial"/>
          <w:b/>
          <w:bCs/>
          <w:sz w:val="22"/>
          <w:lang w:val="es-ES" w:eastAsia="es-ES" w:bidi="es-ES"/>
        </w:rPr>
        <w:t xml:space="preserve"> de la Ley de Garantías</w:t>
      </w:r>
    </w:p>
    <w:p w14:paraId="5CEBABD7" w14:textId="77777777" w:rsidR="00861232" w:rsidRPr="00DD15DE" w:rsidRDefault="00861232" w:rsidP="00861232">
      <w:pPr>
        <w:spacing w:line="276" w:lineRule="auto"/>
        <w:jc w:val="both"/>
        <w:rPr>
          <w:rFonts w:ascii="Arial" w:eastAsia="Arial" w:hAnsi="Arial" w:cs="Arial"/>
          <w:b/>
          <w:bCs/>
          <w:sz w:val="22"/>
          <w:lang w:val="es-ES" w:eastAsia="es-ES" w:bidi="es-ES"/>
        </w:rPr>
      </w:pPr>
    </w:p>
    <w:p w14:paraId="582C4CD1" w14:textId="5EBB6939" w:rsidR="00861232" w:rsidRPr="00DD15DE" w:rsidRDefault="00861232" w:rsidP="00861232">
      <w:pPr>
        <w:pStyle w:val="Sinespaciado"/>
        <w:spacing w:line="276" w:lineRule="auto"/>
        <w:jc w:val="both"/>
        <w:rPr>
          <w:rFonts w:ascii="Arial" w:hAnsi="Arial" w:cs="Arial"/>
          <w:color w:val="000000" w:themeColor="text1"/>
          <w:sz w:val="22"/>
        </w:rPr>
      </w:pPr>
      <w:r w:rsidRPr="00DD15DE">
        <w:rPr>
          <w:rFonts w:ascii="Arial" w:hAnsi="Arial" w:cs="Arial"/>
          <w:color w:val="000000" w:themeColor="text1"/>
          <w:sz w:val="22"/>
        </w:rPr>
        <w:t xml:space="preserve">El artículo 355 de la Constitución Política prohíbe a las ramas y órganos del poder público decretar auxilios o donaciones en favor de personas naturales o jurídicas. Igualmente, </w:t>
      </w:r>
      <w:r w:rsidRPr="00DD15DE">
        <w:rPr>
          <w:rFonts w:ascii="Arial" w:hAnsi="Arial" w:cs="Arial"/>
          <w:color w:val="000000" w:themeColor="text1"/>
          <w:sz w:val="22"/>
        </w:rPr>
        <w:lastRenderedPageBreak/>
        <w:t xml:space="preserve">establece que las entidades del orden nacional, departamental, distrital y municipal podrán, con sus propios recursos, contratar con </w:t>
      </w:r>
      <w:r w:rsidRPr="00340A15">
        <w:rPr>
          <w:rFonts w:ascii="Arial" w:hAnsi="Arial" w:cs="Arial"/>
          <w:color w:val="000000" w:themeColor="text1"/>
          <w:sz w:val="22"/>
        </w:rPr>
        <w:t xml:space="preserve">entidades privadas sin ánimo de lucro  </w:t>
      </w:r>
      <w:r w:rsidR="00556C19">
        <w:rPr>
          <w:rFonts w:ascii="Arial" w:hAnsi="Arial" w:cs="Arial"/>
          <w:color w:val="000000" w:themeColor="text1"/>
          <w:sz w:val="22"/>
        </w:rPr>
        <w:t>–</w:t>
      </w:r>
      <w:r w:rsidRPr="00DD15DE">
        <w:rPr>
          <w:rFonts w:ascii="Arial" w:hAnsi="Arial" w:cs="Arial"/>
          <w:color w:val="000000" w:themeColor="text1"/>
          <w:sz w:val="22"/>
        </w:rPr>
        <w:t>ESAL</w:t>
      </w:r>
      <w:r w:rsidR="00556C19">
        <w:rPr>
          <w:rFonts w:ascii="Arial" w:hAnsi="Arial" w:cs="Arial"/>
          <w:color w:val="000000" w:themeColor="text1"/>
          <w:sz w:val="22"/>
        </w:rPr>
        <w:t>–</w:t>
      </w:r>
      <w:r w:rsidRPr="00DD15DE">
        <w:rPr>
          <w:rFonts w:ascii="Arial" w:hAnsi="Arial" w:cs="Arial"/>
          <w:color w:val="000000" w:themeColor="text1"/>
          <w:sz w:val="22"/>
        </w:rPr>
        <w:t xml:space="preserve"> con el fin de impulsar programas y actividades de interés público acordes con el plan nacional y los planes seccionales de desarrollo</w:t>
      </w:r>
      <w:r w:rsidRPr="00DD15DE">
        <w:rPr>
          <w:rStyle w:val="Refdenotaalpie"/>
          <w:rFonts w:ascii="Arial" w:hAnsi="Arial" w:cs="Arial"/>
          <w:color w:val="000000" w:themeColor="text1"/>
          <w:sz w:val="22"/>
        </w:rPr>
        <w:footnoteReference w:id="22"/>
      </w:r>
      <w:r w:rsidRPr="00DD15DE">
        <w:rPr>
          <w:rFonts w:ascii="Arial" w:hAnsi="Arial" w:cs="Arial"/>
          <w:color w:val="000000" w:themeColor="text1"/>
          <w:sz w:val="22"/>
        </w:rPr>
        <w:t xml:space="preserve">. </w:t>
      </w:r>
      <w:r w:rsidRPr="00DD15DE">
        <w:rPr>
          <w:rFonts w:ascii="Arial" w:eastAsia="Calibri" w:hAnsi="Arial" w:cs="Arial"/>
          <w:color w:val="000000" w:themeColor="text1"/>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DD15DE">
        <w:rPr>
          <w:rStyle w:val="Refdenotaalpie"/>
          <w:rFonts w:ascii="Arial" w:eastAsia="Calibri" w:hAnsi="Arial" w:cs="Arial"/>
          <w:color w:val="000000" w:themeColor="text1"/>
          <w:sz w:val="22"/>
        </w:rPr>
        <w:footnoteReference w:id="23"/>
      </w:r>
      <w:r w:rsidRPr="00DD15DE">
        <w:rPr>
          <w:rFonts w:ascii="Arial" w:eastAsia="Calibri" w:hAnsi="Arial" w:cs="Arial"/>
          <w:color w:val="000000" w:themeColor="text1"/>
          <w:sz w:val="22"/>
        </w:rPr>
        <w:t>. Ambas figuras tienen como fin desarrollar conjuntamente actividades relacionadas con los cometidos y funciones legales asignadas a la entidad.</w:t>
      </w:r>
    </w:p>
    <w:p w14:paraId="368BD57A" w14:textId="16022A50" w:rsidR="00861232" w:rsidRPr="00DD15DE" w:rsidRDefault="00861232" w:rsidP="00861232">
      <w:pPr>
        <w:spacing w:before="120" w:line="276" w:lineRule="auto"/>
        <w:ind w:firstLine="708"/>
        <w:jc w:val="both"/>
        <w:rPr>
          <w:rFonts w:ascii="Arial" w:eastAsia="Calibri" w:hAnsi="Arial" w:cs="Arial"/>
          <w:color w:val="000000" w:themeColor="text1"/>
          <w:sz w:val="22"/>
        </w:rPr>
      </w:pPr>
      <w:r w:rsidRPr="00DD15DE">
        <w:rPr>
          <w:rFonts w:ascii="Arial" w:hAnsi="Arial" w:cs="Arial"/>
          <w:color w:val="000000" w:themeColor="text1"/>
          <w:sz w:val="22"/>
        </w:rPr>
        <w:t xml:space="preserve">En desarrollo del artículo 355 de la Constitución, el Gobierno Nacional expidió el Decreto </w:t>
      </w:r>
      <w:r>
        <w:rPr>
          <w:rFonts w:ascii="Arial" w:hAnsi="Arial" w:cs="Arial"/>
          <w:color w:val="000000" w:themeColor="text1"/>
          <w:sz w:val="22"/>
        </w:rPr>
        <w:t>0</w:t>
      </w:r>
      <w:r w:rsidRPr="00DD15DE">
        <w:rPr>
          <w:rFonts w:ascii="Arial" w:hAnsi="Arial" w:cs="Arial"/>
          <w:color w:val="000000" w:themeColor="text1"/>
          <w:sz w:val="22"/>
        </w:rPr>
        <w:t>92 de 2017, q</w:t>
      </w:r>
      <w:r w:rsidRPr="00DD15DE">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w:t>
      </w:r>
      <w:r w:rsidR="00513541">
        <w:rPr>
          <w:rFonts w:ascii="Arial" w:eastAsia="Calibri" w:hAnsi="Arial" w:cs="Arial"/>
          <w:color w:val="000000" w:themeColor="text1"/>
          <w:sz w:val="22"/>
        </w:rPr>
        <w:t xml:space="preserve">de </w:t>
      </w:r>
      <w:r w:rsidRPr="00DD15DE">
        <w:rPr>
          <w:rFonts w:ascii="Arial" w:eastAsia="Calibri" w:hAnsi="Arial" w:cs="Arial"/>
          <w:color w:val="000000" w:themeColor="text1"/>
          <w:sz w:val="22"/>
        </w:rPr>
        <w:t xml:space="preserve">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w:t>
      </w:r>
      <w:r>
        <w:rPr>
          <w:rFonts w:ascii="Arial" w:eastAsia="Calibri" w:hAnsi="Arial" w:cs="Arial"/>
          <w:color w:val="000000" w:themeColor="text1"/>
          <w:sz w:val="22"/>
        </w:rPr>
        <w:t>0</w:t>
      </w:r>
      <w:r w:rsidRPr="00DD15DE">
        <w:rPr>
          <w:rFonts w:ascii="Arial" w:eastAsia="Calibri" w:hAnsi="Arial" w:cs="Arial"/>
          <w:color w:val="000000" w:themeColor="text1"/>
          <w:sz w:val="22"/>
        </w:rPr>
        <w:t xml:space="preserve">92 de 2017, mientras que los segundos en los artículos 5, 6, 7 y 8 </w:t>
      </w:r>
      <w:r w:rsidRPr="00DD15DE">
        <w:rPr>
          <w:rFonts w:ascii="Arial" w:eastAsia="Calibri" w:hAnsi="Arial" w:cs="Arial"/>
          <w:i/>
          <w:iCs/>
          <w:color w:val="000000" w:themeColor="text1"/>
          <w:sz w:val="22"/>
        </w:rPr>
        <w:t>ibídem</w:t>
      </w:r>
      <w:r w:rsidRPr="00DD15DE">
        <w:rPr>
          <w:rFonts w:ascii="Arial" w:eastAsia="Calibri" w:hAnsi="Arial" w:cs="Arial"/>
          <w:color w:val="000000" w:themeColor="text1"/>
          <w:sz w:val="22"/>
        </w:rPr>
        <w:t xml:space="preserve">. Es posible diferenciar, pues, los </w:t>
      </w:r>
      <w:r w:rsidRPr="00DD15DE">
        <w:rPr>
          <w:rFonts w:ascii="Arial" w:eastAsia="Calibri" w:hAnsi="Arial" w:cs="Arial"/>
          <w:i/>
          <w:iCs/>
          <w:color w:val="000000" w:themeColor="text1"/>
          <w:sz w:val="22"/>
        </w:rPr>
        <w:t>convenios de asociación</w:t>
      </w:r>
      <w:r w:rsidRPr="00DD15DE">
        <w:rPr>
          <w:rFonts w:ascii="Arial" w:eastAsia="Calibri" w:hAnsi="Arial" w:cs="Arial"/>
          <w:color w:val="000000" w:themeColor="text1"/>
          <w:sz w:val="22"/>
        </w:rPr>
        <w:t xml:space="preserve">, regulados en el artículo 5, de los </w:t>
      </w:r>
      <w:r w:rsidRPr="00DD15DE">
        <w:rPr>
          <w:rFonts w:ascii="Arial" w:eastAsia="Calibri" w:hAnsi="Arial" w:cs="Arial"/>
          <w:i/>
          <w:iCs/>
          <w:color w:val="000000" w:themeColor="text1"/>
          <w:sz w:val="22"/>
        </w:rPr>
        <w:t>contratos de colaboración</w:t>
      </w:r>
      <w:r w:rsidRPr="00DD15DE">
        <w:rPr>
          <w:rFonts w:ascii="Arial" w:eastAsia="Calibri" w:hAnsi="Arial" w:cs="Arial"/>
          <w:color w:val="000000" w:themeColor="text1"/>
          <w:sz w:val="22"/>
        </w:rPr>
        <w:t xml:space="preserve">, establecidos en el artículo 2 del Decreto </w:t>
      </w:r>
      <w:r>
        <w:rPr>
          <w:rFonts w:ascii="Arial" w:eastAsia="Calibri" w:hAnsi="Arial" w:cs="Arial"/>
          <w:color w:val="000000" w:themeColor="text1"/>
          <w:sz w:val="22"/>
        </w:rPr>
        <w:t>0</w:t>
      </w:r>
      <w:r w:rsidRPr="00DD15DE">
        <w:rPr>
          <w:rFonts w:ascii="Arial" w:eastAsia="Calibri" w:hAnsi="Arial" w:cs="Arial"/>
          <w:color w:val="000000" w:themeColor="text1"/>
          <w:sz w:val="22"/>
        </w:rPr>
        <w:t>92 de 2017</w:t>
      </w:r>
      <w:r w:rsidRPr="00DD15DE">
        <w:rPr>
          <w:rStyle w:val="Refdenotaalpie"/>
          <w:rFonts w:ascii="Arial" w:eastAsia="Calibri" w:hAnsi="Arial" w:cs="Arial"/>
          <w:color w:val="000000" w:themeColor="text1"/>
          <w:sz w:val="22"/>
        </w:rPr>
        <w:footnoteReference w:id="24"/>
      </w:r>
      <w:r w:rsidRPr="00DD15DE">
        <w:rPr>
          <w:rFonts w:ascii="Arial" w:eastAsia="Calibri" w:hAnsi="Arial" w:cs="Arial"/>
          <w:color w:val="000000" w:themeColor="text1"/>
          <w:sz w:val="22"/>
        </w:rPr>
        <w:t xml:space="preserve">. </w:t>
      </w:r>
    </w:p>
    <w:p w14:paraId="2D898436" w14:textId="36383133" w:rsidR="00861232" w:rsidRPr="00DD15DE" w:rsidRDefault="00861232" w:rsidP="00861232">
      <w:pPr>
        <w:spacing w:before="120" w:line="276" w:lineRule="auto"/>
        <w:ind w:firstLine="708"/>
        <w:jc w:val="both"/>
        <w:rPr>
          <w:rFonts w:ascii="Arial" w:eastAsia="Calibri" w:hAnsi="Arial" w:cs="Arial"/>
          <w:color w:val="000000" w:themeColor="text1"/>
          <w:sz w:val="22"/>
        </w:rPr>
      </w:pPr>
      <w:r w:rsidRPr="00DD15DE">
        <w:rPr>
          <w:rFonts w:ascii="Arial" w:eastAsia="Calibri" w:hAnsi="Arial" w:cs="Arial"/>
          <w:color w:val="000000" w:themeColor="text1"/>
          <w:sz w:val="22"/>
        </w:rPr>
        <w:t xml:space="preserve">Los </w:t>
      </w:r>
      <w:r w:rsidRPr="00DD15DE">
        <w:rPr>
          <w:rFonts w:ascii="Arial" w:eastAsia="Calibri" w:hAnsi="Arial" w:cs="Arial"/>
          <w:i/>
          <w:iCs/>
          <w:color w:val="000000" w:themeColor="text1"/>
          <w:sz w:val="22"/>
        </w:rPr>
        <w:t xml:space="preserve">contratos de colaboración </w:t>
      </w:r>
      <w:r w:rsidRPr="00DD15DE">
        <w:rPr>
          <w:rFonts w:ascii="Arial" w:eastAsia="Calibri" w:hAnsi="Arial" w:cs="Arial"/>
          <w:color w:val="000000" w:themeColor="text1"/>
          <w:sz w:val="22"/>
        </w:rPr>
        <w:t xml:space="preserve">tienen como objeto promover acciones de fomento social en beneficio de los sectores más desprotegidos de la población, </w:t>
      </w:r>
      <w:r w:rsidR="00556C19">
        <w:rPr>
          <w:rFonts w:ascii="Arial" w:eastAsia="Calibri" w:hAnsi="Arial" w:cs="Arial"/>
          <w:color w:val="000000" w:themeColor="text1"/>
          <w:sz w:val="22"/>
        </w:rPr>
        <w:t>acordes</w:t>
      </w:r>
      <w:r w:rsidR="00556C19" w:rsidRPr="00DD15DE">
        <w:rPr>
          <w:rFonts w:ascii="Arial" w:eastAsia="Calibri" w:hAnsi="Arial" w:cs="Arial"/>
          <w:color w:val="000000" w:themeColor="text1"/>
          <w:sz w:val="22"/>
        </w:rPr>
        <w:t xml:space="preserve"> </w:t>
      </w:r>
      <w:r w:rsidR="00513541">
        <w:rPr>
          <w:rFonts w:ascii="Arial" w:eastAsia="Calibri" w:hAnsi="Arial" w:cs="Arial"/>
          <w:color w:val="000000" w:themeColor="text1"/>
          <w:sz w:val="22"/>
        </w:rPr>
        <w:t>con</w:t>
      </w:r>
      <w:r w:rsidR="00513541" w:rsidRPr="00DD15DE">
        <w:rPr>
          <w:rFonts w:ascii="Arial" w:eastAsia="Calibri" w:hAnsi="Arial" w:cs="Arial"/>
          <w:color w:val="000000" w:themeColor="text1"/>
          <w:sz w:val="22"/>
        </w:rPr>
        <w:t xml:space="preserve"> </w:t>
      </w:r>
      <w:r w:rsidRPr="00DD15DE">
        <w:rPr>
          <w:rFonts w:ascii="Arial" w:eastAsia="Calibri" w:hAnsi="Arial" w:cs="Arial"/>
          <w:color w:val="000000" w:themeColor="text1"/>
          <w:sz w:val="22"/>
        </w:rPr>
        <w:t xml:space="preserve">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w:t>
      </w:r>
      <w:r w:rsidRPr="00DD15DE">
        <w:rPr>
          <w:rFonts w:ascii="Arial" w:eastAsia="Calibri" w:hAnsi="Arial" w:cs="Arial"/>
          <w:color w:val="000000" w:themeColor="text1"/>
          <w:sz w:val="22"/>
        </w:rPr>
        <w:lastRenderedPageBreak/>
        <w:t xml:space="preserve">Decreto </w:t>
      </w:r>
      <w:r>
        <w:rPr>
          <w:rFonts w:ascii="Arial" w:eastAsia="Calibri" w:hAnsi="Arial" w:cs="Arial"/>
          <w:color w:val="000000" w:themeColor="text1"/>
          <w:sz w:val="22"/>
        </w:rPr>
        <w:t>0</w:t>
      </w:r>
      <w:r w:rsidRPr="00DD15DE">
        <w:rPr>
          <w:rFonts w:ascii="Arial" w:eastAsia="Calibri" w:hAnsi="Arial" w:cs="Arial"/>
          <w:color w:val="000000" w:themeColor="text1"/>
          <w:sz w:val="22"/>
        </w:rPr>
        <w:t xml:space="preserve">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w:t>
      </w:r>
      <w:r>
        <w:rPr>
          <w:rFonts w:ascii="Arial" w:eastAsia="Calibri" w:hAnsi="Arial" w:cs="Arial"/>
          <w:color w:val="000000" w:themeColor="text1"/>
          <w:sz w:val="22"/>
        </w:rPr>
        <w:t>pues</w:t>
      </w:r>
      <w:r w:rsidRPr="00DD15DE">
        <w:rPr>
          <w:rFonts w:ascii="Arial" w:eastAsia="Calibri" w:hAnsi="Arial" w:cs="Arial"/>
          <w:color w:val="000000" w:themeColor="text1"/>
          <w:sz w:val="22"/>
        </w:rPr>
        <w:t xml:space="preserv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0FA1CBC2" w14:textId="77777777" w:rsidR="00861232" w:rsidRPr="00DD15DE" w:rsidRDefault="00861232" w:rsidP="00861232">
      <w:pPr>
        <w:pStyle w:val="Sinespaciado"/>
        <w:spacing w:before="120" w:line="276" w:lineRule="auto"/>
        <w:ind w:firstLine="708"/>
        <w:jc w:val="both"/>
        <w:rPr>
          <w:rFonts w:ascii="Arial" w:hAnsi="Arial" w:cs="Arial"/>
          <w:color w:val="000000" w:themeColor="text1"/>
          <w:sz w:val="22"/>
        </w:rPr>
      </w:pPr>
      <w:r w:rsidRPr="00DD15DE">
        <w:rPr>
          <w:rFonts w:ascii="Arial" w:hAnsi="Arial" w:cs="Arial"/>
          <w:color w:val="000000" w:themeColor="text1"/>
          <w:sz w:val="22"/>
        </w:rPr>
        <w:t xml:space="preserve">De otro lado, los </w:t>
      </w:r>
      <w:r w:rsidRPr="00DD15DE">
        <w:rPr>
          <w:rFonts w:ascii="Arial" w:hAnsi="Arial" w:cs="Arial"/>
          <w:i/>
          <w:iCs/>
          <w:color w:val="000000" w:themeColor="text1"/>
          <w:sz w:val="22"/>
        </w:rPr>
        <w:t>convenios de asociación</w:t>
      </w:r>
      <w:r w:rsidRPr="00DD15DE">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DD15DE">
        <w:rPr>
          <w:rStyle w:val="Refdenotaalpie"/>
          <w:rFonts w:ascii="Arial" w:hAnsi="Arial" w:cs="Arial"/>
          <w:color w:val="000000" w:themeColor="text1"/>
          <w:sz w:val="22"/>
        </w:rPr>
        <w:footnoteReference w:id="25"/>
      </w:r>
      <w:r w:rsidRPr="00DD15DE">
        <w:rPr>
          <w:rFonts w:ascii="Arial" w:hAnsi="Arial" w:cs="Arial"/>
          <w:color w:val="000000" w:themeColor="text1"/>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4D129789" w14:textId="77777777" w:rsidR="00861232" w:rsidRPr="00DD15DE" w:rsidRDefault="00861232" w:rsidP="00861232">
      <w:pPr>
        <w:pStyle w:val="Sinespaciado"/>
        <w:spacing w:before="120" w:line="276" w:lineRule="auto"/>
        <w:ind w:firstLine="708"/>
        <w:jc w:val="both"/>
        <w:rPr>
          <w:rFonts w:ascii="Arial" w:hAnsi="Arial" w:cs="Arial"/>
          <w:color w:val="000000" w:themeColor="text1"/>
          <w:sz w:val="22"/>
        </w:rPr>
      </w:pPr>
      <w:r w:rsidRPr="00DD15DE">
        <w:rPr>
          <w:rFonts w:ascii="Arial" w:hAnsi="Arial" w:cs="Arial"/>
          <w:color w:val="000000" w:themeColor="text1"/>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5D4C363D" w14:textId="77777777" w:rsidR="00861232" w:rsidRPr="00DD15DE" w:rsidRDefault="00861232" w:rsidP="00861232">
      <w:pPr>
        <w:pStyle w:val="Sinespaciado"/>
        <w:spacing w:before="120" w:line="276" w:lineRule="auto"/>
        <w:ind w:firstLine="708"/>
        <w:jc w:val="both"/>
        <w:rPr>
          <w:rFonts w:ascii="Arial" w:eastAsia="Calibri" w:hAnsi="Arial" w:cs="Arial"/>
          <w:color w:val="000000" w:themeColor="text1"/>
          <w:sz w:val="22"/>
        </w:rPr>
      </w:pPr>
      <w:r w:rsidRPr="00DD15DE">
        <w:rPr>
          <w:rFonts w:ascii="Arial" w:hAnsi="Arial" w:cs="Arial"/>
          <w:color w:val="000000" w:themeColor="text1"/>
          <w:sz w:val="22"/>
        </w:rPr>
        <w:t>L</w:t>
      </w:r>
      <w:r w:rsidRPr="00DD15DE">
        <w:rPr>
          <w:rFonts w:ascii="Arial" w:eastAsia="Calibri" w:hAnsi="Arial" w:cs="Arial"/>
          <w:color w:val="000000" w:themeColor="text1"/>
          <w:sz w:val="22"/>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DD15DE">
        <w:rPr>
          <w:rStyle w:val="Refdenotaalpie"/>
          <w:rFonts w:ascii="Arial" w:eastAsia="Calibri" w:hAnsi="Arial" w:cs="Arial"/>
          <w:color w:val="000000" w:themeColor="text1"/>
          <w:sz w:val="22"/>
        </w:rPr>
        <w:footnoteReference w:id="26"/>
      </w:r>
      <w:r w:rsidRPr="00DD15DE">
        <w:rPr>
          <w:rFonts w:ascii="Arial" w:eastAsia="Calibri" w:hAnsi="Arial" w:cs="Arial"/>
          <w:color w:val="000000" w:themeColor="text1"/>
          <w:sz w:val="22"/>
        </w:rPr>
        <w:t xml:space="preserve">. Sin embargo, como el artículo 96 de la Ley 489 de 1998 determina que el convenio busca </w:t>
      </w:r>
      <w:r w:rsidRPr="00DD15DE">
        <w:rPr>
          <w:rFonts w:ascii="Arial" w:eastAsia="Calibri" w:hAnsi="Arial" w:cs="Arial"/>
          <w:color w:val="000000" w:themeColor="text1"/>
          <w:sz w:val="22"/>
        </w:rPr>
        <w:lastRenderedPageBreak/>
        <w:t xml:space="preserve">el desarrollo conjunto de actividades en relación con los cometidos y funciones que la ley les asigna a las entidades estatales, lo cierto es que las funciones legales de las entidades estatales que suscriben conjuntamente el convenio deben coincidir. </w:t>
      </w:r>
    </w:p>
    <w:p w14:paraId="4FC9A956" w14:textId="4FA37239" w:rsidR="00861232" w:rsidRPr="00DD15DE" w:rsidRDefault="00861232" w:rsidP="00861232">
      <w:pPr>
        <w:pStyle w:val="Sinespaciado"/>
        <w:spacing w:before="120" w:line="276" w:lineRule="auto"/>
        <w:ind w:firstLine="708"/>
        <w:jc w:val="both"/>
        <w:rPr>
          <w:rFonts w:ascii="Arial" w:eastAsia="Calibri" w:hAnsi="Arial" w:cs="Arial"/>
          <w:color w:val="000000" w:themeColor="text1"/>
          <w:sz w:val="22"/>
        </w:rPr>
      </w:pPr>
      <w:r w:rsidRPr="00DD15DE">
        <w:rPr>
          <w:rFonts w:ascii="Arial" w:eastAsia="Calibri" w:hAnsi="Arial" w:cs="Arial"/>
          <w:color w:val="000000" w:themeColor="text1"/>
          <w:sz w:val="22"/>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w:t>
      </w:r>
      <w:r w:rsidR="00DB0FC1">
        <w:rPr>
          <w:rFonts w:ascii="Arial" w:eastAsia="Calibri" w:hAnsi="Arial" w:cs="Arial"/>
          <w:color w:val="000000" w:themeColor="text1"/>
          <w:sz w:val="22"/>
        </w:rPr>
        <w:t>la ESAL</w:t>
      </w:r>
      <w:r w:rsidRPr="00DD15DE">
        <w:rPr>
          <w:rFonts w:ascii="Arial" w:eastAsia="Calibri" w:hAnsi="Arial" w:cs="Arial"/>
          <w:color w:val="000000" w:themeColor="text1"/>
          <w:sz w:val="22"/>
        </w:rPr>
        <w:t xml:space="preserve"> aporte al menos el treinta por ciento del valor del convenio para celebrarlo directamente, ya que de lo contrario deberá adelantarse un proceso competitivo. Además, en atención al inciso 2 del artículo 5 del Decreto </w:t>
      </w:r>
      <w:r>
        <w:rPr>
          <w:rFonts w:ascii="Arial" w:eastAsia="Calibri" w:hAnsi="Arial" w:cs="Arial"/>
          <w:color w:val="000000" w:themeColor="text1"/>
          <w:sz w:val="22"/>
        </w:rPr>
        <w:t>0</w:t>
      </w:r>
      <w:r w:rsidRPr="00DD15DE">
        <w:rPr>
          <w:rFonts w:ascii="Arial" w:eastAsia="Calibri" w:hAnsi="Arial" w:cs="Arial"/>
          <w:color w:val="000000" w:themeColor="text1"/>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DD15DE">
        <w:rPr>
          <w:rStyle w:val="Refdenotaalpie"/>
          <w:rFonts w:ascii="Arial" w:eastAsia="Calibri" w:hAnsi="Arial" w:cs="Arial"/>
          <w:color w:val="000000" w:themeColor="text1"/>
          <w:sz w:val="22"/>
        </w:rPr>
        <w:footnoteReference w:id="27"/>
      </w:r>
      <w:r w:rsidRPr="00DD15DE">
        <w:rPr>
          <w:rFonts w:ascii="Arial" w:eastAsia="Calibri" w:hAnsi="Arial" w:cs="Arial"/>
          <w:color w:val="000000" w:themeColor="text1"/>
          <w:sz w:val="22"/>
        </w:rPr>
        <w:t>.</w:t>
      </w:r>
    </w:p>
    <w:p w14:paraId="067226A8" w14:textId="6158F632" w:rsidR="00861232" w:rsidRPr="00DD15DE" w:rsidRDefault="00861232" w:rsidP="00861232">
      <w:pPr>
        <w:spacing w:before="120" w:line="276" w:lineRule="auto"/>
        <w:ind w:firstLine="708"/>
        <w:jc w:val="both"/>
        <w:rPr>
          <w:rFonts w:ascii="Arial" w:hAnsi="Arial" w:cs="Arial"/>
          <w:color w:val="000000" w:themeColor="text1"/>
          <w:sz w:val="22"/>
        </w:rPr>
      </w:pPr>
      <w:r w:rsidRPr="00DD15DE">
        <w:rPr>
          <w:rFonts w:ascii="Arial" w:hAnsi="Arial" w:cs="Arial"/>
          <w:color w:val="000000" w:themeColor="text1"/>
          <w:sz w:val="22"/>
        </w:rPr>
        <w:t xml:space="preserve">La noción «seleccionar de forma objetiva», contenida en la disposición </w:t>
      </w:r>
      <w:r w:rsidRPr="00DD15DE">
        <w:rPr>
          <w:rFonts w:ascii="Arial" w:hAnsi="Arial" w:cs="Arial"/>
          <w:i/>
          <w:iCs/>
          <w:color w:val="000000" w:themeColor="text1"/>
          <w:sz w:val="22"/>
        </w:rPr>
        <w:t xml:space="preserve">sub examine </w:t>
      </w:r>
      <w:r w:rsidRPr="00DD15DE">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w:t>
      </w:r>
      <w:r w:rsidR="00DB0FC1">
        <w:rPr>
          <w:rFonts w:ascii="Arial" w:hAnsi="Arial" w:cs="Arial"/>
          <w:color w:val="000000" w:themeColor="text1"/>
          <w:sz w:val="22"/>
        </w:rPr>
        <w:t xml:space="preserve">discrecionalmente </w:t>
      </w:r>
      <w:r w:rsidRPr="00DD15DE">
        <w:rPr>
          <w:rFonts w:ascii="Arial" w:hAnsi="Arial" w:cs="Arial"/>
          <w:color w:val="000000" w:themeColor="text1"/>
          <w:sz w:val="22"/>
        </w:rPr>
        <w:t xml:space="preserve">acudir a los procesos de selección de contratistas que establece el EGCAP o, incluso, al trámite que regula el inciso 2 del artículo 2 del Decreto </w:t>
      </w:r>
      <w:r>
        <w:rPr>
          <w:rFonts w:ascii="Arial" w:hAnsi="Arial" w:cs="Arial"/>
          <w:color w:val="000000" w:themeColor="text1"/>
          <w:sz w:val="22"/>
        </w:rPr>
        <w:t>0</w:t>
      </w:r>
      <w:r w:rsidRPr="00DD15DE">
        <w:rPr>
          <w:rFonts w:ascii="Arial" w:hAnsi="Arial" w:cs="Arial"/>
          <w:color w:val="000000" w:themeColor="text1"/>
          <w:sz w:val="22"/>
        </w:rPr>
        <w:t>92 de 2017.</w:t>
      </w:r>
    </w:p>
    <w:p w14:paraId="6441A969" w14:textId="77777777" w:rsidR="00861232" w:rsidRPr="00DD15DE" w:rsidRDefault="00861232" w:rsidP="00861232">
      <w:pPr>
        <w:spacing w:before="120" w:after="120" w:line="276" w:lineRule="auto"/>
        <w:ind w:firstLine="708"/>
        <w:jc w:val="both"/>
        <w:textAlignment w:val="baseline"/>
        <w:rPr>
          <w:rFonts w:ascii="Arial" w:hAnsi="Arial" w:cs="Arial"/>
          <w:color w:val="000000" w:themeColor="text1"/>
          <w:sz w:val="22"/>
        </w:rPr>
      </w:pPr>
      <w:r w:rsidRPr="00DD15DE">
        <w:rPr>
          <w:rFonts w:ascii="Arial" w:eastAsia="Arial" w:hAnsi="Arial" w:cs="Arial"/>
          <w:color w:val="000000" w:themeColor="text1"/>
          <w:sz w:val="22"/>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DD15DE">
        <w:rPr>
          <w:rFonts w:ascii="Arial" w:hAnsi="Arial" w:cs="Arial"/>
          <w:color w:val="000000" w:themeColor="text1"/>
          <w:sz w:val="22"/>
        </w:rPr>
        <w:t>. </w:t>
      </w:r>
    </w:p>
    <w:p w14:paraId="460D0BB1" w14:textId="77777777" w:rsidR="00861232" w:rsidRPr="00DD15DE" w:rsidRDefault="00861232" w:rsidP="00861232">
      <w:pPr>
        <w:spacing w:after="120" w:line="276" w:lineRule="auto"/>
        <w:ind w:firstLine="709"/>
        <w:jc w:val="both"/>
        <w:rPr>
          <w:rFonts w:ascii="Arial" w:eastAsia="Calibri" w:hAnsi="Arial" w:cs="Arial"/>
          <w:color w:val="000000" w:themeColor="text1"/>
          <w:sz w:val="22"/>
        </w:rPr>
      </w:pPr>
      <w:r w:rsidRPr="00DD15DE">
        <w:rPr>
          <w:rFonts w:ascii="Arial" w:hAnsi="Arial" w:cs="Arial"/>
          <w:color w:val="000000" w:themeColor="text1"/>
          <w:sz w:val="22"/>
        </w:rPr>
        <w:t>Ahora bien, e</w:t>
      </w:r>
      <w:r w:rsidRPr="00DD15DE">
        <w:rPr>
          <w:rFonts w:ascii="Arial" w:eastAsia="Calibri" w:hAnsi="Arial" w:cs="Arial"/>
          <w:color w:val="000000" w:themeColor="text1"/>
          <w:sz w:val="22"/>
        </w:rPr>
        <w:t>l Consejo de Estado, en el Auto del 6 de agosto de 2019 de la Sección Tercera, Subsección A –Exp. 62.003–, estudió la solicitud de suspensión provisional</w:t>
      </w:r>
      <w:r w:rsidRPr="00DD15DE">
        <w:rPr>
          <w:rStyle w:val="Refdenotaalpie"/>
          <w:rFonts w:ascii="Arial" w:eastAsia="Calibri" w:hAnsi="Arial" w:cs="Arial"/>
          <w:color w:val="000000" w:themeColor="text1"/>
          <w:sz w:val="22"/>
        </w:rPr>
        <w:footnoteReference w:id="28"/>
      </w:r>
      <w:r w:rsidRPr="00DD15DE">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w:t>
      </w:r>
      <w:r>
        <w:rPr>
          <w:rFonts w:ascii="Arial" w:eastAsia="Calibri" w:hAnsi="Arial" w:cs="Arial"/>
          <w:color w:val="000000" w:themeColor="text1"/>
          <w:sz w:val="22"/>
        </w:rPr>
        <w:t>0</w:t>
      </w:r>
      <w:r w:rsidRPr="00DD15DE">
        <w:rPr>
          <w:rFonts w:ascii="Arial" w:eastAsia="Calibri" w:hAnsi="Arial" w:cs="Arial"/>
          <w:color w:val="000000" w:themeColor="text1"/>
          <w:sz w:val="22"/>
        </w:rPr>
        <w:t xml:space="preserve">92 de 2017. No obstante, sobre esta </w:t>
      </w:r>
      <w:r w:rsidRPr="00DD15DE">
        <w:rPr>
          <w:rFonts w:ascii="Arial" w:eastAsia="Calibri" w:hAnsi="Arial" w:cs="Arial"/>
          <w:color w:val="000000" w:themeColor="text1"/>
          <w:sz w:val="22"/>
        </w:rPr>
        <w:lastRenderedPageBreak/>
        <w:t xml:space="preserve">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DD15DE">
        <w:rPr>
          <w:rFonts w:ascii="Arial" w:eastAsia="Calibri" w:hAnsi="Arial" w:cs="Arial"/>
          <w:i/>
          <w:iCs/>
          <w:color w:val="000000" w:themeColor="text1"/>
          <w:sz w:val="22"/>
        </w:rPr>
        <w:t>convenio de asociación</w:t>
      </w:r>
      <w:r w:rsidRPr="00DD15DE">
        <w:rPr>
          <w:rFonts w:ascii="Arial" w:eastAsia="Calibri" w:hAnsi="Arial" w:cs="Arial"/>
          <w:color w:val="000000" w:themeColor="text1"/>
          <w:sz w:val="22"/>
        </w:rPr>
        <w:t xml:space="preserve"> con ESAL de reconocida idoneidad para el cumplimiento de las funciones que la ley les asigna a las entidades públicas, debe aplicarse lo dispuesto en el artículo 5 del Decreto 092 de 2017. </w:t>
      </w:r>
    </w:p>
    <w:p w14:paraId="180E8DE7" w14:textId="1E764CE4" w:rsidR="00A14D04" w:rsidRPr="00436BDA" w:rsidRDefault="00861232" w:rsidP="00A14D04">
      <w:pPr>
        <w:spacing w:before="120" w:line="276" w:lineRule="auto"/>
        <w:ind w:firstLine="708"/>
        <w:jc w:val="both"/>
        <w:rPr>
          <w:rFonts w:ascii="Arial" w:eastAsia="Calibri" w:hAnsi="Arial" w:cs="Arial"/>
          <w:color w:val="000000" w:themeColor="text1"/>
          <w:sz w:val="22"/>
        </w:rPr>
      </w:pPr>
      <w:r w:rsidRPr="00436BDA">
        <w:rPr>
          <w:rFonts w:ascii="Arial" w:eastAsia="Calibri" w:hAnsi="Arial" w:cs="Arial"/>
          <w:color w:val="000000" w:themeColor="text1"/>
          <w:sz w:val="22"/>
        </w:rPr>
        <w:t xml:space="preserve">Para los convenios de asociación, como se explicó </w:t>
      </w:r>
      <w:r w:rsidRPr="00436BDA">
        <w:rPr>
          <w:rFonts w:ascii="Arial" w:eastAsia="Calibri" w:hAnsi="Arial" w:cs="Arial"/>
          <w:i/>
          <w:iCs/>
          <w:color w:val="000000" w:themeColor="text1"/>
          <w:sz w:val="22"/>
        </w:rPr>
        <w:t>ut supra</w:t>
      </w:r>
      <w:r w:rsidRPr="00436BDA">
        <w:rPr>
          <w:rFonts w:ascii="Arial" w:eastAsia="Calibri" w:hAnsi="Arial" w:cs="Arial"/>
          <w:color w:val="000000" w:themeColor="text1"/>
          <w:sz w:val="22"/>
        </w:rPr>
        <w:t>,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436BDA">
        <w:rPr>
          <w:rStyle w:val="Refdenotaalpie"/>
          <w:rFonts w:ascii="Arial" w:hAnsi="Arial" w:cs="Arial"/>
          <w:color w:val="000000" w:themeColor="text1"/>
          <w:sz w:val="22"/>
        </w:rPr>
        <w:footnoteReference w:id="29"/>
      </w:r>
      <w:r w:rsidRPr="00436BDA">
        <w:rPr>
          <w:rFonts w:ascii="Arial" w:eastAsia="Calibri" w:hAnsi="Arial" w:cs="Arial"/>
          <w:color w:val="000000" w:themeColor="text1"/>
          <w:sz w:val="22"/>
        </w:rPr>
        <w:t>,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solo indica que en esos casos la entidad estatal debe acudir al proceso competitivo para seleccionar a la entidad sin ánimo de lucro con la cual celebrará el respectivo convenio.</w:t>
      </w:r>
      <w:r w:rsidR="00A14D04" w:rsidRPr="00436BDA">
        <w:rPr>
          <w:rFonts w:ascii="Arial" w:eastAsia="Calibri" w:hAnsi="Arial" w:cs="Arial"/>
          <w:color w:val="000000" w:themeColor="text1"/>
          <w:sz w:val="22"/>
        </w:rPr>
        <w:t xml:space="preserve"> </w:t>
      </w:r>
      <w:r w:rsidR="00DB0FC1" w:rsidRPr="00436BDA">
        <w:rPr>
          <w:rFonts w:ascii="Arial" w:eastAsia="Calibri" w:hAnsi="Arial" w:cs="Arial"/>
          <w:color w:val="000000"/>
          <w:sz w:val="22"/>
          <w:szCs w:val="24"/>
          <w:lang w:val="es-CO" w:eastAsia="es-ES_tradnl"/>
        </w:rPr>
        <w:t>Teniendo en cuenta lo anterior, y las consideraciones realizadas en los acápites previos,</w:t>
      </w:r>
      <w:r w:rsidR="00A14D04" w:rsidRPr="00436BDA">
        <w:rPr>
          <w:rFonts w:ascii="Arial" w:eastAsia="Calibri" w:hAnsi="Arial" w:cs="Arial"/>
          <w:color w:val="000000"/>
          <w:sz w:val="22"/>
          <w:szCs w:val="24"/>
          <w:lang w:val="es-CO" w:eastAsia="es-ES_tradnl"/>
        </w:rPr>
        <w:t xml:space="preserve"> la prohibición de contratación directa del artículo 33 de la Ley de Garantías </w:t>
      </w:r>
      <w:r w:rsidR="00DB0FC1" w:rsidRPr="00436BDA">
        <w:rPr>
          <w:rFonts w:ascii="Arial" w:eastAsia="Calibri" w:hAnsi="Arial" w:cs="Arial"/>
          <w:color w:val="000000"/>
          <w:sz w:val="22"/>
          <w:szCs w:val="24"/>
          <w:lang w:val="es-CO" w:eastAsia="es-ES_tradnl"/>
        </w:rPr>
        <w:t xml:space="preserve">Electorales </w:t>
      </w:r>
      <w:r w:rsidR="00A14D04" w:rsidRPr="00436BDA">
        <w:rPr>
          <w:rFonts w:ascii="Arial" w:eastAsia="Calibri" w:hAnsi="Arial" w:cs="Arial"/>
          <w:color w:val="000000"/>
          <w:sz w:val="22"/>
          <w:szCs w:val="24"/>
          <w:lang w:val="es-CO" w:eastAsia="es-ES_tradnl"/>
        </w:rPr>
        <w:t xml:space="preserve">únicamente </w:t>
      </w:r>
      <w:r w:rsidR="00DB0FC1" w:rsidRPr="00436BDA">
        <w:rPr>
          <w:rFonts w:ascii="Arial" w:eastAsia="Calibri" w:hAnsi="Arial" w:cs="Arial"/>
          <w:color w:val="000000"/>
          <w:sz w:val="22"/>
          <w:szCs w:val="24"/>
          <w:lang w:val="es-CO" w:eastAsia="es-ES_tradnl"/>
        </w:rPr>
        <w:t>aplica frente a</w:t>
      </w:r>
      <w:r w:rsidR="00A14D04" w:rsidRPr="00436BDA">
        <w:rPr>
          <w:rFonts w:ascii="Arial" w:eastAsia="Calibri" w:hAnsi="Arial" w:cs="Arial"/>
          <w:color w:val="000000"/>
          <w:sz w:val="22"/>
          <w:szCs w:val="24"/>
          <w:lang w:val="es-CO" w:eastAsia="es-ES_tradnl"/>
        </w:rPr>
        <w:t xml:space="preserve"> los procedimientos </w:t>
      </w:r>
      <w:r w:rsidR="00A14D04" w:rsidRPr="00436BDA">
        <w:rPr>
          <w:rFonts w:ascii="Arial" w:eastAsia="Calibri" w:hAnsi="Arial" w:cs="Arial"/>
          <w:i/>
          <w:iCs/>
          <w:color w:val="000000"/>
          <w:sz w:val="22"/>
          <w:szCs w:val="24"/>
          <w:lang w:val="es-CO" w:eastAsia="es-ES_tradnl"/>
        </w:rPr>
        <w:t>no competitivos</w:t>
      </w:r>
      <w:r w:rsidR="00A14D04" w:rsidRPr="00436BDA">
        <w:rPr>
          <w:rFonts w:ascii="Arial" w:eastAsia="Calibri" w:hAnsi="Arial" w:cs="Arial"/>
          <w:color w:val="000000"/>
          <w:sz w:val="22"/>
          <w:szCs w:val="24"/>
          <w:lang w:val="es-CO" w:eastAsia="es-ES_tradnl"/>
        </w:rPr>
        <w:t>, que son los que implican una contratación directa. Como explica la Sala de Consulta y Servicio Civil del Consejo de Estado:</w:t>
      </w:r>
    </w:p>
    <w:p w14:paraId="0166842E" w14:textId="77777777" w:rsidR="00A14D04" w:rsidRPr="00436BDA" w:rsidRDefault="00A14D04" w:rsidP="00A14D04">
      <w:pPr>
        <w:spacing w:line="276" w:lineRule="auto"/>
        <w:ind w:firstLine="708"/>
        <w:jc w:val="both"/>
        <w:rPr>
          <w:rFonts w:ascii="Arial" w:eastAsia="Calibri" w:hAnsi="Arial" w:cs="Arial"/>
          <w:color w:val="000000"/>
          <w:sz w:val="22"/>
          <w:szCs w:val="24"/>
          <w:lang w:val="es-CO" w:eastAsia="es-ES_tradnl"/>
        </w:rPr>
      </w:pPr>
    </w:p>
    <w:p w14:paraId="54E98119" w14:textId="77777777" w:rsidR="00A14D04" w:rsidRPr="00436BDA" w:rsidRDefault="00A14D04" w:rsidP="00A14D04">
      <w:pPr>
        <w:ind w:left="709" w:right="709"/>
        <w:jc w:val="both"/>
        <w:rPr>
          <w:rFonts w:ascii="Arial" w:eastAsia="Calibri" w:hAnsi="Arial" w:cs="Arial"/>
          <w:color w:val="000000"/>
          <w:sz w:val="21"/>
          <w:szCs w:val="21"/>
          <w:lang w:val="es-CO" w:eastAsia="es-ES_tradnl"/>
        </w:rPr>
      </w:pPr>
      <w:r w:rsidRPr="00436BDA">
        <w:rPr>
          <w:rFonts w:ascii="Arial" w:eastAsia="Calibri" w:hAnsi="Arial" w:cs="Arial"/>
          <w:color w:val="000000"/>
          <w:sz w:val="21"/>
          <w:szCs w:val="21"/>
          <w:lang w:val="es-CO"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36BDA">
        <w:rPr>
          <w:rFonts w:ascii="Arial" w:eastAsia="Calibri" w:hAnsi="Arial" w:cs="Arial"/>
          <w:color w:val="000000"/>
          <w:sz w:val="21"/>
          <w:szCs w:val="21"/>
          <w:vertAlign w:val="superscript"/>
          <w:lang w:val="es-CO" w:eastAsia="es-ES_tradnl"/>
        </w:rPr>
        <w:footnoteReference w:id="30"/>
      </w:r>
      <w:r w:rsidRPr="00436BDA">
        <w:rPr>
          <w:rFonts w:ascii="Arial" w:eastAsia="Calibri" w:hAnsi="Arial" w:cs="Arial"/>
          <w:color w:val="000000"/>
          <w:sz w:val="21"/>
          <w:szCs w:val="21"/>
          <w:lang w:val="es-CO" w:eastAsia="es-ES_tradnl"/>
        </w:rPr>
        <w:t xml:space="preserve">. </w:t>
      </w:r>
    </w:p>
    <w:p w14:paraId="1D0A7241" w14:textId="77777777" w:rsidR="00A14D04" w:rsidRPr="00436BDA" w:rsidRDefault="00A14D04" w:rsidP="00A14D04">
      <w:pPr>
        <w:spacing w:line="276" w:lineRule="auto"/>
        <w:ind w:left="709" w:right="709"/>
        <w:jc w:val="both"/>
        <w:rPr>
          <w:rFonts w:ascii="Arial" w:eastAsia="Calibri" w:hAnsi="Arial" w:cs="Arial"/>
          <w:color w:val="000000"/>
          <w:sz w:val="22"/>
          <w:szCs w:val="24"/>
          <w:lang w:val="es-CO" w:eastAsia="es-ES_tradnl"/>
        </w:rPr>
      </w:pPr>
    </w:p>
    <w:p w14:paraId="4B83BDA0" w14:textId="3B7084CC" w:rsidR="00A14D04" w:rsidRPr="00436BDA" w:rsidRDefault="00A14D04" w:rsidP="00103285">
      <w:pPr>
        <w:spacing w:after="120" w:line="276" w:lineRule="auto"/>
        <w:jc w:val="both"/>
        <w:rPr>
          <w:rFonts w:ascii="Arial" w:eastAsia="Calibri" w:hAnsi="Arial" w:cs="Arial"/>
          <w:color w:val="000000"/>
          <w:sz w:val="22"/>
          <w:szCs w:val="24"/>
          <w:lang w:val="es-CO" w:eastAsia="es-ES_tradnl"/>
        </w:rPr>
      </w:pPr>
      <w:r w:rsidRPr="00436BDA">
        <w:rPr>
          <w:rFonts w:ascii="Arial" w:eastAsia="Calibri" w:hAnsi="Arial" w:cs="Arial"/>
          <w:color w:val="000000"/>
          <w:sz w:val="22"/>
          <w:szCs w:val="24"/>
          <w:lang w:val="es-CO" w:eastAsia="es-ES_tradnl"/>
        </w:rPr>
        <w:tab/>
        <w:t xml:space="preserve">En contraste, la restricción citada no aplicaría a los convenios de asociación que celebren las entidades estatales y las ESAL bajo el procedimiento </w:t>
      </w:r>
      <w:r w:rsidRPr="00436BDA">
        <w:rPr>
          <w:rFonts w:ascii="Arial" w:eastAsia="Calibri" w:hAnsi="Arial" w:cs="Arial"/>
          <w:i/>
          <w:iCs/>
          <w:color w:val="000000"/>
          <w:sz w:val="22"/>
          <w:szCs w:val="24"/>
          <w:lang w:val="es-CO" w:eastAsia="es-ES_tradnl"/>
        </w:rPr>
        <w:t>competitivo</w:t>
      </w:r>
      <w:r w:rsidRPr="00436BDA">
        <w:rPr>
          <w:rFonts w:ascii="Arial" w:eastAsia="Calibri" w:hAnsi="Arial" w:cs="Arial"/>
          <w:color w:val="000000"/>
          <w:sz w:val="22"/>
          <w:szCs w:val="24"/>
          <w:lang w:val="es-CO" w:eastAsia="es-ES_tradnl"/>
        </w:rPr>
        <w:t xml:space="preserve">, pues este supone la pluralidad de oferentes y la selección objetiva del contratista. Conforme al artículo 5 del Decreto 092 de 2017, esta es la regla general, salvo en aquellos casos en que una </w:t>
      </w:r>
      <w:r w:rsidR="00103285" w:rsidRPr="00436BDA">
        <w:rPr>
          <w:rFonts w:ascii="Arial" w:eastAsia="Calibri" w:hAnsi="Arial" w:cs="Arial"/>
          <w:color w:val="000000"/>
          <w:sz w:val="22"/>
          <w:szCs w:val="24"/>
          <w:lang w:val="es-CO" w:eastAsia="es-ES_tradnl"/>
        </w:rPr>
        <w:t>ESAL</w:t>
      </w:r>
      <w:r w:rsidRPr="00436BDA">
        <w:rPr>
          <w:rFonts w:ascii="Arial" w:eastAsia="Calibri" w:hAnsi="Arial" w:cs="Arial"/>
          <w:color w:val="000000"/>
          <w:sz w:val="22"/>
          <w:szCs w:val="24"/>
          <w:lang w:val="es-CO" w:eastAsia="es-ES_tradnl"/>
        </w:rPr>
        <w:t xml:space="preserve"> comprometa recursos en dinero por un valor igual o superior al 30% del valor total del convenio, siempre que la entidad estatal verifique previamente que no existe ninguna </w:t>
      </w:r>
      <w:r w:rsidRPr="00436BDA">
        <w:rPr>
          <w:rFonts w:ascii="Arial" w:eastAsia="Calibri" w:hAnsi="Arial" w:cs="Arial"/>
          <w:color w:val="000000"/>
          <w:sz w:val="22"/>
          <w:szCs w:val="24"/>
          <w:lang w:val="es-CO" w:eastAsia="es-ES_tradnl"/>
        </w:rPr>
        <w:lastRenderedPageBreak/>
        <w:t>otra ESAL que ofrezca aportes iguales o superiores a dicho porcentaje</w:t>
      </w:r>
      <w:r w:rsidR="00B052EA" w:rsidRPr="00436BDA">
        <w:rPr>
          <w:rFonts w:ascii="Arial" w:eastAsia="Calibri" w:hAnsi="Arial" w:cs="Arial"/>
          <w:color w:val="000000"/>
          <w:sz w:val="22"/>
          <w:szCs w:val="24"/>
          <w:lang w:val="es-CO" w:eastAsia="es-ES_tradnl"/>
        </w:rPr>
        <w:t>, supuesto excepcional en que procede la selección directa.</w:t>
      </w:r>
      <w:r w:rsidRPr="00436BDA">
        <w:rPr>
          <w:rFonts w:ascii="Arial" w:eastAsia="Calibri" w:hAnsi="Arial" w:cs="Arial"/>
          <w:color w:val="000000"/>
          <w:sz w:val="22"/>
          <w:szCs w:val="24"/>
          <w:lang w:val="es-CO" w:eastAsia="es-ES_tradnl"/>
        </w:rPr>
        <w:t xml:space="preserve"> </w:t>
      </w:r>
    </w:p>
    <w:p w14:paraId="6FD90DA9" w14:textId="77777777" w:rsidR="00AF4643" w:rsidRPr="00436BDA" w:rsidRDefault="00AF4643" w:rsidP="00585F75">
      <w:pPr>
        <w:spacing w:line="276" w:lineRule="auto"/>
        <w:jc w:val="both"/>
        <w:rPr>
          <w:rFonts w:ascii="Arial" w:hAnsi="Arial" w:cs="Arial"/>
          <w:sz w:val="22"/>
        </w:rPr>
      </w:pPr>
    </w:p>
    <w:p w14:paraId="5E170F36" w14:textId="79DC98F9" w:rsidR="001554CA" w:rsidRPr="00436BDA" w:rsidRDefault="001554CA" w:rsidP="00054F0E">
      <w:pPr>
        <w:spacing w:line="276" w:lineRule="auto"/>
        <w:jc w:val="both"/>
        <w:rPr>
          <w:rFonts w:ascii="Arial" w:hAnsi="Arial" w:cs="Arial"/>
          <w:b/>
          <w:sz w:val="22"/>
        </w:rPr>
      </w:pPr>
      <w:r w:rsidRPr="00436BDA">
        <w:rPr>
          <w:rFonts w:ascii="Arial" w:hAnsi="Arial" w:cs="Arial"/>
          <w:b/>
          <w:sz w:val="22"/>
        </w:rPr>
        <w:t>3. Respuesta</w:t>
      </w:r>
    </w:p>
    <w:p w14:paraId="7C29F28F" w14:textId="3202F755" w:rsidR="001554CA" w:rsidRPr="00436BDA" w:rsidRDefault="001554CA" w:rsidP="001554CA">
      <w:pPr>
        <w:spacing w:line="276" w:lineRule="auto"/>
        <w:jc w:val="both"/>
        <w:rPr>
          <w:rFonts w:ascii="Arial" w:hAnsi="Arial" w:cs="Arial"/>
          <w:sz w:val="22"/>
        </w:rPr>
      </w:pPr>
    </w:p>
    <w:p w14:paraId="3F6BD0B3" w14:textId="4DE6D83A" w:rsidR="00585F75" w:rsidRPr="00436BDA" w:rsidRDefault="009E05ED" w:rsidP="00FD7933">
      <w:pPr>
        <w:ind w:left="709" w:right="709"/>
        <w:jc w:val="both"/>
        <w:rPr>
          <w:rFonts w:ascii="Arial" w:hAnsi="Arial" w:cs="Arial"/>
          <w:bCs/>
          <w:sz w:val="21"/>
          <w:szCs w:val="21"/>
        </w:rPr>
      </w:pPr>
      <w:r w:rsidRPr="00436BDA">
        <w:rPr>
          <w:rFonts w:ascii="Arial" w:hAnsi="Arial" w:cs="Arial"/>
          <w:bCs/>
          <w:sz w:val="21"/>
          <w:szCs w:val="21"/>
          <w:shd w:val="clear" w:color="auto" w:fill="FFFFFF"/>
        </w:rPr>
        <w:t>«[…] se solicita aclarar si dentro de esta restricción se encuentran cobijados los Contratos y/o Convenio de Asociación suscritos con Entidades Sin Ánimo de Lucro para Cumplir Actividades Propias de las Entidades Estatales, cuando éstas comprometen recursos en dinero para la ejecución de dichas actividades en una proporción no inferior al 30% del valor del Convenio. […) Al no existir proceso competitivo en estos casos, ¿se entiende que es una contratación directa, pese a no encontrarse dentro de las causales de contratación directa establecidas en la Ley 80 de 1993 y el Decreto 1082 de 2015?</w:t>
      </w:r>
      <w:r w:rsidR="00585F75" w:rsidRPr="00436BDA">
        <w:rPr>
          <w:rFonts w:ascii="Arial" w:hAnsi="Arial" w:cs="Arial"/>
          <w:bCs/>
          <w:sz w:val="21"/>
          <w:szCs w:val="21"/>
        </w:rPr>
        <w:t>»</w:t>
      </w:r>
      <w:r w:rsidR="00585F75" w:rsidRPr="00436BDA">
        <w:rPr>
          <w:rFonts w:ascii="Arial" w:hAnsi="Arial" w:cs="Arial"/>
          <w:bCs/>
          <w:sz w:val="21"/>
          <w:szCs w:val="21"/>
        </w:rPr>
        <w:cr/>
      </w:r>
    </w:p>
    <w:p w14:paraId="5565CAD1" w14:textId="7EEEDB3E" w:rsidR="00D77C28" w:rsidRDefault="004273A5" w:rsidP="00103285">
      <w:pPr>
        <w:pStyle w:val="Textoindependiente"/>
        <w:spacing w:line="276" w:lineRule="auto"/>
        <w:jc w:val="both"/>
      </w:pPr>
      <w:r w:rsidRPr="00436BDA">
        <w:rPr>
          <w:color w:val="000000" w:themeColor="text1"/>
        </w:rPr>
        <w:t>De acuerdo con las consideraciones anteriores, e</w:t>
      </w:r>
      <w:r w:rsidR="00103285" w:rsidRPr="00436BDA">
        <w:rPr>
          <w:color w:val="000000" w:themeColor="text1"/>
        </w:rPr>
        <w:t>n relación con los convenios de asociación</w:t>
      </w:r>
      <w:r w:rsidRPr="00436BDA">
        <w:rPr>
          <w:color w:val="000000" w:themeColor="text1"/>
        </w:rPr>
        <w:t xml:space="preserve"> previstos en el artículo 5 del Decreto 092 de 2017, celebrados</w:t>
      </w:r>
      <w:r w:rsidR="00103285" w:rsidRPr="00436BDA">
        <w:rPr>
          <w:color w:val="000000" w:themeColor="text1"/>
        </w:rPr>
        <w:t xml:space="preserve"> entre las entidades públicas y </w:t>
      </w:r>
      <w:r w:rsidRPr="00436BDA">
        <w:rPr>
          <w:color w:val="000000" w:themeColor="text1"/>
        </w:rPr>
        <w:t xml:space="preserve">las </w:t>
      </w:r>
      <w:r w:rsidR="00103285" w:rsidRPr="00436BDA">
        <w:rPr>
          <w:color w:val="000000" w:themeColor="text1"/>
        </w:rPr>
        <w:t>ESA</w:t>
      </w:r>
      <w:r w:rsidR="004F60FB" w:rsidRPr="00436BDA">
        <w:rPr>
          <w:color w:val="000000" w:themeColor="text1"/>
        </w:rPr>
        <w:t>L</w:t>
      </w:r>
      <w:r w:rsidR="00103285" w:rsidRPr="00436BDA">
        <w:rPr>
          <w:color w:val="000000" w:themeColor="text1"/>
        </w:rPr>
        <w:t xml:space="preserve">, la prohibición de contratación directa del artículo </w:t>
      </w:r>
      <w:bookmarkStart w:id="16" w:name="_Hlk75271666"/>
      <w:r w:rsidR="00103285" w:rsidRPr="00436BDA">
        <w:rPr>
          <w:color w:val="000000" w:themeColor="text1"/>
        </w:rPr>
        <w:t>33 de la Ley de Garantías</w:t>
      </w:r>
      <w:bookmarkEnd w:id="16"/>
      <w:r w:rsidR="00103285" w:rsidRPr="00436BDA">
        <w:rPr>
          <w:color w:val="000000" w:themeColor="text1"/>
        </w:rPr>
        <w:t xml:space="preserve"> </w:t>
      </w:r>
      <w:r w:rsidRPr="00436BDA">
        <w:rPr>
          <w:color w:val="000000" w:themeColor="text1"/>
        </w:rPr>
        <w:t xml:space="preserve">Electorales </w:t>
      </w:r>
      <w:r w:rsidR="00103285" w:rsidRPr="00436BDA">
        <w:rPr>
          <w:color w:val="000000" w:themeColor="text1"/>
        </w:rPr>
        <w:t xml:space="preserve">únicamente </w:t>
      </w:r>
      <w:r w:rsidRPr="00436BDA">
        <w:rPr>
          <w:color w:val="000000" w:themeColor="text1"/>
        </w:rPr>
        <w:t>aplica frente a</w:t>
      </w:r>
      <w:r w:rsidR="00103285" w:rsidRPr="00436BDA">
        <w:rPr>
          <w:color w:val="000000" w:themeColor="text1"/>
        </w:rPr>
        <w:t xml:space="preserve"> los procedimientos no competitivos del reglamento citado. Lo anterior dado que, para efectos de la Ley de Garantías</w:t>
      </w:r>
      <w:r w:rsidR="00B052EA" w:rsidRPr="00436BDA">
        <w:rPr>
          <w:color w:val="000000" w:themeColor="text1"/>
        </w:rPr>
        <w:t xml:space="preserve"> Electorales</w:t>
      </w:r>
      <w:r w:rsidR="00103285" w:rsidRPr="00436BDA">
        <w:rPr>
          <w:color w:val="000000" w:themeColor="text1"/>
        </w:rPr>
        <w:t xml:space="preserve">, </w:t>
      </w:r>
      <w:r w:rsidR="00103285" w:rsidRPr="00436BDA">
        <w:rPr>
          <w:rFonts w:eastAsia="Calibri"/>
          <w:color w:val="000000" w:themeColor="text1"/>
          <w:szCs w:val="24"/>
          <w:lang w:val="es-CO" w:eastAsia="es-ES_tradnl"/>
        </w:rPr>
        <w:t xml:space="preserve">siempre que un proceso de contratación </w:t>
      </w:r>
      <w:r w:rsidR="003B41D2" w:rsidRPr="00436BDA">
        <w:rPr>
          <w:rFonts w:eastAsia="Calibri"/>
          <w:color w:val="000000" w:themeColor="text1"/>
          <w:szCs w:val="24"/>
          <w:lang w:val="es-CO" w:eastAsia="es-ES_tradnl"/>
        </w:rPr>
        <w:t>de lugar a la</w:t>
      </w:r>
      <w:r w:rsidR="00103285" w:rsidRPr="00436BDA">
        <w:rPr>
          <w:rFonts w:eastAsia="Calibri"/>
          <w:color w:val="000000" w:themeColor="text1"/>
          <w:szCs w:val="24"/>
          <w:lang w:val="es-CO" w:eastAsia="es-ES_tradnl"/>
        </w:rPr>
        <w:t xml:space="preserve"> selección del contratista con ausencia de convocatoria pública y sin la necesidad de contar con varios oferentes que compitan por ser la mejor oferta, </w:t>
      </w:r>
      <w:r w:rsidRPr="00436BDA">
        <w:rPr>
          <w:rFonts w:eastAsia="Calibri"/>
          <w:color w:val="000000" w:themeColor="text1"/>
          <w:szCs w:val="24"/>
          <w:lang w:val="es-CO" w:eastAsia="es-ES_tradnl"/>
        </w:rPr>
        <w:t xml:space="preserve">esto es, por implicar materialmente una </w:t>
      </w:r>
      <w:r w:rsidR="001B4FA2" w:rsidRPr="00436BDA">
        <w:rPr>
          <w:rFonts w:eastAsia="Calibri"/>
          <w:color w:val="000000" w:themeColor="text1"/>
          <w:szCs w:val="24"/>
          <w:lang w:val="es-CO" w:eastAsia="es-ES_tradnl"/>
        </w:rPr>
        <w:t>selección</w:t>
      </w:r>
      <w:r w:rsidRPr="00436BDA">
        <w:rPr>
          <w:rFonts w:eastAsia="Calibri"/>
          <w:color w:val="000000" w:themeColor="text1"/>
          <w:szCs w:val="24"/>
          <w:lang w:val="es-CO" w:eastAsia="es-ES_tradnl"/>
        </w:rPr>
        <w:t xml:space="preserve"> directa</w:t>
      </w:r>
      <w:r w:rsidR="001B4FA2" w:rsidRPr="00436BDA">
        <w:rPr>
          <w:rFonts w:eastAsia="Calibri"/>
          <w:color w:val="000000" w:themeColor="text1"/>
          <w:szCs w:val="24"/>
          <w:lang w:val="es-CO" w:eastAsia="es-ES_tradnl"/>
        </w:rPr>
        <w:t xml:space="preserve"> del contratista</w:t>
      </w:r>
      <w:r w:rsidRPr="00436BDA">
        <w:rPr>
          <w:rFonts w:eastAsia="Calibri"/>
          <w:color w:val="000000" w:themeColor="text1"/>
          <w:szCs w:val="24"/>
          <w:lang w:val="es-CO" w:eastAsia="es-ES_tradnl"/>
        </w:rPr>
        <w:t xml:space="preserve">, </w:t>
      </w:r>
      <w:r w:rsidR="00103285" w:rsidRPr="00436BDA">
        <w:rPr>
          <w:rFonts w:eastAsia="Calibri"/>
          <w:color w:val="000000" w:themeColor="text1"/>
          <w:szCs w:val="24"/>
          <w:lang w:val="es-CO" w:eastAsia="es-ES_tradnl"/>
        </w:rPr>
        <w:t>aplicará la restricción prevista en el artículo 33 de la ley 996 de 2005 para la contratación directa</w:t>
      </w:r>
      <w:r w:rsidR="00513541" w:rsidRPr="00436BDA">
        <w:rPr>
          <w:rFonts w:eastAsia="Calibri"/>
          <w:color w:val="000000" w:themeColor="text1"/>
          <w:szCs w:val="24"/>
          <w:lang w:val="es-CO" w:eastAsia="es-ES_tradnl"/>
        </w:rPr>
        <w:t>.</w:t>
      </w:r>
      <w:r w:rsidR="003B41D2" w:rsidRPr="00436BDA">
        <w:rPr>
          <w:rFonts w:eastAsia="Calibri"/>
          <w:color w:val="000000" w:themeColor="text1"/>
          <w:szCs w:val="24"/>
          <w:lang w:val="es-CO" w:eastAsia="es-ES_tradnl"/>
        </w:rPr>
        <w:t xml:space="preserve"> De esta manera, la prohibición aplicará</w:t>
      </w:r>
      <w:r w:rsidR="00103285" w:rsidRPr="00436BDA">
        <w:rPr>
          <w:rFonts w:eastAsia="Calibri"/>
          <w:color w:val="000000" w:themeColor="text1"/>
          <w:szCs w:val="24"/>
          <w:lang w:val="es-CO" w:eastAsia="es-ES_tradnl"/>
        </w:rPr>
        <w:t xml:space="preserve"> independientemente del régimen de contratación, a menos que el </w:t>
      </w:r>
      <w:r w:rsidR="00B052EA" w:rsidRPr="00436BDA">
        <w:rPr>
          <w:rFonts w:eastAsia="Calibri"/>
          <w:color w:val="000000" w:themeColor="text1"/>
          <w:szCs w:val="24"/>
          <w:lang w:val="es-CO" w:eastAsia="es-ES_tradnl"/>
        </w:rPr>
        <w:t xml:space="preserve">contrato </w:t>
      </w:r>
      <w:r w:rsidR="00103285" w:rsidRPr="00436BDA">
        <w:rPr>
          <w:rFonts w:eastAsia="Calibri"/>
          <w:color w:val="000000" w:themeColor="text1"/>
          <w:szCs w:val="24"/>
          <w:lang w:val="es-CO" w:eastAsia="es-ES_tradnl"/>
        </w:rPr>
        <w:t xml:space="preserve">se enmarque </w:t>
      </w:r>
      <w:r w:rsidR="00513541" w:rsidRPr="00436BDA">
        <w:rPr>
          <w:rFonts w:eastAsia="Calibri"/>
          <w:color w:val="000000" w:themeColor="text1"/>
          <w:szCs w:val="24"/>
          <w:lang w:val="es-CO" w:eastAsia="es-ES_tradnl"/>
        </w:rPr>
        <w:t xml:space="preserve">en </w:t>
      </w:r>
      <w:r w:rsidR="00103285" w:rsidRPr="00436BDA">
        <w:rPr>
          <w:rFonts w:eastAsia="Calibri"/>
          <w:color w:val="000000" w:themeColor="text1"/>
          <w:szCs w:val="24"/>
          <w:lang w:val="es-CO" w:eastAsia="es-ES_tradnl"/>
        </w:rPr>
        <w:t>alguna de las excepciones establecidas en el inciso segundo de la misma disposición.</w:t>
      </w:r>
    </w:p>
    <w:p w14:paraId="34C250E0" w14:textId="083487EA" w:rsidR="00CA22A6" w:rsidRDefault="00CA22A6" w:rsidP="00CA22A6">
      <w:pPr>
        <w:pStyle w:val="Textoindependiente"/>
        <w:spacing w:line="276" w:lineRule="auto"/>
        <w:ind w:right="305"/>
        <w:jc w:val="both"/>
      </w:pPr>
    </w:p>
    <w:p w14:paraId="704B5C0C" w14:textId="77777777" w:rsidR="001554CA" w:rsidRDefault="001554CA" w:rsidP="00A47FA3">
      <w:pPr>
        <w:spacing w:line="276" w:lineRule="auto"/>
        <w:jc w:val="both"/>
        <w:rPr>
          <w:rFonts w:ascii="Arial" w:hAnsi="Arial" w:cs="Arial"/>
          <w:sz w:val="22"/>
        </w:rPr>
      </w:pPr>
      <w:r w:rsidRPr="00AC2EB0">
        <w:rPr>
          <w:rFonts w:ascii="Arial" w:hAnsi="Arial" w:cs="Arial"/>
          <w:sz w:val="22"/>
        </w:rPr>
        <w:t>Este concepto tiene el alcance previsto en el artículo 28 del Código de Procedimiento Administrativo y de lo Contencioso Administrativo.</w:t>
      </w:r>
    </w:p>
    <w:p w14:paraId="16171B31" w14:textId="77777777" w:rsidR="001554CA" w:rsidRPr="00AC2EB0" w:rsidRDefault="001554CA" w:rsidP="00A47FA3">
      <w:pPr>
        <w:spacing w:line="276" w:lineRule="auto"/>
        <w:jc w:val="both"/>
        <w:rPr>
          <w:rFonts w:ascii="Arial" w:eastAsia="Calibri" w:hAnsi="Arial" w:cs="Arial"/>
          <w:sz w:val="22"/>
        </w:rPr>
      </w:pPr>
    </w:p>
    <w:p w14:paraId="0F7AF0C2" w14:textId="77777777" w:rsidR="001554CA" w:rsidRPr="00AC2EB0" w:rsidRDefault="001554CA" w:rsidP="00A47FA3">
      <w:pPr>
        <w:spacing w:line="276" w:lineRule="auto"/>
        <w:jc w:val="both"/>
        <w:rPr>
          <w:rFonts w:ascii="Arial" w:eastAsia="Calibri" w:hAnsi="Arial" w:cs="Arial"/>
          <w:sz w:val="22"/>
        </w:rPr>
      </w:pPr>
      <w:r w:rsidRPr="00AC2EB0">
        <w:rPr>
          <w:rFonts w:ascii="Arial" w:hAnsi="Arial" w:cs="Arial"/>
          <w:noProof/>
          <w:sz w:val="22"/>
          <w:lang w:val="en-US"/>
        </w:rPr>
        <mc:AlternateContent>
          <mc:Choice Requires="wps">
            <w:drawing>
              <wp:anchor distT="0" distB="0" distL="114300" distR="114300" simplePos="0" relativeHeight="251659264" behindDoc="0" locked="0" layoutInCell="1" allowOverlap="1" wp14:anchorId="6A062897" wp14:editId="0950093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CA916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A7300AA" w14:textId="77777777" w:rsidR="001554CA" w:rsidRPr="00AC2EB0" w:rsidRDefault="001554CA" w:rsidP="00A47FA3">
      <w:pPr>
        <w:spacing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28ED70D2" w14:textId="35E630AB" w:rsidR="001554CA" w:rsidRDefault="00CF0398" w:rsidP="001554CA">
      <w:pPr>
        <w:spacing w:line="276" w:lineRule="auto"/>
        <w:jc w:val="center"/>
      </w:pPr>
      <w:r>
        <w:rPr>
          <w:rFonts w:ascii="Arial" w:hAnsi="Arial" w:cs="Arial"/>
          <w:noProof/>
          <w:lang w:val="en-US"/>
        </w:rPr>
        <w:drawing>
          <wp:inline distT="0" distB="0" distL="0" distR="0" wp14:anchorId="2F284D74" wp14:editId="4A11C8ED">
            <wp:extent cx="2273831" cy="1024890"/>
            <wp:effectExtent l="0" t="0" r="0" b="381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0518FB8A" w14:textId="77777777" w:rsidR="006A17E3" w:rsidRPr="006A17E3" w:rsidRDefault="006A17E3" w:rsidP="001554CA">
      <w:pPr>
        <w:spacing w:line="276" w:lineRule="auto"/>
        <w:jc w:val="cente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554CA" w:rsidRPr="00B60E43" w14:paraId="07DF7A89" w14:textId="77777777" w:rsidTr="00EC01FD">
        <w:trPr>
          <w:trHeight w:val="315"/>
        </w:trPr>
        <w:tc>
          <w:tcPr>
            <w:tcW w:w="812" w:type="dxa"/>
            <w:vAlign w:val="center"/>
            <w:hideMark/>
          </w:tcPr>
          <w:p w14:paraId="0A52563C" w14:textId="77777777" w:rsidR="001554CA" w:rsidRPr="00B60E43" w:rsidRDefault="001554CA" w:rsidP="00436BDA">
            <w:pPr>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3C2FE90" w14:textId="54C5151C" w:rsidR="001554CA" w:rsidRPr="00B60E43" w:rsidRDefault="009F41EB" w:rsidP="00436BDA">
            <w:pPr>
              <w:rPr>
                <w:rFonts w:ascii="Arial" w:hAnsi="Arial" w:cs="Arial"/>
                <w:sz w:val="16"/>
                <w:szCs w:val="16"/>
                <w:lang w:val="es-ES_tradnl" w:eastAsia="es-ES"/>
              </w:rPr>
            </w:pPr>
            <w:r>
              <w:rPr>
                <w:rFonts w:ascii="Arial" w:hAnsi="Arial" w:cs="Arial"/>
                <w:sz w:val="16"/>
                <w:szCs w:val="16"/>
                <w:lang w:val="es-ES_tradnl" w:eastAsia="es-ES"/>
              </w:rPr>
              <w:t>Felipe Bastidas Paredes</w:t>
            </w:r>
          </w:p>
          <w:p w14:paraId="3AAC87B8" w14:textId="77777777" w:rsidR="001554CA" w:rsidRPr="00B60E43" w:rsidRDefault="001554CA" w:rsidP="00436BDA">
            <w:pPr>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1554CA" w:rsidRPr="00B60E43" w14:paraId="282C6598" w14:textId="77777777" w:rsidTr="00EC01FD">
        <w:trPr>
          <w:trHeight w:val="330"/>
        </w:trPr>
        <w:tc>
          <w:tcPr>
            <w:tcW w:w="812" w:type="dxa"/>
            <w:vAlign w:val="center"/>
            <w:hideMark/>
          </w:tcPr>
          <w:p w14:paraId="236C8155" w14:textId="77777777" w:rsidR="001554CA" w:rsidRPr="00B60E43" w:rsidRDefault="001554CA" w:rsidP="00436BDA">
            <w:pPr>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5F5929" w14:textId="0DEFA89C" w:rsidR="009F41EB" w:rsidRDefault="009F41EB" w:rsidP="00436BDA">
            <w:pPr>
              <w:rPr>
                <w:rFonts w:ascii="Arial" w:hAnsi="Arial" w:cs="Arial"/>
                <w:sz w:val="16"/>
                <w:szCs w:val="16"/>
                <w:lang w:val="es-ES_tradnl" w:eastAsia="es-ES"/>
              </w:rPr>
            </w:pPr>
            <w:r>
              <w:rPr>
                <w:rFonts w:ascii="Arial" w:hAnsi="Arial" w:cs="Arial"/>
                <w:sz w:val="16"/>
                <w:szCs w:val="16"/>
                <w:lang w:val="es-ES_tradnl" w:eastAsia="es-ES"/>
              </w:rPr>
              <w:t>Sebastián Ramírez</w:t>
            </w:r>
            <w:r w:rsidR="00C16A8D">
              <w:rPr>
                <w:rFonts w:ascii="Arial" w:hAnsi="Arial" w:cs="Arial"/>
                <w:sz w:val="16"/>
                <w:szCs w:val="16"/>
                <w:lang w:val="es-ES_tradnl" w:eastAsia="es-ES"/>
              </w:rPr>
              <w:t xml:space="preserve"> Grisales</w:t>
            </w:r>
          </w:p>
          <w:p w14:paraId="699C31B9" w14:textId="2A160F8D" w:rsidR="001554CA" w:rsidRPr="00B60E43" w:rsidRDefault="001554CA" w:rsidP="00436BDA">
            <w:pPr>
              <w:rPr>
                <w:rFonts w:ascii="Arial" w:hAnsi="Arial" w:cs="Arial"/>
                <w:sz w:val="16"/>
                <w:szCs w:val="16"/>
                <w:lang w:val="es-ES_tradnl" w:eastAsia="es-ES"/>
              </w:rPr>
            </w:pPr>
            <w:r>
              <w:rPr>
                <w:rFonts w:ascii="Arial" w:hAnsi="Arial" w:cs="Arial"/>
                <w:sz w:val="16"/>
                <w:szCs w:val="16"/>
                <w:lang w:val="es-ES_tradnl" w:eastAsia="es-ES"/>
              </w:rPr>
              <w:t xml:space="preserve">Gestor T1-15 de la </w:t>
            </w:r>
            <w:r w:rsidRPr="00B60E43">
              <w:rPr>
                <w:rFonts w:ascii="Arial" w:hAnsi="Arial" w:cs="Arial"/>
                <w:sz w:val="16"/>
                <w:szCs w:val="16"/>
                <w:lang w:val="es-ES_tradnl" w:eastAsia="es-ES"/>
              </w:rPr>
              <w:t>Subdirección de Gestión Contractual</w:t>
            </w:r>
          </w:p>
        </w:tc>
      </w:tr>
      <w:tr w:rsidR="001554CA" w:rsidRPr="00B8154C" w14:paraId="5931CDCD" w14:textId="77777777" w:rsidTr="00EC01FD">
        <w:trPr>
          <w:trHeight w:val="300"/>
        </w:trPr>
        <w:tc>
          <w:tcPr>
            <w:tcW w:w="812" w:type="dxa"/>
            <w:vAlign w:val="center"/>
            <w:hideMark/>
          </w:tcPr>
          <w:p w14:paraId="4A423476" w14:textId="77777777" w:rsidR="001554CA" w:rsidRPr="00B60E43" w:rsidRDefault="001554CA" w:rsidP="00436BDA">
            <w:pPr>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E36E34" w14:textId="77777777" w:rsidR="001554CA" w:rsidRPr="00436BDA" w:rsidRDefault="001554CA" w:rsidP="00436BDA">
            <w:pPr>
              <w:rPr>
                <w:rFonts w:ascii="Arial" w:hAnsi="Arial" w:cs="Arial"/>
                <w:sz w:val="16"/>
                <w:szCs w:val="16"/>
                <w:lang w:val="es-ES_tradnl" w:eastAsia="es-ES"/>
              </w:rPr>
            </w:pPr>
            <w:r w:rsidRPr="00436BDA">
              <w:rPr>
                <w:rFonts w:ascii="Arial" w:hAnsi="Arial" w:cs="Arial"/>
                <w:sz w:val="16"/>
                <w:szCs w:val="16"/>
                <w:lang w:val="es-ES_tradnl" w:eastAsia="es-ES"/>
              </w:rPr>
              <w:t>Jorge Augusto Tirado Navarro</w:t>
            </w:r>
          </w:p>
          <w:p w14:paraId="7807AAD6" w14:textId="77777777" w:rsidR="001554CA" w:rsidRPr="00B8154C" w:rsidRDefault="001554CA" w:rsidP="00436BDA">
            <w:pPr>
              <w:rPr>
                <w:rFonts w:ascii="Arial" w:hAnsi="Arial" w:cs="Arial"/>
                <w:sz w:val="16"/>
                <w:szCs w:val="16"/>
                <w:lang w:val="pt-BR" w:eastAsia="es-ES"/>
              </w:rPr>
            </w:pPr>
            <w:r w:rsidRPr="00436BDA">
              <w:rPr>
                <w:rFonts w:ascii="Arial" w:hAnsi="Arial" w:cs="Arial"/>
                <w:sz w:val="16"/>
                <w:szCs w:val="16"/>
                <w:lang w:val="es-ES_tradnl" w:eastAsia="es-ES"/>
              </w:rPr>
              <w:t>Subdirector de Gestión Contractual ANCP - CCE</w:t>
            </w:r>
          </w:p>
        </w:tc>
      </w:tr>
    </w:tbl>
    <w:p w14:paraId="66B10743" w14:textId="77777777" w:rsidR="001554CA" w:rsidRPr="00DE311F" w:rsidRDefault="001554CA" w:rsidP="001554CA">
      <w:pPr>
        <w:rPr>
          <w:rFonts w:ascii="Arial" w:hAnsi="Arial" w:cs="Arial"/>
        </w:rPr>
      </w:pPr>
    </w:p>
    <w:sectPr w:rsidR="001554CA" w:rsidRPr="00DE311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E068" w14:textId="77777777" w:rsidR="000B5274" w:rsidRDefault="000B5274" w:rsidP="001554CA">
      <w:r>
        <w:separator/>
      </w:r>
    </w:p>
  </w:endnote>
  <w:endnote w:type="continuationSeparator" w:id="0">
    <w:p w14:paraId="02A9A498" w14:textId="77777777" w:rsidR="000B5274" w:rsidRDefault="000B5274" w:rsidP="0015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4FBF" w14:textId="77777777" w:rsidR="006A17E3" w:rsidRDefault="006A17E3" w:rsidP="00876845">
    <w:pPr>
      <w:pStyle w:val="Piedepgina"/>
      <w:jc w:val="right"/>
      <w:rPr>
        <w:rFonts w:ascii="Arial" w:hAnsi="Arial" w:cs="Arial"/>
        <w:bCs/>
        <w:color w:val="7F7F7F" w:themeColor="text1" w:themeTint="80"/>
        <w:sz w:val="16"/>
        <w:szCs w:val="16"/>
      </w:rPr>
    </w:pPr>
  </w:p>
  <w:p w14:paraId="6F15E978" w14:textId="7577D66F" w:rsidR="00DE311F" w:rsidRPr="008217B7" w:rsidRDefault="002B1AF1"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6AA993B" w14:textId="77777777" w:rsidR="00DE311F" w:rsidRDefault="002B1AF1" w:rsidP="00876845">
    <w:pPr>
      <w:pStyle w:val="Piedepgina"/>
      <w:jc w:val="center"/>
      <w:rPr>
        <w:lang w:val="es-ES"/>
      </w:rPr>
    </w:pPr>
    <w:r>
      <w:rPr>
        <w:noProof/>
      </w:rPr>
      <w:drawing>
        <wp:inline distT="0" distB="0" distL="0" distR="0" wp14:anchorId="70F75161" wp14:editId="5AF9EB0D">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B21C" w14:textId="77777777" w:rsidR="000B5274" w:rsidRDefault="000B5274" w:rsidP="001554CA">
      <w:r>
        <w:separator/>
      </w:r>
    </w:p>
  </w:footnote>
  <w:footnote w:type="continuationSeparator" w:id="0">
    <w:p w14:paraId="47229074" w14:textId="77777777" w:rsidR="000B5274" w:rsidRDefault="000B5274" w:rsidP="001554CA">
      <w:r>
        <w:continuationSeparator/>
      </w:r>
    </w:p>
  </w:footnote>
  <w:footnote w:id="1">
    <w:p w14:paraId="48E96C58" w14:textId="77777777" w:rsidR="00CA3863" w:rsidRPr="00EC20D7" w:rsidRDefault="00CA3863"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DEE35D9" w14:textId="77777777" w:rsidR="00CA3863" w:rsidRDefault="00CA3863" w:rsidP="00CA3863">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7694A36A" w14:textId="77777777" w:rsidR="00CA3863" w:rsidRPr="00EC20D7" w:rsidRDefault="00CA3863" w:rsidP="00CA3863">
      <w:pPr>
        <w:pStyle w:val="Textonotapie"/>
        <w:ind w:firstLine="709"/>
        <w:jc w:val="both"/>
        <w:rPr>
          <w:rFonts w:ascii="Arial" w:hAnsi="Arial" w:cs="Arial"/>
          <w:sz w:val="19"/>
          <w:szCs w:val="19"/>
        </w:rPr>
      </w:pPr>
    </w:p>
  </w:footnote>
  <w:footnote w:id="2">
    <w:p w14:paraId="3F4E14B1" w14:textId="77777777" w:rsidR="00CA3863" w:rsidRDefault="00CA3863" w:rsidP="00CA3863">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p w14:paraId="317C9574" w14:textId="77777777" w:rsidR="00CA3863" w:rsidRPr="002F0981" w:rsidRDefault="00CA3863" w:rsidP="00CA3863">
      <w:pPr>
        <w:pStyle w:val="Textonotapie"/>
        <w:ind w:firstLine="709"/>
        <w:jc w:val="both"/>
        <w:rPr>
          <w:rFonts w:ascii="Arial" w:hAnsi="Arial" w:cs="Arial"/>
          <w:sz w:val="19"/>
          <w:szCs w:val="19"/>
          <w:lang w:val="es-CO"/>
        </w:rPr>
      </w:pPr>
    </w:p>
  </w:footnote>
  <w:footnote w:id="3">
    <w:p w14:paraId="137E641A" w14:textId="77777777" w:rsidR="00CA3863" w:rsidRPr="00EC20D7" w:rsidRDefault="00CA3863"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4">
    <w:p w14:paraId="72D2EE91" w14:textId="77777777" w:rsidR="00CA3863" w:rsidRPr="00EC20D7" w:rsidRDefault="00CA3863"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1172890" w14:textId="77777777" w:rsidR="00CA3863" w:rsidRPr="00EC20D7" w:rsidRDefault="00CA3863" w:rsidP="00CA3863">
      <w:pPr>
        <w:pStyle w:val="Textonotapie"/>
        <w:ind w:firstLine="709"/>
        <w:jc w:val="both"/>
        <w:rPr>
          <w:rFonts w:ascii="Arial" w:hAnsi="Arial" w:cs="Arial"/>
          <w:sz w:val="19"/>
          <w:szCs w:val="19"/>
        </w:rPr>
      </w:pPr>
    </w:p>
  </w:footnote>
  <w:footnote w:id="5">
    <w:p w14:paraId="107BE7C5" w14:textId="77777777" w:rsidR="00CA3863" w:rsidRPr="00EC20D7" w:rsidRDefault="00CA3863" w:rsidP="00CA3863">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C7720AB" w14:textId="77777777" w:rsidR="00CA3863" w:rsidRPr="00EC20D7" w:rsidRDefault="00CA3863" w:rsidP="00CA3863">
      <w:pPr>
        <w:pStyle w:val="Textonotapie"/>
        <w:ind w:firstLine="709"/>
        <w:jc w:val="both"/>
        <w:rPr>
          <w:rFonts w:ascii="Arial" w:hAnsi="Arial" w:cs="Arial"/>
          <w:sz w:val="19"/>
          <w:szCs w:val="19"/>
          <w:lang w:val="es-CO"/>
        </w:rPr>
      </w:pPr>
    </w:p>
  </w:footnote>
  <w:footnote w:id="6">
    <w:p w14:paraId="012D317E" w14:textId="77777777" w:rsidR="00CA3863" w:rsidRDefault="00CA3863"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p w14:paraId="3DD05B82" w14:textId="77777777" w:rsidR="00CA3863" w:rsidRPr="00EC20D7" w:rsidRDefault="00CA3863" w:rsidP="00CA3863">
      <w:pPr>
        <w:pStyle w:val="Textonotapie"/>
        <w:ind w:firstLine="709"/>
        <w:jc w:val="both"/>
        <w:rPr>
          <w:rFonts w:ascii="Arial" w:hAnsi="Arial" w:cs="Arial"/>
          <w:sz w:val="19"/>
          <w:szCs w:val="19"/>
        </w:rPr>
      </w:pPr>
    </w:p>
  </w:footnote>
  <w:footnote w:id="7">
    <w:p w14:paraId="7D534E8F" w14:textId="77777777" w:rsidR="00CA3863" w:rsidRPr="00EC20D7" w:rsidRDefault="00CA3863" w:rsidP="00CA3863">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7FF9C26D" w14:textId="77777777" w:rsidR="00CA3863" w:rsidRDefault="00CA3863" w:rsidP="00CA3863">
      <w:pPr>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p w14:paraId="2BA4C0D1" w14:textId="77777777" w:rsidR="00CA3863" w:rsidRPr="00EC20D7" w:rsidRDefault="00CA3863" w:rsidP="00CA3863">
      <w:pPr>
        <w:ind w:firstLine="709"/>
        <w:jc w:val="both"/>
        <w:rPr>
          <w:rFonts w:ascii="Arial" w:hAnsi="Arial" w:cs="Arial"/>
          <w:sz w:val="19"/>
          <w:szCs w:val="19"/>
        </w:rPr>
      </w:pPr>
    </w:p>
  </w:footnote>
  <w:footnote w:id="8">
    <w:p w14:paraId="6A85D715" w14:textId="77777777" w:rsidR="00CA3863" w:rsidRPr="00EC20D7" w:rsidRDefault="00CA3863" w:rsidP="00CA3863">
      <w:pPr>
        <w:pStyle w:val="NormalWeb"/>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38. Prohibiciones para los servidores públicos. A los empleados del Estado les está prohibido:</w:t>
      </w:r>
    </w:p>
    <w:p w14:paraId="2B993392" w14:textId="77777777" w:rsidR="00CA3863" w:rsidRPr="00EC20D7" w:rsidRDefault="00CA3863" w:rsidP="00CA3863">
      <w:pPr>
        <w:pStyle w:val="NormalWeb"/>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w:t>
      </w:r>
    </w:p>
    <w:p w14:paraId="2F5C33F1" w14:textId="77777777" w:rsidR="00CA3863" w:rsidRDefault="00CA3863" w:rsidP="00CA3863">
      <w:pPr>
        <w:ind w:firstLine="709"/>
        <w:jc w:val="both"/>
        <w:rPr>
          <w:rFonts w:ascii="Arial" w:hAnsi="Arial" w:cs="Arial"/>
          <w:sz w:val="19"/>
          <w:szCs w:val="19"/>
        </w:rPr>
      </w:pPr>
      <w:r w:rsidRPr="0026728E">
        <w:rPr>
          <w:rFonts w:ascii="Arial" w:eastAsia="Calibri" w:hAnsi="Arial" w:cs="Arial"/>
          <w:bCs/>
          <w:color w:val="000000"/>
          <w:sz w:val="19"/>
          <w:szCs w:val="19"/>
        </w:rPr>
        <w:t>»</w:t>
      </w:r>
      <w:r w:rsidRPr="002F0981">
        <w:rPr>
          <w:rStyle w:val="baj"/>
          <w:rFonts w:ascii="Arial" w:hAnsi="Arial" w:cs="Arial"/>
          <w:sz w:val="19"/>
          <w:szCs w:val="19"/>
        </w:rPr>
        <w:t xml:space="preserve"> Parágrafo.</w:t>
      </w:r>
      <w:r w:rsidRPr="002F0981">
        <w:rPr>
          <w:rFonts w:ascii="Arial" w:hAnsi="Arial" w:cs="Arial"/>
          <w:sz w:val="19"/>
          <w:szCs w:val="19"/>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rPr>
        <w:t>.</w:t>
      </w:r>
    </w:p>
    <w:p w14:paraId="7F417E76" w14:textId="77777777" w:rsidR="00CA3863" w:rsidRPr="002F0981" w:rsidRDefault="00CA3863" w:rsidP="00CA3863">
      <w:pPr>
        <w:ind w:firstLine="709"/>
        <w:jc w:val="both"/>
        <w:rPr>
          <w:rFonts w:ascii="Arial" w:hAnsi="Arial" w:cs="Arial"/>
          <w:sz w:val="19"/>
          <w:szCs w:val="19"/>
        </w:rPr>
      </w:pPr>
    </w:p>
  </w:footnote>
  <w:footnote w:id="9">
    <w:p w14:paraId="0E9D73E0" w14:textId="77777777" w:rsidR="00CA3863" w:rsidRPr="002F0981" w:rsidRDefault="00CA3863" w:rsidP="00436BDA">
      <w:pPr>
        <w:ind w:left="100" w:right="49"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4973075B" w14:textId="77777777" w:rsidR="00CA3863" w:rsidRPr="00EC20D7" w:rsidRDefault="00CA3863" w:rsidP="00CA3863">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5CEE03A0" w14:textId="77777777" w:rsidR="00CA3863" w:rsidRPr="00EC20D7" w:rsidRDefault="00CA3863" w:rsidP="00CA3863">
      <w:pPr>
        <w:pStyle w:val="Textonotapie"/>
        <w:ind w:right="51" w:firstLine="709"/>
        <w:jc w:val="both"/>
        <w:rPr>
          <w:rFonts w:ascii="Arial" w:hAnsi="Arial" w:cs="Arial"/>
          <w:sz w:val="19"/>
          <w:szCs w:val="19"/>
        </w:rPr>
      </w:pPr>
    </w:p>
  </w:footnote>
  <w:footnote w:id="11">
    <w:p w14:paraId="320DFB99" w14:textId="77777777" w:rsidR="00CA3863" w:rsidRPr="00EC20D7" w:rsidRDefault="00CA3863" w:rsidP="00CA3863">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5D79FAB1" w14:textId="77777777" w:rsidR="00CA3863" w:rsidRPr="00EC20D7" w:rsidRDefault="00CA3863" w:rsidP="00CA3863">
      <w:pPr>
        <w:pStyle w:val="Textonotapie"/>
        <w:ind w:right="51" w:firstLine="709"/>
        <w:jc w:val="both"/>
        <w:rPr>
          <w:rFonts w:ascii="Arial" w:hAnsi="Arial" w:cs="Arial"/>
          <w:sz w:val="19"/>
          <w:szCs w:val="19"/>
        </w:rPr>
      </w:pPr>
    </w:p>
  </w:footnote>
  <w:footnote w:id="12">
    <w:p w14:paraId="2B933789" w14:textId="77777777" w:rsidR="00CA3863" w:rsidRDefault="00CA3863"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49C65770" w14:textId="77777777" w:rsidR="00CA3863" w:rsidRPr="00EC20D7" w:rsidRDefault="00CA3863" w:rsidP="00CA3863">
      <w:pPr>
        <w:pStyle w:val="Textonotapie"/>
        <w:ind w:firstLine="709"/>
        <w:jc w:val="both"/>
        <w:rPr>
          <w:rFonts w:ascii="Arial" w:hAnsi="Arial" w:cs="Arial"/>
          <w:sz w:val="19"/>
          <w:szCs w:val="19"/>
        </w:rPr>
      </w:pPr>
    </w:p>
  </w:footnote>
  <w:footnote w:id="13">
    <w:p w14:paraId="59154744" w14:textId="77777777" w:rsidR="00CA3863" w:rsidRPr="00EC20D7" w:rsidRDefault="00CA3863" w:rsidP="00CA3863">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Artículo 2. </w:t>
      </w:r>
    </w:p>
    <w:p w14:paraId="205BE4E8" w14:textId="77777777" w:rsidR="00CA3863" w:rsidRPr="00EC20D7" w:rsidRDefault="00CA3863" w:rsidP="00CA3863">
      <w:pPr>
        <w:pStyle w:val="Textonotapie"/>
        <w:ind w:firstLine="709"/>
        <w:jc w:val="both"/>
        <w:rPr>
          <w:rFonts w:ascii="Arial" w:hAnsi="Arial" w:cs="Arial"/>
          <w:sz w:val="19"/>
          <w:szCs w:val="19"/>
          <w:lang w:val="es-ES"/>
        </w:rPr>
      </w:pPr>
    </w:p>
  </w:footnote>
  <w:footnote w:id="14">
    <w:p w14:paraId="00694CA9" w14:textId="77777777" w:rsidR="00CA3863" w:rsidRPr="00EC20D7" w:rsidRDefault="00CA3863" w:rsidP="00CA3863">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i/>
          <w:sz w:val="19"/>
          <w:szCs w:val="19"/>
          <w:lang w:val="es-ES"/>
        </w:rPr>
        <w:t>Ídem</w:t>
      </w:r>
      <w:r w:rsidRPr="00EC20D7">
        <w:rPr>
          <w:rFonts w:ascii="Arial" w:hAnsi="Arial" w:cs="Arial"/>
          <w:sz w:val="19"/>
          <w:szCs w:val="19"/>
          <w:lang w:val="es-ES"/>
        </w:rPr>
        <w:t>.</w:t>
      </w:r>
    </w:p>
  </w:footnote>
  <w:footnote w:id="15">
    <w:p w14:paraId="62AEA198" w14:textId="77777777" w:rsidR="00CA3863" w:rsidRPr="00EC20D7" w:rsidRDefault="00CA3863" w:rsidP="00CA3863">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607A38E2" w14:textId="77777777" w:rsidR="00CA3863" w:rsidRPr="00EC20D7" w:rsidRDefault="00CA3863" w:rsidP="00CA3863">
      <w:pPr>
        <w:pStyle w:val="Textonotapie"/>
        <w:ind w:firstLine="709"/>
        <w:jc w:val="both"/>
        <w:rPr>
          <w:rFonts w:ascii="Arial" w:hAnsi="Arial" w:cs="Arial"/>
          <w:sz w:val="19"/>
          <w:szCs w:val="19"/>
          <w:lang w:val="es-ES"/>
        </w:rPr>
      </w:pPr>
    </w:p>
  </w:footnote>
  <w:footnote w:id="16">
    <w:p w14:paraId="6BF01D7D" w14:textId="77777777" w:rsidR="00CA3863" w:rsidRPr="00EC20D7" w:rsidRDefault="00CA3863"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7">
    <w:p w14:paraId="75A836F9" w14:textId="77777777" w:rsidR="00CA3863" w:rsidRPr="00EC20D7" w:rsidRDefault="00CA3863"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8">
    <w:p w14:paraId="5151E452" w14:textId="77777777" w:rsidR="00CA3863" w:rsidRDefault="00CA3863" w:rsidP="00CA3863">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4DB0ECFD" w14:textId="77777777" w:rsidR="00CA3863" w:rsidRPr="00EC20D7" w:rsidRDefault="00CA3863" w:rsidP="00CA3863">
      <w:pPr>
        <w:ind w:firstLine="709"/>
        <w:jc w:val="both"/>
        <w:rPr>
          <w:rFonts w:ascii="Arial" w:hAnsi="Arial" w:cs="Arial"/>
          <w:sz w:val="19"/>
          <w:szCs w:val="19"/>
        </w:rPr>
      </w:pPr>
    </w:p>
  </w:footnote>
  <w:footnote w:id="19">
    <w:p w14:paraId="17807F87" w14:textId="77777777" w:rsidR="00CA3863" w:rsidRPr="00EC20D7" w:rsidRDefault="00CA3863" w:rsidP="00CA3863">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bookmarkStart w:id="11" w:name="_Hlk75633115"/>
      <w:r w:rsidRPr="00EC20D7">
        <w:rPr>
          <w:rFonts w:ascii="Arial" w:hAnsi="Arial" w:cs="Arial"/>
          <w:sz w:val="19"/>
          <w:szCs w:val="19"/>
        </w:rPr>
        <w:t xml:space="preserve">Consejo de Estado. Sala de Consulta y Servicio Civil. Concepto </w:t>
      </w:r>
      <w:bookmarkEnd w:id="11"/>
      <w:r w:rsidRPr="00EC20D7">
        <w:rPr>
          <w:rFonts w:ascii="Arial" w:hAnsi="Arial" w:cs="Arial"/>
          <w:sz w:val="19"/>
          <w:szCs w:val="19"/>
        </w:rPr>
        <w:t>de 6 de abril de 2006. Radicación Número: 11001-03-06-000-2006-00038-00(1738). Consejero Ponente: Enrique José Arboleda Perdomo:</w:t>
      </w:r>
      <w:r w:rsidRPr="00EC20D7">
        <w:rPr>
          <w:rFonts w:ascii="Arial" w:eastAsia="Times New Roman" w:hAnsi="Arial"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eastAsia="Times New Roman" w:hAnsi="Arial" w:cs="Arial"/>
          <w:bCs/>
          <w:sz w:val="19"/>
          <w:szCs w:val="19"/>
          <w:lang w:eastAsia="x-none"/>
        </w:rPr>
        <w:t>».</w:t>
      </w:r>
    </w:p>
  </w:footnote>
  <w:footnote w:id="20">
    <w:p w14:paraId="37A91AD0" w14:textId="77777777" w:rsidR="00CA3863" w:rsidRPr="00EC20D7" w:rsidRDefault="00CA3863" w:rsidP="00CA3863">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D765CF3" w14:textId="77777777" w:rsidR="00CA3863" w:rsidRPr="00EC20D7" w:rsidRDefault="00CA3863" w:rsidP="00CA3863">
      <w:pPr>
        <w:pStyle w:val="Textonotapie"/>
        <w:ind w:right="51" w:firstLine="709"/>
        <w:jc w:val="both"/>
        <w:rPr>
          <w:rFonts w:ascii="Arial" w:hAnsi="Arial" w:cs="Arial"/>
          <w:sz w:val="19"/>
          <w:szCs w:val="19"/>
        </w:rPr>
      </w:pPr>
    </w:p>
  </w:footnote>
  <w:footnote w:id="21">
    <w:p w14:paraId="70D8C9BD" w14:textId="77777777" w:rsidR="00CA3863" w:rsidRPr="00EC20D7" w:rsidRDefault="00CA3863" w:rsidP="00CA3863">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2">
    <w:p w14:paraId="28ABE65A" w14:textId="77777777" w:rsidR="00861232" w:rsidRPr="00522B4D" w:rsidRDefault="00861232"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65B0DFBD" w14:textId="77777777" w:rsidR="00861232" w:rsidRPr="00522B4D" w:rsidRDefault="00861232" w:rsidP="00861232">
      <w:pPr>
        <w:pStyle w:val="Textonotapie"/>
        <w:ind w:firstLine="708"/>
        <w:jc w:val="both"/>
        <w:rPr>
          <w:rFonts w:ascii="Arial" w:hAnsi="Arial" w:cs="Arial"/>
          <w:color w:val="000000" w:themeColor="text1"/>
          <w:sz w:val="19"/>
          <w:szCs w:val="19"/>
          <w:lang w:val="es-ES"/>
        </w:rPr>
      </w:pPr>
    </w:p>
  </w:footnote>
  <w:footnote w:id="23">
    <w:p w14:paraId="4D8435B8" w14:textId="77777777" w:rsidR="00861232" w:rsidRPr="00522B4D" w:rsidRDefault="00861232"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40DA870" w14:textId="77777777" w:rsidR="00861232" w:rsidRPr="00522B4D" w:rsidRDefault="00861232" w:rsidP="00861232">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B03AD4C" w14:textId="77777777" w:rsidR="00861232" w:rsidRPr="00522B4D" w:rsidRDefault="00861232" w:rsidP="00861232">
      <w:pPr>
        <w:pStyle w:val="Textonotapie"/>
        <w:ind w:firstLine="708"/>
        <w:jc w:val="both"/>
        <w:rPr>
          <w:rFonts w:ascii="Arial" w:hAnsi="Arial" w:cs="Arial"/>
          <w:color w:val="000000" w:themeColor="text1"/>
          <w:sz w:val="19"/>
          <w:szCs w:val="19"/>
          <w:lang w:val="es-CO"/>
        </w:rPr>
      </w:pPr>
    </w:p>
  </w:footnote>
  <w:footnote w:id="24">
    <w:p w14:paraId="571C29EE" w14:textId="77777777" w:rsidR="00861232" w:rsidRDefault="00861232"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6E8169E6" w14:textId="77777777" w:rsidR="00861232" w:rsidRPr="00522B4D" w:rsidRDefault="00861232" w:rsidP="00861232">
      <w:pPr>
        <w:pStyle w:val="Textonotapie"/>
        <w:ind w:firstLine="708"/>
        <w:jc w:val="both"/>
        <w:rPr>
          <w:rFonts w:ascii="Arial" w:hAnsi="Arial" w:cs="Arial"/>
          <w:color w:val="000000" w:themeColor="text1"/>
          <w:sz w:val="19"/>
          <w:szCs w:val="19"/>
          <w:lang w:val="es-ES"/>
        </w:rPr>
      </w:pPr>
    </w:p>
  </w:footnote>
  <w:footnote w:id="25">
    <w:p w14:paraId="75C87F9B" w14:textId="77777777" w:rsidR="00861232" w:rsidRDefault="00861232"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27D4629C" w14:textId="77777777" w:rsidR="00861232" w:rsidRPr="00522B4D" w:rsidRDefault="00861232" w:rsidP="00861232">
      <w:pPr>
        <w:pStyle w:val="Textonotapie"/>
        <w:ind w:firstLine="708"/>
        <w:jc w:val="both"/>
        <w:rPr>
          <w:rFonts w:ascii="Arial" w:hAnsi="Arial" w:cs="Arial"/>
          <w:color w:val="000000" w:themeColor="text1"/>
          <w:sz w:val="19"/>
          <w:szCs w:val="19"/>
          <w:lang w:val="es-ES"/>
        </w:rPr>
      </w:pPr>
    </w:p>
  </w:footnote>
  <w:footnote w:id="26">
    <w:p w14:paraId="19D7B38C" w14:textId="77777777" w:rsidR="00861232" w:rsidRPr="00522B4D" w:rsidRDefault="00861232"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030FB02B" w14:textId="77777777" w:rsidR="00861232" w:rsidRPr="00522B4D" w:rsidRDefault="00861232" w:rsidP="00861232">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0BE61ED7" w14:textId="77777777" w:rsidR="00861232" w:rsidRPr="00522B4D" w:rsidRDefault="00861232" w:rsidP="0086123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639E0F2" w14:textId="77777777" w:rsidR="00861232" w:rsidRPr="00522B4D" w:rsidRDefault="00861232" w:rsidP="00861232">
      <w:pPr>
        <w:pStyle w:val="Textonotapie"/>
        <w:ind w:firstLine="708"/>
        <w:jc w:val="both"/>
        <w:rPr>
          <w:rFonts w:ascii="Arial" w:hAnsi="Arial" w:cs="Arial"/>
          <w:color w:val="000000" w:themeColor="text1"/>
          <w:sz w:val="19"/>
          <w:szCs w:val="19"/>
          <w:lang w:val="es-ES"/>
        </w:rPr>
      </w:pPr>
    </w:p>
  </w:footnote>
  <w:footnote w:id="27">
    <w:p w14:paraId="45776F48" w14:textId="77777777" w:rsidR="00861232" w:rsidRPr="00522B4D" w:rsidRDefault="00861232" w:rsidP="00861232">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footnote>
  <w:footnote w:id="28">
    <w:p w14:paraId="11F503C6" w14:textId="77777777" w:rsidR="00861232" w:rsidRPr="00522B4D" w:rsidRDefault="00861232"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7F9E8038" w14:textId="77777777" w:rsidR="00861232" w:rsidRPr="00522B4D" w:rsidRDefault="00861232" w:rsidP="00861232">
      <w:pPr>
        <w:pStyle w:val="Textonotapie"/>
        <w:ind w:firstLine="708"/>
        <w:jc w:val="both"/>
        <w:rPr>
          <w:rFonts w:ascii="Arial" w:hAnsi="Arial" w:cs="Arial"/>
          <w:color w:val="000000" w:themeColor="text1"/>
          <w:sz w:val="19"/>
          <w:szCs w:val="19"/>
          <w:lang w:val="es-ES"/>
        </w:rPr>
      </w:pPr>
    </w:p>
  </w:footnote>
  <w:footnote w:id="29">
    <w:p w14:paraId="7EA9D482" w14:textId="77777777" w:rsidR="00861232" w:rsidRPr="00522B4D" w:rsidRDefault="00861232"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44A7C48" w14:textId="77777777" w:rsidR="00861232" w:rsidRPr="00522B4D" w:rsidRDefault="00861232" w:rsidP="00861232">
      <w:pPr>
        <w:pStyle w:val="Textonotapie"/>
        <w:jc w:val="both"/>
        <w:rPr>
          <w:rFonts w:ascii="Arial" w:hAnsi="Arial" w:cs="Arial"/>
          <w:color w:val="000000" w:themeColor="text1"/>
          <w:sz w:val="19"/>
          <w:szCs w:val="19"/>
          <w:lang w:val="es-ES"/>
        </w:rPr>
      </w:pPr>
    </w:p>
  </w:footnote>
  <w:footnote w:id="30">
    <w:p w14:paraId="596BE6BD" w14:textId="77777777" w:rsidR="00A14D04" w:rsidRDefault="00A14D04" w:rsidP="00A14D04">
      <w:pPr>
        <w:pStyle w:val="Textonotapie"/>
        <w:ind w:firstLine="708"/>
        <w:jc w:val="both"/>
        <w:rPr>
          <w:rFonts w:ascii="Arial" w:hAnsi="Arial" w:cs="Arial"/>
          <w:sz w:val="19"/>
          <w:szCs w:val="19"/>
          <w:lang w:val="es-CO"/>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116A1C">
        <w:rPr>
          <w:rFonts w:ascii="Arial" w:hAnsi="Arial" w:cs="Arial"/>
          <w:sz w:val="19"/>
          <w:szCs w:val="19"/>
          <w:lang w:val="es-CO"/>
        </w:rPr>
        <w:t xml:space="preserve">CONSEJO DE ESTADO. Sala de Consulta y Servicio Civil. Concepto del </w:t>
      </w:r>
      <w:r>
        <w:rPr>
          <w:rFonts w:ascii="Arial" w:hAnsi="Arial" w:cs="Arial"/>
          <w:sz w:val="19"/>
          <w:szCs w:val="19"/>
          <w:lang w:val="es-CO"/>
        </w:rPr>
        <w:t>8 de mayo de 2018</w:t>
      </w:r>
      <w:r w:rsidRPr="00116A1C">
        <w:rPr>
          <w:rFonts w:ascii="Arial" w:hAnsi="Arial" w:cs="Arial"/>
          <w:sz w:val="19"/>
          <w:szCs w:val="19"/>
          <w:lang w:val="es-CO"/>
        </w:rPr>
        <w:t>. Rad</w:t>
      </w:r>
      <w:r>
        <w:rPr>
          <w:rFonts w:ascii="Arial" w:hAnsi="Arial" w:cs="Arial"/>
          <w:sz w:val="19"/>
          <w:szCs w:val="19"/>
          <w:lang w:val="es-CO"/>
        </w:rPr>
        <w:t>. 2382</w:t>
      </w:r>
      <w:r w:rsidRPr="00116A1C">
        <w:rPr>
          <w:rFonts w:ascii="Arial" w:hAnsi="Arial" w:cs="Arial"/>
          <w:sz w:val="19"/>
          <w:szCs w:val="19"/>
          <w:lang w:val="es-CO"/>
        </w:rPr>
        <w:t xml:space="preserve">. C.P. </w:t>
      </w:r>
      <w:r w:rsidRPr="004A31BD">
        <w:rPr>
          <w:rFonts w:ascii="Arial" w:hAnsi="Arial" w:cs="Arial"/>
          <w:sz w:val="19"/>
          <w:szCs w:val="19"/>
          <w:lang w:val="es-CO"/>
        </w:rPr>
        <w:t xml:space="preserve">Álvaro </w:t>
      </w:r>
      <w:proofErr w:type="spellStart"/>
      <w:r w:rsidRPr="004A31BD">
        <w:rPr>
          <w:rFonts w:ascii="Arial" w:hAnsi="Arial" w:cs="Arial"/>
          <w:sz w:val="19"/>
          <w:szCs w:val="19"/>
          <w:lang w:val="es-CO"/>
        </w:rPr>
        <w:t>Namén</w:t>
      </w:r>
      <w:proofErr w:type="spellEnd"/>
      <w:r w:rsidRPr="004A31BD">
        <w:rPr>
          <w:rFonts w:ascii="Arial" w:hAnsi="Arial" w:cs="Arial"/>
          <w:sz w:val="19"/>
          <w:szCs w:val="19"/>
          <w:lang w:val="es-CO"/>
        </w:rPr>
        <w:t xml:space="preserve"> Vargas</w:t>
      </w:r>
      <w:r>
        <w:rPr>
          <w:rFonts w:ascii="Arial" w:hAnsi="Arial" w:cs="Arial"/>
          <w:sz w:val="19"/>
          <w:szCs w:val="19"/>
          <w:lang w:val="es-CO"/>
        </w:rPr>
        <w:t>.</w:t>
      </w:r>
    </w:p>
    <w:p w14:paraId="1B7FD88C" w14:textId="77777777" w:rsidR="00A14D04" w:rsidRPr="006B3EB4" w:rsidRDefault="00A14D04" w:rsidP="00A14D0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139" w14:textId="77777777" w:rsidR="00E139BC" w:rsidRPr="00E139BC" w:rsidRDefault="000B5274" w:rsidP="00DE311F">
    <w:pPr>
      <w:pStyle w:val="Encabezado"/>
      <w:rPr>
        <w:sz w:val="20"/>
        <w:szCs w:val="20"/>
      </w:rPr>
    </w:pPr>
  </w:p>
  <w:p w14:paraId="2CFE2484" w14:textId="77777777" w:rsidR="00DE311F" w:rsidRDefault="002B1AF1" w:rsidP="00DE311F">
    <w:pPr>
      <w:pStyle w:val="Encabezado"/>
    </w:pPr>
    <w:r>
      <w:rPr>
        <w:noProof/>
        <w:lang w:val="en-US"/>
      </w:rPr>
      <w:drawing>
        <wp:anchor distT="0" distB="0" distL="114300" distR="114300" simplePos="0" relativeHeight="251659264" behindDoc="1" locked="0" layoutInCell="1" allowOverlap="1" wp14:anchorId="2CF561D5" wp14:editId="5CB6EEE3">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BA742" w14:textId="77777777" w:rsidR="00DE311F" w:rsidRDefault="000B52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4D06"/>
    <w:multiLevelType w:val="multilevel"/>
    <w:tmpl w:val="4778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E664B6"/>
    <w:multiLevelType w:val="hybridMultilevel"/>
    <w:tmpl w:val="B638328C"/>
    <w:lvl w:ilvl="0" w:tplc="A97A614A">
      <w:start w:val="1"/>
      <w:numFmt w:val="decimal"/>
      <w:lvlText w:val="%1."/>
      <w:lvlJc w:val="left"/>
      <w:pPr>
        <w:ind w:left="101" w:hanging="240"/>
      </w:pPr>
      <w:rPr>
        <w:rFonts w:ascii="Arial" w:eastAsia="Arial" w:hAnsi="Arial" w:cs="Arial" w:hint="default"/>
        <w:b/>
        <w:bCs/>
        <w:spacing w:val="-1"/>
        <w:w w:val="100"/>
        <w:sz w:val="22"/>
        <w:szCs w:val="22"/>
        <w:lang w:val="es-ES" w:eastAsia="en-US" w:bidi="ar-SA"/>
      </w:rPr>
    </w:lvl>
    <w:lvl w:ilvl="1" w:tplc="D8E0AEE8">
      <w:start w:val="1"/>
      <w:numFmt w:val="decimal"/>
      <w:lvlText w:val="%2."/>
      <w:lvlJc w:val="left"/>
      <w:pPr>
        <w:ind w:left="804" w:hanging="265"/>
      </w:pPr>
      <w:rPr>
        <w:rFonts w:ascii="Arial" w:eastAsia="Arial" w:hAnsi="Arial" w:cs="Arial" w:hint="default"/>
        <w:spacing w:val="-28"/>
        <w:w w:val="100"/>
        <w:sz w:val="21"/>
        <w:szCs w:val="21"/>
        <w:lang w:val="es-ES" w:eastAsia="en-US" w:bidi="ar-SA"/>
      </w:rPr>
    </w:lvl>
    <w:lvl w:ilvl="2" w:tplc="90B0554A">
      <w:numFmt w:val="bullet"/>
      <w:lvlText w:val="•"/>
      <w:lvlJc w:val="left"/>
      <w:pPr>
        <w:ind w:left="1702" w:hanging="265"/>
      </w:pPr>
      <w:rPr>
        <w:rFonts w:hint="default"/>
        <w:lang w:val="es-ES" w:eastAsia="en-US" w:bidi="ar-SA"/>
      </w:rPr>
    </w:lvl>
    <w:lvl w:ilvl="3" w:tplc="68BEB01A">
      <w:numFmt w:val="bullet"/>
      <w:lvlText w:val="•"/>
      <w:lvlJc w:val="left"/>
      <w:pPr>
        <w:ind w:left="2604" w:hanging="265"/>
      </w:pPr>
      <w:rPr>
        <w:rFonts w:hint="default"/>
        <w:lang w:val="es-ES" w:eastAsia="en-US" w:bidi="ar-SA"/>
      </w:rPr>
    </w:lvl>
    <w:lvl w:ilvl="4" w:tplc="4E50C6B0">
      <w:numFmt w:val="bullet"/>
      <w:lvlText w:val="•"/>
      <w:lvlJc w:val="left"/>
      <w:pPr>
        <w:ind w:left="3506" w:hanging="265"/>
      </w:pPr>
      <w:rPr>
        <w:rFonts w:hint="default"/>
        <w:lang w:val="es-ES" w:eastAsia="en-US" w:bidi="ar-SA"/>
      </w:rPr>
    </w:lvl>
    <w:lvl w:ilvl="5" w:tplc="ED5A2474">
      <w:numFmt w:val="bullet"/>
      <w:lvlText w:val="•"/>
      <w:lvlJc w:val="left"/>
      <w:pPr>
        <w:ind w:left="4408" w:hanging="265"/>
      </w:pPr>
      <w:rPr>
        <w:rFonts w:hint="default"/>
        <w:lang w:val="es-ES" w:eastAsia="en-US" w:bidi="ar-SA"/>
      </w:rPr>
    </w:lvl>
    <w:lvl w:ilvl="6" w:tplc="CEE23FA4">
      <w:numFmt w:val="bullet"/>
      <w:lvlText w:val="•"/>
      <w:lvlJc w:val="left"/>
      <w:pPr>
        <w:ind w:left="5311" w:hanging="265"/>
      </w:pPr>
      <w:rPr>
        <w:rFonts w:hint="default"/>
        <w:lang w:val="es-ES" w:eastAsia="en-US" w:bidi="ar-SA"/>
      </w:rPr>
    </w:lvl>
    <w:lvl w:ilvl="7" w:tplc="DCD21A82">
      <w:numFmt w:val="bullet"/>
      <w:lvlText w:val="•"/>
      <w:lvlJc w:val="left"/>
      <w:pPr>
        <w:ind w:left="6213" w:hanging="265"/>
      </w:pPr>
      <w:rPr>
        <w:rFonts w:hint="default"/>
        <w:lang w:val="es-ES" w:eastAsia="en-US" w:bidi="ar-SA"/>
      </w:rPr>
    </w:lvl>
    <w:lvl w:ilvl="8" w:tplc="6830701A">
      <w:numFmt w:val="bullet"/>
      <w:lvlText w:val="•"/>
      <w:lvlJc w:val="left"/>
      <w:pPr>
        <w:ind w:left="7115" w:hanging="265"/>
      </w:pPr>
      <w:rPr>
        <w:rFonts w:hint="default"/>
        <w:lang w:val="es-ES" w:eastAsia="en-US" w:bidi="ar-SA"/>
      </w:rPr>
    </w:lvl>
  </w:abstractNum>
  <w:abstractNum w:abstractNumId="3" w15:restartNumberingAfterBreak="0">
    <w:nsid w:val="4738750B"/>
    <w:multiLevelType w:val="multilevel"/>
    <w:tmpl w:val="CF94F1DC"/>
    <w:lvl w:ilvl="0">
      <w:start w:val="1"/>
      <w:numFmt w:val="decimal"/>
      <w:lvlText w:val="%1."/>
      <w:lvlJc w:val="left"/>
      <w:pPr>
        <w:ind w:left="585" w:hanging="285"/>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300" w:hanging="583"/>
      </w:pPr>
      <w:rPr>
        <w:rFonts w:ascii="Arial" w:eastAsia="Arial" w:hAnsi="Arial" w:cs="Arial" w:hint="default"/>
        <w:b/>
        <w:bCs/>
        <w:spacing w:val="-7"/>
        <w:w w:val="100"/>
        <w:sz w:val="22"/>
        <w:szCs w:val="22"/>
        <w:lang w:val="es-ES" w:eastAsia="es-ES" w:bidi="es-ES"/>
      </w:rPr>
    </w:lvl>
    <w:lvl w:ilvl="2">
      <w:start w:val="1"/>
      <w:numFmt w:val="lowerRoman"/>
      <w:lvlText w:val="(%3)"/>
      <w:lvlJc w:val="left"/>
      <w:pPr>
        <w:ind w:left="1010" w:hanging="270"/>
      </w:pPr>
      <w:rPr>
        <w:rFonts w:ascii="Arial" w:eastAsia="Arial" w:hAnsi="Arial" w:cs="Arial" w:hint="default"/>
        <w:w w:val="100"/>
        <w:sz w:val="21"/>
        <w:szCs w:val="21"/>
        <w:lang w:val="es-ES" w:eastAsia="es-ES" w:bidi="es-ES"/>
      </w:rPr>
    </w:lvl>
    <w:lvl w:ilvl="3">
      <w:numFmt w:val="bullet"/>
      <w:lvlText w:val="•"/>
      <w:lvlJc w:val="left"/>
      <w:pPr>
        <w:ind w:left="2085" w:hanging="270"/>
      </w:pPr>
      <w:rPr>
        <w:rFonts w:hint="default"/>
        <w:lang w:val="es-ES" w:eastAsia="es-ES" w:bidi="es-ES"/>
      </w:rPr>
    </w:lvl>
    <w:lvl w:ilvl="4">
      <w:numFmt w:val="bullet"/>
      <w:lvlText w:val="•"/>
      <w:lvlJc w:val="left"/>
      <w:pPr>
        <w:ind w:left="3150" w:hanging="270"/>
      </w:pPr>
      <w:rPr>
        <w:rFonts w:hint="default"/>
        <w:lang w:val="es-ES" w:eastAsia="es-ES" w:bidi="es-ES"/>
      </w:rPr>
    </w:lvl>
    <w:lvl w:ilvl="5">
      <w:numFmt w:val="bullet"/>
      <w:lvlText w:val="•"/>
      <w:lvlJc w:val="left"/>
      <w:pPr>
        <w:ind w:left="4215" w:hanging="270"/>
      </w:pPr>
      <w:rPr>
        <w:rFonts w:hint="default"/>
        <w:lang w:val="es-ES" w:eastAsia="es-ES" w:bidi="es-ES"/>
      </w:rPr>
    </w:lvl>
    <w:lvl w:ilvl="6">
      <w:numFmt w:val="bullet"/>
      <w:lvlText w:val="•"/>
      <w:lvlJc w:val="left"/>
      <w:pPr>
        <w:ind w:left="5280" w:hanging="270"/>
      </w:pPr>
      <w:rPr>
        <w:rFonts w:hint="default"/>
        <w:lang w:val="es-ES" w:eastAsia="es-ES" w:bidi="es-ES"/>
      </w:rPr>
    </w:lvl>
    <w:lvl w:ilvl="7">
      <w:numFmt w:val="bullet"/>
      <w:lvlText w:val="•"/>
      <w:lvlJc w:val="left"/>
      <w:pPr>
        <w:ind w:left="6345" w:hanging="270"/>
      </w:pPr>
      <w:rPr>
        <w:rFonts w:hint="default"/>
        <w:lang w:val="es-ES" w:eastAsia="es-ES" w:bidi="es-ES"/>
      </w:rPr>
    </w:lvl>
    <w:lvl w:ilvl="8">
      <w:numFmt w:val="bullet"/>
      <w:lvlText w:val="•"/>
      <w:lvlJc w:val="left"/>
      <w:pPr>
        <w:ind w:left="7410" w:hanging="270"/>
      </w:pPr>
      <w:rPr>
        <w:rFonts w:hint="default"/>
        <w:lang w:val="es-ES" w:eastAsia="es-ES" w:bidi="es-ES"/>
      </w:rPr>
    </w:lvl>
  </w:abstractNum>
  <w:abstractNum w:abstractNumId="4" w15:restartNumberingAfterBreak="0">
    <w:nsid w:val="61820CC3"/>
    <w:multiLevelType w:val="hybridMultilevel"/>
    <w:tmpl w:val="721AA858"/>
    <w:lvl w:ilvl="0" w:tplc="BA7A61CE">
      <w:start w:val="3"/>
      <w:numFmt w:val="decimal"/>
      <w:lvlText w:val="%1."/>
      <w:lvlJc w:val="left"/>
      <w:pPr>
        <w:ind w:left="101" w:hanging="267"/>
      </w:pPr>
      <w:rPr>
        <w:rFonts w:ascii="Arial" w:eastAsia="Arial" w:hAnsi="Arial" w:cs="Arial" w:hint="default"/>
        <w:b/>
        <w:bCs/>
        <w:spacing w:val="-1"/>
        <w:w w:val="100"/>
        <w:sz w:val="22"/>
        <w:szCs w:val="22"/>
        <w:lang w:val="es-ES" w:eastAsia="en-US" w:bidi="ar-SA"/>
      </w:rPr>
    </w:lvl>
    <w:lvl w:ilvl="1" w:tplc="98BCD9D6">
      <w:numFmt w:val="bullet"/>
      <w:lvlText w:val="•"/>
      <w:lvlJc w:val="left"/>
      <w:pPr>
        <w:ind w:left="982" w:hanging="267"/>
      </w:pPr>
      <w:rPr>
        <w:rFonts w:hint="default"/>
        <w:lang w:val="es-ES" w:eastAsia="en-US" w:bidi="ar-SA"/>
      </w:rPr>
    </w:lvl>
    <w:lvl w:ilvl="2" w:tplc="83BA1D2C">
      <w:numFmt w:val="bullet"/>
      <w:lvlText w:val="•"/>
      <w:lvlJc w:val="left"/>
      <w:pPr>
        <w:ind w:left="1864" w:hanging="267"/>
      </w:pPr>
      <w:rPr>
        <w:rFonts w:hint="default"/>
        <w:lang w:val="es-ES" w:eastAsia="en-US" w:bidi="ar-SA"/>
      </w:rPr>
    </w:lvl>
    <w:lvl w:ilvl="3" w:tplc="70001D52">
      <w:numFmt w:val="bullet"/>
      <w:lvlText w:val="•"/>
      <w:lvlJc w:val="left"/>
      <w:pPr>
        <w:ind w:left="2746" w:hanging="267"/>
      </w:pPr>
      <w:rPr>
        <w:rFonts w:hint="default"/>
        <w:lang w:val="es-ES" w:eastAsia="en-US" w:bidi="ar-SA"/>
      </w:rPr>
    </w:lvl>
    <w:lvl w:ilvl="4" w:tplc="4600D636">
      <w:numFmt w:val="bullet"/>
      <w:lvlText w:val="•"/>
      <w:lvlJc w:val="left"/>
      <w:pPr>
        <w:ind w:left="3628" w:hanging="267"/>
      </w:pPr>
      <w:rPr>
        <w:rFonts w:hint="default"/>
        <w:lang w:val="es-ES" w:eastAsia="en-US" w:bidi="ar-SA"/>
      </w:rPr>
    </w:lvl>
    <w:lvl w:ilvl="5" w:tplc="620A809A">
      <w:numFmt w:val="bullet"/>
      <w:lvlText w:val="•"/>
      <w:lvlJc w:val="left"/>
      <w:pPr>
        <w:ind w:left="4510" w:hanging="267"/>
      </w:pPr>
      <w:rPr>
        <w:rFonts w:hint="default"/>
        <w:lang w:val="es-ES" w:eastAsia="en-US" w:bidi="ar-SA"/>
      </w:rPr>
    </w:lvl>
    <w:lvl w:ilvl="6" w:tplc="1FBA8586">
      <w:numFmt w:val="bullet"/>
      <w:lvlText w:val="•"/>
      <w:lvlJc w:val="left"/>
      <w:pPr>
        <w:ind w:left="5392" w:hanging="267"/>
      </w:pPr>
      <w:rPr>
        <w:rFonts w:hint="default"/>
        <w:lang w:val="es-ES" w:eastAsia="en-US" w:bidi="ar-SA"/>
      </w:rPr>
    </w:lvl>
    <w:lvl w:ilvl="7" w:tplc="FAC4CA08">
      <w:numFmt w:val="bullet"/>
      <w:lvlText w:val="•"/>
      <w:lvlJc w:val="left"/>
      <w:pPr>
        <w:ind w:left="6274" w:hanging="267"/>
      </w:pPr>
      <w:rPr>
        <w:rFonts w:hint="default"/>
        <w:lang w:val="es-ES" w:eastAsia="en-US" w:bidi="ar-SA"/>
      </w:rPr>
    </w:lvl>
    <w:lvl w:ilvl="8" w:tplc="209C72F8">
      <w:numFmt w:val="bullet"/>
      <w:lvlText w:val="•"/>
      <w:lvlJc w:val="left"/>
      <w:pPr>
        <w:ind w:left="7156" w:hanging="267"/>
      </w:pPr>
      <w:rPr>
        <w:rFonts w:hint="default"/>
        <w:lang w:val="es-ES" w:eastAsia="en-US" w:bidi="ar-SA"/>
      </w:rPr>
    </w:lvl>
  </w:abstractNum>
  <w:abstractNum w:abstractNumId="5" w15:restartNumberingAfterBreak="0">
    <w:nsid w:val="7959212D"/>
    <w:multiLevelType w:val="hybridMultilevel"/>
    <w:tmpl w:val="05A2508E"/>
    <w:lvl w:ilvl="0" w:tplc="C81A4374">
      <w:start w:val="2"/>
      <w:numFmt w:val="decimal"/>
      <w:lvlText w:val="%1."/>
      <w:lvlJc w:val="left"/>
      <w:pPr>
        <w:ind w:left="101" w:hanging="239"/>
      </w:pPr>
      <w:rPr>
        <w:rFonts w:ascii="Arial" w:eastAsia="Arial" w:hAnsi="Arial" w:cs="Arial" w:hint="default"/>
        <w:spacing w:val="-26"/>
        <w:w w:val="100"/>
        <w:sz w:val="19"/>
        <w:szCs w:val="19"/>
        <w:lang w:val="es-ES" w:eastAsia="en-US" w:bidi="ar-SA"/>
      </w:rPr>
    </w:lvl>
    <w:lvl w:ilvl="1" w:tplc="2D42AA7E">
      <w:numFmt w:val="bullet"/>
      <w:lvlText w:val="•"/>
      <w:lvlJc w:val="left"/>
      <w:pPr>
        <w:ind w:left="982" w:hanging="239"/>
      </w:pPr>
      <w:rPr>
        <w:rFonts w:hint="default"/>
        <w:lang w:val="es-ES" w:eastAsia="en-US" w:bidi="ar-SA"/>
      </w:rPr>
    </w:lvl>
    <w:lvl w:ilvl="2" w:tplc="500C49AC">
      <w:numFmt w:val="bullet"/>
      <w:lvlText w:val="•"/>
      <w:lvlJc w:val="left"/>
      <w:pPr>
        <w:ind w:left="1864" w:hanging="239"/>
      </w:pPr>
      <w:rPr>
        <w:rFonts w:hint="default"/>
        <w:lang w:val="es-ES" w:eastAsia="en-US" w:bidi="ar-SA"/>
      </w:rPr>
    </w:lvl>
    <w:lvl w:ilvl="3" w:tplc="C212D9CC">
      <w:numFmt w:val="bullet"/>
      <w:lvlText w:val="•"/>
      <w:lvlJc w:val="left"/>
      <w:pPr>
        <w:ind w:left="2746" w:hanging="239"/>
      </w:pPr>
      <w:rPr>
        <w:rFonts w:hint="default"/>
        <w:lang w:val="es-ES" w:eastAsia="en-US" w:bidi="ar-SA"/>
      </w:rPr>
    </w:lvl>
    <w:lvl w:ilvl="4" w:tplc="F8A69BBE">
      <w:numFmt w:val="bullet"/>
      <w:lvlText w:val="•"/>
      <w:lvlJc w:val="left"/>
      <w:pPr>
        <w:ind w:left="3628" w:hanging="239"/>
      </w:pPr>
      <w:rPr>
        <w:rFonts w:hint="default"/>
        <w:lang w:val="es-ES" w:eastAsia="en-US" w:bidi="ar-SA"/>
      </w:rPr>
    </w:lvl>
    <w:lvl w:ilvl="5" w:tplc="6F9663F8">
      <w:numFmt w:val="bullet"/>
      <w:lvlText w:val="•"/>
      <w:lvlJc w:val="left"/>
      <w:pPr>
        <w:ind w:left="4510" w:hanging="239"/>
      </w:pPr>
      <w:rPr>
        <w:rFonts w:hint="default"/>
        <w:lang w:val="es-ES" w:eastAsia="en-US" w:bidi="ar-SA"/>
      </w:rPr>
    </w:lvl>
    <w:lvl w:ilvl="6" w:tplc="95B499A2">
      <w:numFmt w:val="bullet"/>
      <w:lvlText w:val="•"/>
      <w:lvlJc w:val="left"/>
      <w:pPr>
        <w:ind w:left="5392" w:hanging="239"/>
      </w:pPr>
      <w:rPr>
        <w:rFonts w:hint="default"/>
        <w:lang w:val="es-ES" w:eastAsia="en-US" w:bidi="ar-SA"/>
      </w:rPr>
    </w:lvl>
    <w:lvl w:ilvl="7" w:tplc="60E462FC">
      <w:numFmt w:val="bullet"/>
      <w:lvlText w:val="•"/>
      <w:lvlJc w:val="left"/>
      <w:pPr>
        <w:ind w:left="6274" w:hanging="239"/>
      </w:pPr>
      <w:rPr>
        <w:rFonts w:hint="default"/>
        <w:lang w:val="es-ES" w:eastAsia="en-US" w:bidi="ar-SA"/>
      </w:rPr>
    </w:lvl>
    <w:lvl w:ilvl="8" w:tplc="D7EC28B0">
      <w:numFmt w:val="bullet"/>
      <w:lvlText w:val="•"/>
      <w:lvlJc w:val="left"/>
      <w:pPr>
        <w:ind w:left="7156" w:hanging="239"/>
      </w:pPr>
      <w:rPr>
        <w:rFonts w:hint="default"/>
        <w:lang w:val="es-ES" w:eastAsia="en-US" w:bidi="ar-SA"/>
      </w:rPr>
    </w:lvl>
  </w:abstractNum>
  <w:abstractNum w:abstractNumId="6" w15:restartNumberingAfterBreak="0">
    <w:nsid w:val="7F941837"/>
    <w:multiLevelType w:val="multilevel"/>
    <w:tmpl w:val="7110E62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CA"/>
    <w:rsid w:val="00005EB5"/>
    <w:rsid w:val="00016992"/>
    <w:rsid w:val="000215CC"/>
    <w:rsid w:val="00042BDB"/>
    <w:rsid w:val="00054F0E"/>
    <w:rsid w:val="00070ED2"/>
    <w:rsid w:val="00086A48"/>
    <w:rsid w:val="000B3E32"/>
    <w:rsid w:val="000B5274"/>
    <w:rsid w:val="000C0F19"/>
    <w:rsid w:val="000E337B"/>
    <w:rsid w:val="000F750F"/>
    <w:rsid w:val="00102006"/>
    <w:rsid w:val="00103285"/>
    <w:rsid w:val="001126D5"/>
    <w:rsid w:val="00116D08"/>
    <w:rsid w:val="00132A7D"/>
    <w:rsid w:val="00144344"/>
    <w:rsid w:val="001554CA"/>
    <w:rsid w:val="00156A1A"/>
    <w:rsid w:val="00196183"/>
    <w:rsid w:val="001B3139"/>
    <w:rsid w:val="001B4FA2"/>
    <w:rsid w:val="001E37A7"/>
    <w:rsid w:val="001E4293"/>
    <w:rsid w:val="001F304F"/>
    <w:rsid w:val="00204F19"/>
    <w:rsid w:val="002227FA"/>
    <w:rsid w:val="00233F2B"/>
    <w:rsid w:val="00255077"/>
    <w:rsid w:val="00267031"/>
    <w:rsid w:val="002947DB"/>
    <w:rsid w:val="00295280"/>
    <w:rsid w:val="002A0DBC"/>
    <w:rsid w:val="002B1AF1"/>
    <w:rsid w:val="002B5EB9"/>
    <w:rsid w:val="002C41F1"/>
    <w:rsid w:val="002E2040"/>
    <w:rsid w:val="002F2006"/>
    <w:rsid w:val="003255AD"/>
    <w:rsid w:val="00343F88"/>
    <w:rsid w:val="00350942"/>
    <w:rsid w:val="003534FB"/>
    <w:rsid w:val="003859E6"/>
    <w:rsid w:val="003918CF"/>
    <w:rsid w:val="003A4C40"/>
    <w:rsid w:val="003B41D2"/>
    <w:rsid w:val="003F2ADB"/>
    <w:rsid w:val="003F2F2C"/>
    <w:rsid w:val="00412382"/>
    <w:rsid w:val="00425FF2"/>
    <w:rsid w:val="004273A5"/>
    <w:rsid w:val="0043000A"/>
    <w:rsid w:val="00436BDA"/>
    <w:rsid w:val="004902D4"/>
    <w:rsid w:val="004929BE"/>
    <w:rsid w:val="004E027E"/>
    <w:rsid w:val="004E7FEF"/>
    <w:rsid w:val="004F60FB"/>
    <w:rsid w:val="00502B4B"/>
    <w:rsid w:val="00513541"/>
    <w:rsid w:val="00515578"/>
    <w:rsid w:val="00536E21"/>
    <w:rsid w:val="005431F3"/>
    <w:rsid w:val="00547F2E"/>
    <w:rsid w:val="00552E5F"/>
    <w:rsid w:val="00556C19"/>
    <w:rsid w:val="005702EB"/>
    <w:rsid w:val="00585F75"/>
    <w:rsid w:val="005913BE"/>
    <w:rsid w:val="005B4D8A"/>
    <w:rsid w:val="005C42B6"/>
    <w:rsid w:val="005D6A93"/>
    <w:rsid w:val="00637029"/>
    <w:rsid w:val="00657D4D"/>
    <w:rsid w:val="0066416F"/>
    <w:rsid w:val="00674EEC"/>
    <w:rsid w:val="006A17E3"/>
    <w:rsid w:val="006B2696"/>
    <w:rsid w:val="006B5E2A"/>
    <w:rsid w:val="006C46ED"/>
    <w:rsid w:val="006D2E91"/>
    <w:rsid w:val="006D4D2D"/>
    <w:rsid w:val="006E38CC"/>
    <w:rsid w:val="00703053"/>
    <w:rsid w:val="00715079"/>
    <w:rsid w:val="007206E6"/>
    <w:rsid w:val="00730FEC"/>
    <w:rsid w:val="00734C72"/>
    <w:rsid w:val="007838AA"/>
    <w:rsid w:val="0079577B"/>
    <w:rsid w:val="007D69D3"/>
    <w:rsid w:val="007F2C6D"/>
    <w:rsid w:val="008374F8"/>
    <w:rsid w:val="00861232"/>
    <w:rsid w:val="00871F8F"/>
    <w:rsid w:val="008E512C"/>
    <w:rsid w:val="008F5AB6"/>
    <w:rsid w:val="008F5F21"/>
    <w:rsid w:val="00902529"/>
    <w:rsid w:val="0093048A"/>
    <w:rsid w:val="009437E7"/>
    <w:rsid w:val="009809F2"/>
    <w:rsid w:val="009A3869"/>
    <w:rsid w:val="009B09A9"/>
    <w:rsid w:val="009E04B6"/>
    <w:rsid w:val="009E05ED"/>
    <w:rsid w:val="009E3D94"/>
    <w:rsid w:val="009F41EB"/>
    <w:rsid w:val="00A0452D"/>
    <w:rsid w:val="00A14D04"/>
    <w:rsid w:val="00A47FA3"/>
    <w:rsid w:val="00A5546F"/>
    <w:rsid w:val="00A821F3"/>
    <w:rsid w:val="00A90BC9"/>
    <w:rsid w:val="00AA4B72"/>
    <w:rsid w:val="00AA4C47"/>
    <w:rsid w:val="00AA6C32"/>
    <w:rsid w:val="00AC0974"/>
    <w:rsid w:val="00AC1BF3"/>
    <w:rsid w:val="00AC3B7C"/>
    <w:rsid w:val="00AD1FE6"/>
    <w:rsid w:val="00AE2B30"/>
    <w:rsid w:val="00AE7466"/>
    <w:rsid w:val="00AF4643"/>
    <w:rsid w:val="00B052EA"/>
    <w:rsid w:val="00B05B43"/>
    <w:rsid w:val="00B100A4"/>
    <w:rsid w:val="00B1231C"/>
    <w:rsid w:val="00B259F6"/>
    <w:rsid w:val="00B94562"/>
    <w:rsid w:val="00BA3A56"/>
    <w:rsid w:val="00BD2BCB"/>
    <w:rsid w:val="00BF20C8"/>
    <w:rsid w:val="00C14D6A"/>
    <w:rsid w:val="00C16A8D"/>
    <w:rsid w:val="00C23176"/>
    <w:rsid w:val="00C23FF5"/>
    <w:rsid w:val="00C34479"/>
    <w:rsid w:val="00C41627"/>
    <w:rsid w:val="00C44F0C"/>
    <w:rsid w:val="00C52FDD"/>
    <w:rsid w:val="00C54012"/>
    <w:rsid w:val="00C70776"/>
    <w:rsid w:val="00C83CD7"/>
    <w:rsid w:val="00C87664"/>
    <w:rsid w:val="00CA22A6"/>
    <w:rsid w:val="00CA3863"/>
    <w:rsid w:val="00CB6932"/>
    <w:rsid w:val="00CC355E"/>
    <w:rsid w:val="00CE04BD"/>
    <w:rsid w:val="00CF0398"/>
    <w:rsid w:val="00CF440F"/>
    <w:rsid w:val="00CF72EE"/>
    <w:rsid w:val="00D0419A"/>
    <w:rsid w:val="00D17BE7"/>
    <w:rsid w:val="00D224E9"/>
    <w:rsid w:val="00D302A2"/>
    <w:rsid w:val="00D556EC"/>
    <w:rsid w:val="00D562F0"/>
    <w:rsid w:val="00D6246E"/>
    <w:rsid w:val="00D64C33"/>
    <w:rsid w:val="00D77C28"/>
    <w:rsid w:val="00D80606"/>
    <w:rsid w:val="00D90662"/>
    <w:rsid w:val="00DA4D77"/>
    <w:rsid w:val="00DA4DD9"/>
    <w:rsid w:val="00DB0FC1"/>
    <w:rsid w:val="00DC0121"/>
    <w:rsid w:val="00DC3F34"/>
    <w:rsid w:val="00DC5F07"/>
    <w:rsid w:val="00DD0082"/>
    <w:rsid w:val="00DD0B6C"/>
    <w:rsid w:val="00E12D1B"/>
    <w:rsid w:val="00E23E78"/>
    <w:rsid w:val="00E264C2"/>
    <w:rsid w:val="00E27CF3"/>
    <w:rsid w:val="00E30EA4"/>
    <w:rsid w:val="00E30FBE"/>
    <w:rsid w:val="00E468B8"/>
    <w:rsid w:val="00E55D34"/>
    <w:rsid w:val="00E94503"/>
    <w:rsid w:val="00EB161E"/>
    <w:rsid w:val="00EB2346"/>
    <w:rsid w:val="00EE7E8F"/>
    <w:rsid w:val="00F10FE2"/>
    <w:rsid w:val="00F41D27"/>
    <w:rsid w:val="00F43FD3"/>
    <w:rsid w:val="00F66E15"/>
    <w:rsid w:val="00F80A6F"/>
    <w:rsid w:val="00F80B2E"/>
    <w:rsid w:val="00FA6CFA"/>
    <w:rsid w:val="00FD7933"/>
    <w:rsid w:val="00FE20D7"/>
    <w:rsid w:val="00FE3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6707B"/>
  <w15:chartTrackingRefBased/>
  <w15:docId w15:val="{BA73A943-51A6-408F-849C-62BE7D2E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CA"/>
    <w:pPr>
      <w:spacing w:after="0" w:line="240" w:lineRule="auto"/>
    </w:pPr>
    <w:rPr>
      <w:sz w:val="24"/>
      <w:lang w:val="es-MX"/>
    </w:rPr>
  </w:style>
  <w:style w:type="paragraph" w:styleId="Ttulo1">
    <w:name w:val="heading 1"/>
    <w:basedOn w:val="Normal"/>
    <w:next w:val="Normal"/>
    <w:link w:val="Ttulo1Car"/>
    <w:uiPriority w:val="9"/>
    <w:qFormat/>
    <w:rsid w:val="00155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1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1554CA"/>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54CA"/>
    <w:rPr>
      <w:sz w:val="24"/>
      <w:lang w:val="es-MX"/>
    </w:rPr>
  </w:style>
  <w:style w:type="paragraph" w:styleId="Textocomentario">
    <w:name w:val="annotation text"/>
    <w:basedOn w:val="Normal"/>
    <w:link w:val="TextocomentarioCar"/>
    <w:uiPriority w:val="99"/>
    <w:unhideWhenUsed/>
    <w:rsid w:val="001554CA"/>
    <w:rPr>
      <w:sz w:val="20"/>
      <w:szCs w:val="20"/>
    </w:rPr>
  </w:style>
  <w:style w:type="character" w:customStyle="1" w:styleId="TextocomentarioCar">
    <w:name w:val="Texto comentario Car"/>
    <w:basedOn w:val="Fuentedeprrafopredeter"/>
    <w:link w:val="Textocomentario"/>
    <w:uiPriority w:val="99"/>
    <w:rsid w:val="001554CA"/>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554C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554CA"/>
    <w:rPr>
      <w:sz w:val="20"/>
      <w:szCs w:val="20"/>
    </w:rPr>
  </w:style>
  <w:style w:type="character" w:customStyle="1" w:styleId="TextonotapieCar1">
    <w:name w:val="Texto nota pie Car1"/>
    <w:aliases w:val="MI NOTA PIE DE PÁGINA (TEXTO) Car,Footnote Text Char Char Char Char Car,Footnote Text Char Char Char Car,Footnote Text Char Car,texto de nota al pie Car"/>
    <w:basedOn w:val="Fuentedeprrafopredeter"/>
    <w:rsid w:val="001554C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1554CA"/>
    <w:rPr>
      <w:vertAlign w:val="superscript"/>
    </w:rPr>
  </w:style>
  <w:style w:type="paragraph" w:styleId="Encabezado">
    <w:name w:val="header"/>
    <w:basedOn w:val="Normal"/>
    <w:link w:val="EncabezadoCar"/>
    <w:uiPriority w:val="99"/>
    <w:unhideWhenUsed/>
    <w:rsid w:val="001554CA"/>
    <w:pPr>
      <w:tabs>
        <w:tab w:val="center" w:pos="4419"/>
        <w:tab w:val="right" w:pos="8838"/>
      </w:tabs>
    </w:pPr>
  </w:style>
  <w:style w:type="character" w:customStyle="1" w:styleId="EncabezadoCar">
    <w:name w:val="Encabezado Car"/>
    <w:basedOn w:val="Fuentedeprrafopredeter"/>
    <w:link w:val="Encabezado"/>
    <w:uiPriority w:val="99"/>
    <w:rsid w:val="001554CA"/>
    <w:rPr>
      <w:sz w:val="24"/>
      <w:lang w:val="es-MX"/>
    </w:rPr>
  </w:style>
  <w:style w:type="paragraph" w:styleId="Piedepgina">
    <w:name w:val="footer"/>
    <w:basedOn w:val="Normal"/>
    <w:link w:val="PiedepginaCar"/>
    <w:uiPriority w:val="99"/>
    <w:unhideWhenUsed/>
    <w:rsid w:val="001554CA"/>
    <w:pPr>
      <w:tabs>
        <w:tab w:val="center" w:pos="4419"/>
        <w:tab w:val="right" w:pos="8838"/>
      </w:tabs>
    </w:pPr>
  </w:style>
  <w:style w:type="character" w:customStyle="1" w:styleId="PiedepginaCar">
    <w:name w:val="Pie de página Car"/>
    <w:basedOn w:val="Fuentedeprrafopredeter"/>
    <w:link w:val="Piedepgina"/>
    <w:uiPriority w:val="99"/>
    <w:rsid w:val="001554CA"/>
    <w:rPr>
      <w:sz w:val="24"/>
      <w:lang w:val="es-MX"/>
    </w:rPr>
  </w:style>
  <w:style w:type="paragraph" w:styleId="Sinespaciado">
    <w:name w:val="No Spacing"/>
    <w:aliases w:val="No Indent"/>
    <w:uiPriority w:val="3"/>
    <w:qFormat/>
    <w:rsid w:val="001554CA"/>
    <w:pPr>
      <w:spacing w:after="0" w:line="240" w:lineRule="auto"/>
    </w:pPr>
    <w:rPr>
      <w:sz w:val="24"/>
      <w:lang w:val="es-MX"/>
    </w:rPr>
  </w:style>
  <w:style w:type="character" w:customStyle="1" w:styleId="Ttulo1Car">
    <w:name w:val="Título 1 Car"/>
    <w:basedOn w:val="Fuentedeprrafopredeter"/>
    <w:link w:val="Ttulo1"/>
    <w:uiPriority w:val="9"/>
    <w:rsid w:val="001554CA"/>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semiHidden/>
    <w:unhideWhenUsed/>
    <w:rsid w:val="001554CA"/>
    <w:rPr>
      <w:color w:val="0000FF"/>
      <w:u w:val="single"/>
    </w:rPr>
  </w:style>
  <w:style w:type="character" w:styleId="Textoennegrita">
    <w:name w:val="Strong"/>
    <w:basedOn w:val="Fuentedeprrafopredeter"/>
    <w:uiPriority w:val="22"/>
    <w:qFormat/>
    <w:rsid w:val="001554CA"/>
    <w:rPr>
      <w:b/>
      <w:bCs/>
    </w:rPr>
  </w:style>
  <w:style w:type="character" w:styleId="nfasis">
    <w:name w:val="Emphasis"/>
    <w:basedOn w:val="Fuentedeprrafopredeter"/>
    <w:uiPriority w:val="20"/>
    <w:qFormat/>
    <w:rsid w:val="001554CA"/>
    <w:rPr>
      <w:i/>
      <w:iCs/>
    </w:rPr>
  </w:style>
  <w:style w:type="paragraph" w:styleId="Textoindependiente">
    <w:name w:val="Body Text"/>
    <w:basedOn w:val="Normal"/>
    <w:link w:val="TextoindependienteCar"/>
    <w:uiPriority w:val="1"/>
    <w:qFormat/>
    <w:rsid w:val="001554CA"/>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1554CA"/>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1E4293"/>
    <w:rPr>
      <w:sz w:val="16"/>
      <w:szCs w:val="16"/>
    </w:rPr>
  </w:style>
  <w:style w:type="paragraph" w:styleId="Asuntodelcomentario">
    <w:name w:val="annotation subject"/>
    <w:basedOn w:val="Textocomentario"/>
    <w:next w:val="Textocomentario"/>
    <w:link w:val="AsuntodelcomentarioCar"/>
    <w:uiPriority w:val="99"/>
    <w:semiHidden/>
    <w:unhideWhenUsed/>
    <w:rsid w:val="001E4293"/>
    <w:rPr>
      <w:b/>
      <w:bCs/>
    </w:rPr>
  </w:style>
  <w:style w:type="character" w:customStyle="1" w:styleId="AsuntodelcomentarioCar">
    <w:name w:val="Asunto del comentario Car"/>
    <w:basedOn w:val="TextocomentarioCar"/>
    <w:link w:val="Asuntodelcomentario"/>
    <w:uiPriority w:val="99"/>
    <w:semiHidden/>
    <w:rsid w:val="001E4293"/>
    <w:rPr>
      <w:b/>
      <w:bCs/>
      <w:sz w:val="20"/>
      <w:szCs w:val="20"/>
      <w:lang w:val="es-MX"/>
    </w:rPr>
  </w:style>
  <w:style w:type="paragraph" w:styleId="NormalWeb">
    <w:name w:val="Normal (Web)"/>
    <w:basedOn w:val="Normal"/>
    <w:uiPriority w:val="99"/>
    <w:semiHidden/>
    <w:unhideWhenUsed/>
    <w:rsid w:val="00CA3863"/>
    <w:rPr>
      <w:rFonts w:ascii="Times New Roman" w:hAnsi="Times New Roman" w:cs="Times New Roman"/>
      <w:szCs w:val="24"/>
    </w:rPr>
  </w:style>
  <w:style w:type="paragraph" w:customStyle="1" w:styleId="Appelnotedebasde">
    <w:name w:val="Appel note de bas de..."/>
    <w:basedOn w:val="Normal"/>
    <w:link w:val="Refdenotaalpie"/>
    <w:uiPriority w:val="99"/>
    <w:rsid w:val="00CA3863"/>
    <w:pPr>
      <w:spacing w:after="160" w:line="240" w:lineRule="exact"/>
    </w:pPr>
    <w:rPr>
      <w:sz w:val="22"/>
      <w:vertAlign w:val="superscript"/>
      <w:lang w:val="es-CO"/>
    </w:rPr>
  </w:style>
  <w:style w:type="character" w:customStyle="1" w:styleId="baj">
    <w:name w:val="b_aj"/>
    <w:basedOn w:val="Fuentedeprrafopredeter"/>
    <w:rsid w:val="00CA3863"/>
  </w:style>
  <w:style w:type="paragraph" w:styleId="Revisin">
    <w:name w:val="Revision"/>
    <w:hidden/>
    <w:uiPriority w:val="99"/>
    <w:semiHidden/>
    <w:rsid w:val="004929BE"/>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6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380AC-6623-413B-AE5F-01603C65D01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275F32F-D9E6-43AF-93C8-965CA623F4D1}">
  <ds:schemaRefs>
    <ds:schemaRef ds:uri="http://schemas.openxmlformats.org/officeDocument/2006/bibliography"/>
  </ds:schemaRefs>
</ds:datastoreItem>
</file>

<file path=customXml/itemProps3.xml><?xml version="1.0" encoding="utf-8"?>
<ds:datastoreItem xmlns:ds="http://schemas.openxmlformats.org/officeDocument/2006/customXml" ds:itemID="{1F90E555-670C-4CA6-BEA4-19EE916FE250}">
  <ds:schemaRefs>
    <ds:schemaRef ds:uri="http://schemas.microsoft.com/sharepoint/v3/contenttype/forms"/>
  </ds:schemaRefs>
</ds:datastoreItem>
</file>

<file path=customXml/itemProps4.xml><?xml version="1.0" encoding="utf-8"?>
<ds:datastoreItem xmlns:ds="http://schemas.openxmlformats.org/officeDocument/2006/customXml" ds:itemID="{5097C9FE-3971-4683-A5AC-BD2A83F929CA}"/>
</file>

<file path=docProps/app.xml><?xml version="1.0" encoding="utf-8"?>
<Properties xmlns="http://schemas.openxmlformats.org/officeDocument/2006/extended-properties" xmlns:vt="http://schemas.openxmlformats.org/officeDocument/2006/docPropsVTypes">
  <Template>Normal.dotm</Template>
  <TotalTime>14</TotalTime>
  <Pages>17</Pages>
  <Words>6701</Words>
  <Characters>36856</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Felipe Bastidas Paredes</cp:lastModifiedBy>
  <cp:revision>4</cp:revision>
  <dcterms:created xsi:type="dcterms:W3CDTF">2021-12-29T01:13:00Z</dcterms:created>
  <dcterms:modified xsi:type="dcterms:W3CDTF">2021-12-29T02:32:00Z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