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F0E0B" w14:textId="0B4CE4D4"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LEY DE EMPRENDIMIENTO – Finalidad</w:t>
      </w:r>
      <w:r w:rsidR="006D7173">
        <w:rPr>
          <w:rStyle w:val="normaltextrun"/>
          <w:rFonts w:ascii="Arial" w:hAnsi="Arial" w:cs="Arial"/>
          <w:b/>
          <w:bCs/>
          <w:color w:val="000000"/>
          <w:sz w:val="22"/>
          <w:szCs w:val="22"/>
        </w:rPr>
        <w:t xml:space="preserve"> </w:t>
      </w:r>
    </w:p>
    <w:p w14:paraId="098A946A"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7A2B2B6" w14:textId="77777777" w:rsidR="00292ACB" w:rsidRDefault="00292ACB" w:rsidP="003F7B85">
      <w:pPr>
        <w:pStyle w:val="paragraph"/>
        <w:spacing w:before="0" w:beforeAutospacing="0" w:after="0" w:afterAutospacing="0"/>
        <w:jc w:val="both"/>
        <w:textAlignment w:val="baseline"/>
        <w:rPr>
          <w:rStyle w:val="normaltextrun"/>
          <w:rFonts w:ascii="Arial" w:hAnsi="Arial" w:cs="Arial"/>
          <w:color w:val="000000"/>
          <w:sz w:val="20"/>
          <w:szCs w:val="20"/>
        </w:rPr>
      </w:pPr>
      <w:r w:rsidRPr="00292ACB">
        <w:rPr>
          <w:rStyle w:val="normaltextrun"/>
          <w:rFonts w:ascii="Arial" w:hAnsi="Arial" w:cs="Arial"/>
          <w:color w:val="000000"/>
          <w:sz w:val="20"/>
          <w:szCs w:val="20"/>
        </w:rPr>
        <w:t>La Ley 2069 de 2020 guarda 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Pr>
          <w:rStyle w:val="normaltextrun"/>
          <w:rFonts w:ascii="Arial" w:hAnsi="Arial" w:cs="Arial"/>
          <w:color w:val="000000"/>
          <w:sz w:val="20"/>
          <w:szCs w:val="20"/>
        </w:rPr>
        <w:t>.</w:t>
      </w:r>
    </w:p>
    <w:p w14:paraId="6DB353F9" w14:textId="54DFC558"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3A964EE"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RELACIÓN ENTRE LEY Y REGLAMENTO – Tesis de la aplicación directa – Tesis de la reglamentación – Diferencias</w:t>
      </w:r>
      <w:r>
        <w:rPr>
          <w:rStyle w:val="eop"/>
          <w:rFonts w:ascii="Arial" w:hAnsi="Arial" w:cs="Arial"/>
          <w:color w:val="000000"/>
          <w:sz w:val="22"/>
          <w:szCs w:val="22"/>
        </w:rPr>
        <w:t> </w:t>
      </w:r>
    </w:p>
    <w:p w14:paraId="6491C079"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4691BCC5" w14:textId="1418D20C"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sidR="00292ACB" w:rsidRPr="00292ACB">
        <w:rPr>
          <w:rStyle w:val="normaltextrun"/>
          <w:rFonts w:ascii="Arial" w:hAnsi="Arial" w:cs="Arial"/>
          <w:color w:val="000000"/>
          <w:sz w:val="20"/>
          <w:szCs w:val="20"/>
        </w:rPr>
        <w:t>quien opte por la tesis de la aplicación directa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w:t>
      </w:r>
    </w:p>
    <w:p w14:paraId="6003B119"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w:t>
      </w:r>
      <w:r>
        <w:rPr>
          <w:rStyle w:val="eop"/>
          <w:rFonts w:ascii="Arial" w:hAnsi="Arial" w:cs="Arial"/>
          <w:color w:val="000000"/>
          <w:sz w:val="20"/>
          <w:szCs w:val="20"/>
        </w:rPr>
        <w:t> </w:t>
      </w:r>
    </w:p>
    <w:p w14:paraId="08ADFCA1" w14:textId="18EB1147" w:rsidR="003F7B85" w:rsidRDefault="00292ACB" w:rsidP="003F7B85">
      <w:pPr>
        <w:pStyle w:val="paragraph"/>
        <w:spacing w:before="0" w:beforeAutospacing="0" w:after="0" w:afterAutospacing="0"/>
        <w:jc w:val="both"/>
        <w:textAlignment w:val="baseline"/>
        <w:rPr>
          <w:rFonts w:ascii="Segoe UI" w:hAnsi="Segoe UI" w:cs="Segoe UI"/>
          <w:sz w:val="18"/>
          <w:szCs w:val="18"/>
        </w:rPr>
      </w:pPr>
      <w:r w:rsidRPr="00292ACB">
        <w:rPr>
          <w:rStyle w:val="normaltextrun"/>
          <w:rFonts w:ascii="Arial" w:hAnsi="Arial" w:cs="Arial"/>
          <w:color w:val="000000"/>
          <w:sz w:val="20"/>
          <w:szCs w:val="20"/>
        </w:rPr>
        <w:t>Ahora bien, la relación entre estas dos (2) fuentes del derecho es totalmente diferente en la tesis de la reglamentación.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w:t>
      </w:r>
      <w:r w:rsidR="003F7B85">
        <w:rPr>
          <w:rStyle w:val="normaltextrun"/>
          <w:rFonts w:ascii="Arial" w:hAnsi="Arial" w:cs="Arial"/>
          <w:color w:val="000000"/>
          <w:sz w:val="20"/>
          <w:szCs w:val="20"/>
        </w:rPr>
        <w:t> […].</w:t>
      </w:r>
      <w:r w:rsidR="003F7B85">
        <w:rPr>
          <w:rStyle w:val="eop"/>
          <w:rFonts w:ascii="Arial" w:hAnsi="Arial" w:cs="Arial"/>
          <w:color w:val="000000"/>
          <w:sz w:val="20"/>
          <w:szCs w:val="20"/>
        </w:rPr>
        <w:t> </w:t>
      </w:r>
    </w:p>
    <w:p w14:paraId="15C15939"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3588A40B"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rPr>
        <w:t>REGLAMENTACIÓN PREVIA – Ley 2069 de 2020</w:t>
      </w:r>
      <w:r>
        <w:rPr>
          <w:rStyle w:val="eop"/>
          <w:rFonts w:ascii="Arial" w:hAnsi="Arial" w:cs="Arial"/>
          <w:color w:val="000000"/>
          <w:sz w:val="22"/>
          <w:szCs w:val="22"/>
        </w:rPr>
        <w:t> </w:t>
      </w:r>
    </w:p>
    <w:p w14:paraId="560A06A6"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7EA45123" w14:textId="307D8639" w:rsidR="003F7B85" w:rsidRDefault="00292ACB" w:rsidP="003F7B85">
      <w:pPr>
        <w:pStyle w:val="paragraph"/>
        <w:spacing w:before="0" w:beforeAutospacing="0" w:after="0" w:afterAutospacing="0"/>
        <w:jc w:val="both"/>
        <w:textAlignment w:val="baseline"/>
        <w:rPr>
          <w:rStyle w:val="eop"/>
          <w:rFonts w:ascii="Arial" w:hAnsi="Arial" w:cs="Arial"/>
          <w:color w:val="000000"/>
          <w:sz w:val="20"/>
          <w:szCs w:val="20"/>
        </w:rPr>
      </w:pPr>
      <w:r w:rsidRPr="00292ACB">
        <w:rPr>
          <w:rStyle w:val="normaltextrun"/>
          <w:rFonts w:ascii="Arial" w:hAnsi="Arial" w:cs="Arial"/>
          <w:color w:val="000000"/>
          <w:sz w:val="20"/>
          <w:szCs w:val="20"/>
          <w:lang w:val="es-ES"/>
        </w:rPr>
        <w:t xml:space="preserve">La referencia hecha en una ley a que el gobierno nacional reglamentará la materia indica que el reglamento es indispensable para el cumplimiento de </w:t>
      </w:r>
      <w:proofErr w:type="gramStart"/>
      <w:r w:rsidRPr="00292ACB">
        <w:rPr>
          <w:rStyle w:val="normaltextrun"/>
          <w:rFonts w:ascii="Arial" w:hAnsi="Arial" w:cs="Arial"/>
          <w:color w:val="000000"/>
          <w:sz w:val="20"/>
          <w:szCs w:val="20"/>
          <w:lang w:val="es-ES"/>
        </w:rPr>
        <w:t>la misma</w:t>
      </w:r>
      <w:proofErr w:type="gramEnd"/>
      <w:r w:rsidRPr="00292ACB">
        <w:rPr>
          <w:rStyle w:val="normaltextrun"/>
          <w:rFonts w:ascii="Arial" w:hAnsi="Arial" w:cs="Arial"/>
          <w:color w:val="000000"/>
          <w:sz w:val="20"/>
          <w:szCs w:val="20"/>
          <w:lang w:val="es-ES"/>
        </w:rPr>
        <w:t xml:space="preserve">. Naturalmente, este reconocimiento no siempre implica que la ley está sometida a condición para </w:t>
      </w:r>
      <w:proofErr w:type="gramStart"/>
      <w:r w:rsidRPr="00292ACB">
        <w:rPr>
          <w:rStyle w:val="normaltextrun"/>
          <w:rFonts w:ascii="Arial" w:hAnsi="Arial" w:cs="Arial"/>
          <w:color w:val="000000"/>
          <w:sz w:val="20"/>
          <w:szCs w:val="20"/>
          <w:lang w:val="es-ES"/>
        </w:rPr>
        <w:t>entrar en vigencia</w:t>
      </w:r>
      <w:proofErr w:type="gramEnd"/>
      <w:r w:rsidRPr="00292ACB">
        <w:rPr>
          <w:rStyle w:val="normaltextrun"/>
          <w:rFonts w:ascii="Arial" w:hAnsi="Arial" w:cs="Arial"/>
          <w:color w:val="000000"/>
          <w:sz w:val="20"/>
          <w:szCs w:val="20"/>
          <w:lang w:val="es-ES"/>
        </w:rPr>
        <w:t>; pero cuando ello se analiza con otros elementos que obran en este sentido, como los antecedentes legislativos, es posible utilizar la referencia al reglamento como una prueba de que la ley moduló sus efectos en el tiempo y se encuentra sometida a condición.</w:t>
      </w:r>
      <w:r w:rsidRPr="00292ACB">
        <w:rPr>
          <w:rStyle w:val="normaltextrun"/>
          <w:rFonts w:ascii="Arial" w:hAnsi="Arial" w:cs="Arial"/>
          <w:color w:val="000000"/>
          <w:sz w:val="20"/>
          <w:szCs w:val="20"/>
          <w:lang w:val="es-ES"/>
        </w:rPr>
        <w:t xml:space="preserve"> </w:t>
      </w:r>
      <w:r w:rsidR="003F7B85">
        <w:rPr>
          <w:rStyle w:val="normaltextrun"/>
          <w:rFonts w:ascii="Arial" w:hAnsi="Arial" w:cs="Arial"/>
          <w:color w:val="000000"/>
          <w:sz w:val="20"/>
          <w:szCs w:val="20"/>
          <w:lang w:val="es-ES"/>
        </w:rPr>
        <w:t>[…]</w:t>
      </w:r>
      <w:r w:rsidR="003F7B85">
        <w:rPr>
          <w:rStyle w:val="eop"/>
          <w:rFonts w:ascii="Arial" w:hAnsi="Arial" w:cs="Arial"/>
          <w:color w:val="000000"/>
          <w:sz w:val="20"/>
          <w:szCs w:val="20"/>
        </w:rPr>
        <w:t> </w:t>
      </w:r>
    </w:p>
    <w:p w14:paraId="5A930B5A" w14:textId="77777777" w:rsidR="00292ACB" w:rsidRDefault="00292ACB" w:rsidP="003F7B85">
      <w:pPr>
        <w:pStyle w:val="paragraph"/>
        <w:spacing w:before="0" w:beforeAutospacing="0" w:after="0" w:afterAutospacing="0"/>
        <w:jc w:val="both"/>
        <w:textAlignment w:val="baseline"/>
        <w:rPr>
          <w:rFonts w:ascii="Segoe UI" w:hAnsi="Segoe UI" w:cs="Segoe UI"/>
          <w:sz w:val="18"/>
          <w:szCs w:val="18"/>
        </w:rPr>
      </w:pPr>
    </w:p>
    <w:p w14:paraId="00C9AB19" w14:textId="5D82E740"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 </w:t>
      </w:r>
      <w:r w:rsidR="00292ACB" w:rsidRPr="00292ACB">
        <w:rPr>
          <w:rStyle w:val="normaltextrun"/>
          <w:rFonts w:ascii="Arial" w:hAnsi="Arial" w:cs="Arial"/>
          <w:color w:val="000000"/>
          <w:sz w:val="20"/>
          <w:szCs w:val="20"/>
        </w:rPr>
        <w:t xml:space="preserve">en los artículos 31, 32, 34 y 36, el Congreso de la República reconoce la necesidad de un reglamento para el efectivo cumplimiento de la Ley 2069 de 2020,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w:t>
      </w:r>
      <w:proofErr w:type="spellStart"/>
      <w:r w:rsidR="00292ACB" w:rsidRPr="00292ACB">
        <w:rPr>
          <w:rStyle w:val="normaltextrun"/>
          <w:rFonts w:ascii="Arial" w:hAnsi="Arial" w:cs="Arial"/>
          <w:color w:val="000000"/>
          <w:sz w:val="20"/>
          <w:szCs w:val="20"/>
        </w:rPr>
        <w:t>mipymes</w:t>
      </w:r>
      <w:proofErr w:type="spellEnd"/>
      <w:r w:rsidR="00292ACB" w:rsidRPr="00292ACB">
        <w:rPr>
          <w:rStyle w:val="normaltextrun"/>
          <w:rFonts w:ascii="Arial" w:hAnsi="Arial" w:cs="Arial"/>
          <w:color w:val="000000"/>
          <w:sz w:val="20"/>
          <w:szCs w:val="20"/>
        </w:rPr>
        <w:t xml:space="preserve">, ii) la definición de «emprendimientos y empresas de mujeres», iii) las convocatorias limitadas a </w:t>
      </w:r>
      <w:proofErr w:type="spellStart"/>
      <w:r w:rsidR="00292ACB" w:rsidRPr="00292ACB">
        <w:rPr>
          <w:rStyle w:val="normaltextrun"/>
          <w:rFonts w:ascii="Arial" w:hAnsi="Arial" w:cs="Arial"/>
          <w:color w:val="000000"/>
          <w:sz w:val="20"/>
          <w:szCs w:val="20"/>
        </w:rPr>
        <w:t>mipymes</w:t>
      </w:r>
      <w:proofErr w:type="spellEnd"/>
      <w:r w:rsidR="00292ACB" w:rsidRPr="00292ACB">
        <w:rPr>
          <w:rStyle w:val="normaltextrun"/>
          <w:rFonts w:ascii="Arial" w:hAnsi="Arial" w:cs="Arial"/>
          <w:color w:val="000000"/>
          <w:sz w:val="20"/>
          <w:szCs w:val="20"/>
        </w:rPr>
        <w:t xml:space="preserve"> y el fomento en la ejecución de los contratos estatales por parte de sujetos de especial protección, así como iv) la promoción de las compras públicas de tecnología e innovación</w:t>
      </w:r>
      <w:r>
        <w:rPr>
          <w:rStyle w:val="normaltextrun"/>
          <w:rFonts w:ascii="Arial" w:hAnsi="Arial" w:cs="Arial"/>
          <w:color w:val="000000"/>
          <w:sz w:val="20"/>
          <w:szCs w:val="20"/>
        </w:rPr>
        <w:t>.</w:t>
      </w:r>
      <w:r>
        <w:rPr>
          <w:rStyle w:val="eop"/>
          <w:rFonts w:ascii="Arial" w:hAnsi="Arial" w:cs="Arial"/>
          <w:color w:val="000000"/>
          <w:sz w:val="20"/>
          <w:szCs w:val="20"/>
        </w:rPr>
        <w:t> </w:t>
      </w:r>
    </w:p>
    <w:p w14:paraId="53B58977"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76677A96"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7AD6C86C"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lang w:val="es-ES"/>
        </w:rPr>
        <w:lastRenderedPageBreak/>
        <w:t>LEY 2069 DE 2020</w:t>
      </w:r>
      <w:r>
        <w:rPr>
          <w:rStyle w:val="normaltextrun"/>
          <w:rFonts w:ascii="Arial" w:hAnsi="Arial" w:cs="Arial"/>
          <w:b/>
          <w:bCs/>
          <w:color w:val="000000"/>
          <w:sz w:val="22"/>
          <w:szCs w:val="22"/>
        </w:rPr>
        <w:t> – Mínima cuantía – Eficacia directa</w:t>
      </w:r>
      <w:r>
        <w:rPr>
          <w:rStyle w:val="eop"/>
          <w:rFonts w:ascii="Arial" w:hAnsi="Arial" w:cs="Arial"/>
          <w:color w:val="000000"/>
          <w:sz w:val="22"/>
          <w:szCs w:val="22"/>
        </w:rPr>
        <w:t> </w:t>
      </w:r>
    </w:p>
    <w:p w14:paraId="1CD3C1DC" w14:textId="77777777" w:rsidR="003F7B85" w:rsidRDefault="003F7B85" w:rsidP="003F7B85">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B92232C" w14:textId="182BA911" w:rsidR="003F7B85" w:rsidRDefault="00292ACB" w:rsidP="003F7B85">
      <w:pPr>
        <w:pStyle w:val="paragraph"/>
        <w:spacing w:before="0" w:beforeAutospacing="0" w:after="0" w:afterAutospacing="0"/>
        <w:jc w:val="both"/>
        <w:textAlignment w:val="baseline"/>
        <w:rPr>
          <w:rFonts w:ascii="Segoe UI" w:hAnsi="Segoe UI" w:cs="Segoe UI"/>
          <w:sz w:val="18"/>
          <w:szCs w:val="18"/>
        </w:rPr>
      </w:pPr>
      <w:r w:rsidRPr="00292ACB">
        <w:rPr>
          <w:rStyle w:val="normaltextrun"/>
          <w:rFonts w:ascii="Arial" w:hAnsi="Arial" w:cs="Arial"/>
          <w:color w:val="000000"/>
          <w:sz w:val="20"/>
          <w:szCs w:val="20"/>
        </w:rPr>
        <w:t>El artículo 30 de la Ley 2069 de 2020 modifica el numeral 5 del artículo 2 de la Ley 1150 de 2007, el cual regula la mínima cuantía. En esta modalidad de selección, la entidad estatal realiza una convocatoria pública para recibir ofertas de bienes o servicios cuyo valor no excede el diez por ciento –10%– de la menor cuantía. Fue creada por el artículo 274 de la Ley 1450 de 2011 y modificada por el artículo 94 de la Ley 1474 de 2011,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 .</w:t>
      </w:r>
    </w:p>
    <w:p w14:paraId="02F08B7F" w14:textId="6A2D12B6" w:rsidR="00292ACB" w:rsidRDefault="00FC5E0C" w:rsidP="003F7B85">
      <w:pPr>
        <w:pStyle w:val="paragraph"/>
        <w:spacing w:before="0" w:beforeAutospacing="0" w:after="0" w:afterAutospacing="0"/>
        <w:jc w:val="both"/>
        <w:textAlignment w:val="baseline"/>
        <w:rPr>
          <w:rStyle w:val="normaltextrun"/>
          <w:rFonts w:ascii="Arial" w:hAnsi="Arial" w:cs="Arial"/>
          <w:color w:val="000000"/>
          <w:sz w:val="20"/>
          <w:szCs w:val="20"/>
          <w:lang w:val="es-ES"/>
        </w:rPr>
      </w:pPr>
      <w:r>
        <w:rPr>
          <w:rStyle w:val="normaltextrun"/>
          <w:rFonts w:ascii="Arial" w:hAnsi="Arial" w:cs="Arial"/>
          <w:color w:val="000000"/>
          <w:sz w:val="20"/>
          <w:szCs w:val="20"/>
          <w:lang w:val="es-ES"/>
        </w:rPr>
        <w:t>[…]</w:t>
      </w:r>
    </w:p>
    <w:p w14:paraId="705C2048" w14:textId="55548F2F" w:rsidR="003F7B85" w:rsidRDefault="00FC5E0C" w:rsidP="003F7B85">
      <w:pPr>
        <w:pStyle w:val="paragraph"/>
        <w:spacing w:before="0" w:beforeAutospacing="0" w:after="0" w:afterAutospacing="0"/>
        <w:jc w:val="both"/>
        <w:textAlignment w:val="baseline"/>
        <w:rPr>
          <w:rFonts w:ascii="Segoe UI" w:hAnsi="Segoe UI" w:cs="Segoe UI"/>
          <w:sz w:val="18"/>
          <w:szCs w:val="18"/>
        </w:rPr>
      </w:pPr>
      <w:r w:rsidRPr="00FC5E0C">
        <w:rPr>
          <w:rStyle w:val="normaltextrun"/>
          <w:rFonts w:ascii="Arial" w:hAnsi="Arial" w:cs="Arial"/>
          <w:color w:val="000000"/>
          <w:sz w:val="20"/>
          <w:szCs w:val="20"/>
          <w:lang w:val="es-ES"/>
        </w:rPr>
        <w:t xml:space="preserve">En esencia, el artículo 30 de la Ley 2069 de 2020 conserva a grandes rasgos el procedimiento previsto en el derogado artículo 94 de la Ley 1474 de 2011, el cual define los aspectos generales del procedimiento </w:t>
      </w:r>
      <w:proofErr w:type="gramStart"/>
      <w:r w:rsidRPr="00FC5E0C">
        <w:rPr>
          <w:rStyle w:val="normaltextrun"/>
          <w:rFonts w:ascii="Arial" w:hAnsi="Arial" w:cs="Arial"/>
          <w:color w:val="000000"/>
          <w:sz w:val="20"/>
          <w:szCs w:val="20"/>
          <w:lang w:val="es-ES"/>
        </w:rPr>
        <w:t>contractual .</w:t>
      </w:r>
      <w:proofErr w:type="gramEnd"/>
      <w:r w:rsidRPr="00FC5E0C">
        <w:rPr>
          <w:rStyle w:val="normaltextrun"/>
          <w:rFonts w:ascii="Arial" w:hAnsi="Arial" w:cs="Arial"/>
          <w:color w:val="000000"/>
          <w:sz w:val="20"/>
          <w:szCs w:val="20"/>
          <w:lang w:val="es-ES"/>
        </w:rPr>
        <w:t xml:space="preserve"> No obstante, aludiendo expresamente al desarrollo reglamentario, el parágrafo primero introduce el siguiente cambio: «Las particularidades del procedimiento aquí previsto, así como la posibilidad que tengan las entidades de realizar estas adquisiciones a </w:t>
      </w:r>
      <w:proofErr w:type="spellStart"/>
      <w:r w:rsidRPr="00FC5E0C">
        <w:rPr>
          <w:rStyle w:val="normaltextrun"/>
          <w:rFonts w:ascii="Arial" w:hAnsi="Arial" w:cs="Arial"/>
          <w:color w:val="000000"/>
          <w:sz w:val="20"/>
          <w:szCs w:val="20"/>
          <w:lang w:val="es-ES"/>
        </w:rPr>
        <w:t>Mipymes</w:t>
      </w:r>
      <w:proofErr w:type="spellEnd"/>
      <w:r w:rsidRPr="00FC5E0C">
        <w:rPr>
          <w:rStyle w:val="normaltextrun"/>
          <w:rFonts w:ascii="Arial" w:hAnsi="Arial" w:cs="Arial"/>
          <w:color w:val="000000"/>
          <w:sz w:val="20"/>
          <w:szCs w:val="20"/>
          <w:lang w:val="es-ES"/>
        </w:rPr>
        <w:t xml:space="preserve"> o establecimientos que correspondan a la definición de "gran almacén" señalada por la Superintendencia de Industria y Comercio, se determinarán en el reglamento que para el efecto expida el Gobierno Nacional»</w:t>
      </w:r>
      <w:r w:rsidR="003F7B85">
        <w:rPr>
          <w:rStyle w:val="normaltextrun"/>
          <w:rFonts w:ascii="Arial" w:hAnsi="Arial" w:cs="Arial"/>
          <w:color w:val="000000"/>
          <w:sz w:val="20"/>
          <w:szCs w:val="20"/>
          <w:lang w:val="es-ES"/>
        </w:rPr>
        <w:t>.</w:t>
      </w:r>
      <w:r w:rsidR="003F7B85">
        <w:rPr>
          <w:rStyle w:val="eop"/>
          <w:rFonts w:ascii="Arial" w:hAnsi="Arial" w:cs="Arial"/>
          <w:color w:val="000000"/>
          <w:sz w:val="20"/>
          <w:szCs w:val="20"/>
        </w:rPr>
        <w:t> </w:t>
      </w:r>
    </w:p>
    <w:p w14:paraId="194F5E13"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4D8B262" w14:textId="362DF7D5"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lang w:val="es-ES"/>
        </w:rPr>
        <w:t>MÍNIMA CUANTÍA</w:t>
      </w:r>
      <w:r>
        <w:rPr>
          <w:rStyle w:val="normaltextrun"/>
          <w:rFonts w:ascii="Arial" w:hAnsi="Arial" w:cs="Arial"/>
          <w:b/>
          <w:bCs/>
          <w:color w:val="000000"/>
          <w:sz w:val="22"/>
          <w:szCs w:val="22"/>
        </w:rPr>
        <w:t> – Normas reglamentarias – Decreto 1082 de 2015 –</w:t>
      </w:r>
      <w:r w:rsidR="003F0360">
        <w:rPr>
          <w:rStyle w:val="normaltextrun"/>
          <w:rFonts w:ascii="Arial" w:hAnsi="Arial" w:cs="Arial"/>
          <w:b/>
          <w:bCs/>
          <w:color w:val="000000"/>
          <w:sz w:val="22"/>
          <w:szCs w:val="22"/>
        </w:rPr>
        <w:t xml:space="preserve"> </w:t>
      </w:r>
      <w:r>
        <w:rPr>
          <w:rStyle w:val="normaltextrun"/>
          <w:rFonts w:ascii="Arial" w:hAnsi="Arial" w:cs="Arial"/>
          <w:b/>
          <w:bCs/>
          <w:color w:val="000000"/>
          <w:sz w:val="22"/>
          <w:szCs w:val="22"/>
        </w:rPr>
        <w:t>Vigencia</w:t>
      </w:r>
      <w:r>
        <w:rPr>
          <w:rStyle w:val="eop"/>
          <w:rFonts w:ascii="Arial" w:hAnsi="Arial" w:cs="Arial"/>
          <w:color w:val="000000"/>
          <w:sz w:val="22"/>
          <w:szCs w:val="22"/>
        </w:rPr>
        <w:t> </w:t>
      </w:r>
    </w:p>
    <w:p w14:paraId="584004E9" w14:textId="77777777" w:rsidR="003F7B85" w:rsidRDefault="003F7B85" w:rsidP="003F7B8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821ECED" w14:textId="751A0EAA" w:rsidR="004C1FDC" w:rsidRPr="004C1FDC" w:rsidRDefault="004C1FDC" w:rsidP="004C1FDC">
      <w:pPr>
        <w:tabs>
          <w:tab w:val="left" w:pos="426"/>
        </w:tabs>
        <w:spacing w:after="0" w:line="240" w:lineRule="auto"/>
        <w:rPr>
          <w:rStyle w:val="normaltextrun"/>
          <w:rFonts w:ascii="Arial" w:eastAsia="Times New Roman" w:hAnsi="Arial" w:cs="Arial"/>
          <w:color w:val="000000"/>
          <w:sz w:val="20"/>
          <w:szCs w:val="20"/>
          <w:lang w:val="es-ES" w:eastAsia="es-CO"/>
        </w:rPr>
      </w:pPr>
      <w:r>
        <w:rPr>
          <w:rStyle w:val="normaltextrun"/>
          <w:rFonts w:ascii="Arial" w:eastAsia="Times New Roman" w:hAnsi="Arial" w:cs="Arial"/>
          <w:color w:val="000000"/>
          <w:sz w:val="20"/>
          <w:szCs w:val="20"/>
          <w:lang w:val="es-ES" w:eastAsia="es-CO"/>
        </w:rPr>
        <w:t>R</w:t>
      </w:r>
      <w:r w:rsidRPr="004C1FDC">
        <w:rPr>
          <w:rStyle w:val="normaltextrun"/>
          <w:rFonts w:ascii="Arial" w:eastAsia="Times New Roman" w:hAnsi="Arial" w:cs="Arial"/>
          <w:color w:val="000000"/>
          <w:sz w:val="20"/>
          <w:szCs w:val="20"/>
          <w:lang w:val="es-ES" w:eastAsia="es-CO"/>
        </w:rPr>
        <w:t>ecientemente se expidió el Decreto 1860 del 24 de diciembre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Entre los aspectos reglamentados por el decreto indicado se encuentra el procedimiento de mínima cuantía. De esta manera, el artículo 2 modifica la Subsección 5 de la Sección 1 del Capítulo 2 del Título 1 de la Parte 2 del Libro 2 del Decreto 1082 de 2015, que se titula mínima cuantía, por lo que reglamenta esta modalidad de selección con fundamento en lo establecido en el artículo 30 de la Ley 2069 de 2020.</w:t>
      </w:r>
    </w:p>
    <w:p w14:paraId="028EC040" w14:textId="77777777" w:rsidR="002E2FE2" w:rsidRDefault="004C1FDC" w:rsidP="004C1FDC">
      <w:pPr>
        <w:tabs>
          <w:tab w:val="left" w:pos="426"/>
        </w:tabs>
        <w:spacing w:after="0" w:line="240" w:lineRule="auto"/>
        <w:rPr>
          <w:rStyle w:val="normaltextrun"/>
          <w:rFonts w:ascii="Arial" w:eastAsia="Times New Roman" w:hAnsi="Arial" w:cs="Arial"/>
          <w:color w:val="000000"/>
          <w:sz w:val="20"/>
          <w:szCs w:val="20"/>
          <w:lang w:val="es-ES" w:eastAsia="es-CO"/>
        </w:rPr>
      </w:pPr>
      <w:r w:rsidRPr="004C1FDC">
        <w:rPr>
          <w:rStyle w:val="normaltextrun"/>
          <w:rFonts w:ascii="Arial" w:eastAsia="Times New Roman" w:hAnsi="Arial" w:cs="Arial"/>
          <w:color w:val="000000"/>
          <w:sz w:val="20"/>
          <w:szCs w:val="20"/>
          <w:lang w:val="es-ES" w:eastAsia="es-CO"/>
        </w:rPr>
        <w:tab/>
      </w:r>
    </w:p>
    <w:p w14:paraId="388AF659" w14:textId="2EE42C93" w:rsidR="004C1FDC" w:rsidRPr="004C1FDC" w:rsidRDefault="004C1FDC" w:rsidP="004C1FDC">
      <w:pPr>
        <w:tabs>
          <w:tab w:val="left" w:pos="426"/>
        </w:tabs>
        <w:spacing w:after="0" w:line="240" w:lineRule="auto"/>
        <w:rPr>
          <w:rStyle w:val="normaltextrun"/>
          <w:rFonts w:ascii="Arial" w:eastAsia="Times New Roman" w:hAnsi="Arial" w:cs="Arial"/>
          <w:color w:val="000000"/>
          <w:sz w:val="20"/>
          <w:szCs w:val="20"/>
          <w:lang w:val="es-ES" w:eastAsia="es-CO"/>
        </w:rPr>
      </w:pPr>
      <w:r w:rsidRPr="004C1FDC">
        <w:rPr>
          <w:rStyle w:val="normaltextrun"/>
          <w:rFonts w:ascii="Arial" w:eastAsia="Times New Roman" w:hAnsi="Arial" w:cs="Arial"/>
          <w:color w:val="000000"/>
          <w:sz w:val="20"/>
          <w:szCs w:val="20"/>
          <w:lang w:val="es-ES" w:eastAsia="es-CO"/>
        </w:rPr>
        <w:t xml:space="preserve">Teniendo en cuenta lo anterior, la nueva Subsección 5 a que se hizo referencia contiene los siguientes artículos: i) 2.2.1.2.1.5.1. que se ocupa de desarrollar el contenido de los estudios previos para la contratación de mínima cuantía. ii) 2.2.1.2.1.5.2. que contiene el procedimiento general de la mínima cuantía, señalando el contenido mínimo de la «invitación» y las distintas etapas y reglas que estructuran esta modalidad de selección, incluyendo la forma en que procederán las convocatorias limitadas a </w:t>
      </w:r>
      <w:proofErr w:type="spellStart"/>
      <w:r w:rsidRPr="004C1FDC">
        <w:rPr>
          <w:rStyle w:val="normaltextrun"/>
          <w:rFonts w:ascii="Arial" w:eastAsia="Times New Roman" w:hAnsi="Arial" w:cs="Arial"/>
          <w:color w:val="000000"/>
          <w:sz w:val="20"/>
          <w:szCs w:val="20"/>
          <w:lang w:val="es-ES" w:eastAsia="es-CO"/>
        </w:rPr>
        <w:t>mipymes</w:t>
      </w:r>
      <w:proofErr w:type="spellEnd"/>
      <w:r w:rsidRPr="004C1FDC">
        <w:rPr>
          <w:rStyle w:val="normaltextrun"/>
          <w:rFonts w:ascii="Arial" w:eastAsia="Times New Roman" w:hAnsi="Arial" w:cs="Arial"/>
          <w:color w:val="000000"/>
          <w:sz w:val="20"/>
          <w:szCs w:val="20"/>
          <w:lang w:val="es-ES" w:eastAsia="es-CO"/>
        </w:rPr>
        <w:t xml:space="preserve">, de acuerdo con el mandato del parágrafo 1 del artículo 30 de la Ley 2069 de </w:t>
      </w:r>
      <w:proofErr w:type="gramStart"/>
      <w:r w:rsidRPr="004C1FDC">
        <w:rPr>
          <w:rStyle w:val="normaltextrun"/>
          <w:rFonts w:ascii="Arial" w:eastAsia="Times New Roman" w:hAnsi="Arial" w:cs="Arial"/>
          <w:color w:val="000000"/>
          <w:sz w:val="20"/>
          <w:szCs w:val="20"/>
          <w:lang w:val="es-ES" w:eastAsia="es-CO"/>
        </w:rPr>
        <w:t>2020 .</w:t>
      </w:r>
      <w:proofErr w:type="gramEnd"/>
      <w:r w:rsidRPr="004C1FDC">
        <w:rPr>
          <w:rStyle w:val="normaltextrun"/>
          <w:rFonts w:ascii="Arial" w:eastAsia="Times New Roman" w:hAnsi="Arial" w:cs="Arial"/>
          <w:color w:val="000000"/>
          <w:sz w:val="20"/>
          <w:szCs w:val="20"/>
          <w:lang w:val="es-ES" w:eastAsia="es-CO"/>
        </w:rPr>
        <w:t xml:space="preserve"> iii) 2.2.1.2.1.5.3. que regula un procedimiento especial para las adquisiciones en grandes almacenes cuando se trate de mínima cuantía. iv) 2.2.1.2.1.5.4. el cual establece la posibilidad de la Agencia Nacional de Contratación Pública – Colombia Compra Eficiente cree y establezca las reglas para la utilización de Instrumentos de agregación de demanda en la Tienda Virtual del Estado Colombiano para adquisiciones hasta el monto de la mínima cuantía con </w:t>
      </w:r>
      <w:proofErr w:type="spellStart"/>
      <w:r w:rsidRPr="004C1FDC">
        <w:rPr>
          <w:rStyle w:val="normaltextrun"/>
          <w:rFonts w:ascii="Arial" w:eastAsia="Times New Roman" w:hAnsi="Arial" w:cs="Arial"/>
          <w:color w:val="000000"/>
          <w:sz w:val="20"/>
          <w:szCs w:val="20"/>
          <w:lang w:val="es-ES" w:eastAsia="es-CO"/>
        </w:rPr>
        <w:t>Mipyme</w:t>
      </w:r>
      <w:proofErr w:type="spellEnd"/>
      <w:r w:rsidRPr="004C1FDC">
        <w:rPr>
          <w:rStyle w:val="normaltextrun"/>
          <w:rFonts w:ascii="Arial" w:eastAsia="Times New Roman" w:hAnsi="Arial" w:cs="Arial"/>
          <w:color w:val="000000"/>
          <w:sz w:val="20"/>
          <w:szCs w:val="20"/>
          <w:lang w:val="es-ES" w:eastAsia="es-CO"/>
        </w:rPr>
        <w:t xml:space="preserve"> y con grandes almacenes. Y v) 2.2.1.2.1.5.5. el cual establece que la entidad estatal es libre de exigir o no garantías en el proceso de selección de mínima cuantía y en la adquisición de «grandes almacenes».</w:t>
      </w:r>
    </w:p>
    <w:p w14:paraId="6426F4DE" w14:textId="77777777" w:rsidR="002E2FE2" w:rsidRDefault="004C1FDC" w:rsidP="004C1FDC">
      <w:pPr>
        <w:tabs>
          <w:tab w:val="left" w:pos="426"/>
        </w:tabs>
        <w:spacing w:after="0" w:line="240" w:lineRule="auto"/>
        <w:rPr>
          <w:rStyle w:val="normaltextrun"/>
          <w:rFonts w:ascii="Arial" w:eastAsia="Times New Roman" w:hAnsi="Arial" w:cs="Arial"/>
          <w:color w:val="000000"/>
          <w:sz w:val="20"/>
          <w:szCs w:val="20"/>
          <w:lang w:val="es-ES" w:eastAsia="es-CO"/>
        </w:rPr>
      </w:pPr>
      <w:r w:rsidRPr="004C1FDC">
        <w:rPr>
          <w:rStyle w:val="normaltextrun"/>
          <w:rFonts w:ascii="Arial" w:eastAsia="Times New Roman" w:hAnsi="Arial" w:cs="Arial"/>
          <w:color w:val="000000"/>
          <w:sz w:val="20"/>
          <w:szCs w:val="20"/>
          <w:lang w:val="es-ES" w:eastAsia="es-CO"/>
        </w:rPr>
        <w:tab/>
      </w:r>
    </w:p>
    <w:p w14:paraId="46197B4A" w14:textId="3971F73F" w:rsidR="004C1FDC" w:rsidRPr="004C1FDC" w:rsidRDefault="004C1FDC" w:rsidP="004C1FDC">
      <w:pPr>
        <w:tabs>
          <w:tab w:val="left" w:pos="426"/>
        </w:tabs>
        <w:spacing w:after="0" w:line="240" w:lineRule="auto"/>
        <w:rPr>
          <w:rStyle w:val="normaltextrun"/>
          <w:rFonts w:ascii="Arial" w:eastAsia="Times New Roman" w:hAnsi="Arial" w:cs="Arial"/>
          <w:color w:val="000000"/>
          <w:sz w:val="20"/>
          <w:szCs w:val="20"/>
          <w:lang w:val="es-ES" w:eastAsia="es-CO"/>
        </w:rPr>
      </w:pPr>
      <w:r w:rsidRPr="004C1FDC">
        <w:rPr>
          <w:rStyle w:val="normaltextrun"/>
          <w:rFonts w:ascii="Arial" w:eastAsia="Times New Roman" w:hAnsi="Arial" w:cs="Arial"/>
          <w:color w:val="000000"/>
          <w:sz w:val="20"/>
          <w:szCs w:val="20"/>
          <w:lang w:val="es-ES" w:eastAsia="es-CO"/>
        </w:rPr>
        <w:lastRenderedPageBreak/>
        <w:t>De esta manera, el artículo 2 del Decreto 1860 de 2021, que modifica los artículos del Decreto 1082 de 2015 expuestos en el párrafo anterior, constituye la reglamentación del artículo 30 de la Ley 2069 de 2020, al desarrollar las reglas aplicables a esta modalidad de selección. En este sentido, el reglamento citado, que modifica el Decreto 1082 de 2015, constituye la nueva regulación de la modalidad de mínima cuantía.</w:t>
      </w:r>
    </w:p>
    <w:p w14:paraId="4707C4CF" w14:textId="77777777" w:rsidR="002E2FE2" w:rsidRDefault="004C1FDC" w:rsidP="004C1FDC">
      <w:pPr>
        <w:tabs>
          <w:tab w:val="left" w:pos="426"/>
        </w:tabs>
        <w:spacing w:after="0" w:line="240" w:lineRule="auto"/>
        <w:rPr>
          <w:rStyle w:val="normaltextrun"/>
          <w:rFonts w:ascii="Arial" w:eastAsia="Times New Roman" w:hAnsi="Arial" w:cs="Arial"/>
          <w:color w:val="000000"/>
          <w:sz w:val="20"/>
          <w:szCs w:val="20"/>
          <w:lang w:val="es-ES" w:eastAsia="es-CO"/>
        </w:rPr>
      </w:pPr>
      <w:r w:rsidRPr="004C1FDC">
        <w:rPr>
          <w:rStyle w:val="normaltextrun"/>
          <w:rFonts w:ascii="Arial" w:eastAsia="Times New Roman" w:hAnsi="Arial" w:cs="Arial"/>
          <w:color w:val="000000"/>
          <w:sz w:val="20"/>
          <w:szCs w:val="20"/>
          <w:lang w:val="es-ES" w:eastAsia="es-CO"/>
        </w:rPr>
        <w:tab/>
      </w:r>
    </w:p>
    <w:p w14:paraId="202AA150" w14:textId="1016270C" w:rsidR="001E47F9" w:rsidRPr="00776DC6" w:rsidRDefault="004C1FDC" w:rsidP="004C1FDC">
      <w:pPr>
        <w:tabs>
          <w:tab w:val="left" w:pos="426"/>
        </w:tabs>
        <w:spacing w:after="0" w:line="240" w:lineRule="auto"/>
        <w:rPr>
          <w:rFonts w:ascii="Arial" w:eastAsia="Calibri" w:hAnsi="Arial" w:cs="Arial"/>
          <w:sz w:val="20"/>
          <w:szCs w:val="20"/>
          <w:lang w:val="es-CO"/>
        </w:rPr>
      </w:pPr>
      <w:r w:rsidRPr="004C1FDC">
        <w:rPr>
          <w:rStyle w:val="normaltextrun"/>
          <w:rFonts w:ascii="Arial" w:eastAsia="Times New Roman" w:hAnsi="Arial" w:cs="Arial"/>
          <w:color w:val="000000"/>
          <w:sz w:val="20"/>
          <w:szCs w:val="20"/>
          <w:lang w:val="es-ES" w:eastAsia="es-CO"/>
        </w:rPr>
        <w:t>Sin embargo, el artículo 8 del Decreto 1860 del 24 de diciembre de 2021 estableció un periodo de transición para la entrada en vigencia de sus disposiciones, al señalar que «aplicarán a los procedimientos de selección cuya invitación, aviso de convocatoria o documento equivalente se publique a los tres (3) meses contados a partir de su expedición</w:t>
      </w:r>
      <w:proofErr w:type="gramStart"/>
      <w:r w:rsidRPr="004C1FDC">
        <w:rPr>
          <w:rStyle w:val="normaltextrun"/>
          <w:rFonts w:ascii="Arial" w:eastAsia="Times New Roman" w:hAnsi="Arial" w:cs="Arial"/>
          <w:color w:val="000000"/>
          <w:sz w:val="20"/>
          <w:szCs w:val="20"/>
          <w:lang w:val="es-ES" w:eastAsia="es-CO"/>
        </w:rPr>
        <w:t>» .</w:t>
      </w:r>
      <w:proofErr w:type="gramEnd"/>
      <w:r w:rsidRPr="004C1FDC">
        <w:rPr>
          <w:rStyle w:val="normaltextrun"/>
          <w:rFonts w:ascii="Arial" w:eastAsia="Times New Roman" w:hAnsi="Arial" w:cs="Arial"/>
          <w:color w:val="000000"/>
          <w:sz w:val="20"/>
          <w:szCs w:val="20"/>
          <w:lang w:val="es-ES" w:eastAsia="es-CO"/>
        </w:rPr>
        <w:t xml:space="preserve"> Debido a lo anterior, la regulación vigente de la modalidad de mínima cuantía es la expuesta en el numeral anterior de este concepto, donde se concluyó que a excepción del numeral 7 del artículo 2.2.1.2.1.5.2 y el numeral 3 del artículo 2.2.1.2.1.5.3 del Decreto Único Reglamentario del Sector Administrativo de Planeación Nacional, los artículos originales 2.2.1.2.1.5.1 al 2.2.1.2.1.5.4 de este reglamento –antes de la modificación del Decreto 1860 de 2021– continúan rigiendo bajo la vigencia del numeral 5 del artículo 2 de la Ley 1150 de 2007, modificado por el artículo 30 de la Ley de Emprendimiento. No obstante, para las invitaciones que se publiquen a partir del 24 de marzo de 2022, la regulación aplicable a la modalidad de mínima cuantía será la establecida en el artículo 30 de la Ley 2069 de 2020 y el artículo 2 del Decreto 1860 de 2021, que modificó los artículos 2.2.1.2.1.5.1. a 2.2.1.2.1.5.5. del Decreto 1082 de 2015.</w:t>
      </w:r>
    </w:p>
    <w:p w14:paraId="407AA5F4" w14:textId="0B9CD695" w:rsidR="00EB0A3B" w:rsidRDefault="00EB0A3B" w:rsidP="001E47F9">
      <w:pPr>
        <w:tabs>
          <w:tab w:val="left" w:pos="3374"/>
        </w:tabs>
        <w:spacing w:after="0" w:line="240" w:lineRule="auto"/>
        <w:rPr>
          <w:rFonts w:ascii="Arial" w:hAnsi="Arial" w:cs="Arial"/>
          <w:sz w:val="20"/>
          <w:szCs w:val="20"/>
          <w:lang w:val="es-CO"/>
        </w:rPr>
      </w:pPr>
      <w:r>
        <w:rPr>
          <w:rFonts w:ascii="Arial" w:hAnsi="Arial" w:cs="Arial"/>
          <w:sz w:val="20"/>
          <w:szCs w:val="20"/>
          <w:lang w:val="es-CO"/>
        </w:rPr>
        <w:br/>
      </w:r>
    </w:p>
    <w:p w14:paraId="3D5331EF" w14:textId="590C96A4" w:rsidR="001E47F9" w:rsidRPr="00DF55AA" w:rsidRDefault="00EB0A3B" w:rsidP="00DF55AA">
      <w:pPr>
        <w:spacing w:after="0" w:line="240" w:lineRule="auto"/>
        <w:jc w:val="left"/>
        <w:rPr>
          <w:rFonts w:ascii="Arial" w:hAnsi="Arial" w:cs="Arial"/>
          <w:sz w:val="20"/>
          <w:szCs w:val="20"/>
          <w:lang w:val="es-CO"/>
        </w:rPr>
      </w:pPr>
      <w:r>
        <w:rPr>
          <w:rFonts w:ascii="Arial" w:hAnsi="Arial" w:cs="Arial"/>
          <w:sz w:val="20"/>
          <w:szCs w:val="20"/>
          <w:lang w:val="es-CO"/>
        </w:rPr>
        <w:br w:type="page"/>
      </w:r>
    </w:p>
    <w:p w14:paraId="01E2F295" w14:textId="7A790E76" w:rsidR="00253927" w:rsidRDefault="00253927">
      <w:pPr>
        <w:spacing w:after="0" w:line="240" w:lineRule="auto"/>
        <w:rPr>
          <w:rFonts w:ascii="Arial" w:eastAsia="Calibri" w:hAnsi="Arial" w:cs="Arial"/>
          <w:sz w:val="22"/>
          <w:lang w:val="es-CO"/>
        </w:rPr>
      </w:pPr>
      <w:r>
        <w:rPr>
          <w:rFonts w:ascii="_ÁÆÊò" w:hAnsi="_ÁÆÊò" w:cs="_ÁÆÊò"/>
          <w:color w:val="4E4D4D"/>
          <w:sz w:val="22"/>
          <w:lang w:val="es-ES_tradnl"/>
        </w:rPr>
        <w:lastRenderedPageBreak/>
        <w:t xml:space="preserve">Bogotá, 05 </w:t>
      </w:r>
      <w:proofErr w:type="gramStart"/>
      <w:r>
        <w:rPr>
          <w:rFonts w:ascii="_ÁÆÊò" w:hAnsi="_ÁÆÊò" w:cs="_ÁÆÊò"/>
          <w:color w:val="4E4D4D"/>
          <w:sz w:val="22"/>
          <w:lang w:val="es-ES_tradnl"/>
        </w:rPr>
        <w:t>Enero</w:t>
      </w:r>
      <w:proofErr w:type="gramEnd"/>
      <w:r>
        <w:rPr>
          <w:rFonts w:ascii="_ÁÆÊò" w:hAnsi="_ÁÆÊò" w:cs="_ÁÆÊò"/>
          <w:color w:val="4E4D4D"/>
          <w:sz w:val="22"/>
          <w:lang w:val="es-ES_tradnl"/>
        </w:rPr>
        <w:t xml:space="preserve"> 2022</w:t>
      </w:r>
      <w:r>
        <w:rPr>
          <w:rFonts w:ascii="_ÁÆÊò" w:hAnsi="_ÁÆÊò" w:cs="_ÁÆÊò"/>
          <w:color w:val="4E4D4D"/>
          <w:sz w:val="22"/>
          <w:lang w:val="es-ES_tradnl"/>
        </w:rPr>
        <w:t xml:space="preserve">                                                                                </w:t>
      </w:r>
      <w:r w:rsidRPr="00253927">
        <w:rPr>
          <w:rFonts w:ascii="_ÁÆÊò" w:hAnsi="_ÁÆÊò" w:cs="_ÁÆÊò"/>
          <w:color w:val="4E4D4D"/>
          <w:sz w:val="22"/>
          <w:lang w:val="es-ES_tradnl"/>
        </w:rPr>
        <w:drawing>
          <wp:inline distT="0" distB="0" distL="0" distR="0" wp14:anchorId="112CB5CA" wp14:editId="5C4B7323">
            <wp:extent cx="1945478" cy="550607"/>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1961465" cy="555132"/>
                    </a:xfrm>
                    <a:prstGeom prst="rect">
                      <a:avLst/>
                    </a:prstGeom>
                  </pic:spPr>
                </pic:pic>
              </a:graphicData>
            </a:graphic>
          </wp:inline>
        </w:drawing>
      </w:r>
    </w:p>
    <w:p w14:paraId="40F80B04" w14:textId="77777777" w:rsidR="00253927" w:rsidRDefault="00253927">
      <w:pPr>
        <w:spacing w:after="0" w:line="240" w:lineRule="auto"/>
        <w:rPr>
          <w:rFonts w:ascii="Arial" w:eastAsia="Calibri" w:hAnsi="Arial" w:cs="Arial"/>
          <w:sz w:val="22"/>
          <w:lang w:val="es-CO"/>
        </w:rPr>
      </w:pPr>
    </w:p>
    <w:p w14:paraId="62205C71" w14:textId="11EB1074" w:rsidR="00D45D43" w:rsidRPr="00434BB4" w:rsidRDefault="00D45D43">
      <w:pPr>
        <w:spacing w:after="0" w:line="240" w:lineRule="auto"/>
        <w:rPr>
          <w:rFonts w:ascii="Arial" w:eastAsia="Calibri" w:hAnsi="Arial" w:cs="Arial"/>
          <w:sz w:val="22"/>
          <w:lang w:val="es-CO"/>
        </w:rPr>
      </w:pPr>
      <w:r w:rsidRPr="00434BB4">
        <w:rPr>
          <w:rFonts w:ascii="Arial" w:eastAsia="Calibri" w:hAnsi="Arial" w:cs="Arial"/>
          <w:sz w:val="22"/>
          <w:lang w:val="es-CO"/>
        </w:rPr>
        <w:t>Señor</w:t>
      </w:r>
    </w:p>
    <w:p w14:paraId="28CC415F" w14:textId="1A71155C" w:rsidR="00347E32" w:rsidRPr="00434BB4" w:rsidRDefault="00DF55AA">
      <w:pPr>
        <w:spacing w:after="0" w:line="240" w:lineRule="auto"/>
        <w:rPr>
          <w:rFonts w:ascii="Arial" w:eastAsia="Calibri" w:hAnsi="Arial" w:cs="Arial"/>
          <w:b/>
          <w:sz w:val="22"/>
          <w:lang w:val="es-CO"/>
        </w:rPr>
      </w:pPr>
      <w:r w:rsidRPr="00434BB4">
        <w:rPr>
          <w:rFonts w:ascii="Arial" w:eastAsia="Calibri" w:hAnsi="Arial" w:cs="Arial"/>
          <w:b/>
          <w:sz w:val="22"/>
          <w:lang w:val="es-CO"/>
        </w:rPr>
        <w:t>Arnulfo Meneses Villamarín</w:t>
      </w:r>
    </w:p>
    <w:p w14:paraId="5FE0EF95" w14:textId="565310C2" w:rsidR="005F5BE7" w:rsidRPr="00434BB4" w:rsidRDefault="00DF55AA">
      <w:pPr>
        <w:tabs>
          <w:tab w:val="left" w:pos="3374"/>
        </w:tabs>
        <w:spacing w:after="0" w:line="240" w:lineRule="auto"/>
        <w:rPr>
          <w:rFonts w:ascii="Arial" w:eastAsia="Calibri" w:hAnsi="Arial" w:cs="Arial"/>
          <w:noProof/>
          <w:sz w:val="22"/>
          <w:lang w:val="es-ES_tradnl"/>
        </w:rPr>
      </w:pPr>
      <w:r w:rsidRPr="00434BB4">
        <w:rPr>
          <w:rFonts w:ascii="Arial" w:hAnsi="Arial" w:cs="Arial"/>
          <w:sz w:val="22"/>
        </w:rPr>
        <w:t xml:space="preserve">Armenia, Quindío </w:t>
      </w:r>
    </w:p>
    <w:p w14:paraId="506DAD6F" w14:textId="77777777" w:rsidR="000C6406" w:rsidRPr="00434BB4" w:rsidRDefault="000C6406">
      <w:pPr>
        <w:spacing w:after="0" w:line="240" w:lineRule="auto"/>
        <w:rPr>
          <w:rFonts w:ascii="Arial" w:eastAsia="Calibri" w:hAnsi="Arial" w:cs="Arial"/>
          <w:sz w:val="22"/>
          <w:lang w:val="es-CO"/>
        </w:rPr>
      </w:pPr>
    </w:p>
    <w:p w14:paraId="425712DB" w14:textId="2C649BE3" w:rsidR="00D45D43" w:rsidRPr="00434BB4" w:rsidRDefault="006D7173">
      <w:pPr>
        <w:spacing w:after="0" w:line="240" w:lineRule="auto"/>
        <w:rPr>
          <w:rFonts w:ascii="Arial" w:hAnsi="Arial" w:cs="Arial"/>
          <w:sz w:val="22"/>
          <w:lang w:val="es-CO"/>
        </w:rPr>
      </w:pPr>
      <w:r w:rsidRPr="00434BB4">
        <w:rPr>
          <w:rFonts w:ascii="Arial" w:eastAsia="Calibri" w:hAnsi="Arial" w:cs="Arial"/>
          <w:sz w:val="22"/>
          <w:lang w:val="es-CO"/>
        </w:rPr>
        <w:t xml:space="preserve">                       </w:t>
      </w:r>
      <w:r w:rsidR="0013758A" w:rsidRPr="00434BB4">
        <w:rPr>
          <w:rFonts w:ascii="Arial" w:eastAsia="Calibri" w:hAnsi="Arial" w:cs="Arial"/>
          <w:sz w:val="22"/>
          <w:lang w:val="es-CO"/>
        </w:rPr>
        <w:t xml:space="preserve"> </w:t>
      </w:r>
      <w:r w:rsidR="00D45D43" w:rsidRPr="00434BB4">
        <w:rPr>
          <w:rFonts w:ascii="Arial" w:eastAsia="Calibri" w:hAnsi="Arial" w:cs="Arial"/>
          <w:b/>
          <w:sz w:val="22"/>
          <w:lang w:val="es-CO"/>
        </w:rPr>
        <w:t>Concepto C</w:t>
      </w:r>
      <w:r w:rsidR="007B23EC" w:rsidRPr="00434BB4">
        <w:rPr>
          <w:rFonts w:ascii="Arial" w:eastAsia="Calibri" w:hAnsi="Arial" w:cs="Arial"/>
          <w:b/>
          <w:sz w:val="22"/>
          <w:lang w:val="es-CO"/>
        </w:rPr>
        <w:t xml:space="preserve"> – </w:t>
      </w:r>
      <w:r w:rsidR="00DF55AA" w:rsidRPr="00434BB4">
        <w:rPr>
          <w:rFonts w:ascii="Arial" w:eastAsia="Calibri" w:hAnsi="Arial" w:cs="Arial"/>
          <w:b/>
          <w:sz w:val="22"/>
          <w:lang w:val="es-CO"/>
        </w:rPr>
        <w:t>673</w:t>
      </w:r>
      <w:r w:rsidR="00D45D43" w:rsidRPr="00434BB4">
        <w:rPr>
          <w:rFonts w:ascii="Arial" w:eastAsia="Calibri" w:hAnsi="Arial" w:cs="Arial"/>
          <w:b/>
          <w:sz w:val="22"/>
          <w:lang w:val="es-CO"/>
        </w:rPr>
        <w:t xml:space="preserve"> de 2021</w:t>
      </w:r>
      <w:r w:rsidR="00D45D43" w:rsidRPr="00434BB4">
        <w:rPr>
          <w:rFonts w:ascii="Arial" w:hAnsi="Arial" w:cs="Arial"/>
          <w:sz w:val="22"/>
          <w:lang w:val="es-CO"/>
        </w:rPr>
        <w:t xml:space="preserve"> </w:t>
      </w:r>
    </w:p>
    <w:p w14:paraId="0FD04F51" w14:textId="77777777" w:rsidR="00D45D43" w:rsidRPr="00434BB4" w:rsidRDefault="00D45D43">
      <w:pPr>
        <w:spacing w:after="0" w:line="240" w:lineRule="auto"/>
        <w:rPr>
          <w:rFonts w:ascii="Arial" w:eastAsia="Calibri" w:hAnsi="Arial"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5949"/>
      </w:tblGrid>
      <w:tr w:rsidR="00D45D43" w:rsidRPr="00434BB4" w14:paraId="2F506374" w14:textId="77777777" w:rsidTr="00296985">
        <w:trPr>
          <w:trHeight w:val="1038"/>
        </w:trPr>
        <w:tc>
          <w:tcPr>
            <w:tcW w:w="2977" w:type="dxa"/>
            <w:hideMark/>
          </w:tcPr>
          <w:p w14:paraId="457F7D77" w14:textId="29E1AD53" w:rsidR="00D45D43" w:rsidRPr="00434BB4" w:rsidRDefault="006D7173">
            <w:pPr>
              <w:spacing w:line="240" w:lineRule="auto"/>
              <w:ind w:left="720"/>
              <w:contextualSpacing/>
              <w:rPr>
                <w:rFonts w:ascii="Arial" w:eastAsia="Calibri" w:hAnsi="Arial" w:cs="Arial"/>
                <w:noProof/>
                <w:lang w:val="es-ES_tradnl"/>
              </w:rPr>
            </w:pPr>
            <w:r w:rsidRPr="00434BB4">
              <w:rPr>
                <w:rFonts w:ascii="Arial" w:eastAsia="Calibri" w:hAnsi="Arial" w:cs="Arial"/>
                <w:b/>
                <w:noProof/>
                <w:lang w:val="es-ES_tradnl"/>
              </w:rPr>
              <w:t xml:space="preserve"> </w:t>
            </w:r>
            <w:r w:rsidR="0013758A" w:rsidRPr="00434BB4">
              <w:rPr>
                <w:rFonts w:ascii="Arial" w:eastAsia="Calibri" w:hAnsi="Arial" w:cs="Arial"/>
                <w:b/>
                <w:noProof/>
                <w:lang w:val="es-ES_tradnl"/>
              </w:rPr>
              <w:t xml:space="preserve"> </w:t>
            </w:r>
            <w:r w:rsidR="00D45D43" w:rsidRPr="00434BB4">
              <w:rPr>
                <w:rFonts w:ascii="Arial" w:eastAsia="Calibri" w:hAnsi="Arial" w:cs="Arial"/>
                <w:b/>
                <w:noProof/>
                <w:lang w:val="es-ES_tradnl"/>
              </w:rPr>
              <w:t>Temas:</w:t>
            </w:r>
            <w:r w:rsidRPr="00434BB4">
              <w:rPr>
                <w:rFonts w:ascii="Arial" w:eastAsia="Calibri" w:hAnsi="Arial" w:cs="Arial"/>
                <w:noProof/>
                <w:lang w:val="es-ES_tradnl"/>
              </w:rPr>
              <w:t xml:space="preserve">    </w:t>
            </w:r>
          </w:p>
        </w:tc>
        <w:tc>
          <w:tcPr>
            <w:tcW w:w="5949" w:type="dxa"/>
            <w:hideMark/>
          </w:tcPr>
          <w:p w14:paraId="6F52ADCF" w14:textId="7849740E" w:rsidR="001E47F9" w:rsidRPr="00434BB4" w:rsidRDefault="003F7B85">
            <w:pPr>
              <w:tabs>
                <w:tab w:val="left" w:pos="3374"/>
              </w:tabs>
              <w:spacing w:after="0" w:line="240" w:lineRule="auto"/>
              <w:rPr>
                <w:rFonts w:ascii="Arial" w:hAnsi="Arial" w:cs="Arial"/>
                <w:bCs/>
              </w:rPr>
            </w:pPr>
            <w:r w:rsidRPr="00434BB4">
              <w:rPr>
                <w:rStyle w:val="normaltextrun"/>
                <w:rFonts w:ascii="Arial" w:hAnsi="Arial" w:cs="Arial"/>
                <w:color w:val="000000"/>
                <w:shd w:val="clear" w:color="auto" w:fill="FFFFFF"/>
              </w:rPr>
              <w:t>LEY DE EMPRENDIMIENTO – Finalidad / RELACIÓN ENTRE LEY Y REGLAMENTO – Tesis de la aplicación directa – Tesis de la reglamentación – Diferencias / REGLAMENTACIÓN PREVIA – Ley 2069 de 2020 / LEY 2069 DE 2020 – Mínima cuantía – Eficacia directa / MÍNIMA CUANTÍA – Normas reglamentarias – Decreto 1082 de 2015 –Vigencia</w:t>
            </w:r>
          </w:p>
          <w:p w14:paraId="04A6CBA1" w14:textId="016E224E" w:rsidR="00DF1D02" w:rsidRPr="00434BB4" w:rsidRDefault="00DF1D02" w:rsidP="00BF0F70">
            <w:pPr>
              <w:spacing w:after="0" w:line="240" w:lineRule="auto"/>
              <w:rPr>
                <w:rFonts w:ascii="Arial" w:eastAsia="Times New Roman" w:hAnsi="Arial" w:cs="Arial"/>
                <w:bCs/>
                <w:lang w:val="es-ES_tradnl" w:eastAsia="es-ES"/>
              </w:rPr>
            </w:pPr>
          </w:p>
          <w:p w14:paraId="7477B464" w14:textId="77777777" w:rsidR="00D45D43" w:rsidRPr="00434BB4" w:rsidRDefault="00D45D43">
            <w:pPr>
              <w:spacing w:after="0" w:line="240" w:lineRule="auto"/>
              <w:contextualSpacing/>
              <w:rPr>
                <w:rFonts w:ascii="Arial" w:eastAsia="Calibri" w:hAnsi="Arial" w:cs="Arial"/>
                <w:bCs/>
              </w:rPr>
            </w:pPr>
          </w:p>
        </w:tc>
      </w:tr>
      <w:tr w:rsidR="00D45D43" w:rsidRPr="00434BB4" w14:paraId="5B6E69F2" w14:textId="77777777" w:rsidTr="00296985">
        <w:trPr>
          <w:trHeight w:val="198"/>
        </w:trPr>
        <w:tc>
          <w:tcPr>
            <w:tcW w:w="2977" w:type="dxa"/>
          </w:tcPr>
          <w:p w14:paraId="3A042E2F" w14:textId="2F0174F1" w:rsidR="00D45D43" w:rsidRPr="00434BB4" w:rsidRDefault="00D45D43">
            <w:pPr>
              <w:pStyle w:val="Prrafodelista"/>
              <w:spacing w:after="0" w:line="240" w:lineRule="auto"/>
              <w:ind w:left="1080"/>
              <w:rPr>
                <w:rFonts w:ascii="Arial" w:eastAsia="Calibri" w:hAnsi="Arial" w:cs="Arial"/>
                <w:b/>
                <w:noProof/>
                <w:lang w:val="es-ES_tradnl"/>
              </w:rPr>
            </w:pPr>
            <w:r w:rsidRPr="00434BB4">
              <w:rPr>
                <w:rFonts w:ascii="Arial" w:eastAsia="Calibri" w:hAnsi="Arial" w:cs="Arial"/>
                <w:b/>
                <w:noProof/>
                <w:lang w:val="es-ES_tradnl"/>
              </w:rPr>
              <w:t>Radicación:</w:t>
            </w:r>
            <w:r w:rsidR="006D7173" w:rsidRPr="00434BB4">
              <w:rPr>
                <w:rFonts w:ascii="Arial" w:eastAsia="Calibri" w:hAnsi="Arial" w:cs="Arial"/>
                <w:noProof/>
                <w:lang w:val="es-ES_tradnl"/>
              </w:rPr>
              <w:t xml:space="preserve">               </w:t>
            </w:r>
          </w:p>
        </w:tc>
        <w:tc>
          <w:tcPr>
            <w:tcW w:w="5949" w:type="dxa"/>
          </w:tcPr>
          <w:p w14:paraId="4D6CA122" w14:textId="1AF74358" w:rsidR="00D45D43" w:rsidRPr="00434BB4" w:rsidRDefault="00D45D43">
            <w:pPr>
              <w:spacing w:after="0" w:line="240" w:lineRule="auto"/>
              <w:ind w:right="136"/>
              <w:contextualSpacing/>
              <w:rPr>
                <w:rFonts w:ascii="Arial" w:eastAsia="Calibri" w:hAnsi="Arial" w:cs="Arial"/>
                <w:noProof/>
                <w:lang w:val="es-ES_tradnl"/>
              </w:rPr>
            </w:pPr>
            <w:r w:rsidRPr="00434BB4">
              <w:rPr>
                <w:rFonts w:ascii="Arial" w:eastAsia="Calibri" w:hAnsi="Arial" w:cs="Arial"/>
                <w:noProof/>
                <w:lang w:val="es-ES_tradnl"/>
              </w:rPr>
              <w:t>Respuesta a consulta</w:t>
            </w:r>
            <w:r w:rsidR="009C4A25" w:rsidRPr="00434BB4">
              <w:rPr>
                <w:rFonts w:ascii="Arial" w:eastAsia="Calibri" w:hAnsi="Arial" w:cs="Arial"/>
                <w:noProof/>
                <w:lang w:val="es-ES_tradnl"/>
              </w:rPr>
              <w:t xml:space="preserve"> </w:t>
            </w:r>
            <w:r w:rsidR="00DF55AA" w:rsidRPr="00434BB4">
              <w:rPr>
                <w:rFonts w:ascii="Arial" w:eastAsia="Calibri" w:hAnsi="Arial" w:cs="Arial"/>
                <w:noProof/>
                <w:lang w:val="es-ES_tradnl"/>
              </w:rPr>
              <w:t>P20211124010881</w:t>
            </w:r>
          </w:p>
        </w:tc>
      </w:tr>
    </w:tbl>
    <w:p w14:paraId="35E34587" w14:textId="77777777" w:rsidR="00D45D43" w:rsidRPr="00434BB4" w:rsidRDefault="00D45D43">
      <w:pPr>
        <w:spacing w:after="0" w:line="240" w:lineRule="auto"/>
        <w:rPr>
          <w:rFonts w:ascii="Arial" w:eastAsia="Calibri" w:hAnsi="Arial" w:cs="Arial"/>
          <w:sz w:val="22"/>
          <w:lang w:val="es-CO"/>
        </w:rPr>
      </w:pPr>
    </w:p>
    <w:p w14:paraId="6AEF12FF" w14:textId="77777777" w:rsidR="00D45D43" w:rsidRPr="00434BB4" w:rsidRDefault="00D45D43">
      <w:pPr>
        <w:spacing w:after="0" w:line="240" w:lineRule="auto"/>
        <w:rPr>
          <w:rFonts w:ascii="Arial" w:eastAsia="Calibri" w:hAnsi="Arial" w:cs="Arial"/>
          <w:sz w:val="22"/>
          <w:lang w:val="es-CO"/>
        </w:rPr>
      </w:pPr>
    </w:p>
    <w:p w14:paraId="70B8C15C" w14:textId="34B536E4" w:rsidR="00D45D43" w:rsidRPr="00434BB4" w:rsidRDefault="00D45D43" w:rsidP="00001D47">
      <w:pPr>
        <w:spacing w:after="0"/>
        <w:rPr>
          <w:rFonts w:ascii="Arial" w:eastAsia="Calibri" w:hAnsi="Arial" w:cs="Arial"/>
          <w:sz w:val="22"/>
          <w:lang w:val="es-CO"/>
        </w:rPr>
      </w:pPr>
      <w:r w:rsidRPr="00434BB4">
        <w:rPr>
          <w:rFonts w:ascii="Arial" w:eastAsia="Calibri" w:hAnsi="Arial" w:cs="Arial"/>
          <w:sz w:val="22"/>
          <w:lang w:val="es-CO"/>
        </w:rPr>
        <w:t>Estimad</w:t>
      </w:r>
      <w:r w:rsidR="0007079B" w:rsidRPr="00434BB4">
        <w:rPr>
          <w:rFonts w:ascii="Arial" w:eastAsia="Calibri" w:hAnsi="Arial" w:cs="Arial"/>
          <w:sz w:val="22"/>
          <w:lang w:val="es-CO"/>
        </w:rPr>
        <w:t>o</w:t>
      </w:r>
      <w:r w:rsidRPr="00434BB4">
        <w:rPr>
          <w:rFonts w:ascii="Arial" w:eastAsia="Calibri" w:hAnsi="Arial" w:cs="Arial"/>
          <w:sz w:val="22"/>
          <w:lang w:val="es-CO"/>
        </w:rPr>
        <w:t xml:space="preserve"> señor </w:t>
      </w:r>
      <w:r w:rsidR="003F267E" w:rsidRPr="00434BB4">
        <w:rPr>
          <w:rFonts w:ascii="Arial" w:eastAsia="Calibri" w:hAnsi="Arial" w:cs="Arial"/>
          <w:sz w:val="22"/>
          <w:lang w:val="es-CO"/>
        </w:rPr>
        <w:t>Meneses</w:t>
      </w:r>
      <w:r w:rsidRPr="00434BB4">
        <w:rPr>
          <w:rFonts w:ascii="Arial" w:eastAsia="Calibri" w:hAnsi="Arial" w:cs="Arial"/>
          <w:sz w:val="22"/>
          <w:lang w:val="es-CO"/>
        </w:rPr>
        <w:t>:</w:t>
      </w:r>
    </w:p>
    <w:p w14:paraId="7ADEE905" w14:textId="77777777" w:rsidR="00D45D43" w:rsidRPr="00434BB4" w:rsidRDefault="00D45D43" w:rsidP="00001D47">
      <w:pPr>
        <w:spacing w:after="0"/>
        <w:ind w:firstLine="709"/>
        <w:rPr>
          <w:rFonts w:ascii="Arial" w:eastAsia="Calibri" w:hAnsi="Arial" w:cs="Arial"/>
          <w:sz w:val="22"/>
          <w:lang w:val="es-CO"/>
        </w:rPr>
      </w:pPr>
    </w:p>
    <w:p w14:paraId="549E55BB" w14:textId="3EE3258B" w:rsidR="00D45D43" w:rsidRPr="00434BB4" w:rsidRDefault="00D45D43" w:rsidP="00001D47">
      <w:pPr>
        <w:spacing w:after="0"/>
        <w:ind w:right="51"/>
        <w:rPr>
          <w:rFonts w:ascii="Arial" w:eastAsia="Calibri" w:hAnsi="Arial" w:cs="Arial"/>
          <w:sz w:val="22"/>
          <w:lang w:val="es-CO"/>
        </w:rPr>
      </w:pPr>
      <w:r w:rsidRPr="00434BB4">
        <w:rPr>
          <w:rFonts w:ascii="Arial" w:eastAsia="Calibri" w:hAnsi="Arial" w:cs="Arial"/>
          <w:sz w:val="22"/>
          <w:lang w:val="es-CO"/>
        </w:rPr>
        <w:t>En ejercicio de la función otorgada por el numeral 8 del artículo 11 y el numeral 5 del artículo 3 del Decreto Ley 4170 de 2011, la Agencia Nacional de Contratación Pública – Colombia Compra Eficiente responde la consulta</w:t>
      </w:r>
      <w:r w:rsidR="00347E32" w:rsidRPr="00434BB4">
        <w:rPr>
          <w:rFonts w:ascii="Arial" w:eastAsia="Calibri" w:hAnsi="Arial" w:cs="Arial"/>
          <w:sz w:val="22"/>
          <w:lang w:val="es-CO"/>
        </w:rPr>
        <w:t xml:space="preserve"> </w:t>
      </w:r>
      <w:r w:rsidR="005F5BE7" w:rsidRPr="00434BB4">
        <w:rPr>
          <w:rFonts w:ascii="Arial" w:eastAsia="Calibri" w:hAnsi="Arial" w:cs="Arial"/>
          <w:sz w:val="22"/>
          <w:lang w:val="es-CO"/>
        </w:rPr>
        <w:t xml:space="preserve">realizada </w:t>
      </w:r>
      <w:r w:rsidRPr="00434BB4">
        <w:rPr>
          <w:rFonts w:ascii="Arial" w:eastAsia="Calibri" w:hAnsi="Arial" w:cs="Arial"/>
          <w:sz w:val="22"/>
          <w:lang w:val="es-CO"/>
        </w:rPr>
        <w:t xml:space="preserve">el </w:t>
      </w:r>
      <w:r w:rsidR="005C6A21" w:rsidRPr="00434BB4">
        <w:rPr>
          <w:rFonts w:ascii="Arial" w:eastAsia="Calibri" w:hAnsi="Arial" w:cs="Arial"/>
          <w:sz w:val="22"/>
          <w:lang w:val="es-CO"/>
        </w:rPr>
        <w:t>24</w:t>
      </w:r>
      <w:r w:rsidRPr="00434BB4">
        <w:rPr>
          <w:rFonts w:ascii="Arial" w:eastAsia="Calibri" w:hAnsi="Arial" w:cs="Arial"/>
          <w:sz w:val="22"/>
          <w:lang w:val="es-CO"/>
        </w:rPr>
        <w:t xml:space="preserve"> de </w:t>
      </w:r>
      <w:r w:rsidR="005C6A21" w:rsidRPr="00434BB4">
        <w:rPr>
          <w:rFonts w:ascii="Arial" w:eastAsia="Calibri" w:hAnsi="Arial" w:cs="Arial"/>
          <w:sz w:val="22"/>
          <w:lang w:val="es-CO"/>
        </w:rPr>
        <w:t>noviembre</w:t>
      </w:r>
      <w:r w:rsidRPr="00434BB4">
        <w:rPr>
          <w:rFonts w:ascii="Arial" w:eastAsia="Calibri" w:hAnsi="Arial" w:cs="Arial"/>
          <w:sz w:val="22"/>
          <w:lang w:val="es-CO"/>
        </w:rPr>
        <w:t xml:space="preserve"> de 2021.</w:t>
      </w:r>
    </w:p>
    <w:p w14:paraId="594BDCF2" w14:textId="77777777" w:rsidR="00D45D43" w:rsidRPr="00434BB4" w:rsidRDefault="00D45D43" w:rsidP="00001D47">
      <w:pPr>
        <w:spacing w:after="0"/>
        <w:rPr>
          <w:rFonts w:ascii="Arial" w:eastAsia="Calibri" w:hAnsi="Arial" w:cs="Arial"/>
          <w:sz w:val="22"/>
          <w:lang w:val="es-CO"/>
        </w:rPr>
      </w:pPr>
    </w:p>
    <w:p w14:paraId="7AE4AC66" w14:textId="2D849EDE" w:rsidR="005F5BE7" w:rsidRPr="00434BB4" w:rsidRDefault="00F80890" w:rsidP="005E3465">
      <w:pPr>
        <w:tabs>
          <w:tab w:val="left" w:pos="284"/>
        </w:tabs>
        <w:spacing w:after="0"/>
        <w:rPr>
          <w:rFonts w:ascii="Arial" w:eastAsia="Calibri" w:hAnsi="Arial" w:cs="Arial"/>
          <w:b/>
          <w:sz w:val="22"/>
          <w:lang w:val="es-CO"/>
        </w:rPr>
      </w:pPr>
      <w:r w:rsidRPr="00434BB4">
        <w:rPr>
          <w:rFonts w:ascii="Arial" w:eastAsia="Calibri" w:hAnsi="Arial" w:cs="Arial"/>
          <w:b/>
          <w:sz w:val="22"/>
          <w:lang w:val="es-CO"/>
        </w:rPr>
        <w:t xml:space="preserve">1. </w:t>
      </w:r>
      <w:r w:rsidR="00D45D43" w:rsidRPr="00434BB4">
        <w:rPr>
          <w:rFonts w:ascii="Arial" w:eastAsia="Calibri" w:hAnsi="Arial" w:cs="Arial"/>
          <w:b/>
          <w:sz w:val="22"/>
          <w:lang w:val="es-CO"/>
        </w:rPr>
        <w:t>Problemas planteados</w:t>
      </w:r>
      <w:bookmarkStart w:id="0" w:name="_Hlk78213421"/>
      <w:bookmarkStart w:id="1" w:name="_Hlk78192084"/>
      <w:bookmarkStart w:id="2" w:name="_Hlk58917991"/>
      <w:bookmarkStart w:id="3" w:name="_Hlk56103000"/>
    </w:p>
    <w:bookmarkEnd w:id="0"/>
    <w:bookmarkEnd w:id="1"/>
    <w:p w14:paraId="0F2BCC12" w14:textId="61572825" w:rsidR="005E3465" w:rsidRPr="00434BB4" w:rsidRDefault="005E3465" w:rsidP="00C44A0D">
      <w:pPr>
        <w:pStyle w:val="NormalWeb"/>
        <w:spacing w:after="0"/>
        <w:rPr>
          <w:rFonts w:ascii="Arial" w:hAnsi="Arial" w:cs="Arial"/>
          <w:sz w:val="22"/>
          <w:szCs w:val="22"/>
          <w:lang w:eastAsia="es-ES_tradnl"/>
        </w:rPr>
      </w:pPr>
      <w:r w:rsidRPr="00434BB4">
        <w:rPr>
          <w:rFonts w:ascii="Arial" w:hAnsi="Arial" w:cs="Arial"/>
          <w:sz w:val="22"/>
        </w:rPr>
        <w:t>Respecto al artículo 30 de la Ley de Emprendimiento y en relación con el procedimiento de la mínima cuantía, u</w:t>
      </w:r>
      <w:r w:rsidR="0016327F" w:rsidRPr="00434BB4">
        <w:rPr>
          <w:rFonts w:ascii="Arial" w:hAnsi="Arial" w:cs="Arial"/>
          <w:sz w:val="22"/>
        </w:rPr>
        <w:t xml:space="preserve">sted </w:t>
      </w:r>
      <w:r w:rsidRPr="00434BB4">
        <w:rPr>
          <w:rFonts w:ascii="Arial" w:hAnsi="Arial" w:cs="Arial"/>
          <w:sz w:val="22"/>
        </w:rPr>
        <w:t>realiza</w:t>
      </w:r>
      <w:r w:rsidR="00126EAB" w:rsidRPr="00434BB4">
        <w:rPr>
          <w:rFonts w:ascii="Arial" w:hAnsi="Arial" w:cs="Arial"/>
          <w:sz w:val="22"/>
        </w:rPr>
        <w:t xml:space="preserve"> l</w:t>
      </w:r>
      <w:r w:rsidRPr="00434BB4">
        <w:rPr>
          <w:rFonts w:ascii="Arial" w:hAnsi="Arial" w:cs="Arial"/>
          <w:sz w:val="22"/>
        </w:rPr>
        <w:t>a</w:t>
      </w:r>
      <w:r w:rsidR="00126EAB" w:rsidRPr="00434BB4">
        <w:rPr>
          <w:rFonts w:ascii="Arial" w:hAnsi="Arial" w:cs="Arial"/>
          <w:sz w:val="22"/>
        </w:rPr>
        <w:t xml:space="preserve">s siguientes </w:t>
      </w:r>
      <w:r w:rsidRPr="00434BB4">
        <w:rPr>
          <w:rFonts w:ascii="Arial" w:hAnsi="Arial" w:cs="Arial"/>
          <w:sz w:val="22"/>
        </w:rPr>
        <w:t>preguntas</w:t>
      </w:r>
      <w:r w:rsidR="00126EAB" w:rsidRPr="00434BB4">
        <w:rPr>
          <w:rFonts w:ascii="Arial" w:hAnsi="Arial" w:cs="Arial"/>
          <w:sz w:val="22"/>
        </w:rPr>
        <w:t>:</w:t>
      </w:r>
      <w:r w:rsidR="005F5BE7" w:rsidRPr="00434BB4">
        <w:rPr>
          <w:rFonts w:ascii="Arial" w:hAnsi="Arial" w:cs="Arial"/>
          <w:sz w:val="22"/>
          <w:shd w:val="clear" w:color="auto" w:fill="FFFFFF"/>
        </w:rPr>
        <w:t xml:space="preserve"> </w:t>
      </w:r>
      <w:bookmarkEnd w:id="2"/>
      <w:bookmarkEnd w:id="3"/>
      <w:r w:rsidRPr="00434BB4">
        <w:rPr>
          <w:rFonts w:ascii="Arial" w:hAnsi="Arial" w:cs="Arial"/>
          <w:sz w:val="22"/>
          <w:szCs w:val="22"/>
          <w:lang w:eastAsia="es-ES_tradnl"/>
        </w:rPr>
        <w:t xml:space="preserve">i) </w:t>
      </w:r>
      <w:r w:rsidR="00C44A0D" w:rsidRPr="00434BB4">
        <w:rPr>
          <w:rFonts w:ascii="Arial" w:hAnsi="Arial" w:cs="Arial"/>
          <w:sz w:val="22"/>
          <w:szCs w:val="22"/>
          <w:lang w:eastAsia="es-ES_tradnl"/>
        </w:rPr>
        <w:t>«¿Cuál es el procedimiento que deben adelantar las Entidades Estatales, que hagan uso de la modalidad de mínima cuantía, en atención a que a la fecha no se ha expedido el reglamento que regule el procedimiento, tal y como lo dispone el parágrafo 1 del artículo 30 de la Ley 2069 de 2020?</w:t>
      </w:r>
      <w:r w:rsidR="00C44A0D" w:rsidRPr="00434BB4">
        <w:rPr>
          <w:rFonts w:ascii="Arial" w:hAnsi="Arial" w:cs="Arial"/>
          <w:sz w:val="22"/>
          <w:szCs w:val="22"/>
        </w:rPr>
        <w:t xml:space="preserve"> » ii)</w:t>
      </w:r>
      <w:r w:rsidR="00C44A0D" w:rsidRPr="00434BB4">
        <w:t xml:space="preserve"> </w:t>
      </w:r>
      <w:r w:rsidR="00C44A0D" w:rsidRPr="00434BB4">
        <w:rPr>
          <w:rFonts w:ascii="Arial" w:hAnsi="Arial" w:cs="Arial"/>
          <w:sz w:val="22"/>
          <w:szCs w:val="22"/>
          <w:lang w:eastAsia="es-ES_tradnl"/>
        </w:rPr>
        <w:t>«¿Resulta procedente continuar aplicando el procedimiento descrito en el artículo 2.2.1.2.1.5.2 del Decreto 1082 de 2015?</w:t>
      </w:r>
      <w:r w:rsidR="00126EAB" w:rsidRPr="00434BB4">
        <w:rPr>
          <w:rFonts w:ascii="Arial" w:hAnsi="Arial" w:cs="Arial"/>
          <w:sz w:val="22"/>
          <w:szCs w:val="22"/>
        </w:rPr>
        <w:t>»</w:t>
      </w:r>
      <w:r w:rsidRPr="00434BB4">
        <w:rPr>
          <w:rFonts w:ascii="Arial" w:hAnsi="Arial" w:cs="Arial"/>
          <w:sz w:val="22"/>
          <w:szCs w:val="22"/>
        </w:rPr>
        <w:t>.</w:t>
      </w:r>
    </w:p>
    <w:p w14:paraId="416ED36B" w14:textId="1E408457" w:rsidR="00D45D43" w:rsidRPr="00434BB4" w:rsidRDefault="0029475E" w:rsidP="005E3465">
      <w:pPr>
        <w:pStyle w:val="NormalWeb"/>
        <w:spacing w:before="0" w:beforeAutospacing="0" w:after="0" w:afterAutospacing="0"/>
        <w:rPr>
          <w:rFonts w:ascii="Arial" w:eastAsia="Calibri" w:hAnsi="Arial" w:cs="Arial"/>
          <w:b/>
          <w:sz w:val="22"/>
        </w:rPr>
      </w:pPr>
      <w:r w:rsidRPr="00434BB4">
        <w:rPr>
          <w:rFonts w:ascii="Arial" w:eastAsia="Calibri" w:hAnsi="Arial" w:cs="Arial"/>
          <w:b/>
          <w:sz w:val="22"/>
        </w:rPr>
        <w:t xml:space="preserve">2. </w:t>
      </w:r>
      <w:r w:rsidR="00D45D43" w:rsidRPr="00434BB4">
        <w:rPr>
          <w:rFonts w:ascii="Arial" w:eastAsia="Calibri" w:hAnsi="Arial" w:cs="Arial"/>
          <w:b/>
          <w:sz w:val="22"/>
        </w:rPr>
        <w:t>Consideraciones</w:t>
      </w:r>
    </w:p>
    <w:p w14:paraId="2C21C11E" w14:textId="77777777" w:rsidR="005E3465" w:rsidRPr="00434BB4" w:rsidRDefault="005E3465" w:rsidP="00BF0F70">
      <w:pPr>
        <w:pStyle w:val="NormalWeb"/>
        <w:spacing w:before="0" w:beforeAutospacing="0" w:after="0" w:afterAutospacing="0"/>
        <w:rPr>
          <w:rFonts w:ascii="Arial" w:eastAsia="Calibri" w:hAnsi="Arial" w:cs="Arial"/>
          <w:b/>
          <w:sz w:val="22"/>
        </w:rPr>
      </w:pPr>
    </w:p>
    <w:p w14:paraId="46B18824" w14:textId="77777777" w:rsidR="00D14890" w:rsidRPr="00434BB4" w:rsidRDefault="00D14890" w:rsidP="00D14890">
      <w:pPr>
        <w:tabs>
          <w:tab w:val="left" w:pos="426"/>
        </w:tabs>
        <w:spacing w:after="120"/>
        <w:rPr>
          <w:rFonts w:ascii="Arial" w:eastAsia="Calibri" w:hAnsi="Arial" w:cs="Arial"/>
          <w:bCs/>
          <w:color w:val="000000" w:themeColor="text1"/>
          <w:sz w:val="22"/>
          <w:lang w:val="es-ES_tradnl"/>
        </w:rPr>
      </w:pPr>
      <w:bookmarkStart w:id="4" w:name="_Hlk79772899"/>
      <w:r w:rsidRPr="00434BB4">
        <w:rPr>
          <w:rFonts w:ascii="Arial" w:eastAsia="Calibri" w:hAnsi="Arial" w:cs="Arial"/>
          <w:bCs/>
          <w:color w:val="000000" w:themeColor="text1"/>
          <w:sz w:val="22"/>
          <w:lang w:val="es-ES_tradnl"/>
        </w:rPr>
        <w:lastRenderedPageBreak/>
        <w:t xml:space="preserve">Para resolver las inquietudes planteadas, se analizará el contenido del artículo 30 de la </w:t>
      </w:r>
      <w:bookmarkStart w:id="5" w:name="_Hlk63688922"/>
      <w:r w:rsidRPr="00434BB4">
        <w:rPr>
          <w:rFonts w:ascii="Arial" w:eastAsia="Calibri" w:hAnsi="Arial" w:cs="Arial"/>
          <w:bCs/>
          <w:color w:val="000000" w:themeColor="text1"/>
          <w:sz w:val="22"/>
          <w:lang w:val="es-ES_tradnl"/>
        </w:rPr>
        <w:t>Ley 2069 del 31 de diciembre de 2020</w:t>
      </w:r>
      <w:bookmarkEnd w:id="5"/>
      <w:r w:rsidRPr="00434BB4">
        <w:rPr>
          <w:rFonts w:ascii="Arial" w:eastAsia="Calibri" w:hAnsi="Arial" w:cs="Arial"/>
          <w:bCs/>
          <w:color w:val="000000" w:themeColor="text1"/>
          <w:sz w:val="22"/>
          <w:lang w:val="es-ES_tradnl"/>
        </w:rPr>
        <w:t>. Previamente, se harán algunos comentarios sobre la finalidad de la ley de emprendimiento y su impacto en la contratación estatal.</w:t>
      </w:r>
    </w:p>
    <w:p w14:paraId="2E9170E9" w14:textId="7AB08A1A" w:rsidR="00D14890" w:rsidRPr="00434BB4" w:rsidRDefault="00D14890" w:rsidP="00BF0F70">
      <w:pPr>
        <w:tabs>
          <w:tab w:val="left" w:pos="426"/>
        </w:tabs>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tab/>
      </w:r>
      <w:r w:rsidRPr="00434BB4">
        <w:rPr>
          <w:rFonts w:ascii="Arial" w:eastAsia="Calibri" w:hAnsi="Arial" w:cs="Arial"/>
          <w:bCs/>
          <w:color w:val="000000" w:themeColor="text1"/>
          <w:sz w:val="22"/>
          <w:lang w:val="es-ES_tradnl"/>
        </w:rPr>
        <w:tab/>
        <w:t>La Agencia Nacional de Contratación Pública – Colombia Compra Eficiente, en los Conceptos C-514 del 26 de agosto de 2020, C-516 del 26 de agosto de 2020, C-535 del 26 de agosto de 2020, C-537 del 26 de agosto de 2020, C-538 del 26 de agosto de 2020, C-568 del 26 de agosto de 2020, C-572 del 27 de agosto de 2020, C-582 del 28 de agosto de 2020</w:t>
      </w:r>
      <w:r w:rsidR="008162EB" w:rsidRPr="00434BB4">
        <w:rPr>
          <w:rFonts w:ascii="Arial" w:eastAsia="Calibri" w:hAnsi="Arial" w:cs="Arial"/>
          <w:bCs/>
          <w:color w:val="000000" w:themeColor="text1"/>
          <w:sz w:val="22"/>
          <w:lang w:val="es-ES_tradnl"/>
        </w:rPr>
        <w:t>,</w:t>
      </w:r>
      <w:r w:rsidRPr="00434BB4">
        <w:rPr>
          <w:rFonts w:ascii="Arial" w:eastAsia="Calibri" w:hAnsi="Arial" w:cs="Arial"/>
          <w:bCs/>
          <w:color w:val="000000" w:themeColor="text1"/>
          <w:sz w:val="22"/>
          <w:lang w:val="es-ES_tradnl"/>
        </w:rPr>
        <w:t xml:space="preserve"> C-551 del 24 de septiembre de 2020</w:t>
      </w:r>
      <w:r w:rsidR="008162EB" w:rsidRPr="00434BB4">
        <w:rPr>
          <w:rFonts w:ascii="Arial" w:eastAsia="Calibri" w:hAnsi="Arial" w:cs="Arial"/>
          <w:bCs/>
          <w:color w:val="000000" w:themeColor="text1"/>
          <w:sz w:val="22"/>
          <w:lang w:val="es-ES_tradnl"/>
        </w:rPr>
        <w:t xml:space="preserve"> y C-542 de 20 de octubre de 2021</w:t>
      </w:r>
      <w:r w:rsidRPr="00434BB4">
        <w:rPr>
          <w:rFonts w:ascii="Arial" w:eastAsia="Calibri" w:hAnsi="Arial" w:cs="Arial"/>
          <w:bCs/>
          <w:color w:val="000000" w:themeColor="text1"/>
          <w:sz w:val="22"/>
          <w:lang w:val="es-ES_tradnl"/>
        </w:rPr>
        <w:t xml:space="preserve"> explicó la relación entre la ley y el reglamento, de manera que si bien, por regla general, la primera rige a partir de su promulgación, excepcionalmente esta requiere desarrollo reglamentario como una condición previa para su aplicación. Igualmente, en los conceptos C-005 del 16 de febrero de 2021, C-037 del 26 de febrero de 2021, C-035 del 02 de marzo de 2021, C-126 del 06 de abril de 2021, C-127 del 06 de abril de 2021, C-144 del 07 de abril de 2021, C-141 del 08 de abril de 2021, C-163</w:t>
      </w:r>
      <w:r w:rsidR="0014516B" w:rsidRPr="00434BB4">
        <w:rPr>
          <w:rFonts w:ascii="Arial" w:eastAsia="Calibri" w:hAnsi="Arial" w:cs="Arial"/>
          <w:bCs/>
          <w:color w:val="000000" w:themeColor="text1"/>
          <w:sz w:val="22"/>
          <w:lang w:val="es-ES_tradnl"/>
        </w:rPr>
        <w:t xml:space="preserve"> y</w:t>
      </w:r>
      <w:r w:rsidRPr="00434BB4">
        <w:rPr>
          <w:rFonts w:ascii="Arial" w:eastAsia="Calibri" w:hAnsi="Arial" w:cs="Arial"/>
          <w:bCs/>
          <w:color w:val="000000" w:themeColor="text1"/>
          <w:sz w:val="22"/>
          <w:lang w:val="es-ES_tradnl"/>
        </w:rPr>
        <w:t xml:space="preserve"> C-164 del 19 de abril de 2021, C-242 del 25 de mayo de 2021</w:t>
      </w:r>
      <w:r w:rsidR="008162EB" w:rsidRPr="00434BB4">
        <w:rPr>
          <w:rFonts w:ascii="Arial" w:eastAsia="Calibri" w:hAnsi="Arial" w:cs="Arial"/>
          <w:bCs/>
          <w:color w:val="000000" w:themeColor="text1"/>
          <w:sz w:val="22"/>
          <w:lang w:val="es-ES_tradnl"/>
        </w:rPr>
        <w:t>,</w:t>
      </w:r>
      <w:r w:rsidRPr="00434BB4">
        <w:rPr>
          <w:rFonts w:ascii="Arial" w:eastAsia="Calibri" w:hAnsi="Arial" w:cs="Arial"/>
          <w:bCs/>
          <w:color w:val="000000" w:themeColor="text1"/>
          <w:sz w:val="22"/>
          <w:lang w:val="es-ES_tradnl"/>
        </w:rPr>
        <w:t xml:space="preserve"> C-496 del 14 de septiembre de 2021</w:t>
      </w:r>
      <w:r w:rsidR="008162EB" w:rsidRPr="00434BB4">
        <w:rPr>
          <w:rFonts w:ascii="Arial" w:eastAsia="Calibri" w:hAnsi="Arial" w:cs="Arial"/>
          <w:bCs/>
          <w:color w:val="000000" w:themeColor="text1"/>
          <w:sz w:val="22"/>
          <w:lang w:val="es-ES_tradnl"/>
        </w:rPr>
        <w:t xml:space="preserve"> y C-573 de 13 de octubre de 2021</w:t>
      </w:r>
      <w:r w:rsidRPr="00434BB4">
        <w:rPr>
          <w:rFonts w:ascii="Arial" w:eastAsia="Calibri" w:hAnsi="Arial" w:cs="Arial"/>
          <w:bCs/>
          <w:color w:val="000000" w:themeColor="text1"/>
          <w:sz w:val="22"/>
          <w:lang w:val="es-ES_tradnl"/>
        </w:rPr>
        <w:t>, se analizó el alcance del artículo 30 de la Ley 2069 de 2020, concluyendo que goza de eficacia directa. En lo pertinente, la tesis desarrollada en estos conceptos se reitera a continuación y se complementa con algunas ideas relativas a la consulta realizada</w:t>
      </w:r>
      <w:r w:rsidR="00FC36A1" w:rsidRPr="00434BB4">
        <w:rPr>
          <w:rFonts w:ascii="Arial" w:eastAsia="Calibri" w:hAnsi="Arial" w:cs="Arial"/>
          <w:bCs/>
          <w:color w:val="000000" w:themeColor="text1"/>
          <w:sz w:val="22"/>
          <w:lang w:val="es-ES_tradnl"/>
        </w:rPr>
        <w:t>.</w:t>
      </w:r>
      <w:r w:rsidR="0099041F" w:rsidRPr="00434BB4">
        <w:rPr>
          <w:rFonts w:ascii="Arial" w:eastAsia="Calibri" w:hAnsi="Arial" w:cs="Arial"/>
          <w:bCs/>
          <w:color w:val="000000" w:themeColor="text1"/>
          <w:sz w:val="22"/>
          <w:lang w:val="es-ES_tradnl"/>
        </w:rPr>
        <w:t xml:space="preserve"> Finalmente, en el desarrollo del concepto se hará referencia al Decreto 1860 del 24 de diciembre de 2021, en relación con la modalidad de mínima cuantía.</w:t>
      </w:r>
    </w:p>
    <w:p w14:paraId="0F6A6DA4" w14:textId="5A5C15E7" w:rsidR="00D14890" w:rsidRPr="00434BB4" w:rsidRDefault="00D14890" w:rsidP="00D14890">
      <w:pPr>
        <w:spacing w:after="0"/>
        <w:rPr>
          <w:rFonts w:ascii="Arial" w:eastAsia="Calibri" w:hAnsi="Arial" w:cs="Arial"/>
          <w:b/>
          <w:bCs/>
          <w:color w:val="000000" w:themeColor="text1"/>
          <w:sz w:val="22"/>
          <w:lang w:val="es-ES_tradnl"/>
        </w:rPr>
      </w:pPr>
      <w:r w:rsidRPr="00434BB4">
        <w:rPr>
          <w:rFonts w:ascii="Arial" w:eastAsia="Calibri" w:hAnsi="Arial" w:cs="Arial"/>
          <w:b/>
          <w:bCs/>
          <w:color w:val="000000" w:themeColor="text1"/>
          <w:sz w:val="22"/>
          <w:lang w:val="es-ES_tradnl"/>
        </w:rPr>
        <w:t>2.1. Vigencia y ámbito de aplicación de la Ley 2069 de 2020: impacto sobre la contratación estatal</w:t>
      </w:r>
    </w:p>
    <w:p w14:paraId="19C137B4" w14:textId="77777777" w:rsidR="00D14890" w:rsidRPr="00434BB4" w:rsidRDefault="00D14890" w:rsidP="00BF0F70">
      <w:pPr>
        <w:spacing w:after="0"/>
        <w:rPr>
          <w:rFonts w:ascii="Arial" w:eastAsia="Calibri" w:hAnsi="Arial" w:cs="Arial"/>
          <w:b/>
          <w:bCs/>
          <w:color w:val="000000" w:themeColor="text1"/>
          <w:sz w:val="22"/>
          <w:lang w:val="es-ES_tradnl"/>
        </w:rPr>
      </w:pPr>
    </w:p>
    <w:p w14:paraId="00FCDFC2" w14:textId="5B637CEE" w:rsidR="00D14890" w:rsidRPr="00434BB4" w:rsidRDefault="00D14890" w:rsidP="00BF0F70">
      <w:pPr>
        <w:spacing w:after="120"/>
        <w:rPr>
          <w:rFonts w:ascii="Arial" w:eastAsia="Calibri" w:hAnsi="Arial" w:cs="Arial"/>
          <w:color w:val="000000" w:themeColor="text1"/>
          <w:sz w:val="22"/>
          <w:lang w:val="es-ES_tradnl"/>
        </w:rPr>
      </w:pPr>
      <w:r w:rsidRPr="00434BB4">
        <w:rPr>
          <w:rFonts w:ascii="Arial" w:eastAsia="Calibri" w:hAnsi="Arial" w:cs="Arial"/>
          <w:color w:val="000000" w:themeColor="text1"/>
          <w:sz w:val="22"/>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0020CB48" w14:textId="4F7B4408" w:rsidR="00D14890" w:rsidRPr="00434BB4" w:rsidRDefault="00D14890" w:rsidP="00BF0F70">
      <w:pPr>
        <w:spacing w:after="120"/>
        <w:ind w:firstLine="709"/>
        <w:rPr>
          <w:rFonts w:ascii="Arial" w:eastAsia="Calibri" w:hAnsi="Arial" w:cs="Arial"/>
          <w:color w:val="000000" w:themeColor="text1"/>
          <w:sz w:val="22"/>
          <w:lang w:val="es-ES_tradnl"/>
        </w:rPr>
      </w:pPr>
      <w:r w:rsidRPr="00434BB4">
        <w:rPr>
          <w:rFonts w:ascii="Arial" w:eastAsia="Calibri" w:hAnsi="Arial" w:cs="Arial"/>
          <w:color w:val="000000" w:themeColor="text1"/>
          <w:sz w:val="22"/>
          <w:lang w:val="es-ES_tradnl"/>
        </w:rPr>
        <w:t>En cuan</w:t>
      </w:r>
      <w:r w:rsidR="00FC36A1" w:rsidRPr="00434BB4">
        <w:rPr>
          <w:rFonts w:ascii="Arial" w:eastAsia="Calibri" w:hAnsi="Arial" w:cs="Arial"/>
          <w:color w:val="000000" w:themeColor="text1"/>
          <w:sz w:val="22"/>
          <w:lang w:val="es-ES_tradnl"/>
        </w:rPr>
        <w:t>t</w:t>
      </w:r>
      <w:r w:rsidRPr="00434BB4">
        <w:rPr>
          <w:rFonts w:ascii="Arial" w:eastAsia="Calibri" w:hAnsi="Arial" w:cs="Arial"/>
          <w:color w:val="000000" w:themeColor="text1"/>
          <w:sz w:val="22"/>
          <w:lang w:val="es-ES_tradnl"/>
        </w:rPr>
        <w:t xml:space="preserve">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434BB4">
        <w:rPr>
          <w:rFonts w:ascii="Arial" w:eastAsia="Calibri" w:hAnsi="Arial" w:cs="Arial"/>
          <w:color w:val="000000" w:themeColor="text1"/>
          <w:sz w:val="22"/>
          <w:lang w:val="es-ES_tradnl"/>
        </w:rPr>
        <w:t>de acuerdo a</w:t>
      </w:r>
      <w:proofErr w:type="gramEnd"/>
      <w:r w:rsidRPr="00434BB4">
        <w:rPr>
          <w:rFonts w:ascii="Arial" w:eastAsia="Calibri" w:hAnsi="Arial" w:cs="Arial"/>
          <w:color w:val="000000" w:themeColor="text1"/>
          <w:sz w:val="22"/>
          <w:lang w:val="es-ES_tradnl"/>
        </w:rPr>
        <w:t xml:space="preserve"> las realidades socioeconómicas de cada región». En desarrollo de esta finalidad, se establecen medidas de apoyo para las micro, pequeñas y medianas empresas –</w:t>
      </w:r>
      <w:proofErr w:type="spellStart"/>
      <w:r w:rsidRPr="00434BB4">
        <w:rPr>
          <w:rFonts w:ascii="Arial" w:eastAsia="Calibri" w:hAnsi="Arial" w:cs="Arial"/>
          <w:color w:val="000000" w:themeColor="text1"/>
          <w:sz w:val="22"/>
          <w:lang w:val="es-ES_tradnl"/>
        </w:rPr>
        <w:lastRenderedPageBreak/>
        <w:t>mipymes</w:t>
      </w:r>
      <w:proofErr w:type="spellEnd"/>
      <w:r w:rsidRPr="00434BB4">
        <w:rPr>
          <w:rFonts w:ascii="Arial" w:eastAsia="Calibri" w:hAnsi="Arial" w:cs="Arial"/>
          <w:color w:val="000000" w:themeColor="text1"/>
          <w:sz w:val="22"/>
          <w:lang w:val="es-ES_tradnl"/>
        </w:rPr>
        <w:t>–, mediante la racionalización y simplificación de los trámites y tarifas</w:t>
      </w:r>
      <w:r w:rsidRPr="00434BB4">
        <w:rPr>
          <w:rStyle w:val="Refdenotaalpie"/>
          <w:rFonts w:ascii="Arial" w:eastAsia="Calibri" w:hAnsi="Arial" w:cs="Arial"/>
          <w:color w:val="000000" w:themeColor="text1"/>
          <w:sz w:val="22"/>
          <w:lang w:val="es-ES_tradnl"/>
        </w:rPr>
        <w:footnoteReference w:id="1"/>
      </w:r>
      <w:r w:rsidRPr="00434BB4">
        <w:rPr>
          <w:rFonts w:ascii="Arial" w:eastAsia="Calibri" w:hAnsi="Arial" w:cs="Arial"/>
          <w:color w:val="000000" w:themeColor="text1"/>
          <w:sz w:val="22"/>
          <w:lang w:val="es-ES_tradnl"/>
        </w:rPr>
        <w:t>, así como incentivos a favor de aquellas dentro del sistema de compras y contratación pública</w:t>
      </w:r>
      <w:r w:rsidRPr="00434BB4">
        <w:rPr>
          <w:rStyle w:val="Refdenotaalpie"/>
          <w:rFonts w:ascii="Arial" w:eastAsia="Calibri" w:hAnsi="Arial" w:cs="Arial"/>
          <w:color w:val="000000" w:themeColor="text1"/>
          <w:sz w:val="22"/>
          <w:lang w:val="es-ES_tradnl"/>
        </w:rPr>
        <w:footnoteReference w:id="2"/>
      </w:r>
      <w:r w:rsidRPr="00434BB4">
        <w:rPr>
          <w:rFonts w:ascii="Arial" w:eastAsia="Calibri" w:hAnsi="Arial" w:cs="Arial"/>
          <w:color w:val="000000" w:themeColor="text1"/>
          <w:sz w:val="22"/>
          <w:lang w:val="es-ES_tradnl"/>
        </w:rPr>
        <w:t>. También se consagran mecanismos de acceso al financiamiento</w:t>
      </w:r>
      <w:r w:rsidRPr="00434BB4">
        <w:rPr>
          <w:rStyle w:val="Refdenotaalpie"/>
          <w:rFonts w:ascii="Arial" w:eastAsia="Calibri" w:hAnsi="Arial" w:cs="Arial"/>
          <w:color w:val="000000" w:themeColor="text1"/>
          <w:sz w:val="22"/>
          <w:lang w:val="es-ES_tradnl"/>
        </w:rPr>
        <w:footnoteReference w:id="3"/>
      </w:r>
      <w:r w:rsidRPr="00434BB4">
        <w:rPr>
          <w:rFonts w:ascii="Arial" w:eastAsia="Calibri" w:hAnsi="Arial" w:cs="Arial"/>
          <w:color w:val="000000" w:themeColor="text1"/>
          <w:sz w:val="22"/>
          <w:lang w:val="es-ES_tradnl"/>
        </w:rPr>
        <w:t>, se unifican las fuentes de emprendimiento y de desarrollo empresarial, para fortalecer y promover los distintos sectores de la economía</w:t>
      </w:r>
      <w:r w:rsidRPr="00434BB4">
        <w:rPr>
          <w:rStyle w:val="Refdenotaalpie"/>
          <w:rFonts w:ascii="Arial" w:eastAsia="Calibri" w:hAnsi="Arial" w:cs="Arial"/>
          <w:color w:val="000000" w:themeColor="text1"/>
          <w:sz w:val="22"/>
          <w:lang w:val="es-ES_tradnl"/>
        </w:rPr>
        <w:footnoteReference w:id="4"/>
      </w:r>
      <w:r w:rsidRPr="00434BB4">
        <w:rPr>
          <w:rFonts w:ascii="Arial" w:eastAsia="Calibri" w:hAnsi="Arial" w:cs="Arial"/>
          <w:color w:val="000000" w:themeColor="text1"/>
          <w:sz w:val="22"/>
          <w:lang w:val="es-ES_tradnl"/>
        </w:rPr>
        <w:t xml:space="preserve"> y se prevén medidas de educación para el emprendimiento y la innovación</w:t>
      </w:r>
      <w:r w:rsidRPr="00434BB4">
        <w:rPr>
          <w:rStyle w:val="Refdenotaalpie"/>
          <w:rFonts w:ascii="Arial" w:eastAsia="Calibri" w:hAnsi="Arial" w:cs="Arial"/>
          <w:color w:val="000000" w:themeColor="text1"/>
          <w:sz w:val="22"/>
          <w:lang w:val="es-ES_tradnl"/>
        </w:rPr>
        <w:footnoteReference w:id="5"/>
      </w:r>
      <w:r w:rsidRPr="00434BB4">
        <w:rPr>
          <w:rFonts w:ascii="Arial" w:eastAsia="Calibri" w:hAnsi="Arial" w:cs="Arial"/>
          <w:color w:val="000000" w:themeColor="text1"/>
          <w:sz w:val="22"/>
          <w:lang w:val="es-ES_tradnl"/>
        </w:rPr>
        <w:t>.</w:t>
      </w:r>
    </w:p>
    <w:p w14:paraId="0523264F" w14:textId="77777777" w:rsidR="00D14890" w:rsidRPr="00434BB4" w:rsidRDefault="00D14890" w:rsidP="00BF0F70">
      <w:pPr>
        <w:spacing w:after="120"/>
        <w:ind w:firstLine="709"/>
        <w:rPr>
          <w:rFonts w:ascii="Arial" w:eastAsia="Calibri" w:hAnsi="Arial" w:cs="Arial"/>
          <w:color w:val="000000" w:themeColor="text1"/>
          <w:sz w:val="22"/>
          <w:lang w:val="es-ES_tradnl"/>
        </w:rPr>
      </w:pPr>
      <w:r w:rsidRPr="00434BB4">
        <w:rPr>
          <w:rFonts w:ascii="Arial" w:eastAsia="Calibri" w:hAnsi="Arial" w:cs="Arial"/>
          <w:color w:val="000000" w:themeColor="text1"/>
          <w:sz w:val="22"/>
          <w:lang w:val="es-ES_tradnl"/>
        </w:rPr>
        <w:t xml:space="preserve">La Ley 2069 de 2020 guarda </w:t>
      </w:r>
      <w:r w:rsidRPr="00434BB4">
        <w:rPr>
          <w:rFonts w:ascii="Arial" w:eastAsia="Calibri" w:hAnsi="Arial" w:cs="Arial"/>
          <w:bCs/>
          <w:color w:val="000000" w:themeColor="text1"/>
          <w:sz w:val="22"/>
          <w:lang w:val="es-ES_tradnl"/>
        </w:rPr>
        <w:t>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«Política de formalización empresarial» del Documento CONPES 3956 del 8 de enero de 2019</w:t>
      </w:r>
      <w:r w:rsidRPr="00434BB4">
        <w:rPr>
          <w:rStyle w:val="Refdenotaalpie"/>
          <w:rFonts w:ascii="Arial" w:eastAsia="Calibri" w:hAnsi="Arial" w:cs="Arial"/>
          <w:bCs/>
          <w:color w:val="000000" w:themeColor="text1"/>
          <w:sz w:val="22"/>
          <w:lang w:val="es-ES_tradnl"/>
        </w:rPr>
        <w:footnoteReference w:id="6"/>
      </w:r>
      <w:r w:rsidRPr="00434BB4">
        <w:rPr>
          <w:rFonts w:ascii="Arial" w:eastAsia="Calibri" w:hAnsi="Arial" w:cs="Arial"/>
          <w:bCs/>
          <w:color w:val="000000" w:themeColor="text1"/>
          <w:sz w:val="22"/>
          <w:lang w:val="es-ES_tradnl"/>
        </w:rPr>
        <w:t>.</w:t>
      </w:r>
    </w:p>
    <w:p w14:paraId="30815690" w14:textId="77777777" w:rsidR="00D14890" w:rsidRPr="00434BB4" w:rsidRDefault="00D14890" w:rsidP="00BF0F70">
      <w:pPr>
        <w:tabs>
          <w:tab w:val="left" w:pos="709"/>
        </w:tabs>
        <w:spacing w:after="120"/>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lastRenderedPageBreak/>
        <w:tab/>
        <w:t>Por ello, la ley impulsa medidas para 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434BB4">
        <w:rPr>
          <w:rStyle w:val="Refdenotaalpie"/>
          <w:rFonts w:ascii="Arial" w:eastAsia="Calibri" w:hAnsi="Arial" w:cs="Arial"/>
          <w:bCs/>
          <w:color w:val="000000" w:themeColor="text1"/>
          <w:sz w:val="22"/>
          <w:lang w:val="es-ES_tradnl"/>
        </w:rPr>
        <w:footnoteReference w:id="7"/>
      </w:r>
      <w:r w:rsidRPr="00434BB4">
        <w:rPr>
          <w:rFonts w:ascii="Arial" w:eastAsia="Calibri" w:hAnsi="Arial" w:cs="Arial"/>
          <w:bCs/>
          <w:color w:val="000000" w:themeColor="text1"/>
          <w:sz w:val="22"/>
          <w:lang w:val="es-ES_tradnl"/>
        </w:rPr>
        <w:t>.</w:t>
      </w:r>
    </w:p>
    <w:p w14:paraId="6CE2A6AD" w14:textId="66B8BFE8" w:rsidR="00D14890" w:rsidRPr="00434BB4" w:rsidRDefault="00D14890" w:rsidP="00BF0F70">
      <w:pPr>
        <w:spacing w:after="0"/>
        <w:ind w:firstLine="709"/>
        <w:rPr>
          <w:rFonts w:ascii="Arial" w:eastAsia="Calibri" w:hAnsi="Arial" w:cs="Arial"/>
          <w:color w:val="000000" w:themeColor="text1"/>
          <w:sz w:val="22"/>
          <w:lang w:val="es-ES_tradnl"/>
        </w:rPr>
      </w:pPr>
      <w:r w:rsidRPr="00434BB4">
        <w:rPr>
          <w:rFonts w:ascii="Arial" w:eastAsia="Calibri" w:hAnsi="Arial" w:cs="Arial"/>
          <w:color w:val="000000" w:themeColor="text1"/>
          <w:sz w:val="22"/>
          <w:lang w:val="es-ES_tradnl"/>
        </w:rPr>
        <w:t xml:space="preserve">Además, 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434BB4">
        <w:rPr>
          <w:rFonts w:ascii="Arial" w:eastAsia="Calibri" w:hAnsi="Arial" w:cs="Arial"/>
          <w:color w:val="000000" w:themeColor="text1"/>
          <w:sz w:val="22"/>
          <w:lang w:val="es-ES_tradnl"/>
        </w:rPr>
        <w:t>mipymes</w:t>
      </w:r>
      <w:proofErr w:type="spellEnd"/>
      <w:r w:rsidRPr="00434BB4">
        <w:rPr>
          <w:rFonts w:ascii="Arial" w:eastAsia="Calibri" w:hAnsi="Arial" w:cs="Arial"/>
          <w:color w:val="000000" w:themeColor="text1"/>
          <w:sz w:val="22"/>
          <w:lang w:val="es-ES_tradnl"/>
        </w:rPr>
        <w:t xml:space="preserve"> en el procedimiento de mínima cuantía, ii) criterios diferenciales para </w:t>
      </w:r>
      <w:proofErr w:type="spellStart"/>
      <w:r w:rsidRPr="00434BB4">
        <w:rPr>
          <w:rFonts w:ascii="Arial" w:eastAsia="Calibri" w:hAnsi="Arial" w:cs="Arial"/>
          <w:color w:val="000000" w:themeColor="text1"/>
          <w:sz w:val="22"/>
          <w:lang w:val="es-ES_tradnl"/>
        </w:rPr>
        <w:t>mipymes</w:t>
      </w:r>
      <w:proofErr w:type="spellEnd"/>
      <w:r w:rsidRPr="00434BB4">
        <w:rPr>
          <w:rFonts w:ascii="Arial" w:eastAsia="Calibri" w:hAnsi="Arial" w:cs="Arial"/>
          <w:color w:val="000000" w:themeColor="text1"/>
          <w:sz w:val="22"/>
          <w:lang w:val="es-ES_tradnl"/>
        </w:rPr>
        <w:t xml:space="preserve"> en el sistema de compras públicas, iii) criterios diferenciales para emprendimientos y empresas de mujeres en el sistema de compras públicas, iv) promoción del acceso de las </w:t>
      </w:r>
      <w:proofErr w:type="spellStart"/>
      <w:r w:rsidRPr="00434BB4">
        <w:rPr>
          <w:rFonts w:ascii="Arial" w:eastAsia="Calibri" w:hAnsi="Arial" w:cs="Arial"/>
          <w:color w:val="000000" w:themeColor="text1"/>
          <w:sz w:val="22"/>
          <w:lang w:val="es-ES_tradnl"/>
        </w:rPr>
        <w:t>mipymes</w:t>
      </w:r>
      <w:proofErr w:type="spellEnd"/>
      <w:r w:rsidRPr="00434BB4">
        <w:rPr>
          <w:rFonts w:ascii="Arial" w:eastAsia="Calibri" w:hAnsi="Arial" w:cs="Arial"/>
          <w:color w:val="000000" w:themeColor="text1"/>
          <w:sz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w:t>
      </w:r>
    </w:p>
    <w:p w14:paraId="4E212146" w14:textId="77777777" w:rsidR="00D14890" w:rsidRPr="00434BB4" w:rsidRDefault="00D14890" w:rsidP="00BF0F70">
      <w:pPr>
        <w:spacing w:after="0"/>
        <w:rPr>
          <w:rFonts w:ascii="Arial" w:hAnsi="Arial" w:cs="Arial"/>
          <w:sz w:val="22"/>
          <w:lang w:val="es-ES_tradnl"/>
        </w:rPr>
      </w:pPr>
    </w:p>
    <w:p w14:paraId="579C1890" w14:textId="17D84737" w:rsidR="00D14890" w:rsidRPr="00434BB4" w:rsidRDefault="00D14890" w:rsidP="00D14890">
      <w:pPr>
        <w:tabs>
          <w:tab w:val="left" w:pos="709"/>
        </w:tabs>
        <w:spacing w:after="0"/>
        <w:rPr>
          <w:rFonts w:ascii="Arial" w:eastAsia="Calibri" w:hAnsi="Arial" w:cs="Arial"/>
          <w:b/>
          <w:color w:val="000000" w:themeColor="text1"/>
          <w:sz w:val="22"/>
          <w:lang w:val="es-ES_tradnl"/>
        </w:rPr>
      </w:pPr>
      <w:r w:rsidRPr="00434BB4">
        <w:rPr>
          <w:rFonts w:ascii="Arial" w:eastAsia="Calibri" w:hAnsi="Arial" w:cs="Arial"/>
          <w:b/>
          <w:color w:val="000000" w:themeColor="text1"/>
          <w:sz w:val="22"/>
          <w:lang w:val="es-ES_tradnl"/>
        </w:rPr>
        <w:t>2.2. Intervención del reglamento para la efectividad de la Ley 2069 de 2020 en el sistema de compras públicas: la conclusión no es la misma frente a todos los artículos</w:t>
      </w:r>
    </w:p>
    <w:p w14:paraId="5F30D867" w14:textId="77777777" w:rsidR="00D14890" w:rsidRPr="00434BB4" w:rsidRDefault="00D14890" w:rsidP="00BF0F70">
      <w:pPr>
        <w:tabs>
          <w:tab w:val="left" w:pos="709"/>
        </w:tabs>
        <w:spacing w:after="0"/>
        <w:rPr>
          <w:rFonts w:ascii="Arial" w:eastAsia="Calibri" w:hAnsi="Arial" w:cs="Arial"/>
          <w:b/>
          <w:color w:val="000000" w:themeColor="text1"/>
          <w:sz w:val="22"/>
          <w:lang w:val="es-ES_tradnl"/>
        </w:rPr>
      </w:pPr>
    </w:p>
    <w:p w14:paraId="1A672EFF" w14:textId="77777777" w:rsidR="00D14890" w:rsidRPr="00434BB4" w:rsidRDefault="00D14890">
      <w:pPr>
        <w:tabs>
          <w:tab w:val="left" w:pos="709"/>
        </w:tabs>
        <w:spacing w:after="120"/>
        <w:rPr>
          <w:rFonts w:ascii="Arial" w:eastAsia="Calibri" w:hAnsi="Arial" w:cs="Arial"/>
          <w:bCs/>
          <w:color w:val="000000" w:themeColor="text1"/>
          <w:sz w:val="22"/>
          <w:lang w:val="es-ES_tradnl"/>
        </w:rPr>
      </w:pPr>
      <w:r w:rsidRPr="00434BB4">
        <w:rPr>
          <w:rFonts w:ascii="Arial" w:eastAsia="Calibri" w:hAnsi="Arial" w:cs="Arial"/>
          <w:color w:val="000000" w:themeColor="text1"/>
          <w:sz w:val="22"/>
          <w:lang w:val="es-ES_tradnl"/>
        </w:rPr>
        <w:t>En la Ley 2069 de 2020 la exigencia de reglamentación como condición de eficacia de su articulado es diversa, o sea, no es similar frente a todos sus enunciados normativos. En efecto, los artículos 31, 32, 34 y 36 de la Ley 2069 de 2020</w:t>
      </w:r>
      <w:r w:rsidRPr="00434BB4">
        <w:rPr>
          <w:rFonts w:ascii="Arial" w:eastAsia="Calibri" w:hAnsi="Arial" w:cs="Arial"/>
          <w:bCs/>
          <w:color w:val="000000" w:themeColor="text1"/>
          <w:sz w:val="22"/>
          <w:lang w:val="es-ES_tradnl"/>
        </w:rPr>
        <w:t xml:space="preserve"> disponen que el gobierno nacional reglamentará i) los criterios diferenciales para </w:t>
      </w:r>
      <w:proofErr w:type="spellStart"/>
      <w:r w:rsidRPr="00434BB4">
        <w:rPr>
          <w:rFonts w:ascii="Arial" w:eastAsia="Calibri" w:hAnsi="Arial" w:cs="Arial"/>
          <w:bCs/>
          <w:color w:val="000000" w:themeColor="text1"/>
          <w:sz w:val="22"/>
          <w:lang w:val="es-ES_tradnl"/>
        </w:rPr>
        <w:t>mipymes</w:t>
      </w:r>
      <w:proofErr w:type="spellEnd"/>
      <w:r w:rsidRPr="00434BB4">
        <w:rPr>
          <w:rFonts w:ascii="Arial" w:eastAsia="Calibri" w:hAnsi="Arial" w:cs="Arial"/>
          <w:bCs/>
          <w:color w:val="000000" w:themeColor="text1"/>
          <w:sz w:val="22"/>
          <w:lang w:val="es-ES_tradnl"/>
        </w:rPr>
        <w:t xml:space="preserve">, ii) la definición de «emprendimientos y empresas de mujeres», iii) las convocatorias limitadas a </w:t>
      </w:r>
      <w:proofErr w:type="spellStart"/>
      <w:r w:rsidRPr="00434BB4">
        <w:rPr>
          <w:rFonts w:ascii="Arial" w:eastAsia="Calibri" w:hAnsi="Arial" w:cs="Arial"/>
          <w:bCs/>
          <w:color w:val="000000" w:themeColor="text1"/>
          <w:sz w:val="22"/>
          <w:lang w:val="es-ES_tradnl"/>
        </w:rPr>
        <w:t>mipymes</w:t>
      </w:r>
      <w:proofErr w:type="spellEnd"/>
      <w:r w:rsidRPr="00434BB4">
        <w:rPr>
          <w:rFonts w:ascii="Arial" w:eastAsia="Calibri" w:hAnsi="Arial" w:cs="Arial"/>
          <w:bCs/>
          <w:color w:val="000000" w:themeColor="text1"/>
          <w:sz w:val="22"/>
          <w:lang w:val="es-ES_tradnl"/>
        </w:rPr>
        <w:t xml:space="preserve"> y el fomento en la ejecución de los contratos estatales por parte de sujetos de especial protección, así como iv) la promoción de las compras públicas de tecnología e innovación. En este contexto, es necesario analizar si las entidades pueden aplicar directamente las normas citadas o, por el contrario, si su efectividad está condicionada a la expedición del reglamento correspondiente. </w:t>
      </w:r>
    </w:p>
    <w:p w14:paraId="0382A895" w14:textId="77777777" w:rsidR="00D14890" w:rsidRPr="00434BB4" w:rsidRDefault="00D14890">
      <w:pPr>
        <w:tabs>
          <w:tab w:val="left" w:pos="709"/>
        </w:tabs>
        <w:spacing w:after="120"/>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lastRenderedPageBreak/>
        <w:tab/>
        <w:t xml:space="preserve">La respuesta a la inquietud planteada en el párrafo precedente es de enorme importancia por los efectos prácticos de ambas posiciones. Por un lado, quien opte por la </w:t>
      </w:r>
      <w:r w:rsidRPr="00434BB4">
        <w:rPr>
          <w:rFonts w:ascii="Arial" w:eastAsia="Calibri" w:hAnsi="Arial" w:cs="Arial"/>
          <w:bCs/>
          <w:i/>
          <w:iCs/>
          <w:color w:val="000000" w:themeColor="text1"/>
          <w:sz w:val="22"/>
          <w:lang w:val="es-ES_tradnl"/>
        </w:rPr>
        <w:t>tesis de la aplicación directa</w:t>
      </w:r>
      <w:r w:rsidRPr="00434BB4">
        <w:rPr>
          <w:rFonts w:ascii="Arial" w:eastAsia="Calibri" w:hAnsi="Arial" w:cs="Arial"/>
          <w:bCs/>
          <w:color w:val="000000" w:themeColor="text1"/>
          <w:sz w:val="22"/>
          <w:lang w:val="es-ES_tradnl"/>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 </w:t>
      </w:r>
    </w:p>
    <w:p w14:paraId="468A1B98" w14:textId="77777777" w:rsidR="00D14890" w:rsidRPr="00434BB4" w:rsidRDefault="00D14890">
      <w:pPr>
        <w:tabs>
          <w:tab w:val="left" w:pos="709"/>
        </w:tabs>
        <w:spacing w:after="120"/>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tab/>
        <w:t>De esta manera, a menor precisión de la ley, mayor es el campo de acción del reglamento: en este el funcionario competente tiene libertad para expedir o no las normas correspondientes. Por ello, la jurisprudencia explica que la competencia reglamentaria prevista en el artículo 189.11 superior también corresponde a un poder discrecional</w:t>
      </w:r>
      <w:r w:rsidRPr="00434BB4">
        <w:rPr>
          <w:rStyle w:val="Refdenotaalpie"/>
          <w:rFonts w:ascii="Arial" w:eastAsia="Calibri" w:hAnsi="Arial" w:cs="Arial"/>
          <w:bCs/>
          <w:color w:val="000000" w:themeColor="text1"/>
          <w:sz w:val="22"/>
          <w:lang w:val="es-ES_tradnl"/>
        </w:rPr>
        <w:footnoteReference w:id="8"/>
      </w:r>
      <w:r w:rsidRPr="00434BB4">
        <w:rPr>
          <w:rFonts w:ascii="Arial" w:eastAsia="Calibri" w:hAnsi="Arial" w:cs="Arial"/>
          <w:bCs/>
          <w:color w:val="000000" w:themeColor="text1"/>
          <w:sz w:val="22"/>
          <w:lang w:val="es-ES_tradnl"/>
        </w:rPr>
        <w:t>. En este contexto, si la expedición de reglamentos no es obligatoria, la ausencia de estos no excusa la inaplicación de la ley, pues contiene unos elementos mínimos que vinculan directamente a los destinatarios.</w:t>
      </w:r>
    </w:p>
    <w:p w14:paraId="3B516A4A" w14:textId="28590476" w:rsidR="00D14890" w:rsidRPr="00434BB4" w:rsidRDefault="00D14890">
      <w:pPr>
        <w:tabs>
          <w:tab w:val="left" w:pos="709"/>
        </w:tabs>
        <w:spacing w:after="120"/>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tab/>
        <w:t xml:space="preserve">Este es el caso de lo previsto en los artículos 30, 33 y 35 de la Ley de Emprendimiento. En relación con las </w:t>
      </w:r>
      <w:proofErr w:type="spellStart"/>
      <w:r w:rsidRPr="00434BB4">
        <w:rPr>
          <w:rFonts w:ascii="Arial" w:eastAsia="Calibri" w:hAnsi="Arial" w:cs="Arial"/>
          <w:bCs/>
          <w:color w:val="000000" w:themeColor="text1"/>
          <w:sz w:val="22"/>
          <w:lang w:val="es-ES_tradnl"/>
        </w:rPr>
        <w:t>mipymes</w:t>
      </w:r>
      <w:proofErr w:type="spellEnd"/>
      <w:r w:rsidRPr="00434BB4">
        <w:rPr>
          <w:rFonts w:ascii="Arial" w:eastAsia="Calibri" w:hAnsi="Arial" w:cs="Arial"/>
          <w:bCs/>
          <w:color w:val="000000" w:themeColor="text1"/>
          <w:sz w:val="22"/>
          <w:lang w:val="es-ES_tradnl"/>
        </w:rPr>
        <w:t xml:space="preserve"> y mínima cuantía, dado que el artículo 30 de la Ley 2069 de 2020 regula aspectos como i) el término mínimo para publicar la invitación, ii) el plazo mínimo de recepción de las ofertas, iii) el factor de evaluación que define la selección del proponente y iv) el perfeccionamiento del contrato, las entidades deben estructurar sus procedimientos de selección de acuerdo con estos parámetros, los cuales tienen una aplicación inmediata sin que el reglamento condicione la vigencia de la mínima cuantía. Esto sin perjuicio de que el Gobierno Nacional, conforme a lo dispuesto en el parágrafo 1 </w:t>
      </w:r>
      <w:r w:rsidRPr="00434BB4">
        <w:rPr>
          <w:rFonts w:ascii="Arial" w:eastAsia="Calibri" w:hAnsi="Arial" w:cs="Arial"/>
          <w:bCs/>
          <w:i/>
          <w:iCs/>
          <w:color w:val="000000" w:themeColor="text1"/>
          <w:sz w:val="22"/>
          <w:lang w:val="es-ES_tradnl"/>
        </w:rPr>
        <w:t>ibidem</w:t>
      </w:r>
      <w:r w:rsidRPr="00434BB4">
        <w:rPr>
          <w:rFonts w:ascii="Arial" w:eastAsia="Calibri" w:hAnsi="Arial" w:cs="Arial"/>
          <w:bCs/>
          <w:color w:val="000000" w:themeColor="text1"/>
          <w:sz w:val="22"/>
          <w:lang w:val="es-ES_tradnl"/>
        </w:rPr>
        <w:t xml:space="preserve">, ejerza la potestad reglamentaria para regular tanto las particularidades del procedimiento de selección como la posibilidad de realizar estas adquisiciones a </w:t>
      </w:r>
      <w:proofErr w:type="spellStart"/>
      <w:r w:rsidRPr="00434BB4">
        <w:rPr>
          <w:rFonts w:ascii="Arial" w:eastAsia="Calibri" w:hAnsi="Arial" w:cs="Arial"/>
          <w:bCs/>
          <w:color w:val="000000" w:themeColor="text1"/>
          <w:sz w:val="22"/>
          <w:lang w:val="es-ES_tradnl"/>
        </w:rPr>
        <w:t>mipymes</w:t>
      </w:r>
      <w:proofErr w:type="spellEnd"/>
      <w:r w:rsidRPr="00434BB4">
        <w:rPr>
          <w:rFonts w:ascii="Arial" w:eastAsia="Calibri" w:hAnsi="Arial" w:cs="Arial"/>
          <w:bCs/>
          <w:color w:val="000000" w:themeColor="text1"/>
          <w:sz w:val="22"/>
          <w:lang w:val="es-ES_tradnl"/>
        </w:rPr>
        <w:t xml:space="preserve"> o establecimientos que correspondan a la definición de «gran almacén», aspectos en la que la norma excluye la regulación autónoma de la materia por parte de las entidades contratantes</w:t>
      </w:r>
      <w:r w:rsidR="00BF6E40" w:rsidRPr="00434BB4">
        <w:rPr>
          <w:rFonts w:ascii="Arial" w:eastAsia="Calibri" w:hAnsi="Arial" w:cs="Arial"/>
          <w:bCs/>
          <w:color w:val="000000" w:themeColor="text1"/>
          <w:sz w:val="22"/>
          <w:lang w:val="es-ES_tradnl"/>
        </w:rPr>
        <w:t xml:space="preserve">, </w:t>
      </w:r>
      <w:r w:rsidR="002210B9" w:rsidRPr="00434BB4">
        <w:rPr>
          <w:rFonts w:ascii="Arial" w:eastAsia="Calibri" w:hAnsi="Arial" w:cs="Arial"/>
          <w:bCs/>
          <w:color w:val="000000" w:themeColor="text1"/>
          <w:sz w:val="22"/>
          <w:lang w:val="es-ES_tradnl"/>
        </w:rPr>
        <w:t xml:space="preserve">aclarando que esta </w:t>
      </w:r>
      <w:r w:rsidR="00BF6E40" w:rsidRPr="00434BB4">
        <w:rPr>
          <w:rFonts w:ascii="Arial" w:eastAsia="Calibri" w:hAnsi="Arial" w:cs="Arial"/>
          <w:bCs/>
          <w:color w:val="000000" w:themeColor="text1"/>
          <w:sz w:val="22"/>
          <w:lang w:val="es-ES_tradnl"/>
        </w:rPr>
        <w:t xml:space="preserve">regulación se efectuó mediante el Decreto 1860 del 24 de diciembre de 2021, pero cuyas modificaciones, </w:t>
      </w:r>
      <w:r w:rsidR="00BF6E40" w:rsidRPr="00434BB4">
        <w:rPr>
          <w:rFonts w:ascii="Arial" w:eastAsia="Calibri" w:hAnsi="Arial" w:cs="Arial"/>
          <w:color w:val="000000" w:themeColor="text1"/>
          <w:sz w:val="22"/>
          <w:lang w:val="es-ES_tradnl"/>
        </w:rPr>
        <w:t>de acuerdo con su artículo 8, solo «aplicarán a los procedimientos de selección cuya invitación, aviso de convocatoria o documento equivalente se publique a los tres (3) meses contados a partir de su expedición», esto es, a partir del 24 de marzo de 202</w:t>
      </w:r>
      <w:r w:rsidR="00B408BE" w:rsidRPr="00434BB4">
        <w:rPr>
          <w:rFonts w:ascii="Arial" w:eastAsia="Calibri" w:hAnsi="Arial" w:cs="Arial"/>
          <w:color w:val="000000" w:themeColor="text1"/>
          <w:sz w:val="22"/>
          <w:lang w:val="es-ES_tradnl"/>
        </w:rPr>
        <w:t>2</w:t>
      </w:r>
      <w:r w:rsidR="00BF6E40" w:rsidRPr="00434BB4">
        <w:rPr>
          <w:rFonts w:ascii="Arial" w:eastAsia="Calibri" w:hAnsi="Arial" w:cs="Arial"/>
          <w:color w:val="000000" w:themeColor="text1"/>
          <w:sz w:val="22"/>
          <w:lang w:val="es-ES_tradnl"/>
        </w:rPr>
        <w:t>, aspecto que se analizará en el desarrollo del concepto</w:t>
      </w:r>
      <w:r w:rsidR="00432867" w:rsidRPr="00434BB4">
        <w:rPr>
          <w:rFonts w:ascii="Arial" w:eastAsia="Calibri" w:hAnsi="Arial" w:cs="Arial"/>
          <w:color w:val="000000" w:themeColor="text1"/>
          <w:sz w:val="22"/>
          <w:lang w:val="es-ES_tradnl"/>
        </w:rPr>
        <w:t>.</w:t>
      </w:r>
    </w:p>
    <w:p w14:paraId="3D676B14" w14:textId="77777777" w:rsidR="00D14890" w:rsidRPr="00434BB4" w:rsidRDefault="00D14890">
      <w:pPr>
        <w:spacing w:after="120"/>
        <w:rPr>
          <w:rFonts w:ascii="Arial" w:hAnsi="Arial" w:cs="Arial"/>
          <w:sz w:val="22"/>
          <w:lang w:val="es-ES_tradnl"/>
        </w:rPr>
      </w:pPr>
      <w:r w:rsidRPr="00434BB4">
        <w:rPr>
          <w:rFonts w:ascii="Arial" w:eastAsia="Calibri" w:hAnsi="Arial" w:cs="Arial"/>
          <w:bCs/>
          <w:color w:val="000000" w:themeColor="text1"/>
          <w:sz w:val="22"/>
          <w:lang w:val="es-ES_tradnl"/>
        </w:rPr>
        <w:lastRenderedPageBreak/>
        <w:tab/>
        <w:t xml:space="preserve">En lo que se refiere a la promoción del acceso de las </w:t>
      </w:r>
      <w:proofErr w:type="spellStart"/>
      <w:r w:rsidRPr="00434BB4">
        <w:rPr>
          <w:rFonts w:ascii="Arial" w:eastAsia="Calibri" w:hAnsi="Arial" w:cs="Arial"/>
          <w:bCs/>
          <w:color w:val="000000" w:themeColor="text1"/>
          <w:sz w:val="22"/>
          <w:lang w:val="es-ES_tradnl"/>
        </w:rPr>
        <w:t>mipymes</w:t>
      </w:r>
      <w:proofErr w:type="spellEnd"/>
      <w:r w:rsidRPr="00434BB4">
        <w:rPr>
          <w:rFonts w:ascii="Arial" w:eastAsia="Calibri" w:hAnsi="Arial" w:cs="Arial"/>
          <w:bCs/>
          <w:color w:val="000000" w:themeColor="text1"/>
          <w:sz w:val="22"/>
          <w:lang w:val="es-ES_tradnl"/>
        </w:rPr>
        <w:t xml:space="preserve"> al mercado de compras públicas, la legislación consagra una serie de deberes que deben cumplir los destinatarios en su gestión contractual. Aunque el alcance de estas obligaciones puede delimitarse por otras leyes o reglamentos, lo importante es que el artículo 33 consagra elementos mínimos que las entidades deben acatar so pena de una causal de mala conducta. </w:t>
      </w:r>
      <w:r w:rsidRPr="00434BB4">
        <w:rPr>
          <w:rFonts w:ascii="Arial" w:hAnsi="Arial" w:cs="Arial"/>
          <w:sz w:val="22"/>
          <w:lang w:val="es-ES_tradnl"/>
        </w:rPr>
        <w:t xml:space="preserve">Por tanto, conforme al marco normativo que regule el acceso de las </w:t>
      </w:r>
      <w:proofErr w:type="spellStart"/>
      <w:r w:rsidRPr="00434BB4">
        <w:rPr>
          <w:rFonts w:ascii="Arial" w:hAnsi="Arial" w:cs="Arial"/>
          <w:sz w:val="22"/>
          <w:lang w:val="es-ES_tradnl"/>
        </w:rPr>
        <w:t>mipymes</w:t>
      </w:r>
      <w:proofErr w:type="spellEnd"/>
      <w:r w:rsidRPr="00434BB4">
        <w:rPr>
          <w:rFonts w:ascii="Arial" w:hAnsi="Arial" w:cs="Arial"/>
          <w:sz w:val="22"/>
          <w:lang w:val="es-ES_tradnl"/>
        </w:rPr>
        <w:t xml:space="preserve"> al mercado de compras públicas, las entidades deberán adoptar las medidas necesarias para el acatamiento de esta disposición.</w:t>
      </w:r>
    </w:p>
    <w:p w14:paraId="4383C212" w14:textId="5C41868B" w:rsidR="00D14890" w:rsidRPr="00434BB4" w:rsidRDefault="00D14890">
      <w:pPr>
        <w:tabs>
          <w:tab w:val="left" w:pos="709"/>
        </w:tabs>
        <w:spacing w:after="120"/>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tab/>
        <w:t>Igualmente, respecto a los factores de desempate, se encuentra que los mismos se elevaron a rango de ley, por lo que ni el reglamento ni el pliego de condiciones pueden modificarlos, adicionarlos o suprimirlos. En este sentido, las causales del artículo 35 son obligatorias en los procedimientos de selección de las entidades sometidas al Estatuto General, las entidades exceptuadas de la Ley 80 de 1993 y los patrimonios autónomos</w:t>
      </w:r>
      <w:r w:rsidR="00730134" w:rsidRPr="00434BB4">
        <w:rPr>
          <w:rFonts w:ascii="Arial" w:eastAsia="Calibri" w:hAnsi="Arial" w:cs="Arial"/>
          <w:bCs/>
          <w:color w:val="000000" w:themeColor="text1"/>
          <w:sz w:val="22"/>
          <w:lang w:val="es-ES_tradnl"/>
        </w:rPr>
        <w:t xml:space="preserve"> constituidos por Entidades Estatales</w:t>
      </w:r>
      <w:r w:rsidRPr="00434BB4">
        <w:rPr>
          <w:rFonts w:ascii="Arial" w:eastAsia="Calibri" w:hAnsi="Arial" w:cs="Arial"/>
          <w:bCs/>
          <w:color w:val="000000" w:themeColor="text1"/>
          <w:sz w:val="22"/>
          <w:lang w:val="es-ES_tradnl"/>
        </w:rPr>
        <w:t xml:space="preserve">. De esta manera, sin perjuicio de lo dispuesto en el parágrafo 3 para los casos en que concurren dos o más de los factores de desempate, no requiere de una reglamentación previa para su exigibilidad. </w:t>
      </w:r>
    </w:p>
    <w:p w14:paraId="487B9718" w14:textId="6EC49CD8" w:rsidR="00D14890" w:rsidRPr="00434BB4" w:rsidRDefault="00D14890">
      <w:pPr>
        <w:tabs>
          <w:tab w:val="left" w:pos="709"/>
        </w:tabs>
        <w:spacing w:after="120"/>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tab/>
        <w:t xml:space="preserve">Ahora bien, la relación entre estas dos (2) fuentes del derecho es totalmente diferente en la </w:t>
      </w:r>
      <w:r w:rsidRPr="00434BB4">
        <w:rPr>
          <w:rFonts w:ascii="Arial" w:eastAsia="Calibri" w:hAnsi="Arial" w:cs="Arial"/>
          <w:bCs/>
          <w:i/>
          <w:iCs/>
          <w:color w:val="000000" w:themeColor="text1"/>
          <w:sz w:val="22"/>
          <w:lang w:val="es-ES_tradnl"/>
        </w:rPr>
        <w:t>tesis de la reglamentación</w:t>
      </w:r>
      <w:r w:rsidRPr="00434BB4">
        <w:rPr>
          <w:rFonts w:ascii="Arial" w:eastAsia="Calibri" w:hAnsi="Arial" w:cs="Arial"/>
          <w:bCs/>
          <w:color w:val="000000" w:themeColor="text1"/>
          <w:sz w:val="22"/>
          <w:lang w:val="es-ES_tradnl"/>
        </w:rPr>
        <w:t>.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 Este el caso de los</w:t>
      </w:r>
      <w:r w:rsidRPr="00434BB4">
        <w:rPr>
          <w:rFonts w:ascii="Arial" w:eastAsia="Calibri" w:hAnsi="Arial" w:cs="Arial"/>
          <w:color w:val="000000" w:themeColor="text1"/>
          <w:sz w:val="22"/>
          <w:lang w:val="es-ES_tradnl"/>
        </w:rPr>
        <w:t xml:space="preserve"> artículos 31, 32, 34 y 36 de la Ley de Emprendimiento</w:t>
      </w:r>
      <w:r w:rsidRPr="00434BB4">
        <w:rPr>
          <w:rFonts w:ascii="Arial" w:eastAsia="Calibri" w:hAnsi="Arial" w:cs="Arial"/>
          <w:bCs/>
          <w:color w:val="000000" w:themeColor="text1"/>
          <w:sz w:val="22"/>
          <w:lang w:val="es-ES_tradnl"/>
        </w:rPr>
        <w:t xml:space="preserve">. </w:t>
      </w:r>
    </w:p>
    <w:p w14:paraId="48605DD1" w14:textId="77777777" w:rsidR="00D14890" w:rsidRPr="00434BB4" w:rsidRDefault="00D14890">
      <w:pPr>
        <w:tabs>
          <w:tab w:val="left" w:pos="709"/>
        </w:tabs>
        <w:spacing w:after="120"/>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tab/>
        <w:t>En efecto, estas disposiciones contienen un mandato de reglamentación que debe acatar el Gobierno Nacional</w:t>
      </w:r>
      <w:r w:rsidRPr="00434BB4">
        <w:rPr>
          <w:rStyle w:val="Refdenotaalpie"/>
          <w:rFonts w:ascii="Arial" w:eastAsia="Calibri" w:hAnsi="Arial" w:cs="Arial"/>
          <w:bCs/>
          <w:color w:val="000000" w:themeColor="text1"/>
          <w:sz w:val="22"/>
          <w:lang w:val="es-ES_tradnl"/>
        </w:rPr>
        <w:footnoteReference w:id="9"/>
      </w:r>
      <w:r w:rsidRPr="00434BB4">
        <w:rPr>
          <w:rFonts w:ascii="Arial" w:eastAsia="Calibri" w:hAnsi="Arial" w:cs="Arial"/>
          <w:bCs/>
          <w:color w:val="000000" w:themeColor="text1"/>
          <w:sz w:val="22"/>
          <w:lang w:val="es-ES_tradnl"/>
        </w:rPr>
        <w:t xml:space="preserve">. Sin el decreto la ley es inaplicable, porque delega en una fuente de inferior jerarquía la definición de los aspectos relevantes para efectividad de los </w:t>
      </w:r>
      <w:r w:rsidRPr="00434BB4">
        <w:rPr>
          <w:rFonts w:ascii="Arial" w:eastAsia="Calibri" w:hAnsi="Arial" w:cs="Arial"/>
          <w:bCs/>
          <w:color w:val="000000" w:themeColor="text1"/>
          <w:sz w:val="22"/>
          <w:lang w:val="es-ES_tradnl"/>
        </w:rPr>
        <w:lastRenderedPageBreak/>
        <w:t xml:space="preserve">mandatos contenidos en la misma. En estos casos, la omisión reglamentaria genera una </w:t>
      </w:r>
      <w:r w:rsidRPr="00434BB4">
        <w:rPr>
          <w:rFonts w:ascii="Arial" w:eastAsia="Calibri" w:hAnsi="Arial" w:cs="Arial"/>
          <w:bCs/>
          <w:i/>
          <w:iCs/>
          <w:color w:val="000000" w:themeColor="text1"/>
          <w:sz w:val="22"/>
          <w:lang w:val="es-ES_tradnl"/>
        </w:rPr>
        <w:t>laguna técnica</w:t>
      </w:r>
      <w:r w:rsidRPr="00434BB4">
        <w:rPr>
          <w:rFonts w:ascii="Arial" w:eastAsia="Calibri" w:hAnsi="Arial" w:cs="Arial"/>
          <w:bCs/>
          <w:color w:val="000000" w:themeColor="text1"/>
          <w:sz w:val="22"/>
          <w:lang w:val="es-ES_tradnl"/>
        </w:rPr>
        <w:t>, la cual se produce «[…] cuando falta en [el ordenamiento] una norma cuya existencia es condición necesaria para la eficacia (y/o para la efectividad) de otra norma. Sucede por tanto que una norma no puede producir efectos jurídicos (y/o no puede ser obedecida o aplicada) en ausencia de otras normas que […] la concreten» (Corchetes fuera de texto)</w:t>
      </w:r>
      <w:r w:rsidRPr="00434BB4">
        <w:rPr>
          <w:rStyle w:val="Refdenotaalpie"/>
          <w:rFonts w:ascii="Arial" w:eastAsia="Calibri" w:hAnsi="Arial" w:cs="Arial"/>
          <w:bCs/>
          <w:color w:val="000000" w:themeColor="text1"/>
          <w:sz w:val="22"/>
          <w:lang w:val="es-ES_tradnl"/>
        </w:rPr>
        <w:footnoteReference w:id="10"/>
      </w:r>
      <w:r w:rsidRPr="00434BB4">
        <w:rPr>
          <w:rFonts w:ascii="Arial" w:eastAsia="Calibri" w:hAnsi="Arial" w:cs="Arial"/>
          <w:bCs/>
          <w:color w:val="000000" w:themeColor="text1"/>
          <w:sz w:val="22"/>
          <w:lang w:val="es-ES_tradnl"/>
        </w:rPr>
        <w:t>.</w:t>
      </w:r>
    </w:p>
    <w:p w14:paraId="33FBFC8F" w14:textId="77777777" w:rsidR="00D14890" w:rsidRPr="00434BB4" w:rsidRDefault="00D14890">
      <w:pPr>
        <w:tabs>
          <w:tab w:val="left" w:pos="709"/>
        </w:tabs>
        <w:spacing w:after="120"/>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tab/>
        <w:t xml:space="preserve">Este tipo de lagunas no son ajenas a la contratación estatal, ya que –conforme a los antecedentes de la consulta– el procedimiento para la cesión unilateral del contrato del artículo 9 de la Ley 2014 de 2019 también estaba condicionado por su reglamentación previa en los términos del parágrafo 2 </w:t>
      </w:r>
      <w:r w:rsidRPr="00434BB4">
        <w:rPr>
          <w:rFonts w:ascii="Arial" w:eastAsia="Calibri" w:hAnsi="Arial" w:cs="Arial"/>
          <w:bCs/>
          <w:i/>
          <w:iCs/>
          <w:color w:val="000000" w:themeColor="text1"/>
          <w:sz w:val="22"/>
          <w:lang w:val="es-ES_tradnl"/>
        </w:rPr>
        <w:t>ibidem</w:t>
      </w:r>
      <w:r w:rsidRPr="00434BB4">
        <w:rPr>
          <w:rFonts w:ascii="Arial" w:eastAsia="Calibri" w:hAnsi="Arial" w:cs="Arial"/>
          <w:bCs/>
          <w:color w:val="000000" w:themeColor="text1"/>
          <w:sz w:val="22"/>
          <w:lang w:val="es-ES_tradnl"/>
        </w:rPr>
        <w:t xml:space="preserve"> antes de su declaratoria de inconstitucionalidad</w:t>
      </w:r>
      <w:r w:rsidRPr="00434BB4">
        <w:rPr>
          <w:rStyle w:val="Refdenotaalpie"/>
          <w:rFonts w:ascii="Arial" w:eastAsia="Calibri" w:hAnsi="Arial" w:cs="Arial"/>
          <w:bCs/>
          <w:color w:val="000000" w:themeColor="text1"/>
          <w:sz w:val="22"/>
          <w:lang w:val="es-ES_tradnl"/>
        </w:rPr>
        <w:footnoteReference w:id="11"/>
      </w:r>
      <w:r w:rsidRPr="00434BB4">
        <w:rPr>
          <w:rFonts w:ascii="Arial" w:eastAsia="Calibri" w:hAnsi="Arial" w:cs="Arial"/>
          <w:bCs/>
          <w:color w:val="000000" w:themeColor="text1"/>
          <w:sz w:val="22"/>
          <w:lang w:val="es-ES_tradnl"/>
        </w:rPr>
        <w:t>. Para llegar a esta conclusión, es necesario tener en cuenta que las normas jurídicas, por regla general, producen efectos a partir de su promulgación o publicación. De allí se derivan principios tales como la irretroactividad de la ley y su efecto general inmediato</w:t>
      </w:r>
      <w:r w:rsidRPr="00434BB4">
        <w:rPr>
          <w:rStyle w:val="Refdenotaalpie"/>
          <w:rFonts w:ascii="Arial" w:eastAsia="Calibri" w:hAnsi="Arial" w:cs="Arial"/>
          <w:bCs/>
          <w:color w:val="000000" w:themeColor="text1"/>
          <w:sz w:val="22"/>
          <w:lang w:val="es-ES_tradnl"/>
        </w:rPr>
        <w:footnoteReference w:id="12"/>
      </w:r>
      <w:r w:rsidRPr="00434BB4">
        <w:rPr>
          <w:rFonts w:ascii="Arial" w:eastAsia="Calibri" w:hAnsi="Arial" w:cs="Arial"/>
          <w:bCs/>
          <w:color w:val="000000" w:themeColor="text1"/>
          <w:sz w:val="22"/>
          <w:lang w:val="es-ES_tradnl"/>
        </w:rPr>
        <w:t xml:space="preserve">. </w:t>
      </w:r>
    </w:p>
    <w:p w14:paraId="6514C76C" w14:textId="36A80245" w:rsidR="00D14890" w:rsidRPr="00434BB4" w:rsidRDefault="00D14890">
      <w:pPr>
        <w:spacing w:after="120"/>
        <w:ind w:firstLine="709"/>
        <w:rPr>
          <w:rFonts w:ascii="Arial" w:eastAsia="Calibri" w:hAnsi="Arial" w:cs="Arial"/>
          <w:color w:val="000000" w:themeColor="text1"/>
          <w:sz w:val="22"/>
          <w:lang w:val="es-ES_tradnl"/>
        </w:rPr>
      </w:pPr>
      <w:r w:rsidRPr="00434BB4">
        <w:rPr>
          <w:rFonts w:ascii="Arial" w:eastAsia="Calibri" w:hAnsi="Arial" w:cs="Arial"/>
          <w:color w:val="000000" w:themeColor="text1"/>
          <w:sz w:val="22"/>
          <w:lang w:val="es-ES_tradnl"/>
        </w:rPr>
        <w:t xml:space="preserve">Sin embargo, las leyes pueden modular sus efectos en el tiempo y establecer para el inicio de su entrada en vigor un plazo o una condición. Ejemplo de una norma que establece un plazo es la Ley 1952 de 2019, por medio de la cual se expide el Código Disciplinario Único, cuyo artículo 265 disponía «la presente ley entrará a regir cuatro meses después de su sanción y publicación». El artículo 140 de la Ley 1955 de 2019 prorrogó </w:t>
      </w:r>
      <w:r w:rsidRPr="00434BB4">
        <w:rPr>
          <w:rFonts w:ascii="Arial" w:eastAsia="Calibri" w:hAnsi="Arial" w:cs="Arial"/>
          <w:color w:val="000000" w:themeColor="text1"/>
          <w:sz w:val="22"/>
          <w:lang w:val="es-ES_tradnl"/>
        </w:rPr>
        <w:lastRenderedPageBreak/>
        <w:t>este plazo hasta el 1 de julio de 2021</w:t>
      </w:r>
      <w:r w:rsidR="003B67A4" w:rsidRPr="00434BB4">
        <w:rPr>
          <w:rFonts w:ascii="Arial" w:eastAsia="Calibri" w:hAnsi="Arial" w:cs="Arial"/>
          <w:color w:val="000000" w:themeColor="text1"/>
          <w:sz w:val="22"/>
          <w:lang w:val="es-ES_tradnl"/>
        </w:rPr>
        <w:t xml:space="preserve"> y el artículo</w:t>
      </w:r>
      <w:r w:rsidR="00826682" w:rsidRPr="00434BB4">
        <w:rPr>
          <w:rFonts w:ascii="Arial" w:eastAsia="Calibri" w:hAnsi="Arial" w:cs="Arial"/>
          <w:color w:val="000000" w:themeColor="text1"/>
          <w:sz w:val="22"/>
          <w:lang w:val="es-ES_tradnl"/>
        </w:rPr>
        <w:t xml:space="preserve"> 265</w:t>
      </w:r>
      <w:r w:rsidR="003B67A4" w:rsidRPr="00434BB4">
        <w:rPr>
          <w:rFonts w:ascii="Arial" w:eastAsia="Calibri" w:hAnsi="Arial" w:cs="Arial"/>
          <w:color w:val="000000" w:themeColor="text1"/>
          <w:sz w:val="22"/>
          <w:lang w:val="es-ES_tradnl"/>
        </w:rPr>
        <w:t xml:space="preserve"> de la Ley 2094 de 2021 volvió a prorrogarlo hasta el 22 de marzo de 2022.</w:t>
      </w:r>
      <w:r w:rsidR="006D7173" w:rsidRPr="00434BB4">
        <w:rPr>
          <w:rFonts w:ascii="Arial" w:eastAsia="Calibri" w:hAnsi="Arial" w:cs="Arial"/>
          <w:color w:val="000000" w:themeColor="text1"/>
          <w:sz w:val="22"/>
          <w:lang w:val="es-ES_tradnl"/>
        </w:rPr>
        <w:t xml:space="preserve"> </w:t>
      </w:r>
    </w:p>
    <w:p w14:paraId="69337364" w14:textId="77777777" w:rsidR="00D14890" w:rsidRPr="00434BB4" w:rsidRDefault="00D14890" w:rsidP="00BF0F70">
      <w:pPr>
        <w:spacing w:after="0"/>
        <w:ind w:firstLine="709"/>
        <w:rPr>
          <w:rFonts w:ascii="Arial" w:eastAsia="Calibri" w:hAnsi="Arial" w:cs="Arial"/>
          <w:color w:val="000000" w:themeColor="text1"/>
          <w:sz w:val="22"/>
          <w:lang w:val="es-ES_tradnl"/>
        </w:rPr>
      </w:pPr>
      <w:r w:rsidRPr="00434BB4">
        <w:rPr>
          <w:rFonts w:ascii="Arial" w:eastAsia="Calibri" w:hAnsi="Arial" w:cs="Arial"/>
          <w:color w:val="000000" w:themeColor="text1"/>
          <w:sz w:val="22"/>
          <w:lang w:val="es-ES_tradnl"/>
        </w:rPr>
        <w:t xml:space="preserve">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 pero esas normas no podían aplicarse hasta que no se cumpliera la condición: la expedición del reglamento. Sobre este asunto, es preciso llamar la atención sobre la jurisprudencia. Al respecto, el Consejo de Estado considera que: </w:t>
      </w:r>
    </w:p>
    <w:p w14:paraId="75DEB883" w14:textId="77777777" w:rsidR="00D14890" w:rsidRPr="00434BB4" w:rsidRDefault="00D14890" w:rsidP="00BF0F70">
      <w:pPr>
        <w:shd w:val="clear" w:color="auto" w:fill="FFFFFF"/>
        <w:spacing w:after="0"/>
        <w:ind w:left="709" w:right="760"/>
        <w:rPr>
          <w:rFonts w:ascii="Arial" w:eastAsia="Calibri" w:hAnsi="Arial" w:cs="Arial"/>
          <w:color w:val="000000" w:themeColor="text1"/>
          <w:sz w:val="22"/>
          <w:lang w:val="es-ES_tradnl"/>
        </w:rPr>
      </w:pPr>
    </w:p>
    <w:p w14:paraId="7C597D16" w14:textId="77777777" w:rsidR="00D14890" w:rsidRPr="00434BB4" w:rsidRDefault="00D14890" w:rsidP="00BF0F70">
      <w:pPr>
        <w:shd w:val="clear" w:color="auto" w:fill="FFFFFF"/>
        <w:spacing w:after="0" w:line="240" w:lineRule="auto"/>
        <w:ind w:left="709" w:right="760"/>
        <w:rPr>
          <w:rFonts w:ascii="Arial" w:eastAsia="Calibri" w:hAnsi="Arial" w:cs="Arial"/>
          <w:color w:val="000000" w:themeColor="text1"/>
          <w:sz w:val="21"/>
          <w:szCs w:val="21"/>
          <w:lang w:val="es-ES_tradnl"/>
        </w:rPr>
      </w:pPr>
      <w:r w:rsidRPr="00434BB4">
        <w:rPr>
          <w:rFonts w:ascii="Arial" w:eastAsia="Calibri" w:hAnsi="Arial" w:cs="Arial"/>
          <w:color w:val="000000" w:themeColor="text1"/>
          <w:sz w:val="21"/>
          <w:szCs w:val="21"/>
          <w:lang w:val="es-ES_tradnl"/>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434BB4">
        <w:rPr>
          <w:rStyle w:val="Refdenotaalpie"/>
          <w:rFonts w:ascii="Arial" w:eastAsia="Calibri" w:hAnsi="Arial" w:cs="Arial"/>
          <w:color w:val="000000" w:themeColor="text1"/>
          <w:sz w:val="21"/>
          <w:szCs w:val="21"/>
          <w:lang w:val="es-ES_tradnl"/>
        </w:rPr>
        <w:footnoteReference w:id="13"/>
      </w:r>
      <w:r w:rsidRPr="00434BB4">
        <w:rPr>
          <w:rFonts w:ascii="Arial" w:eastAsia="Calibri" w:hAnsi="Arial" w:cs="Arial"/>
          <w:color w:val="000000" w:themeColor="text1"/>
          <w:sz w:val="21"/>
          <w:szCs w:val="21"/>
          <w:lang w:val="es-ES_tradnl"/>
        </w:rPr>
        <w:t>.</w:t>
      </w:r>
    </w:p>
    <w:p w14:paraId="1020ACCE" w14:textId="77777777" w:rsidR="00D14890" w:rsidRPr="00434BB4" w:rsidRDefault="00D14890" w:rsidP="00BF0F70">
      <w:pPr>
        <w:shd w:val="clear" w:color="auto" w:fill="FFFFFF"/>
        <w:spacing w:after="0"/>
        <w:ind w:left="709" w:right="760"/>
        <w:rPr>
          <w:rFonts w:ascii="Arial" w:eastAsia="Calibri" w:hAnsi="Arial" w:cs="Arial"/>
          <w:color w:val="000000" w:themeColor="text1"/>
          <w:sz w:val="22"/>
          <w:lang w:val="es-ES_tradnl"/>
        </w:rPr>
      </w:pPr>
    </w:p>
    <w:p w14:paraId="50921F65" w14:textId="77777777" w:rsidR="00D14890" w:rsidRPr="00434BB4" w:rsidRDefault="00D14890" w:rsidP="00D14890">
      <w:pPr>
        <w:shd w:val="clear" w:color="auto" w:fill="FFFFFF"/>
        <w:spacing w:after="120"/>
        <w:ind w:right="51" w:firstLine="709"/>
        <w:rPr>
          <w:rFonts w:ascii="Arial" w:eastAsia="Calibri" w:hAnsi="Arial" w:cs="Arial"/>
          <w:color w:val="000000" w:themeColor="text1"/>
          <w:sz w:val="22"/>
          <w:lang w:val="es-ES_tradnl"/>
        </w:rPr>
      </w:pPr>
      <w:r w:rsidRPr="00434BB4">
        <w:rPr>
          <w:rFonts w:ascii="Arial" w:eastAsia="Calibri" w:hAnsi="Arial" w:cs="Arial"/>
          <w:color w:val="000000" w:themeColor="text1"/>
          <w:sz w:val="22"/>
          <w:lang w:val="es-ES_tradnl"/>
        </w:rPr>
        <w:t xml:space="preserve">La referencia hecha en una ley a que el gobierno nacional reglamentará la materia indica que el reglamento es indispensable para el cumplimiento de </w:t>
      </w:r>
      <w:proofErr w:type="gramStart"/>
      <w:r w:rsidRPr="00434BB4">
        <w:rPr>
          <w:rFonts w:ascii="Arial" w:eastAsia="Calibri" w:hAnsi="Arial" w:cs="Arial"/>
          <w:color w:val="000000" w:themeColor="text1"/>
          <w:sz w:val="22"/>
          <w:lang w:val="es-ES_tradnl"/>
        </w:rPr>
        <w:t>la misma</w:t>
      </w:r>
      <w:proofErr w:type="gramEnd"/>
      <w:r w:rsidRPr="00434BB4">
        <w:rPr>
          <w:rFonts w:ascii="Arial" w:eastAsia="Calibri" w:hAnsi="Arial" w:cs="Arial"/>
          <w:color w:val="000000" w:themeColor="text1"/>
          <w:sz w:val="22"/>
          <w:lang w:val="es-ES_tradnl"/>
        </w:rPr>
        <w:t xml:space="preserve">. Naturalmente, este reconocimiento no siempre implica que la ley está sometida a condición para </w:t>
      </w:r>
      <w:proofErr w:type="gramStart"/>
      <w:r w:rsidRPr="00434BB4">
        <w:rPr>
          <w:rFonts w:ascii="Arial" w:eastAsia="Calibri" w:hAnsi="Arial" w:cs="Arial"/>
          <w:color w:val="000000" w:themeColor="text1"/>
          <w:sz w:val="22"/>
          <w:lang w:val="es-ES_tradnl"/>
        </w:rPr>
        <w:t>entrar en vigencia</w:t>
      </w:r>
      <w:proofErr w:type="gramEnd"/>
      <w:r w:rsidRPr="00434BB4">
        <w:rPr>
          <w:rFonts w:ascii="Arial" w:eastAsia="Calibri" w:hAnsi="Arial" w:cs="Arial"/>
          <w:color w:val="000000" w:themeColor="text1"/>
          <w:sz w:val="22"/>
          <w:lang w:val="es-ES_tradnl"/>
        </w:rPr>
        <w:t>; pero cuando ello se analiza con otros elementos que obran en este sentido, como los antecedentes legislativos, es posible utilizar la referencia al reglamento como una prueba de que la ley moduló sus efectos en el tiempo y se encuentra sometida a condición.</w:t>
      </w:r>
    </w:p>
    <w:p w14:paraId="10CB4740" w14:textId="77777777" w:rsidR="00D14890" w:rsidRPr="00434BB4" w:rsidRDefault="00D14890" w:rsidP="00D14890">
      <w:pPr>
        <w:shd w:val="clear" w:color="auto" w:fill="FFFFFF"/>
        <w:spacing w:after="120"/>
        <w:ind w:right="51" w:firstLine="709"/>
        <w:rPr>
          <w:rFonts w:ascii="Arial" w:eastAsia="Calibri" w:hAnsi="Arial" w:cs="Arial"/>
          <w:bCs/>
          <w:color w:val="000000" w:themeColor="text1"/>
          <w:sz w:val="22"/>
          <w:lang w:val="es-ES_tradnl"/>
        </w:rPr>
      </w:pPr>
      <w:r w:rsidRPr="00434BB4">
        <w:rPr>
          <w:rFonts w:ascii="Arial" w:eastAsia="Calibri" w:hAnsi="Arial" w:cs="Arial"/>
          <w:color w:val="000000" w:themeColor="text1"/>
          <w:sz w:val="22"/>
          <w:lang w:val="es-ES_tradnl"/>
        </w:rPr>
        <w:t xml:space="preserve">En tal sentido, el Congreso de la República dispuso la expedición de un decreto reglamentario para detallar el contenido los artículos 31, 32, 34 y 36 de la Ley 2069 de 2020. Por ello, en ausencia de desarrollo normativo posterior existe una </w:t>
      </w:r>
      <w:r w:rsidRPr="00434BB4">
        <w:rPr>
          <w:rFonts w:ascii="Arial" w:eastAsia="Calibri" w:hAnsi="Arial" w:cs="Arial"/>
          <w:i/>
          <w:iCs/>
          <w:color w:val="000000" w:themeColor="text1"/>
          <w:sz w:val="22"/>
          <w:lang w:val="es-ES_tradnl"/>
        </w:rPr>
        <w:t>laguna técnica</w:t>
      </w:r>
      <w:r w:rsidRPr="00434BB4">
        <w:rPr>
          <w:rFonts w:ascii="Arial" w:eastAsia="Calibri" w:hAnsi="Arial" w:cs="Arial"/>
          <w:color w:val="000000" w:themeColor="text1"/>
          <w:sz w:val="22"/>
          <w:lang w:val="es-ES_tradnl"/>
        </w:rPr>
        <w:t xml:space="preserve"> que impide aplicar estas disposiciones</w:t>
      </w:r>
      <w:r w:rsidRPr="00434BB4">
        <w:rPr>
          <w:rFonts w:ascii="Arial" w:eastAsia="Calibri" w:hAnsi="Arial" w:cs="Arial"/>
          <w:bCs/>
          <w:color w:val="000000" w:themeColor="text1"/>
          <w:sz w:val="22"/>
          <w:lang w:val="es-ES_tradnl"/>
        </w:rPr>
        <w:t xml:space="preserve">. En este caso, la necesidad de la reglamentación previa también deriva de los antecedentes legislativos. En lo pertinente, el texto inicial de los artículos 15 y 17 del Proyecto de Ley No. 122 de 2020 disponía que la necesidad del reglamento en lo relacionado con i) los criterios diferenciales para </w:t>
      </w:r>
      <w:proofErr w:type="spellStart"/>
      <w:r w:rsidRPr="00434BB4">
        <w:rPr>
          <w:rFonts w:ascii="Arial" w:eastAsia="Calibri" w:hAnsi="Arial" w:cs="Arial"/>
          <w:bCs/>
          <w:color w:val="000000" w:themeColor="text1"/>
          <w:sz w:val="22"/>
          <w:lang w:val="es-ES_tradnl"/>
        </w:rPr>
        <w:t>mipymes</w:t>
      </w:r>
      <w:proofErr w:type="spellEnd"/>
      <w:r w:rsidRPr="00434BB4">
        <w:rPr>
          <w:rFonts w:ascii="Arial" w:eastAsia="Calibri" w:hAnsi="Arial" w:cs="Arial"/>
          <w:bCs/>
          <w:color w:val="000000" w:themeColor="text1"/>
          <w:sz w:val="22"/>
          <w:lang w:val="es-ES_tradnl"/>
        </w:rPr>
        <w:t xml:space="preserve"> y ii) las </w:t>
      </w:r>
      <w:r w:rsidRPr="00434BB4">
        <w:rPr>
          <w:rFonts w:ascii="Arial" w:eastAsia="Calibri" w:hAnsi="Arial" w:cs="Arial"/>
          <w:bCs/>
          <w:color w:val="000000" w:themeColor="text1"/>
          <w:sz w:val="22"/>
          <w:lang w:val="es-ES_tradnl"/>
        </w:rPr>
        <w:lastRenderedPageBreak/>
        <w:t xml:space="preserve">convocatorias limitadas a </w:t>
      </w:r>
      <w:proofErr w:type="spellStart"/>
      <w:r w:rsidRPr="00434BB4">
        <w:rPr>
          <w:rFonts w:ascii="Arial" w:eastAsia="Calibri" w:hAnsi="Arial" w:cs="Arial"/>
          <w:bCs/>
          <w:color w:val="000000" w:themeColor="text1"/>
          <w:sz w:val="22"/>
          <w:lang w:val="es-ES_tradnl"/>
        </w:rPr>
        <w:t>mipymes</w:t>
      </w:r>
      <w:proofErr w:type="spellEnd"/>
      <w:r w:rsidRPr="00434BB4">
        <w:rPr>
          <w:rFonts w:ascii="Arial" w:eastAsia="Calibri" w:hAnsi="Arial" w:cs="Arial"/>
          <w:bCs/>
          <w:color w:val="000000" w:themeColor="text1"/>
          <w:sz w:val="22"/>
          <w:lang w:val="es-ES_tradnl"/>
        </w:rPr>
        <w:t>, así como el fomento en la ejecución de los contratos estatales por parte de sujetos de especial protección</w:t>
      </w:r>
      <w:r w:rsidRPr="00434BB4">
        <w:rPr>
          <w:rStyle w:val="Refdenotaalpie"/>
          <w:rFonts w:ascii="Arial" w:eastAsia="Calibri" w:hAnsi="Arial" w:cs="Arial"/>
          <w:bCs/>
          <w:color w:val="000000" w:themeColor="text1"/>
          <w:sz w:val="22"/>
          <w:lang w:val="es-ES_tradnl"/>
        </w:rPr>
        <w:footnoteReference w:id="14"/>
      </w:r>
      <w:r w:rsidRPr="00434BB4">
        <w:rPr>
          <w:rFonts w:ascii="Arial" w:eastAsia="Calibri" w:hAnsi="Arial" w:cs="Arial"/>
          <w:bCs/>
          <w:color w:val="000000" w:themeColor="text1"/>
          <w:sz w:val="22"/>
          <w:lang w:val="es-ES_tradnl"/>
        </w:rPr>
        <w:t xml:space="preserve">. </w:t>
      </w:r>
    </w:p>
    <w:p w14:paraId="617928C1" w14:textId="5281D616" w:rsidR="00D14890" w:rsidRPr="00434BB4" w:rsidRDefault="00D14890" w:rsidP="00D14890">
      <w:pPr>
        <w:shd w:val="clear" w:color="auto" w:fill="FFFFFF"/>
        <w:spacing w:after="120"/>
        <w:ind w:right="51" w:firstLine="709"/>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t xml:space="preserve">Como puede verificarse en las Gacetas del Congreso No. 1334 del 18 de noviembre de 2020 y 1389 de 14 de diciembre de 2020, además de que –para el segundo debate– el artículo 24 dispuso que la definición de «emprendimientos y empresas de mujeres» correspondería al reglamento, el artículo 36 del texto conciliado incluye lo propio para las compras públicas de tecnología e innovación. Incluso, tratándose de </w:t>
      </w:r>
      <w:r w:rsidRPr="00434BB4">
        <w:rPr>
          <w:rFonts w:ascii="Arial" w:eastAsia="Calibri" w:hAnsi="Arial" w:cs="Arial"/>
          <w:color w:val="000000" w:themeColor="text1"/>
          <w:sz w:val="22"/>
          <w:lang w:val="es-ES_tradnl"/>
        </w:rPr>
        <w:t>los artículos 31, 32, 34 y 36 de la Ley 2069 de 2020</w:t>
      </w:r>
      <w:r w:rsidRPr="00434BB4">
        <w:rPr>
          <w:rFonts w:ascii="Arial" w:eastAsia="Calibri" w:hAnsi="Arial" w:cs="Arial"/>
          <w:bCs/>
          <w:color w:val="000000" w:themeColor="text1"/>
          <w:sz w:val="22"/>
          <w:lang w:val="es-ES_tradnl"/>
        </w:rPr>
        <w:t xml:space="preserve"> la remisión al reglamento es razonable y está justificada, pues si eventualmente la concreción de estos aspectos se dejara a la discrecionalidad de las entidades contratantes, generaría un clima de inseguridad e incertidumbre para los interesados en acceder al sistema de compras públicas. Desde esta perspectiva, la exigencia de la reglamentación tiene pretensiones unificadoras.</w:t>
      </w:r>
      <w:r w:rsidR="006D7173" w:rsidRPr="00434BB4">
        <w:rPr>
          <w:rFonts w:ascii="Arial" w:eastAsia="Calibri" w:hAnsi="Arial" w:cs="Arial"/>
          <w:bCs/>
          <w:color w:val="000000" w:themeColor="text1"/>
          <w:sz w:val="22"/>
          <w:lang w:val="es-ES_tradnl"/>
        </w:rPr>
        <w:t xml:space="preserve">  </w:t>
      </w:r>
    </w:p>
    <w:p w14:paraId="001D7166" w14:textId="77777777" w:rsidR="00D14890" w:rsidRPr="00434BB4" w:rsidRDefault="00D14890" w:rsidP="00D14890">
      <w:pPr>
        <w:shd w:val="clear" w:color="auto" w:fill="FFFFFF"/>
        <w:spacing w:after="120"/>
        <w:ind w:right="51" w:firstLine="709"/>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t>Por tanto, si bien en principio el ejercicio de la potestad reglamentaria es discrecional, esta puede ser excepcionalmente obligatoria para efectividad de la ley. Por ejemplo, para la doctrina esto último sucede cuando «[…] la necesidad del reglamento es inminente, y así nace desde la norma que confiere la potestad reglamentaria […]»</w:t>
      </w:r>
      <w:r w:rsidRPr="00434BB4">
        <w:rPr>
          <w:rStyle w:val="Refdenotaalpie"/>
          <w:rFonts w:ascii="Arial" w:eastAsia="Calibri" w:hAnsi="Arial" w:cs="Arial"/>
          <w:bCs/>
          <w:color w:val="000000" w:themeColor="text1"/>
          <w:sz w:val="22"/>
          <w:lang w:val="es-ES_tradnl"/>
        </w:rPr>
        <w:footnoteReference w:id="15"/>
      </w:r>
      <w:r w:rsidRPr="00434BB4">
        <w:rPr>
          <w:rFonts w:ascii="Arial" w:eastAsia="Calibri" w:hAnsi="Arial" w:cs="Arial"/>
          <w:bCs/>
          <w:color w:val="000000" w:themeColor="text1"/>
          <w:sz w:val="22"/>
          <w:lang w:val="es-ES_tradnl"/>
        </w:rPr>
        <w:t>. En este tipo de situaciones, «[…] las autoridades no tienen -ni tuvieron- la posibilidad de escoger entre expedir el acto o dejar de hacerlo. Es decir, se trata de una potestad reglada, desde el punto de vista de la necesidad de la actuación»</w:t>
      </w:r>
      <w:r w:rsidRPr="00434BB4">
        <w:rPr>
          <w:rStyle w:val="Refdenotaalpie"/>
          <w:rFonts w:ascii="Arial" w:eastAsia="Calibri" w:hAnsi="Arial" w:cs="Arial"/>
          <w:bCs/>
          <w:color w:val="000000" w:themeColor="text1"/>
          <w:sz w:val="22"/>
          <w:lang w:val="es-ES_tradnl"/>
        </w:rPr>
        <w:footnoteReference w:id="16"/>
      </w:r>
      <w:r w:rsidRPr="00434BB4">
        <w:rPr>
          <w:rFonts w:ascii="Arial" w:eastAsia="Calibri" w:hAnsi="Arial" w:cs="Arial"/>
          <w:bCs/>
          <w:color w:val="000000" w:themeColor="text1"/>
          <w:sz w:val="22"/>
          <w:lang w:val="es-ES_tradnl"/>
        </w:rPr>
        <w:t>.</w:t>
      </w:r>
    </w:p>
    <w:p w14:paraId="0493FE25" w14:textId="3FDE94EA" w:rsidR="00D14890" w:rsidRPr="00434BB4" w:rsidRDefault="00D14890" w:rsidP="00BF0F70">
      <w:pPr>
        <w:shd w:val="clear" w:color="auto" w:fill="FFFFFF"/>
        <w:spacing w:after="0"/>
        <w:ind w:right="51" w:firstLine="709"/>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t xml:space="preserve">Así las cosas, es posible afirmar que, en </w:t>
      </w:r>
      <w:r w:rsidRPr="00434BB4">
        <w:rPr>
          <w:rFonts w:ascii="Arial" w:eastAsia="Calibri" w:hAnsi="Arial" w:cs="Arial"/>
          <w:color w:val="000000" w:themeColor="text1"/>
          <w:sz w:val="22"/>
          <w:lang w:val="es-ES_tradnl"/>
        </w:rPr>
        <w:t>los artículos 31, 32, 34 y 36</w:t>
      </w:r>
      <w:r w:rsidRPr="00434BB4">
        <w:rPr>
          <w:rFonts w:ascii="Arial" w:eastAsia="Calibri" w:hAnsi="Arial" w:cs="Arial"/>
          <w:bCs/>
          <w:color w:val="000000" w:themeColor="text1"/>
          <w:sz w:val="22"/>
          <w:lang w:val="es-ES_tradnl"/>
        </w:rPr>
        <w:t xml:space="preserve">, el Congreso de la República reconoce la necesidad de un reglamento para el efectivo cumplimiento de la </w:t>
      </w:r>
      <w:r w:rsidRPr="00434BB4">
        <w:rPr>
          <w:rFonts w:ascii="Arial" w:eastAsia="Calibri" w:hAnsi="Arial" w:cs="Arial"/>
          <w:color w:val="000000" w:themeColor="text1"/>
          <w:sz w:val="22"/>
          <w:lang w:val="es-ES_tradnl"/>
        </w:rPr>
        <w:t>Ley 2069 de 2020</w:t>
      </w:r>
      <w:r w:rsidRPr="00434BB4">
        <w:rPr>
          <w:rFonts w:ascii="Arial" w:eastAsia="Calibri" w:hAnsi="Arial" w:cs="Arial"/>
          <w:bCs/>
          <w:color w:val="000000" w:themeColor="text1"/>
          <w:sz w:val="22"/>
          <w:lang w:val="es-ES_tradnl"/>
        </w:rPr>
        <w:t xml:space="preserve">,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w:t>
      </w:r>
      <w:proofErr w:type="spellStart"/>
      <w:r w:rsidRPr="00434BB4">
        <w:rPr>
          <w:rFonts w:ascii="Arial" w:eastAsia="Calibri" w:hAnsi="Arial" w:cs="Arial"/>
          <w:bCs/>
          <w:color w:val="000000" w:themeColor="text1"/>
          <w:sz w:val="22"/>
          <w:lang w:val="es-ES_tradnl"/>
        </w:rPr>
        <w:t>mipymes</w:t>
      </w:r>
      <w:proofErr w:type="spellEnd"/>
      <w:r w:rsidRPr="00434BB4">
        <w:rPr>
          <w:rFonts w:ascii="Arial" w:eastAsia="Calibri" w:hAnsi="Arial" w:cs="Arial"/>
          <w:bCs/>
          <w:color w:val="000000" w:themeColor="text1"/>
          <w:sz w:val="22"/>
          <w:lang w:val="es-ES_tradnl"/>
        </w:rPr>
        <w:t xml:space="preserve">, ii) la definición de «emprendimientos y empresas de mujeres», iii) las convocatorias limitadas a </w:t>
      </w:r>
      <w:proofErr w:type="spellStart"/>
      <w:r w:rsidRPr="00434BB4">
        <w:rPr>
          <w:rFonts w:ascii="Arial" w:eastAsia="Calibri" w:hAnsi="Arial" w:cs="Arial"/>
          <w:bCs/>
          <w:color w:val="000000" w:themeColor="text1"/>
          <w:sz w:val="22"/>
          <w:lang w:val="es-ES_tradnl"/>
        </w:rPr>
        <w:t>mipymes</w:t>
      </w:r>
      <w:proofErr w:type="spellEnd"/>
      <w:r w:rsidRPr="00434BB4">
        <w:rPr>
          <w:rFonts w:ascii="Arial" w:eastAsia="Calibri" w:hAnsi="Arial" w:cs="Arial"/>
          <w:bCs/>
          <w:color w:val="000000" w:themeColor="text1"/>
          <w:sz w:val="22"/>
          <w:lang w:val="es-ES_tradnl"/>
        </w:rPr>
        <w:t xml:space="preserve"> y el fomento en la ejecución de los contratos estatales por parte de sujetos de especial protección, así como iv) la promoción de las compras públicas de tecnología e innovación.</w:t>
      </w:r>
      <w:r w:rsidR="00C52881" w:rsidRPr="00434BB4">
        <w:rPr>
          <w:rFonts w:ascii="Arial" w:eastAsia="Calibri" w:hAnsi="Arial" w:cs="Arial"/>
          <w:bCs/>
          <w:color w:val="000000" w:themeColor="text1"/>
          <w:sz w:val="22"/>
          <w:lang w:val="es-ES_tradnl"/>
        </w:rPr>
        <w:t xml:space="preserve"> Actualmente, dicha reglamentación se efectuó, en lo que tiene relación con los artículos 30, 31, 32, 34 y 35 de la Ley 2069 de 2020, mediante el reciente Decreto 1860 </w:t>
      </w:r>
      <w:r w:rsidR="00C52881" w:rsidRPr="00434BB4">
        <w:rPr>
          <w:rFonts w:ascii="Arial" w:eastAsia="Calibri" w:hAnsi="Arial" w:cs="Arial"/>
          <w:bCs/>
          <w:color w:val="000000" w:themeColor="text1"/>
          <w:sz w:val="22"/>
          <w:lang w:val="es-ES_tradnl"/>
        </w:rPr>
        <w:lastRenderedPageBreak/>
        <w:t xml:space="preserve">del 24 de diciembre de 2021; sin embargo, dichas </w:t>
      </w:r>
      <w:r w:rsidR="00EB1312" w:rsidRPr="00434BB4">
        <w:rPr>
          <w:rFonts w:ascii="Arial" w:eastAsia="Calibri" w:hAnsi="Arial" w:cs="Arial"/>
          <w:bCs/>
          <w:color w:val="000000" w:themeColor="text1"/>
          <w:sz w:val="22"/>
          <w:lang w:val="es-ES_tradnl"/>
        </w:rPr>
        <w:t>disposiciones</w:t>
      </w:r>
      <w:r w:rsidR="00C52881" w:rsidRPr="00434BB4">
        <w:rPr>
          <w:rFonts w:ascii="Arial" w:eastAsia="Calibri" w:hAnsi="Arial" w:cs="Arial"/>
          <w:bCs/>
          <w:color w:val="000000" w:themeColor="text1"/>
          <w:sz w:val="22"/>
          <w:lang w:val="es-ES_tradnl"/>
        </w:rPr>
        <w:t xml:space="preserve">, </w:t>
      </w:r>
      <w:r w:rsidR="00C52881" w:rsidRPr="00434BB4">
        <w:rPr>
          <w:rFonts w:ascii="Arial" w:eastAsia="Calibri" w:hAnsi="Arial" w:cs="Arial"/>
          <w:color w:val="000000" w:themeColor="text1"/>
          <w:sz w:val="22"/>
          <w:lang w:val="es-ES_tradnl"/>
        </w:rPr>
        <w:t>de acuerdo con su artículo 8, solo «aplicarán a los procedimientos de selección cuya invitación, aviso de convocatoria o documento equivalente se publique a los tres (3) meses contados a partir de su expedición», esto es, a partir del 24 de marzo de 202</w:t>
      </w:r>
      <w:r w:rsidR="00B408BE" w:rsidRPr="00434BB4">
        <w:rPr>
          <w:rFonts w:ascii="Arial" w:eastAsia="Calibri" w:hAnsi="Arial" w:cs="Arial"/>
          <w:color w:val="000000" w:themeColor="text1"/>
          <w:sz w:val="22"/>
          <w:lang w:val="es-ES_tradnl"/>
        </w:rPr>
        <w:t>2</w:t>
      </w:r>
      <w:r w:rsidR="00C52881" w:rsidRPr="00434BB4">
        <w:rPr>
          <w:rFonts w:ascii="Arial" w:eastAsia="Calibri" w:hAnsi="Arial" w:cs="Arial"/>
          <w:color w:val="000000" w:themeColor="text1"/>
          <w:sz w:val="22"/>
          <w:lang w:val="es-ES_tradnl"/>
        </w:rPr>
        <w:t>, aspecto que se analizará en el desarrollo del concepto</w:t>
      </w:r>
      <w:r w:rsidR="00EB1312" w:rsidRPr="00434BB4">
        <w:rPr>
          <w:rFonts w:ascii="Arial" w:eastAsia="Calibri" w:hAnsi="Arial" w:cs="Arial"/>
          <w:color w:val="000000" w:themeColor="text1"/>
          <w:sz w:val="22"/>
          <w:lang w:val="es-ES_tradnl"/>
        </w:rPr>
        <w:t xml:space="preserve">. A diferencia de lo anterior, </w:t>
      </w:r>
      <w:r w:rsidR="00EB1312" w:rsidRPr="00434BB4">
        <w:rPr>
          <w:rFonts w:ascii="Arial" w:eastAsia="Calibri" w:hAnsi="Arial" w:cs="Arial"/>
          <w:bCs/>
          <w:color w:val="000000" w:themeColor="text1"/>
          <w:sz w:val="22"/>
          <w:lang w:val="es-ES_tradnl"/>
        </w:rPr>
        <w:t>es necesario analizar con mayor detalle lo relacionado con el</w:t>
      </w:r>
      <w:r w:rsidRPr="00434BB4">
        <w:rPr>
          <w:rFonts w:ascii="Arial" w:eastAsia="Calibri" w:hAnsi="Arial" w:cs="Arial"/>
          <w:bCs/>
          <w:color w:val="000000" w:themeColor="text1"/>
          <w:sz w:val="22"/>
          <w:lang w:val="es-ES_tradnl"/>
        </w:rPr>
        <w:t xml:space="preserve"> artículo 30 de la Ley 2069 de 2020, porque, como se explicará a continuación, esta norma </w:t>
      </w:r>
      <w:r w:rsidR="00EB1312" w:rsidRPr="00434BB4">
        <w:rPr>
          <w:rFonts w:ascii="Arial" w:eastAsia="Calibri" w:hAnsi="Arial" w:cs="Arial"/>
          <w:bCs/>
          <w:color w:val="000000" w:themeColor="text1"/>
          <w:sz w:val="22"/>
          <w:lang w:val="es-ES_tradnl"/>
        </w:rPr>
        <w:t xml:space="preserve">ha </w:t>
      </w:r>
      <w:r w:rsidRPr="00434BB4">
        <w:rPr>
          <w:rFonts w:ascii="Arial" w:eastAsia="Calibri" w:hAnsi="Arial" w:cs="Arial"/>
          <w:bCs/>
          <w:color w:val="000000" w:themeColor="text1"/>
          <w:sz w:val="22"/>
          <w:lang w:val="es-ES_tradnl"/>
        </w:rPr>
        <w:t>goza</w:t>
      </w:r>
      <w:r w:rsidR="00EB1312" w:rsidRPr="00434BB4">
        <w:rPr>
          <w:rFonts w:ascii="Arial" w:eastAsia="Calibri" w:hAnsi="Arial" w:cs="Arial"/>
          <w:bCs/>
          <w:color w:val="000000" w:themeColor="text1"/>
          <w:sz w:val="22"/>
          <w:lang w:val="es-ES_tradnl"/>
        </w:rPr>
        <w:t>do</w:t>
      </w:r>
      <w:r w:rsidRPr="00434BB4">
        <w:rPr>
          <w:rFonts w:ascii="Arial" w:eastAsia="Calibri" w:hAnsi="Arial" w:cs="Arial"/>
          <w:bCs/>
          <w:color w:val="000000" w:themeColor="text1"/>
          <w:sz w:val="22"/>
          <w:lang w:val="es-ES_tradnl"/>
        </w:rPr>
        <w:t xml:space="preserve"> de eficacia directa, sin perjuicio de </w:t>
      </w:r>
      <w:r w:rsidR="00C52881" w:rsidRPr="00434BB4">
        <w:rPr>
          <w:rFonts w:ascii="Arial" w:eastAsia="Calibri" w:hAnsi="Arial" w:cs="Arial"/>
          <w:bCs/>
          <w:color w:val="000000" w:themeColor="text1"/>
          <w:sz w:val="22"/>
          <w:lang w:val="es-ES_tradnl"/>
        </w:rPr>
        <w:t>la reglamentación por parte del Gobierno Nacional</w:t>
      </w:r>
      <w:r w:rsidRPr="00434BB4">
        <w:rPr>
          <w:rFonts w:ascii="Arial" w:eastAsia="Calibri" w:hAnsi="Arial" w:cs="Arial"/>
          <w:bCs/>
          <w:color w:val="000000" w:themeColor="text1"/>
          <w:sz w:val="22"/>
          <w:lang w:val="es-ES_tradnl"/>
        </w:rPr>
        <w:t>.</w:t>
      </w:r>
    </w:p>
    <w:p w14:paraId="3C898BBD" w14:textId="77777777" w:rsidR="00D14890" w:rsidRPr="00434BB4" w:rsidRDefault="00D14890" w:rsidP="00BF0F70">
      <w:pPr>
        <w:spacing w:after="0"/>
        <w:rPr>
          <w:rFonts w:ascii="Arial" w:hAnsi="Arial" w:cs="Arial"/>
          <w:sz w:val="22"/>
          <w:lang w:val="es-ES_tradnl"/>
        </w:rPr>
      </w:pPr>
    </w:p>
    <w:p w14:paraId="5C7369A9" w14:textId="5903A75A" w:rsidR="00D14890" w:rsidRPr="00434BB4" w:rsidRDefault="00D14890" w:rsidP="00D14890">
      <w:pPr>
        <w:tabs>
          <w:tab w:val="left" w:pos="709"/>
        </w:tabs>
        <w:spacing w:after="0"/>
        <w:rPr>
          <w:rFonts w:ascii="Arial" w:eastAsia="Calibri" w:hAnsi="Arial" w:cs="Arial"/>
          <w:b/>
          <w:i/>
          <w:iCs/>
          <w:color w:val="000000" w:themeColor="text1"/>
          <w:sz w:val="22"/>
          <w:lang w:val="es-ES_tradnl"/>
        </w:rPr>
      </w:pPr>
      <w:r w:rsidRPr="00434BB4">
        <w:rPr>
          <w:rFonts w:ascii="Arial" w:eastAsia="Calibri" w:hAnsi="Arial" w:cs="Arial"/>
          <w:b/>
          <w:color w:val="000000" w:themeColor="text1"/>
          <w:sz w:val="22"/>
          <w:lang w:val="es-ES_tradnl"/>
        </w:rPr>
        <w:t>2.3. Eficacia directa del artículo 30 de la Ley 2069 de 2020</w:t>
      </w:r>
      <w:bookmarkStart w:id="6" w:name="_Hlk69580086"/>
      <w:r w:rsidRPr="00434BB4">
        <w:rPr>
          <w:rFonts w:ascii="Arial" w:eastAsia="Calibri" w:hAnsi="Arial" w:cs="Arial"/>
          <w:b/>
          <w:color w:val="000000" w:themeColor="text1"/>
          <w:sz w:val="22"/>
          <w:lang w:val="es-ES_tradnl"/>
        </w:rPr>
        <w:t>: regulación de la mínima cuantía y vigencia del procedimiento previsto en el Decreto 1082 de 2015</w:t>
      </w:r>
      <w:r w:rsidR="00B02214" w:rsidRPr="00434BB4">
        <w:rPr>
          <w:rFonts w:ascii="Arial" w:eastAsia="Calibri" w:hAnsi="Arial" w:cs="Arial"/>
          <w:b/>
          <w:color w:val="000000" w:themeColor="text1"/>
          <w:sz w:val="22"/>
          <w:lang w:val="es-ES_tradnl"/>
        </w:rPr>
        <w:t>, antes de la modificación realizada por el Decreto 1860 del 24 de diciembre de 2021</w:t>
      </w:r>
      <w:bookmarkEnd w:id="6"/>
    </w:p>
    <w:p w14:paraId="18B50C90" w14:textId="77777777" w:rsidR="00D14890" w:rsidRPr="00434BB4" w:rsidRDefault="00D14890" w:rsidP="00BF0F70">
      <w:pPr>
        <w:tabs>
          <w:tab w:val="left" w:pos="709"/>
        </w:tabs>
        <w:spacing w:after="0"/>
        <w:rPr>
          <w:rFonts w:ascii="Arial" w:eastAsia="Calibri" w:hAnsi="Arial" w:cs="Arial"/>
          <w:bCs/>
          <w:color w:val="000000" w:themeColor="text1"/>
          <w:sz w:val="22"/>
          <w:lang w:val="es-ES_tradnl"/>
        </w:rPr>
      </w:pPr>
    </w:p>
    <w:p w14:paraId="2CD4621A" w14:textId="392D26FE" w:rsidR="000D7279" w:rsidRPr="00434BB4" w:rsidRDefault="001547C6">
      <w:pPr>
        <w:tabs>
          <w:tab w:val="left" w:pos="709"/>
        </w:tabs>
        <w:spacing w:after="120"/>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t xml:space="preserve">Con la finalidad de explicar el régimen jurídico vigente aplicable a la modalidad de mínima cuantía, en este numeral se hará referencia a las normas del Decreto 1082 de 2015 que rigen la mínima cuantía, antes de la reciente </w:t>
      </w:r>
      <w:r w:rsidR="00903EB8" w:rsidRPr="00434BB4">
        <w:rPr>
          <w:rFonts w:ascii="Arial" w:eastAsia="Calibri" w:hAnsi="Arial" w:cs="Arial"/>
          <w:bCs/>
          <w:color w:val="000000" w:themeColor="text1"/>
          <w:sz w:val="22"/>
          <w:lang w:val="es-ES_tradnl"/>
        </w:rPr>
        <w:t>expedición</w:t>
      </w:r>
      <w:r w:rsidRPr="00434BB4">
        <w:rPr>
          <w:rFonts w:ascii="Arial" w:eastAsia="Calibri" w:hAnsi="Arial" w:cs="Arial"/>
          <w:bCs/>
          <w:color w:val="000000" w:themeColor="text1"/>
          <w:sz w:val="22"/>
          <w:lang w:val="es-ES_tradnl"/>
        </w:rPr>
        <w:t xml:space="preserve"> </w:t>
      </w:r>
      <w:r w:rsidR="00903EB8" w:rsidRPr="00434BB4">
        <w:rPr>
          <w:rFonts w:ascii="Arial" w:eastAsia="Calibri" w:hAnsi="Arial" w:cs="Arial"/>
          <w:bCs/>
          <w:color w:val="000000" w:themeColor="text1"/>
          <w:sz w:val="22"/>
          <w:lang w:val="es-ES_tradnl"/>
        </w:rPr>
        <w:t>d</w:t>
      </w:r>
      <w:r w:rsidRPr="00434BB4">
        <w:rPr>
          <w:rFonts w:ascii="Arial" w:eastAsia="Calibri" w:hAnsi="Arial" w:cs="Arial"/>
          <w:bCs/>
          <w:color w:val="000000" w:themeColor="text1"/>
          <w:sz w:val="22"/>
          <w:lang w:val="es-ES_tradnl"/>
        </w:rPr>
        <w:t>el Decreto 1860 del 24 de diciembre de 2021, «por el cual se modifica y adiciona el Decreto 1082 de 2015,</w:t>
      </w:r>
      <w:r w:rsidR="006D7173" w:rsidRPr="00434BB4">
        <w:rPr>
          <w:rFonts w:ascii="Arial" w:eastAsia="Calibri" w:hAnsi="Arial" w:cs="Arial"/>
          <w:bCs/>
          <w:color w:val="000000" w:themeColor="text1"/>
          <w:sz w:val="22"/>
          <w:lang w:val="es-ES_tradnl"/>
        </w:rPr>
        <w:t xml:space="preserve"> </w:t>
      </w:r>
      <w:r w:rsidRPr="00434BB4">
        <w:rPr>
          <w:rFonts w:ascii="Arial" w:eastAsia="Calibri" w:hAnsi="Arial" w:cs="Arial"/>
          <w:bCs/>
          <w:color w:val="000000" w:themeColor="text1"/>
          <w:sz w:val="22"/>
          <w:lang w:val="es-ES_tradnl"/>
        </w:rPr>
        <w:t>Único Reglamentario del Sector Administrativo de Planeación Nacional,</w:t>
      </w:r>
      <w:r w:rsidR="006D7173" w:rsidRPr="00434BB4">
        <w:rPr>
          <w:rFonts w:ascii="Arial" w:eastAsia="Calibri" w:hAnsi="Arial" w:cs="Arial"/>
          <w:bCs/>
          <w:color w:val="000000" w:themeColor="text1"/>
          <w:sz w:val="22"/>
          <w:lang w:val="es-ES_tradnl"/>
        </w:rPr>
        <w:t xml:space="preserve"> </w:t>
      </w:r>
      <w:r w:rsidRPr="00434BB4">
        <w:rPr>
          <w:rFonts w:ascii="Arial" w:eastAsia="Calibri" w:hAnsi="Arial" w:cs="Arial"/>
          <w:bCs/>
          <w:color w:val="000000" w:themeColor="text1"/>
          <w:sz w:val="22"/>
          <w:lang w:val="es-ES_tradnl"/>
        </w:rPr>
        <w:t xml:space="preserve">con el fin </w:t>
      </w:r>
      <w:r w:rsidR="00C4185F" w:rsidRPr="00434BB4">
        <w:rPr>
          <w:rFonts w:ascii="Arial" w:eastAsia="Calibri" w:hAnsi="Arial" w:cs="Arial"/>
          <w:bCs/>
          <w:color w:val="000000" w:themeColor="text1"/>
          <w:sz w:val="22"/>
          <w:lang w:val="es-ES_tradnl"/>
        </w:rPr>
        <w:t xml:space="preserve">de </w:t>
      </w:r>
      <w:r w:rsidRPr="00434BB4">
        <w:rPr>
          <w:rFonts w:ascii="Arial" w:eastAsia="Calibri" w:hAnsi="Arial" w:cs="Arial"/>
          <w:bCs/>
          <w:color w:val="000000" w:themeColor="text1"/>
          <w:sz w:val="22"/>
          <w:lang w:val="es-ES_tradnl"/>
        </w:rPr>
        <w:t>reglamentar los artículos 30,</w:t>
      </w:r>
      <w:r w:rsidR="006D7173" w:rsidRPr="00434BB4">
        <w:rPr>
          <w:rFonts w:ascii="Arial" w:eastAsia="Calibri" w:hAnsi="Arial" w:cs="Arial"/>
          <w:bCs/>
          <w:color w:val="000000" w:themeColor="text1"/>
          <w:sz w:val="22"/>
          <w:lang w:val="es-ES_tradnl"/>
        </w:rPr>
        <w:t xml:space="preserve"> </w:t>
      </w:r>
      <w:r w:rsidRPr="00434BB4">
        <w:rPr>
          <w:rFonts w:ascii="Arial" w:eastAsia="Calibri" w:hAnsi="Arial" w:cs="Arial"/>
          <w:bCs/>
          <w:color w:val="000000" w:themeColor="text1"/>
          <w:sz w:val="22"/>
          <w:lang w:val="es-ES_tradnl"/>
        </w:rPr>
        <w:t>31,</w:t>
      </w:r>
      <w:r w:rsidR="006D7173" w:rsidRPr="00434BB4">
        <w:rPr>
          <w:rFonts w:ascii="Arial" w:eastAsia="Calibri" w:hAnsi="Arial" w:cs="Arial"/>
          <w:bCs/>
          <w:color w:val="000000" w:themeColor="text1"/>
          <w:sz w:val="22"/>
          <w:lang w:val="es-ES_tradnl"/>
        </w:rPr>
        <w:t xml:space="preserve"> </w:t>
      </w:r>
      <w:r w:rsidRPr="00434BB4">
        <w:rPr>
          <w:rFonts w:ascii="Arial" w:eastAsia="Calibri" w:hAnsi="Arial" w:cs="Arial"/>
          <w:bCs/>
          <w:color w:val="000000" w:themeColor="text1"/>
          <w:sz w:val="22"/>
          <w:lang w:val="es-ES_tradnl"/>
        </w:rPr>
        <w:t>32,</w:t>
      </w:r>
      <w:r w:rsidR="006D7173" w:rsidRPr="00434BB4">
        <w:rPr>
          <w:rFonts w:ascii="Arial" w:eastAsia="Calibri" w:hAnsi="Arial" w:cs="Arial"/>
          <w:bCs/>
          <w:color w:val="000000" w:themeColor="text1"/>
          <w:sz w:val="22"/>
          <w:lang w:val="es-ES_tradnl"/>
        </w:rPr>
        <w:t xml:space="preserve"> </w:t>
      </w:r>
      <w:r w:rsidRPr="00434BB4">
        <w:rPr>
          <w:rFonts w:ascii="Arial" w:eastAsia="Calibri" w:hAnsi="Arial" w:cs="Arial"/>
          <w:bCs/>
          <w:color w:val="000000" w:themeColor="text1"/>
          <w:sz w:val="22"/>
          <w:lang w:val="es-ES_tradnl"/>
        </w:rPr>
        <w:t xml:space="preserve">34 </w:t>
      </w:r>
      <w:r w:rsidR="00C52881" w:rsidRPr="00434BB4">
        <w:rPr>
          <w:rFonts w:ascii="Arial" w:eastAsia="Calibri" w:hAnsi="Arial" w:cs="Arial"/>
          <w:bCs/>
          <w:color w:val="000000" w:themeColor="text1"/>
          <w:sz w:val="22"/>
          <w:lang w:val="es-ES_tradnl"/>
        </w:rPr>
        <w:t>y</w:t>
      </w:r>
      <w:r w:rsidRPr="00434BB4">
        <w:rPr>
          <w:rFonts w:ascii="Arial" w:eastAsia="Calibri" w:hAnsi="Arial" w:cs="Arial"/>
          <w:bCs/>
          <w:color w:val="000000" w:themeColor="text1"/>
          <w:sz w:val="22"/>
          <w:lang w:val="es-ES_tradnl"/>
        </w:rPr>
        <w:t xml:space="preserve"> 35 de la</w:t>
      </w:r>
      <w:r w:rsidR="006D7173" w:rsidRPr="00434BB4">
        <w:rPr>
          <w:rFonts w:ascii="Arial" w:eastAsia="Calibri" w:hAnsi="Arial" w:cs="Arial"/>
          <w:bCs/>
          <w:color w:val="000000" w:themeColor="text1"/>
          <w:sz w:val="22"/>
          <w:lang w:val="es-ES_tradnl"/>
        </w:rPr>
        <w:t xml:space="preserve"> </w:t>
      </w:r>
      <w:r w:rsidRPr="00434BB4">
        <w:rPr>
          <w:rFonts w:ascii="Arial" w:eastAsia="Calibri" w:hAnsi="Arial" w:cs="Arial"/>
          <w:bCs/>
          <w:color w:val="000000" w:themeColor="text1"/>
          <w:sz w:val="22"/>
          <w:lang w:val="es-ES_tradnl"/>
        </w:rPr>
        <w:t>Ley 2069 de 2020,</w:t>
      </w:r>
      <w:r w:rsidR="006D7173" w:rsidRPr="00434BB4">
        <w:rPr>
          <w:rFonts w:ascii="Arial" w:eastAsia="Calibri" w:hAnsi="Arial" w:cs="Arial"/>
          <w:bCs/>
          <w:color w:val="000000" w:themeColor="text1"/>
          <w:sz w:val="22"/>
          <w:lang w:val="es-ES_tradnl"/>
        </w:rPr>
        <w:t xml:space="preserve"> </w:t>
      </w:r>
      <w:r w:rsidRPr="00434BB4">
        <w:rPr>
          <w:rFonts w:ascii="Arial" w:eastAsia="Calibri" w:hAnsi="Arial" w:cs="Arial"/>
          <w:bCs/>
          <w:color w:val="000000" w:themeColor="text1"/>
          <w:sz w:val="22"/>
          <w:lang w:val="es-ES_tradnl"/>
        </w:rPr>
        <w:t>en lo relativo al sistema de compras públicas y se dictan otras disposiciones</w:t>
      </w:r>
      <w:r w:rsidR="00567D5C" w:rsidRPr="00434BB4">
        <w:rPr>
          <w:rFonts w:ascii="Arial" w:eastAsia="Calibri" w:hAnsi="Arial" w:cs="Arial"/>
          <w:bCs/>
          <w:color w:val="000000" w:themeColor="text1"/>
          <w:sz w:val="22"/>
          <w:lang w:val="es-ES_tradnl"/>
        </w:rPr>
        <w:t xml:space="preserve">». </w:t>
      </w:r>
      <w:r w:rsidR="005C26A7" w:rsidRPr="00434BB4">
        <w:rPr>
          <w:rFonts w:ascii="Arial" w:eastAsia="Calibri" w:hAnsi="Arial" w:cs="Arial"/>
          <w:bCs/>
          <w:color w:val="000000" w:themeColor="text1"/>
          <w:sz w:val="22"/>
          <w:lang w:val="es-ES_tradnl"/>
        </w:rPr>
        <w:t>De esta manera</w:t>
      </w:r>
      <w:r w:rsidR="000D7279" w:rsidRPr="00434BB4">
        <w:rPr>
          <w:rFonts w:ascii="Arial" w:eastAsia="Calibri" w:hAnsi="Arial" w:cs="Arial"/>
          <w:bCs/>
          <w:color w:val="000000" w:themeColor="text1"/>
          <w:sz w:val="22"/>
          <w:lang w:val="es-ES_tradnl"/>
        </w:rPr>
        <w:t xml:space="preserve">, se reitera la advertencia en el sentido de que las referencias que se harán al Decreto 1082 de 2015 se entenderán antes de las modificaciones realizadas por el Decreto 1860. </w:t>
      </w:r>
      <w:r w:rsidR="00567D5C" w:rsidRPr="00434BB4">
        <w:rPr>
          <w:rFonts w:ascii="Arial" w:eastAsia="Calibri" w:hAnsi="Arial" w:cs="Arial"/>
          <w:bCs/>
          <w:color w:val="000000" w:themeColor="text1"/>
          <w:sz w:val="22"/>
          <w:lang w:val="es-ES_tradnl"/>
        </w:rPr>
        <w:t xml:space="preserve">Este esquema de análisis resulta procedente, toda vez, que de acuerdo con el Decreto 1860 de 2021 </w:t>
      </w:r>
      <w:r w:rsidR="00903EB8" w:rsidRPr="00434BB4">
        <w:rPr>
          <w:rFonts w:ascii="Arial" w:eastAsia="Calibri" w:hAnsi="Arial" w:cs="Arial"/>
          <w:bCs/>
          <w:color w:val="000000" w:themeColor="text1"/>
          <w:sz w:val="22"/>
          <w:lang w:val="es-ES_tradnl"/>
        </w:rPr>
        <w:t xml:space="preserve">–al que se hará referencia en el numeral siguiente de este concepto– </w:t>
      </w:r>
      <w:r w:rsidR="00567D5C" w:rsidRPr="00434BB4">
        <w:rPr>
          <w:rFonts w:ascii="Arial" w:eastAsia="Calibri" w:hAnsi="Arial" w:cs="Arial"/>
          <w:bCs/>
          <w:color w:val="000000" w:themeColor="text1"/>
          <w:sz w:val="22"/>
          <w:lang w:val="es-ES_tradnl"/>
        </w:rPr>
        <w:t xml:space="preserve">las disposiciones </w:t>
      </w:r>
      <w:r w:rsidR="00C4185F" w:rsidRPr="00434BB4">
        <w:rPr>
          <w:rFonts w:ascii="Arial" w:eastAsia="Calibri" w:hAnsi="Arial" w:cs="Arial"/>
          <w:bCs/>
          <w:color w:val="000000" w:themeColor="text1"/>
          <w:sz w:val="22"/>
          <w:lang w:val="es-ES_tradnl"/>
        </w:rPr>
        <w:t>contenidas</w:t>
      </w:r>
      <w:r w:rsidR="00567D5C" w:rsidRPr="00434BB4">
        <w:rPr>
          <w:rFonts w:ascii="Arial" w:eastAsia="Calibri" w:hAnsi="Arial" w:cs="Arial"/>
          <w:bCs/>
          <w:color w:val="000000" w:themeColor="text1"/>
          <w:sz w:val="22"/>
          <w:lang w:val="es-ES_tradnl"/>
        </w:rPr>
        <w:t xml:space="preserve"> en dicho reglamento aplicarán a</w:t>
      </w:r>
      <w:r w:rsidR="006D7173" w:rsidRPr="00434BB4">
        <w:rPr>
          <w:rFonts w:ascii="Arial" w:eastAsia="Calibri" w:hAnsi="Arial" w:cs="Arial"/>
          <w:bCs/>
          <w:color w:val="000000" w:themeColor="text1"/>
          <w:sz w:val="22"/>
          <w:lang w:val="es-ES_tradnl"/>
        </w:rPr>
        <w:t xml:space="preserve"> </w:t>
      </w:r>
      <w:r w:rsidR="00567D5C" w:rsidRPr="00434BB4">
        <w:rPr>
          <w:rFonts w:ascii="Arial" w:eastAsia="Calibri" w:hAnsi="Arial" w:cs="Arial"/>
          <w:bCs/>
          <w:color w:val="000000" w:themeColor="text1"/>
          <w:sz w:val="22"/>
          <w:lang w:val="es-ES_tradnl"/>
        </w:rPr>
        <w:t>los</w:t>
      </w:r>
      <w:r w:rsidR="006D7173" w:rsidRPr="00434BB4">
        <w:rPr>
          <w:rFonts w:ascii="Arial" w:eastAsia="Calibri" w:hAnsi="Arial" w:cs="Arial"/>
          <w:bCs/>
          <w:color w:val="000000" w:themeColor="text1"/>
          <w:sz w:val="22"/>
          <w:lang w:val="es-ES_tradnl"/>
        </w:rPr>
        <w:t xml:space="preserve"> </w:t>
      </w:r>
      <w:r w:rsidR="00567D5C" w:rsidRPr="00434BB4">
        <w:rPr>
          <w:rFonts w:ascii="Arial" w:eastAsia="Calibri" w:hAnsi="Arial" w:cs="Arial"/>
          <w:bCs/>
          <w:color w:val="000000" w:themeColor="text1"/>
          <w:sz w:val="22"/>
          <w:lang w:val="es-ES_tradnl"/>
        </w:rPr>
        <w:t>procedimientos</w:t>
      </w:r>
      <w:r w:rsidR="006D7173" w:rsidRPr="00434BB4">
        <w:rPr>
          <w:rFonts w:ascii="Arial" w:eastAsia="Calibri" w:hAnsi="Arial" w:cs="Arial"/>
          <w:bCs/>
          <w:color w:val="000000" w:themeColor="text1"/>
          <w:sz w:val="22"/>
          <w:lang w:val="es-ES_tradnl"/>
        </w:rPr>
        <w:t xml:space="preserve"> </w:t>
      </w:r>
      <w:r w:rsidR="00567D5C" w:rsidRPr="00434BB4">
        <w:rPr>
          <w:rFonts w:ascii="Arial" w:eastAsia="Calibri" w:hAnsi="Arial" w:cs="Arial"/>
          <w:bCs/>
          <w:color w:val="000000" w:themeColor="text1"/>
          <w:sz w:val="22"/>
          <w:lang w:val="es-ES_tradnl"/>
        </w:rPr>
        <w:t>de</w:t>
      </w:r>
      <w:r w:rsidR="006D7173" w:rsidRPr="00434BB4">
        <w:rPr>
          <w:rFonts w:ascii="Arial" w:eastAsia="Calibri" w:hAnsi="Arial" w:cs="Arial"/>
          <w:bCs/>
          <w:color w:val="000000" w:themeColor="text1"/>
          <w:sz w:val="22"/>
          <w:lang w:val="es-ES_tradnl"/>
        </w:rPr>
        <w:t xml:space="preserve"> </w:t>
      </w:r>
      <w:r w:rsidR="00567D5C" w:rsidRPr="00434BB4">
        <w:rPr>
          <w:rFonts w:ascii="Arial" w:eastAsia="Calibri" w:hAnsi="Arial" w:cs="Arial"/>
          <w:bCs/>
          <w:color w:val="000000" w:themeColor="text1"/>
          <w:sz w:val="22"/>
          <w:lang w:val="es-ES_tradnl"/>
        </w:rPr>
        <w:t>selección</w:t>
      </w:r>
      <w:r w:rsidR="006D7173" w:rsidRPr="00434BB4">
        <w:rPr>
          <w:rFonts w:ascii="Arial" w:eastAsia="Calibri" w:hAnsi="Arial" w:cs="Arial"/>
          <w:bCs/>
          <w:color w:val="000000" w:themeColor="text1"/>
          <w:sz w:val="22"/>
          <w:lang w:val="es-ES_tradnl"/>
        </w:rPr>
        <w:t xml:space="preserve"> </w:t>
      </w:r>
      <w:r w:rsidR="00567D5C" w:rsidRPr="00434BB4">
        <w:rPr>
          <w:rFonts w:ascii="Arial" w:eastAsia="Calibri" w:hAnsi="Arial" w:cs="Arial"/>
          <w:bCs/>
          <w:color w:val="000000" w:themeColor="text1"/>
          <w:sz w:val="22"/>
          <w:lang w:val="es-ES_tradnl"/>
        </w:rPr>
        <w:t>cuya</w:t>
      </w:r>
      <w:r w:rsidR="006D7173" w:rsidRPr="00434BB4">
        <w:rPr>
          <w:rFonts w:ascii="Arial" w:eastAsia="Calibri" w:hAnsi="Arial" w:cs="Arial"/>
          <w:bCs/>
          <w:color w:val="000000" w:themeColor="text1"/>
          <w:sz w:val="22"/>
          <w:lang w:val="es-ES_tradnl"/>
        </w:rPr>
        <w:t xml:space="preserve"> </w:t>
      </w:r>
      <w:r w:rsidR="00567D5C" w:rsidRPr="00434BB4">
        <w:rPr>
          <w:rFonts w:ascii="Arial" w:eastAsia="Calibri" w:hAnsi="Arial" w:cs="Arial"/>
          <w:bCs/>
          <w:color w:val="000000" w:themeColor="text1"/>
          <w:sz w:val="22"/>
          <w:lang w:val="es-ES_tradnl"/>
        </w:rPr>
        <w:t>invitación,</w:t>
      </w:r>
      <w:r w:rsidR="006D7173" w:rsidRPr="00434BB4">
        <w:rPr>
          <w:rFonts w:ascii="Arial" w:eastAsia="Calibri" w:hAnsi="Arial" w:cs="Arial"/>
          <w:bCs/>
          <w:color w:val="000000" w:themeColor="text1"/>
          <w:sz w:val="22"/>
          <w:lang w:val="es-ES_tradnl"/>
        </w:rPr>
        <w:t xml:space="preserve"> </w:t>
      </w:r>
      <w:r w:rsidR="00567D5C" w:rsidRPr="00434BB4">
        <w:rPr>
          <w:rFonts w:ascii="Arial" w:eastAsia="Calibri" w:hAnsi="Arial" w:cs="Arial"/>
          <w:bCs/>
          <w:color w:val="000000" w:themeColor="text1"/>
          <w:sz w:val="22"/>
          <w:lang w:val="es-ES_tradnl"/>
        </w:rPr>
        <w:t>aviso</w:t>
      </w:r>
      <w:r w:rsidR="006D7173" w:rsidRPr="00434BB4">
        <w:rPr>
          <w:rFonts w:ascii="Arial" w:eastAsia="Calibri" w:hAnsi="Arial" w:cs="Arial"/>
          <w:bCs/>
          <w:color w:val="000000" w:themeColor="text1"/>
          <w:sz w:val="22"/>
          <w:lang w:val="es-ES_tradnl"/>
        </w:rPr>
        <w:t xml:space="preserve"> </w:t>
      </w:r>
      <w:r w:rsidR="00567D5C" w:rsidRPr="00434BB4">
        <w:rPr>
          <w:rFonts w:ascii="Arial" w:eastAsia="Calibri" w:hAnsi="Arial" w:cs="Arial"/>
          <w:bCs/>
          <w:color w:val="000000" w:themeColor="text1"/>
          <w:sz w:val="22"/>
          <w:lang w:val="es-ES_tradnl"/>
        </w:rPr>
        <w:t>de convocatoria o documento equivalente se publique a los tres (3)</w:t>
      </w:r>
      <w:r w:rsidR="006D7173" w:rsidRPr="00434BB4">
        <w:rPr>
          <w:rFonts w:ascii="Arial" w:eastAsia="Calibri" w:hAnsi="Arial" w:cs="Arial"/>
          <w:bCs/>
          <w:color w:val="000000" w:themeColor="text1"/>
          <w:sz w:val="22"/>
          <w:lang w:val="es-ES_tradnl"/>
        </w:rPr>
        <w:t xml:space="preserve"> </w:t>
      </w:r>
      <w:r w:rsidR="00567D5C" w:rsidRPr="00434BB4">
        <w:rPr>
          <w:rFonts w:ascii="Arial" w:eastAsia="Calibri" w:hAnsi="Arial" w:cs="Arial"/>
          <w:bCs/>
          <w:color w:val="000000" w:themeColor="text1"/>
          <w:sz w:val="22"/>
          <w:lang w:val="es-ES_tradnl"/>
        </w:rPr>
        <w:t>meses contados a partir de su</w:t>
      </w:r>
      <w:r w:rsidR="006D7173" w:rsidRPr="00434BB4">
        <w:rPr>
          <w:rFonts w:ascii="Arial" w:eastAsia="Calibri" w:hAnsi="Arial" w:cs="Arial"/>
          <w:bCs/>
          <w:color w:val="000000" w:themeColor="text1"/>
          <w:sz w:val="22"/>
          <w:lang w:val="es-ES_tradnl"/>
        </w:rPr>
        <w:t xml:space="preserve"> </w:t>
      </w:r>
      <w:r w:rsidR="00567D5C" w:rsidRPr="00434BB4">
        <w:rPr>
          <w:rFonts w:ascii="Arial" w:eastAsia="Calibri" w:hAnsi="Arial" w:cs="Arial"/>
          <w:bCs/>
          <w:color w:val="000000" w:themeColor="text1"/>
          <w:sz w:val="22"/>
          <w:lang w:val="es-ES_tradnl"/>
        </w:rPr>
        <w:t xml:space="preserve">expedición. </w:t>
      </w:r>
      <w:r w:rsidR="00903EB8" w:rsidRPr="00434BB4">
        <w:rPr>
          <w:rFonts w:ascii="Arial" w:eastAsia="Calibri" w:hAnsi="Arial" w:cs="Arial"/>
          <w:bCs/>
          <w:color w:val="000000" w:themeColor="text1"/>
          <w:sz w:val="22"/>
          <w:lang w:val="es-ES_tradnl"/>
        </w:rPr>
        <w:t>En tal sentido, tratándose de los procesos de mínima cuantía, dichas modificaciones tendrán efectos en los procesos cuya invitación se publique a partir del 24 de marzo de 2022.</w:t>
      </w:r>
      <w:r w:rsidR="0068071A" w:rsidRPr="00434BB4">
        <w:rPr>
          <w:rFonts w:ascii="Arial" w:eastAsia="Calibri" w:hAnsi="Arial" w:cs="Arial"/>
          <w:bCs/>
          <w:color w:val="000000" w:themeColor="text1"/>
          <w:sz w:val="22"/>
          <w:lang w:val="es-ES_tradnl"/>
        </w:rPr>
        <w:t xml:space="preserve"> </w:t>
      </w:r>
      <w:r w:rsidR="000D7279" w:rsidRPr="00434BB4">
        <w:rPr>
          <w:rFonts w:ascii="Arial" w:eastAsia="Calibri" w:hAnsi="Arial" w:cs="Arial"/>
          <w:bCs/>
          <w:color w:val="000000" w:themeColor="text1"/>
          <w:sz w:val="22"/>
          <w:lang w:val="es-ES_tradnl"/>
        </w:rPr>
        <w:t xml:space="preserve">Hecha la anterior precisión, a </w:t>
      </w:r>
      <w:proofErr w:type="gramStart"/>
      <w:r w:rsidR="000D7279" w:rsidRPr="00434BB4">
        <w:rPr>
          <w:rFonts w:ascii="Arial" w:eastAsia="Calibri" w:hAnsi="Arial" w:cs="Arial"/>
          <w:bCs/>
          <w:color w:val="000000" w:themeColor="text1"/>
          <w:sz w:val="22"/>
          <w:lang w:val="es-ES_tradnl"/>
        </w:rPr>
        <w:t>continuación</w:t>
      </w:r>
      <w:proofErr w:type="gramEnd"/>
      <w:r w:rsidR="000D7279" w:rsidRPr="00434BB4">
        <w:rPr>
          <w:rFonts w:ascii="Arial" w:eastAsia="Calibri" w:hAnsi="Arial" w:cs="Arial"/>
          <w:bCs/>
          <w:color w:val="000000" w:themeColor="text1"/>
          <w:sz w:val="22"/>
          <w:lang w:val="es-ES_tradnl"/>
        </w:rPr>
        <w:t xml:space="preserve"> se explicará cuál es el régimen vigente en la actualidad, </w:t>
      </w:r>
      <w:r w:rsidR="000F0F68" w:rsidRPr="00434BB4">
        <w:rPr>
          <w:rFonts w:ascii="Arial" w:eastAsia="Calibri" w:hAnsi="Arial" w:cs="Arial"/>
          <w:bCs/>
          <w:color w:val="000000" w:themeColor="text1"/>
          <w:sz w:val="22"/>
          <w:lang w:val="es-ES_tradnl"/>
        </w:rPr>
        <w:t>reiterando</w:t>
      </w:r>
      <w:r w:rsidR="000D7279" w:rsidRPr="00434BB4">
        <w:rPr>
          <w:rFonts w:ascii="Arial" w:eastAsia="Calibri" w:hAnsi="Arial" w:cs="Arial"/>
          <w:bCs/>
          <w:color w:val="000000" w:themeColor="text1"/>
          <w:sz w:val="22"/>
          <w:lang w:val="es-ES_tradnl"/>
        </w:rPr>
        <w:t xml:space="preserve"> la interpretación </w:t>
      </w:r>
      <w:r w:rsidR="000F0F68" w:rsidRPr="00434BB4">
        <w:rPr>
          <w:rFonts w:ascii="Arial" w:eastAsia="Calibri" w:hAnsi="Arial" w:cs="Arial"/>
          <w:bCs/>
          <w:color w:val="000000" w:themeColor="text1"/>
          <w:sz w:val="22"/>
          <w:lang w:val="es-ES_tradnl"/>
        </w:rPr>
        <w:t>realizada por</w:t>
      </w:r>
      <w:r w:rsidR="000D7279" w:rsidRPr="00434BB4">
        <w:rPr>
          <w:rFonts w:ascii="Arial" w:eastAsia="Calibri" w:hAnsi="Arial" w:cs="Arial"/>
          <w:bCs/>
          <w:color w:val="000000" w:themeColor="text1"/>
          <w:sz w:val="22"/>
          <w:lang w:val="es-ES_tradnl"/>
        </w:rPr>
        <w:t xml:space="preserve"> la Agencia en conceptos anteriores</w:t>
      </w:r>
      <w:r w:rsidR="000D7279" w:rsidRPr="00434BB4">
        <w:rPr>
          <w:rStyle w:val="Refdenotaalpie"/>
          <w:rFonts w:ascii="Arial" w:eastAsia="Calibri" w:hAnsi="Arial" w:cs="Arial"/>
          <w:bCs/>
          <w:color w:val="000000" w:themeColor="text1"/>
          <w:sz w:val="22"/>
          <w:lang w:val="es-ES_tradnl"/>
        </w:rPr>
        <w:footnoteReference w:id="17"/>
      </w:r>
      <w:r w:rsidR="000D7279" w:rsidRPr="00434BB4">
        <w:rPr>
          <w:rFonts w:ascii="Arial" w:eastAsia="Calibri" w:hAnsi="Arial" w:cs="Arial"/>
          <w:bCs/>
          <w:color w:val="000000" w:themeColor="text1"/>
          <w:sz w:val="22"/>
          <w:lang w:val="es-ES_tradnl"/>
        </w:rPr>
        <w:t>.</w:t>
      </w:r>
    </w:p>
    <w:p w14:paraId="52A967BD" w14:textId="6A7A5939" w:rsidR="00D14890" w:rsidRPr="00434BB4" w:rsidRDefault="000D7279">
      <w:pPr>
        <w:tabs>
          <w:tab w:val="left" w:pos="709"/>
        </w:tabs>
        <w:spacing w:after="120"/>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lastRenderedPageBreak/>
        <w:t xml:space="preserve"> </w:t>
      </w:r>
      <w:r w:rsidR="0068071A" w:rsidRPr="00434BB4">
        <w:rPr>
          <w:rFonts w:ascii="Arial" w:eastAsia="Calibri" w:hAnsi="Arial" w:cs="Arial"/>
          <w:bCs/>
          <w:color w:val="000000" w:themeColor="text1"/>
          <w:sz w:val="22"/>
          <w:lang w:val="es-ES_tradnl"/>
        </w:rPr>
        <w:tab/>
      </w:r>
      <w:r w:rsidR="00D14890" w:rsidRPr="00434BB4">
        <w:rPr>
          <w:rFonts w:ascii="Arial" w:eastAsia="Calibri" w:hAnsi="Arial" w:cs="Arial"/>
          <w:bCs/>
          <w:color w:val="000000" w:themeColor="text1"/>
          <w:sz w:val="22"/>
          <w:lang w:val="es-ES_tradnl"/>
        </w:rPr>
        <w:t xml:space="preserve">El artículo 30 de la Ley 2069 de 2020 modifica el numeral 5 del artículo 2 de la Ley 1150 de 2007, el cual regula la mínima cuantía. En esta modalidad de selección, la entidad estatal realiza una convocatoria pública para recibir ofertas de bienes o servicios cuyo valor no excede el diez por ciento –10%– de la menor cuantía. Fue creada por el artículo 274 de la Ley 1450 de 2011 y modificada por </w:t>
      </w:r>
      <w:bookmarkStart w:id="7" w:name="_Hlk69566698"/>
      <w:r w:rsidR="00D14890" w:rsidRPr="00434BB4">
        <w:rPr>
          <w:rFonts w:ascii="Arial" w:eastAsia="Calibri" w:hAnsi="Arial" w:cs="Arial"/>
          <w:bCs/>
          <w:color w:val="000000" w:themeColor="text1"/>
          <w:sz w:val="22"/>
          <w:lang w:val="es-ES_tradnl"/>
        </w:rPr>
        <w:t>el artículo 94 de la Ley 1474 de 2011</w:t>
      </w:r>
      <w:bookmarkEnd w:id="7"/>
      <w:r w:rsidR="00D14890" w:rsidRPr="00434BB4">
        <w:rPr>
          <w:rFonts w:ascii="Arial" w:eastAsia="Calibri" w:hAnsi="Arial" w:cs="Arial"/>
          <w:bCs/>
          <w:color w:val="000000" w:themeColor="text1"/>
          <w:sz w:val="22"/>
          <w:lang w:val="es-ES_tradnl"/>
        </w:rPr>
        <w:t>,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r w:rsidR="00D14890" w:rsidRPr="00434BB4">
        <w:rPr>
          <w:rStyle w:val="Refdenotaalpie"/>
          <w:rFonts w:ascii="Arial" w:eastAsia="Calibri" w:hAnsi="Arial" w:cs="Arial"/>
          <w:bCs/>
          <w:color w:val="000000" w:themeColor="text1"/>
          <w:sz w:val="22"/>
          <w:lang w:val="es-ES_tradnl"/>
        </w:rPr>
        <w:footnoteReference w:id="18"/>
      </w:r>
      <w:r w:rsidR="00D14890" w:rsidRPr="00434BB4">
        <w:rPr>
          <w:rFonts w:ascii="Arial" w:eastAsia="Calibri" w:hAnsi="Arial" w:cs="Arial"/>
          <w:bCs/>
          <w:color w:val="000000" w:themeColor="text1"/>
          <w:sz w:val="22"/>
          <w:lang w:val="es-ES_tradnl"/>
        </w:rPr>
        <w:t>.</w:t>
      </w:r>
    </w:p>
    <w:p w14:paraId="47FD945A" w14:textId="77777777" w:rsidR="00D14890" w:rsidRPr="00434BB4" w:rsidRDefault="00D14890">
      <w:pPr>
        <w:tabs>
          <w:tab w:val="left" w:pos="709"/>
        </w:tabs>
        <w:spacing w:after="120"/>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tab/>
        <w:t>En esencia, el artículo 30 de la Ley 2069 de 2020 conserva a grandes rasgos el procedimiento previsto en el derogado artículo 94 de la Ley 1474 de 2011, el cual define los aspectos generales del procedimiento contractual</w:t>
      </w:r>
      <w:r w:rsidRPr="00434BB4">
        <w:rPr>
          <w:rStyle w:val="Refdenotaalpie"/>
          <w:rFonts w:ascii="Arial" w:eastAsia="Calibri" w:hAnsi="Arial" w:cs="Arial"/>
          <w:bCs/>
          <w:color w:val="000000" w:themeColor="text1"/>
          <w:sz w:val="22"/>
          <w:lang w:val="es-ES_tradnl"/>
        </w:rPr>
        <w:footnoteReference w:id="19"/>
      </w:r>
      <w:r w:rsidRPr="00434BB4">
        <w:rPr>
          <w:rFonts w:ascii="Arial" w:eastAsia="Calibri" w:hAnsi="Arial" w:cs="Arial"/>
          <w:bCs/>
          <w:color w:val="000000" w:themeColor="text1"/>
          <w:sz w:val="22"/>
          <w:lang w:val="es-ES_tradnl"/>
        </w:rPr>
        <w:t xml:space="preserve">. No obstante, aludiendo expresamente al desarrollo reglamentario, el parágrafo primero introduce el siguiente cambio: «Las particularidades del procedimiento aquí previsto, así como la posibilidad que tengan las entidades de realizar estas adquisiciones </w:t>
      </w:r>
      <w:r w:rsidRPr="00434BB4">
        <w:rPr>
          <w:rFonts w:ascii="Arial" w:eastAsia="Calibri" w:hAnsi="Arial" w:cs="Arial"/>
          <w:bCs/>
          <w:i/>
          <w:iCs/>
          <w:color w:val="000000" w:themeColor="text1"/>
          <w:sz w:val="22"/>
          <w:lang w:val="es-ES_tradnl"/>
        </w:rPr>
        <w:t xml:space="preserve">a </w:t>
      </w:r>
      <w:proofErr w:type="spellStart"/>
      <w:r w:rsidRPr="00434BB4">
        <w:rPr>
          <w:rFonts w:ascii="Arial" w:eastAsia="Calibri" w:hAnsi="Arial" w:cs="Arial"/>
          <w:bCs/>
          <w:i/>
          <w:iCs/>
          <w:color w:val="000000" w:themeColor="text1"/>
          <w:sz w:val="22"/>
          <w:lang w:val="es-ES_tradnl"/>
        </w:rPr>
        <w:t>Mipymes</w:t>
      </w:r>
      <w:proofErr w:type="spellEnd"/>
      <w:r w:rsidRPr="00434BB4">
        <w:rPr>
          <w:rFonts w:ascii="Arial" w:eastAsia="Calibri" w:hAnsi="Arial" w:cs="Arial"/>
          <w:bCs/>
          <w:color w:val="000000" w:themeColor="text1"/>
          <w:sz w:val="22"/>
          <w:lang w:val="es-ES_tradnl"/>
        </w:rPr>
        <w:t xml:space="preserve"> o establecimientos que correspondan a la definición de "gran almacén" señalada por la Superintendencia de </w:t>
      </w:r>
      <w:r w:rsidRPr="00434BB4">
        <w:rPr>
          <w:rFonts w:ascii="Arial" w:eastAsia="Calibri" w:hAnsi="Arial" w:cs="Arial"/>
          <w:bCs/>
          <w:color w:val="000000" w:themeColor="text1"/>
          <w:sz w:val="22"/>
          <w:lang w:val="es-ES_tradnl"/>
        </w:rPr>
        <w:lastRenderedPageBreak/>
        <w:t xml:space="preserve">Industria y Comercio, se determinarán en el reglamento que para el efecto expida el Gobierno Nacional» (Énfasis fuera de texto). </w:t>
      </w:r>
    </w:p>
    <w:p w14:paraId="6631209A" w14:textId="77777777" w:rsidR="00D14890" w:rsidRPr="00434BB4" w:rsidRDefault="00D14890">
      <w:pPr>
        <w:tabs>
          <w:tab w:val="left" w:pos="709"/>
        </w:tabs>
        <w:spacing w:after="120"/>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tab/>
        <w:t xml:space="preserve">Esta modificación es importante, pues antes de la Ley de Emprendimiento era imposible limitar a </w:t>
      </w:r>
      <w:proofErr w:type="spellStart"/>
      <w:r w:rsidRPr="00434BB4">
        <w:rPr>
          <w:rFonts w:ascii="Arial" w:eastAsia="Calibri" w:hAnsi="Arial" w:cs="Arial"/>
          <w:bCs/>
          <w:color w:val="000000" w:themeColor="text1"/>
          <w:sz w:val="22"/>
          <w:lang w:val="es-ES_tradnl"/>
        </w:rPr>
        <w:t>mipymes</w:t>
      </w:r>
      <w:proofErr w:type="spellEnd"/>
      <w:r w:rsidRPr="00434BB4">
        <w:rPr>
          <w:rFonts w:ascii="Arial" w:eastAsia="Calibri" w:hAnsi="Arial" w:cs="Arial"/>
          <w:bCs/>
          <w:color w:val="000000" w:themeColor="text1"/>
          <w:sz w:val="22"/>
          <w:lang w:val="es-ES_tradnl"/>
        </w:rPr>
        <w:t xml:space="preserve"> la mínima cuantía, especialmente, cuando el artículo 94 la Ley 1474 de 2011 disponía que no era aplicable la Ley 816 de 2003, «Por medio de la cual se apoya a la industria nacional a través de la contratación pública</w:t>
      </w:r>
      <w:r w:rsidRPr="00434BB4">
        <w:rPr>
          <w:rFonts w:ascii="Arial" w:hAnsi="Arial" w:cs="Arial"/>
          <w:color w:val="000000"/>
          <w:sz w:val="22"/>
          <w:lang w:val="es-ES_tradnl"/>
        </w:rPr>
        <w:t xml:space="preserve">», ni </w:t>
      </w:r>
      <w:r w:rsidRPr="00434BB4">
        <w:rPr>
          <w:rFonts w:ascii="Arial" w:eastAsia="Calibri" w:hAnsi="Arial" w:cs="Arial"/>
          <w:bCs/>
          <w:color w:val="000000" w:themeColor="text1"/>
          <w:sz w:val="22"/>
          <w:lang w:val="es-ES_tradnl"/>
        </w:rPr>
        <w:t xml:space="preserve">el artículo 12 de la Ley 1150 de 2007, relacionado con la promoción del desarrollo en la contratación pública. A partir de la expedición del artículo 30, parágrafo 2, de la Ley 2069 de 2020, «La contratación a que se refiere el presente artículo se realizará exclusivamente con las reglas en él contempladas y en su reglamentación. En particular no se aplicará lo previsto en la Ley 816 de 2003». Es decir, al no prohibir la aplicación del artículo 12 de la Ley 1150 de 2007, la norma –además de reiterar la importancia de su reglamentación posterior– permite las convocatorias limitadas a </w:t>
      </w:r>
      <w:proofErr w:type="spellStart"/>
      <w:r w:rsidRPr="00434BB4">
        <w:rPr>
          <w:rFonts w:ascii="Arial" w:eastAsia="Calibri" w:hAnsi="Arial" w:cs="Arial"/>
          <w:bCs/>
          <w:color w:val="000000" w:themeColor="text1"/>
          <w:sz w:val="22"/>
          <w:lang w:val="es-ES_tradnl"/>
        </w:rPr>
        <w:t>mipymes</w:t>
      </w:r>
      <w:proofErr w:type="spellEnd"/>
      <w:r w:rsidRPr="00434BB4">
        <w:rPr>
          <w:rFonts w:ascii="Arial" w:eastAsia="Calibri" w:hAnsi="Arial" w:cs="Arial"/>
          <w:bCs/>
          <w:color w:val="000000" w:themeColor="text1"/>
          <w:sz w:val="22"/>
          <w:lang w:val="es-ES_tradnl"/>
        </w:rPr>
        <w:t xml:space="preserve"> en esta modalidad de selección.</w:t>
      </w:r>
    </w:p>
    <w:p w14:paraId="05BCA0F8" w14:textId="0F34AD31" w:rsidR="00D14890" w:rsidRPr="00434BB4" w:rsidRDefault="00D14890">
      <w:pPr>
        <w:tabs>
          <w:tab w:val="left" w:pos="709"/>
        </w:tabs>
        <w:spacing w:after="120"/>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tab/>
        <w:t>Como se observa, el parágrafo 1 del artículo 30 de la Ley 2069 de 2020 dispone que el reglamento es importante para regular</w:t>
      </w:r>
      <w:r w:rsidR="004D402A" w:rsidRPr="00434BB4">
        <w:rPr>
          <w:rFonts w:ascii="Arial" w:eastAsia="Calibri" w:hAnsi="Arial" w:cs="Arial"/>
          <w:bCs/>
          <w:color w:val="000000" w:themeColor="text1"/>
          <w:sz w:val="22"/>
          <w:lang w:val="es-ES_tradnl"/>
        </w:rPr>
        <w:t>:</w:t>
      </w:r>
      <w:r w:rsidRPr="00434BB4">
        <w:rPr>
          <w:rFonts w:ascii="Arial" w:eastAsia="Calibri" w:hAnsi="Arial" w:cs="Arial"/>
          <w:bCs/>
          <w:color w:val="000000" w:themeColor="text1"/>
          <w:sz w:val="22"/>
          <w:lang w:val="es-ES_tradnl"/>
        </w:rPr>
        <w:t xml:space="preserve"> i) las «particularidades del procedimiento de selección» y ii) la posibilidad de realizar estas adquisiciones a </w:t>
      </w:r>
      <w:proofErr w:type="spellStart"/>
      <w:r w:rsidRPr="00434BB4">
        <w:rPr>
          <w:rFonts w:ascii="Arial" w:eastAsia="Calibri" w:hAnsi="Arial" w:cs="Arial"/>
          <w:bCs/>
          <w:color w:val="000000" w:themeColor="text1"/>
          <w:sz w:val="22"/>
          <w:lang w:val="es-ES_tradnl"/>
        </w:rPr>
        <w:t>mipymes</w:t>
      </w:r>
      <w:proofErr w:type="spellEnd"/>
      <w:r w:rsidRPr="00434BB4">
        <w:rPr>
          <w:rFonts w:ascii="Arial" w:eastAsia="Calibri" w:hAnsi="Arial" w:cs="Arial"/>
          <w:bCs/>
          <w:color w:val="000000" w:themeColor="text1"/>
          <w:sz w:val="22"/>
          <w:lang w:val="es-ES_tradnl"/>
        </w:rPr>
        <w:t xml:space="preserve"> o establecimientos que correspondan a la definición de «gran almacén»</w:t>
      </w:r>
      <w:r w:rsidR="004D402A" w:rsidRPr="00434BB4">
        <w:rPr>
          <w:rFonts w:ascii="Arial" w:eastAsia="Calibri" w:hAnsi="Arial" w:cs="Arial"/>
          <w:bCs/>
          <w:color w:val="000000" w:themeColor="text1"/>
          <w:sz w:val="22"/>
          <w:lang w:val="es-ES_tradnl"/>
        </w:rPr>
        <w:t xml:space="preserve">, desarrollos que se realizaron mediante el Decreto 1860 del 24 de diciembre de 2021, pero que solo resulta aplicable para los procesos de mínima cuantía, cuya invitación se publique a partir del </w:t>
      </w:r>
      <w:r w:rsidR="00683714" w:rsidRPr="00434BB4">
        <w:rPr>
          <w:rFonts w:ascii="Arial" w:eastAsia="Calibri" w:hAnsi="Arial" w:cs="Arial"/>
          <w:bCs/>
          <w:color w:val="000000" w:themeColor="text1"/>
          <w:sz w:val="22"/>
          <w:lang w:val="es-ES_tradnl"/>
        </w:rPr>
        <w:t>24 de marzo de 2022</w:t>
      </w:r>
      <w:r w:rsidRPr="00434BB4">
        <w:rPr>
          <w:rFonts w:ascii="Arial" w:eastAsia="Calibri" w:hAnsi="Arial" w:cs="Arial"/>
          <w:bCs/>
          <w:color w:val="000000" w:themeColor="text1"/>
          <w:sz w:val="22"/>
          <w:lang w:val="es-ES_tradnl"/>
        </w:rPr>
        <w:t xml:space="preserve">. No obstante, </w:t>
      </w:r>
      <w:r w:rsidR="00683714" w:rsidRPr="00434BB4">
        <w:rPr>
          <w:rFonts w:ascii="Arial" w:eastAsia="Calibri" w:hAnsi="Arial" w:cs="Arial"/>
          <w:bCs/>
          <w:color w:val="000000" w:themeColor="text1"/>
          <w:sz w:val="22"/>
          <w:lang w:val="es-ES_tradnl"/>
        </w:rPr>
        <w:t xml:space="preserve">mientras empiezan a regir las disposiciones del Decreto 1860 </w:t>
      </w:r>
      <w:r w:rsidRPr="00434BB4">
        <w:rPr>
          <w:rFonts w:ascii="Arial" w:eastAsia="Calibri" w:hAnsi="Arial" w:cs="Arial"/>
          <w:bCs/>
          <w:color w:val="000000" w:themeColor="text1"/>
          <w:sz w:val="22"/>
          <w:lang w:val="es-ES_tradnl"/>
        </w:rPr>
        <w:t>¿</w:t>
      </w:r>
      <w:r w:rsidR="0018455A" w:rsidRPr="00434BB4">
        <w:rPr>
          <w:rFonts w:ascii="Arial" w:eastAsia="Calibri" w:hAnsi="Arial" w:cs="Arial"/>
          <w:bCs/>
          <w:color w:val="000000" w:themeColor="text1"/>
          <w:sz w:val="22"/>
          <w:lang w:val="es-ES_tradnl"/>
        </w:rPr>
        <w:t xml:space="preserve">era </w:t>
      </w:r>
      <w:r w:rsidRPr="00434BB4">
        <w:rPr>
          <w:rFonts w:ascii="Arial" w:eastAsia="Calibri" w:hAnsi="Arial" w:cs="Arial"/>
          <w:bCs/>
          <w:color w:val="000000" w:themeColor="text1"/>
          <w:sz w:val="22"/>
          <w:lang w:val="es-ES_tradnl"/>
        </w:rPr>
        <w:t>necesario el desarrollo normativo para la vigencia de la mínima cuantía? En principio, la respuesta positiva a esta inquietud se fundamentaría en la necesidad de que el reglamento precise los detalles del procedimiento de selección</w:t>
      </w:r>
      <w:r w:rsidR="004D402A" w:rsidRPr="00434BB4">
        <w:rPr>
          <w:rFonts w:ascii="Arial" w:eastAsia="Calibri" w:hAnsi="Arial" w:cs="Arial"/>
          <w:bCs/>
          <w:color w:val="000000" w:themeColor="text1"/>
          <w:sz w:val="22"/>
          <w:lang w:val="es-ES_tradnl"/>
        </w:rPr>
        <w:t>.</w:t>
      </w:r>
    </w:p>
    <w:p w14:paraId="30780896" w14:textId="77777777" w:rsidR="00D14890" w:rsidRPr="00434BB4" w:rsidRDefault="00D14890">
      <w:pPr>
        <w:tabs>
          <w:tab w:val="left" w:pos="709"/>
        </w:tabs>
        <w:spacing w:after="120"/>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tab/>
        <w:t>La Subdirección de Gestión Contractual no comparte esta tesis, porque si la ley define los aspectos generales del procedimiento, estos vinculan directamente a las entidades estatales. En efecto, «[…] el propósito del legislador fue delimitar sólo los principios que rigen la contratación pública, con el fin de orientar la gestión contractual. A diferencia de una ley general o de una ley marco, la técnica legislativa de los principios no busca un desarrollo ulterior a través del reglamento, sino unas bases para la actuación inmediata, sin que sea necesaria la intermediación del desarrollo reglamentario […]»</w:t>
      </w:r>
      <w:r w:rsidRPr="00434BB4">
        <w:rPr>
          <w:rStyle w:val="Refdenotaalpie"/>
          <w:rFonts w:ascii="Arial" w:eastAsia="Calibri" w:hAnsi="Arial" w:cs="Arial"/>
          <w:bCs/>
          <w:color w:val="000000" w:themeColor="text1"/>
          <w:sz w:val="22"/>
          <w:lang w:val="es-ES_tradnl"/>
        </w:rPr>
        <w:footnoteReference w:id="20"/>
      </w:r>
      <w:r w:rsidRPr="00434BB4">
        <w:rPr>
          <w:rFonts w:ascii="Arial" w:eastAsia="Calibri" w:hAnsi="Arial" w:cs="Arial"/>
          <w:bCs/>
          <w:color w:val="000000" w:themeColor="text1"/>
          <w:sz w:val="22"/>
          <w:lang w:val="es-ES_tradnl"/>
        </w:rPr>
        <w:t xml:space="preserve">. </w:t>
      </w:r>
    </w:p>
    <w:p w14:paraId="07EE28B4" w14:textId="72E4D9A2" w:rsidR="00D14890" w:rsidRPr="00434BB4" w:rsidRDefault="00D14890" w:rsidP="00BF0F70">
      <w:pPr>
        <w:spacing w:after="120"/>
        <w:rPr>
          <w:rFonts w:ascii="Arial" w:eastAsia="Calibri" w:hAnsi="Arial" w:cs="Arial"/>
          <w:color w:val="000000" w:themeColor="text1"/>
          <w:sz w:val="22"/>
          <w:lang w:val="es-ES_tradnl"/>
        </w:rPr>
      </w:pPr>
      <w:r w:rsidRPr="00434BB4">
        <w:rPr>
          <w:rFonts w:ascii="Arial" w:eastAsia="Calibri" w:hAnsi="Arial" w:cs="Arial"/>
          <w:bCs/>
          <w:color w:val="000000" w:themeColor="text1"/>
          <w:sz w:val="22"/>
          <w:lang w:val="es-ES_tradnl"/>
        </w:rPr>
        <w:tab/>
        <w:t xml:space="preserve">Por tanto, dado que </w:t>
      </w:r>
      <w:bookmarkStart w:id="8" w:name="_Hlk69400380"/>
      <w:r w:rsidRPr="00434BB4">
        <w:rPr>
          <w:rFonts w:ascii="Arial" w:eastAsia="Calibri" w:hAnsi="Arial" w:cs="Arial"/>
          <w:bCs/>
          <w:color w:val="000000" w:themeColor="text1"/>
          <w:sz w:val="22"/>
          <w:lang w:val="es-ES_tradnl"/>
        </w:rPr>
        <w:t>el artículo 30 de la Ley 2069 de 2020</w:t>
      </w:r>
      <w:bookmarkEnd w:id="8"/>
      <w:r w:rsidRPr="00434BB4">
        <w:rPr>
          <w:rFonts w:ascii="Arial" w:eastAsia="Calibri" w:hAnsi="Arial" w:cs="Arial"/>
          <w:bCs/>
          <w:color w:val="000000" w:themeColor="text1"/>
          <w:sz w:val="22"/>
          <w:lang w:val="es-ES_tradnl"/>
        </w:rPr>
        <w:t xml:space="preserve"> regula aspectos de la mínima cuantía como i) el término mínimo para publicar la invitación, ii) el plazo mínimo de recepción de las ofertas, iii) el factor de evaluación que define la selección del proponente </w:t>
      </w:r>
      <w:r w:rsidRPr="00434BB4">
        <w:rPr>
          <w:rFonts w:ascii="Arial" w:eastAsia="Calibri" w:hAnsi="Arial" w:cs="Arial"/>
          <w:bCs/>
          <w:color w:val="000000" w:themeColor="text1"/>
          <w:sz w:val="22"/>
          <w:lang w:val="es-ES_tradnl"/>
        </w:rPr>
        <w:lastRenderedPageBreak/>
        <w:t>y iv) el perfeccionamiento del contrato, las entidades deben estructurar sus procedimientos de selección de acuerdo con estos parámetros, los cuales tienen una aplicación inmediata sin que el reglamento condicione su vigencia</w:t>
      </w:r>
      <w:r w:rsidR="00683714" w:rsidRPr="00434BB4">
        <w:rPr>
          <w:rFonts w:ascii="Arial" w:eastAsia="Calibri" w:hAnsi="Arial" w:cs="Arial"/>
          <w:bCs/>
          <w:color w:val="000000" w:themeColor="text1"/>
          <w:sz w:val="22"/>
          <w:lang w:val="es-ES_tradnl"/>
        </w:rPr>
        <w:t xml:space="preserve"> efectiva</w:t>
      </w:r>
      <w:r w:rsidRPr="00434BB4">
        <w:rPr>
          <w:rFonts w:ascii="Arial" w:eastAsia="Calibri" w:hAnsi="Arial" w:cs="Arial"/>
          <w:bCs/>
          <w:color w:val="000000" w:themeColor="text1"/>
          <w:sz w:val="22"/>
          <w:lang w:val="es-ES_tradnl"/>
        </w:rPr>
        <w:t xml:space="preserve">. En otras palabras, la mínima cuantía es directamente aplicable, sin perjuicio de que a través del ejercicio de la potestad reglamentaria se desarrolle específicamente la «Singularidad, especialidad e individualidad» del trámite, así como </w:t>
      </w:r>
      <w:r w:rsidR="004D402A" w:rsidRPr="00434BB4">
        <w:rPr>
          <w:rFonts w:ascii="Arial" w:eastAsia="Calibri" w:hAnsi="Arial" w:cs="Arial"/>
          <w:bCs/>
          <w:color w:val="000000" w:themeColor="text1"/>
          <w:sz w:val="22"/>
          <w:lang w:val="es-ES_tradnl"/>
        </w:rPr>
        <w:t xml:space="preserve">la </w:t>
      </w:r>
      <w:r w:rsidRPr="00434BB4">
        <w:rPr>
          <w:rFonts w:ascii="Arial" w:eastAsia="Calibri" w:hAnsi="Arial" w:cs="Arial"/>
          <w:bCs/>
          <w:color w:val="000000" w:themeColor="text1"/>
          <w:sz w:val="22"/>
          <w:lang w:val="es-ES_tradnl"/>
        </w:rPr>
        <w:t xml:space="preserve">realización estas adquisiciones a </w:t>
      </w:r>
      <w:proofErr w:type="spellStart"/>
      <w:r w:rsidRPr="00434BB4">
        <w:rPr>
          <w:rFonts w:ascii="Arial" w:eastAsia="Calibri" w:hAnsi="Arial" w:cs="Arial"/>
          <w:bCs/>
          <w:color w:val="000000" w:themeColor="text1"/>
          <w:sz w:val="22"/>
          <w:lang w:val="es-ES_tradnl"/>
        </w:rPr>
        <w:t>mipymes</w:t>
      </w:r>
      <w:proofErr w:type="spellEnd"/>
      <w:r w:rsidRPr="00434BB4">
        <w:rPr>
          <w:rFonts w:ascii="Arial" w:eastAsia="Calibri" w:hAnsi="Arial" w:cs="Arial"/>
          <w:bCs/>
          <w:color w:val="000000" w:themeColor="text1"/>
          <w:sz w:val="22"/>
          <w:lang w:val="es-ES_tradnl"/>
        </w:rPr>
        <w:t xml:space="preserve"> o establecimientos que correspondan a la definición de «gran almacén»</w:t>
      </w:r>
      <w:r w:rsidR="00683714" w:rsidRPr="00434BB4">
        <w:rPr>
          <w:rFonts w:ascii="Arial" w:eastAsia="Calibri" w:hAnsi="Arial" w:cs="Arial"/>
          <w:bCs/>
          <w:color w:val="000000" w:themeColor="text1"/>
          <w:sz w:val="22"/>
          <w:lang w:val="es-ES_tradnl"/>
        </w:rPr>
        <w:t>, lo cual se realizó mediante el Decreto 1860 del 24 de diciembre de 2021, pero que solo resulta aplicable para los procesos de mínima cuantía, cuya invitación se publique a partir del 24 de marzo de 2022</w:t>
      </w:r>
      <w:r w:rsidRPr="00434BB4">
        <w:rPr>
          <w:rFonts w:ascii="Arial" w:eastAsia="Calibri" w:hAnsi="Arial" w:cs="Arial"/>
          <w:bCs/>
          <w:color w:val="000000" w:themeColor="text1"/>
          <w:sz w:val="22"/>
          <w:lang w:val="es-ES_tradnl"/>
        </w:rPr>
        <w:t>.</w:t>
      </w:r>
      <w:r w:rsidRPr="00434BB4">
        <w:rPr>
          <w:rFonts w:ascii="Arial" w:eastAsia="Calibri" w:hAnsi="Arial" w:cs="Arial"/>
          <w:color w:val="000000" w:themeColor="text1"/>
          <w:sz w:val="22"/>
          <w:lang w:val="es-ES_tradnl"/>
        </w:rPr>
        <w:t xml:space="preserve"> </w:t>
      </w:r>
      <w:bookmarkStart w:id="9" w:name="_Hlk69580333"/>
      <w:r w:rsidR="00683714" w:rsidRPr="00434BB4">
        <w:rPr>
          <w:rFonts w:ascii="Arial" w:eastAsia="Calibri" w:hAnsi="Arial" w:cs="Arial"/>
          <w:color w:val="000000" w:themeColor="text1"/>
          <w:sz w:val="22"/>
          <w:lang w:val="es-ES_tradnl"/>
        </w:rPr>
        <w:t xml:space="preserve">Teniendo en cuenta lo anterior, bajo las normas que rigen actualmente es posible afirmar que </w:t>
      </w:r>
      <w:r w:rsidRPr="00434BB4">
        <w:rPr>
          <w:rFonts w:ascii="Arial" w:eastAsia="Calibri" w:hAnsi="Arial" w:cs="Arial"/>
          <w:color w:val="000000" w:themeColor="text1"/>
          <w:sz w:val="22"/>
          <w:lang w:val="es-ES_tradnl"/>
        </w:rPr>
        <w:t xml:space="preserve">el artículo 30 de la Ley 2069 de 2020 </w:t>
      </w:r>
      <w:bookmarkStart w:id="10" w:name="_Hlk69396275"/>
      <w:r w:rsidRPr="00434BB4">
        <w:rPr>
          <w:rFonts w:ascii="Arial" w:eastAsia="Calibri" w:hAnsi="Arial" w:cs="Arial"/>
          <w:color w:val="000000" w:themeColor="text1"/>
          <w:sz w:val="22"/>
          <w:lang w:val="es-ES_tradnl"/>
        </w:rPr>
        <w:t>sustituyó el contenido del numeral 5, del artículo 2 de la Ley 1150 de 2007</w:t>
      </w:r>
      <w:bookmarkEnd w:id="10"/>
      <w:r w:rsidRPr="00434BB4">
        <w:rPr>
          <w:rFonts w:ascii="Arial" w:eastAsia="Calibri" w:hAnsi="Arial" w:cs="Arial"/>
          <w:color w:val="000000" w:themeColor="text1"/>
          <w:sz w:val="22"/>
          <w:lang w:val="es-ES_tradnl"/>
        </w:rPr>
        <w:t xml:space="preserve">. </w:t>
      </w:r>
    </w:p>
    <w:p w14:paraId="569C3C6F" w14:textId="10FE7726" w:rsidR="00D14890" w:rsidRPr="00434BB4" w:rsidRDefault="00D14890" w:rsidP="00BF0F70">
      <w:pPr>
        <w:spacing w:after="120"/>
        <w:rPr>
          <w:rFonts w:ascii="Arial" w:eastAsia="Calibri" w:hAnsi="Arial" w:cs="Arial"/>
          <w:color w:val="000000" w:themeColor="text1"/>
          <w:sz w:val="22"/>
          <w:lang w:val="es-ES_tradnl"/>
        </w:rPr>
      </w:pPr>
      <w:r w:rsidRPr="00434BB4">
        <w:rPr>
          <w:rFonts w:ascii="Arial" w:eastAsia="Calibri" w:hAnsi="Arial" w:cs="Arial"/>
          <w:color w:val="000000" w:themeColor="text1"/>
          <w:sz w:val="22"/>
          <w:lang w:val="es-ES_tradnl"/>
        </w:rPr>
        <w:tab/>
        <w:t xml:space="preserve">Para efectos de la consulta, resta precisar si con el artículo 30 de la Ley 2069 de 2020 están vigentes los artículos </w:t>
      </w:r>
      <w:r w:rsidR="00EC7CBE" w:rsidRPr="00434BB4">
        <w:rPr>
          <w:rFonts w:ascii="Arial" w:eastAsia="Calibri" w:hAnsi="Arial" w:cs="Arial"/>
          <w:color w:val="000000" w:themeColor="text1"/>
          <w:sz w:val="22"/>
          <w:lang w:val="es-ES_tradnl"/>
        </w:rPr>
        <w:t xml:space="preserve">originales </w:t>
      </w:r>
      <w:r w:rsidRPr="00434BB4">
        <w:rPr>
          <w:rFonts w:ascii="Arial" w:eastAsia="Calibri" w:hAnsi="Arial" w:cs="Arial"/>
          <w:color w:val="000000" w:themeColor="text1"/>
          <w:sz w:val="22"/>
          <w:lang w:val="es-ES_tradnl"/>
        </w:rPr>
        <w:t>2.2.1.2.1.5.1 al 2.2.1.2.1.5.4 del Decreto 1082 de 2015, que regulan el procedimiento de la mínima cuantía en el Decreto Único Reglamentario del Sector Administrativo de Planeación Nacional</w:t>
      </w:r>
      <w:r w:rsidR="00683714" w:rsidRPr="00434BB4">
        <w:rPr>
          <w:rFonts w:ascii="Arial" w:eastAsia="Calibri" w:hAnsi="Arial" w:cs="Arial"/>
          <w:color w:val="000000" w:themeColor="text1"/>
          <w:sz w:val="22"/>
          <w:lang w:val="es-ES_tradnl"/>
        </w:rPr>
        <w:t>, mientras entran a regir las modificaciones realizadas por el Decreto 1860 del 24 de diciembre de 2021</w:t>
      </w:r>
      <w:r w:rsidRPr="00434BB4">
        <w:rPr>
          <w:rFonts w:ascii="Arial" w:eastAsia="Calibri" w:hAnsi="Arial" w:cs="Arial"/>
          <w:color w:val="000000" w:themeColor="text1"/>
          <w:sz w:val="22"/>
          <w:lang w:val="es-ES_tradnl"/>
        </w:rPr>
        <w:t xml:space="preserve">. En otras palabras, ¿la modificación de la Ley de Emprendimiento en la mínima cuantía </w:t>
      </w:r>
      <w:r w:rsidR="00EC7CBE" w:rsidRPr="00434BB4">
        <w:rPr>
          <w:rFonts w:ascii="Arial" w:eastAsia="Calibri" w:hAnsi="Arial" w:cs="Arial"/>
          <w:color w:val="000000" w:themeColor="text1"/>
          <w:sz w:val="22"/>
          <w:lang w:val="es-ES_tradnl"/>
        </w:rPr>
        <w:t xml:space="preserve">supuso </w:t>
      </w:r>
      <w:r w:rsidRPr="00434BB4">
        <w:rPr>
          <w:rFonts w:ascii="Arial" w:eastAsia="Calibri" w:hAnsi="Arial" w:cs="Arial"/>
          <w:color w:val="000000" w:themeColor="text1"/>
          <w:sz w:val="22"/>
          <w:lang w:val="es-ES_tradnl"/>
        </w:rPr>
        <w:t xml:space="preserve">la desaparición del fundamento jurídico de los artículos </w:t>
      </w:r>
      <w:r w:rsidR="00EC7CBE" w:rsidRPr="00434BB4">
        <w:rPr>
          <w:rFonts w:ascii="Arial" w:eastAsia="Calibri" w:hAnsi="Arial" w:cs="Arial"/>
          <w:color w:val="000000" w:themeColor="text1"/>
          <w:sz w:val="22"/>
          <w:lang w:val="es-ES_tradnl"/>
        </w:rPr>
        <w:t xml:space="preserve">originales </w:t>
      </w:r>
      <w:r w:rsidRPr="00434BB4">
        <w:rPr>
          <w:rFonts w:ascii="Arial" w:eastAsia="Calibri" w:hAnsi="Arial" w:cs="Arial"/>
          <w:color w:val="000000" w:themeColor="text1"/>
          <w:sz w:val="22"/>
          <w:lang w:val="es-ES_tradnl"/>
        </w:rPr>
        <w:t xml:space="preserve">del decreto </w:t>
      </w:r>
      <w:r w:rsidR="00EC7CBE" w:rsidRPr="00434BB4">
        <w:rPr>
          <w:rFonts w:ascii="Arial" w:eastAsia="Calibri" w:hAnsi="Arial" w:cs="Arial"/>
          <w:color w:val="000000" w:themeColor="text1"/>
          <w:sz w:val="22"/>
          <w:lang w:val="es-ES_tradnl"/>
        </w:rPr>
        <w:t>1082 de 2015 –antes de la modificación realizada por el Decreto 1860–</w:t>
      </w:r>
      <w:r w:rsidRPr="00434BB4">
        <w:rPr>
          <w:rFonts w:ascii="Arial" w:eastAsia="Calibri" w:hAnsi="Arial" w:cs="Arial"/>
          <w:color w:val="000000" w:themeColor="text1"/>
          <w:sz w:val="22"/>
          <w:lang w:val="es-ES_tradnl"/>
        </w:rPr>
        <w:t xml:space="preserve">? </w:t>
      </w:r>
    </w:p>
    <w:p w14:paraId="42C74D42" w14:textId="2C33C744" w:rsidR="00D14890" w:rsidRPr="00434BB4" w:rsidRDefault="00D14890" w:rsidP="00BF0F70">
      <w:pPr>
        <w:spacing w:after="120"/>
        <w:rPr>
          <w:rFonts w:ascii="Arial" w:eastAsia="Calibri" w:hAnsi="Arial" w:cs="Arial"/>
          <w:color w:val="000000" w:themeColor="text1"/>
          <w:sz w:val="22"/>
          <w:lang w:val="es-ES_tradnl"/>
        </w:rPr>
      </w:pPr>
      <w:r w:rsidRPr="00434BB4">
        <w:rPr>
          <w:rFonts w:ascii="Arial" w:eastAsia="Calibri" w:hAnsi="Arial" w:cs="Arial"/>
          <w:color w:val="000000" w:themeColor="text1"/>
          <w:sz w:val="22"/>
          <w:lang w:val="es-ES_tradnl"/>
        </w:rPr>
        <w:tab/>
        <w:t xml:space="preserve">En principio, dado que </w:t>
      </w:r>
      <w:bookmarkStart w:id="11" w:name="_Hlk69395804"/>
      <w:r w:rsidRPr="00434BB4">
        <w:rPr>
          <w:rFonts w:ascii="Arial" w:eastAsia="Calibri" w:hAnsi="Arial" w:cs="Arial"/>
          <w:color w:val="000000" w:themeColor="text1"/>
          <w:sz w:val="22"/>
          <w:lang w:val="es-ES_tradnl"/>
        </w:rPr>
        <w:t>el artículo 94 de la Ley 1474 de 2011</w:t>
      </w:r>
      <w:bookmarkEnd w:id="11"/>
      <w:r w:rsidRPr="00434BB4">
        <w:rPr>
          <w:rFonts w:ascii="Arial" w:eastAsia="Calibri" w:hAnsi="Arial" w:cs="Arial"/>
          <w:color w:val="000000" w:themeColor="text1"/>
          <w:sz w:val="22"/>
          <w:lang w:val="es-ES_tradnl"/>
        </w:rPr>
        <w:t xml:space="preserve"> fue subrogado por el artículo 30 de la Ley 2069 de 2020, podría concluirse la pérdida de fuerza ejecutoria –o decaimiento– de los artículos </w:t>
      </w:r>
      <w:r w:rsidR="00EC7CBE" w:rsidRPr="00434BB4">
        <w:rPr>
          <w:rFonts w:ascii="Arial" w:eastAsia="Calibri" w:hAnsi="Arial" w:cs="Arial"/>
          <w:color w:val="000000" w:themeColor="text1"/>
          <w:sz w:val="22"/>
          <w:lang w:val="es-ES_tradnl"/>
        </w:rPr>
        <w:t xml:space="preserve">originales </w:t>
      </w:r>
      <w:r w:rsidRPr="00434BB4">
        <w:rPr>
          <w:rFonts w:ascii="Arial" w:eastAsia="Calibri" w:hAnsi="Arial" w:cs="Arial"/>
          <w:color w:val="000000" w:themeColor="text1"/>
          <w:sz w:val="22"/>
          <w:lang w:val="es-ES_tradnl"/>
        </w:rPr>
        <w:t>2.2.1.2.1.5.1 al 2.2.1.2.1.5.4 del Decreto 1082 de 2015, de conformidad con lo establecido en el artículo 91, numeral 2, de la Ley 1437 de 2011</w:t>
      </w:r>
      <w:r w:rsidRPr="00434BB4">
        <w:rPr>
          <w:rStyle w:val="Refdenotaalpie"/>
          <w:rFonts w:ascii="Arial" w:eastAsia="Calibri" w:hAnsi="Arial" w:cs="Arial"/>
          <w:color w:val="000000" w:themeColor="text1"/>
          <w:sz w:val="22"/>
          <w:lang w:val="es-ES_tradnl"/>
        </w:rPr>
        <w:footnoteReference w:id="21"/>
      </w:r>
      <w:r w:rsidRPr="00434BB4">
        <w:rPr>
          <w:rFonts w:ascii="Arial" w:eastAsia="Calibri" w:hAnsi="Arial" w:cs="Arial"/>
          <w:color w:val="000000" w:themeColor="text1"/>
          <w:sz w:val="22"/>
          <w:lang w:val="es-ES_tradnl"/>
        </w:rPr>
        <w:t xml:space="preserve">. Esta conclusión podría sustentarse en dos (2) argumentos. </w:t>
      </w:r>
      <w:r w:rsidRPr="00434BB4">
        <w:rPr>
          <w:rFonts w:ascii="Arial" w:eastAsia="Calibri" w:hAnsi="Arial" w:cs="Arial"/>
          <w:i/>
          <w:iCs/>
          <w:color w:val="000000" w:themeColor="text1"/>
          <w:sz w:val="22"/>
          <w:lang w:val="es-ES_tradnl"/>
        </w:rPr>
        <w:t>Por un lado</w:t>
      </w:r>
      <w:r w:rsidRPr="00434BB4">
        <w:rPr>
          <w:rFonts w:ascii="Arial" w:eastAsia="Calibri" w:hAnsi="Arial" w:cs="Arial"/>
          <w:color w:val="000000" w:themeColor="text1"/>
          <w:sz w:val="22"/>
          <w:lang w:val="es-ES_tradnl"/>
        </w:rPr>
        <w:t xml:space="preserve">, en que el artículo 30 de la Ley 2069 de 2020, en el parágrafo primero, contiene un nuevo mandato de reglamentación. Esto significa que sería voluntad del legislador ordenarle al gobierno nacional que expidiera una nueva reglamentación en la que –además de regular la adquisición a </w:t>
      </w:r>
      <w:proofErr w:type="spellStart"/>
      <w:r w:rsidRPr="00434BB4">
        <w:rPr>
          <w:rFonts w:ascii="Arial" w:eastAsia="Calibri" w:hAnsi="Arial" w:cs="Arial"/>
          <w:color w:val="000000" w:themeColor="text1"/>
          <w:sz w:val="22"/>
          <w:lang w:val="es-ES_tradnl"/>
        </w:rPr>
        <w:t>mipymes</w:t>
      </w:r>
      <w:proofErr w:type="spellEnd"/>
      <w:r w:rsidRPr="00434BB4">
        <w:rPr>
          <w:rFonts w:ascii="Arial" w:eastAsia="Calibri" w:hAnsi="Arial" w:cs="Arial"/>
          <w:color w:val="000000" w:themeColor="text1"/>
          <w:sz w:val="22"/>
          <w:lang w:val="es-ES_tradnl"/>
        </w:rPr>
        <w:t xml:space="preserve">– disponga las particularidades del procedimiento contractual. Por ello, ese mandato, que debería cumplirse en el futuro, mal podría entenderse satisfecho con normas reglamentarias del pasado, como son las </w:t>
      </w:r>
      <w:r w:rsidR="00EC7CBE" w:rsidRPr="00434BB4">
        <w:rPr>
          <w:rFonts w:ascii="Arial" w:eastAsia="Calibri" w:hAnsi="Arial" w:cs="Arial"/>
          <w:color w:val="000000" w:themeColor="text1"/>
          <w:sz w:val="22"/>
          <w:lang w:val="es-ES_tradnl"/>
        </w:rPr>
        <w:t xml:space="preserve">originales </w:t>
      </w:r>
      <w:r w:rsidRPr="00434BB4">
        <w:rPr>
          <w:rFonts w:ascii="Arial" w:eastAsia="Calibri" w:hAnsi="Arial" w:cs="Arial"/>
          <w:color w:val="000000" w:themeColor="text1"/>
          <w:sz w:val="22"/>
          <w:lang w:val="es-ES_tradnl"/>
        </w:rPr>
        <w:t xml:space="preserve">del Decreto 1082 de 2015. </w:t>
      </w:r>
      <w:r w:rsidRPr="00434BB4">
        <w:rPr>
          <w:rFonts w:ascii="Arial" w:eastAsia="Calibri" w:hAnsi="Arial" w:cs="Arial"/>
          <w:i/>
          <w:iCs/>
          <w:color w:val="000000" w:themeColor="text1"/>
          <w:sz w:val="22"/>
          <w:lang w:val="es-ES_tradnl"/>
        </w:rPr>
        <w:t>Por otra parte</w:t>
      </w:r>
      <w:r w:rsidRPr="00434BB4">
        <w:rPr>
          <w:rFonts w:ascii="Arial" w:eastAsia="Calibri" w:hAnsi="Arial" w:cs="Arial"/>
          <w:color w:val="000000" w:themeColor="text1"/>
          <w:sz w:val="22"/>
          <w:lang w:val="es-ES_tradnl"/>
        </w:rPr>
        <w:t xml:space="preserve">, los parágrafos 2 y 3 del numeral 5 del artículo 2 de la Ley 1150 de 2007 fueron modificados por el artículo 30 de la Ley 2069 de 2020, en lo que respecta a la posibilidad de contratar con </w:t>
      </w:r>
      <w:proofErr w:type="spellStart"/>
      <w:r w:rsidRPr="00434BB4">
        <w:rPr>
          <w:rFonts w:ascii="Arial" w:eastAsia="Calibri" w:hAnsi="Arial" w:cs="Arial"/>
          <w:color w:val="000000" w:themeColor="text1"/>
          <w:sz w:val="22"/>
          <w:lang w:val="es-ES_tradnl"/>
        </w:rPr>
        <w:t>mipymes</w:t>
      </w:r>
      <w:proofErr w:type="spellEnd"/>
      <w:r w:rsidRPr="00434BB4">
        <w:rPr>
          <w:rFonts w:ascii="Arial" w:eastAsia="Calibri" w:hAnsi="Arial" w:cs="Arial"/>
          <w:color w:val="000000" w:themeColor="text1"/>
          <w:sz w:val="22"/>
          <w:lang w:val="es-ES_tradnl"/>
        </w:rPr>
        <w:t xml:space="preserve"> y de aplicar el artículo 12 de la Ley 1150 de 2007. </w:t>
      </w:r>
      <w:r w:rsidRPr="00434BB4">
        <w:rPr>
          <w:rFonts w:ascii="Arial" w:eastAsia="Calibri" w:hAnsi="Arial" w:cs="Arial"/>
          <w:color w:val="000000" w:themeColor="text1"/>
          <w:sz w:val="22"/>
          <w:lang w:val="es-ES_tradnl"/>
        </w:rPr>
        <w:lastRenderedPageBreak/>
        <w:t>Tales cambios exigen una reglamentación distinta del mandato legal, aunque esto no obsta para la aplicación inmediata del artículo 30 de la Ley 2069 de 2020</w:t>
      </w:r>
      <w:r w:rsidR="00EC7CBE" w:rsidRPr="00434BB4">
        <w:rPr>
          <w:rFonts w:ascii="Arial" w:eastAsia="Calibri" w:hAnsi="Arial" w:cs="Arial"/>
          <w:color w:val="000000" w:themeColor="text1"/>
          <w:sz w:val="22"/>
          <w:lang w:val="es-ES_tradnl"/>
        </w:rPr>
        <w:t>, esto es, antes de que empiecen a regir las disposiciones del Decreto 1860 del 24 de diciembre de 2021</w:t>
      </w:r>
      <w:r w:rsidRPr="00434BB4">
        <w:rPr>
          <w:rFonts w:ascii="Arial" w:eastAsia="Calibri" w:hAnsi="Arial" w:cs="Arial"/>
          <w:color w:val="000000" w:themeColor="text1"/>
          <w:sz w:val="22"/>
          <w:lang w:val="es-ES_tradnl"/>
        </w:rPr>
        <w:t>.</w:t>
      </w:r>
    </w:p>
    <w:p w14:paraId="72EBBC22" w14:textId="59705205" w:rsidR="00D14890" w:rsidRPr="00434BB4" w:rsidRDefault="00D14890" w:rsidP="00BF0F70">
      <w:pPr>
        <w:spacing w:after="0"/>
        <w:rPr>
          <w:rFonts w:ascii="Arial" w:eastAsia="Calibri" w:hAnsi="Arial" w:cs="Arial"/>
          <w:bCs/>
          <w:color w:val="000000" w:themeColor="text1"/>
          <w:sz w:val="22"/>
          <w:lang w:val="es-ES_tradnl"/>
        </w:rPr>
      </w:pPr>
      <w:r w:rsidRPr="00434BB4">
        <w:rPr>
          <w:rFonts w:ascii="Arial" w:eastAsia="Calibri" w:hAnsi="Arial" w:cs="Arial"/>
          <w:color w:val="000000" w:themeColor="text1"/>
          <w:sz w:val="22"/>
          <w:lang w:val="es-ES_tradnl"/>
        </w:rPr>
        <w:tab/>
        <w:t xml:space="preserve">Esta argumentación sería coherente con lo explicado por esta Agencia a partir del </w:t>
      </w:r>
      <w:r w:rsidRPr="00434BB4">
        <w:rPr>
          <w:rFonts w:ascii="Arial" w:eastAsia="Calibri" w:hAnsi="Arial" w:cs="Arial"/>
          <w:bCs/>
          <w:sz w:val="22"/>
          <w:lang w:val="es-ES_tradnl"/>
        </w:rPr>
        <w:t xml:space="preserve">Concepto C-043 del 9 de febrero de 2020, </w:t>
      </w:r>
      <w:r w:rsidRPr="00434BB4">
        <w:rPr>
          <w:rFonts w:ascii="Arial" w:eastAsia="Calibri" w:hAnsi="Arial" w:cs="Arial"/>
          <w:bCs/>
          <w:color w:val="000000" w:themeColor="text1"/>
          <w:sz w:val="22"/>
          <w:lang w:val="es-ES_tradnl"/>
        </w:rPr>
        <w:t xml:space="preserve">en relación con las convocatorias limitadas a </w:t>
      </w:r>
      <w:proofErr w:type="spellStart"/>
      <w:r w:rsidRPr="00434BB4">
        <w:rPr>
          <w:rFonts w:ascii="Arial" w:eastAsia="Calibri" w:hAnsi="Arial" w:cs="Arial"/>
          <w:bCs/>
          <w:color w:val="000000" w:themeColor="text1"/>
          <w:sz w:val="22"/>
          <w:lang w:val="es-ES_tradnl"/>
        </w:rPr>
        <w:t>mipymes</w:t>
      </w:r>
      <w:proofErr w:type="spellEnd"/>
      <w:r w:rsidRPr="00434BB4">
        <w:rPr>
          <w:rFonts w:ascii="Arial" w:eastAsia="Calibri" w:hAnsi="Arial" w:cs="Arial"/>
          <w:bCs/>
          <w:sz w:val="22"/>
          <w:lang w:val="es-ES_tradnl"/>
        </w:rPr>
        <w:t xml:space="preserve">. Con las precisiones doctrinales posteriores, </w:t>
      </w:r>
      <w:r w:rsidRPr="00434BB4">
        <w:rPr>
          <w:rFonts w:ascii="Arial" w:eastAsia="Calibri" w:hAnsi="Arial" w:cs="Arial"/>
          <w:bCs/>
          <w:color w:val="000000" w:themeColor="text1"/>
          <w:sz w:val="22"/>
          <w:lang w:val="es-ES_tradnl"/>
        </w:rPr>
        <w:t xml:space="preserve">además de la pérdida de fuerza ejecutoria de los artículos 2.2.1.2.4.2.2 y 2.2.1.2.4.2.3 del Decreto 1082 de 2015 por la desaparición de su fundamento de derecho, se advierte una manifiesta oposición entre dichos enunciados normativos y el nuevo contenido del artículo 12 de la Ley 1150 de 2007, modificado por el artículo 34 de la Ley 2069 de 2020. Ante esta contradicción, debe aplicarse la consecuencia jurídica prevista en el artículo 84 de la Ley 2069 de 2020, según la cual esta «deroga […] todas las disposiciones que le sean contrarias». Por ello, puede afirmarse que, además del decaimiento de los artículos 2.2.1.2.4.2.2 y 2.2.1.2.4.2.3 </w:t>
      </w:r>
      <w:r w:rsidR="00BC58B3" w:rsidRPr="00434BB4">
        <w:rPr>
          <w:rFonts w:ascii="Arial" w:eastAsia="Calibri" w:hAnsi="Arial" w:cs="Arial"/>
          <w:bCs/>
          <w:color w:val="000000" w:themeColor="text1"/>
          <w:sz w:val="22"/>
          <w:lang w:val="es-ES_tradnl"/>
        </w:rPr>
        <w:t xml:space="preserve">originales </w:t>
      </w:r>
      <w:r w:rsidRPr="00434BB4">
        <w:rPr>
          <w:rFonts w:ascii="Arial" w:eastAsia="Calibri" w:hAnsi="Arial" w:cs="Arial"/>
          <w:bCs/>
          <w:color w:val="000000" w:themeColor="text1"/>
          <w:sz w:val="22"/>
          <w:lang w:val="es-ES_tradnl"/>
        </w:rPr>
        <w:t>del Decreto 1082 de 2015</w:t>
      </w:r>
      <w:r w:rsidR="00BC58B3" w:rsidRPr="00434BB4">
        <w:rPr>
          <w:rFonts w:ascii="Arial" w:eastAsia="Calibri" w:hAnsi="Arial" w:cs="Arial"/>
          <w:bCs/>
          <w:color w:val="000000" w:themeColor="text1"/>
          <w:sz w:val="22"/>
          <w:lang w:val="es-ES_tradnl"/>
        </w:rPr>
        <w:t xml:space="preserve"> –antes de la modificación del Decreto 1860–</w:t>
      </w:r>
      <w:r w:rsidRPr="00434BB4">
        <w:rPr>
          <w:rFonts w:ascii="Arial" w:eastAsia="Calibri" w:hAnsi="Arial" w:cs="Arial"/>
          <w:bCs/>
          <w:color w:val="000000" w:themeColor="text1"/>
          <w:sz w:val="22"/>
          <w:lang w:val="es-ES_tradnl"/>
        </w:rPr>
        <w:t xml:space="preserve">, </w:t>
      </w:r>
      <w:r w:rsidR="00BC58B3" w:rsidRPr="00434BB4">
        <w:rPr>
          <w:rFonts w:ascii="Arial" w:eastAsia="Calibri" w:hAnsi="Arial" w:cs="Arial"/>
          <w:bCs/>
          <w:color w:val="000000" w:themeColor="text1"/>
          <w:sz w:val="22"/>
          <w:lang w:val="es-ES_tradnl"/>
        </w:rPr>
        <w:t>se entendieron</w:t>
      </w:r>
      <w:r w:rsidRPr="00434BB4">
        <w:rPr>
          <w:rFonts w:ascii="Arial" w:eastAsia="Calibri" w:hAnsi="Arial" w:cs="Arial"/>
          <w:bCs/>
          <w:color w:val="000000" w:themeColor="text1"/>
          <w:sz w:val="22"/>
          <w:lang w:val="es-ES_tradnl"/>
        </w:rPr>
        <w:t xml:space="preserve"> derogados</w:t>
      </w:r>
      <w:r w:rsidR="00D46A61" w:rsidRPr="00434BB4">
        <w:rPr>
          <w:rFonts w:ascii="Arial" w:eastAsia="Calibri" w:hAnsi="Arial" w:cs="Arial"/>
          <w:bCs/>
          <w:color w:val="000000" w:themeColor="text1"/>
          <w:sz w:val="22"/>
          <w:lang w:val="es-ES_tradnl"/>
        </w:rPr>
        <w:t>, de acuerdo con el artículo 84 ibídem</w:t>
      </w:r>
      <w:r w:rsidRPr="00434BB4">
        <w:rPr>
          <w:rFonts w:ascii="Arial" w:eastAsia="Calibri" w:hAnsi="Arial" w:cs="Arial"/>
          <w:bCs/>
          <w:color w:val="000000" w:themeColor="text1"/>
          <w:sz w:val="22"/>
          <w:lang w:val="es-ES_tradnl"/>
        </w:rPr>
        <w:t>. Al respecto, el concepto anteriormente citado precisa que:</w:t>
      </w:r>
    </w:p>
    <w:p w14:paraId="339B6469" w14:textId="4B68B75B" w:rsidR="00A544F0" w:rsidRPr="00434BB4" w:rsidRDefault="00D14890" w:rsidP="00BF0F70">
      <w:pPr>
        <w:spacing w:after="0"/>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t xml:space="preserve"> </w:t>
      </w:r>
    </w:p>
    <w:p w14:paraId="2755C249" w14:textId="77777777" w:rsidR="00D14890" w:rsidRPr="00434BB4" w:rsidRDefault="00D14890" w:rsidP="00BF0F70">
      <w:pPr>
        <w:spacing w:after="0" w:line="240" w:lineRule="auto"/>
        <w:ind w:left="709" w:right="709"/>
        <w:rPr>
          <w:rFonts w:ascii="Arial" w:eastAsia="Calibri" w:hAnsi="Arial" w:cs="Arial"/>
          <w:bCs/>
          <w:color w:val="000000" w:themeColor="text1"/>
          <w:sz w:val="21"/>
          <w:szCs w:val="21"/>
          <w:lang w:val="es-ES_tradnl"/>
        </w:rPr>
      </w:pPr>
      <w:r w:rsidRPr="00434BB4">
        <w:rPr>
          <w:rFonts w:ascii="Arial" w:eastAsia="Calibri" w:hAnsi="Arial" w:cs="Arial"/>
          <w:bCs/>
          <w:color w:val="000000" w:themeColor="text1"/>
          <w:sz w:val="21"/>
          <w:szCs w:val="21"/>
          <w:lang w:val="es-ES_tradnl"/>
        </w:rPr>
        <w:t xml:space="preserve">[…] el artículo 34, reiteradamente, señala que el gobierno nacional debe definir las condiciones para la aplicación de las reglas recientemente expedidas, que permitan llevar a cabo las convocatorias limitadas a </w:t>
      </w:r>
      <w:proofErr w:type="spellStart"/>
      <w:r w:rsidRPr="00434BB4">
        <w:rPr>
          <w:rFonts w:ascii="Arial" w:eastAsia="Calibri" w:hAnsi="Arial" w:cs="Arial"/>
          <w:bCs/>
          <w:color w:val="000000" w:themeColor="text1"/>
          <w:sz w:val="21"/>
          <w:szCs w:val="21"/>
          <w:lang w:val="es-ES_tradnl"/>
        </w:rPr>
        <w:t>mipymes</w:t>
      </w:r>
      <w:proofErr w:type="spellEnd"/>
      <w:r w:rsidRPr="00434BB4">
        <w:rPr>
          <w:rFonts w:ascii="Arial" w:eastAsia="Calibri" w:hAnsi="Arial" w:cs="Arial"/>
          <w:bCs/>
          <w:color w:val="000000" w:themeColor="text1"/>
          <w:sz w:val="21"/>
          <w:szCs w:val="21"/>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434BB4">
        <w:rPr>
          <w:rFonts w:ascii="Arial" w:eastAsia="Calibri" w:hAnsi="Arial" w:cs="Arial"/>
          <w:bCs/>
          <w:color w:val="000000" w:themeColor="text1"/>
          <w:sz w:val="21"/>
          <w:szCs w:val="21"/>
          <w:lang w:val="es-ES_tradnl"/>
        </w:rPr>
        <w:t>mipymes</w:t>
      </w:r>
      <w:proofErr w:type="spellEnd"/>
      <w:r w:rsidRPr="00434BB4">
        <w:rPr>
          <w:rFonts w:ascii="Arial" w:eastAsia="Calibri" w:hAnsi="Arial" w:cs="Arial"/>
          <w:bCs/>
          <w:color w:val="000000" w:themeColor="text1"/>
          <w:sz w:val="21"/>
          <w:szCs w:val="21"/>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434BB4">
        <w:rPr>
          <w:rFonts w:ascii="Arial" w:eastAsia="Calibri" w:hAnsi="Arial" w:cs="Arial"/>
          <w:bCs/>
          <w:color w:val="000000" w:themeColor="text1"/>
          <w:sz w:val="21"/>
          <w:szCs w:val="21"/>
          <w:lang w:val="es-ES_tradnl"/>
        </w:rPr>
        <w:t>mipymes</w:t>
      </w:r>
      <w:proofErr w:type="spellEnd"/>
      <w:r w:rsidRPr="00434BB4">
        <w:rPr>
          <w:rFonts w:ascii="Arial" w:eastAsia="Calibri" w:hAnsi="Arial" w:cs="Arial"/>
          <w:bCs/>
          <w:color w:val="000000" w:themeColor="text1"/>
          <w:sz w:val="21"/>
          <w:szCs w:val="21"/>
          <w:lang w:val="es-ES_tradnl"/>
        </w:rPr>
        <w:t>, pues al tenor del artículo 34 de la Ley 2069 de 2020, la eficacia de esta norma quedó condicionada a la expedición del decreto reglamentario que fije las condiciones de su operatividad.</w:t>
      </w:r>
    </w:p>
    <w:p w14:paraId="200B33F4" w14:textId="77777777" w:rsidR="00D14890" w:rsidRPr="00434BB4" w:rsidRDefault="00D14890" w:rsidP="00BF0F70">
      <w:pPr>
        <w:spacing w:after="0"/>
        <w:ind w:left="709" w:right="709"/>
        <w:rPr>
          <w:rFonts w:ascii="Arial" w:eastAsia="Calibri" w:hAnsi="Arial" w:cs="Arial"/>
          <w:bCs/>
          <w:color w:val="000000" w:themeColor="text1"/>
          <w:sz w:val="22"/>
          <w:lang w:val="es-ES_tradnl"/>
        </w:rPr>
      </w:pPr>
    </w:p>
    <w:p w14:paraId="68D4CB6A" w14:textId="2ECD1829" w:rsidR="00D14890" w:rsidRPr="00434BB4" w:rsidRDefault="00D14890" w:rsidP="00D14890">
      <w:pPr>
        <w:spacing w:after="120"/>
        <w:rPr>
          <w:rFonts w:ascii="Arial" w:eastAsia="Calibri" w:hAnsi="Arial" w:cs="Arial"/>
          <w:color w:val="000000" w:themeColor="text1"/>
          <w:sz w:val="22"/>
          <w:lang w:val="es-ES_tradnl"/>
        </w:rPr>
      </w:pPr>
      <w:r w:rsidRPr="00434BB4">
        <w:rPr>
          <w:rFonts w:ascii="Arial" w:eastAsia="Calibri" w:hAnsi="Arial" w:cs="Arial"/>
          <w:bCs/>
          <w:color w:val="000000" w:themeColor="text1"/>
          <w:sz w:val="22"/>
          <w:lang w:val="es-ES_tradnl"/>
        </w:rPr>
        <w:tab/>
        <w:t>Aplicando analógicamente este razonamiento a la mínima cuantía, debería concluirse que, como los</w:t>
      </w:r>
      <w:r w:rsidRPr="00434BB4">
        <w:rPr>
          <w:rFonts w:ascii="Arial" w:eastAsia="Calibri" w:hAnsi="Arial" w:cs="Arial"/>
          <w:color w:val="000000" w:themeColor="text1"/>
          <w:sz w:val="22"/>
          <w:lang w:val="es-ES_tradnl"/>
        </w:rPr>
        <w:t xml:space="preserve"> artículos</w:t>
      </w:r>
      <w:r w:rsidR="00EC7CBE" w:rsidRPr="00434BB4">
        <w:rPr>
          <w:rFonts w:ascii="Arial" w:eastAsia="Calibri" w:hAnsi="Arial" w:cs="Arial"/>
          <w:color w:val="000000" w:themeColor="text1"/>
          <w:sz w:val="22"/>
          <w:lang w:val="es-ES_tradnl"/>
        </w:rPr>
        <w:t xml:space="preserve"> originales</w:t>
      </w:r>
      <w:r w:rsidRPr="00434BB4">
        <w:rPr>
          <w:rFonts w:ascii="Arial" w:eastAsia="Calibri" w:hAnsi="Arial" w:cs="Arial"/>
          <w:color w:val="000000" w:themeColor="text1"/>
          <w:sz w:val="22"/>
          <w:lang w:val="es-ES_tradnl"/>
        </w:rPr>
        <w:t xml:space="preserve"> 2.2.1.2.1.5.1 al 2.2.1.2.1.5.4 del Decreto 1082 de 2015 reglamentaban el artículo 94 de la Ley 1474 de 2011, con el artículo 30 de la Ley 2069 de 2020 es necesaria una nueva reglamentación del parágrafo primero que defina las particularidades del procedimiento de selección. Esto en la medida que las normas citadas del decreto reglamentario perderían su fundamento jurídico por la sustitución del contenido del numeral 5 del artículo 2 de la Ley 1150 de 2007. </w:t>
      </w:r>
    </w:p>
    <w:p w14:paraId="468C8F0E" w14:textId="48F6E526" w:rsidR="00D14890" w:rsidRPr="00434BB4" w:rsidRDefault="00D14890" w:rsidP="00BF0F70">
      <w:pPr>
        <w:tabs>
          <w:tab w:val="left" w:pos="709"/>
        </w:tabs>
        <w:spacing w:after="0"/>
        <w:rPr>
          <w:rFonts w:ascii="Arial" w:eastAsia="Calibri" w:hAnsi="Arial" w:cs="Arial"/>
          <w:bCs/>
          <w:color w:val="000000" w:themeColor="text1"/>
          <w:sz w:val="22"/>
          <w:lang w:val="es-ES_tradnl"/>
        </w:rPr>
      </w:pPr>
      <w:r w:rsidRPr="00434BB4">
        <w:rPr>
          <w:rFonts w:ascii="Arial" w:eastAsia="Calibri" w:hAnsi="Arial" w:cs="Arial"/>
          <w:color w:val="000000" w:themeColor="text1"/>
          <w:sz w:val="22"/>
          <w:lang w:val="es-ES_tradnl"/>
        </w:rPr>
        <w:tab/>
        <w:t xml:space="preserve">Aunque el argumento es plausible, para la Subdirección de Gestión Contractual las consideraciones relacionadas con la limitación a </w:t>
      </w:r>
      <w:proofErr w:type="spellStart"/>
      <w:r w:rsidRPr="00434BB4">
        <w:rPr>
          <w:rFonts w:ascii="Arial" w:eastAsia="Calibri" w:hAnsi="Arial" w:cs="Arial"/>
          <w:color w:val="000000" w:themeColor="text1"/>
          <w:sz w:val="22"/>
          <w:lang w:val="es-ES_tradnl"/>
        </w:rPr>
        <w:t>mipymes</w:t>
      </w:r>
      <w:proofErr w:type="spellEnd"/>
      <w:r w:rsidRPr="00434BB4">
        <w:rPr>
          <w:rFonts w:ascii="Arial" w:eastAsia="Calibri" w:hAnsi="Arial" w:cs="Arial"/>
          <w:color w:val="000000" w:themeColor="text1"/>
          <w:sz w:val="22"/>
          <w:lang w:val="es-ES_tradnl"/>
        </w:rPr>
        <w:t xml:space="preserve"> no son aplicables a la regulación </w:t>
      </w:r>
      <w:r w:rsidRPr="00434BB4">
        <w:rPr>
          <w:rFonts w:ascii="Arial" w:eastAsia="Calibri" w:hAnsi="Arial" w:cs="Arial"/>
          <w:color w:val="000000" w:themeColor="text1"/>
          <w:sz w:val="22"/>
          <w:lang w:val="es-ES_tradnl"/>
        </w:rPr>
        <w:lastRenderedPageBreak/>
        <w:t>de la mínima cuantía, ya que tienen un alcance diferente. E</w:t>
      </w:r>
      <w:r w:rsidRPr="00434BB4">
        <w:rPr>
          <w:rFonts w:ascii="Arial" w:eastAsia="Calibri" w:hAnsi="Arial" w:cs="Arial"/>
          <w:bCs/>
          <w:color w:val="000000" w:themeColor="text1"/>
          <w:sz w:val="22"/>
          <w:lang w:val="es-ES_tradnl"/>
        </w:rPr>
        <w:t xml:space="preserve">l artículo 34 </w:t>
      </w:r>
      <w:r w:rsidRPr="00434BB4">
        <w:rPr>
          <w:rFonts w:ascii="Arial" w:eastAsia="Calibri" w:hAnsi="Arial" w:cs="Arial"/>
          <w:bCs/>
          <w:i/>
          <w:iCs/>
          <w:color w:val="000000" w:themeColor="text1"/>
          <w:sz w:val="22"/>
          <w:lang w:val="es-ES_tradnl"/>
        </w:rPr>
        <w:t>ibidem</w:t>
      </w:r>
      <w:r w:rsidRPr="00434BB4">
        <w:rPr>
          <w:rFonts w:ascii="Arial" w:eastAsia="Calibri" w:hAnsi="Arial" w:cs="Arial"/>
          <w:bCs/>
          <w:color w:val="000000" w:themeColor="text1"/>
          <w:sz w:val="22"/>
          <w:lang w:val="es-ES_tradnl"/>
        </w:rPr>
        <w:t xml:space="preserve"> modifica el artículo 12 de la Ley 1150 de 2007, el cual regula la promoción del desarrollo en la contratación pública. Inicialmente, la redacción de la Ley 1150 fue modificada por el artículo 32 de la Ley 1450 de 2011, pero esta última fue derogada con la expedición de la Ley de Emprendimiento. Al respecto, la norma dispone:</w:t>
      </w:r>
      <w:r w:rsidR="0013758A" w:rsidRPr="00434BB4">
        <w:rPr>
          <w:rFonts w:ascii="Arial" w:eastAsia="Calibri" w:hAnsi="Arial" w:cs="Arial"/>
          <w:bCs/>
          <w:color w:val="000000" w:themeColor="text1"/>
          <w:sz w:val="22"/>
          <w:lang w:val="es-ES_tradnl"/>
        </w:rPr>
        <w:t xml:space="preserve"> </w:t>
      </w:r>
    </w:p>
    <w:p w14:paraId="1500C4A7" w14:textId="77777777" w:rsidR="00A544F0" w:rsidRPr="00434BB4" w:rsidRDefault="00A544F0" w:rsidP="00BF0F70">
      <w:pPr>
        <w:tabs>
          <w:tab w:val="left" w:pos="709"/>
        </w:tabs>
        <w:spacing w:after="0"/>
        <w:rPr>
          <w:rFonts w:ascii="Arial" w:eastAsia="Calibri" w:hAnsi="Arial" w:cs="Arial"/>
          <w:bCs/>
          <w:color w:val="000000" w:themeColor="text1"/>
          <w:sz w:val="22"/>
          <w:lang w:val="es-ES_tradnl"/>
        </w:rPr>
      </w:pPr>
    </w:p>
    <w:p w14:paraId="7FEFE3FE" w14:textId="77777777" w:rsidR="00D14890" w:rsidRPr="00434BB4" w:rsidRDefault="00D14890" w:rsidP="00BF0F70">
      <w:pPr>
        <w:tabs>
          <w:tab w:val="left" w:pos="1276"/>
        </w:tabs>
        <w:spacing w:after="120" w:line="240" w:lineRule="auto"/>
        <w:ind w:left="709" w:right="709"/>
        <w:rPr>
          <w:rFonts w:ascii="Arial" w:eastAsia="Calibri" w:hAnsi="Arial" w:cs="Arial"/>
          <w:bCs/>
          <w:color w:val="000000" w:themeColor="text1"/>
          <w:sz w:val="21"/>
          <w:szCs w:val="21"/>
          <w:lang w:val="es-ES_tradnl"/>
        </w:rPr>
      </w:pPr>
      <w:r w:rsidRPr="00434BB4">
        <w:rPr>
          <w:rFonts w:ascii="Arial" w:eastAsia="Calibri" w:hAnsi="Arial" w:cs="Arial"/>
          <w:bCs/>
          <w:color w:val="000000" w:themeColor="text1"/>
          <w:sz w:val="21"/>
          <w:szCs w:val="21"/>
          <w:lang w:val="es-ES_tradnl"/>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w:t>
      </w:r>
      <w:r w:rsidRPr="00434BB4">
        <w:rPr>
          <w:rFonts w:ascii="Arial" w:eastAsia="Calibri" w:hAnsi="Arial" w:cs="Arial"/>
          <w:bCs/>
          <w:i/>
          <w:iCs/>
          <w:color w:val="000000" w:themeColor="text1"/>
          <w:sz w:val="21"/>
          <w:szCs w:val="21"/>
          <w:lang w:val="es-ES_tradnl"/>
        </w:rPr>
        <w:t>indistintamente de su régimen de contratación, los patrimonios autónomos constituidos por Entidades Estatales y los particulares que ejecuten recursos públicos,</w:t>
      </w:r>
      <w:r w:rsidRPr="00434BB4">
        <w:rPr>
          <w:rFonts w:ascii="Arial" w:eastAsia="Calibri" w:hAnsi="Arial" w:cs="Arial"/>
          <w:bCs/>
          <w:color w:val="000000" w:themeColor="text1"/>
          <w:sz w:val="21"/>
          <w:szCs w:val="21"/>
          <w:lang w:val="es-ES_tradnl"/>
        </w:rPr>
        <w:t xml:space="preserve"> adopten en beneficio de las </w:t>
      </w:r>
      <w:proofErr w:type="spellStart"/>
      <w:r w:rsidRPr="00434BB4">
        <w:rPr>
          <w:rFonts w:ascii="Arial" w:eastAsia="Calibri" w:hAnsi="Arial" w:cs="Arial"/>
          <w:bCs/>
          <w:color w:val="000000" w:themeColor="text1"/>
          <w:sz w:val="21"/>
          <w:szCs w:val="21"/>
          <w:lang w:val="es-ES_tradnl"/>
        </w:rPr>
        <w:t>Mipyme</w:t>
      </w:r>
      <w:proofErr w:type="spellEnd"/>
      <w:r w:rsidRPr="00434BB4">
        <w:rPr>
          <w:rFonts w:ascii="Arial" w:eastAsia="Calibri" w:hAnsi="Arial" w:cs="Arial"/>
          <w:bCs/>
          <w:color w:val="000000" w:themeColor="text1"/>
          <w:sz w:val="21"/>
          <w:szCs w:val="21"/>
          <w:lang w:val="es-ES_tradnl"/>
        </w:rPr>
        <w:t xml:space="preserve">, convocatorias limitadas a estas en las que, previo a la Resolución de apertura del proceso respectivo, se haya manifestado el interés </w:t>
      </w:r>
      <w:r w:rsidRPr="00434BB4">
        <w:rPr>
          <w:rFonts w:ascii="Arial" w:eastAsia="Calibri" w:hAnsi="Arial" w:cs="Arial"/>
          <w:bCs/>
          <w:i/>
          <w:iCs/>
          <w:color w:val="000000" w:themeColor="text1"/>
          <w:sz w:val="21"/>
          <w:szCs w:val="21"/>
          <w:lang w:val="es-ES_tradnl"/>
        </w:rPr>
        <w:t xml:space="preserve">de por lo menos dos (2) </w:t>
      </w:r>
      <w:proofErr w:type="spellStart"/>
      <w:r w:rsidRPr="00434BB4">
        <w:rPr>
          <w:rFonts w:ascii="Arial" w:eastAsia="Calibri" w:hAnsi="Arial" w:cs="Arial"/>
          <w:bCs/>
          <w:i/>
          <w:iCs/>
          <w:color w:val="000000" w:themeColor="text1"/>
          <w:sz w:val="21"/>
          <w:szCs w:val="21"/>
          <w:lang w:val="es-ES_tradnl"/>
        </w:rPr>
        <w:t>Mipyme</w:t>
      </w:r>
      <w:proofErr w:type="spellEnd"/>
      <w:r w:rsidRPr="00434BB4">
        <w:rPr>
          <w:rFonts w:ascii="Arial" w:eastAsia="Calibri" w:hAnsi="Arial" w:cs="Arial"/>
          <w:bCs/>
          <w:color w:val="000000" w:themeColor="text1"/>
          <w:sz w:val="21"/>
          <w:szCs w:val="21"/>
          <w:lang w:val="es-ES_tradnl"/>
        </w:rPr>
        <w:t>.</w:t>
      </w:r>
    </w:p>
    <w:p w14:paraId="310A91AB" w14:textId="77777777" w:rsidR="00D14890" w:rsidRPr="00434BB4" w:rsidRDefault="00D14890" w:rsidP="00BF0F70">
      <w:pPr>
        <w:tabs>
          <w:tab w:val="left" w:pos="1276"/>
        </w:tabs>
        <w:spacing w:after="120" w:line="240" w:lineRule="auto"/>
        <w:ind w:left="709" w:right="709"/>
        <w:rPr>
          <w:rFonts w:ascii="Arial" w:eastAsia="Calibri" w:hAnsi="Arial" w:cs="Arial"/>
          <w:bCs/>
          <w:color w:val="000000" w:themeColor="text1"/>
          <w:sz w:val="21"/>
          <w:szCs w:val="21"/>
          <w:lang w:val="es-ES_tradnl"/>
        </w:rPr>
      </w:pPr>
      <w:r w:rsidRPr="00434BB4">
        <w:rPr>
          <w:rFonts w:ascii="Arial" w:eastAsia="Calibri" w:hAnsi="Arial" w:cs="Arial"/>
          <w:bCs/>
          <w:color w:val="000000" w:themeColor="text1"/>
          <w:sz w:val="21"/>
          <w:szCs w:val="21"/>
          <w:lang w:val="es-ES_tradnl"/>
        </w:rPr>
        <w:t xml:space="preserve">Asimismo, el reglamento podrá establecer condiciones preferenciales en favor de la oferta de bienes y servicios producidos por las </w:t>
      </w:r>
      <w:proofErr w:type="spellStart"/>
      <w:r w:rsidRPr="00434BB4">
        <w:rPr>
          <w:rFonts w:ascii="Arial" w:eastAsia="Calibri" w:hAnsi="Arial" w:cs="Arial"/>
          <w:bCs/>
          <w:color w:val="000000" w:themeColor="text1"/>
          <w:sz w:val="21"/>
          <w:szCs w:val="21"/>
          <w:lang w:val="es-ES_tradnl"/>
        </w:rPr>
        <w:t>Mipyme</w:t>
      </w:r>
      <w:proofErr w:type="spellEnd"/>
      <w:r w:rsidRPr="00434BB4">
        <w:rPr>
          <w:rFonts w:ascii="Arial" w:eastAsia="Calibri" w:hAnsi="Arial" w:cs="Arial"/>
          <w:bCs/>
          <w:color w:val="000000" w:themeColor="text1"/>
          <w:sz w:val="21"/>
          <w:szCs w:val="21"/>
          <w:lang w:val="es-ES_tradnl"/>
        </w:rPr>
        <w:t>, respetando los montos y las condiciones contenidas en los compromisos internacionales vigentes</w:t>
      </w:r>
      <w:r w:rsidRPr="00434BB4">
        <w:rPr>
          <w:rFonts w:ascii="Arial" w:eastAsia="Calibri" w:hAnsi="Arial" w:cs="Arial"/>
          <w:bCs/>
          <w:i/>
          <w:iCs/>
          <w:color w:val="000000" w:themeColor="text1"/>
          <w:sz w:val="21"/>
          <w:szCs w:val="21"/>
          <w:lang w:val="es-ES_tradnl"/>
        </w:rPr>
        <w:t>, cuando sean aplicables</w:t>
      </w:r>
      <w:r w:rsidRPr="00434BB4">
        <w:rPr>
          <w:rFonts w:ascii="Arial" w:eastAsia="Calibri" w:hAnsi="Arial" w:cs="Arial"/>
          <w:bCs/>
          <w:color w:val="000000" w:themeColor="text1"/>
          <w:sz w:val="21"/>
          <w:szCs w:val="21"/>
          <w:lang w:val="es-ES_tradnl"/>
        </w:rPr>
        <w:t>.</w:t>
      </w:r>
    </w:p>
    <w:p w14:paraId="7D83137A" w14:textId="77777777" w:rsidR="00D14890" w:rsidRPr="00434BB4" w:rsidRDefault="00D14890" w:rsidP="00BF0F70">
      <w:pPr>
        <w:tabs>
          <w:tab w:val="left" w:pos="1276"/>
        </w:tabs>
        <w:spacing w:after="0" w:line="240" w:lineRule="auto"/>
        <w:ind w:left="709" w:right="709"/>
        <w:rPr>
          <w:rFonts w:ascii="Arial" w:eastAsia="Calibri" w:hAnsi="Arial" w:cs="Arial"/>
          <w:bCs/>
          <w:color w:val="000000" w:themeColor="text1"/>
          <w:sz w:val="21"/>
          <w:szCs w:val="21"/>
          <w:lang w:val="es-ES_tradnl"/>
        </w:rPr>
      </w:pPr>
      <w:r w:rsidRPr="00434BB4">
        <w:rPr>
          <w:rFonts w:ascii="Arial" w:eastAsia="Calibri" w:hAnsi="Arial" w:cs="Arial"/>
          <w:bCs/>
          <w:color w:val="000000" w:themeColor="text1"/>
          <w:sz w:val="21"/>
          <w:szCs w:val="21"/>
          <w:lang w:val="es-ES_tradnl"/>
        </w:rPr>
        <w:t>En todo caso, se deberá garantizar la satisfacción de las condiciones técnicas y económicas requeridas en el Proceso de Contratación</w:t>
      </w:r>
      <w:r w:rsidRPr="00434BB4">
        <w:rPr>
          <w:rStyle w:val="Refdenotaalpie"/>
          <w:rFonts w:ascii="Arial" w:eastAsia="Calibri" w:hAnsi="Arial" w:cs="Arial"/>
          <w:bCs/>
          <w:color w:val="000000" w:themeColor="text1"/>
          <w:sz w:val="21"/>
          <w:szCs w:val="21"/>
          <w:lang w:val="es-ES_tradnl"/>
        </w:rPr>
        <w:footnoteReference w:id="22"/>
      </w:r>
      <w:r w:rsidRPr="00434BB4">
        <w:rPr>
          <w:rFonts w:ascii="Arial" w:eastAsia="Calibri" w:hAnsi="Arial" w:cs="Arial"/>
          <w:bCs/>
          <w:color w:val="000000" w:themeColor="text1"/>
          <w:sz w:val="21"/>
          <w:szCs w:val="21"/>
          <w:lang w:val="es-ES_tradnl"/>
        </w:rPr>
        <w:t>. (Énfasis fuera de texto)</w:t>
      </w:r>
    </w:p>
    <w:p w14:paraId="288F1EAA" w14:textId="77777777" w:rsidR="00D14890" w:rsidRPr="00434BB4" w:rsidRDefault="00D14890" w:rsidP="00BF0F70">
      <w:pPr>
        <w:tabs>
          <w:tab w:val="left" w:pos="1276"/>
        </w:tabs>
        <w:spacing w:after="0"/>
        <w:ind w:left="709" w:right="709"/>
        <w:rPr>
          <w:rFonts w:ascii="Arial" w:eastAsia="Calibri" w:hAnsi="Arial" w:cs="Arial"/>
          <w:bCs/>
          <w:color w:val="000000" w:themeColor="text1"/>
          <w:sz w:val="22"/>
          <w:lang w:val="es-ES_tradnl"/>
        </w:rPr>
      </w:pPr>
    </w:p>
    <w:p w14:paraId="1598369A" w14:textId="77777777" w:rsidR="00D14890" w:rsidRPr="00434BB4" w:rsidRDefault="00D14890">
      <w:pPr>
        <w:tabs>
          <w:tab w:val="left" w:pos="709"/>
        </w:tabs>
        <w:spacing w:after="120"/>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tab/>
        <w:t xml:space="preserve">En contraste con la redacción de la Ley 1450 de 2011, la Ley de Emprendimiento amplía la limitación a </w:t>
      </w:r>
      <w:proofErr w:type="spellStart"/>
      <w:r w:rsidRPr="00434BB4">
        <w:rPr>
          <w:rFonts w:ascii="Arial" w:eastAsia="Calibri" w:hAnsi="Arial" w:cs="Arial"/>
          <w:bCs/>
          <w:color w:val="000000" w:themeColor="text1"/>
          <w:sz w:val="22"/>
          <w:lang w:val="es-ES_tradnl"/>
        </w:rPr>
        <w:t>mipymes</w:t>
      </w:r>
      <w:proofErr w:type="spellEnd"/>
      <w:r w:rsidRPr="00434BB4">
        <w:rPr>
          <w:rFonts w:ascii="Arial" w:eastAsia="Calibri" w:hAnsi="Arial" w:cs="Arial"/>
          <w:bCs/>
          <w:color w:val="000000" w:themeColor="text1"/>
          <w:sz w:val="22"/>
          <w:lang w:val="es-ES_tradnl"/>
        </w:rPr>
        <w:t xml:space="preserve"> de forma que ya no solo aplica en los procedimientos de selección de las entidades sometidas a la Ley 80 de 1993, sino que se extiende a la gestión </w:t>
      </w:r>
      <w:r w:rsidRPr="00434BB4">
        <w:rPr>
          <w:rFonts w:ascii="Arial" w:eastAsia="Calibri" w:hAnsi="Arial" w:cs="Arial"/>
          <w:bCs/>
          <w:color w:val="000000" w:themeColor="text1"/>
          <w:sz w:val="22"/>
          <w:lang w:val="es-ES_tradnl"/>
        </w:rPr>
        <w:lastRenderedPageBreak/>
        <w:t xml:space="preserve">contractual de las entidades exceptuadas, los patrimonios autónomos y los particulares que ejecuten recursos públicos. Incluso, la norma congela en el rango de ley el número de interesados que debe solicitar la limitación. </w:t>
      </w:r>
    </w:p>
    <w:p w14:paraId="0B73796E" w14:textId="49B40B8F" w:rsidR="00D14890" w:rsidRPr="00434BB4" w:rsidRDefault="00D14890">
      <w:pPr>
        <w:tabs>
          <w:tab w:val="left" w:pos="709"/>
        </w:tabs>
        <w:spacing w:after="120"/>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tab/>
        <w:t xml:space="preserve">Además de que el artículo 34 de la Ley de Emprendimiento no es una norma de aplicación directa, contempla supuestos que no </w:t>
      </w:r>
      <w:r w:rsidR="008F3ED2" w:rsidRPr="00434BB4">
        <w:rPr>
          <w:rFonts w:ascii="Arial" w:eastAsia="Calibri" w:hAnsi="Arial" w:cs="Arial"/>
          <w:bCs/>
          <w:color w:val="000000" w:themeColor="text1"/>
          <w:sz w:val="22"/>
          <w:lang w:val="es-ES_tradnl"/>
        </w:rPr>
        <w:t xml:space="preserve">estaban </w:t>
      </w:r>
      <w:r w:rsidRPr="00434BB4">
        <w:rPr>
          <w:rFonts w:ascii="Arial" w:eastAsia="Calibri" w:hAnsi="Arial" w:cs="Arial"/>
          <w:bCs/>
          <w:color w:val="000000" w:themeColor="text1"/>
          <w:sz w:val="22"/>
          <w:lang w:val="es-ES_tradnl"/>
        </w:rPr>
        <w:t>previstos en el Decreto 1082 de 2015</w:t>
      </w:r>
      <w:r w:rsidR="00AB22C5" w:rsidRPr="00434BB4">
        <w:rPr>
          <w:rFonts w:ascii="Arial" w:eastAsia="Calibri" w:hAnsi="Arial" w:cs="Arial"/>
          <w:bCs/>
          <w:color w:val="000000" w:themeColor="text1"/>
          <w:sz w:val="22"/>
          <w:lang w:val="es-ES_tradnl"/>
        </w:rPr>
        <w:t xml:space="preserve"> original –antes de la modificación realizada por el Decreto 1860 de 2021–</w:t>
      </w:r>
      <w:r w:rsidRPr="00434BB4">
        <w:rPr>
          <w:rFonts w:ascii="Arial" w:eastAsia="Calibri" w:hAnsi="Arial" w:cs="Arial"/>
          <w:bCs/>
          <w:color w:val="000000" w:themeColor="text1"/>
          <w:sz w:val="22"/>
          <w:lang w:val="es-ES_tradnl"/>
        </w:rPr>
        <w:t xml:space="preserve">. Particularmente, conforme al artículo 2.2.1.2.4.2.2 </w:t>
      </w:r>
      <w:r w:rsidRPr="00434BB4">
        <w:rPr>
          <w:rFonts w:ascii="Arial" w:eastAsia="Calibri" w:hAnsi="Arial" w:cs="Arial"/>
          <w:bCs/>
          <w:i/>
          <w:iCs/>
          <w:color w:val="000000" w:themeColor="text1"/>
          <w:sz w:val="22"/>
          <w:lang w:val="es-ES_tradnl"/>
        </w:rPr>
        <w:t>ibídem</w:t>
      </w:r>
      <w:r w:rsidRPr="00434BB4">
        <w:rPr>
          <w:rFonts w:ascii="Arial" w:eastAsia="Calibri" w:hAnsi="Arial" w:cs="Arial"/>
          <w:bCs/>
          <w:color w:val="000000" w:themeColor="text1"/>
          <w:sz w:val="22"/>
          <w:lang w:val="es-ES_tradnl"/>
        </w:rPr>
        <w:t xml:space="preserve">, las convocatorias limitadas únicamente </w:t>
      </w:r>
      <w:r w:rsidR="008F3ED2" w:rsidRPr="00434BB4">
        <w:rPr>
          <w:rFonts w:ascii="Arial" w:eastAsia="Calibri" w:hAnsi="Arial" w:cs="Arial"/>
          <w:bCs/>
          <w:color w:val="000000" w:themeColor="text1"/>
          <w:sz w:val="22"/>
          <w:lang w:val="es-ES_tradnl"/>
        </w:rPr>
        <w:t>eran</w:t>
      </w:r>
      <w:r w:rsidRPr="00434BB4">
        <w:rPr>
          <w:rFonts w:ascii="Arial" w:eastAsia="Calibri" w:hAnsi="Arial" w:cs="Arial"/>
          <w:bCs/>
          <w:color w:val="000000" w:themeColor="text1"/>
          <w:sz w:val="22"/>
          <w:lang w:val="es-ES_tradnl"/>
        </w:rPr>
        <w:t xml:space="preserve"> obligatorias en la licitación pública, selección abreviada y concurso de méritos de las entidades sometidas a la Ley 80 de 1993, siempre que la entidad contratante recib</w:t>
      </w:r>
      <w:r w:rsidR="008F3ED2" w:rsidRPr="00434BB4">
        <w:rPr>
          <w:rFonts w:ascii="Arial" w:eastAsia="Calibri" w:hAnsi="Arial" w:cs="Arial"/>
          <w:bCs/>
          <w:color w:val="000000" w:themeColor="text1"/>
          <w:sz w:val="22"/>
          <w:lang w:val="es-ES_tradnl"/>
        </w:rPr>
        <w:t>iera</w:t>
      </w:r>
      <w:r w:rsidRPr="00434BB4">
        <w:rPr>
          <w:rFonts w:ascii="Arial" w:eastAsia="Calibri" w:hAnsi="Arial" w:cs="Arial"/>
          <w:bCs/>
          <w:color w:val="000000" w:themeColor="text1"/>
          <w:sz w:val="22"/>
          <w:lang w:val="es-ES_tradnl"/>
        </w:rPr>
        <w:t xml:space="preserve"> solicitudes de limitación de por lo menos tres (3) </w:t>
      </w:r>
      <w:proofErr w:type="spellStart"/>
      <w:r w:rsidRPr="00434BB4">
        <w:rPr>
          <w:rFonts w:ascii="Arial" w:eastAsia="Calibri" w:hAnsi="Arial" w:cs="Arial"/>
          <w:bCs/>
          <w:color w:val="000000" w:themeColor="text1"/>
          <w:sz w:val="22"/>
          <w:lang w:val="es-ES_tradnl"/>
        </w:rPr>
        <w:t>mipyme</w:t>
      </w:r>
      <w:proofErr w:type="spellEnd"/>
      <w:r w:rsidRPr="00434BB4">
        <w:rPr>
          <w:rFonts w:ascii="Arial" w:eastAsia="Calibri" w:hAnsi="Arial" w:cs="Arial"/>
          <w:bCs/>
          <w:color w:val="000000" w:themeColor="text1"/>
          <w:sz w:val="22"/>
          <w:lang w:val="es-ES_tradnl"/>
        </w:rPr>
        <w:t xml:space="preserve"> nacionales. Frente a este escenario, surge la necesidad de expedir una nueva reglamentación para las convocatorias limitadas que desarrolle los nuevos elementos previstos en la ley</w:t>
      </w:r>
      <w:r w:rsidR="008F3ED2" w:rsidRPr="00434BB4">
        <w:rPr>
          <w:rFonts w:ascii="Arial" w:eastAsia="Calibri" w:hAnsi="Arial" w:cs="Arial"/>
          <w:bCs/>
          <w:color w:val="000000" w:themeColor="text1"/>
          <w:sz w:val="22"/>
          <w:lang w:val="es-ES_tradnl"/>
        </w:rPr>
        <w:t xml:space="preserve">, regulación que se efectuó mediante el Decreto 1860 del 24 de diciembre de 2021, pero cuyas modificaciones, </w:t>
      </w:r>
      <w:r w:rsidR="008F3ED2" w:rsidRPr="00434BB4">
        <w:rPr>
          <w:rFonts w:ascii="Arial" w:eastAsia="Calibri" w:hAnsi="Arial" w:cs="Arial"/>
          <w:color w:val="000000" w:themeColor="text1"/>
          <w:sz w:val="22"/>
          <w:lang w:val="es-ES_tradnl"/>
        </w:rPr>
        <w:t>de acuerdo con su artículo 8, solo «aplicarán a los procedimientos de selección cuya invitación, aviso de convocatoria o documento equivalente se publique a los tres (3) meses contados a partir de su expedición», esto es, a partir del 24 de marzo de 2021.</w:t>
      </w:r>
    </w:p>
    <w:p w14:paraId="68062F60" w14:textId="0F22A859" w:rsidR="00D14890" w:rsidRPr="00434BB4" w:rsidRDefault="00D14890">
      <w:pPr>
        <w:tabs>
          <w:tab w:val="left" w:pos="709"/>
        </w:tabs>
        <w:spacing w:after="120"/>
        <w:rPr>
          <w:rFonts w:ascii="Arial" w:eastAsia="Calibri" w:hAnsi="Arial" w:cs="Arial"/>
          <w:color w:val="000000" w:themeColor="text1"/>
          <w:sz w:val="22"/>
          <w:lang w:val="es-ES_tradnl"/>
        </w:rPr>
      </w:pPr>
      <w:r w:rsidRPr="00434BB4">
        <w:rPr>
          <w:rFonts w:ascii="Arial" w:eastAsia="Calibri" w:hAnsi="Arial" w:cs="Arial"/>
          <w:bCs/>
          <w:color w:val="000000" w:themeColor="text1"/>
          <w:sz w:val="22"/>
          <w:lang w:val="es-ES_tradnl"/>
        </w:rPr>
        <w:tab/>
        <w:t xml:space="preserve">Por el contrario, el artículo 30 de la Ley 2069 de 2020 es directamente aplicable, pues –a diferencia de que sucedió en su momento con la selección abreviada– la mínima cuantía no </w:t>
      </w:r>
      <w:r w:rsidR="00BA413D" w:rsidRPr="00434BB4">
        <w:rPr>
          <w:rFonts w:ascii="Arial" w:eastAsia="Calibri" w:hAnsi="Arial" w:cs="Arial"/>
          <w:bCs/>
          <w:color w:val="000000" w:themeColor="text1"/>
          <w:sz w:val="22"/>
          <w:lang w:val="es-ES_tradnl"/>
        </w:rPr>
        <w:t xml:space="preserve">requería </w:t>
      </w:r>
      <w:r w:rsidRPr="00434BB4">
        <w:rPr>
          <w:rFonts w:ascii="Arial" w:eastAsia="Calibri" w:hAnsi="Arial" w:cs="Arial"/>
          <w:bCs/>
          <w:color w:val="000000" w:themeColor="text1"/>
          <w:sz w:val="22"/>
          <w:lang w:val="es-ES_tradnl"/>
        </w:rPr>
        <w:t>desarrollo reglamentario posterior para su vigencia. Aunque el parágrafo primero habilita el ejercicio de la potestad dispuesta en el artículo 189.11 superior, el grueso de los</w:t>
      </w:r>
      <w:r w:rsidRPr="00434BB4">
        <w:rPr>
          <w:rFonts w:ascii="Arial" w:eastAsia="Calibri" w:hAnsi="Arial" w:cs="Arial"/>
          <w:color w:val="000000" w:themeColor="text1"/>
          <w:sz w:val="22"/>
          <w:lang w:val="es-ES_tradnl"/>
        </w:rPr>
        <w:t xml:space="preserve"> artículos 2.2.1.2.1.5.1 al 2.2.1.2.1.5.4 </w:t>
      </w:r>
      <w:r w:rsidR="00AB22C5" w:rsidRPr="00434BB4">
        <w:rPr>
          <w:rFonts w:ascii="Arial" w:eastAsia="Calibri" w:hAnsi="Arial" w:cs="Arial"/>
          <w:color w:val="000000" w:themeColor="text1"/>
          <w:sz w:val="22"/>
          <w:lang w:val="es-ES_tradnl"/>
        </w:rPr>
        <w:t xml:space="preserve">originales </w:t>
      </w:r>
      <w:r w:rsidRPr="00434BB4">
        <w:rPr>
          <w:rFonts w:ascii="Arial" w:eastAsia="Calibri" w:hAnsi="Arial" w:cs="Arial"/>
          <w:color w:val="000000" w:themeColor="text1"/>
          <w:sz w:val="22"/>
          <w:lang w:val="es-ES_tradnl"/>
        </w:rPr>
        <w:t xml:space="preserve">del Decreto 1082 de 2015 </w:t>
      </w:r>
      <w:r w:rsidR="00AB22C5" w:rsidRPr="00434BB4">
        <w:rPr>
          <w:rFonts w:ascii="Arial" w:eastAsia="Calibri" w:hAnsi="Arial" w:cs="Arial"/>
          <w:color w:val="000000" w:themeColor="text1"/>
          <w:sz w:val="22"/>
          <w:lang w:val="es-ES_tradnl"/>
        </w:rPr>
        <w:t xml:space="preserve">son </w:t>
      </w:r>
      <w:r w:rsidRPr="00434BB4">
        <w:rPr>
          <w:rFonts w:ascii="Arial" w:eastAsia="Calibri" w:hAnsi="Arial" w:cs="Arial"/>
          <w:color w:val="000000" w:themeColor="text1"/>
          <w:sz w:val="22"/>
          <w:lang w:val="es-ES_tradnl"/>
        </w:rPr>
        <w:t>compatible</w:t>
      </w:r>
      <w:r w:rsidR="00AB22C5" w:rsidRPr="00434BB4">
        <w:rPr>
          <w:rFonts w:ascii="Arial" w:eastAsia="Calibri" w:hAnsi="Arial" w:cs="Arial"/>
          <w:color w:val="000000" w:themeColor="text1"/>
          <w:sz w:val="22"/>
          <w:lang w:val="es-ES_tradnl"/>
        </w:rPr>
        <w:t>s</w:t>
      </w:r>
      <w:r w:rsidRPr="00434BB4">
        <w:rPr>
          <w:rFonts w:ascii="Arial" w:eastAsia="Calibri" w:hAnsi="Arial" w:cs="Arial"/>
          <w:color w:val="000000" w:themeColor="text1"/>
          <w:sz w:val="22"/>
          <w:lang w:val="es-ES_tradnl"/>
        </w:rPr>
        <w:t xml:space="preserve"> con la norma vigente. Lo anterior considerando que, conforme a los parágrafos del artículo 30 de la Ley 2069 de 2020, el cambio </w:t>
      </w:r>
      <w:r w:rsidR="00F36F7D" w:rsidRPr="00434BB4">
        <w:rPr>
          <w:rFonts w:ascii="Arial" w:eastAsia="Calibri" w:hAnsi="Arial" w:cs="Arial"/>
          <w:color w:val="000000" w:themeColor="text1"/>
          <w:sz w:val="22"/>
          <w:lang w:val="es-ES_tradnl"/>
        </w:rPr>
        <w:t xml:space="preserve">realmente </w:t>
      </w:r>
      <w:r w:rsidRPr="00434BB4">
        <w:rPr>
          <w:rFonts w:ascii="Arial" w:eastAsia="Calibri" w:hAnsi="Arial" w:cs="Arial"/>
          <w:color w:val="000000" w:themeColor="text1"/>
          <w:sz w:val="22"/>
          <w:lang w:val="es-ES_tradnl"/>
        </w:rPr>
        <w:t xml:space="preserve">consiste en la posibilidad de limitar a </w:t>
      </w:r>
      <w:proofErr w:type="spellStart"/>
      <w:r w:rsidRPr="00434BB4">
        <w:rPr>
          <w:rFonts w:ascii="Arial" w:eastAsia="Calibri" w:hAnsi="Arial" w:cs="Arial"/>
          <w:color w:val="000000" w:themeColor="text1"/>
          <w:sz w:val="22"/>
          <w:lang w:val="es-ES_tradnl"/>
        </w:rPr>
        <w:t>mypimes</w:t>
      </w:r>
      <w:proofErr w:type="spellEnd"/>
      <w:r w:rsidRPr="00434BB4">
        <w:rPr>
          <w:rFonts w:ascii="Arial" w:eastAsia="Calibri" w:hAnsi="Arial" w:cs="Arial"/>
          <w:color w:val="000000" w:themeColor="text1"/>
          <w:sz w:val="22"/>
          <w:lang w:val="es-ES_tradnl"/>
        </w:rPr>
        <w:t xml:space="preserve"> el procedimiento de selección. Esta materia corresponde al desarrollo reglamentario del artículo 34 </w:t>
      </w:r>
      <w:r w:rsidRPr="00434BB4">
        <w:rPr>
          <w:rFonts w:ascii="Arial" w:eastAsia="Calibri" w:hAnsi="Arial" w:cs="Arial"/>
          <w:i/>
          <w:iCs/>
          <w:color w:val="000000" w:themeColor="text1"/>
          <w:sz w:val="22"/>
          <w:lang w:val="es-ES_tradnl"/>
        </w:rPr>
        <w:t>ibídem</w:t>
      </w:r>
      <w:r w:rsidRPr="00434BB4">
        <w:rPr>
          <w:rFonts w:ascii="Arial" w:eastAsia="Calibri" w:hAnsi="Arial" w:cs="Arial"/>
          <w:color w:val="000000" w:themeColor="text1"/>
          <w:sz w:val="22"/>
          <w:lang w:val="es-ES_tradnl"/>
        </w:rPr>
        <w:t xml:space="preserve">, ya que –fuera del reducido margen de aplicación del artículo 2.2.1.2.4.2.2 del Decreto 1082 de 2015– las convocatorias limitadas son posibles en «[…] las Entidades Estatales indistintamente de su régimen de contratación, los patrimonios autónomos constituidos por Entidades Estatales y los particulares que ejecuten recursos públicos […]», sin distinguir entre procesos de contratación. </w:t>
      </w:r>
    </w:p>
    <w:p w14:paraId="50545B7A" w14:textId="2203FA90" w:rsidR="00D14890" w:rsidRPr="00434BB4" w:rsidRDefault="00D14890">
      <w:pPr>
        <w:tabs>
          <w:tab w:val="left" w:pos="709"/>
        </w:tabs>
        <w:spacing w:after="120"/>
        <w:rPr>
          <w:rFonts w:ascii="Arial" w:eastAsia="Calibri" w:hAnsi="Arial" w:cs="Arial"/>
          <w:color w:val="000000" w:themeColor="text1"/>
          <w:sz w:val="22"/>
          <w:lang w:val="es-ES_tradnl"/>
        </w:rPr>
      </w:pPr>
      <w:r w:rsidRPr="00434BB4">
        <w:rPr>
          <w:rFonts w:ascii="Arial" w:eastAsia="Calibri" w:hAnsi="Arial" w:cs="Arial"/>
          <w:color w:val="000000" w:themeColor="text1"/>
          <w:sz w:val="22"/>
          <w:lang w:val="es-ES_tradnl"/>
        </w:rPr>
        <w:tab/>
        <w:t xml:space="preserve">Por tanto, las diferencias entre el alcance de la mínima cuantía y de las convocatorias limitadas, impide aplicar por analogía las consideraciones realizadas por la Agencia a partir del </w:t>
      </w:r>
      <w:r w:rsidRPr="00434BB4">
        <w:rPr>
          <w:rFonts w:ascii="Arial" w:eastAsia="Calibri" w:hAnsi="Arial" w:cs="Arial"/>
          <w:bCs/>
          <w:sz w:val="22"/>
          <w:lang w:val="es-ES_tradnl"/>
        </w:rPr>
        <w:t>Concepto C-043 del 9 de febrero de 2020 al artículo 30 de la Ley de Emprendimiento</w:t>
      </w:r>
      <w:r w:rsidRPr="00434BB4">
        <w:rPr>
          <w:rFonts w:ascii="Arial" w:eastAsia="Calibri" w:hAnsi="Arial" w:cs="Arial"/>
          <w:color w:val="000000" w:themeColor="text1"/>
          <w:sz w:val="22"/>
          <w:lang w:val="es-ES_tradnl"/>
        </w:rPr>
        <w:t>. En este caso no es posible sostener que la sustitución del contenido del del artículo 2</w:t>
      </w:r>
      <w:r w:rsidR="0049749B" w:rsidRPr="00434BB4">
        <w:rPr>
          <w:rFonts w:ascii="Arial" w:eastAsia="Calibri" w:hAnsi="Arial" w:cs="Arial"/>
          <w:color w:val="000000" w:themeColor="text1"/>
          <w:sz w:val="22"/>
          <w:lang w:val="es-ES_tradnl"/>
        </w:rPr>
        <w:t>.5</w:t>
      </w:r>
      <w:r w:rsidRPr="00434BB4">
        <w:rPr>
          <w:rFonts w:ascii="Arial" w:eastAsia="Calibri" w:hAnsi="Arial" w:cs="Arial"/>
          <w:color w:val="000000" w:themeColor="text1"/>
          <w:sz w:val="22"/>
          <w:lang w:val="es-ES_tradnl"/>
        </w:rPr>
        <w:t xml:space="preserve"> de la Ley 1150 de 2007 genera el decaimiento de los artículos 2.2.1.2.1.5.1 </w:t>
      </w:r>
      <w:r w:rsidRPr="00434BB4">
        <w:rPr>
          <w:rFonts w:ascii="Arial" w:eastAsia="Calibri" w:hAnsi="Arial" w:cs="Arial"/>
          <w:color w:val="000000" w:themeColor="text1"/>
          <w:sz w:val="22"/>
          <w:lang w:val="es-ES_tradnl"/>
        </w:rPr>
        <w:lastRenderedPageBreak/>
        <w:t xml:space="preserve">al 2.2.1.2.1.5.4 </w:t>
      </w:r>
      <w:r w:rsidR="003C7C98" w:rsidRPr="00434BB4">
        <w:rPr>
          <w:rFonts w:ascii="Arial" w:eastAsia="Calibri" w:hAnsi="Arial" w:cs="Arial"/>
          <w:color w:val="000000" w:themeColor="text1"/>
          <w:sz w:val="22"/>
          <w:lang w:val="es-ES_tradnl"/>
        </w:rPr>
        <w:t xml:space="preserve">originales </w:t>
      </w:r>
      <w:r w:rsidRPr="00434BB4">
        <w:rPr>
          <w:rFonts w:ascii="Arial" w:eastAsia="Calibri" w:hAnsi="Arial" w:cs="Arial"/>
          <w:color w:val="000000" w:themeColor="text1"/>
          <w:sz w:val="22"/>
          <w:lang w:val="es-ES_tradnl"/>
        </w:rPr>
        <w:t xml:space="preserve">del Decreto 1082 de 2015. Lo anterior teniendo en cuenta </w:t>
      </w:r>
      <w:proofErr w:type="gramStart"/>
      <w:r w:rsidRPr="00434BB4">
        <w:rPr>
          <w:rFonts w:ascii="Arial" w:eastAsia="Calibri" w:hAnsi="Arial" w:cs="Arial"/>
          <w:color w:val="000000" w:themeColor="text1"/>
          <w:sz w:val="22"/>
          <w:lang w:val="es-ES_tradnl"/>
        </w:rPr>
        <w:t>que</w:t>
      </w:r>
      <w:proofErr w:type="gramEnd"/>
      <w:r w:rsidRPr="00434BB4">
        <w:rPr>
          <w:rFonts w:ascii="Arial" w:eastAsia="Calibri" w:hAnsi="Arial" w:cs="Arial"/>
          <w:color w:val="000000" w:themeColor="text1"/>
          <w:sz w:val="22"/>
          <w:lang w:val="es-ES_tradnl"/>
        </w:rPr>
        <w:t xml:space="preserve"> si bien existe un cambio formal en el fundamento jurídico, la doctrina considera que el decaimiento se produce –entre otras causas– por la «[…] derogación o modificación de la norma legal en que se fundó el acto administrativo, cuando dicha regla es condición indispensable para su vigencia […]»</w:t>
      </w:r>
      <w:r w:rsidRPr="00434BB4">
        <w:rPr>
          <w:rStyle w:val="Refdenotaalpie"/>
          <w:rFonts w:ascii="Arial" w:eastAsia="Calibri" w:hAnsi="Arial" w:cs="Arial"/>
          <w:color w:val="000000" w:themeColor="text1"/>
          <w:sz w:val="22"/>
          <w:lang w:val="es-ES_tradnl"/>
        </w:rPr>
        <w:footnoteReference w:id="23"/>
      </w:r>
      <w:r w:rsidRPr="00434BB4">
        <w:rPr>
          <w:rFonts w:ascii="Arial" w:eastAsia="Calibri" w:hAnsi="Arial" w:cs="Arial"/>
          <w:color w:val="000000" w:themeColor="text1"/>
          <w:sz w:val="22"/>
          <w:lang w:val="es-ES_tradnl"/>
        </w:rPr>
        <w:t xml:space="preserve">. </w:t>
      </w:r>
    </w:p>
    <w:p w14:paraId="4F463CD9" w14:textId="0DB02388" w:rsidR="00D14890" w:rsidRPr="00434BB4" w:rsidRDefault="00D14890">
      <w:pPr>
        <w:tabs>
          <w:tab w:val="left" w:pos="709"/>
        </w:tabs>
        <w:spacing w:after="120"/>
        <w:rPr>
          <w:rFonts w:ascii="Arial" w:eastAsia="Calibri" w:hAnsi="Arial" w:cs="Arial"/>
          <w:color w:val="000000" w:themeColor="text1"/>
          <w:sz w:val="22"/>
          <w:lang w:val="es-ES_tradnl"/>
        </w:rPr>
      </w:pPr>
      <w:r w:rsidRPr="00434BB4">
        <w:rPr>
          <w:rFonts w:ascii="Arial" w:eastAsia="Calibri" w:hAnsi="Arial" w:cs="Arial"/>
          <w:color w:val="000000" w:themeColor="text1"/>
          <w:sz w:val="22"/>
          <w:lang w:val="es-ES_tradnl"/>
        </w:rPr>
        <w:tab/>
        <w:t xml:space="preserve">El decaimiento afecta los artículos </w:t>
      </w:r>
      <w:r w:rsidRPr="00434BB4">
        <w:rPr>
          <w:rFonts w:ascii="Arial" w:eastAsia="Calibri" w:hAnsi="Arial" w:cs="Arial"/>
          <w:bCs/>
          <w:color w:val="000000" w:themeColor="text1"/>
          <w:sz w:val="22"/>
          <w:lang w:val="es-ES_tradnl"/>
        </w:rPr>
        <w:t xml:space="preserve">2.2.1.2.4.2.2 y 2.2.1.2.4.2.3 del Decreto 1082 de 2015 </w:t>
      </w:r>
      <w:r w:rsidRPr="00434BB4">
        <w:rPr>
          <w:rFonts w:ascii="Arial" w:eastAsia="Calibri" w:hAnsi="Arial" w:cs="Arial"/>
          <w:color w:val="000000" w:themeColor="text1"/>
          <w:sz w:val="22"/>
          <w:lang w:val="es-ES_tradnl"/>
        </w:rPr>
        <w:t xml:space="preserve">por la subrogación del artículo 32 de la Ley 1450 de 2011, el cual regulaba las convocatorias limitadas a </w:t>
      </w:r>
      <w:proofErr w:type="spellStart"/>
      <w:r w:rsidRPr="00434BB4">
        <w:rPr>
          <w:rFonts w:ascii="Arial" w:eastAsia="Calibri" w:hAnsi="Arial" w:cs="Arial"/>
          <w:color w:val="000000" w:themeColor="text1"/>
          <w:sz w:val="22"/>
          <w:lang w:val="es-ES_tradnl"/>
        </w:rPr>
        <w:t>mipymes</w:t>
      </w:r>
      <w:proofErr w:type="spellEnd"/>
      <w:r w:rsidRPr="00434BB4">
        <w:rPr>
          <w:rFonts w:ascii="Arial" w:eastAsia="Calibri" w:hAnsi="Arial" w:cs="Arial"/>
          <w:color w:val="000000" w:themeColor="text1"/>
          <w:sz w:val="22"/>
          <w:lang w:val="es-ES_tradnl"/>
        </w:rPr>
        <w:t xml:space="preserve">. En este caso, desaparece el fundamento jurídico de las normas citadas del Decreto Único Reglamentario del Sector Administrativo de Planeación Nacional, ya que el artículo 34 de la Ley de Emprendimiento introduce modificaciones sustanciales a la materia como se explicó </w:t>
      </w:r>
      <w:r w:rsidRPr="00434BB4">
        <w:rPr>
          <w:rFonts w:ascii="Arial" w:eastAsia="Calibri" w:hAnsi="Arial" w:cs="Arial"/>
          <w:i/>
          <w:iCs/>
          <w:color w:val="000000" w:themeColor="text1"/>
          <w:sz w:val="22"/>
          <w:lang w:val="es-ES_tradnl"/>
        </w:rPr>
        <w:t>ut supra</w:t>
      </w:r>
      <w:r w:rsidRPr="00434BB4">
        <w:rPr>
          <w:rFonts w:ascii="Arial" w:eastAsia="Calibri" w:hAnsi="Arial" w:cs="Arial"/>
          <w:color w:val="000000" w:themeColor="text1"/>
          <w:sz w:val="22"/>
          <w:lang w:val="es-ES_tradnl"/>
        </w:rPr>
        <w:t>, por lo que es necesario que un nuevo reglamento defina las reglas de las convocatorias limitadas como una condición para su exigibilidad en los procedimientos contractuales</w:t>
      </w:r>
      <w:r w:rsidR="003C7C98" w:rsidRPr="00434BB4">
        <w:rPr>
          <w:rFonts w:ascii="Arial" w:eastAsia="Calibri" w:hAnsi="Arial" w:cs="Arial"/>
          <w:color w:val="000000" w:themeColor="text1"/>
          <w:sz w:val="22"/>
          <w:lang w:val="es-ES_tradnl"/>
        </w:rPr>
        <w:t xml:space="preserve">, regulación que se efectuó mediante el </w:t>
      </w:r>
      <w:r w:rsidR="003C7C98" w:rsidRPr="00434BB4">
        <w:rPr>
          <w:rFonts w:ascii="Arial" w:eastAsia="Calibri" w:hAnsi="Arial" w:cs="Arial"/>
          <w:bCs/>
          <w:color w:val="000000" w:themeColor="text1"/>
          <w:sz w:val="22"/>
          <w:lang w:val="es-ES_tradnl"/>
        </w:rPr>
        <w:t>Decreto 1860 del 24 de diciembre de 2021, pero que solo resulta aplicable para los procesos cuya invitación, aviso de convocatoria o documento equivalente se publique a los tres (3) meses contados a partir de su expedición, esto es, a partir del 24 de marzo de 2022.</w:t>
      </w:r>
      <w:r w:rsidRPr="00434BB4">
        <w:rPr>
          <w:rFonts w:ascii="Arial" w:eastAsia="Calibri" w:hAnsi="Arial" w:cs="Arial"/>
          <w:color w:val="000000" w:themeColor="text1"/>
          <w:sz w:val="22"/>
          <w:lang w:val="es-ES_tradnl"/>
        </w:rPr>
        <w:t xml:space="preserve"> </w:t>
      </w:r>
    </w:p>
    <w:p w14:paraId="54992F64" w14:textId="479AB443" w:rsidR="00D14890" w:rsidRPr="00434BB4" w:rsidRDefault="00D14890">
      <w:pPr>
        <w:tabs>
          <w:tab w:val="left" w:pos="709"/>
        </w:tabs>
        <w:spacing w:after="120"/>
        <w:rPr>
          <w:rFonts w:ascii="Arial" w:eastAsia="Calibri" w:hAnsi="Arial" w:cs="Arial"/>
          <w:color w:val="000000" w:themeColor="text1"/>
          <w:sz w:val="22"/>
          <w:lang w:val="es-ES_tradnl"/>
        </w:rPr>
      </w:pPr>
      <w:r w:rsidRPr="00434BB4">
        <w:rPr>
          <w:rFonts w:ascii="Arial" w:eastAsia="Calibri" w:hAnsi="Arial" w:cs="Arial"/>
          <w:color w:val="000000" w:themeColor="text1"/>
          <w:sz w:val="22"/>
          <w:lang w:val="es-ES_tradnl"/>
        </w:rPr>
        <w:tab/>
        <w:t xml:space="preserve">Lo mismo no sucede con la regulación de la mínima cuantía en el Decreto 1082 de 2015. </w:t>
      </w:r>
      <w:bookmarkStart w:id="13" w:name="_Hlk69487065"/>
      <w:bookmarkStart w:id="14" w:name="_Hlk69487402"/>
      <w:r w:rsidRPr="00434BB4">
        <w:rPr>
          <w:rFonts w:ascii="Arial" w:eastAsia="Calibri" w:hAnsi="Arial" w:cs="Arial"/>
          <w:color w:val="000000" w:themeColor="text1"/>
          <w:sz w:val="22"/>
          <w:lang w:val="es-ES_tradnl"/>
        </w:rPr>
        <w:t>Aunque el artículo 30 de la Ley de Emprendimiento subroga el contenido del numeral 5 del artículo 2 de la Ley 1150 de 2007, ambas disposiciones son de aplicación directa</w:t>
      </w:r>
      <w:r w:rsidR="0035216D" w:rsidRPr="00434BB4">
        <w:rPr>
          <w:rFonts w:ascii="Arial" w:eastAsia="Calibri" w:hAnsi="Arial" w:cs="Arial"/>
          <w:color w:val="000000" w:themeColor="text1"/>
          <w:sz w:val="22"/>
          <w:lang w:val="es-ES_tradnl"/>
        </w:rPr>
        <w:t>, sin que se necesitara la expedición de un nuevo reglamento</w:t>
      </w:r>
      <w:r w:rsidRPr="00434BB4">
        <w:rPr>
          <w:rFonts w:ascii="Arial" w:eastAsia="Calibri" w:hAnsi="Arial" w:cs="Arial"/>
          <w:color w:val="000000" w:themeColor="text1"/>
          <w:sz w:val="22"/>
          <w:lang w:val="es-ES_tradnl"/>
        </w:rPr>
        <w:t xml:space="preserve">. Adicionalmente, pese a que la Ley de Emprendimiento permite las convocatorias limitadas a la </w:t>
      </w:r>
      <w:proofErr w:type="spellStart"/>
      <w:r w:rsidRPr="00434BB4">
        <w:rPr>
          <w:rFonts w:ascii="Arial" w:eastAsia="Calibri" w:hAnsi="Arial" w:cs="Arial"/>
          <w:color w:val="000000" w:themeColor="text1"/>
          <w:sz w:val="22"/>
          <w:lang w:val="es-ES_tradnl"/>
        </w:rPr>
        <w:t>m</w:t>
      </w:r>
      <w:r w:rsidR="00F36F7D" w:rsidRPr="00434BB4">
        <w:rPr>
          <w:rFonts w:ascii="Arial" w:eastAsia="Calibri" w:hAnsi="Arial" w:cs="Arial"/>
          <w:color w:val="000000" w:themeColor="text1"/>
          <w:sz w:val="22"/>
          <w:lang w:val="es-ES_tradnl"/>
        </w:rPr>
        <w:t>i</w:t>
      </w:r>
      <w:r w:rsidRPr="00434BB4">
        <w:rPr>
          <w:rFonts w:ascii="Arial" w:eastAsia="Calibri" w:hAnsi="Arial" w:cs="Arial"/>
          <w:color w:val="000000" w:themeColor="text1"/>
          <w:sz w:val="22"/>
          <w:lang w:val="es-ES_tradnl"/>
        </w:rPr>
        <w:t>p</w:t>
      </w:r>
      <w:r w:rsidR="00F36F7D" w:rsidRPr="00434BB4">
        <w:rPr>
          <w:rFonts w:ascii="Arial" w:eastAsia="Calibri" w:hAnsi="Arial" w:cs="Arial"/>
          <w:color w:val="000000" w:themeColor="text1"/>
          <w:sz w:val="22"/>
          <w:lang w:val="es-ES_tradnl"/>
        </w:rPr>
        <w:t>y</w:t>
      </w:r>
      <w:r w:rsidRPr="00434BB4">
        <w:rPr>
          <w:rFonts w:ascii="Arial" w:eastAsia="Calibri" w:hAnsi="Arial" w:cs="Arial"/>
          <w:color w:val="000000" w:themeColor="text1"/>
          <w:sz w:val="22"/>
          <w:lang w:val="es-ES_tradnl"/>
        </w:rPr>
        <w:t>mes</w:t>
      </w:r>
      <w:proofErr w:type="spellEnd"/>
      <w:r w:rsidRPr="00434BB4">
        <w:rPr>
          <w:rFonts w:ascii="Arial" w:eastAsia="Calibri" w:hAnsi="Arial" w:cs="Arial"/>
          <w:color w:val="000000" w:themeColor="text1"/>
          <w:sz w:val="22"/>
          <w:lang w:val="es-ES_tradnl"/>
        </w:rPr>
        <w:t xml:space="preserve"> en la mínima cuantía, el desarrollo reglamentario de este tema hace parte del artículo 34 </w:t>
      </w:r>
      <w:r w:rsidRPr="00434BB4">
        <w:rPr>
          <w:rFonts w:ascii="Arial" w:eastAsia="Calibri" w:hAnsi="Arial" w:cs="Arial"/>
          <w:i/>
          <w:iCs/>
          <w:color w:val="000000" w:themeColor="text1"/>
          <w:sz w:val="22"/>
          <w:lang w:val="es-ES_tradnl"/>
        </w:rPr>
        <w:t>ibídem</w:t>
      </w:r>
      <w:r w:rsidRPr="00434BB4">
        <w:rPr>
          <w:rFonts w:ascii="Arial" w:eastAsia="Calibri" w:hAnsi="Arial" w:cs="Arial"/>
          <w:color w:val="000000" w:themeColor="text1"/>
          <w:sz w:val="22"/>
          <w:lang w:val="es-ES_tradnl"/>
        </w:rPr>
        <w:t xml:space="preserve">. </w:t>
      </w:r>
      <w:bookmarkEnd w:id="13"/>
    </w:p>
    <w:p w14:paraId="13BBF203" w14:textId="718E26D9" w:rsidR="00D14890" w:rsidRPr="00434BB4" w:rsidRDefault="00D14890">
      <w:pPr>
        <w:tabs>
          <w:tab w:val="left" w:pos="709"/>
        </w:tabs>
        <w:spacing w:after="120"/>
        <w:rPr>
          <w:rFonts w:ascii="Arial" w:eastAsia="Calibri" w:hAnsi="Arial" w:cs="Arial"/>
          <w:color w:val="000000" w:themeColor="text1"/>
          <w:sz w:val="22"/>
          <w:lang w:val="es-ES_tradnl"/>
        </w:rPr>
      </w:pPr>
      <w:r w:rsidRPr="00434BB4">
        <w:rPr>
          <w:rFonts w:ascii="Arial" w:eastAsia="Calibri" w:hAnsi="Arial" w:cs="Arial"/>
          <w:color w:val="000000" w:themeColor="text1"/>
          <w:sz w:val="22"/>
          <w:lang w:val="es-ES_tradnl"/>
        </w:rPr>
        <w:tab/>
      </w:r>
      <w:r w:rsidRPr="00434BB4">
        <w:rPr>
          <w:rFonts w:ascii="Arial" w:eastAsia="Calibri" w:hAnsi="Arial" w:cs="Arial"/>
          <w:bCs/>
          <w:color w:val="000000" w:themeColor="text1"/>
          <w:sz w:val="22"/>
          <w:lang w:val="es-ES_tradnl"/>
        </w:rPr>
        <w:t xml:space="preserve">Para permitir la adquisición a </w:t>
      </w:r>
      <w:proofErr w:type="spellStart"/>
      <w:r w:rsidRPr="00434BB4">
        <w:rPr>
          <w:rFonts w:ascii="Arial" w:eastAsia="Calibri" w:hAnsi="Arial" w:cs="Arial"/>
          <w:bCs/>
          <w:color w:val="000000" w:themeColor="text1"/>
          <w:sz w:val="22"/>
          <w:lang w:val="es-ES_tradnl"/>
        </w:rPr>
        <w:t>mipymes</w:t>
      </w:r>
      <w:proofErr w:type="spellEnd"/>
      <w:r w:rsidRPr="00434BB4">
        <w:rPr>
          <w:rFonts w:ascii="Arial" w:eastAsia="Calibri" w:hAnsi="Arial" w:cs="Arial"/>
          <w:bCs/>
          <w:color w:val="000000" w:themeColor="text1"/>
          <w:sz w:val="22"/>
          <w:lang w:val="es-ES_tradnl"/>
        </w:rPr>
        <w:t xml:space="preserve"> y la aplicación del artículo 12 de la Ley 1150 de 2007, </w:t>
      </w:r>
      <w:r w:rsidRPr="00434BB4">
        <w:rPr>
          <w:rFonts w:ascii="Arial" w:eastAsia="Calibri" w:hAnsi="Arial" w:cs="Arial"/>
          <w:color w:val="000000" w:themeColor="text1"/>
          <w:sz w:val="22"/>
          <w:lang w:val="es-ES_tradnl"/>
        </w:rPr>
        <w:t>la Ley de Emprendimiento pudo modificar únicamente los parágrafos 1 y 2 d</w:t>
      </w:r>
      <w:r w:rsidRPr="00434BB4">
        <w:rPr>
          <w:rFonts w:ascii="Arial" w:eastAsia="Calibri" w:hAnsi="Arial" w:cs="Arial"/>
          <w:bCs/>
          <w:color w:val="000000" w:themeColor="text1"/>
          <w:sz w:val="22"/>
          <w:lang w:val="es-ES_tradnl"/>
        </w:rPr>
        <w:t xml:space="preserve">el artículo 94 de la Ley 1474 de 2011. Pese a que el artículo 30 de la Ley 2069 de 2020 optó por sustituir integralmente la regulación anterior, </w:t>
      </w:r>
      <w:bookmarkStart w:id="15" w:name="_Hlk69572931"/>
      <w:r w:rsidRPr="00434BB4">
        <w:rPr>
          <w:rFonts w:ascii="Arial" w:eastAsia="Calibri" w:hAnsi="Arial" w:cs="Arial"/>
          <w:bCs/>
          <w:color w:val="000000" w:themeColor="text1"/>
          <w:sz w:val="22"/>
          <w:lang w:val="es-ES_tradnl"/>
        </w:rPr>
        <w:t xml:space="preserve">se observa que materialmente no existe una derogación de la mínima cuantía ni una modificación sustancial que incida en el procedimiento, por lo que no desaparece el fundamento jurídico de las normas reglamentarias que </w:t>
      </w:r>
      <w:bookmarkEnd w:id="15"/>
      <w:r w:rsidR="0035216D" w:rsidRPr="00434BB4">
        <w:rPr>
          <w:rFonts w:ascii="Arial" w:eastAsia="Calibri" w:hAnsi="Arial" w:cs="Arial"/>
          <w:bCs/>
          <w:color w:val="000000" w:themeColor="text1"/>
          <w:sz w:val="22"/>
          <w:lang w:val="es-ES_tradnl"/>
        </w:rPr>
        <w:t>desarrollaban esta modalidad de selección al momento de expedirse la Ley 2069 de 2020</w:t>
      </w:r>
      <w:r w:rsidRPr="00434BB4">
        <w:rPr>
          <w:rFonts w:ascii="Arial" w:eastAsia="Calibri" w:hAnsi="Arial" w:cs="Arial"/>
          <w:bCs/>
          <w:color w:val="000000" w:themeColor="text1"/>
          <w:sz w:val="22"/>
          <w:lang w:val="es-ES_tradnl"/>
        </w:rPr>
        <w:t xml:space="preserve">. </w:t>
      </w:r>
      <w:bookmarkStart w:id="16" w:name="_Hlk69573039"/>
      <w:r w:rsidRPr="00434BB4">
        <w:rPr>
          <w:rFonts w:ascii="Arial" w:eastAsia="Calibri" w:hAnsi="Arial" w:cs="Arial"/>
          <w:bCs/>
          <w:color w:val="000000" w:themeColor="text1"/>
          <w:sz w:val="22"/>
          <w:lang w:val="es-ES_tradnl"/>
        </w:rPr>
        <w:t xml:space="preserve">En esta medida, siguen vigentes gran parte de los </w:t>
      </w:r>
      <w:r w:rsidRPr="00434BB4">
        <w:rPr>
          <w:rFonts w:ascii="Arial" w:eastAsia="Calibri" w:hAnsi="Arial" w:cs="Arial"/>
          <w:color w:val="000000" w:themeColor="text1"/>
          <w:sz w:val="22"/>
          <w:lang w:val="es-ES_tradnl"/>
        </w:rPr>
        <w:t xml:space="preserve">artículos 2.2.1.2.1.5.1 al 2.2.1.2.1.5.4 </w:t>
      </w:r>
      <w:r w:rsidR="0035216D" w:rsidRPr="00434BB4">
        <w:rPr>
          <w:rFonts w:ascii="Arial" w:eastAsia="Calibri" w:hAnsi="Arial" w:cs="Arial"/>
          <w:color w:val="000000" w:themeColor="text1"/>
          <w:sz w:val="22"/>
          <w:lang w:val="es-ES_tradnl"/>
        </w:rPr>
        <w:t xml:space="preserve">originales </w:t>
      </w:r>
      <w:r w:rsidRPr="00434BB4">
        <w:rPr>
          <w:rFonts w:ascii="Arial" w:eastAsia="Calibri" w:hAnsi="Arial" w:cs="Arial"/>
          <w:color w:val="000000" w:themeColor="text1"/>
          <w:sz w:val="22"/>
          <w:lang w:val="es-ES_tradnl"/>
        </w:rPr>
        <w:t xml:space="preserve">del Decreto </w:t>
      </w:r>
      <w:r w:rsidR="0035216D" w:rsidRPr="00434BB4">
        <w:rPr>
          <w:rFonts w:ascii="Arial" w:eastAsia="Calibri" w:hAnsi="Arial" w:cs="Arial"/>
          <w:color w:val="000000" w:themeColor="text1"/>
          <w:sz w:val="22"/>
          <w:lang w:val="es-ES_tradnl"/>
        </w:rPr>
        <w:t xml:space="preserve">1082 de 2015, los cuales aplicarán a </w:t>
      </w:r>
      <w:r w:rsidR="0035216D" w:rsidRPr="00434BB4">
        <w:rPr>
          <w:rFonts w:ascii="Arial" w:eastAsia="Calibri" w:hAnsi="Arial" w:cs="Arial"/>
          <w:color w:val="000000" w:themeColor="text1"/>
          <w:sz w:val="22"/>
          <w:lang w:val="es-ES_tradnl"/>
        </w:rPr>
        <w:lastRenderedPageBreak/>
        <w:t>los procesos de mínima cuantía que se inicien antes del 24 de marzo de 2022, de acuerdo con las normas de vigencia del Decreto 1860 de 2021</w:t>
      </w:r>
      <w:r w:rsidRPr="00434BB4">
        <w:rPr>
          <w:rFonts w:ascii="Arial" w:eastAsia="Calibri" w:hAnsi="Arial" w:cs="Arial"/>
          <w:color w:val="000000" w:themeColor="text1"/>
          <w:sz w:val="22"/>
          <w:lang w:val="es-ES_tradnl"/>
        </w:rPr>
        <w:t xml:space="preserve"> </w:t>
      </w:r>
      <w:bookmarkEnd w:id="14"/>
    </w:p>
    <w:p w14:paraId="2C401909" w14:textId="7575410C" w:rsidR="00D14890" w:rsidRPr="00434BB4" w:rsidRDefault="00D14890">
      <w:pPr>
        <w:tabs>
          <w:tab w:val="left" w:pos="709"/>
        </w:tabs>
        <w:spacing w:after="120"/>
        <w:rPr>
          <w:rFonts w:ascii="Arial" w:eastAsia="Calibri" w:hAnsi="Arial" w:cs="Arial"/>
          <w:color w:val="000000" w:themeColor="text1"/>
          <w:sz w:val="22"/>
          <w:lang w:val="es-ES_tradnl"/>
        </w:rPr>
      </w:pPr>
      <w:r w:rsidRPr="00434BB4">
        <w:rPr>
          <w:rFonts w:ascii="Arial" w:eastAsia="Calibri" w:hAnsi="Arial" w:cs="Arial"/>
          <w:color w:val="000000" w:themeColor="text1"/>
          <w:sz w:val="22"/>
          <w:lang w:val="es-ES_tradnl"/>
        </w:rPr>
        <w:tab/>
        <w:t xml:space="preserve">No obstante, es necesario introducir un matiz en la conclusión precedente, ya que los factores de desempate previstos en el numeral 7 del artículo 2.2.1.2.1.5.2 y el numeral 3 del artículo 2.2.1.2.1.5.3 del Decreto 1082 de 2015 </w:t>
      </w:r>
      <w:r w:rsidR="0035216D" w:rsidRPr="00434BB4">
        <w:rPr>
          <w:rFonts w:ascii="Arial" w:eastAsia="Calibri" w:hAnsi="Arial" w:cs="Arial"/>
          <w:color w:val="000000" w:themeColor="text1"/>
          <w:sz w:val="22"/>
          <w:lang w:val="es-ES_tradnl"/>
        </w:rPr>
        <w:t>perdieron</w:t>
      </w:r>
      <w:r w:rsidRPr="00434BB4">
        <w:rPr>
          <w:rFonts w:ascii="Arial" w:eastAsia="Calibri" w:hAnsi="Arial" w:cs="Arial"/>
          <w:color w:val="000000" w:themeColor="text1"/>
          <w:sz w:val="22"/>
          <w:lang w:val="es-ES_tradnl"/>
        </w:rPr>
        <w:t xml:space="preserve"> vigencia con la expedición del artículo 35 de la Ley de Emprendimiento. </w:t>
      </w:r>
      <w:bookmarkEnd w:id="16"/>
      <w:r w:rsidRPr="00434BB4">
        <w:rPr>
          <w:rFonts w:ascii="Arial" w:eastAsia="Calibri" w:hAnsi="Arial" w:cs="Arial"/>
          <w:color w:val="000000" w:themeColor="text1"/>
          <w:sz w:val="22"/>
          <w:lang w:val="es-ES_tradnl"/>
        </w:rPr>
        <w:t>Al respecto</w:t>
      </w:r>
      <w:r w:rsidRPr="00434BB4">
        <w:rPr>
          <w:rFonts w:ascii="Arial" w:hAnsi="Arial" w:cs="Arial"/>
          <w:color w:val="000000" w:themeColor="text1"/>
          <w:sz w:val="22"/>
          <w:lang w:val="es-ES_tradnl"/>
        </w:rPr>
        <w:t xml:space="preserve">, el artículo 2.2.1.1.2.2.9 del Decreto 1082 de 2015 regulaba los factores de desempate que debían aplicarse en los procesos de selección. En criterio de esta Agencia, dicha norma debe entenderse derogada por el artículo 35 de la Ley 2069 de 2020. Ello no solo porque el artículo 84 de esta ley dispone que «rige a partir del momento de su promulgación», es decir, desde el 31 de diciembre de 2020, sino además porque la misma disposición señala que la Ley 2069 de 2020 deroga «[…] todas las disposiciones que le sean contrarias». </w:t>
      </w:r>
    </w:p>
    <w:p w14:paraId="320D2DBC" w14:textId="6BF6FE20" w:rsidR="00D14890" w:rsidRPr="00434BB4" w:rsidRDefault="00D14890" w:rsidP="00BF0F70">
      <w:pPr>
        <w:spacing w:after="120"/>
        <w:ind w:firstLine="709"/>
        <w:rPr>
          <w:rFonts w:ascii="Arial" w:hAnsi="Arial" w:cs="Arial"/>
          <w:color w:val="000000" w:themeColor="text1"/>
          <w:sz w:val="22"/>
          <w:lang w:val="es-ES_tradnl"/>
        </w:rPr>
      </w:pPr>
      <w:bookmarkStart w:id="17" w:name="_Hlk69573103"/>
      <w:r w:rsidRPr="00434BB4">
        <w:rPr>
          <w:rFonts w:ascii="Arial" w:hAnsi="Arial" w:cs="Arial"/>
          <w:color w:val="000000" w:themeColor="text1"/>
          <w:sz w:val="22"/>
          <w:lang w:val="es-ES_tradnl"/>
        </w:rPr>
        <w:t xml:space="preserve">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sidRPr="00434BB4">
        <w:rPr>
          <w:rFonts w:ascii="Arial" w:hAnsi="Arial" w:cs="Arial"/>
          <w:i/>
          <w:iCs/>
          <w:color w:val="000000" w:themeColor="text1"/>
          <w:sz w:val="22"/>
          <w:lang w:val="es-ES_tradnl"/>
        </w:rPr>
        <w:t>secundum</w:t>
      </w:r>
      <w:proofErr w:type="spellEnd"/>
      <w:r w:rsidRPr="00434BB4">
        <w:rPr>
          <w:rFonts w:ascii="Arial" w:hAnsi="Arial" w:cs="Arial"/>
          <w:i/>
          <w:iCs/>
          <w:color w:val="000000" w:themeColor="text1"/>
          <w:sz w:val="22"/>
          <w:lang w:val="es-ES_tradnl"/>
        </w:rPr>
        <w:t xml:space="preserve"> </w:t>
      </w:r>
      <w:proofErr w:type="spellStart"/>
      <w:r w:rsidRPr="00434BB4">
        <w:rPr>
          <w:rFonts w:ascii="Arial" w:hAnsi="Arial" w:cs="Arial"/>
          <w:i/>
          <w:iCs/>
          <w:color w:val="000000" w:themeColor="text1"/>
          <w:sz w:val="22"/>
          <w:lang w:val="es-ES_tradnl"/>
        </w:rPr>
        <w:t>legem</w:t>
      </w:r>
      <w:proofErr w:type="spellEnd"/>
      <w:r w:rsidRPr="00434BB4">
        <w:rPr>
          <w:rFonts w:ascii="Arial" w:hAnsi="Arial" w:cs="Arial"/>
          <w:color w:val="000000" w:themeColor="text1"/>
          <w:sz w:val="22"/>
          <w:lang w:val="es-ES_tradnl"/>
        </w:rPr>
        <w:t xml:space="preserve"> –es decir, que desarrolla una norma de mayor jerarquía–, la expedición de una ley en sentido formal –en otras palabras, una fuente que condiciona el contenido de este último–, hace que la disposición reglamentaria decaiga.</w:t>
      </w:r>
      <w:r w:rsidR="006D7173" w:rsidRPr="00434BB4">
        <w:rPr>
          <w:rFonts w:ascii="Arial" w:hAnsi="Arial" w:cs="Arial"/>
          <w:color w:val="000000" w:themeColor="text1"/>
          <w:sz w:val="22"/>
          <w:lang w:val="es-ES_tradnl"/>
        </w:rPr>
        <w:t xml:space="preserve"> </w:t>
      </w:r>
    </w:p>
    <w:bookmarkEnd w:id="17"/>
    <w:p w14:paraId="3EA0595E" w14:textId="7D7FFBDF" w:rsidR="00D14890" w:rsidRPr="00434BB4" w:rsidRDefault="00D14890" w:rsidP="00BF0F70">
      <w:pPr>
        <w:spacing w:after="120"/>
        <w:ind w:firstLine="709"/>
        <w:rPr>
          <w:rFonts w:ascii="Arial" w:hAnsi="Arial" w:cs="Arial"/>
          <w:color w:val="000000" w:themeColor="text1"/>
          <w:sz w:val="22"/>
          <w:lang w:val="es-ES_tradnl"/>
        </w:rPr>
      </w:pPr>
      <w:r w:rsidRPr="00434BB4">
        <w:rPr>
          <w:rFonts w:ascii="Arial" w:hAnsi="Arial" w:cs="Arial"/>
          <w:color w:val="000000" w:themeColor="text1"/>
          <w:sz w:val="22"/>
          <w:lang w:val="es-ES_tradnl"/>
        </w:rPr>
        <w:t xml:space="preserve">Lo expuesto en los dos (2) párrafos precedentes también aplica </w:t>
      </w:r>
      <w:r w:rsidRPr="00434BB4">
        <w:rPr>
          <w:rFonts w:ascii="Arial" w:hAnsi="Arial" w:cs="Arial"/>
          <w:i/>
          <w:iCs/>
          <w:color w:val="000000" w:themeColor="text1"/>
          <w:sz w:val="22"/>
          <w:lang w:val="es-ES_tradnl"/>
        </w:rPr>
        <w:t>mutatis mutandis</w:t>
      </w:r>
      <w:r w:rsidRPr="00434BB4">
        <w:rPr>
          <w:rFonts w:ascii="Arial" w:hAnsi="Arial" w:cs="Arial"/>
          <w:color w:val="000000" w:themeColor="text1"/>
          <w:sz w:val="22"/>
          <w:lang w:val="es-ES_tradnl"/>
        </w:rPr>
        <w:t xml:space="preserve"> a los factores de desempate previstos en el Decreto Único Reglamentario del Sector Administrativo de Planeación Nacional para el procedimiento de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w:t>
      </w:r>
      <w:r w:rsidR="006D7173" w:rsidRPr="00434BB4">
        <w:rPr>
          <w:rFonts w:ascii="Arial" w:hAnsi="Arial" w:cs="Arial"/>
          <w:color w:val="000000" w:themeColor="text1"/>
          <w:sz w:val="22"/>
          <w:lang w:val="es-ES_tradnl"/>
        </w:rPr>
        <w:t xml:space="preserve"> </w:t>
      </w:r>
    </w:p>
    <w:p w14:paraId="28913D59" w14:textId="77777777" w:rsidR="00D14890" w:rsidRPr="00434BB4" w:rsidRDefault="00D14890" w:rsidP="00BF0F70">
      <w:pPr>
        <w:spacing w:after="120"/>
        <w:ind w:firstLine="709"/>
        <w:rPr>
          <w:rFonts w:ascii="Arial" w:hAnsi="Arial" w:cs="Arial"/>
          <w:color w:val="000000" w:themeColor="text1"/>
          <w:sz w:val="22"/>
          <w:lang w:val="es-ES_tradnl"/>
        </w:rPr>
      </w:pPr>
      <w:r w:rsidRPr="00434BB4">
        <w:rPr>
          <w:rFonts w:ascii="Arial" w:hAnsi="Arial" w:cs="Arial"/>
          <w:color w:val="000000" w:themeColor="text1"/>
          <w:sz w:val="22"/>
          <w:lang w:val="es-ES_tradnl"/>
        </w:rPr>
        <w:t xml:space="preserve">En efecto, una interpretación exegética del parágrafo 2 del artículo 30 de la Ley de Emprendimiento desconocería la aplicación de normas transversales al sistema de compras y contratación pública, tales como la capacidad de los consorcios y las uniones temporales, el régimen de inhabilidades e incompatibilidades, los requisitos para ejercer las potestades exorbitantes o los principios de la contratación estatal –arts. 6, 8, 14.2 y 23 de la Ley 80 de 1993, respectivamente–. Llevada al extremo, la idea de que el procedimiento de mínima cuantía solo se regula por el artículo 30 de la Ley 2069 de 2020 </w:t>
      </w:r>
      <w:r w:rsidRPr="00434BB4">
        <w:rPr>
          <w:rFonts w:ascii="Arial" w:hAnsi="Arial" w:cs="Arial"/>
          <w:color w:val="000000" w:themeColor="text1"/>
          <w:sz w:val="22"/>
          <w:lang w:val="es-ES_tradnl"/>
        </w:rPr>
        <w:lastRenderedPageBreak/>
        <w:t xml:space="preserve">y su correspondiente reglamentación genera consecuencias absurdas, pues daría a entender que el reglamento podría modificar aspectos elevados a rango de ley, como lo son los criterios de desempate previstos en el artículo 35 de la Ley 2069 de 2020. </w:t>
      </w:r>
    </w:p>
    <w:p w14:paraId="66EB3CC5" w14:textId="77777777" w:rsidR="00D14890" w:rsidRPr="00434BB4" w:rsidRDefault="00D14890" w:rsidP="00BF0F70">
      <w:pPr>
        <w:spacing w:after="0"/>
        <w:ind w:firstLine="709"/>
        <w:rPr>
          <w:rFonts w:ascii="Arial" w:hAnsi="Arial" w:cs="Arial"/>
          <w:color w:val="000000" w:themeColor="text1"/>
          <w:sz w:val="22"/>
          <w:lang w:val="es-ES_tradnl"/>
        </w:rPr>
      </w:pPr>
      <w:r w:rsidRPr="00434BB4">
        <w:rPr>
          <w:rFonts w:ascii="Arial" w:hAnsi="Arial" w:cs="Arial"/>
          <w:color w:val="000000" w:themeColor="text1"/>
          <w:sz w:val="22"/>
          <w:lang w:val="es-ES_tradnl"/>
        </w:rPr>
        <w:t xml:space="preserve">Además, aunque el artículo 5.1 de la Ley 57 de 1887 consagra la regla </w:t>
      </w:r>
      <w:proofErr w:type="spellStart"/>
      <w:r w:rsidRPr="00434BB4">
        <w:rPr>
          <w:rFonts w:ascii="Arial" w:hAnsi="Arial" w:cs="Arial"/>
          <w:i/>
          <w:iCs/>
          <w:color w:val="000000" w:themeColor="text1"/>
          <w:sz w:val="22"/>
          <w:lang w:val="es-ES_tradnl"/>
        </w:rPr>
        <w:t>lex</w:t>
      </w:r>
      <w:proofErr w:type="spellEnd"/>
      <w:r w:rsidRPr="00434BB4">
        <w:rPr>
          <w:rFonts w:ascii="Arial" w:hAnsi="Arial" w:cs="Arial"/>
          <w:i/>
          <w:iCs/>
          <w:color w:val="000000" w:themeColor="text1"/>
          <w:sz w:val="22"/>
          <w:lang w:val="es-ES_tradnl"/>
        </w:rPr>
        <w:t xml:space="preserve"> </w:t>
      </w:r>
      <w:proofErr w:type="spellStart"/>
      <w:r w:rsidRPr="00434BB4">
        <w:rPr>
          <w:rFonts w:ascii="Arial" w:hAnsi="Arial" w:cs="Arial"/>
          <w:i/>
          <w:iCs/>
          <w:color w:val="000000" w:themeColor="text1"/>
          <w:sz w:val="22"/>
          <w:lang w:val="es-ES_tradnl"/>
        </w:rPr>
        <w:t>specialis</w:t>
      </w:r>
      <w:proofErr w:type="spellEnd"/>
      <w:r w:rsidRPr="00434BB4">
        <w:rPr>
          <w:rFonts w:ascii="Arial" w:hAnsi="Arial" w:cs="Arial"/>
          <w:i/>
          <w:iCs/>
          <w:color w:val="000000" w:themeColor="text1"/>
          <w:sz w:val="22"/>
          <w:lang w:val="es-ES_tradnl"/>
        </w:rPr>
        <w:t xml:space="preserve"> </w:t>
      </w:r>
      <w:proofErr w:type="spellStart"/>
      <w:r w:rsidRPr="00434BB4">
        <w:rPr>
          <w:rFonts w:ascii="Arial" w:hAnsi="Arial" w:cs="Arial"/>
          <w:i/>
          <w:iCs/>
          <w:color w:val="000000" w:themeColor="text1"/>
          <w:sz w:val="22"/>
          <w:lang w:val="es-ES_tradnl"/>
        </w:rPr>
        <w:t>derogat</w:t>
      </w:r>
      <w:proofErr w:type="spellEnd"/>
      <w:r w:rsidRPr="00434BB4">
        <w:rPr>
          <w:rFonts w:ascii="Arial" w:hAnsi="Arial" w:cs="Arial"/>
          <w:i/>
          <w:iCs/>
          <w:color w:val="000000" w:themeColor="text1"/>
          <w:sz w:val="22"/>
          <w:lang w:val="es-ES_tradnl"/>
        </w:rPr>
        <w:t xml:space="preserve"> </w:t>
      </w:r>
      <w:proofErr w:type="spellStart"/>
      <w:r w:rsidRPr="00434BB4">
        <w:rPr>
          <w:rFonts w:ascii="Arial" w:hAnsi="Arial" w:cs="Arial"/>
          <w:i/>
          <w:iCs/>
          <w:color w:val="000000" w:themeColor="text1"/>
          <w:sz w:val="22"/>
          <w:lang w:val="es-ES_tradnl"/>
        </w:rPr>
        <w:t>legi</w:t>
      </w:r>
      <w:proofErr w:type="spellEnd"/>
      <w:r w:rsidRPr="00434BB4">
        <w:rPr>
          <w:rFonts w:ascii="Arial" w:hAnsi="Arial" w:cs="Arial"/>
          <w:i/>
          <w:iCs/>
          <w:color w:val="000000" w:themeColor="text1"/>
          <w:sz w:val="22"/>
          <w:lang w:val="es-ES_tradnl"/>
        </w:rPr>
        <w:t xml:space="preserve"> </w:t>
      </w:r>
      <w:proofErr w:type="spellStart"/>
      <w:r w:rsidRPr="00434BB4">
        <w:rPr>
          <w:rFonts w:ascii="Arial" w:hAnsi="Arial" w:cs="Arial"/>
          <w:i/>
          <w:iCs/>
          <w:color w:val="000000" w:themeColor="text1"/>
          <w:sz w:val="22"/>
          <w:lang w:val="es-ES_tradnl"/>
        </w:rPr>
        <w:t>generali</w:t>
      </w:r>
      <w:proofErr w:type="spellEnd"/>
      <w:r w:rsidRPr="00434BB4">
        <w:rPr>
          <w:rStyle w:val="Refdenotaalpie"/>
          <w:rFonts w:ascii="Arial" w:hAnsi="Arial" w:cs="Arial"/>
          <w:color w:val="000000" w:themeColor="text1"/>
          <w:sz w:val="22"/>
          <w:lang w:val="es-ES_tradnl"/>
        </w:rPr>
        <w:footnoteReference w:id="24"/>
      </w:r>
      <w:r w:rsidRPr="00434BB4">
        <w:rPr>
          <w:rFonts w:ascii="Arial" w:hAnsi="Arial" w:cs="Arial"/>
          <w:color w:val="000000" w:themeColor="text1"/>
          <w:sz w:val="22"/>
          <w:lang w:val="es-ES_tradnl"/>
        </w:rPr>
        <w:t>, este criterio para la resolución de antinomias carece de aplicación matemática para concluir que los factores de desempate para la mínima cuantía se rigen por las normas especiales previstas en el reglamento. De esta manera, los límites de esta regla hay que verificarlos en cada caso teniendo en cuenta la intención del legislador, por lo cual es posible la existencia de una regla general que no tolere excepciones</w:t>
      </w:r>
      <w:r w:rsidRPr="00434BB4">
        <w:rPr>
          <w:rStyle w:val="Refdenotaalpie"/>
          <w:rFonts w:ascii="Arial" w:hAnsi="Arial" w:cs="Arial"/>
          <w:color w:val="000000" w:themeColor="text1"/>
          <w:sz w:val="22"/>
          <w:lang w:val="es-ES_tradnl"/>
        </w:rPr>
        <w:footnoteReference w:id="25"/>
      </w:r>
      <w:r w:rsidRPr="00434BB4">
        <w:rPr>
          <w:rFonts w:ascii="Arial" w:hAnsi="Arial" w:cs="Arial"/>
          <w:color w:val="000000" w:themeColor="text1"/>
          <w:sz w:val="22"/>
          <w:lang w:val="es-ES_tradnl"/>
        </w:rPr>
        <w:t xml:space="preserve">. Al respecto, la doctrina considera que: </w:t>
      </w:r>
    </w:p>
    <w:p w14:paraId="5D3494D9" w14:textId="31EE89BB" w:rsidR="00647607" w:rsidRPr="00434BB4" w:rsidRDefault="006D7173" w:rsidP="00BF0F70">
      <w:pPr>
        <w:spacing w:after="0"/>
        <w:ind w:firstLine="709"/>
        <w:rPr>
          <w:rFonts w:ascii="Arial" w:hAnsi="Arial" w:cs="Arial"/>
          <w:color w:val="000000" w:themeColor="text1"/>
          <w:sz w:val="22"/>
          <w:lang w:val="es-ES_tradnl"/>
        </w:rPr>
      </w:pPr>
      <w:r w:rsidRPr="00434BB4">
        <w:rPr>
          <w:rFonts w:ascii="Arial" w:hAnsi="Arial" w:cs="Arial"/>
          <w:color w:val="000000" w:themeColor="text1"/>
          <w:sz w:val="22"/>
          <w:lang w:val="es-ES_tradnl"/>
        </w:rPr>
        <w:t xml:space="preserve"> </w:t>
      </w:r>
    </w:p>
    <w:p w14:paraId="070847DD" w14:textId="77777777" w:rsidR="00D14890" w:rsidRPr="00434BB4" w:rsidRDefault="00D14890" w:rsidP="00BF0F70">
      <w:pPr>
        <w:spacing w:after="0" w:line="240" w:lineRule="auto"/>
        <w:ind w:left="709" w:right="758"/>
        <w:rPr>
          <w:rFonts w:ascii="Arial" w:hAnsi="Arial" w:cs="Arial"/>
          <w:color w:val="000000" w:themeColor="text1"/>
          <w:sz w:val="21"/>
          <w:szCs w:val="21"/>
          <w:lang w:val="es-ES_tradnl"/>
        </w:rPr>
      </w:pPr>
      <w:r w:rsidRPr="00434BB4">
        <w:rPr>
          <w:rFonts w:ascii="Arial" w:hAnsi="Arial" w:cs="Arial"/>
          <w:color w:val="000000" w:themeColor="text1"/>
          <w:sz w:val="21"/>
          <w:szCs w:val="21"/>
          <w:lang w:val="es-ES_tradnl"/>
        </w:rPr>
        <w:t xml:space="preserve">[…] la preferencia por la norma especial sobre la norma posterior no puede tener jamás un valor absoluto, porque razones de orden teleológico pueden impeler a dar prioridad a la </w:t>
      </w:r>
      <w:proofErr w:type="spellStart"/>
      <w:r w:rsidRPr="00434BB4">
        <w:rPr>
          <w:rFonts w:ascii="Arial" w:hAnsi="Arial" w:cs="Arial"/>
          <w:i/>
          <w:iCs/>
          <w:color w:val="000000" w:themeColor="text1"/>
          <w:sz w:val="21"/>
          <w:szCs w:val="21"/>
          <w:lang w:val="es-ES_tradnl"/>
        </w:rPr>
        <w:t>lex</w:t>
      </w:r>
      <w:proofErr w:type="spellEnd"/>
      <w:r w:rsidRPr="00434BB4">
        <w:rPr>
          <w:rFonts w:ascii="Arial" w:hAnsi="Arial" w:cs="Arial"/>
          <w:i/>
          <w:iCs/>
          <w:color w:val="000000" w:themeColor="text1"/>
          <w:sz w:val="21"/>
          <w:szCs w:val="21"/>
          <w:lang w:val="es-ES_tradnl"/>
        </w:rPr>
        <w:t xml:space="preserve"> posterior </w:t>
      </w:r>
      <w:proofErr w:type="spellStart"/>
      <w:r w:rsidRPr="00434BB4">
        <w:rPr>
          <w:rFonts w:ascii="Arial" w:hAnsi="Arial" w:cs="Arial"/>
          <w:i/>
          <w:iCs/>
          <w:color w:val="000000" w:themeColor="text1"/>
          <w:sz w:val="21"/>
          <w:szCs w:val="21"/>
          <w:lang w:val="es-ES_tradnl"/>
        </w:rPr>
        <w:t>generalis</w:t>
      </w:r>
      <w:proofErr w:type="spellEnd"/>
      <w:r w:rsidRPr="00434BB4">
        <w:rPr>
          <w:rFonts w:ascii="Arial" w:hAnsi="Arial" w:cs="Arial"/>
          <w:color w:val="000000" w:themeColor="text1"/>
          <w:sz w:val="21"/>
          <w:szCs w:val="21"/>
          <w:lang w:val="es-ES_tradnl"/>
        </w:rPr>
        <w:t xml:space="preserve">. Piénsese en las hipótesis de nueva regulación integral de la materia, por reducida que la materia sea: parece que la vocación de regulación uniforme debe prevalecer sobre las diferencias sectoriales preexistentes. Por ello, incluso quienes defienden la primacía del criterio de la especialidad en caso de conflicto con el criterio cronológico lo hacen con reservas y sin atribuir a esta afirmación un valor absoluto. Ha sido sugerido, en este sentido, que el aforismo </w:t>
      </w:r>
      <w:proofErr w:type="spellStart"/>
      <w:r w:rsidRPr="00434BB4">
        <w:rPr>
          <w:rFonts w:ascii="Arial" w:hAnsi="Arial" w:cs="Arial"/>
          <w:i/>
          <w:iCs/>
          <w:color w:val="000000" w:themeColor="text1"/>
          <w:sz w:val="21"/>
          <w:szCs w:val="21"/>
          <w:lang w:val="es-ES_tradnl"/>
        </w:rPr>
        <w:t>lex</w:t>
      </w:r>
      <w:proofErr w:type="spellEnd"/>
      <w:r w:rsidRPr="00434BB4">
        <w:rPr>
          <w:rFonts w:ascii="Arial" w:hAnsi="Arial" w:cs="Arial"/>
          <w:i/>
          <w:iCs/>
          <w:color w:val="000000" w:themeColor="text1"/>
          <w:sz w:val="21"/>
          <w:szCs w:val="21"/>
          <w:lang w:val="es-ES_tradnl"/>
        </w:rPr>
        <w:t xml:space="preserve"> posterior </w:t>
      </w:r>
      <w:proofErr w:type="spellStart"/>
      <w:r w:rsidRPr="00434BB4">
        <w:rPr>
          <w:rFonts w:ascii="Arial" w:hAnsi="Arial" w:cs="Arial"/>
          <w:i/>
          <w:iCs/>
          <w:color w:val="000000" w:themeColor="text1"/>
          <w:sz w:val="21"/>
          <w:szCs w:val="21"/>
          <w:lang w:val="es-ES_tradnl"/>
        </w:rPr>
        <w:t>generalis</w:t>
      </w:r>
      <w:proofErr w:type="spellEnd"/>
      <w:r w:rsidRPr="00434BB4">
        <w:rPr>
          <w:rFonts w:ascii="Arial" w:hAnsi="Arial" w:cs="Arial"/>
          <w:i/>
          <w:iCs/>
          <w:color w:val="000000" w:themeColor="text1"/>
          <w:sz w:val="21"/>
          <w:szCs w:val="21"/>
          <w:lang w:val="es-ES_tradnl"/>
        </w:rPr>
        <w:t xml:space="preserve"> non </w:t>
      </w:r>
      <w:proofErr w:type="spellStart"/>
      <w:r w:rsidRPr="00434BB4">
        <w:rPr>
          <w:rFonts w:ascii="Arial" w:hAnsi="Arial" w:cs="Arial"/>
          <w:i/>
          <w:iCs/>
          <w:color w:val="000000" w:themeColor="text1"/>
          <w:sz w:val="21"/>
          <w:szCs w:val="21"/>
          <w:lang w:val="es-ES_tradnl"/>
        </w:rPr>
        <w:t>derogat</w:t>
      </w:r>
      <w:proofErr w:type="spellEnd"/>
      <w:r w:rsidRPr="00434BB4">
        <w:rPr>
          <w:rFonts w:ascii="Arial" w:hAnsi="Arial" w:cs="Arial"/>
          <w:i/>
          <w:iCs/>
          <w:color w:val="000000" w:themeColor="text1"/>
          <w:sz w:val="21"/>
          <w:szCs w:val="21"/>
          <w:lang w:val="es-ES_tradnl"/>
        </w:rPr>
        <w:t xml:space="preserve"> </w:t>
      </w:r>
      <w:proofErr w:type="spellStart"/>
      <w:r w:rsidRPr="00434BB4">
        <w:rPr>
          <w:rFonts w:ascii="Arial" w:hAnsi="Arial" w:cs="Arial"/>
          <w:i/>
          <w:iCs/>
          <w:color w:val="000000" w:themeColor="text1"/>
          <w:sz w:val="21"/>
          <w:szCs w:val="21"/>
          <w:lang w:val="es-ES_tradnl"/>
        </w:rPr>
        <w:t>legi</w:t>
      </w:r>
      <w:proofErr w:type="spellEnd"/>
      <w:r w:rsidRPr="00434BB4">
        <w:rPr>
          <w:rFonts w:ascii="Arial" w:hAnsi="Arial" w:cs="Arial"/>
          <w:i/>
          <w:iCs/>
          <w:color w:val="000000" w:themeColor="text1"/>
          <w:sz w:val="21"/>
          <w:szCs w:val="21"/>
          <w:lang w:val="es-ES_tradnl"/>
        </w:rPr>
        <w:t xml:space="preserve"> priori </w:t>
      </w:r>
      <w:proofErr w:type="spellStart"/>
      <w:r w:rsidRPr="00434BB4">
        <w:rPr>
          <w:rFonts w:ascii="Arial" w:hAnsi="Arial" w:cs="Arial"/>
          <w:i/>
          <w:iCs/>
          <w:color w:val="000000" w:themeColor="text1"/>
          <w:sz w:val="21"/>
          <w:szCs w:val="21"/>
          <w:lang w:val="es-ES_tradnl"/>
        </w:rPr>
        <w:t>speciali</w:t>
      </w:r>
      <w:proofErr w:type="spellEnd"/>
      <w:r w:rsidRPr="00434BB4">
        <w:rPr>
          <w:rFonts w:ascii="Arial" w:hAnsi="Arial" w:cs="Arial"/>
          <w:color w:val="000000" w:themeColor="text1"/>
          <w:sz w:val="21"/>
          <w:szCs w:val="21"/>
          <w:lang w:val="es-ES_tradnl"/>
        </w:rPr>
        <w:t xml:space="preserve"> opera como una mera presunción hermenéutica, que puede ser destruida por una clara </w:t>
      </w:r>
      <w:proofErr w:type="spellStart"/>
      <w:r w:rsidRPr="00434BB4">
        <w:rPr>
          <w:rFonts w:ascii="Arial" w:hAnsi="Arial" w:cs="Arial"/>
          <w:i/>
          <w:iCs/>
          <w:color w:val="000000" w:themeColor="text1"/>
          <w:sz w:val="21"/>
          <w:szCs w:val="21"/>
          <w:lang w:val="es-ES_tradnl"/>
        </w:rPr>
        <w:t>voluntas</w:t>
      </w:r>
      <w:proofErr w:type="spellEnd"/>
      <w:r w:rsidRPr="00434BB4">
        <w:rPr>
          <w:rFonts w:ascii="Arial" w:hAnsi="Arial" w:cs="Arial"/>
          <w:i/>
          <w:iCs/>
          <w:color w:val="000000" w:themeColor="text1"/>
          <w:sz w:val="21"/>
          <w:szCs w:val="21"/>
          <w:lang w:val="es-ES_tradnl"/>
        </w:rPr>
        <w:t xml:space="preserve"> </w:t>
      </w:r>
      <w:proofErr w:type="spellStart"/>
      <w:r w:rsidRPr="00434BB4">
        <w:rPr>
          <w:rFonts w:ascii="Arial" w:hAnsi="Arial" w:cs="Arial"/>
          <w:i/>
          <w:iCs/>
          <w:color w:val="000000" w:themeColor="text1"/>
          <w:sz w:val="21"/>
          <w:szCs w:val="21"/>
          <w:lang w:val="es-ES_tradnl"/>
        </w:rPr>
        <w:t>legis</w:t>
      </w:r>
      <w:proofErr w:type="spellEnd"/>
      <w:r w:rsidRPr="00434BB4">
        <w:rPr>
          <w:rFonts w:ascii="Arial" w:hAnsi="Arial" w:cs="Arial"/>
          <w:color w:val="000000" w:themeColor="text1"/>
          <w:sz w:val="21"/>
          <w:szCs w:val="21"/>
          <w:lang w:val="es-ES_tradnl"/>
        </w:rPr>
        <w:t xml:space="preserve"> de sentido contrario</w:t>
      </w:r>
      <w:r w:rsidRPr="00434BB4">
        <w:rPr>
          <w:rStyle w:val="Refdenotaalpie"/>
          <w:rFonts w:ascii="Arial" w:hAnsi="Arial" w:cs="Arial"/>
          <w:color w:val="000000" w:themeColor="text1"/>
          <w:sz w:val="21"/>
          <w:szCs w:val="21"/>
          <w:lang w:val="es-ES_tradnl"/>
        </w:rPr>
        <w:footnoteReference w:id="26"/>
      </w:r>
      <w:r w:rsidRPr="00434BB4">
        <w:rPr>
          <w:rFonts w:ascii="Arial" w:hAnsi="Arial" w:cs="Arial"/>
          <w:color w:val="000000" w:themeColor="text1"/>
          <w:sz w:val="21"/>
          <w:szCs w:val="21"/>
          <w:lang w:val="es-ES_tradnl"/>
        </w:rPr>
        <w:t xml:space="preserve">. </w:t>
      </w:r>
    </w:p>
    <w:p w14:paraId="63B99C9C" w14:textId="77777777" w:rsidR="00D14890" w:rsidRPr="00434BB4" w:rsidRDefault="00D14890" w:rsidP="00BF0F70">
      <w:pPr>
        <w:spacing w:after="0"/>
        <w:rPr>
          <w:rFonts w:ascii="Arial" w:hAnsi="Arial" w:cs="Arial"/>
          <w:color w:val="000000" w:themeColor="text1"/>
          <w:sz w:val="22"/>
          <w:lang w:val="es-ES_tradnl"/>
        </w:rPr>
      </w:pPr>
    </w:p>
    <w:p w14:paraId="62B9F6C5" w14:textId="27269E2E" w:rsidR="00D14890" w:rsidRPr="00434BB4" w:rsidRDefault="00D14890">
      <w:pPr>
        <w:spacing w:after="120"/>
        <w:rPr>
          <w:rFonts w:ascii="Arial" w:eastAsia="Calibri" w:hAnsi="Arial" w:cs="Arial"/>
          <w:bCs/>
          <w:color w:val="000000" w:themeColor="text1"/>
          <w:sz w:val="22"/>
          <w:lang w:val="es-ES_tradnl"/>
        </w:rPr>
      </w:pPr>
      <w:r w:rsidRPr="00434BB4">
        <w:rPr>
          <w:rFonts w:ascii="Arial" w:hAnsi="Arial" w:cs="Arial"/>
          <w:color w:val="000000" w:themeColor="text1"/>
          <w:sz w:val="22"/>
          <w:lang w:val="es-ES_tradnl"/>
        </w:rPr>
        <w:tab/>
        <w:t xml:space="preserve">Tratándose de los factores de desempate, la intención del legislador es que el artículo 35 de la Ley de Emprendimiento sea una norma transversal al sistema de compras y contratación pública. Particularmente, </w:t>
      </w:r>
      <w:r w:rsidRPr="00434BB4">
        <w:rPr>
          <w:rFonts w:ascii="Arial" w:eastAsia="Calibri" w:hAnsi="Arial" w:cs="Arial"/>
          <w:bCs/>
          <w:color w:val="000000" w:themeColor="text1"/>
          <w:sz w:val="22"/>
          <w:lang w:val="es-ES_tradnl"/>
        </w:rPr>
        <w:t>conforme a la exposición de motivos, la ley «</w:t>
      </w:r>
      <w:r w:rsidRPr="00434BB4">
        <w:rPr>
          <w:rFonts w:ascii="Arial" w:hAnsi="Arial" w:cs="Arial"/>
          <w:sz w:val="22"/>
          <w:lang w:val="es-ES_tradnl"/>
        </w:rPr>
        <w:t xml:space="preserve">[…] </w:t>
      </w:r>
      <w:r w:rsidRPr="00434BB4">
        <w:rPr>
          <w:rFonts w:ascii="Arial" w:eastAsia="Calibri" w:hAnsi="Arial" w:cs="Arial"/>
          <w:bCs/>
          <w:color w:val="000000" w:themeColor="text1"/>
          <w:sz w:val="22"/>
          <w:lang w:val="es-ES_tradnl"/>
        </w:rPr>
        <w:t xml:space="preserve">propone facilitar el acceso de las </w:t>
      </w:r>
      <w:proofErr w:type="spellStart"/>
      <w:r w:rsidRPr="00434BB4">
        <w:rPr>
          <w:rFonts w:ascii="Arial" w:eastAsia="Calibri" w:hAnsi="Arial" w:cs="Arial"/>
          <w:bCs/>
          <w:color w:val="000000" w:themeColor="text1"/>
          <w:sz w:val="22"/>
          <w:lang w:val="es-ES_tradnl"/>
        </w:rPr>
        <w:t>Mipymes</w:t>
      </w:r>
      <w:proofErr w:type="spellEnd"/>
      <w:r w:rsidRPr="00434BB4">
        <w:rPr>
          <w:rFonts w:ascii="Arial" w:eastAsia="Calibri" w:hAnsi="Arial" w:cs="Arial"/>
          <w:bCs/>
          <w:color w:val="000000" w:themeColor="text1"/>
          <w:sz w:val="22"/>
          <w:lang w:val="es-ES_tradnl"/>
        </w:rPr>
        <w:t xml:space="preserve"> a la modalidad de contratación de mínima cuantía, la limitación de estos procesos a </w:t>
      </w:r>
      <w:proofErr w:type="spellStart"/>
      <w:r w:rsidRPr="00434BB4">
        <w:rPr>
          <w:rFonts w:ascii="Arial" w:eastAsia="Calibri" w:hAnsi="Arial" w:cs="Arial"/>
          <w:bCs/>
          <w:color w:val="000000" w:themeColor="text1"/>
          <w:sz w:val="22"/>
          <w:lang w:val="es-ES_tradnl"/>
        </w:rPr>
        <w:t>Mipymes</w:t>
      </w:r>
      <w:proofErr w:type="spellEnd"/>
      <w:r w:rsidRPr="00434BB4">
        <w:rPr>
          <w:rFonts w:ascii="Arial" w:eastAsia="Calibri" w:hAnsi="Arial" w:cs="Arial"/>
          <w:bCs/>
          <w:color w:val="000000" w:themeColor="text1"/>
          <w:sz w:val="22"/>
          <w:lang w:val="es-ES_tradnl"/>
        </w:rPr>
        <w:t xml:space="preserve">, […] y </w:t>
      </w:r>
      <w:r w:rsidRPr="00434BB4">
        <w:rPr>
          <w:rFonts w:ascii="Arial" w:eastAsia="Calibri" w:hAnsi="Arial" w:cs="Arial"/>
          <w:bCs/>
          <w:i/>
          <w:iCs/>
          <w:color w:val="000000" w:themeColor="text1"/>
          <w:sz w:val="22"/>
          <w:lang w:val="es-ES_tradnl"/>
        </w:rPr>
        <w:t>define la inclusión de factores de desempate en los procesos de contratación pública que priorizan este segmento</w:t>
      </w:r>
      <w:r w:rsidRPr="00434BB4">
        <w:rPr>
          <w:rFonts w:ascii="Arial" w:eastAsia="Calibri" w:hAnsi="Arial" w:cs="Arial"/>
          <w:bCs/>
          <w:color w:val="000000" w:themeColor="text1"/>
          <w:sz w:val="22"/>
          <w:lang w:val="es-ES_tradnl"/>
        </w:rPr>
        <w:t>» (Énfasis fuera de texto)</w:t>
      </w:r>
      <w:r w:rsidRPr="00434BB4">
        <w:rPr>
          <w:rStyle w:val="Refdenotaalpie"/>
          <w:rFonts w:ascii="Arial" w:eastAsia="Calibri" w:hAnsi="Arial" w:cs="Arial"/>
          <w:bCs/>
          <w:color w:val="000000" w:themeColor="text1"/>
          <w:sz w:val="22"/>
          <w:lang w:val="es-ES_tradnl"/>
        </w:rPr>
        <w:footnoteReference w:id="27"/>
      </w:r>
      <w:r w:rsidRPr="00434BB4">
        <w:rPr>
          <w:rFonts w:ascii="Arial" w:eastAsia="Calibri" w:hAnsi="Arial" w:cs="Arial"/>
          <w:bCs/>
          <w:color w:val="000000" w:themeColor="text1"/>
          <w:sz w:val="22"/>
          <w:lang w:val="es-ES_tradnl"/>
        </w:rPr>
        <w:t>. En esta medida, carece de sentido que los criterios de desempate sean inaplicables a la mínima cuantía</w:t>
      </w:r>
      <w:r w:rsidR="005B286C" w:rsidRPr="00434BB4">
        <w:rPr>
          <w:rFonts w:ascii="Arial" w:eastAsia="Calibri" w:hAnsi="Arial" w:cs="Arial"/>
          <w:bCs/>
          <w:color w:val="000000" w:themeColor="text1"/>
          <w:sz w:val="22"/>
          <w:lang w:val="es-ES_tradnl"/>
        </w:rPr>
        <w:t xml:space="preserve"> desde la expedición de la Ley 2069 de 2020</w:t>
      </w:r>
      <w:r w:rsidRPr="00434BB4">
        <w:rPr>
          <w:rFonts w:ascii="Arial" w:eastAsia="Calibri" w:hAnsi="Arial" w:cs="Arial"/>
          <w:bCs/>
          <w:color w:val="000000" w:themeColor="text1"/>
          <w:sz w:val="22"/>
          <w:lang w:val="es-ES_tradnl"/>
        </w:rPr>
        <w:t xml:space="preserve">, cuando la regla prevista en el artículo citado </w:t>
      </w:r>
      <w:r w:rsidR="00752DAC" w:rsidRPr="00434BB4">
        <w:rPr>
          <w:rFonts w:ascii="Arial" w:eastAsia="Calibri" w:hAnsi="Arial" w:cs="Arial"/>
          <w:bCs/>
          <w:color w:val="000000" w:themeColor="text1"/>
          <w:sz w:val="22"/>
          <w:lang w:val="es-ES_tradnl"/>
        </w:rPr>
        <w:t>aplica en los procesos de contratación realizados por las entidades estatales indistintamente de su régimen de contratación, así como los celebrados por los procesos de contratación de los patrimonios autónomos constituidos por entidades estatales</w:t>
      </w:r>
      <w:r w:rsidR="005B286C" w:rsidRPr="00434BB4">
        <w:rPr>
          <w:rFonts w:ascii="Arial" w:eastAsia="Calibri" w:hAnsi="Arial" w:cs="Arial"/>
          <w:bCs/>
          <w:color w:val="000000" w:themeColor="text1"/>
          <w:sz w:val="22"/>
          <w:lang w:val="es-ES_tradnl"/>
        </w:rPr>
        <w:t>,</w:t>
      </w:r>
      <w:r w:rsidRPr="00434BB4">
        <w:rPr>
          <w:rFonts w:ascii="Arial" w:eastAsia="Calibri" w:hAnsi="Arial" w:cs="Arial"/>
          <w:bCs/>
          <w:color w:val="000000" w:themeColor="text1"/>
          <w:sz w:val="22"/>
          <w:lang w:val="es-ES_tradnl"/>
        </w:rPr>
        <w:t xml:space="preserve"> sin consideración al valor del presupuesto oficial estimado. </w:t>
      </w:r>
      <w:r w:rsidR="005B286C" w:rsidRPr="00434BB4">
        <w:rPr>
          <w:rFonts w:ascii="Arial" w:eastAsia="Calibri" w:hAnsi="Arial" w:cs="Arial"/>
          <w:bCs/>
          <w:color w:val="000000" w:themeColor="text1"/>
          <w:sz w:val="22"/>
          <w:lang w:val="es-ES_tradnl"/>
        </w:rPr>
        <w:t>En este sentido, los criterios de desempate aplicables a los procesos de mínima cuantía, desde la expedición de la Ley 2069 de 2020 son los establecidos en el artículo 35 de dicha Ley, entendiéndose derogadas las normas que le sean contrarias.</w:t>
      </w:r>
    </w:p>
    <w:p w14:paraId="0BDB4852" w14:textId="0057B3F6" w:rsidR="007553C8" w:rsidRPr="00434BB4" w:rsidRDefault="00D14890" w:rsidP="002E40D4">
      <w:pPr>
        <w:tabs>
          <w:tab w:val="left" w:pos="709"/>
        </w:tabs>
        <w:spacing w:after="0"/>
        <w:rPr>
          <w:rFonts w:ascii="Arial" w:eastAsia="Calibri" w:hAnsi="Arial" w:cs="Arial"/>
          <w:color w:val="000000" w:themeColor="text1"/>
          <w:sz w:val="22"/>
          <w:lang w:val="es-ES_tradnl"/>
        </w:rPr>
      </w:pPr>
      <w:r w:rsidRPr="00434BB4">
        <w:rPr>
          <w:rFonts w:ascii="Arial" w:eastAsia="Calibri" w:hAnsi="Arial" w:cs="Arial"/>
          <w:bCs/>
          <w:color w:val="000000" w:themeColor="text1"/>
          <w:sz w:val="22"/>
          <w:lang w:val="es-ES_tradnl"/>
        </w:rPr>
        <w:tab/>
        <w:t xml:space="preserve">Teniendo en cuenta lo anterior, se concluye que el artículo </w:t>
      </w:r>
      <w:r w:rsidRPr="00434BB4">
        <w:rPr>
          <w:rFonts w:ascii="Arial" w:hAnsi="Arial" w:cs="Arial"/>
          <w:color w:val="000000" w:themeColor="text1"/>
          <w:sz w:val="22"/>
          <w:lang w:val="es-ES_tradnl"/>
        </w:rPr>
        <w:t>35 de la Ley 2069 de 2020 es aplicable al procedimiento de mínima cuantía</w:t>
      </w:r>
      <w:r w:rsidR="005B286C" w:rsidRPr="00434BB4">
        <w:rPr>
          <w:rFonts w:ascii="Arial" w:hAnsi="Arial" w:cs="Arial"/>
          <w:color w:val="000000" w:themeColor="text1"/>
          <w:sz w:val="22"/>
          <w:lang w:val="es-ES_tradnl"/>
        </w:rPr>
        <w:t xml:space="preserve"> desde la expedición de dicha Ley</w:t>
      </w:r>
      <w:r w:rsidRPr="00434BB4">
        <w:rPr>
          <w:rFonts w:ascii="Arial" w:hAnsi="Arial" w:cs="Arial"/>
          <w:color w:val="000000" w:themeColor="text1"/>
          <w:sz w:val="22"/>
          <w:lang w:val="es-ES_tradnl"/>
        </w:rPr>
        <w:t>, por lo que se present</w:t>
      </w:r>
      <w:r w:rsidR="005B286C" w:rsidRPr="00434BB4">
        <w:rPr>
          <w:rFonts w:ascii="Arial" w:hAnsi="Arial" w:cs="Arial"/>
          <w:color w:val="000000" w:themeColor="text1"/>
          <w:sz w:val="22"/>
          <w:lang w:val="es-ES_tradnl"/>
        </w:rPr>
        <w:t>ó</w:t>
      </w:r>
      <w:r w:rsidRPr="00434BB4">
        <w:rPr>
          <w:rFonts w:ascii="Arial" w:hAnsi="Arial" w:cs="Arial"/>
          <w:color w:val="000000" w:themeColor="text1"/>
          <w:sz w:val="22"/>
          <w:lang w:val="es-ES_tradnl"/>
        </w:rPr>
        <w:t xml:space="preserve"> tanto la derogación como el decaimiento de los criterios de desempate previstos en el Decreto 1082 de 2015 para esta modalidad de selección. De esta manera, a excepción de</w:t>
      </w:r>
      <w:r w:rsidRPr="00434BB4">
        <w:rPr>
          <w:rFonts w:ascii="Arial" w:eastAsia="Calibri" w:hAnsi="Arial" w:cs="Arial"/>
          <w:color w:val="000000" w:themeColor="text1"/>
          <w:sz w:val="22"/>
          <w:lang w:val="es-ES_tradnl"/>
        </w:rPr>
        <w:t>l numeral 7 del artículo 2.2.1.2.1.5.2 y el numeral 3 del artículo 2.2.1.2.1.5.3 del Decreto Único Reglamentario del Sector Administrativo de Planeación Nacional</w:t>
      </w:r>
      <w:r w:rsidR="005B286C" w:rsidRPr="00434BB4">
        <w:rPr>
          <w:rFonts w:ascii="Arial" w:eastAsia="Calibri" w:hAnsi="Arial" w:cs="Arial"/>
          <w:color w:val="000000" w:themeColor="text1"/>
          <w:sz w:val="22"/>
          <w:lang w:val="es-ES_tradnl"/>
        </w:rPr>
        <w:t xml:space="preserve"> –que se refieren a criterios de desempate–</w:t>
      </w:r>
      <w:r w:rsidRPr="00434BB4">
        <w:rPr>
          <w:rFonts w:ascii="Arial" w:eastAsia="Calibri" w:hAnsi="Arial" w:cs="Arial"/>
          <w:color w:val="000000" w:themeColor="text1"/>
          <w:sz w:val="22"/>
          <w:lang w:val="es-ES_tradnl"/>
        </w:rPr>
        <w:t xml:space="preserve">, </w:t>
      </w:r>
      <w:r w:rsidRPr="00434BB4">
        <w:rPr>
          <w:rFonts w:ascii="Arial" w:eastAsia="Calibri" w:hAnsi="Arial" w:cs="Arial"/>
          <w:bCs/>
          <w:color w:val="000000" w:themeColor="text1"/>
          <w:sz w:val="22"/>
          <w:lang w:val="es-ES_tradnl"/>
        </w:rPr>
        <w:t>los</w:t>
      </w:r>
      <w:r w:rsidRPr="00434BB4">
        <w:rPr>
          <w:rFonts w:ascii="Arial" w:eastAsia="Calibri" w:hAnsi="Arial" w:cs="Arial"/>
          <w:color w:val="000000" w:themeColor="text1"/>
          <w:sz w:val="22"/>
          <w:lang w:val="es-ES_tradnl"/>
        </w:rPr>
        <w:t xml:space="preserve"> artículos 2.2.1.2.1.5.1 al 2.2.1.2.1.5.4 de este reglamento continúan </w:t>
      </w:r>
      <w:r w:rsidR="00043EF1" w:rsidRPr="00434BB4">
        <w:rPr>
          <w:rFonts w:ascii="Arial" w:eastAsia="Calibri" w:hAnsi="Arial" w:cs="Arial"/>
          <w:color w:val="000000" w:themeColor="text1"/>
          <w:sz w:val="22"/>
          <w:lang w:val="es-ES_tradnl"/>
        </w:rPr>
        <w:t xml:space="preserve">rigiendo </w:t>
      </w:r>
      <w:r w:rsidRPr="00434BB4">
        <w:rPr>
          <w:rFonts w:ascii="Arial" w:eastAsia="Calibri" w:hAnsi="Arial" w:cs="Arial"/>
          <w:color w:val="000000" w:themeColor="text1"/>
          <w:sz w:val="22"/>
          <w:lang w:val="es-ES_tradnl"/>
        </w:rPr>
        <w:t>bajo la vigencia del numeral 5 del artículo 2 de la Ley 1150 de 2007, modificado por el artículo 30 de la Ley de Emprendimiento.</w:t>
      </w:r>
      <w:bookmarkEnd w:id="9"/>
      <w:r w:rsidR="00043EF1" w:rsidRPr="00434BB4">
        <w:rPr>
          <w:rFonts w:ascii="Arial" w:eastAsia="Calibri" w:hAnsi="Arial" w:cs="Arial"/>
          <w:color w:val="000000" w:themeColor="text1"/>
          <w:sz w:val="22"/>
          <w:lang w:val="es-ES_tradnl"/>
        </w:rPr>
        <w:t xml:space="preserve"> Sin embargo, el régimen aplicable a la mínima cuantía variará para los procesos cuya invitación se publique a partir del 24 de marzo de 2022, como se explicará en el numeral siguiente.</w:t>
      </w:r>
    </w:p>
    <w:p w14:paraId="3D4C4671" w14:textId="77777777" w:rsidR="00043EF1" w:rsidRPr="00434BB4" w:rsidRDefault="00043EF1" w:rsidP="008E1C63">
      <w:pPr>
        <w:tabs>
          <w:tab w:val="left" w:pos="709"/>
        </w:tabs>
        <w:spacing w:after="0"/>
        <w:rPr>
          <w:rFonts w:ascii="Arial" w:eastAsia="Calibri" w:hAnsi="Arial" w:cs="Arial"/>
          <w:color w:val="000000" w:themeColor="text1"/>
          <w:sz w:val="22"/>
          <w:lang w:val="es-ES_tradnl"/>
        </w:rPr>
      </w:pPr>
    </w:p>
    <w:p w14:paraId="5BB55741" w14:textId="03271C2F" w:rsidR="00B02214" w:rsidRPr="00434BB4" w:rsidRDefault="00043EF1" w:rsidP="008E1C63">
      <w:pPr>
        <w:tabs>
          <w:tab w:val="left" w:pos="709"/>
        </w:tabs>
        <w:spacing w:after="0"/>
        <w:rPr>
          <w:rFonts w:ascii="Arial" w:eastAsia="Calibri" w:hAnsi="Arial" w:cs="Arial"/>
          <w:b/>
          <w:bCs/>
          <w:color w:val="000000" w:themeColor="text1"/>
          <w:sz w:val="22"/>
          <w:lang w:val="es-ES_tradnl"/>
        </w:rPr>
      </w:pPr>
      <w:r w:rsidRPr="00434BB4">
        <w:rPr>
          <w:rFonts w:ascii="Arial" w:eastAsia="Calibri" w:hAnsi="Arial" w:cs="Arial"/>
          <w:b/>
          <w:bCs/>
          <w:color w:val="000000" w:themeColor="text1"/>
          <w:sz w:val="22"/>
          <w:lang w:val="es-ES_tradnl"/>
        </w:rPr>
        <w:t xml:space="preserve">2.4. Régimen aplicable a los procesos de mínima cuantía, cuya invitación se publique </w:t>
      </w:r>
      <w:r w:rsidR="006C054F" w:rsidRPr="00434BB4">
        <w:rPr>
          <w:rFonts w:ascii="Arial" w:eastAsia="Calibri" w:hAnsi="Arial" w:cs="Arial"/>
          <w:b/>
          <w:bCs/>
          <w:color w:val="000000" w:themeColor="text1"/>
          <w:sz w:val="22"/>
          <w:lang w:val="es-ES_tradnl"/>
        </w:rPr>
        <w:t>a partir</w:t>
      </w:r>
      <w:r w:rsidRPr="00434BB4">
        <w:rPr>
          <w:rFonts w:ascii="Arial" w:eastAsia="Calibri" w:hAnsi="Arial" w:cs="Arial"/>
          <w:b/>
          <w:bCs/>
          <w:color w:val="000000" w:themeColor="text1"/>
          <w:sz w:val="22"/>
          <w:lang w:val="es-ES_tradnl"/>
        </w:rPr>
        <w:t xml:space="preserve"> del 24 de marzo de 2022</w:t>
      </w:r>
    </w:p>
    <w:p w14:paraId="12656AA5" w14:textId="686CF8BF" w:rsidR="00043EF1" w:rsidRPr="00434BB4" w:rsidRDefault="00043EF1" w:rsidP="008E1C63">
      <w:pPr>
        <w:tabs>
          <w:tab w:val="left" w:pos="709"/>
        </w:tabs>
        <w:spacing w:after="0"/>
        <w:rPr>
          <w:rFonts w:ascii="Arial" w:eastAsia="Calibri" w:hAnsi="Arial" w:cs="Arial"/>
          <w:b/>
          <w:bCs/>
          <w:color w:val="000000" w:themeColor="text1"/>
          <w:sz w:val="22"/>
          <w:lang w:val="es-ES_tradnl"/>
        </w:rPr>
      </w:pPr>
    </w:p>
    <w:p w14:paraId="378FB352" w14:textId="28D0E9E0" w:rsidR="00043EF1" w:rsidRPr="00434BB4" w:rsidRDefault="00043EF1" w:rsidP="00F36F46">
      <w:pPr>
        <w:tabs>
          <w:tab w:val="left" w:pos="709"/>
        </w:tabs>
        <w:spacing w:after="120"/>
        <w:rPr>
          <w:rFonts w:ascii="Arial" w:eastAsia="Calibri" w:hAnsi="Arial" w:cs="Arial"/>
          <w:bCs/>
          <w:color w:val="000000" w:themeColor="text1"/>
          <w:sz w:val="22"/>
          <w:lang w:val="es-ES_tradnl"/>
        </w:rPr>
      </w:pPr>
      <w:r w:rsidRPr="00434BB4">
        <w:rPr>
          <w:rFonts w:ascii="Arial" w:eastAsia="Calibri" w:hAnsi="Arial" w:cs="Arial"/>
          <w:color w:val="000000" w:themeColor="text1"/>
          <w:sz w:val="22"/>
          <w:lang w:val="es-ES_tradnl"/>
        </w:rPr>
        <w:t xml:space="preserve">Como se expuso brevemente en el numeral anterior, recientemente se expidió el Decreto 1860 </w:t>
      </w:r>
      <w:r w:rsidR="0068071A" w:rsidRPr="00434BB4">
        <w:rPr>
          <w:rFonts w:ascii="Arial" w:eastAsia="Calibri" w:hAnsi="Arial" w:cs="Arial"/>
          <w:color w:val="000000" w:themeColor="text1"/>
          <w:sz w:val="22"/>
          <w:lang w:val="es-ES_tradnl"/>
        </w:rPr>
        <w:t xml:space="preserve">del 24 de diciembre de 2021 </w:t>
      </w:r>
      <w:r w:rsidR="0068071A" w:rsidRPr="00434BB4">
        <w:rPr>
          <w:rFonts w:ascii="Arial" w:eastAsia="Calibri" w:hAnsi="Arial" w:cs="Arial"/>
          <w:bCs/>
          <w:color w:val="000000" w:themeColor="text1"/>
          <w:sz w:val="22"/>
          <w:lang w:val="es-ES_tradnl"/>
        </w:rPr>
        <w:t xml:space="preserve">«por el cual se modifica y adiciona el Decreto 1082 de </w:t>
      </w:r>
      <w:r w:rsidR="0068071A" w:rsidRPr="00434BB4">
        <w:rPr>
          <w:rFonts w:ascii="Arial" w:eastAsia="Calibri" w:hAnsi="Arial" w:cs="Arial"/>
          <w:bCs/>
          <w:color w:val="000000" w:themeColor="text1"/>
          <w:sz w:val="22"/>
          <w:lang w:val="es-ES_tradnl"/>
        </w:rPr>
        <w:lastRenderedPageBreak/>
        <w:t xml:space="preserve">2015, Único Reglamentario del Sector Administrativo de Planeación Nacional, con el fin </w:t>
      </w:r>
      <w:r w:rsidR="00C4185F" w:rsidRPr="00434BB4">
        <w:rPr>
          <w:rFonts w:ascii="Arial" w:eastAsia="Calibri" w:hAnsi="Arial" w:cs="Arial"/>
          <w:bCs/>
          <w:color w:val="000000" w:themeColor="text1"/>
          <w:sz w:val="22"/>
          <w:lang w:val="es-ES_tradnl"/>
        </w:rPr>
        <w:t xml:space="preserve">de </w:t>
      </w:r>
      <w:r w:rsidR="0068071A" w:rsidRPr="00434BB4">
        <w:rPr>
          <w:rFonts w:ascii="Arial" w:eastAsia="Calibri" w:hAnsi="Arial" w:cs="Arial"/>
          <w:bCs/>
          <w:color w:val="000000" w:themeColor="text1"/>
          <w:sz w:val="22"/>
          <w:lang w:val="es-ES_tradnl"/>
        </w:rPr>
        <w:t>reglamentar los artículos 30, 31, 32, 34 Y 35 de la Ley 2069 de 2020, en lo relativo al sistema de compras públicas y se dictan otras disposiciones»</w:t>
      </w:r>
      <w:r w:rsidR="005C26A7" w:rsidRPr="00434BB4">
        <w:rPr>
          <w:rFonts w:ascii="Arial" w:eastAsia="Calibri" w:hAnsi="Arial" w:cs="Arial"/>
          <w:bCs/>
          <w:color w:val="000000" w:themeColor="text1"/>
          <w:sz w:val="22"/>
          <w:lang w:val="es-ES_tradnl"/>
        </w:rPr>
        <w:t>. Entre los aspectos reglamentados por el decreto indicado se encuentra el procedimiento de mínima cuantía. De esta manera, el artículo 2</w:t>
      </w:r>
      <w:r w:rsidR="00F36F46" w:rsidRPr="00434BB4">
        <w:rPr>
          <w:rFonts w:ascii="Arial" w:eastAsia="Calibri" w:hAnsi="Arial" w:cs="Arial"/>
          <w:bCs/>
          <w:color w:val="000000" w:themeColor="text1"/>
          <w:sz w:val="22"/>
          <w:lang w:val="es-ES_tradnl"/>
        </w:rPr>
        <w:t xml:space="preserve"> modifica la Subsección 5 de la Sección 1 del Capítulo 2 del Título</w:t>
      </w:r>
      <w:r w:rsidR="0013758A" w:rsidRPr="00434BB4">
        <w:rPr>
          <w:rFonts w:ascii="Arial" w:eastAsia="Calibri" w:hAnsi="Arial" w:cs="Arial"/>
          <w:bCs/>
          <w:color w:val="000000" w:themeColor="text1"/>
          <w:sz w:val="22"/>
          <w:lang w:val="es-ES_tradnl"/>
        </w:rPr>
        <w:t xml:space="preserve"> </w:t>
      </w:r>
      <w:r w:rsidR="00F36F46" w:rsidRPr="00434BB4">
        <w:rPr>
          <w:rFonts w:ascii="Arial" w:eastAsia="Calibri" w:hAnsi="Arial" w:cs="Arial"/>
          <w:bCs/>
          <w:color w:val="000000" w:themeColor="text1"/>
          <w:sz w:val="22"/>
          <w:lang w:val="es-ES_tradnl"/>
        </w:rPr>
        <w:t>1</w:t>
      </w:r>
      <w:r w:rsidR="0013758A" w:rsidRPr="00434BB4">
        <w:rPr>
          <w:rFonts w:ascii="Arial" w:eastAsia="Calibri" w:hAnsi="Arial" w:cs="Arial"/>
          <w:bCs/>
          <w:color w:val="000000" w:themeColor="text1"/>
          <w:sz w:val="22"/>
          <w:lang w:val="es-ES_tradnl"/>
        </w:rPr>
        <w:t xml:space="preserve"> </w:t>
      </w:r>
      <w:r w:rsidR="00F36F46" w:rsidRPr="00434BB4">
        <w:rPr>
          <w:rFonts w:ascii="Arial" w:eastAsia="Calibri" w:hAnsi="Arial" w:cs="Arial"/>
          <w:bCs/>
          <w:color w:val="000000" w:themeColor="text1"/>
          <w:sz w:val="22"/>
          <w:lang w:val="es-ES_tradnl"/>
        </w:rPr>
        <w:t>de</w:t>
      </w:r>
      <w:r w:rsidR="0013758A" w:rsidRPr="00434BB4">
        <w:rPr>
          <w:rFonts w:ascii="Arial" w:eastAsia="Calibri" w:hAnsi="Arial" w:cs="Arial"/>
          <w:bCs/>
          <w:color w:val="000000" w:themeColor="text1"/>
          <w:sz w:val="22"/>
          <w:lang w:val="es-ES_tradnl"/>
        </w:rPr>
        <w:t xml:space="preserve"> </w:t>
      </w:r>
      <w:r w:rsidR="00F36F46" w:rsidRPr="00434BB4">
        <w:rPr>
          <w:rFonts w:ascii="Arial" w:eastAsia="Calibri" w:hAnsi="Arial" w:cs="Arial"/>
          <w:bCs/>
          <w:color w:val="000000" w:themeColor="text1"/>
          <w:sz w:val="22"/>
          <w:lang w:val="es-ES_tradnl"/>
        </w:rPr>
        <w:t>la</w:t>
      </w:r>
      <w:r w:rsidR="0013758A" w:rsidRPr="00434BB4">
        <w:rPr>
          <w:rFonts w:ascii="Arial" w:eastAsia="Calibri" w:hAnsi="Arial" w:cs="Arial"/>
          <w:bCs/>
          <w:color w:val="000000" w:themeColor="text1"/>
          <w:sz w:val="22"/>
          <w:lang w:val="es-ES_tradnl"/>
        </w:rPr>
        <w:t xml:space="preserve"> </w:t>
      </w:r>
      <w:r w:rsidR="00F36F46" w:rsidRPr="00434BB4">
        <w:rPr>
          <w:rFonts w:ascii="Arial" w:eastAsia="Calibri" w:hAnsi="Arial" w:cs="Arial"/>
          <w:bCs/>
          <w:color w:val="000000" w:themeColor="text1"/>
          <w:sz w:val="22"/>
          <w:lang w:val="es-ES_tradnl"/>
        </w:rPr>
        <w:t>Parte</w:t>
      </w:r>
      <w:r w:rsidR="0013758A" w:rsidRPr="00434BB4">
        <w:rPr>
          <w:rFonts w:ascii="Arial" w:eastAsia="Calibri" w:hAnsi="Arial" w:cs="Arial"/>
          <w:bCs/>
          <w:color w:val="000000" w:themeColor="text1"/>
          <w:sz w:val="22"/>
          <w:lang w:val="es-ES_tradnl"/>
        </w:rPr>
        <w:t xml:space="preserve"> </w:t>
      </w:r>
      <w:r w:rsidR="00F36F46" w:rsidRPr="00434BB4">
        <w:rPr>
          <w:rFonts w:ascii="Arial" w:eastAsia="Calibri" w:hAnsi="Arial" w:cs="Arial"/>
          <w:bCs/>
          <w:color w:val="000000" w:themeColor="text1"/>
          <w:sz w:val="22"/>
          <w:lang w:val="es-ES_tradnl"/>
        </w:rPr>
        <w:t>2</w:t>
      </w:r>
      <w:r w:rsidR="0013758A" w:rsidRPr="00434BB4">
        <w:rPr>
          <w:rFonts w:ascii="Arial" w:eastAsia="Calibri" w:hAnsi="Arial" w:cs="Arial"/>
          <w:bCs/>
          <w:color w:val="000000" w:themeColor="text1"/>
          <w:sz w:val="22"/>
          <w:lang w:val="es-ES_tradnl"/>
        </w:rPr>
        <w:t xml:space="preserve"> </w:t>
      </w:r>
      <w:r w:rsidR="00F36F46" w:rsidRPr="00434BB4">
        <w:rPr>
          <w:rFonts w:ascii="Arial" w:eastAsia="Calibri" w:hAnsi="Arial" w:cs="Arial"/>
          <w:bCs/>
          <w:color w:val="000000" w:themeColor="text1"/>
          <w:sz w:val="22"/>
          <w:lang w:val="es-ES_tradnl"/>
        </w:rPr>
        <w:t>del</w:t>
      </w:r>
      <w:r w:rsidR="0013758A" w:rsidRPr="00434BB4">
        <w:rPr>
          <w:rFonts w:ascii="Arial" w:eastAsia="Calibri" w:hAnsi="Arial" w:cs="Arial"/>
          <w:bCs/>
          <w:color w:val="000000" w:themeColor="text1"/>
          <w:sz w:val="22"/>
          <w:lang w:val="es-ES_tradnl"/>
        </w:rPr>
        <w:t xml:space="preserve"> </w:t>
      </w:r>
      <w:r w:rsidR="00F36F46" w:rsidRPr="00434BB4">
        <w:rPr>
          <w:rFonts w:ascii="Arial" w:eastAsia="Calibri" w:hAnsi="Arial" w:cs="Arial"/>
          <w:bCs/>
          <w:color w:val="000000" w:themeColor="text1"/>
          <w:sz w:val="22"/>
          <w:lang w:val="es-ES_tradnl"/>
        </w:rPr>
        <w:t>Libro</w:t>
      </w:r>
      <w:r w:rsidR="0013758A" w:rsidRPr="00434BB4">
        <w:rPr>
          <w:rFonts w:ascii="Arial" w:eastAsia="Calibri" w:hAnsi="Arial" w:cs="Arial"/>
          <w:bCs/>
          <w:color w:val="000000" w:themeColor="text1"/>
          <w:sz w:val="22"/>
          <w:lang w:val="es-ES_tradnl"/>
        </w:rPr>
        <w:t xml:space="preserve"> </w:t>
      </w:r>
      <w:r w:rsidR="00F36F46" w:rsidRPr="00434BB4">
        <w:rPr>
          <w:rFonts w:ascii="Arial" w:eastAsia="Calibri" w:hAnsi="Arial" w:cs="Arial"/>
          <w:bCs/>
          <w:color w:val="000000" w:themeColor="text1"/>
          <w:sz w:val="22"/>
          <w:lang w:val="es-ES_tradnl"/>
        </w:rPr>
        <w:t>2</w:t>
      </w:r>
      <w:r w:rsidR="0013758A" w:rsidRPr="00434BB4">
        <w:rPr>
          <w:rFonts w:ascii="Arial" w:eastAsia="Calibri" w:hAnsi="Arial" w:cs="Arial"/>
          <w:bCs/>
          <w:color w:val="000000" w:themeColor="text1"/>
          <w:sz w:val="22"/>
          <w:lang w:val="es-ES_tradnl"/>
        </w:rPr>
        <w:t xml:space="preserve"> </w:t>
      </w:r>
      <w:r w:rsidR="00F36F46" w:rsidRPr="00434BB4">
        <w:rPr>
          <w:rFonts w:ascii="Arial" w:eastAsia="Calibri" w:hAnsi="Arial" w:cs="Arial"/>
          <w:bCs/>
          <w:color w:val="000000" w:themeColor="text1"/>
          <w:sz w:val="22"/>
          <w:lang w:val="es-ES_tradnl"/>
        </w:rPr>
        <w:t>del</w:t>
      </w:r>
      <w:r w:rsidR="0013758A" w:rsidRPr="00434BB4">
        <w:rPr>
          <w:rFonts w:ascii="Arial" w:eastAsia="Calibri" w:hAnsi="Arial" w:cs="Arial"/>
          <w:bCs/>
          <w:color w:val="000000" w:themeColor="text1"/>
          <w:sz w:val="22"/>
          <w:lang w:val="es-ES_tradnl"/>
        </w:rPr>
        <w:t xml:space="preserve"> </w:t>
      </w:r>
      <w:r w:rsidR="00F36F46" w:rsidRPr="00434BB4">
        <w:rPr>
          <w:rFonts w:ascii="Arial" w:eastAsia="Calibri" w:hAnsi="Arial" w:cs="Arial"/>
          <w:bCs/>
          <w:color w:val="000000" w:themeColor="text1"/>
          <w:sz w:val="22"/>
          <w:lang w:val="es-ES_tradnl"/>
        </w:rPr>
        <w:t>Decreto</w:t>
      </w:r>
      <w:r w:rsidR="0013758A" w:rsidRPr="00434BB4">
        <w:rPr>
          <w:rFonts w:ascii="Arial" w:eastAsia="Calibri" w:hAnsi="Arial" w:cs="Arial"/>
          <w:bCs/>
          <w:color w:val="000000" w:themeColor="text1"/>
          <w:sz w:val="22"/>
          <w:lang w:val="es-ES_tradnl"/>
        </w:rPr>
        <w:t xml:space="preserve"> </w:t>
      </w:r>
      <w:r w:rsidR="00F36F46" w:rsidRPr="00434BB4">
        <w:rPr>
          <w:rFonts w:ascii="Arial" w:eastAsia="Calibri" w:hAnsi="Arial" w:cs="Arial"/>
          <w:bCs/>
          <w:color w:val="000000" w:themeColor="text1"/>
          <w:sz w:val="22"/>
          <w:lang w:val="es-ES_tradnl"/>
        </w:rPr>
        <w:t>1082</w:t>
      </w:r>
      <w:r w:rsidR="0013758A" w:rsidRPr="00434BB4">
        <w:rPr>
          <w:rFonts w:ascii="Arial" w:eastAsia="Calibri" w:hAnsi="Arial" w:cs="Arial"/>
          <w:bCs/>
          <w:color w:val="000000" w:themeColor="text1"/>
          <w:sz w:val="22"/>
          <w:lang w:val="es-ES_tradnl"/>
        </w:rPr>
        <w:t xml:space="preserve"> </w:t>
      </w:r>
      <w:r w:rsidR="00F36F46" w:rsidRPr="00434BB4">
        <w:rPr>
          <w:rFonts w:ascii="Arial" w:eastAsia="Calibri" w:hAnsi="Arial" w:cs="Arial"/>
          <w:bCs/>
          <w:color w:val="000000" w:themeColor="text1"/>
          <w:sz w:val="22"/>
          <w:lang w:val="es-ES_tradnl"/>
        </w:rPr>
        <w:t>de</w:t>
      </w:r>
      <w:r w:rsidR="0013758A" w:rsidRPr="00434BB4">
        <w:rPr>
          <w:rFonts w:ascii="Arial" w:eastAsia="Calibri" w:hAnsi="Arial" w:cs="Arial"/>
          <w:bCs/>
          <w:color w:val="000000" w:themeColor="text1"/>
          <w:sz w:val="22"/>
          <w:lang w:val="es-ES_tradnl"/>
        </w:rPr>
        <w:t xml:space="preserve"> </w:t>
      </w:r>
      <w:r w:rsidR="00F36F46" w:rsidRPr="00434BB4">
        <w:rPr>
          <w:rFonts w:ascii="Arial" w:eastAsia="Calibri" w:hAnsi="Arial" w:cs="Arial"/>
          <w:bCs/>
          <w:color w:val="000000" w:themeColor="text1"/>
          <w:sz w:val="22"/>
          <w:lang w:val="es-ES_tradnl"/>
        </w:rPr>
        <w:t xml:space="preserve">2015, que se titula mínima cuantía, </w:t>
      </w:r>
      <w:r w:rsidR="00E84D21" w:rsidRPr="00434BB4">
        <w:rPr>
          <w:rFonts w:ascii="Arial" w:eastAsia="Calibri" w:hAnsi="Arial" w:cs="Arial"/>
          <w:bCs/>
          <w:color w:val="000000" w:themeColor="text1"/>
          <w:sz w:val="22"/>
          <w:lang w:val="es-ES_tradnl"/>
        </w:rPr>
        <w:t xml:space="preserve">por lo que </w:t>
      </w:r>
      <w:r w:rsidR="00F36F46" w:rsidRPr="00434BB4">
        <w:rPr>
          <w:rFonts w:ascii="Arial" w:eastAsia="Calibri" w:hAnsi="Arial" w:cs="Arial"/>
          <w:bCs/>
          <w:color w:val="000000" w:themeColor="text1"/>
          <w:sz w:val="22"/>
          <w:lang w:val="es-ES_tradnl"/>
        </w:rPr>
        <w:t>reglamenta esta modalidad de selección con fundamento en lo establecido en el artículo 30 de la Ley 2069 de 2020.</w:t>
      </w:r>
    </w:p>
    <w:p w14:paraId="67488ABE" w14:textId="08743BB6" w:rsidR="00F36F46" w:rsidRPr="00434BB4" w:rsidRDefault="00F36F46" w:rsidP="0013758A">
      <w:pPr>
        <w:tabs>
          <w:tab w:val="left" w:pos="709"/>
        </w:tabs>
        <w:spacing w:after="120"/>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tab/>
        <w:t>Teniendo en cuenta l</w:t>
      </w:r>
      <w:r w:rsidR="00D46A61" w:rsidRPr="00434BB4">
        <w:rPr>
          <w:rFonts w:ascii="Arial" w:eastAsia="Calibri" w:hAnsi="Arial" w:cs="Arial"/>
          <w:bCs/>
          <w:color w:val="000000" w:themeColor="text1"/>
          <w:sz w:val="22"/>
          <w:lang w:val="es-ES_tradnl"/>
        </w:rPr>
        <w:t>o</w:t>
      </w:r>
      <w:r w:rsidRPr="00434BB4">
        <w:rPr>
          <w:rFonts w:ascii="Arial" w:eastAsia="Calibri" w:hAnsi="Arial" w:cs="Arial"/>
          <w:bCs/>
          <w:color w:val="000000" w:themeColor="text1"/>
          <w:sz w:val="22"/>
          <w:lang w:val="es-ES_tradnl"/>
        </w:rPr>
        <w:t xml:space="preserve"> anterior, la </w:t>
      </w:r>
      <w:r w:rsidR="00E84D21" w:rsidRPr="00434BB4">
        <w:rPr>
          <w:rFonts w:ascii="Arial" w:eastAsia="Calibri" w:hAnsi="Arial" w:cs="Arial"/>
          <w:bCs/>
          <w:color w:val="000000" w:themeColor="text1"/>
          <w:sz w:val="22"/>
          <w:lang w:val="es-ES_tradnl"/>
        </w:rPr>
        <w:t xml:space="preserve">nueva </w:t>
      </w:r>
      <w:r w:rsidRPr="00434BB4">
        <w:rPr>
          <w:rFonts w:ascii="Arial" w:eastAsia="Calibri" w:hAnsi="Arial" w:cs="Arial"/>
          <w:bCs/>
          <w:color w:val="000000" w:themeColor="text1"/>
          <w:sz w:val="22"/>
          <w:lang w:val="es-ES_tradnl"/>
        </w:rPr>
        <w:t>Subsección 5 a que se hizo referencia contiene los siguientes artículos: i) 2.2.1.2.1.5.1. que se ocupa de desarrollar el contenido de los estudios previos para la contratación de mínima cuantía</w:t>
      </w:r>
      <w:r w:rsidR="0013758A" w:rsidRPr="00434BB4">
        <w:rPr>
          <w:rFonts w:ascii="Arial" w:eastAsia="Calibri" w:hAnsi="Arial" w:cs="Arial"/>
          <w:bCs/>
          <w:color w:val="000000" w:themeColor="text1"/>
          <w:sz w:val="22"/>
          <w:lang w:val="es-ES_tradnl"/>
        </w:rPr>
        <w:t>.</w:t>
      </w:r>
      <w:r w:rsidRPr="00434BB4">
        <w:rPr>
          <w:rFonts w:ascii="Arial" w:eastAsia="Calibri" w:hAnsi="Arial" w:cs="Arial"/>
          <w:bCs/>
          <w:color w:val="000000" w:themeColor="text1"/>
          <w:sz w:val="22"/>
          <w:lang w:val="es-ES_tradnl"/>
        </w:rPr>
        <w:t xml:space="preserve"> ii) 2.2.1.2.1.5.2. que contiene e</w:t>
      </w:r>
      <w:r w:rsidR="00E84D21" w:rsidRPr="00434BB4">
        <w:rPr>
          <w:rFonts w:ascii="Arial" w:eastAsia="Calibri" w:hAnsi="Arial" w:cs="Arial"/>
          <w:bCs/>
          <w:color w:val="000000" w:themeColor="text1"/>
          <w:sz w:val="22"/>
          <w:lang w:val="es-ES_tradnl"/>
        </w:rPr>
        <w:t>l</w:t>
      </w:r>
      <w:r w:rsidRPr="00434BB4">
        <w:rPr>
          <w:rFonts w:ascii="Arial" w:eastAsia="Calibri" w:hAnsi="Arial" w:cs="Arial"/>
          <w:bCs/>
          <w:color w:val="000000" w:themeColor="text1"/>
          <w:sz w:val="22"/>
          <w:lang w:val="es-ES_tradnl"/>
        </w:rPr>
        <w:t xml:space="preserve"> procedimiento general de la mínima cuantía</w:t>
      </w:r>
      <w:r w:rsidR="00E84D21" w:rsidRPr="00434BB4">
        <w:rPr>
          <w:rFonts w:ascii="Arial" w:eastAsia="Calibri" w:hAnsi="Arial" w:cs="Arial"/>
          <w:bCs/>
          <w:color w:val="000000" w:themeColor="text1"/>
          <w:sz w:val="22"/>
          <w:lang w:val="es-ES_tradnl"/>
        </w:rPr>
        <w:t>,</w:t>
      </w:r>
      <w:r w:rsidRPr="00434BB4">
        <w:rPr>
          <w:rFonts w:ascii="Arial" w:eastAsia="Calibri" w:hAnsi="Arial" w:cs="Arial"/>
          <w:bCs/>
          <w:color w:val="000000" w:themeColor="text1"/>
          <w:sz w:val="22"/>
          <w:lang w:val="es-ES_tradnl"/>
        </w:rPr>
        <w:t xml:space="preserve"> señalando el contenido mínimo de la «invitación» y</w:t>
      </w:r>
      <w:r w:rsidR="004034F8" w:rsidRPr="00434BB4">
        <w:rPr>
          <w:rFonts w:ascii="Arial" w:eastAsia="Calibri" w:hAnsi="Arial" w:cs="Arial"/>
          <w:bCs/>
          <w:color w:val="000000" w:themeColor="text1"/>
          <w:sz w:val="22"/>
          <w:lang w:val="es-ES_tradnl"/>
        </w:rPr>
        <w:t xml:space="preserve"> las</w:t>
      </w:r>
      <w:r w:rsidRPr="00434BB4">
        <w:rPr>
          <w:rFonts w:ascii="Arial" w:eastAsia="Calibri" w:hAnsi="Arial" w:cs="Arial"/>
          <w:bCs/>
          <w:color w:val="000000" w:themeColor="text1"/>
          <w:sz w:val="22"/>
          <w:lang w:val="es-ES_tradnl"/>
        </w:rPr>
        <w:t xml:space="preserve"> distintas etapas y reglas que estructuran esta modalidad de selección</w:t>
      </w:r>
      <w:r w:rsidR="004034F8" w:rsidRPr="00434BB4">
        <w:rPr>
          <w:rFonts w:ascii="Arial" w:eastAsia="Calibri" w:hAnsi="Arial" w:cs="Arial"/>
          <w:bCs/>
          <w:color w:val="000000" w:themeColor="text1"/>
          <w:sz w:val="22"/>
          <w:lang w:val="es-ES_tradnl"/>
        </w:rPr>
        <w:t xml:space="preserve">, incluyendo la forma en que procederán las convocatorias limitadas a </w:t>
      </w:r>
      <w:proofErr w:type="spellStart"/>
      <w:r w:rsidR="004034F8" w:rsidRPr="00434BB4">
        <w:rPr>
          <w:rFonts w:ascii="Arial" w:eastAsia="Calibri" w:hAnsi="Arial" w:cs="Arial"/>
          <w:bCs/>
          <w:color w:val="000000" w:themeColor="text1"/>
          <w:sz w:val="22"/>
          <w:lang w:val="es-ES_tradnl"/>
        </w:rPr>
        <w:t>mipymes</w:t>
      </w:r>
      <w:proofErr w:type="spellEnd"/>
      <w:r w:rsidR="004034F8" w:rsidRPr="00434BB4">
        <w:rPr>
          <w:rFonts w:ascii="Arial" w:eastAsia="Calibri" w:hAnsi="Arial" w:cs="Arial"/>
          <w:bCs/>
          <w:color w:val="000000" w:themeColor="text1"/>
          <w:sz w:val="22"/>
          <w:lang w:val="es-ES_tradnl"/>
        </w:rPr>
        <w:t>, de acuerdo con el mandato del parágrafo 1 del artículo 30 de la Ley 2069 de 2020</w:t>
      </w:r>
      <w:r w:rsidR="004034F8" w:rsidRPr="00434BB4">
        <w:rPr>
          <w:rStyle w:val="Refdenotaalpie"/>
          <w:rFonts w:ascii="Arial" w:eastAsia="Calibri" w:hAnsi="Arial" w:cs="Arial"/>
          <w:bCs/>
          <w:color w:val="000000" w:themeColor="text1"/>
          <w:sz w:val="22"/>
          <w:lang w:val="es-ES_tradnl"/>
        </w:rPr>
        <w:footnoteReference w:id="28"/>
      </w:r>
      <w:r w:rsidR="0013758A" w:rsidRPr="00434BB4">
        <w:rPr>
          <w:rFonts w:ascii="Arial" w:eastAsia="Calibri" w:hAnsi="Arial" w:cs="Arial"/>
          <w:bCs/>
          <w:color w:val="000000" w:themeColor="text1"/>
          <w:sz w:val="22"/>
          <w:lang w:val="es-ES_tradnl"/>
        </w:rPr>
        <w:t>.</w:t>
      </w:r>
      <w:r w:rsidR="004034F8" w:rsidRPr="00434BB4">
        <w:rPr>
          <w:rFonts w:ascii="Arial" w:eastAsia="Calibri" w:hAnsi="Arial" w:cs="Arial"/>
          <w:bCs/>
          <w:color w:val="000000" w:themeColor="text1"/>
          <w:sz w:val="22"/>
          <w:lang w:val="es-ES_tradnl"/>
        </w:rPr>
        <w:t xml:space="preserve"> iii) 2.2.1.2.1.5.3. que regula un procedimiento especial para las adquisiciones</w:t>
      </w:r>
      <w:r w:rsidR="0013758A" w:rsidRPr="00434BB4">
        <w:rPr>
          <w:rFonts w:ascii="Arial" w:eastAsia="Calibri" w:hAnsi="Arial" w:cs="Arial"/>
          <w:bCs/>
          <w:color w:val="000000" w:themeColor="text1"/>
          <w:sz w:val="22"/>
          <w:lang w:val="es-ES_tradnl"/>
        </w:rPr>
        <w:t xml:space="preserve"> </w:t>
      </w:r>
      <w:r w:rsidR="004034F8" w:rsidRPr="00434BB4">
        <w:rPr>
          <w:rFonts w:ascii="Arial" w:eastAsia="Calibri" w:hAnsi="Arial" w:cs="Arial"/>
          <w:bCs/>
          <w:color w:val="000000" w:themeColor="text1"/>
          <w:sz w:val="22"/>
          <w:lang w:val="es-ES_tradnl"/>
        </w:rPr>
        <w:t>en</w:t>
      </w:r>
      <w:r w:rsidR="0013758A" w:rsidRPr="00434BB4">
        <w:rPr>
          <w:rFonts w:ascii="Arial" w:eastAsia="Calibri" w:hAnsi="Arial" w:cs="Arial"/>
          <w:bCs/>
          <w:color w:val="000000" w:themeColor="text1"/>
          <w:sz w:val="22"/>
          <w:lang w:val="es-ES_tradnl"/>
        </w:rPr>
        <w:t xml:space="preserve"> </w:t>
      </w:r>
      <w:r w:rsidR="004034F8" w:rsidRPr="00434BB4">
        <w:rPr>
          <w:rFonts w:ascii="Arial" w:eastAsia="Calibri" w:hAnsi="Arial" w:cs="Arial"/>
          <w:bCs/>
          <w:color w:val="000000" w:themeColor="text1"/>
          <w:sz w:val="22"/>
          <w:lang w:val="es-ES_tradnl"/>
        </w:rPr>
        <w:t>grandes</w:t>
      </w:r>
      <w:r w:rsidR="0013758A" w:rsidRPr="00434BB4">
        <w:rPr>
          <w:rFonts w:ascii="Arial" w:eastAsia="Calibri" w:hAnsi="Arial" w:cs="Arial"/>
          <w:bCs/>
          <w:color w:val="000000" w:themeColor="text1"/>
          <w:sz w:val="22"/>
          <w:lang w:val="es-ES_tradnl"/>
        </w:rPr>
        <w:t xml:space="preserve"> </w:t>
      </w:r>
      <w:r w:rsidR="004034F8" w:rsidRPr="00434BB4">
        <w:rPr>
          <w:rFonts w:ascii="Arial" w:eastAsia="Calibri" w:hAnsi="Arial" w:cs="Arial"/>
          <w:bCs/>
          <w:color w:val="000000" w:themeColor="text1"/>
          <w:sz w:val="22"/>
          <w:lang w:val="es-ES_tradnl"/>
        </w:rPr>
        <w:t>almacenes</w:t>
      </w:r>
      <w:r w:rsidR="0013758A" w:rsidRPr="00434BB4">
        <w:rPr>
          <w:rFonts w:ascii="Arial" w:eastAsia="Calibri" w:hAnsi="Arial" w:cs="Arial"/>
          <w:bCs/>
          <w:color w:val="000000" w:themeColor="text1"/>
          <w:sz w:val="22"/>
          <w:lang w:val="es-ES_tradnl"/>
        </w:rPr>
        <w:t xml:space="preserve"> </w:t>
      </w:r>
      <w:r w:rsidR="004034F8" w:rsidRPr="00434BB4">
        <w:rPr>
          <w:rFonts w:ascii="Arial" w:eastAsia="Calibri" w:hAnsi="Arial" w:cs="Arial"/>
          <w:bCs/>
          <w:color w:val="000000" w:themeColor="text1"/>
          <w:sz w:val="22"/>
          <w:lang w:val="es-ES_tradnl"/>
        </w:rPr>
        <w:t>cuando</w:t>
      </w:r>
      <w:r w:rsidR="0013758A" w:rsidRPr="00434BB4">
        <w:rPr>
          <w:rFonts w:ascii="Arial" w:eastAsia="Calibri" w:hAnsi="Arial" w:cs="Arial"/>
          <w:bCs/>
          <w:color w:val="000000" w:themeColor="text1"/>
          <w:sz w:val="22"/>
          <w:lang w:val="es-ES_tradnl"/>
        </w:rPr>
        <w:t xml:space="preserve"> </w:t>
      </w:r>
      <w:r w:rsidR="004034F8" w:rsidRPr="00434BB4">
        <w:rPr>
          <w:rFonts w:ascii="Arial" w:eastAsia="Calibri" w:hAnsi="Arial" w:cs="Arial"/>
          <w:bCs/>
          <w:color w:val="000000" w:themeColor="text1"/>
          <w:sz w:val="22"/>
          <w:lang w:val="es-ES_tradnl"/>
        </w:rPr>
        <w:t>se trate de mínima cuantía</w:t>
      </w:r>
      <w:r w:rsidR="0013758A" w:rsidRPr="00434BB4">
        <w:rPr>
          <w:rFonts w:ascii="Arial" w:eastAsia="Calibri" w:hAnsi="Arial" w:cs="Arial"/>
          <w:bCs/>
          <w:color w:val="000000" w:themeColor="text1"/>
          <w:sz w:val="22"/>
          <w:lang w:val="es-ES_tradnl"/>
        </w:rPr>
        <w:t>.</w:t>
      </w:r>
      <w:r w:rsidR="004034F8" w:rsidRPr="00434BB4">
        <w:rPr>
          <w:rFonts w:ascii="Arial" w:eastAsia="Calibri" w:hAnsi="Arial" w:cs="Arial"/>
          <w:bCs/>
          <w:color w:val="000000" w:themeColor="text1"/>
          <w:sz w:val="22"/>
          <w:lang w:val="es-ES_tradnl"/>
        </w:rPr>
        <w:t xml:space="preserve"> iv) 2.2.1.2.1.5.4. el cual establece la posibilidad de la Agencia Nacional de Contratación Pública – Colombia Compra Eficiente </w:t>
      </w:r>
      <w:r w:rsidR="0013758A" w:rsidRPr="00434BB4">
        <w:rPr>
          <w:rFonts w:ascii="Arial" w:eastAsia="Calibri" w:hAnsi="Arial" w:cs="Arial"/>
          <w:bCs/>
          <w:color w:val="000000" w:themeColor="text1"/>
          <w:sz w:val="22"/>
          <w:lang w:val="es-ES_tradnl"/>
        </w:rPr>
        <w:t xml:space="preserve">cree y establezca las reglas para la utilización de Instrumentos de agregación de demanda en la Tienda Virtual del Estado Colombiano para adquisiciones hasta el monto de la mínima cuantía con </w:t>
      </w:r>
      <w:proofErr w:type="spellStart"/>
      <w:r w:rsidR="0013758A" w:rsidRPr="00434BB4">
        <w:rPr>
          <w:rFonts w:ascii="Arial" w:eastAsia="Calibri" w:hAnsi="Arial" w:cs="Arial"/>
          <w:bCs/>
          <w:color w:val="000000" w:themeColor="text1"/>
          <w:sz w:val="22"/>
          <w:lang w:val="es-ES_tradnl"/>
        </w:rPr>
        <w:t>Mipyme</w:t>
      </w:r>
      <w:proofErr w:type="spellEnd"/>
      <w:r w:rsidR="0013758A" w:rsidRPr="00434BB4">
        <w:rPr>
          <w:rFonts w:ascii="Arial" w:eastAsia="Calibri" w:hAnsi="Arial" w:cs="Arial"/>
          <w:bCs/>
          <w:color w:val="000000" w:themeColor="text1"/>
          <w:sz w:val="22"/>
          <w:lang w:val="es-ES_tradnl"/>
        </w:rPr>
        <w:t xml:space="preserve"> y con grandes almacenes. Y v) 2.2.1.2.1.5.5. el cual establece que la entidad estatal es libre de exigir o no garantías en el proceso de selección de mínima cuantía y en la adquisición de «grandes almacenes».</w:t>
      </w:r>
    </w:p>
    <w:p w14:paraId="6ACC2F38" w14:textId="01B358BA" w:rsidR="0013758A" w:rsidRPr="00434BB4" w:rsidRDefault="0013758A" w:rsidP="0013758A">
      <w:pPr>
        <w:tabs>
          <w:tab w:val="left" w:pos="709"/>
        </w:tabs>
        <w:spacing w:after="120"/>
        <w:rPr>
          <w:rFonts w:ascii="Arial" w:eastAsia="Calibri" w:hAnsi="Arial" w:cs="Arial"/>
          <w:bCs/>
          <w:color w:val="000000" w:themeColor="text1"/>
          <w:sz w:val="22"/>
          <w:lang w:val="es-ES_tradnl"/>
        </w:rPr>
      </w:pPr>
      <w:r w:rsidRPr="00434BB4">
        <w:rPr>
          <w:rFonts w:ascii="Arial" w:eastAsia="Calibri" w:hAnsi="Arial" w:cs="Arial"/>
          <w:bCs/>
          <w:color w:val="000000" w:themeColor="text1"/>
          <w:sz w:val="22"/>
          <w:lang w:val="es-ES_tradnl"/>
        </w:rPr>
        <w:tab/>
        <w:t xml:space="preserve">De esta manera, el artículo 2 del Decreto 1860 de 2021, que modifica los artículos </w:t>
      </w:r>
      <w:r w:rsidR="00D96EC3" w:rsidRPr="00434BB4">
        <w:rPr>
          <w:rFonts w:ascii="Arial" w:eastAsia="Calibri" w:hAnsi="Arial" w:cs="Arial"/>
          <w:bCs/>
          <w:color w:val="000000" w:themeColor="text1"/>
          <w:sz w:val="22"/>
          <w:lang w:val="es-ES_tradnl"/>
        </w:rPr>
        <w:t xml:space="preserve">del Decreto 1082 de 2015 </w:t>
      </w:r>
      <w:r w:rsidRPr="00434BB4">
        <w:rPr>
          <w:rFonts w:ascii="Arial" w:eastAsia="Calibri" w:hAnsi="Arial" w:cs="Arial"/>
          <w:bCs/>
          <w:color w:val="000000" w:themeColor="text1"/>
          <w:sz w:val="22"/>
          <w:lang w:val="es-ES_tradnl"/>
        </w:rPr>
        <w:t>expuestos en el párrafo anterior, constituye la reglamentación del artículo 30 de la Ley 2069 de 2020, al desarrollar las reglas aplicables a esta modalidad de selección. En este sentido,</w:t>
      </w:r>
      <w:r w:rsidR="00455B90" w:rsidRPr="00434BB4">
        <w:rPr>
          <w:rFonts w:ascii="Arial" w:eastAsia="Calibri" w:hAnsi="Arial" w:cs="Arial"/>
          <w:bCs/>
          <w:color w:val="000000" w:themeColor="text1"/>
          <w:sz w:val="22"/>
          <w:lang w:val="es-ES_tradnl"/>
        </w:rPr>
        <w:t xml:space="preserve"> el reglamento citado, que modifica el Decreto 1082 de 2015</w:t>
      </w:r>
      <w:r w:rsidR="00D96EC3" w:rsidRPr="00434BB4">
        <w:rPr>
          <w:rFonts w:ascii="Arial" w:eastAsia="Calibri" w:hAnsi="Arial" w:cs="Arial"/>
          <w:bCs/>
          <w:color w:val="000000" w:themeColor="text1"/>
          <w:sz w:val="22"/>
          <w:lang w:val="es-ES_tradnl"/>
        </w:rPr>
        <w:t>,</w:t>
      </w:r>
      <w:r w:rsidR="00455B90" w:rsidRPr="00434BB4">
        <w:rPr>
          <w:rFonts w:ascii="Arial" w:eastAsia="Calibri" w:hAnsi="Arial" w:cs="Arial"/>
          <w:bCs/>
          <w:color w:val="000000" w:themeColor="text1"/>
          <w:sz w:val="22"/>
          <w:lang w:val="es-ES_tradnl"/>
        </w:rPr>
        <w:t xml:space="preserve"> constituye la nueva regulación de la modalidad de mínima cuantía.</w:t>
      </w:r>
    </w:p>
    <w:p w14:paraId="38EDBD03" w14:textId="3AE521D5" w:rsidR="00F36F46" w:rsidRPr="00434BB4" w:rsidRDefault="00455B90" w:rsidP="008E1C63">
      <w:pPr>
        <w:tabs>
          <w:tab w:val="left" w:pos="709"/>
        </w:tabs>
        <w:spacing w:after="120"/>
        <w:rPr>
          <w:rFonts w:ascii="Arial" w:eastAsia="Calibri" w:hAnsi="Arial" w:cs="Arial"/>
          <w:color w:val="000000" w:themeColor="text1"/>
          <w:sz w:val="22"/>
          <w:lang w:val="es-ES_tradnl"/>
        </w:rPr>
      </w:pPr>
      <w:r w:rsidRPr="00434BB4">
        <w:rPr>
          <w:rFonts w:ascii="Arial" w:eastAsia="Calibri" w:hAnsi="Arial" w:cs="Arial"/>
          <w:color w:val="000000" w:themeColor="text1"/>
          <w:sz w:val="22"/>
          <w:lang w:val="es-ES_tradnl"/>
        </w:rPr>
        <w:tab/>
        <w:t xml:space="preserve">Sin embargo, el artículo 8 del Decreto 1860 del 24 de diciembre de 2021 estableció un periodo de transición para la entrada en vigencia de sus disposiciones, al señalar que </w:t>
      </w:r>
      <w:proofErr w:type="gramStart"/>
      <w:r w:rsidRPr="00434BB4">
        <w:rPr>
          <w:rFonts w:ascii="Arial" w:eastAsia="Calibri" w:hAnsi="Arial" w:cs="Arial"/>
          <w:color w:val="000000" w:themeColor="text1"/>
          <w:sz w:val="22"/>
          <w:lang w:val="es-ES_tradnl"/>
        </w:rPr>
        <w:t>« aplicarán</w:t>
      </w:r>
      <w:proofErr w:type="gramEnd"/>
      <w:r w:rsidR="0086542F" w:rsidRPr="00434BB4">
        <w:rPr>
          <w:rFonts w:ascii="Arial" w:eastAsia="Calibri" w:hAnsi="Arial" w:cs="Arial"/>
          <w:color w:val="000000" w:themeColor="text1"/>
          <w:sz w:val="22"/>
          <w:lang w:val="es-ES_tradnl"/>
        </w:rPr>
        <w:t xml:space="preserve"> </w:t>
      </w:r>
      <w:r w:rsidRPr="00434BB4">
        <w:rPr>
          <w:rFonts w:ascii="Arial" w:eastAsia="Calibri" w:hAnsi="Arial" w:cs="Arial"/>
          <w:color w:val="000000" w:themeColor="text1"/>
          <w:sz w:val="22"/>
          <w:lang w:val="es-ES_tradnl"/>
        </w:rPr>
        <w:t>a</w:t>
      </w:r>
      <w:r w:rsidR="0086542F" w:rsidRPr="00434BB4">
        <w:rPr>
          <w:rFonts w:ascii="Arial" w:eastAsia="Calibri" w:hAnsi="Arial" w:cs="Arial"/>
          <w:color w:val="000000" w:themeColor="text1"/>
          <w:sz w:val="22"/>
          <w:lang w:val="es-ES_tradnl"/>
        </w:rPr>
        <w:t xml:space="preserve"> </w:t>
      </w:r>
      <w:r w:rsidRPr="00434BB4">
        <w:rPr>
          <w:rFonts w:ascii="Arial" w:eastAsia="Calibri" w:hAnsi="Arial" w:cs="Arial"/>
          <w:color w:val="000000" w:themeColor="text1"/>
          <w:sz w:val="22"/>
          <w:lang w:val="es-ES_tradnl"/>
        </w:rPr>
        <w:t>los</w:t>
      </w:r>
      <w:r w:rsidR="0086542F" w:rsidRPr="00434BB4">
        <w:rPr>
          <w:rFonts w:ascii="Arial" w:eastAsia="Calibri" w:hAnsi="Arial" w:cs="Arial"/>
          <w:color w:val="000000" w:themeColor="text1"/>
          <w:sz w:val="22"/>
          <w:lang w:val="es-ES_tradnl"/>
        </w:rPr>
        <w:t xml:space="preserve"> </w:t>
      </w:r>
      <w:r w:rsidRPr="00434BB4">
        <w:rPr>
          <w:rFonts w:ascii="Arial" w:eastAsia="Calibri" w:hAnsi="Arial" w:cs="Arial"/>
          <w:color w:val="000000" w:themeColor="text1"/>
          <w:sz w:val="22"/>
          <w:lang w:val="es-ES_tradnl"/>
        </w:rPr>
        <w:t>procedimientos</w:t>
      </w:r>
      <w:r w:rsidR="0086542F" w:rsidRPr="00434BB4">
        <w:rPr>
          <w:rFonts w:ascii="Arial" w:eastAsia="Calibri" w:hAnsi="Arial" w:cs="Arial"/>
          <w:color w:val="000000" w:themeColor="text1"/>
          <w:sz w:val="22"/>
          <w:lang w:val="es-ES_tradnl"/>
        </w:rPr>
        <w:t xml:space="preserve"> </w:t>
      </w:r>
      <w:r w:rsidRPr="00434BB4">
        <w:rPr>
          <w:rFonts w:ascii="Arial" w:eastAsia="Calibri" w:hAnsi="Arial" w:cs="Arial"/>
          <w:color w:val="000000" w:themeColor="text1"/>
          <w:sz w:val="22"/>
          <w:lang w:val="es-ES_tradnl"/>
        </w:rPr>
        <w:t>de</w:t>
      </w:r>
      <w:r w:rsidR="0086542F" w:rsidRPr="00434BB4">
        <w:rPr>
          <w:rFonts w:ascii="Arial" w:eastAsia="Calibri" w:hAnsi="Arial" w:cs="Arial"/>
          <w:color w:val="000000" w:themeColor="text1"/>
          <w:sz w:val="22"/>
          <w:lang w:val="es-ES_tradnl"/>
        </w:rPr>
        <w:t xml:space="preserve"> </w:t>
      </w:r>
      <w:r w:rsidRPr="00434BB4">
        <w:rPr>
          <w:rFonts w:ascii="Arial" w:eastAsia="Calibri" w:hAnsi="Arial" w:cs="Arial"/>
          <w:color w:val="000000" w:themeColor="text1"/>
          <w:sz w:val="22"/>
          <w:lang w:val="es-ES_tradnl"/>
        </w:rPr>
        <w:t>selección</w:t>
      </w:r>
      <w:r w:rsidR="0086542F" w:rsidRPr="00434BB4">
        <w:rPr>
          <w:rFonts w:ascii="Arial" w:eastAsia="Calibri" w:hAnsi="Arial" w:cs="Arial"/>
          <w:color w:val="000000" w:themeColor="text1"/>
          <w:sz w:val="22"/>
          <w:lang w:val="es-ES_tradnl"/>
        </w:rPr>
        <w:t xml:space="preserve"> </w:t>
      </w:r>
      <w:r w:rsidRPr="00434BB4">
        <w:rPr>
          <w:rFonts w:ascii="Arial" w:eastAsia="Calibri" w:hAnsi="Arial" w:cs="Arial"/>
          <w:color w:val="000000" w:themeColor="text1"/>
          <w:sz w:val="22"/>
          <w:lang w:val="es-ES_tradnl"/>
        </w:rPr>
        <w:t>cuya</w:t>
      </w:r>
      <w:r w:rsidR="0086542F" w:rsidRPr="00434BB4">
        <w:rPr>
          <w:rFonts w:ascii="Arial" w:eastAsia="Calibri" w:hAnsi="Arial" w:cs="Arial"/>
          <w:color w:val="000000" w:themeColor="text1"/>
          <w:sz w:val="22"/>
          <w:lang w:val="es-ES_tradnl"/>
        </w:rPr>
        <w:t xml:space="preserve"> </w:t>
      </w:r>
      <w:r w:rsidRPr="00434BB4">
        <w:rPr>
          <w:rFonts w:ascii="Arial" w:eastAsia="Calibri" w:hAnsi="Arial" w:cs="Arial"/>
          <w:color w:val="000000" w:themeColor="text1"/>
          <w:sz w:val="22"/>
          <w:lang w:val="es-ES_tradnl"/>
        </w:rPr>
        <w:t>invitación,</w:t>
      </w:r>
      <w:r w:rsidR="0086542F" w:rsidRPr="00434BB4">
        <w:rPr>
          <w:rFonts w:ascii="Arial" w:eastAsia="Calibri" w:hAnsi="Arial" w:cs="Arial"/>
          <w:color w:val="000000" w:themeColor="text1"/>
          <w:sz w:val="22"/>
          <w:lang w:val="es-ES_tradnl"/>
        </w:rPr>
        <w:t xml:space="preserve"> </w:t>
      </w:r>
      <w:r w:rsidRPr="00434BB4">
        <w:rPr>
          <w:rFonts w:ascii="Arial" w:eastAsia="Calibri" w:hAnsi="Arial" w:cs="Arial"/>
          <w:color w:val="000000" w:themeColor="text1"/>
          <w:sz w:val="22"/>
          <w:lang w:val="es-ES_tradnl"/>
        </w:rPr>
        <w:t>aviso</w:t>
      </w:r>
      <w:r w:rsidR="0086542F" w:rsidRPr="00434BB4">
        <w:rPr>
          <w:rFonts w:ascii="Arial" w:eastAsia="Calibri" w:hAnsi="Arial" w:cs="Arial"/>
          <w:color w:val="000000" w:themeColor="text1"/>
          <w:sz w:val="22"/>
          <w:lang w:val="es-ES_tradnl"/>
        </w:rPr>
        <w:t xml:space="preserve"> </w:t>
      </w:r>
      <w:r w:rsidRPr="00434BB4">
        <w:rPr>
          <w:rFonts w:ascii="Arial" w:eastAsia="Calibri" w:hAnsi="Arial" w:cs="Arial"/>
          <w:color w:val="000000" w:themeColor="text1"/>
          <w:sz w:val="22"/>
          <w:lang w:val="es-ES_tradnl"/>
        </w:rPr>
        <w:t>de convocatoria o documento equivalente se publique a los tres (3)</w:t>
      </w:r>
      <w:r w:rsidR="0086542F" w:rsidRPr="00434BB4">
        <w:rPr>
          <w:rFonts w:ascii="Arial" w:eastAsia="Calibri" w:hAnsi="Arial" w:cs="Arial"/>
          <w:color w:val="000000" w:themeColor="text1"/>
          <w:sz w:val="22"/>
          <w:lang w:val="es-ES_tradnl"/>
        </w:rPr>
        <w:t xml:space="preserve"> </w:t>
      </w:r>
      <w:r w:rsidRPr="00434BB4">
        <w:rPr>
          <w:rFonts w:ascii="Arial" w:eastAsia="Calibri" w:hAnsi="Arial" w:cs="Arial"/>
          <w:color w:val="000000" w:themeColor="text1"/>
          <w:sz w:val="22"/>
          <w:lang w:val="es-ES_tradnl"/>
        </w:rPr>
        <w:t>meses contados a partir de su</w:t>
      </w:r>
      <w:r w:rsidR="0086542F" w:rsidRPr="00434BB4">
        <w:rPr>
          <w:rFonts w:ascii="Arial" w:eastAsia="Calibri" w:hAnsi="Arial" w:cs="Arial"/>
          <w:color w:val="000000" w:themeColor="text1"/>
          <w:sz w:val="22"/>
          <w:lang w:val="es-ES_tradnl"/>
        </w:rPr>
        <w:t xml:space="preserve"> </w:t>
      </w:r>
      <w:r w:rsidRPr="00434BB4">
        <w:rPr>
          <w:rFonts w:ascii="Arial" w:eastAsia="Calibri" w:hAnsi="Arial" w:cs="Arial"/>
          <w:color w:val="000000" w:themeColor="text1"/>
          <w:sz w:val="22"/>
          <w:lang w:val="es-ES_tradnl"/>
        </w:rPr>
        <w:lastRenderedPageBreak/>
        <w:t>expedición»</w:t>
      </w:r>
      <w:r w:rsidRPr="00434BB4">
        <w:rPr>
          <w:rStyle w:val="Refdenotaalpie"/>
          <w:rFonts w:ascii="Arial" w:eastAsia="Calibri" w:hAnsi="Arial" w:cs="Arial"/>
          <w:color w:val="000000" w:themeColor="text1"/>
          <w:sz w:val="22"/>
          <w:lang w:val="es-ES_tradnl"/>
        </w:rPr>
        <w:footnoteReference w:id="29"/>
      </w:r>
      <w:r w:rsidRPr="00434BB4">
        <w:rPr>
          <w:rFonts w:ascii="Arial" w:eastAsia="Calibri" w:hAnsi="Arial" w:cs="Arial"/>
          <w:color w:val="000000" w:themeColor="text1"/>
          <w:sz w:val="22"/>
          <w:lang w:val="es-ES_tradnl"/>
        </w:rPr>
        <w:t xml:space="preserve">. </w:t>
      </w:r>
      <w:r w:rsidR="00EF7B7F" w:rsidRPr="00434BB4">
        <w:rPr>
          <w:rFonts w:ascii="Arial" w:eastAsia="Calibri" w:hAnsi="Arial" w:cs="Arial"/>
          <w:color w:val="000000" w:themeColor="text1"/>
          <w:sz w:val="22"/>
          <w:lang w:val="es-ES_tradnl"/>
        </w:rPr>
        <w:t>Debido a lo anterior</w:t>
      </w:r>
      <w:r w:rsidRPr="00434BB4">
        <w:rPr>
          <w:rFonts w:ascii="Arial" w:eastAsia="Calibri" w:hAnsi="Arial" w:cs="Arial"/>
          <w:color w:val="000000" w:themeColor="text1"/>
          <w:sz w:val="22"/>
          <w:lang w:val="es-ES_tradnl"/>
        </w:rPr>
        <w:t xml:space="preserve">, la regulación vigente de la modalidad de mínima cuantía es la expuesta en el numeral anterior de este concepto, donde se concluyó que </w:t>
      </w:r>
      <w:r w:rsidR="0086542F" w:rsidRPr="00434BB4">
        <w:rPr>
          <w:rFonts w:ascii="Arial" w:hAnsi="Arial" w:cs="Arial"/>
          <w:color w:val="000000" w:themeColor="text1"/>
          <w:sz w:val="22"/>
          <w:lang w:val="es-ES_tradnl"/>
        </w:rPr>
        <w:t>a excepción de</w:t>
      </w:r>
      <w:r w:rsidR="0086542F" w:rsidRPr="00434BB4">
        <w:rPr>
          <w:rFonts w:ascii="Arial" w:eastAsia="Calibri" w:hAnsi="Arial" w:cs="Arial"/>
          <w:color w:val="000000" w:themeColor="text1"/>
          <w:sz w:val="22"/>
          <w:lang w:val="es-ES_tradnl"/>
        </w:rPr>
        <w:t xml:space="preserve">l numeral 7 del artículo 2.2.1.2.1.5.2 y el numeral 3 del artículo 2.2.1.2.1.5.3 del Decreto Único Reglamentario del Sector Administrativo de Planeación Nacional, </w:t>
      </w:r>
      <w:r w:rsidR="0086542F" w:rsidRPr="00434BB4">
        <w:rPr>
          <w:rFonts w:ascii="Arial" w:eastAsia="Calibri" w:hAnsi="Arial" w:cs="Arial"/>
          <w:bCs/>
          <w:color w:val="000000" w:themeColor="text1"/>
          <w:sz w:val="22"/>
          <w:lang w:val="es-ES_tradnl"/>
        </w:rPr>
        <w:t>los</w:t>
      </w:r>
      <w:r w:rsidR="0086542F" w:rsidRPr="00434BB4">
        <w:rPr>
          <w:rFonts w:ascii="Arial" w:eastAsia="Calibri" w:hAnsi="Arial" w:cs="Arial"/>
          <w:color w:val="000000" w:themeColor="text1"/>
          <w:sz w:val="22"/>
          <w:lang w:val="es-ES_tradnl"/>
        </w:rPr>
        <w:t xml:space="preserve"> artículos </w:t>
      </w:r>
      <w:r w:rsidR="005A72EB" w:rsidRPr="00434BB4">
        <w:rPr>
          <w:rFonts w:ascii="Arial" w:eastAsia="Calibri" w:hAnsi="Arial" w:cs="Arial"/>
          <w:color w:val="000000" w:themeColor="text1"/>
          <w:sz w:val="22"/>
          <w:lang w:val="es-ES_tradnl"/>
        </w:rPr>
        <w:t xml:space="preserve">originales </w:t>
      </w:r>
      <w:r w:rsidR="0086542F" w:rsidRPr="00434BB4">
        <w:rPr>
          <w:rFonts w:ascii="Arial" w:eastAsia="Calibri" w:hAnsi="Arial" w:cs="Arial"/>
          <w:color w:val="000000" w:themeColor="text1"/>
          <w:sz w:val="22"/>
          <w:lang w:val="es-ES_tradnl"/>
        </w:rPr>
        <w:t xml:space="preserve">2.2.1.2.1.5.1 al 2.2.1.2.1.5.4 de este reglamento </w:t>
      </w:r>
      <w:r w:rsidR="00EF7B7F" w:rsidRPr="00434BB4">
        <w:rPr>
          <w:rFonts w:ascii="Arial" w:eastAsia="Calibri" w:hAnsi="Arial" w:cs="Arial"/>
          <w:color w:val="000000" w:themeColor="text1"/>
          <w:sz w:val="22"/>
          <w:lang w:val="es-ES_tradnl"/>
        </w:rPr>
        <w:t>–</w:t>
      </w:r>
      <w:r w:rsidR="0086542F" w:rsidRPr="00434BB4">
        <w:rPr>
          <w:rFonts w:ascii="Arial" w:eastAsia="Calibri" w:hAnsi="Arial" w:cs="Arial"/>
          <w:color w:val="000000" w:themeColor="text1"/>
          <w:sz w:val="22"/>
          <w:lang w:val="es-ES_tradnl"/>
        </w:rPr>
        <w:t>antes de la modificación del Decreto 1860 de 2021</w:t>
      </w:r>
      <w:r w:rsidR="00EF7B7F" w:rsidRPr="00434BB4">
        <w:rPr>
          <w:rFonts w:ascii="Arial" w:eastAsia="Calibri" w:hAnsi="Arial" w:cs="Arial"/>
          <w:color w:val="000000" w:themeColor="text1"/>
          <w:sz w:val="22"/>
          <w:lang w:val="es-ES_tradnl"/>
        </w:rPr>
        <w:t>–</w:t>
      </w:r>
      <w:r w:rsidR="0086542F" w:rsidRPr="00434BB4">
        <w:rPr>
          <w:rFonts w:ascii="Arial" w:eastAsia="Calibri" w:hAnsi="Arial" w:cs="Arial"/>
          <w:color w:val="000000" w:themeColor="text1"/>
          <w:sz w:val="22"/>
          <w:lang w:val="es-ES_tradnl"/>
        </w:rPr>
        <w:t xml:space="preserve"> continúan rigiendo bajo la vigencia del numeral 5 del artículo 2 de la Ley 1150 de 2007, modificado por el artículo 30 de la Ley de Emprendimiento. No obstante, para las </w:t>
      </w:r>
      <w:r w:rsidR="0086542F" w:rsidRPr="00434BB4">
        <w:rPr>
          <w:rFonts w:ascii="Arial" w:eastAsia="Calibri" w:hAnsi="Arial" w:cs="Arial"/>
          <w:i/>
          <w:iCs/>
          <w:color w:val="000000" w:themeColor="text1"/>
          <w:sz w:val="22"/>
          <w:lang w:val="es-ES_tradnl"/>
        </w:rPr>
        <w:t>invitaciones</w:t>
      </w:r>
      <w:r w:rsidR="0086542F" w:rsidRPr="00434BB4">
        <w:rPr>
          <w:rFonts w:ascii="Arial" w:eastAsia="Calibri" w:hAnsi="Arial" w:cs="Arial"/>
          <w:color w:val="000000" w:themeColor="text1"/>
          <w:sz w:val="22"/>
          <w:lang w:val="es-ES_tradnl"/>
        </w:rPr>
        <w:t xml:space="preserve"> que se publiquen a partir del 24 de marzo de 2022, la regulación aplicable a la modalidad de mínima cuantía será la establecida en el artículo 30 de la Ley 2069 de 2020 y el artículo 2 del Decreto 1860 de 2021</w:t>
      </w:r>
      <w:r w:rsidR="00DE2931" w:rsidRPr="00434BB4">
        <w:rPr>
          <w:rFonts w:ascii="Arial" w:eastAsia="Calibri" w:hAnsi="Arial" w:cs="Arial"/>
          <w:color w:val="000000" w:themeColor="text1"/>
          <w:sz w:val="22"/>
          <w:lang w:val="es-ES_tradnl"/>
        </w:rPr>
        <w:t>,</w:t>
      </w:r>
      <w:r w:rsidR="0086542F" w:rsidRPr="00434BB4">
        <w:rPr>
          <w:rFonts w:ascii="Arial" w:eastAsia="Calibri" w:hAnsi="Arial" w:cs="Arial"/>
          <w:color w:val="000000" w:themeColor="text1"/>
          <w:sz w:val="22"/>
          <w:lang w:val="es-ES_tradnl"/>
        </w:rPr>
        <w:t xml:space="preserve"> que modificó los artículos 2.2.1.2.1.5.1. a 2.2.1.2.1.5.5. del Decreto 1082 de 2015.</w:t>
      </w:r>
      <w:r w:rsidR="00EF7B7F" w:rsidRPr="00434BB4">
        <w:rPr>
          <w:rFonts w:ascii="Arial" w:eastAsia="Calibri" w:hAnsi="Arial" w:cs="Arial"/>
          <w:color w:val="000000" w:themeColor="text1"/>
          <w:sz w:val="22"/>
          <w:lang w:val="es-ES_tradnl"/>
        </w:rPr>
        <w:t xml:space="preserve"> </w:t>
      </w:r>
    </w:p>
    <w:p w14:paraId="336E9F5D" w14:textId="77777777" w:rsidR="00B02214" w:rsidRPr="00434BB4" w:rsidRDefault="00B02214" w:rsidP="002E40D4">
      <w:pPr>
        <w:tabs>
          <w:tab w:val="left" w:pos="709"/>
        </w:tabs>
        <w:spacing w:after="0"/>
        <w:rPr>
          <w:rFonts w:ascii="Arial" w:eastAsia="Calibri" w:hAnsi="Arial" w:cs="Arial"/>
          <w:bCs/>
          <w:color w:val="000000" w:themeColor="text1"/>
          <w:sz w:val="22"/>
          <w:lang w:val="es-ES_tradnl"/>
        </w:rPr>
      </w:pPr>
    </w:p>
    <w:p w14:paraId="2AE0A9F9" w14:textId="5F6664C1" w:rsidR="007C3749" w:rsidRPr="00434BB4" w:rsidRDefault="004421F5" w:rsidP="00FE4F4B">
      <w:pPr>
        <w:tabs>
          <w:tab w:val="left" w:pos="284"/>
          <w:tab w:val="left" w:pos="7938"/>
        </w:tabs>
        <w:spacing w:after="0"/>
        <w:rPr>
          <w:rFonts w:ascii="Arial" w:eastAsia="Calibri" w:hAnsi="Arial" w:cs="Arial"/>
          <w:b/>
          <w:sz w:val="22"/>
          <w:lang w:val="es-CO"/>
        </w:rPr>
      </w:pPr>
      <w:bookmarkStart w:id="18" w:name="_Hlk57650395"/>
      <w:bookmarkEnd w:id="4"/>
      <w:r w:rsidRPr="00434BB4">
        <w:rPr>
          <w:rFonts w:ascii="Arial" w:eastAsia="Calibri" w:hAnsi="Arial" w:cs="Arial"/>
          <w:b/>
          <w:sz w:val="22"/>
          <w:lang w:val="es-CO"/>
        </w:rPr>
        <w:t>3. Respuestas</w:t>
      </w:r>
    </w:p>
    <w:p w14:paraId="58D27431" w14:textId="1CC070EB" w:rsidR="00B672E6" w:rsidRPr="00434BB4" w:rsidRDefault="00B672E6" w:rsidP="00B672E6">
      <w:pPr>
        <w:spacing w:after="0"/>
        <w:rPr>
          <w:rFonts w:ascii="ArialMT" w:eastAsia="Times New Roman" w:hAnsi="ArialMT" w:cs="Times New Roman"/>
          <w:sz w:val="21"/>
          <w:szCs w:val="21"/>
          <w:lang w:val="es-CO" w:eastAsia="es-ES_tradnl"/>
        </w:rPr>
      </w:pPr>
    </w:p>
    <w:p w14:paraId="1277B4DC" w14:textId="77777777" w:rsidR="00324A93" w:rsidRPr="00434BB4" w:rsidRDefault="00324A93" w:rsidP="00BF0F70">
      <w:pPr>
        <w:spacing w:after="120" w:line="240" w:lineRule="auto"/>
        <w:ind w:left="709" w:right="709"/>
        <w:rPr>
          <w:rFonts w:ascii="Arial" w:eastAsia="Times New Roman" w:hAnsi="Arial" w:cs="Arial"/>
          <w:sz w:val="21"/>
          <w:szCs w:val="21"/>
          <w:lang w:val="es-CO" w:eastAsia="es-ES_tradnl"/>
        </w:rPr>
      </w:pPr>
      <w:r w:rsidRPr="00434BB4">
        <w:rPr>
          <w:rFonts w:ascii="Arial" w:eastAsia="Times New Roman" w:hAnsi="Arial" w:cs="Arial"/>
          <w:sz w:val="21"/>
          <w:szCs w:val="21"/>
          <w:lang w:val="es-CO" w:eastAsia="es-ES_tradnl"/>
        </w:rPr>
        <w:t xml:space="preserve">i) «¿Cuál es el procedimiento que deben adelantar las Entidades Estatales, que hagan uso de la modalidad de mínima cuantía, en atención a que a la fecha no se ha expedido el reglamento que regule el procedimiento, tal y como lo dispone el parágrafo 1 del artículo 30 de la Ley 2069 de 2020? </w:t>
      </w:r>
    </w:p>
    <w:p w14:paraId="6743877E" w14:textId="7020DE0A" w:rsidR="00BE1C53" w:rsidRPr="00434BB4" w:rsidRDefault="00324A93" w:rsidP="00324A93">
      <w:pPr>
        <w:spacing w:after="120" w:line="240" w:lineRule="auto"/>
        <w:ind w:left="709" w:right="709"/>
        <w:rPr>
          <w:rFonts w:ascii="Arial" w:eastAsia="Times New Roman" w:hAnsi="Arial" w:cs="Arial"/>
          <w:sz w:val="21"/>
          <w:szCs w:val="21"/>
          <w:lang w:val="es-CO" w:eastAsia="es-CO"/>
        </w:rPr>
      </w:pPr>
      <w:r w:rsidRPr="00434BB4">
        <w:rPr>
          <w:rFonts w:ascii="Arial" w:eastAsia="Times New Roman" w:hAnsi="Arial" w:cs="Arial"/>
          <w:sz w:val="21"/>
          <w:szCs w:val="21"/>
          <w:lang w:val="es-CO" w:eastAsia="es-ES_tradnl"/>
        </w:rPr>
        <w:t>» ii) «¿Resulta procedente continuar aplicando el procedimiento descrito en el artículo 2.2.1.2.1.5.2 del Decreto 1082 de 2015?»</w:t>
      </w:r>
    </w:p>
    <w:p w14:paraId="159DF411" w14:textId="67A8FEA0" w:rsidR="000B19F3" w:rsidRPr="00434BB4" w:rsidRDefault="000B19F3" w:rsidP="00B672E6">
      <w:pPr>
        <w:spacing w:after="0"/>
        <w:rPr>
          <w:rFonts w:ascii="Arial" w:eastAsia="Times New Roman" w:hAnsi="Arial" w:cs="Arial"/>
          <w:sz w:val="22"/>
          <w:lang w:val="es-CO" w:eastAsia="es-ES_tradnl"/>
        </w:rPr>
      </w:pPr>
    </w:p>
    <w:p w14:paraId="775D37E0" w14:textId="45ECCE6C" w:rsidR="000B19F3" w:rsidRPr="00434BB4" w:rsidRDefault="000B19F3" w:rsidP="000B19F3">
      <w:pPr>
        <w:tabs>
          <w:tab w:val="left" w:pos="709"/>
        </w:tabs>
        <w:spacing w:after="120"/>
        <w:rPr>
          <w:rFonts w:ascii="Arial" w:eastAsia="Calibri" w:hAnsi="Arial" w:cs="Arial"/>
          <w:bCs/>
          <w:color w:val="000000" w:themeColor="text1"/>
          <w:sz w:val="22"/>
          <w:lang w:val="es-ES_tradnl"/>
        </w:rPr>
      </w:pPr>
      <w:bookmarkStart w:id="19" w:name="_Hlk69581616"/>
      <w:r w:rsidRPr="00434BB4">
        <w:rPr>
          <w:rFonts w:ascii="Arial" w:eastAsia="Calibri" w:hAnsi="Arial" w:cs="Arial"/>
          <w:bCs/>
          <w:color w:val="000000" w:themeColor="text1"/>
          <w:sz w:val="22"/>
          <w:lang w:val="es-ES_tradnl"/>
        </w:rPr>
        <w:t>Las entidades estatales deben aplicar actualmente el artículo 30 de la Ley 2069 de 2020 para adelantar el procedimiento de mínima cuantía, pues dicha disposición normativa define aspectos generales de aquel, como: i) el término mínimo para publicar la invitación, ii) el plazo mínimo de recepción de las ofertas, iii) el factor de evaluación que determina la selección del proponente y iv) el perfeccionamiento del contrato. Por lo tanto, las entidades estatales deben estructurar sus procedimientos de selección de acuerdo con estos parámetros, los cuales tienen una aplicación inmediata</w:t>
      </w:r>
      <w:r w:rsidR="00EF7B7F" w:rsidRPr="00434BB4">
        <w:rPr>
          <w:rFonts w:ascii="Arial" w:eastAsia="Calibri" w:hAnsi="Arial" w:cs="Arial"/>
          <w:bCs/>
          <w:color w:val="000000" w:themeColor="text1"/>
          <w:sz w:val="22"/>
          <w:lang w:val="es-ES_tradnl"/>
        </w:rPr>
        <w:t>,</w:t>
      </w:r>
      <w:r w:rsidRPr="00434BB4">
        <w:rPr>
          <w:rFonts w:ascii="Arial" w:eastAsia="Calibri" w:hAnsi="Arial" w:cs="Arial"/>
          <w:bCs/>
          <w:color w:val="000000" w:themeColor="text1"/>
          <w:sz w:val="22"/>
          <w:lang w:val="es-ES_tradnl"/>
        </w:rPr>
        <w:t xml:space="preserve"> sin que </w:t>
      </w:r>
      <w:r w:rsidR="006200E0" w:rsidRPr="00434BB4">
        <w:rPr>
          <w:rFonts w:ascii="Arial" w:eastAsia="Calibri" w:hAnsi="Arial" w:cs="Arial"/>
          <w:bCs/>
          <w:color w:val="000000" w:themeColor="text1"/>
          <w:sz w:val="22"/>
          <w:lang w:val="es-ES_tradnl"/>
        </w:rPr>
        <w:t>la necesidad de expedición d</w:t>
      </w:r>
      <w:r w:rsidRPr="00434BB4">
        <w:rPr>
          <w:rFonts w:ascii="Arial" w:eastAsia="Calibri" w:hAnsi="Arial" w:cs="Arial"/>
          <w:bCs/>
          <w:color w:val="000000" w:themeColor="text1"/>
          <w:sz w:val="22"/>
          <w:lang w:val="es-ES_tradnl"/>
        </w:rPr>
        <w:t>e</w:t>
      </w:r>
      <w:r w:rsidR="006200E0" w:rsidRPr="00434BB4">
        <w:rPr>
          <w:rFonts w:ascii="Arial" w:eastAsia="Calibri" w:hAnsi="Arial" w:cs="Arial"/>
          <w:bCs/>
          <w:color w:val="000000" w:themeColor="text1"/>
          <w:sz w:val="22"/>
          <w:lang w:val="es-ES_tradnl"/>
        </w:rPr>
        <w:t xml:space="preserve"> un nuevo</w:t>
      </w:r>
      <w:r w:rsidRPr="00434BB4">
        <w:rPr>
          <w:rFonts w:ascii="Arial" w:eastAsia="Calibri" w:hAnsi="Arial" w:cs="Arial"/>
          <w:bCs/>
          <w:color w:val="000000" w:themeColor="text1"/>
          <w:sz w:val="22"/>
          <w:lang w:val="es-ES_tradnl"/>
        </w:rPr>
        <w:t xml:space="preserve"> reglamento condicione s</w:t>
      </w:r>
      <w:r w:rsidR="0095217A" w:rsidRPr="00434BB4">
        <w:rPr>
          <w:rFonts w:ascii="Arial" w:eastAsia="Calibri" w:hAnsi="Arial" w:cs="Arial"/>
          <w:bCs/>
          <w:color w:val="000000" w:themeColor="text1"/>
          <w:sz w:val="22"/>
          <w:lang w:val="es-ES_tradnl"/>
        </w:rPr>
        <w:t>u</w:t>
      </w:r>
      <w:r w:rsidRPr="00434BB4">
        <w:rPr>
          <w:rFonts w:ascii="Arial" w:eastAsia="Calibri" w:hAnsi="Arial" w:cs="Arial"/>
          <w:bCs/>
          <w:color w:val="000000" w:themeColor="text1"/>
          <w:sz w:val="22"/>
          <w:lang w:val="es-ES_tradnl"/>
        </w:rPr>
        <w:t xml:space="preserve"> vigencia. </w:t>
      </w:r>
    </w:p>
    <w:p w14:paraId="6D3A8C72" w14:textId="28B7DA6E" w:rsidR="00BE1C53" w:rsidRPr="00434BB4" w:rsidRDefault="000B19F3" w:rsidP="00547346">
      <w:pPr>
        <w:tabs>
          <w:tab w:val="left" w:pos="709"/>
        </w:tabs>
        <w:spacing w:after="0"/>
        <w:rPr>
          <w:rStyle w:val="eop"/>
          <w:rFonts w:ascii="Arial" w:hAnsi="Arial" w:cs="Arial"/>
          <w:color w:val="000000"/>
          <w:sz w:val="22"/>
        </w:rPr>
      </w:pPr>
      <w:r w:rsidRPr="00434BB4">
        <w:rPr>
          <w:rFonts w:ascii="Arial" w:hAnsi="Arial" w:cs="Arial"/>
          <w:color w:val="000000" w:themeColor="text1"/>
          <w:sz w:val="22"/>
          <w:lang w:val="es-ES_tradnl"/>
        </w:rPr>
        <w:lastRenderedPageBreak/>
        <w:tab/>
        <w:t xml:space="preserve">En todo caso, conforme </w:t>
      </w:r>
      <w:r w:rsidR="00BE1C53" w:rsidRPr="00434BB4">
        <w:rPr>
          <w:rFonts w:ascii="Arial" w:hAnsi="Arial" w:cs="Arial"/>
          <w:color w:val="000000" w:themeColor="text1"/>
          <w:sz w:val="22"/>
          <w:lang w:val="es-ES_tradnl"/>
        </w:rPr>
        <w:t>a lo explicado anteriormente</w:t>
      </w:r>
      <w:r w:rsidRPr="00434BB4">
        <w:rPr>
          <w:rFonts w:ascii="Arial" w:hAnsi="Arial" w:cs="Arial"/>
          <w:color w:val="000000" w:themeColor="text1"/>
          <w:sz w:val="22"/>
          <w:lang w:val="es-ES_tradnl"/>
        </w:rPr>
        <w:t xml:space="preserve">, </w:t>
      </w:r>
      <w:bookmarkStart w:id="20" w:name="_Hlk69580780"/>
      <w:r w:rsidRPr="00434BB4">
        <w:rPr>
          <w:rFonts w:ascii="Arial" w:hAnsi="Arial" w:cs="Arial"/>
          <w:color w:val="000000" w:themeColor="text1"/>
          <w:sz w:val="22"/>
          <w:lang w:val="es-ES_tradnl"/>
        </w:rPr>
        <w:t>el grueso de</w:t>
      </w:r>
      <w:r w:rsidRPr="00434BB4">
        <w:rPr>
          <w:rFonts w:ascii="Arial" w:eastAsia="Calibri" w:hAnsi="Arial" w:cs="Arial"/>
          <w:color w:val="000000" w:themeColor="text1"/>
          <w:sz w:val="22"/>
          <w:lang w:val="es-ES_tradnl"/>
        </w:rPr>
        <w:t xml:space="preserve"> </w:t>
      </w:r>
      <w:r w:rsidRPr="00434BB4">
        <w:rPr>
          <w:rFonts w:ascii="Arial" w:eastAsia="Calibri" w:hAnsi="Arial" w:cs="Arial"/>
          <w:bCs/>
          <w:color w:val="000000" w:themeColor="text1"/>
          <w:sz w:val="22"/>
        </w:rPr>
        <w:t>los</w:t>
      </w:r>
      <w:r w:rsidRPr="00434BB4">
        <w:rPr>
          <w:rFonts w:ascii="Arial" w:eastAsia="Calibri" w:hAnsi="Arial" w:cs="Arial"/>
          <w:color w:val="000000" w:themeColor="text1"/>
          <w:sz w:val="22"/>
          <w:lang w:val="es-ES_tradnl"/>
        </w:rPr>
        <w:t xml:space="preserve"> artículos 2.2.1.2.1.5.1 al 2.2.1.2.1.5.4 </w:t>
      </w:r>
      <w:r w:rsidR="00EC47F8" w:rsidRPr="00434BB4">
        <w:rPr>
          <w:rFonts w:ascii="Arial" w:eastAsia="Calibri" w:hAnsi="Arial" w:cs="Arial"/>
          <w:i/>
          <w:iCs/>
          <w:color w:val="000000" w:themeColor="text1"/>
          <w:sz w:val="22"/>
          <w:lang w:val="es-ES_tradnl"/>
        </w:rPr>
        <w:t>originales</w:t>
      </w:r>
      <w:r w:rsidR="00EC47F8" w:rsidRPr="00434BB4">
        <w:rPr>
          <w:rFonts w:ascii="Arial" w:eastAsia="Calibri" w:hAnsi="Arial" w:cs="Arial"/>
          <w:color w:val="000000" w:themeColor="text1"/>
          <w:sz w:val="22"/>
          <w:lang w:val="es-ES_tradnl"/>
        </w:rPr>
        <w:t xml:space="preserve"> </w:t>
      </w:r>
      <w:r w:rsidRPr="00434BB4">
        <w:rPr>
          <w:rFonts w:ascii="Arial" w:eastAsia="Calibri" w:hAnsi="Arial" w:cs="Arial"/>
          <w:color w:val="000000" w:themeColor="text1"/>
          <w:sz w:val="22"/>
          <w:lang w:val="es-ES_tradnl"/>
        </w:rPr>
        <w:t>del Decreto 1082 de 2015</w:t>
      </w:r>
      <w:r w:rsidR="00EC47F8" w:rsidRPr="00434BB4">
        <w:rPr>
          <w:rFonts w:ascii="Arial" w:eastAsia="Calibri" w:hAnsi="Arial" w:cs="Arial"/>
          <w:color w:val="000000" w:themeColor="text1"/>
          <w:sz w:val="22"/>
          <w:lang w:val="es-ES_tradnl"/>
        </w:rPr>
        <w:t xml:space="preserve"> –antes de la modificación realizada por el Decreto 1860 del 24 de diciembre de 2021–</w:t>
      </w:r>
      <w:r w:rsidRPr="00434BB4">
        <w:rPr>
          <w:rFonts w:ascii="Arial" w:eastAsia="Calibri" w:hAnsi="Arial" w:cs="Arial"/>
          <w:color w:val="000000" w:themeColor="text1"/>
          <w:sz w:val="22"/>
          <w:lang w:val="es-ES_tradnl"/>
        </w:rPr>
        <w:t xml:space="preserve"> continúan </w:t>
      </w:r>
      <w:r w:rsidR="00FD3921" w:rsidRPr="00434BB4">
        <w:rPr>
          <w:rFonts w:ascii="Arial" w:eastAsia="Calibri" w:hAnsi="Arial" w:cs="Arial"/>
          <w:color w:val="000000" w:themeColor="text1"/>
          <w:sz w:val="22"/>
          <w:lang w:val="es-ES_tradnl"/>
        </w:rPr>
        <w:t xml:space="preserve">rigiendo </w:t>
      </w:r>
      <w:r w:rsidRPr="00434BB4">
        <w:rPr>
          <w:rFonts w:ascii="Arial" w:eastAsia="Calibri" w:hAnsi="Arial" w:cs="Arial"/>
          <w:color w:val="000000" w:themeColor="text1"/>
          <w:sz w:val="22"/>
          <w:lang w:val="es-ES_tradnl"/>
        </w:rPr>
        <w:t xml:space="preserve">bajo la vigencia del numeral 5 del artículo 2 de la Ley 1150 de 2007, modificado por el artículo 30 de la Ley de Emprendimiento. Esto con excepción </w:t>
      </w:r>
      <w:r w:rsidRPr="00434BB4">
        <w:rPr>
          <w:rFonts w:ascii="Arial" w:hAnsi="Arial" w:cs="Arial"/>
          <w:color w:val="000000" w:themeColor="text1"/>
          <w:sz w:val="22"/>
          <w:lang w:val="es-ES_tradnl"/>
        </w:rPr>
        <w:t>de</w:t>
      </w:r>
      <w:r w:rsidRPr="00434BB4">
        <w:rPr>
          <w:rFonts w:ascii="Arial" w:eastAsia="Calibri" w:hAnsi="Arial" w:cs="Arial"/>
          <w:color w:val="000000" w:themeColor="text1"/>
          <w:sz w:val="22"/>
          <w:lang w:val="es-ES_tradnl"/>
        </w:rPr>
        <w:t xml:space="preserve">l numeral </w:t>
      </w:r>
      <w:r w:rsidR="00BE1C53" w:rsidRPr="00434BB4">
        <w:rPr>
          <w:rFonts w:ascii="Arial" w:eastAsia="Calibri" w:hAnsi="Arial" w:cs="Arial"/>
          <w:color w:val="000000" w:themeColor="text1"/>
          <w:sz w:val="22"/>
          <w:lang w:val="es-ES_tradnl"/>
        </w:rPr>
        <w:t>7</w:t>
      </w:r>
      <w:r w:rsidRPr="00434BB4">
        <w:rPr>
          <w:rFonts w:ascii="Arial" w:eastAsia="Calibri" w:hAnsi="Arial" w:cs="Arial"/>
          <w:color w:val="000000" w:themeColor="text1"/>
          <w:sz w:val="22"/>
          <w:lang w:val="es-ES_tradnl"/>
        </w:rPr>
        <w:t xml:space="preserve"> del artículo 2.2.1.2.1.5.2 y el numeral 3 del artículo 2.2.1.2.1.5.3 del Decreto Único Reglamentario del Sector Administrativo de Planeación Nacional, pues son incompatibles con los factores de desempate del artículo 35 de la Ley 2069 de 2020.</w:t>
      </w:r>
      <w:bookmarkEnd w:id="19"/>
      <w:bookmarkEnd w:id="20"/>
      <w:r w:rsidR="00BE1C53" w:rsidRPr="00434BB4">
        <w:rPr>
          <w:rStyle w:val="eop"/>
          <w:rFonts w:ascii="Arial" w:hAnsi="Arial" w:cs="Arial"/>
          <w:color w:val="000000"/>
          <w:sz w:val="22"/>
        </w:rPr>
        <w:t> </w:t>
      </w:r>
      <w:r w:rsidR="00FD3921" w:rsidRPr="00434BB4">
        <w:rPr>
          <w:rFonts w:ascii="Arial" w:eastAsia="Calibri" w:hAnsi="Arial" w:cs="Arial"/>
          <w:color w:val="000000" w:themeColor="text1"/>
          <w:sz w:val="22"/>
          <w:lang w:val="es-ES_tradnl"/>
        </w:rPr>
        <w:t xml:space="preserve">No obstante, para las </w:t>
      </w:r>
      <w:r w:rsidR="00FD3921" w:rsidRPr="00434BB4">
        <w:rPr>
          <w:rFonts w:ascii="Arial" w:eastAsia="Calibri" w:hAnsi="Arial" w:cs="Arial"/>
          <w:i/>
          <w:iCs/>
          <w:color w:val="000000" w:themeColor="text1"/>
          <w:sz w:val="22"/>
          <w:lang w:val="es-ES_tradnl"/>
        </w:rPr>
        <w:t>invitaciones</w:t>
      </w:r>
      <w:r w:rsidR="00FD3921" w:rsidRPr="00434BB4">
        <w:rPr>
          <w:rFonts w:ascii="Arial" w:eastAsia="Calibri" w:hAnsi="Arial" w:cs="Arial"/>
          <w:color w:val="000000" w:themeColor="text1"/>
          <w:sz w:val="22"/>
          <w:lang w:val="es-ES_tradnl"/>
        </w:rPr>
        <w:t xml:space="preserve"> que se publiquen a partir del 24 de marzo de 2022, la regulación aplicable a la modalidad de mínima cuantía será la establecida en el artículo 30 de la Ley 2069 de 2020 y el artículo 2 del Decreto 1860 de 2021</w:t>
      </w:r>
      <w:r w:rsidR="00DE2931" w:rsidRPr="00434BB4">
        <w:rPr>
          <w:rFonts w:ascii="Arial" w:eastAsia="Calibri" w:hAnsi="Arial" w:cs="Arial"/>
          <w:color w:val="000000" w:themeColor="text1"/>
          <w:sz w:val="22"/>
          <w:lang w:val="es-ES_tradnl"/>
        </w:rPr>
        <w:t>,</w:t>
      </w:r>
      <w:r w:rsidR="00FD3921" w:rsidRPr="00434BB4">
        <w:rPr>
          <w:rFonts w:ascii="Arial" w:eastAsia="Calibri" w:hAnsi="Arial" w:cs="Arial"/>
          <w:color w:val="000000" w:themeColor="text1"/>
          <w:sz w:val="22"/>
          <w:lang w:val="es-ES_tradnl"/>
        </w:rPr>
        <w:t xml:space="preserve"> que modificó los artículos 2.2.1.2.1.5.1. a 2.2.1.2.1.5.5. del Decreto 1082 de 2015</w:t>
      </w:r>
      <w:r w:rsidR="00EC47F8" w:rsidRPr="00434BB4">
        <w:rPr>
          <w:rFonts w:ascii="Arial" w:eastAsia="Calibri" w:hAnsi="Arial" w:cs="Arial"/>
          <w:color w:val="000000" w:themeColor="text1"/>
          <w:sz w:val="22"/>
          <w:lang w:val="es-ES_tradnl"/>
        </w:rPr>
        <w:t xml:space="preserve">, debido a que las </w:t>
      </w:r>
      <w:r w:rsidR="00547346" w:rsidRPr="00434BB4">
        <w:rPr>
          <w:rFonts w:ascii="Arial" w:eastAsia="Calibri" w:hAnsi="Arial" w:cs="Arial"/>
          <w:color w:val="000000" w:themeColor="text1"/>
          <w:sz w:val="22"/>
          <w:lang w:val="es-ES_tradnl"/>
        </w:rPr>
        <w:t>modificaciones del Decreto 1860, de acuerdo con su artículo 8</w:t>
      </w:r>
      <w:r w:rsidR="006200E0" w:rsidRPr="00434BB4">
        <w:rPr>
          <w:rFonts w:ascii="Arial" w:eastAsia="Calibri" w:hAnsi="Arial" w:cs="Arial"/>
          <w:color w:val="000000" w:themeColor="text1"/>
          <w:sz w:val="22"/>
          <w:lang w:val="es-ES_tradnl"/>
        </w:rPr>
        <w:t>, solo</w:t>
      </w:r>
      <w:r w:rsidR="00547346" w:rsidRPr="00434BB4">
        <w:rPr>
          <w:rFonts w:ascii="Arial" w:eastAsia="Calibri" w:hAnsi="Arial" w:cs="Arial"/>
          <w:color w:val="000000" w:themeColor="text1"/>
          <w:sz w:val="22"/>
          <w:lang w:val="es-ES_tradnl"/>
        </w:rPr>
        <w:t xml:space="preserve"> «aplicarán a los procedimientos de selección cuya invitación, aviso de convocatoria o documento equivalente se publique a los tres (3) meses contados a partir de su expedición».</w:t>
      </w:r>
    </w:p>
    <w:p w14:paraId="7AD2807C" w14:textId="77777777" w:rsidR="00FD3921" w:rsidRPr="00434BB4" w:rsidRDefault="00FD3921" w:rsidP="00324A93">
      <w:pPr>
        <w:tabs>
          <w:tab w:val="left" w:pos="709"/>
        </w:tabs>
        <w:spacing w:after="0"/>
        <w:rPr>
          <w:rFonts w:ascii="Arial" w:eastAsia="Calibri" w:hAnsi="Arial" w:cs="Arial"/>
          <w:bCs/>
          <w:color w:val="000000" w:themeColor="text1"/>
          <w:sz w:val="22"/>
          <w:lang w:val="es-ES_tradnl"/>
        </w:rPr>
      </w:pPr>
    </w:p>
    <w:p w14:paraId="302C14BC" w14:textId="77777777" w:rsidR="00B672E6" w:rsidRPr="00434BB4" w:rsidRDefault="00B672E6" w:rsidP="00BF0F70">
      <w:pPr>
        <w:pStyle w:val="NormalWeb"/>
        <w:spacing w:before="0" w:beforeAutospacing="0" w:after="120" w:afterAutospacing="0"/>
        <w:ind w:right="567"/>
        <w:rPr>
          <w:rFonts w:ascii="ArialMT" w:hAnsi="ArialMT"/>
          <w:sz w:val="21"/>
          <w:szCs w:val="21"/>
          <w:lang w:eastAsia="es-ES_tradnl"/>
        </w:rPr>
      </w:pPr>
    </w:p>
    <w:p w14:paraId="2222029F" w14:textId="4EDED5CD" w:rsidR="00D45D43" w:rsidRPr="00434BB4" w:rsidRDefault="00D45D43" w:rsidP="00001D47">
      <w:pPr>
        <w:spacing w:after="0"/>
        <w:rPr>
          <w:rFonts w:ascii="Arial" w:eastAsia="Calibri" w:hAnsi="Arial" w:cs="Arial"/>
          <w:sz w:val="22"/>
          <w:lang w:val="es-CO"/>
        </w:rPr>
      </w:pPr>
      <w:r w:rsidRPr="00434BB4">
        <w:rPr>
          <w:rFonts w:ascii="Arial" w:eastAsia="Calibri" w:hAnsi="Arial" w:cs="Arial"/>
          <w:sz w:val="22"/>
          <w:lang w:val="es-CO"/>
        </w:rPr>
        <w:t>Este concepto tiene el alcance previsto en el artículo 28 del Código de Procedimiento Administrativo y de lo Contencioso Administrativo.</w:t>
      </w:r>
    </w:p>
    <w:p w14:paraId="0DCB5B04" w14:textId="77777777" w:rsidR="00D45D43" w:rsidRPr="00434BB4" w:rsidRDefault="00D45D43" w:rsidP="00001D47">
      <w:pPr>
        <w:spacing w:after="0"/>
        <w:jc w:val="left"/>
        <w:rPr>
          <w:rFonts w:ascii="Arial" w:eastAsia="Times New Roman" w:hAnsi="Arial" w:cs="Arial"/>
          <w:sz w:val="22"/>
          <w:lang w:val="es-CO" w:eastAsia="es-CO"/>
        </w:rPr>
      </w:pPr>
    </w:p>
    <w:p w14:paraId="4D6F6658" w14:textId="77777777" w:rsidR="00D45D43" w:rsidRPr="00434BB4" w:rsidRDefault="00D45D43" w:rsidP="00001D47">
      <w:pPr>
        <w:spacing w:after="0"/>
        <w:jc w:val="left"/>
        <w:rPr>
          <w:rFonts w:ascii="Arial" w:eastAsia="Times New Roman" w:hAnsi="Arial" w:cs="Arial"/>
          <w:sz w:val="22"/>
          <w:lang w:val="es-CO" w:eastAsia="es-CO"/>
        </w:rPr>
      </w:pPr>
      <w:r w:rsidRPr="00434BB4">
        <w:rPr>
          <w:rFonts w:ascii="Arial" w:eastAsia="Times New Roman" w:hAnsi="Arial" w:cs="Arial"/>
          <w:sz w:val="22"/>
          <w:lang w:val="es-CO" w:eastAsia="es-CO"/>
        </w:rPr>
        <w:t>Atentamente,</w:t>
      </w:r>
    </w:p>
    <w:p w14:paraId="45B61928" w14:textId="77777777" w:rsidR="00D45D43" w:rsidRPr="00434BB4" w:rsidRDefault="00D45D43" w:rsidP="00001D47">
      <w:pPr>
        <w:spacing w:after="0"/>
        <w:jc w:val="left"/>
        <w:rPr>
          <w:rFonts w:ascii="Arial" w:eastAsia="Times New Roman" w:hAnsi="Arial" w:cs="Arial"/>
          <w:sz w:val="22"/>
          <w:lang w:val="es-CO" w:eastAsia="es-CO"/>
        </w:rPr>
      </w:pPr>
    </w:p>
    <w:p w14:paraId="10C58370" w14:textId="0BCC3CFC" w:rsidR="00D45D43" w:rsidRPr="00434BB4" w:rsidRDefault="00253927" w:rsidP="00001D47">
      <w:pPr>
        <w:spacing w:after="0"/>
        <w:jc w:val="center"/>
        <w:rPr>
          <w:rFonts w:ascii="Arial" w:eastAsia="Times New Roman" w:hAnsi="Arial" w:cs="Arial"/>
          <w:sz w:val="18"/>
          <w:szCs w:val="20"/>
          <w:lang w:val="es-CO" w:eastAsia="es-CO"/>
        </w:rPr>
      </w:pPr>
      <w:r>
        <w:rPr>
          <w:noProof/>
        </w:rPr>
        <w:drawing>
          <wp:inline distT="0" distB="0" distL="0" distR="0" wp14:anchorId="67B5F2B5" wp14:editId="4A2CE94A">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tbl>
      <w:tblPr>
        <w:tblStyle w:val="Tablaconcuadrcula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45D43" w:rsidRPr="00434BB4" w14:paraId="1F740260" w14:textId="77777777" w:rsidTr="00296985">
        <w:trPr>
          <w:trHeight w:val="315"/>
        </w:trPr>
        <w:tc>
          <w:tcPr>
            <w:tcW w:w="488" w:type="dxa"/>
            <w:vAlign w:val="center"/>
            <w:hideMark/>
          </w:tcPr>
          <w:p w14:paraId="04500E5F" w14:textId="77777777" w:rsidR="00D45D43" w:rsidRPr="00434BB4" w:rsidRDefault="00D45D43" w:rsidP="00BF0F70">
            <w:pPr>
              <w:spacing w:after="0" w:line="240" w:lineRule="auto"/>
              <w:rPr>
                <w:rFonts w:ascii="Arial" w:hAnsi="Arial" w:cs="Arial"/>
                <w:sz w:val="16"/>
                <w:szCs w:val="16"/>
                <w:lang w:val="es-CO" w:eastAsia="es-ES"/>
              </w:rPr>
            </w:pPr>
            <w:r w:rsidRPr="00434BB4">
              <w:rPr>
                <w:rFonts w:ascii="Arial"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0E440C36" w14:textId="77777777" w:rsidR="00D45D43" w:rsidRPr="00434BB4" w:rsidRDefault="00D45D43" w:rsidP="00BF0F70">
            <w:pPr>
              <w:spacing w:after="0" w:line="240" w:lineRule="auto"/>
              <w:rPr>
                <w:rFonts w:ascii="Arial" w:hAnsi="Arial" w:cs="Arial"/>
                <w:sz w:val="16"/>
                <w:szCs w:val="16"/>
                <w:lang w:val="es-CO" w:eastAsia="es-ES"/>
              </w:rPr>
            </w:pPr>
          </w:p>
          <w:p w14:paraId="639521D9" w14:textId="626B1E32" w:rsidR="00D45D43" w:rsidRPr="00434BB4" w:rsidRDefault="00324A93" w:rsidP="00BF0F70">
            <w:pPr>
              <w:spacing w:after="0" w:line="240" w:lineRule="auto"/>
              <w:rPr>
                <w:rFonts w:ascii="Arial" w:hAnsi="Arial" w:cs="Arial"/>
                <w:color w:val="000000" w:themeColor="text1"/>
                <w:sz w:val="16"/>
                <w:szCs w:val="16"/>
                <w:lang w:val="es-CO" w:eastAsia="es-ES"/>
              </w:rPr>
            </w:pPr>
            <w:r w:rsidRPr="00434BB4">
              <w:rPr>
                <w:rFonts w:ascii="Arial" w:hAnsi="Arial" w:cs="Arial"/>
                <w:color w:val="000000" w:themeColor="text1"/>
                <w:sz w:val="16"/>
                <w:szCs w:val="16"/>
                <w:lang w:val="es-CO" w:eastAsia="es-ES"/>
              </w:rPr>
              <w:t>Felipe Bastidas Paredes</w:t>
            </w:r>
          </w:p>
          <w:p w14:paraId="6B405E71" w14:textId="77777777" w:rsidR="00D45D43" w:rsidRPr="00434BB4" w:rsidRDefault="00D45D43" w:rsidP="00BF0F70">
            <w:pPr>
              <w:spacing w:after="0" w:line="240" w:lineRule="auto"/>
              <w:rPr>
                <w:rFonts w:ascii="Arial" w:hAnsi="Arial" w:cs="Arial"/>
                <w:sz w:val="16"/>
                <w:szCs w:val="16"/>
                <w:lang w:val="es-CO" w:eastAsia="es-ES"/>
              </w:rPr>
            </w:pPr>
            <w:r w:rsidRPr="00434BB4">
              <w:rPr>
                <w:rFonts w:ascii="Arial" w:hAnsi="Arial" w:cs="Arial"/>
                <w:color w:val="000000" w:themeColor="text1"/>
                <w:sz w:val="16"/>
                <w:szCs w:val="16"/>
                <w:lang w:val="es-CO" w:eastAsia="es-ES"/>
              </w:rPr>
              <w:t>Contratista de la Subdirección de Gestión Contractual</w:t>
            </w:r>
          </w:p>
        </w:tc>
      </w:tr>
      <w:tr w:rsidR="00D45D43" w:rsidRPr="00434BB4" w14:paraId="603F1EFA" w14:textId="77777777" w:rsidTr="00296985">
        <w:trPr>
          <w:trHeight w:val="330"/>
        </w:trPr>
        <w:tc>
          <w:tcPr>
            <w:tcW w:w="488" w:type="dxa"/>
            <w:vAlign w:val="center"/>
            <w:hideMark/>
          </w:tcPr>
          <w:p w14:paraId="408BD0F3" w14:textId="77777777" w:rsidR="00D45D43" w:rsidRPr="00434BB4" w:rsidRDefault="00D45D43" w:rsidP="00BF0F70">
            <w:pPr>
              <w:spacing w:after="0" w:line="240" w:lineRule="auto"/>
              <w:rPr>
                <w:rFonts w:ascii="Arial" w:hAnsi="Arial" w:cs="Arial"/>
                <w:sz w:val="16"/>
                <w:szCs w:val="16"/>
                <w:lang w:val="es-CO" w:eastAsia="es-ES"/>
              </w:rPr>
            </w:pPr>
            <w:r w:rsidRPr="00434BB4">
              <w:rPr>
                <w:rFonts w:ascii="Arial"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DBDD55" w14:textId="154EF338" w:rsidR="00D45D43" w:rsidRPr="00434BB4" w:rsidRDefault="003F267E" w:rsidP="00BF0F70">
            <w:pPr>
              <w:spacing w:after="0" w:line="240" w:lineRule="auto"/>
              <w:rPr>
                <w:rFonts w:ascii="Arial" w:hAnsi="Arial" w:cs="Arial"/>
                <w:sz w:val="16"/>
                <w:szCs w:val="16"/>
                <w:lang w:val="es-CO" w:eastAsia="es-ES"/>
              </w:rPr>
            </w:pPr>
            <w:r w:rsidRPr="00434BB4">
              <w:rPr>
                <w:rFonts w:ascii="Arial" w:hAnsi="Arial" w:cs="Arial"/>
                <w:sz w:val="16"/>
                <w:szCs w:val="16"/>
                <w:lang w:val="es-CO" w:eastAsia="es-ES"/>
              </w:rPr>
              <w:t xml:space="preserve">Sebastián Ramírez Grisales </w:t>
            </w:r>
          </w:p>
          <w:p w14:paraId="63C6E4A9" w14:textId="77777777" w:rsidR="00D45D43" w:rsidRPr="00434BB4" w:rsidRDefault="00D45D43" w:rsidP="00BF0F70">
            <w:pPr>
              <w:spacing w:after="0" w:line="240" w:lineRule="auto"/>
              <w:rPr>
                <w:rFonts w:ascii="Arial" w:hAnsi="Arial" w:cs="Arial"/>
                <w:sz w:val="14"/>
                <w:szCs w:val="14"/>
                <w:lang w:eastAsia="es-ES"/>
              </w:rPr>
            </w:pPr>
            <w:r w:rsidRPr="00434BB4">
              <w:rPr>
                <w:rFonts w:ascii="Arial" w:hAnsi="Arial" w:cs="Arial"/>
                <w:sz w:val="16"/>
                <w:szCs w:val="16"/>
                <w:lang w:val="es-CO" w:eastAsia="es-ES"/>
              </w:rPr>
              <w:t xml:space="preserve">Gestor T1-15 de la Subdirección de Gestión Contractual </w:t>
            </w:r>
          </w:p>
        </w:tc>
      </w:tr>
      <w:tr w:rsidR="00D45D43" w:rsidRPr="00776DC6" w14:paraId="3A3731EA" w14:textId="77777777" w:rsidTr="00296985">
        <w:trPr>
          <w:trHeight w:val="300"/>
        </w:trPr>
        <w:tc>
          <w:tcPr>
            <w:tcW w:w="488" w:type="dxa"/>
            <w:vAlign w:val="center"/>
            <w:hideMark/>
          </w:tcPr>
          <w:p w14:paraId="70945920" w14:textId="77777777" w:rsidR="00D45D43" w:rsidRPr="00434BB4" w:rsidRDefault="00D45D43" w:rsidP="00BF0F70">
            <w:pPr>
              <w:spacing w:after="0" w:line="240" w:lineRule="auto"/>
              <w:rPr>
                <w:rFonts w:ascii="Arial" w:hAnsi="Arial" w:cs="Arial"/>
                <w:sz w:val="16"/>
                <w:szCs w:val="16"/>
                <w:lang w:val="es-CO" w:eastAsia="es-ES"/>
              </w:rPr>
            </w:pPr>
            <w:r w:rsidRPr="00434BB4">
              <w:rPr>
                <w:rFonts w:ascii="Arial"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C5F1EA" w14:textId="77777777" w:rsidR="003F267E" w:rsidRPr="00434BB4" w:rsidRDefault="003F267E" w:rsidP="003F267E">
            <w:pPr>
              <w:spacing w:after="0"/>
              <w:rPr>
                <w:rFonts w:ascii="Arial" w:hAnsi="Arial" w:cs="Arial"/>
                <w:sz w:val="16"/>
                <w:szCs w:val="16"/>
                <w:lang w:val="es-CO" w:eastAsia="es-ES"/>
              </w:rPr>
            </w:pPr>
            <w:r w:rsidRPr="00434BB4">
              <w:rPr>
                <w:rFonts w:ascii="Arial" w:hAnsi="Arial" w:cs="Arial"/>
                <w:sz w:val="16"/>
                <w:szCs w:val="16"/>
                <w:lang w:val="es-CO" w:eastAsia="es-ES"/>
              </w:rPr>
              <w:t>Jorge Augusto Tirado Navarro</w:t>
            </w:r>
          </w:p>
          <w:p w14:paraId="622B826B" w14:textId="6EDE79A5" w:rsidR="00D45D43" w:rsidRPr="00776DC6" w:rsidRDefault="003F267E" w:rsidP="003F267E">
            <w:pPr>
              <w:spacing w:after="0" w:line="240" w:lineRule="auto"/>
              <w:rPr>
                <w:rFonts w:ascii="Arial" w:hAnsi="Arial" w:cs="Arial"/>
                <w:sz w:val="16"/>
                <w:szCs w:val="16"/>
                <w:lang w:val="es-CO" w:eastAsia="es-ES"/>
              </w:rPr>
            </w:pPr>
            <w:r w:rsidRPr="00434BB4">
              <w:rPr>
                <w:rFonts w:ascii="Arial" w:hAnsi="Arial" w:cs="Arial"/>
                <w:sz w:val="16"/>
                <w:szCs w:val="16"/>
                <w:lang w:val="es-CO" w:eastAsia="es-ES"/>
              </w:rPr>
              <w:t>Subdirector de Gestión Contractual ANCP – CCE</w:t>
            </w:r>
          </w:p>
        </w:tc>
      </w:tr>
    </w:tbl>
    <w:p w14:paraId="5F0DA489" w14:textId="7758F027" w:rsidR="00C14ADB" w:rsidRPr="003121C9" w:rsidRDefault="00D45D43" w:rsidP="002C4226">
      <w:pPr>
        <w:spacing w:after="0"/>
        <w:rPr>
          <w:rFonts w:ascii="Arial" w:eastAsia="Times New Roman" w:hAnsi="Arial" w:cs="Arial"/>
          <w:sz w:val="22"/>
          <w:lang w:val="es-CO" w:eastAsia="es-CO"/>
        </w:rPr>
      </w:pPr>
      <w:r w:rsidRPr="00776DC6">
        <w:rPr>
          <w:rFonts w:ascii="Arial" w:hAnsi="Arial" w:cs="Arial"/>
          <w:noProof/>
          <w:sz w:val="22"/>
          <w:lang w:val="es-CO" w:eastAsia="es-CO"/>
        </w:rPr>
        <mc:AlternateContent>
          <mc:Choice Requires="wps">
            <w:drawing>
              <wp:anchor distT="0" distB="0" distL="114300" distR="114300" simplePos="0" relativeHeight="251659264" behindDoc="0" locked="0" layoutInCell="1" allowOverlap="1" wp14:anchorId="250721BB" wp14:editId="1DA5DB94">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46CE51F"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bookmarkEnd w:id="18"/>
    </w:p>
    <w:sectPr w:rsidR="00C14ADB" w:rsidRPr="003121C9" w:rsidSect="00FE0395">
      <w:headerReference w:type="default" r:id="rId13"/>
      <w:footerReference w:type="default" r:id="rId14"/>
      <w:pgSz w:w="12240" w:h="15840"/>
      <w:pgMar w:top="411"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D506D" w14:textId="77777777" w:rsidR="0039684E" w:rsidRDefault="0039684E" w:rsidP="00D45D43">
      <w:pPr>
        <w:spacing w:after="0" w:line="240" w:lineRule="auto"/>
      </w:pPr>
      <w:r>
        <w:separator/>
      </w:r>
    </w:p>
  </w:endnote>
  <w:endnote w:type="continuationSeparator" w:id="0">
    <w:p w14:paraId="30BB17BE" w14:textId="77777777" w:rsidR="0039684E" w:rsidRDefault="0039684E" w:rsidP="00D4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_ÁÆÊò">
    <w:altName w:val="Calibri"/>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41C0" w14:textId="77777777" w:rsidR="00412132" w:rsidRDefault="0039684E" w:rsidP="00B6444C">
    <w:pPr>
      <w:pStyle w:val="Sinespaciado"/>
      <w:rPr>
        <w:rFonts w:ascii="Arial" w:hAnsi="Arial" w:cs="Arial"/>
        <w:sz w:val="18"/>
        <w:szCs w:val="18"/>
      </w:rPr>
    </w:pPr>
  </w:p>
  <w:p w14:paraId="781D3A30" w14:textId="77777777" w:rsidR="00412132" w:rsidRDefault="0039684E" w:rsidP="00B6444C">
    <w:pPr>
      <w:pStyle w:val="Sinespaciado"/>
      <w:rPr>
        <w:rFonts w:ascii="Arial" w:hAnsi="Arial" w:cs="Arial"/>
        <w:sz w:val="18"/>
        <w:szCs w:val="18"/>
      </w:rPr>
    </w:pPr>
  </w:p>
  <w:p w14:paraId="144E42AB" w14:textId="77777777" w:rsidR="00412132" w:rsidRPr="005A79FE" w:rsidRDefault="00367C5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19605E15" w14:textId="77777777" w:rsidR="00412132" w:rsidRDefault="00367C52" w:rsidP="007B0854">
    <w:pPr>
      <w:pStyle w:val="Piedepgina"/>
      <w:jc w:val="center"/>
      <w:rPr>
        <w:lang w:val="es-ES"/>
      </w:rPr>
    </w:pPr>
    <w:r>
      <w:rPr>
        <w:noProof/>
        <w:lang w:val="es-CO" w:eastAsia="es-CO"/>
      </w:rPr>
      <w:drawing>
        <wp:inline distT="0" distB="0" distL="0" distR="0" wp14:anchorId="2669E843" wp14:editId="480006B7">
          <wp:extent cx="4241994" cy="595165"/>
          <wp:effectExtent l="0" t="0" r="6350" b="0"/>
          <wp:docPr id="1833779586" name="Imagen 1833779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1061BCE" w14:textId="77777777" w:rsidR="00412132" w:rsidRDefault="0039684E" w:rsidP="007B0854">
    <w:pPr>
      <w:pStyle w:val="Piedepgina"/>
      <w:jc w:val="center"/>
      <w:rPr>
        <w:lang w:val="es-ES"/>
      </w:rPr>
    </w:pPr>
  </w:p>
  <w:p w14:paraId="02656EF4" w14:textId="77777777" w:rsidR="00412132" w:rsidRPr="007B0854" w:rsidRDefault="0039684E"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01A0" w14:textId="77777777" w:rsidR="0039684E" w:rsidRDefault="0039684E" w:rsidP="00D45D43">
      <w:pPr>
        <w:spacing w:after="0" w:line="240" w:lineRule="auto"/>
      </w:pPr>
      <w:r>
        <w:separator/>
      </w:r>
    </w:p>
  </w:footnote>
  <w:footnote w:type="continuationSeparator" w:id="0">
    <w:p w14:paraId="472E5603" w14:textId="77777777" w:rsidR="0039684E" w:rsidRDefault="0039684E" w:rsidP="00D45D43">
      <w:pPr>
        <w:spacing w:after="0" w:line="240" w:lineRule="auto"/>
      </w:pPr>
      <w:r>
        <w:continuationSeparator/>
      </w:r>
    </w:p>
  </w:footnote>
  <w:footnote w:id="1">
    <w:p w14:paraId="017EAC5C"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lang w:val="es-ES"/>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w:t>
      </w:r>
      <w:r w:rsidRPr="008E1C63">
        <w:rPr>
          <w:rFonts w:ascii="Arial" w:hAnsi="Arial" w:cs="Arial"/>
          <w:color w:val="000000" w:themeColor="text1"/>
          <w:sz w:val="19"/>
          <w:szCs w:val="19"/>
          <w:lang w:val="es-ES"/>
        </w:rPr>
        <w:t>Artículos 2 al 29.</w:t>
      </w:r>
    </w:p>
    <w:p w14:paraId="73A6EEDB"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lang w:val="es-ES"/>
        </w:rPr>
      </w:pPr>
    </w:p>
  </w:footnote>
  <w:footnote w:id="2">
    <w:p w14:paraId="6626328E"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lang w:val="es-ES"/>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w:t>
      </w:r>
      <w:r w:rsidRPr="008E1C63">
        <w:rPr>
          <w:rFonts w:ascii="Arial" w:hAnsi="Arial" w:cs="Arial"/>
          <w:color w:val="000000" w:themeColor="text1"/>
          <w:sz w:val="19"/>
          <w:szCs w:val="19"/>
          <w:lang w:val="es-ES"/>
        </w:rPr>
        <w:t>Artículos 30 al 36.</w:t>
      </w:r>
    </w:p>
    <w:p w14:paraId="626E65A6"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lang w:val="es-ES"/>
        </w:rPr>
      </w:pPr>
    </w:p>
  </w:footnote>
  <w:footnote w:id="3">
    <w:p w14:paraId="403E7901"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lang w:val="es-ES"/>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w:t>
      </w:r>
      <w:r w:rsidRPr="008E1C63">
        <w:rPr>
          <w:rFonts w:ascii="Arial" w:hAnsi="Arial" w:cs="Arial"/>
          <w:color w:val="000000" w:themeColor="text1"/>
          <w:sz w:val="19"/>
          <w:szCs w:val="19"/>
          <w:lang w:val="es-ES"/>
        </w:rPr>
        <w:t>Artículos 37 al 45.</w:t>
      </w:r>
    </w:p>
    <w:p w14:paraId="37B50430"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lang w:val="es-ES"/>
        </w:rPr>
      </w:pPr>
    </w:p>
  </w:footnote>
  <w:footnote w:id="4">
    <w:p w14:paraId="366E83B3"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lang w:val="es-ES"/>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w:t>
      </w:r>
      <w:r w:rsidRPr="008E1C63">
        <w:rPr>
          <w:rFonts w:ascii="Arial" w:hAnsi="Arial" w:cs="Arial"/>
          <w:color w:val="000000" w:themeColor="text1"/>
          <w:sz w:val="19"/>
          <w:szCs w:val="19"/>
          <w:lang w:val="es-ES"/>
        </w:rPr>
        <w:t>Artículos 46 al 73.</w:t>
      </w:r>
    </w:p>
    <w:p w14:paraId="48BF30D6"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lang w:val="es-ES"/>
        </w:rPr>
      </w:pPr>
    </w:p>
  </w:footnote>
  <w:footnote w:id="5">
    <w:p w14:paraId="69C14E2B"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lang w:val="es-ES"/>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w:t>
      </w:r>
      <w:r w:rsidRPr="008E1C63">
        <w:rPr>
          <w:rFonts w:ascii="Arial" w:hAnsi="Arial" w:cs="Arial"/>
          <w:color w:val="000000" w:themeColor="text1"/>
          <w:sz w:val="19"/>
          <w:szCs w:val="19"/>
          <w:lang w:val="es-ES"/>
        </w:rPr>
        <w:t>Artículos 74 al 83.</w:t>
      </w:r>
    </w:p>
    <w:p w14:paraId="37E0ABF3"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lang w:val="es-ES"/>
        </w:rPr>
      </w:pPr>
    </w:p>
  </w:footnote>
  <w:footnote w:id="6">
    <w:p w14:paraId="41316B6F" w14:textId="27031493" w:rsidR="00D14890" w:rsidRPr="008E1C63" w:rsidRDefault="00D14890" w:rsidP="00455B90">
      <w:pPr>
        <w:pStyle w:val="Textonotapie"/>
        <w:spacing w:after="0" w:line="240" w:lineRule="auto"/>
        <w:ind w:firstLine="709"/>
        <w:rPr>
          <w:rFonts w:ascii="Arial" w:hAnsi="Arial" w:cs="Arial"/>
          <w:color w:val="000000" w:themeColor="text1"/>
          <w:sz w:val="19"/>
          <w:szCs w:val="19"/>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w:t>
      </w:r>
      <w:r w:rsidRPr="008E1C63">
        <w:rPr>
          <w:rFonts w:ascii="Arial" w:hAnsi="Arial" w:cs="Arial"/>
          <w:bCs/>
          <w:color w:val="000000" w:themeColor="text1"/>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8E1C63">
        <w:rPr>
          <w:rFonts w:ascii="Arial" w:hAnsi="Arial" w:cs="Arial"/>
          <w:color w:val="000000" w:themeColor="text1"/>
          <w:sz w:val="19"/>
          <w:szCs w:val="19"/>
        </w:rPr>
        <w:t xml:space="preserve">CONSEJO NACIONAL DE POLÍTICA ECONÓMICA Y SOCIAL. Documento 3956 del 8 de enero de 2019: «Política de formalización empresarial». Archivo consultado el 8 de febrero de 2021 en la página web </w:t>
      </w:r>
      <w:hyperlink r:id="rId1" w:history="1">
        <w:r w:rsidRPr="008E1C63">
          <w:rPr>
            <w:rStyle w:val="Hipervnculo"/>
            <w:rFonts w:ascii="Arial" w:hAnsi="Arial" w:cs="Arial"/>
            <w:color w:val="000000" w:themeColor="text1"/>
            <w:sz w:val="19"/>
            <w:szCs w:val="19"/>
          </w:rPr>
          <w:t>https://colaboracion.dnp.gov.co/CDT/Conpes/Econ%C3%B3micos/3956.pdf</w:t>
        </w:r>
      </w:hyperlink>
      <w:r w:rsidRPr="008E1C63">
        <w:rPr>
          <w:rFonts w:ascii="Arial" w:hAnsi="Arial" w:cs="Arial"/>
          <w:color w:val="000000" w:themeColor="text1"/>
          <w:sz w:val="19"/>
          <w:szCs w:val="19"/>
        </w:rPr>
        <w:t>).</w:t>
      </w:r>
      <w:r w:rsidR="006D7173" w:rsidRPr="00455B90">
        <w:rPr>
          <w:rFonts w:ascii="Arial" w:hAnsi="Arial" w:cs="Arial"/>
          <w:color w:val="000000" w:themeColor="text1"/>
          <w:sz w:val="19"/>
          <w:szCs w:val="19"/>
        </w:rPr>
        <w:t xml:space="preserve"> </w:t>
      </w:r>
    </w:p>
    <w:p w14:paraId="4986ADF7" w14:textId="77777777" w:rsidR="00825B5C" w:rsidRPr="008E1C63" w:rsidRDefault="00825B5C" w:rsidP="00455B90">
      <w:pPr>
        <w:pStyle w:val="Textonotapie"/>
        <w:spacing w:after="0" w:line="240" w:lineRule="auto"/>
        <w:ind w:firstLine="709"/>
        <w:rPr>
          <w:rFonts w:ascii="Arial" w:hAnsi="Arial" w:cs="Arial"/>
          <w:color w:val="000000" w:themeColor="text1"/>
          <w:sz w:val="19"/>
          <w:szCs w:val="19"/>
          <w:lang w:val="es-ES"/>
        </w:rPr>
      </w:pPr>
    </w:p>
  </w:footnote>
  <w:footnote w:id="7">
    <w:p w14:paraId="1FF35938"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lang w:val="es-ES"/>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CONGRESO DE LA REPÚBLICA. Gaceta No. 670 del 11 de agosto de 2020. Exposición de motivos del Proyecto de Ley No. 122 de 2020 Cámara. p. 13. </w:t>
      </w:r>
    </w:p>
  </w:footnote>
  <w:footnote w:id="8">
    <w:p w14:paraId="55B26F4B" w14:textId="3C390266" w:rsidR="00D14890" w:rsidRPr="008E1C63" w:rsidRDefault="00D14890" w:rsidP="00455B90">
      <w:pPr>
        <w:pStyle w:val="Textonotapie"/>
        <w:spacing w:after="0" w:line="240" w:lineRule="auto"/>
        <w:ind w:firstLine="709"/>
        <w:rPr>
          <w:rFonts w:ascii="Arial" w:hAnsi="Arial" w:cs="Arial"/>
          <w:color w:val="000000" w:themeColor="text1"/>
          <w:sz w:val="19"/>
          <w:szCs w:val="19"/>
          <w:lang w:val="es-ES"/>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El artículo 189.11 de la Constitución Política de 1991 dispone que corresponde al Presidente de la República «Ejercer la potestad reglamentaria, mediante la expedición de los decretos, resoluciones y órdenes necesarios para la cumplida ejecución de las leyes».</w:t>
      </w:r>
      <w:r w:rsidR="006D7173" w:rsidRPr="00455B90">
        <w:rPr>
          <w:rFonts w:ascii="Arial" w:hAnsi="Arial" w:cs="Arial"/>
          <w:color w:val="000000" w:themeColor="text1"/>
          <w:sz w:val="19"/>
          <w:szCs w:val="19"/>
        </w:rPr>
        <w:t xml:space="preserve"> </w:t>
      </w:r>
    </w:p>
  </w:footnote>
  <w:footnote w:id="9">
    <w:p w14:paraId="396461B2" w14:textId="721DE954" w:rsidR="00D14890" w:rsidRPr="008E1C63" w:rsidRDefault="00D14890" w:rsidP="00455B90">
      <w:pPr>
        <w:pStyle w:val="Textonotapie"/>
        <w:spacing w:after="0" w:line="240" w:lineRule="auto"/>
        <w:ind w:firstLine="709"/>
        <w:rPr>
          <w:rFonts w:ascii="Arial" w:hAnsi="Arial" w:cs="Arial"/>
          <w:color w:val="000000" w:themeColor="text1"/>
          <w:sz w:val="19"/>
          <w:szCs w:val="19"/>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No en vano, la Corte Constitucional explica que estos casos la potestad reglamentaria «[…] puede ejercerse por [el Gobierno Nacional]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 Tal mandato del legislador no impide que el Presidente expida la reglamentación antes del término previsto, ni lo inhabilita para el ejercicio de la potestad reglamentaria vencido ese plazo. Tampoco implica que expedida una reglamentación dentro del plazo fijado por el legislador el Presidente pierda competencia para expedir nuevos reglamentos o para modificar, adicionar o derogar sus propios reglamentos. </w:t>
      </w:r>
      <w:r w:rsidRPr="008E1C63">
        <w:rPr>
          <w:rFonts w:ascii="Arial" w:hAnsi="Arial" w:cs="Arial"/>
          <w:i/>
          <w:iCs/>
          <w:color w:val="000000" w:themeColor="text1"/>
          <w:sz w:val="19"/>
          <w:szCs w:val="19"/>
        </w:rPr>
        <w:t>La única consecuencia normativa del término establecido por el legislador es la de imponerle al Presidente de la República el deber de reglamentar la ley dentro de dicho plazo</w:t>
      </w:r>
      <w:r w:rsidRPr="008E1C63">
        <w:rPr>
          <w:rFonts w:ascii="Arial" w:hAnsi="Arial" w:cs="Arial"/>
          <w:color w:val="000000" w:themeColor="text1"/>
          <w:sz w:val="19"/>
          <w:szCs w:val="19"/>
        </w:rPr>
        <w:t>» (CORTE CONSTITUCIONAL. Sentencia C-805 de 2001. M.P. Rodrigo Escobar Gil. Corchetes y énfasis fuera de texto).</w:t>
      </w:r>
      <w:r w:rsidR="006D7173" w:rsidRPr="00455B90">
        <w:rPr>
          <w:rFonts w:ascii="Arial" w:hAnsi="Arial" w:cs="Arial"/>
          <w:color w:val="000000" w:themeColor="text1"/>
          <w:sz w:val="19"/>
          <w:szCs w:val="19"/>
        </w:rPr>
        <w:t xml:space="preserve"> </w:t>
      </w:r>
    </w:p>
    <w:p w14:paraId="5B04AE26"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lang w:val="es-ES"/>
        </w:rPr>
      </w:pPr>
    </w:p>
  </w:footnote>
  <w:footnote w:id="10">
    <w:p w14:paraId="5D99C264" w14:textId="008D3966" w:rsidR="00D14890" w:rsidRPr="008E1C63" w:rsidRDefault="00D14890" w:rsidP="00455B90">
      <w:pPr>
        <w:pStyle w:val="Textonotapie"/>
        <w:spacing w:after="0" w:line="240" w:lineRule="auto"/>
        <w:ind w:firstLine="709"/>
        <w:rPr>
          <w:rFonts w:ascii="Arial" w:hAnsi="Arial" w:cs="Arial"/>
          <w:color w:val="000000" w:themeColor="text1"/>
          <w:sz w:val="19"/>
          <w:szCs w:val="19"/>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GUASTINI, Riccardo. Interpretar y argumentar. Madrid: Centro de Estudios Políticos y Constitucionales, 2014. p. 145. El autor también propone los siguientes ejemplos de </w:t>
      </w:r>
      <w:r w:rsidRPr="008E1C63">
        <w:rPr>
          <w:rFonts w:ascii="Arial" w:hAnsi="Arial" w:cs="Arial"/>
          <w:i/>
          <w:iCs/>
          <w:color w:val="000000" w:themeColor="text1"/>
          <w:sz w:val="19"/>
          <w:szCs w:val="19"/>
        </w:rPr>
        <w:t>lagunas técnicas</w:t>
      </w:r>
      <w:r w:rsidRPr="008E1C63">
        <w:rPr>
          <w:rFonts w:ascii="Arial" w:hAnsi="Arial" w:cs="Arial"/>
          <w:color w:val="000000" w:themeColor="text1"/>
          <w:sz w:val="19"/>
          <w:szCs w:val="19"/>
        </w:rPr>
        <w:t>: «[…] una norma prescribe la periódica convocatoria de un órgano; pero ninguna norma determina qué sujeto es el competente para convocarlo; una norma instituye cierto órgano electivo, pero ninguna norma establece qué sistema electoral debe adoptarse; una norma recomienda perseguir cierto fin, pero ninguna norma establece qué medios deben utilizarse; etc.» (</w:t>
      </w:r>
      <w:r w:rsidRPr="008E1C63">
        <w:rPr>
          <w:rFonts w:ascii="Arial" w:hAnsi="Arial" w:cs="Arial"/>
          <w:i/>
          <w:iCs/>
          <w:color w:val="000000" w:themeColor="text1"/>
          <w:sz w:val="19"/>
          <w:szCs w:val="19"/>
        </w:rPr>
        <w:t>Ibidem</w:t>
      </w:r>
      <w:r w:rsidRPr="008E1C63">
        <w:rPr>
          <w:rFonts w:ascii="Arial" w:hAnsi="Arial" w:cs="Arial"/>
          <w:color w:val="000000" w:themeColor="text1"/>
          <w:sz w:val="19"/>
          <w:szCs w:val="19"/>
        </w:rPr>
        <w:t>).</w:t>
      </w:r>
      <w:r w:rsidR="006D7173" w:rsidRPr="00455B90">
        <w:rPr>
          <w:rFonts w:ascii="Arial" w:hAnsi="Arial" w:cs="Arial"/>
          <w:color w:val="000000" w:themeColor="text1"/>
          <w:sz w:val="19"/>
          <w:szCs w:val="19"/>
        </w:rPr>
        <w:t xml:space="preserve"> </w:t>
      </w:r>
    </w:p>
    <w:p w14:paraId="6EC36751"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rPr>
      </w:pPr>
    </w:p>
  </w:footnote>
  <w:footnote w:id="11">
    <w:p w14:paraId="595F8B54" w14:textId="44DFB786" w:rsidR="00D14890" w:rsidRPr="008E1C63" w:rsidRDefault="00D14890" w:rsidP="00455B90">
      <w:pPr>
        <w:spacing w:after="0" w:line="240" w:lineRule="auto"/>
        <w:ind w:firstLine="709"/>
        <w:rPr>
          <w:rFonts w:ascii="Arial" w:hAnsi="Arial" w:cs="Arial"/>
          <w:color w:val="000000" w:themeColor="text1"/>
          <w:sz w:val="19"/>
          <w:szCs w:val="19"/>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El parágrafo 2 de la norma citada disponía que «El Gobierno nacional reglamentará el procedimiento de la cesión del contrato de que trata este artículo, en término no mayor a seis (6) meses». No obstante, conforme al comunicado de prensa del 25 de febrero de 2021, la norma fue declarada inexequible por la Corte Constitucional. Para estos efectos, «[…] la Corte consideró inexequible la atribución de facultades reglamentarias para el propósito de señalar cómo y a quién se va a ceder el contrato, pues tales asuntos deben ser definidos directamente por la ley […]». Por lo demás, «[…] Aclaró que la potestad reglamentaria opera solamente después de esta determinación legislativa» (Cfr. </w:t>
      </w:r>
      <w:hyperlink r:id="rId2" w:history="1">
        <w:r w:rsidRPr="008E1C63">
          <w:rPr>
            <w:rStyle w:val="Hipervnculo"/>
            <w:rFonts w:ascii="Arial" w:hAnsi="Arial" w:cs="Arial"/>
            <w:color w:val="000000" w:themeColor="text1"/>
            <w:sz w:val="19"/>
            <w:szCs w:val="19"/>
          </w:rPr>
          <w:t>https://www.beltranpardo.com/wp-content/uploads/2021/02/CorteConstitucional_Inexequibilidadpar%C3%A1grafo2Art6L2014.pdf</w:t>
        </w:r>
      </w:hyperlink>
      <w:r w:rsidRPr="008E1C63">
        <w:rPr>
          <w:rFonts w:ascii="Arial" w:hAnsi="Arial" w:cs="Arial"/>
          <w:color w:val="000000" w:themeColor="text1"/>
          <w:sz w:val="19"/>
          <w:szCs w:val="19"/>
        </w:rPr>
        <w:t>).</w:t>
      </w:r>
      <w:r w:rsidR="006D7173" w:rsidRPr="00455B90">
        <w:rPr>
          <w:rFonts w:ascii="Arial" w:hAnsi="Arial" w:cs="Arial"/>
          <w:color w:val="000000" w:themeColor="text1"/>
          <w:sz w:val="19"/>
          <w:szCs w:val="19"/>
        </w:rPr>
        <w:t xml:space="preserve"> </w:t>
      </w:r>
    </w:p>
    <w:p w14:paraId="41710DED"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lang w:val="es-ES"/>
        </w:rPr>
      </w:pPr>
    </w:p>
  </w:footnote>
  <w:footnote w:id="12">
    <w:p w14:paraId="293012F8" w14:textId="65ADF1E6" w:rsidR="00D14890" w:rsidRPr="008E1C63" w:rsidRDefault="00D14890" w:rsidP="00455B90">
      <w:pPr>
        <w:pStyle w:val="Textonotapie"/>
        <w:spacing w:after="0" w:line="240" w:lineRule="auto"/>
        <w:ind w:firstLine="709"/>
        <w:rPr>
          <w:rFonts w:ascii="Arial" w:hAnsi="Arial" w:cs="Arial"/>
          <w:color w:val="000000" w:themeColor="text1"/>
          <w:sz w:val="19"/>
          <w:szCs w:val="19"/>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Cfr. CORTE CONSTITUCIONAL. Sentencia C-619 del 14 de junio de 2001. M.P. Marco Gerardo Monroy Cabra. </w:t>
      </w:r>
    </w:p>
    <w:p w14:paraId="5D25E223"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lang w:val="es-ES"/>
        </w:rPr>
      </w:pPr>
    </w:p>
  </w:footnote>
  <w:footnote w:id="13">
    <w:p w14:paraId="34546DB7" w14:textId="559075BB" w:rsidR="00D14890" w:rsidRPr="008E1C63" w:rsidRDefault="00D14890" w:rsidP="00455B90">
      <w:pPr>
        <w:pStyle w:val="Textonotapie"/>
        <w:spacing w:after="0" w:line="240" w:lineRule="auto"/>
        <w:ind w:firstLine="709"/>
        <w:rPr>
          <w:rFonts w:ascii="Arial" w:hAnsi="Arial" w:cs="Arial"/>
          <w:color w:val="000000" w:themeColor="text1"/>
          <w:sz w:val="19"/>
          <w:szCs w:val="19"/>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CONSEJO DE ESTADO. Sección Tercera. Auto de 1 de abril de 2009. Exp. 36476. M.P. Ruth Stella Correa Palacio.</w:t>
      </w:r>
      <w:r w:rsidR="006D7173" w:rsidRPr="00455B90">
        <w:rPr>
          <w:rFonts w:ascii="Arial" w:hAnsi="Arial" w:cs="Arial"/>
          <w:color w:val="000000" w:themeColor="text1"/>
          <w:sz w:val="19"/>
          <w:szCs w:val="19"/>
        </w:rPr>
        <w:t xml:space="preserve"> </w:t>
      </w:r>
    </w:p>
    <w:p w14:paraId="2601D31C"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rPr>
      </w:pPr>
    </w:p>
  </w:footnote>
  <w:footnote w:id="14">
    <w:p w14:paraId="2F0C938B" w14:textId="25A89BA1" w:rsidR="00D14890" w:rsidRPr="008E1C63" w:rsidRDefault="00D14890" w:rsidP="00455B90">
      <w:pPr>
        <w:pStyle w:val="Textonotapie"/>
        <w:spacing w:after="0" w:line="240" w:lineRule="auto"/>
        <w:ind w:firstLine="709"/>
        <w:rPr>
          <w:rFonts w:ascii="Arial" w:hAnsi="Arial" w:cs="Arial"/>
          <w:color w:val="000000" w:themeColor="text1"/>
          <w:sz w:val="19"/>
          <w:szCs w:val="19"/>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CONGRESO DE LA REPÚBLICA. Gaceta No. 670 del 11 de agosto de 2020. Exposición de motivos del Proyecto de Ley No. 122 de 2020 Cámara. pp. 3-4.</w:t>
      </w:r>
    </w:p>
    <w:p w14:paraId="50672549" w14:textId="77777777" w:rsidR="00A854F3" w:rsidRPr="008E1C63" w:rsidRDefault="00A854F3" w:rsidP="00455B90">
      <w:pPr>
        <w:pStyle w:val="Textonotapie"/>
        <w:spacing w:after="0" w:line="240" w:lineRule="auto"/>
        <w:ind w:firstLine="709"/>
        <w:rPr>
          <w:rFonts w:ascii="Arial" w:hAnsi="Arial" w:cs="Arial"/>
          <w:color w:val="000000" w:themeColor="text1"/>
          <w:sz w:val="19"/>
          <w:szCs w:val="19"/>
          <w:lang w:val="es-ES"/>
        </w:rPr>
      </w:pPr>
    </w:p>
  </w:footnote>
  <w:footnote w:id="15">
    <w:p w14:paraId="10850215"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MARÍN CORTÉS, Fabián Gonzalo. El reglamento, como fuente del derecho administrativo. En: las fuentes del derecho administrativo. Texto inédito. p. 203.</w:t>
      </w:r>
    </w:p>
    <w:p w14:paraId="59AD9726"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lang w:val="es-ES"/>
        </w:rPr>
      </w:pPr>
    </w:p>
  </w:footnote>
  <w:footnote w:id="16">
    <w:p w14:paraId="738C7D7E"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lang w:val="es-ES"/>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w:t>
      </w:r>
      <w:r w:rsidRPr="008E1C63">
        <w:rPr>
          <w:rFonts w:ascii="Arial" w:hAnsi="Arial" w:cs="Arial"/>
          <w:i/>
          <w:iCs/>
          <w:color w:val="000000" w:themeColor="text1"/>
          <w:sz w:val="19"/>
          <w:szCs w:val="19"/>
        </w:rPr>
        <w:t>Ibidem</w:t>
      </w:r>
      <w:r w:rsidRPr="008E1C63">
        <w:rPr>
          <w:rFonts w:ascii="Arial" w:hAnsi="Arial" w:cs="Arial"/>
          <w:color w:val="000000" w:themeColor="text1"/>
          <w:sz w:val="19"/>
          <w:szCs w:val="19"/>
        </w:rPr>
        <w:t>.</w:t>
      </w:r>
    </w:p>
  </w:footnote>
  <w:footnote w:id="17">
    <w:p w14:paraId="51D121FA" w14:textId="119BB300" w:rsidR="000D7279" w:rsidRPr="008E1C63" w:rsidRDefault="000D7279" w:rsidP="008E1C63">
      <w:pPr>
        <w:pStyle w:val="Textonotapie"/>
        <w:spacing w:after="0" w:line="240" w:lineRule="auto"/>
        <w:ind w:firstLine="708"/>
        <w:rPr>
          <w:rFonts w:ascii="Arial" w:hAnsi="Arial" w:cs="Arial"/>
          <w:sz w:val="19"/>
          <w:szCs w:val="19"/>
        </w:rPr>
      </w:pPr>
      <w:r w:rsidRPr="008E1C63">
        <w:rPr>
          <w:rStyle w:val="Refdenotaalpie"/>
          <w:rFonts w:ascii="Arial" w:hAnsi="Arial" w:cs="Arial"/>
          <w:sz w:val="19"/>
          <w:szCs w:val="19"/>
        </w:rPr>
        <w:footnoteRef/>
      </w:r>
      <w:r w:rsidRPr="008E1C63">
        <w:rPr>
          <w:rFonts w:ascii="Arial" w:hAnsi="Arial" w:cs="Arial"/>
          <w:sz w:val="19"/>
          <w:szCs w:val="19"/>
        </w:rPr>
        <w:t xml:space="preserve"> En concreto, se hace referencia a los Conceptos </w:t>
      </w:r>
      <w:r w:rsidR="00043EF1" w:rsidRPr="008E1C63">
        <w:rPr>
          <w:rFonts w:ascii="Arial" w:eastAsia="Calibri" w:hAnsi="Arial" w:cs="Arial"/>
          <w:bCs/>
          <w:color w:val="000000" w:themeColor="text1"/>
          <w:sz w:val="19"/>
          <w:szCs w:val="19"/>
          <w:lang w:val="es-ES_tradnl"/>
        </w:rPr>
        <w:t>C-005 del 16 de febrero de 2021, C-037 del 26 de febrero de 2021, C-035 del 02 de marzo de 2021, C-126 del 06 de abril de 2021, C-127 del 06 de abril de 2021, C-144 del 07 de abril de 2021, C-141 del 08 de abril de 2021, C-163 y C-164 del 19 de abril de 2021, C-242 del 25 de mayo de 2021, C-496 del 14 de septiembre de 2021 y C-573 de 13 de octubre de 2021.</w:t>
      </w:r>
    </w:p>
  </w:footnote>
  <w:footnote w:id="18">
    <w:p w14:paraId="6FB7522B"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Al respecto, la jurisprudencia explica que «[…] los contratos sin formalidades plenas no están previstos por la legislación nacional, pues […] el parágrafo del artículo 39 de la Ley 80 de 1993 fue derogado por el artículo 32 de la Ley 1150 de 2007. Ahora se les denomina contratos de mínima cuantía y se encuentran regulados por los artículos 2 de la Ley 1150 de 2007 y 94 de la Ley 1474 de 2011 […];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 (CONSEJO DE ESTADO. Sección Tercera. Subsección A. Sentencia del 3 de octubre de 2012. Exp. 26.140. C.P. Carlos Alberto Zambrano Barrera).</w:t>
      </w:r>
    </w:p>
    <w:p w14:paraId="66D81E26"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lang w:val="es-ES"/>
        </w:rPr>
      </w:pPr>
    </w:p>
  </w:footnote>
  <w:footnote w:id="19">
    <w:p w14:paraId="0C09929E"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w:t>
      </w:r>
      <w:r w:rsidRPr="008E1C63">
        <w:rPr>
          <w:rFonts w:ascii="Arial" w:hAnsi="Arial" w:cs="Arial"/>
          <w:color w:val="000000" w:themeColor="text1"/>
          <w:sz w:val="19"/>
          <w:szCs w:val="19"/>
        </w:rPr>
        <w:t>Ambas normas disponen lo siguiente: «5) Contratación mínima cuantía. La contratación cuyo valor no excede del 10 por ciento de la menor cuantía de la entidad independientemente de su objeto, se efectuará de conformidad con las siguientes reglas:</w:t>
      </w:r>
    </w:p>
    <w:p w14:paraId="664A5FB5"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rPr>
      </w:pPr>
      <w:r w:rsidRPr="008E1C63">
        <w:rPr>
          <w:rFonts w:ascii="Arial" w:hAnsi="Arial" w:cs="Arial"/>
          <w:color w:val="000000" w:themeColor="text1"/>
          <w:sz w:val="19"/>
          <w:szCs w:val="19"/>
        </w:rPr>
        <w:t>»a) Se publicará una invitación, por un término no inferior a un día hábil, en la cual se señalará el objeto a contratar, el presupuesto destinado para tal fin, así como las condiciones técnicas exigidas;</w:t>
      </w:r>
    </w:p>
    <w:p w14:paraId="4E469851"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rPr>
      </w:pPr>
      <w:r w:rsidRPr="008E1C63">
        <w:rPr>
          <w:rFonts w:ascii="Arial" w:hAnsi="Arial" w:cs="Arial"/>
          <w:color w:val="000000" w:themeColor="text1"/>
          <w:sz w:val="19"/>
          <w:szCs w:val="19"/>
        </w:rPr>
        <w:t>»b) El término previsto en la invitación para presentar la oferta no podrá ser inferior a un día hábil;</w:t>
      </w:r>
    </w:p>
    <w:p w14:paraId="054E350B"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rPr>
      </w:pPr>
      <w:r w:rsidRPr="008E1C63">
        <w:rPr>
          <w:rFonts w:ascii="Arial" w:hAnsi="Arial" w:cs="Arial"/>
          <w:color w:val="000000" w:themeColor="text1"/>
          <w:sz w:val="19"/>
          <w:szCs w:val="19"/>
        </w:rPr>
        <w:t>»c) La entidad seleccionará, mediante comunicación de aceptación de la oferta, la propuesta con el menor precio, siempre y cuando cumpla con las condiciones exigidas;</w:t>
      </w:r>
    </w:p>
    <w:p w14:paraId="2455A3C4"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lang w:val="es-ES"/>
        </w:rPr>
      </w:pPr>
      <w:r w:rsidRPr="008E1C63">
        <w:rPr>
          <w:rFonts w:ascii="Arial" w:hAnsi="Arial" w:cs="Arial"/>
          <w:color w:val="000000" w:themeColor="text1"/>
          <w:sz w:val="19"/>
          <w:szCs w:val="19"/>
        </w:rPr>
        <w:t>»d) La comunicación de aceptación junto con la oferta constituye para todos los efectos el contrato celebrado, con base en lo cual se efectuará el respectivo registro presupuestal».</w:t>
      </w:r>
    </w:p>
  </w:footnote>
  <w:footnote w:id="20">
    <w:p w14:paraId="04785599"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lang w:val="es-ES"/>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w:t>
      </w:r>
      <w:r w:rsidRPr="008E1C63">
        <w:rPr>
          <w:rFonts w:ascii="Arial" w:hAnsi="Arial" w:cs="Arial"/>
          <w:color w:val="000000" w:themeColor="text1"/>
          <w:sz w:val="19"/>
          <w:szCs w:val="19"/>
        </w:rPr>
        <w:t>BENAVIDES, José Luis. La potestad reglamentaria en la contratación pública. En: Contratos públicos: Estudios. Bogotá: Universidad Externado de Colombia, 2014. p. 174.</w:t>
      </w:r>
    </w:p>
  </w:footnote>
  <w:footnote w:id="21">
    <w:p w14:paraId="17787553"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w:t>
      </w:r>
      <w:r w:rsidRPr="008E1C63">
        <w:rPr>
          <w:rFonts w:ascii="Arial" w:hAnsi="Arial" w:cs="Arial"/>
          <w:color w:val="000000" w:themeColor="text1"/>
          <w:sz w:val="19"/>
          <w:szCs w:val="19"/>
        </w:rPr>
        <w:t>Esta norma dispone que los actos administrativos no pueden ejecutarse «Cuando desaparezcan sus fundamentos de hecho o de derecho».</w:t>
      </w:r>
    </w:p>
  </w:footnote>
  <w:footnote w:id="22">
    <w:p w14:paraId="0339A11C"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w:t>
      </w:r>
      <w:r w:rsidRPr="008E1C63">
        <w:rPr>
          <w:rFonts w:ascii="Arial" w:hAnsi="Arial" w:cs="Arial"/>
          <w:color w:val="000000" w:themeColor="text1"/>
          <w:sz w:val="19"/>
          <w:szCs w:val="19"/>
        </w:rPr>
        <w:t xml:space="preserve">En los demás incisos, ambas normas tienen una redacción similar cuando prescriben que: «De igual forma, en los pliegos de condiciones </w:t>
      </w:r>
      <w:bookmarkStart w:id="12" w:name="_Hlk63844516"/>
      <w:r w:rsidRPr="008E1C63">
        <w:rPr>
          <w:rFonts w:ascii="Arial" w:hAnsi="Arial" w:cs="Arial"/>
          <w:color w:val="000000" w:themeColor="text1"/>
          <w:sz w:val="19"/>
          <w:szCs w:val="19"/>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12"/>
      <w:r w:rsidRPr="008E1C63">
        <w:rPr>
          <w:rFonts w:ascii="Arial" w:hAnsi="Arial" w:cs="Arial"/>
          <w:color w:val="000000" w:themeColor="text1"/>
          <w:sz w:val="19"/>
          <w:szCs w:val="19"/>
        </w:rPr>
        <w:t>; siempre que se garanticen las condiciones de calidad y cumplimiento del objeto contractual.</w:t>
      </w:r>
    </w:p>
    <w:p w14:paraId="54E66C3D"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rPr>
      </w:pPr>
      <w:r w:rsidRPr="008E1C63">
        <w:rPr>
          <w:rFonts w:ascii="Arial" w:hAnsi="Arial" w:cs="Arial"/>
          <w:color w:val="000000" w:themeColor="text1"/>
          <w:sz w:val="19"/>
          <w:szCs w:val="19"/>
        </w:rPr>
        <w:t>»Parágrafo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26D33B6D"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rPr>
      </w:pPr>
      <w:r w:rsidRPr="008E1C63">
        <w:rPr>
          <w:rFonts w:ascii="Arial" w:hAnsi="Arial" w:cs="Arial"/>
          <w:color w:val="000000" w:themeColor="text1"/>
          <w:sz w:val="19"/>
          <w:szCs w:val="19"/>
        </w:rPr>
        <w:t>»Parágrafo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109B9839"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rPr>
      </w:pPr>
      <w:r w:rsidRPr="008E1C63">
        <w:rPr>
          <w:rFonts w:ascii="Arial" w:hAnsi="Arial" w:cs="Arial"/>
          <w:color w:val="000000" w:themeColor="text1"/>
          <w:sz w:val="19"/>
          <w:szCs w:val="19"/>
        </w:rPr>
        <w:t xml:space="preserve">»Parágrafo 3°. En la ejecución de los contratos a que se refiere el presente artículo, las entidades y los contratistas, deberán observar lo dispuesto en los artículos 90 a 95 de la Ley 418 de 1997 y las normas que la modifiquen, adicionen o subroguen. </w:t>
      </w:r>
    </w:p>
    <w:p w14:paraId="3C2B6B18"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lang w:val="es-ES"/>
        </w:rPr>
      </w:pPr>
    </w:p>
  </w:footnote>
  <w:footnote w:id="23">
    <w:p w14:paraId="68B84DE2"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w:t>
      </w:r>
      <w:r w:rsidRPr="008E1C63">
        <w:rPr>
          <w:rFonts w:ascii="Arial" w:hAnsi="Arial" w:cs="Arial"/>
          <w:color w:val="000000" w:themeColor="text1"/>
          <w:sz w:val="19"/>
          <w:szCs w:val="19"/>
        </w:rPr>
        <w:t>Cfr. SANTOFIMIO GAMBOA, Jaime Orlando. Acto administrativo: procedimiento, eficacia y validez. Segunda Edición. Bogotá: Universidad Externado de Colombia, 1994. p. 252. Lo anterior, con apoyo de CONSEJO DE ESTADO. Sección Primera. Sentencia del 1° de agosto de 1991. Rad. 949. C.P. Miguel González Rodríguez.</w:t>
      </w:r>
    </w:p>
  </w:footnote>
  <w:footnote w:id="24">
    <w:p w14:paraId="0190D2F6" w14:textId="77777777" w:rsidR="00D14890" w:rsidRPr="008E1C63" w:rsidRDefault="00D14890" w:rsidP="00455B90">
      <w:pPr>
        <w:spacing w:after="0" w:line="240" w:lineRule="auto"/>
        <w:ind w:firstLine="709"/>
        <w:rPr>
          <w:rFonts w:ascii="Arial" w:hAnsi="Arial" w:cs="Arial"/>
          <w:color w:val="000000" w:themeColor="text1"/>
          <w:sz w:val="19"/>
          <w:szCs w:val="19"/>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w:t>
      </w:r>
      <w:r w:rsidRPr="008E1C63">
        <w:rPr>
          <w:rFonts w:ascii="Arial" w:hAnsi="Arial" w:cs="Arial"/>
          <w:color w:val="000000" w:themeColor="text1"/>
          <w:sz w:val="19"/>
          <w:szCs w:val="19"/>
        </w:rPr>
        <w:t xml:space="preserve">El artículo 5 de la Ley 57 de 1887 dispone que «Cuando haya incompatibilidad entre una disposición constitucional y una legal, preferirá aquélla. </w:t>
      </w:r>
    </w:p>
    <w:p w14:paraId="2BF9E483" w14:textId="77777777" w:rsidR="00D14890" w:rsidRPr="008E1C63" w:rsidRDefault="00D14890" w:rsidP="00455B90">
      <w:pPr>
        <w:spacing w:after="0" w:line="240" w:lineRule="auto"/>
        <w:ind w:firstLine="709"/>
        <w:rPr>
          <w:rFonts w:ascii="Arial" w:hAnsi="Arial" w:cs="Arial"/>
          <w:color w:val="000000" w:themeColor="text1"/>
          <w:sz w:val="19"/>
          <w:szCs w:val="19"/>
        </w:rPr>
      </w:pPr>
      <w:r w:rsidRPr="008E1C63">
        <w:rPr>
          <w:rFonts w:ascii="Arial" w:hAnsi="Arial" w:cs="Arial"/>
          <w:color w:val="000000" w:themeColor="text1"/>
          <w:sz w:val="19"/>
          <w:szCs w:val="19"/>
        </w:rPr>
        <w:t xml:space="preserve">»Si en los Códigos que se adoptan se hallaren algunas disposiciones incompatibles entre sí, se observarán en su aplicación las reglas siguientes: </w:t>
      </w:r>
    </w:p>
    <w:p w14:paraId="2CC03176" w14:textId="77777777" w:rsidR="00D14890" w:rsidRPr="008E1C63" w:rsidRDefault="00D14890" w:rsidP="00455B90">
      <w:pPr>
        <w:spacing w:after="0" w:line="240" w:lineRule="auto"/>
        <w:ind w:firstLine="709"/>
        <w:rPr>
          <w:rFonts w:ascii="Arial" w:hAnsi="Arial" w:cs="Arial"/>
          <w:color w:val="000000" w:themeColor="text1"/>
          <w:sz w:val="19"/>
          <w:szCs w:val="19"/>
        </w:rPr>
      </w:pPr>
      <w:r w:rsidRPr="008E1C63">
        <w:rPr>
          <w:rFonts w:ascii="Arial" w:hAnsi="Arial" w:cs="Arial"/>
          <w:color w:val="000000" w:themeColor="text1"/>
          <w:sz w:val="19"/>
          <w:szCs w:val="19"/>
        </w:rPr>
        <w:t xml:space="preserve">»1ª La disposición relativa a un asunto especial prefiere a la que tenga carácter general; </w:t>
      </w:r>
    </w:p>
    <w:p w14:paraId="64363FDD" w14:textId="77777777" w:rsidR="00D14890" w:rsidRPr="008E1C63" w:rsidRDefault="00D14890" w:rsidP="00455B90">
      <w:pPr>
        <w:spacing w:after="0" w:line="240" w:lineRule="auto"/>
        <w:ind w:firstLine="709"/>
        <w:rPr>
          <w:rFonts w:ascii="Arial" w:hAnsi="Arial" w:cs="Arial"/>
          <w:color w:val="000000" w:themeColor="text1"/>
          <w:sz w:val="19"/>
          <w:szCs w:val="19"/>
        </w:rPr>
      </w:pPr>
      <w:r w:rsidRPr="008E1C63">
        <w:rPr>
          <w:rFonts w:ascii="Arial" w:hAnsi="Arial" w:cs="Arial"/>
          <w:color w:val="000000" w:themeColor="text1"/>
          <w:sz w:val="19"/>
          <w:szCs w:val="19"/>
        </w:rPr>
        <w:t>»2ª Cuando las disposiciones tengan una misma especialidad o generalidad, y se hallen en un mismo Código, preferirá la disposición consignada en artículo posterior; y si estuvieren en diversos Códigos preferirán, por razón de éstos, en el orden siguiente: Civil, de Comercio, Penal. Judicial, Administrativo, Fiscal, de Elecciones, Militar, de Policía, de Fomento, de Minas, de Beneficencia y de Instrucción Pública».</w:t>
      </w:r>
    </w:p>
    <w:p w14:paraId="103CE821" w14:textId="77777777" w:rsidR="00D14890" w:rsidRPr="008E1C63" w:rsidRDefault="00D14890" w:rsidP="00455B90">
      <w:pPr>
        <w:spacing w:after="0" w:line="240" w:lineRule="auto"/>
        <w:ind w:firstLine="709"/>
        <w:rPr>
          <w:rFonts w:ascii="Arial" w:hAnsi="Arial" w:cs="Arial"/>
          <w:color w:val="000000" w:themeColor="text1"/>
          <w:sz w:val="19"/>
          <w:szCs w:val="19"/>
        </w:rPr>
      </w:pPr>
    </w:p>
  </w:footnote>
  <w:footnote w:id="25">
    <w:p w14:paraId="0BA1E5E6"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Cfr. GUASTINI, Riccardo. Interpretar y argumentar. Madrid: Centro de Estudios Constitucionales, 2014. p. 134.</w:t>
      </w:r>
    </w:p>
    <w:p w14:paraId="5CFD6CF6"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lang w:val="es-ES"/>
        </w:rPr>
      </w:pPr>
    </w:p>
  </w:footnote>
  <w:footnote w:id="26">
    <w:p w14:paraId="014A135B" w14:textId="2E2EA257" w:rsidR="00D14890" w:rsidRPr="008E1C63" w:rsidRDefault="00D14890" w:rsidP="00455B90">
      <w:pPr>
        <w:pStyle w:val="Textonotapie"/>
        <w:spacing w:after="0" w:line="240" w:lineRule="auto"/>
        <w:ind w:firstLine="709"/>
        <w:rPr>
          <w:rFonts w:ascii="Arial" w:hAnsi="Arial" w:cs="Arial"/>
          <w:color w:val="000000" w:themeColor="text1"/>
          <w:sz w:val="19"/>
          <w:szCs w:val="19"/>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DÍEZ-PICAZO, Luis María. La derogación de las leyes. Madrid: Editorial Civitas, 1990. p. 363. En el mismo sentido, la doctrina explica que «En los casos en que las reglas se superponen parcialmente, </w:t>
      </w:r>
      <w:r w:rsidRPr="008E1C63">
        <w:rPr>
          <w:rFonts w:ascii="Arial" w:hAnsi="Arial" w:cs="Arial"/>
          <w:i/>
          <w:iCs/>
          <w:color w:val="000000" w:themeColor="text1"/>
          <w:sz w:val="19"/>
          <w:szCs w:val="19"/>
        </w:rPr>
        <w:t>lex posterior</w:t>
      </w:r>
      <w:r w:rsidRPr="008E1C63">
        <w:rPr>
          <w:rFonts w:ascii="Arial" w:hAnsi="Arial" w:cs="Arial"/>
          <w:color w:val="000000" w:themeColor="text1"/>
          <w:sz w:val="19"/>
          <w:szCs w:val="19"/>
        </w:rPr>
        <w:t xml:space="preserve"> da apoyo, por cierto, la presunción de que la regla mas reciente se encontrará en una situación de preferencia respecto de la anterior, pero ello no es incondicionalmente así. </w:t>
      </w:r>
      <w:r w:rsidRPr="008E1C63">
        <w:rPr>
          <w:rFonts w:ascii="Arial" w:hAnsi="Arial" w:cs="Arial"/>
          <w:i/>
          <w:iCs/>
          <w:color w:val="000000" w:themeColor="text1"/>
          <w:sz w:val="19"/>
          <w:szCs w:val="19"/>
        </w:rPr>
        <w:t>Lex posterior</w:t>
      </w:r>
      <w:r w:rsidRPr="008E1C63">
        <w:rPr>
          <w:rFonts w:ascii="Arial" w:hAnsi="Arial" w:cs="Arial"/>
          <w:color w:val="000000" w:themeColor="text1"/>
          <w:sz w:val="19"/>
          <w:szCs w:val="19"/>
        </w:rPr>
        <w:t xml:space="preserve"> solo se aplica en la medida en que, en términos subjetivos, el legislador “tuvo la intención” de reemplazar la ley anterior […]» (Cfr. ROSS, Alf. Sobre el derecho y la justicia. Quinta edición. Buenos Aires: EUDEBA, 1994, p. 127).</w:t>
      </w:r>
      <w:r w:rsidR="006D7173" w:rsidRPr="00455B90">
        <w:rPr>
          <w:rFonts w:ascii="Arial" w:hAnsi="Arial" w:cs="Arial"/>
          <w:color w:val="000000" w:themeColor="text1"/>
          <w:sz w:val="19"/>
          <w:szCs w:val="19"/>
        </w:rPr>
        <w:t xml:space="preserve"> </w:t>
      </w:r>
    </w:p>
    <w:p w14:paraId="11D53273" w14:textId="77777777" w:rsidR="00D14890" w:rsidRPr="008E1C63" w:rsidRDefault="00D14890" w:rsidP="00455B90">
      <w:pPr>
        <w:pStyle w:val="Textonotapie"/>
        <w:spacing w:after="0" w:line="240" w:lineRule="auto"/>
        <w:ind w:firstLine="709"/>
        <w:rPr>
          <w:rFonts w:ascii="Arial" w:hAnsi="Arial" w:cs="Arial"/>
          <w:color w:val="000000" w:themeColor="text1"/>
          <w:sz w:val="19"/>
          <w:szCs w:val="19"/>
          <w:lang w:val="es-ES"/>
        </w:rPr>
      </w:pPr>
    </w:p>
  </w:footnote>
  <w:footnote w:id="27">
    <w:p w14:paraId="1A31D620" w14:textId="07BB0FAB" w:rsidR="00D14890" w:rsidRPr="008E1C63" w:rsidRDefault="00D14890" w:rsidP="00455B90">
      <w:pPr>
        <w:pStyle w:val="Textonotapie"/>
        <w:spacing w:after="0" w:line="240" w:lineRule="auto"/>
        <w:ind w:firstLine="709"/>
        <w:rPr>
          <w:rFonts w:ascii="Arial" w:hAnsi="Arial" w:cs="Arial"/>
          <w:color w:val="000000" w:themeColor="text1"/>
          <w:sz w:val="19"/>
          <w:szCs w:val="19"/>
        </w:rPr>
      </w:pPr>
      <w:r w:rsidRPr="008E1C63">
        <w:rPr>
          <w:rStyle w:val="Refdenotaalpie"/>
          <w:rFonts w:ascii="Arial" w:hAnsi="Arial" w:cs="Arial"/>
          <w:color w:val="000000" w:themeColor="text1"/>
          <w:sz w:val="19"/>
          <w:szCs w:val="19"/>
        </w:rPr>
        <w:footnoteRef/>
      </w:r>
      <w:r w:rsidRPr="008E1C63">
        <w:rPr>
          <w:rFonts w:ascii="Arial" w:hAnsi="Arial" w:cs="Arial"/>
          <w:color w:val="000000" w:themeColor="text1"/>
          <w:sz w:val="19"/>
          <w:szCs w:val="19"/>
        </w:rPr>
        <w:t xml:space="preserve"> </w:t>
      </w:r>
      <w:r w:rsidRPr="008E1C63">
        <w:rPr>
          <w:rFonts w:ascii="Arial" w:hAnsi="Arial" w:cs="Arial"/>
          <w:i/>
          <w:iCs/>
          <w:color w:val="000000" w:themeColor="text1"/>
          <w:sz w:val="19"/>
          <w:szCs w:val="19"/>
        </w:rPr>
        <w:t>Ibidem</w:t>
      </w:r>
      <w:r w:rsidRPr="008E1C63">
        <w:rPr>
          <w:rFonts w:ascii="Arial" w:hAnsi="Arial" w:cs="Arial"/>
          <w:color w:val="000000" w:themeColor="text1"/>
          <w:sz w:val="19"/>
          <w:szCs w:val="19"/>
        </w:rPr>
        <w:t>. p. 18.</w:t>
      </w:r>
    </w:p>
  </w:footnote>
  <w:footnote w:id="28">
    <w:p w14:paraId="6B17C904" w14:textId="315E2AAD" w:rsidR="004034F8" w:rsidRPr="008E1C63" w:rsidRDefault="004034F8" w:rsidP="008E1C63">
      <w:pPr>
        <w:pStyle w:val="Textonotapie"/>
        <w:spacing w:after="0" w:line="240" w:lineRule="auto"/>
        <w:ind w:firstLine="708"/>
        <w:rPr>
          <w:rFonts w:ascii="Arial" w:hAnsi="Arial" w:cs="Arial"/>
          <w:sz w:val="19"/>
          <w:szCs w:val="19"/>
        </w:rPr>
      </w:pPr>
      <w:r w:rsidRPr="008E1C63">
        <w:rPr>
          <w:rStyle w:val="Refdenotaalpie"/>
          <w:rFonts w:ascii="Arial" w:hAnsi="Arial" w:cs="Arial"/>
          <w:sz w:val="19"/>
          <w:szCs w:val="19"/>
        </w:rPr>
        <w:footnoteRef/>
      </w:r>
      <w:r w:rsidRPr="008E1C63">
        <w:rPr>
          <w:rFonts w:ascii="Arial" w:hAnsi="Arial" w:cs="Arial"/>
          <w:sz w:val="19"/>
          <w:szCs w:val="19"/>
        </w:rPr>
        <w:t xml:space="preserve"> PARÁGRAFO 1o. Las particularidades del procedimiento aquí previsto, así como la posibilidad que tengan las entidades de realizar estas adquisiciones a M</w:t>
      </w:r>
      <w:r w:rsidRPr="00455B90">
        <w:rPr>
          <w:rFonts w:ascii="Arial" w:hAnsi="Arial" w:cs="Arial"/>
          <w:sz w:val="19"/>
          <w:szCs w:val="19"/>
        </w:rPr>
        <w:t>i</w:t>
      </w:r>
      <w:r w:rsidRPr="008E1C63">
        <w:rPr>
          <w:rFonts w:ascii="Arial" w:hAnsi="Arial" w:cs="Arial"/>
          <w:sz w:val="19"/>
          <w:szCs w:val="19"/>
        </w:rPr>
        <w:t>pymes o establecimientos que correspondan a la definición de "gran almacén" señalada por la Superintendencia de Industria y Comercio, se determinarán en el reglamento que para el efecto expida el Gobierno Nacional.</w:t>
      </w:r>
    </w:p>
  </w:footnote>
  <w:footnote w:id="29">
    <w:p w14:paraId="5E6A4592" w14:textId="1935ADF9" w:rsidR="00455B90" w:rsidRPr="008E1C63" w:rsidRDefault="00455B90" w:rsidP="008E1C63">
      <w:pPr>
        <w:pStyle w:val="Textonotapie"/>
        <w:spacing w:after="0" w:line="240" w:lineRule="auto"/>
        <w:ind w:firstLine="708"/>
        <w:rPr>
          <w:rFonts w:ascii="Arial" w:hAnsi="Arial" w:cs="Arial"/>
          <w:sz w:val="19"/>
          <w:szCs w:val="19"/>
        </w:rPr>
      </w:pPr>
      <w:r w:rsidRPr="008E1C63">
        <w:rPr>
          <w:rStyle w:val="Refdenotaalpie"/>
          <w:rFonts w:ascii="Arial" w:hAnsi="Arial" w:cs="Arial"/>
          <w:sz w:val="19"/>
          <w:szCs w:val="19"/>
        </w:rPr>
        <w:footnoteRef/>
      </w:r>
      <w:r w:rsidRPr="008E1C63">
        <w:rPr>
          <w:rFonts w:ascii="Arial" w:hAnsi="Arial" w:cs="Arial"/>
          <w:sz w:val="19"/>
          <w:szCs w:val="19"/>
        </w:rPr>
        <w:t xml:space="preserve"> El artículo completo es del siguiente tenor: </w:t>
      </w:r>
      <w:r>
        <w:rPr>
          <w:rFonts w:ascii="Arial" w:hAnsi="Arial" w:cs="Arial"/>
          <w:sz w:val="19"/>
          <w:szCs w:val="19"/>
        </w:rPr>
        <w:t>«</w:t>
      </w:r>
      <w:r w:rsidRPr="008E1C63">
        <w:rPr>
          <w:rFonts w:ascii="Arial" w:hAnsi="Arial" w:cs="Arial"/>
          <w:sz w:val="19"/>
          <w:szCs w:val="19"/>
        </w:rPr>
        <w:t>Artículo 8.</w:t>
      </w:r>
      <w:r>
        <w:rPr>
          <w:rFonts w:ascii="Arial" w:hAnsi="Arial" w:cs="Arial"/>
          <w:sz w:val="19"/>
          <w:szCs w:val="19"/>
        </w:rPr>
        <w:t xml:space="preserve"> </w:t>
      </w:r>
      <w:r w:rsidRPr="008E1C63">
        <w:rPr>
          <w:rFonts w:ascii="Arial" w:hAnsi="Arial" w:cs="Arial"/>
          <w:sz w:val="19"/>
          <w:szCs w:val="19"/>
        </w:rPr>
        <w:t>Vigencia y</w:t>
      </w:r>
      <w:r>
        <w:rPr>
          <w:rFonts w:ascii="Arial" w:hAnsi="Arial" w:cs="Arial"/>
          <w:sz w:val="19"/>
          <w:szCs w:val="19"/>
        </w:rPr>
        <w:t xml:space="preserve"> </w:t>
      </w:r>
      <w:r w:rsidRPr="008E1C63">
        <w:rPr>
          <w:rFonts w:ascii="Arial" w:hAnsi="Arial" w:cs="Arial"/>
          <w:sz w:val="19"/>
          <w:szCs w:val="19"/>
        </w:rPr>
        <w:t>derogatorias.</w:t>
      </w:r>
      <w:r>
        <w:rPr>
          <w:rFonts w:ascii="Arial" w:hAnsi="Arial" w:cs="Arial"/>
          <w:sz w:val="19"/>
          <w:szCs w:val="19"/>
        </w:rPr>
        <w:t xml:space="preserve"> </w:t>
      </w:r>
      <w:r w:rsidRPr="008E1C63">
        <w:rPr>
          <w:rFonts w:ascii="Arial" w:hAnsi="Arial" w:cs="Arial"/>
          <w:sz w:val="19"/>
          <w:szCs w:val="19"/>
        </w:rPr>
        <w:t>Las disposiciones contenidas en</w:t>
      </w:r>
      <w:r>
        <w:rPr>
          <w:rFonts w:ascii="Arial" w:hAnsi="Arial" w:cs="Arial"/>
          <w:sz w:val="19"/>
          <w:szCs w:val="19"/>
        </w:rPr>
        <w:t xml:space="preserve"> </w:t>
      </w:r>
      <w:r w:rsidRPr="008E1C63">
        <w:rPr>
          <w:rFonts w:ascii="Arial" w:hAnsi="Arial" w:cs="Arial"/>
          <w:sz w:val="19"/>
          <w:szCs w:val="19"/>
        </w:rPr>
        <w:t>el</w:t>
      </w:r>
      <w:r>
        <w:rPr>
          <w:rFonts w:ascii="Arial" w:hAnsi="Arial" w:cs="Arial"/>
          <w:sz w:val="19"/>
          <w:szCs w:val="19"/>
        </w:rPr>
        <w:t xml:space="preserve"> </w:t>
      </w:r>
      <w:r w:rsidRPr="008E1C63">
        <w:rPr>
          <w:rFonts w:ascii="Arial" w:hAnsi="Arial" w:cs="Arial"/>
          <w:sz w:val="19"/>
          <w:szCs w:val="19"/>
        </w:rPr>
        <w:t>presente Decreto</w:t>
      </w:r>
      <w:r>
        <w:rPr>
          <w:rFonts w:ascii="Arial" w:hAnsi="Arial" w:cs="Arial"/>
          <w:sz w:val="19"/>
          <w:szCs w:val="19"/>
        </w:rPr>
        <w:t xml:space="preserve"> </w:t>
      </w:r>
      <w:r w:rsidRPr="008E1C63">
        <w:rPr>
          <w:rFonts w:ascii="Arial" w:hAnsi="Arial" w:cs="Arial"/>
          <w:sz w:val="19"/>
          <w:szCs w:val="19"/>
        </w:rPr>
        <w:t>se</w:t>
      </w:r>
      <w:r>
        <w:rPr>
          <w:rFonts w:ascii="Arial" w:hAnsi="Arial" w:cs="Arial"/>
          <w:sz w:val="19"/>
          <w:szCs w:val="19"/>
        </w:rPr>
        <w:t xml:space="preserve"> </w:t>
      </w:r>
      <w:r w:rsidRPr="008E1C63">
        <w:rPr>
          <w:rFonts w:ascii="Arial" w:hAnsi="Arial" w:cs="Arial"/>
          <w:sz w:val="19"/>
          <w:szCs w:val="19"/>
        </w:rPr>
        <w:t>aplicarán</w:t>
      </w:r>
      <w:r>
        <w:rPr>
          <w:rFonts w:ascii="Arial" w:hAnsi="Arial" w:cs="Arial"/>
          <w:sz w:val="19"/>
          <w:szCs w:val="19"/>
        </w:rPr>
        <w:t xml:space="preserve"> </w:t>
      </w:r>
      <w:r w:rsidRPr="008E1C63">
        <w:rPr>
          <w:rFonts w:ascii="Arial" w:hAnsi="Arial" w:cs="Arial"/>
          <w:sz w:val="19"/>
          <w:szCs w:val="19"/>
        </w:rPr>
        <w:t>a</w:t>
      </w:r>
      <w:r>
        <w:rPr>
          <w:rFonts w:ascii="Arial" w:hAnsi="Arial" w:cs="Arial"/>
          <w:sz w:val="19"/>
          <w:szCs w:val="19"/>
        </w:rPr>
        <w:t xml:space="preserve"> </w:t>
      </w:r>
      <w:r w:rsidRPr="008E1C63">
        <w:rPr>
          <w:rFonts w:ascii="Arial" w:hAnsi="Arial" w:cs="Arial"/>
          <w:sz w:val="19"/>
          <w:szCs w:val="19"/>
        </w:rPr>
        <w:t>los</w:t>
      </w:r>
      <w:r>
        <w:rPr>
          <w:rFonts w:ascii="Arial" w:hAnsi="Arial" w:cs="Arial"/>
          <w:sz w:val="19"/>
          <w:szCs w:val="19"/>
        </w:rPr>
        <w:t xml:space="preserve"> </w:t>
      </w:r>
      <w:r w:rsidRPr="008E1C63">
        <w:rPr>
          <w:rFonts w:ascii="Arial" w:hAnsi="Arial" w:cs="Arial"/>
          <w:sz w:val="19"/>
          <w:szCs w:val="19"/>
        </w:rPr>
        <w:t>procedimientos</w:t>
      </w:r>
      <w:r>
        <w:rPr>
          <w:rFonts w:ascii="Arial" w:hAnsi="Arial" w:cs="Arial"/>
          <w:sz w:val="19"/>
          <w:szCs w:val="19"/>
        </w:rPr>
        <w:t xml:space="preserve"> </w:t>
      </w:r>
      <w:r w:rsidRPr="008E1C63">
        <w:rPr>
          <w:rFonts w:ascii="Arial" w:hAnsi="Arial" w:cs="Arial"/>
          <w:sz w:val="19"/>
          <w:szCs w:val="19"/>
        </w:rPr>
        <w:t>de</w:t>
      </w:r>
      <w:r>
        <w:rPr>
          <w:rFonts w:ascii="Arial" w:hAnsi="Arial" w:cs="Arial"/>
          <w:sz w:val="19"/>
          <w:szCs w:val="19"/>
        </w:rPr>
        <w:t xml:space="preserve"> </w:t>
      </w:r>
      <w:r w:rsidRPr="008E1C63">
        <w:rPr>
          <w:rFonts w:ascii="Arial" w:hAnsi="Arial" w:cs="Arial"/>
          <w:sz w:val="19"/>
          <w:szCs w:val="19"/>
        </w:rPr>
        <w:t>selección</w:t>
      </w:r>
      <w:r>
        <w:rPr>
          <w:rFonts w:ascii="Arial" w:hAnsi="Arial" w:cs="Arial"/>
          <w:sz w:val="19"/>
          <w:szCs w:val="19"/>
        </w:rPr>
        <w:t xml:space="preserve"> </w:t>
      </w:r>
      <w:r w:rsidRPr="008E1C63">
        <w:rPr>
          <w:rFonts w:ascii="Arial" w:hAnsi="Arial" w:cs="Arial"/>
          <w:sz w:val="19"/>
          <w:szCs w:val="19"/>
        </w:rPr>
        <w:t>cuya</w:t>
      </w:r>
      <w:r>
        <w:rPr>
          <w:rFonts w:ascii="Arial" w:hAnsi="Arial" w:cs="Arial"/>
          <w:sz w:val="19"/>
          <w:szCs w:val="19"/>
        </w:rPr>
        <w:t xml:space="preserve"> </w:t>
      </w:r>
      <w:r w:rsidRPr="008E1C63">
        <w:rPr>
          <w:rFonts w:ascii="Arial" w:hAnsi="Arial" w:cs="Arial"/>
          <w:sz w:val="19"/>
          <w:szCs w:val="19"/>
        </w:rPr>
        <w:t>invitación,</w:t>
      </w:r>
      <w:r>
        <w:rPr>
          <w:rFonts w:ascii="Arial" w:hAnsi="Arial" w:cs="Arial"/>
          <w:sz w:val="19"/>
          <w:szCs w:val="19"/>
        </w:rPr>
        <w:t xml:space="preserve"> </w:t>
      </w:r>
      <w:r w:rsidRPr="008E1C63">
        <w:rPr>
          <w:rFonts w:ascii="Arial" w:hAnsi="Arial" w:cs="Arial"/>
          <w:sz w:val="19"/>
          <w:szCs w:val="19"/>
        </w:rPr>
        <w:t>aviso</w:t>
      </w:r>
      <w:r>
        <w:rPr>
          <w:rFonts w:ascii="Arial" w:hAnsi="Arial" w:cs="Arial"/>
          <w:sz w:val="19"/>
          <w:szCs w:val="19"/>
        </w:rPr>
        <w:t xml:space="preserve"> </w:t>
      </w:r>
      <w:r w:rsidRPr="008E1C63">
        <w:rPr>
          <w:rFonts w:ascii="Arial" w:hAnsi="Arial" w:cs="Arial"/>
          <w:sz w:val="19"/>
          <w:szCs w:val="19"/>
        </w:rPr>
        <w:t>de convocatoria o documento equivalente se publique a los tres (3)</w:t>
      </w:r>
      <w:r>
        <w:rPr>
          <w:rFonts w:ascii="Arial" w:hAnsi="Arial" w:cs="Arial"/>
          <w:sz w:val="19"/>
          <w:szCs w:val="19"/>
        </w:rPr>
        <w:t xml:space="preserve"> </w:t>
      </w:r>
      <w:r w:rsidRPr="008E1C63">
        <w:rPr>
          <w:rFonts w:ascii="Arial" w:hAnsi="Arial" w:cs="Arial"/>
          <w:sz w:val="19"/>
          <w:szCs w:val="19"/>
        </w:rPr>
        <w:t>meses contados a partir de su</w:t>
      </w:r>
      <w:r>
        <w:rPr>
          <w:rFonts w:ascii="Arial" w:hAnsi="Arial" w:cs="Arial"/>
          <w:sz w:val="19"/>
          <w:szCs w:val="19"/>
        </w:rPr>
        <w:t xml:space="preserve"> </w:t>
      </w:r>
      <w:r w:rsidRPr="008E1C63">
        <w:rPr>
          <w:rFonts w:ascii="Arial" w:hAnsi="Arial" w:cs="Arial"/>
          <w:sz w:val="19"/>
          <w:szCs w:val="19"/>
        </w:rPr>
        <w:t>expedición.</w:t>
      </w:r>
      <w:r>
        <w:rPr>
          <w:rFonts w:ascii="Arial" w:hAnsi="Arial" w:cs="Arial"/>
          <w:sz w:val="19"/>
          <w:szCs w:val="19"/>
        </w:rPr>
        <w:t xml:space="preserve"> </w:t>
      </w:r>
      <w:r w:rsidRPr="008E1C63">
        <w:rPr>
          <w:rFonts w:ascii="Arial" w:hAnsi="Arial" w:cs="Arial"/>
          <w:sz w:val="19"/>
          <w:szCs w:val="19"/>
        </w:rPr>
        <w:t>Este Decreto modifica</w:t>
      </w:r>
      <w:r>
        <w:rPr>
          <w:rFonts w:ascii="Arial" w:hAnsi="Arial" w:cs="Arial"/>
          <w:sz w:val="19"/>
          <w:szCs w:val="19"/>
        </w:rPr>
        <w:t xml:space="preserve"> </w:t>
      </w:r>
      <w:r w:rsidRPr="008E1C63">
        <w:rPr>
          <w:rFonts w:ascii="Arial" w:hAnsi="Arial" w:cs="Arial"/>
          <w:sz w:val="19"/>
          <w:szCs w:val="19"/>
        </w:rPr>
        <w:t>la</w:t>
      </w:r>
      <w:r>
        <w:rPr>
          <w:rFonts w:ascii="Arial" w:hAnsi="Arial" w:cs="Arial"/>
          <w:sz w:val="19"/>
          <w:szCs w:val="19"/>
        </w:rPr>
        <w:t xml:space="preserve"> </w:t>
      </w:r>
      <w:r w:rsidRPr="008E1C63">
        <w:rPr>
          <w:rFonts w:ascii="Arial" w:hAnsi="Arial" w:cs="Arial"/>
          <w:sz w:val="19"/>
          <w:szCs w:val="19"/>
        </w:rPr>
        <w:t>Subsección 5 de la</w:t>
      </w:r>
      <w:r>
        <w:rPr>
          <w:rFonts w:ascii="Arial" w:hAnsi="Arial" w:cs="Arial"/>
          <w:sz w:val="19"/>
          <w:szCs w:val="19"/>
        </w:rPr>
        <w:t xml:space="preserve"> </w:t>
      </w:r>
      <w:r w:rsidRPr="008E1C63">
        <w:rPr>
          <w:rFonts w:ascii="Arial" w:hAnsi="Arial" w:cs="Arial"/>
          <w:sz w:val="19"/>
          <w:szCs w:val="19"/>
        </w:rPr>
        <w:t>Sección</w:t>
      </w:r>
      <w:r>
        <w:rPr>
          <w:rFonts w:ascii="Arial" w:hAnsi="Arial" w:cs="Arial"/>
          <w:sz w:val="19"/>
          <w:szCs w:val="19"/>
        </w:rPr>
        <w:t xml:space="preserve"> </w:t>
      </w:r>
      <w:r w:rsidRPr="008E1C63">
        <w:rPr>
          <w:rFonts w:ascii="Arial" w:hAnsi="Arial" w:cs="Arial"/>
          <w:sz w:val="19"/>
          <w:szCs w:val="19"/>
        </w:rPr>
        <w:t>1 del Capítulo 2 del Título 1 de la</w:t>
      </w:r>
      <w:r>
        <w:rPr>
          <w:rFonts w:ascii="Arial" w:hAnsi="Arial" w:cs="Arial"/>
          <w:sz w:val="19"/>
          <w:szCs w:val="19"/>
        </w:rPr>
        <w:t xml:space="preserve"> </w:t>
      </w:r>
      <w:r w:rsidRPr="008E1C63">
        <w:rPr>
          <w:rFonts w:ascii="Arial" w:hAnsi="Arial" w:cs="Arial"/>
          <w:sz w:val="19"/>
          <w:szCs w:val="19"/>
        </w:rPr>
        <w:t>Parte 2 del Libro 2,</w:t>
      </w:r>
      <w:r>
        <w:rPr>
          <w:rFonts w:ascii="Arial" w:hAnsi="Arial" w:cs="Arial"/>
          <w:sz w:val="19"/>
          <w:szCs w:val="19"/>
        </w:rPr>
        <w:t xml:space="preserve"> </w:t>
      </w:r>
      <w:r w:rsidRPr="008E1C63">
        <w:rPr>
          <w:rFonts w:ascii="Arial" w:hAnsi="Arial" w:cs="Arial"/>
          <w:sz w:val="19"/>
          <w:szCs w:val="19"/>
        </w:rPr>
        <w:t>así como los artículos 2.2.1.2.4.2.2., 2.2.1.2.4.2.3.,</w:t>
      </w:r>
      <w:r>
        <w:rPr>
          <w:rFonts w:ascii="Arial" w:hAnsi="Arial" w:cs="Arial"/>
          <w:sz w:val="19"/>
          <w:szCs w:val="19"/>
        </w:rPr>
        <w:t xml:space="preserve"> </w:t>
      </w:r>
      <w:r w:rsidRPr="008E1C63">
        <w:rPr>
          <w:rFonts w:ascii="Arial" w:hAnsi="Arial" w:cs="Arial"/>
          <w:sz w:val="19"/>
          <w:szCs w:val="19"/>
        </w:rPr>
        <w:t>2.2.1.2.4.2.4.,</w:t>
      </w:r>
      <w:r>
        <w:rPr>
          <w:rFonts w:ascii="Arial" w:hAnsi="Arial" w:cs="Arial"/>
          <w:sz w:val="19"/>
          <w:szCs w:val="19"/>
        </w:rPr>
        <w:t xml:space="preserve"> </w:t>
      </w:r>
      <w:r w:rsidRPr="008E1C63">
        <w:rPr>
          <w:rFonts w:ascii="Arial" w:hAnsi="Arial" w:cs="Arial"/>
          <w:sz w:val="19"/>
          <w:szCs w:val="19"/>
        </w:rPr>
        <w:t>2.2.1.2.1.2.2.</w:t>
      </w:r>
      <w:r>
        <w:rPr>
          <w:rFonts w:ascii="Arial" w:hAnsi="Arial" w:cs="Arial"/>
          <w:sz w:val="19"/>
          <w:szCs w:val="19"/>
        </w:rPr>
        <w:t xml:space="preserve"> </w:t>
      </w:r>
      <w:r w:rsidRPr="008E1C63">
        <w:rPr>
          <w:rFonts w:ascii="Arial" w:hAnsi="Arial" w:cs="Arial"/>
          <w:sz w:val="19"/>
          <w:szCs w:val="19"/>
        </w:rPr>
        <w:t>Y 2.2.1.2.4.2.8.;</w:t>
      </w:r>
      <w:r>
        <w:rPr>
          <w:rFonts w:ascii="Arial" w:hAnsi="Arial" w:cs="Arial"/>
          <w:sz w:val="19"/>
          <w:szCs w:val="19"/>
        </w:rPr>
        <w:t xml:space="preserve"> </w:t>
      </w:r>
      <w:r w:rsidRPr="008E1C63">
        <w:rPr>
          <w:rFonts w:ascii="Arial" w:hAnsi="Arial" w:cs="Arial"/>
          <w:sz w:val="19"/>
          <w:szCs w:val="19"/>
        </w:rPr>
        <w:t>adiciona</w:t>
      </w:r>
      <w:r>
        <w:rPr>
          <w:rFonts w:ascii="Arial" w:hAnsi="Arial" w:cs="Arial"/>
          <w:sz w:val="19"/>
          <w:szCs w:val="19"/>
        </w:rPr>
        <w:t xml:space="preserve"> </w:t>
      </w:r>
      <w:r w:rsidRPr="008E1C63">
        <w:rPr>
          <w:rFonts w:ascii="Arial" w:hAnsi="Arial" w:cs="Arial"/>
          <w:sz w:val="19"/>
          <w:szCs w:val="19"/>
        </w:rPr>
        <w:t>los</w:t>
      </w:r>
      <w:r>
        <w:rPr>
          <w:rFonts w:ascii="Arial" w:hAnsi="Arial" w:cs="Arial"/>
          <w:sz w:val="19"/>
          <w:szCs w:val="19"/>
        </w:rPr>
        <w:t xml:space="preserve"> </w:t>
      </w:r>
      <w:r w:rsidRPr="008E1C63">
        <w:rPr>
          <w:rFonts w:ascii="Arial" w:hAnsi="Arial" w:cs="Arial"/>
          <w:sz w:val="19"/>
          <w:szCs w:val="19"/>
        </w:rPr>
        <w:t>artículos 2.2.1.2.4.2.14.,</w:t>
      </w:r>
      <w:r>
        <w:rPr>
          <w:rFonts w:ascii="Arial" w:hAnsi="Arial" w:cs="Arial"/>
          <w:sz w:val="19"/>
          <w:szCs w:val="19"/>
        </w:rPr>
        <w:t xml:space="preserve"> </w:t>
      </w:r>
      <w:r w:rsidRPr="008E1C63">
        <w:rPr>
          <w:rFonts w:ascii="Arial" w:hAnsi="Arial" w:cs="Arial"/>
          <w:sz w:val="19"/>
          <w:szCs w:val="19"/>
        </w:rPr>
        <w:t>2.2.1.2.4.2.15.,</w:t>
      </w:r>
      <w:r>
        <w:rPr>
          <w:rFonts w:ascii="Arial" w:hAnsi="Arial" w:cs="Arial"/>
          <w:sz w:val="19"/>
          <w:szCs w:val="19"/>
        </w:rPr>
        <w:t xml:space="preserve"> </w:t>
      </w:r>
      <w:r w:rsidRPr="008E1C63">
        <w:rPr>
          <w:rFonts w:ascii="Arial" w:hAnsi="Arial" w:cs="Arial"/>
          <w:sz w:val="19"/>
          <w:szCs w:val="19"/>
        </w:rPr>
        <w:t>2.2.1.2.4.2.16.,</w:t>
      </w:r>
      <w:r>
        <w:rPr>
          <w:rFonts w:ascii="Arial" w:hAnsi="Arial" w:cs="Arial"/>
          <w:sz w:val="19"/>
          <w:szCs w:val="19"/>
        </w:rPr>
        <w:t xml:space="preserve"> </w:t>
      </w:r>
      <w:r w:rsidRPr="008E1C63">
        <w:rPr>
          <w:rFonts w:ascii="Arial" w:hAnsi="Arial" w:cs="Arial"/>
          <w:sz w:val="19"/>
          <w:szCs w:val="19"/>
        </w:rPr>
        <w:t>2.2.1.2.4.2.17.</w:t>
      </w:r>
      <w:r>
        <w:rPr>
          <w:rFonts w:ascii="Arial" w:hAnsi="Arial" w:cs="Arial"/>
          <w:sz w:val="19"/>
          <w:szCs w:val="19"/>
        </w:rPr>
        <w:t xml:space="preserve"> </w:t>
      </w:r>
      <w:r w:rsidRPr="008E1C63">
        <w:rPr>
          <w:rFonts w:ascii="Arial" w:hAnsi="Arial" w:cs="Arial"/>
          <w:sz w:val="19"/>
          <w:szCs w:val="19"/>
        </w:rPr>
        <w:t>Y</w:t>
      </w:r>
      <w:r>
        <w:rPr>
          <w:rFonts w:ascii="Arial" w:hAnsi="Arial" w:cs="Arial"/>
          <w:sz w:val="19"/>
          <w:szCs w:val="19"/>
        </w:rPr>
        <w:t xml:space="preserve"> </w:t>
      </w:r>
      <w:r w:rsidRPr="008E1C63">
        <w:rPr>
          <w:rFonts w:ascii="Arial" w:hAnsi="Arial" w:cs="Arial"/>
          <w:sz w:val="19"/>
          <w:szCs w:val="19"/>
        </w:rPr>
        <w:t>2.2.1.2.4.2.18.; adiciona un</w:t>
      </w:r>
      <w:r>
        <w:rPr>
          <w:rFonts w:ascii="Arial" w:hAnsi="Arial" w:cs="Arial"/>
          <w:sz w:val="19"/>
          <w:szCs w:val="19"/>
        </w:rPr>
        <w:t xml:space="preserve"> </w:t>
      </w:r>
      <w:r w:rsidRPr="008E1C63">
        <w:rPr>
          <w:rFonts w:ascii="Arial" w:hAnsi="Arial" w:cs="Arial"/>
          <w:sz w:val="19"/>
          <w:szCs w:val="19"/>
        </w:rPr>
        <w:t>parágrafo al</w:t>
      </w:r>
      <w:r>
        <w:rPr>
          <w:rFonts w:ascii="Arial" w:hAnsi="Arial" w:cs="Arial"/>
          <w:sz w:val="19"/>
          <w:szCs w:val="19"/>
        </w:rPr>
        <w:t xml:space="preserve"> </w:t>
      </w:r>
      <w:r w:rsidRPr="008E1C63">
        <w:rPr>
          <w:rFonts w:ascii="Arial" w:hAnsi="Arial" w:cs="Arial"/>
          <w:sz w:val="19"/>
          <w:szCs w:val="19"/>
        </w:rPr>
        <w:t>artículo 2.2.1.2.3.1.9;</w:t>
      </w:r>
      <w:r>
        <w:rPr>
          <w:rFonts w:ascii="Arial" w:hAnsi="Arial" w:cs="Arial"/>
          <w:sz w:val="19"/>
          <w:szCs w:val="19"/>
        </w:rPr>
        <w:t xml:space="preserve"> </w:t>
      </w:r>
      <w:r w:rsidRPr="008E1C63">
        <w:rPr>
          <w:rFonts w:ascii="Arial" w:hAnsi="Arial" w:cs="Arial"/>
          <w:sz w:val="19"/>
          <w:szCs w:val="19"/>
        </w:rPr>
        <w:t>y deroga el</w:t>
      </w:r>
      <w:r>
        <w:rPr>
          <w:rFonts w:ascii="Arial" w:hAnsi="Arial" w:cs="Arial"/>
          <w:sz w:val="19"/>
          <w:szCs w:val="19"/>
        </w:rPr>
        <w:t xml:space="preserve"> </w:t>
      </w:r>
      <w:r w:rsidRPr="008E1C63">
        <w:rPr>
          <w:rFonts w:ascii="Arial" w:hAnsi="Arial" w:cs="Arial"/>
          <w:sz w:val="19"/>
          <w:szCs w:val="19"/>
        </w:rPr>
        <w:t>artículo 2.2.1.1.2.2.9. del Decreto 1082 de 2015, Único Reglamentario del Sector Administrativo de Planeación Nacional</w:t>
      </w:r>
      <w:r>
        <w:rPr>
          <w:rFonts w:ascii="Arial" w:hAnsi="Arial" w:cs="Arial"/>
          <w:sz w:val="19"/>
          <w:szCs w:val="19"/>
        </w:rPr>
        <w:t>»</w:t>
      </w:r>
      <w:r w:rsidRPr="008E1C63">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A9E8" w14:textId="77777777" w:rsidR="00412132" w:rsidRDefault="00367C52">
    <w:pPr>
      <w:pStyle w:val="Encabezado"/>
    </w:pPr>
    <w:r>
      <w:rPr>
        <w:noProof/>
        <w:lang w:val="es-CO" w:eastAsia="es-CO"/>
      </w:rPr>
      <w:drawing>
        <wp:anchor distT="0" distB="0" distL="114300" distR="114300" simplePos="0" relativeHeight="251659264" behindDoc="1" locked="0" layoutInCell="1" allowOverlap="1" wp14:anchorId="635FBE0F" wp14:editId="6B0B2A7D">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83377958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A4E6DF" w14:textId="77777777" w:rsidR="00FE0395" w:rsidRDefault="0039684E" w:rsidP="00FE0395">
    <w:pPr>
      <w:pStyle w:val="Encabezado"/>
      <w:spacing w:after="0"/>
    </w:pPr>
  </w:p>
  <w:p w14:paraId="6A39F5AE" w14:textId="77777777" w:rsidR="00412132" w:rsidRDefault="003968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1" w15:restartNumberingAfterBreak="0">
    <w:nsid w:val="5CD47B2C"/>
    <w:multiLevelType w:val="hybridMultilevel"/>
    <w:tmpl w:val="C3C28908"/>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6DBC24E2"/>
    <w:multiLevelType w:val="hybridMultilevel"/>
    <w:tmpl w:val="57EC4A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43"/>
    <w:rsid w:val="00000106"/>
    <w:rsid w:val="00001152"/>
    <w:rsid w:val="00001D47"/>
    <w:rsid w:val="0000769C"/>
    <w:rsid w:val="00043818"/>
    <w:rsid w:val="00043A83"/>
    <w:rsid w:val="00043EF1"/>
    <w:rsid w:val="0005235E"/>
    <w:rsid w:val="00056E3C"/>
    <w:rsid w:val="000605B1"/>
    <w:rsid w:val="00061F84"/>
    <w:rsid w:val="0006334E"/>
    <w:rsid w:val="0006713C"/>
    <w:rsid w:val="0007079B"/>
    <w:rsid w:val="000740E8"/>
    <w:rsid w:val="000752BE"/>
    <w:rsid w:val="00082FD6"/>
    <w:rsid w:val="0009437D"/>
    <w:rsid w:val="000955F5"/>
    <w:rsid w:val="000A0A23"/>
    <w:rsid w:val="000B19F3"/>
    <w:rsid w:val="000B5DFC"/>
    <w:rsid w:val="000B66C7"/>
    <w:rsid w:val="000C6406"/>
    <w:rsid w:val="000D03EB"/>
    <w:rsid w:val="000D3D99"/>
    <w:rsid w:val="000D7279"/>
    <w:rsid w:val="000E556B"/>
    <w:rsid w:val="000E5820"/>
    <w:rsid w:val="000F0F68"/>
    <w:rsid w:val="000F34E7"/>
    <w:rsid w:val="000F43EB"/>
    <w:rsid w:val="00111523"/>
    <w:rsid w:val="00112375"/>
    <w:rsid w:val="00112866"/>
    <w:rsid w:val="00115A90"/>
    <w:rsid w:val="00117662"/>
    <w:rsid w:val="00120434"/>
    <w:rsid w:val="00125910"/>
    <w:rsid w:val="00126EAB"/>
    <w:rsid w:val="001320B2"/>
    <w:rsid w:val="00136512"/>
    <w:rsid w:val="0013758A"/>
    <w:rsid w:val="00137FD5"/>
    <w:rsid w:val="0014071B"/>
    <w:rsid w:val="001415A7"/>
    <w:rsid w:val="00144243"/>
    <w:rsid w:val="00144CFB"/>
    <w:rsid w:val="0014516B"/>
    <w:rsid w:val="001547C6"/>
    <w:rsid w:val="001563E7"/>
    <w:rsid w:val="0016327F"/>
    <w:rsid w:val="00164CF3"/>
    <w:rsid w:val="001652E2"/>
    <w:rsid w:val="001661F8"/>
    <w:rsid w:val="0017144B"/>
    <w:rsid w:val="00172A79"/>
    <w:rsid w:val="0018051D"/>
    <w:rsid w:val="0018455A"/>
    <w:rsid w:val="0018539D"/>
    <w:rsid w:val="00190FE6"/>
    <w:rsid w:val="001947D5"/>
    <w:rsid w:val="001A1340"/>
    <w:rsid w:val="001C3078"/>
    <w:rsid w:val="001C3288"/>
    <w:rsid w:val="001C74D8"/>
    <w:rsid w:val="001D5E31"/>
    <w:rsid w:val="001D73D2"/>
    <w:rsid w:val="001E47F9"/>
    <w:rsid w:val="001E75C2"/>
    <w:rsid w:val="001F1C90"/>
    <w:rsid w:val="001F27C8"/>
    <w:rsid w:val="00214628"/>
    <w:rsid w:val="002210B9"/>
    <w:rsid w:val="00223B9C"/>
    <w:rsid w:val="00234466"/>
    <w:rsid w:val="00237BD3"/>
    <w:rsid w:val="00252671"/>
    <w:rsid w:val="00252ED9"/>
    <w:rsid w:val="00253927"/>
    <w:rsid w:val="002579DA"/>
    <w:rsid w:val="00264455"/>
    <w:rsid w:val="00265070"/>
    <w:rsid w:val="00277DCE"/>
    <w:rsid w:val="002848B2"/>
    <w:rsid w:val="0028591C"/>
    <w:rsid w:val="00285F6C"/>
    <w:rsid w:val="00286968"/>
    <w:rsid w:val="002902CF"/>
    <w:rsid w:val="00292ACB"/>
    <w:rsid w:val="0029475E"/>
    <w:rsid w:val="00297D7E"/>
    <w:rsid w:val="002A389C"/>
    <w:rsid w:val="002B163B"/>
    <w:rsid w:val="002B50EE"/>
    <w:rsid w:val="002B53CC"/>
    <w:rsid w:val="002C3ABC"/>
    <w:rsid w:val="002C4226"/>
    <w:rsid w:val="002C4841"/>
    <w:rsid w:val="002C4CB7"/>
    <w:rsid w:val="002C653B"/>
    <w:rsid w:val="002D00B0"/>
    <w:rsid w:val="002D1482"/>
    <w:rsid w:val="002E1739"/>
    <w:rsid w:val="002E2F17"/>
    <w:rsid w:val="002E2FE2"/>
    <w:rsid w:val="002E40D4"/>
    <w:rsid w:val="002E4608"/>
    <w:rsid w:val="002F02C5"/>
    <w:rsid w:val="002F1531"/>
    <w:rsid w:val="003057FF"/>
    <w:rsid w:val="003121C9"/>
    <w:rsid w:val="0031265E"/>
    <w:rsid w:val="00316A0E"/>
    <w:rsid w:val="00324A93"/>
    <w:rsid w:val="00330E29"/>
    <w:rsid w:val="00332296"/>
    <w:rsid w:val="00333356"/>
    <w:rsid w:val="00333616"/>
    <w:rsid w:val="00335655"/>
    <w:rsid w:val="003417F9"/>
    <w:rsid w:val="00342095"/>
    <w:rsid w:val="00342484"/>
    <w:rsid w:val="00347E32"/>
    <w:rsid w:val="003517EC"/>
    <w:rsid w:val="0035216D"/>
    <w:rsid w:val="003567A2"/>
    <w:rsid w:val="0035727E"/>
    <w:rsid w:val="0035778A"/>
    <w:rsid w:val="003615B5"/>
    <w:rsid w:val="00365B44"/>
    <w:rsid w:val="00367C52"/>
    <w:rsid w:val="0037705A"/>
    <w:rsid w:val="0038098C"/>
    <w:rsid w:val="00381B55"/>
    <w:rsid w:val="00383D7D"/>
    <w:rsid w:val="00387A85"/>
    <w:rsid w:val="0039684E"/>
    <w:rsid w:val="00396E90"/>
    <w:rsid w:val="003A5FCB"/>
    <w:rsid w:val="003B3CE7"/>
    <w:rsid w:val="003B67A4"/>
    <w:rsid w:val="003C665A"/>
    <w:rsid w:val="003C7C98"/>
    <w:rsid w:val="003D2622"/>
    <w:rsid w:val="003D502C"/>
    <w:rsid w:val="003D6A9A"/>
    <w:rsid w:val="003E46BF"/>
    <w:rsid w:val="003F0360"/>
    <w:rsid w:val="003F1F9B"/>
    <w:rsid w:val="003F267E"/>
    <w:rsid w:val="003F3764"/>
    <w:rsid w:val="003F7B85"/>
    <w:rsid w:val="003F7D27"/>
    <w:rsid w:val="004002A8"/>
    <w:rsid w:val="004034F8"/>
    <w:rsid w:val="00411C70"/>
    <w:rsid w:val="0041299F"/>
    <w:rsid w:val="0041408F"/>
    <w:rsid w:val="004155BC"/>
    <w:rsid w:val="00415C3C"/>
    <w:rsid w:val="004179D7"/>
    <w:rsid w:val="004233D9"/>
    <w:rsid w:val="00430256"/>
    <w:rsid w:val="00432867"/>
    <w:rsid w:val="00434BB4"/>
    <w:rsid w:val="00434DB0"/>
    <w:rsid w:val="00436FDD"/>
    <w:rsid w:val="004421F5"/>
    <w:rsid w:val="0045086D"/>
    <w:rsid w:val="00455B90"/>
    <w:rsid w:val="00456909"/>
    <w:rsid w:val="004579B5"/>
    <w:rsid w:val="00463BCC"/>
    <w:rsid w:val="00466C99"/>
    <w:rsid w:val="00474EF4"/>
    <w:rsid w:val="00485D5A"/>
    <w:rsid w:val="00490E33"/>
    <w:rsid w:val="0049749B"/>
    <w:rsid w:val="004A00C6"/>
    <w:rsid w:val="004A1545"/>
    <w:rsid w:val="004A474B"/>
    <w:rsid w:val="004A7C05"/>
    <w:rsid w:val="004B0934"/>
    <w:rsid w:val="004C1FDC"/>
    <w:rsid w:val="004C68E6"/>
    <w:rsid w:val="004D27F7"/>
    <w:rsid w:val="004D402A"/>
    <w:rsid w:val="004D5343"/>
    <w:rsid w:val="004D7EB6"/>
    <w:rsid w:val="004E0658"/>
    <w:rsid w:val="004F202C"/>
    <w:rsid w:val="0050115F"/>
    <w:rsid w:val="00520F82"/>
    <w:rsid w:val="005232B1"/>
    <w:rsid w:val="005242A5"/>
    <w:rsid w:val="005259AF"/>
    <w:rsid w:val="00527407"/>
    <w:rsid w:val="0053097C"/>
    <w:rsid w:val="005334FB"/>
    <w:rsid w:val="005455DA"/>
    <w:rsid w:val="005462D4"/>
    <w:rsid w:val="00547346"/>
    <w:rsid w:val="00551FF8"/>
    <w:rsid w:val="00552FD3"/>
    <w:rsid w:val="00564722"/>
    <w:rsid w:val="00567D5C"/>
    <w:rsid w:val="0057406A"/>
    <w:rsid w:val="00576925"/>
    <w:rsid w:val="005839B5"/>
    <w:rsid w:val="005856C5"/>
    <w:rsid w:val="00592F86"/>
    <w:rsid w:val="00594602"/>
    <w:rsid w:val="005A72EB"/>
    <w:rsid w:val="005B286C"/>
    <w:rsid w:val="005B61A8"/>
    <w:rsid w:val="005C26A7"/>
    <w:rsid w:val="005C48BE"/>
    <w:rsid w:val="005C6A21"/>
    <w:rsid w:val="005D0331"/>
    <w:rsid w:val="005D7794"/>
    <w:rsid w:val="005E2DF4"/>
    <w:rsid w:val="005E3465"/>
    <w:rsid w:val="005E35AB"/>
    <w:rsid w:val="005E7A82"/>
    <w:rsid w:val="005F5BE7"/>
    <w:rsid w:val="005F7C5D"/>
    <w:rsid w:val="00600647"/>
    <w:rsid w:val="006014CD"/>
    <w:rsid w:val="006200E0"/>
    <w:rsid w:val="00622D3B"/>
    <w:rsid w:val="006308D1"/>
    <w:rsid w:val="00633E24"/>
    <w:rsid w:val="00635118"/>
    <w:rsid w:val="0064598D"/>
    <w:rsid w:val="00647607"/>
    <w:rsid w:val="00647B08"/>
    <w:rsid w:val="00662FCA"/>
    <w:rsid w:val="006745A0"/>
    <w:rsid w:val="00675729"/>
    <w:rsid w:val="006802F9"/>
    <w:rsid w:val="0068071A"/>
    <w:rsid w:val="00682170"/>
    <w:rsid w:val="00683714"/>
    <w:rsid w:val="00686B16"/>
    <w:rsid w:val="006874C7"/>
    <w:rsid w:val="0069144A"/>
    <w:rsid w:val="00691659"/>
    <w:rsid w:val="00697707"/>
    <w:rsid w:val="006A42F1"/>
    <w:rsid w:val="006A4522"/>
    <w:rsid w:val="006A5049"/>
    <w:rsid w:val="006A5F68"/>
    <w:rsid w:val="006B42C6"/>
    <w:rsid w:val="006C054F"/>
    <w:rsid w:val="006D19D9"/>
    <w:rsid w:val="006D7173"/>
    <w:rsid w:val="006E1DD2"/>
    <w:rsid w:val="006F39CA"/>
    <w:rsid w:val="00704D80"/>
    <w:rsid w:val="00711306"/>
    <w:rsid w:val="00712A56"/>
    <w:rsid w:val="00720418"/>
    <w:rsid w:val="00720697"/>
    <w:rsid w:val="00722501"/>
    <w:rsid w:val="00730134"/>
    <w:rsid w:val="007321BB"/>
    <w:rsid w:val="00741A41"/>
    <w:rsid w:val="0074681A"/>
    <w:rsid w:val="00747A24"/>
    <w:rsid w:val="007506DE"/>
    <w:rsid w:val="00751407"/>
    <w:rsid w:val="00752DAC"/>
    <w:rsid w:val="00753F56"/>
    <w:rsid w:val="007553C8"/>
    <w:rsid w:val="00757332"/>
    <w:rsid w:val="00757BFE"/>
    <w:rsid w:val="00757F7C"/>
    <w:rsid w:val="00765C29"/>
    <w:rsid w:val="00774291"/>
    <w:rsid w:val="007745D8"/>
    <w:rsid w:val="00776DC6"/>
    <w:rsid w:val="007821B1"/>
    <w:rsid w:val="007849CA"/>
    <w:rsid w:val="00786573"/>
    <w:rsid w:val="007907E3"/>
    <w:rsid w:val="007A1425"/>
    <w:rsid w:val="007A1B65"/>
    <w:rsid w:val="007B23EC"/>
    <w:rsid w:val="007C3749"/>
    <w:rsid w:val="007C43AE"/>
    <w:rsid w:val="007D2EDD"/>
    <w:rsid w:val="007D335D"/>
    <w:rsid w:val="007E7B2E"/>
    <w:rsid w:val="007F4915"/>
    <w:rsid w:val="0080474D"/>
    <w:rsid w:val="008058FC"/>
    <w:rsid w:val="008162EB"/>
    <w:rsid w:val="00824CF1"/>
    <w:rsid w:val="00825B5C"/>
    <w:rsid w:val="00826682"/>
    <w:rsid w:val="0082718E"/>
    <w:rsid w:val="00831238"/>
    <w:rsid w:val="00837415"/>
    <w:rsid w:val="0084203B"/>
    <w:rsid w:val="008440E5"/>
    <w:rsid w:val="0084589F"/>
    <w:rsid w:val="008522FB"/>
    <w:rsid w:val="00854406"/>
    <w:rsid w:val="0086542F"/>
    <w:rsid w:val="00870248"/>
    <w:rsid w:val="008714CE"/>
    <w:rsid w:val="008725E6"/>
    <w:rsid w:val="00872F3C"/>
    <w:rsid w:val="008749B5"/>
    <w:rsid w:val="00876A9A"/>
    <w:rsid w:val="008850F7"/>
    <w:rsid w:val="00885679"/>
    <w:rsid w:val="0089012F"/>
    <w:rsid w:val="00896BB1"/>
    <w:rsid w:val="00896F3D"/>
    <w:rsid w:val="008A170A"/>
    <w:rsid w:val="008A17E7"/>
    <w:rsid w:val="008A63F9"/>
    <w:rsid w:val="008B2A8B"/>
    <w:rsid w:val="008D0729"/>
    <w:rsid w:val="008D3A8D"/>
    <w:rsid w:val="008D6D21"/>
    <w:rsid w:val="008E12E6"/>
    <w:rsid w:val="008E1C63"/>
    <w:rsid w:val="008F3ED2"/>
    <w:rsid w:val="008F749D"/>
    <w:rsid w:val="00902026"/>
    <w:rsid w:val="00903EB8"/>
    <w:rsid w:val="00905D16"/>
    <w:rsid w:val="0090736B"/>
    <w:rsid w:val="00911064"/>
    <w:rsid w:val="00912E12"/>
    <w:rsid w:val="00923D1E"/>
    <w:rsid w:val="00931128"/>
    <w:rsid w:val="00933E9F"/>
    <w:rsid w:val="009346F3"/>
    <w:rsid w:val="00947768"/>
    <w:rsid w:val="00947B81"/>
    <w:rsid w:val="0095217A"/>
    <w:rsid w:val="009614B7"/>
    <w:rsid w:val="00961AF7"/>
    <w:rsid w:val="009643F1"/>
    <w:rsid w:val="00976F6C"/>
    <w:rsid w:val="009802EE"/>
    <w:rsid w:val="009879A3"/>
    <w:rsid w:val="0099041F"/>
    <w:rsid w:val="0099060E"/>
    <w:rsid w:val="009942E8"/>
    <w:rsid w:val="009A00B3"/>
    <w:rsid w:val="009A228D"/>
    <w:rsid w:val="009B4249"/>
    <w:rsid w:val="009B5F36"/>
    <w:rsid w:val="009B6F4F"/>
    <w:rsid w:val="009C1A87"/>
    <w:rsid w:val="009C4A25"/>
    <w:rsid w:val="009D2748"/>
    <w:rsid w:val="009D416F"/>
    <w:rsid w:val="009E2A24"/>
    <w:rsid w:val="009E5F14"/>
    <w:rsid w:val="00A07454"/>
    <w:rsid w:val="00A1283E"/>
    <w:rsid w:val="00A17023"/>
    <w:rsid w:val="00A17AF3"/>
    <w:rsid w:val="00A2394C"/>
    <w:rsid w:val="00A27B09"/>
    <w:rsid w:val="00A3664B"/>
    <w:rsid w:val="00A433E1"/>
    <w:rsid w:val="00A439FD"/>
    <w:rsid w:val="00A47A72"/>
    <w:rsid w:val="00A544F0"/>
    <w:rsid w:val="00A549F6"/>
    <w:rsid w:val="00A55B08"/>
    <w:rsid w:val="00A7357C"/>
    <w:rsid w:val="00A747EA"/>
    <w:rsid w:val="00A854F3"/>
    <w:rsid w:val="00AA3585"/>
    <w:rsid w:val="00AA779C"/>
    <w:rsid w:val="00AB03C4"/>
    <w:rsid w:val="00AB22C5"/>
    <w:rsid w:val="00AB254F"/>
    <w:rsid w:val="00AB5A7A"/>
    <w:rsid w:val="00AB7AA8"/>
    <w:rsid w:val="00AC4068"/>
    <w:rsid w:val="00AC438C"/>
    <w:rsid w:val="00AC5A6B"/>
    <w:rsid w:val="00AC61AB"/>
    <w:rsid w:val="00AD4FCE"/>
    <w:rsid w:val="00AE51FD"/>
    <w:rsid w:val="00B02214"/>
    <w:rsid w:val="00B11830"/>
    <w:rsid w:val="00B12598"/>
    <w:rsid w:val="00B12980"/>
    <w:rsid w:val="00B1389F"/>
    <w:rsid w:val="00B14A09"/>
    <w:rsid w:val="00B15845"/>
    <w:rsid w:val="00B22291"/>
    <w:rsid w:val="00B27BB9"/>
    <w:rsid w:val="00B32100"/>
    <w:rsid w:val="00B408BE"/>
    <w:rsid w:val="00B430D3"/>
    <w:rsid w:val="00B64F61"/>
    <w:rsid w:val="00B672E6"/>
    <w:rsid w:val="00B85AB1"/>
    <w:rsid w:val="00B86149"/>
    <w:rsid w:val="00B928AD"/>
    <w:rsid w:val="00B940D8"/>
    <w:rsid w:val="00BA12AF"/>
    <w:rsid w:val="00BA39A8"/>
    <w:rsid w:val="00BA413D"/>
    <w:rsid w:val="00BA6364"/>
    <w:rsid w:val="00BA6E69"/>
    <w:rsid w:val="00BB31D5"/>
    <w:rsid w:val="00BB5B21"/>
    <w:rsid w:val="00BB7F60"/>
    <w:rsid w:val="00BC4F98"/>
    <w:rsid w:val="00BC58B3"/>
    <w:rsid w:val="00BD0D6B"/>
    <w:rsid w:val="00BD3971"/>
    <w:rsid w:val="00BD3DEC"/>
    <w:rsid w:val="00BD622A"/>
    <w:rsid w:val="00BE1C53"/>
    <w:rsid w:val="00BE2F5F"/>
    <w:rsid w:val="00BE319B"/>
    <w:rsid w:val="00BE34E9"/>
    <w:rsid w:val="00BE5307"/>
    <w:rsid w:val="00BF0F70"/>
    <w:rsid w:val="00BF2A86"/>
    <w:rsid w:val="00BF3FDA"/>
    <w:rsid w:val="00BF5AD2"/>
    <w:rsid w:val="00BF6E40"/>
    <w:rsid w:val="00C019FC"/>
    <w:rsid w:val="00C029E4"/>
    <w:rsid w:val="00C06E62"/>
    <w:rsid w:val="00C07BD1"/>
    <w:rsid w:val="00C13E6B"/>
    <w:rsid w:val="00C14ADB"/>
    <w:rsid w:val="00C2278A"/>
    <w:rsid w:val="00C23EF3"/>
    <w:rsid w:val="00C2467B"/>
    <w:rsid w:val="00C25104"/>
    <w:rsid w:val="00C3484F"/>
    <w:rsid w:val="00C4185F"/>
    <w:rsid w:val="00C44A0D"/>
    <w:rsid w:val="00C52881"/>
    <w:rsid w:val="00C6043F"/>
    <w:rsid w:val="00C76837"/>
    <w:rsid w:val="00C83823"/>
    <w:rsid w:val="00C92590"/>
    <w:rsid w:val="00C94CEB"/>
    <w:rsid w:val="00C94FA0"/>
    <w:rsid w:val="00CB05FA"/>
    <w:rsid w:val="00CB6E6A"/>
    <w:rsid w:val="00CC1630"/>
    <w:rsid w:val="00CC3E2D"/>
    <w:rsid w:val="00CC7311"/>
    <w:rsid w:val="00CC7F27"/>
    <w:rsid w:val="00CD20F2"/>
    <w:rsid w:val="00CE1E80"/>
    <w:rsid w:val="00CE1F7A"/>
    <w:rsid w:val="00CE4AF8"/>
    <w:rsid w:val="00CE63A1"/>
    <w:rsid w:val="00CF2F5B"/>
    <w:rsid w:val="00CF70C8"/>
    <w:rsid w:val="00D029D8"/>
    <w:rsid w:val="00D04BB1"/>
    <w:rsid w:val="00D05B78"/>
    <w:rsid w:val="00D0611C"/>
    <w:rsid w:val="00D07974"/>
    <w:rsid w:val="00D12633"/>
    <w:rsid w:val="00D14890"/>
    <w:rsid w:val="00D14B2B"/>
    <w:rsid w:val="00D15E32"/>
    <w:rsid w:val="00D213E0"/>
    <w:rsid w:val="00D24D69"/>
    <w:rsid w:val="00D3007C"/>
    <w:rsid w:val="00D32DAB"/>
    <w:rsid w:val="00D40579"/>
    <w:rsid w:val="00D456A2"/>
    <w:rsid w:val="00D45D43"/>
    <w:rsid w:val="00D46A61"/>
    <w:rsid w:val="00D6024D"/>
    <w:rsid w:val="00D66E08"/>
    <w:rsid w:val="00D70F38"/>
    <w:rsid w:val="00D741AE"/>
    <w:rsid w:val="00D8401B"/>
    <w:rsid w:val="00D9345F"/>
    <w:rsid w:val="00D93B8D"/>
    <w:rsid w:val="00D96EC3"/>
    <w:rsid w:val="00DA492D"/>
    <w:rsid w:val="00DB035D"/>
    <w:rsid w:val="00DB04F8"/>
    <w:rsid w:val="00DB7DB1"/>
    <w:rsid w:val="00DD13CF"/>
    <w:rsid w:val="00DD541E"/>
    <w:rsid w:val="00DD7EBE"/>
    <w:rsid w:val="00DE2931"/>
    <w:rsid w:val="00DE3E1D"/>
    <w:rsid w:val="00DE58F7"/>
    <w:rsid w:val="00DF1D02"/>
    <w:rsid w:val="00DF55AA"/>
    <w:rsid w:val="00DF5C33"/>
    <w:rsid w:val="00E0159C"/>
    <w:rsid w:val="00E047BF"/>
    <w:rsid w:val="00E04B8F"/>
    <w:rsid w:val="00E22843"/>
    <w:rsid w:val="00E23478"/>
    <w:rsid w:val="00E26B85"/>
    <w:rsid w:val="00E35C0F"/>
    <w:rsid w:val="00E368A5"/>
    <w:rsid w:val="00E40B67"/>
    <w:rsid w:val="00E45086"/>
    <w:rsid w:val="00E45D92"/>
    <w:rsid w:val="00E521D4"/>
    <w:rsid w:val="00E53482"/>
    <w:rsid w:val="00E60A27"/>
    <w:rsid w:val="00E622A6"/>
    <w:rsid w:val="00E62FA2"/>
    <w:rsid w:val="00E64A80"/>
    <w:rsid w:val="00E66C4D"/>
    <w:rsid w:val="00E84D21"/>
    <w:rsid w:val="00E878FA"/>
    <w:rsid w:val="00E96E99"/>
    <w:rsid w:val="00EA263E"/>
    <w:rsid w:val="00EB07E8"/>
    <w:rsid w:val="00EB0A3B"/>
    <w:rsid w:val="00EB1312"/>
    <w:rsid w:val="00EB20C9"/>
    <w:rsid w:val="00EB373C"/>
    <w:rsid w:val="00EB451D"/>
    <w:rsid w:val="00EB58B9"/>
    <w:rsid w:val="00EC38CD"/>
    <w:rsid w:val="00EC47F8"/>
    <w:rsid w:val="00EC604F"/>
    <w:rsid w:val="00EC7CBE"/>
    <w:rsid w:val="00ED08E5"/>
    <w:rsid w:val="00ED20FF"/>
    <w:rsid w:val="00EE583F"/>
    <w:rsid w:val="00EE6006"/>
    <w:rsid w:val="00EF0EC3"/>
    <w:rsid w:val="00EF7B7F"/>
    <w:rsid w:val="00F002AE"/>
    <w:rsid w:val="00F110C3"/>
    <w:rsid w:val="00F13F9E"/>
    <w:rsid w:val="00F20E14"/>
    <w:rsid w:val="00F234AD"/>
    <w:rsid w:val="00F24BFC"/>
    <w:rsid w:val="00F31D08"/>
    <w:rsid w:val="00F36F46"/>
    <w:rsid w:val="00F36F7D"/>
    <w:rsid w:val="00F40183"/>
    <w:rsid w:val="00F46DC3"/>
    <w:rsid w:val="00F54D63"/>
    <w:rsid w:val="00F611D3"/>
    <w:rsid w:val="00F75FFC"/>
    <w:rsid w:val="00F80890"/>
    <w:rsid w:val="00F81877"/>
    <w:rsid w:val="00F824DD"/>
    <w:rsid w:val="00F949C3"/>
    <w:rsid w:val="00FA1604"/>
    <w:rsid w:val="00FA2713"/>
    <w:rsid w:val="00FA4239"/>
    <w:rsid w:val="00FA5EB5"/>
    <w:rsid w:val="00FB12C8"/>
    <w:rsid w:val="00FB5BB4"/>
    <w:rsid w:val="00FC36A1"/>
    <w:rsid w:val="00FC5E0C"/>
    <w:rsid w:val="00FC652D"/>
    <w:rsid w:val="00FD1DFE"/>
    <w:rsid w:val="00FD3921"/>
    <w:rsid w:val="00FD440D"/>
    <w:rsid w:val="00FD5530"/>
    <w:rsid w:val="00FD5C58"/>
    <w:rsid w:val="00FD6BFD"/>
    <w:rsid w:val="00FE03F5"/>
    <w:rsid w:val="00FE26E0"/>
    <w:rsid w:val="00FE4F4B"/>
    <w:rsid w:val="00FE5670"/>
    <w:rsid w:val="00FF4F53"/>
    <w:rsid w:val="00FF584B"/>
    <w:rsid w:val="00FF71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25F42"/>
  <w15:chartTrackingRefBased/>
  <w15:docId w15:val="{D91078B7-35F4-7D41-890A-84269CFA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D43"/>
    <w:pPr>
      <w:spacing w:after="200" w:line="276" w:lineRule="auto"/>
      <w:jc w:val="both"/>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45D43"/>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D45D43"/>
    <w:rPr>
      <w:sz w:val="20"/>
      <w:szCs w:val="20"/>
    </w:rPr>
  </w:style>
  <w:style w:type="character" w:customStyle="1" w:styleId="TextonotapieCar1">
    <w:name w:val="Texto nota pie Car1"/>
    <w:basedOn w:val="Fuentedeprrafopredeter"/>
    <w:uiPriority w:val="99"/>
    <w:semiHidden/>
    <w:rsid w:val="00D45D43"/>
    <w:rPr>
      <w:sz w:val="20"/>
      <w:szCs w:val="20"/>
      <w:lang w:val="es-ES_tradnl"/>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D45D43"/>
    <w:rPr>
      <w:vertAlign w:val="superscript"/>
    </w:rPr>
  </w:style>
  <w:style w:type="paragraph" w:customStyle="1" w:styleId="Appelnotedebasde">
    <w:name w:val="Appel note de bas de..."/>
    <w:basedOn w:val="Normal"/>
    <w:link w:val="Refdenotaalpie"/>
    <w:uiPriority w:val="99"/>
    <w:rsid w:val="00D45D43"/>
    <w:pPr>
      <w:spacing w:after="160" w:line="240" w:lineRule="exact"/>
    </w:pPr>
    <w:rPr>
      <w:vertAlign w:val="superscript"/>
      <w:lang w:val="es-CO"/>
    </w:rPr>
  </w:style>
  <w:style w:type="paragraph" w:styleId="Piedepgina">
    <w:name w:val="footer"/>
    <w:basedOn w:val="Normal"/>
    <w:link w:val="PiedepginaCar"/>
    <w:uiPriority w:val="99"/>
    <w:unhideWhenUsed/>
    <w:rsid w:val="00D45D43"/>
    <w:pPr>
      <w:tabs>
        <w:tab w:val="center" w:pos="4419"/>
        <w:tab w:val="right" w:pos="8838"/>
      </w:tabs>
    </w:pPr>
  </w:style>
  <w:style w:type="character" w:customStyle="1" w:styleId="PiedepginaCar">
    <w:name w:val="Pie de página Car"/>
    <w:basedOn w:val="Fuentedeprrafopredeter"/>
    <w:link w:val="Piedepgina"/>
    <w:uiPriority w:val="99"/>
    <w:rsid w:val="00D45D43"/>
    <w:rPr>
      <w:szCs w:val="22"/>
      <w:lang w:val="es-MX"/>
    </w:rPr>
  </w:style>
  <w:style w:type="paragraph" w:styleId="Encabezado">
    <w:name w:val="header"/>
    <w:basedOn w:val="Normal"/>
    <w:link w:val="EncabezadoCar"/>
    <w:uiPriority w:val="99"/>
    <w:unhideWhenUsed/>
    <w:rsid w:val="00D45D43"/>
    <w:pPr>
      <w:tabs>
        <w:tab w:val="center" w:pos="4252"/>
        <w:tab w:val="right" w:pos="8504"/>
      </w:tabs>
    </w:pPr>
  </w:style>
  <w:style w:type="character" w:customStyle="1" w:styleId="EncabezadoCar">
    <w:name w:val="Encabezado Car"/>
    <w:basedOn w:val="Fuentedeprrafopredeter"/>
    <w:link w:val="Encabezado"/>
    <w:uiPriority w:val="99"/>
    <w:rsid w:val="00D45D43"/>
    <w:rPr>
      <w:szCs w:val="22"/>
      <w:lang w:val="es-MX"/>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D45D43"/>
    <w:pPr>
      <w:ind w:left="720"/>
      <w:contextualSpacing/>
    </w:pPr>
  </w:style>
  <w:style w:type="paragraph" w:styleId="NormalWeb">
    <w:name w:val="Normal (Web)"/>
    <w:basedOn w:val="Normal"/>
    <w:link w:val="NormalWebCar"/>
    <w:uiPriority w:val="99"/>
    <w:unhideWhenUsed/>
    <w:rsid w:val="00D45D4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D45D43"/>
    <w:pPr>
      <w:jc w:val="both"/>
    </w:pPr>
    <w:rPr>
      <w:szCs w:val="22"/>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D45D43"/>
    <w:rPr>
      <w:szCs w:val="22"/>
      <w:lang w:val="es-MX"/>
    </w:rPr>
  </w:style>
  <w:style w:type="character" w:customStyle="1" w:styleId="NormalWebCar">
    <w:name w:val="Normal (Web) Car"/>
    <w:link w:val="NormalWeb"/>
    <w:uiPriority w:val="99"/>
    <w:locked/>
    <w:rsid w:val="00D45D43"/>
    <w:rPr>
      <w:rFonts w:ascii="Times New Roman" w:eastAsia="Times New Roman" w:hAnsi="Times New Roman" w:cs="Times New Roman"/>
      <w:lang w:eastAsia="es-CO"/>
    </w:rPr>
  </w:style>
  <w:style w:type="paragraph" w:styleId="Textoindependiente">
    <w:name w:val="Body Text"/>
    <w:basedOn w:val="Normal"/>
    <w:link w:val="TextoindependienteCar"/>
    <w:uiPriority w:val="1"/>
    <w:qFormat/>
    <w:rsid w:val="00D45D43"/>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D45D43"/>
    <w:rPr>
      <w:rFonts w:ascii="Arial" w:eastAsia="Arial" w:hAnsi="Arial" w:cs="Arial"/>
      <w:sz w:val="22"/>
      <w:szCs w:val="22"/>
      <w:lang w:val="es-ES" w:eastAsia="es-ES" w:bidi="es-ES"/>
    </w:rPr>
  </w:style>
  <w:style w:type="table" w:customStyle="1" w:styleId="Tablaconcuadrcula1">
    <w:name w:val="Tabla con cuadrícula1"/>
    <w:basedOn w:val="Tablanormal"/>
    <w:next w:val="Tablaconcuadrcula"/>
    <w:uiPriority w:val="39"/>
    <w:rsid w:val="00D45D4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5D43"/>
    <w:pPr>
      <w:autoSpaceDE w:val="0"/>
      <w:autoSpaceDN w:val="0"/>
      <w:adjustRightInd w:val="0"/>
    </w:pPr>
    <w:rPr>
      <w:rFonts w:ascii="Arial" w:hAnsi="Arial" w:cs="Arial"/>
      <w:color w:val="000000"/>
      <w:lang w:val="es-ES"/>
    </w:rPr>
  </w:style>
  <w:style w:type="table" w:customStyle="1" w:styleId="Tablaconcuadrcula21">
    <w:name w:val="Tabla con cuadrícula21"/>
    <w:basedOn w:val="Tablanormal"/>
    <w:next w:val="Tablaconcuadrcula"/>
    <w:uiPriority w:val="59"/>
    <w:rsid w:val="00D45D4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45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75729"/>
    <w:rPr>
      <w:sz w:val="16"/>
      <w:szCs w:val="16"/>
    </w:rPr>
  </w:style>
  <w:style w:type="paragraph" w:styleId="Textocomentario">
    <w:name w:val="annotation text"/>
    <w:basedOn w:val="Normal"/>
    <w:link w:val="TextocomentarioCar"/>
    <w:uiPriority w:val="99"/>
    <w:semiHidden/>
    <w:unhideWhenUsed/>
    <w:rsid w:val="006757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572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75729"/>
    <w:rPr>
      <w:b/>
      <w:bCs/>
    </w:rPr>
  </w:style>
  <w:style w:type="character" w:customStyle="1" w:styleId="AsuntodelcomentarioCar">
    <w:name w:val="Asunto del comentario Car"/>
    <w:basedOn w:val="TextocomentarioCar"/>
    <w:link w:val="Asuntodelcomentario"/>
    <w:uiPriority w:val="99"/>
    <w:semiHidden/>
    <w:rsid w:val="00675729"/>
    <w:rPr>
      <w:b/>
      <w:bCs/>
      <w:sz w:val="20"/>
      <w:szCs w:val="20"/>
      <w:lang w:val="es-MX"/>
    </w:rPr>
  </w:style>
  <w:style w:type="paragraph" w:styleId="Revisin">
    <w:name w:val="Revision"/>
    <w:hidden/>
    <w:uiPriority w:val="99"/>
    <w:semiHidden/>
    <w:rsid w:val="000B66C7"/>
    <w:rPr>
      <w:szCs w:val="22"/>
      <w:lang w:val="es-MX"/>
    </w:rPr>
  </w:style>
  <w:style w:type="character" w:customStyle="1" w:styleId="apple-converted-space">
    <w:name w:val="apple-converted-space"/>
    <w:basedOn w:val="Fuentedeprrafopredeter"/>
    <w:rsid w:val="000B66C7"/>
  </w:style>
  <w:style w:type="character" w:customStyle="1" w:styleId="baj">
    <w:name w:val="b_aj"/>
    <w:basedOn w:val="Fuentedeprrafopredeter"/>
    <w:rsid w:val="00E23478"/>
  </w:style>
  <w:style w:type="character" w:styleId="nfasis">
    <w:name w:val="Emphasis"/>
    <w:basedOn w:val="Fuentedeprrafopredeter"/>
    <w:uiPriority w:val="20"/>
    <w:qFormat/>
    <w:rsid w:val="007849CA"/>
    <w:rPr>
      <w:i/>
      <w:iCs/>
    </w:rPr>
  </w:style>
  <w:style w:type="character" w:styleId="Hipervnculo">
    <w:name w:val="Hyperlink"/>
    <w:basedOn w:val="Fuentedeprrafopredeter"/>
    <w:uiPriority w:val="99"/>
    <w:unhideWhenUsed/>
    <w:rsid w:val="00332296"/>
    <w:rPr>
      <w:color w:val="0563C1" w:themeColor="hyperlink"/>
      <w:u w:val="single"/>
    </w:rPr>
  </w:style>
  <w:style w:type="character" w:styleId="Textoennegrita">
    <w:name w:val="Strong"/>
    <w:basedOn w:val="Fuentedeprrafopredeter"/>
    <w:uiPriority w:val="22"/>
    <w:qFormat/>
    <w:rsid w:val="00332296"/>
    <w:rPr>
      <w:b/>
      <w:bCs/>
    </w:rPr>
  </w:style>
  <w:style w:type="paragraph" w:customStyle="1" w:styleId="paragraph">
    <w:name w:val="paragraph"/>
    <w:basedOn w:val="Normal"/>
    <w:rsid w:val="00BE1C53"/>
    <w:pPr>
      <w:spacing w:before="100" w:beforeAutospacing="1" w:after="100" w:afterAutospacing="1" w:line="240" w:lineRule="auto"/>
      <w:jc w:val="left"/>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BE1C53"/>
  </w:style>
  <w:style w:type="character" w:customStyle="1" w:styleId="eop">
    <w:name w:val="eop"/>
    <w:basedOn w:val="Fuentedeprrafopredeter"/>
    <w:rsid w:val="00BE1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9137">
      <w:bodyDiv w:val="1"/>
      <w:marLeft w:val="0"/>
      <w:marRight w:val="0"/>
      <w:marTop w:val="0"/>
      <w:marBottom w:val="0"/>
      <w:divBdr>
        <w:top w:val="none" w:sz="0" w:space="0" w:color="auto"/>
        <w:left w:val="none" w:sz="0" w:space="0" w:color="auto"/>
        <w:bottom w:val="none" w:sz="0" w:space="0" w:color="auto"/>
        <w:right w:val="none" w:sz="0" w:space="0" w:color="auto"/>
      </w:divBdr>
      <w:divsChild>
        <w:div w:id="591670662">
          <w:marLeft w:val="0"/>
          <w:marRight w:val="0"/>
          <w:marTop w:val="0"/>
          <w:marBottom w:val="0"/>
          <w:divBdr>
            <w:top w:val="none" w:sz="0" w:space="0" w:color="auto"/>
            <w:left w:val="none" w:sz="0" w:space="0" w:color="auto"/>
            <w:bottom w:val="none" w:sz="0" w:space="0" w:color="auto"/>
            <w:right w:val="none" w:sz="0" w:space="0" w:color="auto"/>
          </w:divBdr>
          <w:divsChild>
            <w:div w:id="2109809407">
              <w:marLeft w:val="0"/>
              <w:marRight w:val="0"/>
              <w:marTop w:val="0"/>
              <w:marBottom w:val="0"/>
              <w:divBdr>
                <w:top w:val="none" w:sz="0" w:space="0" w:color="auto"/>
                <w:left w:val="none" w:sz="0" w:space="0" w:color="auto"/>
                <w:bottom w:val="none" w:sz="0" w:space="0" w:color="auto"/>
                <w:right w:val="none" w:sz="0" w:space="0" w:color="auto"/>
              </w:divBdr>
              <w:divsChild>
                <w:div w:id="13891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1788">
      <w:bodyDiv w:val="1"/>
      <w:marLeft w:val="0"/>
      <w:marRight w:val="0"/>
      <w:marTop w:val="0"/>
      <w:marBottom w:val="0"/>
      <w:divBdr>
        <w:top w:val="none" w:sz="0" w:space="0" w:color="auto"/>
        <w:left w:val="none" w:sz="0" w:space="0" w:color="auto"/>
        <w:bottom w:val="none" w:sz="0" w:space="0" w:color="auto"/>
        <w:right w:val="none" w:sz="0" w:space="0" w:color="auto"/>
      </w:divBdr>
      <w:divsChild>
        <w:div w:id="1785688368">
          <w:marLeft w:val="0"/>
          <w:marRight w:val="0"/>
          <w:marTop w:val="0"/>
          <w:marBottom w:val="0"/>
          <w:divBdr>
            <w:top w:val="none" w:sz="0" w:space="0" w:color="auto"/>
            <w:left w:val="none" w:sz="0" w:space="0" w:color="auto"/>
            <w:bottom w:val="none" w:sz="0" w:space="0" w:color="auto"/>
            <w:right w:val="none" w:sz="0" w:space="0" w:color="auto"/>
          </w:divBdr>
        </w:div>
        <w:div w:id="1584951616">
          <w:marLeft w:val="0"/>
          <w:marRight w:val="0"/>
          <w:marTop w:val="0"/>
          <w:marBottom w:val="0"/>
          <w:divBdr>
            <w:top w:val="none" w:sz="0" w:space="0" w:color="auto"/>
            <w:left w:val="none" w:sz="0" w:space="0" w:color="auto"/>
            <w:bottom w:val="none" w:sz="0" w:space="0" w:color="auto"/>
            <w:right w:val="none" w:sz="0" w:space="0" w:color="auto"/>
          </w:divBdr>
        </w:div>
        <w:div w:id="1449620084">
          <w:marLeft w:val="0"/>
          <w:marRight w:val="0"/>
          <w:marTop w:val="0"/>
          <w:marBottom w:val="0"/>
          <w:divBdr>
            <w:top w:val="none" w:sz="0" w:space="0" w:color="auto"/>
            <w:left w:val="none" w:sz="0" w:space="0" w:color="auto"/>
            <w:bottom w:val="none" w:sz="0" w:space="0" w:color="auto"/>
            <w:right w:val="none" w:sz="0" w:space="0" w:color="auto"/>
          </w:divBdr>
        </w:div>
        <w:div w:id="1932809771">
          <w:marLeft w:val="0"/>
          <w:marRight w:val="0"/>
          <w:marTop w:val="0"/>
          <w:marBottom w:val="0"/>
          <w:divBdr>
            <w:top w:val="none" w:sz="0" w:space="0" w:color="auto"/>
            <w:left w:val="none" w:sz="0" w:space="0" w:color="auto"/>
            <w:bottom w:val="none" w:sz="0" w:space="0" w:color="auto"/>
            <w:right w:val="none" w:sz="0" w:space="0" w:color="auto"/>
          </w:divBdr>
        </w:div>
        <w:div w:id="1219319837">
          <w:marLeft w:val="0"/>
          <w:marRight w:val="0"/>
          <w:marTop w:val="0"/>
          <w:marBottom w:val="0"/>
          <w:divBdr>
            <w:top w:val="none" w:sz="0" w:space="0" w:color="auto"/>
            <w:left w:val="none" w:sz="0" w:space="0" w:color="auto"/>
            <w:bottom w:val="none" w:sz="0" w:space="0" w:color="auto"/>
            <w:right w:val="none" w:sz="0" w:space="0" w:color="auto"/>
          </w:divBdr>
        </w:div>
        <w:div w:id="1667978196">
          <w:marLeft w:val="0"/>
          <w:marRight w:val="0"/>
          <w:marTop w:val="0"/>
          <w:marBottom w:val="0"/>
          <w:divBdr>
            <w:top w:val="none" w:sz="0" w:space="0" w:color="auto"/>
            <w:left w:val="none" w:sz="0" w:space="0" w:color="auto"/>
            <w:bottom w:val="none" w:sz="0" w:space="0" w:color="auto"/>
            <w:right w:val="none" w:sz="0" w:space="0" w:color="auto"/>
          </w:divBdr>
        </w:div>
        <w:div w:id="27687961">
          <w:marLeft w:val="0"/>
          <w:marRight w:val="0"/>
          <w:marTop w:val="0"/>
          <w:marBottom w:val="0"/>
          <w:divBdr>
            <w:top w:val="none" w:sz="0" w:space="0" w:color="auto"/>
            <w:left w:val="none" w:sz="0" w:space="0" w:color="auto"/>
            <w:bottom w:val="none" w:sz="0" w:space="0" w:color="auto"/>
            <w:right w:val="none" w:sz="0" w:space="0" w:color="auto"/>
          </w:divBdr>
        </w:div>
        <w:div w:id="2009669312">
          <w:marLeft w:val="0"/>
          <w:marRight w:val="0"/>
          <w:marTop w:val="0"/>
          <w:marBottom w:val="0"/>
          <w:divBdr>
            <w:top w:val="none" w:sz="0" w:space="0" w:color="auto"/>
            <w:left w:val="none" w:sz="0" w:space="0" w:color="auto"/>
            <w:bottom w:val="none" w:sz="0" w:space="0" w:color="auto"/>
            <w:right w:val="none" w:sz="0" w:space="0" w:color="auto"/>
          </w:divBdr>
        </w:div>
        <w:div w:id="711734120">
          <w:marLeft w:val="0"/>
          <w:marRight w:val="0"/>
          <w:marTop w:val="0"/>
          <w:marBottom w:val="0"/>
          <w:divBdr>
            <w:top w:val="none" w:sz="0" w:space="0" w:color="auto"/>
            <w:left w:val="none" w:sz="0" w:space="0" w:color="auto"/>
            <w:bottom w:val="none" w:sz="0" w:space="0" w:color="auto"/>
            <w:right w:val="none" w:sz="0" w:space="0" w:color="auto"/>
          </w:divBdr>
        </w:div>
        <w:div w:id="1071003515">
          <w:marLeft w:val="0"/>
          <w:marRight w:val="0"/>
          <w:marTop w:val="0"/>
          <w:marBottom w:val="0"/>
          <w:divBdr>
            <w:top w:val="none" w:sz="0" w:space="0" w:color="auto"/>
            <w:left w:val="none" w:sz="0" w:space="0" w:color="auto"/>
            <w:bottom w:val="none" w:sz="0" w:space="0" w:color="auto"/>
            <w:right w:val="none" w:sz="0" w:space="0" w:color="auto"/>
          </w:divBdr>
        </w:div>
        <w:div w:id="87703002">
          <w:marLeft w:val="0"/>
          <w:marRight w:val="0"/>
          <w:marTop w:val="0"/>
          <w:marBottom w:val="0"/>
          <w:divBdr>
            <w:top w:val="none" w:sz="0" w:space="0" w:color="auto"/>
            <w:left w:val="none" w:sz="0" w:space="0" w:color="auto"/>
            <w:bottom w:val="none" w:sz="0" w:space="0" w:color="auto"/>
            <w:right w:val="none" w:sz="0" w:space="0" w:color="auto"/>
          </w:divBdr>
        </w:div>
        <w:div w:id="1972439572">
          <w:marLeft w:val="0"/>
          <w:marRight w:val="0"/>
          <w:marTop w:val="0"/>
          <w:marBottom w:val="0"/>
          <w:divBdr>
            <w:top w:val="none" w:sz="0" w:space="0" w:color="auto"/>
            <w:left w:val="none" w:sz="0" w:space="0" w:color="auto"/>
            <w:bottom w:val="none" w:sz="0" w:space="0" w:color="auto"/>
            <w:right w:val="none" w:sz="0" w:space="0" w:color="auto"/>
          </w:divBdr>
        </w:div>
        <w:div w:id="942493126">
          <w:marLeft w:val="0"/>
          <w:marRight w:val="0"/>
          <w:marTop w:val="0"/>
          <w:marBottom w:val="0"/>
          <w:divBdr>
            <w:top w:val="none" w:sz="0" w:space="0" w:color="auto"/>
            <w:left w:val="none" w:sz="0" w:space="0" w:color="auto"/>
            <w:bottom w:val="none" w:sz="0" w:space="0" w:color="auto"/>
            <w:right w:val="none" w:sz="0" w:space="0" w:color="auto"/>
          </w:divBdr>
        </w:div>
        <w:div w:id="1003433412">
          <w:marLeft w:val="0"/>
          <w:marRight w:val="0"/>
          <w:marTop w:val="0"/>
          <w:marBottom w:val="0"/>
          <w:divBdr>
            <w:top w:val="none" w:sz="0" w:space="0" w:color="auto"/>
            <w:left w:val="none" w:sz="0" w:space="0" w:color="auto"/>
            <w:bottom w:val="none" w:sz="0" w:space="0" w:color="auto"/>
            <w:right w:val="none" w:sz="0" w:space="0" w:color="auto"/>
          </w:divBdr>
        </w:div>
        <w:div w:id="1623876375">
          <w:marLeft w:val="0"/>
          <w:marRight w:val="0"/>
          <w:marTop w:val="0"/>
          <w:marBottom w:val="0"/>
          <w:divBdr>
            <w:top w:val="none" w:sz="0" w:space="0" w:color="auto"/>
            <w:left w:val="none" w:sz="0" w:space="0" w:color="auto"/>
            <w:bottom w:val="none" w:sz="0" w:space="0" w:color="auto"/>
            <w:right w:val="none" w:sz="0" w:space="0" w:color="auto"/>
          </w:divBdr>
        </w:div>
        <w:div w:id="60953952">
          <w:marLeft w:val="0"/>
          <w:marRight w:val="0"/>
          <w:marTop w:val="0"/>
          <w:marBottom w:val="0"/>
          <w:divBdr>
            <w:top w:val="none" w:sz="0" w:space="0" w:color="auto"/>
            <w:left w:val="none" w:sz="0" w:space="0" w:color="auto"/>
            <w:bottom w:val="none" w:sz="0" w:space="0" w:color="auto"/>
            <w:right w:val="none" w:sz="0" w:space="0" w:color="auto"/>
          </w:divBdr>
        </w:div>
        <w:div w:id="86972506">
          <w:marLeft w:val="0"/>
          <w:marRight w:val="0"/>
          <w:marTop w:val="0"/>
          <w:marBottom w:val="0"/>
          <w:divBdr>
            <w:top w:val="none" w:sz="0" w:space="0" w:color="auto"/>
            <w:left w:val="none" w:sz="0" w:space="0" w:color="auto"/>
            <w:bottom w:val="none" w:sz="0" w:space="0" w:color="auto"/>
            <w:right w:val="none" w:sz="0" w:space="0" w:color="auto"/>
          </w:divBdr>
        </w:div>
        <w:div w:id="969242762">
          <w:marLeft w:val="0"/>
          <w:marRight w:val="0"/>
          <w:marTop w:val="0"/>
          <w:marBottom w:val="0"/>
          <w:divBdr>
            <w:top w:val="none" w:sz="0" w:space="0" w:color="auto"/>
            <w:left w:val="none" w:sz="0" w:space="0" w:color="auto"/>
            <w:bottom w:val="none" w:sz="0" w:space="0" w:color="auto"/>
            <w:right w:val="none" w:sz="0" w:space="0" w:color="auto"/>
          </w:divBdr>
        </w:div>
        <w:div w:id="1785729728">
          <w:marLeft w:val="0"/>
          <w:marRight w:val="0"/>
          <w:marTop w:val="0"/>
          <w:marBottom w:val="0"/>
          <w:divBdr>
            <w:top w:val="none" w:sz="0" w:space="0" w:color="auto"/>
            <w:left w:val="none" w:sz="0" w:space="0" w:color="auto"/>
            <w:bottom w:val="none" w:sz="0" w:space="0" w:color="auto"/>
            <w:right w:val="none" w:sz="0" w:space="0" w:color="auto"/>
          </w:divBdr>
        </w:div>
        <w:div w:id="1280262445">
          <w:marLeft w:val="0"/>
          <w:marRight w:val="0"/>
          <w:marTop w:val="0"/>
          <w:marBottom w:val="0"/>
          <w:divBdr>
            <w:top w:val="none" w:sz="0" w:space="0" w:color="auto"/>
            <w:left w:val="none" w:sz="0" w:space="0" w:color="auto"/>
            <w:bottom w:val="none" w:sz="0" w:space="0" w:color="auto"/>
            <w:right w:val="none" w:sz="0" w:space="0" w:color="auto"/>
          </w:divBdr>
        </w:div>
        <w:div w:id="2014411531">
          <w:marLeft w:val="0"/>
          <w:marRight w:val="0"/>
          <w:marTop w:val="0"/>
          <w:marBottom w:val="0"/>
          <w:divBdr>
            <w:top w:val="none" w:sz="0" w:space="0" w:color="auto"/>
            <w:left w:val="none" w:sz="0" w:space="0" w:color="auto"/>
            <w:bottom w:val="none" w:sz="0" w:space="0" w:color="auto"/>
            <w:right w:val="none" w:sz="0" w:space="0" w:color="auto"/>
          </w:divBdr>
        </w:div>
        <w:div w:id="2070687829">
          <w:marLeft w:val="0"/>
          <w:marRight w:val="0"/>
          <w:marTop w:val="0"/>
          <w:marBottom w:val="0"/>
          <w:divBdr>
            <w:top w:val="none" w:sz="0" w:space="0" w:color="auto"/>
            <w:left w:val="none" w:sz="0" w:space="0" w:color="auto"/>
            <w:bottom w:val="none" w:sz="0" w:space="0" w:color="auto"/>
            <w:right w:val="none" w:sz="0" w:space="0" w:color="auto"/>
          </w:divBdr>
        </w:div>
        <w:div w:id="1231310609">
          <w:marLeft w:val="0"/>
          <w:marRight w:val="0"/>
          <w:marTop w:val="0"/>
          <w:marBottom w:val="0"/>
          <w:divBdr>
            <w:top w:val="none" w:sz="0" w:space="0" w:color="auto"/>
            <w:left w:val="none" w:sz="0" w:space="0" w:color="auto"/>
            <w:bottom w:val="none" w:sz="0" w:space="0" w:color="auto"/>
            <w:right w:val="none" w:sz="0" w:space="0" w:color="auto"/>
          </w:divBdr>
        </w:div>
        <w:div w:id="1391536869">
          <w:marLeft w:val="0"/>
          <w:marRight w:val="0"/>
          <w:marTop w:val="0"/>
          <w:marBottom w:val="0"/>
          <w:divBdr>
            <w:top w:val="none" w:sz="0" w:space="0" w:color="auto"/>
            <w:left w:val="none" w:sz="0" w:space="0" w:color="auto"/>
            <w:bottom w:val="none" w:sz="0" w:space="0" w:color="auto"/>
            <w:right w:val="none" w:sz="0" w:space="0" w:color="auto"/>
          </w:divBdr>
        </w:div>
        <w:div w:id="474185138">
          <w:marLeft w:val="0"/>
          <w:marRight w:val="0"/>
          <w:marTop w:val="0"/>
          <w:marBottom w:val="0"/>
          <w:divBdr>
            <w:top w:val="none" w:sz="0" w:space="0" w:color="auto"/>
            <w:left w:val="none" w:sz="0" w:space="0" w:color="auto"/>
            <w:bottom w:val="none" w:sz="0" w:space="0" w:color="auto"/>
            <w:right w:val="none" w:sz="0" w:space="0" w:color="auto"/>
          </w:divBdr>
        </w:div>
        <w:div w:id="1380976637">
          <w:marLeft w:val="0"/>
          <w:marRight w:val="0"/>
          <w:marTop w:val="0"/>
          <w:marBottom w:val="0"/>
          <w:divBdr>
            <w:top w:val="none" w:sz="0" w:space="0" w:color="auto"/>
            <w:left w:val="none" w:sz="0" w:space="0" w:color="auto"/>
            <w:bottom w:val="none" w:sz="0" w:space="0" w:color="auto"/>
            <w:right w:val="none" w:sz="0" w:space="0" w:color="auto"/>
          </w:divBdr>
        </w:div>
      </w:divsChild>
    </w:div>
    <w:div w:id="191185074">
      <w:bodyDiv w:val="1"/>
      <w:marLeft w:val="0"/>
      <w:marRight w:val="0"/>
      <w:marTop w:val="0"/>
      <w:marBottom w:val="0"/>
      <w:divBdr>
        <w:top w:val="none" w:sz="0" w:space="0" w:color="auto"/>
        <w:left w:val="none" w:sz="0" w:space="0" w:color="auto"/>
        <w:bottom w:val="none" w:sz="0" w:space="0" w:color="auto"/>
        <w:right w:val="none" w:sz="0" w:space="0" w:color="auto"/>
      </w:divBdr>
      <w:divsChild>
        <w:div w:id="599142097">
          <w:marLeft w:val="0"/>
          <w:marRight w:val="0"/>
          <w:marTop w:val="0"/>
          <w:marBottom w:val="0"/>
          <w:divBdr>
            <w:top w:val="none" w:sz="0" w:space="0" w:color="auto"/>
            <w:left w:val="none" w:sz="0" w:space="0" w:color="auto"/>
            <w:bottom w:val="none" w:sz="0" w:space="0" w:color="auto"/>
            <w:right w:val="none" w:sz="0" w:space="0" w:color="auto"/>
          </w:divBdr>
          <w:divsChild>
            <w:div w:id="1430857898">
              <w:marLeft w:val="0"/>
              <w:marRight w:val="0"/>
              <w:marTop w:val="0"/>
              <w:marBottom w:val="0"/>
              <w:divBdr>
                <w:top w:val="none" w:sz="0" w:space="0" w:color="auto"/>
                <w:left w:val="none" w:sz="0" w:space="0" w:color="auto"/>
                <w:bottom w:val="none" w:sz="0" w:space="0" w:color="auto"/>
                <w:right w:val="none" w:sz="0" w:space="0" w:color="auto"/>
              </w:divBdr>
              <w:divsChild>
                <w:div w:id="10415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3777">
      <w:bodyDiv w:val="1"/>
      <w:marLeft w:val="0"/>
      <w:marRight w:val="0"/>
      <w:marTop w:val="0"/>
      <w:marBottom w:val="0"/>
      <w:divBdr>
        <w:top w:val="none" w:sz="0" w:space="0" w:color="auto"/>
        <w:left w:val="none" w:sz="0" w:space="0" w:color="auto"/>
        <w:bottom w:val="none" w:sz="0" w:space="0" w:color="auto"/>
        <w:right w:val="none" w:sz="0" w:space="0" w:color="auto"/>
      </w:divBdr>
      <w:divsChild>
        <w:div w:id="491986679">
          <w:marLeft w:val="0"/>
          <w:marRight w:val="0"/>
          <w:marTop w:val="0"/>
          <w:marBottom w:val="0"/>
          <w:divBdr>
            <w:top w:val="none" w:sz="0" w:space="0" w:color="auto"/>
            <w:left w:val="none" w:sz="0" w:space="0" w:color="auto"/>
            <w:bottom w:val="none" w:sz="0" w:space="0" w:color="auto"/>
            <w:right w:val="none" w:sz="0" w:space="0" w:color="auto"/>
          </w:divBdr>
          <w:divsChild>
            <w:div w:id="410664515">
              <w:marLeft w:val="0"/>
              <w:marRight w:val="0"/>
              <w:marTop w:val="0"/>
              <w:marBottom w:val="0"/>
              <w:divBdr>
                <w:top w:val="none" w:sz="0" w:space="0" w:color="auto"/>
                <w:left w:val="none" w:sz="0" w:space="0" w:color="auto"/>
                <w:bottom w:val="none" w:sz="0" w:space="0" w:color="auto"/>
                <w:right w:val="none" w:sz="0" w:space="0" w:color="auto"/>
              </w:divBdr>
              <w:divsChild>
                <w:div w:id="12054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36031">
      <w:bodyDiv w:val="1"/>
      <w:marLeft w:val="0"/>
      <w:marRight w:val="0"/>
      <w:marTop w:val="0"/>
      <w:marBottom w:val="0"/>
      <w:divBdr>
        <w:top w:val="none" w:sz="0" w:space="0" w:color="auto"/>
        <w:left w:val="none" w:sz="0" w:space="0" w:color="auto"/>
        <w:bottom w:val="none" w:sz="0" w:space="0" w:color="auto"/>
        <w:right w:val="none" w:sz="0" w:space="0" w:color="auto"/>
      </w:divBdr>
      <w:divsChild>
        <w:div w:id="1073426639">
          <w:marLeft w:val="0"/>
          <w:marRight w:val="0"/>
          <w:marTop w:val="0"/>
          <w:marBottom w:val="0"/>
          <w:divBdr>
            <w:top w:val="none" w:sz="0" w:space="0" w:color="auto"/>
            <w:left w:val="none" w:sz="0" w:space="0" w:color="auto"/>
            <w:bottom w:val="none" w:sz="0" w:space="0" w:color="auto"/>
            <w:right w:val="none" w:sz="0" w:space="0" w:color="auto"/>
          </w:divBdr>
          <w:divsChild>
            <w:div w:id="2028217608">
              <w:marLeft w:val="0"/>
              <w:marRight w:val="0"/>
              <w:marTop w:val="0"/>
              <w:marBottom w:val="0"/>
              <w:divBdr>
                <w:top w:val="none" w:sz="0" w:space="0" w:color="auto"/>
                <w:left w:val="none" w:sz="0" w:space="0" w:color="auto"/>
                <w:bottom w:val="none" w:sz="0" w:space="0" w:color="auto"/>
                <w:right w:val="none" w:sz="0" w:space="0" w:color="auto"/>
              </w:divBdr>
              <w:divsChild>
                <w:div w:id="14915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52237">
      <w:bodyDiv w:val="1"/>
      <w:marLeft w:val="0"/>
      <w:marRight w:val="0"/>
      <w:marTop w:val="0"/>
      <w:marBottom w:val="0"/>
      <w:divBdr>
        <w:top w:val="none" w:sz="0" w:space="0" w:color="auto"/>
        <w:left w:val="none" w:sz="0" w:space="0" w:color="auto"/>
        <w:bottom w:val="none" w:sz="0" w:space="0" w:color="auto"/>
        <w:right w:val="none" w:sz="0" w:space="0" w:color="auto"/>
      </w:divBdr>
    </w:div>
    <w:div w:id="298926016">
      <w:bodyDiv w:val="1"/>
      <w:marLeft w:val="0"/>
      <w:marRight w:val="0"/>
      <w:marTop w:val="0"/>
      <w:marBottom w:val="0"/>
      <w:divBdr>
        <w:top w:val="none" w:sz="0" w:space="0" w:color="auto"/>
        <w:left w:val="none" w:sz="0" w:space="0" w:color="auto"/>
        <w:bottom w:val="none" w:sz="0" w:space="0" w:color="auto"/>
        <w:right w:val="none" w:sz="0" w:space="0" w:color="auto"/>
      </w:divBdr>
    </w:div>
    <w:div w:id="399524156">
      <w:bodyDiv w:val="1"/>
      <w:marLeft w:val="0"/>
      <w:marRight w:val="0"/>
      <w:marTop w:val="0"/>
      <w:marBottom w:val="0"/>
      <w:divBdr>
        <w:top w:val="none" w:sz="0" w:space="0" w:color="auto"/>
        <w:left w:val="none" w:sz="0" w:space="0" w:color="auto"/>
        <w:bottom w:val="none" w:sz="0" w:space="0" w:color="auto"/>
        <w:right w:val="none" w:sz="0" w:space="0" w:color="auto"/>
      </w:divBdr>
    </w:div>
    <w:div w:id="418404841">
      <w:bodyDiv w:val="1"/>
      <w:marLeft w:val="0"/>
      <w:marRight w:val="0"/>
      <w:marTop w:val="0"/>
      <w:marBottom w:val="0"/>
      <w:divBdr>
        <w:top w:val="none" w:sz="0" w:space="0" w:color="auto"/>
        <w:left w:val="none" w:sz="0" w:space="0" w:color="auto"/>
        <w:bottom w:val="none" w:sz="0" w:space="0" w:color="auto"/>
        <w:right w:val="none" w:sz="0" w:space="0" w:color="auto"/>
      </w:divBdr>
    </w:div>
    <w:div w:id="452793827">
      <w:bodyDiv w:val="1"/>
      <w:marLeft w:val="0"/>
      <w:marRight w:val="0"/>
      <w:marTop w:val="0"/>
      <w:marBottom w:val="0"/>
      <w:divBdr>
        <w:top w:val="none" w:sz="0" w:space="0" w:color="auto"/>
        <w:left w:val="none" w:sz="0" w:space="0" w:color="auto"/>
        <w:bottom w:val="none" w:sz="0" w:space="0" w:color="auto"/>
        <w:right w:val="none" w:sz="0" w:space="0" w:color="auto"/>
      </w:divBdr>
    </w:div>
    <w:div w:id="551769502">
      <w:bodyDiv w:val="1"/>
      <w:marLeft w:val="0"/>
      <w:marRight w:val="0"/>
      <w:marTop w:val="0"/>
      <w:marBottom w:val="0"/>
      <w:divBdr>
        <w:top w:val="none" w:sz="0" w:space="0" w:color="auto"/>
        <w:left w:val="none" w:sz="0" w:space="0" w:color="auto"/>
        <w:bottom w:val="none" w:sz="0" w:space="0" w:color="auto"/>
        <w:right w:val="none" w:sz="0" w:space="0" w:color="auto"/>
      </w:divBdr>
    </w:div>
    <w:div w:id="770050356">
      <w:bodyDiv w:val="1"/>
      <w:marLeft w:val="0"/>
      <w:marRight w:val="0"/>
      <w:marTop w:val="0"/>
      <w:marBottom w:val="0"/>
      <w:divBdr>
        <w:top w:val="none" w:sz="0" w:space="0" w:color="auto"/>
        <w:left w:val="none" w:sz="0" w:space="0" w:color="auto"/>
        <w:bottom w:val="none" w:sz="0" w:space="0" w:color="auto"/>
        <w:right w:val="none" w:sz="0" w:space="0" w:color="auto"/>
      </w:divBdr>
      <w:divsChild>
        <w:div w:id="29302283">
          <w:marLeft w:val="0"/>
          <w:marRight w:val="0"/>
          <w:marTop w:val="0"/>
          <w:marBottom w:val="0"/>
          <w:divBdr>
            <w:top w:val="none" w:sz="0" w:space="0" w:color="auto"/>
            <w:left w:val="none" w:sz="0" w:space="0" w:color="auto"/>
            <w:bottom w:val="none" w:sz="0" w:space="0" w:color="auto"/>
            <w:right w:val="none" w:sz="0" w:space="0" w:color="auto"/>
          </w:divBdr>
          <w:divsChild>
            <w:div w:id="2031566832">
              <w:marLeft w:val="0"/>
              <w:marRight w:val="0"/>
              <w:marTop w:val="0"/>
              <w:marBottom w:val="0"/>
              <w:divBdr>
                <w:top w:val="none" w:sz="0" w:space="0" w:color="auto"/>
                <w:left w:val="none" w:sz="0" w:space="0" w:color="auto"/>
                <w:bottom w:val="none" w:sz="0" w:space="0" w:color="auto"/>
                <w:right w:val="none" w:sz="0" w:space="0" w:color="auto"/>
              </w:divBdr>
              <w:divsChild>
                <w:div w:id="10638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57624">
      <w:bodyDiv w:val="1"/>
      <w:marLeft w:val="0"/>
      <w:marRight w:val="0"/>
      <w:marTop w:val="0"/>
      <w:marBottom w:val="0"/>
      <w:divBdr>
        <w:top w:val="none" w:sz="0" w:space="0" w:color="auto"/>
        <w:left w:val="none" w:sz="0" w:space="0" w:color="auto"/>
        <w:bottom w:val="none" w:sz="0" w:space="0" w:color="auto"/>
        <w:right w:val="none" w:sz="0" w:space="0" w:color="auto"/>
      </w:divBdr>
    </w:div>
    <w:div w:id="1297643982">
      <w:bodyDiv w:val="1"/>
      <w:marLeft w:val="0"/>
      <w:marRight w:val="0"/>
      <w:marTop w:val="0"/>
      <w:marBottom w:val="0"/>
      <w:divBdr>
        <w:top w:val="none" w:sz="0" w:space="0" w:color="auto"/>
        <w:left w:val="none" w:sz="0" w:space="0" w:color="auto"/>
        <w:bottom w:val="none" w:sz="0" w:space="0" w:color="auto"/>
        <w:right w:val="none" w:sz="0" w:space="0" w:color="auto"/>
      </w:divBdr>
    </w:div>
    <w:div w:id="1473667715">
      <w:bodyDiv w:val="1"/>
      <w:marLeft w:val="0"/>
      <w:marRight w:val="0"/>
      <w:marTop w:val="0"/>
      <w:marBottom w:val="0"/>
      <w:divBdr>
        <w:top w:val="none" w:sz="0" w:space="0" w:color="auto"/>
        <w:left w:val="none" w:sz="0" w:space="0" w:color="auto"/>
        <w:bottom w:val="none" w:sz="0" w:space="0" w:color="auto"/>
        <w:right w:val="none" w:sz="0" w:space="0" w:color="auto"/>
      </w:divBdr>
    </w:div>
    <w:div w:id="1566602613">
      <w:bodyDiv w:val="1"/>
      <w:marLeft w:val="0"/>
      <w:marRight w:val="0"/>
      <w:marTop w:val="0"/>
      <w:marBottom w:val="0"/>
      <w:divBdr>
        <w:top w:val="none" w:sz="0" w:space="0" w:color="auto"/>
        <w:left w:val="none" w:sz="0" w:space="0" w:color="auto"/>
        <w:bottom w:val="none" w:sz="0" w:space="0" w:color="auto"/>
        <w:right w:val="none" w:sz="0" w:space="0" w:color="auto"/>
      </w:divBdr>
      <w:divsChild>
        <w:div w:id="798307354">
          <w:marLeft w:val="0"/>
          <w:marRight w:val="0"/>
          <w:marTop w:val="0"/>
          <w:marBottom w:val="0"/>
          <w:divBdr>
            <w:top w:val="none" w:sz="0" w:space="0" w:color="auto"/>
            <w:left w:val="none" w:sz="0" w:space="0" w:color="auto"/>
            <w:bottom w:val="none" w:sz="0" w:space="0" w:color="auto"/>
            <w:right w:val="none" w:sz="0" w:space="0" w:color="auto"/>
          </w:divBdr>
          <w:divsChild>
            <w:div w:id="945424519">
              <w:marLeft w:val="0"/>
              <w:marRight w:val="0"/>
              <w:marTop w:val="0"/>
              <w:marBottom w:val="0"/>
              <w:divBdr>
                <w:top w:val="none" w:sz="0" w:space="0" w:color="auto"/>
                <w:left w:val="none" w:sz="0" w:space="0" w:color="auto"/>
                <w:bottom w:val="none" w:sz="0" w:space="0" w:color="auto"/>
                <w:right w:val="none" w:sz="0" w:space="0" w:color="auto"/>
              </w:divBdr>
              <w:divsChild>
                <w:div w:id="10333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1901">
      <w:bodyDiv w:val="1"/>
      <w:marLeft w:val="0"/>
      <w:marRight w:val="0"/>
      <w:marTop w:val="0"/>
      <w:marBottom w:val="0"/>
      <w:divBdr>
        <w:top w:val="none" w:sz="0" w:space="0" w:color="auto"/>
        <w:left w:val="none" w:sz="0" w:space="0" w:color="auto"/>
        <w:bottom w:val="none" w:sz="0" w:space="0" w:color="auto"/>
        <w:right w:val="none" w:sz="0" w:space="0" w:color="auto"/>
      </w:divBdr>
      <w:divsChild>
        <w:div w:id="3243830">
          <w:marLeft w:val="0"/>
          <w:marRight w:val="0"/>
          <w:marTop w:val="0"/>
          <w:marBottom w:val="0"/>
          <w:divBdr>
            <w:top w:val="none" w:sz="0" w:space="0" w:color="auto"/>
            <w:left w:val="none" w:sz="0" w:space="0" w:color="auto"/>
            <w:bottom w:val="none" w:sz="0" w:space="0" w:color="auto"/>
            <w:right w:val="none" w:sz="0" w:space="0" w:color="auto"/>
          </w:divBdr>
          <w:divsChild>
            <w:div w:id="1584878951">
              <w:marLeft w:val="0"/>
              <w:marRight w:val="0"/>
              <w:marTop w:val="0"/>
              <w:marBottom w:val="0"/>
              <w:divBdr>
                <w:top w:val="none" w:sz="0" w:space="0" w:color="auto"/>
                <w:left w:val="none" w:sz="0" w:space="0" w:color="auto"/>
                <w:bottom w:val="none" w:sz="0" w:space="0" w:color="auto"/>
                <w:right w:val="none" w:sz="0" w:space="0" w:color="auto"/>
              </w:divBdr>
              <w:divsChild>
                <w:div w:id="15114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6927">
      <w:bodyDiv w:val="1"/>
      <w:marLeft w:val="0"/>
      <w:marRight w:val="0"/>
      <w:marTop w:val="0"/>
      <w:marBottom w:val="0"/>
      <w:divBdr>
        <w:top w:val="none" w:sz="0" w:space="0" w:color="auto"/>
        <w:left w:val="none" w:sz="0" w:space="0" w:color="auto"/>
        <w:bottom w:val="none" w:sz="0" w:space="0" w:color="auto"/>
        <w:right w:val="none" w:sz="0" w:space="0" w:color="auto"/>
      </w:divBdr>
    </w:div>
    <w:div w:id="1674645434">
      <w:bodyDiv w:val="1"/>
      <w:marLeft w:val="0"/>
      <w:marRight w:val="0"/>
      <w:marTop w:val="0"/>
      <w:marBottom w:val="0"/>
      <w:divBdr>
        <w:top w:val="none" w:sz="0" w:space="0" w:color="auto"/>
        <w:left w:val="none" w:sz="0" w:space="0" w:color="auto"/>
        <w:bottom w:val="none" w:sz="0" w:space="0" w:color="auto"/>
        <w:right w:val="none" w:sz="0" w:space="0" w:color="auto"/>
      </w:divBdr>
      <w:divsChild>
        <w:div w:id="670333152">
          <w:marLeft w:val="0"/>
          <w:marRight w:val="0"/>
          <w:marTop w:val="0"/>
          <w:marBottom w:val="0"/>
          <w:divBdr>
            <w:top w:val="none" w:sz="0" w:space="0" w:color="auto"/>
            <w:left w:val="none" w:sz="0" w:space="0" w:color="auto"/>
            <w:bottom w:val="none" w:sz="0" w:space="0" w:color="auto"/>
            <w:right w:val="none" w:sz="0" w:space="0" w:color="auto"/>
          </w:divBdr>
          <w:divsChild>
            <w:div w:id="1936473720">
              <w:marLeft w:val="0"/>
              <w:marRight w:val="0"/>
              <w:marTop w:val="0"/>
              <w:marBottom w:val="0"/>
              <w:divBdr>
                <w:top w:val="none" w:sz="0" w:space="0" w:color="auto"/>
                <w:left w:val="none" w:sz="0" w:space="0" w:color="auto"/>
                <w:bottom w:val="none" w:sz="0" w:space="0" w:color="auto"/>
                <w:right w:val="none" w:sz="0" w:space="0" w:color="auto"/>
              </w:divBdr>
              <w:divsChild>
                <w:div w:id="15599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35045">
      <w:bodyDiv w:val="1"/>
      <w:marLeft w:val="0"/>
      <w:marRight w:val="0"/>
      <w:marTop w:val="0"/>
      <w:marBottom w:val="0"/>
      <w:divBdr>
        <w:top w:val="none" w:sz="0" w:space="0" w:color="auto"/>
        <w:left w:val="none" w:sz="0" w:space="0" w:color="auto"/>
        <w:bottom w:val="none" w:sz="0" w:space="0" w:color="auto"/>
        <w:right w:val="none" w:sz="0" w:space="0" w:color="auto"/>
      </w:divBdr>
    </w:div>
    <w:div w:id="1756245801">
      <w:bodyDiv w:val="1"/>
      <w:marLeft w:val="0"/>
      <w:marRight w:val="0"/>
      <w:marTop w:val="0"/>
      <w:marBottom w:val="0"/>
      <w:divBdr>
        <w:top w:val="none" w:sz="0" w:space="0" w:color="auto"/>
        <w:left w:val="none" w:sz="0" w:space="0" w:color="auto"/>
        <w:bottom w:val="none" w:sz="0" w:space="0" w:color="auto"/>
        <w:right w:val="none" w:sz="0" w:space="0" w:color="auto"/>
      </w:divBdr>
      <w:divsChild>
        <w:div w:id="518588516">
          <w:marLeft w:val="0"/>
          <w:marRight w:val="0"/>
          <w:marTop w:val="0"/>
          <w:marBottom w:val="0"/>
          <w:divBdr>
            <w:top w:val="none" w:sz="0" w:space="0" w:color="auto"/>
            <w:left w:val="none" w:sz="0" w:space="0" w:color="auto"/>
            <w:bottom w:val="none" w:sz="0" w:space="0" w:color="auto"/>
            <w:right w:val="none" w:sz="0" w:space="0" w:color="auto"/>
          </w:divBdr>
        </w:div>
        <w:div w:id="1687757044">
          <w:marLeft w:val="0"/>
          <w:marRight w:val="0"/>
          <w:marTop w:val="0"/>
          <w:marBottom w:val="0"/>
          <w:divBdr>
            <w:top w:val="none" w:sz="0" w:space="0" w:color="auto"/>
            <w:left w:val="none" w:sz="0" w:space="0" w:color="auto"/>
            <w:bottom w:val="none" w:sz="0" w:space="0" w:color="auto"/>
            <w:right w:val="none" w:sz="0" w:space="0" w:color="auto"/>
          </w:divBdr>
        </w:div>
        <w:div w:id="1406880693">
          <w:marLeft w:val="0"/>
          <w:marRight w:val="0"/>
          <w:marTop w:val="0"/>
          <w:marBottom w:val="0"/>
          <w:divBdr>
            <w:top w:val="none" w:sz="0" w:space="0" w:color="auto"/>
            <w:left w:val="none" w:sz="0" w:space="0" w:color="auto"/>
            <w:bottom w:val="none" w:sz="0" w:space="0" w:color="auto"/>
            <w:right w:val="none" w:sz="0" w:space="0" w:color="auto"/>
          </w:divBdr>
        </w:div>
        <w:div w:id="1888224423">
          <w:marLeft w:val="0"/>
          <w:marRight w:val="0"/>
          <w:marTop w:val="0"/>
          <w:marBottom w:val="0"/>
          <w:divBdr>
            <w:top w:val="none" w:sz="0" w:space="0" w:color="auto"/>
            <w:left w:val="none" w:sz="0" w:space="0" w:color="auto"/>
            <w:bottom w:val="none" w:sz="0" w:space="0" w:color="auto"/>
            <w:right w:val="none" w:sz="0" w:space="0" w:color="auto"/>
          </w:divBdr>
        </w:div>
        <w:div w:id="1964116197">
          <w:marLeft w:val="0"/>
          <w:marRight w:val="0"/>
          <w:marTop w:val="0"/>
          <w:marBottom w:val="0"/>
          <w:divBdr>
            <w:top w:val="none" w:sz="0" w:space="0" w:color="auto"/>
            <w:left w:val="none" w:sz="0" w:space="0" w:color="auto"/>
            <w:bottom w:val="none" w:sz="0" w:space="0" w:color="auto"/>
            <w:right w:val="none" w:sz="0" w:space="0" w:color="auto"/>
          </w:divBdr>
        </w:div>
        <w:div w:id="1000542155">
          <w:marLeft w:val="0"/>
          <w:marRight w:val="0"/>
          <w:marTop w:val="0"/>
          <w:marBottom w:val="0"/>
          <w:divBdr>
            <w:top w:val="none" w:sz="0" w:space="0" w:color="auto"/>
            <w:left w:val="none" w:sz="0" w:space="0" w:color="auto"/>
            <w:bottom w:val="none" w:sz="0" w:space="0" w:color="auto"/>
            <w:right w:val="none" w:sz="0" w:space="0" w:color="auto"/>
          </w:divBdr>
        </w:div>
      </w:divsChild>
    </w:div>
    <w:div w:id="1763188218">
      <w:bodyDiv w:val="1"/>
      <w:marLeft w:val="0"/>
      <w:marRight w:val="0"/>
      <w:marTop w:val="0"/>
      <w:marBottom w:val="0"/>
      <w:divBdr>
        <w:top w:val="none" w:sz="0" w:space="0" w:color="auto"/>
        <w:left w:val="none" w:sz="0" w:space="0" w:color="auto"/>
        <w:bottom w:val="none" w:sz="0" w:space="0" w:color="auto"/>
        <w:right w:val="none" w:sz="0" w:space="0" w:color="auto"/>
      </w:divBdr>
    </w:div>
    <w:div w:id="1974288461">
      <w:bodyDiv w:val="1"/>
      <w:marLeft w:val="0"/>
      <w:marRight w:val="0"/>
      <w:marTop w:val="0"/>
      <w:marBottom w:val="0"/>
      <w:divBdr>
        <w:top w:val="none" w:sz="0" w:space="0" w:color="auto"/>
        <w:left w:val="none" w:sz="0" w:space="0" w:color="auto"/>
        <w:bottom w:val="none" w:sz="0" w:space="0" w:color="auto"/>
        <w:right w:val="none" w:sz="0" w:space="0" w:color="auto"/>
      </w:divBdr>
      <w:divsChild>
        <w:div w:id="1081565477">
          <w:marLeft w:val="0"/>
          <w:marRight w:val="0"/>
          <w:marTop w:val="0"/>
          <w:marBottom w:val="0"/>
          <w:divBdr>
            <w:top w:val="none" w:sz="0" w:space="0" w:color="auto"/>
            <w:left w:val="none" w:sz="0" w:space="0" w:color="auto"/>
            <w:bottom w:val="none" w:sz="0" w:space="0" w:color="auto"/>
            <w:right w:val="none" w:sz="0" w:space="0" w:color="auto"/>
          </w:divBdr>
          <w:divsChild>
            <w:div w:id="1117526183">
              <w:marLeft w:val="0"/>
              <w:marRight w:val="0"/>
              <w:marTop w:val="0"/>
              <w:marBottom w:val="0"/>
              <w:divBdr>
                <w:top w:val="none" w:sz="0" w:space="0" w:color="auto"/>
                <w:left w:val="none" w:sz="0" w:space="0" w:color="auto"/>
                <w:bottom w:val="none" w:sz="0" w:space="0" w:color="auto"/>
                <w:right w:val="none" w:sz="0" w:space="0" w:color="auto"/>
              </w:divBdr>
              <w:divsChild>
                <w:div w:id="20437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3428">
      <w:bodyDiv w:val="1"/>
      <w:marLeft w:val="0"/>
      <w:marRight w:val="0"/>
      <w:marTop w:val="0"/>
      <w:marBottom w:val="0"/>
      <w:divBdr>
        <w:top w:val="none" w:sz="0" w:space="0" w:color="auto"/>
        <w:left w:val="none" w:sz="0" w:space="0" w:color="auto"/>
        <w:bottom w:val="none" w:sz="0" w:space="0" w:color="auto"/>
        <w:right w:val="none" w:sz="0" w:space="0" w:color="auto"/>
      </w:divBdr>
      <w:divsChild>
        <w:div w:id="149056216">
          <w:marLeft w:val="0"/>
          <w:marRight w:val="0"/>
          <w:marTop w:val="0"/>
          <w:marBottom w:val="0"/>
          <w:divBdr>
            <w:top w:val="none" w:sz="0" w:space="0" w:color="auto"/>
            <w:left w:val="none" w:sz="0" w:space="0" w:color="auto"/>
            <w:bottom w:val="none" w:sz="0" w:space="0" w:color="auto"/>
            <w:right w:val="none" w:sz="0" w:space="0" w:color="auto"/>
          </w:divBdr>
          <w:divsChild>
            <w:div w:id="2009482322">
              <w:marLeft w:val="0"/>
              <w:marRight w:val="0"/>
              <w:marTop w:val="0"/>
              <w:marBottom w:val="0"/>
              <w:divBdr>
                <w:top w:val="none" w:sz="0" w:space="0" w:color="auto"/>
                <w:left w:val="none" w:sz="0" w:space="0" w:color="auto"/>
                <w:bottom w:val="none" w:sz="0" w:space="0" w:color="auto"/>
                <w:right w:val="none" w:sz="0" w:space="0" w:color="auto"/>
              </w:divBdr>
              <w:divsChild>
                <w:div w:id="21022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0057">
      <w:bodyDiv w:val="1"/>
      <w:marLeft w:val="0"/>
      <w:marRight w:val="0"/>
      <w:marTop w:val="0"/>
      <w:marBottom w:val="0"/>
      <w:divBdr>
        <w:top w:val="none" w:sz="0" w:space="0" w:color="auto"/>
        <w:left w:val="none" w:sz="0" w:space="0" w:color="auto"/>
        <w:bottom w:val="none" w:sz="0" w:space="0" w:color="auto"/>
        <w:right w:val="none" w:sz="0" w:space="0" w:color="auto"/>
      </w:divBdr>
    </w:div>
    <w:div w:id="2127309701">
      <w:bodyDiv w:val="1"/>
      <w:marLeft w:val="0"/>
      <w:marRight w:val="0"/>
      <w:marTop w:val="0"/>
      <w:marBottom w:val="0"/>
      <w:divBdr>
        <w:top w:val="none" w:sz="0" w:space="0" w:color="auto"/>
        <w:left w:val="none" w:sz="0" w:space="0" w:color="auto"/>
        <w:bottom w:val="none" w:sz="0" w:space="0" w:color="auto"/>
        <w:right w:val="none" w:sz="0" w:space="0" w:color="auto"/>
      </w:divBdr>
    </w:div>
    <w:div w:id="2142265913">
      <w:bodyDiv w:val="1"/>
      <w:marLeft w:val="0"/>
      <w:marRight w:val="0"/>
      <w:marTop w:val="0"/>
      <w:marBottom w:val="0"/>
      <w:divBdr>
        <w:top w:val="none" w:sz="0" w:space="0" w:color="auto"/>
        <w:left w:val="none" w:sz="0" w:space="0" w:color="auto"/>
        <w:bottom w:val="none" w:sz="0" w:space="0" w:color="auto"/>
        <w:right w:val="none" w:sz="0" w:space="0" w:color="auto"/>
      </w:divBdr>
      <w:divsChild>
        <w:div w:id="1202282846">
          <w:marLeft w:val="0"/>
          <w:marRight w:val="0"/>
          <w:marTop w:val="0"/>
          <w:marBottom w:val="0"/>
          <w:divBdr>
            <w:top w:val="none" w:sz="0" w:space="0" w:color="auto"/>
            <w:left w:val="none" w:sz="0" w:space="0" w:color="auto"/>
            <w:bottom w:val="none" w:sz="0" w:space="0" w:color="auto"/>
            <w:right w:val="none" w:sz="0" w:space="0" w:color="auto"/>
          </w:divBdr>
          <w:divsChild>
            <w:div w:id="1681082985">
              <w:marLeft w:val="0"/>
              <w:marRight w:val="0"/>
              <w:marTop w:val="0"/>
              <w:marBottom w:val="0"/>
              <w:divBdr>
                <w:top w:val="none" w:sz="0" w:space="0" w:color="auto"/>
                <w:left w:val="none" w:sz="0" w:space="0" w:color="auto"/>
                <w:bottom w:val="none" w:sz="0" w:space="0" w:color="auto"/>
                <w:right w:val="none" w:sz="0" w:space="0" w:color="auto"/>
              </w:divBdr>
              <w:divsChild>
                <w:div w:id="8875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beltranpardo.com/wp-content/uploads/2021/02/CorteConstitucional_Inexequibilidadpar%C3%A1grafo2Art6L2014.pdf"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6D384E-B399-4884-B6EC-E67404D3D3D3}">
  <ds:schemaRefs>
    <ds:schemaRef ds:uri="http://schemas.openxmlformats.org/officeDocument/2006/bibliography"/>
  </ds:schemaRefs>
</ds:datastoreItem>
</file>

<file path=customXml/itemProps2.xml><?xml version="1.0" encoding="utf-8"?>
<ds:datastoreItem xmlns:ds="http://schemas.openxmlformats.org/officeDocument/2006/customXml" ds:itemID="{99D13294-AEF1-4A5C-97B2-6D8B9294115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8CE8B890-C35D-405D-B4A2-E97E315A2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E41DA-88E7-43E4-AFD3-C1DD695844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26</Pages>
  <Words>9484</Words>
  <Characters>52168</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Carolina Montes Bustos</dc:creator>
  <cp:keywords/>
  <dc:description/>
  <cp:lastModifiedBy>Felipe Bastidas Paredes</cp:lastModifiedBy>
  <cp:revision>7</cp:revision>
  <dcterms:created xsi:type="dcterms:W3CDTF">2022-01-05T21:16:00Z</dcterms:created>
  <dcterms:modified xsi:type="dcterms:W3CDTF">2022-01-05T22:19:00Z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