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48AF" w14:textId="77777777" w:rsidR="00483977" w:rsidRPr="004F3997" w:rsidRDefault="00483977" w:rsidP="00483977">
      <w:pPr>
        <w:jc w:val="right"/>
        <w:rPr>
          <w:rFonts w:ascii="Arial" w:hAnsi="Arial" w:cs="Arial"/>
          <w:bCs/>
          <w:color w:val="000000" w:themeColor="text1"/>
          <w:sz w:val="16"/>
          <w:szCs w:val="16"/>
          <w:lang w:eastAsia="es-ES"/>
        </w:rPr>
      </w:pPr>
      <w:bookmarkStart w:id="0" w:name="_Hlk34041509"/>
      <w:bookmarkStart w:id="1" w:name="_Hlk28946138"/>
      <w:bookmarkStart w:id="2" w:name="_Hlk29548183"/>
      <w:bookmarkEnd w:id="0"/>
      <w:r w:rsidRPr="004F3997">
        <w:rPr>
          <w:rFonts w:ascii="Arial" w:hAnsi="Arial" w:cs="Arial"/>
          <w:bCs/>
          <w:color w:val="000000" w:themeColor="text1"/>
          <w:sz w:val="16"/>
          <w:szCs w:val="16"/>
          <w:lang w:eastAsia="es-ES"/>
        </w:rPr>
        <w:t>CCE-DES-FM-17</w:t>
      </w:r>
    </w:p>
    <w:p w14:paraId="32C2C72C" w14:textId="77777777" w:rsidR="00E21006" w:rsidRPr="004F3997" w:rsidRDefault="00E21006" w:rsidP="00423F17">
      <w:pPr>
        <w:jc w:val="both"/>
        <w:rPr>
          <w:rFonts w:ascii="Arial" w:eastAsia="Calibri" w:hAnsi="Arial" w:cs="Arial"/>
          <w:b/>
          <w:bCs/>
          <w:color w:val="000000"/>
          <w:sz w:val="22"/>
          <w:lang w:val="es-ES_tradnl"/>
        </w:rPr>
      </w:pPr>
    </w:p>
    <w:p w14:paraId="24D2330E" w14:textId="5D1CBE70" w:rsidR="00423F17" w:rsidRPr="004F3997" w:rsidRDefault="00423F17" w:rsidP="00423F17">
      <w:pPr>
        <w:jc w:val="both"/>
        <w:rPr>
          <w:rFonts w:ascii="Arial" w:eastAsia="Calibri" w:hAnsi="Arial" w:cs="Arial"/>
          <w:b/>
          <w:bCs/>
          <w:color w:val="000000"/>
          <w:sz w:val="22"/>
          <w:lang w:val="es-ES_tradnl"/>
        </w:rPr>
      </w:pPr>
      <w:r w:rsidRPr="004F3997">
        <w:rPr>
          <w:rFonts w:ascii="Arial" w:eastAsia="Calibri" w:hAnsi="Arial" w:cs="Arial"/>
          <w:b/>
          <w:bCs/>
          <w:color w:val="000000"/>
          <w:sz w:val="22"/>
          <w:lang w:val="es-ES_tradnl"/>
        </w:rPr>
        <w:t>LEY 816 DE 2003 – Apoyo a la industria nacional – Ámbito de aplicación</w:t>
      </w:r>
    </w:p>
    <w:p w14:paraId="2EFD67F2" w14:textId="77777777" w:rsidR="00423F17" w:rsidRPr="004F3997" w:rsidRDefault="00423F17" w:rsidP="00423F17">
      <w:pPr>
        <w:jc w:val="both"/>
        <w:rPr>
          <w:rFonts w:ascii="Arial" w:eastAsia="Calibri" w:hAnsi="Arial" w:cs="Arial"/>
          <w:b/>
          <w:bCs/>
          <w:color w:val="000000"/>
          <w:sz w:val="22"/>
          <w:lang w:val="es-ES_tradnl"/>
        </w:rPr>
      </w:pPr>
    </w:p>
    <w:p w14:paraId="06515B53" w14:textId="5251A9A7" w:rsidR="00423F17" w:rsidRPr="004F3997" w:rsidRDefault="00423F17" w:rsidP="00423F17">
      <w:pPr>
        <w:jc w:val="both"/>
        <w:rPr>
          <w:rFonts w:ascii="Arial" w:eastAsia="Calibri" w:hAnsi="Arial" w:cs="Arial"/>
          <w:color w:val="000000"/>
          <w:sz w:val="20"/>
          <w:szCs w:val="20"/>
          <w:lang w:val="es-ES_tradnl"/>
        </w:rPr>
      </w:pPr>
      <w:r w:rsidRPr="004F3997">
        <w:rPr>
          <w:rFonts w:ascii="Arial" w:eastAsia="Calibri" w:hAnsi="Arial" w:cs="Arial"/>
          <w:color w:val="000000"/>
          <w:sz w:val="20"/>
          <w:szCs w:val="20"/>
          <w:lang w:val="es-ES_tradnl"/>
        </w:rPr>
        <w:t>[…] 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 . En este sentido, a un 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7ED31397" w14:textId="7668925F" w:rsidR="004919AE" w:rsidRPr="004F3997" w:rsidRDefault="00423F17" w:rsidP="00DB648F">
      <w:pPr>
        <w:jc w:val="both"/>
        <w:rPr>
          <w:rFonts w:ascii="Arial" w:eastAsia="Calibri" w:hAnsi="Arial" w:cs="Arial"/>
          <w:color w:val="000000"/>
          <w:sz w:val="20"/>
          <w:szCs w:val="20"/>
          <w:lang w:val="es-ES_tradnl"/>
        </w:rPr>
      </w:pPr>
      <w:r w:rsidRPr="004F3997">
        <w:rPr>
          <w:rFonts w:ascii="Arial" w:eastAsia="Calibri" w:hAnsi="Arial" w:cs="Arial"/>
          <w:color w:val="000000"/>
          <w:sz w:val="20"/>
          <w:szCs w:val="20"/>
          <w:lang w:val="es-ES_tradnl"/>
        </w:rPr>
        <w:t xml:space="preserve">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 </w:t>
      </w:r>
    </w:p>
    <w:p w14:paraId="24C42D51" w14:textId="77777777" w:rsidR="00E21006" w:rsidRPr="004F3997" w:rsidRDefault="00E21006" w:rsidP="00DB648F">
      <w:pPr>
        <w:jc w:val="both"/>
        <w:rPr>
          <w:rFonts w:ascii="Arial" w:eastAsia="Calibri" w:hAnsi="Arial" w:cs="Arial"/>
          <w:color w:val="000000"/>
          <w:sz w:val="20"/>
          <w:szCs w:val="20"/>
          <w:lang w:val="es-ES_tradnl"/>
        </w:rPr>
      </w:pPr>
    </w:p>
    <w:p w14:paraId="678D084D" w14:textId="77777777" w:rsidR="00E21006" w:rsidRPr="004F3997" w:rsidRDefault="00E21006" w:rsidP="00E21006">
      <w:pPr>
        <w:jc w:val="both"/>
        <w:rPr>
          <w:rFonts w:ascii="Arial" w:eastAsia="Calibri" w:hAnsi="Arial" w:cs="Arial"/>
          <w:b/>
          <w:bCs/>
          <w:color w:val="000000" w:themeColor="text1"/>
          <w:sz w:val="22"/>
          <w:lang w:val="es-ES_tradnl"/>
        </w:rPr>
      </w:pPr>
      <w:r w:rsidRPr="004F3997">
        <w:rPr>
          <w:rFonts w:ascii="Arial" w:eastAsia="Calibri" w:hAnsi="Arial" w:cs="Arial"/>
          <w:b/>
          <w:bCs/>
          <w:color w:val="000000" w:themeColor="text1"/>
          <w:sz w:val="22"/>
          <w:lang w:val="es-ES_tradnl"/>
        </w:rPr>
        <w:t>DECRETO 680 DE 2021 – Regla de origen – Alcance servicios nacionales</w:t>
      </w:r>
    </w:p>
    <w:p w14:paraId="28846909" w14:textId="77777777" w:rsidR="00E21006" w:rsidRPr="004F3997" w:rsidRDefault="00E21006" w:rsidP="00E21006">
      <w:pPr>
        <w:jc w:val="both"/>
        <w:rPr>
          <w:rFonts w:ascii="Arial" w:eastAsia="Calibri" w:hAnsi="Arial" w:cs="Arial"/>
          <w:b/>
          <w:bCs/>
          <w:color w:val="000000" w:themeColor="text1"/>
          <w:sz w:val="22"/>
          <w:lang w:val="es-ES_tradnl"/>
        </w:rPr>
      </w:pPr>
    </w:p>
    <w:p w14:paraId="7ABE5542" w14:textId="3883C240" w:rsidR="00E21006" w:rsidRPr="004F3997" w:rsidRDefault="00E21006" w:rsidP="00E21006">
      <w:pPr>
        <w:jc w:val="both"/>
        <w:rPr>
          <w:rFonts w:ascii="Arial" w:hAnsi="Arial" w:cs="Arial"/>
          <w:color w:val="000000" w:themeColor="text1"/>
          <w:sz w:val="20"/>
          <w:szCs w:val="20"/>
          <w:lang w:val="es-ES_tradnl"/>
        </w:rPr>
      </w:pPr>
      <w:r w:rsidRPr="004F3997">
        <w:rPr>
          <w:rFonts w:ascii="Arial" w:hAnsi="Arial" w:cs="Arial"/>
          <w:color w:val="000000" w:themeColor="text1"/>
          <w:sz w:val="20"/>
          <w:szCs w:val="20"/>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establece </w:t>
      </w:r>
      <w:proofErr w:type="gramStart"/>
      <w:r w:rsidRPr="004F3997">
        <w:rPr>
          <w:rFonts w:ascii="Arial" w:hAnsi="Arial" w:cs="Arial"/>
          <w:color w:val="000000" w:themeColor="text1"/>
          <w:sz w:val="20"/>
          <w:szCs w:val="20"/>
          <w:lang w:val="es-ES_tradnl"/>
        </w:rPr>
        <w:t>que</w:t>
      </w:r>
      <w:proofErr w:type="gramEnd"/>
      <w:r w:rsidRPr="004F3997">
        <w:rPr>
          <w:rFonts w:ascii="Arial" w:hAnsi="Arial" w:cs="Arial"/>
          <w:color w:val="000000" w:themeColor="text1"/>
          <w:sz w:val="20"/>
          <w:szCs w:val="20"/>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1BFDA02" w14:textId="77777777" w:rsidR="00E21006" w:rsidRPr="004F3997" w:rsidRDefault="00E21006" w:rsidP="00E21006">
      <w:pPr>
        <w:jc w:val="both"/>
        <w:rPr>
          <w:rFonts w:ascii="Arial" w:hAnsi="Arial" w:cs="Arial"/>
          <w:color w:val="000000" w:themeColor="text1"/>
          <w:sz w:val="20"/>
          <w:szCs w:val="20"/>
          <w:lang w:val="es-ES_tradnl"/>
        </w:rPr>
      </w:pPr>
    </w:p>
    <w:p w14:paraId="510B2BC1" w14:textId="177DDB45" w:rsidR="00E21006" w:rsidRPr="004F3997" w:rsidRDefault="00E21006" w:rsidP="00E21006">
      <w:pPr>
        <w:jc w:val="both"/>
        <w:rPr>
          <w:rFonts w:ascii="Arial" w:eastAsia="Calibri" w:hAnsi="Arial" w:cs="Arial"/>
          <w:b/>
          <w:bCs/>
          <w:color w:val="000000" w:themeColor="text1"/>
          <w:sz w:val="22"/>
          <w:lang w:val="es-ES_tradnl"/>
        </w:rPr>
      </w:pPr>
      <w:r w:rsidRPr="004F3997">
        <w:rPr>
          <w:rFonts w:ascii="Arial" w:eastAsia="Calibri" w:hAnsi="Arial" w:cs="Arial"/>
          <w:b/>
          <w:bCs/>
          <w:color w:val="000000" w:themeColor="text1"/>
          <w:sz w:val="22"/>
          <w:lang w:val="es-ES_tradnl"/>
        </w:rPr>
        <w:t xml:space="preserve">DECRETO 680 DE 2021 – Regla de origen – Criterios – Identificación </w:t>
      </w:r>
      <w:r w:rsidR="0033117F">
        <w:rPr>
          <w:rFonts w:ascii="Arial" w:eastAsia="Calibri" w:hAnsi="Arial" w:cs="Arial"/>
          <w:b/>
          <w:bCs/>
          <w:color w:val="000000" w:themeColor="text1"/>
          <w:sz w:val="22"/>
          <w:lang w:val="es-ES_tradnl"/>
        </w:rPr>
        <w:t>–</w:t>
      </w:r>
      <w:r w:rsidRPr="004F3997">
        <w:rPr>
          <w:rFonts w:ascii="Arial" w:eastAsia="Calibri" w:hAnsi="Arial" w:cs="Arial"/>
          <w:b/>
          <w:bCs/>
          <w:color w:val="000000" w:themeColor="text1"/>
          <w:sz w:val="22"/>
          <w:lang w:val="es-ES_tradnl"/>
        </w:rPr>
        <w:t xml:space="preserve"> </w:t>
      </w:r>
      <w:r w:rsidR="0033117F">
        <w:rPr>
          <w:rFonts w:ascii="Arial" w:eastAsia="Calibri" w:hAnsi="Arial" w:cs="Arial"/>
          <w:b/>
          <w:bCs/>
          <w:color w:val="000000" w:themeColor="text1"/>
          <w:sz w:val="22"/>
          <w:lang w:val="es-ES_tradnl"/>
        </w:rPr>
        <w:t>B</w:t>
      </w:r>
      <w:r w:rsidRPr="004F3997">
        <w:rPr>
          <w:rFonts w:ascii="Arial" w:eastAsia="Calibri" w:hAnsi="Arial" w:cs="Arial"/>
          <w:b/>
          <w:bCs/>
          <w:color w:val="000000" w:themeColor="text1"/>
          <w:sz w:val="22"/>
          <w:lang w:val="es-ES_tradnl"/>
        </w:rPr>
        <w:t>ienes nacionales relevantes</w:t>
      </w:r>
    </w:p>
    <w:p w14:paraId="349A767D" w14:textId="77777777" w:rsidR="00E21006" w:rsidRPr="004F3997" w:rsidRDefault="00E21006" w:rsidP="00E21006">
      <w:pPr>
        <w:jc w:val="both"/>
        <w:rPr>
          <w:rFonts w:ascii="Arial" w:hAnsi="Arial" w:cs="Arial"/>
          <w:color w:val="000000" w:themeColor="text1"/>
          <w:sz w:val="20"/>
          <w:szCs w:val="20"/>
          <w:lang w:val="es-ES_tradnl"/>
        </w:rPr>
      </w:pPr>
    </w:p>
    <w:p w14:paraId="24C0580D" w14:textId="77777777" w:rsidR="00E21006" w:rsidRPr="004F3997" w:rsidRDefault="00E21006" w:rsidP="00E21006">
      <w:pPr>
        <w:jc w:val="both"/>
        <w:rPr>
          <w:rFonts w:ascii="Arial" w:hAnsi="Arial" w:cs="Arial"/>
          <w:color w:val="000000" w:themeColor="text1"/>
          <w:sz w:val="20"/>
          <w:szCs w:val="20"/>
          <w:lang w:val="es-ES_tradnl"/>
        </w:rPr>
      </w:pPr>
      <w:r w:rsidRPr="004F3997">
        <w:rPr>
          <w:rFonts w:ascii="Arial" w:hAnsi="Arial" w:cs="Arial"/>
          <w:color w:val="000000" w:themeColor="text1"/>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En aplicación de estos </w:t>
      </w:r>
      <w:r w:rsidRPr="004F3997">
        <w:rPr>
          <w:rFonts w:ascii="Arial" w:hAnsi="Arial" w:cs="Arial"/>
          <w:color w:val="000000" w:themeColor="text1"/>
          <w:sz w:val="20"/>
          <w:szCs w:val="20"/>
          <w:lang w:val="es-ES_tradnl"/>
        </w:rPr>
        <w:lastRenderedPageBreak/>
        <w:t>criterios, corresponde a la entidad estatal determinar en los respectivos pliegos de condiciones o documentos equivalentes, la metodología conforme con la cual se asignará el puntaje correspondiente por apoyo a la industria nacional.</w:t>
      </w:r>
    </w:p>
    <w:p w14:paraId="32F73724" w14:textId="281B4084" w:rsidR="00E21006" w:rsidRPr="004F3997" w:rsidRDefault="00E21006" w:rsidP="00E21006">
      <w:pPr>
        <w:jc w:val="both"/>
        <w:rPr>
          <w:rFonts w:ascii="Arial" w:hAnsi="Arial" w:cs="Arial"/>
          <w:color w:val="000000" w:themeColor="text1"/>
          <w:sz w:val="20"/>
          <w:szCs w:val="20"/>
          <w:lang w:val="es-ES_tradnl"/>
        </w:rPr>
      </w:pPr>
    </w:p>
    <w:p w14:paraId="775B72FC" w14:textId="0E24067C" w:rsidR="00E21006" w:rsidRPr="004F3997" w:rsidRDefault="00E21006" w:rsidP="00E21006">
      <w:pPr>
        <w:jc w:val="both"/>
        <w:rPr>
          <w:rFonts w:ascii="Arial" w:eastAsia="Calibri" w:hAnsi="Arial" w:cs="Arial"/>
          <w:b/>
          <w:bCs/>
          <w:color w:val="000000" w:themeColor="text1"/>
          <w:sz w:val="22"/>
          <w:lang w:val="es-ES_tradnl"/>
        </w:rPr>
      </w:pPr>
      <w:r w:rsidRPr="004F3997">
        <w:rPr>
          <w:rFonts w:ascii="Arial" w:eastAsia="Calibri" w:hAnsi="Arial" w:cs="Arial"/>
          <w:b/>
          <w:bCs/>
          <w:color w:val="000000" w:themeColor="text1"/>
          <w:sz w:val="22"/>
          <w:lang w:val="es-ES_tradnl"/>
        </w:rPr>
        <w:t xml:space="preserve">DOCUMENTOS TIPO – Modificaciones – Puntaje </w:t>
      </w:r>
      <w:r w:rsidR="0033117F">
        <w:rPr>
          <w:rFonts w:ascii="Arial" w:eastAsia="Calibri" w:hAnsi="Arial" w:cs="Arial"/>
          <w:b/>
          <w:bCs/>
          <w:color w:val="000000" w:themeColor="text1"/>
          <w:sz w:val="22"/>
          <w:lang w:val="es-ES_tradnl"/>
        </w:rPr>
        <w:t>–</w:t>
      </w:r>
      <w:r w:rsidRPr="004F3997">
        <w:rPr>
          <w:rFonts w:ascii="Arial" w:eastAsia="Calibri" w:hAnsi="Arial" w:cs="Arial"/>
          <w:b/>
          <w:bCs/>
          <w:color w:val="000000" w:themeColor="text1"/>
          <w:sz w:val="22"/>
          <w:lang w:val="es-ES_tradnl"/>
        </w:rPr>
        <w:t xml:space="preserve"> </w:t>
      </w:r>
      <w:r w:rsidR="0033117F">
        <w:rPr>
          <w:rFonts w:ascii="Arial" w:eastAsia="Calibri" w:hAnsi="Arial" w:cs="Arial"/>
          <w:b/>
          <w:bCs/>
          <w:color w:val="000000" w:themeColor="text1"/>
          <w:sz w:val="22"/>
          <w:lang w:val="es-ES_tradnl"/>
        </w:rPr>
        <w:t>A</w:t>
      </w:r>
      <w:r w:rsidRPr="004F3997">
        <w:rPr>
          <w:rFonts w:ascii="Arial" w:eastAsia="Calibri" w:hAnsi="Arial" w:cs="Arial"/>
          <w:b/>
          <w:bCs/>
          <w:color w:val="000000" w:themeColor="text1"/>
          <w:sz w:val="22"/>
          <w:lang w:val="es-ES_tradnl"/>
        </w:rPr>
        <w:t xml:space="preserve">poyo a la industria nacional – Metodología </w:t>
      </w:r>
      <w:r w:rsidR="0033117F">
        <w:rPr>
          <w:rFonts w:ascii="Arial" w:eastAsia="Calibri" w:hAnsi="Arial" w:cs="Arial"/>
          <w:b/>
          <w:bCs/>
          <w:color w:val="000000" w:themeColor="text1"/>
          <w:sz w:val="22"/>
          <w:lang w:val="es-ES_tradnl"/>
        </w:rPr>
        <w:t>– B</w:t>
      </w:r>
      <w:r w:rsidRPr="004F3997">
        <w:rPr>
          <w:rFonts w:ascii="Arial" w:eastAsia="Calibri" w:hAnsi="Arial" w:cs="Arial"/>
          <w:b/>
          <w:bCs/>
          <w:color w:val="000000" w:themeColor="text1"/>
          <w:sz w:val="22"/>
          <w:lang w:val="es-ES_tradnl"/>
        </w:rPr>
        <w:t>ienes nacionales relevantes</w:t>
      </w:r>
    </w:p>
    <w:p w14:paraId="3886CDDD" w14:textId="4F0B8A46" w:rsidR="00E21006" w:rsidRPr="004F3997" w:rsidRDefault="00E21006" w:rsidP="00E21006">
      <w:pPr>
        <w:jc w:val="both"/>
        <w:rPr>
          <w:rFonts w:ascii="Arial" w:hAnsi="Arial" w:cs="Arial"/>
          <w:color w:val="000000" w:themeColor="text1"/>
          <w:sz w:val="20"/>
          <w:szCs w:val="20"/>
          <w:lang w:val="es-ES_tradnl"/>
        </w:rPr>
      </w:pPr>
    </w:p>
    <w:p w14:paraId="23D2340D" w14:textId="171980A4" w:rsidR="00E21006" w:rsidRPr="0033117F" w:rsidRDefault="00E21006" w:rsidP="00E21006">
      <w:pPr>
        <w:jc w:val="both"/>
        <w:rPr>
          <w:rFonts w:ascii="Arial" w:hAnsi="Arial" w:cs="Arial"/>
          <w:color w:val="000000" w:themeColor="text1"/>
          <w:sz w:val="20"/>
          <w:szCs w:val="20"/>
          <w:lang w:val="es-ES_tradnl"/>
        </w:rPr>
      </w:pPr>
      <w:r w:rsidRPr="0033117F">
        <w:rPr>
          <w:rFonts w:ascii="Arial" w:hAnsi="Arial" w:cs="Arial"/>
          <w:color w:val="000000" w:themeColor="text1"/>
          <w:sz w:val="20"/>
          <w:szCs w:val="20"/>
          <w:lang w:val="es-ES_tradnl"/>
        </w:rPr>
        <w:t xml:space="preserve">La entrada en vigor del Decreto 680 de 2021, al modificar la noción de Servicios Nacionales contenida en el Decreto 1082 de 2015, generó la necesidad de adecuar los documentos tipo expedidos por la Agencia Nacional de Contratación Pública – Colombia Compra Eficiente en ejercicio de las potestades conferidas por la Ley 2022 de 2020. Esto comoquiera </w:t>
      </w:r>
      <w:proofErr w:type="gramStart"/>
      <w:r w:rsidRPr="0033117F">
        <w:rPr>
          <w:rFonts w:ascii="Arial" w:hAnsi="Arial" w:cs="Arial"/>
          <w:color w:val="000000" w:themeColor="text1"/>
          <w:sz w:val="20"/>
          <w:szCs w:val="20"/>
          <w:lang w:val="es-ES_tradnl"/>
        </w:rPr>
        <w:t>que</w:t>
      </w:r>
      <w:proofErr w:type="gramEnd"/>
      <w:r w:rsidRPr="0033117F">
        <w:rPr>
          <w:rFonts w:ascii="Arial" w:hAnsi="Arial" w:cs="Arial"/>
          <w:color w:val="000000" w:themeColor="text1"/>
          <w:sz w:val="20"/>
          <w:szCs w:val="20"/>
          <w:lang w:val="es-ES_tradnl"/>
        </w:rPr>
        <w:t xml:space="preserv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2 del artículo 3 de tal decreto, contempló un plazo de tres meses para que esta Agencia realizara la adecuación de los documentos tipo. </w:t>
      </w:r>
    </w:p>
    <w:p w14:paraId="43CC7EF3" w14:textId="77777777" w:rsidR="00E21006" w:rsidRPr="0033117F" w:rsidRDefault="00E21006" w:rsidP="00E21006">
      <w:pPr>
        <w:jc w:val="both"/>
        <w:rPr>
          <w:rFonts w:ascii="Arial" w:hAnsi="Arial" w:cs="Arial"/>
          <w:color w:val="000000" w:themeColor="text1"/>
          <w:sz w:val="20"/>
          <w:szCs w:val="20"/>
          <w:lang w:val="es-ES_tradnl"/>
        </w:rPr>
      </w:pPr>
      <w:r w:rsidRPr="0033117F">
        <w:rPr>
          <w:rFonts w:ascii="Arial" w:hAnsi="Arial" w:cs="Arial"/>
          <w:color w:val="000000" w:themeColor="text1"/>
          <w:sz w:val="20"/>
          <w:szCs w:val="2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5E03F0AF" w14:textId="58353F12" w:rsidR="00586800" w:rsidRPr="0033117F" w:rsidRDefault="00586800" w:rsidP="004919AE">
      <w:pPr>
        <w:jc w:val="both"/>
        <w:rPr>
          <w:rFonts w:ascii="Arial" w:hAnsi="Arial" w:cs="Arial"/>
          <w:b/>
          <w:bCs/>
          <w:color w:val="000000" w:themeColor="text1"/>
          <w:sz w:val="20"/>
          <w:szCs w:val="20"/>
          <w:lang w:val="es-ES_tradnl"/>
        </w:rPr>
      </w:pPr>
    </w:p>
    <w:p w14:paraId="0DC169B0" w14:textId="77777777" w:rsidR="00586800" w:rsidRPr="0033117F" w:rsidRDefault="00586800" w:rsidP="004919AE">
      <w:pPr>
        <w:jc w:val="both"/>
        <w:rPr>
          <w:rFonts w:ascii="Arial" w:hAnsi="Arial" w:cs="Arial"/>
          <w:b/>
          <w:bCs/>
          <w:color w:val="000000" w:themeColor="text1"/>
          <w:sz w:val="20"/>
          <w:szCs w:val="20"/>
        </w:rPr>
      </w:pPr>
    </w:p>
    <w:p w14:paraId="69917CEE" w14:textId="0D729686" w:rsidR="00610842" w:rsidRPr="004F3997" w:rsidRDefault="00610842" w:rsidP="004919AE">
      <w:pPr>
        <w:jc w:val="both"/>
        <w:rPr>
          <w:rFonts w:ascii="Arial" w:hAnsi="Arial" w:cs="Arial"/>
          <w:b/>
          <w:bCs/>
          <w:color w:val="000000" w:themeColor="text1"/>
          <w:sz w:val="20"/>
          <w:szCs w:val="20"/>
        </w:rPr>
      </w:pPr>
    </w:p>
    <w:p w14:paraId="000540EA" w14:textId="64980741" w:rsidR="00610842" w:rsidRPr="004F3997" w:rsidRDefault="00610842" w:rsidP="004919AE">
      <w:pPr>
        <w:jc w:val="both"/>
        <w:rPr>
          <w:rFonts w:ascii="Arial" w:hAnsi="Arial" w:cs="Arial"/>
          <w:b/>
          <w:bCs/>
          <w:color w:val="000000" w:themeColor="text1"/>
          <w:sz w:val="20"/>
          <w:szCs w:val="20"/>
        </w:rPr>
      </w:pPr>
    </w:p>
    <w:p w14:paraId="375B35F0" w14:textId="4130FA0D" w:rsidR="00610842" w:rsidRPr="004F3997" w:rsidRDefault="00610842" w:rsidP="004919AE">
      <w:pPr>
        <w:jc w:val="both"/>
        <w:rPr>
          <w:rFonts w:ascii="Arial" w:hAnsi="Arial" w:cs="Arial"/>
          <w:b/>
          <w:bCs/>
          <w:color w:val="000000" w:themeColor="text1"/>
          <w:sz w:val="20"/>
          <w:szCs w:val="20"/>
        </w:rPr>
      </w:pPr>
    </w:p>
    <w:p w14:paraId="0EF5919A" w14:textId="7DDF825B" w:rsidR="00610842" w:rsidRPr="004F3997" w:rsidRDefault="00610842" w:rsidP="004919AE">
      <w:pPr>
        <w:jc w:val="both"/>
        <w:rPr>
          <w:rFonts w:ascii="Arial" w:hAnsi="Arial" w:cs="Arial"/>
          <w:b/>
          <w:bCs/>
          <w:color w:val="000000" w:themeColor="text1"/>
          <w:sz w:val="20"/>
          <w:szCs w:val="20"/>
        </w:rPr>
      </w:pPr>
    </w:p>
    <w:p w14:paraId="0298CCDB" w14:textId="3AF7A156" w:rsidR="00610842" w:rsidRPr="004F3997" w:rsidRDefault="00610842" w:rsidP="004919AE">
      <w:pPr>
        <w:jc w:val="both"/>
        <w:rPr>
          <w:rFonts w:ascii="Arial" w:hAnsi="Arial" w:cs="Arial"/>
          <w:b/>
          <w:bCs/>
          <w:color w:val="000000" w:themeColor="text1"/>
          <w:sz w:val="20"/>
          <w:szCs w:val="20"/>
        </w:rPr>
      </w:pPr>
    </w:p>
    <w:p w14:paraId="48F5276D" w14:textId="7FF66081" w:rsidR="00610842" w:rsidRPr="004F3997" w:rsidRDefault="00610842" w:rsidP="004919AE">
      <w:pPr>
        <w:jc w:val="both"/>
        <w:rPr>
          <w:rFonts w:ascii="Arial" w:hAnsi="Arial" w:cs="Arial"/>
          <w:b/>
          <w:bCs/>
          <w:color w:val="000000" w:themeColor="text1"/>
          <w:sz w:val="20"/>
          <w:szCs w:val="20"/>
        </w:rPr>
      </w:pPr>
    </w:p>
    <w:p w14:paraId="29E121E3" w14:textId="3CDDC008" w:rsidR="00610842" w:rsidRPr="004F3997" w:rsidRDefault="00610842" w:rsidP="004919AE">
      <w:pPr>
        <w:jc w:val="both"/>
        <w:rPr>
          <w:rFonts w:ascii="Arial" w:hAnsi="Arial" w:cs="Arial"/>
          <w:b/>
          <w:bCs/>
          <w:color w:val="000000" w:themeColor="text1"/>
          <w:sz w:val="20"/>
          <w:szCs w:val="20"/>
        </w:rPr>
      </w:pPr>
    </w:p>
    <w:p w14:paraId="221CC016" w14:textId="4401C2EA" w:rsidR="00610842" w:rsidRPr="004F3997" w:rsidRDefault="00610842" w:rsidP="004919AE">
      <w:pPr>
        <w:jc w:val="both"/>
        <w:rPr>
          <w:rFonts w:ascii="Arial" w:hAnsi="Arial" w:cs="Arial"/>
          <w:b/>
          <w:bCs/>
          <w:color w:val="000000" w:themeColor="text1"/>
          <w:sz w:val="20"/>
          <w:szCs w:val="20"/>
        </w:rPr>
      </w:pPr>
    </w:p>
    <w:p w14:paraId="129F6A52" w14:textId="08BE8111" w:rsidR="00610842" w:rsidRPr="004F3997" w:rsidRDefault="00610842" w:rsidP="004919AE">
      <w:pPr>
        <w:jc w:val="both"/>
        <w:rPr>
          <w:rFonts w:ascii="Arial" w:hAnsi="Arial" w:cs="Arial"/>
          <w:b/>
          <w:bCs/>
          <w:color w:val="000000" w:themeColor="text1"/>
          <w:sz w:val="20"/>
          <w:szCs w:val="20"/>
        </w:rPr>
      </w:pPr>
    </w:p>
    <w:p w14:paraId="0F6A2246" w14:textId="75B19AA3" w:rsidR="00610842" w:rsidRPr="004F3997" w:rsidRDefault="00610842" w:rsidP="004919AE">
      <w:pPr>
        <w:jc w:val="both"/>
        <w:rPr>
          <w:rFonts w:ascii="Arial" w:hAnsi="Arial" w:cs="Arial"/>
          <w:b/>
          <w:bCs/>
          <w:color w:val="000000" w:themeColor="text1"/>
          <w:sz w:val="20"/>
          <w:szCs w:val="20"/>
        </w:rPr>
      </w:pPr>
    </w:p>
    <w:p w14:paraId="39865CCC" w14:textId="72A2C211" w:rsidR="00610842" w:rsidRPr="004F3997" w:rsidRDefault="00610842" w:rsidP="004919AE">
      <w:pPr>
        <w:jc w:val="both"/>
        <w:rPr>
          <w:rFonts w:ascii="Arial" w:hAnsi="Arial" w:cs="Arial"/>
          <w:b/>
          <w:bCs/>
          <w:color w:val="000000" w:themeColor="text1"/>
          <w:sz w:val="20"/>
          <w:szCs w:val="20"/>
        </w:rPr>
      </w:pPr>
    </w:p>
    <w:p w14:paraId="68FBFCB6" w14:textId="261AB9BF" w:rsidR="00610842" w:rsidRPr="004F3997" w:rsidRDefault="00610842" w:rsidP="004919AE">
      <w:pPr>
        <w:jc w:val="both"/>
        <w:rPr>
          <w:rFonts w:ascii="Arial" w:hAnsi="Arial" w:cs="Arial"/>
          <w:b/>
          <w:bCs/>
          <w:color w:val="000000" w:themeColor="text1"/>
          <w:sz w:val="20"/>
          <w:szCs w:val="20"/>
        </w:rPr>
      </w:pPr>
    </w:p>
    <w:p w14:paraId="6BF053D8" w14:textId="7F217DB9" w:rsidR="00586800" w:rsidRPr="004F3997" w:rsidRDefault="00586800" w:rsidP="004919AE">
      <w:pPr>
        <w:jc w:val="both"/>
        <w:rPr>
          <w:rFonts w:ascii="Arial" w:hAnsi="Arial" w:cs="Arial"/>
          <w:b/>
          <w:bCs/>
          <w:color w:val="000000" w:themeColor="text1"/>
          <w:sz w:val="20"/>
          <w:szCs w:val="20"/>
        </w:rPr>
      </w:pPr>
    </w:p>
    <w:p w14:paraId="42E12D93" w14:textId="539E348C" w:rsidR="00DD04E9" w:rsidRPr="004F3997" w:rsidRDefault="00DD04E9" w:rsidP="004919AE">
      <w:pPr>
        <w:jc w:val="both"/>
        <w:rPr>
          <w:rFonts w:ascii="Arial" w:hAnsi="Arial" w:cs="Arial"/>
          <w:b/>
          <w:bCs/>
          <w:color w:val="000000" w:themeColor="text1"/>
          <w:sz w:val="20"/>
          <w:szCs w:val="20"/>
        </w:rPr>
      </w:pPr>
    </w:p>
    <w:p w14:paraId="7752B805" w14:textId="3B6A9DDD" w:rsidR="00DD04E9" w:rsidRPr="004F3997" w:rsidRDefault="00DD04E9" w:rsidP="004919AE">
      <w:pPr>
        <w:jc w:val="both"/>
        <w:rPr>
          <w:rFonts w:ascii="Arial" w:hAnsi="Arial" w:cs="Arial"/>
          <w:b/>
          <w:bCs/>
          <w:color w:val="000000" w:themeColor="text1"/>
          <w:sz w:val="20"/>
          <w:szCs w:val="20"/>
        </w:rPr>
      </w:pPr>
    </w:p>
    <w:p w14:paraId="0436FF7B" w14:textId="77777777" w:rsidR="00DD04E9" w:rsidRPr="004F3997" w:rsidRDefault="00DD04E9" w:rsidP="004919AE">
      <w:pPr>
        <w:jc w:val="both"/>
        <w:rPr>
          <w:rFonts w:ascii="Arial" w:hAnsi="Arial" w:cs="Arial"/>
          <w:b/>
          <w:bCs/>
          <w:color w:val="000000" w:themeColor="text1"/>
          <w:sz w:val="20"/>
          <w:szCs w:val="20"/>
        </w:rPr>
      </w:pPr>
    </w:p>
    <w:p w14:paraId="4D71AD21" w14:textId="1D0BA907" w:rsidR="00586800" w:rsidRPr="004F3997" w:rsidRDefault="00586800" w:rsidP="004919AE">
      <w:pPr>
        <w:jc w:val="both"/>
        <w:rPr>
          <w:rFonts w:ascii="Arial" w:hAnsi="Arial" w:cs="Arial"/>
          <w:b/>
          <w:bCs/>
          <w:color w:val="000000" w:themeColor="text1"/>
          <w:sz w:val="20"/>
          <w:szCs w:val="20"/>
        </w:rPr>
      </w:pPr>
    </w:p>
    <w:p w14:paraId="63602372" w14:textId="7A3CA533" w:rsidR="00586800" w:rsidRPr="004F3997" w:rsidRDefault="00586800" w:rsidP="004919AE">
      <w:pPr>
        <w:jc w:val="both"/>
        <w:rPr>
          <w:rFonts w:ascii="Arial" w:hAnsi="Arial" w:cs="Arial"/>
          <w:color w:val="000000" w:themeColor="text1"/>
          <w:sz w:val="20"/>
          <w:szCs w:val="20"/>
        </w:rPr>
      </w:pPr>
    </w:p>
    <w:p w14:paraId="039A9F1A" w14:textId="717F187F" w:rsidR="00586800" w:rsidRPr="004F3997" w:rsidRDefault="003476B1" w:rsidP="003476B1">
      <w:pPr>
        <w:jc w:val="right"/>
        <w:rPr>
          <w:rFonts w:ascii="Arial" w:hAnsi="Arial" w:cs="Arial"/>
          <w:color w:val="000000" w:themeColor="text1"/>
          <w:sz w:val="20"/>
          <w:szCs w:val="20"/>
        </w:rPr>
      </w:pPr>
      <w:r>
        <w:rPr>
          <w:rFonts w:ascii="Times New Roman"/>
          <w:noProof/>
          <w:sz w:val="20"/>
        </w:rPr>
        <w:lastRenderedPageBreak/>
        <w:drawing>
          <wp:inline distT="0" distB="0" distL="0" distR="0" wp14:anchorId="33DBB4A7" wp14:editId="0EAE2F88">
            <wp:extent cx="2379945" cy="60883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2F624500" w14:textId="6D715B58" w:rsidR="00610842" w:rsidRPr="004F3997" w:rsidRDefault="00DD0AEE" w:rsidP="004919AE">
      <w:pPr>
        <w:jc w:val="both"/>
        <w:rPr>
          <w:rFonts w:ascii="Arial" w:hAnsi="Arial" w:cs="Arial"/>
          <w:color w:val="000000" w:themeColor="text1"/>
          <w:sz w:val="20"/>
          <w:szCs w:val="20"/>
        </w:rPr>
      </w:pPr>
      <w:r w:rsidRPr="004F3997">
        <w:rPr>
          <w:rFonts w:ascii="Arial" w:hAnsi="Arial" w:cs="Arial"/>
          <w:color w:val="000000" w:themeColor="text1"/>
          <w:sz w:val="20"/>
          <w:szCs w:val="20"/>
        </w:rPr>
        <w:t>Bogotá D.C.</w:t>
      </w:r>
      <w:r w:rsidR="003476B1">
        <w:rPr>
          <w:rFonts w:ascii="Arial" w:hAnsi="Arial" w:cs="Arial"/>
          <w:color w:val="000000" w:themeColor="text1"/>
          <w:sz w:val="20"/>
          <w:szCs w:val="20"/>
        </w:rPr>
        <w:t xml:space="preserve"> 04/01/2021</w:t>
      </w:r>
    </w:p>
    <w:p w14:paraId="0513282E" w14:textId="77777777" w:rsidR="00285640" w:rsidRPr="004F3997" w:rsidRDefault="00285640" w:rsidP="00D01760">
      <w:pPr>
        <w:rPr>
          <w:rFonts w:ascii="Arial" w:eastAsia="Calibri" w:hAnsi="Arial" w:cs="Arial"/>
          <w:color w:val="000000" w:themeColor="text1"/>
          <w:sz w:val="22"/>
        </w:rPr>
      </w:pPr>
    </w:p>
    <w:p w14:paraId="393D3C60" w14:textId="37C07CDF" w:rsidR="00AB745E" w:rsidRPr="004F3997" w:rsidRDefault="00A37FB6" w:rsidP="00D01760">
      <w:pPr>
        <w:rPr>
          <w:rFonts w:ascii="Arial" w:eastAsia="Calibri" w:hAnsi="Arial" w:cs="Arial"/>
          <w:color w:val="000000" w:themeColor="text1"/>
          <w:sz w:val="22"/>
        </w:rPr>
      </w:pPr>
      <w:bookmarkStart w:id="3" w:name="_Hlk66111612"/>
      <w:r w:rsidRPr="004F3997">
        <w:rPr>
          <w:rFonts w:ascii="Arial" w:eastAsia="Calibri" w:hAnsi="Arial" w:cs="Arial"/>
          <w:color w:val="000000" w:themeColor="text1"/>
          <w:sz w:val="22"/>
        </w:rPr>
        <w:t>Señor</w:t>
      </w:r>
      <w:r w:rsidR="002966E7" w:rsidRPr="004F3997">
        <w:rPr>
          <w:rFonts w:ascii="Arial" w:eastAsia="Calibri" w:hAnsi="Arial" w:cs="Arial"/>
          <w:color w:val="000000" w:themeColor="text1"/>
          <w:sz w:val="22"/>
        </w:rPr>
        <w:t>a</w:t>
      </w:r>
      <w:r w:rsidR="00DD0AEE" w:rsidRPr="004F3997">
        <w:rPr>
          <w:rFonts w:ascii="Arial" w:eastAsia="Calibri" w:hAnsi="Arial" w:cs="Arial"/>
          <w:color w:val="000000" w:themeColor="text1"/>
          <w:sz w:val="22"/>
        </w:rPr>
        <w:t xml:space="preserve"> </w:t>
      </w:r>
    </w:p>
    <w:p w14:paraId="55C3E158" w14:textId="1AD76ADD" w:rsidR="00791EA4" w:rsidRPr="004F3997" w:rsidRDefault="002966E7" w:rsidP="00D01760">
      <w:pPr>
        <w:rPr>
          <w:rFonts w:ascii="Arial" w:eastAsia="Calibri" w:hAnsi="Arial" w:cs="Arial"/>
          <w:b/>
          <w:bCs/>
          <w:color w:val="000000" w:themeColor="text1"/>
          <w:sz w:val="22"/>
        </w:rPr>
      </w:pPr>
      <w:r w:rsidRPr="004F3997">
        <w:rPr>
          <w:rFonts w:ascii="Arial" w:eastAsia="Calibri" w:hAnsi="Arial" w:cs="Arial"/>
          <w:b/>
          <w:bCs/>
          <w:color w:val="000000" w:themeColor="text1"/>
          <w:sz w:val="22"/>
        </w:rPr>
        <w:t xml:space="preserve">Maria Alexandra Murillo Díaz </w:t>
      </w:r>
    </w:p>
    <w:p w14:paraId="34CC7B2C" w14:textId="7CACC1D9" w:rsidR="00285640" w:rsidRPr="004F3997" w:rsidRDefault="002966E7" w:rsidP="002966E7">
      <w:pPr>
        <w:pStyle w:val="Sinespaciado"/>
        <w:rPr>
          <w:rFonts w:ascii="Arial" w:hAnsi="Arial" w:cs="Arial"/>
          <w:bCs/>
          <w:color w:val="000000" w:themeColor="text1"/>
          <w:sz w:val="22"/>
        </w:rPr>
      </w:pPr>
      <w:r w:rsidRPr="004F3997">
        <w:rPr>
          <w:rFonts w:ascii="Arial" w:hAnsi="Arial" w:cs="Arial"/>
          <w:bCs/>
          <w:color w:val="000000" w:themeColor="text1"/>
          <w:sz w:val="22"/>
        </w:rPr>
        <w:t>El Doncello, Caquetá</w:t>
      </w:r>
    </w:p>
    <w:p w14:paraId="0A9598AC" w14:textId="77777777" w:rsidR="002966E7" w:rsidRPr="004F3997" w:rsidRDefault="002966E7" w:rsidP="002966E7">
      <w:pPr>
        <w:pStyle w:val="Sinespaciado"/>
        <w:rPr>
          <w:rFonts w:ascii="Arial" w:hAnsi="Arial" w:cs="Arial"/>
          <w:bCs/>
          <w:color w:val="000000" w:themeColor="text1"/>
          <w:sz w:val="22"/>
        </w:rPr>
      </w:pPr>
    </w:p>
    <w:p w14:paraId="479F6A3A" w14:textId="67D028F7" w:rsidR="00A37FB6" w:rsidRPr="004F3997" w:rsidRDefault="00E03AC6" w:rsidP="00851174">
      <w:pPr>
        <w:pStyle w:val="Sinespaciado"/>
        <w:jc w:val="center"/>
        <w:rPr>
          <w:rFonts w:ascii="Arial" w:hAnsi="Arial" w:cs="Arial"/>
          <w:b/>
          <w:color w:val="000000" w:themeColor="text1"/>
          <w:sz w:val="22"/>
        </w:rPr>
      </w:pPr>
      <w:r w:rsidRPr="004F3997">
        <w:rPr>
          <w:rFonts w:ascii="Arial" w:hAnsi="Arial" w:cs="Arial"/>
          <w:b/>
          <w:color w:val="000000" w:themeColor="text1"/>
          <w:sz w:val="22"/>
        </w:rPr>
        <w:t>Concepto C</w:t>
      </w:r>
      <w:r w:rsidR="00A37FB6" w:rsidRPr="004F3997">
        <w:rPr>
          <w:rFonts w:ascii="Arial" w:hAnsi="Arial" w:cs="Arial"/>
          <w:b/>
          <w:color w:val="000000" w:themeColor="text1"/>
          <w:sz w:val="22"/>
        </w:rPr>
        <w:t xml:space="preserve"> </w:t>
      </w:r>
      <w:r w:rsidR="00CF4597" w:rsidRPr="004F3997">
        <w:rPr>
          <w:rFonts w:ascii="Arial" w:hAnsi="Arial" w:cs="Arial"/>
          <w:b/>
          <w:color w:val="000000" w:themeColor="text1"/>
          <w:sz w:val="22"/>
        </w:rPr>
        <w:t>–</w:t>
      </w:r>
      <w:r w:rsidR="00592C46" w:rsidRPr="004F3997">
        <w:rPr>
          <w:rFonts w:ascii="Arial" w:hAnsi="Arial" w:cs="Arial"/>
          <w:b/>
          <w:color w:val="000000" w:themeColor="text1"/>
          <w:sz w:val="22"/>
        </w:rPr>
        <w:t xml:space="preserve"> </w:t>
      </w:r>
      <w:r w:rsidR="002966E7" w:rsidRPr="004F3997">
        <w:rPr>
          <w:rFonts w:ascii="Arial" w:hAnsi="Arial" w:cs="Arial"/>
          <w:b/>
          <w:color w:val="000000" w:themeColor="text1"/>
          <w:sz w:val="22"/>
        </w:rPr>
        <w:t>688</w:t>
      </w:r>
      <w:r w:rsidR="00BF69F3" w:rsidRPr="004F3997">
        <w:rPr>
          <w:rFonts w:ascii="Arial" w:hAnsi="Arial" w:cs="Arial"/>
          <w:b/>
          <w:color w:val="000000" w:themeColor="text1"/>
          <w:sz w:val="22"/>
        </w:rPr>
        <w:t xml:space="preserve"> </w:t>
      </w:r>
      <w:r w:rsidR="00A37FB6" w:rsidRPr="004F3997">
        <w:rPr>
          <w:rFonts w:ascii="Arial" w:hAnsi="Arial" w:cs="Arial"/>
          <w:b/>
          <w:color w:val="000000" w:themeColor="text1"/>
          <w:sz w:val="22"/>
        </w:rPr>
        <w:t>de 202</w:t>
      </w:r>
      <w:r w:rsidR="00E24785" w:rsidRPr="004F3997">
        <w:rPr>
          <w:rFonts w:ascii="Arial" w:hAnsi="Arial" w:cs="Arial"/>
          <w:b/>
          <w:color w:val="000000" w:themeColor="text1"/>
          <w:sz w:val="22"/>
        </w:rPr>
        <w:t>1</w:t>
      </w:r>
    </w:p>
    <w:p w14:paraId="49BB1EAB" w14:textId="77777777" w:rsidR="00A37FB6" w:rsidRPr="004F3997" w:rsidRDefault="00A37FB6" w:rsidP="00851174">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0F23" w:rsidRPr="004F3997" w14:paraId="20C2FA60" w14:textId="77777777" w:rsidTr="000825D8">
        <w:tc>
          <w:tcPr>
            <w:tcW w:w="2689" w:type="dxa"/>
            <w:hideMark/>
          </w:tcPr>
          <w:p w14:paraId="2A9459AB" w14:textId="77777777" w:rsidR="00A37FB6" w:rsidRPr="004F3997" w:rsidRDefault="00A37FB6" w:rsidP="00851174">
            <w:pPr>
              <w:pStyle w:val="Sinespaciado"/>
              <w:jc w:val="both"/>
              <w:rPr>
                <w:rFonts w:ascii="Arial" w:hAnsi="Arial" w:cs="Arial"/>
                <w:b/>
                <w:color w:val="000000" w:themeColor="text1"/>
                <w:sz w:val="22"/>
              </w:rPr>
            </w:pPr>
            <w:r w:rsidRPr="004F3997">
              <w:rPr>
                <w:rFonts w:ascii="Arial" w:hAnsi="Arial" w:cs="Arial"/>
                <w:b/>
                <w:color w:val="000000" w:themeColor="text1"/>
                <w:sz w:val="22"/>
              </w:rPr>
              <w:t xml:space="preserve">Temas:           </w:t>
            </w:r>
          </w:p>
          <w:p w14:paraId="1840BCE8" w14:textId="77777777" w:rsidR="00A37FB6" w:rsidRPr="004F3997" w:rsidRDefault="00A37FB6" w:rsidP="00851174">
            <w:pPr>
              <w:pStyle w:val="Sinespaciado"/>
              <w:jc w:val="both"/>
              <w:rPr>
                <w:rFonts w:ascii="Arial" w:hAnsi="Arial" w:cs="Arial"/>
                <w:bCs/>
                <w:color w:val="000000" w:themeColor="text1"/>
                <w:sz w:val="22"/>
              </w:rPr>
            </w:pPr>
            <w:r w:rsidRPr="004F3997">
              <w:rPr>
                <w:rFonts w:ascii="Arial" w:hAnsi="Arial" w:cs="Arial"/>
                <w:bCs/>
                <w:color w:val="000000" w:themeColor="text1"/>
                <w:sz w:val="22"/>
              </w:rPr>
              <w:t xml:space="preserve">                           </w:t>
            </w:r>
          </w:p>
        </w:tc>
        <w:tc>
          <w:tcPr>
            <w:tcW w:w="6237" w:type="dxa"/>
            <w:hideMark/>
          </w:tcPr>
          <w:p w14:paraId="4D5CE6DC" w14:textId="6C957140" w:rsidR="00E21006" w:rsidRPr="004F3997" w:rsidRDefault="00E21006" w:rsidP="00E21006">
            <w:pPr>
              <w:pStyle w:val="Sinespaciado"/>
              <w:jc w:val="both"/>
              <w:rPr>
                <w:rFonts w:ascii="Arial" w:hAnsi="Arial" w:cs="Arial"/>
                <w:bCs/>
                <w:color w:val="000000" w:themeColor="text1"/>
                <w:sz w:val="22"/>
                <w:lang w:val="es-ES_tradnl"/>
              </w:rPr>
            </w:pPr>
            <w:r w:rsidRPr="004F3997">
              <w:rPr>
                <w:rFonts w:ascii="Arial" w:hAnsi="Arial" w:cs="Arial"/>
                <w:bCs/>
                <w:color w:val="000000" w:themeColor="text1"/>
                <w:sz w:val="22"/>
                <w:lang w:val="es-ES_tradnl"/>
              </w:rPr>
              <w:t>LEY 816 DE 2003 – Apoyo a la industria nacional – Ámbito de aplicación / DECRETO 680 DE 2021 – Regla de origen – Alcance servicios nacionales / DECRETO 680 DE 2021 – Regla de origen – Criterios – Identificación de bienes nacionales relevantes / DOCUMENTOS TIPO – Modificaciones – Puntaje por apoyo a la industria nacional – Metodología bienes nacionales relevantes</w:t>
            </w:r>
          </w:p>
          <w:p w14:paraId="43DA7907" w14:textId="77777777" w:rsidR="00E21006" w:rsidRPr="004F3997" w:rsidRDefault="00E21006" w:rsidP="00E21006">
            <w:pPr>
              <w:pStyle w:val="Sinespaciado"/>
              <w:jc w:val="both"/>
              <w:rPr>
                <w:rFonts w:ascii="Arial" w:hAnsi="Arial" w:cs="Arial"/>
                <w:bCs/>
                <w:color w:val="000000" w:themeColor="text1"/>
                <w:sz w:val="22"/>
                <w:lang w:val="es-ES_tradnl"/>
              </w:rPr>
            </w:pPr>
          </w:p>
          <w:p w14:paraId="069BC436" w14:textId="3FE2FB96" w:rsidR="00A37FB6" w:rsidRPr="004F3997" w:rsidRDefault="00A37FB6" w:rsidP="00851174">
            <w:pPr>
              <w:pStyle w:val="Sinespaciado"/>
              <w:jc w:val="both"/>
              <w:rPr>
                <w:rFonts w:ascii="Arial" w:hAnsi="Arial" w:cs="Arial"/>
                <w:bCs/>
                <w:color w:val="000000" w:themeColor="text1"/>
                <w:sz w:val="22"/>
              </w:rPr>
            </w:pPr>
          </w:p>
        </w:tc>
      </w:tr>
      <w:tr w:rsidR="00A37FB6" w:rsidRPr="004F3997" w14:paraId="62473A71" w14:textId="77777777" w:rsidTr="000825D8">
        <w:tc>
          <w:tcPr>
            <w:tcW w:w="2689" w:type="dxa"/>
          </w:tcPr>
          <w:p w14:paraId="730BF589" w14:textId="77777777" w:rsidR="00A37FB6" w:rsidRPr="004F3997" w:rsidRDefault="00A37FB6" w:rsidP="00851174">
            <w:pPr>
              <w:pStyle w:val="Sinespaciado"/>
              <w:jc w:val="both"/>
              <w:rPr>
                <w:rFonts w:ascii="Arial" w:hAnsi="Arial" w:cs="Arial"/>
                <w:b/>
                <w:color w:val="000000" w:themeColor="text1"/>
                <w:sz w:val="22"/>
              </w:rPr>
            </w:pPr>
            <w:r w:rsidRPr="004F3997">
              <w:rPr>
                <w:rFonts w:ascii="Arial" w:hAnsi="Arial" w:cs="Arial"/>
                <w:b/>
                <w:color w:val="000000" w:themeColor="text1"/>
                <w:sz w:val="22"/>
              </w:rPr>
              <w:t xml:space="preserve">Radicación:                              </w:t>
            </w:r>
          </w:p>
        </w:tc>
        <w:tc>
          <w:tcPr>
            <w:tcW w:w="6237" w:type="dxa"/>
          </w:tcPr>
          <w:p w14:paraId="2CD77F9B" w14:textId="665E5896" w:rsidR="00A37FB6" w:rsidRPr="004F3997" w:rsidRDefault="00A37FB6" w:rsidP="004D2DD0">
            <w:pPr>
              <w:pStyle w:val="Sinespaciado"/>
              <w:jc w:val="both"/>
              <w:rPr>
                <w:rFonts w:ascii="Arial" w:hAnsi="Arial" w:cs="Arial"/>
                <w:bCs/>
                <w:color w:val="000000" w:themeColor="text1"/>
                <w:sz w:val="22"/>
              </w:rPr>
            </w:pPr>
            <w:r w:rsidRPr="004F3997">
              <w:rPr>
                <w:rFonts w:ascii="Arial" w:hAnsi="Arial" w:cs="Arial"/>
                <w:bCs/>
                <w:color w:val="000000" w:themeColor="text1"/>
                <w:sz w:val="22"/>
              </w:rPr>
              <w:t xml:space="preserve">Respuesta a consulta # </w:t>
            </w:r>
            <w:r w:rsidR="002966E7" w:rsidRPr="004F3997">
              <w:rPr>
                <w:rFonts w:ascii="Arial" w:eastAsia="Calibri" w:hAnsi="Arial" w:cs="Arial"/>
                <w:color w:val="000000" w:themeColor="text1"/>
                <w:sz w:val="22"/>
                <w:lang w:val="es-ES_tradnl"/>
              </w:rPr>
              <w:t>P20211122010790</w:t>
            </w:r>
          </w:p>
        </w:tc>
      </w:tr>
    </w:tbl>
    <w:p w14:paraId="6199F8C9" w14:textId="77777777" w:rsidR="00A37FB6" w:rsidRPr="004F3997" w:rsidRDefault="00A37FB6" w:rsidP="00D01760">
      <w:pPr>
        <w:jc w:val="both"/>
        <w:rPr>
          <w:rFonts w:ascii="Arial" w:eastAsia="Calibri" w:hAnsi="Arial" w:cs="Arial"/>
          <w:color w:val="000000" w:themeColor="text1"/>
          <w:sz w:val="22"/>
        </w:rPr>
      </w:pPr>
    </w:p>
    <w:p w14:paraId="6AEA1AE6" w14:textId="77777777" w:rsidR="00A37FB6" w:rsidRPr="004F3997" w:rsidRDefault="00A37FB6" w:rsidP="00D01760">
      <w:pPr>
        <w:rPr>
          <w:rFonts w:ascii="Arial" w:eastAsia="Calibri" w:hAnsi="Arial" w:cs="Arial"/>
          <w:color w:val="000000" w:themeColor="text1"/>
          <w:sz w:val="22"/>
        </w:rPr>
      </w:pPr>
    </w:p>
    <w:p w14:paraId="3216C844" w14:textId="20C583F6" w:rsidR="00A37FB6" w:rsidRPr="004F3997" w:rsidRDefault="00A37FB6" w:rsidP="004D2DD0">
      <w:pPr>
        <w:spacing w:line="276" w:lineRule="auto"/>
        <w:ind w:right="49"/>
        <w:jc w:val="both"/>
        <w:rPr>
          <w:rFonts w:ascii="Arial" w:eastAsia="Calibri" w:hAnsi="Arial" w:cs="Arial"/>
          <w:color w:val="000000" w:themeColor="text1"/>
          <w:sz w:val="22"/>
        </w:rPr>
      </w:pPr>
      <w:r w:rsidRPr="004F3997">
        <w:rPr>
          <w:rFonts w:ascii="Arial" w:eastAsia="Calibri" w:hAnsi="Arial" w:cs="Arial"/>
          <w:color w:val="000000" w:themeColor="text1"/>
          <w:sz w:val="22"/>
        </w:rPr>
        <w:t>Estimad</w:t>
      </w:r>
      <w:r w:rsidR="00981056" w:rsidRPr="004F3997">
        <w:rPr>
          <w:rFonts w:ascii="Arial" w:eastAsia="Calibri" w:hAnsi="Arial" w:cs="Arial"/>
          <w:color w:val="000000" w:themeColor="text1"/>
          <w:sz w:val="22"/>
        </w:rPr>
        <w:t>a</w:t>
      </w:r>
      <w:r w:rsidR="00DD0AEE" w:rsidRPr="004F3997">
        <w:rPr>
          <w:rFonts w:ascii="Arial" w:eastAsia="Calibri" w:hAnsi="Arial" w:cs="Arial"/>
          <w:color w:val="000000" w:themeColor="text1"/>
          <w:sz w:val="22"/>
        </w:rPr>
        <w:t xml:space="preserve"> señor</w:t>
      </w:r>
      <w:r w:rsidR="002966E7" w:rsidRPr="004F3997">
        <w:rPr>
          <w:rFonts w:ascii="Arial" w:eastAsia="Calibri" w:hAnsi="Arial" w:cs="Arial"/>
          <w:color w:val="000000" w:themeColor="text1"/>
          <w:sz w:val="22"/>
        </w:rPr>
        <w:t>a Murillo Diaz</w:t>
      </w:r>
      <w:r w:rsidR="00DD0AEE" w:rsidRPr="004F3997">
        <w:rPr>
          <w:rFonts w:ascii="Arial" w:eastAsia="Calibri" w:hAnsi="Arial" w:cs="Arial"/>
          <w:color w:val="000000" w:themeColor="text1"/>
          <w:sz w:val="22"/>
        </w:rPr>
        <w:t xml:space="preserve">: </w:t>
      </w:r>
    </w:p>
    <w:p w14:paraId="2F0DA2F5" w14:textId="77777777" w:rsidR="00A37FB6" w:rsidRPr="004F3997" w:rsidRDefault="00A37FB6" w:rsidP="00D01760">
      <w:pPr>
        <w:rPr>
          <w:rFonts w:ascii="Arial" w:eastAsia="Calibri" w:hAnsi="Arial" w:cs="Arial"/>
          <w:color w:val="000000" w:themeColor="text1"/>
          <w:sz w:val="22"/>
        </w:rPr>
      </w:pPr>
    </w:p>
    <w:p w14:paraId="0341A1CB" w14:textId="1F2A7F46" w:rsidR="00DD0AEE" w:rsidRPr="004F3997" w:rsidRDefault="00DD0AEE" w:rsidP="00DD0AEE">
      <w:pPr>
        <w:spacing w:line="276" w:lineRule="auto"/>
        <w:jc w:val="both"/>
        <w:rPr>
          <w:rFonts w:ascii="Arial" w:eastAsia="Calibri" w:hAnsi="Arial" w:cs="Arial"/>
          <w:sz w:val="22"/>
          <w:lang w:val="es-ES_tradnl"/>
        </w:rPr>
      </w:pPr>
      <w:r w:rsidRPr="004F399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w:t>
      </w:r>
      <w:r w:rsidRPr="004F3997">
        <w:rPr>
          <w:rFonts w:ascii="Arial" w:eastAsia="Calibri" w:hAnsi="Arial" w:cs="Arial"/>
          <w:sz w:val="22"/>
          <w:lang w:val="es-ES_tradnl"/>
        </w:rPr>
        <w:t>y dentro de los términos establecidos en el artículo 14 de la Ley 1437 de 2011,</w:t>
      </w:r>
      <w:r w:rsidRPr="004F3997">
        <w:rPr>
          <w:rFonts w:ascii="Arial" w:eastAsia="Calibri" w:hAnsi="Arial" w:cs="Arial"/>
          <w:color w:val="000000" w:themeColor="text1"/>
          <w:sz w:val="22"/>
          <w:lang w:val="es-ES_tradnl"/>
        </w:rPr>
        <w:t xml:space="preserve"> la Agencia Nacional de Contratación Pública ― Colombia Compra Eficiente responde su consulta del 2</w:t>
      </w:r>
      <w:r w:rsidR="002966E7" w:rsidRPr="004F3997">
        <w:rPr>
          <w:rFonts w:ascii="Arial" w:eastAsia="Calibri" w:hAnsi="Arial" w:cs="Arial"/>
          <w:color w:val="000000" w:themeColor="text1"/>
          <w:sz w:val="22"/>
          <w:lang w:val="es-ES_tradnl"/>
        </w:rPr>
        <w:t>2</w:t>
      </w:r>
      <w:r w:rsidRPr="004F3997">
        <w:rPr>
          <w:rFonts w:ascii="Arial" w:eastAsia="Calibri" w:hAnsi="Arial" w:cs="Arial"/>
          <w:color w:val="000000" w:themeColor="text1"/>
          <w:sz w:val="22"/>
          <w:lang w:val="es-ES_tradnl"/>
        </w:rPr>
        <w:t xml:space="preserve"> de </w:t>
      </w:r>
      <w:r w:rsidR="002966E7" w:rsidRPr="004F3997">
        <w:rPr>
          <w:rFonts w:ascii="Arial" w:eastAsia="Calibri" w:hAnsi="Arial" w:cs="Arial"/>
          <w:color w:val="000000" w:themeColor="text1"/>
          <w:sz w:val="22"/>
          <w:lang w:val="es-ES_tradnl"/>
        </w:rPr>
        <w:t>noviembre</w:t>
      </w:r>
      <w:r w:rsidRPr="004F3997">
        <w:rPr>
          <w:rFonts w:ascii="Arial" w:eastAsia="Calibri" w:hAnsi="Arial" w:cs="Arial"/>
          <w:color w:val="000000" w:themeColor="text1"/>
          <w:sz w:val="22"/>
          <w:lang w:val="es-ES_tradnl"/>
        </w:rPr>
        <w:t xml:space="preserve"> del 2021. </w:t>
      </w:r>
    </w:p>
    <w:p w14:paraId="37E551C1" w14:textId="77777777" w:rsidR="00A37FB6" w:rsidRPr="004F3997" w:rsidRDefault="00A37FB6" w:rsidP="004023D4">
      <w:pPr>
        <w:jc w:val="both"/>
        <w:rPr>
          <w:rFonts w:ascii="Arial" w:eastAsia="Calibri" w:hAnsi="Arial" w:cs="Arial"/>
          <w:color w:val="000000" w:themeColor="text1"/>
          <w:sz w:val="22"/>
        </w:rPr>
      </w:pPr>
    </w:p>
    <w:p w14:paraId="737E2623" w14:textId="5D246DD4" w:rsidR="00A37FB6" w:rsidRPr="004F3997" w:rsidRDefault="00592C46" w:rsidP="00592C46">
      <w:pPr>
        <w:pStyle w:val="Prrafodelista"/>
        <w:tabs>
          <w:tab w:val="left" w:pos="284"/>
        </w:tabs>
        <w:ind w:left="0"/>
        <w:jc w:val="both"/>
        <w:rPr>
          <w:rFonts w:ascii="Arial" w:eastAsia="Calibri" w:hAnsi="Arial" w:cs="Arial"/>
          <w:b/>
          <w:color w:val="000000" w:themeColor="text1"/>
          <w:sz w:val="22"/>
        </w:rPr>
      </w:pPr>
      <w:r w:rsidRPr="004F3997">
        <w:rPr>
          <w:rFonts w:ascii="Arial" w:eastAsia="Calibri" w:hAnsi="Arial" w:cs="Arial"/>
          <w:b/>
          <w:color w:val="000000" w:themeColor="text1"/>
          <w:sz w:val="22"/>
        </w:rPr>
        <w:t xml:space="preserve">1. </w:t>
      </w:r>
      <w:r w:rsidR="00A37FB6" w:rsidRPr="004F3997">
        <w:rPr>
          <w:rFonts w:ascii="Arial" w:eastAsia="Calibri" w:hAnsi="Arial" w:cs="Arial"/>
          <w:b/>
          <w:color w:val="000000" w:themeColor="text1"/>
          <w:sz w:val="22"/>
        </w:rPr>
        <w:t>Problema planteado</w:t>
      </w:r>
    </w:p>
    <w:p w14:paraId="498A026D" w14:textId="77777777" w:rsidR="00A37FB6" w:rsidRPr="004F3997" w:rsidRDefault="00A37FB6" w:rsidP="004023D4">
      <w:pPr>
        <w:tabs>
          <w:tab w:val="left" w:pos="426"/>
        </w:tabs>
        <w:jc w:val="both"/>
        <w:rPr>
          <w:rFonts w:ascii="Arial" w:eastAsia="Calibri" w:hAnsi="Arial" w:cs="Arial"/>
          <w:b/>
          <w:color w:val="000000" w:themeColor="text1"/>
          <w:sz w:val="22"/>
        </w:rPr>
      </w:pPr>
    </w:p>
    <w:p w14:paraId="3C9C7389" w14:textId="7B1B1C7C" w:rsidR="00DD0AEE" w:rsidRPr="004F3997" w:rsidRDefault="00DD0AEE" w:rsidP="00DD0AEE">
      <w:pPr>
        <w:spacing w:after="120" w:line="276" w:lineRule="auto"/>
        <w:jc w:val="both"/>
        <w:rPr>
          <w:rFonts w:ascii="Arial" w:hAnsi="Arial" w:cs="Arial"/>
          <w:color w:val="000000" w:themeColor="text1"/>
          <w:sz w:val="22"/>
          <w:lang w:val="es-ES_tradnl"/>
        </w:rPr>
      </w:pPr>
      <w:r w:rsidRPr="004F3997">
        <w:rPr>
          <w:rFonts w:ascii="Arial" w:hAnsi="Arial" w:cs="Arial"/>
          <w:color w:val="000000" w:themeColor="text1"/>
          <w:sz w:val="22"/>
          <w:lang w:val="es-ES_tradnl"/>
        </w:rPr>
        <w:t>Usted realiza la</w:t>
      </w:r>
      <w:r w:rsidR="002966E7" w:rsidRPr="004F3997">
        <w:rPr>
          <w:rFonts w:ascii="Arial" w:hAnsi="Arial" w:cs="Arial"/>
          <w:color w:val="000000" w:themeColor="text1"/>
          <w:sz w:val="22"/>
          <w:lang w:val="es-ES_tradnl"/>
        </w:rPr>
        <w:t>s</w:t>
      </w:r>
      <w:r w:rsidRPr="004F3997">
        <w:rPr>
          <w:rFonts w:ascii="Arial" w:hAnsi="Arial" w:cs="Arial"/>
          <w:color w:val="000000" w:themeColor="text1"/>
          <w:sz w:val="22"/>
          <w:lang w:val="es-ES_tradnl"/>
        </w:rPr>
        <w:t xml:space="preserve"> siguiente</w:t>
      </w:r>
      <w:r w:rsidR="002966E7" w:rsidRPr="004F3997">
        <w:rPr>
          <w:rFonts w:ascii="Arial" w:hAnsi="Arial" w:cs="Arial"/>
          <w:color w:val="000000" w:themeColor="text1"/>
          <w:sz w:val="22"/>
          <w:lang w:val="es-ES_tradnl"/>
        </w:rPr>
        <w:t>s</w:t>
      </w:r>
      <w:r w:rsidRPr="004F3997">
        <w:rPr>
          <w:rFonts w:ascii="Arial" w:hAnsi="Arial" w:cs="Arial"/>
          <w:color w:val="000000" w:themeColor="text1"/>
          <w:sz w:val="22"/>
          <w:lang w:val="es-ES_tradnl"/>
        </w:rPr>
        <w:t xml:space="preserve"> </w:t>
      </w:r>
      <w:r w:rsidR="002966E7" w:rsidRPr="004F3997">
        <w:rPr>
          <w:rFonts w:ascii="Arial" w:hAnsi="Arial" w:cs="Arial"/>
          <w:color w:val="000000" w:themeColor="text1"/>
          <w:sz w:val="22"/>
          <w:lang w:val="es-ES_tradnl"/>
        </w:rPr>
        <w:t>peticiones</w:t>
      </w:r>
      <w:r w:rsidRPr="004F3997">
        <w:rPr>
          <w:rFonts w:ascii="Arial" w:hAnsi="Arial" w:cs="Arial"/>
          <w:color w:val="000000" w:themeColor="text1"/>
          <w:sz w:val="22"/>
          <w:lang w:val="es-ES_tradnl"/>
        </w:rPr>
        <w:t>:</w:t>
      </w:r>
    </w:p>
    <w:p w14:paraId="6A982790" w14:textId="25435328" w:rsidR="00A37FB6" w:rsidRPr="004F3997" w:rsidRDefault="00DD0AEE" w:rsidP="002966E7">
      <w:pPr>
        <w:tabs>
          <w:tab w:val="left" w:pos="426"/>
        </w:tabs>
        <w:ind w:left="709" w:right="709"/>
        <w:jc w:val="both"/>
        <w:rPr>
          <w:rFonts w:ascii="Arial" w:hAnsi="Arial" w:cs="Arial"/>
          <w:color w:val="000000" w:themeColor="text1"/>
          <w:sz w:val="21"/>
          <w:szCs w:val="21"/>
        </w:rPr>
      </w:pPr>
      <w:bookmarkStart w:id="4" w:name="_Hlk86132155"/>
      <w:r w:rsidRPr="004F3997">
        <w:rPr>
          <w:rFonts w:ascii="Arial" w:hAnsi="Arial" w:cs="Arial"/>
          <w:color w:val="000000" w:themeColor="text1"/>
          <w:sz w:val="21"/>
          <w:szCs w:val="21"/>
        </w:rPr>
        <w:t>«</w:t>
      </w:r>
      <w:bookmarkEnd w:id="4"/>
      <w:r w:rsidR="002966E7" w:rsidRPr="004F3997">
        <w:rPr>
          <w:rFonts w:ascii="Arial" w:hAnsi="Arial" w:cs="Arial"/>
          <w:color w:val="000000" w:themeColor="text1"/>
          <w:sz w:val="21"/>
          <w:szCs w:val="21"/>
        </w:rPr>
        <w:t>[…] solicito se me aclara</w:t>
      </w:r>
      <w:r w:rsidR="006D04D7" w:rsidRPr="004F3997">
        <w:rPr>
          <w:rFonts w:ascii="Arial" w:hAnsi="Arial" w:cs="Arial"/>
          <w:color w:val="000000" w:themeColor="text1"/>
          <w:sz w:val="21"/>
          <w:szCs w:val="21"/>
        </w:rPr>
        <w:t xml:space="preserve"> (sic)</w:t>
      </w:r>
      <w:r w:rsidR="002966E7" w:rsidRPr="004F3997">
        <w:rPr>
          <w:rFonts w:ascii="Arial" w:hAnsi="Arial" w:cs="Arial"/>
          <w:color w:val="000000" w:themeColor="text1"/>
          <w:sz w:val="21"/>
          <w:szCs w:val="21"/>
        </w:rPr>
        <w:t xml:space="preserve"> la expresión "6. Identificar los bienes o insumos cuyo porcentaje acumulado esté dentro del ochenta por ciento (80%) o un valor aproximado por debajo" de la matriz 4 de los pliegos tipo, lo anterior porque no es claro si los bienes relevantes son aquellos que están entre el 80% y el 100% del acumulado; o si por el contrario son aquellos que están por debajo del 80%».</w:t>
      </w:r>
    </w:p>
    <w:p w14:paraId="29CC034E" w14:textId="12A78EAC" w:rsidR="002966E7" w:rsidRPr="004F3997" w:rsidRDefault="002966E7" w:rsidP="002966E7">
      <w:pPr>
        <w:tabs>
          <w:tab w:val="left" w:pos="426"/>
        </w:tabs>
        <w:ind w:left="709" w:right="709"/>
        <w:jc w:val="both"/>
        <w:rPr>
          <w:rFonts w:ascii="Arial" w:hAnsi="Arial" w:cs="Arial"/>
          <w:color w:val="000000" w:themeColor="text1"/>
          <w:sz w:val="21"/>
          <w:szCs w:val="21"/>
        </w:rPr>
      </w:pPr>
    </w:p>
    <w:p w14:paraId="48DFDCA4" w14:textId="71AA7B53" w:rsidR="002966E7" w:rsidRPr="004F3997" w:rsidRDefault="002966E7" w:rsidP="002966E7">
      <w:pPr>
        <w:tabs>
          <w:tab w:val="left" w:pos="426"/>
        </w:tabs>
        <w:ind w:left="709" w:right="709"/>
        <w:jc w:val="both"/>
        <w:rPr>
          <w:rFonts w:ascii="Arial" w:hAnsi="Arial" w:cs="Arial"/>
          <w:color w:val="000000" w:themeColor="text1"/>
          <w:sz w:val="21"/>
          <w:szCs w:val="21"/>
        </w:rPr>
      </w:pPr>
      <w:r w:rsidRPr="004F3997">
        <w:rPr>
          <w:rFonts w:ascii="Arial" w:hAnsi="Arial" w:cs="Arial"/>
          <w:color w:val="000000" w:themeColor="text1"/>
          <w:sz w:val="21"/>
          <w:szCs w:val="21"/>
        </w:rPr>
        <w:t xml:space="preserve">«De igual manera solicito </w:t>
      </w:r>
      <w:bookmarkStart w:id="5" w:name="_Hlk89692645"/>
      <w:r w:rsidRPr="004F3997">
        <w:rPr>
          <w:rFonts w:ascii="Arial" w:hAnsi="Arial" w:cs="Arial"/>
          <w:color w:val="000000" w:themeColor="text1"/>
          <w:sz w:val="21"/>
          <w:szCs w:val="21"/>
        </w:rPr>
        <w:t>se me indique cómo obtener los certificados de bienes relevantes</w:t>
      </w:r>
      <w:bookmarkEnd w:id="5"/>
      <w:r w:rsidRPr="004F3997">
        <w:rPr>
          <w:rFonts w:ascii="Arial" w:hAnsi="Arial" w:cs="Arial"/>
          <w:color w:val="000000" w:themeColor="text1"/>
          <w:sz w:val="21"/>
          <w:szCs w:val="21"/>
        </w:rPr>
        <w:t>»</w:t>
      </w:r>
      <w:r w:rsidR="00522A4C" w:rsidRPr="004F3997">
        <w:rPr>
          <w:rFonts w:ascii="Arial" w:hAnsi="Arial" w:cs="Arial"/>
          <w:color w:val="000000" w:themeColor="text1"/>
          <w:sz w:val="21"/>
          <w:szCs w:val="21"/>
        </w:rPr>
        <w:t>.</w:t>
      </w:r>
    </w:p>
    <w:p w14:paraId="264FB857" w14:textId="77777777" w:rsidR="002966E7" w:rsidRPr="004F3997" w:rsidRDefault="002966E7" w:rsidP="002966E7">
      <w:pPr>
        <w:tabs>
          <w:tab w:val="left" w:pos="426"/>
        </w:tabs>
        <w:ind w:left="709" w:right="709"/>
        <w:jc w:val="both"/>
        <w:rPr>
          <w:rFonts w:ascii="Arial" w:eastAsia="Calibri" w:hAnsi="Arial" w:cs="Arial"/>
          <w:color w:val="000000" w:themeColor="text1"/>
          <w:sz w:val="22"/>
        </w:rPr>
      </w:pPr>
    </w:p>
    <w:p w14:paraId="6A32A1B1" w14:textId="7BFEFFD4" w:rsidR="00A37FB6" w:rsidRPr="004F3997" w:rsidRDefault="00592C46" w:rsidP="00592C46">
      <w:pPr>
        <w:tabs>
          <w:tab w:val="left" w:pos="426"/>
        </w:tabs>
        <w:jc w:val="both"/>
        <w:rPr>
          <w:rFonts w:ascii="Arial" w:eastAsia="Calibri" w:hAnsi="Arial" w:cs="Arial"/>
          <w:b/>
          <w:color w:val="000000" w:themeColor="text1"/>
          <w:sz w:val="22"/>
        </w:rPr>
      </w:pPr>
      <w:r w:rsidRPr="004F3997">
        <w:rPr>
          <w:rFonts w:ascii="Arial" w:eastAsia="Calibri" w:hAnsi="Arial" w:cs="Arial"/>
          <w:b/>
          <w:color w:val="000000" w:themeColor="text1"/>
          <w:sz w:val="22"/>
        </w:rPr>
        <w:t xml:space="preserve">2. </w:t>
      </w:r>
      <w:r w:rsidR="00A37FB6" w:rsidRPr="004F3997">
        <w:rPr>
          <w:rFonts w:ascii="Arial" w:eastAsia="Calibri" w:hAnsi="Arial" w:cs="Arial"/>
          <w:b/>
          <w:color w:val="000000" w:themeColor="text1"/>
          <w:sz w:val="22"/>
        </w:rPr>
        <w:t>Consideraciones</w:t>
      </w:r>
    </w:p>
    <w:bookmarkEnd w:id="1"/>
    <w:p w14:paraId="5399747F" w14:textId="77777777" w:rsidR="00285640" w:rsidRPr="004F3997" w:rsidRDefault="00285640" w:rsidP="000B06F2">
      <w:pPr>
        <w:jc w:val="both"/>
        <w:rPr>
          <w:rFonts w:ascii="Arial" w:hAnsi="Arial" w:cs="Arial"/>
          <w:color w:val="000000" w:themeColor="text1"/>
          <w:sz w:val="22"/>
        </w:rPr>
      </w:pPr>
    </w:p>
    <w:p w14:paraId="50ED28F1" w14:textId="1A191B67" w:rsidR="00384698" w:rsidRPr="004F3997" w:rsidRDefault="002966E7" w:rsidP="00B5773A">
      <w:pPr>
        <w:spacing w:after="120" w:line="276" w:lineRule="auto"/>
        <w:jc w:val="both"/>
        <w:rPr>
          <w:rFonts w:ascii="Arial" w:eastAsia="Calibri" w:hAnsi="Arial" w:cs="Arial"/>
          <w:sz w:val="22"/>
        </w:rPr>
      </w:pPr>
      <w:r w:rsidRPr="004F3997">
        <w:rPr>
          <w:rFonts w:ascii="Arial" w:eastAsia="Calibri" w:hAnsi="Arial" w:cs="Arial"/>
          <w:sz w:val="22"/>
        </w:rPr>
        <w:lastRenderedPageBreak/>
        <w:t xml:space="preserve">Para abordar los interrogantes planteados, se analizarán los siguientes temas: i) otorgamiento de puntaje por apoyo </w:t>
      </w:r>
      <w:r w:rsidR="007011D3" w:rsidRPr="004F3997">
        <w:rPr>
          <w:rFonts w:ascii="Arial" w:eastAsia="Calibri" w:hAnsi="Arial" w:cs="Arial"/>
          <w:sz w:val="22"/>
        </w:rPr>
        <w:t xml:space="preserve">a la industria </w:t>
      </w:r>
      <w:r w:rsidRPr="004F3997">
        <w:rPr>
          <w:rFonts w:ascii="Arial" w:eastAsia="Calibri" w:hAnsi="Arial" w:cs="Arial"/>
          <w:sz w:val="22"/>
        </w:rPr>
        <w:t>nacional de conformidad con la Ley 816 de 2003 y la noción de Servicios Nacionales introducida por el Decreto 680 de 2021</w:t>
      </w:r>
      <w:r w:rsidR="007011D3" w:rsidRPr="004F3997">
        <w:rPr>
          <w:rFonts w:ascii="Arial" w:eastAsia="Calibri" w:hAnsi="Arial" w:cs="Arial"/>
          <w:sz w:val="22"/>
        </w:rPr>
        <w:t>,</w:t>
      </w:r>
      <w:r w:rsidRPr="004F3997">
        <w:rPr>
          <w:rFonts w:ascii="Arial" w:eastAsia="Calibri" w:hAnsi="Arial" w:cs="Arial"/>
          <w:sz w:val="22"/>
        </w:rPr>
        <w:t xml:space="preserve"> y ii) la regulación del puntaje por apoyo a la industria nacional en procesos adelantados con documentos tipo después de la expedición</w:t>
      </w:r>
      <w:r w:rsidR="00794A0A" w:rsidRPr="004F3997">
        <w:rPr>
          <w:rFonts w:ascii="Arial" w:eastAsia="Calibri" w:hAnsi="Arial" w:cs="Arial"/>
          <w:sz w:val="22"/>
        </w:rPr>
        <w:t xml:space="preserve"> del Decreto 680 de 2021.</w:t>
      </w:r>
      <w:r w:rsidRPr="004F3997">
        <w:rPr>
          <w:rFonts w:ascii="Arial" w:eastAsia="Calibri" w:hAnsi="Arial" w:cs="Arial"/>
          <w:sz w:val="22"/>
        </w:rPr>
        <w:t xml:space="preserve"> </w:t>
      </w:r>
    </w:p>
    <w:p w14:paraId="3DBAA512" w14:textId="3BCA93B2" w:rsidR="003C1EAA" w:rsidRPr="004F3997" w:rsidRDefault="004E0F28" w:rsidP="003C1EAA">
      <w:pPr>
        <w:spacing w:line="276" w:lineRule="auto"/>
        <w:ind w:firstLine="708"/>
        <w:jc w:val="both"/>
        <w:rPr>
          <w:rFonts w:ascii="Arial" w:eastAsia="Calibri" w:hAnsi="Arial" w:cs="Arial"/>
          <w:sz w:val="22"/>
        </w:rPr>
      </w:pPr>
      <w:r w:rsidRPr="004F3997">
        <w:rPr>
          <w:rFonts w:ascii="Arial" w:eastAsia="Calibri" w:hAnsi="Arial" w:cs="Arial"/>
          <w:sz w:val="22"/>
        </w:rPr>
        <w:t xml:space="preserve">La </w:t>
      </w:r>
      <w:r w:rsidR="0017632A" w:rsidRPr="004F3997">
        <w:rPr>
          <w:rFonts w:ascii="Arial" w:eastAsia="Calibri" w:hAnsi="Arial" w:cs="Arial"/>
          <w:sz w:val="22"/>
        </w:rPr>
        <w:t xml:space="preserve">Agencia Nacional de Contratación Pública – Colombia Compra Eficiente analizó la aplicación del Decreto 680 de 2021 y el otorgamiento del puntaje por apoyo a la industria nacional en los procedimientos de selección en los conceptos </w:t>
      </w:r>
      <w:r w:rsidR="0017632A" w:rsidRPr="004F3997">
        <w:rPr>
          <w:rFonts w:ascii="Arial" w:eastAsia="Calibri" w:hAnsi="Arial" w:cs="Arial"/>
          <w:sz w:val="22"/>
          <w:lang w:val="es-ES_tradnl"/>
        </w:rPr>
        <w:t>C-442 del 26 de agosto de 2021, C-542 del 20 de octubre de 2021 y C-549 del 5 de noviembre de 2021. Asimismo, la Agencia explicó la aplicación de la Resolución 304 de 2021 «</w:t>
      </w:r>
      <w:r w:rsidR="0017632A" w:rsidRPr="004F3997">
        <w:rPr>
          <w:rFonts w:ascii="Arial" w:eastAsia="Calibri" w:hAnsi="Arial" w:cs="Arial"/>
          <w:sz w:val="22"/>
        </w:rPr>
        <w:t xml:space="preserve">Por la cual se modifican los Documentos Tipo adoptados por la Agencia Nacional de Contratación Pública – Colombia Compra Eficiente» en el concepto C-549 del 5 de noviembre de 2021. </w:t>
      </w:r>
      <w:r w:rsidR="003C1EAA" w:rsidRPr="004F3997">
        <w:rPr>
          <w:rFonts w:ascii="Arial" w:eastAsia="Calibri" w:hAnsi="Arial" w:cs="Arial"/>
          <w:sz w:val="22"/>
        </w:rPr>
        <w:t xml:space="preserve">Algunos de los argumentos y tesis expuestos en estos conceptos ser reiteran a continuación. </w:t>
      </w:r>
    </w:p>
    <w:p w14:paraId="1CA40C66" w14:textId="77777777" w:rsidR="003C1EAA" w:rsidRPr="004F3997" w:rsidRDefault="003C1EAA" w:rsidP="003C1EAA">
      <w:pPr>
        <w:spacing w:line="276" w:lineRule="auto"/>
        <w:jc w:val="both"/>
        <w:rPr>
          <w:rFonts w:ascii="Arial" w:eastAsia="Calibri" w:hAnsi="Arial" w:cs="Arial"/>
          <w:b/>
          <w:color w:val="000000"/>
          <w:sz w:val="22"/>
          <w:lang w:val="es-ES_tradnl"/>
        </w:rPr>
      </w:pPr>
    </w:p>
    <w:p w14:paraId="0E29765B" w14:textId="439CE188" w:rsidR="003C1EAA" w:rsidRPr="004F3997" w:rsidRDefault="003C1EAA" w:rsidP="003C1EAA">
      <w:pPr>
        <w:spacing w:line="276" w:lineRule="auto"/>
        <w:jc w:val="both"/>
        <w:rPr>
          <w:rFonts w:ascii="Arial" w:eastAsia="Calibri" w:hAnsi="Arial" w:cs="Arial"/>
          <w:b/>
          <w:color w:val="000000"/>
          <w:sz w:val="22"/>
          <w:lang w:val="es-ES_tradnl"/>
        </w:rPr>
      </w:pPr>
      <w:r w:rsidRPr="004F3997">
        <w:rPr>
          <w:rFonts w:ascii="Arial" w:eastAsia="Calibri" w:hAnsi="Arial" w:cs="Arial"/>
          <w:b/>
          <w:color w:val="000000"/>
          <w:sz w:val="22"/>
          <w:lang w:val="es-ES_tradnl"/>
        </w:rPr>
        <w:t xml:space="preserve">2.1. Otorgamiento de puntaje por apoyo a la industria nacional de conformidad con la Ley 816 de 2003 y la noción de </w:t>
      </w:r>
      <w:r w:rsidRPr="004F3997">
        <w:rPr>
          <w:rFonts w:ascii="Arial" w:eastAsia="Calibri" w:hAnsi="Arial" w:cs="Arial"/>
          <w:b/>
          <w:i/>
          <w:iCs/>
          <w:color w:val="000000"/>
          <w:sz w:val="22"/>
          <w:lang w:val="es-ES_tradnl"/>
        </w:rPr>
        <w:t>Servicios Nacionales</w:t>
      </w:r>
      <w:r w:rsidRPr="004F3997">
        <w:rPr>
          <w:rFonts w:ascii="Arial" w:eastAsia="Calibri" w:hAnsi="Arial" w:cs="Arial"/>
          <w:b/>
          <w:color w:val="000000"/>
          <w:sz w:val="22"/>
          <w:lang w:val="es-ES_tradnl"/>
        </w:rPr>
        <w:t xml:space="preserve"> introducida por el Decreto 680 de 2021 </w:t>
      </w:r>
    </w:p>
    <w:p w14:paraId="67AE4504" w14:textId="77777777" w:rsidR="003C1EAA" w:rsidRPr="004F3997" w:rsidRDefault="003C1EAA" w:rsidP="003C1EAA">
      <w:pPr>
        <w:spacing w:line="276" w:lineRule="auto"/>
        <w:jc w:val="both"/>
        <w:rPr>
          <w:rFonts w:ascii="Arial" w:eastAsia="Calibri" w:hAnsi="Arial" w:cs="Arial"/>
          <w:b/>
          <w:color w:val="000000"/>
          <w:sz w:val="22"/>
          <w:lang w:val="es-ES_tradnl"/>
        </w:rPr>
      </w:pPr>
    </w:p>
    <w:p w14:paraId="239AA0FE" w14:textId="77777777" w:rsidR="003C1EAA" w:rsidRPr="004F3997" w:rsidRDefault="003C1EAA" w:rsidP="003C1EAA">
      <w:pPr>
        <w:spacing w:after="120" w:line="276" w:lineRule="auto"/>
        <w:ind w:right="51"/>
        <w:jc w:val="both"/>
        <w:rPr>
          <w:rFonts w:ascii="Arial" w:eastAsia="Arial" w:hAnsi="Arial" w:cs="Arial"/>
          <w:color w:val="000000"/>
          <w:sz w:val="22"/>
          <w:lang w:val="es-ES" w:eastAsia="es-CO"/>
        </w:rPr>
      </w:pPr>
      <w:r w:rsidRPr="004F3997">
        <w:rPr>
          <w:rFonts w:ascii="Arial" w:eastAsia="Arial" w:hAnsi="Arial" w:cs="Arial"/>
          <w:color w:val="000000"/>
          <w:sz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4F3997">
        <w:rPr>
          <w:rFonts w:ascii="Arial" w:eastAsia="Arial" w:hAnsi="Arial" w:cs="Arial"/>
          <w:color w:val="000000"/>
          <w:sz w:val="22"/>
          <w:vertAlign w:val="superscript"/>
          <w:lang w:eastAsia="es-CO"/>
        </w:rPr>
        <w:footnoteReference w:id="1"/>
      </w:r>
      <w:r w:rsidRPr="004F3997">
        <w:rPr>
          <w:rFonts w:ascii="Arial" w:eastAsia="Arial" w:hAnsi="Arial" w:cs="Arial"/>
          <w:color w:val="000000"/>
          <w:sz w:val="22"/>
          <w:lang w:val="es-ES" w:eastAsia="es-CO"/>
        </w:rPr>
        <w:t xml:space="preserve">. </w:t>
      </w:r>
    </w:p>
    <w:p w14:paraId="7E1EF162" w14:textId="503D0B25" w:rsidR="003C1EAA" w:rsidRPr="004F3997" w:rsidRDefault="003C1EAA" w:rsidP="003C1EAA">
      <w:pPr>
        <w:tabs>
          <w:tab w:val="left" w:pos="0"/>
        </w:tabs>
        <w:spacing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r>
      <w:r w:rsidR="007011D3" w:rsidRPr="004F3997">
        <w:rPr>
          <w:rFonts w:ascii="Arial" w:eastAsia="Calibri" w:hAnsi="Arial" w:cs="Arial"/>
          <w:bCs/>
          <w:color w:val="000000"/>
          <w:sz w:val="22"/>
          <w:lang w:val="es-ES_tradnl"/>
        </w:rPr>
        <w:t xml:space="preserve">Para ello, </w:t>
      </w:r>
      <w:r w:rsidRPr="004F3997">
        <w:rPr>
          <w:rFonts w:ascii="Arial" w:eastAsia="Calibri" w:hAnsi="Arial" w:cs="Arial"/>
          <w:bCs/>
          <w:color w:val="000000"/>
          <w:sz w:val="22"/>
          <w:lang w:val="es-ES_tradnl"/>
        </w:rPr>
        <w:t>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41F36E3"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p>
    <w:p w14:paraId="3C8966BA"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7E36B340" w14:textId="77777777" w:rsidR="003C1EAA" w:rsidRPr="004F3997" w:rsidRDefault="003C1EAA" w:rsidP="003C1EAA">
      <w:pPr>
        <w:tabs>
          <w:tab w:val="left" w:pos="0"/>
        </w:tabs>
        <w:spacing w:line="276" w:lineRule="auto"/>
        <w:jc w:val="both"/>
        <w:rPr>
          <w:rFonts w:ascii="Arial" w:eastAsia="Calibri" w:hAnsi="Arial" w:cs="Arial"/>
          <w:bCs/>
          <w:color w:val="000000"/>
          <w:sz w:val="22"/>
          <w:lang w:val="es-ES_tradnl"/>
        </w:rPr>
      </w:pPr>
    </w:p>
    <w:p w14:paraId="13879B9C" w14:textId="77777777" w:rsidR="003C1EAA" w:rsidRPr="004F3997" w:rsidRDefault="003C1EAA" w:rsidP="003C1EAA">
      <w:pPr>
        <w:tabs>
          <w:tab w:val="left" w:pos="0"/>
        </w:tabs>
        <w:spacing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En materia de contratación pública, dicho trato nacional es aplicable a los proponentes que ofrezcan bienes y servicios nacionales, de conformidad con las </w:t>
      </w:r>
      <w:r w:rsidRPr="004F3997">
        <w:rPr>
          <w:rFonts w:ascii="Arial" w:eastAsia="Calibri" w:hAnsi="Arial" w:cs="Arial"/>
          <w:bCs/>
          <w:color w:val="000000"/>
          <w:sz w:val="22"/>
          <w:lang w:val="es-ES_tradnl"/>
        </w:rPr>
        <w:lastRenderedPageBreak/>
        <w:t>definiciones del artículo 2.2.1.1.1.3.1 del Decreto 1082 de 2015, así como a los extranjeros que cumplan con los criterios que se encuentran regulados en el artículo 2.2.1.2.4.1.3. del mismo Decreto</w:t>
      </w:r>
      <w:r w:rsidRPr="004F3997">
        <w:rPr>
          <w:rFonts w:ascii="Arial" w:eastAsia="Calibri" w:hAnsi="Arial" w:cs="Arial"/>
          <w:bCs/>
          <w:color w:val="000000"/>
          <w:sz w:val="22"/>
          <w:vertAlign w:val="superscript"/>
          <w:lang w:val="es-ES_tradnl"/>
        </w:rPr>
        <w:footnoteReference w:id="2"/>
      </w:r>
      <w:r w:rsidRPr="004F3997">
        <w:rPr>
          <w:rFonts w:ascii="Arial" w:eastAsia="Calibri" w:hAnsi="Arial" w:cs="Arial"/>
          <w:bCs/>
          <w:color w:val="000000"/>
          <w:sz w:val="22"/>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54695ECD"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p>
    <w:p w14:paraId="6966C1FA"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62C760E"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12B9AF96"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7891BF51" w14:textId="77777777" w:rsidR="003C1EAA" w:rsidRPr="004F3997" w:rsidRDefault="003C1EAA" w:rsidP="003C1EAA">
      <w:pPr>
        <w:tabs>
          <w:tab w:val="left" w:pos="0"/>
        </w:tabs>
        <w:spacing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r>
    </w:p>
    <w:p w14:paraId="0A657E9D" w14:textId="778D7167" w:rsidR="003C1EAA" w:rsidRPr="004F3997" w:rsidRDefault="003C1EAA" w:rsidP="004F3997">
      <w:pPr>
        <w:tabs>
          <w:tab w:val="left" w:pos="0"/>
        </w:tabs>
        <w:spacing w:after="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lastRenderedPageBreak/>
        <w:tab/>
        <w:t>De acuerdo con esta norma, las ofertas de bienes y servicios nacionales –o extranjeros con derecho a trato nacional– deberán beneficiarse de la obtención de un puntaje comprendido entre el 10 y el 20%</w:t>
      </w:r>
      <w:r w:rsidR="00C8350B" w:rsidRPr="004F3997">
        <w:rPr>
          <w:rFonts w:ascii="Arial" w:eastAsia="Calibri" w:hAnsi="Arial" w:cs="Arial"/>
          <w:bCs/>
          <w:color w:val="000000"/>
          <w:sz w:val="22"/>
          <w:lang w:val="es-ES_tradnl"/>
        </w:rPr>
        <w:t xml:space="preserve"> del total de los puntos</w:t>
      </w:r>
      <w:r w:rsidRPr="004F3997">
        <w:rPr>
          <w:rFonts w:ascii="Arial" w:eastAsia="Calibri" w:hAnsi="Arial" w:cs="Arial"/>
          <w:bCs/>
          <w:color w:val="000000"/>
          <w:sz w:val="22"/>
          <w:lang w:val="es-ES_tradnl"/>
        </w:rPr>
        <w:t>, según lo haya definido la entidad estatal contratante en el pliego de condiciones</w:t>
      </w:r>
      <w:r w:rsidR="00C8350B" w:rsidRPr="004F3997">
        <w:rPr>
          <w:rFonts w:ascii="Arial" w:eastAsia="Calibri" w:hAnsi="Arial" w:cs="Arial"/>
          <w:bCs/>
          <w:color w:val="000000"/>
          <w:sz w:val="22"/>
          <w:lang w:val="es-ES_tradnl"/>
        </w:rPr>
        <w:t xml:space="preserve"> o documento equivalente</w:t>
      </w:r>
      <w:r w:rsidRPr="004F3997">
        <w:rPr>
          <w:rFonts w:ascii="Arial" w:eastAsia="Calibri" w:hAnsi="Arial" w:cs="Arial"/>
          <w:bCs/>
          <w:color w:val="000000"/>
          <w:sz w:val="22"/>
          <w:lang w:val="es-ES_tradnl"/>
        </w:rPr>
        <w:t xml:space="preserve">, </w:t>
      </w:r>
      <w:r w:rsidR="00C8350B" w:rsidRPr="004F3997">
        <w:rPr>
          <w:rFonts w:ascii="Arial" w:eastAsia="Calibri" w:hAnsi="Arial" w:cs="Arial"/>
          <w:bCs/>
          <w:color w:val="000000"/>
          <w:sz w:val="22"/>
          <w:lang w:val="es-ES_tradnl"/>
        </w:rPr>
        <w:t>con la finalidad de incentivar</w:t>
      </w:r>
      <w:r w:rsidRPr="004F3997">
        <w:rPr>
          <w:rFonts w:ascii="Arial" w:eastAsia="Calibri" w:hAnsi="Arial" w:cs="Arial"/>
          <w:bCs/>
          <w:color w:val="000000"/>
          <w:sz w:val="22"/>
          <w:lang w:val="es-ES_tradnl"/>
        </w:rPr>
        <w:t xml:space="preserve">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w:t>
      </w:r>
      <w:r w:rsidR="00C8350B" w:rsidRPr="004F3997">
        <w:rPr>
          <w:rFonts w:ascii="Arial" w:eastAsia="Calibri" w:hAnsi="Arial" w:cs="Arial"/>
          <w:bCs/>
          <w:color w:val="000000"/>
          <w:sz w:val="22"/>
          <w:lang w:val="es-ES_tradnl"/>
        </w:rPr>
        <w:t xml:space="preserve">elaboración </w:t>
      </w:r>
      <w:r w:rsidRPr="004F3997">
        <w:rPr>
          <w:rFonts w:ascii="Arial" w:eastAsia="Calibri" w:hAnsi="Arial" w:cs="Arial"/>
          <w:bCs/>
          <w:color w:val="000000"/>
          <w:sz w:val="22"/>
          <w:lang w:val="es-ES_tradnl"/>
        </w:rPr>
        <w:t>del pliego de condiciones y el deber de selección objetiva.</w:t>
      </w:r>
    </w:p>
    <w:p w14:paraId="72B70DFF" w14:textId="1E4B0D5F" w:rsidR="003C1EAA" w:rsidRPr="004F3997" w:rsidRDefault="003C1EAA" w:rsidP="003C1EAA">
      <w:pPr>
        <w:tabs>
          <w:tab w:val="left" w:pos="0"/>
        </w:tabs>
        <w:spacing w:before="120" w:after="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4F3997">
        <w:rPr>
          <w:rFonts w:ascii="Arial" w:eastAsia="Calibri" w:hAnsi="Arial" w:cs="Arial"/>
          <w:sz w:val="22"/>
          <w:lang w:val="es-ES_tradnl"/>
        </w:rPr>
        <w:t xml:space="preserve">[…] </w:t>
      </w:r>
      <w:r w:rsidRPr="004F3997">
        <w:rPr>
          <w:rFonts w:ascii="Arial" w:eastAsia="Calibri" w:hAnsi="Arial" w:cs="Arial"/>
          <w:bCs/>
          <w:color w:val="000000"/>
          <w:sz w:val="22"/>
          <w:lang w:val="es-ES_tradnl"/>
        </w:rPr>
        <w:t>un puntaje comprendido entre el diez (10) y el veinte por ciento (20%)» para estimular la industria nacional, cuando se oferten bienes o servicios nacionales</w:t>
      </w:r>
      <w:r w:rsidR="001E7BBB" w:rsidRPr="004F3997">
        <w:rPr>
          <w:rFonts w:ascii="Arial" w:eastAsia="Calibri" w:hAnsi="Arial" w:cs="Arial"/>
          <w:bCs/>
          <w:color w:val="000000"/>
          <w:sz w:val="22"/>
          <w:lang w:val="es-ES_tradnl"/>
        </w:rPr>
        <w:t xml:space="preserve">» </w:t>
      </w:r>
      <w:r w:rsidR="00C8350B" w:rsidRPr="004F3997">
        <w:rPr>
          <w:rFonts w:ascii="Arial" w:eastAsia="Calibri" w:hAnsi="Arial" w:cs="Arial"/>
          <w:bCs/>
          <w:color w:val="000000"/>
          <w:sz w:val="22"/>
          <w:lang w:val="es-ES_tradnl"/>
        </w:rPr>
        <w:t>–inciso primero o «</w:t>
      </w:r>
      <w:r w:rsidR="001E7BBB" w:rsidRPr="004F3997">
        <w:rPr>
          <w:rFonts w:ascii="Arial" w:eastAsia="Calibri" w:hAnsi="Arial" w:cs="Arial"/>
          <w:bCs/>
          <w:color w:val="000000"/>
          <w:sz w:val="22"/>
          <w:lang w:val="es-ES_tradnl"/>
        </w:rPr>
        <w:t>Franja 1</w:t>
      </w:r>
      <w:r w:rsidR="00C8350B" w:rsidRPr="004F3997">
        <w:rPr>
          <w:rFonts w:ascii="Arial" w:eastAsia="Calibri" w:hAnsi="Arial" w:cs="Arial"/>
          <w:bCs/>
          <w:color w:val="000000"/>
          <w:sz w:val="22"/>
          <w:lang w:val="es-ES_tradnl"/>
        </w:rPr>
        <w:t>»–</w:t>
      </w:r>
      <w:r w:rsidRPr="004F3997">
        <w:rPr>
          <w:rFonts w:ascii="Arial" w:eastAsia="Calibri" w:hAnsi="Arial" w:cs="Arial"/>
          <w:bCs/>
          <w:color w:val="000000"/>
          <w:sz w:val="22"/>
          <w:lang w:val="es-ES_tradnl"/>
        </w:rPr>
        <w:t xml:space="preserve">. Adicionalmente, la norma indica </w:t>
      </w:r>
      <w:proofErr w:type="gramStart"/>
      <w:r w:rsidRPr="004F3997">
        <w:rPr>
          <w:rFonts w:ascii="Arial" w:eastAsia="Calibri" w:hAnsi="Arial" w:cs="Arial"/>
          <w:bCs/>
          <w:color w:val="000000"/>
          <w:sz w:val="22"/>
          <w:lang w:val="es-ES_tradnl"/>
        </w:rPr>
        <w:t>que</w:t>
      </w:r>
      <w:proofErr w:type="gramEnd"/>
      <w:r w:rsidRPr="004F3997">
        <w:rPr>
          <w:rFonts w:ascii="Arial" w:eastAsia="Calibri" w:hAnsi="Arial" w:cs="Arial"/>
          <w:bCs/>
          <w:color w:val="000000"/>
          <w:sz w:val="22"/>
          <w:lang w:val="es-ES_tradnl"/>
        </w:rPr>
        <w:t xml:space="preserve"> si no se ofertan bienes o servicios nacionales, sino bienes o servicios </w:t>
      </w:r>
      <w:r w:rsidRPr="004F3997">
        <w:rPr>
          <w:rFonts w:ascii="Arial" w:eastAsia="Calibri" w:hAnsi="Arial" w:cs="Arial"/>
          <w:bCs/>
          <w:i/>
          <w:iCs/>
          <w:color w:val="000000"/>
          <w:sz w:val="22"/>
          <w:lang w:val="es-ES_tradnl"/>
        </w:rPr>
        <w:t>extranjeros</w:t>
      </w:r>
      <w:r w:rsidRPr="004F3997">
        <w:rPr>
          <w:rFonts w:ascii="Arial" w:eastAsia="Calibri" w:hAnsi="Arial" w:cs="Arial"/>
          <w:bCs/>
          <w:color w:val="000000"/>
          <w:sz w:val="22"/>
          <w:lang w:val="es-ES_tradnl"/>
        </w:rPr>
        <w:t>, «[…] la entidad contratante establecerá un puntaje comprendido entre el cinco (5) y el quince por ciento (15%), para incentivar la incorporación de componente colombiano de bienes y servicios profesionales, técnicos y operativos»</w:t>
      </w:r>
      <w:r w:rsidR="001E7BBB" w:rsidRPr="004F3997">
        <w:rPr>
          <w:rFonts w:ascii="Arial" w:eastAsia="Calibri" w:hAnsi="Arial" w:cs="Arial"/>
          <w:bCs/>
          <w:color w:val="000000"/>
          <w:sz w:val="22"/>
          <w:lang w:val="es-ES_tradnl"/>
        </w:rPr>
        <w:t xml:space="preserve"> </w:t>
      </w:r>
      <w:r w:rsidR="00C8350B" w:rsidRPr="004F3997">
        <w:rPr>
          <w:rFonts w:ascii="Arial" w:eastAsia="Calibri" w:hAnsi="Arial" w:cs="Arial"/>
          <w:bCs/>
          <w:color w:val="000000"/>
          <w:sz w:val="22"/>
          <w:lang w:val="es-ES_tradnl"/>
        </w:rPr>
        <w:t xml:space="preserve">–inciso segundo o </w:t>
      </w:r>
      <w:r w:rsidR="00C8350B" w:rsidRPr="004F3997">
        <w:rPr>
          <w:rFonts w:ascii="Arial" w:eastAsia="Calibri" w:hAnsi="Arial" w:cs="Arial"/>
          <w:bCs/>
          <w:color w:val="000000"/>
          <w:sz w:val="22"/>
          <w:lang w:val="es-CO"/>
        </w:rPr>
        <w:t>«</w:t>
      </w:r>
      <w:r w:rsidR="001E7BBB" w:rsidRPr="004F3997">
        <w:rPr>
          <w:rFonts w:ascii="Arial" w:eastAsia="Calibri" w:hAnsi="Arial" w:cs="Arial"/>
          <w:bCs/>
          <w:color w:val="000000"/>
          <w:sz w:val="22"/>
          <w:lang w:val="es-ES_tradnl"/>
        </w:rPr>
        <w:t>Franja 2</w:t>
      </w:r>
      <w:r w:rsidR="00C8350B" w:rsidRPr="004F3997">
        <w:rPr>
          <w:rFonts w:ascii="Arial" w:eastAsia="Calibri" w:hAnsi="Arial" w:cs="Arial"/>
          <w:bCs/>
          <w:color w:val="000000"/>
          <w:sz w:val="22"/>
          <w:lang w:val="es-ES_tradnl"/>
        </w:rPr>
        <w:t>»–</w:t>
      </w:r>
      <w:r w:rsidRPr="004F3997">
        <w:rPr>
          <w:rFonts w:ascii="Arial" w:eastAsia="Calibri" w:hAnsi="Arial" w:cs="Arial"/>
          <w:bCs/>
          <w:color w:val="000000"/>
          <w:sz w:val="22"/>
          <w:lang w:val="es-ES_tradnl"/>
        </w:rPr>
        <w:t xml:space="preserve">. </w:t>
      </w:r>
    </w:p>
    <w:p w14:paraId="73A0DBFB" w14:textId="0E23B16A" w:rsidR="003C1EAA" w:rsidRPr="004F3997" w:rsidRDefault="003C1EAA" w:rsidP="003C1EAA">
      <w:pPr>
        <w:spacing w:before="120" w:after="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00794A0A" w:rsidRPr="004F3997">
        <w:rPr>
          <w:rFonts w:ascii="Arial" w:eastAsia="Calibri" w:hAnsi="Arial" w:cs="Arial"/>
          <w:bCs/>
          <w:i/>
          <w:iCs/>
          <w:color w:val="000000"/>
          <w:sz w:val="22"/>
          <w:lang w:val="es-ES_tradnl"/>
        </w:rPr>
        <w:t>S</w:t>
      </w:r>
      <w:r w:rsidRPr="004F3997">
        <w:rPr>
          <w:rFonts w:ascii="Arial" w:eastAsia="Calibri" w:hAnsi="Arial" w:cs="Arial"/>
          <w:bCs/>
          <w:i/>
          <w:iCs/>
          <w:color w:val="000000"/>
          <w:sz w:val="22"/>
          <w:lang w:val="es-ES_tradnl"/>
        </w:rPr>
        <w:t xml:space="preserve">ervicios </w:t>
      </w:r>
      <w:r w:rsidR="00794A0A" w:rsidRPr="004F3997">
        <w:rPr>
          <w:rFonts w:ascii="Arial" w:eastAsia="Calibri" w:hAnsi="Arial" w:cs="Arial"/>
          <w:bCs/>
          <w:i/>
          <w:iCs/>
          <w:color w:val="000000"/>
          <w:sz w:val="22"/>
          <w:lang w:val="es-ES_tradnl"/>
        </w:rPr>
        <w:t>N</w:t>
      </w:r>
      <w:r w:rsidRPr="004F3997">
        <w:rPr>
          <w:rFonts w:ascii="Arial" w:eastAsia="Calibri" w:hAnsi="Arial" w:cs="Arial"/>
          <w:bCs/>
          <w:i/>
          <w:iCs/>
          <w:color w:val="000000"/>
          <w:sz w:val="22"/>
          <w:lang w:val="es-ES_tradnl"/>
        </w:rPr>
        <w:t>acionales</w:t>
      </w:r>
      <w:r w:rsidRPr="004F3997">
        <w:rPr>
          <w:rFonts w:ascii="Arial" w:eastAsia="Calibri" w:hAnsi="Arial" w:cs="Arial"/>
          <w:bCs/>
          <w:color w:val="000000"/>
          <w:sz w:val="22"/>
          <w:lang w:val="es-ES_tradnl"/>
        </w:rPr>
        <w:t xml:space="preserve"> en forma distinta, así:</w:t>
      </w:r>
    </w:p>
    <w:p w14:paraId="7D241F32"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p>
    <w:p w14:paraId="6DCDBA78"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087790CC"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 xml:space="preserve">En los contratos que no deban cumplirse en Colombia, que sean prestados en el extranjero y estén sometidos a la legislación colombiana, un servicio es </w:t>
      </w:r>
      <w:r w:rsidRPr="004F3997">
        <w:rPr>
          <w:rFonts w:ascii="Arial" w:eastAsia="Calibri" w:hAnsi="Arial" w:cs="Arial"/>
          <w:bCs/>
          <w:color w:val="000000"/>
          <w:sz w:val="21"/>
          <w:szCs w:val="21"/>
          <w:lang w:val="es-ES_tradnl"/>
        </w:rPr>
        <w:lastRenderedPageBreak/>
        <w:t>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6DFA97AE"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199E98B" w14:textId="77777777" w:rsidR="003C1EAA" w:rsidRPr="004F3997" w:rsidRDefault="003C1EAA" w:rsidP="003A5CD8">
      <w:pPr>
        <w:tabs>
          <w:tab w:val="left" w:pos="0"/>
        </w:tabs>
        <w:spacing w:line="276" w:lineRule="auto"/>
        <w:jc w:val="both"/>
        <w:rPr>
          <w:rFonts w:ascii="Arial" w:eastAsia="Calibri" w:hAnsi="Arial" w:cs="Arial"/>
          <w:bCs/>
          <w:color w:val="000000"/>
          <w:sz w:val="22"/>
          <w:lang w:val="es-ES_tradnl"/>
        </w:rPr>
      </w:pPr>
    </w:p>
    <w:p w14:paraId="48A152BC" w14:textId="77777777" w:rsidR="003C1EAA" w:rsidRPr="004F3997" w:rsidRDefault="003C1EAA" w:rsidP="003C1EAA">
      <w:pPr>
        <w:tabs>
          <w:tab w:val="left" w:pos="0"/>
        </w:tabs>
        <w:spacing w:before="120" w:after="120" w:line="276" w:lineRule="auto"/>
        <w:ind w:firstLine="709"/>
        <w:jc w:val="both"/>
        <w:rPr>
          <w:rFonts w:ascii="Arial" w:eastAsia="Calibri" w:hAnsi="Arial" w:cs="Arial"/>
          <w:bCs/>
          <w:color w:val="000000"/>
          <w:sz w:val="22"/>
          <w:lang w:val="es-ES_tradnl"/>
        </w:rPr>
      </w:pPr>
      <w:bookmarkStart w:id="7" w:name="_Hlk86820071"/>
      <w:r w:rsidRPr="004F3997">
        <w:rPr>
          <w:rFonts w:ascii="Arial" w:eastAsia="Calibri" w:hAnsi="Arial" w:cs="Arial"/>
          <w:bCs/>
          <w:color w:val="000000"/>
          <w:sz w:val="22"/>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establece </w:t>
      </w:r>
      <w:proofErr w:type="gramStart"/>
      <w:r w:rsidRPr="004F3997">
        <w:rPr>
          <w:rFonts w:ascii="Arial" w:eastAsia="Calibri" w:hAnsi="Arial" w:cs="Arial"/>
          <w:bCs/>
          <w:color w:val="000000"/>
          <w:sz w:val="22"/>
          <w:lang w:val="es-ES_tradnl"/>
        </w:rPr>
        <w:t>que</w:t>
      </w:r>
      <w:proofErr w:type="gramEnd"/>
      <w:r w:rsidRPr="004F3997">
        <w:rPr>
          <w:rFonts w:ascii="Arial" w:eastAsia="Calibri" w:hAnsi="Arial" w:cs="Arial"/>
          <w:bCs/>
          <w:color w:val="000000"/>
          <w:sz w:val="22"/>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6FEFDCF2" w14:textId="77777777" w:rsidR="003C1EAA" w:rsidRPr="004F3997" w:rsidRDefault="003C1EAA" w:rsidP="003C1EAA">
      <w:pPr>
        <w:tabs>
          <w:tab w:val="left" w:pos="0"/>
        </w:tabs>
        <w:spacing w:before="120"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De acuerdo con esto,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4F3997">
        <w:rPr>
          <w:rFonts w:ascii="Arial" w:eastAsia="Calibri" w:hAnsi="Arial" w:cs="Arial"/>
          <w:bCs/>
          <w:i/>
          <w:iCs/>
          <w:color w:val="000000"/>
          <w:sz w:val="22"/>
          <w:lang w:val="es-ES_tradnl"/>
        </w:rPr>
        <w:t xml:space="preserve">Servicios Nacionales </w:t>
      </w:r>
      <w:r w:rsidRPr="004F3997">
        <w:rPr>
          <w:rFonts w:ascii="Arial" w:eastAsia="Calibri" w:hAnsi="Arial" w:cs="Arial"/>
          <w:bCs/>
          <w:color w:val="000000"/>
          <w:sz w:val="22"/>
          <w:lang w:val="es-ES_tradnl"/>
        </w:rPr>
        <w:t xml:space="preserve">remite a la noción de </w:t>
      </w:r>
      <w:r w:rsidRPr="004F3997">
        <w:rPr>
          <w:rFonts w:ascii="Arial" w:eastAsia="Calibri" w:hAnsi="Arial" w:cs="Arial"/>
          <w:bCs/>
          <w:i/>
          <w:iCs/>
          <w:color w:val="000000"/>
          <w:sz w:val="22"/>
          <w:lang w:val="es-ES_tradnl"/>
        </w:rPr>
        <w:t>Bienes Nacionales</w:t>
      </w:r>
      <w:r w:rsidRPr="004F3997">
        <w:rPr>
          <w:rFonts w:ascii="Arial" w:eastAsia="Calibri" w:hAnsi="Arial" w:cs="Arial"/>
          <w:bCs/>
          <w:color w:val="000000"/>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7"/>
      <w:r w:rsidRPr="004F3997">
        <w:rPr>
          <w:rFonts w:ascii="Arial" w:eastAsia="Calibri" w:hAnsi="Arial" w:cs="Arial"/>
          <w:bCs/>
          <w:color w:val="000000"/>
          <w:sz w:val="22"/>
          <w:lang w:val="es-ES_tradnl"/>
        </w:rPr>
        <w:t>».</w:t>
      </w:r>
    </w:p>
    <w:p w14:paraId="5FFC2A45" w14:textId="3A935818" w:rsidR="003C1EAA" w:rsidRPr="004F3997" w:rsidRDefault="003C1EAA" w:rsidP="003C1EAA">
      <w:pPr>
        <w:tabs>
          <w:tab w:val="left" w:pos="0"/>
        </w:tabs>
        <w:spacing w:before="120"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En consecuencia, si el contrato debe cumplirse en Colombia, la entidad estatal debe definir los bienes nacionales relevantes, pues el uso de estos por parte del proponente es </w:t>
      </w:r>
      <w:r w:rsidRPr="004F3997">
        <w:rPr>
          <w:rFonts w:ascii="Arial" w:eastAsia="Calibri" w:hAnsi="Arial" w:cs="Arial"/>
          <w:bCs/>
          <w:color w:val="000000"/>
          <w:sz w:val="22"/>
          <w:lang w:val="es-ES_tradnl"/>
        </w:rPr>
        <w:lastRenderedPageBreak/>
        <w:t>uno de los criterios que permiten establecer si el servicio puede calificarse como nacional –el otro criterio es la vinculación del porcentaje mínimo de personal colombiano, según corresponda–. Si el contrato no debe cumplirse en Colombia,</w:t>
      </w:r>
      <w:r w:rsidR="003A5CD8" w:rsidRPr="004F3997">
        <w:rPr>
          <w:rFonts w:ascii="Arial" w:eastAsia="Calibri" w:hAnsi="Arial" w:cs="Arial"/>
          <w:bCs/>
          <w:color w:val="000000"/>
          <w:sz w:val="22"/>
          <w:lang w:val="es-ES_tradnl"/>
        </w:rPr>
        <w:t xml:space="preserve"> para que el servicio sea nacional,</w:t>
      </w:r>
      <w:r w:rsidRPr="004F3997">
        <w:rPr>
          <w:rFonts w:ascii="Arial" w:eastAsia="Calibri" w:hAnsi="Arial" w:cs="Arial"/>
          <w:bCs/>
          <w:color w:val="000000"/>
          <w:sz w:val="22"/>
          <w:lang w:val="es-ES_tradnl"/>
        </w:rPr>
        <w:t xml:space="preserve"> no es necesario que se usen bienes o personal colombianos,</w:t>
      </w:r>
      <w:r w:rsidR="003A5CD8" w:rsidRPr="004F3997">
        <w:rPr>
          <w:rFonts w:ascii="Arial" w:eastAsia="Calibri" w:hAnsi="Arial" w:cs="Arial"/>
          <w:bCs/>
          <w:color w:val="000000"/>
          <w:sz w:val="22"/>
          <w:lang w:val="es-ES_tradnl"/>
        </w:rPr>
        <w:t xml:space="preserve"> </w:t>
      </w:r>
      <w:r w:rsidRPr="004F3997">
        <w:rPr>
          <w:rFonts w:ascii="Arial" w:eastAsia="Calibri" w:hAnsi="Arial" w:cs="Arial"/>
          <w:bCs/>
          <w:color w:val="000000"/>
          <w:sz w:val="22"/>
          <w:lang w:val="es-ES_tradnl"/>
        </w:rPr>
        <w:t>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67EE8ABB" w14:textId="4A23735A" w:rsidR="003C1EAA" w:rsidRPr="004F3997" w:rsidRDefault="003C1EAA" w:rsidP="003C1EAA">
      <w:pPr>
        <w:tabs>
          <w:tab w:val="left" w:pos="0"/>
        </w:tabs>
        <w:spacing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En segundo lugar, el Decreto 680 de 2021 consagra, en el artículo 2, </w:t>
      </w:r>
      <w:r w:rsidR="003A5CD8" w:rsidRPr="004F3997">
        <w:rPr>
          <w:rFonts w:ascii="Arial" w:eastAsia="Calibri" w:hAnsi="Arial" w:cs="Arial"/>
          <w:bCs/>
          <w:color w:val="000000"/>
          <w:sz w:val="22"/>
          <w:lang w:val="es-ES_tradnl"/>
        </w:rPr>
        <w:t xml:space="preserve">unos lineamientos que deben seguir las entidades estatales para </w:t>
      </w:r>
      <w:r w:rsidRPr="004F3997">
        <w:rPr>
          <w:rFonts w:ascii="Arial" w:eastAsia="Calibri" w:hAnsi="Arial" w:cs="Arial"/>
          <w:bCs/>
          <w:color w:val="000000"/>
          <w:sz w:val="22"/>
          <w:lang w:val="es-ES_tradnl"/>
        </w:rPr>
        <w:t xml:space="preserve">definir los </w:t>
      </w:r>
      <w:r w:rsidRPr="004F3997">
        <w:rPr>
          <w:rFonts w:ascii="Arial" w:eastAsia="Calibri" w:hAnsi="Arial" w:cs="Arial"/>
          <w:bCs/>
          <w:i/>
          <w:iCs/>
          <w:color w:val="000000"/>
          <w:sz w:val="22"/>
          <w:lang w:val="es-ES_tradnl"/>
        </w:rPr>
        <w:t>bienes colombianos relevantes</w:t>
      </w:r>
      <w:r w:rsidRPr="004F3997">
        <w:rPr>
          <w:rFonts w:ascii="Arial" w:eastAsia="Calibri" w:hAnsi="Arial" w:cs="Arial"/>
          <w:bCs/>
          <w:color w:val="000000"/>
          <w:sz w:val="22"/>
          <w:lang w:val="es-ES_tradnl"/>
        </w:rPr>
        <w:t xml:space="preserve"> y otorgar el puntaje de que trata el inciso 1 del artículo 2 de la Ley 816 de 2003. En efecto, el artículo 2 del Decreto en comento, establece: </w:t>
      </w:r>
    </w:p>
    <w:p w14:paraId="454D16D4"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p>
    <w:p w14:paraId="39719643"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559E5A9C" w14:textId="77777777" w:rsidR="003C1EAA" w:rsidRPr="004F3997" w:rsidRDefault="003C1EAA" w:rsidP="003C1EAA">
      <w:pPr>
        <w:tabs>
          <w:tab w:val="left" w:pos="0"/>
        </w:tabs>
        <w:ind w:right="709"/>
        <w:jc w:val="both"/>
        <w:rPr>
          <w:rFonts w:ascii="Arial" w:eastAsia="Calibri" w:hAnsi="Arial" w:cs="Arial"/>
          <w:bCs/>
          <w:color w:val="000000"/>
          <w:sz w:val="21"/>
          <w:szCs w:val="21"/>
          <w:lang w:val="es-ES_tradnl"/>
        </w:rPr>
      </w:pPr>
    </w:p>
    <w:p w14:paraId="3706FD72"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2235D209"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05C77206"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4F6DFFFC"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2. El porcentaje de participación de los bienes en el presupuesto del Proceso de Contratación; y</w:t>
      </w:r>
    </w:p>
    <w:p w14:paraId="4A023C0A"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52C62F23" w14:textId="77777777" w:rsidR="003C1EAA" w:rsidRPr="004F3997" w:rsidRDefault="003C1EAA" w:rsidP="003C1EAA">
      <w:pPr>
        <w:tabs>
          <w:tab w:val="left" w:pos="0"/>
        </w:tabs>
        <w:spacing w:after="120"/>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180B33F3"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r w:rsidRPr="004F3997">
        <w:rPr>
          <w:rFonts w:ascii="Arial" w:eastAsia="Calibri" w:hAnsi="Arial" w:cs="Arial"/>
          <w:bCs/>
          <w:color w:val="000000"/>
          <w:sz w:val="21"/>
          <w:szCs w:val="21"/>
          <w:lang w:val="es-ES_tradnl"/>
        </w:rPr>
        <w:lastRenderedPageBreak/>
        <w:t>La Entidad Estatal documentará este análisis y dejará constancia en los Documentos del Proceso».</w:t>
      </w:r>
    </w:p>
    <w:p w14:paraId="00D4A9C7" w14:textId="77777777" w:rsidR="003C1EAA" w:rsidRPr="004F3997" w:rsidRDefault="003C1EAA" w:rsidP="003C1EAA">
      <w:pPr>
        <w:tabs>
          <w:tab w:val="left" w:pos="0"/>
        </w:tabs>
        <w:ind w:left="709" w:right="709"/>
        <w:jc w:val="both"/>
        <w:rPr>
          <w:rFonts w:ascii="Arial" w:eastAsia="Calibri" w:hAnsi="Arial" w:cs="Arial"/>
          <w:bCs/>
          <w:color w:val="000000"/>
          <w:sz w:val="21"/>
          <w:szCs w:val="21"/>
          <w:lang w:val="es-ES_tradnl"/>
        </w:rPr>
      </w:pPr>
    </w:p>
    <w:p w14:paraId="7981E91E" w14:textId="37914B50" w:rsidR="003C1EAA" w:rsidRPr="004F3997" w:rsidRDefault="003C1EAA" w:rsidP="001E7BBB">
      <w:pPr>
        <w:tabs>
          <w:tab w:val="left" w:pos="0"/>
        </w:tabs>
        <w:spacing w:after="120" w:line="276" w:lineRule="auto"/>
        <w:ind w:firstLine="709"/>
        <w:jc w:val="both"/>
        <w:rPr>
          <w:rFonts w:ascii="Arial" w:eastAsia="Calibri" w:hAnsi="Arial" w:cs="Arial"/>
          <w:bCs/>
          <w:color w:val="000000"/>
          <w:sz w:val="22"/>
          <w:lang w:val="es-ES_tradnl"/>
        </w:rPr>
      </w:pPr>
      <w:bookmarkStart w:id="8" w:name="_Hlk86820149"/>
      <w:bookmarkStart w:id="9" w:name="_Hlk87025682"/>
      <w:r w:rsidRPr="004F3997">
        <w:rPr>
          <w:rFonts w:ascii="Arial" w:eastAsia="Calibri" w:hAnsi="Arial" w:cs="Arial"/>
          <w:bCs/>
          <w:color w:val="000000"/>
          <w:sz w:val="22"/>
          <w:lang w:val="es-ES_tradnl"/>
        </w:rPr>
        <w:t>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En aplicación de estos criterios, corresponde a la entidad estatal determinar en los respectivos pliegos de condiciones o documentos equivalentes, la metodología conforme con la cual se asignará el puntaje correspondiente por apoyo a la industria nacional</w:t>
      </w:r>
      <w:bookmarkEnd w:id="8"/>
      <w:r w:rsidRPr="004F3997">
        <w:rPr>
          <w:rFonts w:ascii="Arial" w:eastAsia="Calibri" w:hAnsi="Arial" w:cs="Arial"/>
          <w:bCs/>
          <w:color w:val="000000"/>
          <w:sz w:val="22"/>
          <w:lang w:val="es-ES_tradnl"/>
        </w:rPr>
        <w:t>.</w:t>
      </w:r>
    </w:p>
    <w:p w14:paraId="0973AD31" w14:textId="79A142F5" w:rsidR="001E7BBB" w:rsidRPr="004F3997" w:rsidRDefault="00C53CF2" w:rsidP="00C53CF2">
      <w:pPr>
        <w:tabs>
          <w:tab w:val="left" w:pos="0"/>
        </w:tabs>
        <w:spacing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Además</w:t>
      </w:r>
      <w:r w:rsidR="001E7BBB" w:rsidRPr="004F3997">
        <w:rPr>
          <w:rFonts w:ascii="Arial" w:eastAsia="Calibri" w:hAnsi="Arial" w:cs="Arial"/>
          <w:bCs/>
          <w:color w:val="000000"/>
          <w:sz w:val="22"/>
          <w:lang w:val="es-ES_tradnl"/>
        </w:rPr>
        <w:t xml:space="preserve">, el </w:t>
      </w:r>
      <w:r w:rsidR="00D61609" w:rsidRPr="004F3997">
        <w:rPr>
          <w:rFonts w:ascii="Arial" w:eastAsia="Calibri" w:hAnsi="Arial" w:cs="Arial"/>
          <w:bCs/>
          <w:color w:val="000000"/>
          <w:sz w:val="22"/>
          <w:lang w:val="es-ES_tradnl"/>
        </w:rPr>
        <w:t>respectivo</w:t>
      </w:r>
      <w:r w:rsidR="001E7BBB" w:rsidRPr="004F3997">
        <w:rPr>
          <w:rFonts w:ascii="Arial" w:eastAsia="Calibri" w:hAnsi="Arial" w:cs="Arial"/>
          <w:bCs/>
          <w:color w:val="000000"/>
          <w:sz w:val="22"/>
          <w:lang w:val="es-ES_tradnl"/>
        </w:rPr>
        <w:t xml:space="preserve"> artículo </w:t>
      </w:r>
      <w:r w:rsidR="006C11EB" w:rsidRPr="004F3997">
        <w:rPr>
          <w:rFonts w:ascii="Arial" w:eastAsia="Calibri" w:hAnsi="Arial" w:cs="Arial"/>
          <w:bCs/>
          <w:color w:val="000000"/>
          <w:sz w:val="22"/>
          <w:lang w:val="es-ES_tradnl"/>
        </w:rPr>
        <w:t>consagra una regla subsidiaria para otorgar el puntaje de industria nacional cuando por el objeto contractual o por la falta de oferta nacional, no exist</w:t>
      </w:r>
      <w:r w:rsidRPr="004F3997">
        <w:rPr>
          <w:rFonts w:ascii="Arial" w:eastAsia="Calibri" w:hAnsi="Arial" w:cs="Arial"/>
          <w:bCs/>
          <w:color w:val="000000"/>
          <w:sz w:val="22"/>
          <w:lang w:val="es-ES_tradnl"/>
        </w:rPr>
        <w:t>e</w:t>
      </w:r>
      <w:r w:rsidR="006C11EB" w:rsidRPr="004F3997">
        <w:rPr>
          <w:rFonts w:ascii="Arial" w:eastAsia="Calibri" w:hAnsi="Arial" w:cs="Arial"/>
          <w:bCs/>
          <w:color w:val="000000"/>
          <w:sz w:val="22"/>
          <w:lang w:val="es-ES_tradnl"/>
        </w:rPr>
        <w:t xml:space="preserve">n bienes nacionales relevantes. </w:t>
      </w:r>
      <w:r w:rsidRPr="004F3997">
        <w:rPr>
          <w:rFonts w:ascii="Arial" w:eastAsia="Calibri" w:hAnsi="Arial" w:cs="Arial"/>
          <w:bCs/>
          <w:color w:val="000000"/>
          <w:sz w:val="22"/>
          <w:lang w:val="es-ES_tradnl"/>
        </w:rPr>
        <w:t>Esta regla consiste en otorgar el puntaje</w:t>
      </w:r>
      <w:r w:rsidR="006C11EB" w:rsidRPr="004F3997">
        <w:rPr>
          <w:rFonts w:ascii="Arial" w:eastAsia="Calibri" w:hAnsi="Arial" w:cs="Arial"/>
          <w:bCs/>
          <w:color w:val="000000"/>
          <w:sz w:val="22"/>
          <w:lang w:val="es-ES_tradnl"/>
        </w:rPr>
        <w:t xml:space="preserve">, </w:t>
      </w:r>
      <w:r w:rsidRPr="004F3997">
        <w:rPr>
          <w:rFonts w:ascii="Arial" w:eastAsia="Calibri" w:hAnsi="Arial" w:cs="Arial"/>
          <w:bCs/>
          <w:color w:val="000000"/>
          <w:sz w:val="22"/>
          <w:lang w:val="es-ES_tradnl"/>
        </w:rPr>
        <w:t>al</w:t>
      </w:r>
      <w:r w:rsidR="006C11EB" w:rsidRPr="004F3997">
        <w:rPr>
          <w:rFonts w:ascii="Arial" w:eastAsia="Calibri" w:hAnsi="Arial" w:cs="Arial"/>
          <w:bCs/>
          <w:color w:val="000000"/>
          <w:sz w:val="22"/>
          <w:lang w:val="es-ES_tradnl"/>
        </w:rPr>
        <w:t xml:space="preserve"> proponente </w:t>
      </w:r>
      <w:r w:rsidRPr="004F3997">
        <w:rPr>
          <w:rFonts w:ascii="Arial" w:eastAsia="Calibri" w:hAnsi="Arial" w:cs="Arial"/>
          <w:bCs/>
          <w:color w:val="000000"/>
          <w:sz w:val="22"/>
          <w:lang w:val="es-ES_tradnl"/>
        </w:rPr>
        <w:t xml:space="preserve">que </w:t>
      </w:r>
      <w:r w:rsidR="006C11EB" w:rsidRPr="004F3997">
        <w:rPr>
          <w:rFonts w:ascii="Arial" w:eastAsia="Calibri" w:hAnsi="Arial" w:cs="Arial"/>
          <w:bCs/>
          <w:color w:val="000000"/>
          <w:sz w:val="22"/>
          <w:lang w:val="es-ES_tradnl"/>
        </w:rPr>
        <w:t xml:space="preserve">vincule el porcentaje mínimo de empleados o contratistas por prestación de servicios colombianos </w:t>
      </w:r>
      <w:r w:rsidRPr="004F3997">
        <w:rPr>
          <w:rFonts w:ascii="Arial" w:eastAsia="Calibri" w:hAnsi="Arial" w:cs="Arial"/>
          <w:bCs/>
          <w:color w:val="000000"/>
          <w:sz w:val="22"/>
          <w:lang w:val="es-ES_tradnl"/>
        </w:rPr>
        <w:t xml:space="preserve">establecido por la entidad estatal, el cual no podrá ser inferior al 40% del total de empleados y contratistas asociados al cumplimiento del contrato. </w:t>
      </w:r>
    </w:p>
    <w:bookmarkEnd w:id="9"/>
    <w:p w14:paraId="4187591E" w14:textId="5C76AFFB" w:rsidR="003541ED" w:rsidRPr="004F3997" w:rsidRDefault="003C1EAA" w:rsidP="003541ED">
      <w:pPr>
        <w:tabs>
          <w:tab w:val="left" w:pos="0"/>
        </w:tabs>
        <w:spacing w:before="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r>
      <w:r w:rsidR="009F2AAA" w:rsidRPr="004F3997">
        <w:rPr>
          <w:rFonts w:ascii="Arial" w:eastAsia="Calibri" w:hAnsi="Arial" w:cs="Arial"/>
          <w:bCs/>
          <w:color w:val="000000"/>
          <w:sz w:val="22"/>
          <w:lang w:val="es-ES_tradnl"/>
        </w:rPr>
        <w:t>Por otro lado</w:t>
      </w:r>
      <w:r w:rsidRPr="004F3997">
        <w:rPr>
          <w:rFonts w:ascii="Arial" w:eastAsia="Calibri" w:hAnsi="Arial" w:cs="Arial"/>
          <w:bCs/>
          <w:color w:val="000000"/>
          <w:sz w:val="22"/>
          <w:lang w:val="es-ES_tradnl"/>
        </w:rPr>
        <w:t>,</w:t>
      </w:r>
      <w:r w:rsidR="009F2AAA" w:rsidRPr="004F3997">
        <w:rPr>
          <w:rFonts w:ascii="Arial" w:eastAsia="Calibri" w:hAnsi="Arial" w:cs="Arial"/>
          <w:bCs/>
          <w:color w:val="000000"/>
          <w:sz w:val="22"/>
          <w:lang w:val="es-ES_tradnl"/>
        </w:rPr>
        <w:t xml:space="preserve"> para comprender e</w:t>
      </w:r>
      <w:r w:rsidR="003541ED" w:rsidRPr="004F3997">
        <w:rPr>
          <w:rFonts w:ascii="Arial" w:eastAsia="Calibri" w:hAnsi="Arial" w:cs="Arial"/>
          <w:bCs/>
          <w:color w:val="000000"/>
          <w:sz w:val="22"/>
          <w:lang w:val="es-ES_tradnl"/>
        </w:rPr>
        <w:t>l ámbito de aplicación de la Ley 816 de 2003</w:t>
      </w:r>
      <w:r w:rsidR="00B852C8" w:rsidRPr="004F3997">
        <w:rPr>
          <w:rFonts w:ascii="Arial" w:eastAsia="Calibri" w:hAnsi="Arial" w:cs="Arial"/>
          <w:bCs/>
          <w:color w:val="000000"/>
          <w:sz w:val="22"/>
          <w:lang w:val="es-ES_tradnl"/>
        </w:rPr>
        <w:t>,</w:t>
      </w:r>
      <w:r w:rsidR="00701CA6" w:rsidRPr="004F3997">
        <w:rPr>
          <w:rFonts w:ascii="Arial" w:eastAsia="Calibri" w:hAnsi="Arial" w:cs="Arial"/>
          <w:bCs/>
          <w:color w:val="000000"/>
          <w:sz w:val="22"/>
          <w:lang w:val="es-ES_tradnl"/>
        </w:rPr>
        <w:t xml:space="preserve"> </w:t>
      </w:r>
      <w:r w:rsidR="003541ED" w:rsidRPr="004F3997">
        <w:rPr>
          <w:rFonts w:ascii="Arial" w:eastAsia="Calibri" w:hAnsi="Arial" w:cs="Arial"/>
          <w:bCs/>
          <w:color w:val="000000"/>
          <w:sz w:val="22"/>
          <w:lang w:val="es-ES_tradnl"/>
        </w:rPr>
        <w:t>así como</w:t>
      </w:r>
      <w:r w:rsidR="00CD6DCA" w:rsidRPr="004F3997">
        <w:rPr>
          <w:rFonts w:ascii="Arial" w:eastAsia="Calibri" w:hAnsi="Arial" w:cs="Arial"/>
          <w:bCs/>
          <w:color w:val="000000"/>
          <w:sz w:val="22"/>
          <w:lang w:val="es-ES_tradnl"/>
        </w:rPr>
        <w:t xml:space="preserve"> </w:t>
      </w:r>
      <w:r w:rsidR="003541ED" w:rsidRPr="004F3997">
        <w:rPr>
          <w:rFonts w:ascii="Arial" w:eastAsia="Calibri" w:hAnsi="Arial" w:cs="Arial"/>
          <w:bCs/>
          <w:color w:val="000000"/>
          <w:sz w:val="22"/>
          <w:lang w:val="es-ES_tradnl"/>
        </w:rPr>
        <w:t xml:space="preserve">del Decreto 680 de 2021, resulta </w:t>
      </w:r>
      <w:r w:rsidR="00B852C8" w:rsidRPr="004F3997">
        <w:rPr>
          <w:rFonts w:ascii="Arial" w:eastAsia="Calibri" w:hAnsi="Arial" w:cs="Arial"/>
          <w:bCs/>
          <w:color w:val="000000"/>
          <w:sz w:val="22"/>
          <w:lang w:val="es-ES_tradnl"/>
        </w:rPr>
        <w:t xml:space="preserve">orientador </w:t>
      </w:r>
      <w:r w:rsidR="003541ED" w:rsidRPr="004F3997">
        <w:rPr>
          <w:rFonts w:ascii="Arial" w:eastAsia="Calibri" w:hAnsi="Arial" w:cs="Arial"/>
          <w:bCs/>
          <w:color w:val="000000"/>
          <w:sz w:val="22"/>
          <w:lang w:val="es-ES_tradnl"/>
        </w:rPr>
        <w:t>absolver las siguientes preguntas: ¿el puntaje de apoyo a la industria nacional aplica para todos los procesos de contratación? ¿En qu</w:t>
      </w:r>
      <w:r w:rsidR="00B852C8" w:rsidRPr="004F3997">
        <w:rPr>
          <w:rFonts w:ascii="Arial" w:eastAsia="Calibri" w:hAnsi="Arial" w:cs="Arial"/>
          <w:bCs/>
          <w:color w:val="000000"/>
          <w:sz w:val="22"/>
          <w:lang w:val="es-ES_tradnl"/>
        </w:rPr>
        <w:t>é</w:t>
      </w:r>
      <w:r w:rsidR="003541ED" w:rsidRPr="004F3997">
        <w:rPr>
          <w:rFonts w:ascii="Arial" w:eastAsia="Calibri" w:hAnsi="Arial" w:cs="Arial"/>
          <w:bCs/>
          <w:color w:val="000000"/>
          <w:sz w:val="22"/>
          <w:lang w:val="es-ES_tradnl"/>
        </w:rPr>
        <w:t xml:space="preserve"> procesos de contratación se deben </w:t>
      </w:r>
      <w:r w:rsidR="007F5ABE" w:rsidRPr="004F3997">
        <w:rPr>
          <w:rFonts w:ascii="Arial" w:eastAsia="Calibri" w:hAnsi="Arial" w:cs="Arial"/>
          <w:bCs/>
          <w:color w:val="000000"/>
          <w:sz w:val="22"/>
          <w:lang w:val="es-ES_tradnl"/>
        </w:rPr>
        <w:t>aplicar las reglas</w:t>
      </w:r>
      <w:r w:rsidR="00AA6204" w:rsidRPr="004F3997">
        <w:rPr>
          <w:rFonts w:ascii="Arial" w:eastAsia="Calibri" w:hAnsi="Arial" w:cs="Arial"/>
          <w:bCs/>
          <w:color w:val="000000"/>
          <w:sz w:val="22"/>
          <w:lang w:val="es-ES_tradnl"/>
        </w:rPr>
        <w:t xml:space="preserve"> del </w:t>
      </w:r>
      <w:r w:rsidR="003541ED" w:rsidRPr="004F3997">
        <w:rPr>
          <w:rFonts w:ascii="Arial" w:eastAsia="Calibri" w:hAnsi="Arial" w:cs="Arial"/>
          <w:bCs/>
          <w:color w:val="000000"/>
          <w:sz w:val="22"/>
          <w:lang w:val="es-ES_tradnl"/>
        </w:rPr>
        <w:t>Decreto 680 de 2021?</w:t>
      </w:r>
    </w:p>
    <w:p w14:paraId="6C3119D4" w14:textId="77777777" w:rsidR="00F46543" w:rsidRPr="004F3997" w:rsidRDefault="003541ED" w:rsidP="00F46543">
      <w:pPr>
        <w:tabs>
          <w:tab w:val="left" w:pos="0"/>
        </w:tabs>
        <w:spacing w:before="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r>
      <w:r w:rsidR="003C1EAA" w:rsidRPr="004F3997">
        <w:rPr>
          <w:rFonts w:ascii="Arial" w:eastAsia="Calibri" w:hAnsi="Arial" w:cs="Arial"/>
          <w:bCs/>
          <w:color w:val="000000"/>
          <w:sz w:val="22"/>
          <w:lang w:val="es-ES_tradnl"/>
        </w:rPr>
        <w:t>Para contestar e</w:t>
      </w:r>
      <w:r w:rsidRPr="004F3997">
        <w:rPr>
          <w:rFonts w:ascii="Arial" w:eastAsia="Calibri" w:hAnsi="Arial" w:cs="Arial"/>
          <w:bCs/>
          <w:color w:val="000000"/>
          <w:sz w:val="22"/>
          <w:lang w:val="es-ES_tradnl"/>
        </w:rPr>
        <w:t>l primer</w:t>
      </w:r>
      <w:r w:rsidR="003C1EAA" w:rsidRPr="004F3997">
        <w:rPr>
          <w:rFonts w:ascii="Arial" w:eastAsia="Calibri" w:hAnsi="Arial" w:cs="Arial"/>
          <w:bCs/>
          <w:color w:val="000000"/>
          <w:sz w:val="22"/>
          <w:lang w:val="es-ES_tradnl"/>
        </w:rPr>
        <w:t xml:space="preserve"> interrogante, es necesario revisar el</w:t>
      </w:r>
      <w:r w:rsidR="00F46543" w:rsidRPr="004F3997">
        <w:rPr>
          <w:rFonts w:ascii="Arial" w:eastAsia="Calibri" w:hAnsi="Arial" w:cs="Arial"/>
          <w:bCs/>
          <w:color w:val="000000"/>
          <w:sz w:val="22"/>
          <w:lang w:val="es-ES_tradnl"/>
        </w:rPr>
        <w:t xml:space="preserve"> artículo 1 de la Ley 816 de 2003</w:t>
      </w:r>
      <w:r w:rsidR="003C1EAA" w:rsidRPr="004F3997">
        <w:rPr>
          <w:rFonts w:ascii="Arial" w:eastAsia="Calibri" w:hAnsi="Arial" w:cs="Arial"/>
          <w:bCs/>
          <w:color w:val="000000"/>
          <w:sz w:val="22"/>
          <w:lang w:val="es-ES_tradnl"/>
        </w:rPr>
        <w:t xml:space="preserve">. </w:t>
      </w:r>
      <w:bookmarkStart w:id="10" w:name="_Hlk86819927"/>
      <w:bookmarkStart w:id="11" w:name="_Hlk87025618"/>
      <w:r w:rsidR="003C1EAA" w:rsidRPr="004F3997">
        <w:rPr>
          <w:rFonts w:ascii="Arial" w:eastAsia="Calibri" w:hAnsi="Arial" w:cs="Arial"/>
          <w:bCs/>
          <w:color w:val="000000"/>
          <w:sz w:val="22"/>
          <w:lang w:val="es-ES_tradnl"/>
        </w:rPr>
        <w:t>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w:t>
      </w:r>
      <w:r w:rsidR="003C1EAA" w:rsidRPr="004F3997">
        <w:rPr>
          <w:rFonts w:ascii="Arial" w:eastAsia="Calibri" w:hAnsi="Arial" w:cs="Arial"/>
          <w:bCs/>
          <w:color w:val="000000"/>
          <w:sz w:val="22"/>
          <w:vertAlign w:val="superscript"/>
          <w:lang w:val="es-ES_tradnl"/>
        </w:rPr>
        <w:footnoteReference w:id="3"/>
      </w:r>
      <w:r w:rsidR="003C1EAA" w:rsidRPr="004F3997">
        <w:rPr>
          <w:rFonts w:ascii="Arial" w:eastAsia="Calibri" w:hAnsi="Arial" w:cs="Arial"/>
          <w:bCs/>
          <w:color w:val="000000"/>
          <w:sz w:val="22"/>
          <w:lang w:val="es-ES_tradnl"/>
        </w:rPr>
        <w:t xml:space="preserve">. En este sentido, a un </w:t>
      </w:r>
      <w:r w:rsidR="003C1EAA" w:rsidRPr="004F3997">
        <w:rPr>
          <w:rFonts w:ascii="Arial" w:eastAsia="Calibri" w:hAnsi="Arial" w:cs="Arial"/>
          <w:bCs/>
          <w:color w:val="000000"/>
          <w:sz w:val="22"/>
          <w:lang w:val="es-ES_tradnl"/>
        </w:rPr>
        <w:lastRenderedPageBreak/>
        <w:t>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2AAB8113" w14:textId="520219EA" w:rsidR="003C1EAA" w:rsidRPr="004F3997" w:rsidRDefault="00F46543" w:rsidP="00F46543">
      <w:pPr>
        <w:tabs>
          <w:tab w:val="left" w:pos="0"/>
        </w:tabs>
        <w:spacing w:before="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r>
      <w:r w:rsidR="003C1EAA" w:rsidRPr="004F3997">
        <w:rPr>
          <w:rFonts w:ascii="Arial" w:eastAsia="Calibri" w:hAnsi="Arial" w:cs="Arial"/>
          <w:bCs/>
          <w:color w:val="000000"/>
          <w:sz w:val="22"/>
          <w:lang w:val="es-ES_tradnl"/>
        </w:rPr>
        <w:t>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w:t>
      </w:r>
      <w:r w:rsidR="00B852C8" w:rsidRPr="004F3997">
        <w:rPr>
          <w:rFonts w:ascii="Arial" w:eastAsia="Calibri" w:hAnsi="Arial" w:cs="Arial"/>
          <w:bCs/>
          <w:color w:val="000000"/>
          <w:sz w:val="22"/>
          <w:lang w:val="es-ES_tradnl"/>
        </w:rPr>
        <w:t>,</w:t>
      </w:r>
      <w:r w:rsidR="003C1EAA" w:rsidRPr="004F3997">
        <w:rPr>
          <w:rFonts w:ascii="Arial" w:eastAsia="Calibri" w:hAnsi="Arial" w:cs="Arial"/>
          <w:bCs/>
          <w:color w:val="000000"/>
          <w:sz w:val="22"/>
          <w:lang w:val="es-ES_tradnl"/>
        </w:rPr>
        <w:t xml:space="preserve">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w:t>
      </w:r>
      <w:bookmarkEnd w:id="10"/>
      <w:r w:rsidR="003C1EAA" w:rsidRPr="004F3997">
        <w:rPr>
          <w:rFonts w:ascii="Arial" w:eastAsia="Calibri" w:hAnsi="Arial" w:cs="Arial"/>
          <w:bCs/>
          <w:color w:val="000000"/>
          <w:sz w:val="22"/>
          <w:lang w:val="es-ES_tradnl"/>
        </w:rPr>
        <w:t xml:space="preserve">. </w:t>
      </w:r>
    </w:p>
    <w:p w14:paraId="18493CFF" w14:textId="504A0EE4" w:rsidR="00F46543" w:rsidRPr="004F3997" w:rsidRDefault="00F46543" w:rsidP="00F46543">
      <w:pPr>
        <w:tabs>
          <w:tab w:val="left" w:pos="0"/>
        </w:tabs>
        <w:spacing w:before="120" w:line="276" w:lineRule="auto"/>
        <w:jc w:val="both"/>
        <w:rPr>
          <w:rFonts w:ascii="Arial" w:eastAsia="Calibri" w:hAnsi="Arial" w:cs="Arial"/>
          <w:bCs/>
          <w:color w:val="000000"/>
          <w:sz w:val="22"/>
        </w:rPr>
      </w:pPr>
      <w:r w:rsidRPr="004F3997">
        <w:rPr>
          <w:rFonts w:ascii="Arial" w:eastAsia="Calibri" w:hAnsi="Arial" w:cs="Arial"/>
          <w:bCs/>
          <w:color w:val="000000"/>
          <w:sz w:val="22"/>
          <w:lang w:val="es-ES_tradnl"/>
        </w:rPr>
        <w:tab/>
        <w:t xml:space="preserve">Finalmente, </w:t>
      </w:r>
      <w:r w:rsidR="00D34B12" w:rsidRPr="004F3997">
        <w:rPr>
          <w:rFonts w:ascii="Arial" w:eastAsia="Calibri" w:hAnsi="Arial" w:cs="Arial"/>
          <w:bCs/>
          <w:color w:val="000000"/>
          <w:sz w:val="22"/>
          <w:lang w:val="es-ES_tradnl"/>
        </w:rPr>
        <w:t xml:space="preserve">el tercer criterio </w:t>
      </w:r>
      <w:r w:rsidR="00AA6204" w:rsidRPr="004F3997">
        <w:rPr>
          <w:rFonts w:ascii="Arial" w:eastAsia="Calibri" w:hAnsi="Arial" w:cs="Arial"/>
          <w:bCs/>
          <w:color w:val="000000"/>
          <w:sz w:val="22"/>
          <w:lang w:val="es-ES_tradnl"/>
        </w:rPr>
        <w:t xml:space="preserve">para determinar la aplicación del puntaje de industria nacional </w:t>
      </w:r>
      <w:r w:rsidR="00D34B12" w:rsidRPr="004F3997">
        <w:rPr>
          <w:rFonts w:ascii="Arial" w:eastAsia="Calibri" w:hAnsi="Arial" w:cs="Arial"/>
          <w:bCs/>
          <w:color w:val="000000"/>
          <w:sz w:val="22"/>
          <w:lang w:val="es-ES_tradnl"/>
        </w:rPr>
        <w:t xml:space="preserve">se encuentra consagrado en </w:t>
      </w:r>
      <w:r w:rsidR="004D65C9" w:rsidRPr="004F3997">
        <w:rPr>
          <w:rFonts w:ascii="Arial" w:eastAsia="Calibri" w:hAnsi="Arial" w:cs="Arial"/>
          <w:bCs/>
          <w:color w:val="000000"/>
          <w:sz w:val="22"/>
          <w:lang w:val="es-ES_tradnl"/>
        </w:rPr>
        <w:t>el parágrafo 2º del numeral 5 del artículo 2º de la Ley 1150 de 2007. En efecto, el referido parágrafo excluye</w:t>
      </w:r>
      <w:r w:rsidR="00AA6204" w:rsidRPr="004F3997">
        <w:rPr>
          <w:rFonts w:ascii="Arial" w:eastAsia="Calibri" w:hAnsi="Arial" w:cs="Arial"/>
          <w:bCs/>
          <w:color w:val="000000"/>
          <w:sz w:val="22"/>
          <w:lang w:val="es-ES_tradnl"/>
        </w:rPr>
        <w:t xml:space="preserve"> a</w:t>
      </w:r>
      <w:r w:rsidR="004D65C9" w:rsidRPr="004F3997">
        <w:rPr>
          <w:rFonts w:ascii="Arial" w:eastAsia="Calibri" w:hAnsi="Arial" w:cs="Arial"/>
          <w:bCs/>
          <w:color w:val="000000"/>
          <w:sz w:val="22"/>
          <w:lang w:val="es-ES_tradnl"/>
        </w:rPr>
        <w:t xml:space="preserve"> la contratación de mínima cuantía de</w:t>
      </w:r>
      <w:r w:rsidR="00AA6204" w:rsidRPr="004F3997">
        <w:rPr>
          <w:rFonts w:ascii="Arial" w:eastAsia="Calibri" w:hAnsi="Arial" w:cs="Arial"/>
          <w:bCs/>
          <w:color w:val="000000"/>
          <w:sz w:val="22"/>
          <w:lang w:val="es-ES_tradnl"/>
        </w:rPr>
        <w:t>l ámbito de aplicación</w:t>
      </w:r>
      <w:r w:rsidR="004D65C9" w:rsidRPr="004F3997">
        <w:rPr>
          <w:rFonts w:ascii="Arial" w:eastAsia="Calibri" w:hAnsi="Arial" w:cs="Arial"/>
          <w:bCs/>
          <w:color w:val="000000"/>
          <w:sz w:val="22"/>
          <w:lang w:val="es-ES_tradnl"/>
        </w:rPr>
        <w:t xml:space="preserve"> de la Ley 816 de 2003</w:t>
      </w:r>
      <w:r w:rsidR="00CD4396" w:rsidRPr="004F3997">
        <w:rPr>
          <w:rFonts w:ascii="Arial" w:eastAsia="Calibri" w:hAnsi="Arial" w:cs="Arial"/>
          <w:bCs/>
          <w:color w:val="000000"/>
          <w:sz w:val="22"/>
          <w:lang w:val="es-ES_tradnl"/>
        </w:rPr>
        <w:t xml:space="preserve"> </w:t>
      </w:r>
      <w:r w:rsidR="004D65C9" w:rsidRPr="004F3997">
        <w:rPr>
          <w:rFonts w:ascii="Arial" w:eastAsia="Calibri" w:hAnsi="Arial" w:cs="Arial"/>
          <w:bCs/>
          <w:color w:val="000000"/>
          <w:sz w:val="22"/>
          <w:lang w:val="es-ES_tradnl"/>
        </w:rPr>
        <w:t xml:space="preserve">al </w:t>
      </w:r>
      <w:r w:rsidR="00903378" w:rsidRPr="004F3997">
        <w:rPr>
          <w:rFonts w:ascii="Arial" w:eastAsia="Calibri" w:hAnsi="Arial" w:cs="Arial"/>
          <w:bCs/>
          <w:color w:val="000000"/>
          <w:sz w:val="22"/>
          <w:lang w:val="es-ES_tradnl"/>
        </w:rPr>
        <w:t xml:space="preserve">establecer </w:t>
      </w:r>
      <w:r w:rsidR="004D65C9" w:rsidRPr="004F3997">
        <w:rPr>
          <w:rFonts w:ascii="Arial" w:eastAsia="Calibri" w:hAnsi="Arial" w:cs="Arial"/>
          <w:bCs/>
          <w:color w:val="000000"/>
          <w:sz w:val="22"/>
          <w:lang w:val="es-ES_tradnl"/>
        </w:rPr>
        <w:t>lo siguiente: «PA</w:t>
      </w:r>
      <w:r w:rsidR="004D65C9" w:rsidRPr="004F3997">
        <w:rPr>
          <w:rFonts w:ascii="Arial" w:eastAsia="Calibri" w:hAnsi="Arial" w:cs="Arial"/>
          <w:bCs/>
          <w:color w:val="000000"/>
          <w:sz w:val="22"/>
        </w:rPr>
        <w:t xml:space="preserve">RÁGRAFO 2o. La contratación a que se refiere el presente artículo se realizará exclusivamente con las reglas en él contempladas y en su reglamentación. </w:t>
      </w:r>
      <w:r w:rsidR="004D65C9" w:rsidRPr="004F3997">
        <w:rPr>
          <w:rFonts w:ascii="Arial" w:eastAsia="Calibri" w:hAnsi="Arial" w:cs="Arial"/>
          <w:bCs/>
          <w:i/>
          <w:iCs/>
          <w:color w:val="000000"/>
          <w:sz w:val="22"/>
        </w:rPr>
        <w:t>En particular no se aplicará lo previsto en la Ley 816 de 2003</w:t>
      </w:r>
      <w:r w:rsidR="004D65C9" w:rsidRPr="004F3997">
        <w:rPr>
          <w:rFonts w:ascii="Arial" w:eastAsia="Calibri" w:hAnsi="Arial" w:cs="Arial"/>
          <w:bCs/>
          <w:color w:val="000000"/>
          <w:sz w:val="22"/>
        </w:rPr>
        <w:t xml:space="preserve">» (Énfasis por fuera de texto). </w:t>
      </w:r>
    </w:p>
    <w:p w14:paraId="13EB0F06" w14:textId="77777777" w:rsidR="00CC31FC" w:rsidRPr="004F3997" w:rsidRDefault="00CC31FC" w:rsidP="004F3997">
      <w:pPr>
        <w:tabs>
          <w:tab w:val="left" w:pos="0"/>
        </w:tabs>
        <w:spacing w:line="276" w:lineRule="auto"/>
        <w:jc w:val="both"/>
        <w:rPr>
          <w:rFonts w:ascii="Arial" w:eastAsia="Calibri" w:hAnsi="Arial" w:cs="Arial"/>
          <w:bCs/>
          <w:color w:val="000000"/>
          <w:sz w:val="22"/>
        </w:rPr>
      </w:pPr>
    </w:p>
    <w:bookmarkEnd w:id="11"/>
    <w:p w14:paraId="61DD6A4D" w14:textId="52C7B240" w:rsidR="00693317" w:rsidRPr="004F3997" w:rsidRDefault="00693317" w:rsidP="00CC31FC">
      <w:pPr>
        <w:tabs>
          <w:tab w:val="left" w:pos="0"/>
        </w:tabs>
        <w:spacing w:line="276" w:lineRule="auto"/>
        <w:jc w:val="both"/>
        <w:rPr>
          <w:rFonts w:ascii="Arial" w:eastAsia="Calibri" w:hAnsi="Arial" w:cs="Arial"/>
          <w:b/>
          <w:color w:val="000000" w:themeColor="text1"/>
          <w:sz w:val="22"/>
          <w:lang w:val="es-ES_tradnl"/>
        </w:rPr>
      </w:pPr>
      <w:r w:rsidRPr="004F3997">
        <w:rPr>
          <w:rFonts w:ascii="Arial" w:eastAsia="Calibri" w:hAnsi="Arial" w:cs="Arial"/>
          <w:b/>
          <w:color w:val="000000" w:themeColor="text1"/>
          <w:sz w:val="22"/>
          <w:lang w:val="es-ES_tradnl"/>
        </w:rPr>
        <w:t xml:space="preserve">2.2. Regulación del puntaje por apoyo a la industria nacional en procesos adelantados con documentos tipo </w:t>
      </w:r>
      <w:r w:rsidR="001A4637" w:rsidRPr="004F3997">
        <w:rPr>
          <w:rFonts w:ascii="Arial" w:eastAsia="Calibri" w:hAnsi="Arial" w:cs="Arial"/>
          <w:b/>
          <w:color w:val="000000" w:themeColor="text1"/>
          <w:sz w:val="22"/>
          <w:lang w:val="es-ES_tradnl"/>
        </w:rPr>
        <w:t xml:space="preserve">después de </w:t>
      </w:r>
      <w:r w:rsidRPr="004F3997">
        <w:rPr>
          <w:rFonts w:ascii="Arial" w:eastAsia="Calibri" w:hAnsi="Arial" w:cs="Arial"/>
          <w:b/>
          <w:color w:val="000000" w:themeColor="text1"/>
          <w:sz w:val="22"/>
          <w:lang w:val="es-ES_tradnl"/>
        </w:rPr>
        <w:t>la expedición del Decreto 680 de 2021</w:t>
      </w:r>
    </w:p>
    <w:p w14:paraId="7358FECE" w14:textId="77777777" w:rsidR="00CC31FC" w:rsidRPr="004F3997" w:rsidRDefault="00CC31FC" w:rsidP="004F3997">
      <w:pPr>
        <w:tabs>
          <w:tab w:val="left" w:pos="0"/>
        </w:tabs>
        <w:spacing w:line="276" w:lineRule="auto"/>
        <w:jc w:val="both"/>
        <w:rPr>
          <w:rFonts w:ascii="Arial" w:eastAsia="Calibri" w:hAnsi="Arial" w:cs="Arial"/>
          <w:b/>
          <w:color w:val="000000" w:themeColor="text1"/>
          <w:sz w:val="22"/>
          <w:lang w:val="es-ES_tradnl"/>
        </w:rPr>
      </w:pPr>
    </w:p>
    <w:p w14:paraId="68D16086" w14:textId="04235CA8" w:rsidR="00693317" w:rsidRPr="004F3997" w:rsidRDefault="00693317" w:rsidP="00CC31FC">
      <w:pPr>
        <w:spacing w:after="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La </w:t>
      </w:r>
      <w:r w:rsidR="00E21006" w:rsidRPr="004F3997">
        <w:rPr>
          <w:rFonts w:ascii="Arial" w:eastAsia="Calibri" w:hAnsi="Arial" w:cs="Arial"/>
          <w:bCs/>
          <w:color w:val="000000"/>
          <w:sz w:val="22"/>
          <w:lang w:val="es-ES_tradnl"/>
        </w:rPr>
        <w:t>entrada en vigor</w:t>
      </w:r>
      <w:r w:rsidRPr="004F3997">
        <w:rPr>
          <w:rFonts w:ascii="Arial" w:eastAsia="Calibri" w:hAnsi="Arial" w:cs="Arial"/>
          <w:bCs/>
          <w:color w:val="000000"/>
          <w:sz w:val="22"/>
          <w:lang w:val="es-ES_tradnl"/>
        </w:rPr>
        <w:t xml:space="preserve"> del Decreto 680 de 2021, al modificar la noción de </w:t>
      </w:r>
      <w:r w:rsidRPr="004F3997">
        <w:rPr>
          <w:rFonts w:ascii="Arial" w:eastAsia="Calibri" w:hAnsi="Arial" w:cs="Arial"/>
          <w:bCs/>
          <w:i/>
          <w:iCs/>
          <w:color w:val="000000"/>
          <w:sz w:val="22"/>
          <w:lang w:val="es-ES_tradnl"/>
        </w:rPr>
        <w:t xml:space="preserve">Servicios Nacionales </w:t>
      </w:r>
      <w:r w:rsidRPr="004F3997">
        <w:rPr>
          <w:rFonts w:ascii="Arial" w:eastAsia="Calibri" w:hAnsi="Arial" w:cs="Arial"/>
          <w:bCs/>
          <w:color w:val="000000"/>
          <w:sz w:val="22"/>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w:t>
      </w:r>
      <w:r w:rsidR="001A4637" w:rsidRPr="004F3997">
        <w:rPr>
          <w:rFonts w:ascii="Arial" w:eastAsia="Calibri" w:hAnsi="Arial" w:cs="Arial"/>
          <w:bCs/>
          <w:color w:val="000000"/>
          <w:sz w:val="22"/>
          <w:lang w:val="es-ES_tradnl"/>
        </w:rPr>
        <w:t>Lo anterior considerando</w:t>
      </w:r>
      <w:r w:rsidRPr="004F3997">
        <w:rPr>
          <w:rFonts w:ascii="Arial" w:eastAsia="Calibri" w:hAnsi="Arial" w:cs="Arial"/>
          <w:bCs/>
          <w:color w:val="000000"/>
          <w:sz w:val="22"/>
          <w:lang w:val="es-ES_tradnl"/>
        </w:rPr>
        <w:t xml:space="preserve"> </w:t>
      </w:r>
      <w:proofErr w:type="gramStart"/>
      <w:r w:rsidRPr="004F3997">
        <w:rPr>
          <w:rFonts w:ascii="Arial" w:eastAsia="Calibri" w:hAnsi="Arial" w:cs="Arial"/>
          <w:bCs/>
          <w:color w:val="000000"/>
          <w:sz w:val="22"/>
          <w:lang w:val="es-ES_tradnl"/>
        </w:rPr>
        <w:t>que</w:t>
      </w:r>
      <w:proofErr w:type="gramEnd"/>
      <w:r w:rsidRPr="004F3997">
        <w:rPr>
          <w:rFonts w:ascii="Arial" w:eastAsia="Calibri" w:hAnsi="Arial" w:cs="Arial"/>
          <w:bCs/>
          <w:color w:val="000000"/>
          <w:sz w:val="22"/>
          <w:lang w:val="es-ES_tradnl"/>
        </w:rPr>
        <w:t xml:space="preserv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w:t>
      </w:r>
      <w:r w:rsidRPr="004F3997">
        <w:rPr>
          <w:rFonts w:ascii="Arial" w:eastAsia="Calibri" w:hAnsi="Arial" w:cs="Arial"/>
          <w:bCs/>
          <w:color w:val="000000"/>
          <w:sz w:val="22"/>
          <w:lang w:val="es-ES_tradnl"/>
        </w:rPr>
        <w:lastRenderedPageBreak/>
        <w:t xml:space="preserve">parágrafo 2 del artículo 3 de tal decreto, contempló un plazo de tres meses para que esta Agencia realizara la adecuación de los documentos tipo. </w:t>
      </w:r>
    </w:p>
    <w:p w14:paraId="4370D6FC" w14:textId="41E40401" w:rsidR="00693317" w:rsidRPr="004F3997" w:rsidRDefault="00693317" w:rsidP="00693317">
      <w:pPr>
        <w:spacing w:before="120"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w:t>
      </w:r>
      <w:r w:rsidR="00E21006" w:rsidRPr="004F3997">
        <w:rPr>
          <w:rFonts w:ascii="Arial" w:eastAsia="Calibri" w:hAnsi="Arial" w:cs="Arial"/>
          <w:bCs/>
          <w:color w:val="000000"/>
          <w:sz w:val="22"/>
          <w:lang w:val="es-ES_tradnl"/>
        </w:rPr>
        <w:t>aplicable a la mayoría de</w:t>
      </w:r>
      <w:r w:rsidRPr="004F3997">
        <w:rPr>
          <w:rFonts w:ascii="Arial" w:eastAsia="Calibri" w:hAnsi="Arial" w:cs="Arial"/>
          <w:bCs/>
          <w:color w:val="000000"/>
          <w:sz w:val="22"/>
          <w:lang w:val="es-ES_tradnl"/>
        </w:rPr>
        <w:t xml:space="preserve"> estos procedimientos, a partir de la cual</w:t>
      </w:r>
      <w:r w:rsidR="00CC31FC" w:rsidRPr="004F3997">
        <w:rPr>
          <w:rFonts w:ascii="Arial" w:eastAsia="Calibri" w:hAnsi="Arial" w:cs="Arial"/>
          <w:bCs/>
          <w:color w:val="000000"/>
          <w:sz w:val="22"/>
          <w:lang w:val="es-ES_tradnl"/>
        </w:rPr>
        <w:t>,</w:t>
      </w:r>
      <w:r w:rsidRPr="004F3997">
        <w:rPr>
          <w:rFonts w:ascii="Arial" w:eastAsia="Calibri" w:hAnsi="Arial" w:cs="Arial"/>
          <w:bCs/>
          <w:color w:val="000000"/>
          <w:sz w:val="22"/>
          <w:lang w:val="es-ES_tradnl"/>
        </w:rPr>
        <w:t xml:space="preserve">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0B0A64EB" w14:textId="638C5AFD" w:rsidR="00027DBB" w:rsidRPr="004F3997" w:rsidRDefault="00693317" w:rsidP="00693317">
      <w:pPr>
        <w:spacing w:before="120" w:after="120" w:line="276" w:lineRule="auto"/>
        <w:ind w:firstLine="709"/>
        <w:jc w:val="both"/>
        <w:rPr>
          <w:rFonts w:ascii="Arial" w:eastAsia="Calibri" w:hAnsi="Arial" w:cs="Arial"/>
          <w:bCs/>
          <w:color w:val="000000"/>
          <w:sz w:val="22"/>
          <w:lang w:val="es-ES"/>
        </w:rPr>
      </w:pPr>
      <w:r w:rsidRPr="004F3997">
        <w:rPr>
          <w:rFonts w:ascii="Arial" w:eastAsia="Calibri" w:hAnsi="Arial" w:cs="Arial"/>
          <w:bCs/>
          <w:color w:val="000000"/>
          <w:sz w:val="22"/>
          <w:lang w:val="es-ES_tradnl"/>
        </w:rPr>
        <w:t xml:space="preserve">Ahora bien, vale la pena aclarar que la metodología definida en la Resolución 304 de 2021 no es </w:t>
      </w:r>
      <w:r w:rsidR="00671156" w:rsidRPr="004F3997">
        <w:rPr>
          <w:rFonts w:ascii="Arial" w:eastAsia="Calibri" w:hAnsi="Arial" w:cs="Arial"/>
          <w:bCs/>
          <w:color w:val="000000"/>
          <w:sz w:val="22"/>
          <w:lang w:val="es-ES_tradnl"/>
        </w:rPr>
        <w:t>aplicable</w:t>
      </w:r>
      <w:r w:rsidRPr="004F3997">
        <w:rPr>
          <w:rFonts w:ascii="Arial" w:eastAsia="Calibri" w:hAnsi="Arial" w:cs="Arial"/>
          <w:bCs/>
          <w:color w:val="000000"/>
          <w:sz w:val="22"/>
          <w:lang w:val="es-ES_tradnl"/>
        </w:rPr>
        <w:t xml:space="preserve"> para todos los procesos de contratación que deban utilizar los documentos tipo. </w:t>
      </w:r>
      <w:r w:rsidR="00CD4995" w:rsidRPr="004F3997">
        <w:rPr>
          <w:rFonts w:ascii="Arial" w:eastAsia="Calibri" w:hAnsi="Arial" w:cs="Arial"/>
          <w:bCs/>
          <w:color w:val="000000"/>
          <w:sz w:val="22"/>
          <w:lang w:val="es-ES_tradnl"/>
        </w:rPr>
        <w:t>Así</w:t>
      </w:r>
      <w:r w:rsidR="002B774C" w:rsidRPr="004F3997">
        <w:rPr>
          <w:rFonts w:ascii="Arial" w:eastAsia="Calibri" w:hAnsi="Arial" w:cs="Arial"/>
          <w:bCs/>
          <w:color w:val="000000"/>
          <w:sz w:val="22"/>
          <w:lang w:val="es-ES_tradnl"/>
        </w:rPr>
        <w:t>, la «Matriz – Bienes Nacionales Relevantes</w:t>
      </w:r>
      <w:r w:rsidR="00CD4995" w:rsidRPr="004F3997">
        <w:rPr>
          <w:rFonts w:ascii="Arial" w:eastAsia="Calibri" w:hAnsi="Arial" w:cs="Arial"/>
          <w:bCs/>
          <w:color w:val="000000"/>
          <w:sz w:val="22"/>
          <w:lang w:val="es-ES_tradnl"/>
        </w:rPr>
        <w:t>»</w:t>
      </w:r>
      <w:r w:rsidR="002B774C" w:rsidRPr="004F3997">
        <w:rPr>
          <w:rFonts w:ascii="Arial" w:eastAsia="Calibri" w:hAnsi="Arial" w:cs="Arial"/>
          <w:bCs/>
          <w:color w:val="000000"/>
          <w:sz w:val="22"/>
          <w:lang w:val="es-ES_tradnl"/>
        </w:rPr>
        <w:t xml:space="preserve">, que incorpora la </w:t>
      </w:r>
      <w:r w:rsidR="00671156" w:rsidRPr="004F3997">
        <w:rPr>
          <w:rFonts w:ascii="Arial" w:eastAsia="Calibri" w:hAnsi="Arial" w:cs="Arial"/>
          <w:bCs/>
          <w:color w:val="000000"/>
          <w:sz w:val="22"/>
          <w:lang w:val="es-ES_tradnl"/>
        </w:rPr>
        <w:t xml:space="preserve">referida </w:t>
      </w:r>
      <w:r w:rsidR="002B774C" w:rsidRPr="004F3997">
        <w:rPr>
          <w:rFonts w:ascii="Arial" w:eastAsia="Calibri" w:hAnsi="Arial" w:cs="Arial"/>
          <w:bCs/>
          <w:color w:val="000000"/>
          <w:sz w:val="22"/>
          <w:lang w:val="es-ES_tradnl"/>
        </w:rPr>
        <w:t>metodología,</w:t>
      </w:r>
      <w:r w:rsidR="00027DBB" w:rsidRPr="004F3997">
        <w:rPr>
          <w:rFonts w:ascii="Arial" w:eastAsia="Calibri" w:hAnsi="Arial" w:cs="Arial"/>
          <w:bCs/>
          <w:color w:val="000000"/>
          <w:sz w:val="22"/>
          <w:lang w:val="es-ES_tradnl"/>
        </w:rPr>
        <w:t xml:space="preserve"> </w:t>
      </w:r>
      <w:r w:rsidR="002B774C" w:rsidRPr="004F3997">
        <w:rPr>
          <w:rFonts w:ascii="Arial" w:eastAsia="Calibri" w:hAnsi="Arial" w:cs="Arial"/>
          <w:bCs/>
          <w:color w:val="000000"/>
          <w:sz w:val="22"/>
          <w:lang w:val="es-ES_tradnl"/>
        </w:rPr>
        <w:t>se adoptó para los siguientes documentos tipo: i) Documentos</w:t>
      </w:r>
      <w:r w:rsidR="00CD4995" w:rsidRPr="004F3997">
        <w:rPr>
          <w:rFonts w:ascii="Arial" w:eastAsia="Calibri" w:hAnsi="Arial" w:cs="Arial"/>
          <w:bCs/>
          <w:color w:val="000000"/>
          <w:sz w:val="22"/>
          <w:lang w:val="es-ES_tradnl"/>
        </w:rPr>
        <w:t xml:space="preserve"> t</w:t>
      </w:r>
      <w:r w:rsidR="002B774C" w:rsidRPr="004F3997">
        <w:rPr>
          <w:rFonts w:ascii="Arial" w:eastAsia="Calibri" w:hAnsi="Arial" w:cs="Arial"/>
          <w:bCs/>
          <w:color w:val="000000"/>
          <w:sz w:val="22"/>
          <w:lang w:val="es-ES_tradnl"/>
        </w:rPr>
        <w:t xml:space="preserve">ipo </w:t>
      </w:r>
      <w:r w:rsidR="00CC31FC" w:rsidRPr="004F3997">
        <w:rPr>
          <w:rFonts w:ascii="Arial" w:eastAsia="Calibri" w:hAnsi="Arial" w:cs="Arial"/>
          <w:bCs/>
          <w:color w:val="000000"/>
          <w:sz w:val="22"/>
          <w:lang w:val="es-ES"/>
        </w:rPr>
        <w:t xml:space="preserve">de </w:t>
      </w:r>
      <w:r w:rsidR="00027DBB" w:rsidRPr="004F3997">
        <w:rPr>
          <w:rFonts w:ascii="Arial" w:eastAsia="Calibri" w:hAnsi="Arial" w:cs="Arial"/>
          <w:bCs/>
          <w:color w:val="000000"/>
          <w:sz w:val="22"/>
          <w:lang w:val="es-ES"/>
        </w:rPr>
        <w:t>licitación de obra pública de infraestructura de transporte –versión 3–.</w:t>
      </w:r>
      <w:r w:rsidR="00CC31FC" w:rsidRPr="004F3997">
        <w:rPr>
          <w:rFonts w:ascii="Arial" w:eastAsia="Calibri" w:hAnsi="Arial" w:cs="Arial"/>
          <w:bCs/>
          <w:color w:val="000000"/>
          <w:sz w:val="22"/>
          <w:lang w:val="es-ES"/>
        </w:rPr>
        <w:t xml:space="preserve"> </w:t>
      </w:r>
      <w:r w:rsidR="00027DBB" w:rsidRPr="004F3997">
        <w:rPr>
          <w:rFonts w:ascii="Arial" w:eastAsia="Calibri" w:hAnsi="Arial" w:cs="Arial"/>
          <w:bCs/>
          <w:color w:val="000000"/>
          <w:sz w:val="22"/>
          <w:lang w:val="es-ES"/>
        </w:rPr>
        <w:t>ii)</w:t>
      </w:r>
      <w:r w:rsidR="00027DBB" w:rsidRPr="004F3997">
        <w:t xml:space="preserve"> </w:t>
      </w:r>
      <w:r w:rsidR="00027DBB" w:rsidRPr="004F3997">
        <w:rPr>
          <w:rFonts w:ascii="Arial" w:eastAsia="Calibri" w:hAnsi="Arial" w:cs="Arial"/>
          <w:bCs/>
          <w:color w:val="000000"/>
          <w:sz w:val="22"/>
          <w:lang w:val="es-ES"/>
        </w:rPr>
        <w:t>Documentos tipo para procesos de selección abreviada de menor cuantía de infraestructura de transporte –versión 2–.</w:t>
      </w:r>
      <w:r w:rsidR="00CC31FC" w:rsidRPr="004F3997">
        <w:rPr>
          <w:rFonts w:ascii="Arial" w:eastAsia="Calibri" w:hAnsi="Arial" w:cs="Arial"/>
          <w:bCs/>
          <w:color w:val="000000"/>
          <w:sz w:val="22"/>
          <w:lang w:val="es-ES"/>
        </w:rPr>
        <w:t xml:space="preserve"> </w:t>
      </w:r>
      <w:r w:rsidR="00027DBB" w:rsidRPr="004F3997">
        <w:rPr>
          <w:rFonts w:ascii="Arial" w:eastAsia="Calibri" w:hAnsi="Arial" w:cs="Arial"/>
          <w:bCs/>
          <w:color w:val="000000"/>
          <w:sz w:val="22"/>
          <w:lang w:val="es-ES"/>
        </w:rPr>
        <w:t>iii) Documentos tipo para procesos de licitación pública para obras de infraestructura de agua potable y saneamiento básico</w:t>
      </w:r>
      <w:r w:rsidR="00CD4995" w:rsidRPr="004F3997">
        <w:rPr>
          <w:rFonts w:ascii="Arial" w:eastAsia="Calibri" w:hAnsi="Arial" w:cs="Arial"/>
          <w:bCs/>
          <w:color w:val="000000"/>
          <w:sz w:val="22"/>
          <w:lang w:val="es-ES"/>
        </w:rPr>
        <w:t>.</w:t>
      </w:r>
      <w:r w:rsidR="00CC31FC" w:rsidRPr="004F3997">
        <w:rPr>
          <w:rFonts w:ascii="Arial" w:eastAsia="Calibri" w:hAnsi="Arial" w:cs="Arial"/>
          <w:bCs/>
          <w:color w:val="000000"/>
          <w:sz w:val="22"/>
          <w:lang w:val="es-ES"/>
        </w:rPr>
        <w:t xml:space="preserve"> </w:t>
      </w:r>
      <w:r w:rsidR="00CD4995" w:rsidRPr="004F3997">
        <w:rPr>
          <w:rFonts w:ascii="Arial" w:eastAsia="Calibri" w:hAnsi="Arial" w:cs="Arial"/>
          <w:bCs/>
          <w:color w:val="000000"/>
          <w:sz w:val="22"/>
          <w:lang w:val="es-ES"/>
        </w:rPr>
        <w:t>iv) Documentos tipo para procesos de licitación pública para obras de infraestructura de agua potable y saneamiento básico en la modalidad llave en mano.</w:t>
      </w:r>
      <w:r w:rsidR="00CC31FC" w:rsidRPr="004F3997">
        <w:rPr>
          <w:rFonts w:ascii="Arial" w:eastAsia="Calibri" w:hAnsi="Arial" w:cs="Arial"/>
          <w:bCs/>
          <w:color w:val="000000"/>
          <w:sz w:val="22"/>
          <w:lang w:val="es-ES"/>
        </w:rPr>
        <w:t xml:space="preserve"> </w:t>
      </w:r>
      <w:r w:rsidR="00CD4995" w:rsidRPr="004F3997">
        <w:rPr>
          <w:rFonts w:ascii="Arial" w:eastAsia="Calibri" w:hAnsi="Arial" w:cs="Arial"/>
          <w:bCs/>
          <w:color w:val="000000"/>
          <w:sz w:val="22"/>
          <w:lang w:val="es-ES"/>
        </w:rPr>
        <w:t>v) Documentos tipo para procesos de licitación de obra pública de infraestructura social.</w:t>
      </w:r>
    </w:p>
    <w:p w14:paraId="59C34980" w14:textId="1A8B80EB" w:rsidR="002B774C" w:rsidRPr="004F3997" w:rsidRDefault="00CD4995" w:rsidP="00522A4C">
      <w:pPr>
        <w:spacing w:before="120"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
        </w:rPr>
        <w:t xml:space="preserve">En ese sentido, no sería viable aplicar la metodología de bienes nacionales relevantes para los documentos tipo de mínima cuantía de infraestructura de transporte, interventoría de obra pública de infraestructura de transporte, </w:t>
      </w:r>
      <w:r w:rsidR="00522A4C" w:rsidRPr="004F3997">
        <w:rPr>
          <w:rFonts w:ascii="Arial" w:eastAsia="Calibri" w:hAnsi="Arial" w:cs="Arial"/>
          <w:bCs/>
          <w:color w:val="000000"/>
          <w:sz w:val="22"/>
          <w:lang w:val="es-ES"/>
        </w:rPr>
        <w:t>consultoría de estudios de ingeniería de infraestructura de transporte, ni para los de gestión catastral con enfoque multipropósito.</w:t>
      </w:r>
    </w:p>
    <w:p w14:paraId="6D2EA1F1" w14:textId="4BD39703" w:rsidR="00693317" w:rsidRPr="004F3997" w:rsidRDefault="00671156" w:rsidP="00693317">
      <w:pPr>
        <w:spacing w:before="120" w:after="120" w:line="276" w:lineRule="auto"/>
        <w:ind w:firstLine="709"/>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Una vez aclarado el ámbito de aplicación de la metodología de bienes nacionales relevantes, a</w:t>
      </w:r>
      <w:r w:rsidR="00693317" w:rsidRPr="004F3997">
        <w:rPr>
          <w:rFonts w:ascii="Arial" w:eastAsia="Calibri" w:hAnsi="Arial" w:cs="Arial"/>
          <w:bCs/>
          <w:color w:val="000000"/>
          <w:sz w:val="22"/>
          <w:lang w:val="es-ES_tradnl"/>
        </w:rPr>
        <w:t xml:space="preserve"> </w:t>
      </w:r>
      <w:r w:rsidR="00060488" w:rsidRPr="004F3997">
        <w:rPr>
          <w:rFonts w:ascii="Arial" w:eastAsia="Calibri" w:hAnsi="Arial" w:cs="Arial"/>
          <w:bCs/>
          <w:color w:val="000000"/>
          <w:sz w:val="22"/>
          <w:lang w:val="es-ES_tradnl"/>
        </w:rPr>
        <w:t>continuación,</w:t>
      </w:r>
      <w:r w:rsidR="00060488" w:rsidRPr="004F3997">
        <w:rPr>
          <w:rFonts w:ascii="Arial" w:eastAsia="Calibri" w:hAnsi="Arial" w:cs="Arial"/>
          <w:bCs/>
          <w:color w:val="000000" w:themeColor="text1"/>
          <w:sz w:val="22"/>
          <w:lang w:val="es-ES_tradnl"/>
        </w:rPr>
        <w:t xml:space="preserve"> se enuncian los pasos a seguir para la identificación de estos bienes</w:t>
      </w:r>
      <w:r w:rsidR="00693317" w:rsidRPr="004F3997">
        <w:rPr>
          <w:rFonts w:ascii="Arial" w:eastAsia="Calibri" w:hAnsi="Arial" w:cs="Arial"/>
          <w:bCs/>
          <w:color w:val="000000"/>
          <w:sz w:val="22"/>
          <w:lang w:val="es-ES_tradnl"/>
        </w:rPr>
        <w:t>:</w:t>
      </w:r>
    </w:p>
    <w:p w14:paraId="3107931D" w14:textId="77777777" w:rsidR="00693317" w:rsidRPr="004F3997" w:rsidRDefault="00693317" w:rsidP="00693317">
      <w:pPr>
        <w:numPr>
          <w:ilvl w:val="0"/>
          <w:numId w:val="10"/>
        </w:numPr>
        <w:tabs>
          <w:tab w:val="left" w:pos="1134"/>
        </w:tabs>
        <w:ind w:left="783" w:right="709" w:hanging="74"/>
        <w:contextualSpacing/>
        <w:jc w:val="both"/>
        <w:rPr>
          <w:rFonts w:ascii="Arial" w:eastAsia="Arial" w:hAnsi="Arial" w:cs="Arial"/>
          <w:i/>
          <w:color w:val="000000"/>
          <w:sz w:val="21"/>
          <w:szCs w:val="21"/>
          <w:lang w:val="es-CO"/>
        </w:rPr>
      </w:pPr>
      <w:r w:rsidRPr="004F3997">
        <w:rPr>
          <w:rFonts w:ascii="Arial" w:eastAsia="Arial" w:hAnsi="Arial" w:cs="Arial"/>
          <w:iCs/>
          <w:color w:val="000000"/>
          <w:sz w:val="21"/>
          <w:szCs w:val="21"/>
          <w:lang w:val="es-CO"/>
        </w:rPr>
        <w:t xml:space="preserve">Identificar dentro del Presupuesto </w:t>
      </w:r>
      <w:r w:rsidRPr="004F3997">
        <w:rPr>
          <w:rFonts w:ascii="Arial" w:eastAsia="Arial" w:hAnsi="Arial" w:cs="Arial"/>
          <w:color w:val="000000"/>
          <w:sz w:val="21"/>
          <w:szCs w:val="21"/>
          <w:lang w:val="es-CO"/>
        </w:rPr>
        <w:t>O</w:t>
      </w:r>
      <w:r w:rsidRPr="004F3997">
        <w:rPr>
          <w:rFonts w:ascii="Arial" w:eastAsia="Arial" w:hAnsi="Arial" w:cs="Arial"/>
          <w:iCs/>
          <w:color w:val="000000"/>
          <w:sz w:val="21"/>
          <w:szCs w:val="21"/>
          <w:lang w:val="es-CO"/>
        </w:rPr>
        <w:t>ficial los bienes o insumos requeridos para la ejecución del proyecto.</w:t>
      </w:r>
    </w:p>
    <w:p w14:paraId="0AA37D0E" w14:textId="77777777" w:rsidR="00693317" w:rsidRPr="004F3997" w:rsidRDefault="00693317" w:rsidP="00693317">
      <w:pPr>
        <w:tabs>
          <w:tab w:val="left" w:pos="1134"/>
        </w:tabs>
        <w:spacing w:after="160"/>
        <w:ind w:left="783" w:right="709" w:hanging="74"/>
        <w:contextualSpacing/>
        <w:jc w:val="both"/>
        <w:rPr>
          <w:rFonts w:ascii="Arial" w:eastAsia="Calibri" w:hAnsi="Arial" w:cs="Arial"/>
          <w:i/>
          <w:color w:val="000000"/>
          <w:sz w:val="21"/>
          <w:szCs w:val="21"/>
          <w:lang w:val="es-CO"/>
        </w:rPr>
      </w:pPr>
    </w:p>
    <w:p w14:paraId="3D013A6F"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Calibri" w:hAnsi="Arial" w:cs="Arial"/>
          <w:i/>
          <w:color w:val="000000"/>
          <w:sz w:val="21"/>
          <w:szCs w:val="21"/>
          <w:lang w:val="es-CO"/>
        </w:rPr>
      </w:pPr>
      <w:r w:rsidRPr="004F3997">
        <w:rPr>
          <w:rFonts w:ascii="Arial" w:eastAsia="Calibri" w:hAnsi="Arial" w:cs="Arial"/>
          <w:color w:val="000000"/>
          <w:sz w:val="21"/>
          <w:szCs w:val="21"/>
          <w:lang w:val="es-CO"/>
        </w:rPr>
        <w:lastRenderedPageBreak/>
        <w:t xml:space="preserve">Calcular el </w:t>
      </w:r>
      <w:r w:rsidRPr="004F3997">
        <w:rPr>
          <w:rFonts w:ascii="Arial" w:eastAsia="Calibri" w:hAnsi="Arial" w:cs="Arial"/>
          <w:b/>
          <w:i/>
          <w:color w:val="000000"/>
          <w:sz w:val="21"/>
          <w:szCs w:val="21"/>
          <w:lang w:val="es-CO"/>
        </w:rPr>
        <w:t xml:space="preserve">valor parcial </w:t>
      </w:r>
      <w:r w:rsidRPr="004F3997">
        <w:rPr>
          <w:rFonts w:ascii="Arial" w:eastAsia="Calibri" w:hAnsi="Arial" w:cs="Arial"/>
          <w:color w:val="000000"/>
          <w:sz w:val="21"/>
          <w:szCs w:val="21"/>
          <w:lang w:val="es-CO"/>
        </w:rPr>
        <w:t>de los bienes o insumos identificados, para lo cual se deberá multiplicar el valor unitario de cada uno por la cantidad requerida.</w:t>
      </w:r>
    </w:p>
    <w:p w14:paraId="732B7E93" w14:textId="77777777" w:rsidR="00693317" w:rsidRPr="004F3997" w:rsidRDefault="00693317" w:rsidP="00693317">
      <w:pPr>
        <w:ind w:left="783" w:right="709" w:hanging="74"/>
        <w:contextualSpacing/>
        <w:jc w:val="both"/>
        <w:rPr>
          <w:rFonts w:ascii="Arial" w:eastAsia="Calibri" w:hAnsi="Arial" w:cs="Arial"/>
          <w:i/>
          <w:color w:val="000000"/>
          <w:sz w:val="21"/>
          <w:szCs w:val="21"/>
          <w:lang w:val="es-CO"/>
        </w:rPr>
      </w:pPr>
    </w:p>
    <w:p w14:paraId="66A3CDD4"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Calibri" w:hAnsi="Arial" w:cs="Arial"/>
          <w:i/>
          <w:color w:val="000000"/>
          <w:sz w:val="21"/>
          <w:szCs w:val="21"/>
          <w:lang w:val="es-CO"/>
        </w:rPr>
      </w:pPr>
      <w:r w:rsidRPr="004F3997">
        <w:rPr>
          <w:rFonts w:ascii="Arial" w:eastAsia="Calibri" w:hAnsi="Arial" w:cs="Arial"/>
          <w:color w:val="000000"/>
          <w:sz w:val="21"/>
          <w:szCs w:val="21"/>
          <w:lang w:val="es-CO"/>
        </w:rPr>
        <w:t>Calcular el</w:t>
      </w:r>
      <w:r w:rsidRPr="004F3997">
        <w:rPr>
          <w:rFonts w:ascii="Arial" w:eastAsia="Calibri" w:hAnsi="Arial" w:cs="Arial"/>
          <w:b/>
          <w:i/>
          <w:color w:val="000000"/>
          <w:sz w:val="21"/>
          <w:szCs w:val="21"/>
          <w:lang w:val="es-CO"/>
        </w:rPr>
        <w:t xml:space="preserve"> valor total</w:t>
      </w:r>
      <w:r w:rsidRPr="004F3997">
        <w:rPr>
          <w:rFonts w:ascii="Arial" w:eastAsia="Calibri" w:hAnsi="Arial" w:cs="Arial"/>
          <w:bCs/>
          <w:iCs/>
          <w:color w:val="000000"/>
          <w:sz w:val="21"/>
          <w:szCs w:val="21"/>
          <w:lang w:val="es-CO"/>
        </w:rPr>
        <w:t xml:space="preserve"> </w:t>
      </w:r>
      <w:r w:rsidRPr="004F3997">
        <w:rPr>
          <w:rFonts w:ascii="Arial" w:eastAsia="Calibri" w:hAnsi="Arial" w:cs="Arial"/>
          <w:color w:val="000000"/>
          <w:sz w:val="21"/>
          <w:szCs w:val="21"/>
          <w:lang w:val="es-CO"/>
        </w:rPr>
        <w:t>realizando la sumatoria</w:t>
      </w:r>
      <w:r w:rsidRPr="004F3997">
        <w:rPr>
          <w:rFonts w:ascii="Arial" w:eastAsia="Calibri" w:hAnsi="Arial" w:cs="Arial"/>
          <w:b/>
          <w:i/>
          <w:color w:val="000000"/>
          <w:sz w:val="21"/>
          <w:szCs w:val="21"/>
          <w:lang w:val="es-CO"/>
        </w:rPr>
        <w:t xml:space="preserve"> </w:t>
      </w:r>
      <w:r w:rsidRPr="004F3997">
        <w:rPr>
          <w:rFonts w:ascii="Arial" w:eastAsia="Calibri" w:hAnsi="Arial" w:cs="Arial"/>
          <w:color w:val="000000"/>
          <w:sz w:val="21"/>
          <w:szCs w:val="21"/>
          <w:lang w:val="es-CO"/>
        </w:rPr>
        <w:t xml:space="preserve">de los </w:t>
      </w:r>
      <w:r w:rsidRPr="004F3997">
        <w:rPr>
          <w:rFonts w:ascii="Arial" w:eastAsia="Calibri" w:hAnsi="Arial" w:cs="Arial"/>
          <w:b/>
          <w:i/>
          <w:color w:val="000000"/>
          <w:sz w:val="21"/>
          <w:szCs w:val="21"/>
          <w:lang w:val="es-CO"/>
        </w:rPr>
        <w:t>valores parciales</w:t>
      </w:r>
      <w:r w:rsidRPr="004F3997">
        <w:rPr>
          <w:rFonts w:ascii="Arial" w:eastAsia="Calibri" w:hAnsi="Arial" w:cs="Arial"/>
          <w:color w:val="000000"/>
          <w:sz w:val="21"/>
          <w:szCs w:val="21"/>
          <w:lang w:val="es-CO"/>
        </w:rPr>
        <w:t xml:space="preserve"> de los bienes o insumos requeridos en el proyecto.</w:t>
      </w:r>
    </w:p>
    <w:p w14:paraId="351C24BE" w14:textId="77777777" w:rsidR="00693317" w:rsidRPr="004F3997" w:rsidRDefault="00693317" w:rsidP="00693317">
      <w:pPr>
        <w:ind w:left="783" w:right="709" w:hanging="74"/>
        <w:contextualSpacing/>
        <w:jc w:val="both"/>
        <w:rPr>
          <w:rFonts w:ascii="Arial" w:eastAsia="Calibri" w:hAnsi="Arial" w:cs="Arial"/>
          <w:i/>
          <w:color w:val="000000"/>
          <w:sz w:val="21"/>
          <w:szCs w:val="21"/>
          <w:lang w:val="es-CO"/>
        </w:rPr>
      </w:pPr>
    </w:p>
    <w:p w14:paraId="13BA67FD"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Calibri" w:hAnsi="Arial" w:cs="Arial"/>
          <w:i/>
          <w:color w:val="000000"/>
          <w:sz w:val="21"/>
          <w:szCs w:val="21"/>
          <w:lang w:val="es-CO"/>
        </w:rPr>
      </w:pPr>
      <w:r w:rsidRPr="004F3997">
        <w:rPr>
          <w:rFonts w:ascii="Arial" w:eastAsia="Calibri" w:hAnsi="Arial" w:cs="Arial"/>
          <w:color w:val="000000"/>
          <w:sz w:val="21"/>
          <w:szCs w:val="21"/>
          <w:lang w:val="es-CO"/>
        </w:rPr>
        <w:t xml:space="preserve">Determinar el </w:t>
      </w:r>
      <w:r w:rsidRPr="004F3997">
        <w:rPr>
          <w:rFonts w:ascii="Arial" w:eastAsia="Calibri" w:hAnsi="Arial" w:cs="Arial"/>
          <w:b/>
          <w:i/>
          <w:color w:val="000000"/>
          <w:sz w:val="21"/>
          <w:szCs w:val="21"/>
          <w:lang w:val="es-CO"/>
        </w:rPr>
        <w:t>porcentaje de participación</w:t>
      </w:r>
      <w:r w:rsidRPr="004F3997">
        <w:rPr>
          <w:rFonts w:ascii="Arial" w:eastAsia="Calibri" w:hAnsi="Arial" w:cs="Arial"/>
          <w:i/>
          <w:color w:val="000000"/>
          <w:sz w:val="21"/>
          <w:szCs w:val="21"/>
          <w:lang w:val="es-CO"/>
        </w:rPr>
        <w:t xml:space="preserve"> </w:t>
      </w:r>
      <w:r w:rsidRPr="004F3997">
        <w:rPr>
          <w:rFonts w:ascii="Arial" w:eastAsia="Calibri" w:hAnsi="Arial" w:cs="Arial"/>
          <w:color w:val="000000"/>
          <w:sz w:val="21"/>
          <w:szCs w:val="21"/>
          <w:lang w:val="es-CO"/>
        </w:rPr>
        <w:t xml:space="preserve">de cada bien o insumo usando su </w:t>
      </w:r>
      <w:r w:rsidRPr="004F3997">
        <w:rPr>
          <w:rFonts w:ascii="Arial" w:eastAsia="Calibri" w:hAnsi="Arial" w:cs="Arial"/>
          <w:b/>
          <w:i/>
          <w:color w:val="000000"/>
          <w:sz w:val="21"/>
          <w:szCs w:val="21"/>
          <w:lang w:val="es-CO"/>
        </w:rPr>
        <w:t>valor parcial</w:t>
      </w:r>
      <w:r w:rsidRPr="004F3997">
        <w:rPr>
          <w:rFonts w:ascii="Arial" w:eastAsia="Calibri" w:hAnsi="Arial" w:cs="Arial"/>
          <w:color w:val="000000"/>
          <w:sz w:val="21"/>
          <w:szCs w:val="21"/>
          <w:lang w:val="es-CO"/>
        </w:rPr>
        <w:t xml:space="preserve"> divido por el </w:t>
      </w:r>
      <w:r w:rsidRPr="004F3997">
        <w:rPr>
          <w:rFonts w:ascii="Arial" w:eastAsia="Calibri" w:hAnsi="Arial" w:cs="Arial"/>
          <w:b/>
          <w:i/>
          <w:color w:val="000000"/>
          <w:sz w:val="21"/>
          <w:szCs w:val="21"/>
          <w:lang w:val="es-CO"/>
        </w:rPr>
        <w:t>valor total</w:t>
      </w:r>
      <w:r w:rsidRPr="004F3997">
        <w:rPr>
          <w:rFonts w:ascii="Arial" w:eastAsia="Calibri" w:hAnsi="Arial" w:cs="Arial"/>
          <w:color w:val="000000"/>
          <w:sz w:val="21"/>
          <w:szCs w:val="21"/>
          <w:lang w:val="es-CO"/>
        </w:rPr>
        <w:t>, cociente que deberá ser multiplicado por cien (100). Para esto se aplicará la siguiente fórmula:</w:t>
      </w:r>
    </w:p>
    <w:p w14:paraId="71341C04" w14:textId="77777777" w:rsidR="00693317" w:rsidRPr="004F3997" w:rsidRDefault="00693317" w:rsidP="00693317">
      <w:pPr>
        <w:tabs>
          <w:tab w:val="left" w:pos="1134"/>
        </w:tabs>
        <w:ind w:left="783" w:right="709" w:hanging="74"/>
        <w:contextualSpacing/>
        <w:jc w:val="both"/>
        <w:rPr>
          <w:rFonts w:ascii="Arial" w:eastAsia="Calibri" w:hAnsi="Arial" w:cs="Arial"/>
          <w:i/>
          <w:color w:val="000000"/>
          <w:sz w:val="21"/>
          <w:szCs w:val="21"/>
          <w:lang w:val="es-CO"/>
        </w:rPr>
      </w:pPr>
    </w:p>
    <w:p w14:paraId="7723ADC0" w14:textId="77777777" w:rsidR="00693317" w:rsidRPr="004F3997" w:rsidRDefault="00693317" w:rsidP="00693317">
      <w:pPr>
        <w:tabs>
          <w:tab w:val="left" w:pos="1134"/>
        </w:tabs>
        <w:ind w:left="783" w:right="709" w:hanging="74"/>
        <w:contextualSpacing/>
        <w:jc w:val="center"/>
        <w:rPr>
          <w:rFonts w:ascii="Arial" w:eastAsia="Arial" w:hAnsi="Arial" w:cs="Arial"/>
          <w:i/>
          <w:color w:val="000000"/>
          <w:sz w:val="21"/>
          <w:szCs w:val="21"/>
          <w:lang w:val="es-CO"/>
        </w:rPr>
      </w:pPr>
      <w:r w:rsidRPr="004F3997">
        <w:rPr>
          <w:rFonts w:ascii="Arial" w:eastAsia="Calibri" w:hAnsi="Arial" w:cs="Arial"/>
          <w:noProof/>
          <w:sz w:val="21"/>
          <w:szCs w:val="21"/>
          <w:lang w:val="es-ES"/>
        </w:rPr>
        <w:drawing>
          <wp:inline distT="0" distB="0" distL="0" distR="0" wp14:anchorId="20B27901" wp14:editId="79D8DFEB">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2ECD98F6" w14:textId="77777777" w:rsidR="00693317" w:rsidRPr="004F3997" w:rsidRDefault="00693317" w:rsidP="00693317">
      <w:pPr>
        <w:spacing w:after="160"/>
        <w:ind w:left="783" w:right="709" w:hanging="74"/>
        <w:rPr>
          <w:rFonts w:ascii="Arial" w:eastAsia="Calibri" w:hAnsi="Arial" w:cs="Arial"/>
          <w:sz w:val="21"/>
          <w:szCs w:val="21"/>
          <w:lang w:val="es-ES"/>
        </w:rPr>
      </w:pPr>
    </w:p>
    <w:p w14:paraId="2071D2BC"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Arial"/>
          <w:color w:val="000000"/>
          <w:sz w:val="21"/>
          <w:szCs w:val="21"/>
          <w:lang w:val="es-CO"/>
        </w:rPr>
        <w:t>Determinar el</w:t>
      </w:r>
      <w:r w:rsidRPr="004F3997">
        <w:rPr>
          <w:rFonts w:ascii="Arial" w:eastAsia="Arial" w:hAnsi="Arial" w:cs="Arial"/>
          <w:b/>
          <w:i/>
          <w:color w:val="000000"/>
          <w:sz w:val="21"/>
          <w:szCs w:val="21"/>
          <w:lang w:val="es-CO"/>
        </w:rPr>
        <w:t xml:space="preserve"> porcentaje acumulado </w:t>
      </w:r>
      <w:r w:rsidRPr="004F3997">
        <w:rPr>
          <w:rFonts w:ascii="Arial" w:eastAsia="Arial" w:hAnsi="Arial" w:cs="Arial"/>
          <w:bCs/>
          <w:iCs/>
          <w:color w:val="000000"/>
          <w:sz w:val="21"/>
          <w:szCs w:val="21"/>
          <w:lang w:val="es-CO"/>
        </w:rPr>
        <w:t>entendido como la sumatoria de los porcentajes de participación definidos en el numeral anterior. P</w:t>
      </w:r>
      <w:r w:rsidRPr="004F3997">
        <w:rPr>
          <w:rFonts w:ascii="Arial" w:eastAsia="Arial" w:hAnsi="Arial" w:cs="Arial"/>
          <w:color w:val="000000"/>
          <w:sz w:val="21"/>
          <w:szCs w:val="21"/>
          <w:lang w:val="es-CO"/>
        </w:rPr>
        <w:t xml:space="preserve">ara lo cual, se sugiere, organizar los bienes en una tabla, en orden descendente según su </w:t>
      </w:r>
      <w:r w:rsidRPr="004F3997">
        <w:rPr>
          <w:rFonts w:ascii="Arial" w:eastAsia="Arial" w:hAnsi="Arial" w:cs="Arial"/>
          <w:b/>
          <w:i/>
          <w:color w:val="000000"/>
          <w:sz w:val="21"/>
          <w:szCs w:val="21"/>
          <w:lang w:val="es-CO"/>
        </w:rPr>
        <w:t>porcentaje de participación,</w:t>
      </w:r>
      <w:r w:rsidRPr="004F3997">
        <w:rPr>
          <w:rFonts w:ascii="Arial" w:eastAsia="Arial" w:hAnsi="Arial" w:cs="Arial"/>
          <w:color w:val="000000"/>
          <w:sz w:val="21"/>
          <w:szCs w:val="21"/>
          <w:lang w:val="es-CO"/>
        </w:rPr>
        <w:t xml:space="preserve"> disponiendo una fila por cada bien, una columna para el nombre o descripción del bien, otra para el </w:t>
      </w:r>
      <w:r w:rsidRPr="004F3997">
        <w:rPr>
          <w:rFonts w:ascii="Arial" w:eastAsia="Arial" w:hAnsi="Arial" w:cs="Arial"/>
          <w:b/>
          <w:i/>
          <w:color w:val="000000"/>
          <w:sz w:val="21"/>
          <w:szCs w:val="21"/>
          <w:lang w:val="es-CO"/>
        </w:rPr>
        <w:t>porcentaje de participación</w:t>
      </w:r>
      <w:r w:rsidRPr="004F3997">
        <w:rPr>
          <w:rFonts w:ascii="Arial" w:eastAsia="Arial" w:hAnsi="Arial" w:cs="Arial"/>
          <w:b/>
          <w:color w:val="000000"/>
          <w:sz w:val="21"/>
          <w:szCs w:val="21"/>
          <w:lang w:val="es-CO"/>
        </w:rPr>
        <w:t xml:space="preserve"> </w:t>
      </w:r>
      <w:r w:rsidRPr="004F3997">
        <w:rPr>
          <w:rFonts w:ascii="Arial" w:eastAsia="Arial" w:hAnsi="Arial" w:cs="Arial"/>
          <w:color w:val="000000"/>
          <w:sz w:val="21"/>
          <w:szCs w:val="21"/>
          <w:lang w:val="es-CO"/>
        </w:rPr>
        <w:t xml:space="preserve">y otra en la que se consignará el </w:t>
      </w:r>
      <w:r w:rsidRPr="004F3997">
        <w:rPr>
          <w:rFonts w:ascii="Arial" w:eastAsia="Arial" w:hAnsi="Arial" w:cs="Arial"/>
          <w:b/>
          <w:i/>
          <w:color w:val="000000"/>
          <w:sz w:val="21"/>
          <w:szCs w:val="21"/>
          <w:lang w:val="es-CO"/>
        </w:rPr>
        <w:t>porcentaje acumulado.</w:t>
      </w:r>
      <w:r w:rsidRPr="004F3997">
        <w:rPr>
          <w:rFonts w:ascii="Arial" w:eastAsia="Arial" w:hAnsi="Arial" w:cs="Arial"/>
          <w:b/>
          <w:color w:val="000000"/>
          <w:sz w:val="21"/>
          <w:szCs w:val="21"/>
          <w:lang w:val="es-CO"/>
        </w:rPr>
        <w:t xml:space="preserve"> </w:t>
      </w:r>
    </w:p>
    <w:p w14:paraId="49AE4712" w14:textId="77777777" w:rsidR="00693317" w:rsidRPr="004F3997" w:rsidRDefault="00693317" w:rsidP="00693317">
      <w:pPr>
        <w:tabs>
          <w:tab w:val="left" w:pos="1134"/>
        </w:tabs>
        <w:ind w:left="783" w:right="709" w:hanging="74"/>
        <w:contextualSpacing/>
        <w:jc w:val="both"/>
        <w:rPr>
          <w:rFonts w:ascii="Arial" w:eastAsia="Arial" w:hAnsi="Arial" w:cs="Arial"/>
          <w:iCs/>
          <w:color w:val="000000"/>
          <w:sz w:val="21"/>
          <w:szCs w:val="21"/>
          <w:lang w:val="es-CO"/>
        </w:rPr>
      </w:pPr>
    </w:p>
    <w:p w14:paraId="3DE95009" w14:textId="77777777" w:rsidR="00693317" w:rsidRPr="004F3997" w:rsidRDefault="00693317" w:rsidP="00693317">
      <w:pPr>
        <w:tabs>
          <w:tab w:val="left" w:pos="1134"/>
        </w:tabs>
        <w:ind w:left="783" w:right="709" w:hanging="74"/>
        <w:contextualSpacing/>
        <w:jc w:val="both"/>
        <w:rPr>
          <w:rFonts w:ascii="Arial" w:eastAsia="Arial" w:hAnsi="Arial" w:cs="Arial"/>
          <w:color w:val="000000"/>
          <w:sz w:val="21"/>
          <w:szCs w:val="21"/>
          <w:lang w:val="es-CO"/>
        </w:rPr>
      </w:pPr>
      <w:r w:rsidRPr="004F3997">
        <w:rPr>
          <w:rFonts w:ascii="Arial" w:eastAsia="Arial" w:hAnsi="Arial" w:cs="Arial"/>
          <w:color w:val="000000"/>
          <w:sz w:val="21"/>
          <w:szCs w:val="21"/>
          <w:lang w:val="es-CO"/>
        </w:rPr>
        <w:t xml:space="preserve"> Al bien o insumo que tiene la mayor participación, es decir, el que ocupa el primer lugar en el listado, le corresponderá como </w:t>
      </w:r>
      <w:r w:rsidRPr="004F3997">
        <w:rPr>
          <w:rFonts w:ascii="Arial" w:eastAsia="Arial" w:hAnsi="Arial" w:cs="Arial"/>
          <w:b/>
          <w:i/>
          <w:color w:val="000000"/>
          <w:sz w:val="21"/>
          <w:szCs w:val="21"/>
          <w:lang w:val="es-CO"/>
        </w:rPr>
        <w:t>porcentaje acumulado</w:t>
      </w:r>
      <w:r w:rsidRPr="004F3997">
        <w:rPr>
          <w:rFonts w:ascii="Arial" w:eastAsia="Arial" w:hAnsi="Arial" w:cs="Arial"/>
          <w:color w:val="000000"/>
          <w:sz w:val="21"/>
          <w:szCs w:val="21"/>
          <w:lang w:val="es-CO"/>
        </w:rPr>
        <w:t xml:space="preserve"> el valor asignado como </w:t>
      </w:r>
      <w:r w:rsidRPr="004F3997">
        <w:rPr>
          <w:rFonts w:ascii="Arial" w:eastAsia="Arial" w:hAnsi="Arial" w:cs="Arial"/>
          <w:b/>
          <w:i/>
          <w:color w:val="000000"/>
          <w:sz w:val="21"/>
          <w:szCs w:val="21"/>
          <w:lang w:val="es-CO"/>
        </w:rPr>
        <w:t>porcentaje de participación</w:t>
      </w:r>
      <w:r w:rsidRPr="004F3997">
        <w:rPr>
          <w:rFonts w:ascii="Arial" w:eastAsia="Arial" w:hAnsi="Arial" w:cs="Arial"/>
          <w:color w:val="000000"/>
          <w:sz w:val="21"/>
          <w:szCs w:val="21"/>
          <w:lang w:val="es-CO"/>
        </w:rPr>
        <w:t xml:space="preserve">. Para el segundo bien el </w:t>
      </w:r>
      <w:r w:rsidRPr="004F3997">
        <w:rPr>
          <w:rFonts w:ascii="Arial" w:eastAsia="Arial" w:hAnsi="Arial" w:cs="Arial"/>
          <w:b/>
          <w:bCs/>
          <w:i/>
          <w:iCs/>
          <w:color w:val="000000"/>
          <w:sz w:val="21"/>
          <w:szCs w:val="21"/>
          <w:lang w:val="es-CO"/>
        </w:rPr>
        <w:t xml:space="preserve">porcentaje acumulado </w:t>
      </w:r>
      <w:r w:rsidRPr="004F3997">
        <w:rPr>
          <w:rFonts w:ascii="Arial" w:eastAsia="Arial" w:hAnsi="Arial" w:cs="Arial"/>
          <w:color w:val="000000"/>
          <w:sz w:val="21"/>
          <w:szCs w:val="21"/>
          <w:lang w:val="es-CO"/>
        </w:rPr>
        <w:t xml:space="preserve">será la suma de su porcentaje de participación con el </w:t>
      </w:r>
      <w:r w:rsidRPr="004F3997">
        <w:rPr>
          <w:rFonts w:ascii="Arial" w:eastAsia="Arial" w:hAnsi="Arial" w:cs="Arial"/>
          <w:b/>
          <w:bCs/>
          <w:i/>
          <w:iCs/>
          <w:color w:val="000000"/>
          <w:sz w:val="21"/>
          <w:szCs w:val="21"/>
          <w:lang w:val="es-CO"/>
        </w:rPr>
        <w:t>porcentaje acumulado</w:t>
      </w:r>
      <w:r w:rsidRPr="004F3997">
        <w:rPr>
          <w:rFonts w:ascii="Arial" w:eastAsia="Arial" w:hAnsi="Arial" w:cs="Arial"/>
          <w:color w:val="000000"/>
          <w:sz w:val="21"/>
          <w:szCs w:val="21"/>
          <w:lang w:val="es-CO"/>
        </w:rPr>
        <w:t xml:space="preserve"> asignado al bien que lo antecede en el listado. Del mismo modo, para el tercer bien el </w:t>
      </w:r>
      <w:r w:rsidRPr="004F3997">
        <w:rPr>
          <w:rFonts w:ascii="Arial" w:eastAsia="Arial" w:hAnsi="Arial" w:cs="Arial"/>
          <w:b/>
          <w:bCs/>
          <w:i/>
          <w:iCs/>
          <w:color w:val="000000"/>
          <w:sz w:val="21"/>
          <w:szCs w:val="21"/>
          <w:lang w:val="es-CO"/>
        </w:rPr>
        <w:t>porcentaje acumulado</w:t>
      </w:r>
      <w:r w:rsidRPr="004F3997">
        <w:rPr>
          <w:rFonts w:ascii="Arial" w:eastAsia="Arial" w:hAnsi="Arial" w:cs="Arial"/>
          <w:color w:val="000000"/>
          <w:sz w:val="21"/>
          <w:szCs w:val="21"/>
          <w:lang w:val="es-CO"/>
        </w:rPr>
        <w:t xml:space="preserve"> será la suma de su porcentaje de participación con el </w:t>
      </w:r>
      <w:r w:rsidRPr="004F3997">
        <w:rPr>
          <w:rFonts w:ascii="Arial" w:eastAsia="Arial" w:hAnsi="Arial" w:cs="Arial"/>
          <w:b/>
          <w:bCs/>
          <w:i/>
          <w:iCs/>
          <w:color w:val="000000"/>
          <w:sz w:val="21"/>
          <w:szCs w:val="21"/>
          <w:lang w:val="es-CO"/>
        </w:rPr>
        <w:t>porcentaje acumulado</w:t>
      </w:r>
      <w:r w:rsidRPr="004F3997">
        <w:rPr>
          <w:rFonts w:ascii="Arial" w:eastAsia="Arial" w:hAnsi="Arial" w:cs="Arial"/>
          <w:color w:val="000000"/>
          <w:sz w:val="21"/>
          <w:szCs w:val="21"/>
          <w:lang w:val="es-CO"/>
        </w:rPr>
        <w:t xml:space="preserve"> calculado para el anterior bien, y así sucesivamente deberá procederse respecto de los demás bienes hasta completar todos los porcentajes acumulados. Para mayor claridad se aplicará la siguiente fórmula.</w:t>
      </w:r>
    </w:p>
    <w:p w14:paraId="3AB04296" w14:textId="77777777" w:rsidR="00693317" w:rsidRPr="004F3997" w:rsidRDefault="00693317" w:rsidP="00693317">
      <w:pPr>
        <w:tabs>
          <w:tab w:val="left" w:pos="1134"/>
        </w:tabs>
        <w:ind w:left="783" w:right="709" w:hanging="74"/>
        <w:contextualSpacing/>
        <w:jc w:val="both"/>
        <w:rPr>
          <w:rFonts w:ascii="Arial" w:eastAsia="Arial" w:hAnsi="Arial" w:cs="Arial"/>
          <w:color w:val="000000"/>
          <w:sz w:val="21"/>
          <w:szCs w:val="21"/>
          <w:lang w:val="es-CO"/>
        </w:rPr>
      </w:pPr>
    </w:p>
    <w:p w14:paraId="16F73BC0" w14:textId="77777777" w:rsidR="00693317" w:rsidRPr="004F3997" w:rsidRDefault="00693317" w:rsidP="00693317">
      <w:pPr>
        <w:tabs>
          <w:tab w:val="left" w:pos="1134"/>
        </w:tabs>
        <w:ind w:left="783" w:right="709" w:hanging="74"/>
        <w:contextualSpacing/>
        <w:jc w:val="center"/>
        <w:rPr>
          <w:rFonts w:ascii="Arial" w:eastAsia="Arial" w:hAnsi="Arial" w:cs="Arial"/>
          <w:iCs/>
          <w:color w:val="000000"/>
          <w:sz w:val="21"/>
          <w:szCs w:val="21"/>
          <w:lang w:val="es-CO"/>
        </w:rPr>
      </w:pPr>
      <w:r w:rsidRPr="004F3997">
        <w:rPr>
          <w:rFonts w:ascii="Arial" w:eastAsia="Calibri" w:hAnsi="Arial" w:cs="Arial"/>
          <w:noProof/>
          <w:sz w:val="21"/>
          <w:szCs w:val="21"/>
          <w:lang w:val="es-ES"/>
        </w:rPr>
        <w:drawing>
          <wp:inline distT="0" distB="0" distL="0" distR="0" wp14:anchorId="1013424B" wp14:editId="4DE2FDE7">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25BC04A0" w14:textId="77777777" w:rsidR="00693317" w:rsidRPr="004F3997" w:rsidRDefault="00693317" w:rsidP="00693317">
      <w:pPr>
        <w:tabs>
          <w:tab w:val="left" w:pos="1134"/>
        </w:tabs>
        <w:ind w:left="783" w:right="709" w:hanging="74"/>
        <w:contextualSpacing/>
        <w:jc w:val="center"/>
        <w:rPr>
          <w:rFonts w:ascii="Arial" w:eastAsia="Arial" w:hAnsi="Arial" w:cs="Arial"/>
          <w:iCs/>
          <w:color w:val="000000"/>
          <w:sz w:val="21"/>
          <w:szCs w:val="21"/>
          <w:lang w:val="es-CO"/>
        </w:rPr>
      </w:pPr>
    </w:p>
    <w:p w14:paraId="390A39BA" w14:textId="77777777" w:rsidR="00693317" w:rsidRPr="004F3997" w:rsidRDefault="00693317" w:rsidP="00693317">
      <w:pPr>
        <w:tabs>
          <w:tab w:val="left" w:pos="1134"/>
        </w:tabs>
        <w:ind w:left="783" w:right="709" w:hanging="74"/>
        <w:contextualSpacing/>
        <w:jc w:val="both"/>
        <w:rPr>
          <w:rFonts w:ascii="Arial" w:eastAsia="Arial" w:hAnsi="Arial" w:cs="Arial"/>
          <w:color w:val="000000"/>
          <w:sz w:val="21"/>
          <w:szCs w:val="21"/>
          <w:lang w:val="es-CO"/>
        </w:rPr>
      </w:pPr>
      <w:r w:rsidRPr="004F3997">
        <w:rPr>
          <w:rFonts w:ascii="Arial" w:eastAsia="Arial" w:hAnsi="Arial" w:cs="Arial"/>
          <w:color w:val="000000"/>
          <w:sz w:val="21"/>
          <w:szCs w:val="21"/>
          <w:lang w:val="es-CO"/>
        </w:rPr>
        <w:t xml:space="preserve">Donde </w:t>
      </w:r>
      <m:oMath>
        <m:sSub>
          <m:sSubPr>
            <m:ctrlPr>
              <w:rPr>
                <w:rFonts w:ascii="Cambria Math" w:eastAsia="Arial" w:hAnsi="Cambria Math" w:cs="Arial"/>
                <w:color w:val="000000"/>
                <w:sz w:val="21"/>
                <w:szCs w:val="21"/>
                <w:lang w:val="es-CO"/>
              </w:rPr>
            </m:ctrlPr>
          </m:sSubPr>
          <m:e>
            <m:r>
              <w:rPr>
                <w:rFonts w:ascii="Cambria Math" w:eastAsia="Arial" w:hAnsi="Cambria Math" w:cs="Arial"/>
                <w:color w:val="000000"/>
                <w:sz w:val="21"/>
                <w:szCs w:val="21"/>
                <w:lang w:val="es-CO"/>
              </w:rPr>
              <m:t>participacion</m:t>
            </m:r>
            <m:r>
              <m:rPr>
                <m:sty m:val="p"/>
              </m:rPr>
              <w:rPr>
                <w:rFonts w:ascii="Cambria Math" w:eastAsia="Arial" w:hAnsi="Cambria Math" w:cs="Arial"/>
                <w:color w:val="000000"/>
                <w:sz w:val="21"/>
                <w:szCs w:val="21"/>
                <w:lang w:val="es-CO"/>
              </w:rPr>
              <m:t xml:space="preserve"> (%)</m:t>
            </m:r>
          </m:e>
          <m:sub>
            <m:r>
              <w:rPr>
                <w:rFonts w:ascii="Cambria Math" w:eastAsia="Arial" w:hAnsi="Cambria Math" w:cs="Arial"/>
                <w:color w:val="000000"/>
                <w:sz w:val="21"/>
                <w:szCs w:val="21"/>
                <w:lang w:val="es-CO"/>
              </w:rPr>
              <m:t>i</m:t>
            </m:r>
          </m:sub>
        </m:sSub>
      </m:oMath>
      <w:r w:rsidRPr="004F3997">
        <w:rPr>
          <w:rFonts w:ascii="Arial" w:eastAsia="Arial" w:hAnsi="Arial" w:cs="Arial"/>
          <w:color w:val="000000"/>
          <w:sz w:val="21"/>
          <w:szCs w:val="21"/>
          <w:lang w:val="es-CO"/>
        </w:rPr>
        <w:t xml:space="preserve"> son las frecuencias acumuladas o porcentaje de participación (%) calculado.</w:t>
      </w:r>
    </w:p>
    <w:p w14:paraId="585578F9" w14:textId="77777777" w:rsidR="00693317" w:rsidRPr="004F3997" w:rsidRDefault="00693317" w:rsidP="00693317">
      <w:pPr>
        <w:tabs>
          <w:tab w:val="left" w:pos="1134"/>
        </w:tabs>
        <w:ind w:left="783" w:right="709" w:hanging="74"/>
        <w:contextualSpacing/>
        <w:jc w:val="both"/>
        <w:rPr>
          <w:rFonts w:ascii="Arial" w:eastAsia="Arial" w:hAnsi="Arial" w:cs="Arial"/>
          <w:iCs/>
          <w:color w:val="000000"/>
          <w:sz w:val="21"/>
          <w:szCs w:val="21"/>
          <w:lang w:val="es-CO"/>
        </w:rPr>
      </w:pPr>
    </w:p>
    <w:p w14:paraId="620ED194"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Arial"/>
          <w:iCs/>
          <w:color w:val="000000"/>
          <w:sz w:val="21"/>
          <w:szCs w:val="21"/>
          <w:lang w:val="es-CO"/>
        </w:rPr>
        <w:t>Identificar los bienes o insumos cuyo porcentaje acumulado esté dentro del ochenta por ciento (80 %) o un valor aproximado por debajo.</w:t>
      </w:r>
    </w:p>
    <w:p w14:paraId="6D8B14E5" w14:textId="77777777" w:rsidR="00693317" w:rsidRPr="004F3997" w:rsidRDefault="00693317" w:rsidP="00693317">
      <w:pPr>
        <w:tabs>
          <w:tab w:val="left" w:pos="1134"/>
        </w:tabs>
        <w:ind w:left="783" w:right="709" w:hanging="74"/>
        <w:contextualSpacing/>
        <w:jc w:val="both"/>
        <w:rPr>
          <w:rFonts w:ascii="Arial" w:eastAsia="Arial" w:hAnsi="Arial" w:cs="Arial"/>
          <w:iCs/>
          <w:color w:val="000000"/>
          <w:sz w:val="21"/>
          <w:szCs w:val="21"/>
          <w:lang w:val="es-CO"/>
        </w:rPr>
      </w:pPr>
    </w:p>
    <w:p w14:paraId="0BAD983F"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Arial"/>
          <w:iCs/>
          <w:color w:val="000000"/>
          <w:sz w:val="21"/>
          <w:szCs w:val="21"/>
          <w:lang w:val="es-CO"/>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1DB65087" w14:textId="77777777" w:rsidR="00693317" w:rsidRPr="004F3997" w:rsidRDefault="00693317" w:rsidP="00693317">
      <w:pPr>
        <w:tabs>
          <w:tab w:val="left" w:pos="1134"/>
        </w:tabs>
        <w:ind w:left="783" w:right="709" w:hanging="74"/>
        <w:contextualSpacing/>
        <w:jc w:val="both"/>
        <w:rPr>
          <w:rFonts w:ascii="Arial" w:eastAsia="Arial" w:hAnsi="Arial" w:cs="Arial"/>
          <w:iCs/>
          <w:color w:val="000000"/>
          <w:sz w:val="21"/>
          <w:szCs w:val="21"/>
          <w:lang w:val="es-CO"/>
        </w:rPr>
      </w:pPr>
    </w:p>
    <w:p w14:paraId="763C01E3"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Arial"/>
          <w:iCs/>
          <w:color w:val="000000"/>
          <w:sz w:val="21"/>
          <w:szCs w:val="21"/>
          <w:lang w:val="es-CO"/>
        </w:rPr>
        <w:t xml:space="preserve">Los bienes relevantes serán aquellos cuyo porcentaje de participación sea igual o superior al promedio calculado en el paso anterior. </w:t>
      </w:r>
    </w:p>
    <w:p w14:paraId="7721602A" w14:textId="77777777" w:rsidR="00693317" w:rsidRPr="004F3997" w:rsidRDefault="00693317" w:rsidP="00693317">
      <w:pPr>
        <w:tabs>
          <w:tab w:val="left" w:pos="1134"/>
        </w:tabs>
        <w:ind w:left="783" w:right="709" w:hanging="74"/>
        <w:contextualSpacing/>
        <w:jc w:val="both"/>
        <w:rPr>
          <w:rFonts w:ascii="Arial" w:eastAsia="Arial" w:hAnsi="Arial" w:cs="Arial"/>
          <w:iCs/>
          <w:color w:val="000000"/>
          <w:sz w:val="21"/>
          <w:szCs w:val="21"/>
          <w:lang w:val="es-CO"/>
        </w:rPr>
      </w:pPr>
    </w:p>
    <w:p w14:paraId="56733174"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Arial"/>
          <w:iCs/>
          <w:color w:val="000000"/>
          <w:sz w:val="21"/>
          <w:szCs w:val="21"/>
          <w:lang w:val="es-CO"/>
        </w:rPr>
        <w:t xml:space="preserve">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w:t>
      </w:r>
    </w:p>
    <w:p w14:paraId="1C3D1545" w14:textId="77777777" w:rsidR="00693317" w:rsidRPr="004F3997" w:rsidRDefault="00693317" w:rsidP="00693317">
      <w:pPr>
        <w:tabs>
          <w:tab w:val="left" w:pos="1134"/>
        </w:tabs>
        <w:spacing w:after="160"/>
        <w:ind w:left="783" w:right="709" w:hanging="74"/>
        <w:contextualSpacing/>
        <w:jc w:val="both"/>
        <w:rPr>
          <w:rFonts w:ascii="Arial" w:eastAsia="Arial" w:hAnsi="Arial" w:cs="Arial"/>
          <w:iCs/>
          <w:color w:val="000000"/>
          <w:sz w:val="21"/>
          <w:szCs w:val="21"/>
          <w:lang w:val="es-CO"/>
        </w:rPr>
      </w:pPr>
    </w:p>
    <w:p w14:paraId="6E65C1A5" w14:textId="77777777" w:rsidR="00693317" w:rsidRPr="004F3997" w:rsidRDefault="00693317" w:rsidP="00693317">
      <w:pPr>
        <w:numPr>
          <w:ilvl w:val="0"/>
          <w:numId w:val="10"/>
        </w:numPr>
        <w:tabs>
          <w:tab w:val="left" w:pos="1134"/>
        </w:tabs>
        <w:spacing w:after="160"/>
        <w:ind w:left="783" w:right="709" w:hanging="74"/>
        <w:contextualSpacing/>
        <w:jc w:val="both"/>
        <w:rPr>
          <w:rFonts w:ascii="Arial" w:eastAsia="Arial" w:hAnsi="Arial" w:cs="Arial"/>
          <w:iCs/>
          <w:color w:val="000000"/>
          <w:sz w:val="21"/>
          <w:szCs w:val="21"/>
          <w:lang w:val="es-CO"/>
        </w:rPr>
      </w:pPr>
      <w:r w:rsidRPr="004F3997">
        <w:rPr>
          <w:rFonts w:ascii="Arial" w:eastAsia="Arial" w:hAnsi="Arial" w:cs="Times New Roman"/>
          <w:color w:val="000000"/>
          <w:sz w:val="21"/>
          <w:szCs w:val="21"/>
          <w:lang w:val="es-CO"/>
        </w:rPr>
        <w:t>Si ninguno de los bienes relevantes están incluidos en el Registro de Productores de Bienes Nacionales, la Entidad Estatal otorgará el puntaje a los Proponentes que se comprometan a vincular un porcentaje de empleados o contratistas por prestación de servicios colombianos de al menos el cuarenta por ciento (40 %) del personal requerido para el cumplimiento del contrato.</w:t>
      </w:r>
    </w:p>
    <w:p w14:paraId="50C2BF04" w14:textId="77777777" w:rsidR="00693317" w:rsidRPr="004F3997" w:rsidRDefault="00693317" w:rsidP="00693317">
      <w:pPr>
        <w:tabs>
          <w:tab w:val="left" w:pos="1134"/>
        </w:tabs>
        <w:spacing w:before="120" w:after="120" w:line="259" w:lineRule="auto"/>
        <w:contextualSpacing/>
        <w:jc w:val="both"/>
        <w:rPr>
          <w:rFonts w:ascii="Arial" w:eastAsia="Calibri" w:hAnsi="Arial" w:cs="Arial"/>
          <w:bCs/>
          <w:color w:val="000000"/>
          <w:sz w:val="22"/>
          <w:lang w:val="es-ES_tradnl"/>
        </w:rPr>
      </w:pPr>
    </w:p>
    <w:p w14:paraId="75E9CA33" w14:textId="74DD6526" w:rsidR="00981056" w:rsidRPr="004F3997" w:rsidRDefault="00693317" w:rsidP="00693317">
      <w:pPr>
        <w:tabs>
          <w:tab w:val="left" w:pos="709"/>
        </w:tabs>
        <w:spacing w:before="120" w:after="120" w:line="276" w:lineRule="auto"/>
        <w:jc w:val="both"/>
        <w:rPr>
          <w:rFonts w:ascii="Arial" w:eastAsia="Calibri" w:hAnsi="Arial" w:cs="Arial"/>
          <w:bCs/>
          <w:color w:val="000000"/>
          <w:sz w:val="22"/>
          <w:lang w:val="es-ES_tradnl"/>
        </w:rPr>
      </w:pPr>
      <w:r w:rsidRPr="004F3997">
        <w:rPr>
          <w:rFonts w:ascii="Arial" w:eastAsia="Calibri" w:hAnsi="Arial" w:cs="Arial"/>
          <w:bCs/>
          <w:color w:val="000000"/>
          <w:sz w:val="22"/>
          <w:lang w:val="es-ES_tradnl"/>
        </w:rPr>
        <w:tab/>
        <w:t>Aplicando estos numerales</w:t>
      </w:r>
      <w:r w:rsidR="00D96090" w:rsidRPr="004F3997">
        <w:rPr>
          <w:rFonts w:ascii="Arial" w:eastAsia="Calibri" w:hAnsi="Arial" w:cs="Arial"/>
          <w:bCs/>
          <w:color w:val="000000"/>
          <w:sz w:val="22"/>
          <w:lang w:val="es-ES_tradnl"/>
        </w:rPr>
        <w:t>,</w:t>
      </w:r>
      <w:r w:rsidRPr="004F3997">
        <w:rPr>
          <w:rFonts w:ascii="Arial" w:eastAsia="Calibri" w:hAnsi="Arial" w:cs="Arial"/>
          <w:bCs/>
          <w:color w:val="000000"/>
          <w:sz w:val="22"/>
          <w:lang w:val="es-ES_tradnl"/>
        </w:rPr>
        <w:t xml:space="preserve"> las entidades estatales obligadas a observar los documentos tipo deben definir los bienes nacionales que</w:t>
      </w:r>
      <w:r w:rsidR="00D96090" w:rsidRPr="004F3997">
        <w:rPr>
          <w:rFonts w:ascii="Arial" w:eastAsia="Calibri" w:hAnsi="Arial" w:cs="Arial"/>
          <w:bCs/>
          <w:color w:val="000000"/>
          <w:sz w:val="22"/>
          <w:lang w:val="es-ES_tradnl"/>
        </w:rPr>
        <w:t>,</w:t>
      </w:r>
      <w:r w:rsidRPr="004F3997">
        <w:rPr>
          <w:rFonts w:ascii="Arial" w:eastAsia="Calibri" w:hAnsi="Arial" w:cs="Arial"/>
          <w:bCs/>
          <w:color w:val="000000"/>
          <w:sz w:val="22"/>
          <w:lang w:val="es-ES_tradnl"/>
        </w:rPr>
        <w:t xml:space="preserve"> en cumplimiento de lo dispuesto en el Decreto 680 de 2021, son relevantes para considerar un servicio como nacional y, por tanto, para determinar la aplicabilidad del puntaje por apoyo a la industria nacional regulado por el artículo 2 de la Ley 816 de 2003.  Esta metodología, se reitera, solo es obligatoria para aquellos procesos de selección regidos por los documentos tipo</w:t>
      </w:r>
      <w:r w:rsidR="002B774C" w:rsidRPr="004F3997">
        <w:rPr>
          <w:rFonts w:ascii="Arial" w:eastAsia="Calibri" w:hAnsi="Arial" w:cs="Arial"/>
          <w:bCs/>
          <w:color w:val="000000"/>
          <w:sz w:val="22"/>
          <w:lang w:val="es-ES_tradnl"/>
        </w:rPr>
        <w:t xml:space="preserve"> </w:t>
      </w:r>
      <w:r w:rsidRPr="004F3997">
        <w:rPr>
          <w:rFonts w:ascii="Arial" w:eastAsia="Calibri" w:hAnsi="Arial" w:cs="Arial"/>
          <w:bCs/>
          <w:color w:val="000000"/>
          <w:sz w:val="22"/>
          <w:lang w:val="es-ES_tradnl"/>
        </w:rPr>
        <w:t xml:space="preserve">que </w:t>
      </w:r>
      <w:r w:rsidR="002B774C" w:rsidRPr="004F3997">
        <w:rPr>
          <w:rFonts w:ascii="Arial" w:eastAsia="Calibri" w:hAnsi="Arial" w:cs="Arial"/>
          <w:bCs/>
          <w:color w:val="000000"/>
          <w:sz w:val="22"/>
          <w:lang w:val="es-ES_tradnl"/>
        </w:rPr>
        <w:t xml:space="preserve">apliquen la </w:t>
      </w:r>
      <w:r w:rsidR="00981056" w:rsidRPr="004F3997">
        <w:rPr>
          <w:rFonts w:ascii="Arial" w:eastAsia="Calibri" w:hAnsi="Arial" w:cs="Arial"/>
          <w:bCs/>
          <w:color w:val="000000"/>
          <w:sz w:val="22"/>
          <w:lang w:val="es-ES_tradnl"/>
        </w:rPr>
        <w:t>«</w:t>
      </w:r>
      <w:r w:rsidR="002B774C" w:rsidRPr="004F3997">
        <w:rPr>
          <w:rFonts w:ascii="Arial" w:eastAsia="Calibri" w:hAnsi="Arial" w:cs="Arial"/>
          <w:bCs/>
          <w:color w:val="000000"/>
          <w:sz w:val="22"/>
          <w:lang w:val="es-ES_tradnl"/>
        </w:rPr>
        <w:t>Matriz</w:t>
      </w:r>
      <w:r w:rsidR="00981056" w:rsidRPr="004F3997">
        <w:rPr>
          <w:rFonts w:ascii="Arial" w:eastAsia="Calibri" w:hAnsi="Arial" w:cs="Arial"/>
          <w:bCs/>
          <w:color w:val="000000"/>
          <w:sz w:val="22"/>
          <w:lang w:val="es-ES_tradnl"/>
        </w:rPr>
        <w:t xml:space="preserve"> – Bienes Nacionales Relevantes»</w:t>
      </w:r>
      <w:r w:rsidRPr="004F3997">
        <w:rPr>
          <w:rFonts w:ascii="Arial" w:eastAsia="Calibri" w:hAnsi="Arial" w:cs="Arial"/>
          <w:bCs/>
          <w:color w:val="000000"/>
          <w:sz w:val="22"/>
          <w:lang w:val="es-ES_tradnl"/>
        </w:rPr>
        <w:t xml:space="preserve"> </w:t>
      </w:r>
      <w:r w:rsidR="00981056" w:rsidRPr="004F3997">
        <w:rPr>
          <w:rFonts w:ascii="Arial" w:eastAsia="Calibri" w:hAnsi="Arial" w:cs="Arial"/>
          <w:bCs/>
          <w:color w:val="000000"/>
          <w:sz w:val="22"/>
          <w:lang w:val="es-ES_tradnl"/>
        </w:rPr>
        <w:t>prevista en</w:t>
      </w:r>
      <w:r w:rsidRPr="004F3997">
        <w:rPr>
          <w:rFonts w:ascii="Arial" w:eastAsia="Calibri" w:hAnsi="Arial" w:cs="Arial"/>
          <w:bCs/>
          <w:color w:val="000000"/>
          <w:sz w:val="22"/>
          <w:lang w:val="es-ES_tradnl"/>
        </w:rPr>
        <w:t xml:space="preserve"> la Resolución 304 de 2021.</w:t>
      </w:r>
    </w:p>
    <w:p w14:paraId="5A26E1D4" w14:textId="478F36B6" w:rsidR="00693317" w:rsidRPr="004F3997" w:rsidRDefault="00981056" w:rsidP="00693317">
      <w:pPr>
        <w:tabs>
          <w:tab w:val="left" w:pos="709"/>
        </w:tabs>
        <w:spacing w:before="120" w:after="120" w:line="276" w:lineRule="auto"/>
        <w:jc w:val="both"/>
        <w:rPr>
          <w:rFonts w:ascii="Arial" w:hAnsi="Arial" w:cs="Arial"/>
          <w:color w:val="000000" w:themeColor="text1"/>
          <w:sz w:val="22"/>
        </w:rPr>
      </w:pPr>
      <w:r w:rsidRPr="004F3997">
        <w:rPr>
          <w:rFonts w:ascii="Arial" w:eastAsia="Calibri" w:hAnsi="Arial" w:cs="Arial"/>
          <w:bCs/>
          <w:color w:val="000000"/>
          <w:sz w:val="22"/>
          <w:lang w:val="es-ES_tradnl"/>
        </w:rPr>
        <w:tab/>
        <w:t xml:space="preserve">Ahora bien, </w:t>
      </w:r>
      <w:r w:rsidR="00D96090" w:rsidRPr="004F3997">
        <w:rPr>
          <w:rFonts w:ascii="Arial" w:eastAsia="Calibri" w:hAnsi="Arial" w:cs="Arial"/>
          <w:bCs/>
          <w:color w:val="000000"/>
          <w:sz w:val="22"/>
          <w:lang w:val="es-ES_tradnl"/>
        </w:rPr>
        <w:t xml:space="preserve">el peticionario </w:t>
      </w:r>
      <w:r w:rsidRPr="004F3997">
        <w:rPr>
          <w:rFonts w:ascii="Arial" w:eastAsia="Calibri" w:hAnsi="Arial" w:cs="Arial"/>
          <w:bCs/>
          <w:color w:val="000000"/>
          <w:sz w:val="22"/>
          <w:lang w:val="es-ES_tradnl"/>
        </w:rPr>
        <w:t>solicita a esta Agencia aclarar el paso número 6 de la metodología para la identificación de los bienes nacionales</w:t>
      </w:r>
      <w:r w:rsidR="00D96090" w:rsidRPr="004F3997">
        <w:rPr>
          <w:rFonts w:ascii="Arial" w:eastAsia="Calibri" w:hAnsi="Arial" w:cs="Arial"/>
          <w:bCs/>
          <w:color w:val="000000"/>
          <w:sz w:val="22"/>
          <w:lang w:val="es-ES_tradnl"/>
        </w:rPr>
        <w:t xml:space="preserve"> relevantes</w:t>
      </w:r>
      <w:r w:rsidRPr="004F3997">
        <w:rPr>
          <w:rFonts w:ascii="Arial" w:eastAsia="Calibri" w:hAnsi="Arial" w:cs="Arial"/>
          <w:bCs/>
          <w:color w:val="000000"/>
          <w:sz w:val="22"/>
          <w:lang w:val="es-ES_tradnl"/>
        </w:rPr>
        <w:t>,</w:t>
      </w:r>
      <w:r w:rsidRPr="004F3997">
        <w:rPr>
          <w:rFonts w:ascii="Arial" w:hAnsi="Arial" w:cs="Arial"/>
          <w:color w:val="000000" w:themeColor="text1"/>
          <w:sz w:val="22"/>
        </w:rPr>
        <w:t xml:space="preserve"> pues</w:t>
      </w:r>
      <w:r w:rsidR="00D96090" w:rsidRPr="004F3997">
        <w:rPr>
          <w:rFonts w:ascii="Arial" w:hAnsi="Arial" w:cs="Arial"/>
          <w:color w:val="000000" w:themeColor="text1"/>
          <w:sz w:val="22"/>
        </w:rPr>
        <w:t>, en su concepto,</w:t>
      </w:r>
      <w:r w:rsidRPr="004F3997">
        <w:rPr>
          <w:rFonts w:ascii="Arial" w:hAnsi="Arial" w:cs="Arial"/>
          <w:color w:val="000000" w:themeColor="text1"/>
          <w:sz w:val="22"/>
        </w:rPr>
        <w:t xml:space="preserve"> no es claro si los bienes relevantes son aquellos que están entre el 80% y el 100% del acumulado; o si por el contrario son aquellos que están por debajo del 80%. </w:t>
      </w:r>
    </w:p>
    <w:p w14:paraId="17D130C1" w14:textId="57D0694E" w:rsidR="00374786" w:rsidRPr="004F3997" w:rsidRDefault="00981056" w:rsidP="00693317">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0000" w:themeColor="text1"/>
          <w:sz w:val="22"/>
        </w:rPr>
        <w:tab/>
        <w:t xml:space="preserve">En respuesta a su pregunta, se aclara que en el paso número 6 la entidad estatal debe seleccionar todos aquellos bienes que se encuentren por debajo del 80% del </w:t>
      </w:r>
      <w:r w:rsidRPr="004F3997">
        <w:rPr>
          <w:rFonts w:ascii="Arial" w:hAnsi="Arial" w:cs="Arial"/>
          <w:b/>
          <w:bCs/>
          <w:i/>
          <w:iCs/>
          <w:color w:val="000000" w:themeColor="text1"/>
          <w:sz w:val="22"/>
        </w:rPr>
        <w:t>porcentaje acumulado</w:t>
      </w:r>
      <w:r w:rsidR="00374786" w:rsidRPr="004F3997">
        <w:rPr>
          <w:rFonts w:ascii="Arial" w:hAnsi="Arial" w:cs="Arial"/>
          <w:color w:val="000000" w:themeColor="text1"/>
          <w:sz w:val="22"/>
        </w:rPr>
        <w:t xml:space="preserve">, y sobre estos se deberá aplicar el paso número 7. A modo de ejemplo, si el porcentaje acumulado de un bien </w:t>
      </w:r>
      <w:r w:rsidR="00D96090" w:rsidRPr="004F3997">
        <w:rPr>
          <w:rFonts w:ascii="Arial" w:hAnsi="Arial" w:cs="Arial"/>
          <w:color w:val="000000" w:themeColor="text1"/>
          <w:sz w:val="22"/>
        </w:rPr>
        <w:t xml:space="preserve">llega al </w:t>
      </w:r>
      <w:r w:rsidR="00374786" w:rsidRPr="004F3997">
        <w:rPr>
          <w:rFonts w:ascii="Arial" w:hAnsi="Arial" w:cs="Arial"/>
          <w:color w:val="000000" w:themeColor="text1"/>
          <w:sz w:val="22"/>
        </w:rPr>
        <w:t>79%, la entidad estatal deberá utilizarlo para calcular el promedio del paso número 7 y</w:t>
      </w:r>
      <w:r w:rsidR="00D96090" w:rsidRPr="004F3997">
        <w:rPr>
          <w:rFonts w:ascii="Arial" w:hAnsi="Arial" w:cs="Arial"/>
          <w:color w:val="000000" w:themeColor="text1"/>
          <w:sz w:val="22"/>
        </w:rPr>
        <w:t>,</w:t>
      </w:r>
      <w:r w:rsidR="00374786" w:rsidRPr="004F3997">
        <w:rPr>
          <w:rFonts w:ascii="Arial" w:hAnsi="Arial" w:cs="Arial"/>
          <w:color w:val="000000" w:themeColor="text1"/>
          <w:sz w:val="22"/>
        </w:rPr>
        <w:t xml:space="preserve"> por el contrario, si el porcentaje acumulado de un bien </w:t>
      </w:r>
      <w:r w:rsidR="001F4875" w:rsidRPr="004F3997">
        <w:rPr>
          <w:rFonts w:ascii="Arial" w:hAnsi="Arial" w:cs="Arial"/>
          <w:color w:val="000000" w:themeColor="text1"/>
          <w:sz w:val="22"/>
        </w:rPr>
        <w:t>asciende al</w:t>
      </w:r>
      <w:r w:rsidR="00374786" w:rsidRPr="004F3997">
        <w:rPr>
          <w:rFonts w:ascii="Arial" w:hAnsi="Arial" w:cs="Arial"/>
          <w:color w:val="000000" w:themeColor="text1"/>
          <w:sz w:val="22"/>
        </w:rPr>
        <w:t xml:space="preserve"> 80,1% la entidad deberá descartarlo del análisis, pues supera el porcentaje establecido en la metodología. </w:t>
      </w:r>
      <w:r w:rsidR="00D96090" w:rsidRPr="004F3997">
        <w:rPr>
          <w:rFonts w:ascii="Arial" w:hAnsi="Arial" w:cs="Arial"/>
          <w:color w:val="000000" w:themeColor="text1"/>
          <w:sz w:val="22"/>
        </w:rPr>
        <w:t xml:space="preserve">De esta manera, los bienes nacionales relevantes serán aquellos cuyo </w:t>
      </w:r>
      <w:r w:rsidR="00603356" w:rsidRPr="004F3997">
        <w:rPr>
          <w:rFonts w:ascii="Arial" w:hAnsi="Arial" w:cs="Arial"/>
          <w:color w:val="000000" w:themeColor="text1"/>
          <w:sz w:val="22"/>
        </w:rPr>
        <w:t>porcentaje acumulado esté dentro del 80%, de acuerdo con la metodología establecida.</w:t>
      </w:r>
    </w:p>
    <w:p w14:paraId="6CF73291" w14:textId="4058EF3C" w:rsidR="003B2024" w:rsidRPr="004F3997" w:rsidRDefault="00370E11" w:rsidP="00693317">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0000" w:themeColor="text1"/>
          <w:sz w:val="22"/>
        </w:rPr>
        <w:tab/>
        <w:t xml:space="preserve">Sin embargo, es importante mencionar que la Agencia Nacional de Contratación Pública – Colombia Compra Eficiente </w:t>
      </w:r>
      <w:r w:rsidR="001A4637" w:rsidRPr="004F3997">
        <w:rPr>
          <w:rFonts w:ascii="Arial" w:hAnsi="Arial" w:cs="Arial"/>
          <w:color w:val="000000" w:themeColor="text1"/>
          <w:sz w:val="22"/>
        </w:rPr>
        <w:t xml:space="preserve">adoptó </w:t>
      </w:r>
      <w:r w:rsidR="00120C3E" w:rsidRPr="004F3997">
        <w:rPr>
          <w:rFonts w:ascii="Arial" w:hAnsi="Arial" w:cs="Arial"/>
          <w:color w:val="000000" w:themeColor="text1"/>
          <w:sz w:val="22"/>
        </w:rPr>
        <w:t xml:space="preserve">el Aplicativo de Consulta de Bien Nacional Relevante, </w:t>
      </w:r>
      <w:r w:rsidR="00E9713C" w:rsidRPr="004F3997">
        <w:rPr>
          <w:rFonts w:ascii="Arial" w:hAnsi="Arial" w:cs="Arial"/>
          <w:color w:val="000000" w:themeColor="text1"/>
          <w:sz w:val="22"/>
        </w:rPr>
        <w:t xml:space="preserve">que es una herramienta web de uso facultativo para que cualquier persona interesada pueda aplicar la metodología de la Resolución 304 de 2021 de una forma fácil y </w:t>
      </w:r>
      <w:r w:rsidR="00E9713C" w:rsidRPr="004F3997">
        <w:rPr>
          <w:rFonts w:ascii="Arial" w:hAnsi="Arial" w:cs="Arial"/>
          <w:color w:val="000000" w:themeColor="text1"/>
          <w:sz w:val="22"/>
        </w:rPr>
        <w:lastRenderedPageBreak/>
        <w:t xml:space="preserve">expedita. Para esto, el usuario deberá ingresar en una tabla de Excel </w:t>
      </w:r>
      <w:r w:rsidR="00DF7140" w:rsidRPr="004F3997">
        <w:rPr>
          <w:rFonts w:ascii="Arial" w:hAnsi="Arial" w:cs="Arial"/>
          <w:color w:val="000000" w:themeColor="text1"/>
          <w:sz w:val="22"/>
        </w:rPr>
        <w:t>–</w:t>
      </w:r>
      <w:r w:rsidR="00E9713C" w:rsidRPr="004F3997">
        <w:rPr>
          <w:rFonts w:ascii="Arial" w:hAnsi="Arial" w:cs="Arial"/>
          <w:color w:val="000000" w:themeColor="text1"/>
          <w:sz w:val="22"/>
        </w:rPr>
        <w:t>.CSV</w:t>
      </w:r>
      <w:r w:rsidR="00DF7140" w:rsidRPr="004F3997">
        <w:rPr>
          <w:rFonts w:ascii="Arial" w:hAnsi="Arial" w:cs="Arial"/>
          <w:color w:val="000000" w:themeColor="text1"/>
          <w:sz w:val="22"/>
        </w:rPr>
        <w:t>–:</w:t>
      </w:r>
      <w:r w:rsidR="00E9713C" w:rsidRPr="004F3997">
        <w:rPr>
          <w:rFonts w:ascii="Arial" w:hAnsi="Arial" w:cs="Arial"/>
          <w:color w:val="000000" w:themeColor="text1"/>
          <w:sz w:val="22"/>
        </w:rPr>
        <w:t xml:space="preserve"> </w:t>
      </w:r>
      <w:r w:rsidR="00120C3E" w:rsidRPr="004F3997">
        <w:rPr>
          <w:rFonts w:ascii="Arial" w:hAnsi="Arial" w:cs="Arial"/>
          <w:color w:val="000000" w:themeColor="text1"/>
          <w:sz w:val="22"/>
        </w:rPr>
        <w:t>i) la descripción de los bienes, ii) su valor unitario y, iii) la cantidad de unidades requeridas</w:t>
      </w:r>
      <w:r w:rsidR="00E9713C" w:rsidRPr="004F3997">
        <w:rPr>
          <w:rFonts w:ascii="Arial" w:hAnsi="Arial" w:cs="Arial"/>
          <w:color w:val="000000" w:themeColor="text1"/>
          <w:sz w:val="22"/>
        </w:rPr>
        <w:t>, para que</w:t>
      </w:r>
      <w:r w:rsidR="00120C3E" w:rsidRPr="004F3997">
        <w:rPr>
          <w:rFonts w:ascii="Arial" w:hAnsi="Arial" w:cs="Arial"/>
          <w:color w:val="000000" w:themeColor="text1"/>
          <w:sz w:val="22"/>
        </w:rPr>
        <w:t xml:space="preserve"> de manera automática</w:t>
      </w:r>
      <w:r w:rsidR="00E9713C" w:rsidRPr="004F3997">
        <w:rPr>
          <w:rFonts w:ascii="Arial" w:hAnsi="Arial" w:cs="Arial"/>
          <w:color w:val="000000" w:themeColor="text1"/>
          <w:sz w:val="22"/>
        </w:rPr>
        <w:t xml:space="preserve"> el aplicativo identifique</w:t>
      </w:r>
      <w:r w:rsidR="00120C3E" w:rsidRPr="004F3997">
        <w:rPr>
          <w:rFonts w:ascii="Arial" w:hAnsi="Arial" w:cs="Arial"/>
          <w:color w:val="000000" w:themeColor="text1"/>
          <w:sz w:val="22"/>
        </w:rPr>
        <w:t xml:space="preserve"> los bienes relevantes del proceso de contratación. </w:t>
      </w:r>
      <w:r w:rsidR="003B2024" w:rsidRPr="004F3997">
        <w:rPr>
          <w:rFonts w:ascii="Arial" w:hAnsi="Arial" w:cs="Arial"/>
          <w:color w:val="000000" w:themeColor="text1"/>
          <w:sz w:val="22"/>
        </w:rPr>
        <w:t>Una vez realizado este cálculo, el usuario podrá remitirse al Registro de Productores de Bienes Nacionales para verificar si los bienes relevantes son nacionales, y en caso de serlo, ingresar l</w:t>
      </w:r>
      <w:r w:rsidR="00671156" w:rsidRPr="004F3997">
        <w:rPr>
          <w:rFonts w:ascii="Arial" w:hAnsi="Arial" w:cs="Arial"/>
          <w:color w:val="000000" w:themeColor="text1"/>
          <w:sz w:val="22"/>
        </w:rPr>
        <w:t>a información</w:t>
      </w:r>
      <w:r w:rsidR="003B2024" w:rsidRPr="004F3997">
        <w:rPr>
          <w:rFonts w:ascii="Arial" w:hAnsi="Arial" w:cs="Arial"/>
          <w:color w:val="000000" w:themeColor="text1"/>
          <w:sz w:val="22"/>
        </w:rPr>
        <w:t xml:space="preserve"> de los bienes registrados para obtener el puntaje de industria nacional que corresponde a cada uno de estos.</w:t>
      </w:r>
      <w:r w:rsidR="00671156" w:rsidRPr="004F3997">
        <w:rPr>
          <w:rFonts w:ascii="Arial" w:hAnsi="Arial" w:cs="Arial"/>
          <w:color w:val="000000" w:themeColor="text1"/>
          <w:sz w:val="22"/>
        </w:rPr>
        <w:t xml:space="preserve"> </w:t>
      </w:r>
      <w:r w:rsidR="003B2024" w:rsidRPr="004F3997">
        <w:rPr>
          <w:rFonts w:ascii="Arial" w:hAnsi="Arial" w:cs="Arial"/>
          <w:color w:val="000000" w:themeColor="text1"/>
          <w:sz w:val="22"/>
        </w:rPr>
        <w:t xml:space="preserve">El Aplicativo de Consulta de Bien Nacional Relevante lo podrá consultar en el siguiente enlace: </w:t>
      </w:r>
      <w:hyperlink r:id="rId14" w:history="1">
        <w:r w:rsidR="003B2024" w:rsidRPr="004F3997">
          <w:rPr>
            <w:rStyle w:val="Hipervnculo"/>
            <w:rFonts w:ascii="Arial" w:hAnsi="Arial" w:cs="Arial"/>
            <w:color w:val="0070C0"/>
            <w:sz w:val="22"/>
          </w:rPr>
          <w:t>https://bienesrelevantes.colombiacompra.gov.co/</w:t>
        </w:r>
      </w:hyperlink>
    </w:p>
    <w:p w14:paraId="11F0DA09" w14:textId="29860B3D" w:rsidR="00E1582C" w:rsidRPr="004F3997" w:rsidRDefault="00374786" w:rsidP="00693317">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0000" w:themeColor="text1"/>
          <w:sz w:val="22"/>
        </w:rPr>
        <w:tab/>
        <w:t xml:space="preserve">Por otro lado, usted </w:t>
      </w:r>
      <w:r w:rsidR="00370E11" w:rsidRPr="004F3997">
        <w:rPr>
          <w:rFonts w:ascii="Arial" w:hAnsi="Arial" w:cs="Arial"/>
          <w:color w:val="000000" w:themeColor="text1"/>
          <w:sz w:val="22"/>
        </w:rPr>
        <w:t xml:space="preserve">solicita </w:t>
      </w:r>
      <w:r w:rsidRPr="004F3997">
        <w:rPr>
          <w:rFonts w:ascii="Arial" w:hAnsi="Arial" w:cs="Arial"/>
          <w:color w:val="000000" w:themeColor="text1"/>
          <w:sz w:val="22"/>
        </w:rPr>
        <w:t xml:space="preserve">a Colombia Compra Eficiente indicar cómo obtener los certificados de bienes relevantes. </w:t>
      </w:r>
      <w:r w:rsidR="00E1582C" w:rsidRPr="004F3997">
        <w:rPr>
          <w:rFonts w:ascii="Arial" w:hAnsi="Arial" w:cs="Arial"/>
          <w:color w:val="000000" w:themeColor="text1"/>
          <w:sz w:val="22"/>
        </w:rPr>
        <w:t xml:space="preserve">Al respecto, vale la pena aclarar que a la fecha no existe un certificado de bienes relevantes. Sin embargo, tal como lo establece la Resolución 304 de 2021, para verificar que el bien ofertado es nacional, la entidad estatal deberá acceder al Registro de Productores de Bienes Nacionales y verificar que el bien está registrado en dicha plataforma. Este registro se encuentra </w:t>
      </w:r>
      <w:r w:rsidR="000751FF" w:rsidRPr="004F3997">
        <w:rPr>
          <w:rFonts w:ascii="Arial" w:hAnsi="Arial" w:cs="Arial"/>
          <w:color w:val="000000" w:themeColor="text1"/>
          <w:sz w:val="22"/>
        </w:rPr>
        <w:t xml:space="preserve">en </w:t>
      </w:r>
      <w:r w:rsidR="00E1582C" w:rsidRPr="004F3997">
        <w:rPr>
          <w:rFonts w:ascii="Arial" w:hAnsi="Arial" w:cs="Arial"/>
          <w:color w:val="000000" w:themeColor="text1"/>
          <w:sz w:val="22"/>
        </w:rPr>
        <w:t xml:space="preserve">el siguiente enlace: </w:t>
      </w:r>
      <w:r w:rsidR="000751FF" w:rsidRPr="004F3997">
        <w:rPr>
          <w:rFonts w:ascii="Arial" w:hAnsi="Arial" w:cs="Arial"/>
          <w:color w:val="000000" w:themeColor="text1"/>
          <w:sz w:val="22"/>
        </w:rPr>
        <w:t>http://pbn.vuce.gov.co/consultas/index.php.</w:t>
      </w:r>
      <w:r w:rsidR="00DF7140" w:rsidRPr="004F3997">
        <w:rPr>
          <w:rFonts w:ascii="Arial" w:hAnsi="Arial" w:cs="Arial"/>
          <w:color w:val="000000" w:themeColor="text1"/>
          <w:sz w:val="22"/>
        </w:rPr>
        <w:t xml:space="preserve"> </w:t>
      </w:r>
    </w:p>
    <w:p w14:paraId="74580DEF" w14:textId="1669FEF4" w:rsidR="00E9713C" w:rsidRPr="004F3997" w:rsidRDefault="00E1582C" w:rsidP="004F3997">
      <w:pPr>
        <w:tabs>
          <w:tab w:val="left" w:pos="709"/>
        </w:tabs>
        <w:spacing w:after="120" w:line="276" w:lineRule="auto"/>
        <w:jc w:val="both"/>
        <w:rPr>
          <w:rFonts w:ascii="Arial" w:hAnsi="Arial" w:cs="Arial"/>
          <w:color w:val="000000" w:themeColor="text1"/>
          <w:sz w:val="22"/>
        </w:rPr>
      </w:pPr>
      <w:r w:rsidRPr="004F3997">
        <w:rPr>
          <w:rFonts w:ascii="Arial" w:hAnsi="Arial" w:cs="Arial"/>
          <w:color w:val="0070C0"/>
          <w:sz w:val="22"/>
        </w:rPr>
        <w:tab/>
      </w:r>
      <w:r w:rsidRPr="004F3997">
        <w:rPr>
          <w:rFonts w:ascii="Arial" w:hAnsi="Arial" w:cs="Arial"/>
          <w:color w:val="000000" w:themeColor="text1"/>
          <w:sz w:val="22"/>
        </w:rPr>
        <w:t xml:space="preserve">De esta manera, con el fin de acreditar que el bien se encuentra </w:t>
      </w:r>
      <w:r w:rsidR="00370E11" w:rsidRPr="004F3997">
        <w:rPr>
          <w:rFonts w:ascii="Arial" w:hAnsi="Arial" w:cs="Arial"/>
          <w:color w:val="000000" w:themeColor="text1"/>
          <w:sz w:val="22"/>
        </w:rPr>
        <w:t xml:space="preserve">en el Registro de Productores de Bienes Nacionales, la entidad estatal o cualquier interesado podrá, desde la plataforma, descargar una hoja de Excel o PDF en la que consta si el bien se encuentra registrado, así como la fecha de vencimiento del registro. </w:t>
      </w:r>
      <w:r w:rsidR="003B2024" w:rsidRPr="004F3997">
        <w:rPr>
          <w:rFonts w:ascii="Arial" w:hAnsi="Arial" w:cs="Arial"/>
          <w:color w:val="000000" w:themeColor="text1"/>
          <w:sz w:val="22"/>
        </w:rPr>
        <w:t xml:space="preserve">Para </w:t>
      </w:r>
      <w:r w:rsidR="00E9713C" w:rsidRPr="004F3997">
        <w:rPr>
          <w:rFonts w:ascii="Arial" w:hAnsi="Arial" w:cs="Arial"/>
          <w:color w:val="000000" w:themeColor="text1"/>
          <w:sz w:val="22"/>
        </w:rPr>
        <w:t>más información</w:t>
      </w:r>
      <w:r w:rsidR="003B2024" w:rsidRPr="004F3997">
        <w:rPr>
          <w:rFonts w:ascii="Arial" w:hAnsi="Arial" w:cs="Arial"/>
          <w:color w:val="000000" w:themeColor="text1"/>
          <w:sz w:val="22"/>
        </w:rPr>
        <w:t xml:space="preserve"> sobre el funcionamiento del Registro de Productores de Bienes Nacionales, sugerimos remitirse al Ministerio </w:t>
      </w:r>
      <w:r w:rsidR="00E9713C" w:rsidRPr="004F3997">
        <w:rPr>
          <w:rFonts w:ascii="Arial" w:hAnsi="Arial" w:cs="Arial"/>
          <w:color w:val="000000" w:themeColor="text1"/>
          <w:sz w:val="22"/>
        </w:rPr>
        <w:t xml:space="preserve">de Comercio, Industria y Turismo, que es el ente que administra esta plataforma. </w:t>
      </w:r>
    </w:p>
    <w:p w14:paraId="29317052" w14:textId="77777777" w:rsidR="00E9713C" w:rsidRPr="004F3997" w:rsidRDefault="00E9713C" w:rsidP="004F3997">
      <w:pPr>
        <w:tabs>
          <w:tab w:val="left" w:pos="709"/>
        </w:tabs>
        <w:spacing w:line="276" w:lineRule="auto"/>
        <w:jc w:val="both"/>
        <w:rPr>
          <w:rFonts w:ascii="Arial" w:hAnsi="Arial" w:cs="Arial"/>
          <w:color w:val="000000" w:themeColor="text1"/>
          <w:sz w:val="22"/>
        </w:rPr>
      </w:pPr>
    </w:p>
    <w:p w14:paraId="6F5967EC" w14:textId="2FC0456C" w:rsidR="00347B31" w:rsidRPr="004F3997" w:rsidRDefault="00592C46" w:rsidP="001D565A">
      <w:pPr>
        <w:jc w:val="both"/>
        <w:rPr>
          <w:rFonts w:ascii="Arial" w:hAnsi="Arial" w:cs="Arial"/>
          <w:b/>
          <w:color w:val="000000" w:themeColor="text1"/>
          <w:sz w:val="22"/>
        </w:rPr>
      </w:pPr>
      <w:r w:rsidRPr="004F3997">
        <w:rPr>
          <w:rFonts w:ascii="Arial" w:hAnsi="Arial" w:cs="Arial"/>
          <w:b/>
          <w:color w:val="000000" w:themeColor="text1"/>
          <w:sz w:val="22"/>
        </w:rPr>
        <w:t xml:space="preserve">3. </w:t>
      </w:r>
      <w:r w:rsidR="00347B31" w:rsidRPr="004F3997">
        <w:rPr>
          <w:rFonts w:ascii="Arial" w:hAnsi="Arial" w:cs="Arial"/>
          <w:b/>
          <w:color w:val="000000" w:themeColor="text1"/>
          <w:sz w:val="22"/>
        </w:rPr>
        <w:t>Respuesta</w:t>
      </w:r>
      <w:r w:rsidR="00916C70" w:rsidRPr="004F3997">
        <w:rPr>
          <w:rFonts w:ascii="Arial" w:hAnsi="Arial" w:cs="Arial"/>
          <w:b/>
          <w:color w:val="000000" w:themeColor="text1"/>
          <w:sz w:val="22"/>
        </w:rPr>
        <w:t>s</w:t>
      </w:r>
    </w:p>
    <w:p w14:paraId="2E0E5394" w14:textId="77777777" w:rsidR="00886D12" w:rsidRPr="004F3997" w:rsidRDefault="00886D12" w:rsidP="004E0F28">
      <w:pPr>
        <w:pStyle w:val="Prrafodelista"/>
        <w:tabs>
          <w:tab w:val="left" w:pos="426"/>
        </w:tabs>
        <w:ind w:left="360"/>
        <w:jc w:val="both"/>
        <w:rPr>
          <w:rFonts w:ascii="Arial" w:eastAsia="Calibri" w:hAnsi="Arial" w:cs="Arial"/>
          <w:color w:val="000000" w:themeColor="text1"/>
          <w:sz w:val="22"/>
        </w:rPr>
      </w:pPr>
    </w:p>
    <w:p w14:paraId="43B5B354" w14:textId="77777777" w:rsidR="00522A4C" w:rsidRPr="004F3997" w:rsidRDefault="008A5A9C" w:rsidP="00522A4C">
      <w:pPr>
        <w:tabs>
          <w:tab w:val="left" w:pos="426"/>
        </w:tabs>
        <w:ind w:left="709" w:right="709"/>
        <w:jc w:val="both"/>
        <w:rPr>
          <w:rFonts w:ascii="Arial" w:hAnsi="Arial" w:cs="Arial"/>
          <w:color w:val="000000" w:themeColor="text1"/>
          <w:sz w:val="21"/>
          <w:szCs w:val="21"/>
        </w:rPr>
      </w:pPr>
      <w:r w:rsidRPr="004F3997">
        <w:rPr>
          <w:rFonts w:ascii="Arial" w:eastAsia="Calibri" w:hAnsi="Arial" w:cs="Arial"/>
          <w:color w:val="000000" w:themeColor="text1"/>
          <w:sz w:val="21"/>
          <w:szCs w:val="21"/>
        </w:rPr>
        <w:t>«</w:t>
      </w:r>
      <w:r w:rsidR="00522A4C" w:rsidRPr="004F3997">
        <w:rPr>
          <w:rFonts w:ascii="Arial" w:hAnsi="Arial" w:cs="Arial"/>
          <w:color w:val="000000" w:themeColor="text1"/>
          <w:sz w:val="21"/>
          <w:szCs w:val="21"/>
        </w:rPr>
        <w:t>«[…] solicito se me aclara (sic) la expresión "6. Identificar los bienes o insumos cuyo porcentaje acumulado esté dentro del ochenta por ciento (80%) o un valor aproximado por debajo" de la matriz 4 de los pliegos tipo, lo anterior porque no es claro si los bienes relevantes son aquellos que están entre el 80% y el 100% del acumulado; o si por el contrario son aquellos que están por debajo del 80%».</w:t>
      </w:r>
    </w:p>
    <w:p w14:paraId="2CAD752F" w14:textId="7F2B927E" w:rsidR="00522A4C" w:rsidRPr="004F3997" w:rsidRDefault="00522A4C" w:rsidP="00522A4C">
      <w:pPr>
        <w:tabs>
          <w:tab w:val="left" w:pos="426"/>
        </w:tabs>
        <w:ind w:right="709"/>
        <w:jc w:val="both"/>
        <w:rPr>
          <w:rFonts w:ascii="Arial" w:hAnsi="Arial" w:cs="Arial"/>
          <w:color w:val="000000" w:themeColor="text1"/>
          <w:sz w:val="21"/>
          <w:szCs w:val="21"/>
        </w:rPr>
      </w:pPr>
    </w:p>
    <w:p w14:paraId="50D2C76D" w14:textId="26B52F2E" w:rsidR="00522A4C" w:rsidRPr="004F3997" w:rsidRDefault="00522A4C" w:rsidP="00522A4C">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0000" w:themeColor="text1"/>
          <w:sz w:val="22"/>
        </w:rPr>
        <w:t xml:space="preserve">En el paso número 6 de la metodología para la identificación de bienes nacionales relevantes, la entidad estatal debe seleccionar todos aquellos bienes que se encuentren por debajo del 80% del </w:t>
      </w:r>
      <w:r w:rsidRPr="004F3997">
        <w:rPr>
          <w:rFonts w:ascii="Arial" w:hAnsi="Arial" w:cs="Arial"/>
          <w:b/>
          <w:bCs/>
          <w:i/>
          <w:iCs/>
          <w:color w:val="000000" w:themeColor="text1"/>
          <w:sz w:val="22"/>
        </w:rPr>
        <w:t>porcentaje acumulado</w:t>
      </w:r>
      <w:r w:rsidRPr="004F3997">
        <w:rPr>
          <w:rFonts w:ascii="Arial" w:hAnsi="Arial" w:cs="Arial"/>
          <w:color w:val="000000" w:themeColor="text1"/>
          <w:sz w:val="22"/>
        </w:rPr>
        <w:t xml:space="preserve">, y sobre estos se deberá aplicar el paso número 7. A modo de ejemplo, si el porcentaje acumulado de un bien </w:t>
      </w:r>
      <w:r w:rsidR="001D565A" w:rsidRPr="004F3997">
        <w:rPr>
          <w:rFonts w:ascii="Arial" w:hAnsi="Arial" w:cs="Arial"/>
          <w:color w:val="000000" w:themeColor="text1"/>
          <w:sz w:val="22"/>
        </w:rPr>
        <w:t xml:space="preserve">llega al </w:t>
      </w:r>
      <w:r w:rsidRPr="004F3997">
        <w:rPr>
          <w:rFonts w:ascii="Arial" w:hAnsi="Arial" w:cs="Arial"/>
          <w:color w:val="000000" w:themeColor="text1"/>
          <w:sz w:val="22"/>
        </w:rPr>
        <w:t>79%, la entidad estatal deberá utilizarlo para calcular el promedio del paso número 7 y</w:t>
      </w:r>
      <w:r w:rsidR="001D565A" w:rsidRPr="004F3997">
        <w:rPr>
          <w:rFonts w:ascii="Arial" w:hAnsi="Arial" w:cs="Arial"/>
          <w:color w:val="000000" w:themeColor="text1"/>
          <w:sz w:val="22"/>
        </w:rPr>
        <w:t>,</w:t>
      </w:r>
      <w:r w:rsidRPr="004F3997">
        <w:rPr>
          <w:rFonts w:ascii="Arial" w:hAnsi="Arial" w:cs="Arial"/>
          <w:color w:val="000000" w:themeColor="text1"/>
          <w:sz w:val="22"/>
        </w:rPr>
        <w:t xml:space="preserve"> por el contrario, si el porcentaje acumulado de un bien </w:t>
      </w:r>
      <w:r w:rsidR="001F4875" w:rsidRPr="004F3997">
        <w:rPr>
          <w:rFonts w:ascii="Arial" w:hAnsi="Arial" w:cs="Arial"/>
          <w:color w:val="000000" w:themeColor="text1"/>
          <w:sz w:val="22"/>
        </w:rPr>
        <w:t>llega al</w:t>
      </w:r>
      <w:r w:rsidRPr="004F3997">
        <w:rPr>
          <w:rFonts w:ascii="Arial" w:hAnsi="Arial" w:cs="Arial"/>
          <w:color w:val="000000" w:themeColor="text1"/>
          <w:sz w:val="22"/>
        </w:rPr>
        <w:t xml:space="preserve"> 80,1% la entidad deberá descartarlo del análisis, pues supera el porcentaje establecido en la metodología. </w:t>
      </w:r>
      <w:r w:rsidR="001D565A" w:rsidRPr="004F3997">
        <w:rPr>
          <w:rFonts w:ascii="Arial" w:hAnsi="Arial" w:cs="Arial"/>
          <w:color w:val="000000" w:themeColor="text1"/>
          <w:sz w:val="22"/>
        </w:rPr>
        <w:t>De esta manera, los bienes nacionales relevantes serán aquellos cuyo porcentaje acumulado esté dentro del 80%, de acuerdo con la metodología establecida.</w:t>
      </w:r>
    </w:p>
    <w:p w14:paraId="459FF74A" w14:textId="1843223A" w:rsidR="00522A4C" w:rsidRPr="004F3997" w:rsidRDefault="00522A4C" w:rsidP="00423F17">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0000" w:themeColor="text1"/>
          <w:sz w:val="22"/>
        </w:rPr>
        <w:lastRenderedPageBreak/>
        <w:tab/>
        <w:t xml:space="preserve">Sin embargo, es importante mencionar que la Agencia Nacional de Contratación Pública – Colombia Compra Eficiente </w:t>
      </w:r>
      <w:r w:rsidR="001A4637" w:rsidRPr="004F3997">
        <w:rPr>
          <w:rFonts w:ascii="Arial" w:hAnsi="Arial" w:cs="Arial"/>
          <w:color w:val="000000" w:themeColor="text1"/>
          <w:sz w:val="22"/>
        </w:rPr>
        <w:t xml:space="preserve">adoptó </w:t>
      </w:r>
      <w:r w:rsidRPr="004F3997">
        <w:rPr>
          <w:rFonts w:ascii="Arial" w:hAnsi="Arial" w:cs="Arial"/>
          <w:color w:val="000000" w:themeColor="text1"/>
          <w:sz w:val="22"/>
        </w:rPr>
        <w:t xml:space="preserve">el Aplicativo de Consulta de Bien Nacional Relevante, que es una herramienta web de uso facultativo para que cualquier persona interesada pueda aplicar la metodología de la Resolución 304 de 2021 de una forma fácil y expedita. Para esto, el usuario deberá ingresar en una tabla de Excel </w:t>
      </w:r>
      <w:r w:rsidR="008217E5" w:rsidRPr="004F3997">
        <w:rPr>
          <w:rFonts w:ascii="Arial" w:hAnsi="Arial" w:cs="Arial"/>
          <w:color w:val="000000" w:themeColor="text1"/>
          <w:sz w:val="22"/>
        </w:rPr>
        <w:t>–</w:t>
      </w:r>
      <w:r w:rsidRPr="004F3997">
        <w:rPr>
          <w:rFonts w:ascii="Arial" w:hAnsi="Arial" w:cs="Arial"/>
          <w:color w:val="000000" w:themeColor="text1"/>
          <w:sz w:val="22"/>
        </w:rPr>
        <w:t>.CSV</w:t>
      </w:r>
      <w:r w:rsidR="008217E5" w:rsidRPr="004F3997">
        <w:rPr>
          <w:rFonts w:ascii="Arial" w:hAnsi="Arial" w:cs="Arial"/>
          <w:color w:val="000000" w:themeColor="text1"/>
          <w:sz w:val="22"/>
        </w:rPr>
        <w:t>–:</w:t>
      </w:r>
      <w:r w:rsidRPr="004F3997">
        <w:rPr>
          <w:rFonts w:ascii="Arial" w:hAnsi="Arial" w:cs="Arial"/>
          <w:color w:val="000000" w:themeColor="text1"/>
          <w:sz w:val="22"/>
        </w:rPr>
        <w:t xml:space="preserve"> i) la descripción de los bienes, ii) su valor unitario y, iii) la cantidad de unidades requeridas, para que de manera automática el aplicativo identifique los bienes relevantes del proceso de contratación. Una vez realizado este cálculo, el usuario podrá remitirse al Registro de Productores de Bienes Nacionales para verificar si los bienes relevantes son nacionales, y en caso de serlo, ingresar la información de los bienes registrados para obtener el puntaje de industria nacional que corresponde a cada uno de estos. El Aplicativo de Consulta de Bien Nacional Relevante lo podrá consultar en el siguiente enlace: </w:t>
      </w:r>
      <w:hyperlink r:id="rId15" w:history="1">
        <w:r w:rsidRPr="004F3997">
          <w:rPr>
            <w:rStyle w:val="Hipervnculo"/>
            <w:rFonts w:ascii="Arial" w:hAnsi="Arial" w:cs="Arial"/>
            <w:color w:val="0070C0"/>
            <w:sz w:val="22"/>
          </w:rPr>
          <w:t>https://bienesrelevantes.colombiacompra.gov.co/</w:t>
        </w:r>
      </w:hyperlink>
    </w:p>
    <w:p w14:paraId="0EB09B66" w14:textId="77777777" w:rsidR="00522A4C" w:rsidRPr="004F3997" w:rsidRDefault="00522A4C" w:rsidP="00522A4C">
      <w:pPr>
        <w:tabs>
          <w:tab w:val="left" w:pos="426"/>
        </w:tabs>
        <w:ind w:left="709" w:right="709"/>
        <w:jc w:val="both"/>
        <w:rPr>
          <w:rFonts w:ascii="Arial" w:hAnsi="Arial" w:cs="Arial"/>
          <w:color w:val="000000" w:themeColor="text1"/>
          <w:sz w:val="21"/>
          <w:szCs w:val="21"/>
        </w:rPr>
      </w:pPr>
    </w:p>
    <w:p w14:paraId="7A8FCFA7" w14:textId="1DD739FD" w:rsidR="00522A4C" w:rsidRPr="004F3997" w:rsidRDefault="00522A4C" w:rsidP="00423F17">
      <w:pPr>
        <w:tabs>
          <w:tab w:val="left" w:pos="426"/>
        </w:tabs>
        <w:ind w:left="709" w:right="709"/>
        <w:jc w:val="both"/>
        <w:rPr>
          <w:rFonts w:ascii="Arial" w:hAnsi="Arial" w:cs="Arial"/>
          <w:color w:val="000000" w:themeColor="text1"/>
          <w:sz w:val="21"/>
          <w:szCs w:val="21"/>
        </w:rPr>
      </w:pPr>
      <w:r w:rsidRPr="004F3997">
        <w:rPr>
          <w:rFonts w:ascii="Arial" w:hAnsi="Arial" w:cs="Arial"/>
          <w:color w:val="000000" w:themeColor="text1"/>
          <w:sz w:val="21"/>
          <w:szCs w:val="21"/>
        </w:rPr>
        <w:t>«De igual manera solicito se me indique cómo obtener los certificados de bienes relevantes».</w:t>
      </w:r>
    </w:p>
    <w:p w14:paraId="64D867D0" w14:textId="77777777" w:rsidR="00423F17" w:rsidRPr="004F3997" w:rsidRDefault="00423F17" w:rsidP="00423F17">
      <w:pPr>
        <w:tabs>
          <w:tab w:val="left" w:pos="426"/>
        </w:tabs>
        <w:ind w:left="709" w:right="709"/>
        <w:jc w:val="both"/>
        <w:rPr>
          <w:rFonts w:ascii="Arial" w:hAnsi="Arial" w:cs="Arial"/>
          <w:color w:val="000000" w:themeColor="text1"/>
          <w:sz w:val="21"/>
          <w:szCs w:val="21"/>
        </w:rPr>
      </w:pPr>
    </w:p>
    <w:p w14:paraId="254407B6" w14:textId="191BD7B5" w:rsidR="00522A4C" w:rsidRPr="004F3997" w:rsidRDefault="00522A4C" w:rsidP="00522A4C">
      <w:pPr>
        <w:tabs>
          <w:tab w:val="left" w:pos="709"/>
        </w:tabs>
        <w:spacing w:before="120" w:after="120" w:line="276" w:lineRule="auto"/>
        <w:jc w:val="both"/>
        <w:rPr>
          <w:rFonts w:ascii="Arial" w:hAnsi="Arial" w:cs="Arial"/>
          <w:color w:val="0070C0"/>
          <w:sz w:val="22"/>
        </w:rPr>
      </w:pPr>
      <w:r w:rsidRPr="004F3997">
        <w:rPr>
          <w:rFonts w:ascii="Arial" w:hAnsi="Arial" w:cs="Arial"/>
          <w:color w:val="000000" w:themeColor="text1"/>
          <w:sz w:val="22"/>
        </w:rPr>
        <w:t xml:space="preserve">Vale la pena aclarar que a la fecha no existe un certificado de bienes relevantes. Sin embargo, tal como lo establece la Resolución 304 de 2021, para verificar que el bien ofertado es nacional, la entidad estatal deberá acceder al Registro de Productores de Bienes Nacionales y verificar que el bien está registrado en dicha plataforma. Este registro se encuentra </w:t>
      </w:r>
      <w:r w:rsidR="009D7741" w:rsidRPr="004F3997">
        <w:rPr>
          <w:rFonts w:ascii="Arial" w:hAnsi="Arial" w:cs="Arial"/>
          <w:color w:val="000000" w:themeColor="text1"/>
          <w:sz w:val="22"/>
        </w:rPr>
        <w:t xml:space="preserve">en </w:t>
      </w:r>
      <w:r w:rsidRPr="004F3997">
        <w:rPr>
          <w:rFonts w:ascii="Arial" w:hAnsi="Arial" w:cs="Arial"/>
          <w:color w:val="000000" w:themeColor="text1"/>
          <w:sz w:val="22"/>
        </w:rPr>
        <w:t xml:space="preserve">el siguiente enlace: </w:t>
      </w:r>
      <w:hyperlink r:id="rId16" w:history="1">
        <w:r w:rsidRPr="004F3997">
          <w:rPr>
            <w:rStyle w:val="Hipervnculo"/>
            <w:rFonts w:ascii="Arial" w:hAnsi="Arial" w:cs="Arial"/>
            <w:color w:val="0070C0"/>
            <w:sz w:val="22"/>
          </w:rPr>
          <w:t>http://pbn.vuce.gov.co/consultas/index.php</w:t>
        </w:r>
      </w:hyperlink>
      <w:r w:rsidRPr="004F3997">
        <w:rPr>
          <w:rFonts w:ascii="Arial" w:hAnsi="Arial" w:cs="Arial"/>
          <w:color w:val="0070C0"/>
          <w:sz w:val="22"/>
        </w:rPr>
        <w:t>.</w:t>
      </w:r>
    </w:p>
    <w:p w14:paraId="631810CB" w14:textId="5C2EF92B" w:rsidR="00522A4C" w:rsidRPr="004F3997" w:rsidRDefault="00522A4C" w:rsidP="00522A4C">
      <w:pPr>
        <w:tabs>
          <w:tab w:val="left" w:pos="709"/>
        </w:tabs>
        <w:spacing w:before="120" w:after="120" w:line="276" w:lineRule="auto"/>
        <w:jc w:val="both"/>
        <w:rPr>
          <w:rFonts w:ascii="Arial" w:hAnsi="Arial" w:cs="Arial"/>
          <w:color w:val="000000" w:themeColor="text1"/>
          <w:sz w:val="22"/>
        </w:rPr>
      </w:pPr>
      <w:r w:rsidRPr="004F3997">
        <w:rPr>
          <w:rFonts w:ascii="Arial" w:hAnsi="Arial" w:cs="Arial"/>
          <w:color w:val="0070C0"/>
          <w:sz w:val="22"/>
        </w:rPr>
        <w:tab/>
      </w:r>
      <w:r w:rsidRPr="004F3997">
        <w:rPr>
          <w:rFonts w:ascii="Arial" w:hAnsi="Arial" w:cs="Arial"/>
          <w:color w:val="000000" w:themeColor="text1"/>
          <w:sz w:val="22"/>
        </w:rPr>
        <w:t xml:space="preserve">De esta manera, con el fin de acreditar que el bien se encuentra en el Registro de Productores de Bienes Nacionales, la entidad estatal o cualquier interesado podrá, desde la plataforma, descargar una hoja de Excel o PDF en la que consta si el bien se encuentra registrado, así como la fecha de vencimiento del registro. Para más información sobre el funcionamiento del Registro de Productores de Bienes Nacionales, sugerimos remitirse al Ministerio de Comercio, Industria y Turismo, que es el ente que administra esta plataforma. </w:t>
      </w:r>
    </w:p>
    <w:p w14:paraId="6B8E01F8" w14:textId="77777777" w:rsidR="00522A4C" w:rsidRPr="004F3997" w:rsidRDefault="00522A4C" w:rsidP="00522A4C">
      <w:pPr>
        <w:tabs>
          <w:tab w:val="left" w:pos="426"/>
        </w:tabs>
        <w:ind w:left="709" w:right="709"/>
        <w:jc w:val="both"/>
        <w:rPr>
          <w:rFonts w:ascii="Arial" w:hAnsi="Arial" w:cs="Arial"/>
          <w:color w:val="000000" w:themeColor="text1"/>
          <w:sz w:val="21"/>
          <w:szCs w:val="21"/>
        </w:rPr>
      </w:pPr>
    </w:p>
    <w:p w14:paraId="6A1FBC6A" w14:textId="66C87D51" w:rsidR="00347B31" w:rsidRPr="004F3997" w:rsidRDefault="00347B31" w:rsidP="00A05D8C">
      <w:pPr>
        <w:spacing w:line="276" w:lineRule="auto"/>
        <w:jc w:val="both"/>
        <w:rPr>
          <w:rFonts w:ascii="Arial" w:hAnsi="Arial" w:cs="Arial"/>
          <w:color w:val="000000" w:themeColor="text1"/>
          <w:sz w:val="22"/>
        </w:rPr>
      </w:pPr>
      <w:r w:rsidRPr="004F3997">
        <w:rPr>
          <w:rFonts w:ascii="Arial" w:hAnsi="Arial" w:cs="Arial"/>
          <w:color w:val="000000" w:themeColor="text1"/>
          <w:sz w:val="22"/>
        </w:rPr>
        <w:t>Este concepto tiene el alcance previsto en el artículo 28 del Código de Procedimiento Administrativo y de lo Contencioso Administrativo.</w:t>
      </w:r>
    </w:p>
    <w:p w14:paraId="347C7BFF" w14:textId="77777777" w:rsidR="004E0F28" w:rsidRPr="004F3997" w:rsidRDefault="004E0F28" w:rsidP="004E0F28">
      <w:pPr>
        <w:spacing w:before="120" w:line="276" w:lineRule="auto"/>
        <w:jc w:val="both"/>
        <w:rPr>
          <w:rFonts w:ascii="Arial" w:hAnsi="Arial" w:cs="Arial"/>
          <w:color w:val="000000" w:themeColor="text1"/>
          <w:sz w:val="22"/>
        </w:rPr>
      </w:pPr>
    </w:p>
    <w:bookmarkEnd w:id="2"/>
    <w:p w14:paraId="0F8C901F" w14:textId="77777777" w:rsidR="00A37FB6" w:rsidRPr="004F3997" w:rsidRDefault="00A37FB6" w:rsidP="00D01760">
      <w:pPr>
        <w:jc w:val="both"/>
        <w:rPr>
          <w:rFonts w:ascii="Arial" w:eastAsia="Calibri" w:hAnsi="Arial" w:cs="Arial"/>
          <w:color w:val="000000" w:themeColor="text1"/>
          <w:sz w:val="22"/>
        </w:rPr>
      </w:pPr>
      <w:r w:rsidRPr="004F3997">
        <w:rPr>
          <w:noProof/>
          <w:color w:val="000000" w:themeColor="text1"/>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DD89E9"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2C59109" w14:textId="77777777" w:rsidR="00061E7B" w:rsidRPr="004F3997" w:rsidRDefault="00061E7B" w:rsidP="00061E7B">
      <w:pPr>
        <w:rPr>
          <w:rFonts w:ascii="Arial" w:eastAsia="Times New Roman" w:hAnsi="Arial" w:cs="Arial"/>
          <w:sz w:val="22"/>
          <w:lang w:val="es-CO" w:eastAsia="es-CO"/>
        </w:rPr>
      </w:pPr>
      <w:bookmarkStart w:id="12" w:name="_Hlk50986665"/>
      <w:bookmarkStart w:id="13" w:name="_Hlk55258198"/>
      <w:r w:rsidRPr="004F3997">
        <w:rPr>
          <w:rFonts w:ascii="Arial" w:hAnsi="Arial" w:cs="Arial"/>
          <w:sz w:val="22"/>
          <w:lang w:eastAsia="es-CO"/>
        </w:rPr>
        <w:t>Atentamente,</w:t>
      </w:r>
    </w:p>
    <w:p w14:paraId="2059FD5F" w14:textId="77777777" w:rsidR="00061E7B" w:rsidRPr="004F3997" w:rsidRDefault="00061E7B" w:rsidP="00061E7B">
      <w:pPr>
        <w:rPr>
          <w:rFonts w:ascii="Arial" w:hAnsi="Arial" w:cs="Arial"/>
          <w:sz w:val="22"/>
          <w:lang w:eastAsia="es-CO"/>
        </w:rPr>
      </w:pPr>
    </w:p>
    <w:p w14:paraId="3759E161" w14:textId="142C601A" w:rsidR="00061E7B" w:rsidRPr="004F3997" w:rsidRDefault="003476B1" w:rsidP="00061E7B">
      <w:pPr>
        <w:jc w:val="center"/>
        <w:rPr>
          <w:rFonts w:ascii="Arial" w:hAnsi="Arial" w:cs="Arial"/>
          <w:sz w:val="18"/>
          <w:szCs w:val="20"/>
          <w:lang w:eastAsia="es-CO"/>
        </w:rPr>
      </w:pPr>
      <w:r w:rsidRPr="00083784">
        <w:rPr>
          <w:noProof/>
        </w:rPr>
        <w:lastRenderedPageBreak/>
        <w:drawing>
          <wp:inline distT="0" distB="0" distL="0" distR="0" wp14:anchorId="056F855D" wp14:editId="225BF1F1">
            <wp:extent cx="3192378" cy="141299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7342" cy="1415187"/>
                    </a:xfrm>
                    <a:prstGeom prst="rect">
                      <a:avLst/>
                    </a:prstGeom>
                    <a:noFill/>
                    <a:ln>
                      <a:noFill/>
                    </a:ln>
                  </pic:spPr>
                </pic:pic>
              </a:graphicData>
            </a:graphic>
          </wp:inline>
        </w:drawing>
      </w:r>
    </w:p>
    <w:p w14:paraId="0E28251A" w14:textId="77777777" w:rsidR="00061E7B" w:rsidRPr="004F3997" w:rsidRDefault="00061E7B" w:rsidP="00061E7B">
      <w:pPr>
        <w:jc w:val="center"/>
        <w:rPr>
          <w:rFonts w:ascii="Arial" w:hAnsi="Arial" w:cs="Arial"/>
          <w:sz w:val="18"/>
          <w:szCs w:val="20"/>
          <w:lang w:eastAsia="es-CO"/>
        </w:rPr>
      </w:pPr>
    </w:p>
    <w:p w14:paraId="35240846" w14:textId="77777777" w:rsidR="00061E7B" w:rsidRPr="004F3997" w:rsidRDefault="00061E7B" w:rsidP="00061E7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1E7B" w:rsidRPr="004F3997" w14:paraId="446BDA40" w14:textId="77777777" w:rsidTr="006E2E45">
        <w:trPr>
          <w:trHeight w:val="315"/>
        </w:trPr>
        <w:tc>
          <w:tcPr>
            <w:tcW w:w="812" w:type="dxa"/>
            <w:vAlign w:val="center"/>
            <w:hideMark/>
          </w:tcPr>
          <w:p w14:paraId="425E3740" w14:textId="77777777" w:rsidR="00061E7B" w:rsidRPr="004F3997" w:rsidRDefault="00061E7B" w:rsidP="00FD32FE">
            <w:pPr>
              <w:rPr>
                <w:rFonts w:ascii="Arial" w:hAnsi="Arial" w:cs="Arial"/>
                <w:sz w:val="16"/>
                <w:szCs w:val="16"/>
                <w:lang w:eastAsia="es-ES"/>
              </w:rPr>
            </w:pPr>
            <w:r w:rsidRPr="004F3997">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9E6EFFC" w14:textId="77777777" w:rsidR="00061E7B" w:rsidRPr="004F3997" w:rsidRDefault="006E2E45" w:rsidP="00FD32FE">
            <w:pPr>
              <w:rPr>
                <w:rFonts w:ascii="Arial" w:hAnsi="Arial" w:cs="Arial"/>
                <w:sz w:val="16"/>
                <w:szCs w:val="16"/>
                <w:lang w:eastAsia="es-ES"/>
              </w:rPr>
            </w:pPr>
            <w:r w:rsidRPr="004F3997">
              <w:rPr>
                <w:rFonts w:ascii="Arial" w:hAnsi="Arial" w:cs="Arial"/>
                <w:sz w:val="16"/>
                <w:szCs w:val="16"/>
                <w:lang w:eastAsia="es-ES"/>
              </w:rPr>
              <w:t>David Torres Rojas</w:t>
            </w:r>
          </w:p>
          <w:p w14:paraId="7C96E8BF" w14:textId="617A3217" w:rsidR="006E2E45" w:rsidRPr="004F3997" w:rsidRDefault="006E2E45" w:rsidP="00FD32FE">
            <w:pPr>
              <w:rPr>
                <w:rFonts w:ascii="Arial" w:hAnsi="Arial" w:cs="Arial"/>
                <w:sz w:val="16"/>
                <w:szCs w:val="16"/>
                <w:lang w:eastAsia="es-ES"/>
              </w:rPr>
            </w:pPr>
            <w:r w:rsidRPr="004F3997">
              <w:rPr>
                <w:rFonts w:ascii="Arial" w:hAnsi="Arial" w:cs="Arial"/>
                <w:sz w:val="16"/>
                <w:szCs w:val="16"/>
                <w:lang w:eastAsia="es-ES"/>
              </w:rPr>
              <w:t>Contratista de la Subdirección de Gestión Contractual</w:t>
            </w:r>
          </w:p>
        </w:tc>
      </w:tr>
      <w:tr w:rsidR="00061E7B" w:rsidRPr="004F3997" w14:paraId="3470B27F" w14:textId="77777777" w:rsidTr="006E2E45">
        <w:trPr>
          <w:trHeight w:val="330"/>
        </w:trPr>
        <w:tc>
          <w:tcPr>
            <w:tcW w:w="812" w:type="dxa"/>
            <w:vAlign w:val="center"/>
            <w:hideMark/>
          </w:tcPr>
          <w:p w14:paraId="78A0B49E" w14:textId="77777777" w:rsidR="00061E7B" w:rsidRPr="004F3997" w:rsidRDefault="00061E7B" w:rsidP="00FD32FE">
            <w:pPr>
              <w:rPr>
                <w:rFonts w:ascii="Arial" w:hAnsi="Arial" w:cs="Arial"/>
                <w:sz w:val="16"/>
                <w:szCs w:val="16"/>
                <w:lang w:eastAsia="es-ES"/>
              </w:rPr>
            </w:pPr>
            <w:r w:rsidRPr="004F3997">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1BAC30" w14:textId="3D6A07D7" w:rsidR="000801CA" w:rsidRPr="004F3997" w:rsidRDefault="00522A4C" w:rsidP="000801CA">
            <w:pPr>
              <w:rPr>
                <w:rFonts w:ascii="Arial" w:hAnsi="Arial" w:cs="Arial"/>
                <w:sz w:val="16"/>
                <w:szCs w:val="16"/>
                <w:lang w:eastAsia="es-ES"/>
              </w:rPr>
            </w:pPr>
            <w:r w:rsidRPr="004F3997">
              <w:rPr>
                <w:rFonts w:ascii="Arial" w:hAnsi="Arial" w:cs="Arial"/>
                <w:sz w:val="16"/>
                <w:szCs w:val="16"/>
                <w:lang w:eastAsia="es-ES"/>
              </w:rPr>
              <w:t>Sebastián Ramírez Grisales</w:t>
            </w:r>
          </w:p>
          <w:p w14:paraId="11E25F5A" w14:textId="4FEA4F70" w:rsidR="00061E7B" w:rsidRPr="004F3997" w:rsidRDefault="00423F17" w:rsidP="000801CA">
            <w:pPr>
              <w:rPr>
                <w:rFonts w:ascii="Arial" w:hAnsi="Arial" w:cs="Arial"/>
                <w:sz w:val="16"/>
                <w:szCs w:val="16"/>
                <w:lang w:eastAsia="es-ES"/>
              </w:rPr>
            </w:pPr>
            <w:r w:rsidRPr="004F3997">
              <w:rPr>
                <w:rFonts w:ascii="Arial" w:hAnsi="Arial" w:cs="Arial"/>
                <w:color w:val="000000"/>
                <w:sz w:val="16"/>
                <w:szCs w:val="16"/>
                <w:shd w:val="clear" w:color="auto" w:fill="FFFFFF"/>
              </w:rPr>
              <w:t>Gestor T1-15 de la </w:t>
            </w:r>
            <w:r w:rsidRPr="004F3997">
              <w:rPr>
                <w:rFonts w:ascii="Arial" w:hAnsi="Arial" w:cs="Arial"/>
                <w:color w:val="000000" w:themeColor="text1"/>
                <w:sz w:val="16"/>
                <w:szCs w:val="16"/>
                <w:lang w:val="es-ES" w:eastAsia="es-ES"/>
              </w:rPr>
              <w:t>Subdirección de Gestión Contractual</w:t>
            </w:r>
          </w:p>
        </w:tc>
      </w:tr>
      <w:tr w:rsidR="00061E7B" w:rsidRPr="00AB5182" w14:paraId="2845B74D" w14:textId="77777777" w:rsidTr="006E2E45">
        <w:trPr>
          <w:trHeight w:val="300"/>
        </w:trPr>
        <w:tc>
          <w:tcPr>
            <w:tcW w:w="812" w:type="dxa"/>
            <w:vAlign w:val="center"/>
            <w:hideMark/>
          </w:tcPr>
          <w:p w14:paraId="627C91D2" w14:textId="77777777" w:rsidR="00061E7B" w:rsidRPr="004F3997" w:rsidRDefault="00061E7B" w:rsidP="00FD32FE">
            <w:pPr>
              <w:rPr>
                <w:rFonts w:ascii="Arial" w:hAnsi="Arial" w:cs="Arial"/>
                <w:sz w:val="16"/>
                <w:szCs w:val="16"/>
                <w:lang w:eastAsia="es-ES"/>
              </w:rPr>
            </w:pPr>
            <w:r w:rsidRPr="004F3997">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F2FD67" w14:textId="77777777" w:rsidR="00061E7B" w:rsidRPr="004F3997" w:rsidRDefault="00061E7B" w:rsidP="00FD32FE">
            <w:pPr>
              <w:rPr>
                <w:rFonts w:ascii="Arial" w:hAnsi="Arial" w:cs="Arial"/>
                <w:sz w:val="16"/>
                <w:szCs w:val="16"/>
                <w:lang w:eastAsia="es-ES"/>
              </w:rPr>
            </w:pPr>
            <w:r w:rsidRPr="004F3997">
              <w:rPr>
                <w:rFonts w:ascii="Arial" w:hAnsi="Arial" w:cs="Arial"/>
                <w:sz w:val="16"/>
                <w:szCs w:val="16"/>
                <w:lang w:eastAsia="es-ES"/>
              </w:rPr>
              <w:t>Jorge Augusto Tirado Navarro</w:t>
            </w:r>
          </w:p>
          <w:p w14:paraId="07F049A3" w14:textId="77777777" w:rsidR="00061E7B" w:rsidRPr="00AB5182" w:rsidRDefault="00061E7B" w:rsidP="00FD32FE">
            <w:pPr>
              <w:rPr>
                <w:rFonts w:ascii="Arial" w:hAnsi="Arial" w:cs="Arial"/>
                <w:sz w:val="16"/>
                <w:szCs w:val="16"/>
                <w:lang w:eastAsia="es-ES"/>
              </w:rPr>
            </w:pPr>
            <w:r w:rsidRPr="004F3997">
              <w:rPr>
                <w:rFonts w:ascii="Arial" w:hAnsi="Arial" w:cs="Arial"/>
                <w:sz w:val="16"/>
                <w:szCs w:val="16"/>
                <w:lang w:eastAsia="es-ES"/>
              </w:rPr>
              <w:t>Subdirector de Gestión Contractual</w:t>
            </w:r>
          </w:p>
        </w:tc>
      </w:tr>
      <w:bookmarkEnd w:id="3"/>
      <w:bookmarkEnd w:id="12"/>
      <w:bookmarkEnd w:id="13"/>
    </w:tbl>
    <w:p w14:paraId="35B56F46" w14:textId="77777777" w:rsidR="00746E08" w:rsidRPr="006A0F23" w:rsidRDefault="00746E08" w:rsidP="00061E7B">
      <w:pPr>
        <w:rPr>
          <w:rFonts w:ascii="Arial" w:eastAsia="Times New Roman" w:hAnsi="Arial" w:cs="Arial"/>
          <w:color w:val="000000" w:themeColor="text1"/>
          <w:sz w:val="16"/>
          <w:szCs w:val="16"/>
          <w:lang w:eastAsia="es-ES"/>
        </w:rPr>
      </w:pPr>
    </w:p>
    <w:sectPr w:rsidR="00746E08" w:rsidRPr="006A0F23" w:rsidSect="005D791B">
      <w:headerReference w:type="default" r:id="rId18"/>
      <w:footerReference w:type="default" r:id="rId1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B0A6" w14:textId="77777777" w:rsidR="00046A2F" w:rsidRDefault="00046A2F">
      <w:r>
        <w:separator/>
      </w:r>
    </w:p>
  </w:endnote>
  <w:endnote w:type="continuationSeparator" w:id="0">
    <w:p w14:paraId="40DC6E2D" w14:textId="77777777" w:rsidR="00046A2F" w:rsidRDefault="0004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825D8" w:rsidRDefault="000825D8" w:rsidP="00322937">
    <w:pPr>
      <w:pStyle w:val="Sinespaciado"/>
      <w:jc w:val="right"/>
      <w:rPr>
        <w:rFonts w:ascii="Arial" w:hAnsi="Arial" w:cs="Arial"/>
        <w:sz w:val="18"/>
        <w:szCs w:val="18"/>
      </w:rPr>
    </w:pPr>
  </w:p>
  <w:p w14:paraId="7A3785F3" w14:textId="2EF28465" w:rsidR="000825D8" w:rsidRPr="008217B7" w:rsidRDefault="000825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0825D8" w:rsidRDefault="000825D8"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825D8" w:rsidRDefault="000825D8" w:rsidP="007B0854">
    <w:pPr>
      <w:pStyle w:val="Piedepgina"/>
      <w:jc w:val="center"/>
      <w:rPr>
        <w:lang w:val="es-ES"/>
      </w:rPr>
    </w:pPr>
  </w:p>
  <w:p w14:paraId="6C0EFC49" w14:textId="77777777" w:rsidR="000825D8" w:rsidRPr="007B0854" w:rsidRDefault="000825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E546" w14:textId="77777777" w:rsidR="00046A2F" w:rsidRDefault="00046A2F">
      <w:r>
        <w:separator/>
      </w:r>
    </w:p>
  </w:footnote>
  <w:footnote w:type="continuationSeparator" w:id="0">
    <w:p w14:paraId="24F28FC3" w14:textId="77777777" w:rsidR="00046A2F" w:rsidRDefault="00046A2F">
      <w:r>
        <w:continuationSeparator/>
      </w:r>
    </w:p>
  </w:footnote>
  <w:footnote w:id="1">
    <w:p w14:paraId="5570FEF2" w14:textId="77777777" w:rsidR="003C1EAA" w:rsidRPr="00C76289" w:rsidRDefault="003C1EAA" w:rsidP="003C1EAA">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 xml:space="preserve">Gaceta del Congreso. Cámara de Representantes. Año X – No. 642, 11 de diciembre de 2001. Disponible en: </w:t>
      </w:r>
      <w:hyperlink r:id="rId1" w:history="1">
        <w:r w:rsidRPr="00C76289">
          <w:rPr>
            <w:rFonts w:ascii="Arial" w:hAnsi="Arial" w:cs="Arial"/>
            <w:sz w:val="19"/>
            <w:szCs w:val="19"/>
            <w:lang w:val="es-ES"/>
          </w:rPr>
          <w:t>GACETAS DEL CONGRESO (imprenta.gov.co)</w:t>
        </w:r>
      </w:hyperlink>
    </w:p>
  </w:footnote>
  <w:footnote w:id="2">
    <w:p w14:paraId="6AF1774F" w14:textId="77777777" w:rsidR="003C1EAA" w:rsidRPr="00C76289" w:rsidRDefault="003C1EAA" w:rsidP="003C1EAA">
      <w:pPr>
        <w:pStyle w:val="NormalWeb"/>
        <w:shd w:val="clear" w:color="auto" w:fill="FFFFFF"/>
        <w:spacing w:before="0" w:beforeAutospacing="0" w:after="0" w:afterAutospacing="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Decreto 1082 de 2015: «Artículo </w:t>
      </w:r>
      <w:bookmarkStart w:id="6" w:name="2.2.1.2.4.1.3"/>
      <w:bookmarkEnd w:id="6"/>
      <w:r w:rsidRPr="00C76289">
        <w:rPr>
          <w:rFonts w:ascii="Arial" w:hAnsi="Arial" w:cs="Arial"/>
          <w:sz w:val="19"/>
          <w:szCs w:val="19"/>
        </w:rPr>
        <w:t>2.2.1.2.4.1.3.</w:t>
      </w:r>
      <w:r w:rsidRPr="00C76289">
        <w:rPr>
          <w:rFonts w:ascii="Arial" w:hAnsi="Arial" w:cs="Arial"/>
          <w:i/>
          <w:iCs/>
          <w:sz w:val="19"/>
          <w:szCs w:val="19"/>
        </w:rPr>
        <w:t> </w:t>
      </w:r>
      <w:r w:rsidRPr="00C76289">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4C7AF308" w14:textId="77777777" w:rsidR="003C1EAA" w:rsidRPr="00C76289" w:rsidRDefault="003C1EAA" w:rsidP="003C1EAA">
      <w:pPr>
        <w:shd w:val="clear" w:color="auto" w:fill="FFFFFF"/>
        <w:ind w:firstLine="708"/>
        <w:jc w:val="both"/>
        <w:rPr>
          <w:rFonts w:ascii="Arial" w:eastAsia="Times New Roman" w:hAnsi="Arial" w:cs="Arial"/>
          <w:sz w:val="19"/>
          <w:szCs w:val="19"/>
          <w:lang w:val="es-CO" w:eastAsia="es-CO"/>
        </w:rPr>
      </w:pPr>
      <w:r w:rsidRPr="00C76289">
        <w:rPr>
          <w:rFonts w:ascii="Arial" w:eastAsia="Times New Roman" w:hAnsi="Arial" w:cs="Arial"/>
          <w:sz w:val="19"/>
          <w:szCs w:val="19"/>
          <w:lang w:val="es-CO"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3CA51F3" w14:textId="77777777" w:rsidR="003C1EAA" w:rsidRPr="00C76289" w:rsidRDefault="003C1EAA" w:rsidP="003C1EAA">
      <w:pPr>
        <w:shd w:val="clear" w:color="auto" w:fill="FFFFFF"/>
        <w:ind w:firstLine="708"/>
        <w:jc w:val="both"/>
        <w:rPr>
          <w:rFonts w:ascii="Arial" w:eastAsia="Times New Roman" w:hAnsi="Arial" w:cs="Arial"/>
          <w:sz w:val="19"/>
          <w:szCs w:val="19"/>
          <w:lang w:val="es-CO" w:eastAsia="es-CO"/>
        </w:rPr>
      </w:pPr>
      <w:r w:rsidRPr="00C76289">
        <w:rPr>
          <w:rFonts w:ascii="Arial" w:eastAsia="Times New Roman" w:hAnsi="Arial" w:cs="Arial"/>
          <w:sz w:val="19"/>
          <w:szCs w:val="19"/>
          <w:lang w:val="es-CO"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23B69B2A" w14:textId="77777777" w:rsidR="003C1EAA" w:rsidRPr="00C76289" w:rsidRDefault="003C1EAA" w:rsidP="003C1EAA">
      <w:pPr>
        <w:pStyle w:val="Textonotapie"/>
        <w:jc w:val="both"/>
        <w:rPr>
          <w:rFonts w:ascii="Arial" w:hAnsi="Arial" w:cs="Arial"/>
          <w:sz w:val="19"/>
          <w:szCs w:val="19"/>
          <w:lang w:val="es-CO"/>
        </w:rPr>
      </w:pPr>
    </w:p>
  </w:footnote>
  <w:footnote w:id="3">
    <w:p w14:paraId="2F6B6377" w14:textId="77777777" w:rsidR="003C1EAA" w:rsidRPr="00C76289" w:rsidRDefault="003C1EAA" w:rsidP="003C1EAA">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Ley 816 de 2003. «Artículo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45D39177" w14:textId="77777777" w:rsidR="003C1EAA" w:rsidRPr="00C76289" w:rsidRDefault="003C1EAA" w:rsidP="003C1EAA">
      <w:pPr>
        <w:pStyle w:val="Textonotapie"/>
        <w:ind w:firstLine="708"/>
        <w:jc w:val="both"/>
        <w:rPr>
          <w:rFonts w:ascii="Arial" w:hAnsi="Arial" w:cs="Arial"/>
          <w:sz w:val="19"/>
          <w:szCs w:val="19"/>
        </w:rPr>
      </w:pPr>
      <w:r w:rsidRPr="00C76289">
        <w:rPr>
          <w:rFonts w:ascii="Arial" w:hAnsi="Arial" w:cs="Arial"/>
          <w:sz w:val="19"/>
          <w:szCs w:val="19"/>
        </w:rPr>
        <w:t>»Para los efectos de esta ley, se entenderá por entidades de la Administración Pública todas aquellas que la integran, de acuerdo con la Ley 489 de 1998, sin que la existencia de regímenes especiales pueda ser obstáculo para su aplicación. Se exceptúan las empresas prestadoras de servicios públicos domiciliarios que se regirán por las normas de Derecho Privado de conformidad con lo preceptuado en la Ley 142 de 1994 y la Ley 689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825D8" w:rsidRDefault="000825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6"/>
    <w:rsid w:val="0000365F"/>
    <w:rsid w:val="00015203"/>
    <w:rsid w:val="00020E2F"/>
    <w:rsid w:val="00027DBB"/>
    <w:rsid w:val="00037A1C"/>
    <w:rsid w:val="00041114"/>
    <w:rsid w:val="00046A2F"/>
    <w:rsid w:val="000507A6"/>
    <w:rsid w:val="00060086"/>
    <w:rsid w:val="00060488"/>
    <w:rsid w:val="000607D9"/>
    <w:rsid w:val="00061E7B"/>
    <w:rsid w:val="0006498C"/>
    <w:rsid w:val="00070A64"/>
    <w:rsid w:val="000751FF"/>
    <w:rsid w:val="000801CA"/>
    <w:rsid w:val="000825D8"/>
    <w:rsid w:val="00082E8C"/>
    <w:rsid w:val="00084B97"/>
    <w:rsid w:val="000929CA"/>
    <w:rsid w:val="000942EB"/>
    <w:rsid w:val="000A354F"/>
    <w:rsid w:val="000B06F2"/>
    <w:rsid w:val="000B103F"/>
    <w:rsid w:val="000C35F6"/>
    <w:rsid w:val="000D50F8"/>
    <w:rsid w:val="000E1FB7"/>
    <w:rsid w:val="000E41F0"/>
    <w:rsid w:val="000E6188"/>
    <w:rsid w:val="000F14E8"/>
    <w:rsid w:val="000F74A6"/>
    <w:rsid w:val="00103915"/>
    <w:rsid w:val="00110B99"/>
    <w:rsid w:val="0011541D"/>
    <w:rsid w:val="0011653E"/>
    <w:rsid w:val="00120C3E"/>
    <w:rsid w:val="00122B23"/>
    <w:rsid w:val="00122E4E"/>
    <w:rsid w:val="00137FFA"/>
    <w:rsid w:val="00155AA2"/>
    <w:rsid w:val="00161197"/>
    <w:rsid w:val="00164573"/>
    <w:rsid w:val="001722B1"/>
    <w:rsid w:val="00172749"/>
    <w:rsid w:val="00173A59"/>
    <w:rsid w:val="0017632A"/>
    <w:rsid w:val="00185CF2"/>
    <w:rsid w:val="00186DD9"/>
    <w:rsid w:val="001A4637"/>
    <w:rsid w:val="001A4ABE"/>
    <w:rsid w:val="001A7947"/>
    <w:rsid w:val="001B0444"/>
    <w:rsid w:val="001B4314"/>
    <w:rsid w:val="001B5756"/>
    <w:rsid w:val="001C55B7"/>
    <w:rsid w:val="001D1F8F"/>
    <w:rsid w:val="001D4567"/>
    <w:rsid w:val="001D565A"/>
    <w:rsid w:val="001E7BBB"/>
    <w:rsid w:val="001F4875"/>
    <w:rsid w:val="0020201D"/>
    <w:rsid w:val="0020632A"/>
    <w:rsid w:val="002110EB"/>
    <w:rsid w:val="00211338"/>
    <w:rsid w:val="00220AE0"/>
    <w:rsid w:val="0022453C"/>
    <w:rsid w:val="00234066"/>
    <w:rsid w:val="00234B84"/>
    <w:rsid w:val="0023583A"/>
    <w:rsid w:val="00236E03"/>
    <w:rsid w:val="00240920"/>
    <w:rsid w:val="00250405"/>
    <w:rsid w:val="002506CF"/>
    <w:rsid w:val="00261B33"/>
    <w:rsid w:val="00261BAB"/>
    <w:rsid w:val="002720D2"/>
    <w:rsid w:val="002770AD"/>
    <w:rsid w:val="00285640"/>
    <w:rsid w:val="002864BE"/>
    <w:rsid w:val="00291356"/>
    <w:rsid w:val="00292708"/>
    <w:rsid w:val="002956D3"/>
    <w:rsid w:val="002966E7"/>
    <w:rsid w:val="00297A70"/>
    <w:rsid w:val="002A3B8D"/>
    <w:rsid w:val="002A425F"/>
    <w:rsid w:val="002B088C"/>
    <w:rsid w:val="002B1466"/>
    <w:rsid w:val="002B3991"/>
    <w:rsid w:val="002B774C"/>
    <w:rsid w:val="002B7945"/>
    <w:rsid w:val="002C4C0C"/>
    <w:rsid w:val="002D2815"/>
    <w:rsid w:val="002D2F0E"/>
    <w:rsid w:val="002D60F6"/>
    <w:rsid w:val="002E1195"/>
    <w:rsid w:val="002F1750"/>
    <w:rsid w:val="003033BA"/>
    <w:rsid w:val="003116C2"/>
    <w:rsid w:val="0031696B"/>
    <w:rsid w:val="0032086B"/>
    <w:rsid w:val="00322937"/>
    <w:rsid w:val="00324524"/>
    <w:rsid w:val="0032691C"/>
    <w:rsid w:val="00327857"/>
    <w:rsid w:val="0032792E"/>
    <w:rsid w:val="0033117F"/>
    <w:rsid w:val="00333308"/>
    <w:rsid w:val="0034177C"/>
    <w:rsid w:val="0034680A"/>
    <w:rsid w:val="003476B1"/>
    <w:rsid w:val="00347B31"/>
    <w:rsid w:val="003513C4"/>
    <w:rsid w:val="00353DD5"/>
    <w:rsid w:val="003541ED"/>
    <w:rsid w:val="00362D72"/>
    <w:rsid w:val="00370E11"/>
    <w:rsid w:val="00372B70"/>
    <w:rsid w:val="00374786"/>
    <w:rsid w:val="003820BD"/>
    <w:rsid w:val="00384698"/>
    <w:rsid w:val="0038524B"/>
    <w:rsid w:val="00386114"/>
    <w:rsid w:val="00386456"/>
    <w:rsid w:val="003949B8"/>
    <w:rsid w:val="00397E20"/>
    <w:rsid w:val="003A0878"/>
    <w:rsid w:val="003A5606"/>
    <w:rsid w:val="003A581E"/>
    <w:rsid w:val="003A5CD8"/>
    <w:rsid w:val="003B2024"/>
    <w:rsid w:val="003B2FD9"/>
    <w:rsid w:val="003B4987"/>
    <w:rsid w:val="003B6EE8"/>
    <w:rsid w:val="003B791C"/>
    <w:rsid w:val="003C1EAA"/>
    <w:rsid w:val="003D095F"/>
    <w:rsid w:val="003D3CC0"/>
    <w:rsid w:val="0040170E"/>
    <w:rsid w:val="004023D4"/>
    <w:rsid w:val="00411530"/>
    <w:rsid w:val="00423F17"/>
    <w:rsid w:val="00423F9F"/>
    <w:rsid w:val="00427B97"/>
    <w:rsid w:val="00432873"/>
    <w:rsid w:val="004422D6"/>
    <w:rsid w:val="00451223"/>
    <w:rsid w:val="0046210D"/>
    <w:rsid w:val="00466B33"/>
    <w:rsid w:val="00474D4C"/>
    <w:rsid w:val="00475A77"/>
    <w:rsid w:val="00483977"/>
    <w:rsid w:val="004919AE"/>
    <w:rsid w:val="0049241A"/>
    <w:rsid w:val="004A34D2"/>
    <w:rsid w:val="004A57F4"/>
    <w:rsid w:val="004A61EA"/>
    <w:rsid w:val="004B18A8"/>
    <w:rsid w:val="004B19D5"/>
    <w:rsid w:val="004C0517"/>
    <w:rsid w:val="004C437A"/>
    <w:rsid w:val="004D2DD0"/>
    <w:rsid w:val="004D65C9"/>
    <w:rsid w:val="004D6FF6"/>
    <w:rsid w:val="004E0F28"/>
    <w:rsid w:val="004E58D5"/>
    <w:rsid w:val="004E7E29"/>
    <w:rsid w:val="004F14E8"/>
    <w:rsid w:val="004F3997"/>
    <w:rsid w:val="004F4CD4"/>
    <w:rsid w:val="00502A34"/>
    <w:rsid w:val="0051074C"/>
    <w:rsid w:val="0051293F"/>
    <w:rsid w:val="00512D26"/>
    <w:rsid w:val="00513AF2"/>
    <w:rsid w:val="00522A4C"/>
    <w:rsid w:val="00525D4C"/>
    <w:rsid w:val="005370B4"/>
    <w:rsid w:val="0054166D"/>
    <w:rsid w:val="005428FA"/>
    <w:rsid w:val="0054413A"/>
    <w:rsid w:val="00544D0B"/>
    <w:rsid w:val="0055073F"/>
    <w:rsid w:val="005534A5"/>
    <w:rsid w:val="0055556D"/>
    <w:rsid w:val="005564CA"/>
    <w:rsid w:val="0056182B"/>
    <w:rsid w:val="005641A2"/>
    <w:rsid w:val="00565112"/>
    <w:rsid w:val="005756AA"/>
    <w:rsid w:val="005825BE"/>
    <w:rsid w:val="00582F2C"/>
    <w:rsid w:val="00586800"/>
    <w:rsid w:val="00591594"/>
    <w:rsid w:val="00592C46"/>
    <w:rsid w:val="0059467A"/>
    <w:rsid w:val="005A07A0"/>
    <w:rsid w:val="005A3280"/>
    <w:rsid w:val="005A57E1"/>
    <w:rsid w:val="005A5C0A"/>
    <w:rsid w:val="005B3726"/>
    <w:rsid w:val="005B56F2"/>
    <w:rsid w:val="005B5BB0"/>
    <w:rsid w:val="005C17BC"/>
    <w:rsid w:val="005D4C89"/>
    <w:rsid w:val="005D51FA"/>
    <w:rsid w:val="005D791B"/>
    <w:rsid w:val="005E002D"/>
    <w:rsid w:val="005E4406"/>
    <w:rsid w:val="00603356"/>
    <w:rsid w:val="0060502C"/>
    <w:rsid w:val="00610842"/>
    <w:rsid w:val="00614817"/>
    <w:rsid w:val="00625495"/>
    <w:rsid w:val="00625D31"/>
    <w:rsid w:val="0062704C"/>
    <w:rsid w:val="00633DBF"/>
    <w:rsid w:val="00640730"/>
    <w:rsid w:val="006505BB"/>
    <w:rsid w:val="0065499C"/>
    <w:rsid w:val="00655371"/>
    <w:rsid w:val="00662326"/>
    <w:rsid w:val="00671156"/>
    <w:rsid w:val="00682CB9"/>
    <w:rsid w:val="006854AD"/>
    <w:rsid w:val="00691278"/>
    <w:rsid w:val="00693317"/>
    <w:rsid w:val="00694038"/>
    <w:rsid w:val="00694D8E"/>
    <w:rsid w:val="00695C73"/>
    <w:rsid w:val="00697665"/>
    <w:rsid w:val="006A0C31"/>
    <w:rsid w:val="006A0F23"/>
    <w:rsid w:val="006A7CB5"/>
    <w:rsid w:val="006A7FD0"/>
    <w:rsid w:val="006B0D0D"/>
    <w:rsid w:val="006B1F80"/>
    <w:rsid w:val="006C11EB"/>
    <w:rsid w:val="006D04D7"/>
    <w:rsid w:val="006D7687"/>
    <w:rsid w:val="006E0572"/>
    <w:rsid w:val="006E2E45"/>
    <w:rsid w:val="006E3931"/>
    <w:rsid w:val="006E4317"/>
    <w:rsid w:val="007011D3"/>
    <w:rsid w:val="00701CA6"/>
    <w:rsid w:val="00705631"/>
    <w:rsid w:val="0071411B"/>
    <w:rsid w:val="00715EAA"/>
    <w:rsid w:val="0072019B"/>
    <w:rsid w:val="007303A4"/>
    <w:rsid w:val="00742DD2"/>
    <w:rsid w:val="00746E08"/>
    <w:rsid w:val="00747C96"/>
    <w:rsid w:val="0075094E"/>
    <w:rsid w:val="007522E8"/>
    <w:rsid w:val="00753508"/>
    <w:rsid w:val="007542DB"/>
    <w:rsid w:val="0075647A"/>
    <w:rsid w:val="007634AD"/>
    <w:rsid w:val="00775AA7"/>
    <w:rsid w:val="0078122E"/>
    <w:rsid w:val="0078635B"/>
    <w:rsid w:val="00791EA4"/>
    <w:rsid w:val="00794A0A"/>
    <w:rsid w:val="00795647"/>
    <w:rsid w:val="007B0854"/>
    <w:rsid w:val="007B321A"/>
    <w:rsid w:val="007B6436"/>
    <w:rsid w:val="007C04DA"/>
    <w:rsid w:val="007C2B3A"/>
    <w:rsid w:val="007C3F3C"/>
    <w:rsid w:val="007C64EB"/>
    <w:rsid w:val="007D4DFD"/>
    <w:rsid w:val="007D7F4A"/>
    <w:rsid w:val="007E020A"/>
    <w:rsid w:val="007E7FB5"/>
    <w:rsid w:val="007F0BA4"/>
    <w:rsid w:val="007F1D1B"/>
    <w:rsid w:val="007F4B6B"/>
    <w:rsid w:val="007F5078"/>
    <w:rsid w:val="007F5ABE"/>
    <w:rsid w:val="007F6B46"/>
    <w:rsid w:val="007F72CB"/>
    <w:rsid w:val="00801CAD"/>
    <w:rsid w:val="008139DB"/>
    <w:rsid w:val="008217B7"/>
    <w:rsid w:val="008217E5"/>
    <w:rsid w:val="008221C5"/>
    <w:rsid w:val="00822F66"/>
    <w:rsid w:val="00824095"/>
    <w:rsid w:val="0083017E"/>
    <w:rsid w:val="0083119B"/>
    <w:rsid w:val="00836EAB"/>
    <w:rsid w:val="008467C1"/>
    <w:rsid w:val="0085092D"/>
    <w:rsid w:val="00850F79"/>
    <w:rsid w:val="00851174"/>
    <w:rsid w:val="00852AAA"/>
    <w:rsid w:val="008575D3"/>
    <w:rsid w:val="0086267C"/>
    <w:rsid w:val="00870298"/>
    <w:rsid w:val="00875E23"/>
    <w:rsid w:val="00885322"/>
    <w:rsid w:val="00886D12"/>
    <w:rsid w:val="0089774F"/>
    <w:rsid w:val="008A4E4F"/>
    <w:rsid w:val="008A5A9C"/>
    <w:rsid w:val="008A7E9C"/>
    <w:rsid w:val="008B409F"/>
    <w:rsid w:val="008C44A0"/>
    <w:rsid w:val="008D18B9"/>
    <w:rsid w:val="008D5437"/>
    <w:rsid w:val="008D69B9"/>
    <w:rsid w:val="008E1C15"/>
    <w:rsid w:val="008F0346"/>
    <w:rsid w:val="008F538E"/>
    <w:rsid w:val="00903378"/>
    <w:rsid w:val="009047C5"/>
    <w:rsid w:val="00912110"/>
    <w:rsid w:val="00912BB4"/>
    <w:rsid w:val="00916C70"/>
    <w:rsid w:val="0094559B"/>
    <w:rsid w:val="00951FD6"/>
    <w:rsid w:val="0095385A"/>
    <w:rsid w:val="00954122"/>
    <w:rsid w:val="00954138"/>
    <w:rsid w:val="00981056"/>
    <w:rsid w:val="00981B8D"/>
    <w:rsid w:val="00985779"/>
    <w:rsid w:val="009909D2"/>
    <w:rsid w:val="009939B4"/>
    <w:rsid w:val="009A5A01"/>
    <w:rsid w:val="009A6A0B"/>
    <w:rsid w:val="009C1B61"/>
    <w:rsid w:val="009C5188"/>
    <w:rsid w:val="009D4651"/>
    <w:rsid w:val="009D7741"/>
    <w:rsid w:val="009E1801"/>
    <w:rsid w:val="009E58D4"/>
    <w:rsid w:val="009E6FED"/>
    <w:rsid w:val="009F0C0E"/>
    <w:rsid w:val="009F2AAA"/>
    <w:rsid w:val="009F4936"/>
    <w:rsid w:val="009F59C2"/>
    <w:rsid w:val="00A0128F"/>
    <w:rsid w:val="00A05D8C"/>
    <w:rsid w:val="00A07265"/>
    <w:rsid w:val="00A07654"/>
    <w:rsid w:val="00A12713"/>
    <w:rsid w:val="00A12E05"/>
    <w:rsid w:val="00A24560"/>
    <w:rsid w:val="00A34538"/>
    <w:rsid w:val="00A37D22"/>
    <w:rsid w:val="00A37FB6"/>
    <w:rsid w:val="00A4313B"/>
    <w:rsid w:val="00A50DA6"/>
    <w:rsid w:val="00A510E3"/>
    <w:rsid w:val="00A57E2D"/>
    <w:rsid w:val="00A60504"/>
    <w:rsid w:val="00A61E3D"/>
    <w:rsid w:val="00A6322D"/>
    <w:rsid w:val="00A816AD"/>
    <w:rsid w:val="00A8361D"/>
    <w:rsid w:val="00A92AFF"/>
    <w:rsid w:val="00AA08E7"/>
    <w:rsid w:val="00AA442B"/>
    <w:rsid w:val="00AA6204"/>
    <w:rsid w:val="00AA669D"/>
    <w:rsid w:val="00AA6CDB"/>
    <w:rsid w:val="00AA6D5C"/>
    <w:rsid w:val="00AB5182"/>
    <w:rsid w:val="00AB617E"/>
    <w:rsid w:val="00AB745E"/>
    <w:rsid w:val="00AD0EF9"/>
    <w:rsid w:val="00AD2C6C"/>
    <w:rsid w:val="00AD4E2D"/>
    <w:rsid w:val="00AE11D3"/>
    <w:rsid w:val="00AF2DA9"/>
    <w:rsid w:val="00AF5090"/>
    <w:rsid w:val="00AF5A6D"/>
    <w:rsid w:val="00B0765B"/>
    <w:rsid w:val="00B13EC0"/>
    <w:rsid w:val="00B14F57"/>
    <w:rsid w:val="00B22E22"/>
    <w:rsid w:val="00B31CE3"/>
    <w:rsid w:val="00B525CB"/>
    <w:rsid w:val="00B54807"/>
    <w:rsid w:val="00B5773A"/>
    <w:rsid w:val="00B63872"/>
    <w:rsid w:val="00B63CB2"/>
    <w:rsid w:val="00B64EDB"/>
    <w:rsid w:val="00B72BF0"/>
    <w:rsid w:val="00B7315F"/>
    <w:rsid w:val="00B852C8"/>
    <w:rsid w:val="00B91B8E"/>
    <w:rsid w:val="00B93160"/>
    <w:rsid w:val="00B93242"/>
    <w:rsid w:val="00BA7BC3"/>
    <w:rsid w:val="00BB11AA"/>
    <w:rsid w:val="00BB225A"/>
    <w:rsid w:val="00BB5221"/>
    <w:rsid w:val="00BC5840"/>
    <w:rsid w:val="00BD27BA"/>
    <w:rsid w:val="00BD78FE"/>
    <w:rsid w:val="00BE7490"/>
    <w:rsid w:val="00BF1E9C"/>
    <w:rsid w:val="00BF69F3"/>
    <w:rsid w:val="00C03A30"/>
    <w:rsid w:val="00C05A27"/>
    <w:rsid w:val="00C31D9A"/>
    <w:rsid w:val="00C3390B"/>
    <w:rsid w:val="00C368B6"/>
    <w:rsid w:val="00C45AF6"/>
    <w:rsid w:val="00C5063E"/>
    <w:rsid w:val="00C514A5"/>
    <w:rsid w:val="00C53CF2"/>
    <w:rsid w:val="00C56E30"/>
    <w:rsid w:val="00C5713F"/>
    <w:rsid w:val="00C6093F"/>
    <w:rsid w:val="00C76B6D"/>
    <w:rsid w:val="00C770D7"/>
    <w:rsid w:val="00C8350B"/>
    <w:rsid w:val="00CA38FE"/>
    <w:rsid w:val="00CC00CD"/>
    <w:rsid w:val="00CC1605"/>
    <w:rsid w:val="00CC31FC"/>
    <w:rsid w:val="00CD0289"/>
    <w:rsid w:val="00CD426E"/>
    <w:rsid w:val="00CD4396"/>
    <w:rsid w:val="00CD4995"/>
    <w:rsid w:val="00CD6DCA"/>
    <w:rsid w:val="00CD75E7"/>
    <w:rsid w:val="00CE14D2"/>
    <w:rsid w:val="00CE1E2C"/>
    <w:rsid w:val="00CF0E3B"/>
    <w:rsid w:val="00CF4597"/>
    <w:rsid w:val="00D01760"/>
    <w:rsid w:val="00D106B8"/>
    <w:rsid w:val="00D16E39"/>
    <w:rsid w:val="00D223B6"/>
    <w:rsid w:val="00D26387"/>
    <w:rsid w:val="00D263B8"/>
    <w:rsid w:val="00D335E2"/>
    <w:rsid w:val="00D34B12"/>
    <w:rsid w:val="00D439F3"/>
    <w:rsid w:val="00D5370A"/>
    <w:rsid w:val="00D60327"/>
    <w:rsid w:val="00D61609"/>
    <w:rsid w:val="00D61AEA"/>
    <w:rsid w:val="00D64CD5"/>
    <w:rsid w:val="00D7068C"/>
    <w:rsid w:val="00D72E9D"/>
    <w:rsid w:val="00D82CE5"/>
    <w:rsid w:val="00D8339C"/>
    <w:rsid w:val="00D96090"/>
    <w:rsid w:val="00DA3C00"/>
    <w:rsid w:val="00DA5AB1"/>
    <w:rsid w:val="00DB0CE5"/>
    <w:rsid w:val="00DB2D54"/>
    <w:rsid w:val="00DB648F"/>
    <w:rsid w:val="00DC44CB"/>
    <w:rsid w:val="00DC62E5"/>
    <w:rsid w:val="00DD04E9"/>
    <w:rsid w:val="00DD06AA"/>
    <w:rsid w:val="00DD0AEE"/>
    <w:rsid w:val="00DD735D"/>
    <w:rsid w:val="00DE2EBD"/>
    <w:rsid w:val="00DE3119"/>
    <w:rsid w:val="00DF02C8"/>
    <w:rsid w:val="00DF236B"/>
    <w:rsid w:val="00DF4DF8"/>
    <w:rsid w:val="00DF7140"/>
    <w:rsid w:val="00E03AC6"/>
    <w:rsid w:val="00E11D33"/>
    <w:rsid w:val="00E13AB8"/>
    <w:rsid w:val="00E1582C"/>
    <w:rsid w:val="00E21006"/>
    <w:rsid w:val="00E22F87"/>
    <w:rsid w:val="00E24785"/>
    <w:rsid w:val="00E25CB3"/>
    <w:rsid w:val="00E33B62"/>
    <w:rsid w:val="00E348A0"/>
    <w:rsid w:val="00E4143A"/>
    <w:rsid w:val="00E46655"/>
    <w:rsid w:val="00E51FC7"/>
    <w:rsid w:val="00E577E2"/>
    <w:rsid w:val="00E72184"/>
    <w:rsid w:val="00E72E2A"/>
    <w:rsid w:val="00E936BC"/>
    <w:rsid w:val="00E9692B"/>
    <w:rsid w:val="00E9713C"/>
    <w:rsid w:val="00EA1073"/>
    <w:rsid w:val="00EC3B98"/>
    <w:rsid w:val="00EC7CB2"/>
    <w:rsid w:val="00ED1DDD"/>
    <w:rsid w:val="00ED3D2E"/>
    <w:rsid w:val="00ED5115"/>
    <w:rsid w:val="00EE140A"/>
    <w:rsid w:val="00EE59B5"/>
    <w:rsid w:val="00EF3AC2"/>
    <w:rsid w:val="00F0264C"/>
    <w:rsid w:val="00F03213"/>
    <w:rsid w:val="00F06E93"/>
    <w:rsid w:val="00F15587"/>
    <w:rsid w:val="00F1581F"/>
    <w:rsid w:val="00F22A4D"/>
    <w:rsid w:val="00F46543"/>
    <w:rsid w:val="00F7120D"/>
    <w:rsid w:val="00F741E3"/>
    <w:rsid w:val="00F758DB"/>
    <w:rsid w:val="00F7794A"/>
    <w:rsid w:val="00F84899"/>
    <w:rsid w:val="00F859F0"/>
    <w:rsid w:val="00F9268E"/>
    <w:rsid w:val="00F96C8B"/>
    <w:rsid w:val="00FB291F"/>
    <w:rsid w:val="00FD2843"/>
    <w:rsid w:val="00FD782C"/>
    <w:rsid w:val="00FE141E"/>
    <w:rsid w:val="00FE2612"/>
    <w:rsid w:val="00FE2E64"/>
    <w:rsid w:val="00FE42ED"/>
    <w:rsid w:val="00FF3C49"/>
    <w:rsid w:val="00FF4F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5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4E58D5"/>
    <w:rPr>
      <w:color w:val="808080"/>
    </w:rPr>
  </w:style>
  <w:style w:type="paragraph" w:customStyle="1" w:styleId="paragraph">
    <w:name w:val="paragraph"/>
    <w:basedOn w:val="Normal"/>
    <w:rsid w:val="001B57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1B5756"/>
  </w:style>
  <w:style w:type="character" w:customStyle="1" w:styleId="eop">
    <w:name w:val="eop"/>
    <w:basedOn w:val="Fuentedeprrafopredeter"/>
    <w:rsid w:val="001B5756"/>
  </w:style>
  <w:style w:type="paragraph" w:styleId="Revisin">
    <w:name w:val="Revision"/>
    <w:hidden/>
    <w:uiPriority w:val="99"/>
    <w:semiHidden/>
    <w:rsid w:val="00954122"/>
    <w:pPr>
      <w:spacing w:after="0" w:line="240" w:lineRule="auto"/>
    </w:pPr>
    <w:rPr>
      <w:sz w:val="24"/>
      <w:lang w:val="es-MX"/>
    </w:rPr>
  </w:style>
  <w:style w:type="paragraph" w:customStyle="1" w:styleId="Appelnotedebasde">
    <w:name w:val="Appel note de bas de..."/>
    <w:basedOn w:val="Normal"/>
    <w:link w:val="Refdenotaalpie"/>
    <w:uiPriority w:val="99"/>
    <w:rsid w:val="003C1EAA"/>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C5713F"/>
    <w:rPr>
      <w:color w:val="605E5C"/>
      <w:shd w:val="clear" w:color="auto" w:fill="E1DFDD"/>
    </w:rPr>
  </w:style>
  <w:style w:type="character" w:styleId="Hipervnculovisitado">
    <w:name w:val="FollowedHyperlink"/>
    <w:basedOn w:val="Fuentedeprrafopredeter"/>
    <w:uiPriority w:val="99"/>
    <w:semiHidden/>
    <w:unhideWhenUsed/>
    <w:rsid w:val="00DF714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8177159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44009217">
      <w:bodyDiv w:val="1"/>
      <w:marLeft w:val="0"/>
      <w:marRight w:val="0"/>
      <w:marTop w:val="0"/>
      <w:marBottom w:val="0"/>
      <w:divBdr>
        <w:top w:val="none" w:sz="0" w:space="0" w:color="auto"/>
        <w:left w:val="none" w:sz="0" w:space="0" w:color="auto"/>
        <w:bottom w:val="none" w:sz="0" w:space="0" w:color="auto"/>
        <w:right w:val="none" w:sz="0" w:space="0" w:color="auto"/>
      </w:divBdr>
      <w:divsChild>
        <w:div w:id="257375527">
          <w:marLeft w:val="0"/>
          <w:marRight w:val="0"/>
          <w:marTop w:val="0"/>
          <w:marBottom w:val="0"/>
          <w:divBdr>
            <w:top w:val="none" w:sz="0" w:space="0" w:color="auto"/>
            <w:left w:val="none" w:sz="0" w:space="0" w:color="auto"/>
            <w:bottom w:val="none" w:sz="0" w:space="0" w:color="auto"/>
            <w:right w:val="none" w:sz="0" w:space="0" w:color="auto"/>
          </w:divBdr>
        </w:div>
        <w:div w:id="33620246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pbn.vuce.gov.co/consultas/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enesrelevantes.colombiacompr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enesrelevantes.colombiacompr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C0FBCBB-D680-2E4A-AD14-0C0F8AEC3807}">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EE1D78D-F21A-4A2D-A71C-48F4430F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EF290-17E0-464B-95FE-65704296FB2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16</Pages>
  <Words>6219</Words>
  <Characters>34206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4</cp:revision>
  <cp:lastPrinted>2020-01-30T15:05:00Z</cp:lastPrinted>
  <dcterms:created xsi:type="dcterms:W3CDTF">2022-01-04T17:18:00Z</dcterms:created>
  <dcterms:modified xsi:type="dcterms:W3CDTF">2022-01-17T14:38:00Z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