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9B27A5"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9B27A5">
        <w:rPr>
          <w:rFonts w:ascii="Arial" w:hAnsi="Arial" w:cs="Arial"/>
          <w:bCs/>
          <w:color w:val="000000" w:themeColor="text1"/>
          <w:sz w:val="16"/>
          <w:szCs w:val="16"/>
          <w:lang w:val="es-ES_tradnl" w:eastAsia="es-ES"/>
        </w:rPr>
        <w:t>CCE-DES-FM-17</w:t>
      </w:r>
      <w:bookmarkEnd w:id="0"/>
      <w:bookmarkEnd w:id="1"/>
    </w:p>
    <w:p w14:paraId="55FBD910" w14:textId="77777777" w:rsidR="008536BB" w:rsidRPr="009B27A5"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9B27A5"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9B27A5">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9B27A5"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9B27A5"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9B27A5">
        <w:rPr>
          <w:rFonts w:ascii="Arial" w:hAnsi="Arial" w:cs="Arial"/>
          <w:bCs/>
          <w:color w:val="000000" w:themeColor="text1"/>
          <w:sz w:val="20"/>
          <w:szCs w:val="20"/>
          <w:lang w:val="es-ES_tradnl" w:eastAsia="es-CO"/>
        </w:rPr>
        <w:t xml:space="preserve">[…] la Ley 996 de 2005 </w:t>
      </w:r>
      <w:r w:rsidRPr="009B27A5">
        <w:rPr>
          <w:rFonts w:ascii="Arial" w:eastAsia="Calibri" w:hAnsi="Arial" w:cs="Arial"/>
          <w:color w:val="000000" w:themeColor="text1"/>
          <w:sz w:val="20"/>
          <w:szCs w:val="20"/>
          <w:lang w:val="es-ES_tradnl" w:eastAsia="en-US"/>
        </w:rPr>
        <w:t>«</w:t>
      </w:r>
      <w:r w:rsidRPr="009B27A5">
        <w:rPr>
          <w:rStyle w:val="Textoennegrita"/>
          <w:rFonts w:ascii="Arial" w:hAnsi="Arial" w:cs="Arial"/>
          <w:b w:val="0"/>
          <w:bCs w:val="0"/>
          <w:color w:val="000000" w:themeColor="text1"/>
          <w:sz w:val="20"/>
          <w:szCs w:val="20"/>
          <w:shd w:val="clear" w:color="auto" w:fill="FFFFFF"/>
          <w:lang w:val="es-ES_tradnl"/>
        </w:rPr>
        <w:t>Por</w:t>
      </w:r>
      <w:r w:rsidRPr="009B27A5">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9B27A5">
        <w:rPr>
          <w:rFonts w:ascii="Arial" w:eastAsia="Calibri" w:hAnsi="Arial" w:cs="Arial"/>
          <w:bCs/>
          <w:color w:val="000000" w:themeColor="text1"/>
          <w:sz w:val="20"/>
          <w:szCs w:val="20"/>
          <w:lang w:val="es-ES_tradnl" w:eastAsia="en-US"/>
        </w:rPr>
        <w:t>»,</w:t>
      </w:r>
      <w:r w:rsidRPr="009B27A5">
        <w:rPr>
          <w:rStyle w:val="Textoennegrita"/>
          <w:rFonts w:ascii="Arial" w:hAnsi="Arial" w:cs="Arial"/>
          <w:color w:val="000000" w:themeColor="text1"/>
          <w:sz w:val="20"/>
          <w:szCs w:val="20"/>
          <w:shd w:val="clear" w:color="auto" w:fill="FFFFFF"/>
          <w:lang w:val="es-ES_tradnl"/>
        </w:rPr>
        <w:t xml:space="preserve"> </w:t>
      </w:r>
      <w:r w:rsidRPr="009B27A5">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9B27A5"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9B27A5"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9B27A5">
        <w:rPr>
          <w:rFonts w:ascii="Arial" w:eastAsia="Calibri" w:hAnsi="Arial" w:cs="Arial"/>
          <w:b/>
          <w:bCs/>
          <w:color w:val="000000" w:themeColor="text1"/>
          <w:sz w:val="22"/>
          <w:szCs w:val="22"/>
          <w:lang w:val="es-ES_tradnl" w:eastAsia="en-US"/>
        </w:rPr>
        <w:t>LEY DE GARANTÍAS ELECTORALES ‒</w:t>
      </w:r>
      <w:bookmarkEnd w:id="2"/>
      <w:r w:rsidRPr="009B27A5">
        <w:rPr>
          <w:rFonts w:ascii="Arial" w:eastAsia="Calibri" w:hAnsi="Arial" w:cs="Arial"/>
          <w:b/>
          <w:bCs/>
          <w:color w:val="000000" w:themeColor="text1"/>
          <w:sz w:val="22"/>
          <w:szCs w:val="22"/>
          <w:lang w:val="es-ES_tradnl" w:eastAsia="en-US"/>
        </w:rPr>
        <w:t xml:space="preserve"> Restricciones </w:t>
      </w:r>
      <w:bookmarkStart w:id="4" w:name="_Hlk77157034"/>
      <w:r w:rsidRPr="009B27A5">
        <w:rPr>
          <w:rFonts w:ascii="Arial" w:eastAsia="Calibri" w:hAnsi="Arial" w:cs="Arial"/>
          <w:b/>
          <w:bCs/>
          <w:color w:val="000000" w:themeColor="text1"/>
          <w:sz w:val="22"/>
          <w:szCs w:val="22"/>
          <w:lang w:val="es-ES_tradnl" w:eastAsia="en-US"/>
        </w:rPr>
        <w:t xml:space="preserve">‒ </w:t>
      </w:r>
      <w:bookmarkEnd w:id="4"/>
      <w:r w:rsidRPr="009B27A5">
        <w:rPr>
          <w:rFonts w:ascii="Arial" w:eastAsia="Calibri" w:hAnsi="Arial" w:cs="Arial"/>
          <w:b/>
          <w:bCs/>
          <w:color w:val="000000" w:themeColor="text1"/>
          <w:sz w:val="22"/>
          <w:szCs w:val="22"/>
          <w:lang w:val="es-ES_tradnl" w:eastAsia="en-US"/>
        </w:rPr>
        <w:t>Contratación</w:t>
      </w:r>
      <w:bookmarkStart w:id="5" w:name="_Hlk77153098"/>
      <w:r w:rsidRPr="009B27A5">
        <w:rPr>
          <w:rFonts w:ascii="Arial" w:eastAsia="Calibri" w:hAnsi="Arial" w:cs="Arial"/>
          <w:b/>
          <w:bCs/>
          <w:color w:val="000000" w:themeColor="text1"/>
          <w:sz w:val="22"/>
          <w:szCs w:val="22"/>
          <w:lang w:val="es-ES_tradnl" w:eastAsia="en-US"/>
        </w:rPr>
        <w:t xml:space="preserve"> ‒ Tipos de elección</w:t>
      </w:r>
      <w:bookmarkEnd w:id="5"/>
      <w:r w:rsidRPr="009B27A5">
        <w:rPr>
          <w:rFonts w:ascii="Arial" w:eastAsia="Calibri" w:hAnsi="Arial" w:cs="Arial"/>
          <w:b/>
          <w:bCs/>
          <w:color w:val="000000" w:themeColor="text1"/>
          <w:sz w:val="22"/>
          <w:szCs w:val="22"/>
          <w:lang w:val="es-ES_tradnl" w:eastAsia="en-US"/>
        </w:rPr>
        <w:t xml:space="preserve"> </w:t>
      </w:r>
    </w:p>
    <w:p w14:paraId="5DD8B328" w14:textId="77777777" w:rsidR="00D92C14" w:rsidRPr="009B27A5"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9B27A5" w:rsidRDefault="00D92C14" w:rsidP="00D92C14">
      <w:pPr>
        <w:spacing w:after="120"/>
        <w:jc w:val="both"/>
        <w:rPr>
          <w:rFonts w:ascii="Arial" w:eastAsia="Arial" w:hAnsi="Arial" w:cs="Arial"/>
          <w:color w:val="000000" w:themeColor="text1"/>
          <w:sz w:val="20"/>
          <w:szCs w:val="20"/>
          <w:lang w:val="es-ES_tradnl" w:eastAsia="es-ES" w:bidi="es-ES"/>
        </w:rPr>
      </w:pPr>
      <w:r w:rsidRPr="009B27A5">
        <w:rPr>
          <w:rFonts w:ascii="Arial" w:hAnsi="Arial" w:cs="Arial"/>
          <w:bCs/>
          <w:color w:val="000000" w:themeColor="text1"/>
          <w:sz w:val="20"/>
          <w:szCs w:val="20"/>
          <w:lang w:val="es-ES_tradnl" w:eastAsia="es-CO"/>
        </w:rPr>
        <w:t xml:space="preserve">La </w:t>
      </w:r>
      <w:r w:rsidRPr="009B27A5">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9B27A5">
        <w:rPr>
          <w:rFonts w:ascii="Arial" w:eastAsia="Arial" w:hAnsi="Arial" w:cs="Arial"/>
          <w:color w:val="000000" w:themeColor="text1"/>
          <w:sz w:val="20"/>
          <w:szCs w:val="20"/>
          <w:lang w:val="es-ES_tradnl" w:eastAsia="es-ES" w:bidi="es-ES"/>
        </w:rPr>
        <w:t xml:space="preserve"> </w:t>
      </w:r>
      <w:r w:rsidRPr="009B27A5">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9B27A5">
        <w:rPr>
          <w:rFonts w:ascii="Arial" w:eastAsia="Calibri" w:hAnsi="Arial" w:cs="Arial"/>
          <w:bCs/>
          <w:color w:val="000000" w:themeColor="text1"/>
          <w:sz w:val="20"/>
          <w:szCs w:val="20"/>
          <w:lang w:val="es-ES_tradnl" w:eastAsia="en-US"/>
        </w:rPr>
        <w:t xml:space="preserve">«[…] </w:t>
      </w:r>
      <w:r w:rsidRPr="009B27A5">
        <w:rPr>
          <w:rFonts w:ascii="Arial" w:eastAsia="Calibri" w:hAnsi="Arial" w:cs="Arial"/>
          <w:color w:val="000000" w:themeColor="text1"/>
          <w:sz w:val="20"/>
          <w:szCs w:val="20"/>
          <w:lang w:val="es-ES_tradnl" w:eastAsia="en-US"/>
        </w:rPr>
        <w:t>la contratación directa por parte de todos los entes del Estado</w:t>
      </w:r>
      <w:r w:rsidRPr="009B27A5">
        <w:rPr>
          <w:rFonts w:ascii="Arial" w:eastAsia="Calibri" w:hAnsi="Arial" w:cs="Arial"/>
          <w:bCs/>
          <w:color w:val="000000" w:themeColor="text1"/>
          <w:sz w:val="20"/>
          <w:szCs w:val="20"/>
          <w:lang w:val="es-ES_tradnl" w:eastAsia="en-US"/>
        </w:rPr>
        <w:t>»</w:t>
      </w:r>
      <w:r w:rsidRPr="009B27A5">
        <w:rPr>
          <w:rFonts w:ascii="Arial" w:eastAsia="Calibri" w:hAnsi="Arial" w:cs="Arial"/>
          <w:color w:val="000000" w:themeColor="text1"/>
          <w:sz w:val="20"/>
          <w:szCs w:val="20"/>
          <w:lang w:val="es-ES_tradnl" w:eastAsia="en-US"/>
        </w:rPr>
        <w:t xml:space="preserve"> durante los cuatro (4) meses anteriores a las elecciones presidenciales, salvo </w:t>
      </w:r>
      <w:r w:rsidRPr="009B27A5">
        <w:rPr>
          <w:rFonts w:ascii="Arial" w:eastAsia="Calibri" w:hAnsi="Arial" w:cs="Arial"/>
          <w:bCs/>
          <w:color w:val="000000" w:themeColor="text1"/>
          <w:sz w:val="20"/>
          <w:szCs w:val="20"/>
          <w:lang w:val="es-ES_tradnl" w:eastAsia="en-US"/>
        </w:rPr>
        <w:t xml:space="preserve">«[…] </w:t>
      </w:r>
      <w:r w:rsidRPr="009B27A5">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B27A5">
        <w:rPr>
          <w:rFonts w:ascii="Arial" w:eastAsia="Calibri" w:hAnsi="Arial" w:cs="Arial"/>
          <w:bCs/>
          <w:color w:val="000000" w:themeColor="text1"/>
          <w:sz w:val="20"/>
          <w:szCs w:val="20"/>
          <w:lang w:val="es-ES_tradnl" w:eastAsia="en-US"/>
        </w:rPr>
        <w:t>»</w:t>
      </w:r>
      <w:r w:rsidRPr="009B27A5">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9B27A5">
        <w:rPr>
          <w:rFonts w:ascii="Arial" w:eastAsia="Calibri" w:hAnsi="Arial" w:cs="Arial"/>
          <w:bCs/>
          <w:color w:val="000000" w:themeColor="text1"/>
          <w:sz w:val="20"/>
          <w:szCs w:val="20"/>
          <w:lang w:val="es-ES_tradnl" w:eastAsia="en-US"/>
        </w:rPr>
        <w:t xml:space="preserve">«[…] </w:t>
      </w:r>
      <w:r w:rsidRPr="009B27A5">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B27A5">
        <w:rPr>
          <w:rFonts w:ascii="Arial" w:eastAsia="Calibri" w:hAnsi="Arial" w:cs="Arial"/>
          <w:bCs/>
          <w:color w:val="000000" w:themeColor="text1"/>
          <w:sz w:val="20"/>
          <w:szCs w:val="20"/>
          <w:lang w:val="es-ES_tradnl" w:eastAsia="en-US"/>
        </w:rPr>
        <w:t>»</w:t>
      </w:r>
      <w:r w:rsidRPr="009B27A5">
        <w:rPr>
          <w:rFonts w:ascii="Arial" w:eastAsia="Calibri" w:hAnsi="Arial" w:cs="Arial"/>
          <w:color w:val="000000" w:themeColor="text1"/>
          <w:sz w:val="20"/>
          <w:szCs w:val="20"/>
          <w:lang w:val="es-ES_tradnl" w:eastAsia="en-US"/>
        </w:rPr>
        <w:t>.</w:t>
      </w:r>
      <w:r w:rsidRPr="009B27A5">
        <w:rPr>
          <w:rFonts w:ascii="Arial" w:eastAsia="Calibri" w:hAnsi="Arial" w:cs="Arial"/>
          <w:noProof/>
          <w:color w:val="000000" w:themeColor="text1"/>
          <w:sz w:val="20"/>
          <w:szCs w:val="20"/>
          <w:lang w:val="es-ES_tradnl" w:eastAsia="en-US"/>
        </w:rPr>
        <w:t>.</w:t>
      </w:r>
    </w:p>
    <w:bookmarkEnd w:id="3"/>
    <w:p w14:paraId="74B3D82A" w14:textId="77777777" w:rsidR="00D92C14" w:rsidRPr="009B27A5" w:rsidRDefault="00D92C14" w:rsidP="00D92C14">
      <w:pPr>
        <w:spacing w:after="120"/>
        <w:jc w:val="both"/>
        <w:rPr>
          <w:rFonts w:ascii="Arial" w:eastAsia="Arial" w:hAnsi="Arial" w:cs="Arial"/>
          <w:color w:val="000000" w:themeColor="text1"/>
          <w:sz w:val="20"/>
          <w:szCs w:val="20"/>
          <w:lang w:val="es-ES_tradnl" w:eastAsia="es-ES" w:bidi="es-ES"/>
        </w:rPr>
      </w:pPr>
    </w:p>
    <w:p w14:paraId="3278BB5E" w14:textId="77777777" w:rsidR="00D92C14" w:rsidRPr="009B27A5" w:rsidRDefault="00D92C14" w:rsidP="00D92C14">
      <w:pPr>
        <w:tabs>
          <w:tab w:val="left" w:pos="426"/>
        </w:tabs>
        <w:jc w:val="both"/>
        <w:rPr>
          <w:rFonts w:ascii="Arial" w:eastAsia="Calibri" w:hAnsi="Arial" w:cs="Arial"/>
          <w:b/>
          <w:bCs/>
          <w:sz w:val="22"/>
          <w:szCs w:val="22"/>
          <w:lang w:val="es-ES_tradnl" w:eastAsia="en-US"/>
        </w:rPr>
      </w:pPr>
      <w:bookmarkStart w:id="6" w:name="_Hlk77165666"/>
      <w:r w:rsidRPr="009B27A5">
        <w:rPr>
          <w:rFonts w:ascii="Arial" w:eastAsia="Calibri" w:hAnsi="Arial" w:cs="Arial"/>
          <w:b/>
          <w:bCs/>
          <w:sz w:val="22"/>
          <w:szCs w:val="22"/>
          <w:lang w:val="es-ES_tradnl" w:eastAsia="en-US"/>
        </w:rPr>
        <w:t xml:space="preserve">LEY DE GARANTÍAS ELECTORALES ─ Prohibición artículo 33 ‒ </w:t>
      </w:r>
      <w:bookmarkEnd w:id="6"/>
      <w:r w:rsidRPr="009B27A5">
        <w:rPr>
          <w:rFonts w:ascii="Arial" w:eastAsia="Calibri" w:hAnsi="Arial" w:cs="Arial"/>
          <w:b/>
          <w:bCs/>
          <w:sz w:val="22"/>
          <w:szCs w:val="22"/>
          <w:lang w:val="es-ES_tradnl" w:eastAsia="en-US"/>
        </w:rPr>
        <w:t xml:space="preserve">Contratación directa ‒ Alcance </w:t>
      </w:r>
    </w:p>
    <w:p w14:paraId="5CB8E594" w14:textId="77777777" w:rsidR="00D92C14" w:rsidRPr="009B27A5"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9B27A5" w:rsidRDefault="00D92C14" w:rsidP="00D92C14">
      <w:pPr>
        <w:jc w:val="both"/>
        <w:rPr>
          <w:rFonts w:ascii="Arial" w:hAnsi="Arial" w:cs="Arial"/>
          <w:bCs/>
          <w:sz w:val="20"/>
          <w:szCs w:val="20"/>
          <w:lang w:val="es-ES_tradnl" w:eastAsia="x-none"/>
        </w:rPr>
      </w:pPr>
      <w:r w:rsidRPr="009B27A5">
        <w:rPr>
          <w:rFonts w:ascii="Arial" w:eastAsia="Calibri" w:hAnsi="Arial" w:cs="Arial"/>
          <w:noProof/>
          <w:sz w:val="20"/>
          <w:szCs w:val="20"/>
          <w:lang w:val="es-ES_tradnl" w:eastAsia="en-US"/>
        </w:rPr>
        <w:t xml:space="preserve">[…] </w:t>
      </w:r>
      <w:r w:rsidRPr="009B27A5">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9B27A5">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9B27A5">
        <w:rPr>
          <w:rFonts w:ascii="Arial" w:hAnsi="Arial" w:cs="Arial"/>
          <w:sz w:val="20"/>
          <w:szCs w:val="20"/>
          <w:vertAlign w:val="superscript"/>
          <w:lang w:val="es-ES_tradnl" w:eastAsia="x-none"/>
        </w:rPr>
        <w:t xml:space="preserve">. </w:t>
      </w:r>
      <w:r w:rsidRPr="009B27A5">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9B27A5">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9B27A5" w:rsidRDefault="00D92C14" w:rsidP="00D92C14">
      <w:pPr>
        <w:jc w:val="both"/>
        <w:rPr>
          <w:rFonts w:ascii="Arial" w:hAnsi="Arial" w:cs="Arial"/>
          <w:b/>
          <w:bCs/>
          <w:sz w:val="20"/>
          <w:szCs w:val="20"/>
          <w:lang w:val="es-ES_tradnl" w:eastAsia="es-ES"/>
        </w:rPr>
      </w:pPr>
    </w:p>
    <w:p w14:paraId="5CC1D062" w14:textId="77777777" w:rsidR="00D92C14" w:rsidRPr="009B27A5" w:rsidRDefault="00D92C14" w:rsidP="00D92C14">
      <w:pPr>
        <w:shd w:val="clear" w:color="auto" w:fill="FFFFFF"/>
        <w:jc w:val="both"/>
        <w:rPr>
          <w:rFonts w:ascii="Arial" w:hAnsi="Arial" w:cs="Arial"/>
          <w:b/>
          <w:bCs/>
          <w:sz w:val="22"/>
          <w:szCs w:val="22"/>
          <w:lang w:val="es-ES_tradnl" w:eastAsia="es-CO"/>
        </w:rPr>
      </w:pPr>
      <w:r w:rsidRPr="009B27A5">
        <w:rPr>
          <w:rFonts w:ascii="Arial" w:hAnsi="Arial" w:cs="Arial"/>
          <w:b/>
          <w:bCs/>
          <w:sz w:val="22"/>
          <w:szCs w:val="22"/>
          <w:lang w:val="es-ES_tradnl" w:eastAsia="es-CO"/>
        </w:rPr>
        <w:t xml:space="preserve">LEY DE GARANTÍAS ELECTORALES </w:t>
      </w:r>
      <w:bookmarkStart w:id="7" w:name="_Hlk77022358"/>
      <w:r w:rsidRPr="009B27A5">
        <w:rPr>
          <w:rFonts w:ascii="Arial" w:hAnsi="Arial" w:cs="Arial"/>
          <w:b/>
          <w:bCs/>
          <w:sz w:val="22"/>
          <w:szCs w:val="22"/>
          <w:lang w:val="es-ES_tradnl" w:eastAsia="es-CO"/>
        </w:rPr>
        <w:t>‒</w:t>
      </w:r>
      <w:bookmarkEnd w:id="7"/>
      <w:r w:rsidRPr="009B27A5">
        <w:rPr>
          <w:rFonts w:ascii="Arial" w:hAnsi="Arial" w:cs="Arial"/>
          <w:b/>
          <w:bCs/>
          <w:sz w:val="22"/>
          <w:szCs w:val="22"/>
          <w:lang w:val="es-ES_tradnl" w:eastAsia="es-CO"/>
        </w:rPr>
        <w:t xml:space="preserve"> Excepciones</w:t>
      </w:r>
      <w:r w:rsidRPr="009B27A5">
        <w:rPr>
          <w:rFonts w:ascii="Arial" w:hAnsi="Arial" w:cs="Arial"/>
          <w:b/>
          <w:sz w:val="22"/>
          <w:szCs w:val="22"/>
          <w:lang w:val="es-ES_tradnl" w:eastAsia="es-CO"/>
        </w:rPr>
        <w:t xml:space="preserve"> </w:t>
      </w:r>
    </w:p>
    <w:p w14:paraId="12642EB9" w14:textId="77777777" w:rsidR="00D92C14" w:rsidRPr="009B27A5"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9B27A5" w:rsidRDefault="00D92C14" w:rsidP="00D92C14">
      <w:pPr>
        <w:tabs>
          <w:tab w:val="left" w:pos="426"/>
        </w:tabs>
        <w:jc w:val="both"/>
        <w:rPr>
          <w:rFonts w:ascii="Arial" w:eastAsia="Calibri" w:hAnsi="Arial" w:cs="Arial"/>
          <w:sz w:val="20"/>
          <w:szCs w:val="20"/>
          <w:lang w:val="es-ES_tradnl" w:eastAsia="en-US"/>
        </w:rPr>
      </w:pPr>
      <w:r w:rsidRPr="009B27A5">
        <w:rPr>
          <w:rFonts w:ascii="Arial" w:hAnsi="Arial" w:cs="Arial"/>
          <w:sz w:val="20"/>
          <w:szCs w:val="20"/>
          <w:lang w:val="es-ES_tradnl" w:eastAsia="x-none"/>
        </w:rPr>
        <w:t xml:space="preserve">[…] </w:t>
      </w:r>
      <w:r w:rsidRPr="009B27A5">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9B27A5"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9B27A5" w:rsidRDefault="00D92C14" w:rsidP="00D92C14">
      <w:pPr>
        <w:jc w:val="both"/>
        <w:rPr>
          <w:rFonts w:ascii="Arial" w:hAnsi="Arial" w:cs="Arial"/>
          <w:b/>
          <w:sz w:val="22"/>
          <w:szCs w:val="22"/>
          <w:lang w:val="es-ES_tradnl" w:eastAsia="es-CO"/>
        </w:rPr>
      </w:pPr>
      <w:r w:rsidRPr="009B27A5">
        <w:rPr>
          <w:rFonts w:ascii="Arial" w:hAnsi="Arial" w:cs="Arial"/>
          <w:b/>
          <w:bCs/>
          <w:sz w:val="22"/>
          <w:szCs w:val="22"/>
          <w:lang w:val="es-ES_tradnl" w:eastAsia="es-CO"/>
        </w:rPr>
        <w:t xml:space="preserve">LEY DE GARANTÍAS ELECTORALES </w:t>
      </w:r>
      <w:bookmarkStart w:id="8" w:name="_Hlk77166669"/>
      <w:r w:rsidRPr="009B27A5">
        <w:rPr>
          <w:rFonts w:ascii="Arial" w:hAnsi="Arial" w:cs="Arial"/>
          <w:b/>
          <w:bCs/>
          <w:sz w:val="22"/>
          <w:szCs w:val="22"/>
          <w:lang w:val="es-ES_tradnl" w:eastAsia="es-CO"/>
        </w:rPr>
        <w:t>‒</w:t>
      </w:r>
      <w:bookmarkEnd w:id="8"/>
      <w:r w:rsidRPr="009B27A5">
        <w:rPr>
          <w:rFonts w:ascii="Arial" w:hAnsi="Arial" w:cs="Arial"/>
          <w:b/>
          <w:bCs/>
          <w:sz w:val="22"/>
          <w:szCs w:val="22"/>
          <w:lang w:val="es-ES_tradnl" w:eastAsia="es-CO"/>
        </w:rPr>
        <w:t xml:space="preserve"> </w:t>
      </w:r>
      <w:r w:rsidRPr="009B27A5">
        <w:rPr>
          <w:rFonts w:ascii="Arial" w:hAnsi="Arial" w:cs="Arial"/>
          <w:b/>
          <w:sz w:val="22"/>
          <w:szCs w:val="22"/>
          <w:lang w:val="es-ES_tradnl" w:eastAsia="es-CO"/>
        </w:rPr>
        <w:t xml:space="preserve">Prohibición del artículo 33 </w:t>
      </w:r>
      <w:r w:rsidRPr="009B27A5">
        <w:rPr>
          <w:rFonts w:ascii="Arial" w:hAnsi="Arial" w:cs="Arial"/>
          <w:b/>
          <w:bCs/>
          <w:sz w:val="22"/>
          <w:szCs w:val="22"/>
          <w:lang w:val="es-ES_tradnl" w:eastAsia="es-CO"/>
        </w:rPr>
        <w:t>‒ Destinatarios</w:t>
      </w:r>
    </w:p>
    <w:p w14:paraId="435877BF" w14:textId="77777777" w:rsidR="00D92C14" w:rsidRPr="009B27A5"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9B27A5" w:rsidRDefault="00D92C14" w:rsidP="00D92C14">
      <w:pPr>
        <w:tabs>
          <w:tab w:val="left" w:pos="426"/>
        </w:tabs>
        <w:jc w:val="both"/>
        <w:rPr>
          <w:rFonts w:ascii="Arial" w:hAnsi="Arial" w:cs="Arial"/>
          <w:bCs/>
          <w:sz w:val="20"/>
          <w:szCs w:val="20"/>
          <w:lang w:val="es-ES_tradnl" w:eastAsia="x-none"/>
        </w:rPr>
      </w:pPr>
      <w:r w:rsidRPr="009B27A5">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B27A5">
        <w:rPr>
          <w:rFonts w:ascii="Calibri" w:eastAsia="Calibri" w:hAnsi="Calibri"/>
          <w:sz w:val="20"/>
          <w:szCs w:val="20"/>
          <w:lang w:val="es-ES_tradnl" w:eastAsia="en-US"/>
        </w:rPr>
        <w:t xml:space="preserve"> </w:t>
      </w:r>
      <w:r w:rsidRPr="009B27A5">
        <w:rPr>
          <w:rFonts w:ascii="Arial" w:hAnsi="Arial" w:cs="Arial"/>
          <w:bCs/>
          <w:sz w:val="20"/>
          <w:szCs w:val="20"/>
          <w:lang w:val="es-ES_tradnl" w:eastAsia="x-none"/>
        </w:rPr>
        <w:t>En efecto, tal como lo ha sostenido el Consejo de Estado, el vocablo «todos» utilizado por el legislador comprende</w:t>
      </w:r>
      <w:r w:rsidRPr="009B27A5">
        <w:rPr>
          <w:rFonts w:ascii="Calibri" w:eastAsia="Calibri" w:hAnsi="Calibri"/>
          <w:sz w:val="20"/>
          <w:szCs w:val="20"/>
          <w:lang w:val="es-ES_tradnl" w:eastAsia="en-US"/>
        </w:rPr>
        <w:t xml:space="preserve"> </w:t>
      </w:r>
      <w:r w:rsidRPr="009B27A5">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AFF8026" w14:textId="77777777" w:rsidR="00D92C14" w:rsidRPr="009B27A5" w:rsidRDefault="00D92C14" w:rsidP="00D92C14">
      <w:pPr>
        <w:tabs>
          <w:tab w:val="left" w:pos="426"/>
        </w:tabs>
        <w:jc w:val="both"/>
        <w:rPr>
          <w:rFonts w:ascii="Arial" w:eastAsia="Calibri" w:hAnsi="Arial" w:cs="Arial"/>
          <w:color w:val="000000" w:themeColor="text1"/>
          <w:sz w:val="20"/>
          <w:szCs w:val="20"/>
          <w:lang w:val="es-ES_tradnl" w:eastAsia="en-US"/>
        </w:rPr>
      </w:pPr>
    </w:p>
    <w:p w14:paraId="56E3F8D6" w14:textId="77777777" w:rsidR="00D92C14" w:rsidRPr="009B27A5" w:rsidRDefault="00D92C14" w:rsidP="00D92C14">
      <w:pPr>
        <w:jc w:val="both"/>
        <w:rPr>
          <w:rFonts w:ascii="Arial" w:eastAsia="Calibri" w:hAnsi="Arial" w:cs="Arial"/>
          <w:b/>
          <w:color w:val="000000" w:themeColor="text1"/>
          <w:sz w:val="22"/>
          <w:szCs w:val="22"/>
          <w:lang w:val="es-ES_tradnl" w:eastAsia="en-US"/>
        </w:rPr>
      </w:pPr>
      <w:r w:rsidRPr="009B27A5">
        <w:rPr>
          <w:rFonts w:ascii="Arial" w:eastAsia="Calibri" w:hAnsi="Arial" w:cs="Arial"/>
          <w:b/>
          <w:color w:val="000000" w:themeColor="text1"/>
          <w:sz w:val="22"/>
          <w:szCs w:val="22"/>
          <w:lang w:val="es-ES_tradnl" w:eastAsia="en-US"/>
        </w:rPr>
        <w:t xml:space="preserve">CONTRATOS Y </w:t>
      </w:r>
      <w:r w:rsidRPr="009B27A5">
        <w:rPr>
          <w:rFonts w:ascii="Arial" w:eastAsiaTheme="minorHAnsi" w:hAnsi="Arial" w:cs="Arial"/>
          <w:b/>
          <w:color w:val="000000" w:themeColor="text1"/>
          <w:sz w:val="22"/>
          <w:szCs w:val="22"/>
          <w:lang w:val="es-ES_tradnl" w:eastAsia="en-US"/>
        </w:rPr>
        <w:t xml:space="preserve">CONVENIOS INTERADMINISTRATIVOS </w:t>
      </w:r>
      <w:r w:rsidRPr="009B27A5">
        <w:rPr>
          <w:rFonts w:ascii="Arial" w:eastAsia="Calibri" w:hAnsi="Arial" w:cs="Arial"/>
          <w:b/>
          <w:color w:val="000000" w:themeColor="text1"/>
          <w:sz w:val="22"/>
          <w:szCs w:val="22"/>
          <w:lang w:val="es-ES_tradnl" w:eastAsia="en-US"/>
        </w:rPr>
        <w:t xml:space="preserve">– Definición – Criterio orgánico </w:t>
      </w:r>
    </w:p>
    <w:p w14:paraId="02CE0B14" w14:textId="77777777" w:rsidR="00D92C14" w:rsidRPr="009B27A5" w:rsidRDefault="00D92C14" w:rsidP="00D92C14">
      <w:pPr>
        <w:jc w:val="both"/>
        <w:rPr>
          <w:rFonts w:ascii="Arial" w:eastAsia="Calibri" w:hAnsi="Arial" w:cs="Arial"/>
          <w:bCs/>
          <w:color w:val="000000" w:themeColor="text1"/>
          <w:sz w:val="20"/>
          <w:szCs w:val="20"/>
          <w:lang w:val="es-ES_tradnl" w:eastAsia="en-US"/>
        </w:rPr>
      </w:pPr>
    </w:p>
    <w:p w14:paraId="358BAFDE" w14:textId="77777777" w:rsidR="00D92C14" w:rsidRPr="009B27A5" w:rsidRDefault="00D92C14" w:rsidP="00D92C14">
      <w:pPr>
        <w:widowControl w:val="0"/>
        <w:autoSpaceDE w:val="0"/>
        <w:autoSpaceDN w:val="0"/>
        <w:spacing w:after="120"/>
        <w:jc w:val="both"/>
        <w:rPr>
          <w:rFonts w:ascii="Arial" w:eastAsia="Arial" w:hAnsi="Arial" w:cs="Arial"/>
          <w:color w:val="000000" w:themeColor="text1"/>
          <w:sz w:val="20"/>
          <w:szCs w:val="20"/>
          <w:lang w:val="es-ES_tradnl" w:eastAsia="es-ES" w:bidi="es-ES"/>
        </w:rPr>
      </w:pPr>
      <w:r w:rsidRPr="009B27A5">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9B27A5">
        <w:rPr>
          <w:rFonts w:ascii="Arial" w:eastAsia="Arial" w:hAnsi="Arial" w:cs="Arial"/>
          <w:color w:val="000000" w:themeColor="text1"/>
          <w:spacing w:val="-6"/>
          <w:sz w:val="20"/>
          <w:szCs w:val="20"/>
          <w:lang w:val="es-ES_tradnl" w:eastAsia="es-ES" w:bidi="es-ES"/>
        </w:rPr>
        <w:t xml:space="preserve"> </w:t>
      </w:r>
      <w:r w:rsidRPr="009B27A5">
        <w:rPr>
          <w:rFonts w:ascii="Arial" w:eastAsia="Arial" w:hAnsi="Arial" w:cs="Arial"/>
          <w:color w:val="000000" w:themeColor="text1"/>
          <w:sz w:val="20"/>
          <w:szCs w:val="20"/>
          <w:lang w:val="es-ES_tradnl" w:eastAsia="es-ES" w:bidi="es-ES"/>
        </w:rPr>
        <w:t>estatales.</w:t>
      </w:r>
    </w:p>
    <w:p w14:paraId="4AE6BAEE" w14:textId="77777777" w:rsidR="00D92C14" w:rsidRPr="009B27A5" w:rsidRDefault="00D92C14" w:rsidP="00D92C14">
      <w:pPr>
        <w:jc w:val="both"/>
        <w:rPr>
          <w:rFonts w:ascii="Arial" w:eastAsia="Calibri" w:hAnsi="Arial" w:cs="Arial"/>
          <w:bCs/>
          <w:color w:val="000000" w:themeColor="text1"/>
          <w:sz w:val="22"/>
          <w:szCs w:val="22"/>
          <w:lang w:val="es-ES_tradnl" w:eastAsia="en-US"/>
        </w:rPr>
      </w:pPr>
    </w:p>
    <w:p w14:paraId="109E20CB" w14:textId="77777777" w:rsidR="00D92C14" w:rsidRPr="009B27A5" w:rsidRDefault="00D92C14" w:rsidP="00D92C14">
      <w:pPr>
        <w:jc w:val="both"/>
        <w:rPr>
          <w:rFonts w:ascii="Arial" w:eastAsiaTheme="minorHAnsi" w:hAnsi="Arial" w:cs="Arial"/>
          <w:b/>
          <w:color w:val="000000" w:themeColor="text1"/>
          <w:sz w:val="22"/>
          <w:szCs w:val="22"/>
          <w:lang w:val="es-ES_tradnl" w:eastAsia="en-US"/>
        </w:rPr>
      </w:pPr>
      <w:r w:rsidRPr="009B27A5">
        <w:rPr>
          <w:rFonts w:ascii="Arial" w:eastAsia="Calibri" w:hAnsi="Arial" w:cs="Arial"/>
          <w:b/>
          <w:color w:val="000000" w:themeColor="text1"/>
          <w:sz w:val="22"/>
          <w:szCs w:val="22"/>
          <w:lang w:val="es-ES_tradnl" w:eastAsia="en-US"/>
        </w:rPr>
        <w:t xml:space="preserve">CONTRATOS Y </w:t>
      </w:r>
      <w:r w:rsidRPr="009B27A5">
        <w:rPr>
          <w:rFonts w:ascii="Arial" w:eastAsiaTheme="minorHAnsi" w:hAnsi="Arial" w:cs="Arial"/>
          <w:b/>
          <w:color w:val="000000" w:themeColor="text1"/>
          <w:sz w:val="22"/>
          <w:szCs w:val="22"/>
          <w:lang w:val="es-ES_tradnl" w:eastAsia="en-US"/>
        </w:rPr>
        <w:t>CONVENIOS INTERADMINISTRATIVOS – Modalidad de selección</w:t>
      </w:r>
    </w:p>
    <w:p w14:paraId="1D5CC78B" w14:textId="77777777" w:rsidR="00D92C14" w:rsidRPr="009B27A5" w:rsidRDefault="00D92C14" w:rsidP="00D92C14">
      <w:pPr>
        <w:jc w:val="both"/>
        <w:rPr>
          <w:rFonts w:ascii="Arial" w:eastAsiaTheme="minorHAnsi" w:hAnsi="Arial" w:cs="Arial"/>
          <w:b/>
          <w:color w:val="000000" w:themeColor="text1"/>
          <w:sz w:val="20"/>
          <w:szCs w:val="20"/>
          <w:lang w:val="es-ES_tradnl" w:eastAsia="en-US"/>
        </w:rPr>
      </w:pPr>
    </w:p>
    <w:p w14:paraId="0B5FD107" w14:textId="77777777" w:rsidR="00D92C14" w:rsidRPr="009B27A5" w:rsidRDefault="00D92C14" w:rsidP="00D92C14">
      <w:pPr>
        <w:widowControl w:val="0"/>
        <w:autoSpaceDE w:val="0"/>
        <w:autoSpaceDN w:val="0"/>
        <w:spacing w:before="119"/>
        <w:jc w:val="both"/>
        <w:rPr>
          <w:rFonts w:ascii="Arial" w:eastAsia="Arial" w:hAnsi="Arial" w:cs="Arial"/>
          <w:color w:val="000000" w:themeColor="text1"/>
          <w:sz w:val="20"/>
          <w:szCs w:val="20"/>
          <w:lang w:val="es-ES_tradnl" w:eastAsia="es-ES" w:bidi="es-ES"/>
        </w:rPr>
      </w:pPr>
      <w:r w:rsidRPr="009B27A5">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w:t>
      </w:r>
      <w:r w:rsidRPr="009B27A5">
        <w:rPr>
          <w:rFonts w:ascii="Arial" w:eastAsia="Arial" w:hAnsi="Arial" w:cs="Arial"/>
          <w:color w:val="000000" w:themeColor="text1"/>
          <w:sz w:val="20"/>
          <w:szCs w:val="20"/>
          <w:lang w:val="es-ES_tradnl" w:eastAsia="es-ES" w:bidi="es-ES"/>
        </w:rPr>
        <w:lastRenderedPageBreak/>
        <w:t>interés común para ambas partes, celebran un negocio jurídico. No obstante, es posible que se 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9B27A5">
        <w:rPr>
          <w:rFonts w:ascii="Arial" w:eastAsia="Arial" w:hAnsi="Arial" w:cs="Arial"/>
          <w:color w:val="000000" w:themeColor="text1"/>
          <w:spacing w:val="-3"/>
          <w:sz w:val="20"/>
          <w:szCs w:val="20"/>
          <w:lang w:val="es-ES_tradnl" w:eastAsia="es-ES" w:bidi="es-ES"/>
        </w:rPr>
        <w:t xml:space="preserve"> </w:t>
      </w:r>
      <w:r w:rsidRPr="009B27A5">
        <w:rPr>
          <w:rFonts w:ascii="Arial" w:eastAsia="Arial" w:hAnsi="Arial" w:cs="Arial"/>
          <w:color w:val="000000" w:themeColor="text1"/>
          <w:sz w:val="20"/>
          <w:szCs w:val="20"/>
          <w:lang w:val="es-ES_tradnl" w:eastAsia="es-ES" w:bidi="es-ES"/>
        </w:rPr>
        <w:t>estatales.</w:t>
      </w:r>
    </w:p>
    <w:p w14:paraId="75E2AF7D" w14:textId="77777777" w:rsidR="00D92C14" w:rsidRPr="009B27A5" w:rsidRDefault="00D92C14" w:rsidP="00D92C14">
      <w:pPr>
        <w:rPr>
          <w:rFonts w:ascii="Arial" w:hAnsi="Arial" w:cs="Arial"/>
          <w:color w:val="000000" w:themeColor="text1"/>
          <w:sz w:val="22"/>
          <w:lang w:val="es-ES_tradnl"/>
        </w:rPr>
      </w:pPr>
    </w:p>
    <w:p w14:paraId="14734639" w14:textId="769DFF0D" w:rsidR="00D92C14" w:rsidRPr="009B27A5" w:rsidRDefault="00745A1E" w:rsidP="00D92C14">
      <w:pPr>
        <w:jc w:val="both"/>
        <w:rPr>
          <w:rFonts w:ascii="Arial" w:hAnsi="Arial" w:cs="Arial"/>
          <w:b/>
          <w:color w:val="000000" w:themeColor="text1"/>
          <w:sz w:val="22"/>
          <w:lang w:val="es-ES_tradnl"/>
        </w:rPr>
      </w:pPr>
      <w:r w:rsidRPr="009B27A5">
        <w:rPr>
          <w:rFonts w:ascii="Arial" w:hAnsi="Arial" w:cs="Arial"/>
          <w:b/>
          <w:color w:val="000000" w:themeColor="text1"/>
          <w:sz w:val="22"/>
          <w:lang w:val="es-ES_tradnl"/>
        </w:rPr>
        <w:t>ACTO ADMINISTRATIVO</w:t>
      </w:r>
      <w:r w:rsidR="00D92C14" w:rsidRPr="009B27A5">
        <w:rPr>
          <w:rFonts w:ascii="Arial" w:hAnsi="Arial" w:cs="Arial"/>
          <w:b/>
          <w:color w:val="000000" w:themeColor="text1"/>
          <w:sz w:val="22"/>
          <w:lang w:val="es-ES_tradnl"/>
        </w:rPr>
        <w:t xml:space="preserve"> – </w:t>
      </w:r>
      <w:r w:rsidR="007440CB" w:rsidRPr="009B27A5">
        <w:rPr>
          <w:rFonts w:ascii="Arial" w:hAnsi="Arial" w:cs="Arial"/>
          <w:b/>
          <w:color w:val="000000" w:themeColor="text1"/>
          <w:sz w:val="22"/>
          <w:lang w:val="es-ES_tradnl"/>
        </w:rPr>
        <w:t xml:space="preserve">Transferencia de bienes </w:t>
      </w:r>
      <w:r w:rsidR="009D23A4" w:rsidRPr="009B27A5">
        <w:rPr>
          <w:rFonts w:ascii="Arial" w:hAnsi="Arial" w:cs="Arial"/>
          <w:b/>
          <w:color w:val="000000" w:themeColor="text1"/>
          <w:sz w:val="22"/>
          <w:lang w:val="es-ES_tradnl"/>
        </w:rPr>
        <w:t xml:space="preserve">– </w:t>
      </w:r>
      <w:r w:rsidRPr="009B27A5">
        <w:rPr>
          <w:rFonts w:ascii="Arial" w:hAnsi="Arial" w:cs="Arial"/>
          <w:b/>
          <w:color w:val="000000" w:themeColor="text1"/>
          <w:sz w:val="22"/>
          <w:lang w:val="es-ES_tradnl"/>
        </w:rPr>
        <w:t>Decreto Legislativo 559 de 2020</w:t>
      </w:r>
      <w:r w:rsidR="00D92C14" w:rsidRPr="009B27A5">
        <w:rPr>
          <w:rFonts w:ascii="Arial" w:hAnsi="Arial" w:cs="Arial"/>
          <w:b/>
          <w:color w:val="000000" w:themeColor="text1"/>
          <w:sz w:val="22"/>
          <w:lang w:val="es-ES_tradnl"/>
        </w:rPr>
        <w:t xml:space="preserve"> – </w:t>
      </w:r>
      <w:r w:rsidR="00266209" w:rsidRPr="009B27A5">
        <w:rPr>
          <w:rFonts w:ascii="Arial" w:hAnsi="Arial" w:cs="Arial"/>
          <w:b/>
          <w:color w:val="000000" w:themeColor="text1"/>
          <w:sz w:val="22"/>
          <w:lang w:val="es-ES_tradnl"/>
        </w:rPr>
        <w:t>No prohibido</w:t>
      </w:r>
    </w:p>
    <w:p w14:paraId="2559BD45" w14:textId="77777777" w:rsidR="00D92C14" w:rsidRPr="009B27A5" w:rsidRDefault="00D92C14" w:rsidP="00D92C14">
      <w:pPr>
        <w:rPr>
          <w:rFonts w:ascii="Arial" w:hAnsi="Arial" w:cs="Arial"/>
          <w:color w:val="000000" w:themeColor="text1"/>
          <w:sz w:val="22"/>
          <w:lang w:val="es-ES_tradnl"/>
        </w:rPr>
      </w:pPr>
    </w:p>
    <w:p w14:paraId="002C4024" w14:textId="2A3505EC" w:rsidR="00266209" w:rsidRPr="009B27A5" w:rsidRDefault="007440CB" w:rsidP="007440CB">
      <w:pPr>
        <w:jc w:val="both"/>
        <w:rPr>
          <w:rFonts w:ascii="Arial" w:hAnsi="Arial" w:cs="Arial"/>
          <w:bCs/>
          <w:sz w:val="20"/>
          <w:szCs w:val="20"/>
          <w:lang w:val="es-ES_tradnl" w:eastAsia="es-CO"/>
        </w:rPr>
      </w:pPr>
      <w:r w:rsidRPr="009B27A5">
        <w:rPr>
          <w:rFonts w:ascii="Arial" w:hAnsi="Arial" w:cs="Arial"/>
          <w:bCs/>
          <w:sz w:val="20"/>
          <w:szCs w:val="20"/>
          <w:lang w:val="es-ES_tradnl" w:eastAsia="es-CO"/>
        </w:rPr>
        <w:t>[…]</w:t>
      </w:r>
      <w:r w:rsidR="00266209" w:rsidRPr="009B27A5">
        <w:rPr>
          <w:rFonts w:ascii="Arial" w:hAnsi="Arial" w:cs="Arial"/>
          <w:bCs/>
          <w:sz w:val="20"/>
          <w:szCs w:val="20"/>
          <w:lang w:val="es-ES_tradnl" w:eastAsia="es-CO"/>
        </w:rPr>
        <w:t>, a la transferencia de bienes efectuada cumpliendo los requisitos establecidos en el artículo 9 del Decreto 559 de 2020 no le resultan aplicables las restricciones previstas en el artículo 38 de la Ley 996 de 2005, porque lo que en este precepto se prohíbe es «celebrar convenios interadministrativos para la ejecución de recursos públicos». Como se explicó en este concepto, un convenio interadministrativo es un acuerdo de voluntades en el que intervienen dos o más entidades públicas, o sea un acto jurídico bilateral o que participa de la forma contractual, de conformidad con el artículo 1495 del Código Civil. La forma jurídica consagrada, para efectuar la transferencia gratuita de bienes, en el artículo 9 del Decreto 559 de 2020 es el acto administrativo, no el convenio interadministrativo.</w:t>
      </w:r>
    </w:p>
    <w:p w14:paraId="72581427" w14:textId="77777777" w:rsidR="007440CB" w:rsidRPr="009B27A5" w:rsidRDefault="007440CB" w:rsidP="007440CB">
      <w:pPr>
        <w:jc w:val="both"/>
        <w:rPr>
          <w:rFonts w:ascii="Arial" w:hAnsi="Arial" w:cs="Arial"/>
          <w:bCs/>
          <w:sz w:val="20"/>
          <w:szCs w:val="20"/>
          <w:lang w:val="es-ES_tradnl" w:eastAsia="es-CO"/>
        </w:rPr>
      </w:pPr>
    </w:p>
    <w:p w14:paraId="3CA5551C" w14:textId="0D182535" w:rsidR="00266209" w:rsidRPr="009B27A5" w:rsidRDefault="00266209" w:rsidP="007440CB">
      <w:pPr>
        <w:jc w:val="both"/>
        <w:rPr>
          <w:rFonts w:ascii="Arial" w:hAnsi="Arial" w:cs="Arial"/>
          <w:bCs/>
          <w:sz w:val="20"/>
          <w:szCs w:val="20"/>
          <w:lang w:val="es-ES_tradnl" w:eastAsia="es-CO"/>
        </w:rPr>
      </w:pPr>
      <w:r w:rsidRPr="009B27A5">
        <w:rPr>
          <w:rFonts w:ascii="Arial" w:hAnsi="Arial" w:cs="Arial"/>
          <w:bCs/>
          <w:sz w:val="20"/>
          <w:szCs w:val="20"/>
          <w:lang w:val="es-ES_tradnl" w:eastAsia="es-CO"/>
        </w:rPr>
        <w:t xml:space="preserve">Pero, si en gracia de discusión, el anterior argumento –que para esta Agencia es el principal–, no fuera suficiente, en consonancia con lo indicado en los párrafos iniciales de este numeral, también los criterios hermenéuticos de la especialidad, de la posterioridad y del carácter restrictivo de los enunciados gravosos, apoyan la interpretación de que la transferencia efectuada en los estrictos términos del artículo 9 del Decreto 559 de 2020 no ingresa dentro de la prohibición del parágrafo del artículo 38 de la Ley 996 de 2005. Esto por cuanto el Decreto 559 es una Ley –pues se trata de un Decreto Legislativo– i) especial, en la medida en que regula una materia determinada y con vocación excepcional y ii) posterior en el tiempo. Además, iii) en consideración al criterio de interpretación restrictiva, si el parágrafo del artículo 38 de la Ley 996 de 2005 prohibió la celebración de convenios interadministrativos no puede entenderse </w:t>
      </w:r>
      <w:r w:rsidRPr="009B27A5">
        <w:rPr>
          <w:rFonts w:ascii="Arial" w:hAnsi="Arial" w:cs="Arial"/>
          <w:bCs/>
          <w:i/>
          <w:iCs/>
          <w:sz w:val="20"/>
          <w:szCs w:val="20"/>
          <w:lang w:val="es-ES_tradnl" w:eastAsia="es-CO"/>
        </w:rPr>
        <w:t>también</w:t>
      </w:r>
      <w:r w:rsidRPr="009B27A5">
        <w:rPr>
          <w:rFonts w:ascii="Arial" w:hAnsi="Arial" w:cs="Arial"/>
          <w:bCs/>
          <w:sz w:val="20"/>
          <w:szCs w:val="20"/>
          <w:lang w:val="es-ES_tradnl" w:eastAsia="es-CO"/>
        </w:rPr>
        <w:t xml:space="preserve"> prohibido el acto administrativo que permite expedir el artículo 9 del Decreto 559 de 2020, porque se estaría incluyendo una circunstancia que el supuesto de hecho de la restricción no contempla.</w:t>
      </w:r>
    </w:p>
    <w:p w14:paraId="76C6FC11" w14:textId="77777777" w:rsidR="007440CB" w:rsidRPr="009B27A5" w:rsidRDefault="007440CB" w:rsidP="007440CB">
      <w:pPr>
        <w:jc w:val="both"/>
        <w:rPr>
          <w:rFonts w:ascii="Arial" w:hAnsi="Arial" w:cs="Arial"/>
          <w:bCs/>
          <w:sz w:val="20"/>
          <w:szCs w:val="20"/>
          <w:lang w:val="es-ES_tradnl" w:eastAsia="es-CO"/>
        </w:rPr>
      </w:pPr>
    </w:p>
    <w:p w14:paraId="2DBED736" w14:textId="380A1B52" w:rsidR="00266209" w:rsidRPr="009B27A5" w:rsidRDefault="00266209" w:rsidP="007440CB">
      <w:pPr>
        <w:jc w:val="both"/>
        <w:rPr>
          <w:rFonts w:ascii="Arial" w:hAnsi="Arial" w:cs="Arial"/>
          <w:bCs/>
          <w:sz w:val="22"/>
          <w:szCs w:val="22"/>
          <w:lang w:val="es-ES_tradnl" w:eastAsia="es-CO"/>
        </w:rPr>
      </w:pPr>
      <w:r w:rsidRPr="009B27A5">
        <w:rPr>
          <w:rFonts w:ascii="Arial" w:hAnsi="Arial" w:cs="Arial"/>
          <w:bCs/>
          <w:sz w:val="20"/>
          <w:szCs w:val="20"/>
          <w:lang w:val="es-ES_tradnl" w:eastAsia="es-CO"/>
        </w:rPr>
        <w:t>Finalmente, la Agencia llama la atención sobre el deber de las entidades estatales de analizar en cada caso la norma atributiva de la competencia, para observar cuál es la forma jurídica que consagra. Si la norma no permite expedir un acto administrativo para disponer de recursos durante el período de vigencia de la ley de garantías electorales, no puede la entidad pretender burlar el efecto de la prohibición de contratar directamente o de celebrar un convenio, según el caso, expidiendo un acto administrativo para disponer de los recursos. El artículo 6 de la Constitución establece que los servidores públicos son responsables «[…] por infringir la Constitución y las leyes» y «</w:t>
      </w:r>
      <w:r w:rsidRPr="009B27A5">
        <w:rPr>
          <w:rFonts w:ascii="Arial" w:hAnsi="Arial" w:cs="Arial"/>
          <w:sz w:val="20"/>
          <w:szCs w:val="20"/>
          <w:lang w:val="es-ES_tradnl"/>
        </w:rPr>
        <w:t xml:space="preserve">[…] </w:t>
      </w:r>
      <w:r w:rsidRPr="009B27A5">
        <w:rPr>
          <w:rFonts w:ascii="Arial" w:hAnsi="Arial" w:cs="Arial"/>
          <w:bCs/>
          <w:sz w:val="20"/>
          <w:szCs w:val="20"/>
          <w:lang w:val="es-ES_tradnl" w:eastAsia="es-CO"/>
        </w:rPr>
        <w:t xml:space="preserve">por omisión o extralimitación en el ejercicio de sus funciones», es decir que solo pueden hacer lo que les esté expresamente permitido. Así las cosas, la interpretación efectuada por la Agencia en este concepto tiene en cuenta que el artículo 9 del Decreto 559 de 2020 es una norma especial que permite efectuar una transferencia gratuita de bienes a través de un acto administrativo, pero este criterio no se puede generalizar en hipótesis que no establezcan dicha permisión legal expresa.  </w:t>
      </w:r>
      <w:r w:rsidRPr="009B27A5">
        <w:rPr>
          <w:rFonts w:ascii="Arial" w:hAnsi="Arial" w:cs="Arial"/>
          <w:bCs/>
          <w:sz w:val="22"/>
          <w:szCs w:val="22"/>
          <w:lang w:val="es-ES_tradnl" w:eastAsia="es-CO"/>
        </w:rPr>
        <w:t xml:space="preserve">   </w:t>
      </w:r>
    </w:p>
    <w:p w14:paraId="2E26BED3" w14:textId="167ACD8C" w:rsidR="00D92C14" w:rsidRPr="009B27A5" w:rsidRDefault="00D92C14" w:rsidP="00D92C14">
      <w:pPr>
        <w:spacing w:before="120" w:after="120"/>
        <w:jc w:val="both"/>
        <w:rPr>
          <w:rFonts w:ascii="Arial" w:hAnsi="Arial" w:cs="Arial"/>
          <w:sz w:val="22"/>
          <w:lang w:val="es-ES_tradnl"/>
        </w:rPr>
      </w:pPr>
    </w:p>
    <w:p w14:paraId="23B81988" w14:textId="77777777" w:rsidR="006A103E" w:rsidRPr="009B27A5"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Pr="009B27A5" w:rsidRDefault="006A103E" w:rsidP="00B95C30">
      <w:pPr>
        <w:spacing w:line="276" w:lineRule="auto"/>
        <w:jc w:val="both"/>
        <w:rPr>
          <w:rFonts w:ascii="Arial" w:hAnsi="Arial" w:cs="Arial"/>
          <w:noProof/>
          <w:color w:val="000000" w:themeColor="text1"/>
          <w:sz w:val="22"/>
          <w:lang w:val="es-ES_tradnl"/>
        </w:rPr>
      </w:pPr>
    </w:p>
    <w:p w14:paraId="5BB376F6" w14:textId="77777777" w:rsidR="007440CB" w:rsidRPr="009B27A5"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9B27A5"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9B27A5" w:rsidRDefault="008815D1" w:rsidP="003A68F4">
      <w:pPr>
        <w:spacing w:line="276" w:lineRule="auto"/>
        <w:jc w:val="both"/>
        <w:rPr>
          <w:rFonts w:ascii="Arial" w:hAnsi="Arial" w:cs="Arial"/>
          <w:noProof/>
          <w:color w:val="000000" w:themeColor="text1"/>
          <w:sz w:val="22"/>
          <w:lang w:val="es-ES_tradnl"/>
        </w:rPr>
      </w:pPr>
    </w:p>
    <w:p w14:paraId="783FE56A" w14:textId="4E56EABA" w:rsidR="003A68F4" w:rsidRPr="009B27A5" w:rsidRDefault="003A68F4" w:rsidP="003A68F4">
      <w:pPr>
        <w:spacing w:line="276" w:lineRule="auto"/>
        <w:jc w:val="both"/>
        <w:rPr>
          <w:rFonts w:ascii="Arial" w:hAnsi="Arial" w:cs="Arial"/>
          <w:b/>
          <w:color w:val="000000" w:themeColor="text1"/>
          <w:sz w:val="22"/>
          <w:lang w:val="es-ES_tradnl"/>
        </w:rPr>
      </w:pPr>
      <w:r w:rsidRPr="009B27A5">
        <w:rPr>
          <w:rFonts w:ascii="Arial" w:hAnsi="Arial" w:cs="Arial"/>
          <w:noProof/>
          <w:color w:val="000000" w:themeColor="text1"/>
          <w:sz w:val="22"/>
          <w:lang w:val="es-ES_tradnl"/>
        </w:rPr>
        <w:t xml:space="preserve">Bogotá D.C., </w:t>
      </w:r>
      <w:r w:rsidR="00544E6D">
        <w:rPr>
          <w:rFonts w:ascii="Arial" w:hAnsi="Arial" w:cs="Arial"/>
          <w:b/>
          <w:color w:val="000000" w:themeColor="text1"/>
          <w:sz w:val="22"/>
          <w:lang w:val="es-ES_tradnl"/>
        </w:rPr>
        <w:t>07/12/2021 13:</w:t>
      </w:r>
      <w:r w:rsidR="007C5D5C">
        <w:rPr>
          <w:rFonts w:ascii="Arial" w:hAnsi="Arial" w:cs="Arial"/>
          <w:b/>
          <w:color w:val="000000" w:themeColor="text1"/>
          <w:sz w:val="22"/>
          <w:lang w:val="es-ES_tradnl"/>
        </w:rPr>
        <w:t>35:17</w:t>
      </w:r>
    </w:p>
    <w:p w14:paraId="14FD7B30" w14:textId="77777777" w:rsidR="008815D1" w:rsidRPr="009B27A5" w:rsidRDefault="008815D1" w:rsidP="003A68F4">
      <w:pPr>
        <w:spacing w:line="276" w:lineRule="auto"/>
        <w:jc w:val="both"/>
        <w:rPr>
          <w:rFonts w:ascii="Arial" w:eastAsia="Calibri" w:hAnsi="Arial" w:cs="Arial"/>
          <w:noProof/>
          <w:color w:val="000000" w:themeColor="text1"/>
          <w:sz w:val="22"/>
          <w:szCs w:val="22"/>
          <w:lang w:val="es-ES_tradnl"/>
        </w:rPr>
      </w:pPr>
    </w:p>
    <w:p w14:paraId="6A8A869B" w14:textId="5E0B4FDE" w:rsidR="00B95C30" w:rsidRPr="009B27A5" w:rsidRDefault="00544E6D" w:rsidP="00544E6D">
      <w:pPr>
        <w:jc w:val="right"/>
        <w:rPr>
          <w:rFonts w:ascii="Arial" w:hAnsi="Arial" w:cs="Arial"/>
          <w:bCs/>
          <w:color w:val="000000" w:themeColor="text1"/>
          <w:sz w:val="22"/>
          <w:lang w:val="es-ES_tradnl"/>
        </w:rPr>
      </w:pPr>
      <w:r w:rsidRPr="00544E6D">
        <w:rPr>
          <w:rFonts w:ascii="Arial" w:hAnsi="Arial" w:cs="Arial"/>
          <w:b/>
          <w:color w:val="000000" w:themeColor="text1"/>
          <w:sz w:val="22"/>
          <w:lang w:val="es-ES_tradnl"/>
        </w:rPr>
        <w:drawing>
          <wp:inline distT="0" distB="0" distL="0" distR="0" wp14:anchorId="7303EE2F" wp14:editId="78D5688C">
            <wp:extent cx="240030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300" cy="635000"/>
                    </a:xfrm>
                    <a:prstGeom prst="rect">
                      <a:avLst/>
                    </a:prstGeom>
                  </pic:spPr>
                </pic:pic>
              </a:graphicData>
            </a:graphic>
          </wp:inline>
        </w:drawing>
      </w:r>
    </w:p>
    <w:p w14:paraId="25BDE90E" w14:textId="77777777" w:rsidR="008815D1" w:rsidRPr="009B27A5" w:rsidRDefault="008815D1" w:rsidP="00B95C30">
      <w:pPr>
        <w:jc w:val="both"/>
        <w:rPr>
          <w:rFonts w:ascii="Arial" w:hAnsi="Arial" w:cs="Arial"/>
          <w:bCs/>
          <w:color w:val="000000" w:themeColor="text1"/>
          <w:sz w:val="22"/>
          <w:lang w:val="es-ES_tradnl"/>
        </w:rPr>
      </w:pPr>
    </w:p>
    <w:p w14:paraId="5F5AE9EF" w14:textId="2D49D7B1" w:rsidR="00B95C30" w:rsidRPr="009B27A5" w:rsidRDefault="00327781" w:rsidP="00B95C30">
      <w:pPr>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Doctor(a)</w:t>
      </w:r>
    </w:p>
    <w:p w14:paraId="3DCD58CE" w14:textId="6D387A20" w:rsidR="00B95C30" w:rsidRPr="009B27A5" w:rsidRDefault="00272CC8" w:rsidP="00B95C30">
      <w:pPr>
        <w:jc w:val="both"/>
        <w:rPr>
          <w:rFonts w:ascii="Arial" w:eastAsia="Calibri" w:hAnsi="Arial" w:cs="Arial"/>
          <w:b/>
          <w:color w:val="000000" w:themeColor="text1"/>
          <w:sz w:val="22"/>
          <w:lang w:val="es-ES_tradnl"/>
        </w:rPr>
      </w:pPr>
      <w:r w:rsidRPr="009B27A5">
        <w:rPr>
          <w:rFonts w:ascii="Arial" w:eastAsia="Calibri" w:hAnsi="Arial" w:cs="Arial"/>
          <w:b/>
          <w:color w:val="000000" w:themeColor="text1"/>
          <w:sz w:val="22"/>
          <w:lang w:val="es-ES_tradnl"/>
        </w:rPr>
        <w:t>Adriana Jiménez Rodríguez</w:t>
      </w:r>
    </w:p>
    <w:p w14:paraId="2AB2215A" w14:textId="1530A91D" w:rsidR="00272CC8" w:rsidRPr="009B27A5" w:rsidRDefault="00272CC8" w:rsidP="00B95C30">
      <w:pPr>
        <w:jc w:val="both"/>
        <w:rPr>
          <w:rFonts w:ascii="Arial" w:eastAsia="Calibri" w:hAnsi="Arial" w:cs="Arial"/>
          <w:b/>
          <w:color w:val="000000" w:themeColor="text1"/>
          <w:sz w:val="22"/>
          <w:lang w:val="es-ES_tradnl"/>
        </w:rPr>
      </w:pPr>
      <w:r w:rsidRPr="009B27A5">
        <w:rPr>
          <w:rFonts w:ascii="Arial" w:eastAsia="Calibri" w:hAnsi="Arial" w:cs="Arial"/>
          <w:b/>
          <w:color w:val="000000" w:themeColor="text1"/>
          <w:sz w:val="22"/>
          <w:lang w:val="es-ES_tradnl"/>
        </w:rPr>
        <w:t>Eduardo José González Angulo</w:t>
      </w:r>
    </w:p>
    <w:p w14:paraId="09D4AEA8" w14:textId="70B36AA0" w:rsidR="00B95C30" w:rsidRPr="009B27A5" w:rsidRDefault="002A58BB" w:rsidP="00B95C30">
      <w:pPr>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Bogotá D.C.</w:t>
      </w:r>
    </w:p>
    <w:p w14:paraId="3F3D1203" w14:textId="77777777" w:rsidR="00B95C30" w:rsidRPr="009B27A5" w:rsidRDefault="00B95C30" w:rsidP="00B95C30">
      <w:pPr>
        <w:jc w:val="both"/>
        <w:rPr>
          <w:rFonts w:ascii="Arial" w:eastAsia="Calibri" w:hAnsi="Arial" w:cs="Arial"/>
          <w:color w:val="000000" w:themeColor="text1"/>
          <w:sz w:val="22"/>
          <w:lang w:val="es-ES_tradnl"/>
        </w:rPr>
      </w:pPr>
    </w:p>
    <w:p w14:paraId="24E8D2A9" w14:textId="77777777" w:rsidR="00B95C30" w:rsidRPr="009B27A5" w:rsidRDefault="00B95C30" w:rsidP="00B95C30">
      <w:pPr>
        <w:jc w:val="both"/>
        <w:rPr>
          <w:rFonts w:ascii="Arial" w:eastAsia="Calibri" w:hAnsi="Arial" w:cs="Arial"/>
          <w:color w:val="000000" w:themeColor="text1"/>
          <w:sz w:val="22"/>
          <w:lang w:val="es-ES_tradnl"/>
        </w:rPr>
      </w:pPr>
    </w:p>
    <w:p w14:paraId="12E66182" w14:textId="7DBE8915" w:rsidR="00B95C30" w:rsidRPr="009B27A5" w:rsidRDefault="008815D1" w:rsidP="00C925C4">
      <w:pPr>
        <w:rPr>
          <w:rFonts w:ascii="Arial" w:eastAsia="Calibri" w:hAnsi="Arial" w:cs="Arial"/>
          <w:b/>
          <w:bCs/>
          <w:color w:val="000000" w:themeColor="text1"/>
          <w:sz w:val="22"/>
          <w:lang w:val="es-ES_tradnl"/>
        </w:rPr>
      </w:pPr>
      <w:r w:rsidRPr="009B27A5">
        <w:rPr>
          <w:rFonts w:ascii="Arial" w:eastAsia="Calibri" w:hAnsi="Arial" w:cs="Arial"/>
          <w:b/>
          <w:bCs/>
          <w:color w:val="000000" w:themeColor="text1"/>
          <w:sz w:val="22"/>
          <w:lang w:val="es-ES_tradnl"/>
        </w:rPr>
        <w:t xml:space="preserve">                                            </w:t>
      </w:r>
      <w:r w:rsidR="00B95C30" w:rsidRPr="009B27A5">
        <w:rPr>
          <w:rFonts w:ascii="Arial" w:eastAsia="Calibri" w:hAnsi="Arial" w:cs="Arial"/>
          <w:b/>
          <w:bCs/>
          <w:color w:val="000000" w:themeColor="text1"/>
          <w:sz w:val="22"/>
          <w:lang w:val="es-ES_tradnl"/>
        </w:rPr>
        <w:t xml:space="preserve">Concepto C ‒ </w:t>
      </w:r>
      <w:r w:rsidR="001429DA" w:rsidRPr="009B27A5">
        <w:rPr>
          <w:rFonts w:ascii="Arial" w:eastAsia="Calibri" w:hAnsi="Arial" w:cs="Arial"/>
          <w:b/>
          <w:bCs/>
          <w:color w:val="000000" w:themeColor="text1"/>
          <w:sz w:val="22"/>
          <w:lang w:val="es-ES_tradnl"/>
        </w:rPr>
        <w:t xml:space="preserve">592 </w:t>
      </w:r>
      <w:r w:rsidR="00B95C30" w:rsidRPr="009B27A5">
        <w:rPr>
          <w:rFonts w:ascii="Arial" w:eastAsia="Calibri" w:hAnsi="Arial" w:cs="Arial"/>
          <w:b/>
          <w:bCs/>
          <w:color w:val="000000" w:themeColor="text1"/>
          <w:sz w:val="22"/>
          <w:lang w:val="es-ES_tradnl"/>
        </w:rPr>
        <w:t>de 202</w:t>
      </w:r>
      <w:r w:rsidR="00C56976" w:rsidRPr="009B27A5">
        <w:rPr>
          <w:rFonts w:ascii="Arial" w:eastAsia="Calibri" w:hAnsi="Arial" w:cs="Arial"/>
          <w:b/>
          <w:bCs/>
          <w:color w:val="000000" w:themeColor="text1"/>
          <w:sz w:val="22"/>
          <w:lang w:val="es-ES_tradnl"/>
        </w:rPr>
        <w:t>1</w:t>
      </w:r>
    </w:p>
    <w:p w14:paraId="1BD594F9" w14:textId="77777777" w:rsidR="00B95C30" w:rsidRPr="009B27A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B27A5" w14:paraId="19DFC051" w14:textId="77777777" w:rsidTr="002442D4">
        <w:tc>
          <w:tcPr>
            <w:tcW w:w="2689" w:type="dxa"/>
          </w:tcPr>
          <w:p w14:paraId="6BC0D1AC" w14:textId="77777777" w:rsidR="00B95C30" w:rsidRPr="009B27A5" w:rsidRDefault="00B95C30" w:rsidP="002442D4">
            <w:pPr>
              <w:jc w:val="both"/>
              <w:rPr>
                <w:rFonts w:ascii="Arial" w:eastAsia="Calibri" w:hAnsi="Arial" w:cs="Arial"/>
                <w:color w:val="000000" w:themeColor="text1"/>
                <w:sz w:val="22"/>
                <w:lang w:val="es-ES_tradnl"/>
              </w:rPr>
            </w:pPr>
            <w:r w:rsidRPr="009B27A5">
              <w:rPr>
                <w:rFonts w:ascii="Arial" w:eastAsia="Calibri" w:hAnsi="Arial" w:cs="Arial"/>
                <w:b/>
                <w:color w:val="000000" w:themeColor="text1"/>
                <w:sz w:val="22"/>
                <w:lang w:val="es-ES_tradnl"/>
              </w:rPr>
              <w:t>Temas:</w:t>
            </w:r>
            <w:r w:rsidRPr="009B27A5">
              <w:rPr>
                <w:rFonts w:ascii="Arial" w:eastAsia="Calibri" w:hAnsi="Arial" w:cs="Arial"/>
                <w:color w:val="000000" w:themeColor="text1"/>
                <w:sz w:val="22"/>
                <w:lang w:val="es-ES_tradnl"/>
              </w:rPr>
              <w:t xml:space="preserve">                                      </w:t>
            </w:r>
          </w:p>
        </w:tc>
        <w:tc>
          <w:tcPr>
            <w:tcW w:w="6237" w:type="dxa"/>
          </w:tcPr>
          <w:p w14:paraId="5F389CAF" w14:textId="68776889" w:rsidR="00B95C30" w:rsidRPr="009B27A5" w:rsidRDefault="002043FB" w:rsidP="0038512F">
            <w:pPr>
              <w:pStyle w:val="Sinespaciado"/>
              <w:jc w:val="both"/>
              <w:rPr>
                <w:rFonts w:ascii="Arial" w:hAnsi="Arial" w:cs="Arial"/>
                <w:bCs/>
                <w:sz w:val="22"/>
                <w:lang w:val="es-ES_tradnl"/>
              </w:rPr>
            </w:pPr>
            <w:r w:rsidRPr="009B27A5">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9B27A5">
              <w:rPr>
                <w:rFonts w:ascii="Arial" w:eastAsia="Calibri" w:hAnsi="Arial" w:cs="Arial"/>
                <w:bCs/>
                <w:sz w:val="22"/>
                <w:lang w:val="es-ES_tradnl"/>
              </w:rPr>
              <w:t xml:space="preserve">LEY DE GARANTÍAS ELECTORALES ─ Prohibición artículo 33 ‒ Contratación directa ‒ Alcance / </w:t>
            </w:r>
            <w:r w:rsidRPr="009B27A5">
              <w:rPr>
                <w:rFonts w:ascii="Arial" w:hAnsi="Arial" w:cs="Arial"/>
                <w:bCs/>
                <w:sz w:val="22"/>
                <w:lang w:val="es-ES_tradnl" w:eastAsia="es-CO"/>
              </w:rPr>
              <w:t>LEY DE GARANTÍAS ELECTORALES ‒ Excepciones</w:t>
            </w:r>
            <w:r w:rsidRPr="009B27A5">
              <w:rPr>
                <w:rFonts w:ascii="Arial" w:hAnsi="Arial" w:cs="Arial"/>
                <w:sz w:val="22"/>
                <w:lang w:val="es-ES_tradnl" w:eastAsia="es-CO"/>
              </w:rPr>
              <w:t xml:space="preserve"> / </w:t>
            </w:r>
            <w:r w:rsidRPr="009B27A5">
              <w:rPr>
                <w:rFonts w:ascii="Arial" w:hAnsi="Arial" w:cs="Arial"/>
                <w:bCs/>
                <w:sz w:val="22"/>
                <w:lang w:val="es-ES_tradnl" w:eastAsia="es-CO"/>
              </w:rPr>
              <w:t xml:space="preserve">LEY DE GARANTÍAS ELECTORALES ‒ </w:t>
            </w:r>
            <w:r w:rsidRPr="009B27A5">
              <w:rPr>
                <w:rFonts w:ascii="Arial" w:hAnsi="Arial" w:cs="Arial"/>
                <w:sz w:val="22"/>
                <w:lang w:val="es-ES_tradnl" w:eastAsia="es-CO"/>
              </w:rPr>
              <w:t xml:space="preserve">Prohibición del artículo 33 </w:t>
            </w:r>
            <w:r w:rsidRPr="009B27A5">
              <w:rPr>
                <w:rFonts w:ascii="Arial" w:hAnsi="Arial" w:cs="Arial"/>
                <w:bCs/>
                <w:sz w:val="22"/>
                <w:lang w:val="es-ES_tradnl" w:eastAsia="es-CO"/>
              </w:rPr>
              <w:t xml:space="preserve">‒ Destinatarios / </w:t>
            </w:r>
            <w:r w:rsidRPr="009B27A5">
              <w:rPr>
                <w:rFonts w:ascii="Arial" w:eastAsia="Calibri" w:hAnsi="Arial" w:cs="Arial"/>
                <w:color w:val="000000" w:themeColor="text1"/>
                <w:sz w:val="22"/>
                <w:lang w:val="es-ES_tradnl"/>
              </w:rPr>
              <w:t xml:space="preserve">CONTRATOS Y </w:t>
            </w:r>
            <w:r w:rsidRPr="009B27A5">
              <w:rPr>
                <w:rFonts w:ascii="Arial" w:hAnsi="Arial" w:cs="Arial"/>
                <w:color w:val="000000" w:themeColor="text1"/>
                <w:sz w:val="22"/>
                <w:lang w:val="es-ES_tradnl"/>
              </w:rPr>
              <w:t xml:space="preserve">CONVENIOS INTERADMINISTRATIVOS </w:t>
            </w:r>
            <w:r w:rsidRPr="009B27A5">
              <w:rPr>
                <w:rFonts w:ascii="Arial" w:eastAsia="Calibri" w:hAnsi="Arial" w:cs="Arial"/>
                <w:color w:val="000000" w:themeColor="text1"/>
                <w:sz w:val="22"/>
                <w:lang w:val="es-ES_tradnl"/>
              </w:rPr>
              <w:t xml:space="preserve">– Definición – Criterio orgánico / CONTRATOS Y </w:t>
            </w:r>
            <w:r w:rsidRPr="009B27A5">
              <w:rPr>
                <w:rFonts w:ascii="Arial" w:hAnsi="Arial" w:cs="Arial"/>
                <w:color w:val="000000" w:themeColor="text1"/>
                <w:sz w:val="22"/>
                <w:lang w:val="es-ES_tradnl"/>
              </w:rPr>
              <w:t>CONVENIOS INTERADMINISTRATIVOS – Modalidad de selección /</w:t>
            </w:r>
            <w:r w:rsidR="009D23A4" w:rsidRPr="009B27A5">
              <w:rPr>
                <w:rFonts w:ascii="Arial" w:hAnsi="Arial" w:cs="Arial"/>
                <w:color w:val="000000" w:themeColor="text1"/>
                <w:sz w:val="22"/>
                <w:lang w:val="es-ES_tradnl"/>
              </w:rPr>
              <w:t xml:space="preserve"> ACTO ADMINISTRATIVO – Transferencia de bienes – Decreto Legislativo 559 de 2020 – No prohibido.</w:t>
            </w:r>
          </w:p>
        </w:tc>
      </w:tr>
      <w:tr w:rsidR="00B95C30" w:rsidRPr="009B27A5" w14:paraId="27CD52AB" w14:textId="77777777" w:rsidTr="002442D4">
        <w:tc>
          <w:tcPr>
            <w:tcW w:w="2689" w:type="dxa"/>
          </w:tcPr>
          <w:p w14:paraId="37E195A1" w14:textId="4C368209" w:rsidR="00B95C30" w:rsidRPr="009B27A5" w:rsidRDefault="00B95C30" w:rsidP="002442D4">
            <w:pPr>
              <w:spacing w:before="120"/>
              <w:jc w:val="both"/>
              <w:rPr>
                <w:rFonts w:ascii="Arial" w:eastAsia="Calibri" w:hAnsi="Arial" w:cs="Arial"/>
                <w:b/>
                <w:color w:val="000000" w:themeColor="text1"/>
                <w:sz w:val="22"/>
                <w:lang w:val="es-ES_tradnl"/>
              </w:rPr>
            </w:pPr>
            <w:r w:rsidRPr="009B27A5">
              <w:rPr>
                <w:rFonts w:ascii="Arial" w:eastAsia="Calibri" w:hAnsi="Arial" w:cs="Arial"/>
                <w:b/>
                <w:color w:val="000000" w:themeColor="text1"/>
                <w:sz w:val="22"/>
                <w:lang w:val="es-ES_tradnl"/>
              </w:rPr>
              <w:t>Radicación:</w:t>
            </w:r>
            <w:r w:rsidRPr="009B27A5">
              <w:rPr>
                <w:rFonts w:ascii="Arial" w:eastAsia="Calibri" w:hAnsi="Arial" w:cs="Arial"/>
                <w:color w:val="000000" w:themeColor="text1"/>
                <w:sz w:val="22"/>
                <w:lang w:val="es-ES_tradnl"/>
              </w:rPr>
              <w:t xml:space="preserve">                              </w:t>
            </w:r>
          </w:p>
        </w:tc>
        <w:tc>
          <w:tcPr>
            <w:tcW w:w="6237" w:type="dxa"/>
          </w:tcPr>
          <w:p w14:paraId="09088B1B" w14:textId="285610AF" w:rsidR="00B95C30" w:rsidRPr="009B27A5" w:rsidRDefault="00B95C30" w:rsidP="002442D4">
            <w:pPr>
              <w:spacing w:before="120"/>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 xml:space="preserve">Respuesta a consulta # </w:t>
            </w:r>
            <w:r w:rsidR="00202950" w:rsidRPr="009B27A5">
              <w:rPr>
                <w:rFonts w:ascii="Arial" w:eastAsia="Calibri" w:hAnsi="Arial" w:cs="Arial"/>
                <w:color w:val="000000" w:themeColor="text1"/>
                <w:sz w:val="22"/>
                <w:lang w:val="es-ES_tradnl"/>
              </w:rPr>
              <w:t>P20211124010885</w:t>
            </w:r>
          </w:p>
        </w:tc>
      </w:tr>
    </w:tbl>
    <w:p w14:paraId="1BBCEF05" w14:textId="77777777" w:rsidR="008815D1" w:rsidRPr="009B27A5" w:rsidRDefault="008815D1" w:rsidP="003C3339">
      <w:pPr>
        <w:jc w:val="both"/>
        <w:rPr>
          <w:rFonts w:ascii="Arial" w:eastAsia="Calibri" w:hAnsi="Arial" w:cs="Arial"/>
          <w:color w:val="000000" w:themeColor="text1"/>
          <w:sz w:val="22"/>
          <w:lang w:val="es-ES_tradnl"/>
        </w:rPr>
      </w:pPr>
    </w:p>
    <w:p w14:paraId="4F7A4DD4" w14:textId="77777777" w:rsidR="008815D1" w:rsidRPr="009B27A5" w:rsidRDefault="008815D1" w:rsidP="003C3339">
      <w:pPr>
        <w:jc w:val="both"/>
        <w:rPr>
          <w:rFonts w:ascii="Arial" w:eastAsia="Calibri" w:hAnsi="Arial" w:cs="Arial"/>
          <w:color w:val="000000" w:themeColor="text1"/>
          <w:sz w:val="22"/>
          <w:lang w:val="es-ES_tradnl"/>
        </w:rPr>
      </w:pPr>
    </w:p>
    <w:p w14:paraId="1CF4AEA0" w14:textId="4D72FDAA" w:rsidR="003C3339" w:rsidRPr="009B27A5" w:rsidRDefault="00456D08" w:rsidP="003C3339">
      <w:pPr>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 xml:space="preserve">Estimada Doctora Jiménez y </w:t>
      </w:r>
      <w:r w:rsidR="00A6155D" w:rsidRPr="009B27A5">
        <w:rPr>
          <w:rFonts w:ascii="Arial" w:eastAsia="Calibri" w:hAnsi="Arial" w:cs="Arial"/>
          <w:color w:val="000000" w:themeColor="text1"/>
          <w:sz w:val="22"/>
          <w:lang w:val="es-ES_tradnl"/>
        </w:rPr>
        <w:t>apreciado</w:t>
      </w:r>
      <w:r w:rsidRPr="009B27A5">
        <w:rPr>
          <w:rFonts w:ascii="Arial" w:eastAsia="Calibri" w:hAnsi="Arial" w:cs="Arial"/>
          <w:color w:val="000000" w:themeColor="text1"/>
          <w:sz w:val="22"/>
          <w:lang w:val="es-ES_tradnl"/>
        </w:rPr>
        <w:t xml:space="preserve"> Doctor González</w:t>
      </w:r>
      <w:r w:rsidR="003C3339" w:rsidRPr="009B27A5">
        <w:rPr>
          <w:rFonts w:ascii="Arial" w:eastAsia="Calibri" w:hAnsi="Arial" w:cs="Arial"/>
          <w:color w:val="000000" w:themeColor="text1"/>
          <w:sz w:val="22"/>
          <w:lang w:val="es-ES_tradnl"/>
        </w:rPr>
        <w:t>:</w:t>
      </w:r>
    </w:p>
    <w:p w14:paraId="1EAE5543" w14:textId="77777777" w:rsidR="00DD5B04" w:rsidRPr="009B27A5" w:rsidRDefault="00DD5B04" w:rsidP="00DF76A2">
      <w:pPr>
        <w:jc w:val="both"/>
        <w:rPr>
          <w:rFonts w:ascii="Arial" w:eastAsia="Calibri" w:hAnsi="Arial" w:cs="Arial"/>
          <w:color w:val="000000" w:themeColor="text1"/>
          <w:sz w:val="22"/>
          <w:lang w:val="es-ES_tradnl"/>
        </w:rPr>
      </w:pPr>
    </w:p>
    <w:p w14:paraId="2109B2D3" w14:textId="207106AD" w:rsidR="00DD5B04" w:rsidRPr="009B27A5" w:rsidRDefault="00DD5B04" w:rsidP="00DF76A2">
      <w:pPr>
        <w:spacing w:line="276" w:lineRule="auto"/>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B27A5">
        <w:rPr>
          <w:rFonts w:ascii="Arial" w:eastAsia="Calibri" w:hAnsi="Arial" w:cs="Arial"/>
          <w:color w:val="000000" w:themeColor="text1"/>
          <w:sz w:val="22"/>
          <w:lang w:val="es-ES_tradnl"/>
        </w:rPr>
        <w:t xml:space="preserve"> </w:t>
      </w:r>
      <w:r w:rsidRPr="009B27A5">
        <w:rPr>
          <w:rFonts w:ascii="Arial" w:eastAsia="Calibri" w:hAnsi="Arial" w:cs="Arial"/>
          <w:color w:val="000000" w:themeColor="text1"/>
          <w:sz w:val="22"/>
          <w:lang w:val="es-ES_tradnl"/>
        </w:rPr>
        <w:t xml:space="preserve">responde su consulta del </w:t>
      </w:r>
      <w:r w:rsidR="00CA2798" w:rsidRPr="009B27A5">
        <w:rPr>
          <w:rFonts w:ascii="Arial" w:eastAsia="Calibri" w:hAnsi="Arial" w:cs="Arial"/>
          <w:color w:val="000000" w:themeColor="text1"/>
          <w:sz w:val="22"/>
          <w:lang w:val="es-ES_tradnl"/>
        </w:rPr>
        <w:t>23</w:t>
      </w:r>
      <w:r w:rsidR="00FD4AF3" w:rsidRPr="009B27A5">
        <w:rPr>
          <w:rFonts w:ascii="Arial" w:eastAsia="Calibri" w:hAnsi="Arial" w:cs="Arial"/>
          <w:color w:val="000000" w:themeColor="text1"/>
          <w:sz w:val="22"/>
          <w:lang w:val="es-ES_tradnl"/>
        </w:rPr>
        <w:t xml:space="preserve"> de </w:t>
      </w:r>
      <w:r w:rsidR="00E20B11" w:rsidRPr="009B27A5">
        <w:rPr>
          <w:rFonts w:ascii="Arial" w:eastAsia="Calibri" w:hAnsi="Arial" w:cs="Arial"/>
          <w:color w:val="000000" w:themeColor="text1"/>
          <w:sz w:val="22"/>
          <w:lang w:val="es-ES_tradnl"/>
        </w:rPr>
        <w:t>noviembre</w:t>
      </w:r>
      <w:r w:rsidRPr="009B27A5">
        <w:rPr>
          <w:rFonts w:ascii="Arial" w:eastAsia="Calibri" w:hAnsi="Arial" w:cs="Arial"/>
          <w:color w:val="000000" w:themeColor="text1"/>
          <w:sz w:val="22"/>
          <w:lang w:val="es-ES_tradnl"/>
        </w:rPr>
        <w:t xml:space="preserve"> del</w:t>
      </w:r>
      <w:r w:rsidR="007E74BF" w:rsidRPr="009B27A5">
        <w:rPr>
          <w:rFonts w:ascii="Arial" w:eastAsia="Calibri" w:hAnsi="Arial" w:cs="Arial"/>
          <w:color w:val="000000" w:themeColor="text1"/>
          <w:sz w:val="22"/>
          <w:lang w:val="es-ES_tradnl"/>
        </w:rPr>
        <w:t xml:space="preserve"> </w:t>
      </w:r>
      <w:r w:rsidRPr="009B27A5">
        <w:rPr>
          <w:rFonts w:ascii="Arial" w:eastAsia="Calibri" w:hAnsi="Arial" w:cs="Arial"/>
          <w:color w:val="000000" w:themeColor="text1"/>
          <w:sz w:val="22"/>
          <w:lang w:val="es-ES_tradnl"/>
        </w:rPr>
        <w:t>202</w:t>
      </w:r>
      <w:r w:rsidR="004673A8" w:rsidRPr="009B27A5">
        <w:rPr>
          <w:rFonts w:ascii="Arial" w:eastAsia="Calibri" w:hAnsi="Arial" w:cs="Arial"/>
          <w:color w:val="000000" w:themeColor="text1"/>
          <w:sz w:val="22"/>
          <w:lang w:val="es-ES_tradnl"/>
        </w:rPr>
        <w:t>1</w:t>
      </w:r>
      <w:r w:rsidR="008C3C57" w:rsidRPr="009B27A5">
        <w:rPr>
          <w:rFonts w:ascii="Arial" w:eastAsia="Calibri" w:hAnsi="Arial" w:cs="Arial"/>
          <w:color w:val="000000" w:themeColor="text1"/>
          <w:sz w:val="22"/>
          <w:lang w:val="es-ES_tradnl"/>
        </w:rPr>
        <w:t>.</w:t>
      </w:r>
    </w:p>
    <w:p w14:paraId="0C1E0712" w14:textId="77777777" w:rsidR="00DD5B04" w:rsidRPr="009B27A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B27A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B27A5">
        <w:rPr>
          <w:rFonts w:ascii="Arial" w:eastAsia="Calibri" w:hAnsi="Arial" w:cs="Arial"/>
          <w:b/>
          <w:color w:val="000000" w:themeColor="text1"/>
          <w:sz w:val="22"/>
          <w:lang w:val="es-ES_tradnl"/>
        </w:rPr>
        <w:t xml:space="preserve">Problema planteado </w:t>
      </w:r>
    </w:p>
    <w:p w14:paraId="224B43D3" w14:textId="77777777" w:rsidR="00DD5B04" w:rsidRPr="009B27A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951C774" w:rsidR="00443B55" w:rsidRPr="009B27A5" w:rsidRDefault="00DD5B04" w:rsidP="0099583D">
      <w:pPr>
        <w:spacing w:line="276" w:lineRule="auto"/>
        <w:jc w:val="both"/>
        <w:rPr>
          <w:rFonts w:ascii="Arial" w:hAnsi="Arial" w:cs="Arial"/>
          <w:color w:val="000000" w:themeColor="text1"/>
          <w:sz w:val="22"/>
          <w:lang w:val="es-ES_tradnl"/>
        </w:rPr>
      </w:pPr>
      <w:r w:rsidRPr="009B27A5">
        <w:rPr>
          <w:rFonts w:ascii="Arial" w:hAnsi="Arial" w:cs="Arial"/>
          <w:color w:val="000000" w:themeColor="text1"/>
          <w:sz w:val="22"/>
          <w:lang w:val="es-ES_tradnl"/>
        </w:rPr>
        <w:t>Usted</w:t>
      </w:r>
      <w:r w:rsidR="00F70B3A" w:rsidRPr="009B27A5">
        <w:rPr>
          <w:rFonts w:ascii="Arial" w:hAnsi="Arial" w:cs="Arial"/>
          <w:color w:val="000000" w:themeColor="text1"/>
          <w:sz w:val="22"/>
          <w:lang w:val="es-ES_tradnl"/>
        </w:rPr>
        <w:t>es</w:t>
      </w:r>
      <w:r w:rsidRPr="009B27A5">
        <w:rPr>
          <w:rFonts w:ascii="Arial" w:hAnsi="Arial" w:cs="Arial"/>
          <w:color w:val="000000" w:themeColor="text1"/>
          <w:sz w:val="22"/>
          <w:lang w:val="es-ES_tradnl"/>
        </w:rPr>
        <w:t xml:space="preserve"> </w:t>
      </w:r>
      <w:r w:rsidR="00B422C0" w:rsidRPr="009B27A5">
        <w:rPr>
          <w:rFonts w:ascii="Arial" w:hAnsi="Arial" w:cs="Arial"/>
          <w:color w:val="000000" w:themeColor="text1"/>
          <w:sz w:val="22"/>
          <w:lang w:val="es-ES_tradnl"/>
        </w:rPr>
        <w:t>formula</w:t>
      </w:r>
      <w:r w:rsidR="00F70B3A" w:rsidRPr="009B27A5">
        <w:rPr>
          <w:rFonts w:ascii="Arial" w:hAnsi="Arial" w:cs="Arial"/>
          <w:color w:val="000000" w:themeColor="text1"/>
          <w:sz w:val="22"/>
          <w:lang w:val="es-ES_tradnl"/>
        </w:rPr>
        <w:t>n</w:t>
      </w:r>
      <w:r w:rsidR="006D46A3" w:rsidRPr="009B27A5">
        <w:rPr>
          <w:rFonts w:ascii="Arial" w:hAnsi="Arial" w:cs="Arial"/>
          <w:color w:val="000000" w:themeColor="text1"/>
          <w:sz w:val="22"/>
          <w:lang w:val="es-ES_tradnl"/>
        </w:rPr>
        <w:t xml:space="preserve"> la siguiente </w:t>
      </w:r>
      <w:r w:rsidR="00B46915" w:rsidRPr="009B27A5">
        <w:rPr>
          <w:rFonts w:ascii="Arial" w:hAnsi="Arial" w:cs="Arial"/>
          <w:color w:val="000000" w:themeColor="text1"/>
          <w:sz w:val="22"/>
          <w:lang w:val="es-ES_tradnl"/>
        </w:rPr>
        <w:t>consulta</w:t>
      </w:r>
      <w:r w:rsidR="00B422C0" w:rsidRPr="009B27A5">
        <w:rPr>
          <w:rFonts w:ascii="Arial" w:hAnsi="Arial" w:cs="Arial"/>
          <w:color w:val="000000" w:themeColor="text1"/>
          <w:sz w:val="22"/>
          <w:lang w:val="es-ES_tradnl"/>
        </w:rPr>
        <w:t>:</w:t>
      </w:r>
      <w:r w:rsidR="007E18DF" w:rsidRPr="009B27A5">
        <w:rPr>
          <w:rFonts w:ascii="Arial" w:hAnsi="Arial" w:cs="Arial"/>
          <w:color w:val="000000" w:themeColor="text1"/>
          <w:sz w:val="22"/>
          <w:lang w:val="es-ES_tradnl"/>
        </w:rPr>
        <w:t xml:space="preserve"> </w:t>
      </w:r>
    </w:p>
    <w:p w14:paraId="559EE20C" w14:textId="77777777" w:rsidR="00443B55" w:rsidRPr="009B27A5" w:rsidRDefault="00443B55" w:rsidP="0099583D">
      <w:pPr>
        <w:spacing w:line="276" w:lineRule="auto"/>
        <w:jc w:val="both"/>
        <w:rPr>
          <w:rFonts w:ascii="Arial" w:hAnsi="Arial" w:cs="Arial"/>
          <w:color w:val="000000" w:themeColor="text1"/>
          <w:sz w:val="22"/>
          <w:lang w:val="es-ES_tradnl"/>
        </w:rPr>
      </w:pPr>
    </w:p>
    <w:p w14:paraId="105836EE" w14:textId="13C150EE" w:rsidR="00F70B3A" w:rsidRPr="009B27A5" w:rsidRDefault="00F40FD8" w:rsidP="009B27A5">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r w:rsidR="00F70B3A" w:rsidRPr="009B27A5">
        <w:rPr>
          <w:rFonts w:ascii="Arial" w:hAnsi="Arial" w:cs="Arial"/>
          <w:color w:val="000000" w:themeColor="text1"/>
          <w:sz w:val="21"/>
          <w:szCs w:val="21"/>
          <w:lang w:val="es-ES_tradnl"/>
        </w:rPr>
        <w:t>1. ¿Conforme a lo establecido en el parágrafo del artículo 38 de la Ley 906 de 2005</w:t>
      </w:r>
      <w:r w:rsidR="004F4A8C" w:rsidRPr="009B27A5">
        <w:rPr>
          <w:rFonts w:ascii="Arial" w:hAnsi="Arial" w:cs="Arial"/>
          <w:color w:val="000000" w:themeColor="text1"/>
          <w:sz w:val="21"/>
          <w:szCs w:val="21"/>
          <w:lang w:val="es-ES_tradnl"/>
        </w:rPr>
        <w:t xml:space="preserve"> (sic)</w:t>
      </w:r>
      <w:r w:rsidR="00F70B3A" w:rsidRPr="009B27A5">
        <w:rPr>
          <w:rFonts w:ascii="Arial" w:hAnsi="Arial" w:cs="Arial"/>
          <w:color w:val="000000" w:themeColor="text1"/>
          <w:sz w:val="21"/>
          <w:szCs w:val="21"/>
          <w:lang w:val="es-ES_tradnl"/>
        </w:rPr>
        <w:t xml:space="preserve">, no se podrían entregar o transferir la propiedad de los bienes y </w:t>
      </w:r>
      <w:r w:rsidR="00F70B3A" w:rsidRPr="009B27A5">
        <w:rPr>
          <w:rFonts w:ascii="Arial" w:hAnsi="Arial" w:cs="Arial"/>
          <w:color w:val="000000" w:themeColor="text1"/>
          <w:sz w:val="21"/>
          <w:szCs w:val="21"/>
          <w:lang w:val="es-ES_tradnl"/>
        </w:rPr>
        <w:lastRenderedPageBreak/>
        <w:t>equipos a las entidades territoriales llámese alcaldías, departamentos o distritos para atender la EMERGENCIA SANITARIA declarada por el Ministerio de Salud y Protección Social como consecuencia de la pandemia?</w:t>
      </w:r>
    </w:p>
    <w:p w14:paraId="3A329A99" w14:textId="67693848" w:rsidR="002C4C48" w:rsidRPr="009B27A5" w:rsidRDefault="00F70B3A" w:rsidP="009B27A5">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»2. ¿Se entendería que sólo se podrá hacer esa transferencia hasta después de elecciones presidenciales?</w:t>
      </w:r>
    </w:p>
    <w:p w14:paraId="30F51089" w14:textId="7AF8BEC6" w:rsidR="002C4C48" w:rsidRPr="009B27A5" w:rsidRDefault="007F7F8E" w:rsidP="009B27A5">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r w:rsidR="00F70B3A" w:rsidRPr="009B27A5">
        <w:rPr>
          <w:rFonts w:ascii="Arial" w:hAnsi="Arial" w:cs="Arial"/>
          <w:color w:val="000000" w:themeColor="text1"/>
          <w:sz w:val="21"/>
          <w:szCs w:val="21"/>
          <w:lang w:val="es-ES_tradnl"/>
        </w:rPr>
        <w:t>3.</w:t>
      </w:r>
      <w:r w:rsidRPr="009B27A5">
        <w:rPr>
          <w:rFonts w:ascii="Arial" w:hAnsi="Arial" w:cs="Arial"/>
          <w:color w:val="000000" w:themeColor="text1"/>
          <w:sz w:val="21"/>
          <w:szCs w:val="21"/>
          <w:lang w:val="es-ES_tradnl"/>
        </w:rPr>
        <w:t xml:space="preserve"> </w:t>
      </w:r>
      <w:r w:rsidR="00F70B3A" w:rsidRPr="009B27A5">
        <w:rPr>
          <w:rFonts w:ascii="Arial" w:hAnsi="Arial" w:cs="Arial"/>
          <w:color w:val="000000" w:themeColor="text1"/>
          <w:sz w:val="21"/>
          <w:szCs w:val="21"/>
          <w:lang w:val="es-ES_tradnl"/>
        </w:rPr>
        <w:t>¿Qué opciones legales tendría el FNGRD para entregar bienes y equipos a las entidades territoriales para continuar con la atención de la PANDEMIA, como Sistema Nacional de Gestión del Riesgo de Desastres SNGRD?</w:t>
      </w:r>
    </w:p>
    <w:p w14:paraId="6104CB65" w14:textId="266088BE" w:rsidR="002C4C48" w:rsidRPr="009B27A5" w:rsidRDefault="002C4C48" w:rsidP="009B27A5">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r w:rsidR="00F70B3A" w:rsidRPr="009B27A5">
        <w:rPr>
          <w:rFonts w:ascii="Arial" w:hAnsi="Arial" w:cs="Arial"/>
          <w:color w:val="000000" w:themeColor="text1"/>
          <w:sz w:val="21"/>
          <w:szCs w:val="21"/>
          <w:lang w:val="es-ES_tradnl"/>
        </w:rPr>
        <w:t>4.</w:t>
      </w:r>
      <w:r w:rsidRPr="009B27A5">
        <w:rPr>
          <w:rFonts w:ascii="Arial" w:hAnsi="Arial" w:cs="Arial"/>
          <w:color w:val="000000" w:themeColor="text1"/>
          <w:sz w:val="21"/>
          <w:szCs w:val="21"/>
          <w:lang w:val="es-ES_tradnl"/>
        </w:rPr>
        <w:t xml:space="preserve"> </w:t>
      </w:r>
      <w:r w:rsidR="00F70B3A" w:rsidRPr="009B27A5">
        <w:rPr>
          <w:rFonts w:ascii="Arial" w:hAnsi="Arial" w:cs="Arial"/>
          <w:color w:val="000000" w:themeColor="text1"/>
          <w:sz w:val="21"/>
          <w:szCs w:val="21"/>
          <w:lang w:val="es-ES_tradnl"/>
        </w:rPr>
        <w:t>¿Las entidades territoriales en vigencia del artículo 38 de la ley de garantías electorales, estaría imposibilitadas de suscribir convenios o ejecutar recursos públicos para atender una emergencia, emergencia sanitaria, calamidad pública o desastre en los términos de la ley 1523 de 2012 y la ley 9 de 1979?</w:t>
      </w:r>
    </w:p>
    <w:p w14:paraId="495F7CD2" w14:textId="4C3A2727" w:rsidR="00F70B3A" w:rsidRPr="009B27A5" w:rsidRDefault="002C4C48" w:rsidP="009B27A5">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r w:rsidR="00F70B3A" w:rsidRPr="009B27A5">
        <w:rPr>
          <w:rFonts w:ascii="Arial" w:hAnsi="Arial" w:cs="Arial"/>
          <w:color w:val="000000" w:themeColor="text1"/>
          <w:sz w:val="21"/>
          <w:szCs w:val="21"/>
          <w:lang w:val="es-ES_tradnl"/>
        </w:rPr>
        <w:t>5.</w:t>
      </w:r>
      <w:r w:rsidRPr="009B27A5">
        <w:rPr>
          <w:rFonts w:ascii="Arial" w:hAnsi="Arial" w:cs="Arial"/>
          <w:color w:val="000000" w:themeColor="text1"/>
          <w:sz w:val="21"/>
          <w:szCs w:val="21"/>
          <w:lang w:val="es-ES_tradnl"/>
        </w:rPr>
        <w:t xml:space="preserve"> </w:t>
      </w:r>
      <w:r w:rsidR="00F70B3A" w:rsidRPr="009B27A5">
        <w:rPr>
          <w:rFonts w:ascii="Arial" w:hAnsi="Arial" w:cs="Arial"/>
          <w:color w:val="000000" w:themeColor="text1"/>
          <w:sz w:val="21"/>
          <w:szCs w:val="21"/>
          <w:lang w:val="es-ES_tradnl"/>
        </w:rPr>
        <w:t>¿Se podría aplicar por analogía las excepciones del inciso 2 del artículo 33 de la ley de garantías electorales para llenar el vacío normativo que tiene el artículo 38 ibídem?</w:t>
      </w:r>
    </w:p>
    <w:p w14:paraId="24A7EF75" w14:textId="308E2408" w:rsidR="00582D08" w:rsidRPr="009B27A5" w:rsidRDefault="002C4C48" w:rsidP="00F70B3A">
      <w:pPr>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r w:rsidR="00F70B3A" w:rsidRPr="009B27A5">
        <w:rPr>
          <w:rFonts w:ascii="Arial" w:hAnsi="Arial" w:cs="Arial"/>
          <w:color w:val="000000" w:themeColor="text1"/>
          <w:sz w:val="21"/>
          <w:szCs w:val="21"/>
          <w:lang w:val="es-ES_tradnl"/>
        </w:rPr>
        <w:t>6.</w:t>
      </w:r>
      <w:r w:rsidRPr="009B27A5">
        <w:rPr>
          <w:rFonts w:ascii="Arial" w:hAnsi="Arial" w:cs="Arial"/>
          <w:color w:val="000000" w:themeColor="text1"/>
          <w:sz w:val="21"/>
          <w:szCs w:val="21"/>
          <w:lang w:val="es-ES_tradnl"/>
        </w:rPr>
        <w:t xml:space="preserve"> </w:t>
      </w:r>
      <w:r w:rsidR="00F70B3A" w:rsidRPr="009B27A5">
        <w:rPr>
          <w:rFonts w:ascii="Arial" w:hAnsi="Arial" w:cs="Arial"/>
          <w:color w:val="000000" w:themeColor="text1"/>
          <w:sz w:val="21"/>
          <w:szCs w:val="21"/>
          <w:lang w:val="es-ES_tradnl"/>
        </w:rPr>
        <w:t>¿Se podría dar aplicación a la excepción de inconstitucionalidad del artículo 38 de la Ley de Garantías Electorales frente a la situación de emergencia sanitaria que afronta el país por la PANDEMIA por COVID-19?</w:t>
      </w:r>
      <w:r w:rsidR="003B34B5" w:rsidRPr="009B27A5">
        <w:rPr>
          <w:rFonts w:ascii="Arial" w:hAnsi="Arial" w:cs="Arial"/>
          <w:color w:val="000000" w:themeColor="text1"/>
          <w:sz w:val="21"/>
          <w:szCs w:val="21"/>
          <w:lang w:val="es-ES_tradnl"/>
        </w:rPr>
        <w:t>»</w:t>
      </w:r>
      <w:r w:rsidR="00E2302A" w:rsidRPr="009B27A5">
        <w:rPr>
          <w:rFonts w:ascii="Arial" w:hAnsi="Arial" w:cs="Arial"/>
          <w:color w:val="000000" w:themeColor="text1"/>
          <w:sz w:val="21"/>
          <w:szCs w:val="21"/>
          <w:lang w:val="es-ES_tradnl"/>
        </w:rPr>
        <w:t>.</w:t>
      </w:r>
    </w:p>
    <w:p w14:paraId="7A239EB1" w14:textId="58090DCA" w:rsidR="007C34A9" w:rsidRPr="009B27A5" w:rsidRDefault="007C34A9" w:rsidP="00654971">
      <w:pPr>
        <w:spacing w:line="276" w:lineRule="auto"/>
        <w:jc w:val="both"/>
        <w:rPr>
          <w:rFonts w:ascii="Arial" w:hAnsi="Arial" w:cs="Arial"/>
          <w:color w:val="000000" w:themeColor="text1"/>
          <w:sz w:val="22"/>
          <w:lang w:val="es-ES_tradnl"/>
        </w:rPr>
      </w:pPr>
    </w:p>
    <w:p w14:paraId="48FFCC6C" w14:textId="52E63C8F" w:rsidR="00306616" w:rsidRPr="009B27A5" w:rsidRDefault="00377FEF" w:rsidP="00654971">
      <w:pPr>
        <w:spacing w:line="276" w:lineRule="auto"/>
        <w:jc w:val="both"/>
        <w:rPr>
          <w:rFonts w:ascii="Arial" w:hAnsi="Arial" w:cs="Arial"/>
          <w:color w:val="000000" w:themeColor="text1"/>
          <w:sz w:val="22"/>
          <w:lang w:val="es-ES_tradnl"/>
        </w:rPr>
      </w:pPr>
      <w:r w:rsidRPr="009B27A5">
        <w:rPr>
          <w:rFonts w:ascii="Arial" w:hAnsi="Arial" w:cs="Arial"/>
          <w:color w:val="000000" w:themeColor="text1"/>
          <w:sz w:val="22"/>
          <w:lang w:val="es-ES_tradnl"/>
        </w:rPr>
        <w:t xml:space="preserve">Las anteriores preguntas se realizan </w:t>
      </w:r>
      <w:r w:rsidR="00A71F57" w:rsidRPr="009B27A5">
        <w:rPr>
          <w:rFonts w:ascii="Arial" w:hAnsi="Arial" w:cs="Arial"/>
          <w:color w:val="000000" w:themeColor="text1"/>
          <w:sz w:val="22"/>
          <w:lang w:val="es-ES_tradnl"/>
        </w:rPr>
        <w:t>partiendo</w:t>
      </w:r>
      <w:r w:rsidRPr="009B27A5">
        <w:rPr>
          <w:rFonts w:ascii="Arial" w:hAnsi="Arial" w:cs="Arial"/>
          <w:color w:val="000000" w:themeColor="text1"/>
          <w:sz w:val="22"/>
          <w:lang w:val="es-ES_tradnl"/>
        </w:rPr>
        <w:t xml:space="preserve"> de</w:t>
      </w:r>
      <w:r w:rsidR="00B87AEA" w:rsidRPr="009B27A5">
        <w:rPr>
          <w:rFonts w:ascii="Arial" w:hAnsi="Arial" w:cs="Arial"/>
          <w:color w:val="000000" w:themeColor="text1"/>
          <w:sz w:val="22"/>
          <w:lang w:val="es-ES_tradnl"/>
        </w:rPr>
        <w:t xml:space="preserve"> </w:t>
      </w:r>
      <w:r w:rsidR="00A71F57" w:rsidRPr="009B27A5">
        <w:rPr>
          <w:rFonts w:ascii="Arial" w:hAnsi="Arial" w:cs="Arial"/>
          <w:color w:val="000000" w:themeColor="text1"/>
          <w:sz w:val="22"/>
          <w:lang w:val="es-ES_tradnl"/>
        </w:rPr>
        <w:t>l</w:t>
      </w:r>
      <w:r w:rsidR="00B87AEA" w:rsidRPr="009B27A5">
        <w:rPr>
          <w:rFonts w:ascii="Arial" w:hAnsi="Arial" w:cs="Arial"/>
          <w:color w:val="000000" w:themeColor="text1"/>
          <w:sz w:val="22"/>
          <w:lang w:val="es-ES_tradnl"/>
        </w:rPr>
        <w:t>as diferencias señaladas</w:t>
      </w:r>
      <w:r w:rsidR="008815D1" w:rsidRPr="009B27A5">
        <w:rPr>
          <w:rFonts w:ascii="Arial" w:hAnsi="Arial" w:cs="Arial"/>
          <w:color w:val="000000" w:themeColor="text1"/>
          <w:sz w:val="22"/>
          <w:lang w:val="es-ES_tradnl"/>
        </w:rPr>
        <w:t xml:space="preserve"> entre</w:t>
      </w:r>
      <w:r w:rsidRPr="009B27A5">
        <w:rPr>
          <w:rFonts w:ascii="Arial" w:hAnsi="Arial" w:cs="Arial"/>
          <w:color w:val="000000" w:themeColor="text1"/>
          <w:sz w:val="22"/>
          <w:lang w:val="es-ES_tradnl"/>
        </w:rPr>
        <w:t xml:space="preserve"> el parágrafo del artículo 38 de la Ley 9</w:t>
      </w:r>
      <w:r w:rsidR="004F4A8C" w:rsidRPr="009B27A5">
        <w:rPr>
          <w:rFonts w:ascii="Arial" w:hAnsi="Arial" w:cs="Arial"/>
          <w:color w:val="000000" w:themeColor="text1"/>
          <w:sz w:val="22"/>
          <w:lang w:val="es-ES_tradnl"/>
        </w:rPr>
        <w:t>9</w:t>
      </w:r>
      <w:r w:rsidRPr="009B27A5">
        <w:rPr>
          <w:rFonts w:ascii="Arial" w:hAnsi="Arial" w:cs="Arial"/>
          <w:color w:val="000000" w:themeColor="text1"/>
          <w:sz w:val="22"/>
          <w:lang w:val="es-ES_tradnl"/>
        </w:rPr>
        <w:t>6 de 2005</w:t>
      </w:r>
      <w:r w:rsidR="009509DA" w:rsidRPr="009B27A5">
        <w:rPr>
          <w:rFonts w:ascii="Arial" w:hAnsi="Arial" w:cs="Arial"/>
          <w:color w:val="000000" w:themeColor="text1"/>
          <w:sz w:val="22"/>
          <w:lang w:val="es-ES_tradnl"/>
        </w:rPr>
        <w:t xml:space="preserve"> –que prohíbe la celebración de </w:t>
      </w:r>
      <w:r w:rsidR="0089425E" w:rsidRPr="009B27A5">
        <w:rPr>
          <w:rFonts w:ascii="Arial" w:hAnsi="Arial" w:cs="Arial"/>
          <w:color w:val="000000" w:themeColor="text1"/>
          <w:sz w:val="22"/>
          <w:lang w:val="es-ES_tradnl"/>
        </w:rPr>
        <w:t xml:space="preserve">convenios interadministrativos </w:t>
      </w:r>
      <w:r w:rsidR="00576C37" w:rsidRPr="009B27A5">
        <w:rPr>
          <w:rFonts w:ascii="Arial" w:hAnsi="Arial" w:cs="Arial"/>
          <w:color w:val="000000" w:themeColor="text1"/>
          <w:sz w:val="22"/>
          <w:lang w:val="es-ES_tradnl"/>
        </w:rPr>
        <w:t xml:space="preserve">dentro de los </w:t>
      </w:r>
      <w:r w:rsidR="0089425E" w:rsidRPr="009B27A5">
        <w:rPr>
          <w:rFonts w:ascii="Arial" w:hAnsi="Arial" w:cs="Arial"/>
          <w:color w:val="000000" w:themeColor="text1"/>
          <w:sz w:val="22"/>
          <w:lang w:val="es-ES_tradnl"/>
        </w:rPr>
        <w:t xml:space="preserve">cuatro (4) meses </w:t>
      </w:r>
      <w:r w:rsidR="00576C37" w:rsidRPr="009B27A5">
        <w:rPr>
          <w:rFonts w:ascii="Arial" w:hAnsi="Arial" w:cs="Arial"/>
          <w:color w:val="000000" w:themeColor="text1"/>
          <w:sz w:val="22"/>
          <w:lang w:val="es-ES_tradnl"/>
        </w:rPr>
        <w:t>anteriores</w:t>
      </w:r>
      <w:r w:rsidR="0089425E" w:rsidRPr="009B27A5">
        <w:rPr>
          <w:rFonts w:ascii="Arial" w:hAnsi="Arial" w:cs="Arial"/>
          <w:color w:val="000000" w:themeColor="text1"/>
          <w:sz w:val="22"/>
          <w:lang w:val="es-ES_tradnl"/>
        </w:rPr>
        <w:t xml:space="preserve"> </w:t>
      </w:r>
      <w:r w:rsidR="00576C37" w:rsidRPr="009B27A5">
        <w:rPr>
          <w:rFonts w:ascii="Arial" w:hAnsi="Arial" w:cs="Arial"/>
          <w:color w:val="000000" w:themeColor="text1"/>
          <w:sz w:val="22"/>
          <w:lang w:val="es-ES_tradnl"/>
        </w:rPr>
        <w:t>a</w:t>
      </w:r>
      <w:r w:rsidR="0089425E" w:rsidRPr="009B27A5">
        <w:rPr>
          <w:rFonts w:ascii="Arial" w:hAnsi="Arial" w:cs="Arial"/>
          <w:color w:val="000000" w:themeColor="text1"/>
          <w:sz w:val="22"/>
          <w:lang w:val="es-ES_tradnl"/>
        </w:rPr>
        <w:t xml:space="preserve"> las elecciones–</w:t>
      </w:r>
      <w:r w:rsidR="009509DA" w:rsidRPr="009B27A5">
        <w:rPr>
          <w:rFonts w:ascii="Arial" w:hAnsi="Arial" w:cs="Arial"/>
          <w:color w:val="000000" w:themeColor="text1"/>
          <w:sz w:val="22"/>
          <w:lang w:val="es-ES_tradnl"/>
        </w:rPr>
        <w:t xml:space="preserve"> </w:t>
      </w:r>
      <w:r w:rsidRPr="009B27A5">
        <w:rPr>
          <w:rFonts w:ascii="Arial" w:hAnsi="Arial" w:cs="Arial"/>
          <w:color w:val="000000" w:themeColor="text1"/>
          <w:sz w:val="22"/>
          <w:lang w:val="es-ES_tradnl"/>
        </w:rPr>
        <w:t xml:space="preserve">y el artículo 9 del Decreto Legislativo </w:t>
      </w:r>
      <w:r w:rsidR="000D127B" w:rsidRPr="009B27A5">
        <w:rPr>
          <w:rFonts w:ascii="Arial" w:hAnsi="Arial" w:cs="Arial"/>
          <w:color w:val="000000" w:themeColor="text1"/>
          <w:sz w:val="22"/>
          <w:lang w:val="es-ES_tradnl"/>
        </w:rPr>
        <w:t>559 de 2020, según el cual</w:t>
      </w:r>
      <w:r w:rsidR="00306616" w:rsidRPr="009B27A5">
        <w:rPr>
          <w:rFonts w:ascii="Arial" w:hAnsi="Arial" w:cs="Arial"/>
          <w:color w:val="000000" w:themeColor="text1"/>
          <w:sz w:val="22"/>
          <w:lang w:val="es-ES_tradnl"/>
        </w:rPr>
        <w:t xml:space="preserve">, </w:t>
      </w:r>
    </w:p>
    <w:p w14:paraId="20AA6F7E" w14:textId="77777777" w:rsidR="00306616" w:rsidRPr="009B27A5" w:rsidRDefault="00306616" w:rsidP="00306616">
      <w:pPr>
        <w:ind w:left="709" w:right="709"/>
        <w:jc w:val="both"/>
        <w:rPr>
          <w:rFonts w:ascii="Arial" w:hAnsi="Arial" w:cs="Arial"/>
          <w:color w:val="000000" w:themeColor="text1"/>
          <w:sz w:val="21"/>
          <w:szCs w:val="21"/>
          <w:lang w:val="es-ES_tradnl"/>
        </w:rPr>
      </w:pPr>
    </w:p>
    <w:p w14:paraId="5C1F99A4" w14:textId="65AE0C71" w:rsidR="00377FEF" w:rsidRPr="009B27A5" w:rsidRDefault="00306616" w:rsidP="00306616">
      <w:pPr>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El administrador fiduciario del Fondo Nacional de Gestión del Riesgo de Desastres transferirá a título gratuito a las entidades públicas los bienes que se adquieran en cumplimiento del objeto y finalidad de la subcuenta. Dicha transferencia se adelantará a través de acto administrativo que profiera el Director de la Unidad Nacional de Gestión de Riesgo de Desastre o su delegado en donde se indique la valoración contable de los mismos para efectos del control que se requiera para el efecto.</w:t>
      </w:r>
      <w:r w:rsidR="00377FEF" w:rsidRPr="009B27A5">
        <w:rPr>
          <w:rFonts w:ascii="Arial" w:hAnsi="Arial" w:cs="Arial"/>
          <w:color w:val="000000" w:themeColor="text1"/>
          <w:sz w:val="21"/>
          <w:szCs w:val="21"/>
          <w:lang w:val="es-ES_tradnl"/>
        </w:rPr>
        <w:t xml:space="preserve"> </w:t>
      </w:r>
    </w:p>
    <w:p w14:paraId="742BC736" w14:textId="1B41AF91" w:rsidR="000A0DF7" w:rsidRPr="009B27A5" w:rsidRDefault="00377FEF" w:rsidP="000A0DF7">
      <w:pPr>
        <w:spacing w:line="276" w:lineRule="auto"/>
        <w:jc w:val="both"/>
        <w:rPr>
          <w:rFonts w:ascii="Arial" w:hAnsi="Arial" w:cs="Arial"/>
          <w:color w:val="000000" w:themeColor="text1"/>
          <w:sz w:val="22"/>
          <w:lang w:val="es-ES_tradnl"/>
        </w:rPr>
      </w:pPr>
      <w:r w:rsidRPr="009B27A5">
        <w:rPr>
          <w:rFonts w:ascii="Arial" w:hAnsi="Arial" w:cs="Arial"/>
          <w:color w:val="000000" w:themeColor="text1"/>
          <w:sz w:val="22"/>
          <w:lang w:val="es-ES_tradnl"/>
        </w:rPr>
        <w:t xml:space="preserve"> </w:t>
      </w:r>
    </w:p>
    <w:p w14:paraId="4E86570E" w14:textId="77777777" w:rsidR="000A0DF7" w:rsidRPr="009B27A5"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B27A5">
        <w:rPr>
          <w:rFonts w:ascii="Arial" w:eastAsia="Calibri" w:hAnsi="Arial" w:cs="Arial"/>
          <w:b/>
          <w:color w:val="000000" w:themeColor="text1"/>
          <w:sz w:val="22"/>
          <w:lang w:val="es-ES_tradnl"/>
        </w:rPr>
        <w:t>Consideraciones</w:t>
      </w:r>
    </w:p>
    <w:p w14:paraId="12C6986B" w14:textId="77777777" w:rsidR="000A0DF7" w:rsidRPr="009B27A5" w:rsidRDefault="000A0DF7" w:rsidP="000A0DF7">
      <w:pPr>
        <w:spacing w:line="276" w:lineRule="auto"/>
        <w:jc w:val="both"/>
        <w:rPr>
          <w:rFonts w:ascii="Arial" w:eastAsia="Calibri" w:hAnsi="Arial" w:cs="Arial"/>
          <w:color w:val="000000" w:themeColor="text1"/>
          <w:sz w:val="22"/>
          <w:szCs w:val="22"/>
          <w:lang w:val="es-ES_tradnl"/>
        </w:rPr>
      </w:pPr>
    </w:p>
    <w:p w14:paraId="5D29BB72" w14:textId="72164A73" w:rsidR="004A2A99" w:rsidRPr="009B27A5" w:rsidRDefault="000A0DF7" w:rsidP="000A0DF7">
      <w:pPr>
        <w:spacing w:line="276" w:lineRule="auto"/>
        <w:jc w:val="both"/>
        <w:rPr>
          <w:rFonts w:ascii="Arial" w:eastAsia="Calibri" w:hAnsi="Arial" w:cs="Arial"/>
          <w:color w:val="000000" w:themeColor="text1"/>
          <w:sz w:val="22"/>
          <w:szCs w:val="22"/>
          <w:lang w:val="es-ES_tradnl"/>
        </w:rPr>
      </w:pPr>
      <w:r w:rsidRPr="009B27A5">
        <w:rPr>
          <w:rFonts w:ascii="Arial" w:eastAsia="Calibri" w:hAnsi="Arial" w:cs="Arial"/>
          <w:color w:val="000000" w:themeColor="text1"/>
          <w:sz w:val="22"/>
          <w:szCs w:val="22"/>
          <w:lang w:val="es-ES_tradnl"/>
        </w:rPr>
        <w:t>La Agencia Nacional de Contratación Pública – Colombia Compra Eficiente responderá la consulta, luego de analizar los</w:t>
      </w:r>
      <w:r w:rsidR="00EF44A6" w:rsidRPr="009B27A5">
        <w:rPr>
          <w:rFonts w:ascii="Arial" w:eastAsia="Calibri" w:hAnsi="Arial" w:cs="Arial"/>
          <w:color w:val="000000" w:themeColor="text1"/>
          <w:sz w:val="22"/>
          <w:szCs w:val="22"/>
          <w:lang w:val="es-ES_tradnl"/>
        </w:rPr>
        <w:t xml:space="preserve"> siguientes temas:</w:t>
      </w:r>
      <w:r w:rsidRPr="009B27A5">
        <w:rPr>
          <w:rFonts w:ascii="Arial" w:eastAsia="Calibri" w:hAnsi="Arial" w:cs="Arial"/>
          <w:color w:val="000000" w:themeColor="text1"/>
          <w:sz w:val="22"/>
          <w:szCs w:val="22"/>
          <w:lang w:val="es-ES_tradnl"/>
        </w:rPr>
        <w:t xml:space="preserve"> </w:t>
      </w:r>
      <w:r w:rsidR="00EF44A6" w:rsidRPr="009B27A5">
        <w:rPr>
          <w:rFonts w:ascii="Arial" w:eastAsia="Calibri" w:hAnsi="Arial" w:cs="Arial"/>
          <w:color w:val="000000" w:themeColor="text1"/>
          <w:sz w:val="22"/>
          <w:szCs w:val="22"/>
          <w:lang w:val="es-ES_tradnl"/>
        </w:rPr>
        <w:t xml:space="preserve">i) </w:t>
      </w:r>
      <w:r w:rsidR="00FC3830" w:rsidRPr="009B27A5">
        <w:rPr>
          <w:rFonts w:ascii="Arial" w:eastAsia="Calibri" w:hAnsi="Arial" w:cs="Arial"/>
          <w:color w:val="000000" w:themeColor="text1"/>
          <w:sz w:val="22"/>
          <w:szCs w:val="22"/>
          <w:lang w:val="es-ES_tradnl"/>
        </w:rPr>
        <w:t xml:space="preserve">alcance de las </w:t>
      </w:r>
      <w:r w:rsidR="00EE2295" w:rsidRPr="009B27A5">
        <w:rPr>
          <w:rFonts w:ascii="Arial" w:eastAsia="Calibri" w:hAnsi="Arial" w:cs="Arial"/>
          <w:color w:val="000000" w:themeColor="text1"/>
          <w:sz w:val="22"/>
          <w:szCs w:val="22"/>
          <w:lang w:val="es-ES_tradnl"/>
        </w:rPr>
        <w:t>restricciones establecidas en</w:t>
      </w:r>
      <w:r w:rsidR="008B1475" w:rsidRPr="009B27A5">
        <w:rPr>
          <w:rFonts w:ascii="Arial" w:eastAsia="Calibri" w:hAnsi="Arial" w:cs="Arial"/>
          <w:color w:val="000000" w:themeColor="text1"/>
          <w:sz w:val="22"/>
          <w:szCs w:val="22"/>
          <w:lang w:val="es-ES_tradnl"/>
        </w:rPr>
        <w:t xml:space="preserve"> la Ley</w:t>
      </w:r>
      <w:r w:rsidR="00EE2295" w:rsidRPr="009B27A5">
        <w:rPr>
          <w:rFonts w:ascii="Arial" w:eastAsia="Calibri" w:hAnsi="Arial" w:cs="Arial"/>
          <w:color w:val="000000" w:themeColor="text1"/>
          <w:sz w:val="22"/>
          <w:szCs w:val="22"/>
          <w:lang w:val="es-ES_tradnl"/>
        </w:rPr>
        <w:t xml:space="preserve"> 996 de 2005</w:t>
      </w:r>
      <w:r w:rsidR="008B1475" w:rsidRPr="009B27A5">
        <w:rPr>
          <w:rFonts w:ascii="Arial" w:eastAsia="Calibri" w:hAnsi="Arial" w:cs="Arial"/>
          <w:color w:val="000000" w:themeColor="text1"/>
          <w:sz w:val="22"/>
          <w:szCs w:val="22"/>
          <w:lang w:val="es-ES_tradnl"/>
        </w:rPr>
        <w:t xml:space="preserve"> </w:t>
      </w:r>
      <w:r w:rsidR="00EE2295" w:rsidRPr="009B27A5">
        <w:rPr>
          <w:rFonts w:ascii="Arial" w:eastAsia="Calibri" w:hAnsi="Arial" w:cs="Arial"/>
          <w:color w:val="000000" w:themeColor="text1"/>
          <w:sz w:val="22"/>
          <w:szCs w:val="22"/>
          <w:lang w:val="es-ES_tradnl"/>
        </w:rPr>
        <w:t xml:space="preserve">–más conocida </w:t>
      </w:r>
      <w:r w:rsidR="00025E0C" w:rsidRPr="009B27A5">
        <w:rPr>
          <w:rFonts w:ascii="Arial" w:eastAsia="Calibri" w:hAnsi="Arial" w:cs="Arial"/>
          <w:color w:val="000000" w:themeColor="text1"/>
          <w:sz w:val="22"/>
          <w:szCs w:val="22"/>
          <w:lang w:val="es-ES_tradnl"/>
        </w:rPr>
        <w:t xml:space="preserve">como </w:t>
      </w:r>
      <w:r w:rsidR="002D57DB" w:rsidRPr="009B27A5">
        <w:rPr>
          <w:rFonts w:ascii="Arial" w:eastAsia="Calibri" w:hAnsi="Arial" w:cs="Arial"/>
          <w:color w:val="000000" w:themeColor="text1"/>
          <w:sz w:val="22"/>
          <w:szCs w:val="22"/>
          <w:lang w:val="es-ES_tradnl"/>
        </w:rPr>
        <w:t>«</w:t>
      </w:r>
      <w:r w:rsidR="004A2A99" w:rsidRPr="009B27A5">
        <w:rPr>
          <w:rFonts w:ascii="Arial" w:eastAsia="Calibri" w:hAnsi="Arial" w:cs="Arial"/>
          <w:color w:val="000000" w:themeColor="text1"/>
          <w:sz w:val="22"/>
          <w:szCs w:val="22"/>
          <w:lang w:val="es-ES_tradnl"/>
        </w:rPr>
        <w:t xml:space="preserve">Ley </w:t>
      </w:r>
      <w:r w:rsidR="008B1475" w:rsidRPr="009B27A5">
        <w:rPr>
          <w:rFonts w:ascii="Arial" w:eastAsia="Calibri" w:hAnsi="Arial" w:cs="Arial"/>
          <w:color w:val="000000" w:themeColor="text1"/>
          <w:sz w:val="22"/>
          <w:szCs w:val="22"/>
          <w:lang w:val="es-ES_tradnl"/>
        </w:rPr>
        <w:t>de Garantías Electorales</w:t>
      </w:r>
      <w:r w:rsidR="002D57DB" w:rsidRPr="009B27A5">
        <w:rPr>
          <w:rFonts w:ascii="Arial" w:eastAsia="Calibri" w:hAnsi="Arial" w:cs="Arial"/>
          <w:color w:val="000000" w:themeColor="text1"/>
          <w:sz w:val="22"/>
          <w:szCs w:val="22"/>
          <w:lang w:val="es-ES_tradnl"/>
        </w:rPr>
        <w:t>»</w:t>
      </w:r>
      <w:r w:rsidR="004A2A99" w:rsidRPr="009B27A5">
        <w:rPr>
          <w:rFonts w:ascii="Arial" w:eastAsia="Calibri" w:hAnsi="Arial" w:cs="Arial"/>
          <w:color w:val="000000" w:themeColor="text1"/>
          <w:sz w:val="22"/>
          <w:szCs w:val="22"/>
          <w:lang w:val="es-ES_tradnl"/>
        </w:rPr>
        <w:t>–, ii)</w:t>
      </w:r>
      <w:r w:rsidR="00A12DED" w:rsidRPr="009B27A5">
        <w:rPr>
          <w:rFonts w:ascii="Arial" w:eastAsia="Calibri" w:hAnsi="Arial" w:cs="Arial"/>
          <w:color w:val="000000" w:themeColor="text1"/>
          <w:sz w:val="22"/>
          <w:szCs w:val="22"/>
          <w:lang w:val="es-ES_tradnl"/>
        </w:rPr>
        <w:t xml:space="preserve"> restricciones especiales aplicables</w:t>
      </w:r>
      <w:r w:rsidR="001251F7" w:rsidRPr="009B27A5">
        <w:rPr>
          <w:rFonts w:ascii="Arial" w:eastAsia="Calibri" w:hAnsi="Arial" w:cs="Arial"/>
          <w:color w:val="000000" w:themeColor="text1"/>
          <w:sz w:val="22"/>
          <w:szCs w:val="22"/>
          <w:lang w:val="es-ES_tradnl"/>
        </w:rPr>
        <w:t xml:space="preserve"> </w:t>
      </w:r>
      <w:r w:rsidR="009312BE" w:rsidRPr="009B27A5">
        <w:rPr>
          <w:rFonts w:ascii="Arial" w:eastAsia="Calibri" w:hAnsi="Arial" w:cs="Arial"/>
          <w:color w:val="000000" w:themeColor="text1"/>
          <w:sz w:val="22"/>
          <w:szCs w:val="22"/>
          <w:lang w:val="es-ES_tradnl"/>
        </w:rPr>
        <w:t>de cara a</w:t>
      </w:r>
      <w:r w:rsidR="001251F7" w:rsidRPr="009B27A5">
        <w:rPr>
          <w:rFonts w:ascii="Arial" w:eastAsia="Calibri" w:hAnsi="Arial" w:cs="Arial"/>
          <w:color w:val="000000" w:themeColor="text1"/>
          <w:sz w:val="22"/>
          <w:szCs w:val="22"/>
          <w:lang w:val="es-ES_tradnl"/>
        </w:rPr>
        <w:t xml:space="preserve"> las</w:t>
      </w:r>
      <w:r w:rsidR="00A12DED" w:rsidRPr="009B27A5">
        <w:rPr>
          <w:rFonts w:ascii="Arial" w:eastAsia="Calibri" w:hAnsi="Arial" w:cs="Arial"/>
          <w:color w:val="000000" w:themeColor="text1"/>
          <w:sz w:val="22"/>
          <w:szCs w:val="22"/>
          <w:lang w:val="es-ES_tradnl"/>
        </w:rPr>
        <w:t xml:space="preserve"> elecciones presidenciales</w:t>
      </w:r>
      <w:r w:rsidR="001251F7" w:rsidRPr="009B27A5">
        <w:rPr>
          <w:rFonts w:ascii="Arial" w:eastAsia="Calibri" w:hAnsi="Arial" w:cs="Arial"/>
          <w:color w:val="000000" w:themeColor="text1"/>
          <w:sz w:val="22"/>
          <w:szCs w:val="22"/>
          <w:lang w:val="es-ES_tradnl"/>
        </w:rPr>
        <w:t xml:space="preserve">, iii) </w:t>
      </w:r>
      <w:r w:rsidR="001251F7" w:rsidRPr="009B27A5">
        <w:rPr>
          <w:rFonts w:ascii="Arial" w:hAnsi="Arial" w:cs="Arial"/>
          <w:sz w:val="22"/>
          <w:szCs w:val="22"/>
          <w:lang w:val="es-ES_tradnl" w:eastAsia="es-CO"/>
        </w:rPr>
        <w:t xml:space="preserve">restricciones para la celebración de contratos y convenios interadministrativos en los comicios de cargos de elección popular </w:t>
      </w:r>
      <w:r w:rsidR="00B87AEA" w:rsidRPr="009B27A5">
        <w:rPr>
          <w:rFonts w:ascii="Arial" w:hAnsi="Arial" w:cs="Arial"/>
          <w:sz w:val="22"/>
          <w:szCs w:val="22"/>
          <w:lang w:val="es-ES_tradnl" w:eastAsia="es-CO"/>
        </w:rPr>
        <w:t>e</w:t>
      </w:r>
      <w:r w:rsidR="001251F7" w:rsidRPr="009B27A5">
        <w:rPr>
          <w:rFonts w:ascii="Arial" w:hAnsi="Arial" w:cs="Arial"/>
          <w:sz w:val="22"/>
          <w:szCs w:val="22"/>
          <w:lang w:val="es-ES_tradnl" w:eastAsia="es-CO"/>
        </w:rPr>
        <w:t xml:space="preserve"> </w:t>
      </w:r>
      <w:r w:rsidR="002324A5" w:rsidRPr="009B27A5">
        <w:rPr>
          <w:rFonts w:ascii="Arial" w:hAnsi="Arial" w:cs="Arial"/>
          <w:sz w:val="22"/>
          <w:szCs w:val="22"/>
          <w:lang w:val="es-ES_tradnl" w:eastAsia="es-CO"/>
        </w:rPr>
        <w:t xml:space="preserve">iv) </w:t>
      </w:r>
      <w:r w:rsidR="009312BE" w:rsidRPr="009B27A5">
        <w:rPr>
          <w:rFonts w:ascii="Arial" w:hAnsi="Arial" w:cs="Arial"/>
          <w:sz w:val="22"/>
          <w:szCs w:val="22"/>
          <w:lang w:val="es-ES_tradnl" w:eastAsia="es-CO"/>
        </w:rPr>
        <w:t>i</w:t>
      </w:r>
      <w:r w:rsidR="002324A5" w:rsidRPr="009B27A5">
        <w:rPr>
          <w:rFonts w:ascii="Arial" w:hAnsi="Arial" w:cs="Arial"/>
          <w:sz w:val="22"/>
          <w:szCs w:val="22"/>
          <w:lang w:val="es-ES_tradnl" w:eastAsia="es-CO"/>
        </w:rPr>
        <w:t>naplicación de las restricciones consagradas en la Ley de Garantías Electorales a la transferencia mediante acto administrativo por parte de Unidad Nacional de Gestión de Riesgo de Desastre</w:t>
      </w:r>
      <w:r w:rsidR="005465E8" w:rsidRPr="009B27A5">
        <w:rPr>
          <w:rFonts w:ascii="Arial" w:hAnsi="Arial" w:cs="Arial"/>
          <w:sz w:val="22"/>
          <w:szCs w:val="22"/>
          <w:lang w:val="es-ES_tradnl" w:eastAsia="es-CO"/>
        </w:rPr>
        <w:t>, prevista en el artículo 9 del Decreto Legislativo 559 de 2020</w:t>
      </w:r>
      <w:r w:rsidR="002324A5" w:rsidRPr="009B27A5">
        <w:rPr>
          <w:rFonts w:ascii="Arial" w:hAnsi="Arial" w:cs="Arial"/>
          <w:sz w:val="22"/>
          <w:szCs w:val="22"/>
          <w:lang w:val="es-ES_tradnl" w:eastAsia="es-CO"/>
        </w:rPr>
        <w:t>.</w:t>
      </w:r>
    </w:p>
    <w:p w14:paraId="0C74FB75" w14:textId="569EBB91" w:rsidR="00F45612" w:rsidRPr="009B27A5" w:rsidRDefault="000A0DF7" w:rsidP="008B1475">
      <w:pPr>
        <w:spacing w:before="120" w:line="276" w:lineRule="auto"/>
        <w:ind w:firstLine="709"/>
        <w:jc w:val="both"/>
        <w:rPr>
          <w:rFonts w:ascii="Arial" w:eastAsia="Calibri" w:hAnsi="Arial" w:cs="Arial"/>
          <w:color w:val="000000" w:themeColor="text1"/>
          <w:sz w:val="22"/>
          <w:lang w:val="es-ES_tradnl"/>
        </w:rPr>
      </w:pPr>
      <w:r w:rsidRPr="00AF4B3D">
        <w:rPr>
          <w:rFonts w:ascii="Arial" w:eastAsia="Calibri" w:hAnsi="Arial" w:cs="Arial"/>
          <w:sz w:val="22"/>
          <w:lang w:val="es-ES_tradnl"/>
        </w:rPr>
        <w:lastRenderedPageBreak/>
        <w:t>Esta Agencia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w:t>
      </w:r>
      <w:r w:rsidR="009312BE" w:rsidRPr="00AF4B3D">
        <w:rPr>
          <w:rFonts w:ascii="Arial" w:eastAsia="Calibri" w:hAnsi="Arial" w:cs="Arial"/>
          <w:sz w:val="22"/>
          <w:lang w:val="es-ES_tradnl"/>
        </w:rPr>
        <w:t xml:space="preserve">, </w:t>
      </w:r>
      <w:r w:rsidRPr="00AF4B3D">
        <w:rPr>
          <w:rFonts w:ascii="Arial" w:eastAsia="Calibri" w:hAnsi="Arial" w:cs="Arial"/>
          <w:sz w:val="22"/>
          <w:lang w:val="es-ES_tradnl"/>
        </w:rPr>
        <w:t>C-543 del 11 de noviembre de 2021</w:t>
      </w:r>
      <w:r w:rsidR="009B27A5">
        <w:rPr>
          <w:rFonts w:ascii="Arial" w:eastAsia="Calibri" w:hAnsi="Arial" w:cs="Arial"/>
          <w:sz w:val="22"/>
          <w:lang w:val="es-ES_tradnl"/>
        </w:rPr>
        <w:t xml:space="preserve">, </w:t>
      </w:r>
      <w:r w:rsidR="009312BE" w:rsidRPr="00AF4B3D">
        <w:rPr>
          <w:rFonts w:ascii="Arial" w:eastAsia="Calibri" w:hAnsi="Arial" w:cs="Arial"/>
          <w:sz w:val="22"/>
          <w:lang w:val="es-ES_tradnl"/>
        </w:rPr>
        <w:t>C-</w:t>
      </w:r>
      <w:r w:rsidR="0043676B" w:rsidRPr="00AF4B3D">
        <w:rPr>
          <w:rFonts w:ascii="Arial" w:eastAsia="Calibri" w:hAnsi="Arial" w:cs="Arial"/>
          <w:sz w:val="22"/>
          <w:lang w:val="es-ES_tradnl"/>
        </w:rPr>
        <w:t>633 del 11 de noviembre de 2021</w:t>
      </w:r>
      <w:r w:rsidR="009B27A5">
        <w:rPr>
          <w:rFonts w:ascii="Arial" w:eastAsia="Calibri" w:hAnsi="Arial" w:cs="Arial"/>
          <w:sz w:val="22"/>
          <w:lang w:val="es-ES_tradnl"/>
        </w:rPr>
        <w:t xml:space="preserve"> y </w:t>
      </w:r>
      <w:r w:rsidR="0027390F">
        <w:rPr>
          <w:rFonts w:ascii="Arial" w:eastAsia="Calibri" w:hAnsi="Arial" w:cs="Arial"/>
          <w:sz w:val="22"/>
          <w:lang w:val="es-ES_tradnl"/>
        </w:rPr>
        <w:t xml:space="preserve">C-674 del </w:t>
      </w:r>
      <w:r w:rsidR="00AF4B3D">
        <w:rPr>
          <w:rFonts w:ascii="Arial" w:eastAsia="Calibri" w:hAnsi="Arial" w:cs="Arial"/>
          <w:sz w:val="22"/>
          <w:lang w:val="es-ES_tradnl"/>
        </w:rPr>
        <w:t>6 de diciembre de 2021</w:t>
      </w:r>
      <w:r w:rsidRPr="00AF4B3D">
        <w:rPr>
          <w:rFonts w:ascii="Arial" w:eastAsia="Calibri" w:hAnsi="Arial" w:cs="Arial"/>
          <w:sz w:val="22"/>
          <w:lang w:val="es-ES_tradnl"/>
        </w:rPr>
        <w:t>.</w:t>
      </w:r>
      <w:r w:rsidR="00EB3A93" w:rsidRPr="00AF4B3D">
        <w:rPr>
          <w:rFonts w:ascii="Arial" w:eastAsia="Calibri" w:hAnsi="Arial" w:cs="Arial"/>
          <w:sz w:val="22"/>
          <w:lang w:val="es-ES_tradnl"/>
        </w:rPr>
        <w:t xml:space="preserve"> </w:t>
      </w:r>
      <w:r w:rsidRPr="00AF4B3D">
        <w:rPr>
          <w:rFonts w:ascii="Arial" w:eastAsia="Calibri" w:hAnsi="Arial" w:cs="Arial"/>
          <w:sz w:val="22"/>
          <w:lang w:val="es-ES_tradnl"/>
        </w:rPr>
        <w:t xml:space="preserve">Teniendo en cuenta los conceptos anteriores y analizando la </w:t>
      </w:r>
      <w:r w:rsidR="0043676B" w:rsidRPr="00AF4B3D">
        <w:rPr>
          <w:rFonts w:ascii="Arial" w:eastAsia="Calibri" w:hAnsi="Arial" w:cs="Arial"/>
          <w:sz w:val="22"/>
          <w:lang w:val="es-ES_tradnl"/>
        </w:rPr>
        <w:t>consulta</w:t>
      </w:r>
      <w:r w:rsidRPr="00AF4B3D">
        <w:rPr>
          <w:rFonts w:ascii="Arial" w:eastAsia="Calibri" w:hAnsi="Arial" w:cs="Arial"/>
          <w:sz w:val="22"/>
          <w:lang w:val="es-ES_tradnl"/>
        </w:rPr>
        <w:t xml:space="preserve"> en cuestión se realizan las siguientes consideraciones</w:t>
      </w:r>
      <w:r w:rsidRPr="009B27A5">
        <w:rPr>
          <w:rFonts w:ascii="Arial" w:eastAsia="Calibri" w:hAnsi="Arial" w:cs="Arial"/>
          <w:color w:val="000000" w:themeColor="text1"/>
          <w:sz w:val="22"/>
          <w:lang w:val="es-ES_tradnl"/>
        </w:rPr>
        <w:t>.</w:t>
      </w:r>
    </w:p>
    <w:p w14:paraId="2CA940A1" w14:textId="563ED9E8" w:rsidR="00C925C4" w:rsidRPr="009B27A5" w:rsidRDefault="00F45612" w:rsidP="00C925C4">
      <w:pPr>
        <w:spacing w:before="120" w:line="276" w:lineRule="auto"/>
        <w:ind w:firstLine="709"/>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Antes de comenzar, como lo indicó la Agencia</w:t>
      </w:r>
      <w:r w:rsidR="00900890" w:rsidRPr="009B27A5">
        <w:rPr>
          <w:rFonts w:ascii="Arial" w:eastAsia="Calibri" w:hAnsi="Arial" w:cs="Arial"/>
          <w:color w:val="000000" w:themeColor="text1"/>
          <w:sz w:val="22"/>
          <w:lang w:val="es-ES_tradnl"/>
        </w:rPr>
        <w:t xml:space="preserve"> en el informe a la opinión pública del 11 de noviembre del presente año</w:t>
      </w:r>
      <w:r w:rsidR="00900890" w:rsidRPr="009B27A5">
        <w:rPr>
          <w:rStyle w:val="Refdenotaalpie"/>
          <w:rFonts w:ascii="Arial" w:eastAsia="Calibri" w:hAnsi="Arial" w:cs="Arial"/>
          <w:color w:val="000000" w:themeColor="text1"/>
          <w:sz w:val="22"/>
          <w:lang w:val="es-ES_tradnl"/>
        </w:rPr>
        <w:footnoteReference w:id="2"/>
      </w:r>
      <w:r w:rsidR="00C332AD" w:rsidRPr="009B27A5">
        <w:rPr>
          <w:rFonts w:ascii="Arial" w:eastAsia="Calibri" w:hAnsi="Arial" w:cs="Arial"/>
          <w:color w:val="000000" w:themeColor="text1"/>
          <w:sz w:val="22"/>
          <w:lang w:val="es-ES_tradnl"/>
        </w:rPr>
        <w:t xml:space="preserve">, se aclara que, </w:t>
      </w:r>
      <w:r w:rsidR="00376182" w:rsidRPr="009B27A5">
        <w:rPr>
          <w:rFonts w:ascii="Arial" w:eastAsia="Calibri" w:hAnsi="Arial" w:cs="Arial"/>
          <w:color w:val="000000" w:themeColor="text1"/>
          <w:sz w:val="22"/>
          <w:lang w:val="es-ES_tradnl"/>
        </w:rPr>
        <w:t>a pesar de la expedición de</w:t>
      </w:r>
      <w:r w:rsidR="009D5CFD" w:rsidRPr="009B27A5">
        <w:rPr>
          <w:rFonts w:ascii="Arial" w:eastAsia="Calibri" w:hAnsi="Arial" w:cs="Arial"/>
          <w:color w:val="000000" w:themeColor="text1"/>
          <w:sz w:val="22"/>
          <w:lang w:val="es-ES_tradnl"/>
        </w:rPr>
        <w:t xml:space="preserve"> la Ley </w:t>
      </w:r>
      <w:r w:rsidR="005D577C" w:rsidRPr="009B27A5">
        <w:rPr>
          <w:rFonts w:ascii="Arial" w:eastAsia="Calibri" w:hAnsi="Arial" w:cs="Arial"/>
          <w:color w:val="000000" w:themeColor="text1"/>
          <w:sz w:val="22"/>
          <w:lang w:val="es-ES_tradnl"/>
        </w:rPr>
        <w:t>2159 de 2021</w:t>
      </w:r>
      <w:r w:rsidR="001C702D" w:rsidRPr="009B27A5">
        <w:rPr>
          <w:rStyle w:val="Refdenotaalpie"/>
          <w:rFonts w:ascii="Arial" w:eastAsia="Calibri" w:hAnsi="Arial" w:cs="Arial"/>
          <w:color w:val="000000" w:themeColor="text1"/>
          <w:sz w:val="22"/>
          <w:lang w:val="es-ES_tradnl"/>
        </w:rPr>
        <w:footnoteReference w:id="3"/>
      </w:r>
      <w:r w:rsidR="005D577C" w:rsidRPr="009B27A5">
        <w:rPr>
          <w:rFonts w:ascii="Arial" w:eastAsia="Calibri" w:hAnsi="Arial" w:cs="Arial"/>
          <w:color w:val="000000" w:themeColor="text1"/>
          <w:sz w:val="22"/>
          <w:lang w:val="es-ES_tradnl"/>
        </w:rPr>
        <w:t xml:space="preserve">, «Con ocasión de la Sentencia de Tutela proferida por el Juez Tercero Administrativo de Bogotá el 9 de noviembre de 2021 en el expediente 11001-33-34-003-2021-00354-00, </w:t>
      </w:r>
      <w:r w:rsidR="00770690" w:rsidRPr="009B27A5">
        <w:rPr>
          <w:rFonts w:ascii="Arial" w:eastAsia="Calibri" w:hAnsi="Arial" w:cs="Arial"/>
          <w:color w:val="000000" w:themeColor="text1"/>
          <w:sz w:val="22"/>
          <w:lang w:val="es-ES_tradnl"/>
        </w:rPr>
        <w:t>se ordenó</w:t>
      </w:r>
      <w:r w:rsidR="005D577C" w:rsidRPr="009B27A5">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9B27A5">
        <w:rPr>
          <w:rStyle w:val="Refdenotaalpie"/>
          <w:rFonts w:ascii="Arial" w:eastAsia="Calibri" w:hAnsi="Arial" w:cs="Arial"/>
          <w:color w:val="000000" w:themeColor="text1"/>
          <w:sz w:val="22"/>
          <w:lang w:val="es-ES_tradnl"/>
        </w:rPr>
        <w:footnoteReference w:id="4"/>
      </w:r>
      <w:r w:rsidR="005D577C" w:rsidRPr="009B27A5">
        <w:rPr>
          <w:rFonts w:ascii="Arial" w:eastAsia="Calibri" w:hAnsi="Arial" w:cs="Arial"/>
          <w:color w:val="000000" w:themeColor="text1"/>
          <w:sz w:val="22"/>
          <w:lang w:val="es-ES_tradnl"/>
        </w:rPr>
        <w:t>.</w:t>
      </w:r>
      <w:r w:rsidR="00B36114" w:rsidRPr="009B27A5">
        <w:rPr>
          <w:rFonts w:ascii="Arial" w:eastAsia="Calibri" w:hAnsi="Arial" w:cs="Arial"/>
          <w:color w:val="000000" w:themeColor="text1"/>
          <w:sz w:val="22"/>
          <w:lang w:val="es-ES_tradnl"/>
        </w:rPr>
        <w:t xml:space="preserve"> Por ende, «cada entidad destinataria de la orden determinará su alcance, precisando si la restricción del parágrafo del artículo 38 de la Ley 996 de 2005 debe aplicarse en los términos del contenido original de la Ley de Garantías Electorales»</w:t>
      </w:r>
      <w:r w:rsidR="004D5ED1" w:rsidRPr="009B27A5">
        <w:rPr>
          <w:rStyle w:val="Refdenotaalpie"/>
          <w:rFonts w:ascii="Arial" w:eastAsia="Calibri" w:hAnsi="Arial" w:cs="Arial"/>
          <w:color w:val="000000" w:themeColor="text1"/>
          <w:sz w:val="22"/>
          <w:lang w:val="es-ES_tradnl"/>
        </w:rPr>
        <w:footnoteReference w:id="5"/>
      </w:r>
      <w:r w:rsidR="00B36114" w:rsidRPr="009B27A5">
        <w:rPr>
          <w:rFonts w:ascii="Arial" w:eastAsia="Calibri" w:hAnsi="Arial" w:cs="Arial"/>
          <w:color w:val="000000" w:themeColor="text1"/>
          <w:sz w:val="22"/>
          <w:lang w:val="es-ES_tradnl"/>
        </w:rPr>
        <w:t>.</w:t>
      </w:r>
      <w:r w:rsidR="00C925C4" w:rsidRPr="009B27A5">
        <w:rPr>
          <w:rFonts w:ascii="Arial" w:eastAsia="Calibri" w:hAnsi="Arial" w:cs="Arial"/>
          <w:color w:val="000000" w:themeColor="text1"/>
          <w:sz w:val="22"/>
          <w:lang w:val="es-ES_tradnl"/>
        </w:rPr>
        <w:t xml:space="preserve"> </w:t>
      </w:r>
      <w:r w:rsidR="00802A12">
        <w:rPr>
          <w:rFonts w:ascii="Arial" w:eastAsia="Calibri" w:hAnsi="Arial" w:cs="Arial"/>
          <w:color w:val="000000" w:themeColor="text1"/>
          <w:sz w:val="22"/>
          <w:lang w:val="es-ES_tradnl"/>
        </w:rPr>
        <w:t>Sin embargo, también debe tenerse en cuenta que</w:t>
      </w:r>
      <w:r w:rsidR="00C925C4" w:rsidRPr="009B27A5">
        <w:rPr>
          <w:rFonts w:ascii="Arial" w:eastAsia="Calibri" w:hAnsi="Arial" w:cs="Arial"/>
          <w:color w:val="000000" w:themeColor="text1"/>
          <w:sz w:val="22"/>
          <w:lang w:val="es-ES_tradnl"/>
        </w:rPr>
        <w:t xml:space="preserve">, posteriormente, el Tribunal Administrativo de Cundinamarca, mediante providencia del 29 de noviembre de 2021, decretó la nulidad de todo lo actuado </w:t>
      </w:r>
      <w:r w:rsidR="00C925C4" w:rsidRPr="009B27A5">
        <w:rPr>
          <w:rFonts w:ascii="Arial" w:eastAsia="Calibri" w:hAnsi="Arial" w:cs="Arial"/>
          <w:color w:val="000000" w:themeColor="text1"/>
          <w:sz w:val="22"/>
          <w:lang w:val="es-ES_tradnl"/>
        </w:rPr>
        <w:lastRenderedPageBreak/>
        <w:t xml:space="preserve">en el trámite de la acción de tutela mencionada. En consecuencia, ordenó la vinculación del señor Presidente de la República y dio traslado del expediente al Consejo de Estado, por ser el órgano judicial competente, conforme al artículo 1 del Decreto 333 de 2021. </w:t>
      </w:r>
    </w:p>
    <w:p w14:paraId="30050CC4" w14:textId="1B81E7B9" w:rsidR="00B36114" w:rsidRPr="009B27A5" w:rsidRDefault="00850C6C" w:rsidP="00B36114">
      <w:pPr>
        <w:spacing w:before="120" w:line="276" w:lineRule="auto"/>
        <w:ind w:firstLine="709"/>
        <w:jc w:val="both"/>
        <w:rPr>
          <w:rFonts w:ascii="Arial" w:eastAsia="Calibri" w:hAnsi="Arial" w:cs="Arial"/>
          <w:color w:val="000000" w:themeColor="text1"/>
          <w:sz w:val="22"/>
          <w:lang w:val="es-ES_tradnl"/>
        </w:rPr>
      </w:pPr>
      <w:r w:rsidRPr="009B27A5">
        <w:rPr>
          <w:rFonts w:ascii="Arial" w:eastAsia="Calibri" w:hAnsi="Arial" w:cs="Arial"/>
          <w:color w:val="000000" w:themeColor="text1"/>
          <w:sz w:val="22"/>
          <w:lang w:val="es-ES_tradnl"/>
        </w:rPr>
        <w:t xml:space="preserve"> Sin perjuicio de la interpretación que realicen las entidades estatales sobre la vigencia del artículo 124 de la Ley 2159 de 2021, esta no incide en la respuesta que se </w:t>
      </w:r>
      <w:r w:rsidR="00A0111D" w:rsidRPr="009B27A5">
        <w:rPr>
          <w:rFonts w:ascii="Arial" w:eastAsia="Calibri" w:hAnsi="Arial" w:cs="Arial"/>
          <w:color w:val="000000" w:themeColor="text1"/>
          <w:sz w:val="22"/>
          <w:lang w:val="es-ES_tradnl"/>
        </w:rPr>
        <w:t>brinda</w:t>
      </w:r>
      <w:r w:rsidRPr="009B27A5">
        <w:rPr>
          <w:rFonts w:ascii="Arial" w:eastAsia="Calibri" w:hAnsi="Arial" w:cs="Arial"/>
          <w:color w:val="000000" w:themeColor="text1"/>
          <w:sz w:val="22"/>
          <w:lang w:val="es-ES_tradnl"/>
        </w:rPr>
        <w:t xml:space="preserve"> en el presente concepto, porque, como se verá, </w:t>
      </w:r>
      <w:r w:rsidR="00B93DA8" w:rsidRPr="009B27A5">
        <w:rPr>
          <w:rFonts w:ascii="Arial" w:eastAsia="Calibri" w:hAnsi="Arial" w:cs="Arial"/>
          <w:color w:val="000000" w:themeColor="text1"/>
          <w:sz w:val="22"/>
          <w:lang w:val="es-ES_tradnl"/>
        </w:rPr>
        <w:t>la expedición del</w:t>
      </w:r>
      <w:r w:rsidR="00CF2F00" w:rsidRPr="009B27A5">
        <w:rPr>
          <w:rFonts w:ascii="Arial" w:eastAsia="Calibri" w:hAnsi="Arial" w:cs="Arial"/>
          <w:color w:val="000000" w:themeColor="text1"/>
          <w:sz w:val="22"/>
          <w:lang w:val="es-ES_tradnl"/>
        </w:rPr>
        <w:t xml:space="preserve"> acto administrativo regulado en el artículo 9 del Decreto 559 de 2020 </w:t>
      </w:r>
      <w:r w:rsidR="00B93DA8" w:rsidRPr="009B27A5">
        <w:rPr>
          <w:rFonts w:ascii="Arial" w:eastAsia="Calibri" w:hAnsi="Arial" w:cs="Arial"/>
          <w:color w:val="000000" w:themeColor="text1"/>
          <w:sz w:val="22"/>
          <w:lang w:val="es-ES_tradnl"/>
        </w:rPr>
        <w:t xml:space="preserve">es válido y </w:t>
      </w:r>
      <w:r w:rsidR="00CF2F00" w:rsidRPr="009B27A5">
        <w:rPr>
          <w:rFonts w:ascii="Arial" w:eastAsia="Calibri" w:hAnsi="Arial" w:cs="Arial"/>
          <w:color w:val="000000" w:themeColor="text1"/>
          <w:sz w:val="22"/>
          <w:lang w:val="es-ES_tradnl"/>
        </w:rPr>
        <w:t>est</w:t>
      </w:r>
      <w:r w:rsidR="00B93DA8" w:rsidRPr="009B27A5">
        <w:rPr>
          <w:rFonts w:ascii="Arial" w:eastAsia="Calibri" w:hAnsi="Arial" w:cs="Arial"/>
          <w:color w:val="000000" w:themeColor="text1"/>
          <w:sz w:val="22"/>
          <w:lang w:val="es-ES_tradnl"/>
        </w:rPr>
        <w:t>aría</w:t>
      </w:r>
      <w:r w:rsidR="00CF2F00" w:rsidRPr="009B27A5">
        <w:rPr>
          <w:rFonts w:ascii="Arial" w:eastAsia="Calibri" w:hAnsi="Arial" w:cs="Arial"/>
          <w:color w:val="000000" w:themeColor="text1"/>
          <w:sz w:val="22"/>
          <w:lang w:val="es-ES_tradnl"/>
        </w:rPr>
        <w:t xml:space="preserve"> permitido. No obstante, se considera pertinente esta observación, por las inquietudes generadas por el fallo de tutela</w:t>
      </w:r>
      <w:r w:rsidR="00A0111D" w:rsidRPr="009B27A5">
        <w:rPr>
          <w:rFonts w:ascii="Arial" w:eastAsia="Calibri" w:hAnsi="Arial" w:cs="Arial"/>
          <w:color w:val="000000" w:themeColor="text1"/>
          <w:sz w:val="22"/>
          <w:lang w:val="es-ES_tradnl"/>
        </w:rPr>
        <w:t>, el anuncio de su impugnación por parte del gobierno nacional,</w:t>
      </w:r>
      <w:r w:rsidR="00CF2F00" w:rsidRPr="009B27A5">
        <w:rPr>
          <w:rFonts w:ascii="Arial" w:eastAsia="Calibri" w:hAnsi="Arial" w:cs="Arial"/>
          <w:color w:val="000000" w:themeColor="text1"/>
          <w:sz w:val="22"/>
          <w:lang w:val="es-ES_tradnl"/>
        </w:rPr>
        <w:t xml:space="preserve"> </w:t>
      </w:r>
      <w:r w:rsidR="005465E8" w:rsidRPr="009B27A5">
        <w:rPr>
          <w:rFonts w:ascii="Arial" w:eastAsia="Calibri" w:hAnsi="Arial" w:cs="Arial"/>
          <w:color w:val="000000" w:themeColor="text1"/>
          <w:sz w:val="22"/>
          <w:lang w:val="es-ES_tradnl"/>
        </w:rPr>
        <w:t>así como</w:t>
      </w:r>
      <w:r w:rsidR="00CF2F00" w:rsidRPr="009B27A5">
        <w:rPr>
          <w:rFonts w:ascii="Arial" w:eastAsia="Calibri" w:hAnsi="Arial" w:cs="Arial"/>
          <w:color w:val="000000" w:themeColor="text1"/>
          <w:sz w:val="22"/>
          <w:lang w:val="es-ES_tradnl"/>
        </w:rPr>
        <w:t xml:space="preserve"> el tránsito legislativo</w:t>
      </w:r>
      <w:r w:rsidR="00C01912" w:rsidRPr="009B27A5">
        <w:rPr>
          <w:rFonts w:ascii="Arial" w:eastAsia="Calibri" w:hAnsi="Arial" w:cs="Arial"/>
          <w:color w:val="000000" w:themeColor="text1"/>
          <w:sz w:val="22"/>
          <w:lang w:val="es-ES_tradnl"/>
        </w:rPr>
        <w:t>.</w:t>
      </w:r>
    </w:p>
    <w:p w14:paraId="7DD6DDA5" w14:textId="77777777" w:rsidR="000A0DF7" w:rsidRPr="009B27A5"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9B27A5" w:rsidRDefault="000A0DF7" w:rsidP="000A0DF7">
      <w:pPr>
        <w:tabs>
          <w:tab w:val="left" w:pos="426"/>
        </w:tabs>
        <w:spacing w:line="276" w:lineRule="auto"/>
        <w:jc w:val="both"/>
        <w:rPr>
          <w:rFonts w:ascii="Arial" w:eastAsia="Calibri" w:hAnsi="Arial" w:cs="Arial"/>
          <w:b/>
          <w:bCs/>
          <w:sz w:val="22"/>
          <w:szCs w:val="22"/>
          <w:lang w:val="es-ES_tradnl" w:eastAsia="en-US"/>
        </w:rPr>
      </w:pPr>
      <w:r w:rsidRPr="009B27A5">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9B27A5"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9B27A5" w:rsidRDefault="000A0DF7" w:rsidP="000A0DF7">
      <w:pPr>
        <w:tabs>
          <w:tab w:val="left" w:pos="426"/>
        </w:tabs>
        <w:spacing w:after="120" w:line="276" w:lineRule="auto"/>
        <w:jc w:val="both"/>
        <w:rPr>
          <w:rFonts w:ascii="Arial" w:hAnsi="Arial" w:cs="Arial"/>
          <w:bCs/>
          <w:sz w:val="22"/>
          <w:szCs w:val="22"/>
          <w:lang w:val="es-ES_tradnl" w:eastAsia="es-CO"/>
        </w:rPr>
      </w:pPr>
      <w:r w:rsidRPr="009B27A5">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9B27A5">
        <w:rPr>
          <w:rFonts w:ascii="Arial" w:eastAsia="Calibri" w:hAnsi="Arial" w:cs="Arial"/>
          <w:bCs/>
          <w:i/>
          <w:iCs/>
          <w:sz w:val="22"/>
          <w:szCs w:val="22"/>
          <w:lang w:val="es-ES_tradnl" w:eastAsia="en-US"/>
        </w:rPr>
        <w:t xml:space="preserve">. </w:t>
      </w:r>
      <w:r w:rsidRPr="009B27A5">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9B27A5">
        <w:rPr>
          <w:rFonts w:ascii="Arial" w:eastAsia="Calibri" w:hAnsi="Arial" w:cs="Arial"/>
          <w:bCs/>
          <w:sz w:val="22"/>
          <w:szCs w:val="22"/>
          <w:lang w:val="es-ES_tradnl" w:eastAsia="en-US"/>
        </w:rPr>
        <w:t>,</w:t>
      </w:r>
      <w:r w:rsidRPr="009B27A5">
        <w:rPr>
          <w:rFonts w:ascii="Arial" w:eastAsia="Calibri" w:hAnsi="Arial" w:cs="Arial"/>
          <w:bCs/>
          <w:sz w:val="22"/>
          <w:szCs w:val="22"/>
          <w:lang w:val="es-ES_tradnl" w:eastAsia="en-US"/>
        </w:rPr>
        <w:t xml:space="preserve"> en cuanto a aspectos políticos</w:t>
      </w:r>
      <w:r w:rsidR="00B24DE5" w:rsidRPr="009B27A5">
        <w:rPr>
          <w:rFonts w:ascii="Arial" w:eastAsia="Calibri" w:hAnsi="Arial" w:cs="Arial"/>
          <w:bCs/>
          <w:sz w:val="22"/>
          <w:szCs w:val="22"/>
          <w:lang w:val="es-ES_tradnl" w:eastAsia="en-US"/>
        </w:rPr>
        <w:t xml:space="preserve">, </w:t>
      </w:r>
      <w:r w:rsidRPr="009B27A5">
        <w:rPr>
          <w:rFonts w:ascii="Arial" w:eastAsia="Calibri" w:hAnsi="Arial" w:cs="Arial"/>
          <w:bCs/>
          <w:sz w:val="22"/>
          <w:szCs w:val="22"/>
          <w:lang w:val="es-ES_tradnl" w:eastAsia="en-US"/>
        </w:rPr>
        <w:t>establece restricciones a ciertos empleados del Estado, incluso en época no electoral</w:t>
      </w:r>
      <w:r w:rsidRPr="009B27A5">
        <w:rPr>
          <w:rFonts w:ascii="Arial" w:eastAsia="Calibri" w:hAnsi="Arial" w:cs="Arial"/>
          <w:bCs/>
          <w:sz w:val="22"/>
          <w:szCs w:val="22"/>
          <w:vertAlign w:val="superscript"/>
          <w:lang w:val="es-ES_tradnl" w:eastAsia="en-US"/>
        </w:rPr>
        <w:footnoteReference w:id="6"/>
      </w:r>
      <w:r w:rsidRPr="009B27A5">
        <w:rPr>
          <w:rFonts w:ascii="Arial" w:eastAsia="Calibri" w:hAnsi="Arial" w:cs="Arial"/>
          <w:bCs/>
          <w:sz w:val="22"/>
          <w:szCs w:val="22"/>
          <w:lang w:val="es-ES_tradnl" w:eastAsia="en-US"/>
        </w:rPr>
        <w:t xml:space="preserve">. </w:t>
      </w:r>
    </w:p>
    <w:p w14:paraId="3C018A04" w14:textId="77777777" w:rsidR="000A0DF7" w:rsidRPr="009B27A5" w:rsidRDefault="000A0DF7" w:rsidP="000A0DF7">
      <w:pPr>
        <w:tabs>
          <w:tab w:val="left" w:pos="426"/>
        </w:tabs>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B27A5">
        <w:rPr>
          <w:rFonts w:ascii="Arial" w:hAnsi="Arial" w:cs="Arial"/>
          <w:bCs/>
          <w:sz w:val="22"/>
          <w:szCs w:val="22"/>
          <w:vertAlign w:val="superscript"/>
          <w:lang w:val="es-ES_tradnl" w:eastAsia="es-CO"/>
        </w:rPr>
        <w:footnoteReference w:id="7"/>
      </w:r>
      <w:r w:rsidRPr="009B27A5">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9B27A5">
        <w:rPr>
          <w:rFonts w:ascii="Arial" w:eastAsia="Calibri" w:hAnsi="Arial" w:cs="Arial"/>
          <w:noProof/>
          <w:sz w:val="22"/>
          <w:szCs w:val="22"/>
          <w:lang w:val="es-ES_tradnl" w:eastAsia="en-US"/>
        </w:rPr>
        <w:t xml:space="preserve"> </w:t>
      </w:r>
      <w:r w:rsidRPr="009B27A5">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9B27A5" w:rsidRDefault="000A0DF7" w:rsidP="000A0DF7">
      <w:pPr>
        <w:ind w:right="709"/>
        <w:jc w:val="both"/>
        <w:rPr>
          <w:rFonts w:ascii="Arial" w:hAnsi="Arial" w:cs="Arial"/>
          <w:sz w:val="21"/>
          <w:szCs w:val="21"/>
          <w:lang w:val="es-ES_tradnl" w:eastAsia="es-CO"/>
        </w:rPr>
      </w:pPr>
    </w:p>
    <w:p w14:paraId="21DCAA2C" w14:textId="77777777" w:rsidR="000A0DF7" w:rsidRPr="009B27A5" w:rsidRDefault="000A0DF7" w:rsidP="000A0DF7">
      <w:pPr>
        <w:ind w:left="709" w:right="709"/>
        <w:jc w:val="both"/>
        <w:rPr>
          <w:rFonts w:ascii="Arial" w:hAnsi="Arial" w:cs="Arial"/>
          <w:bCs/>
          <w:sz w:val="21"/>
          <w:szCs w:val="21"/>
          <w:lang w:val="es-ES_tradnl" w:eastAsia="es-CO"/>
        </w:rPr>
      </w:pPr>
      <w:r w:rsidRPr="009B27A5">
        <w:rPr>
          <w:rFonts w:ascii="Arial" w:hAnsi="Arial" w:cs="Arial"/>
          <w:sz w:val="21"/>
          <w:szCs w:val="21"/>
          <w:lang w:val="es-ES_tradnl" w:eastAsia="es-CO"/>
        </w:rPr>
        <w:lastRenderedPageBreak/>
        <w:t xml:space="preserve">[…] </w:t>
      </w:r>
      <w:r w:rsidRPr="009B27A5">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9B27A5" w:rsidRDefault="000A0DF7" w:rsidP="000A0DF7">
      <w:pPr>
        <w:spacing w:after="120"/>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 </w:t>
      </w:r>
    </w:p>
    <w:p w14:paraId="289824E8" w14:textId="77777777" w:rsidR="000A0DF7" w:rsidRPr="009B27A5" w:rsidRDefault="000A0DF7" w:rsidP="000A0DF7">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B27A5">
        <w:rPr>
          <w:rFonts w:ascii="Arial" w:eastAsiaTheme="minorHAnsi" w:hAnsi="Arial" w:cs="Arial"/>
          <w:sz w:val="20"/>
          <w:szCs w:val="20"/>
          <w:vertAlign w:val="superscript"/>
          <w:lang w:val="es-ES_tradnl" w:eastAsia="en-US"/>
        </w:rPr>
        <w:footnoteReference w:id="8"/>
      </w:r>
    </w:p>
    <w:p w14:paraId="6FCC9605" w14:textId="77777777" w:rsidR="000A0DF7" w:rsidRPr="009B27A5"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9B27A5" w:rsidRDefault="000A0DF7" w:rsidP="000A0DF7">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9B27A5"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9B27A5" w:rsidRDefault="000A0DF7" w:rsidP="000A0DF7">
      <w:pPr>
        <w:spacing w:after="120"/>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B27A5">
        <w:rPr>
          <w:rFonts w:ascii="Arial" w:hAnsi="Arial" w:cs="Arial"/>
          <w:bCs/>
          <w:sz w:val="21"/>
          <w:szCs w:val="21"/>
          <w:lang w:val="es-ES_tradnl" w:eastAsia="es-CO"/>
        </w:rPr>
        <w:t>legis</w:t>
      </w:r>
      <w:proofErr w:type="spellEnd"/>
      <w:r w:rsidRPr="009B27A5">
        <w:rPr>
          <w:rFonts w:ascii="Arial"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9B27A5" w:rsidRDefault="000A0DF7" w:rsidP="000A0DF7">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La jurisprudencia de la Corte Constitucional</w:t>
      </w:r>
      <w:r w:rsidRPr="009B27A5">
        <w:rPr>
          <w:rFonts w:ascii="Arial" w:hAnsi="Arial" w:cs="Arial"/>
          <w:bCs/>
          <w:sz w:val="21"/>
          <w:szCs w:val="21"/>
          <w:vertAlign w:val="superscript"/>
          <w:lang w:val="es-ES_tradnl" w:eastAsia="es-CO"/>
        </w:rPr>
        <w:footnoteReference w:id="9"/>
      </w:r>
      <w:r w:rsidRPr="009B27A5">
        <w:rPr>
          <w:rFonts w:ascii="Arial" w:hAnsi="Arial" w:cs="Arial"/>
          <w:bCs/>
          <w:sz w:val="21"/>
          <w:szCs w:val="21"/>
          <w:lang w:val="es-ES_tradnl" w:eastAsia="es-CO"/>
        </w:rPr>
        <w:t> y del Consejo de Estado</w:t>
      </w:r>
      <w:r w:rsidRPr="009B27A5">
        <w:rPr>
          <w:rFonts w:ascii="Arial" w:hAnsi="Arial" w:cs="Arial"/>
          <w:bCs/>
          <w:sz w:val="21"/>
          <w:szCs w:val="21"/>
          <w:vertAlign w:val="superscript"/>
          <w:lang w:val="es-ES_tradnl" w:eastAsia="es-CO"/>
        </w:rPr>
        <w:footnoteReference w:id="10"/>
      </w:r>
      <w:r w:rsidRPr="009B27A5">
        <w:rPr>
          <w:rFonts w:ascii="Arial" w:hAnsi="Arial" w:cs="Arial"/>
          <w:bCs/>
          <w:sz w:val="21"/>
          <w:szCs w:val="21"/>
          <w:lang w:val="es-ES_tradnl" w:eastAsia="es-CO"/>
        </w:rPr>
        <w:t xml:space="preserve">, coinciden en que las normas que establecen prohibiciones deben estar de manera explícita en la Constitución o en la ley y no podrán ser excesivas ni desproporcionadas. </w:t>
      </w:r>
      <w:r w:rsidRPr="009B27A5">
        <w:rPr>
          <w:rFonts w:ascii="Arial" w:hAnsi="Arial" w:cs="Arial"/>
          <w:bCs/>
          <w:sz w:val="21"/>
          <w:szCs w:val="21"/>
          <w:lang w:val="es-ES_tradnl" w:eastAsia="es-CO"/>
        </w:rPr>
        <w:lastRenderedPageBreak/>
        <w:t>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B27A5">
        <w:rPr>
          <w:rFonts w:ascii="Arial" w:hAnsi="Arial" w:cs="Arial"/>
          <w:bCs/>
          <w:sz w:val="22"/>
          <w:szCs w:val="22"/>
          <w:vertAlign w:val="superscript"/>
          <w:lang w:val="es-ES_tradnl" w:eastAsia="es-CO"/>
        </w:rPr>
        <w:footnoteReference w:id="11"/>
      </w:r>
      <w:r w:rsidRPr="009B27A5">
        <w:rPr>
          <w:rFonts w:ascii="Arial" w:hAnsi="Arial" w:cs="Arial"/>
          <w:bCs/>
          <w:sz w:val="21"/>
          <w:szCs w:val="21"/>
          <w:lang w:val="es-ES_tradnl" w:eastAsia="es-CO"/>
        </w:rPr>
        <w:t>.</w:t>
      </w:r>
    </w:p>
    <w:p w14:paraId="163DEDFF" w14:textId="77777777" w:rsidR="000A0DF7" w:rsidRPr="009B27A5"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9B27A5" w:rsidRDefault="000A0DF7" w:rsidP="000A0DF7">
      <w:pPr>
        <w:spacing w:after="120" w:line="276" w:lineRule="auto"/>
        <w:jc w:val="both"/>
        <w:rPr>
          <w:rFonts w:ascii="Arial" w:eastAsia="Arial" w:hAnsi="Arial" w:cs="Arial"/>
          <w:sz w:val="22"/>
          <w:szCs w:val="22"/>
          <w:lang w:val="es-ES_tradnl" w:eastAsia="es-ES" w:bidi="es-ES"/>
        </w:rPr>
      </w:pPr>
      <w:r w:rsidRPr="009B27A5">
        <w:rPr>
          <w:rFonts w:ascii="Arial" w:hAnsi="Arial" w:cs="Arial"/>
          <w:bCs/>
          <w:sz w:val="22"/>
          <w:szCs w:val="22"/>
          <w:lang w:val="es-ES_tradnl" w:eastAsia="es-CO"/>
        </w:rPr>
        <w:tab/>
        <w:t>De</w:t>
      </w:r>
      <w:r w:rsidRPr="009B27A5">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9B27A5" w:rsidRDefault="000A0DF7" w:rsidP="000A0DF7">
      <w:pPr>
        <w:spacing w:after="120" w:line="276" w:lineRule="auto"/>
        <w:ind w:firstLine="708"/>
        <w:jc w:val="both"/>
        <w:rPr>
          <w:rFonts w:ascii="Arial" w:eastAsia="Calibri" w:hAnsi="Arial" w:cs="Arial"/>
          <w:sz w:val="22"/>
          <w:szCs w:val="22"/>
          <w:lang w:val="es-ES_tradnl" w:eastAsia="en-US"/>
        </w:rPr>
      </w:pPr>
      <w:r w:rsidRPr="009B27A5">
        <w:rPr>
          <w:rFonts w:ascii="Arial" w:eastAsia="Calibri" w:hAnsi="Arial" w:cs="Arial"/>
          <w:sz w:val="22"/>
          <w:szCs w:val="22"/>
          <w:lang w:val="es-ES_tradnl" w:eastAsia="en-US"/>
        </w:rPr>
        <w:t xml:space="preserve">Por un lado, el artículo 33 de la Ley 996 de 2005 prohíbe </w:t>
      </w:r>
      <w:r w:rsidRPr="009B27A5">
        <w:rPr>
          <w:rFonts w:ascii="Arial" w:eastAsia="Calibri" w:hAnsi="Arial" w:cs="Arial"/>
          <w:bCs/>
          <w:sz w:val="22"/>
          <w:szCs w:val="22"/>
          <w:lang w:val="es-ES_tradnl" w:eastAsia="en-US"/>
        </w:rPr>
        <w:t xml:space="preserve">«[…] </w:t>
      </w:r>
      <w:r w:rsidRPr="009B27A5">
        <w:rPr>
          <w:rFonts w:ascii="Arial" w:eastAsia="Calibri" w:hAnsi="Arial" w:cs="Arial"/>
          <w:sz w:val="22"/>
          <w:szCs w:val="22"/>
          <w:lang w:val="es-ES_tradnl" w:eastAsia="en-US"/>
        </w:rPr>
        <w:t>la contratación directa por parte de todos los entes del Estado</w:t>
      </w:r>
      <w:r w:rsidRPr="009B27A5">
        <w:rPr>
          <w:rFonts w:ascii="Arial" w:eastAsia="Calibri" w:hAnsi="Arial" w:cs="Arial"/>
          <w:bCs/>
          <w:sz w:val="22"/>
          <w:szCs w:val="22"/>
          <w:lang w:val="es-ES_tradnl" w:eastAsia="en-US"/>
        </w:rPr>
        <w:t>»</w:t>
      </w:r>
      <w:r w:rsidRPr="009B27A5">
        <w:rPr>
          <w:rFonts w:ascii="Arial" w:eastAsia="Calibri" w:hAnsi="Arial" w:cs="Arial"/>
          <w:sz w:val="22"/>
          <w:szCs w:val="22"/>
          <w:lang w:val="es-ES_tradnl" w:eastAsia="en-US"/>
        </w:rPr>
        <w:t xml:space="preserve"> durante los cuatro (4) meses anteriores a las elecciones presidenciales, salvo </w:t>
      </w:r>
      <w:r w:rsidRPr="009B27A5">
        <w:rPr>
          <w:rFonts w:ascii="Arial" w:eastAsia="Calibri" w:hAnsi="Arial" w:cs="Arial"/>
          <w:bCs/>
          <w:sz w:val="22"/>
          <w:szCs w:val="22"/>
          <w:lang w:val="es-ES_tradnl" w:eastAsia="en-US"/>
        </w:rPr>
        <w:t xml:space="preserve">«[…] </w:t>
      </w:r>
      <w:r w:rsidRPr="009B27A5">
        <w:rPr>
          <w:rFonts w:ascii="Arial" w:eastAsia="Calibri" w:hAnsi="Arial" w:cs="Arial"/>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B27A5">
        <w:rPr>
          <w:rFonts w:ascii="Arial" w:eastAsia="Calibri" w:hAnsi="Arial" w:cs="Arial"/>
          <w:bCs/>
          <w:sz w:val="22"/>
          <w:szCs w:val="22"/>
          <w:lang w:val="es-ES_tradnl" w:eastAsia="en-US"/>
        </w:rPr>
        <w:t>»</w:t>
      </w:r>
      <w:r w:rsidRPr="009B27A5">
        <w:rPr>
          <w:rFonts w:ascii="Arial" w:eastAsia="Calibri" w:hAnsi="Arial" w:cs="Arial"/>
          <w:bCs/>
          <w:sz w:val="22"/>
          <w:szCs w:val="22"/>
          <w:vertAlign w:val="superscript"/>
          <w:lang w:val="es-ES_tradnl" w:eastAsia="en-US"/>
        </w:rPr>
        <w:footnoteReference w:id="12"/>
      </w:r>
      <w:r w:rsidRPr="009B27A5">
        <w:rPr>
          <w:rFonts w:ascii="Arial" w:eastAsia="Calibri" w:hAnsi="Arial" w:cs="Arial"/>
          <w:sz w:val="22"/>
          <w:szCs w:val="22"/>
          <w:lang w:val="es-ES_tradnl" w:eastAsia="en-US"/>
        </w:rPr>
        <w:t>.</w:t>
      </w:r>
    </w:p>
    <w:p w14:paraId="6CD813E3" w14:textId="77777777" w:rsidR="000A0DF7" w:rsidRPr="009B27A5"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9B27A5">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B27A5">
        <w:rPr>
          <w:rFonts w:ascii="Arial" w:eastAsia="Calibri" w:hAnsi="Arial" w:cs="Arial"/>
          <w:bCs/>
          <w:sz w:val="22"/>
          <w:szCs w:val="22"/>
          <w:lang w:val="es-ES_tradnl" w:eastAsia="en-US"/>
        </w:rPr>
        <w:t xml:space="preserve">«[…] </w:t>
      </w:r>
      <w:r w:rsidRPr="009B27A5">
        <w:rPr>
          <w:rFonts w:ascii="Arial" w:eastAsia="Calibri" w:hAnsi="Arial" w:cs="Arial"/>
          <w:sz w:val="22"/>
          <w:szCs w:val="22"/>
          <w:lang w:val="es-ES_tradnl" w:eastAsia="en-US"/>
        </w:rPr>
        <w:t xml:space="preserve">celebrar convenios interadministrativos para la ejecución de recursos públicos, ni participar, promover y destinar recursos públicos de las entidades a su cargo, como tampoco de las </w:t>
      </w:r>
      <w:r w:rsidRPr="009B27A5">
        <w:rPr>
          <w:rFonts w:ascii="Arial" w:eastAsia="Calibri" w:hAnsi="Arial" w:cs="Arial"/>
          <w:sz w:val="22"/>
          <w:szCs w:val="22"/>
          <w:lang w:val="es-ES_tradnl" w:eastAsia="en-US"/>
        </w:rPr>
        <w:lastRenderedPageBreak/>
        <w:t>que participen como miembros de sus juntas directivas, en o para reuniones de carácter proselitista</w:t>
      </w:r>
      <w:r w:rsidRPr="009B27A5">
        <w:rPr>
          <w:rFonts w:ascii="Arial" w:eastAsia="Calibri" w:hAnsi="Arial" w:cs="Arial"/>
          <w:bCs/>
          <w:sz w:val="19"/>
          <w:szCs w:val="19"/>
          <w:lang w:val="es-ES_tradnl" w:eastAsia="en-US"/>
        </w:rPr>
        <w:t>»</w:t>
      </w:r>
      <w:r w:rsidRPr="009B27A5">
        <w:rPr>
          <w:rFonts w:ascii="Arial" w:eastAsia="Calibri" w:hAnsi="Arial" w:cs="Arial"/>
          <w:bCs/>
          <w:sz w:val="19"/>
          <w:szCs w:val="19"/>
          <w:vertAlign w:val="superscript"/>
          <w:lang w:val="es-ES_tradnl" w:eastAsia="en-US"/>
        </w:rPr>
        <w:footnoteReference w:id="13"/>
      </w:r>
      <w:r w:rsidRPr="009B27A5">
        <w:rPr>
          <w:rFonts w:ascii="Arial" w:eastAsia="Calibri" w:hAnsi="Arial" w:cs="Arial"/>
          <w:sz w:val="22"/>
          <w:szCs w:val="22"/>
          <w:lang w:val="es-ES_tradnl" w:eastAsia="en-US"/>
        </w:rPr>
        <w:t>.</w:t>
      </w:r>
      <w:r w:rsidRPr="009B27A5">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9B27A5"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9B27A5"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9B27A5">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B27A5">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9B27A5">
        <w:rPr>
          <w:rFonts w:ascii="Arial" w:eastAsia="Arial" w:hAnsi="Arial" w:cs="Arial"/>
          <w:sz w:val="21"/>
          <w:szCs w:val="21"/>
          <w:vertAlign w:val="superscript"/>
          <w:lang w:val="es-ES_tradnl" w:eastAsia="es-ES" w:bidi="es-ES"/>
        </w:rPr>
        <w:footnoteReference w:id="14"/>
      </w:r>
      <w:r w:rsidRPr="009B27A5">
        <w:rPr>
          <w:rFonts w:ascii="Arial" w:eastAsia="Arial" w:hAnsi="Arial" w:cs="Arial"/>
          <w:bCs/>
          <w:sz w:val="21"/>
          <w:szCs w:val="21"/>
          <w:lang w:val="es-ES_tradnl" w:eastAsia="es-ES" w:bidi="es-ES"/>
        </w:rPr>
        <w:t>.</w:t>
      </w:r>
    </w:p>
    <w:p w14:paraId="5D00DD54" w14:textId="77777777" w:rsidR="000A0DF7" w:rsidRPr="009B27A5"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9B27A5" w:rsidRDefault="000A0DF7" w:rsidP="000A0DF7">
      <w:pPr>
        <w:spacing w:after="120" w:line="276" w:lineRule="auto"/>
        <w:ind w:firstLine="709"/>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9B27A5">
        <w:rPr>
          <w:rFonts w:ascii="Arial" w:eastAsia="Arial" w:hAnsi="Arial" w:cs="Arial"/>
          <w:i/>
          <w:iCs/>
          <w:sz w:val="22"/>
          <w:szCs w:val="22"/>
          <w:lang w:val="es-ES_tradnl" w:eastAsia="es-ES" w:bidi="es-ES"/>
        </w:rPr>
        <w:t>En primer lugar</w:t>
      </w:r>
      <w:r w:rsidRPr="009B27A5">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9B27A5">
        <w:rPr>
          <w:rFonts w:ascii="Arial" w:eastAsia="Arial" w:hAnsi="Arial" w:cs="Arial"/>
          <w:i/>
          <w:iCs/>
          <w:sz w:val="22"/>
          <w:szCs w:val="22"/>
          <w:lang w:val="es-ES_tradnl" w:eastAsia="es-ES" w:bidi="es-ES"/>
        </w:rPr>
        <w:t>En segundo lugar</w:t>
      </w:r>
      <w:r w:rsidRPr="009B27A5">
        <w:rPr>
          <w:rFonts w:ascii="Arial" w:eastAsia="Arial" w:hAnsi="Arial" w:cs="Arial"/>
          <w:sz w:val="22"/>
          <w:szCs w:val="22"/>
          <w:lang w:val="es-ES_tradnl" w:eastAsia="es-ES" w:bidi="es-ES"/>
        </w:rPr>
        <w:t xml:space="preserve">, también se encuentra la prohibición del parágrafo del artículo 38, el cual debe aplicarse respecto de cualquier tipo de contienda electoral, y que prohíbe la celebración de convenios </w:t>
      </w:r>
      <w:r w:rsidRPr="009B27A5">
        <w:rPr>
          <w:rFonts w:ascii="Arial" w:eastAsia="Arial" w:hAnsi="Arial" w:cs="Arial"/>
          <w:sz w:val="22"/>
          <w:szCs w:val="22"/>
          <w:lang w:val="es-ES_tradnl" w:eastAsia="es-ES" w:bidi="es-ES"/>
        </w:rPr>
        <w:lastRenderedPageBreak/>
        <w:t>interadministrativos que impliquen la ejecución de recursos públicos dentro de los cuatro (4) meses anteriores a la respectiva jornada de votaciones.</w:t>
      </w:r>
    </w:p>
    <w:p w14:paraId="49EABA66" w14:textId="77777777" w:rsidR="000A0DF7" w:rsidRPr="009B27A5" w:rsidRDefault="000A0DF7" w:rsidP="000A0DF7">
      <w:pPr>
        <w:spacing w:after="120" w:line="276" w:lineRule="auto"/>
        <w:ind w:firstLine="709"/>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CFDA84E" w14:textId="77777777" w:rsidR="000A0DF7" w:rsidRPr="009B27A5" w:rsidRDefault="000A0DF7" w:rsidP="000A0DF7">
      <w:pPr>
        <w:spacing w:line="276" w:lineRule="auto"/>
        <w:ind w:firstLine="708"/>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9B27A5" w:rsidRDefault="000A0DF7" w:rsidP="000A0DF7">
      <w:pPr>
        <w:spacing w:line="276" w:lineRule="auto"/>
        <w:ind w:firstLine="708"/>
        <w:jc w:val="both"/>
        <w:rPr>
          <w:rFonts w:ascii="Arial" w:eastAsia="Arial" w:hAnsi="Arial" w:cs="Arial"/>
          <w:sz w:val="22"/>
          <w:szCs w:val="22"/>
          <w:lang w:val="es-ES_tradnl" w:eastAsia="es-ES" w:bidi="es-ES"/>
        </w:rPr>
      </w:pPr>
    </w:p>
    <w:p w14:paraId="293A280B" w14:textId="77777777" w:rsidR="000A0DF7" w:rsidRPr="009B27A5" w:rsidRDefault="000A0DF7" w:rsidP="000A0DF7">
      <w:pPr>
        <w:spacing w:line="276" w:lineRule="auto"/>
        <w:jc w:val="both"/>
        <w:rPr>
          <w:rFonts w:ascii="Arial" w:hAnsi="Arial" w:cs="Arial"/>
          <w:b/>
          <w:sz w:val="22"/>
          <w:szCs w:val="22"/>
          <w:lang w:val="es-ES_tradnl" w:eastAsia="es-CO"/>
        </w:rPr>
      </w:pPr>
      <w:r w:rsidRPr="009B27A5">
        <w:rPr>
          <w:rFonts w:ascii="Arial" w:hAnsi="Arial" w:cs="Arial"/>
          <w:b/>
          <w:sz w:val="22"/>
          <w:szCs w:val="22"/>
          <w:lang w:val="es-ES_tradnl" w:eastAsia="es-CO"/>
        </w:rPr>
        <w:t xml:space="preserve">2.2. </w:t>
      </w:r>
      <w:r w:rsidRPr="009B27A5">
        <w:rPr>
          <w:rFonts w:ascii="Arial" w:hAnsi="Arial" w:cs="Arial"/>
          <w:b/>
          <w:bCs/>
          <w:sz w:val="22"/>
          <w:szCs w:val="22"/>
          <w:lang w:val="es-ES_tradnl" w:eastAsia="es-CO"/>
        </w:rPr>
        <w:t xml:space="preserve">Restricciones en elecciones presidenciales </w:t>
      </w:r>
    </w:p>
    <w:p w14:paraId="371F0A02" w14:textId="77777777" w:rsidR="000A0DF7" w:rsidRPr="009B27A5" w:rsidRDefault="000A0DF7" w:rsidP="000A0DF7">
      <w:pPr>
        <w:spacing w:line="276" w:lineRule="auto"/>
        <w:jc w:val="both"/>
        <w:rPr>
          <w:rFonts w:ascii="Arial" w:hAnsi="Arial" w:cs="Arial"/>
          <w:bCs/>
          <w:sz w:val="22"/>
          <w:szCs w:val="22"/>
          <w:lang w:val="es-ES_tradnl" w:eastAsia="x-none"/>
        </w:rPr>
      </w:pPr>
    </w:p>
    <w:p w14:paraId="3CCFCAAA" w14:textId="77777777" w:rsidR="000A0DF7" w:rsidRPr="009B27A5" w:rsidRDefault="000A0DF7" w:rsidP="000A0DF7">
      <w:pPr>
        <w:spacing w:line="276" w:lineRule="auto"/>
        <w:jc w:val="both"/>
        <w:rPr>
          <w:rFonts w:ascii="Arial" w:hAnsi="Arial" w:cs="Arial"/>
          <w:bCs/>
          <w:sz w:val="22"/>
          <w:szCs w:val="22"/>
          <w:lang w:val="es-ES_tradnl" w:eastAsia="es-CO"/>
        </w:rPr>
      </w:pPr>
      <w:r w:rsidRPr="009B27A5">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9B27A5">
        <w:rPr>
          <w:rFonts w:ascii="Arial" w:eastAsia="Calibri" w:hAnsi="Arial" w:cs="Arial"/>
          <w:bCs/>
          <w:sz w:val="20"/>
          <w:szCs w:val="20"/>
          <w:lang w:val="es-ES_tradnl" w:eastAsia="en-US"/>
        </w:rPr>
        <w:t>«</w:t>
      </w:r>
      <w:r w:rsidRPr="009B27A5">
        <w:rPr>
          <w:rFonts w:ascii="Arial" w:hAnsi="Arial" w:cs="Arial"/>
          <w:bCs/>
          <w:sz w:val="22"/>
          <w:szCs w:val="22"/>
          <w:lang w:val="es-ES_tradnl" w:eastAsia="x-none"/>
        </w:rPr>
        <w:t>queda prohibida la contratación directa</w:t>
      </w:r>
      <w:r w:rsidRPr="009B27A5">
        <w:rPr>
          <w:rFonts w:ascii="Arial" w:eastAsiaTheme="minorHAnsi" w:hAnsi="Arial" w:cs="Arial"/>
          <w:sz w:val="20"/>
          <w:szCs w:val="20"/>
          <w:lang w:val="es-ES_tradnl" w:eastAsia="en-US"/>
        </w:rPr>
        <w:t>»</w:t>
      </w:r>
      <w:r w:rsidRPr="009B27A5">
        <w:rPr>
          <w:rFonts w:ascii="Arial" w:hAnsi="Arial" w:cs="Arial"/>
          <w:bCs/>
          <w:sz w:val="22"/>
          <w:szCs w:val="22"/>
          <w:lang w:val="es-ES_tradnl" w:eastAsia="x-none"/>
        </w:rPr>
        <w:t xml:space="preserve">. </w:t>
      </w:r>
      <w:r w:rsidRPr="009B27A5">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9B27A5"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9B27A5" w:rsidRDefault="000A0DF7" w:rsidP="000A0DF7">
      <w:pPr>
        <w:spacing w:after="120"/>
        <w:ind w:left="709"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B27A5">
        <w:rPr>
          <w:rFonts w:ascii="Arial" w:hAnsi="Arial" w:cs="Arial"/>
          <w:sz w:val="22"/>
          <w:szCs w:val="22"/>
          <w:vertAlign w:val="superscript"/>
          <w:lang w:val="es-ES_tradnl" w:eastAsia="es-CO"/>
        </w:rPr>
        <w:footnoteReference w:id="15"/>
      </w:r>
      <w:r w:rsidRPr="009B27A5">
        <w:rPr>
          <w:rFonts w:ascii="Arial" w:eastAsiaTheme="minorHAnsi" w:hAnsi="Arial" w:cs="Arial"/>
          <w:sz w:val="21"/>
          <w:szCs w:val="21"/>
          <w:lang w:val="es-ES_tradnl" w:eastAsia="en-US"/>
        </w:rPr>
        <w:t>.</w:t>
      </w:r>
    </w:p>
    <w:p w14:paraId="52C9341C" w14:textId="77777777" w:rsidR="000A0DF7" w:rsidRPr="009B27A5" w:rsidRDefault="000A0DF7" w:rsidP="000A0DF7">
      <w:pPr>
        <w:ind w:left="708"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 xml:space="preserve">Esta Sala ha entendido que para los efectos de la ley de garantías, y dada su finalidad, el enunciado ´contratación directa´ es sinónimo de cualquier sistema que no implique convocatoria pública y posibilidad de pluralidad de oferentes, y </w:t>
      </w:r>
      <w:r w:rsidRPr="009B27A5">
        <w:rPr>
          <w:rFonts w:ascii="Arial" w:eastAsiaTheme="minorHAnsi" w:hAnsi="Arial" w:cs="Arial"/>
          <w:sz w:val="21"/>
          <w:szCs w:val="21"/>
          <w:lang w:val="es-ES_tradnl" w:eastAsia="en-US"/>
        </w:rPr>
        <w:lastRenderedPageBreak/>
        <w:t>que, además, no necesariamente hace referencia al procedimiento especial regulado por la ley de contratación estatal, sino a cualquier otro que prescinda de un proceso de licitación pública o concurso</w:t>
      </w:r>
      <w:r w:rsidRPr="009B27A5">
        <w:rPr>
          <w:rFonts w:ascii="Arial" w:hAnsi="Arial" w:cs="Arial"/>
          <w:sz w:val="21"/>
          <w:szCs w:val="21"/>
          <w:vertAlign w:val="superscript"/>
          <w:lang w:val="es-ES_tradnl" w:eastAsia="en-US"/>
        </w:rPr>
        <w:footnoteReference w:id="16"/>
      </w:r>
      <w:r w:rsidRPr="009B27A5">
        <w:rPr>
          <w:rFonts w:ascii="Arial" w:hAnsi="Arial" w:cs="Arial"/>
          <w:sz w:val="21"/>
          <w:szCs w:val="21"/>
          <w:vertAlign w:val="superscript"/>
          <w:lang w:val="es-ES_tradnl" w:eastAsia="en-US"/>
        </w:rPr>
        <w:t>.</w:t>
      </w:r>
      <w:r w:rsidRPr="009B27A5">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B27A5">
        <w:rPr>
          <w:rFonts w:ascii="Arial" w:hAnsi="Arial" w:cs="Arial"/>
          <w:sz w:val="22"/>
          <w:szCs w:val="22"/>
          <w:vertAlign w:val="superscript"/>
          <w:lang w:val="es-ES_tradnl" w:eastAsia="es-CO"/>
        </w:rPr>
        <w:footnoteReference w:id="17"/>
      </w:r>
      <w:r w:rsidRPr="009B27A5">
        <w:rPr>
          <w:rFonts w:ascii="Arial" w:eastAsiaTheme="minorHAnsi" w:hAnsi="Arial" w:cs="Arial"/>
          <w:sz w:val="21"/>
          <w:szCs w:val="21"/>
          <w:lang w:val="es-ES_tradnl" w:eastAsia="en-US"/>
        </w:rPr>
        <w:t xml:space="preserve"> .</w:t>
      </w:r>
    </w:p>
    <w:p w14:paraId="0BE0F269" w14:textId="77777777" w:rsidR="000A0DF7" w:rsidRPr="009B27A5"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77777777" w:rsidR="000A0DF7" w:rsidRPr="009B27A5" w:rsidRDefault="000A0DF7" w:rsidP="000A0DF7">
      <w:pPr>
        <w:spacing w:after="120" w:line="276" w:lineRule="auto"/>
        <w:ind w:firstLine="708"/>
        <w:jc w:val="both"/>
        <w:rPr>
          <w:rFonts w:ascii="Arial" w:hAnsi="Arial" w:cs="Arial"/>
          <w:bCs/>
          <w:sz w:val="22"/>
          <w:szCs w:val="22"/>
          <w:lang w:val="es-ES_tradnl" w:eastAsia="x-none"/>
        </w:rPr>
      </w:pPr>
      <w:r w:rsidRPr="009B27A5">
        <w:rPr>
          <w:rFonts w:ascii="Arial" w:hAnsi="Arial" w:cs="Arial"/>
          <w:sz w:val="22"/>
          <w:szCs w:val="22"/>
          <w:lang w:val="es-ES_tradnl" w:eastAsia="x-none"/>
        </w:rPr>
        <w:t xml:space="preserve">De acuerdo con el citado concepto, la prohibición del artículo 33 de la Ley de Garantías Electorales se refiere a </w:t>
      </w:r>
      <w:r w:rsidRPr="009B27A5">
        <w:rPr>
          <w:rFonts w:ascii="Arial" w:hAnsi="Arial" w:cs="Arial"/>
          <w:sz w:val="19"/>
          <w:szCs w:val="19"/>
          <w:lang w:val="es-ES_tradnl" w:eastAsia="en-GB"/>
        </w:rPr>
        <w:t>«</w:t>
      </w:r>
      <w:r w:rsidRPr="009B27A5">
        <w:rPr>
          <w:rFonts w:ascii="Arial" w:hAnsi="Arial" w:cs="Arial"/>
          <w:sz w:val="22"/>
          <w:szCs w:val="22"/>
          <w:lang w:val="es-ES_tradnl" w:eastAsia="x-none"/>
        </w:rPr>
        <w:t>cualquier sistema que no implique convocatoria pública y posibilidad de pluralidad de oferentes</w:t>
      </w:r>
      <w:r w:rsidRPr="009B27A5">
        <w:rPr>
          <w:rFonts w:ascii="Arial" w:hAnsi="Arial" w:cs="Arial"/>
          <w:sz w:val="22"/>
          <w:szCs w:val="22"/>
          <w:lang w:val="es-ES_tradnl" w:eastAsia="en-GB"/>
        </w:rPr>
        <w:t>»</w:t>
      </w:r>
      <w:r w:rsidRPr="009B27A5">
        <w:rPr>
          <w:rFonts w:ascii="Arial" w:hAnsi="Arial" w:cs="Arial"/>
          <w:sz w:val="22"/>
          <w:szCs w:val="22"/>
          <w:lang w:val="es-ES_tradnl"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9B27A5">
        <w:rPr>
          <w:rFonts w:ascii="Arial" w:hAnsi="Arial" w:cs="Arial"/>
          <w:sz w:val="22"/>
          <w:szCs w:val="22"/>
          <w:vertAlign w:val="superscript"/>
          <w:lang w:val="es-ES_tradnl" w:eastAsia="x-none"/>
        </w:rPr>
        <w:footnoteReference w:id="18"/>
      </w:r>
      <w:r w:rsidRPr="009B27A5">
        <w:rPr>
          <w:rFonts w:ascii="Arial" w:hAnsi="Arial" w:cs="Arial"/>
          <w:sz w:val="22"/>
          <w:szCs w:val="22"/>
          <w:lang w:val="es-ES_tradnl" w:eastAsia="x-none"/>
        </w:rPr>
        <w:t xml:space="preserve"> y sistematizó las causales de contratación directa</w:t>
      </w:r>
      <w:r w:rsidRPr="009B27A5">
        <w:rPr>
          <w:rFonts w:ascii="Arial" w:hAnsi="Arial" w:cs="Arial"/>
          <w:sz w:val="22"/>
          <w:szCs w:val="22"/>
          <w:vertAlign w:val="superscript"/>
          <w:lang w:val="es-ES_tradnl" w:eastAsia="x-none"/>
        </w:rPr>
        <w:footnoteReference w:id="19"/>
      </w:r>
      <w:r w:rsidRPr="009B27A5">
        <w:rPr>
          <w:rFonts w:ascii="Arial" w:hAnsi="Arial" w:cs="Arial"/>
          <w:sz w:val="22"/>
          <w:szCs w:val="22"/>
          <w:lang w:val="es-ES_tradnl" w:eastAsia="x-none"/>
        </w:rPr>
        <w:t xml:space="preserve">. </w:t>
      </w:r>
    </w:p>
    <w:p w14:paraId="24AD72BC" w14:textId="77777777" w:rsidR="000A0DF7" w:rsidRPr="009B27A5" w:rsidRDefault="000A0DF7" w:rsidP="000A0DF7">
      <w:pPr>
        <w:spacing w:after="120" w:line="276" w:lineRule="auto"/>
        <w:ind w:firstLine="708"/>
        <w:jc w:val="both"/>
        <w:rPr>
          <w:rFonts w:ascii="Arial" w:hAnsi="Arial" w:cs="Arial"/>
          <w:sz w:val="22"/>
          <w:szCs w:val="22"/>
          <w:lang w:val="es-ES_tradnl" w:eastAsia="x-none"/>
        </w:rPr>
      </w:pPr>
      <w:r w:rsidRPr="009B27A5">
        <w:rPr>
          <w:rFonts w:ascii="Arial" w:hAnsi="Arial" w:cs="Arial"/>
          <w:sz w:val="22"/>
          <w:szCs w:val="22"/>
          <w:lang w:val="es-ES_tradnl" w:eastAsia="x-none"/>
        </w:rPr>
        <w:t xml:space="preserve">De esta forma, con fundamento en la evolución de la normativa sobre la contratación pública, se ha depurado la noción de </w:t>
      </w:r>
      <w:r w:rsidRPr="009B27A5">
        <w:rPr>
          <w:rFonts w:ascii="Arial" w:hAnsi="Arial" w:cs="Arial"/>
          <w:sz w:val="19"/>
          <w:szCs w:val="19"/>
          <w:lang w:val="es-ES_tradnl" w:eastAsia="en-GB"/>
        </w:rPr>
        <w:t>«</w:t>
      </w:r>
      <w:r w:rsidRPr="009B27A5">
        <w:rPr>
          <w:rFonts w:ascii="Arial" w:hAnsi="Arial" w:cs="Arial"/>
          <w:sz w:val="22"/>
          <w:szCs w:val="22"/>
          <w:lang w:val="es-ES_tradnl" w:eastAsia="x-none"/>
        </w:rPr>
        <w:t>contratación directa</w:t>
      </w:r>
      <w:r w:rsidRPr="009B27A5">
        <w:rPr>
          <w:rFonts w:ascii="Arial" w:hAnsi="Arial" w:cs="Arial"/>
          <w:sz w:val="22"/>
          <w:szCs w:val="22"/>
          <w:lang w:val="es-ES_tradnl" w:eastAsia="en-GB"/>
        </w:rPr>
        <w:t>»</w:t>
      </w:r>
      <w:r w:rsidRPr="009B27A5">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B27A5">
        <w:rPr>
          <w:rFonts w:ascii="Arial" w:hAnsi="Arial" w:cs="Arial"/>
          <w:sz w:val="22"/>
          <w:szCs w:val="22"/>
          <w:vertAlign w:val="superscript"/>
          <w:lang w:val="es-ES_tradnl" w:eastAsia="x-none"/>
        </w:rPr>
        <w:footnoteReference w:id="20"/>
      </w:r>
      <w:r w:rsidRPr="009B27A5">
        <w:rPr>
          <w:rFonts w:ascii="Arial" w:hAnsi="Arial" w:cs="Arial"/>
          <w:sz w:val="22"/>
          <w:szCs w:val="22"/>
          <w:lang w:val="es-ES_tradnl" w:eastAsia="x-none"/>
        </w:rPr>
        <w:t>, han establecido sistemas de contratación que implican convocatoria pública y participación de varios oferentes</w:t>
      </w:r>
      <w:r w:rsidRPr="009B27A5">
        <w:rPr>
          <w:rFonts w:ascii="Arial" w:hAnsi="Arial" w:cs="Arial"/>
          <w:sz w:val="22"/>
          <w:szCs w:val="22"/>
          <w:lang w:val="es-ES_tradnl" w:eastAsia="en-GB"/>
        </w:rPr>
        <w:t>»</w:t>
      </w:r>
      <w:r w:rsidRPr="009B27A5">
        <w:rPr>
          <w:rFonts w:ascii="Arial" w:hAnsi="Arial" w:cs="Arial"/>
          <w:sz w:val="22"/>
          <w:szCs w:val="22"/>
          <w:lang w:val="es-ES_tradnl" w:eastAsia="x-none"/>
        </w:rPr>
        <w:t xml:space="preserve">. </w:t>
      </w:r>
    </w:p>
    <w:p w14:paraId="2D174A26" w14:textId="77777777" w:rsidR="000A0DF7" w:rsidRPr="009B27A5" w:rsidRDefault="000A0DF7" w:rsidP="000A0DF7">
      <w:pPr>
        <w:spacing w:after="120" w:line="276" w:lineRule="auto"/>
        <w:ind w:firstLine="708"/>
        <w:jc w:val="both"/>
        <w:rPr>
          <w:rFonts w:ascii="Arial" w:hAnsi="Arial" w:cs="Arial"/>
          <w:bCs/>
          <w:sz w:val="22"/>
          <w:szCs w:val="22"/>
          <w:lang w:val="es-ES_tradnl" w:eastAsia="es-CO"/>
        </w:rPr>
      </w:pPr>
      <w:r w:rsidRPr="009B27A5">
        <w:rPr>
          <w:rFonts w:ascii="Arial" w:hAnsi="Arial" w:cs="Arial"/>
          <w:bCs/>
          <w:sz w:val="22"/>
          <w:szCs w:val="22"/>
          <w:lang w:val="es-ES_tradnl" w:eastAsia="x-none"/>
        </w:rPr>
        <w:t>E</w:t>
      </w:r>
      <w:r w:rsidRPr="009B27A5">
        <w:rPr>
          <w:rFonts w:ascii="Arial" w:hAnsi="Arial" w:cs="Arial"/>
          <w:sz w:val="22"/>
          <w:szCs w:val="22"/>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w:t>
      </w:r>
      <w:r w:rsidRPr="009B27A5">
        <w:rPr>
          <w:rFonts w:ascii="Arial" w:hAnsi="Arial" w:cs="Arial"/>
          <w:sz w:val="22"/>
          <w:szCs w:val="22"/>
          <w:lang w:val="es-ES_tradnl" w:eastAsia="x-none"/>
        </w:rPr>
        <w:lastRenderedPageBreak/>
        <w:t>para considerar que dicho sistema no constituye «contratación directa», es que la convocatoria para inscribirse en forma previa se haga de manera pública, y que se permita la participación de una pluralidad de oferentes</w:t>
      </w:r>
      <w:r w:rsidRPr="009B27A5">
        <w:rPr>
          <w:rFonts w:ascii="Arial" w:hAnsi="Arial" w:cs="Arial"/>
          <w:sz w:val="22"/>
          <w:szCs w:val="22"/>
          <w:vertAlign w:val="superscript"/>
          <w:lang w:val="es-ES_tradnl" w:eastAsia="x-none"/>
        </w:rPr>
        <w:footnoteReference w:id="21"/>
      </w:r>
      <w:r w:rsidRPr="009B27A5">
        <w:rPr>
          <w:rFonts w:ascii="Arial" w:hAnsi="Arial" w:cs="Arial"/>
          <w:sz w:val="22"/>
          <w:szCs w:val="22"/>
          <w:lang w:val="es-ES_tradnl" w:eastAsia="x-none"/>
        </w:rPr>
        <w:t xml:space="preserve">. </w:t>
      </w:r>
    </w:p>
    <w:p w14:paraId="718461F4" w14:textId="77777777" w:rsidR="000A0DF7" w:rsidRPr="009B27A5" w:rsidRDefault="000A0DF7" w:rsidP="000A0DF7">
      <w:pPr>
        <w:spacing w:after="120" w:line="276" w:lineRule="auto"/>
        <w:ind w:firstLine="708"/>
        <w:jc w:val="both"/>
        <w:rPr>
          <w:rFonts w:ascii="Arial" w:hAnsi="Arial" w:cs="Arial"/>
          <w:bCs/>
          <w:sz w:val="22"/>
          <w:szCs w:val="22"/>
          <w:lang w:val="es-ES_tradnl" w:eastAsia="es-CO"/>
        </w:rPr>
      </w:pPr>
      <w:r w:rsidRPr="009B27A5">
        <w:rPr>
          <w:rFonts w:ascii="Arial" w:hAnsi="Arial" w:cs="Arial"/>
          <w:bCs/>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9B27A5" w:rsidRDefault="000A0DF7" w:rsidP="000A0DF7">
      <w:pPr>
        <w:spacing w:after="120" w:line="276" w:lineRule="auto"/>
        <w:ind w:firstLine="708"/>
        <w:jc w:val="both"/>
        <w:rPr>
          <w:rFonts w:ascii="Arial" w:hAnsi="Arial" w:cs="Arial"/>
          <w:bCs/>
          <w:sz w:val="22"/>
          <w:szCs w:val="22"/>
          <w:lang w:val="es-ES_tradnl" w:eastAsia="x-none"/>
        </w:rPr>
      </w:pPr>
      <w:r w:rsidRPr="009B27A5">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B27A5">
        <w:rPr>
          <w:rFonts w:ascii="Arial" w:hAnsi="Arial" w:cs="Arial"/>
          <w:sz w:val="22"/>
          <w:szCs w:val="22"/>
          <w:vertAlign w:val="superscript"/>
          <w:lang w:val="es-ES_tradnl" w:eastAsia="x-none"/>
        </w:rPr>
        <w:footnoteReference w:id="22"/>
      </w:r>
      <w:r w:rsidRPr="009B27A5">
        <w:rPr>
          <w:rFonts w:ascii="Arial" w:hAnsi="Arial" w:cs="Arial"/>
          <w:bCs/>
          <w:sz w:val="22"/>
          <w:szCs w:val="22"/>
          <w:lang w:val="es-ES_tradnl" w:eastAsia="x-none"/>
        </w:rPr>
        <w:t>.</w:t>
      </w:r>
      <w:r w:rsidRPr="009B27A5">
        <w:rPr>
          <w:rFonts w:ascii="Arial" w:hAnsi="Arial" w:cs="Arial"/>
          <w:sz w:val="22"/>
          <w:szCs w:val="22"/>
          <w:vertAlign w:val="superscript"/>
          <w:lang w:val="es-ES_tradnl" w:eastAsia="x-none"/>
        </w:rPr>
        <w:t xml:space="preserve"> </w:t>
      </w:r>
    </w:p>
    <w:p w14:paraId="0FF3EDA2" w14:textId="77777777" w:rsidR="000A0DF7" w:rsidRPr="009B27A5" w:rsidRDefault="000A0DF7" w:rsidP="000A0DF7">
      <w:pPr>
        <w:spacing w:after="120" w:line="276" w:lineRule="auto"/>
        <w:ind w:firstLine="708"/>
        <w:jc w:val="both"/>
        <w:rPr>
          <w:rFonts w:ascii="Arial" w:hAnsi="Arial" w:cs="Arial"/>
          <w:sz w:val="22"/>
          <w:szCs w:val="22"/>
          <w:lang w:val="es-ES_tradnl" w:eastAsia="x-none"/>
        </w:rPr>
      </w:pPr>
      <w:r w:rsidRPr="009B27A5">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9B27A5">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w:t>
      </w:r>
      <w:r w:rsidRPr="009B27A5">
        <w:rPr>
          <w:rFonts w:ascii="Arial" w:hAnsi="Arial" w:cs="Arial"/>
          <w:sz w:val="22"/>
          <w:szCs w:val="22"/>
          <w:lang w:val="es-ES_tradnl" w:eastAsia="x-none"/>
        </w:rPr>
        <w:t>estos sistemas.</w:t>
      </w:r>
    </w:p>
    <w:p w14:paraId="1BF02803" w14:textId="4D9D04E6" w:rsidR="000A0DF7" w:rsidRPr="009B27A5" w:rsidRDefault="000A0DF7" w:rsidP="000A0DF7">
      <w:pPr>
        <w:spacing w:after="120" w:line="276" w:lineRule="auto"/>
        <w:ind w:firstLine="708"/>
        <w:jc w:val="both"/>
        <w:rPr>
          <w:rFonts w:ascii="Arial" w:hAnsi="Arial" w:cs="Arial"/>
          <w:bCs/>
          <w:sz w:val="22"/>
          <w:szCs w:val="22"/>
          <w:lang w:val="es-ES_tradnl" w:eastAsia="x-none"/>
        </w:rPr>
      </w:pPr>
      <w:r w:rsidRPr="009B27A5">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A4495C" w:rsidRPr="009B27A5">
        <w:rPr>
          <w:rFonts w:ascii="Arial" w:hAnsi="Arial" w:cs="Arial"/>
          <w:bCs/>
          <w:sz w:val="22"/>
          <w:szCs w:val="22"/>
          <w:lang w:val="es-ES_tradnl" w:eastAsia="es-CO"/>
        </w:rPr>
        <w:t>. Esto</w:t>
      </w:r>
      <w:r w:rsidRPr="009B27A5">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77777777" w:rsidR="000A0DF7" w:rsidRPr="009B27A5" w:rsidRDefault="000A0DF7" w:rsidP="000A0DF7">
      <w:pPr>
        <w:spacing w:after="120" w:line="276" w:lineRule="auto"/>
        <w:ind w:firstLine="708"/>
        <w:jc w:val="both"/>
        <w:rPr>
          <w:rFonts w:ascii="Arial" w:hAnsi="Arial" w:cs="Arial"/>
          <w:bCs/>
          <w:sz w:val="22"/>
          <w:szCs w:val="22"/>
          <w:lang w:val="es-ES_tradnl" w:eastAsia="es-CO"/>
        </w:rPr>
      </w:pPr>
      <w:r w:rsidRPr="009B27A5">
        <w:rPr>
          <w:rFonts w:ascii="Arial" w:hAnsi="Arial" w:cs="Arial"/>
          <w:bCs/>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w:t>
      </w:r>
      <w:r w:rsidRPr="009B27A5">
        <w:rPr>
          <w:rFonts w:ascii="Arial" w:hAnsi="Arial" w:cs="Arial"/>
          <w:bCs/>
          <w:sz w:val="22"/>
          <w:szCs w:val="22"/>
          <w:lang w:val="es-ES_tradnl" w:eastAsia="x-none"/>
        </w:rPr>
        <w:lastRenderedPageBreak/>
        <w:t>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B27A5">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9B27A5" w:rsidRDefault="000A0DF7" w:rsidP="00025E0C">
      <w:pPr>
        <w:spacing w:line="276" w:lineRule="auto"/>
        <w:ind w:firstLine="708"/>
        <w:jc w:val="both"/>
        <w:rPr>
          <w:rFonts w:ascii="Arial" w:hAnsi="Arial" w:cs="Arial"/>
          <w:bCs/>
          <w:sz w:val="22"/>
          <w:szCs w:val="22"/>
          <w:lang w:val="es-ES_tradnl" w:eastAsia="x-none"/>
        </w:rPr>
      </w:pPr>
      <w:r w:rsidRPr="009B27A5">
        <w:rPr>
          <w:rFonts w:ascii="Arial" w:hAnsi="Arial" w:cs="Arial"/>
          <w:bCs/>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9B27A5">
        <w:rPr>
          <w:rFonts w:ascii="Arial" w:eastAsiaTheme="minorHAnsi" w:hAnsi="Arial" w:cs="Arial"/>
          <w:sz w:val="22"/>
          <w:szCs w:val="22"/>
          <w:vertAlign w:val="superscript"/>
          <w:lang w:val="es-ES_tradnl" w:eastAsia="en-US"/>
        </w:rPr>
        <w:footnoteReference w:id="23"/>
      </w:r>
      <w:r w:rsidRPr="009B27A5">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59498877" w:rsidR="000A0DF7" w:rsidRPr="009B27A5" w:rsidRDefault="000A0DF7" w:rsidP="00025E0C">
      <w:pPr>
        <w:spacing w:before="120" w:line="276" w:lineRule="auto"/>
        <w:ind w:firstLine="709"/>
        <w:jc w:val="both"/>
        <w:rPr>
          <w:rFonts w:ascii="Arial" w:hAnsi="Arial" w:cs="Arial"/>
          <w:bCs/>
          <w:sz w:val="22"/>
          <w:szCs w:val="22"/>
          <w:lang w:val="es-ES_tradnl" w:eastAsia="x-none"/>
        </w:rPr>
      </w:pPr>
      <w:r w:rsidRPr="009B27A5">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B27A5">
        <w:rPr>
          <w:rFonts w:ascii="Arial" w:eastAsiaTheme="minorHAnsi" w:hAnsi="Arial" w:cs="Arial"/>
          <w:szCs w:val="22"/>
          <w:lang w:val="es-ES_tradnl" w:eastAsia="en-US"/>
        </w:rPr>
        <w:t xml:space="preserve"> </w:t>
      </w:r>
      <w:r w:rsidRPr="009B27A5">
        <w:rPr>
          <w:rFonts w:ascii="Arial" w:hAnsi="Arial" w:cs="Arial"/>
          <w:bCs/>
          <w:sz w:val="22"/>
          <w:szCs w:val="22"/>
          <w:lang w:val="es-ES_tradnl" w:eastAsia="x-none"/>
        </w:rPr>
        <w:t>En efecto, tal como lo ha sostenido el Consejo de Estado, el vocablo «todos» utilizado por el legislador comprende</w:t>
      </w:r>
      <w:r w:rsidRPr="009B27A5">
        <w:rPr>
          <w:rFonts w:ascii="Arial" w:eastAsiaTheme="minorHAnsi" w:hAnsi="Arial" w:cs="Arial"/>
          <w:szCs w:val="22"/>
          <w:lang w:val="es-ES_tradnl" w:eastAsia="en-US"/>
        </w:rPr>
        <w:t xml:space="preserve"> </w:t>
      </w:r>
      <w:r w:rsidRPr="009B27A5">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9B27A5">
        <w:rPr>
          <w:rFonts w:ascii="Arial" w:hAnsi="Arial" w:cs="Arial"/>
          <w:bCs/>
          <w:sz w:val="22"/>
          <w:szCs w:val="22"/>
          <w:lang w:val="es-ES_tradnl" w:eastAsia="x-none"/>
        </w:rPr>
        <w:t>La Sala de Consulta y Servicio Civil de</w:t>
      </w:r>
      <w:r w:rsidRPr="009B27A5">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9B27A5"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9B27A5" w:rsidRDefault="000A0DF7" w:rsidP="000A0DF7">
      <w:pPr>
        <w:ind w:left="708" w:right="709"/>
        <w:jc w:val="both"/>
        <w:rPr>
          <w:rFonts w:ascii="Arial" w:hAnsi="Arial" w:cs="Arial"/>
          <w:bCs/>
          <w:sz w:val="21"/>
          <w:szCs w:val="21"/>
          <w:lang w:val="es-ES_tradnl" w:eastAsia="es-CO"/>
        </w:rPr>
      </w:pPr>
      <w:r w:rsidRPr="009B27A5">
        <w:rPr>
          <w:rFonts w:ascii="Arial" w:hAnsi="Arial" w:cs="Arial"/>
          <w:bCs/>
          <w:sz w:val="21"/>
          <w:szCs w:val="21"/>
          <w:lang w:val="es-ES_tradnl"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9B27A5">
        <w:rPr>
          <w:rFonts w:ascii="Arial" w:hAnsi="Arial" w:cs="Arial"/>
          <w:bCs/>
          <w:sz w:val="21"/>
          <w:szCs w:val="21"/>
          <w:lang w:val="es-ES_tradnl" w:eastAsia="x-none"/>
        </w:rPr>
        <w:lastRenderedPageBreak/>
        <w:t>industriales y comerciales del Estado) y a los municipios prestadores directos, incluyendo las excepciones contenidas en el segundo inciso de esta norma</w:t>
      </w:r>
      <w:r w:rsidRPr="009B27A5">
        <w:rPr>
          <w:rFonts w:ascii="Arial" w:hAnsi="Arial" w:cs="Arial"/>
          <w:bCs/>
          <w:sz w:val="21"/>
          <w:szCs w:val="21"/>
          <w:vertAlign w:val="superscript"/>
          <w:lang w:val="es-ES_tradnl" w:eastAsia="x-none"/>
        </w:rPr>
        <w:footnoteReference w:id="24"/>
      </w:r>
      <w:r w:rsidRPr="009B27A5">
        <w:rPr>
          <w:rFonts w:ascii="Arial" w:hAnsi="Arial" w:cs="Arial"/>
          <w:bCs/>
          <w:sz w:val="21"/>
          <w:szCs w:val="21"/>
          <w:lang w:val="es-ES_tradnl" w:eastAsia="x-none"/>
        </w:rPr>
        <w:t>.</w:t>
      </w:r>
      <w:r w:rsidRPr="009B27A5">
        <w:rPr>
          <w:rFonts w:ascii="Arial" w:hAnsi="Arial" w:cs="Arial"/>
          <w:bCs/>
          <w:sz w:val="21"/>
          <w:szCs w:val="21"/>
          <w:lang w:val="es-ES_tradnl" w:eastAsia="es-CO"/>
        </w:rPr>
        <w:t xml:space="preserve"> </w:t>
      </w:r>
    </w:p>
    <w:p w14:paraId="0E6617E8" w14:textId="77777777" w:rsidR="000A0DF7" w:rsidRPr="009B27A5" w:rsidRDefault="000A0DF7" w:rsidP="000A0DF7">
      <w:pPr>
        <w:spacing w:line="276" w:lineRule="auto"/>
        <w:ind w:firstLine="708"/>
        <w:jc w:val="both"/>
        <w:rPr>
          <w:rFonts w:ascii="Arial" w:hAnsi="Arial" w:cs="Arial"/>
          <w:bCs/>
          <w:sz w:val="22"/>
          <w:szCs w:val="22"/>
          <w:lang w:val="es-ES_tradnl" w:eastAsia="es-CO"/>
        </w:rPr>
      </w:pPr>
    </w:p>
    <w:p w14:paraId="7DAFE9FB" w14:textId="629479B4" w:rsidR="000A0DF7" w:rsidRPr="009B27A5" w:rsidRDefault="000A0DF7" w:rsidP="000A0DF7">
      <w:pPr>
        <w:spacing w:line="276" w:lineRule="auto"/>
        <w:ind w:firstLine="708"/>
        <w:jc w:val="both"/>
        <w:rPr>
          <w:rFonts w:ascii="Arial" w:eastAsiaTheme="minorHAnsi" w:hAnsi="Arial" w:cs="Arial"/>
          <w:sz w:val="22"/>
          <w:szCs w:val="22"/>
          <w:lang w:val="es-ES_tradnl" w:eastAsia="en-US"/>
        </w:rPr>
      </w:pPr>
      <w:r w:rsidRPr="009B27A5">
        <w:rPr>
          <w:rFonts w:ascii="Arial" w:hAnsi="Arial" w:cs="Arial"/>
          <w:bCs/>
          <w:sz w:val="22"/>
          <w:szCs w:val="22"/>
          <w:lang w:val="es-ES_tradnl" w:eastAsia="x-none"/>
        </w:rPr>
        <w:t xml:space="preserve">De igual forma, en Concepto 1738 de 6 de abril de 2006, </w:t>
      </w:r>
      <w:r w:rsidR="00B34DF5" w:rsidRPr="009B27A5">
        <w:rPr>
          <w:rFonts w:ascii="Arial" w:hAnsi="Arial" w:cs="Arial"/>
          <w:bCs/>
          <w:sz w:val="22"/>
          <w:szCs w:val="22"/>
          <w:lang w:val="es-ES_tradnl" w:eastAsia="x-none"/>
        </w:rPr>
        <w:t>también</w:t>
      </w:r>
      <w:r w:rsidRPr="009B27A5">
        <w:rPr>
          <w:rFonts w:ascii="Arial" w:hAnsi="Arial" w:cs="Arial"/>
          <w:bCs/>
          <w:sz w:val="22"/>
          <w:szCs w:val="22"/>
          <w:lang w:val="es-ES_tradnl" w:eastAsia="x-none"/>
        </w:rPr>
        <w:t xml:space="preserve">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9B27A5">
        <w:rPr>
          <w:rFonts w:ascii="Arial" w:eastAsiaTheme="minorHAnsi" w:hAnsi="Arial" w:cs="Arial"/>
          <w:szCs w:val="22"/>
          <w:vertAlign w:val="superscript"/>
          <w:lang w:val="es-ES_tradnl" w:eastAsia="en-US"/>
        </w:rPr>
        <w:footnoteReference w:id="25"/>
      </w:r>
      <w:r w:rsidRPr="009B27A5">
        <w:rPr>
          <w:rFonts w:ascii="Arial" w:hAnsi="Arial" w:cs="Arial"/>
          <w:bCs/>
          <w:sz w:val="22"/>
          <w:szCs w:val="22"/>
          <w:lang w:val="es-ES_tradnl" w:eastAsia="x-none"/>
        </w:rPr>
        <w:t>.</w:t>
      </w:r>
      <w:r w:rsidRPr="009B27A5">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0B0460E" w14:textId="77777777" w:rsidR="000A0DF7" w:rsidRPr="009B27A5" w:rsidRDefault="000A0DF7" w:rsidP="000A0DF7">
      <w:pPr>
        <w:spacing w:line="276" w:lineRule="auto"/>
        <w:jc w:val="both"/>
        <w:rPr>
          <w:rFonts w:ascii="Arial" w:eastAsiaTheme="minorHAnsi" w:hAnsi="Arial" w:cs="Arial"/>
          <w:sz w:val="22"/>
          <w:szCs w:val="22"/>
          <w:lang w:val="es-ES_tradnl" w:eastAsia="en-US"/>
        </w:rPr>
      </w:pPr>
    </w:p>
    <w:p w14:paraId="657C7B4C" w14:textId="77777777" w:rsidR="000A0DF7" w:rsidRPr="009B27A5" w:rsidRDefault="000A0DF7" w:rsidP="000A0DF7">
      <w:pPr>
        <w:ind w:left="708"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9B27A5">
        <w:rPr>
          <w:rFonts w:ascii="Arial" w:eastAsiaTheme="minorHAnsi" w:hAnsi="Arial" w:cs="Arial"/>
          <w:szCs w:val="22"/>
          <w:vertAlign w:val="superscript"/>
          <w:lang w:val="es-ES_tradnl" w:eastAsia="en-US"/>
        </w:rPr>
        <w:footnoteReference w:id="26"/>
      </w:r>
      <w:r w:rsidRPr="009B27A5">
        <w:rPr>
          <w:rFonts w:ascii="Arial" w:hAnsi="Arial" w:cs="Arial"/>
          <w:bCs/>
          <w:sz w:val="22"/>
          <w:szCs w:val="22"/>
          <w:lang w:val="es-ES_tradnl" w:eastAsia="x-none"/>
        </w:rPr>
        <w:t>.</w:t>
      </w:r>
    </w:p>
    <w:p w14:paraId="7393083E" w14:textId="77777777" w:rsidR="000A0DF7" w:rsidRPr="009B27A5" w:rsidRDefault="000A0DF7" w:rsidP="000A0DF7">
      <w:pPr>
        <w:spacing w:line="276" w:lineRule="auto"/>
        <w:jc w:val="both"/>
        <w:rPr>
          <w:rFonts w:ascii="Arial" w:eastAsiaTheme="minorHAnsi" w:hAnsi="Arial" w:cs="Arial"/>
          <w:sz w:val="22"/>
          <w:szCs w:val="22"/>
          <w:lang w:val="es-ES_tradnl" w:eastAsia="en-US"/>
        </w:rPr>
      </w:pPr>
    </w:p>
    <w:p w14:paraId="6AB03978" w14:textId="77777777" w:rsidR="000A0DF7" w:rsidRPr="009B27A5" w:rsidRDefault="000A0DF7" w:rsidP="000A0DF7">
      <w:pPr>
        <w:spacing w:after="120" w:line="276" w:lineRule="auto"/>
        <w:ind w:firstLine="709"/>
        <w:jc w:val="both"/>
        <w:rPr>
          <w:rFonts w:ascii="Arial" w:hAnsi="Arial" w:cs="Arial"/>
          <w:bCs/>
          <w:sz w:val="22"/>
          <w:szCs w:val="22"/>
          <w:lang w:val="es-ES_tradnl" w:eastAsia="x-none"/>
        </w:rPr>
      </w:pPr>
      <w:r w:rsidRPr="009B27A5">
        <w:rPr>
          <w:rFonts w:ascii="Arial" w:eastAsiaTheme="minorHAnsi" w:hAnsi="Arial" w:cs="Arial"/>
          <w:sz w:val="22"/>
          <w:szCs w:val="22"/>
          <w:lang w:val="es-ES_tradnl" w:eastAsia="en-US"/>
        </w:rPr>
        <w:t xml:space="preserve">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w:t>
      </w:r>
      <w:r w:rsidRPr="009B27A5">
        <w:rPr>
          <w:rFonts w:ascii="Arial" w:eastAsiaTheme="minorHAnsi" w:hAnsi="Arial" w:cs="Arial"/>
          <w:sz w:val="22"/>
          <w:szCs w:val="22"/>
          <w:lang w:val="es-ES_tradnl" w:eastAsia="en-US"/>
        </w:rPr>
        <w:lastRenderedPageBreak/>
        <w:t>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9B27A5">
        <w:rPr>
          <w:rFonts w:ascii="Arial" w:eastAsiaTheme="minorHAnsi" w:hAnsi="Arial" w:cs="Arial"/>
          <w:szCs w:val="22"/>
          <w:vertAlign w:val="superscript"/>
          <w:lang w:val="es-ES_tradnl" w:eastAsia="en-US"/>
        </w:rPr>
        <w:t xml:space="preserve"> </w:t>
      </w:r>
      <w:r w:rsidRPr="009B27A5">
        <w:rPr>
          <w:rFonts w:ascii="Arial" w:eastAsiaTheme="minorHAnsi" w:hAnsi="Arial" w:cs="Arial"/>
          <w:sz w:val="22"/>
          <w:szCs w:val="22"/>
          <w:vertAlign w:val="superscript"/>
          <w:lang w:val="es-ES_tradnl" w:eastAsia="en-US"/>
        </w:rPr>
        <w:footnoteReference w:id="27"/>
      </w:r>
      <w:r w:rsidRPr="009B27A5">
        <w:rPr>
          <w:rFonts w:ascii="Arial" w:eastAsiaTheme="minorHAnsi" w:hAnsi="Arial" w:cs="Arial"/>
          <w:sz w:val="22"/>
          <w:szCs w:val="22"/>
          <w:lang w:val="es-ES_tradnl" w:eastAsia="en-US"/>
        </w:rPr>
        <w:t>.</w:t>
      </w:r>
    </w:p>
    <w:p w14:paraId="05998FAF" w14:textId="77777777" w:rsidR="000A0DF7" w:rsidRPr="009B27A5" w:rsidRDefault="000A0DF7" w:rsidP="000A0DF7">
      <w:pPr>
        <w:spacing w:line="276" w:lineRule="auto"/>
        <w:ind w:firstLine="708"/>
        <w:jc w:val="both"/>
        <w:rPr>
          <w:rFonts w:ascii="Arial" w:hAnsi="Arial" w:cs="Arial"/>
          <w:bCs/>
          <w:sz w:val="22"/>
          <w:szCs w:val="22"/>
          <w:lang w:val="es-ES_tradnl" w:eastAsia="x-none"/>
        </w:rPr>
      </w:pPr>
      <w:r w:rsidRPr="009B27A5">
        <w:rPr>
          <w:rFonts w:ascii="Arial" w:eastAsiaTheme="minorHAnsi" w:hAnsi="Arial" w:cs="Arial"/>
          <w:sz w:val="22"/>
          <w:szCs w:val="22"/>
          <w:lang w:val="es-ES_tradnl" w:eastAsia="en-US"/>
        </w:rPr>
        <w:t xml:space="preserve">Por lo tanto, la restricción prevista en la Ley 996 de 2005, </w:t>
      </w:r>
      <w:r w:rsidRPr="009B27A5">
        <w:rPr>
          <w:rFonts w:ascii="Arial" w:hAnsi="Arial" w:cs="Arial"/>
          <w:bCs/>
          <w:sz w:val="22"/>
          <w:szCs w:val="22"/>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6F29CCF1" w14:textId="77777777" w:rsidR="000A0DF7" w:rsidRPr="009B27A5" w:rsidRDefault="000A0DF7" w:rsidP="000A0DF7">
      <w:pPr>
        <w:spacing w:line="276" w:lineRule="auto"/>
        <w:jc w:val="both"/>
        <w:rPr>
          <w:rFonts w:ascii="Arial" w:eastAsiaTheme="minorHAnsi" w:hAnsi="Arial" w:cs="Arial"/>
          <w:sz w:val="22"/>
          <w:szCs w:val="22"/>
          <w:lang w:val="es-ES_tradnl" w:eastAsia="en-US"/>
        </w:rPr>
      </w:pPr>
    </w:p>
    <w:p w14:paraId="31A82560" w14:textId="03731FCE" w:rsidR="000A0DF7" w:rsidRPr="009B27A5" w:rsidRDefault="000A0DF7" w:rsidP="000A0DF7">
      <w:pPr>
        <w:spacing w:line="276" w:lineRule="auto"/>
        <w:jc w:val="both"/>
        <w:rPr>
          <w:rFonts w:ascii="Arial" w:hAnsi="Arial" w:cs="Arial"/>
          <w:b/>
          <w:bCs/>
          <w:sz w:val="22"/>
          <w:szCs w:val="22"/>
          <w:lang w:val="es-ES_tradnl" w:eastAsia="es-CO"/>
        </w:rPr>
      </w:pPr>
      <w:bookmarkStart w:id="9" w:name="_Hlk75784645"/>
      <w:r w:rsidRPr="009B27A5">
        <w:rPr>
          <w:rFonts w:ascii="Arial" w:eastAsiaTheme="minorHAnsi" w:hAnsi="Arial" w:cs="Arial"/>
          <w:b/>
          <w:bCs/>
          <w:sz w:val="22"/>
          <w:szCs w:val="22"/>
          <w:lang w:val="es-ES_tradnl" w:eastAsia="en-US"/>
        </w:rPr>
        <w:t>2.</w:t>
      </w:r>
      <w:r w:rsidR="00CC7414" w:rsidRPr="009B27A5">
        <w:rPr>
          <w:rFonts w:ascii="Arial" w:eastAsiaTheme="minorHAnsi" w:hAnsi="Arial" w:cs="Arial"/>
          <w:b/>
          <w:bCs/>
          <w:sz w:val="22"/>
          <w:szCs w:val="22"/>
          <w:lang w:val="es-ES_tradnl" w:eastAsia="en-US"/>
        </w:rPr>
        <w:t>3</w:t>
      </w:r>
      <w:r w:rsidRPr="009B27A5">
        <w:rPr>
          <w:rFonts w:ascii="Arial" w:eastAsiaTheme="minorHAnsi" w:hAnsi="Arial" w:cs="Arial"/>
          <w:b/>
          <w:bCs/>
          <w:sz w:val="22"/>
          <w:szCs w:val="22"/>
          <w:lang w:val="es-ES_tradnl" w:eastAsia="en-US"/>
        </w:rPr>
        <w:t xml:space="preserve">. </w:t>
      </w:r>
      <w:r w:rsidRPr="009B27A5">
        <w:rPr>
          <w:rFonts w:ascii="Arial" w:hAnsi="Arial" w:cs="Arial"/>
          <w:b/>
          <w:bCs/>
          <w:sz w:val="22"/>
          <w:szCs w:val="22"/>
          <w:lang w:val="es-ES_tradnl" w:eastAsia="es-CO"/>
        </w:rPr>
        <w:t xml:space="preserve">Restricciones para la celebración de contratos y convenios interadministrativos en los comicios de cargos de elección popular </w:t>
      </w:r>
    </w:p>
    <w:p w14:paraId="1AAE960A" w14:textId="77777777" w:rsidR="000A0DF7" w:rsidRPr="009B27A5" w:rsidRDefault="000A0DF7" w:rsidP="000A0DF7">
      <w:pPr>
        <w:spacing w:line="276" w:lineRule="auto"/>
        <w:jc w:val="both"/>
        <w:rPr>
          <w:rFonts w:ascii="Arial" w:eastAsiaTheme="minorHAnsi" w:hAnsi="Arial" w:cs="Arial"/>
          <w:b/>
          <w:bCs/>
          <w:sz w:val="22"/>
          <w:szCs w:val="22"/>
          <w:lang w:val="es-ES_tradnl" w:eastAsia="en-US"/>
        </w:rPr>
      </w:pPr>
    </w:p>
    <w:p w14:paraId="36BEC005" w14:textId="77777777" w:rsidR="000A0DF7" w:rsidRPr="009B27A5" w:rsidRDefault="000A0DF7" w:rsidP="000A0DF7">
      <w:pPr>
        <w:tabs>
          <w:tab w:val="left" w:pos="426"/>
        </w:tabs>
        <w:spacing w:after="120" w:line="276" w:lineRule="auto"/>
        <w:jc w:val="both"/>
        <w:rPr>
          <w:rFonts w:ascii="Arial" w:eastAsia="Calibri" w:hAnsi="Arial" w:cs="Arial"/>
          <w:bCs/>
          <w:sz w:val="22"/>
          <w:szCs w:val="22"/>
          <w:lang w:val="es-ES_tradnl" w:eastAsia="en-US"/>
        </w:rPr>
      </w:pPr>
      <w:r w:rsidRPr="009B27A5">
        <w:rPr>
          <w:rFonts w:ascii="Arial" w:eastAsia="Calibri" w:hAnsi="Arial" w:cs="Arial"/>
          <w:bCs/>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9B27A5">
        <w:rPr>
          <w:rFonts w:ascii="Arial" w:hAnsi="Arial" w:cs="Arial"/>
          <w:bCs/>
          <w:iCs/>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9B27A5">
        <w:rPr>
          <w:rFonts w:ascii="Arial" w:hAnsi="Arial" w:cs="Arial"/>
          <w:bCs/>
          <w:iCs/>
          <w:sz w:val="22"/>
          <w:szCs w:val="22"/>
          <w:vertAlign w:val="superscript"/>
          <w:lang w:val="es-ES_tradnl" w:eastAsia="x-none"/>
        </w:rPr>
        <w:footnoteReference w:id="28"/>
      </w:r>
      <w:r w:rsidRPr="009B27A5">
        <w:rPr>
          <w:rFonts w:ascii="Arial" w:hAnsi="Arial" w:cs="Arial"/>
          <w:bCs/>
          <w:iCs/>
          <w:sz w:val="22"/>
          <w:szCs w:val="22"/>
          <w:lang w:val="es-ES_tradnl" w:eastAsia="x-none"/>
        </w:rPr>
        <w:t>.</w:t>
      </w:r>
      <w:r w:rsidRPr="009B27A5">
        <w:rPr>
          <w:rFonts w:ascii="Arial" w:eastAsiaTheme="minorHAnsi" w:hAnsi="Arial" w:cs="Arial"/>
          <w:szCs w:val="22"/>
          <w:lang w:val="es-ES_tradnl" w:eastAsia="en-US"/>
        </w:rPr>
        <w:t xml:space="preserve"> </w:t>
      </w:r>
    </w:p>
    <w:p w14:paraId="4ED9571B" w14:textId="77777777" w:rsidR="000A0DF7" w:rsidRPr="009B27A5"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9B27A5">
        <w:rPr>
          <w:rFonts w:ascii="Arial" w:eastAsia="Calibri" w:hAnsi="Arial" w:cs="Arial"/>
          <w:bCs/>
          <w:sz w:val="22"/>
          <w:szCs w:val="22"/>
          <w:lang w:val="es-ES_tradnl" w:eastAsia="es-ES" w:bidi="es-ES"/>
        </w:rPr>
        <w:t xml:space="preserve">Ahora bien, </w:t>
      </w:r>
      <w:bookmarkStart w:id="10" w:name="_Hlk78820161"/>
      <w:r w:rsidRPr="009B27A5">
        <w:rPr>
          <w:rFonts w:ascii="Arial" w:eastAsia="Calibri" w:hAnsi="Arial" w:cs="Arial"/>
          <w:bCs/>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9B27A5">
        <w:rPr>
          <w:rFonts w:ascii="Arial" w:eastAsia="Arial" w:hAnsi="Arial" w:cs="Arial"/>
          <w:sz w:val="22"/>
          <w:szCs w:val="22"/>
          <w:lang w:val="es-ES_tradnl" w:eastAsia="es-ES" w:bidi="es-ES"/>
        </w:rPr>
        <w:t>Aunque la ley no la definió ni desarrolló, el Decreto 1082 de 2015 califica a los convenios o contratos interadministrativos como aquella contratación entre entidades estatales</w:t>
      </w:r>
      <w:r w:rsidRPr="009B27A5">
        <w:rPr>
          <w:rFonts w:ascii="Arial" w:eastAsia="Arial" w:hAnsi="Arial" w:cs="Arial"/>
          <w:sz w:val="22"/>
          <w:szCs w:val="22"/>
          <w:vertAlign w:val="superscript"/>
          <w:lang w:val="es-ES_tradnl" w:eastAsia="es-ES" w:bidi="es-ES"/>
        </w:rPr>
        <w:footnoteReference w:id="29"/>
      </w:r>
      <w:r w:rsidRPr="009B27A5">
        <w:rPr>
          <w:rFonts w:ascii="Arial" w:eastAsia="Arial" w:hAnsi="Arial" w:cs="Arial"/>
          <w:sz w:val="22"/>
          <w:szCs w:val="22"/>
          <w:lang w:val="es-ES_tradnl" w:eastAsia="es-ES" w:bidi="es-ES"/>
        </w:rPr>
        <w:t xml:space="preserve">. De acuerdo con lo anterior, el contrato o el convenio </w:t>
      </w:r>
      <w:r w:rsidRPr="009B27A5">
        <w:rPr>
          <w:rFonts w:ascii="Arial" w:eastAsia="Arial" w:hAnsi="Arial" w:cs="Arial"/>
          <w:sz w:val="22"/>
          <w:szCs w:val="22"/>
          <w:lang w:val="es-ES_tradnl" w:eastAsia="es-ES" w:bidi="es-ES"/>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9B27A5">
        <w:rPr>
          <w:rFonts w:ascii="Arial" w:eastAsia="Arial" w:hAnsi="Arial" w:cs="Arial"/>
          <w:spacing w:val="-6"/>
          <w:sz w:val="22"/>
          <w:szCs w:val="22"/>
          <w:lang w:val="es-ES_tradnl" w:eastAsia="es-ES" w:bidi="es-ES"/>
        </w:rPr>
        <w:t xml:space="preserve"> </w:t>
      </w:r>
      <w:r w:rsidRPr="009B27A5">
        <w:rPr>
          <w:rFonts w:ascii="Arial" w:eastAsia="Arial" w:hAnsi="Arial" w:cs="Arial"/>
          <w:sz w:val="22"/>
          <w:szCs w:val="22"/>
          <w:lang w:val="es-ES_tradnl" w:eastAsia="es-ES" w:bidi="es-ES"/>
        </w:rPr>
        <w:t>estatales.</w:t>
      </w:r>
    </w:p>
    <w:p w14:paraId="02EF981B" w14:textId="77777777" w:rsidR="000A0DF7" w:rsidRPr="009B27A5" w:rsidRDefault="000A0DF7" w:rsidP="000A0DF7">
      <w:pPr>
        <w:widowControl w:val="0"/>
        <w:autoSpaceDE w:val="0"/>
        <w:autoSpaceDN w:val="0"/>
        <w:spacing w:before="117" w:after="120" w:line="276" w:lineRule="auto"/>
        <w:ind w:firstLine="707"/>
        <w:jc w:val="both"/>
        <w:rPr>
          <w:rFonts w:ascii="Arial" w:eastAsia="Arial" w:hAnsi="Arial" w:cs="Arial"/>
          <w:sz w:val="22"/>
          <w:szCs w:val="22"/>
          <w:lang w:val="es-ES_tradnl" w:eastAsia="es-ES" w:bidi="es-ES"/>
        </w:rPr>
      </w:pPr>
      <w:bookmarkStart w:id="11" w:name="_Hlk78820654"/>
      <w:bookmarkEnd w:id="10"/>
      <w:r w:rsidRPr="009B27A5">
        <w:rPr>
          <w:rFonts w:ascii="Arial" w:eastAsia="Arial" w:hAnsi="Arial" w:cs="Arial"/>
          <w:sz w:val="22"/>
          <w:szCs w:val="22"/>
          <w:lang w:val="es-ES_tradnl"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1"/>
    <w:p w14:paraId="3CAAE980" w14:textId="77777777" w:rsidR="000A0DF7" w:rsidRPr="009B27A5" w:rsidRDefault="000A0DF7" w:rsidP="000A0DF7">
      <w:pPr>
        <w:widowControl w:val="0"/>
        <w:autoSpaceDE w:val="0"/>
        <w:autoSpaceDN w:val="0"/>
        <w:spacing w:before="121" w:after="120" w:line="276" w:lineRule="auto"/>
        <w:ind w:firstLine="707"/>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9B27A5">
        <w:rPr>
          <w:rFonts w:ascii="Arial" w:eastAsia="Arial" w:hAnsi="Arial" w:cs="Arial"/>
          <w:sz w:val="22"/>
          <w:szCs w:val="22"/>
          <w:vertAlign w:val="superscript"/>
          <w:lang w:val="es-ES_tradnl" w:eastAsia="es-ES" w:bidi="es-ES"/>
        </w:rPr>
        <w:footnoteReference w:id="30"/>
      </w:r>
      <w:r w:rsidRPr="009B27A5">
        <w:rPr>
          <w:rFonts w:ascii="Arial" w:eastAsia="Arial" w:hAnsi="Arial" w:cs="Arial"/>
          <w:sz w:val="22"/>
          <w:szCs w:val="22"/>
          <w:lang w:val="es-ES_tradnl" w:eastAsia="es-ES" w:bidi="es-ES"/>
        </w:rPr>
        <w:t>. Nótese que, en este caso, lo que cambia es la modalidad de selección y no la naturaleza de contrato</w:t>
      </w:r>
      <w:r w:rsidRPr="009B27A5">
        <w:rPr>
          <w:rFonts w:ascii="Arial" w:eastAsia="Arial" w:hAnsi="Arial" w:cs="Arial"/>
          <w:spacing w:val="-18"/>
          <w:sz w:val="22"/>
          <w:szCs w:val="22"/>
          <w:lang w:val="es-ES_tradnl" w:eastAsia="es-ES" w:bidi="es-ES"/>
        </w:rPr>
        <w:t xml:space="preserve"> </w:t>
      </w:r>
      <w:r w:rsidRPr="009B27A5">
        <w:rPr>
          <w:rFonts w:ascii="Arial" w:eastAsia="Arial" w:hAnsi="Arial" w:cs="Arial"/>
          <w:sz w:val="22"/>
          <w:szCs w:val="22"/>
          <w:lang w:val="es-ES_tradnl" w:eastAsia="es-ES" w:bidi="es-ES"/>
        </w:rPr>
        <w:t>interadministrativo.</w:t>
      </w:r>
    </w:p>
    <w:p w14:paraId="03CC94FE" w14:textId="77777777" w:rsidR="000A0DF7" w:rsidRPr="009B27A5" w:rsidRDefault="000A0DF7" w:rsidP="000A0DF7">
      <w:pPr>
        <w:widowControl w:val="0"/>
        <w:autoSpaceDE w:val="0"/>
        <w:autoSpaceDN w:val="0"/>
        <w:spacing w:before="114" w:line="276" w:lineRule="auto"/>
        <w:ind w:firstLine="707"/>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9B27A5">
        <w:rPr>
          <w:rFonts w:ascii="Arial" w:eastAsia="Arial" w:hAnsi="Arial" w:cs="Arial"/>
          <w:spacing w:val="-13"/>
          <w:sz w:val="22"/>
          <w:szCs w:val="22"/>
          <w:lang w:val="es-ES_tradnl" w:eastAsia="es-ES" w:bidi="es-ES"/>
        </w:rPr>
        <w:t xml:space="preserve"> </w:t>
      </w:r>
      <w:r w:rsidRPr="009B27A5">
        <w:rPr>
          <w:rFonts w:ascii="Arial" w:eastAsia="Arial" w:hAnsi="Arial" w:cs="Arial"/>
          <w:sz w:val="22"/>
          <w:szCs w:val="22"/>
          <w:lang w:val="es-ES_tradnl" w:eastAsia="es-ES" w:bidi="es-ES"/>
        </w:rPr>
        <w:t>que:</w:t>
      </w:r>
    </w:p>
    <w:p w14:paraId="5A7C954F" w14:textId="77777777" w:rsidR="000A0DF7" w:rsidRPr="009B27A5" w:rsidRDefault="000A0DF7" w:rsidP="000A0DF7">
      <w:pPr>
        <w:widowControl w:val="0"/>
        <w:autoSpaceDE w:val="0"/>
        <w:autoSpaceDN w:val="0"/>
        <w:spacing w:line="276" w:lineRule="auto"/>
        <w:ind w:firstLine="707"/>
        <w:jc w:val="both"/>
        <w:rPr>
          <w:rFonts w:ascii="Arial" w:eastAsia="Arial" w:hAnsi="Arial" w:cs="Arial"/>
          <w:sz w:val="22"/>
          <w:szCs w:val="22"/>
          <w:lang w:val="es-ES_tradnl" w:eastAsia="es-ES" w:bidi="es-ES"/>
        </w:rPr>
      </w:pPr>
    </w:p>
    <w:p w14:paraId="7878EB03" w14:textId="77777777" w:rsidR="000A0DF7" w:rsidRPr="009B27A5" w:rsidRDefault="000A0DF7" w:rsidP="000A0DF7">
      <w:pPr>
        <w:ind w:left="709" w:right="709"/>
        <w:jc w:val="both"/>
        <w:rPr>
          <w:rFonts w:ascii="Arial" w:eastAsiaTheme="minorHAnsi" w:hAnsi="Arial" w:cs="Arial"/>
          <w:sz w:val="21"/>
          <w:szCs w:val="22"/>
          <w:lang w:val="es-ES_tradnl" w:eastAsia="en-US"/>
        </w:rPr>
      </w:pPr>
      <w:r w:rsidRPr="009B27A5">
        <w:rPr>
          <w:rFonts w:ascii="Arial" w:eastAsiaTheme="minorHAnsi" w:hAnsi="Arial" w:cs="Arial"/>
          <w:sz w:val="21"/>
          <w:szCs w:val="22"/>
          <w:lang w:val="es-ES_tradnl"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w:t>
      </w:r>
      <w:r w:rsidRPr="009B27A5">
        <w:rPr>
          <w:rFonts w:ascii="Arial" w:eastAsiaTheme="minorHAnsi" w:hAnsi="Arial" w:cs="Arial"/>
          <w:sz w:val="21"/>
          <w:szCs w:val="22"/>
          <w:lang w:val="es-ES_tradnl" w:eastAsia="en-US"/>
        </w:rPr>
        <w:lastRenderedPageBreak/>
        <w:t>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9B27A5">
        <w:rPr>
          <w:rFonts w:ascii="Arial" w:eastAsiaTheme="minorHAnsi" w:hAnsi="Arial" w:cs="Arial"/>
          <w:sz w:val="21"/>
          <w:szCs w:val="22"/>
          <w:vertAlign w:val="superscript"/>
          <w:lang w:val="es-ES_tradnl" w:eastAsia="en-US"/>
        </w:rPr>
        <w:footnoteReference w:id="31"/>
      </w:r>
      <w:r w:rsidRPr="009B27A5">
        <w:rPr>
          <w:rFonts w:ascii="Arial" w:eastAsiaTheme="minorHAnsi" w:hAnsi="Arial" w:cs="Arial"/>
          <w:sz w:val="21"/>
          <w:szCs w:val="22"/>
          <w:lang w:val="es-ES_tradnl" w:eastAsia="en-US"/>
        </w:rPr>
        <w:t>.</w:t>
      </w:r>
    </w:p>
    <w:p w14:paraId="51DCC0D5" w14:textId="77777777" w:rsidR="000A0DF7" w:rsidRPr="009B27A5" w:rsidRDefault="000A0DF7" w:rsidP="000A0DF7">
      <w:pPr>
        <w:spacing w:line="276" w:lineRule="auto"/>
        <w:ind w:left="709" w:right="709"/>
        <w:jc w:val="both"/>
        <w:rPr>
          <w:rFonts w:ascii="Arial" w:eastAsiaTheme="minorHAnsi" w:hAnsi="Arial" w:cs="Arial"/>
          <w:sz w:val="22"/>
          <w:szCs w:val="22"/>
          <w:lang w:val="es-ES_tradnl" w:eastAsia="en-US"/>
        </w:rPr>
      </w:pPr>
    </w:p>
    <w:p w14:paraId="1CDE9734" w14:textId="77777777" w:rsidR="000A0DF7" w:rsidRPr="009B27A5"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25B67FB" w14:textId="77777777" w:rsidR="000A0DF7" w:rsidRPr="009B27A5" w:rsidRDefault="000A0DF7" w:rsidP="000A0DF7">
      <w:pPr>
        <w:widowControl w:val="0"/>
        <w:autoSpaceDE w:val="0"/>
        <w:autoSpaceDN w:val="0"/>
        <w:spacing w:before="119" w:after="120" w:line="276" w:lineRule="auto"/>
        <w:ind w:firstLine="707"/>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9B27A5">
        <w:rPr>
          <w:rFonts w:ascii="Arial" w:eastAsia="Arial" w:hAnsi="Arial" w:cs="Arial"/>
          <w:spacing w:val="-3"/>
          <w:sz w:val="22"/>
          <w:szCs w:val="22"/>
          <w:lang w:val="es-ES_tradnl" w:eastAsia="es-ES" w:bidi="es-ES"/>
        </w:rPr>
        <w:t xml:space="preserve"> </w:t>
      </w:r>
      <w:r w:rsidRPr="009B27A5">
        <w:rPr>
          <w:rFonts w:ascii="Arial" w:eastAsia="Arial" w:hAnsi="Arial" w:cs="Arial"/>
          <w:sz w:val="22"/>
          <w:szCs w:val="22"/>
          <w:lang w:val="es-ES_tradnl" w:eastAsia="es-ES" w:bidi="es-ES"/>
        </w:rPr>
        <w:t>estatales.</w:t>
      </w:r>
    </w:p>
    <w:p w14:paraId="27B0C39B" w14:textId="77777777" w:rsidR="000A0DF7" w:rsidRPr="009B27A5" w:rsidRDefault="000A0DF7" w:rsidP="000A0DF7">
      <w:pPr>
        <w:widowControl w:val="0"/>
        <w:autoSpaceDE w:val="0"/>
        <w:autoSpaceDN w:val="0"/>
        <w:spacing w:before="120" w:after="200" w:line="276" w:lineRule="auto"/>
        <w:ind w:firstLine="709"/>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w:t>
      </w:r>
      <w:r w:rsidRPr="009B27A5">
        <w:rPr>
          <w:rFonts w:ascii="Arial" w:eastAsia="Arial" w:hAnsi="Arial" w:cs="Arial"/>
          <w:sz w:val="22"/>
          <w:szCs w:val="22"/>
          <w:lang w:val="es-ES_tradnl" w:eastAsia="es-ES" w:bidi="es-ES"/>
        </w:rPr>
        <w:lastRenderedPageBreak/>
        <w:t>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9B27A5">
        <w:rPr>
          <w:rFonts w:ascii="Arial" w:eastAsia="Arial" w:hAnsi="Arial" w:cs="Arial"/>
          <w:spacing w:val="-4"/>
          <w:sz w:val="22"/>
          <w:szCs w:val="22"/>
          <w:lang w:val="es-ES_tradnl" w:eastAsia="es-ES" w:bidi="es-ES"/>
        </w:rPr>
        <w:t xml:space="preserve"> </w:t>
      </w:r>
      <w:r w:rsidRPr="009B27A5">
        <w:rPr>
          <w:rFonts w:ascii="Arial" w:eastAsia="Arial" w:hAnsi="Arial" w:cs="Arial"/>
          <w:sz w:val="22"/>
          <w:szCs w:val="22"/>
          <w:lang w:val="es-ES_tradnl" w:eastAsia="es-ES" w:bidi="es-ES"/>
        </w:rPr>
        <w:t>estatales.</w:t>
      </w:r>
    </w:p>
    <w:p w14:paraId="434CC65C" w14:textId="77777777" w:rsidR="000A0DF7" w:rsidRPr="009B27A5" w:rsidRDefault="000A0DF7" w:rsidP="000A0DF7">
      <w:pPr>
        <w:widowControl w:val="0"/>
        <w:autoSpaceDE w:val="0"/>
        <w:autoSpaceDN w:val="0"/>
        <w:spacing w:before="122" w:after="120" w:line="276" w:lineRule="auto"/>
        <w:ind w:firstLine="708"/>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36281F9" w14:textId="77777777" w:rsidR="000A0DF7" w:rsidRPr="009B27A5" w:rsidRDefault="000A0DF7" w:rsidP="000A0DF7">
      <w:pPr>
        <w:widowControl w:val="0"/>
        <w:autoSpaceDE w:val="0"/>
        <w:autoSpaceDN w:val="0"/>
        <w:spacing w:line="276" w:lineRule="auto"/>
        <w:ind w:firstLine="708"/>
        <w:jc w:val="both"/>
        <w:rPr>
          <w:rFonts w:ascii="Arial" w:eastAsia="Calibri" w:hAnsi="Arial" w:cs="Arial"/>
          <w:bCs/>
          <w:sz w:val="22"/>
          <w:szCs w:val="22"/>
          <w:lang w:val="es-ES_tradnl" w:eastAsia="es-ES" w:bidi="es-ES"/>
        </w:rPr>
      </w:pPr>
      <w:r w:rsidRPr="009B27A5">
        <w:rPr>
          <w:rFonts w:ascii="Arial" w:eastAsia="Arial" w:hAnsi="Arial" w:cs="Arial"/>
          <w:sz w:val="22"/>
          <w:szCs w:val="22"/>
          <w:lang w:val="es-ES_tradnl"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w:t>
      </w:r>
      <w:r w:rsidRPr="009B27A5">
        <w:rPr>
          <w:rFonts w:ascii="Arial" w:eastAsia="Arial" w:hAnsi="Arial" w:cs="Arial"/>
          <w:sz w:val="22"/>
          <w:szCs w:val="22"/>
          <w:lang w:val="es-ES_tradnl" w:eastAsia="es-ES" w:bidi="es-ES"/>
        </w:rPr>
        <w:t>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9B27A5">
        <w:rPr>
          <w:rFonts w:ascii="Arial" w:eastAsia="Arial" w:hAnsi="Arial" w:cs="Arial"/>
          <w:spacing w:val="-4"/>
          <w:sz w:val="22"/>
          <w:szCs w:val="22"/>
          <w:lang w:val="es-ES_tradnl" w:eastAsia="es-ES" w:bidi="es-ES"/>
        </w:rPr>
        <w:t xml:space="preserve"> </w:t>
      </w:r>
      <w:r w:rsidRPr="009B27A5">
        <w:rPr>
          <w:rFonts w:ascii="Arial" w:eastAsia="Arial" w:hAnsi="Arial" w:cs="Arial"/>
          <w:sz w:val="22"/>
          <w:szCs w:val="22"/>
          <w:lang w:val="es-ES_tradnl" w:eastAsia="es-ES" w:bidi="es-ES"/>
        </w:rPr>
        <w:t>[…]»</w:t>
      </w:r>
      <w:r w:rsidRPr="009B27A5">
        <w:rPr>
          <w:rFonts w:ascii="Arial" w:eastAsia="Arial" w:hAnsi="Arial" w:cs="Arial"/>
          <w:sz w:val="22"/>
          <w:szCs w:val="22"/>
          <w:vertAlign w:val="superscript"/>
          <w:lang w:val="es-ES_tradnl" w:eastAsia="es-ES" w:bidi="es-ES"/>
        </w:rPr>
        <w:footnoteReference w:id="32"/>
      </w:r>
      <w:r w:rsidRPr="009B27A5">
        <w:rPr>
          <w:rFonts w:ascii="Arial" w:eastAsia="Arial" w:hAnsi="Arial" w:cs="Arial"/>
          <w:sz w:val="22"/>
          <w:szCs w:val="22"/>
          <w:lang w:val="es-ES_tradnl" w:eastAsia="es-ES" w:bidi="es-ES"/>
        </w:rPr>
        <w:t>.</w:t>
      </w:r>
      <w:bookmarkStart w:id="12" w:name="_Hlk77171241"/>
    </w:p>
    <w:p w14:paraId="25212365" w14:textId="1A1D4BDA" w:rsidR="000A0DF7" w:rsidRPr="009B27A5" w:rsidRDefault="000A0DF7" w:rsidP="000A0DF7">
      <w:pPr>
        <w:widowControl w:val="0"/>
        <w:autoSpaceDE w:val="0"/>
        <w:autoSpaceDN w:val="0"/>
        <w:spacing w:before="122" w:line="276" w:lineRule="auto"/>
        <w:ind w:firstLine="709"/>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w:t>
      </w:r>
      <w:r w:rsidR="00A17941" w:rsidRPr="009B27A5">
        <w:rPr>
          <w:rFonts w:ascii="Arial" w:eastAsia="Arial" w:hAnsi="Arial" w:cs="Arial"/>
          <w:sz w:val="22"/>
          <w:szCs w:val="22"/>
          <w:lang w:val="es-ES_tradnl" w:eastAsia="es-ES" w:bidi="es-ES"/>
        </w:rPr>
        <w:t xml:space="preserve"> en Sentencia del 14 de junio de 2019, </w:t>
      </w:r>
      <w:r w:rsidRPr="009B27A5">
        <w:rPr>
          <w:rFonts w:ascii="Arial" w:eastAsia="Arial" w:hAnsi="Arial" w:cs="Arial"/>
          <w:sz w:val="22"/>
          <w:szCs w:val="22"/>
          <w:lang w:val="es-ES_tradnl" w:eastAsia="es-ES" w:bidi="es-ES"/>
        </w:rPr>
        <w:t>el Consejo de Estado expresó:</w:t>
      </w:r>
    </w:p>
    <w:p w14:paraId="0357AFF0" w14:textId="77777777" w:rsidR="000A0DF7" w:rsidRPr="009B27A5" w:rsidRDefault="000A0DF7" w:rsidP="000A0DF7">
      <w:pPr>
        <w:widowControl w:val="0"/>
        <w:autoSpaceDE w:val="0"/>
        <w:autoSpaceDN w:val="0"/>
        <w:spacing w:line="276" w:lineRule="auto"/>
        <w:ind w:firstLine="709"/>
        <w:jc w:val="both"/>
        <w:rPr>
          <w:rFonts w:ascii="Arial" w:eastAsia="Arial" w:hAnsi="Arial" w:cs="Arial"/>
          <w:sz w:val="22"/>
          <w:szCs w:val="22"/>
          <w:lang w:val="es-ES_tradnl" w:eastAsia="es-ES" w:bidi="es-ES"/>
        </w:rPr>
      </w:pPr>
    </w:p>
    <w:p w14:paraId="22800FE8" w14:textId="204E5287" w:rsidR="000A0DF7" w:rsidRPr="009B27A5" w:rsidRDefault="000A0DF7" w:rsidP="00C060C1">
      <w:pPr>
        <w:spacing w:after="120"/>
        <w:ind w:left="709"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La Sala de Consulta y Servicio Civil</w:t>
      </w:r>
      <w:r w:rsidRPr="009B27A5">
        <w:rPr>
          <w:rFonts w:ascii="Arial" w:eastAsiaTheme="minorHAnsi" w:hAnsi="Arial" w:cs="Arial"/>
          <w:sz w:val="21"/>
          <w:szCs w:val="21"/>
          <w:vertAlign w:val="superscript"/>
          <w:lang w:val="es-ES_tradnl" w:eastAsia="en-US"/>
        </w:rPr>
        <w:footnoteReference w:id="33"/>
      </w:r>
      <w:r w:rsidRPr="009B27A5">
        <w:rPr>
          <w:rFonts w:ascii="Arial" w:eastAsiaTheme="minorHAnsi" w:hAnsi="Arial" w:cs="Arial"/>
          <w:sz w:val="21"/>
          <w:szCs w:val="21"/>
          <w:lang w:val="es-ES_tradnl" w:eastAsia="en-US"/>
        </w:rPr>
        <w:t xml:space="preserve"> de esta Corporación se ha referido a los </w:t>
      </w:r>
      <w:r w:rsidRPr="009B27A5">
        <w:rPr>
          <w:rFonts w:ascii="Arial" w:eastAsiaTheme="minorHAnsi" w:hAnsi="Arial" w:cs="Arial"/>
          <w:i/>
          <w:sz w:val="21"/>
          <w:szCs w:val="21"/>
          <w:lang w:val="es-ES_tradnl" w:eastAsia="en-US"/>
        </w:rPr>
        <w:t>“convenios interadministrativos”</w:t>
      </w:r>
      <w:r w:rsidRPr="009B27A5">
        <w:rPr>
          <w:rFonts w:ascii="Arial" w:eastAsiaTheme="minorHAnsi" w:hAnsi="Arial" w:cs="Arial"/>
          <w:sz w:val="21"/>
          <w:szCs w:val="21"/>
          <w:lang w:val="es-ES_tradnl" w:eastAsia="en-US"/>
        </w:rPr>
        <w:t xml:space="preserve"> a los cuales alude el artículo 95 de la Ley 489 de 1998, calificándolos de </w:t>
      </w:r>
      <w:r w:rsidRPr="009B27A5">
        <w:rPr>
          <w:rFonts w:ascii="Arial" w:eastAsiaTheme="minorHAnsi" w:hAnsi="Arial" w:cs="Arial"/>
          <w:i/>
          <w:sz w:val="21"/>
          <w:szCs w:val="21"/>
          <w:lang w:val="es-ES_tradnl" w:eastAsia="en-US"/>
        </w:rPr>
        <w:t xml:space="preserve">“puros” </w:t>
      </w:r>
      <w:r w:rsidRPr="009B27A5">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9B27A5">
        <w:rPr>
          <w:rFonts w:ascii="Arial" w:eastAsiaTheme="minorHAnsi" w:hAnsi="Arial" w:cs="Arial"/>
          <w:i/>
          <w:sz w:val="21"/>
          <w:szCs w:val="21"/>
          <w:lang w:val="es-ES_tradnl" w:eastAsia="en-US"/>
        </w:rPr>
        <w:t>“intercambio patrimonial”</w:t>
      </w:r>
      <w:r w:rsidRPr="009B27A5">
        <w:rPr>
          <w:rFonts w:ascii="Arial" w:eastAsiaTheme="minorHAnsi" w:hAnsi="Arial" w:cs="Arial"/>
          <w:sz w:val="21"/>
          <w:szCs w:val="21"/>
          <w:lang w:val="es-ES_tradnl" w:eastAsia="en-US"/>
        </w:rPr>
        <w:t xml:space="preserve">. Sin </w:t>
      </w:r>
      <w:r w:rsidRPr="009B27A5">
        <w:rPr>
          <w:rFonts w:ascii="Arial" w:eastAsiaTheme="minorHAnsi" w:hAnsi="Arial" w:cs="Arial"/>
          <w:sz w:val="21"/>
          <w:szCs w:val="21"/>
          <w:lang w:val="es-ES_tradnl" w:eastAsia="en-US"/>
        </w:rPr>
        <w:lastRenderedPageBreak/>
        <w:t>perjuicio de lo anterior, en otra oportunidad, la misma Sala</w:t>
      </w:r>
      <w:r w:rsidRPr="009B27A5">
        <w:rPr>
          <w:rFonts w:ascii="Arial" w:eastAsiaTheme="minorHAnsi" w:hAnsi="Arial" w:cs="Arial"/>
          <w:sz w:val="21"/>
          <w:szCs w:val="21"/>
          <w:vertAlign w:val="superscript"/>
          <w:lang w:val="es-ES_tradnl" w:eastAsia="en-US"/>
        </w:rPr>
        <w:footnoteReference w:id="34"/>
      </w:r>
      <w:r w:rsidRPr="009B27A5">
        <w:rPr>
          <w:rFonts w:ascii="Arial" w:eastAsiaTheme="minorHAnsi" w:hAnsi="Arial" w:cs="Arial"/>
          <w:sz w:val="21"/>
          <w:szCs w:val="21"/>
          <w:lang w:val="es-ES_tradnl" w:eastAsia="en-US"/>
        </w:rPr>
        <w:t xml:space="preserve"> había indicado que, si bien en dichos convenios no se daba un </w:t>
      </w:r>
      <w:r w:rsidRPr="009B27A5">
        <w:rPr>
          <w:rFonts w:ascii="Arial" w:eastAsiaTheme="minorHAnsi" w:hAnsi="Arial" w:cs="Arial"/>
          <w:i/>
          <w:sz w:val="21"/>
          <w:szCs w:val="21"/>
          <w:lang w:val="es-ES_tradnl" w:eastAsia="en-US"/>
        </w:rPr>
        <w:t>“verdadero intercambio de bienes o servicios (contrato conmutativo)”</w:t>
      </w:r>
      <w:r w:rsidRPr="009B27A5">
        <w:rPr>
          <w:rFonts w:ascii="Arial" w:eastAsiaTheme="minorHAnsi" w:hAnsi="Arial" w:cs="Arial"/>
          <w:sz w:val="21"/>
          <w:szCs w:val="21"/>
          <w:lang w:val="es-ES_tradnl" w:eastAsia="en-US"/>
        </w:rPr>
        <w:t>, ello no impedía que se conviniera una remuneración a cargo de alguna(s) entidad(es).</w:t>
      </w:r>
    </w:p>
    <w:p w14:paraId="25EEF387" w14:textId="77777777" w:rsidR="000A0DF7" w:rsidRPr="009B27A5"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9B27A5">
        <w:rPr>
          <w:rFonts w:ascii="Arial" w:eastAsia="Arial" w:hAnsi="Arial" w:cs="Arial"/>
          <w:sz w:val="21"/>
          <w:szCs w:val="21"/>
          <w:lang w:val="es-ES_tradnl" w:eastAsia="es-ES" w:bidi="es-ES"/>
        </w:rPr>
        <w:t xml:space="preserve">Lo expuesto evidencia que, en general, las interpretaciones en torno a los </w:t>
      </w:r>
      <w:r w:rsidRPr="009B27A5">
        <w:rPr>
          <w:rFonts w:ascii="Arial" w:eastAsia="Arial" w:hAnsi="Arial" w:cs="Arial"/>
          <w:i/>
          <w:sz w:val="21"/>
          <w:szCs w:val="21"/>
          <w:lang w:val="es-ES_tradnl" w:eastAsia="es-ES" w:bidi="es-ES"/>
        </w:rPr>
        <w:t>“convenios interadministrativos”</w:t>
      </w:r>
      <w:r w:rsidRPr="009B27A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9B27A5">
        <w:rPr>
          <w:rFonts w:ascii="Arial" w:eastAsia="Arial" w:hAnsi="Arial" w:cs="Arial"/>
          <w:sz w:val="21"/>
          <w:szCs w:val="21"/>
          <w:vertAlign w:val="superscript"/>
          <w:lang w:val="es-ES_tradnl" w:eastAsia="es-ES" w:bidi="es-ES"/>
        </w:rPr>
        <w:footnoteReference w:id="35"/>
      </w:r>
      <w:r w:rsidRPr="009B27A5">
        <w:rPr>
          <w:rFonts w:ascii="Arial" w:eastAsia="Arial" w:hAnsi="Arial" w:cs="Arial"/>
          <w:sz w:val="21"/>
          <w:szCs w:val="21"/>
          <w:vertAlign w:val="superscript"/>
          <w:lang w:val="es-ES_tradnl" w:eastAsia="es-ES" w:bidi="es-ES"/>
        </w:rPr>
        <w:footnoteReference w:id="36"/>
      </w:r>
      <w:r w:rsidRPr="009B27A5">
        <w:rPr>
          <w:rFonts w:ascii="Arial" w:eastAsia="Arial" w:hAnsi="Arial" w:cs="Arial"/>
          <w:sz w:val="21"/>
          <w:szCs w:val="21"/>
          <w:lang w:val="es-ES_tradnl" w:eastAsia="es-ES" w:bidi="es-ES"/>
        </w:rPr>
        <w:t>.</w:t>
      </w:r>
    </w:p>
    <w:p w14:paraId="5B013704" w14:textId="77777777" w:rsidR="000A0DF7" w:rsidRPr="009B27A5"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A87E67" w14:textId="39D21CB4" w:rsidR="000A0DF7" w:rsidRPr="009B27A5" w:rsidRDefault="000A0DF7" w:rsidP="000A0DF7">
      <w:pPr>
        <w:widowControl w:val="0"/>
        <w:autoSpaceDE w:val="0"/>
        <w:autoSpaceDN w:val="0"/>
        <w:spacing w:after="120" w:line="276" w:lineRule="auto"/>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tab/>
        <w:t xml:space="preserve">Sin </w:t>
      </w:r>
      <w:r w:rsidR="00A17941" w:rsidRPr="009B27A5">
        <w:rPr>
          <w:rFonts w:ascii="Arial" w:eastAsia="Arial" w:hAnsi="Arial" w:cs="Arial"/>
          <w:sz w:val="22"/>
          <w:szCs w:val="22"/>
          <w:lang w:val="es-ES_tradnl" w:eastAsia="es-ES" w:bidi="es-ES"/>
        </w:rPr>
        <w:t>perjuicio de lo anterior</w:t>
      </w:r>
      <w:r w:rsidRPr="009B27A5">
        <w:rPr>
          <w:rFonts w:ascii="Arial" w:eastAsia="Arial" w:hAnsi="Arial" w:cs="Arial"/>
          <w:sz w:val="22"/>
          <w:szCs w:val="22"/>
          <w:lang w:val="es-ES_tradnl" w:eastAsia="es-ES" w:bidi="es-ES"/>
        </w:rPr>
        <w:t>, debe reiterarse que el legislador y el ordenamiento jurídico, en general, en distintas ocasiones utiliza de forma indistinta los conceptos de contrato o convenio para referirse a la misma institución jurídica</w:t>
      </w:r>
      <w:r w:rsidRPr="009B27A5">
        <w:rPr>
          <w:rFonts w:ascii="Arial" w:eastAsia="Arial" w:hAnsi="Arial" w:cs="Arial"/>
          <w:sz w:val="22"/>
          <w:szCs w:val="22"/>
          <w:vertAlign w:val="superscript"/>
          <w:lang w:val="es-ES_tradnl" w:eastAsia="es-ES" w:bidi="es-ES"/>
        </w:rPr>
        <w:footnoteReference w:id="37"/>
      </w:r>
      <w:r w:rsidRPr="009B27A5">
        <w:rPr>
          <w:rFonts w:ascii="Arial" w:eastAsia="Arial" w:hAnsi="Arial" w:cs="Arial"/>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9B27A5">
        <w:rPr>
          <w:rFonts w:ascii="Arial" w:eastAsia="Arial" w:hAnsi="Arial" w:cs="Arial"/>
          <w:sz w:val="22"/>
          <w:szCs w:val="22"/>
          <w:vertAlign w:val="superscript"/>
          <w:lang w:val="es-ES_tradnl" w:eastAsia="es-ES" w:bidi="es-ES"/>
        </w:rPr>
        <w:footnoteReference w:id="38"/>
      </w:r>
      <w:r w:rsidRPr="009B27A5">
        <w:rPr>
          <w:rFonts w:ascii="Arial" w:eastAsia="Arial" w:hAnsi="Arial" w:cs="Arial"/>
          <w:sz w:val="22"/>
          <w:szCs w:val="22"/>
          <w:lang w:val="es-ES_tradnl" w:eastAsia="es-ES" w:bidi="es-ES"/>
        </w:rPr>
        <w:t>.</w:t>
      </w:r>
    </w:p>
    <w:p w14:paraId="5306091D" w14:textId="2143E999" w:rsidR="000A0DF7" w:rsidRPr="009B27A5"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r w:rsidRPr="009B27A5">
        <w:rPr>
          <w:rFonts w:ascii="Arial" w:eastAsia="Arial" w:hAnsi="Arial" w:cs="Arial"/>
          <w:sz w:val="22"/>
          <w:szCs w:val="22"/>
          <w:lang w:val="es-ES_tradnl" w:eastAsia="es-ES" w:bidi="es-ES"/>
        </w:rPr>
        <w:lastRenderedPageBreak/>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w:t>
      </w:r>
      <w:r w:rsidR="00A17941" w:rsidRPr="009B27A5">
        <w:rPr>
          <w:rFonts w:ascii="Arial" w:eastAsia="Arial" w:hAnsi="Arial" w:cs="Arial"/>
          <w:sz w:val="22"/>
          <w:szCs w:val="22"/>
          <w:lang w:val="es-ES_tradnl" w:eastAsia="es-ES" w:bidi="es-ES"/>
        </w:rPr>
        <w:t>en</w:t>
      </w:r>
      <w:r w:rsidRPr="009B27A5">
        <w:rPr>
          <w:rFonts w:ascii="Arial" w:eastAsia="Arial" w:hAnsi="Arial" w:cs="Arial"/>
          <w:sz w:val="22"/>
          <w:szCs w:val="22"/>
          <w:lang w:val="es-ES_tradnl" w:eastAsia="es-ES" w:bidi="es-ES"/>
        </w:rPr>
        <w:t xml:space="preserve"> este concepto para la aplicación de la Ley de Garantías. En este sentido, la Circular</w:t>
      </w:r>
      <w:r w:rsidR="00A17941" w:rsidRPr="009B27A5">
        <w:rPr>
          <w:rFonts w:ascii="Arial" w:eastAsia="Arial" w:hAnsi="Arial" w:cs="Arial"/>
          <w:sz w:val="22"/>
          <w:szCs w:val="22"/>
          <w:lang w:val="es-ES_tradnl" w:eastAsia="es-ES" w:bidi="es-ES"/>
        </w:rPr>
        <w:t xml:space="preserve"> Externa Única</w:t>
      </w:r>
      <w:r w:rsidRPr="009B27A5">
        <w:rPr>
          <w:rFonts w:ascii="Arial" w:eastAsia="Arial" w:hAnsi="Arial" w:cs="Arial"/>
          <w:sz w:val="22"/>
          <w:szCs w:val="22"/>
          <w:lang w:val="es-ES_tradnl" w:eastAsia="es-ES" w:bidi="es-ES"/>
        </w:rPr>
        <w:t>, refiriéndose al parágrafo del artículo 38 de la Ley 996 de 2005, expresa:</w:t>
      </w:r>
    </w:p>
    <w:p w14:paraId="29987341" w14:textId="77777777" w:rsidR="000A0DF7" w:rsidRPr="009B27A5"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8A56A9" w14:textId="77777777" w:rsidR="000A0DF7" w:rsidRPr="009B27A5" w:rsidRDefault="000A0DF7" w:rsidP="000A0DF7">
      <w:pPr>
        <w:spacing w:after="120"/>
        <w:ind w:left="709"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E2B6743" w14:textId="77777777" w:rsidR="000A0DF7" w:rsidRPr="009B27A5" w:rsidRDefault="000A0DF7" w:rsidP="000A0DF7">
      <w:pPr>
        <w:spacing w:after="120"/>
        <w:ind w:left="709" w:right="709"/>
        <w:jc w:val="both"/>
        <w:rPr>
          <w:rFonts w:ascii="Arial" w:eastAsiaTheme="minorHAnsi" w:hAnsi="Arial" w:cs="Arial"/>
          <w:sz w:val="21"/>
          <w:szCs w:val="21"/>
          <w:lang w:val="es-ES_tradnl" w:eastAsia="en-US"/>
        </w:rPr>
      </w:pPr>
      <w:r w:rsidRPr="009B27A5">
        <w:rPr>
          <w:rFonts w:ascii="Arial" w:eastAsiaTheme="minorHAnsi" w:hAnsi="Arial" w:cs="Arial"/>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255552" w14:textId="77777777" w:rsidR="000A0DF7" w:rsidRPr="009B27A5" w:rsidRDefault="000A0DF7" w:rsidP="000A0DF7">
      <w:pPr>
        <w:ind w:left="709" w:right="709"/>
        <w:jc w:val="both"/>
        <w:rPr>
          <w:rFonts w:ascii="Arial" w:eastAsiaTheme="minorHAnsi" w:hAnsi="Arial" w:cs="Arial"/>
          <w:szCs w:val="22"/>
          <w:lang w:val="es-ES_tradnl" w:eastAsia="en-US"/>
        </w:rPr>
      </w:pPr>
      <w:r w:rsidRPr="009B27A5">
        <w:rPr>
          <w:rFonts w:ascii="Arial" w:eastAsiaTheme="minorHAnsi" w:hAnsi="Arial" w:cs="Arial"/>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D471EC8" w14:textId="77777777" w:rsidR="000A0DF7" w:rsidRPr="009B27A5" w:rsidRDefault="000A0DF7" w:rsidP="000A0DF7">
      <w:pPr>
        <w:widowControl w:val="0"/>
        <w:autoSpaceDE w:val="0"/>
        <w:autoSpaceDN w:val="0"/>
        <w:spacing w:before="3" w:line="276" w:lineRule="auto"/>
        <w:jc w:val="both"/>
        <w:rPr>
          <w:rFonts w:ascii="Arial" w:eastAsia="Arial" w:hAnsi="Arial" w:cs="Arial"/>
          <w:sz w:val="22"/>
          <w:szCs w:val="22"/>
          <w:lang w:val="es-ES_tradnl" w:eastAsia="es-ES" w:bidi="es-ES"/>
        </w:rPr>
      </w:pPr>
    </w:p>
    <w:p w14:paraId="4C749906" w14:textId="77777777" w:rsidR="000A0DF7" w:rsidRPr="009B27A5" w:rsidRDefault="000A0DF7" w:rsidP="000A0DF7">
      <w:pPr>
        <w:widowControl w:val="0"/>
        <w:autoSpaceDE w:val="0"/>
        <w:autoSpaceDN w:val="0"/>
        <w:spacing w:after="120" w:line="276" w:lineRule="auto"/>
        <w:jc w:val="both"/>
        <w:rPr>
          <w:rFonts w:ascii="Arial" w:eastAsia="Calibri" w:hAnsi="Arial" w:cs="Arial"/>
          <w:bCs/>
          <w:sz w:val="22"/>
          <w:szCs w:val="22"/>
          <w:lang w:val="es-ES_tradnl" w:eastAsia="es-ES" w:bidi="es-ES"/>
        </w:rPr>
      </w:pPr>
      <w:r w:rsidRPr="009B27A5">
        <w:rPr>
          <w:rFonts w:ascii="Arial" w:eastAsia="Arial" w:hAnsi="Arial" w:cs="Arial"/>
          <w:sz w:val="25"/>
          <w:szCs w:val="22"/>
          <w:lang w:val="es-ES_tradnl" w:eastAsia="es-ES" w:bidi="es-ES"/>
        </w:rPr>
        <w:tab/>
      </w:r>
      <w:r w:rsidRPr="009B27A5">
        <w:rPr>
          <w:rFonts w:ascii="Arial" w:eastAsia="Arial" w:hAnsi="Arial" w:cs="Arial"/>
          <w:sz w:val="22"/>
          <w:szCs w:val="22"/>
          <w:lang w:val="es-ES_tradnl" w:eastAsia="es-ES" w:bidi="es-ES"/>
        </w:rPr>
        <w:t xml:space="preserve">Teniendo en cuenta lo anterior, se reitera la conclusión en el sentido de que lo que define los contratos o convenios interadministrativos es la naturaleza de las partes, de </w:t>
      </w:r>
      <w:r w:rsidRPr="009B27A5">
        <w:rPr>
          <w:rFonts w:ascii="Arial" w:eastAsia="Arial" w:hAnsi="Arial" w:cs="Arial"/>
          <w:sz w:val="22"/>
          <w:szCs w:val="22"/>
          <w:lang w:val="es-ES_tradnl" w:eastAsia="es-ES" w:bidi="es-ES"/>
        </w:rPr>
        <w:lastRenderedPageBreak/>
        <w:t>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2"/>
    </w:p>
    <w:p w14:paraId="301F6820" w14:textId="77777777" w:rsidR="000A0DF7" w:rsidRPr="009B27A5" w:rsidRDefault="000A0DF7" w:rsidP="000A0DF7">
      <w:pPr>
        <w:tabs>
          <w:tab w:val="left" w:pos="426"/>
        </w:tabs>
        <w:spacing w:after="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B27A5">
        <w:rPr>
          <w:rFonts w:ascii="Arial" w:hAnsi="Arial" w:cs="Arial"/>
          <w:bCs/>
          <w:i/>
          <w:iCs/>
          <w:sz w:val="22"/>
          <w:szCs w:val="22"/>
          <w:lang w:val="es-ES_tradnl" w:eastAsia="es-CO"/>
        </w:rPr>
        <w:t>ibidem</w:t>
      </w:r>
      <w:r w:rsidRPr="009B27A5">
        <w:rPr>
          <w:rFonts w:ascii="Arial" w:hAnsi="Arial" w:cs="Arial"/>
          <w:bCs/>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9B27A5">
        <w:rPr>
          <w:rStyle w:val="Refdenotaalpie"/>
          <w:rFonts w:ascii="Arial" w:hAnsi="Arial" w:cs="Arial"/>
          <w:bCs/>
          <w:sz w:val="22"/>
          <w:szCs w:val="22"/>
          <w:lang w:val="es-ES_tradnl" w:eastAsia="es-CO"/>
        </w:rPr>
        <w:footnoteReference w:id="39"/>
      </w:r>
      <w:r w:rsidRPr="009B27A5">
        <w:rPr>
          <w:rFonts w:ascii="Arial" w:hAnsi="Arial" w:cs="Arial"/>
          <w:bCs/>
          <w:sz w:val="22"/>
          <w:szCs w:val="22"/>
          <w:lang w:val="es-ES_tradnl" w:eastAsia="es-CO"/>
        </w:rPr>
        <w:t xml:space="preserve">. </w:t>
      </w:r>
    </w:p>
    <w:p w14:paraId="3FEA7183" w14:textId="77777777" w:rsidR="000A0DF7" w:rsidRPr="009B27A5" w:rsidRDefault="000A0DF7" w:rsidP="000A0DF7">
      <w:pPr>
        <w:widowControl w:val="0"/>
        <w:autoSpaceDE w:val="0"/>
        <w:autoSpaceDN w:val="0"/>
        <w:spacing w:line="276" w:lineRule="auto"/>
        <w:ind w:firstLine="709"/>
        <w:jc w:val="both"/>
        <w:rPr>
          <w:rFonts w:ascii="Arial" w:hAnsi="Arial" w:cs="Arial"/>
          <w:bCs/>
          <w:iCs/>
          <w:sz w:val="22"/>
          <w:szCs w:val="22"/>
          <w:lang w:val="es-ES_tradnl" w:eastAsia="x-none" w:bidi="es-ES"/>
        </w:rPr>
      </w:pPr>
      <w:r w:rsidRPr="009B27A5">
        <w:rPr>
          <w:rFonts w:ascii="Arial" w:hAnsi="Arial" w:cs="Arial"/>
          <w:bCs/>
          <w:sz w:val="22"/>
          <w:szCs w:val="22"/>
          <w:lang w:val="es-ES_tradnl" w:eastAsia="es-CO" w:bidi="es-ES"/>
        </w:rPr>
        <w:t>En todo caso</w:t>
      </w:r>
      <w:bookmarkStart w:id="13" w:name="_Hlk77154098"/>
      <w:r w:rsidRPr="009B27A5">
        <w:rPr>
          <w:rFonts w:ascii="Arial" w:eastAsia="Arial" w:hAnsi="Arial" w:cs="Arial"/>
          <w:sz w:val="22"/>
          <w:szCs w:val="22"/>
          <w:lang w:val="es-ES_tradnl" w:eastAsia="es-ES" w:bidi="es-ES"/>
        </w:rPr>
        <w:t xml:space="preserve">, es importante resaltar que la Sala de Consulta y Servicio Civil del Consejo de Estado se ha pronunciado en el sentido de que </w:t>
      </w:r>
      <w:bookmarkStart w:id="14" w:name="_Hlk78820889"/>
      <w:r w:rsidRPr="009B27A5">
        <w:rPr>
          <w:rFonts w:ascii="Arial" w:eastAsia="Arial" w:hAnsi="Arial" w:cs="Arial"/>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4"/>
      <w:r w:rsidRPr="009B27A5">
        <w:rPr>
          <w:rFonts w:ascii="Arial" w:eastAsia="Arial" w:hAnsi="Arial" w:cs="Arial"/>
          <w:sz w:val="22"/>
          <w:szCs w:val="22"/>
          <w:vertAlign w:val="superscript"/>
          <w:lang w:val="es-ES_tradnl" w:eastAsia="es-ES" w:bidi="es-ES"/>
        </w:rPr>
        <w:footnoteReference w:id="40"/>
      </w:r>
      <w:r w:rsidRPr="009B27A5">
        <w:rPr>
          <w:rFonts w:ascii="Arial" w:eastAsia="Calibri" w:hAnsi="Arial" w:cs="Arial"/>
          <w:sz w:val="22"/>
          <w:szCs w:val="22"/>
          <w:lang w:val="es-ES_tradnl" w:eastAsia="es-ES" w:bidi="es-ES"/>
        </w:rPr>
        <w:t>.</w:t>
      </w:r>
      <w:bookmarkEnd w:id="13"/>
    </w:p>
    <w:bookmarkEnd w:id="9"/>
    <w:p w14:paraId="201178EC" w14:textId="77777777" w:rsidR="000A0DF7" w:rsidRPr="009B27A5" w:rsidRDefault="000A0DF7" w:rsidP="000A0DF7">
      <w:pPr>
        <w:spacing w:line="276" w:lineRule="auto"/>
        <w:jc w:val="both"/>
        <w:rPr>
          <w:rFonts w:ascii="Arial" w:hAnsi="Arial" w:cs="Arial"/>
          <w:b/>
          <w:color w:val="000000" w:themeColor="text1"/>
          <w:sz w:val="22"/>
          <w:lang w:val="es-ES_tradnl"/>
        </w:rPr>
      </w:pPr>
    </w:p>
    <w:p w14:paraId="5958B067" w14:textId="35B703B1" w:rsidR="000A0DF7" w:rsidRPr="009B27A5" w:rsidRDefault="000A0DF7" w:rsidP="000A0DF7">
      <w:pPr>
        <w:tabs>
          <w:tab w:val="left" w:pos="426"/>
        </w:tabs>
        <w:spacing w:line="276" w:lineRule="auto"/>
        <w:jc w:val="both"/>
        <w:rPr>
          <w:rFonts w:ascii="Arial" w:hAnsi="Arial" w:cs="Arial"/>
          <w:b/>
          <w:sz w:val="22"/>
          <w:szCs w:val="22"/>
          <w:lang w:val="es-ES_tradnl" w:eastAsia="es-CO"/>
        </w:rPr>
      </w:pPr>
      <w:r w:rsidRPr="009B27A5">
        <w:rPr>
          <w:rFonts w:ascii="Arial" w:hAnsi="Arial" w:cs="Arial"/>
          <w:b/>
          <w:color w:val="000000" w:themeColor="text1"/>
          <w:sz w:val="22"/>
          <w:lang w:val="es-ES_tradnl"/>
        </w:rPr>
        <w:t>2.</w:t>
      </w:r>
      <w:r w:rsidR="00CC7414" w:rsidRPr="009B27A5">
        <w:rPr>
          <w:rFonts w:ascii="Arial" w:hAnsi="Arial" w:cs="Arial"/>
          <w:b/>
          <w:color w:val="000000" w:themeColor="text1"/>
          <w:sz w:val="22"/>
          <w:lang w:val="es-ES_tradnl"/>
        </w:rPr>
        <w:t>4</w:t>
      </w:r>
      <w:r w:rsidRPr="009B27A5">
        <w:rPr>
          <w:rFonts w:ascii="Arial" w:hAnsi="Arial" w:cs="Arial"/>
          <w:b/>
          <w:color w:val="000000" w:themeColor="text1"/>
          <w:sz w:val="22"/>
          <w:lang w:val="es-ES_tradnl"/>
        </w:rPr>
        <w:t xml:space="preserve">. </w:t>
      </w:r>
      <w:r w:rsidR="001251F7" w:rsidRPr="009B27A5">
        <w:rPr>
          <w:rFonts w:ascii="Arial" w:hAnsi="Arial" w:cs="Arial"/>
          <w:b/>
          <w:sz w:val="22"/>
          <w:szCs w:val="22"/>
          <w:lang w:val="es-ES_tradnl" w:eastAsia="es-CO"/>
        </w:rPr>
        <w:t>I</w:t>
      </w:r>
      <w:r w:rsidR="00C12475" w:rsidRPr="009B27A5">
        <w:rPr>
          <w:rFonts w:ascii="Arial" w:hAnsi="Arial" w:cs="Arial"/>
          <w:b/>
          <w:sz w:val="22"/>
          <w:szCs w:val="22"/>
          <w:lang w:val="es-ES_tradnl" w:eastAsia="es-CO"/>
        </w:rPr>
        <w:t>naplicación de las restricciones consagradas en la Ley de Garantías Electorales a la trans</w:t>
      </w:r>
      <w:r w:rsidR="007D6FE9" w:rsidRPr="009B27A5">
        <w:rPr>
          <w:rFonts w:ascii="Arial" w:hAnsi="Arial" w:cs="Arial"/>
          <w:b/>
          <w:sz w:val="22"/>
          <w:szCs w:val="22"/>
          <w:lang w:val="es-ES_tradnl" w:eastAsia="es-CO"/>
        </w:rPr>
        <w:t>ferencia mediante acto administrativo</w:t>
      </w:r>
      <w:r w:rsidR="008E331C" w:rsidRPr="009B27A5">
        <w:rPr>
          <w:rFonts w:ascii="Arial" w:hAnsi="Arial" w:cs="Arial"/>
          <w:b/>
          <w:sz w:val="22"/>
          <w:szCs w:val="22"/>
          <w:lang w:val="es-ES_tradnl" w:eastAsia="es-CO"/>
        </w:rPr>
        <w:t xml:space="preserve"> por parte de Unidad Nacional de Gestión de Riesgo de Desastre</w:t>
      </w:r>
      <w:r w:rsidR="00A17941" w:rsidRPr="009B27A5">
        <w:rPr>
          <w:rFonts w:ascii="Arial" w:hAnsi="Arial" w:cs="Arial"/>
          <w:b/>
          <w:sz w:val="22"/>
          <w:szCs w:val="22"/>
          <w:lang w:val="es-ES_tradnl" w:eastAsia="es-CO"/>
        </w:rPr>
        <w:t>, prevista en el artículo 9 del Decreto Legislativo 559 de 2020</w:t>
      </w:r>
    </w:p>
    <w:p w14:paraId="3A7441E0" w14:textId="77777777" w:rsidR="000A0DF7" w:rsidRPr="009B27A5" w:rsidRDefault="000A0DF7" w:rsidP="000A0DF7">
      <w:pPr>
        <w:tabs>
          <w:tab w:val="left" w:pos="426"/>
        </w:tabs>
        <w:spacing w:line="276" w:lineRule="auto"/>
        <w:jc w:val="both"/>
        <w:rPr>
          <w:rFonts w:ascii="Arial" w:hAnsi="Arial" w:cs="Arial"/>
          <w:bCs/>
          <w:sz w:val="22"/>
          <w:szCs w:val="22"/>
          <w:lang w:val="es-ES_tradnl" w:eastAsia="es-CO"/>
        </w:rPr>
      </w:pPr>
    </w:p>
    <w:p w14:paraId="12B56764" w14:textId="3F9DD7FD" w:rsidR="000A0DF7" w:rsidRPr="009B27A5" w:rsidRDefault="00042F9C" w:rsidP="00C83D95">
      <w:pPr>
        <w:spacing w:line="276" w:lineRule="auto"/>
        <w:jc w:val="both"/>
        <w:rPr>
          <w:rFonts w:ascii="Arial" w:hAnsi="Arial" w:cs="Arial"/>
          <w:bCs/>
          <w:sz w:val="22"/>
          <w:szCs w:val="22"/>
          <w:lang w:val="es-ES_tradnl" w:eastAsia="es-CO"/>
        </w:rPr>
      </w:pPr>
      <w:r w:rsidRPr="009B27A5">
        <w:rPr>
          <w:rFonts w:ascii="Arial" w:hAnsi="Arial" w:cs="Arial"/>
          <w:bCs/>
          <w:sz w:val="22"/>
          <w:szCs w:val="22"/>
          <w:lang w:val="es-ES_tradnl" w:eastAsia="es-CO"/>
        </w:rPr>
        <w:t>Para la interpretación de las disposiciones normativas es importante</w:t>
      </w:r>
      <w:r w:rsidR="00B51D2C" w:rsidRPr="009B27A5">
        <w:rPr>
          <w:rFonts w:ascii="Arial" w:hAnsi="Arial" w:cs="Arial"/>
          <w:bCs/>
          <w:sz w:val="22"/>
          <w:szCs w:val="22"/>
          <w:lang w:val="es-ES_tradnl" w:eastAsia="es-CO"/>
        </w:rPr>
        <w:t xml:space="preserve"> considerar el sector de </w:t>
      </w:r>
      <w:r w:rsidR="00552FB2" w:rsidRPr="009B27A5">
        <w:rPr>
          <w:rFonts w:ascii="Arial" w:hAnsi="Arial" w:cs="Arial"/>
          <w:bCs/>
          <w:sz w:val="22"/>
          <w:szCs w:val="22"/>
          <w:lang w:val="es-ES_tradnl" w:eastAsia="es-CO"/>
        </w:rPr>
        <w:t>referencia</w:t>
      </w:r>
      <w:r w:rsidR="00B51D2C" w:rsidRPr="009B27A5">
        <w:rPr>
          <w:rFonts w:ascii="Arial" w:hAnsi="Arial" w:cs="Arial"/>
          <w:bCs/>
          <w:sz w:val="22"/>
          <w:szCs w:val="22"/>
          <w:lang w:val="es-ES_tradnl" w:eastAsia="es-CO"/>
        </w:rPr>
        <w:t xml:space="preserve"> en el que rigen y</w:t>
      </w:r>
      <w:r w:rsidR="00E403BC" w:rsidRPr="009B27A5">
        <w:rPr>
          <w:rFonts w:ascii="Arial" w:hAnsi="Arial" w:cs="Arial"/>
          <w:bCs/>
          <w:sz w:val="22"/>
          <w:szCs w:val="22"/>
          <w:lang w:val="es-ES_tradnl" w:eastAsia="es-CO"/>
        </w:rPr>
        <w:t xml:space="preserve"> el momento de su expedición. El primer criterio se corresponde con la </w:t>
      </w:r>
      <w:r w:rsidR="00E403BC" w:rsidRPr="009B27A5">
        <w:rPr>
          <w:rFonts w:ascii="Arial" w:hAnsi="Arial" w:cs="Arial"/>
          <w:bCs/>
          <w:i/>
          <w:iCs/>
          <w:sz w:val="22"/>
          <w:szCs w:val="22"/>
          <w:lang w:val="es-ES_tradnl" w:eastAsia="es-CO"/>
        </w:rPr>
        <w:t>especialidad</w:t>
      </w:r>
      <w:r w:rsidR="00E403BC" w:rsidRPr="009B27A5">
        <w:rPr>
          <w:rFonts w:ascii="Arial" w:hAnsi="Arial" w:cs="Arial"/>
          <w:bCs/>
          <w:sz w:val="22"/>
          <w:szCs w:val="22"/>
          <w:lang w:val="es-ES_tradnl" w:eastAsia="es-CO"/>
        </w:rPr>
        <w:t xml:space="preserve"> de la norma. </w:t>
      </w:r>
      <w:r w:rsidR="000B4D46" w:rsidRPr="009B27A5">
        <w:rPr>
          <w:rFonts w:ascii="Arial" w:hAnsi="Arial" w:cs="Arial"/>
          <w:bCs/>
          <w:sz w:val="22"/>
          <w:szCs w:val="22"/>
          <w:lang w:val="es-ES_tradnl" w:eastAsia="es-CO"/>
        </w:rPr>
        <w:t xml:space="preserve">La Corte Constitucional ha </w:t>
      </w:r>
      <w:r w:rsidR="00C838B0" w:rsidRPr="009B27A5">
        <w:rPr>
          <w:rFonts w:ascii="Arial" w:hAnsi="Arial" w:cs="Arial"/>
          <w:bCs/>
          <w:sz w:val="22"/>
          <w:szCs w:val="22"/>
          <w:lang w:val="es-ES_tradnl" w:eastAsia="es-CO"/>
        </w:rPr>
        <w:t xml:space="preserve">prohijado esta pauta de interpretación, afirmando que «Conforme al criterio unánime de la doctrina jurídica, las </w:t>
      </w:r>
      <w:r w:rsidR="00C838B0" w:rsidRPr="009B27A5">
        <w:rPr>
          <w:rFonts w:ascii="Arial" w:hAnsi="Arial" w:cs="Arial"/>
          <w:bCs/>
          <w:sz w:val="22"/>
          <w:szCs w:val="22"/>
          <w:lang w:val="es-ES_tradnl" w:eastAsia="es-CO"/>
        </w:rPr>
        <w:lastRenderedPageBreak/>
        <w:t>normas especiales prevalecen sobre las normas generales. Así lo contempla en forma general el ordenamiento legal colombiano, al preceptuar en el Art. 5º de la Ley 57 de 1887 que</w:t>
      </w:r>
      <w:r w:rsidR="002C37FA" w:rsidRPr="009B27A5">
        <w:rPr>
          <w:rFonts w:ascii="Arial" w:hAnsi="Arial" w:cs="Arial"/>
          <w:bCs/>
          <w:sz w:val="22"/>
          <w:szCs w:val="22"/>
          <w:lang w:val="es-ES_tradnl" w:eastAsia="es-CO"/>
        </w:rPr>
        <w:t xml:space="preserve"> […]</w:t>
      </w:r>
      <w:r w:rsidR="00C838B0" w:rsidRPr="009B27A5">
        <w:rPr>
          <w:rFonts w:ascii="Arial" w:hAnsi="Arial" w:cs="Arial"/>
          <w:bCs/>
          <w:sz w:val="22"/>
          <w:szCs w:val="22"/>
          <w:lang w:val="es-ES_tradnl" w:eastAsia="es-CO"/>
        </w:rPr>
        <w:t>, “la disposición relativa a un asunto especial prefiere a la que tenga carácter general”</w:t>
      </w:r>
      <w:r w:rsidR="00967100" w:rsidRPr="009B27A5">
        <w:rPr>
          <w:rFonts w:ascii="Arial" w:hAnsi="Arial" w:cs="Arial"/>
          <w:bCs/>
          <w:sz w:val="22"/>
          <w:szCs w:val="22"/>
          <w:lang w:val="es-ES_tradnl" w:eastAsia="es-CO"/>
        </w:rPr>
        <w:t>»</w:t>
      </w:r>
      <w:r w:rsidR="00967100" w:rsidRPr="009B27A5">
        <w:rPr>
          <w:rStyle w:val="Refdenotaalpie"/>
          <w:rFonts w:ascii="Arial" w:hAnsi="Arial" w:cs="Arial"/>
          <w:bCs/>
          <w:sz w:val="22"/>
          <w:szCs w:val="22"/>
          <w:lang w:val="es-ES_tradnl" w:eastAsia="es-CO"/>
        </w:rPr>
        <w:footnoteReference w:id="41"/>
      </w:r>
      <w:r w:rsidR="00C838B0" w:rsidRPr="009B27A5">
        <w:rPr>
          <w:rFonts w:ascii="Arial" w:hAnsi="Arial" w:cs="Arial"/>
          <w:bCs/>
          <w:sz w:val="22"/>
          <w:szCs w:val="22"/>
          <w:lang w:val="es-ES_tradnl" w:eastAsia="es-CO"/>
        </w:rPr>
        <w:t>.</w:t>
      </w:r>
      <w:r w:rsidR="00C83D95" w:rsidRPr="009B27A5">
        <w:rPr>
          <w:rFonts w:ascii="Arial" w:hAnsi="Arial" w:cs="Arial"/>
          <w:bCs/>
          <w:sz w:val="22"/>
          <w:szCs w:val="22"/>
          <w:lang w:val="es-ES_tradnl" w:eastAsia="es-CO"/>
        </w:rPr>
        <w:t xml:space="preserve"> </w:t>
      </w:r>
      <w:r w:rsidR="0093133D" w:rsidRPr="009B27A5">
        <w:rPr>
          <w:rFonts w:ascii="Arial" w:hAnsi="Arial" w:cs="Arial"/>
          <w:bCs/>
          <w:sz w:val="22"/>
          <w:szCs w:val="22"/>
          <w:lang w:val="es-ES_tradnl" w:eastAsia="es-CO"/>
        </w:rPr>
        <w:t>El segundo</w:t>
      </w:r>
      <w:r w:rsidR="00C83D95" w:rsidRPr="009B27A5">
        <w:rPr>
          <w:rFonts w:ascii="Arial" w:hAnsi="Arial" w:cs="Arial"/>
          <w:bCs/>
          <w:sz w:val="22"/>
          <w:szCs w:val="22"/>
          <w:lang w:val="es-ES_tradnl" w:eastAsia="es-CO"/>
        </w:rPr>
        <w:t xml:space="preserve"> criterio,</w:t>
      </w:r>
      <w:r w:rsidR="0093133D" w:rsidRPr="009B27A5">
        <w:rPr>
          <w:rFonts w:ascii="Arial" w:hAnsi="Arial" w:cs="Arial"/>
          <w:bCs/>
          <w:sz w:val="22"/>
          <w:szCs w:val="22"/>
          <w:lang w:val="es-ES_tradnl" w:eastAsia="es-CO"/>
        </w:rPr>
        <w:t xml:space="preserve"> </w:t>
      </w:r>
      <w:r w:rsidR="00C83D95" w:rsidRPr="009B27A5">
        <w:rPr>
          <w:rFonts w:ascii="Arial" w:hAnsi="Arial" w:cs="Arial"/>
          <w:bCs/>
          <w:sz w:val="22"/>
          <w:szCs w:val="22"/>
          <w:lang w:val="es-ES_tradnl" w:eastAsia="es-CO"/>
        </w:rPr>
        <w:t>concerniente a la</w:t>
      </w:r>
      <w:r w:rsidR="0093133D" w:rsidRPr="009B27A5">
        <w:rPr>
          <w:rFonts w:ascii="Arial" w:hAnsi="Arial" w:cs="Arial"/>
          <w:bCs/>
          <w:sz w:val="22"/>
          <w:szCs w:val="22"/>
          <w:lang w:val="es-ES_tradnl" w:eastAsia="es-CO"/>
        </w:rPr>
        <w:t xml:space="preserve"> </w:t>
      </w:r>
      <w:r w:rsidR="0093133D" w:rsidRPr="009B27A5">
        <w:rPr>
          <w:rFonts w:ascii="Arial" w:hAnsi="Arial" w:cs="Arial"/>
          <w:bCs/>
          <w:i/>
          <w:iCs/>
          <w:sz w:val="22"/>
          <w:szCs w:val="22"/>
          <w:lang w:val="es-ES_tradnl" w:eastAsia="es-CO"/>
        </w:rPr>
        <w:t>temporalidad</w:t>
      </w:r>
      <w:r w:rsidR="00C83D95" w:rsidRPr="009B27A5">
        <w:rPr>
          <w:rFonts w:ascii="Arial" w:hAnsi="Arial" w:cs="Arial"/>
          <w:bCs/>
          <w:sz w:val="22"/>
          <w:szCs w:val="22"/>
          <w:lang w:val="es-ES_tradnl" w:eastAsia="es-CO"/>
        </w:rPr>
        <w:t xml:space="preserve">, está dispuesto con alcance general en el artículo </w:t>
      </w:r>
      <w:r w:rsidR="002D3355" w:rsidRPr="009B27A5">
        <w:rPr>
          <w:rFonts w:ascii="Arial" w:hAnsi="Arial" w:cs="Arial"/>
          <w:bCs/>
          <w:sz w:val="22"/>
          <w:szCs w:val="22"/>
          <w:lang w:val="es-ES_tradnl" w:eastAsia="es-CO"/>
        </w:rPr>
        <w:t xml:space="preserve">2 de la Ley 153 de 1887, que establece: «La ley posterior prevalece sobre la ley anterior. En caso de que una ley posterior sea contraria </w:t>
      </w:r>
      <w:r w:rsidR="00817D03" w:rsidRPr="009B27A5">
        <w:rPr>
          <w:rFonts w:ascii="Arial" w:hAnsi="Arial" w:cs="Arial"/>
          <w:bCs/>
          <w:sz w:val="22"/>
          <w:szCs w:val="22"/>
          <w:lang w:val="es-ES_tradnl" w:eastAsia="es-CO"/>
        </w:rPr>
        <w:t>a</w:t>
      </w:r>
      <w:r w:rsidR="002D3355" w:rsidRPr="009B27A5">
        <w:rPr>
          <w:rFonts w:ascii="Arial" w:hAnsi="Arial" w:cs="Arial"/>
          <w:bCs/>
          <w:sz w:val="22"/>
          <w:szCs w:val="22"/>
          <w:lang w:val="es-ES_tradnl" w:eastAsia="es-CO"/>
        </w:rPr>
        <w:t xml:space="preserve"> otra anterior, y ambas preexistentes al hecho que se juzga, se aplicará la ley posterior».</w:t>
      </w:r>
    </w:p>
    <w:p w14:paraId="5E4F11FC" w14:textId="5577898C" w:rsidR="00B80BFD" w:rsidRPr="009B27A5" w:rsidRDefault="00817D03" w:rsidP="00B80BFD">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Como se indicó en los numerales anteriores de este concepto, la Ley 996 de 2005 consagra</w:t>
      </w:r>
      <w:r w:rsidR="00471FD5" w:rsidRPr="009B27A5">
        <w:rPr>
          <w:rFonts w:ascii="Arial" w:hAnsi="Arial" w:cs="Arial"/>
          <w:bCs/>
          <w:sz w:val="22"/>
          <w:szCs w:val="22"/>
          <w:lang w:val="es-ES_tradnl" w:eastAsia="es-CO"/>
        </w:rPr>
        <w:t>, en los artículos 33 y 38, restricciones generales para contratar</w:t>
      </w:r>
      <w:r w:rsidR="00B471FE" w:rsidRPr="009B27A5">
        <w:rPr>
          <w:rFonts w:ascii="Arial" w:hAnsi="Arial" w:cs="Arial"/>
          <w:bCs/>
          <w:sz w:val="22"/>
          <w:szCs w:val="22"/>
          <w:lang w:val="es-ES_tradnl" w:eastAsia="es-CO"/>
        </w:rPr>
        <w:t xml:space="preserve"> directamente y para celebrar contratos interadministrativos</w:t>
      </w:r>
      <w:r w:rsidR="00471FD5" w:rsidRPr="009B27A5">
        <w:rPr>
          <w:rFonts w:ascii="Arial" w:hAnsi="Arial" w:cs="Arial"/>
          <w:bCs/>
          <w:sz w:val="22"/>
          <w:szCs w:val="22"/>
          <w:lang w:val="es-ES_tradnl" w:eastAsia="es-CO"/>
        </w:rPr>
        <w:t xml:space="preserve"> por parte de las entidades estatales</w:t>
      </w:r>
      <w:r w:rsidR="00B471FE" w:rsidRPr="009B27A5">
        <w:rPr>
          <w:rFonts w:ascii="Arial" w:hAnsi="Arial" w:cs="Arial"/>
          <w:bCs/>
          <w:sz w:val="22"/>
          <w:szCs w:val="22"/>
          <w:lang w:val="es-ES_tradnl" w:eastAsia="es-CO"/>
        </w:rPr>
        <w:t xml:space="preserve">, </w:t>
      </w:r>
      <w:r w:rsidR="00471FD5" w:rsidRPr="009B27A5">
        <w:rPr>
          <w:rFonts w:ascii="Arial" w:hAnsi="Arial" w:cs="Arial"/>
          <w:bCs/>
          <w:sz w:val="22"/>
          <w:szCs w:val="22"/>
          <w:lang w:val="es-ES_tradnl" w:eastAsia="es-CO"/>
        </w:rPr>
        <w:t>en los períodos previos a las elecciones que en dicha ley se definen.</w:t>
      </w:r>
      <w:r w:rsidR="00552FB2" w:rsidRPr="009B27A5">
        <w:rPr>
          <w:rFonts w:ascii="Arial" w:hAnsi="Arial" w:cs="Arial"/>
          <w:bCs/>
          <w:sz w:val="22"/>
          <w:szCs w:val="22"/>
          <w:lang w:val="es-ES_tradnl" w:eastAsia="es-CO"/>
        </w:rPr>
        <w:t xml:space="preserve"> Ahora bien, de allí no se sigue que cualquier forma de transferencia directa de recursos </w:t>
      </w:r>
      <w:r w:rsidR="002B680A" w:rsidRPr="009B27A5">
        <w:rPr>
          <w:rFonts w:ascii="Arial" w:hAnsi="Arial" w:cs="Arial"/>
          <w:bCs/>
          <w:sz w:val="22"/>
          <w:szCs w:val="22"/>
          <w:lang w:val="es-ES_tradnl" w:eastAsia="es-CO"/>
        </w:rPr>
        <w:t>ingrese en el</w:t>
      </w:r>
      <w:r w:rsidR="003C480A" w:rsidRPr="009B27A5">
        <w:rPr>
          <w:rFonts w:ascii="Arial" w:hAnsi="Arial" w:cs="Arial"/>
          <w:bCs/>
          <w:sz w:val="22"/>
          <w:szCs w:val="22"/>
          <w:lang w:val="es-ES_tradnl" w:eastAsia="es-CO"/>
        </w:rPr>
        <w:t xml:space="preserve"> ámbito de aplicación</w:t>
      </w:r>
      <w:r w:rsidR="002B680A" w:rsidRPr="009B27A5">
        <w:rPr>
          <w:rFonts w:ascii="Arial" w:hAnsi="Arial" w:cs="Arial"/>
          <w:bCs/>
          <w:sz w:val="22"/>
          <w:szCs w:val="22"/>
          <w:lang w:val="es-ES_tradnl" w:eastAsia="es-CO"/>
        </w:rPr>
        <w:t xml:space="preserve"> de las prohibiciones previstas en la ley de garantías electorales.</w:t>
      </w:r>
      <w:r w:rsidR="00616B1C" w:rsidRPr="009B27A5">
        <w:rPr>
          <w:rFonts w:ascii="Arial" w:hAnsi="Arial" w:cs="Arial"/>
          <w:bCs/>
          <w:sz w:val="22"/>
          <w:szCs w:val="22"/>
          <w:lang w:val="es-ES_tradnl" w:eastAsia="es-CO"/>
        </w:rPr>
        <w:t xml:space="preserve"> </w:t>
      </w:r>
      <w:r w:rsidR="003C480A" w:rsidRPr="009B27A5">
        <w:rPr>
          <w:rFonts w:ascii="Arial" w:hAnsi="Arial" w:cs="Arial"/>
          <w:bCs/>
          <w:sz w:val="22"/>
          <w:szCs w:val="22"/>
          <w:lang w:val="es-ES_tradnl" w:eastAsia="es-CO"/>
        </w:rPr>
        <w:t>Debe destacarse</w:t>
      </w:r>
      <w:r w:rsidR="00616B1C" w:rsidRPr="009B27A5">
        <w:rPr>
          <w:rFonts w:ascii="Arial" w:hAnsi="Arial" w:cs="Arial"/>
          <w:bCs/>
          <w:sz w:val="22"/>
          <w:szCs w:val="22"/>
          <w:lang w:val="es-ES_tradnl" w:eastAsia="es-CO"/>
        </w:rPr>
        <w:t xml:space="preserve"> que las disposiciones normativas que establecen prohibiciones</w:t>
      </w:r>
      <w:r w:rsidR="00243C4B" w:rsidRPr="009B27A5">
        <w:rPr>
          <w:rFonts w:ascii="Arial" w:hAnsi="Arial" w:cs="Arial"/>
          <w:bCs/>
          <w:sz w:val="22"/>
          <w:szCs w:val="22"/>
          <w:lang w:val="es-ES_tradnl" w:eastAsia="es-CO"/>
        </w:rPr>
        <w:t xml:space="preserve"> </w:t>
      </w:r>
      <w:r w:rsidR="00616B1C" w:rsidRPr="009B27A5">
        <w:rPr>
          <w:rFonts w:ascii="Arial" w:hAnsi="Arial" w:cs="Arial"/>
          <w:bCs/>
          <w:sz w:val="22"/>
          <w:szCs w:val="22"/>
          <w:lang w:val="es-ES_tradnl" w:eastAsia="es-CO"/>
        </w:rPr>
        <w:t>deben interpretar</w:t>
      </w:r>
      <w:r w:rsidR="00243C4B" w:rsidRPr="009B27A5">
        <w:rPr>
          <w:rFonts w:ascii="Arial" w:hAnsi="Arial" w:cs="Arial"/>
          <w:bCs/>
          <w:sz w:val="22"/>
          <w:szCs w:val="22"/>
          <w:lang w:val="es-ES_tradnl" w:eastAsia="es-CO"/>
        </w:rPr>
        <w:t>se</w:t>
      </w:r>
      <w:r w:rsidR="00616B1C" w:rsidRPr="009B27A5">
        <w:rPr>
          <w:rFonts w:ascii="Arial" w:hAnsi="Arial" w:cs="Arial"/>
          <w:bCs/>
          <w:sz w:val="22"/>
          <w:szCs w:val="22"/>
          <w:lang w:val="es-ES_tradnl" w:eastAsia="es-CO"/>
        </w:rPr>
        <w:t xml:space="preserve"> restrictivamente, para no ampliar de manera injustificada sus supuestos de hecho</w:t>
      </w:r>
      <w:r w:rsidR="00243C4B" w:rsidRPr="009B27A5">
        <w:rPr>
          <w:rFonts w:ascii="Arial" w:hAnsi="Arial" w:cs="Arial"/>
          <w:bCs/>
          <w:sz w:val="22"/>
          <w:szCs w:val="22"/>
          <w:lang w:val="es-ES_tradnl" w:eastAsia="es-CO"/>
        </w:rPr>
        <w:t xml:space="preserve"> a circunstancias que, en sentido lógico, no caben en aquellos.</w:t>
      </w:r>
      <w:r w:rsidR="008A4799" w:rsidRPr="009B27A5">
        <w:rPr>
          <w:rFonts w:ascii="Arial" w:hAnsi="Arial" w:cs="Arial"/>
          <w:bCs/>
          <w:sz w:val="22"/>
          <w:szCs w:val="22"/>
          <w:lang w:val="es-ES_tradnl" w:eastAsia="es-CO"/>
        </w:rPr>
        <w:t xml:space="preserve"> La Sala de Consulta y Servicio Civil del Consejo de Estado así lo sostuvo</w:t>
      </w:r>
      <w:r w:rsidR="00B80BFD" w:rsidRPr="009B27A5">
        <w:rPr>
          <w:rFonts w:ascii="Arial" w:hAnsi="Arial" w:cs="Arial"/>
          <w:bCs/>
          <w:sz w:val="22"/>
          <w:szCs w:val="22"/>
          <w:lang w:val="es-ES_tradnl" w:eastAsia="es-CO"/>
        </w:rPr>
        <w:t>, refiriéndose, precisamente, al alcance de las limitaciones contractuales contenidas en la ley de garantías electorales. Al respecto, afirmó:</w:t>
      </w:r>
    </w:p>
    <w:p w14:paraId="684F881F" w14:textId="77777777" w:rsidR="00B80BFD" w:rsidRPr="009B27A5" w:rsidRDefault="00B80BFD" w:rsidP="00B80BFD">
      <w:pPr>
        <w:pStyle w:val="NormalWeb"/>
        <w:shd w:val="clear" w:color="auto" w:fill="FFFFFF"/>
        <w:spacing w:before="0" w:beforeAutospacing="0" w:after="0" w:afterAutospacing="0"/>
        <w:ind w:left="709" w:right="709"/>
        <w:jc w:val="both"/>
        <w:rPr>
          <w:rFonts w:ascii="Arial" w:hAnsi="Arial" w:cs="Arial"/>
          <w:color w:val="333333"/>
          <w:sz w:val="21"/>
          <w:szCs w:val="21"/>
          <w:lang w:val="es-ES_tradnl"/>
        </w:rPr>
      </w:pPr>
    </w:p>
    <w:p w14:paraId="515828FE" w14:textId="4DA7D8E9" w:rsidR="00B80BFD" w:rsidRPr="009B27A5" w:rsidRDefault="00B80BFD" w:rsidP="00D119AA">
      <w:pPr>
        <w:pStyle w:val="NormalWeb"/>
        <w:shd w:val="clear" w:color="auto" w:fill="FFFFFF"/>
        <w:spacing w:before="0" w:beforeAutospacing="0" w:after="0" w:afterAutospacing="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B27A5">
        <w:rPr>
          <w:rFonts w:ascii="Arial" w:hAnsi="Arial" w:cs="Arial"/>
          <w:i/>
          <w:iCs/>
          <w:color w:val="000000" w:themeColor="text1"/>
          <w:sz w:val="21"/>
          <w:szCs w:val="21"/>
          <w:lang w:val="es-ES_tradnl"/>
        </w:rPr>
        <w:t>legis</w:t>
      </w:r>
      <w:proofErr w:type="spellEnd"/>
      <w:r w:rsidRPr="009B27A5">
        <w:rPr>
          <w:rFonts w:ascii="Arial" w:hAnsi="Arial" w:cs="Arial"/>
          <w:i/>
          <w:iCs/>
          <w:color w:val="000000" w:themeColor="text1"/>
          <w:sz w:val="21"/>
          <w:szCs w:val="21"/>
          <w:lang w:val="es-ES_tradnl"/>
        </w:rPr>
        <w:t> </w:t>
      </w:r>
      <w:r w:rsidRPr="009B27A5">
        <w:rPr>
          <w:rFonts w:ascii="Arial" w:hAnsi="Arial" w:cs="Arial"/>
          <w:color w:val="000000" w:themeColor="text1"/>
          <w:sz w:val="21"/>
          <w:szCs w:val="21"/>
          <w:lang w:val="es-ES_tradnl"/>
        </w:rPr>
        <w:t>o </w:t>
      </w:r>
      <w:r w:rsidRPr="009B27A5">
        <w:rPr>
          <w:rFonts w:ascii="Arial" w:hAnsi="Arial" w:cs="Arial"/>
          <w:i/>
          <w:iCs/>
          <w:color w:val="000000" w:themeColor="text1"/>
          <w:sz w:val="21"/>
          <w:szCs w:val="21"/>
          <w:lang w:val="es-ES_tradnl"/>
        </w:rPr>
        <w:t>iuris</w:t>
      </w:r>
      <w:r w:rsidRPr="009B27A5">
        <w:rPr>
          <w:rFonts w:ascii="Arial" w:hAnsi="Arial" w:cs="Arial"/>
          <w:color w:val="000000" w:themeColor="text1"/>
          <w:sz w:val="21"/>
          <w:szCs w:val="21"/>
          <w:lang w:val="es-ES_tradnl"/>
        </w:rPr>
        <w:t>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394ADF" w14:textId="48DAC798" w:rsidR="00D119AA" w:rsidRPr="009B27A5" w:rsidRDefault="00D119AA" w:rsidP="00C060C1">
      <w:pPr>
        <w:pStyle w:val="NormalWeb"/>
        <w:shd w:val="clear" w:color="auto" w:fill="FFFFFF"/>
        <w:spacing w:before="0" w:beforeAutospacing="0" w:after="0" w:afterAutospacing="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w:t>
      </w:r>
    </w:p>
    <w:p w14:paraId="3307DCC2" w14:textId="49826699" w:rsidR="00D119AA" w:rsidRPr="009B27A5" w:rsidRDefault="00D119AA" w:rsidP="0092643A">
      <w:pPr>
        <w:pStyle w:val="NormalWeb"/>
        <w:shd w:val="clear" w:color="auto" w:fill="FFFFFF"/>
        <w:spacing w:before="120" w:beforeAutospacing="0" w:after="0" w:afterAutospacing="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Así, en esta materia cobra importancia la regla de hermenéutica consagrada en el artículo 31 del Código Civil, según la cual, </w:t>
      </w:r>
      <w:r w:rsidRPr="009B27A5">
        <w:rPr>
          <w:rFonts w:ascii="Arial" w:hAnsi="Arial" w:cs="Arial"/>
          <w:i/>
          <w:iCs/>
          <w:color w:val="000000" w:themeColor="text1"/>
          <w:sz w:val="21"/>
          <w:szCs w:val="21"/>
          <w:lang w:val="es-ES_tradnl"/>
        </w:rPr>
        <w:t>“[l]o favorable u odioso de una disposición no se tomará en cuenta para ampliar o restringir su interpretación. La extensión que deba darse a toda ley se determinará por su genuino sentido, y según las reglas de interpretación…” (“</w:t>
      </w:r>
      <w:proofErr w:type="spellStart"/>
      <w:r w:rsidRPr="009B27A5">
        <w:rPr>
          <w:rFonts w:ascii="Arial" w:hAnsi="Arial" w:cs="Arial"/>
          <w:i/>
          <w:iCs/>
          <w:color w:val="000000" w:themeColor="text1"/>
          <w:sz w:val="21"/>
          <w:szCs w:val="21"/>
          <w:lang w:val="es-ES_tradnl"/>
        </w:rPr>
        <w:t>favorabilia</w:t>
      </w:r>
      <w:proofErr w:type="spellEnd"/>
      <w:r w:rsidRPr="009B27A5">
        <w:rPr>
          <w:rFonts w:ascii="Arial" w:hAnsi="Arial" w:cs="Arial"/>
          <w:i/>
          <w:iCs/>
          <w:color w:val="000000" w:themeColor="text1"/>
          <w:sz w:val="21"/>
          <w:szCs w:val="21"/>
          <w:lang w:val="es-ES_tradnl"/>
        </w:rPr>
        <w:t xml:space="preserve"> </w:t>
      </w:r>
      <w:proofErr w:type="spellStart"/>
      <w:r w:rsidRPr="009B27A5">
        <w:rPr>
          <w:rFonts w:ascii="Arial" w:hAnsi="Arial" w:cs="Arial"/>
          <w:i/>
          <w:iCs/>
          <w:color w:val="000000" w:themeColor="text1"/>
          <w:sz w:val="21"/>
          <w:szCs w:val="21"/>
          <w:lang w:val="es-ES_tradnl"/>
        </w:rPr>
        <w:t>sunt</w:t>
      </w:r>
      <w:proofErr w:type="spellEnd"/>
      <w:r w:rsidRPr="009B27A5">
        <w:rPr>
          <w:rFonts w:ascii="Arial" w:hAnsi="Arial" w:cs="Arial"/>
          <w:i/>
          <w:iCs/>
          <w:color w:val="000000" w:themeColor="text1"/>
          <w:sz w:val="21"/>
          <w:szCs w:val="21"/>
          <w:lang w:val="es-ES_tradnl"/>
        </w:rPr>
        <w:t xml:space="preserve"> </w:t>
      </w:r>
      <w:proofErr w:type="spellStart"/>
      <w:r w:rsidRPr="009B27A5">
        <w:rPr>
          <w:rFonts w:ascii="Arial" w:hAnsi="Arial" w:cs="Arial"/>
          <w:i/>
          <w:iCs/>
          <w:color w:val="000000" w:themeColor="text1"/>
          <w:sz w:val="21"/>
          <w:szCs w:val="21"/>
          <w:lang w:val="es-ES_tradnl"/>
        </w:rPr>
        <w:t>amplianda</w:t>
      </w:r>
      <w:proofErr w:type="spellEnd"/>
      <w:r w:rsidRPr="009B27A5">
        <w:rPr>
          <w:rFonts w:ascii="Arial" w:hAnsi="Arial" w:cs="Arial"/>
          <w:i/>
          <w:iCs/>
          <w:color w:val="000000" w:themeColor="text1"/>
          <w:sz w:val="21"/>
          <w:szCs w:val="21"/>
          <w:lang w:val="es-ES_tradnl"/>
        </w:rPr>
        <w:t xml:space="preserve">, odiosa </w:t>
      </w:r>
      <w:proofErr w:type="spellStart"/>
      <w:r w:rsidRPr="009B27A5">
        <w:rPr>
          <w:rFonts w:ascii="Arial" w:hAnsi="Arial" w:cs="Arial"/>
          <w:i/>
          <w:iCs/>
          <w:color w:val="000000" w:themeColor="text1"/>
          <w:sz w:val="21"/>
          <w:szCs w:val="21"/>
          <w:lang w:val="es-ES_tradnl"/>
        </w:rPr>
        <w:t>sunt</w:t>
      </w:r>
      <w:proofErr w:type="spellEnd"/>
      <w:r w:rsidRPr="009B27A5">
        <w:rPr>
          <w:rFonts w:ascii="Arial" w:hAnsi="Arial" w:cs="Arial"/>
          <w:i/>
          <w:iCs/>
          <w:color w:val="000000" w:themeColor="text1"/>
          <w:sz w:val="21"/>
          <w:szCs w:val="21"/>
          <w:lang w:val="es-ES_tradnl"/>
        </w:rPr>
        <w:t xml:space="preserve"> </w:t>
      </w:r>
      <w:proofErr w:type="spellStart"/>
      <w:r w:rsidRPr="009B27A5">
        <w:rPr>
          <w:rFonts w:ascii="Arial" w:hAnsi="Arial" w:cs="Arial"/>
          <w:i/>
          <w:iCs/>
          <w:color w:val="000000" w:themeColor="text1"/>
          <w:sz w:val="21"/>
          <w:szCs w:val="21"/>
          <w:lang w:val="es-ES_tradnl"/>
        </w:rPr>
        <w:t>restringenda</w:t>
      </w:r>
      <w:proofErr w:type="spellEnd"/>
      <w:r w:rsidRPr="009B27A5">
        <w:rPr>
          <w:rFonts w:ascii="Arial" w:hAnsi="Arial" w:cs="Arial"/>
          <w:i/>
          <w:iCs/>
          <w:color w:val="000000" w:themeColor="text1"/>
          <w:sz w:val="21"/>
          <w:szCs w:val="21"/>
          <w:lang w:val="es-ES_tradnl"/>
        </w:rPr>
        <w:t>”); </w:t>
      </w:r>
      <w:r w:rsidRPr="009B27A5">
        <w:rPr>
          <w:rFonts w:ascii="Arial" w:hAnsi="Arial" w:cs="Arial"/>
          <w:color w:val="000000" w:themeColor="text1"/>
          <w:sz w:val="21"/>
          <w:szCs w:val="21"/>
          <w:lang w:val="es-ES_tradnl"/>
        </w:rPr>
        <w:t>y de ahí la proscripción de las interpretaciones extensivas de las normas prohibitivas, tal y como lo precisó la Corte Suprema de Justicia, al señalar que </w:t>
      </w:r>
      <w:r w:rsidRPr="009B27A5">
        <w:rPr>
          <w:rFonts w:ascii="Arial" w:hAnsi="Arial" w:cs="Arial"/>
          <w:i/>
          <w:iCs/>
          <w:color w:val="000000" w:themeColor="text1"/>
          <w:sz w:val="21"/>
          <w:szCs w:val="21"/>
          <w:lang w:val="es-ES_tradnl"/>
        </w:rPr>
        <w:t>“[e]n la interpretación de las leyes prohibitivas no deben buscarse analogías o razones para hacerlas extensivas a casos no comprendidos claramente en la prohibición”.</w:t>
      </w:r>
      <w:r w:rsidRPr="009B27A5">
        <w:rPr>
          <w:rFonts w:ascii="Arial" w:hAnsi="Arial" w:cs="Arial"/>
          <w:color w:val="000000" w:themeColor="text1"/>
          <w:sz w:val="21"/>
          <w:szCs w:val="21"/>
          <w:lang w:val="es-ES_tradnl"/>
        </w:rPr>
        <w:t> </w:t>
      </w:r>
    </w:p>
    <w:p w14:paraId="4FACC402" w14:textId="2AA6C95C" w:rsidR="00D119AA" w:rsidRPr="009B27A5" w:rsidRDefault="00D119AA" w:rsidP="00D119AA">
      <w:pPr>
        <w:pStyle w:val="NormalWeb"/>
        <w:shd w:val="clear" w:color="auto" w:fill="FFFFFF"/>
        <w:spacing w:before="120" w:beforeAutospacing="0" w:after="0" w:afterAutospacing="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 xml:space="preserve">En consecuencia, la interpretación y aplicación restrictiva es una regla que rige tratándose de normas prohibitivas, dado que consagran limitaciones al ejercicio de un derecho o de competencias señaladas en la ley, criterio hermenéutico que </w:t>
      </w:r>
      <w:r w:rsidRPr="009B27A5">
        <w:rPr>
          <w:rFonts w:ascii="Arial" w:hAnsi="Arial" w:cs="Arial"/>
          <w:color w:val="000000" w:themeColor="text1"/>
          <w:sz w:val="21"/>
          <w:szCs w:val="21"/>
          <w:lang w:val="es-ES_tradnl"/>
        </w:rPr>
        <w:lastRenderedPageBreak/>
        <w:t>responde al principio de taxatividad, de acuerdo con el cual solo operan las prohibiciones que en forma precisa establece el legislador</w:t>
      </w:r>
      <w:r w:rsidR="0092643A" w:rsidRPr="009B27A5">
        <w:rPr>
          <w:rStyle w:val="Refdenotaalpie"/>
          <w:rFonts w:ascii="Arial" w:hAnsi="Arial" w:cs="Arial"/>
          <w:color w:val="000000" w:themeColor="text1"/>
          <w:sz w:val="21"/>
          <w:szCs w:val="21"/>
          <w:lang w:val="es-ES_tradnl"/>
        </w:rPr>
        <w:footnoteReference w:id="42"/>
      </w:r>
      <w:r w:rsidRPr="009B27A5">
        <w:rPr>
          <w:rFonts w:ascii="Arial" w:hAnsi="Arial" w:cs="Arial"/>
          <w:color w:val="000000" w:themeColor="text1"/>
          <w:sz w:val="21"/>
          <w:szCs w:val="21"/>
          <w:lang w:val="es-ES_tradnl"/>
        </w:rPr>
        <w:t>.</w:t>
      </w:r>
    </w:p>
    <w:p w14:paraId="0C27E3F8" w14:textId="77777777" w:rsidR="00D119AA" w:rsidRPr="009B27A5" w:rsidRDefault="00D119AA" w:rsidP="00B80BFD">
      <w:pPr>
        <w:pStyle w:val="NormalWeb"/>
        <w:shd w:val="clear" w:color="auto" w:fill="FFFFFF"/>
        <w:spacing w:before="0" w:beforeAutospacing="0" w:after="0" w:afterAutospacing="0"/>
        <w:ind w:left="709" w:right="709"/>
        <w:jc w:val="both"/>
        <w:rPr>
          <w:rFonts w:ascii="Arial" w:hAnsi="Arial" w:cs="Arial"/>
          <w:color w:val="333333"/>
          <w:sz w:val="21"/>
          <w:szCs w:val="21"/>
          <w:lang w:val="es-ES_tradnl"/>
        </w:rPr>
      </w:pPr>
    </w:p>
    <w:p w14:paraId="6B4AB1AD" w14:textId="21B136E5" w:rsidR="00964A0B" w:rsidRPr="009B27A5" w:rsidRDefault="003060BC" w:rsidP="00964A0B">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Partiendo de este contexto</w:t>
      </w:r>
      <w:r w:rsidR="00A76357" w:rsidRPr="009B27A5">
        <w:rPr>
          <w:rFonts w:ascii="Arial" w:hAnsi="Arial" w:cs="Arial"/>
          <w:bCs/>
          <w:sz w:val="22"/>
          <w:szCs w:val="22"/>
          <w:lang w:val="es-ES_tradnl" w:eastAsia="es-CO"/>
        </w:rPr>
        <w:t xml:space="preserve"> normativo</w:t>
      </w:r>
      <w:r w:rsidRPr="009B27A5">
        <w:rPr>
          <w:rFonts w:ascii="Arial" w:hAnsi="Arial" w:cs="Arial"/>
          <w:bCs/>
          <w:sz w:val="22"/>
          <w:szCs w:val="22"/>
          <w:lang w:val="es-ES_tradnl" w:eastAsia="es-CO"/>
        </w:rPr>
        <w:t>,</w:t>
      </w:r>
      <w:r w:rsidR="00A76357" w:rsidRPr="009B27A5">
        <w:rPr>
          <w:rFonts w:ascii="Arial" w:hAnsi="Arial" w:cs="Arial"/>
          <w:bCs/>
          <w:sz w:val="22"/>
          <w:szCs w:val="22"/>
          <w:lang w:val="es-ES_tradnl" w:eastAsia="es-CO"/>
        </w:rPr>
        <w:t xml:space="preserve"> y sobre todo considerando los criterios de interpretación a los que se ha hecho referencia, es importante, para resolver la consulta bajo análisis, </w:t>
      </w:r>
      <w:r w:rsidR="00892B7C" w:rsidRPr="009B27A5">
        <w:rPr>
          <w:rFonts w:ascii="Arial" w:hAnsi="Arial" w:cs="Arial"/>
          <w:bCs/>
          <w:sz w:val="22"/>
          <w:szCs w:val="22"/>
          <w:lang w:val="es-ES_tradnl" w:eastAsia="es-CO"/>
        </w:rPr>
        <w:t xml:space="preserve">mencionar brevemente el régimen regulatorio en el que nacen las inquietudes de los </w:t>
      </w:r>
      <w:r w:rsidR="00344026" w:rsidRPr="009B27A5">
        <w:rPr>
          <w:rFonts w:ascii="Arial" w:hAnsi="Arial" w:cs="Arial"/>
          <w:bCs/>
          <w:sz w:val="22"/>
          <w:szCs w:val="22"/>
          <w:lang w:val="es-ES_tradnl" w:eastAsia="es-CO"/>
        </w:rPr>
        <w:t>consultantes</w:t>
      </w:r>
      <w:r w:rsidR="00892B7C" w:rsidRPr="009B27A5">
        <w:rPr>
          <w:rFonts w:ascii="Arial" w:hAnsi="Arial" w:cs="Arial"/>
          <w:bCs/>
          <w:sz w:val="22"/>
          <w:szCs w:val="22"/>
          <w:lang w:val="es-ES_tradnl" w:eastAsia="es-CO"/>
        </w:rPr>
        <w:t>.</w:t>
      </w:r>
      <w:r w:rsidR="00FE40EA" w:rsidRPr="009B27A5">
        <w:rPr>
          <w:rFonts w:ascii="Arial" w:hAnsi="Arial" w:cs="Arial"/>
          <w:bCs/>
          <w:sz w:val="22"/>
          <w:szCs w:val="22"/>
          <w:lang w:val="es-ES_tradnl" w:eastAsia="es-CO"/>
        </w:rPr>
        <w:t xml:space="preserve"> </w:t>
      </w:r>
      <w:r w:rsidR="00A563BD" w:rsidRPr="009B27A5">
        <w:rPr>
          <w:rFonts w:ascii="Arial" w:hAnsi="Arial" w:cs="Arial"/>
          <w:bCs/>
          <w:sz w:val="22"/>
          <w:szCs w:val="22"/>
          <w:lang w:val="es-ES_tradnl" w:eastAsia="es-CO"/>
        </w:rPr>
        <w:t xml:space="preserve">Al respecto, </w:t>
      </w:r>
      <w:r w:rsidR="00485D18" w:rsidRPr="009B27A5">
        <w:rPr>
          <w:rFonts w:ascii="Arial" w:hAnsi="Arial" w:cs="Arial"/>
          <w:bCs/>
          <w:sz w:val="22"/>
          <w:szCs w:val="22"/>
          <w:lang w:val="es-ES_tradnl" w:eastAsia="es-CO"/>
        </w:rPr>
        <w:t>conviene precisar –como también lo hacen los peticionarios– que,</w:t>
      </w:r>
      <w:r w:rsidR="004E7437" w:rsidRPr="009B27A5">
        <w:rPr>
          <w:rFonts w:ascii="Arial" w:hAnsi="Arial" w:cs="Arial"/>
          <w:bCs/>
          <w:sz w:val="22"/>
          <w:szCs w:val="22"/>
          <w:lang w:val="es-ES_tradnl" w:eastAsia="es-CO"/>
        </w:rPr>
        <w:t xml:space="preserve"> con ocasión de la pandemia del COVID-19, el Gobierno Nacional</w:t>
      </w:r>
      <w:r w:rsidR="007703DB" w:rsidRPr="009B27A5">
        <w:rPr>
          <w:rFonts w:ascii="Arial" w:hAnsi="Arial" w:cs="Arial"/>
          <w:bCs/>
          <w:sz w:val="22"/>
          <w:szCs w:val="22"/>
          <w:lang w:val="es-ES_tradnl" w:eastAsia="es-CO"/>
        </w:rPr>
        <w:t xml:space="preserve"> declaró el estado de emergencia económica, social y ecológica mediante el Decreto </w:t>
      </w:r>
      <w:r w:rsidR="005A4399" w:rsidRPr="009B27A5">
        <w:rPr>
          <w:rFonts w:ascii="Arial" w:hAnsi="Arial" w:cs="Arial"/>
          <w:bCs/>
          <w:sz w:val="22"/>
          <w:szCs w:val="22"/>
          <w:lang w:val="es-ES_tradnl" w:eastAsia="es-CO"/>
        </w:rPr>
        <w:t>Legislativo 417</w:t>
      </w:r>
      <w:r w:rsidR="00677F92" w:rsidRPr="009B27A5">
        <w:rPr>
          <w:rFonts w:ascii="Arial" w:hAnsi="Arial" w:cs="Arial"/>
          <w:bCs/>
          <w:sz w:val="22"/>
          <w:szCs w:val="22"/>
          <w:lang w:val="es-ES_tradnl" w:eastAsia="es-CO"/>
        </w:rPr>
        <w:t xml:space="preserve"> de 2020.</w:t>
      </w:r>
      <w:r w:rsidR="009917A5" w:rsidRPr="009B27A5">
        <w:rPr>
          <w:rFonts w:ascii="Arial" w:hAnsi="Arial" w:cs="Arial"/>
          <w:bCs/>
          <w:sz w:val="22"/>
          <w:szCs w:val="22"/>
          <w:lang w:val="es-ES_tradnl" w:eastAsia="es-CO"/>
        </w:rPr>
        <w:t xml:space="preserve"> Entre las medidas establecidas en dicho Decreto se </w:t>
      </w:r>
      <w:r w:rsidR="00D1771A" w:rsidRPr="009B27A5">
        <w:rPr>
          <w:rFonts w:ascii="Arial" w:hAnsi="Arial" w:cs="Arial"/>
          <w:bCs/>
          <w:sz w:val="22"/>
          <w:szCs w:val="22"/>
          <w:lang w:val="es-ES_tradnl" w:eastAsia="es-CO"/>
        </w:rPr>
        <w:t>incluyó la siguiente</w:t>
      </w:r>
      <w:r w:rsidR="009917A5" w:rsidRPr="009B27A5">
        <w:rPr>
          <w:rFonts w:ascii="Arial" w:hAnsi="Arial" w:cs="Arial"/>
          <w:bCs/>
          <w:sz w:val="22"/>
          <w:szCs w:val="22"/>
          <w:lang w:val="es-ES_tradnl" w:eastAsia="es-CO"/>
        </w:rPr>
        <w:t>:</w:t>
      </w:r>
      <w:r w:rsidR="00D1771A" w:rsidRPr="009B27A5">
        <w:rPr>
          <w:rFonts w:ascii="Arial" w:hAnsi="Arial" w:cs="Arial"/>
          <w:bCs/>
          <w:sz w:val="22"/>
          <w:szCs w:val="22"/>
          <w:lang w:val="es-ES_tradnl" w:eastAsia="es-CO"/>
        </w:rPr>
        <w:t xml:space="preserve"> </w:t>
      </w:r>
      <w:r w:rsidR="009917A5" w:rsidRPr="009B27A5">
        <w:rPr>
          <w:rFonts w:ascii="Arial" w:hAnsi="Arial" w:cs="Arial"/>
          <w:bCs/>
          <w:sz w:val="22"/>
          <w:szCs w:val="22"/>
          <w:lang w:val="es-ES_tradnl" w:eastAsia="es-CO"/>
        </w:rPr>
        <w:t>«Que se dispondrá de la creación del Fondo de Mitigación de Emergencias (FOME) con las subcuentas necesarias para atender las necesidades de atención en salud, los efectos adversos generados a la actividad productiva y la necesidad de que la economía continúe brindando condiciones que mantengan el empleo y el crecimiento, por la situación a la que se refiere el presente decreto</w:t>
      </w:r>
      <w:r w:rsidR="004C1F58" w:rsidRPr="009B27A5">
        <w:rPr>
          <w:rFonts w:ascii="Arial" w:hAnsi="Arial" w:cs="Arial"/>
          <w:bCs/>
          <w:sz w:val="22"/>
          <w:szCs w:val="22"/>
          <w:lang w:val="es-ES_tradnl" w:eastAsia="es-CO"/>
        </w:rPr>
        <w:t>».</w:t>
      </w:r>
      <w:r w:rsidR="009917A5" w:rsidRPr="009B27A5">
        <w:rPr>
          <w:rFonts w:ascii="Arial" w:hAnsi="Arial" w:cs="Arial"/>
          <w:bCs/>
          <w:sz w:val="22"/>
          <w:szCs w:val="22"/>
          <w:lang w:val="es-ES_tradnl" w:eastAsia="es-CO"/>
        </w:rPr>
        <w:t xml:space="preserve"> </w:t>
      </w:r>
    </w:p>
    <w:p w14:paraId="493BF134" w14:textId="1C975792" w:rsidR="00964A0B" w:rsidRPr="009B27A5" w:rsidRDefault="00C31EEA" w:rsidP="00964A0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Con fundamento en lo anterior, </w:t>
      </w:r>
      <w:r w:rsidR="00964A0B" w:rsidRPr="009B27A5">
        <w:rPr>
          <w:rFonts w:ascii="Arial" w:hAnsi="Arial" w:cs="Arial"/>
          <w:bCs/>
          <w:sz w:val="22"/>
          <w:szCs w:val="22"/>
          <w:lang w:val="es-ES_tradnl" w:eastAsia="es-CO"/>
        </w:rPr>
        <w:t>se expidió con posterioridad el Decreto Legislativo 559 de 2020, «Por el cual se adoptan medidas para crear una Subcuenta para la Mitigación de Emergencias -Covid19- en el Fondo Nacional de Gestión del Riesgo de Desastres y se establecen las reglas para su administración, en el marco del Estado de Emergencia Económica, Social y Ecológica</w:t>
      </w:r>
      <w:r w:rsidR="00604537" w:rsidRPr="009B27A5">
        <w:rPr>
          <w:rFonts w:ascii="Arial" w:hAnsi="Arial" w:cs="Arial"/>
          <w:bCs/>
          <w:sz w:val="22"/>
          <w:szCs w:val="22"/>
          <w:lang w:val="es-ES_tradnl" w:eastAsia="es-CO"/>
        </w:rPr>
        <w:t>».</w:t>
      </w:r>
      <w:r w:rsidR="00627652" w:rsidRPr="009B27A5">
        <w:rPr>
          <w:rFonts w:ascii="Arial" w:hAnsi="Arial" w:cs="Arial"/>
          <w:bCs/>
          <w:sz w:val="22"/>
          <w:szCs w:val="22"/>
          <w:lang w:val="es-ES_tradnl" w:eastAsia="es-CO"/>
        </w:rPr>
        <w:t xml:space="preserve"> En efecto, el artículo </w:t>
      </w:r>
      <w:r w:rsidR="00850172" w:rsidRPr="009B27A5">
        <w:rPr>
          <w:rFonts w:ascii="Arial" w:hAnsi="Arial" w:cs="Arial"/>
          <w:bCs/>
          <w:sz w:val="22"/>
          <w:szCs w:val="22"/>
          <w:lang w:val="es-ES_tradnl" w:eastAsia="es-CO"/>
        </w:rPr>
        <w:t xml:space="preserve">2 del mencionado Decreto dispone: </w:t>
      </w:r>
    </w:p>
    <w:p w14:paraId="7F941EE1" w14:textId="77777777" w:rsidR="005126ED" w:rsidRPr="009B27A5" w:rsidRDefault="005126ED" w:rsidP="005126ED">
      <w:pPr>
        <w:ind w:left="709" w:right="709"/>
        <w:jc w:val="both"/>
        <w:rPr>
          <w:rFonts w:ascii="Arial" w:hAnsi="Arial" w:cs="Arial"/>
          <w:bCs/>
          <w:sz w:val="21"/>
          <w:szCs w:val="21"/>
          <w:lang w:val="es-ES_tradnl" w:eastAsia="es-CO"/>
        </w:rPr>
      </w:pPr>
    </w:p>
    <w:p w14:paraId="1AA71811" w14:textId="28206760" w:rsidR="005126ED" w:rsidRPr="009B27A5" w:rsidRDefault="005126ED" w:rsidP="00790D86">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El Fondo Nacional de Gestión del Riesgo de Desastres administrará una subcuenta temporal para la contención y mitigación de la emergencia declarada por el Decreto 417 del 17 de marzo de 2020, la cual tendrá por objeto financiar la provisión de bienes, servicios y obras requeridas para contener, mitigar y evitar la extensión de los efectos adversos derivados de la pandemia COVID- 19 en la población en condición de vulnerabilidad residente en el territorio colombiano y en el sistema de salud.  </w:t>
      </w:r>
    </w:p>
    <w:p w14:paraId="75074564" w14:textId="175306CA" w:rsidR="00850172" w:rsidRPr="009B27A5" w:rsidRDefault="005126ED" w:rsidP="00790D86">
      <w:pPr>
        <w:spacing w:before="120"/>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La subcuenta de que trata el presente Decreto Legislativo tendrá una vigencia de dos (2) años contados a partir de su expedición.  </w:t>
      </w:r>
    </w:p>
    <w:p w14:paraId="0293B9B8" w14:textId="77777777" w:rsidR="00817500" w:rsidRPr="009B27A5" w:rsidRDefault="00817500" w:rsidP="00817500">
      <w:pPr>
        <w:spacing w:line="276" w:lineRule="auto"/>
        <w:ind w:firstLine="709"/>
        <w:jc w:val="both"/>
        <w:rPr>
          <w:rFonts w:ascii="Arial" w:hAnsi="Arial" w:cs="Arial"/>
          <w:bCs/>
          <w:sz w:val="22"/>
          <w:szCs w:val="22"/>
          <w:lang w:val="es-ES_tradnl" w:eastAsia="es-CO"/>
        </w:rPr>
      </w:pPr>
    </w:p>
    <w:p w14:paraId="57699FBF" w14:textId="52ED949D" w:rsidR="00817500" w:rsidRPr="009B27A5" w:rsidRDefault="00817500" w:rsidP="00817500">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Por su parte, el </w:t>
      </w:r>
      <w:r w:rsidR="00A80703" w:rsidRPr="009B27A5">
        <w:rPr>
          <w:rFonts w:ascii="Arial" w:hAnsi="Arial" w:cs="Arial"/>
          <w:bCs/>
          <w:sz w:val="22"/>
          <w:szCs w:val="22"/>
          <w:lang w:val="es-ES_tradnl" w:eastAsia="es-CO"/>
        </w:rPr>
        <w:t>artículo 4 del Decreto en comento estableció un régimen contractual especial</w:t>
      </w:r>
      <w:r w:rsidR="00CE4176" w:rsidRPr="009B27A5">
        <w:rPr>
          <w:rFonts w:ascii="Arial" w:hAnsi="Arial" w:cs="Arial"/>
          <w:bCs/>
          <w:sz w:val="22"/>
          <w:szCs w:val="22"/>
          <w:lang w:val="es-ES_tradnl" w:eastAsia="es-CO"/>
        </w:rPr>
        <w:t>, en los siguientes términos:</w:t>
      </w:r>
    </w:p>
    <w:p w14:paraId="7F6B24D5" w14:textId="4C710726" w:rsidR="00CE4176" w:rsidRPr="009B27A5" w:rsidRDefault="00CE4176" w:rsidP="00817500">
      <w:pPr>
        <w:spacing w:line="276" w:lineRule="auto"/>
        <w:ind w:firstLine="709"/>
        <w:jc w:val="both"/>
        <w:rPr>
          <w:rFonts w:ascii="Arial" w:hAnsi="Arial" w:cs="Arial"/>
          <w:bCs/>
          <w:sz w:val="22"/>
          <w:szCs w:val="22"/>
          <w:lang w:val="es-ES_tradnl" w:eastAsia="es-CO"/>
        </w:rPr>
      </w:pPr>
    </w:p>
    <w:p w14:paraId="3E7EA411" w14:textId="7B4F0F3F" w:rsidR="00CE4176" w:rsidRPr="009B27A5" w:rsidRDefault="00CE4176" w:rsidP="00CE4176">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Los contratos que celebre la sociedad fiduciaria para la ejecución de los bienes, derechos e intereses de la Subcuenta para la Mitigación de Emergencias-COVlD19 , se someterán únicamente a los requisitos y formalidades que exige la ley para la contratación entre particulares, con observancia de los principios de moralidad, eficacia, economía, celeridad imparcialidad y publicidad </w:t>
      </w:r>
      <w:r w:rsidRPr="009B27A5">
        <w:rPr>
          <w:rFonts w:ascii="Arial" w:hAnsi="Arial" w:cs="Arial"/>
          <w:bCs/>
          <w:sz w:val="21"/>
          <w:szCs w:val="21"/>
          <w:lang w:val="es-ES_tradnl" w:eastAsia="es-CO"/>
        </w:rPr>
        <w:lastRenderedPageBreak/>
        <w:t xml:space="preserve">enunciados en el artículo 209 de la Constitución Política y con el control especial del Despacho del Contralor General de la Nación.  </w:t>
      </w:r>
    </w:p>
    <w:p w14:paraId="5FEA08AA" w14:textId="1D183623" w:rsidR="00C31EEA" w:rsidRPr="009B27A5" w:rsidRDefault="00CE4176" w:rsidP="00B34BE2">
      <w:pPr>
        <w:spacing w:before="120"/>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Parágrafo 1. El Gobierno nacional podrá, con cargo a los recursos de esta subcuenta, celebrar convenios con gobiernos extranjeros o con agencias u organismos multilaterales, cuyo objeto esté dirigido a mitigar los efectos adversos derivados de la pandemia generada por el Coronavirus COVID- 19 en la población en condición de vulnerabilidad residente en el territorio colombiano y en el sistema de salud.  </w:t>
      </w:r>
    </w:p>
    <w:p w14:paraId="2142217A" w14:textId="77777777" w:rsidR="00B34BE2" w:rsidRPr="009B27A5" w:rsidRDefault="00B34BE2" w:rsidP="00B34BE2">
      <w:pPr>
        <w:spacing w:line="276" w:lineRule="auto"/>
        <w:ind w:firstLine="709"/>
        <w:jc w:val="both"/>
        <w:rPr>
          <w:rFonts w:ascii="Arial" w:hAnsi="Arial" w:cs="Arial"/>
          <w:bCs/>
          <w:sz w:val="22"/>
          <w:szCs w:val="22"/>
          <w:lang w:val="es-ES_tradnl" w:eastAsia="es-CO"/>
        </w:rPr>
      </w:pPr>
    </w:p>
    <w:p w14:paraId="7F2FA84B" w14:textId="4787B37A" w:rsidR="004C6862" w:rsidRPr="009B27A5" w:rsidRDefault="00A05FED" w:rsidP="00B34BE2">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Para efectos de la consulta,</w:t>
      </w:r>
      <w:r w:rsidR="00B34BE2" w:rsidRPr="009B27A5">
        <w:rPr>
          <w:rFonts w:ascii="Arial" w:hAnsi="Arial" w:cs="Arial"/>
          <w:bCs/>
          <w:sz w:val="22"/>
          <w:szCs w:val="22"/>
          <w:lang w:val="es-ES_tradnl" w:eastAsia="es-CO"/>
        </w:rPr>
        <w:t xml:space="preserve"> lo que resulta más importante</w:t>
      </w:r>
      <w:r w:rsidRPr="009B27A5">
        <w:rPr>
          <w:rFonts w:ascii="Arial" w:hAnsi="Arial" w:cs="Arial"/>
          <w:bCs/>
          <w:sz w:val="22"/>
          <w:szCs w:val="22"/>
          <w:lang w:val="es-ES_tradnl" w:eastAsia="es-CO"/>
        </w:rPr>
        <w:t xml:space="preserve"> es</w:t>
      </w:r>
      <w:r w:rsidR="00E42518" w:rsidRPr="009B27A5">
        <w:rPr>
          <w:rFonts w:ascii="Arial" w:hAnsi="Arial" w:cs="Arial"/>
          <w:bCs/>
          <w:sz w:val="22"/>
          <w:szCs w:val="22"/>
          <w:lang w:val="es-ES_tradnl" w:eastAsia="es-CO"/>
        </w:rPr>
        <w:t xml:space="preserve"> que el artículo 9 estableció un mecanismo jurídico especial para </w:t>
      </w:r>
      <w:r w:rsidR="004C6862" w:rsidRPr="009B27A5">
        <w:rPr>
          <w:rFonts w:ascii="Arial" w:hAnsi="Arial" w:cs="Arial"/>
          <w:bCs/>
          <w:sz w:val="22"/>
          <w:szCs w:val="22"/>
          <w:lang w:val="es-ES_tradnl" w:eastAsia="es-CO"/>
        </w:rPr>
        <w:t>transferir</w:t>
      </w:r>
      <w:r w:rsidR="00A73741" w:rsidRPr="009B27A5">
        <w:rPr>
          <w:rFonts w:ascii="Arial" w:hAnsi="Arial" w:cs="Arial"/>
          <w:bCs/>
          <w:sz w:val="22"/>
          <w:szCs w:val="22"/>
          <w:lang w:val="es-ES_tradnl" w:eastAsia="es-CO"/>
        </w:rPr>
        <w:t>,</w:t>
      </w:r>
      <w:r w:rsidR="004C6862" w:rsidRPr="009B27A5">
        <w:rPr>
          <w:rFonts w:ascii="Arial" w:hAnsi="Arial" w:cs="Arial"/>
          <w:bCs/>
          <w:sz w:val="22"/>
          <w:szCs w:val="22"/>
          <w:lang w:val="es-ES_tradnl" w:eastAsia="es-CO"/>
        </w:rPr>
        <w:t xml:space="preserve"> a título gratuito</w:t>
      </w:r>
      <w:r w:rsidR="00A73741" w:rsidRPr="009B27A5">
        <w:rPr>
          <w:rFonts w:ascii="Arial" w:hAnsi="Arial" w:cs="Arial"/>
          <w:bCs/>
          <w:sz w:val="22"/>
          <w:szCs w:val="22"/>
          <w:lang w:val="es-ES_tradnl" w:eastAsia="es-CO"/>
        </w:rPr>
        <w:t>,</w:t>
      </w:r>
      <w:r w:rsidR="004C6862" w:rsidRPr="009B27A5">
        <w:rPr>
          <w:rFonts w:ascii="Arial" w:hAnsi="Arial" w:cs="Arial"/>
          <w:bCs/>
          <w:sz w:val="22"/>
          <w:szCs w:val="22"/>
          <w:lang w:val="es-ES_tradnl" w:eastAsia="es-CO"/>
        </w:rPr>
        <w:t xml:space="preserve"> a las entidades públicas los bienes del fondo. </w:t>
      </w:r>
      <w:r w:rsidRPr="009B27A5">
        <w:rPr>
          <w:rFonts w:ascii="Arial" w:hAnsi="Arial" w:cs="Arial"/>
          <w:bCs/>
          <w:sz w:val="22"/>
          <w:szCs w:val="22"/>
          <w:lang w:val="es-ES_tradnl" w:eastAsia="es-CO"/>
        </w:rPr>
        <w:t>De esta manera, dispone lo siguiente</w:t>
      </w:r>
      <w:r w:rsidR="004C6862" w:rsidRPr="009B27A5">
        <w:rPr>
          <w:rFonts w:ascii="Arial" w:hAnsi="Arial" w:cs="Arial"/>
          <w:bCs/>
          <w:sz w:val="22"/>
          <w:szCs w:val="22"/>
          <w:lang w:val="es-ES_tradnl" w:eastAsia="es-CO"/>
        </w:rPr>
        <w:t xml:space="preserve">: </w:t>
      </w:r>
    </w:p>
    <w:p w14:paraId="6EB526CC" w14:textId="77777777" w:rsidR="004C6862" w:rsidRPr="009B27A5" w:rsidRDefault="004C6862" w:rsidP="00B34BE2">
      <w:pPr>
        <w:spacing w:line="276" w:lineRule="auto"/>
        <w:ind w:firstLine="709"/>
        <w:jc w:val="both"/>
        <w:rPr>
          <w:rFonts w:ascii="Arial" w:hAnsi="Arial" w:cs="Arial"/>
          <w:bCs/>
          <w:sz w:val="22"/>
          <w:szCs w:val="22"/>
          <w:lang w:val="es-ES_tradnl" w:eastAsia="es-CO"/>
        </w:rPr>
      </w:pPr>
    </w:p>
    <w:p w14:paraId="41C774E0" w14:textId="1C2FA118" w:rsidR="002E5E8E" w:rsidRPr="009B27A5" w:rsidRDefault="002E5E8E" w:rsidP="002E5E8E">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El administrador fiduciario del Fondo Nacional de Gestión del Riesgo de Desastres transferirá a título gratuito a las entidades públicas los bienes que se adquieran en cumplimiento del objeto y finalidad de la subcuenta. Dicha transferencia se adelantará </w:t>
      </w:r>
      <w:r w:rsidRPr="009B27A5">
        <w:rPr>
          <w:rFonts w:ascii="Arial" w:hAnsi="Arial" w:cs="Arial"/>
          <w:bCs/>
          <w:i/>
          <w:iCs/>
          <w:sz w:val="21"/>
          <w:szCs w:val="21"/>
          <w:lang w:val="es-ES_tradnl" w:eastAsia="es-CO"/>
        </w:rPr>
        <w:t>a través de acto administrativo</w:t>
      </w:r>
      <w:r w:rsidRPr="009B27A5">
        <w:rPr>
          <w:rFonts w:ascii="Arial" w:hAnsi="Arial" w:cs="Arial"/>
          <w:bCs/>
          <w:sz w:val="21"/>
          <w:szCs w:val="21"/>
          <w:lang w:val="es-ES_tradnl" w:eastAsia="es-CO"/>
        </w:rPr>
        <w:t xml:space="preserve"> que profiera el Director de la Unidad Nacional de Gestión de Riesgo de Desastre o su delegado en donde se indique la valoración contable de los mismos para efectos del control que se requiera para el efecto (énfasis fuera de texto).  </w:t>
      </w:r>
    </w:p>
    <w:p w14:paraId="6D9B05B5" w14:textId="625840A7" w:rsidR="00B34BE2" w:rsidRPr="009B27A5" w:rsidRDefault="00E42518" w:rsidP="002E5E8E">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 xml:space="preserve"> </w:t>
      </w:r>
    </w:p>
    <w:p w14:paraId="6D636467" w14:textId="5A01792E" w:rsidR="00100314" w:rsidRPr="009B27A5" w:rsidRDefault="002C5C87" w:rsidP="007A2932">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Como puede observarse, </w:t>
      </w:r>
      <w:r w:rsidR="00D4641D" w:rsidRPr="009B27A5">
        <w:rPr>
          <w:rFonts w:ascii="Arial" w:hAnsi="Arial" w:cs="Arial"/>
          <w:bCs/>
          <w:sz w:val="22"/>
          <w:szCs w:val="22"/>
          <w:lang w:val="es-ES_tradnl" w:eastAsia="es-CO"/>
        </w:rPr>
        <w:t xml:space="preserve">el artículo </w:t>
      </w:r>
      <w:r w:rsidR="0065548D" w:rsidRPr="009B27A5">
        <w:rPr>
          <w:rFonts w:ascii="Arial" w:hAnsi="Arial" w:cs="Arial"/>
          <w:bCs/>
          <w:sz w:val="22"/>
          <w:szCs w:val="22"/>
          <w:lang w:val="es-ES_tradnl" w:eastAsia="es-CO"/>
        </w:rPr>
        <w:t xml:space="preserve">9 del Decreto Legislativo </w:t>
      </w:r>
      <w:r w:rsidR="008024F9" w:rsidRPr="009B27A5">
        <w:rPr>
          <w:rFonts w:ascii="Arial" w:hAnsi="Arial" w:cs="Arial"/>
          <w:bCs/>
          <w:sz w:val="22"/>
          <w:szCs w:val="22"/>
          <w:lang w:val="es-ES_tradnl" w:eastAsia="es-CO"/>
        </w:rPr>
        <w:t>559 de 2020 permite al Director de la Unidad Nacional de Gestión de Riesgo de Desastre</w:t>
      </w:r>
      <w:r w:rsidR="00C30945" w:rsidRPr="009B27A5">
        <w:rPr>
          <w:rFonts w:ascii="Arial" w:hAnsi="Arial" w:cs="Arial"/>
          <w:bCs/>
          <w:sz w:val="22"/>
          <w:szCs w:val="22"/>
          <w:lang w:val="es-ES_tradnl" w:eastAsia="es-CO"/>
        </w:rPr>
        <w:t xml:space="preserve"> o </w:t>
      </w:r>
      <w:r w:rsidR="00B053A0" w:rsidRPr="009B27A5">
        <w:rPr>
          <w:rFonts w:ascii="Arial" w:hAnsi="Arial" w:cs="Arial"/>
          <w:bCs/>
          <w:sz w:val="22"/>
          <w:szCs w:val="22"/>
          <w:lang w:val="es-ES_tradnl" w:eastAsia="es-CO"/>
        </w:rPr>
        <w:t xml:space="preserve">a </w:t>
      </w:r>
      <w:r w:rsidR="00C30945" w:rsidRPr="009B27A5">
        <w:rPr>
          <w:rFonts w:ascii="Arial" w:hAnsi="Arial" w:cs="Arial"/>
          <w:bCs/>
          <w:sz w:val="22"/>
          <w:szCs w:val="22"/>
          <w:lang w:val="es-ES_tradnl" w:eastAsia="es-CO"/>
        </w:rPr>
        <w:t>su delegado</w:t>
      </w:r>
      <w:r w:rsidR="008024F9" w:rsidRPr="009B27A5">
        <w:rPr>
          <w:rFonts w:ascii="Arial" w:hAnsi="Arial" w:cs="Arial"/>
          <w:bCs/>
          <w:sz w:val="22"/>
          <w:szCs w:val="22"/>
          <w:lang w:val="es-ES_tradnl" w:eastAsia="es-CO"/>
        </w:rPr>
        <w:t xml:space="preserve"> transferir</w:t>
      </w:r>
      <w:r w:rsidR="00CB4378" w:rsidRPr="009B27A5">
        <w:rPr>
          <w:rFonts w:ascii="Arial" w:hAnsi="Arial" w:cs="Arial"/>
          <w:bCs/>
          <w:sz w:val="22"/>
          <w:szCs w:val="22"/>
          <w:lang w:val="es-ES_tradnl" w:eastAsia="es-CO"/>
        </w:rPr>
        <w:t xml:space="preserve"> a las entidades públicas,</w:t>
      </w:r>
      <w:r w:rsidR="007319FA" w:rsidRPr="009B27A5">
        <w:rPr>
          <w:rFonts w:ascii="Arial" w:hAnsi="Arial" w:cs="Arial"/>
          <w:bCs/>
          <w:sz w:val="22"/>
          <w:szCs w:val="22"/>
          <w:lang w:val="es-ES_tradnl" w:eastAsia="es-CO"/>
        </w:rPr>
        <w:t xml:space="preserve"> «a través de un acto administrativo»</w:t>
      </w:r>
      <w:r w:rsidR="00CB4378" w:rsidRPr="009B27A5">
        <w:rPr>
          <w:rFonts w:ascii="Arial" w:hAnsi="Arial" w:cs="Arial"/>
          <w:bCs/>
          <w:sz w:val="22"/>
          <w:szCs w:val="22"/>
          <w:lang w:val="es-ES_tradnl" w:eastAsia="es-CO"/>
        </w:rPr>
        <w:t xml:space="preserve"> y </w:t>
      </w:r>
      <w:r w:rsidR="007319FA" w:rsidRPr="009B27A5">
        <w:rPr>
          <w:rFonts w:ascii="Arial" w:hAnsi="Arial" w:cs="Arial"/>
          <w:bCs/>
          <w:sz w:val="22"/>
          <w:szCs w:val="22"/>
          <w:lang w:val="es-ES_tradnl" w:eastAsia="es-CO"/>
        </w:rPr>
        <w:t xml:space="preserve">a título gratuito, los bienes que se adquieran </w:t>
      </w:r>
      <w:r w:rsidR="00241ED1" w:rsidRPr="009B27A5">
        <w:rPr>
          <w:rFonts w:ascii="Arial" w:hAnsi="Arial" w:cs="Arial"/>
          <w:bCs/>
          <w:sz w:val="22"/>
          <w:szCs w:val="22"/>
          <w:lang w:val="es-ES_tradnl" w:eastAsia="es-CO"/>
        </w:rPr>
        <w:t>con cargo a la «Subcuenta para la Mitigación de Emergencias - COVID19».</w:t>
      </w:r>
      <w:r w:rsidR="00CB4378" w:rsidRPr="009B27A5">
        <w:rPr>
          <w:rFonts w:ascii="Arial" w:hAnsi="Arial" w:cs="Arial"/>
          <w:bCs/>
          <w:sz w:val="22"/>
          <w:szCs w:val="22"/>
          <w:lang w:val="es-ES_tradnl" w:eastAsia="es-CO"/>
        </w:rPr>
        <w:t xml:space="preserve"> La norma no dice que esta transferencia</w:t>
      </w:r>
      <w:r w:rsidR="00D06F14" w:rsidRPr="009B27A5">
        <w:rPr>
          <w:rFonts w:ascii="Arial" w:hAnsi="Arial" w:cs="Arial"/>
          <w:bCs/>
          <w:sz w:val="22"/>
          <w:szCs w:val="22"/>
          <w:lang w:val="es-ES_tradnl" w:eastAsia="es-CO"/>
        </w:rPr>
        <w:t xml:space="preserve"> debe hacerse a través de convenio o contrato. Por el contrario, </w:t>
      </w:r>
      <w:r w:rsidR="007A2932" w:rsidRPr="009B27A5">
        <w:rPr>
          <w:rFonts w:ascii="Arial" w:hAnsi="Arial" w:cs="Arial"/>
          <w:bCs/>
          <w:sz w:val="22"/>
          <w:szCs w:val="22"/>
          <w:lang w:val="es-ES_tradnl" w:eastAsia="es-CO"/>
        </w:rPr>
        <w:t xml:space="preserve">establece que debe formalizarse mediante la expedición de un </w:t>
      </w:r>
      <w:r w:rsidR="007A2932" w:rsidRPr="009B27A5">
        <w:rPr>
          <w:rFonts w:ascii="Arial" w:hAnsi="Arial" w:cs="Arial"/>
          <w:bCs/>
          <w:i/>
          <w:iCs/>
          <w:sz w:val="22"/>
          <w:szCs w:val="22"/>
          <w:lang w:val="es-ES_tradnl" w:eastAsia="es-CO"/>
        </w:rPr>
        <w:t>acto administrativo</w:t>
      </w:r>
      <w:r w:rsidR="007A2932" w:rsidRPr="009B27A5">
        <w:rPr>
          <w:rFonts w:ascii="Arial" w:hAnsi="Arial" w:cs="Arial"/>
          <w:bCs/>
          <w:sz w:val="22"/>
          <w:szCs w:val="22"/>
          <w:lang w:val="es-ES_tradnl" w:eastAsia="es-CO"/>
        </w:rPr>
        <w:t>. Esta diferencia</w:t>
      </w:r>
      <w:r w:rsidR="005C7B9B" w:rsidRPr="009B27A5">
        <w:rPr>
          <w:rFonts w:ascii="Arial" w:hAnsi="Arial" w:cs="Arial"/>
          <w:bCs/>
          <w:sz w:val="22"/>
          <w:szCs w:val="22"/>
          <w:lang w:val="es-ES_tradnl" w:eastAsia="es-CO"/>
        </w:rPr>
        <w:t xml:space="preserve"> no es, en modo alguno, despreciable, sino que adquiere relevancia</w:t>
      </w:r>
      <w:r w:rsidR="00016739" w:rsidRPr="009B27A5">
        <w:rPr>
          <w:rFonts w:ascii="Arial" w:hAnsi="Arial" w:cs="Arial"/>
          <w:bCs/>
          <w:sz w:val="22"/>
          <w:szCs w:val="22"/>
          <w:lang w:val="es-ES_tradnl" w:eastAsia="es-CO"/>
        </w:rPr>
        <w:t>, para saber si la transferencia gratuita de bienes regulada en el citado artículo 9 está prohibida por el parágrafo del artículo 38 de la Ley 996 de 2005.</w:t>
      </w:r>
    </w:p>
    <w:p w14:paraId="44F1FBB1" w14:textId="4AAE847C" w:rsidR="002E5E8E" w:rsidRPr="009B27A5" w:rsidRDefault="00100314" w:rsidP="00406599">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Para poder resolver dicho interrogante</w:t>
      </w:r>
      <w:r w:rsidR="0068482E" w:rsidRPr="009B27A5">
        <w:rPr>
          <w:rFonts w:ascii="Arial" w:hAnsi="Arial" w:cs="Arial"/>
          <w:bCs/>
          <w:sz w:val="22"/>
          <w:szCs w:val="22"/>
          <w:lang w:val="es-ES_tradnl" w:eastAsia="es-CO"/>
        </w:rPr>
        <w:t>, es necesario indicar que</w:t>
      </w:r>
      <w:r w:rsidR="003D6F7A" w:rsidRPr="009B27A5">
        <w:rPr>
          <w:rFonts w:ascii="Arial" w:hAnsi="Arial" w:cs="Arial"/>
          <w:bCs/>
          <w:sz w:val="22"/>
          <w:szCs w:val="22"/>
          <w:lang w:val="es-ES_tradnl" w:eastAsia="es-CO"/>
        </w:rPr>
        <w:t>,</w:t>
      </w:r>
      <w:r w:rsidR="0068482E" w:rsidRPr="009B27A5">
        <w:rPr>
          <w:rFonts w:ascii="Arial" w:hAnsi="Arial" w:cs="Arial"/>
          <w:bCs/>
          <w:sz w:val="22"/>
          <w:szCs w:val="22"/>
          <w:lang w:val="es-ES_tradnl" w:eastAsia="es-CO"/>
        </w:rPr>
        <w:t xml:space="preserve"> en el ordenamiento jurídico colombiano, el contrato y el acto administrativo, constituyen</w:t>
      </w:r>
      <w:r w:rsidR="004B02CF" w:rsidRPr="009B27A5">
        <w:rPr>
          <w:rFonts w:ascii="Arial" w:hAnsi="Arial" w:cs="Arial"/>
          <w:bCs/>
          <w:sz w:val="22"/>
          <w:szCs w:val="22"/>
          <w:lang w:val="es-ES_tradnl" w:eastAsia="es-CO"/>
        </w:rPr>
        <w:t xml:space="preserve"> instituciones distintas. En efecto, </w:t>
      </w:r>
      <w:r w:rsidR="00062407" w:rsidRPr="009B27A5">
        <w:rPr>
          <w:rFonts w:ascii="Arial" w:hAnsi="Arial" w:cs="Arial"/>
          <w:bCs/>
          <w:sz w:val="22"/>
          <w:szCs w:val="22"/>
          <w:lang w:val="es-ES_tradnl" w:eastAsia="es-CO"/>
        </w:rPr>
        <w:t>según el artículo 1495 del Código Civil</w:t>
      </w:r>
      <w:r w:rsidR="00062407" w:rsidRPr="009B27A5">
        <w:rPr>
          <w:rStyle w:val="Refdenotaalpie"/>
          <w:rFonts w:ascii="Arial" w:hAnsi="Arial" w:cs="Arial"/>
          <w:bCs/>
          <w:sz w:val="22"/>
          <w:szCs w:val="22"/>
          <w:lang w:val="es-ES_tradnl" w:eastAsia="es-CO"/>
        </w:rPr>
        <w:footnoteReference w:id="43"/>
      </w:r>
      <w:r w:rsidR="00062407" w:rsidRPr="009B27A5">
        <w:rPr>
          <w:rFonts w:ascii="Arial" w:hAnsi="Arial" w:cs="Arial"/>
          <w:bCs/>
          <w:sz w:val="22"/>
          <w:szCs w:val="22"/>
          <w:lang w:val="es-ES_tradnl" w:eastAsia="es-CO"/>
        </w:rPr>
        <w:t>, «Contrato o convención es un acto por el cual una parte se obliga para con otra a dar, hacer o no hacer alguna cosa».</w:t>
      </w:r>
      <w:r w:rsidR="003D6F7A" w:rsidRPr="009B27A5">
        <w:rPr>
          <w:rFonts w:ascii="Arial" w:hAnsi="Arial" w:cs="Arial"/>
          <w:bCs/>
          <w:sz w:val="22"/>
          <w:szCs w:val="22"/>
          <w:lang w:val="es-ES_tradnl" w:eastAsia="es-CO"/>
        </w:rPr>
        <w:t xml:space="preserve"> En cambio, el acto administrativo es </w:t>
      </w:r>
      <w:r w:rsidR="00C23639" w:rsidRPr="009B27A5">
        <w:rPr>
          <w:rFonts w:ascii="Arial" w:hAnsi="Arial" w:cs="Arial"/>
          <w:bCs/>
          <w:sz w:val="22"/>
          <w:szCs w:val="22"/>
          <w:lang w:val="es-ES_tradnl" w:eastAsia="es-CO"/>
        </w:rPr>
        <w:t>una declaración o manifestación unilateral de voluntad</w:t>
      </w:r>
      <w:r w:rsidR="007E22B2" w:rsidRPr="009B27A5">
        <w:rPr>
          <w:rFonts w:ascii="Arial" w:hAnsi="Arial" w:cs="Arial"/>
          <w:bCs/>
          <w:sz w:val="22"/>
          <w:szCs w:val="22"/>
          <w:lang w:val="es-ES_tradnl" w:eastAsia="es-CO"/>
        </w:rPr>
        <w:t xml:space="preserve"> </w:t>
      </w:r>
      <w:r w:rsidR="00C23639" w:rsidRPr="009B27A5">
        <w:rPr>
          <w:rFonts w:ascii="Arial" w:hAnsi="Arial" w:cs="Arial"/>
          <w:bCs/>
          <w:sz w:val="22"/>
          <w:szCs w:val="22"/>
          <w:lang w:val="es-ES_tradnl" w:eastAsia="es-CO"/>
        </w:rPr>
        <w:t>proferida por un órgano</w:t>
      </w:r>
      <w:r w:rsidR="008251BA" w:rsidRPr="009B27A5">
        <w:rPr>
          <w:rFonts w:ascii="Arial" w:hAnsi="Arial" w:cs="Arial"/>
          <w:bCs/>
          <w:sz w:val="22"/>
          <w:szCs w:val="22"/>
          <w:lang w:val="es-ES_tradnl" w:eastAsia="es-CO"/>
        </w:rPr>
        <w:t xml:space="preserve"> del Estado o un particular</w:t>
      </w:r>
      <w:r w:rsidR="007E22B2" w:rsidRPr="009B27A5">
        <w:rPr>
          <w:rFonts w:ascii="Arial" w:hAnsi="Arial" w:cs="Arial"/>
          <w:bCs/>
          <w:sz w:val="22"/>
          <w:szCs w:val="22"/>
          <w:lang w:val="es-ES_tradnl" w:eastAsia="es-CO"/>
        </w:rPr>
        <w:t xml:space="preserve"> –</w:t>
      </w:r>
      <w:r w:rsidR="008251BA" w:rsidRPr="009B27A5">
        <w:rPr>
          <w:rFonts w:ascii="Arial" w:hAnsi="Arial" w:cs="Arial"/>
          <w:bCs/>
          <w:sz w:val="22"/>
          <w:szCs w:val="22"/>
          <w:lang w:val="es-ES_tradnl" w:eastAsia="es-CO"/>
        </w:rPr>
        <w:t>en ejercicio de función administrativa, electoral o de control</w:t>
      </w:r>
      <w:r w:rsidR="007E22B2" w:rsidRPr="009B27A5">
        <w:rPr>
          <w:rFonts w:ascii="Arial" w:hAnsi="Arial" w:cs="Arial"/>
          <w:bCs/>
          <w:sz w:val="22"/>
          <w:szCs w:val="22"/>
          <w:lang w:val="es-ES_tradnl" w:eastAsia="es-CO"/>
        </w:rPr>
        <w:t xml:space="preserve">–, </w:t>
      </w:r>
      <w:r w:rsidR="001C250A" w:rsidRPr="009B27A5">
        <w:rPr>
          <w:rFonts w:ascii="Arial" w:hAnsi="Arial" w:cs="Arial"/>
          <w:bCs/>
          <w:sz w:val="22"/>
          <w:szCs w:val="22"/>
          <w:lang w:val="es-ES_tradnl" w:eastAsia="es-CO"/>
        </w:rPr>
        <w:t>encaminada a producir efectos jurídicos.</w:t>
      </w:r>
      <w:r w:rsidR="007C5A87" w:rsidRPr="009B27A5">
        <w:rPr>
          <w:rFonts w:ascii="Arial" w:hAnsi="Arial" w:cs="Arial"/>
          <w:bCs/>
          <w:sz w:val="22"/>
          <w:szCs w:val="22"/>
          <w:lang w:val="es-ES_tradnl" w:eastAsia="es-CO"/>
        </w:rPr>
        <w:t xml:space="preserve"> La unilateralidad, como elemento de </w:t>
      </w:r>
      <w:r w:rsidR="007C5A87" w:rsidRPr="009B27A5">
        <w:rPr>
          <w:rFonts w:ascii="Arial" w:hAnsi="Arial" w:cs="Arial"/>
          <w:bCs/>
          <w:sz w:val="22"/>
          <w:szCs w:val="22"/>
          <w:lang w:val="es-ES_tradnl" w:eastAsia="es-CO"/>
        </w:rPr>
        <w:lastRenderedPageBreak/>
        <w:t>la definición del acto administrativo, se observa en</w:t>
      </w:r>
      <w:r w:rsidR="00A96998" w:rsidRPr="009B27A5">
        <w:rPr>
          <w:rFonts w:ascii="Arial" w:hAnsi="Arial" w:cs="Arial"/>
          <w:bCs/>
          <w:sz w:val="22"/>
          <w:szCs w:val="22"/>
          <w:lang w:val="es-ES_tradnl" w:eastAsia="es-CO"/>
        </w:rPr>
        <w:t xml:space="preserve"> la sentencia </w:t>
      </w:r>
      <w:r w:rsidR="005F1044" w:rsidRPr="009B27A5">
        <w:rPr>
          <w:rFonts w:ascii="Arial" w:hAnsi="Arial" w:cs="Arial"/>
          <w:bCs/>
          <w:sz w:val="22"/>
          <w:szCs w:val="22"/>
          <w:lang w:val="es-ES_tradnl" w:eastAsia="es-CO"/>
        </w:rPr>
        <w:t>C-487 de 1996</w:t>
      </w:r>
      <w:r w:rsidR="004E24CE" w:rsidRPr="009B27A5">
        <w:rPr>
          <w:rStyle w:val="Refdenotaalpie"/>
          <w:rFonts w:ascii="Arial" w:hAnsi="Arial" w:cs="Arial"/>
          <w:bCs/>
          <w:sz w:val="22"/>
          <w:szCs w:val="22"/>
          <w:lang w:val="es-ES_tradnl" w:eastAsia="es-CO"/>
        </w:rPr>
        <w:footnoteReference w:id="44"/>
      </w:r>
      <w:r w:rsidR="00A96998" w:rsidRPr="009B27A5">
        <w:rPr>
          <w:rFonts w:ascii="Arial" w:hAnsi="Arial" w:cs="Arial"/>
          <w:bCs/>
          <w:sz w:val="22"/>
          <w:szCs w:val="22"/>
          <w:lang w:val="es-ES_tradnl" w:eastAsia="es-CO"/>
        </w:rPr>
        <w:t xml:space="preserve">, </w:t>
      </w:r>
      <w:r w:rsidR="005F1044" w:rsidRPr="009B27A5">
        <w:rPr>
          <w:rFonts w:ascii="Arial" w:hAnsi="Arial" w:cs="Arial"/>
          <w:bCs/>
          <w:sz w:val="22"/>
          <w:szCs w:val="22"/>
          <w:lang w:val="es-ES_tradnl" w:eastAsia="es-CO"/>
        </w:rPr>
        <w:t xml:space="preserve">en la que la Corte Constitucional afirmó que </w:t>
      </w:r>
      <w:r w:rsidR="004E7497" w:rsidRPr="009B27A5">
        <w:rPr>
          <w:rFonts w:ascii="Arial" w:hAnsi="Arial" w:cs="Arial"/>
          <w:bCs/>
          <w:sz w:val="22"/>
          <w:szCs w:val="22"/>
          <w:lang w:val="es-ES_tradnl" w:eastAsia="es-CO"/>
        </w:rPr>
        <w:t xml:space="preserve">el acto administrativo «[…] se manifiesta a través de las declaraciones </w:t>
      </w:r>
      <w:r w:rsidR="004E7497" w:rsidRPr="009B27A5">
        <w:rPr>
          <w:rFonts w:ascii="Arial" w:hAnsi="Arial" w:cs="Arial"/>
          <w:bCs/>
          <w:i/>
          <w:iCs/>
          <w:sz w:val="22"/>
          <w:szCs w:val="22"/>
          <w:lang w:val="es-ES_tradnl" w:eastAsia="es-CO"/>
        </w:rPr>
        <w:t>unilaterales</w:t>
      </w:r>
      <w:r w:rsidR="004E7497" w:rsidRPr="009B27A5">
        <w:rPr>
          <w:rFonts w:ascii="Arial" w:hAnsi="Arial" w:cs="Arial"/>
          <w:bCs/>
          <w:sz w:val="22"/>
          <w:szCs w:val="22"/>
          <w:lang w:val="es-ES_tradnl" w:eastAsia="es-CO"/>
        </w:rPr>
        <w:t>, creadoras de situaciones jurídicas generales, objetivas y abstractas, o subjetivas particulares y concretas»</w:t>
      </w:r>
      <w:r w:rsidR="008A6273" w:rsidRPr="009B27A5">
        <w:rPr>
          <w:rFonts w:ascii="Arial" w:hAnsi="Arial" w:cs="Arial"/>
          <w:bCs/>
          <w:sz w:val="22"/>
          <w:szCs w:val="22"/>
          <w:lang w:val="es-ES_tradnl" w:eastAsia="es-CO"/>
        </w:rPr>
        <w:t xml:space="preserve"> (énfasis fuera de texto)</w:t>
      </w:r>
      <w:r w:rsidR="00A96998" w:rsidRPr="009B27A5">
        <w:rPr>
          <w:rFonts w:ascii="Arial" w:hAnsi="Arial" w:cs="Arial"/>
          <w:bCs/>
          <w:sz w:val="22"/>
          <w:szCs w:val="22"/>
          <w:lang w:val="es-ES_tradnl" w:eastAsia="es-CO"/>
        </w:rPr>
        <w:t>.</w:t>
      </w:r>
      <w:r w:rsidR="00F707E3" w:rsidRPr="009B27A5">
        <w:rPr>
          <w:rFonts w:ascii="Arial" w:hAnsi="Arial" w:cs="Arial"/>
          <w:bCs/>
          <w:sz w:val="22"/>
          <w:szCs w:val="22"/>
          <w:lang w:val="es-ES_tradnl" w:eastAsia="es-CO"/>
        </w:rPr>
        <w:t xml:space="preserve"> Así también lo señaló en la Sentencia C</w:t>
      </w:r>
      <w:r w:rsidR="00263A8A" w:rsidRPr="009B27A5">
        <w:rPr>
          <w:rFonts w:ascii="Arial" w:hAnsi="Arial" w:cs="Arial"/>
          <w:bCs/>
          <w:sz w:val="22"/>
          <w:szCs w:val="22"/>
          <w:lang w:val="es-ES_tradnl" w:eastAsia="es-CO"/>
        </w:rPr>
        <w:t>-542 de 2005</w:t>
      </w:r>
      <w:r w:rsidR="00263A8A" w:rsidRPr="009B27A5">
        <w:rPr>
          <w:rStyle w:val="Refdenotaalpie"/>
          <w:rFonts w:ascii="Arial" w:hAnsi="Arial" w:cs="Arial"/>
          <w:bCs/>
          <w:sz w:val="22"/>
          <w:szCs w:val="22"/>
          <w:lang w:val="es-ES_tradnl" w:eastAsia="es-CO"/>
        </w:rPr>
        <w:footnoteReference w:id="45"/>
      </w:r>
      <w:r w:rsidR="00263A8A" w:rsidRPr="009B27A5">
        <w:rPr>
          <w:rFonts w:ascii="Arial" w:hAnsi="Arial" w:cs="Arial"/>
          <w:bCs/>
          <w:sz w:val="22"/>
          <w:szCs w:val="22"/>
          <w:lang w:val="es-ES_tradnl" w:eastAsia="es-CO"/>
        </w:rPr>
        <w:t>.</w:t>
      </w:r>
      <w:r w:rsidR="00972105" w:rsidRPr="009B27A5">
        <w:rPr>
          <w:rFonts w:ascii="Arial" w:hAnsi="Arial" w:cs="Arial"/>
          <w:bCs/>
          <w:sz w:val="22"/>
          <w:szCs w:val="22"/>
          <w:lang w:val="es-ES_tradnl" w:eastAsia="es-CO"/>
        </w:rPr>
        <w:t xml:space="preserve"> El Consejo de Estado</w:t>
      </w:r>
      <w:r w:rsidR="00406599" w:rsidRPr="009B27A5">
        <w:rPr>
          <w:rFonts w:ascii="Arial" w:hAnsi="Arial" w:cs="Arial"/>
          <w:bCs/>
          <w:sz w:val="22"/>
          <w:szCs w:val="22"/>
          <w:lang w:val="es-ES_tradnl" w:eastAsia="es-CO"/>
        </w:rPr>
        <w:t xml:space="preserve">, asimismo, </w:t>
      </w:r>
      <w:r w:rsidR="00972105" w:rsidRPr="009B27A5">
        <w:rPr>
          <w:rFonts w:ascii="Arial" w:hAnsi="Arial" w:cs="Arial"/>
          <w:bCs/>
          <w:sz w:val="22"/>
          <w:szCs w:val="22"/>
          <w:lang w:val="es-ES_tradnl" w:eastAsia="es-CO"/>
        </w:rPr>
        <w:t xml:space="preserve">ha </w:t>
      </w:r>
      <w:r w:rsidR="00406599" w:rsidRPr="009B27A5">
        <w:rPr>
          <w:rFonts w:ascii="Arial" w:hAnsi="Arial" w:cs="Arial"/>
          <w:bCs/>
          <w:sz w:val="22"/>
          <w:szCs w:val="22"/>
          <w:lang w:val="es-ES_tradnl" w:eastAsia="es-CO"/>
        </w:rPr>
        <w:t xml:space="preserve">indicado que el acto administrativo es «toda manifestación </w:t>
      </w:r>
      <w:r w:rsidR="00406599" w:rsidRPr="009B27A5">
        <w:rPr>
          <w:rFonts w:ascii="Arial" w:hAnsi="Arial" w:cs="Arial"/>
          <w:bCs/>
          <w:i/>
          <w:iCs/>
          <w:sz w:val="22"/>
          <w:szCs w:val="22"/>
          <w:lang w:val="es-ES_tradnl" w:eastAsia="es-CO"/>
        </w:rPr>
        <w:t>unilateral</w:t>
      </w:r>
      <w:r w:rsidR="00406599" w:rsidRPr="009B27A5">
        <w:rPr>
          <w:rFonts w:ascii="Arial" w:hAnsi="Arial" w:cs="Arial"/>
          <w:bCs/>
          <w:sz w:val="22"/>
          <w:szCs w:val="22"/>
          <w:lang w:val="es-ES_tradnl" w:eastAsia="es-CO"/>
        </w:rPr>
        <w:t>, por regla general de voluntad, de quienes ejercen funciones administrativas, tendiente a la producción de efectos jurídicos» (énfasis fuera de texto).</w:t>
      </w:r>
    </w:p>
    <w:p w14:paraId="6A1B157C" w14:textId="408405EE" w:rsidR="00406599" w:rsidRPr="009B27A5" w:rsidRDefault="00A52478" w:rsidP="00406599">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Una explicación de la unilateralidad</w:t>
      </w:r>
      <w:r w:rsidR="0044414B" w:rsidRPr="009B27A5">
        <w:rPr>
          <w:rFonts w:ascii="Arial" w:hAnsi="Arial" w:cs="Arial"/>
          <w:bCs/>
          <w:sz w:val="22"/>
          <w:szCs w:val="22"/>
          <w:lang w:val="es-ES_tradnl" w:eastAsia="es-CO"/>
        </w:rPr>
        <w:t xml:space="preserve"> </w:t>
      </w:r>
      <w:r w:rsidRPr="009B27A5">
        <w:rPr>
          <w:rFonts w:ascii="Arial" w:hAnsi="Arial" w:cs="Arial"/>
          <w:bCs/>
          <w:sz w:val="22"/>
          <w:szCs w:val="22"/>
          <w:lang w:val="es-ES_tradnl" w:eastAsia="es-CO"/>
        </w:rPr>
        <w:t xml:space="preserve">como elemento definitorio del acto administrativo, en comparación con </w:t>
      </w:r>
      <w:r w:rsidR="00A644CC" w:rsidRPr="009B27A5">
        <w:rPr>
          <w:rFonts w:ascii="Arial" w:hAnsi="Arial" w:cs="Arial"/>
          <w:bCs/>
          <w:sz w:val="22"/>
          <w:szCs w:val="22"/>
          <w:lang w:val="es-ES_tradnl" w:eastAsia="es-CO"/>
        </w:rPr>
        <w:t xml:space="preserve">la bilateralidad propia del contrato, se encuentra suficientemente desarrollada en la obra de </w:t>
      </w:r>
      <w:r w:rsidR="0033112A" w:rsidRPr="009B27A5">
        <w:rPr>
          <w:rFonts w:ascii="Arial" w:hAnsi="Arial" w:cs="Arial"/>
          <w:bCs/>
          <w:sz w:val="22"/>
          <w:szCs w:val="22"/>
          <w:lang w:val="es-ES_tradnl" w:eastAsia="es-CO"/>
        </w:rPr>
        <w:t>José Antonio García-</w:t>
      </w:r>
      <w:proofErr w:type="spellStart"/>
      <w:r w:rsidR="0033112A" w:rsidRPr="009B27A5">
        <w:rPr>
          <w:rFonts w:ascii="Arial" w:hAnsi="Arial" w:cs="Arial"/>
          <w:bCs/>
          <w:sz w:val="22"/>
          <w:szCs w:val="22"/>
          <w:lang w:val="es-ES_tradnl" w:eastAsia="es-CO"/>
        </w:rPr>
        <w:t>Trevijano</w:t>
      </w:r>
      <w:proofErr w:type="spellEnd"/>
      <w:r w:rsidR="0033112A" w:rsidRPr="009B27A5">
        <w:rPr>
          <w:rFonts w:ascii="Arial" w:hAnsi="Arial" w:cs="Arial"/>
          <w:bCs/>
          <w:sz w:val="22"/>
          <w:szCs w:val="22"/>
          <w:lang w:val="es-ES_tradnl" w:eastAsia="es-CO"/>
        </w:rPr>
        <w:t xml:space="preserve"> </w:t>
      </w:r>
      <w:proofErr w:type="spellStart"/>
      <w:r w:rsidR="0033112A" w:rsidRPr="009B27A5">
        <w:rPr>
          <w:rFonts w:ascii="Arial" w:hAnsi="Arial" w:cs="Arial"/>
          <w:bCs/>
          <w:sz w:val="22"/>
          <w:szCs w:val="22"/>
          <w:lang w:val="es-ES_tradnl" w:eastAsia="es-CO"/>
        </w:rPr>
        <w:t>Fos</w:t>
      </w:r>
      <w:proofErr w:type="spellEnd"/>
      <w:r w:rsidR="0033112A" w:rsidRPr="009B27A5">
        <w:rPr>
          <w:rStyle w:val="Refdenotaalpie"/>
          <w:rFonts w:ascii="Arial" w:hAnsi="Arial" w:cs="Arial"/>
          <w:bCs/>
          <w:sz w:val="22"/>
          <w:szCs w:val="22"/>
          <w:lang w:val="es-ES_tradnl" w:eastAsia="es-CO"/>
        </w:rPr>
        <w:footnoteReference w:id="46"/>
      </w:r>
      <w:r w:rsidR="0033112A" w:rsidRPr="009B27A5">
        <w:rPr>
          <w:rFonts w:ascii="Arial" w:hAnsi="Arial" w:cs="Arial"/>
          <w:bCs/>
          <w:sz w:val="22"/>
          <w:szCs w:val="22"/>
          <w:lang w:val="es-ES_tradnl" w:eastAsia="es-CO"/>
        </w:rPr>
        <w:t>.</w:t>
      </w:r>
      <w:r w:rsidR="0088680C" w:rsidRPr="009B27A5">
        <w:rPr>
          <w:rFonts w:ascii="Arial" w:hAnsi="Arial" w:cs="Arial"/>
          <w:bCs/>
          <w:sz w:val="22"/>
          <w:szCs w:val="22"/>
          <w:lang w:val="es-ES_tradnl" w:eastAsia="es-CO"/>
        </w:rPr>
        <w:t xml:space="preserve"> Este autor inicia </w:t>
      </w:r>
      <w:r w:rsidR="00515EA6" w:rsidRPr="009B27A5">
        <w:rPr>
          <w:rFonts w:ascii="Arial" w:hAnsi="Arial" w:cs="Arial"/>
          <w:bCs/>
          <w:sz w:val="22"/>
          <w:szCs w:val="22"/>
          <w:lang w:val="es-ES_tradnl" w:eastAsia="es-CO"/>
        </w:rPr>
        <w:t>su análisis diferenciando el acto administrativo y el contrato</w:t>
      </w:r>
      <w:r w:rsidR="00776DBF" w:rsidRPr="009B27A5">
        <w:rPr>
          <w:rFonts w:ascii="Arial" w:hAnsi="Arial" w:cs="Arial"/>
          <w:bCs/>
          <w:sz w:val="22"/>
          <w:szCs w:val="22"/>
          <w:lang w:val="es-ES_tradnl" w:eastAsia="es-CO"/>
        </w:rPr>
        <w:t xml:space="preserve">, </w:t>
      </w:r>
      <w:r w:rsidR="00594DE2" w:rsidRPr="009B27A5">
        <w:rPr>
          <w:rFonts w:ascii="Arial" w:hAnsi="Arial" w:cs="Arial"/>
          <w:bCs/>
          <w:sz w:val="22"/>
          <w:szCs w:val="22"/>
          <w:lang w:val="es-ES_tradnl" w:eastAsia="es-CO"/>
        </w:rPr>
        <w:t>indicando que</w:t>
      </w:r>
      <w:r w:rsidR="00776DBF" w:rsidRPr="009B27A5">
        <w:rPr>
          <w:rFonts w:ascii="Arial" w:hAnsi="Arial" w:cs="Arial"/>
          <w:bCs/>
          <w:sz w:val="22"/>
          <w:szCs w:val="22"/>
          <w:lang w:val="es-ES_tradnl" w:eastAsia="es-CO"/>
        </w:rPr>
        <w:t xml:space="preserve"> el primero debe ser un acto </w:t>
      </w:r>
      <w:r w:rsidR="00776DBF" w:rsidRPr="009B27A5">
        <w:rPr>
          <w:rFonts w:ascii="Arial" w:hAnsi="Arial" w:cs="Arial"/>
          <w:bCs/>
          <w:i/>
          <w:iCs/>
          <w:sz w:val="22"/>
          <w:szCs w:val="22"/>
          <w:lang w:val="es-ES_tradnl" w:eastAsia="es-CO"/>
        </w:rPr>
        <w:t>unilateral</w:t>
      </w:r>
      <w:r w:rsidR="00776DBF" w:rsidRPr="009B27A5">
        <w:rPr>
          <w:rFonts w:ascii="Arial" w:hAnsi="Arial" w:cs="Arial"/>
          <w:bCs/>
          <w:sz w:val="22"/>
          <w:szCs w:val="22"/>
          <w:lang w:val="es-ES_tradnl" w:eastAsia="es-CO"/>
        </w:rPr>
        <w:t xml:space="preserve">, mientras que el segundo </w:t>
      </w:r>
      <w:r w:rsidR="00594DE2" w:rsidRPr="009B27A5">
        <w:rPr>
          <w:rFonts w:ascii="Arial" w:hAnsi="Arial" w:cs="Arial"/>
          <w:bCs/>
          <w:sz w:val="22"/>
          <w:szCs w:val="22"/>
          <w:lang w:val="es-ES_tradnl" w:eastAsia="es-CO"/>
        </w:rPr>
        <w:t>ha de consistir en</w:t>
      </w:r>
      <w:r w:rsidR="00776DBF" w:rsidRPr="009B27A5">
        <w:rPr>
          <w:rFonts w:ascii="Arial" w:hAnsi="Arial" w:cs="Arial"/>
          <w:bCs/>
          <w:sz w:val="22"/>
          <w:szCs w:val="22"/>
          <w:lang w:val="es-ES_tradnl" w:eastAsia="es-CO"/>
        </w:rPr>
        <w:t xml:space="preserve"> un acto </w:t>
      </w:r>
      <w:r w:rsidR="00776DBF" w:rsidRPr="009B27A5">
        <w:rPr>
          <w:rFonts w:ascii="Arial" w:hAnsi="Arial" w:cs="Arial"/>
          <w:bCs/>
          <w:i/>
          <w:iCs/>
          <w:sz w:val="22"/>
          <w:szCs w:val="22"/>
          <w:lang w:val="es-ES_tradnl" w:eastAsia="es-CO"/>
        </w:rPr>
        <w:t>bilateral</w:t>
      </w:r>
      <w:r w:rsidR="00C454EB" w:rsidRPr="009B27A5">
        <w:rPr>
          <w:rStyle w:val="Refdenotaalpie"/>
          <w:rFonts w:ascii="Arial" w:hAnsi="Arial" w:cs="Arial"/>
          <w:bCs/>
          <w:sz w:val="22"/>
          <w:szCs w:val="22"/>
          <w:lang w:val="es-ES_tradnl" w:eastAsia="es-CO"/>
        </w:rPr>
        <w:footnoteReference w:id="47"/>
      </w:r>
      <w:r w:rsidR="00776DBF" w:rsidRPr="009B27A5">
        <w:rPr>
          <w:rFonts w:ascii="Arial" w:hAnsi="Arial" w:cs="Arial"/>
          <w:bCs/>
          <w:sz w:val="22"/>
          <w:szCs w:val="22"/>
          <w:lang w:val="es-ES_tradnl" w:eastAsia="es-CO"/>
        </w:rPr>
        <w:t>.</w:t>
      </w:r>
      <w:r w:rsidR="00594DE2" w:rsidRPr="009B27A5">
        <w:rPr>
          <w:rFonts w:ascii="Arial" w:hAnsi="Arial" w:cs="Arial"/>
          <w:bCs/>
          <w:sz w:val="22"/>
          <w:szCs w:val="22"/>
          <w:lang w:val="es-ES_tradnl" w:eastAsia="es-CO"/>
        </w:rPr>
        <w:t xml:space="preserve"> </w:t>
      </w:r>
      <w:r w:rsidR="00C454EB" w:rsidRPr="009B27A5">
        <w:rPr>
          <w:rFonts w:ascii="Arial" w:hAnsi="Arial" w:cs="Arial"/>
          <w:bCs/>
          <w:sz w:val="22"/>
          <w:szCs w:val="22"/>
          <w:lang w:val="es-ES_tradnl" w:eastAsia="es-CO"/>
        </w:rPr>
        <w:t>De igual manera, aclara que cuando emplea los conceptos unilateralidad y bilateralidad no está aludiendo a los efectos, sino a la relación jurídica o fuente de la declaración. Esta aclaración es importante</w:t>
      </w:r>
      <w:r w:rsidR="00833FD4" w:rsidRPr="009B27A5">
        <w:rPr>
          <w:rFonts w:ascii="Arial" w:hAnsi="Arial" w:cs="Arial"/>
          <w:bCs/>
          <w:sz w:val="22"/>
          <w:szCs w:val="22"/>
          <w:lang w:val="es-ES_tradnl" w:eastAsia="es-CO"/>
        </w:rPr>
        <w:t>, porque también está sobre la base de las definiciones jurisprudenciales que se mencionaron en el párrafo precedente. Pero, ¿qué quiere decir, por tanto, que el acto administrativo es unilateral</w:t>
      </w:r>
      <w:r w:rsidR="006A0FDD" w:rsidRPr="009B27A5">
        <w:rPr>
          <w:rFonts w:ascii="Arial" w:hAnsi="Arial" w:cs="Arial"/>
          <w:bCs/>
          <w:sz w:val="22"/>
          <w:szCs w:val="22"/>
          <w:lang w:val="es-ES_tradnl" w:eastAsia="es-CO"/>
        </w:rPr>
        <w:t>, en oposición al contrato</w:t>
      </w:r>
      <w:r w:rsidR="00D830C9" w:rsidRPr="009B27A5">
        <w:rPr>
          <w:rFonts w:ascii="Arial" w:hAnsi="Arial" w:cs="Arial"/>
          <w:bCs/>
          <w:sz w:val="22"/>
          <w:szCs w:val="22"/>
          <w:lang w:val="es-ES_tradnl" w:eastAsia="es-CO"/>
        </w:rPr>
        <w:t>,</w:t>
      </w:r>
      <w:r w:rsidR="006A0FDD" w:rsidRPr="009B27A5">
        <w:rPr>
          <w:rFonts w:ascii="Arial" w:hAnsi="Arial" w:cs="Arial"/>
          <w:bCs/>
          <w:sz w:val="22"/>
          <w:szCs w:val="22"/>
          <w:lang w:val="es-ES_tradnl" w:eastAsia="es-CO"/>
        </w:rPr>
        <w:t xml:space="preserve"> que es bilateral –o sea, un negocio jurídico–? García-</w:t>
      </w:r>
      <w:proofErr w:type="spellStart"/>
      <w:r w:rsidR="006A0FDD" w:rsidRPr="009B27A5">
        <w:rPr>
          <w:rFonts w:ascii="Arial" w:hAnsi="Arial" w:cs="Arial"/>
          <w:bCs/>
          <w:sz w:val="22"/>
          <w:szCs w:val="22"/>
          <w:lang w:val="es-ES_tradnl" w:eastAsia="es-CO"/>
        </w:rPr>
        <w:t>Trevijano</w:t>
      </w:r>
      <w:proofErr w:type="spellEnd"/>
      <w:r w:rsidR="006A0FDD" w:rsidRPr="009B27A5">
        <w:rPr>
          <w:rFonts w:ascii="Arial" w:hAnsi="Arial" w:cs="Arial"/>
          <w:bCs/>
          <w:sz w:val="22"/>
          <w:szCs w:val="22"/>
          <w:lang w:val="es-ES_tradnl" w:eastAsia="es-CO"/>
        </w:rPr>
        <w:t xml:space="preserve"> </w:t>
      </w:r>
      <w:proofErr w:type="spellStart"/>
      <w:r w:rsidR="006A0FDD" w:rsidRPr="009B27A5">
        <w:rPr>
          <w:rFonts w:ascii="Arial" w:hAnsi="Arial" w:cs="Arial"/>
          <w:bCs/>
          <w:sz w:val="22"/>
          <w:szCs w:val="22"/>
          <w:lang w:val="es-ES_tradnl" w:eastAsia="es-CO"/>
        </w:rPr>
        <w:t>Fos</w:t>
      </w:r>
      <w:proofErr w:type="spellEnd"/>
      <w:r w:rsidR="006A0FDD" w:rsidRPr="009B27A5">
        <w:rPr>
          <w:rFonts w:ascii="Arial" w:hAnsi="Arial" w:cs="Arial"/>
          <w:bCs/>
          <w:sz w:val="22"/>
          <w:szCs w:val="22"/>
          <w:lang w:val="es-ES_tradnl" w:eastAsia="es-CO"/>
        </w:rPr>
        <w:t xml:space="preserve"> </w:t>
      </w:r>
      <w:r w:rsidR="00036D53" w:rsidRPr="009B27A5">
        <w:rPr>
          <w:rFonts w:ascii="Arial" w:hAnsi="Arial" w:cs="Arial"/>
          <w:bCs/>
          <w:sz w:val="22"/>
          <w:szCs w:val="22"/>
          <w:lang w:val="es-ES_tradnl" w:eastAsia="es-CO"/>
        </w:rPr>
        <w:t>lo aclar</w:t>
      </w:r>
      <w:r w:rsidR="00EB3B54" w:rsidRPr="009B27A5">
        <w:rPr>
          <w:rFonts w:ascii="Arial" w:hAnsi="Arial" w:cs="Arial"/>
          <w:bCs/>
          <w:sz w:val="22"/>
          <w:szCs w:val="22"/>
          <w:lang w:val="es-ES_tradnl" w:eastAsia="es-CO"/>
        </w:rPr>
        <w:t>a así</w:t>
      </w:r>
      <w:r w:rsidR="006A0FDD" w:rsidRPr="009B27A5">
        <w:rPr>
          <w:rFonts w:ascii="Arial" w:hAnsi="Arial" w:cs="Arial"/>
          <w:bCs/>
          <w:sz w:val="22"/>
          <w:szCs w:val="22"/>
          <w:lang w:val="es-ES_tradnl" w:eastAsia="es-CO"/>
        </w:rPr>
        <w:t xml:space="preserve">: </w:t>
      </w:r>
    </w:p>
    <w:p w14:paraId="58E273EC" w14:textId="77777777" w:rsidR="007C5DA2" w:rsidRPr="009B27A5" w:rsidRDefault="007C5DA2" w:rsidP="007C5DA2">
      <w:pPr>
        <w:ind w:left="709" w:right="709"/>
        <w:jc w:val="both"/>
        <w:rPr>
          <w:rFonts w:ascii="Arial" w:hAnsi="Arial" w:cs="Arial"/>
          <w:bCs/>
          <w:sz w:val="21"/>
          <w:szCs w:val="21"/>
          <w:lang w:val="es-ES_tradnl" w:eastAsia="es-CO"/>
        </w:rPr>
      </w:pPr>
    </w:p>
    <w:p w14:paraId="1933C9D4" w14:textId="7883A1AC" w:rsidR="00EB3B54" w:rsidRPr="009B27A5" w:rsidRDefault="00EB3B54" w:rsidP="007C5DA2">
      <w:pPr>
        <w:ind w:left="709" w:right="709"/>
        <w:jc w:val="both"/>
        <w:rPr>
          <w:rFonts w:ascii="Arial" w:hAnsi="Arial" w:cs="Arial"/>
          <w:bCs/>
          <w:sz w:val="21"/>
          <w:szCs w:val="21"/>
          <w:lang w:val="es-ES_tradnl" w:eastAsia="es-CO"/>
        </w:rPr>
      </w:pPr>
      <w:r w:rsidRPr="009B27A5">
        <w:rPr>
          <w:rFonts w:ascii="Arial" w:hAnsi="Arial" w:cs="Arial"/>
          <w:bCs/>
          <w:sz w:val="21"/>
          <w:szCs w:val="21"/>
          <w:lang w:val="es-ES_tradnl" w:eastAsia="es-CO"/>
        </w:rPr>
        <w:t>La unilateralidad en el Derecho administrativo</w:t>
      </w:r>
      <w:r w:rsidR="005C12DB" w:rsidRPr="009B27A5">
        <w:rPr>
          <w:rFonts w:ascii="Arial" w:hAnsi="Arial" w:cs="Arial"/>
          <w:bCs/>
          <w:sz w:val="21"/>
          <w:szCs w:val="21"/>
          <w:lang w:val="es-ES_tradnl" w:eastAsia="es-CO"/>
        </w:rPr>
        <w:t xml:space="preserve"> hay que encontrarla en el origen de la relación jurídica y de aquí la irrelevancia de la voluntad del administrado que, aunque</w:t>
      </w:r>
      <w:r w:rsidR="009B0E0F" w:rsidRPr="009B27A5">
        <w:rPr>
          <w:rFonts w:ascii="Arial" w:hAnsi="Arial" w:cs="Arial"/>
          <w:bCs/>
          <w:sz w:val="21"/>
          <w:szCs w:val="21"/>
          <w:lang w:val="es-ES_tradnl" w:eastAsia="es-CO"/>
        </w:rPr>
        <w:t xml:space="preserve"> ponga en marcha un procedimiento y el acto que se dicte al final sea a su petición,</w:t>
      </w:r>
      <w:r w:rsidR="00D46FAA" w:rsidRPr="009B27A5">
        <w:rPr>
          <w:rFonts w:ascii="Arial" w:hAnsi="Arial" w:cs="Arial"/>
          <w:bCs/>
          <w:sz w:val="21"/>
          <w:szCs w:val="21"/>
          <w:lang w:val="es-ES_tradnl" w:eastAsia="es-CO"/>
        </w:rPr>
        <w:t xml:space="preserve"> no tiene fuerza suficiente para generar un contrato.</w:t>
      </w:r>
      <w:r w:rsidR="005B150B" w:rsidRPr="009B27A5">
        <w:rPr>
          <w:rFonts w:ascii="Arial" w:hAnsi="Arial" w:cs="Arial"/>
          <w:bCs/>
          <w:sz w:val="21"/>
          <w:szCs w:val="21"/>
          <w:lang w:val="es-ES_tradnl" w:eastAsia="es-CO"/>
        </w:rPr>
        <w:t xml:space="preserve"> De mantener una tesis contractualista habría que llegar a consecuencias aberrantes porque serían contratos</w:t>
      </w:r>
      <w:r w:rsidR="00A3559E" w:rsidRPr="009B27A5">
        <w:rPr>
          <w:rFonts w:ascii="Arial" w:hAnsi="Arial" w:cs="Arial"/>
          <w:bCs/>
          <w:sz w:val="21"/>
          <w:szCs w:val="21"/>
          <w:lang w:val="es-ES_tradnl" w:eastAsia="es-CO"/>
        </w:rPr>
        <w:t>, es decir, actos bilaterales por su origen, los convenios expropiatorios, la imposición de multas</w:t>
      </w:r>
      <w:r w:rsidR="0072544A" w:rsidRPr="009B27A5">
        <w:rPr>
          <w:rFonts w:ascii="Arial" w:hAnsi="Arial" w:cs="Arial"/>
          <w:bCs/>
          <w:sz w:val="21"/>
          <w:szCs w:val="21"/>
          <w:lang w:val="es-ES_tradnl" w:eastAsia="es-CO"/>
        </w:rPr>
        <w:t xml:space="preserve"> con aceptación, el servicio militar como voluntario, los recursos administrativos estimados</w:t>
      </w:r>
      <w:r w:rsidR="00E23621" w:rsidRPr="009B27A5">
        <w:rPr>
          <w:rFonts w:ascii="Arial" w:hAnsi="Arial" w:cs="Arial"/>
          <w:bCs/>
          <w:sz w:val="21"/>
          <w:szCs w:val="21"/>
          <w:lang w:val="es-ES_tradnl" w:eastAsia="es-CO"/>
        </w:rPr>
        <w:t xml:space="preserve"> y, en fin, todo acto jurídico procedente de la Administración a instancia de parte</w:t>
      </w:r>
      <w:r w:rsidR="007C5DA2" w:rsidRPr="009B27A5">
        <w:rPr>
          <w:rFonts w:ascii="Arial" w:hAnsi="Arial" w:cs="Arial"/>
          <w:bCs/>
          <w:sz w:val="21"/>
          <w:szCs w:val="21"/>
          <w:lang w:val="es-ES_tradnl" w:eastAsia="es-CO"/>
        </w:rPr>
        <w:t xml:space="preserve"> se transformaría en un contrato</w:t>
      </w:r>
      <w:r w:rsidR="004D2F4A" w:rsidRPr="009B27A5">
        <w:rPr>
          <w:rStyle w:val="Refdenotaalpie"/>
          <w:rFonts w:ascii="Arial" w:hAnsi="Arial" w:cs="Arial"/>
          <w:bCs/>
          <w:sz w:val="21"/>
          <w:szCs w:val="21"/>
          <w:lang w:val="es-ES_tradnl" w:eastAsia="es-CO"/>
        </w:rPr>
        <w:footnoteReference w:id="48"/>
      </w:r>
      <w:r w:rsidR="007C5DA2" w:rsidRPr="009B27A5">
        <w:rPr>
          <w:rFonts w:ascii="Arial" w:hAnsi="Arial" w:cs="Arial"/>
          <w:bCs/>
          <w:sz w:val="21"/>
          <w:szCs w:val="21"/>
          <w:lang w:val="es-ES_tradnl" w:eastAsia="es-CO"/>
        </w:rPr>
        <w:t>.</w:t>
      </w:r>
    </w:p>
    <w:p w14:paraId="3D28D122" w14:textId="4B4B01CF" w:rsidR="00F53D10" w:rsidRPr="009B27A5" w:rsidRDefault="00F53D10" w:rsidP="00F53D10">
      <w:pPr>
        <w:spacing w:line="276" w:lineRule="auto"/>
        <w:ind w:firstLine="709"/>
        <w:jc w:val="both"/>
        <w:rPr>
          <w:rFonts w:ascii="Arial" w:hAnsi="Arial" w:cs="Arial"/>
          <w:bCs/>
          <w:sz w:val="22"/>
          <w:szCs w:val="22"/>
          <w:lang w:val="es-ES_tradnl" w:eastAsia="es-CO"/>
        </w:rPr>
      </w:pPr>
    </w:p>
    <w:p w14:paraId="6D3F25E5" w14:textId="35E2BCA2" w:rsidR="00D56CBC" w:rsidRPr="009B27A5" w:rsidRDefault="003C0012" w:rsidP="003C0012">
      <w:pPr>
        <w:spacing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Es cierto que en ocasiones el destinatario del acto administrativo acepta la decisión contenida en </w:t>
      </w:r>
      <w:r w:rsidR="006A2BEE" w:rsidRPr="009B27A5">
        <w:rPr>
          <w:rFonts w:ascii="Arial" w:hAnsi="Arial" w:cs="Arial"/>
          <w:bCs/>
          <w:sz w:val="22"/>
          <w:szCs w:val="22"/>
          <w:lang w:val="es-ES_tradnl" w:eastAsia="es-CO"/>
        </w:rPr>
        <w:t>este</w:t>
      </w:r>
      <w:r w:rsidRPr="009B27A5">
        <w:rPr>
          <w:rFonts w:ascii="Arial" w:hAnsi="Arial" w:cs="Arial"/>
          <w:bCs/>
          <w:sz w:val="22"/>
          <w:szCs w:val="22"/>
          <w:lang w:val="es-ES_tradnl" w:eastAsia="es-CO"/>
        </w:rPr>
        <w:t xml:space="preserve"> –por ejemplo,</w:t>
      </w:r>
      <w:r w:rsidR="006A2BEE" w:rsidRPr="009B27A5">
        <w:rPr>
          <w:rFonts w:ascii="Arial" w:hAnsi="Arial" w:cs="Arial"/>
          <w:bCs/>
          <w:sz w:val="22"/>
          <w:szCs w:val="22"/>
          <w:lang w:val="es-ES_tradnl" w:eastAsia="es-CO"/>
        </w:rPr>
        <w:t xml:space="preserve"> accede a pagar la multa impuesta, </w:t>
      </w:r>
      <w:r w:rsidR="00B263B3" w:rsidRPr="009B27A5">
        <w:rPr>
          <w:rFonts w:ascii="Arial" w:hAnsi="Arial" w:cs="Arial"/>
          <w:bCs/>
          <w:sz w:val="22"/>
          <w:szCs w:val="22"/>
          <w:lang w:val="es-ES_tradnl" w:eastAsia="es-CO"/>
        </w:rPr>
        <w:t xml:space="preserve">recibe el subsidio, </w:t>
      </w:r>
      <w:r w:rsidR="006A2BEE" w:rsidRPr="009B27A5">
        <w:rPr>
          <w:rFonts w:ascii="Arial" w:hAnsi="Arial" w:cs="Arial"/>
          <w:bCs/>
          <w:sz w:val="22"/>
          <w:szCs w:val="22"/>
          <w:lang w:val="es-ES_tradnl" w:eastAsia="es-CO"/>
        </w:rPr>
        <w:t xml:space="preserve">se </w:t>
      </w:r>
      <w:r w:rsidR="006A2BEE" w:rsidRPr="009B27A5">
        <w:rPr>
          <w:rFonts w:ascii="Arial" w:hAnsi="Arial" w:cs="Arial"/>
          <w:bCs/>
          <w:sz w:val="22"/>
          <w:szCs w:val="22"/>
          <w:lang w:val="es-ES_tradnl" w:eastAsia="es-CO"/>
        </w:rPr>
        <w:lastRenderedPageBreak/>
        <w:t>posesiona en el cargo para el cual fue nombrado</w:t>
      </w:r>
      <w:r w:rsidR="00A81E43" w:rsidRPr="009B27A5">
        <w:rPr>
          <w:rFonts w:ascii="Arial" w:hAnsi="Arial" w:cs="Arial"/>
          <w:bCs/>
          <w:sz w:val="22"/>
          <w:szCs w:val="22"/>
          <w:lang w:val="es-ES_tradnl" w:eastAsia="es-CO"/>
        </w:rPr>
        <w:t xml:space="preserve"> o no lo recurre (lo que podría entenderse como una aceptación tácita)–, pero esto no significa que</w:t>
      </w:r>
      <w:r w:rsidR="00A65EDE" w:rsidRPr="009B27A5">
        <w:rPr>
          <w:rFonts w:ascii="Arial" w:hAnsi="Arial" w:cs="Arial"/>
          <w:bCs/>
          <w:sz w:val="22"/>
          <w:szCs w:val="22"/>
          <w:lang w:val="es-ES_tradnl" w:eastAsia="es-CO"/>
        </w:rPr>
        <w:t>,</w:t>
      </w:r>
      <w:r w:rsidR="00A81E43" w:rsidRPr="009B27A5">
        <w:rPr>
          <w:rFonts w:ascii="Arial" w:hAnsi="Arial" w:cs="Arial"/>
          <w:bCs/>
          <w:sz w:val="22"/>
          <w:szCs w:val="22"/>
          <w:lang w:val="es-ES_tradnl" w:eastAsia="es-CO"/>
        </w:rPr>
        <w:t xml:space="preserve"> por haber</w:t>
      </w:r>
      <w:r w:rsidR="00A120A7" w:rsidRPr="009B27A5">
        <w:rPr>
          <w:rFonts w:ascii="Arial" w:hAnsi="Arial" w:cs="Arial"/>
          <w:bCs/>
          <w:sz w:val="22"/>
          <w:szCs w:val="22"/>
          <w:lang w:val="es-ES_tradnl" w:eastAsia="es-CO"/>
        </w:rPr>
        <w:t xml:space="preserve"> tolerado o estado de acuerdo </w:t>
      </w:r>
      <w:r w:rsidR="00C1684D" w:rsidRPr="009B27A5">
        <w:rPr>
          <w:rFonts w:ascii="Arial" w:hAnsi="Arial" w:cs="Arial"/>
          <w:bCs/>
          <w:sz w:val="22"/>
          <w:szCs w:val="22"/>
          <w:lang w:val="es-ES_tradnl" w:eastAsia="es-CO"/>
        </w:rPr>
        <w:t>con</w:t>
      </w:r>
      <w:r w:rsidR="00A120A7" w:rsidRPr="009B27A5">
        <w:rPr>
          <w:rFonts w:ascii="Arial" w:hAnsi="Arial" w:cs="Arial"/>
          <w:bCs/>
          <w:sz w:val="22"/>
          <w:szCs w:val="22"/>
          <w:lang w:val="es-ES_tradnl" w:eastAsia="es-CO"/>
        </w:rPr>
        <w:t xml:space="preserve"> el acto administrativo</w:t>
      </w:r>
      <w:r w:rsidR="00A65EDE" w:rsidRPr="009B27A5">
        <w:rPr>
          <w:rFonts w:ascii="Arial" w:hAnsi="Arial" w:cs="Arial"/>
          <w:bCs/>
          <w:sz w:val="22"/>
          <w:szCs w:val="22"/>
          <w:lang w:val="es-ES_tradnl" w:eastAsia="es-CO"/>
        </w:rPr>
        <w:t>,</w:t>
      </w:r>
      <w:r w:rsidR="00A120A7" w:rsidRPr="009B27A5">
        <w:rPr>
          <w:rFonts w:ascii="Arial" w:hAnsi="Arial" w:cs="Arial"/>
          <w:bCs/>
          <w:sz w:val="22"/>
          <w:szCs w:val="22"/>
          <w:lang w:val="es-ES_tradnl" w:eastAsia="es-CO"/>
        </w:rPr>
        <w:t xml:space="preserve"> este se convierta en un contrato.</w:t>
      </w:r>
      <w:r w:rsidR="00A62335" w:rsidRPr="009B27A5">
        <w:rPr>
          <w:rFonts w:ascii="Arial" w:hAnsi="Arial" w:cs="Arial"/>
          <w:bCs/>
          <w:sz w:val="22"/>
          <w:szCs w:val="22"/>
          <w:lang w:val="es-ES_tradnl" w:eastAsia="es-CO"/>
        </w:rPr>
        <w:t xml:space="preserve"> En </w:t>
      </w:r>
      <w:r w:rsidR="00A65EDE" w:rsidRPr="009B27A5">
        <w:rPr>
          <w:rFonts w:ascii="Arial" w:hAnsi="Arial" w:cs="Arial"/>
          <w:bCs/>
          <w:sz w:val="22"/>
          <w:szCs w:val="22"/>
          <w:lang w:val="es-ES_tradnl" w:eastAsia="es-CO"/>
        </w:rPr>
        <w:t>tales</w:t>
      </w:r>
      <w:r w:rsidR="00A62335" w:rsidRPr="009B27A5">
        <w:rPr>
          <w:rFonts w:ascii="Arial" w:hAnsi="Arial" w:cs="Arial"/>
          <w:bCs/>
          <w:sz w:val="22"/>
          <w:szCs w:val="22"/>
          <w:lang w:val="es-ES_tradnl" w:eastAsia="es-CO"/>
        </w:rPr>
        <w:t xml:space="preserve"> eventos el acto administrativo no pierde su naturaleza de declaración </w:t>
      </w:r>
      <w:r w:rsidR="00A62335" w:rsidRPr="009B27A5">
        <w:rPr>
          <w:rFonts w:ascii="Arial" w:hAnsi="Arial" w:cs="Arial"/>
          <w:bCs/>
          <w:i/>
          <w:iCs/>
          <w:sz w:val="22"/>
          <w:szCs w:val="22"/>
          <w:lang w:val="es-ES_tradnl" w:eastAsia="es-CO"/>
        </w:rPr>
        <w:t>unilateral</w:t>
      </w:r>
      <w:r w:rsidR="00A62335" w:rsidRPr="009B27A5">
        <w:rPr>
          <w:rFonts w:ascii="Arial" w:hAnsi="Arial" w:cs="Arial"/>
          <w:bCs/>
          <w:sz w:val="22"/>
          <w:szCs w:val="22"/>
          <w:lang w:val="es-ES_tradnl" w:eastAsia="es-CO"/>
        </w:rPr>
        <w:t xml:space="preserve"> de voluntad</w:t>
      </w:r>
      <w:r w:rsidR="00FC7F00" w:rsidRPr="009B27A5">
        <w:rPr>
          <w:rFonts w:ascii="Arial" w:hAnsi="Arial" w:cs="Arial"/>
          <w:bCs/>
          <w:sz w:val="22"/>
          <w:szCs w:val="22"/>
          <w:lang w:val="es-ES_tradnl" w:eastAsia="es-CO"/>
        </w:rPr>
        <w:t xml:space="preserve">, </w:t>
      </w:r>
      <w:r w:rsidR="00A62335" w:rsidRPr="009B27A5">
        <w:rPr>
          <w:rFonts w:ascii="Arial" w:hAnsi="Arial" w:cs="Arial"/>
          <w:bCs/>
          <w:sz w:val="22"/>
          <w:szCs w:val="22"/>
          <w:lang w:val="es-ES_tradnl" w:eastAsia="es-CO"/>
        </w:rPr>
        <w:t>porque se perfeccionó</w:t>
      </w:r>
      <w:r w:rsidR="00F34F5B" w:rsidRPr="009B27A5">
        <w:rPr>
          <w:rFonts w:ascii="Arial" w:hAnsi="Arial" w:cs="Arial"/>
          <w:bCs/>
          <w:sz w:val="22"/>
          <w:szCs w:val="22"/>
          <w:lang w:val="es-ES_tradnl" w:eastAsia="es-CO"/>
        </w:rPr>
        <w:t xml:space="preserve"> siendo eso: una decisión.</w:t>
      </w:r>
      <w:r w:rsidR="00D56CBC" w:rsidRPr="009B27A5">
        <w:rPr>
          <w:rFonts w:ascii="Arial" w:hAnsi="Arial" w:cs="Arial"/>
          <w:bCs/>
          <w:sz w:val="22"/>
          <w:szCs w:val="22"/>
          <w:lang w:val="es-ES_tradnl" w:eastAsia="es-CO"/>
        </w:rPr>
        <w:t xml:space="preserve"> </w:t>
      </w:r>
      <w:r w:rsidR="00F34F5B" w:rsidRPr="009B27A5">
        <w:rPr>
          <w:rFonts w:ascii="Arial" w:hAnsi="Arial" w:cs="Arial"/>
          <w:bCs/>
          <w:sz w:val="22"/>
          <w:szCs w:val="22"/>
          <w:lang w:val="es-ES_tradnl" w:eastAsia="es-CO"/>
        </w:rPr>
        <w:t xml:space="preserve">Por tanto, la declaración </w:t>
      </w:r>
      <w:r w:rsidR="00F34F5B" w:rsidRPr="009B27A5">
        <w:rPr>
          <w:rFonts w:ascii="Arial" w:hAnsi="Arial" w:cs="Arial"/>
          <w:bCs/>
          <w:i/>
          <w:iCs/>
          <w:sz w:val="22"/>
          <w:szCs w:val="22"/>
          <w:lang w:val="es-ES_tradnl" w:eastAsia="es-CO"/>
        </w:rPr>
        <w:t>posterior</w:t>
      </w:r>
      <w:r w:rsidR="00F97141" w:rsidRPr="009B27A5">
        <w:rPr>
          <w:rFonts w:ascii="Arial" w:hAnsi="Arial" w:cs="Arial"/>
          <w:bCs/>
          <w:sz w:val="22"/>
          <w:szCs w:val="22"/>
          <w:lang w:val="es-ES_tradnl" w:eastAsia="es-CO"/>
        </w:rPr>
        <w:t xml:space="preserve"> de un sujeto </w:t>
      </w:r>
      <w:r w:rsidR="00873E79" w:rsidRPr="009B27A5">
        <w:rPr>
          <w:rFonts w:ascii="Arial" w:hAnsi="Arial" w:cs="Arial"/>
          <w:bCs/>
          <w:sz w:val="22"/>
          <w:szCs w:val="22"/>
          <w:lang w:val="es-ES_tradnl" w:eastAsia="es-CO"/>
        </w:rPr>
        <w:t>mostrándose conforme con</w:t>
      </w:r>
      <w:r w:rsidR="00F97141" w:rsidRPr="009B27A5">
        <w:rPr>
          <w:rFonts w:ascii="Arial" w:hAnsi="Arial" w:cs="Arial"/>
          <w:bCs/>
          <w:sz w:val="22"/>
          <w:szCs w:val="22"/>
          <w:lang w:val="es-ES_tradnl" w:eastAsia="es-CO"/>
        </w:rPr>
        <w:t xml:space="preserve"> lo decidido o cumpliendo lo dispuesto</w:t>
      </w:r>
      <w:r w:rsidR="00D56CBC" w:rsidRPr="009B27A5">
        <w:rPr>
          <w:rFonts w:ascii="Arial" w:hAnsi="Arial" w:cs="Arial"/>
          <w:bCs/>
          <w:sz w:val="22"/>
          <w:szCs w:val="22"/>
          <w:lang w:val="es-ES_tradnl" w:eastAsia="es-CO"/>
        </w:rPr>
        <w:t xml:space="preserve"> en </w:t>
      </w:r>
      <w:r w:rsidR="00873E79" w:rsidRPr="009B27A5">
        <w:rPr>
          <w:rFonts w:ascii="Arial" w:hAnsi="Arial" w:cs="Arial"/>
          <w:bCs/>
          <w:sz w:val="22"/>
          <w:szCs w:val="22"/>
          <w:lang w:val="es-ES_tradnl" w:eastAsia="es-CO"/>
        </w:rPr>
        <w:t>la resolución</w:t>
      </w:r>
      <w:r w:rsidR="00F34F5B" w:rsidRPr="009B27A5">
        <w:rPr>
          <w:rFonts w:ascii="Arial" w:hAnsi="Arial" w:cs="Arial"/>
          <w:bCs/>
          <w:sz w:val="22"/>
          <w:szCs w:val="22"/>
          <w:lang w:val="es-ES_tradnl" w:eastAsia="es-CO"/>
        </w:rPr>
        <w:t xml:space="preserve"> no cambia la naturaleza del acto administrativo, pues este completa sus requisitos de existencia desde que se presenta </w:t>
      </w:r>
      <w:r w:rsidR="00D56CBC" w:rsidRPr="009B27A5">
        <w:rPr>
          <w:rFonts w:ascii="Arial" w:hAnsi="Arial" w:cs="Arial"/>
          <w:bCs/>
          <w:sz w:val="22"/>
          <w:szCs w:val="22"/>
          <w:lang w:val="es-ES_tradnl" w:eastAsia="es-CO"/>
        </w:rPr>
        <w:t xml:space="preserve">la </w:t>
      </w:r>
      <w:r w:rsidR="00F34F5B" w:rsidRPr="009B27A5">
        <w:rPr>
          <w:rFonts w:ascii="Arial" w:hAnsi="Arial" w:cs="Arial"/>
          <w:bCs/>
          <w:sz w:val="22"/>
          <w:szCs w:val="22"/>
          <w:lang w:val="es-ES_tradnl" w:eastAsia="es-CO"/>
        </w:rPr>
        <w:t xml:space="preserve">declaración unilateral. </w:t>
      </w:r>
      <w:r w:rsidR="006D080E" w:rsidRPr="009B27A5">
        <w:rPr>
          <w:rFonts w:ascii="Arial" w:hAnsi="Arial" w:cs="Arial"/>
          <w:bCs/>
          <w:sz w:val="22"/>
          <w:szCs w:val="22"/>
          <w:lang w:val="es-ES_tradnl" w:eastAsia="es-CO"/>
        </w:rPr>
        <w:t>De ahí la relevancia de fijarse en el origen de la relación jurídica para apreciar la unilateralidad</w:t>
      </w:r>
      <w:r w:rsidR="00D56CBC" w:rsidRPr="009B27A5">
        <w:rPr>
          <w:rFonts w:ascii="Arial" w:hAnsi="Arial" w:cs="Arial"/>
          <w:bCs/>
          <w:sz w:val="22"/>
          <w:szCs w:val="22"/>
          <w:lang w:val="es-ES_tradnl" w:eastAsia="es-CO"/>
        </w:rPr>
        <w:t xml:space="preserve"> y no en sus efectos</w:t>
      </w:r>
      <w:r w:rsidR="006D080E" w:rsidRPr="009B27A5">
        <w:rPr>
          <w:rFonts w:ascii="Arial" w:hAnsi="Arial" w:cs="Arial"/>
          <w:bCs/>
          <w:sz w:val="22"/>
          <w:szCs w:val="22"/>
          <w:lang w:val="es-ES_tradnl" w:eastAsia="es-CO"/>
        </w:rPr>
        <w:t xml:space="preserve">. </w:t>
      </w:r>
    </w:p>
    <w:p w14:paraId="562E8CEB" w14:textId="4FD34931" w:rsidR="00CC0723" w:rsidRPr="009B27A5" w:rsidRDefault="00352091" w:rsidP="00D56CBC">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Circunstancia distinta es aquella</w:t>
      </w:r>
      <w:r w:rsidR="00D56CBC" w:rsidRPr="009B27A5">
        <w:rPr>
          <w:rFonts w:ascii="Arial" w:hAnsi="Arial" w:cs="Arial"/>
          <w:bCs/>
          <w:sz w:val="22"/>
          <w:szCs w:val="22"/>
          <w:lang w:val="es-ES_tradnl" w:eastAsia="es-CO"/>
        </w:rPr>
        <w:t xml:space="preserve"> en la que dos sujetos –públicos, privados o entremezclados– acuerden algo</w:t>
      </w:r>
      <w:r w:rsidR="00743095" w:rsidRPr="009B27A5">
        <w:rPr>
          <w:rFonts w:ascii="Arial" w:hAnsi="Arial" w:cs="Arial"/>
          <w:bCs/>
          <w:sz w:val="22"/>
          <w:szCs w:val="22"/>
          <w:lang w:val="es-ES_tradnl" w:eastAsia="es-CO"/>
        </w:rPr>
        <w:t xml:space="preserve">, produciendo </w:t>
      </w:r>
      <w:r w:rsidR="00743095" w:rsidRPr="009B27A5">
        <w:rPr>
          <w:rFonts w:ascii="Arial" w:hAnsi="Arial" w:cs="Arial"/>
          <w:bCs/>
          <w:i/>
          <w:iCs/>
          <w:sz w:val="22"/>
          <w:szCs w:val="22"/>
          <w:lang w:val="es-ES_tradnl" w:eastAsia="es-CO"/>
        </w:rPr>
        <w:t>en su origen</w:t>
      </w:r>
      <w:r w:rsidR="00743095" w:rsidRPr="009B27A5">
        <w:rPr>
          <w:rFonts w:ascii="Arial" w:hAnsi="Arial" w:cs="Arial"/>
          <w:bCs/>
          <w:sz w:val="22"/>
          <w:szCs w:val="22"/>
          <w:lang w:val="es-ES_tradnl" w:eastAsia="es-CO"/>
        </w:rPr>
        <w:t xml:space="preserve"> un contrato</w:t>
      </w:r>
      <w:r w:rsidR="009B1DA0" w:rsidRPr="009B27A5">
        <w:rPr>
          <w:rFonts w:ascii="Arial" w:hAnsi="Arial" w:cs="Arial"/>
          <w:bCs/>
          <w:sz w:val="22"/>
          <w:szCs w:val="22"/>
          <w:lang w:val="es-ES_tradnl" w:eastAsia="es-CO"/>
        </w:rPr>
        <w:t>, bien sea desde que se exprese el consentimiento</w:t>
      </w:r>
      <w:r w:rsidR="005F40A5" w:rsidRPr="009B27A5">
        <w:rPr>
          <w:rFonts w:ascii="Arial" w:hAnsi="Arial" w:cs="Arial"/>
          <w:bCs/>
          <w:sz w:val="22"/>
          <w:szCs w:val="22"/>
          <w:lang w:val="es-ES_tradnl" w:eastAsia="es-CO"/>
        </w:rPr>
        <w:t xml:space="preserve"> </w:t>
      </w:r>
      <w:r w:rsidR="00873E79" w:rsidRPr="009B27A5">
        <w:rPr>
          <w:rFonts w:ascii="Arial" w:hAnsi="Arial" w:cs="Arial"/>
          <w:bCs/>
          <w:sz w:val="22"/>
          <w:szCs w:val="22"/>
          <w:lang w:val="es-ES_tradnl" w:eastAsia="es-CO"/>
        </w:rPr>
        <w:t>–</w:t>
      </w:r>
      <w:r w:rsidR="005F40A5" w:rsidRPr="009B27A5">
        <w:rPr>
          <w:rFonts w:ascii="Arial" w:hAnsi="Arial" w:cs="Arial"/>
          <w:bCs/>
          <w:sz w:val="22"/>
          <w:szCs w:val="22"/>
          <w:lang w:val="es-ES_tradnl" w:eastAsia="es-CO"/>
        </w:rPr>
        <w:t>contrato consensual</w:t>
      </w:r>
      <w:r w:rsidR="00873E79" w:rsidRPr="009B27A5">
        <w:rPr>
          <w:rFonts w:ascii="Arial" w:hAnsi="Arial" w:cs="Arial"/>
          <w:bCs/>
          <w:sz w:val="22"/>
          <w:szCs w:val="22"/>
          <w:lang w:val="es-ES_tradnl" w:eastAsia="es-CO"/>
        </w:rPr>
        <w:t>–</w:t>
      </w:r>
      <w:r w:rsidR="009B1DA0" w:rsidRPr="009B27A5">
        <w:rPr>
          <w:rFonts w:ascii="Arial" w:hAnsi="Arial" w:cs="Arial"/>
          <w:bCs/>
          <w:sz w:val="22"/>
          <w:szCs w:val="22"/>
          <w:lang w:val="es-ES_tradnl" w:eastAsia="es-CO"/>
        </w:rPr>
        <w:t>, se entregue una cosa</w:t>
      </w:r>
      <w:r w:rsidR="005F40A5" w:rsidRPr="009B27A5">
        <w:rPr>
          <w:rFonts w:ascii="Arial" w:hAnsi="Arial" w:cs="Arial"/>
          <w:bCs/>
          <w:sz w:val="22"/>
          <w:szCs w:val="22"/>
          <w:lang w:val="es-ES_tradnl" w:eastAsia="es-CO"/>
        </w:rPr>
        <w:t xml:space="preserve"> </w:t>
      </w:r>
      <w:r w:rsidR="00873E79" w:rsidRPr="009B27A5">
        <w:rPr>
          <w:rFonts w:ascii="Arial" w:hAnsi="Arial" w:cs="Arial"/>
          <w:bCs/>
          <w:sz w:val="22"/>
          <w:szCs w:val="22"/>
          <w:lang w:val="es-ES_tradnl" w:eastAsia="es-CO"/>
        </w:rPr>
        <w:t>–</w:t>
      </w:r>
      <w:r w:rsidR="005F40A5" w:rsidRPr="009B27A5">
        <w:rPr>
          <w:rFonts w:ascii="Arial" w:hAnsi="Arial" w:cs="Arial"/>
          <w:bCs/>
          <w:sz w:val="22"/>
          <w:szCs w:val="22"/>
          <w:lang w:val="es-ES_tradnl" w:eastAsia="es-CO"/>
        </w:rPr>
        <w:t>contrato real</w:t>
      </w:r>
      <w:r w:rsidR="00873E79" w:rsidRPr="009B27A5">
        <w:rPr>
          <w:rFonts w:ascii="Arial" w:hAnsi="Arial" w:cs="Arial"/>
          <w:bCs/>
          <w:sz w:val="22"/>
          <w:szCs w:val="22"/>
          <w:lang w:val="es-ES_tradnl" w:eastAsia="es-CO"/>
        </w:rPr>
        <w:t>–</w:t>
      </w:r>
      <w:r w:rsidR="009B1DA0" w:rsidRPr="009B27A5">
        <w:rPr>
          <w:rFonts w:ascii="Arial" w:hAnsi="Arial" w:cs="Arial"/>
          <w:bCs/>
          <w:sz w:val="22"/>
          <w:szCs w:val="22"/>
          <w:lang w:val="es-ES_tradnl" w:eastAsia="es-CO"/>
        </w:rPr>
        <w:t xml:space="preserve"> o se cumple con la solemnidad habilitante</w:t>
      </w:r>
      <w:r w:rsidR="005F40A5" w:rsidRPr="009B27A5">
        <w:rPr>
          <w:rFonts w:ascii="Arial" w:hAnsi="Arial" w:cs="Arial"/>
          <w:bCs/>
          <w:sz w:val="22"/>
          <w:szCs w:val="22"/>
          <w:lang w:val="es-ES_tradnl" w:eastAsia="es-CO"/>
        </w:rPr>
        <w:t xml:space="preserve"> </w:t>
      </w:r>
      <w:r w:rsidR="00873E79" w:rsidRPr="009B27A5">
        <w:rPr>
          <w:rFonts w:ascii="Arial" w:hAnsi="Arial" w:cs="Arial"/>
          <w:bCs/>
          <w:sz w:val="22"/>
          <w:szCs w:val="22"/>
          <w:lang w:val="es-ES_tradnl" w:eastAsia="es-CO"/>
        </w:rPr>
        <w:t>–</w:t>
      </w:r>
      <w:r w:rsidR="005F40A5" w:rsidRPr="009B27A5">
        <w:rPr>
          <w:rFonts w:ascii="Arial" w:hAnsi="Arial" w:cs="Arial"/>
          <w:bCs/>
          <w:sz w:val="22"/>
          <w:szCs w:val="22"/>
          <w:lang w:val="es-ES_tradnl" w:eastAsia="es-CO"/>
        </w:rPr>
        <w:t>contrato solemne</w:t>
      </w:r>
      <w:r w:rsidR="00873E79" w:rsidRPr="009B27A5">
        <w:rPr>
          <w:rFonts w:ascii="Arial" w:hAnsi="Arial" w:cs="Arial"/>
          <w:bCs/>
          <w:sz w:val="22"/>
          <w:szCs w:val="22"/>
          <w:lang w:val="es-ES_tradnl" w:eastAsia="es-CO"/>
        </w:rPr>
        <w:t>–</w:t>
      </w:r>
      <w:r w:rsidR="009B1DA0" w:rsidRPr="009B27A5">
        <w:rPr>
          <w:rFonts w:ascii="Arial" w:hAnsi="Arial" w:cs="Arial"/>
          <w:bCs/>
          <w:sz w:val="22"/>
          <w:szCs w:val="22"/>
          <w:lang w:val="es-ES_tradnl" w:eastAsia="es-CO"/>
        </w:rPr>
        <w:t>.</w:t>
      </w:r>
      <w:r w:rsidR="00F34F5B" w:rsidRPr="009B27A5">
        <w:rPr>
          <w:rFonts w:ascii="Arial" w:hAnsi="Arial" w:cs="Arial"/>
          <w:bCs/>
          <w:sz w:val="22"/>
          <w:szCs w:val="22"/>
          <w:lang w:val="es-ES_tradnl" w:eastAsia="es-CO"/>
        </w:rPr>
        <w:t xml:space="preserve"> </w:t>
      </w:r>
      <w:r w:rsidR="005F40A5" w:rsidRPr="009B27A5">
        <w:rPr>
          <w:rFonts w:ascii="Arial" w:hAnsi="Arial" w:cs="Arial"/>
          <w:bCs/>
          <w:sz w:val="22"/>
          <w:szCs w:val="22"/>
          <w:lang w:val="es-ES_tradnl" w:eastAsia="es-CO"/>
        </w:rPr>
        <w:t>En todas estas modalidades convencionales hay un acuerdo de voluntades desde el inicio de la relación jurídica</w:t>
      </w:r>
      <w:r w:rsidR="00585C52" w:rsidRPr="009B27A5">
        <w:rPr>
          <w:rFonts w:ascii="Arial" w:hAnsi="Arial" w:cs="Arial"/>
          <w:bCs/>
          <w:sz w:val="22"/>
          <w:szCs w:val="22"/>
          <w:lang w:val="es-ES_tradnl" w:eastAsia="es-CO"/>
        </w:rPr>
        <w:t>. En otras palabras, «La conjunción de voluntades de las partes, con la finalidad de crear vínculos jurídicos entre ellas</w:t>
      </w:r>
      <w:r w:rsidR="00184082" w:rsidRPr="009B27A5">
        <w:rPr>
          <w:rFonts w:ascii="Arial" w:hAnsi="Arial" w:cs="Arial"/>
          <w:bCs/>
          <w:sz w:val="22"/>
          <w:szCs w:val="22"/>
          <w:lang w:val="es-ES_tradnl" w:eastAsia="es-CO"/>
        </w:rPr>
        <w:t>, reconocidos en derecho, es lo que en técnica jurídica podemos denominar consentimiento, que es el primer requisito de existencia de todo contrato»</w:t>
      </w:r>
      <w:r w:rsidR="00D25E64" w:rsidRPr="009B27A5">
        <w:rPr>
          <w:rStyle w:val="Refdenotaalpie"/>
          <w:rFonts w:ascii="Arial" w:hAnsi="Arial" w:cs="Arial"/>
          <w:bCs/>
          <w:sz w:val="22"/>
          <w:szCs w:val="22"/>
          <w:lang w:val="es-ES_tradnl" w:eastAsia="es-CO"/>
        </w:rPr>
        <w:footnoteReference w:id="49"/>
      </w:r>
      <w:r w:rsidR="005F40A5" w:rsidRPr="009B27A5">
        <w:rPr>
          <w:rFonts w:ascii="Arial" w:hAnsi="Arial" w:cs="Arial"/>
          <w:bCs/>
          <w:sz w:val="22"/>
          <w:szCs w:val="22"/>
          <w:lang w:val="es-ES_tradnl" w:eastAsia="es-CO"/>
        </w:rPr>
        <w:t>. Sin ese acuerdo de voluntades el contrato no existiría jamás. Por eso, puede afirmarse</w:t>
      </w:r>
      <w:r w:rsidR="002F167F" w:rsidRPr="009B27A5">
        <w:rPr>
          <w:rFonts w:ascii="Arial" w:hAnsi="Arial" w:cs="Arial"/>
          <w:bCs/>
          <w:sz w:val="22"/>
          <w:szCs w:val="22"/>
          <w:lang w:val="es-ES_tradnl" w:eastAsia="es-CO"/>
        </w:rPr>
        <w:t xml:space="preserve"> que </w:t>
      </w:r>
      <w:r w:rsidR="005F40A5" w:rsidRPr="009B27A5">
        <w:rPr>
          <w:rFonts w:ascii="Arial" w:hAnsi="Arial" w:cs="Arial"/>
          <w:bCs/>
          <w:sz w:val="22"/>
          <w:szCs w:val="22"/>
          <w:lang w:val="es-ES_tradnl" w:eastAsia="es-CO"/>
        </w:rPr>
        <w:t>la unilateralidad de la voluntad contradice la idea de contrato</w:t>
      </w:r>
      <w:r w:rsidR="000215A6" w:rsidRPr="009B27A5">
        <w:rPr>
          <w:rFonts w:ascii="Arial" w:hAnsi="Arial" w:cs="Arial"/>
          <w:bCs/>
          <w:sz w:val="22"/>
          <w:szCs w:val="22"/>
          <w:lang w:val="es-ES_tradnl" w:eastAsia="es-CO"/>
        </w:rPr>
        <w:t>. Aun cuando en el derecho privado también haya espacio para los actos jurídicos unilaterales –uno de cuyos ejemplos prototípicos</w:t>
      </w:r>
      <w:r w:rsidR="00E469D6" w:rsidRPr="009B27A5">
        <w:rPr>
          <w:rFonts w:ascii="Arial" w:hAnsi="Arial" w:cs="Arial"/>
          <w:bCs/>
          <w:sz w:val="22"/>
          <w:szCs w:val="22"/>
          <w:lang w:val="es-ES_tradnl" w:eastAsia="es-CO"/>
        </w:rPr>
        <w:t>, como se verá,</w:t>
      </w:r>
      <w:r w:rsidR="000215A6" w:rsidRPr="009B27A5">
        <w:rPr>
          <w:rFonts w:ascii="Arial" w:hAnsi="Arial" w:cs="Arial"/>
          <w:bCs/>
          <w:sz w:val="22"/>
          <w:szCs w:val="22"/>
          <w:lang w:val="es-ES_tradnl" w:eastAsia="es-CO"/>
        </w:rPr>
        <w:t xml:space="preserve"> es el testamento–, lo cierto es que dichos actos no son contratos</w:t>
      </w:r>
      <w:r w:rsidR="00B04259" w:rsidRPr="009B27A5">
        <w:rPr>
          <w:rFonts w:ascii="Arial" w:hAnsi="Arial" w:cs="Arial"/>
          <w:bCs/>
          <w:sz w:val="22"/>
          <w:szCs w:val="22"/>
          <w:lang w:val="es-ES_tradnl" w:eastAsia="es-CO"/>
        </w:rPr>
        <w:t>.</w:t>
      </w:r>
    </w:p>
    <w:p w14:paraId="38AC7373" w14:textId="60B22F3A" w:rsidR="003C0012" w:rsidRPr="009B27A5" w:rsidRDefault="001162D6" w:rsidP="00D56CBC">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A partir d</w:t>
      </w:r>
      <w:r w:rsidR="00CC0723" w:rsidRPr="009B27A5">
        <w:rPr>
          <w:rFonts w:ascii="Arial" w:hAnsi="Arial" w:cs="Arial"/>
          <w:bCs/>
          <w:sz w:val="22"/>
          <w:szCs w:val="22"/>
          <w:lang w:val="es-ES_tradnl" w:eastAsia="es-CO"/>
        </w:rPr>
        <w:t xml:space="preserve">e la </w:t>
      </w:r>
      <w:r w:rsidRPr="009B27A5">
        <w:rPr>
          <w:rFonts w:ascii="Arial" w:hAnsi="Arial" w:cs="Arial"/>
          <w:bCs/>
          <w:sz w:val="22"/>
          <w:szCs w:val="22"/>
          <w:lang w:val="es-ES_tradnl" w:eastAsia="es-CO"/>
        </w:rPr>
        <w:t>precisión</w:t>
      </w:r>
      <w:r w:rsidR="00CC0723" w:rsidRPr="009B27A5">
        <w:rPr>
          <w:rFonts w:ascii="Arial" w:hAnsi="Arial" w:cs="Arial"/>
          <w:bCs/>
          <w:sz w:val="22"/>
          <w:szCs w:val="22"/>
          <w:lang w:val="es-ES_tradnl" w:eastAsia="es-CO"/>
        </w:rPr>
        <w:t xml:space="preserve"> hecha </w:t>
      </w:r>
      <w:r w:rsidRPr="009B27A5">
        <w:rPr>
          <w:rFonts w:ascii="Arial" w:hAnsi="Arial" w:cs="Arial"/>
          <w:bCs/>
          <w:sz w:val="22"/>
          <w:szCs w:val="22"/>
          <w:lang w:val="es-ES_tradnl" w:eastAsia="es-CO"/>
        </w:rPr>
        <w:t>sobre la</w:t>
      </w:r>
      <w:r w:rsidR="00CC0723" w:rsidRPr="009B27A5">
        <w:rPr>
          <w:rFonts w:ascii="Arial" w:hAnsi="Arial" w:cs="Arial"/>
          <w:bCs/>
          <w:sz w:val="22"/>
          <w:szCs w:val="22"/>
          <w:lang w:val="es-ES_tradnl" w:eastAsia="es-CO"/>
        </w:rPr>
        <w:t xml:space="preserve"> unilateralidad en el origen</w:t>
      </w:r>
      <w:r w:rsidR="005C4161" w:rsidRPr="009B27A5">
        <w:rPr>
          <w:rFonts w:ascii="Arial" w:hAnsi="Arial" w:cs="Arial"/>
          <w:bCs/>
          <w:sz w:val="22"/>
          <w:szCs w:val="22"/>
          <w:lang w:val="es-ES_tradnl" w:eastAsia="es-CO"/>
        </w:rPr>
        <w:t>,</w:t>
      </w:r>
      <w:r w:rsidRPr="009B27A5">
        <w:rPr>
          <w:rFonts w:ascii="Arial" w:hAnsi="Arial" w:cs="Arial"/>
          <w:bCs/>
          <w:sz w:val="22"/>
          <w:szCs w:val="22"/>
          <w:lang w:val="es-ES_tradnl" w:eastAsia="es-CO"/>
        </w:rPr>
        <w:t xml:space="preserve"> como aquello que determina la diferencia entre el acto administrativo y el contrato –independientemente del régimen jurídico aplicable a este–</w:t>
      </w:r>
      <w:r w:rsidR="00BC7BC1" w:rsidRPr="009B27A5">
        <w:rPr>
          <w:rFonts w:ascii="Arial" w:hAnsi="Arial" w:cs="Arial"/>
          <w:bCs/>
          <w:sz w:val="22"/>
          <w:szCs w:val="22"/>
          <w:lang w:val="es-ES_tradnl" w:eastAsia="es-CO"/>
        </w:rPr>
        <w:t xml:space="preserve">, puede comprenderse por qué aunque un contrato </w:t>
      </w:r>
      <w:r w:rsidR="00095813" w:rsidRPr="009B27A5">
        <w:rPr>
          <w:rFonts w:ascii="Arial" w:hAnsi="Arial" w:cs="Arial"/>
          <w:bCs/>
          <w:sz w:val="22"/>
          <w:szCs w:val="22"/>
          <w:lang w:val="es-ES_tradnl" w:eastAsia="es-CO"/>
        </w:rPr>
        <w:t>en ocasiones</w:t>
      </w:r>
      <w:r w:rsidR="00BC7BC1" w:rsidRPr="009B27A5">
        <w:rPr>
          <w:rFonts w:ascii="Arial" w:hAnsi="Arial" w:cs="Arial"/>
          <w:bCs/>
          <w:sz w:val="22"/>
          <w:szCs w:val="22"/>
          <w:lang w:val="es-ES_tradnl" w:eastAsia="es-CO"/>
        </w:rPr>
        <w:t xml:space="preserve"> reciba el nombre de «unilateral», sigue siendo bilateral en su origen, es decir, en su perfeccionamiento.</w:t>
      </w:r>
      <w:r w:rsidR="00095813" w:rsidRPr="009B27A5">
        <w:rPr>
          <w:rFonts w:ascii="Arial" w:hAnsi="Arial" w:cs="Arial"/>
          <w:bCs/>
          <w:sz w:val="22"/>
          <w:szCs w:val="22"/>
          <w:lang w:val="es-ES_tradnl" w:eastAsia="es-CO"/>
        </w:rPr>
        <w:t xml:space="preserve"> </w:t>
      </w:r>
      <w:r w:rsidR="00E7289D" w:rsidRPr="009B27A5">
        <w:rPr>
          <w:rFonts w:ascii="Arial" w:hAnsi="Arial" w:cs="Arial"/>
          <w:bCs/>
          <w:sz w:val="22"/>
          <w:szCs w:val="22"/>
          <w:lang w:val="es-ES_tradnl" w:eastAsia="es-CO"/>
        </w:rPr>
        <w:t xml:space="preserve">En efecto, el artículo 1496 del Código Civil establece que «El contrato es unilateral cuando una de las partes se obliga para con otra que no contrae obligación alguna; y bilateral, cuando las partes contratantes se obligan recíprocamente». </w:t>
      </w:r>
      <w:r w:rsidR="00116334" w:rsidRPr="009B27A5">
        <w:rPr>
          <w:rFonts w:ascii="Arial" w:hAnsi="Arial" w:cs="Arial"/>
          <w:bCs/>
          <w:sz w:val="22"/>
          <w:szCs w:val="22"/>
          <w:lang w:val="es-ES_tradnl" w:eastAsia="es-CO"/>
        </w:rPr>
        <w:t xml:space="preserve">Sin embargo, en ambos casos hay negocio jurídico, es decir, acuerdo de voluntades para crear obligaciones. El hecho de que estas se creen solo a cargo de una de las partes no desdice de su carácter contractual. En consecuencia, cuando el mencionado artículo plantea la distinción de los contratos en unilaterales y bilaterales no se está refiriendo al origen, sino a los efectos del acuerdo </w:t>
      </w:r>
      <w:r w:rsidR="00873E79" w:rsidRPr="009B27A5">
        <w:rPr>
          <w:rFonts w:ascii="Arial" w:hAnsi="Arial" w:cs="Arial"/>
          <w:bCs/>
          <w:sz w:val="22"/>
          <w:szCs w:val="22"/>
          <w:lang w:val="es-ES_tradnl" w:eastAsia="es-CO"/>
        </w:rPr>
        <w:t>sobre</w:t>
      </w:r>
      <w:r w:rsidR="00116334" w:rsidRPr="009B27A5">
        <w:rPr>
          <w:rFonts w:ascii="Arial" w:hAnsi="Arial" w:cs="Arial"/>
          <w:bCs/>
          <w:sz w:val="22"/>
          <w:szCs w:val="22"/>
          <w:lang w:val="es-ES_tradnl" w:eastAsia="es-CO"/>
        </w:rPr>
        <w:t xml:space="preserve"> las obligaciones.</w:t>
      </w:r>
    </w:p>
    <w:p w14:paraId="1502F9C7" w14:textId="2ECAB750" w:rsidR="00A60065" w:rsidRPr="009B27A5" w:rsidRDefault="006866B4" w:rsidP="00220B2D">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El contrato de donación </w:t>
      </w:r>
      <w:r w:rsidR="00FB0507" w:rsidRPr="009B27A5">
        <w:rPr>
          <w:rFonts w:ascii="Arial" w:hAnsi="Arial" w:cs="Arial"/>
          <w:bCs/>
          <w:sz w:val="22"/>
          <w:szCs w:val="22"/>
          <w:lang w:val="es-ES_tradnl" w:eastAsia="es-CO"/>
        </w:rPr>
        <w:t xml:space="preserve">es un buen ejemplo de un contrato unilateral en sus efectos, más no en su origen, que además se caracteriza por ser gratuito. </w:t>
      </w:r>
      <w:r w:rsidR="00101850" w:rsidRPr="009B27A5">
        <w:rPr>
          <w:rFonts w:ascii="Arial" w:hAnsi="Arial" w:cs="Arial"/>
          <w:bCs/>
          <w:sz w:val="22"/>
          <w:szCs w:val="22"/>
          <w:lang w:val="es-ES_tradnl" w:eastAsia="es-CO"/>
        </w:rPr>
        <w:t>Pero aún así,</w:t>
      </w:r>
      <w:r w:rsidR="00FE3730" w:rsidRPr="009B27A5">
        <w:rPr>
          <w:rFonts w:ascii="Arial" w:hAnsi="Arial" w:cs="Arial"/>
          <w:bCs/>
          <w:sz w:val="22"/>
          <w:szCs w:val="22"/>
          <w:lang w:val="es-ES_tradnl" w:eastAsia="es-CO"/>
        </w:rPr>
        <w:t xml:space="preserve"> no es un </w:t>
      </w:r>
      <w:r w:rsidR="00FE3730" w:rsidRPr="009B27A5">
        <w:rPr>
          <w:rFonts w:ascii="Arial" w:hAnsi="Arial" w:cs="Arial"/>
          <w:bCs/>
          <w:sz w:val="22"/>
          <w:szCs w:val="22"/>
          <w:lang w:val="es-ES_tradnl" w:eastAsia="es-CO"/>
        </w:rPr>
        <w:lastRenderedPageBreak/>
        <w:t>acto unilateral en su origen, porque para que se perfeccione la donación se requiere que confluyan la voluntad del donante y del donatario</w:t>
      </w:r>
      <w:r w:rsidR="00B40F3D" w:rsidRPr="009B27A5">
        <w:rPr>
          <w:rFonts w:ascii="Arial" w:hAnsi="Arial" w:cs="Arial"/>
          <w:bCs/>
          <w:sz w:val="22"/>
          <w:szCs w:val="22"/>
          <w:lang w:val="es-ES_tradnl" w:eastAsia="es-CO"/>
        </w:rPr>
        <w:t xml:space="preserve"> –quien debe aceptar lo donado–. Esto es lo que </w:t>
      </w:r>
      <w:r w:rsidR="001F3BF5" w:rsidRPr="009B27A5">
        <w:rPr>
          <w:rFonts w:ascii="Arial" w:hAnsi="Arial" w:cs="Arial"/>
          <w:bCs/>
          <w:sz w:val="22"/>
          <w:szCs w:val="22"/>
          <w:lang w:val="es-ES_tradnl" w:eastAsia="es-CO"/>
        </w:rPr>
        <w:t>dispone</w:t>
      </w:r>
      <w:r w:rsidR="00B40F3D" w:rsidRPr="009B27A5">
        <w:rPr>
          <w:rFonts w:ascii="Arial" w:hAnsi="Arial" w:cs="Arial"/>
          <w:bCs/>
          <w:sz w:val="22"/>
          <w:szCs w:val="22"/>
          <w:lang w:val="es-ES_tradnl" w:eastAsia="es-CO"/>
        </w:rPr>
        <w:t xml:space="preserve"> el artículo 1443 del Código Civil</w:t>
      </w:r>
      <w:r w:rsidR="00862E11" w:rsidRPr="009B27A5">
        <w:rPr>
          <w:rFonts w:ascii="Arial" w:hAnsi="Arial" w:cs="Arial"/>
          <w:bCs/>
          <w:sz w:val="22"/>
          <w:szCs w:val="22"/>
          <w:lang w:val="es-ES_tradnl" w:eastAsia="es-CO"/>
        </w:rPr>
        <w:t xml:space="preserve">: «La donación entre vivos es un acto por el cual una persona transfiere, gratuita e irrevocablemente, una parte de sus bienes a otra persona </w:t>
      </w:r>
      <w:r w:rsidR="00862E11" w:rsidRPr="009B27A5">
        <w:rPr>
          <w:rFonts w:ascii="Arial" w:hAnsi="Arial" w:cs="Arial"/>
          <w:bCs/>
          <w:i/>
          <w:iCs/>
          <w:sz w:val="22"/>
          <w:szCs w:val="22"/>
          <w:lang w:val="es-ES_tradnl" w:eastAsia="es-CO"/>
        </w:rPr>
        <w:t>que la acepta</w:t>
      </w:r>
      <w:r w:rsidR="00862E11" w:rsidRPr="009B27A5">
        <w:rPr>
          <w:rFonts w:ascii="Arial" w:hAnsi="Arial" w:cs="Arial"/>
          <w:bCs/>
          <w:sz w:val="22"/>
          <w:szCs w:val="22"/>
          <w:lang w:val="es-ES_tradnl" w:eastAsia="es-CO"/>
        </w:rPr>
        <w:t>» (énfasis fuera de texto). Es por esta razón que la Corte Suprema de Justicia ha sostenido que</w:t>
      </w:r>
      <w:r w:rsidR="00DD51C3" w:rsidRPr="009B27A5">
        <w:rPr>
          <w:rFonts w:ascii="Arial" w:hAnsi="Arial" w:cs="Arial"/>
          <w:bCs/>
          <w:sz w:val="22"/>
          <w:szCs w:val="22"/>
          <w:lang w:val="es-ES_tradnl" w:eastAsia="es-CO"/>
        </w:rPr>
        <w:t xml:space="preserve"> «Se trata, pues, de un negocio jurídico bilateral, en tanto exige</w:t>
      </w:r>
      <w:r w:rsidR="00220B2D" w:rsidRPr="009B27A5">
        <w:rPr>
          <w:rFonts w:ascii="Arial" w:hAnsi="Arial" w:cs="Arial"/>
          <w:bCs/>
          <w:sz w:val="22"/>
          <w:szCs w:val="22"/>
          <w:lang w:val="es-ES_tradnl" w:eastAsia="es-CO"/>
        </w:rPr>
        <w:t xml:space="preserve"> </w:t>
      </w:r>
      <w:r w:rsidR="00DD51C3" w:rsidRPr="009B27A5">
        <w:rPr>
          <w:rFonts w:ascii="Arial" w:hAnsi="Arial" w:cs="Arial"/>
          <w:bCs/>
          <w:sz w:val="22"/>
          <w:szCs w:val="22"/>
          <w:lang w:val="es-ES_tradnl" w:eastAsia="es-CO"/>
        </w:rPr>
        <w:t>el concurso de voluntades de donante y donatario (Cfr. CSJ</w:t>
      </w:r>
      <w:r w:rsidR="00220B2D" w:rsidRPr="009B27A5">
        <w:rPr>
          <w:rFonts w:ascii="Arial" w:hAnsi="Arial" w:cs="Arial"/>
          <w:bCs/>
          <w:sz w:val="22"/>
          <w:szCs w:val="22"/>
          <w:lang w:val="es-ES_tradnl" w:eastAsia="es-CO"/>
        </w:rPr>
        <w:t xml:space="preserve"> </w:t>
      </w:r>
      <w:r w:rsidR="00DD51C3" w:rsidRPr="009B27A5">
        <w:rPr>
          <w:rFonts w:ascii="Arial" w:hAnsi="Arial" w:cs="Arial"/>
          <w:bCs/>
          <w:sz w:val="22"/>
          <w:szCs w:val="22"/>
          <w:lang w:val="es-ES_tradnl" w:eastAsia="es-CO"/>
        </w:rPr>
        <w:t xml:space="preserve">SC, 20 </w:t>
      </w:r>
      <w:proofErr w:type="spellStart"/>
      <w:r w:rsidR="00DD51C3" w:rsidRPr="009B27A5">
        <w:rPr>
          <w:rFonts w:ascii="Arial" w:hAnsi="Arial" w:cs="Arial"/>
          <w:bCs/>
          <w:sz w:val="22"/>
          <w:szCs w:val="22"/>
          <w:lang w:val="es-ES_tradnl" w:eastAsia="es-CO"/>
        </w:rPr>
        <w:t>may</w:t>
      </w:r>
      <w:proofErr w:type="spellEnd"/>
      <w:r w:rsidR="00DD51C3" w:rsidRPr="009B27A5">
        <w:rPr>
          <w:rFonts w:ascii="Arial" w:hAnsi="Arial" w:cs="Arial"/>
          <w:bCs/>
          <w:sz w:val="22"/>
          <w:szCs w:val="22"/>
          <w:lang w:val="es-ES_tradnl" w:eastAsia="es-CO"/>
        </w:rPr>
        <w:t>. 2004, rad. 8565), que puede ser consensual –es</w:t>
      </w:r>
      <w:r w:rsidR="00220B2D" w:rsidRPr="009B27A5">
        <w:rPr>
          <w:rFonts w:ascii="Arial" w:hAnsi="Arial" w:cs="Arial"/>
          <w:bCs/>
          <w:sz w:val="22"/>
          <w:szCs w:val="22"/>
          <w:lang w:val="es-ES_tradnl" w:eastAsia="es-CO"/>
        </w:rPr>
        <w:t xml:space="preserve"> </w:t>
      </w:r>
      <w:r w:rsidR="00DD51C3" w:rsidRPr="009B27A5">
        <w:rPr>
          <w:rFonts w:ascii="Arial" w:hAnsi="Arial" w:cs="Arial"/>
          <w:bCs/>
          <w:sz w:val="22"/>
          <w:szCs w:val="22"/>
          <w:lang w:val="es-ES_tradnl" w:eastAsia="es-CO"/>
        </w:rPr>
        <w:t>la regla general–, o solemne –v.gr., si se trata de donaciones</w:t>
      </w:r>
      <w:r w:rsidR="00220B2D" w:rsidRPr="009B27A5">
        <w:rPr>
          <w:rFonts w:ascii="Arial" w:hAnsi="Arial" w:cs="Arial"/>
          <w:bCs/>
          <w:sz w:val="22"/>
          <w:szCs w:val="22"/>
          <w:lang w:val="es-ES_tradnl" w:eastAsia="es-CO"/>
        </w:rPr>
        <w:t xml:space="preserve"> </w:t>
      </w:r>
      <w:r w:rsidR="00DD51C3" w:rsidRPr="009B27A5">
        <w:rPr>
          <w:rFonts w:ascii="Arial" w:hAnsi="Arial" w:cs="Arial"/>
          <w:bCs/>
          <w:sz w:val="22"/>
          <w:szCs w:val="22"/>
          <w:lang w:val="es-ES_tradnl" w:eastAsia="es-CO"/>
        </w:rPr>
        <w:t>de inmuebles, o aquellas que tienen causa onerosa–</w:t>
      </w:r>
      <w:r w:rsidR="00220B2D" w:rsidRPr="009B27A5">
        <w:rPr>
          <w:rFonts w:ascii="Arial" w:hAnsi="Arial" w:cs="Arial"/>
          <w:bCs/>
          <w:sz w:val="22"/>
          <w:szCs w:val="22"/>
          <w:lang w:val="es-ES_tradnl" w:eastAsia="es-CO"/>
        </w:rPr>
        <w:t>»</w:t>
      </w:r>
      <w:r w:rsidR="00253A8F" w:rsidRPr="009B27A5">
        <w:rPr>
          <w:rStyle w:val="Refdenotaalpie"/>
          <w:rFonts w:ascii="Arial" w:hAnsi="Arial" w:cs="Arial"/>
          <w:bCs/>
          <w:sz w:val="22"/>
          <w:szCs w:val="22"/>
          <w:lang w:val="es-ES_tradnl" w:eastAsia="es-CO"/>
        </w:rPr>
        <w:footnoteReference w:id="50"/>
      </w:r>
      <w:r w:rsidR="00DD51C3" w:rsidRPr="009B27A5">
        <w:rPr>
          <w:rFonts w:ascii="Arial" w:hAnsi="Arial" w:cs="Arial"/>
          <w:bCs/>
          <w:sz w:val="22"/>
          <w:szCs w:val="22"/>
          <w:lang w:val="es-ES_tradnl" w:eastAsia="es-CO"/>
        </w:rPr>
        <w:t>.</w:t>
      </w:r>
    </w:p>
    <w:p w14:paraId="384F4D63" w14:textId="31E7397A" w:rsidR="00F07585" w:rsidRPr="009B27A5" w:rsidRDefault="00401EEA" w:rsidP="00DE2926">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El contrato de </w:t>
      </w:r>
      <w:r w:rsidR="00A60065" w:rsidRPr="009B27A5">
        <w:rPr>
          <w:rFonts w:ascii="Arial" w:hAnsi="Arial" w:cs="Arial"/>
          <w:bCs/>
          <w:sz w:val="22"/>
          <w:szCs w:val="22"/>
          <w:lang w:val="es-ES_tradnl" w:eastAsia="es-CO"/>
        </w:rPr>
        <w:t xml:space="preserve">donación, sin embargo, no es la única forma de realizar la transferencia gratuita de un bien. </w:t>
      </w:r>
      <w:r w:rsidR="00AF15A7" w:rsidRPr="009B27A5">
        <w:rPr>
          <w:rFonts w:ascii="Arial" w:hAnsi="Arial" w:cs="Arial"/>
          <w:bCs/>
          <w:sz w:val="22"/>
          <w:szCs w:val="22"/>
          <w:lang w:val="es-ES_tradnl" w:eastAsia="es-CO"/>
        </w:rPr>
        <w:t>E</w:t>
      </w:r>
      <w:r w:rsidRPr="009B27A5">
        <w:rPr>
          <w:rFonts w:ascii="Arial" w:hAnsi="Arial" w:cs="Arial"/>
          <w:bCs/>
          <w:sz w:val="22"/>
          <w:szCs w:val="22"/>
          <w:lang w:val="es-ES_tradnl" w:eastAsia="es-CO"/>
        </w:rPr>
        <w:t xml:space="preserve">l </w:t>
      </w:r>
      <w:r w:rsidR="00150BE7" w:rsidRPr="009B27A5">
        <w:rPr>
          <w:rFonts w:ascii="Arial" w:hAnsi="Arial" w:cs="Arial"/>
          <w:bCs/>
          <w:sz w:val="22"/>
          <w:szCs w:val="22"/>
          <w:lang w:val="es-ES_tradnl" w:eastAsia="es-CO"/>
        </w:rPr>
        <w:t>testamento</w:t>
      </w:r>
      <w:r w:rsidR="00AF15A7" w:rsidRPr="009B27A5">
        <w:rPr>
          <w:rFonts w:ascii="Arial" w:hAnsi="Arial" w:cs="Arial"/>
          <w:bCs/>
          <w:sz w:val="22"/>
          <w:szCs w:val="22"/>
          <w:lang w:val="es-ES_tradnl" w:eastAsia="es-CO"/>
        </w:rPr>
        <w:t xml:space="preserve"> –como lo señala el artículo 1055 del Código Civil– «[…] es un acto más o menos solemne, en que una persona dispone del todo o de una parte de sus bienes para que tenga pleno efecto después de sus días, conservando la facultad de revocar las disposiciones contenidas en él mientras viva»</w:t>
      </w:r>
      <w:r w:rsidR="00157A58" w:rsidRPr="009B27A5">
        <w:rPr>
          <w:rFonts w:ascii="Arial" w:hAnsi="Arial" w:cs="Arial"/>
          <w:bCs/>
          <w:sz w:val="22"/>
          <w:szCs w:val="22"/>
          <w:lang w:val="es-ES_tradnl" w:eastAsia="es-CO"/>
        </w:rPr>
        <w:t>,</w:t>
      </w:r>
      <w:r w:rsidR="00F223B3" w:rsidRPr="009B27A5">
        <w:rPr>
          <w:rFonts w:ascii="Arial" w:hAnsi="Arial" w:cs="Arial"/>
          <w:bCs/>
          <w:sz w:val="22"/>
          <w:szCs w:val="22"/>
          <w:lang w:val="es-ES_tradnl" w:eastAsia="es-CO"/>
        </w:rPr>
        <w:t xml:space="preserve"> y se considera un acto jurídico </w:t>
      </w:r>
      <w:r w:rsidR="00F223B3" w:rsidRPr="009B27A5">
        <w:rPr>
          <w:rFonts w:ascii="Arial" w:hAnsi="Arial" w:cs="Arial"/>
          <w:bCs/>
          <w:i/>
          <w:iCs/>
          <w:sz w:val="22"/>
          <w:szCs w:val="22"/>
          <w:lang w:val="es-ES_tradnl" w:eastAsia="es-CO"/>
        </w:rPr>
        <w:t>unilateral</w:t>
      </w:r>
      <w:r w:rsidR="00D52411" w:rsidRPr="009B27A5">
        <w:rPr>
          <w:rFonts w:ascii="Arial" w:hAnsi="Arial" w:cs="Arial"/>
          <w:bCs/>
          <w:sz w:val="22"/>
          <w:szCs w:val="22"/>
          <w:lang w:val="es-ES_tradnl" w:eastAsia="es-CO"/>
        </w:rPr>
        <w:t>, porque «[…] es obra de la sola voluntad del testador»</w:t>
      </w:r>
      <w:r w:rsidR="00D52411" w:rsidRPr="009B27A5">
        <w:rPr>
          <w:rStyle w:val="Refdenotaalpie"/>
          <w:rFonts w:ascii="Arial" w:hAnsi="Arial" w:cs="Arial"/>
          <w:bCs/>
          <w:sz w:val="22"/>
          <w:szCs w:val="22"/>
          <w:lang w:val="es-ES_tradnl" w:eastAsia="es-CO"/>
        </w:rPr>
        <w:footnoteReference w:id="51"/>
      </w:r>
      <w:r w:rsidR="006323D3" w:rsidRPr="009B27A5">
        <w:rPr>
          <w:rFonts w:ascii="Arial" w:hAnsi="Arial" w:cs="Arial"/>
          <w:bCs/>
          <w:sz w:val="22"/>
          <w:szCs w:val="22"/>
          <w:lang w:val="es-ES_tradnl" w:eastAsia="es-CO"/>
        </w:rPr>
        <w:t xml:space="preserve">. Algo similar sucede en el ejercicio de la función administrativa, cuando una autoridad, mediante un acto </w:t>
      </w:r>
      <w:r w:rsidR="00157A58" w:rsidRPr="009B27A5">
        <w:rPr>
          <w:rFonts w:ascii="Arial" w:hAnsi="Arial" w:cs="Arial"/>
          <w:bCs/>
          <w:sz w:val="22"/>
          <w:szCs w:val="22"/>
          <w:lang w:val="es-ES_tradnl" w:eastAsia="es-CO"/>
        </w:rPr>
        <w:t>unilateral –siempre que lo permita el ordenamiento jurídico, porque exista una norma que atribuya la competencia– transfiere bienes en dinero o en especie a favor de alguien, como es recurrente en la actividad de fomento a cargo del Estado</w:t>
      </w:r>
      <w:r w:rsidR="00A82454" w:rsidRPr="009B27A5">
        <w:rPr>
          <w:rFonts w:ascii="Arial" w:hAnsi="Arial" w:cs="Arial"/>
          <w:bCs/>
          <w:sz w:val="22"/>
          <w:szCs w:val="22"/>
          <w:lang w:val="es-ES_tradnl" w:eastAsia="es-CO"/>
        </w:rPr>
        <w:t>, materializada en el otorgamiento de subsidios</w:t>
      </w:r>
      <w:r w:rsidR="00DE2926" w:rsidRPr="009B27A5">
        <w:rPr>
          <w:rFonts w:ascii="Arial" w:hAnsi="Arial" w:cs="Arial"/>
          <w:bCs/>
          <w:sz w:val="22"/>
          <w:szCs w:val="22"/>
          <w:lang w:val="es-ES_tradnl" w:eastAsia="es-CO"/>
        </w:rPr>
        <w:t xml:space="preserve"> o ayudas</w:t>
      </w:r>
      <w:r w:rsidR="006D41A9" w:rsidRPr="009B27A5">
        <w:rPr>
          <w:rFonts w:ascii="Arial" w:hAnsi="Arial" w:cs="Arial"/>
          <w:bCs/>
          <w:sz w:val="22"/>
          <w:szCs w:val="22"/>
          <w:lang w:val="es-ES_tradnl" w:eastAsia="es-CO"/>
        </w:rPr>
        <w:t xml:space="preserve">. En tales casos, </w:t>
      </w:r>
      <w:r w:rsidR="00DE2926" w:rsidRPr="009B27A5">
        <w:rPr>
          <w:rFonts w:ascii="Arial" w:hAnsi="Arial" w:cs="Arial"/>
          <w:bCs/>
          <w:sz w:val="22"/>
          <w:szCs w:val="22"/>
          <w:lang w:val="es-ES_tradnl" w:eastAsia="es-CO"/>
        </w:rPr>
        <w:t xml:space="preserve">el beneficiario no </w:t>
      </w:r>
      <w:r w:rsidR="006D41A9" w:rsidRPr="009B27A5">
        <w:rPr>
          <w:rFonts w:ascii="Arial" w:hAnsi="Arial" w:cs="Arial"/>
          <w:bCs/>
          <w:sz w:val="22"/>
          <w:szCs w:val="22"/>
          <w:lang w:val="es-ES_tradnl" w:eastAsia="es-CO"/>
        </w:rPr>
        <w:t>necesariamente debe</w:t>
      </w:r>
      <w:r w:rsidR="00DE2926" w:rsidRPr="009B27A5">
        <w:rPr>
          <w:rFonts w:ascii="Arial" w:hAnsi="Arial" w:cs="Arial"/>
          <w:bCs/>
          <w:sz w:val="22"/>
          <w:szCs w:val="22"/>
          <w:lang w:val="es-ES_tradnl" w:eastAsia="es-CO"/>
        </w:rPr>
        <w:t xml:space="preserve"> celebrar un contrato con el Estado, así acepte </w:t>
      </w:r>
      <w:r w:rsidR="006D41A9" w:rsidRPr="009B27A5">
        <w:rPr>
          <w:rFonts w:ascii="Arial" w:hAnsi="Arial" w:cs="Arial"/>
          <w:bCs/>
          <w:sz w:val="22"/>
          <w:szCs w:val="22"/>
          <w:lang w:val="es-ES_tradnl" w:eastAsia="es-CO"/>
        </w:rPr>
        <w:t>recibir el bien; como tampoco suscribe un contrato con el testador el que acepta la herencia.</w:t>
      </w:r>
      <w:r w:rsidR="00F07585" w:rsidRPr="009B27A5">
        <w:rPr>
          <w:rFonts w:ascii="Arial" w:hAnsi="Arial" w:cs="Arial"/>
          <w:bCs/>
          <w:sz w:val="22"/>
          <w:szCs w:val="22"/>
          <w:lang w:val="es-ES_tradnl" w:eastAsia="es-CO"/>
        </w:rPr>
        <w:t xml:space="preserve"> </w:t>
      </w:r>
      <w:r w:rsidR="001858B7" w:rsidRPr="009B27A5">
        <w:rPr>
          <w:rFonts w:ascii="Arial" w:hAnsi="Arial" w:cs="Arial"/>
          <w:bCs/>
          <w:sz w:val="22"/>
          <w:szCs w:val="22"/>
          <w:lang w:val="es-ES_tradnl" w:eastAsia="es-CO"/>
        </w:rPr>
        <w:t>Tampoco</w:t>
      </w:r>
      <w:r w:rsidR="00F07585" w:rsidRPr="009B27A5">
        <w:rPr>
          <w:rFonts w:ascii="Arial" w:hAnsi="Arial" w:cs="Arial"/>
          <w:bCs/>
          <w:sz w:val="22"/>
          <w:szCs w:val="22"/>
          <w:lang w:val="es-ES_tradnl" w:eastAsia="es-CO"/>
        </w:rPr>
        <w:t xml:space="preserve"> </w:t>
      </w:r>
      <w:r w:rsidR="00906ECE" w:rsidRPr="009B27A5">
        <w:rPr>
          <w:rFonts w:ascii="Arial" w:hAnsi="Arial" w:cs="Arial"/>
          <w:bCs/>
          <w:sz w:val="22"/>
          <w:szCs w:val="22"/>
          <w:lang w:val="es-ES_tradnl" w:eastAsia="es-CO"/>
        </w:rPr>
        <w:t>firma</w:t>
      </w:r>
      <w:r w:rsidR="002D241F" w:rsidRPr="009B27A5">
        <w:rPr>
          <w:rFonts w:ascii="Arial" w:hAnsi="Arial" w:cs="Arial"/>
          <w:bCs/>
          <w:sz w:val="22"/>
          <w:szCs w:val="22"/>
          <w:lang w:val="es-ES_tradnl" w:eastAsia="es-CO"/>
        </w:rPr>
        <w:t xml:space="preserve">, del mismo modo, </w:t>
      </w:r>
      <w:r w:rsidR="00F07585" w:rsidRPr="009B27A5">
        <w:rPr>
          <w:rFonts w:ascii="Arial" w:hAnsi="Arial" w:cs="Arial"/>
          <w:bCs/>
          <w:sz w:val="22"/>
          <w:szCs w:val="22"/>
          <w:lang w:val="es-ES_tradnl" w:eastAsia="es-CO"/>
        </w:rPr>
        <w:t xml:space="preserve">contrato alguno el empleado público que se posesiona en el cargo, pues allí la relación no es contractual, sino legal y reglamentaria. </w:t>
      </w:r>
    </w:p>
    <w:p w14:paraId="4F4B93D7" w14:textId="6A37680A" w:rsidR="006866B4" w:rsidRPr="009B27A5" w:rsidRDefault="00F07585" w:rsidP="00DE2926">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De lo anterior se deriva que la transferencia de un bien no </w:t>
      </w:r>
      <w:r w:rsidR="001C65AA" w:rsidRPr="009B27A5">
        <w:rPr>
          <w:rFonts w:ascii="Arial" w:hAnsi="Arial" w:cs="Arial"/>
          <w:bCs/>
          <w:sz w:val="22"/>
          <w:szCs w:val="22"/>
          <w:lang w:val="es-ES_tradnl" w:eastAsia="es-CO"/>
        </w:rPr>
        <w:t xml:space="preserve">requiere en todos los casos de la celebración de un contrato, </w:t>
      </w:r>
      <w:r w:rsidR="00814C2C" w:rsidRPr="009B27A5">
        <w:rPr>
          <w:rFonts w:ascii="Arial" w:hAnsi="Arial" w:cs="Arial"/>
          <w:bCs/>
          <w:sz w:val="22"/>
          <w:szCs w:val="22"/>
          <w:lang w:val="es-ES_tradnl" w:eastAsia="es-CO"/>
        </w:rPr>
        <w:t>toda vez que</w:t>
      </w:r>
      <w:r w:rsidR="001C65AA" w:rsidRPr="009B27A5">
        <w:rPr>
          <w:rFonts w:ascii="Arial" w:hAnsi="Arial" w:cs="Arial"/>
          <w:bCs/>
          <w:sz w:val="22"/>
          <w:szCs w:val="22"/>
          <w:lang w:val="es-ES_tradnl" w:eastAsia="es-CO"/>
        </w:rPr>
        <w:t xml:space="preserve"> el ordenamiento jurídico establece </w:t>
      </w:r>
      <w:r w:rsidR="00292E33" w:rsidRPr="009B27A5">
        <w:rPr>
          <w:rFonts w:ascii="Arial" w:hAnsi="Arial" w:cs="Arial"/>
          <w:bCs/>
          <w:sz w:val="22"/>
          <w:szCs w:val="22"/>
          <w:lang w:val="es-ES_tradnl" w:eastAsia="es-CO"/>
        </w:rPr>
        <w:t>normas que</w:t>
      </w:r>
      <w:r w:rsidR="00805F78" w:rsidRPr="009B27A5">
        <w:rPr>
          <w:rFonts w:ascii="Arial" w:hAnsi="Arial" w:cs="Arial"/>
          <w:bCs/>
          <w:sz w:val="22"/>
          <w:szCs w:val="22"/>
          <w:lang w:val="es-ES_tradnl" w:eastAsia="es-CO"/>
        </w:rPr>
        <w:t>,</w:t>
      </w:r>
      <w:r w:rsidR="00292E33" w:rsidRPr="009B27A5">
        <w:rPr>
          <w:rFonts w:ascii="Arial" w:hAnsi="Arial" w:cs="Arial"/>
          <w:bCs/>
          <w:sz w:val="22"/>
          <w:szCs w:val="22"/>
          <w:lang w:val="es-ES_tradnl" w:eastAsia="es-CO"/>
        </w:rPr>
        <w:t xml:space="preserve"> en ciertos eventos</w:t>
      </w:r>
      <w:r w:rsidR="00805F78" w:rsidRPr="009B27A5">
        <w:rPr>
          <w:rFonts w:ascii="Arial" w:hAnsi="Arial" w:cs="Arial"/>
          <w:bCs/>
          <w:sz w:val="22"/>
          <w:szCs w:val="22"/>
          <w:lang w:val="es-ES_tradnl" w:eastAsia="es-CO"/>
        </w:rPr>
        <w:t>,</w:t>
      </w:r>
      <w:r w:rsidR="00292E33" w:rsidRPr="009B27A5">
        <w:rPr>
          <w:rFonts w:ascii="Arial" w:hAnsi="Arial" w:cs="Arial"/>
          <w:bCs/>
          <w:sz w:val="22"/>
          <w:szCs w:val="22"/>
          <w:lang w:val="es-ES_tradnl" w:eastAsia="es-CO"/>
        </w:rPr>
        <w:t xml:space="preserve"> permiten efectuar dicha entrega a través de actos unilaterales. Pues bien, el artículo </w:t>
      </w:r>
      <w:r w:rsidR="00AD33AC" w:rsidRPr="009B27A5">
        <w:rPr>
          <w:rFonts w:ascii="Arial" w:hAnsi="Arial" w:cs="Arial"/>
          <w:bCs/>
          <w:sz w:val="22"/>
          <w:szCs w:val="22"/>
          <w:lang w:val="es-ES_tradnl" w:eastAsia="es-CO"/>
        </w:rPr>
        <w:t>9</w:t>
      </w:r>
      <w:r w:rsidR="004E5DAD" w:rsidRPr="009B27A5">
        <w:rPr>
          <w:rFonts w:ascii="Arial" w:hAnsi="Arial" w:cs="Arial"/>
          <w:bCs/>
          <w:sz w:val="22"/>
          <w:szCs w:val="22"/>
          <w:lang w:val="es-ES_tradnl" w:eastAsia="es-CO"/>
        </w:rPr>
        <w:t xml:space="preserve"> del Decreto 559 de 2020 es una de estas normas</w:t>
      </w:r>
      <w:r w:rsidR="00814C2C" w:rsidRPr="009B27A5">
        <w:rPr>
          <w:rFonts w:ascii="Arial" w:hAnsi="Arial" w:cs="Arial"/>
          <w:bCs/>
          <w:sz w:val="22"/>
          <w:szCs w:val="22"/>
          <w:lang w:val="es-ES_tradnl" w:eastAsia="es-CO"/>
        </w:rPr>
        <w:t xml:space="preserve">, porque otorga competencia al </w:t>
      </w:r>
      <w:r w:rsidR="00473BD9" w:rsidRPr="009B27A5">
        <w:rPr>
          <w:rFonts w:ascii="Arial" w:hAnsi="Arial" w:cs="Arial"/>
          <w:bCs/>
          <w:sz w:val="22"/>
          <w:szCs w:val="22"/>
          <w:lang w:val="es-ES_tradnl" w:eastAsia="es-CO"/>
        </w:rPr>
        <w:t>Director de la Unidad Nacional de Gestión de Riesgo de Desastre o a su delegado</w:t>
      </w:r>
      <w:r w:rsidR="00D81957" w:rsidRPr="009B27A5">
        <w:rPr>
          <w:rFonts w:ascii="Arial" w:hAnsi="Arial" w:cs="Arial"/>
          <w:bCs/>
          <w:sz w:val="22"/>
          <w:szCs w:val="22"/>
          <w:lang w:val="es-ES_tradnl" w:eastAsia="es-CO"/>
        </w:rPr>
        <w:t xml:space="preserve"> para transferir a título gratuito a las entidades públicas los bienes que se adquieran en cumplimiento del objeto y finalidad de la </w:t>
      </w:r>
      <w:r w:rsidR="00EF78AB" w:rsidRPr="009B27A5">
        <w:rPr>
          <w:rFonts w:ascii="Arial" w:hAnsi="Arial" w:cs="Arial"/>
          <w:bCs/>
          <w:sz w:val="22"/>
          <w:szCs w:val="22"/>
          <w:lang w:val="es-ES_tradnl" w:eastAsia="es-CO"/>
        </w:rPr>
        <w:t>«S</w:t>
      </w:r>
      <w:r w:rsidR="00D81957" w:rsidRPr="009B27A5">
        <w:rPr>
          <w:rFonts w:ascii="Arial" w:hAnsi="Arial" w:cs="Arial"/>
          <w:bCs/>
          <w:sz w:val="22"/>
          <w:szCs w:val="22"/>
          <w:lang w:val="es-ES_tradnl" w:eastAsia="es-CO"/>
        </w:rPr>
        <w:t>ubcuenta</w:t>
      </w:r>
      <w:r w:rsidR="00EF78AB" w:rsidRPr="009B27A5">
        <w:rPr>
          <w:rFonts w:ascii="Arial" w:hAnsi="Arial" w:cs="Arial"/>
          <w:bCs/>
          <w:sz w:val="22"/>
          <w:szCs w:val="22"/>
          <w:lang w:val="es-ES_tradnl" w:eastAsia="es-CO"/>
        </w:rPr>
        <w:t xml:space="preserve"> para la Mitigación de Emergencias -Covid19-», </w:t>
      </w:r>
      <w:r w:rsidR="00A53AC2" w:rsidRPr="009B27A5">
        <w:rPr>
          <w:rFonts w:ascii="Arial" w:hAnsi="Arial" w:cs="Arial"/>
          <w:bCs/>
          <w:sz w:val="22"/>
          <w:szCs w:val="22"/>
          <w:lang w:val="es-ES_tradnl" w:eastAsia="es-CO"/>
        </w:rPr>
        <w:t xml:space="preserve">ordenando que dicha transferencia se realice «a través de acto administrativo» y no de un contrato. Es decir, sin perjuicio de que las entidades públicas </w:t>
      </w:r>
      <w:r w:rsidR="00A53AC2" w:rsidRPr="009B27A5">
        <w:rPr>
          <w:rFonts w:ascii="Arial" w:hAnsi="Arial" w:cs="Arial"/>
          <w:bCs/>
          <w:sz w:val="22"/>
          <w:szCs w:val="22"/>
          <w:lang w:val="es-ES_tradnl" w:eastAsia="es-CO"/>
        </w:rPr>
        <w:lastRenderedPageBreak/>
        <w:t>acepten la transferencia, esta se formaliza y existe desde que se manifiesta unilateralmente la voluntad de</w:t>
      </w:r>
      <w:r w:rsidR="00563210" w:rsidRPr="009B27A5">
        <w:rPr>
          <w:rFonts w:ascii="Arial" w:hAnsi="Arial" w:cs="Arial"/>
          <w:bCs/>
          <w:sz w:val="22"/>
          <w:szCs w:val="22"/>
          <w:lang w:val="es-ES_tradnl" w:eastAsia="es-CO"/>
        </w:rPr>
        <w:t xml:space="preserve"> la Unidad Nacional de Gestión de Riesgo de Desastre.</w:t>
      </w:r>
    </w:p>
    <w:p w14:paraId="754E8836" w14:textId="5378309E" w:rsidR="00635E00" w:rsidRPr="009B27A5" w:rsidRDefault="00DF04F1" w:rsidP="00DE2926">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Por consiguiente, a la transferencia de bienes efectuada</w:t>
      </w:r>
      <w:r w:rsidR="00AD33AC" w:rsidRPr="009B27A5">
        <w:rPr>
          <w:rFonts w:ascii="Arial" w:hAnsi="Arial" w:cs="Arial"/>
          <w:bCs/>
          <w:sz w:val="22"/>
          <w:szCs w:val="22"/>
          <w:lang w:val="es-ES_tradnl" w:eastAsia="es-CO"/>
        </w:rPr>
        <w:t xml:space="preserve"> cumpliendo los requisitos establecidos en el artículo 9 del Decreto 559 de 2020</w:t>
      </w:r>
      <w:r w:rsidR="00523496" w:rsidRPr="009B27A5">
        <w:rPr>
          <w:rFonts w:ascii="Arial" w:hAnsi="Arial" w:cs="Arial"/>
          <w:bCs/>
          <w:sz w:val="22"/>
          <w:szCs w:val="22"/>
          <w:lang w:val="es-ES_tradnl" w:eastAsia="es-CO"/>
        </w:rPr>
        <w:t xml:space="preserve"> no le resulta</w:t>
      </w:r>
      <w:r w:rsidR="006F3C27" w:rsidRPr="009B27A5">
        <w:rPr>
          <w:rFonts w:ascii="Arial" w:hAnsi="Arial" w:cs="Arial"/>
          <w:bCs/>
          <w:sz w:val="22"/>
          <w:szCs w:val="22"/>
          <w:lang w:val="es-ES_tradnl" w:eastAsia="es-CO"/>
        </w:rPr>
        <w:t>n</w:t>
      </w:r>
      <w:r w:rsidR="00523496" w:rsidRPr="009B27A5">
        <w:rPr>
          <w:rFonts w:ascii="Arial" w:hAnsi="Arial" w:cs="Arial"/>
          <w:bCs/>
          <w:sz w:val="22"/>
          <w:szCs w:val="22"/>
          <w:lang w:val="es-ES_tradnl" w:eastAsia="es-CO"/>
        </w:rPr>
        <w:t xml:space="preserve"> aplicable</w:t>
      </w:r>
      <w:r w:rsidR="006F3C27" w:rsidRPr="009B27A5">
        <w:rPr>
          <w:rFonts w:ascii="Arial" w:hAnsi="Arial" w:cs="Arial"/>
          <w:bCs/>
          <w:sz w:val="22"/>
          <w:szCs w:val="22"/>
          <w:lang w:val="es-ES_tradnl" w:eastAsia="es-CO"/>
        </w:rPr>
        <w:t>s</w:t>
      </w:r>
      <w:r w:rsidR="00523496" w:rsidRPr="009B27A5">
        <w:rPr>
          <w:rFonts w:ascii="Arial" w:hAnsi="Arial" w:cs="Arial"/>
          <w:bCs/>
          <w:sz w:val="22"/>
          <w:szCs w:val="22"/>
          <w:lang w:val="es-ES_tradnl" w:eastAsia="es-CO"/>
        </w:rPr>
        <w:t xml:space="preserve"> las restricciones </w:t>
      </w:r>
      <w:r w:rsidR="00635E00" w:rsidRPr="009B27A5">
        <w:rPr>
          <w:rFonts w:ascii="Arial" w:hAnsi="Arial" w:cs="Arial"/>
          <w:bCs/>
          <w:sz w:val="22"/>
          <w:szCs w:val="22"/>
          <w:lang w:val="es-ES_tradnl" w:eastAsia="es-CO"/>
        </w:rPr>
        <w:t>previstas</w:t>
      </w:r>
      <w:r w:rsidR="00523496" w:rsidRPr="009B27A5">
        <w:rPr>
          <w:rFonts w:ascii="Arial" w:hAnsi="Arial" w:cs="Arial"/>
          <w:bCs/>
          <w:sz w:val="22"/>
          <w:szCs w:val="22"/>
          <w:lang w:val="es-ES_tradnl" w:eastAsia="es-CO"/>
        </w:rPr>
        <w:t xml:space="preserve"> en el artículo 38 de la Ley 996 de 2005, porque lo que en este precepto se prohíbe es </w:t>
      </w:r>
      <w:r w:rsidR="00A342DF" w:rsidRPr="009B27A5">
        <w:rPr>
          <w:rFonts w:ascii="Arial" w:hAnsi="Arial" w:cs="Arial"/>
          <w:bCs/>
          <w:sz w:val="22"/>
          <w:szCs w:val="22"/>
          <w:lang w:val="es-ES_tradnl" w:eastAsia="es-CO"/>
        </w:rPr>
        <w:t>«celebrar convenios interadministrativos para la ejecución de recursos públicos»</w:t>
      </w:r>
      <w:r w:rsidR="0039471F" w:rsidRPr="009B27A5">
        <w:rPr>
          <w:rFonts w:ascii="Arial" w:hAnsi="Arial" w:cs="Arial"/>
          <w:bCs/>
          <w:sz w:val="22"/>
          <w:szCs w:val="22"/>
          <w:lang w:val="es-ES_tradnl" w:eastAsia="es-CO"/>
        </w:rPr>
        <w:t>. Como se explicó en este concepto, un convenio interadministrativo es un acuerdo de voluntades en el que intervienen dos o más entidades públicas</w:t>
      </w:r>
      <w:r w:rsidR="009232B9" w:rsidRPr="009B27A5">
        <w:rPr>
          <w:rFonts w:ascii="Arial" w:hAnsi="Arial" w:cs="Arial"/>
          <w:bCs/>
          <w:sz w:val="22"/>
          <w:szCs w:val="22"/>
          <w:lang w:val="es-ES_tradnl" w:eastAsia="es-CO"/>
        </w:rPr>
        <w:t>, o sea un acto jurídico</w:t>
      </w:r>
      <w:r w:rsidR="00DD20A7" w:rsidRPr="009B27A5">
        <w:rPr>
          <w:rFonts w:ascii="Arial" w:hAnsi="Arial" w:cs="Arial"/>
          <w:bCs/>
          <w:sz w:val="22"/>
          <w:szCs w:val="22"/>
          <w:lang w:val="es-ES_tradnl" w:eastAsia="es-CO"/>
        </w:rPr>
        <w:t xml:space="preserve"> bilateral</w:t>
      </w:r>
      <w:r w:rsidR="009232B9" w:rsidRPr="009B27A5">
        <w:rPr>
          <w:rFonts w:ascii="Arial" w:hAnsi="Arial" w:cs="Arial"/>
          <w:bCs/>
          <w:sz w:val="22"/>
          <w:szCs w:val="22"/>
          <w:lang w:val="es-ES_tradnl" w:eastAsia="es-CO"/>
        </w:rPr>
        <w:t xml:space="preserve"> </w:t>
      </w:r>
      <w:r w:rsidR="00DD20A7" w:rsidRPr="009B27A5">
        <w:rPr>
          <w:rFonts w:ascii="Arial" w:hAnsi="Arial" w:cs="Arial"/>
          <w:bCs/>
          <w:sz w:val="22"/>
          <w:szCs w:val="22"/>
          <w:lang w:val="es-ES_tradnl" w:eastAsia="es-CO"/>
        </w:rPr>
        <w:t xml:space="preserve">o </w:t>
      </w:r>
      <w:r w:rsidR="009232B9" w:rsidRPr="009B27A5">
        <w:rPr>
          <w:rFonts w:ascii="Arial" w:hAnsi="Arial" w:cs="Arial"/>
          <w:bCs/>
          <w:sz w:val="22"/>
          <w:szCs w:val="22"/>
          <w:lang w:val="es-ES_tradnl" w:eastAsia="es-CO"/>
        </w:rPr>
        <w:t>que participa de la forma contractual</w:t>
      </w:r>
      <w:r w:rsidR="00DD20A7" w:rsidRPr="009B27A5">
        <w:rPr>
          <w:rFonts w:ascii="Arial" w:hAnsi="Arial" w:cs="Arial"/>
          <w:bCs/>
          <w:sz w:val="22"/>
          <w:szCs w:val="22"/>
          <w:lang w:val="es-ES_tradnl" w:eastAsia="es-CO"/>
        </w:rPr>
        <w:t>, de conformidad con el artículo 1495 del Código Civil</w:t>
      </w:r>
      <w:r w:rsidR="009232B9" w:rsidRPr="009B27A5">
        <w:rPr>
          <w:rFonts w:ascii="Arial" w:hAnsi="Arial" w:cs="Arial"/>
          <w:bCs/>
          <w:sz w:val="22"/>
          <w:szCs w:val="22"/>
          <w:lang w:val="es-ES_tradnl" w:eastAsia="es-CO"/>
        </w:rPr>
        <w:t xml:space="preserve">. </w:t>
      </w:r>
      <w:r w:rsidR="00635E00" w:rsidRPr="009B27A5">
        <w:rPr>
          <w:rFonts w:ascii="Arial" w:hAnsi="Arial" w:cs="Arial"/>
          <w:bCs/>
          <w:sz w:val="22"/>
          <w:szCs w:val="22"/>
          <w:lang w:val="es-ES_tradnl" w:eastAsia="es-CO"/>
        </w:rPr>
        <w:t>La forma jurídica consagrada</w:t>
      </w:r>
      <w:r w:rsidR="00A35587" w:rsidRPr="009B27A5">
        <w:rPr>
          <w:rFonts w:ascii="Arial" w:hAnsi="Arial" w:cs="Arial"/>
          <w:bCs/>
          <w:sz w:val="22"/>
          <w:szCs w:val="22"/>
          <w:lang w:val="es-ES_tradnl" w:eastAsia="es-CO"/>
        </w:rPr>
        <w:t>,</w:t>
      </w:r>
      <w:r w:rsidR="00635E00" w:rsidRPr="009B27A5">
        <w:rPr>
          <w:rFonts w:ascii="Arial" w:hAnsi="Arial" w:cs="Arial"/>
          <w:bCs/>
          <w:sz w:val="22"/>
          <w:szCs w:val="22"/>
          <w:lang w:val="es-ES_tradnl" w:eastAsia="es-CO"/>
        </w:rPr>
        <w:t xml:space="preserve"> para efectuar la transferencia gratuita de bienes</w:t>
      </w:r>
      <w:r w:rsidR="00A35587" w:rsidRPr="009B27A5">
        <w:rPr>
          <w:rFonts w:ascii="Arial" w:hAnsi="Arial" w:cs="Arial"/>
          <w:bCs/>
          <w:sz w:val="22"/>
          <w:szCs w:val="22"/>
          <w:lang w:val="es-ES_tradnl" w:eastAsia="es-CO"/>
        </w:rPr>
        <w:t>,</w:t>
      </w:r>
      <w:r w:rsidR="00635E00" w:rsidRPr="009B27A5">
        <w:rPr>
          <w:rFonts w:ascii="Arial" w:hAnsi="Arial" w:cs="Arial"/>
          <w:bCs/>
          <w:sz w:val="22"/>
          <w:szCs w:val="22"/>
          <w:lang w:val="es-ES_tradnl" w:eastAsia="es-CO"/>
        </w:rPr>
        <w:t xml:space="preserve"> en el artículo</w:t>
      </w:r>
      <w:r w:rsidR="009232B9" w:rsidRPr="009B27A5">
        <w:rPr>
          <w:rFonts w:ascii="Arial" w:hAnsi="Arial" w:cs="Arial"/>
          <w:bCs/>
          <w:sz w:val="22"/>
          <w:szCs w:val="22"/>
          <w:lang w:val="es-ES_tradnl" w:eastAsia="es-CO"/>
        </w:rPr>
        <w:t xml:space="preserve"> </w:t>
      </w:r>
      <w:r w:rsidR="00DD20A7" w:rsidRPr="009B27A5">
        <w:rPr>
          <w:rFonts w:ascii="Arial" w:hAnsi="Arial" w:cs="Arial"/>
          <w:bCs/>
          <w:sz w:val="22"/>
          <w:szCs w:val="22"/>
          <w:lang w:val="es-ES_tradnl" w:eastAsia="es-CO"/>
        </w:rPr>
        <w:t xml:space="preserve">9 del Decreto 559 de 2020 </w:t>
      </w:r>
      <w:r w:rsidR="00635E00" w:rsidRPr="009B27A5">
        <w:rPr>
          <w:rFonts w:ascii="Arial" w:hAnsi="Arial" w:cs="Arial"/>
          <w:bCs/>
          <w:sz w:val="22"/>
          <w:szCs w:val="22"/>
          <w:lang w:val="es-ES_tradnl" w:eastAsia="es-CO"/>
        </w:rPr>
        <w:t>es el acto administrativo, no el convenio interadministrativo.</w:t>
      </w:r>
    </w:p>
    <w:p w14:paraId="6BAD39DF" w14:textId="7287509C" w:rsidR="00FF4810" w:rsidRPr="009B27A5" w:rsidRDefault="00635E00" w:rsidP="00DE2926">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Pero, si</w:t>
      </w:r>
      <w:r w:rsidR="00ED3438" w:rsidRPr="009B27A5">
        <w:rPr>
          <w:rFonts w:ascii="Arial" w:hAnsi="Arial" w:cs="Arial"/>
          <w:bCs/>
          <w:sz w:val="22"/>
          <w:szCs w:val="22"/>
          <w:lang w:val="es-ES_tradnl" w:eastAsia="es-CO"/>
        </w:rPr>
        <w:t xml:space="preserve"> en gracia de discusión,</w:t>
      </w:r>
      <w:r w:rsidRPr="009B27A5">
        <w:rPr>
          <w:rFonts w:ascii="Arial" w:hAnsi="Arial" w:cs="Arial"/>
          <w:bCs/>
          <w:sz w:val="22"/>
          <w:szCs w:val="22"/>
          <w:lang w:val="es-ES_tradnl" w:eastAsia="es-CO"/>
        </w:rPr>
        <w:t xml:space="preserve"> el anterior argumento –que para esta Agencia es el principal–,</w:t>
      </w:r>
      <w:r w:rsidR="00ED3438" w:rsidRPr="009B27A5">
        <w:rPr>
          <w:rFonts w:ascii="Arial" w:hAnsi="Arial" w:cs="Arial"/>
          <w:bCs/>
          <w:sz w:val="22"/>
          <w:szCs w:val="22"/>
          <w:lang w:val="es-ES_tradnl" w:eastAsia="es-CO"/>
        </w:rPr>
        <w:t xml:space="preserve"> no fuera suficiente,</w:t>
      </w:r>
      <w:r w:rsidRPr="009B27A5">
        <w:rPr>
          <w:rFonts w:ascii="Arial" w:hAnsi="Arial" w:cs="Arial"/>
          <w:bCs/>
          <w:sz w:val="22"/>
          <w:szCs w:val="22"/>
          <w:lang w:val="es-ES_tradnl" w:eastAsia="es-CO"/>
        </w:rPr>
        <w:t xml:space="preserve"> en consonancia con lo indicado en los </w:t>
      </w:r>
      <w:r w:rsidR="0089091B" w:rsidRPr="009B27A5">
        <w:rPr>
          <w:rFonts w:ascii="Arial" w:hAnsi="Arial" w:cs="Arial"/>
          <w:bCs/>
          <w:sz w:val="22"/>
          <w:szCs w:val="22"/>
          <w:lang w:val="es-ES_tradnl" w:eastAsia="es-CO"/>
        </w:rPr>
        <w:t>párrafos</w:t>
      </w:r>
      <w:r w:rsidRPr="009B27A5">
        <w:rPr>
          <w:rFonts w:ascii="Arial" w:hAnsi="Arial" w:cs="Arial"/>
          <w:bCs/>
          <w:sz w:val="22"/>
          <w:szCs w:val="22"/>
          <w:lang w:val="es-ES_tradnl" w:eastAsia="es-CO"/>
        </w:rPr>
        <w:t xml:space="preserve"> iniciales de este numeral, también los criterios hermenéuticos de la especialidad, de la posterioridad</w:t>
      </w:r>
      <w:r w:rsidR="00CC390A" w:rsidRPr="009B27A5">
        <w:rPr>
          <w:rFonts w:ascii="Arial" w:hAnsi="Arial" w:cs="Arial"/>
          <w:bCs/>
          <w:sz w:val="22"/>
          <w:szCs w:val="22"/>
          <w:lang w:val="es-ES_tradnl" w:eastAsia="es-CO"/>
        </w:rPr>
        <w:t xml:space="preserve"> y del carácter restrictivo de los enunciados</w:t>
      </w:r>
      <w:r w:rsidR="001858B7" w:rsidRPr="009B27A5">
        <w:rPr>
          <w:rFonts w:ascii="Arial" w:hAnsi="Arial" w:cs="Arial"/>
          <w:bCs/>
          <w:sz w:val="22"/>
          <w:szCs w:val="22"/>
          <w:lang w:val="es-ES_tradnl" w:eastAsia="es-CO"/>
        </w:rPr>
        <w:t xml:space="preserve"> normativos</w:t>
      </w:r>
      <w:r w:rsidR="00CC390A" w:rsidRPr="009B27A5">
        <w:rPr>
          <w:rFonts w:ascii="Arial" w:hAnsi="Arial" w:cs="Arial"/>
          <w:bCs/>
          <w:sz w:val="22"/>
          <w:szCs w:val="22"/>
          <w:lang w:val="es-ES_tradnl" w:eastAsia="es-CO"/>
        </w:rPr>
        <w:t xml:space="preserve"> gravosos, apoyan la interpretación </w:t>
      </w:r>
      <w:r w:rsidR="00831DB1" w:rsidRPr="009B27A5">
        <w:rPr>
          <w:rFonts w:ascii="Arial" w:hAnsi="Arial" w:cs="Arial"/>
          <w:bCs/>
          <w:sz w:val="22"/>
          <w:szCs w:val="22"/>
          <w:lang w:val="es-ES_tradnl" w:eastAsia="es-CO"/>
        </w:rPr>
        <w:t>de que la transferencia efectuada en los estrictos términos del artículo 9 del Decreto 559 de 2020 no ingresa dentro de la prohibición del parágrafo del artículo 38 de la Ley 996 de 20</w:t>
      </w:r>
      <w:r w:rsidR="00366F1C" w:rsidRPr="009B27A5">
        <w:rPr>
          <w:rFonts w:ascii="Arial" w:hAnsi="Arial" w:cs="Arial"/>
          <w:bCs/>
          <w:sz w:val="22"/>
          <w:szCs w:val="22"/>
          <w:lang w:val="es-ES_tradnl" w:eastAsia="es-CO"/>
        </w:rPr>
        <w:t xml:space="preserve">05. Esto por cuanto el Decreto 559 es una Ley –pues se trata de un Decreto Legislativo– </w:t>
      </w:r>
      <w:r w:rsidR="005D72AD" w:rsidRPr="009B27A5">
        <w:rPr>
          <w:rFonts w:ascii="Arial" w:hAnsi="Arial" w:cs="Arial"/>
          <w:bCs/>
          <w:sz w:val="22"/>
          <w:szCs w:val="22"/>
          <w:lang w:val="es-ES_tradnl" w:eastAsia="es-CO"/>
        </w:rPr>
        <w:t xml:space="preserve">i) </w:t>
      </w:r>
      <w:r w:rsidR="00366F1C" w:rsidRPr="009B27A5">
        <w:rPr>
          <w:rFonts w:ascii="Arial" w:hAnsi="Arial" w:cs="Arial"/>
          <w:bCs/>
          <w:sz w:val="22"/>
          <w:szCs w:val="22"/>
          <w:lang w:val="es-ES_tradnl" w:eastAsia="es-CO"/>
        </w:rPr>
        <w:t>especial</w:t>
      </w:r>
      <w:r w:rsidR="005D72AD" w:rsidRPr="009B27A5">
        <w:rPr>
          <w:rFonts w:ascii="Arial" w:hAnsi="Arial" w:cs="Arial"/>
          <w:bCs/>
          <w:sz w:val="22"/>
          <w:szCs w:val="22"/>
          <w:lang w:val="es-ES_tradnl" w:eastAsia="es-CO"/>
        </w:rPr>
        <w:t>, en la medida en que regula una materia determinada y con vocación excepcional y ii) posterior en el tiempo. Además, iii)</w:t>
      </w:r>
      <w:r w:rsidR="0089091B" w:rsidRPr="009B27A5">
        <w:rPr>
          <w:rFonts w:ascii="Arial" w:hAnsi="Arial" w:cs="Arial"/>
          <w:bCs/>
          <w:sz w:val="22"/>
          <w:szCs w:val="22"/>
          <w:lang w:val="es-ES_tradnl" w:eastAsia="es-CO"/>
        </w:rPr>
        <w:t xml:space="preserve"> en consideración al criterio de interpretación restrictiva, si el parágrafo del artículo 38 de la Ley 996 de 2005 prohibió la celebración de convenios interadministrativos</w:t>
      </w:r>
      <w:r w:rsidR="00A167AC" w:rsidRPr="009B27A5">
        <w:rPr>
          <w:rFonts w:ascii="Arial" w:hAnsi="Arial" w:cs="Arial"/>
          <w:bCs/>
          <w:sz w:val="22"/>
          <w:szCs w:val="22"/>
          <w:lang w:val="es-ES_tradnl" w:eastAsia="es-CO"/>
        </w:rPr>
        <w:t xml:space="preserve"> </w:t>
      </w:r>
      <w:r w:rsidR="0089091B" w:rsidRPr="009B27A5">
        <w:rPr>
          <w:rFonts w:ascii="Arial" w:hAnsi="Arial" w:cs="Arial"/>
          <w:bCs/>
          <w:sz w:val="22"/>
          <w:szCs w:val="22"/>
          <w:lang w:val="es-ES_tradnl" w:eastAsia="es-CO"/>
        </w:rPr>
        <w:t xml:space="preserve">no puede entenderse </w:t>
      </w:r>
      <w:r w:rsidR="007B7DD4" w:rsidRPr="009B27A5">
        <w:rPr>
          <w:rFonts w:ascii="Arial" w:hAnsi="Arial" w:cs="Arial"/>
          <w:bCs/>
          <w:i/>
          <w:iCs/>
          <w:sz w:val="22"/>
          <w:szCs w:val="22"/>
          <w:lang w:val="es-ES_tradnl" w:eastAsia="es-CO"/>
        </w:rPr>
        <w:t>también</w:t>
      </w:r>
      <w:r w:rsidR="007B7DD4" w:rsidRPr="009B27A5">
        <w:rPr>
          <w:rFonts w:ascii="Arial" w:hAnsi="Arial" w:cs="Arial"/>
          <w:bCs/>
          <w:sz w:val="22"/>
          <w:szCs w:val="22"/>
          <w:lang w:val="es-ES_tradnl" w:eastAsia="es-CO"/>
        </w:rPr>
        <w:t xml:space="preserve"> prohibido</w:t>
      </w:r>
      <w:r w:rsidR="0089091B" w:rsidRPr="009B27A5">
        <w:rPr>
          <w:rFonts w:ascii="Arial" w:hAnsi="Arial" w:cs="Arial"/>
          <w:bCs/>
          <w:sz w:val="22"/>
          <w:szCs w:val="22"/>
          <w:lang w:val="es-ES_tradnl" w:eastAsia="es-CO"/>
        </w:rPr>
        <w:t xml:space="preserve"> el acto administrativo </w:t>
      </w:r>
      <w:r w:rsidR="00896873" w:rsidRPr="009B27A5">
        <w:rPr>
          <w:rFonts w:ascii="Arial" w:hAnsi="Arial" w:cs="Arial"/>
          <w:bCs/>
          <w:sz w:val="22"/>
          <w:szCs w:val="22"/>
          <w:lang w:val="es-ES_tradnl" w:eastAsia="es-CO"/>
        </w:rPr>
        <w:t>que permite expedir el artículo 9 del Decreto 559 de 2020, porque se estaría incluyendo una circunstancia que el supuesto de hecho de la restricción no contempla.</w:t>
      </w:r>
    </w:p>
    <w:p w14:paraId="729BD2E5" w14:textId="0E94C6C1" w:rsidR="00B3050F" w:rsidRPr="009B27A5" w:rsidRDefault="00B3050F" w:rsidP="004F0A4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L</w:t>
      </w:r>
      <w:r w:rsidR="00FF4810" w:rsidRPr="009B27A5">
        <w:rPr>
          <w:rFonts w:ascii="Arial" w:hAnsi="Arial" w:cs="Arial"/>
          <w:bCs/>
          <w:sz w:val="22"/>
          <w:szCs w:val="22"/>
          <w:lang w:val="es-ES_tradnl" w:eastAsia="es-CO"/>
        </w:rPr>
        <w:t xml:space="preserve">a Agencia llama la atención sobre el deber de las entidades estatales de analizar en cada caso la norma atributiva de la competencia, para observar cuál es la forma jurídica que consagra. Si la norma no permite expedir un acto administrativo para disponer de recursos durante el período de vigencia de la ley de garantías electorales, </w:t>
      </w:r>
      <w:r w:rsidR="00985D08" w:rsidRPr="009B27A5">
        <w:rPr>
          <w:rFonts w:ascii="Arial" w:hAnsi="Arial" w:cs="Arial"/>
          <w:bCs/>
          <w:sz w:val="22"/>
          <w:szCs w:val="22"/>
          <w:lang w:val="es-ES_tradnl" w:eastAsia="es-CO"/>
        </w:rPr>
        <w:t>no puede la entidad pretender burlar el efecto de la prohibición de contratar directamente o de celebrar un convenio</w:t>
      </w:r>
      <w:r w:rsidR="00D63286" w:rsidRPr="009B27A5">
        <w:rPr>
          <w:rFonts w:ascii="Arial" w:hAnsi="Arial" w:cs="Arial"/>
          <w:bCs/>
          <w:sz w:val="22"/>
          <w:szCs w:val="22"/>
          <w:lang w:val="es-ES_tradnl" w:eastAsia="es-CO"/>
        </w:rPr>
        <w:t xml:space="preserve">, según el caso, expidiendo un acto administrativo para disponer de los recursos. El artículo 6 de la Constitución establece que </w:t>
      </w:r>
      <w:r w:rsidR="00D511DC" w:rsidRPr="009B27A5">
        <w:rPr>
          <w:rFonts w:ascii="Arial" w:hAnsi="Arial" w:cs="Arial"/>
          <w:bCs/>
          <w:sz w:val="22"/>
          <w:szCs w:val="22"/>
          <w:lang w:val="es-ES_tradnl" w:eastAsia="es-CO"/>
        </w:rPr>
        <w:t>los servidores públicos son responsables</w:t>
      </w:r>
      <w:r w:rsidR="00B2464D" w:rsidRPr="009B27A5">
        <w:rPr>
          <w:rFonts w:ascii="Arial" w:hAnsi="Arial" w:cs="Arial"/>
          <w:bCs/>
          <w:sz w:val="22"/>
          <w:szCs w:val="22"/>
          <w:lang w:val="es-ES_tradnl" w:eastAsia="es-CO"/>
        </w:rPr>
        <w:t xml:space="preserve"> «[…] por infringir la Constitución y las leyes» y «</w:t>
      </w:r>
      <w:r w:rsidR="00B2464D" w:rsidRPr="009B27A5">
        <w:rPr>
          <w:rFonts w:ascii="Arial" w:hAnsi="Arial" w:cs="Arial"/>
          <w:sz w:val="22"/>
          <w:szCs w:val="22"/>
          <w:lang w:val="es-ES_tradnl"/>
        </w:rPr>
        <w:t xml:space="preserve">[…] </w:t>
      </w:r>
      <w:r w:rsidR="00B2464D" w:rsidRPr="009B27A5">
        <w:rPr>
          <w:rFonts w:ascii="Arial" w:hAnsi="Arial" w:cs="Arial"/>
          <w:bCs/>
          <w:sz w:val="22"/>
          <w:szCs w:val="22"/>
          <w:lang w:val="es-ES_tradnl" w:eastAsia="es-CO"/>
        </w:rPr>
        <w:t>por omisión o extralimitación en el ejercicio de sus funciones</w:t>
      </w:r>
      <w:r w:rsidR="00DC3CD2" w:rsidRPr="009B27A5">
        <w:rPr>
          <w:rFonts w:ascii="Arial" w:hAnsi="Arial" w:cs="Arial"/>
          <w:bCs/>
          <w:sz w:val="22"/>
          <w:szCs w:val="22"/>
          <w:lang w:val="es-ES_tradnl" w:eastAsia="es-CO"/>
        </w:rPr>
        <w:t>»</w:t>
      </w:r>
      <w:r w:rsidR="004F0A4B" w:rsidRPr="009B27A5">
        <w:rPr>
          <w:rFonts w:ascii="Arial" w:hAnsi="Arial" w:cs="Arial"/>
          <w:bCs/>
          <w:sz w:val="22"/>
          <w:szCs w:val="22"/>
          <w:lang w:val="es-ES_tradnl" w:eastAsia="es-CO"/>
        </w:rPr>
        <w:t xml:space="preserve">, es decir que solo pueden hacer lo que les esté expresamente permitido. </w:t>
      </w:r>
      <w:r w:rsidR="00B2464D" w:rsidRPr="009B27A5">
        <w:rPr>
          <w:rFonts w:ascii="Arial" w:hAnsi="Arial" w:cs="Arial"/>
          <w:bCs/>
          <w:sz w:val="22"/>
          <w:szCs w:val="22"/>
          <w:lang w:val="es-ES_tradnl" w:eastAsia="es-CO"/>
        </w:rPr>
        <w:t>Así las cosas, la interpretación efectuada por la Agencia en este concepto</w:t>
      </w:r>
      <w:r w:rsidR="006671DB" w:rsidRPr="009B27A5">
        <w:rPr>
          <w:rFonts w:ascii="Arial" w:hAnsi="Arial" w:cs="Arial"/>
          <w:bCs/>
          <w:sz w:val="22"/>
          <w:szCs w:val="22"/>
          <w:lang w:val="es-ES_tradnl" w:eastAsia="es-CO"/>
        </w:rPr>
        <w:t xml:space="preserve"> tiene en cuenta que el artículo 9 del Decreto 559 de 2020 es una norma especial que permite efectuar una transferencia gratuita de bienes a través de un acto administrativo, pero este criterio no se puede generalizar en hipótesis que no establezcan dicha </w:t>
      </w:r>
      <w:r w:rsidR="00264A13" w:rsidRPr="009B27A5">
        <w:rPr>
          <w:rFonts w:ascii="Arial" w:hAnsi="Arial" w:cs="Arial"/>
          <w:bCs/>
          <w:sz w:val="22"/>
          <w:szCs w:val="22"/>
          <w:lang w:val="es-ES_tradnl" w:eastAsia="es-CO"/>
        </w:rPr>
        <w:t>permisión legal expresa.</w:t>
      </w:r>
    </w:p>
    <w:p w14:paraId="38E136B9" w14:textId="29E52B03" w:rsidR="00902F36" w:rsidRPr="009B27A5" w:rsidRDefault="00B3050F" w:rsidP="004F0A4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lastRenderedPageBreak/>
        <w:t xml:space="preserve">Por último, </w:t>
      </w:r>
      <w:r w:rsidR="00AD7BE4" w:rsidRPr="009B27A5">
        <w:rPr>
          <w:rFonts w:ascii="Arial" w:hAnsi="Arial" w:cs="Arial"/>
          <w:bCs/>
          <w:sz w:val="22"/>
          <w:szCs w:val="22"/>
          <w:lang w:val="es-ES_tradnl" w:eastAsia="es-CO"/>
        </w:rPr>
        <w:t xml:space="preserve">los peticionarios incluyen en </w:t>
      </w:r>
      <w:r w:rsidR="005812E4" w:rsidRPr="009B27A5">
        <w:rPr>
          <w:rFonts w:ascii="Arial" w:hAnsi="Arial" w:cs="Arial"/>
          <w:bCs/>
          <w:sz w:val="22"/>
          <w:szCs w:val="22"/>
          <w:lang w:val="es-ES_tradnl" w:eastAsia="es-CO"/>
        </w:rPr>
        <w:t xml:space="preserve">su cuestionario las preguntas 4 a la 6, </w:t>
      </w:r>
      <w:r w:rsidR="00025600" w:rsidRPr="009B27A5">
        <w:rPr>
          <w:rFonts w:ascii="Arial" w:hAnsi="Arial" w:cs="Arial"/>
          <w:bCs/>
          <w:sz w:val="22"/>
          <w:szCs w:val="22"/>
          <w:lang w:val="es-ES_tradnl" w:eastAsia="es-CO"/>
        </w:rPr>
        <w:t>indagando</w:t>
      </w:r>
      <w:r w:rsidR="005812E4" w:rsidRPr="009B27A5">
        <w:rPr>
          <w:rFonts w:ascii="Arial" w:hAnsi="Arial" w:cs="Arial"/>
          <w:bCs/>
          <w:sz w:val="22"/>
          <w:szCs w:val="22"/>
          <w:lang w:val="es-ES_tradnl" w:eastAsia="es-CO"/>
        </w:rPr>
        <w:t xml:space="preserve"> por otras vías jurídicas que </w:t>
      </w:r>
      <w:r w:rsidR="00025600" w:rsidRPr="009B27A5">
        <w:rPr>
          <w:rFonts w:ascii="Arial" w:hAnsi="Arial" w:cs="Arial"/>
          <w:bCs/>
          <w:sz w:val="22"/>
          <w:szCs w:val="22"/>
          <w:lang w:val="es-ES_tradnl" w:eastAsia="es-CO"/>
        </w:rPr>
        <w:t>permitieran hacer la transferencia gratuita de bienes regulada en el artículo 9 del Decreto 559 de 2020 en caso de que</w:t>
      </w:r>
      <w:r w:rsidR="00770632" w:rsidRPr="009B27A5">
        <w:rPr>
          <w:rFonts w:ascii="Arial" w:hAnsi="Arial" w:cs="Arial"/>
          <w:bCs/>
          <w:sz w:val="22"/>
          <w:szCs w:val="22"/>
          <w:lang w:val="es-ES_tradnl" w:eastAsia="es-CO"/>
        </w:rPr>
        <w:t>,</w:t>
      </w:r>
      <w:r w:rsidR="00025600" w:rsidRPr="009B27A5">
        <w:rPr>
          <w:rFonts w:ascii="Arial" w:hAnsi="Arial" w:cs="Arial"/>
          <w:bCs/>
          <w:sz w:val="22"/>
          <w:szCs w:val="22"/>
          <w:lang w:val="es-ES_tradnl" w:eastAsia="es-CO"/>
        </w:rPr>
        <w:t xml:space="preserve"> </w:t>
      </w:r>
      <w:r w:rsidR="00770632" w:rsidRPr="009B27A5">
        <w:rPr>
          <w:rFonts w:ascii="Arial" w:hAnsi="Arial" w:cs="Arial"/>
          <w:bCs/>
          <w:sz w:val="22"/>
          <w:szCs w:val="22"/>
          <w:lang w:val="es-ES_tradnl" w:eastAsia="es-CO"/>
        </w:rPr>
        <w:t>en criterio de</w:t>
      </w:r>
      <w:r w:rsidR="00025600" w:rsidRPr="009B27A5">
        <w:rPr>
          <w:rFonts w:ascii="Arial" w:hAnsi="Arial" w:cs="Arial"/>
          <w:bCs/>
          <w:sz w:val="22"/>
          <w:szCs w:val="22"/>
          <w:lang w:val="es-ES_tradnl" w:eastAsia="es-CO"/>
        </w:rPr>
        <w:t xml:space="preserve"> la Agencia</w:t>
      </w:r>
      <w:r w:rsidR="00770632" w:rsidRPr="009B27A5">
        <w:rPr>
          <w:rFonts w:ascii="Arial" w:hAnsi="Arial" w:cs="Arial"/>
          <w:bCs/>
          <w:sz w:val="22"/>
          <w:szCs w:val="22"/>
          <w:lang w:val="es-ES_tradnl" w:eastAsia="es-CO"/>
        </w:rPr>
        <w:t>,</w:t>
      </w:r>
      <w:r w:rsidR="00025600" w:rsidRPr="009B27A5">
        <w:rPr>
          <w:rFonts w:ascii="Arial" w:hAnsi="Arial" w:cs="Arial"/>
          <w:bCs/>
          <w:sz w:val="22"/>
          <w:szCs w:val="22"/>
          <w:lang w:val="es-ES_tradnl" w:eastAsia="es-CO"/>
        </w:rPr>
        <w:t xml:space="preserve"> dicha transferencia no pudiera realizarse </w:t>
      </w:r>
      <w:r w:rsidR="00676866" w:rsidRPr="009B27A5">
        <w:rPr>
          <w:rFonts w:ascii="Arial" w:hAnsi="Arial" w:cs="Arial"/>
          <w:bCs/>
          <w:sz w:val="22"/>
          <w:szCs w:val="22"/>
          <w:lang w:val="es-ES_tradnl" w:eastAsia="es-CO"/>
        </w:rPr>
        <w:t>debido a</w:t>
      </w:r>
      <w:r w:rsidR="00025600" w:rsidRPr="009B27A5">
        <w:rPr>
          <w:rFonts w:ascii="Arial" w:hAnsi="Arial" w:cs="Arial"/>
          <w:bCs/>
          <w:sz w:val="22"/>
          <w:szCs w:val="22"/>
          <w:lang w:val="es-ES_tradnl" w:eastAsia="es-CO"/>
        </w:rPr>
        <w:t xml:space="preserve"> la prohibición contenida en el parágrafo del artículo 38 de la Ley 996 de 2005.</w:t>
      </w:r>
      <w:r w:rsidR="002343B3" w:rsidRPr="009B27A5">
        <w:rPr>
          <w:rFonts w:ascii="Arial" w:hAnsi="Arial" w:cs="Arial"/>
          <w:bCs/>
          <w:sz w:val="22"/>
          <w:szCs w:val="22"/>
          <w:lang w:val="es-ES_tradnl" w:eastAsia="es-CO"/>
        </w:rPr>
        <w:t xml:space="preserve"> </w:t>
      </w:r>
      <w:r w:rsidR="00902F36" w:rsidRPr="009B27A5">
        <w:rPr>
          <w:rFonts w:ascii="Arial" w:hAnsi="Arial" w:cs="Arial"/>
          <w:bCs/>
          <w:sz w:val="22"/>
          <w:szCs w:val="22"/>
          <w:lang w:val="es-ES_tradnl" w:eastAsia="es-CO"/>
        </w:rPr>
        <w:t xml:space="preserve">Sin embargo, por sustracción de materia, </w:t>
      </w:r>
      <w:r w:rsidR="00770632" w:rsidRPr="009B27A5">
        <w:rPr>
          <w:rFonts w:ascii="Arial" w:hAnsi="Arial" w:cs="Arial"/>
          <w:bCs/>
          <w:sz w:val="22"/>
          <w:szCs w:val="22"/>
          <w:lang w:val="es-ES_tradnl" w:eastAsia="es-CO"/>
        </w:rPr>
        <w:t>al ser el Decreto Legislativo 559 de 2020 un régimen especial</w:t>
      </w:r>
      <w:r w:rsidR="00931D27" w:rsidRPr="009B27A5">
        <w:rPr>
          <w:rFonts w:ascii="Arial" w:hAnsi="Arial" w:cs="Arial"/>
          <w:bCs/>
          <w:sz w:val="22"/>
          <w:szCs w:val="22"/>
          <w:lang w:val="es-ES_tradnl" w:eastAsia="es-CO"/>
        </w:rPr>
        <w:t xml:space="preserve"> </w:t>
      </w:r>
      <w:r w:rsidR="00770632" w:rsidRPr="009B27A5">
        <w:rPr>
          <w:rFonts w:ascii="Arial" w:hAnsi="Arial" w:cs="Arial"/>
          <w:bCs/>
          <w:sz w:val="22"/>
          <w:szCs w:val="22"/>
          <w:lang w:val="es-ES_tradnl" w:eastAsia="es-CO"/>
        </w:rPr>
        <w:t xml:space="preserve">y al regular una transferencia de bienes formalizada en un </w:t>
      </w:r>
      <w:r w:rsidR="00770632" w:rsidRPr="00C060C1">
        <w:rPr>
          <w:rFonts w:ascii="Arial" w:hAnsi="Arial" w:cs="Arial"/>
          <w:bCs/>
          <w:i/>
          <w:iCs/>
          <w:sz w:val="22"/>
          <w:szCs w:val="22"/>
          <w:lang w:val="es-ES_tradnl" w:eastAsia="es-CO"/>
        </w:rPr>
        <w:t>acto administrativo</w:t>
      </w:r>
      <w:r w:rsidR="00770632" w:rsidRPr="009B27A5">
        <w:rPr>
          <w:rFonts w:ascii="Arial" w:hAnsi="Arial" w:cs="Arial"/>
          <w:bCs/>
          <w:sz w:val="22"/>
          <w:szCs w:val="22"/>
          <w:lang w:val="es-ES_tradnl" w:eastAsia="es-CO"/>
        </w:rPr>
        <w:t>, no aplican las excepciones a la contratación directa del artículo 33 ni es necesario inaplicar «por inconstitucional» el artículo 38, ambos de la Ley 996 de 2005.</w:t>
      </w:r>
    </w:p>
    <w:p w14:paraId="7251F72D" w14:textId="4EEF95B4" w:rsidR="00FB77C9" w:rsidRPr="009B27A5" w:rsidRDefault="00931D27" w:rsidP="00FB77C9">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En efecto, como se explicó en apartes anteriores, </w:t>
      </w:r>
      <w:r w:rsidR="00FB4893" w:rsidRPr="009B27A5">
        <w:rPr>
          <w:rFonts w:ascii="Arial" w:hAnsi="Arial" w:cs="Arial"/>
          <w:bCs/>
          <w:sz w:val="22"/>
          <w:szCs w:val="22"/>
          <w:lang w:val="es-ES_tradnl" w:eastAsia="es-CO"/>
        </w:rPr>
        <w:t>es cierto que el artículo 33 de la Ley 996 de 2005</w:t>
      </w:r>
      <w:r w:rsidR="002F6411" w:rsidRPr="009B27A5">
        <w:rPr>
          <w:rFonts w:ascii="Arial" w:hAnsi="Arial" w:cs="Arial"/>
          <w:bCs/>
          <w:sz w:val="22"/>
          <w:szCs w:val="22"/>
          <w:lang w:val="es-ES_tradnl" w:eastAsia="es-CO"/>
        </w:rPr>
        <w:t xml:space="preserve"> establece que queda exceptuada de la prohibición de la contratación directa</w:t>
      </w:r>
      <w:r w:rsidR="00B07439" w:rsidRPr="009B27A5">
        <w:rPr>
          <w:rFonts w:ascii="Arial" w:hAnsi="Arial" w:cs="Arial"/>
          <w:bCs/>
          <w:sz w:val="22"/>
          <w:szCs w:val="22"/>
          <w:lang w:val="es-ES_tradnl" w:eastAsia="es-CO"/>
        </w:rPr>
        <w:t xml:space="preserve"> durante los cuatro (4) meses anteriores a la elección presidencial</w:t>
      </w:r>
      <w:r w:rsidR="007C2F60" w:rsidRPr="009B27A5">
        <w:rPr>
          <w:rFonts w:ascii="Arial" w:hAnsi="Arial" w:cs="Arial"/>
          <w:bCs/>
          <w:sz w:val="22"/>
          <w:szCs w:val="22"/>
          <w:lang w:val="es-ES_tradnl" w:eastAsia="es-CO"/>
        </w:rPr>
        <w:t xml:space="preserve"> –incluyendo la segunda vuelta, si fuere el caso–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w:t>
      </w:r>
      <w:r w:rsidR="007C2F60" w:rsidRPr="00C060C1">
        <w:rPr>
          <w:rFonts w:ascii="Arial" w:hAnsi="Arial" w:cs="Arial"/>
          <w:bCs/>
          <w:sz w:val="22"/>
          <w:szCs w:val="22"/>
          <w:lang w:val="es-ES_tradnl" w:eastAsia="es-CO"/>
        </w:rPr>
        <w:t>e fuerza mayor, y los que deban realizar las entidades sanitarias y hospitalarias».</w:t>
      </w:r>
      <w:r w:rsidR="004533A8" w:rsidRPr="009B27A5">
        <w:rPr>
          <w:rFonts w:ascii="Arial" w:hAnsi="Arial" w:cs="Arial"/>
          <w:bCs/>
          <w:sz w:val="22"/>
          <w:szCs w:val="22"/>
          <w:lang w:val="es-ES_tradnl" w:eastAsia="es-CO"/>
        </w:rPr>
        <w:t xml:space="preserve"> Pero, como se observa, en estos casos se está haciendo alusión a la contratación directa y no a la transferencia de bienes </w:t>
      </w:r>
      <w:r w:rsidR="004533A8" w:rsidRPr="009B27A5">
        <w:rPr>
          <w:rFonts w:ascii="Arial" w:hAnsi="Arial" w:cs="Arial"/>
          <w:bCs/>
          <w:i/>
          <w:iCs/>
          <w:sz w:val="22"/>
          <w:szCs w:val="22"/>
          <w:lang w:val="es-ES_tradnl" w:eastAsia="es-CO"/>
        </w:rPr>
        <w:t>por acto administrativo</w:t>
      </w:r>
      <w:r w:rsidR="004533A8" w:rsidRPr="009B27A5">
        <w:rPr>
          <w:rFonts w:ascii="Arial" w:hAnsi="Arial" w:cs="Arial"/>
          <w:bCs/>
          <w:sz w:val="22"/>
          <w:szCs w:val="22"/>
          <w:lang w:val="es-ES_tradnl" w:eastAsia="es-CO"/>
        </w:rPr>
        <w:t>, regulada en el artículo 9 del Decreto 559 de 2020. Por consiguiente</w:t>
      </w:r>
      <w:r w:rsidR="000E0259" w:rsidRPr="009B27A5">
        <w:rPr>
          <w:rFonts w:ascii="Arial" w:hAnsi="Arial" w:cs="Arial"/>
          <w:bCs/>
          <w:sz w:val="22"/>
          <w:szCs w:val="22"/>
          <w:lang w:val="es-ES_tradnl" w:eastAsia="es-CO"/>
        </w:rPr>
        <w:t>,</w:t>
      </w:r>
      <w:r w:rsidR="004533A8" w:rsidRPr="009B27A5">
        <w:rPr>
          <w:rFonts w:ascii="Arial" w:hAnsi="Arial" w:cs="Arial"/>
          <w:bCs/>
          <w:sz w:val="22"/>
          <w:szCs w:val="22"/>
          <w:lang w:val="es-ES_tradnl" w:eastAsia="es-CO"/>
        </w:rPr>
        <w:t xml:space="preserve"> a esta última norma no hay que aplicarle lo dispuesto en el artículo 33 de la Ley </w:t>
      </w:r>
      <w:r w:rsidR="00FB77C9" w:rsidRPr="009B27A5">
        <w:rPr>
          <w:rFonts w:ascii="Arial" w:hAnsi="Arial" w:cs="Arial"/>
          <w:bCs/>
          <w:sz w:val="22"/>
          <w:szCs w:val="22"/>
          <w:lang w:val="es-ES_tradnl" w:eastAsia="es-CO"/>
        </w:rPr>
        <w:t xml:space="preserve">996 de 2005, porque alude a una transferencia </w:t>
      </w:r>
      <w:r w:rsidR="00FB77C9" w:rsidRPr="00C060C1">
        <w:rPr>
          <w:rFonts w:ascii="Arial" w:hAnsi="Arial" w:cs="Arial"/>
          <w:bCs/>
          <w:i/>
          <w:iCs/>
          <w:sz w:val="22"/>
          <w:szCs w:val="22"/>
          <w:lang w:val="es-ES_tradnl" w:eastAsia="es-CO"/>
        </w:rPr>
        <w:t>unilateral</w:t>
      </w:r>
      <w:r w:rsidR="00FB77C9" w:rsidRPr="009B27A5">
        <w:rPr>
          <w:rFonts w:ascii="Arial" w:hAnsi="Arial" w:cs="Arial"/>
          <w:bCs/>
          <w:sz w:val="22"/>
          <w:szCs w:val="22"/>
          <w:lang w:val="es-ES_tradnl" w:eastAsia="es-CO"/>
        </w:rPr>
        <w:t xml:space="preserve"> y no a una que se realice a través de contratación directa. </w:t>
      </w:r>
    </w:p>
    <w:p w14:paraId="3EE908AF" w14:textId="375299D4" w:rsidR="00FB77C9" w:rsidRPr="009B27A5" w:rsidRDefault="00FB77C9" w:rsidP="00FB77C9">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Ni siquiera es necesario </w:t>
      </w:r>
      <w:r w:rsidR="003275DB" w:rsidRPr="009B27A5">
        <w:rPr>
          <w:rFonts w:ascii="Arial" w:hAnsi="Arial" w:cs="Arial"/>
          <w:bCs/>
          <w:sz w:val="22"/>
          <w:szCs w:val="22"/>
          <w:lang w:val="es-ES_tradnl" w:eastAsia="es-CO"/>
        </w:rPr>
        <w:t>aplicar</w:t>
      </w:r>
      <w:r w:rsidRPr="009B27A5">
        <w:rPr>
          <w:rFonts w:ascii="Arial" w:hAnsi="Arial" w:cs="Arial"/>
          <w:bCs/>
          <w:sz w:val="22"/>
          <w:szCs w:val="22"/>
          <w:lang w:val="es-ES_tradnl" w:eastAsia="es-CO"/>
        </w:rPr>
        <w:t xml:space="preserve"> por analogía las excepciones previstas en el artículo </w:t>
      </w:r>
      <w:r w:rsidR="002B2008" w:rsidRPr="009B27A5">
        <w:rPr>
          <w:rFonts w:ascii="Arial" w:hAnsi="Arial" w:cs="Arial"/>
          <w:bCs/>
          <w:sz w:val="22"/>
          <w:szCs w:val="22"/>
          <w:lang w:val="es-ES_tradnl" w:eastAsia="es-CO"/>
        </w:rPr>
        <w:t>33 de la Ley 996 de 2005 al parágrafo del artículo 38 del mismo cuerpo normativo. Primero, porque</w:t>
      </w:r>
      <w:r w:rsidR="00F81AA6" w:rsidRPr="009B27A5">
        <w:rPr>
          <w:rFonts w:ascii="Arial" w:hAnsi="Arial" w:cs="Arial"/>
          <w:bCs/>
          <w:sz w:val="22"/>
          <w:szCs w:val="22"/>
          <w:lang w:val="es-ES_tradnl" w:eastAsia="es-CO"/>
        </w:rPr>
        <w:t>,</w:t>
      </w:r>
      <w:r w:rsidR="002B2008" w:rsidRPr="009B27A5">
        <w:rPr>
          <w:rFonts w:ascii="Arial" w:hAnsi="Arial" w:cs="Arial"/>
          <w:bCs/>
          <w:sz w:val="22"/>
          <w:szCs w:val="22"/>
          <w:lang w:val="es-ES_tradnl" w:eastAsia="es-CO"/>
        </w:rPr>
        <w:t xml:space="preserve"> para la Agencia</w:t>
      </w:r>
      <w:r w:rsidR="00F81AA6" w:rsidRPr="009B27A5">
        <w:rPr>
          <w:rFonts w:ascii="Arial" w:hAnsi="Arial" w:cs="Arial"/>
          <w:bCs/>
          <w:sz w:val="22"/>
          <w:szCs w:val="22"/>
          <w:lang w:val="es-ES_tradnl" w:eastAsia="es-CO"/>
        </w:rPr>
        <w:t>,</w:t>
      </w:r>
      <w:r w:rsidR="002B2008" w:rsidRPr="009B27A5">
        <w:rPr>
          <w:rFonts w:ascii="Arial" w:hAnsi="Arial" w:cs="Arial"/>
          <w:bCs/>
          <w:sz w:val="22"/>
          <w:szCs w:val="22"/>
          <w:lang w:val="es-ES_tradnl" w:eastAsia="es-CO"/>
        </w:rPr>
        <w:t xml:space="preserve"> las excepciones deben interpretarse restrictivamente y por eso, las del 33 no son aplicables al parágrafo del artículo 38, pues este prohíbe la celebración de convenios o contratos interadministrativos, los cuales no necesariamente se celebran por contratación directa. Además, </w:t>
      </w:r>
      <w:r w:rsidR="00F81AA6" w:rsidRPr="009B27A5">
        <w:rPr>
          <w:rFonts w:ascii="Arial" w:hAnsi="Arial" w:cs="Arial"/>
          <w:bCs/>
          <w:sz w:val="22"/>
          <w:szCs w:val="22"/>
          <w:lang w:val="es-ES_tradnl" w:eastAsia="es-CO"/>
        </w:rPr>
        <w:t>la prohibición del parágrafo del artículo 38 es</w:t>
      </w:r>
      <w:r w:rsidR="002B2008" w:rsidRPr="009B27A5">
        <w:rPr>
          <w:rFonts w:ascii="Arial" w:hAnsi="Arial" w:cs="Arial"/>
          <w:bCs/>
          <w:sz w:val="22"/>
          <w:szCs w:val="22"/>
          <w:lang w:val="es-ES_tradnl" w:eastAsia="es-CO"/>
        </w:rPr>
        <w:t xml:space="preserve"> una norma </w:t>
      </w:r>
      <w:r w:rsidR="003275DB" w:rsidRPr="009B27A5">
        <w:rPr>
          <w:rFonts w:ascii="Arial" w:hAnsi="Arial" w:cs="Arial"/>
          <w:bCs/>
          <w:sz w:val="22"/>
          <w:szCs w:val="22"/>
          <w:lang w:val="es-ES_tradnl" w:eastAsia="es-CO"/>
        </w:rPr>
        <w:t>diferente</w:t>
      </w:r>
      <w:r w:rsidR="002B2008" w:rsidRPr="009B27A5">
        <w:rPr>
          <w:rFonts w:ascii="Arial" w:hAnsi="Arial" w:cs="Arial"/>
          <w:bCs/>
          <w:sz w:val="22"/>
          <w:szCs w:val="22"/>
          <w:lang w:val="es-ES_tradnl" w:eastAsia="es-CO"/>
        </w:rPr>
        <w:t xml:space="preserve">. Y segundo, porque, como se indicó, si el </w:t>
      </w:r>
      <w:r w:rsidR="00FB67AD" w:rsidRPr="009B27A5">
        <w:rPr>
          <w:rFonts w:ascii="Arial" w:hAnsi="Arial" w:cs="Arial"/>
          <w:bCs/>
          <w:sz w:val="22"/>
          <w:szCs w:val="22"/>
          <w:lang w:val="es-ES_tradnl" w:eastAsia="es-CO"/>
        </w:rPr>
        <w:t xml:space="preserve">artículo 9 del Decreto 559 de 2020 </w:t>
      </w:r>
      <w:r w:rsidR="00FB67AD" w:rsidRPr="00C060C1">
        <w:rPr>
          <w:rFonts w:ascii="Arial" w:hAnsi="Arial" w:cs="Arial"/>
          <w:bCs/>
          <w:i/>
          <w:iCs/>
          <w:sz w:val="22"/>
          <w:szCs w:val="22"/>
          <w:lang w:val="es-ES_tradnl" w:eastAsia="es-CO"/>
        </w:rPr>
        <w:t xml:space="preserve">no </w:t>
      </w:r>
      <w:r w:rsidR="00FB67AD" w:rsidRPr="009B27A5">
        <w:rPr>
          <w:rFonts w:ascii="Arial" w:hAnsi="Arial" w:cs="Arial"/>
          <w:bCs/>
          <w:sz w:val="22"/>
          <w:szCs w:val="22"/>
          <w:lang w:val="es-ES_tradnl" w:eastAsia="es-CO"/>
        </w:rPr>
        <w:t>regula un evento de celebración de contratos o convenios interadministrativos, no tiene sentido</w:t>
      </w:r>
      <w:r w:rsidR="005D7516" w:rsidRPr="009B27A5">
        <w:rPr>
          <w:rFonts w:ascii="Arial" w:hAnsi="Arial" w:cs="Arial"/>
          <w:bCs/>
          <w:sz w:val="22"/>
          <w:szCs w:val="22"/>
          <w:lang w:val="es-ES_tradnl" w:eastAsia="es-CO"/>
        </w:rPr>
        <w:t xml:space="preserve"> aplicarle a dicha forma de transferencia especial –unilateral–</w:t>
      </w:r>
      <w:r w:rsidR="00CF4D64" w:rsidRPr="009B27A5">
        <w:rPr>
          <w:rFonts w:ascii="Arial" w:hAnsi="Arial" w:cs="Arial"/>
          <w:bCs/>
          <w:sz w:val="22"/>
          <w:szCs w:val="22"/>
          <w:lang w:val="es-ES_tradnl" w:eastAsia="es-CO"/>
        </w:rPr>
        <w:t xml:space="preserve"> </w:t>
      </w:r>
      <w:r w:rsidR="005D7516" w:rsidRPr="009B27A5">
        <w:rPr>
          <w:rFonts w:ascii="Arial" w:hAnsi="Arial" w:cs="Arial"/>
          <w:bCs/>
          <w:sz w:val="22"/>
          <w:szCs w:val="22"/>
          <w:lang w:val="es-ES_tradnl" w:eastAsia="es-CO"/>
        </w:rPr>
        <w:t>excepciones a la celebración de convenios –acto</w:t>
      </w:r>
      <w:r w:rsidR="00B30001" w:rsidRPr="009B27A5">
        <w:rPr>
          <w:rFonts w:ascii="Arial" w:hAnsi="Arial" w:cs="Arial"/>
          <w:bCs/>
          <w:sz w:val="22"/>
          <w:szCs w:val="22"/>
          <w:lang w:val="es-ES_tradnl" w:eastAsia="es-CO"/>
        </w:rPr>
        <w:t>s</w:t>
      </w:r>
      <w:r w:rsidR="005D7516" w:rsidRPr="009B27A5">
        <w:rPr>
          <w:rFonts w:ascii="Arial" w:hAnsi="Arial" w:cs="Arial"/>
          <w:bCs/>
          <w:sz w:val="22"/>
          <w:szCs w:val="22"/>
          <w:lang w:val="es-ES_tradnl" w:eastAsia="es-CO"/>
        </w:rPr>
        <w:t xml:space="preserve"> jurídico</w:t>
      </w:r>
      <w:r w:rsidR="00B30001" w:rsidRPr="009B27A5">
        <w:rPr>
          <w:rFonts w:ascii="Arial" w:hAnsi="Arial" w:cs="Arial"/>
          <w:bCs/>
          <w:sz w:val="22"/>
          <w:szCs w:val="22"/>
          <w:lang w:val="es-ES_tradnl" w:eastAsia="es-CO"/>
        </w:rPr>
        <w:t>s</w:t>
      </w:r>
      <w:r w:rsidR="005D7516" w:rsidRPr="009B27A5">
        <w:rPr>
          <w:rFonts w:ascii="Arial" w:hAnsi="Arial" w:cs="Arial"/>
          <w:bCs/>
          <w:sz w:val="22"/>
          <w:szCs w:val="22"/>
          <w:lang w:val="es-ES_tradnl" w:eastAsia="es-CO"/>
        </w:rPr>
        <w:t xml:space="preserve"> bilateral</w:t>
      </w:r>
      <w:r w:rsidR="00B30001" w:rsidRPr="009B27A5">
        <w:rPr>
          <w:rFonts w:ascii="Arial" w:hAnsi="Arial" w:cs="Arial"/>
          <w:bCs/>
          <w:sz w:val="22"/>
          <w:szCs w:val="22"/>
          <w:lang w:val="es-ES_tradnl" w:eastAsia="es-CO"/>
        </w:rPr>
        <w:t>es</w:t>
      </w:r>
      <w:r w:rsidR="005D7516" w:rsidRPr="009B27A5">
        <w:rPr>
          <w:rFonts w:ascii="Arial" w:hAnsi="Arial" w:cs="Arial"/>
          <w:bCs/>
          <w:sz w:val="22"/>
          <w:szCs w:val="22"/>
          <w:lang w:val="es-ES_tradnl" w:eastAsia="es-CO"/>
        </w:rPr>
        <w:t>–</w:t>
      </w:r>
      <w:r w:rsidR="00B30001" w:rsidRPr="009B27A5">
        <w:rPr>
          <w:rFonts w:ascii="Arial" w:hAnsi="Arial" w:cs="Arial"/>
          <w:bCs/>
          <w:sz w:val="22"/>
          <w:szCs w:val="22"/>
          <w:lang w:val="es-ES_tradnl" w:eastAsia="es-CO"/>
        </w:rPr>
        <w:t>,</w:t>
      </w:r>
      <w:r w:rsidR="005D5BF5" w:rsidRPr="009B27A5">
        <w:rPr>
          <w:rFonts w:ascii="Arial" w:hAnsi="Arial" w:cs="Arial"/>
          <w:bCs/>
          <w:sz w:val="22"/>
          <w:szCs w:val="22"/>
          <w:lang w:val="es-ES_tradnl" w:eastAsia="es-CO"/>
        </w:rPr>
        <w:t xml:space="preserve"> razón por la cual</w:t>
      </w:r>
      <w:r w:rsidR="00B30001" w:rsidRPr="009B27A5">
        <w:rPr>
          <w:rFonts w:ascii="Arial" w:hAnsi="Arial" w:cs="Arial"/>
          <w:bCs/>
          <w:sz w:val="22"/>
          <w:szCs w:val="22"/>
          <w:lang w:val="es-ES_tradnl" w:eastAsia="es-CO"/>
        </w:rPr>
        <w:t xml:space="preserve"> no es procedente la analogía.</w:t>
      </w:r>
    </w:p>
    <w:p w14:paraId="0D0637BC" w14:textId="3430500A" w:rsidR="00B30001" w:rsidRPr="009B27A5" w:rsidRDefault="005D5BF5" w:rsidP="00FB77C9">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F</w:t>
      </w:r>
      <w:r w:rsidR="00B30001" w:rsidRPr="009B27A5">
        <w:rPr>
          <w:rFonts w:ascii="Arial" w:hAnsi="Arial" w:cs="Arial"/>
          <w:bCs/>
          <w:sz w:val="22"/>
          <w:szCs w:val="22"/>
          <w:lang w:val="es-ES_tradnl" w:eastAsia="es-CO"/>
        </w:rPr>
        <w:t xml:space="preserve">inalmente, no puede decirse que el parágrafo del artículo 38 deba inaplicarse por </w:t>
      </w:r>
      <w:r w:rsidR="003275DB" w:rsidRPr="009B27A5">
        <w:rPr>
          <w:rFonts w:ascii="Arial" w:hAnsi="Arial" w:cs="Arial"/>
          <w:bCs/>
          <w:sz w:val="22"/>
          <w:szCs w:val="22"/>
          <w:lang w:val="es-ES_tradnl" w:eastAsia="es-CO"/>
        </w:rPr>
        <w:t>una</w:t>
      </w:r>
      <w:r w:rsidR="00B30001" w:rsidRPr="009B27A5">
        <w:rPr>
          <w:rFonts w:ascii="Arial" w:hAnsi="Arial" w:cs="Arial"/>
          <w:bCs/>
          <w:sz w:val="22"/>
          <w:szCs w:val="22"/>
          <w:lang w:val="es-ES_tradnl" w:eastAsia="es-CO"/>
        </w:rPr>
        <w:t xml:space="preserve"> presunta inconstitucional</w:t>
      </w:r>
      <w:r w:rsidRPr="009B27A5">
        <w:rPr>
          <w:rFonts w:ascii="Arial" w:hAnsi="Arial" w:cs="Arial"/>
          <w:bCs/>
          <w:sz w:val="22"/>
          <w:szCs w:val="22"/>
          <w:lang w:val="es-ES_tradnl" w:eastAsia="es-CO"/>
        </w:rPr>
        <w:t>idad</w:t>
      </w:r>
      <w:r w:rsidR="00B30001" w:rsidRPr="009B27A5">
        <w:rPr>
          <w:rFonts w:ascii="Arial" w:hAnsi="Arial" w:cs="Arial"/>
          <w:bCs/>
          <w:sz w:val="22"/>
          <w:szCs w:val="22"/>
          <w:lang w:val="es-ES_tradnl" w:eastAsia="es-CO"/>
        </w:rPr>
        <w:t>, debido a la existencia de la emergencia sanitaria</w:t>
      </w:r>
      <w:r w:rsidR="0078754B" w:rsidRPr="009B27A5">
        <w:rPr>
          <w:rFonts w:ascii="Arial" w:hAnsi="Arial" w:cs="Arial"/>
          <w:bCs/>
          <w:sz w:val="22"/>
          <w:szCs w:val="22"/>
          <w:lang w:val="es-ES_tradnl" w:eastAsia="es-CO"/>
        </w:rPr>
        <w:t xml:space="preserve"> del COVID-19, pues el Decreto Legislativo 559 de 2020 establece una regulación especial que permite la transferencia de los bienes requeridos para atender la situación de emergencia, mediante</w:t>
      </w:r>
      <w:r w:rsidR="00132B94" w:rsidRPr="009B27A5">
        <w:rPr>
          <w:rFonts w:ascii="Arial" w:hAnsi="Arial" w:cs="Arial"/>
          <w:bCs/>
          <w:sz w:val="22"/>
          <w:szCs w:val="22"/>
          <w:lang w:val="es-ES_tradnl" w:eastAsia="es-CO"/>
        </w:rPr>
        <w:t xml:space="preserve"> el acto administrativo. Partiendo de la existencia de </w:t>
      </w:r>
      <w:r w:rsidR="00B91DFA" w:rsidRPr="009B27A5">
        <w:rPr>
          <w:rFonts w:ascii="Arial" w:hAnsi="Arial" w:cs="Arial"/>
          <w:bCs/>
          <w:sz w:val="22"/>
          <w:szCs w:val="22"/>
          <w:lang w:val="es-ES_tradnl" w:eastAsia="es-CO"/>
        </w:rPr>
        <w:t>la normativa especial</w:t>
      </w:r>
      <w:r w:rsidR="005323DA" w:rsidRPr="009B27A5">
        <w:rPr>
          <w:rFonts w:ascii="Arial" w:hAnsi="Arial" w:cs="Arial"/>
          <w:bCs/>
          <w:sz w:val="22"/>
          <w:szCs w:val="22"/>
          <w:lang w:val="es-ES_tradnl" w:eastAsia="es-CO"/>
        </w:rPr>
        <w:t>,</w:t>
      </w:r>
      <w:r w:rsidR="00B91DFA" w:rsidRPr="009B27A5">
        <w:rPr>
          <w:rFonts w:ascii="Arial" w:hAnsi="Arial" w:cs="Arial"/>
          <w:bCs/>
          <w:sz w:val="22"/>
          <w:szCs w:val="22"/>
          <w:lang w:val="es-ES_tradnl" w:eastAsia="es-CO"/>
        </w:rPr>
        <w:t xml:space="preserve"> </w:t>
      </w:r>
      <w:r w:rsidR="00B91DFA" w:rsidRPr="009B27A5">
        <w:rPr>
          <w:rFonts w:ascii="Arial" w:hAnsi="Arial" w:cs="Arial"/>
          <w:bCs/>
          <w:sz w:val="22"/>
          <w:szCs w:val="22"/>
          <w:lang w:val="es-ES_tradnl" w:eastAsia="es-CO"/>
        </w:rPr>
        <w:lastRenderedPageBreak/>
        <w:t>tampoco es procedente acudir a la excepción de inconstitucionalidad</w:t>
      </w:r>
      <w:r w:rsidR="008D3B79" w:rsidRPr="009B27A5">
        <w:rPr>
          <w:rFonts w:ascii="Arial" w:hAnsi="Arial" w:cs="Arial"/>
          <w:bCs/>
          <w:sz w:val="22"/>
          <w:szCs w:val="22"/>
          <w:lang w:val="es-ES_tradnl" w:eastAsia="es-CO"/>
        </w:rPr>
        <w:t xml:space="preserve"> del parágrafo del artículo 38, que no está prohibiendo</w:t>
      </w:r>
      <w:r w:rsidR="005323DA" w:rsidRPr="009B27A5">
        <w:rPr>
          <w:rFonts w:ascii="Arial" w:hAnsi="Arial" w:cs="Arial"/>
          <w:bCs/>
          <w:sz w:val="22"/>
          <w:szCs w:val="22"/>
          <w:lang w:val="es-ES_tradnl" w:eastAsia="es-CO"/>
        </w:rPr>
        <w:t xml:space="preserve"> que se adelante el procedimiento previsto en el artículo 9 del Decreto 559 de 2020</w:t>
      </w:r>
      <w:r w:rsidR="00B91DFA" w:rsidRPr="009B27A5">
        <w:rPr>
          <w:rFonts w:ascii="Arial" w:hAnsi="Arial" w:cs="Arial"/>
          <w:bCs/>
          <w:sz w:val="22"/>
          <w:szCs w:val="22"/>
          <w:lang w:val="es-ES_tradnl" w:eastAsia="es-CO"/>
        </w:rPr>
        <w:t>.</w:t>
      </w:r>
      <w:r w:rsidR="00B30001" w:rsidRPr="009B27A5">
        <w:rPr>
          <w:rFonts w:ascii="Arial" w:hAnsi="Arial" w:cs="Arial"/>
          <w:bCs/>
          <w:sz w:val="22"/>
          <w:szCs w:val="22"/>
          <w:lang w:val="es-ES_tradnl" w:eastAsia="es-CO"/>
        </w:rPr>
        <w:t xml:space="preserve"> </w:t>
      </w:r>
    </w:p>
    <w:p w14:paraId="3ED84034" w14:textId="77777777" w:rsidR="004F0A4B" w:rsidRPr="009B27A5" w:rsidRDefault="004F0A4B" w:rsidP="000A0DF7">
      <w:pPr>
        <w:tabs>
          <w:tab w:val="left" w:pos="0"/>
        </w:tabs>
        <w:jc w:val="both"/>
        <w:rPr>
          <w:rFonts w:ascii="Arial" w:eastAsia="Calibri" w:hAnsi="Arial" w:cs="Arial"/>
          <w:b/>
          <w:sz w:val="22"/>
          <w:lang w:val="es-ES_tradnl"/>
        </w:rPr>
      </w:pPr>
    </w:p>
    <w:p w14:paraId="05F5364A" w14:textId="16BCE618" w:rsidR="000A0DF7" w:rsidRPr="009B27A5" w:rsidRDefault="000A0DF7" w:rsidP="000A0DF7">
      <w:pPr>
        <w:tabs>
          <w:tab w:val="left" w:pos="0"/>
        </w:tabs>
        <w:jc w:val="both"/>
        <w:rPr>
          <w:rFonts w:ascii="Arial" w:eastAsia="Calibri" w:hAnsi="Arial" w:cs="Arial"/>
          <w:b/>
          <w:sz w:val="22"/>
          <w:lang w:val="es-ES_tradnl"/>
        </w:rPr>
      </w:pPr>
      <w:r w:rsidRPr="009B27A5">
        <w:rPr>
          <w:rFonts w:ascii="Arial" w:eastAsia="Calibri" w:hAnsi="Arial" w:cs="Arial"/>
          <w:b/>
          <w:sz w:val="22"/>
          <w:lang w:val="es-ES_tradnl"/>
        </w:rPr>
        <w:t>3. Respuesta</w:t>
      </w:r>
    </w:p>
    <w:p w14:paraId="2B3071BA" w14:textId="77777777" w:rsidR="000A0DF7" w:rsidRPr="009B27A5" w:rsidRDefault="000A0DF7" w:rsidP="000A0DF7">
      <w:pPr>
        <w:tabs>
          <w:tab w:val="left" w:pos="0"/>
        </w:tabs>
        <w:jc w:val="both"/>
        <w:rPr>
          <w:rFonts w:ascii="Arial" w:eastAsia="Calibri" w:hAnsi="Arial" w:cs="Arial"/>
          <w:sz w:val="21"/>
          <w:szCs w:val="21"/>
          <w:lang w:val="es-ES_tradnl"/>
        </w:rPr>
      </w:pPr>
    </w:p>
    <w:p w14:paraId="600F6BF9" w14:textId="57E97BF9" w:rsidR="006177DB" w:rsidRPr="009B27A5" w:rsidRDefault="006177DB" w:rsidP="00C060C1">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«1. ¿Conforme a lo establecido en el parágrafo del artículo 38 de la Ley 906 de 2005 (sic), no se podrían entregar o transferir la propiedad de los bienes y equipos a las entidades territoriales llámese alcaldías, departamentos o distritos para atender la EMERGENCIA SANITARIA declarada por el Ministerio de Salud y Protección Social como consecuencia de la pandemia?</w:t>
      </w:r>
    </w:p>
    <w:p w14:paraId="15FA287E" w14:textId="6472A9A2" w:rsidR="006177DB" w:rsidRPr="009B27A5" w:rsidRDefault="006177DB" w:rsidP="00C060C1">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»2. ¿Se entendería que sólo se podrá hacer esa transferencia hasta después de elecciones presidenciales?</w:t>
      </w:r>
    </w:p>
    <w:p w14:paraId="723F6826" w14:textId="30B2994A" w:rsidR="006177DB" w:rsidRPr="009B27A5" w:rsidRDefault="006177DB" w:rsidP="00C060C1">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»3. ¿Qué opciones legales tendría el FNGRD para entregar bienes y equipos a las entidades territoriales para continuar con la atención de la PANDEMIA, como Sistema Nacional de Gestión del Riesgo de Desastres SNGRD?</w:t>
      </w:r>
    </w:p>
    <w:p w14:paraId="4EC0FF58" w14:textId="50E2202E" w:rsidR="006177DB" w:rsidRPr="009B27A5" w:rsidRDefault="006177DB" w:rsidP="00C060C1">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»4. ¿Las entidades territoriales en vigencia del artículo 38 de la ley de garantías electorales, estaría imposibilitadas de suscribir convenios o ejecutar recursos públicos para atender una emergencia, emergencia sanitaria, calamidad pública o desastre en los términos de la ley 1523 de 2012 y la ley 9 de 1979?</w:t>
      </w:r>
    </w:p>
    <w:p w14:paraId="63A87408" w14:textId="16E54556" w:rsidR="006177DB" w:rsidRPr="009B27A5" w:rsidRDefault="006177DB" w:rsidP="00C060C1">
      <w:pPr>
        <w:spacing w:after="120"/>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»5. ¿Se podría aplicar por analogía las excepciones del inciso 2 del artículo 33 de la ley de garantías electorales para llenar el vacío normativo que tiene el artículo 38 ibídem?</w:t>
      </w:r>
    </w:p>
    <w:p w14:paraId="50785562" w14:textId="130A761C" w:rsidR="006177DB" w:rsidRPr="009B27A5" w:rsidRDefault="006177DB" w:rsidP="006177DB">
      <w:pPr>
        <w:ind w:left="709" w:right="709"/>
        <w:jc w:val="both"/>
        <w:rPr>
          <w:rFonts w:ascii="Arial" w:hAnsi="Arial" w:cs="Arial"/>
          <w:color w:val="000000" w:themeColor="text1"/>
          <w:sz w:val="21"/>
          <w:szCs w:val="21"/>
          <w:lang w:val="es-ES_tradnl"/>
        </w:rPr>
      </w:pPr>
      <w:r w:rsidRPr="009B27A5">
        <w:rPr>
          <w:rFonts w:ascii="Arial" w:hAnsi="Arial" w:cs="Arial"/>
          <w:color w:val="000000" w:themeColor="text1"/>
          <w:sz w:val="21"/>
          <w:szCs w:val="21"/>
          <w:lang w:val="es-ES_tradnl"/>
        </w:rPr>
        <w:t>»6. ¿Se podría dar aplicación a la excepción de inconstitucionalidad del artículo 38 de la Ley de Garantías Electorales frente a la situación de emergencia sanitaria que afronta el país por la PANDEMIA por COVID-19?».</w:t>
      </w:r>
      <w:r w:rsidR="00DF670E" w:rsidRPr="009B27A5">
        <w:rPr>
          <w:rFonts w:ascii="Arial" w:hAnsi="Arial" w:cs="Arial"/>
          <w:color w:val="000000" w:themeColor="text1"/>
          <w:sz w:val="21"/>
          <w:szCs w:val="21"/>
          <w:lang w:val="es-ES_tradnl"/>
        </w:rPr>
        <w:t>«–</w:t>
      </w:r>
    </w:p>
    <w:p w14:paraId="7CE81D70" w14:textId="77777777" w:rsidR="000A0DF7" w:rsidRPr="009B27A5" w:rsidRDefault="000A0DF7" w:rsidP="000A0DF7">
      <w:pPr>
        <w:spacing w:line="276" w:lineRule="auto"/>
        <w:ind w:right="709"/>
        <w:jc w:val="both"/>
        <w:rPr>
          <w:rFonts w:ascii="Arial" w:hAnsi="Arial" w:cs="Arial"/>
          <w:sz w:val="22"/>
          <w:szCs w:val="22"/>
          <w:lang w:val="es-ES_tradnl"/>
        </w:rPr>
      </w:pPr>
    </w:p>
    <w:p w14:paraId="3784C9A2" w14:textId="1AE6C129" w:rsidR="001176F2" w:rsidRPr="009B27A5" w:rsidRDefault="000A0DF7" w:rsidP="00C060C1">
      <w:pPr>
        <w:spacing w:after="120" w:line="276" w:lineRule="auto"/>
        <w:jc w:val="both"/>
        <w:rPr>
          <w:rFonts w:ascii="Arial" w:hAnsi="Arial" w:cs="Arial"/>
          <w:bCs/>
          <w:sz w:val="22"/>
          <w:szCs w:val="22"/>
          <w:lang w:val="es-ES_tradnl" w:eastAsia="es-CO"/>
        </w:rPr>
      </w:pPr>
      <w:r w:rsidRPr="009B27A5">
        <w:rPr>
          <w:rFonts w:ascii="Arial" w:hAnsi="Arial" w:cs="Arial"/>
          <w:color w:val="000000"/>
          <w:sz w:val="22"/>
          <w:szCs w:val="22"/>
          <w:bdr w:val="none" w:sz="0" w:space="0" w:color="auto" w:frame="1"/>
          <w:lang w:val="es-ES_tradnl"/>
        </w:rPr>
        <w:t xml:space="preserve">Conforme a la interpretación de las normas generales del sistema de compras y contratación pública, </w:t>
      </w:r>
      <w:r w:rsidR="001176F2" w:rsidRPr="009B27A5">
        <w:rPr>
          <w:rFonts w:ascii="Arial" w:hAnsi="Arial" w:cs="Arial"/>
          <w:bCs/>
          <w:sz w:val="22"/>
          <w:szCs w:val="22"/>
          <w:lang w:val="es-ES_tradnl" w:eastAsia="es-CO"/>
        </w:rPr>
        <w:t>a la transferencia de bienes efectuada cumpliendo los requisitos establecidos en el artículo 9 del Decreto 559 de 2020 no le resultan aplicables las restricciones previstas en el artículo 38 de la Ley 996 de 2005, porque lo que en este precepto se prohíbe es «celebrar convenios interadministrativos para la ejecución de recursos públicos». Como se explicó en este concepto, un convenio interadministrativo es un acuerdo de voluntades en el que intervienen dos o más entidades públicas, o sea un acto jurídico bilateral o que participa de la forma contractual, de conformidad con el artículo 1495 del Código Civil. La forma jurídica consagrada, para efectuar la transferencia gratuita de bienes, en el artículo 9 del Decreto 559 de 2020 es el acto administrativo, no el convenio interadministrativo.</w:t>
      </w:r>
    </w:p>
    <w:p w14:paraId="7C38258A" w14:textId="77777777" w:rsidR="001176F2" w:rsidRPr="009B27A5" w:rsidRDefault="001176F2" w:rsidP="001176F2">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Pero, si en gracia de discusión, el anterior argumento –que para esta Agencia es el principal–, no fuera suficiente, en consonancia con lo indicado en los párrafos iniciales de este numeral, también los criterios hermenéuticos de la especialidad, de la posterioridad y </w:t>
      </w:r>
      <w:r w:rsidRPr="009B27A5">
        <w:rPr>
          <w:rFonts w:ascii="Arial" w:hAnsi="Arial" w:cs="Arial"/>
          <w:bCs/>
          <w:sz w:val="22"/>
          <w:szCs w:val="22"/>
          <w:lang w:val="es-ES_tradnl" w:eastAsia="es-CO"/>
        </w:rPr>
        <w:lastRenderedPageBreak/>
        <w:t xml:space="preserve">del carácter restrictivo de los enunciados gravosos, apoyan la interpretación de que la transferencia efectuada en los estrictos términos del artículo 9 del Decreto 559 de 2020 no ingresa dentro de la prohibición del parágrafo del artículo 38 de la Ley 996 de 2005. Esto por cuanto el Decreto 559 es una Ley –pues se trata de un Decreto Legislativo– i) especial, en la medida en que regula una materia determinada y con vocación excepcional y ii) posterior en el tiempo. Además, iii) en consideración al criterio de interpretación restrictiva, si el parágrafo del artículo 38 de la Ley 996 de 2005 prohibió la celebración de convenios interadministrativos no puede entenderse </w:t>
      </w:r>
      <w:r w:rsidRPr="009B27A5">
        <w:rPr>
          <w:rFonts w:ascii="Arial" w:hAnsi="Arial" w:cs="Arial"/>
          <w:bCs/>
          <w:i/>
          <w:iCs/>
          <w:sz w:val="22"/>
          <w:szCs w:val="22"/>
          <w:lang w:val="es-ES_tradnl" w:eastAsia="es-CO"/>
        </w:rPr>
        <w:t>también</w:t>
      </w:r>
      <w:r w:rsidRPr="009B27A5">
        <w:rPr>
          <w:rFonts w:ascii="Arial" w:hAnsi="Arial" w:cs="Arial"/>
          <w:bCs/>
          <w:sz w:val="22"/>
          <w:szCs w:val="22"/>
          <w:lang w:val="es-ES_tradnl" w:eastAsia="es-CO"/>
        </w:rPr>
        <w:t xml:space="preserve"> prohibido el acto administrativo que permite expedir el artículo 9 del Decreto 559 de 2020, porque se estaría incluyendo una circunstancia que el supuesto de hecho de la restricción no contempla.</w:t>
      </w:r>
    </w:p>
    <w:p w14:paraId="1B24CFE0" w14:textId="218D00FD" w:rsidR="00B37171" w:rsidRPr="009B27A5" w:rsidRDefault="00B37171" w:rsidP="001176F2">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L</w:t>
      </w:r>
      <w:r w:rsidR="001176F2" w:rsidRPr="009B27A5">
        <w:rPr>
          <w:rFonts w:ascii="Arial" w:hAnsi="Arial" w:cs="Arial"/>
          <w:bCs/>
          <w:sz w:val="22"/>
          <w:szCs w:val="22"/>
          <w:lang w:val="es-ES_tradnl" w:eastAsia="es-CO"/>
        </w:rPr>
        <w:t>a Agencia llama la atención sobre el deber de las entidades estatales de analizar en cada caso la norma atributiva de la competencia, para observar cuál es la forma jurídica que consagra. Si la norma no permite expedir un acto administrativo para disponer de recursos durante el período de vigencia de la ley de garantías electorales, no puede la entidad pretender burlar el efecto de la prohibición de contratar directamente o de celebrar un convenio, según el caso, expidiendo un acto administrativo para disponer de los recursos. El artículo 6 de la Constitución establece que los servidores públicos son responsables «[…] por infringir la Constitución y las leyes» y «</w:t>
      </w:r>
      <w:r w:rsidR="001176F2" w:rsidRPr="009B27A5">
        <w:rPr>
          <w:rFonts w:ascii="Arial" w:hAnsi="Arial" w:cs="Arial"/>
          <w:sz w:val="22"/>
          <w:szCs w:val="22"/>
          <w:lang w:val="es-ES_tradnl"/>
        </w:rPr>
        <w:t xml:space="preserve">[…] </w:t>
      </w:r>
      <w:r w:rsidR="001176F2" w:rsidRPr="009B27A5">
        <w:rPr>
          <w:rFonts w:ascii="Arial" w:hAnsi="Arial" w:cs="Arial"/>
          <w:bCs/>
          <w:sz w:val="22"/>
          <w:szCs w:val="22"/>
          <w:lang w:val="es-ES_tradnl" w:eastAsia="es-CO"/>
        </w:rPr>
        <w:t xml:space="preserve">por omisión o extralimitación en el ejercicio de sus funciones», es decir que solo pueden hacer lo que les esté expresamente permitido. Así las cosas, la interpretación efectuada por la Agencia en este concepto tiene en cuenta que el artículo 9 del Decreto 559 de 2020 es una norma especial que permite efectuar una transferencia gratuita de bienes a través de un acto administrativo, pero este criterio no se puede generalizar en hipótesis que no establezcan dicha permisión legal expresa.  </w:t>
      </w:r>
    </w:p>
    <w:p w14:paraId="67A613D1" w14:textId="77777777" w:rsidR="003275DB" w:rsidRPr="009B27A5" w:rsidRDefault="003275DB" w:rsidP="003275D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Por último, los peticionarios incluyen en su cuestionario las preguntas 4 a la 6, indagando por otras vías jurídicas que permitieran hacer la transferencia gratuita de bienes regulada en el artículo 9 del Decreto 559 de 2020 en caso de que, en criterio de la Agencia, dicha transferencia no pudiera realizarse debido a la prohibición contenida en el parágrafo del artículo 38 de la Ley 996 de 2005. Sin embargo, por sustracción de materia, al ser el Decreto Legislativo 559 de 2020 un régimen especial y al regular una transferencia de bienes formalizada en un </w:t>
      </w:r>
      <w:r w:rsidRPr="009B27A5">
        <w:rPr>
          <w:rFonts w:ascii="Arial" w:hAnsi="Arial" w:cs="Arial"/>
          <w:bCs/>
          <w:i/>
          <w:iCs/>
          <w:sz w:val="22"/>
          <w:szCs w:val="22"/>
          <w:lang w:val="es-ES_tradnl" w:eastAsia="es-CO"/>
        </w:rPr>
        <w:t>acto administrativo</w:t>
      </w:r>
      <w:r w:rsidRPr="009B27A5">
        <w:rPr>
          <w:rFonts w:ascii="Arial" w:hAnsi="Arial" w:cs="Arial"/>
          <w:bCs/>
          <w:sz w:val="22"/>
          <w:szCs w:val="22"/>
          <w:lang w:val="es-ES_tradnl" w:eastAsia="es-CO"/>
        </w:rPr>
        <w:t>, no aplican las excepciones a la contratación directa del artículo 33 ni es necesario inaplicar «por inconstitucional» el artículo 38, ambos de la Ley 996 de 2005.</w:t>
      </w:r>
    </w:p>
    <w:p w14:paraId="69532951" w14:textId="77777777" w:rsidR="003275DB" w:rsidRPr="009B27A5" w:rsidRDefault="003275DB" w:rsidP="003275D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En efecto, como se explicó en apartes anteriores, es cierto que el artículo 33 de la Ley 996 de 2005 establece que queda exceptuada de la prohibición de la contratación directa durante los cuatro (4) meses anteriores a la elección presidencial –incluyendo la segunda vuelta, si fuere el caso– «lo referente a la defensa y seguridad del Estado, los contratos de crédito público, los requeridos para cubrir las emergencias educativas, sanitarias y desastres, así como también los utilizados para la reconstrucción de vías, </w:t>
      </w:r>
      <w:r w:rsidRPr="009B27A5">
        <w:rPr>
          <w:rFonts w:ascii="Arial" w:hAnsi="Arial" w:cs="Arial"/>
          <w:bCs/>
          <w:sz w:val="22"/>
          <w:szCs w:val="22"/>
          <w:lang w:val="es-ES_tradnl" w:eastAsia="es-CO"/>
        </w:rPr>
        <w:lastRenderedPageBreak/>
        <w:t xml:space="preserve">puentes, carreteras, infraestructura energética y de comunicaciones, en caso de que hayan sido objeto de atentados, acciones terroristas, desastres naturales o casos de fuerza mayor, y los que deban realizar las entidades sanitarias y hospitalarias». Pero, como se observa, en estos casos se está haciendo alusión a la contratación directa y no a la transferencia de bienes </w:t>
      </w:r>
      <w:r w:rsidRPr="009B27A5">
        <w:rPr>
          <w:rFonts w:ascii="Arial" w:hAnsi="Arial" w:cs="Arial"/>
          <w:bCs/>
          <w:i/>
          <w:iCs/>
          <w:sz w:val="22"/>
          <w:szCs w:val="22"/>
          <w:lang w:val="es-ES_tradnl" w:eastAsia="es-CO"/>
        </w:rPr>
        <w:t>por acto administrativo</w:t>
      </w:r>
      <w:r w:rsidRPr="009B27A5">
        <w:rPr>
          <w:rFonts w:ascii="Arial" w:hAnsi="Arial" w:cs="Arial"/>
          <w:bCs/>
          <w:sz w:val="22"/>
          <w:szCs w:val="22"/>
          <w:lang w:val="es-ES_tradnl" w:eastAsia="es-CO"/>
        </w:rPr>
        <w:t xml:space="preserve">, regulada en el artículo 9 del Decreto 559 de 2020. Por consiguiente, a esta última norma no hay que aplicarle lo dispuesto en el artículo 33 de la Ley 996 de 2005, porque alude a una transferencia </w:t>
      </w:r>
      <w:r w:rsidRPr="009B27A5">
        <w:rPr>
          <w:rFonts w:ascii="Arial" w:hAnsi="Arial" w:cs="Arial"/>
          <w:bCs/>
          <w:i/>
          <w:iCs/>
          <w:sz w:val="22"/>
          <w:szCs w:val="22"/>
          <w:lang w:val="es-ES_tradnl" w:eastAsia="es-CO"/>
        </w:rPr>
        <w:t>unilateral</w:t>
      </w:r>
      <w:r w:rsidRPr="009B27A5">
        <w:rPr>
          <w:rFonts w:ascii="Arial" w:hAnsi="Arial" w:cs="Arial"/>
          <w:bCs/>
          <w:sz w:val="22"/>
          <w:szCs w:val="22"/>
          <w:lang w:val="es-ES_tradnl" w:eastAsia="es-CO"/>
        </w:rPr>
        <w:t xml:space="preserve"> y no a una que se realice a través de contratación directa. </w:t>
      </w:r>
    </w:p>
    <w:p w14:paraId="3664F3F3" w14:textId="396B9B24" w:rsidR="003275DB" w:rsidRPr="009B27A5" w:rsidRDefault="003275DB" w:rsidP="003275D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 xml:space="preserve">Ni siquiera es necesario aplicar por analogía las excepciones previstas en el artículo 33 de la Ley 996 de 2005 al parágrafo del artículo 38 del mismo cuerpo normativo. Primero, porque, para la Agencia, las excepciones deben interpretarse restrictivamente y por eso, las del 33 no son aplicables al parágrafo del artículo 38, pues este prohíbe la celebración de convenios o contratos interadministrativos, los cuales no necesariamente se celebran por contratación directa. Además, la prohibición del parágrafo del artículo 38 es una norma diferente. Y segundo, porque, como se indicó, si el artículo 9 del Decreto 559 de 2020 </w:t>
      </w:r>
      <w:r w:rsidRPr="009B27A5">
        <w:rPr>
          <w:rFonts w:ascii="Arial" w:hAnsi="Arial" w:cs="Arial"/>
          <w:bCs/>
          <w:i/>
          <w:iCs/>
          <w:sz w:val="22"/>
          <w:szCs w:val="22"/>
          <w:lang w:val="es-ES_tradnl" w:eastAsia="es-CO"/>
        </w:rPr>
        <w:t xml:space="preserve">no </w:t>
      </w:r>
      <w:r w:rsidRPr="009B27A5">
        <w:rPr>
          <w:rFonts w:ascii="Arial" w:hAnsi="Arial" w:cs="Arial"/>
          <w:bCs/>
          <w:sz w:val="22"/>
          <w:szCs w:val="22"/>
          <w:lang w:val="es-ES_tradnl" w:eastAsia="es-CO"/>
        </w:rPr>
        <w:t>regula un evento de celebración de contratos o convenios interadministrativos, no tiene sentido aplicarle a dicha forma de transferencia especial –unilateral– excepciones a la celebración de convenios –actos jurídicos bilaterales–,</w:t>
      </w:r>
      <w:r w:rsidR="0080069D" w:rsidRPr="009B27A5">
        <w:rPr>
          <w:rFonts w:ascii="Arial" w:hAnsi="Arial" w:cs="Arial"/>
          <w:bCs/>
          <w:sz w:val="22"/>
          <w:szCs w:val="22"/>
          <w:lang w:val="es-ES_tradnl" w:eastAsia="es-CO"/>
        </w:rPr>
        <w:t xml:space="preserve"> por lo que</w:t>
      </w:r>
      <w:r w:rsidRPr="009B27A5">
        <w:rPr>
          <w:rFonts w:ascii="Arial" w:hAnsi="Arial" w:cs="Arial"/>
          <w:bCs/>
          <w:sz w:val="22"/>
          <w:szCs w:val="22"/>
          <w:lang w:val="es-ES_tradnl" w:eastAsia="es-CO"/>
        </w:rPr>
        <w:t xml:space="preserve"> no es procedente la analogía.</w:t>
      </w:r>
    </w:p>
    <w:p w14:paraId="59EF7DDA" w14:textId="702B7484" w:rsidR="003275DB" w:rsidRPr="009B27A5" w:rsidRDefault="0080069D" w:rsidP="003275DB">
      <w:pPr>
        <w:spacing w:before="120" w:line="276" w:lineRule="auto"/>
        <w:ind w:firstLine="709"/>
        <w:jc w:val="both"/>
        <w:rPr>
          <w:rFonts w:ascii="Arial" w:hAnsi="Arial" w:cs="Arial"/>
          <w:bCs/>
          <w:sz w:val="22"/>
          <w:szCs w:val="22"/>
          <w:lang w:val="es-ES_tradnl" w:eastAsia="es-CO"/>
        </w:rPr>
      </w:pPr>
      <w:r w:rsidRPr="009B27A5">
        <w:rPr>
          <w:rFonts w:ascii="Arial" w:hAnsi="Arial" w:cs="Arial"/>
          <w:bCs/>
          <w:sz w:val="22"/>
          <w:szCs w:val="22"/>
          <w:lang w:val="es-ES_tradnl" w:eastAsia="es-CO"/>
        </w:rPr>
        <w:t>F</w:t>
      </w:r>
      <w:r w:rsidR="003275DB" w:rsidRPr="009B27A5">
        <w:rPr>
          <w:rFonts w:ascii="Arial" w:hAnsi="Arial" w:cs="Arial"/>
          <w:bCs/>
          <w:sz w:val="22"/>
          <w:szCs w:val="22"/>
          <w:lang w:val="es-ES_tradnl" w:eastAsia="es-CO"/>
        </w:rPr>
        <w:t>inalmente, no puede decirse que el parágrafo del artículo 38 deba inaplicarse por una presunta inconstitucional</w:t>
      </w:r>
      <w:r w:rsidRPr="009B27A5">
        <w:rPr>
          <w:rFonts w:ascii="Arial" w:hAnsi="Arial" w:cs="Arial"/>
          <w:bCs/>
          <w:sz w:val="22"/>
          <w:szCs w:val="22"/>
          <w:lang w:val="es-ES_tradnl" w:eastAsia="es-CO"/>
        </w:rPr>
        <w:t>idad</w:t>
      </w:r>
      <w:r w:rsidR="003275DB" w:rsidRPr="009B27A5">
        <w:rPr>
          <w:rFonts w:ascii="Arial" w:hAnsi="Arial" w:cs="Arial"/>
          <w:bCs/>
          <w:sz w:val="22"/>
          <w:szCs w:val="22"/>
          <w:lang w:val="es-ES_tradnl" w:eastAsia="es-CO"/>
        </w:rPr>
        <w:t xml:space="preserve">, debido a la existencia de la emergencia sanitaria del COVID-19, pues el Decreto Legislativo 559 de 2020 establece una regulación especial que permite la transferencia de los bienes requeridos para atender la situación de emergencia, mediante el acto administrativo. Partiendo de la existencia de la normativa especial, tampoco es procedente acudir a la excepción de inconstitucionalidad del parágrafo del artículo 38, que no está prohibiendo que se adelante el procedimiento previsto en el artículo 9 del Decreto 559 de 2020. </w:t>
      </w:r>
    </w:p>
    <w:p w14:paraId="0DBD702B" w14:textId="177C93A2" w:rsidR="001176F2" w:rsidRPr="009B27A5" w:rsidRDefault="001176F2" w:rsidP="00C060C1">
      <w:pPr>
        <w:spacing w:before="120" w:line="276" w:lineRule="auto"/>
        <w:ind w:firstLine="709"/>
        <w:jc w:val="both"/>
        <w:rPr>
          <w:rFonts w:ascii="Arial" w:hAnsi="Arial" w:cs="Arial"/>
          <w:color w:val="000000"/>
          <w:sz w:val="22"/>
          <w:szCs w:val="22"/>
          <w:bdr w:val="none" w:sz="0" w:space="0" w:color="auto" w:frame="1"/>
          <w:lang w:val="es-ES_tradnl"/>
        </w:rPr>
      </w:pPr>
      <w:r w:rsidRPr="009B27A5">
        <w:rPr>
          <w:rFonts w:ascii="Arial" w:hAnsi="Arial" w:cs="Arial"/>
          <w:bCs/>
          <w:sz w:val="22"/>
          <w:szCs w:val="22"/>
          <w:lang w:val="es-ES_tradnl" w:eastAsia="es-CO"/>
        </w:rPr>
        <w:t xml:space="preserve">   </w:t>
      </w:r>
    </w:p>
    <w:p w14:paraId="0A7BABD1" w14:textId="3D263216" w:rsidR="000A0DF7" w:rsidRPr="009B27A5" w:rsidRDefault="000A0DF7" w:rsidP="00BD6A55">
      <w:pPr>
        <w:spacing w:after="120" w:line="276" w:lineRule="auto"/>
        <w:jc w:val="both"/>
        <w:rPr>
          <w:rFonts w:ascii="Arial" w:hAnsi="Arial" w:cs="Arial"/>
          <w:color w:val="000000"/>
          <w:sz w:val="22"/>
          <w:szCs w:val="22"/>
          <w:bdr w:val="none" w:sz="0" w:space="0" w:color="auto" w:frame="1"/>
          <w:lang w:val="es-ES_tradnl"/>
        </w:rPr>
      </w:pPr>
      <w:r w:rsidRPr="009B27A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9B27A5"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9B27A5"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B27A5">
        <w:rPr>
          <w:rFonts w:ascii="Arial" w:hAnsi="Arial" w:cs="Arial"/>
          <w:color w:val="000000" w:themeColor="text1"/>
          <w:sz w:val="22"/>
          <w:szCs w:val="22"/>
          <w:lang w:val="es-ES_tradnl"/>
        </w:rPr>
        <w:t>Atentamente,</w:t>
      </w:r>
    </w:p>
    <w:p w14:paraId="36A110DD" w14:textId="77777777" w:rsidR="000A0DF7" w:rsidRPr="009B27A5"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10C44D" w14:textId="404F2608" w:rsidR="000A0DF7" w:rsidRPr="009B27A5" w:rsidRDefault="00944384" w:rsidP="00944384">
      <w:pPr>
        <w:pStyle w:val="NormalWeb"/>
        <w:spacing w:before="0" w:beforeAutospacing="0" w:after="0" w:afterAutospacing="0" w:line="276" w:lineRule="auto"/>
        <w:jc w:val="center"/>
        <w:rPr>
          <w:color w:val="000000" w:themeColor="text1"/>
          <w:lang w:val="es-ES_tradnl"/>
        </w:rPr>
      </w:pPr>
      <w:r>
        <w:rPr>
          <w:noProof/>
        </w:rPr>
        <w:lastRenderedPageBreak/>
        <w:drawing>
          <wp:inline distT="0" distB="0" distL="0" distR="0" wp14:anchorId="3772E3BD" wp14:editId="4D97938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A47ABE5" w14:textId="77777777" w:rsidR="000A0DF7" w:rsidRPr="009B27A5" w:rsidRDefault="000A0DF7" w:rsidP="000A0DF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0DF7" w:rsidRPr="009B27A5" w14:paraId="25404646" w14:textId="77777777" w:rsidTr="009714E5">
        <w:trPr>
          <w:trHeight w:val="315"/>
        </w:trPr>
        <w:tc>
          <w:tcPr>
            <w:tcW w:w="812" w:type="dxa"/>
            <w:vAlign w:val="center"/>
            <w:hideMark/>
          </w:tcPr>
          <w:p w14:paraId="7A9A3592"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90629E3" w14:textId="7D3623C0" w:rsidR="000A0DF7" w:rsidRPr="009B27A5" w:rsidRDefault="00D2777A"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Cristian Andrés Díaz Díez</w:t>
            </w:r>
          </w:p>
          <w:p w14:paraId="4C81A914"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Contratista de la Subdirección de Gestión Contractual</w:t>
            </w:r>
          </w:p>
        </w:tc>
      </w:tr>
      <w:tr w:rsidR="000A0DF7" w:rsidRPr="009B27A5" w14:paraId="0E1F92F7" w14:textId="77777777" w:rsidTr="009714E5">
        <w:trPr>
          <w:trHeight w:val="330"/>
        </w:trPr>
        <w:tc>
          <w:tcPr>
            <w:tcW w:w="812" w:type="dxa"/>
            <w:vAlign w:val="center"/>
            <w:hideMark/>
          </w:tcPr>
          <w:p w14:paraId="2DD4B563"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F5528"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Juan David Montoya Penagos</w:t>
            </w:r>
          </w:p>
          <w:p w14:paraId="1CB2B03B"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 xml:space="preserve">Gestor T1-15 de la Subdirección de Gestión Contractual  </w:t>
            </w:r>
          </w:p>
        </w:tc>
      </w:tr>
      <w:tr w:rsidR="000A0DF7" w:rsidRPr="0089091B" w14:paraId="4BCF331C" w14:textId="77777777" w:rsidTr="009714E5">
        <w:trPr>
          <w:trHeight w:val="300"/>
        </w:trPr>
        <w:tc>
          <w:tcPr>
            <w:tcW w:w="812" w:type="dxa"/>
            <w:vAlign w:val="center"/>
            <w:hideMark/>
          </w:tcPr>
          <w:p w14:paraId="6C55C4CD"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6BD9B8" w14:textId="77777777" w:rsidR="000A0DF7" w:rsidRPr="009B27A5"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Jorge Augusto Tirado Navarro</w:t>
            </w:r>
          </w:p>
          <w:p w14:paraId="118C3B64" w14:textId="77777777" w:rsidR="000A0DF7" w:rsidRPr="0089091B" w:rsidRDefault="000A0DF7" w:rsidP="009714E5">
            <w:pPr>
              <w:jc w:val="both"/>
              <w:rPr>
                <w:rFonts w:ascii="Arial" w:hAnsi="Arial" w:cs="Arial"/>
                <w:color w:val="000000" w:themeColor="text1"/>
                <w:sz w:val="16"/>
                <w:szCs w:val="16"/>
                <w:lang w:val="es-ES_tradnl" w:eastAsia="es-ES"/>
              </w:rPr>
            </w:pPr>
            <w:r w:rsidRPr="009B27A5">
              <w:rPr>
                <w:rFonts w:ascii="Arial" w:hAnsi="Arial" w:cs="Arial"/>
                <w:color w:val="000000" w:themeColor="text1"/>
                <w:sz w:val="16"/>
                <w:szCs w:val="16"/>
                <w:lang w:val="es-ES_tradnl" w:eastAsia="es-ES"/>
              </w:rPr>
              <w:t>Subdirector de Gestión Contractual ANCP – CCE</w:t>
            </w:r>
          </w:p>
        </w:tc>
      </w:tr>
    </w:tbl>
    <w:p w14:paraId="66E89375" w14:textId="77777777" w:rsidR="000A0DF7" w:rsidRPr="0089091B" w:rsidRDefault="000A0DF7" w:rsidP="000A0DF7">
      <w:pPr>
        <w:rPr>
          <w:rFonts w:ascii="Arial" w:hAnsi="Arial" w:cs="Arial"/>
          <w:color w:val="000000" w:themeColor="text1"/>
          <w:lang w:val="es-ES_tradnl"/>
        </w:rPr>
      </w:pPr>
    </w:p>
    <w:p w14:paraId="036DEAFD" w14:textId="77777777" w:rsidR="000A0DF7" w:rsidRPr="0089091B" w:rsidRDefault="000A0DF7" w:rsidP="000A0DF7">
      <w:pPr>
        <w:tabs>
          <w:tab w:val="left" w:pos="3795"/>
        </w:tabs>
        <w:rPr>
          <w:rFonts w:ascii="Arial" w:hAnsi="Arial" w:cs="Arial"/>
          <w:color w:val="000000" w:themeColor="text1"/>
          <w:lang w:val="es-ES_tradnl"/>
        </w:rPr>
      </w:pPr>
      <w:r w:rsidRPr="0089091B">
        <w:rPr>
          <w:rFonts w:ascii="Arial" w:hAnsi="Arial" w:cs="Arial"/>
          <w:color w:val="000000" w:themeColor="text1"/>
          <w:lang w:val="es-ES_tradnl"/>
        </w:rPr>
        <w:tab/>
      </w:r>
    </w:p>
    <w:p w14:paraId="35B56F46" w14:textId="77777777" w:rsidR="00746E08" w:rsidRPr="0089091B" w:rsidRDefault="00746E08" w:rsidP="000A0DF7">
      <w:pPr>
        <w:tabs>
          <w:tab w:val="left" w:pos="426"/>
        </w:tabs>
        <w:spacing w:line="276" w:lineRule="auto"/>
        <w:jc w:val="both"/>
        <w:rPr>
          <w:rFonts w:ascii="Arial" w:hAnsi="Arial" w:cs="Arial"/>
          <w:lang w:val="es-ES_tradnl"/>
        </w:rPr>
      </w:pPr>
    </w:p>
    <w:sectPr w:rsidR="00746E08" w:rsidRPr="0089091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C2196" w14:textId="77777777" w:rsidR="000565B3" w:rsidRDefault="000565B3">
      <w:r>
        <w:separator/>
      </w:r>
    </w:p>
  </w:endnote>
  <w:endnote w:type="continuationSeparator" w:id="0">
    <w:p w14:paraId="1806125F" w14:textId="77777777" w:rsidR="000565B3" w:rsidRDefault="000565B3">
      <w:r>
        <w:continuationSeparator/>
      </w:r>
    </w:p>
  </w:endnote>
  <w:endnote w:type="continuationNotice" w:id="1">
    <w:p w14:paraId="3B9778A8" w14:textId="77777777" w:rsidR="000565B3" w:rsidRDefault="0005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364EC" w14:textId="77777777" w:rsidR="000565B3" w:rsidRDefault="000565B3">
      <w:r>
        <w:separator/>
      </w:r>
    </w:p>
  </w:footnote>
  <w:footnote w:type="continuationSeparator" w:id="0">
    <w:p w14:paraId="7F59E81B" w14:textId="77777777" w:rsidR="000565B3" w:rsidRDefault="000565B3">
      <w:r>
        <w:continuationSeparator/>
      </w:r>
    </w:p>
  </w:footnote>
  <w:footnote w:type="continuationNotice" w:id="1">
    <w:p w14:paraId="6FABF467" w14:textId="77777777" w:rsidR="000565B3" w:rsidRDefault="000565B3"/>
  </w:footnote>
  <w:footnote w:id="2">
    <w:p w14:paraId="26D2836D" w14:textId="6034E079" w:rsidR="00900890" w:rsidRPr="00802A12" w:rsidRDefault="00900890"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00376182" w:rsidRPr="00802A12">
        <w:rPr>
          <w:rFonts w:ascii="Arial" w:hAnsi="Arial" w:cs="Arial"/>
          <w:sz w:val="19"/>
          <w:szCs w:val="19"/>
        </w:rPr>
        <w:t>Disponible en: https://colombiacompra.gov.co/sala-de-prensa/comunicados/la-agencia-nacional-de-contratacion-publica-colombia-compra-eficiente-0</w:t>
      </w:r>
    </w:p>
  </w:footnote>
  <w:footnote w:id="3">
    <w:p w14:paraId="26F6D95F" w14:textId="77777777" w:rsidR="004D5ED1" w:rsidRPr="00802A12" w:rsidRDefault="004D5ED1" w:rsidP="004D5ED1">
      <w:pPr>
        <w:pStyle w:val="Textonotapie"/>
        <w:ind w:firstLine="709"/>
        <w:jc w:val="both"/>
        <w:rPr>
          <w:rFonts w:ascii="Arial" w:hAnsi="Arial" w:cs="Arial"/>
          <w:sz w:val="19"/>
          <w:szCs w:val="19"/>
        </w:rPr>
      </w:pPr>
    </w:p>
    <w:p w14:paraId="419AD200" w14:textId="73FF5F45" w:rsidR="00761939" w:rsidRPr="00802A12" w:rsidRDefault="001C702D"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Cuyo artículo </w:t>
      </w:r>
      <w:r w:rsidR="000E36C2" w:rsidRPr="00802A12">
        <w:rPr>
          <w:rFonts w:ascii="Arial" w:hAnsi="Arial" w:cs="Arial"/>
          <w:sz w:val="19"/>
          <w:szCs w:val="19"/>
          <w:lang w:val="es-ES"/>
        </w:rPr>
        <w:t>124</w:t>
      </w:r>
      <w:r w:rsidR="00111325" w:rsidRPr="00802A12">
        <w:rPr>
          <w:rFonts w:ascii="Arial" w:hAnsi="Arial" w:cs="Arial"/>
          <w:sz w:val="19"/>
          <w:szCs w:val="19"/>
          <w:lang w:val="es-ES"/>
        </w:rPr>
        <w:t xml:space="preserve"> dispone: «Con el propósito de promover la reactivación económica y la generación de empleo en las regiones</w:t>
      </w:r>
      <w:r w:rsidR="002E03E8" w:rsidRPr="00802A12">
        <w:rPr>
          <w:rFonts w:ascii="Arial" w:hAnsi="Arial" w:cs="Arial"/>
          <w:sz w:val="19"/>
          <w:szCs w:val="19"/>
          <w:lang w:val="es-ES"/>
        </w:rPr>
        <w:t>, a partir de la publicación de la presente ley y durante la vigencia fiscal 2022, la nación podrá celebrar convenios interadministrativos</w:t>
      </w:r>
      <w:r w:rsidR="00761939" w:rsidRPr="00802A12">
        <w:rPr>
          <w:rFonts w:ascii="Arial" w:hAnsi="Arial" w:cs="Arial"/>
          <w:sz w:val="19"/>
          <w:szCs w:val="19"/>
          <w:lang w:val="es-ES"/>
        </w:rPr>
        <w:t xml:space="preserve"> con las entidades territoriales para ejecutar programas y proyectos correspondientes al Presupuesto General de la Nación.</w:t>
      </w:r>
    </w:p>
    <w:p w14:paraId="0049064E" w14:textId="36F8DC62" w:rsidR="00EB291E" w:rsidRPr="00802A12" w:rsidRDefault="004D5ED1" w:rsidP="004D5ED1">
      <w:pPr>
        <w:pStyle w:val="Textonotapie"/>
        <w:ind w:firstLine="709"/>
        <w:jc w:val="both"/>
        <w:rPr>
          <w:rFonts w:ascii="Arial" w:hAnsi="Arial" w:cs="Arial"/>
          <w:sz w:val="19"/>
          <w:szCs w:val="19"/>
          <w:lang w:val="es-ES"/>
        </w:rPr>
      </w:pPr>
      <w:r w:rsidRPr="00802A12">
        <w:rPr>
          <w:rFonts w:ascii="Arial" w:hAnsi="Arial" w:cs="Arial"/>
          <w:sz w:val="19"/>
          <w:szCs w:val="19"/>
          <w:lang w:val="es-ES"/>
        </w:rPr>
        <w:t>»</w:t>
      </w:r>
      <w:r w:rsidR="00761939" w:rsidRPr="00802A12">
        <w:rPr>
          <w:rFonts w:ascii="Arial" w:hAnsi="Arial" w:cs="Arial"/>
          <w:sz w:val="19"/>
          <w:szCs w:val="19"/>
          <w:lang w:val="es-ES"/>
        </w:rPr>
        <w:t>La presente disposición</w:t>
      </w:r>
      <w:r w:rsidR="00EB291E" w:rsidRPr="00802A12">
        <w:rPr>
          <w:rFonts w:ascii="Arial" w:hAnsi="Arial" w:cs="Arial"/>
          <w:sz w:val="19"/>
          <w:szCs w:val="19"/>
          <w:lang w:val="es-ES"/>
        </w:rPr>
        <w:t xml:space="preserve"> modifica únicamente en la parte pertinente el inciso primero del parágrafo del artículo 38 de la Ley 996 de 2005.</w:t>
      </w:r>
    </w:p>
    <w:p w14:paraId="303E1610" w14:textId="66FDDC5D" w:rsidR="00EB291E" w:rsidRPr="00802A12" w:rsidRDefault="004D5ED1" w:rsidP="004D5ED1">
      <w:pPr>
        <w:pStyle w:val="Textonotapie"/>
        <w:ind w:firstLine="709"/>
        <w:jc w:val="both"/>
        <w:rPr>
          <w:rFonts w:ascii="Arial" w:hAnsi="Arial" w:cs="Arial"/>
          <w:sz w:val="19"/>
          <w:szCs w:val="19"/>
          <w:lang w:val="es-ES"/>
        </w:rPr>
      </w:pPr>
      <w:r w:rsidRPr="00802A12">
        <w:rPr>
          <w:rFonts w:ascii="Arial" w:hAnsi="Arial" w:cs="Arial"/>
          <w:sz w:val="19"/>
          <w:szCs w:val="19"/>
          <w:lang w:val="es-ES"/>
        </w:rPr>
        <w:t>»</w:t>
      </w:r>
      <w:r w:rsidR="00EB291E" w:rsidRPr="00802A12">
        <w:rPr>
          <w:rFonts w:ascii="Arial" w:hAnsi="Arial" w:cs="Arial"/>
          <w:sz w:val="19"/>
          <w:szCs w:val="19"/>
          <w:lang w:val="es-ES"/>
        </w:rPr>
        <w:t>Parágrafo. Todos los convenios</w:t>
      </w:r>
      <w:r w:rsidR="004A1DF9" w:rsidRPr="00802A12">
        <w:rPr>
          <w:rFonts w:ascii="Arial" w:hAnsi="Arial" w:cs="Arial"/>
          <w:sz w:val="19"/>
          <w:szCs w:val="19"/>
          <w:lang w:val="es-ES"/>
        </w:rPr>
        <w:t xml:space="preserve"> que se suscriban bajo el amparo de la presente disposición serán objeto de control especial por parte de la Contraloría General de la República</w:t>
      </w:r>
      <w:r w:rsidR="00354CAC" w:rsidRPr="00802A12">
        <w:rPr>
          <w:rFonts w:ascii="Arial" w:hAnsi="Arial" w:cs="Arial"/>
          <w:sz w:val="19"/>
          <w:szCs w:val="19"/>
          <w:lang w:val="es-ES"/>
        </w:rPr>
        <w:t>. El Contralor General de la República determinará, en el marco de sus competencias constitucionales y legales, la forma en que se ejercerá dicho control especial</w:t>
      </w:r>
      <w:r w:rsidRPr="00802A12">
        <w:rPr>
          <w:rFonts w:ascii="Arial" w:hAnsi="Arial" w:cs="Arial"/>
          <w:sz w:val="19"/>
          <w:szCs w:val="19"/>
          <w:lang w:val="es-ES"/>
        </w:rPr>
        <w:t>»</w:t>
      </w:r>
      <w:r w:rsidR="00354CAC" w:rsidRPr="00802A12">
        <w:rPr>
          <w:rFonts w:ascii="Arial" w:hAnsi="Arial" w:cs="Arial"/>
          <w:sz w:val="19"/>
          <w:szCs w:val="19"/>
          <w:lang w:val="es-ES"/>
        </w:rPr>
        <w:t>.</w:t>
      </w:r>
    </w:p>
    <w:p w14:paraId="33FBC73C" w14:textId="77777777" w:rsidR="004D5ED1" w:rsidRPr="00802A12" w:rsidRDefault="004D5ED1" w:rsidP="004D5ED1">
      <w:pPr>
        <w:pStyle w:val="Textonotapie"/>
        <w:ind w:firstLine="709"/>
        <w:jc w:val="both"/>
        <w:rPr>
          <w:rFonts w:ascii="Arial" w:hAnsi="Arial" w:cs="Arial"/>
          <w:sz w:val="19"/>
          <w:szCs w:val="19"/>
          <w:lang w:val="es-ES"/>
        </w:rPr>
      </w:pPr>
    </w:p>
  </w:footnote>
  <w:footnote w:id="4">
    <w:p w14:paraId="275290C0" w14:textId="34D1040F" w:rsidR="00B36114" w:rsidRPr="00802A12" w:rsidRDefault="00B36114"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00DE2038" w:rsidRPr="00802A12">
        <w:rPr>
          <w:rFonts w:ascii="Arial" w:hAnsi="Arial" w:cs="Arial"/>
          <w:sz w:val="19"/>
          <w:szCs w:val="19"/>
        </w:rPr>
        <w:t>Op.cit.</w:t>
      </w:r>
      <w:r w:rsidR="004D5ED1" w:rsidRPr="00802A12">
        <w:rPr>
          <w:rFonts w:ascii="Arial" w:hAnsi="Arial" w:cs="Arial"/>
          <w:sz w:val="19"/>
          <w:szCs w:val="19"/>
        </w:rPr>
        <w:t>: https://colombiacompra.gov.co/sala-de-prensa/comunicados/la-agencia-nacional-de-contratacion-publica-colombia-compra-eficiente-0</w:t>
      </w:r>
    </w:p>
  </w:footnote>
  <w:footnote w:id="5">
    <w:p w14:paraId="52AF674C" w14:textId="77777777" w:rsidR="004D5ED1" w:rsidRPr="00802A12" w:rsidRDefault="004D5ED1" w:rsidP="004D5ED1">
      <w:pPr>
        <w:pStyle w:val="Textonotapie"/>
        <w:ind w:firstLine="709"/>
        <w:jc w:val="both"/>
        <w:rPr>
          <w:rFonts w:ascii="Arial" w:hAnsi="Arial" w:cs="Arial"/>
          <w:sz w:val="19"/>
          <w:szCs w:val="19"/>
        </w:rPr>
      </w:pPr>
    </w:p>
    <w:p w14:paraId="5F640524" w14:textId="53B49B1C" w:rsidR="004D5ED1" w:rsidRPr="00802A12" w:rsidRDefault="004D5ED1"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Ibíd.</w:t>
      </w:r>
    </w:p>
  </w:footnote>
  <w:footnote w:id="6">
    <w:p w14:paraId="08FF955D" w14:textId="0487587C"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 xml:space="preserve">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0A0DF7" w:rsidRPr="00802A12" w:rsidRDefault="000A0DF7" w:rsidP="004D5ED1">
      <w:pPr>
        <w:pStyle w:val="Textonotapie"/>
        <w:ind w:firstLine="709"/>
        <w:jc w:val="both"/>
        <w:rPr>
          <w:rFonts w:ascii="Arial" w:hAnsi="Arial" w:cs="Arial"/>
          <w:sz w:val="19"/>
          <w:szCs w:val="19"/>
        </w:rPr>
      </w:pPr>
      <w:r w:rsidRPr="00802A12">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0A0DF7" w:rsidRPr="00802A12" w:rsidRDefault="000A0DF7" w:rsidP="004D5ED1">
      <w:pPr>
        <w:pStyle w:val="Textonotapie"/>
        <w:ind w:firstLine="709"/>
        <w:jc w:val="both"/>
        <w:rPr>
          <w:rFonts w:ascii="Arial" w:hAnsi="Arial" w:cs="Arial"/>
          <w:sz w:val="19"/>
          <w:szCs w:val="19"/>
        </w:rPr>
      </w:pPr>
    </w:p>
  </w:footnote>
  <w:footnote w:id="7">
    <w:p w14:paraId="3D86A115"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Gaceta del Congreso de la República No. 71 del 2005.</w:t>
      </w:r>
    </w:p>
  </w:footnote>
  <w:footnote w:id="8">
    <w:p w14:paraId="70DE744C"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Corte Constitucional, Sentencia C- 1153 de 2005, M.P. Marco Gerardo Monroy Cabra.</w:t>
      </w:r>
    </w:p>
  </w:footnote>
  <w:footnote w:id="9">
    <w:p w14:paraId="2120875D"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0A0DF7" w:rsidRPr="00802A12" w:rsidRDefault="000A0DF7" w:rsidP="004D5ED1">
      <w:pPr>
        <w:pStyle w:val="Textonotapie"/>
        <w:ind w:firstLine="709"/>
        <w:jc w:val="both"/>
        <w:rPr>
          <w:rFonts w:ascii="Arial" w:hAnsi="Arial" w:cs="Arial"/>
          <w:sz w:val="19"/>
          <w:szCs w:val="19"/>
        </w:rPr>
      </w:pPr>
    </w:p>
  </w:footnote>
  <w:footnote w:id="10">
    <w:p w14:paraId="2B3023B7" w14:textId="77777777" w:rsidR="000A0DF7" w:rsidRPr="00802A12" w:rsidRDefault="000A0DF7" w:rsidP="004D5ED1">
      <w:pPr>
        <w:pStyle w:val="Textonotapie"/>
        <w:ind w:firstLine="709"/>
        <w:jc w:val="both"/>
        <w:rPr>
          <w:rFonts w:ascii="Arial" w:hAnsi="Arial" w:cs="Arial"/>
          <w:sz w:val="19"/>
          <w:szCs w:val="19"/>
          <w:lang w:val="es-CO"/>
        </w:rPr>
      </w:pPr>
      <w:r w:rsidRPr="00802A12">
        <w:rPr>
          <w:rStyle w:val="Refdenotaalpie"/>
          <w:rFonts w:ascii="Arial" w:hAnsi="Arial" w:cs="Arial"/>
          <w:sz w:val="19"/>
          <w:szCs w:val="19"/>
        </w:rPr>
        <w:footnoteRef/>
      </w:r>
      <w:r w:rsidRPr="00802A12">
        <w:rPr>
          <w:rFonts w:ascii="Arial" w:hAnsi="Arial" w:cs="Arial"/>
          <w:sz w:val="19"/>
          <w:szCs w:val="19"/>
          <w:lang w:val="es-CO"/>
        </w:rPr>
        <w:t xml:space="preserve"> </w:t>
      </w:r>
      <w:r w:rsidRPr="00802A12">
        <w:rPr>
          <w:rFonts w:ascii="Arial" w:hAnsi="Arial" w:cs="Arial"/>
          <w:sz w:val="19"/>
          <w:szCs w:val="19"/>
          <w:lang w:val="es-CO"/>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0A0DF7" w:rsidRPr="00802A12" w:rsidRDefault="000A0DF7" w:rsidP="004D5ED1">
      <w:pPr>
        <w:pStyle w:val="Textonotapie"/>
        <w:ind w:firstLine="709"/>
        <w:jc w:val="both"/>
        <w:rPr>
          <w:rFonts w:ascii="Arial" w:hAnsi="Arial" w:cs="Arial"/>
          <w:sz w:val="19"/>
          <w:szCs w:val="19"/>
          <w:lang w:val="es-CO"/>
        </w:rPr>
      </w:pPr>
    </w:p>
  </w:footnote>
  <w:footnote w:id="11">
    <w:p w14:paraId="000F2381"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 xml:space="preserve">Consejo de Estado, Sala de Consulta y Servicio Civil de fecha 24 de julio de 2013, radicado 2166, Consejero Ponente: Álvaro Namén Vargas.  </w:t>
      </w:r>
    </w:p>
  </w:footnote>
  <w:footnote w:id="12">
    <w:p w14:paraId="5FD1B6A5" w14:textId="77777777" w:rsidR="000A0DF7" w:rsidRPr="00802A12" w:rsidRDefault="000A0DF7" w:rsidP="004D5ED1">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eastAsia="Calibri" w:hAnsi="Arial" w:cs="Arial"/>
          <w:bCs/>
          <w:color w:val="000000"/>
          <w:sz w:val="19"/>
          <w:szCs w:val="19"/>
        </w:rPr>
        <w:t>«</w:t>
      </w:r>
      <w:r w:rsidRPr="00802A12">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0A0DF7" w:rsidRPr="00802A12" w:rsidRDefault="000A0DF7" w:rsidP="004D5ED1">
      <w:pPr>
        <w:ind w:firstLine="709"/>
        <w:jc w:val="both"/>
        <w:rPr>
          <w:rFonts w:ascii="Arial" w:hAnsi="Arial" w:cs="Arial"/>
          <w:sz w:val="19"/>
          <w:szCs w:val="19"/>
        </w:rPr>
      </w:pPr>
      <w:r w:rsidRPr="00802A12">
        <w:rPr>
          <w:rFonts w:ascii="Arial" w:eastAsia="Calibri" w:hAnsi="Arial" w:cs="Arial"/>
          <w:bCs/>
          <w:color w:val="000000"/>
          <w:sz w:val="19"/>
          <w:szCs w:val="19"/>
        </w:rPr>
        <w:t>»</w:t>
      </w:r>
      <w:r w:rsidRPr="00802A12">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02A12">
        <w:rPr>
          <w:rFonts w:ascii="Arial" w:eastAsia="Calibri" w:hAnsi="Arial" w:cs="Arial"/>
          <w:bCs/>
          <w:color w:val="000000"/>
          <w:sz w:val="19"/>
          <w:szCs w:val="19"/>
        </w:rPr>
        <w:t>»</w:t>
      </w:r>
      <w:r w:rsidRPr="00802A12">
        <w:rPr>
          <w:rFonts w:ascii="Arial" w:hAnsi="Arial" w:cs="Arial"/>
          <w:sz w:val="19"/>
          <w:szCs w:val="19"/>
        </w:rPr>
        <w:t>.</w:t>
      </w:r>
    </w:p>
    <w:p w14:paraId="68C81580" w14:textId="77777777" w:rsidR="000A0DF7" w:rsidRPr="00802A12" w:rsidRDefault="000A0DF7" w:rsidP="004D5ED1">
      <w:pPr>
        <w:ind w:firstLine="709"/>
        <w:jc w:val="both"/>
        <w:rPr>
          <w:rFonts w:ascii="Arial" w:hAnsi="Arial" w:cs="Arial"/>
          <w:sz w:val="19"/>
          <w:szCs w:val="19"/>
        </w:rPr>
      </w:pPr>
    </w:p>
  </w:footnote>
  <w:footnote w:id="13">
    <w:p w14:paraId="5EEDC13D" w14:textId="77777777" w:rsidR="000A0DF7" w:rsidRPr="00802A12" w:rsidRDefault="000A0DF7" w:rsidP="004D5ED1">
      <w:pPr>
        <w:pStyle w:val="NormalWeb"/>
        <w:spacing w:before="0" w:beforeAutospacing="0" w:after="0" w:afterAutospacing="0"/>
        <w:ind w:firstLine="709"/>
        <w:jc w:val="both"/>
        <w:rPr>
          <w:rFonts w:ascii="Arial" w:hAnsi="Arial" w:cs="Arial"/>
          <w:sz w:val="19"/>
          <w:szCs w:val="19"/>
          <w:lang w:val="es-MX"/>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eastAsia="Calibri" w:hAnsi="Arial" w:cs="Arial"/>
          <w:bCs/>
          <w:color w:val="000000"/>
          <w:sz w:val="19"/>
          <w:szCs w:val="19"/>
        </w:rPr>
        <w:t>«</w:t>
      </w:r>
      <w:r w:rsidRPr="00802A12">
        <w:rPr>
          <w:rFonts w:ascii="Arial" w:hAnsi="Arial" w:cs="Arial"/>
          <w:sz w:val="19"/>
          <w:szCs w:val="19"/>
          <w:lang w:val="es-MX"/>
        </w:rPr>
        <w:t>Artículo 38. Prohibiciones para los servidores públicos. A los empleados del Estado les está prohibido:</w:t>
      </w:r>
    </w:p>
    <w:p w14:paraId="621B3705" w14:textId="77777777" w:rsidR="000A0DF7" w:rsidRPr="00802A12" w:rsidRDefault="000A0DF7" w:rsidP="004D5ED1">
      <w:pPr>
        <w:pStyle w:val="NormalWeb"/>
        <w:spacing w:before="0" w:beforeAutospacing="0" w:after="0" w:afterAutospacing="0"/>
        <w:ind w:firstLine="709"/>
        <w:jc w:val="both"/>
        <w:rPr>
          <w:rFonts w:ascii="Arial" w:hAnsi="Arial" w:cs="Arial"/>
          <w:sz w:val="19"/>
          <w:szCs w:val="19"/>
          <w:lang w:val="es-MX"/>
        </w:rPr>
      </w:pPr>
      <w:r w:rsidRPr="00802A12">
        <w:rPr>
          <w:rFonts w:ascii="Arial" w:eastAsia="Calibri" w:hAnsi="Arial" w:cs="Arial"/>
          <w:bCs/>
          <w:color w:val="000000"/>
          <w:sz w:val="19"/>
          <w:szCs w:val="19"/>
        </w:rPr>
        <w:t>»</w:t>
      </w:r>
      <w:r w:rsidRPr="00802A12">
        <w:rPr>
          <w:rFonts w:ascii="Arial" w:hAnsi="Arial" w:cs="Arial"/>
          <w:sz w:val="19"/>
          <w:szCs w:val="19"/>
          <w:lang w:val="es-MX"/>
        </w:rPr>
        <w:t xml:space="preserve"> […]</w:t>
      </w:r>
    </w:p>
    <w:p w14:paraId="491AB04E" w14:textId="77777777" w:rsidR="000A0DF7" w:rsidRPr="00802A12" w:rsidRDefault="000A0DF7" w:rsidP="004D5ED1">
      <w:pPr>
        <w:ind w:firstLine="709"/>
        <w:jc w:val="both"/>
        <w:rPr>
          <w:rFonts w:ascii="Arial" w:hAnsi="Arial" w:cs="Arial"/>
          <w:sz w:val="19"/>
          <w:szCs w:val="19"/>
          <w:lang w:val="es-MX"/>
        </w:rPr>
      </w:pPr>
      <w:r w:rsidRPr="00802A12">
        <w:rPr>
          <w:rFonts w:ascii="Arial" w:eastAsia="Calibri" w:hAnsi="Arial" w:cs="Arial"/>
          <w:bCs/>
          <w:color w:val="000000"/>
          <w:sz w:val="19"/>
          <w:szCs w:val="19"/>
        </w:rPr>
        <w:t>»</w:t>
      </w:r>
      <w:r w:rsidRPr="00802A12">
        <w:rPr>
          <w:rStyle w:val="baj"/>
          <w:rFonts w:ascii="Arial" w:hAnsi="Arial" w:cs="Arial"/>
          <w:sz w:val="19"/>
          <w:szCs w:val="19"/>
          <w:lang w:val="es-MX"/>
        </w:rPr>
        <w:t xml:space="preserve"> Parágrafo.</w:t>
      </w:r>
      <w:r w:rsidRPr="00802A12">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02A12">
        <w:rPr>
          <w:rFonts w:ascii="Arial" w:eastAsia="Calibri" w:hAnsi="Arial" w:cs="Arial"/>
          <w:bCs/>
          <w:color w:val="000000"/>
          <w:sz w:val="19"/>
          <w:szCs w:val="19"/>
        </w:rPr>
        <w:t>»</w:t>
      </w:r>
      <w:r w:rsidRPr="00802A12">
        <w:rPr>
          <w:rFonts w:ascii="Arial" w:hAnsi="Arial" w:cs="Arial"/>
          <w:sz w:val="19"/>
          <w:szCs w:val="19"/>
          <w:lang w:val="es-MX"/>
        </w:rPr>
        <w:t>.</w:t>
      </w:r>
    </w:p>
    <w:p w14:paraId="1FEA72FC" w14:textId="77777777" w:rsidR="000A0DF7" w:rsidRPr="00802A12" w:rsidRDefault="000A0DF7" w:rsidP="004D5ED1">
      <w:pPr>
        <w:ind w:firstLine="709"/>
        <w:jc w:val="both"/>
        <w:rPr>
          <w:rFonts w:ascii="Arial" w:hAnsi="Arial" w:cs="Arial"/>
          <w:sz w:val="19"/>
          <w:szCs w:val="19"/>
          <w:lang w:val="es-MX"/>
        </w:rPr>
      </w:pPr>
    </w:p>
  </w:footnote>
  <w:footnote w:id="14">
    <w:p w14:paraId="0049EE70" w14:textId="77777777" w:rsidR="000A0DF7" w:rsidRPr="00802A12" w:rsidRDefault="000A0DF7" w:rsidP="004D5ED1">
      <w:pPr>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5">
    <w:p w14:paraId="2F4CFDB4"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[25] </w:t>
      </w:r>
      <w:r w:rsidRPr="00802A12">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0A0DF7" w:rsidRPr="00802A12" w:rsidRDefault="000A0DF7" w:rsidP="004D5ED1">
      <w:pPr>
        <w:pStyle w:val="Textonotapie"/>
        <w:ind w:firstLine="709"/>
        <w:jc w:val="both"/>
        <w:rPr>
          <w:rFonts w:ascii="Arial" w:hAnsi="Arial" w:cs="Arial"/>
          <w:sz w:val="19"/>
          <w:szCs w:val="19"/>
        </w:rPr>
      </w:pPr>
    </w:p>
  </w:footnote>
  <w:footnote w:id="16">
    <w:p w14:paraId="6E8CECD0" w14:textId="1810A5CE" w:rsidR="000A0DF7" w:rsidRPr="00802A12" w:rsidRDefault="000A0DF7" w:rsidP="000767C8">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[26] </w:t>
      </w:r>
      <w:r w:rsidRPr="00802A12">
        <w:rPr>
          <w:rFonts w:ascii="Arial" w:hAnsi="Arial" w:cs="Arial"/>
          <w:sz w:val="19"/>
          <w:szCs w:val="19"/>
        </w:rPr>
        <w:t xml:space="preserve">Al respecto ver el concepto 1712 de 2 de febrero de 2006. Consejo de Estado Sala de </w:t>
      </w:r>
      <w:r w:rsidRPr="00802A12">
        <w:rPr>
          <w:rFonts w:ascii="Arial" w:hAnsi="Arial" w:cs="Arial"/>
          <w:sz w:val="19"/>
          <w:szCs w:val="19"/>
        </w:rPr>
        <w:t>Consulta y Servicio Civil».</w:t>
      </w:r>
    </w:p>
  </w:footnote>
  <w:footnote w:id="17">
    <w:p w14:paraId="2F65E2D2"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2BB647C" w14:textId="77777777" w:rsidR="000A0DF7" w:rsidRPr="00802A12" w:rsidRDefault="000A0DF7" w:rsidP="004D5ED1">
      <w:pPr>
        <w:pStyle w:val="Textonotapie"/>
        <w:ind w:firstLine="709"/>
        <w:jc w:val="both"/>
        <w:rPr>
          <w:rFonts w:ascii="Arial" w:hAnsi="Arial" w:cs="Arial"/>
          <w:sz w:val="19"/>
          <w:szCs w:val="19"/>
        </w:rPr>
      </w:pPr>
    </w:p>
  </w:footnote>
  <w:footnote w:id="18">
    <w:p w14:paraId="1A0ACCDB" w14:textId="77777777" w:rsidR="000A0DF7" w:rsidRPr="00802A12" w:rsidRDefault="000A0DF7"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Artículo 2. </w:t>
      </w:r>
    </w:p>
    <w:p w14:paraId="2B619EF0" w14:textId="77777777" w:rsidR="000A0DF7" w:rsidRPr="00802A12" w:rsidRDefault="000A0DF7" w:rsidP="004D5ED1">
      <w:pPr>
        <w:pStyle w:val="Textonotapie"/>
        <w:ind w:firstLine="709"/>
        <w:jc w:val="both"/>
        <w:rPr>
          <w:rFonts w:ascii="Arial" w:hAnsi="Arial" w:cs="Arial"/>
          <w:sz w:val="19"/>
          <w:szCs w:val="19"/>
          <w:lang w:val="es-ES"/>
        </w:rPr>
      </w:pPr>
    </w:p>
  </w:footnote>
  <w:footnote w:id="19">
    <w:p w14:paraId="5B1B2B90" w14:textId="77777777" w:rsidR="000A0DF7" w:rsidRPr="00802A12" w:rsidRDefault="000A0DF7"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i/>
          <w:sz w:val="19"/>
          <w:szCs w:val="19"/>
          <w:lang w:val="es-ES"/>
        </w:rPr>
        <w:t>Ídem</w:t>
      </w:r>
      <w:r w:rsidRPr="00802A12">
        <w:rPr>
          <w:rFonts w:ascii="Arial" w:hAnsi="Arial" w:cs="Arial"/>
          <w:sz w:val="19"/>
          <w:szCs w:val="19"/>
          <w:lang w:val="es-ES"/>
        </w:rPr>
        <w:t>.</w:t>
      </w:r>
    </w:p>
  </w:footnote>
  <w:footnote w:id="20">
    <w:p w14:paraId="3C630D01" w14:textId="77777777" w:rsidR="000A0DF7" w:rsidRPr="00802A12" w:rsidRDefault="000A0DF7"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Style w:val="Refdenotaalpie"/>
          <w:rFonts w:ascii="Arial" w:hAnsi="Arial" w:cs="Arial"/>
          <w:sz w:val="19"/>
          <w:szCs w:val="19"/>
        </w:rPr>
        <w:t xml:space="preserve"> </w:t>
      </w:r>
      <w:r w:rsidRPr="00802A12">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0A0DF7" w:rsidRPr="00802A12" w:rsidRDefault="000A0DF7" w:rsidP="004D5ED1">
      <w:pPr>
        <w:pStyle w:val="Textonotapie"/>
        <w:ind w:firstLine="709"/>
        <w:jc w:val="both"/>
        <w:rPr>
          <w:rFonts w:ascii="Arial" w:hAnsi="Arial" w:cs="Arial"/>
          <w:sz w:val="19"/>
          <w:szCs w:val="19"/>
          <w:lang w:val="es-ES"/>
        </w:rPr>
      </w:pPr>
    </w:p>
  </w:footnote>
  <w:footnote w:id="21">
    <w:p w14:paraId="0AEF54F6" w14:textId="72543B57" w:rsidR="000A0DF7" w:rsidRPr="00802A12" w:rsidRDefault="000A0DF7" w:rsidP="00A4495C">
      <w:pPr>
        <w:shd w:val="clear" w:color="auto" w:fill="FFFFFF"/>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Style w:val="Refdenotaalpie"/>
          <w:rFonts w:ascii="Arial" w:hAnsi="Arial" w:cs="Arial"/>
          <w:sz w:val="19"/>
          <w:szCs w:val="19"/>
        </w:rPr>
        <w:t xml:space="preserve"> </w:t>
      </w:r>
      <w:r w:rsidRPr="00802A12">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802A12">
        <w:rPr>
          <w:rFonts w:ascii="Arial" w:hAnsi="Arial" w:cs="Arial"/>
          <w:sz w:val="19"/>
          <w:szCs w:val="19"/>
          <w:lang w:val="es-ES"/>
        </w:rPr>
        <w:t>Namén</w:t>
      </w:r>
      <w:proofErr w:type="spellEnd"/>
      <w:r w:rsidRPr="00802A12">
        <w:rPr>
          <w:rFonts w:ascii="Arial" w:hAnsi="Arial" w:cs="Arial"/>
          <w:sz w:val="19"/>
          <w:szCs w:val="19"/>
          <w:lang w:val="es-ES"/>
        </w:rPr>
        <w:t xml:space="preserve"> Vargas.</w:t>
      </w:r>
    </w:p>
  </w:footnote>
  <w:footnote w:id="22">
    <w:p w14:paraId="1A9B0DCD"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Consejo de Estado. Sala de Consulta y Servicio Civil. Concepto del 08 de mayo de 2018. </w:t>
      </w:r>
      <w:r w:rsidRPr="00802A12">
        <w:rPr>
          <w:rFonts w:ascii="Arial" w:hAnsi="Arial" w:cs="Arial"/>
          <w:sz w:val="19"/>
          <w:szCs w:val="19"/>
        </w:rPr>
        <w:t>Exp. 2.382. C.P. Álvaro Namén Vargas.</w:t>
      </w:r>
    </w:p>
  </w:footnote>
  <w:footnote w:id="23">
    <w:p w14:paraId="496D404C" w14:textId="6B92591B"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B34DF5" w:rsidRPr="00802A12" w:rsidRDefault="00B34DF5" w:rsidP="004D5ED1">
      <w:pPr>
        <w:pStyle w:val="Textonotapie"/>
        <w:ind w:firstLine="709"/>
        <w:jc w:val="both"/>
        <w:rPr>
          <w:rFonts w:ascii="Arial" w:hAnsi="Arial" w:cs="Arial"/>
          <w:sz w:val="19"/>
          <w:szCs w:val="19"/>
        </w:rPr>
      </w:pPr>
    </w:p>
  </w:footnote>
  <w:footnote w:id="24">
    <w:p w14:paraId="1B7FF0C3" w14:textId="2CD5745F" w:rsidR="000A0DF7" w:rsidRPr="00802A12" w:rsidRDefault="000A0DF7" w:rsidP="00B34DF5">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5">
    <w:p w14:paraId="16442682"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802A12">
        <w:rPr>
          <w:rFonts w:ascii="Arial" w:eastAsia="Times New Roman" w:hAnsi="Arial" w:cs="Arial"/>
          <w:bCs/>
          <w:sz w:val="19"/>
          <w:szCs w:val="19"/>
          <w:lang w:eastAsia="x-none"/>
        </w:rPr>
        <w:t xml:space="preserve"> «</w:t>
      </w:r>
      <w:r w:rsidRPr="00802A12">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802A12">
        <w:rPr>
          <w:rFonts w:ascii="Arial" w:eastAsia="Times New Roman" w:hAnsi="Arial" w:cs="Arial"/>
          <w:bCs/>
          <w:sz w:val="19"/>
          <w:szCs w:val="19"/>
          <w:lang w:eastAsia="x-none"/>
        </w:rPr>
        <w:t>».</w:t>
      </w:r>
    </w:p>
  </w:footnote>
  <w:footnote w:id="26">
    <w:p w14:paraId="4F860F82"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Consejo de Estado. Sala de Consulta y Servicio Civil. Concepto de 6 de abril de 2006. Radicación Número: 11001-03-06-000-2006-00038-00(1738). Consejero Ponente: Enrique José Arboleda Perdomo.</w:t>
      </w:r>
    </w:p>
    <w:p w14:paraId="650DD69A" w14:textId="77777777" w:rsidR="000A0DF7" w:rsidRPr="00802A12" w:rsidRDefault="000A0DF7" w:rsidP="004D5ED1">
      <w:pPr>
        <w:pStyle w:val="Textonotapie"/>
        <w:ind w:firstLine="709"/>
        <w:jc w:val="both"/>
        <w:rPr>
          <w:rFonts w:ascii="Arial" w:hAnsi="Arial" w:cs="Arial"/>
          <w:sz w:val="19"/>
          <w:szCs w:val="19"/>
        </w:rPr>
      </w:pPr>
    </w:p>
  </w:footnote>
  <w:footnote w:id="27">
    <w:p w14:paraId="5EEEACC2"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Consejo de Estado. Sala de Consulta y Servicio Civil, ídem.</w:t>
      </w:r>
    </w:p>
  </w:footnote>
  <w:footnote w:id="28">
    <w:p w14:paraId="05666E04"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Consejo de Estado. Sala de Consulta y Servicio Civil. Concepto de 20 de febrero de2006. Radicación 11001-03-06-000-2006-00023-00(1724). Consejero Ponente: Flavio Augusto Rodríguez Arce.</w:t>
      </w:r>
    </w:p>
    <w:p w14:paraId="45973345" w14:textId="77777777" w:rsidR="000A0DF7" w:rsidRPr="00802A12" w:rsidRDefault="000A0DF7" w:rsidP="004D5ED1">
      <w:pPr>
        <w:pStyle w:val="Textonotapie"/>
        <w:ind w:firstLine="709"/>
        <w:jc w:val="both"/>
        <w:rPr>
          <w:rFonts w:ascii="Arial" w:hAnsi="Arial" w:cs="Arial"/>
          <w:sz w:val="19"/>
          <w:szCs w:val="19"/>
        </w:rPr>
      </w:pPr>
    </w:p>
  </w:footnote>
  <w:footnote w:id="29">
    <w:p w14:paraId="5496B129" w14:textId="77777777" w:rsidR="000A0DF7" w:rsidRPr="00802A12" w:rsidRDefault="000A0DF7" w:rsidP="004D5ED1">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F47FFDE" w14:textId="49E225B0" w:rsidR="000A0DF7" w:rsidRPr="00802A12" w:rsidRDefault="000A0DF7" w:rsidP="000767C8">
      <w:pPr>
        <w:ind w:firstLine="709"/>
        <w:jc w:val="both"/>
        <w:rPr>
          <w:rFonts w:ascii="Arial" w:hAnsi="Arial" w:cs="Arial"/>
          <w:sz w:val="19"/>
          <w:szCs w:val="19"/>
        </w:rPr>
      </w:pPr>
      <w:r w:rsidRPr="00802A12">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02A12">
        <w:rPr>
          <w:rFonts w:ascii="Arial" w:hAnsi="Arial" w:cs="Arial"/>
          <w:spacing w:val="-1"/>
          <w:sz w:val="19"/>
          <w:szCs w:val="19"/>
        </w:rPr>
        <w:t xml:space="preserve"> </w:t>
      </w:r>
      <w:r w:rsidRPr="00802A12">
        <w:rPr>
          <w:rFonts w:ascii="Arial" w:hAnsi="Arial" w:cs="Arial"/>
          <w:sz w:val="19"/>
          <w:szCs w:val="19"/>
        </w:rPr>
        <w:t>Estatales».</w:t>
      </w:r>
    </w:p>
  </w:footnote>
  <w:footnote w:id="30">
    <w:p w14:paraId="2FD3140C" w14:textId="05CEAFDC" w:rsidR="000A0DF7" w:rsidRPr="00802A12" w:rsidRDefault="000A0DF7" w:rsidP="000767C8">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02A12">
        <w:rPr>
          <w:rFonts w:ascii="Arial" w:hAnsi="Arial" w:cs="Arial"/>
          <w:spacing w:val="-6"/>
          <w:sz w:val="19"/>
          <w:szCs w:val="19"/>
        </w:rPr>
        <w:t xml:space="preserve"> </w:t>
      </w:r>
      <w:r w:rsidRPr="00802A12">
        <w:rPr>
          <w:rFonts w:ascii="Arial" w:hAnsi="Arial" w:cs="Arial"/>
          <w:sz w:val="19"/>
          <w:szCs w:val="19"/>
        </w:rPr>
        <w:t>artículo».</w:t>
      </w:r>
    </w:p>
  </w:footnote>
  <w:footnote w:id="31">
    <w:p w14:paraId="4FB4D0F2" w14:textId="77777777" w:rsidR="000A0DF7" w:rsidRPr="00802A12" w:rsidRDefault="000A0DF7" w:rsidP="004D5ED1">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position w:val="7"/>
          <w:sz w:val="19"/>
          <w:szCs w:val="19"/>
        </w:rPr>
        <w:t xml:space="preserve"> </w:t>
      </w:r>
      <w:r w:rsidRPr="00802A12">
        <w:rPr>
          <w:rFonts w:ascii="Arial" w:hAnsi="Arial" w:cs="Arial"/>
          <w:sz w:val="19"/>
          <w:szCs w:val="19"/>
        </w:rPr>
        <w:t>Consejo de Estado. Sección Tercera. Sentencia del 23 de junio de 2010. Radicación No. 66001-23-31-000-1998-00261-01(17.860). Consejero Ponente: Mauricio Fajardo Gómez.</w:t>
      </w:r>
    </w:p>
  </w:footnote>
  <w:footnote w:id="32">
    <w:p w14:paraId="66C0C3C8" w14:textId="77777777" w:rsidR="000A0DF7" w:rsidRPr="00802A12" w:rsidRDefault="000A0DF7" w:rsidP="004D5ED1">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Consejo de Estado. Sección Tercera. Subsección C. Sentencia del 11 de diciembre de 2019. Exp. 46.986. C.P. Jaime Enrique Rodríguez Navas.</w:t>
      </w:r>
    </w:p>
    <w:p w14:paraId="0C23B0C4" w14:textId="77777777" w:rsidR="000A0DF7" w:rsidRPr="00802A12" w:rsidRDefault="000A0DF7" w:rsidP="004D5ED1">
      <w:pPr>
        <w:ind w:firstLine="709"/>
        <w:jc w:val="both"/>
        <w:rPr>
          <w:rFonts w:ascii="Arial" w:hAnsi="Arial" w:cs="Arial"/>
          <w:sz w:val="19"/>
          <w:szCs w:val="19"/>
        </w:rPr>
      </w:pPr>
    </w:p>
  </w:footnote>
  <w:footnote w:id="33">
    <w:p w14:paraId="50411243"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[Referencia propia de la cita] «CE. SCSC. Concepto de 1 de noviembre de 2016 [Rad. 11001-03-06-000-2016-00125-00(2305)]. MP. Germán Alberto Bula Escobar».</w:t>
      </w:r>
    </w:p>
    <w:p w14:paraId="6B6683FB" w14:textId="77777777" w:rsidR="000A0DF7" w:rsidRPr="00802A12" w:rsidRDefault="000A0DF7" w:rsidP="004D5ED1">
      <w:pPr>
        <w:pStyle w:val="Textonotapie"/>
        <w:ind w:firstLine="709"/>
        <w:jc w:val="both"/>
        <w:rPr>
          <w:rFonts w:ascii="Arial" w:hAnsi="Arial" w:cs="Arial"/>
          <w:sz w:val="19"/>
          <w:szCs w:val="19"/>
        </w:rPr>
      </w:pPr>
    </w:p>
  </w:footnote>
  <w:footnote w:id="34">
    <w:p w14:paraId="56E226BF"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 xml:space="preserve">[Referencia propia de la cita] «CE. SCSC. Concepto de 30 de abril de 2008 [Rad. 11001-03-06-000-2008-00013-00(1881)]. MP. Enrique José Arboleda Perdomo. En esta oportunidad, la Sala indicó que el contenido </w:t>
      </w:r>
      <w:r w:rsidRPr="00802A12">
        <w:rPr>
          <w:rFonts w:ascii="Arial" w:hAnsi="Arial" w:cs="Arial"/>
          <w:i/>
          <w:sz w:val="19"/>
          <w:szCs w:val="19"/>
        </w:rPr>
        <w:t>“obligacional”</w:t>
      </w:r>
      <w:r w:rsidRPr="00802A12">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5">
    <w:p w14:paraId="3CF56340"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 xml:space="preserve">[Referencia propia de la cita] «La normativa vigente del EGCAP </w:t>
      </w:r>
      <w:r w:rsidRPr="00802A12">
        <w:rPr>
          <w:rFonts w:ascii="Arial" w:hAnsi="Arial" w:cs="Arial"/>
          <w:i/>
          <w:sz w:val="19"/>
          <w:szCs w:val="19"/>
        </w:rPr>
        <w:t>[literal c) del numeral 4. del artículo 2 de la Ley 1150/07]</w:t>
      </w:r>
      <w:r w:rsidRPr="00802A12">
        <w:rPr>
          <w:rFonts w:ascii="Arial" w:hAnsi="Arial" w:cs="Arial"/>
          <w:sz w:val="19"/>
          <w:szCs w:val="19"/>
        </w:rPr>
        <w:t xml:space="preserve"> se refiere a </w:t>
      </w:r>
      <w:r w:rsidRPr="00802A12">
        <w:rPr>
          <w:rFonts w:ascii="Arial" w:hAnsi="Arial" w:cs="Arial"/>
          <w:i/>
          <w:sz w:val="19"/>
          <w:szCs w:val="19"/>
        </w:rPr>
        <w:t>“contratos interadministrativos”</w:t>
      </w:r>
      <w:r w:rsidRPr="00802A12">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D5D60" w14:textId="77777777" w:rsidR="000A0DF7" w:rsidRPr="00802A12" w:rsidRDefault="000A0DF7" w:rsidP="004D5ED1">
      <w:pPr>
        <w:pStyle w:val="Textonotapie"/>
        <w:ind w:firstLine="709"/>
        <w:jc w:val="both"/>
        <w:rPr>
          <w:rFonts w:ascii="Arial" w:hAnsi="Arial" w:cs="Arial"/>
          <w:sz w:val="19"/>
          <w:szCs w:val="19"/>
        </w:rPr>
      </w:pPr>
    </w:p>
  </w:footnote>
  <w:footnote w:id="36">
    <w:p w14:paraId="2923FE86"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E81B91" w14:textId="77777777" w:rsidR="000A0DF7" w:rsidRPr="00802A12" w:rsidRDefault="000A0DF7" w:rsidP="004D5ED1">
      <w:pPr>
        <w:pStyle w:val="Textonotapie"/>
        <w:ind w:firstLine="709"/>
        <w:jc w:val="both"/>
        <w:rPr>
          <w:rFonts w:ascii="Arial" w:hAnsi="Arial" w:cs="Arial"/>
          <w:sz w:val="19"/>
          <w:szCs w:val="19"/>
        </w:rPr>
      </w:pPr>
    </w:p>
  </w:footnote>
  <w:footnote w:id="37">
    <w:p w14:paraId="37766F0E"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 xml:space="preserve">Es lo que sucede, por ejemplo, con el Decreto 092 de 2017, que en su desarrollo hace referencia tanto a los «contratos» como a los «convenios». </w:t>
      </w:r>
    </w:p>
    <w:p w14:paraId="558F3CB5" w14:textId="77777777" w:rsidR="000A0DF7" w:rsidRPr="00802A12" w:rsidRDefault="000A0DF7" w:rsidP="004D5ED1">
      <w:pPr>
        <w:pStyle w:val="Textonotapie"/>
        <w:ind w:firstLine="709"/>
        <w:jc w:val="both"/>
        <w:rPr>
          <w:rFonts w:ascii="Arial" w:hAnsi="Arial" w:cs="Arial"/>
          <w:sz w:val="19"/>
          <w:szCs w:val="19"/>
          <w:lang w:val="es-CO"/>
        </w:rPr>
      </w:pPr>
    </w:p>
  </w:footnote>
  <w:footnote w:id="38">
    <w:p w14:paraId="7318D6AC" w14:textId="77777777" w:rsidR="000A0DF7" w:rsidRPr="00802A12" w:rsidRDefault="000A0DF7" w:rsidP="004D5ED1">
      <w:pPr>
        <w:pStyle w:val="Textonotapie"/>
        <w:ind w:firstLine="709"/>
        <w:jc w:val="both"/>
        <w:rPr>
          <w:rFonts w:ascii="Arial" w:hAnsi="Arial" w:cs="Arial"/>
          <w:sz w:val="19"/>
          <w:szCs w:val="19"/>
          <w:lang w:val="es-CO"/>
        </w:rPr>
      </w:pPr>
      <w:r w:rsidRPr="00802A12">
        <w:rPr>
          <w:rStyle w:val="Refdenotaalpie"/>
          <w:rFonts w:ascii="Arial" w:hAnsi="Arial" w:cs="Arial"/>
          <w:sz w:val="19"/>
          <w:szCs w:val="19"/>
        </w:rPr>
        <w:footnoteRef/>
      </w:r>
      <w:r w:rsidRPr="00802A12">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9">
    <w:p w14:paraId="1AF08C68" w14:textId="77777777"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0">
    <w:p w14:paraId="466A98C3" w14:textId="77777777" w:rsidR="0032586E" w:rsidRPr="00802A12" w:rsidRDefault="0032586E" w:rsidP="004D5ED1">
      <w:pPr>
        <w:pStyle w:val="Textonotapie"/>
        <w:ind w:firstLine="709"/>
        <w:jc w:val="both"/>
        <w:rPr>
          <w:rFonts w:ascii="Arial" w:hAnsi="Arial" w:cs="Arial"/>
          <w:sz w:val="19"/>
          <w:szCs w:val="19"/>
        </w:rPr>
      </w:pPr>
    </w:p>
    <w:p w14:paraId="19473871" w14:textId="31F2B084" w:rsidR="000A0DF7" w:rsidRPr="00802A12" w:rsidRDefault="000A0DF7"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5C4D058A" w14:textId="77777777" w:rsidR="000A0DF7" w:rsidRPr="00802A12" w:rsidRDefault="000A0DF7" w:rsidP="004D5ED1">
      <w:pPr>
        <w:pStyle w:val="Textonotapie"/>
        <w:ind w:firstLine="709"/>
        <w:jc w:val="both"/>
        <w:rPr>
          <w:rFonts w:ascii="Arial" w:hAnsi="Arial" w:cs="Arial"/>
          <w:sz w:val="19"/>
          <w:szCs w:val="19"/>
          <w:lang w:val="es-CO"/>
        </w:rPr>
      </w:pPr>
    </w:p>
  </w:footnote>
  <w:footnote w:id="41">
    <w:p w14:paraId="2561C828" w14:textId="51166496" w:rsidR="0032586E" w:rsidRPr="00802A12" w:rsidRDefault="00967100" w:rsidP="000767C8">
      <w:pPr>
        <w:pStyle w:val="Textonotapie"/>
        <w:ind w:firstLine="709"/>
        <w:jc w:val="both"/>
        <w:rPr>
          <w:rFonts w:ascii="Arial" w:hAnsi="Arial" w:cs="Arial"/>
          <w:sz w:val="19"/>
          <w:szCs w:val="19"/>
          <w:lang w:val="es-CO"/>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Corte Constitucional. Sentencia C-576 de 2004. M.P.</w:t>
      </w:r>
      <w:r w:rsidR="0023434C" w:rsidRPr="00802A12">
        <w:rPr>
          <w:rFonts w:ascii="Arial" w:hAnsi="Arial" w:cs="Arial"/>
          <w:sz w:val="19"/>
          <w:szCs w:val="19"/>
          <w:lang w:val="es-ES"/>
        </w:rPr>
        <w:t xml:space="preserve"> Jaime </w:t>
      </w:r>
      <w:proofErr w:type="spellStart"/>
      <w:r w:rsidR="0023434C" w:rsidRPr="00802A12">
        <w:rPr>
          <w:rFonts w:ascii="Arial" w:hAnsi="Arial" w:cs="Arial"/>
          <w:sz w:val="19"/>
          <w:szCs w:val="19"/>
          <w:lang w:val="es-ES"/>
        </w:rPr>
        <w:t>Araújo</w:t>
      </w:r>
      <w:proofErr w:type="spellEnd"/>
      <w:r w:rsidR="0023434C" w:rsidRPr="00802A12">
        <w:rPr>
          <w:rFonts w:ascii="Arial" w:hAnsi="Arial" w:cs="Arial"/>
          <w:sz w:val="19"/>
          <w:szCs w:val="19"/>
          <w:lang w:val="es-ES"/>
        </w:rPr>
        <w:t xml:space="preserve"> Rentería.</w:t>
      </w:r>
    </w:p>
  </w:footnote>
  <w:footnote w:id="42">
    <w:p w14:paraId="7F2C9149" w14:textId="1E767F96" w:rsidR="0032586E" w:rsidRPr="00802A12" w:rsidRDefault="0092643A" w:rsidP="000767C8">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002D43CA" w:rsidRPr="00802A12">
        <w:rPr>
          <w:rFonts w:ascii="Arial" w:hAnsi="Arial" w:cs="Arial"/>
          <w:sz w:val="19"/>
          <w:szCs w:val="19"/>
          <w:lang w:val="es-ES"/>
        </w:rPr>
        <w:t xml:space="preserve">Consejo de Estado. Sala de Consulta y Servicio Civil. </w:t>
      </w:r>
      <w:r w:rsidR="00290D27" w:rsidRPr="00802A12">
        <w:rPr>
          <w:rFonts w:ascii="Arial" w:hAnsi="Arial" w:cs="Arial"/>
          <w:sz w:val="19"/>
          <w:szCs w:val="19"/>
          <w:lang w:val="es-ES"/>
        </w:rPr>
        <w:t xml:space="preserve">Concepto del 24 de julio de 2013. Consejero Ponente: Álvaro </w:t>
      </w:r>
      <w:proofErr w:type="spellStart"/>
      <w:r w:rsidR="00290D27" w:rsidRPr="00802A12">
        <w:rPr>
          <w:rFonts w:ascii="Arial" w:hAnsi="Arial" w:cs="Arial"/>
          <w:sz w:val="19"/>
          <w:szCs w:val="19"/>
          <w:lang w:val="es-ES"/>
        </w:rPr>
        <w:t>Namén</w:t>
      </w:r>
      <w:proofErr w:type="spellEnd"/>
      <w:r w:rsidR="00290D27" w:rsidRPr="00802A12">
        <w:rPr>
          <w:rFonts w:ascii="Arial" w:hAnsi="Arial" w:cs="Arial"/>
          <w:sz w:val="19"/>
          <w:szCs w:val="19"/>
          <w:lang w:val="es-ES"/>
        </w:rPr>
        <w:t xml:space="preserve"> Vargas. </w:t>
      </w:r>
      <w:r w:rsidR="004266A1" w:rsidRPr="00802A12">
        <w:rPr>
          <w:rFonts w:ascii="Arial" w:hAnsi="Arial" w:cs="Arial"/>
          <w:sz w:val="19"/>
          <w:szCs w:val="19"/>
          <w:lang w:val="es-ES"/>
        </w:rPr>
        <w:t>Número interno: 2166.</w:t>
      </w:r>
    </w:p>
  </w:footnote>
  <w:footnote w:id="43">
    <w:p w14:paraId="716EDC70" w14:textId="6BCE8D16" w:rsidR="00062407" w:rsidRPr="00802A12" w:rsidRDefault="00062407"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Disposición aplicable tanto a las entidades exceptuadas, como a las sometidas al Estatuto General de Contratación de la Administración Pública, en este último caso, por la remisión prevista en los artículos 13, 32 y 40</w:t>
      </w:r>
      <w:r w:rsidR="000263A5" w:rsidRPr="00802A12">
        <w:rPr>
          <w:rFonts w:ascii="Arial" w:hAnsi="Arial" w:cs="Arial"/>
          <w:sz w:val="19"/>
          <w:szCs w:val="19"/>
          <w:lang w:val="es-ES"/>
        </w:rPr>
        <w:t xml:space="preserve"> </w:t>
      </w:r>
      <w:r w:rsidRPr="00802A12">
        <w:rPr>
          <w:rFonts w:ascii="Arial" w:hAnsi="Arial" w:cs="Arial"/>
          <w:sz w:val="19"/>
          <w:szCs w:val="19"/>
          <w:lang w:val="es-ES"/>
        </w:rPr>
        <w:t>al derecho privado.</w:t>
      </w:r>
    </w:p>
    <w:p w14:paraId="6E0770A9" w14:textId="77777777" w:rsidR="0032586E" w:rsidRPr="00802A12" w:rsidRDefault="0032586E" w:rsidP="004D5ED1">
      <w:pPr>
        <w:pStyle w:val="Textonotapie"/>
        <w:ind w:firstLine="709"/>
        <w:jc w:val="both"/>
        <w:rPr>
          <w:rFonts w:ascii="Arial" w:hAnsi="Arial" w:cs="Arial"/>
          <w:sz w:val="19"/>
          <w:szCs w:val="19"/>
          <w:lang w:val="es-ES"/>
        </w:rPr>
      </w:pPr>
    </w:p>
  </w:footnote>
  <w:footnote w:id="44">
    <w:p w14:paraId="23C78D04" w14:textId="2E7A0459" w:rsidR="004E24CE" w:rsidRPr="00802A12" w:rsidRDefault="004E24CE" w:rsidP="004D5ED1">
      <w:pPr>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M.P. Antonio Barrera Carbonell.</w:t>
      </w:r>
    </w:p>
    <w:p w14:paraId="1A05950A" w14:textId="77777777" w:rsidR="0032586E" w:rsidRPr="00802A12" w:rsidRDefault="0032586E" w:rsidP="004D5ED1">
      <w:pPr>
        <w:ind w:firstLine="709"/>
        <w:jc w:val="both"/>
        <w:rPr>
          <w:rFonts w:ascii="Arial" w:hAnsi="Arial" w:cs="Arial"/>
          <w:sz w:val="19"/>
          <w:szCs w:val="19"/>
        </w:rPr>
      </w:pPr>
    </w:p>
  </w:footnote>
  <w:footnote w:id="45">
    <w:p w14:paraId="107232CC" w14:textId="5EA74488" w:rsidR="00263A8A" w:rsidRPr="00802A12" w:rsidRDefault="00263A8A"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M.P. Humberto Antonio Sierra Porto.</w:t>
      </w:r>
    </w:p>
    <w:p w14:paraId="51FD0BDE" w14:textId="77777777" w:rsidR="00C76931" w:rsidRPr="00802A12" w:rsidRDefault="00C76931" w:rsidP="004D5ED1">
      <w:pPr>
        <w:pStyle w:val="Textonotapie"/>
        <w:ind w:firstLine="709"/>
        <w:jc w:val="both"/>
        <w:rPr>
          <w:rFonts w:ascii="Arial" w:hAnsi="Arial" w:cs="Arial"/>
          <w:sz w:val="19"/>
          <w:szCs w:val="19"/>
          <w:lang w:val="es-CO"/>
        </w:rPr>
      </w:pPr>
    </w:p>
  </w:footnote>
  <w:footnote w:id="46">
    <w:p w14:paraId="24D1DAFB" w14:textId="73BD2427" w:rsidR="0033112A" w:rsidRPr="00802A12" w:rsidRDefault="0033112A"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GARCÍA</w:t>
      </w:r>
      <w:r w:rsidR="007F382B" w:rsidRPr="00802A12">
        <w:rPr>
          <w:rFonts w:ascii="Arial" w:hAnsi="Arial" w:cs="Arial"/>
          <w:sz w:val="19"/>
          <w:szCs w:val="19"/>
          <w:lang w:val="es-ES"/>
        </w:rPr>
        <w:t>-</w:t>
      </w:r>
      <w:r w:rsidRPr="00802A12">
        <w:rPr>
          <w:rFonts w:ascii="Arial" w:hAnsi="Arial" w:cs="Arial"/>
          <w:sz w:val="19"/>
          <w:szCs w:val="19"/>
          <w:lang w:val="es-ES"/>
        </w:rPr>
        <w:t>TREVIJANO</w:t>
      </w:r>
      <w:r w:rsidR="007F382B" w:rsidRPr="00802A12">
        <w:rPr>
          <w:rFonts w:ascii="Arial" w:hAnsi="Arial" w:cs="Arial"/>
          <w:sz w:val="19"/>
          <w:szCs w:val="19"/>
          <w:lang w:val="es-ES"/>
        </w:rPr>
        <w:t xml:space="preserve"> FOS, José Antonio. </w:t>
      </w:r>
      <w:r w:rsidR="007F382B" w:rsidRPr="00802A12">
        <w:rPr>
          <w:rFonts w:ascii="Arial" w:hAnsi="Arial" w:cs="Arial"/>
          <w:i/>
          <w:iCs/>
          <w:sz w:val="19"/>
          <w:szCs w:val="19"/>
          <w:lang w:val="es-ES"/>
        </w:rPr>
        <w:t>Los actos administrativos</w:t>
      </w:r>
      <w:r w:rsidR="007F382B" w:rsidRPr="00802A12">
        <w:rPr>
          <w:rFonts w:ascii="Arial" w:hAnsi="Arial" w:cs="Arial"/>
          <w:sz w:val="19"/>
          <w:szCs w:val="19"/>
          <w:lang w:val="es-ES"/>
        </w:rPr>
        <w:t xml:space="preserve">. </w:t>
      </w:r>
      <w:r w:rsidR="00854ACB" w:rsidRPr="00802A12">
        <w:rPr>
          <w:rFonts w:ascii="Arial" w:hAnsi="Arial" w:cs="Arial"/>
          <w:sz w:val="19"/>
          <w:szCs w:val="19"/>
          <w:lang w:val="es-ES"/>
        </w:rPr>
        <w:t xml:space="preserve">Madrid: </w:t>
      </w:r>
      <w:proofErr w:type="spellStart"/>
      <w:r w:rsidR="00854ACB" w:rsidRPr="00802A12">
        <w:rPr>
          <w:rFonts w:ascii="Arial" w:hAnsi="Arial" w:cs="Arial"/>
          <w:sz w:val="19"/>
          <w:szCs w:val="19"/>
          <w:lang w:val="es-ES"/>
        </w:rPr>
        <w:t>Civitas</w:t>
      </w:r>
      <w:proofErr w:type="spellEnd"/>
      <w:r w:rsidR="00854ACB" w:rsidRPr="00802A12">
        <w:rPr>
          <w:rFonts w:ascii="Arial" w:hAnsi="Arial" w:cs="Arial"/>
          <w:sz w:val="19"/>
          <w:szCs w:val="19"/>
          <w:lang w:val="es-ES"/>
        </w:rPr>
        <w:t xml:space="preserve">, 1986. pp. </w:t>
      </w:r>
      <w:r w:rsidR="00843AAC" w:rsidRPr="00802A12">
        <w:rPr>
          <w:rFonts w:ascii="Arial" w:hAnsi="Arial" w:cs="Arial"/>
          <w:sz w:val="19"/>
          <w:szCs w:val="19"/>
          <w:lang w:val="es-ES"/>
        </w:rPr>
        <w:t>95-97.</w:t>
      </w:r>
    </w:p>
    <w:p w14:paraId="3A20EA93" w14:textId="77777777" w:rsidR="00C76931" w:rsidRPr="00802A12" w:rsidRDefault="00C76931" w:rsidP="004D5ED1">
      <w:pPr>
        <w:pStyle w:val="Textonotapie"/>
        <w:ind w:firstLine="709"/>
        <w:jc w:val="both"/>
        <w:rPr>
          <w:rFonts w:ascii="Arial" w:hAnsi="Arial" w:cs="Arial"/>
          <w:sz w:val="19"/>
          <w:szCs w:val="19"/>
          <w:lang w:val="es-ES"/>
        </w:rPr>
      </w:pPr>
    </w:p>
  </w:footnote>
  <w:footnote w:id="47">
    <w:p w14:paraId="60D1AFB5" w14:textId="1BD3CD5D" w:rsidR="00C454EB" w:rsidRPr="00802A12" w:rsidRDefault="00C454EB" w:rsidP="004D5ED1">
      <w:pPr>
        <w:pStyle w:val="Textonotapie"/>
        <w:ind w:firstLine="709"/>
        <w:jc w:val="both"/>
        <w:rPr>
          <w:rFonts w:ascii="Arial" w:hAnsi="Arial" w:cs="Arial"/>
          <w:sz w:val="19"/>
          <w:szCs w:val="19"/>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rPr>
        <w:t>Ibíd., p</w:t>
      </w:r>
      <w:r w:rsidR="00833FD4" w:rsidRPr="00802A12">
        <w:rPr>
          <w:rFonts w:ascii="Arial" w:hAnsi="Arial" w:cs="Arial"/>
          <w:sz w:val="19"/>
          <w:szCs w:val="19"/>
        </w:rPr>
        <w:t>p. 44-45.</w:t>
      </w:r>
    </w:p>
    <w:p w14:paraId="277A38F6" w14:textId="77777777" w:rsidR="00C76931" w:rsidRPr="00802A12" w:rsidRDefault="00C76931" w:rsidP="004D5ED1">
      <w:pPr>
        <w:pStyle w:val="Textonotapie"/>
        <w:ind w:firstLine="709"/>
        <w:jc w:val="both"/>
        <w:rPr>
          <w:rFonts w:ascii="Arial" w:hAnsi="Arial" w:cs="Arial"/>
          <w:sz w:val="19"/>
          <w:szCs w:val="19"/>
          <w:lang w:val="es-ES"/>
        </w:rPr>
      </w:pPr>
    </w:p>
  </w:footnote>
  <w:footnote w:id="48">
    <w:p w14:paraId="5BE7A09A" w14:textId="68953D64" w:rsidR="00C76931" w:rsidRPr="00802A12" w:rsidRDefault="004D2F4A" w:rsidP="000767C8">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Ibíd., p. </w:t>
      </w:r>
      <w:r w:rsidR="00537079" w:rsidRPr="00802A12">
        <w:rPr>
          <w:rFonts w:ascii="Arial" w:hAnsi="Arial" w:cs="Arial"/>
          <w:sz w:val="19"/>
          <w:szCs w:val="19"/>
          <w:lang w:val="es-ES"/>
        </w:rPr>
        <w:t>96.</w:t>
      </w:r>
    </w:p>
  </w:footnote>
  <w:footnote w:id="49">
    <w:p w14:paraId="58E68CB9" w14:textId="7AF7A494" w:rsidR="00C76931" w:rsidRPr="00802A12" w:rsidRDefault="00D25E64" w:rsidP="000767C8">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00130A28" w:rsidRPr="00802A12">
        <w:rPr>
          <w:rFonts w:ascii="Arial" w:hAnsi="Arial" w:cs="Arial"/>
          <w:sz w:val="19"/>
          <w:szCs w:val="19"/>
        </w:rPr>
        <w:t xml:space="preserve">JIMÉNEZ VALDERRAMA, Fernando. </w:t>
      </w:r>
      <w:r w:rsidR="00130A28" w:rsidRPr="00802A12">
        <w:rPr>
          <w:rFonts w:ascii="Arial" w:hAnsi="Arial" w:cs="Arial"/>
          <w:i/>
          <w:iCs/>
          <w:sz w:val="19"/>
          <w:szCs w:val="19"/>
        </w:rPr>
        <w:t>Teoría general del contrato y del negocio jurídico</w:t>
      </w:r>
      <w:r w:rsidR="00130A28" w:rsidRPr="00802A12">
        <w:rPr>
          <w:rFonts w:ascii="Arial" w:hAnsi="Arial" w:cs="Arial"/>
          <w:sz w:val="19"/>
          <w:szCs w:val="19"/>
        </w:rPr>
        <w:t xml:space="preserve">. </w:t>
      </w:r>
      <w:r w:rsidR="008227CD" w:rsidRPr="00802A12">
        <w:rPr>
          <w:rFonts w:ascii="Arial" w:hAnsi="Arial" w:cs="Arial"/>
          <w:sz w:val="19"/>
          <w:szCs w:val="19"/>
        </w:rPr>
        <w:t xml:space="preserve">Bogotá: Legis, 2015. p. </w:t>
      </w:r>
      <w:r w:rsidR="00130A28" w:rsidRPr="00802A12">
        <w:rPr>
          <w:rFonts w:ascii="Arial" w:hAnsi="Arial" w:cs="Arial"/>
          <w:sz w:val="19"/>
          <w:szCs w:val="19"/>
        </w:rPr>
        <w:t>34.</w:t>
      </w:r>
    </w:p>
  </w:footnote>
  <w:footnote w:id="50">
    <w:p w14:paraId="68F95866" w14:textId="33A7F6F0" w:rsidR="00253A8F" w:rsidRPr="00802A12" w:rsidRDefault="00253A8F" w:rsidP="004D5ED1">
      <w:pPr>
        <w:pStyle w:val="Textonotapie"/>
        <w:ind w:firstLine="709"/>
        <w:jc w:val="both"/>
        <w:rPr>
          <w:rFonts w:ascii="Arial" w:hAnsi="Arial" w:cs="Arial"/>
          <w:sz w:val="19"/>
          <w:szCs w:val="19"/>
          <w:lang w:val="es-CO"/>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 xml:space="preserve">Corte Suprema de Justicia. Sala de Casación Civil. </w:t>
      </w:r>
      <w:r w:rsidR="00475C78" w:rsidRPr="00802A12">
        <w:rPr>
          <w:rFonts w:ascii="Arial" w:hAnsi="Arial" w:cs="Arial"/>
          <w:sz w:val="19"/>
          <w:szCs w:val="19"/>
          <w:lang w:val="es-ES"/>
        </w:rPr>
        <w:t>Sentencia del 8 de septiembre de 2021. Magistrado Ponente: Luis Alonso Rico Puerta. Radicación: Radicación n.º 76001-31-03-004-2012-00180-01</w:t>
      </w:r>
      <w:r w:rsidR="00622F49" w:rsidRPr="00802A12">
        <w:rPr>
          <w:rFonts w:ascii="Arial" w:hAnsi="Arial" w:cs="Arial"/>
          <w:sz w:val="19"/>
          <w:szCs w:val="19"/>
          <w:lang w:val="es-ES"/>
        </w:rPr>
        <w:t>.</w:t>
      </w:r>
    </w:p>
  </w:footnote>
  <w:footnote w:id="51">
    <w:p w14:paraId="7490B5F1" w14:textId="77777777" w:rsidR="00C76931" w:rsidRPr="00802A12" w:rsidRDefault="00C76931" w:rsidP="004D5ED1">
      <w:pPr>
        <w:pStyle w:val="Textonotapie"/>
        <w:ind w:firstLine="709"/>
        <w:jc w:val="both"/>
        <w:rPr>
          <w:rFonts w:ascii="Arial" w:hAnsi="Arial" w:cs="Arial"/>
          <w:sz w:val="19"/>
          <w:szCs w:val="19"/>
        </w:rPr>
      </w:pPr>
    </w:p>
    <w:p w14:paraId="7676BC59" w14:textId="0971BC0D" w:rsidR="00D52411" w:rsidRPr="004D5ED1" w:rsidRDefault="00D52411" w:rsidP="004D5ED1">
      <w:pPr>
        <w:pStyle w:val="Textonotapie"/>
        <w:ind w:firstLine="709"/>
        <w:jc w:val="both"/>
        <w:rPr>
          <w:rFonts w:ascii="Arial" w:hAnsi="Arial" w:cs="Arial"/>
          <w:sz w:val="19"/>
          <w:szCs w:val="19"/>
          <w:lang w:val="es-ES"/>
        </w:rPr>
      </w:pPr>
      <w:r w:rsidRPr="00802A12">
        <w:rPr>
          <w:rStyle w:val="Refdenotaalpie"/>
          <w:rFonts w:ascii="Arial" w:hAnsi="Arial" w:cs="Arial"/>
          <w:sz w:val="19"/>
          <w:szCs w:val="19"/>
        </w:rPr>
        <w:footnoteRef/>
      </w:r>
      <w:r w:rsidRPr="00802A12">
        <w:rPr>
          <w:rFonts w:ascii="Arial" w:hAnsi="Arial" w:cs="Arial"/>
          <w:sz w:val="19"/>
          <w:szCs w:val="19"/>
        </w:rPr>
        <w:t xml:space="preserve"> </w:t>
      </w:r>
      <w:r w:rsidRPr="00802A12">
        <w:rPr>
          <w:rFonts w:ascii="Arial" w:hAnsi="Arial" w:cs="Arial"/>
          <w:sz w:val="19"/>
          <w:szCs w:val="19"/>
          <w:lang w:val="es-ES"/>
        </w:rPr>
        <w:t>Ospin</w:t>
      </w:r>
      <w:r w:rsidR="003C55EC" w:rsidRPr="00802A12">
        <w:rPr>
          <w:rFonts w:ascii="Arial" w:hAnsi="Arial" w:cs="Arial"/>
          <w:sz w:val="19"/>
          <w:szCs w:val="19"/>
          <w:lang w:val="es-ES"/>
        </w:rPr>
        <w:t xml:space="preserve">a Fernández, Guillermo y Ospina Acosta, Eduardo. </w:t>
      </w:r>
      <w:r w:rsidR="003C55EC" w:rsidRPr="00802A12">
        <w:rPr>
          <w:rFonts w:ascii="Arial" w:hAnsi="Arial" w:cs="Arial"/>
          <w:i/>
          <w:iCs/>
          <w:sz w:val="19"/>
          <w:szCs w:val="19"/>
          <w:lang w:val="es-ES"/>
        </w:rPr>
        <w:t>Teoría general del contrato y del negocio jurídico</w:t>
      </w:r>
      <w:r w:rsidR="003C55EC" w:rsidRPr="00802A12">
        <w:rPr>
          <w:rFonts w:ascii="Arial" w:hAnsi="Arial" w:cs="Arial"/>
          <w:sz w:val="19"/>
          <w:szCs w:val="19"/>
          <w:lang w:val="es-ES"/>
        </w:rPr>
        <w:t xml:space="preserve">. </w:t>
      </w:r>
      <w:r w:rsidR="00942089" w:rsidRPr="00802A12">
        <w:rPr>
          <w:rFonts w:ascii="Arial" w:hAnsi="Arial" w:cs="Arial"/>
          <w:sz w:val="19"/>
          <w:szCs w:val="19"/>
          <w:lang w:val="es-ES"/>
        </w:rPr>
        <w:t>7ª ed.</w:t>
      </w:r>
      <w:r w:rsidR="003C55EC" w:rsidRPr="00802A12">
        <w:rPr>
          <w:rFonts w:ascii="Arial" w:hAnsi="Arial" w:cs="Arial"/>
          <w:sz w:val="19"/>
          <w:szCs w:val="19"/>
          <w:lang w:val="es-ES"/>
        </w:rPr>
        <w:t xml:space="preserve"> </w:t>
      </w:r>
      <w:r w:rsidR="00942089" w:rsidRPr="00802A12">
        <w:rPr>
          <w:rFonts w:ascii="Arial" w:hAnsi="Arial" w:cs="Arial"/>
          <w:sz w:val="19"/>
          <w:szCs w:val="19"/>
          <w:lang w:val="es-ES"/>
        </w:rPr>
        <w:t xml:space="preserve">Bogotá: Temis, 2005, p. </w:t>
      </w:r>
      <w:r w:rsidR="003C55EC" w:rsidRPr="00802A12">
        <w:rPr>
          <w:rFonts w:ascii="Arial" w:hAnsi="Arial" w:cs="Arial"/>
          <w:sz w:val="19"/>
          <w:szCs w:val="19"/>
          <w:lang w:val="es-ES"/>
        </w:rPr>
        <w:t>43</w:t>
      </w:r>
      <w:r w:rsidR="00C76931" w:rsidRPr="00802A12">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916"/>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532"/>
    <w:rsid w:val="00012B9E"/>
    <w:rsid w:val="00012FBA"/>
    <w:rsid w:val="00013C6B"/>
    <w:rsid w:val="0001406B"/>
    <w:rsid w:val="000143F8"/>
    <w:rsid w:val="00014624"/>
    <w:rsid w:val="00015B44"/>
    <w:rsid w:val="00016081"/>
    <w:rsid w:val="000165AC"/>
    <w:rsid w:val="00016651"/>
    <w:rsid w:val="00016739"/>
    <w:rsid w:val="000171A2"/>
    <w:rsid w:val="00017B65"/>
    <w:rsid w:val="00020158"/>
    <w:rsid w:val="000207E0"/>
    <w:rsid w:val="000209E2"/>
    <w:rsid w:val="00020F8F"/>
    <w:rsid w:val="000215A6"/>
    <w:rsid w:val="00021A95"/>
    <w:rsid w:val="0002256F"/>
    <w:rsid w:val="00023DAE"/>
    <w:rsid w:val="0002427B"/>
    <w:rsid w:val="00024896"/>
    <w:rsid w:val="00025600"/>
    <w:rsid w:val="00025D0A"/>
    <w:rsid w:val="00025E0C"/>
    <w:rsid w:val="000263A5"/>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D53"/>
    <w:rsid w:val="00036E03"/>
    <w:rsid w:val="00037553"/>
    <w:rsid w:val="000406DB"/>
    <w:rsid w:val="0004094D"/>
    <w:rsid w:val="00041029"/>
    <w:rsid w:val="0004149B"/>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5B3"/>
    <w:rsid w:val="00056F66"/>
    <w:rsid w:val="0005702F"/>
    <w:rsid w:val="00061010"/>
    <w:rsid w:val="00061D06"/>
    <w:rsid w:val="00062407"/>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67C8"/>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17E"/>
    <w:rsid w:val="00092CDB"/>
    <w:rsid w:val="00092DCA"/>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22CF"/>
    <w:rsid w:val="000E27B9"/>
    <w:rsid w:val="000E2977"/>
    <w:rsid w:val="000E2CC0"/>
    <w:rsid w:val="000E30AC"/>
    <w:rsid w:val="000E36C2"/>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2D6"/>
    <w:rsid w:val="00116328"/>
    <w:rsid w:val="00116334"/>
    <w:rsid w:val="001163CF"/>
    <w:rsid w:val="001174C9"/>
    <w:rsid w:val="0011764D"/>
    <w:rsid w:val="001176F2"/>
    <w:rsid w:val="00117AB4"/>
    <w:rsid w:val="00117E69"/>
    <w:rsid w:val="001204D2"/>
    <w:rsid w:val="00121103"/>
    <w:rsid w:val="00121BAB"/>
    <w:rsid w:val="00121E3C"/>
    <w:rsid w:val="00122B23"/>
    <w:rsid w:val="00122B7E"/>
    <w:rsid w:val="00123FB5"/>
    <w:rsid w:val="0012400F"/>
    <w:rsid w:val="001249DC"/>
    <w:rsid w:val="001251F7"/>
    <w:rsid w:val="0012572D"/>
    <w:rsid w:val="00125BED"/>
    <w:rsid w:val="00125C59"/>
    <w:rsid w:val="00125D4F"/>
    <w:rsid w:val="00125DDE"/>
    <w:rsid w:val="00127004"/>
    <w:rsid w:val="00127AF2"/>
    <w:rsid w:val="00127EDC"/>
    <w:rsid w:val="00127F6D"/>
    <w:rsid w:val="00130355"/>
    <w:rsid w:val="00130365"/>
    <w:rsid w:val="00130A28"/>
    <w:rsid w:val="00131B5A"/>
    <w:rsid w:val="00132809"/>
    <w:rsid w:val="00132B94"/>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9DA"/>
    <w:rsid w:val="00142EFD"/>
    <w:rsid w:val="00142F55"/>
    <w:rsid w:val="00144335"/>
    <w:rsid w:val="0014502F"/>
    <w:rsid w:val="00145282"/>
    <w:rsid w:val="001453B0"/>
    <w:rsid w:val="001454D9"/>
    <w:rsid w:val="00145D8E"/>
    <w:rsid w:val="00146083"/>
    <w:rsid w:val="001462F7"/>
    <w:rsid w:val="00147F35"/>
    <w:rsid w:val="00150005"/>
    <w:rsid w:val="00150BE7"/>
    <w:rsid w:val="001518D7"/>
    <w:rsid w:val="00151AEB"/>
    <w:rsid w:val="00151B99"/>
    <w:rsid w:val="001521B2"/>
    <w:rsid w:val="00152EDD"/>
    <w:rsid w:val="00153491"/>
    <w:rsid w:val="0015361C"/>
    <w:rsid w:val="0015372F"/>
    <w:rsid w:val="00153BFB"/>
    <w:rsid w:val="0015407E"/>
    <w:rsid w:val="0015448E"/>
    <w:rsid w:val="00154A6F"/>
    <w:rsid w:val="001552BD"/>
    <w:rsid w:val="00155D08"/>
    <w:rsid w:val="00156BE5"/>
    <w:rsid w:val="00157232"/>
    <w:rsid w:val="00157A58"/>
    <w:rsid w:val="00160401"/>
    <w:rsid w:val="00160D4E"/>
    <w:rsid w:val="00160DF9"/>
    <w:rsid w:val="00161DDA"/>
    <w:rsid w:val="00161E62"/>
    <w:rsid w:val="00161F1C"/>
    <w:rsid w:val="0016200B"/>
    <w:rsid w:val="00162013"/>
    <w:rsid w:val="001625C8"/>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509"/>
    <w:rsid w:val="00175E49"/>
    <w:rsid w:val="0017649F"/>
    <w:rsid w:val="0017655D"/>
    <w:rsid w:val="001805C1"/>
    <w:rsid w:val="00180A2E"/>
    <w:rsid w:val="001813AF"/>
    <w:rsid w:val="001829CD"/>
    <w:rsid w:val="00182F01"/>
    <w:rsid w:val="00184082"/>
    <w:rsid w:val="00184E10"/>
    <w:rsid w:val="00184F27"/>
    <w:rsid w:val="0018519B"/>
    <w:rsid w:val="001858B7"/>
    <w:rsid w:val="00185966"/>
    <w:rsid w:val="00185A2D"/>
    <w:rsid w:val="00185AFE"/>
    <w:rsid w:val="00185CA2"/>
    <w:rsid w:val="00185E78"/>
    <w:rsid w:val="00187177"/>
    <w:rsid w:val="00187ABD"/>
    <w:rsid w:val="001904E3"/>
    <w:rsid w:val="0019087A"/>
    <w:rsid w:val="00191C5A"/>
    <w:rsid w:val="00191CEB"/>
    <w:rsid w:val="00191E63"/>
    <w:rsid w:val="001923E3"/>
    <w:rsid w:val="00192531"/>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449C"/>
    <w:rsid w:val="001B4AA2"/>
    <w:rsid w:val="001B4ADE"/>
    <w:rsid w:val="001B5EF8"/>
    <w:rsid w:val="001B615D"/>
    <w:rsid w:val="001B6791"/>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30F3"/>
    <w:rsid w:val="001D31A0"/>
    <w:rsid w:val="001D338E"/>
    <w:rsid w:val="001D426C"/>
    <w:rsid w:val="001D56E9"/>
    <w:rsid w:val="001D5EE1"/>
    <w:rsid w:val="001D796A"/>
    <w:rsid w:val="001D7A84"/>
    <w:rsid w:val="001D7C79"/>
    <w:rsid w:val="001E003B"/>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3BF5"/>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50"/>
    <w:rsid w:val="0020299B"/>
    <w:rsid w:val="00202E44"/>
    <w:rsid w:val="002037AA"/>
    <w:rsid w:val="00203FE3"/>
    <w:rsid w:val="002042D8"/>
    <w:rsid w:val="002043FB"/>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E07"/>
    <w:rsid w:val="00247712"/>
    <w:rsid w:val="00250EC6"/>
    <w:rsid w:val="002515C7"/>
    <w:rsid w:val="00251866"/>
    <w:rsid w:val="00251A9F"/>
    <w:rsid w:val="00251D8D"/>
    <w:rsid w:val="00252492"/>
    <w:rsid w:val="00252B35"/>
    <w:rsid w:val="0025316D"/>
    <w:rsid w:val="00253A02"/>
    <w:rsid w:val="00253A8F"/>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61F1"/>
    <w:rsid w:val="00266209"/>
    <w:rsid w:val="00266DB6"/>
    <w:rsid w:val="002710FA"/>
    <w:rsid w:val="002711A4"/>
    <w:rsid w:val="00271F13"/>
    <w:rsid w:val="0027278E"/>
    <w:rsid w:val="00272CC8"/>
    <w:rsid w:val="0027390F"/>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0D27"/>
    <w:rsid w:val="002910A6"/>
    <w:rsid w:val="00291784"/>
    <w:rsid w:val="002920DF"/>
    <w:rsid w:val="0029273C"/>
    <w:rsid w:val="002929BB"/>
    <w:rsid w:val="00292E33"/>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1342"/>
    <w:rsid w:val="002B1F83"/>
    <w:rsid w:val="002B2008"/>
    <w:rsid w:val="002B27C8"/>
    <w:rsid w:val="002B2A7F"/>
    <w:rsid w:val="002B330B"/>
    <w:rsid w:val="002B39BE"/>
    <w:rsid w:val="002B438C"/>
    <w:rsid w:val="002B48DB"/>
    <w:rsid w:val="002B4B34"/>
    <w:rsid w:val="002B541A"/>
    <w:rsid w:val="002B5EAB"/>
    <w:rsid w:val="002B6407"/>
    <w:rsid w:val="002B6416"/>
    <w:rsid w:val="002B6459"/>
    <w:rsid w:val="002B680A"/>
    <w:rsid w:val="002B7014"/>
    <w:rsid w:val="002B73B0"/>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7D88"/>
    <w:rsid w:val="002E03E8"/>
    <w:rsid w:val="002E055C"/>
    <w:rsid w:val="002E063F"/>
    <w:rsid w:val="002E1050"/>
    <w:rsid w:val="002E107E"/>
    <w:rsid w:val="002E1459"/>
    <w:rsid w:val="002E18E5"/>
    <w:rsid w:val="002E1953"/>
    <w:rsid w:val="002E2CB5"/>
    <w:rsid w:val="002E2D7D"/>
    <w:rsid w:val="002E32D0"/>
    <w:rsid w:val="002E3D76"/>
    <w:rsid w:val="002E40A1"/>
    <w:rsid w:val="002E48EC"/>
    <w:rsid w:val="002E4B44"/>
    <w:rsid w:val="002E4ECB"/>
    <w:rsid w:val="002E4F23"/>
    <w:rsid w:val="002E57B7"/>
    <w:rsid w:val="002E5E8E"/>
    <w:rsid w:val="002E635A"/>
    <w:rsid w:val="002E6D68"/>
    <w:rsid w:val="002E7847"/>
    <w:rsid w:val="002F0073"/>
    <w:rsid w:val="002F167F"/>
    <w:rsid w:val="002F1C67"/>
    <w:rsid w:val="002F240B"/>
    <w:rsid w:val="002F26B7"/>
    <w:rsid w:val="002F2F50"/>
    <w:rsid w:val="002F33EC"/>
    <w:rsid w:val="002F34E3"/>
    <w:rsid w:val="002F3601"/>
    <w:rsid w:val="002F45F6"/>
    <w:rsid w:val="002F5A6F"/>
    <w:rsid w:val="002F6411"/>
    <w:rsid w:val="002F692F"/>
    <w:rsid w:val="002F7B66"/>
    <w:rsid w:val="00300CB4"/>
    <w:rsid w:val="00300E24"/>
    <w:rsid w:val="003033BA"/>
    <w:rsid w:val="00303C19"/>
    <w:rsid w:val="003043A3"/>
    <w:rsid w:val="00304BD4"/>
    <w:rsid w:val="0030500A"/>
    <w:rsid w:val="003052EB"/>
    <w:rsid w:val="00305FCB"/>
    <w:rsid w:val="003060BC"/>
    <w:rsid w:val="003063C3"/>
    <w:rsid w:val="00306616"/>
    <w:rsid w:val="003069DC"/>
    <w:rsid w:val="00306B44"/>
    <w:rsid w:val="00307C44"/>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5DB"/>
    <w:rsid w:val="00327781"/>
    <w:rsid w:val="00327A5C"/>
    <w:rsid w:val="0033092C"/>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CA8"/>
    <w:rsid w:val="00340D3F"/>
    <w:rsid w:val="0034174B"/>
    <w:rsid w:val="0034177C"/>
    <w:rsid w:val="003420E9"/>
    <w:rsid w:val="00342345"/>
    <w:rsid w:val="00342C27"/>
    <w:rsid w:val="00342F14"/>
    <w:rsid w:val="003430C8"/>
    <w:rsid w:val="003432C8"/>
    <w:rsid w:val="003434B3"/>
    <w:rsid w:val="00343536"/>
    <w:rsid w:val="00343EFB"/>
    <w:rsid w:val="00344026"/>
    <w:rsid w:val="00344760"/>
    <w:rsid w:val="003454E8"/>
    <w:rsid w:val="00345574"/>
    <w:rsid w:val="0034680A"/>
    <w:rsid w:val="00346C62"/>
    <w:rsid w:val="00347202"/>
    <w:rsid w:val="0034778E"/>
    <w:rsid w:val="00347A5A"/>
    <w:rsid w:val="003501E2"/>
    <w:rsid w:val="00351E10"/>
    <w:rsid w:val="00352091"/>
    <w:rsid w:val="003533F4"/>
    <w:rsid w:val="003536F6"/>
    <w:rsid w:val="00353DD5"/>
    <w:rsid w:val="00354CAC"/>
    <w:rsid w:val="00355131"/>
    <w:rsid w:val="00355C52"/>
    <w:rsid w:val="00355F74"/>
    <w:rsid w:val="003560DB"/>
    <w:rsid w:val="003564DB"/>
    <w:rsid w:val="00356F87"/>
    <w:rsid w:val="00360CF3"/>
    <w:rsid w:val="00361A59"/>
    <w:rsid w:val="00363348"/>
    <w:rsid w:val="00363857"/>
    <w:rsid w:val="00363D59"/>
    <w:rsid w:val="003640F7"/>
    <w:rsid w:val="00365D3A"/>
    <w:rsid w:val="003664FF"/>
    <w:rsid w:val="00366BD2"/>
    <w:rsid w:val="00366F1C"/>
    <w:rsid w:val="003670B8"/>
    <w:rsid w:val="00367519"/>
    <w:rsid w:val="003704A3"/>
    <w:rsid w:val="003706F2"/>
    <w:rsid w:val="0037124F"/>
    <w:rsid w:val="003722B3"/>
    <w:rsid w:val="00373827"/>
    <w:rsid w:val="0037401C"/>
    <w:rsid w:val="00374D49"/>
    <w:rsid w:val="0037507B"/>
    <w:rsid w:val="00375C7C"/>
    <w:rsid w:val="00376182"/>
    <w:rsid w:val="00377027"/>
    <w:rsid w:val="00377135"/>
    <w:rsid w:val="00377FEF"/>
    <w:rsid w:val="00380272"/>
    <w:rsid w:val="003805DB"/>
    <w:rsid w:val="0038152A"/>
    <w:rsid w:val="00382BAD"/>
    <w:rsid w:val="003835FD"/>
    <w:rsid w:val="00384DF1"/>
    <w:rsid w:val="00384FF3"/>
    <w:rsid w:val="0038512F"/>
    <w:rsid w:val="00386456"/>
    <w:rsid w:val="003865A9"/>
    <w:rsid w:val="0039092B"/>
    <w:rsid w:val="00390C57"/>
    <w:rsid w:val="00390F32"/>
    <w:rsid w:val="0039135E"/>
    <w:rsid w:val="0039319C"/>
    <w:rsid w:val="00393498"/>
    <w:rsid w:val="00393577"/>
    <w:rsid w:val="00393C2B"/>
    <w:rsid w:val="00393CAE"/>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F4"/>
    <w:rsid w:val="003A72F5"/>
    <w:rsid w:val="003A78E5"/>
    <w:rsid w:val="003B0341"/>
    <w:rsid w:val="003B1E57"/>
    <w:rsid w:val="003B2EF3"/>
    <w:rsid w:val="003B34B5"/>
    <w:rsid w:val="003B4A4D"/>
    <w:rsid w:val="003B534F"/>
    <w:rsid w:val="003B5391"/>
    <w:rsid w:val="003B58CE"/>
    <w:rsid w:val="003B65D7"/>
    <w:rsid w:val="003B65E0"/>
    <w:rsid w:val="003B6BD4"/>
    <w:rsid w:val="003B6F4D"/>
    <w:rsid w:val="003B6FE7"/>
    <w:rsid w:val="003C0012"/>
    <w:rsid w:val="003C095A"/>
    <w:rsid w:val="003C0D1F"/>
    <w:rsid w:val="003C116A"/>
    <w:rsid w:val="003C1AF4"/>
    <w:rsid w:val="003C1C9C"/>
    <w:rsid w:val="003C1CB8"/>
    <w:rsid w:val="003C22DA"/>
    <w:rsid w:val="003C2550"/>
    <w:rsid w:val="003C26A6"/>
    <w:rsid w:val="003C287F"/>
    <w:rsid w:val="003C31A1"/>
    <w:rsid w:val="003C3339"/>
    <w:rsid w:val="003C375A"/>
    <w:rsid w:val="003C480A"/>
    <w:rsid w:val="003C4D9F"/>
    <w:rsid w:val="003C5247"/>
    <w:rsid w:val="003C55EC"/>
    <w:rsid w:val="003C622C"/>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6F7A"/>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300D"/>
    <w:rsid w:val="003F391F"/>
    <w:rsid w:val="003F4599"/>
    <w:rsid w:val="003F45E1"/>
    <w:rsid w:val="003F4F6C"/>
    <w:rsid w:val="003F559E"/>
    <w:rsid w:val="003F6181"/>
    <w:rsid w:val="003F662E"/>
    <w:rsid w:val="003F6BFC"/>
    <w:rsid w:val="003F7343"/>
    <w:rsid w:val="00400002"/>
    <w:rsid w:val="00400054"/>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5DD1"/>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74D"/>
    <w:rsid w:val="00443B55"/>
    <w:rsid w:val="00443D27"/>
    <w:rsid w:val="0044414B"/>
    <w:rsid w:val="004445EB"/>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B70"/>
    <w:rsid w:val="00455BD3"/>
    <w:rsid w:val="00456970"/>
    <w:rsid w:val="00456BB1"/>
    <w:rsid w:val="00456CD4"/>
    <w:rsid w:val="00456D08"/>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5C5A"/>
    <w:rsid w:val="00475C78"/>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5D18"/>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1DF9"/>
    <w:rsid w:val="004A2A99"/>
    <w:rsid w:val="004A34D2"/>
    <w:rsid w:val="004A4301"/>
    <w:rsid w:val="004A4D93"/>
    <w:rsid w:val="004A58EE"/>
    <w:rsid w:val="004A59B7"/>
    <w:rsid w:val="004A6051"/>
    <w:rsid w:val="004A623B"/>
    <w:rsid w:val="004A65AC"/>
    <w:rsid w:val="004A6A04"/>
    <w:rsid w:val="004A6A52"/>
    <w:rsid w:val="004B02CF"/>
    <w:rsid w:val="004B0A44"/>
    <w:rsid w:val="004B0F0B"/>
    <w:rsid w:val="004B2197"/>
    <w:rsid w:val="004B298A"/>
    <w:rsid w:val="004B50CB"/>
    <w:rsid w:val="004B578D"/>
    <w:rsid w:val="004B5BE7"/>
    <w:rsid w:val="004B5E2D"/>
    <w:rsid w:val="004B6C07"/>
    <w:rsid w:val="004B74D3"/>
    <w:rsid w:val="004B788E"/>
    <w:rsid w:val="004B78E1"/>
    <w:rsid w:val="004B7E5D"/>
    <w:rsid w:val="004C1033"/>
    <w:rsid w:val="004C1F58"/>
    <w:rsid w:val="004C2180"/>
    <w:rsid w:val="004C22F7"/>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79"/>
    <w:rsid w:val="004D36AF"/>
    <w:rsid w:val="004D3BD1"/>
    <w:rsid w:val="004D4A03"/>
    <w:rsid w:val="004D4BA1"/>
    <w:rsid w:val="004D4EC1"/>
    <w:rsid w:val="004D584D"/>
    <w:rsid w:val="004D5A7E"/>
    <w:rsid w:val="004D5ED1"/>
    <w:rsid w:val="004D6120"/>
    <w:rsid w:val="004D6826"/>
    <w:rsid w:val="004D6E7F"/>
    <w:rsid w:val="004E023F"/>
    <w:rsid w:val="004E0546"/>
    <w:rsid w:val="004E0742"/>
    <w:rsid w:val="004E0C64"/>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5DCB"/>
    <w:rsid w:val="005075CA"/>
    <w:rsid w:val="00507B06"/>
    <w:rsid w:val="00507BF1"/>
    <w:rsid w:val="0051047A"/>
    <w:rsid w:val="0051074C"/>
    <w:rsid w:val="00510DE9"/>
    <w:rsid w:val="00510F21"/>
    <w:rsid w:val="005111E2"/>
    <w:rsid w:val="00511231"/>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A30"/>
    <w:rsid w:val="005224E5"/>
    <w:rsid w:val="00523496"/>
    <w:rsid w:val="00523903"/>
    <w:rsid w:val="005239B6"/>
    <w:rsid w:val="00523C45"/>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E6D"/>
    <w:rsid w:val="00544F43"/>
    <w:rsid w:val="00545E30"/>
    <w:rsid w:val="00545EA3"/>
    <w:rsid w:val="005465E8"/>
    <w:rsid w:val="00546C9B"/>
    <w:rsid w:val="00547BF6"/>
    <w:rsid w:val="00547FB3"/>
    <w:rsid w:val="00551098"/>
    <w:rsid w:val="00551598"/>
    <w:rsid w:val="0055162B"/>
    <w:rsid w:val="00551BFF"/>
    <w:rsid w:val="00551D68"/>
    <w:rsid w:val="00551DFF"/>
    <w:rsid w:val="005525C9"/>
    <w:rsid w:val="00552B3E"/>
    <w:rsid w:val="00552FB2"/>
    <w:rsid w:val="00554D57"/>
    <w:rsid w:val="005551AA"/>
    <w:rsid w:val="005564CA"/>
    <w:rsid w:val="005568EA"/>
    <w:rsid w:val="00557140"/>
    <w:rsid w:val="00557984"/>
    <w:rsid w:val="00557CFB"/>
    <w:rsid w:val="00560C87"/>
    <w:rsid w:val="00560F51"/>
    <w:rsid w:val="00561249"/>
    <w:rsid w:val="0056182B"/>
    <w:rsid w:val="00561AF3"/>
    <w:rsid w:val="00561E0B"/>
    <w:rsid w:val="0056214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6C37"/>
    <w:rsid w:val="00576E5C"/>
    <w:rsid w:val="005774FE"/>
    <w:rsid w:val="0058040C"/>
    <w:rsid w:val="00580D6D"/>
    <w:rsid w:val="005812E4"/>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E96"/>
    <w:rsid w:val="005C0429"/>
    <w:rsid w:val="005C084F"/>
    <w:rsid w:val="005C0EE9"/>
    <w:rsid w:val="005C12DB"/>
    <w:rsid w:val="005C16A8"/>
    <w:rsid w:val="005C1716"/>
    <w:rsid w:val="005C1954"/>
    <w:rsid w:val="005C1C0B"/>
    <w:rsid w:val="005C2011"/>
    <w:rsid w:val="005C3EA3"/>
    <w:rsid w:val="005C4161"/>
    <w:rsid w:val="005C44DE"/>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77C"/>
    <w:rsid w:val="005D5A9D"/>
    <w:rsid w:val="005D5BF5"/>
    <w:rsid w:val="005D6651"/>
    <w:rsid w:val="005D691D"/>
    <w:rsid w:val="005D6A72"/>
    <w:rsid w:val="005D6F38"/>
    <w:rsid w:val="005D72AD"/>
    <w:rsid w:val="005D7516"/>
    <w:rsid w:val="005D791B"/>
    <w:rsid w:val="005D7CF2"/>
    <w:rsid w:val="005D7EB1"/>
    <w:rsid w:val="005D7F92"/>
    <w:rsid w:val="005E0297"/>
    <w:rsid w:val="005E09B0"/>
    <w:rsid w:val="005E0D7B"/>
    <w:rsid w:val="005E1595"/>
    <w:rsid w:val="005E1F1D"/>
    <w:rsid w:val="005E273D"/>
    <w:rsid w:val="005E2FD1"/>
    <w:rsid w:val="005E3278"/>
    <w:rsid w:val="005E363B"/>
    <w:rsid w:val="005E3736"/>
    <w:rsid w:val="005E6E1D"/>
    <w:rsid w:val="005F1044"/>
    <w:rsid w:val="005F305B"/>
    <w:rsid w:val="005F3081"/>
    <w:rsid w:val="005F3361"/>
    <w:rsid w:val="005F3B47"/>
    <w:rsid w:val="005F40A5"/>
    <w:rsid w:val="005F4481"/>
    <w:rsid w:val="005F47AC"/>
    <w:rsid w:val="005F49AF"/>
    <w:rsid w:val="005F4A58"/>
    <w:rsid w:val="005F54DF"/>
    <w:rsid w:val="005F5888"/>
    <w:rsid w:val="005F5984"/>
    <w:rsid w:val="005F5EAB"/>
    <w:rsid w:val="005F6CE2"/>
    <w:rsid w:val="005F6F24"/>
    <w:rsid w:val="005F72E9"/>
    <w:rsid w:val="005F76AE"/>
    <w:rsid w:val="005F7797"/>
    <w:rsid w:val="005F780B"/>
    <w:rsid w:val="00600473"/>
    <w:rsid w:val="0060139A"/>
    <w:rsid w:val="006013C9"/>
    <w:rsid w:val="00601689"/>
    <w:rsid w:val="00602B45"/>
    <w:rsid w:val="00603499"/>
    <w:rsid w:val="006035F5"/>
    <w:rsid w:val="00603CC2"/>
    <w:rsid w:val="00604537"/>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35F"/>
    <w:rsid w:val="006157A9"/>
    <w:rsid w:val="0061591D"/>
    <w:rsid w:val="00615ED0"/>
    <w:rsid w:val="0061604C"/>
    <w:rsid w:val="00616B1C"/>
    <w:rsid w:val="00616C2B"/>
    <w:rsid w:val="00616D7F"/>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66D7"/>
    <w:rsid w:val="0062698D"/>
    <w:rsid w:val="00626D42"/>
    <w:rsid w:val="00626EE3"/>
    <w:rsid w:val="006274AD"/>
    <w:rsid w:val="00627519"/>
    <w:rsid w:val="00627532"/>
    <w:rsid w:val="00627652"/>
    <w:rsid w:val="006302AA"/>
    <w:rsid w:val="006310C3"/>
    <w:rsid w:val="0063161E"/>
    <w:rsid w:val="00631BB5"/>
    <w:rsid w:val="00631DD0"/>
    <w:rsid w:val="006323D3"/>
    <w:rsid w:val="00633DBF"/>
    <w:rsid w:val="00634122"/>
    <w:rsid w:val="00634261"/>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47F"/>
    <w:rsid w:val="0066272D"/>
    <w:rsid w:val="00662E58"/>
    <w:rsid w:val="00662F39"/>
    <w:rsid w:val="006635A0"/>
    <w:rsid w:val="00664351"/>
    <w:rsid w:val="00665968"/>
    <w:rsid w:val="00665BF7"/>
    <w:rsid w:val="00666178"/>
    <w:rsid w:val="0066639E"/>
    <w:rsid w:val="00666473"/>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A7"/>
    <w:rsid w:val="006811C9"/>
    <w:rsid w:val="006812CE"/>
    <w:rsid w:val="006826C1"/>
    <w:rsid w:val="00682C89"/>
    <w:rsid w:val="006832B8"/>
    <w:rsid w:val="006837B2"/>
    <w:rsid w:val="00683800"/>
    <w:rsid w:val="00684462"/>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7BC"/>
    <w:rsid w:val="006A2A43"/>
    <w:rsid w:val="006A2BEE"/>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BBD"/>
    <w:rsid w:val="006C50FA"/>
    <w:rsid w:val="006C5B15"/>
    <w:rsid w:val="006C5D32"/>
    <w:rsid w:val="006C5DCB"/>
    <w:rsid w:val="006C6475"/>
    <w:rsid w:val="006C70C4"/>
    <w:rsid w:val="006C741F"/>
    <w:rsid w:val="006D04DA"/>
    <w:rsid w:val="006D080E"/>
    <w:rsid w:val="006D10F6"/>
    <w:rsid w:val="006D1544"/>
    <w:rsid w:val="006D1688"/>
    <w:rsid w:val="006D1DD3"/>
    <w:rsid w:val="006D1FF3"/>
    <w:rsid w:val="006D2C65"/>
    <w:rsid w:val="006D32C6"/>
    <w:rsid w:val="006D3491"/>
    <w:rsid w:val="006D360E"/>
    <w:rsid w:val="006D3697"/>
    <w:rsid w:val="006D39D2"/>
    <w:rsid w:val="006D3F2A"/>
    <w:rsid w:val="006D41A9"/>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18"/>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19F3"/>
    <w:rsid w:val="00712714"/>
    <w:rsid w:val="007129AB"/>
    <w:rsid w:val="00712B63"/>
    <w:rsid w:val="00713526"/>
    <w:rsid w:val="00713FC5"/>
    <w:rsid w:val="00714DCA"/>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44A"/>
    <w:rsid w:val="0072554B"/>
    <w:rsid w:val="00725AFD"/>
    <w:rsid w:val="00725B8C"/>
    <w:rsid w:val="00725E6A"/>
    <w:rsid w:val="00726603"/>
    <w:rsid w:val="00727B1D"/>
    <w:rsid w:val="00727DDC"/>
    <w:rsid w:val="00730CD6"/>
    <w:rsid w:val="00730F74"/>
    <w:rsid w:val="0073114B"/>
    <w:rsid w:val="007319FA"/>
    <w:rsid w:val="00732151"/>
    <w:rsid w:val="0073223D"/>
    <w:rsid w:val="00734952"/>
    <w:rsid w:val="00734990"/>
    <w:rsid w:val="00734FF5"/>
    <w:rsid w:val="00735B78"/>
    <w:rsid w:val="00735DA7"/>
    <w:rsid w:val="007368B4"/>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B08"/>
    <w:rsid w:val="00755DD0"/>
    <w:rsid w:val="0075647A"/>
    <w:rsid w:val="0075666A"/>
    <w:rsid w:val="00756A2F"/>
    <w:rsid w:val="007573E1"/>
    <w:rsid w:val="0075749E"/>
    <w:rsid w:val="00757722"/>
    <w:rsid w:val="00757B2D"/>
    <w:rsid w:val="00757BAD"/>
    <w:rsid w:val="00757D62"/>
    <w:rsid w:val="00760021"/>
    <w:rsid w:val="00760561"/>
    <w:rsid w:val="00760867"/>
    <w:rsid w:val="00760EB6"/>
    <w:rsid w:val="007616DB"/>
    <w:rsid w:val="00761939"/>
    <w:rsid w:val="00761AB7"/>
    <w:rsid w:val="00761C64"/>
    <w:rsid w:val="00761CE6"/>
    <w:rsid w:val="0076228A"/>
    <w:rsid w:val="00762440"/>
    <w:rsid w:val="00762499"/>
    <w:rsid w:val="007629B7"/>
    <w:rsid w:val="00762E60"/>
    <w:rsid w:val="007634AD"/>
    <w:rsid w:val="0076445F"/>
    <w:rsid w:val="00764EC5"/>
    <w:rsid w:val="00766A4A"/>
    <w:rsid w:val="00766ECC"/>
    <w:rsid w:val="007672F3"/>
    <w:rsid w:val="007677B5"/>
    <w:rsid w:val="007678B1"/>
    <w:rsid w:val="007703DB"/>
    <w:rsid w:val="00770632"/>
    <w:rsid w:val="00770690"/>
    <w:rsid w:val="007708A8"/>
    <w:rsid w:val="00772100"/>
    <w:rsid w:val="00772275"/>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54B"/>
    <w:rsid w:val="00787D90"/>
    <w:rsid w:val="00787F5E"/>
    <w:rsid w:val="00790164"/>
    <w:rsid w:val="00790A24"/>
    <w:rsid w:val="00790A37"/>
    <w:rsid w:val="00790A60"/>
    <w:rsid w:val="00790D86"/>
    <w:rsid w:val="0079146D"/>
    <w:rsid w:val="00791C32"/>
    <w:rsid w:val="00791FF0"/>
    <w:rsid w:val="007923D0"/>
    <w:rsid w:val="007930D3"/>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5747"/>
    <w:rsid w:val="007A5947"/>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5C"/>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82B"/>
    <w:rsid w:val="007F3AC1"/>
    <w:rsid w:val="007F4976"/>
    <w:rsid w:val="007F52AF"/>
    <w:rsid w:val="007F5A56"/>
    <w:rsid w:val="007F616E"/>
    <w:rsid w:val="007F6B46"/>
    <w:rsid w:val="007F72CB"/>
    <w:rsid w:val="007F736A"/>
    <w:rsid w:val="007F7635"/>
    <w:rsid w:val="007F785F"/>
    <w:rsid w:val="007F7961"/>
    <w:rsid w:val="007F7AF6"/>
    <w:rsid w:val="007F7E36"/>
    <w:rsid w:val="007F7F8E"/>
    <w:rsid w:val="0080069D"/>
    <w:rsid w:val="00800E6D"/>
    <w:rsid w:val="008014D9"/>
    <w:rsid w:val="0080150F"/>
    <w:rsid w:val="0080153A"/>
    <w:rsid w:val="00801A2A"/>
    <w:rsid w:val="00802041"/>
    <w:rsid w:val="008022C9"/>
    <w:rsid w:val="008024F9"/>
    <w:rsid w:val="00802605"/>
    <w:rsid w:val="00802A12"/>
    <w:rsid w:val="00802F9E"/>
    <w:rsid w:val="00803700"/>
    <w:rsid w:val="00803D9D"/>
    <w:rsid w:val="008059C6"/>
    <w:rsid w:val="00805AD7"/>
    <w:rsid w:val="00805BD6"/>
    <w:rsid w:val="00805DE3"/>
    <w:rsid w:val="00805F78"/>
    <w:rsid w:val="00807C35"/>
    <w:rsid w:val="00807F35"/>
    <w:rsid w:val="00807F69"/>
    <w:rsid w:val="008100F7"/>
    <w:rsid w:val="00810206"/>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6BE"/>
    <w:rsid w:val="008241CE"/>
    <w:rsid w:val="008251BA"/>
    <w:rsid w:val="00825240"/>
    <w:rsid w:val="00825B43"/>
    <w:rsid w:val="00826F71"/>
    <w:rsid w:val="00827CC0"/>
    <w:rsid w:val="00831026"/>
    <w:rsid w:val="0083119B"/>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C8D"/>
    <w:rsid w:val="008715ED"/>
    <w:rsid w:val="008717D8"/>
    <w:rsid w:val="00871E3C"/>
    <w:rsid w:val="00872CC1"/>
    <w:rsid w:val="00872F97"/>
    <w:rsid w:val="00873E79"/>
    <w:rsid w:val="00874607"/>
    <w:rsid w:val="00874915"/>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BD"/>
    <w:rsid w:val="008C4B19"/>
    <w:rsid w:val="008C62D4"/>
    <w:rsid w:val="008C6B89"/>
    <w:rsid w:val="008D18AA"/>
    <w:rsid w:val="008D1A2A"/>
    <w:rsid w:val="008D1ADE"/>
    <w:rsid w:val="008D35D9"/>
    <w:rsid w:val="008D3B79"/>
    <w:rsid w:val="008D3B85"/>
    <w:rsid w:val="008D417D"/>
    <w:rsid w:val="008D462D"/>
    <w:rsid w:val="008D560B"/>
    <w:rsid w:val="008D6084"/>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8BD"/>
    <w:rsid w:val="008E30C4"/>
    <w:rsid w:val="008E331C"/>
    <w:rsid w:val="008E38B4"/>
    <w:rsid w:val="008E3BA4"/>
    <w:rsid w:val="008E44AB"/>
    <w:rsid w:val="008E5179"/>
    <w:rsid w:val="008E52B2"/>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0890"/>
    <w:rsid w:val="0090103E"/>
    <w:rsid w:val="00901F1D"/>
    <w:rsid w:val="009020B3"/>
    <w:rsid w:val="009028E8"/>
    <w:rsid w:val="00902E5C"/>
    <w:rsid w:val="00902F36"/>
    <w:rsid w:val="0090363E"/>
    <w:rsid w:val="009046E5"/>
    <w:rsid w:val="009047C5"/>
    <w:rsid w:val="00906ECE"/>
    <w:rsid w:val="00910683"/>
    <w:rsid w:val="00910E00"/>
    <w:rsid w:val="009116CE"/>
    <w:rsid w:val="00911714"/>
    <w:rsid w:val="00911D04"/>
    <w:rsid w:val="00911EFF"/>
    <w:rsid w:val="00912DE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7E8D"/>
    <w:rsid w:val="00927F23"/>
    <w:rsid w:val="009307CD"/>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384"/>
    <w:rsid w:val="009444B4"/>
    <w:rsid w:val="00944644"/>
    <w:rsid w:val="00945623"/>
    <w:rsid w:val="00946A24"/>
    <w:rsid w:val="009470D4"/>
    <w:rsid w:val="00947337"/>
    <w:rsid w:val="00947E6E"/>
    <w:rsid w:val="00947E93"/>
    <w:rsid w:val="009509DA"/>
    <w:rsid w:val="009512FA"/>
    <w:rsid w:val="009516A9"/>
    <w:rsid w:val="00951E57"/>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B5"/>
    <w:rsid w:val="00962A50"/>
    <w:rsid w:val="0096409A"/>
    <w:rsid w:val="00964138"/>
    <w:rsid w:val="009648D6"/>
    <w:rsid w:val="00964A0B"/>
    <w:rsid w:val="00964B3F"/>
    <w:rsid w:val="00964C98"/>
    <w:rsid w:val="00967100"/>
    <w:rsid w:val="00971441"/>
    <w:rsid w:val="009715D4"/>
    <w:rsid w:val="0097179A"/>
    <w:rsid w:val="00972105"/>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5D08"/>
    <w:rsid w:val="0098606C"/>
    <w:rsid w:val="009865D5"/>
    <w:rsid w:val="00986DF4"/>
    <w:rsid w:val="00986E96"/>
    <w:rsid w:val="009876F2"/>
    <w:rsid w:val="00987C77"/>
    <w:rsid w:val="00987FED"/>
    <w:rsid w:val="00990345"/>
    <w:rsid w:val="00990701"/>
    <w:rsid w:val="0099119C"/>
    <w:rsid w:val="0099137A"/>
    <w:rsid w:val="009917A5"/>
    <w:rsid w:val="0099211C"/>
    <w:rsid w:val="0099349E"/>
    <w:rsid w:val="00993B78"/>
    <w:rsid w:val="00993DBE"/>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7A5"/>
    <w:rsid w:val="009B2E29"/>
    <w:rsid w:val="009B3163"/>
    <w:rsid w:val="009B422F"/>
    <w:rsid w:val="009B46BC"/>
    <w:rsid w:val="009B4D1A"/>
    <w:rsid w:val="009B4D85"/>
    <w:rsid w:val="009B502F"/>
    <w:rsid w:val="009B558B"/>
    <w:rsid w:val="009B5F29"/>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8BB"/>
    <w:rsid w:val="009D70C2"/>
    <w:rsid w:val="009D7ADB"/>
    <w:rsid w:val="009D7B33"/>
    <w:rsid w:val="009E06C3"/>
    <w:rsid w:val="009E0703"/>
    <w:rsid w:val="009E1035"/>
    <w:rsid w:val="009E16DA"/>
    <w:rsid w:val="009E1CD4"/>
    <w:rsid w:val="009E2391"/>
    <w:rsid w:val="009E34A5"/>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11D"/>
    <w:rsid w:val="00A01852"/>
    <w:rsid w:val="00A0188B"/>
    <w:rsid w:val="00A01E73"/>
    <w:rsid w:val="00A023E7"/>
    <w:rsid w:val="00A02B88"/>
    <w:rsid w:val="00A03160"/>
    <w:rsid w:val="00A036AC"/>
    <w:rsid w:val="00A03C54"/>
    <w:rsid w:val="00A03DE5"/>
    <w:rsid w:val="00A041BC"/>
    <w:rsid w:val="00A0447F"/>
    <w:rsid w:val="00A046D2"/>
    <w:rsid w:val="00A04A54"/>
    <w:rsid w:val="00A05587"/>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7D2"/>
    <w:rsid w:val="00A12DED"/>
    <w:rsid w:val="00A13CF5"/>
    <w:rsid w:val="00A143EC"/>
    <w:rsid w:val="00A149E8"/>
    <w:rsid w:val="00A1500F"/>
    <w:rsid w:val="00A15621"/>
    <w:rsid w:val="00A15670"/>
    <w:rsid w:val="00A157A0"/>
    <w:rsid w:val="00A1585B"/>
    <w:rsid w:val="00A15C19"/>
    <w:rsid w:val="00A15FE9"/>
    <w:rsid w:val="00A16052"/>
    <w:rsid w:val="00A167AC"/>
    <w:rsid w:val="00A16809"/>
    <w:rsid w:val="00A17769"/>
    <w:rsid w:val="00A17941"/>
    <w:rsid w:val="00A17EA2"/>
    <w:rsid w:val="00A2026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C3E"/>
    <w:rsid w:val="00A342DF"/>
    <w:rsid w:val="00A34538"/>
    <w:rsid w:val="00A34677"/>
    <w:rsid w:val="00A3540F"/>
    <w:rsid w:val="00A35587"/>
    <w:rsid w:val="00A3559E"/>
    <w:rsid w:val="00A35630"/>
    <w:rsid w:val="00A35914"/>
    <w:rsid w:val="00A36189"/>
    <w:rsid w:val="00A37E73"/>
    <w:rsid w:val="00A37FB6"/>
    <w:rsid w:val="00A409E2"/>
    <w:rsid w:val="00A4104A"/>
    <w:rsid w:val="00A41081"/>
    <w:rsid w:val="00A411CA"/>
    <w:rsid w:val="00A42080"/>
    <w:rsid w:val="00A42096"/>
    <w:rsid w:val="00A426F3"/>
    <w:rsid w:val="00A4271D"/>
    <w:rsid w:val="00A42FDF"/>
    <w:rsid w:val="00A430A9"/>
    <w:rsid w:val="00A431FE"/>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155D"/>
    <w:rsid w:val="00A61C60"/>
    <w:rsid w:val="00A62335"/>
    <w:rsid w:val="00A62589"/>
    <w:rsid w:val="00A62AD0"/>
    <w:rsid w:val="00A62C3A"/>
    <w:rsid w:val="00A62FD9"/>
    <w:rsid w:val="00A6319C"/>
    <w:rsid w:val="00A6326A"/>
    <w:rsid w:val="00A63812"/>
    <w:rsid w:val="00A63DF7"/>
    <w:rsid w:val="00A644CC"/>
    <w:rsid w:val="00A6454D"/>
    <w:rsid w:val="00A64F18"/>
    <w:rsid w:val="00A64F2F"/>
    <w:rsid w:val="00A65EDE"/>
    <w:rsid w:val="00A6611E"/>
    <w:rsid w:val="00A668BA"/>
    <w:rsid w:val="00A66FA7"/>
    <w:rsid w:val="00A67E16"/>
    <w:rsid w:val="00A67EB1"/>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998"/>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3AC"/>
    <w:rsid w:val="00AD340E"/>
    <w:rsid w:val="00AD455D"/>
    <w:rsid w:val="00AD463C"/>
    <w:rsid w:val="00AD4F60"/>
    <w:rsid w:val="00AD5044"/>
    <w:rsid w:val="00AD5114"/>
    <w:rsid w:val="00AD6236"/>
    <w:rsid w:val="00AD69D5"/>
    <w:rsid w:val="00AD6CF7"/>
    <w:rsid w:val="00AD7619"/>
    <w:rsid w:val="00AD7770"/>
    <w:rsid w:val="00AD7BE4"/>
    <w:rsid w:val="00AE1772"/>
    <w:rsid w:val="00AE1990"/>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5A7"/>
    <w:rsid w:val="00AF16CA"/>
    <w:rsid w:val="00AF186E"/>
    <w:rsid w:val="00AF19DF"/>
    <w:rsid w:val="00AF1D41"/>
    <w:rsid w:val="00AF26CF"/>
    <w:rsid w:val="00AF344D"/>
    <w:rsid w:val="00AF39B3"/>
    <w:rsid w:val="00AF4402"/>
    <w:rsid w:val="00AF4639"/>
    <w:rsid w:val="00AF4B3D"/>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7439"/>
    <w:rsid w:val="00B10109"/>
    <w:rsid w:val="00B10776"/>
    <w:rsid w:val="00B1085E"/>
    <w:rsid w:val="00B10FD1"/>
    <w:rsid w:val="00B1125B"/>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6CA"/>
    <w:rsid w:val="00B426E1"/>
    <w:rsid w:val="00B4387A"/>
    <w:rsid w:val="00B44746"/>
    <w:rsid w:val="00B44854"/>
    <w:rsid w:val="00B44BA5"/>
    <w:rsid w:val="00B458D0"/>
    <w:rsid w:val="00B46915"/>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BFD"/>
    <w:rsid w:val="00B80C72"/>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AEA"/>
    <w:rsid w:val="00B90A49"/>
    <w:rsid w:val="00B90A73"/>
    <w:rsid w:val="00B91B8E"/>
    <w:rsid w:val="00B91DFA"/>
    <w:rsid w:val="00B92531"/>
    <w:rsid w:val="00B92618"/>
    <w:rsid w:val="00B92751"/>
    <w:rsid w:val="00B92B69"/>
    <w:rsid w:val="00B92CC6"/>
    <w:rsid w:val="00B935C9"/>
    <w:rsid w:val="00B93DA8"/>
    <w:rsid w:val="00B93E3D"/>
    <w:rsid w:val="00B95464"/>
    <w:rsid w:val="00B95C30"/>
    <w:rsid w:val="00B95E3D"/>
    <w:rsid w:val="00B9691F"/>
    <w:rsid w:val="00B96EEC"/>
    <w:rsid w:val="00B97392"/>
    <w:rsid w:val="00B976C7"/>
    <w:rsid w:val="00BA0B40"/>
    <w:rsid w:val="00BA0C54"/>
    <w:rsid w:val="00BA1382"/>
    <w:rsid w:val="00BA15E3"/>
    <w:rsid w:val="00BA1A8C"/>
    <w:rsid w:val="00BA20D8"/>
    <w:rsid w:val="00BA2140"/>
    <w:rsid w:val="00BA22FC"/>
    <w:rsid w:val="00BA2C2A"/>
    <w:rsid w:val="00BA2F30"/>
    <w:rsid w:val="00BA3982"/>
    <w:rsid w:val="00BA3BF9"/>
    <w:rsid w:val="00BA4771"/>
    <w:rsid w:val="00BA5027"/>
    <w:rsid w:val="00BA59F2"/>
    <w:rsid w:val="00BA665B"/>
    <w:rsid w:val="00BA6FE8"/>
    <w:rsid w:val="00BA732D"/>
    <w:rsid w:val="00BA7370"/>
    <w:rsid w:val="00BA778B"/>
    <w:rsid w:val="00BB0888"/>
    <w:rsid w:val="00BB0DF1"/>
    <w:rsid w:val="00BB0E8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BC1"/>
    <w:rsid w:val="00BD0140"/>
    <w:rsid w:val="00BD02CC"/>
    <w:rsid w:val="00BD088E"/>
    <w:rsid w:val="00BD0F18"/>
    <w:rsid w:val="00BD2063"/>
    <w:rsid w:val="00BD33D9"/>
    <w:rsid w:val="00BD38C5"/>
    <w:rsid w:val="00BD3DEA"/>
    <w:rsid w:val="00BD3E97"/>
    <w:rsid w:val="00BD40E4"/>
    <w:rsid w:val="00BD4385"/>
    <w:rsid w:val="00BD52FE"/>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0C1"/>
    <w:rsid w:val="00C06CCF"/>
    <w:rsid w:val="00C0794D"/>
    <w:rsid w:val="00C10E78"/>
    <w:rsid w:val="00C114A0"/>
    <w:rsid w:val="00C1159D"/>
    <w:rsid w:val="00C1233E"/>
    <w:rsid w:val="00C123F6"/>
    <w:rsid w:val="00C12475"/>
    <w:rsid w:val="00C12FB3"/>
    <w:rsid w:val="00C138BC"/>
    <w:rsid w:val="00C13D85"/>
    <w:rsid w:val="00C14639"/>
    <w:rsid w:val="00C14E82"/>
    <w:rsid w:val="00C14FF6"/>
    <w:rsid w:val="00C15A85"/>
    <w:rsid w:val="00C1637C"/>
    <w:rsid w:val="00C1641B"/>
    <w:rsid w:val="00C165FC"/>
    <w:rsid w:val="00C1684D"/>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76931"/>
    <w:rsid w:val="00C8082B"/>
    <w:rsid w:val="00C812CE"/>
    <w:rsid w:val="00C81A88"/>
    <w:rsid w:val="00C81D46"/>
    <w:rsid w:val="00C82298"/>
    <w:rsid w:val="00C833B4"/>
    <w:rsid w:val="00C838B0"/>
    <w:rsid w:val="00C83D95"/>
    <w:rsid w:val="00C84284"/>
    <w:rsid w:val="00C84B35"/>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5C4"/>
    <w:rsid w:val="00C926E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798"/>
    <w:rsid w:val="00CA2D2E"/>
    <w:rsid w:val="00CA41E7"/>
    <w:rsid w:val="00CA4A99"/>
    <w:rsid w:val="00CA5520"/>
    <w:rsid w:val="00CA5812"/>
    <w:rsid w:val="00CA5BD4"/>
    <w:rsid w:val="00CA5C14"/>
    <w:rsid w:val="00CA76FC"/>
    <w:rsid w:val="00CA7E7B"/>
    <w:rsid w:val="00CB0236"/>
    <w:rsid w:val="00CB1969"/>
    <w:rsid w:val="00CB19E3"/>
    <w:rsid w:val="00CB2AE8"/>
    <w:rsid w:val="00CB2C3A"/>
    <w:rsid w:val="00CB2D38"/>
    <w:rsid w:val="00CB4137"/>
    <w:rsid w:val="00CB4378"/>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2C18"/>
    <w:rsid w:val="00CE314E"/>
    <w:rsid w:val="00CE3D5C"/>
    <w:rsid w:val="00CE3E09"/>
    <w:rsid w:val="00CE3E14"/>
    <w:rsid w:val="00CE4176"/>
    <w:rsid w:val="00CE44C7"/>
    <w:rsid w:val="00CE53CC"/>
    <w:rsid w:val="00CE65A7"/>
    <w:rsid w:val="00CE68FE"/>
    <w:rsid w:val="00CE69CC"/>
    <w:rsid w:val="00CE6EC4"/>
    <w:rsid w:val="00CE7F26"/>
    <w:rsid w:val="00CF0A8D"/>
    <w:rsid w:val="00CF1226"/>
    <w:rsid w:val="00CF1ABB"/>
    <w:rsid w:val="00CF1BCA"/>
    <w:rsid w:val="00CF1E1D"/>
    <w:rsid w:val="00CF24FE"/>
    <w:rsid w:val="00CF287F"/>
    <w:rsid w:val="00CF2F00"/>
    <w:rsid w:val="00CF35D0"/>
    <w:rsid w:val="00CF3B57"/>
    <w:rsid w:val="00CF3DD5"/>
    <w:rsid w:val="00CF481B"/>
    <w:rsid w:val="00CF4AF7"/>
    <w:rsid w:val="00CF4D20"/>
    <w:rsid w:val="00CF4D64"/>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104A"/>
    <w:rsid w:val="00D21BB5"/>
    <w:rsid w:val="00D21FFC"/>
    <w:rsid w:val="00D223B6"/>
    <w:rsid w:val="00D223E8"/>
    <w:rsid w:val="00D224E1"/>
    <w:rsid w:val="00D22DC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940"/>
    <w:rsid w:val="00D57E9C"/>
    <w:rsid w:val="00D60327"/>
    <w:rsid w:val="00D61384"/>
    <w:rsid w:val="00D61526"/>
    <w:rsid w:val="00D61F81"/>
    <w:rsid w:val="00D6276C"/>
    <w:rsid w:val="00D62BE6"/>
    <w:rsid w:val="00D62BFC"/>
    <w:rsid w:val="00D6328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711B"/>
    <w:rsid w:val="00D87384"/>
    <w:rsid w:val="00D90683"/>
    <w:rsid w:val="00D90B2A"/>
    <w:rsid w:val="00D91483"/>
    <w:rsid w:val="00D915C8"/>
    <w:rsid w:val="00D91F06"/>
    <w:rsid w:val="00D92C14"/>
    <w:rsid w:val="00D9310B"/>
    <w:rsid w:val="00D931F3"/>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3CD2"/>
    <w:rsid w:val="00DC478F"/>
    <w:rsid w:val="00DC4D08"/>
    <w:rsid w:val="00DC62E5"/>
    <w:rsid w:val="00DC6D70"/>
    <w:rsid w:val="00DC6F33"/>
    <w:rsid w:val="00DC7349"/>
    <w:rsid w:val="00DD14D8"/>
    <w:rsid w:val="00DD1599"/>
    <w:rsid w:val="00DD1B03"/>
    <w:rsid w:val="00DD1E43"/>
    <w:rsid w:val="00DD20A7"/>
    <w:rsid w:val="00DD2A62"/>
    <w:rsid w:val="00DD2F2F"/>
    <w:rsid w:val="00DD2F7A"/>
    <w:rsid w:val="00DD3885"/>
    <w:rsid w:val="00DD51C3"/>
    <w:rsid w:val="00DD5808"/>
    <w:rsid w:val="00DD5946"/>
    <w:rsid w:val="00DD5B04"/>
    <w:rsid w:val="00DD5DAE"/>
    <w:rsid w:val="00DD5EC6"/>
    <w:rsid w:val="00DD605F"/>
    <w:rsid w:val="00DD72A0"/>
    <w:rsid w:val="00DD735D"/>
    <w:rsid w:val="00DE0159"/>
    <w:rsid w:val="00DE064A"/>
    <w:rsid w:val="00DE082D"/>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451"/>
    <w:rsid w:val="00DF49FF"/>
    <w:rsid w:val="00DF4FFB"/>
    <w:rsid w:val="00DF5236"/>
    <w:rsid w:val="00DF651F"/>
    <w:rsid w:val="00DF670E"/>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302A"/>
    <w:rsid w:val="00E23137"/>
    <w:rsid w:val="00E23621"/>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74A"/>
    <w:rsid w:val="00E31A4A"/>
    <w:rsid w:val="00E31C96"/>
    <w:rsid w:val="00E32912"/>
    <w:rsid w:val="00E3344A"/>
    <w:rsid w:val="00E33B29"/>
    <w:rsid w:val="00E33B62"/>
    <w:rsid w:val="00E3403D"/>
    <w:rsid w:val="00E344BD"/>
    <w:rsid w:val="00E34E6C"/>
    <w:rsid w:val="00E353E2"/>
    <w:rsid w:val="00E36345"/>
    <w:rsid w:val="00E36C86"/>
    <w:rsid w:val="00E36CEB"/>
    <w:rsid w:val="00E37387"/>
    <w:rsid w:val="00E37A28"/>
    <w:rsid w:val="00E403BC"/>
    <w:rsid w:val="00E40430"/>
    <w:rsid w:val="00E40690"/>
    <w:rsid w:val="00E40AEB"/>
    <w:rsid w:val="00E4143A"/>
    <w:rsid w:val="00E424C8"/>
    <w:rsid w:val="00E42518"/>
    <w:rsid w:val="00E4251D"/>
    <w:rsid w:val="00E43D00"/>
    <w:rsid w:val="00E443B4"/>
    <w:rsid w:val="00E445E4"/>
    <w:rsid w:val="00E457CB"/>
    <w:rsid w:val="00E45D47"/>
    <w:rsid w:val="00E45DE4"/>
    <w:rsid w:val="00E45E63"/>
    <w:rsid w:val="00E469D6"/>
    <w:rsid w:val="00E46BBC"/>
    <w:rsid w:val="00E4759C"/>
    <w:rsid w:val="00E50A7B"/>
    <w:rsid w:val="00E50B0B"/>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89D"/>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4DC3"/>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38"/>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107"/>
    <w:rsid w:val="00F97141"/>
    <w:rsid w:val="00F97CF1"/>
    <w:rsid w:val="00FA015F"/>
    <w:rsid w:val="00FA0160"/>
    <w:rsid w:val="00FA0FAC"/>
    <w:rsid w:val="00FA10F7"/>
    <w:rsid w:val="00FA1DA2"/>
    <w:rsid w:val="00FA3414"/>
    <w:rsid w:val="00FA347A"/>
    <w:rsid w:val="00FA3CDE"/>
    <w:rsid w:val="00FA49B7"/>
    <w:rsid w:val="00FA5043"/>
    <w:rsid w:val="00FA6569"/>
    <w:rsid w:val="00FA6F8B"/>
    <w:rsid w:val="00FA727C"/>
    <w:rsid w:val="00FA7A30"/>
    <w:rsid w:val="00FB033F"/>
    <w:rsid w:val="00FB0507"/>
    <w:rsid w:val="00FB12E3"/>
    <w:rsid w:val="00FB1570"/>
    <w:rsid w:val="00FB193B"/>
    <w:rsid w:val="00FB1E5B"/>
    <w:rsid w:val="00FB1FBC"/>
    <w:rsid w:val="00FB27B7"/>
    <w:rsid w:val="00FB35E3"/>
    <w:rsid w:val="00FB4893"/>
    <w:rsid w:val="00FB4C98"/>
    <w:rsid w:val="00FB4CE3"/>
    <w:rsid w:val="00FB583C"/>
    <w:rsid w:val="00FB630E"/>
    <w:rsid w:val="00FB6738"/>
    <w:rsid w:val="00FB67AD"/>
    <w:rsid w:val="00FB691B"/>
    <w:rsid w:val="00FB6BE6"/>
    <w:rsid w:val="00FB731C"/>
    <w:rsid w:val="00FB7628"/>
    <w:rsid w:val="00FB77C9"/>
    <w:rsid w:val="00FC05A0"/>
    <w:rsid w:val="00FC0811"/>
    <w:rsid w:val="00FC1196"/>
    <w:rsid w:val="00FC15EB"/>
    <w:rsid w:val="00FC162C"/>
    <w:rsid w:val="00FC18DC"/>
    <w:rsid w:val="00FC2477"/>
    <w:rsid w:val="00FC2AC4"/>
    <w:rsid w:val="00FC2CAC"/>
    <w:rsid w:val="00FC2F73"/>
    <w:rsid w:val="00FC30FA"/>
    <w:rsid w:val="00FC3830"/>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C7F00"/>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3730"/>
    <w:rsid w:val="00FE40EA"/>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116</TotalTime>
  <Pages>34</Pages>
  <Words>13742</Words>
  <Characters>75583</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16</cp:revision>
  <cp:lastPrinted>2020-01-30T15:05:00Z</cp:lastPrinted>
  <dcterms:created xsi:type="dcterms:W3CDTF">2021-12-07T15:49:00Z</dcterms:created>
  <dcterms:modified xsi:type="dcterms:W3CDTF">2021-12-07T18:38:00Z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