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041BD5"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041BD5">
        <w:rPr>
          <w:rFonts w:ascii="Arial" w:hAnsi="Arial" w:cs="Arial"/>
          <w:b/>
          <w:sz w:val="16"/>
          <w:szCs w:val="16"/>
          <w:lang w:val="es-ES_tradnl" w:eastAsia="es-ES"/>
        </w:rPr>
        <w:t>CCE-DES-FM-17</w:t>
      </w:r>
    </w:p>
    <w:p w14:paraId="33FF83A2" w14:textId="77777777" w:rsidR="0034177C" w:rsidRPr="00041BD5" w:rsidRDefault="0034177C" w:rsidP="007F6B46">
      <w:pPr>
        <w:spacing w:line="276" w:lineRule="auto"/>
        <w:jc w:val="both"/>
        <w:rPr>
          <w:rFonts w:ascii="Arial" w:eastAsia="Calibri" w:hAnsi="Arial" w:cs="Arial"/>
          <w:b/>
          <w:sz w:val="16"/>
          <w:szCs w:val="16"/>
          <w:lang w:val="es-ES_tradnl"/>
        </w:rPr>
      </w:pPr>
    </w:p>
    <w:bookmarkEnd w:id="0"/>
    <w:bookmarkEnd w:id="1"/>
    <w:p w14:paraId="171BEAF4" w14:textId="19B0BAF4" w:rsidR="000926C1" w:rsidRPr="00590925" w:rsidRDefault="000926C1" w:rsidP="00590925">
      <w:pPr>
        <w:jc w:val="both"/>
        <w:rPr>
          <w:rFonts w:ascii="Arial" w:eastAsia="Calibri" w:hAnsi="Arial" w:cs="Arial"/>
          <w:b/>
          <w:bCs/>
          <w:sz w:val="22"/>
          <w:lang w:val="es-ES"/>
        </w:rPr>
      </w:pPr>
      <w:r>
        <w:rPr>
          <w:rFonts w:ascii="Arial" w:eastAsia="Calibri" w:hAnsi="Arial" w:cs="Arial"/>
          <w:b/>
          <w:bCs/>
          <w:sz w:val="22"/>
          <w:lang w:val="es-ES"/>
        </w:rPr>
        <w:t xml:space="preserve">RUP </w:t>
      </w:r>
      <w:r w:rsidRPr="00041BD5">
        <w:rPr>
          <w:rFonts w:ascii="Arial" w:eastAsia="Calibri" w:hAnsi="Arial" w:cs="Arial"/>
          <w:b/>
          <w:color w:val="000000" w:themeColor="text1"/>
          <w:sz w:val="22"/>
          <w:lang w:val="es-ES_tradnl"/>
        </w:rPr>
        <w:t>–</w:t>
      </w:r>
      <w:r>
        <w:rPr>
          <w:rFonts w:ascii="Arial" w:eastAsia="Calibri" w:hAnsi="Arial" w:cs="Arial"/>
          <w:b/>
          <w:bCs/>
          <w:sz w:val="22"/>
          <w:lang w:val="es-ES"/>
        </w:rPr>
        <w:t xml:space="preserve"> Aplicación obligatoria </w:t>
      </w:r>
      <w:r w:rsidR="00590925">
        <w:rPr>
          <w:rFonts w:ascii="Arial" w:eastAsia="Calibri" w:hAnsi="Arial" w:cs="Arial"/>
          <w:b/>
          <w:bCs/>
          <w:sz w:val="22"/>
          <w:lang w:val="es-ES"/>
        </w:rPr>
        <w:t>– E</w:t>
      </w:r>
      <w:r>
        <w:rPr>
          <w:rFonts w:ascii="Arial" w:eastAsia="Calibri" w:hAnsi="Arial" w:cs="Arial"/>
          <w:b/>
          <w:bCs/>
          <w:sz w:val="22"/>
          <w:lang w:val="es-ES"/>
        </w:rPr>
        <w:t xml:space="preserve">valuación </w:t>
      </w:r>
      <w:r w:rsidR="00590925">
        <w:rPr>
          <w:rFonts w:ascii="Arial" w:eastAsia="Calibri" w:hAnsi="Arial" w:cs="Arial"/>
          <w:b/>
          <w:bCs/>
          <w:sz w:val="22"/>
          <w:lang w:val="es-ES"/>
        </w:rPr>
        <w:t>–</w:t>
      </w:r>
      <w:r>
        <w:rPr>
          <w:rFonts w:ascii="Arial" w:eastAsia="Calibri" w:hAnsi="Arial" w:cs="Arial"/>
          <w:b/>
          <w:bCs/>
          <w:sz w:val="22"/>
          <w:lang w:val="es-ES"/>
        </w:rPr>
        <w:t xml:space="preserve"> </w:t>
      </w:r>
      <w:r w:rsidR="00590925">
        <w:rPr>
          <w:rFonts w:ascii="Arial" w:eastAsia="Calibri" w:hAnsi="Arial" w:cs="Arial"/>
          <w:b/>
          <w:bCs/>
          <w:sz w:val="22"/>
          <w:lang w:val="es-ES"/>
        </w:rPr>
        <w:t>E</w:t>
      </w:r>
      <w:r>
        <w:rPr>
          <w:rFonts w:ascii="Arial" w:eastAsia="Calibri" w:hAnsi="Arial" w:cs="Arial"/>
          <w:b/>
          <w:bCs/>
          <w:sz w:val="22"/>
          <w:lang w:val="es-ES"/>
        </w:rPr>
        <w:t xml:space="preserve">ntidades sometidas al </w:t>
      </w:r>
      <w:proofErr w:type="spellStart"/>
      <w:r w:rsidR="00590925">
        <w:rPr>
          <w:rFonts w:ascii="Arial" w:eastAsia="Calibri" w:hAnsi="Arial" w:cs="Arial"/>
          <w:b/>
          <w:bCs/>
          <w:sz w:val="22"/>
          <w:lang w:val="es-ES"/>
        </w:rPr>
        <w:t>egcap</w:t>
      </w:r>
      <w:proofErr w:type="spellEnd"/>
      <w:r w:rsidR="00590925">
        <w:rPr>
          <w:rFonts w:ascii="Arial" w:eastAsia="Calibri" w:hAnsi="Arial" w:cs="Arial"/>
          <w:b/>
          <w:bCs/>
          <w:sz w:val="22"/>
          <w:lang w:val="es-ES"/>
        </w:rPr>
        <w:t xml:space="preserve"> </w:t>
      </w:r>
    </w:p>
    <w:p w14:paraId="764354B4" w14:textId="77777777" w:rsidR="003E2719" w:rsidRPr="00041BD5" w:rsidRDefault="003E2719" w:rsidP="00590925">
      <w:pPr>
        <w:jc w:val="both"/>
        <w:rPr>
          <w:rFonts w:ascii="Arial" w:hAnsi="Arial" w:cs="Arial"/>
          <w:noProof/>
          <w:color w:val="000000" w:themeColor="text1"/>
          <w:sz w:val="22"/>
          <w:lang w:val="es-ES_tradnl"/>
        </w:rPr>
      </w:pPr>
    </w:p>
    <w:p w14:paraId="2637202B" w14:textId="6C552060" w:rsidR="000926C1" w:rsidRPr="00847ADD" w:rsidRDefault="000926C1" w:rsidP="00590925">
      <w:pPr>
        <w:jc w:val="both"/>
        <w:rPr>
          <w:rFonts w:ascii="Arial" w:hAnsi="Arial" w:cs="Arial"/>
          <w:color w:val="000000" w:themeColor="text1"/>
          <w:sz w:val="20"/>
          <w:szCs w:val="20"/>
        </w:rPr>
      </w:pPr>
      <w:r w:rsidRPr="00847ADD">
        <w:rPr>
          <w:rFonts w:ascii="Arial" w:hAnsi="Arial" w:cs="Arial"/>
          <w:color w:val="000000" w:themeColor="text1"/>
          <w:sz w:val="20"/>
          <w:szCs w:val="20"/>
        </w:rPr>
        <w:t xml:space="preserve">En cuanto al cumplimiento de los requisitos habilitantes, las entidades sometidas a la Ley 80 de 1993 deberán efectuar la evaluación correspondiente teniendo en cuenta la información que reposa en el certificado del Registro Único de Proponentes, dado que constituye plena prueba de la información que contiene, tal como lo establece el artículo 6.1 de la Ley 1150 de 2007. Por su parte, el artículo 5.1 </w:t>
      </w:r>
      <w:r w:rsidR="00847ADD" w:rsidRPr="00847ADD">
        <w:rPr>
          <w:rFonts w:ascii="Arial" w:hAnsi="Arial" w:cs="Arial"/>
          <w:color w:val="000000" w:themeColor="text1"/>
          <w:sz w:val="20"/>
          <w:szCs w:val="20"/>
        </w:rPr>
        <w:t>ibidem</w:t>
      </w:r>
      <w:r w:rsidRPr="00847ADD">
        <w:rPr>
          <w:rFonts w:ascii="Arial" w:hAnsi="Arial" w:cs="Arial"/>
          <w:color w:val="000000" w:themeColor="text1"/>
          <w:sz w:val="20"/>
          <w:szCs w:val="20"/>
        </w:rPr>
        <w:t xml:space="preserve">,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 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 </w:t>
      </w:r>
    </w:p>
    <w:p w14:paraId="49659A4F" w14:textId="0DDA6494" w:rsidR="003E2719" w:rsidRPr="00847ADD" w:rsidRDefault="000926C1" w:rsidP="00590925">
      <w:pPr>
        <w:jc w:val="both"/>
        <w:rPr>
          <w:rFonts w:ascii="Arial" w:hAnsi="Arial" w:cs="Arial"/>
          <w:color w:val="000000" w:themeColor="text1"/>
          <w:sz w:val="20"/>
          <w:szCs w:val="20"/>
          <w:lang w:val="es-ES_tradnl"/>
        </w:rPr>
      </w:pPr>
      <w:r w:rsidRPr="00847ADD">
        <w:rPr>
          <w:rFonts w:ascii="Arial" w:hAnsi="Arial" w:cs="Arial"/>
          <w:sz w:val="20"/>
          <w:szCs w:val="20"/>
        </w:rPr>
        <w:t xml:space="preserve">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r w:rsidRPr="00847ADD">
        <w:rPr>
          <w:rFonts w:ascii="Arial" w:hAnsi="Arial" w:cs="Arial"/>
          <w:sz w:val="20"/>
          <w:szCs w:val="20"/>
          <w:lang w:val="es-ES_tradnl"/>
        </w:rPr>
        <w:t>Estas excepciones son taxativas y se rigen por una interpretación restrictiva</w:t>
      </w:r>
    </w:p>
    <w:p w14:paraId="5B60699C" w14:textId="77777777" w:rsidR="00847ADD" w:rsidRDefault="00847ADD" w:rsidP="003E2719">
      <w:pPr>
        <w:jc w:val="both"/>
        <w:rPr>
          <w:rFonts w:ascii="Arial" w:eastAsia="Calibri" w:hAnsi="Arial" w:cs="Arial"/>
          <w:b/>
          <w:sz w:val="22"/>
          <w:lang w:val="es-ES_tradnl"/>
        </w:rPr>
      </w:pPr>
    </w:p>
    <w:p w14:paraId="301BE005" w14:textId="608294BD" w:rsidR="003E2719" w:rsidRDefault="00847ADD" w:rsidP="00590925">
      <w:pPr>
        <w:jc w:val="both"/>
        <w:rPr>
          <w:rFonts w:ascii="Arial" w:eastAsia="Calibri" w:hAnsi="Arial" w:cs="Arial"/>
          <w:b/>
          <w:bCs/>
          <w:sz w:val="22"/>
          <w:lang w:val="es-ES"/>
        </w:rPr>
      </w:pPr>
      <w:r>
        <w:rPr>
          <w:rFonts w:ascii="Arial" w:eastAsia="Calibri" w:hAnsi="Arial" w:cs="Arial"/>
          <w:b/>
          <w:bCs/>
          <w:sz w:val="22"/>
          <w:lang w:val="es-ES"/>
        </w:rPr>
        <w:t xml:space="preserve">EXPERIENCIA </w:t>
      </w:r>
      <w:r w:rsidRPr="00041BD5">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Pr="00071199">
        <w:rPr>
          <w:rFonts w:ascii="Arial" w:eastAsia="Calibri" w:hAnsi="Arial" w:cs="Arial"/>
          <w:b/>
          <w:bCs/>
          <w:sz w:val="22"/>
          <w:lang w:val="es-ES"/>
        </w:rPr>
        <w:t xml:space="preserve">Acreditación </w:t>
      </w:r>
      <w:r w:rsidR="00590925">
        <w:rPr>
          <w:rFonts w:ascii="Arial" w:eastAsia="Calibri" w:hAnsi="Arial" w:cs="Arial"/>
          <w:b/>
          <w:bCs/>
          <w:sz w:val="22"/>
          <w:lang w:val="es-ES"/>
        </w:rPr>
        <w:t>–</w:t>
      </w:r>
      <w:r w:rsidRPr="00071199">
        <w:rPr>
          <w:rFonts w:ascii="Arial" w:eastAsia="Calibri" w:hAnsi="Arial" w:cs="Arial"/>
          <w:b/>
          <w:bCs/>
          <w:sz w:val="22"/>
          <w:lang w:val="es-ES"/>
        </w:rPr>
        <w:t xml:space="preserve"> </w:t>
      </w:r>
      <w:r w:rsidR="00590925">
        <w:rPr>
          <w:rFonts w:ascii="Arial" w:eastAsia="Calibri" w:hAnsi="Arial" w:cs="Arial"/>
          <w:b/>
          <w:bCs/>
          <w:sz w:val="22"/>
          <w:lang w:val="es-ES"/>
        </w:rPr>
        <w:t>S</w:t>
      </w:r>
      <w:r w:rsidRPr="00071199">
        <w:rPr>
          <w:rFonts w:ascii="Arial" w:eastAsia="Calibri" w:hAnsi="Arial" w:cs="Arial"/>
          <w:b/>
          <w:bCs/>
          <w:sz w:val="22"/>
          <w:lang w:val="es-ES"/>
        </w:rPr>
        <w:t>ociedades con menos de tres años de constitución</w:t>
      </w:r>
    </w:p>
    <w:p w14:paraId="0C910EA0" w14:textId="77777777" w:rsidR="00590925" w:rsidRDefault="00590925" w:rsidP="00590925">
      <w:pPr>
        <w:jc w:val="both"/>
        <w:rPr>
          <w:rFonts w:ascii="Arial" w:eastAsia="Calibri" w:hAnsi="Arial" w:cs="Arial"/>
          <w:b/>
          <w:bCs/>
          <w:sz w:val="22"/>
          <w:lang w:val="es-ES"/>
        </w:rPr>
      </w:pPr>
    </w:p>
    <w:p w14:paraId="525D03E5" w14:textId="0C1D9FCB" w:rsidR="00100C37" w:rsidRPr="00100C37" w:rsidRDefault="00100C37" w:rsidP="00590925">
      <w:pPr>
        <w:jc w:val="both"/>
        <w:rPr>
          <w:rFonts w:ascii="Arial" w:eastAsia="Calibri" w:hAnsi="Arial" w:cs="Arial"/>
          <w:sz w:val="20"/>
          <w:szCs w:val="20"/>
          <w:lang w:val="es-ES"/>
        </w:rPr>
      </w:pPr>
      <w:r w:rsidRPr="00100C37">
        <w:rPr>
          <w:rFonts w:ascii="Arial" w:eastAsia="Calibri" w:hAnsi="Arial" w:cs="Arial"/>
          <w:sz w:val="20"/>
          <w:szCs w:val="20"/>
          <w:lang w:val="es-ES"/>
        </w:rPr>
        <w:t xml:space="preserve">La parte final del numeral 2.5 del artículo 2.2.1.1.1.5.2 del Decreto 1082 de 2015,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556B3930" w14:textId="77777777" w:rsidR="00100C37" w:rsidRPr="00100C37" w:rsidRDefault="00100C37" w:rsidP="00590925">
      <w:pPr>
        <w:jc w:val="both"/>
        <w:rPr>
          <w:rFonts w:ascii="Arial" w:eastAsia="Calibri" w:hAnsi="Arial" w:cs="Arial"/>
          <w:sz w:val="20"/>
          <w:szCs w:val="20"/>
          <w:lang w:val="es-ES"/>
        </w:rPr>
      </w:pPr>
      <w:r w:rsidRPr="00100C37">
        <w:rPr>
          <w:rFonts w:ascii="Arial" w:eastAsia="Calibri" w:hAnsi="Arial" w:cs="Arial"/>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4F8911A" w14:textId="77777777" w:rsidR="003E2719" w:rsidRPr="00041BD5" w:rsidRDefault="003E2719" w:rsidP="00590925">
      <w:pPr>
        <w:jc w:val="both"/>
        <w:rPr>
          <w:rFonts w:ascii="Arial" w:eastAsia="Calibri" w:hAnsi="Arial" w:cs="Arial"/>
          <w:b/>
          <w:sz w:val="22"/>
          <w:lang w:val="es-ES_tradnl"/>
        </w:rPr>
      </w:pPr>
    </w:p>
    <w:p w14:paraId="458E8572" w14:textId="4ADBE6C8" w:rsidR="00A13B39" w:rsidRDefault="000215D3" w:rsidP="00590925">
      <w:pPr>
        <w:jc w:val="both"/>
        <w:rPr>
          <w:rFonts w:ascii="Arial" w:eastAsia="Calibri" w:hAnsi="Arial" w:cs="Arial"/>
          <w:b/>
          <w:bCs/>
          <w:color w:val="000000" w:themeColor="text1"/>
          <w:sz w:val="22"/>
          <w:lang w:val="es-ES_tradnl"/>
        </w:rPr>
      </w:pPr>
      <w:r w:rsidRPr="009C5686">
        <w:rPr>
          <w:rFonts w:ascii="Arial" w:eastAsia="Calibri" w:hAnsi="Arial" w:cs="Arial"/>
          <w:b/>
          <w:bCs/>
          <w:color w:val="000000" w:themeColor="text1"/>
          <w:sz w:val="22"/>
          <w:lang w:val="es-ES_tradnl"/>
        </w:rPr>
        <w:lastRenderedPageBreak/>
        <w:t>DECRETOS 399 DE 2021 Y 579 DE 2021</w:t>
      </w:r>
      <w:r>
        <w:rPr>
          <w:rFonts w:ascii="Arial" w:eastAsia="Calibri" w:hAnsi="Arial" w:cs="Arial"/>
          <w:b/>
          <w:bCs/>
          <w:color w:val="000000" w:themeColor="text1"/>
          <w:sz w:val="22"/>
          <w:lang w:val="es-ES_tradnl"/>
        </w:rPr>
        <w:t xml:space="preserve"> </w:t>
      </w:r>
      <w:r w:rsidRPr="00041BD5">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Modificaciones </w:t>
      </w:r>
      <w:r w:rsidRPr="00041BD5">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590925">
        <w:rPr>
          <w:rFonts w:ascii="Arial" w:eastAsia="Calibri" w:hAnsi="Arial" w:cs="Arial"/>
          <w:b/>
          <w:bCs/>
          <w:color w:val="000000" w:themeColor="text1"/>
          <w:sz w:val="22"/>
          <w:lang w:val="es-ES_tradnl"/>
        </w:rPr>
        <w:t>V</w:t>
      </w:r>
      <w:r w:rsidRPr="009C5686">
        <w:rPr>
          <w:rFonts w:ascii="Arial" w:eastAsia="Calibri" w:hAnsi="Arial" w:cs="Arial"/>
          <w:b/>
          <w:bCs/>
          <w:color w:val="000000" w:themeColor="text1"/>
          <w:sz w:val="22"/>
          <w:lang w:val="es-ES_tradnl"/>
        </w:rPr>
        <w:t xml:space="preserve">erificación </w:t>
      </w:r>
      <w:r w:rsidR="00590925">
        <w:rPr>
          <w:rFonts w:ascii="Arial" w:eastAsia="Calibri" w:hAnsi="Arial" w:cs="Arial"/>
          <w:b/>
          <w:bCs/>
          <w:color w:val="000000" w:themeColor="text1"/>
          <w:sz w:val="22"/>
          <w:lang w:val="es-ES_tradnl"/>
        </w:rPr>
        <w:t>– C</w:t>
      </w:r>
      <w:r w:rsidRPr="009C5686">
        <w:rPr>
          <w:rFonts w:ascii="Arial" w:eastAsia="Calibri" w:hAnsi="Arial" w:cs="Arial"/>
          <w:b/>
          <w:bCs/>
          <w:color w:val="000000" w:themeColor="text1"/>
          <w:sz w:val="22"/>
          <w:lang w:val="es-ES_tradnl"/>
        </w:rPr>
        <w:t>apacidad financiera y organizacional</w:t>
      </w:r>
    </w:p>
    <w:p w14:paraId="76CF361F" w14:textId="77777777" w:rsidR="000215D3" w:rsidRPr="00041BD5" w:rsidRDefault="000215D3" w:rsidP="00590925">
      <w:pPr>
        <w:jc w:val="both"/>
        <w:rPr>
          <w:rFonts w:ascii="Arial" w:eastAsia="Calibri" w:hAnsi="Arial" w:cs="Arial"/>
          <w:color w:val="000000" w:themeColor="text1"/>
          <w:sz w:val="20"/>
          <w:szCs w:val="20"/>
          <w:lang w:val="es-ES_tradnl"/>
        </w:rPr>
      </w:pPr>
    </w:p>
    <w:p w14:paraId="0A77C0A9" w14:textId="501038D9" w:rsidR="000215D3" w:rsidRPr="00590925" w:rsidRDefault="000215D3" w:rsidP="00590925">
      <w:pPr>
        <w:jc w:val="both"/>
        <w:rPr>
          <w:rFonts w:ascii="Arial" w:eastAsia="Calibri" w:hAnsi="Arial" w:cs="Arial"/>
          <w:color w:val="000000"/>
          <w:sz w:val="20"/>
          <w:szCs w:val="20"/>
          <w:lang w:val="es-ES_tradnl"/>
        </w:rPr>
      </w:pPr>
      <w:r w:rsidRPr="00590925">
        <w:rPr>
          <w:rFonts w:ascii="Arial" w:eastAsia="Calibri" w:hAnsi="Arial" w:cs="Arial"/>
          <w:color w:val="000000"/>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 a partir de la modificación posteriormente introducida por el Decreto 579 de 2021– que a partir del 1 de julio de 2021 las entidades estatales deberán tener en cuenta los datos sobre la capacidad financiera y organizacional de los últimos tres años, consignada en el RUP.</w:t>
      </w:r>
    </w:p>
    <w:p w14:paraId="62A82E8B" w14:textId="78D28ADC" w:rsidR="000215D3" w:rsidRPr="00590925" w:rsidRDefault="000215D3" w:rsidP="00590925">
      <w:pPr>
        <w:jc w:val="both"/>
        <w:rPr>
          <w:rFonts w:ascii="Arial" w:eastAsia="Calibri" w:hAnsi="Arial" w:cs="Arial"/>
          <w:color w:val="000000" w:themeColor="text1"/>
          <w:sz w:val="20"/>
          <w:szCs w:val="20"/>
          <w:lang w:val="es-ES_tradnl"/>
        </w:rPr>
      </w:pPr>
      <w:r w:rsidRPr="00590925">
        <w:rPr>
          <w:rFonts w:ascii="Arial" w:eastAsia="Calibri" w:hAnsi="Arial" w:cs="Arial"/>
          <w:color w:val="000000"/>
          <w:sz w:val="20"/>
          <w:szCs w:val="20"/>
          <w:lang w:val="es-ES_tradnl"/>
        </w:rPr>
        <w:t xml:space="preserve">En tal sentido,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w:t>
      </w:r>
      <w:r w:rsidRPr="00590925">
        <w:rPr>
          <w:rFonts w:ascii="Arial" w:eastAsia="Calibri" w:hAnsi="Arial" w:cs="Arial"/>
          <w:color w:val="000000" w:themeColor="text1"/>
          <w:sz w:val="20"/>
          <w:szCs w:val="20"/>
          <w:lang w:val="es-ES_tradnl"/>
        </w:rPr>
        <w:t xml:space="preserve"> </w:t>
      </w:r>
    </w:p>
    <w:p w14:paraId="690E75B7" w14:textId="77777777" w:rsidR="000215D3" w:rsidRPr="00590925" w:rsidRDefault="000215D3" w:rsidP="00590925">
      <w:pPr>
        <w:jc w:val="both"/>
        <w:rPr>
          <w:rFonts w:ascii="Arial" w:eastAsia="Calibri" w:hAnsi="Arial" w:cs="Arial"/>
          <w:color w:val="000000" w:themeColor="text1"/>
          <w:sz w:val="20"/>
          <w:szCs w:val="20"/>
          <w:lang w:val="es-ES_tradnl"/>
        </w:rPr>
      </w:pPr>
      <w:r w:rsidRPr="00590925">
        <w:rPr>
          <w:rFonts w:ascii="Arial" w:eastAsia="Calibri" w:hAnsi="Arial" w:cs="Arial"/>
          <w:color w:val="000000" w:themeColor="text1"/>
          <w:sz w:val="20"/>
          <w:szCs w:val="20"/>
          <w:lang w:val="es-ES_tradnl"/>
        </w:rPr>
        <w:t>De igual forma,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00590925">
        <w:rPr>
          <w:rFonts w:ascii="Arial" w:hAnsi="Arial" w:cs="Arial"/>
          <w:color w:val="000000" w:themeColor="text1"/>
          <w:sz w:val="20"/>
          <w:szCs w:val="20"/>
          <w:lang w:val="es-ES_tradnl"/>
        </w:rPr>
        <w:t xml:space="preserve">[…] </w:t>
      </w:r>
      <w:r w:rsidRPr="00590925">
        <w:rPr>
          <w:rFonts w:ascii="Arial" w:eastAsia="Calibri" w:hAnsi="Arial" w:cs="Arial"/>
          <w:color w:val="000000" w:themeColor="text1"/>
          <w:sz w:val="20"/>
          <w:szCs w:val="20"/>
          <w:lang w:val="es-ES_tradnl"/>
        </w:rPr>
        <w:t xml:space="preserve">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w:t>
      </w:r>
    </w:p>
    <w:p w14:paraId="6AC6EAE8" w14:textId="18BFC444" w:rsidR="000215D3" w:rsidRPr="00590925" w:rsidRDefault="000215D3" w:rsidP="00590925">
      <w:pPr>
        <w:jc w:val="both"/>
        <w:rPr>
          <w:rFonts w:ascii="Arial" w:eastAsia="Calibri" w:hAnsi="Arial" w:cs="Arial"/>
          <w:color w:val="000000" w:themeColor="text1"/>
          <w:sz w:val="22"/>
          <w:lang w:val="es-ES_tradnl"/>
        </w:rPr>
      </w:pPr>
      <w:r w:rsidRPr="00590925">
        <w:rPr>
          <w:rFonts w:ascii="Arial" w:eastAsia="Calibri" w:hAnsi="Arial" w:cs="Arial"/>
          <w:color w:val="000000" w:themeColor="text1"/>
          <w:sz w:val="20"/>
          <w:szCs w:val="20"/>
          <w:lang w:val="es-ES_tradnl"/>
        </w:rPr>
        <w:t>De otro lado, el artículo 6 del Decreto 399 de 2021 adicionó un parágrafo transitorio –sustituido después por el artículo 3 del Decreto 579 de 2021– al artículo 2.2.1.1.1.6.2. del Decreto 1082 de 2015.</w:t>
      </w:r>
    </w:p>
    <w:p w14:paraId="74DB828D" w14:textId="77777777" w:rsidR="00A13B39" w:rsidRPr="00041BD5" w:rsidRDefault="00A13B39" w:rsidP="00590925">
      <w:pPr>
        <w:jc w:val="both"/>
        <w:rPr>
          <w:rFonts w:ascii="Arial" w:eastAsia="Calibri" w:hAnsi="Arial" w:cs="Arial"/>
          <w:color w:val="000000" w:themeColor="text1"/>
          <w:sz w:val="22"/>
          <w:lang w:val="es-ES_tradnl"/>
        </w:rPr>
      </w:pPr>
    </w:p>
    <w:p w14:paraId="66BB06BE" w14:textId="72866243" w:rsidR="00B02C9A" w:rsidRPr="00590925" w:rsidRDefault="00B02C9A" w:rsidP="00590925">
      <w:pPr>
        <w:jc w:val="both"/>
        <w:rPr>
          <w:rFonts w:ascii="Arial" w:hAnsi="Arial" w:cs="Arial"/>
          <w:b/>
          <w:color w:val="000000" w:themeColor="text1"/>
          <w:sz w:val="22"/>
          <w:lang w:val="es-ES_tradnl"/>
        </w:rPr>
      </w:pPr>
      <w:r w:rsidRPr="008923B1">
        <w:rPr>
          <w:rFonts w:ascii="Arial" w:hAnsi="Arial" w:cs="Arial"/>
          <w:b/>
          <w:sz w:val="22"/>
          <w:lang w:val="es-ES_tradnl"/>
        </w:rPr>
        <w:t xml:space="preserve">RÉGIMEN CONTRACTUAL </w:t>
      </w:r>
      <w:r w:rsidRPr="00041BD5">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E</w:t>
      </w:r>
      <w:r w:rsidRPr="008923B1">
        <w:rPr>
          <w:rFonts w:ascii="Arial" w:hAnsi="Arial" w:cs="Arial"/>
          <w:b/>
          <w:sz w:val="22"/>
          <w:lang w:val="es-ES_tradnl"/>
        </w:rPr>
        <w:t xml:space="preserve">ntidades </w:t>
      </w:r>
      <w:r w:rsidRPr="00590925">
        <w:rPr>
          <w:rFonts w:ascii="Arial" w:hAnsi="Arial" w:cs="Arial"/>
          <w:b/>
          <w:sz w:val="22"/>
          <w:lang w:val="es-ES_tradnl"/>
        </w:rPr>
        <w:t>exceptuadas</w:t>
      </w:r>
      <w:r w:rsidRPr="008923B1">
        <w:rPr>
          <w:rFonts w:ascii="Arial" w:hAnsi="Arial" w:cs="Arial"/>
          <w:b/>
          <w:sz w:val="22"/>
          <w:lang w:val="es-ES_tradnl"/>
        </w:rPr>
        <w:t xml:space="preserve"> </w:t>
      </w:r>
      <w:r w:rsidR="00590925">
        <w:rPr>
          <w:rFonts w:ascii="Arial" w:hAnsi="Arial" w:cs="Arial"/>
          <w:b/>
          <w:sz w:val="22"/>
          <w:lang w:val="es-ES_tradnl"/>
        </w:rPr>
        <w:t>–</w:t>
      </w:r>
      <w:r w:rsidRPr="008923B1">
        <w:rPr>
          <w:rFonts w:ascii="Arial" w:hAnsi="Arial" w:cs="Arial"/>
          <w:b/>
          <w:sz w:val="22"/>
          <w:lang w:val="es-ES_tradnl"/>
        </w:rPr>
        <w:t xml:space="preserve"> </w:t>
      </w:r>
      <w:r w:rsidR="00590925">
        <w:rPr>
          <w:rFonts w:ascii="Arial" w:hAnsi="Arial" w:cs="Arial"/>
          <w:b/>
          <w:sz w:val="22"/>
          <w:lang w:val="es-ES_tradnl"/>
        </w:rPr>
        <w:t>A</w:t>
      </w:r>
      <w:r w:rsidRPr="008923B1">
        <w:rPr>
          <w:rFonts w:ascii="Arial" w:hAnsi="Arial" w:cs="Arial"/>
          <w:b/>
          <w:sz w:val="22"/>
          <w:lang w:val="es-ES_tradnl"/>
        </w:rPr>
        <w:t>plica</w:t>
      </w:r>
      <w:r w:rsidR="00590925">
        <w:rPr>
          <w:rFonts w:ascii="Arial" w:hAnsi="Arial" w:cs="Arial"/>
          <w:b/>
          <w:sz w:val="22"/>
          <w:lang w:val="es-ES_tradnl"/>
        </w:rPr>
        <w:t>ción</w:t>
      </w:r>
      <w:r w:rsidRPr="008923B1">
        <w:rPr>
          <w:rFonts w:ascii="Arial" w:hAnsi="Arial" w:cs="Arial"/>
          <w:b/>
          <w:sz w:val="22"/>
          <w:lang w:val="es-ES_tradnl"/>
        </w:rPr>
        <w:t xml:space="preserve"> </w:t>
      </w:r>
      <w:r w:rsidR="00590925">
        <w:rPr>
          <w:rFonts w:ascii="Arial" w:hAnsi="Arial" w:cs="Arial"/>
          <w:b/>
          <w:sz w:val="22"/>
          <w:lang w:val="es-ES_tradnl"/>
        </w:rPr>
        <w:t>d</w:t>
      </w:r>
      <w:r w:rsidRPr="008923B1">
        <w:rPr>
          <w:rFonts w:ascii="Arial" w:hAnsi="Arial" w:cs="Arial"/>
          <w:b/>
          <w:sz w:val="22"/>
          <w:lang w:val="es-ES_tradnl"/>
        </w:rPr>
        <w:t xml:space="preserve">el </w:t>
      </w:r>
      <w:proofErr w:type="spellStart"/>
      <w:r w:rsidR="00590925" w:rsidRPr="008923B1">
        <w:rPr>
          <w:rFonts w:ascii="Arial" w:hAnsi="Arial" w:cs="Arial"/>
          <w:b/>
          <w:sz w:val="22"/>
          <w:lang w:val="es-ES_tradnl"/>
        </w:rPr>
        <w:t>egcap</w:t>
      </w:r>
      <w:proofErr w:type="spellEnd"/>
      <w:r w:rsidR="00590925">
        <w:rPr>
          <w:rFonts w:ascii="Arial" w:hAnsi="Arial" w:cs="Arial"/>
          <w:b/>
          <w:sz w:val="22"/>
          <w:lang w:val="es-ES_tradnl"/>
        </w:rPr>
        <w:t xml:space="preserve"> –</w:t>
      </w:r>
      <w:r>
        <w:rPr>
          <w:rFonts w:ascii="Arial" w:hAnsi="Arial" w:cs="Arial"/>
          <w:b/>
          <w:sz w:val="22"/>
          <w:lang w:val="es-ES_tradnl"/>
        </w:rPr>
        <w:t xml:space="preserve"> A</w:t>
      </w:r>
      <w:r w:rsidRPr="008923B1">
        <w:rPr>
          <w:rFonts w:ascii="Arial" w:hAnsi="Arial" w:cs="Arial"/>
          <w:b/>
          <w:sz w:val="22"/>
          <w:lang w:val="es-ES_tradnl"/>
        </w:rPr>
        <w:t xml:space="preserve">nálisis de la aplicación </w:t>
      </w:r>
      <w:r w:rsidR="00590925">
        <w:rPr>
          <w:rFonts w:ascii="Arial" w:hAnsi="Arial" w:cs="Arial"/>
          <w:b/>
          <w:sz w:val="22"/>
          <w:lang w:val="es-ES_tradnl"/>
        </w:rPr>
        <w:t xml:space="preserve">– </w:t>
      </w:r>
      <w:r w:rsidRPr="008923B1">
        <w:rPr>
          <w:rFonts w:ascii="Arial" w:hAnsi="Arial" w:cs="Arial"/>
          <w:b/>
          <w:sz w:val="22"/>
          <w:lang w:val="es-ES_tradnl"/>
        </w:rPr>
        <w:t>Decreto 399</w:t>
      </w:r>
      <w:r w:rsidR="00590925">
        <w:rPr>
          <w:rFonts w:ascii="Arial" w:hAnsi="Arial" w:cs="Arial"/>
          <w:b/>
          <w:sz w:val="22"/>
          <w:lang w:val="es-ES_tradnl"/>
        </w:rPr>
        <w:t xml:space="preserve"> de 2021</w:t>
      </w:r>
      <w:r w:rsidRPr="008923B1">
        <w:rPr>
          <w:rFonts w:ascii="Arial" w:hAnsi="Arial" w:cs="Arial"/>
          <w:b/>
          <w:sz w:val="22"/>
          <w:lang w:val="es-ES_tradnl"/>
        </w:rPr>
        <w:t xml:space="preserve"> </w:t>
      </w:r>
      <w:r w:rsidR="00590925">
        <w:rPr>
          <w:rFonts w:ascii="Arial" w:hAnsi="Arial" w:cs="Arial"/>
          <w:b/>
          <w:sz w:val="22"/>
          <w:lang w:val="es-ES_tradnl"/>
        </w:rPr>
        <w:t>– Decreto</w:t>
      </w:r>
      <w:r w:rsidRPr="008923B1">
        <w:rPr>
          <w:rFonts w:ascii="Arial" w:hAnsi="Arial" w:cs="Arial"/>
          <w:b/>
          <w:sz w:val="22"/>
          <w:lang w:val="es-ES_tradnl"/>
        </w:rPr>
        <w:t xml:space="preserve"> 579 de 2021 </w:t>
      </w:r>
      <w:r w:rsidR="00590925">
        <w:rPr>
          <w:rFonts w:ascii="Arial" w:hAnsi="Arial" w:cs="Arial"/>
          <w:b/>
          <w:sz w:val="22"/>
          <w:lang w:val="es-ES_tradnl"/>
        </w:rPr>
        <w:t xml:space="preserve">– Decreto </w:t>
      </w:r>
      <w:r w:rsidRPr="008923B1">
        <w:rPr>
          <w:rFonts w:ascii="Arial" w:hAnsi="Arial" w:cs="Arial"/>
          <w:b/>
          <w:color w:val="000000" w:themeColor="text1"/>
          <w:sz w:val="22"/>
          <w:lang w:val="es-ES_tradnl"/>
        </w:rPr>
        <w:t>1082 de 2015</w:t>
      </w:r>
      <w:r w:rsidR="00590925">
        <w:rPr>
          <w:rFonts w:ascii="Arial" w:hAnsi="Arial" w:cs="Arial"/>
          <w:b/>
          <w:color w:val="000000" w:themeColor="text1"/>
          <w:sz w:val="22"/>
          <w:lang w:val="es-ES_tradnl"/>
        </w:rPr>
        <w:t xml:space="preserve"> – A</w:t>
      </w:r>
      <w:r w:rsidRPr="008923B1">
        <w:rPr>
          <w:rFonts w:ascii="Arial" w:hAnsi="Arial" w:cs="Arial"/>
          <w:b/>
          <w:sz w:val="22"/>
          <w:lang w:val="es-ES_tradnl"/>
        </w:rPr>
        <w:t xml:space="preserve">rtículo 2.2.1.1.1.5.2 </w:t>
      </w:r>
    </w:p>
    <w:p w14:paraId="7300326F" w14:textId="699BB7B2" w:rsidR="00B02C9A" w:rsidRDefault="00B02C9A" w:rsidP="00590925">
      <w:pPr>
        <w:jc w:val="both"/>
        <w:rPr>
          <w:rFonts w:ascii="Arial" w:hAnsi="Arial" w:cs="Arial"/>
          <w:b/>
          <w:sz w:val="22"/>
          <w:lang w:val="es-ES_tradnl"/>
        </w:rPr>
      </w:pPr>
    </w:p>
    <w:p w14:paraId="45DC4890" w14:textId="77777777" w:rsidR="00B02C9A" w:rsidRPr="00B02C9A" w:rsidRDefault="00B02C9A" w:rsidP="00590925">
      <w:pPr>
        <w:tabs>
          <w:tab w:val="left" w:pos="426"/>
        </w:tabs>
        <w:jc w:val="both"/>
        <w:rPr>
          <w:rFonts w:ascii="Arial" w:eastAsia="Calibri" w:hAnsi="Arial" w:cs="Arial"/>
          <w:color w:val="000000" w:themeColor="text1"/>
          <w:sz w:val="20"/>
          <w:szCs w:val="20"/>
          <w:lang w:val="es-ES_tradnl"/>
        </w:rPr>
      </w:pPr>
      <w:r w:rsidRPr="00B02C9A">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el legislador optó por asignarles una regulación contractual distinta a la contenida en el Estatuto General de Contratación de la Administración Pública –EGCAP–, por consiguiente,  no están sometidas a este y sus procedimientos contractuales se rigen por una normativa propia, que usualmente corresponde al derecho privado, aspecto definido en las normas por medio de las cuales fueron creadas y en el manual de contratación de cada entidad.</w:t>
      </w:r>
    </w:p>
    <w:p w14:paraId="2ED8964E" w14:textId="38058F52" w:rsidR="00B02C9A" w:rsidRPr="00B02C9A" w:rsidRDefault="00B02C9A" w:rsidP="00590925">
      <w:pPr>
        <w:pStyle w:val="Textoindependiente"/>
        <w:spacing w:after="0" w:line="240" w:lineRule="auto"/>
        <w:ind w:right="109"/>
        <w:jc w:val="both"/>
        <w:rPr>
          <w:rFonts w:ascii="Arial" w:hAnsi="Arial" w:cs="Arial"/>
          <w:sz w:val="20"/>
          <w:szCs w:val="20"/>
        </w:rPr>
      </w:pPr>
      <w:r w:rsidRPr="00B02C9A">
        <w:rPr>
          <w:rFonts w:ascii="Arial" w:hAnsi="Arial" w:cs="Arial"/>
          <w:sz w:val="20"/>
          <w:szCs w:val="20"/>
        </w:rPr>
        <w:t>Si bien el artículo 2 de la Ley 80 de 1993 al definir las entidades estatales cuya contratación se regiría por el Estatuto General de Contratación de la Administración Pública, persiguió abarcar de forma omnicomprensiva la totalidad o, por lo menos, la mayoría de los organismos que conforman la estructura del Estado, lo cierto es que dicha regla general tiene excepciones creadas por la ley que han permitido que ciertas entidades queden excluidas de su aplicación, para que en su lugar, contraten al amparo de normas de derecho</w:t>
      </w:r>
      <w:r w:rsidRPr="00B02C9A">
        <w:rPr>
          <w:rFonts w:ascii="Arial" w:hAnsi="Arial" w:cs="Arial"/>
          <w:spacing w:val="-37"/>
          <w:sz w:val="20"/>
          <w:szCs w:val="20"/>
        </w:rPr>
        <w:t xml:space="preserve"> </w:t>
      </w:r>
      <w:r w:rsidRPr="00B02C9A">
        <w:rPr>
          <w:rFonts w:ascii="Arial" w:hAnsi="Arial" w:cs="Arial"/>
          <w:sz w:val="20"/>
          <w:szCs w:val="20"/>
        </w:rPr>
        <w:t>privado.</w:t>
      </w:r>
    </w:p>
    <w:p w14:paraId="11324447" w14:textId="64C89DC3" w:rsidR="00B02C9A" w:rsidRPr="00A74D33" w:rsidRDefault="00B02C9A" w:rsidP="00590925">
      <w:pPr>
        <w:pStyle w:val="Textoindependiente"/>
        <w:spacing w:after="0" w:line="240" w:lineRule="auto"/>
        <w:jc w:val="both"/>
        <w:rPr>
          <w:rFonts w:ascii="Arial" w:hAnsi="Arial" w:cs="Arial"/>
          <w:sz w:val="21"/>
          <w:szCs w:val="21"/>
        </w:rPr>
      </w:pPr>
      <w:r w:rsidRPr="00B02C9A">
        <w:rPr>
          <w:rFonts w:ascii="Arial" w:hAnsi="Arial" w:cs="Arial"/>
          <w:sz w:val="20"/>
          <w:szCs w:val="20"/>
        </w:rPr>
        <w:t xml:space="preserve">Las entidades exceptuadas de la aplicación de la Ley 80 de 1993 acuden al régimen jurídico del derecho privado para regular sus contratos. Sin embargo, la inaplicación de dicho régimen no es </w:t>
      </w:r>
      <w:r w:rsidRPr="00B02C9A">
        <w:rPr>
          <w:rFonts w:ascii="Arial" w:hAnsi="Arial" w:cs="Arial"/>
          <w:sz w:val="20"/>
          <w:szCs w:val="20"/>
        </w:rPr>
        <w:lastRenderedPageBreak/>
        <w:t>absoluta, toda vez que, tanto en la composición de la entidad como en el desarrollo de su objeto, tienen relación con la administración de recursos públicos. Además, de tiempo atrás en el ordenamiento jurídico se reconoció que las entidades exceptuadas del Estatuto General de Contratación debían respetar los principios de la función administrativa, tesis que luego acogió el legislador con la expedición de la Ley 1150 de 2007.</w:t>
      </w:r>
      <w:r w:rsidRPr="00145CA9">
        <w:rPr>
          <w:rFonts w:ascii="Arial" w:hAnsi="Arial" w:cs="Arial"/>
        </w:rPr>
        <w:t xml:space="preserve"> </w:t>
      </w:r>
    </w:p>
    <w:p w14:paraId="507220EC" w14:textId="4756D7B7" w:rsidR="00B02C9A" w:rsidRPr="00B02C9A" w:rsidRDefault="00B02C9A" w:rsidP="00590925">
      <w:pPr>
        <w:pStyle w:val="Textoindependiente"/>
        <w:spacing w:after="0" w:line="240" w:lineRule="auto"/>
        <w:ind w:right="106"/>
        <w:jc w:val="both"/>
        <w:rPr>
          <w:rFonts w:ascii="Arial" w:hAnsi="Arial" w:cs="Arial"/>
          <w:sz w:val="20"/>
          <w:szCs w:val="20"/>
        </w:rPr>
      </w:pPr>
      <w:r w:rsidRPr="00B02C9A">
        <w:rPr>
          <w:rFonts w:ascii="Arial" w:hAnsi="Arial" w:cs="Arial"/>
          <w:sz w:val="20"/>
          <w:szCs w:val="20"/>
        </w:rPr>
        <w:t xml:space="preserve">En el mismo sentido, en el artículo 13 de la Ley 1150 de 2007 se estableció que las entidades con régimen especial de contratación: «[…]aplicarán en desarrollo de su actividad contractual, acorde con su régimen legal especial, los principios de la función administrativa y de la gestión fiscal de que tratan los artículos 209 y 267 de la Constitución Política </w:t>
      </w:r>
    </w:p>
    <w:p w14:paraId="70A9E173" w14:textId="77777777" w:rsidR="00B02C9A" w:rsidRPr="00A87690" w:rsidRDefault="00B02C9A" w:rsidP="00590925">
      <w:pPr>
        <w:pStyle w:val="Textoindependiente"/>
        <w:spacing w:after="0" w:line="240" w:lineRule="auto"/>
        <w:jc w:val="both"/>
        <w:rPr>
          <w:rFonts w:ascii="Arial" w:hAnsi="Arial" w:cs="Arial"/>
          <w:sz w:val="20"/>
          <w:szCs w:val="20"/>
        </w:rPr>
      </w:pPr>
      <w:r w:rsidRPr="00A87690">
        <w:rPr>
          <w:rFonts w:ascii="Arial" w:hAnsi="Arial" w:cs="Arial"/>
          <w:sz w:val="20"/>
          <w:szCs w:val="20"/>
        </w:rPr>
        <w:t xml:space="preserve">De lo anterior se colige que, en la actualidad los contratos celebrados por las entidades de régimen especial en cumplimiento de su objeto, están regidos, en forma preferente, por las normas de derecho privado. No obstante, dicho régimen no es exclusivo, </w:t>
      </w:r>
      <w:proofErr w:type="gramStart"/>
      <w:r w:rsidRPr="00A87690">
        <w:rPr>
          <w:rFonts w:ascii="Arial" w:hAnsi="Arial" w:cs="Arial"/>
          <w:sz w:val="20"/>
          <w:szCs w:val="20"/>
        </w:rPr>
        <w:t>y</w:t>
      </w:r>
      <w:proofErr w:type="gramEnd"/>
      <w:r w:rsidRPr="00A87690">
        <w:rPr>
          <w:rFonts w:ascii="Arial" w:hAnsi="Arial" w:cs="Arial"/>
          <w:sz w:val="20"/>
          <w:szCs w:val="20"/>
        </w:rPr>
        <w:t xml:space="preserve">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w:t>
      </w:r>
    </w:p>
    <w:p w14:paraId="15E323AC" w14:textId="1D812248" w:rsidR="00B02C9A" w:rsidRPr="00A87690" w:rsidRDefault="00B02C9A" w:rsidP="00590925">
      <w:pPr>
        <w:jc w:val="both"/>
        <w:rPr>
          <w:rFonts w:ascii="Arial" w:hAnsi="Arial" w:cs="Arial"/>
          <w:b/>
          <w:color w:val="000000" w:themeColor="text1"/>
          <w:sz w:val="20"/>
          <w:szCs w:val="20"/>
          <w:lang w:val="es-ES_tradnl"/>
        </w:rPr>
      </w:pPr>
      <w:r w:rsidRPr="00A87690">
        <w:rPr>
          <w:rFonts w:ascii="Arial" w:eastAsia="Calibri" w:hAnsi="Arial" w:cs="Arial"/>
          <w:color w:val="000000" w:themeColor="text1"/>
          <w:sz w:val="20"/>
          <w:szCs w:val="20"/>
          <w:lang w:val="es-ES_tradnl"/>
        </w:rPr>
        <w:t xml:space="preserve">En efecto, los manuales de contratación de las entidades estatales, independientemente de su régimen de contratación, deberán cumplir con los lineamientos señalados por Colombia Compra Eficiente, al tenor de lo dispuesto en el </w:t>
      </w:r>
      <w:r w:rsidRPr="00A87690">
        <w:rPr>
          <w:rFonts w:ascii="Arial" w:hAnsi="Arial" w:cs="Arial"/>
          <w:color w:val="000000"/>
          <w:sz w:val="20"/>
          <w:szCs w:val="20"/>
          <w:lang w:val="es-ES_tradnl"/>
        </w:rPr>
        <w:t>artículo 2.2.1.2.5.3 del Decreto 1082 de 2015, que pueden ser consultados en la página web de la</w:t>
      </w:r>
      <w:r w:rsidRPr="00A87690">
        <w:rPr>
          <w:rFonts w:ascii="Arial" w:eastAsia="Calibri" w:hAnsi="Arial" w:cs="Arial"/>
          <w:color w:val="000000" w:themeColor="text1"/>
          <w:sz w:val="20"/>
          <w:szCs w:val="20"/>
          <w:lang w:val="es-ES_tradnl"/>
        </w:rPr>
        <w:t xml:space="preserve"> Agencia Nacional de Contratación Pública – Colombia Compra Eficiente.</w:t>
      </w:r>
    </w:p>
    <w:p w14:paraId="22AB98A6" w14:textId="77777777" w:rsidR="00FD7BAD" w:rsidRPr="00041BD5" w:rsidRDefault="00FD7BAD" w:rsidP="000046CC">
      <w:pPr>
        <w:jc w:val="both"/>
        <w:rPr>
          <w:rFonts w:ascii="Arial" w:hAnsi="Arial" w:cs="Arial"/>
          <w:noProof/>
          <w:color w:val="000000" w:themeColor="text1"/>
          <w:sz w:val="20"/>
          <w:szCs w:val="20"/>
          <w:lang w:val="es-ES_tradnl"/>
        </w:rPr>
      </w:pPr>
    </w:p>
    <w:p w14:paraId="29AB33DF" w14:textId="77777777" w:rsidR="00A5792B" w:rsidRPr="00041BD5" w:rsidRDefault="00A5792B" w:rsidP="000046CC">
      <w:pPr>
        <w:jc w:val="both"/>
        <w:rPr>
          <w:rFonts w:ascii="Arial" w:hAnsi="Arial" w:cs="Arial"/>
          <w:noProof/>
          <w:color w:val="000000" w:themeColor="text1"/>
          <w:sz w:val="22"/>
          <w:lang w:val="es-ES_tradnl"/>
        </w:rPr>
      </w:pPr>
    </w:p>
    <w:p w14:paraId="50EC6EAA" w14:textId="521310E5" w:rsidR="00A87690" w:rsidRDefault="00A87690" w:rsidP="004054D5">
      <w:pPr>
        <w:rPr>
          <w:rFonts w:ascii="Arial" w:hAnsi="Arial" w:cs="Arial"/>
          <w:sz w:val="22"/>
          <w:szCs w:val="20"/>
          <w:lang w:val="es-ES"/>
        </w:rPr>
      </w:pPr>
      <w:bookmarkStart w:id="2" w:name="_Hlk64030265"/>
    </w:p>
    <w:p w14:paraId="407C043F" w14:textId="70BBC3AB" w:rsidR="00DE51C9" w:rsidRDefault="00DE51C9" w:rsidP="004054D5">
      <w:pPr>
        <w:rPr>
          <w:rFonts w:ascii="Arial" w:hAnsi="Arial" w:cs="Arial"/>
          <w:sz w:val="22"/>
          <w:szCs w:val="20"/>
          <w:lang w:val="es-ES"/>
        </w:rPr>
      </w:pPr>
    </w:p>
    <w:p w14:paraId="6E4E6EB4" w14:textId="51F9EBB2" w:rsidR="00DE51C9" w:rsidRDefault="00DE51C9" w:rsidP="004054D5">
      <w:pPr>
        <w:rPr>
          <w:rFonts w:ascii="Arial" w:hAnsi="Arial" w:cs="Arial"/>
          <w:sz w:val="22"/>
          <w:szCs w:val="20"/>
          <w:lang w:val="es-ES"/>
        </w:rPr>
      </w:pPr>
    </w:p>
    <w:p w14:paraId="7BD3F2B0" w14:textId="0D1240C7" w:rsidR="00DE51C9" w:rsidRDefault="00DE51C9" w:rsidP="004054D5">
      <w:pPr>
        <w:rPr>
          <w:rFonts w:ascii="Arial" w:hAnsi="Arial" w:cs="Arial"/>
          <w:sz w:val="22"/>
          <w:szCs w:val="20"/>
          <w:lang w:val="es-ES"/>
        </w:rPr>
      </w:pPr>
    </w:p>
    <w:p w14:paraId="104BC912" w14:textId="466D628C" w:rsidR="00DE51C9" w:rsidRDefault="00DE51C9" w:rsidP="004054D5">
      <w:pPr>
        <w:rPr>
          <w:rFonts w:ascii="Arial" w:hAnsi="Arial" w:cs="Arial"/>
          <w:sz w:val="22"/>
          <w:szCs w:val="20"/>
          <w:lang w:val="es-ES"/>
        </w:rPr>
      </w:pPr>
    </w:p>
    <w:p w14:paraId="6D6A78BD" w14:textId="28A6C95F" w:rsidR="00DE51C9" w:rsidRDefault="00DE51C9" w:rsidP="004054D5">
      <w:pPr>
        <w:rPr>
          <w:rFonts w:ascii="Arial" w:hAnsi="Arial" w:cs="Arial"/>
          <w:sz w:val="22"/>
          <w:szCs w:val="20"/>
          <w:lang w:val="es-ES"/>
        </w:rPr>
      </w:pPr>
    </w:p>
    <w:p w14:paraId="21880BC5" w14:textId="7B383843" w:rsidR="00DE51C9" w:rsidRDefault="00DE51C9" w:rsidP="004054D5">
      <w:pPr>
        <w:rPr>
          <w:rFonts w:ascii="Arial" w:hAnsi="Arial" w:cs="Arial"/>
          <w:sz w:val="22"/>
          <w:szCs w:val="20"/>
          <w:lang w:val="es-ES"/>
        </w:rPr>
      </w:pPr>
    </w:p>
    <w:p w14:paraId="36D36F48" w14:textId="6860EA41" w:rsidR="00DE51C9" w:rsidRDefault="00DE51C9" w:rsidP="004054D5">
      <w:pPr>
        <w:rPr>
          <w:rFonts w:ascii="Arial" w:hAnsi="Arial" w:cs="Arial"/>
          <w:sz w:val="22"/>
          <w:szCs w:val="20"/>
          <w:lang w:val="es-ES"/>
        </w:rPr>
      </w:pPr>
    </w:p>
    <w:p w14:paraId="6907BC4B" w14:textId="68CF6CAC" w:rsidR="00DE51C9" w:rsidRDefault="00DE51C9" w:rsidP="004054D5">
      <w:pPr>
        <w:rPr>
          <w:rFonts w:ascii="Arial" w:hAnsi="Arial" w:cs="Arial"/>
          <w:sz w:val="22"/>
          <w:szCs w:val="20"/>
          <w:lang w:val="es-ES"/>
        </w:rPr>
      </w:pPr>
    </w:p>
    <w:p w14:paraId="7889041B" w14:textId="3B6F8927" w:rsidR="00DE51C9" w:rsidRDefault="00DE51C9" w:rsidP="004054D5">
      <w:pPr>
        <w:rPr>
          <w:rFonts w:ascii="Arial" w:hAnsi="Arial" w:cs="Arial"/>
          <w:sz w:val="22"/>
          <w:szCs w:val="20"/>
          <w:lang w:val="es-ES"/>
        </w:rPr>
      </w:pPr>
    </w:p>
    <w:p w14:paraId="40ED750F" w14:textId="70B09CC2" w:rsidR="00DE51C9" w:rsidRDefault="00DE51C9" w:rsidP="004054D5">
      <w:pPr>
        <w:rPr>
          <w:rFonts w:ascii="Arial" w:hAnsi="Arial" w:cs="Arial"/>
          <w:sz w:val="22"/>
          <w:szCs w:val="20"/>
          <w:lang w:val="es-ES"/>
        </w:rPr>
      </w:pPr>
    </w:p>
    <w:p w14:paraId="427AB649" w14:textId="78AFF970" w:rsidR="00DE51C9" w:rsidRDefault="00DE51C9" w:rsidP="004054D5">
      <w:pPr>
        <w:rPr>
          <w:rFonts w:ascii="Arial" w:hAnsi="Arial" w:cs="Arial"/>
          <w:sz w:val="22"/>
          <w:szCs w:val="20"/>
          <w:lang w:val="es-ES"/>
        </w:rPr>
      </w:pPr>
    </w:p>
    <w:p w14:paraId="1201459C" w14:textId="55D83854" w:rsidR="00DE51C9" w:rsidRDefault="00DE51C9" w:rsidP="004054D5">
      <w:pPr>
        <w:rPr>
          <w:rFonts w:ascii="Arial" w:hAnsi="Arial" w:cs="Arial"/>
          <w:sz w:val="22"/>
          <w:szCs w:val="20"/>
          <w:lang w:val="es-ES"/>
        </w:rPr>
      </w:pPr>
    </w:p>
    <w:p w14:paraId="62F5D35E" w14:textId="0BBAA9B9" w:rsidR="00DE51C9" w:rsidRDefault="00DE51C9" w:rsidP="004054D5">
      <w:pPr>
        <w:rPr>
          <w:rFonts w:ascii="Arial" w:hAnsi="Arial" w:cs="Arial"/>
          <w:sz w:val="22"/>
          <w:szCs w:val="20"/>
          <w:lang w:val="es-ES"/>
        </w:rPr>
      </w:pPr>
    </w:p>
    <w:p w14:paraId="130DD941" w14:textId="15544B30" w:rsidR="00DE51C9" w:rsidRDefault="00DE51C9" w:rsidP="004054D5">
      <w:pPr>
        <w:rPr>
          <w:rFonts w:ascii="Arial" w:hAnsi="Arial" w:cs="Arial"/>
          <w:sz w:val="22"/>
          <w:szCs w:val="20"/>
          <w:lang w:val="es-ES"/>
        </w:rPr>
      </w:pPr>
    </w:p>
    <w:p w14:paraId="5DD5293B" w14:textId="559BB07F" w:rsidR="00DE51C9" w:rsidRDefault="00DE51C9" w:rsidP="004054D5">
      <w:pPr>
        <w:rPr>
          <w:rFonts w:ascii="Arial" w:hAnsi="Arial" w:cs="Arial"/>
          <w:sz w:val="22"/>
          <w:szCs w:val="20"/>
          <w:lang w:val="es-ES"/>
        </w:rPr>
      </w:pPr>
    </w:p>
    <w:p w14:paraId="50CEDFD6" w14:textId="77777777" w:rsidR="00DE51C9" w:rsidRDefault="00DE51C9" w:rsidP="004054D5">
      <w:pPr>
        <w:rPr>
          <w:rFonts w:ascii="Arial" w:hAnsi="Arial" w:cs="Arial"/>
          <w:sz w:val="22"/>
          <w:szCs w:val="20"/>
          <w:lang w:val="es-ES"/>
        </w:rPr>
      </w:pPr>
    </w:p>
    <w:p w14:paraId="53622B6C" w14:textId="77777777" w:rsidR="00A87690" w:rsidRDefault="00A87690" w:rsidP="004054D5">
      <w:pPr>
        <w:rPr>
          <w:rFonts w:ascii="Arial" w:hAnsi="Arial" w:cs="Arial"/>
          <w:sz w:val="22"/>
          <w:szCs w:val="20"/>
          <w:lang w:val="es-ES"/>
        </w:rPr>
      </w:pPr>
    </w:p>
    <w:p w14:paraId="157D987A" w14:textId="009524B2" w:rsidR="00773272" w:rsidRDefault="00773272" w:rsidP="00773272">
      <w:pPr>
        <w:jc w:val="right"/>
        <w:rPr>
          <w:rFonts w:ascii="Arial" w:hAnsi="Arial" w:cs="Arial"/>
          <w:sz w:val="22"/>
          <w:szCs w:val="20"/>
          <w:lang w:val="es-ES"/>
        </w:rPr>
      </w:pPr>
      <w:r>
        <w:rPr>
          <w:noProof/>
        </w:rPr>
        <w:lastRenderedPageBreak/>
        <w:drawing>
          <wp:inline distT="0" distB="0" distL="0" distR="0" wp14:anchorId="74AD5E42" wp14:editId="3A060084">
            <wp:extent cx="2428875" cy="628650"/>
            <wp:effectExtent l="0" t="0" r="952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428875" cy="628650"/>
                    </a:xfrm>
                    <a:prstGeom prst="rect">
                      <a:avLst/>
                    </a:prstGeom>
                  </pic:spPr>
                </pic:pic>
              </a:graphicData>
            </a:graphic>
          </wp:inline>
        </w:drawing>
      </w:r>
    </w:p>
    <w:p w14:paraId="0FB0E8B7" w14:textId="25B2328F" w:rsidR="00773272" w:rsidRPr="00773272" w:rsidRDefault="00773272" w:rsidP="00773272">
      <w:pPr>
        <w:jc w:val="right"/>
        <w:rPr>
          <w:rFonts w:ascii="Arial" w:hAnsi="Arial" w:cs="Arial"/>
          <w:sz w:val="16"/>
          <w:szCs w:val="16"/>
          <w:lang w:val="es-ES"/>
        </w:rPr>
      </w:pPr>
      <w:r w:rsidRPr="00773272">
        <w:rPr>
          <w:rFonts w:ascii="Arial" w:hAnsi="Arial" w:cs="Arial"/>
          <w:sz w:val="16"/>
          <w:szCs w:val="16"/>
        </w:rPr>
        <w:t>CCE-DES-FM-17</w:t>
      </w:r>
    </w:p>
    <w:p w14:paraId="44D4DAEA" w14:textId="7B16207D" w:rsidR="004054D5" w:rsidRPr="00071199" w:rsidRDefault="004054D5" w:rsidP="004054D5">
      <w:pPr>
        <w:rPr>
          <w:rFonts w:ascii="Arial" w:eastAsia="Arial" w:hAnsi="Arial" w:cs="Arial"/>
          <w:b/>
          <w:sz w:val="22"/>
          <w:lang w:val="es-ES"/>
        </w:rPr>
      </w:pPr>
      <w:r w:rsidRPr="00041BD5">
        <w:rPr>
          <w:rFonts w:ascii="Arial" w:hAnsi="Arial" w:cs="Arial"/>
          <w:sz w:val="22"/>
          <w:szCs w:val="20"/>
          <w:lang w:val="es-ES"/>
        </w:rPr>
        <w:t>Bogotá D.C.</w:t>
      </w:r>
      <w:bookmarkEnd w:id="2"/>
      <w:r w:rsidRPr="00041BD5">
        <w:rPr>
          <w:rFonts w:ascii="Arial" w:hAnsi="Arial" w:cs="Arial"/>
          <w:sz w:val="22"/>
          <w:szCs w:val="20"/>
          <w:lang w:val="es-ES"/>
        </w:rPr>
        <w:t>,</w:t>
      </w:r>
      <w:r w:rsidRPr="00071199">
        <w:rPr>
          <w:rFonts w:ascii="Arial" w:hAnsi="Arial" w:cs="Arial"/>
          <w:sz w:val="22"/>
          <w:szCs w:val="20"/>
          <w:lang w:val="es-ES"/>
        </w:rPr>
        <w:t xml:space="preserve"> </w:t>
      </w:r>
      <w:r w:rsidR="00773272">
        <w:rPr>
          <w:rFonts w:ascii="Arial" w:hAnsi="Arial" w:cs="Arial"/>
          <w:sz w:val="22"/>
          <w:szCs w:val="20"/>
          <w:lang w:val="es-ES"/>
        </w:rPr>
        <w:t xml:space="preserve">22 </w:t>
      </w:r>
      <w:r w:rsidR="00D60AD9">
        <w:rPr>
          <w:rFonts w:ascii="Arial" w:hAnsi="Arial" w:cs="Arial"/>
          <w:sz w:val="22"/>
          <w:szCs w:val="20"/>
          <w:lang w:val="es-ES"/>
        </w:rPr>
        <w:t>D</w:t>
      </w:r>
      <w:r w:rsidR="00773272">
        <w:rPr>
          <w:rFonts w:ascii="Arial" w:hAnsi="Arial" w:cs="Arial"/>
          <w:sz w:val="22"/>
          <w:szCs w:val="20"/>
          <w:lang w:val="es-ES"/>
        </w:rPr>
        <w:t>iciembre 2021</w:t>
      </w:r>
    </w:p>
    <w:p w14:paraId="43399144" w14:textId="46E52BCE" w:rsidR="00E669B0" w:rsidRDefault="00E669B0" w:rsidP="00F1108B">
      <w:pPr>
        <w:rPr>
          <w:rFonts w:ascii="Arial" w:eastAsia="Calibri" w:hAnsi="Arial" w:cs="Arial"/>
          <w:sz w:val="22"/>
          <w:szCs w:val="20"/>
          <w:lang w:val="es-ES_tradnl"/>
        </w:rPr>
      </w:pPr>
    </w:p>
    <w:p w14:paraId="60CE60D1" w14:textId="686509BD" w:rsidR="004054D5" w:rsidRDefault="004054D5" w:rsidP="00F1108B">
      <w:pPr>
        <w:rPr>
          <w:rFonts w:ascii="Arial" w:eastAsia="Calibri" w:hAnsi="Arial" w:cs="Arial"/>
          <w:sz w:val="22"/>
          <w:szCs w:val="20"/>
          <w:lang w:val="es-ES_tradnl"/>
        </w:rPr>
      </w:pPr>
    </w:p>
    <w:p w14:paraId="0733935F" w14:textId="77777777" w:rsidR="004054D5" w:rsidRPr="009C5686" w:rsidRDefault="004054D5" w:rsidP="00F1108B">
      <w:pPr>
        <w:rPr>
          <w:rFonts w:ascii="Arial" w:eastAsia="Calibri" w:hAnsi="Arial" w:cs="Arial"/>
          <w:sz w:val="22"/>
          <w:szCs w:val="20"/>
          <w:lang w:val="es-ES_tradnl"/>
        </w:rPr>
      </w:pPr>
    </w:p>
    <w:p w14:paraId="1D396891" w14:textId="09701930" w:rsidR="006F2AF3" w:rsidRPr="006F2AF3" w:rsidRDefault="00701CE7" w:rsidP="006F2AF3">
      <w:pPr>
        <w:rPr>
          <w:rFonts w:ascii="Arial" w:eastAsia="Calibri" w:hAnsi="Arial" w:cs="Arial"/>
          <w:sz w:val="22"/>
          <w:szCs w:val="20"/>
          <w:lang w:val="es-ES_tradnl"/>
        </w:rPr>
      </w:pPr>
      <w:r w:rsidRPr="009C5686">
        <w:rPr>
          <w:rFonts w:ascii="Arial" w:eastAsia="Calibri" w:hAnsi="Arial" w:cs="Arial"/>
          <w:sz w:val="22"/>
          <w:szCs w:val="20"/>
          <w:lang w:val="es-ES_tradnl"/>
        </w:rPr>
        <w:t>Señor</w:t>
      </w:r>
    </w:p>
    <w:p w14:paraId="17BB59C8" w14:textId="77777777" w:rsidR="006F2AF3" w:rsidRDefault="006F2AF3" w:rsidP="006F2AF3">
      <w:pPr>
        <w:rPr>
          <w:rFonts w:ascii="Arial" w:eastAsia="Calibri" w:hAnsi="Arial" w:cs="Arial"/>
          <w:b/>
          <w:sz w:val="22"/>
          <w:szCs w:val="20"/>
          <w:lang w:val="es-ES_tradnl"/>
        </w:rPr>
      </w:pPr>
      <w:r w:rsidRPr="006F2AF3">
        <w:rPr>
          <w:rFonts w:ascii="Arial" w:eastAsia="Calibri" w:hAnsi="Arial" w:cs="Arial"/>
          <w:b/>
          <w:sz w:val="22"/>
          <w:szCs w:val="20"/>
          <w:lang w:val="es-ES_tradnl"/>
        </w:rPr>
        <w:t>Juan Pablo Arias Gaviria</w:t>
      </w:r>
    </w:p>
    <w:p w14:paraId="7A74EF0E" w14:textId="2E39A2D4" w:rsidR="001350C4" w:rsidRPr="009C5686" w:rsidRDefault="006F2AF3" w:rsidP="006F2AF3">
      <w:pPr>
        <w:rPr>
          <w:rFonts w:ascii="Arial" w:eastAsia="Calibri" w:hAnsi="Arial" w:cs="Arial"/>
          <w:sz w:val="22"/>
          <w:szCs w:val="20"/>
          <w:lang w:val="es-ES_tradnl"/>
        </w:rPr>
      </w:pPr>
      <w:r w:rsidRPr="006F2AF3">
        <w:rPr>
          <w:rFonts w:ascii="Arial" w:eastAsia="Calibri" w:hAnsi="Arial" w:cs="Arial"/>
          <w:sz w:val="22"/>
          <w:szCs w:val="20"/>
          <w:lang w:val="es-ES_tradnl"/>
        </w:rPr>
        <w:t>est.juan.arias9@unimilitar.edu.co</w:t>
      </w:r>
    </w:p>
    <w:p w14:paraId="77A6AEF9" w14:textId="77777777" w:rsidR="001350C4" w:rsidRPr="009C5686" w:rsidRDefault="001350C4" w:rsidP="00F1108B">
      <w:pPr>
        <w:rPr>
          <w:rFonts w:ascii="Arial" w:eastAsia="Calibri" w:hAnsi="Arial" w:cs="Arial"/>
          <w:sz w:val="22"/>
          <w:szCs w:val="20"/>
          <w:lang w:val="es-ES_tradnl"/>
        </w:rPr>
      </w:pPr>
    </w:p>
    <w:p w14:paraId="283D6043" w14:textId="206C2665" w:rsidR="00F1108B" w:rsidRPr="009C5686" w:rsidRDefault="00B30910" w:rsidP="00950C81">
      <w:pPr>
        <w:rPr>
          <w:rFonts w:ascii="Arial" w:eastAsia="Calibri" w:hAnsi="Arial" w:cs="Arial"/>
          <w:b/>
          <w:sz w:val="22"/>
          <w:lang w:val="es-ES_tradnl"/>
        </w:rPr>
      </w:pPr>
      <w:r w:rsidRPr="009C5686">
        <w:rPr>
          <w:rFonts w:ascii="Arial" w:eastAsia="Calibri" w:hAnsi="Arial" w:cs="Arial"/>
          <w:b/>
          <w:sz w:val="22"/>
          <w:lang w:val="es-ES_tradnl"/>
        </w:rPr>
        <w:t xml:space="preserve">                                            </w:t>
      </w:r>
      <w:r w:rsidR="00F1108B" w:rsidRPr="009C5686">
        <w:rPr>
          <w:rFonts w:ascii="Arial" w:eastAsia="Calibri" w:hAnsi="Arial" w:cs="Arial"/>
          <w:b/>
          <w:sz w:val="22"/>
          <w:lang w:val="es-ES_tradnl"/>
        </w:rPr>
        <w:t xml:space="preserve">Concepto C </w:t>
      </w:r>
      <w:r w:rsidR="00E669B0" w:rsidRPr="009C5686">
        <w:rPr>
          <w:rFonts w:ascii="Arial" w:eastAsia="Calibri" w:hAnsi="Arial" w:cs="Arial"/>
          <w:b/>
          <w:sz w:val="22"/>
          <w:lang w:val="es-ES_tradnl"/>
        </w:rPr>
        <w:t>–</w:t>
      </w:r>
      <w:r w:rsidR="00F1108B" w:rsidRPr="009C5686">
        <w:rPr>
          <w:rFonts w:ascii="Arial" w:eastAsia="Calibri" w:hAnsi="Arial" w:cs="Arial"/>
          <w:b/>
          <w:sz w:val="22"/>
          <w:lang w:val="es-ES_tradnl"/>
        </w:rPr>
        <w:t xml:space="preserve"> </w:t>
      </w:r>
      <w:r w:rsidR="00AD6318">
        <w:rPr>
          <w:rFonts w:ascii="Arial" w:eastAsia="Calibri" w:hAnsi="Arial" w:cs="Arial"/>
          <w:b/>
          <w:sz w:val="22"/>
          <w:lang w:val="es-ES_tradnl"/>
        </w:rPr>
        <w:t>660</w:t>
      </w:r>
      <w:r w:rsidR="00E55752" w:rsidRPr="009C5686">
        <w:rPr>
          <w:rFonts w:ascii="Arial" w:eastAsia="Calibri" w:hAnsi="Arial" w:cs="Arial"/>
          <w:b/>
          <w:sz w:val="22"/>
          <w:lang w:val="es-ES_tradnl"/>
        </w:rPr>
        <w:t xml:space="preserve"> </w:t>
      </w:r>
      <w:r w:rsidR="00F1108B" w:rsidRPr="009C5686">
        <w:rPr>
          <w:rFonts w:ascii="Arial" w:eastAsia="Calibri" w:hAnsi="Arial" w:cs="Arial"/>
          <w:b/>
          <w:sz w:val="22"/>
          <w:lang w:val="es-ES_tradnl"/>
        </w:rPr>
        <w:t>de 202</w:t>
      </w:r>
      <w:r w:rsidR="000E11AD" w:rsidRPr="009C5686">
        <w:rPr>
          <w:rFonts w:ascii="Arial" w:eastAsia="Calibri" w:hAnsi="Arial" w:cs="Arial"/>
          <w:b/>
          <w:sz w:val="22"/>
          <w:lang w:val="es-ES_tradnl"/>
        </w:rPr>
        <w:t>1</w:t>
      </w:r>
    </w:p>
    <w:p w14:paraId="55A2A84E" w14:textId="77777777" w:rsidR="00F1108B" w:rsidRPr="009C5686"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9C5686" w14:paraId="522C04FC" w14:textId="77777777" w:rsidTr="0034322C">
        <w:tc>
          <w:tcPr>
            <w:tcW w:w="2689" w:type="dxa"/>
            <w:hideMark/>
          </w:tcPr>
          <w:p w14:paraId="5C1F9A7E" w14:textId="77777777" w:rsidR="00F1108B" w:rsidRPr="00FD7BAD" w:rsidRDefault="00F1108B" w:rsidP="0034322C">
            <w:pPr>
              <w:rPr>
                <w:rFonts w:ascii="Arial" w:eastAsia="Calibri" w:hAnsi="Arial" w:cs="Arial"/>
                <w:bCs/>
                <w:sz w:val="22"/>
                <w:lang w:val="es-ES_tradnl"/>
              </w:rPr>
            </w:pPr>
            <w:r w:rsidRPr="00FD7BAD">
              <w:rPr>
                <w:rFonts w:ascii="Arial" w:eastAsia="Calibri" w:hAnsi="Arial" w:cs="Arial"/>
                <w:bCs/>
                <w:sz w:val="22"/>
                <w:lang w:val="es-ES_tradnl"/>
              </w:rPr>
              <w:t xml:space="preserve">Temas:           </w:t>
            </w:r>
          </w:p>
          <w:p w14:paraId="4376ABAA" w14:textId="77777777" w:rsidR="00F1108B" w:rsidRPr="00FD7BAD" w:rsidRDefault="00F1108B" w:rsidP="0034322C">
            <w:pPr>
              <w:rPr>
                <w:rFonts w:ascii="Arial" w:eastAsia="Calibri" w:hAnsi="Arial" w:cs="Arial"/>
                <w:bCs/>
                <w:sz w:val="22"/>
                <w:lang w:val="es-ES_tradnl"/>
              </w:rPr>
            </w:pPr>
            <w:r w:rsidRPr="00FD7BAD">
              <w:rPr>
                <w:rFonts w:ascii="Arial" w:eastAsia="Calibri" w:hAnsi="Arial" w:cs="Arial"/>
                <w:bCs/>
                <w:sz w:val="22"/>
                <w:lang w:val="es-ES_tradnl"/>
              </w:rPr>
              <w:t xml:space="preserve">                           </w:t>
            </w:r>
          </w:p>
        </w:tc>
        <w:tc>
          <w:tcPr>
            <w:tcW w:w="6237" w:type="dxa"/>
            <w:hideMark/>
          </w:tcPr>
          <w:p w14:paraId="634F4C81" w14:textId="77777777" w:rsidR="00A87690" w:rsidRPr="00A87690" w:rsidRDefault="00A87690" w:rsidP="00A87690">
            <w:pPr>
              <w:spacing w:line="276" w:lineRule="auto"/>
              <w:jc w:val="both"/>
              <w:rPr>
                <w:rFonts w:ascii="Arial" w:hAnsi="Arial" w:cs="Arial"/>
                <w:bCs/>
                <w:sz w:val="22"/>
                <w:lang w:val="es-ES_tradnl"/>
              </w:rPr>
            </w:pPr>
            <w:r w:rsidRPr="00A87690">
              <w:rPr>
                <w:rFonts w:ascii="Arial" w:eastAsia="Calibri" w:hAnsi="Arial" w:cs="Arial"/>
                <w:sz w:val="22"/>
                <w:lang w:val="es-ES"/>
              </w:rPr>
              <w:t xml:space="preserve">RUP </w:t>
            </w:r>
            <w:r w:rsidRPr="00A87690">
              <w:rPr>
                <w:rFonts w:ascii="Arial" w:eastAsia="Calibri" w:hAnsi="Arial" w:cs="Arial"/>
                <w:color w:val="000000" w:themeColor="text1"/>
                <w:sz w:val="22"/>
                <w:lang w:val="es-ES_tradnl"/>
              </w:rPr>
              <w:t>–</w:t>
            </w:r>
            <w:r w:rsidRPr="00A87690">
              <w:rPr>
                <w:rFonts w:ascii="Arial" w:eastAsia="Calibri" w:hAnsi="Arial" w:cs="Arial"/>
                <w:sz w:val="22"/>
                <w:lang w:val="es-ES"/>
              </w:rPr>
              <w:t xml:space="preserve"> Aplicación obligatoria en la evaluación por parte de las entidades sometidas al EGCAP </w:t>
            </w:r>
            <w:r w:rsidRPr="00A87690">
              <w:rPr>
                <w:rFonts w:ascii="Arial" w:eastAsia="Calibri" w:hAnsi="Arial" w:cs="Arial"/>
                <w:color w:val="000000" w:themeColor="text1"/>
                <w:sz w:val="22"/>
                <w:lang w:val="es-ES_tradnl"/>
              </w:rPr>
              <w:t>– A</w:t>
            </w:r>
            <w:r w:rsidRPr="00A87690">
              <w:rPr>
                <w:rFonts w:ascii="Arial" w:eastAsia="Calibri" w:hAnsi="Arial" w:cs="Arial"/>
                <w:sz w:val="22"/>
                <w:lang w:val="es-ES"/>
              </w:rPr>
              <w:t xml:space="preserve">dopción facultativa por las </w:t>
            </w:r>
            <w:r w:rsidRPr="00A87690">
              <w:rPr>
                <w:rFonts w:ascii="Arial" w:eastAsia="Calibri" w:hAnsi="Arial" w:cs="Arial"/>
                <w:i/>
                <w:iCs/>
                <w:sz w:val="22"/>
                <w:lang w:val="es-ES"/>
              </w:rPr>
              <w:t>exceptuadas</w:t>
            </w:r>
            <w:r w:rsidRPr="00A87690">
              <w:rPr>
                <w:rFonts w:ascii="Arial" w:eastAsia="Calibri" w:hAnsi="Arial" w:cs="Arial"/>
                <w:sz w:val="22"/>
                <w:lang w:val="es-ES"/>
              </w:rPr>
              <w:t xml:space="preserve"> </w:t>
            </w:r>
            <w:r w:rsidR="003E2719" w:rsidRPr="00FD7BAD">
              <w:rPr>
                <w:rFonts w:ascii="Arial" w:eastAsia="Calibri" w:hAnsi="Arial" w:cs="Arial"/>
                <w:bCs/>
                <w:sz w:val="22"/>
                <w:lang w:val="es-ES_tradnl"/>
              </w:rPr>
              <w:t>/</w:t>
            </w:r>
            <w:r>
              <w:rPr>
                <w:rFonts w:ascii="Arial" w:eastAsia="Calibri" w:hAnsi="Arial" w:cs="Arial"/>
                <w:bCs/>
                <w:sz w:val="22"/>
                <w:lang w:val="es-ES_tradnl"/>
              </w:rPr>
              <w:t xml:space="preserve"> </w:t>
            </w:r>
            <w:r w:rsidRPr="00A87690">
              <w:rPr>
                <w:rFonts w:ascii="Arial" w:eastAsia="Calibri" w:hAnsi="Arial" w:cs="Arial"/>
                <w:sz w:val="22"/>
                <w:lang w:val="es-ES"/>
              </w:rPr>
              <w:t xml:space="preserve">EXPERIENCIA </w:t>
            </w:r>
            <w:r w:rsidRPr="00A87690">
              <w:rPr>
                <w:rFonts w:ascii="Arial" w:eastAsia="Calibri" w:hAnsi="Arial" w:cs="Arial"/>
                <w:color w:val="000000" w:themeColor="text1"/>
                <w:sz w:val="22"/>
                <w:lang w:val="es-ES_tradnl"/>
              </w:rPr>
              <w:t xml:space="preserve">– </w:t>
            </w:r>
            <w:r w:rsidRPr="00A87690">
              <w:rPr>
                <w:rFonts w:ascii="Arial" w:eastAsia="Calibri" w:hAnsi="Arial" w:cs="Arial"/>
                <w:sz w:val="22"/>
                <w:lang w:val="es-ES"/>
              </w:rPr>
              <w:t>Acreditación por parte de sociedades con menos de tres años de constitución</w:t>
            </w:r>
            <w:r>
              <w:rPr>
                <w:rFonts w:ascii="Arial" w:eastAsia="Calibri" w:hAnsi="Arial" w:cs="Arial"/>
                <w:sz w:val="22"/>
                <w:lang w:val="es-ES"/>
              </w:rPr>
              <w:t xml:space="preserve"> </w:t>
            </w:r>
            <w:r w:rsidR="003E2719" w:rsidRPr="00FD7BAD">
              <w:rPr>
                <w:rFonts w:ascii="Arial" w:eastAsia="Calibri" w:hAnsi="Arial" w:cs="Arial"/>
                <w:bCs/>
                <w:sz w:val="22"/>
                <w:lang w:val="es-ES_tradnl"/>
              </w:rPr>
              <w:t xml:space="preserve">/ </w:t>
            </w:r>
            <w:r w:rsidRPr="00A87690">
              <w:rPr>
                <w:rFonts w:ascii="Arial" w:eastAsia="Calibri" w:hAnsi="Arial" w:cs="Arial"/>
                <w:color w:val="000000" w:themeColor="text1"/>
                <w:sz w:val="22"/>
                <w:lang w:val="es-ES_tradnl"/>
              </w:rPr>
              <w:t>DECRETOS 399 DE 2021 Y 579 DE 2021 – Modificaciones – verificación de la capacidad financiera y organizacional</w:t>
            </w:r>
            <w:r>
              <w:rPr>
                <w:rFonts w:ascii="Arial" w:eastAsia="Calibri" w:hAnsi="Arial" w:cs="Arial"/>
                <w:color w:val="000000" w:themeColor="text1"/>
                <w:sz w:val="22"/>
                <w:lang w:val="es-ES_tradnl"/>
              </w:rPr>
              <w:t xml:space="preserve"> / </w:t>
            </w:r>
            <w:r w:rsidRPr="00A87690">
              <w:rPr>
                <w:rFonts w:ascii="Arial" w:hAnsi="Arial" w:cs="Arial"/>
                <w:bCs/>
                <w:sz w:val="22"/>
                <w:lang w:val="es-ES_tradnl"/>
              </w:rPr>
              <w:t xml:space="preserve">RÉGIMEN CONTRACTUAL </w:t>
            </w:r>
            <w:r w:rsidRPr="00A87690">
              <w:rPr>
                <w:rFonts w:ascii="Arial" w:eastAsia="Calibri" w:hAnsi="Arial" w:cs="Arial"/>
                <w:bCs/>
                <w:color w:val="000000" w:themeColor="text1"/>
                <w:sz w:val="22"/>
                <w:lang w:val="es-ES_tradnl"/>
              </w:rPr>
              <w:t>– E</w:t>
            </w:r>
            <w:r w:rsidRPr="00A87690">
              <w:rPr>
                <w:rFonts w:ascii="Arial" w:hAnsi="Arial" w:cs="Arial"/>
                <w:bCs/>
                <w:sz w:val="22"/>
                <w:lang w:val="es-ES_tradnl"/>
              </w:rPr>
              <w:t xml:space="preserve">ntidades </w:t>
            </w:r>
            <w:r w:rsidRPr="00A87690">
              <w:rPr>
                <w:rFonts w:ascii="Arial" w:hAnsi="Arial" w:cs="Arial"/>
                <w:bCs/>
                <w:i/>
                <w:iCs/>
                <w:sz w:val="22"/>
                <w:lang w:val="es-ES_tradnl"/>
              </w:rPr>
              <w:t>exceptuadas</w:t>
            </w:r>
            <w:r w:rsidRPr="00A87690">
              <w:rPr>
                <w:rFonts w:ascii="Arial" w:hAnsi="Arial" w:cs="Arial"/>
                <w:bCs/>
                <w:sz w:val="22"/>
                <w:lang w:val="es-ES_tradnl"/>
              </w:rPr>
              <w:t xml:space="preserve"> de aplicar el EGCAP - Análisis de la aplicación de los Decretos 399 y 579 de 2021 y </w:t>
            </w:r>
            <w:r w:rsidRPr="00A87690">
              <w:rPr>
                <w:rFonts w:ascii="Arial" w:hAnsi="Arial" w:cs="Arial"/>
                <w:bCs/>
                <w:color w:val="000000" w:themeColor="text1"/>
                <w:sz w:val="22"/>
                <w:lang w:val="es-ES_tradnl"/>
              </w:rPr>
              <w:t>1082 de 2015 en su a</w:t>
            </w:r>
            <w:r w:rsidRPr="00A87690">
              <w:rPr>
                <w:rFonts w:ascii="Arial" w:hAnsi="Arial" w:cs="Arial"/>
                <w:bCs/>
                <w:sz w:val="22"/>
                <w:lang w:val="es-ES_tradnl"/>
              </w:rPr>
              <w:t xml:space="preserve">rtículo 2.2.1.1.1.5.2 </w:t>
            </w:r>
          </w:p>
          <w:p w14:paraId="3AA47512" w14:textId="7883E626" w:rsidR="00F1108B" w:rsidRPr="00FD7BAD" w:rsidRDefault="00F1108B" w:rsidP="00A87690">
            <w:pPr>
              <w:spacing w:line="276" w:lineRule="auto"/>
              <w:jc w:val="both"/>
              <w:rPr>
                <w:rFonts w:ascii="Arial" w:eastAsia="Calibri" w:hAnsi="Arial" w:cs="Arial"/>
                <w:bCs/>
                <w:sz w:val="22"/>
                <w:lang w:val="es-ES_tradnl"/>
              </w:rPr>
            </w:pPr>
          </w:p>
        </w:tc>
      </w:tr>
      <w:tr w:rsidR="00F1108B" w:rsidRPr="009C5686" w14:paraId="7D0D2FDB" w14:textId="77777777" w:rsidTr="004A2677">
        <w:trPr>
          <w:trHeight w:val="62"/>
        </w:trPr>
        <w:tc>
          <w:tcPr>
            <w:tcW w:w="2689" w:type="dxa"/>
          </w:tcPr>
          <w:p w14:paraId="7DC82264" w14:textId="77777777" w:rsidR="00F1108B" w:rsidRPr="009C5686" w:rsidRDefault="00F1108B" w:rsidP="0034322C">
            <w:pPr>
              <w:rPr>
                <w:rFonts w:ascii="Arial" w:eastAsia="Calibri" w:hAnsi="Arial" w:cs="Arial"/>
                <w:b/>
                <w:sz w:val="22"/>
                <w:lang w:val="es-ES_tradnl"/>
              </w:rPr>
            </w:pPr>
            <w:r w:rsidRPr="009C5686">
              <w:rPr>
                <w:rFonts w:ascii="Arial" w:eastAsia="Calibri" w:hAnsi="Arial" w:cs="Arial"/>
                <w:b/>
                <w:sz w:val="22"/>
                <w:lang w:val="es-ES_tradnl"/>
              </w:rPr>
              <w:t>Radicación:</w:t>
            </w:r>
            <w:r w:rsidRPr="009C5686">
              <w:rPr>
                <w:rFonts w:ascii="Arial" w:eastAsia="Calibri" w:hAnsi="Arial" w:cs="Arial"/>
                <w:sz w:val="22"/>
                <w:lang w:val="es-ES_tradnl"/>
              </w:rPr>
              <w:t xml:space="preserve">                              </w:t>
            </w:r>
          </w:p>
        </w:tc>
        <w:tc>
          <w:tcPr>
            <w:tcW w:w="6237" w:type="dxa"/>
          </w:tcPr>
          <w:p w14:paraId="01DC5749" w14:textId="5FF28FE5" w:rsidR="00F1108B" w:rsidRPr="009C5686" w:rsidRDefault="00F1108B" w:rsidP="007F785F">
            <w:pPr>
              <w:jc w:val="both"/>
              <w:rPr>
                <w:rFonts w:ascii="Arial" w:eastAsia="Calibri" w:hAnsi="Arial" w:cs="Arial"/>
                <w:sz w:val="22"/>
                <w:lang w:val="es-ES_tradnl"/>
              </w:rPr>
            </w:pPr>
            <w:r w:rsidRPr="009C5686">
              <w:rPr>
                <w:rFonts w:ascii="Arial" w:eastAsia="Calibri" w:hAnsi="Arial" w:cs="Arial"/>
                <w:sz w:val="22"/>
                <w:lang w:val="es-ES_tradnl"/>
              </w:rPr>
              <w:t xml:space="preserve">Respuesta a consulta # </w:t>
            </w:r>
            <w:r w:rsidR="004A2677" w:rsidRPr="004A2677">
              <w:rPr>
                <w:rFonts w:ascii="Arial" w:eastAsia="Calibri" w:hAnsi="Arial" w:cs="Arial"/>
                <w:sz w:val="22"/>
                <w:lang w:val="es-ES_tradnl"/>
              </w:rPr>
              <w:t>P 20211110010441</w:t>
            </w:r>
          </w:p>
        </w:tc>
      </w:tr>
    </w:tbl>
    <w:p w14:paraId="7DF1E86E" w14:textId="5F05E3C2" w:rsidR="00F1108B" w:rsidRDefault="00F1108B" w:rsidP="00F1108B">
      <w:pPr>
        <w:jc w:val="both"/>
        <w:rPr>
          <w:rFonts w:ascii="Arial" w:eastAsia="Calibri" w:hAnsi="Arial" w:cs="Arial"/>
          <w:sz w:val="22"/>
          <w:lang w:val="es-ES_tradnl"/>
        </w:rPr>
      </w:pPr>
    </w:p>
    <w:p w14:paraId="7FFF7392" w14:textId="77777777" w:rsidR="00BC1ABB" w:rsidRPr="009C5686" w:rsidRDefault="00BC1ABB" w:rsidP="00F1108B">
      <w:pPr>
        <w:jc w:val="both"/>
        <w:rPr>
          <w:rFonts w:ascii="Arial" w:eastAsia="Calibri" w:hAnsi="Arial" w:cs="Arial"/>
          <w:sz w:val="22"/>
          <w:lang w:val="es-ES_tradnl"/>
        </w:rPr>
      </w:pPr>
    </w:p>
    <w:p w14:paraId="10829D8B" w14:textId="7F9ACFA7" w:rsidR="00DF453C" w:rsidRPr="009C5686" w:rsidRDefault="00CA0EEF" w:rsidP="00E55752">
      <w:pPr>
        <w:spacing w:before="120"/>
        <w:rPr>
          <w:rFonts w:ascii="Arial" w:eastAsia="Calibri" w:hAnsi="Arial" w:cs="Arial"/>
          <w:sz w:val="22"/>
          <w:lang w:val="es-ES_tradnl"/>
        </w:rPr>
      </w:pPr>
      <w:r w:rsidRPr="009C5686">
        <w:rPr>
          <w:rFonts w:ascii="Arial" w:eastAsia="Calibri" w:hAnsi="Arial" w:cs="Arial"/>
          <w:sz w:val="22"/>
          <w:lang w:val="es-ES_tradnl"/>
        </w:rPr>
        <w:t>Estimad</w:t>
      </w:r>
      <w:r w:rsidR="00E55752" w:rsidRPr="009C5686">
        <w:rPr>
          <w:rFonts w:ascii="Arial" w:eastAsia="Calibri" w:hAnsi="Arial" w:cs="Arial"/>
          <w:sz w:val="22"/>
          <w:lang w:val="es-ES_tradnl"/>
        </w:rPr>
        <w:t>o</w:t>
      </w:r>
      <w:r w:rsidR="0070088C" w:rsidRPr="009C5686">
        <w:rPr>
          <w:rFonts w:ascii="Arial" w:eastAsia="Calibri" w:hAnsi="Arial" w:cs="Arial"/>
          <w:sz w:val="22"/>
          <w:lang w:val="es-ES_tradnl"/>
        </w:rPr>
        <w:t xml:space="preserve"> señor </w:t>
      </w:r>
      <w:r w:rsidR="00860E96">
        <w:rPr>
          <w:rFonts w:ascii="Arial" w:eastAsia="Calibri" w:hAnsi="Arial" w:cs="Arial"/>
          <w:sz w:val="22"/>
          <w:lang w:val="es-ES_tradnl"/>
        </w:rPr>
        <w:t>Arias</w:t>
      </w:r>
      <w:r w:rsidR="0070088C" w:rsidRPr="009C5686">
        <w:rPr>
          <w:rFonts w:ascii="Arial" w:eastAsia="Calibri" w:hAnsi="Arial" w:cs="Arial"/>
          <w:sz w:val="22"/>
          <w:lang w:val="es-ES_tradnl"/>
        </w:rPr>
        <w:t>:</w:t>
      </w:r>
    </w:p>
    <w:p w14:paraId="329AA852" w14:textId="79B9FE0E" w:rsidR="00F1108B" w:rsidRPr="009C5686" w:rsidRDefault="00F1108B" w:rsidP="00D557A4">
      <w:pPr>
        <w:spacing w:before="120" w:line="276" w:lineRule="auto"/>
        <w:ind w:right="51"/>
        <w:jc w:val="both"/>
        <w:rPr>
          <w:rFonts w:ascii="Arial" w:hAnsi="Arial" w:cs="Arial"/>
          <w:sz w:val="22"/>
          <w:lang w:val="es-ES_tradnl"/>
        </w:rPr>
      </w:pPr>
      <w:r w:rsidRPr="009C5686">
        <w:rPr>
          <w:rFonts w:ascii="Arial" w:hAnsi="Arial" w:cs="Arial"/>
          <w:sz w:val="22"/>
          <w:lang w:val="es-ES_tradnl"/>
        </w:rPr>
        <w:t xml:space="preserve">La Agencia Nacional de Contratación Pública </w:t>
      </w:r>
      <w:r w:rsidR="00B30910" w:rsidRPr="009C5686">
        <w:rPr>
          <w:rFonts w:ascii="Arial" w:hAnsi="Arial" w:cs="Arial"/>
          <w:sz w:val="22"/>
          <w:lang w:val="es-ES_tradnl"/>
        </w:rPr>
        <w:t xml:space="preserve">– </w:t>
      </w:r>
      <w:r w:rsidRPr="009C5686">
        <w:rPr>
          <w:rFonts w:ascii="Arial" w:hAnsi="Arial" w:cs="Arial"/>
          <w:sz w:val="22"/>
          <w:lang w:val="es-ES_tradnl"/>
        </w:rPr>
        <w:t xml:space="preserve">Colombia Compra Eficiente responde su consulta del </w:t>
      </w:r>
      <w:r w:rsidR="00860E96">
        <w:rPr>
          <w:rFonts w:ascii="Arial" w:hAnsi="Arial" w:cs="Arial"/>
          <w:sz w:val="22"/>
          <w:lang w:val="es-ES_tradnl"/>
        </w:rPr>
        <w:t>12 de noviembre de 2021</w:t>
      </w:r>
      <w:r w:rsidRPr="009C5686">
        <w:rPr>
          <w:rFonts w:ascii="Arial" w:hAnsi="Arial" w:cs="Arial"/>
          <w:sz w:val="22"/>
          <w:lang w:val="es-ES_tradnl"/>
        </w:rPr>
        <w:t xml:space="preserve">, en ejercicio de la competencia otorgada por el numeral 8 del artículo 11 y el numeral 5 del artículo 3 del Decreto Ley 4170 de 2011. </w:t>
      </w:r>
    </w:p>
    <w:p w14:paraId="72382DCC" w14:textId="77777777" w:rsidR="00F1108B" w:rsidRPr="009C5686" w:rsidRDefault="00F1108B" w:rsidP="00E669B0">
      <w:pPr>
        <w:pStyle w:val="Prrafodelista"/>
        <w:tabs>
          <w:tab w:val="left" w:pos="284"/>
        </w:tabs>
        <w:spacing w:line="276" w:lineRule="auto"/>
        <w:ind w:left="0"/>
        <w:jc w:val="both"/>
        <w:rPr>
          <w:rFonts w:ascii="Arial" w:hAnsi="Arial" w:cs="Arial"/>
          <w:sz w:val="22"/>
          <w:lang w:val="es-ES_tradnl"/>
        </w:rPr>
      </w:pPr>
    </w:p>
    <w:p w14:paraId="0C9F563B" w14:textId="22FA3A68" w:rsidR="00A01259" w:rsidRDefault="00F1108B" w:rsidP="000B42D0">
      <w:pPr>
        <w:pStyle w:val="Prrafodelista"/>
        <w:tabs>
          <w:tab w:val="left" w:pos="284"/>
        </w:tabs>
        <w:ind w:left="0"/>
        <w:jc w:val="both"/>
        <w:rPr>
          <w:rFonts w:ascii="Arial" w:eastAsia="Calibri" w:hAnsi="Arial" w:cs="Arial"/>
          <w:b/>
          <w:sz w:val="22"/>
          <w:lang w:val="es-ES_tradnl"/>
        </w:rPr>
      </w:pPr>
      <w:r w:rsidRPr="009C5686">
        <w:rPr>
          <w:rFonts w:ascii="Arial" w:eastAsia="Calibri" w:hAnsi="Arial" w:cs="Arial"/>
          <w:b/>
          <w:sz w:val="22"/>
          <w:lang w:val="es-ES_tradnl"/>
        </w:rPr>
        <w:t>1.</w:t>
      </w:r>
      <w:r w:rsidRPr="009C5686">
        <w:rPr>
          <w:rFonts w:ascii="Arial" w:eastAsia="Calibri" w:hAnsi="Arial" w:cs="Arial"/>
          <w:sz w:val="22"/>
          <w:lang w:val="es-ES_tradnl"/>
        </w:rPr>
        <w:t xml:space="preserve"> </w:t>
      </w:r>
      <w:r w:rsidRPr="009C5686">
        <w:rPr>
          <w:rFonts w:ascii="Arial" w:eastAsia="Calibri" w:hAnsi="Arial" w:cs="Arial"/>
          <w:b/>
          <w:sz w:val="22"/>
          <w:lang w:val="es-ES_tradnl"/>
        </w:rPr>
        <w:t xml:space="preserve">Problema planteado </w:t>
      </w:r>
    </w:p>
    <w:p w14:paraId="749F6166" w14:textId="77777777" w:rsidR="000B42D0" w:rsidRPr="000B42D0" w:rsidRDefault="000B42D0" w:rsidP="000B42D0">
      <w:pPr>
        <w:pStyle w:val="Prrafodelista"/>
        <w:tabs>
          <w:tab w:val="left" w:pos="284"/>
        </w:tabs>
        <w:spacing w:line="276" w:lineRule="auto"/>
        <w:ind w:left="0"/>
        <w:jc w:val="both"/>
        <w:rPr>
          <w:rFonts w:ascii="Arial" w:eastAsia="Calibri" w:hAnsi="Arial" w:cs="Arial"/>
          <w:b/>
          <w:sz w:val="22"/>
          <w:lang w:val="es-ES_tradnl"/>
        </w:rPr>
      </w:pPr>
    </w:p>
    <w:p w14:paraId="130E3C84" w14:textId="5CD9FBB9" w:rsidR="00991BE0" w:rsidRDefault="004D6818" w:rsidP="00AE40EC">
      <w:pPr>
        <w:spacing w:line="276" w:lineRule="auto"/>
        <w:jc w:val="both"/>
        <w:rPr>
          <w:rFonts w:ascii="Arial" w:hAnsi="Arial" w:cs="Arial"/>
          <w:sz w:val="21"/>
          <w:szCs w:val="21"/>
          <w:lang w:val="es-ES"/>
        </w:rPr>
      </w:pPr>
      <w:r>
        <w:rPr>
          <w:rFonts w:ascii="Arial" w:hAnsi="Arial" w:cs="Arial"/>
          <w:color w:val="000000" w:themeColor="text1"/>
          <w:sz w:val="22"/>
          <w:lang w:val="es-ES_tradnl"/>
        </w:rPr>
        <w:t>Haciendo referencia a</w:t>
      </w:r>
      <w:r w:rsidR="00660124">
        <w:rPr>
          <w:rFonts w:ascii="Arial" w:hAnsi="Arial" w:cs="Arial"/>
          <w:color w:val="000000" w:themeColor="text1"/>
          <w:sz w:val="22"/>
          <w:lang w:val="es-ES_tradnl"/>
        </w:rPr>
        <w:t xml:space="preserve"> </w:t>
      </w:r>
      <w:r w:rsidR="00660124">
        <w:rPr>
          <w:rFonts w:ascii="Arial" w:hAnsi="Arial" w:cs="Arial"/>
          <w:sz w:val="21"/>
          <w:szCs w:val="21"/>
          <w:lang w:val="es-ES"/>
        </w:rPr>
        <w:t>«</w:t>
      </w:r>
      <w:r w:rsidR="00A01259">
        <w:rPr>
          <w:rFonts w:ascii="Arial" w:hAnsi="Arial" w:cs="Arial"/>
          <w:color w:val="000000" w:themeColor="text1"/>
          <w:sz w:val="22"/>
          <w:lang w:val="es-ES_tradnl"/>
        </w:rPr>
        <w:t xml:space="preserve">las </w:t>
      </w:r>
      <w:r w:rsidR="00A01259" w:rsidRPr="0099557A">
        <w:rPr>
          <w:rFonts w:ascii="Arial" w:hAnsi="Arial" w:cs="Arial"/>
          <w:sz w:val="21"/>
          <w:szCs w:val="21"/>
          <w:lang w:val="es-ES"/>
        </w:rPr>
        <w:t>entidades que contratan bajo el régimen mixto de contratación que incluyen las del sector financiero</w:t>
      </w:r>
      <w:r w:rsidR="00A01259">
        <w:rPr>
          <w:rFonts w:ascii="Arial" w:hAnsi="Arial" w:cs="Arial"/>
          <w:sz w:val="21"/>
          <w:szCs w:val="21"/>
          <w:lang w:val="es-ES"/>
        </w:rPr>
        <w:t>», usted</w:t>
      </w:r>
      <w:r w:rsidR="00A854AC" w:rsidRPr="009C5686">
        <w:rPr>
          <w:rFonts w:ascii="Arial" w:hAnsi="Arial" w:cs="Arial"/>
          <w:color w:val="000000" w:themeColor="text1"/>
          <w:sz w:val="22"/>
          <w:lang w:val="es-ES_tradnl"/>
        </w:rPr>
        <w:t xml:space="preserve"> </w:t>
      </w:r>
      <w:r w:rsidR="002837F4">
        <w:rPr>
          <w:rFonts w:ascii="Arial" w:hAnsi="Arial" w:cs="Arial"/>
          <w:color w:val="000000" w:themeColor="text1"/>
          <w:sz w:val="22"/>
          <w:lang w:val="es-ES_tradnl"/>
        </w:rPr>
        <w:t xml:space="preserve">solicita </w:t>
      </w:r>
      <w:r w:rsidR="00E67574">
        <w:rPr>
          <w:rFonts w:ascii="Arial" w:hAnsi="Arial" w:cs="Arial"/>
          <w:color w:val="000000" w:themeColor="text1"/>
          <w:sz w:val="22"/>
          <w:lang w:val="es-ES_tradnl"/>
        </w:rPr>
        <w:t>se indique si</w:t>
      </w:r>
      <w:r w:rsidR="00637766">
        <w:rPr>
          <w:rFonts w:ascii="Arial" w:hAnsi="Arial" w:cs="Arial"/>
          <w:sz w:val="21"/>
          <w:szCs w:val="21"/>
          <w:lang w:val="es-ES"/>
        </w:rPr>
        <w:t xml:space="preserve"> </w:t>
      </w:r>
      <w:r>
        <w:rPr>
          <w:rFonts w:ascii="Arial" w:hAnsi="Arial" w:cs="Arial"/>
          <w:sz w:val="21"/>
          <w:szCs w:val="21"/>
          <w:lang w:val="es-ES"/>
        </w:rPr>
        <w:t xml:space="preserve">estas </w:t>
      </w:r>
      <w:r w:rsidR="00E67574">
        <w:rPr>
          <w:rFonts w:ascii="Arial" w:hAnsi="Arial" w:cs="Arial"/>
          <w:sz w:val="21"/>
          <w:szCs w:val="21"/>
          <w:lang w:val="es-ES"/>
        </w:rPr>
        <w:t>deben dar aplicación «</w:t>
      </w:r>
      <w:r w:rsidR="00637766">
        <w:rPr>
          <w:rFonts w:ascii="Arial" w:hAnsi="Arial" w:cs="Arial"/>
          <w:sz w:val="21"/>
          <w:szCs w:val="21"/>
          <w:lang w:val="es-ES"/>
        </w:rPr>
        <w:t>[…]</w:t>
      </w:r>
      <w:r w:rsidR="00A01259">
        <w:rPr>
          <w:rFonts w:ascii="Arial" w:hAnsi="Arial" w:cs="Arial"/>
          <w:sz w:val="21"/>
          <w:szCs w:val="21"/>
          <w:lang w:val="es-ES"/>
        </w:rPr>
        <w:t xml:space="preserve"> </w:t>
      </w:r>
      <w:r w:rsidR="0099557A" w:rsidRPr="0099557A">
        <w:rPr>
          <w:rFonts w:ascii="Arial" w:hAnsi="Arial" w:cs="Arial"/>
          <w:sz w:val="21"/>
          <w:szCs w:val="21"/>
          <w:lang w:val="es-ES"/>
        </w:rPr>
        <w:t>a</w:t>
      </w:r>
      <w:r w:rsidR="0099557A" w:rsidRPr="007E2D4D">
        <w:rPr>
          <w:rFonts w:ascii="Arial" w:hAnsi="Arial" w:cs="Arial"/>
          <w:sz w:val="21"/>
          <w:szCs w:val="21"/>
          <w:lang w:val="es-ES"/>
        </w:rPr>
        <w:t xml:space="preserve">l decreto 579 de 2021 permitiendo la utilización de los mejores estados financieros dentro de los últimos 3 </w:t>
      </w:r>
      <w:r w:rsidR="00637766" w:rsidRPr="007E2D4D">
        <w:rPr>
          <w:rFonts w:ascii="Arial" w:hAnsi="Arial" w:cs="Arial"/>
          <w:sz w:val="21"/>
          <w:szCs w:val="21"/>
          <w:lang w:val="es-ES"/>
        </w:rPr>
        <w:t>año[s]</w:t>
      </w:r>
      <w:r w:rsidR="00E67574" w:rsidRPr="007E2D4D">
        <w:rPr>
          <w:rFonts w:ascii="Arial" w:hAnsi="Arial" w:cs="Arial"/>
          <w:sz w:val="21"/>
          <w:szCs w:val="21"/>
          <w:lang w:val="es-ES"/>
        </w:rPr>
        <w:t xml:space="preserve"> […]»</w:t>
      </w:r>
      <w:r w:rsidR="00637766" w:rsidRPr="007E2D4D">
        <w:rPr>
          <w:rFonts w:ascii="Arial" w:hAnsi="Arial" w:cs="Arial"/>
          <w:sz w:val="21"/>
          <w:szCs w:val="21"/>
          <w:lang w:val="es-ES"/>
        </w:rPr>
        <w:t xml:space="preserve"> </w:t>
      </w:r>
      <w:r w:rsidR="00E67574" w:rsidRPr="007E2D4D">
        <w:rPr>
          <w:rFonts w:ascii="Arial" w:hAnsi="Arial" w:cs="Arial"/>
          <w:sz w:val="21"/>
          <w:szCs w:val="21"/>
          <w:lang w:val="es-ES"/>
        </w:rPr>
        <w:t xml:space="preserve">y «[…] al artículo 2.2.1.1.1.5.2 del Decreto 1082 de 2015  [el] cual tiene </w:t>
      </w:r>
      <w:r w:rsidR="00E67574" w:rsidRPr="007E2D4D">
        <w:rPr>
          <w:rFonts w:ascii="Arial" w:hAnsi="Arial" w:cs="Arial"/>
          <w:sz w:val="21"/>
          <w:szCs w:val="21"/>
          <w:lang w:val="es-ES"/>
        </w:rPr>
        <w:lastRenderedPageBreak/>
        <w:t>la finalidad de permitir la igualdad de acceso al mercado de compras públicas a las empresas recién constituidas dentro de</w:t>
      </w:r>
      <w:r w:rsidR="00E67574" w:rsidRPr="0099557A">
        <w:rPr>
          <w:rFonts w:ascii="Arial" w:hAnsi="Arial" w:cs="Arial"/>
          <w:sz w:val="21"/>
          <w:szCs w:val="21"/>
          <w:lang w:val="es-ES"/>
        </w:rPr>
        <w:t xml:space="preserve"> los últimos 3 años</w:t>
      </w:r>
      <w:r w:rsidR="000B42D0">
        <w:rPr>
          <w:rFonts w:ascii="Arial" w:hAnsi="Arial" w:cs="Arial"/>
          <w:sz w:val="21"/>
          <w:szCs w:val="21"/>
          <w:lang w:val="es-ES"/>
        </w:rPr>
        <w:t xml:space="preserve"> […] </w:t>
      </w:r>
      <w:r w:rsidR="0099557A" w:rsidRPr="0099557A">
        <w:rPr>
          <w:rFonts w:ascii="Arial" w:hAnsi="Arial" w:cs="Arial"/>
          <w:sz w:val="21"/>
          <w:szCs w:val="21"/>
          <w:lang w:val="es-ES"/>
        </w:rPr>
        <w:t>lo anterior en virtud de lo dispuesto por el artículo 13 de la ley 1150 de 2007 que señala que este régimen de contratación debe respetar los principios de la función pública consagrados en los artículos 209 y 267 de la constitución nacional y de conformidad con un concepto previo de Colombia compra eficiente le son aplicables las disposiciones de la Sección 1 del Capítulo 1 del Título I de la Parte 2 del decreto 1082 de 2015</w:t>
      </w:r>
      <w:r w:rsidR="00E55752" w:rsidRPr="0099557A">
        <w:rPr>
          <w:rFonts w:ascii="Arial" w:hAnsi="Arial" w:cs="Arial"/>
          <w:sz w:val="21"/>
          <w:szCs w:val="21"/>
          <w:lang w:val="es-ES"/>
        </w:rPr>
        <w:t>».</w:t>
      </w:r>
    </w:p>
    <w:p w14:paraId="319AC50B" w14:textId="77777777" w:rsidR="00AE40EC" w:rsidRPr="00AE40EC" w:rsidRDefault="00AE40EC" w:rsidP="00AE40EC">
      <w:pPr>
        <w:spacing w:line="276" w:lineRule="auto"/>
        <w:jc w:val="both"/>
        <w:rPr>
          <w:rFonts w:ascii="Arial" w:hAnsi="Arial" w:cs="Arial"/>
          <w:sz w:val="21"/>
          <w:szCs w:val="21"/>
          <w:lang w:val="es-ES_tradnl"/>
        </w:rPr>
      </w:pPr>
    </w:p>
    <w:p w14:paraId="7929A60D" w14:textId="002B5FF1" w:rsidR="00C46EA9" w:rsidRDefault="00F1108B" w:rsidP="00AE40EC">
      <w:pPr>
        <w:tabs>
          <w:tab w:val="left" w:pos="426"/>
        </w:tabs>
        <w:jc w:val="both"/>
        <w:rPr>
          <w:rFonts w:ascii="Arial" w:eastAsia="Calibri" w:hAnsi="Arial" w:cs="Arial"/>
          <w:b/>
          <w:sz w:val="22"/>
          <w:lang w:val="es-ES_tradnl"/>
        </w:rPr>
      </w:pPr>
      <w:r w:rsidRPr="009C5686">
        <w:rPr>
          <w:rFonts w:ascii="Arial" w:eastAsia="Calibri" w:hAnsi="Arial" w:cs="Arial"/>
          <w:b/>
          <w:sz w:val="22"/>
          <w:lang w:val="es-ES_tradnl"/>
        </w:rPr>
        <w:t>2.</w:t>
      </w:r>
      <w:r w:rsidRPr="009C5686">
        <w:rPr>
          <w:rFonts w:ascii="Arial" w:eastAsia="Calibri" w:hAnsi="Arial" w:cs="Arial"/>
          <w:sz w:val="22"/>
          <w:lang w:val="es-ES_tradnl"/>
        </w:rPr>
        <w:t xml:space="preserve"> </w:t>
      </w:r>
      <w:r w:rsidRPr="009C5686">
        <w:rPr>
          <w:rFonts w:ascii="Arial" w:eastAsia="Calibri" w:hAnsi="Arial" w:cs="Arial"/>
          <w:b/>
          <w:sz w:val="22"/>
          <w:lang w:val="es-ES_tradnl"/>
        </w:rPr>
        <w:t>Consideraciones</w:t>
      </w:r>
    </w:p>
    <w:p w14:paraId="1B0C49B0" w14:textId="77777777" w:rsidR="00AE40EC" w:rsidRPr="00AE40EC" w:rsidRDefault="00AE40EC" w:rsidP="00AE40EC">
      <w:pPr>
        <w:tabs>
          <w:tab w:val="left" w:pos="426"/>
        </w:tabs>
        <w:spacing w:line="276" w:lineRule="auto"/>
        <w:jc w:val="both"/>
        <w:rPr>
          <w:rFonts w:ascii="Arial" w:eastAsia="Calibri" w:hAnsi="Arial" w:cs="Arial"/>
          <w:b/>
          <w:sz w:val="22"/>
          <w:lang w:val="es-ES_tradnl"/>
        </w:rPr>
      </w:pPr>
    </w:p>
    <w:p w14:paraId="7783E415" w14:textId="365BA26D" w:rsidR="001F042B" w:rsidRPr="009C5686" w:rsidRDefault="001F042B" w:rsidP="00D1123F">
      <w:pPr>
        <w:spacing w:after="120" w:line="276" w:lineRule="auto"/>
        <w:jc w:val="both"/>
        <w:rPr>
          <w:rFonts w:ascii="Arial" w:hAnsi="Arial" w:cs="Arial"/>
          <w:color w:val="000000" w:themeColor="text1"/>
          <w:sz w:val="22"/>
          <w:lang w:val="es-ES_tradnl"/>
        </w:rPr>
      </w:pPr>
      <w:r w:rsidRPr="009C5686">
        <w:rPr>
          <w:rFonts w:ascii="Arial" w:hAnsi="Arial" w:cs="Arial"/>
          <w:color w:val="000000" w:themeColor="text1"/>
          <w:sz w:val="22"/>
          <w:lang w:val="es-ES_tradnl"/>
        </w:rPr>
        <w:t xml:space="preserve">La Subdirección de Gestión Contractual responderá la consulta, luego de analizar los siguientes temas: i) </w:t>
      </w:r>
      <w:r w:rsidR="00242402">
        <w:rPr>
          <w:rFonts w:ascii="Arial" w:hAnsi="Arial" w:cs="Arial"/>
          <w:color w:val="000000" w:themeColor="text1"/>
          <w:sz w:val="22"/>
          <w:lang w:val="es-ES_tradnl"/>
        </w:rPr>
        <w:t>a</w:t>
      </w:r>
      <w:r w:rsidR="00242402" w:rsidRPr="00242402">
        <w:rPr>
          <w:rFonts w:ascii="Arial" w:hAnsi="Arial" w:cs="Arial"/>
          <w:color w:val="000000" w:themeColor="text1"/>
          <w:sz w:val="22"/>
          <w:lang w:val="es-ES_tradnl"/>
        </w:rPr>
        <w:t>plicación obligatoria del RUP en la evaluación por parte de las entidades sometidas al EGCAP y su adopción facultativa por las exceptuadas</w:t>
      </w:r>
      <w:r w:rsidR="0002463A">
        <w:rPr>
          <w:rFonts w:ascii="Arial" w:hAnsi="Arial" w:cs="Arial"/>
          <w:color w:val="000000" w:themeColor="text1"/>
          <w:sz w:val="22"/>
          <w:lang w:val="es-ES_tradnl"/>
        </w:rPr>
        <w:t xml:space="preserve">; ii) </w:t>
      </w:r>
      <w:r w:rsidR="005F4076">
        <w:rPr>
          <w:rFonts w:ascii="Arial" w:hAnsi="Arial" w:cs="Arial"/>
          <w:color w:val="000000" w:themeColor="text1"/>
          <w:sz w:val="22"/>
          <w:lang w:val="es-ES_tradnl"/>
        </w:rPr>
        <w:t>a</w:t>
      </w:r>
      <w:r w:rsidR="005F4076" w:rsidRPr="005F4076">
        <w:rPr>
          <w:rFonts w:ascii="Arial" w:hAnsi="Arial" w:cs="Arial"/>
          <w:color w:val="000000" w:themeColor="text1"/>
          <w:sz w:val="22"/>
          <w:lang w:val="es-ES_tradnl"/>
        </w:rPr>
        <w:t xml:space="preserve">creditación de </w:t>
      </w:r>
      <w:r w:rsidR="005F4076" w:rsidRPr="00AE47F4">
        <w:rPr>
          <w:rFonts w:ascii="Arial" w:hAnsi="Arial" w:cs="Arial"/>
          <w:color w:val="000000" w:themeColor="text1"/>
          <w:sz w:val="22"/>
          <w:lang w:val="es-ES_tradnl"/>
        </w:rPr>
        <w:t>experiencia por parte de sociedades con menos de tres años de constitución</w:t>
      </w:r>
      <w:r w:rsidR="00A909AF" w:rsidRPr="00AE47F4">
        <w:rPr>
          <w:rFonts w:ascii="Arial" w:hAnsi="Arial" w:cs="Arial"/>
          <w:color w:val="000000" w:themeColor="text1"/>
          <w:sz w:val="22"/>
          <w:lang w:val="es-ES_tradnl"/>
        </w:rPr>
        <w:t xml:space="preserve">; iii) </w:t>
      </w:r>
      <w:r w:rsidRPr="00AE47F4">
        <w:rPr>
          <w:rFonts w:ascii="Arial" w:hAnsi="Arial" w:cs="Arial"/>
          <w:color w:val="000000" w:themeColor="text1"/>
          <w:sz w:val="22"/>
          <w:lang w:val="es-ES_tradnl"/>
        </w:rPr>
        <w:t>modificaciones introducidas por los Decretos 399 de 2021 y 579 de 2021 y verificación de la capacidad financiera y organizacional</w:t>
      </w:r>
      <w:r w:rsidR="004E64BA" w:rsidRPr="00AE47F4">
        <w:rPr>
          <w:rFonts w:ascii="Arial" w:hAnsi="Arial" w:cs="Arial"/>
          <w:color w:val="000000" w:themeColor="text1"/>
          <w:sz w:val="22"/>
          <w:lang w:val="es-ES_tradnl"/>
        </w:rPr>
        <w:t xml:space="preserve"> y</w:t>
      </w:r>
      <w:r w:rsidRPr="00AE47F4">
        <w:rPr>
          <w:rFonts w:ascii="Arial" w:hAnsi="Arial" w:cs="Arial"/>
          <w:color w:val="000000" w:themeColor="text1"/>
          <w:sz w:val="22"/>
          <w:lang w:val="es-ES_tradnl"/>
        </w:rPr>
        <w:t xml:space="preserve"> i</w:t>
      </w:r>
      <w:r w:rsidR="00A909AF" w:rsidRPr="00AE47F4">
        <w:rPr>
          <w:rFonts w:ascii="Arial" w:hAnsi="Arial" w:cs="Arial"/>
          <w:color w:val="000000" w:themeColor="text1"/>
          <w:sz w:val="22"/>
          <w:lang w:val="es-ES_tradnl"/>
        </w:rPr>
        <w:t>v</w:t>
      </w:r>
      <w:r w:rsidRPr="00AE47F4">
        <w:rPr>
          <w:rFonts w:ascii="Arial" w:hAnsi="Arial" w:cs="Arial"/>
          <w:color w:val="000000" w:themeColor="text1"/>
          <w:sz w:val="22"/>
          <w:lang w:val="es-ES_tradnl"/>
        </w:rPr>
        <w:t xml:space="preserve">) </w:t>
      </w:r>
      <w:r w:rsidR="00D77B8C" w:rsidRPr="00AE47F4">
        <w:rPr>
          <w:rFonts w:ascii="Arial" w:hAnsi="Arial" w:cs="Arial"/>
          <w:color w:val="000000" w:themeColor="text1"/>
          <w:sz w:val="22"/>
          <w:lang w:val="es-ES_tradnl"/>
        </w:rPr>
        <w:t>aplicación de la noción de «mejor año fiscal» como buena práctica contractual de las entidades estatales con régimen especial</w:t>
      </w:r>
      <w:r w:rsidR="00AE47F4">
        <w:rPr>
          <w:rFonts w:ascii="Arial" w:hAnsi="Arial" w:cs="Arial"/>
          <w:color w:val="000000" w:themeColor="text1"/>
          <w:sz w:val="22"/>
          <w:lang w:val="es-ES_tradnl"/>
        </w:rPr>
        <w:t>.</w:t>
      </w:r>
      <w:r w:rsidR="00D77B8C" w:rsidRPr="00AE47F4">
        <w:rPr>
          <w:rFonts w:ascii="Arial" w:hAnsi="Arial" w:cs="Arial"/>
          <w:color w:val="000000" w:themeColor="text1"/>
          <w:sz w:val="22"/>
          <w:lang w:val="es-ES_tradnl"/>
        </w:rPr>
        <w:t xml:space="preserve"> </w:t>
      </w:r>
    </w:p>
    <w:p w14:paraId="076646E2" w14:textId="08F95EB9" w:rsidR="00D03E33" w:rsidRPr="009C5686" w:rsidRDefault="00E0142A" w:rsidP="00D03E33">
      <w:pPr>
        <w:spacing w:after="120" w:line="276" w:lineRule="auto"/>
        <w:ind w:firstLine="709"/>
        <w:jc w:val="both"/>
        <w:rPr>
          <w:rFonts w:ascii="Arial" w:hAnsi="Arial" w:cs="Arial"/>
          <w:color w:val="000000" w:themeColor="text1"/>
          <w:sz w:val="22"/>
          <w:lang w:val="es-ES_tradnl"/>
        </w:rPr>
      </w:pPr>
      <w:r w:rsidRPr="009C5686">
        <w:rPr>
          <w:rFonts w:ascii="Arial" w:hAnsi="Arial" w:cs="Arial"/>
          <w:color w:val="000000" w:themeColor="text1"/>
          <w:sz w:val="22"/>
          <w:lang w:val="es-ES_tradnl"/>
        </w:rPr>
        <w:t xml:space="preserve">La Agencia Nacional de Contratación Pública – Colombia Compra Eficiente se pronunció sobre </w:t>
      </w:r>
      <w:r w:rsidR="00D03E33" w:rsidRPr="009C5686">
        <w:rPr>
          <w:rFonts w:ascii="Arial" w:hAnsi="Arial" w:cs="Arial"/>
          <w:color w:val="000000" w:themeColor="text1"/>
          <w:sz w:val="22"/>
          <w:lang w:val="es-ES_tradnl"/>
        </w:rPr>
        <w:t>la definición del «mejor año fiscal» y la forma en que se efectuará la verificación de las ofertas, a la luz de las modificaciones introducidas mediante los Decretos 399 y 579 de 2021, en los conceptos C-288 del 17 de junio de 2021, C-353 del 19 de julio de 2021, C-366 del 26 de julio de 2021, C-372 del 28 de julio de 2021, C-406 del 13 de agosto de 2021, C-407, C-443 y C 540 del 25 de agosto de 2021</w:t>
      </w:r>
      <w:r w:rsidR="006F4090">
        <w:rPr>
          <w:rFonts w:ascii="Arial" w:hAnsi="Arial" w:cs="Arial"/>
          <w:color w:val="000000" w:themeColor="text1"/>
          <w:sz w:val="22"/>
          <w:lang w:val="es-ES_tradnl"/>
        </w:rPr>
        <w:t xml:space="preserve">, </w:t>
      </w:r>
      <w:r w:rsidR="00D03E33" w:rsidRPr="009C5686">
        <w:rPr>
          <w:rFonts w:ascii="Arial" w:hAnsi="Arial" w:cs="Arial"/>
          <w:color w:val="000000" w:themeColor="text1"/>
          <w:sz w:val="22"/>
          <w:lang w:val="es-ES_tradnl"/>
        </w:rPr>
        <w:t>C-558 del 2 de septiembre de 2021</w:t>
      </w:r>
      <w:r w:rsidR="000C72D6">
        <w:rPr>
          <w:rFonts w:ascii="Arial" w:hAnsi="Arial" w:cs="Arial"/>
          <w:color w:val="000000" w:themeColor="text1"/>
          <w:sz w:val="22"/>
          <w:lang w:val="es-ES_tradnl"/>
        </w:rPr>
        <w:t>,</w:t>
      </w:r>
      <w:r w:rsidR="006F4090">
        <w:rPr>
          <w:rFonts w:ascii="Arial" w:hAnsi="Arial" w:cs="Arial"/>
          <w:color w:val="000000" w:themeColor="text1"/>
          <w:sz w:val="22"/>
          <w:lang w:val="es-ES_tradnl"/>
        </w:rPr>
        <w:t xml:space="preserve"> </w:t>
      </w:r>
      <w:r w:rsidR="009D689A">
        <w:rPr>
          <w:rFonts w:ascii="Arial" w:hAnsi="Arial" w:cs="Arial"/>
          <w:color w:val="000000" w:themeColor="text1"/>
          <w:sz w:val="22"/>
          <w:lang w:val="es-ES_tradnl"/>
        </w:rPr>
        <w:t xml:space="preserve">C-527 del 23 de septiembre de 2021, </w:t>
      </w:r>
      <w:r w:rsidR="006F4090">
        <w:rPr>
          <w:rFonts w:ascii="Arial" w:hAnsi="Arial" w:cs="Arial"/>
          <w:color w:val="000000" w:themeColor="text1"/>
          <w:sz w:val="22"/>
          <w:lang w:val="es-ES_tradnl"/>
        </w:rPr>
        <w:t xml:space="preserve">C-530 </w:t>
      </w:r>
      <w:r w:rsidR="000C72D6">
        <w:rPr>
          <w:rFonts w:ascii="Arial" w:hAnsi="Arial" w:cs="Arial"/>
          <w:color w:val="000000" w:themeColor="text1"/>
          <w:sz w:val="22"/>
          <w:lang w:val="es-ES_tradnl"/>
        </w:rPr>
        <w:t xml:space="preserve">y C- 538 </w:t>
      </w:r>
      <w:r w:rsidR="006F4090">
        <w:rPr>
          <w:rFonts w:ascii="Arial" w:hAnsi="Arial" w:cs="Arial"/>
          <w:color w:val="000000" w:themeColor="text1"/>
          <w:sz w:val="22"/>
          <w:lang w:val="es-ES_tradnl"/>
        </w:rPr>
        <w:t>del 27 de septiembre de 2021</w:t>
      </w:r>
      <w:r w:rsidR="00D3357B" w:rsidRPr="009C5686">
        <w:rPr>
          <w:rFonts w:ascii="Arial" w:hAnsi="Arial" w:cs="Arial"/>
          <w:color w:val="000000" w:themeColor="text1"/>
          <w:sz w:val="22"/>
          <w:lang w:val="es-ES_tradnl"/>
        </w:rPr>
        <w:t>.</w:t>
      </w:r>
    </w:p>
    <w:p w14:paraId="350FED4E" w14:textId="0601B00A" w:rsidR="00E0142A" w:rsidRDefault="003C592E" w:rsidP="00D03E33">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De igual forma</w:t>
      </w:r>
      <w:r w:rsidR="00D03E33" w:rsidRPr="009C5686">
        <w:rPr>
          <w:rFonts w:ascii="Arial" w:hAnsi="Arial" w:cs="Arial"/>
          <w:color w:val="000000" w:themeColor="text1"/>
          <w:sz w:val="22"/>
          <w:lang w:val="es-ES_tradnl"/>
        </w:rPr>
        <w:t xml:space="preserve">, analizó </w:t>
      </w:r>
      <w:r w:rsidR="00E0142A" w:rsidRPr="009C5686">
        <w:rPr>
          <w:rFonts w:ascii="Arial" w:hAnsi="Arial" w:cs="Arial"/>
          <w:color w:val="000000" w:themeColor="text1"/>
          <w:sz w:val="22"/>
          <w:lang w:val="es-ES_tradnl"/>
        </w:rPr>
        <w:t>el régimen jurídico aplicable a las entidades exceptuadas del Estatuto General de Contratación de la Administración Pública</w:t>
      </w:r>
      <w:r w:rsidR="00D03E33" w:rsidRPr="009C5686">
        <w:rPr>
          <w:rFonts w:ascii="Arial" w:hAnsi="Arial" w:cs="Arial"/>
          <w:color w:val="000000" w:themeColor="text1"/>
          <w:sz w:val="22"/>
          <w:lang w:val="es-ES_tradnl"/>
        </w:rPr>
        <w:t>,</w:t>
      </w:r>
      <w:r w:rsidR="00BA2F25" w:rsidRPr="009C5686">
        <w:rPr>
          <w:rFonts w:ascii="Arial" w:hAnsi="Arial" w:cs="Arial"/>
          <w:color w:val="000000" w:themeColor="text1"/>
          <w:sz w:val="22"/>
          <w:lang w:val="es-ES_tradnl"/>
        </w:rPr>
        <w:t xml:space="preserve"> en los conceptos </w:t>
      </w:r>
      <w:r w:rsidR="00033749">
        <w:rPr>
          <w:rFonts w:ascii="Arial" w:hAnsi="Arial" w:cs="Arial"/>
          <w:color w:val="000000" w:themeColor="text1"/>
          <w:sz w:val="22"/>
          <w:lang w:val="es-ES_tradnl"/>
        </w:rPr>
        <w:t xml:space="preserve">No </w:t>
      </w:r>
      <w:r w:rsidR="00033749" w:rsidRPr="00033749">
        <w:rPr>
          <w:rFonts w:ascii="Arial" w:hAnsi="Arial" w:cs="Arial"/>
          <w:color w:val="000000" w:themeColor="text1"/>
          <w:sz w:val="22"/>
          <w:lang w:val="es-ES_tradnl"/>
        </w:rPr>
        <w:t>2201913000009703</w:t>
      </w:r>
      <w:r w:rsidR="00033749">
        <w:rPr>
          <w:rFonts w:ascii="Arial" w:hAnsi="Arial" w:cs="Arial"/>
          <w:color w:val="000000" w:themeColor="text1"/>
          <w:sz w:val="22"/>
          <w:lang w:val="es-ES_tradnl"/>
        </w:rPr>
        <w:t xml:space="preserve"> del 27 de diciembre de 2019, </w:t>
      </w:r>
      <w:r w:rsidR="00BA2F25" w:rsidRPr="009C5686">
        <w:rPr>
          <w:rFonts w:ascii="Arial" w:hAnsi="Arial" w:cs="Arial"/>
          <w:color w:val="000000" w:themeColor="text1"/>
          <w:sz w:val="22"/>
          <w:lang w:val="es-ES_tradnl"/>
        </w:rPr>
        <w:t>C−018 del 05 de febrero de 2020, C−027 del 12 de febrero de 2020, C−032 del 19 de febrero de 2020, C−179 del 16 de marzo de 2020, C−101 del 16 de marzo de 2020, C−086 del 16 de marzo de 2020, C−168 del 31 de marzo de 2020,</w:t>
      </w:r>
      <w:r w:rsidR="00BD2B3F" w:rsidRPr="009C5686">
        <w:rPr>
          <w:rFonts w:ascii="Arial" w:hAnsi="Arial" w:cs="Arial"/>
          <w:color w:val="000000" w:themeColor="text1"/>
          <w:sz w:val="22"/>
          <w:lang w:val="es-ES_tradnl"/>
        </w:rPr>
        <w:t xml:space="preserve"> C-158 del 3 de abril de 2020,</w:t>
      </w:r>
      <w:r w:rsidR="00BA2F25" w:rsidRPr="009C5686">
        <w:rPr>
          <w:rFonts w:ascii="Arial" w:hAnsi="Arial" w:cs="Arial"/>
          <w:color w:val="000000" w:themeColor="text1"/>
          <w:sz w:val="22"/>
          <w:lang w:val="es-ES_tradnl"/>
        </w:rPr>
        <w:t xml:space="preserve"> C−362 del 03 de julio de 2020, C−462 del 23 de julio de 2020, C–560 del 24 de agosto de 2020, C-637 del 28 de octubre de 2020</w:t>
      </w:r>
      <w:r w:rsidR="00DF67C8" w:rsidRPr="009C5686">
        <w:rPr>
          <w:rFonts w:ascii="Arial" w:hAnsi="Arial" w:cs="Arial"/>
          <w:color w:val="000000" w:themeColor="text1"/>
          <w:sz w:val="22"/>
          <w:lang w:val="es-ES_tradnl"/>
        </w:rPr>
        <w:t xml:space="preserve">, </w:t>
      </w:r>
      <w:r w:rsidR="00BA2F25" w:rsidRPr="009C5686">
        <w:rPr>
          <w:rFonts w:ascii="Arial" w:hAnsi="Arial" w:cs="Arial"/>
          <w:color w:val="000000" w:themeColor="text1"/>
          <w:sz w:val="22"/>
          <w:lang w:val="es-ES_tradnl"/>
        </w:rPr>
        <w:t>C−684 del 24 de noviembre de 2020</w:t>
      </w:r>
      <w:r w:rsidR="00FC32E1" w:rsidRPr="009C5686">
        <w:rPr>
          <w:rFonts w:ascii="Arial" w:hAnsi="Arial" w:cs="Arial"/>
          <w:color w:val="000000" w:themeColor="text1"/>
          <w:sz w:val="22"/>
          <w:lang w:val="es-ES_tradnl"/>
        </w:rPr>
        <w:t xml:space="preserve">, </w:t>
      </w:r>
      <w:r w:rsidR="004B6E73">
        <w:rPr>
          <w:rFonts w:ascii="Arial" w:hAnsi="Arial" w:cs="Arial"/>
          <w:color w:val="000000" w:themeColor="text1"/>
          <w:sz w:val="22"/>
          <w:lang w:val="es-ES_tradnl"/>
        </w:rPr>
        <w:t xml:space="preserve">C- 133 del 7 de abril de 2021, </w:t>
      </w:r>
      <w:r w:rsidR="00DF67C8" w:rsidRPr="009C5686">
        <w:rPr>
          <w:rFonts w:ascii="Arial" w:hAnsi="Arial" w:cs="Arial"/>
          <w:color w:val="000000" w:themeColor="text1"/>
          <w:sz w:val="22"/>
          <w:lang w:val="es-ES_tradnl"/>
        </w:rPr>
        <w:t>C-382</w:t>
      </w:r>
      <w:r w:rsidR="006F1AC2" w:rsidRPr="009C5686">
        <w:rPr>
          <w:rFonts w:ascii="Arial" w:hAnsi="Arial" w:cs="Arial"/>
          <w:color w:val="000000" w:themeColor="text1"/>
          <w:sz w:val="22"/>
          <w:lang w:val="es-ES_tradnl"/>
        </w:rPr>
        <w:t xml:space="preserve"> del 30 de julio de 2021</w:t>
      </w:r>
      <w:r w:rsidR="00CD1AC7">
        <w:rPr>
          <w:rFonts w:ascii="Arial" w:hAnsi="Arial" w:cs="Arial"/>
          <w:color w:val="000000" w:themeColor="text1"/>
          <w:sz w:val="22"/>
          <w:lang w:val="es-ES_tradnl"/>
        </w:rPr>
        <w:t>, C-416 del 18 de agosto de 2021</w:t>
      </w:r>
      <w:r w:rsidR="00FC32E1" w:rsidRPr="009C5686">
        <w:rPr>
          <w:rFonts w:ascii="Arial" w:hAnsi="Arial" w:cs="Arial"/>
          <w:color w:val="000000" w:themeColor="text1"/>
          <w:sz w:val="22"/>
          <w:lang w:val="es-ES_tradnl"/>
        </w:rPr>
        <w:t xml:space="preserve"> y C – 483 del 9 de septiembre de 2021</w:t>
      </w:r>
      <w:r w:rsidR="006F1AC2" w:rsidRPr="009C5686">
        <w:rPr>
          <w:rFonts w:ascii="Arial" w:hAnsi="Arial" w:cs="Arial"/>
          <w:color w:val="000000" w:themeColor="text1"/>
          <w:sz w:val="22"/>
          <w:lang w:val="es-ES_tradnl"/>
        </w:rPr>
        <w:t>.</w:t>
      </w:r>
      <w:r w:rsidR="002D66CE" w:rsidRPr="009C5686">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Adicionalmente, </w:t>
      </w:r>
      <w:r w:rsidRPr="00071199">
        <w:rPr>
          <w:rFonts w:ascii="Arial" w:eastAsia="Calibri" w:hAnsi="Arial" w:cs="Arial"/>
          <w:color w:val="000000" w:themeColor="text1"/>
          <w:sz w:val="22"/>
          <w:lang w:val="es-ES"/>
        </w:rPr>
        <w:t xml:space="preserve">en los conceptos C-025 del 16 de marzo de 2020, C-051 del 2 de marzo de 2020, C-165 </w:t>
      </w:r>
      <w:r w:rsidRPr="00071199">
        <w:rPr>
          <w:rFonts w:ascii="Arial" w:eastAsia="Calibri" w:hAnsi="Arial" w:cs="Arial"/>
          <w:color w:val="000000" w:themeColor="text1"/>
          <w:sz w:val="22"/>
          <w:lang w:val="es-ES"/>
        </w:rPr>
        <w:lastRenderedPageBreak/>
        <w:t>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A626AA">
        <w:rPr>
          <w:rFonts w:ascii="Arial" w:eastAsia="Calibri" w:hAnsi="Arial" w:cs="Arial"/>
          <w:color w:val="000000" w:themeColor="text1"/>
          <w:sz w:val="22"/>
          <w:lang w:val="es-ES"/>
        </w:rPr>
        <w:t>,</w:t>
      </w:r>
      <w:r w:rsidRPr="00071199">
        <w:rPr>
          <w:rFonts w:ascii="Arial" w:eastAsia="Calibri" w:hAnsi="Arial" w:cs="Arial"/>
          <w:color w:val="000000" w:themeColor="text1"/>
          <w:sz w:val="22"/>
          <w:lang w:val="es-ES"/>
        </w:rPr>
        <w:t xml:space="preserve"> C-140 del 9 de abril del 2021</w:t>
      </w:r>
      <w:r w:rsidR="00065FFB">
        <w:rPr>
          <w:rFonts w:ascii="Arial" w:eastAsia="Calibri" w:hAnsi="Arial" w:cs="Arial"/>
          <w:color w:val="000000" w:themeColor="text1"/>
          <w:sz w:val="22"/>
          <w:lang w:val="es-ES"/>
        </w:rPr>
        <w:t>,</w:t>
      </w:r>
      <w:r w:rsidR="00A626AA">
        <w:rPr>
          <w:rFonts w:ascii="Arial" w:eastAsia="Calibri" w:hAnsi="Arial" w:cs="Arial"/>
          <w:color w:val="000000" w:themeColor="text1"/>
          <w:sz w:val="22"/>
          <w:lang w:val="es-ES"/>
        </w:rPr>
        <w:t xml:space="preserve"> C -316 del 29 de junio de 2021</w:t>
      </w:r>
      <w:r w:rsidR="00065FFB">
        <w:rPr>
          <w:rFonts w:ascii="Arial" w:eastAsia="Calibri" w:hAnsi="Arial" w:cs="Arial"/>
          <w:color w:val="000000" w:themeColor="text1"/>
          <w:sz w:val="22"/>
          <w:lang w:val="es-ES"/>
        </w:rPr>
        <w:t xml:space="preserve"> y C-260 del 5 de octubre de 2021,</w:t>
      </w:r>
      <w:r w:rsidRPr="00071199">
        <w:rPr>
          <w:rFonts w:ascii="Arial" w:eastAsia="Calibri" w:hAnsi="Arial" w:cs="Arial"/>
          <w:color w:val="000000" w:themeColor="text1"/>
          <w:sz w:val="22"/>
          <w:lang w:val="es-ES"/>
        </w:rPr>
        <w:t xml:space="preserve"> estudió la acreditación de la experiencia de los socios por una sociedad nueva con menos de 3 años de constitución</w:t>
      </w:r>
      <w:r w:rsidRPr="00071199">
        <w:rPr>
          <w:rFonts w:ascii="Arial" w:eastAsia="Calibri" w:hAnsi="Arial" w:cs="Arial"/>
          <w:color w:val="000000" w:themeColor="text1"/>
          <w:sz w:val="22"/>
          <w:vertAlign w:val="superscript"/>
          <w:lang w:val="es-ES"/>
        </w:rPr>
        <w:footnoteReference w:id="2"/>
      </w:r>
      <w:r w:rsidR="00896973">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00D03E33" w:rsidRPr="009C5686">
        <w:rPr>
          <w:rFonts w:ascii="Arial" w:hAnsi="Arial" w:cs="Arial"/>
          <w:color w:val="000000" w:themeColor="text1"/>
          <w:sz w:val="22"/>
          <w:lang w:val="es-ES_tradnl"/>
        </w:rPr>
        <w:t>Algunas de las consideraciones de estos conceptos se reiteran y complementan a continuación.</w:t>
      </w:r>
    </w:p>
    <w:p w14:paraId="74F31D7C" w14:textId="497D3457" w:rsidR="003C592E" w:rsidRPr="003C592E" w:rsidRDefault="00E0142A" w:rsidP="00BE241B">
      <w:pPr>
        <w:jc w:val="both"/>
        <w:rPr>
          <w:rFonts w:ascii="Arial" w:hAnsi="Arial" w:cs="Arial"/>
          <w:b/>
          <w:color w:val="000000" w:themeColor="text1"/>
          <w:sz w:val="22"/>
          <w:lang w:val="es-ES_tradnl"/>
        </w:rPr>
      </w:pPr>
      <w:r w:rsidRPr="009C5686">
        <w:rPr>
          <w:rFonts w:ascii="Arial" w:hAnsi="Arial" w:cs="Arial"/>
          <w:b/>
          <w:color w:val="000000" w:themeColor="text1"/>
          <w:sz w:val="22"/>
          <w:lang w:val="es-ES_tradnl"/>
        </w:rPr>
        <w:t xml:space="preserve">2.1. </w:t>
      </w:r>
      <w:r w:rsidR="003C592E" w:rsidRPr="00071199">
        <w:rPr>
          <w:rFonts w:ascii="Arial" w:eastAsia="Calibri" w:hAnsi="Arial" w:cs="Arial"/>
          <w:b/>
          <w:bCs/>
          <w:sz w:val="22"/>
          <w:lang w:val="es-ES"/>
        </w:rPr>
        <w:t xml:space="preserve"> </w:t>
      </w:r>
      <w:r w:rsidR="00BE241B">
        <w:rPr>
          <w:rFonts w:ascii="Arial" w:eastAsia="Calibri" w:hAnsi="Arial" w:cs="Arial"/>
          <w:b/>
          <w:bCs/>
          <w:sz w:val="22"/>
          <w:lang w:val="es-ES"/>
        </w:rPr>
        <w:t>Aplicación obligatoria del RUP</w:t>
      </w:r>
      <w:r w:rsidR="006A6D10">
        <w:rPr>
          <w:rFonts w:ascii="Arial" w:eastAsia="Calibri" w:hAnsi="Arial" w:cs="Arial"/>
          <w:b/>
          <w:bCs/>
          <w:sz w:val="22"/>
          <w:lang w:val="es-ES"/>
        </w:rPr>
        <w:t xml:space="preserve"> en la evaluación</w:t>
      </w:r>
      <w:r w:rsidR="00BE241B">
        <w:rPr>
          <w:rFonts w:ascii="Arial" w:eastAsia="Calibri" w:hAnsi="Arial" w:cs="Arial"/>
          <w:b/>
          <w:bCs/>
          <w:sz w:val="22"/>
          <w:lang w:val="es-ES"/>
        </w:rPr>
        <w:t xml:space="preserve"> por parte de las entidades sometidas al EGCAP y su adopción facultativa por las </w:t>
      </w:r>
      <w:r w:rsidR="00BE241B" w:rsidRPr="008923B1">
        <w:rPr>
          <w:rFonts w:ascii="Arial" w:eastAsia="Calibri" w:hAnsi="Arial" w:cs="Arial"/>
          <w:b/>
          <w:bCs/>
          <w:i/>
          <w:iCs/>
          <w:sz w:val="22"/>
          <w:lang w:val="es-ES"/>
        </w:rPr>
        <w:t>exceptuadas</w:t>
      </w:r>
      <w:r w:rsidR="00BE241B">
        <w:rPr>
          <w:rFonts w:ascii="Arial" w:eastAsia="Calibri" w:hAnsi="Arial" w:cs="Arial"/>
          <w:b/>
          <w:bCs/>
          <w:sz w:val="22"/>
          <w:lang w:val="es-ES"/>
        </w:rPr>
        <w:t xml:space="preserve"> </w:t>
      </w:r>
    </w:p>
    <w:p w14:paraId="2DBF0320" w14:textId="77777777" w:rsidR="003C592E" w:rsidRPr="00071199" w:rsidRDefault="003C592E" w:rsidP="003C592E">
      <w:pPr>
        <w:spacing w:line="276" w:lineRule="auto"/>
        <w:jc w:val="both"/>
        <w:rPr>
          <w:rFonts w:ascii="Arial" w:eastAsia="Calibri" w:hAnsi="Arial" w:cs="Arial"/>
          <w:b/>
          <w:bCs/>
          <w:sz w:val="22"/>
          <w:lang w:val="es-ES"/>
        </w:rPr>
      </w:pPr>
    </w:p>
    <w:p w14:paraId="13E7BDD1" w14:textId="209082E0" w:rsidR="003C592E" w:rsidRDefault="003C592E" w:rsidP="00896973">
      <w:pPr>
        <w:spacing w:after="120" w:line="276" w:lineRule="auto"/>
        <w:jc w:val="both"/>
        <w:rPr>
          <w:rFonts w:ascii="Arial" w:eastAsia="Calibri" w:hAnsi="Arial" w:cs="Arial"/>
          <w:sz w:val="22"/>
          <w:lang w:val="es-ES"/>
        </w:rPr>
      </w:pPr>
      <w:r w:rsidRPr="00071199">
        <w:rPr>
          <w:rFonts w:ascii="Arial" w:eastAsia="Calibri" w:hAnsi="Arial" w:cs="Arial"/>
          <w:sz w:val="22"/>
          <w:lang w:val="es-ES"/>
        </w:rPr>
        <w:t xml:space="preserve">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w:t>
      </w:r>
      <w:r>
        <w:rPr>
          <w:rFonts w:ascii="Arial" w:eastAsia="Calibri" w:hAnsi="Arial" w:cs="Arial"/>
          <w:sz w:val="22"/>
          <w:lang w:val="es-ES"/>
        </w:rPr>
        <w:t>brindan</w:t>
      </w:r>
      <w:r w:rsidRPr="00071199">
        <w:rPr>
          <w:rFonts w:ascii="Arial" w:eastAsia="Calibri" w:hAnsi="Arial" w:cs="Arial"/>
          <w:sz w:val="22"/>
          <w:lang w:val="es-ES"/>
        </w:rPr>
        <w:t xml:space="preserve"> lineamientos sobre lo que las entidades pueden hacer para establecerlos. En relación con la experiencia, el Manual </w:t>
      </w:r>
      <w:r w:rsidR="0092165E">
        <w:rPr>
          <w:rFonts w:ascii="Arial" w:eastAsia="Calibri" w:hAnsi="Arial" w:cs="Arial"/>
          <w:sz w:val="22"/>
          <w:lang w:val="es-ES"/>
        </w:rPr>
        <w:t>señala</w:t>
      </w:r>
      <w:r w:rsidRPr="00071199">
        <w:rPr>
          <w:rFonts w:ascii="Arial" w:eastAsia="Calibri" w:hAnsi="Arial" w:cs="Arial"/>
          <w:sz w:val="22"/>
          <w:lang w:val="es-ES"/>
        </w:rPr>
        <w:t xml:space="preserve"> su carácter personal, lo cual significa que la experiencia </w:t>
      </w:r>
      <w:r w:rsidR="0092165E">
        <w:rPr>
          <w:rFonts w:ascii="Arial" w:eastAsia="Calibri" w:hAnsi="Arial" w:cs="Arial"/>
          <w:sz w:val="22"/>
          <w:lang w:val="es-ES"/>
        </w:rPr>
        <w:t xml:space="preserve">del proponente </w:t>
      </w:r>
      <w:r w:rsidRPr="00071199">
        <w:rPr>
          <w:rFonts w:ascii="Arial" w:eastAsia="Calibri" w:hAnsi="Arial" w:cs="Arial"/>
          <w:sz w:val="22"/>
          <w:lang w:val="es-ES"/>
        </w:rPr>
        <w:t xml:space="preserve">se obtiene </w:t>
      </w:r>
      <w:r w:rsidR="0092165E">
        <w:rPr>
          <w:rFonts w:ascii="Arial" w:eastAsia="Calibri" w:hAnsi="Arial" w:cs="Arial"/>
          <w:sz w:val="22"/>
          <w:lang w:val="es-ES"/>
        </w:rPr>
        <w:t xml:space="preserve">con fundamento en </w:t>
      </w:r>
      <w:r w:rsidRPr="00071199">
        <w:rPr>
          <w:rFonts w:ascii="Arial" w:eastAsia="Calibri" w:hAnsi="Arial" w:cs="Arial"/>
          <w:sz w:val="22"/>
          <w:lang w:val="es-ES"/>
        </w:rPr>
        <w:t>la participación</w:t>
      </w:r>
      <w:r w:rsidR="0092165E">
        <w:rPr>
          <w:rFonts w:ascii="Arial" w:eastAsia="Calibri" w:hAnsi="Arial" w:cs="Arial"/>
          <w:sz w:val="22"/>
          <w:lang w:val="es-ES"/>
        </w:rPr>
        <w:t xml:space="preserve"> previa en la ejecución de</w:t>
      </w:r>
      <w:r w:rsidRPr="00071199">
        <w:rPr>
          <w:rFonts w:ascii="Arial" w:eastAsia="Calibri" w:hAnsi="Arial" w:cs="Arial"/>
          <w:sz w:val="22"/>
          <w:lang w:val="es-ES"/>
        </w:rPr>
        <w:t xml:space="preserve"> actividades que le permitieron conocer cómo ejecutar determinado objeto contractual</w:t>
      </w:r>
      <w:r w:rsidR="0092165E">
        <w:rPr>
          <w:rFonts w:ascii="Arial" w:eastAsia="Calibri" w:hAnsi="Arial" w:cs="Arial"/>
          <w:sz w:val="22"/>
          <w:lang w:val="es-ES"/>
        </w:rPr>
        <w:t>, similar al</w:t>
      </w:r>
      <w:r w:rsidRPr="00071199">
        <w:rPr>
          <w:rFonts w:ascii="Arial" w:eastAsia="Calibri" w:hAnsi="Arial" w:cs="Arial"/>
          <w:sz w:val="22"/>
          <w:lang w:val="es-ES"/>
        </w:rPr>
        <w:t xml:space="preserve"> que la entidad pretende desarrollar</w:t>
      </w:r>
      <w:r w:rsidRPr="00071199">
        <w:rPr>
          <w:rFonts w:ascii="Arial" w:eastAsia="Calibri" w:hAnsi="Arial" w:cs="Arial"/>
          <w:sz w:val="22"/>
          <w:vertAlign w:val="superscript"/>
          <w:lang w:val="es-ES"/>
        </w:rPr>
        <w:footnoteReference w:id="3"/>
      </w:r>
      <w:r w:rsidRPr="00071199">
        <w:rPr>
          <w:rFonts w:ascii="Arial" w:eastAsia="Calibri" w:hAnsi="Arial" w:cs="Arial"/>
          <w:sz w:val="22"/>
          <w:lang w:val="es-ES"/>
        </w:rPr>
        <w:t>.</w:t>
      </w:r>
    </w:p>
    <w:p w14:paraId="6C164FB0" w14:textId="6F1D9967" w:rsidR="00EF022B" w:rsidRDefault="00EF022B" w:rsidP="00896973">
      <w:pPr>
        <w:spacing w:before="120" w:after="120" w:line="276" w:lineRule="auto"/>
        <w:ind w:firstLine="708"/>
        <w:jc w:val="both"/>
        <w:rPr>
          <w:rFonts w:ascii="Arial" w:eastAsia="Calibri" w:hAnsi="Arial" w:cs="Arial"/>
          <w:sz w:val="22"/>
          <w:lang w:val="es-ES"/>
        </w:rPr>
      </w:pPr>
      <w:r w:rsidRPr="00071199">
        <w:rPr>
          <w:rFonts w:ascii="Arial" w:eastAsia="Calibri" w:hAnsi="Arial" w:cs="Arial"/>
          <w:sz w:val="22"/>
          <w:lang w:val="es-ES"/>
        </w:rPr>
        <w:lastRenderedPageBreak/>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w:t>
      </w:r>
      <w:r w:rsidR="0029567F">
        <w:rPr>
          <w:rFonts w:ascii="Arial" w:eastAsia="Calibri" w:hAnsi="Arial" w:cs="Arial"/>
          <w:sz w:val="22"/>
          <w:lang w:val="es-ES"/>
        </w:rPr>
        <w:t>pues</w:t>
      </w:r>
      <w:r w:rsidRPr="00071199">
        <w:rPr>
          <w:rFonts w:ascii="Arial" w:eastAsia="Calibri" w:hAnsi="Arial" w:cs="Arial"/>
          <w:sz w:val="22"/>
          <w:lang w:val="es-ES"/>
        </w:rPr>
        <w:t xml:space="preserve"> esto </w:t>
      </w:r>
      <w:r w:rsidR="0092165E">
        <w:rPr>
          <w:rFonts w:ascii="Arial" w:eastAsia="Calibri" w:hAnsi="Arial" w:cs="Arial"/>
          <w:sz w:val="22"/>
          <w:lang w:val="es-ES"/>
        </w:rPr>
        <w:t>podría</w:t>
      </w:r>
      <w:r w:rsidR="0092165E" w:rsidRPr="00071199">
        <w:rPr>
          <w:rFonts w:ascii="Arial" w:eastAsia="Calibri" w:hAnsi="Arial" w:cs="Arial"/>
          <w:sz w:val="22"/>
          <w:lang w:val="es-ES"/>
        </w:rPr>
        <w:t xml:space="preserve"> </w:t>
      </w:r>
      <w:r w:rsidRPr="00071199">
        <w:rPr>
          <w:rFonts w:ascii="Arial" w:eastAsia="Calibri" w:hAnsi="Arial" w:cs="Arial"/>
          <w:sz w:val="22"/>
          <w:lang w:val="es-ES"/>
        </w:rPr>
        <w:t>limitar la participación de los proveedores por no haber ejecutado un objeto igual pero sí similar, lo que ayuda a que exista pluralidad de oferentes</w:t>
      </w:r>
      <w:r w:rsidR="006A6D10">
        <w:rPr>
          <w:rFonts w:ascii="Arial" w:eastAsia="Calibri" w:hAnsi="Arial" w:cs="Arial"/>
          <w:sz w:val="22"/>
          <w:lang w:val="es-ES"/>
        </w:rPr>
        <w:t>.</w:t>
      </w:r>
    </w:p>
    <w:p w14:paraId="5E1E5095" w14:textId="25F5B038" w:rsidR="00763E45" w:rsidRPr="00763E45" w:rsidRDefault="0029567F" w:rsidP="00763E45">
      <w:pPr>
        <w:spacing w:before="120" w:after="120" w:line="276" w:lineRule="auto"/>
        <w:ind w:firstLine="567"/>
        <w:jc w:val="both"/>
        <w:rPr>
          <w:rFonts w:ascii="Arial" w:eastAsia="Calibri" w:hAnsi="Arial" w:cs="Arial"/>
          <w:color w:val="000000"/>
          <w:sz w:val="22"/>
          <w:highlight w:val="yellow"/>
          <w:lang w:eastAsia="es-ES_tradnl"/>
        </w:rPr>
      </w:pPr>
      <w:r>
        <w:rPr>
          <w:rFonts w:ascii="Arial" w:eastAsia="Calibri" w:hAnsi="Arial" w:cs="Arial"/>
          <w:color w:val="000000"/>
          <w:sz w:val="22"/>
        </w:rPr>
        <w:t>E</w:t>
      </w:r>
      <w:r w:rsidR="00763E45">
        <w:rPr>
          <w:rFonts w:ascii="Arial" w:eastAsia="Calibri" w:hAnsi="Arial" w:cs="Arial"/>
          <w:color w:val="000000"/>
          <w:sz w:val="22"/>
        </w:rPr>
        <w:t>ntr</w:t>
      </w:r>
      <w:r>
        <w:rPr>
          <w:rFonts w:ascii="Arial" w:eastAsia="Calibri" w:hAnsi="Arial" w:cs="Arial"/>
          <w:color w:val="000000"/>
          <w:sz w:val="22"/>
        </w:rPr>
        <w:t>e</w:t>
      </w:r>
      <w:r w:rsidR="00763E45">
        <w:rPr>
          <w:rFonts w:ascii="Arial" w:eastAsia="Calibri" w:hAnsi="Arial" w:cs="Arial"/>
          <w:color w:val="000000"/>
          <w:sz w:val="22"/>
        </w:rPr>
        <w:t xml:space="preserve"> los requisitos habilitantes también se encuentran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00763E45">
        <w:rPr>
          <w:rFonts w:ascii="Arial" w:eastAsia="Calibri" w:hAnsi="Arial" w:cs="Arial"/>
          <w:color w:val="000000"/>
          <w:sz w:val="22"/>
          <w:vertAlign w:val="superscript"/>
        </w:rPr>
        <w:footnoteReference w:id="4"/>
      </w:r>
      <w:r w:rsidR="00763E45">
        <w:rPr>
          <w:rFonts w:ascii="Arial" w:eastAsia="Calibri" w:hAnsi="Arial" w:cs="Arial"/>
          <w:color w:val="000000"/>
          <w:sz w:val="22"/>
        </w:rPr>
        <w:t>.</w:t>
      </w:r>
    </w:p>
    <w:p w14:paraId="41A661B6" w14:textId="0BCBBAE7" w:rsidR="00C30FA5" w:rsidRDefault="00C30FA5" w:rsidP="003150EA">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cuanto </w:t>
      </w:r>
      <w:r w:rsidR="003150EA">
        <w:rPr>
          <w:rFonts w:ascii="Arial" w:hAnsi="Arial" w:cs="Arial"/>
          <w:color w:val="000000" w:themeColor="text1"/>
          <w:sz w:val="22"/>
        </w:rPr>
        <w:t>al cumplimiento</w:t>
      </w:r>
      <w:r>
        <w:rPr>
          <w:rFonts w:ascii="Arial" w:hAnsi="Arial" w:cs="Arial"/>
          <w:color w:val="000000" w:themeColor="text1"/>
          <w:sz w:val="22"/>
        </w:rPr>
        <w:t xml:space="preserve"> de los requisitos habilitantes, </w:t>
      </w:r>
      <w:r w:rsidR="003150EA">
        <w:rPr>
          <w:rFonts w:ascii="Arial" w:hAnsi="Arial" w:cs="Arial"/>
          <w:color w:val="000000" w:themeColor="text1"/>
          <w:sz w:val="22"/>
        </w:rPr>
        <w:t xml:space="preserve">las entidades sometidas a la Ley 80 de 1993 deberán efectuar la evaluación correspondiente teniendo en cuenta la información que reposa en el certificado del </w:t>
      </w:r>
      <w:r w:rsidR="003150EA" w:rsidRPr="00B5494C">
        <w:rPr>
          <w:rFonts w:ascii="Arial" w:hAnsi="Arial" w:cs="Arial"/>
          <w:color w:val="000000" w:themeColor="text1"/>
          <w:sz w:val="22"/>
        </w:rPr>
        <w:t>Registro Único de Proponentes</w:t>
      </w:r>
      <w:r w:rsidR="00EF022B">
        <w:rPr>
          <w:rFonts w:ascii="Arial" w:hAnsi="Arial" w:cs="Arial"/>
          <w:color w:val="000000" w:themeColor="text1"/>
          <w:sz w:val="22"/>
        </w:rPr>
        <w:t xml:space="preserve">, dado que </w:t>
      </w:r>
      <w:r w:rsidR="00EF022B">
        <w:rPr>
          <w:rFonts w:ascii="Arial" w:hAnsi="Arial" w:cs="Arial"/>
          <w:color w:val="000000" w:themeColor="text1"/>
          <w:sz w:val="22"/>
        </w:rPr>
        <w:lastRenderedPageBreak/>
        <w:t>constituye</w:t>
      </w:r>
      <w:r w:rsidR="00EF022B" w:rsidRPr="00EF022B">
        <w:rPr>
          <w:rFonts w:ascii="Arial" w:hAnsi="Arial" w:cs="Arial"/>
          <w:color w:val="000000" w:themeColor="text1"/>
          <w:sz w:val="22"/>
        </w:rPr>
        <w:t xml:space="preserve"> </w:t>
      </w:r>
      <w:r w:rsidR="00EF022B" w:rsidRPr="00B5494C">
        <w:rPr>
          <w:rFonts w:ascii="Arial" w:hAnsi="Arial" w:cs="Arial"/>
          <w:color w:val="000000" w:themeColor="text1"/>
          <w:sz w:val="22"/>
        </w:rPr>
        <w:t>plena prueba de la información que contiene</w:t>
      </w:r>
      <w:r w:rsidR="00EF022B" w:rsidRPr="00B5494C">
        <w:rPr>
          <w:rStyle w:val="Refdenotaalpie"/>
          <w:rFonts w:ascii="Arial" w:hAnsi="Arial" w:cs="Arial"/>
          <w:color w:val="000000" w:themeColor="text1"/>
          <w:sz w:val="22"/>
        </w:rPr>
        <w:footnoteReference w:id="5"/>
      </w:r>
      <w:r w:rsidR="00EF022B">
        <w:rPr>
          <w:rFonts w:ascii="Arial" w:hAnsi="Arial" w:cs="Arial"/>
          <w:color w:val="000000" w:themeColor="text1"/>
          <w:sz w:val="22"/>
        </w:rPr>
        <w:t xml:space="preserve">, </w:t>
      </w:r>
      <w:r w:rsidR="0092165E">
        <w:rPr>
          <w:rFonts w:ascii="Arial" w:hAnsi="Arial" w:cs="Arial"/>
          <w:color w:val="000000" w:themeColor="text1"/>
          <w:sz w:val="22"/>
        </w:rPr>
        <w:t xml:space="preserve">tal como lo </w:t>
      </w:r>
      <w:r w:rsidR="00EF022B">
        <w:rPr>
          <w:rFonts w:ascii="Arial" w:hAnsi="Arial" w:cs="Arial"/>
          <w:color w:val="000000" w:themeColor="text1"/>
          <w:sz w:val="22"/>
        </w:rPr>
        <w:t>establec</w:t>
      </w:r>
      <w:r w:rsidR="0092165E">
        <w:rPr>
          <w:rFonts w:ascii="Arial" w:hAnsi="Arial" w:cs="Arial"/>
          <w:color w:val="000000" w:themeColor="text1"/>
          <w:sz w:val="22"/>
        </w:rPr>
        <w:t>e</w:t>
      </w:r>
      <w:r w:rsidR="00EF022B">
        <w:rPr>
          <w:rFonts w:ascii="Arial" w:hAnsi="Arial" w:cs="Arial"/>
          <w:color w:val="000000" w:themeColor="text1"/>
          <w:sz w:val="22"/>
        </w:rPr>
        <w:t xml:space="preserve"> el </w:t>
      </w:r>
      <w:r>
        <w:rPr>
          <w:rFonts w:ascii="Arial" w:hAnsi="Arial" w:cs="Arial"/>
          <w:color w:val="000000" w:themeColor="text1"/>
          <w:sz w:val="22"/>
        </w:rPr>
        <w:t>artículo 6.1 de l</w:t>
      </w:r>
      <w:r w:rsidRPr="00B5494C">
        <w:rPr>
          <w:rFonts w:ascii="Arial" w:hAnsi="Arial" w:cs="Arial"/>
          <w:color w:val="000000" w:themeColor="text1"/>
          <w:sz w:val="22"/>
        </w:rPr>
        <w:t>a Ley 1150 de 2007</w:t>
      </w:r>
      <w:r w:rsidR="00EF022B">
        <w:rPr>
          <w:rFonts w:ascii="Arial" w:hAnsi="Arial" w:cs="Arial"/>
          <w:color w:val="000000" w:themeColor="text1"/>
          <w:sz w:val="22"/>
        </w:rPr>
        <w:t xml:space="preserve">. </w:t>
      </w:r>
      <w:r w:rsidRPr="00B5494C">
        <w:rPr>
          <w:rFonts w:ascii="Arial" w:hAnsi="Arial" w:cs="Arial"/>
          <w:color w:val="000000" w:themeColor="text1"/>
          <w:sz w:val="22"/>
        </w:rPr>
        <w:t>Por su parte, el artículo 5.1</w:t>
      </w:r>
      <w:r w:rsidR="00EF022B">
        <w:rPr>
          <w:rFonts w:ascii="Arial" w:hAnsi="Arial" w:cs="Arial"/>
          <w:color w:val="000000" w:themeColor="text1"/>
          <w:sz w:val="22"/>
        </w:rPr>
        <w:t xml:space="preserve"> ibídem</w:t>
      </w:r>
      <w:r w:rsidRPr="00B5494C">
        <w:rPr>
          <w:rFonts w:ascii="Arial" w:hAnsi="Arial" w:cs="Arial"/>
          <w:color w:val="000000" w:themeColor="text1"/>
          <w:sz w:val="22"/>
        </w:rPr>
        <w:t xml:space="preserve">, al fijar los criterios que deben tener en cuenta las entidades estatales para garantizar la selección objetiva, dispone que las Cámaras de Comercio </w:t>
      </w:r>
      <w:r>
        <w:rPr>
          <w:rFonts w:ascii="Arial" w:hAnsi="Arial" w:cs="Arial"/>
          <w:color w:val="000000" w:themeColor="text1"/>
          <w:sz w:val="22"/>
        </w:rPr>
        <w:t>verificarán</w:t>
      </w:r>
      <w:r w:rsidRPr="00B5494C">
        <w:rPr>
          <w:rFonts w:ascii="Arial" w:hAnsi="Arial" w:cs="Arial"/>
          <w:color w:val="000000" w:themeColor="text1"/>
          <w:sz w:val="22"/>
        </w:rPr>
        <w:t xml:space="preserve"> la información suministrada por las personas naturales o jurídicas para la inscripción en el Registro</w:t>
      </w:r>
      <w:r>
        <w:rPr>
          <w:rFonts w:ascii="Arial" w:hAnsi="Arial" w:cs="Arial"/>
          <w:color w:val="000000" w:themeColor="text1"/>
          <w:sz w:val="22"/>
        </w:rPr>
        <w:t>. Esta</w:t>
      </w:r>
      <w:r w:rsidRPr="00B5494C">
        <w:rPr>
          <w:rFonts w:ascii="Arial" w:hAnsi="Arial" w:cs="Arial"/>
          <w:color w:val="000000" w:themeColor="text1"/>
          <w:sz w:val="22"/>
        </w:rPr>
        <w:t xml:space="preserve"> información debe tenerse en cuenta por las entidades en los procedimientos de contratación en los que es exigible el RUP</w:t>
      </w:r>
      <w:r w:rsidRPr="00B5494C">
        <w:rPr>
          <w:rStyle w:val="Refdenotaalpie"/>
          <w:rFonts w:ascii="Arial" w:hAnsi="Arial" w:cs="Arial"/>
          <w:color w:val="000000" w:themeColor="text1"/>
          <w:sz w:val="22"/>
        </w:rPr>
        <w:footnoteReference w:id="6"/>
      </w:r>
      <w:r w:rsidRPr="00B5494C">
        <w:rPr>
          <w:rFonts w:ascii="Arial" w:hAnsi="Arial" w:cs="Arial"/>
          <w:color w:val="000000" w:themeColor="text1"/>
          <w:sz w:val="22"/>
        </w:rPr>
        <w:t>.</w:t>
      </w:r>
      <w:r>
        <w:rPr>
          <w:rFonts w:ascii="Arial" w:hAnsi="Arial" w:cs="Arial"/>
          <w:color w:val="000000" w:themeColor="text1"/>
          <w:sz w:val="22"/>
        </w:rPr>
        <w:t xml:space="preserve"> </w:t>
      </w:r>
      <w:r w:rsidRPr="00B5494C">
        <w:rPr>
          <w:rFonts w:ascii="Arial" w:hAnsi="Arial" w:cs="Arial"/>
          <w:color w:val="000000" w:themeColor="text1"/>
          <w:sz w:val="22"/>
        </w:rPr>
        <w:t xml:space="preserve">De esta forma, la capacidad jurídica y las condiciones de experiencia, capacidad financiera y de organización de los proponentes deberán ser verificadas </w:t>
      </w:r>
      <w:r w:rsidRPr="00165E15">
        <w:rPr>
          <w:rFonts w:ascii="Arial" w:hAnsi="Arial" w:cs="Arial"/>
          <w:color w:val="000000" w:themeColor="text1"/>
          <w:sz w:val="22"/>
        </w:rPr>
        <w:t>exclusivamente a través del Registro Único de Proponentes, pues de acuerdo con lo expuesto, este documento es plena prueba de la información financiera, de experiencia y de capacidad acreditada por la persona natural o jurídica</w:t>
      </w:r>
      <w:r w:rsidRPr="00165E15">
        <w:rPr>
          <w:rStyle w:val="Refdenotaalpie"/>
          <w:rFonts w:ascii="Arial" w:hAnsi="Arial" w:cs="Arial"/>
          <w:color w:val="000000" w:themeColor="text1"/>
          <w:sz w:val="22"/>
        </w:rPr>
        <w:footnoteReference w:id="7"/>
      </w:r>
      <w:r w:rsidRPr="00165E15">
        <w:rPr>
          <w:rFonts w:ascii="Arial" w:hAnsi="Arial" w:cs="Arial"/>
          <w:color w:val="000000" w:themeColor="text1"/>
          <w:sz w:val="22"/>
        </w:rPr>
        <w:t xml:space="preserve">. </w:t>
      </w:r>
    </w:p>
    <w:p w14:paraId="47F621E3" w14:textId="7306A672" w:rsidR="00763E45" w:rsidRPr="008923B1" w:rsidRDefault="00E30238" w:rsidP="00763E45">
      <w:pPr>
        <w:spacing w:after="120" w:line="276" w:lineRule="auto"/>
        <w:ind w:firstLine="709"/>
        <w:jc w:val="both"/>
        <w:rPr>
          <w:rFonts w:ascii="Arial" w:hAnsi="Arial" w:cs="Arial"/>
          <w:sz w:val="22"/>
        </w:rPr>
      </w:pPr>
      <w:r w:rsidRPr="008923B1">
        <w:rPr>
          <w:rFonts w:ascii="Arial" w:hAnsi="Arial" w:cs="Arial"/>
          <w:sz w:val="22"/>
        </w:rPr>
        <w:lastRenderedPageBreak/>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8923B1">
        <w:rPr>
          <w:rStyle w:val="Refdenotaalpie"/>
          <w:rFonts w:ascii="Arial" w:hAnsi="Arial" w:cs="Arial"/>
          <w:sz w:val="22"/>
        </w:rPr>
        <w:footnoteReference w:id="8"/>
      </w:r>
      <w:r w:rsidRPr="008923B1">
        <w:rPr>
          <w:rFonts w:ascii="Arial" w:hAnsi="Arial" w:cs="Arial"/>
          <w:sz w:val="22"/>
        </w:rPr>
        <w:t xml:space="preserve">. </w:t>
      </w:r>
      <w:r w:rsidRPr="008923B1">
        <w:rPr>
          <w:rFonts w:ascii="Arial" w:hAnsi="Arial" w:cs="Arial"/>
          <w:sz w:val="22"/>
          <w:lang w:val="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8923B1">
        <w:rPr>
          <w:rFonts w:ascii="Arial" w:hAnsi="Arial" w:cs="Arial"/>
          <w:sz w:val="22"/>
        </w:rPr>
        <w:t>Adicionalmente, en el numeral 6.1. del artículo 6 de la Ley 1150 de 2007 establece que cuando sea necesario verificar requisitos o información que no reposa en RUP, la entidad podrá solicitar información adicional solo para complementar la información contenida en el RUP</w:t>
      </w:r>
      <w:r w:rsidRPr="008923B1">
        <w:rPr>
          <w:rStyle w:val="Refdenotaalpie"/>
          <w:rFonts w:ascii="Arial" w:hAnsi="Arial" w:cs="Arial"/>
          <w:sz w:val="22"/>
        </w:rPr>
        <w:footnoteReference w:id="9"/>
      </w:r>
      <w:r w:rsidRPr="008923B1">
        <w:rPr>
          <w:rFonts w:ascii="Arial" w:hAnsi="Arial" w:cs="Arial"/>
          <w:sz w:val="22"/>
        </w:rPr>
        <w:t>.</w:t>
      </w:r>
    </w:p>
    <w:p w14:paraId="481E286B" w14:textId="17B81DF4" w:rsidR="003D739D" w:rsidRPr="008923B1" w:rsidRDefault="00727B1B" w:rsidP="00FE0DEC">
      <w:pPr>
        <w:spacing w:line="276" w:lineRule="auto"/>
        <w:ind w:firstLine="709"/>
        <w:jc w:val="both"/>
        <w:rPr>
          <w:rFonts w:ascii="Arial" w:eastAsia="Calibri" w:hAnsi="Arial" w:cs="Arial"/>
          <w:sz w:val="22"/>
          <w:lang w:val="es-ES"/>
        </w:rPr>
      </w:pPr>
      <w:r w:rsidRPr="008923B1">
        <w:rPr>
          <w:rFonts w:ascii="Arial" w:eastAsia="Calibri" w:hAnsi="Arial" w:cs="Arial"/>
          <w:sz w:val="22"/>
          <w:lang w:val="es-ES"/>
        </w:rPr>
        <w:t>Por tanto</w:t>
      </w:r>
      <w:r w:rsidR="00205E65" w:rsidRPr="008923B1">
        <w:rPr>
          <w:rFonts w:ascii="Arial" w:eastAsia="Calibri" w:hAnsi="Arial" w:cs="Arial"/>
          <w:sz w:val="22"/>
          <w:lang w:val="es-ES"/>
        </w:rPr>
        <w:t xml:space="preserve">, las </w:t>
      </w:r>
      <w:r w:rsidR="00763E45" w:rsidRPr="008923B1">
        <w:rPr>
          <w:rFonts w:ascii="Arial" w:eastAsia="Calibri" w:hAnsi="Arial" w:cs="Arial"/>
          <w:sz w:val="22"/>
          <w:lang w:val="es-ES"/>
        </w:rPr>
        <w:t xml:space="preserve">entidades que se rigen por el Estatuto General de Contratación de la Administración Pública, </w:t>
      </w:r>
      <w:r w:rsidR="00FE0DEC" w:rsidRPr="008923B1">
        <w:rPr>
          <w:rFonts w:ascii="Arial" w:eastAsia="Calibri" w:hAnsi="Arial" w:cs="Arial"/>
          <w:sz w:val="22"/>
          <w:lang w:val="es-ES"/>
        </w:rPr>
        <w:t xml:space="preserve">como regla general </w:t>
      </w:r>
      <w:r w:rsidR="00205E65" w:rsidRPr="008923B1">
        <w:rPr>
          <w:rFonts w:ascii="Arial" w:eastAsia="Calibri" w:hAnsi="Arial" w:cs="Arial"/>
          <w:sz w:val="22"/>
          <w:lang w:val="es-ES"/>
        </w:rPr>
        <w:t xml:space="preserve">deberán </w:t>
      </w:r>
      <w:r w:rsidR="00D106D4" w:rsidRPr="008923B1">
        <w:rPr>
          <w:rFonts w:ascii="Arial" w:eastAsia="Calibri" w:hAnsi="Arial" w:cs="Arial"/>
          <w:sz w:val="22"/>
          <w:lang w:val="es-ES"/>
        </w:rPr>
        <w:t xml:space="preserve">tener en cuenta el certificado </w:t>
      </w:r>
      <w:r w:rsidR="00FE0DEC" w:rsidRPr="008923B1">
        <w:rPr>
          <w:rFonts w:ascii="Arial" w:eastAsia="Calibri" w:hAnsi="Arial" w:cs="Arial"/>
          <w:sz w:val="22"/>
          <w:lang w:val="es-ES"/>
        </w:rPr>
        <w:t>del RUP</w:t>
      </w:r>
      <w:r w:rsidR="00205E65" w:rsidRPr="008923B1">
        <w:rPr>
          <w:rFonts w:ascii="Arial" w:eastAsia="Calibri" w:hAnsi="Arial" w:cs="Arial"/>
          <w:sz w:val="22"/>
          <w:lang w:val="es-ES"/>
        </w:rPr>
        <w:t xml:space="preserve"> en la determinación y evaluación de los requisitos habilitantes</w:t>
      </w:r>
      <w:r w:rsidR="00FE0DEC" w:rsidRPr="008923B1">
        <w:rPr>
          <w:rFonts w:ascii="Arial" w:eastAsia="Calibri" w:hAnsi="Arial" w:cs="Arial"/>
          <w:sz w:val="22"/>
          <w:lang w:val="es-ES"/>
        </w:rPr>
        <w:t>;</w:t>
      </w:r>
      <w:r w:rsidR="00205E65" w:rsidRPr="008923B1">
        <w:rPr>
          <w:rFonts w:ascii="Arial" w:eastAsia="Calibri" w:hAnsi="Arial" w:cs="Arial"/>
          <w:sz w:val="22"/>
          <w:lang w:val="es-ES"/>
        </w:rPr>
        <w:t xml:space="preserve"> por su </w:t>
      </w:r>
      <w:r w:rsidR="00D106D4" w:rsidRPr="008923B1">
        <w:rPr>
          <w:rFonts w:ascii="Arial" w:eastAsia="Calibri" w:hAnsi="Arial" w:cs="Arial"/>
          <w:sz w:val="22"/>
          <w:lang w:val="es-ES"/>
        </w:rPr>
        <w:t>parte, las</w:t>
      </w:r>
      <w:r w:rsidR="00205E65" w:rsidRPr="008923B1">
        <w:rPr>
          <w:rFonts w:ascii="Arial" w:eastAsia="Calibri" w:hAnsi="Arial" w:cs="Arial"/>
          <w:sz w:val="22"/>
          <w:lang w:val="es-ES"/>
        </w:rPr>
        <w:t xml:space="preserve"> entidades exceptuadas de dicho régimen </w:t>
      </w:r>
      <w:r w:rsidR="002321EA" w:rsidRPr="008923B1">
        <w:rPr>
          <w:rFonts w:ascii="Arial" w:eastAsia="Calibri" w:hAnsi="Arial" w:cs="Arial"/>
          <w:sz w:val="22"/>
          <w:lang w:val="es-ES"/>
        </w:rPr>
        <w:t>no</w:t>
      </w:r>
      <w:r w:rsidR="00FE0DEC" w:rsidRPr="008923B1">
        <w:rPr>
          <w:rFonts w:ascii="Arial" w:eastAsia="Calibri" w:hAnsi="Arial" w:cs="Arial"/>
          <w:sz w:val="22"/>
          <w:lang w:val="es-ES"/>
        </w:rPr>
        <w:t xml:space="preserve"> están</w:t>
      </w:r>
      <w:r w:rsidR="002321EA" w:rsidRPr="008923B1">
        <w:rPr>
          <w:rFonts w:ascii="Arial" w:eastAsia="Calibri" w:hAnsi="Arial" w:cs="Arial"/>
          <w:sz w:val="22"/>
          <w:lang w:val="es-ES"/>
        </w:rPr>
        <w:t xml:space="preserve"> </w:t>
      </w:r>
      <w:r w:rsidR="00D106D4" w:rsidRPr="008923B1">
        <w:rPr>
          <w:rFonts w:ascii="Arial" w:eastAsia="Calibri" w:hAnsi="Arial" w:cs="Arial"/>
          <w:sz w:val="22"/>
          <w:lang w:val="es-ES"/>
        </w:rPr>
        <w:t xml:space="preserve">obligadas a </w:t>
      </w:r>
      <w:r w:rsidR="00761989" w:rsidRPr="008923B1">
        <w:rPr>
          <w:rFonts w:ascii="Arial" w:eastAsia="Calibri" w:hAnsi="Arial" w:cs="Arial"/>
          <w:sz w:val="22"/>
          <w:lang w:val="es-ES"/>
        </w:rPr>
        <w:t xml:space="preserve">utilizar </w:t>
      </w:r>
      <w:r w:rsidR="00D106D4" w:rsidRPr="008923B1">
        <w:rPr>
          <w:rFonts w:ascii="Arial" w:eastAsia="Calibri" w:hAnsi="Arial" w:cs="Arial"/>
          <w:sz w:val="22"/>
          <w:lang w:val="es-ES"/>
        </w:rPr>
        <w:t>el RUP</w:t>
      </w:r>
      <w:r w:rsidR="00192751" w:rsidRPr="008923B1">
        <w:rPr>
          <w:rFonts w:ascii="Arial" w:eastAsia="Calibri" w:hAnsi="Arial" w:cs="Arial"/>
          <w:sz w:val="22"/>
          <w:lang w:val="es-ES"/>
        </w:rPr>
        <w:t>, precisamente por ser un registro propio de los contratos sometidos al EGCAP</w:t>
      </w:r>
      <w:r w:rsidR="00D106D4" w:rsidRPr="008923B1">
        <w:rPr>
          <w:rFonts w:ascii="Arial" w:eastAsia="Calibri" w:hAnsi="Arial" w:cs="Arial"/>
          <w:sz w:val="22"/>
          <w:lang w:val="es-ES"/>
        </w:rPr>
        <w:t xml:space="preserve">. </w:t>
      </w:r>
      <w:r w:rsidRPr="008923B1">
        <w:rPr>
          <w:rFonts w:ascii="Arial" w:eastAsia="Calibri" w:hAnsi="Arial" w:cs="Arial"/>
          <w:sz w:val="22"/>
          <w:lang w:val="es-ES"/>
        </w:rPr>
        <w:t>Sin embargo</w:t>
      </w:r>
      <w:r w:rsidR="003D739D" w:rsidRPr="008923B1">
        <w:rPr>
          <w:rFonts w:ascii="Arial" w:eastAsia="Calibri" w:hAnsi="Arial" w:cs="Arial"/>
          <w:sz w:val="22"/>
          <w:lang w:val="es-ES"/>
        </w:rPr>
        <w:t xml:space="preserve">, dicha </w:t>
      </w:r>
      <w:r w:rsidR="000533A3" w:rsidRPr="008923B1">
        <w:rPr>
          <w:rFonts w:ascii="Arial" w:eastAsia="Calibri" w:hAnsi="Arial" w:cs="Arial"/>
          <w:sz w:val="22"/>
          <w:lang w:val="es-ES"/>
        </w:rPr>
        <w:t xml:space="preserve">excepcionalidad </w:t>
      </w:r>
      <w:r w:rsidR="003D739D" w:rsidRPr="008923B1">
        <w:rPr>
          <w:rFonts w:ascii="Arial" w:eastAsia="Calibri" w:hAnsi="Arial" w:cs="Arial"/>
          <w:sz w:val="22"/>
          <w:lang w:val="es-ES"/>
        </w:rPr>
        <w:t xml:space="preserve">no es óbice para que voluntariamente puedan </w:t>
      </w:r>
      <w:r w:rsidR="00D106D4" w:rsidRPr="008923B1">
        <w:rPr>
          <w:rFonts w:ascii="Arial" w:eastAsia="Calibri" w:hAnsi="Arial" w:cs="Arial"/>
          <w:sz w:val="22"/>
          <w:lang w:val="es-ES"/>
        </w:rPr>
        <w:t>solicitarlo</w:t>
      </w:r>
      <w:r w:rsidR="003D739D" w:rsidRPr="008923B1">
        <w:rPr>
          <w:rFonts w:ascii="Arial" w:eastAsia="Calibri" w:hAnsi="Arial" w:cs="Arial"/>
          <w:sz w:val="22"/>
          <w:lang w:val="es-ES"/>
        </w:rPr>
        <w:t xml:space="preserve"> </w:t>
      </w:r>
      <w:r w:rsidR="00FE0DEC" w:rsidRPr="008923B1">
        <w:rPr>
          <w:rFonts w:ascii="Arial" w:eastAsia="Calibri" w:hAnsi="Arial" w:cs="Arial"/>
          <w:sz w:val="22"/>
          <w:lang w:val="es-ES"/>
        </w:rPr>
        <w:t xml:space="preserve">como </w:t>
      </w:r>
      <w:r w:rsidR="00192751" w:rsidRPr="008923B1">
        <w:rPr>
          <w:rFonts w:ascii="Arial" w:eastAsia="Calibri" w:hAnsi="Arial" w:cs="Arial"/>
          <w:sz w:val="22"/>
          <w:lang w:val="es-ES"/>
        </w:rPr>
        <w:t xml:space="preserve">uno de los </w:t>
      </w:r>
      <w:r w:rsidR="00FE0DEC" w:rsidRPr="008923B1">
        <w:rPr>
          <w:rFonts w:ascii="Arial" w:eastAsia="Calibri" w:hAnsi="Arial" w:cs="Arial"/>
          <w:sz w:val="22"/>
          <w:lang w:val="es-ES"/>
        </w:rPr>
        <w:t>medio</w:t>
      </w:r>
      <w:r w:rsidR="00192751" w:rsidRPr="008923B1">
        <w:rPr>
          <w:rFonts w:ascii="Arial" w:eastAsia="Calibri" w:hAnsi="Arial" w:cs="Arial"/>
          <w:sz w:val="22"/>
          <w:lang w:val="es-ES"/>
        </w:rPr>
        <w:t>s</w:t>
      </w:r>
      <w:r w:rsidR="00FE0DEC" w:rsidRPr="008923B1">
        <w:rPr>
          <w:rFonts w:ascii="Arial" w:eastAsia="Calibri" w:hAnsi="Arial" w:cs="Arial"/>
          <w:sz w:val="22"/>
          <w:lang w:val="es-ES"/>
        </w:rPr>
        <w:t xml:space="preserve"> </w:t>
      </w:r>
      <w:r w:rsidR="00035059" w:rsidRPr="008923B1">
        <w:rPr>
          <w:rFonts w:ascii="Arial" w:eastAsia="Calibri" w:hAnsi="Arial" w:cs="Arial"/>
          <w:sz w:val="22"/>
          <w:lang w:val="es-ES"/>
        </w:rPr>
        <w:t xml:space="preserve">mediante los cuales los proponentes pueden acreditar algunos de los requisitos </w:t>
      </w:r>
      <w:r w:rsidR="00035059" w:rsidRPr="008923B1">
        <w:rPr>
          <w:rFonts w:ascii="Arial" w:eastAsia="Calibri" w:hAnsi="Arial" w:cs="Arial"/>
          <w:sz w:val="22"/>
          <w:lang w:val="es-ES"/>
        </w:rPr>
        <w:lastRenderedPageBreak/>
        <w:t xml:space="preserve">exigidos en </w:t>
      </w:r>
      <w:r w:rsidR="003D739D" w:rsidRPr="008923B1">
        <w:rPr>
          <w:rFonts w:ascii="Arial" w:eastAsia="Calibri" w:hAnsi="Arial" w:cs="Arial"/>
          <w:sz w:val="22"/>
          <w:lang w:val="es-ES"/>
        </w:rPr>
        <w:t>los procesos de contratación que adelanten, previa inclusión y adecuación dentro de sus manuales de contratación</w:t>
      </w:r>
      <w:r w:rsidR="00761989" w:rsidRPr="008923B1">
        <w:rPr>
          <w:rFonts w:ascii="Arial" w:eastAsia="Calibri" w:hAnsi="Arial" w:cs="Arial"/>
          <w:sz w:val="22"/>
          <w:lang w:val="es-ES"/>
        </w:rPr>
        <w:t xml:space="preserve"> o en sus </w:t>
      </w:r>
      <w:r w:rsidR="00035059" w:rsidRPr="008923B1">
        <w:rPr>
          <w:rFonts w:ascii="Arial" w:eastAsia="Calibri" w:hAnsi="Arial" w:cs="Arial"/>
          <w:sz w:val="22"/>
          <w:lang w:val="es-ES"/>
        </w:rPr>
        <w:t>procesos contractuales</w:t>
      </w:r>
      <w:r w:rsidR="00761989" w:rsidRPr="008923B1">
        <w:rPr>
          <w:rFonts w:ascii="Arial" w:eastAsia="Calibri" w:hAnsi="Arial" w:cs="Arial"/>
          <w:sz w:val="22"/>
          <w:lang w:val="es-ES"/>
        </w:rPr>
        <w:t>.</w:t>
      </w:r>
    </w:p>
    <w:p w14:paraId="06B31492" w14:textId="77777777" w:rsidR="00683DD7" w:rsidRPr="00071199" w:rsidRDefault="00683DD7" w:rsidP="00683DD7">
      <w:pPr>
        <w:ind w:firstLine="703"/>
        <w:jc w:val="both"/>
        <w:rPr>
          <w:rFonts w:ascii="Arial" w:eastAsia="Calibri" w:hAnsi="Arial" w:cs="Arial"/>
          <w:sz w:val="22"/>
          <w:lang w:val="es-ES"/>
        </w:rPr>
      </w:pPr>
    </w:p>
    <w:p w14:paraId="28CB9669" w14:textId="5C914EEB" w:rsidR="003C592E" w:rsidRPr="00071199" w:rsidRDefault="003C592E" w:rsidP="003C592E">
      <w:pPr>
        <w:spacing w:line="276" w:lineRule="auto"/>
        <w:jc w:val="both"/>
        <w:rPr>
          <w:rFonts w:ascii="Arial" w:eastAsia="Calibri" w:hAnsi="Arial" w:cs="Arial"/>
          <w:b/>
          <w:bCs/>
          <w:sz w:val="22"/>
          <w:lang w:val="es-ES"/>
        </w:rPr>
      </w:pPr>
      <w:r w:rsidRPr="00071199">
        <w:rPr>
          <w:rFonts w:ascii="Arial" w:eastAsia="Calibri" w:hAnsi="Arial" w:cs="Arial"/>
          <w:b/>
          <w:bCs/>
          <w:sz w:val="22"/>
          <w:lang w:val="es-ES"/>
        </w:rPr>
        <w:t>2.</w:t>
      </w:r>
      <w:r w:rsidR="0002463A">
        <w:rPr>
          <w:rFonts w:ascii="Arial" w:eastAsia="Calibri" w:hAnsi="Arial" w:cs="Arial"/>
          <w:b/>
          <w:bCs/>
          <w:sz w:val="22"/>
          <w:lang w:val="es-ES"/>
        </w:rPr>
        <w:t>2</w:t>
      </w:r>
      <w:r w:rsidRPr="00071199">
        <w:rPr>
          <w:rFonts w:ascii="Arial" w:eastAsia="Calibri" w:hAnsi="Arial" w:cs="Arial"/>
          <w:b/>
          <w:bCs/>
          <w:sz w:val="22"/>
          <w:lang w:val="es-ES"/>
        </w:rPr>
        <w:t>. Acreditación de experiencia por parte de sociedades con menos de tres años de constitución</w:t>
      </w:r>
    </w:p>
    <w:p w14:paraId="2555FA83" w14:textId="77777777" w:rsidR="003C592E" w:rsidRPr="000C59F5" w:rsidRDefault="003C592E" w:rsidP="003C592E">
      <w:pPr>
        <w:spacing w:line="276" w:lineRule="auto"/>
        <w:ind w:firstLine="708"/>
        <w:jc w:val="both"/>
        <w:rPr>
          <w:rFonts w:ascii="Arial" w:eastAsia="Calibri" w:hAnsi="Arial" w:cs="Arial"/>
          <w:sz w:val="22"/>
          <w:lang w:val="es-ES_tradnl"/>
        </w:rPr>
      </w:pPr>
    </w:p>
    <w:p w14:paraId="6E782830" w14:textId="77777777" w:rsidR="003C592E" w:rsidRPr="00071199" w:rsidRDefault="003C592E" w:rsidP="003C592E">
      <w:pPr>
        <w:spacing w:line="276" w:lineRule="auto"/>
        <w:jc w:val="both"/>
        <w:rPr>
          <w:rFonts w:ascii="Arial" w:eastAsia="Calibri" w:hAnsi="Arial" w:cs="Arial"/>
          <w:sz w:val="22"/>
          <w:lang w:val="es-ES"/>
        </w:rPr>
      </w:pPr>
      <w:r w:rsidRPr="00071199">
        <w:rPr>
          <w:rFonts w:ascii="Arial" w:eastAsia="Calibri" w:hAnsi="Arial" w:cs="Arial"/>
          <w:sz w:val="22"/>
          <w:lang w:val="es-E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37D1FAA8" w14:textId="77777777" w:rsidR="003C592E" w:rsidRPr="00071199" w:rsidRDefault="003C592E" w:rsidP="003C592E">
      <w:pPr>
        <w:spacing w:before="120" w:after="120" w:line="276" w:lineRule="auto"/>
        <w:ind w:firstLine="708"/>
        <w:jc w:val="both"/>
        <w:rPr>
          <w:rFonts w:ascii="Arial" w:eastAsia="Calibri" w:hAnsi="Arial" w:cs="Arial"/>
          <w:sz w:val="22"/>
          <w:lang w:val="es-ES"/>
        </w:rPr>
      </w:pPr>
      <w:r w:rsidRPr="00071199">
        <w:rPr>
          <w:rFonts w:ascii="Arial" w:eastAsia="Calibri" w:hAnsi="Arial" w:cs="Arial"/>
          <w:sz w:val="22"/>
          <w:lang w:val="es-E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vertAlign w:val="superscript"/>
          <w:lang w:val="es-ES"/>
        </w:rPr>
        <w:footnoteReference w:id="10"/>
      </w:r>
      <w:r w:rsidRPr="00071199">
        <w:rPr>
          <w:rFonts w:ascii="Arial" w:eastAsia="Calibri" w:hAnsi="Arial" w:cs="Arial"/>
          <w:sz w:val="22"/>
          <w:lang w:val="es-ES"/>
        </w:rPr>
        <w:t xml:space="preserve">.  </w:t>
      </w:r>
    </w:p>
    <w:p w14:paraId="0D89D9D9" w14:textId="77777777" w:rsidR="003C592E" w:rsidRPr="00071199" w:rsidRDefault="003C592E" w:rsidP="003C592E">
      <w:pPr>
        <w:spacing w:before="120" w:after="120" w:line="276" w:lineRule="auto"/>
        <w:ind w:firstLine="708"/>
        <w:jc w:val="both"/>
        <w:rPr>
          <w:rFonts w:ascii="Arial" w:eastAsia="Calibri" w:hAnsi="Arial" w:cs="Arial"/>
          <w:sz w:val="22"/>
          <w:lang w:val="es-ES"/>
        </w:rPr>
      </w:pPr>
      <w:r w:rsidRPr="00071199">
        <w:rPr>
          <w:rFonts w:ascii="Arial" w:eastAsia="Calibri" w:hAnsi="Arial" w:cs="Arial"/>
          <w:sz w:val="22"/>
          <w:lang w:val="es-ES"/>
        </w:rPr>
        <w:t>El numeral 2.5</w:t>
      </w:r>
      <w:r w:rsidRPr="00071199">
        <w:rPr>
          <w:rFonts w:ascii="Arial" w:eastAsia="Calibri" w:hAnsi="Arial" w:cs="Arial"/>
          <w:sz w:val="22"/>
          <w:vertAlign w:val="superscript"/>
          <w:lang w:val="es-ES"/>
        </w:rPr>
        <w:footnoteReference w:id="11"/>
      </w:r>
      <w:r w:rsidRPr="00071199">
        <w:rPr>
          <w:rFonts w:ascii="Arial" w:eastAsia="Calibri" w:hAnsi="Arial" w:cs="Arial"/>
          <w:sz w:val="22"/>
          <w:lang w:val="es-ES"/>
        </w:rPr>
        <w:t xml:space="preserve"> del mismo artículo señala que la persona jurídica se registrará aportando los certificados de la experiencia en la provisión de los bienes, obras y servicios </w:t>
      </w:r>
      <w:r w:rsidRPr="00071199">
        <w:rPr>
          <w:rFonts w:ascii="Arial" w:eastAsia="Calibri" w:hAnsi="Arial" w:cs="Arial"/>
          <w:sz w:val="22"/>
          <w:lang w:val="es-ES"/>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7F20D78A" w14:textId="77777777" w:rsidR="003C592E" w:rsidRPr="00071199" w:rsidRDefault="003C592E" w:rsidP="003C592E">
      <w:pPr>
        <w:spacing w:before="120" w:after="120" w:line="276" w:lineRule="auto"/>
        <w:ind w:firstLine="708"/>
        <w:jc w:val="both"/>
        <w:rPr>
          <w:rFonts w:ascii="Arial" w:eastAsia="Calibri" w:hAnsi="Arial" w:cs="Arial"/>
          <w:sz w:val="22"/>
          <w:lang w:val="es-ES"/>
        </w:rPr>
      </w:pPr>
      <w:bookmarkStart w:id="3" w:name="_Hlk67496603"/>
      <w:r w:rsidRPr="00071199">
        <w:rPr>
          <w:rFonts w:ascii="Arial" w:eastAsia="Calibri" w:hAnsi="Arial" w:cs="Arial"/>
          <w:sz w:val="22"/>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29F9C2BE" w14:textId="77777777" w:rsidR="003C592E" w:rsidRPr="00071199" w:rsidRDefault="003C592E" w:rsidP="0002463A">
      <w:pPr>
        <w:spacing w:after="120" w:line="276" w:lineRule="auto"/>
        <w:ind w:firstLine="709"/>
        <w:jc w:val="both"/>
        <w:rPr>
          <w:rFonts w:ascii="Arial" w:eastAsia="Calibri" w:hAnsi="Arial" w:cs="Arial"/>
          <w:sz w:val="22"/>
          <w:lang w:val="es-ES"/>
        </w:rPr>
      </w:pPr>
      <w:r w:rsidRPr="00071199">
        <w:rPr>
          <w:rFonts w:ascii="Arial" w:eastAsia="Calibri" w:hAnsi="Arial" w:cs="Arial"/>
          <w:sz w:val="22"/>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3"/>
    <w:p w14:paraId="6EC4C4FF" w14:textId="7EC2037C" w:rsidR="00C70DD7" w:rsidRPr="009C5686" w:rsidRDefault="00C67F5A" w:rsidP="00C70DD7">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2.3. </w:t>
      </w:r>
      <w:r w:rsidR="00C70DD7" w:rsidRPr="009C5686">
        <w:rPr>
          <w:rFonts w:ascii="Arial" w:eastAsia="Calibri" w:hAnsi="Arial" w:cs="Arial"/>
          <w:b/>
          <w:bCs/>
          <w:color w:val="000000" w:themeColor="text1"/>
          <w:sz w:val="22"/>
          <w:lang w:val="es-ES_tradnl"/>
        </w:rPr>
        <w:t>Modificaciones introducidas por los Decretos 399 de 2021 y 579 de 2021 y verificación de la capacidad financiera y organizacional</w:t>
      </w:r>
    </w:p>
    <w:p w14:paraId="0DC66380" w14:textId="77777777" w:rsidR="00C70DD7" w:rsidRPr="009C5686" w:rsidRDefault="00C70DD7" w:rsidP="00C70DD7">
      <w:pPr>
        <w:spacing w:line="276" w:lineRule="auto"/>
        <w:jc w:val="both"/>
        <w:rPr>
          <w:rFonts w:ascii="Arial" w:eastAsia="Calibri" w:hAnsi="Arial" w:cs="Arial"/>
          <w:color w:val="000000" w:themeColor="text1"/>
          <w:sz w:val="22"/>
          <w:lang w:val="es-ES_tradnl"/>
        </w:rPr>
      </w:pPr>
    </w:p>
    <w:p w14:paraId="0EE3D888" w14:textId="065C2082" w:rsidR="00C70DD7" w:rsidRPr="009C5686" w:rsidRDefault="00994779" w:rsidP="00C70DD7">
      <w:pPr>
        <w:spacing w:line="276" w:lineRule="auto"/>
        <w:jc w:val="both"/>
        <w:rPr>
          <w:rFonts w:ascii="Arial" w:eastAsia="Calibri" w:hAnsi="Arial" w:cs="Arial"/>
          <w:color w:val="000000" w:themeColor="text1"/>
          <w:sz w:val="22"/>
          <w:lang w:val="es-ES_tradnl"/>
        </w:rPr>
      </w:pPr>
      <w:r w:rsidRPr="00645543">
        <w:rPr>
          <w:rFonts w:ascii="Arial" w:eastAsia="Calibri" w:hAnsi="Arial" w:cs="Arial"/>
          <w:color w:val="000000"/>
          <w:sz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645543">
        <w:rPr>
          <w:rFonts w:ascii="Arial" w:eastAsia="Calibri" w:hAnsi="Arial" w:cs="Arial"/>
          <w:i/>
          <w:iCs/>
          <w:color w:val="000000"/>
          <w:sz w:val="22"/>
          <w:lang w:val="es-ES_tradnl"/>
        </w:rPr>
        <w:t>julio</w:t>
      </w:r>
      <w:r w:rsidRPr="00645543">
        <w:rPr>
          <w:rFonts w:ascii="Arial" w:eastAsia="Calibri" w:hAnsi="Arial" w:cs="Arial"/>
          <w:color w:val="000000"/>
          <w:sz w:val="22"/>
          <w:lang w:val="es-ES_tradnl"/>
        </w:rPr>
        <w:t xml:space="preserve"> de 2021</w:t>
      </w:r>
      <w:r w:rsidRPr="00645543">
        <w:rPr>
          <w:rFonts w:ascii="Arial" w:eastAsia="Calibri" w:hAnsi="Arial" w:cs="Arial"/>
          <w:color w:val="000000"/>
          <w:sz w:val="22"/>
          <w:vertAlign w:val="superscript"/>
          <w:lang w:val="es-ES_tradnl"/>
        </w:rPr>
        <w:footnoteReference w:id="12"/>
      </w:r>
      <w:r w:rsidRPr="00645543">
        <w:rPr>
          <w:rFonts w:ascii="Arial" w:eastAsia="Calibri" w:hAnsi="Arial" w:cs="Arial"/>
          <w:color w:val="000000"/>
          <w:sz w:val="22"/>
          <w:lang w:val="es-ES_tradnl"/>
        </w:rPr>
        <w:t xml:space="preserve"> las entidades estatales deberán tener en </w:t>
      </w:r>
      <w:r w:rsidRPr="00645543">
        <w:rPr>
          <w:rFonts w:ascii="Arial" w:eastAsia="Calibri" w:hAnsi="Arial" w:cs="Arial"/>
          <w:color w:val="000000"/>
          <w:sz w:val="22"/>
          <w:lang w:val="es-ES_tradnl"/>
        </w:rPr>
        <w:lastRenderedPageBreak/>
        <w:t>cuenta los datos sobre la capacidad financiera y organizacional de los últimos tres años, consignada en el RUP. Así lo justifica textualmente el reglamento mencionado, en sus consideraciones:</w:t>
      </w:r>
    </w:p>
    <w:p w14:paraId="55F68144"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p>
    <w:p w14:paraId="6CC9FFD1"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C67E745"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p>
    <w:p w14:paraId="591FFCBC"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1"/>
          <w:szCs w:val="21"/>
          <w:lang w:val="es-ES_tradnl"/>
        </w:rPr>
        <w:t>[…]</w:t>
      </w:r>
    </w:p>
    <w:p w14:paraId="3B2F9AC1"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p>
    <w:p w14:paraId="2C50AB84"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DD0B2C8"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p>
    <w:p w14:paraId="3A67759A"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2E1771B5" w14:textId="77777777" w:rsidR="00C70DD7" w:rsidRPr="009C5686" w:rsidRDefault="00C70DD7" w:rsidP="00C70DD7">
      <w:pPr>
        <w:spacing w:line="276" w:lineRule="auto"/>
        <w:jc w:val="both"/>
        <w:rPr>
          <w:rFonts w:ascii="Arial" w:eastAsia="Calibri" w:hAnsi="Arial" w:cs="Arial"/>
          <w:color w:val="000000" w:themeColor="text1"/>
          <w:sz w:val="22"/>
          <w:lang w:val="es-ES_tradnl"/>
        </w:rPr>
      </w:pPr>
    </w:p>
    <w:p w14:paraId="44E1F7F8" w14:textId="16A01673" w:rsidR="001F042B" w:rsidRPr="009C5686" w:rsidRDefault="00994779" w:rsidP="001F042B">
      <w:pPr>
        <w:spacing w:after="120" w:line="276" w:lineRule="auto"/>
        <w:ind w:firstLine="709"/>
        <w:jc w:val="both"/>
        <w:rPr>
          <w:rFonts w:ascii="Arial" w:eastAsia="Calibri" w:hAnsi="Arial" w:cs="Arial"/>
          <w:color w:val="000000" w:themeColor="text1"/>
          <w:sz w:val="22"/>
          <w:lang w:val="es-ES_tradnl"/>
        </w:rPr>
      </w:pPr>
      <w:r w:rsidRPr="00645543">
        <w:rPr>
          <w:rFonts w:ascii="Arial" w:eastAsia="Calibri" w:hAnsi="Arial" w:cs="Arial"/>
          <w:color w:val="000000"/>
          <w:sz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645543">
        <w:rPr>
          <w:rFonts w:ascii="Arial" w:eastAsia="Calibri" w:hAnsi="Arial" w:cs="Arial"/>
          <w:color w:val="000000"/>
          <w:sz w:val="22"/>
          <w:vertAlign w:val="superscript"/>
          <w:lang w:val="es-ES_tradnl"/>
        </w:rPr>
        <w:footnoteReference w:id="13"/>
      </w:r>
      <w:r w:rsidRPr="00645543">
        <w:rPr>
          <w:rFonts w:ascii="Arial" w:eastAsia="Calibri" w:hAnsi="Arial" w:cs="Arial"/>
          <w:color w:val="000000"/>
          <w:sz w:val="22"/>
          <w:lang w:val="es-ES_tradnl"/>
        </w:rPr>
        <w:t xml:space="preserve">. El </w:t>
      </w:r>
      <w:r w:rsidRPr="00645543">
        <w:rPr>
          <w:rFonts w:ascii="Arial" w:eastAsia="Calibri" w:hAnsi="Arial" w:cs="Arial"/>
          <w:color w:val="000000"/>
          <w:sz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w:t>
      </w:r>
      <w:r w:rsidR="00C70DD7" w:rsidRPr="009C5686">
        <w:rPr>
          <w:rFonts w:ascii="Arial" w:eastAsia="Calibri" w:hAnsi="Arial" w:cs="Arial"/>
          <w:color w:val="000000" w:themeColor="text1"/>
          <w:sz w:val="22"/>
          <w:lang w:val="es-ES_tradnl"/>
        </w:rPr>
        <w:t xml:space="preserve"> </w:t>
      </w:r>
    </w:p>
    <w:p w14:paraId="71C06B0B" w14:textId="120796C0" w:rsidR="00D03E33" w:rsidRPr="009C5686" w:rsidRDefault="004841D6" w:rsidP="004841D6">
      <w:pPr>
        <w:spacing w:after="120" w:line="276" w:lineRule="auto"/>
        <w:ind w:firstLine="709"/>
        <w:jc w:val="both"/>
        <w:rPr>
          <w:rFonts w:ascii="Arial" w:eastAsia="Calibri" w:hAnsi="Arial" w:cs="Arial"/>
          <w:color w:val="000000" w:themeColor="text1"/>
          <w:sz w:val="22"/>
          <w:lang w:val="es-ES_tradnl"/>
        </w:rPr>
      </w:pPr>
      <w:r w:rsidRPr="009C5686">
        <w:rPr>
          <w:rFonts w:ascii="Arial" w:eastAsia="Calibri" w:hAnsi="Arial" w:cs="Arial"/>
          <w:color w:val="000000" w:themeColor="text1"/>
          <w:sz w:val="22"/>
          <w:lang w:val="es-ES_tradnl"/>
        </w:rPr>
        <w:t>De igual forma</w:t>
      </w:r>
      <w:r w:rsidR="00C70DD7" w:rsidRPr="009C5686">
        <w:rPr>
          <w:rFonts w:ascii="Arial" w:eastAsia="Calibri" w:hAnsi="Arial" w:cs="Arial"/>
          <w:color w:val="000000" w:themeColor="text1"/>
          <w:sz w:val="22"/>
          <w:lang w:val="es-ES_tradnl"/>
        </w:rPr>
        <w:t>, el artículo 5 del Decreto 399 de 2021 adicion</w:t>
      </w:r>
      <w:r w:rsidR="0026464B">
        <w:rPr>
          <w:rFonts w:ascii="Arial" w:eastAsia="Calibri" w:hAnsi="Arial" w:cs="Arial"/>
          <w:color w:val="000000" w:themeColor="text1"/>
          <w:sz w:val="22"/>
          <w:lang w:val="es-ES_tradnl"/>
        </w:rPr>
        <w:t>ó</w:t>
      </w:r>
      <w:r w:rsidR="00C70DD7" w:rsidRPr="009C5686">
        <w:rPr>
          <w:rFonts w:ascii="Arial" w:eastAsia="Calibri" w:hAnsi="Arial" w:cs="Arial"/>
          <w:color w:val="000000" w:themeColor="text1"/>
          <w:sz w:val="22"/>
          <w:lang w:val="es-ES_tradnl"/>
        </w:rPr>
        <w:t xml:space="preserve"> dos parágrafos transitorios al artículo 2.2.1.1.1.5.6. del Decreto 1082 de 2015, que regula el contenido del certificado del RUP. El primer parágrafo transitorio, que fue posteriormente sustituido por el artículo 2 del Decreto 579 de 2021, establece que «</w:t>
      </w:r>
      <w:r w:rsidR="00C70DD7" w:rsidRPr="009C5686">
        <w:rPr>
          <w:rFonts w:ascii="Arial" w:hAnsi="Arial" w:cs="Arial"/>
          <w:color w:val="000000" w:themeColor="text1"/>
          <w:sz w:val="22"/>
          <w:lang w:val="es-ES_tradnl"/>
        </w:rPr>
        <w:t xml:space="preserve">[…] </w:t>
      </w:r>
      <w:r w:rsidR="00C70DD7" w:rsidRPr="009C5686">
        <w:rPr>
          <w:rFonts w:ascii="Arial" w:eastAsia="Calibri" w:hAnsi="Arial" w:cs="Arial"/>
          <w:color w:val="000000" w:themeColor="text1"/>
          <w:sz w:val="22"/>
          <w:lang w:val="es-ES_tradnl"/>
        </w:rPr>
        <w:t xml:space="preserve">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w:t>
      </w:r>
    </w:p>
    <w:p w14:paraId="47296F30" w14:textId="452E9EF9" w:rsidR="00C70DD7" w:rsidRPr="009C5686" w:rsidRDefault="00994779" w:rsidP="00D03E33">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De otro lado</w:t>
      </w:r>
      <w:r w:rsidR="00C70DD7" w:rsidRPr="009C5686">
        <w:rPr>
          <w:rFonts w:ascii="Arial" w:eastAsia="Calibri" w:hAnsi="Arial" w:cs="Arial"/>
          <w:color w:val="000000" w:themeColor="text1"/>
          <w:sz w:val="22"/>
          <w:lang w:val="es-ES_tradnl"/>
        </w:rPr>
        <w:t>, el artículo 6 del Decreto 399 de 2021 adicion</w:t>
      </w:r>
      <w:r w:rsidR="00D03E33" w:rsidRPr="009C5686">
        <w:rPr>
          <w:rFonts w:ascii="Arial" w:eastAsia="Calibri" w:hAnsi="Arial" w:cs="Arial"/>
          <w:color w:val="000000" w:themeColor="text1"/>
          <w:sz w:val="22"/>
          <w:lang w:val="es-ES_tradnl"/>
        </w:rPr>
        <w:t>ó</w:t>
      </w:r>
      <w:r w:rsidR="00C70DD7" w:rsidRPr="009C5686">
        <w:rPr>
          <w:rFonts w:ascii="Arial" w:eastAsia="Calibri" w:hAnsi="Arial" w:cs="Arial"/>
          <w:color w:val="000000" w:themeColor="text1"/>
          <w:sz w:val="22"/>
          <w:lang w:val="es-ES_tradnl"/>
        </w:rPr>
        <w:t xml:space="preserve"> un parágrafo transitorio –sustituido después por el artículo 3 del Decreto 579 de 2021– al artículo 2.2.1.1.1.6.2. del Decreto 1082 de 2015</w:t>
      </w:r>
      <w:r w:rsidR="00C70DD7" w:rsidRPr="009C5686">
        <w:rPr>
          <w:rStyle w:val="Refdenotaalpie"/>
          <w:rFonts w:ascii="Arial" w:eastAsia="Calibri" w:hAnsi="Arial" w:cs="Arial"/>
          <w:color w:val="000000" w:themeColor="text1"/>
          <w:sz w:val="22"/>
          <w:lang w:val="es-ES_tradnl"/>
        </w:rPr>
        <w:footnoteReference w:id="14"/>
      </w:r>
      <w:r w:rsidR="00C70DD7" w:rsidRPr="009C5686">
        <w:rPr>
          <w:rFonts w:ascii="Arial" w:eastAsia="Calibri" w:hAnsi="Arial" w:cs="Arial"/>
          <w:color w:val="000000" w:themeColor="text1"/>
          <w:sz w:val="22"/>
          <w:lang w:val="es-ES_tradnl"/>
        </w:rPr>
        <w:t>, con el siguiente contenido:</w:t>
      </w:r>
    </w:p>
    <w:p w14:paraId="1B9B5271"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p>
    <w:p w14:paraId="30B66FE6"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61EFA2E5"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p>
    <w:p w14:paraId="41490AF3" w14:textId="77777777" w:rsidR="00C70DD7" w:rsidRPr="009C5686" w:rsidRDefault="00C70DD7" w:rsidP="00C70DD7">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2A35EB5D" w14:textId="77777777" w:rsidR="00C70DD7" w:rsidRPr="009C5686" w:rsidRDefault="00C70DD7" w:rsidP="00C70DD7">
      <w:pPr>
        <w:spacing w:line="276" w:lineRule="auto"/>
        <w:jc w:val="both"/>
        <w:rPr>
          <w:rFonts w:ascii="Arial" w:eastAsia="Calibri" w:hAnsi="Arial" w:cs="Arial"/>
          <w:color w:val="000000" w:themeColor="text1"/>
          <w:sz w:val="22"/>
          <w:lang w:val="es-ES_tradnl"/>
        </w:rPr>
      </w:pPr>
    </w:p>
    <w:p w14:paraId="117639AC" w14:textId="28959A0A" w:rsidR="00203035" w:rsidRPr="009C5686" w:rsidRDefault="00BF60B3" w:rsidP="00D1123F">
      <w:pPr>
        <w:spacing w:after="120" w:line="276" w:lineRule="auto"/>
        <w:ind w:firstLine="709"/>
        <w:jc w:val="both"/>
        <w:rPr>
          <w:rFonts w:ascii="Arial" w:eastAsia="Calibri" w:hAnsi="Arial" w:cs="Arial"/>
          <w:color w:val="000000" w:themeColor="text1"/>
          <w:sz w:val="22"/>
          <w:lang w:val="es-ES_tradnl"/>
        </w:rPr>
      </w:pPr>
      <w:r w:rsidRPr="009C5686">
        <w:rPr>
          <w:rFonts w:ascii="Arial" w:eastAsia="Calibri" w:hAnsi="Arial" w:cs="Arial"/>
          <w:color w:val="000000" w:themeColor="text1"/>
          <w:sz w:val="22"/>
          <w:lang w:val="es-ES_tradnl"/>
        </w:rPr>
        <w:t>De la norma transcrita se desprende que</w:t>
      </w:r>
      <w:r w:rsidR="00C70DD7" w:rsidRPr="009C5686">
        <w:rPr>
          <w:rFonts w:ascii="Arial" w:eastAsia="Calibri" w:hAnsi="Arial" w:cs="Arial"/>
          <w:color w:val="000000" w:themeColor="text1"/>
          <w:sz w:val="22"/>
          <w:lang w:val="es-ES_tradnl"/>
        </w:rPr>
        <w:t xml:space="preserve"> las entidades estatales deben tener en cuenta la información sobre la capacidad financiera y organizacional «correspondiente a los últimos tres (3) años fiscales anteriores al respectivo acto» o «desde su primer cierre fiscal», según el caso</w:t>
      </w:r>
      <w:r w:rsidRPr="009C5686">
        <w:rPr>
          <w:rFonts w:ascii="Arial" w:eastAsia="Calibri" w:hAnsi="Arial" w:cs="Arial"/>
          <w:color w:val="000000" w:themeColor="text1"/>
          <w:sz w:val="22"/>
          <w:lang w:val="es-ES_tradnl"/>
        </w:rPr>
        <w:t xml:space="preserve">, conservando </w:t>
      </w:r>
      <w:r w:rsidR="00C70DD7" w:rsidRPr="009C5686">
        <w:rPr>
          <w:rFonts w:ascii="Arial" w:eastAsia="Calibri" w:hAnsi="Arial" w:cs="Arial"/>
          <w:color w:val="000000" w:themeColor="text1"/>
          <w:sz w:val="22"/>
          <w:lang w:val="es-ES_tradnl"/>
        </w:rPr>
        <w:t xml:space="preserve">su discrecionalidad administrativa para determinar los requisitos habilitantes de capacidad financiera y organizacional, pero </w:t>
      </w:r>
      <w:r w:rsidRPr="009C5686">
        <w:rPr>
          <w:rFonts w:ascii="Arial" w:eastAsia="Calibri" w:hAnsi="Arial" w:cs="Arial"/>
          <w:color w:val="000000" w:themeColor="text1"/>
          <w:sz w:val="22"/>
          <w:lang w:val="es-ES_tradnl"/>
        </w:rPr>
        <w:t xml:space="preserve">estableciendo </w:t>
      </w:r>
      <w:r w:rsidR="00C70DD7" w:rsidRPr="009C5686">
        <w:rPr>
          <w:rFonts w:ascii="Arial" w:eastAsia="Calibri" w:hAnsi="Arial" w:cs="Arial"/>
          <w:color w:val="000000" w:themeColor="text1"/>
          <w:sz w:val="22"/>
          <w:lang w:val="es-ES_tradnl"/>
        </w:rPr>
        <w:t>indicadores proporcionales al procedimiento de contratación</w:t>
      </w:r>
      <w:r w:rsidRPr="009C5686">
        <w:rPr>
          <w:rFonts w:ascii="Arial" w:eastAsia="Calibri" w:hAnsi="Arial" w:cs="Arial"/>
          <w:color w:val="000000" w:themeColor="text1"/>
          <w:sz w:val="22"/>
          <w:lang w:val="es-ES_tradnl"/>
        </w:rPr>
        <w:t xml:space="preserve">, debiendo ser </w:t>
      </w:r>
      <w:r w:rsidR="00C70DD7" w:rsidRPr="009C5686">
        <w:rPr>
          <w:rFonts w:ascii="Arial" w:eastAsia="Calibri" w:hAnsi="Arial" w:cs="Arial"/>
          <w:color w:val="000000" w:themeColor="text1"/>
          <w:sz w:val="22"/>
          <w:lang w:val="es-ES_tradnl"/>
        </w:rPr>
        <w:t xml:space="preserve"> razonables, o sea, que guarden congruencia con el objeto, alcance, valor y plazo del contrato, </w:t>
      </w:r>
      <w:r w:rsidRPr="009C5686">
        <w:rPr>
          <w:rFonts w:ascii="Arial" w:eastAsia="Calibri" w:hAnsi="Arial" w:cs="Arial"/>
          <w:color w:val="000000" w:themeColor="text1"/>
          <w:sz w:val="22"/>
          <w:lang w:val="es-ES_tradnl"/>
        </w:rPr>
        <w:t xml:space="preserve">sin restringir </w:t>
      </w:r>
      <w:r w:rsidR="00C70DD7" w:rsidRPr="009C5686">
        <w:rPr>
          <w:rFonts w:ascii="Arial" w:eastAsia="Calibri" w:hAnsi="Arial" w:cs="Arial"/>
          <w:color w:val="000000" w:themeColor="text1"/>
          <w:sz w:val="22"/>
          <w:lang w:val="es-ES_tradnl"/>
        </w:rPr>
        <w:t>injustificadamente la libre concurrencia.</w:t>
      </w:r>
    </w:p>
    <w:p w14:paraId="3C0A2AC2" w14:textId="7EE7005A" w:rsidR="00C70DD7" w:rsidRPr="009C5686" w:rsidRDefault="00C70DD7" w:rsidP="00242402">
      <w:pPr>
        <w:spacing w:line="276" w:lineRule="auto"/>
        <w:ind w:firstLine="709"/>
        <w:jc w:val="both"/>
        <w:rPr>
          <w:rFonts w:ascii="Arial" w:eastAsia="Calibri" w:hAnsi="Arial" w:cs="Arial"/>
          <w:color w:val="000000" w:themeColor="text1"/>
          <w:sz w:val="22"/>
          <w:lang w:val="es-ES_tradnl"/>
        </w:rPr>
      </w:pPr>
      <w:r w:rsidRPr="009C5686">
        <w:rPr>
          <w:rFonts w:ascii="Arial" w:eastAsia="Calibri" w:hAnsi="Arial" w:cs="Arial"/>
          <w:color w:val="000000" w:themeColor="text1"/>
          <w:sz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w:t>
      </w:r>
      <w:r w:rsidR="00242402">
        <w:rPr>
          <w:rFonts w:ascii="Arial" w:eastAsia="Calibri" w:hAnsi="Arial" w:cs="Arial"/>
          <w:color w:val="000000" w:themeColor="text1"/>
          <w:sz w:val="22"/>
          <w:lang w:val="es-ES_tradnl"/>
        </w:rPr>
        <w:t>, entendido como</w:t>
      </w:r>
      <w:r w:rsidR="00EA2519" w:rsidRPr="009C5686">
        <w:rPr>
          <w:rFonts w:ascii="Arial" w:eastAsia="Calibri" w:hAnsi="Arial" w:cs="Arial"/>
          <w:color w:val="000000" w:themeColor="text1"/>
          <w:sz w:val="22"/>
          <w:lang w:val="es-ES_tradnl"/>
        </w:rPr>
        <w:t xml:space="preserve"> aquel en el que, vistos en su conjunto los indicadores de </w:t>
      </w:r>
      <w:r w:rsidR="00EA2519" w:rsidRPr="009C5686">
        <w:rPr>
          <w:rFonts w:ascii="Arial" w:eastAsia="Calibri" w:hAnsi="Arial" w:cs="Arial"/>
          <w:color w:val="000000" w:themeColor="text1"/>
          <w:sz w:val="22"/>
          <w:lang w:val="es-ES_tradnl"/>
        </w:rPr>
        <w:lastRenderedPageBreak/>
        <w:t>capacidad financiera y organizacional, el proponente podría cumplir estos requisitos habilitantes en el proceso de selecció</w:t>
      </w:r>
      <w:r w:rsidR="00EA2519">
        <w:rPr>
          <w:rFonts w:ascii="Arial" w:eastAsia="Calibri" w:hAnsi="Arial" w:cs="Arial"/>
          <w:color w:val="000000" w:themeColor="text1"/>
          <w:sz w:val="22"/>
          <w:lang w:val="es-ES_tradnl"/>
        </w:rPr>
        <w:t>n</w:t>
      </w:r>
      <w:r w:rsidR="009312E5">
        <w:rPr>
          <w:rFonts w:ascii="Arial" w:eastAsia="Calibri" w:hAnsi="Arial" w:cs="Arial"/>
          <w:color w:val="000000" w:themeColor="text1"/>
          <w:sz w:val="22"/>
          <w:lang w:val="es-ES_tradnl"/>
        </w:rPr>
        <w:t xml:space="preserve">, interpretando </w:t>
      </w:r>
      <w:r w:rsidRPr="009C5686">
        <w:rPr>
          <w:rFonts w:ascii="Arial" w:eastAsia="Calibri" w:hAnsi="Arial" w:cs="Arial"/>
          <w:color w:val="000000" w:themeColor="text1"/>
          <w:sz w:val="22"/>
          <w:lang w:val="es-ES_tradnl"/>
        </w:rPr>
        <w:t>la información relativa al año apreciada en su conjunto, o sea, de manera integral,</w:t>
      </w:r>
      <w:r w:rsidR="009312E5">
        <w:rPr>
          <w:rFonts w:ascii="Arial" w:eastAsia="Calibri" w:hAnsi="Arial" w:cs="Arial"/>
          <w:color w:val="000000" w:themeColor="text1"/>
          <w:sz w:val="22"/>
          <w:lang w:val="es-ES_tradnl"/>
        </w:rPr>
        <w:t xml:space="preserve"> </w:t>
      </w:r>
      <w:r w:rsidR="00EA2519">
        <w:rPr>
          <w:rFonts w:ascii="Arial" w:eastAsia="Calibri" w:hAnsi="Arial" w:cs="Arial"/>
          <w:color w:val="000000" w:themeColor="text1"/>
          <w:sz w:val="22"/>
          <w:lang w:val="es-ES_tradnl"/>
        </w:rPr>
        <w:t xml:space="preserve">sin que ello implique </w:t>
      </w:r>
      <w:r w:rsidRPr="009C5686">
        <w:rPr>
          <w:rFonts w:ascii="Arial" w:eastAsia="Calibri" w:hAnsi="Arial" w:cs="Arial"/>
          <w:color w:val="000000" w:themeColor="text1"/>
          <w:sz w:val="22"/>
          <w:lang w:val="es-ES_tradnl"/>
        </w:rPr>
        <w:t>que el proponente siempre cumplirá tales requisitos habilitantes, pues, precisamente, ese es el análisis que deberá hacer la entidad pública con la información disponible en el RUP.</w:t>
      </w:r>
    </w:p>
    <w:p w14:paraId="55457645" w14:textId="77777777" w:rsidR="00C70DD7" w:rsidRPr="009C5686" w:rsidRDefault="00C70DD7" w:rsidP="00E0142A">
      <w:pPr>
        <w:spacing w:line="276" w:lineRule="auto"/>
        <w:jc w:val="both"/>
        <w:rPr>
          <w:rFonts w:ascii="Arial" w:hAnsi="Arial" w:cs="Arial"/>
          <w:b/>
          <w:color w:val="000000" w:themeColor="text1"/>
          <w:sz w:val="22"/>
          <w:lang w:val="es-ES_tradnl"/>
        </w:rPr>
      </w:pPr>
    </w:p>
    <w:p w14:paraId="552A9012" w14:textId="45B247A5" w:rsidR="00E0142A" w:rsidRPr="000E082A" w:rsidRDefault="004E64BA" w:rsidP="004E64BA">
      <w:pPr>
        <w:spacing w:line="276" w:lineRule="auto"/>
        <w:jc w:val="both"/>
        <w:rPr>
          <w:rFonts w:ascii="Arial" w:hAnsi="Arial" w:cs="Arial"/>
          <w:b/>
          <w:color w:val="000000" w:themeColor="text1"/>
          <w:sz w:val="22"/>
          <w:lang w:val="es-ES_tradnl"/>
        </w:rPr>
      </w:pPr>
      <w:r w:rsidRPr="008923B1">
        <w:rPr>
          <w:rFonts w:ascii="Arial" w:hAnsi="Arial" w:cs="Arial"/>
          <w:b/>
          <w:sz w:val="22"/>
          <w:lang w:val="es-ES_tradnl"/>
        </w:rPr>
        <w:t>2.</w:t>
      </w:r>
      <w:r w:rsidR="00A10ADE" w:rsidRPr="008923B1">
        <w:rPr>
          <w:rFonts w:ascii="Arial" w:hAnsi="Arial" w:cs="Arial"/>
          <w:b/>
          <w:sz w:val="22"/>
          <w:lang w:val="es-ES_tradnl"/>
        </w:rPr>
        <w:t>4.</w:t>
      </w:r>
      <w:r w:rsidRPr="008923B1">
        <w:rPr>
          <w:rFonts w:ascii="Arial" w:hAnsi="Arial" w:cs="Arial"/>
          <w:b/>
          <w:sz w:val="22"/>
          <w:lang w:val="es-ES_tradnl"/>
        </w:rPr>
        <w:t xml:space="preserve"> </w:t>
      </w:r>
      <w:r w:rsidR="000E082A" w:rsidRPr="008923B1">
        <w:rPr>
          <w:rFonts w:ascii="Arial" w:hAnsi="Arial" w:cs="Arial"/>
          <w:b/>
          <w:sz w:val="22"/>
          <w:lang w:val="es-ES_tradnl"/>
        </w:rPr>
        <w:t xml:space="preserve">Régimen contractual de las entidades </w:t>
      </w:r>
      <w:r w:rsidR="000E082A" w:rsidRPr="008923B1">
        <w:rPr>
          <w:rFonts w:ascii="Arial" w:hAnsi="Arial" w:cs="Arial"/>
          <w:b/>
          <w:i/>
          <w:iCs/>
          <w:sz w:val="22"/>
          <w:lang w:val="es-ES_tradnl"/>
        </w:rPr>
        <w:t>exceptuadas</w:t>
      </w:r>
      <w:r w:rsidR="000E082A" w:rsidRPr="008923B1">
        <w:rPr>
          <w:rFonts w:ascii="Arial" w:hAnsi="Arial" w:cs="Arial"/>
          <w:b/>
          <w:sz w:val="22"/>
          <w:lang w:val="es-ES_tradnl"/>
        </w:rPr>
        <w:t xml:space="preserve"> de aplicar el EGCAP</w:t>
      </w:r>
      <w:r w:rsidR="009934C5" w:rsidRPr="008923B1">
        <w:rPr>
          <w:rFonts w:ascii="Arial" w:hAnsi="Arial" w:cs="Arial"/>
          <w:b/>
          <w:sz w:val="22"/>
          <w:lang w:val="es-ES_tradnl"/>
        </w:rPr>
        <w:t>:</w:t>
      </w:r>
      <w:r w:rsidR="00954DA3" w:rsidRPr="008923B1">
        <w:rPr>
          <w:rFonts w:ascii="Arial" w:hAnsi="Arial" w:cs="Arial"/>
          <w:b/>
          <w:sz w:val="22"/>
          <w:lang w:val="es-ES_tradnl"/>
        </w:rPr>
        <w:t xml:space="preserve"> </w:t>
      </w:r>
      <w:r w:rsidR="009934C5" w:rsidRPr="008923B1">
        <w:rPr>
          <w:rFonts w:ascii="Arial" w:hAnsi="Arial" w:cs="Arial"/>
          <w:b/>
          <w:sz w:val="22"/>
          <w:lang w:val="es-ES_tradnl"/>
        </w:rPr>
        <w:t>a</w:t>
      </w:r>
      <w:r w:rsidR="000E082A" w:rsidRPr="008923B1">
        <w:rPr>
          <w:rFonts w:ascii="Arial" w:hAnsi="Arial" w:cs="Arial"/>
          <w:b/>
          <w:sz w:val="22"/>
          <w:lang w:val="es-ES_tradnl"/>
        </w:rPr>
        <w:t xml:space="preserve">nálisis de la aplicación de los Decretos 399 y 579 de 2021 y el artículo 2.2.1.1.1.5.2 del Decreto </w:t>
      </w:r>
      <w:r w:rsidR="000E082A" w:rsidRPr="008923B1">
        <w:rPr>
          <w:rFonts w:ascii="Arial" w:hAnsi="Arial" w:cs="Arial"/>
          <w:b/>
          <w:color w:val="000000" w:themeColor="text1"/>
          <w:sz w:val="22"/>
          <w:lang w:val="es-ES_tradnl"/>
        </w:rPr>
        <w:t>1082 de 2015</w:t>
      </w:r>
    </w:p>
    <w:p w14:paraId="7452B25F" w14:textId="77777777" w:rsidR="004E64BA" w:rsidRPr="009C5686" w:rsidRDefault="004E64BA" w:rsidP="00F1106D">
      <w:pPr>
        <w:jc w:val="both"/>
        <w:rPr>
          <w:rFonts w:ascii="Arial" w:eastAsia="Calibri" w:hAnsi="Arial" w:cs="Arial"/>
          <w:b/>
          <w:color w:val="000000" w:themeColor="text1"/>
          <w:sz w:val="22"/>
          <w:lang w:val="es-ES_tradnl"/>
        </w:rPr>
      </w:pPr>
    </w:p>
    <w:p w14:paraId="043E03D8" w14:textId="5DF1DB17" w:rsidR="001F2F6F" w:rsidRDefault="00E0142A" w:rsidP="00114A81">
      <w:pPr>
        <w:tabs>
          <w:tab w:val="left" w:pos="426"/>
        </w:tabs>
        <w:spacing w:after="120" w:line="276" w:lineRule="auto"/>
        <w:jc w:val="both"/>
        <w:rPr>
          <w:rFonts w:ascii="Arial" w:eastAsia="Calibri" w:hAnsi="Arial" w:cs="Arial"/>
          <w:color w:val="000000" w:themeColor="text1"/>
          <w:sz w:val="22"/>
          <w:lang w:val="es-ES_tradnl"/>
        </w:rPr>
      </w:pPr>
      <w:r w:rsidRPr="009C5686">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w:t>
      </w:r>
      <w:r w:rsidR="00C17C14" w:rsidRPr="009C5686">
        <w:rPr>
          <w:rFonts w:ascii="Arial" w:eastAsia="Calibri" w:hAnsi="Arial" w:cs="Arial"/>
          <w:color w:val="000000" w:themeColor="text1"/>
          <w:sz w:val="22"/>
          <w:lang w:val="es-ES_tradnl"/>
        </w:rPr>
        <w:t>el legislador optó por asignarles un</w:t>
      </w:r>
      <w:r w:rsidR="004E64BA" w:rsidRPr="009C5686">
        <w:rPr>
          <w:rFonts w:ascii="Arial" w:eastAsia="Calibri" w:hAnsi="Arial" w:cs="Arial"/>
          <w:color w:val="000000" w:themeColor="text1"/>
          <w:sz w:val="22"/>
          <w:lang w:val="es-ES_tradnl"/>
        </w:rPr>
        <w:t>a regulación contractual</w:t>
      </w:r>
      <w:r w:rsidR="00C17C14" w:rsidRPr="009C5686">
        <w:rPr>
          <w:rFonts w:ascii="Arial" w:eastAsia="Calibri" w:hAnsi="Arial" w:cs="Arial"/>
          <w:color w:val="000000" w:themeColor="text1"/>
          <w:sz w:val="22"/>
          <w:lang w:val="es-ES_tradnl"/>
        </w:rPr>
        <w:t xml:space="preserve"> distint</w:t>
      </w:r>
      <w:r w:rsidR="004E64BA" w:rsidRPr="009C5686">
        <w:rPr>
          <w:rFonts w:ascii="Arial" w:eastAsia="Calibri" w:hAnsi="Arial" w:cs="Arial"/>
          <w:color w:val="000000" w:themeColor="text1"/>
          <w:sz w:val="22"/>
          <w:lang w:val="es-ES_tradnl"/>
        </w:rPr>
        <w:t>a</w:t>
      </w:r>
      <w:r w:rsidR="00C17C14" w:rsidRPr="009C5686">
        <w:rPr>
          <w:rFonts w:ascii="Arial" w:eastAsia="Calibri" w:hAnsi="Arial" w:cs="Arial"/>
          <w:color w:val="000000" w:themeColor="text1"/>
          <w:sz w:val="22"/>
          <w:lang w:val="es-ES_tradnl"/>
        </w:rPr>
        <w:t xml:space="preserve"> a</w:t>
      </w:r>
      <w:r w:rsidR="004E64BA" w:rsidRPr="009C5686">
        <w:rPr>
          <w:rFonts w:ascii="Arial" w:eastAsia="Calibri" w:hAnsi="Arial" w:cs="Arial"/>
          <w:color w:val="000000" w:themeColor="text1"/>
          <w:sz w:val="22"/>
          <w:lang w:val="es-ES_tradnl"/>
        </w:rPr>
        <w:t xml:space="preserve"> </w:t>
      </w:r>
      <w:r w:rsidR="00C17C14" w:rsidRPr="009C5686">
        <w:rPr>
          <w:rFonts w:ascii="Arial" w:eastAsia="Calibri" w:hAnsi="Arial" w:cs="Arial"/>
          <w:color w:val="000000" w:themeColor="text1"/>
          <w:sz w:val="22"/>
          <w:lang w:val="es-ES_tradnl"/>
        </w:rPr>
        <w:t>l</w:t>
      </w:r>
      <w:r w:rsidR="004E64BA" w:rsidRPr="009C5686">
        <w:rPr>
          <w:rFonts w:ascii="Arial" w:eastAsia="Calibri" w:hAnsi="Arial" w:cs="Arial"/>
          <w:color w:val="000000" w:themeColor="text1"/>
          <w:sz w:val="22"/>
          <w:lang w:val="es-ES_tradnl"/>
        </w:rPr>
        <w:t>a</w:t>
      </w:r>
      <w:r w:rsidR="00C17C14" w:rsidRPr="009C5686">
        <w:rPr>
          <w:rFonts w:ascii="Arial" w:eastAsia="Calibri" w:hAnsi="Arial" w:cs="Arial"/>
          <w:color w:val="000000" w:themeColor="text1"/>
          <w:sz w:val="22"/>
          <w:lang w:val="es-ES_tradnl"/>
        </w:rPr>
        <w:t xml:space="preserve"> </w:t>
      </w:r>
      <w:r w:rsidR="004E64BA" w:rsidRPr="009C5686">
        <w:rPr>
          <w:rFonts w:ascii="Arial" w:eastAsia="Calibri" w:hAnsi="Arial" w:cs="Arial"/>
          <w:color w:val="000000" w:themeColor="text1"/>
          <w:sz w:val="22"/>
          <w:lang w:val="es-ES_tradnl"/>
        </w:rPr>
        <w:t xml:space="preserve">contenida en </w:t>
      </w:r>
      <w:r w:rsidR="00C17C14" w:rsidRPr="009C5686">
        <w:rPr>
          <w:rFonts w:ascii="Arial" w:eastAsia="Calibri" w:hAnsi="Arial" w:cs="Arial"/>
          <w:color w:val="000000" w:themeColor="text1"/>
          <w:sz w:val="22"/>
          <w:lang w:val="es-ES_tradnl"/>
        </w:rPr>
        <w:t>el Estatuto General de Contratación de la Administración Pública –EGCAP–</w:t>
      </w:r>
      <w:r w:rsidR="00114A81" w:rsidRPr="009C5686">
        <w:rPr>
          <w:rFonts w:ascii="Arial" w:eastAsia="Calibri" w:hAnsi="Arial" w:cs="Arial"/>
          <w:color w:val="000000" w:themeColor="text1"/>
          <w:sz w:val="22"/>
          <w:lang w:val="es-ES_tradnl"/>
        </w:rPr>
        <w:t xml:space="preserve">, por consiguiente, </w:t>
      </w:r>
      <w:r w:rsidRPr="009C5686">
        <w:rPr>
          <w:rFonts w:ascii="Arial" w:eastAsia="Calibri" w:hAnsi="Arial" w:cs="Arial"/>
          <w:color w:val="000000" w:themeColor="text1"/>
          <w:sz w:val="22"/>
          <w:lang w:val="es-ES_tradnl"/>
        </w:rPr>
        <w:t xml:space="preserve"> no están sometidas </w:t>
      </w:r>
      <w:r w:rsidR="00114A81" w:rsidRPr="009C5686">
        <w:rPr>
          <w:rFonts w:ascii="Arial" w:eastAsia="Calibri" w:hAnsi="Arial" w:cs="Arial"/>
          <w:color w:val="000000" w:themeColor="text1"/>
          <w:sz w:val="22"/>
          <w:lang w:val="es-ES_tradnl"/>
        </w:rPr>
        <w:t xml:space="preserve">a este y </w:t>
      </w:r>
      <w:r w:rsidRPr="009C5686">
        <w:rPr>
          <w:rFonts w:ascii="Arial" w:eastAsia="Calibri" w:hAnsi="Arial" w:cs="Arial"/>
          <w:color w:val="000000" w:themeColor="text1"/>
          <w:sz w:val="22"/>
          <w:lang w:val="es-ES_tradnl"/>
        </w:rPr>
        <w:t xml:space="preserve">sus procedimientos contractuales </w:t>
      </w:r>
      <w:r w:rsidR="004E64BA" w:rsidRPr="009C5686">
        <w:rPr>
          <w:rFonts w:ascii="Arial" w:eastAsia="Calibri" w:hAnsi="Arial" w:cs="Arial"/>
          <w:color w:val="000000" w:themeColor="text1"/>
          <w:sz w:val="22"/>
          <w:lang w:val="es-ES_tradnl"/>
        </w:rPr>
        <w:t>se rigen por una</w:t>
      </w:r>
      <w:r w:rsidRPr="009C5686">
        <w:rPr>
          <w:rFonts w:ascii="Arial" w:eastAsia="Calibri" w:hAnsi="Arial" w:cs="Arial"/>
          <w:color w:val="000000" w:themeColor="text1"/>
          <w:sz w:val="22"/>
          <w:lang w:val="es-ES_tradnl"/>
        </w:rPr>
        <w:t xml:space="preserve"> normativa </w:t>
      </w:r>
      <w:r w:rsidR="005F5153" w:rsidRPr="009C5686">
        <w:rPr>
          <w:rFonts w:ascii="Arial" w:eastAsia="Calibri" w:hAnsi="Arial" w:cs="Arial"/>
          <w:color w:val="000000" w:themeColor="text1"/>
          <w:sz w:val="22"/>
          <w:lang w:val="es-ES_tradnl"/>
        </w:rPr>
        <w:t>propia</w:t>
      </w:r>
      <w:r w:rsidRPr="009C5686">
        <w:rPr>
          <w:rFonts w:ascii="Arial" w:eastAsia="Calibri" w:hAnsi="Arial" w:cs="Arial"/>
          <w:color w:val="000000" w:themeColor="text1"/>
          <w:sz w:val="22"/>
          <w:lang w:val="es-ES_tradnl"/>
        </w:rPr>
        <w:t xml:space="preserve">, </w:t>
      </w:r>
      <w:r w:rsidR="00F1106D" w:rsidRPr="009C5686">
        <w:rPr>
          <w:rFonts w:ascii="Arial" w:eastAsia="Calibri" w:hAnsi="Arial" w:cs="Arial"/>
          <w:color w:val="000000" w:themeColor="text1"/>
          <w:sz w:val="22"/>
          <w:lang w:val="es-ES_tradnl"/>
        </w:rPr>
        <w:t xml:space="preserve">que </w:t>
      </w:r>
      <w:r w:rsidR="00794E85" w:rsidRPr="009C5686">
        <w:rPr>
          <w:rFonts w:ascii="Arial" w:eastAsia="Calibri" w:hAnsi="Arial" w:cs="Arial"/>
          <w:color w:val="000000" w:themeColor="text1"/>
          <w:sz w:val="22"/>
          <w:lang w:val="es-ES_tradnl"/>
        </w:rPr>
        <w:t>usualmente</w:t>
      </w:r>
      <w:r w:rsidR="00F1106D" w:rsidRPr="009C5686">
        <w:rPr>
          <w:rFonts w:ascii="Arial" w:eastAsia="Calibri" w:hAnsi="Arial" w:cs="Arial"/>
          <w:color w:val="000000" w:themeColor="text1"/>
          <w:sz w:val="22"/>
          <w:lang w:val="es-ES_tradnl"/>
        </w:rPr>
        <w:t xml:space="preserve"> corresponde a</w:t>
      </w:r>
      <w:r w:rsidRPr="009C5686">
        <w:rPr>
          <w:rFonts w:ascii="Arial" w:eastAsia="Calibri" w:hAnsi="Arial" w:cs="Arial"/>
          <w:color w:val="000000" w:themeColor="text1"/>
          <w:sz w:val="22"/>
          <w:lang w:val="es-ES_tradnl"/>
        </w:rPr>
        <w:t xml:space="preserve">l derecho privado, </w:t>
      </w:r>
      <w:r w:rsidR="00F1106D" w:rsidRPr="009C5686">
        <w:rPr>
          <w:rFonts w:ascii="Arial" w:eastAsia="Calibri" w:hAnsi="Arial" w:cs="Arial"/>
          <w:color w:val="000000" w:themeColor="text1"/>
          <w:sz w:val="22"/>
          <w:lang w:val="es-ES_tradnl"/>
        </w:rPr>
        <w:t>aspecto definido</w:t>
      </w:r>
      <w:r w:rsidRPr="009C5686">
        <w:rPr>
          <w:rFonts w:ascii="Arial" w:eastAsia="Calibri" w:hAnsi="Arial" w:cs="Arial"/>
          <w:color w:val="000000" w:themeColor="text1"/>
          <w:sz w:val="22"/>
          <w:lang w:val="es-ES_tradnl"/>
        </w:rPr>
        <w:t xml:space="preserve"> en las normas </w:t>
      </w:r>
      <w:r w:rsidR="004E64BA" w:rsidRPr="009C5686">
        <w:rPr>
          <w:rFonts w:ascii="Arial" w:eastAsia="Calibri" w:hAnsi="Arial" w:cs="Arial"/>
          <w:color w:val="000000" w:themeColor="text1"/>
          <w:sz w:val="22"/>
          <w:lang w:val="es-ES_tradnl"/>
        </w:rPr>
        <w:t>por medio de las cuales fueron creadas</w:t>
      </w:r>
      <w:r w:rsidRPr="009C5686">
        <w:rPr>
          <w:rFonts w:ascii="Arial" w:eastAsia="Calibri" w:hAnsi="Arial" w:cs="Arial"/>
          <w:color w:val="000000" w:themeColor="text1"/>
          <w:sz w:val="22"/>
          <w:lang w:val="es-ES_tradnl"/>
        </w:rPr>
        <w:t xml:space="preserve"> y en </w:t>
      </w:r>
      <w:r w:rsidR="00794E85" w:rsidRPr="009C5686">
        <w:rPr>
          <w:rFonts w:ascii="Arial" w:eastAsia="Calibri" w:hAnsi="Arial" w:cs="Arial"/>
          <w:color w:val="000000" w:themeColor="text1"/>
          <w:sz w:val="22"/>
          <w:lang w:val="es-ES_tradnl"/>
        </w:rPr>
        <w:t>el manual de contratación de cada entidad</w:t>
      </w:r>
      <w:r w:rsidR="00114A81" w:rsidRPr="009C5686">
        <w:rPr>
          <w:rFonts w:ascii="Arial" w:eastAsia="Calibri" w:hAnsi="Arial" w:cs="Arial"/>
          <w:color w:val="000000" w:themeColor="text1"/>
          <w:sz w:val="22"/>
          <w:lang w:val="es-ES_tradnl"/>
        </w:rPr>
        <w:t>.</w:t>
      </w:r>
    </w:p>
    <w:p w14:paraId="68DF81E8" w14:textId="4C908712" w:rsidR="00D724AA" w:rsidRDefault="00A031B3" w:rsidP="00145CA9">
      <w:pPr>
        <w:pStyle w:val="Textoindependiente"/>
        <w:spacing w:before="101"/>
        <w:ind w:right="109"/>
        <w:jc w:val="both"/>
        <w:rPr>
          <w:rFonts w:ascii="Arial" w:hAnsi="Arial" w:cs="Arial"/>
        </w:rPr>
      </w:pPr>
      <w:r w:rsidRPr="00A031B3">
        <w:rPr>
          <w:rFonts w:ascii="Arial" w:eastAsia="Calibri" w:hAnsi="Arial" w:cs="Arial"/>
          <w:color w:val="000000" w:themeColor="text1"/>
          <w:lang w:val="es-ES_tradnl"/>
        </w:rPr>
        <w:tab/>
      </w:r>
      <w:r w:rsidRPr="00A031B3">
        <w:rPr>
          <w:rFonts w:ascii="Arial" w:hAnsi="Arial" w:cs="Arial"/>
        </w:rPr>
        <w:t>Si bien el artículo 2 de la Ley 80 de 1993</w:t>
      </w:r>
      <w:r w:rsidR="00A74D33">
        <w:rPr>
          <w:rStyle w:val="Refdenotaalpie"/>
          <w:rFonts w:ascii="Arial" w:hAnsi="Arial" w:cs="Arial"/>
        </w:rPr>
        <w:footnoteReference w:id="15"/>
      </w:r>
      <w:r w:rsidRPr="00A031B3">
        <w:rPr>
          <w:rFonts w:ascii="Arial" w:hAnsi="Arial" w:cs="Arial"/>
        </w:rPr>
        <w:t xml:space="preserve"> al definir las entidades estatales cuya contratación se regiría por</w:t>
      </w:r>
      <w:r w:rsidR="00D724AA">
        <w:rPr>
          <w:rFonts w:ascii="Arial" w:hAnsi="Arial" w:cs="Arial"/>
        </w:rPr>
        <w:t xml:space="preserve"> el </w:t>
      </w:r>
      <w:r w:rsidR="00D724AA" w:rsidRPr="00D724AA">
        <w:rPr>
          <w:rFonts w:ascii="Arial" w:hAnsi="Arial" w:cs="Arial"/>
        </w:rPr>
        <w:t>Estatuto General de Contratación de la Administración Pública</w:t>
      </w:r>
      <w:r w:rsidR="00D724AA">
        <w:rPr>
          <w:rFonts w:ascii="Arial" w:hAnsi="Arial" w:cs="Arial"/>
        </w:rPr>
        <w:t xml:space="preserve">, </w:t>
      </w:r>
      <w:r w:rsidRPr="00A031B3">
        <w:rPr>
          <w:rFonts w:ascii="Arial" w:hAnsi="Arial" w:cs="Arial"/>
        </w:rPr>
        <w:t xml:space="preserve">persiguió abarcar de forma omnicomprensiva la totalidad o, por lo menos, la mayoría de los organismos que conforman la estructura del Estado, lo cierto es que dicha </w:t>
      </w:r>
      <w:r w:rsidRPr="00A031B3">
        <w:rPr>
          <w:rFonts w:ascii="Arial" w:hAnsi="Arial" w:cs="Arial"/>
        </w:rPr>
        <w:lastRenderedPageBreak/>
        <w:t>regla general tiene excepciones creadas por la ley que han permitido que ciertas entidades queden excluidas de su aplicación, para que en su lugar, contraten al amparo de normas de derecho</w:t>
      </w:r>
      <w:r w:rsidRPr="00A031B3">
        <w:rPr>
          <w:rFonts w:ascii="Arial" w:hAnsi="Arial" w:cs="Arial"/>
          <w:spacing w:val="-37"/>
        </w:rPr>
        <w:t xml:space="preserve"> </w:t>
      </w:r>
      <w:r w:rsidRPr="00A031B3">
        <w:rPr>
          <w:rFonts w:ascii="Arial" w:hAnsi="Arial" w:cs="Arial"/>
        </w:rPr>
        <w:t>privado.</w:t>
      </w:r>
    </w:p>
    <w:p w14:paraId="79D149AC" w14:textId="637355F0" w:rsidR="00A74D33" w:rsidRDefault="00A031B3" w:rsidP="00A74D33">
      <w:pPr>
        <w:pStyle w:val="Textoindependiente"/>
        <w:ind w:firstLine="709"/>
        <w:jc w:val="both"/>
        <w:rPr>
          <w:rFonts w:ascii="Arial" w:hAnsi="Arial" w:cs="Arial"/>
        </w:rPr>
      </w:pPr>
      <w:r w:rsidRPr="00A031B3">
        <w:rPr>
          <w:rFonts w:ascii="Arial" w:hAnsi="Arial" w:cs="Arial"/>
        </w:rPr>
        <w:t>Ejemplos de estas excepciones al régimen general de contratación estatal creadas por la ley, son los siguientes, sin ser los únicos:</w:t>
      </w:r>
      <w:r>
        <w:rPr>
          <w:rFonts w:ascii="Arial" w:hAnsi="Arial" w:cs="Arial"/>
        </w:rPr>
        <w:t xml:space="preserve"> i) l</w:t>
      </w:r>
      <w:r w:rsidRPr="00A031B3">
        <w:rPr>
          <w:rFonts w:ascii="Arial" w:hAnsi="Arial" w:cs="Arial"/>
        </w:rPr>
        <w:t>as empresas de servicios públicos domiciliarios en virtud del artículo 31 de la Ley 142 de 1994, modificado por el artículo 3 de la Ley 689 de</w:t>
      </w:r>
      <w:r w:rsidRPr="00A031B3">
        <w:rPr>
          <w:rFonts w:ascii="Arial" w:hAnsi="Arial" w:cs="Arial"/>
          <w:spacing w:val="-14"/>
        </w:rPr>
        <w:t xml:space="preserve"> </w:t>
      </w:r>
      <w:r w:rsidRPr="00A031B3">
        <w:rPr>
          <w:rFonts w:ascii="Arial" w:hAnsi="Arial" w:cs="Arial"/>
        </w:rPr>
        <w:t>2001</w:t>
      </w:r>
      <w:r>
        <w:rPr>
          <w:rFonts w:ascii="Arial" w:hAnsi="Arial" w:cs="Arial"/>
        </w:rPr>
        <w:t>; ii) l</w:t>
      </w:r>
      <w:r w:rsidRPr="00A031B3">
        <w:rPr>
          <w:rFonts w:ascii="Arial" w:hAnsi="Arial" w:cs="Arial"/>
        </w:rPr>
        <w:t>as empresas sociales del Estado, por obra del artículo 195 de la Ley 100 de</w:t>
      </w:r>
      <w:r w:rsidRPr="00A031B3">
        <w:rPr>
          <w:rFonts w:ascii="Arial" w:hAnsi="Arial" w:cs="Arial"/>
          <w:spacing w:val="-34"/>
        </w:rPr>
        <w:t xml:space="preserve"> </w:t>
      </w:r>
      <w:r w:rsidRPr="00A031B3">
        <w:rPr>
          <w:rFonts w:ascii="Arial" w:hAnsi="Arial" w:cs="Arial"/>
        </w:rPr>
        <w:t>1993</w:t>
      </w:r>
      <w:r>
        <w:rPr>
          <w:rFonts w:ascii="Arial" w:hAnsi="Arial" w:cs="Arial"/>
        </w:rPr>
        <w:t>; iii) l</w:t>
      </w:r>
      <w:r w:rsidRPr="00A031B3">
        <w:rPr>
          <w:rFonts w:ascii="Arial" w:hAnsi="Arial" w:cs="Arial"/>
        </w:rPr>
        <w:t>as empresas industriales y comerciales del Estado y las sociedades de economía mixta con participación mayoritaria del Estado que desarrollen actividades comerciales en competencia con el sector privado o público, según el artículo 14 de la Ley 1150 de 2007</w:t>
      </w:r>
      <w:r>
        <w:rPr>
          <w:rFonts w:ascii="Arial" w:hAnsi="Arial" w:cs="Arial"/>
        </w:rPr>
        <w:t xml:space="preserve">, </w:t>
      </w:r>
      <w:r w:rsidRPr="00A031B3">
        <w:rPr>
          <w:rFonts w:ascii="Arial" w:hAnsi="Arial" w:cs="Arial"/>
        </w:rPr>
        <w:t>modificado por el artículo 93 de la Ley 1474 de</w:t>
      </w:r>
      <w:r w:rsidRPr="00A031B3">
        <w:rPr>
          <w:rFonts w:ascii="Arial" w:hAnsi="Arial" w:cs="Arial"/>
          <w:spacing w:val="-11"/>
        </w:rPr>
        <w:t xml:space="preserve"> </w:t>
      </w:r>
      <w:r w:rsidRPr="00A031B3">
        <w:rPr>
          <w:rFonts w:ascii="Arial" w:hAnsi="Arial" w:cs="Arial"/>
        </w:rPr>
        <w:t>2011</w:t>
      </w:r>
      <w:r w:rsidR="00C5134F">
        <w:rPr>
          <w:rFonts w:ascii="Arial" w:hAnsi="Arial" w:cs="Arial"/>
        </w:rPr>
        <w:t xml:space="preserve"> y </w:t>
      </w:r>
      <w:r>
        <w:rPr>
          <w:rFonts w:ascii="Arial" w:hAnsi="Arial" w:cs="Arial"/>
        </w:rPr>
        <w:t>iv) l</w:t>
      </w:r>
      <w:r w:rsidRPr="00A031B3">
        <w:rPr>
          <w:rFonts w:ascii="Arial" w:hAnsi="Arial" w:cs="Arial"/>
        </w:rPr>
        <w:t xml:space="preserve">as entidades financieras estatales, </w:t>
      </w:r>
      <w:r w:rsidR="002378E2">
        <w:rPr>
          <w:rFonts w:ascii="Arial" w:hAnsi="Arial" w:cs="Arial"/>
        </w:rPr>
        <w:t>en los términos d</w:t>
      </w:r>
      <w:r w:rsidRPr="00A031B3">
        <w:rPr>
          <w:rFonts w:ascii="Arial" w:hAnsi="Arial" w:cs="Arial"/>
        </w:rPr>
        <w:t>el artículo 15 de la Ley 1150 de</w:t>
      </w:r>
      <w:r w:rsidRPr="00A031B3">
        <w:rPr>
          <w:rFonts w:ascii="Arial" w:hAnsi="Arial" w:cs="Arial"/>
          <w:spacing w:val="-30"/>
        </w:rPr>
        <w:t xml:space="preserve"> </w:t>
      </w:r>
      <w:r w:rsidRPr="00A031B3">
        <w:rPr>
          <w:rFonts w:ascii="Arial" w:hAnsi="Arial" w:cs="Arial"/>
        </w:rPr>
        <w:t>2007.</w:t>
      </w:r>
    </w:p>
    <w:p w14:paraId="2CFDE725" w14:textId="5AB4BF96" w:rsidR="00A74D33" w:rsidRPr="00145CA9" w:rsidRDefault="00145CA9" w:rsidP="008923B1">
      <w:pPr>
        <w:pStyle w:val="Textoindependiente"/>
        <w:ind w:firstLine="709"/>
        <w:jc w:val="both"/>
        <w:rPr>
          <w:rFonts w:ascii="Arial" w:hAnsi="Arial" w:cs="Arial"/>
        </w:rPr>
      </w:pPr>
      <w:r w:rsidRPr="00145CA9">
        <w:rPr>
          <w:rFonts w:ascii="Arial" w:hAnsi="Arial" w:cs="Arial"/>
        </w:rPr>
        <w:t>Las entidades exceptuadas de la aplicación de</w:t>
      </w:r>
      <w:r w:rsidR="00A74D33">
        <w:rPr>
          <w:rFonts w:ascii="Arial" w:hAnsi="Arial" w:cs="Arial"/>
        </w:rPr>
        <w:t xml:space="preserve"> la</w:t>
      </w:r>
      <w:r w:rsidRPr="00145CA9">
        <w:rPr>
          <w:rFonts w:ascii="Arial" w:hAnsi="Arial" w:cs="Arial"/>
        </w:rPr>
        <w:t xml:space="preserve"> Ley 80 de 1993 acuden al régimen jurídico del derecho privado para </w:t>
      </w:r>
      <w:r>
        <w:rPr>
          <w:rFonts w:ascii="Arial" w:hAnsi="Arial" w:cs="Arial"/>
        </w:rPr>
        <w:t xml:space="preserve">regular </w:t>
      </w:r>
      <w:r w:rsidRPr="00145CA9">
        <w:rPr>
          <w:rFonts w:ascii="Arial" w:hAnsi="Arial" w:cs="Arial"/>
        </w:rPr>
        <w:t>sus contratos</w:t>
      </w:r>
      <w:r w:rsidR="0085228E">
        <w:rPr>
          <w:rFonts w:ascii="Arial" w:hAnsi="Arial" w:cs="Arial"/>
        </w:rPr>
        <w:t>. S</w:t>
      </w:r>
      <w:r>
        <w:rPr>
          <w:rFonts w:ascii="Arial" w:hAnsi="Arial" w:cs="Arial"/>
        </w:rPr>
        <w:t>in embargo</w:t>
      </w:r>
      <w:r w:rsidRPr="00145CA9">
        <w:rPr>
          <w:rFonts w:ascii="Arial" w:hAnsi="Arial" w:cs="Arial"/>
        </w:rPr>
        <w:t xml:space="preserve">, la </w:t>
      </w:r>
      <w:r w:rsidR="0085228E">
        <w:rPr>
          <w:rFonts w:ascii="Arial" w:hAnsi="Arial" w:cs="Arial"/>
        </w:rPr>
        <w:t xml:space="preserve">inaplicación de dicho régimen no es </w:t>
      </w:r>
      <w:r w:rsidRPr="00145CA9">
        <w:rPr>
          <w:rFonts w:ascii="Arial" w:hAnsi="Arial" w:cs="Arial"/>
        </w:rPr>
        <w:t xml:space="preserve">absoluta, toda vez que, tanto en la composición de la entidad como en </w:t>
      </w:r>
      <w:r>
        <w:rPr>
          <w:rFonts w:ascii="Arial" w:hAnsi="Arial" w:cs="Arial"/>
        </w:rPr>
        <w:t xml:space="preserve">el </w:t>
      </w:r>
      <w:r w:rsidRPr="00145CA9">
        <w:rPr>
          <w:rFonts w:ascii="Arial" w:hAnsi="Arial" w:cs="Arial"/>
        </w:rPr>
        <w:t>desarrollo de su objeto, tienen relación con la administración de recursos públicos. Además, de tiempo atrás en el ordenamiento jurídico</w:t>
      </w:r>
      <w:r w:rsidR="00A74D33">
        <w:rPr>
          <w:rFonts w:ascii="Arial" w:hAnsi="Arial" w:cs="Arial"/>
        </w:rPr>
        <w:t xml:space="preserve"> </w:t>
      </w:r>
      <w:r w:rsidR="00A74D33" w:rsidRPr="00145CA9">
        <w:rPr>
          <w:rFonts w:ascii="Arial" w:hAnsi="Arial" w:cs="Arial"/>
        </w:rPr>
        <w:t>se reconoció que las entidades exceptuadas del Estatuto General de Contratación debían respetar los principios de la función administrativa</w:t>
      </w:r>
      <w:r w:rsidR="00B827DD">
        <w:rPr>
          <w:rStyle w:val="Refdenotaalpie"/>
          <w:rFonts w:ascii="Arial" w:hAnsi="Arial" w:cs="Arial"/>
        </w:rPr>
        <w:footnoteReference w:id="16"/>
      </w:r>
      <w:r w:rsidR="00A74D33" w:rsidRPr="00145CA9">
        <w:rPr>
          <w:rFonts w:ascii="Arial" w:hAnsi="Arial" w:cs="Arial"/>
        </w:rPr>
        <w:t>, tesis que luego acogió el legislador con la expedición de la Ley 1150 de 2007. Sobre el particular, el Consejo de Estado ha sostenido lo siguiente:</w:t>
      </w:r>
    </w:p>
    <w:p w14:paraId="3B913C3F" w14:textId="63255D94" w:rsidR="00A74D33" w:rsidRDefault="00A74D33" w:rsidP="00A74D33">
      <w:pPr>
        <w:pStyle w:val="Textoindependiente"/>
        <w:spacing w:after="0" w:line="240" w:lineRule="auto"/>
        <w:ind w:left="709" w:right="709"/>
        <w:jc w:val="both"/>
        <w:rPr>
          <w:rFonts w:ascii="Arial" w:hAnsi="Arial" w:cs="Arial"/>
          <w:sz w:val="21"/>
          <w:szCs w:val="21"/>
        </w:rPr>
      </w:pPr>
      <w:r w:rsidRPr="00A74D33">
        <w:rPr>
          <w:rFonts w:ascii="Arial" w:hAnsi="Arial" w:cs="Arial"/>
          <w:sz w:val="21"/>
          <w:szCs w:val="21"/>
        </w:rPr>
        <w:t xml:space="preserve">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w:t>
      </w:r>
      <w:r w:rsidRPr="00A74D33">
        <w:rPr>
          <w:rFonts w:ascii="Arial" w:hAnsi="Arial" w:cs="Arial"/>
          <w:sz w:val="21"/>
          <w:szCs w:val="21"/>
        </w:rPr>
        <w:lastRenderedPageBreak/>
        <w:t>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A74D33">
        <w:rPr>
          <w:rFonts w:ascii="Arial" w:hAnsi="Arial" w:cs="Arial"/>
          <w:spacing w:val="-25"/>
          <w:sz w:val="21"/>
          <w:szCs w:val="21"/>
        </w:rPr>
        <w:t xml:space="preserve"> </w:t>
      </w:r>
      <w:r w:rsidRPr="00A74D33">
        <w:rPr>
          <w:rFonts w:ascii="Arial" w:hAnsi="Arial" w:cs="Arial"/>
          <w:sz w:val="21"/>
          <w:szCs w:val="21"/>
        </w:rPr>
        <w:t>privado</w:t>
      </w:r>
      <w:r w:rsidR="007D02E1">
        <w:rPr>
          <w:rStyle w:val="Refdenotaalpie"/>
          <w:rFonts w:ascii="Arial" w:hAnsi="Arial" w:cs="Arial"/>
          <w:sz w:val="21"/>
          <w:szCs w:val="21"/>
        </w:rPr>
        <w:footnoteReference w:id="17"/>
      </w:r>
      <w:r w:rsidR="002378E2">
        <w:rPr>
          <w:rFonts w:ascii="Arial" w:hAnsi="Arial" w:cs="Arial"/>
          <w:sz w:val="21"/>
          <w:szCs w:val="21"/>
        </w:rPr>
        <w:t>.</w:t>
      </w:r>
    </w:p>
    <w:p w14:paraId="15F6366B" w14:textId="77777777" w:rsidR="00A74D33" w:rsidRPr="00A74D33" w:rsidRDefault="00A74D33" w:rsidP="00A74D33">
      <w:pPr>
        <w:pStyle w:val="Textoindependiente"/>
        <w:spacing w:after="0" w:line="240" w:lineRule="auto"/>
        <w:ind w:left="709" w:right="709"/>
        <w:jc w:val="both"/>
        <w:rPr>
          <w:rFonts w:ascii="Arial" w:hAnsi="Arial" w:cs="Arial"/>
          <w:sz w:val="21"/>
          <w:szCs w:val="21"/>
        </w:rPr>
      </w:pPr>
    </w:p>
    <w:p w14:paraId="342E4534" w14:textId="66132A08" w:rsidR="003116A1" w:rsidRDefault="00A74D33" w:rsidP="003116A1">
      <w:pPr>
        <w:pStyle w:val="Textoindependiente"/>
        <w:ind w:right="106" w:firstLine="709"/>
        <w:jc w:val="both"/>
        <w:rPr>
          <w:rFonts w:ascii="Arial" w:hAnsi="Arial" w:cs="Arial"/>
        </w:rPr>
      </w:pPr>
      <w:r w:rsidRPr="00A74D33">
        <w:rPr>
          <w:rFonts w:ascii="Arial" w:hAnsi="Arial" w:cs="Arial"/>
        </w:rPr>
        <w:t>E</w:t>
      </w:r>
      <w:r w:rsidR="00474E02">
        <w:rPr>
          <w:rFonts w:ascii="Arial" w:hAnsi="Arial" w:cs="Arial"/>
        </w:rPr>
        <w:t>n e</w:t>
      </w:r>
      <w:r w:rsidRPr="00A74D33">
        <w:rPr>
          <w:rFonts w:ascii="Arial" w:hAnsi="Arial" w:cs="Arial"/>
        </w:rPr>
        <w:t xml:space="preserve">l </w:t>
      </w:r>
      <w:r w:rsidR="00474E02">
        <w:rPr>
          <w:rFonts w:ascii="Arial" w:hAnsi="Arial" w:cs="Arial"/>
        </w:rPr>
        <w:t xml:space="preserve">mismo sentido, en el </w:t>
      </w:r>
      <w:r w:rsidRPr="00A74D33">
        <w:rPr>
          <w:rFonts w:ascii="Arial" w:hAnsi="Arial" w:cs="Arial"/>
        </w:rPr>
        <w:t>artículo 13 de la Ley 1150 de 2007</w:t>
      </w:r>
      <w:r w:rsidR="00474E02">
        <w:rPr>
          <w:rFonts w:ascii="Arial" w:hAnsi="Arial" w:cs="Arial"/>
        </w:rPr>
        <w:t xml:space="preserve"> se estableció que</w:t>
      </w:r>
      <w:r w:rsidR="008B2E60">
        <w:rPr>
          <w:rFonts w:ascii="Arial" w:hAnsi="Arial" w:cs="Arial"/>
        </w:rPr>
        <w:t xml:space="preserve"> las entidades con régimen especial de contratación</w:t>
      </w:r>
      <w:r w:rsidR="00474E02">
        <w:rPr>
          <w:rFonts w:ascii="Arial" w:hAnsi="Arial" w:cs="Arial"/>
        </w:rPr>
        <w:t xml:space="preserve">: </w:t>
      </w:r>
      <w:r w:rsidR="00253FEF">
        <w:rPr>
          <w:rFonts w:ascii="Arial" w:hAnsi="Arial" w:cs="Arial"/>
        </w:rPr>
        <w:t>«</w:t>
      </w:r>
      <w:r w:rsidR="008B2E60">
        <w:rPr>
          <w:rFonts w:ascii="Arial" w:hAnsi="Arial" w:cs="Arial"/>
        </w:rPr>
        <w:t>[…]</w:t>
      </w:r>
      <w:r w:rsidRPr="00A74D33">
        <w:rPr>
          <w:rFonts w:ascii="Arial" w:hAnsi="Arial" w:cs="Arial"/>
        </w:rPr>
        <w:t>aplicarán en desarrollo de su actividad contractual, acorde con su régimen legal especial, los principios de la función administrativa y de la gestión fiscal de que tratan los artículos 209 y 267 de la Constitución Política</w:t>
      </w:r>
      <w:r w:rsidR="0085228E">
        <w:rPr>
          <w:rFonts w:ascii="Arial" w:hAnsi="Arial" w:cs="Arial"/>
        </w:rPr>
        <w:t xml:space="preserve"> […]</w:t>
      </w:r>
      <w:r w:rsidR="00253FEF">
        <w:rPr>
          <w:rFonts w:ascii="Arial" w:hAnsi="Arial" w:cs="Arial"/>
        </w:rPr>
        <w:t>»</w:t>
      </w:r>
      <w:r w:rsidR="003116A1">
        <w:rPr>
          <w:rFonts w:ascii="Arial" w:hAnsi="Arial" w:cs="Arial"/>
        </w:rPr>
        <w:t xml:space="preserve">. </w:t>
      </w:r>
      <w:r w:rsidR="008B2E60">
        <w:rPr>
          <w:rFonts w:ascii="Arial" w:hAnsi="Arial" w:cs="Arial"/>
        </w:rPr>
        <w:t>En efecto</w:t>
      </w:r>
      <w:r w:rsidRPr="00A74D33">
        <w:rPr>
          <w:rFonts w:ascii="Arial" w:hAnsi="Arial" w:cs="Arial"/>
        </w:rPr>
        <w:t xml:space="preserve">, las entidades excluidas de la Ley 80 de 1993 tienen </w:t>
      </w:r>
      <w:r w:rsidR="00474E02">
        <w:rPr>
          <w:rFonts w:ascii="Arial" w:hAnsi="Arial" w:cs="Arial"/>
        </w:rPr>
        <w:t xml:space="preserve">un </w:t>
      </w:r>
      <w:r w:rsidRPr="00A74D33">
        <w:rPr>
          <w:rFonts w:ascii="Arial" w:hAnsi="Arial" w:cs="Arial"/>
        </w:rPr>
        <w:t xml:space="preserve">régimen contractual que vincula dos ordenamientos: el privado que es preponderante y el público que es supletorio, pero no menos importante, porque irradia aspectos esenciales de la actividad contractual de estas entidades. </w:t>
      </w:r>
    </w:p>
    <w:p w14:paraId="7080E84E" w14:textId="6F6CF6F5" w:rsidR="00B827DD" w:rsidRPr="00B827DD" w:rsidRDefault="00B827DD" w:rsidP="00B827DD">
      <w:pPr>
        <w:pStyle w:val="Textoindependiente"/>
        <w:spacing w:before="5"/>
        <w:ind w:firstLine="708"/>
        <w:jc w:val="both"/>
        <w:rPr>
          <w:rFonts w:ascii="Arial" w:hAnsi="Arial" w:cs="Arial"/>
        </w:rPr>
      </w:pPr>
      <w:r w:rsidRPr="00B827DD">
        <w:rPr>
          <w:rFonts w:ascii="Arial" w:hAnsi="Arial" w:cs="Arial"/>
        </w:rPr>
        <w:t xml:space="preserve">La jurisprudencia del Consejo de Estado se ha pronunciado sobre el régimen contractual de las entidades excluidas del Estatuto General de Contratación y ha considerado que el régimen sustantivo del contrato </w:t>
      </w:r>
      <w:r w:rsidR="002378E2">
        <w:rPr>
          <w:rFonts w:ascii="Arial" w:hAnsi="Arial" w:cs="Arial"/>
        </w:rPr>
        <w:t>–</w:t>
      </w:r>
      <w:r w:rsidRPr="00B827DD">
        <w:rPr>
          <w:rFonts w:ascii="Arial" w:hAnsi="Arial" w:cs="Arial"/>
        </w:rPr>
        <w:t>derecho privado</w:t>
      </w:r>
      <w:r w:rsidR="002378E2">
        <w:rPr>
          <w:rFonts w:ascii="Arial" w:hAnsi="Arial" w:cs="Arial"/>
        </w:rPr>
        <w:t>–</w:t>
      </w:r>
      <w:r w:rsidRPr="00B827DD">
        <w:rPr>
          <w:rFonts w:ascii="Arial" w:hAnsi="Arial" w:cs="Arial"/>
        </w:rPr>
        <w:t xml:space="preserve">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w:t>
      </w:r>
      <w:r w:rsidRPr="00B827DD">
        <w:rPr>
          <w:rFonts w:ascii="Arial" w:hAnsi="Arial" w:cs="Arial"/>
          <w:spacing w:val="-9"/>
        </w:rPr>
        <w:t xml:space="preserve"> </w:t>
      </w:r>
      <w:r w:rsidRPr="00B827DD">
        <w:rPr>
          <w:rFonts w:ascii="Arial" w:hAnsi="Arial" w:cs="Arial"/>
        </w:rPr>
        <w:t>Pública</w:t>
      </w:r>
      <w:r w:rsidR="007D02E1">
        <w:rPr>
          <w:rStyle w:val="Refdenotaalpie"/>
          <w:rFonts w:ascii="Arial" w:hAnsi="Arial" w:cs="Arial"/>
        </w:rPr>
        <w:footnoteReference w:id="18"/>
      </w:r>
      <w:r w:rsidRPr="00B827DD">
        <w:rPr>
          <w:rFonts w:ascii="Arial" w:hAnsi="Arial" w:cs="Arial"/>
        </w:rPr>
        <w:t>.</w:t>
      </w:r>
    </w:p>
    <w:p w14:paraId="34357AE6" w14:textId="5C08F86E" w:rsidR="00A626AA" w:rsidRPr="00A626AA" w:rsidRDefault="00145CA9" w:rsidP="00A626AA">
      <w:pPr>
        <w:pStyle w:val="Textoindependiente"/>
        <w:ind w:firstLine="709"/>
        <w:jc w:val="both"/>
        <w:rPr>
          <w:rFonts w:ascii="Arial" w:hAnsi="Arial" w:cs="Arial"/>
        </w:rPr>
      </w:pPr>
      <w:r w:rsidRPr="00A626AA">
        <w:rPr>
          <w:rFonts w:ascii="Arial" w:hAnsi="Arial" w:cs="Arial"/>
        </w:rPr>
        <w:t>De lo anterior se colige</w:t>
      </w:r>
      <w:r w:rsidR="00A626AA" w:rsidRPr="00A626AA">
        <w:rPr>
          <w:rFonts w:ascii="Arial" w:hAnsi="Arial" w:cs="Arial"/>
        </w:rPr>
        <w:t xml:space="preserve"> que</w:t>
      </w:r>
      <w:r w:rsidRPr="00A626AA">
        <w:rPr>
          <w:rFonts w:ascii="Arial" w:hAnsi="Arial" w:cs="Arial"/>
        </w:rPr>
        <w:t xml:space="preserve">, en la actualidad los contratos celebrados por las entidades de régimen especial en cumplimiento de su objeto, están regidos, </w:t>
      </w:r>
      <w:r w:rsidR="00D87E0A">
        <w:rPr>
          <w:rFonts w:ascii="Arial" w:hAnsi="Arial" w:cs="Arial"/>
        </w:rPr>
        <w:t xml:space="preserve">en forma </w:t>
      </w:r>
      <w:r w:rsidRPr="00A626AA">
        <w:rPr>
          <w:rFonts w:ascii="Arial" w:hAnsi="Arial" w:cs="Arial"/>
        </w:rPr>
        <w:t>preferente, por las normas de derecho privado</w:t>
      </w:r>
      <w:r w:rsidR="00D87E0A">
        <w:rPr>
          <w:rFonts w:ascii="Arial" w:hAnsi="Arial" w:cs="Arial"/>
        </w:rPr>
        <w:t>.</w:t>
      </w:r>
      <w:r w:rsidRPr="00A626AA">
        <w:rPr>
          <w:rFonts w:ascii="Arial" w:hAnsi="Arial" w:cs="Arial"/>
        </w:rPr>
        <w:t xml:space="preserve"> </w:t>
      </w:r>
      <w:r w:rsidR="00D87E0A">
        <w:rPr>
          <w:rFonts w:ascii="Arial" w:hAnsi="Arial" w:cs="Arial"/>
        </w:rPr>
        <w:t>N</w:t>
      </w:r>
      <w:r w:rsidRPr="00A626AA">
        <w:rPr>
          <w:rFonts w:ascii="Arial" w:hAnsi="Arial" w:cs="Arial"/>
        </w:rPr>
        <w:t xml:space="preserve">o obstante, dicho régimen no es exclusivo, y por consiguiente, el margen de libertad de configuración de la actividad contractual no se rige de forma absoluta por el principio de la autonomía privada, en la medida en que también </w:t>
      </w:r>
      <w:r w:rsidRPr="00A626AA">
        <w:rPr>
          <w:rFonts w:ascii="Arial" w:hAnsi="Arial" w:cs="Arial"/>
        </w:rPr>
        <w:lastRenderedPageBreak/>
        <w:t>le resultan aplicables normas y principios del derecho administrativo que deben ser observados para ceñir la contratación al ordenamiento jurídico aplicable.</w:t>
      </w:r>
    </w:p>
    <w:p w14:paraId="7D128764" w14:textId="5F2F6D59" w:rsidR="00A626AA" w:rsidRDefault="00A031B3" w:rsidP="00A626AA">
      <w:pPr>
        <w:tabs>
          <w:tab w:val="left" w:pos="426"/>
        </w:tabs>
        <w:spacing w:after="120" w:line="276" w:lineRule="auto"/>
        <w:ind w:firstLine="709"/>
        <w:jc w:val="both"/>
        <w:rPr>
          <w:rFonts w:ascii="Arial" w:eastAsia="Calibri" w:hAnsi="Arial" w:cs="Arial"/>
          <w:color w:val="000000" w:themeColor="text1"/>
          <w:sz w:val="22"/>
          <w:lang w:val="es-ES_tradnl"/>
        </w:rPr>
      </w:pPr>
      <w:r w:rsidRPr="00A626AA">
        <w:rPr>
          <w:rFonts w:ascii="Arial" w:eastAsia="Calibri" w:hAnsi="Arial" w:cs="Arial"/>
          <w:color w:val="000000" w:themeColor="text1"/>
          <w:sz w:val="22"/>
          <w:lang w:val="es-ES_tradnl"/>
        </w:rPr>
        <w:t xml:space="preserve">En </w:t>
      </w:r>
      <w:r w:rsidR="00A626AA" w:rsidRPr="00A626AA">
        <w:rPr>
          <w:rFonts w:ascii="Arial" w:eastAsia="Calibri" w:hAnsi="Arial" w:cs="Arial"/>
          <w:color w:val="000000" w:themeColor="text1"/>
          <w:sz w:val="22"/>
          <w:lang w:val="es-ES_tradnl"/>
        </w:rPr>
        <w:t>efecto,</w:t>
      </w:r>
      <w:r w:rsidRPr="00A626AA">
        <w:rPr>
          <w:rFonts w:ascii="Arial" w:eastAsia="Calibri" w:hAnsi="Arial" w:cs="Arial"/>
          <w:color w:val="000000" w:themeColor="text1"/>
          <w:sz w:val="22"/>
          <w:lang w:val="es-ES_tradnl"/>
        </w:rPr>
        <w:t xml:space="preserve"> los </w:t>
      </w:r>
      <w:r w:rsidR="00B33879" w:rsidRPr="00A626AA">
        <w:rPr>
          <w:rFonts w:ascii="Arial" w:eastAsia="Calibri" w:hAnsi="Arial" w:cs="Arial"/>
          <w:color w:val="000000" w:themeColor="text1"/>
          <w:sz w:val="22"/>
          <w:lang w:val="es-ES_tradnl"/>
        </w:rPr>
        <w:t xml:space="preserve">manuales </w:t>
      </w:r>
      <w:r w:rsidR="00114A81" w:rsidRPr="00A626AA">
        <w:rPr>
          <w:rFonts w:ascii="Arial" w:eastAsia="Calibri" w:hAnsi="Arial" w:cs="Arial"/>
          <w:color w:val="000000" w:themeColor="text1"/>
          <w:sz w:val="22"/>
          <w:lang w:val="es-ES_tradnl"/>
        </w:rPr>
        <w:t xml:space="preserve">de contratación de </w:t>
      </w:r>
      <w:r w:rsidRPr="00A626AA">
        <w:rPr>
          <w:rFonts w:ascii="Arial" w:eastAsia="Calibri" w:hAnsi="Arial" w:cs="Arial"/>
          <w:color w:val="000000" w:themeColor="text1"/>
          <w:sz w:val="22"/>
          <w:lang w:val="es-ES_tradnl"/>
        </w:rPr>
        <w:t xml:space="preserve">las </w:t>
      </w:r>
      <w:r w:rsidR="006B08CA" w:rsidRPr="00A626AA">
        <w:rPr>
          <w:rFonts w:ascii="Arial" w:eastAsia="Calibri" w:hAnsi="Arial" w:cs="Arial"/>
          <w:color w:val="000000" w:themeColor="text1"/>
          <w:sz w:val="22"/>
          <w:lang w:val="es-ES_tradnl"/>
        </w:rPr>
        <w:t>entidades</w:t>
      </w:r>
      <w:r w:rsidR="00114A81" w:rsidRPr="00A626AA">
        <w:rPr>
          <w:rFonts w:ascii="Arial" w:eastAsia="Calibri" w:hAnsi="Arial" w:cs="Arial"/>
          <w:color w:val="000000" w:themeColor="text1"/>
          <w:sz w:val="22"/>
          <w:lang w:val="es-ES_tradnl"/>
        </w:rPr>
        <w:t xml:space="preserve"> </w:t>
      </w:r>
      <w:r w:rsidR="00B33879" w:rsidRPr="00A626AA">
        <w:rPr>
          <w:rFonts w:ascii="Arial" w:eastAsia="Calibri" w:hAnsi="Arial" w:cs="Arial"/>
          <w:color w:val="000000" w:themeColor="text1"/>
          <w:sz w:val="22"/>
          <w:lang w:val="es-ES_tradnl"/>
        </w:rPr>
        <w:t>estatales, independientemente</w:t>
      </w:r>
      <w:r w:rsidR="00114A81" w:rsidRPr="00A626AA">
        <w:rPr>
          <w:rFonts w:ascii="Arial" w:eastAsia="Calibri" w:hAnsi="Arial" w:cs="Arial"/>
          <w:color w:val="000000" w:themeColor="text1"/>
          <w:sz w:val="22"/>
          <w:lang w:val="es-ES_tradnl"/>
        </w:rPr>
        <w:t xml:space="preserve"> de su régimen de contratación, deberá</w:t>
      </w:r>
      <w:r w:rsidR="00B33879" w:rsidRPr="00A626AA">
        <w:rPr>
          <w:rFonts w:ascii="Arial" w:eastAsia="Calibri" w:hAnsi="Arial" w:cs="Arial"/>
          <w:color w:val="000000" w:themeColor="text1"/>
          <w:sz w:val="22"/>
          <w:lang w:val="es-ES_tradnl"/>
        </w:rPr>
        <w:t>n</w:t>
      </w:r>
      <w:r w:rsidR="00114A81" w:rsidRPr="00A626AA">
        <w:rPr>
          <w:rFonts w:ascii="Arial" w:eastAsia="Calibri" w:hAnsi="Arial" w:cs="Arial"/>
          <w:color w:val="000000" w:themeColor="text1"/>
          <w:sz w:val="22"/>
          <w:lang w:val="es-ES_tradnl"/>
        </w:rPr>
        <w:t xml:space="preserve"> cumplir con los lineamientos señalados por Colombia Compra Eficiente, al tenor de lo dispuesto en el </w:t>
      </w:r>
      <w:r w:rsidR="00114A81" w:rsidRPr="00A626AA">
        <w:rPr>
          <w:rFonts w:ascii="Arial" w:hAnsi="Arial" w:cs="Arial"/>
          <w:color w:val="000000"/>
          <w:sz w:val="22"/>
          <w:lang w:val="es-ES_tradnl"/>
        </w:rPr>
        <w:t xml:space="preserve">artículo 2.2.1.2.5.3 del Decreto 1082 </w:t>
      </w:r>
      <w:r w:rsidR="00114A81" w:rsidRPr="009C5686">
        <w:rPr>
          <w:rFonts w:ascii="Arial" w:hAnsi="Arial" w:cs="Arial"/>
          <w:color w:val="000000"/>
          <w:sz w:val="22"/>
          <w:lang w:val="es-ES_tradnl"/>
        </w:rPr>
        <w:t>de 2015</w:t>
      </w:r>
      <w:r w:rsidR="00114A81" w:rsidRPr="009C5686">
        <w:rPr>
          <w:rStyle w:val="Refdenotaalpie"/>
          <w:rFonts w:ascii="Arial" w:hAnsi="Arial" w:cs="Arial"/>
          <w:color w:val="000000"/>
          <w:sz w:val="22"/>
          <w:lang w:val="es-ES_tradnl"/>
        </w:rPr>
        <w:footnoteReference w:id="19"/>
      </w:r>
      <w:r w:rsidR="00114A81" w:rsidRPr="009C5686">
        <w:rPr>
          <w:rFonts w:ascii="Arial" w:hAnsi="Arial" w:cs="Arial"/>
          <w:color w:val="000000"/>
          <w:sz w:val="22"/>
          <w:lang w:val="es-ES_tradnl"/>
        </w:rPr>
        <w:t>,</w:t>
      </w:r>
      <w:r w:rsidR="00B33879" w:rsidRPr="009C5686">
        <w:rPr>
          <w:rFonts w:ascii="Arial" w:hAnsi="Arial" w:cs="Arial"/>
          <w:color w:val="000000"/>
          <w:sz w:val="22"/>
          <w:lang w:val="es-ES_tradnl"/>
        </w:rPr>
        <w:t xml:space="preserve"> que pueden ser consultados en la página web de la</w:t>
      </w:r>
      <w:r w:rsidR="00E0142A" w:rsidRPr="009C5686">
        <w:rPr>
          <w:rFonts w:ascii="Arial" w:eastAsia="Calibri" w:hAnsi="Arial" w:cs="Arial"/>
          <w:color w:val="000000" w:themeColor="text1"/>
          <w:sz w:val="22"/>
          <w:lang w:val="es-ES_tradnl"/>
        </w:rPr>
        <w:t xml:space="preserve"> Agencia Nacional de Contratación Pública </w:t>
      </w:r>
      <w:r w:rsidR="00950703">
        <w:rPr>
          <w:rFonts w:ascii="Arial" w:eastAsia="Calibri" w:hAnsi="Arial" w:cs="Arial"/>
          <w:color w:val="000000" w:themeColor="text1"/>
          <w:sz w:val="22"/>
          <w:lang w:val="es-ES_tradnl"/>
        </w:rPr>
        <w:t>–</w:t>
      </w:r>
      <w:r w:rsidR="00E0142A" w:rsidRPr="009C5686">
        <w:rPr>
          <w:rFonts w:ascii="Arial" w:eastAsia="Calibri" w:hAnsi="Arial" w:cs="Arial"/>
          <w:color w:val="000000" w:themeColor="text1"/>
          <w:sz w:val="22"/>
          <w:lang w:val="es-ES_tradnl"/>
        </w:rPr>
        <w:t xml:space="preserve"> Colombia Compra Eficiente</w:t>
      </w:r>
      <w:r w:rsidR="00B33879" w:rsidRPr="009C5686">
        <w:rPr>
          <w:rStyle w:val="Refdenotaalpie"/>
          <w:rFonts w:ascii="Arial" w:eastAsia="Calibri" w:hAnsi="Arial" w:cs="Arial"/>
          <w:color w:val="000000" w:themeColor="text1"/>
          <w:sz w:val="22"/>
          <w:lang w:val="es-ES_tradnl"/>
        </w:rPr>
        <w:footnoteReference w:id="20"/>
      </w:r>
      <w:r w:rsidR="00A626AA">
        <w:rPr>
          <w:rFonts w:ascii="Arial" w:eastAsia="Calibri" w:hAnsi="Arial" w:cs="Arial"/>
          <w:color w:val="000000" w:themeColor="text1"/>
          <w:sz w:val="22"/>
          <w:lang w:val="es-ES_tradnl"/>
        </w:rPr>
        <w:t>.</w:t>
      </w:r>
    </w:p>
    <w:p w14:paraId="4AE4BD9B" w14:textId="3982E3EC" w:rsidR="00E0142A" w:rsidRPr="009C5686" w:rsidRDefault="00B33879" w:rsidP="00A626AA">
      <w:pPr>
        <w:tabs>
          <w:tab w:val="left" w:pos="426"/>
        </w:tabs>
        <w:spacing w:line="276" w:lineRule="auto"/>
        <w:ind w:firstLine="709"/>
        <w:jc w:val="both"/>
        <w:rPr>
          <w:rFonts w:ascii="Arial" w:eastAsia="Calibri" w:hAnsi="Arial" w:cs="Arial"/>
          <w:color w:val="000000" w:themeColor="text1"/>
          <w:sz w:val="22"/>
          <w:lang w:val="es-ES_tradnl"/>
        </w:rPr>
      </w:pPr>
      <w:r w:rsidRPr="009C5686">
        <w:rPr>
          <w:rFonts w:ascii="Arial" w:eastAsia="Calibri" w:hAnsi="Arial" w:cs="Arial"/>
          <w:color w:val="000000" w:themeColor="text1"/>
          <w:sz w:val="22"/>
          <w:lang w:val="es-ES_tradnl"/>
        </w:rPr>
        <w:t xml:space="preserve"> Esta Agencia también expidió </w:t>
      </w:r>
      <w:r w:rsidR="00E0142A" w:rsidRPr="009C5686">
        <w:rPr>
          <w:rFonts w:ascii="Arial" w:eastAsia="Calibri" w:hAnsi="Arial" w:cs="Arial"/>
          <w:color w:val="000000" w:themeColor="text1"/>
          <w:sz w:val="22"/>
          <w:lang w:val="es-ES_tradnl"/>
        </w:rPr>
        <w:t xml:space="preserve">la Guía para las </w:t>
      </w:r>
      <w:r w:rsidR="005F5153" w:rsidRPr="009C5686">
        <w:rPr>
          <w:rFonts w:ascii="Arial" w:eastAsia="Calibri" w:hAnsi="Arial" w:cs="Arial"/>
          <w:color w:val="000000" w:themeColor="text1"/>
          <w:sz w:val="22"/>
          <w:lang w:val="es-ES_tradnl"/>
        </w:rPr>
        <w:t>e</w:t>
      </w:r>
      <w:r w:rsidR="00E0142A" w:rsidRPr="009C5686">
        <w:rPr>
          <w:rFonts w:ascii="Arial" w:eastAsia="Calibri" w:hAnsi="Arial" w:cs="Arial"/>
          <w:color w:val="000000" w:themeColor="text1"/>
          <w:sz w:val="22"/>
          <w:lang w:val="es-ES_tradnl"/>
        </w:rPr>
        <w:t xml:space="preserve">ntidades </w:t>
      </w:r>
      <w:r w:rsidR="005F5153" w:rsidRPr="009C5686">
        <w:rPr>
          <w:rFonts w:ascii="Arial" w:eastAsia="Calibri" w:hAnsi="Arial" w:cs="Arial"/>
          <w:color w:val="000000" w:themeColor="text1"/>
          <w:sz w:val="22"/>
          <w:lang w:val="es-ES_tradnl"/>
        </w:rPr>
        <w:t>e</w:t>
      </w:r>
      <w:r w:rsidR="00E0142A" w:rsidRPr="009C5686">
        <w:rPr>
          <w:rFonts w:ascii="Arial" w:eastAsia="Calibri" w:hAnsi="Arial" w:cs="Arial"/>
          <w:color w:val="000000" w:themeColor="text1"/>
          <w:sz w:val="22"/>
          <w:lang w:val="es-ES_tradnl"/>
        </w:rPr>
        <w:t xml:space="preserve">statales con régimen especial de contratación, </w:t>
      </w:r>
      <w:r w:rsidRPr="009C5686">
        <w:rPr>
          <w:rFonts w:ascii="Arial" w:eastAsia="Calibri" w:hAnsi="Arial" w:cs="Arial"/>
          <w:color w:val="000000" w:themeColor="text1"/>
          <w:sz w:val="22"/>
          <w:lang w:val="es-ES_tradnl"/>
        </w:rPr>
        <w:t xml:space="preserve">definidas como </w:t>
      </w:r>
      <w:r w:rsidR="00E0142A" w:rsidRPr="009C5686">
        <w:rPr>
          <w:rFonts w:ascii="Arial" w:eastAsia="Calibri" w:hAnsi="Arial" w:cs="Arial"/>
          <w:color w:val="000000" w:themeColor="text1"/>
          <w:sz w:val="22"/>
          <w:lang w:val="es-ES_tradnl"/>
        </w:rPr>
        <w:t>aquellas que contratan con un régimen distinto a las Leyes 80 de 1993 y 1150 de 2007</w:t>
      </w:r>
      <w:r w:rsidR="00E0142A" w:rsidRPr="009C5686">
        <w:rPr>
          <w:rStyle w:val="Refdenotaalpie"/>
          <w:rFonts w:ascii="Arial" w:eastAsia="Calibri" w:hAnsi="Arial" w:cs="Arial"/>
          <w:color w:val="000000" w:themeColor="text1"/>
          <w:sz w:val="22"/>
          <w:lang w:val="es-ES_tradnl"/>
        </w:rPr>
        <w:footnoteReference w:id="21"/>
      </w:r>
      <w:r w:rsidRPr="009C5686">
        <w:rPr>
          <w:rFonts w:ascii="Arial" w:eastAsia="Calibri" w:hAnsi="Arial" w:cs="Arial"/>
          <w:color w:val="000000" w:themeColor="text1"/>
          <w:sz w:val="22"/>
          <w:lang w:val="es-ES_tradnl"/>
        </w:rPr>
        <w:t xml:space="preserve">. </w:t>
      </w:r>
      <w:r w:rsidR="00E0142A" w:rsidRPr="009C5686">
        <w:rPr>
          <w:rFonts w:ascii="Arial" w:eastAsia="Calibri" w:hAnsi="Arial" w:cs="Arial"/>
          <w:color w:val="000000" w:themeColor="text1"/>
          <w:sz w:val="22"/>
          <w:lang w:val="es-ES_tradnl"/>
        </w:rPr>
        <w:t xml:space="preserve">No obstante, las entidades de régimen especial cumplen una finalidad pública y </w:t>
      </w:r>
      <w:r w:rsidRPr="009C5686">
        <w:rPr>
          <w:rFonts w:ascii="Arial" w:eastAsia="Calibri" w:hAnsi="Arial" w:cs="Arial"/>
          <w:color w:val="000000" w:themeColor="text1"/>
          <w:sz w:val="22"/>
          <w:lang w:val="es-ES_tradnl"/>
        </w:rPr>
        <w:t>ejecutan</w:t>
      </w:r>
      <w:r w:rsidR="00E0142A" w:rsidRPr="009C5686">
        <w:rPr>
          <w:rFonts w:ascii="Arial" w:eastAsia="Calibri" w:hAnsi="Arial" w:cs="Arial"/>
          <w:color w:val="000000" w:themeColor="text1"/>
          <w:sz w:val="22"/>
          <w:lang w:val="es-ES_tradnl"/>
        </w:rPr>
        <w:t xml:space="preserve"> recursos públicos para lograrlo, por lo que no son ajenas a los principios de la función administrativa y </w:t>
      </w:r>
      <w:r w:rsidR="005F5153" w:rsidRPr="009C5686">
        <w:rPr>
          <w:rFonts w:ascii="Arial" w:eastAsia="Calibri" w:hAnsi="Arial" w:cs="Arial"/>
          <w:color w:val="000000" w:themeColor="text1"/>
          <w:sz w:val="22"/>
          <w:lang w:val="es-ES_tradnl"/>
        </w:rPr>
        <w:t>d</w:t>
      </w:r>
      <w:r w:rsidR="00E0142A" w:rsidRPr="009C5686">
        <w:rPr>
          <w:rFonts w:ascii="Arial" w:eastAsia="Calibri" w:hAnsi="Arial" w:cs="Arial"/>
          <w:color w:val="000000" w:themeColor="text1"/>
          <w:sz w:val="22"/>
          <w:lang w:val="es-ES_tradnl"/>
        </w:rPr>
        <w:t>e</w:t>
      </w:r>
      <w:r w:rsidR="005F5153" w:rsidRPr="009C5686">
        <w:rPr>
          <w:rFonts w:ascii="Arial" w:eastAsia="Calibri" w:hAnsi="Arial" w:cs="Arial"/>
          <w:color w:val="000000" w:themeColor="text1"/>
          <w:sz w:val="22"/>
          <w:lang w:val="es-ES_tradnl"/>
        </w:rPr>
        <w:t xml:space="preserve"> la gestión</w:t>
      </w:r>
      <w:r w:rsidR="00E0142A" w:rsidRPr="009C5686">
        <w:rPr>
          <w:rFonts w:ascii="Arial" w:eastAsia="Calibri" w:hAnsi="Arial" w:cs="Arial"/>
          <w:color w:val="000000" w:themeColor="text1"/>
          <w:sz w:val="22"/>
          <w:lang w:val="es-ES_tradnl"/>
        </w:rPr>
        <w:t xml:space="preserve"> fiscal, entre otras reglas dispuestas en la normativa de contratación pública que son tra</w:t>
      </w:r>
      <w:r w:rsidR="002C4AFE" w:rsidRPr="009C5686">
        <w:rPr>
          <w:rFonts w:ascii="Arial" w:eastAsia="Calibri" w:hAnsi="Arial" w:cs="Arial"/>
          <w:color w:val="000000" w:themeColor="text1"/>
          <w:sz w:val="22"/>
          <w:lang w:val="es-ES_tradnl"/>
        </w:rPr>
        <w:t>n</w:t>
      </w:r>
      <w:r w:rsidR="00E0142A" w:rsidRPr="009C5686">
        <w:rPr>
          <w:rFonts w:ascii="Arial" w:eastAsia="Calibri" w:hAnsi="Arial" w:cs="Arial"/>
          <w:color w:val="000000" w:themeColor="text1"/>
          <w:sz w:val="22"/>
          <w:lang w:val="es-ES_tradnl"/>
        </w:rPr>
        <w:t xml:space="preserve">sversales a todas las entidades, sin importar su régimen </w:t>
      </w:r>
      <w:r w:rsidR="005F5153" w:rsidRPr="009C5686">
        <w:rPr>
          <w:rFonts w:ascii="Arial" w:eastAsia="Calibri" w:hAnsi="Arial" w:cs="Arial"/>
          <w:color w:val="000000" w:themeColor="text1"/>
          <w:sz w:val="22"/>
          <w:lang w:val="es-ES_tradnl"/>
        </w:rPr>
        <w:t>contractual</w:t>
      </w:r>
      <w:r w:rsidR="00E0142A" w:rsidRPr="009C5686">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444AC64A" w14:textId="77777777" w:rsidR="00E0142A" w:rsidRPr="009C5686" w:rsidRDefault="00E0142A" w:rsidP="00E0142A">
      <w:pPr>
        <w:jc w:val="both"/>
        <w:rPr>
          <w:rFonts w:ascii="Arial" w:eastAsia="Calibri" w:hAnsi="Arial" w:cs="Arial"/>
          <w:color w:val="000000" w:themeColor="text1"/>
          <w:sz w:val="22"/>
          <w:lang w:val="es-ES_tradnl"/>
        </w:rPr>
      </w:pPr>
    </w:p>
    <w:p w14:paraId="03A5DCB4" w14:textId="77777777" w:rsidR="00E0142A" w:rsidRPr="009C5686" w:rsidRDefault="00E0142A" w:rsidP="00E0142A">
      <w:pPr>
        <w:ind w:left="709" w:right="709"/>
        <w:jc w:val="both"/>
        <w:rPr>
          <w:rFonts w:ascii="Arial" w:eastAsia="Calibri" w:hAnsi="Arial" w:cs="Arial"/>
          <w:color w:val="000000" w:themeColor="text1"/>
          <w:sz w:val="21"/>
          <w:szCs w:val="21"/>
          <w:lang w:val="es-ES_tradnl"/>
        </w:rPr>
      </w:pPr>
      <w:r w:rsidRPr="009C5686">
        <w:rPr>
          <w:rFonts w:ascii="Arial" w:eastAsia="Calibri" w:hAnsi="Arial" w:cs="Arial"/>
          <w:color w:val="000000" w:themeColor="text1"/>
          <w:sz w:val="22"/>
          <w:lang w:val="es-ES_tradnl"/>
        </w:rPr>
        <w:t>[...] en la contratación de las entidades excluidas</w:t>
      </w:r>
      <w:r w:rsidRPr="009C5686">
        <w:rPr>
          <w:rFonts w:ascii="Arial" w:eastAsia="Calibri" w:hAnsi="Arial" w:cs="Arial"/>
          <w:color w:val="000000" w:themeColor="text1"/>
          <w:sz w:val="21"/>
          <w:szCs w:val="21"/>
          <w:lang w:val="es-ES_tradnl"/>
        </w:rPr>
        <w:t xml:space="preserve">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3D9A7BD" w14:textId="2B6C4D36" w:rsidR="00E0142A" w:rsidRDefault="00A626AA" w:rsidP="00E0142A">
      <w:pPr>
        <w:ind w:left="709" w:right="709"/>
        <w:jc w:val="both"/>
        <w:rPr>
          <w:rFonts w:ascii="Arial" w:eastAsia="Calibri" w:hAnsi="Arial" w:cs="Arial"/>
          <w:color w:val="000000" w:themeColor="text1"/>
          <w:sz w:val="22"/>
          <w:lang w:val="es-ES_tradnl"/>
        </w:rPr>
      </w:pPr>
      <w:r w:rsidRPr="009C5686">
        <w:rPr>
          <w:rFonts w:ascii="Arial" w:eastAsia="Calibri" w:hAnsi="Arial" w:cs="Arial"/>
          <w:color w:val="000000" w:themeColor="text1"/>
          <w:sz w:val="22"/>
          <w:lang w:val="es-ES_tradnl"/>
        </w:rPr>
        <w:t>[...]</w:t>
      </w:r>
    </w:p>
    <w:p w14:paraId="456FF3CD" w14:textId="5691CE59" w:rsidR="00E0142A" w:rsidRPr="009C5686" w:rsidRDefault="00E0142A" w:rsidP="00AE40EC">
      <w:pPr>
        <w:ind w:left="709" w:right="709"/>
        <w:jc w:val="both"/>
        <w:rPr>
          <w:rFonts w:ascii="Arial" w:eastAsia="Calibri" w:hAnsi="Arial" w:cs="Arial"/>
          <w:color w:val="000000" w:themeColor="text1"/>
          <w:sz w:val="22"/>
          <w:lang w:val="es-ES_tradnl"/>
        </w:rPr>
      </w:pPr>
      <w:r w:rsidRPr="00432212">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w:t>
      </w:r>
      <w:r w:rsidRPr="00432212">
        <w:rPr>
          <w:rFonts w:ascii="Arial" w:eastAsia="Calibri" w:hAnsi="Arial" w:cs="Arial"/>
          <w:color w:val="000000" w:themeColor="text1"/>
          <w:sz w:val="21"/>
          <w:szCs w:val="21"/>
          <w:lang w:val="es-ES_tradnl"/>
        </w:rPr>
        <w:lastRenderedPageBreak/>
        <w:t>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432212">
        <w:rPr>
          <w:rStyle w:val="Refdenotaalpie"/>
          <w:rFonts w:ascii="Arial" w:eastAsia="Calibri" w:hAnsi="Arial" w:cs="Arial"/>
          <w:color w:val="000000" w:themeColor="text1"/>
          <w:sz w:val="22"/>
          <w:lang w:val="es-ES_tradnl"/>
        </w:rPr>
        <w:footnoteReference w:id="22"/>
      </w:r>
      <w:r w:rsidRPr="00432212">
        <w:rPr>
          <w:rFonts w:ascii="Arial" w:eastAsia="Calibri" w:hAnsi="Arial" w:cs="Arial"/>
          <w:color w:val="000000" w:themeColor="text1"/>
          <w:sz w:val="22"/>
          <w:lang w:val="es-ES_tradnl"/>
        </w:rPr>
        <w:t>.</w:t>
      </w:r>
    </w:p>
    <w:p w14:paraId="379922BF" w14:textId="6D6EA07C" w:rsidR="001E1317" w:rsidRPr="009C5686" w:rsidRDefault="00432212" w:rsidP="001E1317">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En armonía con lo </w:t>
      </w:r>
      <w:r w:rsidR="00B84E23">
        <w:rPr>
          <w:rFonts w:ascii="Arial" w:eastAsia="Calibri" w:hAnsi="Arial" w:cs="Arial"/>
          <w:color w:val="000000" w:themeColor="text1"/>
          <w:sz w:val="22"/>
          <w:lang w:val="es-ES_tradnl"/>
        </w:rPr>
        <w:t>expresado</w:t>
      </w:r>
      <w:r>
        <w:rPr>
          <w:rFonts w:ascii="Arial" w:eastAsia="Calibri" w:hAnsi="Arial" w:cs="Arial"/>
          <w:color w:val="000000" w:themeColor="text1"/>
          <w:sz w:val="22"/>
          <w:lang w:val="es-ES_tradnl"/>
        </w:rPr>
        <w:t xml:space="preserve">, </w:t>
      </w:r>
      <w:r w:rsidR="00E0142A" w:rsidRPr="009C5686">
        <w:rPr>
          <w:rFonts w:ascii="Arial" w:eastAsia="Calibri" w:hAnsi="Arial" w:cs="Arial"/>
          <w:color w:val="000000" w:themeColor="text1"/>
          <w:sz w:val="22"/>
          <w:lang w:val="es-ES_tradnl"/>
        </w:rPr>
        <w:t xml:space="preserve">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w:t>
      </w:r>
      <w:r w:rsidR="00950703">
        <w:rPr>
          <w:rFonts w:ascii="Arial" w:eastAsia="Calibri" w:hAnsi="Arial" w:cs="Arial"/>
          <w:color w:val="000000" w:themeColor="text1"/>
          <w:sz w:val="22"/>
          <w:lang w:val="es-ES_tradnl"/>
        </w:rPr>
        <w:t xml:space="preserve">el régimen de </w:t>
      </w:r>
      <w:r w:rsidR="00E0142A" w:rsidRPr="009C5686">
        <w:rPr>
          <w:rFonts w:ascii="Arial" w:eastAsia="Calibri" w:hAnsi="Arial" w:cs="Arial"/>
          <w:color w:val="000000" w:themeColor="text1"/>
          <w:sz w:val="22"/>
          <w:lang w:val="es-ES_tradnl"/>
        </w:rPr>
        <w:t xml:space="preserve">inhabilidades e incompatibilidades de los </w:t>
      </w:r>
      <w:r w:rsidR="00950703">
        <w:rPr>
          <w:rFonts w:ascii="Arial" w:eastAsia="Calibri" w:hAnsi="Arial" w:cs="Arial"/>
          <w:color w:val="000000" w:themeColor="text1"/>
          <w:sz w:val="22"/>
          <w:lang w:val="es-ES_tradnl"/>
        </w:rPr>
        <w:t>proponentes</w:t>
      </w:r>
      <w:r w:rsidR="00950703" w:rsidRPr="009C5686">
        <w:rPr>
          <w:rFonts w:ascii="Arial" w:eastAsia="Calibri" w:hAnsi="Arial" w:cs="Arial"/>
          <w:color w:val="000000" w:themeColor="text1"/>
          <w:sz w:val="22"/>
          <w:lang w:val="es-ES_tradnl"/>
        </w:rPr>
        <w:t xml:space="preserve"> </w:t>
      </w:r>
      <w:r w:rsidR="00E0142A" w:rsidRPr="009C5686">
        <w:rPr>
          <w:rFonts w:ascii="Arial" w:eastAsia="Calibri" w:hAnsi="Arial" w:cs="Arial"/>
          <w:color w:val="000000" w:themeColor="text1"/>
          <w:sz w:val="22"/>
          <w:lang w:val="es-ES_tradnl"/>
        </w:rPr>
        <w:t>de la entidad y analizar el sector económico de los oferentes, entre otras.</w:t>
      </w:r>
    </w:p>
    <w:p w14:paraId="12676CD1" w14:textId="480FA763" w:rsidR="001E1317" w:rsidRPr="009C5686" w:rsidRDefault="001E1317" w:rsidP="001E1317">
      <w:pPr>
        <w:spacing w:before="120" w:after="120" w:line="276" w:lineRule="auto"/>
        <w:ind w:firstLine="708"/>
        <w:jc w:val="both"/>
        <w:rPr>
          <w:rFonts w:ascii="Arial" w:eastAsia="Calibri" w:hAnsi="Arial" w:cs="Arial"/>
          <w:color w:val="000000" w:themeColor="text1"/>
          <w:sz w:val="22"/>
          <w:lang w:val="es-ES_tradnl"/>
        </w:rPr>
      </w:pPr>
      <w:r w:rsidRPr="009C5686">
        <w:rPr>
          <w:rFonts w:ascii="Arial" w:hAnsi="Arial" w:cs="Arial"/>
          <w:sz w:val="22"/>
          <w:lang w:val="es-ES_tradnl"/>
        </w:rPr>
        <w:t>De lo anterior se desprende que los regímenes especiales en la contratación estatal pueden concebirse como ámbitos de regulación que ostentan una naturaleza mixta, constituida por las disposiciones de derecho privado, los manuales o reglamentos internos de contratación de las entidades estatales, los principios de la función administrativa y de la gestión fiscal, y del régimen de inhabilidades e incompatibilidades.</w:t>
      </w:r>
    </w:p>
    <w:p w14:paraId="2FE99749" w14:textId="12FAB40A" w:rsidR="007A2E30" w:rsidRPr="009C5686" w:rsidRDefault="001E1317" w:rsidP="00B84E23">
      <w:pPr>
        <w:pStyle w:val="Textoindependiente"/>
        <w:spacing w:before="5"/>
        <w:ind w:firstLine="708"/>
        <w:jc w:val="both"/>
        <w:rPr>
          <w:rFonts w:ascii="Arial" w:eastAsia="Calibri" w:hAnsi="Arial" w:cs="Arial"/>
          <w:color w:val="000000" w:themeColor="text1"/>
          <w:lang w:val="es-ES_tradnl"/>
        </w:rPr>
      </w:pPr>
      <w:r w:rsidRPr="009C5686">
        <w:rPr>
          <w:rFonts w:ascii="Arial" w:eastAsia="Calibri" w:hAnsi="Arial" w:cs="Arial"/>
          <w:color w:val="000000" w:themeColor="text1"/>
          <w:lang w:val="es-ES_tradnl"/>
        </w:rPr>
        <w:t xml:space="preserve">En efecto, la libertad de configuración reglamentaria de las entidades estatales, expresada en el manual de contratación, no es absoluta, pues a pesar de que </w:t>
      </w:r>
      <w:r w:rsidR="00B84E23" w:rsidRPr="00E313AF">
        <w:rPr>
          <w:rFonts w:ascii="Arial" w:hAnsi="Arial" w:cs="Arial"/>
        </w:rPr>
        <w:t>doctrinaria</w:t>
      </w:r>
      <w:r w:rsidR="00B84E23">
        <w:rPr>
          <w:rStyle w:val="Refdenotaalpie"/>
          <w:rFonts w:ascii="Arial" w:hAnsi="Arial" w:cs="Arial"/>
        </w:rPr>
        <w:footnoteReference w:id="23"/>
      </w:r>
      <w:r w:rsidR="00B84E23" w:rsidRPr="00E313AF">
        <w:rPr>
          <w:rFonts w:ascii="Arial" w:hAnsi="Arial" w:cs="Arial"/>
        </w:rPr>
        <w:t xml:space="preserve"> y jurisprudencialmente</w:t>
      </w:r>
      <w:r w:rsidR="00B84E23">
        <w:rPr>
          <w:rStyle w:val="Refdenotaalpie"/>
          <w:rFonts w:ascii="Arial" w:hAnsi="Arial" w:cs="Arial"/>
        </w:rPr>
        <w:footnoteReference w:id="24"/>
      </w:r>
      <w:r w:rsidR="00B84E23">
        <w:rPr>
          <w:rFonts w:ascii="Arial" w:hAnsi="Arial" w:cs="Arial"/>
        </w:rPr>
        <w:t xml:space="preserve"> </w:t>
      </w:r>
      <w:r w:rsidR="00B84E23" w:rsidRPr="00E313AF">
        <w:rPr>
          <w:rFonts w:ascii="Arial" w:hAnsi="Arial" w:cs="Arial"/>
        </w:rPr>
        <w:t xml:space="preserve">se ha identificado </w:t>
      </w:r>
      <w:r w:rsidR="00B84E23">
        <w:rPr>
          <w:rFonts w:ascii="Arial" w:hAnsi="Arial" w:cs="Arial"/>
        </w:rPr>
        <w:t xml:space="preserve">la aplicación mixta de normas de derecho público y privado, pudiendo autorregular </w:t>
      </w:r>
      <w:r w:rsidRPr="009C5686">
        <w:rPr>
          <w:rFonts w:ascii="Arial" w:eastAsia="Calibri" w:hAnsi="Arial" w:cs="Arial"/>
          <w:color w:val="000000" w:themeColor="text1"/>
          <w:lang w:val="es-ES_tradnl"/>
        </w:rPr>
        <w:t xml:space="preserve">ciertos temas relacionados con la actividad contractual, deben hacerlo respetando la reserva legal </w:t>
      </w:r>
      <w:r w:rsidR="00FF1B4C">
        <w:rPr>
          <w:rFonts w:ascii="Arial" w:eastAsia="Calibri" w:hAnsi="Arial" w:cs="Arial"/>
          <w:color w:val="000000" w:themeColor="text1"/>
          <w:lang w:val="es-ES_tradnl"/>
        </w:rPr>
        <w:t>que reviste</w:t>
      </w:r>
      <w:r w:rsidRPr="009C5686">
        <w:rPr>
          <w:rFonts w:ascii="Arial" w:eastAsia="Calibri" w:hAnsi="Arial" w:cs="Arial"/>
          <w:color w:val="000000" w:themeColor="text1"/>
          <w:lang w:val="es-ES_tradnl"/>
        </w:rPr>
        <w:t xml:space="preserve"> ciertas materias. </w:t>
      </w:r>
      <w:r w:rsidR="00B84E23" w:rsidRPr="009C5686">
        <w:rPr>
          <w:rFonts w:ascii="Arial" w:eastAsia="Calibri" w:hAnsi="Arial" w:cs="Arial"/>
          <w:color w:val="000000" w:themeColor="text1"/>
          <w:lang w:val="es-ES_tradnl"/>
        </w:rPr>
        <w:t>En tal sentido,</w:t>
      </w:r>
      <w:r w:rsidR="00B84E23">
        <w:rPr>
          <w:rFonts w:ascii="Arial" w:hAnsi="Arial" w:cs="Arial"/>
        </w:rPr>
        <w:t xml:space="preserve"> </w:t>
      </w:r>
      <w:r w:rsidRPr="009C5686">
        <w:rPr>
          <w:rFonts w:ascii="Arial" w:eastAsia="Calibri" w:hAnsi="Arial" w:cs="Arial"/>
          <w:color w:val="000000" w:themeColor="text1"/>
          <w:lang w:val="es-ES_tradnl"/>
        </w:rPr>
        <w:t xml:space="preserve">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w:t>
      </w:r>
      <w:r w:rsidRPr="009C5686">
        <w:rPr>
          <w:rFonts w:ascii="Arial" w:eastAsia="Calibri" w:hAnsi="Arial" w:cs="Arial"/>
          <w:color w:val="000000" w:themeColor="text1"/>
          <w:lang w:val="es-ES_tradnl"/>
        </w:rPr>
        <w:lastRenderedPageBreak/>
        <w:t>para discutir las controversias contractuales, son, entre otros, temas cuya regulación está reservada al legislador y que, por tanto, las entidades exceptuadas no pueden reglamentar en su manual de contratación</w:t>
      </w:r>
      <w:r w:rsidRPr="009C5686">
        <w:rPr>
          <w:rStyle w:val="Refdenotaalpie"/>
          <w:rFonts w:ascii="Arial" w:eastAsia="Calibri" w:hAnsi="Arial" w:cs="Arial"/>
          <w:color w:val="000000" w:themeColor="text1"/>
          <w:lang w:val="es-ES_tradnl"/>
        </w:rPr>
        <w:footnoteReference w:id="25"/>
      </w:r>
      <w:r w:rsidRPr="009C5686">
        <w:rPr>
          <w:rFonts w:ascii="Arial" w:eastAsia="Calibri" w:hAnsi="Arial" w:cs="Arial"/>
          <w:color w:val="000000" w:themeColor="text1"/>
          <w:lang w:val="es-ES_tradnl"/>
        </w:rPr>
        <w:t>, es decir</w:t>
      </w:r>
      <w:r w:rsidR="00950703">
        <w:rPr>
          <w:rFonts w:ascii="Arial" w:eastAsia="Calibri" w:hAnsi="Arial" w:cs="Arial"/>
          <w:color w:val="000000" w:themeColor="text1"/>
          <w:lang w:val="es-ES_tradnl"/>
        </w:rPr>
        <w:t>,</w:t>
      </w:r>
      <w:r w:rsidRPr="009C5686">
        <w:rPr>
          <w:rFonts w:ascii="Arial" w:eastAsia="Calibri" w:hAnsi="Arial" w:cs="Arial"/>
          <w:color w:val="000000" w:themeColor="text1"/>
          <w:lang w:val="es-ES_tradnl"/>
        </w:rPr>
        <w:t xml:space="preserve"> que no podrán eximirse de dar cumplimiento a la normativa correspondiente ni modificar los efectos de la misma</w:t>
      </w:r>
      <w:r w:rsidR="007A2E30" w:rsidRPr="009C5686">
        <w:rPr>
          <w:rFonts w:ascii="Arial" w:eastAsia="Calibri" w:hAnsi="Arial" w:cs="Arial"/>
          <w:color w:val="000000" w:themeColor="text1"/>
          <w:lang w:val="es-ES_tradnl"/>
        </w:rPr>
        <w:t>.</w:t>
      </w:r>
    </w:p>
    <w:p w14:paraId="11339118" w14:textId="1B956200" w:rsidR="007A2E30" w:rsidRPr="008923B1" w:rsidRDefault="00212536" w:rsidP="007A2E30">
      <w:pPr>
        <w:spacing w:before="120" w:after="120" w:line="276" w:lineRule="auto"/>
        <w:ind w:firstLine="709"/>
        <w:jc w:val="both"/>
        <w:rPr>
          <w:rFonts w:ascii="Arial" w:eastAsia="Calibri" w:hAnsi="Arial" w:cs="Arial"/>
          <w:color w:val="000000" w:themeColor="text1"/>
          <w:sz w:val="22"/>
          <w:lang w:val="es-ES_tradnl"/>
        </w:rPr>
      </w:pPr>
      <w:r w:rsidRPr="008923B1">
        <w:rPr>
          <w:rFonts w:ascii="Arial" w:eastAsia="Calibri" w:hAnsi="Arial" w:cs="Arial"/>
          <w:color w:val="000000" w:themeColor="text1"/>
          <w:sz w:val="22"/>
          <w:lang w:val="es-ES_tradnl"/>
        </w:rPr>
        <w:t>Finalmente</w:t>
      </w:r>
      <w:r w:rsidR="00B86656" w:rsidRPr="008923B1">
        <w:rPr>
          <w:rFonts w:ascii="Arial" w:eastAsia="Calibri" w:hAnsi="Arial" w:cs="Arial"/>
          <w:color w:val="000000" w:themeColor="text1"/>
          <w:sz w:val="22"/>
          <w:lang w:val="es-ES_tradnl"/>
        </w:rPr>
        <w:t xml:space="preserve">, es </w:t>
      </w:r>
      <w:r w:rsidR="00D75471" w:rsidRPr="008923B1">
        <w:rPr>
          <w:rFonts w:ascii="Arial" w:eastAsia="Calibri" w:hAnsi="Arial" w:cs="Arial"/>
          <w:color w:val="000000" w:themeColor="text1"/>
          <w:sz w:val="22"/>
          <w:lang w:val="es-ES_tradnl"/>
        </w:rPr>
        <w:t>necesario</w:t>
      </w:r>
      <w:r w:rsidR="00B86656" w:rsidRPr="008923B1">
        <w:rPr>
          <w:rFonts w:ascii="Arial" w:eastAsia="Calibri" w:hAnsi="Arial" w:cs="Arial"/>
          <w:color w:val="000000" w:themeColor="text1"/>
          <w:sz w:val="22"/>
          <w:lang w:val="es-ES_tradnl"/>
        </w:rPr>
        <w:t xml:space="preserve"> analizar si los Decretos 399 y 579 de 2021</w:t>
      </w:r>
      <w:r w:rsidR="007A2E30" w:rsidRPr="008923B1">
        <w:rPr>
          <w:rFonts w:ascii="Arial" w:eastAsia="Calibri" w:hAnsi="Arial" w:cs="Arial"/>
          <w:color w:val="000000" w:themeColor="text1"/>
          <w:sz w:val="22"/>
          <w:lang w:val="es-ES_tradnl"/>
        </w:rPr>
        <w:t>, mediante los cuales se modificó el Decreto 1082 de 2015,</w:t>
      </w:r>
      <w:r w:rsidR="00B86656" w:rsidRPr="008923B1">
        <w:rPr>
          <w:rFonts w:ascii="Arial" w:eastAsia="Calibri" w:hAnsi="Arial" w:cs="Arial"/>
          <w:color w:val="000000" w:themeColor="text1"/>
          <w:sz w:val="22"/>
          <w:lang w:val="es-ES_tradnl"/>
        </w:rPr>
        <w:t xml:space="preserve"> contienen normas aplicables a las entidades de régimen especial, al </w:t>
      </w:r>
      <w:r w:rsidR="001B208F" w:rsidRPr="008923B1">
        <w:rPr>
          <w:rFonts w:ascii="Arial" w:eastAsia="Calibri" w:hAnsi="Arial" w:cs="Arial"/>
          <w:color w:val="000000" w:themeColor="text1"/>
          <w:sz w:val="22"/>
          <w:lang w:val="es-ES_tradnl"/>
        </w:rPr>
        <w:t>respecto, en</w:t>
      </w:r>
      <w:r w:rsidR="007A2E30" w:rsidRPr="008923B1">
        <w:rPr>
          <w:rFonts w:ascii="Arial" w:eastAsia="Calibri" w:hAnsi="Arial" w:cs="Arial"/>
          <w:color w:val="000000" w:themeColor="text1"/>
          <w:sz w:val="22"/>
          <w:lang w:val="es-ES_tradnl"/>
        </w:rPr>
        <w:t xml:space="preserve"> el artículo 2.1.1.2. </w:t>
      </w:r>
      <w:r w:rsidR="00DA287E" w:rsidRPr="008923B1">
        <w:rPr>
          <w:rFonts w:ascii="Arial" w:eastAsia="Calibri" w:hAnsi="Arial" w:cs="Arial"/>
          <w:color w:val="000000" w:themeColor="text1"/>
          <w:sz w:val="22"/>
          <w:lang w:val="es-ES_tradnl"/>
        </w:rPr>
        <w:t xml:space="preserve">ibídem, se </w:t>
      </w:r>
      <w:r w:rsidR="007A2E30" w:rsidRPr="008923B1">
        <w:rPr>
          <w:rFonts w:ascii="Arial" w:eastAsia="Calibri" w:hAnsi="Arial" w:cs="Arial"/>
          <w:color w:val="000000" w:themeColor="text1"/>
          <w:sz w:val="22"/>
          <w:lang w:val="es-ES_tradnl"/>
        </w:rPr>
        <w:t>precisa su ámbito de aplicación en los siguientes términos:</w:t>
      </w:r>
    </w:p>
    <w:p w14:paraId="15151740" w14:textId="0E10D184" w:rsidR="00B86656" w:rsidRPr="008923B1" w:rsidRDefault="007A2E30" w:rsidP="007A2E30">
      <w:pPr>
        <w:ind w:left="709" w:right="709"/>
        <w:jc w:val="both"/>
        <w:rPr>
          <w:rFonts w:ascii="Arial" w:eastAsia="Times New Roman" w:hAnsi="Arial" w:cs="Arial"/>
          <w:color w:val="000000"/>
          <w:sz w:val="21"/>
          <w:szCs w:val="21"/>
          <w:lang w:eastAsia="es-ES_tradnl"/>
        </w:rPr>
      </w:pPr>
      <w:r w:rsidRPr="008923B1">
        <w:rPr>
          <w:rFonts w:ascii="Arial" w:eastAsia="Times New Roman" w:hAnsi="Arial" w:cs="Arial"/>
          <w:color w:val="000000"/>
          <w:sz w:val="21"/>
          <w:szCs w:val="21"/>
          <w:lang w:eastAsia="es-ES_tradnl"/>
        </w:rPr>
        <w:t>Artículo 2.1.1.2.</w:t>
      </w:r>
      <w:r w:rsidR="00C15420" w:rsidRPr="008923B1">
        <w:rPr>
          <w:rFonts w:ascii="Arial" w:eastAsia="Times New Roman" w:hAnsi="Arial" w:cs="Arial"/>
          <w:color w:val="000000"/>
          <w:sz w:val="21"/>
          <w:szCs w:val="21"/>
          <w:lang w:val="es-ES_tradnl" w:eastAsia="es-ES_tradnl"/>
        </w:rPr>
        <w:t xml:space="preserve"> </w:t>
      </w:r>
      <w:r w:rsidRPr="008923B1">
        <w:rPr>
          <w:rFonts w:ascii="Arial" w:eastAsia="Times New Roman" w:hAnsi="Arial" w:cs="Arial"/>
          <w:color w:val="000000"/>
          <w:sz w:val="21"/>
          <w:szCs w:val="21"/>
          <w:lang w:eastAsia="es-ES_tradnl"/>
        </w:rPr>
        <w:t xml:space="preserve">Ámbito de aplicación. El presente decreto aplica a las Entidades del Sector Administrativo de Planeación Nacional, a las demás Entidades Estatales, personas jurídicas de naturaleza pública y privada, y personas </w:t>
      </w:r>
      <w:r w:rsidRPr="008923B1">
        <w:rPr>
          <w:rFonts w:ascii="Arial" w:eastAsia="Times New Roman" w:hAnsi="Arial" w:cs="Arial"/>
          <w:color w:val="000000"/>
          <w:sz w:val="21"/>
          <w:szCs w:val="21"/>
          <w:lang w:eastAsia="es-ES_tradnl"/>
        </w:rPr>
        <w:lastRenderedPageBreak/>
        <w:t>naturales a las que hace referencia este decreto, y rige en todo el territorio nacional. </w:t>
      </w:r>
    </w:p>
    <w:p w14:paraId="34E8FA4D" w14:textId="77777777" w:rsidR="001B208F" w:rsidRPr="008923B1" w:rsidRDefault="001B208F" w:rsidP="007A2E30">
      <w:pPr>
        <w:ind w:left="709" w:right="709"/>
        <w:jc w:val="both"/>
        <w:rPr>
          <w:rFonts w:ascii="Arial" w:eastAsia="Times New Roman" w:hAnsi="Arial" w:cs="Arial"/>
          <w:color w:val="000000"/>
          <w:sz w:val="21"/>
          <w:szCs w:val="21"/>
          <w:highlight w:val="yellow"/>
          <w:lang w:eastAsia="es-ES_tradnl"/>
        </w:rPr>
      </w:pPr>
    </w:p>
    <w:p w14:paraId="2CB5B53F" w14:textId="33FE5531" w:rsidR="00C15420" w:rsidRPr="008923B1" w:rsidRDefault="007A2E30" w:rsidP="00C15420">
      <w:pPr>
        <w:spacing w:after="120" w:line="276" w:lineRule="auto"/>
        <w:ind w:firstLine="709"/>
        <w:jc w:val="both"/>
        <w:rPr>
          <w:rFonts w:ascii="Arial" w:eastAsia="Times New Roman" w:hAnsi="Arial" w:cs="Arial"/>
          <w:color w:val="000000"/>
          <w:sz w:val="22"/>
          <w:lang w:eastAsia="es-ES_tradnl"/>
        </w:rPr>
      </w:pPr>
      <w:r w:rsidRPr="008923B1">
        <w:rPr>
          <w:rFonts w:ascii="Arial" w:eastAsia="Times New Roman" w:hAnsi="Arial" w:cs="Arial"/>
          <w:color w:val="000000"/>
          <w:sz w:val="22"/>
          <w:lang w:val="es-ES_tradnl" w:eastAsia="es-ES_tradnl"/>
        </w:rPr>
        <w:t xml:space="preserve">De la norma transcrita se colige </w:t>
      </w:r>
      <w:r w:rsidR="00DA287E" w:rsidRPr="008923B1">
        <w:rPr>
          <w:rFonts w:ascii="Arial" w:eastAsia="Times New Roman" w:hAnsi="Arial" w:cs="Arial"/>
          <w:color w:val="000000"/>
          <w:sz w:val="22"/>
          <w:lang w:val="es-ES_tradnl" w:eastAsia="es-ES_tradnl"/>
        </w:rPr>
        <w:t>que las</w:t>
      </w:r>
      <w:r w:rsidRPr="008923B1">
        <w:rPr>
          <w:rFonts w:ascii="Arial" w:eastAsia="Times New Roman" w:hAnsi="Arial" w:cs="Arial"/>
          <w:color w:val="000000"/>
          <w:sz w:val="22"/>
          <w:lang w:val="es-ES_tradnl" w:eastAsia="es-ES_tradnl"/>
        </w:rPr>
        <w:t xml:space="preserve"> disposiciones contenidas </w:t>
      </w:r>
      <w:r w:rsidR="00DA287E" w:rsidRPr="008923B1">
        <w:rPr>
          <w:rFonts w:ascii="Arial" w:eastAsia="Times New Roman" w:hAnsi="Arial" w:cs="Arial"/>
          <w:color w:val="000000"/>
          <w:sz w:val="22"/>
          <w:lang w:val="es-ES_tradnl" w:eastAsia="es-ES_tradnl"/>
        </w:rPr>
        <w:t>en el Decreto 1082 de 2015 pueden tener alcance para diferentes entidades estatales</w:t>
      </w:r>
      <w:r w:rsidR="003C0741" w:rsidRPr="008923B1">
        <w:rPr>
          <w:rFonts w:ascii="Arial" w:eastAsia="Times New Roman" w:hAnsi="Arial" w:cs="Arial"/>
          <w:color w:val="000000"/>
          <w:sz w:val="22"/>
          <w:lang w:val="es-ES_tradnl" w:eastAsia="es-ES_tradnl"/>
        </w:rPr>
        <w:t xml:space="preserve"> y para personas jurídicas de naturaleza pública y privada</w:t>
      </w:r>
      <w:r w:rsidR="0092165E" w:rsidRPr="008923B1">
        <w:rPr>
          <w:rFonts w:ascii="Arial" w:eastAsia="Times New Roman" w:hAnsi="Arial" w:cs="Arial"/>
          <w:color w:val="000000"/>
          <w:sz w:val="22"/>
          <w:lang w:val="es-ES_tradnl" w:eastAsia="es-ES_tradnl"/>
        </w:rPr>
        <w:t>.</w:t>
      </w:r>
      <w:r w:rsidR="003C0741" w:rsidRPr="008923B1">
        <w:rPr>
          <w:rFonts w:ascii="Arial" w:eastAsia="Times New Roman" w:hAnsi="Arial" w:cs="Arial"/>
          <w:color w:val="000000"/>
          <w:sz w:val="22"/>
          <w:lang w:val="es-ES_tradnl" w:eastAsia="es-ES_tradnl"/>
        </w:rPr>
        <w:t xml:space="preserve"> </w:t>
      </w:r>
      <w:r w:rsidR="0092165E" w:rsidRPr="008923B1">
        <w:rPr>
          <w:rFonts w:ascii="Arial" w:eastAsia="Times New Roman" w:hAnsi="Arial" w:cs="Arial"/>
          <w:color w:val="000000"/>
          <w:sz w:val="22"/>
          <w:lang w:val="es-ES_tradnl" w:eastAsia="es-ES_tradnl"/>
        </w:rPr>
        <w:t>N</w:t>
      </w:r>
      <w:r w:rsidR="00DA287E" w:rsidRPr="008923B1">
        <w:rPr>
          <w:rFonts w:ascii="Arial" w:eastAsia="Times New Roman" w:hAnsi="Arial" w:cs="Arial"/>
          <w:color w:val="000000"/>
          <w:sz w:val="22"/>
          <w:lang w:val="es-ES_tradnl" w:eastAsia="es-ES_tradnl"/>
        </w:rPr>
        <w:t xml:space="preserve">o obstante, conviene mencionar que originalmente dicho artículo precisaba que su aplicación se </w:t>
      </w:r>
      <w:r w:rsidR="001B208F" w:rsidRPr="008923B1">
        <w:rPr>
          <w:rFonts w:ascii="Arial" w:eastAsia="Times New Roman" w:hAnsi="Arial" w:cs="Arial"/>
          <w:color w:val="000000"/>
          <w:sz w:val="22"/>
          <w:lang w:val="es-ES_tradnl" w:eastAsia="es-ES_tradnl"/>
        </w:rPr>
        <w:t>dirigía solamente a «las entidades del Sector Administrativo de Planeación Nacional</w:t>
      </w:r>
      <w:r w:rsidR="001B208F" w:rsidRPr="008923B1">
        <w:rPr>
          <w:rFonts w:ascii="Arial" w:eastAsia="Times New Roman" w:hAnsi="Arial" w:cs="Arial"/>
          <w:color w:val="000000"/>
          <w:sz w:val="22"/>
          <w:lang w:eastAsia="es-ES_tradnl"/>
        </w:rPr>
        <w:t>»</w:t>
      </w:r>
      <w:r w:rsidR="001B208F" w:rsidRPr="008923B1">
        <w:rPr>
          <w:rStyle w:val="Refdenotaalpie"/>
          <w:rFonts w:ascii="Arial" w:eastAsia="Times New Roman" w:hAnsi="Arial" w:cs="Arial"/>
          <w:color w:val="000000"/>
          <w:sz w:val="22"/>
          <w:lang w:eastAsia="es-ES_tradnl"/>
        </w:rPr>
        <w:footnoteReference w:id="26"/>
      </w:r>
      <w:r w:rsidR="006B003B" w:rsidRPr="008923B1">
        <w:rPr>
          <w:rFonts w:ascii="Arial" w:eastAsia="Times New Roman" w:hAnsi="Arial" w:cs="Arial"/>
          <w:color w:val="000000"/>
          <w:sz w:val="22"/>
          <w:lang w:val="es-ES_tradnl" w:eastAsia="es-ES_tradnl"/>
        </w:rPr>
        <w:t>. En este sentido,</w:t>
      </w:r>
      <w:r w:rsidR="001B208F" w:rsidRPr="008923B1">
        <w:rPr>
          <w:rFonts w:ascii="Arial" w:eastAsia="Times New Roman" w:hAnsi="Arial" w:cs="Arial"/>
          <w:color w:val="000000"/>
          <w:sz w:val="22"/>
          <w:lang w:val="es-ES_tradnl" w:eastAsia="es-ES_tradnl"/>
        </w:rPr>
        <w:t xml:space="preserve"> la extensión de su alcance a las demás entidades estatales </w:t>
      </w:r>
      <w:r w:rsidR="003C0741" w:rsidRPr="008923B1">
        <w:rPr>
          <w:rFonts w:ascii="Arial" w:eastAsia="Times New Roman" w:hAnsi="Arial" w:cs="Arial"/>
          <w:color w:val="000000"/>
          <w:sz w:val="22"/>
          <w:lang w:val="es-ES_tradnl" w:eastAsia="es-ES_tradnl"/>
        </w:rPr>
        <w:t xml:space="preserve">y personas referidas, </w:t>
      </w:r>
      <w:r w:rsidR="001B208F" w:rsidRPr="008923B1">
        <w:rPr>
          <w:rFonts w:ascii="Arial" w:eastAsia="Times New Roman" w:hAnsi="Arial" w:cs="Arial"/>
          <w:color w:val="000000"/>
          <w:sz w:val="22"/>
          <w:lang w:val="es-ES_tradnl" w:eastAsia="es-ES_tradnl"/>
        </w:rPr>
        <w:t xml:space="preserve">se efectuó mediante el Decreto 1676 de 2016, en el que se motiva dicha ampliación considerando que «en </w:t>
      </w:r>
      <w:r w:rsidR="00D063D5" w:rsidRPr="008923B1">
        <w:rPr>
          <w:rFonts w:ascii="Arial" w:eastAsia="Times New Roman" w:hAnsi="Arial" w:cs="Arial"/>
          <w:color w:val="000000"/>
          <w:sz w:val="22"/>
          <w:lang w:eastAsia="es-ES_tradnl"/>
        </w:rPr>
        <w:t>el Sistema de Compra Pública están incluidas las Entidades Estatales cubiertas por la Ley 80 de 1993 y la Ley 1150 de 2007, así como las Entidades Estatales de régimen especial»</w:t>
      </w:r>
      <w:r w:rsidR="001B208F" w:rsidRPr="008923B1">
        <w:rPr>
          <w:rFonts w:ascii="Arial" w:eastAsia="Times New Roman" w:hAnsi="Arial" w:cs="Arial"/>
          <w:color w:val="000000"/>
          <w:sz w:val="22"/>
          <w:lang w:val="es-ES_tradnl" w:eastAsia="es-ES_tradnl"/>
        </w:rPr>
        <w:t xml:space="preserve"> y </w:t>
      </w:r>
      <w:r w:rsidR="001B208F" w:rsidRPr="008923B1">
        <w:rPr>
          <w:rFonts w:ascii="Arial" w:eastAsia="Times New Roman" w:hAnsi="Arial" w:cs="Arial"/>
          <w:color w:val="000000"/>
          <w:sz w:val="22"/>
          <w:lang w:eastAsia="es-ES_tradnl"/>
        </w:rPr>
        <w:t>«</w:t>
      </w:r>
      <w:r w:rsidR="00D063D5" w:rsidRPr="008923B1">
        <w:rPr>
          <w:rFonts w:ascii="Arial" w:eastAsia="Times New Roman" w:hAnsi="Arial" w:cs="Arial"/>
          <w:color w:val="000000"/>
          <w:sz w:val="22"/>
          <w:lang w:eastAsia="es-ES_tradnl"/>
        </w:rPr>
        <w:t>Que hay Acuerdos Comerciales que incluyen dentro de su cobertura a Entidades Estatales de régimen especial y a Entidades Estatales descentralizadas del nivel territorial</w:t>
      </w:r>
      <w:r w:rsidR="001B208F" w:rsidRPr="008923B1">
        <w:rPr>
          <w:rFonts w:ascii="Arial" w:eastAsia="Times New Roman" w:hAnsi="Arial" w:cs="Arial"/>
          <w:color w:val="000000"/>
          <w:sz w:val="22"/>
          <w:lang w:eastAsia="es-ES_tradnl"/>
        </w:rPr>
        <w:t>»</w:t>
      </w:r>
      <w:r w:rsidR="00D063D5" w:rsidRPr="008923B1">
        <w:rPr>
          <w:rFonts w:ascii="Arial" w:eastAsia="Times New Roman" w:hAnsi="Arial" w:cs="Arial"/>
          <w:color w:val="000000"/>
          <w:sz w:val="22"/>
          <w:lang w:eastAsia="es-ES_tradnl"/>
        </w:rPr>
        <w:t>. </w:t>
      </w:r>
    </w:p>
    <w:p w14:paraId="73B1CD19" w14:textId="4326C873" w:rsidR="00767C6F" w:rsidRPr="008923B1" w:rsidRDefault="001B208F" w:rsidP="00767C6F">
      <w:pPr>
        <w:spacing w:after="120" w:line="276" w:lineRule="auto"/>
        <w:ind w:firstLine="709"/>
        <w:jc w:val="both"/>
        <w:rPr>
          <w:rFonts w:ascii="Arial" w:eastAsia="Times New Roman" w:hAnsi="Arial" w:cs="Arial"/>
          <w:color w:val="000000"/>
          <w:sz w:val="22"/>
          <w:lang w:val="es-ES_tradnl" w:eastAsia="es-ES_tradnl"/>
        </w:rPr>
      </w:pPr>
      <w:r w:rsidRPr="008923B1">
        <w:rPr>
          <w:rFonts w:ascii="Arial" w:eastAsia="Times New Roman" w:hAnsi="Arial" w:cs="Arial"/>
          <w:color w:val="000000"/>
          <w:sz w:val="22"/>
          <w:lang w:val="es-ES_tradnl" w:eastAsia="es-ES_tradnl"/>
        </w:rPr>
        <w:t>De acuerdo con lo anterior, existen aspectos concretos regulados en el Decreto 1082 de 2015 de aplicación obligatoria para</w:t>
      </w:r>
      <w:r w:rsidR="00767C6F" w:rsidRPr="008923B1">
        <w:rPr>
          <w:rFonts w:ascii="Arial" w:eastAsia="Times New Roman" w:hAnsi="Arial" w:cs="Arial"/>
          <w:color w:val="000000"/>
          <w:sz w:val="22"/>
          <w:lang w:val="es-ES_tradnl" w:eastAsia="es-ES_tradnl"/>
        </w:rPr>
        <w:t xml:space="preserve"> todas</w:t>
      </w:r>
      <w:r w:rsidRPr="008923B1">
        <w:rPr>
          <w:rFonts w:ascii="Arial" w:eastAsia="Times New Roman" w:hAnsi="Arial" w:cs="Arial"/>
          <w:color w:val="000000"/>
          <w:sz w:val="22"/>
          <w:lang w:val="es-ES_tradnl" w:eastAsia="es-ES_tradnl"/>
        </w:rPr>
        <w:t xml:space="preserve"> las entidades estatales</w:t>
      </w:r>
      <w:r w:rsidR="003C0741" w:rsidRPr="008923B1">
        <w:rPr>
          <w:rFonts w:ascii="Arial" w:eastAsia="Times New Roman" w:hAnsi="Arial" w:cs="Arial"/>
          <w:color w:val="000000"/>
          <w:sz w:val="22"/>
          <w:lang w:val="es-ES_tradnl" w:eastAsia="es-ES_tradnl"/>
        </w:rPr>
        <w:t>,</w:t>
      </w:r>
      <w:r w:rsidRPr="008923B1">
        <w:rPr>
          <w:rFonts w:ascii="Arial" w:eastAsia="Times New Roman" w:hAnsi="Arial" w:cs="Arial"/>
          <w:color w:val="000000"/>
          <w:sz w:val="22"/>
          <w:lang w:val="es-ES_tradnl" w:eastAsia="es-ES_tradnl"/>
        </w:rPr>
        <w:t xml:space="preserve"> independientemente de su régimen de contratación</w:t>
      </w:r>
      <w:r w:rsidR="008416DF" w:rsidRPr="008923B1">
        <w:rPr>
          <w:rFonts w:ascii="Arial" w:eastAsia="Times New Roman" w:hAnsi="Arial" w:cs="Arial"/>
          <w:color w:val="000000"/>
          <w:sz w:val="22"/>
          <w:lang w:val="es-ES_tradnl" w:eastAsia="es-ES_tradnl"/>
        </w:rPr>
        <w:t>. R</w:t>
      </w:r>
      <w:r w:rsidR="00767C6F" w:rsidRPr="008923B1">
        <w:rPr>
          <w:rFonts w:ascii="Arial" w:eastAsia="Times New Roman" w:hAnsi="Arial" w:cs="Arial"/>
          <w:color w:val="000000"/>
          <w:sz w:val="22"/>
          <w:lang w:val="es-ES_tradnl" w:eastAsia="es-ES_tradnl"/>
        </w:rPr>
        <w:t>especto a las entidades de</w:t>
      </w:r>
      <w:r w:rsidR="00D658E7" w:rsidRPr="008923B1">
        <w:rPr>
          <w:rFonts w:ascii="Arial" w:eastAsia="Times New Roman" w:hAnsi="Arial" w:cs="Arial"/>
          <w:color w:val="000000"/>
          <w:sz w:val="22"/>
          <w:lang w:val="es-ES_tradnl" w:eastAsia="es-ES_tradnl"/>
        </w:rPr>
        <w:t>l</w:t>
      </w:r>
      <w:r w:rsidR="00767C6F" w:rsidRPr="008923B1">
        <w:rPr>
          <w:rFonts w:ascii="Arial" w:eastAsia="Times New Roman" w:hAnsi="Arial" w:cs="Arial"/>
          <w:color w:val="000000"/>
          <w:sz w:val="22"/>
          <w:lang w:val="es-ES_tradnl" w:eastAsia="es-ES_tradnl"/>
        </w:rPr>
        <w:t xml:space="preserve"> régimen especial</w:t>
      </w:r>
      <w:r w:rsidR="0048199A" w:rsidRPr="008923B1">
        <w:rPr>
          <w:rFonts w:ascii="Arial" w:eastAsia="Times New Roman" w:hAnsi="Arial" w:cs="Arial"/>
          <w:color w:val="000000"/>
          <w:sz w:val="22"/>
          <w:lang w:val="es-ES_tradnl" w:eastAsia="es-ES_tradnl"/>
        </w:rPr>
        <w:t>,</w:t>
      </w:r>
      <w:r w:rsidR="00D658E7" w:rsidRPr="008923B1">
        <w:rPr>
          <w:rFonts w:ascii="Arial" w:eastAsia="Times New Roman" w:hAnsi="Arial" w:cs="Arial"/>
          <w:color w:val="000000"/>
          <w:sz w:val="22"/>
          <w:lang w:val="es-ES_tradnl" w:eastAsia="es-ES_tradnl"/>
        </w:rPr>
        <w:t xml:space="preserve"> </w:t>
      </w:r>
      <w:r w:rsidR="00767C6F" w:rsidRPr="008923B1">
        <w:rPr>
          <w:rFonts w:ascii="Arial" w:eastAsia="Times New Roman" w:hAnsi="Arial" w:cs="Arial"/>
          <w:color w:val="000000"/>
          <w:sz w:val="22"/>
          <w:lang w:val="es-ES_tradnl" w:eastAsia="es-ES_tradnl"/>
        </w:rPr>
        <w:t xml:space="preserve">con base en el mencionado Decreto, al ser </w:t>
      </w:r>
      <w:r w:rsidR="00A031B3" w:rsidRPr="008923B1">
        <w:rPr>
          <w:rFonts w:ascii="Arial" w:eastAsia="Times New Roman" w:hAnsi="Arial" w:cs="Arial"/>
          <w:color w:val="000000"/>
          <w:sz w:val="22"/>
          <w:lang w:val="es-ES_tradnl" w:eastAsia="es-ES_tradnl"/>
        </w:rPr>
        <w:t>concebidas como</w:t>
      </w:r>
      <w:r w:rsidR="00767C6F" w:rsidRPr="008923B1">
        <w:rPr>
          <w:rFonts w:ascii="Arial" w:eastAsia="Times New Roman" w:hAnsi="Arial" w:cs="Arial"/>
          <w:color w:val="000000"/>
          <w:sz w:val="22"/>
          <w:lang w:val="es-ES_tradnl" w:eastAsia="es-ES_tradnl"/>
        </w:rPr>
        <w:t xml:space="preserve"> parte del Sistema de Compra Pública, deben elaborar y publicar su plan anual de adquisiciones, reportar la información relacionada con inhabilidades, adelantar análisis del sector y de riesgos, publicar su actividad en el SECOP, tener en cuenta los Acuerdos Comerciales y seguir los lineamientos de Colombia Compra Eficiente en la adopción de sus manuales de contratación.</w:t>
      </w:r>
      <w:r w:rsidR="00D658E7" w:rsidRPr="008923B1">
        <w:rPr>
          <w:rFonts w:ascii="Arial" w:eastAsia="Times New Roman" w:hAnsi="Arial" w:cs="Arial"/>
          <w:color w:val="000000"/>
          <w:sz w:val="22"/>
          <w:lang w:val="es-ES_tradnl" w:eastAsia="es-ES_tradnl"/>
        </w:rPr>
        <w:t xml:space="preserve"> </w:t>
      </w:r>
    </w:p>
    <w:p w14:paraId="435299BC" w14:textId="74AC6AC1" w:rsidR="00BB5518" w:rsidRPr="009C5686" w:rsidRDefault="00767C6F" w:rsidP="00AD05F8">
      <w:pPr>
        <w:spacing w:before="120" w:after="120" w:line="276" w:lineRule="auto"/>
        <w:ind w:firstLine="708"/>
        <w:jc w:val="both"/>
        <w:rPr>
          <w:rFonts w:ascii="Arial" w:eastAsia="Calibri" w:hAnsi="Arial" w:cs="Arial"/>
          <w:color w:val="000000" w:themeColor="text1"/>
          <w:sz w:val="22"/>
          <w:lang w:val="es-ES_tradnl"/>
        </w:rPr>
      </w:pPr>
      <w:r w:rsidRPr="008923B1">
        <w:rPr>
          <w:rFonts w:ascii="Arial" w:eastAsia="Times New Roman" w:hAnsi="Arial" w:cs="Arial"/>
          <w:color w:val="000000"/>
          <w:sz w:val="22"/>
          <w:lang w:val="es-ES_tradnl" w:eastAsia="es-ES_tradnl"/>
        </w:rPr>
        <w:t>En cuanto a</w:t>
      </w:r>
      <w:r w:rsidRPr="008923B1">
        <w:rPr>
          <w:rFonts w:ascii="Arial" w:eastAsia="Calibri" w:hAnsi="Arial" w:cs="Arial"/>
          <w:color w:val="000000" w:themeColor="text1"/>
          <w:sz w:val="22"/>
          <w:lang w:val="es-ES_tradnl"/>
        </w:rPr>
        <w:t xml:space="preserve">l articulado adicionado y modificado por los Decretos 399 y 579 de 2021, se observa que no hace parte de la normativa contenida en el Decreto 1082 de 2015 </w:t>
      </w:r>
      <w:r w:rsidR="001D1028" w:rsidRPr="008923B1">
        <w:rPr>
          <w:rFonts w:ascii="Arial" w:eastAsia="Calibri" w:hAnsi="Arial" w:cs="Arial"/>
          <w:color w:val="000000" w:themeColor="text1"/>
          <w:sz w:val="22"/>
          <w:lang w:val="es-ES_tradnl"/>
        </w:rPr>
        <w:t xml:space="preserve">de obligatoria aplicación por parte de </w:t>
      </w:r>
      <w:r w:rsidRPr="008923B1">
        <w:rPr>
          <w:rFonts w:ascii="Arial" w:eastAsia="Calibri" w:hAnsi="Arial" w:cs="Arial"/>
          <w:color w:val="000000" w:themeColor="text1"/>
          <w:sz w:val="22"/>
          <w:lang w:val="es-ES_tradnl"/>
        </w:rPr>
        <w:t>las entidades con régimen especial</w:t>
      </w:r>
      <w:r w:rsidR="000C6D49" w:rsidRPr="008923B1">
        <w:rPr>
          <w:rFonts w:ascii="Arial" w:eastAsia="Calibri" w:hAnsi="Arial" w:cs="Arial"/>
          <w:color w:val="000000" w:themeColor="text1"/>
          <w:sz w:val="22"/>
          <w:lang w:val="es-ES_tradnl"/>
        </w:rPr>
        <w:t>.</w:t>
      </w:r>
      <w:r w:rsidRPr="008923B1">
        <w:rPr>
          <w:rFonts w:ascii="Arial" w:eastAsia="Calibri" w:hAnsi="Arial" w:cs="Arial"/>
          <w:color w:val="000000" w:themeColor="text1"/>
          <w:sz w:val="22"/>
          <w:lang w:val="es-ES_tradnl"/>
        </w:rPr>
        <w:t xml:space="preserve"> </w:t>
      </w:r>
      <w:r w:rsidR="000C6D49" w:rsidRPr="008923B1">
        <w:rPr>
          <w:rFonts w:ascii="Arial" w:eastAsia="Calibri" w:hAnsi="Arial" w:cs="Arial"/>
          <w:color w:val="000000" w:themeColor="text1"/>
          <w:sz w:val="22"/>
          <w:lang w:val="es-ES_tradnl"/>
        </w:rPr>
        <w:t>N</w:t>
      </w:r>
      <w:r w:rsidRPr="008923B1">
        <w:rPr>
          <w:rFonts w:ascii="Arial" w:eastAsia="Calibri" w:hAnsi="Arial" w:cs="Arial"/>
          <w:color w:val="000000" w:themeColor="text1"/>
          <w:sz w:val="22"/>
          <w:lang w:val="es-ES_tradnl"/>
        </w:rPr>
        <w:t>o obstante,</w:t>
      </w:r>
      <w:r w:rsidR="001D1028" w:rsidRPr="008923B1">
        <w:rPr>
          <w:rFonts w:ascii="Arial" w:eastAsia="Calibri" w:hAnsi="Arial" w:cs="Arial"/>
          <w:color w:val="000000" w:themeColor="text1"/>
          <w:sz w:val="22"/>
          <w:lang w:val="es-ES_tradnl"/>
        </w:rPr>
        <w:t xml:space="preserve"> estas voluntariamente podrán </w:t>
      </w:r>
      <w:r w:rsidR="000E082A" w:rsidRPr="008923B1">
        <w:rPr>
          <w:rFonts w:ascii="Arial" w:eastAsia="Calibri" w:hAnsi="Arial" w:cs="Arial"/>
          <w:color w:val="000000" w:themeColor="text1"/>
          <w:sz w:val="22"/>
          <w:lang w:val="es-ES_tradnl"/>
        </w:rPr>
        <w:t xml:space="preserve">introducir una regulación similar </w:t>
      </w:r>
      <w:r w:rsidR="001D1028" w:rsidRPr="008923B1">
        <w:rPr>
          <w:rFonts w:ascii="Arial" w:eastAsia="Calibri" w:hAnsi="Arial" w:cs="Arial"/>
          <w:color w:val="000000" w:themeColor="text1"/>
          <w:sz w:val="22"/>
          <w:lang w:val="es-ES_tradnl"/>
        </w:rPr>
        <w:t xml:space="preserve">en sus procedimientos </w:t>
      </w:r>
      <w:bookmarkStart w:id="4" w:name="_Hlk80208629"/>
      <w:r w:rsidR="001D1028" w:rsidRPr="008923B1">
        <w:rPr>
          <w:rFonts w:ascii="Arial" w:eastAsia="Calibri" w:hAnsi="Arial" w:cs="Arial"/>
          <w:color w:val="000000" w:themeColor="text1"/>
          <w:sz w:val="22"/>
          <w:lang w:val="es-ES_tradnl"/>
        </w:rPr>
        <w:t>contractuales, efectuando la justificación e inclusión en su regulación interna, considerando además la finalidad de la referida normativa, procurando la pluralidad de oferentes en los procedimientos de selección y la reactivación económica del país.</w:t>
      </w:r>
      <w:r w:rsidR="00204CB2" w:rsidRPr="008923B1">
        <w:rPr>
          <w:rFonts w:ascii="Arial" w:eastAsia="Calibri" w:hAnsi="Arial" w:cs="Arial"/>
          <w:color w:val="000000" w:themeColor="text1"/>
          <w:sz w:val="22"/>
          <w:lang w:val="es-ES_tradnl"/>
        </w:rPr>
        <w:t xml:space="preserve"> </w:t>
      </w:r>
      <w:r w:rsidR="000C6D49" w:rsidRPr="008923B1">
        <w:rPr>
          <w:rFonts w:ascii="Arial" w:eastAsia="Calibri" w:hAnsi="Arial" w:cs="Arial"/>
          <w:color w:val="000000" w:themeColor="text1"/>
          <w:sz w:val="22"/>
          <w:lang w:val="es-ES_tradnl"/>
        </w:rPr>
        <w:t>Por ello</w:t>
      </w:r>
      <w:r w:rsidR="00204CB2" w:rsidRPr="008923B1">
        <w:rPr>
          <w:rFonts w:ascii="Arial" w:eastAsia="Calibri" w:hAnsi="Arial" w:cs="Arial"/>
          <w:color w:val="000000" w:themeColor="text1"/>
          <w:sz w:val="22"/>
          <w:lang w:val="es-ES_tradnl"/>
        </w:rPr>
        <w:t xml:space="preserve">, las entidades de régimen especial podrán adoptar facultativamente una regulación en sus procesos </w:t>
      </w:r>
      <w:r w:rsidR="00204CB2" w:rsidRPr="008923B1">
        <w:rPr>
          <w:rFonts w:ascii="Arial" w:eastAsia="Calibri" w:hAnsi="Arial" w:cs="Arial"/>
          <w:color w:val="000000" w:themeColor="text1"/>
          <w:sz w:val="22"/>
          <w:lang w:val="es-ES_tradnl"/>
        </w:rPr>
        <w:lastRenderedPageBreak/>
        <w:t>contractuales, similar a la aplicable a las entidades sometidas al EGCAP</w:t>
      </w:r>
      <w:r w:rsidR="000C6D49" w:rsidRPr="008923B1">
        <w:rPr>
          <w:rFonts w:ascii="Arial" w:eastAsia="Calibri" w:hAnsi="Arial" w:cs="Arial"/>
          <w:color w:val="000000" w:themeColor="text1"/>
          <w:sz w:val="22"/>
          <w:lang w:val="es-ES_tradnl"/>
        </w:rPr>
        <w:t>. S</w:t>
      </w:r>
      <w:r w:rsidR="00204CB2" w:rsidRPr="008923B1">
        <w:rPr>
          <w:rFonts w:ascii="Arial" w:eastAsia="Calibri" w:hAnsi="Arial" w:cs="Arial"/>
          <w:color w:val="000000" w:themeColor="text1"/>
          <w:sz w:val="22"/>
          <w:lang w:val="es-ES_tradnl"/>
        </w:rPr>
        <w:t xml:space="preserve">in embargo, se reitera que la regulación contenida en los Decretos 399 y 579 de 2021 no les resulta obligatoria, máxime si se tiene en cuenta que estos contenidos, al igual que la posibilidad de acreditar </w:t>
      </w:r>
      <w:r w:rsidR="00AB610D" w:rsidRPr="008923B1">
        <w:rPr>
          <w:rFonts w:ascii="Arial" w:eastAsia="Calibri" w:hAnsi="Arial" w:cs="Arial"/>
          <w:color w:val="000000" w:themeColor="text1"/>
          <w:sz w:val="22"/>
          <w:lang w:val="es-ES_tradnl"/>
        </w:rPr>
        <w:t xml:space="preserve">la </w:t>
      </w:r>
      <w:r w:rsidR="00204CB2" w:rsidRPr="008923B1">
        <w:rPr>
          <w:rFonts w:ascii="Arial" w:eastAsia="Calibri" w:hAnsi="Arial" w:cs="Arial"/>
          <w:color w:val="000000" w:themeColor="text1"/>
          <w:sz w:val="22"/>
          <w:lang w:val="es-ES_tradnl"/>
        </w:rPr>
        <w:t>experiencia de los socios, accionistas o constituyentes está directamente relacionada con el RUP, registro que como se explicó no resulta obligatorio en los procesos contractuales de las entidades exceptuadas de la aplicación del EGCAP.</w:t>
      </w:r>
    </w:p>
    <w:bookmarkEnd w:id="4"/>
    <w:p w14:paraId="6E4BB750" w14:textId="21586149" w:rsidR="00F1108B" w:rsidRPr="009C5686" w:rsidRDefault="00F1108B" w:rsidP="001F4546">
      <w:pPr>
        <w:pStyle w:val="Prrafodelista"/>
        <w:tabs>
          <w:tab w:val="left" w:pos="284"/>
        </w:tabs>
        <w:spacing w:line="276" w:lineRule="auto"/>
        <w:ind w:left="0"/>
        <w:jc w:val="both"/>
        <w:rPr>
          <w:rFonts w:ascii="Arial" w:eastAsia="Calibri" w:hAnsi="Arial" w:cs="Arial"/>
          <w:sz w:val="22"/>
          <w:lang w:val="es-ES_tradnl"/>
        </w:rPr>
      </w:pPr>
      <w:r w:rsidRPr="009C5686">
        <w:rPr>
          <w:rFonts w:ascii="Arial" w:eastAsia="Calibri" w:hAnsi="Arial" w:cs="Arial"/>
          <w:b/>
          <w:sz w:val="22"/>
          <w:lang w:val="es-ES_tradnl"/>
        </w:rPr>
        <w:t>3. Respuesta</w:t>
      </w:r>
    </w:p>
    <w:p w14:paraId="4760AC28" w14:textId="125C7C25" w:rsidR="00FC113C" w:rsidRPr="009C5686" w:rsidRDefault="00FC113C">
      <w:pPr>
        <w:tabs>
          <w:tab w:val="left" w:pos="426"/>
        </w:tabs>
        <w:spacing w:line="276" w:lineRule="auto"/>
        <w:ind w:right="709"/>
        <w:jc w:val="both"/>
        <w:rPr>
          <w:rFonts w:ascii="Arial" w:eastAsia="Calibri" w:hAnsi="Arial" w:cs="Arial"/>
          <w:sz w:val="22"/>
          <w:lang w:val="es-ES_tradnl"/>
        </w:rPr>
      </w:pPr>
    </w:p>
    <w:p w14:paraId="4A3003DC" w14:textId="5BCB19B1" w:rsidR="006D0156" w:rsidRDefault="00AD05F8" w:rsidP="006D0156">
      <w:pPr>
        <w:pStyle w:val="Prrafodelista"/>
        <w:tabs>
          <w:tab w:val="left" w:pos="426"/>
        </w:tabs>
        <w:ind w:left="709" w:right="709"/>
        <w:jc w:val="both"/>
        <w:rPr>
          <w:rFonts w:ascii="Arial" w:hAnsi="Arial" w:cs="Arial"/>
          <w:sz w:val="21"/>
          <w:szCs w:val="21"/>
          <w:lang w:val="es-ES"/>
        </w:rPr>
      </w:pPr>
      <w:proofErr w:type="gramStart"/>
      <w:r w:rsidRPr="009C5686">
        <w:rPr>
          <w:rFonts w:ascii="Arial" w:hAnsi="Arial" w:cs="Arial"/>
          <w:sz w:val="21"/>
          <w:szCs w:val="21"/>
          <w:lang w:val="es-ES"/>
        </w:rPr>
        <w:t>«</w:t>
      </w:r>
      <w:r w:rsidR="006D0156" w:rsidRPr="006D0156">
        <w:t xml:space="preserve"> </w:t>
      </w:r>
      <w:r w:rsidR="006D0156" w:rsidRPr="006D0156">
        <w:rPr>
          <w:rFonts w:ascii="Arial" w:hAnsi="Arial" w:cs="Arial"/>
          <w:sz w:val="21"/>
          <w:szCs w:val="21"/>
          <w:lang w:val="es-ES"/>
        </w:rPr>
        <w:t>1</w:t>
      </w:r>
      <w:proofErr w:type="gramEnd"/>
      <w:r w:rsidR="006D0156" w:rsidRPr="006D0156">
        <w:rPr>
          <w:rFonts w:ascii="Arial" w:hAnsi="Arial" w:cs="Arial"/>
          <w:sz w:val="21"/>
          <w:szCs w:val="21"/>
          <w:lang w:val="es-ES"/>
        </w:rPr>
        <w:t>.</w:t>
      </w:r>
      <w:r w:rsidR="006D0156">
        <w:rPr>
          <w:rFonts w:ascii="Arial" w:hAnsi="Arial" w:cs="Arial"/>
          <w:sz w:val="21"/>
          <w:szCs w:val="21"/>
          <w:lang w:val="es-ES"/>
        </w:rPr>
        <w:t xml:space="preserve"> </w:t>
      </w:r>
      <w:r w:rsidR="006D0156" w:rsidRPr="006D0156">
        <w:rPr>
          <w:rFonts w:ascii="Arial" w:hAnsi="Arial" w:cs="Arial"/>
          <w:sz w:val="21"/>
          <w:szCs w:val="21"/>
          <w:lang w:val="es-ES"/>
        </w:rPr>
        <w:t xml:space="preserve">Se sirva indicar si las entidades que contratan bajo el régimen mixto de contratación que incluyen las del sector financiero </w:t>
      </w:r>
      <w:r w:rsidR="006D0156">
        <w:rPr>
          <w:rFonts w:ascii="Arial" w:hAnsi="Arial" w:cs="Arial"/>
          <w:sz w:val="21"/>
          <w:szCs w:val="21"/>
          <w:lang w:val="es-ES"/>
        </w:rPr>
        <w:t xml:space="preserve">[…] </w:t>
      </w:r>
      <w:r w:rsidR="006D0156" w:rsidRPr="006D0156">
        <w:rPr>
          <w:rFonts w:ascii="Arial" w:hAnsi="Arial" w:cs="Arial"/>
          <w:sz w:val="21"/>
          <w:szCs w:val="21"/>
          <w:lang w:val="es-ES"/>
        </w:rPr>
        <w:t>deben dar aplicación al decreto 579 de 2021 permitiendo la utilización de los mejores estados financieros dentro de los últimos 3 año</w:t>
      </w:r>
      <w:r w:rsidR="006D0156">
        <w:rPr>
          <w:rFonts w:ascii="Arial" w:hAnsi="Arial" w:cs="Arial"/>
          <w:sz w:val="21"/>
          <w:szCs w:val="21"/>
          <w:lang w:val="es-ES"/>
        </w:rPr>
        <w:t xml:space="preserve"> […] </w:t>
      </w:r>
      <w:r w:rsidR="006D0156" w:rsidRPr="006D0156">
        <w:rPr>
          <w:rFonts w:ascii="Arial" w:hAnsi="Arial" w:cs="Arial"/>
          <w:sz w:val="21"/>
          <w:szCs w:val="21"/>
          <w:lang w:val="es-ES"/>
        </w:rPr>
        <w:t>2.</w:t>
      </w:r>
      <w:r w:rsidR="006D0156">
        <w:rPr>
          <w:rFonts w:ascii="Arial" w:hAnsi="Arial" w:cs="Arial"/>
          <w:sz w:val="21"/>
          <w:szCs w:val="21"/>
          <w:lang w:val="es-ES"/>
        </w:rPr>
        <w:t xml:space="preserve"> </w:t>
      </w:r>
      <w:r w:rsidR="006D0156" w:rsidRPr="006D0156">
        <w:rPr>
          <w:rFonts w:ascii="Arial" w:hAnsi="Arial" w:cs="Arial"/>
          <w:sz w:val="21"/>
          <w:szCs w:val="21"/>
          <w:lang w:val="es-ES"/>
        </w:rPr>
        <w:t>Se sirva indicar si las entidades que contratan bajo el régimen mixto de contratación que incluyen las del sector financiero deben aplicar en sus procesos de contratación deben dar aplicación al artículo 2.2.1.1.1.5.2 del Decreto 1082 de 2015 y la cual tiene la finalidad de permitir la igualdad de acceso al mercado de compras públicas a las empresas recién constituidas dentro de los últimos 3 años; lo anterior en virtud de lo dispuesto por el artículo 13 de la ley 1150 de 2007 que señala que este régimen de contratación debe respetar los principios de la función pública consagrados en los artículos 209 y 267 de la constitución nacional y de conformidad con un concepto previo de Colombia compra eficiente le son aplicables las disposiciones de la Sección 1 del Capítulo 1 del Título I de la Parte 2 del decreto 1082 de 2015</w:t>
      </w:r>
      <w:r w:rsidR="006D0156">
        <w:rPr>
          <w:rFonts w:ascii="Arial" w:hAnsi="Arial" w:cs="Arial"/>
          <w:sz w:val="21"/>
          <w:szCs w:val="21"/>
          <w:lang w:val="es-ES"/>
        </w:rPr>
        <w:t>»</w:t>
      </w:r>
      <w:r w:rsidR="006D0156" w:rsidRPr="006D0156">
        <w:rPr>
          <w:rFonts w:ascii="Arial" w:hAnsi="Arial" w:cs="Arial"/>
          <w:sz w:val="21"/>
          <w:szCs w:val="21"/>
          <w:lang w:val="es-ES"/>
        </w:rPr>
        <w:t>.</w:t>
      </w:r>
    </w:p>
    <w:p w14:paraId="076F63A4" w14:textId="77777777" w:rsidR="00B04BA9" w:rsidRPr="00D64439" w:rsidRDefault="00B04BA9" w:rsidP="006D0156">
      <w:pPr>
        <w:tabs>
          <w:tab w:val="left" w:pos="426"/>
        </w:tabs>
        <w:ind w:right="709"/>
        <w:jc w:val="both"/>
        <w:rPr>
          <w:rFonts w:ascii="Arial" w:eastAsia="Calibri" w:hAnsi="Arial" w:cs="Arial"/>
          <w:sz w:val="22"/>
          <w:lang w:val="es-ES_tradnl"/>
        </w:rPr>
      </w:pPr>
    </w:p>
    <w:p w14:paraId="65C81D5C" w14:textId="58E1850F" w:rsidR="001D1028" w:rsidRDefault="006C003B" w:rsidP="00A77C52">
      <w:pPr>
        <w:spacing w:after="120" w:line="276" w:lineRule="auto"/>
        <w:jc w:val="both"/>
        <w:rPr>
          <w:rFonts w:ascii="Arial" w:eastAsia="Calibri" w:hAnsi="Arial" w:cs="Arial"/>
          <w:color w:val="000000" w:themeColor="text1"/>
          <w:sz w:val="22"/>
          <w:lang w:val="es-ES_tradnl"/>
        </w:rPr>
      </w:pPr>
      <w:r w:rsidRPr="008923B1">
        <w:rPr>
          <w:rFonts w:ascii="Arial" w:eastAsia="Calibri" w:hAnsi="Arial" w:cs="Arial"/>
          <w:color w:val="000000" w:themeColor="text1"/>
          <w:sz w:val="22"/>
          <w:lang w:val="es-ES_tradnl"/>
        </w:rPr>
        <w:t>De acuerdo con el análisis efectuado, las entidades no sometidas al Estatuto General de Contratación de la Administración Pública</w:t>
      </w:r>
      <w:r w:rsidR="006A1224" w:rsidRPr="008923B1">
        <w:rPr>
          <w:rFonts w:ascii="Arial" w:eastAsia="Calibri" w:hAnsi="Arial" w:cs="Arial"/>
          <w:color w:val="000000" w:themeColor="text1"/>
          <w:sz w:val="22"/>
          <w:lang w:val="es-ES_tradnl"/>
        </w:rPr>
        <w:t xml:space="preserve"> –EGCAP–</w:t>
      </w:r>
      <w:r w:rsidR="000E082A" w:rsidRPr="008923B1">
        <w:rPr>
          <w:rFonts w:ascii="Arial" w:eastAsia="Calibri" w:hAnsi="Arial" w:cs="Arial"/>
          <w:color w:val="000000" w:themeColor="text1"/>
          <w:sz w:val="22"/>
          <w:lang w:val="es-ES_tradnl"/>
        </w:rPr>
        <w:t xml:space="preserve">, </w:t>
      </w:r>
      <w:r w:rsidR="00E1124C" w:rsidRPr="008923B1">
        <w:rPr>
          <w:rFonts w:ascii="Arial" w:eastAsia="Calibri" w:hAnsi="Arial" w:cs="Arial"/>
          <w:color w:val="000000" w:themeColor="text1"/>
          <w:sz w:val="22"/>
          <w:lang w:val="es-ES_tradnl"/>
        </w:rPr>
        <w:t xml:space="preserve">dentro de las que se encuentran las </w:t>
      </w:r>
      <w:r w:rsidR="000E082A" w:rsidRPr="008923B1">
        <w:rPr>
          <w:rFonts w:ascii="Arial" w:eastAsia="Calibri" w:hAnsi="Arial" w:cs="Arial"/>
          <w:color w:val="000000" w:themeColor="text1"/>
          <w:sz w:val="22"/>
          <w:lang w:val="es-ES_tradnl"/>
        </w:rPr>
        <w:t xml:space="preserve">entidades </w:t>
      </w:r>
      <w:r w:rsidR="00E1124C" w:rsidRPr="008923B1">
        <w:rPr>
          <w:rFonts w:ascii="Arial" w:eastAsia="Calibri" w:hAnsi="Arial" w:cs="Arial"/>
          <w:color w:val="000000" w:themeColor="text1"/>
          <w:sz w:val="22"/>
          <w:lang w:val="es-ES_tradnl"/>
        </w:rPr>
        <w:t xml:space="preserve">financieras </w:t>
      </w:r>
      <w:r w:rsidR="000E082A" w:rsidRPr="008923B1">
        <w:rPr>
          <w:rFonts w:ascii="Arial" w:eastAsia="Calibri" w:hAnsi="Arial" w:cs="Arial"/>
          <w:color w:val="000000" w:themeColor="text1"/>
          <w:sz w:val="22"/>
          <w:lang w:val="es-ES_tradnl"/>
        </w:rPr>
        <w:t>estatales señaladas en el artículo 15 de la Ley 1150 de 2007</w:t>
      </w:r>
      <w:r w:rsidR="00E1124C" w:rsidRPr="008923B1">
        <w:rPr>
          <w:rFonts w:ascii="Arial" w:eastAsia="Calibri" w:hAnsi="Arial" w:cs="Arial"/>
          <w:color w:val="000000" w:themeColor="text1"/>
          <w:sz w:val="22"/>
          <w:lang w:val="es-ES_tradnl"/>
        </w:rPr>
        <w:t>,</w:t>
      </w:r>
      <w:r w:rsidRPr="008923B1">
        <w:rPr>
          <w:rFonts w:ascii="Arial" w:eastAsia="Calibri" w:hAnsi="Arial" w:cs="Arial"/>
          <w:color w:val="000000" w:themeColor="text1"/>
          <w:sz w:val="22"/>
          <w:lang w:val="es-ES_tradnl"/>
        </w:rPr>
        <w:t xml:space="preserve"> están exceptuadas de aplicar </w:t>
      </w:r>
      <w:r w:rsidR="006A1224" w:rsidRPr="008923B1">
        <w:rPr>
          <w:rFonts w:ascii="Arial" w:eastAsia="Calibri" w:hAnsi="Arial" w:cs="Arial"/>
          <w:color w:val="000000" w:themeColor="text1"/>
          <w:sz w:val="22"/>
          <w:lang w:val="es-ES_tradnl"/>
        </w:rPr>
        <w:t xml:space="preserve">obligatoriamente </w:t>
      </w:r>
      <w:r w:rsidRPr="008923B1">
        <w:rPr>
          <w:rFonts w:ascii="Arial" w:eastAsia="Calibri" w:hAnsi="Arial" w:cs="Arial"/>
          <w:color w:val="000000" w:themeColor="text1"/>
          <w:sz w:val="22"/>
          <w:lang w:val="es-ES_tradnl"/>
        </w:rPr>
        <w:t xml:space="preserve">el </w:t>
      </w:r>
      <w:r w:rsidR="00E1124C" w:rsidRPr="008923B1">
        <w:rPr>
          <w:rFonts w:ascii="Arial" w:eastAsia="Calibri" w:hAnsi="Arial" w:cs="Arial"/>
          <w:color w:val="000000" w:themeColor="text1"/>
          <w:sz w:val="22"/>
          <w:lang w:val="es-ES_tradnl"/>
        </w:rPr>
        <w:t>Registro Único de Proponentes</w:t>
      </w:r>
      <w:r w:rsidRPr="008923B1">
        <w:rPr>
          <w:rFonts w:ascii="Arial" w:eastAsia="Calibri" w:hAnsi="Arial" w:cs="Arial"/>
          <w:color w:val="000000" w:themeColor="text1"/>
          <w:sz w:val="22"/>
          <w:lang w:val="es-ES_tradnl"/>
        </w:rPr>
        <w:t xml:space="preserve"> en sus procesos de contratación, </w:t>
      </w:r>
      <w:r w:rsidR="006A1224" w:rsidRPr="008923B1">
        <w:rPr>
          <w:rFonts w:ascii="Arial" w:eastAsia="Calibri" w:hAnsi="Arial" w:cs="Arial"/>
          <w:color w:val="000000" w:themeColor="text1"/>
          <w:sz w:val="22"/>
          <w:lang w:val="es-ES_tradnl"/>
        </w:rPr>
        <w:t>por lo que además</w:t>
      </w:r>
      <w:r w:rsidRPr="008923B1">
        <w:rPr>
          <w:rFonts w:ascii="Arial" w:eastAsia="Calibri" w:hAnsi="Arial" w:cs="Arial"/>
          <w:color w:val="000000" w:themeColor="text1"/>
          <w:sz w:val="22"/>
          <w:lang w:val="es-ES_tradnl"/>
        </w:rPr>
        <w:t xml:space="preserve"> el Decreto </w:t>
      </w:r>
      <w:r w:rsidR="000E082A" w:rsidRPr="008923B1">
        <w:rPr>
          <w:rFonts w:ascii="Arial" w:eastAsia="Calibri" w:hAnsi="Arial" w:cs="Arial"/>
          <w:color w:val="000000" w:themeColor="text1"/>
          <w:sz w:val="22"/>
          <w:lang w:val="es-ES_tradnl"/>
        </w:rPr>
        <w:t xml:space="preserve">399 y </w:t>
      </w:r>
      <w:r w:rsidRPr="008923B1">
        <w:rPr>
          <w:rFonts w:ascii="Arial" w:eastAsia="Calibri" w:hAnsi="Arial" w:cs="Arial"/>
          <w:color w:val="000000" w:themeColor="text1"/>
          <w:sz w:val="22"/>
          <w:lang w:val="es-ES_tradnl"/>
        </w:rPr>
        <w:t xml:space="preserve">579 de 2021 y el artículo  </w:t>
      </w:r>
      <w:r w:rsidRPr="008923B1">
        <w:rPr>
          <w:rFonts w:ascii="Arial" w:hAnsi="Arial" w:cs="Arial"/>
          <w:sz w:val="22"/>
          <w:lang w:val="es-ES"/>
        </w:rPr>
        <w:t>2.2.1.1.1.5.2 del Decreto 1082 de 2015 tampoco le</w:t>
      </w:r>
      <w:r w:rsidR="008A70AB" w:rsidRPr="008923B1">
        <w:rPr>
          <w:rFonts w:ascii="Arial" w:hAnsi="Arial" w:cs="Arial"/>
          <w:sz w:val="22"/>
          <w:lang w:val="es-ES"/>
        </w:rPr>
        <w:t>s</w:t>
      </w:r>
      <w:r w:rsidRPr="008923B1">
        <w:rPr>
          <w:rFonts w:ascii="Arial" w:hAnsi="Arial" w:cs="Arial"/>
          <w:sz w:val="22"/>
          <w:lang w:val="es-ES"/>
        </w:rPr>
        <w:t xml:space="preserve"> son </w:t>
      </w:r>
      <w:r w:rsidR="00E1124C" w:rsidRPr="008923B1">
        <w:rPr>
          <w:rFonts w:ascii="Arial" w:hAnsi="Arial" w:cs="Arial"/>
          <w:sz w:val="22"/>
          <w:lang w:val="es-ES"/>
        </w:rPr>
        <w:t xml:space="preserve">aplicables, dado que </w:t>
      </w:r>
      <w:r w:rsidR="00A77C52" w:rsidRPr="008923B1">
        <w:rPr>
          <w:rFonts w:ascii="Arial" w:hAnsi="Arial" w:cs="Arial"/>
          <w:sz w:val="22"/>
          <w:lang w:val="es-ES"/>
        </w:rPr>
        <w:t xml:space="preserve">la referida </w:t>
      </w:r>
      <w:r w:rsidR="00450561" w:rsidRPr="008923B1">
        <w:rPr>
          <w:rFonts w:ascii="Arial" w:hAnsi="Arial" w:cs="Arial"/>
          <w:sz w:val="22"/>
          <w:lang w:val="es-ES"/>
        </w:rPr>
        <w:t>preceptiva</w:t>
      </w:r>
      <w:r w:rsidR="00A77C52" w:rsidRPr="008923B1">
        <w:rPr>
          <w:rFonts w:ascii="Arial" w:hAnsi="Arial" w:cs="Arial"/>
          <w:sz w:val="22"/>
          <w:lang w:val="es-ES"/>
        </w:rPr>
        <w:t xml:space="preserve"> se ocupa de regular algunos aspectos relacionados con dicho registro.</w:t>
      </w:r>
      <w:r w:rsidR="00A77C52" w:rsidRPr="008923B1">
        <w:rPr>
          <w:rFonts w:ascii="Arial" w:eastAsia="Calibri" w:hAnsi="Arial" w:cs="Arial"/>
          <w:color w:val="000000" w:themeColor="text1"/>
          <w:sz w:val="22"/>
          <w:lang w:val="es-ES_tradnl"/>
        </w:rPr>
        <w:t xml:space="preserve"> </w:t>
      </w:r>
      <w:r w:rsidR="006A1224" w:rsidRPr="008923B1">
        <w:rPr>
          <w:rFonts w:ascii="Arial" w:eastAsia="Calibri" w:hAnsi="Arial" w:cs="Arial"/>
          <w:color w:val="000000" w:themeColor="text1"/>
          <w:sz w:val="22"/>
          <w:lang w:val="es-ES_tradnl"/>
        </w:rPr>
        <w:t xml:space="preserve">Además, dichas disposiciones, como se explicó en las consideraciones, resultan aplicables a las entidades sometidas al EGCAP, más no a las excluidas o exceptuadas de este régimen contractual. </w:t>
      </w:r>
      <w:r w:rsidR="00A77C52" w:rsidRPr="008923B1">
        <w:rPr>
          <w:rFonts w:ascii="Arial" w:eastAsia="Calibri" w:hAnsi="Arial" w:cs="Arial"/>
          <w:color w:val="000000" w:themeColor="text1"/>
          <w:sz w:val="22"/>
          <w:lang w:val="es-ES_tradnl"/>
        </w:rPr>
        <w:t>No obstante,</w:t>
      </w:r>
      <w:r w:rsidR="001D1028" w:rsidRPr="008923B1">
        <w:rPr>
          <w:rFonts w:ascii="Arial" w:eastAsia="Calibri" w:hAnsi="Arial" w:cs="Arial"/>
          <w:color w:val="000000" w:themeColor="text1"/>
          <w:sz w:val="22"/>
          <w:lang w:val="es-ES_tradnl"/>
        </w:rPr>
        <w:t xml:space="preserve"> ello no es óbice para </w:t>
      </w:r>
      <w:r w:rsidR="00A77C52" w:rsidRPr="008923B1">
        <w:rPr>
          <w:rFonts w:ascii="Arial" w:eastAsia="Calibri" w:hAnsi="Arial" w:cs="Arial"/>
          <w:color w:val="000000" w:themeColor="text1"/>
          <w:sz w:val="22"/>
          <w:lang w:val="es-ES_tradnl"/>
        </w:rPr>
        <w:t>que de considerarlo</w:t>
      </w:r>
      <w:r w:rsidR="00D64439" w:rsidRPr="008923B1">
        <w:rPr>
          <w:rFonts w:ascii="Arial" w:eastAsia="Calibri" w:hAnsi="Arial" w:cs="Arial"/>
          <w:color w:val="000000" w:themeColor="text1"/>
          <w:sz w:val="22"/>
          <w:lang w:val="es-ES_tradnl"/>
        </w:rPr>
        <w:t xml:space="preserve"> </w:t>
      </w:r>
      <w:r w:rsidR="006A1224" w:rsidRPr="008923B1">
        <w:rPr>
          <w:rFonts w:ascii="Arial" w:eastAsia="Calibri" w:hAnsi="Arial" w:cs="Arial"/>
          <w:color w:val="000000" w:themeColor="text1"/>
          <w:sz w:val="22"/>
          <w:lang w:val="es-ES_tradnl"/>
        </w:rPr>
        <w:t xml:space="preserve">conveniente </w:t>
      </w:r>
      <w:r w:rsidR="00D64439" w:rsidRPr="008923B1">
        <w:rPr>
          <w:rFonts w:ascii="Arial" w:eastAsia="Calibri" w:hAnsi="Arial" w:cs="Arial"/>
          <w:color w:val="000000" w:themeColor="text1"/>
          <w:sz w:val="22"/>
          <w:lang w:val="es-ES_tradnl"/>
        </w:rPr>
        <w:t>y en ejercicio de su autonomía</w:t>
      </w:r>
      <w:r w:rsidR="00A77C52" w:rsidRPr="008923B1">
        <w:rPr>
          <w:rFonts w:ascii="Arial" w:eastAsia="Calibri" w:hAnsi="Arial" w:cs="Arial"/>
          <w:color w:val="000000" w:themeColor="text1"/>
          <w:sz w:val="22"/>
          <w:lang w:val="es-ES_tradnl"/>
        </w:rPr>
        <w:t xml:space="preserve">, </w:t>
      </w:r>
      <w:r w:rsidR="001D1028" w:rsidRPr="008923B1">
        <w:rPr>
          <w:rFonts w:ascii="Arial" w:eastAsia="Calibri" w:hAnsi="Arial" w:cs="Arial"/>
          <w:color w:val="000000" w:themeColor="text1"/>
          <w:sz w:val="22"/>
          <w:lang w:val="es-ES_tradnl"/>
        </w:rPr>
        <w:t xml:space="preserve">puedan acoger </w:t>
      </w:r>
      <w:r w:rsidR="006A1224" w:rsidRPr="008923B1">
        <w:rPr>
          <w:rFonts w:ascii="Arial" w:eastAsia="Calibri" w:hAnsi="Arial" w:cs="Arial"/>
          <w:color w:val="000000" w:themeColor="text1"/>
          <w:sz w:val="22"/>
          <w:lang w:val="es-ES_tradnl"/>
        </w:rPr>
        <w:t xml:space="preserve">una regulación similar </w:t>
      </w:r>
      <w:r w:rsidR="001D1028" w:rsidRPr="008923B1">
        <w:rPr>
          <w:rFonts w:ascii="Arial" w:eastAsia="Calibri" w:hAnsi="Arial" w:cs="Arial"/>
          <w:color w:val="000000" w:themeColor="text1"/>
          <w:sz w:val="22"/>
          <w:lang w:val="es-ES_tradnl"/>
        </w:rPr>
        <w:t xml:space="preserve">dentro de sus procesos de selección, aspecto que podrá concretarse como una buena práctica </w:t>
      </w:r>
      <w:r w:rsidR="00D64439" w:rsidRPr="008923B1">
        <w:rPr>
          <w:rFonts w:ascii="Arial" w:eastAsia="Calibri" w:hAnsi="Arial" w:cs="Arial"/>
          <w:color w:val="000000" w:themeColor="text1"/>
          <w:sz w:val="22"/>
          <w:lang w:val="es-ES_tradnl"/>
        </w:rPr>
        <w:t xml:space="preserve">contractual, </w:t>
      </w:r>
      <w:r w:rsidR="00182861" w:rsidRPr="008923B1">
        <w:rPr>
          <w:rFonts w:ascii="Arial" w:eastAsia="Calibri" w:hAnsi="Arial" w:cs="Arial"/>
          <w:color w:val="000000" w:themeColor="text1"/>
          <w:sz w:val="22"/>
          <w:lang w:val="es-ES_tradnl"/>
        </w:rPr>
        <w:t>realizando</w:t>
      </w:r>
      <w:r w:rsidR="008A70AB" w:rsidRPr="008923B1">
        <w:rPr>
          <w:rFonts w:ascii="Arial" w:eastAsia="Calibri" w:hAnsi="Arial" w:cs="Arial"/>
          <w:color w:val="000000" w:themeColor="text1"/>
          <w:sz w:val="22"/>
          <w:lang w:val="es-ES_tradnl"/>
        </w:rPr>
        <w:t xml:space="preserve"> la</w:t>
      </w:r>
      <w:r w:rsidR="006D0156" w:rsidRPr="008923B1">
        <w:rPr>
          <w:rFonts w:ascii="Arial" w:eastAsia="Calibri" w:hAnsi="Arial" w:cs="Arial"/>
          <w:color w:val="000000" w:themeColor="text1"/>
          <w:sz w:val="22"/>
          <w:lang w:val="es-ES_tradnl"/>
        </w:rPr>
        <w:t xml:space="preserve"> inclusión</w:t>
      </w:r>
      <w:r w:rsidR="009144E3" w:rsidRPr="008923B1">
        <w:rPr>
          <w:rFonts w:ascii="Arial" w:eastAsia="Calibri" w:hAnsi="Arial" w:cs="Arial"/>
          <w:color w:val="000000" w:themeColor="text1"/>
          <w:sz w:val="22"/>
          <w:lang w:val="es-ES_tradnl"/>
        </w:rPr>
        <w:t xml:space="preserve"> </w:t>
      </w:r>
      <w:r w:rsidR="00A77C52" w:rsidRPr="008923B1">
        <w:rPr>
          <w:rFonts w:ascii="Arial" w:eastAsia="Calibri" w:hAnsi="Arial" w:cs="Arial"/>
          <w:color w:val="000000" w:themeColor="text1"/>
          <w:sz w:val="22"/>
          <w:lang w:val="es-ES_tradnl"/>
        </w:rPr>
        <w:t xml:space="preserve">correspondiente </w:t>
      </w:r>
      <w:r w:rsidR="001D1028" w:rsidRPr="008923B1">
        <w:rPr>
          <w:rFonts w:ascii="Arial" w:eastAsia="Calibri" w:hAnsi="Arial" w:cs="Arial"/>
          <w:color w:val="000000" w:themeColor="text1"/>
          <w:sz w:val="22"/>
          <w:lang w:val="es-ES_tradnl"/>
        </w:rPr>
        <w:t xml:space="preserve">en </w:t>
      </w:r>
      <w:r w:rsidR="008A70AB" w:rsidRPr="008923B1">
        <w:rPr>
          <w:rFonts w:ascii="Arial" w:eastAsia="Calibri" w:hAnsi="Arial" w:cs="Arial"/>
          <w:color w:val="000000" w:themeColor="text1"/>
          <w:sz w:val="22"/>
          <w:lang w:val="es-ES_tradnl"/>
        </w:rPr>
        <w:t>sus manuales</w:t>
      </w:r>
      <w:r w:rsidR="001D1028" w:rsidRPr="008923B1">
        <w:rPr>
          <w:rFonts w:ascii="Arial" w:eastAsia="Calibri" w:hAnsi="Arial" w:cs="Arial"/>
          <w:color w:val="000000" w:themeColor="text1"/>
          <w:sz w:val="22"/>
          <w:lang w:val="es-ES_tradnl"/>
        </w:rPr>
        <w:t xml:space="preserve"> de contratación</w:t>
      </w:r>
      <w:r w:rsidR="003C2CDC" w:rsidRPr="008923B1">
        <w:rPr>
          <w:rFonts w:ascii="Arial" w:eastAsia="Calibri" w:hAnsi="Arial" w:cs="Arial"/>
          <w:color w:val="000000" w:themeColor="text1"/>
          <w:sz w:val="22"/>
          <w:lang w:val="es-ES_tradnl"/>
        </w:rPr>
        <w:t xml:space="preserve"> o en los documentos que rigen sus procesos contractuales.</w:t>
      </w:r>
    </w:p>
    <w:p w14:paraId="7C661D91" w14:textId="77777777" w:rsidR="00CC400B" w:rsidRPr="00D64439" w:rsidRDefault="00CC400B" w:rsidP="00A77C52">
      <w:pPr>
        <w:spacing w:after="120" w:line="276" w:lineRule="auto"/>
        <w:jc w:val="both"/>
        <w:rPr>
          <w:rFonts w:ascii="Arial" w:eastAsia="Calibri" w:hAnsi="Arial" w:cs="Arial"/>
          <w:color w:val="000000" w:themeColor="text1"/>
          <w:sz w:val="22"/>
          <w:lang w:val="es-ES_tradnl"/>
        </w:rPr>
      </w:pPr>
    </w:p>
    <w:p w14:paraId="770B636C" w14:textId="20A03FBB" w:rsidR="001F4546" w:rsidRPr="009C5686" w:rsidRDefault="00F1108B" w:rsidP="00AE40EC">
      <w:pPr>
        <w:shd w:val="clear" w:color="auto" w:fill="FFFFFF"/>
        <w:spacing w:after="120" w:line="276" w:lineRule="auto"/>
        <w:jc w:val="both"/>
        <w:rPr>
          <w:rFonts w:ascii="Arial" w:hAnsi="Arial" w:cs="Arial"/>
          <w:sz w:val="22"/>
          <w:lang w:val="es-ES_tradnl"/>
        </w:rPr>
      </w:pPr>
      <w:r w:rsidRPr="009C5686">
        <w:rPr>
          <w:rFonts w:ascii="Arial" w:eastAsia="Calibri" w:hAnsi="Arial" w:cs="Arial"/>
          <w:sz w:val="22"/>
          <w:lang w:val="es-ES_tradnl"/>
        </w:rPr>
        <w:t>Este concepto tiene el alcance previsto en el artículo 28 del Código de Procedimiento Administrativo y de lo Contencioso Administrativo.</w:t>
      </w:r>
    </w:p>
    <w:p w14:paraId="0AF2149B" w14:textId="40892A68" w:rsidR="001F4546" w:rsidRDefault="001F4546" w:rsidP="001F4546">
      <w:pPr>
        <w:jc w:val="center"/>
        <w:rPr>
          <w:rFonts w:ascii="Arial" w:hAnsi="Arial" w:cs="Arial"/>
          <w:sz w:val="18"/>
          <w:szCs w:val="20"/>
          <w:lang w:val="es-ES_tradnl" w:eastAsia="es-CO"/>
        </w:rPr>
      </w:pPr>
    </w:p>
    <w:p w14:paraId="692C9FEF" w14:textId="1E83FBEE" w:rsidR="00773272" w:rsidRDefault="00773272" w:rsidP="001F4546">
      <w:pPr>
        <w:jc w:val="center"/>
        <w:rPr>
          <w:rFonts w:ascii="Arial" w:hAnsi="Arial" w:cs="Arial"/>
          <w:sz w:val="18"/>
          <w:szCs w:val="20"/>
          <w:lang w:val="es-ES_tradnl" w:eastAsia="es-CO"/>
        </w:rPr>
      </w:pPr>
    </w:p>
    <w:p w14:paraId="48649F4B" w14:textId="573FE52C" w:rsidR="00773272" w:rsidRPr="009C5686" w:rsidRDefault="00773272" w:rsidP="001F4546">
      <w:pPr>
        <w:jc w:val="center"/>
        <w:rPr>
          <w:rFonts w:ascii="Arial" w:hAnsi="Arial" w:cs="Arial"/>
          <w:sz w:val="18"/>
          <w:szCs w:val="20"/>
          <w:lang w:val="es-ES_tradnl" w:eastAsia="es-CO"/>
        </w:rPr>
      </w:pPr>
      <w:r w:rsidRPr="00B865D7">
        <w:rPr>
          <w:rFonts w:ascii="Arial" w:hAnsi="Arial" w:cs="Arial"/>
          <w:noProof/>
          <w:sz w:val="18"/>
          <w:szCs w:val="18"/>
          <w:lang w:val="es-ES" w:eastAsia="es-ES"/>
        </w:rPr>
        <w:drawing>
          <wp:inline distT="0" distB="0" distL="0" distR="0" wp14:anchorId="4947BC86" wp14:editId="67B5D941">
            <wp:extent cx="2561590" cy="117157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802" cy="1194540"/>
                    </a:xfrm>
                    <a:prstGeom prst="rect">
                      <a:avLst/>
                    </a:prstGeom>
                  </pic:spPr>
                </pic:pic>
              </a:graphicData>
            </a:graphic>
          </wp:inline>
        </w:drawing>
      </w:r>
    </w:p>
    <w:p w14:paraId="0C71D8B5" w14:textId="77777777" w:rsidR="001F4546" w:rsidRPr="009C5686" w:rsidRDefault="001F4546" w:rsidP="001F4546">
      <w:pPr>
        <w:jc w:val="center"/>
        <w:rPr>
          <w:rFonts w:ascii="Arial" w:hAnsi="Arial" w:cs="Arial"/>
          <w:sz w:val="18"/>
          <w:szCs w:val="20"/>
          <w:lang w:val="es-ES_tradnl" w:eastAsia="es-CO"/>
        </w:rPr>
      </w:pPr>
    </w:p>
    <w:p w14:paraId="35B56F46" w14:textId="738104FE" w:rsidR="00746E08" w:rsidRPr="009C5686" w:rsidRDefault="003066C5" w:rsidP="001F4546">
      <w:pPr>
        <w:spacing w:before="120" w:line="276" w:lineRule="auto"/>
        <w:jc w:val="both"/>
        <w:rPr>
          <w:rFonts w:ascii="Arial" w:eastAsia="Times New Roman" w:hAnsi="Arial" w:cs="Arial"/>
          <w:sz w:val="16"/>
          <w:szCs w:val="16"/>
          <w:lang w:val="es-ES_tradnl" w:eastAsia="es-ES"/>
        </w:rPr>
      </w:pPr>
      <w:r>
        <w:rPr>
          <w:rFonts w:ascii="Arial" w:hAnsi="Arial" w:cs="Arial"/>
          <w:noProof/>
          <w:sz w:val="22"/>
          <w:lang w:eastAsia="es-CO"/>
        </w:rPr>
        <w:object w:dxaOrig="8780" w:dyaOrig="1680" w14:anchorId="2BEAE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35pt;height:84.1pt;mso-width-percent:0;mso-height-percent:0;mso-width-percent:0;mso-height-percent:0" o:ole="">
            <v:imagedata r:id="rId13" o:title=""/>
          </v:shape>
          <o:OLEObject Type="Embed" ProgID="Word.Document.12" ShapeID="_x0000_i1025" DrawAspect="Content" ObjectID="_1703918135" r:id="rId14">
            <o:FieldCodes>\s</o:FieldCodes>
          </o:OLEObject>
        </w:object>
      </w:r>
    </w:p>
    <w:sectPr w:rsidR="00746E08" w:rsidRPr="009C5686"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0125" w14:textId="77777777" w:rsidR="00DA5B80" w:rsidRDefault="00DA5B80">
      <w:r>
        <w:separator/>
      </w:r>
    </w:p>
  </w:endnote>
  <w:endnote w:type="continuationSeparator" w:id="0">
    <w:p w14:paraId="77C30157" w14:textId="77777777" w:rsidR="00DA5B80" w:rsidRDefault="00DA5B80">
      <w:r>
        <w:continuationSeparator/>
      </w:r>
    </w:p>
  </w:endnote>
  <w:endnote w:type="continuationNotice" w:id="1">
    <w:p w14:paraId="0DB09D78" w14:textId="77777777" w:rsidR="00DA5B80" w:rsidRDefault="00DA5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p w14:paraId="7EFF8838" w14:textId="77777777" w:rsidR="00330968" w:rsidRDefault="003309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83B1" w14:textId="77777777" w:rsidR="00DA5B80" w:rsidRDefault="00DA5B80">
      <w:r>
        <w:separator/>
      </w:r>
    </w:p>
  </w:footnote>
  <w:footnote w:type="continuationSeparator" w:id="0">
    <w:p w14:paraId="04DC0FB3" w14:textId="77777777" w:rsidR="00DA5B80" w:rsidRDefault="00DA5B80">
      <w:r>
        <w:continuationSeparator/>
      </w:r>
    </w:p>
  </w:footnote>
  <w:footnote w:type="continuationNotice" w:id="1">
    <w:p w14:paraId="51C71E2D" w14:textId="77777777" w:rsidR="00DA5B80" w:rsidRDefault="00DA5B80"/>
  </w:footnote>
  <w:footnote w:id="2">
    <w:p w14:paraId="54248A3F" w14:textId="77777777" w:rsidR="003C592E" w:rsidRPr="004E6AE5" w:rsidRDefault="003C592E" w:rsidP="004E6AE5">
      <w:pPr>
        <w:pStyle w:val="Textonotapie"/>
        <w:ind w:firstLine="709"/>
        <w:jc w:val="both"/>
        <w:rPr>
          <w:rFonts w:ascii="Arial" w:hAnsi="Arial" w:cs="Arial"/>
          <w:sz w:val="19"/>
          <w:szCs w:val="19"/>
          <w:lang w:val="es-CO"/>
        </w:rPr>
      </w:pPr>
      <w:r w:rsidRPr="004E6AE5">
        <w:rPr>
          <w:rStyle w:val="Refdenotaalpie"/>
          <w:rFonts w:ascii="Arial" w:hAnsi="Arial" w:cs="Arial"/>
          <w:sz w:val="19"/>
          <w:szCs w:val="19"/>
        </w:rPr>
        <w:footnoteRef/>
      </w:r>
      <w:r w:rsidRPr="004E6AE5">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4E6AE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4E6AE5">
        <w:rPr>
          <w:rFonts w:ascii="Arial" w:hAnsi="Arial" w:cs="Arial"/>
          <w:sz w:val="19"/>
          <w:szCs w:val="19"/>
        </w:rPr>
        <w:t xml:space="preserve">4201913000006797 del 19 de noviembre de 2019, </w:t>
      </w:r>
      <w:r w:rsidRPr="004E6AE5">
        <w:rPr>
          <w:rFonts w:ascii="Arial" w:eastAsia="Calibri" w:hAnsi="Arial" w:cs="Arial"/>
          <w:sz w:val="19"/>
          <w:szCs w:val="19"/>
        </w:rPr>
        <w:t xml:space="preserve">4201912000007182 del 3 de diciembre de 2019, 4201912000007512 del 16 de diciembre de 2019, 4201912000007607 del 9 de diciembre de 2019. </w:t>
      </w:r>
    </w:p>
    <w:p w14:paraId="18D87FFC" w14:textId="77777777" w:rsidR="003C592E" w:rsidRPr="004E6AE5" w:rsidRDefault="003C592E" w:rsidP="004E6AE5">
      <w:pPr>
        <w:pStyle w:val="Textonotapie"/>
        <w:ind w:firstLine="709"/>
        <w:rPr>
          <w:rFonts w:ascii="Arial" w:hAnsi="Arial" w:cs="Arial"/>
          <w:sz w:val="19"/>
          <w:szCs w:val="19"/>
          <w:lang w:val="es-CO"/>
        </w:rPr>
      </w:pPr>
    </w:p>
  </w:footnote>
  <w:footnote w:id="3">
    <w:p w14:paraId="6DB0C55E" w14:textId="77777777" w:rsidR="003C592E" w:rsidRPr="004E6AE5" w:rsidRDefault="003C592E" w:rsidP="004E6AE5">
      <w:pPr>
        <w:pStyle w:val="Textonotapie"/>
        <w:ind w:firstLine="709"/>
        <w:jc w:val="both"/>
        <w:rPr>
          <w:rFonts w:ascii="Arial" w:hAnsi="Arial" w:cs="Arial"/>
          <w:sz w:val="19"/>
          <w:szCs w:val="19"/>
        </w:rPr>
      </w:pPr>
      <w:r w:rsidRPr="004E6AE5">
        <w:rPr>
          <w:rStyle w:val="Refdenotaalpie"/>
          <w:rFonts w:ascii="Arial" w:hAnsi="Arial" w:cs="Arial"/>
          <w:sz w:val="19"/>
          <w:szCs w:val="19"/>
        </w:rPr>
        <w:footnoteRef/>
      </w:r>
      <w:r w:rsidRPr="004E6AE5">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19098E4"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346327B"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w:t>
      </w:r>
    </w:p>
    <w:p w14:paraId="070B4F63"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57F12D01"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A58675D"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w:t>
      </w:r>
    </w:p>
  </w:footnote>
  <w:footnote w:id="4">
    <w:p w14:paraId="2A0ABC29" w14:textId="77777777" w:rsidR="00763E45" w:rsidRDefault="00763E45" w:rsidP="00763E45">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8E12E42" w14:textId="77777777" w:rsidR="00763E45" w:rsidRDefault="00763E45" w:rsidP="00763E45">
      <w:pPr>
        <w:pStyle w:val="Textonotapie"/>
        <w:ind w:firstLine="708"/>
        <w:jc w:val="both"/>
        <w:rPr>
          <w:rFonts w:ascii="Arial" w:hAnsi="Arial" w:cs="Arial"/>
          <w:sz w:val="19"/>
          <w:szCs w:val="19"/>
          <w:lang w:val="es-ES"/>
        </w:rPr>
      </w:pPr>
    </w:p>
  </w:footnote>
  <w:footnote w:id="5">
    <w:p w14:paraId="297C5254" w14:textId="77777777" w:rsidR="00EF022B" w:rsidRPr="00B5494C" w:rsidRDefault="00EF022B" w:rsidP="00EF022B">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Ley 1150 de 2007: «Artículo 6. De la verificación de las condiciones de los proponentes.</w:t>
      </w:r>
    </w:p>
    <w:p w14:paraId="216F344A" w14:textId="77777777" w:rsidR="00EF022B" w:rsidRPr="00B5494C" w:rsidRDefault="00EF022B" w:rsidP="00EF022B">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4235B135" w14:textId="77777777" w:rsidR="00EF022B" w:rsidRPr="00B5494C" w:rsidRDefault="00EF022B" w:rsidP="00EF022B">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»6.1. […]</w:t>
      </w:r>
    </w:p>
    <w:p w14:paraId="20DC0C2E" w14:textId="77777777" w:rsidR="00EF022B" w:rsidRPr="00B5494C" w:rsidRDefault="00EF022B" w:rsidP="00EF022B">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4CC16F4" w14:textId="77777777" w:rsidR="00EF022B" w:rsidRPr="00B5494C" w:rsidRDefault="00EF022B" w:rsidP="00EF022B">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4996B1B" w14:textId="77777777" w:rsidR="00EF022B" w:rsidRPr="00B5494C" w:rsidRDefault="00EF022B" w:rsidP="00EF022B">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5CAEA3D4" w14:textId="77777777" w:rsidR="00EF022B" w:rsidRPr="00B5494C" w:rsidRDefault="00EF022B" w:rsidP="00EF022B">
      <w:pPr>
        <w:pStyle w:val="Textonotapie"/>
        <w:ind w:firstLine="709"/>
        <w:jc w:val="both"/>
        <w:rPr>
          <w:rFonts w:ascii="Arial" w:hAnsi="Arial" w:cs="Arial"/>
          <w:color w:val="000000" w:themeColor="text1"/>
          <w:sz w:val="19"/>
          <w:szCs w:val="19"/>
          <w:lang w:val="es-ES"/>
        </w:rPr>
      </w:pPr>
    </w:p>
  </w:footnote>
  <w:footnote w:id="6">
    <w:p w14:paraId="14662CD1" w14:textId="77777777" w:rsidR="00C30FA5" w:rsidRPr="00B5494C" w:rsidRDefault="00C30FA5" w:rsidP="00C30FA5">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Ley 1150 de 2007: «Artículo 5. De la selección objetiva.</w:t>
      </w:r>
      <w:r w:rsidRPr="00B5494C">
        <w:rPr>
          <w:rFonts w:ascii="Arial" w:hAnsi="Arial" w:cs="Arial"/>
          <w:color w:val="000000" w:themeColor="text1"/>
          <w:sz w:val="19"/>
          <w:szCs w:val="19"/>
          <w:lang w:eastAsia="es-CO"/>
        </w:rPr>
        <w:t xml:space="preserve"> </w:t>
      </w:r>
    </w:p>
    <w:p w14:paraId="2ED20AEB" w14:textId="77777777" w:rsidR="00C30FA5" w:rsidRPr="00B5494C" w:rsidRDefault="00C30FA5" w:rsidP="00C30FA5">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4AF9ADAA" w14:textId="77777777" w:rsidR="00C30FA5" w:rsidRPr="00B5494C" w:rsidRDefault="00C30FA5" w:rsidP="00C30FA5">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78839DB" w14:textId="77777777" w:rsidR="00C30FA5" w:rsidRPr="00B5494C" w:rsidRDefault="00C30FA5" w:rsidP="00C30FA5">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7020845C" w14:textId="77777777" w:rsidR="00C30FA5" w:rsidRPr="00B5494C" w:rsidRDefault="00C30FA5" w:rsidP="00C30FA5">
      <w:pPr>
        <w:pStyle w:val="Textonotapie"/>
        <w:ind w:firstLine="709"/>
        <w:jc w:val="both"/>
        <w:rPr>
          <w:rFonts w:ascii="Arial" w:hAnsi="Arial" w:cs="Arial"/>
          <w:color w:val="000000" w:themeColor="text1"/>
          <w:sz w:val="19"/>
          <w:szCs w:val="19"/>
          <w:lang w:val="es-ES"/>
        </w:rPr>
      </w:pPr>
    </w:p>
  </w:footnote>
  <w:footnote w:id="7">
    <w:p w14:paraId="2A82BCA7" w14:textId="77777777" w:rsidR="00C30FA5" w:rsidRPr="00B5494C" w:rsidRDefault="00C30FA5" w:rsidP="00C30FA5">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748C16A0" w14:textId="77777777" w:rsidR="00C30FA5" w:rsidRPr="00B5494C" w:rsidRDefault="00C30FA5" w:rsidP="00C30FA5">
      <w:pPr>
        <w:pStyle w:val="Textonotapie"/>
        <w:ind w:firstLine="709"/>
        <w:jc w:val="both"/>
        <w:rPr>
          <w:rFonts w:ascii="Arial" w:hAnsi="Arial" w:cs="Arial"/>
          <w:color w:val="000000" w:themeColor="text1"/>
          <w:sz w:val="19"/>
          <w:szCs w:val="19"/>
          <w:lang w:val="es-ES"/>
        </w:rPr>
      </w:pPr>
    </w:p>
  </w:footnote>
  <w:footnote w:id="8">
    <w:p w14:paraId="6121CA11" w14:textId="77777777" w:rsidR="00E30238" w:rsidRPr="00B5494C" w:rsidRDefault="00E30238" w:rsidP="00E30238">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 xml:space="preserve">Ley 1150 de 2007: «Artículo 6.  De la verificación de las condiciones de los proponentes. </w:t>
      </w:r>
    </w:p>
    <w:p w14:paraId="6851CA7C" w14:textId="77777777" w:rsidR="00E30238" w:rsidRPr="00B5494C" w:rsidRDefault="00E30238" w:rsidP="00E30238">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 xml:space="preserve">[...] </w:t>
      </w:r>
    </w:p>
    <w:p w14:paraId="24D1EEDC" w14:textId="77777777" w:rsidR="00E30238" w:rsidRPr="00B5494C" w:rsidRDefault="00E30238" w:rsidP="00E30238">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4C53269" w14:textId="77777777" w:rsidR="00E30238" w:rsidRPr="00B5494C" w:rsidRDefault="00E30238" w:rsidP="00E30238">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 xml:space="preserve">[...]». </w:t>
      </w:r>
    </w:p>
    <w:p w14:paraId="3C2B9A5F" w14:textId="77777777" w:rsidR="00E30238" w:rsidRPr="00B5494C" w:rsidRDefault="00E30238" w:rsidP="00E30238">
      <w:pPr>
        <w:pStyle w:val="Textonotapie"/>
        <w:ind w:firstLine="709"/>
        <w:jc w:val="both"/>
        <w:rPr>
          <w:rFonts w:ascii="Arial" w:hAnsi="Arial" w:cs="Arial"/>
          <w:color w:val="000000" w:themeColor="text1"/>
          <w:sz w:val="19"/>
          <w:szCs w:val="19"/>
        </w:rPr>
      </w:pPr>
    </w:p>
  </w:footnote>
  <w:footnote w:id="9">
    <w:p w14:paraId="6FCDF923" w14:textId="77777777" w:rsidR="00E30238" w:rsidRPr="00B5494C" w:rsidRDefault="00E30238" w:rsidP="00E30238">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BDBB09F" w14:textId="77777777" w:rsidR="00E30238" w:rsidRPr="00B5494C" w:rsidRDefault="00E30238" w:rsidP="00E30238">
      <w:pPr>
        <w:pStyle w:val="Textonotapie"/>
        <w:ind w:firstLine="709"/>
        <w:jc w:val="both"/>
        <w:rPr>
          <w:rFonts w:ascii="Arial" w:hAnsi="Arial" w:cs="Arial"/>
          <w:color w:val="000000" w:themeColor="text1"/>
          <w:sz w:val="19"/>
          <w:szCs w:val="19"/>
          <w:lang w:eastAsia="es-CO"/>
        </w:rPr>
      </w:pPr>
    </w:p>
  </w:footnote>
  <w:footnote w:id="10">
    <w:p w14:paraId="73980EF7" w14:textId="77777777" w:rsidR="003C592E" w:rsidRPr="004E6AE5" w:rsidRDefault="003C592E" w:rsidP="004E6AE5">
      <w:pPr>
        <w:pStyle w:val="Textonotapie"/>
        <w:ind w:firstLine="709"/>
        <w:jc w:val="both"/>
        <w:rPr>
          <w:rFonts w:ascii="Arial" w:hAnsi="Arial" w:cs="Arial"/>
          <w:sz w:val="19"/>
          <w:szCs w:val="19"/>
        </w:rPr>
      </w:pPr>
      <w:r w:rsidRPr="004E6AE5">
        <w:rPr>
          <w:rStyle w:val="Refdenotaalpie"/>
          <w:rFonts w:ascii="Arial" w:hAnsi="Arial" w:cs="Arial"/>
          <w:sz w:val="19"/>
          <w:szCs w:val="19"/>
        </w:rPr>
        <w:footnoteRef/>
      </w:r>
      <w:r w:rsidRPr="004E6AE5">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B82FF56"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w:t>
      </w:r>
    </w:p>
    <w:p w14:paraId="5B8A4568"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shd w:val="clear" w:color="auto" w:fill="FFFFFF"/>
        </w:rPr>
        <w:t>»2.1.   Bienes, obras y servicios que ofrecerá a las Entidades Estatales, identificados con el Clasificador de Bienes y Servicios en el tercer nivel</w:t>
      </w:r>
      <w:r w:rsidRPr="004E6AE5">
        <w:rPr>
          <w:rFonts w:ascii="Arial" w:hAnsi="Arial" w:cs="Arial"/>
          <w:sz w:val="19"/>
          <w:szCs w:val="19"/>
        </w:rPr>
        <w:t>»</w:t>
      </w:r>
      <w:r w:rsidRPr="004E6AE5">
        <w:rPr>
          <w:rFonts w:ascii="Arial" w:hAnsi="Arial" w:cs="Arial"/>
          <w:sz w:val="19"/>
          <w:szCs w:val="19"/>
          <w:shd w:val="clear" w:color="auto" w:fill="FFFFFF"/>
        </w:rPr>
        <w:t>.</w:t>
      </w:r>
    </w:p>
    <w:p w14:paraId="62958557" w14:textId="77777777" w:rsidR="003C592E" w:rsidRPr="004E6AE5" w:rsidRDefault="003C592E" w:rsidP="004E6AE5">
      <w:pPr>
        <w:pStyle w:val="Textonotapie"/>
        <w:ind w:firstLine="709"/>
        <w:jc w:val="both"/>
        <w:rPr>
          <w:rFonts w:ascii="Arial" w:hAnsi="Arial" w:cs="Arial"/>
          <w:sz w:val="19"/>
          <w:szCs w:val="19"/>
          <w:lang w:val="es-CO"/>
        </w:rPr>
      </w:pPr>
    </w:p>
  </w:footnote>
  <w:footnote w:id="11">
    <w:p w14:paraId="1D293D4A" w14:textId="77777777" w:rsidR="003C592E" w:rsidRPr="004E6AE5" w:rsidRDefault="003C592E" w:rsidP="004E6AE5">
      <w:pPr>
        <w:pStyle w:val="Textonotapie"/>
        <w:ind w:firstLine="709"/>
        <w:jc w:val="both"/>
        <w:rPr>
          <w:rFonts w:ascii="Arial" w:hAnsi="Arial" w:cs="Arial"/>
          <w:sz w:val="19"/>
          <w:szCs w:val="19"/>
        </w:rPr>
      </w:pPr>
      <w:r w:rsidRPr="004E6AE5">
        <w:rPr>
          <w:rStyle w:val="Refdenotaalpie"/>
          <w:rFonts w:ascii="Arial" w:hAnsi="Arial" w:cs="Arial"/>
          <w:sz w:val="19"/>
          <w:szCs w:val="19"/>
        </w:rPr>
        <w:footnoteRef/>
      </w:r>
      <w:r w:rsidRPr="004E6AE5">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220FBD3" w14:textId="77777777" w:rsidR="003C592E" w:rsidRPr="004E6AE5" w:rsidRDefault="003C592E" w:rsidP="004E6AE5">
      <w:pPr>
        <w:pStyle w:val="Textonotapie"/>
        <w:ind w:firstLine="709"/>
        <w:jc w:val="both"/>
        <w:rPr>
          <w:rFonts w:ascii="Arial" w:hAnsi="Arial" w:cs="Arial"/>
          <w:sz w:val="19"/>
          <w:szCs w:val="19"/>
        </w:rPr>
      </w:pPr>
      <w:r w:rsidRPr="004E6AE5">
        <w:rPr>
          <w:rFonts w:ascii="Arial" w:hAnsi="Arial" w:cs="Arial"/>
          <w:sz w:val="19"/>
          <w:szCs w:val="19"/>
        </w:rPr>
        <w:t>[…]</w:t>
      </w:r>
    </w:p>
    <w:p w14:paraId="5669B37B" w14:textId="77777777" w:rsidR="003C592E" w:rsidRPr="004E6AE5" w:rsidRDefault="003C592E" w:rsidP="004E6AE5">
      <w:pPr>
        <w:pStyle w:val="Textonotapie"/>
        <w:ind w:firstLine="709"/>
        <w:jc w:val="both"/>
        <w:rPr>
          <w:rFonts w:ascii="Arial" w:hAnsi="Arial" w:cs="Arial"/>
          <w:sz w:val="19"/>
          <w:szCs w:val="19"/>
          <w:lang w:val="es-CO"/>
        </w:rPr>
      </w:pPr>
      <w:r w:rsidRPr="004E6AE5">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E6AE5">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4E6AE5">
        <w:rPr>
          <w:rFonts w:ascii="Arial" w:hAnsi="Arial" w:cs="Arial"/>
          <w:sz w:val="19"/>
          <w:szCs w:val="19"/>
        </w:rPr>
        <w:t>».</w:t>
      </w:r>
    </w:p>
  </w:footnote>
  <w:footnote w:id="12">
    <w:p w14:paraId="1D0F90D2" w14:textId="77777777" w:rsidR="00994779" w:rsidRPr="00AC7A12" w:rsidRDefault="00994779" w:rsidP="00994779">
      <w:pPr>
        <w:pStyle w:val="Textonotapie"/>
        <w:jc w:val="both"/>
        <w:rPr>
          <w:rFonts w:ascii="Arial" w:hAnsi="Arial" w:cs="Arial"/>
          <w:sz w:val="19"/>
          <w:szCs w:val="19"/>
        </w:rPr>
      </w:pPr>
    </w:p>
    <w:p w14:paraId="793385E1" w14:textId="77777777" w:rsidR="00994779" w:rsidRPr="00AC7A12" w:rsidRDefault="00994779" w:rsidP="00994779">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3">
    <w:p w14:paraId="094D098A" w14:textId="25E382C6" w:rsidR="00994779" w:rsidRPr="00AC7A12" w:rsidRDefault="00994779" w:rsidP="008923B1">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6B73B00C" w14:textId="77777777" w:rsidR="00994779" w:rsidRPr="00AC7A12" w:rsidRDefault="00994779" w:rsidP="008923B1">
      <w:pPr>
        <w:pStyle w:val="Textonotapie"/>
        <w:ind w:firstLine="708"/>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5035B00C" w14:textId="77777777" w:rsidR="00994779" w:rsidRPr="00AC7A12" w:rsidRDefault="00994779" w:rsidP="008923B1">
      <w:pPr>
        <w:pStyle w:val="Textonotapie"/>
        <w:ind w:firstLine="708"/>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6AFA795" w14:textId="77777777" w:rsidR="00994779" w:rsidRPr="00AC7A12" w:rsidRDefault="00994779" w:rsidP="008923B1">
      <w:pPr>
        <w:pStyle w:val="Textonotapie"/>
        <w:ind w:firstLine="708"/>
        <w:jc w:val="both"/>
        <w:rPr>
          <w:rFonts w:ascii="Arial" w:hAnsi="Arial" w:cs="Arial"/>
          <w:sz w:val="19"/>
          <w:szCs w:val="19"/>
          <w:lang w:val="es-ES"/>
        </w:rPr>
      </w:pPr>
      <w:r w:rsidRPr="00AC7A12">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0BBCD633" w14:textId="77777777" w:rsidR="00994779" w:rsidRPr="00AC7A12" w:rsidRDefault="00994779" w:rsidP="008923B1">
      <w:pPr>
        <w:pStyle w:val="Textonotapie"/>
        <w:ind w:firstLine="708"/>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672188C" w14:textId="77777777" w:rsidR="00994779" w:rsidRPr="00AC7A12" w:rsidRDefault="00994779" w:rsidP="008923B1">
      <w:pPr>
        <w:pStyle w:val="Textonotapie"/>
        <w:ind w:firstLine="708"/>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4224B1A3" w14:textId="77777777" w:rsidR="00994779" w:rsidRPr="00AC7A12" w:rsidRDefault="00994779" w:rsidP="008923B1">
      <w:pPr>
        <w:pStyle w:val="Textonotapie"/>
        <w:ind w:firstLine="708"/>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4BFA0F2" w14:textId="77777777" w:rsidR="00994779" w:rsidRPr="00AC7A12" w:rsidRDefault="00994779" w:rsidP="008923B1">
      <w:pPr>
        <w:pStyle w:val="Textonotapie"/>
        <w:ind w:firstLine="708"/>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4">
    <w:p w14:paraId="0E62CC14" w14:textId="77777777" w:rsidR="00C70DD7" w:rsidRPr="004E6AE5" w:rsidRDefault="00C70DD7" w:rsidP="004E6AE5">
      <w:pPr>
        <w:pStyle w:val="Textonotapie"/>
        <w:ind w:firstLine="709"/>
        <w:jc w:val="both"/>
        <w:rPr>
          <w:rFonts w:ascii="Arial" w:hAnsi="Arial" w:cs="Arial"/>
          <w:sz w:val="19"/>
          <w:szCs w:val="19"/>
          <w:lang w:val="es-ES"/>
        </w:rPr>
      </w:pPr>
      <w:r w:rsidRPr="004E6AE5">
        <w:rPr>
          <w:rStyle w:val="Refdenotaalpie"/>
          <w:rFonts w:ascii="Arial" w:hAnsi="Arial" w:cs="Arial"/>
          <w:sz w:val="19"/>
          <w:szCs w:val="19"/>
        </w:rPr>
        <w:footnoteRef/>
      </w:r>
      <w:r w:rsidRPr="004E6AE5">
        <w:rPr>
          <w:rFonts w:ascii="Arial" w:hAnsi="Arial" w:cs="Arial"/>
          <w:sz w:val="19"/>
          <w:szCs w:val="19"/>
        </w:rPr>
        <w:t xml:space="preserve"> </w:t>
      </w:r>
      <w:r w:rsidRPr="004E6AE5">
        <w:rPr>
          <w:rFonts w:ascii="Arial" w:hAnsi="Arial" w:cs="Arial"/>
          <w:sz w:val="19"/>
          <w:szCs w:val="19"/>
          <w:lang w:val="es-ES"/>
        </w:rPr>
        <w:t xml:space="preserve">Debe recordarse que el artículo 2.2.1.1.1.6.2. del Decreto 1082 de 2015 prevé lo siguiente: </w:t>
      </w:r>
      <w:r w:rsidRPr="004E6AE5">
        <w:rPr>
          <w:rFonts w:ascii="Arial" w:hAnsi="Arial" w:cs="Arial"/>
          <w:sz w:val="19"/>
          <w:szCs w:val="19"/>
          <w:lang w:val="es-ES"/>
        </w:rPr>
        <w:t>«</w:t>
      </w:r>
      <w:r w:rsidRPr="004E6AE5">
        <w:rPr>
          <w:rFonts w:ascii="Arial" w:hAnsi="Arial" w:cs="Arial"/>
          <w:sz w:val="19"/>
          <w:szCs w:val="19"/>
        </w:rPr>
        <w:t xml:space="preserve"> </w:t>
      </w:r>
      <w:r w:rsidRPr="004E6AE5">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5">
    <w:p w14:paraId="04D5560B" w14:textId="67D1FB54" w:rsidR="00A74D33" w:rsidRPr="004E6AE5" w:rsidRDefault="00A74D33" w:rsidP="004E6AE5">
      <w:pPr>
        <w:pStyle w:val="NormalWeb"/>
        <w:spacing w:before="0" w:beforeAutospacing="0" w:after="0" w:afterAutospacing="0"/>
        <w:ind w:firstLine="709"/>
        <w:jc w:val="both"/>
        <w:rPr>
          <w:rFonts w:ascii="Arial" w:hAnsi="Arial" w:cs="Arial"/>
          <w:color w:val="000000"/>
          <w:sz w:val="19"/>
          <w:szCs w:val="19"/>
        </w:rPr>
      </w:pPr>
      <w:r w:rsidRPr="004E6AE5">
        <w:rPr>
          <w:rStyle w:val="Refdenotaalpie"/>
          <w:rFonts w:ascii="Arial" w:hAnsi="Arial" w:cs="Arial"/>
          <w:sz w:val="19"/>
          <w:szCs w:val="19"/>
        </w:rPr>
        <w:footnoteRef/>
      </w:r>
      <w:r w:rsidR="002378E2">
        <w:rPr>
          <w:rStyle w:val="Textoennegrita"/>
          <w:rFonts w:ascii="Arial" w:hAnsi="Arial" w:cs="Arial"/>
          <w:b w:val="0"/>
          <w:bCs w:val="0"/>
          <w:color w:val="000000"/>
          <w:sz w:val="19"/>
          <w:szCs w:val="19"/>
        </w:rPr>
        <w:t xml:space="preserve"> A</w:t>
      </w:r>
      <w:r w:rsidR="002378E2" w:rsidRPr="004E6AE5">
        <w:rPr>
          <w:rStyle w:val="Textoennegrita"/>
          <w:rFonts w:ascii="Arial" w:hAnsi="Arial" w:cs="Arial"/>
          <w:b w:val="0"/>
          <w:bCs w:val="0"/>
          <w:color w:val="000000"/>
          <w:sz w:val="19"/>
          <w:szCs w:val="19"/>
        </w:rPr>
        <w:t>rt</w:t>
      </w:r>
      <w:r w:rsidR="002378E2">
        <w:rPr>
          <w:rStyle w:val="Textoennegrita"/>
          <w:rFonts w:ascii="Arial" w:hAnsi="Arial" w:cs="Arial"/>
          <w:b w:val="0"/>
          <w:bCs w:val="0"/>
          <w:color w:val="000000"/>
          <w:sz w:val="19"/>
          <w:szCs w:val="19"/>
        </w:rPr>
        <w:t>í</w:t>
      </w:r>
      <w:r w:rsidR="002378E2" w:rsidRPr="004E6AE5">
        <w:rPr>
          <w:rStyle w:val="Textoennegrita"/>
          <w:rFonts w:ascii="Arial" w:hAnsi="Arial" w:cs="Arial"/>
          <w:b w:val="0"/>
          <w:bCs w:val="0"/>
          <w:color w:val="000000"/>
          <w:sz w:val="19"/>
          <w:szCs w:val="19"/>
        </w:rPr>
        <w:t xml:space="preserve">culo 2o. </w:t>
      </w:r>
      <w:r w:rsidR="002378E2">
        <w:rPr>
          <w:rStyle w:val="Textoennegrita"/>
          <w:rFonts w:ascii="Arial" w:hAnsi="Arial" w:cs="Arial"/>
          <w:b w:val="0"/>
          <w:bCs w:val="0"/>
          <w:color w:val="000000"/>
          <w:sz w:val="19"/>
          <w:szCs w:val="19"/>
        </w:rPr>
        <w:t>D</w:t>
      </w:r>
      <w:r w:rsidR="002378E2" w:rsidRPr="004E6AE5">
        <w:rPr>
          <w:rStyle w:val="Textoennegrita"/>
          <w:rFonts w:ascii="Arial" w:hAnsi="Arial" w:cs="Arial"/>
          <w:b w:val="0"/>
          <w:bCs w:val="0"/>
          <w:color w:val="000000"/>
          <w:sz w:val="19"/>
          <w:szCs w:val="19"/>
        </w:rPr>
        <w:t>e la definici</w:t>
      </w:r>
      <w:r w:rsidR="002378E2">
        <w:rPr>
          <w:rStyle w:val="Textoennegrita"/>
          <w:rFonts w:ascii="Arial" w:hAnsi="Arial" w:cs="Arial"/>
          <w:b w:val="0"/>
          <w:bCs w:val="0"/>
          <w:color w:val="000000"/>
          <w:sz w:val="19"/>
          <w:szCs w:val="19"/>
        </w:rPr>
        <w:t>ó</w:t>
      </w:r>
      <w:r w:rsidR="002378E2" w:rsidRPr="004E6AE5">
        <w:rPr>
          <w:rStyle w:val="Textoennegrita"/>
          <w:rFonts w:ascii="Arial" w:hAnsi="Arial" w:cs="Arial"/>
          <w:b w:val="0"/>
          <w:bCs w:val="0"/>
          <w:color w:val="000000"/>
          <w:sz w:val="19"/>
          <w:szCs w:val="19"/>
        </w:rPr>
        <w:t>n de entidades, servidores y servicios p</w:t>
      </w:r>
      <w:r w:rsidR="002378E2">
        <w:rPr>
          <w:rStyle w:val="Textoennegrita"/>
          <w:rFonts w:ascii="Arial" w:hAnsi="Arial" w:cs="Arial"/>
          <w:b w:val="0"/>
          <w:bCs w:val="0"/>
          <w:color w:val="000000"/>
          <w:sz w:val="19"/>
          <w:szCs w:val="19"/>
        </w:rPr>
        <w:t>ú</w:t>
      </w:r>
      <w:r w:rsidR="002378E2" w:rsidRPr="004E6AE5">
        <w:rPr>
          <w:rStyle w:val="Textoennegrita"/>
          <w:rFonts w:ascii="Arial" w:hAnsi="Arial" w:cs="Arial"/>
          <w:b w:val="0"/>
          <w:bCs w:val="0"/>
          <w:color w:val="000000"/>
          <w:sz w:val="19"/>
          <w:szCs w:val="19"/>
        </w:rPr>
        <w:t>blicos</w:t>
      </w:r>
      <w:r w:rsidRPr="004E6AE5">
        <w:rPr>
          <w:rStyle w:val="Textoennegrita"/>
          <w:rFonts w:ascii="Arial" w:hAnsi="Arial" w:cs="Arial"/>
          <w:b w:val="0"/>
          <w:bCs w:val="0"/>
          <w:color w:val="000000"/>
          <w:sz w:val="19"/>
          <w:szCs w:val="19"/>
        </w:rPr>
        <w:t>.</w:t>
      </w:r>
      <w:r w:rsidRPr="004E6AE5">
        <w:rPr>
          <w:rStyle w:val="apple-converted-space"/>
          <w:rFonts w:ascii="Arial" w:hAnsi="Arial" w:cs="Arial"/>
          <w:b/>
          <w:bCs/>
          <w:color w:val="000000"/>
          <w:sz w:val="19"/>
          <w:szCs w:val="19"/>
        </w:rPr>
        <w:t> </w:t>
      </w:r>
      <w:r w:rsidRPr="004E6AE5">
        <w:rPr>
          <w:rFonts w:ascii="Arial" w:hAnsi="Arial" w:cs="Arial"/>
          <w:color w:val="000000"/>
          <w:sz w:val="19"/>
          <w:szCs w:val="19"/>
        </w:rPr>
        <w:t>Para</w:t>
      </w:r>
      <w:r w:rsidRPr="004E6AE5">
        <w:rPr>
          <w:rFonts w:ascii="Arial" w:hAnsi="Arial" w:cs="Arial"/>
          <w:b/>
          <w:bCs/>
          <w:color w:val="000000"/>
          <w:sz w:val="19"/>
          <w:szCs w:val="19"/>
        </w:rPr>
        <w:t xml:space="preserve"> </w:t>
      </w:r>
      <w:r w:rsidRPr="004E6AE5">
        <w:rPr>
          <w:rFonts w:ascii="Arial" w:hAnsi="Arial" w:cs="Arial"/>
          <w:color w:val="000000"/>
          <w:sz w:val="19"/>
          <w:szCs w:val="19"/>
        </w:rPr>
        <w:t>los solos efectos de esta ley: </w:t>
      </w:r>
    </w:p>
    <w:p w14:paraId="072227C7" w14:textId="7DA3BF92" w:rsidR="00A74D33" w:rsidRPr="004E6AE5" w:rsidRDefault="00A74D33"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  »1o. Se denominan entidades estatales: </w:t>
      </w:r>
    </w:p>
    <w:p w14:paraId="34A853B6" w14:textId="0DF94020" w:rsidR="00A74D33" w:rsidRPr="004E6AE5" w:rsidRDefault="00A74D33"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565D5432" w14:textId="2E1DB74F" w:rsidR="00A74D33" w:rsidRPr="004E6AE5" w:rsidRDefault="00A74D33"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5A80D060" w14:textId="79BA26C0" w:rsidR="00A74D33" w:rsidRPr="004E6AE5" w:rsidRDefault="00A74D33"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w:t>
      </w:r>
      <w:r w:rsidR="004E6AE5" w:rsidRPr="004E6AE5">
        <w:rPr>
          <w:rFonts w:ascii="Arial" w:hAnsi="Arial" w:cs="Arial"/>
          <w:color w:val="000000"/>
          <w:sz w:val="19"/>
          <w:szCs w:val="19"/>
        </w:rPr>
        <w:t>»</w:t>
      </w:r>
    </w:p>
    <w:p w14:paraId="0CE0422A" w14:textId="171EEB40" w:rsidR="00A74D33" w:rsidRPr="004E6AE5" w:rsidRDefault="00A74D33" w:rsidP="004E6AE5">
      <w:pPr>
        <w:pStyle w:val="Textonotapie"/>
        <w:ind w:firstLine="709"/>
        <w:rPr>
          <w:rFonts w:ascii="Arial" w:hAnsi="Arial" w:cs="Arial"/>
          <w:sz w:val="19"/>
          <w:szCs w:val="19"/>
          <w:lang w:val="es-ES_tradnl"/>
        </w:rPr>
      </w:pPr>
    </w:p>
  </w:footnote>
  <w:footnote w:id="16">
    <w:p w14:paraId="72057C5D" w14:textId="502EEE7F" w:rsidR="000300F2" w:rsidRPr="004E6AE5" w:rsidRDefault="00B827DD" w:rsidP="004E6AE5">
      <w:pPr>
        <w:pStyle w:val="NormalWeb"/>
        <w:spacing w:before="0" w:beforeAutospacing="0" w:after="0" w:afterAutospacing="0"/>
        <w:ind w:firstLine="709"/>
        <w:jc w:val="both"/>
        <w:rPr>
          <w:rFonts w:ascii="Arial" w:hAnsi="Arial" w:cs="Arial"/>
          <w:color w:val="000000"/>
          <w:sz w:val="19"/>
          <w:szCs w:val="19"/>
        </w:rPr>
      </w:pPr>
      <w:r w:rsidRPr="004E6AE5">
        <w:rPr>
          <w:rStyle w:val="Refdenotaalpie"/>
          <w:rFonts w:ascii="Arial" w:hAnsi="Arial" w:cs="Arial"/>
          <w:sz w:val="19"/>
          <w:szCs w:val="19"/>
        </w:rPr>
        <w:footnoteRef/>
      </w:r>
      <w:r w:rsidRPr="004E6AE5">
        <w:rPr>
          <w:rFonts w:ascii="Arial" w:hAnsi="Arial" w:cs="Arial"/>
          <w:sz w:val="19"/>
          <w:szCs w:val="19"/>
        </w:rPr>
        <w:t xml:space="preserve"> </w:t>
      </w:r>
      <w:r w:rsidR="000300F2" w:rsidRPr="004E6AE5">
        <w:rPr>
          <w:rFonts w:ascii="Arial" w:hAnsi="Arial" w:cs="Arial"/>
          <w:sz w:val="19"/>
          <w:szCs w:val="19"/>
        </w:rPr>
        <w:t xml:space="preserve">Ley 1437 de 2011, artículo 3 </w:t>
      </w:r>
      <w:r w:rsidR="000300F2" w:rsidRPr="004E6AE5">
        <w:rPr>
          <w:rStyle w:val="Textoennegrita"/>
          <w:rFonts w:ascii="Arial" w:hAnsi="Arial" w:cs="Arial"/>
          <w:b w:val="0"/>
          <w:bCs w:val="0"/>
          <w:color w:val="000000"/>
          <w:sz w:val="19"/>
          <w:szCs w:val="19"/>
        </w:rPr>
        <w:t>Principios.</w:t>
      </w:r>
      <w:r w:rsidR="000300F2" w:rsidRPr="004E6AE5">
        <w:rPr>
          <w:rStyle w:val="apple-converted-space"/>
          <w:rFonts w:ascii="Arial" w:hAnsi="Arial" w:cs="Arial"/>
          <w:color w:val="000000"/>
          <w:sz w:val="19"/>
          <w:szCs w:val="19"/>
        </w:rPr>
        <w:t> </w:t>
      </w:r>
      <w:r w:rsidR="00927B68" w:rsidRPr="004E6AE5">
        <w:rPr>
          <w:rStyle w:val="apple-converted-space"/>
          <w:rFonts w:ascii="Arial" w:hAnsi="Arial" w:cs="Arial"/>
          <w:color w:val="000000"/>
          <w:sz w:val="19"/>
          <w:szCs w:val="19"/>
        </w:rPr>
        <w:t>«</w:t>
      </w:r>
      <w:r w:rsidR="000300F2" w:rsidRPr="004E6AE5">
        <w:rPr>
          <w:rFonts w:ascii="Arial" w:hAnsi="Arial" w:cs="Arial"/>
          <w:color w:val="000000"/>
          <w:sz w:val="19"/>
          <w:szCs w:val="19"/>
        </w:rPr>
        <w:t>Todas las autoridades deberán interpretar y aplicar las disposiciones que regulan las actuaciones y procedimientos administrativos a la luz de los principios consagrados en la Constitución Política, en la Parte Primera de este Código y en las leyes especiales. </w:t>
      </w:r>
    </w:p>
    <w:p w14:paraId="5780F492" w14:textId="77777777" w:rsidR="000300F2" w:rsidRPr="004E6AE5" w:rsidRDefault="000300F2"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  </w:t>
      </w:r>
    </w:p>
    <w:p w14:paraId="5DDB8211" w14:textId="77777777" w:rsidR="00927B68" w:rsidRPr="004E6AE5" w:rsidRDefault="000300F2"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09335764" w14:textId="197C0772" w:rsidR="000300F2" w:rsidRPr="004E6AE5" w:rsidRDefault="00927B68" w:rsidP="004E6AE5">
      <w:pPr>
        <w:pStyle w:val="NormalWeb"/>
        <w:spacing w:before="0" w:beforeAutospacing="0" w:after="0" w:afterAutospacing="0"/>
        <w:ind w:firstLine="709"/>
        <w:jc w:val="both"/>
        <w:rPr>
          <w:rFonts w:ascii="Arial" w:hAnsi="Arial" w:cs="Arial"/>
          <w:color w:val="000000"/>
          <w:sz w:val="19"/>
          <w:szCs w:val="19"/>
        </w:rPr>
      </w:pPr>
      <w:r w:rsidRPr="004E6AE5">
        <w:rPr>
          <w:rFonts w:ascii="Arial" w:hAnsi="Arial" w:cs="Arial"/>
          <w:color w:val="000000"/>
          <w:sz w:val="19"/>
          <w:szCs w:val="19"/>
        </w:rPr>
        <w:t>[…]»</w:t>
      </w:r>
      <w:r w:rsidR="000300F2" w:rsidRPr="004E6AE5">
        <w:rPr>
          <w:rFonts w:ascii="Arial" w:hAnsi="Arial" w:cs="Arial"/>
          <w:color w:val="000000"/>
          <w:sz w:val="19"/>
          <w:szCs w:val="19"/>
        </w:rPr>
        <w:t>.</w:t>
      </w:r>
    </w:p>
    <w:p w14:paraId="073290FD" w14:textId="46366340" w:rsidR="00B827DD" w:rsidRPr="004E6AE5" w:rsidRDefault="00B827DD" w:rsidP="004E6AE5">
      <w:pPr>
        <w:pStyle w:val="Textonotapie"/>
        <w:ind w:firstLine="709"/>
        <w:jc w:val="both"/>
        <w:rPr>
          <w:rFonts w:ascii="Arial" w:hAnsi="Arial" w:cs="Arial"/>
          <w:sz w:val="19"/>
          <w:szCs w:val="19"/>
          <w:lang w:val="es-ES_tradnl"/>
        </w:rPr>
      </w:pPr>
    </w:p>
  </w:footnote>
  <w:footnote w:id="17">
    <w:p w14:paraId="3D73D6DE" w14:textId="73B5F369" w:rsidR="007D02E1" w:rsidRDefault="007D02E1" w:rsidP="007D02E1">
      <w:pPr>
        <w:pStyle w:val="Textonotapie"/>
        <w:ind w:firstLine="709"/>
        <w:rPr>
          <w:rFonts w:ascii="Arial" w:hAnsi="Arial" w:cs="Arial"/>
          <w:sz w:val="19"/>
          <w:szCs w:val="19"/>
        </w:rPr>
      </w:pPr>
      <w:r w:rsidRPr="007D02E1">
        <w:rPr>
          <w:rStyle w:val="Refdenotaalpie"/>
          <w:rFonts w:ascii="Arial" w:hAnsi="Arial" w:cs="Arial"/>
          <w:sz w:val="19"/>
          <w:szCs w:val="19"/>
        </w:rPr>
        <w:footnoteRef/>
      </w:r>
      <w:r w:rsidRPr="007D02E1">
        <w:rPr>
          <w:rFonts w:ascii="Arial" w:hAnsi="Arial" w:cs="Arial"/>
          <w:sz w:val="19"/>
          <w:szCs w:val="19"/>
        </w:rPr>
        <w:t xml:space="preserve"> Consejo de Estado, Sección Tercera, sentencia de 27 de febrero de 2013, C.P: Mauricio Fajardo </w:t>
      </w:r>
      <w:r w:rsidRPr="007D02E1">
        <w:rPr>
          <w:rFonts w:ascii="Arial" w:hAnsi="Arial" w:cs="Arial"/>
          <w:sz w:val="19"/>
          <w:szCs w:val="19"/>
        </w:rPr>
        <w:t>Gómez,  rad. No.</w:t>
      </w:r>
      <w:r w:rsidRPr="007D02E1">
        <w:rPr>
          <w:rFonts w:ascii="Arial" w:hAnsi="Arial" w:cs="Arial"/>
          <w:spacing w:val="-2"/>
          <w:sz w:val="19"/>
          <w:szCs w:val="19"/>
        </w:rPr>
        <w:t xml:space="preserve"> </w:t>
      </w:r>
      <w:r w:rsidRPr="007D02E1">
        <w:rPr>
          <w:rFonts w:ascii="Arial" w:hAnsi="Arial" w:cs="Arial"/>
          <w:sz w:val="19"/>
          <w:szCs w:val="19"/>
        </w:rPr>
        <w:t>2000-01561-01(25.590).</w:t>
      </w:r>
    </w:p>
    <w:p w14:paraId="2647F39D" w14:textId="77777777" w:rsidR="007D02E1" w:rsidRPr="007D02E1" w:rsidRDefault="007D02E1" w:rsidP="007D02E1">
      <w:pPr>
        <w:pStyle w:val="Textonotapie"/>
        <w:ind w:firstLine="709"/>
        <w:rPr>
          <w:rFonts w:ascii="Arial" w:hAnsi="Arial" w:cs="Arial"/>
          <w:sz w:val="19"/>
          <w:szCs w:val="19"/>
          <w:lang w:val="es-ES_tradnl"/>
        </w:rPr>
      </w:pPr>
    </w:p>
  </w:footnote>
  <w:footnote w:id="18">
    <w:p w14:paraId="41232007" w14:textId="450E2791" w:rsidR="007D02E1" w:rsidRPr="007D02E1" w:rsidRDefault="007D02E1" w:rsidP="007D02E1">
      <w:pPr>
        <w:ind w:firstLine="709"/>
        <w:jc w:val="both"/>
        <w:rPr>
          <w:rFonts w:ascii="Arial" w:hAnsi="Arial" w:cs="Arial"/>
          <w:sz w:val="19"/>
          <w:szCs w:val="19"/>
        </w:rPr>
      </w:pPr>
      <w:r w:rsidRPr="007D02E1">
        <w:rPr>
          <w:rStyle w:val="Refdenotaalpie"/>
          <w:rFonts w:ascii="Arial" w:hAnsi="Arial" w:cs="Arial"/>
          <w:sz w:val="19"/>
          <w:szCs w:val="19"/>
        </w:rPr>
        <w:footnoteRef/>
      </w:r>
      <w:r w:rsidRPr="007D02E1">
        <w:rPr>
          <w:rFonts w:ascii="Arial" w:hAnsi="Arial" w:cs="Arial"/>
          <w:sz w:val="19"/>
          <w:szCs w:val="19"/>
        </w:rPr>
        <w:t xml:space="preserve"> </w:t>
      </w:r>
      <w:r>
        <w:rPr>
          <w:rFonts w:ascii="Arial" w:hAnsi="Arial" w:cs="Arial"/>
          <w:sz w:val="19"/>
          <w:szCs w:val="19"/>
        </w:rPr>
        <w:t>Sentencia</w:t>
      </w:r>
      <w:r w:rsidRPr="007D02E1">
        <w:rPr>
          <w:rFonts w:ascii="Arial" w:hAnsi="Arial" w:cs="Arial"/>
          <w:sz w:val="19"/>
          <w:szCs w:val="19"/>
        </w:rPr>
        <w:t xml:space="preserve"> Consejo de Estado, Sección </w:t>
      </w:r>
      <w:r>
        <w:rPr>
          <w:rFonts w:ascii="Arial" w:hAnsi="Arial" w:cs="Arial"/>
          <w:sz w:val="19"/>
          <w:szCs w:val="19"/>
        </w:rPr>
        <w:t>Tercera</w:t>
      </w:r>
      <w:r w:rsidRPr="007D02E1">
        <w:rPr>
          <w:rFonts w:ascii="Arial" w:hAnsi="Arial" w:cs="Arial"/>
          <w:sz w:val="19"/>
          <w:szCs w:val="19"/>
        </w:rPr>
        <w:t xml:space="preserve">, </w:t>
      </w:r>
      <w:r>
        <w:rPr>
          <w:rFonts w:ascii="Arial" w:hAnsi="Arial" w:cs="Arial"/>
          <w:sz w:val="19"/>
          <w:szCs w:val="19"/>
        </w:rPr>
        <w:t>del</w:t>
      </w:r>
      <w:r w:rsidRPr="007D02E1">
        <w:rPr>
          <w:rFonts w:ascii="Arial" w:hAnsi="Arial" w:cs="Arial"/>
          <w:sz w:val="19"/>
          <w:szCs w:val="19"/>
        </w:rPr>
        <w:t xml:space="preserve"> 6 de julio de 2017, M.P. Marta Nubia Velázquez Rico, rad. 51920; sentencia de</w:t>
      </w:r>
      <w:r>
        <w:rPr>
          <w:rFonts w:ascii="Arial" w:hAnsi="Arial" w:cs="Arial"/>
          <w:sz w:val="19"/>
          <w:szCs w:val="19"/>
        </w:rPr>
        <w:t>l</w:t>
      </w:r>
      <w:r w:rsidRPr="007D02E1">
        <w:rPr>
          <w:rFonts w:ascii="Arial" w:hAnsi="Arial" w:cs="Arial"/>
          <w:sz w:val="19"/>
          <w:szCs w:val="19"/>
        </w:rPr>
        <w:t xml:space="preserve"> 13 de abril de 2011, M.P. Jaime Orlando Santofimio Gamboa, rad. 37.423; sentencia de 20 de abril de 2005, M.P. Ramiro Saavedra Becerra, rad. 14.519, entre</w:t>
      </w:r>
      <w:r w:rsidRPr="007D02E1">
        <w:rPr>
          <w:rFonts w:ascii="Arial" w:hAnsi="Arial" w:cs="Arial"/>
          <w:spacing w:val="-36"/>
          <w:sz w:val="19"/>
          <w:szCs w:val="19"/>
        </w:rPr>
        <w:t xml:space="preserve"> </w:t>
      </w:r>
      <w:r w:rsidRPr="007D02E1">
        <w:rPr>
          <w:rFonts w:ascii="Arial" w:hAnsi="Arial" w:cs="Arial"/>
          <w:sz w:val="19"/>
          <w:szCs w:val="19"/>
        </w:rPr>
        <w:t>otras.</w:t>
      </w:r>
    </w:p>
    <w:p w14:paraId="66315CCB" w14:textId="7B90755F" w:rsidR="007D02E1" w:rsidRPr="007D02E1" w:rsidRDefault="007D02E1">
      <w:pPr>
        <w:pStyle w:val="Textonotapie"/>
        <w:rPr>
          <w:lang w:val="es-ES_tradnl"/>
        </w:rPr>
      </w:pPr>
    </w:p>
  </w:footnote>
  <w:footnote w:id="19">
    <w:p w14:paraId="477967A7" w14:textId="37961BCD" w:rsidR="00114A81" w:rsidRPr="00114A81" w:rsidRDefault="00114A81" w:rsidP="00114A81">
      <w:pPr>
        <w:ind w:firstLine="709"/>
        <w:jc w:val="both"/>
        <w:rPr>
          <w:rFonts w:ascii="Arial" w:eastAsia="Times New Roman" w:hAnsi="Arial" w:cs="Arial"/>
          <w:sz w:val="19"/>
          <w:szCs w:val="19"/>
          <w:lang w:eastAsia="es-ES_tradnl"/>
        </w:rPr>
      </w:pPr>
      <w:r w:rsidRPr="00114A81">
        <w:rPr>
          <w:rStyle w:val="Refdenotaalpie"/>
          <w:rFonts w:ascii="Arial" w:hAnsi="Arial" w:cs="Arial"/>
          <w:sz w:val="19"/>
          <w:szCs w:val="19"/>
        </w:rPr>
        <w:footnoteRef/>
      </w:r>
      <w:r w:rsidRPr="00114A81">
        <w:rPr>
          <w:rFonts w:ascii="Arial" w:hAnsi="Arial" w:cs="Arial"/>
          <w:sz w:val="19"/>
          <w:szCs w:val="19"/>
        </w:rPr>
        <w:t xml:space="preserve"> </w:t>
      </w:r>
      <w:r w:rsidRPr="00114A81">
        <w:rPr>
          <w:rFonts w:ascii="Arial" w:hAnsi="Arial" w:cs="Arial"/>
          <w:sz w:val="19"/>
          <w:szCs w:val="19"/>
          <w:lang w:val="es-ES_tradnl"/>
        </w:rPr>
        <w:t xml:space="preserve">Decreto 1082 de 2015, artículo </w:t>
      </w:r>
      <w:r w:rsidRPr="00114A81">
        <w:rPr>
          <w:rFonts w:ascii="Arial" w:eastAsia="Times New Roman" w:hAnsi="Arial" w:cs="Arial"/>
          <w:color w:val="000000"/>
          <w:sz w:val="19"/>
          <w:szCs w:val="19"/>
          <w:lang w:eastAsia="es-ES_tradnl"/>
        </w:rPr>
        <w:t>Artículo 2.2.1.2.5.3.</w:t>
      </w:r>
      <w:r>
        <w:rPr>
          <w:rFonts w:ascii="Arial" w:eastAsia="Times New Roman" w:hAnsi="Arial" w:cs="Arial"/>
          <w:color w:val="000000"/>
          <w:sz w:val="19"/>
          <w:szCs w:val="19"/>
          <w:lang w:val="es-ES_tradnl" w:eastAsia="es-ES_tradnl"/>
        </w:rPr>
        <w:t>:</w:t>
      </w:r>
      <w:r w:rsidRPr="00114A81">
        <w:rPr>
          <w:rFonts w:ascii="Arial" w:eastAsia="Times New Roman" w:hAnsi="Arial" w:cs="Arial"/>
          <w:color w:val="000000"/>
          <w:sz w:val="19"/>
          <w:szCs w:val="19"/>
          <w:lang w:eastAsia="es-ES_tradnl"/>
        </w:rPr>
        <w:t> </w:t>
      </w:r>
      <w:r>
        <w:rPr>
          <w:rFonts w:ascii="Arial" w:eastAsia="Times New Roman" w:hAnsi="Arial" w:cs="Arial"/>
          <w:color w:val="000000"/>
          <w:sz w:val="19"/>
          <w:szCs w:val="19"/>
          <w:lang w:eastAsia="es-ES_tradnl"/>
        </w:rPr>
        <w:t>«</w:t>
      </w:r>
      <w:r w:rsidRPr="00114A81">
        <w:rPr>
          <w:rFonts w:ascii="Arial" w:eastAsia="Times New Roman" w:hAnsi="Arial" w:cs="Arial"/>
          <w:i/>
          <w:iCs/>
          <w:color w:val="000000"/>
          <w:sz w:val="19"/>
          <w:szCs w:val="19"/>
          <w:lang w:eastAsia="es-ES_tradnl"/>
        </w:rPr>
        <w:t>Manual de contratación.</w:t>
      </w:r>
      <w:r w:rsidRPr="00114A81">
        <w:rPr>
          <w:rFonts w:ascii="Arial" w:eastAsia="Times New Roman" w:hAnsi="Arial" w:cs="Arial"/>
          <w:color w:val="000000"/>
          <w:sz w:val="19"/>
          <w:szCs w:val="19"/>
          <w:lang w:eastAsia="es-ES_tradnl"/>
        </w:rPr>
        <w:t> Las Entidades Estatales deben contar con un manual de contratación, el cual debe cumplir con los lineamientos que para el efecto señale Colombia Compra Eficiente</w:t>
      </w:r>
      <w:r>
        <w:rPr>
          <w:rFonts w:ascii="Arial" w:eastAsia="Times New Roman" w:hAnsi="Arial" w:cs="Arial"/>
          <w:color w:val="000000"/>
          <w:sz w:val="19"/>
          <w:szCs w:val="19"/>
          <w:lang w:eastAsia="es-ES_tradnl"/>
        </w:rPr>
        <w:t>»</w:t>
      </w:r>
      <w:r w:rsidRPr="00114A81">
        <w:rPr>
          <w:rFonts w:ascii="Arial" w:eastAsia="Times New Roman" w:hAnsi="Arial" w:cs="Arial"/>
          <w:color w:val="000000"/>
          <w:sz w:val="19"/>
          <w:szCs w:val="19"/>
          <w:lang w:eastAsia="es-ES_tradnl"/>
        </w:rPr>
        <w:t>. </w:t>
      </w:r>
    </w:p>
    <w:p w14:paraId="47A5FC51" w14:textId="7A4F9C62" w:rsidR="00114A81" w:rsidRPr="00114A81" w:rsidRDefault="00114A81">
      <w:pPr>
        <w:pStyle w:val="Textonotapie"/>
        <w:rPr>
          <w:lang w:val="es-ES_tradnl"/>
        </w:rPr>
      </w:pPr>
    </w:p>
  </w:footnote>
  <w:footnote w:id="20">
    <w:p w14:paraId="4FF386A4" w14:textId="4CD467A7" w:rsidR="00B33879" w:rsidRDefault="00B33879" w:rsidP="00B33879">
      <w:pPr>
        <w:pStyle w:val="Textonotapie"/>
        <w:ind w:firstLine="709"/>
        <w:rPr>
          <w:rFonts w:ascii="Arial" w:hAnsi="Arial" w:cs="Arial"/>
          <w:sz w:val="19"/>
          <w:szCs w:val="19"/>
        </w:rPr>
      </w:pPr>
      <w:r w:rsidRPr="00B33879">
        <w:rPr>
          <w:rStyle w:val="Refdenotaalpie"/>
          <w:rFonts w:ascii="Arial" w:hAnsi="Arial" w:cs="Arial"/>
          <w:sz w:val="19"/>
          <w:szCs w:val="19"/>
        </w:rPr>
        <w:footnoteRef/>
      </w:r>
      <w:r w:rsidRPr="00B33879">
        <w:rPr>
          <w:rFonts w:ascii="Arial" w:hAnsi="Arial" w:cs="Arial"/>
          <w:sz w:val="19"/>
          <w:szCs w:val="19"/>
        </w:rPr>
        <w:t>https://colombiacompra.gov.co/sites/cce_public/files/cce_documents/cce_expedicion_manual_contratacion.pdf</w:t>
      </w:r>
    </w:p>
    <w:p w14:paraId="42588F6B" w14:textId="77777777" w:rsidR="00B33879" w:rsidRPr="00B33879" w:rsidRDefault="00B33879" w:rsidP="00B33879">
      <w:pPr>
        <w:pStyle w:val="Textonotapie"/>
        <w:ind w:firstLine="709"/>
        <w:rPr>
          <w:rFonts w:ascii="Arial" w:hAnsi="Arial" w:cs="Arial"/>
          <w:sz w:val="19"/>
          <w:szCs w:val="19"/>
          <w:lang w:val="es-ES_tradnl"/>
        </w:rPr>
      </w:pPr>
    </w:p>
  </w:footnote>
  <w:footnote w:id="21">
    <w:p w14:paraId="66AA4BA4" w14:textId="31117581" w:rsidR="00E0142A"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05D59D33" w14:textId="77777777" w:rsidR="005F5153" w:rsidRPr="001124A9" w:rsidRDefault="005F5153" w:rsidP="001124A9">
      <w:pPr>
        <w:pStyle w:val="Textonotapie"/>
        <w:ind w:firstLine="709"/>
        <w:jc w:val="both"/>
        <w:rPr>
          <w:rFonts w:ascii="Arial" w:hAnsi="Arial" w:cs="Arial"/>
          <w:color w:val="000000" w:themeColor="text1"/>
          <w:sz w:val="19"/>
          <w:szCs w:val="19"/>
        </w:rPr>
      </w:pPr>
    </w:p>
  </w:footnote>
  <w:footnote w:id="22">
    <w:p w14:paraId="2E24C572"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Consejo de Estado. Sección Tercera. Radicado No. 45.607 del 24 de octubre de 2016. Consejera Ponente: María Nubia Velásquez Rico.</w:t>
      </w:r>
    </w:p>
    <w:p w14:paraId="53B76B59"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23">
    <w:p w14:paraId="4F77205B" w14:textId="77777777" w:rsidR="00B84E23" w:rsidRPr="007D02E1" w:rsidRDefault="00B84E23" w:rsidP="00B84E23">
      <w:pPr>
        <w:ind w:right="108" w:firstLine="709"/>
        <w:rPr>
          <w:rFonts w:ascii="Arial" w:hAnsi="Arial" w:cs="Arial"/>
          <w:sz w:val="19"/>
          <w:szCs w:val="19"/>
        </w:rPr>
      </w:pPr>
      <w:r w:rsidRPr="007D02E1">
        <w:rPr>
          <w:rStyle w:val="Refdenotaalpie"/>
          <w:rFonts w:ascii="Arial" w:hAnsi="Arial" w:cs="Arial"/>
          <w:sz w:val="19"/>
          <w:szCs w:val="19"/>
        </w:rPr>
        <w:footnoteRef/>
      </w:r>
      <w:r w:rsidRPr="007D02E1">
        <w:rPr>
          <w:rFonts w:ascii="Arial" w:hAnsi="Arial" w:cs="Arial"/>
          <w:sz w:val="19"/>
          <w:szCs w:val="19"/>
        </w:rPr>
        <w:t xml:space="preserve"> BENAVIDES, José L. y SANTOFIMIO Jaime O, comps. Contrato estatal. Estudios sobre la reforma del estatuto contractual Ley 1150 de 2007. Universidad Externado de Colombia, 2009, p.410 - 418.</w:t>
      </w:r>
    </w:p>
    <w:p w14:paraId="28212F1B" w14:textId="77777777" w:rsidR="00B84E23" w:rsidRPr="007D02E1" w:rsidRDefault="00B84E23" w:rsidP="00B84E23">
      <w:pPr>
        <w:pStyle w:val="Textonotapie"/>
        <w:rPr>
          <w:rFonts w:ascii="Arial" w:hAnsi="Arial" w:cs="Arial"/>
          <w:sz w:val="19"/>
          <w:szCs w:val="19"/>
          <w:lang w:val="es-ES_tradnl"/>
        </w:rPr>
      </w:pPr>
    </w:p>
  </w:footnote>
  <w:footnote w:id="24">
    <w:p w14:paraId="1C18F5CE" w14:textId="77777777" w:rsidR="00B84E23" w:rsidRPr="007D02E1" w:rsidRDefault="00B84E23" w:rsidP="00B84E23">
      <w:pPr>
        <w:ind w:firstLine="709"/>
        <w:rPr>
          <w:rFonts w:ascii="Arial" w:hAnsi="Arial" w:cs="Arial"/>
          <w:sz w:val="19"/>
          <w:szCs w:val="19"/>
        </w:rPr>
      </w:pPr>
      <w:r w:rsidRPr="007D02E1">
        <w:rPr>
          <w:rStyle w:val="Refdenotaalpie"/>
          <w:rFonts w:ascii="Arial" w:hAnsi="Arial" w:cs="Arial"/>
          <w:sz w:val="19"/>
          <w:szCs w:val="19"/>
        </w:rPr>
        <w:footnoteRef/>
      </w:r>
      <w:r w:rsidRPr="007D02E1">
        <w:rPr>
          <w:rFonts w:ascii="Arial" w:hAnsi="Arial" w:cs="Arial"/>
          <w:sz w:val="19"/>
          <w:szCs w:val="19"/>
        </w:rPr>
        <w:t xml:space="preserve"> Consejo de Estado, Sección Tercera, sentencia de 13 de abril de 2011, C.P: Jaime Orlando Santofimio Gamboa, rad. No. 37.423.</w:t>
      </w:r>
    </w:p>
    <w:p w14:paraId="049A8EE5" w14:textId="77777777" w:rsidR="00B84E23" w:rsidRPr="007D02E1" w:rsidRDefault="00B84E23" w:rsidP="00B84E23">
      <w:pPr>
        <w:pStyle w:val="Textonotapie"/>
        <w:rPr>
          <w:lang w:val="es-ES_tradnl"/>
        </w:rPr>
      </w:pPr>
    </w:p>
  </w:footnote>
  <w:footnote w:id="25">
    <w:p w14:paraId="2C3F4357" w14:textId="77777777" w:rsidR="001E1317" w:rsidRPr="001124A9" w:rsidRDefault="001E1317" w:rsidP="001E1317">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2071F66" w14:textId="77777777" w:rsidR="001E1317" w:rsidRPr="001124A9" w:rsidRDefault="001E1317" w:rsidP="001E1317">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364C47C6" w14:textId="77777777" w:rsidR="001E1317" w:rsidRPr="001124A9" w:rsidRDefault="001E1317" w:rsidP="001E1317">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76A47DB" w14:textId="77777777" w:rsidR="001E1317" w:rsidRPr="001124A9" w:rsidRDefault="001E1317" w:rsidP="001E1317">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335356A1" w14:textId="77777777" w:rsidR="001E1317" w:rsidRPr="001124A9" w:rsidRDefault="001E1317" w:rsidP="001E1317">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w:t>
      </w:r>
      <w:r>
        <w:rPr>
          <w:rFonts w:ascii="Arial" w:hAnsi="Arial" w:cs="Arial"/>
          <w:color w:val="000000" w:themeColor="text1"/>
          <w:sz w:val="19"/>
          <w:szCs w:val="19"/>
        </w:rPr>
        <w:t>.</w:t>
      </w:r>
      <w:r w:rsidRPr="001124A9">
        <w:rPr>
          <w:rFonts w:ascii="Arial" w:hAnsi="Arial" w:cs="Arial"/>
          <w:color w:val="000000" w:themeColor="text1"/>
          <w:sz w:val="19"/>
          <w:szCs w:val="19"/>
        </w:rPr>
        <w:t xml:space="preserve"> 25.801</w:t>
      </w:r>
      <w:r>
        <w:rPr>
          <w:rFonts w:ascii="Arial" w:hAnsi="Arial" w:cs="Arial"/>
          <w:color w:val="000000" w:themeColor="text1"/>
          <w:sz w:val="19"/>
          <w:szCs w:val="19"/>
        </w:rPr>
        <w:t xml:space="preserve"> </w:t>
      </w:r>
      <w:r w:rsidRPr="001124A9">
        <w:rPr>
          <w:rFonts w:ascii="Arial" w:hAnsi="Arial" w:cs="Arial"/>
          <w:color w:val="000000" w:themeColor="text1"/>
          <w:sz w:val="19"/>
          <w:szCs w:val="19"/>
        </w:rPr>
        <w:t>C</w:t>
      </w:r>
      <w:r>
        <w:rPr>
          <w:rFonts w:ascii="Arial" w:hAnsi="Arial" w:cs="Arial"/>
          <w:color w:val="000000" w:themeColor="text1"/>
          <w:sz w:val="19"/>
          <w:szCs w:val="19"/>
        </w:rPr>
        <w:t>.</w:t>
      </w:r>
      <w:r w:rsidRPr="001124A9">
        <w:rPr>
          <w:rFonts w:ascii="Arial" w:hAnsi="Arial" w:cs="Arial"/>
          <w:color w:val="000000" w:themeColor="text1"/>
          <w:sz w:val="19"/>
          <w:szCs w:val="19"/>
        </w:rPr>
        <w:t>P</w:t>
      </w:r>
      <w:r>
        <w:rPr>
          <w:rFonts w:ascii="Arial" w:hAnsi="Arial" w:cs="Arial"/>
          <w:color w:val="000000" w:themeColor="text1"/>
          <w:sz w:val="19"/>
          <w:szCs w:val="19"/>
        </w:rPr>
        <w:t>.</w:t>
      </w:r>
      <w:r w:rsidRPr="001124A9">
        <w:rPr>
          <w:rFonts w:ascii="Arial" w:hAnsi="Arial" w:cs="Arial"/>
          <w:color w:val="000000" w:themeColor="text1"/>
          <w:sz w:val="19"/>
          <w:szCs w:val="19"/>
        </w:rPr>
        <w:t xml:space="preserve"> Enrique Gil Botero). </w:t>
      </w:r>
    </w:p>
    <w:p w14:paraId="1F2F2F90" w14:textId="77777777" w:rsidR="001E1317" w:rsidRPr="00DA287E" w:rsidRDefault="001E1317" w:rsidP="00DA287E">
      <w:pPr>
        <w:pStyle w:val="Textonotapie"/>
        <w:ind w:firstLine="709"/>
        <w:jc w:val="both"/>
        <w:rPr>
          <w:rFonts w:ascii="Arial" w:hAnsi="Arial" w:cs="Arial"/>
          <w:color w:val="000000" w:themeColor="text1"/>
          <w:sz w:val="19"/>
          <w:szCs w:val="19"/>
          <w:lang w:val="es-ES"/>
        </w:rPr>
      </w:pPr>
    </w:p>
  </w:footnote>
  <w:footnote w:id="26">
    <w:p w14:paraId="779BE299" w14:textId="77777777" w:rsidR="003E5AD6" w:rsidRPr="001B208F" w:rsidRDefault="001B208F" w:rsidP="003E5AD6">
      <w:pPr>
        <w:ind w:firstLine="709"/>
        <w:jc w:val="both"/>
        <w:rPr>
          <w:rFonts w:ascii="Arial" w:eastAsia="Times New Roman" w:hAnsi="Arial" w:cs="Arial"/>
          <w:color w:val="000000"/>
          <w:sz w:val="22"/>
          <w:lang w:eastAsia="es-ES_tradnl"/>
        </w:rPr>
      </w:pPr>
      <w:r>
        <w:rPr>
          <w:rStyle w:val="Refdenotaalpie"/>
        </w:rPr>
        <w:footnoteRef/>
      </w:r>
      <w:r>
        <w:t xml:space="preserve"> </w:t>
      </w:r>
      <w:r w:rsidRPr="003E5AD6">
        <w:rPr>
          <w:rFonts w:ascii="Arial" w:hAnsi="Arial" w:cs="Arial"/>
          <w:sz w:val="19"/>
          <w:szCs w:val="19"/>
          <w:lang w:val="es-ES_tradnl"/>
        </w:rPr>
        <w:t xml:space="preserve">Decreto 1082 de 2015, artículo </w:t>
      </w:r>
      <w:r w:rsidRPr="003E5AD6">
        <w:rPr>
          <w:rFonts w:ascii="Arial" w:eastAsia="Times New Roman" w:hAnsi="Arial" w:cs="Arial"/>
          <w:color w:val="000000"/>
          <w:sz w:val="19"/>
          <w:szCs w:val="19"/>
          <w:lang w:eastAsia="es-ES_tradnl"/>
        </w:rPr>
        <w:t xml:space="preserve">2.1.1.2. </w:t>
      </w:r>
      <w:r w:rsidRPr="003E5AD6">
        <w:rPr>
          <w:rFonts w:ascii="Arial" w:hAnsi="Arial" w:cs="Arial"/>
          <w:sz w:val="19"/>
          <w:szCs w:val="19"/>
          <w:lang w:val="es-ES_tradnl"/>
        </w:rPr>
        <w:t>original, antes de la modificación introducida mediante el Decreto 1676 de 2016, precisaba:</w:t>
      </w:r>
      <w:r w:rsidRPr="003E5AD6">
        <w:rPr>
          <w:rFonts w:ascii="Arial" w:hAnsi="Arial" w:cs="Arial"/>
          <w:color w:val="000000"/>
          <w:sz w:val="19"/>
          <w:szCs w:val="19"/>
        </w:rPr>
        <w:t xml:space="preserve"> «</w:t>
      </w:r>
      <w:r w:rsidRPr="003E5AD6">
        <w:rPr>
          <w:rFonts w:ascii="Arial" w:eastAsia="Times New Roman" w:hAnsi="Arial" w:cs="Arial"/>
          <w:color w:val="000000"/>
          <w:sz w:val="19"/>
          <w:szCs w:val="19"/>
          <w:lang w:eastAsia="es-ES_tradnl"/>
        </w:rPr>
        <w:t>Ámbito de Aplicación. </w:t>
      </w:r>
      <w:r w:rsidR="003E5AD6" w:rsidRPr="003E5AD6">
        <w:rPr>
          <w:rFonts w:ascii="Arial" w:eastAsia="Times New Roman" w:hAnsi="Arial" w:cs="Arial"/>
          <w:color w:val="000000"/>
          <w:sz w:val="19"/>
          <w:szCs w:val="19"/>
          <w:lang w:eastAsia="es-ES_tradnl"/>
        </w:rPr>
        <w:t>El presente decreto aplica a las entidades del Sector Administrativo de Planeación Nacional y rige en todo el territorio nacional»</w:t>
      </w:r>
    </w:p>
    <w:p w14:paraId="1B5F214C" w14:textId="29A65EC0" w:rsidR="001B208F" w:rsidRPr="001B208F" w:rsidRDefault="001B208F">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p w14:paraId="08033BA6" w14:textId="77777777" w:rsidR="00330968" w:rsidRDefault="00330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263C0"/>
    <w:multiLevelType w:val="hybridMultilevel"/>
    <w:tmpl w:val="38D2511C"/>
    <w:lvl w:ilvl="0" w:tplc="76C4AA5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A3F5DC2"/>
    <w:multiLevelType w:val="hybridMultilevel"/>
    <w:tmpl w:val="2F82DE2A"/>
    <w:lvl w:ilvl="0" w:tplc="B48CD3E2">
      <w:start w:val="1"/>
      <w:numFmt w:val="decimal"/>
      <w:lvlText w:val="%1."/>
      <w:lvlJc w:val="left"/>
      <w:pPr>
        <w:ind w:left="417" w:hanging="310"/>
      </w:pPr>
      <w:rPr>
        <w:rFonts w:ascii="Arial" w:eastAsia="Arial" w:hAnsi="Arial" w:cs="Arial" w:hint="default"/>
        <w:color w:val="4E4D4D"/>
        <w:spacing w:val="-4"/>
        <w:w w:val="100"/>
        <w:sz w:val="22"/>
        <w:szCs w:val="22"/>
        <w:lang w:val="es-ES" w:eastAsia="en-US" w:bidi="ar-SA"/>
      </w:rPr>
    </w:lvl>
    <w:lvl w:ilvl="1" w:tplc="FF16B858">
      <w:numFmt w:val="bullet"/>
      <w:lvlText w:val="•"/>
      <w:lvlJc w:val="left"/>
      <w:pPr>
        <w:ind w:left="1269" w:hanging="310"/>
      </w:pPr>
      <w:rPr>
        <w:rFonts w:hint="default"/>
        <w:lang w:val="es-ES" w:eastAsia="en-US" w:bidi="ar-SA"/>
      </w:rPr>
    </w:lvl>
    <w:lvl w:ilvl="2" w:tplc="77C4F714">
      <w:numFmt w:val="bullet"/>
      <w:lvlText w:val="•"/>
      <w:lvlJc w:val="left"/>
      <w:pPr>
        <w:ind w:left="2118" w:hanging="310"/>
      </w:pPr>
      <w:rPr>
        <w:rFonts w:hint="default"/>
        <w:lang w:val="es-ES" w:eastAsia="en-US" w:bidi="ar-SA"/>
      </w:rPr>
    </w:lvl>
    <w:lvl w:ilvl="3" w:tplc="649AD838">
      <w:numFmt w:val="bullet"/>
      <w:lvlText w:val="•"/>
      <w:lvlJc w:val="left"/>
      <w:pPr>
        <w:ind w:left="2967" w:hanging="310"/>
      </w:pPr>
      <w:rPr>
        <w:rFonts w:hint="default"/>
        <w:lang w:val="es-ES" w:eastAsia="en-US" w:bidi="ar-SA"/>
      </w:rPr>
    </w:lvl>
    <w:lvl w:ilvl="4" w:tplc="5B08AF26">
      <w:numFmt w:val="bullet"/>
      <w:lvlText w:val="•"/>
      <w:lvlJc w:val="left"/>
      <w:pPr>
        <w:ind w:left="3816" w:hanging="310"/>
      </w:pPr>
      <w:rPr>
        <w:rFonts w:hint="default"/>
        <w:lang w:val="es-ES" w:eastAsia="en-US" w:bidi="ar-SA"/>
      </w:rPr>
    </w:lvl>
    <w:lvl w:ilvl="5" w:tplc="DCC04E68">
      <w:numFmt w:val="bullet"/>
      <w:lvlText w:val="•"/>
      <w:lvlJc w:val="left"/>
      <w:pPr>
        <w:ind w:left="4666" w:hanging="310"/>
      </w:pPr>
      <w:rPr>
        <w:rFonts w:hint="default"/>
        <w:lang w:val="es-ES" w:eastAsia="en-US" w:bidi="ar-SA"/>
      </w:rPr>
    </w:lvl>
    <w:lvl w:ilvl="6" w:tplc="4D4272BA">
      <w:numFmt w:val="bullet"/>
      <w:lvlText w:val="•"/>
      <w:lvlJc w:val="left"/>
      <w:pPr>
        <w:ind w:left="5515" w:hanging="310"/>
      </w:pPr>
      <w:rPr>
        <w:rFonts w:hint="default"/>
        <w:lang w:val="es-ES" w:eastAsia="en-US" w:bidi="ar-SA"/>
      </w:rPr>
    </w:lvl>
    <w:lvl w:ilvl="7" w:tplc="CB3EAD1A">
      <w:numFmt w:val="bullet"/>
      <w:lvlText w:val="•"/>
      <w:lvlJc w:val="left"/>
      <w:pPr>
        <w:ind w:left="6364" w:hanging="310"/>
      </w:pPr>
      <w:rPr>
        <w:rFonts w:hint="default"/>
        <w:lang w:val="es-ES" w:eastAsia="en-US" w:bidi="ar-SA"/>
      </w:rPr>
    </w:lvl>
    <w:lvl w:ilvl="8" w:tplc="6F162A2A">
      <w:numFmt w:val="bullet"/>
      <w:lvlText w:val="•"/>
      <w:lvlJc w:val="left"/>
      <w:pPr>
        <w:ind w:left="7213" w:hanging="310"/>
      </w:pPr>
      <w:rPr>
        <w:rFonts w:hint="default"/>
        <w:lang w:val="es-ES" w:eastAsia="en-US" w:bidi="ar-SA"/>
      </w:rPr>
    </w:lvl>
  </w:abstractNum>
  <w:abstractNum w:abstractNumId="3" w15:restartNumberingAfterBreak="0">
    <w:nsid w:val="2CE338B7"/>
    <w:multiLevelType w:val="hybridMultilevel"/>
    <w:tmpl w:val="1D28D51E"/>
    <w:lvl w:ilvl="0" w:tplc="39D62A48">
      <w:start w:val="1"/>
      <w:numFmt w:val="lowerRoman"/>
      <w:lvlText w:val="%1)"/>
      <w:lvlJc w:val="left"/>
      <w:pPr>
        <w:ind w:left="720" w:hanging="360"/>
      </w:pPr>
      <w:rPr>
        <w:rFonts w:ascii="Arial" w:eastAsia="Arial" w:hAnsi="Arial" w:cs="Arial" w:hint="default"/>
        <w:color w:val="4E4D4D"/>
        <w:w w:val="100"/>
        <w:sz w:val="22"/>
        <w:szCs w:val="22"/>
        <w:lang w:val="es-ES" w:eastAsia="en-US" w:bidi="ar-SA"/>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761BF4"/>
    <w:multiLevelType w:val="hybridMultilevel"/>
    <w:tmpl w:val="13F609BC"/>
    <w:lvl w:ilvl="0" w:tplc="C226BB5E">
      <w:start w:val="1"/>
      <w:numFmt w:val="decimal"/>
      <w:lvlText w:val="%1."/>
      <w:lvlJc w:val="left"/>
      <w:pPr>
        <w:ind w:left="417" w:hanging="250"/>
      </w:pPr>
      <w:rPr>
        <w:rFonts w:ascii="Arial" w:eastAsia="Arial" w:hAnsi="Arial" w:cs="Arial" w:hint="default"/>
        <w:color w:val="4E4D4D"/>
        <w:spacing w:val="-1"/>
        <w:w w:val="100"/>
        <w:sz w:val="22"/>
        <w:szCs w:val="22"/>
        <w:lang w:val="es-ES" w:eastAsia="en-US" w:bidi="ar-SA"/>
      </w:rPr>
    </w:lvl>
    <w:lvl w:ilvl="1" w:tplc="94CE10A0">
      <w:numFmt w:val="bullet"/>
      <w:lvlText w:val="•"/>
      <w:lvlJc w:val="left"/>
      <w:pPr>
        <w:ind w:left="1269" w:hanging="250"/>
      </w:pPr>
      <w:rPr>
        <w:rFonts w:hint="default"/>
        <w:lang w:val="es-ES" w:eastAsia="en-US" w:bidi="ar-SA"/>
      </w:rPr>
    </w:lvl>
    <w:lvl w:ilvl="2" w:tplc="1EFAA820">
      <w:numFmt w:val="bullet"/>
      <w:lvlText w:val="•"/>
      <w:lvlJc w:val="left"/>
      <w:pPr>
        <w:ind w:left="2118" w:hanging="250"/>
      </w:pPr>
      <w:rPr>
        <w:rFonts w:hint="default"/>
        <w:lang w:val="es-ES" w:eastAsia="en-US" w:bidi="ar-SA"/>
      </w:rPr>
    </w:lvl>
    <w:lvl w:ilvl="3" w:tplc="7C4840C6">
      <w:numFmt w:val="bullet"/>
      <w:lvlText w:val="•"/>
      <w:lvlJc w:val="left"/>
      <w:pPr>
        <w:ind w:left="2967" w:hanging="250"/>
      </w:pPr>
      <w:rPr>
        <w:rFonts w:hint="default"/>
        <w:lang w:val="es-ES" w:eastAsia="en-US" w:bidi="ar-SA"/>
      </w:rPr>
    </w:lvl>
    <w:lvl w:ilvl="4" w:tplc="5E6A80E2">
      <w:numFmt w:val="bullet"/>
      <w:lvlText w:val="•"/>
      <w:lvlJc w:val="left"/>
      <w:pPr>
        <w:ind w:left="3816" w:hanging="250"/>
      </w:pPr>
      <w:rPr>
        <w:rFonts w:hint="default"/>
        <w:lang w:val="es-ES" w:eastAsia="en-US" w:bidi="ar-SA"/>
      </w:rPr>
    </w:lvl>
    <w:lvl w:ilvl="5" w:tplc="F6548D5C">
      <w:numFmt w:val="bullet"/>
      <w:lvlText w:val="•"/>
      <w:lvlJc w:val="left"/>
      <w:pPr>
        <w:ind w:left="4666" w:hanging="250"/>
      </w:pPr>
      <w:rPr>
        <w:rFonts w:hint="default"/>
        <w:lang w:val="es-ES" w:eastAsia="en-US" w:bidi="ar-SA"/>
      </w:rPr>
    </w:lvl>
    <w:lvl w:ilvl="6" w:tplc="866A26F8">
      <w:numFmt w:val="bullet"/>
      <w:lvlText w:val="•"/>
      <w:lvlJc w:val="left"/>
      <w:pPr>
        <w:ind w:left="5515" w:hanging="250"/>
      </w:pPr>
      <w:rPr>
        <w:rFonts w:hint="default"/>
        <w:lang w:val="es-ES" w:eastAsia="en-US" w:bidi="ar-SA"/>
      </w:rPr>
    </w:lvl>
    <w:lvl w:ilvl="7" w:tplc="7C96F9D2">
      <w:numFmt w:val="bullet"/>
      <w:lvlText w:val="•"/>
      <w:lvlJc w:val="left"/>
      <w:pPr>
        <w:ind w:left="6364" w:hanging="250"/>
      </w:pPr>
      <w:rPr>
        <w:rFonts w:hint="default"/>
        <w:lang w:val="es-ES" w:eastAsia="en-US" w:bidi="ar-SA"/>
      </w:rPr>
    </w:lvl>
    <w:lvl w:ilvl="8" w:tplc="77A8FB7C">
      <w:numFmt w:val="bullet"/>
      <w:lvlText w:val="•"/>
      <w:lvlJc w:val="left"/>
      <w:pPr>
        <w:ind w:left="7213" w:hanging="250"/>
      </w:pPr>
      <w:rPr>
        <w:rFonts w:hint="default"/>
        <w:lang w:val="es-ES" w:eastAsia="en-US" w:bidi="ar-SA"/>
      </w:rPr>
    </w:lvl>
  </w:abstractNum>
  <w:abstractNum w:abstractNumId="7" w15:restartNumberingAfterBreak="0">
    <w:nsid w:val="37E20941"/>
    <w:multiLevelType w:val="hybridMultilevel"/>
    <w:tmpl w:val="50CE58F2"/>
    <w:lvl w:ilvl="0" w:tplc="39D62A48">
      <w:start w:val="1"/>
      <w:numFmt w:val="lowerRoman"/>
      <w:lvlText w:val="%1)"/>
      <w:lvlJc w:val="left"/>
      <w:pPr>
        <w:ind w:left="720" w:hanging="360"/>
      </w:pPr>
      <w:rPr>
        <w:rFonts w:ascii="Arial" w:eastAsia="Arial" w:hAnsi="Arial" w:cs="Arial" w:hint="default"/>
        <w:color w:val="4E4D4D"/>
        <w:w w:val="100"/>
        <w:sz w:val="22"/>
        <w:szCs w:val="22"/>
        <w:lang w:val="es-ES" w:eastAsia="en-US" w:bidi="ar-SA"/>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9D55BAF"/>
    <w:multiLevelType w:val="hybridMultilevel"/>
    <w:tmpl w:val="03D41E02"/>
    <w:lvl w:ilvl="0" w:tplc="7A4AF5AE">
      <w:numFmt w:val="bullet"/>
      <w:lvlText w:val="-"/>
      <w:lvlJc w:val="left"/>
      <w:pPr>
        <w:ind w:left="363" w:hanging="143"/>
      </w:pPr>
      <w:rPr>
        <w:rFonts w:ascii="Arial" w:eastAsia="Arial" w:hAnsi="Arial" w:cs="Arial" w:hint="default"/>
        <w:color w:val="4E4D4D"/>
        <w:w w:val="100"/>
        <w:sz w:val="22"/>
        <w:szCs w:val="22"/>
        <w:lang w:val="es-ES" w:eastAsia="en-US" w:bidi="ar-SA"/>
      </w:rPr>
    </w:lvl>
    <w:lvl w:ilvl="1" w:tplc="A2C0492E">
      <w:numFmt w:val="bullet"/>
      <w:lvlText w:val="•"/>
      <w:lvlJc w:val="left"/>
      <w:pPr>
        <w:ind w:left="1250" w:hanging="143"/>
      </w:pPr>
      <w:rPr>
        <w:rFonts w:hint="default"/>
        <w:lang w:val="es-ES" w:eastAsia="en-US" w:bidi="ar-SA"/>
      </w:rPr>
    </w:lvl>
    <w:lvl w:ilvl="2" w:tplc="CFDE184E">
      <w:numFmt w:val="bullet"/>
      <w:lvlText w:val="•"/>
      <w:lvlJc w:val="left"/>
      <w:pPr>
        <w:ind w:left="2140" w:hanging="143"/>
      </w:pPr>
      <w:rPr>
        <w:rFonts w:hint="default"/>
        <w:lang w:val="es-ES" w:eastAsia="en-US" w:bidi="ar-SA"/>
      </w:rPr>
    </w:lvl>
    <w:lvl w:ilvl="3" w:tplc="B120A284">
      <w:numFmt w:val="bullet"/>
      <w:lvlText w:val="•"/>
      <w:lvlJc w:val="left"/>
      <w:pPr>
        <w:ind w:left="3030" w:hanging="143"/>
      </w:pPr>
      <w:rPr>
        <w:rFonts w:hint="default"/>
        <w:lang w:val="es-ES" w:eastAsia="en-US" w:bidi="ar-SA"/>
      </w:rPr>
    </w:lvl>
    <w:lvl w:ilvl="4" w:tplc="4CD2A566">
      <w:numFmt w:val="bullet"/>
      <w:lvlText w:val="•"/>
      <w:lvlJc w:val="left"/>
      <w:pPr>
        <w:ind w:left="3920" w:hanging="143"/>
      </w:pPr>
      <w:rPr>
        <w:rFonts w:hint="default"/>
        <w:lang w:val="es-ES" w:eastAsia="en-US" w:bidi="ar-SA"/>
      </w:rPr>
    </w:lvl>
    <w:lvl w:ilvl="5" w:tplc="BA26CCAA">
      <w:numFmt w:val="bullet"/>
      <w:lvlText w:val="•"/>
      <w:lvlJc w:val="left"/>
      <w:pPr>
        <w:ind w:left="4810" w:hanging="143"/>
      </w:pPr>
      <w:rPr>
        <w:rFonts w:hint="default"/>
        <w:lang w:val="es-ES" w:eastAsia="en-US" w:bidi="ar-SA"/>
      </w:rPr>
    </w:lvl>
    <w:lvl w:ilvl="6" w:tplc="5026518C">
      <w:numFmt w:val="bullet"/>
      <w:lvlText w:val="•"/>
      <w:lvlJc w:val="left"/>
      <w:pPr>
        <w:ind w:left="5700" w:hanging="143"/>
      </w:pPr>
      <w:rPr>
        <w:rFonts w:hint="default"/>
        <w:lang w:val="es-ES" w:eastAsia="en-US" w:bidi="ar-SA"/>
      </w:rPr>
    </w:lvl>
    <w:lvl w:ilvl="7" w:tplc="E644749C">
      <w:numFmt w:val="bullet"/>
      <w:lvlText w:val="•"/>
      <w:lvlJc w:val="left"/>
      <w:pPr>
        <w:ind w:left="6590" w:hanging="143"/>
      </w:pPr>
      <w:rPr>
        <w:rFonts w:hint="default"/>
        <w:lang w:val="es-ES" w:eastAsia="en-US" w:bidi="ar-SA"/>
      </w:rPr>
    </w:lvl>
    <w:lvl w:ilvl="8" w:tplc="097E9916">
      <w:numFmt w:val="bullet"/>
      <w:lvlText w:val="•"/>
      <w:lvlJc w:val="left"/>
      <w:pPr>
        <w:ind w:left="7480" w:hanging="143"/>
      </w:pPr>
      <w:rPr>
        <w:rFonts w:hint="default"/>
        <w:lang w:val="es-ES" w:eastAsia="en-US" w:bidi="ar-SA"/>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8"/>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1"/>
  </w:num>
  <w:num w:numId="10">
    <w:abstractNumId w:val="6"/>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CFF"/>
    <w:rsid w:val="000215D3"/>
    <w:rsid w:val="000220D0"/>
    <w:rsid w:val="00022747"/>
    <w:rsid w:val="00022E15"/>
    <w:rsid w:val="0002463A"/>
    <w:rsid w:val="000279B3"/>
    <w:rsid w:val="000300F2"/>
    <w:rsid w:val="00032912"/>
    <w:rsid w:val="00033749"/>
    <w:rsid w:val="00033C4E"/>
    <w:rsid w:val="00035059"/>
    <w:rsid w:val="00037573"/>
    <w:rsid w:val="00040DEA"/>
    <w:rsid w:val="00041BD5"/>
    <w:rsid w:val="00045246"/>
    <w:rsid w:val="000472FF"/>
    <w:rsid w:val="0004752B"/>
    <w:rsid w:val="000529A0"/>
    <w:rsid w:val="000533A3"/>
    <w:rsid w:val="0005551F"/>
    <w:rsid w:val="00055A31"/>
    <w:rsid w:val="0005657D"/>
    <w:rsid w:val="000565DF"/>
    <w:rsid w:val="00056BD1"/>
    <w:rsid w:val="0006537A"/>
    <w:rsid w:val="00065FFB"/>
    <w:rsid w:val="000721E4"/>
    <w:rsid w:val="000744B4"/>
    <w:rsid w:val="00075CC1"/>
    <w:rsid w:val="00076A78"/>
    <w:rsid w:val="00080ACD"/>
    <w:rsid w:val="00082FC1"/>
    <w:rsid w:val="00084B97"/>
    <w:rsid w:val="0008539A"/>
    <w:rsid w:val="000926C1"/>
    <w:rsid w:val="000942EB"/>
    <w:rsid w:val="0009676A"/>
    <w:rsid w:val="000A0158"/>
    <w:rsid w:val="000A2092"/>
    <w:rsid w:val="000A296C"/>
    <w:rsid w:val="000A347B"/>
    <w:rsid w:val="000A3B5A"/>
    <w:rsid w:val="000A3C64"/>
    <w:rsid w:val="000A47AF"/>
    <w:rsid w:val="000A5988"/>
    <w:rsid w:val="000A7C27"/>
    <w:rsid w:val="000B0FAB"/>
    <w:rsid w:val="000B103F"/>
    <w:rsid w:val="000B419B"/>
    <w:rsid w:val="000B42D0"/>
    <w:rsid w:val="000C122C"/>
    <w:rsid w:val="000C2392"/>
    <w:rsid w:val="000C59F5"/>
    <w:rsid w:val="000C639D"/>
    <w:rsid w:val="000C6D49"/>
    <w:rsid w:val="000C72D6"/>
    <w:rsid w:val="000C75EC"/>
    <w:rsid w:val="000C7EDB"/>
    <w:rsid w:val="000D0ED2"/>
    <w:rsid w:val="000D1004"/>
    <w:rsid w:val="000D10ED"/>
    <w:rsid w:val="000D1EBE"/>
    <w:rsid w:val="000D2339"/>
    <w:rsid w:val="000D564D"/>
    <w:rsid w:val="000D5ABB"/>
    <w:rsid w:val="000D68EA"/>
    <w:rsid w:val="000D7D13"/>
    <w:rsid w:val="000E004B"/>
    <w:rsid w:val="000E082A"/>
    <w:rsid w:val="000E11AD"/>
    <w:rsid w:val="000E2BB6"/>
    <w:rsid w:val="000E3509"/>
    <w:rsid w:val="000F14E8"/>
    <w:rsid w:val="000F576E"/>
    <w:rsid w:val="000F5896"/>
    <w:rsid w:val="00100C37"/>
    <w:rsid w:val="001019AF"/>
    <w:rsid w:val="00103915"/>
    <w:rsid w:val="001051E5"/>
    <w:rsid w:val="00106AB7"/>
    <w:rsid w:val="00107323"/>
    <w:rsid w:val="00112405"/>
    <w:rsid w:val="001124A9"/>
    <w:rsid w:val="00113705"/>
    <w:rsid w:val="00114A81"/>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1CEC"/>
    <w:rsid w:val="001434A4"/>
    <w:rsid w:val="001458D4"/>
    <w:rsid w:val="00145CA9"/>
    <w:rsid w:val="00145CF3"/>
    <w:rsid w:val="00146B80"/>
    <w:rsid w:val="00146DE2"/>
    <w:rsid w:val="00150F04"/>
    <w:rsid w:val="00151978"/>
    <w:rsid w:val="00160401"/>
    <w:rsid w:val="00161B15"/>
    <w:rsid w:val="00161B32"/>
    <w:rsid w:val="0016200B"/>
    <w:rsid w:val="00163A34"/>
    <w:rsid w:val="001640DB"/>
    <w:rsid w:val="00165D90"/>
    <w:rsid w:val="00167950"/>
    <w:rsid w:val="00170A22"/>
    <w:rsid w:val="00173C23"/>
    <w:rsid w:val="001753F7"/>
    <w:rsid w:val="00177B94"/>
    <w:rsid w:val="00180477"/>
    <w:rsid w:val="001811A6"/>
    <w:rsid w:val="00182861"/>
    <w:rsid w:val="00182E2B"/>
    <w:rsid w:val="00182F57"/>
    <w:rsid w:val="00183D77"/>
    <w:rsid w:val="0018492C"/>
    <w:rsid w:val="00185773"/>
    <w:rsid w:val="0018637B"/>
    <w:rsid w:val="00187333"/>
    <w:rsid w:val="00192751"/>
    <w:rsid w:val="00195789"/>
    <w:rsid w:val="00195A15"/>
    <w:rsid w:val="00196CBA"/>
    <w:rsid w:val="001A0E2A"/>
    <w:rsid w:val="001A0F0E"/>
    <w:rsid w:val="001A2ADE"/>
    <w:rsid w:val="001A2DD2"/>
    <w:rsid w:val="001A3EC0"/>
    <w:rsid w:val="001B0444"/>
    <w:rsid w:val="001B07AA"/>
    <w:rsid w:val="001B208F"/>
    <w:rsid w:val="001B2456"/>
    <w:rsid w:val="001B2A1D"/>
    <w:rsid w:val="001B76A8"/>
    <w:rsid w:val="001C26F2"/>
    <w:rsid w:val="001C3E5C"/>
    <w:rsid w:val="001C435C"/>
    <w:rsid w:val="001C6D2E"/>
    <w:rsid w:val="001D1028"/>
    <w:rsid w:val="001D5683"/>
    <w:rsid w:val="001D6E9F"/>
    <w:rsid w:val="001E1317"/>
    <w:rsid w:val="001F042B"/>
    <w:rsid w:val="001F0E9B"/>
    <w:rsid w:val="001F115F"/>
    <w:rsid w:val="001F2356"/>
    <w:rsid w:val="001F2F6F"/>
    <w:rsid w:val="001F4546"/>
    <w:rsid w:val="001F7547"/>
    <w:rsid w:val="00202A9C"/>
    <w:rsid w:val="00203035"/>
    <w:rsid w:val="00204CB2"/>
    <w:rsid w:val="00205E65"/>
    <w:rsid w:val="0020632A"/>
    <w:rsid w:val="0021094E"/>
    <w:rsid w:val="002110EB"/>
    <w:rsid w:val="00211338"/>
    <w:rsid w:val="00211388"/>
    <w:rsid w:val="0021234D"/>
    <w:rsid w:val="00212536"/>
    <w:rsid w:val="00213052"/>
    <w:rsid w:val="00213A1F"/>
    <w:rsid w:val="002143A8"/>
    <w:rsid w:val="0021491F"/>
    <w:rsid w:val="002157D0"/>
    <w:rsid w:val="00223CDB"/>
    <w:rsid w:val="002304E7"/>
    <w:rsid w:val="002321EA"/>
    <w:rsid w:val="00234B84"/>
    <w:rsid w:val="002373E4"/>
    <w:rsid w:val="002378E2"/>
    <w:rsid w:val="0024107C"/>
    <w:rsid w:val="00242402"/>
    <w:rsid w:val="0024506E"/>
    <w:rsid w:val="00245778"/>
    <w:rsid w:val="00247712"/>
    <w:rsid w:val="00253FEF"/>
    <w:rsid w:val="00254960"/>
    <w:rsid w:val="0025797C"/>
    <w:rsid w:val="00261CA9"/>
    <w:rsid w:val="002634F5"/>
    <w:rsid w:val="00263ECC"/>
    <w:rsid w:val="0026464B"/>
    <w:rsid w:val="00265BCD"/>
    <w:rsid w:val="00270F5A"/>
    <w:rsid w:val="002747D6"/>
    <w:rsid w:val="00274B85"/>
    <w:rsid w:val="002765EE"/>
    <w:rsid w:val="002801FE"/>
    <w:rsid w:val="0028243F"/>
    <w:rsid w:val="002837F4"/>
    <w:rsid w:val="00283FB7"/>
    <w:rsid w:val="0028449C"/>
    <w:rsid w:val="002928F0"/>
    <w:rsid w:val="00294800"/>
    <w:rsid w:val="0029567F"/>
    <w:rsid w:val="00295A3E"/>
    <w:rsid w:val="002A712A"/>
    <w:rsid w:val="002B25ED"/>
    <w:rsid w:val="002B4A15"/>
    <w:rsid w:val="002B6146"/>
    <w:rsid w:val="002C3D17"/>
    <w:rsid w:val="002C496D"/>
    <w:rsid w:val="002C4AFE"/>
    <w:rsid w:val="002C4C0C"/>
    <w:rsid w:val="002C62F3"/>
    <w:rsid w:val="002D5C8F"/>
    <w:rsid w:val="002D66CE"/>
    <w:rsid w:val="002D708C"/>
    <w:rsid w:val="002D7E0C"/>
    <w:rsid w:val="002E214A"/>
    <w:rsid w:val="002E2392"/>
    <w:rsid w:val="002E55ED"/>
    <w:rsid w:val="002F49AB"/>
    <w:rsid w:val="003033BA"/>
    <w:rsid w:val="00304741"/>
    <w:rsid w:val="00304B88"/>
    <w:rsid w:val="00305BDF"/>
    <w:rsid w:val="003066C5"/>
    <w:rsid w:val="00310967"/>
    <w:rsid w:val="00310B9E"/>
    <w:rsid w:val="003116A1"/>
    <w:rsid w:val="00311B20"/>
    <w:rsid w:val="00312F9D"/>
    <w:rsid w:val="003150EA"/>
    <w:rsid w:val="00321169"/>
    <w:rsid w:val="00322937"/>
    <w:rsid w:val="003264C6"/>
    <w:rsid w:val="00327372"/>
    <w:rsid w:val="00327A5C"/>
    <w:rsid w:val="0033092C"/>
    <w:rsid w:val="00330968"/>
    <w:rsid w:val="00331FBE"/>
    <w:rsid w:val="00332769"/>
    <w:rsid w:val="00332A9D"/>
    <w:rsid w:val="00333786"/>
    <w:rsid w:val="00333B5D"/>
    <w:rsid w:val="00334D06"/>
    <w:rsid w:val="00336729"/>
    <w:rsid w:val="003370E7"/>
    <w:rsid w:val="0034177C"/>
    <w:rsid w:val="0034322C"/>
    <w:rsid w:val="003432C8"/>
    <w:rsid w:val="0034532C"/>
    <w:rsid w:val="0034680A"/>
    <w:rsid w:val="00352AB9"/>
    <w:rsid w:val="00352F08"/>
    <w:rsid w:val="00353678"/>
    <w:rsid w:val="00353DD5"/>
    <w:rsid w:val="00355189"/>
    <w:rsid w:val="00361021"/>
    <w:rsid w:val="00363B8C"/>
    <w:rsid w:val="003640A6"/>
    <w:rsid w:val="00370FE5"/>
    <w:rsid w:val="003713CB"/>
    <w:rsid w:val="00371889"/>
    <w:rsid w:val="003754D3"/>
    <w:rsid w:val="00376ADC"/>
    <w:rsid w:val="003775C1"/>
    <w:rsid w:val="00377637"/>
    <w:rsid w:val="003779D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1A44"/>
    <w:rsid w:val="003B2B10"/>
    <w:rsid w:val="003B3E7C"/>
    <w:rsid w:val="003B4C4C"/>
    <w:rsid w:val="003B6C79"/>
    <w:rsid w:val="003C0741"/>
    <w:rsid w:val="003C1AF4"/>
    <w:rsid w:val="003C27D7"/>
    <w:rsid w:val="003C2CDC"/>
    <w:rsid w:val="003C592E"/>
    <w:rsid w:val="003D3778"/>
    <w:rsid w:val="003D6B7C"/>
    <w:rsid w:val="003D739D"/>
    <w:rsid w:val="003E1641"/>
    <w:rsid w:val="003E2719"/>
    <w:rsid w:val="003E2DDF"/>
    <w:rsid w:val="003E3D71"/>
    <w:rsid w:val="003E5AD6"/>
    <w:rsid w:val="003F091A"/>
    <w:rsid w:val="003F14DE"/>
    <w:rsid w:val="003F1DE4"/>
    <w:rsid w:val="003F78F9"/>
    <w:rsid w:val="003F79C4"/>
    <w:rsid w:val="00400E2E"/>
    <w:rsid w:val="004054D5"/>
    <w:rsid w:val="00405E73"/>
    <w:rsid w:val="004068B0"/>
    <w:rsid w:val="00407E41"/>
    <w:rsid w:val="00413FFA"/>
    <w:rsid w:val="004178A0"/>
    <w:rsid w:val="00423F9F"/>
    <w:rsid w:val="0042489A"/>
    <w:rsid w:val="00432212"/>
    <w:rsid w:val="00432813"/>
    <w:rsid w:val="00434787"/>
    <w:rsid w:val="00435489"/>
    <w:rsid w:val="0043561A"/>
    <w:rsid w:val="0044042D"/>
    <w:rsid w:val="004422D6"/>
    <w:rsid w:val="00442F3F"/>
    <w:rsid w:val="004460FF"/>
    <w:rsid w:val="00447D96"/>
    <w:rsid w:val="00450561"/>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0F8A"/>
    <w:rsid w:val="00474C5E"/>
    <w:rsid w:val="00474E02"/>
    <w:rsid w:val="004808DE"/>
    <w:rsid w:val="0048199A"/>
    <w:rsid w:val="004841D6"/>
    <w:rsid w:val="004861B4"/>
    <w:rsid w:val="00486600"/>
    <w:rsid w:val="0049241A"/>
    <w:rsid w:val="00492B4A"/>
    <w:rsid w:val="00494A1C"/>
    <w:rsid w:val="00495786"/>
    <w:rsid w:val="004A08D1"/>
    <w:rsid w:val="004A2677"/>
    <w:rsid w:val="004A34D2"/>
    <w:rsid w:val="004A357A"/>
    <w:rsid w:val="004B0CD0"/>
    <w:rsid w:val="004B2369"/>
    <w:rsid w:val="004B602F"/>
    <w:rsid w:val="004B6E73"/>
    <w:rsid w:val="004C19EE"/>
    <w:rsid w:val="004C22F7"/>
    <w:rsid w:val="004C247D"/>
    <w:rsid w:val="004D245F"/>
    <w:rsid w:val="004D6818"/>
    <w:rsid w:val="004E61D5"/>
    <w:rsid w:val="004E64BA"/>
    <w:rsid w:val="004E6AE5"/>
    <w:rsid w:val="004E7272"/>
    <w:rsid w:val="004F349C"/>
    <w:rsid w:val="005027C9"/>
    <w:rsid w:val="00505308"/>
    <w:rsid w:val="005053B0"/>
    <w:rsid w:val="0051074C"/>
    <w:rsid w:val="00511F8C"/>
    <w:rsid w:val="00512961"/>
    <w:rsid w:val="00512C4F"/>
    <w:rsid w:val="00513AF2"/>
    <w:rsid w:val="00514622"/>
    <w:rsid w:val="00515801"/>
    <w:rsid w:val="00522C81"/>
    <w:rsid w:val="005231CF"/>
    <w:rsid w:val="00523559"/>
    <w:rsid w:val="005245A5"/>
    <w:rsid w:val="00525706"/>
    <w:rsid w:val="005262CF"/>
    <w:rsid w:val="00530F05"/>
    <w:rsid w:val="00530FEA"/>
    <w:rsid w:val="005312DB"/>
    <w:rsid w:val="00532762"/>
    <w:rsid w:val="00534245"/>
    <w:rsid w:val="0054311A"/>
    <w:rsid w:val="0054413A"/>
    <w:rsid w:val="005449E9"/>
    <w:rsid w:val="0054771C"/>
    <w:rsid w:val="0055143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0925"/>
    <w:rsid w:val="00591395"/>
    <w:rsid w:val="005930CC"/>
    <w:rsid w:val="00594FFF"/>
    <w:rsid w:val="005A00D7"/>
    <w:rsid w:val="005A145F"/>
    <w:rsid w:val="005A1976"/>
    <w:rsid w:val="005A35EF"/>
    <w:rsid w:val="005A3F3E"/>
    <w:rsid w:val="005A579F"/>
    <w:rsid w:val="005A58CE"/>
    <w:rsid w:val="005A5A3D"/>
    <w:rsid w:val="005A5AD7"/>
    <w:rsid w:val="005B085C"/>
    <w:rsid w:val="005B2B61"/>
    <w:rsid w:val="005B3CF3"/>
    <w:rsid w:val="005B4004"/>
    <w:rsid w:val="005C0652"/>
    <w:rsid w:val="005C117E"/>
    <w:rsid w:val="005C3047"/>
    <w:rsid w:val="005C5C52"/>
    <w:rsid w:val="005C7F06"/>
    <w:rsid w:val="005D2C3E"/>
    <w:rsid w:val="005D51FA"/>
    <w:rsid w:val="005D791B"/>
    <w:rsid w:val="005E1574"/>
    <w:rsid w:val="005E164A"/>
    <w:rsid w:val="005E49C0"/>
    <w:rsid w:val="005E5A60"/>
    <w:rsid w:val="005E66BE"/>
    <w:rsid w:val="005F2C11"/>
    <w:rsid w:val="005F3969"/>
    <w:rsid w:val="005F4076"/>
    <w:rsid w:val="005F46FD"/>
    <w:rsid w:val="005F5153"/>
    <w:rsid w:val="005F5F8F"/>
    <w:rsid w:val="005F688C"/>
    <w:rsid w:val="006003F5"/>
    <w:rsid w:val="0060057C"/>
    <w:rsid w:val="006030A3"/>
    <w:rsid w:val="0060361A"/>
    <w:rsid w:val="00603676"/>
    <w:rsid w:val="006043FE"/>
    <w:rsid w:val="00604CF2"/>
    <w:rsid w:val="006065A2"/>
    <w:rsid w:val="00610326"/>
    <w:rsid w:val="00614817"/>
    <w:rsid w:val="00615D36"/>
    <w:rsid w:val="006167DA"/>
    <w:rsid w:val="00617FC1"/>
    <w:rsid w:val="00620B93"/>
    <w:rsid w:val="00620DB3"/>
    <w:rsid w:val="00621056"/>
    <w:rsid w:val="00622313"/>
    <w:rsid w:val="00623AC2"/>
    <w:rsid w:val="0062633A"/>
    <w:rsid w:val="00633DBF"/>
    <w:rsid w:val="00637766"/>
    <w:rsid w:val="00640C1D"/>
    <w:rsid w:val="00650E3A"/>
    <w:rsid w:val="00651506"/>
    <w:rsid w:val="006516B8"/>
    <w:rsid w:val="00653896"/>
    <w:rsid w:val="00655371"/>
    <w:rsid w:val="006559D1"/>
    <w:rsid w:val="00660124"/>
    <w:rsid w:val="00662BB0"/>
    <w:rsid w:val="0066493E"/>
    <w:rsid w:val="006673AF"/>
    <w:rsid w:val="00670B20"/>
    <w:rsid w:val="006731B0"/>
    <w:rsid w:val="0067359B"/>
    <w:rsid w:val="006738BC"/>
    <w:rsid w:val="00675E14"/>
    <w:rsid w:val="00676127"/>
    <w:rsid w:val="00676428"/>
    <w:rsid w:val="00681DB8"/>
    <w:rsid w:val="00683DD7"/>
    <w:rsid w:val="00684444"/>
    <w:rsid w:val="006857AD"/>
    <w:rsid w:val="00687248"/>
    <w:rsid w:val="006908DB"/>
    <w:rsid w:val="00691104"/>
    <w:rsid w:val="00692C8D"/>
    <w:rsid w:val="00694A15"/>
    <w:rsid w:val="00695F93"/>
    <w:rsid w:val="0069634F"/>
    <w:rsid w:val="00697665"/>
    <w:rsid w:val="00697CA8"/>
    <w:rsid w:val="006A1224"/>
    <w:rsid w:val="006A2AD8"/>
    <w:rsid w:val="006A3AED"/>
    <w:rsid w:val="006A3B6B"/>
    <w:rsid w:val="006A6D10"/>
    <w:rsid w:val="006A7CB5"/>
    <w:rsid w:val="006A7FD0"/>
    <w:rsid w:val="006B003B"/>
    <w:rsid w:val="006B08CA"/>
    <w:rsid w:val="006B1B56"/>
    <w:rsid w:val="006B22D4"/>
    <w:rsid w:val="006B46C8"/>
    <w:rsid w:val="006B6746"/>
    <w:rsid w:val="006C003B"/>
    <w:rsid w:val="006C0A3F"/>
    <w:rsid w:val="006C405D"/>
    <w:rsid w:val="006C4782"/>
    <w:rsid w:val="006D0156"/>
    <w:rsid w:val="006D7687"/>
    <w:rsid w:val="006E0572"/>
    <w:rsid w:val="006E552C"/>
    <w:rsid w:val="006F021B"/>
    <w:rsid w:val="006F1275"/>
    <w:rsid w:val="006F1872"/>
    <w:rsid w:val="006F1AC2"/>
    <w:rsid w:val="006F1DFE"/>
    <w:rsid w:val="006F2AF3"/>
    <w:rsid w:val="006F4090"/>
    <w:rsid w:val="00700883"/>
    <w:rsid w:val="0070088C"/>
    <w:rsid w:val="00701CE7"/>
    <w:rsid w:val="00705631"/>
    <w:rsid w:val="007057EC"/>
    <w:rsid w:val="0070660C"/>
    <w:rsid w:val="00715C29"/>
    <w:rsid w:val="00715EAA"/>
    <w:rsid w:val="00717496"/>
    <w:rsid w:val="00722CE7"/>
    <w:rsid w:val="00723116"/>
    <w:rsid w:val="00723D9F"/>
    <w:rsid w:val="0072427F"/>
    <w:rsid w:val="00725AFD"/>
    <w:rsid w:val="00726E6A"/>
    <w:rsid w:val="007279B4"/>
    <w:rsid w:val="00727B1B"/>
    <w:rsid w:val="00727F71"/>
    <w:rsid w:val="00733B90"/>
    <w:rsid w:val="0073425D"/>
    <w:rsid w:val="00736278"/>
    <w:rsid w:val="00740243"/>
    <w:rsid w:val="00742DD2"/>
    <w:rsid w:val="00743BC8"/>
    <w:rsid w:val="007441A2"/>
    <w:rsid w:val="007444F8"/>
    <w:rsid w:val="00745035"/>
    <w:rsid w:val="00746A83"/>
    <w:rsid w:val="00746E08"/>
    <w:rsid w:val="00747259"/>
    <w:rsid w:val="00747C96"/>
    <w:rsid w:val="0075094E"/>
    <w:rsid w:val="007522E8"/>
    <w:rsid w:val="00755064"/>
    <w:rsid w:val="00755140"/>
    <w:rsid w:val="0075647A"/>
    <w:rsid w:val="00761989"/>
    <w:rsid w:val="00762D53"/>
    <w:rsid w:val="007634AD"/>
    <w:rsid w:val="00763E45"/>
    <w:rsid w:val="007641A4"/>
    <w:rsid w:val="00767C6F"/>
    <w:rsid w:val="00773272"/>
    <w:rsid w:val="00773BC8"/>
    <w:rsid w:val="007750D6"/>
    <w:rsid w:val="007769DC"/>
    <w:rsid w:val="00776D19"/>
    <w:rsid w:val="00776DF7"/>
    <w:rsid w:val="00780199"/>
    <w:rsid w:val="00780F32"/>
    <w:rsid w:val="0078122E"/>
    <w:rsid w:val="00781CF5"/>
    <w:rsid w:val="00785E45"/>
    <w:rsid w:val="0078715B"/>
    <w:rsid w:val="007873A0"/>
    <w:rsid w:val="00790037"/>
    <w:rsid w:val="007909AE"/>
    <w:rsid w:val="0079299F"/>
    <w:rsid w:val="0079381F"/>
    <w:rsid w:val="00794E85"/>
    <w:rsid w:val="00795647"/>
    <w:rsid w:val="007A2E30"/>
    <w:rsid w:val="007A2F81"/>
    <w:rsid w:val="007A5354"/>
    <w:rsid w:val="007B0854"/>
    <w:rsid w:val="007B4DE6"/>
    <w:rsid w:val="007B6EC8"/>
    <w:rsid w:val="007C1BE1"/>
    <w:rsid w:val="007C29FB"/>
    <w:rsid w:val="007C2EB2"/>
    <w:rsid w:val="007D02E1"/>
    <w:rsid w:val="007D0A15"/>
    <w:rsid w:val="007D1F0A"/>
    <w:rsid w:val="007D66E2"/>
    <w:rsid w:val="007E2D4D"/>
    <w:rsid w:val="007E4AA9"/>
    <w:rsid w:val="007E4E80"/>
    <w:rsid w:val="007F067B"/>
    <w:rsid w:val="007F22A0"/>
    <w:rsid w:val="007F4CF6"/>
    <w:rsid w:val="007F6023"/>
    <w:rsid w:val="007F6B46"/>
    <w:rsid w:val="007F72CB"/>
    <w:rsid w:val="007F785F"/>
    <w:rsid w:val="0080431C"/>
    <w:rsid w:val="00811C61"/>
    <w:rsid w:val="00814737"/>
    <w:rsid w:val="0081678E"/>
    <w:rsid w:val="0081766B"/>
    <w:rsid w:val="008217B7"/>
    <w:rsid w:val="00824088"/>
    <w:rsid w:val="00826122"/>
    <w:rsid w:val="008277D3"/>
    <w:rsid w:val="0083119B"/>
    <w:rsid w:val="00831220"/>
    <w:rsid w:val="00832937"/>
    <w:rsid w:val="00836EAB"/>
    <w:rsid w:val="0083724E"/>
    <w:rsid w:val="008416DF"/>
    <w:rsid w:val="00844AFA"/>
    <w:rsid w:val="00847ADD"/>
    <w:rsid w:val="0085092D"/>
    <w:rsid w:val="00850F79"/>
    <w:rsid w:val="00851DFA"/>
    <w:rsid w:val="0085228E"/>
    <w:rsid w:val="00857630"/>
    <w:rsid w:val="00860716"/>
    <w:rsid w:val="00860E96"/>
    <w:rsid w:val="0086183C"/>
    <w:rsid w:val="008618BB"/>
    <w:rsid w:val="00861FAA"/>
    <w:rsid w:val="00863624"/>
    <w:rsid w:val="00863ED2"/>
    <w:rsid w:val="0086755D"/>
    <w:rsid w:val="0087039D"/>
    <w:rsid w:val="008720B5"/>
    <w:rsid w:val="0087534A"/>
    <w:rsid w:val="00881451"/>
    <w:rsid w:val="00884990"/>
    <w:rsid w:val="00885A16"/>
    <w:rsid w:val="00886323"/>
    <w:rsid w:val="00890E5B"/>
    <w:rsid w:val="008923B1"/>
    <w:rsid w:val="00896973"/>
    <w:rsid w:val="0089774F"/>
    <w:rsid w:val="008978EB"/>
    <w:rsid w:val="008A1491"/>
    <w:rsid w:val="008A5007"/>
    <w:rsid w:val="008A70AB"/>
    <w:rsid w:val="008A796E"/>
    <w:rsid w:val="008B10A0"/>
    <w:rsid w:val="008B2E60"/>
    <w:rsid w:val="008C11F0"/>
    <w:rsid w:val="008C45BD"/>
    <w:rsid w:val="008C57A8"/>
    <w:rsid w:val="008D185E"/>
    <w:rsid w:val="008D57F7"/>
    <w:rsid w:val="008D69B1"/>
    <w:rsid w:val="008D747C"/>
    <w:rsid w:val="008E1503"/>
    <w:rsid w:val="008E1C15"/>
    <w:rsid w:val="008E1CFF"/>
    <w:rsid w:val="008E7D6E"/>
    <w:rsid w:val="008F2004"/>
    <w:rsid w:val="008F47E2"/>
    <w:rsid w:val="008F4B5E"/>
    <w:rsid w:val="008F538E"/>
    <w:rsid w:val="00902E5C"/>
    <w:rsid w:val="009047C5"/>
    <w:rsid w:val="00907183"/>
    <w:rsid w:val="009106F5"/>
    <w:rsid w:val="009144E3"/>
    <w:rsid w:val="0092165E"/>
    <w:rsid w:val="009233DF"/>
    <w:rsid w:val="00926E92"/>
    <w:rsid w:val="0092758D"/>
    <w:rsid w:val="00927B68"/>
    <w:rsid w:val="009312E5"/>
    <w:rsid w:val="009320EF"/>
    <w:rsid w:val="00932C29"/>
    <w:rsid w:val="00933333"/>
    <w:rsid w:val="0093417D"/>
    <w:rsid w:val="00937401"/>
    <w:rsid w:val="00942296"/>
    <w:rsid w:val="009422A0"/>
    <w:rsid w:val="00943CD7"/>
    <w:rsid w:val="00950703"/>
    <w:rsid w:val="00950C81"/>
    <w:rsid w:val="009528B3"/>
    <w:rsid w:val="0095385A"/>
    <w:rsid w:val="0095402D"/>
    <w:rsid w:val="00954DA3"/>
    <w:rsid w:val="00956491"/>
    <w:rsid w:val="0095780A"/>
    <w:rsid w:val="00966C46"/>
    <w:rsid w:val="00971412"/>
    <w:rsid w:val="009715D4"/>
    <w:rsid w:val="00972DE7"/>
    <w:rsid w:val="00973D7A"/>
    <w:rsid w:val="00974C92"/>
    <w:rsid w:val="0097516F"/>
    <w:rsid w:val="00977951"/>
    <w:rsid w:val="0098229D"/>
    <w:rsid w:val="009831DD"/>
    <w:rsid w:val="0098427D"/>
    <w:rsid w:val="009865D5"/>
    <w:rsid w:val="009868CC"/>
    <w:rsid w:val="00991BE0"/>
    <w:rsid w:val="00992809"/>
    <w:rsid w:val="009934C5"/>
    <w:rsid w:val="00994779"/>
    <w:rsid w:val="009953AD"/>
    <w:rsid w:val="0099557A"/>
    <w:rsid w:val="009A6C94"/>
    <w:rsid w:val="009A7808"/>
    <w:rsid w:val="009B0019"/>
    <w:rsid w:val="009B026A"/>
    <w:rsid w:val="009B4889"/>
    <w:rsid w:val="009B56EC"/>
    <w:rsid w:val="009B5EF6"/>
    <w:rsid w:val="009B7B3C"/>
    <w:rsid w:val="009C118E"/>
    <w:rsid w:val="009C1812"/>
    <w:rsid w:val="009C5686"/>
    <w:rsid w:val="009C7EC7"/>
    <w:rsid w:val="009D424B"/>
    <w:rsid w:val="009D429E"/>
    <w:rsid w:val="009D45A0"/>
    <w:rsid w:val="009D689A"/>
    <w:rsid w:val="009D701E"/>
    <w:rsid w:val="009E02D8"/>
    <w:rsid w:val="009E0326"/>
    <w:rsid w:val="009E0AA0"/>
    <w:rsid w:val="009E2F55"/>
    <w:rsid w:val="009E3DB3"/>
    <w:rsid w:val="009E535E"/>
    <w:rsid w:val="009E61EA"/>
    <w:rsid w:val="009E6BCF"/>
    <w:rsid w:val="009E74F4"/>
    <w:rsid w:val="009E751B"/>
    <w:rsid w:val="009F59C2"/>
    <w:rsid w:val="009F7299"/>
    <w:rsid w:val="00A01259"/>
    <w:rsid w:val="00A0188B"/>
    <w:rsid w:val="00A02186"/>
    <w:rsid w:val="00A021E2"/>
    <w:rsid w:val="00A031B3"/>
    <w:rsid w:val="00A041BC"/>
    <w:rsid w:val="00A06E51"/>
    <w:rsid w:val="00A105D6"/>
    <w:rsid w:val="00A10ADE"/>
    <w:rsid w:val="00A11B7A"/>
    <w:rsid w:val="00A127D2"/>
    <w:rsid w:val="00A13AAC"/>
    <w:rsid w:val="00A13B39"/>
    <w:rsid w:val="00A1403F"/>
    <w:rsid w:val="00A14E59"/>
    <w:rsid w:val="00A1634B"/>
    <w:rsid w:val="00A17358"/>
    <w:rsid w:val="00A20264"/>
    <w:rsid w:val="00A2270E"/>
    <w:rsid w:val="00A237C8"/>
    <w:rsid w:val="00A24287"/>
    <w:rsid w:val="00A24560"/>
    <w:rsid w:val="00A253C3"/>
    <w:rsid w:val="00A3075B"/>
    <w:rsid w:val="00A337FB"/>
    <w:rsid w:val="00A34538"/>
    <w:rsid w:val="00A37FB6"/>
    <w:rsid w:val="00A42844"/>
    <w:rsid w:val="00A42D0E"/>
    <w:rsid w:val="00A431FE"/>
    <w:rsid w:val="00A45FAA"/>
    <w:rsid w:val="00A501CA"/>
    <w:rsid w:val="00A53E79"/>
    <w:rsid w:val="00A5493A"/>
    <w:rsid w:val="00A5792B"/>
    <w:rsid w:val="00A626AA"/>
    <w:rsid w:val="00A62C77"/>
    <w:rsid w:val="00A64271"/>
    <w:rsid w:val="00A645B5"/>
    <w:rsid w:val="00A668BA"/>
    <w:rsid w:val="00A66CBD"/>
    <w:rsid w:val="00A715F6"/>
    <w:rsid w:val="00A74CB4"/>
    <w:rsid w:val="00A74D33"/>
    <w:rsid w:val="00A77C52"/>
    <w:rsid w:val="00A8043B"/>
    <w:rsid w:val="00A82AF0"/>
    <w:rsid w:val="00A839EF"/>
    <w:rsid w:val="00A852EB"/>
    <w:rsid w:val="00A854AC"/>
    <w:rsid w:val="00A87690"/>
    <w:rsid w:val="00A909AF"/>
    <w:rsid w:val="00A91512"/>
    <w:rsid w:val="00A9477A"/>
    <w:rsid w:val="00A95153"/>
    <w:rsid w:val="00A965EA"/>
    <w:rsid w:val="00AA08E7"/>
    <w:rsid w:val="00AA16A5"/>
    <w:rsid w:val="00AA442B"/>
    <w:rsid w:val="00AA669D"/>
    <w:rsid w:val="00AA68E2"/>
    <w:rsid w:val="00AA73E0"/>
    <w:rsid w:val="00AA7416"/>
    <w:rsid w:val="00AA7812"/>
    <w:rsid w:val="00AB2BA0"/>
    <w:rsid w:val="00AB42F5"/>
    <w:rsid w:val="00AB610D"/>
    <w:rsid w:val="00AB6E2C"/>
    <w:rsid w:val="00AC0D43"/>
    <w:rsid w:val="00AC1E34"/>
    <w:rsid w:val="00AC24AF"/>
    <w:rsid w:val="00AC49DA"/>
    <w:rsid w:val="00AC75AB"/>
    <w:rsid w:val="00AC7739"/>
    <w:rsid w:val="00AD05F8"/>
    <w:rsid w:val="00AD3E4D"/>
    <w:rsid w:val="00AD6318"/>
    <w:rsid w:val="00AE24CB"/>
    <w:rsid w:val="00AE40EC"/>
    <w:rsid w:val="00AE47F4"/>
    <w:rsid w:val="00AE491A"/>
    <w:rsid w:val="00AE68C2"/>
    <w:rsid w:val="00AF26CF"/>
    <w:rsid w:val="00AF3F88"/>
    <w:rsid w:val="00AF45AA"/>
    <w:rsid w:val="00AF6634"/>
    <w:rsid w:val="00B01474"/>
    <w:rsid w:val="00B02849"/>
    <w:rsid w:val="00B02C9A"/>
    <w:rsid w:val="00B04BA9"/>
    <w:rsid w:val="00B05A55"/>
    <w:rsid w:val="00B06595"/>
    <w:rsid w:val="00B06D20"/>
    <w:rsid w:val="00B13EC0"/>
    <w:rsid w:val="00B142B9"/>
    <w:rsid w:val="00B1449F"/>
    <w:rsid w:val="00B15019"/>
    <w:rsid w:val="00B214ED"/>
    <w:rsid w:val="00B21F36"/>
    <w:rsid w:val="00B22E22"/>
    <w:rsid w:val="00B251C2"/>
    <w:rsid w:val="00B25257"/>
    <w:rsid w:val="00B304F8"/>
    <w:rsid w:val="00B30910"/>
    <w:rsid w:val="00B30D48"/>
    <w:rsid w:val="00B324EA"/>
    <w:rsid w:val="00B3296D"/>
    <w:rsid w:val="00B33879"/>
    <w:rsid w:val="00B34F79"/>
    <w:rsid w:val="00B35322"/>
    <w:rsid w:val="00B3622A"/>
    <w:rsid w:val="00B40595"/>
    <w:rsid w:val="00B42225"/>
    <w:rsid w:val="00B4347D"/>
    <w:rsid w:val="00B43F68"/>
    <w:rsid w:val="00B45DF9"/>
    <w:rsid w:val="00B46978"/>
    <w:rsid w:val="00B525CB"/>
    <w:rsid w:val="00B530AE"/>
    <w:rsid w:val="00B57782"/>
    <w:rsid w:val="00B60230"/>
    <w:rsid w:val="00B63872"/>
    <w:rsid w:val="00B63CB2"/>
    <w:rsid w:val="00B63E7F"/>
    <w:rsid w:val="00B64EDB"/>
    <w:rsid w:val="00B656B3"/>
    <w:rsid w:val="00B70328"/>
    <w:rsid w:val="00B709C8"/>
    <w:rsid w:val="00B7252A"/>
    <w:rsid w:val="00B7315F"/>
    <w:rsid w:val="00B74C52"/>
    <w:rsid w:val="00B7534F"/>
    <w:rsid w:val="00B827DD"/>
    <w:rsid w:val="00B83A58"/>
    <w:rsid w:val="00B84E23"/>
    <w:rsid w:val="00B86656"/>
    <w:rsid w:val="00B90817"/>
    <w:rsid w:val="00B91B8E"/>
    <w:rsid w:val="00B9230A"/>
    <w:rsid w:val="00B94AEB"/>
    <w:rsid w:val="00B97305"/>
    <w:rsid w:val="00BA1382"/>
    <w:rsid w:val="00BA22FC"/>
    <w:rsid w:val="00BA2F25"/>
    <w:rsid w:val="00BA37F9"/>
    <w:rsid w:val="00BA4771"/>
    <w:rsid w:val="00BB5518"/>
    <w:rsid w:val="00BB6E5C"/>
    <w:rsid w:val="00BC007C"/>
    <w:rsid w:val="00BC1ABB"/>
    <w:rsid w:val="00BC57E0"/>
    <w:rsid w:val="00BC6501"/>
    <w:rsid w:val="00BD15F7"/>
    <w:rsid w:val="00BD1CEE"/>
    <w:rsid w:val="00BD2B3F"/>
    <w:rsid w:val="00BD447D"/>
    <w:rsid w:val="00BD4EDE"/>
    <w:rsid w:val="00BD664D"/>
    <w:rsid w:val="00BD78FE"/>
    <w:rsid w:val="00BE241B"/>
    <w:rsid w:val="00BE2DB4"/>
    <w:rsid w:val="00BE3565"/>
    <w:rsid w:val="00BE4B35"/>
    <w:rsid w:val="00BE542C"/>
    <w:rsid w:val="00BF1C81"/>
    <w:rsid w:val="00BF23A3"/>
    <w:rsid w:val="00BF5980"/>
    <w:rsid w:val="00BF60B3"/>
    <w:rsid w:val="00BF7712"/>
    <w:rsid w:val="00BF7C52"/>
    <w:rsid w:val="00C15420"/>
    <w:rsid w:val="00C15A13"/>
    <w:rsid w:val="00C165FC"/>
    <w:rsid w:val="00C17C14"/>
    <w:rsid w:val="00C2118A"/>
    <w:rsid w:val="00C229DD"/>
    <w:rsid w:val="00C258BA"/>
    <w:rsid w:val="00C273CC"/>
    <w:rsid w:val="00C27707"/>
    <w:rsid w:val="00C30123"/>
    <w:rsid w:val="00C30FA5"/>
    <w:rsid w:val="00C32017"/>
    <w:rsid w:val="00C3264A"/>
    <w:rsid w:val="00C327E9"/>
    <w:rsid w:val="00C35B89"/>
    <w:rsid w:val="00C419E3"/>
    <w:rsid w:val="00C41E6A"/>
    <w:rsid w:val="00C45E00"/>
    <w:rsid w:val="00C46EA9"/>
    <w:rsid w:val="00C47B95"/>
    <w:rsid w:val="00C50CA8"/>
    <w:rsid w:val="00C5134F"/>
    <w:rsid w:val="00C53AC7"/>
    <w:rsid w:val="00C57033"/>
    <w:rsid w:val="00C610FB"/>
    <w:rsid w:val="00C62ECC"/>
    <w:rsid w:val="00C630F3"/>
    <w:rsid w:val="00C63E99"/>
    <w:rsid w:val="00C6581D"/>
    <w:rsid w:val="00C67F5A"/>
    <w:rsid w:val="00C70DD7"/>
    <w:rsid w:val="00C732A4"/>
    <w:rsid w:val="00C768FD"/>
    <w:rsid w:val="00C76E32"/>
    <w:rsid w:val="00C811FF"/>
    <w:rsid w:val="00C86516"/>
    <w:rsid w:val="00C90182"/>
    <w:rsid w:val="00C90AC4"/>
    <w:rsid w:val="00C913E3"/>
    <w:rsid w:val="00C91B89"/>
    <w:rsid w:val="00C91F75"/>
    <w:rsid w:val="00C934F1"/>
    <w:rsid w:val="00C93AB7"/>
    <w:rsid w:val="00C93D8C"/>
    <w:rsid w:val="00C95E62"/>
    <w:rsid w:val="00C97D94"/>
    <w:rsid w:val="00CA0EEF"/>
    <w:rsid w:val="00CA383B"/>
    <w:rsid w:val="00CA3A1C"/>
    <w:rsid w:val="00CA4684"/>
    <w:rsid w:val="00CA48A4"/>
    <w:rsid w:val="00CB345C"/>
    <w:rsid w:val="00CB43A0"/>
    <w:rsid w:val="00CB5F4F"/>
    <w:rsid w:val="00CB7A3E"/>
    <w:rsid w:val="00CC00CD"/>
    <w:rsid w:val="00CC042E"/>
    <w:rsid w:val="00CC11F9"/>
    <w:rsid w:val="00CC315F"/>
    <w:rsid w:val="00CC400B"/>
    <w:rsid w:val="00CD1721"/>
    <w:rsid w:val="00CD1AC7"/>
    <w:rsid w:val="00CE0566"/>
    <w:rsid w:val="00CE2969"/>
    <w:rsid w:val="00CE4D2A"/>
    <w:rsid w:val="00CF550D"/>
    <w:rsid w:val="00CF7EA6"/>
    <w:rsid w:val="00D01760"/>
    <w:rsid w:val="00D03E33"/>
    <w:rsid w:val="00D0412A"/>
    <w:rsid w:val="00D046A1"/>
    <w:rsid w:val="00D056A5"/>
    <w:rsid w:val="00D063D5"/>
    <w:rsid w:val="00D106D4"/>
    <w:rsid w:val="00D10E7C"/>
    <w:rsid w:val="00D1123F"/>
    <w:rsid w:val="00D13FEB"/>
    <w:rsid w:val="00D150F4"/>
    <w:rsid w:val="00D16E39"/>
    <w:rsid w:val="00D1776F"/>
    <w:rsid w:val="00D17E38"/>
    <w:rsid w:val="00D21BB5"/>
    <w:rsid w:val="00D223B6"/>
    <w:rsid w:val="00D24489"/>
    <w:rsid w:val="00D25B41"/>
    <w:rsid w:val="00D31BE6"/>
    <w:rsid w:val="00D31C6A"/>
    <w:rsid w:val="00D32256"/>
    <w:rsid w:val="00D32352"/>
    <w:rsid w:val="00D330B8"/>
    <w:rsid w:val="00D3357B"/>
    <w:rsid w:val="00D3532E"/>
    <w:rsid w:val="00D36A58"/>
    <w:rsid w:val="00D41E3A"/>
    <w:rsid w:val="00D44435"/>
    <w:rsid w:val="00D4462F"/>
    <w:rsid w:val="00D50F51"/>
    <w:rsid w:val="00D547F0"/>
    <w:rsid w:val="00D557A4"/>
    <w:rsid w:val="00D57940"/>
    <w:rsid w:val="00D60327"/>
    <w:rsid w:val="00D60AD9"/>
    <w:rsid w:val="00D61290"/>
    <w:rsid w:val="00D63EFC"/>
    <w:rsid w:val="00D64439"/>
    <w:rsid w:val="00D64E0B"/>
    <w:rsid w:val="00D658E7"/>
    <w:rsid w:val="00D724AA"/>
    <w:rsid w:val="00D72E9D"/>
    <w:rsid w:val="00D74158"/>
    <w:rsid w:val="00D75471"/>
    <w:rsid w:val="00D75E99"/>
    <w:rsid w:val="00D77B8C"/>
    <w:rsid w:val="00D80493"/>
    <w:rsid w:val="00D82CE5"/>
    <w:rsid w:val="00D8342C"/>
    <w:rsid w:val="00D84608"/>
    <w:rsid w:val="00D853BF"/>
    <w:rsid w:val="00D87E0A"/>
    <w:rsid w:val="00D93726"/>
    <w:rsid w:val="00D96760"/>
    <w:rsid w:val="00D96A8E"/>
    <w:rsid w:val="00D96CAD"/>
    <w:rsid w:val="00D96F24"/>
    <w:rsid w:val="00D974C8"/>
    <w:rsid w:val="00DA287E"/>
    <w:rsid w:val="00DA2D2F"/>
    <w:rsid w:val="00DA5510"/>
    <w:rsid w:val="00DA5AB1"/>
    <w:rsid w:val="00DA5B80"/>
    <w:rsid w:val="00DA5DA6"/>
    <w:rsid w:val="00DA71AD"/>
    <w:rsid w:val="00DB1AFF"/>
    <w:rsid w:val="00DB7276"/>
    <w:rsid w:val="00DC13F2"/>
    <w:rsid w:val="00DC1944"/>
    <w:rsid w:val="00DC430C"/>
    <w:rsid w:val="00DC518A"/>
    <w:rsid w:val="00DC62E5"/>
    <w:rsid w:val="00DC7BD2"/>
    <w:rsid w:val="00DD5EC6"/>
    <w:rsid w:val="00DD7115"/>
    <w:rsid w:val="00DD735D"/>
    <w:rsid w:val="00DE02B7"/>
    <w:rsid w:val="00DE1E8F"/>
    <w:rsid w:val="00DE2630"/>
    <w:rsid w:val="00DE2737"/>
    <w:rsid w:val="00DE3119"/>
    <w:rsid w:val="00DE51C9"/>
    <w:rsid w:val="00DE52D6"/>
    <w:rsid w:val="00DE6601"/>
    <w:rsid w:val="00DE76E6"/>
    <w:rsid w:val="00DF236B"/>
    <w:rsid w:val="00DF2F4F"/>
    <w:rsid w:val="00DF4451"/>
    <w:rsid w:val="00DF453C"/>
    <w:rsid w:val="00DF67C8"/>
    <w:rsid w:val="00DF6A8C"/>
    <w:rsid w:val="00DF75F0"/>
    <w:rsid w:val="00E0142A"/>
    <w:rsid w:val="00E109DD"/>
    <w:rsid w:val="00E1124C"/>
    <w:rsid w:val="00E12707"/>
    <w:rsid w:val="00E13AB8"/>
    <w:rsid w:val="00E142FA"/>
    <w:rsid w:val="00E15A66"/>
    <w:rsid w:val="00E16A32"/>
    <w:rsid w:val="00E20C2F"/>
    <w:rsid w:val="00E25CB3"/>
    <w:rsid w:val="00E267B7"/>
    <w:rsid w:val="00E27359"/>
    <w:rsid w:val="00E30238"/>
    <w:rsid w:val="00E313AF"/>
    <w:rsid w:val="00E33B62"/>
    <w:rsid w:val="00E34AEB"/>
    <w:rsid w:val="00E356DF"/>
    <w:rsid w:val="00E36CEB"/>
    <w:rsid w:val="00E37F96"/>
    <w:rsid w:val="00E4143A"/>
    <w:rsid w:val="00E43B20"/>
    <w:rsid w:val="00E53189"/>
    <w:rsid w:val="00E54EA7"/>
    <w:rsid w:val="00E55752"/>
    <w:rsid w:val="00E558C8"/>
    <w:rsid w:val="00E56090"/>
    <w:rsid w:val="00E5641B"/>
    <w:rsid w:val="00E565B9"/>
    <w:rsid w:val="00E57660"/>
    <w:rsid w:val="00E6143E"/>
    <w:rsid w:val="00E63F11"/>
    <w:rsid w:val="00E65B00"/>
    <w:rsid w:val="00E66988"/>
    <w:rsid w:val="00E669B0"/>
    <w:rsid w:val="00E67574"/>
    <w:rsid w:val="00E67B5B"/>
    <w:rsid w:val="00E71BD5"/>
    <w:rsid w:val="00E766F8"/>
    <w:rsid w:val="00E76A4A"/>
    <w:rsid w:val="00E82D14"/>
    <w:rsid w:val="00E8395B"/>
    <w:rsid w:val="00E87DD5"/>
    <w:rsid w:val="00E90220"/>
    <w:rsid w:val="00E91454"/>
    <w:rsid w:val="00E95100"/>
    <w:rsid w:val="00E9556D"/>
    <w:rsid w:val="00E961A5"/>
    <w:rsid w:val="00EA1767"/>
    <w:rsid w:val="00EA2519"/>
    <w:rsid w:val="00EA3E75"/>
    <w:rsid w:val="00EA5464"/>
    <w:rsid w:val="00EB436C"/>
    <w:rsid w:val="00EC0E7E"/>
    <w:rsid w:val="00EC164A"/>
    <w:rsid w:val="00EC1910"/>
    <w:rsid w:val="00EC1CE7"/>
    <w:rsid w:val="00EC3C1E"/>
    <w:rsid w:val="00EC4F3E"/>
    <w:rsid w:val="00EC50ED"/>
    <w:rsid w:val="00ED0896"/>
    <w:rsid w:val="00ED0ED8"/>
    <w:rsid w:val="00ED4037"/>
    <w:rsid w:val="00ED587F"/>
    <w:rsid w:val="00EE0C5C"/>
    <w:rsid w:val="00EE2C7E"/>
    <w:rsid w:val="00EE55E7"/>
    <w:rsid w:val="00EE59B5"/>
    <w:rsid w:val="00EF005A"/>
    <w:rsid w:val="00EF022B"/>
    <w:rsid w:val="00EF17BF"/>
    <w:rsid w:val="00EF4D78"/>
    <w:rsid w:val="00F017F5"/>
    <w:rsid w:val="00F1106D"/>
    <w:rsid w:val="00F1108B"/>
    <w:rsid w:val="00F12666"/>
    <w:rsid w:val="00F20F92"/>
    <w:rsid w:val="00F21C5F"/>
    <w:rsid w:val="00F23BE9"/>
    <w:rsid w:val="00F257B4"/>
    <w:rsid w:val="00F25971"/>
    <w:rsid w:val="00F275F7"/>
    <w:rsid w:val="00F30727"/>
    <w:rsid w:val="00F31A68"/>
    <w:rsid w:val="00F35B82"/>
    <w:rsid w:val="00F36681"/>
    <w:rsid w:val="00F36B35"/>
    <w:rsid w:val="00F41E63"/>
    <w:rsid w:val="00F42E49"/>
    <w:rsid w:val="00F463A8"/>
    <w:rsid w:val="00F46FE1"/>
    <w:rsid w:val="00F47F2D"/>
    <w:rsid w:val="00F50E11"/>
    <w:rsid w:val="00F5223F"/>
    <w:rsid w:val="00F55BC8"/>
    <w:rsid w:val="00F55FDD"/>
    <w:rsid w:val="00F56584"/>
    <w:rsid w:val="00F566A7"/>
    <w:rsid w:val="00F574C1"/>
    <w:rsid w:val="00F57729"/>
    <w:rsid w:val="00F57B4F"/>
    <w:rsid w:val="00F57B72"/>
    <w:rsid w:val="00F57C75"/>
    <w:rsid w:val="00F57F91"/>
    <w:rsid w:val="00F6159E"/>
    <w:rsid w:val="00F715EE"/>
    <w:rsid w:val="00F7357E"/>
    <w:rsid w:val="00F7517F"/>
    <w:rsid w:val="00F76963"/>
    <w:rsid w:val="00F7741E"/>
    <w:rsid w:val="00F84255"/>
    <w:rsid w:val="00F84899"/>
    <w:rsid w:val="00F859F0"/>
    <w:rsid w:val="00F87E29"/>
    <w:rsid w:val="00F90B96"/>
    <w:rsid w:val="00F92839"/>
    <w:rsid w:val="00F941F3"/>
    <w:rsid w:val="00F9522F"/>
    <w:rsid w:val="00F979BB"/>
    <w:rsid w:val="00FA050F"/>
    <w:rsid w:val="00FA22FF"/>
    <w:rsid w:val="00FA2967"/>
    <w:rsid w:val="00FA3CCA"/>
    <w:rsid w:val="00FA4DCC"/>
    <w:rsid w:val="00FB236D"/>
    <w:rsid w:val="00FB27B7"/>
    <w:rsid w:val="00FB510B"/>
    <w:rsid w:val="00FB5572"/>
    <w:rsid w:val="00FB61EF"/>
    <w:rsid w:val="00FB656D"/>
    <w:rsid w:val="00FB6738"/>
    <w:rsid w:val="00FC113C"/>
    <w:rsid w:val="00FC1644"/>
    <w:rsid w:val="00FC18DC"/>
    <w:rsid w:val="00FC1D91"/>
    <w:rsid w:val="00FC32DA"/>
    <w:rsid w:val="00FC32E1"/>
    <w:rsid w:val="00FC7C7B"/>
    <w:rsid w:val="00FD10FB"/>
    <w:rsid w:val="00FD2A74"/>
    <w:rsid w:val="00FD7BAD"/>
    <w:rsid w:val="00FE0323"/>
    <w:rsid w:val="00FE06EB"/>
    <w:rsid w:val="00FE0DEC"/>
    <w:rsid w:val="00FE141E"/>
    <w:rsid w:val="00FE1E7C"/>
    <w:rsid w:val="00FE2265"/>
    <w:rsid w:val="00FE42ED"/>
    <w:rsid w:val="00FE5C5A"/>
    <w:rsid w:val="00FE71C5"/>
    <w:rsid w:val="00FF1B4C"/>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character" w:customStyle="1" w:styleId="apple-converted-space">
    <w:name w:val="apple-converted-space"/>
    <w:basedOn w:val="Fuentedeprrafopredeter"/>
    <w:rsid w:val="00F275F7"/>
  </w:style>
  <w:style w:type="paragraph" w:customStyle="1" w:styleId="parrafo-division">
    <w:name w:val="parrafo-division"/>
    <w:basedOn w:val="Normal"/>
    <w:rsid w:val="00203035"/>
    <w:pPr>
      <w:spacing w:before="100" w:beforeAutospacing="1" w:after="100" w:afterAutospacing="1"/>
    </w:pPr>
    <w:rPr>
      <w:rFonts w:ascii="Times New Roman" w:eastAsia="Times New Roman" w:hAnsi="Times New Roman" w:cs="Times New Roman"/>
      <w:szCs w:val="24"/>
      <w:lang w:eastAsia="es-ES_tradnl"/>
    </w:rPr>
  </w:style>
  <w:style w:type="character" w:styleId="Mencinsinresolver">
    <w:name w:val="Unresolved Mention"/>
    <w:basedOn w:val="Fuentedeprrafopredeter"/>
    <w:uiPriority w:val="99"/>
    <w:semiHidden/>
    <w:unhideWhenUsed/>
    <w:rsid w:val="00B33879"/>
    <w:rPr>
      <w:color w:val="605E5C"/>
      <w:shd w:val="clear" w:color="auto" w:fill="E1DFDD"/>
    </w:rPr>
  </w:style>
  <w:style w:type="table" w:customStyle="1" w:styleId="NormalTable0">
    <w:name w:val="Normal Table0"/>
    <w:uiPriority w:val="2"/>
    <w:semiHidden/>
    <w:unhideWhenUsed/>
    <w:qFormat/>
    <w:rsid w:val="00145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CA9"/>
    <w:pPr>
      <w:widowControl w:val="0"/>
      <w:autoSpaceDE w:val="0"/>
      <w:autoSpaceDN w:val="0"/>
      <w:ind w:left="417"/>
    </w:pPr>
    <w:rPr>
      <w:rFonts w:ascii="Arial" w:eastAsia="Arial" w:hAnsi="Arial" w:cs="Arial"/>
      <w:sz w:val="22"/>
      <w:lang w:val="es-ES"/>
    </w:rPr>
  </w:style>
  <w:style w:type="paragraph" w:styleId="Revisin">
    <w:name w:val="Revision"/>
    <w:hidden/>
    <w:uiPriority w:val="99"/>
    <w:semiHidden/>
    <w:rsid w:val="00EE2C7E"/>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282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4918071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1020497">
      <w:bodyDiv w:val="1"/>
      <w:marLeft w:val="0"/>
      <w:marRight w:val="0"/>
      <w:marTop w:val="0"/>
      <w:marBottom w:val="0"/>
      <w:divBdr>
        <w:top w:val="none" w:sz="0" w:space="0" w:color="auto"/>
        <w:left w:val="none" w:sz="0" w:space="0" w:color="auto"/>
        <w:bottom w:val="none" w:sz="0" w:space="0" w:color="auto"/>
        <w:right w:val="none" w:sz="0" w:space="0" w:color="auto"/>
      </w:divBdr>
    </w:div>
    <w:div w:id="216360238">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7783866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362636850">
      <w:bodyDiv w:val="1"/>
      <w:marLeft w:val="0"/>
      <w:marRight w:val="0"/>
      <w:marTop w:val="0"/>
      <w:marBottom w:val="0"/>
      <w:divBdr>
        <w:top w:val="none" w:sz="0" w:space="0" w:color="auto"/>
        <w:left w:val="none" w:sz="0" w:space="0" w:color="auto"/>
        <w:bottom w:val="none" w:sz="0" w:space="0" w:color="auto"/>
        <w:right w:val="none" w:sz="0" w:space="0" w:color="auto"/>
      </w:divBdr>
    </w:div>
    <w:div w:id="468983781">
      <w:bodyDiv w:val="1"/>
      <w:marLeft w:val="0"/>
      <w:marRight w:val="0"/>
      <w:marTop w:val="0"/>
      <w:marBottom w:val="0"/>
      <w:divBdr>
        <w:top w:val="none" w:sz="0" w:space="0" w:color="auto"/>
        <w:left w:val="none" w:sz="0" w:space="0" w:color="auto"/>
        <w:bottom w:val="none" w:sz="0" w:space="0" w:color="auto"/>
        <w:right w:val="none" w:sz="0" w:space="0" w:color="auto"/>
      </w:divBdr>
    </w:div>
    <w:div w:id="540283683">
      <w:bodyDiv w:val="1"/>
      <w:marLeft w:val="0"/>
      <w:marRight w:val="0"/>
      <w:marTop w:val="0"/>
      <w:marBottom w:val="0"/>
      <w:divBdr>
        <w:top w:val="none" w:sz="0" w:space="0" w:color="auto"/>
        <w:left w:val="none" w:sz="0" w:space="0" w:color="auto"/>
        <w:bottom w:val="none" w:sz="0" w:space="0" w:color="auto"/>
        <w:right w:val="none" w:sz="0" w:space="0" w:color="auto"/>
      </w:divBdr>
      <w:divsChild>
        <w:div w:id="983390105">
          <w:marLeft w:val="0"/>
          <w:marRight w:val="0"/>
          <w:marTop w:val="300"/>
          <w:marBottom w:val="300"/>
          <w:divBdr>
            <w:top w:val="none" w:sz="0" w:space="0" w:color="auto"/>
            <w:left w:val="none" w:sz="0" w:space="0" w:color="auto"/>
            <w:bottom w:val="none" w:sz="0" w:space="0" w:color="auto"/>
            <w:right w:val="none" w:sz="0" w:space="0" w:color="auto"/>
          </w:divBdr>
        </w:div>
        <w:div w:id="1807163230">
          <w:marLeft w:val="0"/>
          <w:marRight w:val="0"/>
          <w:marTop w:val="0"/>
          <w:marBottom w:val="0"/>
          <w:divBdr>
            <w:top w:val="none" w:sz="0" w:space="0" w:color="auto"/>
            <w:left w:val="none" w:sz="0" w:space="0" w:color="auto"/>
            <w:bottom w:val="none" w:sz="0" w:space="0" w:color="auto"/>
            <w:right w:val="none" w:sz="0" w:space="0" w:color="auto"/>
          </w:divBdr>
          <w:divsChild>
            <w:div w:id="1009018980">
              <w:marLeft w:val="0"/>
              <w:marRight w:val="0"/>
              <w:marTop w:val="0"/>
              <w:marBottom w:val="0"/>
              <w:divBdr>
                <w:top w:val="none" w:sz="0" w:space="0" w:color="auto"/>
                <w:left w:val="none" w:sz="0" w:space="0" w:color="auto"/>
                <w:bottom w:val="none" w:sz="0" w:space="0" w:color="auto"/>
                <w:right w:val="none" w:sz="0" w:space="0" w:color="auto"/>
              </w:divBdr>
            </w:div>
          </w:divsChild>
        </w:div>
        <w:div w:id="494810080">
          <w:marLeft w:val="0"/>
          <w:marRight w:val="0"/>
          <w:marTop w:val="0"/>
          <w:marBottom w:val="0"/>
          <w:divBdr>
            <w:top w:val="none" w:sz="0" w:space="0" w:color="auto"/>
            <w:left w:val="none" w:sz="0" w:space="0" w:color="auto"/>
            <w:bottom w:val="none" w:sz="0" w:space="0" w:color="auto"/>
            <w:right w:val="none" w:sz="0" w:space="0" w:color="auto"/>
          </w:divBdr>
          <w:divsChild>
            <w:div w:id="19414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1933140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798761181">
      <w:bodyDiv w:val="1"/>
      <w:marLeft w:val="0"/>
      <w:marRight w:val="0"/>
      <w:marTop w:val="0"/>
      <w:marBottom w:val="0"/>
      <w:divBdr>
        <w:top w:val="none" w:sz="0" w:space="0" w:color="auto"/>
        <w:left w:val="none" w:sz="0" w:space="0" w:color="auto"/>
        <w:bottom w:val="none" w:sz="0" w:space="0" w:color="auto"/>
        <w:right w:val="none" w:sz="0" w:space="0" w:color="auto"/>
      </w:divBdr>
    </w:div>
    <w:div w:id="799035822">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656">
      <w:bodyDiv w:val="1"/>
      <w:marLeft w:val="0"/>
      <w:marRight w:val="0"/>
      <w:marTop w:val="0"/>
      <w:marBottom w:val="0"/>
      <w:divBdr>
        <w:top w:val="none" w:sz="0" w:space="0" w:color="auto"/>
        <w:left w:val="none" w:sz="0" w:space="0" w:color="auto"/>
        <w:bottom w:val="none" w:sz="0" w:space="0" w:color="auto"/>
        <w:right w:val="none" w:sz="0" w:space="0" w:color="auto"/>
      </w:divBdr>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50610954">
      <w:bodyDiv w:val="1"/>
      <w:marLeft w:val="0"/>
      <w:marRight w:val="0"/>
      <w:marTop w:val="0"/>
      <w:marBottom w:val="0"/>
      <w:divBdr>
        <w:top w:val="none" w:sz="0" w:space="0" w:color="auto"/>
        <w:left w:val="none" w:sz="0" w:space="0" w:color="auto"/>
        <w:bottom w:val="none" w:sz="0" w:space="0" w:color="auto"/>
        <w:right w:val="none" w:sz="0" w:space="0" w:color="auto"/>
      </w:divBdr>
    </w:div>
    <w:div w:id="116019194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2928554">
      <w:bodyDiv w:val="1"/>
      <w:marLeft w:val="0"/>
      <w:marRight w:val="0"/>
      <w:marTop w:val="0"/>
      <w:marBottom w:val="0"/>
      <w:divBdr>
        <w:top w:val="none" w:sz="0" w:space="0" w:color="auto"/>
        <w:left w:val="none" w:sz="0" w:space="0" w:color="auto"/>
        <w:bottom w:val="none" w:sz="0" w:space="0" w:color="auto"/>
        <w:right w:val="none" w:sz="0" w:space="0" w:color="auto"/>
      </w:divBdr>
    </w:div>
    <w:div w:id="1357659588">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470711603">
      <w:bodyDiv w:val="1"/>
      <w:marLeft w:val="0"/>
      <w:marRight w:val="0"/>
      <w:marTop w:val="0"/>
      <w:marBottom w:val="0"/>
      <w:divBdr>
        <w:top w:val="none" w:sz="0" w:space="0" w:color="auto"/>
        <w:left w:val="none" w:sz="0" w:space="0" w:color="auto"/>
        <w:bottom w:val="none" w:sz="0" w:space="0" w:color="auto"/>
        <w:right w:val="none" w:sz="0" w:space="0" w:color="auto"/>
      </w:divBdr>
    </w:div>
    <w:div w:id="1477718365">
      <w:bodyDiv w:val="1"/>
      <w:marLeft w:val="0"/>
      <w:marRight w:val="0"/>
      <w:marTop w:val="0"/>
      <w:marBottom w:val="0"/>
      <w:divBdr>
        <w:top w:val="none" w:sz="0" w:space="0" w:color="auto"/>
        <w:left w:val="none" w:sz="0" w:space="0" w:color="auto"/>
        <w:bottom w:val="none" w:sz="0" w:space="0" w:color="auto"/>
        <w:right w:val="none" w:sz="0" w:space="0" w:color="auto"/>
      </w:divBdr>
    </w:div>
    <w:div w:id="1487667302">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15456568">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737245116">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1990330252">
      <w:bodyDiv w:val="1"/>
      <w:marLeft w:val="0"/>
      <w:marRight w:val="0"/>
      <w:marTop w:val="0"/>
      <w:marBottom w:val="0"/>
      <w:divBdr>
        <w:top w:val="none" w:sz="0" w:space="0" w:color="auto"/>
        <w:left w:val="none" w:sz="0" w:space="0" w:color="auto"/>
        <w:bottom w:val="none" w:sz="0" w:space="0" w:color="auto"/>
        <w:right w:val="none" w:sz="0" w:space="0" w:color="auto"/>
      </w:divBdr>
      <w:divsChild>
        <w:div w:id="1848859777">
          <w:marLeft w:val="0"/>
          <w:marRight w:val="0"/>
          <w:marTop w:val="0"/>
          <w:marBottom w:val="0"/>
          <w:divBdr>
            <w:top w:val="none" w:sz="0" w:space="0" w:color="auto"/>
            <w:left w:val="none" w:sz="0" w:space="0" w:color="auto"/>
            <w:bottom w:val="none" w:sz="0" w:space="0" w:color="auto"/>
            <w:right w:val="none" w:sz="0" w:space="0" w:color="auto"/>
          </w:divBdr>
          <w:divsChild>
            <w:div w:id="408699848">
              <w:marLeft w:val="0"/>
              <w:marRight w:val="0"/>
              <w:marTop w:val="0"/>
              <w:marBottom w:val="0"/>
              <w:divBdr>
                <w:top w:val="none" w:sz="0" w:space="0" w:color="auto"/>
                <w:left w:val="none" w:sz="0" w:space="0" w:color="auto"/>
                <w:bottom w:val="none" w:sz="0" w:space="0" w:color="auto"/>
                <w:right w:val="none" w:sz="0" w:space="0" w:color="auto"/>
              </w:divBdr>
              <w:divsChild>
                <w:div w:id="1539586209">
                  <w:marLeft w:val="0"/>
                  <w:marRight w:val="0"/>
                  <w:marTop w:val="0"/>
                  <w:marBottom w:val="0"/>
                  <w:divBdr>
                    <w:top w:val="none" w:sz="0" w:space="0" w:color="auto"/>
                    <w:left w:val="none" w:sz="0" w:space="0" w:color="auto"/>
                    <w:bottom w:val="none" w:sz="0" w:space="0" w:color="auto"/>
                    <w:right w:val="none" w:sz="0" w:space="0" w:color="auto"/>
                  </w:divBdr>
                  <w:divsChild>
                    <w:div w:id="737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 w:id="21356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BC68576-9D0A-4175-8620-791A607A8ADA}">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128</TotalTime>
  <Pages>23</Pages>
  <Words>6892</Words>
  <Characters>37908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Nasly Yeana Mosquera Rivas</cp:lastModifiedBy>
  <cp:revision>9</cp:revision>
  <cp:lastPrinted>2020-01-30T18:05:00Z</cp:lastPrinted>
  <dcterms:created xsi:type="dcterms:W3CDTF">2021-12-22T20:17:00Z</dcterms:created>
  <dcterms:modified xsi:type="dcterms:W3CDTF">2022-01-17T14:49:00Z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