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A05D3" w14:textId="77777777" w:rsidR="00D36E83" w:rsidRPr="00D80CCB" w:rsidRDefault="00D36E83" w:rsidP="00D36E83">
      <w:pPr>
        <w:ind w:firstLine="709"/>
        <w:jc w:val="right"/>
        <w:rPr>
          <w:rFonts w:ascii="Arial" w:eastAsia="Calibri" w:hAnsi="Arial" w:cs="Arial"/>
          <w:b/>
          <w:color w:val="000000"/>
          <w:sz w:val="20"/>
          <w:szCs w:val="20"/>
          <w:lang w:val="es-ES_tradnl" w:eastAsia="es-ES_tradnl"/>
        </w:rPr>
      </w:pPr>
      <w:bookmarkStart w:id="0" w:name="_Hlk28946138"/>
      <w:bookmarkStart w:id="1" w:name="_Hlk29548183"/>
      <w:r w:rsidRPr="00D80CCB">
        <w:rPr>
          <w:rFonts w:ascii="Arial" w:eastAsia="Times New Roman" w:hAnsi="Arial" w:cs="Arial"/>
          <w:bCs/>
          <w:color w:val="000000"/>
          <w:sz w:val="16"/>
          <w:szCs w:val="16"/>
          <w:lang w:val="es-ES_tradnl" w:eastAsia="es-ES"/>
        </w:rPr>
        <w:t>CCE-DES-FM-17</w:t>
      </w:r>
      <w:bookmarkEnd w:id="0"/>
      <w:bookmarkEnd w:id="1"/>
    </w:p>
    <w:p w14:paraId="794E5ED8" w14:textId="77777777" w:rsidR="00D36E83" w:rsidRPr="00D80CCB"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4E998160" w14:textId="77777777" w:rsidR="00D36E83" w:rsidRPr="00D80CCB" w:rsidRDefault="00D36E83" w:rsidP="00D36E83">
      <w:pPr>
        <w:jc w:val="both"/>
        <w:rPr>
          <w:rFonts w:ascii="Arial" w:eastAsia="Calibri" w:hAnsi="Arial" w:cs="Arial"/>
          <w:b/>
          <w:color w:val="000000"/>
          <w:sz w:val="22"/>
          <w:szCs w:val="24"/>
          <w:lang w:val="es-ES_tradnl" w:eastAsia="es-ES_tradnl"/>
        </w:rPr>
      </w:pPr>
      <w:r w:rsidRPr="00D80CCB">
        <w:rPr>
          <w:rFonts w:ascii="Arial" w:eastAsia="Calibri" w:hAnsi="Arial" w:cs="Arial"/>
          <w:b/>
          <w:color w:val="000000"/>
          <w:sz w:val="22"/>
          <w:szCs w:val="24"/>
          <w:lang w:val="es-ES_tradnl" w:eastAsia="es-ES_tradnl"/>
        </w:rPr>
        <w:t>DECRETO 399 DE 2021 – Finalidad – Reactivación económica</w:t>
      </w:r>
    </w:p>
    <w:p w14:paraId="720511EB" w14:textId="77777777" w:rsidR="00D36E83" w:rsidRPr="00D80CCB"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478D609A" w14:textId="77777777" w:rsidR="00D36E83" w:rsidRPr="00D80CCB" w:rsidRDefault="00D36E83" w:rsidP="00D36E83">
      <w:pPr>
        <w:jc w:val="both"/>
        <w:rPr>
          <w:rFonts w:ascii="Arial" w:eastAsia="Times New Roman" w:hAnsi="Arial" w:cs="Arial"/>
          <w:color w:val="000000"/>
          <w:sz w:val="20"/>
          <w:szCs w:val="20"/>
          <w:lang w:val="es-ES_tradnl" w:eastAsia="es-ES_tradnl"/>
        </w:rPr>
      </w:pPr>
      <w:r w:rsidRPr="00D80CCB">
        <w:rPr>
          <w:rFonts w:ascii="Arial" w:eastAsia="Times New Roman" w:hAnsi="Arial" w:cs="Arial"/>
          <w:color w:val="000000"/>
          <w:sz w:val="20"/>
          <w:szCs w:val="20"/>
          <w:lang w:val="es-ES_tradnl" w:eastAsia="es-ES_tradnl"/>
        </w:rPr>
        <w:t xml:space="preserve">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w:t>
      </w:r>
    </w:p>
    <w:p w14:paraId="15BFD415" w14:textId="77777777" w:rsidR="00D36E83" w:rsidRPr="00D80CCB"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7B37DED3" w14:textId="77777777" w:rsidR="00D36E83" w:rsidRPr="00D80CCB" w:rsidRDefault="00D36E83" w:rsidP="00D36E83">
      <w:pPr>
        <w:jc w:val="both"/>
        <w:rPr>
          <w:rFonts w:ascii="Arial" w:eastAsia="Calibri" w:hAnsi="Arial" w:cs="Arial"/>
          <w:b/>
          <w:color w:val="000000"/>
          <w:sz w:val="22"/>
          <w:szCs w:val="24"/>
          <w:lang w:val="es-ES_tradnl" w:eastAsia="es-ES_tradnl"/>
        </w:rPr>
      </w:pPr>
      <w:r w:rsidRPr="00D80CCB">
        <w:rPr>
          <w:rFonts w:ascii="Arial" w:eastAsia="Calibri" w:hAnsi="Arial" w:cs="Arial"/>
          <w:b/>
          <w:color w:val="000000"/>
          <w:sz w:val="22"/>
          <w:szCs w:val="24"/>
          <w:lang w:val="es-ES_tradnl" w:eastAsia="es-ES_tradnl"/>
        </w:rPr>
        <w:t xml:space="preserve">DECRETO 399 DE 2021 – Información – Capacidad financiera – Capacidad organizacional </w:t>
      </w:r>
    </w:p>
    <w:p w14:paraId="296C4382" w14:textId="77777777" w:rsidR="00D36E83" w:rsidRPr="00D80CCB"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396699A2" w14:textId="77777777" w:rsidR="00D36E83" w:rsidRPr="00D80CCB" w:rsidRDefault="00D36E83" w:rsidP="00D36E83">
      <w:pPr>
        <w:jc w:val="both"/>
        <w:rPr>
          <w:rFonts w:ascii="Arial" w:eastAsia="Calibri" w:hAnsi="Arial" w:cs="Arial"/>
          <w:color w:val="000000"/>
          <w:sz w:val="20"/>
          <w:szCs w:val="20"/>
          <w:lang w:val="es-ES_tradnl" w:eastAsia="es-ES_tradnl"/>
        </w:rPr>
      </w:pPr>
      <w:r w:rsidRPr="00D80CCB">
        <w:rPr>
          <w:rFonts w:ascii="Arial" w:eastAsia="Calibri" w:hAnsi="Arial" w:cs="Arial"/>
          <w:color w:val="000000"/>
          <w:sz w:val="20"/>
          <w:szCs w:val="20"/>
          <w:lang w:val="es-ES_tradnl" w:eastAsia="es-ES_tradnl"/>
        </w:rPr>
        <w:t>[…] el artículo 4 del Decreto 399 de 2021 adicionó dos parágrafos transitorios al artículo 2.2.1.1.1.5.2. del Decreto 1082 de 2015, que a su vez fueron sustituidos posteriormente por el artículo 1 del Decreto 579 del 31 de mayo de 2021. El parágrafo transitorio 1 establece que desde el 1 de junio de 2021 los interesados en inscribirse en el RUP deben reportar la información contable y los estados financieros, de los tres últimos años fiscales. Pero,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que, si el proponente tiene registrada la información de dichos años en la cámara de comercio, no deberá presentar la actualización.</w:t>
      </w:r>
    </w:p>
    <w:p w14:paraId="1E49CE0E" w14:textId="77777777" w:rsidR="00D36E83" w:rsidRPr="00D80CCB" w:rsidRDefault="00D36E83" w:rsidP="002B22DE">
      <w:pPr>
        <w:spacing w:line="276" w:lineRule="auto"/>
        <w:jc w:val="both"/>
        <w:rPr>
          <w:rFonts w:ascii="Arial" w:eastAsia="Times New Roman" w:hAnsi="Arial" w:cs="Arial"/>
          <w:noProof/>
          <w:color w:val="000000"/>
          <w:sz w:val="22"/>
          <w:szCs w:val="24"/>
          <w:lang w:val="es-ES_tradnl" w:eastAsia="es-ES_tradnl"/>
        </w:rPr>
      </w:pPr>
    </w:p>
    <w:p w14:paraId="1072AAF5" w14:textId="01844DFC" w:rsidR="00D36E83" w:rsidRPr="00D80CCB" w:rsidRDefault="00130123" w:rsidP="00D36E83">
      <w:pPr>
        <w:jc w:val="both"/>
        <w:rPr>
          <w:rFonts w:ascii="Arial" w:eastAsia="Calibri" w:hAnsi="Arial" w:cs="Arial"/>
          <w:color w:val="000000"/>
          <w:sz w:val="20"/>
          <w:szCs w:val="20"/>
          <w:lang w:val="es-ES_tradnl" w:eastAsia="es-ES_tradnl"/>
        </w:rPr>
      </w:pPr>
      <w:r>
        <w:rPr>
          <w:rFonts w:ascii="Arial" w:eastAsia="Calibri" w:hAnsi="Arial" w:cs="Arial"/>
          <w:color w:val="000000"/>
          <w:sz w:val="20"/>
          <w:szCs w:val="20"/>
          <w:lang w:val="es-ES_tradnl" w:eastAsia="es-ES_tradnl"/>
        </w:rPr>
        <w:t>Además</w:t>
      </w:r>
      <w:r w:rsidR="00D36E83" w:rsidRPr="00D80CCB">
        <w:rPr>
          <w:rFonts w:ascii="Arial" w:eastAsia="Calibri" w:hAnsi="Arial" w:cs="Arial"/>
          <w:color w:val="000000"/>
          <w:sz w:val="20"/>
          <w:szCs w:val="20"/>
          <w:lang w:val="es-ES_tradnl" w:eastAsia="es-ES_tradnl"/>
        </w:rPr>
        <w:t>, el artículo 5 del Decreto 399 de 2021 adicionó dos parágrafos transitorios al artículo 2.2.1.1.1.5.6. del Decreto 1082 de 2015, que regula el contenido del certificado del RUP. El primer parágrafo transitorio, que fue posteriormente sustituido por el artículo 2 del Decreto 579 de 2021, establece que «</w:t>
      </w:r>
      <w:r w:rsidR="00D36E83" w:rsidRPr="00D80CCB">
        <w:rPr>
          <w:rFonts w:ascii="Arial" w:eastAsia="Times New Roman" w:hAnsi="Arial" w:cs="Arial"/>
          <w:color w:val="000000"/>
          <w:sz w:val="20"/>
          <w:szCs w:val="20"/>
          <w:lang w:val="es-ES_tradnl" w:eastAsia="es-ES_tradnl"/>
        </w:rPr>
        <w:t xml:space="preserve">[…] </w:t>
      </w:r>
      <w:r w:rsidR="00D36E83" w:rsidRPr="00D80CCB">
        <w:rPr>
          <w:rFonts w:ascii="Arial" w:eastAsia="Calibri" w:hAnsi="Arial" w:cs="Arial"/>
          <w:color w:val="000000"/>
          <w:sz w:val="20"/>
          <w:szCs w:val="20"/>
          <w:lang w:val="es-ES_tradnl" w:eastAsia="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w:t>
      </w:r>
      <w:r w:rsidR="00D36E83" w:rsidRPr="00D80CCB">
        <w:rPr>
          <w:rFonts w:ascii="Arial" w:eastAsia="Times New Roman" w:hAnsi="Arial" w:cs="Arial"/>
          <w:color w:val="000000"/>
          <w:sz w:val="20"/>
          <w:szCs w:val="20"/>
          <w:lang w:val="es-ES_tradnl" w:eastAsia="es-ES_tradnl"/>
        </w:rPr>
        <w:t>c</w:t>
      </w:r>
      <w:r w:rsidR="00D36E83" w:rsidRPr="00D80CCB">
        <w:rPr>
          <w:rFonts w:ascii="Arial" w:eastAsia="Calibri" w:hAnsi="Arial" w:cs="Arial"/>
          <w:color w:val="000000"/>
          <w:sz w:val="20"/>
          <w:szCs w:val="20"/>
          <w:lang w:val="es-ES_tradnl" w:eastAsia="es-ES_tradnl"/>
        </w:rPr>
        <w:t>ertificarán la información de que tratan los parágrafos transitorios 1 y 2 del artículo 2.2.1.1.1.5.2. de este Decreto». Los requisitos e indicadores de la capacidad financiera consagrados en el literal (b) del artículo 2.2.1.1.1.5.6. del Decreto 1082 de 2015 son: i) el índice de liquidez, ii) el índice de endeudamiento y iii) la razón de cobertura de intereses. Los requisitos e indicares de capacidad organizacional son: i) la rentabilidad del patrimonio y ii) la rentabilidad del activo. El segundo parágrafo transitorio dispone que «El</w:t>
      </w:r>
      <w:r w:rsidR="00D36E83" w:rsidRPr="00D80CCB">
        <w:rPr>
          <w:rFonts w:ascii="Arial" w:eastAsia="Times New Roman" w:hAnsi="Arial" w:cs="Arial"/>
          <w:color w:val="000000"/>
          <w:sz w:val="20"/>
          <w:szCs w:val="20"/>
          <w:lang w:val="es-ES_tradnl" w:eastAsia="es-ES_tradnl"/>
        </w:rPr>
        <w:t xml:space="preserve"> </w:t>
      </w:r>
      <w:r w:rsidR="00D36E83" w:rsidRPr="00D80CCB">
        <w:rPr>
          <w:rFonts w:ascii="Arial" w:eastAsia="Calibri" w:hAnsi="Arial" w:cs="Arial"/>
          <w:color w:val="000000"/>
          <w:sz w:val="20"/>
          <w:szCs w:val="20"/>
          <w:lang w:val="es-ES_tradnl" w:eastAsia="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1A153181" w14:textId="77777777" w:rsidR="00D36E83" w:rsidRPr="00D80CCB"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3A18D3B1" w14:textId="77777777" w:rsidR="00D36E83" w:rsidRPr="00D80CCB" w:rsidRDefault="00D36E83" w:rsidP="00D36E83">
      <w:pPr>
        <w:jc w:val="both"/>
        <w:rPr>
          <w:rFonts w:ascii="Arial" w:eastAsia="Calibri" w:hAnsi="Arial" w:cs="Arial"/>
          <w:b/>
          <w:color w:val="000000"/>
          <w:sz w:val="22"/>
          <w:szCs w:val="24"/>
          <w:lang w:val="es-ES_tradnl" w:eastAsia="es-ES_tradnl"/>
        </w:rPr>
      </w:pPr>
      <w:r w:rsidRPr="00D80CCB">
        <w:rPr>
          <w:rFonts w:ascii="Arial" w:eastAsia="Calibri" w:hAnsi="Arial" w:cs="Arial"/>
          <w:b/>
          <w:color w:val="000000"/>
          <w:sz w:val="22"/>
          <w:szCs w:val="24"/>
          <w:lang w:val="es-ES_tradnl" w:eastAsia="es-ES_tradnl"/>
        </w:rPr>
        <w:t>MEJOR AÑO FISCAL – Decreto 399 – Capacidad financiera – Capacidad organizacional – Interpretación</w:t>
      </w:r>
    </w:p>
    <w:p w14:paraId="657DFF1F" w14:textId="77777777" w:rsidR="00D36E83" w:rsidRPr="00D80CCB"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2DB12F97" w14:textId="77777777" w:rsidR="00D36E83" w:rsidRPr="00D80CCB" w:rsidRDefault="00D36E83" w:rsidP="00D36E83">
      <w:pPr>
        <w:jc w:val="both"/>
        <w:rPr>
          <w:rFonts w:ascii="Arial" w:eastAsia="Times New Roman" w:hAnsi="Arial" w:cs="Arial"/>
          <w:color w:val="000000"/>
          <w:sz w:val="20"/>
          <w:szCs w:val="20"/>
          <w:lang w:val="es-ES_tradnl" w:eastAsia="es-ES_tradnl"/>
        </w:rPr>
      </w:pPr>
      <w:r w:rsidRPr="00D80CCB">
        <w:rPr>
          <w:rFonts w:ascii="Arial" w:eastAsia="Times New Roman" w:hAnsi="Arial" w:cs="Arial"/>
          <w:color w:val="000000"/>
          <w:sz w:val="20"/>
          <w:szCs w:val="20"/>
          <w:lang w:val="es-ES_tradnl" w:eastAsia="es-ES_tradnl"/>
        </w:rPr>
        <w:t xml:space="preserve">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establece que «[…] las Entidades </w:t>
      </w:r>
      <w:r w:rsidRPr="00D80CCB">
        <w:rPr>
          <w:rFonts w:ascii="Arial" w:eastAsia="Times New Roman" w:hAnsi="Arial" w:cs="Arial"/>
          <w:color w:val="000000"/>
          <w:sz w:val="20"/>
          <w:szCs w:val="20"/>
          <w:lang w:val="es-ES_tradnl" w:eastAsia="es-ES_tradnl"/>
        </w:rPr>
        <w:lastRenderedPageBreak/>
        <w:t>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w:t>
      </w:r>
    </w:p>
    <w:p w14:paraId="425D9A9B" w14:textId="77777777" w:rsidR="00D36E83" w:rsidRPr="00D80CCB" w:rsidRDefault="00D36E83" w:rsidP="00D36E83">
      <w:pPr>
        <w:jc w:val="both"/>
        <w:rPr>
          <w:rFonts w:ascii="Arial" w:eastAsia="Times New Roman" w:hAnsi="Arial" w:cs="Arial"/>
          <w:color w:val="000000"/>
          <w:sz w:val="20"/>
          <w:szCs w:val="20"/>
          <w:lang w:val="es-ES_tradnl" w:eastAsia="es-ES_tradnl"/>
        </w:rPr>
      </w:pPr>
    </w:p>
    <w:p w14:paraId="1C0115E3" w14:textId="788C0EDB" w:rsidR="00D36E83" w:rsidRPr="00D80CCB" w:rsidRDefault="009B4937" w:rsidP="00D36E83">
      <w:pPr>
        <w:jc w:val="both"/>
        <w:rPr>
          <w:rFonts w:ascii="Arial" w:eastAsia="Times New Roman" w:hAnsi="Arial" w:cs="Arial"/>
          <w:b/>
          <w:bCs/>
          <w:color w:val="000000"/>
          <w:sz w:val="22"/>
          <w:lang w:val="es-ES_tradnl" w:eastAsia="es-ES_tradnl"/>
        </w:rPr>
      </w:pPr>
      <w:r w:rsidRPr="00D80CCB">
        <w:rPr>
          <w:rFonts w:ascii="Arial" w:eastAsia="Times New Roman" w:hAnsi="Arial" w:cs="Arial"/>
          <w:b/>
          <w:bCs/>
          <w:color w:val="000000"/>
          <w:sz w:val="22"/>
          <w:lang w:val="es-ES_tradnl" w:eastAsia="es-ES_tradnl"/>
        </w:rPr>
        <w:t xml:space="preserve">CAPACIDAD FINANCIERA Y ORGANIZACIONAL </w:t>
      </w:r>
      <w:r>
        <w:rPr>
          <w:rFonts w:ascii="Arial" w:eastAsia="Times New Roman" w:hAnsi="Arial" w:cs="Arial"/>
          <w:b/>
          <w:bCs/>
          <w:color w:val="000000"/>
          <w:sz w:val="22"/>
          <w:lang w:val="es-ES_tradnl" w:eastAsia="es-ES_tradnl"/>
        </w:rPr>
        <w:t xml:space="preserve">– </w:t>
      </w:r>
      <w:r w:rsidR="00D36E83" w:rsidRPr="00D80CCB">
        <w:rPr>
          <w:rFonts w:ascii="Arial" w:eastAsia="Times New Roman" w:hAnsi="Arial" w:cs="Arial"/>
          <w:b/>
          <w:bCs/>
          <w:color w:val="000000"/>
          <w:sz w:val="22"/>
          <w:lang w:val="es-ES_tradnl" w:eastAsia="es-ES_tradnl"/>
        </w:rPr>
        <w:t>E</w:t>
      </w:r>
      <w:r>
        <w:rPr>
          <w:rFonts w:ascii="Arial" w:eastAsia="Times New Roman" w:hAnsi="Arial" w:cs="Arial"/>
          <w:b/>
          <w:bCs/>
          <w:color w:val="000000"/>
          <w:sz w:val="22"/>
          <w:lang w:val="es-ES_tradnl" w:eastAsia="es-ES_tradnl"/>
        </w:rPr>
        <w:t xml:space="preserve">valuación </w:t>
      </w:r>
      <w:r w:rsidR="00D36E83" w:rsidRPr="00D80CCB">
        <w:rPr>
          <w:rFonts w:ascii="Arial" w:eastAsia="Times New Roman" w:hAnsi="Arial" w:cs="Arial"/>
          <w:b/>
          <w:bCs/>
          <w:color w:val="000000"/>
          <w:sz w:val="22"/>
          <w:lang w:val="es-ES_tradnl" w:eastAsia="es-ES_tradnl"/>
        </w:rPr>
        <w:t>– Proponente plural – Mejor año fiscal</w:t>
      </w:r>
    </w:p>
    <w:p w14:paraId="70B15651" w14:textId="77777777" w:rsidR="00D36E83" w:rsidRPr="00D80CCB" w:rsidRDefault="00D36E83" w:rsidP="009B4937">
      <w:pPr>
        <w:spacing w:line="276" w:lineRule="auto"/>
        <w:jc w:val="both"/>
        <w:rPr>
          <w:rFonts w:ascii="Arial" w:eastAsia="Times New Roman" w:hAnsi="Arial" w:cs="Arial"/>
          <w:noProof/>
          <w:color w:val="000000"/>
          <w:sz w:val="22"/>
          <w:szCs w:val="24"/>
          <w:lang w:val="es-ES_tradnl" w:eastAsia="es-ES_tradnl"/>
        </w:rPr>
      </w:pPr>
    </w:p>
    <w:p w14:paraId="3CEBD500" w14:textId="16ECD272" w:rsidR="00D36E83" w:rsidRPr="00D80CCB" w:rsidRDefault="00DE0B3C" w:rsidP="001669C9">
      <w:pPr>
        <w:jc w:val="both"/>
        <w:rPr>
          <w:rFonts w:ascii="Arial" w:eastAsia="Times New Roman" w:hAnsi="Arial" w:cs="Arial"/>
          <w:noProof/>
          <w:color w:val="000000"/>
          <w:sz w:val="22"/>
          <w:szCs w:val="24"/>
          <w:lang w:val="es-ES_tradnl" w:eastAsia="es-ES_tradnl"/>
        </w:rPr>
      </w:pPr>
      <w:r w:rsidRPr="00D80CCB">
        <w:rPr>
          <w:rFonts w:ascii="Arial" w:eastAsia="Times New Roman" w:hAnsi="Arial" w:cs="Arial"/>
          <w:noProof/>
          <w:color w:val="000000"/>
          <w:sz w:val="20"/>
          <w:szCs w:val="20"/>
          <w:lang w:val="es-ES_tradnl" w:eastAsia="es-ES_tradnl"/>
        </w:rPr>
        <w:t>Dado que los consorcios y las uniones temporales carecen de RUP, y que el artículo 2.2.1.1.1.6.2 del Decreto 1082 del 2015 aplica tanto a proponentes individuales como a proponentes plurales, cuando la norma se refiere a que «[…] las Entidades Estatales evaluarán estos indicadores, teniendo en cuenta el mejor año fiscal que se refleje en el registro de cada proponente», es necesario aplicar los efectos de esta última expresión a los miembros del consorcio o la unión temporal que cuenten con la información vigente y en firme en el RUP. Esto en la medida que, si bien los proponentes plurales carecen de personería, el parágrafo transitorio del artículo 2.2.1.1.1.6.2 del Decreto 1082 del 2015 puede aplicarse a cada uno de los integrantes que deba inscribirse en el registro conforme al artículo 6 de la Ley 1150 de 2007. En este caso, la entidad evaluará los indicadores financieros y organizacionales con el mejor año fiscal que se refleje en el RUP de cada integrante del consorcio o la unión temporal</w:t>
      </w:r>
      <w:r w:rsidR="00C5538C">
        <w:rPr>
          <w:rFonts w:ascii="Arial" w:eastAsia="Times New Roman" w:hAnsi="Arial" w:cs="Arial"/>
          <w:noProof/>
          <w:color w:val="000000"/>
          <w:sz w:val="20"/>
          <w:szCs w:val="20"/>
          <w:lang w:val="es-ES_tradnl" w:eastAsia="es-ES_tradnl"/>
        </w:rPr>
        <w:t>.</w:t>
      </w:r>
    </w:p>
    <w:p w14:paraId="3E572915" w14:textId="77777777" w:rsidR="00D36E83" w:rsidRPr="00D80CCB"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30CFDA6E" w14:textId="77777777" w:rsidR="00D36E83" w:rsidRPr="00D80CCB"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30FB7299" w14:textId="77777777" w:rsidR="00D36E83" w:rsidRPr="00D80CCB"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396819BF" w14:textId="77777777" w:rsidR="00D36E83" w:rsidRPr="00D80CCB"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69B076C5" w14:textId="77777777" w:rsidR="00D36E83" w:rsidRPr="00D80CCB"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31C96139" w14:textId="0AC99CA0" w:rsidR="00D36E83" w:rsidRPr="00D80CCB"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738A5819" w14:textId="1D62BD35" w:rsidR="00A35F03" w:rsidRPr="00D80CCB" w:rsidRDefault="00A35F03" w:rsidP="00D36E83">
      <w:pPr>
        <w:spacing w:line="276" w:lineRule="auto"/>
        <w:ind w:firstLine="709"/>
        <w:jc w:val="both"/>
        <w:rPr>
          <w:rFonts w:ascii="Arial" w:eastAsia="Times New Roman" w:hAnsi="Arial" w:cs="Arial"/>
          <w:noProof/>
          <w:color w:val="000000"/>
          <w:sz w:val="22"/>
          <w:szCs w:val="24"/>
          <w:lang w:val="es-ES_tradnl" w:eastAsia="es-ES_tradnl"/>
        </w:rPr>
      </w:pPr>
    </w:p>
    <w:p w14:paraId="7001531F" w14:textId="7DDEC74A" w:rsidR="00A35F03" w:rsidRPr="00D80CCB" w:rsidRDefault="00A35F03" w:rsidP="00D36E83">
      <w:pPr>
        <w:spacing w:line="276" w:lineRule="auto"/>
        <w:ind w:firstLine="709"/>
        <w:jc w:val="both"/>
        <w:rPr>
          <w:rFonts w:ascii="Arial" w:eastAsia="Times New Roman" w:hAnsi="Arial" w:cs="Arial"/>
          <w:noProof/>
          <w:color w:val="000000"/>
          <w:sz w:val="22"/>
          <w:szCs w:val="24"/>
          <w:lang w:val="es-ES_tradnl" w:eastAsia="es-ES_tradnl"/>
        </w:rPr>
      </w:pPr>
    </w:p>
    <w:p w14:paraId="66906BF9" w14:textId="4D8B26AB" w:rsidR="00A35F03" w:rsidRPr="00D80CCB" w:rsidRDefault="00A35F03" w:rsidP="00D36E83">
      <w:pPr>
        <w:spacing w:line="276" w:lineRule="auto"/>
        <w:ind w:firstLine="709"/>
        <w:jc w:val="both"/>
        <w:rPr>
          <w:rFonts w:ascii="Arial" w:eastAsia="Times New Roman" w:hAnsi="Arial" w:cs="Arial"/>
          <w:noProof/>
          <w:color w:val="000000"/>
          <w:sz w:val="22"/>
          <w:szCs w:val="24"/>
          <w:lang w:val="es-ES_tradnl" w:eastAsia="es-ES_tradnl"/>
        </w:rPr>
      </w:pPr>
    </w:p>
    <w:p w14:paraId="6E574795" w14:textId="25621AB0" w:rsidR="00A35F03" w:rsidRPr="00D80CCB" w:rsidRDefault="00A35F03" w:rsidP="00D36E83">
      <w:pPr>
        <w:spacing w:line="276" w:lineRule="auto"/>
        <w:ind w:firstLine="709"/>
        <w:jc w:val="both"/>
        <w:rPr>
          <w:rFonts w:ascii="Arial" w:eastAsia="Times New Roman" w:hAnsi="Arial" w:cs="Arial"/>
          <w:noProof/>
          <w:color w:val="000000"/>
          <w:sz w:val="22"/>
          <w:szCs w:val="24"/>
          <w:lang w:val="es-ES_tradnl" w:eastAsia="es-ES_tradnl"/>
        </w:rPr>
      </w:pPr>
    </w:p>
    <w:p w14:paraId="3FA699A5" w14:textId="75612242" w:rsidR="00A35F03" w:rsidRPr="00D80CCB" w:rsidRDefault="00A35F03" w:rsidP="00D36E83">
      <w:pPr>
        <w:spacing w:line="276" w:lineRule="auto"/>
        <w:ind w:firstLine="709"/>
        <w:jc w:val="both"/>
        <w:rPr>
          <w:rFonts w:ascii="Arial" w:eastAsia="Times New Roman" w:hAnsi="Arial" w:cs="Arial"/>
          <w:noProof/>
          <w:color w:val="000000"/>
          <w:sz w:val="22"/>
          <w:szCs w:val="24"/>
          <w:lang w:val="es-ES_tradnl" w:eastAsia="es-ES_tradnl"/>
        </w:rPr>
      </w:pPr>
    </w:p>
    <w:p w14:paraId="2A6C3D95" w14:textId="77777777" w:rsidR="00A35F03" w:rsidRPr="00D80CCB" w:rsidRDefault="00A35F03" w:rsidP="00D36E83">
      <w:pPr>
        <w:spacing w:line="276" w:lineRule="auto"/>
        <w:ind w:firstLine="709"/>
        <w:jc w:val="both"/>
        <w:rPr>
          <w:rFonts w:ascii="Arial" w:eastAsia="Times New Roman" w:hAnsi="Arial" w:cs="Arial"/>
          <w:noProof/>
          <w:color w:val="000000"/>
          <w:sz w:val="22"/>
          <w:szCs w:val="24"/>
          <w:lang w:val="es-ES_tradnl" w:eastAsia="es-ES_tradnl"/>
        </w:rPr>
      </w:pPr>
    </w:p>
    <w:p w14:paraId="15A392A3" w14:textId="77777777" w:rsidR="00D36E83" w:rsidRPr="00D80CCB"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3F3D4344" w14:textId="77777777" w:rsidR="00D36E83" w:rsidRPr="00D80CCB"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2C4A6F8E" w14:textId="77777777" w:rsidR="00D36E83" w:rsidRPr="00D80CCB"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3EA66AFC" w14:textId="77777777" w:rsidR="00D36E83" w:rsidRPr="00D80CCB"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11631B91" w14:textId="563F94F5" w:rsidR="00D36E83"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6042622E" w14:textId="77777777" w:rsidR="000970CE" w:rsidRDefault="000970CE" w:rsidP="00D36E83">
      <w:pPr>
        <w:spacing w:line="276" w:lineRule="auto"/>
        <w:ind w:firstLine="709"/>
        <w:jc w:val="both"/>
        <w:rPr>
          <w:rFonts w:ascii="Arial" w:eastAsia="Times New Roman" w:hAnsi="Arial" w:cs="Arial"/>
          <w:noProof/>
          <w:color w:val="000000"/>
          <w:sz w:val="22"/>
          <w:szCs w:val="24"/>
          <w:lang w:val="es-ES_tradnl" w:eastAsia="es-ES_tradnl"/>
        </w:rPr>
      </w:pPr>
    </w:p>
    <w:p w14:paraId="4511DEFE" w14:textId="77777777" w:rsidR="009B4937" w:rsidRPr="00D80CCB" w:rsidRDefault="009B4937" w:rsidP="00D36E83">
      <w:pPr>
        <w:spacing w:line="276" w:lineRule="auto"/>
        <w:ind w:firstLine="709"/>
        <w:jc w:val="both"/>
        <w:rPr>
          <w:rFonts w:ascii="Arial" w:eastAsia="Times New Roman" w:hAnsi="Arial" w:cs="Arial"/>
          <w:noProof/>
          <w:color w:val="000000"/>
          <w:sz w:val="22"/>
          <w:szCs w:val="24"/>
          <w:lang w:val="es-ES_tradnl" w:eastAsia="es-ES_tradnl"/>
        </w:rPr>
      </w:pPr>
    </w:p>
    <w:p w14:paraId="2225513C" w14:textId="77777777" w:rsidR="00D36E83" w:rsidRPr="00D80CCB"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0CAA302F" w14:textId="77777777" w:rsidR="00D36E83" w:rsidRPr="00D80CCB"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2647FBD6" w14:textId="09AA3400" w:rsidR="009425F8" w:rsidRPr="00D80CCB" w:rsidRDefault="009425F8" w:rsidP="00775578">
      <w:pPr>
        <w:spacing w:line="276" w:lineRule="auto"/>
        <w:rPr>
          <w:rFonts w:ascii="Arial" w:eastAsia="Times New Roman" w:hAnsi="Arial" w:cs="Arial"/>
          <w:noProof/>
          <w:color w:val="000000"/>
          <w:sz w:val="22"/>
          <w:szCs w:val="24"/>
          <w:lang w:val="es-ES_tradnl" w:eastAsia="es-ES_tradnl"/>
        </w:rPr>
      </w:pPr>
    </w:p>
    <w:p w14:paraId="5B2162D4" w14:textId="576F97F5" w:rsidR="00775578" w:rsidRPr="00D80CCB" w:rsidRDefault="003571B8" w:rsidP="003571B8">
      <w:pPr>
        <w:spacing w:line="276" w:lineRule="auto"/>
        <w:jc w:val="right"/>
        <w:rPr>
          <w:rFonts w:ascii="Arial" w:eastAsia="Times New Roman" w:hAnsi="Arial" w:cs="Arial"/>
          <w:noProof/>
          <w:color w:val="000000"/>
          <w:sz w:val="22"/>
          <w:szCs w:val="24"/>
          <w:lang w:val="es-ES_tradnl" w:eastAsia="es-ES_tradnl"/>
        </w:rPr>
      </w:pPr>
      <w:r>
        <w:rPr>
          <w:noProof/>
        </w:rPr>
        <w:lastRenderedPageBreak/>
        <w:drawing>
          <wp:inline distT="0" distB="0" distL="0" distR="0" wp14:anchorId="6F258072" wp14:editId="4B42618D">
            <wp:extent cx="2428875" cy="685800"/>
            <wp:effectExtent l="0" t="0" r="9525"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2428875" cy="685800"/>
                    </a:xfrm>
                    <a:prstGeom prst="rect">
                      <a:avLst/>
                    </a:prstGeom>
                  </pic:spPr>
                </pic:pic>
              </a:graphicData>
            </a:graphic>
          </wp:inline>
        </w:drawing>
      </w:r>
    </w:p>
    <w:p w14:paraId="348971D4" w14:textId="77777777" w:rsidR="003571B8" w:rsidRPr="003571B8" w:rsidRDefault="003571B8" w:rsidP="003571B8">
      <w:pPr>
        <w:spacing w:line="276" w:lineRule="auto"/>
        <w:jc w:val="right"/>
        <w:rPr>
          <w:rFonts w:ascii="Arial" w:eastAsia="Times New Roman" w:hAnsi="Arial" w:cs="Arial"/>
          <w:noProof/>
          <w:color w:val="000000"/>
          <w:sz w:val="16"/>
          <w:szCs w:val="16"/>
          <w:lang w:val="es-ES_tradnl" w:eastAsia="es-ES_tradnl"/>
        </w:rPr>
      </w:pPr>
      <w:r w:rsidRPr="003571B8">
        <w:rPr>
          <w:sz w:val="16"/>
          <w:szCs w:val="16"/>
        </w:rPr>
        <w:t>CCE-DES-FM-17</w:t>
      </w:r>
    </w:p>
    <w:p w14:paraId="7286B2E2" w14:textId="77777777" w:rsidR="003571B8" w:rsidRDefault="003571B8" w:rsidP="00D36E83">
      <w:pPr>
        <w:spacing w:line="276" w:lineRule="auto"/>
        <w:jc w:val="both"/>
        <w:rPr>
          <w:rFonts w:ascii="Arial" w:eastAsia="Times New Roman" w:hAnsi="Arial" w:cs="Arial"/>
          <w:noProof/>
          <w:color w:val="000000"/>
          <w:sz w:val="22"/>
          <w:szCs w:val="24"/>
          <w:lang w:val="es-ES_tradnl" w:eastAsia="es-ES_tradnl"/>
        </w:rPr>
      </w:pPr>
    </w:p>
    <w:p w14:paraId="47B6DBB4" w14:textId="179F16CE" w:rsidR="00D36E83" w:rsidRPr="00D80CCB" w:rsidRDefault="00D36E83" w:rsidP="00D36E83">
      <w:pPr>
        <w:spacing w:line="276" w:lineRule="auto"/>
        <w:jc w:val="both"/>
        <w:rPr>
          <w:rFonts w:ascii="Arial" w:eastAsia="Times New Roman" w:hAnsi="Arial" w:cs="Arial"/>
          <w:b/>
          <w:bCs/>
          <w:noProof/>
          <w:color w:val="000000"/>
          <w:sz w:val="22"/>
          <w:szCs w:val="24"/>
          <w:lang w:val="es-ES_tradnl" w:eastAsia="es-ES_tradnl"/>
        </w:rPr>
      </w:pPr>
      <w:r w:rsidRPr="00D80CCB">
        <w:rPr>
          <w:rFonts w:ascii="Arial" w:eastAsia="Times New Roman" w:hAnsi="Arial" w:cs="Arial"/>
          <w:noProof/>
          <w:color w:val="000000"/>
          <w:sz w:val="22"/>
          <w:szCs w:val="24"/>
          <w:lang w:val="es-ES_tradnl" w:eastAsia="es-ES_tradnl"/>
        </w:rPr>
        <w:t xml:space="preserve">Bogotá D.C., </w:t>
      </w:r>
      <w:r w:rsidR="003571B8">
        <w:rPr>
          <w:rFonts w:ascii="Arial" w:eastAsia="Times New Roman" w:hAnsi="Arial" w:cs="Arial"/>
          <w:noProof/>
          <w:color w:val="000000"/>
          <w:sz w:val="22"/>
          <w:szCs w:val="24"/>
          <w:lang w:val="es-ES_tradnl" w:eastAsia="es-ES_tradnl"/>
        </w:rPr>
        <w:t>10 diciembre 2021</w:t>
      </w:r>
    </w:p>
    <w:p w14:paraId="7621DA72" w14:textId="77777777" w:rsidR="00D36E83" w:rsidRPr="00D80CCB" w:rsidRDefault="00D36E83" w:rsidP="009B4937">
      <w:pPr>
        <w:jc w:val="both"/>
        <w:rPr>
          <w:rFonts w:ascii="Arial" w:eastAsia="Times New Roman" w:hAnsi="Arial" w:cs="Arial"/>
          <w:b/>
          <w:color w:val="000000"/>
          <w:sz w:val="22"/>
          <w:szCs w:val="24"/>
          <w:lang w:val="es-ES_tradnl" w:eastAsia="es-ES_tradnl"/>
        </w:rPr>
      </w:pPr>
    </w:p>
    <w:p w14:paraId="0BC64200" w14:textId="0AF7B8EE" w:rsidR="00D36E83" w:rsidRPr="00D80CCB" w:rsidRDefault="00D36E83" w:rsidP="00D36E83">
      <w:pPr>
        <w:jc w:val="both"/>
        <w:rPr>
          <w:rFonts w:ascii="Arial" w:eastAsia="Calibri" w:hAnsi="Arial" w:cs="Arial"/>
          <w:bCs/>
          <w:color w:val="000000"/>
          <w:sz w:val="22"/>
          <w:szCs w:val="24"/>
          <w:lang w:val="es-ES_tradnl" w:eastAsia="es-ES_tradnl"/>
        </w:rPr>
      </w:pPr>
      <w:r w:rsidRPr="00D80CCB">
        <w:rPr>
          <w:rFonts w:ascii="Arial" w:eastAsia="Calibri" w:hAnsi="Arial" w:cs="Arial"/>
          <w:bCs/>
          <w:color w:val="000000"/>
          <w:sz w:val="22"/>
          <w:szCs w:val="24"/>
          <w:lang w:val="es-ES_tradnl" w:eastAsia="es-ES_tradnl"/>
        </w:rPr>
        <w:t>Señor</w:t>
      </w:r>
    </w:p>
    <w:p w14:paraId="70DE927A" w14:textId="769D6F76" w:rsidR="00D36E83" w:rsidRPr="00C5538C" w:rsidRDefault="00676A47" w:rsidP="00C5538C">
      <w:pPr>
        <w:jc w:val="both"/>
        <w:rPr>
          <w:rFonts w:ascii="Arial" w:eastAsia="Calibri" w:hAnsi="Arial" w:cs="Arial"/>
          <w:b/>
          <w:color w:val="000000"/>
          <w:sz w:val="22"/>
          <w:szCs w:val="24"/>
          <w:lang w:val="es-ES_tradnl" w:eastAsia="es-ES_tradnl"/>
        </w:rPr>
      </w:pPr>
      <w:r w:rsidRPr="00C5538C">
        <w:rPr>
          <w:rFonts w:ascii="Arial" w:eastAsia="Calibri" w:hAnsi="Arial" w:cs="Arial"/>
          <w:b/>
          <w:color w:val="000000"/>
          <w:sz w:val="22"/>
          <w:szCs w:val="24"/>
          <w:lang w:val="es-ES_tradnl" w:eastAsia="es-ES_tradnl"/>
        </w:rPr>
        <w:t>Víctor</w:t>
      </w:r>
      <w:r w:rsidR="00C5538C" w:rsidRPr="00C5538C">
        <w:rPr>
          <w:rFonts w:ascii="Arial" w:eastAsia="Calibri" w:hAnsi="Arial" w:cs="Arial"/>
          <w:b/>
          <w:color w:val="000000"/>
          <w:sz w:val="22"/>
          <w:szCs w:val="24"/>
          <w:lang w:val="es-ES_tradnl" w:eastAsia="es-ES_tradnl"/>
        </w:rPr>
        <w:t xml:space="preserve"> Jameth </w:t>
      </w:r>
      <w:r w:rsidRPr="00C5538C">
        <w:rPr>
          <w:rFonts w:ascii="Arial" w:eastAsia="Calibri" w:hAnsi="Arial" w:cs="Arial"/>
          <w:b/>
          <w:color w:val="000000"/>
          <w:sz w:val="22"/>
          <w:szCs w:val="24"/>
          <w:lang w:val="es-ES_tradnl" w:eastAsia="es-ES_tradnl"/>
        </w:rPr>
        <w:t>Obregón</w:t>
      </w:r>
      <w:r w:rsidR="00C5538C" w:rsidRPr="00C5538C">
        <w:rPr>
          <w:rFonts w:ascii="Arial" w:eastAsia="Calibri" w:hAnsi="Arial" w:cs="Arial"/>
          <w:b/>
          <w:color w:val="000000"/>
          <w:sz w:val="22"/>
          <w:szCs w:val="24"/>
          <w:lang w:val="es-ES_tradnl" w:eastAsia="es-ES_tradnl"/>
        </w:rPr>
        <w:t xml:space="preserve"> </w:t>
      </w:r>
      <w:r w:rsidRPr="00C5538C">
        <w:rPr>
          <w:rFonts w:ascii="Arial" w:eastAsia="Calibri" w:hAnsi="Arial" w:cs="Arial"/>
          <w:b/>
          <w:color w:val="000000"/>
          <w:sz w:val="22"/>
          <w:szCs w:val="24"/>
          <w:lang w:val="es-ES_tradnl" w:eastAsia="es-ES_tradnl"/>
        </w:rPr>
        <w:t>Farfán</w:t>
      </w:r>
    </w:p>
    <w:p w14:paraId="140EADA4" w14:textId="77777777" w:rsidR="00C5538C" w:rsidRPr="00D80CCB" w:rsidRDefault="00C5538C" w:rsidP="00C5538C">
      <w:pPr>
        <w:jc w:val="both"/>
        <w:rPr>
          <w:rFonts w:ascii="Arial" w:eastAsia="Calibri" w:hAnsi="Arial" w:cs="Arial"/>
          <w:color w:val="000000"/>
          <w:sz w:val="22"/>
          <w:szCs w:val="24"/>
          <w:lang w:val="es-ES_tradnl" w:eastAsia="es-ES_tradnl"/>
        </w:rPr>
      </w:pPr>
    </w:p>
    <w:p w14:paraId="25A64004" w14:textId="6C66CE2F" w:rsidR="00D36E83" w:rsidRPr="00D80CCB" w:rsidRDefault="00D36E83" w:rsidP="00D36E83">
      <w:pPr>
        <w:ind w:firstLine="709"/>
        <w:rPr>
          <w:rFonts w:ascii="Arial" w:eastAsia="Calibri" w:hAnsi="Arial" w:cs="Arial"/>
          <w:b/>
          <w:bCs/>
          <w:color w:val="000000"/>
          <w:sz w:val="22"/>
          <w:szCs w:val="24"/>
          <w:lang w:val="es-ES_tradnl" w:eastAsia="es-ES_tradnl"/>
        </w:rPr>
      </w:pPr>
      <w:r w:rsidRPr="00D80CCB">
        <w:rPr>
          <w:rFonts w:ascii="Arial" w:eastAsia="Calibri" w:hAnsi="Arial" w:cs="Arial"/>
          <w:b/>
          <w:bCs/>
          <w:color w:val="000000"/>
          <w:sz w:val="22"/>
          <w:szCs w:val="24"/>
          <w:lang w:val="es-ES_tradnl" w:eastAsia="es-ES_tradnl"/>
        </w:rPr>
        <w:t xml:space="preserve">                                 Concepto C ‒ </w:t>
      </w:r>
      <w:r w:rsidR="008D03BC">
        <w:rPr>
          <w:rFonts w:ascii="Arial" w:eastAsia="Calibri" w:hAnsi="Arial" w:cs="Arial"/>
          <w:b/>
          <w:bCs/>
          <w:color w:val="000000"/>
          <w:sz w:val="22"/>
          <w:szCs w:val="24"/>
          <w:lang w:val="es-ES_tradnl" w:eastAsia="es-ES_tradnl"/>
        </w:rPr>
        <w:t>710</w:t>
      </w:r>
      <w:r w:rsidR="00775578" w:rsidRPr="00D80CCB">
        <w:rPr>
          <w:rFonts w:ascii="Arial" w:eastAsia="Calibri" w:hAnsi="Arial" w:cs="Arial"/>
          <w:b/>
          <w:bCs/>
          <w:color w:val="000000"/>
          <w:sz w:val="22"/>
          <w:szCs w:val="24"/>
          <w:lang w:val="es-ES_tradnl" w:eastAsia="es-ES_tradnl"/>
        </w:rPr>
        <w:t xml:space="preserve"> </w:t>
      </w:r>
      <w:r w:rsidRPr="00D80CCB">
        <w:rPr>
          <w:rFonts w:ascii="Arial" w:eastAsia="Calibri" w:hAnsi="Arial" w:cs="Arial"/>
          <w:b/>
          <w:bCs/>
          <w:color w:val="000000"/>
          <w:sz w:val="22"/>
          <w:szCs w:val="24"/>
          <w:lang w:val="es-ES_tradnl" w:eastAsia="es-ES_tradnl"/>
        </w:rPr>
        <w:t>de 2021</w:t>
      </w:r>
    </w:p>
    <w:p w14:paraId="75F2B04B" w14:textId="77777777" w:rsidR="00D36E83" w:rsidRPr="00D80CCB" w:rsidRDefault="00D36E83" w:rsidP="00D36E83">
      <w:pPr>
        <w:ind w:firstLine="709"/>
        <w:jc w:val="both"/>
        <w:rPr>
          <w:rFonts w:ascii="Arial" w:eastAsia="Calibri" w:hAnsi="Arial" w:cs="Arial"/>
          <w:color w:val="000000"/>
          <w:sz w:val="22"/>
          <w:szCs w:val="24"/>
          <w:lang w:val="es-ES_tradnl" w:eastAsia="es-ES_tradn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36E83" w:rsidRPr="00D80CCB" w14:paraId="7BE9E8D1" w14:textId="77777777" w:rsidTr="00FB18E1">
        <w:tc>
          <w:tcPr>
            <w:tcW w:w="2689" w:type="dxa"/>
          </w:tcPr>
          <w:p w14:paraId="7A621B16" w14:textId="77777777" w:rsidR="00D36E83" w:rsidRPr="00D80CCB" w:rsidRDefault="00D36E83" w:rsidP="00D36E83">
            <w:pPr>
              <w:jc w:val="both"/>
              <w:rPr>
                <w:rFonts w:ascii="Arial" w:eastAsia="Calibri" w:hAnsi="Arial" w:cs="Arial"/>
                <w:color w:val="000000"/>
                <w:sz w:val="22"/>
                <w:szCs w:val="24"/>
                <w:lang w:val="es-ES_tradnl" w:eastAsia="es-ES_tradnl"/>
              </w:rPr>
            </w:pPr>
            <w:r w:rsidRPr="00D80CCB">
              <w:rPr>
                <w:rFonts w:ascii="Arial" w:eastAsia="Calibri" w:hAnsi="Arial" w:cs="Arial"/>
                <w:b/>
                <w:color w:val="000000"/>
                <w:sz w:val="22"/>
                <w:szCs w:val="24"/>
                <w:lang w:val="es-ES_tradnl" w:eastAsia="es-ES_tradnl"/>
              </w:rPr>
              <w:t>Temas:</w:t>
            </w:r>
            <w:r w:rsidRPr="00D80CCB">
              <w:rPr>
                <w:rFonts w:ascii="Arial" w:eastAsia="Calibri" w:hAnsi="Arial" w:cs="Arial"/>
                <w:color w:val="000000"/>
                <w:sz w:val="22"/>
                <w:szCs w:val="24"/>
                <w:lang w:val="es-ES_tradnl" w:eastAsia="es-ES_tradnl"/>
              </w:rPr>
              <w:t xml:space="preserve">                                      </w:t>
            </w:r>
          </w:p>
        </w:tc>
        <w:tc>
          <w:tcPr>
            <w:tcW w:w="6237" w:type="dxa"/>
          </w:tcPr>
          <w:p w14:paraId="20B62649" w14:textId="0A54CA24" w:rsidR="00D36E83" w:rsidRPr="00D80CCB" w:rsidRDefault="00D36E83" w:rsidP="00DC7A4A">
            <w:pPr>
              <w:ind w:firstLine="0"/>
              <w:jc w:val="both"/>
              <w:rPr>
                <w:rFonts w:ascii="Arial" w:eastAsia="Times New Roman" w:hAnsi="Arial" w:cs="Arial"/>
                <w:b/>
                <w:bCs/>
                <w:color w:val="000000"/>
                <w:sz w:val="22"/>
                <w:lang w:val="es-ES_tradnl" w:eastAsia="es-ES_tradnl"/>
              </w:rPr>
            </w:pPr>
            <w:r w:rsidRPr="00D80CCB">
              <w:rPr>
                <w:rFonts w:ascii="Arial" w:eastAsia="Calibri" w:hAnsi="Arial" w:cs="Arial"/>
                <w:bCs/>
                <w:color w:val="000000"/>
                <w:sz w:val="22"/>
                <w:szCs w:val="24"/>
                <w:lang w:val="es-ES_tradnl" w:eastAsia="es-ES_tradnl"/>
              </w:rPr>
              <w:t>DECRETO 399 DE 2021 – Finalidad – Reactivación económica / DECRETO 399 DE 2021 – Información – Capacidad financiera – Capacidad organizacional / MEJOR AÑO FISCAL – Decreto 399 – Capacidad financiera – Capacidad organizacional</w:t>
            </w:r>
            <w:r w:rsidR="00051D60">
              <w:rPr>
                <w:rFonts w:ascii="Arial" w:eastAsia="Calibri" w:hAnsi="Arial" w:cs="Arial"/>
                <w:bCs/>
                <w:color w:val="000000"/>
                <w:sz w:val="22"/>
                <w:szCs w:val="24"/>
                <w:lang w:val="es-ES_tradnl" w:eastAsia="es-ES_tradnl"/>
              </w:rPr>
              <w:t xml:space="preserve"> </w:t>
            </w:r>
            <w:r w:rsidRPr="00D80CCB">
              <w:rPr>
                <w:rFonts w:ascii="Arial" w:eastAsia="Calibri" w:hAnsi="Arial" w:cs="Arial"/>
                <w:bCs/>
                <w:color w:val="000000"/>
                <w:sz w:val="22"/>
                <w:szCs w:val="24"/>
                <w:lang w:val="es-ES_tradnl" w:eastAsia="es-ES_tradnl"/>
              </w:rPr>
              <w:t>/</w:t>
            </w:r>
            <w:r w:rsidRPr="00D80CCB">
              <w:rPr>
                <w:rFonts w:ascii="Arial" w:eastAsia="Times New Roman" w:hAnsi="Arial" w:cs="Arial"/>
                <w:bCs/>
                <w:color w:val="000000"/>
                <w:sz w:val="22"/>
                <w:lang w:val="es-ES_tradnl" w:eastAsia="es-ES_tradnl"/>
              </w:rPr>
              <w:t xml:space="preserve"> EVALUACIÓN DE LA CAPACIDAD FINANCIERA Y ORGANIZACIONAL – Proponente plural – Mejor año fiscal</w:t>
            </w:r>
          </w:p>
          <w:p w14:paraId="06E78BC6" w14:textId="77777777" w:rsidR="00D36E83" w:rsidRPr="00D80CCB" w:rsidRDefault="00D36E83" w:rsidP="00D36E83">
            <w:pPr>
              <w:jc w:val="both"/>
              <w:rPr>
                <w:rFonts w:ascii="Arial" w:eastAsia="Calibri" w:hAnsi="Arial" w:cs="Arial"/>
                <w:color w:val="000000"/>
                <w:sz w:val="22"/>
                <w:szCs w:val="24"/>
                <w:lang w:val="es-ES_tradnl" w:eastAsia="es-ES_tradnl"/>
              </w:rPr>
            </w:pPr>
          </w:p>
        </w:tc>
      </w:tr>
      <w:tr w:rsidR="00D36E83" w:rsidRPr="00D80CCB" w14:paraId="71AA3FAF" w14:textId="77777777" w:rsidTr="00FB18E1">
        <w:trPr>
          <w:trHeight w:val="67"/>
        </w:trPr>
        <w:tc>
          <w:tcPr>
            <w:tcW w:w="2689" w:type="dxa"/>
          </w:tcPr>
          <w:p w14:paraId="57959B7A" w14:textId="77777777" w:rsidR="00D36E83" w:rsidRPr="00D80CCB" w:rsidRDefault="00D36E83" w:rsidP="00D36E83">
            <w:pPr>
              <w:spacing w:before="120"/>
              <w:jc w:val="both"/>
              <w:rPr>
                <w:rFonts w:ascii="Arial" w:eastAsia="Calibri" w:hAnsi="Arial" w:cs="Arial"/>
                <w:b/>
                <w:color w:val="000000"/>
                <w:sz w:val="22"/>
                <w:lang w:val="es-ES_tradnl" w:eastAsia="es-ES_tradnl"/>
              </w:rPr>
            </w:pPr>
            <w:r w:rsidRPr="00D80CCB">
              <w:rPr>
                <w:rFonts w:ascii="Arial" w:eastAsia="Calibri" w:hAnsi="Arial" w:cs="Arial"/>
                <w:b/>
                <w:color w:val="000000"/>
                <w:sz w:val="22"/>
                <w:lang w:val="es-ES_tradnl" w:eastAsia="es-ES_tradnl"/>
              </w:rPr>
              <w:t>Radicación:</w:t>
            </w:r>
            <w:r w:rsidRPr="00D80CCB">
              <w:rPr>
                <w:rFonts w:ascii="Arial" w:eastAsia="Calibri" w:hAnsi="Arial" w:cs="Arial"/>
                <w:color w:val="000000"/>
                <w:sz w:val="22"/>
                <w:lang w:val="es-ES_tradnl" w:eastAsia="es-ES_tradnl"/>
              </w:rPr>
              <w:t xml:space="preserve">                              </w:t>
            </w:r>
          </w:p>
        </w:tc>
        <w:tc>
          <w:tcPr>
            <w:tcW w:w="6237" w:type="dxa"/>
          </w:tcPr>
          <w:p w14:paraId="217A7369" w14:textId="39728C62" w:rsidR="00D36E83" w:rsidRPr="00D80CCB" w:rsidRDefault="00D36E83" w:rsidP="00DC7A4A">
            <w:pPr>
              <w:spacing w:before="120"/>
              <w:ind w:firstLine="0"/>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t xml:space="preserve">Respuesta a consulta # </w:t>
            </w:r>
            <w:r w:rsidRPr="00D80CCB">
              <w:rPr>
                <w:rFonts w:ascii="Arial" w:eastAsia="Times New Roman" w:hAnsi="Arial" w:cs="Arial"/>
                <w:color w:val="000000"/>
                <w:sz w:val="22"/>
                <w:lang w:val="es-CO" w:eastAsia="es-CO"/>
              </w:rPr>
              <w:t>P</w:t>
            </w:r>
            <w:r w:rsidR="00051D60" w:rsidRPr="00051D60">
              <w:rPr>
                <w:rFonts w:ascii="Arial" w:eastAsia="Times New Roman" w:hAnsi="Arial" w:cs="Arial"/>
                <w:color w:val="000000"/>
                <w:sz w:val="22"/>
                <w:lang w:val="es-CO" w:eastAsia="es-CO"/>
              </w:rPr>
              <w:t>20211203011212</w:t>
            </w:r>
          </w:p>
        </w:tc>
      </w:tr>
    </w:tbl>
    <w:p w14:paraId="2B5A13C9" w14:textId="77777777" w:rsidR="00D36E83" w:rsidRPr="00D80CCB" w:rsidRDefault="00D36E83" w:rsidP="00D36E83">
      <w:pPr>
        <w:ind w:firstLine="709"/>
        <w:jc w:val="both"/>
        <w:rPr>
          <w:rFonts w:ascii="Arial" w:eastAsia="Calibri" w:hAnsi="Arial" w:cs="Arial"/>
          <w:color w:val="000000"/>
          <w:sz w:val="22"/>
          <w:szCs w:val="24"/>
          <w:lang w:val="es-ES_tradnl" w:eastAsia="es-ES_tradnl"/>
        </w:rPr>
      </w:pPr>
    </w:p>
    <w:p w14:paraId="39B5DF8F" w14:textId="16D8D689" w:rsidR="00D36E83" w:rsidRPr="00D80CCB" w:rsidRDefault="00D36E83" w:rsidP="00D36E83">
      <w:pPr>
        <w:jc w:val="both"/>
        <w:rPr>
          <w:rFonts w:ascii="Arial" w:eastAsia="Calibri" w:hAnsi="Arial" w:cs="Arial"/>
          <w:color w:val="000000"/>
          <w:sz w:val="22"/>
          <w:szCs w:val="24"/>
          <w:lang w:val="es-ES_tradnl" w:eastAsia="es-ES_tradnl"/>
        </w:rPr>
      </w:pPr>
      <w:r w:rsidRPr="00D80CCB">
        <w:rPr>
          <w:rFonts w:ascii="Arial" w:eastAsia="Calibri" w:hAnsi="Arial" w:cs="Arial"/>
          <w:color w:val="000000"/>
          <w:sz w:val="22"/>
          <w:szCs w:val="24"/>
          <w:lang w:val="es-ES_tradnl" w:eastAsia="es-ES_tradnl"/>
        </w:rPr>
        <w:t>Estimad</w:t>
      </w:r>
      <w:r w:rsidR="00051D60">
        <w:rPr>
          <w:rFonts w:ascii="Arial" w:eastAsia="Calibri" w:hAnsi="Arial" w:cs="Arial"/>
          <w:color w:val="000000"/>
          <w:sz w:val="22"/>
          <w:szCs w:val="24"/>
          <w:lang w:val="es-ES_tradnl" w:eastAsia="es-ES_tradnl"/>
        </w:rPr>
        <w:t>o</w:t>
      </w:r>
      <w:r w:rsidRPr="00D80CCB">
        <w:rPr>
          <w:rFonts w:ascii="Arial" w:eastAsia="Calibri" w:hAnsi="Arial" w:cs="Arial"/>
          <w:color w:val="000000"/>
          <w:sz w:val="22"/>
          <w:szCs w:val="24"/>
          <w:lang w:val="es-ES_tradnl" w:eastAsia="es-ES_tradnl"/>
        </w:rPr>
        <w:t xml:space="preserve"> señor</w:t>
      </w:r>
      <w:r w:rsidR="00775578" w:rsidRPr="00D80CCB">
        <w:rPr>
          <w:rFonts w:ascii="Arial" w:eastAsia="Calibri" w:hAnsi="Arial" w:cs="Arial"/>
          <w:color w:val="000000"/>
          <w:sz w:val="22"/>
          <w:szCs w:val="24"/>
          <w:lang w:val="es-ES_tradnl" w:eastAsia="es-ES_tradnl"/>
        </w:rPr>
        <w:t xml:space="preserve"> </w:t>
      </w:r>
      <w:r w:rsidR="00051D60">
        <w:rPr>
          <w:rFonts w:ascii="Arial" w:eastAsia="Calibri" w:hAnsi="Arial" w:cs="Arial"/>
          <w:color w:val="000000"/>
          <w:sz w:val="22"/>
          <w:szCs w:val="24"/>
          <w:lang w:val="es-ES_tradnl" w:eastAsia="es-ES_tradnl"/>
        </w:rPr>
        <w:t>Obreg</w:t>
      </w:r>
      <w:r w:rsidR="00775578" w:rsidRPr="00D80CCB">
        <w:rPr>
          <w:rFonts w:ascii="Arial" w:eastAsia="Calibri" w:hAnsi="Arial" w:cs="Arial"/>
          <w:color w:val="000000"/>
          <w:sz w:val="22"/>
          <w:szCs w:val="24"/>
          <w:lang w:val="es-ES_tradnl" w:eastAsia="es-ES_tradnl"/>
        </w:rPr>
        <w:t>ón</w:t>
      </w:r>
      <w:r w:rsidRPr="00D80CCB">
        <w:rPr>
          <w:rFonts w:ascii="Arial" w:eastAsia="Calibri" w:hAnsi="Arial" w:cs="Arial"/>
          <w:color w:val="000000"/>
          <w:sz w:val="22"/>
          <w:szCs w:val="24"/>
          <w:lang w:val="es-ES_tradnl" w:eastAsia="es-ES_tradnl"/>
        </w:rPr>
        <w:t>:</w:t>
      </w:r>
    </w:p>
    <w:p w14:paraId="114E4D1D" w14:textId="77777777" w:rsidR="00D36E83" w:rsidRPr="00D80CCB" w:rsidRDefault="00D36E83" w:rsidP="00D36E83">
      <w:pPr>
        <w:ind w:firstLine="709"/>
        <w:jc w:val="both"/>
        <w:rPr>
          <w:rFonts w:ascii="Arial" w:eastAsia="Calibri" w:hAnsi="Arial" w:cs="Arial"/>
          <w:color w:val="000000"/>
          <w:sz w:val="22"/>
          <w:szCs w:val="24"/>
          <w:lang w:val="es-ES_tradnl" w:eastAsia="es-ES_tradnl"/>
        </w:rPr>
      </w:pPr>
    </w:p>
    <w:p w14:paraId="03F1150D" w14:textId="0CE92691" w:rsidR="00D36E83" w:rsidRPr="00D80CCB" w:rsidRDefault="00D36E83" w:rsidP="00D36E83">
      <w:pPr>
        <w:spacing w:line="276" w:lineRule="auto"/>
        <w:jc w:val="both"/>
        <w:rPr>
          <w:rFonts w:ascii="Arial" w:eastAsia="Calibri" w:hAnsi="Arial" w:cs="Arial"/>
          <w:color w:val="000000"/>
          <w:sz w:val="22"/>
          <w:szCs w:val="24"/>
          <w:lang w:val="es-ES_tradnl" w:eastAsia="es-ES_tradnl"/>
        </w:rPr>
      </w:pPr>
      <w:r w:rsidRPr="00D80CCB">
        <w:rPr>
          <w:rFonts w:ascii="Arial" w:eastAsia="Calibri" w:hAnsi="Arial" w:cs="Arial"/>
          <w:color w:val="000000"/>
          <w:sz w:val="22"/>
          <w:szCs w:val="24"/>
          <w:lang w:val="es-ES_tradnl" w:eastAsia="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816142">
        <w:rPr>
          <w:rFonts w:ascii="Arial" w:eastAsia="Calibri" w:hAnsi="Arial" w:cs="Arial"/>
          <w:color w:val="000000"/>
          <w:sz w:val="22"/>
          <w:szCs w:val="24"/>
          <w:lang w:val="es-ES_tradnl" w:eastAsia="es-ES_tradnl"/>
        </w:rPr>
        <w:t xml:space="preserve">6 de diciembre </w:t>
      </w:r>
      <w:r w:rsidRPr="00D80CCB">
        <w:rPr>
          <w:rFonts w:ascii="Arial" w:eastAsia="Calibri" w:hAnsi="Arial" w:cs="Arial"/>
          <w:color w:val="000000"/>
          <w:sz w:val="22"/>
          <w:szCs w:val="24"/>
          <w:lang w:val="es-ES_tradnl" w:eastAsia="es-ES_tradnl"/>
        </w:rPr>
        <w:t>de 2021.</w:t>
      </w:r>
    </w:p>
    <w:p w14:paraId="52C13A16" w14:textId="77777777" w:rsidR="00D36E83" w:rsidRPr="00D80CCB" w:rsidRDefault="00D36E83" w:rsidP="00D36E83">
      <w:pPr>
        <w:spacing w:line="276" w:lineRule="auto"/>
        <w:ind w:firstLine="709"/>
        <w:jc w:val="both"/>
        <w:rPr>
          <w:rFonts w:ascii="Arial" w:eastAsia="Calibri" w:hAnsi="Arial" w:cs="Arial"/>
          <w:b/>
          <w:color w:val="000000"/>
          <w:sz w:val="22"/>
          <w:szCs w:val="24"/>
          <w:lang w:val="es-ES_tradnl" w:eastAsia="es-ES_tradnl"/>
        </w:rPr>
      </w:pPr>
    </w:p>
    <w:p w14:paraId="59DE37D4" w14:textId="77777777" w:rsidR="00D36E83" w:rsidRPr="00D80CCB" w:rsidRDefault="00D36E83" w:rsidP="00D36E83">
      <w:pPr>
        <w:numPr>
          <w:ilvl w:val="0"/>
          <w:numId w:val="13"/>
        </w:numPr>
        <w:tabs>
          <w:tab w:val="left" w:pos="0"/>
          <w:tab w:val="left" w:pos="142"/>
          <w:tab w:val="left" w:pos="284"/>
        </w:tabs>
        <w:spacing w:line="276" w:lineRule="auto"/>
        <w:ind w:left="0" w:firstLine="0"/>
        <w:contextualSpacing/>
        <w:jc w:val="both"/>
        <w:rPr>
          <w:rFonts w:ascii="Arial" w:eastAsia="Calibri" w:hAnsi="Arial" w:cs="Arial"/>
          <w:b/>
          <w:color w:val="000000"/>
          <w:sz w:val="22"/>
          <w:lang w:val="es-ES_tradnl"/>
        </w:rPr>
      </w:pPr>
      <w:r w:rsidRPr="00D80CCB">
        <w:rPr>
          <w:rFonts w:ascii="Arial" w:eastAsia="Calibri" w:hAnsi="Arial" w:cs="Arial"/>
          <w:b/>
          <w:color w:val="000000"/>
          <w:sz w:val="22"/>
          <w:lang w:val="es-ES_tradnl"/>
        </w:rPr>
        <w:t xml:space="preserve">Problema planteado </w:t>
      </w:r>
    </w:p>
    <w:p w14:paraId="3643E96C" w14:textId="77777777" w:rsidR="00F47033" w:rsidRPr="00D80CCB" w:rsidRDefault="00F47033" w:rsidP="00F47033">
      <w:pPr>
        <w:spacing w:line="276" w:lineRule="auto"/>
        <w:jc w:val="both"/>
        <w:rPr>
          <w:rFonts w:ascii="Arial" w:eastAsia="Times New Roman" w:hAnsi="Arial" w:cs="Arial"/>
          <w:color w:val="000000"/>
          <w:sz w:val="22"/>
          <w:szCs w:val="24"/>
          <w:lang w:val="es-ES_tradnl" w:eastAsia="es-ES_tradnl"/>
        </w:rPr>
      </w:pPr>
    </w:p>
    <w:p w14:paraId="0842DC8E" w14:textId="72EBF4B5" w:rsidR="00495E5E" w:rsidRDefault="00495E5E" w:rsidP="00495E5E">
      <w:pPr>
        <w:spacing w:line="276" w:lineRule="auto"/>
        <w:jc w:val="both"/>
        <w:rPr>
          <w:rFonts w:ascii="Arial" w:hAnsi="Arial" w:cs="Arial"/>
          <w:color w:val="000000" w:themeColor="text1"/>
          <w:sz w:val="22"/>
          <w:lang w:val="es-ES_tradnl"/>
        </w:rPr>
      </w:pPr>
      <w:r w:rsidRPr="00CF16CF">
        <w:rPr>
          <w:rFonts w:ascii="Arial" w:hAnsi="Arial" w:cs="Arial"/>
          <w:color w:val="000000" w:themeColor="text1"/>
          <w:sz w:val="22"/>
          <w:lang w:val="es-ES_tradnl"/>
        </w:rPr>
        <w:t xml:space="preserve">Usted formula la siguiente consulta: </w:t>
      </w:r>
    </w:p>
    <w:p w14:paraId="6117B1F9" w14:textId="77777777" w:rsidR="00495E5E" w:rsidRPr="00CF16CF" w:rsidRDefault="00495E5E" w:rsidP="00495E5E">
      <w:pPr>
        <w:spacing w:line="276" w:lineRule="auto"/>
        <w:jc w:val="both"/>
        <w:rPr>
          <w:rFonts w:ascii="Arial" w:hAnsi="Arial" w:cs="Arial"/>
          <w:color w:val="000000" w:themeColor="text1"/>
          <w:sz w:val="22"/>
          <w:lang w:val="es-ES_tradnl"/>
        </w:rPr>
      </w:pPr>
    </w:p>
    <w:p w14:paraId="665E9D36" w14:textId="0ECF6031" w:rsidR="00F47033" w:rsidRPr="000970CE" w:rsidRDefault="009C2A82" w:rsidP="00495E5E">
      <w:pPr>
        <w:ind w:left="709" w:right="709"/>
        <w:jc w:val="both"/>
        <w:rPr>
          <w:rFonts w:ascii="Arial" w:eastAsia="Times New Roman" w:hAnsi="Arial" w:cs="Arial"/>
          <w:color w:val="000000"/>
          <w:sz w:val="21"/>
          <w:szCs w:val="21"/>
          <w:lang w:val="es-ES_tradnl" w:eastAsia="es-ES_tradnl"/>
        </w:rPr>
      </w:pPr>
      <w:r w:rsidRPr="000970CE">
        <w:rPr>
          <w:rFonts w:ascii="Arial" w:eastAsia="Times New Roman" w:hAnsi="Arial" w:cs="Arial"/>
          <w:color w:val="000000"/>
          <w:sz w:val="21"/>
          <w:szCs w:val="21"/>
          <w:lang w:val="es-ES_tradnl" w:eastAsia="es-ES_tradnl"/>
        </w:rPr>
        <w:t>«En atención a la aplicación de los Decretos 399 de 2021 y 579 de 2021, frente a la información de los RUP que aportan los oferentes plurales, la entidad encargada de adelantar el proceso de verificación de la información financiera deberá establecer para su análisis solo una vigencia para los participantes que conforman el consorcio, ejemplo: se decide por parte de la entidad solo analizar la vigencia 2020 del RUP para todos los participantes del oferente plural O puede optar por tomar diferentes vigencias para cada uno de los consorciados. ejemplo para el análisis del CONSORCIO X se puede tomar para el Participante 1 el año 2020 y para el Participante 2 el año 2019?»</w:t>
      </w:r>
    </w:p>
    <w:p w14:paraId="33B1BAC3" w14:textId="77777777" w:rsidR="00D36E83" w:rsidRDefault="00D36E83" w:rsidP="00F47033">
      <w:pPr>
        <w:ind w:right="709"/>
        <w:jc w:val="both"/>
        <w:rPr>
          <w:rFonts w:ascii="Arial" w:eastAsia="Times New Roman" w:hAnsi="Arial" w:cs="Arial"/>
          <w:color w:val="000000"/>
          <w:sz w:val="21"/>
          <w:szCs w:val="21"/>
          <w:lang w:eastAsia="es-ES_tradnl"/>
        </w:rPr>
      </w:pPr>
    </w:p>
    <w:p w14:paraId="4831F7C1" w14:textId="77777777" w:rsidR="00887A6E" w:rsidRDefault="00887A6E" w:rsidP="00F47033">
      <w:pPr>
        <w:ind w:right="709"/>
        <w:jc w:val="both"/>
        <w:rPr>
          <w:rFonts w:ascii="Arial" w:eastAsia="Times New Roman" w:hAnsi="Arial" w:cs="Arial"/>
          <w:color w:val="000000"/>
          <w:sz w:val="21"/>
          <w:szCs w:val="21"/>
          <w:lang w:eastAsia="es-ES_tradnl"/>
        </w:rPr>
      </w:pPr>
    </w:p>
    <w:p w14:paraId="0900D901" w14:textId="77777777" w:rsidR="00887A6E" w:rsidRPr="009C2A82" w:rsidRDefault="00887A6E" w:rsidP="00F47033">
      <w:pPr>
        <w:ind w:right="709"/>
        <w:jc w:val="both"/>
        <w:rPr>
          <w:rFonts w:ascii="Arial" w:eastAsia="Times New Roman" w:hAnsi="Arial" w:cs="Arial"/>
          <w:color w:val="000000"/>
          <w:sz w:val="21"/>
          <w:szCs w:val="21"/>
          <w:lang w:eastAsia="es-ES_tradnl"/>
        </w:rPr>
      </w:pPr>
    </w:p>
    <w:p w14:paraId="0BCA1BFD" w14:textId="13FB1C3E" w:rsidR="00175A33" w:rsidRDefault="00D36E83" w:rsidP="00175A33">
      <w:pPr>
        <w:numPr>
          <w:ilvl w:val="0"/>
          <w:numId w:val="13"/>
        </w:numPr>
        <w:tabs>
          <w:tab w:val="left" w:pos="0"/>
          <w:tab w:val="left" w:pos="284"/>
        </w:tabs>
        <w:spacing w:after="120" w:line="276" w:lineRule="auto"/>
        <w:ind w:left="0" w:firstLine="0"/>
        <w:contextualSpacing/>
        <w:jc w:val="both"/>
        <w:rPr>
          <w:rFonts w:ascii="Arial" w:eastAsia="Calibri" w:hAnsi="Arial" w:cs="Arial"/>
          <w:color w:val="000000"/>
          <w:sz w:val="22"/>
          <w:lang w:val="es-ES_tradnl" w:eastAsia="es-ES_tradnl"/>
        </w:rPr>
      </w:pPr>
      <w:r w:rsidRPr="00175A33">
        <w:rPr>
          <w:rFonts w:ascii="Arial" w:eastAsia="Calibri" w:hAnsi="Arial" w:cs="Arial"/>
          <w:b/>
          <w:color w:val="000000"/>
          <w:sz w:val="22"/>
          <w:lang w:val="es-ES_tradnl"/>
        </w:rPr>
        <w:lastRenderedPageBreak/>
        <w:t>Consideraciones</w:t>
      </w:r>
    </w:p>
    <w:p w14:paraId="2E1FED56" w14:textId="77777777" w:rsidR="00702D3B" w:rsidRPr="00702D3B" w:rsidRDefault="00702D3B" w:rsidP="00702D3B">
      <w:pPr>
        <w:tabs>
          <w:tab w:val="left" w:pos="0"/>
          <w:tab w:val="left" w:pos="284"/>
        </w:tabs>
        <w:spacing w:after="120" w:line="276" w:lineRule="auto"/>
        <w:contextualSpacing/>
        <w:jc w:val="both"/>
        <w:rPr>
          <w:rFonts w:ascii="Arial" w:eastAsia="Calibri" w:hAnsi="Arial" w:cs="Arial"/>
          <w:color w:val="000000"/>
          <w:sz w:val="22"/>
          <w:lang w:val="es-ES_tradnl" w:eastAsia="es-ES_tradnl"/>
        </w:rPr>
      </w:pPr>
    </w:p>
    <w:p w14:paraId="1B28F220" w14:textId="7FFCC43F" w:rsidR="00175A33" w:rsidRPr="00175A33" w:rsidRDefault="00D36E83" w:rsidP="00175A33">
      <w:pPr>
        <w:tabs>
          <w:tab w:val="left" w:pos="0"/>
          <w:tab w:val="left" w:pos="284"/>
        </w:tabs>
        <w:snapToGrid w:val="0"/>
        <w:spacing w:after="120" w:line="276" w:lineRule="auto"/>
        <w:jc w:val="both"/>
        <w:rPr>
          <w:rFonts w:ascii="Arial" w:eastAsia="Calibri" w:hAnsi="Arial" w:cs="Arial"/>
          <w:color w:val="000000"/>
          <w:sz w:val="22"/>
          <w:lang w:val="es-ES_tradnl" w:eastAsia="es-ES_tradnl"/>
        </w:rPr>
      </w:pPr>
      <w:r w:rsidRPr="00175A33">
        <w:rPr>
          <w:rFonts w:ascii="Arial" w:eastAsia="Calibri" w:hAnsi="Arial" w:cs="Arial"/>
          <w:color w:val="000000"/>
          <w:sz w:val="22"/>
          <w:lang w:val="es-ES_tradnl" w:eastAsia="es-ES_tradnl"/>
        </w:rPr>
        <w:t>La Subdirección de Gestión Contractual responderá la consulta, luego de analizar los siguientes temas: i) requisitos habilitantes de capacidad financiera y organizacional</w:t>
      </w:r>
      <w:r w:rsidR="00DB61F3" w:rsidRPr="00175A33">
        <w:rPr>
          <w:rFonts w:ascii="Arial" w:eastAsia="Calibri" w:hAnsi="Arial" w:cs="Arial"/>
          <w:color w:val="000000"/>
          <w:sz w:val="22"/>
          <w:lang w:val="es-ES_tradnl" w:eastAsia="es-ES_tradnl"/>
        </w:rPr>
        <w:t>;</w:t>
      </w:r>
      <w:r w:rsidRPr="00175A33">
        <w:rPr>
          <w:rFonts w:ascii="Arial" w:eastAsia="Calibri" w:hAnsi="Arial" w:cs="Arial"/>
          <w:color w:val="000000"/>
          <w:sz w:val="22"/>
          <w:lang w:val="es-ES_tradnl" w:eastAsia="es-ES_tradnl"/>
        </w:rPr>
        <w:t xml:space="preserve"> </w:t>
      </w:r>
      <w:r w:rsidR="00B52F07" w:rsidRPr="00175A33">
        <w:rPr>
          <w:rFonts w:ascii="Arial" w:eastAsia="Calibri" w:hAnsi="Arial" w:cs="Arial"/>
          <w:color w:val="000000"/>
          <w:sz w:val="22"/>
          <w:lang w:val="es-ES_tradnl" w:eastAsia="es-ES_tradnl"/>
        </w:rPr>
        <w:t>i</w:t>
      </w:r>
      <w:r w:rsidRPr="00175A33">
        <w:rPr>
          <w:rFonts w:ascii="Arial" w:eastAsia="Calibri" w:hAnsi="Arial" w:cs="Arial"/>
          <w:color w:val="000000"/>
          <w:sz w:val="22"/>
          <w:lang w:val="es-ES_tradnl" w:eastAsia="es-ES_tradnl"/>
        </w:rPr>
        <w:t xml:space="preserve">i) </w:t>
      </w:r>
      <w:r w:rsidR="00D079C7" w:rsidRPr="00175A33">
        <w:rPr>
          <w:rFonts w:ascii="Arial" w:eastAsia="Calibri" w:hAnsi="Arial" w:cs="Arial"/>
          <w:color w:val="000000"/>
          <w:sz w:val="22"/>
          <w:lang w:val="es-ES_tradnl" w:eastAsia="es-ES_tradnl"/>
        </w:rPr>
        <w:t xml:space="preserve">modificaciones introducidas por los Decretos 399 de 2021 y 579 de 2021 respecto a la información </w:t>
      </w:r>
      <w:r w:rsidR="0074032F" w:rsidRPr="00175A33">
        <w:rPr>
          <w:rFonts w:ascii="Arial" w:eastAsia="Calibri" w:hAnsi="Arial" w:cs="Arial"/>
          <w:color w:val="000000"/>
          <w:sz w:val="22"/>
          <w:lang w:val="es-ES_tradnl" w:eastAsia="es-ES_tradnl"/>
        </w:rPr>
        <w:t xml:space="preserve">contenida en el </w:t>
      </w:r>
      <w:r w:rsidR="00D079C7" w:rsidRPr="00175A33">
        <w:rPr>
          <w:rFonts w:ascii="Arial" w:eastAsia="Calibri" w:hAnsi="Arial" w:cs="Arial"/>
          <w:color w:val="000000"/>
          <w:sz w:val="22"/>
          <w:lang w:val="es-ES_tradnl" w:eastAsia="es-ES_tradnl"/>
        </w:rPr>
        <w:t>RUP</w:t>
      </w:r>
      <w:r w:rsidR="0074032F" w:rsidRPr="00175A33">
        <w:rPr>
          <w:rFonts w:ascii="Arial" w:eastAsia="Calibri" w:hAnsi="Arial" w:cs="Arial"/>
          <w:color w:val="000000"/>
          <w:sz w:val="22"/>
          <w:lang w:val="es-ES_tradnl" w:eastAsia="es-ES_tradnl"/>
        </w:rPr>
        <w:t xml:space="preserve"> y delimitación de </w:t>
      </w:r>
      <w:r w:rsidR="00C50F45">
        <w:rPr>
          <w:rFonts w:ascii="Arial" w:eastAsia="Calibri" w:hAnsi="Arial" w:cs="Arial"/>
          <w:color w:val="000000"/>
          <w:sz w:val="22"/>
          <w:lang w:val="es-ES_tradnl" w:eastAsia="es-ES_tradnl"/>
        </w:rPr>
        <w:t>su</w:t>
      </w:r>
      <w:r w:rsidR="0074032F" w:rsidRPr="00175A33">
        <w:rPr>
          <w:rFonts w:ascii="Arial" w:eastAsia="Calibri" w:hAnsi="Arial" w:cs="Arial"/>
          <w:color w:val="000000"/>
          <w:sz w:val="22"/>
          <w:lang w:val="es-ES_tradnl" w:eastAsia="es-ES_tradnl"/>
        </w:rPr>
        <w:t xml:space="preserve"> verificación dentro del «mejor año fiscal» y </w:t>
      </w:r>
      <w:r w:rsidR="00DB61F3" w:rsidRPr="00175A33">
        <w:rPr>
          <w:rFonts w:ascii="Arial" w:eastAsia="Calibri" w:hAnsi="Arial" w:cs="Arial"/>
          <w:color w:val="000000"/>
          <w:sz w:val="22"/>
          <w:lang w:val="es-ES_tradnl" w:eastAsia="es-ES_tradnl"/>
        </w:rPr>
        <w:t>iii) evaluación de la capacidad financiera y organizacional de los proponentes plurales</w:t>
      </w:r>
      <w:r w:rsidR="00C24A71" w:rsidRPr="00175A33">
        <w:rPr>
          <w:rFonts w:ascii="Arial" w:eastAsia="Calibri" w:hAnsi="Arial" w:cs="Arial"/>
          <w:color w:val="000000"/>
          <w:sz w:val="22"/>
          <w:lang w:val="es-ES_tradnl" w:eastAsia="es-ES_tradnl"/>
        </w:rPr>
        <w:t xml:space="preserve"> a la luz de los Decretos 399 de 2021 y 579 de 2021</w:t>
      </w:r>
      <w:r w:rsidR="00DB61F3" w:rsidRPr="00175A33">
        <w:rPr>
          <w:rFonts w:ascii="Arial" w:eastAsia="Calibri" w:hAnsi="Arial" w:cs="Arial"/>
          <w:color w:val="000000"/>
          <w:sz w:val="22"/>
          <w:lang w:val="es-ES_tradnl" w:eastAsia="es-ES_tradnl"/>
        </w:rPr>
        <w:t>.</w:t>
      </w:r>
    </w:p>
    <w:p w14:paraId="6811DC53" w14:textId="18D1AE60" w:rsidR="00D079C7" w:rsidRPr="00D079C7" w:rsidRDefault="00682892" w:rsidP="00175A33">
      <w:pPr>
        <w:snapToGrid w:val="0"/>
        <w:spacing w:line="276" w:lineRule="auto"/>
        <w:ind w:firstLine="709"/>
        <w:jc w:val="both"/>
        <w:rPr>
          <w:rFonts w:ascii="Arial" w:eastAsia="Calibri" w:hAnsi="Arial" w:cs="Arial"/>
          <w:color w:val="000000" w:themeColor="text1"/>
          <w:sz w:val="22"/>
          <w:lang w:val="es-ES_tradnl"/>
        </w:rPr>
      </w:pPr>
      <w:r w:rsidRPr="00D80CCB">
        <w:rPr>
          <w:rFonts w:ascii="Arial" w:eastAsia="Calibri" w:hAnsi="Arial" w:cs="Arial"/>
          <w:color w:val="000000" w:themeColor="text1"/>
          <w:sz w:val="22"/>
          <w:lang w:val="es-ES_tradnl"/>
        </w:rPr>
        <w:t xml:space="preserve">La Agencia Nacional de Contratación Pública – Colombia Compra Eficiente, </w:t>
      </w:r>
      <w:r w:rsidR="00173CD9" w:rsidRPr="00D80CCB">
        <w:rPr>
          <w:rFonts w:ascii="Arial" w:eastAsia="Calibri" w:hAnsi="Arial" w:cs="Arial"/>
          <w:color w:val="000000" w:themeColor="text1"/>
          <w:sz w:val="22"/>
          <w:lang w:val="es-ES_tradnl"/>
        </w:rPr>
        <w:t xml:space="preserve">se pronunció </w:t>
      </w:r>
      <w:r w:rsidR="00173CD9" w:rsidRPr="00D80CCB">
        <w:rPr>
          <w:rStyle w:val="normaltextrun"/>
          <w:rFonts w:ascii="Arial" w:hAnsi="Arial" w:cs="Arial"/>
          <w:color w:val="000000"/>
          <w:sz w:val="22"/>
          <w:shd w:val="clear" w:color="auto" w:fill="FFFFFF"/>
          <w:lang w:val="es-ES"/>
        </w:rPr>
        <w:t xml:space="preserve">sobre </w:t>
      </w:r>
      <w:r w:rsidRPr="00D80CCB">
        <w:rPr>
          <w:rFonts w:ascii="Arial" w:hAnsi="Arial" w:cs="Arial"/>
          <w:color w:val="000000" w:themeColor="text1"/>
          <w:sz w:val="22"/>
          <w:lang w:val="es-ES_tradnl"/>
        </w:rPr>
        <w:t xml:space="preserve">la acreditación de los indicadores de capacidad financiera y organizacional, entre otros, </w:t>
      </w:r>
      <w:r w:rsidRPr="00D80CCB">
        <w:rPr>
          <w:rFonts w:ascii="Arial" w:eastAsia="Calibri" w:hAnsi="Arial" w:cs="Arial"/>
          <w:color w:val="000000" w:themeColor="text1"/>
          <w:sz w:val="22"/>
          <w:lang w:val="es-ES_tradnl"/>
        </w:rPr>
        <w:t xml:space="preserve">en los conceptos No. 4201912000006798 del 24 de octubre de 2019, C-002 del 12 de febrero de 2020, C-089 del 4 de marzo de 2020, C-099 del 06 de abril de 2020, C-166 del 14 de abril de 2020, C-233 del 16 de abril de 2020, C-326 del 9 de junio de 2020 y C-140 del 9 de abril de 2021. </w:t>
      </w:r>
      <w:r w:rsidRPr="00D80CCB">
        <w:rPr>
          <w:rFonts w:ascii="Arial" w:hAnsi="Arial" w:cs="Arial"/>
          <w:color w:val="000000" w:themeColor="text1"/>
          <w:sz w:val="22"/>
          <w:lang w:val="es-ES_tradnl"/>
        </w:rPr>
        <w:t xml:space="preserve">Adicionalmente, en los conceptos C-288 del 17 de junio de 2021, C-353 del 19 de julio de 2021, C-366 del 26 de julio de 2021, C-372 del 28 de julio de 2021, C-406 del 13 de agosto de 2021, C-407, C-443 y C 540 del 25 de agosto de 2021 y C-558 del 2 de septiembre de 2021, </w:t>
      </w:r>
      <w:r w:rsidR="002B7B5A">
        <w:rPr>
          <w:rFonts w:ascii="Arial" w:hAnsi="Arial" w:cs="Arial"/>
          <w:color w:val="000000" w:themeColor="text1"/>
          <w:sz w:val="22"/>
          <w:lang w:val="es-ES_tradnl"/>
        </w:rPr>
        <w:t>C-618, C-620</w:t>
      </w:r>
      <w:r w:rsidR="00D079C7">
        <w:rPr>
          <w:rFonts w:ascii="Arial" w:hAnsi="Arial" w:cs="Arial"/>
          <w:color w:val="000000" w:themeColor="text1"/>
          <w:sz w:val="22"/>
          <w:lang w:val="es-ES_tradnl"/>
        </w:rPr>
        <w:t xml:space="preserve"> y</w:t>
      </w:r>
      <w:r w:rsidR="002B7B5A">
        <w:rPr>
          <w:rFonts w:ascii="Arial" w:hAnsi="Arial" w:cs="Arial"/>
          <w:color w:val="000000" w:themeColor="text1"/>
          <w:sz w:val="22"/>
          <w:lang w:val="es-ES_tradnl"/>
        </w:rPr>
        <w:t xml:space="preserve"> C-621 del 4 de noviembre de 2021</w:t>
      </w:r>
      <w:r w:rsidR="00D079C7">
        <w:rPr>
          <w:rFonts w:ascii="Arial" w:hAnsi="Arial" w:cs="Arial"/>
          <w:color w:val="000000" w:themeColor="text1"/>
          <w:sz w:val="22"/>
          <w:lang w:val="es-ES_tradnl"/>
        </w:rPr>
        <w:t xml:space="preserve"> y</w:t>
      </w:r>
      <w:r w:rsidR="002B7B5A">
        <w:rPr>
          <w:rFonts w:ascii="Arial" w:hAnsi="Arial" w:cs="Arial"/>
          <w:color w:val="000000" w:themeColor="text1"/>
          <w:sz w:val="22"/>
          <w:lang w:val="es-ES_tradnl"/>
        </w:rPr>
        <w:t xml:space="preserve"> C-628 del 9 de noviembre de 2021, </w:t>
      </w:r>
      <w:r w:rsidRPr="00D80CCB">
        <w:rPr>
          <w:rFonts w:ascii="Arial" w:hAnsi="Arial" w:cs="Arial"/>
          <w:color w:val="000000" w:themeColor="text1"/>
          <w:sz w:val="22"/>
          <w:lang w:val="es-ES_tradnl"/>
        </w:rPr>
        <w:t xml:space="preserve">se analizó la definición del «mejor año fiscal» y la forma en que se efectuará la verificación de las ofertas, a la luz de las modificaciones introducidas mediante los Decretos 399 y 579 de 2021. Algunas de las consideraciones de estos conceptos, se reiteran y complementan a </w:t>
      </w:r>
      <w:r w:rsidR="00D079C7" w:rsidRPr="003208AA">
        <w:rPr>
          <w:rFonts w:ascii="Arial" w:hAnsi="Arial" w:cs="Arial"/>
          <w:color w:val="000000" w:themeColor="text1"/>
          <w:sz w:val="22"/>
          <w:lang w:val="es-ES_tradnl"/>
        </w:rPr>
        <w:t>continuación</w:t>
      </w:r>
      <w:r w:rsidR="00D079C7">
        <w:rPr>
          <w:rStyle w:val="Refdenotaalpie"/>
          <w:rFonts w:ascii="Arial" w:hAnsi="Arial" w:cs="Arial"/>
          <w:color w:val="000000" w:themeColor="text1"/>
          <w:sz w:val="22"/>
          <w:lang w:val="es-ES_tradnl"/>
        </w:rPr>
        <w:footnoteReference w:id="1"/>
      </w:r>
      <w:r w:rsidR="00D079C7" w:rsidRPr="003208AA">
        <w:rPr>
          <w:rFonts w:ascii="Arial" w:hAnsi="Arial" w:cs="Arial"/>
          <w:color w:val="000000" w:themeColor="text1"/>
          <w:sz w:val="22"/>
          <w:lang w:val="es-ES_tradnl"/>
        </w:rPr>
        <w:t>.</w:t>
      </w:r>
    </w:p>
    <w:p w14:paraId="113F6034" w14:textId="2AA44C26" w:rsidR="00D36E83" w:rsidRPr="00D80CCB" w:rsidRDefault="00D36E83" w:rsidP="00D079C7">
      <w:pPr>
        <w:tabs>
          <w:tab w:val="left" w:pos="426"/>
        </w:tabs>
        <w:spacing w:before="120" w:line="276" w:lineRule="auto"/>
        <w:jc w:val="both"/>
        <w:rPr>
          <w:rFonts w:ascii="Arial" w:eastAsia="Calibri" w:hAnsi="Arial" w:cs="Arial"/>
          <w:b/>
          <w:bCs/>
          <w:color w:val="000000"/>
          <w:sz w:val="22"/>
          <w:lang w:val="es-ES_tradnl" w:eastAsia="es-ES_tradnl"/>
        </w:rPr>
      </w:pPr>
      <w:r w:rsidRPr="00D80CCB">
        <w:rPr>
          <w:rFonts w:ascii="Arial" w:eastAsia="Calibri" w:hAnsi="Arial" w:cs="Arial"/>
          <w:b/>
          <w:color w:val="000000"/>
          <w:sz w:val="22"/>
          <w:szCs w:val="24"/>
          <w:lang w:val="es-ES_tradnl" w:eastAsia="es-ES_tradnl"/>
        </w:rPr>
        <w:t>2.</w:t>
      </w:r>
      <w:r w:rsidR="00D079C7">
        <w:rPr>
          <w:rFonts w:ascii="Arial" w:eastAsia="Calibri" w:hAnsi="Arial" w:cs="Arial"/>
          <w:b/>
          <w:color w:val="000000"/>
          <w:sz w:val="22"/>
          <w:szCs w:val="24"/>
          <w:lang w:val="es-ES_tradnl" w:eastAsia="es-ES_tradnl"/>
        </w:rPr>
        <w:t>1</w:t>
      </w:r>
      <w:r w:rsidRPr="00D80CCB">
        <w:rPr>
          <w:rFonts w:ascii="Arial" w:eastAsia="Calibri" w:hAnsi="Arial" w:cs="Arial"/>
          <w:b/>
          <w:color w:val="000000"/>
          <w:sz w:val="22"/>
          <w:szCs w:val="24"/>
          <w:lang w:val="es-ES_tradnl" w:eastAsia="es-ES_tradnl"/>
        </w:rPr>
        <w:t>. R</w:t>
      </w:r>
      <w:r w:rsidRPr="00D80CCB">
        <w:rPr>
          <w:rFonts w:ascii="Arial" w:eastAsia="Calibri" w:hAnsi="Arial" w:cs="Arial"/>
          <w:b/>
          <w:bCs/>
          <w:color w:val="000000"/>
          <w:sz w:val="22"/>
          <w:lang w:val="es-ES_tradnl" w:eastAsia="es-ES_tradnl"/>
        </w:rPr>
        <w:t>equisitos habilitantes de capacidad financiera y organizacional</w:t>
      </w:r>
    </w:p>
    <w:p w14:paraId="475A6423" w14:textId="77777777" w:rsidR="00D36E83" w:rsidRPr="00D80CCB" w:rsidRDefault="00D36E83" w:rsidP="00D36E83">
      <w:pPr>
        <w:tabs>
          <w:tab w:val="left" w:pos="426"/>
        </w:tabs>
        <w:spacing w:line="276" w:lineRule="auto"/>
        <w:ind w:firstLine="709"/>
        <w:jc w:val="both"/>
        <w:rPr>
          <w:rFonts w:ascii="Arial" w:eastAsia="Calibri" w:hAnsi="Arial" w:cs="Arial"/>
          <w:b/>
          <w:color w:val="000000"/>
          <w:sz w:val="22"/>
          <w:szCs w:val="24"/>
          <w:lang w:val="es-ES_tradnl" w:eastAsia="es-ES_tradnl"/>
        </w:rPr>
      </w:pPr>
    </w:p>
    <w:p w14:paraId="71C063DC" w14:textId="20B9BDB9" w:rsidR="00D36E83" w:rsidRPr="00D80CCB" w:rsidRDefault="00D36E83" w:rsidP="00D36E83">
      <w:pPr>
        <w:spacing w:line="276" w:lineRule="auto"/>
        <w:jc w:val="both"/>
        <w:rPr>
          <w:rFonts w:ascii="Arial" w:eastAsia="Calibri" w:hAnsi="Arial" w:cs="Arial"/>
          <w:color w:val="000000"/>
          <w:sz w:val="22"/>
          <w:szCs w:val="24"/>
          <w:lang w:val="es-ES_tradnl" w:eastAsia="es-ES_tradnl"/>
        </w:rPr>
      </w:pPr>
      <w:r w:rsidRPr="00D80CCB">
        <w:rPr>
          <w:rFonts w:ascii="Arial" w:eastAsia="Calibri" w:hAnsi="Arial" w:cs="Arial"/>
          <w:color w:val="000000"/>
          <w:sz w:val="22"/>
          <w:szCs w:val="24"/>
          <w:lang w:val="es-ES_tradnl" w:eastAsia="es-ES_tradnl"/>
        </w:rPr>
        <w:t>La Ley 1150 de 2007, en el artículo 5, exige el cumplimiento de los requisitos habilitantes en los procesos de selección. A través de ellos las entidades fijan unos requisitos mínimos que debe tener y acreditar el proponente, para que pueda verificarse su aptitud para participar en el procedimiento de contratación y, si se le adjudica, ejecutar el contrato estatal</w:t>
      </w:r>
      <w:r w:rsidRPr="00D80CCB">
        <w:rPr>
          <w:rFonts w:ascii="Arial" w:eastAsia="Calibri" w:hAnsi="Arial" w:cs="Arial"/>
          <w:color w:val="000000"/>
          <w:sz w:val="22"/>
          <w:szCs w:val="24"/>
          <w:vertAlign w:val="superscript"/>
          <w:lang w:val="es-ES_tradnl" w:eastAsia="es-ES_tradnl"/>
        </w:rPr>
        <w:footnoteReference w:id="2"/>
      </w:r>
      <w:r w:rsidRPr="00D80CCB">
        <w:rPr>
          <w:rFonts w:ascii="Arial" w:eastAsia="Calibri" w:hAnsi="Arial" w:cs="Arial"/>
          <w:color w:val="000000"/>
          <w:sz w:val="22"/>
          <w:szCs w:val="24"/>
          <w:lang w:val="es-ES_tradnl" w:eastAsia="es-ES_tradnl"/>
        </w:rPr>
        <w:t xml:space="preserve">. Dentro de los requisitos habilitantes se destaca la «capacidad financiera» y la </w:t>
      </w:r>
      <w:r w:rsidRPr="00D80CCB">
        <w:rPr>
          <w:rFonts w:ascii="Arial" w:eastAsia="Calibri" w:hAnsi="Arial" w:cs="Arial"/>
          <w:color w:val="000000"/>
          <w:sz w:val="22"/>
          <w:szCs w:val="24"/>
          <w:lang w:val="es-ES_tradnl" w:eastAsia="es-ES_tradnl"/>
        </w:rPr>
        <w:lastRenderedPageBreak/>
        <w:t>«capacidad organizacional». La entidad</w:t>
      </w:r>
      <w:r w:rsidR="003C7239">
        <w:rPr>
          <w:rFonts w:ascii="Arial" w:eastAsia="Calibri" w:hAnsi="Arial" w:cs="Arial"/>
          <w:color w:val="000000"/>
          <w:sz w:val="22"/>
          <w:szCs w:val="24"/>
          <w:lang w:val="es-ES_tradnl" w:eastAsia="es-ES_tradnl"/>
        </w:rPr>
        <w:t xml:space="preserve"> estatal</w:t>
      </w:r>
      <w:r w:rsidRPr="00D80CCB">
        <w:rPr>
          <w:rFonts w:ascii="Arial" w:eastAsia="Calibri" w:hAnsi="Arial" w:cs="Arial"/>
          <w:color w:val="000000"/>
          <w:sz w:val="22"/>
          <w:szCs w:val="24"/>
          <w:lang w:val="es-ES_tradnl" w:eastAsia="es-ES_tradnl"/>
        </w:rPr>
        <w:t>, como responsable de la estructuración de su procedimiento de selección, es autónoma para requerir la capacidad financiera y la capacidad organizacional necesarias, de acuerdo con la naturaleza del contrato que se pretende suscribir y a su valor. Para esto, la entidad, según el artículo 2.2.1.1.1.6.2. del Decreto 1082 de 2015, debe tener en cuenta el estudio del sector y sus componentes, como por ejemplo la identificación de riesgos, así como el precio del bien, obra o servicio a contratar</w:t>
      </w:r>
      <w:r w:rsidRPr="00D80CCB">
        <w:rPr>
          <w:rFonts w:ascii="Arial" w:eastAsia="Calibri" w:hAnsi="Arial" w:cs="Arial"/>
          <w:color w:val="000000"/>
          <w:sz w:val="22"/>
          <w:szCs w:val="24"/>
          <w:vertAlign w:val="superscript"/>
          <w:lang w:val="es-ES_tradnl" w:eastAsia="es-ES_tradnl"/>
        </w:rPr>
        <w:footnoteReference w:id="3"/>
      </w:r>
      <w:r w:rsidRPr="00D80CCB">
        <w:rPr>
          <w:rFonts w:ascii="Arial" w:eastAsia="Calibri" w:hAnsi="Arial" w:cs="Arial"/>
          <w:color w:val="000000"/>
          <w:sz w:val="22"/>
          <w:szCs w:val="24"/>
          <w:lang w:val="es-ES_tradnl" w:eastAsia="es-ES_tradnl"/>
        </w:rPr>
        <w:t>.</w:t>
      </w:r>
    </w:p>
    <w:p w14:paraId="7CC3E442" w14:textId="77777777" w:rsidR="00D36E83" w:rsidRPr="00D80CCB" w:rsidRDefault="00D36E83" w:rsidP="00D36E83">
      <w:pPr>
        <w:spacing w:before="120" w:after="120" w:line="276" w:lineRule="auto"/>
        <w:ind w:firstLine="708"/>
        <w:jc w:val="both"/>
        <w:rPr>
          <w:rFonts w:ascii="Arial" w:eastAsia="Calibri" w:hAnsi="Arial" w:cs="Arial"/>
          <w:color w:val="000000"/>
          <w:sz w:val="22"/>
          <w:szCs w:val="24"/>
          <w:lang w:val="es-ES_tradnl" w:eastAsia="es-ES_tradnl"/>
        </w:rPr>
      </w:pPr>
      <w:r w:rsidRPr="00D80CCB">
        <w:rPr>
          <w:rFonts w:ascii="Arial" w:eastAsia="Calibri" w:hAnsi="Arial" w:cs="Arial"/>
          <w:color w:val="000000"/>
          <w:sz w:val="22"/>
          <w:szCs w:val="24"/>
          <w:lang w:val="es-ES_tradnl" w:eastAsia="es-ES_tradnl"/>
        </w:rPr>
        <w:t>La «capacidad financiera» se deriva del índice de liquidez, de endeudamiento y de la razón de cobertura de intereses del proponente, y permite conocer si tiene solidez financiera suficiente para cumplir los compromisos que adquiera en virtud de la celebración del contrato. Como lo explicó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sidRPr="00D80CCB">
        <w:rPr>
          <w:rFonts w:ascii="Arial" w:eastAsia="Calibri" w:hAnsi="Arial" w:cs="Arial"/>
          <w:color w:val="000000"/>
          <w:sz w:val="22"/>
          <w:szCs w:val="24"/>
          <w:vertAlign w:val="superscript"/>
          <w:lang w:val="es-ES_tradnl" w:eastAsia="es-ES_tradnl"/>
        </w:rPr>
        <w:footnoteReference w:id="4"/>
      </w:r>
      <w:r w:rsidRPr="00D80CCB">
        <w:rPr>
          <w:rFonts w:ascii="Arial" w:eastAsia="Calibri" w:hAnsi="Arial" w:cs="Arial"/>
          <w:color w:val="000000"/>
          <w:sz w:val="22"/>
          <w:szCs w:val="24"/>
          <w:lang w:val="es-ES_tradnl" w:eastAsia="es-ES_tradnl"/>
        </w:rPr>
        <w:t xml:space="preserve">. </w:t>
      </w:r>
    </w:p>
    <w:p w14:paraId="0218A334" w14:textId="77777777" w:rsidR="00D36E83" w:rsidRPr="00D80CCB" w:rsidRDefault="00D36E83" w:rsidP="00D36E83">
      <w:pPr>
        <w:spacing w:before="120" w:after="120" w:line="276" w:lineRule="auto"/>
        <w:ind w:firstLine="708"/>
        <w:jc w:val="both"/>
        <w:rPr>
          <w:rFonts w:ascii="Arial" w:eastAsia="Calibri" w:hAnsi="Arial" w:cs="Arial"/>
          <w:color w:val="000000"/>
          <w:sz w:val="22"/>
          <w:szCs w:val="24"/>
          <w:lang w:val="es-ES_tradnl" w:eastAsia="es-ES_tradnl"/>
        </w:rPr>
      </w:pPr>
      <w:r w:rsidRPr="00D80CCB">
        <w:rPr>
          <w:rFonts w:ascii="Arial" w:eastAsia="Calibri" w:hAnsi="Arial" w:cs="Arial"/>
          <w:color w:val="000000"/>
          <w:sz w:val="22"/>
          <w:szCs w:val="24"/>
          <w:lang w:val="es-ES_tradnl" w:eastAsia="es-ES_tradnl"/>
        </w:rPr>
        <w:t>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r w:rsidRPr="00D80CCB">
        <w:rPr>
          <w:rFonts w:ascii="Arial" w:eastAsia="Calibri" w:hAnsi="Arial" w:cs="Arial"/>
          <w:color w:val="000000"/>
          <w:sz w:val="22"/>
          <w:szCs w:val="24"/>
          <w:vertAlign w:val="superscript"/>
          <w:lang w:val="es-ES_tradnl" w:eastAsia="es-ES_tradnl"/>
        </w:rPr>
        <w:footnoteReference w:id="5"/>
      </w:r>
      <w:r w:rsidRPr="00D80CCB">
        <w:rPr>
          <w:rFonts w:ascii="Arial" w:eastAsia="Calibri" w:hAnsi="Arial" w:cs="Arial"/>
          <w:color w:val="000000"/>
          <w:sz w:val="22"/>
          <w:szCs w:val="24"/>
          <w:lang w:val="es-ES_tradnl" w:eastAsia="es-ES_tradnl"/>
        </w:rPr>
        <w:t xml:space="preserve">. </w:t>
      </w:r>
    </w:p>
    <w:p w14:paraId="0639B2AC" w14:textId="33E2B81D" w:rsidR="00D36E83" w:rsidRPr="00D80CCB" w:rsidRDefault="00347FC3" w:rsidP="00D36E83">
      <w:pPr>
        <w:spacing w:before="120" w:after="120" w:line="276" w:lineRule="auto"/>
        <w:ind w:firstLine="709"/>
        <w:jc w:val="both"/>
        <w:rPr>
          <w:rFonts w:ascii="Arial" w:eastAsia="Calibri" w:hAnsi="Arial" w:cs="Arial"/>
          <w:color w:val="000000"/>
          <w:sz w:val="22"/>
          <w:szCs w:val="24"/>
          <w:lang w:val="es-ES_tradnl" w:eastAsia="es-ES_tradnl"/>
        </w:rPr>
      </w:pPr>
      <w:r>
        <w:rPr>
          <w:rFonts w:ascii="Arial" w:eastAsia="Calibri" w:hAnsi="Arial" w:cs="Arial"/>
          <w:color w:val="000000"/>
          <w:sz w:val="22"/>
          <w:szCs w:val="24"/>
          <w:lang w:val="es-ES_tradnl" w:eastAsia="es-ES_tradnl"/>
        </w:rPr>
        <w:t>L</w:t>
      </w:r>
      <w:r w:rsidR="00D36E83" w:rsidRPr="00D80CCB">
        <w:rPr>
          <w:rFonts w:ascii="Arial" w:eastAsia="Calibri" w:hAnsi="Arial" w:cs="Arial"/>
          <w:color w:val="000000"/>
          <w:sz w:val="22"/>
          <w:szCs w:val="24"/>
          <w:lang w:val="es-ES_tradnl" w:eastAsia="es-ES_tradnl"/>
        </w:rPr>
        <w:t>a capacidad financiera</w:t>
      </w:r>
      <w:r>
        <w:rPr>
          <w:rFonts w:ascii="Arial" w:eastAsia="Calibri" w:hAnsi="Arial" w:cs="Arial"/>
          <w:color w:val="000000"/>
          <w:sz w:val="22"/>
          <w:szCs w:val="24"/>
          <w:lang w:val="es-ES_tradnl" w:eastAsia="es-ES_tradnl"/>
        </w:rPr>
        <w:t xml:space="preserve"> </w:t>
      </w:r>
      <w:r w:rsidR="00D36E83" w:rsidRPr="00D80CCB">
        <w:rPr>
          <w:rFonts w:ascii="Arial" w:eastAsia="Calibri" w:hAnsi="Arial" w:cs="Arial"/>
          <w:color w:val="000000"/>
          <w:sz w:val="22"/>
          <w:szCs w:val="24"/>
          <w:lang w:val="es-ES_tradnl" w:eastAsia="es-ES_tradnl"/>
        </w:rPr>
        <w:t xml:space="preserve">debe inscribirse en el RUP con los estados financieros del proponente, suscritos por el representante legal y el revisor fiscal, si cuenta con él. Si es una sociedad no obligada a tenerlo estos documentos también deben suscribirse por el auditor o contador. De este modo, lo que se verifica con el RUP es que el proponente tenga los indicadores financieros solicitados por la entidad, que le permitan satisfacer la necesidad </w:t>
      </w:r>
      <w:r w:rsidR="00D36E83" w:rsidRPr="00D80CCB">
        <w:rPr>
          <w:rFonts w:ascii="Arial" w:eastAsia="Calibri" w:hAnsi="Arial" w:cs="Arial"/>
          <w:color w:val="000000"/>
          <w:sz w:val="22"/>
          <w:szCs w:val="24"/>
          <w:lang w:val="es-ES_tradnl" w:eastAsia="es-ES_tradnl"/>
        </w:rPr>
        <w:lastRenderedPageBreak/>
        <w:t>que se contratará una vez desarrollado el procedimiento de selección. Por otro lado, la capacidad organizacional evalúa la rentabilidad de la empresa, que es directamente proporcional a su organización interna, y también se verifica con el RUP, de acuerdo con los indicadores financieros y organizacionales señalados en el artículo 2.2.1.1.1.5.3. del Decreto 1082 de 2015.</w:t>
      </w:r>
    </w:p>
    <w:p w14:paraId="6E882D7A" w14:textId="77777777" w:rsidR="00D36E83" w:rsidRPr="00D80CCB" w:rsidRDefault="00D36E83" w:rsidP="00D36E83">
      <w:pPr>
        <w:spacing w:line="276" w:lineRule="auto"/>
        <w:ind w:firstLine="708"/>
        <w:jc w:val="both"/>
        <w:rPr>
          <w:rFonts w:ascii="Arial" w:eastAsia="Calibri" w:hAnsi="Arial" w:cs="Arial"/>
          <w:color w:val="000000"/>
          <w:sz w:val="22"/>
          <w:szCs w:val="24"/>
          <w:lang w:val="es-ES_tradnl" w:eastAsia="es-ES_tradnl"/>
        </w:rPr>
      </w:pPr>
      <w:r w:rsidRPr="00D80CCB">
        <w:rPr>
          <w:rFonts w:ascii="Arial" w:eastAsia="Calibri" w:hAnsi="Arial" w:cs="Arial"/>
          <w:color w:val="000000"/>
          <w:sz w:val="22"/>
          <w:szCs w:val="24"/>
          <w:lang w:val="es-ES_tradnl" w:eastAsia="es-ES_tradnl"/>
        </w:rPr>
        <w:t>La Agencia Nacional de Contratación Pública – Colombia Compra Eficiente puso a disposición de los interesados el «Manual para determinar y verificar los requisitos habilitantes en los procesos de contratación». En él se plantean definiciones para cada requisito habilitante y se indican lineamientos orientadores que las entidades pueden considerar para establecerlos, en este caso, para exigir la capacidad financiera y la capacidad organizacional. Sobre la capacidad financiera, como requisito habilitante, el Manual señala que sus indicadores deben establecerse de acuerdo con el estudio del sector que le permitió a la entidad conocer cómo se debe ejecutar el objeto contractual, y que es necesario analizar cada fórmula para que la interpretación no sea operativa, sino que su aplicación se base en el entendimiento del resultado y sus implicaciones para el procedimiento contractual</w:t>
      </w:r>
      <w:r w:rsidRPr="00D80CCB">
        <w:rPr>
          <w:rFonts w:ascii="Arial" w:eastAsia="Calibri" w:hAnsi="Arial" w:cs="Arial"/>
          <w:color w:val="000000"/>
          <w:sz w:val="22"/>
          <w:szCs w:val="24"/>
          <w:vertAlign w:val="superscript"/>
          <w:lang w:val="es-ES_tradnl" w:eastAsia="es-ES_tradnl"/>
        </w:rPr>
        <w:footnoteReference w:id="6"/>
      </w:r>
      <w:r w:rsidRPr="00D80CCB">
        <w:rPr>
          <w:rFonts w:ascii="Arial" w:eastAsia="Calibri" w:hAnsi="Arial" w:cs="Arial"/>
          <w:color w:val="000000"/>
          <w:sz w:val="22"/>
          <w:szCs w:val="24"/>
          <w:lang w:val="es-ES_tradnl" w:eastAsia="es-ES_tradnl"/>
        </w:rPr>
        <w:t>.</w:t>
      </w:r>
    </w:p>
    <w:p w14:paraId="79458C9B" w14:textId="77777777" w:rsidR="00D36E83" w:rsidRPr="00D80CCB" w:rsidRDefault="00D36E83" w:rsidP="00D36E83">
      <w:pPr>
        <w:spacing w:before="120" w:line="276" w:lineRule="auto"/>
        <w:ind w:firstLine="709"/>
        <w:jc w:val="both"/>
        <w:rPr>
          <w:rFonts w:ascii="Arial" w:eastAsia="Calibri" w:hAnsi="Arial" w:cs="Arial"/>
          <w:color w:val="000000"/>
          <w:sz w:val="22"/>
          <w:szCs w:val="24"/>
          <w:lang w:val="es-ES_tradnl" w:eastAsia="es-ES_tradnl"/>
        </w:rPr>
      </w:pPr>
      <w:r w:rsidRPr="00D80CCB">
        <w:rPr>
          <w:rFonts w:ascii="Arial" w:eastAsia="Calibri" w:hAnsi="Arial" w:cs="Arial"/>
          <w:color w:val="000000"/>
          <w:sz w:val="22"/>
          <w:szCs w:val="24"/>
          <w:lang w:val="es-ES_tradnl" w:eastAsia="es-ES_tradnl"/>
        </w:rPr>
        <w:t>Ahora bien, la capacidad organizacional también se mide a través de indicadores: i) rentabilidad del patrimonio y ii) rentabilidad del activo. Sus resultados deben interpretarse observando el riesgo que un indicador alto o bajo representa para el procedimiento. Por ende, la entidad debe establecer unos límites dentro de los cuales se garantice que el proponente pueda cumplir el contrato en caso de celebrarlo</w:t>
      </w:r>
      <w:r w:rsidRPr="00D80CCB">
        <w:rPr>
          <w:rFonts w:ascii="Arial" w:eastAsia="Calibri" w:hAnsi="Arial" w:cs="Arial"/>
          <w:color w:val="000000"/>
          <w:sz w:val="22"/>
          <w:szCs w:val="24"/>
          <w:vertAlign w:val="superscript"/>
          <w:lang w:val="es-ES_tradnl" w:eastAsia="es-ES_tradnl"/>
        </w:rPr>
        <w:footnoteReference w:id="7"/>
      </w:r>
      <w:r w:rsidRPr="00D80CCB">
        <w:rPr>
          <w:rFonts w:ascii="Arial" w:eastAsia="Calibri" w:hAnsi="Arial" w:cs="Arial"/>
          <w:color w:val="000000"/>
          <w:sz w:val="22"/>
          <w:szCs w:val="24"/>
          <w:lang w:val="es-ES_tradnl" w:eastAsia="es-ES_tradnl"/>
        </w:rPr>
        <w:t>. No obstante, las entidades estatales son autónomas en la estructuración de sus procedimientos contractuales, por lo cual en sus pliegos de condiciones o documentos equivalentes pueden establecer los indicadores financieros y organizacionales necesarios, siempre que estos sean proporcionales al objeto a ejecutar y al valor del contrato.</w:t>
      </w:r>
    </w:p>
    <w:p w14:paraId="7C300B91" w14:textId="7428CDB3" w:rsidR="00D36E83" w:rsidRDefault="00D36E83" w:rsidP="00D36E83">
      <w:pPr>
        <w:spacing w:line="276" w:lineRule="auto"/>
        <w:ind w:firstLine="709"/>
        <w:jc w:val="both"/>
        <w:rPr>
          <w:rFonts w:ascii="Arial" w:eastAsia="Calibri" w:hAnsi="Arial" w:cs="Arial"/>
          <w:color w:val="000000"/>
          <w:sz w:val="22"/>
          <w:lang w:val="es-ES_tradnl" w:eastAsia="es-ES_tradnl"/>
        </w:rPr>
      </w:pPr>
    </w:p>
    <w:p w14:paraId="5C6838AC" w14:textId="25530703" w:rsidR="00D341CB" w:rsidRDefault="00D341CB" w:rsidP="00D36E83">
      <w:pPr>
        <w:spacing w:line="276" w:lineRule="auto"/>
        <w:ind w:firstLine="709"/>
        <w:jc w:val="both"/>
        <w:rPr>
          <w:rFonts w:ascii="Arial" w:eastAsia="Calibri" w:hAnsi="Arial" w:cs="Arial"/>
          <w:color w:val="000000"/>
          <w:sz w:val="22"/>
          <w:lang w:val="es-ES_tradnl" w:eastAsia="es-ES_tradnl"/>
        </w:rPr>
      </w:pPr>
    </w:p>
    <w:p w14:paraId="7D40C079" w14:textId="77777777" w:rsidR="00D341CB" w:rsidRPr="00D80CCB" w:rsidRDefault="00D341CB" w:rsidP="00D36E83">
      <w:pPr>
        <w:spacing w:line="276" w:lineRule="auto"/>
        <w:ind w:firstLine="709"/>
        <w:jc w:val="both"/>
        <w:rPr>
          <w:rFonts w:ascii="Arial" w:eastAsia="Calibri" w:hAnsi="Arial" w:cs="Arial"/>
          <w:color w:val="000000"/>
          <w:sz w:val="22"/>
          <w:lang w:val="es-ES_tradnl" w:eastAsia="es-ES_tradnl"/>
        </w:rPr>
      </w:pPr>
    </w:p>
    <w:p w14:paraId="39A09272" w14:textId="77777777" w:rsidR="00782400" w:rsidRDefault="00782400" w:rsidP="00C24A71">
      <w:pPr>
        <w:spacing w:line="276" w:lineRule="auto"/>
        <w:jc w:val="both"/>
        <w:rPr>
          <w:rFonts w:ascii="Arial" w:eastAsia="Calibri" w:hAnsi="Arial" w:cs="Arial"/>
          <w:b/>
          <w:bCs/>
          <w:color w:val="000000"/>
          <w:sz w:val="22"/>
          <w:lang w:val="es-ES_tradnl" w:eastAsia="es-ES_tradnl"/>
        </w:rPr>
      </w:pPr>
    </w:p>
    <w:p w14:paraId="61C7870B" w14:textId="5A563E4A" w:rsidR="00C24A71" w:rsidRDefault="00D36E83" w:rsidP="00C24A71">
      <w:pPr>
        <w:spacing w:line="276" w:lineRule="auto"/>
        <w:jc w:val="both"/>
        <w:rPr>
          <w:rFonts w:ascii="Arial" w:eastAsia="Calibri" w:hAnsi="Arial" w:cs="Arial"/>
          <w:color w:val="000000"/>
          <w:sz w:val="22"/>
          <w:lang w:val="es-ES_tradnl" w:eastAsia="es-ES_tradnl"/>
        </w:rPr>
      </w:pPr>
      <w:r w:rsidRPr="00D80CCB">
        <w:rPr>
          <w:rFonts w:ascii="Arial" w:eastAsia="Calibri" w:hAnsi="Arial" w:cs="Arial"/>
          <w:b/>
          <w:bCs/>
          <w:color w:val="000000"/>
          <w:sz w:val="22"/>
          <w:lang w:val="es-ES_tradnl" w:eastAsia="es-ES_tradnl"/>
        </w:rPr>
        <w:t>2.</w:t>
      </w:r>
      <w:r w:rsidR="00D079C7">
        <w:rPr>
          <w:rFonts w:ascii="Arial" w:eastAsia="Calibri" w:hAnsi="Arial" w:cs="Arial"/>
          <w:b/>
          <w:bCs/>
          <w:color w:val="000000"/>
          <w:sz w:val="22"/>
          <w:lang w:val="es-ES_tradnl" w:eastAsia="es-ES_tradnl"/>
        </w:rPr>
        <w:t>2</w:t>
      </w:r>
      <w:r w:rsidRPr="00D80CCB">
        <w:rPr>
          <w:rFonts w:ascii="Arial" w:eastAsia="Calibri" w:hAnsi="Arial" w:cs="Arial"/>
          <w:b/>
          <w:bCs/>
          <w:color w:val="000000"/>
          <w:sz w:val="22"/>
          <w:lang w:val="es-ES_tradnl" w:eastAsia="es-ES_tradnl"/>
        </w:rPr>
        <w:t>. Modificaciones introducidas por los Decretos 399 de 2021 y 579 de 2021</w:t>
      </w:r>
      <w:r w:rsidR="00D079C7">
        <w:rPr>
          <w:rFonts w:ascii="Arial" w:eastAsia="Calibri" w:hAnsi="Arial" w:cs="Arial"/>
          <w:b/>
          <w:bCs/>
          <w:color w:val="000000"/>
          <w:sz w:val="22"/>
          <w:lang w:val="es-ES_tradnl" w:eastAsia="es-ES_tradnl"/>
        </w:rPr>
        <w:t xml:space="preserve"> respecto a la información </w:t>
      </w:r>
      <w:r w:rsidR="00C24A71" w:rsidRPr="00C24A71">
        <w:rPr>
          <w:rFonts w:ascii="Arial" w:eastAsia="Calibri" w:hAnsi="Arial" w:cs="Arial"/>
          <w:b/>
          <w:bCs/>
          <w:color w:val="000000"/>
          <w:sz w:val="22"/>
          <w:lang w:val="es-ES_tradnl" w:eastAsia="es-ES_tradnl"/>
        </w:rPr>
        <w:t xml:space="preserve">contenida en el RUP y delimitación de </w:t>
      </w:r>
      <w:r w:rsidR="00C50F45">
        <w:rPr>
          <w:rFonts w:ascii="Arial" w:eastAsia="Calibri" w:hAnsi="Arial" w:cs="Arial"/>
          <w:b/>
          <w:bCs/>
          <w:color w:val="000000"/>
          <w:sz w:val="22"/>
          <w:lang w:val="es-ES_tradnl" w:eastAsia="es-ES_tradnl"/>
        </w:rPr>
        <w:t xml:space="preserve">su </w:t>
      </w:r>
      <w:r w:rsidR="00C24A71" w:rsidRPr="00C24A71">
        <w:rPr>
          <w:rFonts w:ascii="Arial" w:eastAsia="Calibri" w:hAnsi="Arial" w:cs="Arial"/>
          <w:b/>
          <w:bCs/>
          <w:color w:val="000000"/>
          <w:sz w:val="22"/>
          <w:lang w:val="es-ES_tradnl" w:eastAsia="es-ES_tradnl"/>
        </w:rPr>
        <w:t>verificación dentro del «mejor año fiscal»</w:t>
      </w:r>
      <w:r w:rsidR="00C24A71" w:rsidRPr="00C24A71">
        <w:rPr>
          <w:rFonts w:ascii="Arial" w:eastAsia="Calibri" w:hAnsi="Arial" w:cs="Arial"/>
          <w:color w:val="000000"/>
          <w:sz w:val="22"/>
          <w:lang w:val="es-ES_tradnl" w:eastAsia="es-ES_tradnl"/>
        </w:rPr>
        <w:t xml:space="preserve"> </w:t>
      </w:r>
      <w:r w:rsidR="00C24A71">
        <w:rPr>
          <w:rFonts w:ascii="Arial" w:eastAsia="Calibri" w:hAnsi="Arial" w:cs="Arial"/>
          <w:color w:val="000000"/>
          <w:sz w:val="22"/>
          <w:lang w:val="es-ES_tradnl" w:eastAsia="es-ES_tradnl"/>
        </w:rPr>
        <w:t xml:space="preserve"> </w:t>
      </w:r>
      <w:r w:rsidR="00C24A71" w:rsidRPr="00C24A71">
        <w:rPr>
          <w:rFonts w:ascii="Arial" w:eastAsia="Calibri" w:hAnsi="Arial" w:cs="Arial"/>
          <w:color w:val="000000"/>
          <w:sz w:val="22"/>
          <w:lang w:val="es-ES_tradnl" w:eastAsia="es-ES_tradnl"/>
        </w:rPr>
        <w:t xml:space="preserve"> </w:t>
      </w:r>
    </w:p>
    <w:p w14:paraId="5E2A30E4" w14:textId="77777777" w:rsidR="00C24A71" w:rsidRPr="00D80CCB" w:rsidRDefault="00C24A71" w:rsidP="00C24A71">
      <w:pPr>
        <w:spacing w:line="276" w:lineRule="auto"/>
        <w:jc w:val="both"/>
        <w:rPr>
          <w:rFonts w:ascii="Arial" w:eastAsia="Calibri" w:hAnsi="Arial" w:cs="Arial"/>
          <w:color w:val="000000"/>
          <w:sz w:val="22"/>
          <w:lang w:val="es-ES_tradnl" w:eastAsia="es-ES_tradnl"/>
        </w:rPr>
      </w:pPr>
    </w:p>
    <w:p w14:paraId="13709052" w14:textId="1BBE0F79" w:rsidR="00D36E83" w:rsidRPr="00D80CCB" w:rsidRDefault="00D36E83" w:rsidP="00D36E83">
      <w:pPr>
        <w:spacing w:line="276" w:lineRule="auto"/>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t xml:space="preserve">Para </w:t>
      </w:r>
      <w:r w:rsidR="00DB61F3" w:rsidRPr="00D80CCB">
        <w:rPr>
          <w:rFonts w:ascii="Arial" w:eastAsia="Calibri" w:hAnsi="Arial" w:cs="Arial"/>
          <w:color w:val="000000"/>
          <w:sz w:val="22"/>
          <w:lang w:val="es-ES_tradnl" w:eastAsia="es-ES_tradnl"/>
        </w:rPr>
        <w:t>alcanzar</w:t>
      </w:r>
      <w:r w:rsidRPr="00D80CCB">
        <w:rPr>
          <w:rFonts w:ascii="Arial" w:eastAsia="Calibri" w:hAnsi="Arial" w:cs="Arial"/>
          <w:color w:val="000000"/>
          <w:sz w:val="22"/>
          <w:lang w:val="es-ES_tradnl" w:eastAsia="es-ES_tradnl"/>
        </w:rPr>
        <w:t xml:space="preserve">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w:t>
      </w:r>
      <w:r w:rsidR="006649E0">
        <w:rPr>
          <w:rFonts w:ascii="Arial" w:eastAsia="Calibri" w:hAnsi="Arial" w:cs="Arial"/>
          <w:color w:val="000000"/>
          <w:sz w:val="22"/>
          <w:lang w:val="es-ES_tradnl" w:eastAsia="es-ES_tradnl"/>
        </w:rPr>
        <w:t>con</w:t>
      </w:r>
      <w:r w:rsidRPr="00D80CCB">
        <w:rPr>
          <w:rFonts w:ascii="Arial" w:eastAsia="Calibri" w:hAnsi="Arial" w:cs="Arial"/>
          <w:color w:val="000000"/>
          <w:sz w:val="22"/>
          <w:lang w:val="es-ES_tradnl" w:eastAsia="es-ES_tradnl"/>
        </w:rPr>
        <w:t xml:space="preserve"> la modificación posteriormente introducida por el Decreto 579 de 2021– que a partir del 1 de </w:t>
      </w:r>
      <w:r w:rsidRPr="00D80CCB">
        <w:rPr>
          <w:rFonts w:ascii="Arial" w:eastAsia="Calibri" w:hAnsi="Arial" w:cs="Arial"/>
          <w:i/>
          <w:iCs/>
          <w:color w:val="000000"/>
          <w:sz w:val="22"/>
          <w:lang w:val="es-ES_tradnl" w:eastAsia="es-ES_tradnl"/>
        </w:rPr>
        <w:t>julio</w:t>
      </w:r>
      <w:r w:rsidRPr="00D80CCB">
        <w:rPr>
          <w:rFonts w:ascii="Arial" w:eastAsia="Calibri" w:hAnsi="Arial" w:cs="Arial"/>
          <w:color w:val="000000"/>
          <w:sz w:val="22"/>
          <w:lang w:val="es-ES_tradnl" w:eastAsia="es-ES_tradnl"/>
        </w:rPr>
        <w:t xml:space="preserve"> de 2021</w:t>
      </w:r>
      <w:r w:rsidRPr="00D80CCB">
        <w:rPr>
          <w:rFonts w:ascii="Arial" w:eastAsia="Calibri" w:hAnsi="Arial" w:cs="Arial"/>
          <w:color w:val="000000"/>
          <w:sz w:val="22"/>
          <w:vertAlign w:val="superscript"/>
          <w:lang w:val="es-ES_tradnl" w:eastAsia="es-ES_tradnl"/>
        </w:rPr>
        <w:footnoteReference w:id="8"/>
      </w:r>
      <w:r w:rsidRPr="00D80CCB">
        <w:rPr>
          <w:rFonts w:ascii="Arial" w:eastAsia="Calibri" w:hAnsi="Arial" w:cs="Arial"/>
          <w:color w:val="000000"/>
          <w:sz w:val="22"/>
          <w:lang w:val="es-ES_tradnl" w:eastAsia="es-ES_tradnl"/>
        </w:rPr>
        <w:t xml:space="preserve"> las entidades estatales deberán tener en cuenta los datos sobre la capacidad financiera y organizacional de los últimos tres años, consignada en el RUP. Así lo justifica textualmente el reglamento mencionado, en sus consideraciones:</w:t>
      </w:r>
    </w:p>
    <w:p w14:paraId="605D4ADE" w14:textId="77777777" w:rsidR="00D36E83" w:rsidRPr="00D80CCB" w:rsidRDefault="00D36E83" w:rsidP="00D36E83">
      <w:pPr>
        <w:ind w:left="709" w:right="709" w:firstLine="709"/>
        <w:jc w:val="both"/>
        <w:rPr>
          <w:rFonts w:ascii="Arial" w:eastAsia="Calibri" w:hAnsi="Arial" w:cs="Arial"/>
          <w:color w:val="000000"/>
          <w:sz w:val="21"/>
          <w:szCs w:val="21"/>
          <w:lang w:val="es-ES_tradnl" w:eastAsia="es-ES_tradnl"/>
        </w:rPr>
      </w:pPr>
    </w:p>
    <w:p w14:paraId="760DFF83" w14:textId="77777777" w:rsidR="00D36E83" w:rsidRPr="00D80CCB" w:rsidRDefault="00D36E83" w:rsidP="00D36E83">
      <w:pPr>
        <w:ind w:left="709" w:right="709"/>
        <w:jc w:val="both"/>
        <w:rPr>
          <w:rFonts w:ascii="Arial" w:eastAsia="Calibri" w:hAnsi="Arial" w:cs="Arial"/>
          <w:color w:val="000000"/>
          <w:sz w:val="21"/>
          <w:szCs w:val="21"/>
          <w:lang w:val="es-ES_tradnl" w:eastAsia="es-ES_tradnl"/>
        </w:rPr>
      </w:pPr>
      <w:r w:rsidRPr="00D80CCB">
        <w:rPr>
          <w:rFonts w:ascii="Arial" w:eastAsia="Calibri" w:hAnsi="Arial" w:cs="Arial"/>
          <w:color w:val="000000"/>
          <w:sz w:val="21"/>
          <w:szCs w:val="21"/>
          <w:lang w:val="es-ES_tradnl" w:eastAsia="es-ES_tradnl"/>
        </w:rPr>
        <w:t>Que debido al impacto negativo en la economía del país, generado por la pandemia del COVID-19, reconociendo la realidad financiera de muchas de las personas naturales y jurídicas que fueron afectadas por ella y con la finalidad de permitir la reactivación económica, es conveniente modificar transitoriamente algunos artículos del Decreto 1082 de 2015, para que el Registro Único de Proponentes contenga información financiera de los oferentes en relación con los últimos tres (3) años y no solo del último año, lo cual aplicaría para las inscripciones y renovaciones que se realicen en los años 2021 y 2022.</w:t>
      </w:r>
    </w:p>
    <w:p w14:paraId="12102EC4" w14:textId="77777777" w:rsidR="00D36E83" w:rsidRPr="00D80CCB" w:rsidRDefault="00D36E83" w:rsidP="00D36E83">
      <w:pPr>
        <w:ind w:left="709" w:right="709" w:firstLine="709"/>
        <w:jc w:val="both"/>
        <w:rPr>
          <w:rFonts w:ascii="Arial" w:eastAsia="Calibri" w:hAnsi="Arial" w:cs="Arial"/>
          <w:color w:val="000000"/>
          <w:sz w:val="21"/>
          <w:szCs w:val="21"/>
          <w:lang w:val="es-ES_tradnl" w:eastAsia="es-ES_tradnl"/>
        </w:rPr>
      </w:pPr>
    </w:p>
    <w:p w14:paraId="11DED785" w14:textId="77777777" w:rsidR="00D36E83" w:rsidRPr="00D80CCB" w:rsidRDefault="00D36E83" w:rsidP="00D36E83">
      <w:pPr>
        <w:ind w:left="709" w:right="709"/>
        <w:jc w:val="both"/>
        <w:rPr>
          <w:rFonts w:ascii="Arial" w:eastAsia="Calibri" w:hAnsi="Arial" w:cs="Arial"/>
          <w:color w:val="000000"/>
          <w:sz w:val="21"/>
          <w:szCs w:val="21"/>
          <w:lang w:val="es-ES_tradnl" w:eastAsia="es-ES_tradnl"/>
        </w:rPr>
      </w:pPr>
      <w:r w:rsidRPr="00D80CCB">
        <w:rPr>
          <w:rFonts w:ascii="Arial" w:eastAsia="Calibri" w:hAnsi="Arial" w:cs="Arial"/>
          <w:color w:val="000000"/>
          <w:sz w:val="21"/>
          <w:szCs w:val="21"/>
          <w:lang w:val="es-ES_tradnl" w:eastAsia="es-ES_tradnl"/>
        </w:rPr>
        <w:t>Que la modificación anterior brindará herramientas adicionales a las entidades estatales para que, en su deber de planeación y de análisis del sector, determinen los requisitos habilitantes exigibles en sus procedimientos de selección, particularmente, en relación con la capacidad financiera y organizacional de los proponentes. Lo anterior, teniendo en cuenta la situación actual derivada de la pandemia del COVID-19, toda vez que la mayoría de los sectores económicos han sufrido efectos negativos a causa de esta.</w:t>
      </w:r>
    </w:p>
    <w:p w14:paraId="2CFEB347" w14:textId="77777777" w:rsidR="00D36E83" w:rsidRPr="00D80CCB" w:rsidRDefault="00D36E83" w:rsidP="00D36E83">
      <w:pPr>
        <w:ind w:left="709" w:right="709" w:firstLine="709"/>
        <w:jc w:val="both"/>
        <w:rPr>
          <w:rFonts w:ascii="Arial" w:eastAsia="Calibri" w:hAnsi="Arial" w:cs="Arial"/>
          <w:color w:val="000000"/>
          <w:sz w:val="21"/>
          <w:szCs w:val="21"/>
          <w:lang w:val="es-ES_tradnl" w:eastAsia="es-ES_tradnl"/>
        </w:rPr>
      </w:pPr>
    </w:p>
    <w:p w14:paraId="423079D8" w14:textId="77777777" w:rsidR="00D36E83" w:rsidRPr="00D80CCB" w:rsidRDefault="00D36E83" w:rsidP="00D36E83">
      <w:pPr>
        <w:ind w:left="709" w:right="709"/>
        <w:jc w:val="both"/>
        <w:rPr>
          <w:rFonts w:ascii="Arial" w:eastAsia="Calibri" w:hAnsi="Arial" w:cs="Arial"/>
          <w:color w:val="000000"/>
          <w:sz w:val="21"/>
          <w:szCs w:val="21"/>
          <w:lang w:val="es-ES_tradnl" w:eastAsia="es-ES_tradnl"/>
        </w:rPr>
      </w:pPr>
      <w:r w:rsidRPr="00D80CCB">
        <w:rPr>
          <w:rFonts w:ascii="Arial" w:eastAsia="Calibri" w:hAnsi="Arial" w:cs="Arial"/>
          <w:color w:val="000000"/>
          <w:sz w:val="21"/>
          <w:szCs w:val="21"/>
          <w:lang w:val="es-ES_tradnl" w:eastAsia="es-ES_tradnl"/>
        </w:rPr>
        <w:t xml:space="preserve">Que en armonía con lo anterior, para los procesos de selección cuyo acto administrativo de apertura o invitación se publique a partir del 1 de septiembre de 2021, las entidades estatales al estructurar sus procedimientos de selección tendrán en cuenta la información vigente y en firme que conste en el RUP, por </w:t>
      </w:r>
      <w:r w:rsidRPr="00D80CCB">
        <w:rPr>
          <w:rFonts w:ascii="Arial" w:eastAsia="Calibri" w:hAnsi="Arial" w:cs="Arial"/>
          <w:color w:val="000000"/>
          <w:sz w:val="21"/>
          <w:szCs w:val="21"/>
          <w:lang w:val="es-ES_tradnl" w:eastAsia="es-ES_tradnl"/>
        </w:rPr>
        <w:lastRenderedPageBreak/>
        <w:t>lo que al evaluar las ofertas verificarán el cumplimiento de los requisitos habilitantes de capacidad financiera y organizacional, con los indicadores del mejor año que se refleje en el registro de cada proponente. De esta manera, los oferentes podrán acreditar el cumplimiento de estos requisitos habilitantes con los mejores indicadores de los últimos tres (3) años.</w:t>
      </w:r>
    </w:p>
    <w:p w14:paraId="58BF1F25" w14:textId="77777777" w:rsidR="00D36E83" w:rsidRPr="00D80CCB" w:rsidRDefault="00D36E83" w:rsidP="00D36E83">
      <w:pPr>
        <w:ind w:left="709" w:right="709" w:firstLine="709"/>
        <w:jc w:val="both"/>
        <w:rPr>
          <w:rFonts w:ascii="Arial" w:eastAsia="Calibri" w:hAnsi="Arial" w:cs="Arial"/>
          <w:color w:val="000000"/>
          <w:sz w:val="21"/>
          <w:szCs w:val="21"/>
          <w:lang w:val="es-ES_tradnl" w:eastAsia="es-ES_tradnl"/>
        </w:rPr>
      </w:pPr>
    </w:p>
    <w:p w14:paraId="371AB9D1" w14:textId="77777777" w:rsidR="00D36E83" w:rsidRPr="00D80CCB" w:rsidRDefault="00D36E83" w:rsidP="00D36E83">
      <w:pPr>
        <w:ind w:left="709" w:right="709"/>
        <w:jc w:val="both"/>
        <w:rPr>
          <w:rFonts w:ascii="Arial" w:eastAsia="Calibri" w:hAnsi="Arial" w:cs="Arial"/>
          <w:color w:val="000000"/>
          <w:sz w:val="21"/>
          <w:szCs w:val="21"/>
          <w:lang w:val="es-ES_tradnl" w:eastAsia="es-ES_tradnl"/>
        </w:rPr>
      </w:pPr>
      <w:r w:rsidRPr="00D80CCB">
        <w:rPr>
          <w:rFonts w:ascii="Arial" w:eastAsia="Calibri" w:hAnsi="Arial" w:cs="Arial"/>
          <w:color w:val="000000"/>
          <w:sz w:val="21"/>
          <w:szCs w:val="21"/>
          <w:lang w:val="es-ES_tradnl" w:eastAsia="es-ES_tradnl"/>
        </w:rPr>
        <w:t>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p>
    <w:p w14:paraId="17574592" w14:textId="77777777" w:rsidR="00D36E83" w:rsidRPr="00D80CCB" w:rsidRDefault="00D36E83" w:rsidP="00D36E83">
      <w:pPr>
        <w:spacing w:line="276" w:lineRule="auto"/>
        <w:ind w:firstLine="709"/>
        <w:jc w:val="both"/>
        <w:rPr>
          <w:rFonts w:ascii="Arial" w:eastAsia="Calibri" w:hAnsi="Arial" w:cs="Arial"/>
          <w:color w:val="000000"/>
          <w:sz w:val="22"/>
          <w:lang w:val="es-ES_tradnl" w:eastAsia="es-ES_tradnl"/>
        </w:rPr>
      </w:pPr>
    </w:p>
    <w:p w14:paraId="0A149FD3" w14:textId="4ACA853C" w:rsidR="00D36E83" w:rsidRPr="00D80CCB" w:rsidRDefault="00D36E83" w:rsidP="00D36E83">
      <w:pPr>
        <w:spacing w:line="276" w:lineRule="auto"/>
        <w:ind w:firstLine="708"/>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t>En tal sentido, el artículo 4 del Decreto 399 de 2021 adicionó dos parágrafos transitorios al artículo 2.2.1.1.1.5.2. del Decreto 1082 de 2015, que a su vez fueron sustituidos posteriormente por el artículo 1 del Decreto 579 del 31 de mayo de 2021</w:t>
      </w:r>
      <w:r w:rsidRPr="00D80CCB">
        <w:rPr>
          <w:rFonts w:ascii="Arial" w:eastAsia="Calibri" w:hAnsi="Arial" w:cs="Arial"/>
          <w:color w:val="000000"/>
          <w:sz w:val="22"/>
          <w:vertAlign w:val="superscript"/>
          <w:lang w:val="es-ES_tradnl" w:eastAsia="es-ES_tradnl"/>
        </w:rPr>
        <w:footnoteReference w:id="9"/>
      </w:r>
      <w:r w:rsidRPr="00D80CCB">
        <w:rPr>
          <w:rFonts w:ascii="Arial" w:eastAsia="Calibri" w:hAnsi="Arial" w:cs="Arial"/>
          <w:color w:val="000000"/>
          <w:sz w:val="22"/>
          <w:lang w:val="es-ES_tradnl" w:eastAsia="es-ES_tradnl"/>
        </w:rPr>
        <w:t xml:space="preserve">. El parágrafo transitorio 1 establece que desde el 1 de junio de 2021 los interesados en inscribirse en el RUP deben reportar la información contable y los estados financieros de los tres últimos años fiscales. </w:t>
      </w:r>
      <w:r w:rsidR="00DE2333" w:rsidRPr="00D80CCB">
        <w:rPr>
          <w:rFonts w:ascii="Arial" w:eastAsia="Calibri" w:hAnsi="Arial" w:cs="Arial"/>
          <w:color w:val="000000"/>
          <w:sz w:val="22"/>
          <w:lang w:val="es-ES_tradnl" w:eastAsia="es-ES_tradnl"/>
        </w:rPr>
        <w:t>Sin embargo</w:t>
      </w:r>
      <w:r w:rsidRPr="00D80CCB">
        <w:rPr>
          <w:rFonts w:ascii="Arial" w:eastAsia="Calibri" w:hAnsi="Arial" w:cs="Arial"/>
          <w:color w:val="000000"/>
          <w:sz w:val="22"/>
          <w:lang w:val="es-ES_tradnl" w:eastAsia="es-ES_tradnl"/>
        </w:rPr>
        <w:t xml:space="preserve">, si el interesado no tiene una antigüedad de tres años, podrá acreditar dicha información desde el primer cierre fiscal. Dicho parágrafo además permite que el proponente con inscripción activa y vigente en el RUP actualice la </w:t>
      </w:r>
      <w:r w:rsidRPr="00D80CCB">
        <w:rPr>
          <w:rFonts w:ascii="Arial" w:eastAsia="Calibri" w:hAnsi="Arial" w:cs="Arial"/>
          <w:color w:val="000000"/>
          <w:sz w:val="22"/>
          <w:lang w:val="es-ES_tradnl" w:eastAsia="es-ES_tradnl"/>
        </w:rPr>
        <w:lastRenderedPageBreak/>
        <w:t>información del 2018 y/o 2019, por no contar con los datos sobre la capacidad financiera y organizacional de estos años, de manera gratuita, durante el mes de junio, por una sola vez. En todo caso, aclara que, si el proponente tiene registrada la información de dichos años en la cámara de comercio, no deberá presentar esta información.</w:t>
      </w:r>
    </w:p>
    <w:p w14:paraId="54441474" w14:textId="56663AEB" w:rsidR="00D36E83" w:rsidRPr="00D80CCB" w:rsidRDefault="00D36E83" w:rsidP="00D36E83">
      <w:pPr>
        <w:spacing w:before="120" w:line="276" w:lineRule="auto"/>
        <w:ind w:firstLine="709"/>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t>El parágrafo transitorio 2 establece que, en el año 2022, para la inscripción en el RUP o para su renovación, el interesado debe reportar la información contable y los estados financieros de los tres últimos años fiscales. Además, reitera que, si aquel no cuenta con la información financiera de dichos años, por no tener la antigüedad suficiente, podrá aportar la información de su primer cierre fiscal. Igualmente, señala que, si la información del interesado correspondiente a los años 2019 y/o 2020 reposa en la cámara de comercio, no se tendrá que presentar de nuevo, porque conservará firmeza para efectos de su certificación.</w:t>
      </w:r>
    </w:p>
    <w:p w14:paraId="52D185D3" w14:textId="357588EE" w:rsidR="00D36E83" w:rsidRPr="00D80CCB" w:rsidRDefault="00D36E83" w:rsidP="00D36E83">
      <w:pPr>
        <w:spacing w:before="120" w:line="276" w:lineRule="auto"/>
        <w:ind w:firstLine="709"/>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t>Por otra parte, 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establece que «</w:t>
      </w:r>
      <w:r w:rsidRPr="00D80CCB">
        <w:rPr>
          <w:rFonts w:ascii="Arial" w:eastAsia="Times New Roman" w:hAnsi="Arial" w:cs="Arial"/>
          <w:color w:val="000000"/>
          <w:sz w:val="22"/>
          <w:lang w:val="es-ES_tradnl" w:eastAsia="es-ES_tradnl"/>
        </w:rPr>
        <w:t xml:space="preserve">[…] </w:t>
      </w:r>
      <w:r w:rsidRPr="00D80CCB">
        <w:rPr>
          <w:rFonts w:ascii="Arial" w:eastAsia="Calibri" w:hAnsi="Arial" w:cs="Arial"/>
          <w:color w:val="000000"/>
          <w:sz w:val="22"/>
          <w:lang w:val="es-ES_tradnl" w:eastAsia="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w:t>
      </w:r>
      <w:r w:rsidRPr="00D80CCB">
        <w:rPr>
          <w:rFonts w:ascii="Arial" w:eastAsia="Times New Roman" w:hAnsi="Arial" w:cs="Arial"/>
          <w:color w:val="000000"/>
          <w:sz w:val="22"/>
          <w:lang w:val="es-ES_tradnl" w:eastAsia="es-ES_tradnl"/>
        </w:rPr>
        <w:t>c</w:t>
      </w:r>
      <w:r w:rsidRPr="00D80CCB">
        <w:rPr>
          <w:rFonts w:ascii="Arial" w:eastAsia="Calibri" w:hAnsi="Arial" w:cs="Arial"/>
          <w:color w:val="000000"/>
          <w:sz w:val="22"/>
          <w:lang w:val="es-ES_tradnl" w:eastAsia="es-ES_tradnl"/>
        </w:rPr>
        <w:t>ertificarán la información de que tratan los parágrafos transitorios 1 y 2 del artículo 2.2.1.1.1.5.2. de este Decreto». Los requisitos e indicadores de la capacidad financiera consagrados en el literal (b) del artículo 2.2.1.1.1.5.6. del Decreto 1082 de 2015 son: i) el índice de liquidez, ii) el índice de endeudamiento y iii) la razón de cobertura de intereses. Los requisitos e indica</w:t>
      </w:r>
      <w:r w:rsidR="00771889" w:rsidRPr="00D80CCB">
        <w:rPr>
          <w:rFonts w:ascii="Arial" w:eastAsia="Calibri" w:hAnsi="Arial" w:cs="Arial"/>
          <w:color w:val="000000"/>
          <w:sz w:val="22"/>
          <w:lang w:val="es-ES_tradnl" w:eastAsia="es-ES_tradnl"/>
        </w:rPr>
        <w:t>do</w:t>
      </w:r>
      <w:r w:rsidRPr="00D80CCB">
        <w:rPr>
          <w:rFonts w:ascii="Arial" w:eastAsia="Calibri" w:hAnsi="Arial" w:cs="Arial"/>
          <w:color w:val="000000"/>
          <w:sz w:val="22"/>
          <w:lang w:val="es-ES_tradnl" w:eastAsia="es-ES_tradnl"/>
        </w:rPr>
        <w:t>res de capacidad organizacional son: i) la rentabilidad del patrimonio y ii) la rentabilidad del activo. El segundo parágrafo transitorio establece que «El</w:t>
      </w:r>
      <w:r w:rsidRPr="00D80CCB">
        <w:rPr>
          <w:rFonts w:ascii="Arial" w:eastAsia="Times New Roman" w:hAnsi="Arial" w:cs="Arial"/>
          <w:color w:val="000000"/>
          <w:sz w:val="22"/>
          <w:lang w:val="es-ES_tradnl" w:eastAsia="es-ES_tradnl"/>
        </w:rPr>
        <w:t xml:space="preserve"> </w:t>
      </w:r>
      <w:r w:rsidRPr="00D80CCB">
        <w:rPr>
          <w:rFonts w:ascii="Arial" w:eastAsia="Calibri" w:hAnsi="Arial" w:cs="Arial"/>
          <w:color w:val="000000"/>
          <w:sz w:val="22"/>
          <w:lang w:val="es-ES_tradnl" w:eastAsia="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4B07C7C5" w14:textId="77777777" w:rsidR="00D36E83" w:rsidRPr="00D80CCB" w:rsidRDefault="00D36E83" w:rsidP="00D36E83">
      <w:pPr>
        <w:spacing w:before="120" w:line="276" w:lineRule="auto"/>
        <w:ind w:firstLine="709"/>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t>De otro lado, el artículo 6 del Decreto 399 de 2021 adiciona un parágrafo transitorio –sustituido después por el artículo 3 del Decreto 579 de 2021– al artículo 2.2.1.1.1.6.2. del Decreto 1082 de 2015</w:t>
      </w:r>
      <w:r w:rsidRPr="00D80CCB">
        <w:rPr>
          <w:rFonts w:ascii="Arial" w:eastAsia="Calibri" w:hAnsi="Arial" w:cs="Arial"/>
          <w:color w:val="000000"/>
          <w:sz w:val="22"/>
          <w:vertAlign w:val="superscript"/>
          <w:lang w:val="es-ES_tradnl" w:eastAsia="es-ES_tradnl"/>
        </w:rPr>
        <w:footnoteReference w:id="10"/>
      </w:r>
      <w:r w:rsidRPr="00D80CCB">
        <w:rPr>
          <w:rFonts w:ascii="Arial" w:eastAsia="Calibri" w:hAnsi="Arial" w:cs="Arial"/>
          <w:color w:val="000000"/>
          <w:sz w:val="22"/>
          <w:lang w:val="es-ES_tradnl" w:eastAsia="es-ES_tradnl"/>
        </w:rPr>
        <w:t>, con el siguiente contenido:</w:t>
      </w:r>
    </w:p>
    <w:p w14:paraId="04879B6C" w14:textId="77777777" w:rsidR="00D36E83" w:rsidRPr="00D80CCB" w:rsidRDefault="00D36E83" w:rsidP="00D36E83">
      <w:pPr>
        <w:ind w:left="709" w:right="709" w:firstLine="709"/>
        <w:jc w:val="both"/>
        <w:rPr>
          <w:rFonts w:ascii="Arial" w:eastAsia="Calibri" w:hAnsi="Arial" w:cs="Arial"/>
          <w:color w:val="000000"/>
          <w:sz w:val="21"/>
          <w:szCs w:val="21"/>
          <w:lang w:val="es-ES_tradnl" w:eastAsia="es-ES_tradnl"/>
        </w:rPr>
      </w:pPr>
    </w:p>
    <w:p w14:paraId="61624351" w14:textId="77777777" w:rsidR="00D36E83" w:rsidRPr="00D80CCB" w:rsidRDefault="00D36E83" w:rsidP="00D36E83">
      <w:pPr>
        <w:ind w:left="709" w:right="709"/>
        <w:jc w:val="both"/>
        <w:rPr>
          <w:rFonts w:ascii="Arial" w:eastAsia="Calibri" w:hAnsi="Arial" w:cs="Arial"/>
          <w:color w:val="000000"/>
          <w:sz w:val="21"/>
          <w:szCs w:val="21"/>
          <w:lang w:val="es-ES_tradnl" w:eastAsia="es-ES_tradnl"/>
        </w:rPr>
      </w:pPr>
      <w:r w:rsidRPr="00D80CCB">
        <w:rPr>
          <w:rFonts w:ascii="Arial" w:eastAsia="Calibri" w:hAnsi="Arial" w:cs="Arial"/>
          <w:color w:val="000000"/>
          <w:sz w:val="21"/>
          <w:szCs w:val="21"/>
          <w:lang w:val="es-ES_tradnl" w:eastAsia="es-ES_tradnl"/>
        </w:rPr>
        <w:t xml:space="preserve">De conformidad con los parágrafos transitorios de los artículos 2.2.1.1.1.5.2. y 2.2.1.1.1.5.6., y en desarrollo del deber de análisis de las Entidades Estatales, de que trata el artículo 2.2.1.1.1.6.1. de este Decreto, a partir del 1° de julio de 2021 las Entidades Estatales establecerán y evaluarán los requisitos habilitantes de capacidad financiera y organizacional teniendo en cuenta la información que conste en el Registro Único de Proponentes. En todo caso, se establecerán indicadores proporcionales al procedimiento de contratación. </w:t>
      </w:r>
    </w:p>
    <w:p w14:paraId="11BD6667" w14:textId="77777777" w:rsidR="00D36E83" w:rsidRPr="00D80CCB" w:rsidRDefault="00D36E83" w:rsidP="00D36E83">
      <w:pPr>
        <w:ind w:left="709" w:right="709" w:firstLine="709"/>
        <w:jc w:val="both"/>
        <w:rPr>
          <w:rFonts w:ascii="Arial" w:eastAsia="Calibri" w:hAnsi="Arial" w:cs="Arial"/>
          <w:color w:val="000000"/>
          <w:sz w:val="21"/>
          <w:szCs w:val="21"/>
          <w:lang w:val="es-ES_tradnl" w:eastAsia="es-ES_tradnl"/>
        </w:rPr>
      </w:pPr>
    </w:p>
    <w:p w14:paraId="2A0E2714" w14:textId="77777777" w:rsidR="00D36E83" w:rsidRPr="00D80CCB" w:rsidRDefault="00D36E83" w:rsidP="00D36E83">
      <w:pPr>
        <w:ind w:left="709" w:right="709"/>
        <w:jc w:val="both"/>
        <w:rPr>
          <w:rFonts w:ascii="Arial" w:eastAsia="Calibri" w:hAnsi="Arial" w:cs="Arial"/>
          <w:color w:val="000000"/>
          <w:sz w:val="21"/>
          <w:szCs w:val="21"/>
          <w:lang w:val="es-ES_tradnl" w:eastAsia="es-ES_tradnl"/>
        </w:rPr>
      </w:pPr>
      <w:r w:rsidRPr="00D80CCB">
        <w:rPr>
          <w:rFonts w:ascii="Arial" w:eastAsia="Calibri" w:hAnsi="Arial" w:cs="Arial"/>
          <w:color w:val="000000"/>
          <w:sz w:val="21"/>
          <w:szCs w:val="21"/>
          <w:lang w:val="es-ES_tradnl" w:eastAsia="es-ES_tradnl"/>
        </w:rPr>
        <w:t>Para ello, atendiendo a las condiciones aludidas, en relación con los indicadores de la capacidad financiera y organizacional, de los procesos de selección cuyo acto administrativo de apertura o invitación se publique a partir del 1° de julio de 2021, se tendrá en cuenta la información vigente y en firme en el RUP, por lo que las Entidades Estatales evaluarán estos indicadores, teniendo en cuenta el mejor año fiscal que se refleje en el registro de cada proponente. ​​</w:t>
      </w:r>
    </w:p>
    <w:p w14:paraId="7BFE03CD" w14:textId="77777777" w:rsidR="00D36E83" w:rsidRPr="00D80CCB" w:rsidRDefault="00D36E83" w:rsidP="00D36E83">
      <w:pPr>
        <w:spacing w:line="276" w:lineRule="auto"/>
        <w:ind w:firstLine="709"/>
        <w:jc w:val="both"/>
        <w:rPr>
          <w:rFonts w:ascii="Arial" w:eastAsia="Calibri" w:hAnsi="Arial" w:cs="Arial"/>
          <w:color w:val="000000"/>
          <w:sz w:val="22"/>
          <w:lang w:val="es-ES_tradnl" w:eastAsia="es-ES_tradnl"/>
        </w:rPr>
      </w:pPr>
    </w:p>
    <w:p w14:paraId="5AE4D1FF" w14:textId="77777777" w:rsidR="00D36E83" w:rsidRPr="00D80CCB" w:rsidRDefault="00D36E83" w:rsidP="00D36E83">
      <w:pPr>
        <w:spacing w:line="276" w:lineRule="auto"/>
        <w:ind w:firstLine="709"/>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t>Como se observa, el parágrafo transitorio, agregado al artículo 2.2.1.1.1.6.2. del Decreto 1082 de 2015 por el artículo 6 del Decreto 399 de 2021 y sustituido por el artículo 3 del Decreto 579 de 2021, establece que:</w:t>
      </w:r>
    </w:p>
    <w:p w14:paraId="17590DAA" w14:textId="77777777" w:rsidR="00D36E83" w:rsidRPr="00D80CCB" w:rsidRDefault="00D36E83" w:rsidP="00D36E83">
      <w:pPr>
        <w:spacing w:before="120" w:line="276" w:lineRule="auto"/>
        <w:ind w:firstLine="709"/>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t>i) A partir del 1 de julio de 2021 las entidades estatales «[…] establecerán y evaluarán los requisitos habilitantes de capacidad financiera y organizacional teniendo en cuenta la información que conste en el Registro Único de Proponentes». Es decir, las entidades estatales deben tener en cuenta la información sobre la capacidad financiera y organizacional «correspondiente a los últimos tres (3) años fiscales anteriores al respectivo acto» o «desde su primer cierre fiscal», según el caso.</w:t>
      </w:r>
    </w:p>
    <w:p w14:paraId="4E6DE70F" w14:textId="77777777" w:rsidR="00D36E83" w:rsidRPr="00D80CCB" w:rsidRDefault="00D36E83" w:rsidP="00D36E83">
      <w:pPr>
        <w:spacing w:before="120" w:line="276" w:lineRule="auto"/>
        <w:ind w:firstLine="709"/>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t>ii) Las entidades estatales conservan su discrecionalidad administrativa para determinar los requisitos habilitantes de capacidad financiera y organizacional, pero «En todo caso, se establecerán indicadores proporcionales al procedimiento de contratación». El principio de proporcionalidad exige que dichos indicadores sean razonables, o sea, que guarden congruencia con el objeto, alcance, valor y plazo del contrato, que sean necesarios y no restrinjan injustificadamente la libre concurrencia.</w:t>
      </w:r>
    </w:p>
    <w:p w14:paraId="6945FC0B" w14:textId="77777777" w:rsidR="00D36E83" w:rsidRPr="00D80CCB" w:rsidRDefault="00D36E83" w:rsidP="00D36E83">
      <w:pPr>
        <w:spacing w:before="120" w:line="276" w:lineRule="auto"/>
        <w:ind w:firstLine="709"/>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t>iii) En los procesos de selección cuyo acto administrativo de apertura o invitación se publique a partir del 1 de julio de 2021 las entidades estatales deberán tener en cuenta la información financiera y organizacional que esté vigente y en firme en el RUP.</w:t>
      </w:r>
    </w:p>
    <w:p w14:paraId="3CE32AC8" w14:textId="77777777" w:rsidR="00D36E83" w:rsidRPr="00D80CCB" w:rsidRDefault="00D36E83" w:rsidP="00D36E83">
      <w:pPr>
        <w:spacing w:before="120" w:line="276" w:lineRule="auto"/>
        <w:ind w:firstLine="709"/>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t xml:space="preserve">iv) A partir de la fecha establecida anteriormente, la evaluación de los indicadores de capacidad </w:t>
      </w:r>
      <w:r w:rsidRPr="00D80CCB">
        <w:rPr>
          <w:rFonts w:ascii="Arial" w:eastAsia="Calibri" w:hAnsi="Arial" w:cs="Arial"/>
          <w:i/>
          <w:iCs/>
          <w:color w:val="000000"/>
          <w:sz w:val="22"/>
          <w:lang w:val="es-ES_tradnl" w:eastAsia="es-ES_tradnl"/>
        </w:rPr>
        <w:t>financiera –</w:t>
      </w:r>
      <w:r w:rsidRPr="00D80CCB">
        <w:rPr>
          <w:rFonts w:ascii="Arial" w:eastAsia="Calibri" w:hAnsi="Arial" w:cs="Arial"/>
          <w:color w:val="000000"/>
          <w:sz w:val="22"/>
          <w:lang w:val="es-ES_tradnl" w:eastAsia="es-ES_tradnl"/>
        </w:rPr>
        <w:t xml:space="preserve">índice de liquidez, índice de endeudamiento y razón de cobertura de intereses– y </w:t>
      </w:r>
      <w:r w:rsidRPr="00D80CCB">
        <w:rPr>
          <w:rFonts w:ascii="Arial" w:eastAsia="Calibri" w:hAnsi="Arial" w:cs="Arial"/>
          <w:i/>
          <w:iCs/>
          <w:color w:val="000000"/>
          <w:sz w:val="22"/>
          <w:lang w:val="es-ES_tradnl" w:eastAsia="es-ES_tradnl"/>
        </w:rPr>
        <w:t>organizacional</w:t>
      </w:r>
      <w:r w:rsidRPr="00D80CCB">
        <w:rPr>
          <w:rFonts w:ascii="Arial" w:eastAsia="Calibri" w:hAnsi="Arial" w:cs="Arial"/>
          <w:color w:val="000000"/>
          <w:sz w:val="22"/>
          <w:lang w:val="es-ES_tradnl" w:eastAsia="es-ES_tradnl"/>
        </w:rPr>
        <w:t xml:space="preserve"> –rentabilidad del patrimonio y rentabilidad del activo–, se deberá realizar por parte de las entidades estatales «teniendo en cuenta </w:t>
      </w:r>
      <w:r w:rsidRPr="00D80CCB">
        <w:rPr>
          <w:rFonts w:ascii="Arial" w:eastAsia="Calibri" w:hAnsi="Arial" w:cs="Arial"/>
          <w:i/>
          <w:iCs/>
          <w:color w:val="000000"/>
          <w:sz w:val="22"/>
          <w:lang w:val="es-ES_tradnl" w:eastAsia="es-ES_tradnl"/>
        </w:rPr>
        <w:t>el mejor año fiscal que se refleje en el registro</w:t>
      </w:r>
      <w:r w:rsidRPr="00D80CCB">
        <w:rPr>
          <w:rFonts w:ascii="Arial" w:eastAsia="Calibri" w:hAnsi="Arial" w:cs="Arial"/>
          <w:color w:val="000000"/>
          <w:sz w:val="22"/>
          <w:lang w:val="es-ES_tradnl" w:eastAsia="es-ES_tradnl"/>
        </w:rPr>
        <w:t xml:space="preserve"> de cada proponente» (énfasis fuera de texto). </w:t>
      </w:r>
    </w:p>
    <w:p w14:paraId="71ED0D00" w14:textId="77777777" w:rsidR="00D36E83" w:rsidRPr="00D80CCB" w:rsidRDefault="00D36E83" w:rsidP="00D36E83">
      <w:pPr>
        <w:spacing w:before="120" w:line="276" w:lineRule="auto"/>
        <w:ind w:firstLine="709"/>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lastRenderedPageBreak/>
        <w:t>Es decir, como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y sustituido por el artículo 3 del Decreto 579 de 2021, establece que «</w:t>
      </w:r>
      <w:r w:rsidRPr="00D80CCB">
        <w:rPr>
          <w:rFonts w:ascii="Arial" w:eastAsia="Times New Roman" w:hAnsi="Arial" w:cs="Arial"/>
          <w:color w:val="000000"/>
          <w:sz w:val="22"/>
          <w:lang w:val="es-ES_tradnl" w:eastAsia="es-ES_tradnl"/>
        </w:rPr>
        <w:t xml:space="preserve">[…] </w:t>
      </w:r>
      <w:r w:rsidRPr="00D80CCB">
        <w:rPr>
          <w:rFonts w:ascii="Arial" w:eastAsia="Calibri" w:hAnsi="Arial" w:cs="Arial"/>
          <w:color w:val="000000"/>
          <w:sz w:val="22"/>
          <w:lang w:val="es-ES_tradnl" w:eastAsia="es-ES_tradnl"/>
        </w:rPr>
        <w:t>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14:paraId="2E18AABE" w14:textId="77777777" w:rsidR="00D36E83" w:rsidRPr="00D80CCB" w:rsidRDefault="00D36E83" w:rsidP="00D36E83">
      <w:pPr>
        <w:spacing w:before="120" w:line="276" w:lineRule="auto"/>
        <w:ind w:firstLine="709"/>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t xml:space="preserve">Por lo tanto, el parágrafo transitorio, agregado al artículo 2.2.1.1.1.6.2. del Decreto 1082 de 2015 por el artículo 6 del Decreto 399 de 2021 y sustituido por el artículo 3 del Decreto 579 de 2021, no exige que las entidades estatales tengan en cuenta el mejor año </w:t>
      </w:r>
      <w:r w:rsidRPr="00D80CCB">
        <w:rPr>
          <w:rFonts w:ascii="Arial" w:eastAsia="Calibri" w:hAnsi="Arial" w:cs="Arial"/>
          <w:i/>
          <w:iCs/>
          <w:color w:val="000000"/>
          <w:sz w:val="22"/>
          <w:lang w:val="es-ES_tradnl" w:eastAsia="es-ES_tradnl"/>
        </w:rPr>
        <w:t>por cada indicador</w:t>
      </w:r>
      <w:r w:rsidRPr="00D80CCB">
        <w:rPr>
          <w:rFonts w:ascii="Arial" w:eastAsia="Calibri" w:hAnsi="Arial" w:cs="Arial"/>
          <w:color w:val="000000"/>
          <w:sz w:val="22"/>
          <w:lang w:val="es-ES_tradnl" w:eastAsia="es-ES_tradnl"/>
        </w:rPr>
        <w:t xml:space="preserve">;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registrados en el RUP le permita al proponente cumplir con dichos requisitos habilitantes. </w:t>
      </w:r>
    </w:p>
    <w:p w14:paraId="56B5458B" w14:textId="3402AE0C" w:rsidR="00D36E83" w:rsidRDefault="00D36E83" w:rsidP="00D36E83">
      <w:pPr>
        <w:spacing w:before="120" w:line="276" w:lineRule="auto"/>
        <w:ind w:firstLine="709"/>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t>Se concluye entonces que, según la finalidad del Decreto 399 de 2021, el «mejor año fiscal» es, objetivamente, aquel en el que, vistos en su conjunto los indicadores de capacidad financiera y organizacional, el proponente podría cumplir estos requisitos habilitantes en el proceso de selección. Tales requisitos deben establecerse por la entidad estatal en el pliego de condiciones o documento equivalente y han de ser el resultado de un adecuado análisis en la fase de planeación, que permita establecer índices de capacidad financiera y organizacional razonables. Ahora bien, del hecho de que la entidad estatal deba evaluar los indicadores de capacidad financiera y organizacional teniendo en cuenta el «mejor año fiscal», no se infiere que el proponente siempre cumplirá tales requisitos habilitantes, pues, precisamente, ese es el análisis que deberá hacer la entidad pública con la información disponible en el RUP.</w:t>
      </w:r>
    </w:p>
    <w:p w14:paraId="130D1D34" w14:textId="77777777" w:rsidR="002E4CF7" w:rsidRDefault="002E4CF7" w:rsidP="002E4CF7">
      <w:pPr>
        <w:jc w:val="both"/>
        <w:rPr>
          <w:rFonts w:ascii="Arial" w:eastAsia="Calibri" w:hAnsi="Arial" w:cs="Arial"/>
          <w:b/>
          <w:bCs/>
          <w:color w:val="000000"/>
          <w:sz w:val="22"/>
          <w:lang w:val="es-ES_tradnl" w:eastAsia="es-ES_tradnl"/>
        </w:rPr>
      </w:pPr>
    </w:p>
    <w:p w14:paraId="1747E65E" w14:textId="67A3D41C" w:rsidR="00611D01" w:rsidRDefault="00C24A71" w:rsidP="002E4CF7">
      <w:pPr>
        <w:jc w:val="both"/>
        <w:rPr>
          <w:rFonts w:ascii="Arial" w:eastAsia="Calibri" w:hAnsi="Arial" w:cs="Arial"/>
          <w:b/>
          <w:bCs/>
          <w:color w:val="000000"/>
          <w:sz w:val="22"/>
          <w:lang w:val="es-ES_tradnl" w:eastAsia="es-ES_tradnl"/>
        </w:rPr>
      </w:pPr>
      <w:r w:rsidRPr="00C24A71">
        <w:rPr>
          <w:rFonts w:ascii="Arial" w:eastAsia="Calibri" w:hAnsi="Arial" w:cs="Arial"/>
          <w:b/>
          <w:bCs/>
          <w:color w:val="000000"/>
          <w:sz w:val="22"/>
          <w:lang w:val="es-ES_tradnl" w:eastAsia="es-ES_tradnl"/>
        </w:rPr>
        <w:t xml:space="preserve">2.3. </w:t>
      </w:r>
      <w:r>
        <w:rPr>
          <w:rFonts w:ascii="Arial" w:eastAsia="Calibri" w:hAnsi="Arial" w:cs="Arial"/>
          <w:b/>
          <w:bCs/>
          <w:color w:val="000000"/>
          <w:sz w:val="22"/>
          <w:lang w:val="es-ES_tradnl" w:eastAsia="es-ES_tradnl"/>
        </w:rPr>
        <w:t>E</w:t>
      </w:r>
      <w:r w:rsidRPr="00C24A71">
        <w:rPr>
          <w:rFonts w:ascii="Arial" w:eastAsia="Calibri" w:hAnsi="Arial" w:cs="Arial"/>
          <w:b/>
          <w:bCs/>
          <w:color w:val="000000"/>
          <w:sz w:val="22"/>
          <w:lang w:val="es-ES_tradnl" w:eastAsia="es-ES_tradnl"/>
        </w:rPr>
        <w:t>valuación de la capacidad financiera y organizacional de los proponentes plurales a la luz de los Decretos 399 de 2021 y 579 de 2021</w:t>
      </w:r>
      <w:bookmarkStart w:id="2" w:name="_Hlk81469948"/>
    </w:p>
    <w:p w14:paraId="66F8B273" w14:textId="77777777" w:rsidR="002E4CF7" w:rsidRDefault="002E4CF7" w:rsidP="002E4CF7">
      <w:pPr>
        <w:jc w:val="both"/>
        <w:rPr>
          <w:rFonts w:ascii="Arial" w:eastAsia="Calibri" w:hAnsi="Arial" w:cs="Arial"/>
          <w:b/>
          <w:bCs/>
          <w:color w:val="000000"/>
          <w:sz w:val="22"/>
          <w:lang w:val="es-ES_tradnl" w:eastAsia="es-ES_tradnl"/>
        </w:rPr>
      </w:pPr>
    </w:p>
    <w:p w14:paraId="60EC1ACE" w14:textId="7B609C29" w:rsidR="00BD234D" w:rsidRPr="00D80CCB" w:rsidRDefault="00134D4A" w:rsidP="00611D01">
      <w:pPr>
        <w:spacing w:line="276" w:lineRule="auto"/>
        <w:jc w:val="both"/>
        <w:rPr>
          <w:rFonts w:ascii="Arial" w:eastAsia="Calibri" w:hAnsi="Arial" w:cs="Arial"/>
          <w:color w:val="000000"/>
          <w:sz w:val="22"/>
          <w:lang w:val="es-ES_tradnl" w:eastAsia="es-ES_tradnl"/>
        </w:rPr>
      </w:pPr>
      <w:r>
        <w:rPr>
          <w:rFonts w:ascii="Arial" w:eastAsia="Calibri" w:hAnsi="Arial" w:cs="Arial"/>
          <w:color w:val="000000"/>
          <w:sz w:val="22"/>
          <w:lang w:val="es-ES_tradnl" w:eastAsia="es-ES_tradnl"/>
        </w:rPr>
        <w:t xml:space="preserve">Como se precisó, </w:t>
      </w:r>
      <w:r w:rsidR="00BD234D" w:rsidRPr="00D80CCB">
        <w:rPr>
          <w:rFonts w:ascii="Arial" w:eastAsia="Calibri" w:hAnsi="Arial" w:cs="Arial"/>
          <w:color w:val="000000"/>
          <w:sz w:val="22"/>
          <w:lang w:val="es-ES_tradnl" w:eastAsia="es-ES_tradnl"/>
        </w:rPr>
        <w:t xml:space="preserve">siendo el espíritu de la norma </w:t>
      </w:r>
      <w:r>
        <w:rPr>
          <w:rFonts w:ascii="Arial" w:eastAsia="Calibri" w:hAnsi="Arial" w:cs="Arial"/>
          <w:color w:val="000000"/>
          <w:sz w:val="22"/>
          <w:lang w:val="es-ES_tradnl" w:eastAsia="es-ES_tradnl"/>
        </w:rPr>
        <w:t>alcanzar</w:t>
      </w:r>
      <w:r w:rsidR="00BD234D" w:rsidRPr="00D80CCB">
        <w:rPr>
          <w:rFonts w:ascii="Arial" w:eastAsia="Calibri" w:hAnsi="Arial" w:cs="Arial"/>
          <w:color w:val="000000"/>
          <w:sz w:val="22"/>
          <w:lang w:val="es-ES_tradnl" w:eastAsia="es-ES_tradnl"/>
        </w:rPr>
        <w:t xml:space="preserve"> la reactivación económica, la posibilidad de tener un margen de tres (3) años de información en el certificado del RUP permite que no se tome necesariamente el periodo inmediatamente anterior, </w:t>
      </w:r>
      <w:r>
        <w:rPr>
          <w:rFonts w:ascii="Arial" w:eastAsia="Calibri" w:hAnsi="Arial" w:cs="Arial"/>
          <w:color w:val="000000"/>
          <w:sz w:val="22"/>
          <w:lang w:val="es-ES_tradnl" w:eastAsia="es-ES_tradnl"/>
        </w:rPr>
        <w:t xml:space="preserve">favoreciendo </w:t>
      </w:r>
      <w:r w:rsidR="004676DA">
        <w:rPr>
          <w:rFonts w:ascii="Arial" w:eastAsia="Calibri" w:hAnsi="Arial" w:cs="Arial"/>
          <w:color w:val="000000"/>
          <w:sz w:val="22"/>
          <w:lang w:val="es-ES_tradnl" w:eastAsia="es-ES_tradnl"/>
        </w:rPr>
        <w:lastRenderedPageBreak/>
        <w:t xml:space="preserve">a </w:t>
      </w:r>
      <w:r w:rsidR="004676DA" w:rsidRPr="00D80CCB">
        <w:rPr>
          <w:rFonts w:ascii="Arial" w:eastAsia="Calibri" w:hAnsi="Arial" w:cs="Arial"/>
          <w:color w:val="000000"/>
          <w:sz w:val="22"/>
          <w:lang w:val="es-ES_tradnl" w:eastAsia="es-ES_tradnl"/>
        </w:rPr>
        <w:t>aquellos</w:t>
      </w:r>
      <w:r w:rsidR="00BD234D" w:rsidRPr="00D80CCB">
        <w:rPr>
          <w:rFonts w:ascii="Arial" w:eastAsia="Calibri" w:hAnsi="Arial" w:cs="Arial"/>
          <w:color w:val="000000"/>
          <w:sz w:val="22"/>
          <w:lang w:val="es-ES_tradnl" w:eastAsia="es-ES_tradnl"/>
        </w:rPr>
        <w:t xml:space="preserve"> </w:t>
      </w:r>
      <w:r w:rsidR="004676DA" w:rsidRPr="00D80CCB">
        <w:rPr>
          <w:rFonts w:ascii="Arial" w:eastAsia="Calibri" w:hAnsi="Arial" w:cs="Arial"/>
          <w:color w:val="000000"/>
          <w:sz w:val="22"/>
          <w:lang w:val="es-ES_tradnl" w:eastAsia="es-ES_tradnl"/>
        </w:rPr>
        <w:t>oferentes que</w:t>
      </w:r>
      <w:r w:rsidR="00BD234D" w:rsidRPr="00D80CCB">
        <w:rPr>
          <w:rFonts w:ascii="Arial" w:eastAsia="Calibri" w:hAnsi="Arial" w:cs="Arial"/>
          <w:color w:val="000000"/>
          <w:sz w:val="22"/>
          <w:lang w:val="es-ES_tradnl" w:eastAsia="es-ES_tradnl"/>
        </w:rPr>
        <w:t xml:space="preserve"> </w:t>
      </w:r>
      <w:r>
        <w:rPr>
          <w:rFonts w:ascii="Arial" w:eastAsia="Calibri" w:hAnsi="Arial" w:cs="Arial"/>
          <w:color w:val="000000"/>
          <w:sz w:val="22"/>
          <w:lang w:val="es-ES_tradnl" w:eastAsia="es-ES_tradnl"/>
        </w:rPr>
        <w:t xml:space="preserve">hayan sufrido </w:t>
      </w:r>
      <w:r w:rsidR="004676DA" w:rsidRPr="00D80CCB">
        <w:rPr>
          <w:rFonts w:ascii="Arial" w:eastAsia="Calibri" w:hAnsi="Arial" w:cs="Arial"/>
          <w:color w:val="000000"/>
          <w:sz w:val="22"/>
          <w:lang w:val="es-ES_tradnl" w:eastAsia="es-ES_tradnl"/>
        </w:rPr>
        <w:t>afecta</w:t>
      </w:r>
      <w:r w:rsidR="004676DA">
        <w:rPr>
          <w:rFonts w:ascii="Arial" w:eastAsia="Calibri" w:hAnsi="Arial" w:cs="Arial"/>
          <w:color w:val="000000"/>
          <w:sz w:val="22"/>
          <w:lang w:val="es-ES_tradnl" w:eastAsia="es-ES_tradnl"/>
        </w:rPr>
        <w:t xml:space="preserve">ciones </w:t>
      </w:r>
      <w:r w:rsidR="004676DA" w:rsidRPr="00D80CCB">
        <w:rPr>
          <w:rFonts w:ascii="Arial" w:eastAsia="Calibri" w:hAnsi="Arial" w:cs="Arial"/>
          <w:color w:val="000000"/>
          <w:sz w:val="22"/>
          <w:lang w:val="es-ES_tradnl" w:eastAsia="es-ES_tradnl"/>
        </w:rPr>
        <w:t>económicas</w:t>
      </w:r>
      <w:r>
        <w:rPr>
          <w:rFonts w:ascii="Arial" w:eastAsia="Calibri" w:hAnsi="Arial" w:cs="Arial"/>
          <w:color w:val="000000"/>
          <w:sz w:val="22"/>
          <w:lang w:val="es-ES_tradnl" w:eastAsia="es-ES_tradnl"/>
        </w:rPr>
        <w:t xml:space="preserve"> </w:t>
      </w:r>
      <w:r w:rsidR="00A63778">
        <w:rPr>
          <w:rFonts w:ascii="Arial" w:eastAsia="Calibri" w:hAnsi="Arial" w:cs="Arial"/>
          <w:color w:val="000000"/>
          <w:sz w:val="22"/>
          <w:lang w:val="es-ES_tradnl" w:eastAsia="es-ES_tradnl"/>
        </w:rPr>
        <w:t xml:space="preserve">dentro de dicho </w:t>
      </w:r>
      <w:r w:rsidR="00FA6F14">
        <w:rPr>
          <w:rFonts w:ascii="Arial" w:eastAsia="Calibri" w:hAnsi="Arial" w:cs="Arial"/>
          <w:color w:val="000000"/>
          <w:sz w:val="22"/>
          <w:lang w:val="es-ES_tradnl" w:eastAsia="es-ES_tradnl"/>
        </w:rPr>
        <w:t xml:space="preserve">lapso </w:t>
      </w:r>
      <w:r>
        <w:rPr>
          <w:rFonts w:ascii="Arial" w:eastAsia="Calibri" w:hAnsi="Arial" w:cs="Arial"/>
          <w:color w:val="000000"/>
          <w:sz w:val="22"/>
          <w:lang w:val="es-ES_tradnl" w:eastAsia="es-ES_tradnl"/>
        </w:rPr>
        <w:t>por causa</w:t>
      </w:r>
      <w:r w:rsidR="00BD234D" w:rsidRPr="00D80CCB">
        <w:rPr>
          <w:rFonts w:ascii="Arial" w:eastAsia="Calibri" w:hAnsi="Arial" w:cs="Arial"/>
          <w:color w:val="000000"/>
          <w:sz w:val="22"/>
          <w:lang w:val="es-ES_tradnl" w:eastAsia="es-ES_tradnl"/>
        </w:rPr>
        <w:t xml:space="preserve"> de la pandemia. Al respecto, conviene </w:t>
      </w:r>
      <w:r w:rsidR="004676DA" w:rsidRPr="00D80CCB">
        <w:rPr>
          <w:rFonts w:ascii="Arial" w:eastAsia="Calibri" w:hAnsi="Arial" w:cs="Arial"/>
          <w:color w:val="000000"/>
          <w:sz w:val="22"/>
          <w:lang w:val="es-ES_tradnl" w:eastAsia="es-ES_tradnl"/>
        </w:rPr>
        <w:t>precisar que</w:t>
      </w:r>
      <w:r w:rsidR="00BD234D" w:rsidRPr="00D80CCB">
        <w:rPr>
          <w:rFonts w:ascii="Arial" w:eastAsia="Calibri" w:hAnsi="Arial" w:cs="Arial"/>
          <w:color w:val="000000"/>
          <w:sz w:val="22"/>
          <w:lang w:val="es-ES_tradnl" w:eastAsia="es-ES_tradnl"/>
        </w:rPr>
        <w:t xml:space="preserve"> la norma señala que se tendrá en cuenta «el mejor año fiscal» en singular; en efecto, no se alude a una mezcla de vigencias</w:t>
      </w:r>
      <w:r w:rsidR="006D5537">
        <w:rPr>
          <w:rFonts w:ascii="Arial" w:eastAsia="Calibri" w:hAnsi="Arial" w:cs="Arial"/>
          <w:color w:val="000000"/>
          <w:sz w:val="22"/>
          <w:lang w:val="es-ES_tradnl" w:eastAsia="es-ES_tradnl"/>
        </w:rPr>
        <w:t>.</w:t>
      </w:r>
      <w:r w:rsidR="00BD234D" w:rsidRPr="00D80CCB">
        <w:rPr>
          <w:rFonts w:ascii="Arial" w:eastAsia="Calibri" w:hAnsi="Arial" w:cs="Arial"/>
          <w:color w:val="000000"/>
          <w:sz w:val="22"/>
          <w:lang w:val="es-ES_tradnl" w:eastAsia="es-ES_tradnl"/>
        </w:rPr>
        <w:t xml:space="preserve"> </w:t>
      </w:r>
      <w:r w:rsidR="006D5537">
        <w:rPr>
          <w:rFonts w:ascii="Arial" w:eastAsia="Calibri" w:hAnsi="Arial" w:cs="Arial"/>
          <w:color w:val="000000"/>
          <w:sz w:val="22"/>
          <w:lang w:val="es-ES_tradnl" w:eastAsia="es-ES_tradnl"/>
        </w:rPr>
        <w:t>S</w:t>
      </w:r>
      <w:r w:rsidR="00BD234D" w:rsidRPr="00D80CCB">
        <w:rPr>
          <w:rFonts w:ascii="Arial" w:eastAsia="Calibri" w:hAnsi="Arial" w:cs="Arial"/>
          <w:color w:val="000000"/>
          <w:sz w:val="22"/>
          <w:lang w:val="es-ES_tradnl" w:eastAsia="es-ES_tradnl"/>
        </w:rPr>
        <w:t xml:space="preserve">e especifica «el mejor», </w:t>
      </w:r>
      <w:r w:rsidR="006D5537">
        <w:rPr>
          <w:rFonts w:ascii="Arial" w:eastAsia="Calibri" w:hAnsi="Arial" w:cs="Arial"/>
          <w:color w:val="000000"/>
          <w:sz w:val="22"/>
          <w:lang w:val="es-ES_tradnl" w:eastAsia="es-ES_tradnl"/>
        </w:rPr>
        <w:t xml:space="preserve">es decir, </w:t>
      </w:r>
      <w:r w:rsidR="00BD234D" w:rsidRPr="00D80CCB">
        <w:rPr>
          <w:rFonts w:ascii="Arial" w:eastAsia="Calibri" w:hAnsi="Arial" w:cs="Arial"/>
          <w:color w:val="000000"/>
          <w:sz w:val="22"/>
          <w:lang w:val="es-ES_tradnl" w:eastAsia="es-ES_tradnl"/>
        </w:rPr>
        <w:t>un solo año, dentro del cual se verificarán en conjunto todos los indicadores, correspondiendo a las entidades estatales el deber de análisis desde todas las perspectivas del proceso</w:t>
      </w:r>
      <w:r w:rsidR="004676DA">
        <w:rPr>
          <w:rFonts w:ascii="Arial" w:eastAsia="Calibri" w:hAnsi="Arial" w:cs="Arial"/>
          <w:color w:val="000000"/>
          <w:sz w:val="22"/>
          <w:lang w:val="es-ES_tradnl" w:eastAsia="es-ES_tradnl"/>
        </w:rPr>
        <w:t>.</w:t>
      </w:r>
    </w:p>
    <w:p w14:paraId="4281F9D9" w14:textId="5F331646" w:rsidR="005E156B" w:rsidRPr="00D80CCB" w:rsidRDefault="005E156B" w:rsidP="005E156B">
      <w:pPr>
        <w:spacing w:before="120" w:line="276" w:lineRule="auto"/>
        <w:ind w:firstLine="709"/>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t>Ahora bien, la norma analizada en el presente concepto aplica tanto a los proponentes individuales como plurales, pues</w:t>
      </w:r>
      <w:r w:rsidR="00DF374F">
        <w:rPr>
          <w:rFonts w:ascii="Arial" w:eastAsia="Calibri" w:hAnsi="Arial" w:cs="Arial"/>
          <w:color w:val="000000"/>
          <w:sz w:val="22"/>
          <w:lang w:val="es-ES_tradnl" w:eastAsia="es-ES_tradnl"/>
        </w:rPr>
        <w:t>,</w:t>
      </w:r>
      <w:r w:rsidRPr="00D80CCB">
        <w:rPr>
          <w:rFonts w:ascii="Arial" w:eastAsia="Calibri" w:hAnsi="Arial" w:cs="Arial"/>
          <w:color w:val="000000"/>
          <w:sz w:val="22"/>
          <w:lang w:val="es-ES_tradnl" w:eastAsia="es-ES_tradnl"/>
        </w:rPr>
        <w:t xml:space="preserve"> dado que el parágrafo transitorio del artículo 2.2.1.1.1.6.2 del Decreto 1082 del 2015 no realiza distinciones al respecto, tampoco sería lícito al intérprete distinguir. No obstante, tratándose de consorcios y uniones temporales una de las dificultades para aplicar la disposición radica en que los proponentes plurales no están obligados</w:t>
      </w:r>
      <w:r w:rsidR="000E5EFC">
        <w:rPr>
          <w:rFonts w:ascii="Arial" w:eastAsia="Calibri" w:hAnsi="Arial" w:cs="Arial"/>
          <w:color w:val="000000"/>
          <w:sz w:val="22"/>
          <w:lang w:val="es-ES_tradnl" w:eastAsia="es-ES_tradnl"/>
        </w:rPr>
        <w:t>, en su calidad de tales,</w:t>
      </w:r>
      <w:r w:rsidRPr="00D80CCB">
        <w:rPr>
          <w:rFonts w:ascii="Arial" w:eastAsia="Calibri" w:hAnsi="Arial" w:cs="Arial"/>
          <w:color w:val="000000"/>
          <w:sz w:val="22"/>
          <w:lang w:val="es-ES_tradnl" w:eastAsia="es-ES_tradnl"/>
        </w:rPr>
        <w:t xml:space="preserve"> a </w:t>
      </w:r>
      <w:r w:rsidR="00A628DE">
        <w:rPr>
          <w:rFonts w:ascii="Arial" w:eastAsia="Calibri" w:hAnsi="Arial" w:cs="Arial"/>
          <w:color w:val="000000"/>
          <w:sz w:val="22"/>
          <w:lang w:val="es-ES_tradnl" w:eastAsia="es-ES_tradnl"/>
        </w:rPr>
        <w:t>inscribirse</w:t>
      </w:r>
      <w:r w:rsidRPr="00D80CCB">
        <w:rPr>
          <w:rFonts w:ascii="Arial" w:eastAsia="Calibri" w:hAnsi="Arial" w:cs="Arial"/>
          <w:color w:val="000000"/>
          <w:sz w:val="22"/>
          <w:lang w:val="es-ES_tradnl" w:eastAsia="es-ES_tradnl"/>
        </w:rPr>
        <w:t xml:space="preserve"> en el registro único de proponentes, </w:t>
      </w:r>
      <w:r w:rsidR="000E5EFC">
        <w:rPr>
          <w:rFonts w:ascii="Arial" w:eastAsia="Calibri" w:hAnsi="Arial" w:cs="Arial"/>
          <w:color w:val="000000"/>
          <w:sz w:val="22"/>
          <w:lang w:val="es-ES_tradnl" w:eastAsia="es-ES_tradnl"/>
        </w:rPr>
        <w:t>porque</w:t>
      </w:r>
      <w:r w:rsidRPr="00D80CCB">
        <w:rPr>
          <w:rFonts w:ascii="Arial" w:eastAsia="Calibri" w:hAnsi="Arial" w:cs="Arial"/>
          <w:color w:val="000000"/>
          <w:sz w:val="22"/>
          <w:lang w:val="es-ES_tradnl" w:eastAsia="es-ES_tradnl"/>
        </w:rPr>
        <w:t xml:space="preserve"> carecen de personería jurídica</w:t>
      </w:r>
      <w:r w:rsidR="00E16E33">
        <w:rPr>
          <w:rFonts w:ascii="Arial" w:eastAsia="Calibri" w:hAnsi="Arial" w:cs="Arial"/>
          <w:color w:val="000000"/>
          <w:sz w:val="22"/>
          <w:lang w:val="es-ES_tradnl" w:eastAsia="es-ES_tradnl"/>
        </w:rPr>
        <w:t>,</w:t>
      </w:r>
      <w:r w:rsidRPr="00D80CCB">
        <w:rPr>
          <w:rFonts w:ascii="Arial" w:eastAsia="Calibri" w:hAnsi="Arial" w:cs="Arial"/>
          <w:color w:val="000000"/>
          <w:sz w:val="22"/>
          <w:lang w:val="es-ES_tradnl" w:eastAsia="es-ES_tradnl"/>
        </w:rPr>
        <w:t xml:space="preserve"> a pesar de tener capacidad contractual. </w:t>
      </w:r>
      <w:r w:rsidR="00CA05FE">
        <w:rPr>
          <w:rFonts w:ascii="Arial" w:eastAsia="Calibri" w:hAnsi="Arial" w:cs="Arial"/>
          <w:color w:val="000000"/>
          <w:sz w:val="22"/>
          <w:lang w:val="es-ES_tradnl" w:eastAsia="es-ES_tradnl"/>
        </w:rPr>
        <w:t>E</w:t>
      </w:r>
      <w:r w:rsidR="00E16E33">
        <w:rPr>
          <w:rFonts w:ascii="Arial" w:eastAsia="Calibri" w:hAnsi="Arial" w:cs="Arial"/>
          <w:color w:val="000000"/>
          <w:sz w:val="22"/>
          <w:lang w:val="es-ES_tradnl" w:eastAsia="es-ES_tradnl"/>
        </w:rPr>
        <w:t>n efecto, el</w:t>
      </w:r>
      <w:r w:rsidR="00CA05FE">
        <w:rPr>
          <w:rFonts w:ascii="Arial" w:eastAsia="Calibri" w:hAnsi="Arial" w:cs="Arial"/>
          <w:color w:val="000000"/>
          <w:sz w:val="22"/>
          <w:lang w:val="es-ES_tradnl" w:eastAsia="es-ES_tradnl"/>
        </w:rPr>
        <w:t xml:space="preserve"> primer inciso del artículo 6 de la Ley 1150 de 200</w:t>
      </w:r>
      <w:r w:rsidR="00CC2053">
        <w:rPr>
          <w:rFonts w:ascii="Arial" w:eastAsia="Calibri" w:hAnsi="Arial" w:cs="Arial"/>
          <w:color w:val="000000"/>
          <w:sz w:val="22"/>
          <w:lang w:val="es-ES_tradnl" w:eastAsia="es-ES_tradnl"/>
        </w:rPr>
        <w:t>7 obliga a inscribirse en el RUP a «</w:t>
      </w:r>
      <w:r w:rsidR="00CC2053" w:rsidRPr="00CC2053">
        <w:rPr>
          <w:rFonts w:ascii="Arial" w:eastAsia="Calibri" w:hAnsi="Arial" w:cs="Arial"/>
          <w:color w:val="000000"/>
          <w:sz w:val="22"/>
          <w:lang w:val="es-ES_tradnl" w:eastAsia="es-ES_tradnl"/>
        </w:rPr>
        <w:t>Todas las personas naturales o jurídicas nacionales o extranjeras domiciliadas o con sucursal en Colombia, que aspiren a celebrar contratos con las entidades estatales</w:t>
      </w:r>
      <w:r w:rsidR="00CC2053">
        <w:rPr>
          <w:rFonts w:ascii="Arial" w:eastAsia="Calibri" w:hAnsi="Arial" w:cs="Arial"/>
          <w:color w:val="000000"/>
          <w:sz w:val="22"/>
          <w:lang w:val="es-ES_tradnl" w:eastAsia="es-ES_tradnl"/>
        </w:rPr>
        <w:t>», sin mencionar a los consorcios y uniones temporales</w:t>
      </w:r>
      <w:r w:rsidR="0052753C">
        <w:rPr>
          <w:rFonts w:ascii="Arial" w:eastAsia="Calibri" w:hAnsi="Arial" w:cs="Arial"/>
          <w:color w:val="000000"/>
          <w:sz w:val="22"/>
          <w:lang w:val="es-ES_tradnl" w:eastAsia="es-ES_tradnl"/>
        </w:rPr>
        <w:t>, aunque sí deben inscribirse sus integrantes en calidad de personas.</w:t>
      </w:r>
      <w:r w:rsidR="00CC2053">
        <w:rPr>
          <w:rFonts w:ascii="Arial" w:eastAsia="Calibri" w:hAnsi="Arial" w:cs="Arial"/>
          <w:color w:val="000000"/>
          <w:sz w:val="22"/>
          <w:lang w:val="es-ES_tradnl" w:eastAsia="es-ES_tradnl"/>
        </w:rPr>
        <w:t xml:space="preserve"> </w:t>
      </w:r>
      <w:r w:rsidRPr="00D80CCB">
        <w:rPr>
          <w:rFonts w:ascii="Arial" w:eastAsia="Calibri" w:hAnsi="Arial" w:cs="Arial"/>
          <w:color w:val="000000"/>
          <w:sz w:val="22"/>
          <w:lang w:val="es-ES_tradnl" w:eastAsia="es-ES_tradnl"/>
        </w:rPr>
        <w:t>En este contexto, como explica la doctrina, «Si bien la ley dota de capacidad para contratar a los consorcios y uniones temporales, ello en manera alguna significa que les haya conferido personería jurídica. Actúan y participan en la contratación estatal como si la tuvieran solo que, circunscrita a un contrato estatal, que una vez liquidado, estas formas asociativas dejan de tener vigencia para el tráfico jurídico con la entidad estatal […]»</w:t>
      </w:r>
      <w:r w:rsidRPr="00D80CCB">
        <w:rPr>
          <w:rFonts w:ascii="Arial" w:eastAsia="Calibri" w:hAnsi="Arial" w:cs="Arial"/>
          <w:color w:val="000000"/>
          <w:sz w:val="22"/>
          <w:vertAlign w:val="superscript"/>
          <w:lang w:val="es-ES_tradnl" w:eastAsia="es-ES_tradnl"/>
        </w:rPr>
        <w:footnoteReference w:id="11"/>
      </w:r>
      <w:r w:rsidRPr="00D80CCB">
        <w:rPr>
          <w:rFonts w:ascii="Arial" w:eastAsia="Calibri" w:hAnsi="Arial" w:cs="Arial"/>
          <w:color w:val="000000"/>
          <w:sz w:val="22"/>
          <w:lang w:val="es-ES_tradnl" w:eastAsia="es-ES_tradnl"/>
        </w:rPr>
        <w:t xml:space="preserve">.  </w:t>
      </w:r>
    </w:p>
    <w:p w14:paraId="0F5AD360" w14:textId="77777777" w:rsidR="005E156B" w:rsidRPr="00D80CCB" w:rsidRDefault="005E156B" w:rsidP="005E156B">
      <w:pPr>
        <w:spacing w:before="120" w:after="120" w:line="276" w:lineRule="auto"/>
        <w:ind w:firstLine="709"/>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t>Dado que los consorcios y las uniones temporales carecen de RUP, cuando la norma se refiere a que «</w:t>
      </w:r>
      <w:r w:rsidRPr="00D80CCB">
        <w:rPr>
          <w:rFonts w:ascii="Arial" w:eastAsia="Times New Roman" w:hAnsi="Arial" w:cs="Arial"/>
          <w:sz w:val="22"/>
          <w:lang w:val="es-ES_tradnl" w:eastAsia="es-ES_tradnl"/>
        </w:rPr>
        <w:t xml:space="preserve">[…] </w:t>
      </w:r>
      <w:r w:rsidRPr="00D80CCB">
        <w:rPr>
          <w:rFonts w:ascii="Arial" w:eastAsia="Calibri" w:hAnsi="Arial" w:cs="Arial"/>
          <w:color w:val="000000"/>
          <w:sz w:val="22"/>
          <w:lang w:val="es-ES_tradnl" w:eastAsia="es-ES_tradnl"/>
        </w:rPr>
        <w:t xml:space="preserve">las Entidades Estatales evaluarán estos indicadores, teniendo en cuenta el mejor año fiscal que se refleje en el registro de cada proponente», es necesario aplicar los efectos de esta última expresión a los miembros del consorcio o la unión temporal que cuenten con la información vigente y en firme en el RUP. Esto en la medida que, si bien los proponentes plurales carecen de personería, el parágrafo transitorio del artículo 2.2.1.1.1.6.2 del Decreto 1082 del 2015 puede aplicarse a cada uno de los integrantes que deba inscribirse en el registro conforme al artículo 6 de la Ley 1150 de 2007. En este caso, aplicando la norma al supuesto objeto de consulta, la entidad evaluará los indicadores financieros y organizacionales con el mejor año fiscal que se refleje en el RUP de cada integrante del consorcio o la unión temporal conforme a la explicación precedente. </w:t>
      </w:r>
    </w:p>
    <w:p w14:paraId="2A6BBFAD" w14:textId="3B42F023" w:rsidR="005E156B" w:rsidRPr="00D80CCB" w:rsidRDefault="005E156B" w:rsidP="005E156B">
      <w:pPr>
        <w:spacing w:after="120" w:line="276" w:lineRule="auto"/>
        <w:ind w:firstLine="709"/>
        <w:jc w:val="both"/>
        <w:rPr>
          <w:rFonts w:ascii="Arial" w:eastAsia="Calibri" w:hAnsi="Arial" w:cs="Arial"/>
          <w:color w:val="000000"/>
          <w:sz w:val="22"/>
          <w:lang w:val="es-ES_tradnl" w:eastAsia="es-ES_tradnl"/>
        </w:rPr>
      </w:pPr>
      <w:r w:rsidRPr="00D80CCB">
        <w:rPr>
          <w:rFonts w:ascii="Arial" w:eastAsia="Times New Roman" w:hAnsi="Arial" w:cs="Arial"/>
          <w:color w:val="000000"/>
          <w:sz w:val="22"/>
          <w:lang w:val="es-ES_tradnl" w:eastAsia="es-ES_tradnl"/>
        </w:rPr>
        <w:t>A</w:t>
      </w:r>
      <w:r w:rsidRPr="00D80CCB">
        <w:rPr>
          <w:rFonts w:ascii="Arial" w:eastAsia="Calibri" w:hAnsi="Arial" w:cs="Arial"/>
          <w:color w:val="000000"/>
          <w:sz w:val="22"/>
          <w:lang w:val="es-ES_tradnl" w:eastAsia="es-ES_tradnl"/>
        </w:rPr>
        <w:t xml:space="preserve">unado a lo expuesto, si se pensara en tomar un año en común para todos los integrantes del proponente plural, llevado a la práctica, podría presentarse el caso hipotético de escoger el antepenúltimo año reflejado en el RUP, pero uno de los integrantes puede </w:t>
      </w:r>
      <w:r w:rsidRPr="00D80CCB">
        <w:rPr>
          <w:rFonts w:ascii="Arial" w:eastAsia="Calibri" w:hAnsi="Arial" w:cs="Arial"/>
          <w:color w:val="000000"/>
          <w:sz w:val="22"/>
          <w:lang w:val="es-ES_tradnl" w:eastAsia="es-ES_tradnl"/>
        </w:rPr>
        <w:lastRenderedPageBreak/>
        <w:t>resultar ser una empresa con un año de constituida que para la vigencia escogida no existía. Incluso, puede ser que el mejor año fiscal para uno de los integrantes del proponente plural resulte ser el peor para otro, de modo que se desdibujaría el propósito del Decreto 399 de 2021 modificado por el Decreto 579 de 2021, que</w:t>
      </w:r>
      <w:r w:rsidR="00EF596D">
        <w:rPr>
          <w:rFonts w:ascii="Arial" w:eastAsia="Calibri" w:hAnsi="Arial" w:cs="Arial"/>
          <w:color w:val="000000"/>
          <w:sz w:val="22"/>
          <w:lang w:val="es-ES_tradnl" w:eastAsia="es-ES_tradnl"/>
        </w:rPr>
        <w:t>,</w:t>
      </w:r>
      <w:r w:rsidRPr="00D80CCB">
        <w:rPr>
          <w:rFonts w:ascii="Arial" w:eastAsia="Calibri" w:hAnsi="Arial" w:cs="Arial"/>
          <w:color w:val="000000"/>
          <w:sz w:val="22"/>
          <w:lang w:val="es-ES_tradnl" w:eastAsia="es-ES_tradnl"/>
        </w:rPr>
        <w:t xml:space="preserve"> precisamente</w:t>
      </w:r>
      <w:r w:rsidR="00EF596D">
        <w:rPr>
          <w:rFonts w:ascii="Arial" w:eastAsia="Calibri" w:hAnsi="Arial" w:cs="Arial"/>
          <w:color w:val="000000"/>
          <w:sz w:val="22"/>
          <w:lang w:val="es-ES_tradnl" w:eastAsia="es-ES_tradnl"/>
        </w:rPr>
        <w:t>,</w:t>
      </w:r>
      <w:r w:rsidRPr="00D80CCB">
        <w:rPr>
          <w:rFonts w:ascii="Arial" w:eastAsia="Calibri" w:hAnsi="Arial" w:cs="Arial"/>
          <w:color w:val="000000"/>
          <w:sz w:val="22"/>
          <w:lang w:val="es-ES_tradnl" w:eastAsia="es-ES_tradnl"/>
        </w:rPr>
        <w:t xml:space="preserve"> busca la reactivación económica del país y con ello, ampliar la posibilidad de acceso a los procesos de contratación pública.</w:t>
      </w:r>
    </w:p>
    <w:p w14:paraId="44B7FFD5" w14:textId="7404A6A6" w:rsidR="0054024A" w:rsidRPr="00D80CCB" w:rsidRDefault="00105C88" w:rsidP="00C3581C">
      <w:pPr>
        <w:spacing w:after="120" w:line="276" w:lineRule="auto"/>
        <w:ind w:firstLine="709"/>
        <w:jc w:val="both"/>
        <w:rPr>
          <w:rFonts w:ascii="Arial" w:eastAsia="Calibri" w:hAnsi="Arial" w:cs="Arial"/>
          <w:color w:val="000000"/>
          <w:sz w:val="22"/>
          <w:lang w:val="es-ES_tradnl" w:eastAsia="es-ES_tradnl"/>
        </w:rPr>
      </w:pPr>
      <w:r w:rsidRPr="00D80CCB">
        <w:rPr>
          <w:rFonts w:ascii="Arial" w:eastAsia="Calibri" w:hAnsi="Arial" w:cs="Arial"/>
          <w:color w:val="000000"/>
          <w:sz w:val="22"/>
          <w:lang w:val="es-ES_tradnl" w:eastAsia="es-ES_tradnl"/>
        </w:rPr>
        <w:t>Teniendo en cuenta lo anterior, esta Agencia considera que la evaluación de los indicadores financieros y organizaciones se deben realizar con el mejor año fiscal que se refleje en el RUP de cada uno de los integrantes del consorcio o la unión temporal, pues son ellos quienes cuentan con dicho registro.</w:t>
      </w:r>
    </w:p>
    <w:bookmarkEnd w:id="2"/>
    <w:p w14:paraId="6AEC7528" w14:textId="77777777" w:rsidR="00D36E83" w:rsidRPr="00D80CCB" w:rsidRDefault="00D36E83" w:rsidP="00D36E83">
      <w:pPr>
        <w:tabs>
          <w:tab w:val="left" w:pos="0"/>
        </w:tabs>
        <w:jc w:val="both"/>
        <w:rPr>
          <w:rFonts w:ascii="Arial" w:eastAsia="Calibri" w:hAnsi="Arial" w:cs="Arial"/>
          <w:b/>
          <w:color w:val="000000"/>
          <w:sz w:val="22"/>
          <w:szCs w:val="24"/>
          <w:lang w:val="es-ES_tradnl" w:eastAsia="es-ES_tradnl"/>
        </w:rPr>
      </w:pPr>
      <w:r w:rsidRPr="00D80CCB">
        <w:rPr>
          <w:rFonts w:ascii="Arial" w:eastAsia="Calibri" w:hAnsi="Arial" w:cs="Arial"/>
          <w:b/>
          <w:color w:val="000000"/>
          <w:sz w:val="22"/>
          <w:szCs w:val="24"/>
          <w:lang w:val="es-ES_tradnl" w:eastAsia="es-ES_tradnl"/>
        </w:rPr>
        <w:t>3. Respuesta</w:t>
      </w:r>
    </w:p>
    <w:p w14:paraId="0C57625D" w14:textId="77777777" w:rsidR="00D36E83" w:rsidRPr="00D80CCB" w:rsidRDefault="00D36E83" w:rsidP="00D36E83">
      <w:pPr>
        <w:tabs>
          <w:tab w:val="left" w:pos="0"/>
        </w:tabs>
        <w:ind w:firstLine="709"/>
        <w:jc w:val="both"/>
        <w:rPr>
          <w:rFonts w:ascii="Arial" w:eastAsia="Calibri" w:hAnsi="Arial" w:cs="Arial"/>
          <w:b/>
          <w:color w:val="000000"/>
          <w:sz w:val="22"/>
          <w:szCs w:val="24"/>
          <w:lang w:val="es-ES_tradnl" w:eastAsia="es-ES_tradnl"/>
        </w:rPr>
      </w:pPr>
    </w:p>
    <w:p w14:paraId="50C8FD65" w14:textId="1C8ACCE1" w:rsidR="00D01B09" w:rsidRPr="00D80CCB" w:rsidRDefault="00D36E83" w:rsidP="00D01B09">
      <w:pPr>
        <w:ind w:left="709" w:right="709"/>
        <w:jc w:val="both"/>
        <w:rPr>
          <w:rFonts w:ascii="Arial" w:eastAsia="Calibri" w:hAnsi="Arial" w:cs="Arial"/>
          <w:color w:val="000000"/>
          <w:sz w:val="21"/>
          <w:szCs w:val="21"/>
          <w:lang w:val="es-ES_tradnl" w:eastAsia="es-ES_tradnl"/>
        </w:rPr>
      </w:pPr>
      <w:r w:rsidRPr="00D80CCB">
        <w:rPr>
          <w:rFonts w:ascii="Arial" w:eastAsia="Calibri" w:hAnsi="Arial" w:cs="Arial"/>
          <w:color w:val="000000"/>
          <w:sz w:val="21"/>
          <w:szCs w:val="21"/>
          <w:lang w:val="es-ES_tradnl" w:eastAsia="es-ES_tradnl"/>
        </w:rPr>
        <w:t>«</w:t>
      </w:r>
      <w:r w:rsidR="00495E5E" w:rsidRPr="00495E5E">
        <w:rPr>
          <w:rFonts w:ascii="Arial" w:eastAsia="Calibri" w:hAnsi="Arial" w:cs="Arial"/>
          <w:color w:val="000000"/>
          <w:sz w:val="21"/>
          <w:szCs w:val="21"/>
          <w:lang w:val="es-ES_tradnl" w:eastAsia="es-ES_tradnl"/>
        </w:rPr>
        <w:t>En atención a la aplicación de los Decretos 399 de 2021 y 579 de 2021, frente a la información de los RUP que aportan los oferentes plurales, la entidad encargada de adelantar el proceso de verificación de la información financiera deberá establecer para su análisis solo una vigencia para los participantes que conforman el consorcio, ejemplo: se decide por parte de la entidad solo analizar la vigencia 2020 del RUP para todos los participantes del oferente plural O puede optar por tomar diferentes vigencias para cada uno de los consorciados. ejemplo para el análisis del CONSORCIO X se puede tomar para el Participante 1 el año 2020 y para el Participante 2 el año 2019?</w:t>
      </w:r>
      <w:r w:rsidR="00D01B09" w:rsidRPr="00D80CCB">
        <w:rPr>
          <w:rFonts w:ascii="Arial" w:eastAsia="Calibri" w:hAnsi="Arial" w:cs="Arial"/>
          <w:color w:val="000000"/>
          <w:sz w:val="21"/>
          <w:szCs w:val="21"/>
          <w:lang w:val="es-ES_tradnl" w:eastAsia="es-ES_tradnl"/>
        </w:rPr>
        <w:t>».</w:t>
      </w:r>
    </w:p>
    <w:p w14:paraId="1AFE14CE" w14:textId="77777777" w:rsidR="00D01B09" w:rsidRPr="00D80CCB" w:rsidRDefault="00D01B09" w:rsidP="004A1CB6">
      <w:pPr>
        <w:spacing w:line="276" w:lineRule="auto"/>
        <w:jc w:val="both"/>
        <w:rPr>
          <w:rFonts w:ascii="Arial" w:eastAsia="Calibri" w:hAnsi="Arial" w:cs="Arial"/>
          <w:color w:val="000000"/>
          <w:sz w:val="22"/>
          <w:szCs w:val="24"/>
          <w:lang w:val="es-ES_tradnl" w:eastAsia="es-ES_tradnl"/>
        </w:rPr>
      </w:pPr>
    </w:p>
    <w:p w14:paraId="6B9D8D8E" w14:textId="49E8DF3F" w:rsidR="00A72B8D" w:rsidRDefault="004A1CB6" w:rsidP="00A72B8D">
      <w:pPr>
        <w:spacing w:after="120" w:line="276" w:lineRule="auto"/>
        <w:ind w:firstLine="709"/>
        <w:jc w:val="both"/>
        <w:rPr>
          <w:rFonts w:ascii="Arial" w:eastAsia="Calibri" w:hAnsi="Arial" w:cs="Arial"/>
          <w:color w:val="000000"/>
          <w:sz w:val="22"/>
          <w:szCs w:val="24"/>
          <w:lang w:val="es-ES_tradnl" w:eastAsia="es-ES_tradnl"/>
        </w:rPr>
      </w:pPr>
      <w:r w:rsidRPr="004A1CB6">
        <w:rPr>
          <w:rFonts w:ascii="Arial" w:eastAsia="Calibri" w:hAnsi="Arial" w:cs="Arial"/>
          <w:color w:val="000000"/>
          <w:sz w:val="22"/>
          <w:szCs w:val="24"/>
          <w:lang w:val="es-ES_tradnl" w:eastAsia="es-ES_tradnl"/>
        </w:rPr>
        <w:t>Si bien</w:t>
      </w:r>
      <w:r w:rsidR="009122F7">
        <w:rPr>
          <w:rFonts w:ascii="Arial" w:eastAsia="Calibri" w:hAnsi="Arial" w:cs="Arial"/>
          <w:color w:val="000000"/>
          <w:sz w:val="22"/>
          <w:szCs w:val="24"/>
          <w:lang w:val="es-ES_tradnl" w:eastAsia="es-ES_tradnl"/>
        </w:rPr>
        <w:t xml:space="preserve"> es cierto</w:t>
      </w:r>
      <w:r w:rsidRPr="004A1CB6">
        <w:rPr>
          <w:rFonts w:ascii="Arial" w:eastAsia="Calibri" w:hAnsi="Arial" w:cs="Arial"/>
          <w:color w:val="000000"/>
          <w:sz w:val="22"/>
          <w:szCs w:val="24"/>
          <w:lang w:val="es-ES_tradnl" w:eastAsia="es-ES_tradnl"/>
        </w:rPr>
        <w:t>, los proponentes plurales carecen de personería</w:t>
      </w:r>
      <w:r w:rsidR="003406B7">
        <w:rPr>
          <w:rFonts w:ascii="Arial" w:eastAsia="Calibri" w:hAnsi="Arial" w:cs="Arial"/>
          <w:color w:val="000000"/>
          <w:sz w:val="22"/>
          <w:szCs w:val="24"/>
          <w:lang w:val="es-ES_tradnl" w:eastAsia="es-ES_tradnl"/>
        </w:rPr>
        <w:t xml:space="preserve"> jurídica</w:t>
      </w:r>
      <w:r w:rsidRPr="004A1CB6">
        <w:rPr>
          <w:rFonts w:ascii="Arial" w:eastAsia="Calibri" w:hAnsi="Arial" w:cs="Arial"/>
          <w:color w:val="000000"/>
          <w:sz w:val="22"/>
          <w:szCs w:val="24"/>
          <w:lang w:val="es-ES_tradnl" w:eastAsia="es-ES_tradnl"/>
        </w:rPr>
        <w:t xml:space="preserve">, el parágrafo transitorio del artículo 2.2.1.1.1.6.2 del Decreto 1082 del 2015 no realiza distinciones entre el proponente individual y el plural cuando precisa que: «[…] las Entidades Estatales evaluarán estos indicadores, teniendo en cuenta el mejor año fiscal que se refleje en el registro de cada proponente». Por consiguiente, es necesario extender los efectos de esta última expresión, debiendo la entidad evaluar los indicadores financieros y organizacionales con el mejor año fiscal que se refleje en el RUP de cada integrante del consorcio o de la unión temporal, dentro del cual se verificarán en su conjunto todos los indicadores. </w:t>
      </w:r>
    </w:p>
    <w:p w14:paraId="5A9448AB" w14:textId="26028643" w:rsidR="00D80CCB" w:rsidRDefault="004A1CB6" w:rsidP="005B7FBA">
      <w:pPr>
        <w:spacing w:after="120" w:line="276" w:lineRule="auto"/>
        <w:ind w:firstLine="709"/>
        <w:jc w:val="both"/>
        <w:rPr>
          <w:rFonts w:ascii="Arial" w:eastAsia="Calibri" w:hAnsi="Arial" w:cs="Arial"/>
          <w:color w:val="000000"/>
          <w:sz w:val="22"/>
          <w:szCs w:val="24"/>
          <w:lang w:val="es-ES_tradnl" w:eastAsia="es-ES_tradnl"/>
        </w:rPr>
      </w:pPr>
      <w:r w:rsidRPr="004A1CB6">
        <w:rPr>
          <w:rFonts w:ascii="Arial" w:eastAsia="Calibri" w:hAnsi="Arial" w:cs="Arial"/>
          <w:color w:val="000000"/>
          <w:sz w:val="22"/>
          <w:szCs w:val="24"/>
          <w:lang w:val="es-ES_tradnl" w:eastAsia="es-ES_tradnl"/>
        </w:rPr>
        <w:t>En efecto, podría presentarse la segunda hipótesis planteada en la consulta y</w:t>
      </w:r>
      <w:r w:rsidR="009122F7">
        <w:rPr>
          <w:rFonts w:ascii="Arial" w:eastAsia="Calibri" w:hAnsi="Arial" w:cs="Arial"/>
          <w:color w:val="000000"/>
          <w:sz w:val="22"/>
          <w:szCs w:val="24"/>
          <w:lang w:val="es-ES_tradnl" w:eastAsia="es-ES_tradnl"/>
        </w:rPr>
        <w:t xml:space="preserve"> </w:t>
      </w:r>
      <w:r w:rsidRPr="004A1CB6">
        <w:rPr>
          <w:rFonts w:ascii="Arial" w:eastAsia="Calibri" w:hAnsi="Arial" w:cs="Arial"/>
          <w:color w:val="000000"/>
          <w:sz w:val="22"/>
          <w:szCs w:val="24"/>
          <w:lang w:val="es-ES_tradnl" w:eastAsia="es-ES_tradnl"/>
        </w:rPr>
        <w:t xml:space="preserve">no coincidir el «mejor año fiscal» entre diferentes integrantes de un proponente plural, </w:t>
      </w:r>
      <w:r w:rsidR="00A72B8D">
        <w:rPr>
          <w:rFonts w:ascii="Arial" w:eastAsia="Calibri" w:hAnsi="Arial" w:cs="Arial"/>
          <w:color w:val="000000"/>
          <w:sz w:val="22"/>
          <w:szCs w:val="24"/>
          <w:lang w:val="es-ES_tradnl" w:eastAsia="es-ES_tradnl"/>
        </w:rPr>
        <w:t xml:space="preserve">caso en el cual la entidad </w:t>
      </w:r>
      <w:r w:rsidR="009122F7">
        <w:rPr>
          <w:rFonts w:ascii="Arial" w:eastAsia="Calibri" w:hAnsi="Arial" w:cs="Arial"/>
          <w:color w:val="000000"/>
          <w:sz w:val="22"/>
          <w:szCs w:val="24"/>
          <w:lang w:val="es-ES_tradnl" w:eastAsia="es-ES_tradnl"/>
        </w:rPr>
        <w:t xml:space="preserve">podrá diferenciarlo y </w:t>
      </w:r>
      <w:r w:rsidRPr="004A1CB6">
        <w:rPr>
          <w:rFonts w:ascii="Arial" w:eastAsia="Calibri" w:hAnsi="Arial" w:cs="Arial"/>
          <w:color w:val="000000"/>
          <w:sz w:val="22"/>
          <w:szCs w:val="24"/>
          <w:lang w:val="es-ES_tradnl" w:eastAsia="es-ES_tradnl"/>
        </w:rPr>
        <w:t xml:space="preserve">evaluar la totalidad de los indicadores </w:t>
      </w:r>
      <w:r w:rsidR="009122F7">
        <w:rPr>
          <w:rFonts w:ascii="Arial" w:eastAsia="Calibri" w:hAnsi="Arial" w:cs="Arial"/>
          <w:color w:val="000000"/>
          <w:sz w:val="22"/>
          <w:szCs w:val="24"/>
          <w:lang w:val="es-ES_tradnl" w:eastAsia="es-ES_tradnl"/>
        </w:rPr>
        <w:t xml:space="preserve">dentro del respectivo año, </w:t>
      </w:r>
      <w:r w:rsidR="009122F7" w:rsidRPr="004A1CB6">
        <w:rPr>
          <w:rFonts w:ascii="Arial" w:eastAsia="Calibri" w:hAnsi="Arial" w:cs="Arial"/>
          <w:color w:val="000000"/>
          <w:sz w:val="22"/>
          <w:szCs w:val="24"/>
          <w:lang w:val="es-ES_tradnl" w:eastAsia="es-ES_tradnl"/>
        </w:rPr>
        <w:t>conforme a la información reflejada en el RUP</w:t>
      </w:r>
      <w:r w:rsidR="009122F7">
        <w:rPr>
          <w:rFonts w:ascii="Arial" w:eastAsia="Calibri" w:hAnsi="Arial" w:cs="Arial"/>
          <w:color w:val="000000"/>
          <w:sz w:val="22"/>
          <w:szCs w:val="24"/>
          <w:lang w:val="es-ES_tradnl" w:eastAsia="es-ES_tradnl"/>
        </w:rPr>
        <w:t xml:space="preserve"> de </w:t>
      </w:r>
      <w:r w:rsidR="009122F7" w:rsidRPr="00D80CCB">
        <w:rPr>
          <w:rFonts w:ascii="Arial" w:eastAsia="Calibri" w:hAnsi="Arial" w:cs="Arial"/>
          <w:color w:val="000000"/>
          <w:sz w:val="22"/>
          <w:szCs w:val="24"/>
          <w:lang w:val="es-ES_tradnl" w:eastAsia="es-ES_tradnl"/>
        </w:rPr>
        <w:t xml:space="preserve">cada uno de los integrantes del consorcio o </w:t>
      </w:r>
      <w:r w:rsidR="005B7FBA">
        <w:rPr>
          <w:rFonts w:ascii="Arial" w:eastAsia="Calibri" w:hAnsi="Arial" w:cs="Arial"/>
          <w:color w:val="000000"/>
          <w:sz w:val="22"/>
          <w:szCs w:val="24"/>
          <w:lang w:val="es-ES_tradnl" w:eastAsia="es-ES_tradnl"/>
        </w:rPr>
        <w:t xml:space="preserve">de </w:t>
      </w:r>
      <w:r w:rsidR="009122F7" w:rsidRPr="00D80CCB">
        <w:rPr>
          <w:rFonts w:ascii="Arial" w:eastAsia="Calibri" w:hAnsi="Arial" w:cs="Arial"/>
          <w:color w:val="000000"/>
          <w:sz w:val="22"/>
          <w:szCs w:val="24"/>
          <w:lang w:val="es-ES_tradnl" w:eastAsia="es-ES_tradnl"/>
        </w:rPr>
        <w:t>la unión temporal, pues son ellos quienes cuentan con dicho registro</w:t>
      </w:r>
      <w:r w:rsidR="009122F7">
        <w:rPr>
          <w:rFonts w:ascii="Arial" w:eastAsia="Calibri" w:hAnsi="Arial" w:cs="Arial"/>
          <w:color w:val="000000"/>
          <w:sz w:val="22"/>
          <w:szCs w:val="24"/>
          <w:lang w:val="es-ES_tradnl" w:eastAsia="es-ES_tradnl"/>
        </w:rPr>
        <w:t xml:space="preserve">,  </w:t>
      </w:r>
      <w:r w:rsidR="00A72B8D">
        <w:rPr>
          <w:rFonts w:ascii="Arial" w:eastAsia="Calibri" w:hAnsi="Arial" w:cs="Arial"/>
          <w:color w:val="000000"/>
          <w:sz w:val="22"/>
          <w:szCs w:val="24"/>
          <w:lang w:val="es-ES_tradnl" w:eastAsia="es-ES_tradnl"/>
        </w:rPr>
        <w:t>sin que sea</w:t>
      </w:r>
      <w:r w:rsidR="00D01B09" w:rsidRPr="00D80CCB">
        <w:rPr>
          <w:rFonts w:ascii="Arial" w:eastAsia="Calibri" w:hAnsi="Arial" w:cs="Arial"/>
          <w:color w:val="000000"/>
          <w:sz w:val="22"/>
          <w:szCs w:val="24"/>
          <w:lang w:val="es-ES_tradnl" w:eastAsia="es-ES_tradnl"/>
        </w:rPr>
        <w:t xml:space="preserve"> viable</w:t>
      </w:r>
      <w:r w:rsidR="000970CE">
        <w:rPr>
          <w:rFonts w:ascii="Arial" w:eastAsia="Calibri" w:hAnsi="Arial" w:cs="Arial"/>
          <w:color w:val="000000"/>
          <w:sz w:val="22"/>
          <w:szCs w:val="24"/>
          <w:lang w:val="es-ES_tradnl" w:eastAsia="es-ES_tradnl"/>
        </w:rPr>
        <w:t xml:space="preserve"> para tal fin,</w:t>
      </w:r>
      <w:r w:rsidR="00D01B09" w:rsidRPr="00D80CCB">
        <w:rPr>
          <w:rFonts w:ascii="Arial" w:eastAsia="Calibri" w:hAnsi="Arial" w:cs="Arial"/>
          <w:color w:val="000000"/>
          <w:sz w:val="22"/>
          <w:szCs w:val="24"/>
          <w:lang w:val="es-ES_tradnl" w:eastAsia="es-ES_tradnl"/>
        </w:rPr>
        <w:t xml:space="preserve"> mezclar indicadores de diferentes vigencias</w:t>
      </w:r>
      <w:r w:rsidR="009122F7">
        <w:rPr>
          <w:rFonts w:ascii="Arial" w:eastAsia="Calibri" w:hAnsi="Arial" w:cs="Arial"/>
          <w:color w:val="000000"/>
          <w:sz w:val="22"/>
          <w:szCs w:val="24"/>
          <w:lang w:val="es-ES_tradnl" w:eastAsia="es-ES_tradnl"/>
        </w:rPr>
        <w:t>.</w:t>
      </w:r>
    </w:p>
    <w:p w14:paraId="147E311C" w14:textId="77777777" w:rsidR="00000255" w:rsidRDefault="00000255" w:rsidP="005B7FBA">
      <w:pPr>
        <w:spacing w:after="120" w:line="276" w:lineRule="auto"/>
        <w:ind w:firstLine="709"/>
        <w:jc w:val="both"/>
        <w:rPr>
          <w:rFonts w:ascii="Arial" w:eastAsia="Calibri" w:hAnsi="Arial" w:cs="Arial"/>
          <w:color w:val="000000"/>
          <w:sz w:val="22"/>
          <w:szCs w:val="24"/>
          <w:lang w:val="es-ES_tradnl" w:eastAsia="es-ES_tradnl"/>
        </w:rPr>
      </w:pPr>
    </w:p>
    <w:p w14:paraId="58072880" w14:textId="77777777" w:rsidR="00000255" w:rsidRDefault="00000255" w:rsidP="005B7FBA">
      <w:pPr>
        <w:spacing w:after="120" w:line="276" w:lineRule="auto"/>
        <w:ind w:firstLine="709"/>
        <w:jc w:val="both"/>
        <w:rPr>
          <w:rFonts w:ascii="Arial" w:eastAsia="Calibri" w:hAnsi="Arial" w:cs="Arial"/>
          <w:color w:val="000000"/>
          <w:sz w:val="22"/>
          <w:szCs w:val="24"/>
          <w:lang w:val="es-ES_tradnl" w:eastAsia="es-ES_tradnl"/>
        </w:rPr>
      </w:pPr>
    </w:p>
    <w:p w14:paraId="1E8CCC30" w14:textId="77777777" w:rsidR="00000255" w:rsidRPr="00D80CCB" w:rsidRDefault="00000255" w:rsidP="005B7FBA">
      <w:pPr>
        <w:spacing w:after="120" w:line="276" w:lineRule="auto"/>
        <w:ind w:firstLine="709"/>
        <w:jc w:val="both"/>
        <w:rPr>
          <w:rFonts w:ascii="Arial" w:eastAsia="Calibri" w:hAnsi="Arial" w:cs="Arial"/>
          <w:color w:val="000000"/>
          <w:sz w:val="22"/>
          <w:szCs w:val="24"/>
          <w:lang w:val="es-ES_tradnl" w:eastAsia="es-ES_tradnl"/>
        </w:rPr>
      </w:pPr>
    </w:p>
    <w:p w14:paraId="2E0485E9" w14:textId="70CAA80C" w:rsidR="00D36E83" w:rsidRPr="005B7FBA" w:rsidRDefault="00D36E83" w:rsidP="00D36E83">
      <w:pPr>
        <w:spacing w:line="276" w:lineRule="auto"/>
        <w:jc w:val="both"/>
        <w:rPr>
          <w:rFonts w:ascii="Arial" w:eastAsia="Calibri" w:hAnsi="Arial" w:cs="Arial"/>
          <w:color w:val="000000"/>
          <w:sz w:val="22"/>
          <w:szCs w:val="24"/>
          <w:lang w:val="es-ES_tradnl" w:eastAsia="es-ES_tradnl"/>
        </w:rPr>
      </w:pPr>
      <w:r w:rsidRPr="00D80CCB">
        <w:rPr>
          <w:rFonts w:ascii="Arial" w:eastAsia="Times New Roman" w:hAnsi="Arial" w:cs="Arial"/>
          <w:color w:val="000000"/>
          <w:sz w:val="22"/>
          <w:szCs w:val="24"/>
          <w:lang w:val="es-ES_tradnl" w:eastAsia="es-ES_tradnl"/>
        </w:rPr>
        <w:t>Este concepto tiene el alcance previsto en el artículo 28 del Código de Procedimiento Administrativo y de lo Contencioso Administrativo.</w:t>
      </w:r>
    </w:p>
    <w:p w14:paraId="7E91FEC7" w14:textId="77777777" w:rsidR="00D36E83" w:rsidRPr="00D80CCB" w:rsidRDefault="00D36E83" w:rsidP="00D36E83">
      <w:pPr>
        <w:spacing w:line="276" w:lineRule="auto"/>
        <w:ind w:firstLine="709"/>
        <w:jc w:val="both"/>
        <w:rPr>
          <w:rFonts w:ascii="Arial" w:eastAsia="Times New Roman" w:hAnsi="Arial" w:cs="Arial"/>
          <w:color w:val="000000"/>
          <w:sz w:val="22"/>
          <w:lang w:val="es-ES_tradnl" w:eastAsia="es-CO"/>
        </w:rPr>
      </w:pPr>
    </w:p>
    <w:p w14:paraId="41E80EE8" w14:textId="7CF7EE3E" w:rsidR="00D36E83" w:rsidRDefault="00D36E83" w:rsidP="00BB4AE6">
      <w:pPr>
        <w:spacing w:line="276" w:lineRule="auto"/>
        <w:jc w:val="both"/>
        <w:rPr>
          <w:rFonts w:ascii="Arial" w:eastAsia="Times New Roman" w:hAnsi="Arial" w:cs="Arial"/>
          <w:color w:val="000000"/>
          <w:sz w:val="22"/>
          <w:lang w:val="es-ES_tradnl" w:eastAsia="es-CO"/>
        </w:rPr>
      </w:pPr>
      <w:r w:rsidRPr="00D80CCB">
        <w:rPr>
          <w:rFonts w:ascii="Arial" w:eastAsia="Times New Roman" w:hAnsi="Arial" w:cs="Arial"/>
          <w:color w:val="000000"/>
          <w:sz w:val="22"/>
          <w:lang w:val="es-ES_tradnl" w:eastAsia="es-CO"/>
        </w:rPr>
        <w:t>Atentamente,</w:t>
      </w:r>
    </w:p>
    <w:p w14:paraId="50CD86C3" w14:textId="77B7D2F5" w:rsidR="000523B1" w:rsidRDefault="000523B1" w:rsidP="00BB4AE6">
      <w:pPr>
        <w:spacing w:line="276" w:lineRule="auto"/>
        <w:jc w:val="both"/>
        <w:rPr>
          <w:rFonts w:ascii="Arial" w:eastAsia="Times New Roman" w:hAnsi="Arial" w:cs="Arial"/>
          <w:color w:val="000000"/>
          <w:sz w:val="22"/>
          <w:lang w:val="es-ES_tradnl" w:eastAsia="es-CO"/>
        </w:rPr>
      </w:pPr>
    </w:p>
    <w:p w14:paraId="62250553" w14:textId="655E322C" w:rsidR="000523B1" w:rsidRPr="00D80CCB" w:rsidRDefault="003571B8" w:rsidP="003571B8">
      <w:pPr>
        <w:spacing w:line="276" w:lineRule="auto"/>
        <w:jc w:val="center"/>
        <w:rPr>
          <w:rFonts w:ascii="Arial" w:eastAsia="Times New Roman" w:hAnsi="Arial" w:cs="Arial"/>
          <w:color w:val="000000"/>
          <w:sz w:val="22"/>
          <w:lang w:val="es-ES_tradnl" w:eastAsia="es-CO"/>
        </w:rPr>
      </w:pPr>
      <w:r w:rsidRPr="00A02DEF">
        <w:rPr>
          <w:rFonts w:ascii="Arial" w:hAnsi="Arial" w:cs="Arial"/>
          <w:noProof/>
          <w:lang w:val="es-CO" w:eastAsia="es-CO"/>
        </w:rPr>
        <w:drawing>
          <wp:inline distT="0" distB="0" distL="0" distR="0" wp14:anchorId="69B7ACC1" wp14:editId="466B6219">
            <wp:extent cx="2514600" cy="1171575"/>
            <wp:effectExtent l="0" t="0" r="0" b="9525"/>
            <wp:docPr id="5" name="Imagen 5"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2"/>
                    <a:stretch>
                      <a:fillRect/>
                    </a:stretch>
                  </pic:blipFill>
                  <pic:spPr>
                    <a:xfrm>
                      <a:off x="0" y="0"/>
                      <a:ext cx="2514600" cy="1171575"/>
                    </a:xfrm>
                    <a:prstGeom prst="rect">
                      <a:avLst/>
                    </a:prstGeom>
                  </pic:spPr>
                </pic:pic>
              </a:graphicData>
            </a:graphic>
          </wp:inline>
        </w:drawing>
      </w:r>
    </w:p>
    <w:p w14:paraId="5FA43E2A" w14:textId="77777777" w:rsidR="00D36E83" w:rsidRPr="00D80CCB" w:rsidRDefault="00D36E83" w:rsidP="000970CE">
      <w:pPr>
        <w:rPr>
          <w:rFonts w:ascii="Arial" w:eastAsia="Times New Roman" w:hAnsi="Arial" w:cs="Arial"/>
          <w:sz w:val="22"/>
          <w:szCs w:val="24"/>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4766"/>
      </w:tblGrid>
      <w:tr w:rsidR="00D80CCB" w:rsidRPr="00D80CCB" w14:paraId="4A0CA657" w14:textId="77777777" w:rsidTr="00C46988">
        <w:trPr>
          <w:trHeight w:val="318"/>
        </w:trPr>
        <w:tc>
          <w:tcPr>
            <w:tcW w:w="882" w:type="dxa"/>
            <w:vAlign w:val="center"/>
            <w:hideMark/>
          </w:tcPr>
          <w:p w14:paraId="36B84F6C" w14:textId="77777777" w:rsidR="00D80CCB" w:rsidRPr="00D80CCB" w:rsidRDefault="00D80CCB" w:rsidP="00C46988">
            <w:pPr>
              <w:jc w:val="both"/>
              <w:rPr>
                <w:rFonts w:ascii="Arial" w:hAnsi="Arial" w:cs="Arial"/>
                <w:color w:val="000000" w:themeColor="text1"/>
                <w:sz w:val="16"/>
                <w:szCs w:val="16"/>
                <w:lang w:val="es-ES_tradnl" w:eastAsia="es-ES"/>
              </w:rPr>
            </w:pPr>
            <w:r w:rsidRPr="00D80CCB">
              <w:rPr>
                <w:rFonts w:ascii="Arial" w:hAnsi="Arial" w:cs="Arial"/>
                <w:color w:val="000000" w:themeColor="text1"/>
                <w:sz w:val="16"/>
                <w:szCs w:val="16"/>
                <w:lang w:val="es-ES_tradnl" w:eastAsia="es-ES"/>
              </w:rPr>
              <w:t>Elaboró:</w:t>
            </w:r>
          </w:p>
        </w:tc>
        <w:tc>
          <w:tcPr>
            <w:tcW w:w="4766" w:type="dxa"/>
            <w:tcBorders>
              <w:top w:val="nil"/>
              <w:left w:val="nil"/>
              <w:bottom w:val="dotted" w:sz="4" w:space="0" w:color="7F7F7F" w:themeColor="text1" w:themeTint="80"/>
              <w:right w:val="nil"/>
            </w:tcBorders>
            <w:vAlign w:val="center"/>
            <w:hideMark/>
          </w:tcPr>
          <w:p w14:paraId="57CBC07E" w14:textId="77777777" w:rsidR="00D80CCB" w:rsidRPr="00D80CCB" w:rsidRDefault="00D80CCB" w:rsidP="00C46988">
            <w:pPr>
              <w:jc w:val="both"/>
              <w:rPr>
                <w:rFonts w:ascii="Arial" w:hAnsi="Arial" w:cs="Arial"/>
                <w:color w:val="000000" w:themeColor="text1"/>
                <w:sz w:val="16"/>
                <w:szCs w:val="16"/>
                <w:lang w:val="es-ES_tradnl" w:eastAsia="es-ES"/>
              </w:rPr>
            </w:pPr>
            <w:r w:rsidRPr="00D80CCB">
              <w:rPr>
                <w:rFonts w:ascii="Arial" w:hAnsi="Arial" w:cs="Arial"/>
                <w:color w:val="000000" w:themeColor="text1"/>
                <w:sz w:val="16"/>
                <w:szCs w:val="16"/>
                <w:lang w:eastAsia="es-CO"/>
              </w:rPr>
              <w:t>Alfredo Benavides Zarate</w:t>
            </w:r>
          </w:p>
          <w:p w14:paraId="3EA48EF2" w14:textId="77777777" w:rsidR="00D80CCB" w:rsidRPr="00D80CCB" w:rsidRDefault="00D80CCB" w:rsidP="00C46988">
            <w:pPr>
              <w:jc w:val="both"/>
              <w:rPr>
                <w:rFonts w:ascii="Arial" w:hAnsi="Arial" w:cs="Arial"/>
                <w:color w:val="000000" w:themeColor="text1"/>
                <w:sz w:val="16"/>
                <w:szCs w:val="16"/>
                <w:lang w:val="es-ES_tradnl" w:eastAsia="es-ES"/>
              </w:rPr>
            </w:pPr>
            <w:r w:rsidRPr="00D80CCB">
              <w:rPr>
                <w:rFonts w:ascii="Arial" w:hAnsi="Arial" w:cs="Arial"/>
                <w:color w:val="000000" w:themeColor="text1"/>
                <w:sz w:val="16"/>
                <w:szCs w:val="16"/>
                <w:lang w:val="es-ES_tradnl" w:eastAsia="es-ES"/>
              </w:rPr>
              <w:t>Contratista de la Subdirección de Gestión Contractual</w:t>
            </w:r>
          </w:p>
        </w:tc>
      </w:tr>
      <w:tr w:rsidR="00D80CCB" w:rsidRPr="00D80CCB" w14:paraId="7F2F1F36" w14:textId="77777777" w:rsidTr="00C46988">
        <w:trPr>
          <w:trHeight w:val="334"/>
        </w:trPr>
        <w:tc>
          <w:tcPr>
            <w:tcW w:w="882" w:type="dxa"/>
            <w:vAlign w:val="center"/>
            <w:hideMark/>
          </w:tcPr>
          <w:p w14:paraId="62563BEF" w14:textId="77777777" w:rsidR="00D80CCB" w:rsidRPr="00D80CCB" w:rsidRDefault="00D80CCB" w:rsidP="00C46988">
            <w:pPr>
              <w:jc w:val="both"/>
              <w:rPr>
                <w:rFonts w:ascii="Arial" w:hAnsi="Arial" w:cs="Arial"/>
                <w:color w:val="000000" w:themeColor="text1"/>
                <w:sz w:val="16"/>
                <w:szCs w:val="16"/>
                <w:lang w:val="es-ES_tradnl" w:eastAsia="es-ES"/>
              </w:rPr>
            </w:pPr>
            <w:r w:rsidRPr="00D80CCB">
              <w:rPr>
                <w:rFonts w:ascii="Arial" w:hAnsi="Arial" w:cs="Arial"/>
                <w:color w:val="000000" w:themeColor="text1"/>
                <w:sz w:val="16"/>
                <w:szCs w:val="16"/>
                <w:lang w:val="es-ES_tradnl" w:eastAsia="es-ES"/>
              </w:rPr>
              <w:t>Revisó:</w:t>
            </w:r>
          </w:p>
        </w:tc>
        <w:tc>
          <w:tcPr>
            <w:tcW w:w="4766" w:type="dxa"/>
            <w:tcBorders>
              <w:top w:val="dotted" w:sz="4" w:space="0" w:color="7F7F7F" w:themeColor="text1" w:themeTint="80"/>
              <w:left w:val="nil"/>
              <w:bottom w:val="dotted" w:sz="4" w:space="0" w:color="7F7F7F" w:themeColor="text1" w:themeTint="80"/>
              <w:right w:val="nil"/>
            </w:tcBorders>
            <w:vAlign w:val="center"/>
            <w:hideMark/>
          </w:tcPr>
          <w:p w14:paraId="671BBB64" w14:textId="77777777" w:rsidR="00BE45C2" w:rsidRPr="00CF16CF" w:rsidRDefault="00BE45C2" w:rsidP="00BE45C2">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t>Cristian Andrés Díaz Díez</w:t>
            </w:r>
          </w:p>
          <w:p w14:paraId="1A927214" w14:textId="2DF0CF0F" w:rsidR="00D80CCB" w:rsidRPr="00D80CCB" w:rsidRDefault="00BE45C2" w:rsidP="00BE45C2">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t>Contratista de la Subdirección de Gestión Contractual</w:t>
            </w:r>
          </w:p>
        </w:tc>
      </w:tr>
      <w:tr w:rsidR="00D80CCB" w:rsidRPr="00B30798" w14:paraId="7A1D64E1" w14:textId="77777777" w:rsidTr="00C46988">
        <w:trPr>
          <w:trHeight w:val="303"/>
        </w:trPr>
        <w:tc>
          <w:tcPr>
            <w:tcW w:w="882" w:type="dxa"/>
            <w:vAlign w:val="center"/>
            <w:hideMark/>
          </w:tcPr>
          <w:p w14:paraId="4DCD526D" w14:textId="77777777" w:rsidR="00D80CCB" w:rsidRPr="00D80CCB" w:rsidRDefault="00D80CCB" w:rsidP="00C46988">
            <w:pPr>
              <w:jc w:val="both"/>
              <w:rPr>
                <w:rFonts w:ascii="Arial" w:hAnsi="Arial" w:cs="Arial"/>
                <w:color w:val="000000" w:themeColor="text1"/>
                <w:sz w:val="16"/>
                <w:szCs w:val="16"/>
                <w:lang w:val="es-ES_tradnl" w:eastAsia="es-ES"/>
              </w:rPr>
            </w:pPr>
            <w:r w:rsidRPr="00D80CCB">
              <w:rPr>
                <w:rFonts w:ascii="Arial" w:hAnsi="Arial" w:cs="Arial"/>
                <w:color w:val="000000" w:themeColor="text1"/>
                <w:sz w:val="16"/>
                <w:szCs w:val="16"/>
                <w:lang w:val="es-ES_tradnl" w:eastAsia="es-ES"/>
              </w:rPr>
              <w:t>Aprobó:</w:t>
            </w:r>
          </w:p>
        </w:tc>
        <w:tc>
          <w:tcPr>
            <w:tcW w:w="4766" w:type="dxa"/>
            <w:tcBorders>
              <w:top w:val="dotted" w:sz="4" w:space="0" w:color="7F7F7F" w:themeColor="text1" w:themeTint="80"/>
              <w:left w:val="nil"/>
              <w:bottom w:val="dotted" w:sz="4" w:space="0" w:color="7F7F7F" w:themeColor="text1" w:themeTint="80"/>
              <w:right w:val="nil"/>
            </w:tcBorders>
            <w:vAlign w:val="center"/>
            <w:hideMark/>
          </w:tcPr>
          <w:p w14:paraId="58E00A85" w14:textId="77777777" w:rsidR="00D80CCB" w:rsidRPr="00D80CCB" w:rsidRDefault="00D80CCB" w:rsidP="00C46988">
            <w:pPr>
              <w:jc w:val="both"/>
              <w:rPr>
                <w:rFonts w:ascii="Arial" w:hAnsi="Arial" w:cs="Arial"/>
                <w:color w:val="000000" w:themeColor="text1"/>
                <w:sz w:val="16"/>
                <w:szCs w:val="16"/>
                <w:lang w:val="es-ES_tradnl" w:eastAsia="es-ES"/>
              </w:rPr>
            </w:pPr>
            <w:r w:rsidRPr="00D80CCB">
              <w:rPr>
                <w:rFonts w:ascii="Arial" w:hAnsi="Arial" w:cs="Arial"/>
                <w:color w:val="000000" w:themeColor="text1"/>
                <w:sz w:val="16"/>
                <w:szCs w:val="16"/>
                <w:lang w:val="es-ES_tradnl" w:eastAsia="es-ES"/>
              </w:rPr>
              <w:t>Jorge Augusto Tirado Navarro</w:t>
            </w:r>
          </w:p>
          <w:p w14:paraId="260071E0" w14:textId="77777777" w:rsidR="00D80CCB" w:rsidRPr="00B30798" w:rsidRDefault="00D80CCB" w:rsidP="00C46988">
            <w:pPr>
              <w:jc w:val="both"/>
              <w:rPr>
                <w:rFonts w:ascii="Arial" w:hAnsi="Arial" w:cs="Arial"/>
                <w:color w:val="000000" w:themeColor="text1"/>
                <w:sz w:val="16"/>
                <w:szCs w:val="16"/>
                <w:lang w:val="es-ES_tradnl" w:eastAsia="es-ES"/>
              </w:rPr>
            </w:pPr>
            <w:r w:rsidRPr="00D80CCB">
              <w:rPr>
                <w:rFonts w:ascii="Arial" w:hAnsi="Arial" w:cs="Arial"/>
                <w:color w:val="000000" w:themeColor="text1"/>
                <w:sz w:val="16"/>
                <w:szCs w:val="16"/>
                <w:lang w:val="es-ES_tradnl" w:eastAsia="es-ES"/>
              </w:rPr>
              <w:t>Subdirector de Gestión Contractual ANCP – CCE</w:t>
            </w:r>
          </w:p>
        </w:tc>
      </w:tr>
    </w:tbl>
    <w:p w14:paraId="3AF1C818" w14:textId="57BC3727" w:rsidR="00D36E83" w:rsidRPr="009A3CF6" w:rsidRDefault="00D36E83" w:rsidP="00D36E83">
      <w:pPr>
        <w:tabs>
          <w:tab w:val="left" w:pos="0"/>
        </w:tabs>
        <w:jc w:val="both"/>
        <w:rPr>
          <w:rFonts w:ascii="Arial" w:eastAsia="Times New Roman" w:hAnsi="Arial" w:cs="Arial"/>
          <w:sz w:val="22"/>
          <w:szCs w:val="24"/>
          <w:lang w:val="es-ES" w:eastAsia="es-CO"/>
        </w:rPr>
      </w:pPr>
    </w:p>
    <w:p w14:paraId="085A31AB" w14:textId="77777777" w:rsidR="006C5955" w:rsidRPr="00D36E83" w:rsidRDefault="006C5955" w:rsidP="00D36E83"/>
    <w:p w14:paraId="5BC7432D" w14:textId="77777777" w:rsidR="00D01B09" w:rsidRPr="00D36E83" w:rsidRDefault="00D01B09"/>
    <w:sectPr w:rsidR="00D01B09" w:rsidRPr="00D36E83" w:rsidSect="0043588C">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CD0E3" w14:textId="77777777" w:rsidR="00090E3F" w:rsidRDefault="00090E3F" w:rsidP="008C487C">
      <w:r>
        <w:separator/>
      </w:r>
    </w:p>
  </w:endnote>
  <w:endnote w:type="continuationSeparator" w:id="0">
    <w:p w14:paraId="571F00CD" w14:textId="77777777" w:rsidR="00090E3F" w:rsidRDefault="00090E3F"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C11BCD" w:rsidRDefault="00C11BCD" w:rsidP="0043588C">
    <w:pPr>
      <w:pStyle w:val="Sinespaciado"/>
      <w:jc w:val="right"/>
      <w:rPr>
        <w:rFonts w:ascii="Arial" w:hAnsi="Arial" w:cs="Arial"/>
        <w:sz w:val="18"/>
        <w:szCs w:val="18"/>
      </w:rPr>
    </w:pPr>
  </w:p>
  <w:p w14:paraId="709352A1" w14:textId="77777777" w:rsidR="00C11BCD" w:rsidRDefault="00C11BCD" w:rsidP="0043588C">
    <w:pPr>
      <w:pStyle w:val="Sinespaciado"/>
      <w:jc w:val="right"/>
      <w:rPr>
        <w:rFonts w:ascii="Arial" w:hAnsi="Arial" w:cs="Arial"/>
        <w:sz w:val="18"/>
        <w:szCs w:val="18"/>
      </w:rPr>
    </w:pPr>
  </w:p>
  <w:p w14:paraId="3D3EB348" w14:textId="39D1E702" w:rsidR="00C11BCD" w:rsidRPr="00D36E83" w:rsidRDefault="00C11BCD" w:rsidP="0043588C">
    <w:pPr>
      <w:pStyle w:val="Piedepgina"/>
      <w:jc w:val="right"/>
      <w:rPr>
        <w:rFonts w:ascii="Arial" w:hAnsi="Arial" w:cs="Arial"/>
        <w:color w:val="7F7F7F"/>
        <w:sz w:val="16"/>
        <w:szCs w:val="16"/>
      </w:rPr>
    </w:pPr>
    <w:r w:rsidRPr="00D36E83">
      <w:rPr>
        <w:rFonts w:ascii="Arial" w:hAnsi="Arial" w:cs="Arial"/>
        <w:bCs/>
        <w:color w:val="7F7F7F"/>
        <w:sz w:val="16"/>
        <w:szCs w:val="16"/>
      </w:rPr>
      <w:t xml:space="preserve">Página </w:t>
    </w:r>
    <w:r w:rsidRPr="00D36E83">
      <w:rPr>
        <w:rFonts w:ascii="Arial" w:hAnsi="Arial" w:cs="Arial"/>
        <w:b/>
        <w:bCs/>
        <w:color w:val="7F7F7F"/>
        <w:sz w:val="16"/>
        <w:szCs w:val="16"/>
      </w:rPr>
      <w:fldChar w:fldCharType="begin"/>
    </w:r>
    <w:r w:rsidRPr="00D36E83">
      <w:rPr>
        <w:rFonts w:ascii="Arial" w:hAnsi="Arial" w:cs="Arial"/>
        <w:b/>
        <w:bCs/>
        <w:color w:val="7F7F7F"/>
        <w:sz w:val="16"/>
        <w:szCs w:val="16"/>
      </w:rPr>
      <w:instrText>PAGE  \* Arabic  \* MERGEFORMAT</w:instrText>
    </w:r>
    <w:r w:rsidRPr="00D36E83">
      <w:rPr>
        <w:rFonts w:ascii="Arial" w:hAnsi="Arial" w:cs="Arial"/>
        <w:b/>
        <w:bCs/>
        <w:color w:val="7F7F7F"/>
        <w:sz w:val="16"/>
        <w:szCs w:val="16"/>
      </w:rPr>
      <w:fldChar w:fldCharType="separate"/>
    </w:r>
    <w:r w:rsidR="00137DDF" w:rsidRPr="00D36E83">
      <w:rPr>
        <w:rFonts w:ascii="Arial" w:hAnsi="Arial" w:cs="Arial"/>
        <w:b/>
        <w:bCs/>
        <w:noProof/>
        <w:color w:val="7F7F7F"/>
        <w:sz w:val="16"/>
        <w:szCs w:val="16"/>
      </w:rPr>
      <w:t>3</w:t>
    </w:r>
    <w:r w:rsidRPr="00D36E83">
      <w:rPr>
        <w:rFonts w:ascii="Arial" w:hAnsi="Arial" w:cs="Arial"/>
        <w:b/>
        <w:bCs/>
        <w:color w:val="7F7F7F"/>
        <w:sz w:val="16"/>
        <w:szCs w:val="16"/>
      </w:rPr>
      <w:fldChar w:fldCharType="end"/>
    </w:r>
    <w:r w:rsidRPr="00D36E83">
      <w:rPr>
        <w:rFonts w:ascii="Arial" w:hAnsi="Arial" w:cs="Arial"/>
        <w:color w:val="7F7F7F"/>
        <w:sz w:val="16"/>
        <w:szCs w:val="16"/>
      </w:rPr>
      <w:t xml:space="preserve"> de </w:t>
    </w:r>
    <w:r w:rsidRPr="00D36E83">
      <w:rPr>
        <w:rFonts w:ascii="Arial" w:hAnsi="Arial" w:cs="Arial"/>
        <w:b/>
        <w:bCs/>
        <w:color w:val="7F7F7F"/>
        <w:sz w:val="16"/>
        <w:szCs w:val="16"/>
      </w:rPr>
      <w:fldChar w:fldCharType="begin"/>
    </w:r>
    <w:r w:rsidRPr="00D36E83">
      <w:rPr>
        <w:rFonts w:ascii="Arial" w:hAnsi="Arial" w:cs="Arial"/>
        <w:b/>
        <w:bCs/>
        <w:color w:val="7F7F7F"/>
        <w:sz w:val="16"/>
        <w:szCs w:val="16"/>
      </w:rPr>
      <w:instrText>NUMPAGES  \* Arabic  \* MERGEFORMAT</w:instrText>
    </w:r>
    <w:r w:rsidRPr="00D36E83">
      <w:rPr>
        <w:rFonts w:ascii="Arial" w:hAnsi="Arial" w:cs="Arial"/>
        <w:b/>
        <w:bCs/>
        <w:color w:val="7F7F7F"/>
        <w:sz w:val="16"/>
        <w:szCs w:val="16"/>
      </w:rPr>
      <w:fldChar w:fldCharType="separate"/>
    </w:r>
    <w:r w:rsidR="00137DDF" w:rsidRPr="00D36E83">
      <w:rPr>
        <w:rFonts w:ascii="Arial" w:hAnsi="Arial" w:cs="Arial"/>
        <w:b/>
        <w:bCs/>
        <w:noProof/>
        <w:color w:val="7F7F7F"/>
        <w:sz w:val="16"/>
        <w:szCs w:val="16"/>
      </w:rPr>
      <w:t>12</w:t>
    </w:r>
    <w:r w:rsidRPr="00D36E83">
      <w:rPr>
        <w:rFonts w:ascii="Arial" w:hAnsi="Arial" w:cs="Arial"/>
        <w:b/>
        <w:bCs/>
        <w:color w:val="7F7F7F"/>
        <w:sz w:val="16"/>
        <w:szCs w:val="16"/>
      </w:rPr>
      <w:fldChar w:fldCharType="end"/>
    </w:r>
  </w:p>
  <w:p w14:paraId="29709EEF" w14:textId="77777777" w:rsidR="00C11BCD" w:rsidRDefault="00C11BCD" w:rsidP="0043588C">
    <w:pPr>
      <w:pStyle w:val="Piedepgina"/>
      <w:jc w:val="center"/>
      <w:rPr>
        <w:lang w:val="es-ES"/>
      </w:rPr>
    </w:pPr>
    <w:r>
      <w:rPr>
        <w:noProof/>
        <w:lang w:val="en-US"/>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C11BCD" w:rsidRPr="00E756AC" w:rsidRDefault="00C11BCD" w:rsidP="0043588C">
    <w:pPr>
      <w:pStyle w:val="Piedepgina"/>
      <w:jc w:val="center"/>
      <w:rPr>
        <w:sz w:val="18"/>
        <w:szCs w:val="18"/>
        <w:lang w:val="es-ES"/>
      </w:rPr>
    </w:pPr>
  </w:p>
  <w:p w14:paraId="428179B1" w14:textId="77777777" w:rsidR="00C11BCD" w:rsidRPr="00E756AC" w:rsidRDefault="00C11BCD" w:rsidP="0043588C">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D5D3E" w14:textId="77777777" w:rsidR="00090E3F" w:rsidRDefault="00090E3F" w:rsidP="008C487C">
      <w:r>
        <w:separator/>
      </w:r>
    </w:p>
  </w:footnote>
  <w:footnote w:type="continuationSeparator" w:id="0">
    <w:p w14:paraId="4B9DFC99" w14:textId="77777777" w:rsidR="00090E3F" w:rsidRDefault="00090E3F" w:rsidP="008C487C">
      <w:r>
        <w:continuationSeparator/>
      </w:r>
    </w:p>
  </w:footnote>
  <w:footnote w:id="1">
    <w:p w14:paraId="165A5E2A" w14:textId="77777777" w:rsidR="00D079C7" w:rsidRPr="00495E5E" w:rsidRDefault="00D079C7" w:rsidP="00D079C7">
      <w:pPr>
        <w:pStyle w:val="Textonotapie"/>
        <w:ind w:firstLine="709"/>
        <w:jc w:val="both"/>
        <w:rPr>
          <w:rFonts w:ascii="Arial" w:hAnsi="Arial" w:cs="Arial"/>
          <w:color w:val="000000" w:themeColor="text1"/>
          <w:sz w:val="19"/>
          <w:szCs w:val="19"/>
        </w:rPr>
      </w:pPr>
      <w:r w:rsidRPr="00BD31A3">
        <w:rPr>
          <w:rStyle w:val="Refdenotaalpie"/>
          <w:rFonts w:ascii="Arial" w:hAnsi="Arial" w:cs="Arial"/>
          <w:sz w:val="19"/>
          <w:szCs w:val="19"/>
        </w:rPr>
        <w:footnoteRef/>
      </w:r>
      <w:r w:rsidRPr="00BD31A3">
        <w:rPr>
          <w:rFonts w:ascii="Arial" w:hAnsi="Arial" w:cs="Arial"/>
          <w:sz w:val="19"/>
          <w:szCs w:val="19"/>
        </w:rPr>
        <w:t xml:space="preserve"> </w:t>
      </w:r>
      <w:r w:rsidRPr="00BA07B3">
        <w:rPr>
          <w:rFonts w:ascii="Arial" w:hAnsi="Arial" w:cs="Arial"/>
          <w:sz w:val="19"/>
          <w:szCs w:val="19"/>
        </w:rPr>
        <w:t xml:space="preserve">Estos conceptos </w:t>
      </w:r>
      <w:r w:rsidRPr="00BA07B3">
        <w:rPr>
          <w:rFonts w:ascii="Arial" w:hAnsi="Arial" w:cs="Arial"/>
          <w:sz w:val="19"/>
          <w:szCs w:val="19"/>
          <w:lang w:val="es-ES_tradnl"/>
        </w:rPr>
        <w:t xml:space="preserve">se encuentran publicados en la relatoría de la entidad. </w:t>
      </w:r>
      <w:hyperlink r:id="rId1" w:history="1">
        <w:r w:rsidRPr="00495E5E">
          <w:rPr>
            <w:rStyle w:val="Hipervnculo"/>
            <w:rFonts w:ascii="Arial" w:hAnsi="Arial" w:cs="Arial"/>
            <w:color w:val="000000" w:themeColor="text1"/>
            <w:sz w:val="19"/>
            <w:szCs w:val="19"/>
          </w:rPr>
          <w:t>https://relatoria.colombiacompra.gov.co/busqueda/conceptos</w:t>
        </w:r>
      </w:hyperlink>
    </w:p>
    <w:p w14:paraId="23DB3AD7" w14:textId="77777777" w:rsidR="00D079C7" w:rsidRPr="00D079C7" w:rsidRDefault="00D079C7" w:rsidP="00D079C7">
      <w:pPr>
        <w:pStyle w:val="Textonotapie"/>
        <w:rPr>
          <w:rFonts w:ascii="Arial" w:hAnsi="Arial" w:cs="Arial"/>
          <w:lang w:val="es-ES"/>
        </w:rPr>
      </w:pPr>
    </w:p>
  </w:footnote>
  <w:footnote w:id="2">
    <w:p w14:paraId="7889598E" w14:textId="77777777" w:rsidR="00D36E83" w:rsidRPr="00AC7A12" w:rsidRDefault="00D36E83" w:rsidP="0074032F">
      <w:pPr>
        <w:pStyle w:val="Textonotapie"/>
        <w:ind w:firstLine="709"/>
        <w:jc w:val="both"/>
        <w:rPr>
          <w:rFonts w:ascii="Arial" w:hAnsi="Arial" w:cs="Arial"/>
          <w:sz w:val="19"/>
          <w:szCs w:val="19"/>
        </w:rPr>
      </w:pPr>
      <w:r w:rsidRPr="00AC7A12">
        <w:rPr>
          <w:rStyle w:val="Refdenotaalpie"/>
          <w:rFonts w:ascii="Arial" w:hAnsi="Arial" w:cs="Arial"/>
          <w:sz w:val="19"/>
          <w:szCs w:val="19"/>
        </w:rPr>
        <w:footnoteRef/>
      </w:r>
      <w:r w:rsidRPr="00AC7A12">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483DA0E9" w14:textId="77777777" w:rsidR="00D36E83" w:rsidRPr="00AC7A12" w:rsidRDefault="00D36E83" w:rsidP="0074032F">
      <w:pPr>
        <w:pStyle w:val="Textonotapie"/>
        <w:ind w:firstLine="709"/>
        <w:jc w:val="both"/>
        <w:rPr>
          <w:rFonts w:ascii="Arial" w:hAnsi="Arial" w:cs="Arial"/>
          <w:sz w:val="19"/>
          <w:szCs w:val="19"/>
        </w:rPr>
      </w:pPr>
      <w:r w:rsidRPr="00AC7A12">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7F52DC17" w14:textId="77777777" w:rsidR="00D36E83" w:rsidRPr="00AC7A12" w:rsidRDefault="00D36E83" w:rsidP="0074032F">
      <w:pPr>
        <w:pStyle w:val="Textonotapie"/>
        <w:ind w:firstLine="709"/>
        <w:jc w:val="both"/>
        <w:rPr>
          <w:rFonts w:ascii="Arial" w:hAnsi="Arial" w:cs="Arial"/>
          <w:sz w:val="19"/>
          <w:szCs w:val="19"/>
        </w:rPr>
      </w:pPr>
      <w:r w:rsidRPr="00AC7A12">
        <w:rPr>
          <w:rFonts w:ascii="Arial" w:hAnsi="Arial" w:cs="Arial"/>
          <w:sz w:val="19"/>
          <w:szCs w:val="19"/>
        </w:rPr>
        <w:t>»[...]».</w:t>
      </w:r>
    </w:p>
    <w:p w14:paraId="28D24934" w14:textId="77777777" w:rsidR="00D36E83" w:rsidRPr="00AC7A12" w:rsidRDefault="00D36E83" w:rsidP="00D36E83">
      <w:pPr>
        <w:pStyle w:val="Textonotapie"/>
        <w:jc w:val="both"/>
        <w:rPr>
          <w:rFonts w:ascii="Arial" w:hAnsi="Arial" w:cs="Arial"/>
          <w:sz w:val="19"/>
          <w:szCs w:val="19"/>
          <w:lang w:val="es-ES"/>
        </w:rPr>
      </w:pPr>
    </w:p>
  </w:footnote>
  <w:footnote w:id="3">
    <w:p w14:paraId="264F2AA1" w14:textId="77777777" w:rsidR="00D36E83" w:rsidRPr="00AC7A12" w:rsidRDefault="00D36E83" w:rsidP="0074032F">
      <w:pPr>
        <w:pStyle w:val="Textonotapie"/>
        <w:ind w:firstLine="709"/>
        <w:jc w:val="both"/>
        <w:rPr>
          <w:rFonts w:ascii="Arial" w:hAnsi="Arial" w:cs="Arial"/>
          <w:sz w:val="19"/>
          <w:szCs w:val="19"/>
        </w:rPr>
      </w:pPr>
      <w:r w:rsidRPr="00AC7A12">
        <w:rPr>
          <w:rStyle w:val="Refdenotaalpie"/>
          <w:rFonts w:ascii="Arial" w:hAnsi="Arial" w:cs="Arial"/>
          <w:sz w:val="19"/>
          <w:szCs w:val="19"/>
        </w:rPr>
        <w:footnoteRef/>
      </w:r>
      <w:r w:rsidRPr="00AC7A12">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46233B0E" w14:textId="77777777" w:rsidR="00D36E83" w:rsidRPr="00AC7A12" w:rsidRDefault="00D36E83" w:rsidP="00D36E83">
      <w:pPr>
        <w:pStyle w:val="Textonotapie"/>
        <w:jc w:val="both"/>
        <w:rPr>
          <w:rFonts w:ascii="Arial" w:hAnsi="Arial" w:cs="Arial"/>
          <w:sz w:val="19"/>
          <w:szCs w:val="19"/>
          <w:lang w:val="es-ES"/>
        </w:rPr>
      </w:pPr>
    </w:p>
  </w:footnote>
  <w:footnote w:id="4">
    <w:p w14:paraId="509D5663" w14:textId="77777777" w:rsidR="00D36E83" w:rsidRPr="00AC7A12" w:rsidRDefault="00D36E83" w:rsidP="0074032F">
      <w:pPr>
        <w:pStyle w:val="Textonotapie"/>
        <w:ind w:firstLine="709"/>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Pr="00AC7A12">
        <w:rPr>
          <w:rFonts w:ascii="Arial" w:hAnsi="Arial" w:cs="Arial"/>
          <w:sz w:val="19"/>
          <w:szCs w:val="19"/>
          <w:lang w:val="es-ES"/>
        </w:rPr>
        <w:t>Disponible en:</w:t>
      </w:r>
    </w:p>
    <w:p w14:paraId="3F07E6B0" w14:textId="77777777" w:rsidR="00D36E83" w:rsidRPr="00AC7A12" w:rsidRDefault="00D36E83" w:rsidP="0074032F">
      <w:pPr>
        <w:pStyle w:val="Textonotapie"/>
        <w:ind w:firstLine="709"/>
        <w:jc w:val="both"/>
        <w:rPr>
          <w:rFonts w:ascii="Arial" w:hAnsi="Arial" w:cs="Arial"/>
          <w:sz w:val="19"/>
          <w:szCs w:val="19"/>
          <w:lang w:val="es-ES"/>
        </w:rPr>
      </w:pPr>
      <w:r w:rsidRPr="00AC7A12">
        <w:rPr>
          <w:rFonts w:ascii="Arial" w:hAnsi="Arial" w:cs="Arial"/>
          <w:sz w:val="19"/>
          <w:szCs w:val="19"/>
          <w:lang w:val="es-ES"/>
        </w:rPr>
        <w:t>https://www.colombiacompra.gov.co/sites/cce_public/files/cce_documents/cce_manual_requisitos_habilitantes.pdf</w:t>
      </w:r>
    </w:p>
  </w:footnote>
  <w:footnote w:id="5">
    <w:p w14:paraId="2D29B5CC" w14:textId="77777777" w:rsidR="00D36E83" w:rsidRPr="00C24A71" w:rsidRDefault="00D36E83" w:rsidP="0074032F">
      <w:pPr>
        <w:pStyle w:val="Textonotapie"/>
        <w:ind w:firstLine="709"/>
        <w:jc w:val="both"/>
        <w:rPr>
          <w:rFonts w:ascii="Arial" w:hAnsi="Arial" w:cs="Arial"/>
          <w:sz w:val="19"/>
          <w:szCs w:val="19"/>
          <w:lang w:val="es-ES"/>
        </w:rPr>
      </w:pPr>
    </w:p>
    <w:p w14:paraId="34300E01" w14:textId="77777777" w:rsidR="00D36E83" w:rsidRPr="00AC7A12" w:rsidRDefault="00D36E83" w:rsidP="0074032F">
      <w:pPr>
        <w:pStyle w:val="Textonotapie"/>
        <w:ind w:firstLine="709"/>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Pr="00AC7A12">
        <w:rPr>
          <w:rFonts w:ascii="Arial" w:hAnsi="Arial" w:cs="Arial"/>
          <w:sz w:val="19"/>
          <w:szCs w:val="19"/>
          <w:lang w:val="es-ES"/>
        </w:rPr>
        <w:t>Ibíd.</w:t>
      </w:r>
    </w:p>
  </w:footnote>
  <w:footnote w:id="6">
    <w:p w14:paraId="32960D5D" w14:textId="77777777" w:rsidR="00D36E83" w:rsidRPr="00AC7A12" w:rsidRDefault="00D36E83" w:rsidP="00D36E83">
      <w:pPr>
        <w:pStyle w:val="Textonotapie"/>
        <w:jc w:val="both"/>
        <w:rPr>
          <w:rFonts w:ascii="Arial" w:hAnsi="Arial" w:cs="Arial"/>
          <w:sz w:val="19"/>
          <w:szCs w:val="19"/>
        </w:rPr>
      </w:pPr>
    </w:p>
    <w:p w14:paraId="418B69D3" w14:textId="77777777" w:rsidR="00D36E83" w:rsidRPr="00AC7A12" w:rsidRDefault="00D36E83" w:rsidP="00DB61F3">
      <w:pPr>
        <w:pStyle w:val="Textonotapie"/>
        <w:ind w:firstLine="709"/>
        <w:jc w:val="both"/>
        <w:rPr>
          <w:rFonts w:ascii="Arial" w:hAnsi="Arial" w:cs="Arial"/>
          <w:sz w:val="19"/>
          <w:szCs w:val="19"/>
        </w:rPr>
      </w:pPr>
      <w:r w:rsidRPr="00AC7A12">
        <w:rPr>
          <w:rStyle w:val="Refdenotaalpie"/>
          <w:rFonts w:ascii="Arial" w:hAnsi="Arial" w:cs="Arial"/>
          <w:sz w:val="19"/>
          <w:szCs w:val="19"/>
        </w:rPr>
        <w:footnoteRef/>
      </w:r>
      <w:r w:rsidRPr="00AC7A12">
        <w:rPr>
          <w:rFonts w:ascii="Arial" w:hAnsi="Arial" w:cs="Arial"/>
          <w:sz w:val="19"/>
          <w:szCs w:val="19"/>
        </w:rPr>
        <w:t xml:space="preserve"> Dice el Manual que: «[...] En atención a la naturaleza del contrato a suscribir y de su valor, plazo y forma de pago, la Entidad Estatal debe hacer uso de los indicadores que considere adecuados respecto al objeto del Proceso de Contratación.</w:t>
      </w:r>
    </w:p>
    <w:p w14:paraId="1C67909B" w14:textId="77777777" w:rsidR="00D36E83" w:rsidRPr="00AC7A12" w:rsidRDefault="00D36E83" w:rsidP="00D36E83">
      <w:pPr>
        <w:pStyle w:val="Textonotapie"/>
        <w:jc w:val="both"/>
        <w:rPr>
          <w:rFonts w:ascii="Arial" w:hAnsi="Arial" w:cs="Arial"/>
          <w:sz w:val="19"/>
          <w:szCs w:val="19"/>
        </w:rPr>
      </w:pPr>
      <w:r w:rsidRPr="00AC7A12">
        <w:rPr>
          <w:rFonts w:ascii="Arial" w:hAnsi="Arial" w:cs="Arial"/>
          <w:sz w:val="19"/>
          <w:szCs w:val="19"/>
        </w:rPr>
        <w:t>«Las Entidades Estatales no deben limitarse a determinar y aplicar de forma mecánica fórmulas financieras para determinar los indicadores. Deben conocer cada indicador, sus fórmulas de cálculo y su interpretación».</w:t>
      </w:r>
    </w:p>
  </w:footnote>
  <w:footnote w:id="7">
    <w:p w14:paraId="4C2352B0" w14:textId="77777777" w:rsidR="00D36E83" w:rsidRPr="00AC7A12" w:rsidRDefault="00D36E83" w:rsidP="00D36E83">
      <w:pPr>
        <w:pStyle w:val="Textonotapie"/>
        <w:jc w:val="both"/>
        <w:rPr>
          <w:rFonts w:ascii="Arial" w:hAnsi="Arial" w:cs="Arial"/>
          <w:sz w:val="19"/>
          <w:szCs w:val="19"/>
        </w:rPr>
      </w:pPr>
    </w:p>
    <w:p w14:paraId="0228159D" w14:textId="77777777" w:rsidR="00D36E83" w:rsidRPr="00AC7A12" w:rsidRDefault="00D36E83" w:rsidP="00DB61F3">
      <w:pPr>
        <w:pStyle w:val="Textonotapie"/>
        <w:ind w:firstLine="709"/>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Al respecto, el Manual indica: «La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p>
  </w:footnote>
  <w:footnote w:id="8">
    <w:p w14:paraId="56D1DC2F" w14:textId="77777777" w:rsidR="00D36E83" w:rsidRPr="00AC7A12" w:rsidRDefault="00D36E83" w:rsidP="00D36E83">
      <w:pPr>
        <w:pStyle w:val="Textonotapie"/>
        <w:jc w:val="both"/>
        <w:rPr>
          <w:rFonts w:ascii="Arial" w:hAnsi="Arial" w:cs="Arial"/>
          <w:sz w:val="19"/>
          <w:szCs w:val="19"/>
        </w:rPr>
      </w:pPr>
    </w:p>
    <w:p w14:paraId="4BF8E11A" w14:textId="77777777" w:rsidR="00D36E83" w:rsidRPr="00AC7A12" w:rsidRDefault="00D36E83" w:rsidP="00DB61F3">
      <w:pPr>
        <w:pStyle w:val="Textonotapie"/>
        <w:ind w:firstLine="709"/>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Pr>
          <w:rFonts w:ascii="Arial" w:hAnsi="Arial" w:cs="Arial"/>
          <w:sz w:val="19"/>
          <w:szCs w:val="19"/>
        </w:rPr>
        <w:t>En efecto</w:t>
      </w:r>
      <w:r w:rsidRPr="00AC7A12">
        <w:rPr>
          <w:rFonts w:ascii="Arial" w:hAnsi="Arial" w:cs="Arial"/>
          <w:sz w:val="19"/>
          <w:szCs w:val="19"/>
          <w:lang w:val="es-ES"/>
        </w:rPr>
        <w:t xml:space="preserve">, es importante mencionar desde este momento que mediante el Decreto 579 de 2021, expedido recientemente, el gobierno nacional anticipó estas medidas, sustituyendo algunos parágrafos transitorios que había agregado el Decreto 399 de 2021, como se explicará más adelante. Concretamente, el Decreto 579 de 2021 establece que en los procesos de selección cuyo acto administrativo de apertura o invitación se publique a partir del 1 de </w:t>
      </w:r>
      <w:r w:rsidRPr="00AC7A12">
        <w:rPr>
          <w:rFonts w:ascii="Arial" w:hAnsi="Arial" w:cs="Arial"/>
          <w:i/>
          <w:iCs/>
          <w:sz w:val="19"/>
          <w:szCs w:val="19"/>
          <w:lang w:val="es-ES"/>
        </w:rPr>
        <w:t>julio</w:t>
      </w:r>
      <w:r w:rsidRPr="00AC7A12">
        <w:rPr>
          <w:rFonts w:ascii="Arial" w:hAnsi="Arial" w:cs="Arial"/>
          <w:sz w:val="19"/>
          <w:szCs w:val="19"/>
          <w:lang w:val="es-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footnote>
  <w:footnote w:id="9">
    <w:p w14:paraId="25E06DC0" w14:textId="77777777" w:rsidR="00D36E83" w:rsidRPr="00AC7A12" w:rsidRDefault="00D36E83" w:rsidP="00C24A71">
      <w:pPr>
        <w:pStyle w:val="Textonotapie"/>
        <w:ind w:firstLine="709"/>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Pr="00AC7A12">
        <w:rPr>
          <w:rFonts w:ascii="Arial" w:hAnsi="Arial" w:cs="Arial"/>
          <w:sz w:val="19"/>
          <w:szCs w:val="19"/>
          <w:lang w:val="es-ES"/>
        </w:rPr>
        <w:t>«Artículo  1. Sustitución de los parágrafos transitorios del artículo 2.2.1.1.1.5.2. del Decreto 1082 de 2015, Único Reglamentario del Sector Administrativo de Planeación Nacional. Sustitúyase los parágrafos transitorios del artículo 2.2.1.1.1.5.2. de la Subsección 5 de la Sección 1 del Capítulo 1 del Título 1 de la Parte 2 del Libro 2 del Decreto 1082 de 2015, Único Reglamentario del Sector Administrativo de Planeación Nacional, los cuales quedarán así:</w:t>
      </w:r>
    </w:p>
    <w:p w14:paraId="2DDF2748" w14:textId="0B496B73" w:rsidR="00D36E83" w:rsidRPr="00AC7A12" w:rsidRDefault="00D36E83" w:rsidP="00C24A71">
      <w:pPr>
        <w:pStyle w:val="Textonotapie"/>
        <w:ind w:firstLine="709"/>
        <w:jc w:val="both"/>
        <w:rPr>
          <w:rFonts w:ascii="Arial" w:hAnsi="Arial" w:cs="Arial"/>
          <w:sz w:val="19"/>
          <w:szCs w:val="19"/>
          <w:lang w:val="es-ES"/>
        </w:rPr>
      </w:pPr>
      <w:r w:rsidRPr="00AC7A12">
        <w:rPr>
          <w:rFonts w:ascii="Arial" w:hAnsi="Arial" w:cs="Arial"/>
          <w:sz w:val="19"/>
          <w:szCs w:val="19"/>
          <w:lang w:val="es-ES"/>
        </w:rPr>
        <w:t>"PARÁGRAFO TRANSITORIO 1: A partir del 1 de junio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64F2C866" w14:textId="1AABD9CB" w:rsidR="00D36E83" w:rsidRPr="00AC7A12" w:rsidRDefault="00D36E83" w:rsidP="00C24A71">
      <w:pPr>
        <w:pStyle w:val="Textonotapie"/>
        <w:ind w:firstLine="709"/>
        <w:jc w:val="both"/>
        <w:rPr>
          <w:rFonts w:ascii="Arial" w:hAnsi="Arial" w:cs="Arial"/>
          <w:sz w:val="19"/>
          <w:szCs w:val="19"/>
          <w:lang w:val="es-ES"/>
        </w:rPr>
      </w:pPr>
      <w:r w:rsidRPr="00AC7A12">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50FEE9B0" w14:textId="4DCF115E" w:rsidR="00D36E83" w:rsidRPr="00AC7A12" w:rsidRDefault="00D36E83" w:rsidP="00C24A71">
      <w:pPr>
        <w:pStyle w:val="Textonotapie"/>
        <w:ind w:firstLine="709"/>
        <w:jc w:val="both"/>
        <w:rPr>
          <w:rFonts w:ascii="Arial" w:hAnsi="Arial" w:cs="Arial"/>
          <w:sz w:val="19"/>
          <w:szCs w:val="19"/>
          <w:lang w:val="es-ES"/>
        </w:rPr>
      </w:pPr>
      <w:r w:rsidRPr="00AC7A12">
        <w:rPr>
          <w:rFonts w:ascii="Arial" w:hAnsi="Arial" w:cs="Arial"/>
          <w:sz w:val="19"/>
          <w:szCs w:val="19"/>
          <w:lang w:val="es-ES"/>
        </w:rPr>
        <w:t>El proponente con inscripción activa y vigente que no tenga la información de la capacidad financiera y organizacional delos años 2018 y/o 2019 inscrita en el Registro Único de Proponentes, durante el mes de junio de 2021, podrá reportar por única vez, mediante una solicitud de actualización, únicamente la información contable correspondiente a estos años, sin costo alguno.</w:t>
      </w:r>
    </w:p>
    <w:p w14:paraId="5E57EFB5" w14:textId="1BDA2E13" w:rsidR="00D36E83" w:rsidRPr="00AC7A12" w:rsidRDefault="00D36E83" w:rsidP="00C24A71">
      <w:pPr>
        <w:pStyle w:val="Textonotapie"/>
        <w:ind w:firstLine="709"/>
        <w:jc w:val="both"/>
        <w:rPr>
          <w:rFonts w:ascii="Arial" w:hAnsi="Arial" w:cs="Arial"/>
          <w:sz w:val="19"/>
          <w:szCs w:val="19"/>
          <w:lang w:val="es-ES"/>
        </w:rPr>
      </w:pPr>
      <w:r w:rsidRPr="00AC7A12">
        <w:rPr>
          <w:rFonts w:ascii="Arial" w:hAnsi="Arial" w:cs="Arial"/>
          <w:sz w:val="19"/>
          <w:szCs w:val="19"/>
          <w:lang w:val="es-ES"/>
        </w:rPr>
        <w:t>El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6E93ECBC" w14:textId="1C264A19" w:rsidR="00D36E83" w:rsidRPr="00AC7A12" w:rsidRDefault="00D36E83" w:rsidP="00C24A71">
      <w:pPr>
        <w:pStyle w:val="Textonotapie"/>
        <w:ind w:firstLine="709"/>
        <w:jc w:val="both"/>
        <w:rPr>
          <w:rFonts w:ascii="Arial" w:hAnsi="Arial" w:cs="Arial"/>
          <w:sz w:val="19"/>
          <w:szCs w:val="19"/>
          <w:lang w:val="es-ES"/>
        </w:rPr>
      </w:pPr>
      <w:r w:rsidRPr="00AC7A12">
        <w:rPr>
          <w:rFonts w:ascii="Arial" w:hAnsi="Arial" w:cs="Arial"/>
          <w:sz w:val="19"/>
          <w:szCs w:val="19"/>
          <w:lang w:val="es-ES"/>
        </w:rPr>
        <w:t>PARÁGRAFO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3BEDDD69" w14:textId="03F56798" w:rsidR="00D36E83" w:rsidRPr="00AC7A12" w:rsidRDefault="00D36E83" w:rsidP="00C24A71">
      <w:pPr>
        <w:pStyle w:val="Textonotapie"/>
        <w:ind w:firstLine="709"/>
        <w:jc w:val="both"/>
        <w:rPr>
          <w:rFonts w:ascii="Arial" w:hAnsi="Arial" w:cs="Arial"/>
          <w:sz w:val="19"/>
          <w:szCs w:val="19"/>
          <w:lang w:val="es-ES"/>
        </w:rPr>
      </w:pPr>
      <w:r w:rsidRPr="00AC7A12">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2F53DB63" w14:textId="7893E2C5" w:rsidR="00D36E83" w:rsidRPr="00AC7A12" w:rsidRDefault="00D36E83" w:rsidP="00C24A71">
      <w:pPr>
        <w:pStyle w:val="Textonotapie"/>
        <w:ind w:firstLine="709"/>
        <w:jc w:val="both"/>
        <w:rPr>
          <w:rFonts w:ascii="Arial" w:hAnsi="Arial" w:cs="Arial"/>
          <w:sz w:val="19"/>
          <w:szCs w:val="19"/>
          <w:lang w:val="es-CO"/>
        </w:rPr>
      </w:pPr>
      <w:r w:rsidRPr="00AC7A12">
        <w:rPr>
          <w:rFonts w:ascii="Arial" w:hAnsi="Arial" w:cs="Arial"/>
          <w:sz w:val="19"/>
          <w:szCs w:val="19"/>
          <w:lang w:val="es-ES"/>
        </w:rPr>
        <w:t>El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footnote>
  <w:footnote w:id="10">
    <w:p w14:paraId="3F14416D" w14:textId="1350C463" w:rsidR="00D36E83" w:rsidRPr="00AC7A12" w:rsidRDefault="00D36E83" w:rsidP="00D36E83">
      <w:pPr>
        <w:pStyle w:val="Textonotapie"/>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Pr="00AC7A12">
        <w:rPr>
          <w:rFonts w:ascii="Arial" w:hAnsi="Arial" w:cs="Arial"/>
          <w:sz w:val="19"/>
          <w:szCs w:val="19"/>
          <w:lang w:val="es-ES"/>
        </w:rPr>
        <w:t xml:space="preserve">Debe recordarse que el artículo 2.2.1.1.1.6.2. del Decreto 1082 de 2015 prevé lo siguiente: </w:t>
      </w:r>
      <w:r w:rsidR="00527053" w:rsidRPr="00AC7A12">
        <w:rPr>
          <w:rFonts w:ascii="Arial" w:hAnsi="Arial" w:cs="Arial"/>
          <w:sz w:val="19"/>
          <w:szCs w:val="19"/>
          <w:lang w:val="es-ES"/>
        </w:rPr>
        <w:t>«</w:t>
      </w:r>
      <w:r w:rsidR="00527053" w:rsidRPr="00AC7A12">
        <w:rPr>
          <w:rFonts w:ascii="Arial" w:hAnsi="Arial" w:cs="Arial"/>
          <w:sz w:val="19"/>
          <w:szCs w:val="19"/>
        </w:rPr>
        <w:t>La</w:t>
      </w:r>
      <w:r w:rsidRPr="00AC7A12">
        <w:rPr>
          <w:rFonts w:ascii="Arial" w:hAnsi="Arial" w:cs="Arial"/>
          <w:sz w:val="19"/>
          <w:szCs w:val="19"/>
          <w:lang w:val="es-ES"/>
        </w:rPr>
        <w:t xml:space="preserve">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11">
    <w:p w14:paraId="3133469E" w14:textId="77777777" w:rsidR="005E156B" w:rsidRPr="009B57A0" w:rsidRDefault="005E156B" w:rsidP="005E156B">
      <w:pPr>
        <w:pStyle w:val="Textonotapie"/>
        <w:ind w:firstLine="708"/>
        <w:jc w:val="both"/>
        <w:rPr>
          <w:rFonts w:ascii="Arial" w:hAnsi="Arial" w:cs="Arial"/>
          <w:sz w:val="19"/>
          <w:szCs w:val="19"/>
          <w:lang w:val="es-ES_tradnl"/>
        </w:rPr>
      </w:pPr>
      <w:r w:rsidRPr="001067BF">
        <w:rPr>
          <w:rStyle w:val="Refdenotaalpie"/>
          <w:rFonts w:ascii="Arial" w:hAnsi="Arial" w:cs="Arial"/>
          <w:sz w:val="19"/>
          <w:szCs w:val="19"/>
        </w:rPr>
        <w:footnoteRef/>
      </w:r>
      <w:r w:rsidRPr="001067BF">
        <w:rPr>
          <w:rFonts w:ascii="Arial" w:hAnsi="Arial" w:cs="Arial"/>
          <w:sz w:val="19"/>
          <w:szCs w:val="19"/>
        </w:rPr>
        <w:t xml:space="preserve"> </w:t>
      </w:r>
      <w:r>
        <w:rPr>
          <w:rFonts w:ascii="Arial" w:hAnsi="Arial" w:cs="Arial"/>
          <w:sz w:val="19"/>
          <w:szCs w:val="19"/>
        </w:rPr>
        <w:t xml:space="preserve">DÁVILA VINUEZA, Luis Guillermo. Régimen jurídico de la contratación estatal. 3ª ed. Bogotá: Legis, 2016. p. 104.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C11BCD" w:rsidRDefault="00C11BCD">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B984CCC"/>
    <w:multiLevelType w:val="hybridMultilevel"/>
    <w:tmpl w:val="C6B6C074"/>
    <w:lvl w:ilvl="0" w:tplc="FE68A6A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623"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6" w15:restartNumberingAfterBreak="0">
    <w:nsid w:val="4E637631"/>
    <w:multiLevelType w:val="hybridMultilevel"/>
    <w:tmpl w:val="F0D6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9" w15:restartNumberingAfterBreak="0">
    <w:nsid w:val="730D1215"/>
    <w:multiLevelType w:val="hybridMultilevel"/>
    <w:tmpl w:val="AB1022BE"/>
    <w:lvl w:ilvl="0" w:tplc="FD74D86E">
      <w:start w:val="2"/>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B24F85"/>
    <w:multiLevelType w:val="hybridMultilevel"/>
    <w:tmpl w:val="8638AC78"/>
    <w:lvl w:ilvl="0" w:tplc="2D6AA4D8">
      <w:start w:val="1"/>
      <w:numFmt w:val="lowerLetter"/>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12"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5"/>
  </w:num>
  <w:num w:numId="9">
    <w:abstractNumId w:val="2"/>
  </w:num>
  <w:num w:numId="10">
    <w:abstractNumId w:val="6"/>
  </w:num>
  <w:num w:numId="11">
    <w:abstractNumId w:val="9"/>
  </w:num>
  <w:num w:numId="12">
    <w:abstractNumId w:val="3"/>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0255"/>
    <w:rsid w:val="00001319"/>
    <w:rsid w:val="00007FF7"/>
    <w:rsid w:val="00010D30"/>
    <w:rsid w:val="000205D6"/>
    <w:rsid w:val="0003091B"/>
    <w:rsid w:val="000333A2"/>
    <w:rsid w:val="00035726"/>
    <w:rsid w:val="00040C88"/>
    <w:rsid w:val="00040D6E"/>
    <w:rsid w:val="00042C0C"/>
    <w:rsid w:val="00044FF2"/>
    <w:rsid w:val="000514D4"/>
    <w:rsid w:val="00051D60"/>
    <w:rsid w:val="000523B1"/>
    <w:rsid w:val="00054B45"/>
    <w:rsid w:val="00054D4A"/>
    <w:rsid w:val="00055688"/>
    <w:rsid w:val="00060575"/>
    <w:rsid w:val="00061E92"/>
    <w:rsid w:val="00061EE4"/>
    <w:rsid w:val="00062291"/>
    <w:rsid w:val="00062B0D"/>
    <w:rsid w:val="0006519B"/>
    <w:rsid w:val="00066AF6"/>
    <w:rsid w:val="000707A0"/>
    <w:rsid w:val="000759B2"/>
    <w:rsid w:val="00081A72"/>
    <w:rsid w:val="00082589"/>
    <w:rsid w:val="0008616B"/>
    <w:rsid w:val="00086A16"/>
    <w:rsid w:val="00086C02"/>
    <w:rsid w:val="00090D92"/>
    <w:rsid w:val="00090E3F"/>
    <w:rsid w:val="00093069"/>
    <w:rsid w:val="00094F86"/>
    <w:rsid w:val="000970CE"/>
    <w:rsid w:val="00097117"/>
    <w:rsid w:val="00097CD6"/>
    <w:rsid w:val="000A1DBA"/>
    <w:rsid w:val="000A6338"/>
    <w:rsid w:val="000A7A2D"/>
    <w:rsid w:val="000B4552"/>
    <w:rsid w:val="000B4C69"/>
    <w:rsid w:val="000B4E6D"/>
    <w:rsid w:val="000B6B73"/>
    <w:rsid w:val="000C0E39"/>
    <w:rsid w:val="000D088F"/>
    <w:rsid w:val="000D2220"/>
    <w:rsid w:val="000D392A"/>
    <w:rsid w:val="000D5464"/>
    <w:rsid w:val="000E4A3C"/>
    <w:rsid w:val="000E5EFC"/>
    <w:rsid w:val="000E6867"/>
    <w:rsid w:val="000E7F3A"/>
    <w:rsid w:val="000F5F52"/>
    <w:rsid w:val="001056C0"/>
    <w:rsid w:val="00105C88"/>
    <w:rsid w:val="00107607"/>
    <w:rsid w:val="001117F5"/>
    <w:rsid w:val="001120C8"/>
    <w:rsid w:val="00112597"/>
    <w:rsid w:val="00113AD4"/>
    <w:rsid w:val="00116557"/>
    <w:rsid w:val="00117289"/>
    <w:rsid w:val="00130123"/>
    <w:rsid w:val="00131937"/>
    <w:rsid w:val="001321AB"/>
    <w:rsid w:val="00133D22"/>
    <w:rsid w:val="00134D4A"/>
    <w:rsid w:val="00135B7A"/>
    <w:rsid w:val="00135E98"/>
    <w:rsid w:val="00137B0D"/>
    <w:rsid w:val="00137DDF"/>
    <w:rsid w:val="00140E57"/>
    <w:rsid w:val="00141C64"/>
    <w:rsid w:val="0014462B"/>
    <w:rsid w:val="0014628D"/>
    <w:rsid w:val="00147E4A"/>
    <w:rsid w:val="001556C8"/>
    <w:rsid w:val="001573A6"/>
    <w:rsid w:val="00160687"/>
    <w:rsid w:val="00160AB9"/>
    <w:rsid w:val="00164E79"/>
    <w:rsid w:val="00166272"/>
    <w:rsid w:val="001669C9"/>
    <w:rsid w:val="00173047"/>
    <w:rsid w:val="00173342"/>
    <w:rsid w:val="00173CD9"/>
    <w:rsid w:val="0017558C"/>
    <w:rsid w:val="00175A33"/>
    <w:rsid w:val="0017603D"/>
    <w:rsid w:val="00177397"/>
    <w:rsid w:val="00180881"/>
    <w:rsid w:val="001810AD"/>
    <w:rsid w:val="0018144F"/>
    <w:rsid w:val="00181A3E"/>
    <w:rsid w:val="00182BF2"/>
    <w:rsid w:val="001848A7"/>
    <w:rsid w:val="00186C26"/>
    <w:rsid w:val="001901E3"/>
    <w:rsid w:val="00190B79"/>
    <w:rsid w:val="00190F26"/>
    <w:rsid w:val="00192084"/>
    <w:rsid w:val="00194C50"/>
    <w:rsid w:val="0019703E"/>
    <w:rsid w:val="001A0536"/>
    <w:rsid w:val="001A6A98"/>
    <w:rsid w:val="001B13DF"/>
    <w:rsid w:val="001B2E5D"/>
    <w:rsid w:val="001B5D63"/>
    <w:rsid w:val="001B6C66"/>
    <w:rsid w:val="001C4850"/>
    <w:rsid w:val="001E4AEB"/>
    <w:rsid w:val="001E5DBB"/>
    <w:rsid w:val="001F0373"/>
    <w:rsid w:val="001F1051"/>
    <w:rsid w:val="001F3010"/>
    <w:rsid w:val="001F34A8"/>
    <w:rsid w:val="001F7297"/>
    <w:rsid w:val="002034AD"/>
    <w:rsid w:val="00210E00"/>
    <w:rsid w:val="00212C92"/>
    <w:rsid w:val="00213B48"/>
    <w:rsid w:val="002166C0"/>
    <w:rsid w:val="00220F87"/>
    <w:rsid w:val="002218CE"/>
    <w:rsid w:val="00222032"/>
    <w:rsid w:val="002239B4"/>
    <w:rsid w:val="00225C5F"/>
    <w:rsid w:val="00227257"/>
    <w:rsid w:val="0023180C"/>
    <w:rsid w:val="0023225E"/>
    <w:rsid w:val="00234C6C"/>
    <w:rsid w:val="00236264"/>
    <w:rsid w:val="0023774F"/>
    <w:rsid w:val="0024753F"/>
    <w:rsid w:val="00247D11"/>
    <w:rsid w:val="002511E0"/>
    <w:rsid w:val="002516D4"/>
    <w:rsid w:val="002551A3"/>
    <w:rsid w:val="00265031"/>
    <w:rsid w:val="00266277"/>
    <w:rsid w:val="00267CE7"/>
    <w:rsid w:val="00272F63"/>
    <w:rsid w:val="0027329E"/>
    <w:rsid w:val="00273B05"/>
    <w:rsid w:val="00274370"/>
    <w:rsid w:val="00281E4E"/>
    <w:rsid w:val="00284C12"/>
    <w:rsid w:val="00286834"/>
    <w:rsid w:val="002928EE"/>
    <w:rsid w:val="002959FA"/>
    <w:rsid w:val="002972F3"/>
    <w:rsid w:val="002A21FC"/>
    <w:rsid w:val="002A365B"/>
    <w:rsid w:val="002A4002"/>
    <w:rsid w:val="002A4BCA"/>
    <w:rsid w:val="002A517F"/>
    <w:rsid w:val="002B22DE"/>
    <w:rsid w:val="002B27BC"/>
    <w:rsid w:val="002B282F"/>
    <w:rsid w:val="002B3600"/>
    <w:rsid w:val="002B4B30"/>
    <w:rsid w:val="002B7B5A"/>
    <w:rsid w:val="002E4CF7"/>
    <w:rsid w:val="002E6804"/>
    <w:rsid w:val="002E7390"/>
    <w:rsid w:val="002E7BC2"/>
    <w:rsid w:val="002F5479"/>
    <w:rsid w:val="002F63BB"/>
    <w:rsid w:val="002F701E"/>
    <w:rsid w:val="00302F9F"/>
    <w:rsid w:val="00304386"/>
    <w:rsid w:val="003051E7"/>
    <w:rsid w:val="00307876"/>
    <w:rsid w:val="003141AC"/>
    <w:rsid w:val="00314F61"/>
    <w:rsid w:val="003163C5"/>
    <w:rsid w:val="003174DA"/>
    <w:rsid w:val="00325E03"/>
    <w:rsid w:val="003401FE"/>
    <w:rsid w:val="003406B7"/>
    <w:rsid w:val="00340A7A"/>
    <w:rsid w:val="00346D80"/>
    <w:rsid w:val="00346F88"/>
    <w:rsid w:val="00346F8E"/>
    <w:rsid w:val="00347FC3"/>
    <w:rsid w:val="00351536"/>
    <w:rsid w:val="003571B8"/>
    <w:rsid w:val="00360470"/>
    <w:rsid w:val="00360F9A"/>
    <w:rsid w:val="003639A5"/>
    <w:rsid w:val="00371192"/>
    <w:rsid w:val="003750DA"/>
    <w:rsid w:val="00384629"/>
    <w:rsid w:val="00385513"/>
    <w:rsid w:val="00386679"/>
    <w:rsid w:val="00387E9E"/>
    <w:rsid w:val="00390DCF"/>
    <w:rsid w:val="00397FF3"/>
    <w:rsid w:val="003A00C3"/>
    <w:rsid w:val="003A00DA"/>
    <w:rsid w:val="003A0C33"/>
    <w:rsid w:val="003A1C25"/>
    <w:rsid w:val="003A2944"/>
    <w:rsid w:val="003A633B"/>
    <w:rsid w:val="003B0DEF"/>
    <w:rsid w:val="003B604C"/>
    <w:rsid w:val="003C200C"/>
    <w:rsid w:val="003C2074"/>
    <w:rsid w:val="003C2D3E"/>
    <w:rsid w:val="003C3ADB"/>
    <w:rsid w:val="003C5196"/>
    <w:rsid w:val="003C5E88"/>
    <w:rsid w:val="003C7239"/>
    <w:rsid w:val="003D11B5"/>
    <w:rsid w:val="003D134C"/>
    <w:rsid w:val="003D1697"/>
    <w:rsid w:val="003D2ABF"/>
    <w:rsid w:val="003D5BA5"/>
    <w:rsid w:val="003D69A5"/>
    <w:rsid w:val="003D6D9F"/>
    <w:rsid w:val="003E0079"/>
    <w:rsid w:val="003E09D5"/>
    <w:rsid w:val="003E14F9"/>
    <w:rsid w:val="003F3119"/>
    <w:rsid w:val="003F3C60"/>
    <w:rsid w:val="003F4D44"/>
    <w:rsid w:val="003F6D32"/>
    <w:rsid w:val="00405F92"/>
    <w:rsid w:val="00406B09"/>
    <w:rsid w:val="004265FC"/>
    <w:rsid w:val="00430B5A"/>
    <w:rsid w:val="00430ED4"/>
    <w:rsid w:val="00431328"/>
    <w:rsid w:val="00433B17"/>
    <w:rsid w:val="0043588C"/>
    <w:rsid w:val="0043606A"/>
    <w:rsid w:val="00437A8B"/>
    <w:rsid w:val="0044207D"/>
    <w:rsid w:val="00443937"/>
    <w:rsid w:val="00444005"/>
    <w:rsid w:val="00445988"/>
    <w:rsid w:val="00447FE5"/>
    <w:rsid w:val="00450614"/>
    <w:rsid w:val="0045082C"/>
    <w:rsid w:val="00450B83"/>
    <w:rsid w:val="00456CED"/>
    <w:rsid w:val="004617B8"/>
    <w:rsid w:val="0046504E"/>
    <w:rsid w:val="004676DA"/>
    <w:rsid w:val="00467C8E"/>
    <w:rsid w:val="004758FE"/>
    <w:rsid w:val="00481DE3"/>
    <w:rsid w:val="004830C8"/>
    <w:rsid w:val="004837AB"/>
    <w:rsid w:val="00483A2F"/>
    <w:rsid w:val="00483C0A"/>
    <w:rsid w:val="00487ADF"/>
    <w:rsid w:val="00490DBF"/>
    <w:rsid w:val="00494F12"/>
    <w:rsid w:val="00495E5E"/>
    <w:rsid w:val="00496F96"/>
    <w:rsid w:val="00497571"/>
    <w:rsid w:val="004A0003"/>
    <w:rsid w:val="004A13B5"/>
    <w:rsid w:val="004A1CB6"/>
    <w:rsid w:val="004A46B5"/>
    <w:rsid w:val="004A5382"/>
    <w:rsid w:val="004A6E34"/>
    <w:rsid w:val="004A6EE1"/>
    <w:rsid w:val="004B1BEE"/>
    <w:rsid w:val="004B22E7"/>
    <w:rsid w:val="004B2AB8"/>
    <w:rsid w:val="004B6AD7"/>
    <w:rsid w:val="004C1BA6"/>
    <w:rsid w:val="004C6646"/>
    <w:rsid w:val="004D04EB"/>
    <w:rsid w:val="004D0DA3"/>
    <w:rsid w:val="004D3C91"/>
    <w:rsid w:val="004D770C"/>
    <w:rsid w:val="004E3243"/>
    <w:rsid w:val="004E370E"/>
    <w:rsid w:val="004F006C"/>
    <w:rsid w:val="004F0A29"/>
    <w:rsid w:val="004F3D32"/>
    <w:rsid w:val="004F407C"/>
    <w:rsid w:val="004F4387"/>
    <w:rsid w:val="004F7059"/>
    <w:rsid w:val="004F7A45"/>
    <w:rsid w:val="004F7F85"/>
    <w:rsid w:val="00501FCD"/>
    <w:rsid w:val="005029C2"/>
    <w:rsid w:val="00502A41"/>
    <w:rsid w:val="00506B56"/>
    <w:rsid w:val="00510BF5"/>
    <w:rsid w:val="0051467B"/>
    <w:rsid w:val="00515265"/>
    <w:rsid w:val="00517E74"/>
    <w:rsid w:val="00521BA7"/>
    <w:rsid w:val="00522493"/>
    <w:rsid w:val="00525051"/>
    <w:rsid w:val="005252E2"/>
    <w:rsid w:val="00526D27"/>
    <w:rsid w:val="00527053"/>
    <w:rsid w:val="0052753C"/>
    <w:rsid w:val="0054024A"/>
    <w:rsid w:val="005409D3"/>
    <w:rsid w:val="00546BE0"/>
    <w:rsid w:val="00546CB1"/>
    <w:rsid w:val="005511D5"/>
    <w:rsid w:val="00551564"/>
    <w:rsid w:val="00552C59"/>
    <w:rsid w:val="0055390E"/>
    <w:rsid w:val="00554E71"/>
    <w:rsid w:val="00560F5F"/>
    <w:rsid w:val="00563564"/>
    <w:rsid w:val="00575DC6"/>
    <w:rsid w:val="00580859"/>
    <w:rsid w:val="00585FB5"/>
    <w:rsid w:val="00591586"/>
    <w:rsid w:val="005940B2"/>
    <w:rsid w:val="005A0936"/>
    <w:rsid w:val="005A1143"/>
    <w:rsid w:val="005A14BC"/>
    <w:rsid w:val="005A3EDE"/>
    <w:rsid w:val="005B3F0E"/>
    <w:rsid w:val="005B4DB4"/>
    <w:rsid w:val="005B6484"/>
    <w:rsid w:val="005B6F36"/>
    <w:rsid w:val="005B7FBA"/>
    <w:rsid w:val="005C298B"/>
    <w:rsid w:val="005C29D9"/>
    <w:rsid w:val="005D3442"/>
    <w:rsid w:val="005D426A"/>
    <w:rsid w:val="005E156B"/>
    <w:rsid w:val="005E73C9"/>
    <w:rsid w:val="005E7551"/>
    <w:rsid w:val="005F1007"/>
    <w:rsid w:val="005F5D19"/>
    <w:rsid w:val="005F6CBF"/>
    <w:rsid w:val="006062E0"/>
    <w:rsid w:val="00606FE0"/>
    <w:rsid w:val="00611D01"/>
    <w:rsid w:val="0061332C"/>
    <w:rsid w:val="006135E6"/>
    <w:rsid w:val="00615659"/>
    <w:rsid w:val="00616FE1"/>
    <w:rsid w:val="00617DF2"/>
    <w:rsid w:val="00621810"/>
    <w:rsid w:val="00632EA5"/>
    <w:rsid w:val="00641087"/>
    <w:rsid w:val="00642D69"/>
    <w:rsid w:val="006550F8"/>
    <w:rsid w:val="00656926"/>
    <w:rsid w:val="0065701C"/>
    <w:rsid w:val="00660BC7"/>
    <w:rsid w:val="00661CE0"/>
    <w:rsid w:val="00662792"/>
    <w:rsid w:val="006649E0"/>
    <w:rsid w:val="00666ED7"/>
    <w:rsid w:val="0067152F"/>
    <w:rsid w:val="00671A31"/>
    <w:rsid w:val="00672F75"/>
    <w:rsid w:val="006734CA"/>
    <w:rsid w:val="00676A47"/>
    <w:rsid w:val="006818B6"/>
    <w:rsid w:val="006824B8"/>
    <w:rsid w:val="00682892"/>
    <w:rsid w:val="006834EE"/>
    <w:rsid w:val="00683BD5"/>
    <w:rsid w:val="00690DFB"/>
    <w:rsid w:val="00693348"/>
    <w:rsid w:val="006A602E"/>
    <w:rsid w:val="006A7743"/>
    <w:rsid w:val="006B6339"/>
    <w:rsid w:val="006B6C6A"/>
    <w:rsid w:val="006C15D5"/>
    <w:rsid w:val="006C234F"/>
    <w:rsid w:val="006C3D0C"/>
    <w:rsid w:val="006C3FBC"/>
    <w:rsid w:val="006C5955"/>
    <w:rsid w:val="006D31E1"/>
    <w:rsid w:val="006D343E"/>
    <w:rsid w:val="006D359C"/>
    <w:rsid w:val="006D519D"/>
    <w:rsid w:val="006D5537"/>
    <w:rsid w:val="006D5A84"/>
    <w:rsid w:val="006E2710"/>
    <w:rsid w:val="006E63F1"/>
    <w:rsid w:val="006F1FD7"/>
    <w:rsid w:val="006F39D0"/>
    <w:rsid w:val="006F6897"/>
    <w:rsid w:val="006F7484"/>
    <w:rsid w:val="006F7746"/>
    <w:rsid w:val="00702D3B"/>
    <w:rsid w:val="00711157"/>
    <w:rsid w:val="00715B7E"/>
    <w:rsid w:val="00730CDB"/>
    <w:rsid w:val="00736C89"/>
    <w:rsid w:val="0074032F"/>
    <w:rsid w:val="007413C5"/>
    <w:rsid w:val="00745744"/>
    <w:rsid w:val="007462F1"/>
    <w:rsid w:val="0075032A"/>
    <w:rsid w:val="007708B1"/>
    <w:rsid w:val="00770D7D"/>
    <w:rsid w:val="00771889"/>
    <w:rsid w:val="00772497"/>
    <w:rsid w:val="00775578"/>
    <w:rsid w:val="007756D5"/>
    <w:rsid w:val="00776241"/>
    <w:rsid w:val="00776F45"/>
    <w:rsid w:val="00782400"/>
    <w:rsid w:val="00782CB0"/>
    <w:rsid w:val="00784474"/>
    <w:rsid w:val="00787F0A"/>
    <w:rsid w:val="00791377"/>
    <w:rsid w:val="007917E6"/>
    <w:rsid w:val="007928D4"/>
    <w:rsid w:val="00792B9C"/>
    <w:rsid w:val="00793E3A"/>
    <w:rsid w:val="00795512"/>
    <w:rsid w:val="007A4F15"/>
    <w:rsid w:val="007A5340"/>
    <w:rsid w:val="007B6FDF"/>
    <w:rsid w:val="007C0C73"/>
    <w:rsid w:val="007C7892"/>
    <w:rsid w:val="007D03DD"/>
    <w:rsid w:val="007D27F3"/>
    <w:rsid w:val="007D4C7B"/>
    <w:rsid w:val="007D62C7"/>
    <w:rsid w:val="007E10EB"/>
    <w:rsid w:val="007E1611"/>
    <w:rsid w:val="007E6A15"/>
    <w:rsid w:val="007F7AC6"/>
    <w:rsid w:val="00803061"/>
    <w:rsid w:val="00806B4E"/>
    <w:rsid w:val="00807EEE"/>
    <w:rsid w:val="0081087D"/>
    <w:rsid w:val="00810F65"/>
    <w:rsid w:val="008135F4"/>
    <w:rsid w:val="00813893"/>
    <w:rsid w:val="008149E7"/>
    <w:rsid w:val="00816142"/>
    <w:rsid w:val="008218D6"/>
    <w:rsid w:val="0082266E"/>
    <w:rsid w:val="00822C43"/>
    <w:rsid w:val="008234E2"/>
    <w:rsid w:val="00824361"/>
    <w:rsid w:val="008327EE"/>
    <w:rsid w:val="0083350D"/>
    <w:rsid w:val="00835417"/>
    <w:rsid w:val="00842E74"/>
    <w:rsid w:val="00843209"/>
    <w:rsid w:val="00843BE5"/>
    <w:rsid w:val="0084777B"/>
    <w:rsid w:val="00856B64"/>
    <w:rsid w:val="00857DEF"/>
    <w:rsid w:val="008602F0"/>
    <w:rsid w:val="00863DD9"/>
    <w:rsid w:val="00866446"/>
    <w:rsid w:val="0086741B"/>
    <w:rsid w:val="00870BDD"/>
    <w:rsid w:val="00880204"/>
    <w:rsid w:val="008840CA"/>
    <w:rsid w:val="00886F29"/>
    <w:rsid w:val="00887A6E"/>
    <w:rsid w:val="00887F70"/>
    <w:rsid w:val="0089027D"/>
    <w:rsid w:val="00892517"/>
    <w:rsid w:val="008927FE"/>
    <w:rsid w:val="00892A25"/>
    <w:rsid w:val="00897D5D"/>
    <w:rsid w:val="00897DAB"/>
    <w:rsid w:val="008A0633"/>
    <w:rsid w:val="008A1724"/>
    <w:rsid w:val="008A3386"/>
    <w:rsid w:val="008A37D8"/>
    <w:rsid w:val="008A53F2"/>
    <w:rsid w:val="008B09B1"/>
    <w:rsid w:val="008C1CE8"/>
    <w:rsid w:val="008C24B6"/>
    <w:rsid w:val="008C3E5B"/>
    <w:rsid w:val="008C487C"/>
    <w:rsid w:val="008C4C28"/>
    <w:rsid w:val="008C5224"/>
    <w:rsid w:val="008D03BC"/>
    <w:rsid w:val="008D07ED"/>
    <w:rsid w:val="008D0BF9"/>
    <w:rsid w:val="008D2CBA"/>
    <w:rsid w:val="008D40D6"/>
    <w:rsid w:val="008D57C2"/>
    <w:rsid w:val="008E0FCC"/>
    <w:rsid w:val="008E2FE3"/>
    <w:rsid w:val="008E5F34"/>
    <w:rsid w:val="008F2267"/>
    <w:rsid w:val="008F3EE2"/>
    <w:rsid w:val="008F4FBB"/>
    <w:rsid w:val="008F5D30"/>
    <w:rsid w:val="008F6B23"/>
    <w:rsid w:val="00910B3C"/>
    <w:rsid w:val="00911243"/>
    <w:rsid w:val="0091226B"/>
    <w:rsid w:val="009122F7"/>
    <w:rsid w:val="00912EA2"/>
    <w:rsid w:val="00913D52"/>
    <w:rsid w:val="00913DCA"/>
    <w:rsid w:val="009161B8"/>
    <w:rsid w:val="0091627F"/>
    <w:rsid w:val="00916488"/>
    <w:rsid w:val="009223EA"/>
    <w:rsid w:val="009231E0"/>
    <w:rsid w:val="00926E16"/>
    <w:rsid w:val="00933EF5"/>
    <w:rsid w:val="00935BE4"/>
    <w:rsid w:val="00935F01"/>
    <w:rsid w:val="009425F8"/>
    <w:rsid w:val="00943BC7"/>
    <w:rsid w:val="0094508D"/>
    <w:rsid w:val="009506A7"/>
    <w:rsid w:val="009549DD"/>
    <w:rsid w:val="0095686F"/>
    <w:rsid w:val="00960CAB"/>
    <w:rsid w:val="00962D6C"/>
    <w:rsid w:val="0096333C"/>
    <w:rsid w:val="00965D9D"/>
    <w:rsid w:val="00967230"/>
    <w:rsid w:val="00972C13"/>
    <w:rsid w:val="00976F3B"/>
    <w:rsid w:val="00980729"/>
    <w:rsid w:val="009812D7"/>
    <w:rsid w:val="00982E99"/>
    <w:rsid w:val="0098491A"/>
    <w:rsid w:val="00993357"/>
    <w:rsid w:val="00993BFE"/>
    <w:rsid w:val="00993CE0"/>
    <w:rsid w:val="00995931"/>
    <w:rsid w:val="009963CB"/>
    <w:rsid w:val="009A35C7"/>
    <w:rsid w:val="009A3CF6"/>
    <w:rsid w:val="009A3D14"/>
    <w:rsid w:val="009A5714"/>
    <w:rsid w:val="009A5A15"/>
    <w:rsid w:val="009A5DA7"/>
    <w:rsid w:val="009A764B"/>
    <w:rsid w:val="009A7730"/>
    <w:rsid w:val="009B1AEC"/>
    <w:rsid w:val="009B2845"/>
    <w:rsid w:val="009B4937"/>
    <w:rsid w:val="009B57A0"/>
    <w:rsid w:val="009C2A82"/>
    <w:rsid w:val="009C59BA"/>
    <w:rsid w:val="009C6F56"/>
    <w:rsid w:val="009D1D57"/>
    <w:rsid w:val="009D1DE1"/>
    <w:rsid w:val="009D5504"/>
    <w:rsid w:val="009E2544"/>
    <w:rsid w:val="009E2770"/>
    <w:rsid w:val="009E2D72"/>
    <w:rsid w:val="009E41C2"/>
    <w:rsid w:val="009E4A43"/>
    <w:rsid w:val="009E6C5F"/>
    <w:rsid w:val="009F2261"/>
    <w:rsid w:val="009F3537"/>
    <w:rsid w:val="00A13C4B"/>
    <w:rsid w:val="00A25657"/>
    <w:rsid w:val="00A27907"/>
    <w:rsid w:val="00A329B6"/>
    <w:rsid w:val="00A32C19"/>
    <w:rsid w:val="00A35B7E"/>
    <w:rsid w:val="00A35F03"/>
    <w:rsid w:val="00A367A1"/>
    <w:rsid w:val="00A37CBD"/>
    <w:rsid w:val="00A415D2"/>
    <w:rsid w:val="00A4372E"/>
    <w:rsid w:val="00A460BA"/>
    <w:rsid w:val="00A510F6"/>
    <w:rsid w:val="00A54F89"/>
    <w:rsid w:val="00A628DE"/>
    <w:rsid w:val="00A63778"/>
    <w:rsid w:val="00A651C9"/>
    <w:rsid w:val="00A657F1"/>
    <w:rsid w:val="00A6700F"/>
    <w:rsid w:val="00A70F57"/>
    <w:rsid w:val="00A72B8D"/>
    <w:rsid w:val="00A758DC"/>
    <w:rsid w:val="00A75B4C"/>
    <w:rsid w:val="00A80739"/>
    <w:rsid w:val="00A83829"/>
    <w:rsid w:val="00A85AFF"/>
    <w:rsid w:val="00A92401"/>
    <w:rsid w:val="00A95100"/>
    <w:rsid w:val="00AA2A39"/>
    <w:rsid w:val="00AA3B21"/>
    <w:rsid w:val="00AA615B"/>
    <w:rsid w:val="00AA6B2A"/>
    <w:rsid w:val="00AA7209"/>
    <w:rsid w:val="00AB0DED"/>
    <w:rsid w:val="00AB254D"/>
    <w:rsid w:val="00AB5F84"/>
    <w:rsid w:val="00AC0C81"/>
    <w:rsid w:val="00AC5FE7"/>
    <w:rsid w:val="00AD5FA4"/>
    <w:rsid w:val="00AD7725"/>
    <w:rsid w:val="00AE13A1"/>
    <w:rsid w:val="00AE194E"/>
    <w:rsid w:val="00AE1CAD"/>
    <w:rsid w:val="00AE355C"/>
    <w:rsid w:val="00AE668A"/>
    <w:rsid w:val="00AE6858"/>
    <w:rsid w:val="00AF185A"/>
    <w:rsid w:val="00AF2203"/>
    <w:rsid w:val="00AF4523"/>
    <w:rsid w:val="00AF5C62"/>
    <w:rsid w:val="00AF6D01"/>
    <w:rsid w:val="00AF7270"/>
    <w:rsid w:val="00AF7DE1"/>
    <w:rsid w:val="00AF7F8A"/>
    <w:rsid w:val="00B0135B"/>
    <w:rsid w:val="00B100E5"/>
    <w:rsid w:val="00B1203B"/>
    <w:rsid w:val="00B139DC"/>
    <w:rsid w:val="00B17BC5"/>
    <w:rsid w:val="00B2158C"/>
    <w:rsid w:val="00B2365C"/>
    <w:rsid w:val="00B24E57"/>
    <w:rsid w:val="00B2594C"/>
    <w:rsid w:val="00B259A3"/>
    <w:rsid w:val="00B26E57"/>
    <w:rsid w:val="00B30582"/>
    <w:rsid w:val="00B30D96"/>
    <w:rsid w:val="00B33648"/>
    <w:rsid w:val="00B35792"/>
    <w:rsid w:val="00B44EB3"/>
    <w:rsid w:val="00B46660"/>
    <w:rsid w:val="00B47CBC"/>
    <w:rsid w:val="00B502EC"/>
    <w:rsid w:val="00B5123E"/>
    <w:rsid w:val="00B522C4"/>
    <w:rsid w:val="00B52B0E"/>
    <w:rsid w:val="00B52F07"/>
    <w:rsid w:val="00B5337D"/>
    <w:rsid w:val="00B62DD9"/>
    <w:rsid w:val="00B637F2"/>
    <w:rsid w:val="00B63A7D"/>
    <w:rsid w:val="00B65290"/>
    <w:rsid w:val="00B67C63"/>
    <w:rsid w:val="00B70E26"/>
    <w:rsid w:val="00B71106"/>
    <w:rsid w:val="00B77186"/>
    <w:rsid w:val="00B77C40"/>
    <w:rsid w:val="00B84E9D"/>
    <w:rsid w:val="00B9767F"/>
    <w:rsid w:val="00B97D95"/>
    <w:rsid w:val="00BA0E41"/>
    <w:rsid w:val="00BA6091"/>
    <w:rsid w:val="00BA7E78"/>
    <w:rsid w:val="00BB0EA7"/>
    <w:rsid w:val="00BB3DBA"/>
    <w:rsid w:val="00BB4AE6"/>
    <w:rsid w:val="00BB59F9"/>
    <w:rsid w:val="00BC15B8"/>
    <w:rsid w:val="00BC3D32"/>
    <w:rsid w:val="00BC5279"/>
    <w:rsid w:val="00BC6C4E"/>
    <w:rsid w:val="00BC71A3"/>
    <w:rsid w:val="00BD0A88"/>
    <w:rsid w:val="00BD234D"/>
    <w:rsid w:val="00BD23BD"/>
    <w:rsid w:val="00BD5341"/>
    <w:rsid w:val="00BD58A7"/>
    <w:rsid w:val="00BD7FF3"/>
    <w:rsid w:val="00BE1E33"/>
    <w:rsid w:val="00BE2AD3"/>
    <w:rsid w:val="00BE2B56"/>
    <w:rsid w:val="00BE36F7"/>
    <w:rsid w:val="00BE45C2"/>
    <w:rsid w:val="00BE4E4A"/>
    <w:rsid w:val="00BF06AC"/>
    <w:rsid w:val="00BF1787"/>
    <w:rsid w:val="00BF2443"/>
    <w:rsid w:val="00BF49F7"/>
    <w:rsid w:val="00C003AD"/>
    <w:rsid w:val="00C00831"/>
    <w:rsid w:val="00C02C92"/>
    <w:rsid w:val="00C02D09"/>
    <w:rsid w:val="00C03689"/>
    <w:rsid w:val="00C069D0"/>
    <w:rsid w:val="00C11BCD"/>
    <w:rsid w:val="00C12201"/>
    <w:rsid w:val="00C13418"/>
    <w:rsid w:val="00C1405A"/>
    <w:rsid w:val="00C22412"/>
    <w:rsid w:val="00C24A71"/>
    <w:rsid w:val="00C24EAC"/>
    <w:rsid w:val="00C25E14"/>
    <w:rsid w:val="00C266A5"/>
    <w:rsid w:val="00C32446"/>
    <w:rsid w:val="00C3581C"/>
    <w:rsid w:val="00C40C84"/>
    <w:rsid w:val="00C4526C"/>
    <w:rsid w:val="00C50B1B"/>
    <w:rsid w:val="00C50F45"/>
    <w:rsid w:val="00C512FE"/>
    <w:rsid w:val="00C52801"/>
    <w:rsid w:val="00C5538C"/>
    <w:rsid w:val="00C6210F"/>
    <w:rsid w:val="00C70C7D"/>
    <w:rsid w:val="00C745C6"/>
    <w:rsid w:val="00C75177"/>
    <w:rsid w:val="00C75D22"/>
    <w:rsid w:val="00C75DB8"/>
    <w:rsid w:val="00C76A82"/>
    <w:rsid w:val="00C76D92"/>
    <w:rsid w:val="00C964DE"/>
    <w:rsid w:val="00C96C57"/>
    <w:rsid w:val="00C97F69"/>
    <w:rsid w:val="00CA05FE"/>
    <w:rsid w:val="00CA3C3B"/>
    <w:rsid w:val="00CA5790"/>
    <w:rsid w:val="00CA6297"/>
    <w:rsid w:val="00CA634C"/>
    <w:rsid w:val="00CB004E"/>
    <w:rsid w:val="00CB7787"/>
    <w:rsid w:val="00CC1134"/>
    <w:rsid w:val="00CC2053"/>
    <w:rsid w:val="00CC3C9A"/>
    <w:rsid w:val="00CC61B2"/>
    <w:rsid w:val="00CD05DC"/>
    <w:rsid w:val="00CD3C6F"/>
    <w:rsid w:val="00CD5DF3"/>
    <w:rsid w:val="00CD7B5A"/>
    <w:rsid w:val="00CE1403"/>
    <w:rsid w:val="00CE153F"/>
    <w:rsid w:val="00CF183E"/>
    <w:rsid w:val="00CF2202"/>
    <w:rsid w:val="00CF326B"/>
    <w:rsid w:val="00CF4AFB"/>
    <w:rsid w:val="00CF605F"/>
    <w:rsid w:val="00CF6C6F"/>
    <w:rsid w:val="00D01B09"/>
    <w:rsid w:val="00D058DF"/>
    <w:rsid w:val="00D0763E"/>
    <w:rsid w:val="00D079C7"/>
    <w:rsid w:val="00D12644"/>
    <w:rsid w:val="00D1531B"/>
    <w:rsid w:val="00D15EAB"/>
    <w:rsid w:val="00D24682"/>
    <w:rsid w:val="00D24F06"/>
    <w:rsid w:val="00D25AEF"/>
    <w:rsid w:val="00D341CB"/>
    <w:rsid w:val="00D349EE"/>
    <w:rsid w:val="00D36E83"/>
    <w:rsid w:val="00D3779A"/>
    <w:rsid w:val="00D404BB"/>
    <w:rsid w:val="00D41A7D"/>
    <w:rsid w:val="00D421E8"/>
    <w:rsid w:val="00D43ADB"/>
    <w:rsid w:val="00D43ECF"/>
    <w:rsid w:val="00D53370"/>
    <w:rsid w:val="00D54E52"/>
    <w:rsid w:val="00D56022"/>
    <w:rsid w:val="00D56763"/>
    <w:rsid w:val="00D56D47"/>
    <w:rsid w:val="00D644D8"/>
    <w:rsid w:val="00D7088A"/>
    <w:rsid w:val="00D70FB4"/>
    <w:rsid w:val="00D74A1C"/>
    <w:rsid w:val="00D76E57"/>
    <w:rsid w:val="00D80CCB"/>
    <w:rsid w:val="00D815C1"/>
    <w:rsid w:val="00D822D9"/>
    <w:rsid w:val="00D838D1"/>
    <w:rsid w:val="00D84DC5"/>
    <w:rsid w:val="00D85C85"/>
    <w:rsid w:val="00D87665"/>
    <w:rsid w:val="00D87808"/>
    <w:rsid w:val="00D923D3"/>
    <w:rsid w:val="00D92F6C"/>
    <w:rsid w:val="00D93CB6"/>
    <w:rsid w:val="00D95879"/>
    <w:rsid w:val="00D95C0B"/>
    <w:rsid w:val="00D961FC"/>
    <w:rsid w:val="00D97A6B"/>
    <w:rsid w:val="00DA2FA3"/>
    <w:rsid w:val="00DA585A"/>
    <w:rsid w:val="00DA681A"/>
    <w:rsid w:val="00DB3F57"/>
    <w:rsid w:val="00DB61F3"/>
    <w:rsid w:val="00DB751D"/>
    <w:rsid w:val="00DC0138"/>
    <w:rsid w:val="00DC1941"/>
    <w:rsid w:val="00DC22C6"/>
    <w:rsid w:val="00DC59FA"/>
    <w:rsid w:val="00DC679E"/>
    <w:rsid w:val="00DC7A4A"/>
    <w:rsid w:val="00DD0E98"/>
    <w:rsid w:val="00DD1A92"/>
    <w:rsid w:val="00DD265C"/>
    <w:rsid w:val="00DD2D2E"/>
    <w:rsid w:val="00DD3DB9"/>
    <w:rsid w:val="00DE0B3C"/>
    <w:rsid w:val="00DE0E26"/>
    <w:rsid w:val="00DE2333"/>
    <w:rsid w:val="00DE6220"/>
    <w:rsid w:val="00DE64DE"/>
    <w:rsid w:val="00DE7AB4"/>
    <w:rsid w:val="00DF0661"/>
    <w:rsid w:val="00DF2F9C"/>
    <w:rsid w:val="00DF374F"/>
    <w:rsid w:val="00DF4D86"/>
    <w:rsid w:val="00DF54A0"/>
    <w:rsid w:val="00DF6644"/>
    <w:rsid w:val="00DF7F6E"/>
    <w:rsid w:val="00E0053A"/>
    <w:rsid w:val="00E01D84"/>
    <w:rsid w:val="00E030B1"/>
    <w:rsid w:val="00E0556E"/>
    <w:rsid w:val="00E06637"/>
    <w:rsid w:val="00E137BB"/>
    <w:rsid w:val="00E16313"/>
    <w:rsid w:val="00E16E33"/>
    <w:rsid w:val="00E17AA0"/>
    <w:rsid w:val="00E204B4"/>
    <w:rsid w:val="00E221EC"/>
    <w:rsid w:val="00E3199C"/>
    <w:rsid w:val="00E33820"/>
    <w:rsid w:val="00E35B0E"/>
    <w:rsid w:val="00E42425"/>
    <w:rsid w:val="00E53A9A"/>
    <w:rsid w:val="00E62E6F"/>
    <w:rsid w:val="00E6312F"/>
    <w:rsid w:val="00E63ADB"/>
    <w:rsid w:val="00E64988"/>
    <w:rsid w:val="00E64A38"/>
    <w:rsid w:val="00E650D8"/>
    <w:rsid w:val="00E7535A"/>
    <w:rsid w:val="00E756AC"/>
    <w:rsid w:val="00E8381A"/>
    <w:rsid w:val="00E85358"/>
    <w:rsid w:val="00E87596"/>
    <w:rsid w:val="00E87794"/>
    <w:rsid w:val="00E96422"/>
    <w:rsid w:val="00EA24BB"/>
    <w:rsid w:val="00EA3B7D"/>
    <w:rsid w:val="00EA5A59"/>
    <w:rsid w:val="00EB3D8F"/>
    <w:rsid w:val="00EB5184"/>
    <w:rsid w:val="00EC0064"/>
    <w:rsid w:val="00EC092E"/>
    <w:rsid w:val="00EC1F05"/>
    <w:rsid w:val="00EC28A2"/>
    <w:rsid w:val="00EC2D8F"/>
    <w:rsid w:val="00ED0845"/>
    <w:rsid w:val="00ED0FE3"/>
    <w:rsid w:val="00ED1F11"/>
    <w:rsid w:val="00ED3EF0"/>
    <w:rsid w:val="00ED5E06"/>
    <w:rsid w:val="00EE121F"/>
    <w:rsid w:val="00EE2707"/>
    <w:rsid w:val="00EF2CA6"/>
    <w:rsid w:val="00EF4DC4"/>
    <w:rsid w:val="00EF553C"/>
    <w:rsid w:val="00EF596D"/>
    <w:rsid w:val="00F0422A"/>
    <w:rsid w:val="00F0523A"/>
    <w:rsid w:val="00F10319"/>
    <w:rsid w:val="00F117B1"/>
    <w:rsid w:val="00F12D75"/>
    <w:rsid w:val="00F134F9"/>
    <w:rsid w:val="00F17AD4"/>
    <w:rsid w:val="00F218E0"/>
    <w:rsid w:val="00F21DDD"/>
    <w:rsid w:val="00F24382"/>
    <w:rsid w:val="00F24C62"/>
    <w:rsid w:val="00F2677A"/>
    <w:rsid w:val="00F26DB6"/>
    <w:rsid w:val="00F27497"/>
    <w:rsid w:val="00F33F55"/>
    <w:rsid w:val="00F34138"/>
    <w:rsid w:val="00F3642B"/>
    <w:rsid w:val="00F3784C"/>
    <w:rsid w:val="00F379D7"/>
    <w:rsid w:val="00F37C91"/>
    <w:rsid w:val="00F41276"/>
    <w:rsid w:val="00F4230D"/>
    <w:rsid w:val="00F45997"/>
    <w:rsid w:val="00F466B5"/>
    <w:rsid w:val="00F47033"/>
    <w:rsid w:val="00F47FCE"/>
    <w:rsid w:val="00F501D2"/>
    <w:rsid w:val="00F5266F"/>
    <w:rsid w:val="00F55AB2"/>
    <w:rsid w:val="00F55C60"/>
    <w:rsid w:val="00F56447"/>
    <w:rsid w:val="00F573FF"/>
    <w:rsid w:val="00F619ED"/>
    <w:rsid w:val="00F64055"/>
    <w:rsid w:val="00F67011"/>
    <w:rsid w:val="00F710C6"/>
    <w:rsid w:val="00F848D2"/>
    <w:rsid w:val="00F87FD4"/>
    <w:rsid w:val="00F911E4"/>
    <w:rsid w:val="00F9481A"/>
    <w:rsid w:val="00F964FD"/>
    <w:rsid w:val="00F96AB1"/>
    <w:rsid w:val="00F97692"/>
    <w:rsid w:val="00F9783F"/>
    <w:rsid w:val="00F978B3"/>
    <w:rsid w:val="00FA2523"/>
    <w:rsid w:val="00FA282C"/>
    <w:rsid w:val="00FA547C"/>
    <w:rsid w:val="00FA589F"/>
    <w:rsid w:val="00FA6F14"/>
    <w:rsid w:val="00FB44F1"/>
    <w:rsid w:val="00FB603A"/>
    <w:rsid w:val="00FC755D"/>
    <w:rsid w:val="00FD376E"/>
    <w:rsid w:val="00FD724A"/>
    <w:rsid w:val="00FE00F9"/>
    <w:rsid w:val="00FE02A9"/>
    <w:rsid w:val="00FE22E3"/>
    <w:rsid w:val="00FE3DFF"/>
    <w:rsid w:val="00FE6398"/>
    <w:rsid w:val="00FF34F7"/>
    <w:rsid w:val="00FF3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paragraph" w:styleId="Ttulo2">
    <w:name w:val="heading 2"/>
    <w:basedOn w:val="Normal"/>
    <w:link w:val="Ttulo2Car"/>
    <w:uiPriority w:val="9"/>
    <w:qFormat/>
    <w:rsid w:val="0054024A"/>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5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styleId="Textoindependiente">
    <w:name w:val="Body Text"/>
    <w:basedOn w:val="Normal"/>
    <w:link w:val="TextoindependienteCar"/>
    <w:uiPriority w:val="1"/>
    <w:qFormat/>
    <w:rsid w:val="00B26E57"/>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B26E57"/>
    <w:rPr>
      <w:rFonts w:ascii="Arial" w:eastAsia="Arial" w:hAnsi="Arial" w:cs="Arial"/>
      <w:lang w:val="es-ES"/>
    </w:rPr>
  </w:style>
  <w:style w:type="character" w:customStyle="1" w:styleId="normaltextrun">
    <w:name w:val="normaltextrun"/>
    <w:basedOn w:val="Fuentedeprrafopredeter"/>
    <w:rsid w:val="00F964FD"/>
  </w:style>
  <w:style w:type="paragraph" w:customStyle="1" w:styleId="Appelnotedebasde">
    <w:name w:val="Appel note de bas de..."/>
    <w:basedOn w:val="Normal"/>
    <w:link w:val="Refdenotaalpie"/>
    <w:uiPriority w:val="99"/>
    <w:rsid w:val="009223EA"/>
    <w:pPr>
      <w:spacing w:after="160" w:line="240" w:lineRule="exact"/>
    </w:pPr>
    <w:rPr>
      <w:sz w:val="22"/>
      <w:vertAlign w:val="superscript"/>
      <w:lang w:val="es-CO"/>
    </w:rPr>
  </w:style>
  <w:style w:type="paragraph" w:customStyle="1" w:styleId="Textoindependiente21">
    <w:name w:val="Texto independiente 21"/>
    <w:basedOn w:val="Normal"/>
    <w:rsid w:val="00CE153F"/>
    <w:pPr>
      <w:overflowPunct w:val="0"/>
      <w:autoSpaceDE w:val="0"/>
      <w:autoSpaceDN w:val="0"/>
      <w:adjustRightInd w:val="0"/>
      <w:spacing w:line="360" w:lineRule="auto"/>
      <w:ind w:firstLine="710"/>
      <w:jc w:val="both"/>
      <w:textAlignment w:val="baseline"/>
    </w:pPr>
    <w:rPr>
      <w:rFonts w:ascii="Arial" w:eastAsia="Times New Roman" w:hAnsi="Arial" w:cs="Times New Roman"/>
      <w:szCs w:val="20"/>
      <w:lang w:val="es-CO" w:eastAsia="es-ES"/>
    </w:rPr>
  </w:style>
  <w:style w:type="character" w:styleId="Textoennegrita">
    <w:name w:val="Strong"/>
    <w:uiPriority w:val="22"/>
    <w:qFormat/>
    <w:rsid w:val="005409D3"/>
    <w:rPr>
      <w:b/>
      <w:bCs/>
    </w:rPr>
  </w:style>
  <w:style w:type="table" w:customStyle="1" w:styleId="Tablaconcuadrcula2">
    <w:name w:val="Tabla con cuadrícula2"/>
    <w:basedOn w:val="Tablanormal"/>
    <w:next w:val="Tablaconcuadrcula"/>
    <w:uiPriority w:val="39"/>
    <w:rsid w:val="00CF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D36E83"/>
    <w:pPr>
      <w:spacing w:after="0" w:line="240" w:lineRule="auto"/>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rsid w:val="005E156B"/>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5E156B"/>
  </w:style>
  <w:style w:type="character" w:customStyle="1" w:styleId="Ttulo2Car">
    <w:name w:val="Título 2 Car"/>
    <w:basedOn w:val="Fuentedeprrafopredeter"/>
    <w:link w:val="Ttulo2"/>
    <w:uiPriority w:val="9"/>
    <w:rsid w:val="0054024A"/>
    <w:rPr>
      <w:rFonts w:ascii="Times New Roman" w:eastAsia="Times New Roman" w:hAnsi="Times New Roman" w:cs="Times New Roman"/>
      <w:b/>
      <w:bCs/>
      <w:sz w:val="36"/>
      <w:szCs w:val="36"/>
      <w:lang w:eastAsia="es-ES_tradnl"/>
    </w:rPr>
  </w:style>
  <w:style w:type="character" w:styleId="Mencinsinresolver">
    <w:name w:val="Unresolved Mention"/>
    <w:basedOn w:val="Fuentedeprrafopredeter"/>
    <w:uiPriority w:val="99"/>
    <w:semiHidden/>
    <w:unhideWhenUsed/>
    <w:rsid w:val="00C24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3922">
      <w:bodyDiv w:val="1"/>
      <w:marLeft w:val="0"/>
      <w:marRight w:val="0"/>
      <w:marTop w:val="0"/>
      <w:marBottom w:val="0"/>
      <w:divBdr>
        <w:top w:val="none" w:sz="0" w:space="0" w:color="auto"/>
        <w:left w:val="none" w:sz="0" w:space="0" w:color="auto"/>
        <w:bottom w:val="none" w:sz="0" w:space="0" w:color="auto"/>
        <w:right w:val="none" w:sz="0" w:space="0" w:color="auto"/>
      </w:divBdr>
      <w:divsChild>
        <w:div w:id="1026060282">
          <w:marLeft w:val="0"/>
          <w:marRight w:val="0"/>
          <w:marTop w:val="0"/>
          <w:marBottom w:val="0"/>
          <w:divBdr>
            <w:top w:val="none" w:sz="0" w:space="0" w:color="auto"/>
            <w:left w:val="none" w:sz="0" w:space="0" w:color="auto"/>
            <w:bottom w:val="none" w:sz="0" w:space="0" w:color="auto"/>
            <w:right w:val="none" w:sz="0" w:space="0" w:color="auto"/>
          </w:divBdr>
          <w:divsChild>
            <w:div w:id="832569599">
              <w:marLeft w:val="0"/>
              <w:marRight w:val="0"/>
              <w:marTop w:val="0"/>
              <w:marBottom w:val="0"/>
              <w:divBdr>
                <w:top w:val="none" w:sz="0" w:space="0" w:color="auto"/>
                <w:left w:val="none" w:sz="0" w:space="0" w:color="auto"/>
                <w:bottom w:val="none" w:sz="0" w:space="0" w:color="auto"/>
                <w:right w:val="none" w:sz="0" w:space="0" w:color="auto"/>
              </w:divBdr>
              <w:divsChild>
                <w:div w:id="1106585163">
                  <w:marLeft w:val="0"/>
                  <w:marRight w:val="0"/>
                  <w:marTop w:val="0"/>
                  <w:marBottom w:val="0"/>
                  <w:divBdr>
                    <w:top w:val="none" w:sz="0" w:space="0" w:color="auto"/>
                    <w:left w:val="none" w:sz="0" w:space="0" w:color="auto"/>
                    <w:bottom w:val="none" w:sz="0" w:space="0" w:color="auto"/>
                    <w:right w:val="none" w:sz="0" w:space="0" w:color="auto"/>
                  </w:divBdr>
                  <w:divsChild>
                    <w:div w:id="7136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8898">
      <w:bodyDiv w:val="1"/>
      <w:marLeft w:val="0"/>
      <w:marRight w:val="0"/>
      <w:marTop w:val="0"/>
      <w:marBottom w:val="0"/>
      <w:divBdr>
        <w:top w:val="none" w:sz="0" w:space="0" w:color="auto"/>
        <w:left w:val="none" w:sz="0" w:space="0" w:color="auto"/>
        <w:bottom w:val="none" w:sz="0" w:space="0" w:color="auto"/>
        <w:right w:val="none" w:sz="0" w:space="0" w:color="auto"/>
      </w:divBdr>
    </w:div>
    <w:div w:id="98061915">
      <w:bodyDiv w:val="1"/>
      <w:marLeft w:val="0"/>
      <w:marRight w:val="0"/>
      <w:marTop w:val="0"/>
      <w:marBottom w:val="0"/>
      <w:divBdr>
        <w:top w:val="none" w:sz="0" w:space="0" w:color="auto"/>
        <w:left w:val="none" w:sz="0" w:space="0" w:color="auto"/>
        <w:bottom w:val="none" w:sz="0" w:space="0" w:color="auto"/>
        <w:right w:val="none" w:sz="0" w:space="0" w:color="auto"/>
      </w:divBdr>
    </w:div>
    <w:div w:id="99225316">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19567785">
      <w:bodyDiv w:val="1"/>
      <w:marLeft w:val="0"/>
      <w:marRight w:val="0"/>
      <w:marTop w:val="0"/>
      <w:marBottom w:val="0"/>
      <w:divBdr>
        <w:top w:val="none" w:sz="0" w:space="0" w:color="auto"/>
        <w:left w:val="none" w:sz="0" w:space="0" w:color="auto"/>
        <w:bottom w:val="none" w:sz="0" w:space="0" w:color="auto"/>
        <w:right w:val="none" w:sz="0" w:space="0" w:color="auto"/>
      </w:divBdr>
    </w:div>
    <w:div w:id="130173175">
      <w:bodyDiv w:val="1"/>
      <w:marLeft w:val="0"/>
      <w:marRight w:val="0"/>
      <w:marTop w:val="0"/>
      <w:marBottom w:val="0"/>
      <w:divBdr>
        <w:top w:val="none" w:sz="0" w:space="0" w:color="auto"/>
        <w:left w:val="none" w:sz="0" w:space="0" w:color="auto"/>
        <w:bottom w:val="none" w:sz="0" w:space="0" w:color="auto"/>
        <w:right w:val="none" w:sz="0" w:space="0" w:color="auto"/>
      </w:divBdr>
    </w:div>
    <w:div w:id="229006121">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625701464">
      <w:bodyDiv w:val="1"/>
      <w:marLeft w:val="0"/>
      <w:marRight w:val="0"/>
      <w:marTop w:val="0"/>
      <w:marBottom w:val="0"/>
      <w:divBdr>
        <w:top w:val="none" w:sz="0" w:space="0" w:color="auto"/>
        <w:left w:val="none" w:sz="0" w:space="0" w:color="auto"/>
        <w:bottom w:val="none" w:sz="0" w:space="0" w:color="auto"/>
        <w:right w:val="none" w:sz="0" w:space="0" w:color="auto"/>
      </w:divBdr>
    </w:div>
    <w:div w:id="758218568">
      <w:bodyDiv w:val="1"/>
      <w:marLeft w:val="0"/>
      <w:marRight w:val="0"/>
      <w:marTop w:val="0"/>
      <w:marBottom w:val="0"/>
      <w:divBdr>
        <w:top w:val="none" w:sz="0" w:space="0" w:color="auto"/>
        <w:left w:val="none" w:sz="0" w:space="0" w:color="auto"/>
        <w:bottom w:val="none" w:sz="0" w:space="0" w:color="auto"/>
        <w:right w:val="none" w:sz="0" w:space="0" w:color="auto"/>
      </w:divBdr>
      <w:divsChild>
        <w:div w:id="453256617">
          <w:marLeft w:val="0"/>
          <w:marRight w:val="0"/>
          <w:marTop w:val="0"/>
          <w:marBottom w:val="0"/>
          <w:divBdr>
            <w:top w:val="none" w:sz="0" w:space="0" w:color="auto"/>
            <w:left w:val="none" w:sz="0" w:space="0" w:color="auto"/>
            <w:bottom w:val="none" w:sz="0" w:space="0" w:color="auto"/>
            <w:right w:val="none" w:sz="0" w:space="0" w:color="auto"/>
          </w:divBdr>
        </w:div>
        <w:div w:id="1613323627">
          <w:marLeft w:val="0"/>
          <w:marRight w:val="0"/>
          <w:marTop w:val="0"/>
          <w:marBottom w:val="0"/>
          <w:divBdr>
            <w:top w:val="none" w:sz="0" w:space="0" w:color="auto"/>
            <w:left w:val="none" w:sz="0" w:space="0" w:color="auto"/>
            <w:bottom w:val="none" w:sz="0" w:space="0" w:color="auto"/>
            <w:right w:val="none" w:sz="0" w:space="0" w:color="auto"/>
          </w:divBdr>
        </w:div>
        <w:div w:id="1981836880">
          <w:marLeft w:val="0"/>
          <w:marRight w:val="0"/>
          <w:marTop w:val="0"/>
          <w:marBottom w:val="0"/>
          <w:divBdr>
            <w:top w:val="none" w:sz="0" w:space="0" w:color="auto"/>
            <w:left w:val="none" w:sz="0" w:space="0" w:color="auto"/>
            <w:bottom w:val="none" w:sz="0" w:space="0" w:color="auto"/>
            <w:right w:val="none" w:sz="0" w:space="0" w:color="auto"/>
          </w:divBdr>
        </w:div>
        <w:div w:id="426385364">
          <w:marLeft w:val="0"/>
          <w:marRight w:val="0"/>
          <w:marTop w:val="0"/>
          <w:marBottom w:val="0"/>
          <w:divBdr>
            <w:top w:val="none" w:sz="0" w:space="0" w:color="auto"/>
            <w:left w:val="none" w:sz="0" w:space="0" w:color="auto"/>
            <w:bottom w:val="none" w:sz="0" w:space="0" w:color="auto"/>
            <w:right w:val="none" w:sz="0" w:space="0" w:color="auto"/>
          </w:divBdr>
        </w:div>
        <w:div w:id="724528403">
          <w:marLeft w:val="0"/>
          <w:marRight w:val="0"/>
          <w:marTop w:val="0"/>
          <w:marBottom w:val="0"/>
          <w:divBdr>
            <w:top w:val="none" w:sz="0" w:space="0" w:color="auto"/>
            <w:left w:val="none" w:sz="0" w:space="0" w:color="auto"/>
            <w:bottom w:val="none" w:sz="0" w:space="0" w:color="auto"/>
            <w:right w:val="none" w:sz="0" w:space="0" w:color="auto"/>
          </w:divBdr>
        </w:div>
        <w:div w:id="746389531">
          <w:marLeft w:val="0"/>
          <w:marRight w:val="0"/>
          <w:marTop w:val="0"/>
          <w:marBottom w:val="0"/>
          <w:divBdr>
            <w:top w:val="none" w:sz="0" w:space="0" w:color="auto"/>
            <w:left w:val="none" w:sz="0" w:space="0" w:color="auto"/>
            <w:bottom w:val="none" w:sz="0" w:space="0" w:color="auto"/>
            <w:right w:val="none" w:sz="0" w:space="0" w:color="auto"/>
          </w:divBdr>
        </w:div>
        <w:div w:id="635260147">
          <w:marLeft w:val="0"/>
          <w:marRight w:val="0"/>
          <w:marTop w:val="0"/>
          <w:marBottom w:val="0"/>
          <w:divBdr>
            <w:top w:val="none" w:sz="0" w:space="0" w:color="auto"/>
            <w:left w:val="none" w:sz="0" w:space="0" w:color="auto"/>
            <w:bottom w:val="none" w:sz="0" w:space="0" w:color="auto"/>
            <w:right w:val="none" w:sz="0" w:space="0" w:color="auto"/>
          </w:divBdr>
        </w:div>
      </w:divsChild>
    </w:div>
    <w:div w:id="867834431">
      <w:bodyDiv w:val="1"/>
      <w:marLeft w:val="0"/>
      <w:marRight w:val="0"/>
      <w:marTop w:val="0"/>
      <w:marBottom w:val="0"/>
      <w:divBdr>
        <w:top w:val="none" w:sz="0" w:space="0" w:color="auto"/>
        <w:left w:val="none" w:sz="0" w:space="0" w:color="auto"/>
        <w:bottom w:val="none" w:sz="0" w:space="0" w:color="auto"/>
        <w:right w:val="none" w:sz="0" w:space="0" w:color="auto"/>
      </w:divBdr>
    </w:div>
    <w:div w:id="1187020654">
      <w:bodyDiv w:val="1"/>
      <w:marLeft w:val="0"/>
      <w:marRight w:val="0"/>
      <w:marTop w:val="0"/>
      <w:marBottom w:val="0"/>
      <w:divBdr>
        <w:top w:val="none" w:sz="0" w:space="0" w:color="auto"/>
        <w:left w:val="none" w:sz="0" w:space="0" w:color="auto"/>
        <w:bottom w:val="none" w:sz="0" w:space="0" w:color="auto"/>
        <w:right w:val="none" w:sz="0" w:space="0" w:color="auto"/>
      </w:divBdr>
    </w:div>
    <w:div w:id="1359817568">
      <w:bodyDiv w:val="1"/>
      <w:marLeft w:val="0"/>
      <w:marRight w:val="0"/>
      <w:marTop w:val="0"/>
      <w:marBottom w:val="0"/>
      <w:divBdr>
        <w:top w:val="none" w:sz="0" w:space="0" w:color="auto"/>
        <w:left w:val="none" w:sz="0" w:space="0" w:color="auto"/>
        <w:bottom w:val="none" w:sz="0" w:space="0" w:color="auto"/>
        <w:right w:val="none" w:sz="0" w:space="0" w:color="auto"/>
      </w:divBdr>
    </w:div>
    <w:div w:id="1409301886">
      <w:bodyDiv w:val="1"/>
      <w:marLeft w:val="0"/>
      <w:marRight w:val="0"/>
      <w:marTop w:val="0"/>
      <w:marBottom w:val="0"/>
      <w:divBdr>
        <w:top w:val="none" w:sz="0" w:space="0" w:color="auto"/>
        <w:left w:val="none" w:sz="0" w:space="0" w:color="auto"/>
        <w:bottom w:val="none" w:sz="0" w:space="0" w:color="auto"/>
        <w:right w:val="none" w:sz="0" w:space="0" w:color="auto"/>
      </w:divBdr>
    </w:div>
    <w:div w:id="1531383682">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631472336">
      <w:bodyDiv w:val="1"/>
      <w:marLeft w:val="0"/>
      <w:marRight w:val="0"/>
      <w:marTop w:val="0"/>
      <w:marBottom w:val="0"/>
      <w:divBdr>
        <w:top w:val="none" w:sz="0" w:space="0" w:color="auto"/>
        <w:left w:val="none" w:sz="0" w:space="0" w:color="auto"/>
        <w:bottom w:val="none" w:sz="0" w:space="0" w:color="auto"/>
        <w:right w:val="none" w:sz="0" w:space="0" w:color="auto"/>
      </w:divBdr>
    </w:div>
    <w:div w:id="1762330777">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89674861">
      <w:bodyDiv w:val="1"/>
      <w:marLeft w:val="0"/>
      <w:marRight w:val="0"/>
      <w:marTop w:val="0"/>
      <w:marBottom w:val="0"/>
      <w:divBdr>
        <w:top w:val="none" w:sz="0" w:space="0" w:color="auto"/>
        <w:left w:val="none" w:sz="0" w:space="0" w:color="auto"/>
        <w:bottom w:val="none" w:sz="0" w:space="0" w:color="auto"/>
        <w:right w:val="none" w:sz="0" w:space="0" w:color="auto"/>
      </w:divBdr>
    </w:div>
    <w:div w:id="211019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249CA26-5068-4BEC-A473-10196A53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1F6E159E-611B-1345-B96D-4CB555EE59B9}">
  <ds:schemaRefs>
    <ds:schemaRef ds:uri="http://schemas.openxmlformats.org/officeDocument/2006/bibliography"/>
  </ds:schemaRefs>
</ds:datastoreItem>
</file>

<file path=customXml/itemProps4.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4896</Words>
  <Characters>26930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Martin Rojas Mejia</cp:lastModifiedBy>
  <cp:revision>12</cp:revision>
  <cp:lastPrinted>2020-03-17T17:42:00Z</cp:lastPrinted>
  <dcterms:created xsi:type="dcterms:W3CDTF">2021-12-10T21:23:00Z</dcterms:created>
  <dcterms:modified xsi:type="dcterms:W3CDTF">2022-01-12T15:56:00Z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