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82D9" w14:textId="77777777" w:rsidR="00D73F7A" w:rsidRPr="001B73D1" w:rsidRDefault="00D73F7A" w:rsidP="00D73F7A">
      <w:pPr>
        <w:jc w:val="right"/>
        <w:rPr>
          <w:rFonts w:ascii="Arial" w:hAnsi="Arial" w:cs="Arial"/>
          <w:b/>
          <w:sz w:val="16"/>
          <w:szCs w:val="16"/>
          <w:lang w:eastAsia="es-ES"/>
        </w:rPr>
      </w:pPr>
      <w:bookmarkStart w:id="0" w:name="_Hlk28946138"/>
      <w:bookmarkStart w:id="1" w:name="_Hlk29548183"/>
      <w:r w:rsidRPr="004C33D6">
        <w:rPr>
          <w:rFonts w:ascii="Arial" w:hAnsi="Arial" w:cs="Arial"/>
          <w:b/>
          <w:color w:val="000000" w:themeColor="text1"/>
          <w:sz w:val="16"/>
          <w:szCs w:val="16"/>
          <w:lang w:eastAsia="es-ES"/>
        </w:rPr>
        <w:tab/>
      </w:r>
      <w:r w:rsidRPr="001B73D1">
        <w:rPr>
          <w:rFonts w:ascii="Arial" w:hAnsi="Arial" w:cs="Arial"/>
          <w:b/>
          <w:sz w:val="16"/>
          <w:szCs w:val="16"/>
          <w:lang w:eastAsia="es-ES"/>
        </w:rPr>
        <w:t>CCE-DES-FM-17</w:t>
      </w:r>
    </w:p>
    <w:p w14:paraId="288CCA20" w14:textId="77777777" w:rsidR="00D73F7A" w:rsidRPr="001B73D1" w:rsidRDefault="00D73F7A" w:rsidP="00D73F7A">
      <w:pPr>
        <w:spacing w:line="276" w:lineRule="auto"/>
        <w:jc w:val="both"/>
        <w:rPr>
          <w:rFonts w:ascii="Arial" w:eastAsia="Calibri" w:hAnsi="Arial" w:cs="Arial"/>
          <w:b/>
          <w:color w:val="000000" w:themeColor="text1"/>
          <w:sz w:val="16"/>
          <w:szCs w:val="16"/>
        </w:rPr>
      </w:pPr>
    </w:p>
    <w:bookmarkEnd w:id="0"/>
    <w:bookmarkEnd w:id="1"/>
    <w:p w14:paraId="29D78FEB" w14:textId="77777777" w:rsidR="00924CAE" w:rsidRPr="00D27E60" w:rsidRDefault="00924CAE" w:rsidP="00924CAE">
      <w:pPr>
        <w:jc w:val="both"/>
        <w:rPr>
          <w:rFonts w:ascii="Arial" w:eastAsia="Calibri" w:hAnsi="Arial" w:cs="Arial"/>
          <w:b/>
          <w:sz w:val="22"/>
          <w:szCs w:val="24"/>
          <w:lang w:val="es-ES_tradnl" w:eastAsia="es-ES_tradnl"/>
        </w:rPr>
      </w:pPr>
      <w:r w:rsidRPr="00D27E60">
        <w:rPr>
          <w:rFonts w:ascii="Arial" w:eastAsia="Calibri" w:hAnsi="Arial" w:cs="Arial"/>
          <w:b/>
          <w:sz w:val="22"/>
          <w:szCs w:val="24"/>
          <w:lang w:val="es-ES_tradnl" w:eastAsia="es-ES_tradnl"/>
        </w:rPr>
        <w:t xml:space="preserve">SERVICIOS PÚBLICOS DOMICILIARIOS </w:t>
      </w:r>
      <w:r w:rsidRPr="00D27E60">
        <w:rPr>
          <w:rFonts w:ascii="Arial" w:eastAsia="Calibri" w:hAnsi="Arial" w:cs="Arial"/>
          <w:b/>
          <w:color w:val="000000" w:themeColor="text1"/>
          <w:sz w:val="22"/>
          <w:szCs w:val="24"/>
          <w:lang w:val="es-ES_tradnl" w:eastAsia="es-ES_tradnl"/>
        </w:rPr>
        <w:t>–</w:t>
      </w:r>
      <w:r w:rsidRPr="00D27E60">
        <w:rPr>
          <w:rFonts w:ascii="Arial" w:eastAsia="Calibri" w:hAnsi="Arial" w:cs="Arial"/>
          <w:b/>
          <w:sz w:val="22"/>
          <w:szCs w:val="24"/>
          <w:lang w:val="es-ES_tradnl" w:eastAsia="es-ES_tradnl"/>
        </w:rPr>
        <w:t xml:space="preserve"> Operadores autorizados </w:t>
      </w:r>
    </w:p>
    <w:p w14:paraId="4DB902B6" w14:textId="77777777" w:rsidR="00924CAE" w:rsidRPr="00D27E60" w:rsidRDefault="00924CAE" w:rsidP="00924CAE">
      <w:pPr>
        <w:jc w:val="both"/>
        <w:rPr>
          <w:rFonts w:ascii="Arial" w:eastAsia="Calibri" w:hAnsi="Arial" w:cs="Arial"/>
          <w:sz w:val="20"/>
          <w:szCs w:val="20"/>
          <w:lang w:val="es-ES_tradnl" w:eastAsia="es-ES_tradnl"/>
        </w:rPr>
      </w:pPr>
    </w:p>
    <w:p w14:paraId="08FE7376" w14:textId="6A9F9EE1" w:rsidR="00924CAE" w:rsidRPr="00E951A2" w:rsidRDefault="00924CAE" w:rsidP="00924CAE">
      <w:pPr>
        <w:jc w:val="both"/>
        <w:rPr>
          <w:rFonts w:ascii="Arial" w:eastAsia="Calibri" w:hAnsi="Arial" w:cs="Arial"/>
          <w:sz w:val="20"/>
          <w:szCs w:val="20"/>
          <w:lang w:val="es-ES_tradnl" w:eastAsia="es-ES_tradnl"/>
        </w:rPr>
      </w:pPr>
      <w:r w:rsidRPr="00E951A2">
        <w:rPr>
          <w:rFonts w:ascii="Arial" w:eastAsia="Calibri" w:hAnsi="Arial" w:cs="Arial"/>
          <w:sz w:val="20"/>
          <w:szCs w:val="20"/>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24A03C9A" w14:textId="77777777" w:rsidR="00924CAE" w:rsidRPr="00E951A2" w:rsidRDefault="00924CAE" w:rsidP="00924CAE">
      <w:pPr>
        <w:jc w:val="both"/>
        <w:rPr>
          <w:rFonts w:ascii="Arial" w:eastAsia="Times New Roman" w:hAnsi="Arial" w:cs="Arial"/>
          <w:noProof/>
          <w:color w:val="000000" w:themeColor="text1"/>
          <w:sz w:val="20"/>
          <w:szCs w:val="20"/>
          <w:lang w:val="es-ES_tradnl" w:eastAsia="es-ES_tradnl"/>
        </w:rPr>
      </w:pPr>
      <w:r w:rsidRPr="00E951A2">
        <w:rPr>
          <w:rFonts w:ascii="Arial" w:eastAsia="Times New Roman" w:hAnsi="Arial" w:cs="Arial"/>
          <w:noProof/>
          <w:color w:val="000000" w:themeColor="text1"/>
          <w:sz w:val="20"/>
          <w:szCs w:val="20"/>
          <w:lang w:eastAsia="es-ES_tradnl"/>
        </w:rPr>
        <w:t>Con base en este presupuesto constitucional de liberalización de los servicios públicos domiciliarios el legislador expidió la Ley 142 de 1994, mediante la cual se establece el régimen de los servicios públicos domiciliarios. E</w:t>
      </w:r>
      <w:r w:rsidRPr="00E951A2">
        <w:rPr>
          <w:rFonts w:ascii="Arial" w:eastAsia="Times New Roman" w:hAnsi="Arial" w:cs="Arial"/>
          <w:noProof/>
          <w:color w:val="000000" w:themeColor="text1"/>
          <w:sz w:val="20"/>
          <w:szCs w:val="20"/>
          <w:lang w:val="es-ES_tradnl" w:eastAsia="es-ES_tradnl"/>
        </w:rPr>
        <w:t>l artículo 15 ibídem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3241A568" w14:textId="77777777" w:rsidR="00924CAE" w:rsidRPr="00D27E60" w:rsidRDefault="00924CAE" w:rsidP="00924CAE">
      <w:pPr>
        <w:jc w:val="both"/>
        <w:rPr>
          <w:rFonts w:ascii="Arial" w:eastAsia="Times New Roman" w:hAnsi="Arial" w:cs="Arial"/>
          <w:noProof/>
          <w:color w:val="000000" w:themeColor="text1"/>
          <w:sz w:val="22"/>
          <w:szCs w:val="24"/>
          <w:lang w:val="es-ES_tradnl" w:eastAsia="es-ES_tradnl"/>
        </w:rPr>
      </w:pPr>
    </w:p>
    <w:p w14:paraId="1B7348DF" w14:textId="77777777" w:rsidR="00924CAE" w:rsidRPr="00D27E60" w:rsidRDefault="00924CAE" w:rsidP="00924CAE">
      <w:pPr>
        <w:jc w:val="both"/>
        <w:rPr>
          <w:rFonts w:ascii="Arial" w:eastAsia="Calibri" w:hAnsi="Arial" w:cs="Arial"/>
          <w:b/>
          <w:sz w:val="22"/>
          <w:szCs w:val="24"/>
          <w:lang w:val="es-ES_tradnl" w:eastAsia="es-ES_tradnl"/>
        </w:rPr>
      </w:pPr>
      <w:r w:rsidRPr="00D27E60">
        <w:rPr>
          <w:rFonts w:ascii="Arial" w:eastAsia="Calibri" w:hAnsi="Arial" w:cs="Arial"/>
          <w:b/>
          <w:sz w:val="22"/>
          <w:szCs w:val="24"/>
          <w:lang w:val="es-ES_tradnl" w:eastAsia="es-ES_tradnl"/>
        </w:rPr>
        <w:t xml:space="preserve">SERVICIOS PÚBLICOS DOMICILIARIOS </w:t>
      </w:r>
      <w:r w:rsidRPr="00D27E60">
        <w:rPr>
          <w:rFonts w:ascii="Arial" w:eastAsia="Calibri" w:hAnsi="Arial" w:cs="Arial"/>
          <w:b/>
          <w:color w:val="000000" w:themeColor="text1"/>
          <w:sz w:val="22"/>
          <w:szCs w:val="24"/>
          <w:lang w:val="es-ES_tradnl" w:eastAsia="es-ES_tradnl"/>
        </w:rPr>
        <w:t>–</w:t>
      </w:r>
      <w:r w:rsidRPr="00D27E60">
        <w:rPr>
          <w:rFonts w:ascii="Arial" w:eastAsia="Calibri" w:hAnsi="Arial" w:cs="Arial"/>
          <w:b/>
          <w:sz w:val="22"/>
          <w:szCs w:val="24"/>
          <w:lang w:val="es-ES_tradnl" w:eastAsia="es-ES_tradnl"/>
        </w:rPr>
        <w:t xml:space="preserve"> Régimen contractual </w:t>
      </w:r>
      <w:r w:rsidRPr="00D27E60">
        <w:rPr>
          <w:rFonts w:ascii="Arial" w:eastAsia="Calibri" w:hAnsi="Arial" w:cs="Arial"/>
          <w:b/>
          <w:color w:val="000000" w:themeColor="text1"/>
          <w:sz w:val="22"/>
          <w:szCs w:val="24"/>
          <w:lang w:val="es-ES_tradnl" w:eastAsia="es-ES_tradnl"/>
        </w:rPr>
        <w:t xml:space="preserve">– Derecho privado </w:t>
      </w:r>
    </w:p>
    <w:p w14:paraId="30BF4E6E" w14:textId="77777777" w:rsidR="00924CAE" w:rsidRPr="00D27E60" w:rsidRDefault="00924CAE" w:rsidP="00924CAE">
      <w:pPr>
        <w:jc w:val="both"/>
        <w:rPr>
          <w:rFonts w:ascii="Arial" w:eastAsia="Calibri" w:hAnsi="Arial" w:cs="Arial"/>
          <w:sz w:val="20"/>
          <w:szCs w:val="20"/>
          <w:lang w:val="es-ES_tradnl" w:eastAsia="es-ES_tradnl"/>
        </w:rPr>
      </w:pPr>
    </w:p>
    <w:p w14:paraId="3630AD60" w14:textId="2B295E15" w:rsidR="00924CAE" w:rsidRPr="00D27E60" w:rsidRDefault="007002CF" w:rsidP="00924CAE">
      <w:pPr>
        <w:jc w:val="both"/>
        <w:rPr>
          <w:rFonts w:ascii="Arial" w:eastAsia="Calibri" w:hAnsi="Arial" w:cs="Arial"/>
          <w:sz w:val="20"/>
          <w:szCs w:val="20"/>
          <w:lang w:val="es-ES_tradnl" w:eastAsia="es-ES_tradnl"/>
        </w:rPr>
      </w:pPr>
      <w:r>
        <w:rPr>
          <w:rFonts w:ascii="Arial" w:eastAsia="Calibri" w:hAnsi="Arial" w:cs="Arial"/>
          <w:sz w:val="20"/>
          <w:szCs w:val="20"/>
          <w:lang w:val="es-ES_tradnl" w:eastAsia="es-ES_tradnl"/>
        </w:rPr>
        <w:t>E</w:t>
      </w:r>
      <w:r w:rsidR="00924CAE" w:rsidRPr="00CD7A95">
        <w:rPr>
          <w:rFonts w:ascii="Arial" w:eastAsia="Calibri" w:hAnsi="Arial" w:cs="Arial"/>
          <w:sz w:val="20"/>
          <w:szCs w:val="20"/>
          <w:lang w:val="es-ES_tradnl" w:eastAsia="es-ES_tradnl"/>
        </w:rPr>
        <w:t>l artículo 31 de la Ley 142 de 1994, modificado por el artículo 3 de la Ley 689 de 2001, dispone que</w:t>
      </w:r>
      <w:r w:rsidR="00924CAE" w:rsidRPr="00CD7A95">
        <w:rPr>
          <w:rFonts w:ascii="Arial" w:eastAsia="Calibri" w:hAnsi="Arial" w:cs="Arial"/>
          <w:sz w:val="20"/>
          <w:szCs w:val="20"/>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00924CAE" w:rsidRPr="00CD7A95">
        <w:rPr>
          <w:rFonts w:ascii="Arial" w:eastAsia="Calibri" w:hAnsi="Arial" w:cs="Arial"/>
          <w:sz w:val="20"/>
          <w:szCs w:val="20"/>
          <w:lang w:val="es-ES_tradnl" w:eastAsia="es-ES_tradnl"/>
        </w:rPr>
        <w:t>. Por su parte, el artículo 32 de la Ley 142 consagra el régimen de derecho privado para las empresas de servicios públicos domiciliarios, indicando que, de manera exclusiva, sus actos se rigen por los principios y reglas aplicables a los particulares</w:t>
      </w:r>
      <w:r w:rsidR="00924CAE">
        <w:rPr>
          <w:rFonts w:ascii="Arial" w:eastAsia="Calibri" w:hAnsi="Arial" w:cs="Arial"/>
          <w:sz w:val="20"/>
          <w:szCs w:val="20"/>
          <w:lang w:val="es-ES_tradnl" w:eastAsia="es-ES_tradnl"/>
        </w:rPr>
        <w:t>.</w:t>
      </w:r>
    </w:p>
    <w:p w14:paraId="0478066F" w14:textId="77777777" w:rsidR="00924CAE" w:rsidRPr="00D27E60" w:rsidRDefault="00924CAE" w:rsidP="00924CAE">
      <w:pPr>
        <w:jc w:val="both"/>
        <w:rPr>
          <w:rFonts w:ascii="Arial" w:eastAsia="Calibri" w:hAnsi="Arial" w:cs="Arial"/>
          <w:sz w:val="20"/>
          <w:szCs w:val="20"/>
          <w:lang w:val="es-ES_tradnl" w:eastAsia="es-ES_tradnl"/>
        </w:rPr>
      </w:pPr>
    </w:p>
    <w:p w14:paraId="0B9B798A" w14:textId="77777777" w:rsidR="00924CAE" w:rsidRPr="009E24D4" w:rsidRDefault="00924CAE" w:rsidP="00924CAE">
      <w:pPr>
        <w:jc w:val="both"/>
        <w:rPr>
          <w:rFonts w:ascii="Arial" w:eastAsia="Calibri" w:hAnsi="Arial" w:cs="Arial"/>
          <w:b/>
          <w:bCs/>
          <w:sz w:val="22"/>
          <w:lang w:val="es-CO"/>
        </w:rPr>
      </w:pPr>
      <w:r>
        <w:rPr>
          <w:rFonts w:ascii="Arial" w:eastAsia="Calibri" w:hAnsi="Arial" w:cs="Arial"/>
          <w:b/>
          <w:bCs/>
          <w:sz w:val="22"/>
          <w:lang w:val="es-CO"/>
        </w:rPr>
        <w:t>DOCUMENTOS TIPO</w:t>
      </w:r>
      <w:r w:rsidRPr="009E24D4">
        <w:rPr>
          <w:rFonts w:ascii="Arial" w:eastAsia="Calibri" w:hAnsi="Arial" w:cs="Arial"/>
          <w:b/>
          <w:bCs/>
          <w:sz w:val="22"/>
          <w:lang w:val="es-CO"/>
        </w:rPr>
        <w:t xml:space="preserve"> – </w:t>
      </w:r>
      <w:r>
        <w:rPr>
          <w:rFonts w:ascii="Arial" w:eastAsia="Calibri" w:hAnsi="Arial" w:cs="Arial"/>
          <w:b/>
          <w:bCs/>
          <w:sz w:val="22"/>
          <w:lang w:val="es-CO"/>
        </w:rPr>
        <w:t xml:space="preserve">Agua potable y saneamiento básico </w:t>
      </w:r>
      <w:r w:rsidRPr="009E24D4">
        <w:rPr>
          <w:rFonts w:ascii="Arial" w:eastAsia="Calibri" w:hAnsi="Arial" w:cs="Arial"/>
          <w:b/>
          <w:bCs/>
          <w:sz w:val="22"/>
          <w:lang w:val="es-CO"/>
        </w:rPr>
        <w:t>–</w:t>
      </w:r>
      <w:r>
        <w:rPr>
          <w:rFonts w:ascii="Arial" w:eastAsia="Calibri" w:hAnsi="Arial" w:cs="Arial"/>
          <w:b/>
          <w:bCs/>
          <w:sz w:val="22"/>
          <w:lang w:val="es-CO"/>
        </w:rPr>
        <w:t xml:space="preserve"> Obligatoriedad </w:t>
      </w:r>
      <w:r w:rsidRPr="009E24D4">
        <w:rPr>
          <w:rFonts w:ascii="Arial" w:eastAsia="Calibri" w:hAnsi="Arial" w:cs="Arial"/>
          <w:b/>
          <w:bCs/>
          <w:sz w:val="22"/>
          <w:lang w:val="es-CO"/>
        </w:rPr>
        <w:t>–</w:t>
      </w:r>
      <w:r>
        <w:rPr>
          <w:rFonts w:ascii="Arial" w:eastAsia="Calibri" w:hAnsi="Arial" w:cs="Arial"/>
          <w:b/>
          <w:bCs/>
          <w:sz w:val="22"/>
          <w:lang w:val="es-CO"/>
        </w:rPr>
        <w:t xml:space="preserve"> Empresas de servicios públicos </w:t>
      </w:r>
    </w:p>
    <w:p w14:paraId="669252DC" w14:textId="77777777" w:rsidR="00924CAE" w:rsidRPr="009E24D4" w:rsidRDefault="00924CAE" w:rsidP="00924CAE">
      <w:pPr>
        <w:jc w:val="both"/>
        <w:rPr>
          <w:rFonts w:ascii="Arial" w:eastAsia="Calibri" w:hAnsi="Arial" w:cs="Arial"/>
          <w:b/>
          <w:sz w:val="20"/>
          <w:szCs w:val="20"/>
          <w:lang w:val="es-CO"/>
        </w:rPr>
      </w:pPr>
    </w:p>
    <w:p w14:paraId="094F0AD4" w14:textId="089F139B" w:rsidR="00924CAE" w:rsidRPr="00D27E60" w:rsidRDefault="007002CF" w:rsidP="00924CAE">
      <w:pPr>
        <w:jc w:val="both"/>
        <w:rPr>
          <w:rFonts w:ascii="Arial" w:eastAsia="Calibri" w:hAnsi="Arial" w:cs="Arial"/>
          <w:sz w:val="20"/>
          <w:szCs w:val="20"/>
          <w:lang w:val="es-ES_tradnl" w:eastAsia="es-ES_tradnl"/>
        </w:rPr>
      </w:pPr>
      <w:r>
        <w:rPr>
          <w:rFonts w:ascii="Arial" w:eastAsia="Calibri" w:hAnsi="Arial" w:cs="Arial"/>
          <w:sz w:val="20"/>
          <w:szCs w:val="20"/>
          <w:lang w:val="es-ES" w:eastAsia="es-ES_tradnl"/>
        </w:rPr>
        <w:t>L</w:t>
      </w:r>
      <w:r w:rsidR="00924CAE" w:rsidRPr="00CD7A95">
        <w:rPr>
          <w:rFonts w:ascii="Arial" w:eastAsia="Calibri" w:hAnsi="Arial" w:cs="Arial"/>
          <w:sz w:val="20"/>
          <w:szCs w:val="20"/>
          <w:lang w:val="es-ES" w:eastAsia="es-ES_tradnl"/>
        </w:rPr>
        <w:t>os criterios para determinar si procede de forma obligatoria la contratación de una actividad mediante los documentos tipo son los siguientes: i) que se trate de una obra pública de infraestructura de agua potable y saneamiento básico, cuyo proceso de selección deba adelantarse por licitación; </w:t>
      </w:r>
      <w:proofErr w:type="spellStart"/>
      <w:r w:rsidR="00924CAE" w:rsidRPr="00CD7A95">
        <w:rPr>
          <w:rFonts w:ascii="Arial" w:eastAsia="Calibri" w:hAnsi="Arial" w:cs="Arial"/>
          <w:sz w:val="20"/>
          <w:szCs w:val="20"/>
          <w:lang w:val="es-ES" w:eastAsia="es-ES_tradnl"/>
        </w:rPr>
        <w:t>ii</w:t>
      </w:r>
      <w:proofErr w:type="spellEnd"/>
      <w:r w:rsidR="00924CAE" w:rsidRPr="00CD7A95">
        <w:rPr>
          <w:rFonts w:ascii="Arial" w:eastAsia="Calibri" w:hAnsi="Arial" w:cs="Arial"/>
          <w:sz w:val="20"/>
          <w:szCs w:val="20"/>
          <w:lang w:val="es-ES" w:eastAsia="es-ES_tradnl"/>
        </w:rPr>
        <w:t xml:space="preserve">) que </w:t>
      </w:r>
      <w:r w:rsidR="00924CAE" w:rsidRPr="00CD7A95">
        <w:rPr>
          <w:rFonts w:ascii="Arial" w:eastAsia="Calibri" w:hAnsi="Arial" w:cs="Arial"/>
          <w:sz w:val="20"/>
          <w:szCs w:val="20"/>
          <w:lang w:eastAsia="es-ES_tradnl"/>
        </w:rPr>
        <w:t>la contratación esté sometida</w:t>
      </w:r>
      <w:r w:rsidR="00924CAE" w:rsidRPr="00CD7A95">
        <w:rPr>
          <w:rFonts w:ascii="Arial" w:eastAsia="Calibri" w:hAnsi="Arial" w:cs="Arial"/>
          <w:sz w:val="20"/>
          <w:szCs w:val="20"/>
          <w:lang w:val="es-ES" w:eastAsia="es-ES_tradnl"/>
        </w:rPr>
        <w:t xml:space="preserve"> al Estatuto General de Contratación de la Administración Pública; y </w:t>
      </w:r>
      <w:proofErr w:type="spellStart"/>
      <w:r w:rsidR="00924CAE" w:rsidRPr="00CD7A95">
        <w:rPr>
          <w:rFonts w:ascii="Arial" w:eastAsia="Calibri" w:hAnsi="Arial" w:cs="Arial"/>
          <w:sz w:val="20"/>
          <w:szCs w:val="20"/>
          <w:lang w:val="es-ES" w:eastAsia="es-ES_tradnl"/>
        </w:rPr>
        <w:t>iii</w:t>
      </w:r>
      <w:proofErr w:type="spellEnd"/>
      <w:r w:rsidR="00924CAE" w:rsidRPr="00CD7A95">
        <w:rPr>
          <w:rFonts w:ascii="Arial" w:eastAsia="Calibri" w:hAnsi="Arial" w:cs="Arial"/>
          <w:sz w:val="20"/>
          <w:szCs w:val="20"/>
          <w:lang w:val="es-ES" w:eastAsia="es-ES_tradnl"/>
        </w:rPr>
        <w:t xml:space="preserve">) que el objeto a contratar esté asociado a alguno de los tipos de obra y actividades señaladas en la </w:t>
      </w:r>
      <w:r w:rsidR="00924CAE" w:rsidRPr="00CD7A95">
        <w:rPr>
          <w:rFonts w:ascii="Arial" w:eastAsia="Calibri" w:hAnsi="Arial" w:cs="Arial"/>
          <w:sz w:val="20"/>
          <w:szCs w:val="20"/>
          <w:lang w:val="es-CO" w:eastAsia="es-ES_tradnl"/>
        </w:rPr>
        <w:t>«</w:t>
      </w:r>
      <w:r w:rsidR="00924CAE" w:rsidRPr="00CD7A95">
        <w:rPr>
          <w:rFonts w:ascii="Arial" w:eastAsia="Calibri" w:hAnsi="Arial" w:cs="Arial"/>
          <w:sz w:val="20"/>
          <w:szCs w:val="20"/>
          <w:lang w:val="es-ES" w:eastAsia="es-ES_tradnl"/>
        </w:rPr>
        <w:t>Matriz 1 – Experiencia</w:t>
      </w:r>
      <w:r w:rsidR="00924CAE" w:rsidRPr="00CD7A95">
        <w:rPr>
          <w:rFonts w:ascii="Arial" w:eastAsia="Calibri" w:hAnsi="Arial" w:cs="Arial"/>
          <w:sz w:val="20"/>
          <w:szCs w:val="20"/>
          <w:lang w:eastAsia="es-ES_tradnl"/>
        </w:rPr>
        <w:t>»</w:t>
      </w:r>
      <w:r w:rsidR="00924CAE" w:rsidRPr="00CD7A95">
        <w:rPr>
          <w:rFonts w:ascii="Arial" w:eastAsia="Calibri" w:hAnsi="Arial" w:cs="Arial"/>
          <w:sz w:val="20"/>
          <w:szCs w:val="20"/>
          <w:lang w:val="es-ES" w:eastAsia="es-ES_tradnl"/>
        </w:rPr>
        <w:t xml:space="preserve">. </w:t>
      </w:r>
    </w:p>
    <w:p w14:paraId="385F2282" w14:textId="77777777" w:rsidR="00924CAE" w:rsidRPr="00D27E60" w:rsidRDefault="00924CAE" w:rsidP="00924CAE">
      <w:pPr>
        <w:jc w:val="both"/>
        <w:rPr>
          <w:rFonts w:ascii="Arial" w:eastAsia="Calibri" w:hAnsi="Arial" w:cs="Arial"/>
          <w:sz w:val="20"/>
          <w:szCs w:val="20"/>
          <w:lang w:val="es-ES_tradnl" w:eastAsia="es-ES_tradnl"/>
        </w:rPr>
      </w:pPr>
      <w:r>
        <w:rPr>
          <w:rFonts w:ascii="Arial" w:eastAsia="Calibri" w:hAnsi="Arial" w:cs="Arial"/>
          <w:sz w:val="20"/>
          <w:szCs w:val="20"/>
          <w:lang w:eastAsia="es-ES_tradnl"/>
        </w:rPr>
        <w:t xml:space="preserve">[…], </w:t>
      </w:r>
      <w:r w:rsidRPr="00CD7A95">
        <w:rPr>
          <w:rFonts w:ascii="Arial" w:eastAsia="Calibri" w:hAnsi="Arial" w:cs="Arial"/>
          <w:sz w:val="20"/>
          <w:szCs w:val="20"/>
          <w:lang w:eastAsia="es-ES_tradnl"/>
        </w:rPr>
        <w:t xml:space="preserve">debido a que las empresas de servicios públicos domiciliarios </w:t>
      </w:r>
      <w:r w:rsidRPr="00CD7A95">
        <w:rPr>
          <w:rFonts w:ascii="Arial" w:eastAsia="Calibri" w:hAnsi="Arial" w:cs="Arial"/>
          <w:sz w:val="20"/>
          <w:szCs w:val="20"/>
          <w:lang w:val="es-ES_tradnl" w:eastAsia="es-ES_tradnl"/>
        </w:rPr>
        <w:t xml:space="preserve">se sujetan, en su actividad contractual, a las disposiciones del derecho privado, los documentos tipo de </w:t>
      </w:r>
      <w:r w:rsidRPr="00CD7A95">
        <w:rPr>
          <w:rFonts w:ascii="Arial" w:eastAsia="Calibri" w:hAnsi="Arial" w:cs="Arial"/>
          <w:sz w:val="20"/>
          <w:szCs w:val="20"/>
          <w:lang w:eastAsia="es-ES_tradnl"/>
        </w:rPr>
        <w:t xml:space="preserve">infraestructura de infraestructura de agua potable y saneamiento básico no son de obligatorio cumplimiento por parte de aquellas. Por consiguiente, en los casos en que las empresas de servicios públicos ejecuten proyectos de esta naturaleza, no tienen por obligación aplicar los documentos tipo, sin perjuicio de que estas los adopten como políticas de buenas prácticas contractuales. </w:t>
      </w:r>
    </w:p>
    <w:p w14:paraId="34BBB79C" w14:textId="77777777" w:rsidR="00924CAE" w:rsidRDefault="00924CAE" w:rsidP="00924CAE">
      <w:pPr>
        <w:jc w:val="both"/>
        <w:rPr>
          <w:rFonts w:ascii="Arial" w:eastAsia="Calibri" w:hAnsi="Arial" w:cs="Arial"/>
          <w:b/>
          <w:bCs/>
          <w:color w:val="000000" w:themeColor="text1"/>
          <w:sz w:val="22"/>
          <w:lang w:val="es-CO"/>
        </w:rPr>
      </w:pPr>
    </w:p>
    <w:p w14:paraId="207FA21B" w14:textId="2966C942" w:rsidR="00924CAE" w:rsidRPr="009E24D4" w:rsidRDefault="00924CAE" w:rsidP="00924CAE">
      <w:pPr>
        <w:jc w:val="both"/>
        <w:rPr>
          <w:rFonts w:ascii="Arial" w:eastAsia="Calibri" w:hAnsi="Arial" w:cs="Arial"/>
          <w:b/>
          <w:bCs/>
          <w:sz w:val="22"/>
          <w:lang w:val="es-CO"/>
        </w:rPr>
      </w:pPr>
      <w:r>
        <w:rPr>
          <w:rFonts w:ascii="Arial" w:eastAsia="Calibri" w:hAnsi="Arial" w:cs="Arial"/>
          <w:b/>
          <w:bCs/>
          <w:sz w:val="22"/>
          <w:lang w:val="es-CO"/>
        </w:rPr>
        <w:t xml:space="preserve">EMPRESAS DE SERVICIOS PÚBLICOS </w:t>
      </w:r>
      <w:r w:rsidRPr="009E24D4">
        <w:rPr>
          <w:rFonts w:ascii="Arial" w:eastAsia="Calibri" w:hAnsi="Arial" w:cs="Arial"/>
          <w:b/>
          <w:bCs/>
          <w:sz w:val="22"/>
          <w:lang w:val="es-CO"/>
        </w:rPr>
        <w:t>–</w:t>
      </w:r>
      <w:r>
        <w:rPr>
          <w:rFonts w:ascii="Arial" w:eastAsia="Calibri" w:hAnsi="Arial" w:cs="Arial"/>
          <w:b/>
          <w:bCs/>
          <w:sz w:val="22"/>
          <w:lang w:val="es-CO"/>
        </w:rPr>
        <w:t xml:space="preserve"> </w:t>
      </w:r>
      <w:r w:rsidR="00E951A2">
        <w:rPr>
          <w:rFonts w:ascii="Arial" w:eastAsia="Calibri" w:hAnsi="Arial" w:cs="Arial"/>
          <w:b/>
          <w:bCs/>
          <w:sz w:val="22"/>
          <w:lang w:val="es-CO"/>
        </w:rPr>
        <w:t>Deber</w:t>
      </w:r>
      <w:r>
        <w:rPr>
          <w:rFonts w:ascii="Arial" w:eastAsia="Calibri" w:hAnsi="Arial" w:cs="Arial"/>
          <w:b/>
          <w:bCs/>
          <w:sz w:val="22"/>
          <w:lang w:val="es-CO"/>
        </w:rPr>
        <w:t xml:space="preserve"> de </w:t>
      </w:r>
      <w:r w:rsidR="00E951A2">
        <w:rPr>
          <w:rFonts w:ascii="Arial" w:eastAsia="Calibri" w:hAnsi="Arial" w:cs="Arial"/>
          <w:b/>
          <w:bCs/>
          <w:sz w:val="22"/>
          <w:lang w:val="es-CO"/>
        </w:rPr>
        <w:t>observación –</w:t>
      </w:r>
      <w:r>
        <w:rPr>
          <w:rFonts w:ascii="Arial" w:eastAsia="Calibri" w:hAnsi="Arial" w:cs="Arial"/>
          <w:b/>
          <w:bCs/>
          <w:sz w:val="22"/>
          <w:lang w:val="es-CO"/>
        </w:rPr>
        <w:t xml:space="preserve"> </w:t>
      </w:r>
      <w:r w:rsidR="00E951A2">
        <w:rPr>
          <w:rFonts w:ascii="Arial" w:eastAsia="Calibri" w:hAnsi="Arial" w:cs="Arial"/>
          <w:b/>
          <w:bCs/>
          <w:sz w:val="22"/>
          <w:lang w:val="es-CO"/>
        </w:rPr>
        <w:t>D</w:t>
      </w:r>
      <w:r>
        <w:rPr>
          <w:rFonts w:ascii="Arial" w:eastAsia="Calibri" w:hAnsi="Arial" w:cs="Arial"/>
          <w:b/>
          <w:bCs/>
          <w:sz w:val="22"/>
          <w:lang w:val="es-CO"/>
        </w:rPr>
        <w:t>isposiciones presupuestales</w:t>
      </w:r>
    </w:p>
    <w:p w14:paraId="5B7AB5C1" w14:textId="77777777" w:rsidR="00924CAE" w:rsidRDefault="00924CAE" w:rsidP="00924CAE">
      <w:pPr>
        <w:jc w:val="both"/>
        <w:rPr>
          <w:rFonts w:ascii="Arial" w:eastAsia="Calibri" w:hAnsi="Arial" w:cs="Arial"/>
          <w:b/>
          <w:bCs/>
          <w:color w:val="000000" w:themeColor="text1"/>
          <w:sz w:val="22"/>
          <w:lang w:val="es-CO"/>
        </w:rPr>
      </w:pPr>
    </w:p>
    <w:p w14:paraId="011395A5" w14:textId="46D6CA09" w:rsidR="00E55F08" w:rsidRDefault="00924CAE" w:rsidP="00924CAE">
      <w:pPr>
        <w:jc w:val="both"/>
        <w:rPr>
          <w:rFonts w:ascii="Arial" w:eastAsia="Calibri" w:hAnsi="Arial" w:cs="Arial"/>
          <w:sz w:val="20"/>
          <w:szCs w:val="20"/>
          <w:lang w:val="es-ES_tradnl" w:eastAsia="es-ES_tradnl"/>
        </w:rPr>
      </w:pPr>
      <w:r>
        <w:rPr>
          <w:rFonts w:ascii="Arial" w:eastAsia="Calibri" w:hAnsi="Arial" w:cs="Arial"/>
          <w:sz w:val="20"/>
          <w:szCs w:val="20"/>
          <w:lang w:val="es-CO" w:eastAsia="es-ES_tradnl"/>
        </w:rPr>
        <w:t>A</w:t>
      </w:r>
      <w:r w:rsidRPr="00CD7A95">
        <w:rPr>
          <w:rFonts w:ascii="Arial" w:eastAsia="Calibri" w:hAnsi="Arial" w:cs="Arial"/>
          <w:sz w:val="20"/>
          <w:szCs w:val="20"/>
          <w:lang w:val="es-CO" w:eastAsia="es-ES_tradnl"/>
        </w:rPr>
        <w:t xml:space="preserve">unque se trate de entidades sujetas al derecho privado, </w:t>
      </w:r>
      <w:r w:rsidRPr="00CD7A95">
        <w:rPr>
          <w:rFonts w:ascii="Arial" w:eastAsia="Calibri" w:hAnsi="Arial" w:cs="Arial"/>
          <w:sz w:val="20"/>
          <w:szCs w:val="20"/>
          <w:lang w:val="es-ES" w:eastAsia="es-ES_tradnl"/>
        </w:rPr>
        <w:t xml:space="preserve">este régimen especial no es ajeno a las normas del </w:t>
      </w:r>
      <w:r w:rsidRPr="00CD7A95">
        <w:rPr>
          <w:rFonts w:ascii="Arial" w:eastAsia="Calibri" w:hAnsi="Arial" w:cs="Arial"/>
          <w:bCs/>
          <w:sz w:val="20"/>
          <w:szCs w:val="20"/>
          <w:lang w:val="es-ES" w:eastAsia="es-ES_tradnl"/>
        </w:rPr>
        <w:t xml:space="preserve">derecho administrativo y su aplicación está </w:t>
      </w:r>
      <w:r w:rsidRPr="00CD7A95">
        <w:rPr>
          <w:rFonts w:ascii="Arial" w:eastAsia="Calibri" w:hAnsi="Arial" w:cs="Arial"/>
          <w:sz w:val="20"/>
          <w:szCs w:val="20"/>
          <w:lang w:val="es-ES" w:eastAsia="es-ES_tradnl"/>
        </w:rPr>
        <w:t xml:space="preserve">matizada por las reglas previstas expresamente por el legislador. De esta manera, </w:t>
      </w:r>
      <w:r w:rsidRPr="00CD7A95">
        <w:rPr>
          <w:rFonts w:ascii="Arial" w:eastAsia="Calibri" w:hAnsi="Arial" w:cs="Arial"/>
          <w:sz w:val="20"/>
          <w:szCs w:val="20"/>
          <w:lang w:val="es-ES_tradnl" w:eastAsia="es-ES_tradnl"/>
        </w:rPr>
        <w:t>deben observar las disposiciones presupuestales, tributarias y demás normas de orden público aplicables a las entidades estatales, independientemente de su régimen contractual</w:t>
      </w:r>
      <w:r>
        <w:rPr>
          <w:rFonts w:ascii="Arial" w:eastAsia="Calibri" w:hAnsi="Arial" w:cs="Arial"/>
          <w:sz w:val="20"/>
          <w:szCs w:val="20"/>
          <w:lang w:val="es-ES_tradnl" w:eastAsia="es-ES_tradnl"/>
        </w:rPr>
        <w:t>.</w:t>
      </w:r>
    </w:p>
    <w:p w14:paraId="39118B12" w14:textId="6743C2AA" w:rsidR="00924CAE" w:rsidRDefault="00924CAE" w:rsidP="00924CAE">
      <w:pPr>
        <w:jc w:val="both"/>
        <w:rPr>
          <w:rFonts w:ascii="Arial" w:eastAsia="Calibri" w:hAnsi="Arial" w:cs="Arial"/>
          <w:sz w:val="20"/>
          <w:szCs w:val="20"/>
          <w:lang w:val="es-ES_tradnl" w:eastAsia="es-ES_tradnl"/>
        </w:rPr>
      </w:pPr>
    </w:p>
    <w:p w14:paraId="2D8FDDDC" w14:textId="77777777" w:rsidR="00E951A2" w:rsidRPr="00924CAE" w:rsidRDefault="00E951A2" w:rsidP="00924CAE">
      <w:pPr>
        <w:jc w:val="both"/>
        <w:rPr>
          <w:rFonts w:ascii="Arial" w:eastAsia="Calibri" w:hAnsi="Arial" w:cs="Arial"/>
          <w:sz w:val="20"/>
          <w:szCs w:val="20"/>
          <w:lang w:val="es-ES_tradnl" w:eastAsia="es-ES_tradnl"/>
        </w:rPr>
      </w:pPr>
    </w:p>
    <w:p w14:paraId="5C5809CC" w14:textId="6109FA3E" w:rsidR="0075119F" w:rsidRPr="00146AE8" w:rsidRDefault="0075119F" w:rsidP="0075119F">
      <w:pPr>
        <w:spacing w:line="276" w:lineRule="auto"/>
        <w:jc w:val="both"/>
        <w:rPr>
          <w:rFonts w:ascii="Arial" w:eastAsia="Times New Roman" w:hAnsi="Arial" w:cs="Arial"/>
          <w:b/>
          <w:color w:val="000000" w:themeColor="text1"/>
          <w:sz w:val="22"/>
          <w:szCs w:val="24"/>
          <w:lang w:val="pt-BR" w:eastAsia="es-ES_tradnl"/>
        </w:rPr>
      </w:pPr>
      <w:r w:rsidRPr="00146AE8">
        <w:rPr>
          <w:rFonts w:ascii="Arial" w:eastAsia="Times New Roman" w:hAnsi="Arial" w:cs="Arial"/>
          <w:noProof/>
          <w:color w:val="000000" w:themeColor="text1"/>
          <w:sz w:val="22"/>
          <w:szCs w:val="24"/>
          <w:lang w:val="pt-BR" w:eastAsia="es-ES_tradnl"/>
        </w:rPr>
        <w:lastRenderedPageBreak/>
        <w:t xml:space="preserve">Bogotá D.C., </w:t>
      </w:r>
      <w:r w:rsidR="00FB3C9A">
        <w:rPr>
          <w:rFonts w:ascii="Arial" w:eastAsia="Times New Roman" w:hAnsi="Arial" w:cs="Arial"/>
          <w:b/>
          <w:color w:val="000000" w:themeColor="text1"/>
          <w:sz w:val="22"/>
          <w:szCs w:val="24"/>
          <w:lang w:val="pt-BR" w:eastAsia="es-ES_tradnl"/>
        </w:rPr>
        <w:t>18/06/2021 Hora 16:51:36</w:t>
      </w:r>
    </w:p>
    <w:p w14:paraId="22440FF6" w14:textId="325F9197" w:rsidR="0075119F" w:rsidRPr="00146AE8" w:rsidRDefault="0075119F" w:rsidP="0075119F">
      <w:pPr>
        <w:spacing w:line="276" w:lineRule="auto"/>
        <w:jc w:val="both"/>
        <w:rPr>
          <w:rFonts w:ascii="Arial" w:eastAsia="Calibri" w:hAnsi="Arial" w:cs="Arial"/>
          <w:noProof/>
          <w:color w:val="000000" w:themeColor="text1"/>
          <w:sz w:val="20"/>
          <w:szCs w:val="24"/>
          <w:lang w:val="pt-BR" w:eastAsia="es-ES_tradnl"/>
        </w:rPr>
      </w:pPr>
    </w:p>
    <w:p w14:paraId="176126CC" w14:textId="0F7957EB" w:rsidR="003F7D96" w:rsidRPr="00146AE8" w:rsidRDefault="00FB3C9A" w:rsidP="00FB3C9A">
      <w:pPr>
        <w:spacing w:line="276" w:lineRule="auto"/>
        <w:jc w:val="right"/>
        <w:rPr>
          <w:rFonts w:ascii="Arial" w:eastAsia="Calibri" w:hAnsi="Arial" w:cs="Arial"/>
          <w:noProof/>
          <w:color w:val="000000" w:themeColor="text1"/>
          <w:sz w:val="20"/>
          <w:szCs w:val="24"/>
          <w:lang w:val="pt-BR" w:eastAsia="es-ES_tradnl"/>
        </w:rPr>
      </w:pPr>
      <w:r w:rsidRPr="00FB3C9A">
        <w:rPr>
          <w:rFonts w:ascii="Arial" w:eastAsia="Calibri" w:hAnsi="Arial" w:cs="Arial"/>
          <w:noProof/>
          <w:color w:val="000000" w:themeColor="text1"/>
          <w:sz w:val="20"/>
          <w:szCs w:val="24"/>
          <w:lang w:val="pt-BR" w:eastAsia="es-ES_tradnl"/>
        </w:rPr>
        <w:drawing>
          <wp:inline distT="0" distB="0" distL="0" distR="0" wp14:anchorId="093B90C4" wp14:editId="73EC1EAD">
            <wp:extent cx="2304415" cy="63817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415" cy="638175"/>
                    </a:xfrm>
                    <a:prstGeom prst="rect">
                      <a:avLst/>
                    </a:prstGeom>
                    <a:noFill/>
                    <a:ln>
                      <a:noFill/>
                    </a:ln>
                  </pic:spPr>
                </pic:pic>
              </a:graphicData>
            </a:graphic>
          </wp:inline>
        </w:drawing>
      </w:r>
    </w:p>
    <w:p w14:paraId="30E5D210" w14:textId="77777777" w:rsidR="0075119F" w:rsidRPr="0075119F" w:rsidRDefault="0075119F" w:rsidP="0075119F">
      <w:pPr>
        <w:jc w:val="both"/>
        <w:rPr>
          <w:rFonts w:ascii="Arial" w:eastAsia="Times New Roman" w:hAnsi="Arial" w:cs="Arial"/>
          <w:b/>
          <w:color w:val="000000" w:themeColor="text1"/>
          <w:sz w:val="22"/>
          <w:szCs w:val="24"/>
          <w:lang w:val="pt-BR" w:eastAsia="es-ES_tradnl"/>
        </w:rPr>
      </w:pPr>
    </w:p>
    <w:p w14:paraId="0F185E85" w14:textId="77777777" w:rsidR="00FB0C38" w:rsidRPr="0075119F" w:rsidRDefault="00FB0C38" w:rsidP="00610E5E">
      <w:pPr>
        <w:rPr>
          <w:rFonts w:ascii="Arial" w:eastAsia="Calibri" w:hAnsi="Arial" w:cs="Arial"/>
          <w:color w:val="000000" w:themeColor="text1"/>
          <w:sz w:val="22"/>
          <w:lang w:val="pt-BR"/>
        </w:rPr>
      </w:pPr>
      <w:bookmarkStart w:id="2" w:name="_Hlk74924545"/>
    </w:p>
    <w:p w14:paraId="5223CFF4" w14:textId="38C43FC6" w:rsidR="00610E5E"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Señor</w:t>
      </w:r>
      <w:r w:rsidR="007D4086">
        <w:rPr>
          <w:rFonts w:ascii="Arial" w:eastAsia="Calibri" w:hAnsi="Arial" w:cs="Arial"/>
          <w:color w:val="000000" w:themeColor="text1"/>
          <w:sz w:val="22"/>
        </w:rPr>
        <w:t>a</w:t>
      </w:r>
    </w:p>
    <w:p w14:paraId="5BCF5848" w14:textId="0C5BB36F" w:rsidR="007D4086" w:rsidRPr="007D4086" w:rsidRDefault="007D4086" w:rsidP="00610E5E">
      <w:pPr>
        <w:rPr>
          <w:rFonts w:ascii="Arial" w:eastAsia="Calibri" w:hAnsi="Arial" w:cs="Arial"/>
          <w:b/>
          <w:bCs/>
          <w:color w:val="000000" w:themeColor="text1"/>
          <w:sz w:val="22"/>
        </w:rPr>
      </w:pPr>
      <w:r w:rsidRPr="007D4086">
        <w:rPr>
          <w:rFonts w:ascii="Arial" w:eastAsia="Calibri" w:hAnsi="Arial" w:cs="Arial"/>
          <w:b/>
          <w:bCs/>
          <w:color w:val="000000" w:themeColor="text1"/>
          <w:sz w:val="22"/>
        </w:rPr>
        <w:t xml:space="preserve">María Alexandra Murillo Díaz </w:t>
      </w:r>
    </w:p>
    <w:p w14:paraId="42EDA918" w14:textId="2B3F9DA9" w:rsidR="00610E5E" w:rsidRPr="004C33D6" w:rsidRDefault="007D4086" w:rsidP="00610E5E">
      <w:pPr>
        <w:rPr>
          <w:rFonts w:ascii="Arial" w:eastAsia="Calibri" w:hAnsi="Arial" w:cs="Arial"/>
          <w:color w:val="000000" w:themeColor="text1"/>
          <w:sz w:val="22"/>
        </w:rPr>
      </w:pPr>
      <w:r>
        <w:rPr>
          <w:rFonts w:ascii="Arial" w:eastAsia="Calibri" w:hAnsi="Arial" w:cs="Arial"/>
          <w:color w:val="000000" w:themeColor="text1"/>
          <w:sz w:val="22"/>
        </w:rPr>
        <w:t xml:space="preserve">El Doncello, Caquetá </w:t>
      </w:r>
    </w:p>
    <w:p w14:paraId="327CD550" w14:textId="77777777" w:rsidR="00610E5E" w:rsidRPr="004C33D6" w:rsidRDefault="00610E5E" w:rsidP="00610E5E">
      <w:pPr>
        <w:rPr>
          <w:rFonts w:ascii="Arial" w:eastAsia="Calibri" w:hAnsi="Arial" w:cs="Arial"/>
          <w:color w:val="000000" w:themeColor="text1"/>
          <w:sz w:val="22"/>
        </w:rPr>
      </w:pPr>
    </w:p>
    <w:p w14:paraId="7A101E7F" w14:textId="77777777" w:rsidR="00610E5E" w:rsidRPr="004C33D6" w:rsidRDefault="00610E5E" w:rsidP="00610E5E">
      <w:pPr>
        <w:rPr>
          <w:rFonts w:ascii="Arial" w:eastAsia="Calibri" w:hAnsi="Arial" w:cs="Arial"/>
          <w:color w:val="000000" w:themeColor="text1"/>
          <w:sz w:val="22"/>
        </w:rPr>
      </w:pPr>
    </w:p>
    <w:p w14:paraId="576EF66E" w14:textId="75E31107" w:rsidR="00610E5E" w:rsidRPr="004C33D6" w:rsidRDefault="00610E5E" w:rsidP="00610E5E">
      <w:pPr>
        <w:ind w:firstLine="2694"/>
        <w:rPr>
          <w:rFonts w:ascii="Arial" w:eastAsia="Calibri" w:hAnsi="Arial" w:cs="Arial"/>
          <w:b/>
          <w:color w:val="000000" w:themeColor="text1"/>
          <w:sz w:val="22"/>
        </w:rPr>
      </w:pPr>
      <w:r w:rsidRPr="004C33D6">
        <w:rPr>
          <w:rFonts w:ascii="Arial" w:eastAsia="Calibri" w:hAnsi="Arial" w:cs="Arial"/>
          <w:b/>
          <w:color w:val="000000" w:themeColor="text1"/>
          <w:sz w:val="22"/>
        </w:rPr>
        <w:t>Concepto C ─</w:t>
      </w:r>
      <w:r w:rsidR="00530211">
        <w:rPr>
          <w:rFonts w:ascii="Arial" w:eastAsia="Calibri" w:hAnsi="Arial" w:cs="Arial"/>
          <w:b/>
          <w:color w:val="000000" w:themeColor="text1"/>
          <w:sz w:val="22"/>
        </w:rPr>
        <w:t xml:space="preserve"> </w:t>
      </w:r>
      <w:r w:rsidR="00146AE8">
        <w:rPr>
          <w:rFonts w:ascii="Arial" w:eastAsia="Calibri" w:hAnsi="Arial" w:cs="Arial"/>
          <w:b/>
          <w:color w:val="000000" w:themeColor="text1"/>
          <w:sz w:val="22"/>
        </w:rPr>
        <w:t>307</w:t>
      </w:r>
      <w:r w:rsidRPr="004C33D6">
        <w:rPr>
          <w:rFonts w:ascii="Arial" w:eastAsia="Calibri" w:hAnsi="Arial" w:cs="Arial"/>
          <w:b/>
          <w:color w:val="000000" w:themeColor="text1"/>
          <w:sz w:val="22"/>
        </w:rPr>
        <w:t xml:space="preserve"> de 202</w:t>
      </w:r>
      <w:r w:rsidR="00C76BB9">
        <w:rPr>
          <w:rFonts w:ascii="Arial" w:eastAsia="Calibri" w:hAnsi="Arial" w:cs="Arial"/>
          <w:b/>
          <w:color w:val="000000" w:themeColor="text1"/>
          <w:sz w:val="22"/>
        </w:rPr>
        <w:t>1</w:t>
      </w:r>
    </w:p>
    <w:p w14:paraId="56F0C362" w14:textId="77777777" w:rsidR="00610E5E" w:rsidRPr="004C33D6" w:rsidRDefault="00610E5E" w:rsidP="00610E5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33D6" w:rsidRPr="004C33D6" w14:paraId="6E0070AE" w14:textId="77777777" w:rsidTr="00D8771E">
        <w:tc>
          <w:tcPr>
            <w:tcW w:w="2689" w:type="dxa"/>
            <w:hideMark/>
          </w:tcPr>
          <w:p w14:paraId="6D84763E" w14:textId="77777777" w:rsidR="00610E5E" w:rsidRPr="004C33D6" w:rsidRDefault="00610E5E" w:rsidP="00D8771E">
            <w:pPr>
              <w:rPr>
                <w:rFonts w:ascii="Arial" w:eastAsia="Calibri" w:hAnsi="Arial" w:cs="Arial"/>
                <w:color w:val="000000" w:themeColor="text1"/>
                <w:sz w:val="22"/>
              </w:rPr>
            </w:pPr>
            <w:r w:rsidRPr="004C33D6">
              <w:rPr>
                <w:rFonts w:ascii="Arial" w:eastAsia="Calibri" w:hAnsi="Arial" w:cs="Arial"/>
                <w:b/>
                <w:color w:val="000000" w:themeColor="text1"/>
                <w:sz w:val="22"/>
              </w:rPr>
              <w:t>Temas:</w:t>
            </w:r>
            <w:r w:rsidRPr="004C33D6">
              <w:rPr>
                <w:rFonts w:ascii="Arial" w:eastAsia="Calibri" w:hAnsi="Arial" w:cs="Arial"/>
                <w:color w:val="000000" w:themeColor="text1"/>
                <w:sz w:val="22"/>
              </w:rPr>
              <w:t xml:space="preserve">           </w:t>
            </w:r>
          </w:p>
          <w:p w14:paraId="0DB91B18" w14:textId="77777777" w:rsidR="00610E5E" w:rsidRPr="004C33D6" w:rsidRDefault="00610E5E" w:rsidP="00D8771E">
            <w:pPr>
              <w:rPr>
                <w:rFonts w:ascii="Arial" w:eastAsia="Calibri" w:hAnsi="Arial" w:cs="Arial"/>
                <w:color w:val="000000" w:themeColor="text1"/>
                <w:sz w:val="22"/>
              </w:rPr>
            </w:pPr>
            <w:r w:rsidRPr="004C33D6">
              <w:rPr>
                <w:rFonts w:ascii="Arial" w:eastAsia="Calibri" w:hAnsi="Arial" w:cs="Arial"/>
                <w:color w:val="000000" w:themeColor="text1"/>
                <w:sz w:val="22"/>
              </w:rPr>
              <w:t xml:space="preserve">                           </w:t>
            </w:r>
          </w:p>
        </w:tc>
        <w:tc>
          <w:tcPr>
            <w:tcW w:w="6237" w:type="dxa"/>
            <w:hideMark/>
          </w:tcPr>
          <w:p w14:paraId="0DF02CE6" w14:textId="549B6B6D" w:rsidR="00610E5E" w:rsidRDefault="00F363A4" w:rsidP="00D8771E">
            <w:pPr>
              <w:jc w:val="both"/>
              <w:rPr>
                <w:rFonts w:ascii="Arial" w:eastAsia="Calibri" w:hAnsi="Arial" w:cs="Arial"/>
                <w:bCs/>
                <w:sz w:val="22"/>
                <w:lang w:val="es-CO"/>
              </w:rPr>
            </w:pPr>
            <w:bookmarkStart w:id="3" w:name="_Hlk70524292"/>
            <w:r w:rsidRPr="003779F2">
              <w:rPr>
                <w:rFonts w:ascii="Arial" w:eastAsia="Calibri" w:hAnsi="Arial" w:cs="Arial"/>
                <w:bCs/>
                <w:sz w:val="22"/>
                <w:szCs w:val="24"/>
                <w:lang w:val="es-ES_tradnl" w:eastAsia="es-ES_tradnl"/>
              </w:rPr>
              <w:t xml:space="preserve">SERVICIOS PÚBLICOS DOMICILIARIOS </w:t>
            </w:r>
            <w:r w:rsidRPr="003779F2">
              <w:rPr>
                <w:rFonts w:ascii="Arial" w:eastAsia="Calibri" w:hAnsi="Arial" w:cs="Arial"/>
                <w:bCs/>
                <w:color w:val="000000" w:themeColor="text1"/>
                <w:sz w:val="22"/>
                <w:szCs w:val="24"/>
                <w:lang w:val="es-ES_tradnl" w:eastAsia="es-ES_tradnl"/>
              </w:rPr>
              <w:t>–</w:t>
            </w:r>
            <w:r w:rsidRPr="003779F2">
              <w:rPr>
                <w:rFonts w:ascii="Arial" w:eastAsia="Calibri" w:hAnsi="Arial" w:cs="Arial"/>
                <w:bCs/>
                <w:sz w:val="22"/>
                <w:szCs w:val="24"/>
                <w:lang w:val="es-ES_tradnl" w:eastAsia="es-ES_tradnl"/>
              </w:rPr>
              <w:t xml:space="preserve"> Operadores autorizados / SERVICIOS PÚBLICOS DOMICILIARIOS </w:t>
            </w:r>
            <w:r w:rsidRPr="003779F2">
              <w:rPr>
                <w:rFonts w:ascii="Arial" w:eastAsia="Calibri" w:hAnsi="Arial" w:cs="Arial"/>
                <w:bCs/>
                <w:color w:val="000000" w:themeColor="text1"/>
                <w:sz w:val="22"/>
                <w:szCs w:val="24"/>
                <w:lang w:val="es-ES_tradnl" w:eastAsia="es-ES_tradnl"/>
              </w:rPr>
              <w:t>–</w:t>
            </w:r>
            <w:r w:rsidRPr="003779F2">
              <w:rPr>
                <w:rFonts w:ascii="Arial" w:eastAsia="Calibri" w:hAnsi="Arial" w:cs="Arial"/>
                <w:bCs/>
                <w:sz w:val="22"/>
                <w:szCs w:val="24"/>
                <w:lang w:val="es-ES_tradnl" w:eastAsia="es-ES_tradnl"/>
              </w:rPr>
              <w:t xml:space="preserve"> Régimen contractual </w:t>
            </w:r>
            <w:r w:rsidRPr="003779F2">
              <w:rPr>
                <w:rFonts w:ascii="Arial" w:eastAsia="Calibri" w:hAnsi="Arial" w:cs="Arial"/>
                <w:bCs/>
                <w:color w:val="000000" w:themeColor="text1"/>
                <w:sz w:val="22"/>
                <w:szCs w:val="24"/>
                <w:lang w:val="es-ES_tradnl" w:eastAsia="es-ES_tradnl"/>
              </w:rPr>
              <w:t xml:space="preserve">– Derecho privado </w:t>
            </w:r>
            <w:r w:rsidR="00F16C24" w:rsidRPr="003779F2">
              <w:rPr>
                <w:rFonts w:ascii="Arial" w:eastAsia="Calibri" w:hAnsi="Arial" w:cs="Arial"/>
                <w:bCs/>
                <w:color w:val="000000" w:themeColor="text1"/>
                <w:sz w:val="22"/>
              </w:rPr>
              <w:t>/</w:t>
            </w:r>
            <w:r w:rsidRPr="003779F2">
              <w:rPr>
                <w:rFonts w:ascii="Arial" w:eastAsia="Calibri" w:hAnsi="Arial" w:cs="Arial"/>
                <w:bCs/>
                <w:color w:val="000000" w:themeColor="text1"/>
                <w:sz w:val="22"/>
              </w:rPr>
              <w:t xml:space="preserve"> </w:t>
            </w:r>
            <w:r w:rsidRPr="003779F2">
              <w:rPr>
                <w:rFonts w:ascii="Arial" w:eastAsia="Calibri" w:hAnsi="Arial" w:cs="Arial"/>
                <w:bCs/>
                <w:sz w:val="22"/>
                <w:lang w:val="es-CO"/>
              </w:rPr>
              <w:t xml:space="preserve">DOCUMENTOS TIPO – Agua potable y saneamiento básico – Obligatoriedad – Empresas de servicios públicos </w:t>
            </w:r>
            <w:r w:rsidR="00C76BB9" w:rsidRPr="003779F2">
              <w:rPr>
                <w:rFonts w:ascii="Arial" w:eastAsia="Calibri" w:hAnsi="Arial" w:cs="Arial"/>
                <w:bCs/>
                <w:color w:val="000000" w:themeColor="text1"/>
                <w:sz w:val="22"/>
              </w:rPr>
              <w:t xml:space="preserve">/ </w:t>
            </w:r>
            <w:r w:rsidRPr="003779F2">
              <w:rPr>
                <w:rFonts w:ascii="Arial" w:eastAsia="Calibri" w:hAnsi="Arial" w:cs="Arial"/>
                <w:bCs/>
                <w:sz w:val="22"/>
                <w:lang w:val="es-CO"/>
              </w:rPr>
              <w:t>EMPRESAS DE SERVICIOS PÚBLICOS – deber de observar disposiciones presupuestales</w:t>
            </w:r>
            <w:bookmarkEnd w:id="3"/>
          </w:p>
          <w:p w14:paraId="69752643" w14:textId="77777777" w:rsidR="00644E54" w:rsidRDefault="00644E54" w:rsidP="00D8771E">
            <w:pPr>
              <w:jc w:val="both"/>
              <w:rPr>
                <w:rFonts w:ascii="Arial" w:eastAsia="Calibri" w:hAnsi="Arial" w:cs="Arial"/>
                <w:bCs/>
                <w:sz w:val="22"/>
                <w:lang w:val="es-CO"/>
              </w:rPr>
            </w:pPr>
          </w:p>
          <w:p w14:paraId="115110DC" w14:textId="51FA648C" w:rsidR="003779F2" w:rsidRPr="003779F2" w:rsidRDefault="003779F2" w:rsidP="00D8771E">
            <w:pPr>
              <w:jc w:val="both"/>
              <w:rPr>
                <w:rFonts w:ascii="Arial" w:eastAsia="Calibri" w:hAnsi="Arial" w:cs="Arial"/>
                <w:bCs/>
                <w:sz w:val="22"/>
                <w:szCs w:val="24"/>
                <w:lang w:val="es-ES_tradnl" w:eastAsia="es-ES_tradnl"/>
              </w:rPr>
            </w:pPr>
          </w:p>
        </w:tc>
      </w:tr>
      <w:tr w:rsidR="00610E5E" w:rsidRPr="004C33D6" w14:paraId="020B6779" w14:textId="77777777" w:rsidTr="00D8771E">
        <w:tc>
          <w:tcPr>
            <w:tcW w:w="2689" w:type="dxa"/>
          </w:tcPr>
          <w:p w14:paraId="21EFBC39" w14:textId="77777777" w:rsidR="00610E5E" w:rsidRPr="004C33D6" w:rsidRDefault="00610E5E" w:rsidP="00D8771E">
            <w:pPr>
              <w:rPr>
                <w:rFonts w:ascii="Arial" w:eastAsia="Calibri" w:hAnsi="Arial" w:cs="Arial"/>
                <w:b/>
                <w:color w:val="000000" w:themeColor="text1"/>
                <w:sz w:val="22"/>
              </w:rPr>
            </w:pPr>
            <w:r w:rsidRPr="004C33D6">
              <w:rPr>
                <w:rFonts w:ascii="Arial" w:eastAsia="Calibri" w:hAnsi="Arial" w:cs="Arial"/>
                <w:b/>
                <w:color w:val="000000" w:themeColor="text1"/>
                <w:sz w:val="22"/>
              </w:rPr>
              <w:t>Radicación:</w:t>
            </w:r>
            <w:r w:rsidRPr="004C33D6">
              <w:rPr>
                <w:rFonts w:ascii="Arial" w:eastAsia="Calibri" w:hAnsi="Arial" w:cs="Arial"/>
                <w:color w:val="000000" w:themeColor="text1"/>
                <w:sz w:val="22"/>
              </w:rPr>
              <w:t xml:space="preserve">                              </w:t>
            </w:r>
          </w:p>
        </w:tc>
        <w:tc>
          <w:tcPr>
            <w:tcW w:w="6237" w:type="dxa"/>
          </w:tcPr>
          <w:p w14:paraId="051497AC" w14:textId="78AB117C" w:rsidR="00610E5E" w:rsidRPr="004C33D6" w:rsidRDefault="00610E5E" w:rsidP="00D8771E">
            <w:pPr>
              <w:jc w:val="both"/>
              <w:rPr>
                <w:rFonts w:ascii="Arial" w:eastAsia="Calibri" w:hAnsi="Arial" w:cs="Arial"/>
                <w:color w:val="000000" w:themeColor="text1"/>
                <w:sz w:val="22"/>
              </w:rPr>
            </w:pPr>
            <w:r w:rsidRPr="004C33D6">
              <w:rPr>
                <w:rFonts w:ascii="Arial" w:eastAsia="Calibri" w:hAnsi="Arial" w:cs="Arial"/>
                <w:color w:val="000000" w:themeColor="text1"/>
                <w:sz w:val="22"/>
              </w:rPr>
              <w:t>Respuesta a consulta</w:t>
            </w:r>
            <w:r w:rsidR="00530211">
              <w:rPr>
                <w:rFonts w:ascii="Arial" w:eastAsia="Calibri" w:hAnsi="Arial" w:cs="Arial"/>
                <w:color w:val="000000" w:themeColor="text1"/>
                <w:sz w:val="22"/>
              </w:rPr>
              <w:t xml:space="preserve"> </w:t>
            </w:r>
            <w:r w:rsidR="007D4086" w:rsidRPr="007D4086">
              <w:rPr>
                <w:rFonts w:ascii="Arial" w:eastAsia="Calibri" w:hAnsi="Arial" w:cs="Arial"/>
                <w:color w:val="000000" w:themeColor="text1"/>
                <w:sz w:val="22"/>
              </w:rPr>
              <w:t>P20210513004147</w:t>
            </w:r>
          </w:p>
        </w:tc>
      </w:tr>
    </w:tbl>
    <w:p w14:paraId="0A8D3319" w14:textId="77777777" w:rsidR="00610E5E" w:rsidRPr="004C33D6" w:rsidRDefault="00610E5E" w:rsidP="00610E5E">
      <w:pPr>
        <w:jc w:val="both"/>
        <w:rPr>
          <w:rFonts w:ascii="Arial" w:eastAsia="Calibri" w:hAnsi="Arial" w:cs="Arial"/>
          <w:color w:val="000000" w:themeColor="text1"/>
          <w:sz w:val="22"/>
        </w:rPr>
      </w:pPr>
    </w:p>
    <w:p w14:paraId="65EE0B04" w14:textId="77777777" w:rsidR="00610E5E" w:rsidRPr="004C33D6" w:rsidRDefault="00610E5E" w:rsidP="00610E5E">
      <w:pPr>
        <w:jc w:val="both"/>
        <w:rPr>
          <w:rFonts w:ascii="Arial" w:eastAsia="Calibri" w:hAnsi="Arial" w:cs="Arial"/>
          <w:color w:val="000000" w:themeColor="text1"/>
          <w:sz w:val="22"/>
        </w:rPr>
      </w:pPr>
    </w:p>
    <w:p w14:paraId="78298D7B" w14:textId="743D273E" w:rsidR="00610E5E" w:rsidRPr="004C33D6"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Estimad</w:t>
      </w:r>
      <w:r w:rsidR="00493D91">
        <w:rPr>
          <w:rFonts w:ascii="Arial" w:eastAsia="Calibri" w:hAnsi="Arial" w:cs="Arial"/>
          <w:color w:val="000000" w:themeColor="text1"/>
          <w:sz w:val="22"/>
        </w:rPr>
        <w:t>a</w:t>
      </w:r>
      <w:r w:rsidRPr="004C33D6">
        <w:rPr>
          <w:rFonts w:ascii="Arial" w:eastAsia="Calibri" w:hAnsi="Arial" w:cs="Arial"/>
          <w:color w:val="000000" w:themeColor="text1"/>
          <w:sz w:val="22"/>
        </w:rPr>
        <w:t xml:space="preserve"> señor</w:t>
      </w:r>
      <w:r w:rsidR="007D4086">
        <w:rPr>
          <w:rFonts w:ascii="Arial" w:eastAsia="Calibri" w:hAnsi="Arial" w:cs="Arial"/>
          <w:color w:val="000000" w:themeColor="text1"/>
          <w:sz w:val="22"/>
        </w:rPr>
        <w:t>a</w:t>
      </w:r>
      <w:r w:rsidR="00321BC4">
        <w:rPr>
          <w:rFonts w:ascii="Arial" w:eastAsia="Calibri" w:hAnsi="Arial" w:cs="Arial"/>
          <w:color w:val="000000" w:themeColor="text1"/>
          <w:sz w:val="22"/>
        </w:rPr>
        <w:t xml:space="preserve"> </w:t>
      </w:r>
      <w:r w:rsidR="007D4086">
        <w:rPr>
          <w:rFonts w:ascii="Arial" w:eastAsia="Calibri" w:hAnsi="Arial" w:cs="Arial"/>
          <w:color w:val="000000" w:themeColor="text1"/>
          <w:sz w:val="22"/>
        </w:rPr>
        <w:t>Murillo</w:t>
      </w:r>
      <w:r w:rsidR="0047230C">
        <w:rPr>
          <w:rFonts w:ascii="Arial" w:eastAsia="Calibri" w:hAnsi="Arial" w:cs="Arial"/>
          <w:color w:val="000000" w:themeColor="text1"/>
          <w:sz w:val="22"/>
        </w:rPr>
        <w:t>,</w:t>
      </w:r>
    </w:p>
    <w:p w14:paraId="6D258DF5" w14:textId="77777777" w:rsidR="00610E5E" w:rsidRPr="004C33D6" w:rsidRDefault="00610E5E" w:rsidP="00610E5E">
      <w:pPr>
        <w:rPr>
          <w:rFonts w:ascii="Arial" w:eastAsia="Calibri" w:hAnsi="Arial" w:cs="Arial"/>
          <w:color w:val="000000" w:themeColor="text1"/>
          <w:sz w:val="22"/>
        </w:rPr>
      </w:pPr>
    </w:p>
    <w:p w14:paraId="76ADEDF7" w14:textId="303D8B39" w:rsidR="0022673F" w:rsidRDefault="0022673F" w:rsidP="0022673F">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7D4086">
        <w:rPr>
          <w:rFonts w:ascii="Arial" w:eastAsia="Calibri" w:hAnsi="Arial" w:cs="Arial"/>
          <w:color w:val="000000" w:themeColor="text1"/>
          <w:sz w:val="22"/>
          <w:lang w:val="es-ES_tradnl"/>
        </w:rPr>
        <w:t>12</w:t>
      </w:r>
      <w:r>
        <w:rPr>
          <w:rFonts w:ascii="Arial" w:eastAsia="Calibri" w:hAnsi="Arial" w:cs="Arial"/>
          <w:color w:val="000000" w:themeColor="text1"/>
          <w:sz w:val="22"/>
          <w:lang w:val="es-ES_tradnl"/>
        </w:rPr>
        <w:t xml:space="preserve"> de ma</w:t>
      </w:r>
      <w:r w:rsidR="0075119F">
        <w:rPr>
          <w:rFonts w:ascii="Arial" w:eastAsia="Calibri" w:hAnsi="Arial" w:cs="Arial"/>
          <w:color w:val="000000" w:themeColor="text1"/>
          <w:sz w:val="22"/>
          <w:lang w:val="es-ES_tradnl"/>
        </w:rPr>
        <w:t>yo</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del 202</w:t>
      </w:r>
      <w:r w:rsidR="00217CAB">
        <w:rPr>
          <w:rFonts w:ascii="Arial" w:eastAsia="Calibri" w:hAnsi="Arial" w:cs="Arial"/>
          <w:color w:val="000000" w:themeColor="text1"/>
          <w:sz w:val="22"/>
          <w:lang w:val="es-ES_tradnl"/>
        </w:rPr>
        <w:t>1</w:t>
      </w:r>
      <w:r w:rsidRPr="00222BE8">
        <w:rPr>
          <w:rFonts w:ascii="Arial" w:eastAsia="Calibri" w:hAnsi="Arial" w:cs="Arial"/>
          <w:color w:val="000000" w:themeColor="text1"/>
          <w:sz w:val="22"/>
          <w:lang w:val="es-ES_tradnl"/>
        </w:rPr>
        <w:t>.</w:t>
      </w:r>
    </w:p>
    <w:p w14:paraId="7B8CB6E1" w14:textId="77777777" w:rsidR="00610E5E" w:rsidRPr="004C33D6" w:rsidRDefault="00610E5E" w:rsidP="00610E5E">
      <w:pPr>
        <w:spacing w:line="276" w:lineRule="auto"/>
        <w:jc w:val="both"/>
        <w:rPr>
          <w:rFonts w:ascii="Arial" w:eastAsia="Calibri" w:hAnsi="Arial" w:cs="Arial"/>
          <w:color w:val="000000" w:themeColor="text1"/>
          <w:sz w:val="22"/>
        </w:rPr>
      </w:pPr>
    </w:p>
    <w:p w14:paraId="6050BEA3" w14:textId="77777777" w:rsidR="00610E5E" w:rsidRPr="004C33D6" w:rsidRDefault="00610E5E" w:rsidP="00610E5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C33D6">
        <w:rPr>
          <w:rFonts w:ascii="Arial" w:eastAsia="Calibri" w:hAnsi="Arial" w:cs="Arial"/>
          <w:b/>
          <w:color w:val="000000" w:themeColor="text1"/>
          <w:sz w:val="22"/>
        </w:rPr>
        <w:t xml:space="preserve">Problemas planteados </w:t>
      </w:r>
    </w:p>
    <w:p w14:paraId="14AE5872" w14:textId="77777777" w:rsidR="00610E5E" w:rsidRPr="004C33D6" w:rsidRDefault="00610E5E" w:rsidP="00610E5E">
      <w:pPr>
        <w:tabs>
          <w:tab w:val="left" w:pos="426"/>
        </w:tabs>
        <w:spacing w:line="276" w:lineRule="auto"/>
        <w:jc w:val="both"/>
        <w:rPr>
          <w:rFonts w:ascii="Arial" w:eastAsia="Calibri" w:hAnsi="Arial" w:cs="Arial"/>
          <w:b/>
          <w:color w:val="000000" w:themeColor="text1"/>
          <w:sz w:val="22"/>
        </w:rPr>
      </w:pPr>
    </w:p>
    <w:p w14:paraId="0DD63786" w14:textId="211BD4B3" w:rsidR="0075119F" w:rsidRPr="0075119F" w:rsidRDefault="007D4086" w:rsidP="0075119F">
      <w:pPr>
        <w:pStyle w:val="Default"/>
        <w:spacing w:line="276" w:lineRule="auto"/>
        <w:jc w:val="both"/>
        <w:rPr>
          <w:rFonts w:eastAsia="Calibri"/>
          <w:color w:val="000000" w:themeColor="text1"/>
          <w:sz w:val="22"/>
        </w:rPr>
      </w:pPr>
      <w:r>
        <w:rPr>
          <w:rFonts w:eastAsia="Calibri"/>
          <w:color w:val="000000" w:themeColor="text1"/>
          <w:sz w:val="22"/>
          <w:szCs w:val="22"/>
          <w:lang w:val="es-MX"/>
        </w:rPr>
        <w:t>Respecto de los documentos tipo de</w:t>
      </w:r>
      <w:r w:rsidR="00133A9E">
        <w:rPr>
          <w:rFonts w:eastAsia="Calibri"/>
          <w:color w:val="000000" w:themeColor="text1"/>
          <w:sz w:val="22"/>
          <w:szCs w:val="22"/>
          <w:lang w:val="es-MX"/>
        </w:rPr>
        <w:t xml:space="preserve"> infraestructura de</w:t>
      </w:r>
      <w:r>
        <w:rPr>
          <w:rFonts w:eastAsia="Calibri"/>
          <w:color w:val="000000" w:themeColor="text1"/>
          <w:sz w:val="22"/>
          <w:szCs w:val="22"/>
          <w:lang w:val="es-MX"/>
        </w:rPr>
        <w:t xml:space="preserve"> agua potable y saneamiento básico, usted</w:t>
      </w:r>
      <w:r w:rsidR="00610E5E" w:rsidRPr="00792E19">
        <w:rPr>
          <w:rFonts w:eastAsia="Calibri"/>
          <w:color w:val="000000" w:themeColor="text1"/>
          <w:sz w:val="22"/>
          <w:szCs w:val="22"/>
        </w:rPr>
        <w:t xml:space="preserve"> realiza la siguiente pregunta:</w:t>
      </w:r>
      <w:r w:rsidR="00892148" w:rsidRPr="00307442">
        <w:rPr>
          <w:rFonts w:eastAsia="Calibri"/>
          <w:color w:val="000000" w:themeColor="text1"/>
          <w:sz w:val="22"/>
          <w:szCs w:val="22"/>
        </w:rPr>
        <w:t xml:space="preserve"> </w:t>
      </w:r>
      <w:r w:rsidR="00610E5E" w:rsidRPr="00985512">
        <w:rPr>
          <w:rFonts w:eastAsia="Calibri"/>
          <w:color w:val="000000" w:themeColor="text1"/>
          <w:sz w:val="22"/>
          <w:szCs w:val="22"/>
        </w:rPr>
        <w:t>«</w:t>
      </w:r>
      <w:r w:rsidRPr="007D4086">
        <w:rPr>
          <w:rFonts w:eastAsia="Calibri"/>
          <w:color w:val="000000" w:themeColor="text1"/>
          <w:sz w:val="22"/>
        </w:rPr>
        <w:t>Cuando una entidad transfiere a una empresa de servicios públicos domiciliarios</w:t>
      </w:r>
      <w:r>
        <w:rPr>
          <w:rFonts w:eastAsia="Calibri"/>
          <w:color w:val="000000" w:themeColor="text1"/>
          <w:sz w:val="22"/>
        </w:rPr>
        <w:t xml:space="preserve"> </w:t>
      </w:r>
      <w:r w:rsidRPr="007D4086">
        <w:rPr>
          <w:rFonts w:eastAsia="Calibri"/>
          <w:color w:val="000000" w:themeColor="text1"/>
          <w:sz w:val="22"/>
        </w:rPr>
        <w:t>(AAA S.A. ESP) mediante convenio o contrato interadministrativo recursos del SGP o</w:t>
      </w:r>
      <w:r>
        <w:rPr>
          <w:rFonts w:eastAsia="Calibri"/>
          <w:color w:val="000000" w:themeColor="text1"/>
          <w:sz w:val="22"/>
        </w:rPr>
        <w:t xml:space="preserve"> </w:t>
      </w:r>
      <w:r w:rsidRPr="007D4086">
        <w:rPr>
          <w:rFonts w:eastAsia="Calibri"/>
          <w:color w:val="000000" w:themeColor="text1"/>
          <w:sz w:val="22"/>
        </w:rPr>
        <w:t>SGR o recursos propios, para atender necesidades de la entidad territorial en el área</w:t>
      </w:r>
      <w:r>
        <w:rPr>
          <w:rFonts w:eastAsia="Calibri"/>
          <w:color w:val="000000" w:themeColor="text1"/>
          <w:sz w:val="22"/>
        </w:rPr>
        <w:t xml:space="preserve"> </w:t>
      </w:r>
      <w:r w:rsidRPr="007D4086">
        <w:rPr>
          <w:rFonts w:eastAsia="Calibri"/>
          <w:color w:val="000000" w:themeColor="text1"/>
          <w:sz w:val="22"/>
        </w:rPr>
        <w:t>de infraestructura de agua potable y saneamiento básico; dicha empresa de servicios</w:t>
      </w:r>
      <w:r w:rsidR="00133A9E">
        <w:rPr>
          <w:rFonts w:eastAsia="Calibri"/>
          <w:color w:val="000000" w:themeColor="text1"/>
          <w:sz w:val="22"/>
        </w:rPr>
        <w:t xml:space="preserve"> </w:t>
      </w:r>
      <w:r w:rsidRPr="007D4086">
        <w:rPr>
          <w:rFonts w:eastAsia="Calibri"/>
          <w:color w:val="000000" w:themeColor="text1"/>
          <w:sz w:val="22"/>
        </w:rPr>
        <w:t>públicos se ve obligada a cumplir con los documentos tipo adoptados en las</w:t>
      </w:r>
      <w:r>
        <w:rPr>
          <w:rFonts w:eastAsia="Calibri"/>
          <w:color w:val="000000" w:themeColor="text1"/>
          <w:sz w:val="22"/>
        </w:rPr>
        <w:t xml:space="preserve"> </w:t>
      </w:r>
      <w:r w:rsidRPr="007D4086">
        <w:rPr>
          <w:rFonts w:eastAsia="Calibri"/>
          <w:color w:val="000000" w:themeColor="text1"/>
          <w:sz w:val="22"/>
        </w:rPr>
        <w:t>resoluciones 248 y 249 de 2020, a la hora de celebrar los respectivos subcontratos que</w:t>
      </w:r>
      <w:r>
        <w:rPr>
          <w:rFonts w:eastAsia="Calibri"/>
          <w:color w:val="000000" w:themeColor="text1"/>
          <w:sz w:val="22"/>
        </w:rPr>
        <w:t xml:space="preserve"> </w:t>
      </w:r>
      <w:r w:rsidRPr="007D4086">
        <w:rPr>
          <w:rFonts w:eastAsia="Calibri"/>
          <w:color w:val="000000" w:themeColor="text1"/>
          <w:sz w:val="22"/>
          <w:szCs w:val="22"/>
          <w:lang w:val="es-MX"/>
        </w:rPr>
        <w:t>se desprendan de las obligaciones contraídas en el contrato principal?</w:t>
      </w:r>
      <w:bookmarkStart w:id="4" w:name="_Hlk69066499"/>
      <w:r w:rsidR="00610E5E" w:rsidRPr="00792E19">
        <w:rPr>
          <w:rFonts w:eastAsia="Calibri"/>
          <w:color w:val="000000" w:themeColor="text1"/>
          <w:sz w:val="22"/>
          <w:szCs w:val="22"/>
        </w:rPr>
        <w:t>».</w:t>
      </w:r>
      <w:bookmarkEnd w:id="4"/>
    </w:p>
    <w:p w14:paraId="09A14BC6" w14:textId="77777777" w:rsidR="00610E5E" w:rsidRPr="004C33D6" w:rsidRDefault="00610E5E" w:rsidP="00610E5E">
      <w:pPr>
        <w:tabs>
          <w:tab w:val="left" w:pos="426"/>
        </w:tabs>
        <w:spacing w:line="276" w:lineRule="auto"/>
        <w:jc w:val="both"/>
        <w:rPr>
          <w:rFonts w:ascii="Arial" w:eastAsia="Calibri" w:hAnsi="Arial" w:cs="Arial"/>
          <w:color w:val="000000" w:themeColor="text1"/>
          <w:sz w:val="22"/>
        </w:rPr>
      </w:pPr>
    </w:p>
    <w:p w14:paraId="0BE4992A" w14:textId="77777777" w:rsidR="00610E5E" w:rsidRPr="004C33D6" w:rsidRDefault="00610E5E" w:rsidP="00610E5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C33D6">
        <w:rPr>
          <w:rFonts w:ascii="Arial" w:eastAsia="Calibri" w:hAnsi="Arial" w:cs="Arial"/>
          <w:b/>
          <w:color w:val="000000" w:themeColor="text1"/>
          <w:sz w:val="22"/>
        </w:rPr>
        <w:t>Consideraciones</w:t>
      </w:r>
    </w:p>
    <w:p w14:paraId="39803A65" w14:textId="490360A5" w:rsidR="00217CAB" w:rsidRPr="004C33D6" w:rsidRDefault="00217CAB" w:rsidP="00530211">
      <w:pPr>
        <w:spacing w:line="276" w:lineRule="auto"/>
        <w:jc w:val="both"/>
        <w:rPr>
          <w:rFonts w:ascii="Arial" w:hAnsi="Arial" w:cs="Arial"/>
          <w:color w:val="000000" w:themeColor="text1"/>
          <w:sz w:val="22"/>
          <w:lang w:val="es-ES"/>
        </w:rPr>
      </w:pPr>
    </w:p>
    <w:p w14:paraId="5B610E4C" w14:textId="77777777" w:rsidR="005E097A" w:rsidRDefault="005E097A" w:rsidP="005E097A">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Para resolver sus interrogantes se analizarán los siguientes temas:</w:t>
      </w:r>
      <w:r w:rsidRPr="004C33D6">
        <w:rPr>
          <w:rFonts w:ascii="Arial" w:hAnsi="Arial" w:cs="Arial"/>
          <w:color w:val="000000" w:themeColor="text1"/>
          <w:sz w:val="22"/>
          <w:lang w:val="es-ES"/>
        </w:rPr>
        <w:t xml:space="preserve"> i)</w:t>
      </w:r>
      <w:r>
        <w:rPr>
          <w:rFonts w:ascii="Arial" w:hAnsi="Arial" w:cs="Arial"/>
          <w:color w:val="000000" w:themeColor="text1"/>
          <w:sz w:val="22"/>
          <w:lang w:val="es-ES"/>
        </w:rPr>
        <w:t xml:space="preserve"> el régimen de contratación de las empresas prestadoras de servicio públicos, y</w:t>
      </w:r>
      <w:r w:rsidRPr="004C33D6">
        <w:rPr>
          <w:rFonts w:ascii="Arial" w:hAnsi="Arial" w:cs="Arial"/>
          <w:color w:val="000000" w:themeColor="text1"/>
          <w:sz w:val="22"/>
          <w:lang w:val="es-ES"/>
        </w:rPr>
        <w:t xml:space="preserve"> </w:t>
      </w:r>
      <w:proofErr w:type="spellStart"/>
      <w:r>
        <w:rPr>
          <w:rFonts w:ascii="Arial" w:hAnsi="Arial" w:cs="Arial"/>
          <w:color w:val="000000" w:themeColor="text1"/>
          <w:sz w:val="22"/>
          <w:lang w:val="es-ES"/>
        </w:rPr>
        <w:t>i</w:t>
      </w:r>
      <w:r w:rsidRPr="004C33D6">
        <w:rPr>
          <w:rFonts w:ascii="Arial" w:hAnsi="Arial" w:cs="Arial"/>
          <w:color w:val="000000" w:themeColor="text1"/>
          <w:sz w:val="22"/>
          <w:lang w:val="es-ES"/>
        </w:rPr>
        <w:t>i</w:t>
      </w:r>
      <w:proofErr w:type="spellEnd"/>
      <w:r w:rsidRPr="004C33D6">
        <w:rPr>
          <w:rFonts w:ascii="Arial" w:hAnsi="Arial" w:cs="Arial"/>
          <w:color w:val="000000" w:themeColor="text1"/>
          <w:sz w:val="22"/>
          <w:lang w:val="es-ES"/>
        </w:rPr>
        <w:t xml:space="preserve">) </w:t>
      </w:r>
      <w:r>
        <w:rPr>
          <w:rFonts w:ascii="Arial" w:hAnsi="Arial" w:cs="Arial"/>
          <w:color w:val="000000" w:themeColor="text1"/>
          <w:sz w:val="22"/>
          <w:lang w:val="es-ES"/>
        </w:rPr>
        <w:t xml:space="preserve">los Documentos Tipo de infraestructura de agua potable y saneamiento básico. </w:t>
      </w:r>
    </w:p>
    <w:p w14:paraId="356E5014" w14:textId="77777777" w:rsidR="005E097A" w:rsidRPr="00BF09DA" w:rsidRDefault="005E097A" w:rsidP="005E097A">
      <w:pPr>
        <w:tabs>
          <w:tab w:val="left" w:pos="426"/>
          <w:tab w:val="left" w:pos="851"/>
        </w:tabs>
        <w:spacing w:before="120" w:line="276" w:lineRule="auto"/>
        <w:ind w:firstLine="709"/>
        <w:jc w:val="both"/>
        <w:rPr>
          <w:rFonts w:ascii="Arial" w:eastAsia="Calibri" w:hAnsi="Arial" w:cs="Arial"/>
          <w:sz w:val="22"/>
          <w:lang w:val="es-ES_tradnl"/>
        </w:rPr>
      </w:pPr>
      <w:bookmarkStart w:id="5" w:name="_Hlk38448224"/>
      <w:r w:rsidRPr="00C135E7">
        <w:rPr>
          <w:rFonts w:ascii="Arial" w:eastAsia="Calibri" w:hAnsi="Arial" w:cs="Arial"/>
          <w:bCs/>
          <w:sz w:val="22"/>
          <w:lang w:val="es-ES_tradnl"/>
        </w:rPr>
        <w:t xml:space="preserve">La Agencia Nacional de Contratación Pública – Colombia Compra Eficiente </w:t>
      </w:r>
      <w:r>
        <w:rPr>
          <w:rFonts w:ascii="Arial" w:eastAsia="Calibri" w:hAnsi="Arial" w:cs="Arial"/>
          <w:bCs/>
          <w:sz w:val="22"/>
          <w:lang w:val="es-ES_tradnl"/>
        </w:rPr>
        <w:t xml:space="preserve">se </w:t>
      </w:r>
      <w:r w:rsidRPr="00C135E7">
        <w:rPr>
          <w:rFonts w:ascii="Arial" w:eastAsia="Calibri" w:hAnsi="Arial" w:cs="Arial"/>
          <w:bCs/>
          <w:sz w:val="22"/>
          <w:lang w:val="es-ES_tradnl"/>
        </w:rPr>
        <w:t xml:space="preserve">pronunció sobre el régimen contractual de los prestadores de servicios públicos </w:t>
      </w:r>
      <w:r w:rsidRPr="00C135E7">
        <w:rPr>
          <w:rFonts w:ascii="Arial" w:eastAsia="Calibri" w:hAnsi="Arial" w:cs="Arial"/>
          <w:bCs/>
          <w:color w:val="000000" w:themeColor="text1"/>
          <w:sz w:val="22"/>
          <w:lang w:val="es-ES_tradnl"/>
        </w:rPr>
        <w:t xml:space="preserve">domiciliarios en </w:t>
      </w:r>
      <w:r>
        <w:rPr>
          <w:rFonts w:ascii="Arial" w:eastAsia="Calibri" w:hAnsi="Arial" w:cs="Arial"/>
          <w:bCs/>
          <w:color w:val="000000" w:themeColor="text1"/>
          <w:sz w:val="22"/>
          <w:lang w:val="es-ES_tradnl"/>
        </w:rPr>
        <w:t>los</w:t>
      </w:r>
      <w:r w:rsidRPr="00C135E7">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C</w:t>
      </w:r>
      <w:r w:rsidRPr="00C135E7">
        <w:rPr>
          <w:rFonts w:ascii="Arial" w:eastAsia="Calibri" w:hAnsi="Arial" w:cs="Arial"/>
          <w:bCs/>
          <w:color w:val="000000" w:themeColor="text1"/>
          <w:sz w:val="22"/>
          <w:lang w:val="es-ES_tradnl"/>
        </w:rPr>
        <w:t>oncepto</w:t>
      </w:r>
      <w:r>
        <w:rPr>
          <w:rFonts w:ascii="Arial" w:eastAsia="Calibri" w:hAnsi="Arial" w:cs="Arial"/>
          <w:bCs/>
          <w:color w:val="000000" w:themeColor="text1"/>
          <w:sz w:val="22"/>
          <w:lang w:val="es-ES_tradnl"/>
        </w:rPr>
        <w:t>s</w:t>
      </w:r>
      <w:r w:rsidRPr="00C135E7">
        <w:rPr>
          <w:rFonts w:ascii="Arial" w:eastAsia="Calibri" w:hAnsi="Arial" w:cs="Arial"/>
          <w:bCs/>
          <w:color w:val="000000" w:themeColor="text1"/>
          <w:sz w:val="22"/>
          <w:lang w:val="es-ES_tradnl"/>
        </w:rPr>
        <w:t xml:space="preserve"> C-027 del 23 de enero de 2020</w:t>
      </w:r>
      <w:r>
        <w:rPr>
          <w:rFonts w:ascii="Arial" w:eastAsia="Calibri" w:hAnsi="Arial" w:cs="Arial"/>
          <w:bCs/>
          <w:color w:val="000000" w:themeColor="text1"/>
          <w:sz w:val="22"/>
          <w:lang w:val="es-ES_tradnl"/>
        </w:rPr>
        <w:t xml:space="preserve">, </w:t>
      </w:r>
      <w:r>
        <w:rPr>
          <w:rFonts w:ascii="Arial" w:hAnsi="Arial" w:cs="Arial"/>
          <w:sz w:val="22"/>
          <w:lang w:val="es-ES_tradnl"/>
        </w:rPr>
        <w:t>C-032 del 19 de febrero de 2020, C-157 del 16 de marzo de 2020, el C-147 del 17 de marzo de 2020, C-168 del 31 de marzo de 2020, C-158 del 3 de abril de 2020, C-227 del 7 de abril de 2020, C-362 del 3 de julio de 2020 y el C-462 del 24 de julio de 2020</w:t>
      </w:r>
      <w:r>
        <w:rPr>
          <w:rFonts w:ascii="Arial" w:eastAsia="Calibri" w:hAnsi="Arial" w:cs="Arial"/>
          <w:bCs/>
          <w:color w:val="000000" w:themeColor="text1"/>
          <w:sz w:val="22"/>
          <w:lang w:val="es-ES_tradnl"/>
        </w:rPr>
        <w:t>, C-718 del 17 de diciembre de 2020, C-053 del 9 de marzo de 2021, C-072 del 16 de marzo de 2021, C-077 del 16 de marzo de 2021 y C-218 del 14 de mayo de 2021</w:t>
      </w:r>
      <w:r>
        <w:rPr>
          <w:rFonts w:ascii="Arial" w:eastAsia="Calibri" w:hAnsi="Arial" w:cs="Arial"/>
          <w:sz w:val="22"/>
          <w:lang w:val="es-ES_tradnl"/>
        </w:rPr>
        <w:t xml:space="preserve">. </w:t>
      </w:r>
      <w:r w:rsidRPr="004B2621">
        <w:rPr>
          <w:rFonts w:ascii="Arial" w:eastAsia="Calibri" w:hAnsi="Arial" w:cs="Arial"/>
          <w:sz w:val="22"/>
          <w:lang w:val="es-ES_tradnl"/>
        </w:rPr>
        <w:t>Las tesis desarrolladas en estos conceptos se reiteran a continuación</w:t>
      </w:r>
      <w:r>
        <w:rPr>
          <w:rFonts w:ascii="Arial" w:eastAsia="Calibri" w:hAnsi="Arial" w:cs="Arial"/>
          <w:sz w:val="22"/>
          <w:lang w:val="es-ES_tradnl"/>
        </w:rPr>
        <w:t>:</w:t>
      </w:r>
      <w:bookmarkEnd w:id="5"/>
    </w:p>
    <w:p w14:paraId="6402DA44" w14:textId="77777777" w:rsidR="005E097A" w:rsidRPr="004C33D6" w:rsidRDefault="005E097A" w:rsidP="005E097A">
      <w:pPr>
        <w:jc w:val="both"/>
        <w:rPr>
          <w:rFonts w:ascii="Arial" w:hAnsi="Arial" w:cs="Arial"/>
          <w:color w:val="000000" w:themeColor="text1"/>
          <w:sz w:val="22"/>
          <w:lang w:val="es-ES"/>
        </w:rPr>
      </w:pPr>
    </w:p>
    <w:p w14:paraId="5C7C5C16" w14:textId="77777777" w:rsidR="005E097A" w:rsidRPr="00222BE8" w:rsidRDefault="005E097A" w:rsidP="005E097A">
      <w:pPr>
        <w:spacing w:line="276" w:lineRule="auto"/>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1</w:t>
      </w:r>
      <w:r w:rsidRPr="00222BE8">
        <w:rPr>
          <w:rFonts w:ascii="Arial" w:eastAsia="Calibri" w:hAnsi="Arial" w:cs="Arial"/>
          <w:b/>
          <w:color w:val="000000" w:themeColor="text1"/>
          <w:sz w:val="22"/>
          <w:lang w:val="es-ES_tradnl"/>
        </w:rPr>
        <w:t xml:space="preserve">. </w:t>
      </w:r>
      <w:r w:rsidRPr="00BB5698">
        <w:rPr>
          <w:rFonts w:ascii="Arial" w:eastAsia="Calibri" w:hAnsi="Arial" w:cs="Arial"/>
          <w:b/>
          <w:color w:val="000000" w:themeColor="text1"/>
          <w:sz w:val="22"/>
          <w:szCs w:val="24"/>
          <w:lang w:val="es-ES_tradnl" w:eastAsia="es-ES_tradnl"/>
        </w:rPr>
        <w:t>Régimen contractual aplicable a las empresas prestadoras de servicios públicos domiciliarios</w:t>
      </w:r>
    </w:p>
    <w:p w14:paraId="29E59BB9" w14:textId="77777777" w:rsidR="005E097A" w:rsidRDefault="005E097A" w:rsidP="005E097A">
      <w:pPr>
        <w:spacing w:line="276" w:lineRule="auto"/>
        <w:jc w:val="both"/>
        <w:rPr>
          <w:rFonts w:ascii="Arial" w:eastAsia="Calibri" w:hAnsi="Arial" w:cs="Arial"/>
          <w:color w:val="000000" w:themeColor="text1"/>
          <w:sz w:val="22"/>
          <w:lang w:val="es-ES_tradnl"/>
        </w:rPr>
      </w:pPr>
    </w:p>
    <w:p w14:paraId="6893D8FA" w14:textId="77777777" w:rsidR="005E097A" w:rsidRPr="00BB5698" w:rsidRDefault="005E097A" w:rsidP="005E097A">
      <w:pPr>
        <w:spacing w:line="276" w:lineRule="auto"/>
        <w:jc w:val="both"/>
        <w:rPr>
          <w:rFonts w:ascii="Arial" w:eastAsia="Calibri" w:hAnsi="Arial" w:cs="Arial"/>
          <w:color w:val="000000" w:themeColor="text1"/>
          <w:sz w:val="22"/>
          <w:szCs w:val="24"/>
          <w:lang w:val="es-ES_tradnl" w:eastAsia="es-ES_tradnl"/>
        </w:rPr>
      </w:pPr>
      <w:r w:rsidRPr="00BB5698">
        <w:rPr>
          <w:rFonts w:ascii="Arial" w:eastAsia="Calibri" w:hAnsi="Arial" w:cs="Arial"/>
          <w:color w:val="000000" w:themeColor="text1"/>
          <w:sz w:val="22"/>
          <w:szCs w:val="24"/>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BB5698">
        <w:rPr>
          <w:rFonts w:ascii="Arial" w:eastAsia="Calibri" w:hAnsi="Arial" w:cs="Arial"/>
          <w:color w:val="000000" w:themeColor="text1"/>
          <w:sz w:val="22"/>
          <w:szCs w:val="24"/>
          <w:vertAlign w:val="superscript"/>
          <w:lang w:val="es-ES_tradnl" w:eastAsia="es-ES_tradnl"/>
        </w:rPr>
        <w:footnoteReference w:id="2"/>
      </w:r>
      <w:r w:rsidRPr="00BB5698">
        <w:rPr>
          <w:rFonts w:ascii="Arial" w:eastAsia="Calibri" w:hAnsi="Arial" w:cs="Arial"/>
          <w:color w:val="000000" w:themeColor="text1"/>
          <w:sz w:val="22"/>
          <w:szCs w:val="24"/>
          <w:lang w:val="es-ES_tradnl" w:eastAsia="es-ES_tradnl"/>
        </w:rPr>
        <w:t xml:space="preserve">. En tal sentido, el artículo 365 de la Constitución </w:t>
      </w:r>
      <w:r>
        <w:rPr>
          <w:rFonts w:ascii="Arial" w:eastAsia="Calibri" w:hAnsi="Arial" w:cs="Arial"/>
          <w:color w:val="000000" w:themeColor="text1"/>
          <w:sz w:val="22"/>
          <w:szCs w:val="24"/>
          <w:lang w:val="es-ES_tradnl" w:eastAsia="es-ES_tradnl"/>
        </w:rPr>
        <w:t>dispone</w:t>
      </w:r>
      <w:r w:rsidRPr="00BB5698">
        <w:rPr>
          <w:rFonts w:ascii="Arial" w:eastAsia="Calibri" w:hAnsi="Arial" w:cs="Arial"/>
          <w:color w:val="000000" w:themeColor="text1"/>
          <w:sz w:val="22"/>
          <w:szCs w:val="24"/>
          <w:lang w:val="es-ES_tradnl" w:eastAsia="es-ES_tradnl"/>
        </w:rPr>
        <w:t xml:space="preserve"> lo siguiente:</w:t>
      </w:r>
    </w:p>
    <w:p w14:paraId="0AF7E7AF" w14:textId="77777777" w:rsidR="005E097A" w:rsidRPr="00BB5698" w:rsidRDefault="005E097A" w:rsidP="005E097A">
      <w:pPr>
        <w:ind w:left="709" w:right="709"/>
        <w:jc w:val="both"/>
        <w:rPr>
          <w:rFonts w:ascii="Arial" w:eastAsia="Calibri" w:hAnsi="Arial" w:cs="Arial"/>
          <w:color w:val="000000" w:themeColor="text1"/>
          <w:sz w:val="21"/>
          <w:szCs w:val="21"/>
          <w:lang w:val="es-ES_tradnl" w:eastAsia="es-ES_tradnl"/>
        </w:rPr>
      </w:pPr>
    </w:p>
    <w:p w14:paraId="637FD786" w14:textId="77777777" w:rsidR="005E097A" w:rsidRPr="00BB5698" w:rsidRDefault="005E097A" w:rsidP="005E097A">
      <w:pPr>
        <w:spacing w:after="120"/>
        <w:ind w:left="709" w:right="709"/>
        <w:jc w:val="both"/>
        <w:rPr>
          <w:rFonts w:ascii="Arial" w:eastAsia="Calibri" w:hAnsi="Arial" w:cs="Arial"/>
          <w:color w:val="000000" w:themeColor="text1"/>
          <w:sz w:val="21"/>
          <w:szCs w:val="21"/>
          <w:lang w:val="es-ES_tradnl" w:eastAsia="es-ES_tradnl"/>
        </w:rPr>
      </w:pPr>
      <w:r w:rsidRPr="00BB5698">
        <w:rPr>
          <w:rFonts w:ascii="Arial" w:eastAsia="Calibri" w:hAnsi="Arial" w:cs="Arial"/>
          <w:color w:val="000000" w:themeColor="text1"/>
          <w:sz w:val="21"/>
          <w:szCs w:val="21"/>
          <w:lang w:val="es-ES_tradnl" w:eastAsia="es-ES_tradnl"/>
        </w:rPr>
        <w:t>Los servicios públicos son inherentes a la finalidad social del Estado. Es deber del Estado asegurar su prestación eficiente a todos los habitantes del territorio nacional.</w:t>
      </w:r>
    </w:p>
    <w:p w14:paraId="3A7C1D4D" w14:textId="77777777" w:rsidR="005E097A" w:rsidRPr="00BB5698" w:rsidRDefault="005E097A" w:rsidP="005E097A">
      <w:pPr>
        <w:ind w:left="709" w:right="709"/>
        <w:jc w:val="both"/>
        <w:rPr>
          <w:rFonts w:ascii="Arial" w:eastAsia="Calibri" w:hAnsi="Arial" w:cs="Arial"/>
          <w:color w:val="000000" w:themeColor="text1"/>
          <w:sz w:val="21"/>
          <w:szCs w:val="21"/>
          <w:lang w:val="es-ES_tradnl" w:eastAsia="es-ES_tradnl"/>
        </w:rPr>
      </w:pPr>
      <w:r w:rsidRPr="00BB5698">
        <w:rPr>
          <w:rFonts w:ascii="Arial" w:eastAsia="Calibri" w:hAnsi="Arial" w:cs="Arial"/>
          <w:color w:val="000000" w:themeColor="text1"/>
          <w:sz w:val="21"/>
          <w:szCs w:val="21"/>
          <w:lang w:val="es-ES_tradnl" w:eastAsia="es-ES_tradnl"/>
        </w:rPr>
        <w:lastRenderedPageBreak/>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BB5698">
        <w:rPr>
          <w:rFonts w:ascii="Arial" w:eastAsia="Calibri" w:hAnsi="Arial" w:cs="Arial"/>
          <w:color w:val="000000" w:themeColor="text1"/>
          <w:sz w:val="21"/>
          <w:szCs w:val="21"/>
          <w:lang w:val="es-ES_tradnl" w:eastAsia="es-ES_tradnl"/>
        </w:rPr>
        <w:t>que</w:t>
      </w:r>
      <w:proofErr w:type="gramEnd"/>
      <w:r w:rsidRPr="00BB5698">
        <w:rPr>
          <w:rFonts w:ascii="Arial" w:eastAsia="Calibri" w:hAnsi="Arial" w:cs="Arial"/>
          <w:color w:val="000000" w:themeColor="text1"/>
          <w:sz w:val="21"/>
          <w:szCs w:val="21"/>
          <w:lang w:val="es-ES_tradnl" w:eastAsia="es-ES_tradnl"/>
        </w:rPr>
        <w:t xml:space="preserve"> en virtud de dicha ley, queden privadas del ejercicio de una actividad lícita.</w:t>
      </w:r>
    </w:p>
    <w:p w14:paraId="467CE2D9" w14:textId="77777777" w:rsidR="005E097A" w:rsidRPr="00BB5698" w:rsidRDefault="005E097A" w:rsidP="005E097A">
      <w:pPr>
        <w:spacing w:line="276" w:lineRule="auto"/>
        <w:ind w:firstLine="709"/>
        <w:jc w:val="both"/>
        <w:rPr>
          <w:rFonts w:ascii="Arial" w:eastAsia="Calibri" w:hAnsi="Arial" w:cs="Arial"/>
          <w:color w:val="000000" w:themeColor="text1"/>
          <w:sz w:val="22"/>
          <w:szCs w:val="24"/>
          <w:lang w:val="es-ES_tradnl" w:eastAsia="es-ES_tradnl"/>
        </w:rPr>
      </w:pPr>
    </w:p>
    <w:p w14:paraId="40176A6F" w14:textId="77777777" w:rsidR="005E097A" w:rsidRPr="00BB5698" w:rsidRDefault="005E097A" w:rsidP="005E097A">
      <w:pPr>
        <w:spacing w:line="276" w:lineRule="auto"/>
        <w:ind w:firstLine="709"/>
        <w:jc w:val="both"/>
        <w:rPr>
          <w:rFonts w:ascii="Arial" w:eastAsia="Calibri" w:hAnsi="Arial" w:cs="Arial"/>
          <w:color w:val="000000" w:themeColor="text1"/>
          <w:sz w:val="22"/>
          <w:szCs w:val="24"/>
          <w:lang w:val="es-ES_tradnl" w:eastAsia="es-ES_tradnl"/>
        </w:rPr>
      </w:pPr>
      <w:bookmarkStart w:id="6" w:name="_Hlk71791168"/>
      <w:r w:rsidRPr="006A443A">
        <w:rPr>
          <w:rFonts w:ascii="Arial" w:hAnsi="Arial" w:cs="Arial"/>
          <w:color w:val="000000"/>
          <w:sz w:val="22"/>
          <w:bdr w:val="none" w:sz="0" w:space="0" w:color="auto" w:frame="1"/>
        </w:rPr>
        <w:t>Con base en este presupuesto constitucional de liberalización de los servicios públicos domiciliarios el legislador expidió la Ley 142 de 1994</w:t>
      </w:r>
      <w:r>
        <w:rPr>
          <w:rFonts w:ascii="Arial" w:hAnsi="Arial" w:cs="Arial"/>
          <w:color w:val="000000"/>
          <w:sz w:val="22"/>
          <w:bdr w:val="none" w:sz="0" w:space="0" w:color="auto" w:frame="1"/>
        </w:rPr>
        <w:t xml:space="preserve">, mediante la cual se establece el régimen de los servicios públicos domiciliarios. </w:t>
      </w:r>
      <w:r>
        <w:rPr>
          <w:rFonts w:ascii="Arial" w:eastAsia="Calibri" w:hAnsi="Arial" w:cs="Arial"/>
          <w:color w:val="000000" w:themeColor="text1"/>
          <w:sz w:val="22"/>
          <w:szCs w:val="24"/>
          <w:lang w:eastAsia="es-ES_tradnl"/>
        </w:rPr>
        <w:t>E</w:t>
      </w:r>
      <w:r w:rsidRPr="00BB5698">
        <w:rPr>
          <w:rFonts w:ascii="Arial" w:eastAsia="Calibri" w:hAnsi="Arial" w:cs="Arial"/>
          <w:color w:val="000000" w:themeColor="text1"/>
          <w:sz w:val="22"/>
          <w:szCs w:val="24"/>
          <w:lang w:val="es-ES_tradnl" w:eastAsia="es-ES_tradnl"/>
        </w:rPr>
        <w:t xml:space="preserve">l </w:t>
      </w:r>
      <w:bookmarkStart w:id="7" w:name="_Hlk71294880"/>
      <w:r w:rsidRPr="00BB5698">
        <w:rPr>
          <w:rFonts w:ascii="Arial" w:eastAsia="Calibri" w:hAnsi="Arial" w:cs="Arial"/>
          <w:color w:val="000000" w:themeColor="text1"/>
          <w:sz w:val="22"/>
          <w:szCs w:val="24"/>
          <w:lang w:val="es-ES_tradnl" w:eastAsia="es-ES_tradnl"/>
        </w:rPr>
        <w:t xml:space="preserve">artículo 15 </w:t>
      </w:r>
      <w:bookmarkStart w:id="8" w:name="_Hlk71296753"/>
      <w:bookmarkEnd w:id="7"/>
      <w:proofErr w:type="spellStart"/>
      <w:r w:rsidRPr="00144AE7">
        <w:rPr>
          <w:rFonts w:ascii="Arial" w:eastAsia="Calibri" w:hAnsi="Arial" w:cs="Arial"/>
          <w:i/>
          <w:iCs/>
          <w:color w:val="000000" w:themeColor="text1"/>
          <w:sz w:val="22"/>
          <w:szCs w:val="24"/>
          <w:lang w:val="es-ES_tradnl" w:eastAsia="es-ES_tradnl"/>
        </w:rPr>
        <w:t>ibídem</w:t>
      </w:r>
      <w:proofErr w:type="spellEnd"/>
      <w:r>
        <w:rPr>
          <w:rFonts w:ascii="Arial" w:eastAsia="Calibri" w:hAnsi="Arial" w:cs="Arial"/>
          <w:color w:val="000000" w:themeColor="text1"/>
          <w:sz w:val="22"/>
          <w:szCs w:val="24"/>
          <w:lang w:val="es-ES_tradnl" w:eastAsia="es-ES_tradnl"/>
        </w:rPr>
        <w:t xml:space="preserve"> </w:t>
      </w:r>
      <w:r w:rsidRPr="00BB5698">
        <w:rPr>
          <w:rFonts w:ascii="Arial" w:eastAsia="Calibri" w:hAnsi="Arial" w:cs="Arial"/>
          <w:color w:val="000000" w:themeColor="text1"/>
          <w:sz w:val="22"/>
          <w:szCs w:val="24"/>
          <w:lang w:val="es-ES_tradnl" w:eastAsia="es-ES_tradnl"/>
        </w:rPr>
        <w:t xml:space="preserve">enuncia las </w:t>
      </w:r>
      <w:bookmarkStart w:id="9" w:name="_Hlk71294901"/>
      <w:r w:rsidRPr="00BB5698">
        <w:rPr>
          <w:rFonts w:ascii="Arial" w:eastAsia="Calibri" w:hAnsi="Arial" w:cs="Arial"/>
          <w:color w:val="000000" w:themeColor="text1"/>
          <w:sz w:val="22"/>
          <w:szCs w:val="24"/>
          <w:lang w:val="es-ES_tradnl" w:eastAsia="es-ES_tradnl"/>
        </w:rPr>
        <w:t xml:space="preserve">personas autorizadas para prestar los servicios públicos domiciliarios: </w:t>
      </w:r>
      <w:bookmarkEnd w:id="9"/>
      <w:r w:rsidRPr="00BB5698">
        <w:rPr>
          <w:rFonts w:ascii="Arial" w:eastAsia="Calibri" w:hAnsi="Arial" w:cs="Arial"/>
          <w:color w:val="000000" w:themeColor="text1"/>
          <w:sz w:val="22"/>
          <w:szCs w:val="24"/>
          <w:lang w:val="es-ES_tradnl" w:eastAsia="es-ES_tradnl"/>
        </w:rPr>
        <w:t xml:space="preserve">i) las empresas de servicios públicos, </w:t>
      </w:r>
      <w:proofErr w:type="spellStart"/>
      <w:r w:rsidRPr="00BB5698">
        <w:rPr>
          <w:rFonts w:ascii="Arial" w:eastAsia="Calibri" w:hAnsi="Arial" w:cs="Arial"/>
          <w:color w:val="000000" w:themeColor="text1"/>
          <w:sz w:val="22"/>
          <w:szCs w:val="24"/>
          <w:lang w:val="es-ES_tradnl" w:eastAsia="es-ES_tradnl"/>
        </w:rPr>
        <w:t>ii</w:t>
      </w:r>
      <w:proofErr w:type="spellEnd"/>
      <w:r w:rsidRPr="00BB5698">
        <w:rPr>
          <w:rFonts w:ascii="Arial" w:eastAsia="Calibri" w:hAnsi="Arial" w:cs="Arial"/>
          <w:color w:val="000000" w:themeColor="text1"/>
          <w:sz w:val="22"/>
          <w:szCs w:val="24"/>
          <w:lang w:val="es-ES_tradnl" w:eastAsia="es-ES_tradnl"/>
        </w:rPr>
        <w:t xml:space="preserve">) los productores marginales, </w:t>
      </w:r>
      <w:proofErr w:type="spellStart"/>
      <w:r w:rsidRPr="00BB5698">
        <w:rPr>
          <w:rFonts w:ascii="Arial" w:eastAsia="Calibri" w:hAnsi="Arial" w:cs="Arial"/>
          <w:color w:val="000000" w:themeColor="text1"/>
          <w:sz w:val="22"/>
          <w:szCs w:val="24"/>
          <w:lang w:val="es-ES_tradnl" w:eastAsia="es-ES_tradnl"/>
        </w:rPr>
        <w:t>iii</w:t>
      </w:r>
      <w:proofErr w:type="spellEnd"/>
      <w:r w:rsidRPr="00BB5698">
        <w:rPr>
          <w:rFonts w:ascii="Arial" w:eastAsia="Calibri" w:hAnsi="Arial" w:cs="Arial"/>
          <w:color w:val="000000" w:themeColor="text1"/>
          <w:sz w:val="22"/>
          <w:szCs w:val="24"/>
          <w:lang w:val="es-ES_tradnl" w:eastAsia="es-ES_tradnl"/>
        </w:rPr>
        <w:t xml:space="preserve">) los municipios, en ciertos casos, </w:t>
      </w:r>
      <w:proofErr w:type="spellStart"/>
      <w:r w:rsidRPr="00BB5698">
        <w:rPr>
          <w:rFonts w:ascii="Arial" w:eastAsia="Calibri" w:hAnsi="Arial" w:cs="Arial"/>
          <w:color w:val="000000" w:themeColor="text1"/>
          <w:sz w:val="22"/>
          <w:szCs w:val="24"/>
          <w:lang w:val="es-ES_tradnl" w:eastAsia="es-ES_tradnl"/>
        </w:rPr>
        <w:t>iv</w:t>
      </w:r>
      <w:proofErr w:type="spellEnd"/>
      <w:r w:rsidRPr="00BB5698">
        <w:rPr>
          <w:rFonts w:ascii="Arial" w:eastAsia="Calibri" w:hAnsi="Arial" w:cs="Arial"/>
          <w:color w:val="000000" w:themeColor="text1"/>
          <w:sz w:val="22"/>
          <w:szCs w:val="24"/>
          <w:lang w:val="es-ES_tradnl" w:eastAsia="es-ES_tradnl"/>
        </w:rPr>
        <w:t>) las organizaciones autorizadas y v) las entidades descentralizadas que se encontraran prestándolos y cumplan los requisitos establecidos en la le</w:t>
      </w:r>
      <w:bookmarkEnd w:id="8"/>
      <w:r w:rsidRPr="00BB5698">
        <w:rPr>
          <w:rFonts w:ascii="Arial" w:eastAsia="Calibri" w:hAnsi="Arial" w:cs="Arial"/>
          <w:color w:val="000000" w:themeColor="text1"/>
          <w:sz w:val="22"/>
          <w:szCs w:val="24"/>
          <w:lang w:val="es-ES_tradnl" w:eastAsia="es-ES_tradnl"/>
        </w:rPr>
        <w:t>y</w:t>
      </w:r>
      <w:bookmarkEnd w:id="6"/>
      <w:r w:rsidRPr="00BB5698">
        <w:rPr>
          <w:rFonts w:ascii="Arial" w:eastAsia="Calibri" w:hAnsi="Arial" w:cs="Arial"/>
          <w:color w:val="000000" w:themeColor="text1"/>
          <w:sz w:val="22"/>
          <w:szCs w:val="24"/>
          <w:vertAlign w:val="superscript"/>
          <w:lang w:val="es-ES_tradnl" w:eastAsia="es-ES_tradnl"/>
        </w:rPr>
        <w:footnoteReference w:id="3"/>
      </w:r>
      <w:r w:rsidRPr="00BB5698">
        <w:rPr>
          <w:rFonts w:ascii="Arial" w:eastAsia="Calibri" w:hAnsi="Arial" w:cs="Arial"/>
          <w:color w:val="000000" w:themeColor="text1"/>
          <w:sz w:val="22"/>
          <w:szCs w:val="24"/>
          <w:lang w:val="es-ES_tradnl" w:eastAsia="es-ES_tradnl"/>
        </w:rPr>
        <w:t>.</w:t>
      </w:r>
    </w:p>
    <w:p w14:paraId="5D5B08BA" w14:textId="77777777" w:rsidR="005E097A" w:rsidRPr="00530211" w:rsidRDefault="005E097A" w:rsidP="005E097A">
      <w:pPr>
        <w:spacing w:before="120" w:line="276" w:lineRule="auto"/>
        <w:ind w:firstLine="709"/>
        <w:jc w:val="both"/>
        <w:rPr>
          <w:rFonts w:ascii="Arial" w:eastAsia="Calibri" w:hAnsi="Arial" w:cs="Arial"/>
          <w:color w:val="000000" w:themeColor="text1"/>
          <w:sz w:val="22"/>
          <w:szCs w:val="24"/>
          <w:lang w:val="es-ES_tradnl" w:eastAsia="es-ES_tradnl"/>
        </w:rPr>
      </w:pPr>
      <w:r>
        <w:rPr>
          <w:rFonts w:ascii="Arial" w:eastAsia="Calibri" w:hAnsi="Arial" w:cs="Arial"/>
          <w:color w:val="000000" w:themeColor="text1"/>
          <w:sz w:val="22"/>
          <w:szCs w:val="24"/>
          <w:lang w:val="es-ES_tradnl" w:eastAsia="es-ES_tradnl"/>
        </w:rPr>
        <w:t>El artículo 14 de dicha Ley, clasificó a l</w:t>
      </w:r>
      <w:r w:rsidRPr="00BB5698">
        <w:rPr>
          <w:rFonts w:ascii="Arial" w:eastAsia="Calibri" w:hAnsi="Arial" w:cs="Arial"/>
          <w:color w:val="000000" w:themeColor="text1"/>
          <w:sz w:val="22"/>
          <w:szCs w:val="24"/>
          <w:lang w:val="es-ES_tradnl" w:eastAsia="es-ES_tradnl"/>
        </w:rPr>
        <w:t>a</w:t>
      </w:r>
      <w:r>
        <w:rPr>
          <w:rFonts w:ascii="Arial" w:eastAsia="Calibri" w:hAnsi="Arial" w:cs="Arial"/>
          <w:color w:val="000000" w:themeColor="text1"/>
          <w:sz w:val="22"/>
          <w:szCs w:val="24"/>
          <w:lang w:val="es-ES_tradnl" w:eastAsia="es-ES_tradnl"/>
        </w:rPr>
        <w:t>s</w:t>
      </w:r>
      <w:r w:rsidRPr="00BB5698">
        <w:rPr>
          <w:rFonts w:ascii="Arial" w:eastAsia="Calibri" w:hAnsi="Arial" w:cs="Arial"/>
          <w:color w:val="000000" w:themeColor="text1"/>
          <w:sz w:val="22"/>
          <w:szCs w:val="24"/>
          <w:lang w:val="es-ES_tradnl" w:eastAsia="es-ES_tradnl"/>
        </w:rPr>
        <w:t xml:space="preserve"> empresa</w:t>
      </w:r>
      <w:r>
        <w:rPr>
          <w:rFonts w:ascii="Arial" w:eastAsia="Calibri" w:hAnsi="Arial" w:cs="Arial"/>
          <w:color w:val="000000" w:themeColor="text1"/>
          <w:sz w:val="22"/>
          <w:szCs w:val="24"/>
          <w:lang w:val="es-ES_tradnl" w:eastAsia="es-ES_tradnl"/>
        </w:rPr>
        <w:t>s</w:t>
      </w:r>
      <w:r w:rsidRPr="00BB5698">
        <w:rPr>
          <w:rFonts w:ascii="Arial" w:eastAsia="Calibri" w:hAnsi="Arial" w:cs="Arial"/>
          <w:color w:val="000000" w:themeColor="text1"/>
          <w:sz w:val="22"/>
          <w:szCs w:val="24"/>
          <w:lang w:val="es-ES_tradnl" w:eastAsia="es-ES_tradnl"/>
        </w:rPr>
        <w:t xml:space="preserve"> d</w:t>
      </w:r>
      <w:r>
        <w:rPr>
          <w:rFonts w:ascii="Arial" w:eastAsia="Calibri" w:hAnsi="Arial" w:cs="Arial"/>
          <w:color w:val="000000" w:themeColor="text1"/>
          <w:sz w:val="22"/>
          <w:szCs w:val="24"/>
          <w:lang w:val="es-ES_tradnl" w:eastAsia="es-ES_tradnl"/>
        </w:rPr>
        <w:t>e</w:t>
      </w:r>
      <w:r w:rsidRPr="00BB5698">
        <w:rPr>
          <w:rFonts w:ascii="Arial" w:eastAsia="Calibri" w:hAnsi="Arial" w:cs="Arial"/>
          <w:color w:val="000000" w:themeColor="text1"/>
          <w:sz w:val="22"/>
          <w:szCs w:val="24"/>
          <w:lang w:val="es-ES_tradnl" w:eastAsia="es-ES_tradnl"/>
        </w:rPr>
        <w:t xml:space="preserve"> servicios públicos domiciliarios </w:t>
      </w:r>
      <w:r>
        <w:rPr>
          <w:rFonts w:ascii="Arial" w:eastAsia="Calibri" w:hAnsi="Arial" w:cs="Arial"/>
          <w:color w:val="000000" w:themeColor="text1"/>
          <w:sz w:val="22"/>
          <w:szCs w:val="24"/>
          <w:lang w:val="es-ES_tradnl" w:eastAsia="es-ES_tradnl"/>
        </w:rPr>
        <w:t>así</w:t>
      </w:r>
      <w:r w:rsidRPr="00BB5698">
        <w:rPr>
          <w:rFonts w:ascii="Arial" w:eastAsia="Calibri" w:hAnsi="Arial" w:cs="Arial"/>
          <w:color w:val="000000" w:themeColor="text1"/>
          <w:sz w:val="22"/>
          <w:szCs w:val="24"/>
          <w:lang w:val="es-ES_tradnl" w:eastAsia="es-ES_tradnl"/>
        </w:rPr>
        <w:t xml:space="preserve">: i) oficial –«[…] aquella en cuyo capital la Nación, las entidades territoriales, o las entidades descentralizadas de aquella o estas tienen el 100% de los aportes»–, </w:t>
      </w:r>
      <w:proofErr w:type="spellStart"/>
      <w:r w:rsidRPr="00BB5698">
        <w:rPr>
          <w:rFonts w:ascii="Arial" w:eastAsia="Calibri" w:hAnsi="Arial" w:cs="Arial"/>
          <w:color w:val="000000" w:themeColor="text1"/>
          <w:sz w:val="22"/>
          <w:szCs w:val="24"/>
          <w:lang w:val="es-ES_tradnl" w:eastAsia="es-ES_tradnl"/>
        </w:rPr>
        <w:t>ii</w:t>
      </w:r>
      <w:proofErr w:type="spellEnd"/>
      <w:r w:rsidRPr="00BB5698">
        <w:rPr>
          <w:rFonts w:ascii="Arial" w:eastAsia="Calibri" w:hAnsi="Arial" w:cs="Arial"/>
          <w:color w:val="000000" w:themeColor="text1"/>
          <w:sz w:val="22"/>
          <w:szCs w:val="24"/>
          <w:lang w:val="es-ES_tradnl" w:eastAsia="es-ES_tradnl"/>
        </w:rPr>
        <w:t xml:space="preserve">) mixta –«[…] aquella en cuyo capital la Nación, las entidades territoriales, o las entidades descentralizadas de aquella o éstas tienen aportes iguales o superiores al 50%»– y </w:t>
      </w:r>
      <w:proofErr w:type="spellStart"/>
      <w:r w:rsidRPr="00BB5698">
        <w:rPr>
          <w:rFonts w:ascii="Arial" w:eastAsia="Calibri" w:hAnsi="Arial" w:cs="Arial"/>
          <w:color w:val="000000" w:themeColor="text1"/>
          <w:sz w:val="22"/>
          <w:szCs w:val="24"/>
          <w:lang w:val="es-ES_tradnl" w:eastAsia="es-ES_tradnl"/>
        </w:rPr>
        <w:t>iii</w:t>
      </w:r>
      <w:proofErr w:type="spellEnd"/>
      <w:r w:rsidRPr="00BB5698">
        <w:rPr>
          <w:rFonts w:ascii="Arial" w:eastAsia="Calibri" w:hAnsi="Arial" w:cs="Arial"/>
          <w:color w:val="000000" w:themeColor="text1"/>
          <w:sz w:val="22"/>
          <w:szCs w:val="24"/>
          <w:lang w:val="es-ES_tradnl" w:eastAsia="es-ES_tradnl"/>
        </w:rPr>
        <w:t>) privada –«[…] aquella cuyo capital pertenece mayoritariamente a particulares, o a entidades surgidas de convenios internacionales que deseen someterse íntegramente para estos efectos a las reglas a las que se someten los particulares»–.</w:t>
      </w:r>
    </w:p>
    <w:p w14:paraId="086AB0B3" w14:textId="77777777" w:rsidR="005E097A" w:rsidRPr="00BB5698" w:rsidRDefault="005E097A" w:rsidP="005E097A">
      <w:pPr>
        <w:spacing w:before="120" w:line="276" w:lineRule="auto"/>
        <w:ind w:firstLine="709"/>
        <w:jc w:val="both"/>
        <w:rPr>
          <w:rFonts w:ascii="Arial" w:eastAsia="Calibri" w:hAnsi="Arial" w:cs="Arial"/>
          <w:color w:val="000000" w:themeColor="text1"/>
          <w:sz w:val="22"/>
          <w:szCs w:val="24"/>
          <w:lang w:val="es-ES_tradnl" w:eastAsia="es-ES_tradnl"/>
        </w:rPr>
      </w:pPr>
      <w:r>
        <w:rPr>
          <w:rFonts w:ascii="Arial" w:eastAsia="Calibri" w:hAnsi="Arial" w:cs="Arial"/>
          <w:color w:val="000000" w:themeColor="text1"/>
          <w:sz w:val="22"/>
          <w:szCs w:val="24"/>
          <w:lang w:val="es-ES_tradnl" w:eastAsia="es-ES_tradnl"/>
        </w:rPr>
        <w:t>En lo que atañe específicamente al régimen de contratación, e</w:t>
      </w:r>
      <w:r w:rsidRPr="00BB5698">
        <w:rPr>
          <w:rFonts w:ascii="Arial" w:eastAsia="Calibri" w:hAnsi="Arial" w:cs="Arial"/>
          <w:color w:val="000000" w:themeColor="text1"/>
          <w:sz w:val="22"/>
          <w:szCs w:val="24"/>
          <w:lang w:val="es-ES_tradnl" w:eastAsia="es-ES_tradnl"/>
        </w:rPr>
        <w:t xml:space="preserve">l artículo 31 de la Ley 142 de 1994, modificado por el artículo 3 de la Ley 689 de 2001, </w:t>
      </w:r>
      <w:r>
        <w:rPr>
          <w:rFonts w:ascii="Arial" w:eastAsia="Calibri" w:hAnsi="Arial" w:cs="Arial"/>
          <w:color w:val="000000" w:themeColor="text1"/>
          <w:sz w:val="22"/>
          <w:szCs w:val="24"/>
          <w:lang w:val="es-ES_tradnl" w:eastAsia="es-ES_tradnl"/>
        </w:rPr>
        <w:t>dispone</w:t>
      </w:r>
      <w:r w:rsidRPr="00BB5698">
        <w:rPr>
          <w:rFonts w:ascii="Arial" w:eastAsia="Calibri" w:hAnsi="Arial" w:cs="Arial"/>
          <w:color w:val="000000" w:themeColor="text1"/>
          <w:sz w:val="22"/>
          <w:szCs w:val="24"/>
          <w:lang w:val="es-ES_tradnl" w:eastAsia="es-ES_tradnl"/>
        </w:rPr>
        <w:t xml:space="preserve"> que</w:t>
      </w:r>
      <w:r w:rsidRPr="00144AE7">
        <w:rPr>
          <w:rFonts w:ascii="Arial" w:hAnsi="Arial" w:cs="Arial"/>
          <w:color w:val="000000"/>
          <w:sz w:val="22"/>
          <w:bdr w:val="none" w:sz="0" w:space="0" w:color="auto" w:frame="1"/>
        </w:rPr>
        <w:t xml:space="preserve"> </w:t>
      </w:r>
      <w:r w:rsidRPr="006A443A">
        <w:rPr>
          <w:rFonts w:ascii="Arial" w:hAnsi="Arial" w:cs="Arial"/>
          <w:color w:val="000000"/>
          <w:sz w:val="22"/>
          <w:bdr w:val="none" w:sz="0" w:space="0" w:color="auto" w:frame="1"/>
        </w:rPr>
        <w:t>l</w:t>
      </w:r>
      <w:r>
        <w:rPr>
          <w:rFonts w:ascii="Arial" w:hAnsi="Arial" w:cs="Arial"/>
          <w:color w:val="000000"/>
          <w:sz w:val="22"/>
          <w:bdr w:val="none" w:sz="0" w:space="0" w:color="auto" w:frame="1"/>
        </w:rPr>
        <w:t>os contratos que celebren las</w:t>
      </w:r>
      <w:r w:rsidRPr="006A443A">
        <w:rPr>
          <w:rFonts w:ascii="Arial" w:hAnsi="Arial" w:cs="Arial"/>
          <w:color w:val="000000"/>
          <w:sz w:val="22"/>
          <w:bdr w:val="none" w:sz="0" w:space="0" w:color="auto" w:frame="1"/>
        </w:rPr>
        <w:t xml:space="preserve"> entidades estatales que prestan los servicios públicos domiciliarios </w:t>
      </w:r>
      <w:r>
        <w:rPr>
          <w:rFonts w:ascii="Arial" w:hAnsi="Arial" w:cs="Arial"/>
          <w:color w:val="000000"/>
          <w:sz w:val="22"/>
          <w:bdr w:val="none" w:sz="0" w:space="0" w:color="auto" w:frame="1"/>
        </w:rPr>
        <w:t>«</w:t>
      </w:r>
      <w:r w:rsidRPr="006A443A">
        <w:rPr>
          <w:rFonts w:ascii="Arial" w:hAnsi="Arial" w:cs="Arial"/>
          <w:color w:val="000000"/>
          <w:sz w:val="22"/>
          <w:bdr w:val="none" w:sz="0" w:space="0" w:color="auto" w:frame="1"/>
        </w:rPr>
        <w:t xml:space="preserve">no estarán sujetos a las disposiciones del Estatuto General de Contratación de la </w:t>
      </w:r>
      <w:r w:rsidRPr="006A443A">
        <w:rPr>
          <w:rFonts w:ascii="Arial" w:hAnsi="Arial" w:cs="Arial"/>
          <w:color w:val="000000"/>
          <w:sz w:val="22"/>
          <w:bdr w:val="none" w:sz="0" w:space="0" w:color="auto" w:frame="1"/>
        </w:rPr>
        <w:lastRenderedPageBreak/>
        <w:t>Administración Pública, salvo en lo que la presente ley disponga otra cosa</w:t>
      </w:r>
      <w:r>
        <w:rPr>
          <w:rFonts w:ascii="Arial" w:hAnsi="Arial" w:cs="Arial"/>
          <w:color w:val="000000"/>
          <w:sz w:val="22"/>
          <w:bdr w:val="none" w:sz="0" w:space="0" w:color="auto" w:frame="1"/>
        </w:rPr>
        <w:t>»</w:t>
      </w:r>
      <w:r w:rsidRPr="00BB5698">
        <w:rPr>
          <w:rFonts w:ascii="Arial" w:eastAsia="Calibri" w:hAnsi="Arial" w:cs="Arial"/>
          <w:color w:val="000000" w:themeColor="text1"/>
          <w:sz w:val="22"/>
          <w:szCs w:val="24"/>
          <w:lang w:val="es-ES_tradnl" w:eastAsia="es-ES_tradnl"/>
        </w:rPr>
        <w:t>.</w:t>
      </w:r>
      <w:r>
        <w:rPr>
          <w:rFonts w:ascii="Arial" w:eastAsia="Calibri" w:hAnsi="Arial" w:cs="Arial"/>
          <w:color w:val="000000" w:themeColor="text1"/>
          <w:sz w:val="22"/>
          <w:szCs w:val="24"/>
          <w:lang w:val="es-ES_tradnl" w:eastAsia="es-ES_tradnl"/>
        </w:rPr>
        <w:t xml:space="preserve"> </w:t>
      </w:r>
      <w:r w:rsidRPr="00BB5698">
        <w:rPr>
          <w:rFonts w:ascii="Arial" w:eastAsia="Calibri" w:hAnsi="Arial" w:cs="Arial"/>
          <w:color w:val="000000" w:themeColor="text1"/>
          <w:sz w:val="22"/>
          <w:szCs w:val="24"/>
          <w:lang w:val="es-ES_tradnl" w:eastAsia="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BB5698">
        <w:rPr>
          <w:rFonts w:ascii="Arial" w:eastAsia="Calibri" w:hAnsi="Arial" w:cs="Arial"/>
          <w:color w:val="000000" w:themeColor="text1"/>
          <w:sz w:val="22"/>
          <w:szCs w:val="24"/>
          <w:vertAlign w:val="superscript"/>
          <w:lang w:val="es-ES_tradnl" w:eastAsia="es-ES_tradnl"/>
        </w:rPr>
        <w:footnoteReference w:id="4"/>
      </w:r>
      <w:r w:rsidRPr="00BB5698">
        <w:rPr>
          <w:rFonts w:ascii="Arial" w:eastAsia="Calibri" w:hAnsi="Arial" w:cs="Arial"/>
          <w:color w:val="000000" w:themeColor="text1"/>
          <w:sz w:val="22"/>
          <w:szCs w:val="24"/>
          <w:lang w:val="es-ES_tradnl" w:eastAsia="es-ES_tradnl"/>
        </w:rPr>
        <w:t>.</w:t>
      </w:r>
    </w:p>
    <w:p w14:paraId="00097070" w14:textId="77777777" w:rsidR="005E097A" w:rsidRPr="00BB5698" w:rsidRDefault="005E097A" w:rsidP="005E097A">
      <w:pPr>
        <w:spacing w:before="120" w:line="276" w:lineRule="auto"/>
        <w:ind w:firstLine="709"/>
        <w:jc w:val="both"/>
        <w:rPr>
          <w:rFonts w:ascii="Arial" w:eastAsia="Calibri" w:hAnsi="Arial" w:cs="Arial"/>
          <w:color w:val="000000" w:themeColor="text1"/>
          <w:sz w:val="22"/>
          <w:szCs w:val="24"/>
          <w:lang w:val="es-ES_tradnl" w:eastAsia="es-ES_tradnl"/>
        </w:rPr>
      </w:pPr>
      <w:r w:rsidRPr="00BB5698">
        <w:rPr>
          <w:rFonts w:ascii="Arial" w:eastAsia="Calibri" w:hAnsi="Arial" w:cs="Arial"/>
          <w:color w:val="000000" w:themeColor="text1"/>
          <w:sz w:val="22"/>
          <w:szCs w:val="24"/>
          <w:lang w:val="es-ES_tradnl" w:eastAsia="es-ES_tradnl"/>
        </w:rPr>
        <w:t xml:space="preserve">En consecuencia, </w:t>
      </w:r>
      <w:r>
        <w:rPr>
          <w:rFonts w:ascii="Arial" w:eastAsia="Calibri" w:hAnsi="Arial" w:cs="Arial"/>
          <w:color w:val="000000" w:themeColor="text1"/>
          <w:sz w:val="22"/>
          <w:szCs w:val="24"/>
          <w:lang w:val="es-ES_tradnl" w:eastAsia="es-ES_tradnl"/>
        </w:rPr>
        <w:t xml:space="preserve">de la lectura sistemática de las normas referidas puede concluirse que </w:t>
      </w:r>
      <w:r w:rsidRPr="00BB5698">
        <w:rPr>
          <w:rFonts w:ascii="Arial" w:eastAsia="Calibri" w:hAnsi="Arial" w:cs="Arial"/>
          <w:color w:val="000000" w:themeColor="text1"/>
          <w:sz w:val="22"/>
          <w:szCs w:val="24"/>
          <w:lang w:val="es-ES_tradnl" w:eastAsia="es-ES_tradnl"/>
        </w:rPr>
        <w:t>el régimen jurídico</w:t>
      </w:r>
      <w:r>
        <w:rPr>
          <w:rFonts w:ascii="Arial" w:eastAsia="Calibri" w:hAnsi="Arial" w:cs="Arial"/>
          <w:color w:val="000000" w:themeColor="text1"/>
          <w:sz w:val="22"/>
          <w:szCs w:val="24"/>
          <w:lang w:val="es-ES_tradnl" w:eastAsia="es-ES_tradnl"/>
        </w:rPr>
        <w:t xml:space="preserve"> que,</w:t>
      </w:r>
      <w:r w:rsidRPr="00BB5698">
        <w:rPr>
          <w:rFonts w:ascii="Arial" w:eastAsia="Calibri" w:hAnsi="Arial" w:cs="Arial"/>
          <w:color w:val="000000" w:themeColor="text1"/>
          <w:sz w:val="22"/>
          <w:szCs w:val="24"/>
          <w:lang w:val="es-ES_tradnl" w:eastAsia="es-ES_tradnl"/>
        </w:rPr>
        <w:t xml:space="preserve"> por regla general, debe aplicarse a la contratación que efectúan las empresas prestadoras de servicios públicos domiciliarios es el derecho privado, y solo excepcionalmente el contenido en el Estatuto General de Contratación de la Administración Pública</w:t>
      </w:r>
      <w:r w:rsidRPr="00BB5698">
        <w:rPr>
          <w:rFonts w:ascii="Arial" w:eastAsia="Calibri" w:hAnsi="Arial" w:cs="Arial"/>
          <w:color w:val="000000" w:themeColor="text1"/>
          <w:sz w:val="21"/>
          <w:szCs w:val="21"/>
          <w:vertAlign w:val="superscript"/>
          <w:lang w:val="es-ES_tradnl" w:eastAsia="es-ES_tradnl"/>
        </w:rPr>
        <w:footnoteReference w:id="5"/>
      </w:r>
      <w:r w:rsidRPr="00BB5698">
        <w:rPr>
          <w:rFonts w:ascii="Arial" w:eastAsia="Calibri" w:hAnsi="Arial" w:cs="Arial"/>
          <w:color w:val="000000" w:themeColor="text1"/>
          <w:sz w:val="21"/>
          <w:szCs w:val="21"/>
          <w:lang w:val="es-ES_tradnl" w:eastAsia="es-ES_tradnl"/>
        </w:rPr>
        <w:t>.</w:t>
      </w:r>
      <w:r>
        <w:rPr>
          <w:rFonts w:ascii="Arial" w:eastAsia="Calibri" w:hAnsi="Arial" w:cs="Arial"/>
          <w:color w:val="000000" w:themeColor="text1"/>
          <w:sz w:val="22"/>
          <w:szCs w:val="24"/>
          <w:lang w:val="es-ES_tradnl" w:eastAsia="es-ES_tradnl"/>
        </w:rPr>
        <w:t xml:space="preserve"> </w:t>
      </w:r>
      <w:r w:rsidRPr="00BB5698">
        <w:rPr>
          <w:rFonts w:ascii="Arial" w:eastAsia="Calibri" w:hAnsi="Arial" w:cs="Arial"/>
          <w:color w:val="000000" w:themeColor="text1"/>
          <w:sz w:val="22"/>
          <w:szCs w:val="24"/>
          <w:lang w:val="es-ES_tradnl" w:eastAsia="es-ES_tradnl"/>
        </w:rPr>
        <w:t xml:space="preserve">En otras palabras, </w:t>
      </w:r>
      <w:bookmarkStart w:id="10" w:name="_Hlk71653647"/>
      <w:r w:rsidRPr="00BB5698">
        <w:rPr>
          <w:rFonts w:ascii="Arial" w:eastAsia="Calibri" w:hAnsi="Arial" w:cs="Arial"/>
          <w:color w:val="000000" w:themeColor="text1"/>
          <w:sz w:val="22"/>
          <w:szCs w:val="24"/>
          <w:lang w:val="es-ES_tradnl" w:eastAsia="es-ES_tradnl"/>
        </w:rPr>
        <w:t xml:space="preserve">las empresas prestadoras de servicios públicos domiciliarios </w:t>
      </w:r>
      <w:bookmarkStart w:id="11" w:name="_Hlk71738505"/>
      <w:r w:rsidRPr="00BB5698">
        <w:rPr>
          <w:rFonts w:ascii="Arial" w:eastAsia="Calibri" w:hAnsi="Arial" w:cs="Arial"/>
          <w:color w:val="000000" w:themeColor="text1"/>
          <w:sz w:val="22"/>
          <w:szCs w:val="24"/>
          <w:lang w:val="es-ES_tradnl" w:eastAsia="es-ES_tradnl"/>
        </w:rPr>
        <w:t>se sujetan, en su actividad contractual, a las disposiciones del derecho privado, salvo en aquellos casos en los que la Constitución, la Ley 142 de 1994 u otras leyes especiales, somet</w:t>
      </w:r>
      <w:r>
        <w:rPr>
          <w:rFonts w:ascii="Arial" w:eastAsia="Calibri" w:hAnsi="Arial" w:cs="Arial"/>
          <w:color w:val="000000" w:themeColor="text1"/>
          <w:sz w:val="22"/>
          <w:szCs w:val="24"/>
          <w:lang w:val="es-ES_tradnl" w:eastAsia="es-ES_tradnl"/>
        </w:rPr>
        <w:t>a</w:t>
      </w:r>
      <w:r w:rsidRPr="00BB5698">
        <w:rPr>
          <w:rFonts w:ascii="Arial" w:eastAsia="Calibri" w:hAnsi="Arial" w:cs="Arial"/>
          <w:color w:val="000000" w:themeColor="text1"/>
          <w:sz w:val="22"/>
          <w:szCs w:val="24"/>
          <w:lang w:val="es-ES_tradnl" w:eastAsia="es-ES_tradnl"/>
        </w:rPr>
        <w:t xml:space="preserve">n </w:t>
      </w:r>
      <w:r>
        <w:rPr>
          <w:rFonts w:ascii="Arial" w:eastAsia="Calibri" w:hAnsi="Arial" w:cs="Arial"/>
          <w:color w:val="000000" w:themeColor="text1"/>
          <w:sz w:val="22"/>
          <w:szCs w:val="24"/>
          <w:lang w:val="es-ES_tradnl" w:eastAsia="es-ES_tradnl"/>
        </w:rPr>
        <w:t xml:space="preserve">tal conducta </w:t>
      </w:r>
      <w:r w:rsidRPr="00BB5698">
        <w:rPr>
          <w:rFonts w:ascii="Arial" w:eastAsia="Calibri" w:hAnsi="Arial" w:cs="Arial"/>
          <w:color w:val="000000" w:themeColor="text1"/>
          <w:sz w:val="22"/>
          <w:szCs w:val="24"/>
          <w:lang w:val="es-ES_tradnl" w:eastAsia="es-ES_tradnl"/>
        </w:rPr>
        <w:t xml:space="preserve">al Estatuto General de Contratación de la Administración Pública, es decir, a la Ley 80 de 1993, Ley 1150 de 2007 y demás normas complementarias. </w:t>
      </w:r>
    </w:p>
    <w:bookmarkEnd w:id="10"/>
    <w:bookmarkEnd w:id="11"/>
    <w:p w14:paraId="052B2F04" w14:textId="77777777" w:rsidR="005E097A" w:rsidRDefault="005E097A" w:rsidP="005E097A">
      <w:pPr>
        <w:spacing w:before="120" w:line="276" w:lineRule="auto"/>
        <w:ind w:firstLine="709"/>
        <w:jc w:val="both"/>
        <w:rPr>
          <w:rFonts w:ascii="Arial" w:eastAsia="Calibri" w:hAnsi="Arial" w:cs="Arial"/>
          <w:color w:val="000000" w:themeColor="text1"/>
          <w:sz w:val="22"/>
          <w:szCs w:val="24"/>
          <w:lang w:val="es-ES_tradnl" w:eastAsia="es-ES_tradnl"/>
        </w:rPr>
      </w:pPr>
      <w:r w:rsidRPr="00BB5698">
        <w:rPr>
          <w:rFonts w:ascii="Arial" w:eastAsia="Calibri" w:hAnsi="Arial" w:cs="Arial"/>
          <w:color w:val="000000" w:themeColor="text1"/>
          <w:sz w:val="22"/>
          <w:szCs w:val="24"/>
          <w:lang w:val="es-ES_tradnl" w:eastAsia="es-ES_tradnl"/>
        </w:rPr>
        <w:t>Lo anterior no significa que la actividad contractual de las empresas prestadoras de servicios públicos domiciliarios</w:t>
      </w:r>
      <w:r>
        <w:rPr>
          <w:rFonts w:ascii="Arial" w:eastAsia="Calibri" w:hAnsi="Arial" w:cs="Arial"/>
          <w:color w:val="000000" w:themeColor="text1"/>
          <w:sz w:val="22"/>
          <w:szCs w:val="24"/>
          <w:lang w:val="es-ES_tradnl" w:eastAsia="es-ES_tradnl"/>
        </w:rPr>
        <w:t xml:space="preserve"> se rija por</w:t>
      </w:r>
      <w:r w:rsidRPr="00BB5698">
        <w:rPr>
          <w:rFonts w:ascii="Arial" w:eastAsia="Calibri" w:hAnsi="Arial" w:cs="Arial"/>
          <w:color w:val="000000" w:themeColor="text1"/>
          <w:sz w:val="22"/>
          <w:szCs w:val="24"/>
          <w:lang w:val="es-ES_tradnl" w:eastAsia="es-ES_tradnl"/>
        </w:rPr>
        <w:t xml:space="preserve"> un «derecho privado puro», pues este se encuentra irrigado por los principios de la función administrativa y de la gestión fiscal, previstos en los artículos 209 y 267 de la Constitución, toda vez que así lo </w:t>
      </w:r>
      <w:r>
        <w:rPr>
          <w:rFonts w:ascii="Arial" w:eastAsia="Calibri" w:hAnsi="Arial" w:cs="Arial"/>
          <w:color w:val="000000" w:themeColor="text1"/>
          <w:sz w:val="22"/>
          <w:szCs w:val="24"/>
          <w:lang w:val="es-ES_tradnl" w:eastAsia="es-ES_tradnl"/>
        </w:rPr>
        <w:t>dispone</w:t>
      </w:r>
      <w:r w:rsidRPr="00BB5698">
        <w:rPr>
          <w:rFonts w:ascii="Arial" w:eastAsia="Calibri" w:hAnsi="Arial" w:cs="Arial"/>
          <w:color w:val="000000" w:themeColor="text1"/>
          <w:sz w:val="22"/>
          <w:szCs w:val="24"/>
          <w:lang w:val="es-ES_tradnl" w:eastAsia="es-ES_tradnl"/>
        </w:rPr>
        <w:t xml:space="preserve"> el artículo 13 de la Ley 1150 de 2007</w:t>
      </w:r>
      <w:r w:rsidRPr="00BB5698">
        <w:rPr>
          <w:rFonts w:ascii="Arial" w:eastAsia="Calibri" w:hAnsi="Arial" w:cs="Arial"/>
          <w:color w:val="000000" w:themeColor="text1"/>
          <w:sz w:val="22"/>
          <w:szCs w:val="24"/>
          <w:vertAlign w:val="superscript"/>
          <w:lang w:val="es-ES_tradnl" w:eastAsia="es-ES_tradnl"/>
        </w:rPr>
        <w:footnoteReference w:id="6"/>
      </w:r>
      <w:r w:rsidRPr="00BB5698">
        <w:rPr>
          <w:rFonts w:ascii="Arial" w:eastAsia="Calibri" w:hAnsi="Arial" w:cs="Arial"/>
          <w:color w:val="000000" w:themeColor="text1"/>
          <w:sz w:val="22"/>
          <w:szCs w:val="24"/>
          <w:lang w:val="es-ES_tradnl" w:eastAsia="es-ES_tradnl"/>
        </w:rPr>
        <w:t>.</w:t>
      </w:r>
    </w:p>
    <w:p w14:paraId="64B75404" w14:textId="77777777" w:rsidR="005E097A" w:rsidRDefault="005E097A" w:rsidP="005E097A">
      <w:pPr>
        <w:spacing w:line="276" w:lineRule="auto"/>
        <w:jc w:val="both"/>
        <w:rPr>
          <w:rFonts w:ascii="Arial" w:eastAsia="Calibri" w:hAnsi="Arial" w:cs="Arial"/>
          <w:b/>
          <w:color w:val="000000" w:themeColor="text1"/>
          <w:sz w:val="22"/>
          <w:lang w:val="es-ES_tradnl"/>
        </w:rPr>
      </w:pPr>
    </w:p>
    <w:p w14:paraId="681F0159" w14:textId="77777777" w:rsidR="005E097A" w:rsidRDefault="005E097A" w:rsidP="005E097A">
      <w:pPr>
        <w:spacing w:line="276" w:lineRule="auto"/>
        <w:jc w:val="both"/>
        <w:rPr>
          <w:rFonts w:ascii="Arial" w:eastAsia="Calibri" w:hAnsi="Arial" w:cs="Arial"/>
          <w:b/>
          <w:bCs/>
          <w:color w:val="000000"/>
          <w:sz w:val="22"/>
          <w:lang w:eastAsia="en-GB"/>
        </w:rPr>
      </w:pPr>
      <w:r>
        <w:rPr>
          <w:rFonts w:ascii="Arial" w:eastAsia="Calibri" w:hAnsi="Arial" w:cs="Arial"/>
          <w:b/>
          <w:color w:val="000000" w:themeColor="text1"/>
          <w:sz w:val="22"/>
          <w:lang w:val="es-ES_tradnl"/>
        </w:rPr>
        <w:lastRenderedPageBreak/>
        <w:t xml:space="preserve">2.2. </w:t>
      </w:r>
      <w:r w:rsidRPr="00FF4961">
        <w:rPr>
          <w:rFonts w:ascii="Arial" w:eastAsia="Calibri" w:hAnsi="Arial" w:cs="Arial"/>
          <w:b/>
          <w:bCs/>
          <w:color w:val="000000"/>
          <w:sz w:val="22"/>
          <w:lang w:eastAsia="en-GB"/>
        </w:rPr>
        <w:t xml:space="preserve">Documentos tipo de licitación </w:t>
      </w:r>
      <w:r>
        <w:rPr>
          <w:rFonts w:ascii="Arial" w:eastAsia="Calibri" w:hAnsi="Arial" w:cs="Arial"/>
          <w:b/>
          <w:bCs/>
          <w:color w:val="000000"/>
          <w:sz w:val="22"/>
          <w:lang w:eastAsia="en-GB"/>
        </w:rPr>
        <w:t>pública para</w:t>
      </w:r>
      <w:r w:rsidRPr="00FF4961">
        <w:rPr>
          <w:rFonts w:ascii="Arial" w:eastAsia="Calibri" w:hAnsi="Arial" w:cs="Arial"/>
          <w:b/>
          <w:bCs/>
          <w:color w:val="000000"/>
          <w:sz w:val="22"/>
          <w:lang w:eastAsia="en-GB"/>
        </w:rPr>
        <w:t xml:space="preserve"> obra de</w:t>
      </w:r>
      <w:r>
        <w:rPr>
          <w:rFonts w:ascii="Arial" w:eastAsia="Calibri" w:hAnsi="Arial" w:cs="Arial"/>
          <w:b/>
          <w:bCs/>
          <w:color w:val="000000"/>
          <w:sz w:val="22"/>
          <w:lang w:eastAsia="en-GB"/>
        </w:rPr>
        <w:t xml:space="preserve"> infraestructura de</w:t>
      </w:r>
      <w:r w:rsidRPr="00FF4961">
        <w:rPr>
          <w:rFonts w:ascii="Arial" w:eastAsia="Calibri" w:hAnsi="Arial" w:cs="Arial"/>
          <w:b/>
          <w:bCs/>
          <w:color w:val="000000"/>
          <w:sz w:val="22"/>
          <w:lang w:eastAsia="en-GB"/>
        </w:rPr>
        <w:t xml:space="preserve"> agua potable y saneamiento básico</w:t>
      </w:r>
    </w:p>
    <w:p w14:paraId="0883B08A" w14:textId="77777777" w:rsidR="005E097A" w:rsidRPr="005D2900" w:rsidRDefault="005E097A" w:rsidP="005E097A">
      <w:pPr>
        <w:spacing w:line="276" w:lineRule="auto"/>
        <w:jc w:val="both"/>
        <w:rPr>
          <w:rFonts w:ascii="Arial" w:eastAsia="Calibri" w:hAnsi="Arial" w:cs="Arial"/>
          <w:color w:val="000000" w:themeColor="text1"/>
          <w:sz w:val="22"/>
          <w:szCs w:val="24"/>
          <w:lang w:val="es-ES_tradnl" w:eastAsia="es-ES_tradnl"/>
        </w:rPr>
      </w:pPr>
    </w:p>
    <w:p w14:paraId="3F18659D" w14:textId="77777777" w:rsidR="005E097A" w:rsidRPr="00B86741" w:rsidRDefault="005E097A" w:rsidP="005E097A">
      <w:pPr>
        <w:spacing w:line="276" w:lineRule="auto"/>
        <w:jc w:val="both"/>
        <w:rPr>
          <w:rFonts w:ascii="Arial" w:eastAsia="Calibri" w:hAnsi="Arial" w:cs="Arial"/>
          <w:sz w:val="22"/>
        </w:rPr>
      </w:pPr>
      <w:r>
        <w:rPr>
          <w:rFonts w:ascii="Arial" w:eastAsia="Calibri" w:hAnsi="Arial" w:cs="Arial"/>
          <w:sz w:val="22"/>
          <w:lang w:val="es-CO"/>
        </w:rPr>
        <w:t>E</w:t>
      </w:r>
      <w:r w:rsidRPr="00B86741">
        <w:rPr>
          <w:rFonts w:ascii="Arial" w:eastAsia="Calibri" w:hAnsi="Arial" w:cs="Arial"/>
          <w:sz w:val="22"/>
        </w:rPr>
        <w:t>l artículo 1 Ley 2022 de 2020</w:t>
      </w:r>
      <w:r>
        <w:rPr>
          <w:rFonts w:ascii="Arial" w:eastAsia="Calibri" w:hAnsi="Arial" w:cs="Arial"/>
          <w:sz w:val="22"/>
          <w:szCs w:val="24"/>
          <w:lang w:val="es-CO" w:eastAsia="es-ES_tradnl"/>
        </w:rPr>
        <w:t xml:space="preserve"> </w:t>
      </w:r>
      <w:r w:rsidRPr="00B86741">
        <w:rPr>
          <w:rFonts w:ascii="Arial" w:eastAsia="Calibri" w:hAnsi="Arial" w:cs="Arial"/>
          <w:sz w:val="22"/>
          <w:szCs w:val="24"/>
          <w:lang w:val="es-CO" w:eastAsia="es-ES_tradnl"/>
        </w:rPr>
        <w:t>otorgó a la Agencia Nacional de Contratación Pública – Colombia Compra Eficiente la competencia para adoptar los documentos tipo</w:t>
      </w:r>
      <w:r w:rsidRPr="00B86741">
        <w:rPr>
          <w:rFonts w:ascii="Arial" w:eastAsia="Calibri" w:hAnsi="Arial" w:cs="Arial"/>
          <w:sz w:val="22"/>
          <w:vertAlign w:val="superscript"/>
        </w:rPr>
        <w:footnoteReference w:id="7"/>
      </w:r>
      <w:r w:rsidRPr="00B86741">
        <w:rPr>
          <w:rFonts w:ascii="Arial" w:eastAsia="Calibri" w:hAnsi="Arial" w:cs="Arial"/>
          <w:sz w:val="22"/>
          <w:szCs w:val="24"/>
          <w:lang w:val="es-CO" w:eastAsia="es-ES_tradnl"/>
        </w:rPr>
        <w:t xml:space="preserve">. </w:t>
      </w:r>
      <w:r>
        <w:rPr>
          <w:rFonts w:ascii="Arial" w:eastAsia="Calibri" w:hAnsi="Arial" w:cs="Arial"/>
          <w:sz w:val="22"/>
          <w:szCs w:val="24"/>
          <w:lang w:val="es-CO" w:eastAsia="es-ES_tradnl"/>
        </w:rPr>
        <w:t>Así mismo</w:t>
      </w:r>
      <w:r w:rsidRPr="00B86741">
        <w:rPr>
          <w:rFonts w:ascii="Arial" w:eastAsia="Calibri" w:hAnsi="Arial" w:cs="Arial"/>
          <w:sz w:val="22"/>
          <w:szCs w:val="24"/>
          <w:lang w:val="es-CO" w:eastAsia="es-ES_tradnl"/>
        </w:rPr>
        <w:t>, reiteró la obligatoriedad de</w:t>
      </w:r>
      <w:r>
        <w:rPr>
          <w:rFonts w:ascii="Arial" w:eastAsia="Calibri" w:hAnsi="Arial" w:cs="Arial"/>
          <w:sz w:val="22"/>
          <w:szCs w:val="24"/>
          <w:lang w:val="es-CO" w:eastAsia="es-ES_tradnl"/>
        </w:rPr>
        <w:t xml:space="preserve">l uso de los documentos tipo </w:t>
      </w:r>
      <w:r w:rsidRPr="00B86741">
        <w:rPr>
          <w:rFonts w:ascii="Arial" w:eastAsia="Calibri" w:hAnsi="Arial" w:cs="Arial"/>
          <w:sz w:val="22"/>
          <w:szCs w:val="24"/>
          <w:lang w:val="es-CO" w:eastAsia="es-ES_tradnl"/>
        </w:rPr>
        <w:t xml:space="preserve">para </w:t>
      </w:r>
      <w:r w:rsidRPr="00B86741">
        <w:rPr>
          <w:rFonts w:ascii="Arial" w:eastAsia="Calibri" w:hAnsi="Arial" w:cs="Arial"/>
          <w:sz w:val="22"/>
        </w:rPr>
        <w:t xml:space="preserve">todas las entidades públicas </w:t>
      </w:r>
      <w:r>
        <w:rPr>
          <w:rFonts w:ascii="Arial" w:eastAsia="Calibri" w:hAnsi="Arial" w:cs="Arial"/>
          <w:sz w:val="22"/>
        </w:rPr>
        <w:t xml:space="preserve">sometidas </w:t>
      </w:r>
      <w:r w:rsidRPr="00B86741">
        <w:rPr>
          <w:rFonts w:ascii="Arial" w:eastAsia="Calibri" w:hAnsi="Arial" w:cs="Arial"/>
          <w:sz w:val="22"/>
        </w:rPr>
        <w:t>al Estatuto General de la Contratación de la Administración Pública ‒EGCAP‒</w:t>
      </w:r>
      <w:r>
        <w:rPr>
          <w:rFonts w:ascii="Arial" w:eastAsia="Calibri" w:hAnsi="Arial" w:cs="Arial"/>
          <w:sz w:val="22"/>
        </w:rPr>
        <w:t xml:space="preserve">. Esto significa que los documentos tipo son una fuente obligatoria para las entidades sometidas a la Ley 80 de 1993 al momento de adelantar los procesos de selección contractual, teniendo en cuenta el ámbito de aplicación de estos. </w:t>
      </w:r>
    </w:p>
    <w:p w14:paraId="25FF1CD1" w14:textId="77777777" w:rsidR="005E097A" w:rsidRDefault="005E097A" w:rsidP="005E097A">
      <w:pPr>
        <w:spacing w:before="120" w:line="276" w:lineRule="auto"/>
        <w:ind w:firstLine="709"/>
        <w:jc w:val="both"/>
        <w:rPr>
          <w:rFonts w:ascii="Arial" w:eastAsia="Calibri" w:hAnsi="Arial" w:cs="Arial"/>
          <w:sz w:val="22"/>
        </w:rPr>
      </w:pPr>
      <w:r>
        <w:rPr>
          <w:rFonts w:ascii="Arial" w:eastAsia="Times New Roman" w:hAnsi="Arial" w:cs="Arial"/>
          <w:color w:val="000000"/>
          <w:sz w:val="22"/>
          <w:bdr w:val="none" w:sz="0" w:space="0" w:color="auto" w:frame="1"/>
          <w:lang w:val="es-CO" w:eastAsia="es-ES_tradnl"/>
        </w:rPr>
        <w:t xml:space="preserve">Así, en desarrollo del </w:t>
      </w:r>
      <w:r w:rsidRPr="00B86741">
        <w:rPr>
          <w:rFonts w:ascii="Arial" w:eastAsia="Times New Roman" w:hAnsi="Arial" w:cs="Arial"/>
          <w:color w:val="000000"/>
          <w:sz w:val="22"/>
          <w:bdr w:val="none" w:sz="0" w:space="0" w:color="auto" w:frame="1"/>
          <w:lang w:val="es-CO" w:eastAsia="es-ES_tradnl"/>
        </w:rPr>
        <w:t xml:space="preserve">artículo 1 de la Ley 2022 de 2020, esta Agencia </w:t>
      </w:r>
      <w:r>
        <w:rPr>
          <w:rFonts w:ascii="Arial" w:eastAsia="Times New Roman" w:hAnsi="Arial" w:cs="Arial"/>
          <w:color w:val="000000"/>
          <w:sz w:val="22"/>
          <w:bdr w:val="none" w:sz="0" w:space="0" w:color="auto" w:frame="1"/>
          <w:lang w:val="es-CO" w:eastAsia="es-ES_tradnl"/>
        </w:rPr>
        <w:t>expidió</w:t>
      </w:r>
      <w:r w:rsidRPr="00B86741">
        <w:rPr>
          <w:rFonts w:ascii="Arial" w:eastAsia="Times New Roman" w:hAnsi="Arial" w:cs="Arial"/>
          <w:color w:val="000000"/>
          <w:sz w:val="22"/>
          <w:bdr w:val="none" w:sz="0" w:space="0" w:color="auto" w:frame="1"/>
          <w:lang w:val="es-CO" w:eastAsia="es-ES_tradnl"/>
        </w:rPr>
        <w:t xml:space="preserve"> </w:t>
      </w:r>
      <w:r w:rsidRPr="00B86741">
        <w:rPr>
          <w:rFonts w:ascii="Arial" w:eastAsia="Calibri" w:hAnsi="Arial" w:cs="Arial"/>
          <w:sz w:val="22"/>
        </w:rPr>
        <w:t>las Resoluciones No</w:t>
      </w:r>
      <w:r>
        <w:rPr>
          <w:rFonts w:ascii="Arial" w:eastAsia="Calibri" w:hAnsi="Arial" w:cs="Arial"/>
          <w:sz w:val="22"/>
        </w:rPr>
        <w:t>s</w:t>
      </w:r>
      <w:r w:rsidRPr="00B86741">
        <w:rPr>
          <w:rFonts w:ascii="Arial" w:eastAsia="Calibri" w:hAnsi="Arial" w:cs="Arial"/>
          <w:sz w:val="22"/>
        </w:rPr>
        <w:t>. 248 y 249 del 1 de diciembre de 2020.</w:t>
      </w:r>
      <w:r w:rsidRPr="00B86741">
        <w:rPr>
          <w:rFonts w:ascii="Arial" w:eastAsia="Calibri" w:hAnsi="Arial" w:cs="Arial"/>
          <w:sz w:val="22"/>
          <w:szCs w:val="24"/>
          <w:lang w:val="es-CO" w:eastAsia="es-ES_tradnl"/>
        </w:rPr>
        <w:t xml:space="preserve"> Mediante </w:t>
      </w:r>
      <w:r>
        <w:rPr>
          <w:rFonts w:ascii="Arial" w:eastAsia="Calibri" w:hAnsi="Arial" w:cs="Arial"/>
          <w:sz w:val="22"/>
          <w:szCs w:val="24"/>
          <w:lang w:val="es-CO" w:eastAsia="es-ES_tradnl"/>
        </w:rPr>
        <w:t>estos</w:t>
      </w:r>
      <w:r w:rsidRPr="00B86741">
        <w:rPr>
          <w:rFonts w:ascii="Arial" w:eastAsia="Calibri" w:hAnsi="Arial" w:cs="Arial"/>
          <w:sz w:val="22"/>
          <w:szCs w:val="24"/>
          <w:lang w:val="es-CO" w:eastAsia="es-ES_tradnl"/>
        </w:rPr>
        <w:t xml:space="preserve">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B86741">
        <w:rPr>
          <w:rFonts w:ascii="Arial" w:eastAsia="Calibri" w:hAnsi="Arial" w:cs="Arial"/>
          <w:sz w:val="22"/>
          <w:lang w:val="es-CO"/>
        </w:rPr>
        <w:t xml:space="preserve"> </w:t>
      </w:r>
    </w:p>
    <w:p w14:paraId="47013D2A" w14:textId="77777777" w:rsidR="005E097A" w:rsidRPr="00A012A1" w:rsidRDefault="005E097A" w:rsidP="005E097A">
      <w:pPr>
        <w:pStyle w:val="xmsonospacing"/>
        <w:spacing w:before="120" w:beforeAutospacing="0" w:after="0" w:afterAutospacing="0" w:line="276" w:lineRule="auto"/>
        <w:ind w:firstLine="708"/>
        <w:jc w:val="both"/>
        <w:rPr>
          <w:rFonts w:ascii="Arial" w:eastAsia="Calibri" w:hAnsi="Arial" w:cs="Arial"/>
          <w:sz w:val="22"/>
          <w:szCs w:val="22"/>
          <w:lang w:val="es-MX" w:eastAsia="en-US"/>
        </w:rPr>
      </w:pPr>
      <w:r>
        <w:rPr>
          <w:rFonts w:ascii="Arial" w:hAnsi="Arial" w:cs="Arial"/>
          <w:color w:val="000000"/>
          <w:sz w:val="22"/>
          <w:szCs w:val="22"/>
          <w:bdr w:val="none" w:sz="0" w:space="0" w:color="auto" w:frame="1"/>
        </w:rPr>
        <w:t>Según el artículo 2 de las Resoluciones citadas, l</w:t>
      </w:r>
      <w:r w:rsidRPr="00D77CBA">
        <w:rPr>
          <w:rFonts w:ascii="Arial" w:hAnsi="Arial" w:cs="Arial"/>
          <w:color w:val="000000"/>
          <w:sz w:val="22"/>
          <w:szCs w:val="22"/>
          <w:bdr w:val="none" w:sz="0" w:space="0" w:color="auto" w:frame="1"/>
        </w:rPr>
        <w:t xml:space="preserve">os documentos tipo contienen parámetros obligatorios para </w:t>
      </w:r>
      <w:bookmarkStart w:id="12" w:name="_Hlk71652815"/>
      <w:r w:rsidRPr="00D77CBA">
        <w:rPr>
          <w:rFonts w:ascii="Arial" w:hAnsi="Arial" w:cs="Arial"/>
          <w:color w:val="000000"/>
          <w:sz w:val="22"/>
          <w:szCs w:val="22"/>
          <w:bdr w:val="none" w:sz="0" w:space="0" w:color="auto" w:frame="1"/>
        </w:rPr>
        <w:t>las entidades estatales sometidas</w:t>
      </w:r>
      <w:bookmarkEnd w:id="12"/>
      <w:r w:rsidRPr="00D77CBA">
        <w:rPr>
          <w:rFonts w:ascii="Arial" w:hAnsi="Arial" w:cs="Arial"/>
          <w:color w:val="000000"/>
          <w:sz w:val="22"/>
          <w:szCs w:val="22"/>
          <w:bdr w:val="none" w:sz="0" w:space="0" w:color="auto" w:frame="1"/>
        </w:rPr>
        <w:t xml:space="preserve"> al Estatuto General de Contratación de la Administración Pública que adelanten contratos de obra de infraestructura de agua potable y saneamiento básico, que se realicen por la modalidad de </w:t>
      </w:r>
      <w:r w:rsidRPr="00D77CBA">
        <w:rPr>
          <w:rFonts w:ascii="Arial" w:hAnsi="Arial" w:cs="Arial"/>
          <w:color w:val="000000"/>
          <w:sz w:val="22"/>
          <w:szCs w:val="22"/>
          <w:bdr w:val="none" w:sz="0" w:space="0" w:color="auto" w:frame="1"/>
        </w:rPr>
        <w:lastRenderedPageBreak/>
        <w:t>licitación pública</w:t>
      </w:r>
      <w:r w:rsidRPr="00260EA4">
        <w:rPr>
          <w:rFonts w:ascii="Arial" w:hAnsi="Arial" w:cs="Arial"/>
          <w:color w:val="000000"/>
          <w:sz w:val="22"/>
          <w:szCs w:val="22"/>
          <w:bdr w:val="none" w:sz="0" w:space="0" w:color="auto" w:frame="1"/>
        </w:rPr>
        <w:t>.</w:t>
      </w:r>
      <w:r w:rsidRPr="00E96F75">
        <w:rPr>
          <w:rFonts w:ascii="Arial" w:hAnsi="Arial" w:cs="Arial"/>
          <w:color w:val="000000"/>
          <w:sz w:val="22"/>
          <w:szCs w:val="22"/>
          <w:bdr w:val="none" w:sz="0" w:space="0" w:color="auto" w:frame="1"/>
        </w:rPr>
        <w:t> </w:t>
      </w:r>
      <w:r>
        <w:rPr>
          <w:rFonts w:ascii="Arial" w:eastAsiaTheme="minorHAnsi" w:hAnsi="Arial" w:cs="Arial"/>
          <w:color w:val="0D0D0D" w:themeColor="text1" w:themeTint="F2"/>
          <w:sz w:val="22"/>
          <w:szCs w:val="22"/>
          <w:lang w:val="es-MX" w:eastAsia="en-US"/>
        </w:rPr>
        <w:t>P</w:t>
      </w:r>
      <w:r w:rsidRPr="005D5A26">
        <w:rPr>
          <w:rFonts w:ascii="Arial" w:eastAsiaTheme="minorHAnsi" w:hAnsi="Arial" w:cs="Arial"/>
          <w:color w:val="0D0D0D" w:themeColor="text1" w:themeTint="F2"/>
          <w:sz w:val="22"/>
          <w:szCs w:val="22"/>
          <w:lang w:val="es-MX" w:eastAsia="en-US"/>
        </w:rPr>
        <w:t>ara determinar el ámbito de aplicación de los documentos tipo debe acudirse a la «Matriz 1 – Experiencia»</w:t>
      </w:r>
      <w:r>
        <w:rPr>
          <w:rFonts w:ascii="Arial" w:eastAsiaTheme="minorHAnsi" w:hAnsi="Arial" w:cs="Arial"/>
          <w:color w:val="0D0D0D" w:themeColor="text1" w:themeTint="F2"/>
          <w:sz w:val="22"/>
          <w:szCs w:val="22"/>
          <w:lang w:val="es-MX" w:eastAsia="en-US"/>
        </w:rPr>
        <w:t xml:space="preserve">, en la que se contemplan cinco (5) clases de obra de infraestructura de agua potable y saneamiento básico. </w:t>
      </w:r>
    </w:p>
    <w:p w14:paraId="159459CA" w14:textId="77777777" w:rsidR="005E097A" w:rsidRPr="00BB5698" w:rsidRDefault="005E097A" w:rsidP="005E097A">
      <w:pPr>
        <w:spacing w:before="120" w:line="276" w:lineRule="auto"/>
        <w:ind w:firstLine="703"/>
        <w:jc w:val="both"/>
        <w:textAlignment w:val="baseline"/>
        <w:rPr>
          <w:rFonts w:ascii="Arial" w:eastAsia="Times New Roman" w:hAnsi="Arial" w:cs="Arial"/>
          <w:sz w:val="22"/>
          <w:lang w:val="es-ES" w:eastAsia="es-ES"/>
        </w:rPr>
      </w:pPr>
      <w:r>
        <w:rPr>
          <w:rFonts w:ascii="Arial" w:eastAsia="Calibri" w:hAnsi="Arial" w:cs="Arial"/>
          <w:sz w:val="22"/>
          <w:lang w:val="es-CO"/>
        </w:rPr>
        <w:t xml:space="preserve">De acuerdo con lo anterior, </w:t>
      </w:r>
      <w:r>
        <w:rPr>
          <w:rFonts w:ascii="Arial" w:eastAsia="Times New Roman" w:hAnsi="Arial" w:cs="Arial"/>
          <w:sz w:val="22"/>
          <w:lang w:val="es-ES" w:eastAsia="es-ES"/>
        </w:rPr>
        <w:t>los</w:t>
      </w:r>
      <w:r w:rsidRPr="00BB5698">
        <w:rPr>
          <w:rFonts w:ascii="Arial" w:eastAsia="Times New Roman" w:hAnsi="Arial" w:cs="Arial"/>
          <w:sz w:val="22"/>
          <w:lang w:val="es-ES" w:eastAsia="es-ES"/>
        </w:rPr>
        <w:t xml:space="preserve"> criterios para determinar si procede de forma obligatoria la contratación de una actividad mediante los documentos tipo</w:t>
      </w:r>
      <w:r>
        <w:rPr>
          <w:rFonts w:ascii="Arial" w:eastAsia="Times New Roman" w:hAnsi="Arial" w:cs="Arial"/>
          <w:sz w:val="22"/>
          <w:lang w:val="es-ES" w:eastAsia="es-ES"/>
        </w:rPr>
        <w:t xml:space="preserve"> son los siguientes</w:t>
      </w:r>
      <w:r w:rsidRPr="00BB5698">
        <w:rPr>
          <w:rFonts w:ascii="Arial" w:eastAsia="Times New Roman" w:hAnsi="Arial" w:cs="Arial"/>
          <w:sz w:val="22"/>
          <w:lang w:val="es-ES" w:eastAsia="es-ES"/>
        </w:rPr>
        <w:t xml:space="preserve">: i) que se trate de una obra pública de infraestructura de </w:t>
      </w:r>
      <w:r w:rsidRPr="00BB5698">
        <w:rPr>
          <w:rFonts w:ascii="Arial" w:eastAsia="Calibri" w:hAnsi="Arial" w:cs="Arial"/>
          <w:sz w:val="22"/>
          <w:szCs w:val="24"/>
          <w:lang w:val="es-ES" w:eastAsia="es-ES"/>
        </w:rPr>
        <w:t xml:space="preserve">agua potable y saneamiento básico, cuyo proceso de selección </w:t>
      </w:r>
      <w:r>
        <w:rPr>
          <w:rFonts w:ascii="Arial" w:eastAsia="Calibri" w:hAnsi="Arial" w:cs="Arial"/>
          <w:sz w:val="22"/>
          <w:szCs w:val="24"/>
          <w:lang w:val="es-ES" w:eastAsia="es-ES"/>
        </w:rPr>
        <w:t>deba adelantarse por</w:t>
      </w:r>
      <w:r w:rsidRPr="00BB5698">
        <w:rPr>
          <w:rFonts w:ascii="Arial" w:eastAsia="Calibri" w:hAnsi="Arial" w:cs="Arial"/>
          <w:sz w:val="22"/>
          <w:szCs w:val="24"/>
          <w:lang w:val="es-ES" w:eastAsia="es-ES"/>
        </w:rPr>
        <w:t xml:space="preserve"> licitación</w:t>
      </w:r>
      <w:r w:rsidRPr="00BB5698">
        <w:rPr>
          <w:rFonts w:ascii="Arial" w:eastAsia="Times New Roman" w:hAnsi="Arial" w:cs="Arial"/>
          <w:sz w:val="22"/>
          <w:lang w:val="es-ES" w:eastAsia="es-ES"/>
        </w:rPr>
        <w:t>; </w:t>
      </w:r>
      <w:proofErr w:type="spellStart"/>
      <w:r w:rsidRPr="00BB5698">
        <w:rPr>
          <w:rFonts w:ascii="Arial" w:eastAsia="Times New Roman" w:hAnsi="Arial" w:cs="Arial"/>
          <w:sz w:val="22"/>
          <w:lang w:val="es-ES" w:eastAsia="es-ES"/>
        </w:rPr>
        <w:t>ii</w:t>
      </w:r>
      <w:proofErr w:type="spellEnd"/>
      <w:r w:rsidRPr="00BB5698">
        <w:rPr>
          <w:rFonts w:ascii="Arial" w:eastAsia="Times New Roman" w:hAnsi="Arial" w:cs="Arial"/>
          <w:sz w:val="22"/>
          <w:lang w:val="es-ES" w:eastAsia="es-ES"/>
        </w:rPr>
        <w:t xml:space="preserve">) que </w:t>
      </w:r>
      <w:r>
        <w:rPr>
          <w:rFonts w:ascii="Arial" w:hAnsi="Arial" w:cs="Arial"/>
          <w:color w:val="000000"/>
          <w:sz w:val="22"/>
          <w:bdr w:val="none" w:sz="0" w:space="0" w:color="auto" w:frame="1"/>
        </w:rPr>
        <w:t>la contratación esté</w:t>
      </w:r>
      <w:r w:rsidRPr="00D77CBA">
        <w:rPr>
          <w:rFonts w:ascii="Arial" w:hAnsi="Arial" w:cs="Arial"/>
          <w:color w:val="000000"/>
          <w:sz w:val="22"/>
          <w:bdr w:val="none" w:sz="0" w:space="0" w:color="auto" w:frame="1"/>
        </w:rPr>
        <w:t xml:space="preserve"> sometida</w:t>
      </w:r>
      <w:r w:rsidRPr="00BB5698">
        <w:rPr>
          <w:rFonts w:ascii="Arial" w:eastAsia="Times New Roman" w:hAnsi="Arial" w:cs="Arial"/>
          <w:sz w:val="22"/>
          <w:lang w:val="es-ES" w:eastAsia="es-ES"/>
        </w:rPr>
        <w:t xml:space="preserve"> </w:t>
      </w:r>
      <w:r>
        <w:rPr>
          <w:rFonts w:ascii="Arial" w:eastAsia="Times New Roman" w:hAnsi="Arial" w:cs="Arial"/>
          <w:sz w:val="22"/>
          <w:lang w:val="es-ES" w:eastAsia="es-ES"/>
        </w:rPr>
        <w:t xml:space="preserve">al </w:t>
      </w:r>
      <w:r w:rsidRPr="00BB5698">
        <w:rPr>
          <w:rFonts w:ascii="Arial" w:eastAsia="Times New Roman" w:hAnsi="Arial" w:cs="Arial"/>
          <w:sz w:val="22"/>
          <w:lang w:val="es-ES" w:eastAsia="es-ES"/>
        </w:rPr>
        <w:t>Estatuto General de Contratación de la Administración Pública; y </w:t>
      </w:r>
      <w:proofErr w:type="spellStart"/>
      <w:r w:rsidRPr="00BB5698">
        <w:rPr>
          <w:rFonts w:ascii="Arial" w:eastAsia="Times New Roman" w:hAnsi="Arial" w:cs="Arial"/>
          <w:sz w:val="22"/>
          <w:lang w:val="es-ES" w:eastAsia="es-ES"/>
        </w:rPr>
        <w:t>iii</w:t>
      </w:r>
      <w:proofErr w:type="spellEnd"/>
      <w:r w:rsidRPr="00BB5698">
        <w:rPr>
          <w:rFonts w:ascii="Arial" w:eastAsia="Times New Roman" w:hAnsi="Arial" w:cs="Arial"/>
          <w:sz w:val="22"/>
          <w:lang w:val="es-ES" w:eastAsia="es-ES"/>
        </w:rPr>
        <w:t xml:space="preserve">) que el objeto a contratar esté asociado a alguno de los tipos de obra y actividades señaladas en la </w:t>
      </w:r>
      <w:r w:rsidRPr="00BB5698">
        <w:rPr>
          <w:rFonts w:ascii="Arial" w:eastAsia="Calibri" w:hAnsi="Arial" w:cs="Arial"/>
          <w:sz w:val="22"/>
          <w:szCs w:val="24"/>
          <w:lang w:val="es-CO" w:eastAsia="es-ES_tradnl"/>
        </w:rPr>
        <w:t>«</w:t>
      </w:r>
      <w:r w:rsidRPr="00BB5698">
        <w:rPr>
          <w:rFonts w:ascii="Arial" w:eastAsia="Times New Roman" w:hAnsi="Arial" w:cs="Arial"/>
          <w:sz w:val="22"/>
          <w:lang w:val="es-ES" w:eastAsia="es-ES"/>
        </w:rPr>
        <w:t>Matriz 1 – Experiencia</w:t>
      </w:r>
      <w:r w:rsidRPr="00BB5698">
        <w:rPr>
          <w:rFonts w:ascii="Arial" w:eastAsia="Calibri" w:hAnsi="Arial" w:cs="Arial"/>
          <w:sz w:val="22"/>
          <w:szCs w:val="24"/>
          <w:lang w:eastAsia="es-ES_tradnl"/>
        </w:rPr>
        <w:t>»</w:t>
      </w:r>
      <w:r w:rsidRPr="00BB5698">
        <w:rPr>
          <w:rFonts w:ascii="Arial" w:eastAsia="Times New Roman" w:hAnsi="Arial" w:cs="Arial"/>
          <w:sz w:val="22"/>
          <w:lang w:val="es-ES" w:eastAsia="es-ES"/>
        </w:rPr>
        <w:t xml:space="preserve">. </w:t>
      </w:r>
      <w:r w:rsidRPr="00B877D0">
        <w:rPr>
          <w:rFonts w:ascii="Arial" w:eastAsia="Times New Roman" w:hAnsi="Arial" w:cs="Arial"/>
          <w:sz w:val="22"/>
          <w:lang w:val="es-ES" w:eastAsia="es-ES"/>
        </w:rPr>
        <w:t>Así, con independencia de la procedencia de los recursos para la ejecución del contrato, la concurrencia de estos criterios hace que resulte obligatoria la aplicación de los documentos tipo.</w:t>
      </w:r>
    </w:p>
    <w:p w14:paraId="77455293" w14:textId="77777777" w:rsidR="005E097A" w:rsidRDefault="005E097A" w:rsidP="005E097A">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lang w:val="es-ES"/>
        </w:rPr>
        <w:t xml:space="preserve">De lo expuesto, se evidencia con claridad </w:t>
      </w:r>
      <w:r w:rsidRPr="006A443A">
        <w:rPr>
          <w:rFonts w:ascii="Arial" w:hAnsi="Arial" w:cs="Arial"/>
          <w:color w:val="000000"/>
          <w:sz w:val="22"/>
          <w:szCs w:val="22"/>
          <w:bdr w:val="none" w:sz="0" w:space="0" w:color="auto" w:frame="1"/>
        </w:rPr>
        <w:t xml:space="preserve">que los documentos </w:t>
      </w:r>
      <w:r>
        <w:rPr>
          <w:rFonts w:ascii="Arial" w:hAnsi="Arial" w:cs="Arial"/>
          <w:color w:val="000000"/>
          <w:sz w:val="22"/>
          <w:szCs w:val="22"/>
          <w:bdr w:val="none" w:sz="0" w:space="0" w:color="auto" w:frame="1"/>
        </w:rPr>
        <w:t xml:space="preserve">tipo </w:t>
      </w:r>
      <w:r w:rsidRPr="006A443A">
        <w:rPr>
          <w:rFonts w:ascii="Arial" w:hAnsi="Arial" w:cs="Arial"/>
          <w:color w:val="000000"/>
          <w:sz w:val="22"/>
          <w:szCs w:val="22"/>
          <w:bdr w:val="none" w:sz="0" w:space="0" w:color="auto" w:frame="1"/>
        </w:rPr>
        <w:t xml:space="preserve">de infraestructura de </w:t>
      </w:r>
      <w:r>
        <w:rPr>
          <w:rFonts w:ascii="Arial" w:hAnsi="Arial" w:cs="Arial"/>
          <w:color w:val="000000"/>
          <w:sz w:val="22"/>
          <w:szCs w:val="22"/>
          <w:bdr w:val="none" w:sz="0" w:space="0" w:color="auto" w:frame="1"/>
        </w:rPr>
        <w:t xml:space="preserve">infraestructura de </w:t>
      </w:r>
      <w:r w:rsidRPr="006A443A">
        <w:rPr>
          <w:rFonts w:ascii="Arial" w:hAnsi="Arial" w:cs="Arial"/>
          <w:color w:val="000000"/>
          <w:sz w:val="22"/>
          <w:szCs w:val="22"/>
          <w:bdr w:val="none" w:sz="0" w:space="0" w:color="auto" w:frame="1"/>
        </w:rPr>
        <w:t>agua potable y saneamiento básico son obligatorios</w:t>
      </w:r>
      <w:r>
        <w:rPr>
          <w:rFonts w:ascii="Arial" w:hAnsi="Arial" w:cs="Arial"/>
          <w:color w:val="000000"/>
          <w:sz w:val="22"/>
          <w:szCs w:val="22"/>
          <w:bdr w:val="none" w:sz="0" w:space="0" w:color="auto" w:frame="1"/>
        </w:rPr>
        <w:t xml:space="preserve"> única y exclusivamente</w:t>
      </w:r>
      <w:r w:rsidRPr="006A443A">
        <w:rPr>
          <w:rFonts w:ascii="Arial" w:hAnsi="Arial" w:cs="Arial"/>
          <w:color w:val="000000"/>
          <w:sz w:val="22"/>
          <w:szCs w:val="22"/>
          <w:bdr w:val="none" w:sz="0" w:space="0" w:color="auto" w:frame="1"/>
        </w:rPr>
        <w:t xml:space="preserve"> para las entidades estatales sometidas al Estatuto General de la Contratación Pública,</w:t>
      </w:r>
      <w:r>
        <w:rPr>
          <w:rFonts w:ascii="Arial" w:hAnsi="Arial" w:cs="Arial"/>
          <w:color w:val="000000"/>
          <w:sz w:val="22"/>
          <w:szCs w:val="22"/>
          <w:bdr w:val="none" w:sz="0" w:space="0" w:color="auto" w:frame="1"/>
        </w:rPr>
        <w:t xml:space="preserve"> que adelanten procesos de contratación a través de la modalidad de licitación pública. Por tanto, dichos documentos no son obligatorios para las entidades públicas no sometidas a dicho Estatuto y tampoco respecto de la celebración de contratos cuyo proceso de selección se adelante mediante otra modalidad de contratación diferente a la licitación pública. </w:t>
      </w:r>
    </w:p>
    <w:p w14:paraId="397DDA72" w14:textId="77777777" w:rsidR="005E097A" w:rsidRDefault="005E097A" w:rsidP="005E097A">
      <w:pPr>
        <w:pStyle w:val="xmsonospacing"/>
        <w:spacing w:before="120" w:beforeAutospacing="0" w:after="0" w:afterAutospacing="0" w:line="276" w:lineRule="auto"/>
        <w:ind w:firstLine="708"/>
        <w:jc w:val="both"/>
        <w:rPr>
          <w:rFonts w:ascii="Arial" w:hAnsi="Arial" w:cs="Arial"/>
          <w:color w:val="000000"/>
          <w:sz w:val="22"/>
          <w:bdr w:val="none" w:sz="0" w:space="0" w:color="auto" w:frame="1"/>
        </w:rPr>
      </w:pPr>
      <w:r>
        <w:rPr>
          <w:rFonts w:ascii="Arial" w:hAnsi="Arial" w:cs="Arial"/>
          <w:color w:val="000000"/>
          <w:sz w:val="22"/>
          <w:bdr w:val="none" w:sz="0" w:space="0" w:color="auto" w:frame="1"/>
        </w:rPr>
        <w:t xml:space="preserve">En otros términos, debido a que las empresas de servicios públicos domiciliarios </w:t>
      </w:r>
      <w:r w:rsidRPr="00BB5698">
        <w:rPr>
          <w:rFonts w:ascii="Arial" w:eastAsia="Calibri" w:hAnsi="Arial" w:cs="Arial"/>
          <w:color w:val="000000" w:themeColor="text1"/>
          <w:sz w:val="22"/>
          <w:lang w:val="es-ES_tradnl" w:eastAsia="es-ES_tradnl"/>
        </w:rPr>
        <w:t>se sujetan, en su actividad contractual, a las disposiciones del derecho privado</w:t>
      </w:r>
      <w:r>
        <w:rPr>
          <w:rFonts w:ascii="Arial" w:eastAsia="Calibri" w:hAnsi="Arial" w:cs="Arial"/>
          <w:color w:val="000000" w:themeColor="text1"/>
          <w:sz w:val="22"/>
          <w:lang w:val="es-ES_tradnl" w:eastAsia="es-ES_tradnl"/>
        </w:rPr>
        <w:t xml:space="preserve">, los documentos tipo de </w:t>
      </w:r>
      <w:r w:rsidRPr="006A443A">
        <w:rPr>
          <w:rFonts w:ascii="Arial" w:hAnsi="Arial" w:cs="Arial"/>
          <w:color w:val="000000"/>
          <w:sz w:val="22"/>
          <w:bdr w:val="none" w:sz="0" w:space="0" w:color="auto" w:frame="1"/>
        </w:rPr>
        <w:t xml:space="preserve">infraestructura de </w:t>
      </w:r>
      <w:r>
        <w:rPr>
          <w:rFonts w:ascii="Arial" w:hAnsi="Arial" w:cs="Arial"/>
          <w:color w:val="000000"/>
          <w:sz w:val="22"/>
          <w:bdr w:val="none" w:sz="0" w:space="0" w:color="auto" w:frame="1"/>
        </w:rPr>
        <w:t xml:space="preserve">infraestructura de </w:t>
      </w:r>
      <w:r w:rsidRPr="006A443A">
        <w:rPr>
          <w:rFonts w:ascii="Arial" w:hAnsi="Arial" w:cs="Arial"/>
          <w:color w:val="000000"/>
          <w:sz w:val="22"/>
          <w:bdr w:val="none" w:sz="0" w:space="0" w:color="auto" w:frame="1"/>
        </w:rPr>
        <w:t>agua potable y saneamiento básico</w:t>
      </w:r>
      <w:r>
        <w:rPr>
          <w:rFonts w:ascii="Arial" w:hAnsi="Arial" w:cs="Arial"/>
          <w:color w:val="000000"/>
          <w:sz w:val="22"/>
          <w:bdr w:val="none" w:sz="0" w:space="0" w:color="auto" w:frame="1"/>
        </w:rPr>
        <w:t xml:space="preserve"> no son de obligatorio cumplimiento </w:t>
      </w:r>
      <w:r w:rsidRPr="006A443A">
        <w:rPr>
          <w:rFonts w:ascii="Arial" w:hAnsi="Arial" w:cs="Arial"/>
          <w:color w:val="000000"/>
          <w:sz w:val="22"/>
          <w:bdr w:val="none" w:sz="0" w:space="0" w:color="auto" w:frame="1"/>
        </w:rPr>
        <w:t>por parte de</w:t>
      </w:r>
      <w:r>
        <w:rPr>
          <w:rFonts w:ascii="Arial" w:hAnsi="Arial" w:cs="Arial"/>
          <w:color w:val="000000"/>
          <w:sz w:val="22"/>
          <w:bdr w:val="none" w:sz="0" w:space="0" w:color="auto" w:frame="1"/>
        </w:rPr>
        <w:t xml:space="preserve"> aquellas</w:t>
      </w:r>
      <w:r w:rsidRPr="006A443A">
        <w:rPr>
          <w:rFonts w:ascii="Arial" w:hAnsi="Arial" w:cs="Arial"/>
          <w:color w:val="000000"/>
          <w:sz w:val="22"/>
          <w:bdr w:val="none" w:sz="0" w:space="0" w:color="auto" w:frame="1"/>
        </w:rPr>
        <w:t>.</w:t>
      </w:r>
      <w:r>
        <w:rPr>
          <w:rFonts w:ascii="Arial" w:hAnsi="Arial" w:cs="Arial"/>
          <w:color w:val="000000"/>
          <w:sz w:val="22"/>
          <w:bdr w:val="none" w:sz="0" w:space="0" w:color="auto" w:frame="1"/>
        </w:rPr>
        <w:t xml:space="preserve"> Por consiguiente, en los casos en que las empresas de servicios públicos ejecuten proyectos de esta naturaleza, no tienen por obligación aplicar los documentos tipo, sin perjuicio de que </w:t>
      </w:r>
      <w:r w:rsidRPr="007C6A4F">
        <w:rPr>
          <w:rFonts w:ascii="Arial" w:hAnsi="Arial" w:cs="Arial"/>
          <w:color w:val="000000"/>
          <w:sz w:val="22"/>
          <w:bdr w:val="none" w:sz="0" w:space="0" w:color="auto" w:frame="1"/>
        </w:rPr>
        <w:t xml:space="preserve">estas </w:t>
      </w:r>
      <w:r>
        <w:rPr>
          <w:rFonts w:ascii="Arial" w:hAnsi="Arial" w:cs="Arial"/>
          <w:color w:val="000000"/>
          <w:sz w:val="22"/>
          <w:bdr w:val="none" w:sz="0" w:space="0" w:color="auto" w:frame="1"/>
        </w:rPr>
        <w:t xml:space="preserve">los adopten como </w:t>
      </w:r>
      <w:r w:rsidRPr="007C6A4F">
        <w:rPr>
          <w:rFonts w:ascii="Arial" w:hAnsi="Arial" w:cs="Arial"/>
          <w:color w:val="000000"/>
          <w:sz w:val="22"/>
          <w:bdr w:val="none" w:sz="0" w:space="0" w:color="auto" w:frame="1"/>
        </w:rPr>
        <w:t>políticas de buenas prácticas contractuales</w:t>
      </w:r>
      <w:r>
        <w:rPr>
          <w:rFonts w:ascii="Arial" w:hAnsi="Arial" w:cs="Arial"/>
          <w:color w:val="000000"/>
          <w:sz w:val="22"/>
          <w:bdr w:val="none" w:sz="0" w:space="0" w:color="auto" w:frame="1"/>
        </w:rPr>
        <w:t xml:space="preserve">. </w:t>
      </w:r>
    </w:p>
    <w:p w14:paraId="2C3229CC" w14:textId="77777777" w:rsidR="005E097A" w:rsidRPr="00A55D0D" w:rsidRDefault="005E097A" w:rsidP="005E097A">
      <w:pPr>
        <w:pStyle w:val="xmsonospacing"/>
        <w:spacing w:before="120" w:beforeAutospacing="0" w:after="0" w:afterAutospacing="0" w:line="276" w:lineRule="auto"/>
        <w:ind w:firstLine="708"/>
        <w:jc w:val="both"/>
        <w:rPr>
          <w:rFonts w:ascii="Arial" w:hAnsi="Arial" w:cs="Arial"/>
          <w:color w:val="000000"/>
          <w:sz w:val="22"/>
          <w:bdr w:val="none" w:sz="0" w:space="0" w:color="auto" w:frame="1"/>
          <w:lang w:val="es-MX"/>
        </w:rPr>
      </w:pPr>
      <w:r>
        <w:rPr>
          <w:rFonts w:ascii="Arial" w:hAnsi="Arial" w:cs="Arial"/>
          <w:color w:val="000000"/>
          <w:sz w:val="22"/>
          <w:bdr w:val="none" w:sz="0" w:space="0" w:color="auto" w:frame="1"/>
        </w:rPr>
        <w:t>Sobre este punto, e</w:t>
      </w:r>
      <w:r w:rsidRPr="000555FA">
        <w:rPr>
          <w:rFonts w:ascii="Arial" w:hAnsi="Arial" w:cs="Arial"/>
          <w:color w:val="000000"/>
          <w:sz w:val="22"/>
          <w:bdr w:val="none" w:sz="0" w:space="0" w:color="auto" w:frame="1"/>
          <w:lang w:val="es-MX"/>
        </w:rPr>
        <w:t>s importante destacar la Directiva Presidencial 01 del 3 de marzo del 2021, dirigida a las entidades de la rama ejecutiva del orden nacional en el nivel central y descentralizado exceptuadas del Estatuto General de Contratación de la Administración Pública, en la cual se exhorta a las entidades exceptuadas de la aplicación del Estatuto</w:t>
      </w:r>
      <w:r>
        <w:rPr>
          <w:rFonts w:ascii="Arial" w:hAnsi="Arial" w:cs="Arial"/>
          <w:color w:val="000000"/>
          <w:sz w:val="22"/>
          <w:bdr w:val="none" w:sz="0" w:space="0" w:color="auto" w:frame="1"/>
          <w:lang w:val="es-MX"/>
        </w:rPr>
        <w:t>. Esto</w:t>
      </w:r>
      <w:r w:rsidRPr="000555FA">
        <w:rPr>
          <w:rFonts w:ascii="Arial" w:hAnsi="Arial" w:cs="Arial"/>
          <w:color w:val="000000"/>
          <w:sz w:val="22"/>
          <w:bdr w:val="none" w:sz="0" w:space="0" w:color="auto" w:frame="1"/>
          <w:lang w:val="es-MX"/>
        </w:rPr>
        <w:t xml:space="preserve"> para que, «como buena práctica contractual, adopten los documentos tipo, los acuerdos marco de precios y los demás instrumentos de agregación de demanda en su actividad contractual, incluso cuando se contrate a través de patrimonios autónomos, toda </w:t>
      </w:r>
      <w:r w:rsidRPr="000555FA">
        <w:rPr>
          <w:rFonts w:ascii="Arial" w:hAnsi="Arial" w:cs="Arial"/>
          <w:color w:val="000000"/>
          <w:sz w:val="22"/>
          <w:bdr w:val="none" w:sz="0" w:space="0" w:color="auto" w:frame="1"/>
          <w:lang w:val="es-MX"/>
        </w:rPr>
        <w:lastRenderedPageBreak/>
        <w:t>vez que mediante convenio o contrato también podrá imponerse la obligación de respetar los documentos y pliegos tipo</w:t>
      </w:r>
      <w:r>
        <w:rPr>
          <w:rStyle w:val="Refdenotaalpie"/>
          <w:rFonts w:ascii="Arial" w:hAnsi="Arial" w:cs="Arial"/>
          <w:color w:val="000000"/>
          <w:sz w:val="22"/>
          <w:bdr w:val="none" w:sz="0" w:space="0" w:color="auto" w:frame="1"/>
          <w:lang w:val="es-MX"/>
        </w:rPr>
        <w:footnoteReference w:id="8"/>
      </w:r>
      <w:r w:rsidRPr="000555FA">
        <w:rPr>
          <w:rFonts w:ascii="Arial" w:hAnsi="Arial" w:cs="Arial"/>
          <w:color w:val="000000"/>
          <w:sz w:val="22"/>
          <w:bdr w:val="none" w:sz="0" w:space="0" w:color="auto" w:frame="1"/>
          <w:lang w:val="es-MX"/>
        </w:rPr>
        <w:t>».</w:t>
      </w:r>
      <w:r>
        <w:rPr>
          <w:rFonts w:ascii="Arial" w:hAnsi="Arial" w:cs="Arial"/>
          <w:color w:val="000000"/>
          <w:sz w:val="22"/>
          <w:bdr w:val="none" w:sz="0" w:space="0" w:color="auto" w:frame="1"/>
        </w:rPr>
        <w:t xml:space="preserve"> </w:t>
      </w:r>
    </w:p>
    <w:p w14:paraId="1B7A3D8B" w14:textId="77777777" w:rsidR="005E097A" w:rsidRDefault="005E097A" w:rsidP="005E097A">
      <w:pPr>
        <w:spacing w:before="120" w:line="276" w:lineRule="auto"/>
        <w:ind w:firstLine="709"/>
        <w:jc w:val="both"/>
        <w:rPr>
          <w:rFonts w:ascii="Arial" w:eastAsia="Calibri" w:hAnsi="Arial" w:cs="Arial"/>
          <w:color w:val="000000" w:themeColor="text1"/>
          <w:sz w:val="22"/>
          <w:lang w:val="es-ES_tradnl"/>
        </w:rPr>
      </w:pPr>
      <w:r>
        <w:rPr>
          <w:rFonts w:ascii="Arial" w:hAnsi="Arial" w:cs="Arial"/>
          <w:color w:val="000000"/>
          <w:sz w:val="22"/>
          <w:bdr w:val="none" w:sz="0" w:space="0" w:color="auto" w:frame="1"/>
          <w:lang w:val="es-CO"/>
        </w:rPr>
        <w:t xml:space="preserve">Ahora bien, teniendo en cuenta que en la consulta se refiere a las fuentes de financiación para la ejecución de los proyectos de agua potable y saneamiento básico por parte de las empresas de servicios públicos, es preciso indicar que, </w:t>
      </w:r>
      <w:bookmarkStart w:id="13" w:name="_Hlk74921320"/>
      <w:r>
        <w:rPr>
          <w:rFonts w:ascii="Arial" w:hAnsi="Arial" w:cs="Arial"/>
          <w:color w:val="000000"/>
          <w:sz w:val="22"/>
          <w:bdr w:val="none" w:sz="0" w:space="0" w:color="auto" w:frame="1"/>
          <w:lang w:val="es-CO"/>
        </w:rPr>
        <w:t xml:space="preserve">aunque se trate de entidades sujetas al derecho privado, </w:t>
      </w:r>
      <w:r>
        <w:rPr>
          <w:rFonts w:ascii="Arial" w:eastAsia="Calibri" w:hAnsi="Arial" w:cs="Arial"/>
          <w:color w:val="000000" w:themeColor="text1"/>
          <w:sz w:val="22"/>
          <w:lang w:val="es-ES" w:eastAsia="en-GB"/>
        </w:rPr>
        <w:t xml:space="preserve">este régimen especial no es ajeno a las normas del </w:t>
      </w:r>
      <w:r>
        <w:rPr>
          <w:rFonts w:ascii="Arial" w:hAnsi="Arial" w:cs="Arial"/>
          <w:bCs/>
          <w:sz w:val="22"/>
          <w:lang w:val="es-ES"/>
        </w:rPr>
        <w:t xml:space="preserve">derecho administrativo y su aplicación está </w:t>
      </w:r>
      <w:r>
        <w:rPr>
          <w:rFonts w:ascii="Arial" w:eastAsia="Calibri" w:hAnsi="Arial" w:cs="Arial"/>
          <w:color w:val="000000" w:themeColor="text1"/>
          <w:sz w:val="22"/>
          <w:lang w:val="es-ES"/>
        </w:rPr>
        <w:t>matizada</w:t>
      </w:r>
      <w:r w:rsidRPr="00406E40">
        <w:rPr>
          <w:rFonts w:ascii="Arial" w:eastAsia="Calibri" w:hAnsi="Arial" w:cs="Arial"/>
          <w:color w:val="000000" w:themeColor="text1"/>
          <w:sz w:val="22"/>
          <w:lang w:val="es-ES"/>
        </w:rPr>
        <w:t xml:space="preserve"> por </w:t>
      </w:r>
      <w:r>
        <w:rPr>
          <w:rFonts w:ascii="Arial" w:eastAsia="Calibri" w:hAnsi="Arial" w:cs="Arial"/>
          <w:color w:val="000000" w:themeColor="text1"/>
          <w:sz w:val="22"/>
          <w:lang w:val="es-ES"/>
        </w:rPr>
        <w:t xml:space="preserve">las </w:t>
      </w:r>
      <w:r w:rsidRPr="00406E40">
        <w:rPr>
          <w:rFonts w:ascii="Arial" w:eastAsia="Calibri" w:hAnsi="Arial" w:cs="Arial"/>
          <w:color w:val="000000" w:themeColor="text1"/>
          <w:sz w:val="22"/>
          <w:lang w:val="es-ES"/>
        </w:rPr>
        <w:t>reglas previstas expresamente por el legislador</w:t>
      </w:r>
      <w:r>
        <w:rPr>
          <w:rFonts w:ascii="Arial" w:eastAsia="Calibri" w:hAnsi="Arial" w:cs="Arial"/>
          <w:color w:val="000000" w:themeColor="text1"/>
          <w:sz w:val="22"/>
          <w:lang w:val="es-ES"/>
        </w:rPr>
        <w:t xml:space="preserve">. De esta manera, </w:t>
      </w:r>
      <w:r w:rsidRPr="00475C92">
        <w:rPr>
          <w:rFonts w:ascii="Arial" w:eastAsia="Calibri" w:hAnsi="Arial" w:cs="Arial"/>
          <w:color w:val="000000" w:themeColor="text1"/>
          <w:sz w:val="22"/>
          <w:lang w:val="es-ES_tradnl"/>
        </w:rPr>
        <w:t>deben observar las disposiciones presupuestales, tributarias y demás normas de orden público aplicables a las entidades estatales, independientemente de su régimen contractual</w:t>
      </w:r>
      <w:bookmarkEnd w:id="13"/>
      <w:r w:rsidRPr="00475C92">
        <w:rPr>
          <w:rFonts w:ascii="Arial" w:eastAsia="Calibri" w:hAnsi="Arial" w:cs="Arial"/>
          <w:color w:val="000000" w:themeColor="text1"/>
          <w:sz w:val="22"/>
          <w:lang w:val="es-ES_tradnl"/>
        </w:rPr>
        <w:t xml:space="preserve">. </w:t>
      </w:r>
    </w:p>
    <w:p w14:paraId="3B97CD72" w14:textId="77777777" w:rsidR="005E097A" w:rsidRPr="00D87D82" w:rsidRDefault="005E097A" w:rsidP="005E097A">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szCs w:val="24"/>
          <w:lang w:val="es-ES_tradnl" w:eastAsia="es-ES_tradnl"/>
        </w:rPr>
        <w:t xml:space="preserve">A este respecto, es pertinente recordar el contenido de </w:t>
      </w:r>
      <w:r w:rsidRPr="00B877D0">
        <w:rPr>
          <w:rFonts w:ascii="Arial" w:eastAsia="Calibri" w:hAnsi="Arial" w:cs="Arial"/>
          <w:color w:val="000000" w:themeColor="text1"/>
          <w:sz w:val="22"/>
          <w:szCs w:val="24"/>
          <w:lang w:val="es-ES_tradnl" w:eastAsia="es-ES_tradnl"/>
        </w:rPr>
        <w:t xml:space="preserve">los artículos 85, 99 y 109 de la Ley 2056 de 2020 sobre los recursos del Sistema General de Regalías. </w:t>
      </w:r>
      <w:bookmarkStart w:id="14" w:name="_Hlk66438231"/>
      <w:r>
        <w:rPr>
          <w:rFonts w:ascii="Arial" w:eastAsia="Calibri" w:hAnsi="Arial" w:cs="Arial"/>
          <w:color w:val="000000" w:themeColor="text1"/>
          <w:sz w:val="22"/>
          <w:szCs w:val="24"/>
          <w:lang w:val="es-ES_tradnl" w:eastAsia="es-ES_tradnl"/>
        </w:rPr>
        <w:t xml:space="preserve">En efecto, </w:t>
      </w:r>
      <w:r w:rsidRPr="00A8672D">
        <w:rPr>
          <w:rFonts w:ascii="Arial" w:hAnsi="Arial" w:cs="Arial"/>
          <w:sz w:val="22"/>
          <w:lang w:val="es-CO"/>
        </w:rPr>
        <w:t>conforme a los</w:t>
      </w:r>
      <w:r>
        <w:rPr>
          <w:rFonts w:ascii="Arial" w:hAnsi="Arial" w:cs="Arial"/>
          <w:sz w:val="22"/>
          <w:lang w:val="es-CO"/>
        </w:rPr>
        <w:t xml:space="preserve"> preceptos citados, </w:t>
      </w:r>
      <w:bookmarkStart w:id="15" w:name="_Hlk71740241"/>
      <w:r w:rsidRPr="00A8672D">
        <w:rPr>
          <w:rFonts w:ascii="Arial" w:hAnsi="Arial" w:cs="Arial"/>
          <w:sz w:val="22"/>
          <w:lang w:val="es-CO"/>
        </w:rPr>
        <w:t xml:space="preserve">cuando dichos recursos sean para proyectos de inversión en i) pueblos y </w:t>
      </w:r>
      <w:bookmarkStart w:id="16" w:name="_Hlk66435016"/>
      <w:r w:rsidRPr="00DF59EC">
        <w:rPr>
          <w:rFonts w:ascii="Arial" w:hAnsi="Arial" w:cs="Arial"/>
          <w:sz w:val="22"/>
          <w:lang w:val="es-CO"/>
        </w:rPr>
        <w:t>comunidades indígenas</w:t>
      </w:r>
      <w:bookmarkEnd w:id="16"/>
      <w:r w:rsidRPr="00DF59EC">
        <w:rPr>
          <w:rFonts w:ascii="Arial" w:hAnsi="Arial" w:cs="Arial"/>
          <w:sz w:val="22"/>
          <w:lang w:val="es-CO"/>
        </w:rPr>
        <w:t xml:space="preserve">, </w:t>
      </w:r>
      <w:proofErr w:type="spellStart"/>
      <w:r w:rsidRPr="00DF59EC">
        <w:rPr>
          <w:rFonts w:ascii="Arial" w:hAnsi="Arial" w:cs="Arial"/>
          <w:sz w:val="22"/>
          <w:lang w:val="es-CO"/>
        </w:rPr>
        <w:t>ii</w:t>
      </w:r>
      <w:proofErr w:type="spellEnd"/>
      <w:r w:rsidRPr="00DF59EC">
        <w:rPr>
          <w:rFonts w:ascii="Arial" w:hAnsi="Arial" w:cs="Arial"/>
          <w:sz w:val="22"/>
          <w:lang w:val="es-CO"/>
        </w:rPr>
        <w:t>)</w:t>
      </w:r>
      <w:r w:rsidRPr="00A8672D">
        <w:t xml:space="preserve"> </w:t>
      </w:r>
      <w:r w:rsidRPr="00A8672D">
        <w:rPr>
          <w:rFonts w:ascii="Arial" w:hAnsi="Arial" w:cs="Arial"/>
          <w:sz w:val="22"/>
          <w:lang w:val="es-CO"/>
        </w:rPr>
        <w:t xml:space="preserve">comunidades </w:t>
      </w:r>
      <w:r w:rsidRPr="00DF59EC">
        <w:rPr>
          <w:rFonts w:ascii="Arial" w:hAnsi="Arial" w:cs="Arial"/>
          <w:sz w:val="22"/>
          <w:lang w:val="es-CO"/>
        </w:rPr>
        <w:t xml:space="preserve">negras, afrocolombiana, raizales y palenqueras y </w:t>
      </w:r>
      <w:proofErr w:type="spellStart"/>
      <w:r w:rsidRPr="00DF59EC">
        <w:rPr>
          <w:rFonts w:ascii="Arial" w:hAnsi="Arial" w:cs="Arial"/>
          <w:sz w:val="22"/>
          <w:lang w:val="es-CO"/>
        </w:rPr>
        <w:t>iii</w:t>
      </w:r>
      <w:proofErr w:type="spellEnd"/>
      <w:r w:rsidRPr="00DF59EC">
        <w:rPr>
          <w:rFonts w:ascii="Arial" w:hAnsi="Arial" w:cs="Arial"/>
          <w:sz w:val="22"/>
          <w:lang w:val="es-CO"/>
        </w:rPr>
        <w:t xml:space="preserve">) el pueblo </w:t>
      </w:r>
      <w:proofErr w:type="spellStart"/>
      <w:r w:rsidRPr="00A8672D">
        <w:rPr>
          <w:rFonts w:ascii="Arial" w:hAnsi="Arial" w:cs="Arial"/>
          <w:sz w:val="22"/>
          <w:lang w:val="es-CO"/>
        </w:rPr>
        <w:t>Rrom</w:t>
      </w:r>
      <w:proofErr w:type="spellEnd"/>
      <w:r w:rsidRPr="00A8672D">
        <w:rPr>
          <w:rFonts w:ascii="Arial" w:hAnsi="Arial" w:cs="Arial"/>
          <w:sz w:val="22"/>
          <w:lang w:val="es-CO"/>
        </w:rPr>
        <w:t xml:space="preserve"> o gitano, </w:t>
      </w:r>
      <w:r>
        <w:rPr>
          <w:rFonts w:ascii="Arial" w:hAnsi="Arial" w:cs="Arial"/>
          <w:sz w:val="22"/>
          <w:lang w:val="es-CO"/>
        </w:rPr>
        <w:t>«los actos o contratos que expidan o celebren los ejecutores</w:t>
      </w:r>
      <w:r w:rsidRPr="005E043A">
        <w:t xml:space="preserve"> </w:t>
      </w:r>
      <w:r w:rsidRPr="005E043A">
        <w:rPr>
          <w:rFonts w:ascii="Arial" w:hAnsi="Arial" w:cs="Arial"/>
          <w:sz w:val="22"/>
          <w:lang w:val="es-CO"/>
        </w:rPr>
        <w:t>se regirán por las normas presupuestales contenidas en la presente ley, el Estatuto de Contratación Estatal, las normas contables que para este efecto defina la Contaduría General de la Nación y las demás disposiciones complementarias</w:t>
      </w:r>
      <w:r>
        <w:rPr>
          <w:rFonts w:ascii="Arial" w:hAnsi="Arial" w:cs="Arial"/>
          <w:sz w:val="22"/>
          <w:lang w:val="es-CO"/>
        </w:rPr>
        <w:t>».</w:t>
      </w:r>
      <w:bookmarkEnd w:id="14"/>
      <w:r>
        <w:rPr>
          <w:rFonts w:ascii="Arial" w:hAnsi="Arial" w:cs="Arial"/>
          <w:sz w:val="22"/>
          <w:lang w:val="es-CO"/>
        </w:rPr>
        <w:t xml:space="preserve"> </w:t>
      </w:r>
      <w:bookmarkEnd w:id="15"/>
      <w:r>
        <w:rPr>
          <w:rFonts w:ascii="Arial" w:hAnsi="Arial" w:cs="Arial"/>
          <w:sz w:val="22"/>
          <w:lang w:val="es-CO"/>
        </w:rPr>
        <w:t xml:space="preserve">Por su parte, los artículos 83, 98 y 108 de la Ley 2056 de 2020 determinan que la designación del ejecutor de los recursos corresponde tanto a las instancias de decisión de las </w:t>
      </w:r>
      <w:r w:rsidRPr="00DF59EC">
        <w:rPr>
          <w:rFonts w:ascii="Arial" w:hAnsi="Arial" w:cs="Arial"/>
          <w:sz w:val="22"/>
          <w:lang w:val="es-CO"/>
        </w:rPr>
        <w:t>comunidades indígenas</w:t>
      </w:r>
      <w:r>
        <w:rPr>
          <w:rFonts w:ascii="Arial" w:hAnsi="Arial" w:cs="Arial"/>
          <w:sz w:val="22"/>
          <w:lang w:val="es-CO"/>
        </w:rPr>
        <w:t xml:space="preserve">, </w:t>
      </w:r>
      <w:r w:rsidRPr="00DF59EC">
        <w:rPr>
          <w:rFonts w:ascii="Arial" w:hAnsi="Arial" w:cs="Arial"/>
          <w:sz w:val="22"/>
          <w:lang w:val="es-CO"/>
        </w:rPr>
        <w:t>negras, afrocolombiana, raizales y palenqueras</w:t>
      </w:r>
      <w:r>
        <w:rPr>
          <w:rFonts w:ascii="Arial" w:hAnsi="Arial" w:cs="Arial"/>
          <w:sz w:val="22"/>
          <w:lang w:val="es-CO"/>
        </w:rPr>
        <w:t xml:space="preserve"> como la </w:t>
      </w:r>
      <w:r w:rsidRPr="00DF59EC">
        <w:rPr>
          <w:rFonts w:ascii="Arial" w:hAnsi="Arial" w:cs="Arial"/>
          <w:sz w:val="22"/>
          <w:lang w:val="es-CO"/>
        </w:rPr>
        <w:t xml:space="preserve">Comisión Nacional de Diálogo del Pueblo </w:t>
      </w:r>
      <w:proofErr w:type="spellStart"/>
      <w:r w:rsidRPr="00DF59EC">
        <w:rPr>
          <w:rFonts w:ascii="Arial" w:hAnsi="Arial" w:cs="Arial"/>
          <w:sz w:val="22"/>
          <w:lang w:val="es-CO"/>
        </w:rPr>
        <w:t>Rrom</w:t>
      </w:r>
      <w:proofErr w:type="spellEnd"/>
      <w:r w:rsidRPr="00DF59EC">
        <w:rPr>
          <w:rFonts w:ascii="Arial" w:hAnsi="Arial" w:cs="Arial"/>
          <w:sz w:val="22"/>
          <w:lang w:val="es-CO"/>
        </w:rPr>
        <w:t xml:space="preserve"> o Gitano</w:t>
      </w:r>
      <w:r>
        <w:rPr>
          <w:rFonts w:ascii="Arial" w:hAnsi="Arial" w:cs="Arial"/>
          <w:sz w:val="22"/>
          <w:lang w:val="es-CO"/>
        </w:rPr>
        <w:t xml:space="preserve">. </w:t>
      </w:r>
    </w:p>
    <w:p w14:paraId="49B160FC" w14:textId="77777777" w:rsidR="005E097A" w:rsidRPr="0083753A" w:rsidRDefault="005E097A" w:rsidP="005E097A">
      <w:pPr>
        <w:spacing w:before="120" w:line="276" w:lineRule="auto"/>
        <w:ind w:firstLine="709"/>
        <w:jc w:val="both"/>
        <w:rPr>
          <w:rFonts w:ascii="Arial" w:hAnsi="Arial" w:cs="Arial"/>
          <w:color w:val="000000"/>
          <w:sz w:val="22"/>
          <w:bdr w:val="none" w:sz="0" w:space="0" w:color="auto" w:frame="1"/>
          <w:lang w:val="es-CO"/>
        </w:rPr>
      </w:pPr>
      <w:r>
        <w:rPr>
          <w:rFonts w:ascii="Arial" w:hAnsi="Arial" w:cs="Arial"/>
          <w:sz w:val="22"/>
          <w:lang w:val="es-CO"/>
        </w:rPr>
        <w:t xml:space="preserve">En este sentido, </w:t>
      </w:r>
      <w:r w:rsidRPr="006B71F3">
        <w:rPr>
          <w:rFonts w:ascii="Arial" w:hAnsi="Arial" w:cs="Arial"/>
          <w:sz w:val="22"/>
          <w:lang w:val="es-CO"/>
        </w:rPr>
        <w:t xml:space="preserve">sin perjuicio de lo previsto en los artículos 87 y 101 de la Ley 2056 de 2020 para los </w:t>
      </w:r>
      <w:r>
        <w:rPr>
          <w:rFonts w:ascii="Arial" w:hAnsi="Arial" w:cs="Arial"/>
          <w:sz w:val="22"/>
          <w:lang w:val="es-CO"/>
        </w:rPr>
        <w:t>p</w:t>
      </w:r>
      <w:r w:rsidRPr="006B71F3">
        <w:rPr>
          <w:rFonts w:ascii="Arial" w:hAnsi="Arial" w:cs="Arial"/>
          <w:sz w:val="22"/>
          <w:lang w:val="es-CO"/>
        </w:rPr>
        <w:t>royectos financiables con recursos de la asignación directa,</w:t>
      </w:r>
      <w:r>
        <w:rPr>
          <w:rFonts w:ascii="Arial" w:hAnsi="Arial" w:cs="Arial"/>
          <w:sz w:val="22"/>
          <w:lang w:val="es-CO"/>
        </w:rPr>
        <w:t xml:space="preserve"> es relevante resaltar que los actos o contratos que celebren los ejecutores</w:t>
      </w:r>
      <w:r w:rsidRPr="004664B0">
        <w:rPr>
          <w:rFonts w:ascii="Arial" w:hAnsi="Arial" w:cs="Arial"/>
          <w:sz w:val="22"/>
          <w:lang w:val="es-CO"/>
        </w:rPr>
        <w:t xml:space="preserve"> </w:t>
      </w:r>
      <w:r w:rsidRPr="006B71F3">
        <w:rPr>
          <w:rFonts w:ascii="Arial" w:hAnsi="Arial" w:cs="Arial"/>
          <w:sz w:val="22"/>
          <w:lang w:val="es-CO"/>
        </w:rPr>
        <w:t>está</w:t>
      </w:r>
      <w:r>
        <w:rPr>
          <w:rFonts w:ascii="Arial" w:hAnsi="Arial" w:cs="Arial"/>
          <w:sz w:val="22"/>
          <w:lang w:val="es-CO"/>
        </w:rPr>
        <w:t>n</w:t>
      </w:r>
      <w:r w:rsidRPr="006B71F3">
        <w:rPr>
          <w:rFonts w:ascii="Arial" w:hAnsi="Arial" w:cs="Arial"/>
          <w:sz w:val="22"/>
          <w:lang w:val="es-CO"/>
        </w:rPr>
        <w:t xml:space="preserve"> sometido</w:t>
      </w:r>
      <w:r>
        <w:rPr>
          <w:rFonts w:ascii="Arial" w:hAnsi="Arial" w:cs="Arial"/>
          <w:sz w:val="22"/>
          <w:lang w:val="es-CO"/>
        </w:rPr>
        <w:t>s</w:t>
      </w:r>
      <w:r w:rsidRPr="006B71F3">
        <w:rPr>
          <w:rFonts w:ascii="Arial" w:hAnsi="Arial" w:cs="Arial"/>
          <w:sz w:val="22"/>
          <w:lang w:val="es-CO"/>
        </w:rPr>
        <w:t xml:space="preserve"> a la Ley 80 de 1993</w:t>
      </w:r>
      <w:r>
        <w:rPr>
          <w:rFonts w:ascii="Arial" w:hAnsi="Arial" w:cs="Arial"/>
          <w:sz w:val="22"/>
          <w:lang w:val="es-CO"/>
        </w:rPr>
        <w:t xml:space="preserve">. Por tanto, en caso de que se realicen proyectos de inversión de agua potable y saneamiento básico para estas comunidades en el contexto de la Ley del </w:t>
      </w:r>
      <w:r w:rsidRPr="00B877D0">
        <w:rPr>
          <w:rFonts w:ascii="Arial" w:eastAsia="Calibri" w:hAnsi="Arial" w:cs="Arial"/>
          <w:color w:val="000000" w:themeColor="text1"/>
          <w:sz w:val="22"/>
          <w:szCs w:val="24"/>
          <w:lang w:val="es-ES_tradnl" w:eastAsia="es-ES_tradnl"/>
        </w:rPr>
        <w:t>Sistema General de Regalías</w:t>
      </w:r>
      <w:r>
        <w:rPr>
          <w:rFonts w:ascii="Arial" w:hAnsi="Arial" w:cs="Arial"/>
          <w:sz w:val="22"/>
          <w:lang w:val="es-CO"/>
        </w:rPr>
        <w:t xml:space="preserve">, los ejecutores designados </w:t>
      </w:r>
      <w:r w:rsidRPr="006B71F3">
        <w:rPr>
          <w:rFonts w:ascii="Arial" w:hAnsi="Arial" w:cs="Arial"/>
          <w:sz w:val="22"/>
          <w:lang w:val="es-CO"/>
        </w:rPr>
        <w:t>deberán implementar los documentos tipo adoptados mediante las Resoluciones No. 248 y 249 del 1º de diciembre de 2020</w:t>
      </w:r>
      <w:r>
        <w:rPr>
          <w:rFonts w:ascii="Arial" w:hAnsi="Arial" w:cs="Arial"/>
          <w:sz w:val="22"/>
          <w:lang w:val="es-CO"/>
        </w:rPr>
        <w:t xml:space="preserve">, si el objeto contractual se enmarca en las actividades de la </w:t>
      </w:r>
      <w:r w:rsidRPr="00BB5698">
        <w:rPr>
          <w:rFonts w:ascii="Arial" w:eastAsia="Calibri" w:hAnsi="Arial" w:cs="Arial"/>
          <w:sz w:val="22"/>
          <w:szCs w:val="24"/>
          <w:lang w:val="es-CO" w:eastAsia="es-ES_tradnl"/>
        </w:rPr>
        <w:t>«</w:t>
      </w:r>
      <w:r w:rsidRPr="00BB5698">
        <w:rPr>
          <w:rFonts w:ascii="Arial" w:eastAsia="Times New Roman" w:hAnsi="Arial" w:cs="Arial"/>
          <w:sz w:val="22"/>
          <w:lang w:val="es-ES" w:eastAsia="es-ES"/>
        </w:rPr>
        <w:t>Matriz 1 – Experiencia</w:t>
      </w:r>
      <w:r w:rsidRPr="00BB5698">
        <w:rPr>
          <w:rFonts w:ascii="Arial" w:eastAsia="Calibri" w:hAnsi="Arial" w:cs="Arial"/>
          <w:sz w:val="22"/>
          <w:szCs w:val="24"/>
          <w:lang w:eastAsia="es-ES_tradnl"/>
        </w:rPr>
        <w:t>»</w:t>
      </w:r>
      <w:r w:rsidRPr="006B71F3">
        <w:rPr>
          <w:rFonts w:ascii="Arial" w:hAnsi="Arial" w:cs="Arial"/>
          <w:sz w:val="22"/>
          <w:lang w:val="es-CO"/>
        </w:rPr>
        <w:t xml:space="preserve">. Esto teniendo en cuenta que, de acuerdo </w:t>
      </w:r>
      <w:r>
        <w:rPr>
          <w:rFonts w:ascii="Arial" w:hAnsi="Arial" w:cs="Arial"/>
          <w:sz w:val="22"/>
          <w:lang w:val="es-CO"/>
        </w:rPr>
        <w:t>con</w:t>
      </w:r>
      <w:r w:rsidRPr="006B71F3">
        <w:rPr>
          <w:rFonts w:ascii="Arial" w:hAnsi="Arial" w:cs="Arial"/>
          <w:sz w:val="22"/>
          <w:lang w:val="es-CO"/>
        </w:rPr>
        <w:t xml:space="preserve"> la Ley 2022 de 2020, los documentos tipo serán de obligatorio cumplimiento en la contratación sometida al Estatuto General de Contratación de la Administración Pública</w:t>
      </w:r>
      <w:r>
        <w:rPr>
          <w:rFonts w:ascii="Arial" w:eastAsia="Calibri" w:hAnsi="Arial" w:cs="Arial"/>
          <w:sz w:val="22"/>
        </w:rPr>
        <w:t>.</w:t>
      </w:r>
      <w:r>
        <w:rPr>
          <w:rFonts w:ascii="Arial" w:hAnsi="Arial" w:cs="Arial"/>
          <w:sz w:val="22"/>
          <w:lang w:val="es-CO"/>
        </w:rPr>
        <w:t xml:space="preserve">    </w:t>
      </w:r>
    </w:p>
    <w:p w14:paraId="34E283D5" w14:textId="77777777" w:rsidR="005E097A" w:rsidRDefault="005E097A" w:rsidP="005E097A">
      <w:pPr>
        <w:spacing w:before="120" w:line="276" w:lineRule="auto"/>
        <w:ind w:firstLine="709"/>
        <w:jc w:val="both"/>
        <w:rPr>
          <w:rFonts w:ascii="Arial" w:hAnsi="Arial" w:cs="Arial"/>
          <w:color w:val="000000"/>
          <w:sz w:val="22"/>
          <w:bdr w:val="none" w:sz="0" w:space="0" w:color="auto" w:frame="1"/>
          <w:lang w:val="es-CO"/>
        </w:rPr>
      </w:pPr>
      <w:r>
        <w:rPr>
          <w:rFonts w:ascii="Arial" w:hAnsi="Arial" w:cs="Arial"/>
          <w:color w:val="000000"/>
          <w:sz w:val="22"/>
          <w:bdr w:val="none" w:sz="0" w:space="0" w:color="auto" w:frame="1"/>
          <w:lang w:val="es-CO"/>
        </w:rPr>
        <w:t xml:space="preserve">Por otro lado, la Ley 715 del 2001 se refiere al Sistema General de Participaciones, correspondiente a los recursos que la Nación transfiere a las entidades territoriales para la </w:t>
      </w:r>
      <w:r>
        <w:rPr>
          <w:rFonts w:ascii="Arial" w:hAnsi="Arial" w:cs="Arial"/>
          <w:color w:val="000000"/>
          <w:sz w:val="22"/>
          <w:bdr w:val="none" w:sz="0" w:space="0" w:color="auto" w:frame="1"/>
          <w:lang w:val="es-CO"/>
        </w:rPr>
        <w:lastRenderedPageBreak/>
        <w:t>financiación de ciertos servicios a su cargo. De conformidad con el artículo 3, modificado por el artículo 1 de la Ley 1176 del 2007, este sistema estará conformado así: i)</w:t>
      </w:r>
      <w:r w:rsidRPr="00DD303C">
        <w:rPr>
          <w:rFonts w:ascii="Arial" w:hAnsi="Arial" w:cs="Arial"/>
          <w:color w:val="000000"/>
          <w:sz w:val="22"/>
          <w:bdr w:val="none" w:sz="0" w:space="0" w:color="auto" w:frame="1"/>
          <w:lang w:val="es-CO"/>
        </w:rPr>
        <w:t xml:space="preserve"> </w:t>
      </w:r>
      <w:r>
        <w:rPr>
          <w:rFonts w:ascii="Arial" w:hAnsi="Arial" w:cs="Arial"/>
          <w:color w:val="000000"/>
          <w:sz w:val="22"/>
          <w:bdr w:val="none" w:sz="0" w:space="0" w:color="auto" w:frame="1"/>
          <w:lang w:val="es-CO"/>
        </w:rPr>
        <w:t>u</w:t>
      </w:r>
      <w:r w:rsidRPr="00DD303C">
        <w:rPr>
          <w:rFonts w:ascii="Arial" w:hAnsi="Arial" w:cs="Arial"/>
          <w:color w:val="000000"/>
          <w:sz w:val="22"/>
          <w:bdr w:val="none" w:sz="0" w:space="0" w:color="auto" w:frame="1"/>
          <w:lang w:val="es-CO"/>
        </w:rPr>
        <w:t>na participación con destinación específica para el sector educación, que se denominará participación para educación</w:t>
      </w:r>
      <w:r>
        <w:rPr>
          <w:rFonts w:ascii="Arial" w:hAnsi="Arial" w:cs="Arial"/>
          <w:color w:val="000000"/>
          <w:sz w:val="22"/>
          <w:bdr w:val="none" w:sz="0" w:space="0" w:color="auto" w:frame="1"/>
          <w:lang w:val="es-CO"/>
        </w:rPr>
        <w:t xml:space="preserve">, </w:t>
      </w:r>
      <w:proofErr w:type="spellStart"/>
      <w:r>
        <w:rPr>
          <w:rFonts w:ascii="Arial" w:hAnsi="Arial" w:cs="Arial"/>
          <w:color w:val="000000"/>
          <w:sz w:val="22"/>
          <w:bdr w:val="none" w:sz="0" w:space="0" w:color="auto" w:frame="1"/>
          <w:lang w:val="es-CO"/>
        </w:rPr>
        <w:t>ii</w:t>
      </w:r>
      <w:proofErr w:type="spellEnd"/>
      <w:r>
        <w:rPr>
          <w:rFonts w:ascii="Arial" w:hAnsi="Arial" w:cs="Arial"/>
          <w:color w:val="000000"/>
          <w:sz w:val="22"/>
          <w:bdr w:val="none" w:sz="0" w:space="0" w:color="auto" w:frame="1"/>
          <w:lang w:val="es-CO"/>
        </w:rPr>
        <w:t>)</w:t>
      </w:r>
      <w:r w:rsidRPr="00DD303C">
        <w:rPr>
          <w:rFonts w:ascii="Arial" w:hAnsi="Arial" w:cs="Arial"/>
          <w:color w:val="000000"/>
          <w:sz w:val="22"/>
          <w:bdr w:val="none" w:sz="0" w:space="0" w:color="auto" w:frame="1"/>
          <w:lang w:val="es-CO"/>
        </w:rPr>
        <w:t xml:space="preserve"> </w:t>
      </w:r>
      <w:r>
        <w:rPr>
          <w:rFonts w:ascii="Arial" w:hAnsi="Arial" w:cs="Arial"/>
          <w:color w:val="000000"/>
          <w:sz w:val="22"/>
          <w:bdr w:val="none" w:sz="0" w:space="0" w:color="auto" w:frame="1"/>
          <w:lang w:val="es-CO"/>
        </w:rPr>
        <w:t>u</w:t>
      </w:r>
      <w:r w:rsidRPr="00DD303C">
        <w:rPr>
          <w:rFonts w:ascii="Arial" w:hAnsi="Arial" w:cs="Arial"/>
          <w:color w:val="000000"/>
          <w:sz w:val="22"/>
          <w:bdr w:val="none" w:sz="0" w:space="0" w:color="auto" w:frame="1"/>
          <w:lang w:val="es-CO"/>
        </w:rPr>
        <w:t>na participación con destinación específica para el sector salud, que se denominará participación para salud</w:t>
      </w:r>
      <w:r>
        <w:rPr>
          <w:rFonts w:ascii="Arial" w:hAnsi="Arial" w:cs="Arial"/>
          <w:color w:val="000000"/>
          <w:sz w:val="22"/>
          <w:bdr w:val="none" w:sz="0" w:space="0" w:color="auto" w:frame="1"/>
          <w:lang w:val="es-CO"/>
        </w:rPr>
        <w:t xml:space="preserve">, </w:t>
      </w:r>
      <w:proofErr w:type="spellStart"/>
      <w:r>
        <w:rPr>
          <w:rFonts w:ascii="Arial" w:hAnsi="Arial" w:cs="Arial"/>
          <w:color w:val="000000"/>
          <w:sz w:val="22"/>
          <w:bdr w:val="none" w:sz="0" w:space="0" w:color="auto" w:frame="1"/>
          <w:lang w:val="es-CO"/>
        </w:rPr>
        <w:t>iii</w:t>
      </w:r>
      <w:proofErr w:type="spellEnd"/>
      <w:r>
        <w:rPr>
          <w:rFonts w:ascii="Arial" w:hAnsi="Arial" w:cs="Arial"/>
          <w:color w:val="000000"/>
          <w:sz w:val="22"/>
          <w:bdr w:val="none" w:sz="0" w:space="0" w:color="auto" w:frame="1"/>
          <w:lang w:val="es-CO"/>
        </w:rPr>
        <w:t>) u</w:t>
      </w:r>
      <w:r w:rsidRPr="00DD303C">
        <w:rPr>
          <w:rFonts w:ascii="Arial" w:hAnsi="Arial" w:cs="Arial"/>
          <w:color w:val="000000"/>
          <w:sz w:val="22"/>
          <w:bdr w:val="none" w:sz="0" w:space="0" w:color="auto" w:frame="1"/>
          <w:lang w:val="es-CO"/>
        </w:rPr>
        <w:t>na participación con destinación específica para el sector agua potable y saneamiento básico, que se denominará participación para agua potable y saneamiento básico</w:t>
      </w:r>
      <w:r>
        <w:rPr>
          <w:rFonts w:ascii="Arial" w:hAnsi="Arial" w:cs="Arial"/>
          <w:color w:val="000000"/>
          <w:sz w:val="22"/>
          <w:bdr w:val="none" w:sz="0" w:space="0" w:color="auto" w:frame="1"/>
          <w:lang w:val="es-CO"/>
        </w:rPr>
        <w:t xml:space="preserve"> y </w:t>
      </w:r>
      <w:proofErr w:type="spellStart"/>
      <w:r>
        <w:rPr>
          <w:rFonts w:ascii="Arial" w:hAnsi="Arial" w:cs="Arial"/>
          <w:color w:val="000000"/>
          <w:sz w:val="22"/>
          <w:bdr w:val="none" w:sz="0" w:space="0" w:color="auto" w:frame="1"/>
          <w:lang w:val="es-CO"/>
        </w:rPr>
        <w:t>iv</w:t>
      </w:r>
      <w:proofErr w:type="spellEnd"/>
      <w:r>
        <w:rPr>
          <w:rFonts w:ascii="Arial" w:hAnsi="Arial" w:cs="Arial"/>
          <w:color w:val="000000"/>
          <w:sz w:val="22"/>
          <w:bdr w:val="none" w:sz="0" w:space="0" w:color="auto" w:frame="1"/>
          <w:lang w:val="es-CO"/>
        </w:rPr>
        <w:t>)</w:t>
      </w:r>
      <w:r w:rsidRPr="00DD303C">
        <w:rPr>
          <w:rFonts w:ascii="Arial" w:hAnsi="Arial" w:cs="Arial"/>
          <w:color w:val="000000"/>
          <w:sz w:val="22"/>
          <w:bdr w:val="none" w:sz="0" w:space="0" w:color="auto" w:frame="1"/>
          <w:lang w:val="es-CO"/>
        </w:rPr>
        <w:t xml:space="preserve"> </w:t>
      </w:r>
      <w:r>
        <w:rPr>
          <w:rFonts w:ascii="Arial" w:hAnsi="Arial" w:cs="Arial"/>
          <w:color w:val="000000"/>
          <w:sz w:val="22"/>
          <w:bdr w:val="none" w:sz="0" w:space="0" w:color="auto" w:frame="1"/>
          <w:lang w:val="es-CO"/>
        </w:rPr>
        <w:t>u</w:t>
      </w:r>
      <w:r w:rsidRPr="00DD303C">
        <w:rPr>
          <w:rFonts w:ascii="Arial" w:hAnsi="Arial" w:cs="Arial"/>
          <w:color w:val="000000"/>
          <w:sz w:val="22"/>
          <w:bdr w:val="none" w:sz="0" w:space="0" w:color="auto" w:frame="1"/>
          <w:lang w:val="es-CO"/>
        </w:rPr>
        <w:t>na participación de propósito general</w:t>
      </w:r>
      <w:r>
        <w:rPr>
          <w:rFonts w:ascii="Arial" w:hAnsi="Arial" w:cs="Arial"/>
          <w:color w:val="000000"/>
          <w:sz w:val="22"/>
          <w:bdr w:val="none" w:sz="0" w:space="0" w:color="auto" w:frame="1"/>
          <w:lang w:val="es-CO"/>
        </w:rPr>
        <w:t xml:space="preserve">. En lo relacionado específicamente con el sector de agua potable y saneamiento básico, la Ley 1176 de 2009 determinó aspectos como la evaluación al uso y ejecución de los recursos, planes de gestión, la distribución territorial de los recursos, los criterios de distribución, constitución de patrimonios autónomos, giro de recursos, entre otros. Pero a diferencia de lo dispuesto para el Sistema General de Regalías, en la Ley 715 de 2001 y la Ley 1176 de 2007 no se observa una norma específica que establezca una sujeción a la Ley 80 de 1993 en relación con actos o contratos para la ejecución de proyectos de agua potable y saneamiento básico. </w:t>
      </w:r>
    </w:p>
    <w:p w14:paraId="70E84583" w14:textId="66EAB129" w:rsidR="005E097A" w:rsidRPr="00461169" w:rsidRDefault="005E097A" w:rsidP="005E097A">
      <w:pPr>
        <w:spacing w:before="120" w:line="276" w:lineRule="auto"/>
        <w:ind w:firstLine="709"/>
        <w:jc w:val="both"/>
        <w:rPr>
          <w:rFonts w:ascii="Arial" w:hAnsi="Arial" w:cs="Arial"/>
          <w:color w:val="000000"/>
          <w:sz w:val="22"/>
          <w:bdr w:val="none" w:sz="0" w:space="0" w:color="auto" w:frame="1"/>
          <w:lang w:val="es-CO"/>
        </w:rPr>
      </w:pPr>
      <w:r>
        <w:rPr>
          <w:rFonts w:ascii="Arial" w:hAnsi="Arial" w:cs="Arial"/>
          <w:color w:val="000000"/>
          <w:sz w:val="22"/>
          <w:bdr w:val="none" w:sz="0" w:space="0" w:color="auto" w:frame="1"/>
          <w:lang w:val="es-CO"/>
        </w:rPr>
        <w:t xml:space="preserve">Por tanto, salvo mandato legal en contrario, </w:t>
      </w:r>
      <w:bookmarkStart w:id="17" w:name="_Hlk71740549"/>
      <w:r>
        <w:rPr>
          <w:rFonts w:ascii="Arial" w:hAnsi="Arial" w:cs="Arial"/>
          <w:color w:val="000000"/>
          <w:sz w:val="22"/>
          <w:bdr w:val="none" w:sz="0" w:space="0" w:color="auto" w:frame="1"/>
          <w:lang w:val="es-CO"/>
        </w:rPr>
        <w:t>si el proyecto de agua potable y saneamiento básico con recursos del Sistema General de Participaciones es ejecutado por una empresa de servicios públicos domiciliarios, el régimen de contratación aplicable sería el de derecho privado</w:t>
      </w:r>
      <w:bookmarkEnd w:id="17"/>
      <w:r w:rsidR="00644E54">
        <w:rPr>
          <w:rFonts w:ascii="Arial" w:hAnsi="Arial" w:cs="Arial"/>
          <w:color w:val="000000"/>
          <w:sz w:val="22"/>
          <w:bdr w:val="none" w:sz="0" w:space="0" w:color="auto" w:frame="1"/>
          <w:lang w:val="es-CO"/>
        </w:rPr>
        <w:t xml:space="preserve">. </w:t>
      </w:r>
      <w:r>
        <w:rPr>
          <w:rFonts w:ascii="Arial" w:hAnsi="Arial" w:cs="Arial"/>
          <w:color w:val="000000"/>
          <w:sz w:val="22"/>
          <w:bdr w:val="none" w:sz="0" w:space="0" w:color="auto" w:frame="1"/>
          <w:lang w:val="es-CO"/>
        </w:rPr>
        <w:t>Sin embargo, la entidad deberá analizar e identificar, en la etapa de planeación, las normas presupuestales que apliquen a los proyectos que se ejecutarán</w:t>
      </w:r>
      <w:bookmarkStart w:id="18" w:name="_Hlk73704076"/>
      <w:r>
        <w:rPr>
          <w:rFonts w:ascii="Arial" w:hAnsi="Arial" w:cs="Arial"/>
          <w:color w:val="000000"/>
          <w:sz w:val="22"/>
          <w:bdr w:val="none" w:sz="0" w:space="0" w:color="auto" w:frame="1"/>
          <w:lang w:val="es-CO"/>
        </w:rPr>
        <w:t xml:space="preserve">. </w:t>
      </w:r>
      <w:bookmarkStart w:id="19" w:name="_Hlk73704128"/>
      <w:r>
        <w:rPr>
          <w:rFonts w:ascii="Arial" w:hAnsi="Arial" w:cs="Arial"/>
          <w:color w:val="000000"/>
          <w:sz w:val="22"/>
          <w:bdr w:val="none" w:sz="0" w:space="0" w:color="auto" w:frame="1"/>
          <w:lang w:val="es-CO"/>
        </w:rPr>
        <w:t xml:space="preserve">De este modo, </w:t>
      </w:r>
      <w:r>
        <w:rPr>
          <w:rFonts w:ascii="Arial" w:hAnsi="Arial" w:cs="Arial"/>
          <w:color w:val="000000"/>
          <w:sz w:val="22"/>
          <w:bdr w:val="none" w:sz="0" w:space="0" w:color="auto" w:frame="1"/>
        </w:rPr>
        <w:t>en el evento en que determinados asuntos estén sometidos, por norma especial, al Estatuto General de Contratación Pública, la celebración y ejecución de los contratos deberá realizarse conforme a este régimen y aplicar los documentos tipo, si resulta procedente de acuerdo con los criterios anteriormente expuestos</w:t>
      </w:r>
      <w:bookmarkEnd w:id="19"/>
      <w:r>
        <w:rPr>
          <w:rFonts w:ascii="Arial" w:hAnsi="Arial" w:cs="Arial"/>
          <w:color w:val="000000"/>
          <w:sz w:val="22"/>
          <w:bdr w:val="none" w:sz="0" w:space="0" w:color="auto" w:frame="1"/>
        </w:rPr>
        <w:t xml:space="preserve">. </w:t>
      </w:r>
    </w:p>
    <w:bookmarkEnd w:id="18"/>
    <w:p w14:paraId="3EE276C7" w14:textId="77777777" w:rsidR="00BB5698" w:rsidRPr="005E097A" w:rsidRDefault="00BB5698" w:rsidP="00217CAB">
      <w:pPr>
        <w:spacing w:line="276" w:lineRule="auto"/>
        <w:jc w:val="both"/>
        <w:rPr>
          <w:rFonts w:ascii="Arial" w:hAnsi="Arial" w:cs="Arial"/>
          <w:b/>
          <w:bCs/>
          <w:color w:val="000000" w:themeColor="text1"/>
          <w:sz w:val="22"/>
          <w:lang w:val="es-CO"/>
        </w:rPr>
      </w:pPr>
    </w:p>
    <w:p w14:paraId="7A3DFA55" w14:textId="3C0C0167" w:rsidR="00610E5E" w:rsidRPr="004C33D6" w:rsidRDefault="00610E5E" w:rsidP="00610E5E">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C33D6">
        <w:rPr>
          <w:rFonts w:ascii="Arial" w:hAnsi="Arial" w:cs="Arial"/>
          <w:b/>
          <w:bCs/>
          <w:color w:val="000000" w:themeColor="text1"/>
          <w:sz w:val="22"/>
          <w:lang w:val="es-CO"/>
        </w:rPr>
        <w:t>Respuesta</w:t>
      </w:r>
      <w:r w:rsidR="00985512">
        <w:rPr>
          <w:rFonts w:ascii="Arial" w:hAnsi="Arial" w:cs="Arial"/>
          <w:b/>
          <w:bCs/>
          <w:color w:val="000000" w:themeColor="text1"/>
          <w:sz w:val="22"/>
          <w:lang w:val="es-CO"/>
        </w:rPr>
        <w:t>s</w:t>
      </w:r>
      <w:r w:rsidRPr="004C33D6">
        <w:rPr>
          <w:rFonts w:ascii="Arial" w:hAnsi="Arial" w:cs="Arial"/>
          <w:b/>
          <w:bCs/>
          <w:color w:val="000000" w:themeColor="text1"/>
          <w:sz w:val="22"/>
          <w:lang w:val="es-CO"/>
        </w:rPr>
        <w:t xml:space="preserve"> </w:t>
      </w:r>
    </w:p>
    <w:p w14:paraId="36B97BE7" w14:textId="05481D3D" w:rsidR="00610E5E" w:rsidRDefault="00610E5E" w:rsidP="00610E5E">
      <w:pPr>
        <w:spacing w:line="276" w:lineRule="auto"/>
        <w:jc w:val="both"/>
        <w:rPr>
          <w:rFonts w:ascii="Arial" w:hAnsi="Arial" w:cs="Arial"/>
          <w:color w:val="000000" w:themeColor="text1"/>
          <w:sz w:val="22"/>
          <w:lang w:val="es-CO"/>
        </w:rPr>
      </w:pPr>
    </w:p>
    <w:p w14:paraId="3A96698E" w14:textId="375C2F7F" w:rsidR="00133A9E" w:rsidRPr="00133A9E" w:rsidRDefault="00133A9E" w:rsidP="00133A9E">
      <w:pPr>
        <w:ind w:left="709" w:right="709"/>
        <w:jc w:val="both"/>
        <w:rPr>
          <w:rFonts w:ascii="Arial" w:eastAsia="Calibri" w:hAnsi="Arial" w:cs="Arial"/>
          <w:color w:val="000000" w:themeColor="text1"/>
          <w:sz w:val="21"/>
          <w:szCs w:val="21"/>
          <w:lang w:val="es-ES_tradnl" w:eastAsia="es-ES_tradnl"/>
        </w:rPr>
      </w:pPr>
      <w:r w:rsidRPr="00133A9E">
        <w:rPr>
          <w:rFonts w:ascii="Arial" w:eastAsia="Calibri" w:hAnsi="Arial" w:cs="Arial"/>
          <w:color w:val="000000" w:themeColor="text1"/>
          <w:sz w:val="21"/>
          <w:szCs w:val="21"/>
          <w:lang w:val="es-ES_tradnl" w:eastAsia="es-ES_tradnl"/>
        </w:rPr>
        <w:t xml:space="preserve">Cuando una entidad transfiere a una empresa de servicios públicos domiciliarios </w:t>
      </w:r>
      <w:r w:rsidRPr="007D4086">
        <w:rPr>
          <w:rFonts w:ascii="Arial" w:eastAsia="Calibri" w:hAnsi="Arial" w:cs="Arial"/>
          <w:color w:val="000000" w:themeColor="text1"/>
          <w:sz w:val="21"/>
          <w:szCs w:val="21"/>
          <w:lang w:val="es-ES_tradnl" w:eastAsia="es-ES_tradnl"/>
        </w:rPr>
        <w:t>(AAA S.A. ESP) mediante convenio o contrato interadministrativo recursos del SGP o</w:t>
      </w:r>
      <w:r w:rsidRPr="00133A9E">
        <w:rPr>
          <w:rFonts w:ascii="Arial" w:eastAsia="Calibri" w:hAnsi="Arial" w:cs="Arial"/>
          <w:color w:val="000000" w:themeColor="text1"/>
          <w:sz w:val="21"/>
          <w:szCs w:val="21"/>
          <w:lang w:val="es-ES_tradnl" w:eastAsia="es-ES_tradnl"/>
        </w:rPr>
        <w:t xml:space="preserve"> </w:t>
      </w:r>
      <w:r w:rsidRPr="007D4086">
        <w:rPr>
          <w:rFonts w:ascii="Arial" w:eastAsia="Calibri" w:hAnsi="Arial" w:cs="Arial"/>
          <w:color w:val="000000" w:themeColor="text1"/>
          <w:sz w:val="21"/>
          <w:szCs w:val="21"/>
          <w:lang w:val="es-ES_tradnl" w:eastAsia="es-ES_tradnl"/>
        </w:rPr>
        <w:t>SGR o recursos propios, para atender necesidades de la entidad territorial en el área</w:t>
      </w:r>
      <w:r w:rsidRPr="00133A9E">
        <w:rPr>
          <w:rFonts w:ascii="Arial" w:eastAsia="Calibri" w:hAnsi="Arial" w:cs="Arial"/>
          <w:color w:val="000000" w:themeColor="text1"/>
          <w:sz w:val="21"/>
          <w:szCs w:val="21"/>
          <w:lang w:val="es-ES_tradnl" w:eastAsia="es-ES_tradnl"/>
        </w:rPr>
        <w:t xml:space="preserve"> </w:t>
      </w:r>
      <w:r w:rsidRPr="007D4086">
        <w:rPr>
          <w:rFonts w:ascii="Arial" w:eastAsia="Calibri" w:hAnsi="Arial" w:cs="Arial"/>
          <w:color w:val="000000" w:themeColor="text1"/>
          <w:sz w:val="21"/>
          <w:szCs w:val="21"/>
          <w:lang w:val="es-ES_tradnl" w:eastAsia="es-ES_tradnl"/>
        </w:rPr>
        <w:t>de infraestructura de agua potable y saneamiento básico; dicha empresa de servicios</w:t>
      </w:r>
      <w:r w:rsidRPr="00133A9E">
        <w:rPr>
          <w:rFonts w:ascii="Arial" w:eastAsia="Calibri" w:hAnsi="Arial" w:cs="Arial"/>
          <w:color w:val="000000" w:themeColor="text1"/>
          <w:sz w:val="21"/>
          <w:szCs w:val="21"/>
          <w:lang w:val="es-ES_tradnl" w:eastAsia="es-ES_tradnl"/>
        </w:rPr>
        <w:t xml:space="preserve"> </w:t>
      </w:r>
      <w:r w:rsidRPr="007D4086">
        <w:rPr>
          <w:rFonts w:ascii="Arial" w:eastAsia="Calibri" w:hAnsi="Arial" w:cs="Arial"/>
          <w:color w:val="000000" w:themeColor="text1"/>
          <w:sz w:val="21"/>
          <w:szCs w:val="21"/>
          <w:lang w:val="es-ES_tradnl" w:eastAsia="es-ES_tradnl"/>
        </w:rPr>
        <w:t>públicos se ve obligada a cumplir con los documentos tipo adoptados en las</w:t>
      </w:r>
      <w:r w:rsidRPr="00133A9E">
        <w:rPr>
          <w:rFonts w:ascii="Arial" w:eastAsia="Calibri" w:hAnsi="Arial" w:cs="Arial"/>
          <w:color w:val="000000" w:themeColor="text1"/>
          <w:sz w:val="21"/>
          <w:szCs w:val="21"/>
          <w:lang w:val="es-ES_tradnl" w:eastAsia="es-ES_tradnl"/>
        </w:rPr>
        <w:t xml:space="preserve"> </w:t>
      </w:r>
      <w:r w:rsidRPr="007D4086">
        <w:rPr>
          <w:rFonts w:ascii="Arial" w:eastAsia="Calibri" w:hAnsi="Arial" w:cs="Arial"/>
          <w:color w:val="000000" w:themeColor="text1"/>
          <w:sz w:val="21"/>
          <w:szCs w:val="21"/>
          <w:lang w:val="es-ES_tradnl" w:eastAsia="es-ES_tradnl"/>
        </w:rPr>
        <w:t>resoluciones 248 y 249 de 2020, a la hora de celebrar los respectivos subcontratos que</w:t>
      </w:r>
      <w:r w:rsidRPr="00133A9E">
        <w:rPr>
          <w:rFonts w:ascii="Arial" w:eastAsia="Calibri" w:hAnsi="Arial" w:cs="Arial"/>
          <w:color w:val="000000" w:themeColor="text1"/>
          <w:sz w:val="21"/>
          <w:szCs w:val="21"/>
          <w:lang w:val="es-ES_tradnl" w:eastAsia="es-ES_tradnl"/>
        </w:rPr>
        <w:t xml:space="preserve"> se desprendan de las obligaciones contraídas en el contrato principal?</w:t>
      </w:r>
    </w:p>
    <w:p w14:paraId="169C7F0F" w14:textId="77777777" w:rsidR="00120FC5" w:rsidRPr="00120FC5" w:rsidRDefault="00120FC5">
      <w:pPr>
        <w:spacing w:line="276" w:lineRule="auto"/>
        <w:ind w:left="709" w:right="709"/>
        <w:jc w:val="both"/>
        <w:rPr>
          <w:rFonts w:ascii="Arial" w:hAnsi="Arial" w:cs="Arial"/>
          <w:color w:val="000000" w:themeColor="text1"/>
          <w:sz w:val="22"/>
          <w:lang w:val="es-CO"/>
        </w:rPr>
      </w:pPr>
    </w:p>
    <w:p w14:paraId="4E7CBD1F" w14:textId="77777777" w:rsidR="005E097A" w:rsidRPr="00121349" w:rsidRDefault="005E097A" w:rsidP="005E097A">
      <w:pPr>
        <w:pStyle w:val="xmsonospacing"/>
        <w:spacing w:before="0" w:beforeAutospacing="0" w:after="0" w:afterAutospacing="0" w:line="276" w:lineRule="auto"/>
        <w:jc w:val="both"/>
        <w:rPr>
          <w:rFonts w:ascii="Arial" w:hAnsi="Arial" w:cs="Arial"/>
          <w:color w:val="000000"/>
          <w:sz w:val="22"/>
          <w:szCs w:val="22"/>
          <w:bdr w:val="none" w:sz="0" w:space="0" w:color="auto" w:frame="1"/>
        </w:rPr>
      </w:pPr>
      <w:r>
        <w:rPr>
          <w:rFonts w:ascii="Arial" w:eastAsia="Calibri" w:hAnsi="Arial" w:cs="Arial"/>
          <w:color w:val="000000" w:themeColor="text1"/>
          <w:sz w:val="22"/>
          <w:lang w:val="es-ES_tradnl" w:eastAsia="es-ES_tradnl"/>
        </w:rPr>
        <w:t>E</w:t>
      </w:r>
      <w:r w:rsidRPr="001F0ECB">
        <w:rPr>
          <w:rFonts w:ascii="Arial" w:eastAsia="Calibri" w:hAnsi="Arial" w:cs="Arial"/>
          <w:color w:val="000000" w:themeColor="text1"/>
          <w:sz w:val="22"/>
          <w:lang w:val="es-ES_tradnl" w:eastAsia="es-ES_tradnl"/>
        </w:rPr>
        <w:t>n su actividad contractual</w:t>
      </w:r>
      <w:r>
        <w:rPr>
          <w:rFonts w:ascii="Arial" w:eastAsia="Calibri" w:hAnsi="Arial" w:cs="Arial"/>
          <w:color w:val="000000" w:themeColor="text1"/>
          <w:sz w:val="22"/>
          <w:lang w:val="es-ES_tradnl" w:eastAsia="es-ES_tradnl"/>
        </w:rPr>
        <w:t>,</w:t>
      </w:r>
      <w:r>
        <w:rPr>
          <w:rFonts w:ascii="Arial" w:hAnsi="Arial" w:cs="Arial"/>
          <w:color w:val="000000"/>
          <w:sz w:val="22"/>
          <w:szCs w:val="22"/>
          <w:bdr w:val="none" w:sz="0" w:space="0" w:color="auto" w:frame="1"/>
        </w:rPr>
        <w:t xml:space="preserve"> l</w:t>
      </w:r>
      <w:r w:rsidRPr="006A443A">
        <w:rPr>
          <w:rFonts w:ascii="Arial" w:hAnsi="Arial" w:cs="Arial"/>
          <w:color w:val="000000"/>
          <w:sz w:val="22"/>
          <w:szCs w:val="22"/>
          <w:bdr w:val="none" w:sz="0" w:space="0" w:color="auto" w:frame="1"/>
        </w:rPr>
        <w:t>as empresas prestadoras de servicios públicos</w:t>
      </w:r>
      <w:r>
        <w:rPr>
          <w:rFonts w:ascii="Arial" w:hAnsi="Arial" w:cs="Arial"/>
          <w:color w:val="000000"/>
          <w:sz w:val="22"/>
          <w:szCs w:val="22"/>
          <w:bdr w:val="none" w:sz="0" w:space="0" w:color="auto" w:frame="1"/>
        </w:rPr>
        <w:t xml:space="preserve"> domiciliarios</w:t>
      </w:r>
      <w:r w:rsidRPr="006A443A">
        <w:rPr>
          <w:rFonts w:ascii="Arial" w:hAnsi="Arial" w:cs="Arial"/>
          <w:color w:val="000000"/>
          <w:sz w:val="22"/>
          <w:szCs w:val="22"/>
          <w:bdr w:val="none" w:sz="0" w:space="0" w:color="auto" w:frame="1"/>
        </w:rPr>
        <w:t xml:space="preserve"> </w:t>
      </w:r>
      <w:r w:rsidRPr="001F0ECB">
        <w:rPr>
          <w:rFonts w:ascii="Arial" w:eastAsia="Calibri" w:hAnsi="Arial" w:cs="Arial"/>
          <w:color w:val="000000" w:themeColor="text1"/>
          <w:sz w:val="22"/>
          <w:lang w:val="es-ES_tradnl" w:eastAsia="es-ES_tradnl"/>
        </w:rPr>
        <w:t xml:space="preserve">se sujetan a las disposiciones del derecho privado, salvo en aquellos casos en los que la Constitución, la Ley 142 de 1994 u otras leyes especiales sometan tal </w:t>
      </w:r>
      <w:r>
        <w:rPr>
          <w:rFonts w:ascii="Arial" w:eastAsia="Calibri" w:hAnsi="Arial" w:cs="Arial"/>
          <w:color w:val="000000" w:themeColor="text1"/>
          <w:sz w:val="22"/>
          <w:lang w:val="es-ES_tradnl" w:eastAsia="es-ES_tradnl"/>
        </w:rPr>
        <w:t xml:space="preserve">gestión </w:t>
      </w:r>
      <w:r w:rsidRPr="001F0ECB">
        <w:rPr>
          <w:rFonts w:ascii="Arial" w:eastAsia="Calibri" w:hAnsi="Arial" w:cs="Arial"/>
          <w:color w:val="000000" w:themeColor="text1"/>
          <w:sz w:val="22"/>
          <w:lang w:val="es-ES_tradnl" w:eastAsia="es-ES_tradnl"/>
        </w:rPr>
        <w:t>al Estatuto General de Contratación de la Administración Pública</w:t>
      </w:r>
      <w:r>
        <w:rPr>
          <w:rFonts w:ascii="Arial" w:eastAsia="Calibri" w:hAnsi="Arial" w:cs="Arial"/>
          <w:color w:val="000000" w:themeColor="text1"/>
          <w:sz w:val="22"/>
          <w:lang w:val="es-ES_tradnl" w:eastAsia="es-ES_tradnl"/>
        </w:rPr>
        <w:t>. Por consiguiente, los documentos tipos adoptados mediante las Resoluciones Nos. 248 y 249 de 2020</w:t>
      </w:r>
      <w:r w:rsidRPr="001F0ECB">
        <w:rPr>
          <w:rFonts w:ascii="Arial" w:hAnsi="Arial" w:cs="Arial"/>
          <w:color w:val="000000"/>
          <w:sz w:val="22"/>
          <w:szCs w:val="22"/>
          <w:bdr w:val="none" w:sz="0" w:space="0" w:color="auto" w:frame="1"/>
        </w:rPr>
        <w:t xml:space="preserve"> </w:t>
      </w:r>
      <w:r w:rsidRPr="006A443A">
        <w:rPr>
          <w:rFonts w:ascii="Arial" w:hAnsi="Arial" w:cs="Arial"/>
          <w:color w:val="000000"/>
          <w:sz w:val="22"/>
          <w:szCs w:val="22"/>
          <w:bdr w:val="none" w:sz="0" w:space="0" w:color="auto" w:frame="1"/>
        </w:rPr>
        <w:t xml:space="preserve">no son de obligatorio </w:t>
      </w:r>
      <w:r w:rsidRPr="006A443A">
        <w:rPr>
          <w:rFonts w:ascii="Arial" w:hAnsi="Arial" w:cs="Arial"/>
          <w:color w:val="000000"/>
          <w:sz w:val="22"/>
          <w:szCs w:val="22"/>
          <w:bdr w:val="none" w:sz="0" w:space="0" w:color="auto" w:frame="1"/>
        </w:rPr>
        <w:lastRenderedPageBreak/>
        <w:t>cumplimiento por parte de las empresas prestadoras de servicios públicos domiciliarios</w:t>
      </w:r>
      <w:r>
        <w:rPr>
          <w:rFonts w:ascii="Arial" w:hAnsi="Arial" w:cs="Arial"/>
          <w:color w:val="000000"/>
          <w:sz w:val="22"/>
          <w:szCs w:val="22"/>
          <w:bdr w:val="none" w:sz="0" w:space="0" w:color="auto" w:frame="1"/>
        </w:rPr>
        <w:t xml:space="preserve">, teniendo en cuenta que su aplicación es vinculante para las entidades cuya contratación esté sometida al Estatuto General de Contratación de la Administración Pública. </w:t>
      </w:r>
      <w:r>
        <w:rPr>
          <w:rFonts w:ascii="Arial" w:hAnsi="Arial" w:cs="Arial"/>
          <w:color w:val="000000"/>
          <w:sz w:val="22"/>
          <w:bdr w:val="none" w:sz="0" w:space="0" w:color="auto" w:frame="1"/>
        </w:rPr>
        <w:t xml:space="preserve">No obstante, las empresas prestadoras de servicios públicos podrán adoptar los documentos tipos para los proyectos que ejecuten de agua potable y saneamiento básico, como </w:t>
      </w:r>
      <w:r w:rsidRPr="007C6A4F">
        <w:rPr>
          <w:rFonts w:ascii="Arial" w:hAnsi="Arial" w:cs="Arial"/>
          <w:color w:val="000000"/>
          <w:sz w:val="22"/>
          <w:bdr w:val="none" w:sz="0" w:space="0" w:color="auto" w:frame="1"/>
        </w:rPr>
        <w:t>políticas de buenas prácticas contractuales</w:t>
      </w:r>
      <w:r>
        <w:rPr>
          <w:rFonts w:ascii="Arial" w:hAnsi="Arial" w:cs="Arial"/>
          <w:color w:val="000000"/>
          <w:sz w:val="22"/>
          <w:bdr w:val="none" w:sz="0" w:space="0" w:color="auto" w:frame="1"/>
        </w:rPr>
        <w:t xml:space="preserve">. </w:t>
      </w:r>
    </w:p>
    <w:p w14:paraId="22703105" w14:textId="77777777" w:rsidR="005E097A" w:rsidRPr="00671EFD" w:rsidRDefault="005E097A" w:rsidP="005E097A">
      <w:pPr>
        <w:spacing w:before="120" w:line="276" w:lineRule="auto"/>
        <w:ind w:firstLine="709"/>
        <w:jc w:val="both"/>
        <w:rPr>
          <w:rFonts w:ascii="Arial" w:eastAsia="Calibri" w:hAnsi="Arial" w:cs="Arial"/>
          <w:color w:val="000000" w:themeColor="text1"/>
          <w:sz w:val="22"/>
          <w:lang w:val="es-ES_tradnl"/>
        </w:rPr>
      </w:pPr>
      <w:r>
        <w:rPr>
          <w:rFonts w:ascii="Arial" w:hAnsi="Arial" w:cs="Arial"/>
          <w:color w:val="000000"/>
          <w:sz w:val="22"/>
          <w:bdr w:val="none" w:sz="0" w:space="0" w:color="auto" w:frame="1"/>
        </w:rPr>
        <w:t xml:space="preserve">En todo caso, </w:t>
      </w:r>
      <w:r>
        <w:rPr>
          <w:rFonts w:ascii="Arial" w:hAnsi="Arial" w:cs="Arial"/>
          <w:color w:val="000000"/>
          <w:sz w:val="22"/>
          <w:bdr w:val="none" w:sz="0" w:space="0" w:color="auto" w:frame="1"/>
          <w:lang w:val="es-CO"/>
        </w:rPr>
        <w:t>aunque se trate de entidades sujetas al derecho privado</w:t>
      </w:r>
      <w:r>
        <w:rPr>
          <w:rFonts w:ascii="Arial" w:eastAsia="Calibri" w:hAnsi="Arial" w:cs="Arial"/>
          <w:color w:val="000000" w:themeColor="text1"/>
          <w:sz w:val="22"/>
          <w:lang w:val="es-ES"/>
        </w:rPr>
        <w:t xml:space="preserve">, </w:t>
      </w:r>
      <w:r w:rsidRPr="00475C92">
        <w:rPr>
          <w:rFonts w:ascii="Arial" w:eastAsia="Calibri" w:hAnsi="Arial" w:cs="Arial"/>
          <w:color w:val="000000" w:themeColor="text1"/>
          <w:sz w:val="22"/>
          <w:lang w:val="es-ES_tradnl"/>
        </w:rPr>
        <w:t>deben observar las disposiciones presupuestales, tributarias y demás normas de orden público aplicables a las entidades estatales, independientemente de su régimen contractual</w:t>
      </w:r>
      <w:r>
        <w:rPr>
          <w:rFonts w:ascii="Arial" w:eastAsia="Calibri" w:hAnsi="Arial" w:cs="Arial"/>
          <w:color w:val="000000" w:themeColor="text1"/>
          <w:sz w:val="22"/>
          <w:lang w:val="es-ES_tradnl"/>
        </w:rPr>
        <w:t xml:space="preserve">. </w:t>
      </w:r>
      <w:r>
        <w:rPr>
          <w:rFonts w:ascii="Arial" w:hAnsi="Arial" w:cs="Arial"/>
          <w:color w:val="000000"/>
          <w:sz w:val="22"/>
          <w:bdr w:val="none" w:sz="0" w:space="0" w:color="auto" w:frame="1"/>
        </w:rPr>
        <w:t xml:space="preserve">Así, por ejemplo, conforme a </w:t>
      </w:r>
      <w:r w:rsidRPr="00B877D0">
        <w:rPr>
          <w:rFonts w:ascii="Arial" w:eastAsia="Calibri" w:hAnsi="Arial" w:cs="Arial"/>
          <w:color w:val="000000" w:themeColor="text1"/>
          <w:sz w:val="22"/>
          <w:szCs w:val="24"/>
          <w:lang w:val="es-ES_tradnl" w:eastAsia="es-ES_tradnl"/>
        </w:rPr>
        <w:t>la Ley 2056 de 2020 sobre los recursos del Sistema General de Regalías</w:t>
      </w:r>
      <w:r>
        <w:rPr>
          <w:rFonts w:ascii="Arial" w:eastAsia="Calibri" w:hAnsi="Arial" w:cs="Arial"/>
          <w:color w:val="000000" w:themeColor="text1"/>
          <w:sz w:val="22"/>
          <w:szCs w:val="24"/>
          <w:lang w:val="es-ES_tradnl" w:eastAsia="es-ES_tradnl"/>
        </w:rPr>
        <w:t xml:space="preserve">, </w:t>
      </w:r>
      <w:r w:rsidRPr="00A8672D">
        <w:rPr>
          <w:rFonts w:ascii="Arial" w:hAnsi="Arial" w:cs="Arial"/>
          <w:sz w:val="22"/>
          <w:lang w:val="es-CO"/>
        </w:rPr>
        <w:t xml:space="preserve">cuando dichos recursos sean para proyectos de inversión en i) pueblos y </w:t>
      </w:r>
      <w:r w:rsidRPr="00DF59EC">
        <w:rPr>
          <w:rFonts w:ascii="Arial" w:hAnsi="Arial" w:cs="Arial"/>
          <w:sz w:val="22"/>
          <w:lang w:val="es-CO"/>
        </w:rPr>
        <w:t xml:space="preserve">comunidades indígenas, </w:t>
      </w:r>
      <w:proofErr w:type="spellStart"/>
      <w:r w:rsidRPr="00DF59EC">
        <w:rPr>
          <w:rFonts w:ascii="Arial" w:hAnsi="Arial" w:cs="Arial"/>
          <w:sz w:val="22"/>
          <w:lang w:val="es-CO"/>
        </w:rPr>
        <w:t>ii</w:t>
      </w:r>
      <w:proofErr w:type="spellEnd"/>
      <w:r w:rsidRPr="00DF59EC">
        <w:rPr>
          <w:rFonts w:ascii="Arial" w:hAnsi="Arial" w:cs="Arial"/>
          <w:sz w:val="22"/>
          <w:lang w:val="es-CO"/>
        </w:rPr>
        <w:t>)</w:t>
      </w:r>
      <w:r w:rsidRPr="00A8672D">
        <w:t xml:space="preserve"> </w:t>
      </w:r>
      <w:r w:rsidRPr="00A8672D">
        <w:rPr>
          <w:rFonts w:ascii="Arial" w:hAnsi="Arial" w:cs="Arial"/>
          <w:sz w:val="22"/>
          <w:lang w:val="es-CO"/>
        </w:rPr>
        <w:t xml:space="preserve">comunidades </w:t>
      </w:r>
      <w:r w:rsidRPr="00DF59EC">
        <w:rPr>
          <w:rFonts w:ascii="Arial" w:hAnsi="Arial" w:cs="Arial"/>
          <w:sz w:val="22"/>
          <w:lang w:val="es-CO"/>
        </w:rPr>
        <w:t xml:space="preserve">negras, afrocolombiana, raizales y palenqueras y </w:t>
      </w:r>
      <w:proofErr w:type="spellStart"/>
      <w:r w:rsidRPr="00DF59EC">
        <w:rPr>
          <w:rFonts w:ascii="Arial" w:hAnsi="Arial" w:cs="Arial"/>
          <w:sz w:val="22"/>
          <w:lang w:val="es-CO"/>
        </w:rPr>
        <w:t>iii</w:t>
      </w:r>
      <w:proofErr w:type="spellEnd"/>
      <w:r w:rsidRPr="00DF59EC">
        <w:rPr>
          <w:rFonts w:ascii="Arial" w:hAnsi="Arial" w:cs="Arial"/>
          <w:sz w:val="22"/>
          <w:lang w:val="es-CO"/>
        </w:rPr>
        <w:t xml:space="preserve">) el pueblo </w:t>
      </w:r>
      <w:proofErr w:type="spellStart"/>
      <w:r w:rsidRPr="00A8672D">
        <w:rPr>
          <w:rFonts w:ascii="Arial" w:hAnsi="Arial" w:cs="Arial"/>
          <w:sz w:val="22"/>
          <w:lang w:val="es-CO"/>
        </w:rPr>
        <w:t>Rrom</w:t>
      </w:r>
      <w:proofErr w:type="spellEnd"/>
      <w:r w:rsidRPr="00A8672D">
        <w:rPr>
          <w:rFonts w:ascii="Arial" w:hAnsi="Arial" w:cs="Arial"/>
          <w:sz w:val="22"/>
          <w:lang w:val="es-CO"/>
        </w:rPr>
        <w:t xml:space="preserve"> o gitano, </w:t>
      </w:r>
      <w:r>
        <w:rPr>
          <w:rFonts w:ascii="Arial" w:hAnsi="Arial" w:cs="Arial"/>
          <w:sz w:val="22"/>
          <w:lang w:val="es-CO"/>
        </w:rPr>
        <w:t>«los actos o contratos que expidan o celebren los ejecutores</w:t>
      </w:r>
      <w:r w:rsidRPr="005E043A">
        <w:t xml:space="preserve"> </w:t>
      </w:r>
      <w:r w:rsidRPr="005E043A">
        <w:rPr>
          <w:rFonts w:ascii="Arial" w:hAnsi="Arial" w:cs="Arial"/>
          <w:sz w:val="22"/>
          <w:lang w:val="es-CO"/>
        </w:rPr>
        <w:t>se regirán por las normas presupuestales contenidas en la presente ley, el Estatuto de Contratación Estatal, las normas contables que para este efecto defina la Contaduría General de la Nación y las demás disposiciones complementarias</w:t>
      </w:r>
      <w:r>
        <w:rPr>
          <w:rFonts w:ascii="Arial" w:hAnsi="Arial" w:cs="Arial"/>
          <w:sz w:val="22"/>
          <w:lang w:val="es-CO"/>
        </w:rPr>
        <w:t xml:space="preserve">». En estos eventos, los proyectos de agua potable y saneamiento que se ejecuten con estos recursos y para estas comunidades deberán implementar los documentos tipo de licitación pública, adoptados mediante las </w:t>
      </w:r>
      <w:r w:rsidRPr="009E24D4">
        <w:rPr>
          <w:rFonts w:ascii="Arial" w:eastAsia="Calibri" w:hAnsi="Arial" w:cs="Arial"/>
          <w:sz w:val="22"/>
        </w:rPr>
        <w:t>Resoluci</w:t>
      </w:r>
      <w:r>
        <w:rPr>
          <w:rFonts w:ascii="Arial" w:eastAsia="Calibri" w:hAnsi="Arial" w:cs="Arial"/>
          <w:sz w:val="22"/>
        </w:rPr>
        <w:t>ones</w:t>
      </w:r>
      <w:r w:rsidRPr="009E24D4">
        <w:rPr>
          <w:rFonts w:ascii="Arial" w:eastAsia="Calibri" w:hAnsi="Arial" w:cs="Arial"/>
          <w:sz w:val="22"/>
        </w:rPr>
        <w:t xml:space="preserve"> No. 248 </w:t>
      </w:r>
      <w:r>
        <w:rPr>
          <w:rFonts w:ascii="Arial" w:eastAsia="Calibri" w:hAnsi="Arial" w:cs="Arial"/>
          <w:sz w:val="22"/>
        </w:rPr>
        <w:t xml:space="preserve">y 249 </w:t>
      </w:r>
      <w:r w:rsidRPr="009E24D4">
        <w:rPr>
          <w:rFonts w:ascii="Arial" w:eastAsia="Calibri" w:hAnsi="Arial" w:cs="Arial"/>
          <w:sz w:val="22"/>
        </w:rPr>
        <w:t>de</w:t>
      </w:r>
      <w:r>
        <w:rPr>
          <w:rFonts w:ascii="Arial" w:eastAsia="Calibri" w:hAnsi="Arial" w:cs="Arial"/>
          <w:sz w:val="22"/>
        </w:rPr>
        <w:t>l 1º de diciembre de</w:t>
      </w:r>
      <w:r w:rsidRPr="009E24D4">
        <w:rPr>
          <w:rFonts w:ascii="Arial" w:eastAsia="Calibri" w:hAnsi="Arial" w:cs="Arial"/>
          <w:sz w:val="22"/>
        </w:rPr>
        <w:t xml:space="preserve"> 2020</w:t>
      </w:r>
      <w:r>
        <w:rPr>
          <w:rFonts w:ascii="Arial" w:eastAsia="Calibri" w:hAnsi="Arial" w:cs="Arial"/>
          <w:sz w:val="22"/>
        </w:rPr>
        <w:t xml:space="preserve">. </w:t>
      </w:r>
    </w:p>
    <w:p w14:paraId="45154FBA" w14:textId="623AC0D2" w:rsidR="005E097A" w:rsidRDefault="005E097A" w:rsidP="005E097A">
      <w:pPr>
        <w:spacing w:before="120" w:line="276" w:lineRule="auto"/>
        <w:ind w:firstLine="709"/>
        <w:jc w:val="both"/>
        <w:rPr>
          <w:rFonts w:ascii="Arial" w:hAnsi="Arial" w:cs="Arial"/>
          <w:color w:val="000000"/>
          <w:sz w:val="22"/>
          <w:bdr w:val="none" w:sz="0" w:space="0" w:color="auto" w:frame="1"/>
          <w:lang w:val="es-CO"/>
        </w:rPr>
      </w:pPr>
      <w:r>
        <w:rPr>
          <w:rFonts w:ascii="Arial" w:hAnsi="Arial" w:cs="Arial"/>
          <w:color w:val="000000"/>
          <w:sz w:val="22"/>
          <w:bdr w:val="none" w:sz="0" w:space="0" w:color="auto" w:frame="1"/>
          <w:lang w:val="es-CO"/>
        </w:rPr>
        <w:t>Respecto a los recursos del Sistema General de Participaciones, no se observa en las Leyes 715 de 2001 y 1176 de 2007 una norma específica que establezca una sujeción a la Ley 80 de 1993 en relación con actos o contratos para la ejecución de proyectos de agua potable y saneamiento básico.</w:t>
      </w:r>
      <w:r w:rsidRPr="0051015D">
        <w:rPr>
          <w:rFonts w:ascii="Arial" w:hAnsi="Arial" w:cs="Arial"/>
          <w:color w:val="000000"/>
          <w:sz w:val="22"/>
          <w:bdr w:val="none" w:sz="0" w:space="0" w:color="auto" w:frame="1"/>
          <w:lang w:val="es-CO"/>
        </w:rPr>
        <w:t xml:space="preserve"> </w:t>
      </w:r>
      <w:r>
        <w:rPr>
          <w:rFonts w:ascii="Arial" w:hAnsi="Arial" w:cs="Arial"/>
          <w:color w:val="000000"/>
          <w:sz w:val="22"/>
          <w:bdr w:val="none" w:sz="0" w:space="0" w:color="auto" w:frame="1"/>
          <w:lang w:val="es-CO"/>
        </w:rPr>
        <w:t xml:space="preserve">Por tanto, salvo mandato legal en contrario, si el proyecto de agua potable y saneamiento básico con recursos del Sistema General de Participaciones será ejecutado por una empresa de servicios públicos domiciliarios, el régimen de contratación aplicable sería el de la entidad ejecutora, es decir, el de derecho privado. </w:t>
      </w:r>
      <w:r w:rsidR="00B273E8">
        <w:rPr>
          <w:rFonts w:ascii="Arial" w:hAnsi="Arial" w:cs="Arial"/>
          <w:color w:val="000000"/>
          <w:sz w:val="22"/>
          <w:bdr w:val="none" w:sz="0" w:space="0" w:color="auto" w:frame="1"/>
          <w:lang w:val="es-CO"/>
        </w:rPr>
        <w:t xml:space="preserve">Esta misma conclusión se deriva respecto de cualquier otra fuente de financiación en la que no exista una disposición especial que someta los contratos al Estatuto. </w:t>
      </w:r>
      <w:r>
        <w:rPr>
          <w:rFonts w:ascii="Arial" w:hAnsi="Arial" w:cs="Arial"/>
          <w:color w:val="000000"/>
          <w:sz w:val="22"/>
          <w:bdr w:val="none" w:sz="0" w:space="0" w:color="auto" w:frame="1"/>
          <w:lang w:val="es-CO"/>
        </w:rPr>
        <w:t xml:space="preserve">Sin embargo, es deber de la entidad analizar e identificar, en la etapa de planeación, las normas presupuestales que regulen los proyectos que se ejecutarán en atención a la fuente de financiación del proyecto y dar cumplimiento estricto a la forma establecida para la ejecución de dichos recursos. </w:t>
      </w:r>
    </w:p>
    <w:p w14:paraId="5DA07446" w14:textId="77777777" w:rsidR="005E097A" w:rsidRPr="00121349" w:rsidRDefault="005E097A" w:rsidP="005E097A">
      <w:pPr>
        <w:spacing w:before="120" w:line="276" w:lineRule="auto"/>
        <w:ind w:firstLine="709"/>
        <w:jc w:val="both"/>
        <w:rPr>
          <w:rFonts w:ascii="Arial" w:hAnsi="Arial" w:cs="Arial"/>
          <w:color w:val="000000"/>
          <w:sz w:val="22"/>
          <w:bdr w:val="none" w:sz="0" w:space="0" w:color="auto" w:frame="1"/>
          <w:lang w:val="es-CO"/>
        </w:rPr>
      </w:pPr>
      <w:r>
        <w:rPr>
          <w:rFonts w:ascii="Arial" w:hAnsi="Arial" w:cs="Arial"/>
          <w:color w:val="000000"/>
          <w:sz w:val="22"/>
          <w:bdr w:val="none" w:sz="0" w:space="0" w:color="auto" w:frame="1"/>
          <w:lang w:val="es-CO"/>
        </w:rPr>
        <w:t xml:space="preserve">De este modo, </w:t>
      </w:r>
      <w:r>
        <w:rPr>
          <w:rFonts w:ascii="Arial" w:hAnsi="Arial" w:cs="Arial"/>
          <w:color w:val="000000"/>
          <w:sz w:val="22"/>
          <w:bdr w:val="none" w:sz="0" w:space="0" w:color="auto" w:frame="1"/>
        </w:rPr>
        <w:t>en el evento en que determinados asuntos estén sometidos, por norma especial, al Estatuto General de Contratación Pública, la celebración y ejecución de los contratos deberá realizarse conforme a este régimen y aplicar los documentos tipo, si resulta procedente de acuerdo con los criterios anteriormente expuestos.</w:t>
      </w:r>
    </w:p>
    <w:p w14:paraId="453D4973" w14:textId="77777777" w:rsidR="00121349" w:rsidRDefault="00121349" w:rsidP="00217CAB">
      <w:pPr>
        <w:spacing w:line="276" w:lineRule="auto"/>
        <w:jc w:val="both"/>
        <w:rPr>
          <w:rFonts w:ascii="Arial" w:eastAsia="Calibri" w:hAnsi="Arial" w:cs="Arial"/>
          <w:color w:val="000000" w:themeColor="text1"/>
          <w:sz w:val="22"/>
        </w:rPr>
      </w:pPr>
    </w:p>
    <w:p w14:paraId="1C006077" w14:textId="43523EBA" w:rsidR="00610E5E" w:rsidRPr="004C33D6" w:rsidRDefault="00610E5E" w:rsidP="00217CAB">
      <w:pPr>
        <w:spacing w:line="276" w:lineRule="auto"/>
        <w:jc w:val="both"/>
        <w:rPr>
          <w:rFonts w:ascii="Arial" w:eastAsia="Calibri" w:hAnsi="Arial" w:cs="Arial"/>
          <w:color w:val="000000" w:themeColor="text1"/>
          <w:sz w:val="22"/>
        </w:rPr>
      </w:pPr>
      <w:r w:rsidRPr="004C33D6">
        <w:rPr>
          <w:rFonts w:ascii="Arial" w:eastAsia="Calibri" w:hAnsi="Arial" w:cs="Arial"/>
          <w:color w:val="000000" w:themeColor="text1"/>
          <w:sz w:val="22"/>
        </w:rPr>
        <w:t>Este concepto tiene el alcance previsto en el artículo 28 del Código de Procedimiento Administrativo y de lo Contencioso Administrativo.</w:t>
      </w:r>
    </w:p>
    <w:p w14:paraId="55816A21" w14:textId="77777777" w:rsidR="00610E5E" w:rsidRPr="004C33D6" w:rsidRDefault="00610E5E" w:rsidP="00610E5E">
      <w:pPr>
        <w:spacing w:line="276" w:lineRule="auto"/>
        <w:ind w:firstLine="708"/>
        <w:jc w:val="both"/>
        <w:rPr>
          <w:rFonts w:ascii="Arial" w:eastAsia="Calibri" w:hAnsi="Arial" w:cs="Arial"/>
          <w:color w:val="000000" w:themeColor="text1"/>
          <w:sz w:val="22"/>
        </w:rPr>
      </w:pPr>
    </w:p>
    <w:p w14:paraId="60D156F8" w14:textId="77777777" w:rsidR="00610E5E" w:rsidRPr="004C33D6" w:rsidRDefault="00610E5E" w:rsidP="00610E5E">
      <w:pPr>
        <w:jc w:val="both"/>
        <w:rPr>
          <w:rFonts w:ascii="Arial" w:eastAsia="Times New Roman" w:hAnsi="Arial" w:cs="Arial"/>
          <w:color w:val="000000" w:themeColor="text1"/>
          <w:sz w:val="22"/>
          <w:lang w:eastAsia="es-CO"/>
        </w:rPr>
      </w:pPr>
      <w:r w:rsidRPr="004C33D6">
        <w:rPr>
          <w:rFonts w:ascii="Arial" w:eastAsia="Times New Roman" w:hAnsi="Arial" w:cs="Arial"/>
          <w:color w:val="000000" w:themeColor="text1"/>
          <w:sz w:val="22"/>
          <w:lang w:eastAsia="es-CO"/>
        </w:rPr>
        <w:t>Atentamente,</w:t>
      </w:r>
    </w:p>
    <w:p w14:paraId="6D1DA2AA" w14:textId="0C8CB226" w:rsidR="00D73F7A" w:rsidRDefault="00D73F7A" w:rsidP="00D73F7A">
      <w:pPr>
        <w:jc w:val="center"/>
        <w:rPr>
          <w:noProof/>
          <w:lang w:val="es-ES" w:eastAsia="es-ES"/>
        </w:rPr>
      </w:pPr>
    </w:p>
    <w:p w14:paraId="0C9B1B1F" w14:textId="3A96480B" w:rsidR="0075119F" w:rsidRDefault="0075119F" w:rsidP="00D73F7A">
      <w:pPr>
        <w:jc w:val="center"/>
        <w:rPr>
          <w:noProof/>
          <w:lang w:val="es-ES" w:eastAsia="es-ES"/>
        </w:rPr>
      </w:pPr>
    </w:p>
    <w:p w14:paraId="49B89747" w14:textId="37733FF3" w:rsidR="0075119F" w:rsidRPr="0047230C" w:rsidRDefault="007002CF" w:rsidP="0047230C">
      <w:pPr>
        <w:spacing w:line="276" w:lineRule="auto"/>
        <w:jc w:val="center"/>
        <w:rPr>
          <w:rFonts w:ascii="Arial" w:eastAsia="Times New Roman" w:hAnsi="Arial" w:cs="Arial"/>
          <w:color w:val="000000" w:themeColor="text1"/>
          <w:sz w:val="22"/>
          <w:lang w:val="es-ES_tradnl" w:eastAsia="es-CO"/>
        </w:rPr>
      </w:pPr>
      <w:r>
        <w:rPr>
          <w:noProof/>
          <w:lang w:val="es-ES" w:eastAsia="es-ES"/>
        </w:rPr>
        <w:drawing>
          <wp:inline distT="0" distB="0" distL="0" distR="0" wp14:anchorId="5B69168E" wp14:editId="69933826">
            <wp:extent cx="2517775" cy="1116330"/>
            <wp:effectExtent l="0" t="0" r="0" b="762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3256ACC8" w14:textId="422F45E1" w:rsidR="0075119F" w:rsidRDefault="0075119F" w:rsidP="00D73F7A">
      <w:pPr>
        <w:jc w:val="center"/>
        <w:rPr>
          <w:noProof/>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5119F" w:rsidRPr="0075119F" w14:paraId="2AA180DB" w14:textId="77777777" w:rsidTr="0042055A">
        <w:trPr>
          <w:trHeight w:val="160"/>
        </w:trPr>
        <w:tc>
          <w:tcPr>
            <w:tcW w:w="812" w:type="dxa"/>
            <w:vAlign w:val="center"/>
            <w:hideMark/>
          </w:tcPr>
          <w:p w14:paraId="37565E1F"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765AA33"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Tatiana Baquero Iguarán</w:t>
            </w:r>
          </w:p>
          <w:p w14:paraId="623F1F52"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Contratista de la Subdirección de Gestión Contractual</w:t>
            </w:r>
          </w:p>
        </w:tc>
      </w:tr>
      <w:tr w:rsidR="0075119F" w:rsidRPr="0075119F" w14:paraId="2AEA5270" w14:textId="77777777" w:rsidTr="0042055A">
        <w:trPr>
          <w:trHeight w:val="330"/>
        </w:trPr>
        <w:tc>
          <w:tcPr>
            <w:tcW w:w="812" w:type="dxa"/>
            <w:vAlign w:val="center"/>
            <w:hideMark/>
          </w:tcPr>
          <w:p w14:paraId="10D912E6"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B6C403" w14:textId="77777777" w:rsidR="0075119F" w:rsidRPr="0075119F" w:rsidRDefault="0075119F" w:rsidP="0075119F">
            <w:pPr>
              <w:rPr>
                <w:rFonts w:ascii="Arial" w:eastAsia="Times New Roman" w:hAnsi="Arial" w:cs="Arial"/>
                <w:color w:val="000000" w:themeColor="text1"/>
                <w:sz w:val="16"/>
                <w:szCs w:val="16"/>
                <w:lang w:val="es-ES" w:eastAsia="es-ES"/>
              </w:rPr>
            </w:pPr>
            <w:r w:rsidRPr="0075119F">
              <w:rPr>
                <w:rFonts w:ascii="Arial" w:eastAsia="Times New Roman" w:hAnsi="Arial" w:cs="Arial"/>
                <w:color w:val="000000" w:themeColor="text1"/>
                <w:sz w:val="16"/>
                <w:szCs w:val="16"/>
                <w:lang w:val="es-ES" w:eastAsia="es-ES"/>
              </w:rPr>
              <w:t>Juan David Montoya Penagos</w:t>
            </w:r>
          </w:p>
          <w:p w14:paraId="688AABB6"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sz w:val="16"/>
                <w:szCs w:val="16"/>
                <w:shd w:val="clear" w:color="auto" w:fill="FFFFFF"/>
                <w:lang w:val="es-CO" w:eastAsia="es-ES_tradnl"/>
              </w:rPr>
              <w:t>Gestor T1-15 de la </w:t>
            </w:r>
            <w:r w:rsidRPr="0075119F">
              <w:rPr>
                <w:rFonts w:ascii="Arial" w:eastAsia="Times New Roman" w:hAnsi="Arial" w:cs="Arial"/>
                <w:color w:val="000000" w:themeColor="text1"/>
                <w:sz w:val="16"/>
                <w:szCs w:val="16"/>
                <w:lang w:val="es-ES" w:eastAsia="es-ES"/>
              </w:rPr>
              <w:t>Subdirección de Gestión Contractual</w:t>
            </w:r>
          </w:p>
        </w:tc>
      </w:tr>
      <w:tr w:rsidR="0075119F" w:rsidRPr="0075119F" w14:paraId="7563E386" w14:textId="77777777" w:rsidTr="0042055A">
        <w:trPr>
          <w:trHeight w:val="300"/>
        </w:trPr>
        <w:tc>
          <w:tcPr>
            <w:tcW w:w="812" w:type="dxa"/>
            <w:vAlign w:val="center"/>
            <w:hideMark/>
          </w:tcPr>
          <w:p w14:paraId="7A696D0C"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8967CF"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Jorge Augusto Tirado Navarro</w:t>
            </w:r>
          </w:p>
          <w:p w14:paraId="6760532D" w14:textId="77777777" w:rsidR="0075119F" w:rsidRPr="0075119F" w:rsidRDefault="0075119F" w:rsidP="0075119F">
            <w:pPr>
              <w:jc w:val="both"/>
              <w:rPr>
                <w:rFonts w:ascii="Arial" w:eastAsia="Times New Roman" w:hAnsi="Arial" w:cs="Arial"/>
                <w:color w:val="000000" w:themeColor="text1"/>
                <w:sz w:val="16"/>
                <w:szCs w:val="16"/>
                <w:lang w:val="es-ES_tradnl" w:eastAsia="es-ES"/>
              </w:rPr>
            </w:pPr>
            <w:r w:rsidRPr="0075119F">
              <w:rPr>
                <w:rFonts w:ascii="Arial" w:eastAsia="Times New Roman" w:hAnsi="Arial" w:cs="Arial"/>
                <w:color w:val="000000" w:themeColor="text1"/>
                <w:sz w:val="16"/>
                <w:szCs w:val="16"/>
                <w:lang w:val="es-ES_tradnl" w:eastAsia="es-ES"/>
              </w:rPr>
              <w:t xml:space="preserve">Subdirector de Gestión Contractual </w:t>
            </w:r>
            <w:r w:rsidRPr="0075119F">
              <w:rPr>
                <w:rFonts w:ascii="Arial" w:eastAsia="Times New Roman" w:hAnsi="Arial" w:cs="Arial"/>
                <w:color w:val="000000" w:themeColor="text1"/>
                <w:sz w:val="16"/>
                <w:szCs w:val="16"/>
                <w:lang w:val="es-CO" w:eastAsia="es-ES"/>
              </w:rPr>
              <w:t>ANCP – CCE</w:t>
            </w:r>
          </w:p>
        </w:tc>
      </w:tr>
      <w:bookmarkEnd w:id="2"/>
    </w:tbl>
    <w:p w14:paraId="2A989EAF" w14:textId="3C0C602A" w:rsidR="0075119F" w:rsidRDefault="0075119F" w:rsidP="00D73F7A">
      <w:pPr>
        <w:jc w:val="center"/>
        <w:rPr>
          <w:noProof/>
          <w:lang w:val="es-ES" w:eastAsia="es-ES"/>
        </w:rPr>
      </w:pPr>
    </w:p>
    <w:p w14:paraId="7EBF297E" w14:textId="77777777" w:rsidR="007B0854" w:rsidRPr="004C33D6" w:rsidRDefault="007B0854" w:rsidP="00066B89">
      <w:pPr>
        <w:rPr>
          <w:color w:val="000000" w:themeColor="text1"/>
        </w:rPr>
      </w:pPr>
    </w:p>
    <w:sectPr w:rsidR="007B0854" w:rsidRPr="004C33D6"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9A75" w14:textId="77777777" w:rsidR="00984571" w:rsidRDefault="00984571">
      <w:r>
        <w:separator/>
      </w:r>
    </w:p>
  </w:endnote>
  <w:endnote w:type="continuationSeparator" w:id="0">
    <w:p w14:paraId="6D3FE3D9" w14:textId="77777777" w:rsidR="00984571" w:rsidRDefault="00984571">
      <w:r>
        <w:continuationSeparator/>
      </w:r>
    </w:p>
  </w:endnote>
  <w:endnote w:type="continuationNotice" w:id="1">
    <w:p w14:paraId="06D1682A" w14:textId="77777777" w:rsidR="00984571" w:rsidRDefault="0098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C162" w14:textId="77777777" w:rsidR="007C24F1" w:rsidRPr="007C24F1" w:rsidRDefault="007C24F1" w:rsidP="007C24F1">
    <w:pPr>
      <w:pStyle w:val="Piedepgina"/>
      <w:jc w:val="center"/>
      <w:rPr>
        <w:sz w:val="18"/>
        <w:szCs w:val="18"/>
        <w:lang w:val="es-ES"/>
      </w:rPr>
    </w:pPr>
  </w:p>
  <w:p w14:paraId="1E36BC8C" w14:textId="77777777" w:rsidR="007C24F1" w:rsidRPr="007C24F1" w:rsidRDefault="007C24F1" w:rsidP="007C24F1">
    <w:pPr>
      <w:pStyle w:val="Piedepgina"/>
      <w:jc w:val="center"/>
      <w:rPr>
        <w:sz w:val="18"/>
        <w:szCs w:val="18"/>
        <w:lang w:val="es-ES"/>
      </w:rPr>
    </w:pPr>
  </w:p>
  <w:p w14:paraId="312C4A14" w14:textId="0A475B94" w:rsidR="007B0854" w:rsidRPr="007C24F1" w:rsidRDefault="007B0854" w:rsidP="007B0854">
    <w:pPr>
      <w:pStyle w:val="Sinespaciado"/>
      <w:jc w:val="center"/>
      <w:rPr>
        <w:rFonts w:ascii="Arial" w:hAnsi="Arial" w:cs="Arial"/>
        <w:sz w:val="18"/>
        <w:szCs w:val="18"/>
      </w:rPr>
    </w:pPr>
    <w:r w:rsidRPr="007C24F1">
      <w:rPr>
        <w:rFonts w:ascii="Arial" w:hAnsi="Arial" w:cs="Arial"/>
        <w:sz w:val="18"/>
        <w:szCs w:val="18"/>
      </w:rPr>
      <w:fldChar w:fldCharType="begin"/>
    </w:r>
    <w:r w:rsidRPr="007C24F1">
      <w:rPr>
        <w:rFonts w:ascii="Arial" w:hAnsi="Arial" w:cs="Arial"/>
        <w:sz w:val="18"/>
        <w:szCs w:val="18"/>
      </w:rPr>
      <w:instrText>PAGE   \* MERGEFORMAT</w:instrText>
    </w:r>
    <w:r w:rsidRPr="007C24F1">
      <w:rPr>
        <w:rFonts w:ascii="Arial" w:hAnsi="Arial" w:cs="Arial"/>
        <w:sz w:val="18"/>
        <w:szCs w:val="18"/>
      </w:rPr>
      <w:fldChar w:fldCharType="separate"/>
    </w:r>
    <w:r w:rsidR="00D01B48">
      <w:rPr>
        <w:rFonts w:ascii="Arial" w:hAnsi="Arial" w:cs="Arial"/>
        <w:noProof/>
        <w:sz w:val="18"/>
        <w:szCs w:val="18"/>
      </w:rPr>
      <w:t>1</w:t>
    </w:r>
    <w:r w:rsidRPr="007C24F1">
      <w:rPr>
        <w:rFonts w:ascii="Arial" w:hAnsi="Arial" w:cs="Arial"/>
        <w:sz w:val="18"/>
        <w:szCs w:val="18"/>
      </w:rPr>
      <w:fldChar w:fldCharType="end"/>
    </w:r>
  </w:p>
  <w:p w14:paraId="48FC6A04" w14:textId="0E0B8C38" w:rsidR="009047C5" w:rsidRPr="007C24F1" w:rsidRDefault="007B0854" w:rsidP="007B0854">
    <w:pPr>
      <w:pStyle w:val="Piedepgina"/>
      <w:jc w:val="center"/>
      <w:rPr>
        <w:sz w:val="18"/>
        <w:szCs w:val="18"/>
        <w:lang w:val="es-ES"/>
      </w:rPr>
    </w:pPr>
    <w:r w:rsidRPr="007C24F1">
      <w:rPr>
        <w:noProof/>
        <w:sz w:val="18"/>
        <w:szCs w:val="18"/>
        <w:lang w:val="es-ES" w:eastAsia="es-ES"/>
      </w:rPr>
      <w:drawing>
        <wp:inline distT="0" distB="0" distL="0" distR="0" wp14:anchorId="608B196D" wp14:editId="535B66E7">
          <wp:extent cx="4241994" cy="59516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5CFDC7DF" w:rsidR="004A34D2" w:rsidRPr="007C24F1" w:rsidRDefault="004A34D2" w:rsidP="007C24F1">
    <w:pPr>
      <w:pStyle w:val="Piedepgina"/>
      <w:jc w:val="center"/>
      <w:rPr>
        <w:sz w:val="18"/>
        <w:szCs w:val="18"/>
        <w:lang w:val="es-ES"/>
      </w:rPr>
    </w:pPr>
  </w:p>
  <w:p w14:paraId="0EE99B8B" w14:textId="77777777" w:rsidR="00E87BC6" w:rsidRPr="007C24F1" w:rsidRDefault="00E87BC6" w:rsidP="007C24F1">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6E69" w14:textId="77777777" w:rsidR="00984571" w:rsidRDefault="00984571">
      <w:r>
        <w:separator/>
      </w:r>
    </w:p>
  </w:footnote>
  <w:footnote w:type="continuationSeparator" w:id="0">
    <w:p w14:paraId="274EF732" w14:textId="77777777" w:rsidR="00984571" w:rsidRDefault="00984571">
      <w:r>
        <w:continuationSeparator/>
      </w:r>
    </w:p>
  </w:footnote>
  <w:footnote w:type="continuationNotice" w:id="1">
    <w:p w14:paraId="65BFA2DB" w14:textId="77777777" w:rsidR="00984571" w:rsidRDefault="00984571"/>
  </w:footnote>
  <w:footnote w:id="2">
    <w:p w14:paraId="19BFA934" w14:textId="77777777" w:rsidR="005E097A" w:rsidRPr="00F64911" w:rsidRDefault="005E097A" w:rsidP="005E097A">
      <w:pPr>
        <w:pStyle w:val="Textonotapie"/>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68CAF80B" w14:textId="77777777" w:rsidR="005E097A" w:rsidRPr="00F64911" w:rsidRDefault="005E097A" w:rsidP="005E097A">
      <w:pPr>
        <w:pStyle w:val="Textonotapie"/>
        <w:ind w:firstLine="709"/>
        <w:jc w:val="both"/>
        <w:rPr>
          <w:rFonts w:ascii="Arial" w:hAnsi="Arial" w:cs="Arial"/>
          <w:color w:val="000000" w:themeColor="text1"/>
          <w:sz w:val="19"/>
          <w:szCs w:val="19"/>
          <w:lang w:val="es-ES_tradnl"/>
        </w:rPr>
      </w:pPr>
      <w:r w:rsidRPr="00F64911">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4D9ABB20" w14:textId="77777777" w:rsidR="005E097A" w:rsidRPr="00F64911" w:rsidRDefault="005E097A" w:rsidP="005E097A">
      <w:pPr>
        <w:pStyle w:val="Textonotapie"/>
        <w:ind w:firstLine="709"/>
        <w:jc w:val="both"/>
        <w:rPr>
          <w:rFonts w:ascii="Arial" w:hAnsi="Arial" w:cs="Arial"/>
          <w:color w:val="000000" w:themeColor="text1"/>
          <w:sz w:val="19"/>
          <w:szCs w:val="19"/>
          <w:lang w:val="es-ES_tradnl"/>
        </w:rPr>
      </w:pPr>
      <w:r w:rsidRPr="00F64911">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4409A180" w14:textId="77777777" w:rsidR="005E097A" w:rsidRPr="00F64911" w:rsidRDefault="005E097A" w:rsidP="005E097A">
      <w:pPr>
        <w:pStyle w:val="Textonotapie"/>
        <w:ind w:firstLine="709"/>
        <w:jc w:val="both"/>
        <w:rPr>
          <w:rFonts w:ascii="Arial" w:hAnsi="Arial" w:cs="Arial"/>
          <w:color w:val="000000" w:themeColor="text1"/>
          <w:sz w:val="19"/>
          <w:szCs w:val="19"/>
          <w:lang w:val="es-ES_tradnl"/>
        </w:rPr>
      </w:pPr>
    </w:p>
  </w:footnote>
  <w:footnote w:id="3">
    <w:p w14:paraId="40859466"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En efecto, dicho artículo establece: «Pueden prestar los servicios públicos:</w:t>
      </w:r>
    </w:p>
    <w:p w14:paraId="5F9AF248"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»15.1. Las empresas de servicios públicos.</w:t>
      </w:r>
    </w:p>
    <w:p w14:paraId="564D9D34"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7A94C70D"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38A544E5"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3750D2BE"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»15.5. Las entidades autorizadas para prestar servicios públicos durante los períodos de transición previstos en esta Ley.</w:t>
      </w:r>
    </w:p>
    <w:p w14:paraId="32B19CCA"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62D8BC16" w14:textId="77777777" w:rsidR="005E097A" w:rsidRPr="00F64911" w:rsidRDefault="005E097A" w:rsidP="005E097A">
      <w:pPr>
        <w:pStyle w:val="Textonotapie"/>
        <w:ind w:firstLine="709"/>
        <w:jc w:val="both"/>
        <w:rPr>
          <w:rFonts w:ascii="Arial" w:hAnsi="Arial" w:cs="Arial"/>
          <w:color w:val="000000" w:themeColor="text1"/>
          <w:sz w:val="19"/>
          <w:szCs w:val="19"/>
          <w:lang w:val="es-ES"/>
        </w:rPr>
      </w:pPr>
    </w:p>
  </w:footnote>
  <w:footnote w:id="4">
    <w:p w14:paraId="2FB47581"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90CA3B7"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34F172C1" w14:textId="77777777" w:rsidR="005E097A" w:rsidRPr="00F64911" w:rsidRDefault="005E097A" w:rsidP="005E097A">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2DCC36B3" w14:textId="77777777" w:rsidR="005E097A" w:rsidRPr="00F64911" w:rsidRDefault="005E097A" w:rsidP="005E097A">
      <w:pPr>
        <w:pStyle w:val="Textonotapie"/>
        <w:ind w:firstLine="709"/>
        <w:jc w:val="both"/>
        <w:rPr>
          <w:rFonts w:ascii="Arial" w:hAnsi="Arial" w:cs="Arial"/>
          <w:color w:val="000000" w:themeColor="text1"/>
          <w:sz w:val="19"/>
          <w:szCs w:val="19"/>
        </w:rPr>
      </w:pPr>
    </w:p>
  </w:footnote>
  <w:footnote w:id="5">
    <w:p w14:paraId="0E5B29AD" w14:textId="77777777" w:rsidR="005E097A" w:rsidRPr="00F64911" w:rsidRDefault="005E097A" w:rsidP="005E097A">
      <w:pPr>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Consejo de Estado. Sección Tercera, Subsección C. Sentencia del 13 de abril de 2011. </w:t>
      </w:r>
      <w:r w:rsidRPr="00F64911">
        <w:rPr>
          <w:rFonts w:ascii="Arial" w:hAnsi="Arial" w:cs="Arial"/>
          <w:color w:val="000000" w:themeColor="text1"/>
          <w:sz w:val="19"/>
          <w:szCs w:val="19"/>
          <w:lang w:val="es-ES_tradnl"/>
        </w:rPr>
        <w:t>Exp. 37423. Consejero Ponente: Jaime Orlando Santofimio Gamboa. En similar sentido, puede verse la Sentencia del Consejo de Estado. Sección Tercera. Subsección B, del 15 de noviembre de 2011. Exp. 21178. Consejera ponente: Ruth Stella Correa Palacio.</w:t>
      </w:r>
    </w:p>
    <w:p w14:paraId="5A5A919C" w14:textId="77777777" w:rsidR="005E097A" w:rsidRPr="00F64911" w:rsidRDefault="005E097A" w:rsidP="005E097A">
      <w:pPr>
        <w:ind w:firstLine="709"/>
        <w:jc w:val="both"/>
        <w:rPr>
          <w:rFonts w:ascii="Arial" w:hAnsi="Arial" w:cs="Arial"/>
          <w:color w:val="000000" w:themeColor="text1"/>
          <w:sz w:val="19"/>
          <w:szCs w:val="19"/>
          <w:lang w:val="es-ES_tradnl"/>
        </w:rPr>
      </w:pPr>
    </w:p>
  </w:footnote>
  <w:footnote w:id="6">
    <w:p w14:paraId="5F90FD9D" w14:textId="77777777" w:rsidR="005E097A" w:rsidRPr="00F64911" w:rsidRDefault="005E097A" w:rsidP="005E097A">
      <w:pPr>
        <w:ind w:firstLine="709"/>
        <w:jc w:val="both"/>
        <w:rPr>
          <w:rFonts w:ascii="Arial" w:eastAsia="Calibri" w:hAnsi="Arial" w:cs="Arial"/>
          <w:color w:val="000000" w:themeColor="text1"/>
          <w:sz w:val="19"/>
          <w:szCs w:val="19"/>
          <w:lang w:val="es-ES_tradnl"/>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Pr>
          <w:rFonts w:ascii="Arial" w:hAnsi="Arial" w:cs="Arial"/>
          <w:color w:val="000000" w:themeColor="text1"/>
          <w:sz w:val="19"/>
          <w:szCs w:val="19"/>
          <w:lang w:val="es-ES"/>
        </w:rPr>
        <w:t>Esta</w:t>
      </w:r>
      <w:r w:rsidRPr="00F64911">
        <w:rPr>
          <w:rFonts w:ascii="Arial" w:hAnsi="Arial" w:cs="Arial"/>
          <w:color w:val="000000" w:themeColor="text1"/>
          <w:sz w:val="19"/>
          <w:szCs w:val="19"/>
          <w:lang w:val="es-ES"/>
        </w:rPr>
        <w:t xml:space="preserve"> norma dispone: «</w:t>
      </w:r>
      <w:r w:rsidRPr="00F64911">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85E581C" w14:textId="77777777" w:rsidR="005E097A" w:rsidRPr="00F64911" w:rsidRDefault="005E097A" w:rsidP="005E097A">
      <w:pPr>
        <w:ind w:firstLine="709"/>
        <w:jc w:val="both"/>
        <w:rPr>
          <w:rFonts w:ascii="Arial" w:eastAsia="Calibri" w:hAnsi="Arial" w:cs="Arial"/>
          <w:color w:val="000000" w:themeColor="text1"/>
          <w:sz w:val="19"/>
          <w:szCs w:val="19"/>
          <w:lang w:val="es-ES_tradnl"/>
        </w:rPr>
      </w:pPr>
    </w:p>
  </w:footnote>
  <w:footnote w:id="7">
    <w:p w14:paraId="36670F7A" w14:textId="77777777" w:rsidR="005E097A" w:rsidRPr="00270009" w:rsidRDefault="005E097A" w:rsidP="005E097A">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AC984FA" w14:textId="77777777" w:rsidR="005E097A" w:rsidRPr="00270009" w:rsidRDefault="005E097A" w:rsidP="005E097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FFF3381" w14:textId="77777777" w:rsidR="005E097A" w:rsidRPr="00270009" w:rsidRDefault="005E097A" w:rsidP="005E097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C6796AE" w14:textId="77777777" w:rsidR="005E097A" w:rsidRPr="00270009" w:rsidRDefault="005E097A" w:rsidP="005E097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D0C819B" w14:textId="77777777" w:rsidR="005E097A" w:rsidRPr="008B74BF" w:rsidRDefault="005E097A" w:rsidP="005E097A">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8">
    <w:p w14:paraId="23D4DC78" w14:textId="77777777" w:rsidR="005E097A" w:rsidRPr="00F0756D" w:rsidRDefault="005E097A" w:rsidP="005E097A">
      <w:pPr>
        <w:pStyle w:val="Textonotapie"/>
        <w:ind w:firstLine="709"/>
        <w:rPr>
          <w:lang w:val="es-CO"/>
        </w:rPr>
      </w:pPr>
      <w:r>
        <w:rPr>
          <w:rStyle w:val="Refdenotaalpie"/>
        </w:rPr>
        <w:footnoteRef/>
      </w:r>
      <w:r w:rsidRPr="00F0756D">
        <w:rPr>
          <w:rFonts w:ascii="Arial" w:hAnsi="Arial" w:cs="Arial"/>
          <w:sz w:val="19"/>
          <w:szCs w:val="19"/>
        </w:rPr>
        <w:t>Disponible</w:t>
      </w:r>
      <w:r>
        <w:rPr>
          <w:rFonts w:ascii="Arial" w:hAnsi="Arial" w:cs="Arial"/>
          <w:sz w:val="19"/>
          <w:szCs w:val="19"/>
        </w:rPr>
        <w:t xml:space="preserve"> </w:t>
      </w:r>
      <w:r w:rsidRPr="00F0756D">
        <w:rPr>
          <w:rFonts w:ascii="Arial" w:hAnsi="Arial" w:cs="Arial"/>
          <w:sz w:val="19"/>
          <w:szCs w:val="19"/>
        </w:rPr>
        <w:t>en</w:t>
      </w:r>
      <w:r>
        <w:rPr>
          <w:rFonts w:ascii="Arial" w:hAnsi="Arial" w:cs="Arial"/>
          <w:sz w:val="19"/>
          <w:szCs w:val="19"/>
        </w:rPr>
        <w:t xml:space="preserve"> </w:t>
      </w:r>
      <w:hyperlink r:id="rId1" w:history="1">
        <w:r w:rsidRPr="00CD7A95">
          <w:rPr>
            <w:rStyle w:val="Hipervnculo"/>
            <w:rFonts w:ascii="Arial" w:hAnsi="Arial" w:cs="Arial"/>
            <w:color w:val="000000" w:themeColor="text1"/>
            <w:sz w:val="19"/>
            <w:szCs w:val="19"/>
          </w:rPr>
          <w:t>https://dapre.presidencia.gov.co/normativa/normativa/DIRECTIVA%20PRESIDENCIAL%2001%20DEL%2003%20DE%20MARZO%20DE%202021.pdf</w:t>
        </w:r>
      </w:hyperlink>
      <w:r w:rsidRPr="00CD7A95">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s-ES" w:eastAsia="es-E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3CEA7C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EB3E3C02"/>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32F"/>
    <w:rsid w:val="00005509"/>
    <w:rsid w:val="00006F15"/>
    <w:rsid w:val="00022805"/>
    <w:rsid w:val="00025E8A"/>
    <w:rsid w:val="0002750D"/>
    <w:rsid w:val="0003340C"/>
    <w:rsid w:val="000357DF"/>
    <w:rsid w:val="00036CB8"/>
    <w:rsid w:val="00040773"/>
    <w:rsid w:val="000555FA"/>
    <w:rsid w:val="000625C0"/>
    <w:rsid w:val="00066B89"/>
    <w:rsid w:val="00067811"/>
    <w:rsid w:val="0007249A"/>
    <w:rsid w:val="00074FA6"/>
    <w:rsid w:val="000811B3"/>
    <w:rsid w:val="00085C02"/>
    <w:rsid w:val="00090E56"/>
    <w:rsid w:val="000942EB"/>
    <w:rsid w:val="0009516B"/>
    <w:rsid w:val="000A138A"/>
    <w:rsid w:val="000B103F"/>
    <w:rsid w:val="000B3452"/>
    <w:rsid w:val="000B4DA3"/>
    <w:rsid w:val="000C34BC"/>
    <w:rsid w:val="000D0FF7"/>
    <w:rsid w:val="000D4312"/>
    <w:rsid w:val="000D6C97"/>
    <w:rsid w:val="000E48E7"/>
    <w:rsid w:val="000F13D3"/>
    <w:rsid w:val="000F14E8"/>
    <w:rsid w:val="000F1BB7"/>
    <w:rsid w:val="000F69F2"/>
    <w:rsid w:val="000F7F20"/>
    <w:rsid w:val="00100DF4"/>
    <w:rsid w:val="00101C39"/>
    <w:rsid w:val="00103915"/>
    <w:rsid w:val="0010738E"/>
    <w:rsid w:val="00120226"/>
    <w:rsid w:val="001204BC"/>
    <w:rsid w:val="00120FC5"/>
    <w:rsid w:val="00121349"/>
    <w:rsid w:val="00122B23"/>
    <w:rsid w:val="00124584"/>
    <w:rsid w:val="001271EE"/>
    <w:rsid w:val="0013201D"/>
    <w:rsid w:val="00133A9E"/>
    <w:rsid w:val="00136F1D"/>
    <w:rsid w:val="00137FFA"/>
    <w:rsid w:val="00144A5C"/>
    <w:rsid w:val="00144AE7"/>
    <w:rsid w:val="00146AE8"/>
    <w:rsid w:val="00150B80"/>
    <w:rsid w:val="00151CE6"/>
    <w:rsid w:val="00154CE0"/>
    <w:rsid w:val="001641B4"/>
    <w:rsid w:val="0017141D"/>
    <w:rsid w:val="00176DB9"/>
    <w:rsid w:val="0017784C"/>
    <w:rsid w:val="00177FF9"/>
    <w:rsid w:val="00180B3E"/>
    <w:rsid w:val="00183842"/>
    <w:rsid w:val="0018426E"/>
    <w:rsid w:val="00196F05"/>
    <w:rsid w:val="001A2F82"/>
    <w:rsid w:val="001B256E"/>
    <w:rsid w:val="001B28C6"/>
    <w:rsid w:val="001B44AA"/>
    <w:rsid w:val="001B480C"/>
    <w:rsid w:val="001B73D1"/>
    <w:rsid w:val="001C0B6D"/>
    <w:rsid w:val="001C7AAC"/>
    <w:rsid w:val="001D09F5"/>
    <w:rsid w:val="001D42EE"/>
    <w:rsid w:val="001D53B7"/>
    <w:rsid w:val="001E3B48"/>
    <w:rsid w:val="001E5806"/>
    <w:rsid w:val="001E7A36"/>
    <w:rsid w:val="001F0ECB"/>
    <w:rsid w:val="001F49EF"/>
    <w:rsid w:val="001F604D"/>
    <w:rsid w:val="002037CB"/>
    <w:rsid w:val="0021064C"/>
    <w:rsid w:val="002131FD"/>
    <w:rsid w:val="00213B8A"/>
    <w:rsid w:val="00217CAB"/>
    <w:rsid w:val="002249C5"/>
    <w:rsid w:val="00224F0A"/>
    <w:rsid w:val="0022673F"/>
    <w:rsid w:val="00234B84"/>
    <w:rsid w:val="002377EC"/>
    <w:rsid w:val="00237DE6"/>
    <w:rsid w:val="00241DBB"/>
    <w:rsid w:val="00244050"/>
    <w:rsid w:val="00281045"/>
    <w:rsid w:val="002838F9"/>
    <w:rsid w:val="00294A83"/>
    <w:rsid w:val="002A292B"/>
    <w:rsid w:val="002B0798"/>
    <w:rsid w:val="002B5B24"/>
    <w:rsid w:val="002C01A0"/>
    <w:rsid w:val="002C3FC4"/>
    <w:rsid w:val="002C52C6"/>
    <w:rsid w:val="002D0262"/>
    <w:rsid w:val="002D2002"/>
    <w:rsid w:val="002D4142"/>
    <w:rsid w:val="002E01A2"/>
    <w:rsid w:val="002E01A7"/>
    <w:rsid w:val="002E5D85"/>
    <w:rsid w:val="002E5F5A"/>
    <w:rsid w:val="002F0A9A"/>
    <w:rsid w:val="002F4680"/>
    <w:rsid w:val="002F609B"/>
    <w:rsid w:val="002F7B8D"/>
    <w:rsid w:val="003033BA"/>
    <w:rsid w:val="003035ED"/>
    <w:rsid w:val="00303A7C"/>
    <w:rsid w:val="003051B4"/>
    <w:rsid w:val="00307442"/>
    <w:rsid w:val="00316907"/>
    <w:rsid w:val="00321BC4"/>
    <w:rsid w:val="00323E88"/>
    <w:rsid w:val="00324DF9"/>
    <w:rsid w:val="00325585"/>
    <w:rsid w:val="00325EA8"/>
    <w:rsid w:val="00326770"/>
    <w:rsid w:val="00337524"/>
    <w:rsid w:val="00340162"/>
    <w:rsid w:val="0034680A"/>
    <w:rsid w:val="00347AF4"/>
    <w:rsid w:val="00355AEE"/>
    <w:rsid w:val="0037579C"/>
    <w:rsid w:val="003779F2"/>
    <w:rsid w:val="00384ED8"/>
    <w:rsid w:val="00386456"/>
    <w:rsid w:val="00387C2D"/>
    <w:rsid w:val="003966B3"/>
    <w:rsid w:val="003A581E"/>
    <w:rsid w:val="003B1BBE"/>
    <w:rsid w:val="003B3B19"/>
    <w:rsid w:val="003C255E"/>
    <w:rsid w:val="003C7E79"/>
    <w:rsid w:val="003D0639"/>
    <w:rsid w:val="003D18A9"/>
    <w:rsid w:val="003D28FC"/>
    <w:rsid w:val="003E0954"/>
    <w:rsid w:val="003E3258"/>
    <w:rsid w:val="003F27BF"/>
    <w:rsid w:val="003F7D96"/>
    <w:rsid w:val="00402911"/>
    <w:rsid w:val="00416070"/>
    <w:rsid w:val="00422354"/>
    <w:rsid w:val="00422A39"/>
    <w:rsid w:val="004422D6"/>
    <w:rsid w:val="004428C5"/>
    <w:rsid w:val="0044518B"/>
    <w:rsid w:val="0044555E"/>
    <w:rsid w:val="004507A2"/>
    <w:rsid w:val="004511D1"/>
    <w:rsid w:val="00460431"/>
    <w:rsid w:val="00461169"/>
    <w:rsid w:val="004634F1"/>
    <w:rsid w:val="00464726"/>
    <w:rsid w:val="0046590D"/>
    <w:rsid w:val="004664B0"/>
    <w:rsid w:val="00466967"/>
    <w:rsid w:val="00470C92"/>
    <w:rsid w:val="0047230C"/>
    <w:rsid w:val="00475425"/>
    <w:rsid w:val="0048485D"/>
    <w:rsid w:val="004928A9"/>
    <w:rsid w:val="00493D91"/>
    <w:rsid w:val="004A0439"/>
    <w:rsid w:val="004A34D2"/>
    <w:rsid w:val="004A3E81"/>
    <w:rsid w:val="004A6429"/>
    <w:rsid w:val="004A7D8B"/>
    <w:rsid w:val="004B0F4F"/>
    <w:rsid w:val="004C33D6"/>
    <w:rsid w:val="004C787F"/>
    <w:rsid w:val="004C7BDF"/>
    <w:rsid w:val="004D5254"/>
    <w:rsid w:val="004D63D5"/>
    <w:rsid w:val="00505E5C"/>
    <w:rsid w:val="0051015D"/>
    <w:rsid w:val="0051074C"/>
    <w:rsid w:val="005123F6"/>
    <w:rsid w:val="00513AF2"/>
    <w:rsid w:val="005151C7"/>
    <w:rsid w:val="00522182"/>
    <w:rsid w:val="00530211"/>
    <w:rsid w:val="005309C2"/>
    <w:rsid w:val="00530E76"/>
    <w:rsid w:val="0053254D"/>
    <w:rsid w:val="00534270"/>
    <w:rsid w:val="0054413A"/>
    <w:rsid w:val="005564CA"/>
    <w:rsid w:val="00557363"/>
    <w:rsid w:val="00571445"/>
    <w:rsid w:val="005761FC"/>
    <w:rsid w:val="00590922"/>
    <w:rsid w:val="0059547D"/>
    <w:rsid w:val="005B4E32"/>
    <w:rsid w:val="005B58FD"/>
    <w:rsid w:val="005C1FC9"/>
    <w:rsid w:val="005C5834"/>
    <w:rsid w:val="005D2900"/>
    <w:rsid w:val="005D7A24"/>
    <w:rsid w:val="005E097A"/>
    <w:rsid w:val="005E40A8"/>
    <w:rsid w:val="005E7D49"/>
    <w:rsid w:val="005F4CB1"/>
    <w:rsid w:val="0060386B"/>
    <w:rsid w:val="00610E5E"/>
    <w:rsid w:val="0061346A"/>
    <w:rsid w:val="0062254F"/>
    <w:rsid w:val="006272EE"/>
    <w:rsid w:val="00633F71"/>
    <w:rsid w:val="006441D7"/>
    <w:rsid w:val="00644E54"/>
    <w:rsid w:val="00651434"/>
    <w:rsid w:val="00655371"/>
    <w:rsid w:val="00655B34"/>
    <w:rsid w:val="00662BF0"/>
    <w:rsid w:val="00671EFD"/>
    <w:rsid w:val="00671F46"/>
    <w:rsid w:val="00680450"/>
    <w:rsid w:val="00683358"/>
    <w:rsid w:val="00690C5E"/>
    <w:rsid w:val="00692527"/>
    <w:rsid w:val="00695837"/>
    <w:rsid w:val="00697665"/>
    <w:rsid w:val="0069789A"/>
    <w:rsid w:val="006A7FD0"/>
    <w:rsid w:val="006B18D0"/>
    <w:rsid w:val="006B5E1A"/>
    <w:rsid w:val="006C0B06"/>
    <w:rsid w:val="006D1985"/>
    <w:rsid w:val="006D4482"/>
    <w:rsid w:val="006D7687"/>
    <w:rsid w:val="006E0572"/>
    <w:rsid w:val="006F026E"/>
    <w:rsid w:val="006F7300"/>
    <w:rsid w:val="006F7985"/>
    <w:rsid w:val="007002CF"/>
    <w:rsid w:val="00705631"/>
    <w:rsid w:val="00721194"/>
    <w:rsid w:val="00742DD2"/>
    <w:rsid w:val="0075119F"/>
    <w:rsid w:val="0075149A"/>
    <w:rsid w:val="00751A59"/>
    <w:rsid w:val="0075647A"/>
    <w:rsid w:val="007634AD"/>
    <w:rsid w:val="007741C3"/>
    <w:rsid w:val="00774635"/>
    <w:rsid w:val="0078122E"/>
    <w:rsid w:val="00782DE7"/>
    <w:rsid w:val="00792E19"/>
    <w:rsid w:val="007A3455"/>
    <w:rsid w:val="007B0854"/>
    <w:rsid w:val="007B4333"/>
    <w:rsid w:val="007B6263"/>
    <w:rsid w:val="007C160C"/>
    <w:rsid w:val="007C20A0"/>
    <w:rsid w:val="007C24F1"/>
    <w:rsid w:val="007C5977"/>
    <w:rsid w:val="007C6A4F"/>
    <w:rsid w:val="007D139C"/>
    <w:rsid w:val="007D4086"/>
    <w:rsid w:val="007D5E69"/>
    <w:rsid w:val="007F3B32"/>
    <w:rsid w:val="007F72CB"/>
    <w:rsid w:val="008017E5"/>
    <w:rsid w:val="008040E2"/>
    <w:rsid w:val="00805184"/>
    <w:rsid w:val="00813579"/>
    <w:rsid w:val="00821407"/>
    <w:rsid w:val="0083119B"/>
    <w:rsid w:val="00831A0C"/>
    <w:rsid w:val="00836EAB"/>
    <w:rsid w:val="00837489"/>
    <w:rsid w:val="0083753A"/>
    <w:rsid w:val="00841A6B"/>
    <w:rsid w:val="008479DF"/>
    <w:rsid w:val="0085092D"/>
    <w:rsid w:val="00852CDA"/>
    <w:rsid w:val="00856B37"/>
    <w:rsid w:val="00871551"/>
    <w:rsid w:val="00873CA9"/>
    <w:rsid w:val="00882681"/>
    <w:rsid w:val="0088455E"/>
    <w:rsid w:val="008856D9"/>
    <w:rsid w:val="00892148"/>
    <w:rsid w:val="008A3823"/>
    <w:rsid w:val="008B10E5"/>
    <w:rsid w:val="008B291D"/>
    <w:rsid w:val="008B7E9F"/>
    <w:rsid w:val="008C4DF0"/>
    <w:rsid w:val="008C66EE"/>
    <w:rsid w:val="008D249F"/>
    <w:rsid w:val="008D2AF2"/>
    <w:rsid w:val="008D4E12"/>
    <w:rsid w:val="008D7F95"/>
    <w:rsid w:val="008E0875"/>
    <w:rsid w:val="008E1C15"/>
    <w:rsid w:val="008E2DCA"/>
    <w:rsid w:val="008F4D18"/>
    <w:rsid w:val="008F6123"/>
    <w:rsid w:val="009047C5"/>
    <w:rsid w:val="00911804"/>
    <w:rsid w:val="009145A1"/>
    <w:rsid w:val="00915A02"/>
    <w:rsid w:val="009172FD"/>
    <w:rsid w:val="0092010C"/>
    <w:rsid w:val="00924CAE"/>
    <w:rsid w:val="009263B5"/>
    <w:rsid w:val="00942187"/>
    <w:rsid w:val="009431CF"/>
    <w:rsid w:val="00952E89"/>
    <w:rsid w:val="0095385A"/>
    <w:rsid w:val="00954314"/>
    <w:rsid w:val="009659A1"/>
    <w:rsid w:val="00967E96"/>
    <w:rsid w:val="00972E88"/>
    <w:rsid w:val="009735B4"/>
    <w:rsid w:val="00973D10"/>
    <w:rsid w:val="00974A56"/>
    <w:rsid w:val="009771B2"/>
    <w:rsid w:val="00984571"/>
    <w:rsid w:val="00985512"/>
    <w:rsid w:val="00997424"/>
    <w:rsid w:val="009A657D"/>
    <w:rsid w:val="009C78F3"/>
    <w:rsid w:val="009D1583"/>
    <w:rsid w:val="009D1AA9"/>
    <w:rsid w:val="009D419C"/>
    <w:rsid w:val="009F5A78"/>
    <w:rsid w:val="00A012A1"/>
    <w:rsid w:val="00A0246F"/>
    <w:rsid w:val="00A2273D"/>
    <w:rsid w:val="00A227BA"/>
    <w:rsid w:val="00A22E43"/>
    <w:rsid w:val="00A24560"/>
    <w:rsid w:val="00A25858"/>
    <w:rsid w:val="00A32D7D"/>
    <w:rsid w:val="00A34538"/>
    <w:rsid w:val="00A34563"/>
    <w:rsid w:val="00A3635C"/>
    <w:rsid w:val="00A52E3C"/>
    <w:rsid w:val="00A53384"/>
    <w:rsid w:val="00A55D0D"/>
    <w:rsid w:val="00A6291A"/>
    <w:rsid w:val="00A65658"/>
    <w:rsid w:val="00A712D9"/>
    <w:rsid w:val="00A72237"/>
    <w:rsid w:val="00A86449"/>
    <w:rsid w:val="00A921F6"/>
    <w:rsid w:val="00A972EF"/>
    <w:rsid w:val="00AA442B"/>
    <w:rsid w:val="00AA75B1"/>
    <w:rsid w:val="00AB05C9"/>
    <w:rsid w:val="00AC19AB"/>
    <w:rsid w:val="00AD6F6E"/>
    <w:rsid w:val="00AE21A6"/>
    <w:rsid w:val="00AE4EB6"/>
    <w:rsid w:val="00AF2012"/>
    <w:rsid w:val="00AF220A"/>
    <w:rsid w:val="00B0110F"/>
    <w:rsid w:val="00B03476"/>
    <w:rsid w:val="00B04D9F"/>
    <w:rsid w:val="00B04ED6"/>
    <w:rsid w:val="00B132A1"/>
    <w:rsid w:val="00B22E22"/>
    <w:rsid w:val="00B2359F"/>
    <w:rsid w:val="00B273E8"/>
    <w:rsid w:val="00B30594"/>
    <w:rsid w:val="00B309AD"/>
    <w:rsid w:val="00B3254B"/>
    <w:rsid w:val="00B32BAE"/>
    <w:rsid w:val="00B34C2F"/>
    <w:rsid w:val="00B41878"/>
    <w:rsid w:val="00B50B1F"/>
    <w:rsid w:val="00B525CB"/>
    <w:rsid w:val="00B63CB2"/>
    <w:rsid w:val="00B77612"/>
    <w:rsid w:val="00B833E5"/>
    <w:rsid w:val="00B86741"/>
    <w:rsid w:val="00B877D0"/>
    <w:rsid w:val="00B87BA5"/>
    <w:rsid w:val="00BA1AE3"/>
    <w:rsid w:val="00BA3681"/>
    <w:rsid w:val="00BA75E6"/>
    <w:rsid w:val="00BA7A1D"/>
    <w:rsid w:val="00BB0B16"/>
    <w:rsid w:val="00BB5698"/>
    <w:rsid w:val="00BB5F58"/>
    <w:rsid w:val="00BC257A"/>
    <w:rsid w:val="00BD5C24"/>
    <w:rsid w:val="00BD78FE"/>
    <w:rsid w:val="00BE2B79"/>
    <w:rsid w:val="00BE38BE"/>
    <w:rsid w:val="00BE76E6"/>
    <w:rsid w:val="00BE7AB9"/>
    <w:rsid w:val="00BF09DA"/>
    <w:rsid w:val="00BF23E6"/>
    <w:rsid w:val="00BF3F5A"/>
    <w:rsid w:val="00C0208C"/>
    <w:rsid w:val="00C02B13"/>
    <w:rsid w:val="00C05F8E"/>
    <w:rsid w:val="00C126BA"/>
    <w:rsid w:val="00C13772"/>
    <w:rsid w:val="00C2110E"/>
    <w:rsid w:val="00C31A69"/>
    <w:rsid w:val="00C35408"/>
    <w:rsid w:val="00C4642D"/>
    <w:rsid w:val="00C47B72"/>
    <w:rsid w:val="00C63405"/>
    <w:rsid w:val="00C63F0C"/>
    <w:rsid w:val="00C716C3"/>
    <w:rsid w:val="00C76022"/>
    <w:rsid w:val="00C76BB9"/>
    <w:rsid w:val="00C85B78"/>
    <w:rsid w:val="00C87127"/>
    <w:rsid w:val="00CA5662"/>
    <w:rsid w:val="00CA7883"/>
    <w:rsid w:val="00CB7060"/>
    <w:rsid w:val="00CC00CD"/>
    <w:rsid w:val="00CC0EFA"/>
    <w:rsid w:val="00CC3189"/>
    <w:rsid w:val="00CD16E4"/>
    <w:rsid w:val="00CF42BE"/>
    <w:rsid w:val="00CF45EF"/>
    <w:rsid w:val="00CF4D18"/>
    <w:rsid w:val="00CF5D2F"/>
    <w:rsid w:val="00D01B48"/>
    <w:rsid w:val="00D0795C"/>
    <w:rsid w:val="00D1032C"/>
    <w:rsid w:val="00D139FB"/>
    <w:rsid w:val="00D14935"/>
    <w:rsid w:val="00D16B90"/>
    <w:rsid w:val="00D16E39"/>
    <w:rsid w:val="00D26B39"/>
    <w:rsid w:val="00D27346"/>
    <w:rsid w:val="00D27E60"/>
    <w:rsid w:val="00D34302"/>
    <w:rsid w:val="00D45442"/>
    <w:rsid w:val="00D51D12"/>
    <w:rsid w:val="00D55EAA"/>
    <w:rsid w:val="00D66D61"/>
    <w:rsid w:val="00D70E5E"/>
    <w:rsid w:val="00D72E9D"/>
    <w:rsid w:val="00D73F7A"/>
    <w:rsid w:val="00D82CE5"/>
    <w:rsid w:val="00D8771E"/>
    <w:rsid w:val="00D87D82"/>
    <w:rsid w:val="00D90EE7"/>
    <w:rsid w:val="00DA08C3"/>
    <w:rsid w:val="00DA5AB1"/>
    <w:rsid w:val="00DB76BF"/>
    <w:rsid w:val="00DC5C4A"/>
    <w:rsid w:val="00DC62E5"/>
    <w:rsid w:val="00DC70CA"/>
    <w:rsid w:val="00DD303C"/>
    <w:rsid w:val="00DD735D"/>
    <w:rsid w:val="00DE1809"/>
    <w:rsid w:val="00DE2A5D"/>
    <w:rsid w:val="00DE3119"/>
    <w:rsid w:val="00DE692F"/>
    <w:rsid w:val="00DF236B"/>
    <w:rsid w:val="00DF4FEF"/>
    <w:rsid w:val="00E00187"/>
    <w:rsid w:val="00E011FB"/>
    <w:rsid w:val="00E13AB8"/>
    <w:rsid w:val="00E13C1A"/>
    <w:rsid w:val="00E14B74"/>
    <w:rsid w:val="00E237DF"/>
    <w:rsid w:val="00E32DF9"/>
    <w:rsid w:val="00E331D3"/>
    <w:rsid w:val="00E33B62"/>
    <w:rsid w:val="00E51D1A"/>
    <w:rsid w:val="00E52FC3"/>
    <w:rsid w:val="00E540C8"/>
    <w:rsid w:val="00E55F08"/>
    <w:rsid w:val="00E57646"/>
    <w:rsid w:val="00E70C89"/>
    <w:rsid w:val="00E875A4"/>
    <w:rsid w:val="00E87BC6"/>
    <w:rsid w:val="00E94080"/>
    <w:rsid w:val="00E94755"/>
    <w:rsid w:val="00E951A2"/>
    <w:rsid w:val="00EB1DC8"/>
    <w:rsid w:val="00EB3D47"/>
    <w:rsid w:val="00EB546C"/>
    <w:rsid w:val="00EC31A2"/>
    <w:rsid w:val="00EC606C"/>
    <w:rsid w:val="00EE040B"/>
    <w:rsid w:val="00EE3E5D"/>
    <w:rsid w:val="00F035D3"/>
    <w:rsid w:val="00F114EF"/>
    <w:rsid w:val="00F13C3B"/>
    <w:rsid w:val="00F16C24"/>
    <w:rsid w:val="00F35A68"/>
    <w:rsid w:val="00F363A4"/>
    <w:rsid w:val="00F529C8"/>
    <w:rsid w:val="00F541C7"/>
    <w:rsid w:val="00F7000B"/>
    <w:rsid w:val="00F72033"/>
    <w:rsid w:val="00F75C51"/>
    <w:rsid w:val="00F7687E"/>
    <w:rsid w:val="00F772E3"/>
    <w:rsid w:val="00F84899"/>
    <w:rsid w:val="00F859F0"/>
    <w:rsid w:val="00F9296A"/>
    <w:rsid w:val="00F95C9C"/>
    <w:rsid w:val="00F96ACC"/>
    <w:rsid w:val="00F97231"/>
    <w:rsid w:val="00FA2FDD"/>
    <w:rsid w:val="00FA3E93"/>
    <w:rsid w:val="00FB0780"/>
    <w:rsid w:val="00FB0C38"/>
    <w:rsid w:val="00FB0EEA"/>
    <w:rsid w:val="00FB24FA"/>
    <w:rsid w:val="00FB3C9A"/>
    <w:rsid w:val="00FB6019"/>
    <w:rsid w:val="00FC60AA"/>
    <w:rsid w:val="00FD1AF4"/>
    <w:rsid w:val="00FE141E"/>
    <w:rsid w:val="00FE2A63"/>
    <w:rsid w:val="00FE58D2"/>
    <w:rsid w:val="00FF00F9"/>
    <w:rsid w:val="00FF5B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151CE902-3ADA-402B-A845-B3A55EB0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Reference Char3,Texto nota pie Car2,F,R"/>
    <w:basedOn w:val="Fuentedeprrafopredeter"/>
    <w:link w:val="Appelnotedebasde"/>
    <w:uiPriority w:val="99"/>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 w:type="paragraph" w:customStyle="1" w:styleId="Appelnotedebasde">
    <w:name w:val="Appel note de bas de..."/>
    <w:basedOn w:val="Normal"/>
    <w:link w:val="Refdenotaalpie"/>
    <w:uiPriority w:val="99"/>
    <w:rsid w:val="00BF3F5A"/>
    <w:pPr>
      <w:spacing w:after="160" w:line="240" w:lineRule="exact"/>
    </w:pPr>
    <w:rPr>
      <w:sz w:val="22"/>
      <w:vertAlign w:val="superscript"/>
      <w:lang w:val="es-CO"/>
    </w:rPr>
  </w:style>
  <w:style w:type="character" w:customStyle="1" w:styleId="baj">
    <w:name w:val="b_aj"/>
    <w:basedOn w:val="Fuentedeprrafopredeter"/>
    <w:rsid w:val="008F4D18"/>
  </w:style>
  <w:style w:type="character" w:customStyle="1" w:styleId="NormalWebCar">
    <w:name w:val="Normal (Web) Car"/>
    <w:link w:val="NormalWeb"/>
    <w:uiPriority w:val="99"/>
    <w:rsid w:val="00BB5698"/>
    <w:rPr>
      <w:rFonts w:ascii="Times New Roman" w:eastAsia="Times New Roman" w:hAnsi="Times New Roman" w:cs="Times New Roman"/>
      <w:sz w:val="24"/>
      <w:szCs w:val="24"/>
      <w:lang w:eastAsia="es-CO"/>
    </w:rPr>
  </w:style>
  <w:style w:type="character" w:customStyle="1" w:styleId="iaj">
    <w:name w:val="i_aj"/>
    <w:basedOn w:val="Fuentedeprrafopredeter"/>
    <w:rsid w:val="00BB5698"/>
  </w:style>
  <w:style w:type="paragraph" w:customStyle="1" w:styleId="xmsonospacing">
    <w:name w:val="x_msonospacing"/>
    <w:basedOn w:val="Normal"/>
    <w:rsid w:val="00BB5698"/>
    <w:pPr>
      <w:spacing w:before="100" w:beforeAutospacing="1" w:after="100" w:afterAutospacing="1"/>
    </w:pPr>
    <w:rPr>
      <w:rFonts w:ascii="Times New Roman" w:eastAsia="Times New Roman" w:hAnsi="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6058660">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493959801">
      <w:bodyDiv w:val="1"/>
      <w:marLeft w:val="0"/>
      <w:marRight w:val="0"/>
      <w:marTop w:val="0"/>
      <w:marBottom w:val="0"/>
      <w:divBdr>
        <w:top w:val="none" w:sz="0" w:space="0" w:color="auto"/>
        <w:left w:val="none" w:sz="0" w:space="0" w:color="auto"/>
        <w:bottom w:val="none" w:sz="0" w:space="0" w:color="auto"/>
        <w:right w:val="none" w:sz="0" w:space="0" w:color="auto"/>
      </w:divBdr>
    </w:div>
    <w:div w:id="1913655742">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normativa/DIRECTIVA%20PRESIDENCIAL%2001%20DEL%2003%20DE%20MARZO%20DE%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9EC6436-F2A8-584C-96DA-2B3A01E256C0}">
  <ds:schemaRefs>
    <ds:schemaRef ds:uri="http://schemas.openxmlformats.org/officeDocument/2006/bibliography"/>
  </ds:schemaRefs>
</ds:datastoreItem>
</file>

<file path=customXml/itemProps3.xml><?xml version="1.0" encoding="utf-8"?>
<ds:datastoreItem xmlns:ds="http://schemas.openxmlformats.org/officeDocument/2006/customXml" ds:itemID="{937BF650-26C8-4219-9769-2EEDC946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D7A4D-FBFD-4BFE-BDC5-F223DB12596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16</TotalTime>
  <Pages>11</Pages>
  <Words>3678</Words>
  <Characters>20234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4</cp:revision>
  <cp:lastPrinted>2020-01-22T20:08:00Z</cp:lastPrinted>
  <dcterms:created xsi:type="dcterms:W3CDTF">2021-06-21T14:56:00Z</dcterms:created>
  <dcterms:modified xsi:type="dcterms:W3CDTF">2022-01-17T15:31:00Z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