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9709" w14:textId="77777777" w:rsidR="00EC3CA7" w:rsidRPr="00EF0380" w:rsidRDefault="00AF30F5" w:rsidP="004821CF">
      <w:pPr>
        <w:spacing w:after="0"/>
        <w:rPr>
          <w:rFonts w:ascii="Arial" w:eastAsia="Arial" w:hAnsi="Arial" w:cs="Arial"/>
          <w:b/>
          <w:sz w:val="20"/>
          <w:szCs w:val="20"/>
        </w:rPr>
      </w:pPr>
      <w:bookmarkStart w:id="0" w:name="_gjdgxs" w:colFirst="0" w:colLast="0"/>
      <w:bookmarkEnd w:id="0"/>
      <w:r w:rsidRPr="00EF0380">
        <w:rPr>
          <w:rFonts w:ascii="Arial" w:eastAsia="Arial" w:hAnsi="Arial" w:cs="Arial"/>
          <w:b/>
          <w:sz w:val="20"/>
          <w:szCs w:val="20"/>
        </w:rPr>
        <w:t>LEY DE GARANTÍAS ELECTORALES – Finalidad</w:t>
      </w:r>
    </w:p>
    <w:p w14:paraId="41DF1C1F" w14:textId="77777777" w:rsidR="00EC3CA7" w:rsidRPr="00EF0380" w:rsidRDefault="00EC3CA7" w:rsidP="004821CF">
      <w:pPr>
        <w:spacing w:after="0"/>
        <w:rPr>
          <w:rFonts w:ascii="Arial" w:eastAsia="Arial" w:hAnsi="Arial" w:cs="Arial"/>
          <w:sz w:val="20"/>
          <w:szCs w:val="20"/>
        </w:rPr>
      </w:pPr>
    </w:p>
    <w:p w14:paraId="2746A1D0" w14:textId="77777777" w:rsidR="00EC3CA7" w:rsidRPr="00EF0380" w:rsidRDefault="00AF30F5" w:rsidP="004821CF">
      <w:pPr>
        <w:tabs>
          <w:tab w:val="left" w:pos="426"/>
        </w:tabs>
        <w:spacing w:after="0"/>
        <w:rPr>
          <w:rFonts w:ascii="Arial" w:eastAsia="Arial" w:hAnsi="Arial" w:cs="Arial"/>
          <w:sz w:val="20"/>
          <w:szCs w:val="20"/>
        </w:rPr>
      </w:pPr>
      <w:bookmarkStart w:id="1" w:name="_30j0zll" w:colFirst="0" w:colLast="0"/>
      <w:bookmarkEnd w:id="1"/>
      <w:r w:rsidRPr="00EF0380">
        <w:rPr>
          <w:rFonts w:ascii="Arial" w:eastAsia="Arial" w:hAnsi="Arial" w:cs="Arial"/>
          <w:sz w:val="20"/>
          <w:szCs w:val="20"/>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 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14:paraId="5BBA6627" w14:textId="77777777" w:rsidR="00EC3CA7" w:rsidRPr="00EF0380" w:rsidRDefault="00EC3CA7" w:rsidP="004821CF">
      <w:pPr>
        <w:tabs>
          <w:tab w:val="left" w:pos="426"/>
        </w:tabs>
        <w:spacing w:after="0"/>
        <w:rPr>
          <w:rFonts w:ascii="Arial" w:eastAsia="Arial" w:hAnsi="Arial" w:cs="Arial"/>
          <w:sz w:val="20"/>
          <w:szCs w:val="20"/>
        </w:rPr>
      </w:pPr>
      <w:bookmarkStart w:id="2" w:name="_1fob9te" w:colFirst="0" w:colLast="0"/>
      <w:bookmarkEnd w:id="2"/>
    </w:p>
    <w:p w14:paraId="18EDCBD9" w14:textId="77777777" w:rsidR="00EC3CA7" w:rsidRPr="00EF0380" w:rsidRDefault="00AF30F5" w:rsidP="004821CF">
      <w:pPr>
        <w:tabs>
          <w:tab w:val="left" w:pos="426"/>
        </w:tabs>
        <w:spacing w:after="0"/>
        <w:rPr>
          <w:rFonts w:ascii="Arial" w:eastAsia="Arial" w:hAnsi="Arial" w:cs="Arial"/>
          <w:b/>
          <w:sz w:val="20"/>
          <w:szCs w:val="20"/>
        </w:rPr>
      </w:pPr>
      <w:bookmarkStart w:id="3" w:name="_3znysh7" w:colFirst="0" w:colLast="0"/>
      <w:bookmarkEnd w:id="3"/>
      <w:r w:rsidRPr="00EF0380">
        <w:rPr>
          <w:rFonts w:ascii="Arial" w:eastAsia="Arial" w:hAnsi="Arial" w:cs="Arial"/>
          <w:b/>
          <w:sz w:val="20"/>
          <w:szCs w:val="20"/>
        </w:rPr>
        <w:t xml:space="preserve">LEY DE GARANTÍAS ELECTORALES ‒ Tipos de restricciones ‒ Ámbito temporal </w:t>
      </w:r>
    </w:p>
    <w:p w14:paraId="75B209F6" w14:textId="77777777" w:rsidR="00EC3CA7" w:rsidRPr="00EF0380" w:rsidRDefault="00EC3CA7" w:rsidP="004821CF">
      <w:pPr>
        <w:tabs>
          <w:tab w:val="left" w:pos="426"/>
        </w:tabs>
        <w:spacing w:after="0"/>
        <w:rPr>
          <w:rFonts w:ascii="Arial" w:eastAsia="Arial" w:hAnsi="Arial" w:cs="Arial"/>
          <w:b/>
          <w:sz w:val="20"/>
          <w:szCs w:val="20"/>
        </w:rPr>
      </w:pPr>
    </w:p>
    <w:p w14:paraId="4A35232B" w14:textId="77777777" w:rsidR="00EC3CA7" w:rsidRPr="00EF0380" w:rsidRDefault="00AF30F5" w:rsidP="004821CF">
      <w:pPr>
        <w:tabs>
          <w:tab w:val="left" w:pos="426"/>
        </w:tabs>
        <w:spacing w:after="0"/>
        <w:rPr>
          <w:rFonts w:ascii="Arial" w:eastAsia="Arial" w:hAnsi="Arial" w:cs="Arial"/>
          <w:sz w:val="20"/>
          <w:szCs w:val="20"/>
        </w:rPr>
      </w:pPr>
      <w:r w:rsidRPr="00EF0380">
        <w:rPr>
          <w:rFonts w:ascii="Arial" w:eastAsia="Arial" w:hAnsi="Arial" w:cs="Arial"/>
          <w:sz w:val="20"/>
          <w:szCs w:val="20"/>
        </w:rPr>
        <w:t xml:space="preserve">[…]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w:t>
      </w:r>
      <w:proofErr w:type="gramStart"/>
      <w:r w:rsidRPr="00EF0380">
        <w:rPr>
          <w:rFonts w:ascii="Arial" w:eastAsia="Arial" w:hAnsi="Arial" w:cs="Arial"/>
          <w:sz w:val="20"/>
          <w:szCs w:val="20"/>
        </w:rPr>
        <w:t>las  votaciones</w:t>
      </w:r>
      <w:proofErr w:type="gramEnd"/>
      <w:r w:rsidRPr="00EF0380">
        <w:rPr>
          <w:rFonts w:ascii="Arial" w:eastAsia="Arial" w:hAnsi="Arial" w:cs="Arial"/>
          <w:sz w:val="20"/>
          <w:szCs w:val="20"/>
        </w:rPr>
        <w:t xml:space="preserve">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73930BC0" w14:textId="77777777" w:rsidR="00EC3CA7" w:rsidRPr="00EF0380" w:rsidRDefault="00EC3CA7" w:rsidP="004821CF">
      <w:pPr>
        <w:tabs>
          <w:tab w:val="left" w:pos="426"/>
        </w:tabs>
        <w:spacing w:after="0"/>
        <w:rPr>
          <w:rFonts w:ascii="Arial" w:eastAsia="Arial" w:hAnsi="Arial" w:cs="Arial"/>
          <w:sz w:val="20"/>
          <w:szCs w:val="20"/>
        </w:rPr>
      </w:pPr>
    </w:p>
    <w:p w14:paraId="6B36AA80" w14:textId="77777777" w:rsidR="00EC3CA7" w:rsidRPr="00EF0380" w:rsidRDefault="00AF30F5" w:rsidP="004821CF">
      <w:pPr>
        <w:tabs>
          <w:tab w:val="left" w:pos="426"/>
        </w:tabs>
        <w:spacing w:after="0"/>
        <w:rPr>
          <w:rFonts w:ascii="Arial" w:eastAsia="Arial" w:hAnsi="Arial" w:cs="Arial"/>
          <w:b/>
          <w:sz w:val="20"/>
          <w:szCs w:val="20"/>
        </w:rPr>
      </w:pPr>
      <w:bookmarkStart w:id="4" w:name="_2et92p0" w:colFirst="0" w:colLast="0"/>
      <w:bookmarkEnd w:id="4"/>
      <w:r w:rsidRPr="00EF0380">
        <w:rPr>
          <w:rFonts w:ascii="Arial" w:eastAsia="Arial" w:hAnsi="Arial" w:cs="Arial"/>
          <w:b/>
          <w:sz w:val="20"/>
          <w:szCs w:val="20"/>
        </w:rPr>
        <w:t xml:space="preserve">LEY DE GARANTÍAS ELECTORALES ─ Prohibición ‒ Contratación directa ‒ Alcance </w:t>
      </w:r>
    </w:p>
    <w:p w14:paraId="2B37E41E" w14:textId="77777777" w:rsidR="00EC3CA7" w:rsidRPr="00EF0380" w:rsidRDefault="00EC3CA7" w:rsidP="004821CF">
      <w:pPr>
        <w:tabs>
          <w:tab w:val="left" w:pos="426"/>
        </w:tabs>
        <w:spacing w:after="0"/>
        <w:rPr>
          <w:rFonts w:ascii="Arial" w:eastAsia="Arial" w:hAnsi="Arial" w:cs="Arial"/>
          <w:sz w:val="20"/>
          <w:szCs w:val="20"/>
        </w:rPr>
      </w:pPr>
    </w:p>
    <w:p w14:paraId="1A3710DE" w14:textId="77777777" w:rsidR="00EC3CA7" w:rsidRPr="00EF0380" w:rsidRDefault="00AF30F5" w:rsidP="004821CF">
      <w:pPr>
        <w:tabs>
          <w:tab w:val="left" w:pos="426"/>
        </w:tabs>
        <w:spacing w:after="0"/>
        <w:rPr>
          <w:rFonts w:ascii="Arial" w:eastAsia="Arial" w:hAnsi="Arial" w:cs="Arial"/>
          <w:sz w:val="20"/>
          <w:szCs w:val="20"/>
        </w:rPr>
      </w:pPr>
      <w:r w:rsidRPr="00EF0380">
        <w:rPr>
          <w:rFonts w:ascii="Arial" w:eastAsia="Arial" w:hAnsi="Arial" w:cs="Arial"/>
          <w:sz w:val="20"/>
          <w:szCs w:val="20"/>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4D8ED071" w14:textId="741F5067" w:rsidR="00EC3CA7" w:rsidRPr="00EF0380" w:rsidRDefault="00EC3CA7" w:rsidP="004821CF">
      <w:pPr>
        <w:tabs>
          <w:tab w:val="left" w:pos="426"/>
        </w:tabs>
        <w:spacing w:after="0"/>
        <w:rPr>
          <w:rFonts w:ascii="Arial" w:eastAsia="Arial" w:hAnsi="Arial" w:cs="Arial"/>
          <w:sz w:val="20"/>
          <w:szCs w:val="20"/>
        </w:rPr>
      </w:pPr>
    </w:p>
    <w:p w14:paraId="7ADF56F0" w14:textId="77777777" w:rsidR="00EC3CA7" w:rsidRPr="00EF0380" w:rsidRDefault="00AF30F5" w:rsidP="004821CF">
      <w:pPr>
        <w:shd w:val="clear" w:color="auto" w:fill="FFFFFF"/>
        <w:spacing w:after="0"/>
        <w:rPr>
          <w:rFonts w:ascii="Arial" w:eastAsia="Arial" w:hAnsi="Arial" w:cs="Arial"/>
          <w:sz w:val="20"/>
          <w:szCs w:val="20"/>
        </w:rPr>
      </w:pPr>
      <w:r w:rsidRPr="00EF0380">
        <w:rPr>
          <w:rFonts w:ascii="Arial" w:eastAsia="Arial" w:hAnsi="Arial" w:cs="Arial"/>
          <w:b/>
          <w:sz w:val="20"/>
          <w:szCs w:val="20"/>
        </w:rPr>
        <w:t>LEY DE GARANTÍAS ELECTORALES ‒ Excepciones</w:t>
      </w:r>
      <w:r w:rsidRPr="00EF0380">
        <w:rPr>
          <w:rFonts w:ascii="Arial" w:eastAsia="Arial" w:hAnsi="Arial" w:cs="Arial"/>
          <w:sz w:val="20"/>
          <w:szCs w:val="20"/>
        </w:rPr>
        <w:t xml:space="preserve"> </w:t>
      </w:r>
      <w:bookmarkStart w:id="5" w:name="_tyjcwt" w:colFirst="0" w:colLast="0"/>
      <w:bookmarkEnd w:id="5"/>
    </w:p>
    <w:p w14:paraId="651737DC" w14:textId="59FF5DCF" w:rsidR="00EC3CA7" w:rsidRPr="00EF0380" w:rsidRDefault="00EC3CA7" w:rsidP="004821CF">
      <w:pPr>
        <w:shd w:val="clear" w:color="auto" w:fill="FFFFFF"/>
        <w:spacing w:after="0"/>
        <w:rPr>
          <w:rFonts w:ascii="Arial" w:eastAsia="Arial" w:hAnsi="Arial" w:cs="Arial"/>
          <w:sz w:val="20"/>
          <w:szCs w:val="20"/>
        </w:rPr>
      </w:pPr>
    </w:p>
    <w:p w14:paraId="13FEA3E1" w14:textId="77777777" w:rsidR="00AD633F" w:rsidRDefault="00AF30F5" w:rsidP="00AD633F">
      <w:pPr>
        <w:tabs>
          <w:tab w:val="left" w:pos="426"/>
        </w:tabs>
        <w:spacing w:after="0"/>
        <w:rPr>
          <w:rFonts w:ascii="Arial" w:eastAsia="Arial" w:hAnsi="Arial" w:cs="Arial"/>
          <w:sz w:val="20"/>
          <w:szCs w:val="20"/>
        </w:rPr>
      </w:pPr>
      <w:r w:rsidRPr="00EF0380">
        <w:rPr>
          <w:rFonts w:ascii="Arial" w:eastAsia="Arial" w:hAnsi="Arial" w:cs="Arial"/>
          <w:sz w:val="20"/>
          <w:szCs w:val="20"/>
        </w:rPr>
        <w:lastRenderedPageBreak/>
        <w:t xml:space="preserve">[…]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EF0380">
        <w:rPr>
          <w:rFonts w:ascii="Arial" w:eastAsia="Arial" w:hAnsi="Arial" w:cs="Arial"/>
          <w:sz w:val="20"/>
          <w:szCs w:val="20"/>
        </w:rPr>
        <w:t>ii</w:t>
      </w:r>
      <w:proofErr w:type="spellEnd"/>
      <w:r w:rsidRPr="00EF0380">
        <w:rPr>
          <w:rFonts w:ascii="Arial" w:eastAsia="Arial" w:hAnsi="Arial" w:cs="Arial"/>
          <w:sz w:val="20"/>
          <w:szCs w:val="20"/>
        </w:rPr>
        <w:t xml:space="preserve">) los contratos de crédito público; </w:t>
      </w:r>
      <w:proofErr w:type="spellStart"/>
      <w:r w:rsidRPr="00EF0380">
        <w:rPr>
          <w:rFonts w:ascii="Arial" w:eastAsia="Arial" w:hAnsi="Arial" w:cs="Arial"/>
          <w:sz w:val="20"/>
          <w:szCs w:val="20"/>
        </w:rPr>
        <w:t>iii</w:t>
      </w:r>
      <w:proofErr w:type="spellEnd"/>
      <w:r w:rsidRPr="00EF0380">
        <w:rPr>
          <w:rFonts w:ascii="Arial" w:eastAsia="Arial" w:hAnsi="Arial" w:cs="Arial"/>
          <w:sz w:val="20"/>
          <w:szCs w:val="20"/>
        </w:rPr>
        <w:t xml:space="preserve">) los requeridos para cubrir las emergencias educativas, sanitarias y desastres; </w:t>
      </w:r>
      <w:proofErr w:type="spellStart"/>
      <w:r w:rsidRPr="00EF0380">
        <w:rPr>
          <w:rFonts w:ascii="Arial" w:eastAsia="Arial" w:hAnsi="Arial" w:cs="Arial"/>
          <w:sz w:val="20"/>
          <w:szCs w:val="20"/>
        </w:rPr>
        <w:t>iv</w:t>
      </w:r>
      <w:proofErr w:type="spellEnd"/>
      <w:r w:rsidRPr="00EF0380">
        <w:rPr>
          <w:rFonts w:ascii="Arial" w:eastAsia="Arial" w:hAnsi="Arial" w:cs="Arial"/>
          <w:sz w:val="20"/>
          <w:szCs w:val="20"/>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73060DB4" w14:textId="0C0BE11D" w:rsidR="00AD633F" w:rsidRDefault="00AD633F" w:rsidP="00AD633F">
      <w:pPr>
        <w:tabs>
          <w:tab w:val="left" w:pos="426"/>
        </w:tabs>
        <w:spacing w:after="0"/>
        <w:rPr>
          <w:rFonts w:ascii="Arial" w:eastAsia="Arial" w:hAnsi="Arial" w:cs="Arial"/>
          <w:sz w:val="20"/>
          <w:szCs w:val="20"/>
        </w:rPr>
      </w:pPr>
    </w:p>
    <w:p w14:paraId="135FF3C8" w14:textId="2516E869" w:rsidR="00AD633F" w:rsidRPr="00EF0380" w:rsidRDefault="00AD633F" w:rsidP="00AD633F">
      <w:pPr>
        <w:shd w:val="clear" w:color="auto" w:fill="FFFFFF"/>
        <w:spacing w:after="0"/>
        <w:rPr>
          <w:rFonts w:ascii="Arial" w:eastAsia="Arial" w:hAnsi="Arial" w:cs="Arial"/>
          <w:sz w:val="20"/>
          <w:szCs w:val="20"/>
        </w:rPr>
      </w:pPr>
      <w:r w:rsidRPr="00EF0380">
        <w:rPr>
          <w:rFonts w:ascii="Arial" w:eastAsia="Arial" w:hAnsi="Arial" w:cs="Arial"/>
          <w:b/>
          <w:sz w:val="20"/>
          <w:szCs w:val="20"/>
        </w:rPr>
        <w:t xml:space="preserve">LEY DE GARANTÍAS ELECTORALES ‒ </w:t>
      </w:r>
      <w:r w:rsidRPr="00AD633F">
        <w:rPr>
          <w:rFonts w:ascii="Arial" w:eastAsia="Arial" w:hAnsi="Arial" w:cs="Arial"/>
          <w:b/>
          <w:sz w:val="20"/>
          <w:szCs w:val="20"/>
        </w:rPr>
        <w:t>Excepciones- Entidades sanitarias y hospitalarias</w:t>
      </w:r>
    </w:p>
    <w:p w14:paraId="6317E8A4" w14:textId="77777777" w:rsidR="00AD633F" w:rsidRPr="00EF0380" w:rsidRDefault="00AD633F" w:rsidP="00AD633F">
      <w:pPr>
        <w:shd w:val="clear" w:color="auto" w:fill="FFFFFF"/>
        <w:spacing w:after="0"/>
        <w:rPr>
          <w:rFonts w:ascii="Arial" w:eastAsia="Arial" w:hAnsi="Arial" w:cs="Arial"/>
          <w:sz w:val="20"/>
          <w:szCs w:val="20"/>
        </w:rPr>
      </w:pPr>
    </w:p>
    <w:p w14:paraId="761089E5" w14:textId="347DCEBA" w:rsidR="00AD633F" w:rsidRDefault="00AD633F" w:rsidP="00AD633F">
      <w:pPr>
        <w:tabs>
          <w:tab w:val="left" w:pos="426"/>
        </w:tabs>
        <w:spacing w:after="0"/>
      </w:pPr>
      <w:r w:rsidRPr="00EF0380">
        <w:rPr>
          <w:rFonts w:ascii="Arial" w:eastAsia="Arial" w:hAnsi="Arial" w:cs="Arial"/>
          <w:sz w:val="20"/>
          <w:szCs w:val="20"/>
        </w:rPr>
        <w:t xml:space="preserve">[…] </w:t>
      </w:r>
      <w:bookmarkStart w:id="6" w:name="_3dy6vkm" w:colFirst="0" w:colLast="0"/>
      <w:bookmarkEnd w:id="6"/>
      <w:r w:rsidRPr="00AD633F">
        <w:rPr>
          <w:rFonts w:ascii="Arial" w:eastAsia="Arial" w:hAnsi="Arial" w:cs="Arial"/>
          <w:sz w:val="20"/>
          <w:szCs w:val="20"/>
        </w:rPr>
        <w:t>el inciso segundo del artículo 33 dispone de dos grandes grupos de excepciones a la prohibición de contratar directamente en la época preelectoral, por un lado, las que atienden el ejercicio de cierta función o la atención de determinada actividad particular y sin importar la calidad del ente que la cumpla o desarrolle; por otra parte, las que aluden a las entidades sanitarias y hospitalarias acudiendo a un criterio eminentemente subjetivo, pese a que no limita la excepción a un tipo de entidad en particular, sino que ata su aplicación a la función desarrollada por el respectivo ente.</w:t>
      </w:r>
      <w:r>
        <w:rPr>
          <w:rFonts w:ascii="Arial" w:eastAsia="Arial" w:hAnsi="Arial" w:cs="Arial"/>
          <w:sz w:val="20"/>
          <w:szCs w:val="20"/>
        </w:rPr>
        <w:t xml:space="preserve"> </w:t>
      </w:r>
      <w:r w:rsidRPr="00AD633F">
        <w:rPr>
          <w:rFonts w:ascii="Arial" w:eastAsia="Arial" w:hAnsi="Arial" w:cs="Arial"/>
          <w:sz w:val="20"/>
          <w:szCs w:val="20"/>
        </w:rPr>
        <w:t xml:space="preserve">Así, para determinar si la contratación de una entidad pública está exceptuada de la prohibición general para la contratación directa, el intérprete deberá analizar el caso concreto </w:t>
      </w:r>
      <w:proofErr w:type="gramStart"/>
      <w:r w:rsidRPr="00AD633F">
        <w:rPr>
          <w:rFonts w:ascii="Arial" w:eastAsia="Arial" w:hAnsi="Arial" w:cs="Arial"/>
          <w:sz w:val="20"/>
          <w:szCs w:val="20"/>
        </w:rPr>
        <w:t>para  establecer</w:t>
      </w:r>
      <w:proofErr w:type="gramEnd"/>
      <w:r w:rsidRPr="00AD633F">
        <w:rPr>
          <w:rFonts w:ascii="Arial" w:eastAsia="Arial" w:hAnsi="Arial" w:cs="Arial"/>
          <w:sz w:val="20"/>
          <w:szCs w:val="20"/>
        </w:rPr>
        <w:t xml:space="preserve"> que se trata de una de una actividad de las descritas en la norma o que se encuentra frente a una entidad de sanidad u hospitalaria. Para esto último, se hace necesario verificar, primero, si la respectiva entidad tiene entre sus funciones actividades re</w:t>
      </w:r>
      <w:r>
        <w:rPr>
          <w:rFonts w:ascii="Arial" w:eastAsia="Arial" w:hAnsi="Arial" w:cs="Arial"/>
          <w:sz w:val="20"/>
          <w:szCs w:val="20"/>
        </w:rPr>
        <w:t>la</w:t>
      </w:r>
      <w:r w:rsidRPr="00AD633F">
        <w:rPr>
          <w:rFonts w:ascii="Arial" w:eastAsia="Arial" w:hAnsi="Arial" w:cs="Arial"/>
          <w:sz w:val="20"/>
          <w:szCs w:val="20"/>
        </w:rPr>
        <w:t>cionada</w:t>
      </w:r>
      <w:r>
        <w:rPr>
          <w:rFonts w:ascii="Arial" w:eastAsia="Arial" w:hAnsi="Arial" w:cs="Arial"/>
          <w:sz w:val="20"/>
          <w:szCs w:val="20"/>
        </w:rPr>
        <w:t>s</w:t>
      </w:r>
      <w:r w:rsidRPr="00AD633F">
        <w:rPr>
          <w:rFonts w:ascii="Arial" w:eastAsia="Arial" w:hAnsi="Arial" w:cs="Arial"/>
          <w:sz w:val="20"/>
          <w:szCs w:val="20"/>
        </w:rPr>
        <w:t xml:space="preserve"> con la sanidad pública o el servicio hospitalario, para lo cual deberá acudir a las normas que dispusieron su creación, estatutos orgánicos y funcionales, etc.</w:t>
      </w:r>
      <w:r>
        <w:rPr>
          <w:rFonts w:ascii="Arial" w:eastAsia="Arial" w:hAnsi="Arial" w:cs="Arial"/>
          <w:sz w:val="20"/>
          <w:szCs w:val="20"/>
        </w:rPr>
        <w:t xml:space="preserve"> </w:t>
      </w:r>
      <w:r w:rsidRPr="00AD633F">
        <w:rPr>
          <w:rFonts w:ascii="Arial" w:eastAsia="Arial" w:hAnsi="Arial" w:cs="Arial"/>
          <w:sz w:val="20"/>
          <w:szCs w:val="20"/>
        </w:rPr>
        <w:t>En este punto, y dado que la norma no lo establece, no es dable limitar la excepción a cierto tipo de entidades públicas o hacer depender la aplicación de la excepción al nivel u orden administrativo en el que se encuentre, ya que, como se dijo, lo relevante será verificar la función que aquellas desempeñen para así determinar si entre estas se encuentran algunas relacionadas con la sanidad y el servicio hospitalario.</w:t>
      </w:r>
      <w:r>
        <w:rPr>
          <w:rFonts w:ascii="Arial" w:eastAsia="Arial" w:hAnsi="Arial" w:cs="Arial"/>
          <w:sz w:val="20"/>
          <w:szCs w:val="20"/>
        </w:rPr>
        <w:t xml:space="preserve"> […] </w:t>
      </w:r>
      <w:r w:rsidRPr="00AD633F">
        <w:rPr>
          <w:rFonts w:ascii="Arial" w:eastAsia="Arial" w:hAnsi="Arial" w:cs="Arial"/>
          <w:sz w:val="20"/>
          <w:szCs w:val="20"/>
        </w:rPr>
        <w:t xml:space="preserve">En ese sentido, la Agencia entiende que la excepción a la prohibición del artículo 33 según la cual se permite la contratación directa a las entidades sanitarias y hospitalarias en época preelectoral, no solo cobija a aquellas que de manera regular y evidente lleven a cabo labores relacionadas con tales actividades, como sucedería con las empresas sociales del Estado, sino también todas aquellas que de alguna </w:t>
      </w:r>
      <w:r w:rsidR="00E25BBD">
        <w:rPr>
          <w:rFonts w:ascii="Arial" w:eastAsia="Arial" w:hAnsi="Arial" w:cs="Arial"/>
          <w:sz w:val="20"/>
          <w:szCs w:val="20"/>
        </w:rPr>
        <w:t xml:space="preserve">manera </w:t>
      </w:r>
      <w:r w:rsidRPr="00AD633F">
        <w:rPr>
          <w:rFonts w:ascii="Arial" w:eastAsia="Arial" w:hAnsi="Arial" w:cs="Arial"/>
          <w:sz w:val="20"/>
          <w:szCs w:val="20"/>
        </w:rPr>
        <w:t>cuenten con funciones que hagan el servicio en sus distintas fases y sin el cumplimiento de las cuales la prestación del mismo resultaría imposible o, al menos, poco eficiente.</w:t>
      </w:r>
      <w:r w:rsidRPr="00AD633F">
        <w:t xml:space="preserve"> </w:t>
      </w:r>
    </w:p>
    <w:p w14:paraId="57765BA4" w14:textId="77777777" w:rsidR="008F520F" w:rsidRPr="00EF0380" w:rsidRDefault="008F520F" w:rsidP="004821CF">
      <w:pPr>
        <w:spacing w:after="0"/>
        <w:rPr>
          <w:rFonts w:ascii="Arial" w:eastAsia="Arial" w:hAnsi="Arial" w:cs="Arial"/>
          <w:b/>
          <w:sz w:val="20"/>
          <w:szCs w:val="20"/>
        </w:rPr>
      </w:pPr>
    </w:p>
    <w:p w14:paraId="0F99BD3F" w14:textId="13A5B751" w:rsidR="00EC3CA7" w:rsidRPr="00EF0380" w:rsidRDefault="00AF30F5" w:rsidP="004821CF">
      <w:pPr>
        <w:spacing w:after="0"/>
        <w:rPr>
          <w:rFonts w:ascii="Arial" w:eastAsia="Arial" w:hAnsi="Arial" w:cs="Arial"/>
          <w:b/>
          <w:sz w:val="20"/>
          <w:szCs w:val="20"/>
        </w:rPr>
      </w:pPr>
      <w:r w:rsidRPr="00EF0380">
        <w:rPr>
          <w:rFonts w:ascii="Arial" w:eastAsia="Arial" w:hAnsi="Arial" w:cs="Arial"/>
          <w:b/>
          <w:sz w:val="20"/>
          <w:szCs w:val="20"/>
        </w:rPr>
        <w:t>LEY DE GARANTÍAS ELECTORALES ‒ Prohibición del artículo 33 de la Ley de garantías ‒ Destinatarios</w:t>
      </w:r>
    </w:p>
    <w:p w14:paraId="17FDE485" w14:textId="77777777" w:rsidR="00EC3CA7" w:rsidRPr="00EF0380" w:rsidRDefault="00EC3CA7" w:rsidP="004821CF">
      <w:pPr>
        <w:tabs>
          <w:tab w:val="left" w:pos="426"/>
        </w:tabs>
        <w:spacing w:after="0"/>
        <w:rPr>
          <w:rFonts w:ascii="Arial" w:eastAsia="Arial" w:hAnsi="Arial" w:cs="Arial"/>
          <w:sz w:val="20"/>
          <w:szCs w:val="20"/>
        </w:rPr>
      </w:pPr>
    </w:p>
    <w:p w14:paraId="02347280" w14:textId="77777777" w:rsidR="00EC3CA7" w:rsidRPr="00EF0380" w:rsidRDefault="00AF30F5" w:rsidP="004821CF">
      <w:pPr>
        <w:tabs>
          <w:tab w:val="left" w:pos="426"/>
        </w:tabs>
        <w:spacing w:after="0"/>
        <w:rPr>
          <w:rFonts w:ascii="Arial" w:eastAsia="Arial" w:hAnsi="Arial" w:cs="Arial"/>
          <w:sz w:val="20"/>
          <w:szCs w:val="20"/>
        </w:rPr>
      </w:pPr>
      <w:r w:rsidRPr="00EF0380">
        <w:rPr>
          <w:rFonts w:ascii="Arial" w:eastAsia="Arial" w:hAnsi="Arial" w:cs="Arial"/>
          <w:sz w:val="20"/>
          <w:szCs w:val="20"/>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3119441C" w14:textId="77777777" w:rsidR="00EC3CA7" w:rsidRPr="00EF0380" w:rsidRDefault="00EC3CA7" w:rsidP="004821CF">
      <w:pPr>
        <w:tabs>
          <w:tab w:val="left" w:pos="426"/>
        </w:tabs>
        <w:spacing w:after="0"/>
        <w:rPr>
          <w:rFonts w:ascii="Arial" w:eastAsia="Arial" w:hAnsi="Arial" w:cs="Arial"/>
          <w:sz w:val="20"/>
          <w:szCs w:val="20"/>
        </w:rPr>
      </w:pPr>
    </w:p>
    <w:p w14:paraId="736E7563" w14:textId="77777777" w:rsidR="00EC3CA7" w:rsidRPr="00EF0380" w:rsidRDefault="00EC3CA7" w:rsidP="004821CF">
      <w:pPr>
        <w:shd w:val="clear" w:color="auto" w:fill="FFFFFF"/>
        <w:spacing w:after="0"/>
        <w:rPr>
          <w:rFonts w:ascii="Arial" w:eastAsia="Arial" w:hAnsi="Arial" w:cs="Arial"/>
          <w:sz w:val="20"/>
          <w:szCs w:val="20"/>
        </w:rPr>
      </w:pPr>
    </w:p>
    <w:p w14:paraId="6F9A481B" w14:textId="77777777" w:rsidR="00EC3CA7" w:rsidRPr="00EF0380" w:rsidRDefault="00EC3CA7" w:rsidP="004821CF">
      <w:pPr>
        <w:spacing w:after="0"/>
        <w:rPr>
          <w:rFonts w:ascii="Arial" w:eastAsia="Arial" w:hAnsi="Arial" w:cs="Arial"/>
          <w:b/>
          <w:sz w:val="22"/>
          <w:szCs w:val="22"/>
        </w:rPr>
      </w:pPr>
    </w:p>
    <w:p w14:paraId="0CCD1871" w14:textId="77777777" w:rsidR="00EC3CA7" w:rsidRPr="00EF0380" w:rsidRDefault="00AF30F5" w:rsidP="004821CF">
      <w:pPr>
        <w:rPr>
          <w:rFonts w:ascii="Arial" w:eastAsia="Arial" w:hAnsi="Arial" w:cs="Arial"/>
          <w:b/>
          <w:sz w:val="22"/>
          <w:szCs w:val="22"/>
        </w:rPr>
      </w:pPr>
      <w:r w:rsidRPr="00EF0380">
        <w:br w:type="page"/>
      </w:r>
    </w:p>
    <w:p w14:paraId="75769EF0" w14:textId="77777777" w:rsidR="00A3629A" w:rsidRDefault="00A3629A" w:rsidP="004821CF">
      <w:pPr>
        <w:spacing w:after="0"/>
        <w:jc w:val="right"/>
        <w:rPr>
          <w:rFonts w:ascii="Arial" w:eastAsia="Arial" w:hAnsi="Arial" w:cs="Arial"/>
          <w:b/>
          <w:sz w:val="16"/>
          <w:szCs w:val="16"/>
        </w:rPr>
      </w:pPr>
      <w:bookmarkStart w:id="7" w:name="_2s8eyo1" w:colFirst="0" w:colLast="0"/>
      <w:bookmarkEnd w:id="7"/>
    </w:p>
    <w:p w14:paraId="332F586E" w14:textId="384AFE73" w:rsidR="00EC3CA7" w:rsidRPr="00EF0380" w:rsidRDefault="00A3629A" w:rsidP="00A3629A">
      <w:pPr>
        <w:spacing w:after="0"/>
        <w:jc w:val="right"/>
        <w:rPr>
          <w:rFonts w:ascii="Arial" w:eastAsia="Arial" w:hAnsi="Arial" w:cs="Arial"/>
          <w:b/>
          <w:sz w:val="16"/>
          <w:szCs w:val="16"/>
        </w:rPr>
      </w:pPr>
      <w:r>
        <w:rPr>
          <w:noProof/>
        </w:rPr>
        <w:drawing>
          <wp:inline distT="0" distB="0" distL="0" distR="0" wp14:anchorId="30106668" wp14:editId="00357B74">
            <wp:extent cx="2514600" cy="1066800"/>
            <wp:effectExtent l="0" t="0" r="0" b="0"/>
            <wp:docPr id="5" name="Imagen 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10;&#10;Descripción generada automáticamente"/>
                    <pic:cNvPicPr/>
                  </pic:nvPicPr>
                  <pic:blipFill>
                    <a:blip r:embed="rId7"/>
                    <a:stretch>
                      <a:fillRect/>
                    </a:stretch>
                  </pic:blipFill>
                  <pic:spPr>
                    <a:xfrm>
                      <a:off x="0" y="0"/>
                      <a:ext cx="2514600" cy="1066800"/>
                    </a:xfrm>
                    <a:prstGeom prst="rect">
                      <a:avLst/>
                    </a:prstGeom>
                  </pic:spPr>
                </pic:pic>
              </a:graphicData>
            </a:graphic>
          </wp:inline>
        </w:drawing>
      </w:r>
    </w:p>
    <w:p w14:paraId="3A604256" w14:textId="77777777" w:rsidR="00EC3CA7" w:rsidRPr="00EF0380" w:rsidRDefault="00EC3CA7" w:rsidP="004821CF">
      <w:pPr>
        <w:tabs>
          <w:tab w:val="left" w:pos="3374"/>
        </w:tabs>
        <w:spacing w:after="0"/>
      </w:pPr>
    </w:p>
    <w:p w14:paraId="19DDB6EF" w14:textId="77777777" w:rsidR="00EC3CA7" w:rsidRPr="00EF0380" w:rsidRDefault="00EC3CA7" w:rsidP="004821CF">
      <w:pPr>
        <w:tabs>
          <w:tab w:val="left" w:pos="3374"/>
        </w:tabs>
        <w:spacing w:after="0"/>
      </w:pPr>
    </w:p>
    <w:p w14:paraId="7A31F994" w14:textId="7EDA57F9" w:rsidR="00EC3CA7" w:rsidRPr="00EF0380" w:rsidRDefault="00A3629A" w:rsidP="004821CF">
      <w:pPr>
        <w:spacing w:after="0"/>
      </w:pPr>
      <w:r>
        <w:rPr>
          <w:rFonts w:ascii="Arial" w:hAnsi="Arial" w:cs="Arial"/>
          <w:color w:val="4E4D4D"/>
          <w:sz w:val="22"/>
          <w:szCs w:val="22"/>
          <w:lang w:val="es-CO"/>
        </w:rPr>
        <w:t xml:space="preserve">Bogotá, 22 </w:t>
      </w:r>
      <w:proofErr w:type="gramStart"/>
      <w:r>
        <w:rPr>
          <w:rFonts w:ascii="Arial" w:hAnsi="Arial" w:cs="Arial"/>
          <w:color w:val="4E4D4D"/>
          <w:sz w:val="22"/>
          <w:szCs w:val="22"/>
          <w:lang w:val="es-CO"/>
        </w:rPr>
        <w:t>Diciembre</w:t>
      </w:r>
      <w:proofErr w:type="gramEnd"/>
      <w:r>
        <w:rPr>
          <w:rFonts w:ascii="Arial" w:hAnsi="Arial" w:cs="Arial"/>
          <w:color w:val="4E4D4D"/>
          <w:sz w:val="22"/>
          <w:szCs w:val="22"/>
          <w:lang w:val="es-CO"/>
        </w:rPr>
        <w:t xml:space="preserve"> 2021</w:t>
      </w:r>
    </w:p>
    <w:p w14:paraId="6A40969A" w14:textId="77777777" w:rsidR="00EC3CA7" w:rsidRPr="00EF0380" w:rsidRDefault="00EC3CA7" w:rsidP="004821CF">
      <w:pPr>
        <w:spacing w:after="0"/>
      </w:pPr>
    </w:p>
    <w:p w14:paraId="4ADE8B41" w14:textId="45D9F15C" w:rsidR="00EC3CA7" w:rsidRPr="00EF0380" w:rsidRDefault="00AF30F5" w:rsidP="004821CF">
      <w:pPr>
        <w:spacing w:after="0"/>
      </w:pPr>
      <w:r w:rsidRPr="00EF0380">
        <w:rPr>
          <w:rFonts w:ascii="Arial" w:eastAsia="Arial" w:hAnsi="Arial" w:cs="Arial"/>
          <w:sz w:val="22"/>
          <w:szCs w:val="22"/>
        </w:rPr>
        <w:t>Señor</w:t>
      </w:r>
    </w:p>
    <w:p w14:paraId="56911960" w14:textId="6D2DD8F4" w:rsidR="00EC3CA7" w:rsidRPr="00EF0380" w:rsidRDefault="0062449F" w:rsidP="004821CF">
      <w:pPr>
        <w:spacing w:after="0"/>
      </w:pPr>
      <w:r w:rsidRPr="00EF0380">
        <w:rPr>
          <w:rFonts w:ascii="Arial" w:eastAsia="Arial" w:hAnsi="Arial" w:cs="Arial"/>
          <w:b/>
          <w:sz w:val="22"/>
          <w:szCs w:val="22"/>
        </w:rPr>
        <w:t>José Alfredo Hernández López</w:t>
      </w:r>
    </w:p>
    <w:p w14:paraId="17874CC6" w14:textId="77777777" w:rsidR="00EC3CA7" w:rsidRPr="00EF0380" w:rsidRDefault="00AF30F5" w:rsidP="004821CF">
      <w:pPr>
        <w:spacing w:after="0"/>
      </w:pPr>
      <w:r w:rsidRPr="00EF0380">
        <w:rPr>
          <w:rFonts w:ascii="Arial" w:eastAsia="Arial" w:hAnsi="Arial" w:cs="Arial"/>
          <w:sz w:val="22"/>
          <w:szCs w:val="22"/>
        </w:rPr>
        <w:t>Bogotá D.C.</w:t>
      </w:r>
    </w:p>
    <w:p w14:paraId="3C98F3B0" w14:textId="77777777" w:rsidR="00EC3CA7" w:rsidRPr="00EF0380" w:rsidRDefault="00EC3CA7" w:rsidP="004821CF">
      <w:pPr>
        <w:spacing w:after="0"/>
      </w:pPr>
    </w:p>
    <w:p w14:paraId="52C983C6" w14:textId="77777777" w:rsidR="00EC3CA7" w:rsidRPr="00EF0380" w:rsidRDefault="00EC3CA7" w:rsidP="004821CF">
      <w:pPr>
        <w:spacing w:after="0"/>
      </w:pPr>
    </w:p>
    <w:p w14:paraId="17D11ECB" w14:textId="4725059C" w:rsidR="00EC3CA7" w:rsidRPr="00EF0380" w:rsidRDefault="00AF30F5" w:rsidP="004821CF">
      <w:pPr>
        <w:spacing w:after="0"/>
      </w:pPr>
      <w:r w:rsidRPr="00EF0380">
        <w:rPr>
          <w:rFonts w:ascii="Arial" w:eastAsia="Arial" w:hAnsi="Arial" w:cs="Arial"/>
          <w:sz w:val="22"/>
          <w:szCs w:val="22"/>
        </w:rPr>
        <w:t xml:space="preserve">                                            </w:t>
      </w:r>
      <w:r w:rsidRPr="00EF0380">
        <w:rPr>
          <w:rFonts w:ascii="Arial" w:eastAsia="Arial" w:hAnsi="Arial" w:cs="Arial"/>
          <w:b/>
          <w:sz w:val="22"/>
          <w:szCs w:val="22"/>
        </w:rPr>
        <w:t xml:space="preserve">Concepto </w:t>
      </w:r>
      <w:r w:rsidR="000E6F2E" w:rsidRPr="000E6F2E">
        <w:rPr>
          <w:rFonts w:ascii="Arial" w:eastAsia="Arial" w:hAnsi="Arial" w:cs="Arial"/>
          <w:b/>
          <w:sz w:val="22"/>
          <w:szCs w:val="22"/>
        </w:rPr>
        <w:t>C-695</w:t>
      </w:r>
      <w:r w:rsidR="000E6F2E">
        <w:rPr>
          <w:rFonts w:ascii="Arial" w:eastAsia="Arial" w:hAnsi="Arial" w:cs="Arial"/>
          <w:b/>
          <w:sz w:val="22"/>
          <w:szCs w:val="22"/>
        </w:rPr>
        <w:t xml:space="preserve"> </w:t>
      </w:r>
      <w:r w:rsidRPr="00EF0380">
        <w:rPr>
          <w:rFonts w:ascii="Arial" w:eastAsia="Arial" w:hAnsi="Arial" w:cs="Arial"/>
          <w:b/>
          <w:sz w:val="22"/>
          <w:szCs w:val="22"/>
        </w:rPr>
        <w:t>de 2021</w:t>
      </w:r>
      <w:r w:rsidRPr="00EF0380">
        <w:rPr>
          <w:rFonts w:ascii="Arial" w:eastAsia="Arial" w:hAnsi="Arial" w:cs="Arial"/>
          <w:sz w:val="22"/>
          <w:szCs w:val="22"/>
        </w:rPr>
        <w:t xml:space="preserve"> </w:t>
      </w:r>
    </w:p>
    <w:p w14:paraId="4C971FBF" w14:textId="77777777" w:rsidR="00EC3CA7" w:rsidRPr="00EF0380" w:rsidRDefault="00EC3CA7" w:rsidP="004821CF">
      <w:pPr>
        <w:spacing w:after="0"/>
      </w:pPr>
    </w:p>
    <w:tbl>
      <w:tblPr>
        <w:tblStyle w:val="a"/>
        <w:tblW w:w="0" w:type="auto"/>
        <w:tblInd w:w="0" w:type="dxa"/>
        <w:tblBorders>
          <w:top w:val="nil"/>
          <w:left w:val="nil"/>
          <w:bottom w:val="nil"/>
          <w:right w:val="nil"/>
          <w:insideH w:val="nil"/>
          <w:insideV w:val="nil"/>
        </w:tblBorders>
        <w:tblLayout w:type="fixed"/>
        <w:tblLook w:val="0400" w:firstRow="0" w:lastRow="0" w:firstColumn="0" w:lastColumn="0" w:noHBand="0" w:noVBand="1"/>
      </w:tblPr>
      <w:tblGrid>
        <w:gridCol w:w="2694"/>
        <w:gridCol w:w="5528"/>
      </w:tblGrid>
      <w:tr w:rsidR="00EC3CA7" w:rsidRPr="00EF0380" w14:paraId="30C35202" w14:textId="77777777" w:rsidTr="00AD633F">
        <w:trPr>
          <w:trHeight w:val="485"/>
        </w:trPr>
        <w:tc>
          <w:tcPr>
            <w:tcW w:w="2694" w:type="dxa"/>
          </w:tcPr>
          <w:p w14:paraId="5CA9BF99" w14:textId="77777777" w:rsidR="00EC3CA7" w:rsidRPr="00EF0380" w:rsidRDefault="00AF30F5" w:rsidP="004821CF">
            <w:pPr>
              <w:spacing w:line="276" w:lineRule="auto"/>
            </w:pPr>
            <w:r w:rsidRPr="00EF0380">
              <w:rPr>
                <w:rFonts w:ascii="Arial" w:eastAsia="Arial" w:hAnsi="Arial" w:cs="Arial"/>
                <w:b/>
                <w:sz w:val="22"/>
                <w:szCs w:val="22"/>
              </w:rPr>
              <w:t>Temas:</w:t>
            </w:r>
            <w:r w:rsidRPr="00EF0380">
              <w:rPr>
                <w:rFonts w:ascii="Arial" w:eastAsia="Arial" w:hAnsi="Arial" w:cs="Arial"/>
                <w:sz w:val="22"/>
                <w:szCs w:val="22"/>
              </w:rPr>
              <w:t xml:space="preserve">        </w:t>
            </w:r>
          </w:p>
        </w:tc>
        <w:tc>
          <w:tcPr>
            <w:tcW w:w="5528" w:type="dxa"/>
          </w:tcPr>
          <w:p w14:paraId="5AB6C57E" w14:textId="0BB2F4BE" w:rsidR="00EC3CA7" w:rsidRPr="00AD633F" w:rsidRDefault="00AF30F5" w:rsidP="004821CF">
            <w:pPr>
              <w:spacing w:after="120" w:line="276" w:lineRule="auto"/>
              <w:ind w:right="703"/>
              <w:jc w:val="both"/>
              <w:rPr>
                <w:rFonts w:ascii="Arial" w:eastAsia="Arial" w:hAnsi="Arial" w:cs="Arial"/>
                <w:sz w:val="22"/>
                <w:szCs w:val="22"/>
              </w:rPr>
            </w:pPr>
            <w:r w:rsidRPr="00AD633F">
              <w:rPr>
                <w:rFonts w:ascii="Arial" w:eastAsia="Arial" w:hAnsi="Arial" w:cs="Arial"/>
                <w:sz w:val="22"/>
                <w:szCs w:val="22"/>
              </w:rPr>
              <w:t>LEY DE GARANTÍAS ELECTORALES – Finalidad / LEY DE GARANTÍAS ELECTORALES ‒ Tipos de restricciones ‒ Ámbito temporal / LEY DE GARANTÍAS ELECTORALES ─ Prohibición ‒ Contratación directa ‒ Alcance / LEY DE GARANTÍAS ELECTORALES ‒ Excepciones /</w:t>
            </w:r>
            <w:r w:rsidR="00AD633F" w:rsidRPr="00AD633F">
              <w:rPr>
                <w:rFonts w:ascii="Arial" w:eastAsia="Arial" w:hAnsi="Arial" w:cs="Arial"/>
                <w:sz w:val="22"/>
                <w:szCs w:val="22"/>
              </w:rPr>
              <w:t>LEY DE GARANTÍAS ELECTORALES ‒ Excepciones- Entidades sanitarias y hospitalarias</w:t>
            </w:r>
            <w:r w:rsidRPr="00AD633F">
              <w:rPr>
                <w:rFonts w:ascii="Arial" w:eastAsia="Arial" w:hAnsi="Arial" w:cs="Arial"/>
                <w:sz w:val="22"/>
                <w:szCs w:val="22"/>
              </w:rPr>
              <w:t xml:space="preserve"> LEY DE GARANTÍAS ELECTORALES ‒ Prohibición del artículo 33 de la Ley de garantías ‒ Destinatarios</w:t>
            </w:r>
          </w:p>
        </w:tc>
      </w:tr>
      <w:tr w:rsidR="00EC3CA7" w:rsidRPr="00EF0380" w14:paraId="4CB5F144" w14:textId="77777777" w:rsidTr="00AD633F">
        <w:trPr>
          <w:trHeight w:val="256"/>
        </w:trPr>
        <w:tc>
          <w:tcPr>
            <w:tcW w:w="2694" w:type="dxa"/>
          </w:tcPr>
          <w:p w14:paraId="502DEB65" w14:textId="77777777" w:rsidR="00EC3CA7" w:rsidRPr="00EF0380" w:rsidRDefault="00AF30F5" w:rsidP="004821CF">
            <w:pPr>
              <w:spacing w:line="276" w:lineRule="auto"/>
            </w:pPr>
            <w:r w:rsidRPr="00EF0380">
              <w:rPr>
                <w:rFonts w:ascii="Arial" w:eastAsia="Arial" w:hAnsi="Arial" w:cs="Arial"/>
                <w:b/>
                <w:sz w:val="22"/>
                <w:szCs w:val="22"/>
              </w:rPr>
              <w:t>Radicación:</w:t>
            </w:r>
            <w:r w:rsidRPr="00EF0380">
              <w:rPr>
                <w:rFonts w:ascii="Arial" w:eastAsia="Arial" w:hAnsi="Arial" w:cs="Arial"/>
                <w:sz w:val="22"/>
                <w:szCs w:val="22"/>
              </w:rPr>
              <w:t xml:space="preserve">                              </w:t>
            </w:r>
          </w:p>
        </w:tc>
        <w:tc>
          <w:tcPr>
            <w:tcW w:w="5528" w:type="dxa"/>
          </w:tcPr>
          <w:p w14:paraId="0CAC6546" w14:textId="449DF15F" w:rsidR="00EC3CA7" w:rsidRPr="00EF0380" w:rsidRDefault="00AF30F5" w:rsidP="004821CF">
            <w:pPr>
              <w:spacing w:line="276" w:lineRule="auto"/>
              <w:jc w:val="both"/>
            </w:pPr>
            <w:r w:rsidRPr="00EF0380">
              <w:rPr>
                <w:rFonts w:ascii="Arial" w:eastAsia="Arial" w:hAnsi="Arial" w:cs="Arial"/>
                <w:sz w:val="22"/>
                <w:szCs w:val="22"/>
              </w:rPr>
              <w:t xml:space="preserve">Respuesta a consulta </w:t>
            </w:r>
            <w:r w:rsidR="000E6F2E" w:rsidRPr="000E6F2E">
              <w:rPr>
                <w:rFonts w:ascii="Arial" w:eastAsia="Arial" w:hAnsi="Arial" w:cs="Arial"/>
                <w:sz w:val="22"/>
                <w:szCs w:val="22"/>
              </w:rPr>
              <w:t>P20211118010708</w:t>
            </w:r>
          </w:p>
        </w:tc>
      </w:tr>
    </w:tbl>
    <w:p w14:paraId="7AF59870" w14:textId="77777777" w:rsidR="00EC3CA7" w:rsidRPr="00EF0380" w:rsidRDefault="00EC3CA7" w:rsidP="004821CF">
      <w:pPr>
        <w:spacing w:after="0"/>
      </w:pPr>
    </w:p>
    <w:p w14:paraId="3AE5FF9E" w14:textId="77777777" w:rsidR="00EC3CA7" w:rsidRPr="00EF0380" w:rsidRDefault="00EC3CA7" w:rsidP="004821CF">
      <w:pPr>
        <w:spacing w:after="0"/>
      </w:pPr>
    </w:p>
    <w:p w14:paraId="248C1EDA" w14:textId="1A96FBE7" w:rsidR="00EC3CA7" w:rsidRPr="00EF0380" w:rsidRDefault="00AF30F5" w:rsidP="004821CF">
      <w:pPr>
        <w:spacing w:after="0"/>
        <w:rPr>
          <w:rFonts w:ascii="Arial" w:eastAsia="Arial" w:hAnsi="Arial" w:cs="Arial"/>
          <w:sz w:val="22"/>
          <w:szCs w:val="22"/>
        </w:rPr>
      </w:pPr>
      <w:r w:rsidRPr="00EF0380">
        <w:rPr>
          <w:rFonts w:ascii="Arial" w:eastAsia="Arial" w:hAnsi="Arial" w:cs="Arial"/>
          <w:sz w:val="22"/>
          <w:szCs w:val="22"/>
        </w:rPr>
        <w:t>Estimad</w:t>
      </w:r>
      <w:r w:rsidR="00EF0380" w:rsidRPr="00EF0380">
        <w:rPr>
          <w:rFonts w:ascii="Arial" w:eastAsia="Arial" w:hAnsi="Arial" w:cs="Arial"/>
          <w:sz w:val="22"/>
          <w:szCs w:val="22"/>
        </w:rPr>
        <w:t>o</w:t>
      </w:r>
      <w:r w:rsidRPr="00EF0380">
        <w:rPr>
          <w:rFonts w:ascii="Arial" w:eastAsia="Arial" w:hAnsi="Arial" w:cs="Arial"/>
          <w:sz w:val="22"/>
          <w:szCs w:val="22"/>
        </w:rPr>
        <w:t xml:space="preserve"> señor </w:t>
      </w:r>
      <w:r w:rsidR="00EF0380" w:rsidRPr="00EF0380">
        <w:rPr>
          <w:rFonts w:ascii="Arial" w:eastAsia="Arial" w:hAnsi="Arial" w:cs="Arial"/>
          <w:sz w:val="22"/>
          <w:szCs w:val="22"/>
        </w:rPr>
        <w:t>Hernández</w:t>
      </w:r>
      <w:r w:rsidRPr="00EF0380">
        <w:rPr>
          <w:rFonts w:ascii="Arial" w:eastAsia="Arial" w:hAnsi="Arial" w:cs="Arial"/>
          <w:sz w:val="22"/>
          <w:szCs w:val="22"/>
        </w:rPr>
        <w:t>:</w:t>
      </w:r>
    </w:p>
    <w:p w14:paraId="2E884B7E" w14:textId="77777777" w:rsidR="00EC3CA7" w:rsidRPr="00EF0380" w:rsidRDefault="00EC3CA7" w:rsidP="004821CF">
      <w:pPr>
        <w:spacing w:after="0"/>
        <w:ind w:firstLine="709"/>
        <w:rPr>
          <w:rFonts w:ascii="Arial" w:eastAsia="Arial" w:hAnsi="Arial" w:cs="Arial"/>
          <w:sz w:val="22"/>
          <w:szCs w:val="22"/>
        </w:rPr>
      </w:pPr>
    </w:p>
    <w:p w14:paraId="3DC4E063" w14:textId="2865C139" w:rsidR="00EC3CA7" w:rsidRPr="00EF0380" w:rsidRDefault="00AF30F5" w:rsidP="004821CF">
      <w:pPr>
        <w:spacing w:after="0"/>
        <w:ind w:right="51"/>
        <w:rPr>
          <w:rFonts w:ascii="Arial" w:eastAsia="Arial" w:hAnsi="Arial" w:cs="Arial"/>
          <w:sz w:val="22"/>
          <w:szCs w:val="22"/>
        </w:rPr>
      </w:pPr>
      <w:r w:rsidRPr="00EF0380">
        <w:rPr>
          <w:rFonts w:ascii="Arial" w:eastAsia="Arial" w:hAnsi="Arial" w:cs="Arial"/>
          <w:sz w:val="22"/>
          <w:szCs w:val="22"/>
        </w:rPr>
        <w:lastRenderedPageBreak/>
        <w:t xml:space="preserve">En ejercicio de la competencia otorgada por el numeral 8 del artículo 11 y el numeral 5 del artículo 3 del Decreto Ley 4170 de 2011, la Agencia Nacional de Contratación Pública – Colombia Compra Eficiente responde la consulta </w:t>
      </w:r>
      <w:r w:rsidR="0062449F" w:rsidRPr="00EF0380">
        <w:rPr>
          <w:rFonts w:ascii="Arial" w:eastAsia="Arial" w:hAnsi="Arial" w:cs="Arial"/>
          <w:sz w:val="22"/>
          <w:szCs w:val="22"/>
        </w:rPr>
        <w:t xml:space="preserve">del 17 </w:t>
      </w:r>
      <w:r w:rsidRPr="00EF0380">
        <w:rPr>
          <w:rFonts w:ascii="Arial" w:eastAsia="Arial" w:hAnsi="Arial" w:cs="Arial"/>
          <w:sz w:val="22"/>
          <w:szCs w:val="22"/>
        </w:rPr>
        <w:t xml:space="preserve">de </w:t>
      </w:r>
      <w:r w:rsidR="0062449F" w:rsidRPr="00EF0380">
        <w:rPr>
          <w:rFonts w:ascii="Arial" w:eastAsia="Arial" w:hAnsi="Arial" w:cs="Arial"/>
          <w:sz w:val="22"/>
          <w:szCs w:val="22"/>
        </w:rPr>
        <w:t>noviembre</w:t>
      </w:r>
      <w:r w:rsidRPr="00EF0380">
        <w:rPr>
          <w:rFonts w:ascii="Arial" w:eastAsia="Arial" w:hAnsi="Arial" w:cs="Arial"/>
          <w:sz w:val="22"/>
          <w:szCs w:val="22"/>
        </w:rPr>
        <w:t xml:space="preserve"> de 2021. </w:t>
      </w:r>
    </w:p>
    <w:p w14:paraId="44E117F9" w14:textId="5D0FFEC0" w:rsidR="00EC3CA7" w:rsidRDefault="00EC3CA7" w:rsidP="004821CF">
      <w:pPr>
        <w:spacing w:after="0"/>
        <w:rPr>
          <w:rFonts w:ascii="Arial" w:eastAsia="Arial" w:hAnsi="Arial" w:cs="Arial"/>
          <w:sz w:val="22"/>
          <w:szCs w:val="22"/>
        </w:rPr>
      </w:pPr>
    </w:p>
    <w:p w14:paraId="49ACF7B9" w14:textId="77777777" w:rsidR="00AD633F" w:rsidRPr="00EF0380" w:rsidRDefault="00AD633F" w:rsidP="004821CF">
      <w:pPr>
        <w:spacing w:after="0"/>
        <w:rPr>
          <w:rFonts w:ascii="Arial" w:eastAsia="Arial" w:hAnsi="Arial" w:cs="Arial"/>
          <w:sz w:val="22"/>
          <w:szCs w:val="22"/>
        </w:rPr>
      </w:pPr>
    </w:p>
    <w:p w14:paraId="0A61756A" w14:textId="77777777" w:rsidR="00EC3CA7" w:rsidRPr="00EF0380" w:rsidRDefault="00AF30F5" w:rsidP="004821CF">
      <w:pPr>
        <w:tabs>
          <w:tab w:val="left" w:pos="284"/>
        </w:tabs>
        <w:spacing w:after="0"/>
        <w:rPr>
          <w:rFonts w:ascii="Arial" w:eastAsia="Arial" w:hAnsi="Arial" w:cs="Arial"/>
          <w:b/>
          <w:sz w:val="22"/>
          <w:szCs w:val="22"/>
        </w:rPr>
      </w:pPr>
      <w:r w:rsidRPr="00EF0380">
        <w:rPr>
          <w:rFonts w:ascii="Arial" w:eastAsia="Arial" w:hAnsi="Arial" w:cs="Arial"/>
          <w:b/>
          <w:sz w:val="22"/>
          <w:szCs w:val="22"/>
        </w:rPr>
        <w:t xml:space="preserve">1. Problema planteado </w:t>
      </w:r>
    </w:p>
    <w:p w14:paraId="57E221B2" w14:textId="77777777" w:rsidR="00EC3CA7" w:rsidRPr="00EF0380" w:rsidRDefault="00EC3CA7" w:rsidP="004821CF">
      <w:pPr>
        <w:pBdr>
          <w:top w:val="nil"/>
          <w:left w:val="nil"/>
          <w:bottom w:val="nil"/>
          <w:right w:val="nil"/>
          <w:between w:val="nil"/>
        </w:pBdr>
        <w:tabs>
          <w:tab w:val="left" w:pos="284"/>
        </w:tabs>
        <w:spacing w:after="0"/>
        <w:ind w:firstLine="709"/>
        <w:rPr>
          <w:rFonts w:ascii="Arial" w:eastAsia="Arial" w:hAnsi="Arial" w:cs="Arial"/>
          <w:b/>
          <w:color w:val="000000"/>
          <w:sz w:val="22"/>
          <w:szCs w:val="22"/>
        </w:rPr>
      </w:pPr>
    </w:p>
    <w:p w14:paraId="4784809E" w14:textId="5F54A528" w:rsidR="00AD633F" w:rsidRDefault="0062449F" w:rsidP="004821CF">
      <w:pPr>
        <w:spacing w:after="120"/>
        <w:rPr>
          <w:rFonts w:ascii="Arial" w:eastAsia="Arial" w:hAnsi="Arial" w:cs="Arial"/>
          <w:color w:val="000000"/>
          <w:sz w:val="22"/>
          <w:szCs w:val="22"/>
        </w:rPr>
      </w:pPr>
      <w:bookmarkStart w:id="8" w:name="_17dp8vu" w:colFirst="0" w:colLast="0"/>
      <w:bookmarkEnd w:id="8"/>
      <w:r w:rsidRPr="00EF0380">
        <w:rPr>
          <w:rFonts w:ascii="Arial" w:eastAsia="Arial" w:hAnsi="Arial" w:cs="Arial"/>
          <w:color w:val="000000"/>
          <w:sz w:val="22"/>
          <w:szCs w:val="22"/>
        </w:rPr>
        <w:t xml:space="preserve">Bajo el contexto de la prohibición para la contratación directa establecida en el artículo 33 de la Ley 996 de 2005, y teniendo en cuenta que la misma disposición consagra ciertas excepciones a tal prohibición, entre las cuales incluye a la contratación realizada por las entidades sanitarias y </w:t>
      </w:r>
      <w:proofErr w:type="spellStart"/>
      <w:r w:rsidRPr="00EF0380">
        <w:rPr>
          <w:rFonts w:ascii="Arial" w:eastAsia="Arial" w:hAnsi="Arial" w:cs="Arial"/>
          <w:color w:val="000000"/>
          <w:sz w:val="22"/>
          <w:szCs w:val="22"/>
        </w:rPr>
        <w:t>hispitalarias</w:t>
      </w:r>
      <w:proofErr w:type="spellEnd"/>
      <w:r w:rsidRPr="00EF0380">
        <w:rPr>
          <w:rFonts w:ascii="Arial" w:eastAsia="Arial" w:hAnsi="Arial" w:cs="Arial"/>
          <w:color w:val="000000"/>
          <w:sz w:val="22"/>
          <w:szCs w:val="22"/>
        </w:rPr>
        <w:t>, usted plantea el siguiente interrogante:</w:t>
      </w:r>
    </w:p>
    <w:p w14:paraId="4D50C95F" w14:textId="77777777" w:rsidR="00AD633F" w:rsidRPr="00EF0380" w:rsidRDefault="00AD633F" w:rsidP="00AD633F">
      <w:pPr>
        <w:spacing w:after="120"/>
        <w:rPr>
          <w:rFonts w:ascii="Arial" w:eastAsia="Arial" w:hAnsi="Arial" w:cs="Arial"/>
          <w:color w:val="000000"/>
          <w:sz w:val="22"/>
          <w:szCs w:val="22"/>
        </w:rPr>
      </w:pPr>
    </w:p>
    <w:p w14:paraId="6760824F" w14:textId="77D0CA0C" w:rsidR="0062449F" w:rsidRPr="00EF0380" w:rsidRDefault="0062449F" w:rsidP="004821CF">
      <w:pPr>
        <w:spacing w:after="0"/>
        <w:ind w:left="720"/>
        <w:rPr>
          <w:rFonts w:ascii="Arial" w:hAnsi="Arial" w:cs="Arial"/>
          <w:sz w:val="21"/>
          <w:szCs w:val="21"/>
        </w:rPr>
      </w:pPr>
      <w:r w:rsidRPr="00EF0380">
        <w:rPr>
          <w:rFonts w:ascii="Arial" w:hAnsi="Arial" w:cs="Arial"/>
          <w:sz w:val="21"/>
          <w:szCs w:val="21"/>
        </w:rPr>
        <w:t xml:space="preserve">«¿Las SECRETARÍAS DE SALUD DEPARTAMENTALES se encuentran exceptuadas de la restricción prescrita en el inciso primero del artículo 33 de la Ley 0996 de 2005, de conformidad con lo establecido en el inciso segundo de la misma normatividad? </w:t>
      </w:r>
    </w:p>
    <w:p w14:paraId="7C7403C9" w14:textId="77777777" w:rsidR="0062449F" w:rsidRPr="00EF0380" w:rsidRDefault="0062449F" w:rsidP="004821CF">
      <w:pPr>
        <w:spacing w:after="0"/>
        <w:ind w:left="720"/>
        <w:rPr>
          <w:rFonts w:ascii="Arial" w:hAnsi="Arial" w:cs="Arial"/>
          <w:sz w:val="21"/>
          <w:szCs w:val="21"/>
        </w:rPr>
      </w:pPr>
      <w:r w:rsidRPr="00EF0380">
        <w:rPr>
          <w:rFonts w:ascii="Arial" w:hAnsi="Arial" w:cs="Arial"/>
          <w:sz w:val="21"/>
          <w:szCs w:val="21"/>
        </w:rPr>
        <w:t xml:space="preserve"> </w:t>
      </w:r>
    </w:p>
    <w:p w14:paraId="09C241B1" w14:textId="33950E61" w:rsidR="0062449F" w:rsidRPr="00EF0380" w:rsidRDefault="0062449F" w:rsidP="004821CF">
      <w:pPr>
        <w:spacing w:after="0"/>
        <w:ind w:left="720"/>
        <w:rPr>
          <w:sz w:val="21"/>
          <w:szCs w:val="21"/>
        </w:rPr>
      </w:pPr>
      <w:r w:rsidRPr="00EF0380">
        <w:rPr>
          <w:rFonts w:ascii="Arial" w:hAnsi="Arial" w:cs="Arial"/>
          <w:sz w:val="21"/>
          <w:szCs w:val="21"/>
        </w:rPr>
        <w:t>[…] En consecuencia, ¿las SECRETARÍAS DE SALUD DEPARTAMENTALES, pueden celebrar contratos bajo la modalidad de Contratación Directa durante los 4 meses previos a la elección presidencial e, incluso, hasta la materialización de la elección en la segunda vuelta?»</w:t>
      </w:r>
    </w:p>
    <w:p w14:paraId="7F63F01F" w14:textId="77777777" w:rsidR="00203C99" w:rsidRPr="00EF0380" w:rsidRDefault="00203C99" w:rsidP="004821CF">
      <w:pPr>
        <w:tabs>
          <w:tab w:val="left" w:pos="426"/>
        </w:tabs>
        <w:spacing w:after="0"/>
        <w:rPr>
          <w:rFonts w:ascii="Arial" w:eastAsia="Arial" w:hAnsi="Arial" w:cs="Arial"/>
          <w:sz w:val="22"/>
          <w:szCs w:val="22"/>
        </w:rPr>
      </w:pPr>
    </w:p>
    <w:p w14:paraId="1FA1BC49" w14:textId="77777777" w:rsidR="00EC3CA7" w:rsidRPr="00EF0380" w:rsidRDefault="00AF30F5" w:rsidP="004821CF">
      <w:pPr>
        <w:tabs>
          <w:tab w:val="left" w:pos="284"/>
        </w:tabs>
        <w:spacing w:after="0"/>
        <w:rPr>
          <w:rFonts w:ascii="Arial" w:eastAsia="Arial" w:hAnsi="Arial" w:cs="Arial"/>
          <w:b/>
          <w:sz w:val="22"/>
          <w:szCs w:val="22"/>
        </w:rPr>
      </w:pPr>
      <w:r w:rsidRPr="00EF0380">
        <w:rPr>
          <w:rFonts w:ascii="Arial" w:eastAsia="Arial" w:hAnsi="Arial" w:cs="Arial"/>
          <w:b/>
          <w:sz w:val="22"/>
          <w:szCs w:val="22"/>
        </w:rPr>
        <w:t>2. Consideraciones</w:t>
      </w:r>
    </w:p>
    <w:p w14:paraId="1AC10D5F" w14:textId="77777777" w:rsidR="00EC3CA7" w:rsidRPr="00EF0380" w:rsidRDefault="00EC3CA7" w:rsidP="004821CF">
      <w:pPr>
        <w:tabs>
          <w:tab w:val="left" w:pos="426"/>
        </w:tabs>
        <w:spacing w:after="0"/>
        <w:ind w:firstLine="709"/>
        <w:rPr>
          <w:rFonts w:ascii="Arial" w:eastAsia="Arial" w:hAnsi="Arial" w:cs="Arial"/>
          <w:sz w:val="22"/>
          <w:szCs w:val="22"/>
        </w:rPr>
      </w:pPr>
    </w:p>
    <w:p w14:paraId="26147F66" w14:textId="6BD4F642" w:rsidR="00EC3CA7" w:rsidRPr="00EF0380" w:rsidRDefault="00101B73" w:rsidP="004821CF">
      <w:pPr>
        <w:tabs>
          <w:tab w:val="left" w:pos="426"/>
        </w:tabs>
        <w:spacing w:after="120"/>
        <w:rPr>
          <w:rFonts w:ascii="Arial" w:eastAsia="Arial" w:hAnsi="Arial" w:cs="Arial"/>
          <w:sz w:val="22"/>
          <w:szCs w:val="22"/>
        </w:rPr>
      </w:pPr>
      <w:r w:rsidRPr="00EF0380">
        <w:rPr>
          <w:rFonts w:ascii="Arial" w:eastAsia="Arial" w:hAnsi="Arial" w:cs="Arial"/>
          <w:sz w:val="22"/>
          <w:szCs w:val="22"/>
        </w:rPr>
        <w:t>La Agencia resolverá</w:t>
      </w:r>
      <w:r w:rsidR="00AF30F5" w:rsidRPr="00EF0380">
        <w:rPr>
          <w:rFonts w:ascii="Arial" w:eastAsia="Arial" w:hAnsi="Arial" w:cs="Arial"/>
          <w:sz w:val="22"/>
          <w:szCs w:val="22"/>
        </w:rPr>
        <w:t xml:space="preserve"> el problema planteado previo análisis de</w:t>
      </w:r>
      <w:r w:rsidR="00AF30F5" w:rsidRPr="00EF0380">
        <w:rPr>
          <w:rFonts w:ascii="Arial" w:eastAsia="Arial" w:hAnsi="Arial" w:cs="Arial"/>
          <w:color w:val="000000"/>
          <w:sz w:val="22"/>
          <w:szCs w:val="22"/>
        </w:rPr>
        <w:t xml:space="preserve"> los siguientes temas:</w:t>
      </w:r>
      <w:r w:rsidR="00AF30F5" w:rsidRPr="00EF0380">
        <w:rPr>
          <w:rFonts w:ascii="Arial" w:eastAsia="Arial" w:hAnsi="Arial" w:cs="Arial"/>
          <w:sz w:val="22"/>
          <w:szCs w:val="22"/>
        </w:rPr>
        <w:t xml:space="preserve"> i) definición y finalidad de la Ley de Garantías Electorales, </w:t>
      </w:r>
      <w:proofErr w:type="spellStart"/>
      <w:r w:rsidR="00AF30F5" w:rsidRPr="00EF0380">
        <w:rPr>
          <w:rFonts w:ascii="Arial" w:eastAsia="Arial" w:hAnsi="Arial" w:cs="Arial"/>
          <w:sz w:val="22"/>
          <w:szCs w:val="22"/>
        </w:rPr>
        <w:t>ii</w:t>
      </w:r>
      <w:proofErr w:type="spellEnd"/>
      <w:r w:rsidR="00AF30F5" w:rsidRPr="00EF0380">
        <w:rPr>
          <w:rFonts w:ascii="Arial" w:eastAsia="Arial" w:hAnsi="Arial" w:cs="Arial"/>
          <w:sz w:val="22"/>
          <w:szCs w:val="22"/>
        </w:rPr>
        <w:t>) restricciones para elecciones presidenciales</w:t>
      </w:r>
      <w:r w:rsidR="00FD271F" w:rsidRPr="00EF0380">
        <w:rPr>
          <w:rFonts w:ascii="Arial" w:eastAsia="Arial" w:hAnsi="Arial" w:cs="Arial"/>
          <w:sz w:val="22"/>
          <w:szCs w:val="22"/>
        </w:rPr>
        <w:t xml:space="preserve"> y</w:t>
      </w:r>
      <w:r w:rsidR="00AF30F5" w:rsidRPr="00EF0380">
        <w:rPr>
          <w:rFonts w:ascii="Arial" w:eastAsia="Arial" w:hAnsi="Arial" w:cs="Arial"/>
          <w:sz w:val="22"/>
          <w:szCs w:val="22"/>
        </w:rPr>
        <w:t xml:space="preserve"> </w:t>
      </w:r>
      <w:proofErr w:type="spellStart"/>
      <w:r w:rsidR="00AF30F5" w:rsidRPr="00EF0380">
        <w:rPr>
          <w:rFonts w:ascii="Arial" w:eastAsia="Arial" w:hAnsi="Arial" w:cs="Arial"/>
          <w:sz w:val="22"/>
          <w:szCs w:val="22"/>
        </w:rPr>
        <w:t>iii</w:t>
      </w:r>
      <w:proofErr w:type="spellEnd"/>
      <w:r w:rsidR="00AF30F5" w:rsidRPr="00EF0380">
        <w:rPr>
          <w:rFonts w:ascii="Arial" w:eastAsia="Arial" w:hAnsi="Arial" w:cs="Arial"/>
          <w:sz w:val="22"/>
          <w:szCs w:val="22"/>
        </w:rPr>
        <w:t>) destinatarios de la prohibición del artículo 33 de la Ley 996 de 2005</w:t>
      </w:r>
      <w:r w:rsidR="00FD271F" w:rsidRPr="00EF0380">
        <w:rPr>
          <w:rFonts w:ascii="Arial" w:eastAsia="Arial" w:hAnsi="Arial" w:cs="Arial"/>
          <w:sz w:val="22"/>
          <w:szCs w:val="22"/>
        </w:rPr>
        <w:t>.</w:t>
      </w:r>
    </w:p>
    <w:p w14:paraId="7B68454A" w14:textId="7F593D5E" w:rsidR="00EC3CA7" w:rsidRPr="00EF0380" w:rsidRDefault="00AF30F5" w:rsidP="004821CF">
      <w:pPr>
        <w:tabs>
          <w:tab w:val="left" w:pos="426"/>
        </w:tabs>
        <w:spacing w:after="0"/>
        <w:ind w:firstLine="709"/>
        <w:rPr>
          <w:rFonts w:ascii="Arial" w:eastAsia="Arial" w:hAnsi="Arial" w:cs="Arial"/>
          <w:sz w:val="22"/>
          <w:szCs w:val="22"/>
        </w:rPr>
      </w:pPr>
      <w:r w:rsidRPr="00EF0380">
        <w:rPr>
          <w:rFonts w:ascii="Arial" w:eastAsia="Arial" w:hAnsi="Arial" w:cs="Arial"/>
          <w:sz w:val="22"/>
          <w:szCs w:val="22"/>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w:t>
      </w:r>
      <w:r w:rsidRPr="00EF0380">
        <w:rPr>
          <w:rFonts w:ascii="Arial" w:eastAsia="Arial" w:hAnsi="Arial" w:cs="Arial"/>
          <w:sz w:val="22"/>
          <w:szCs w:val="22"/>
        </w:rPr>
        <w:lastRenderedPageBreak/>
        <w:t>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y C-636 del 16 de noviembre de 2021. La tesis desarrollada en estos conceptos se reitera y complementa a continuación:</w:t>
      </w:r>
    </w:p>
    <w:p w14:paraId="6A3734E5" w14:textId="77777777" w:rsidR="00EC3CA7" w:rsidRPr="00EF0380" w:rsidRDefault="00EC3CA7" w:rsidP="004821CF">
      <w:pPr>
        <w:tabs>
          <w:tab w:val="left" w:pos="426"/>
        </w:tabs>
        <w:spacing w:after="0"/>
        <w:ind w:firstLine="709"/>
        <w:rPr>
          <w:rFonts w:ascii="Arial" w:eastAsia="Arial" w:hAnsi="Arial" w:cs="Arial"/>
          <w:b/>
          <w:sz w:val="22"/>
          <w:szCs w:val="22"/>
        </w:rPr>
      </w:pPr>
    </w:p>
    <w:p w14:paraId="62F52FB3" w14:textId="77777777" w:rsidR="00EC3CA7" w:rsidRPr="00EF0380" w:rsidRDefault="00AF30F5" w:rsidP="004821CF">
      <w:pPr>
        <w:tabs>
          <w:tab w:val="left" w:pos="426"/>
        </w:tabs>
        <w:spacing w:after="0"/>
        <w:rPr>
          <w:rFonts w:ascii="Arial" w:eastAsia="Arial" w:hAnsi="Arial" w:cs="Arial"/>
          <w:b/>
          <w:sz w:val="22"/>
          <w:szCs w:val="22"/>
        </w:rPr>
      </w:pPr>
      <w:r w:rsidRPr="00EF0380">
        <w:rPr>
          <w:rFonts w:ascii="Arial" w:eastAsia="Arial" w:hAnsi="Arial" w:cs="Arial"/>
          <w:b/>
          <w:sz w:val="22"/>
          <w:szCs w:val="22"/>
        </w:rPr>
        <w:t>2.1. Definición y finalidad de la Ley de Garantías Electorales: alcance de las restricciones</w:t>
      </w:r>
    </w:p>
    <w:p w14:paraId="7333BF30" w14:textId="77777777" w:rsidR="00EC3CA7" w:rsidRPr="00EF0380" w:rsidRDefault="00EC3CA7" w:rsidP="004821CF">
      <w:pPr>
        <w:tabs>
          <w:tab w:val="left" w:pos="426"/>
        </w:tabs>
        <w:spacing w:after="0"/>
        <w:ind w:firstLine="709"/>
        <w:rPr>
          <w:rFonts w:ascii="Arial" w:eastAsia="Arial" w:hAnsi="Arial" w:cs="Arial"/>
          <w:sz w:val="22"/>
          <w:szCs w:val="22"/>
        </w:rPr>
      </w:pPr>
    </w:p>
    <w:p w14:paraId="233A9A7C" w14:textId="77777777" w:rsidR="00EC3CA7" w:rsidRPr="00EF0380" w:rsidRDefault="00AF30F5" w:rsidP="004821CF">
      <w:pPr>
        <w:tabs>
          <w:tab w:val="left" w:pos="426"/>
        </w:tabs>
        <w:spacing w:after="120"/>
        <w:rPr>
          <w:rFonts w:ascii="Arial" w:eastAsia="Arial" w:hAnsi="Arial" w:cs="Arial"/>
          <w:sz w:val="22"/>
          <w:szCs w:val="22"/>
        </w:rPr>
      </w:pPr>
      <w:r w:rsidRPr="00EF0380">
        <w:rPr>
          <w:rFonts w:ascii="Arial" w:eastAsia="Arial" w:hAnsi="Arial" w:cs="Arial"/>
          <w:sz w:val="22"/>
          <w:szCs w:val="22"/>
        </w:rPr>
        <w:t>El ordenamiento jurídico colombiano contempla previsiones claras para evitar la obtención de beneficios personales en asuntos propios de la administración pública</w:t>
      </w:r>
      <w:r w:rsidRPr="00EF0380">
        <w:rPr>
          <w:rFonts w:ascii="Arial" w:eastAsia="Arial" w:hAnsi="Arial" w:cs="Arial"/>
          <w:i/>
          <w:sz w:val="22"/>
          <w:szCs w:val="22"/>
        </w:rPr>
        <w:t xml:space="preserve">. </w:t>
      </w:r>
      <w:r w:rsidRPr="00EF0380">
        <w:rPr>
          <w:rFonts w:ascii="Arial" w:eastAsia="Arial" w:hAnsi="Arial" w:cs="Arial"/>
          <w:sz w:val="22"/>
          <w:szCs w:val="22"/>
        </w:rPr>
        <w:t>Por ejemplo, el artículo 127 de la Constitución Política establece una prohibición contractual a los servidores públicos y en cuanto a aspectos políticos establece restricciones a ciertos empleados del Estado, incluso en época no electoral</w:t>
      </w:r>
      <w:r w:rsidRPr="00EF0380">
        <w:rPr>
          <w:rFonts w:ascii="Arial" w:eastAsia="Arial" w:hAnsi="Arial" w:cs="Arial"/>
          <w:sz w:val="22"/>
          <w:szCs w:val="22"/>
          <w:vertAlign w:val="superscript"/>
        </w:rPr>
        <w:footnoteReference w:id="1"/>
      </w:r>
      <w:r w:rsidRPr="00EF0380">
        <w:rPr>
          <w:rFonts w:ascii="Arial" w:eastAsia="Arial" w:hAnsi="Arial" w:cs="Arial"/>
          <w:sz w:val="22"/>
          <w:szCs w:val="22"/>
        </w:rPr>
        <w:t xml:space="preserve">. </w:t>
      </w:r>
    </w:p>
    <w:p w14:paraId="1A455F3D" w14:textId="77777777" w:rsidR="00EC3CA7" w:rsidRPr="00EF0380" w:rsidRDefault="00AF30F5" w:rsidP="004821CF">
      <w:pPr>
        <w:tabs>
          <w:tab w:val="left" w:pos="426"/>
        </w:tabs>
        <w:spacing w:after="0"/>
        <w:ind w:firstLine="709"/>
        <w:rPr>
          <w:rFonts w:ascii="Arial" w:eastAsia="Arial" w:hAnsi="Arial" w:cs="Arial"/>
          <w:sz w:val="22"/>
          <w:szCs w:val="22"/>
        </w:rPr>
      </w:pPr>
      <w:r w:rsidRPr="00EF0380">
        <w:rPr>
          <w:rFonts w:ascii="Arial" w:eastAsia="Arial" w:hAnsi="Arial" w:cs="Arial"/>
          <w:sz w:val="22"/>
          <w:szCs w:val="22"/>
        </w:rPr>
        <w:t xml:space="preserve">En el mismo sentido, la Ley 996 de 2005, conocida como «Ley de Garantías Electorales», se suma al andamiaje de orden constitucional y legal que se ha ocupado de evitar la injerencia inadecuada de intereses particulares en el ejercicio </w:t>
      </w:r>
      <w:r w:rsidRPr="00EF0380">
        <w:rPr>
          <w:rFonts w:ascii="Arial" w:eastAsia="Arial" w:hAnsi="Arial" w:cs="Arial"/>
          <w:sz w:val="22"/>
          <w:szCs w:val="22"/>
        </w:rPr>
        <w:lastRenderedPageBreak/>
        <w:t>de la función pública. Esta ley tiene como propósito evitar cualquier tipo de arbitrariedad, de ventaja injustificada, de uso irregular de los recursos del Estado en las campañas o falta de garantías en la elección presidencial</w:t>
      </w:r>
      <w:r w:rsidRPr="00EF0380">
        <w:rPr>
          <w:rFonts w:ascii="Arial" w:eastAsia="Arial" w:hAnsi="Arial" w:cs="Arial"/>
          <w:sz w:val="22"/>
          <w:szCs w:val="22"/>
          <w:vertAlign w:val="superscript"/>
        </w:rPr>
        <w:footnoteReference w:id="2"/>
      </w:r>
      <w:r w:rsidRPr="00EF0380">
        <w:rPr>
          <w:rFonts w:ascii="Arial" w:eastAsia="Arial" w:hAnsi="Arial" w:cs="Arial"/>
          <w:sz w:val="22"/>
          <w:szCs w:val="22"/>
        </w:rPr>
        <w:t>. En esta medida, introduce limitaciones para realizar nombramientos, postulaciones, contrataciones o cualquier otro tipo de actividad que implique destinación de recursos públicos bajo el devenir propio de las entidades estatales. En armonía con lo anterior, la Corte Constitucional ha abordado la definición de la Ley de Garantías Electorales. De esta manera, explica que tiene como propósito:</w:t>
      </w:r>
    </w:p>
    <w:p w14:paraId="726378FB" w14:textId="77777777" w:rsidR="00EC3CA7" w:rsidRPr="00EF0380" w:rsidRDefault="00EC3CA7" w:rsidP="004821CF">
      <w:pPr>
        <w:spacing w:after="0"/>
        <w:ind w:right="709"/>
        <w:rPr>
          <w:rFonts w:ascii="Arial" w:eastAsia="Arial" w:hAnsi="Arial" w:cs="Arial"/>
          <w:sz w:val="21"/>
          <w:szCs w:val="21"/>
        </w:rPr>
      </w:pPr>
    </w:p>
    <w:p w14:paraId="6D251C82" w14:textId="77777777" w:rsidR="00EC3CA7" w:rsidRPr="00EF0380" w:rsidRDefault="00AF30F5" w:rsidP="004821CF">
      <w:pPr>
        <w:spacing w:after="0"/>
        <w:ind w:left="709" w:right="709"/>
      </w:pPr>
      <w:r w:rsidRPr="00EF0380">
        <w:rPr>
          <w:rFonts w:ascii="Arial" w:eastAsia="Arial" w:hAnsi="Arial" w:cs="Arial"/>
          <w:sz w:val="21"/>
          <w:szCs w:val="21"/>
        </w:rPr>
        <w:t>[…] la definición de reglas claras que permitan acceder a los canales de expresión democrática de manera efectiva e igualitaria. El objetivo de una ley de garantías es definir esas reglas.</w:t>
      </w:r>
    </w:p>
    <w:p w14:paraId="43C393A6" w14:textId="77777777" w:rsidR="00EC3CA7" w:rsidRPr="00EF0380" w:rsidRDefault="00AF30F5" w:rsidP="004821CF">
      <w:pPr>
        <w:spacing w:after="120"/>
        <w:ind w:left="709" w:right="709"/>
      </w:pPr>
      <w:r w:rsidRPr="00EF0380">
        <w:rPr>
          <w:rFonts w:ascii="Arial" w:eastAsia="Arial" w:hAnsi="Arial" w:cs="Arial"/>
          <w:sz w:val="21"/>
          <w:szCs w:val="21"/>
        </w:rPr>
        <w:t xml:space="preserve">[…] </w:t>
      </w:r>
    </w:p>
    <w:p w14:paraId="41041ADA" w14:textId="77777777" w:rsidR="00EC3CA7" w:rsidRPr="00EF0380" w:rsidRDefault="00AF30F5" w:rsidP="004821CF">
      <w:pPr>
        <w:spacing w:after="0"/>
        <w:ind w:left="709" w:right="709"/>
      </w:pPr>
      <w:r w:rsidRPr="00EF0380">
        <w:rPr>
          <w:rFonts w:ascii="Arial" w:eastAsia="Arial" w:hAnsi="Arial" w:cs="Arial"/>
          <w:sz w:val="21"/>
          <w:szCs w:val="21"/>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EF0380">
        <w:rPr>
          <w:rFonts w:ascii="Arial" w:eastAsia="Arial" w:hAnsi="Arial" w:cs="Arial"/>
          <w:sz w:val="20"/>
          <w:szCs w:val="20"/>
          <w:vertAlign w:val="superscript"/>
        </w:rPr>
        <w:footnoteReference w:id="3"/>
      </w:r>
    </w:p>
    <w:p w14:paraId="5586E4FA" w14:textId="77777777" w:rsidR="00EC3CA7" w:rsidRPr="00EF0380" w:rsidRDefault="00EC3CA7" w:rsidP="004821CF">
      <w:pPr>
        <w:spacing w:after="0"/>
        <w:ind w:left="709" w:right="709"/>
        <w:rPr>
          <w:rFonts w:ascii="Arial" w:eastAsia="Arial" w:hAnsi="Arial" w:cs="Arial"/>
          <w:sz w:val="21"/>
          <w:szCs w:val="21"/>
        </w:rPr>
      </w:pPr>
    </w:p>
    <w:p w14:paraId="330B251C" w14:textId="77777777" w:rsidR="00EC3CA7" w:rsidRPr="00EF0380" w:rsidRDefault="00AF30F5" w:rsidP="004821CF">
      <w:pPr>
        <w:spacing w:after="0"/>
        <w:ind w:firstLine="709"/>
        <w:rPr>
          <w:rFonts w:ascii="Arial" w:eastAsia="Arial" w:hAnsi="Arial" w:cs="Arial"/>
          <w:sz w:val="22"/>
          <w:szCs w:val="22"/>
        </w:rPr>
      </w:pPr>
      <w:bookmarkStart w:id="9" w:name="_26in1rg" w:colFirst="0" w:colLast="0"/>
      <w:bookmarkEnd w:id="9"/>
      <w:r w:rsidRPr="00EF0380">
        <w:rPr>
          <w:rFonts w:ascii="Arial" w:eastAsia="Arial" w:hAnsi="Arial" w:cs="Arial"/>
          <w:sz w:val="22"/>
          <w:szCs w:val="22"/>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4D9B784A" w14:textId="77777777" w:rsidR="00EC3CA7" w:rsidRPr="00EF0380" w:rsidRDefault="00EC3CA7" w:rsidP="004821CF">
      <w:pPr>
        <w:spacing w:after="0"/>
        <w:ind w:firstLine="709"/>
        <w:rPr>
          <w:rFonts w:ascii="Arial" w:eastAsia="Arial" w:hAnsi="Arial" w:cs="Arial"/>
          <w:sz w:val="22"/>
          <w:szCs w:val="22"/>
        </w:rPr>
      </w:pPr>
    </w:p>
    <w:p w14:paraId="606295E8" w14:textId="77777777" w:rsidR="00EC3CA7" w:rsidRPr="00EF0380" w:rsidRDefault="00AF30F5" w:rsidP="004821CF">
      <w:pPr>
        <w:spacing w:after="120"/>
        <w:ind w:left="709" w:right="709"/>
      </w:pPr>
      <w:r w:rsidRPr="00EF0380">
        <w:rPr>
          <w:rFonts w:ascii="Arial" w:eastAsia="Arial" w:hAnsi="Arial" w:cs="Arial"/>
          <w:sz w:val="21"/>
          <w:szCs w:val="21"/>
        </w:rPr>
        <w:lastRenderedPageBreak/>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EF0380">
        <w:rPr>
          <w:rFonts w:ascii="Arial" w:eastAsia="Arial" w:hAnsi="Arial" w:cs="Arial"/>
          <w:sz w:val="21"/>
          <w:szCs w:val="21"/>
        </w:rPr>
        <w:t>legis</w:t>
      </w:r>
      <w:proofErr w:type="spellEnd"/>
      <w:r w:rsidRPr="00EF0380">
        <w:rPr>
          <w:rFonts w:ascii="Arial" w:eastAsia="Arial" w:hAnsi="Arial" w:cs="Arial"/>
          <w:sz w:val="21"/>
          <w:szCs w:val="21"/>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411DDC1E" w14:textId="77777777" w:rsidR="00EC3CA7" w:rsidRPr="00EF0380" w:rsidRDefault="00AF30F5" w:rsidP="004821CF">
      <w:pPr>
        <w:spacing w:after="0"/>
        <w:ind w:left="709" w:right="709"/>
      </w:pPr>
      <w:r w:rsidRPr="00EF0380">
        <w:rPr>
          <w:rFonts w:ascii="Arial" w:eastAsia="Arial" w:hAnsi="Arial" w:cs="Arial"/>
          <w:sz w:val="21"/>
          <w:szCs w:val="21"/>
        </w:rPr>
        <w:t>La jurisprudencia de la Corte Constitucional</w:t>
      </w:r>
      <w:r w:rsidRPr="00EF0380">
        <w:rPr>
          <w:rFonts w:ascii="Arial" w:eastAsia="Arial" w:hAnsi="Arial" w:cs="Arial"/>
          <w:sz w:val="21"/>
          <w:szCs w:val="21"/>
          <w:vertAlign w:val="superscript"/>
        </w:rPr>
        <w:footnoteReference w:id="4"/>
      </w:r>
      <w:r w:rsidRPr="00EF0380">
        <w:rPr>
          <w:rFonts w:ascii="Arial" w:eastAsia="Arial" w:hAnsi="Arial" w:cs="Arial"/>
          <w:sz w:val="21"/>
          <w:szCs w:val="21"/>
        </w:rPr>
        <w:t> y del Consejo de Estado</w:t>
      </w:r>
      <w:r w:rsidRPr="00EF0380">
        <w:rPr>
          <w:rFonts w:ascii="Arial" w:eastAsia="Arial" w:hAnsi="Arial" w:cs="Arial"/>
          <w:sz w:val="21"/>
          <w:szCs w:val="21"/>
          <w:vertAlign w:val="superscript"/>
        </w:rPr>
        <w:footnoteReference w:id="5"/>
      </w:r>
      <w:r w:rsidRPr="00EF0380">
        <w:rPr>
          <w:rFonts w:ascii="Arial" w:eastAsia="Arial" w:hAnsi="Arial" w:cs="Arial"/>
          <w:sz w:val="21"/>
          <w:szCs w:val="21"/>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EF0380">
        <w:rPr>
          <w:rFonts w:ascii="Arial" w:eastAsia="Arial" w:hAnsi="Arial" w:cs="Arial"/>
          <w:sz w:val="22"/>
          <w:szCs w:val="22"/>
          <w:vertAlign w:val="superscript"/>
        </w:rPr>
        <w:footnoteReference w:id="6"/>
      </w:r>
      <w:r w:rsidRPr="00EF0380">
        <w:rPr>
          <w:rFonts w:ascii="Arial" w:eastAsia="Arial" w:hAnsi="Arial" w:cs="Arial"/>
          <w:sz w:val="21"/>
          <w:szCs w:val="21"/>
        </w:rPr>
        <w:t>.</w:t>
      </w:r>
    </w:p>
    <w:p w14:paraId="319247E3" w14:textId="77777777" w:rsidR="00EC3CA7" w:rsidRPr="00EF0380" w:rsidRDefault="00EC3CA7" w:rsidP="004821CF">
      <w:pPr>
        <w:spacing w:after="0"/>
        <w:ind w:right="709"/>
        <w:rPr>
          <w:rFonts w:ascii="Arial" w:eastAsia="Arial" w:hAnsi="Arial" w:cs="Arial"/>
          <w:sz w:val="21"/>
          <w:szCs w:val="21"/>
        </w:rPr>
      </w:pPr>
    </w:p>
    <w:p w14:paraId="53DC92E6" w14:textId="77777777" w:rsidR="00EC3CA7" w:rsidRPr="00EF0380" w:rsidRDefault="00AF30F5" w:rsidP="004821CF">
      <w:pPr>
        <w:spacing w:after="120"/>
        <w:rPr>
          <w:rFonts w:ascii="Arial" w:eastAsia="Arial" w:hAnsi="Arial" w:cs="Arial"/>
          <w:sz w:val="22"/>
          <w:szCs w:val="22"/>
        </w:rPr>
      </w:pPr>
      <w:bookmarkStart w:id="10" w:name="_lnxbz9" w:colFirst="0" w:colLast="0"/>
      <w:bookmarkEnd w:id="10"/>
      <w:r w:rsidRPr="00EF0380">
        <w:rPr>
          <w:rFonts w:ascii="Arial" w:eastAsia="Arial" w:hAnsi="Arial" w:cs="Arial"/>
          <w:sz w:val="22"/>
          <w:szCs w:val="22"/>
        </w:rPr>
        <w:tab/>
        <w:t xml:space="preserve">De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w:t>
      </w:r>
      <w:r w:rsidRPr="00EF0380">
        <w:rPr>
          <w:rFonts w:ascii="Arial" w:eastAsia="Arial" w:hAnsi="Arial" w:cs="Arial"/>
          <w:sz w:val="22"/>
          <w:szCs w:val="22"/>
        </w:rPr>
        <w:lastRenderedPageBreak/>
        <w:t>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4FFC6DAD" w14:textId="77777777" w:rsidR="00EC3CA7" w:rsidRPr="00EF0380" w:rsidRDefault="00AF30F5" w:rsidP="004821CF">
      <w:pPr>
        <w:spacing w:after="120"/>
        <w:ind w:firstLine="708"/>
        <w:rPr>
          <w:rFonts w:ascii="Arial" w:eastAsia="Arial" w:hAnsi="Arial" w:cs="Arial"/>
          <w:sz w:val="22"/>
          <w:szCs w:val="22"/>
        </w:rPr>
      </w:pPr>
      <w:r w:rsidRPr="00EF0380">
        <w:rPr>
          <w:rFonts w:ascii="Arial" w:eastAsia="Arial" w:hAnsi="Arial" w:cs="Arial"/>
          <w:sz w:val="22"/>
          <w:szCs w:val="22"/>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EF0380">
        <w:rPr>
          <w:rFonts w:ascii="Arial" w:eastAsia="Arial" w:hAnsi="Arial" w:cs="Arial"/>
          <w:sz w:val="22"/>
          <w:szCs w:val="22"/>
          <w:vertAlign w:val="superscript"/>
        </w:rPr>
        <w:footnoteReference w:id="7"/>
      </w:r>
      <w:r w:rsidRPr="00EF0380">
        <w:rPr>
          <w:rFonts w:ascii="Arial" w:eastAsia="Arial" w:hAnsi="Arial" w:cs="Arial"/>
          <w:sz w:val="22"/>
          <w:szCs w:val="22"/>
        </w:rPr>
        <w:t>.</w:t>
      </w:r>
    </w:p>
    <w:p w14:paraId="220863CF" w14:textId="77777777" w:rsidR="00EC3CA7" w:rsidRPr="00EF0380" w:rsidRDefault="00AF30F5" w:rsidP="004821CF">
      <w:pPr>
        <w:widowControl w:val="0"/>
        <w:spacing w:after="0"/>
        <w:ind w:right="113" w:firstLine="708"/>
        <w:rPr>
          <w:rFonts w:ascii="Arial" w:eastAsia="Arial" w:hAnsi="Arial" w:cs="Arial"/>
          <w:sz w:val="22"/>
          <w:szCs w:val="22"/>
        </w:rPr>
      </w:pPr>
      <w:r w:rsidRPr="00EF0380">
        <w:rPr>
          <w:rFonts w:ascii="Arial" w:eastAsia="Arial" w:hAnsi="Arial" w:cs="Arial"/>
          <w:sz w:val="22"/>
          <w:szCs w:val="22"/>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EF0380">
        <w:rPr>
          <w:rFonts w:ascii="Arial" w:eastAsia="Arial" w:hAnsi="Arial" w:cs="Arial"/>
          <w:sz w:val="19"/>
          <w:szCs w:val="19"/>
        </w:rPr>
        <w:t>»</w:t>
      </w:r>
      <w:r w:rsidRPr="00EF0380">
        <w:rPr>
          <w:rFonts w:ascii="Arial" w:eastAsia="Arial" w:hAnsi="Arial" w:cs="Arial"/>
          <w:sz w:val="19"/>
          <w:szCs w:val="19"/>
          <w:vertAlign w:val="superscript"/>
        </w:rPr>
        <w:footnoteReference w:id="8"/>
      </w:r>
      <w:r w:rsidRPr="00EF0380">
        <w:rPr>
          <w:rFonts w:ascii="Arial" w:eastAsia="Arial" w:hAnsi="Arial" w:cs="Arial"/>
          <w:sz w:val="22"/>
          <w:szCs w:val="22"/>
        </w:rPr>
        <w:t xml:space="preserve">. La Sala de Consulta y Servicio Civil del Consejo de Estado ha aclarado la distinción en la aplicación de las prohibiciones </w:t>
      </w:r>
      <w:r w:rsidRPr="00EF0380">
        <w:rPr>
          <w:rFonts w:ascii="Arial" w:eastAsia="Arial" w:hAnsi="Arial" w:cs="Arial"/>
          <w:sz w:val="22"/>
          <w:szCs w:val="22"/>
        </w:rPr>
        <w:lastRenderedPageBreak/>
        <w:t>de la Ley 996 de 2005, dependiendo del tipo de elección que se trate. Al respecto, considera que:</w:t>
      </w:r>
    </w:p>
    <w:p w14:paraId="36E9CD7F" w14:textId="77777777" w:rsidR="00EC3CA7" w:rsidRPr="00EF0380" w:rsidRDefault="00EC3CA7" w:rsidP="004821CF">
      <w:pPr>
        <w:widowControl w:val="0"/>
        <w:spacing w:after="0"/>
        <w:ind w:left="805" w:right="812"/>
        <w:rPr>
          <w:rFonts w:ascii="Arial" w:eastAsia="Arial" w:hAnsi="Arial" w:cs="Arial"/>
          <w:sz w:val="22"/>
          <w:szCs w:val="22"/>
        </w:rPr>
      </w:pPr>
    </w:p>
    <w:p w14:paraId="427D5E0C" w14:textId="77777777" w:rsidR="00EC3CA7" w:rsidRPr="00EF0380" w:rsidRDefault="00AF30F5" w:rsidP="004821CF">
      <w:pPr>
        <w:widowControl w:val="0"/>
        <w:spacing w:after="0"/>
        <w:ind w:left="709" w:right="709"/>
      </w:pPr>
      <w:bookmarkStart w:id="13" w:name="_35nkun2" w:colFirst="0" w:colLast="0"/>
      <w:bookmarkEnd w:id="13"/>
      <w:r w:rsidRPr="00EF0380">
        <w:rPr>
          <w:rFonts w:ascii="Arial" w:eastAsia="Arial" w:hAnsi="Arial" w:cs="Arial"/>
          <w:sz w:val="21"/>
          <w:szCs w:val="21"/>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En cambio, para elecciones en general, excluyendo las correspondientes a </w:t>
      </w:r>
      <w:proofErr w:type="gramStart"/>
      <w:r w:rsidRPr="00EF0380">
        <w:rPr>
          <w:rFonts w:ascii="Arial" w:eastAsia="Arial" w:hAnsi="Arial" w:cs="Arial"/>
          <w:sz w:val="21"/>
          <w:szCs w:val="21"/>
        </w:rPr>
        <w:t>Presidente</w:t>
      </w:r>
      <w:proofErr w:type="gramEnd"/>
      <w:r w:rsidRPr="00EF0380">
        <w:rPr>
          <w:rFonts w:ascii="Arial" w:eastAsia="Arial" w:hAnsi="Arial" w:cs="Arial"/>
          <w:sz w:val="21"/>
          <w:szCs w:val="21"/>
        </w:rPr>
        <w:t xml:space="preserve"> de la República, a las autoridades territoriales allí mencionadas sólo se aplican las restricciones contenidas en el parágrafo del artículo 38.</w:t>
      </w:r>
      <w:r w:rsidRPr="00EF0380">
        <w:rPr>
          <w:rFonts w:ascii="Arial" w:eastAsia="Arial" w:hAnsi="Arial" w:cs="Arial"/>
          <w:sz w:val="21"/>
          <w:szCs w:val="21"/>
          <w:vertAlign w:val="superscript"/>
        </w:rPr>
        <w:footnoteReference w:id="9"/>
      </w:r>
    </w:p>
    <w:p w14:paraId="5E8DD530" w14:textId="77777777" w:rsidR="00EC3CA7" w:rsidRPr="00EF0380" w:rsidRDefault="00EC3CA7" w:rsidP="004821CF">
      <w:pPr>
        <w:widowControl w:val="0"/>
        <w:spacing w:before="8" w:after="0"/>
        <w:jc w:val="left"/>
        <w:rPr>
          <w:rFonts w:ascii="Arial" w:eastAsia="Arial" w:hAnsi="Arial" w:cs="Arial"/>
          <w:sz w:val="22"/>
          <w:szCs w:val="22"/>
        </w:rPr>
      </w:pPr>
    </w:p>
    <w:p w14:paraId="023882AF" w14:textId="1D944A98" w:rsidR="00EC3CA7" w:rsidRPr="00EF0380" w:rsidRDefault="00AF30F5" w:rsidP="004821CF">
      <w:pPr>
        <w:spacing w:after="120"/>
        <w:ind w:firstLine="709"/>
        <w:rPr>
          <w:rFonts w:ascii="Arial" w:eastAsia="Arial" w:hAnsi="Arial" w:cs="Arial"/>
          <w:sz w:val="22"/>
          <w:szCs w:val="22"/>
        </w:rPr>
      </w:pPr>
      <w:bookmarkStart w:id="14" w:name="_1ksv4uv" w:colFirst="0" w:colLast="0"/>
      <w:bookmarkEnd w:id="14"/>
      <w:r w:rsidRPr="00EF0380">
        <w:rPr>
          <w:rFonts w:ascii="Arial" w:eastAsia="Arial" w:hAnsi="Arial" w:cs="Arial"/>
          <w:sz w:val="22"/>
          <w:szCs w:val="22"/>
        </w:rPr>
        <w:t xml:space="preserve">De conformidad con lo anterior, la Ley 996 de 2005 establece dos (2) tipos de restricciones en materia de contratación, las cuales coinciden parcialmente. </w:t>
      </w:r>
      <w:r w:rsidRPr="00EF0380">
        <w:rPr>
          <w:rFonts w:ascii="Arial" w:eastAsia="Arial" w:hAnsi="Arial" w:cs="Arial"/>
          <w:i/>
          <w:sz w:val="22"/>
          <w:szCs w:val="22"/>
        </w:rPr>
        <w:t>En primer lugar</w:t>
      </w:r>
      <w:r w:rsidRPr="00EF0380">
        <w:rPr>
          <w:rFonts w:ascii="Arial" w:eastAsia="Arial" w:hAnsi="Arial" w:cs="Arial"/>
          <w:sz w:val="22"/>
          <w:szCs w:val="22"/>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EF0380">
        <w:rPr>
          <w:rFonts w:ascii="Arial" w:eastAsia="Arial" w:hAnsi="Arial" w:cs="Arial"/>
          <w:i/>
          <w:sz w:val="22"/>
          <w:szCs w:val="22"/>
        </w:rPr>
        <w:t>En segundo lugar</w:t>
      </w:r>
      <w:r w:rsidRPr="00EF0380">
        <w:rPr>
          <w:rFonts w:ascii="Arial" w:eastAsia="Arial" w:hAnsi="Arial" w:cs="Arial"/>
          <w:sz w:val="22"/>
          <w:szCs w:val="22"/>
        </w:rPr>
        <w:t xml:space="preserve">, también se encuentra la prohibición del parágrafo del artículo 38, el cual debe aplicarse respecto de cualquier tipo de contienda electoral, y que prohíbe la celebración de convenios </w:t>
      </w:r>
      <w:r w:rsidRPr="00EF0380">
        <w:rPr>
          <w:rFonts w:ascii="Arial" w:eastAsia="Arial" w:hAnsi="Arial" w:cs="Arial"/>
          <w:sz w:val="22"/>
          <w:szCs w:val="22"/>
        </w:rPr>
        <w:lastRenderedPageBreak/>
        <w:t>interadministrativos que impliquen la ejecución de recursos públicos dentro de los cuatro (4) meses anteriores a la respectiva jornada de votaciones.</w:t>
      </w:r>
    </w:p>
    <w:p w14:paraId="4CFA2ACC" w14:textId="77777777" w:rsidR="00EC3CA7" w:rsidRPr="00EF0380" w:rsidRDefault="00AF30F5" w:rsidP="004821CF">
      <w:pPr>
        <w:spacing w:after="120"/>
        <w:ind w:firstLine="709"/>
        <w:rPr>
          <w:rFonts w:ascii="Arial" w:eastAsia="Arial" w:hAnsi="Arial" w:cs="Arial"/>
          <w:sz w:val="22"/>
          <w:szCs w:val="22"/>
        </w:rPr>
      </w:pPr>
      <w:r w:rsidRPr="00EF0380">
        <w:rPr>
          <w:rFonts w:ascii="Arial" w:eastAsia="Arial" w:hAnsi="Arial" w:cs="Arial"/>
          <w:sz w:val="22"/>
          <w:szCs w:val="22"/>
        </w:rPr>
        <w:t xml:space="preserve">Ambas restricciones no son excluyentes, lo que permite concluir que en el período preelectoral para elección de </w:t>
      </w:r>
      <w:proofErr w:type="gramStart"/>
      <w:r w:rsidRPr="00EF0380">
        <w:rPr>
          <w:rFonts w:ascii="Arial" w:eastAsia="Arial" w:hAnsi="Arial" w:cs="Arial"/>
          <w:sz w:val="22"/>
          <w:szCs w:val="22"/>
        </w:rPr>
        <w:t>Presidente</w:t>
      </w:r>
      <w:proofErr w:type="gramEnd"/>
      <w:r w:rsidRPr="00EF0380">
        <w:rPr>
          <w:rFonts w:ascii="Arial" w:eastAsia="Arial" w:hAnsi="Arial" w:cs="Arial"/>
          <w:sz w:val="22"/>
          <w:szCs w:val="22"/>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EF0380">
        <w:rPr>
          <w:rFonts w:ascii="Arial" w:eastAsia="Arial" w:hAnsi="Arial" w:cs="Arial"/>
          <w:sz w:val="22"/>
          <w:szCs w:val="22"/>
        </w:rPr>
        <w:t>Presidente</w:t>
      </w:r>
      <w:proofErr w:type="gramEnd"/>
      <w:r w:rsidRPr="00EF0380">
        <w:rPr>
          <w:rFonts w:ascii="Arial" w:eastAsia="Arial" w:hAnsi="Arial" w:cs="Arial"/>
          <w:sz w:val="22"/>
          <w:szCs w:val="22"/>
        </w:rPr>
        <w:t xml:space="preserve"> de la República, las autoridades allí mencionadas sólo deben aplicar las restricciones contenidas en el parágrafo del artículo 38.</w:t>
      </w:r>
    </w:p>
    <w:p w14:paraId="3448A8EE" w14:textId="77777777" w:rsidR="00EC3CA7" w:rsidRPr="00EF0380" w:rsidRDefault="00AF30F5" w:rsidP="004821CF">
      <w:pPr>
        <w:spacing w:after="0"/>
        <w:ind w:firstLine="708"/>
        <w:rPr>
          <w:rFonts w:ascii="Arial" w:eastAsia="Arial" w:hAnsi="Arial" w:cs="Arial"/>
          <w:sz w:val="22"/>
          <w:szCs w:val="22"/>
        </w:rPr>
      </w:pPr>
      <w:r w:rsidRPr="00EF0380">
        <w:rPr>
          <w:rFonts w:ascii="Arial" w:eastAsia="Arial" w:hAnsi="Arial" w:cs="Arial"/>
          <w:sz w:val="22"/>
          <w:szCs w:val="22"/>
        </w:rPr>
        <w:t xml:space="preserve">La Corte Constitucional, en la Sentencia C-1153 del 11 de noviembre de 2005, señaló que, para que la garantía sea plena, era necesario que la prohibición se aplicara para el </w:t>
      </w:r>
      <w:proofErr w:type="gramStart"/>
      <w:r w:rsidRPr="00EF0380">
        <w:rPr>
          <w:rFonts w:ascii="Arial" w:eastAsia="Arial" w:hAnsi="Arial" w:cs="Arial"/>
          <w:sz w:val="22"/>
          <w:szCs w:val="22"/>
        </w:rPr>
        <w:t>Presidente</w:t>
      </w:r>
      <w:proofErr w:type="gramEnd"/>
      <w:r w:rsidRPr="00EF0380">
        <w:rPr>
          <w:rFonts w:ascii="Arial" w:eastAsia="Arial" w:hAnsi="Arial" w:cs="Arial"/>
          <w:sz w:val="22"/>
          <w:szCs w:val="22"/>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6285949D" w14:textId="77777777" w:rsidR="00EC3CA7" w:rsidRPr="00EF0380" w:rsidRDefault="00EC3CA7" w:rsidP="004821CF">
      <w:pPr>
        <w:spacing w:after="0"/>
        <w:rPr>
          <w:rFonts w:ascii="Arial" w:eastAsia="Arial" w:hAnsi="Arial" w:cs="Arial"/>
          <w:sz w:val="22"/>
          <w:szCs w:val="22"/>
        </w:rPr>
      </w:pPr>
    </w:p>
    <w:p w14:paraId="39A3494A" w14:textId="77777777" w:rsidR="00EC3CA7" w:rsidRPr="00EF0380" w:rsidRDefault="00AF30F5" w:rsidP="004821CF">
      <w:pPr>
        <w:spacing w:after="0"/>
        <w:rPr>
          <w:rFonts w:ascii="Arial" w:eastAsia="Arial" w:hAnsi="Arial" w:cs="Arial"/>
          <w:b/>
          <w:sz w:val="22"/>
          <w:szCs w:val="22"/>
        </w:rPr>
      </w:pPr>
      <w:r w:rsidRPr="00EF0380">
        <w:rPr>
          <w:rFonts w:ascii="Arial" w:eastAsia="Arial" w:hAnsi="Arial" w:cs="Arial"/>
          <w:b/>
          <w:sz w:val="22"/>
          <w:szCs w:val="22"/>
        </w:rPr>
        <w:t xml:space="preserve">2.2. Restricciones en elecciones presidenciales </w:t>
      </w:r>
    </w:p>
    <w:p w14:paraId="483F7832" w14:textId="77777777" w:rsidR="00EC3CA7" w:rsidRPr="00EF0380" w:rsidRDefault="00EC3CA7" w:rsidP="004821CF">
      <w:pPr>
        <w:spacing w:after="0"/>
        <w:rPr>
          <w:rFonts w:ascii="Arial" w:eastAsia="Arial" w:hAnsi="Arial" w:cs="Arial"/>
          <w:sz w:val="22"/>
          <w:szCs w:val="22"/>
        </w:rPr>
      </w:pPr>
    </w:p>
    <w:p w14:paraId="45F2E79C" w14:textId="77777777" w:rsidR="00EC3CA7" w:rsidRPr="00EF0380" w:rsidRDefault="00AF30F5" w:rsidP="004821CF">
      <w:pPr>
        <w:spacing w:after="0"/>
        <w:rPr>
          <w:rFonts w:ascii="Arial" w:eastAsia="Arial" w:hAnsi="Arial" w:cs="Arial"/>
          <w:sz w:val="22"/>
          <w:szCs w:val="22"/>
        </w:rPr>
      </w:pPr>
      <w:bookmarkStart w:id="15" w:name="_44sinio" w:colFirst="0" w:colLast="0"/>
      <w:bookmarkEnd w:id="15"/>
      <w:r w:rsidRPr="00EF0380">
        <w:rPr>
          <w:rFonts w:ascii="Arial" w:eastAsia="Arial" w:hAnsi="Arial" w:cs="Arial"/>
          <w:sz w:val="22"/>
          <w:szCs w:val="22"/>
        </w:rPr>
        <w:t xml:space="preserve">El ámbito material de la prohibición contenida en el artículo 33 de la ley 996 de 2005 está delimitado por la expresión </w:t>
      </w:r>
      <w:r w:rsidRPr="00EF0380">
        <w:rPr>
          <w:rFonts w:ascii="Arial" w:eastAsia="Arial" w:hAnsi="Arial" w:cs="Arial"/>
          <w:sz w:val="20"/>
          <w:szCs w:val="20"/>
        </w:rPr>
        <w:t>«</w:t>
      </w:r>
      <w:r w:rsidRPr="00EF0380">
        <w:rPr>
          <w:rFonts w:ascii="Arial" w:eastAsia="Arial" w:hAnsi="Arial" w:cs="Arial"/>
          <w:sz w:val="22"/>
          <w:szCs w:val="22"/>
        </w:rPr>
        <w:t>queda prohibida la contratación directa</w:t>
      </w:r>
      <w:r w:rsidRPr="00EF0380">
        <w:rPr>
          <w:rFonts w:ascii="Arial" w:eastAsia="Arial" w:hAnsi="Arial" w:cs="Arial"/>
          <w:sz w:val="20"/>
          <w:szCs w:val="20"/>
        </w:rPr>
        <w:t>»</w:t>
      </w:r>
      <w:r w:rsidRPr="00EF0380">
        <w:rPr>
          <w:rFonts w:ascii="Arial" w:eastAsia="Arial" w:hAnsi="Arial" w:cs="Arial"/>
          <w:sz w:val="22"/>
          <w:szCs w:val="22"/>
        </w:rPr>
        <w:t>.  A propósito de esta restricción de la Ley de Garantías Electorales, la Sala de Consulta y Servicio Civil del Consejo de Estado ha considerado que:</w:t>
      </w:r>
    </w:p>
    <w:p w14:paraId="12AC3686" w14:textId="77777777" w:rsidR="00EC3CA7" w:rsidRPr="00EF0380" w:rsidRDefault="00EC3CA7" w:rsidP="004821CF">
      <w:pPr>
        <w:spacing w:after="0"/>
        <w:ind w:left="708" w:right="709"/>
        <w:rPr>
          <w:rFonts w:ascii="Arial" w:eastAsia="Arial" w:hAnsi="Arial" w:cs="Arial"/>
          <w:sz w:val="21"/>
          <w:szCs w:val="21"/>
        </w:rPr>
      </w:pPr>
    </w:p>
    <w:p w14:paraId="73B466E7" w14:textId="77777777" w:rsidR="00EC3CA7" w:rsidRPr="00EF0380" w:rsidRDefault="00AF30F5" w:rsidP="004821CF">
      <w:pPr>
        <w:spacing w:after="120"/>
        <w:ind w:left="709" w:right="709"/>
      </w:pPr>
      <w:r w:rsidRPr="00EF0380">
        <w:rPr>
          <w:rFonts w:ascii="Arial" w:eastAsia="Arial" w:hAnsi="Arial" w:cs="Arial"/>
          <w:sz w:val="21"/>
          <w:szCs w:val="21"/>
        </w:rPr>
        <w:t xml:space="preserve">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w:t>
      </w:r>
      <w:r w:rsidRPr="00EF0380">
        <w:rPr>
          <w:rFonts w:ascii="Arial" w:eastAsia="Arial" w:hAnsi="Arial" w:cs="Arial"/>
          <w:sz w:val="21"/>
          <w:szCs w:val="21"/>
        </w:rPr>
        <w:lastRenderedPageBreak/>
        <w:t>artículo 2, ley 1150 de 2007), y cumpliendo siempre los principios que rigen la contratación pública</w:t>
      </w:r>
      <w:r w:rsidRPr="00EF0380">
        <w:rPr>
          <w:rFonts w:ascii="Arial" w:eastAsia="Arial" w:hAnsi="Arial" w:cs="Arial"/>
          <w:sz w:val="22"/>
          <w:szCs w:val="22"/>
          <w:vertAlign w:val="superscript"/>
        </w:rPr>
        <w:footnoteReference w:id="10"/>
      </w:r>
      <w:r w:rsidRPr="00EF0380">
        <w:rPr>
          <w:rFonts w:ascii="Arial" w:eastAsia="Arial" w:hAnsi="Arial" w:cs="Arial"/>
          <w:sz w:val="21"/>
          <w:szCs w:val="21"/>
        </w:rPr>
        <w:t>.</w:t>
      </w:r>
    </w:p>
    <w:p w14:paraId="6ADC9CE8" w14:textId="77777777" w:rsidR="00EC3CA7" w:rsidRPr="00EF0380" w:rsidRDefault="00AF30F5" w:rsidP="004821CF">
      <w:pPr>
        <w:spacing w:after="0"/>
        <w:ind w:left="708" w:right="709"/>
      </w:pPr>
      <w:bookmarkStart w:id="16" w:name="_2jxsxqh" w:colFirst="0" w:colLast="0"/>
      <w:bookmarkEnd w:id="16"/>
      <w:r w:rsidRPr="00EF0380">
        <w:rPr>
          <w:rFonts w:ascii="Arial" w:eastAsia="Arial" w:hAnsi="Arial" w:cs="Arial"/>
          <w:sz w:val="21"/>
          <w:szCs w:val="21"/>
        </w:rPr>
        <w:t xml:space="preserve">Esta Sala ha entendido </w:t>
      </w:r>
      <w:proofErr w:type="gramStart"/>
      <w:r w:rsidRPr="00EF0380">
        <w:rPr>
          <w:rFonts w:ascii="Arial" w:eastAsia="Arial" w:hAnsi="Arial" w:cs="Arial"/>
          <w:sz w:val="21"/>
          <w:szCs w:val="21"/>
        </w:rPr>
        <w:t>que</w:t>
      </w:r>
      <w:proofErr w:type="gramEnd"/>
      <w:r w:rsidRPr="00EF0380">
        <w:rPr>
          <w:rFonts w:ascii="Arial" w:eastAsia="Arial" w:hAnsi="Arial" w:cs="Arial"/>
          <w:sz w:val="21"/>
          <w:szCs w:val="21"/>
        </w:rPr>
        <w:t xml:space="preserv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EF0380">
        <w:rPr>
          <w:rFonts w:ascii="Arial" w:eastAsia="Arial" w:hAnsi="Arial" w:cs="Arial"/>
          <w:sz w:val="21"/>
          <w:szCs w:val="21"/>
          <w:vertAlign w:val="superscript"/>
        </w:rPr>
        <w:footnoteReference w:id="11"/>
      </w:r>
      <w:r w:rsidRPr="00EF0380">
        <w:rPr>
          <w:rFonts w:ascii="Arial" w:eastAsia="Arial" w:hAnsi="Arial" w:cs="Arial"/>
          <w:sz w:val="21"/>
          <w:szCs w:val="21"/>
          <w:vertAlign w:val="superscript"/>
        </w:rPr>
        <w:t>.</w:t>
      </w:r>
      <w:r w:rsidRPr="00EF0380">
        <w:rPr>
          <w:rFonts w:ascii="Arial" w:eastAsia="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EF0380">
        <w:rPr>
          <w:rFonts w:ascii="Arial" w:eastAsia="Arial" w:hAnsi="Arial" w:cs="Arial"/>
          <w:sz w:val="22"/>
          <w:szCs w:val="22"/>
          <w:vertAlign w:val="superscript"/>
        </w:rPr>
        <w:footnoteReference w:id="12"/>
      </w:r>
      <w:r w:rsidRPr="00EF0380">
        <w:rPr>
          <w:rFonts w:ascii="Arial" w:eastAsia="Arial" w:hAnsi="Arial" w:cs="Arial"/>
          <w:sz w:val="21"/>
          <w:szCs w:val="21"/>
        </w:rPr>
        <w:t xml:space="preserve"> .</w:t>
      </w:r>
    </w:p>
    <w:p w14:paraId="2C7C6D30" w14:textId="77777777" w:rsidR="00EC3CA7" w:rsidRPr="00EF0380" w:rsidRDefault="00EC3CA7" w:rsidP="004821CF">
      <w:pPr>
        <w:shd w:val="clear" w:color="auto" w:fill="FFFFFF"/>
        <w:spacing w:after="0"/>
        <w:ind w:firstLine="709"/>
        <w:rPr>
          <w:rFonts w:ascii="Arial" w:eastAsia="Arial" w:hAnsi="Arial" w:cs="Arial"/>
          <w:sz w:val="22"/>
          <w:szCs w:val="22"/>
        </w:rPr>
      </w:pPr>
    </w:p>
    <w:p w14:paraId="3C759C7C" w14:textId="77777777" w:rsidR="00EC3CA7" w:rsidRPr="00EF0380" w:rsidRDefault="00AF30F5" w:rsidP="004821CF">
      <w:pPr>
        <w:spacing w:after="120"/>
        <w:ind w:firstLine="708"/>
        <w:rPr>
          <w:rFonts w:ascii="Arial" w:eastAsia="Arial" w:hAnsi="Arial" w:cs="Arial"/>
          <w:sz w:val="22"/>
          <w:szCs w:val="22"/>
        </w:rPr>
      </w:pPr>
      <w:bookmarkStart w:id="17" w:name="_z337ya" w:colFirst="0" w:colLast="0"/>
      <w:bookmarkEnd w:id="17"/>
      <w:r w:rsidRPr="00EF0380">
        <w:rPr>
          <w:rFonts w:ascii="Arial" w:eastAsia="Arial" w:hAnsi="Arial" w:cs="Arial"/>
          <w:sz w:val="22"/>
          <w:szCs w:val="22"/>
        </w:rPr>
        <w:t xml:space="preserve">De conformidad con el citado concepto, la prohibición del artículo 33 de la Ley de Garantías Electorales se refiere a </w:t>
      </w:r>
      <w:r w:rsidRPr="00EF0380">
        <w:rPr>
          <w:rFonts w:ascii="Arial" w:eastAsia="Arial" w:hAnsi="Arial" w:cs="Arial"/>
          <w:sz w:val="19"/>
          <w:szCs w:val="19"/>
        </w:rPr>
        <w:t>«</w:t>
      </w:r>
      <w:r w:rsidRPr="00EF0380">
        <w:rPr>
          <w:rFonts w:ascii="Arial" w:eastAsia="Arial" w:hAnsi="Arial" w:cs="Arial"/>
          <w:sz w:val="22"/>
          <w:szCs w:val="22"/>
        </w:rPr>
        <w:t>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que, entre otras reformas, introdujo la selección abreviada, rediseñó el concurso de méritos</w:t>
      </w:r>
      <w:r w:rsidRPr="00EF0380">
        <w:rPr>
          <w:rFonts w:ascii="Arial" w:eastAsia="Arial" w:hAnsi="Arial" w:cs="Arial"/>
          <w:sz w:val="22"/>
          <w:szCs w:val="22"/>
          <w:vertAlign w:val="superscript"/>
        </w:rPr>
        <w:footnoteReference w:id="13"/>
      </w:r>
      <w:r w:rsidRPr="00EF0380">
        <w:rPr>
          <w:rFonts w:ascii="Arial" w:eastAsia="Arial" w:hAnsi="Arial" w:cs="Arial"/>
          <w:sz w:val="22"/>
          <w:szCs w:val="22"/>
        </w:rPr>
        <w:t xml:space="preserve"> y sistematizó las causales de contratación directa</w:t>
      </w:r>
      <w:r w:rsidRPr="00EF0380">
        <w:rPr>
          <w:rFonts w:ascii="Arial" w:eastAsia="Arial" w:hAnsi="Arial" w:cs="Arial"/>
          <w:sz w:val="22"/>
          <w:szCs w:val="22"/>
          <w:vertAlign w:val="superscript"/>
        </w:rPr>
        <w:footnoteReference w:id="14"/>
      </w:r>
      <w:r w:rsidRPr="00EF0380">
        <w:rPr>
          <w:rFonts w:ascii="Arial" w:eastAsia="Arial" w:hAnsi="Arial" w:cs="Arial"/>
          <w:sz w:val="22"/>
          <w:szCs w:val="22"/>
        </w:rPr>
        <w:t xml:space="preserve">. </w:t>
      </w:r>
    </w:p>
    <w:p w14:paraId="070116EB" w14:textId="77777777" w:rsidR="00EC3CA7" w:rsidRPr="00EF0380" w:rsidRDefault="00AF30F5" w:rsidP="004821CF">
      <w:pPr>
        <w:spacing w:after="120"/>
        <w:ind w:firstLine="708"/>
        <w:rPr>
          <w:rFonts w:ascii="Arial" w:eastAsia="Arial" w:hAnsi="Arial" w:cs="Arial"/>
          <w:sz w:val="22"/>
          <w:szCs w:val="22"/>
        </w:rPr>
      </w:pPr>
      <w:r w:rsidRPr="00EF0380">
        <w:rPr>
          <w:rFonts w:ascii="Arial" w:eastAsia="Arial" w:hAnsi="Arial" w:cs="Arial"/>
          <w:sz w:val="22"/>
          <w:szCs w:val="22"/>
        </w:rPr>
        <w:t xml:space="preserve">De esta forma, con fundamento en la evolución de la normativa sobre la contratación pública, se ha depurado la noción de </w:t>
      </w:r>
      <w:r w:rsidRPr="00EF0380">
        <w:rPr>
          <w:rFonts w:ascii="Arial" w:eastAsia="Arial" w:hAnsi="Arial" w:cs="Arial"/>
          <w:sz w:val="19"/>
          <w:szCs w:val="19"/>
        </w:rPr>
        <w:t>«</w:t>
      </w:r>
      <w:r w:rsidRPr="00EF0380">
        <w:rPr>
          <w:rFonts w:ascii="Arial" w:eastAsia="Arial" w:hAnsi="Arial" w:cs="Arial"/>
          <w:sz w:val="22"/>
          <w:szCs w:val="22"/>
        </w:rPr>
        <w:t xml:space="preserve">contratación directa», precisando el Consejo de Estado –en el concepto citado– que, «aun cuando no coincide única y </w:t>
      </w:r>
      <w:r w:rsidRPr="00EF0380">
        <w:rPr>
          <w:rFonts w:ascii="Arial" w:eastAsia="Arial" w:hAnsi="Arial" w:cs="Arial"/>
          <w:sz w:val="22"/>
          <w:szCs w:val="22"/>
        </w:rPr>
        <w:lastRenderedPageBreak/>
        <w:t>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EF0380">
        <w:rPr>
          <w:rFonts w:ascii="Arial" w:eastAsia="Arial" w:hAnsi="Arial" w:cs="Arial"/>
          <w:sz w:val="22"/>
          <w:szCs w:val="22"/>
          <w:vertAlign w:val="superscript"/>
        </w:rPr>
        <w:footnoteReference w:id="15"/>
      </w:r>
      <w:r w:rsidRPr="00EF0380">
        <w:rPr>
          <w:rFonts w:ascii="Arial" w:eastAsia="Arial" w:hAnsi="Arial" w:cs="Arial"/>
          <w:sz w:val="22"/>
          <w:szCs w:val="22"/>
        </w:rPr>
        <w:t xml:space="preserve">, han establecido sistemas de contratación que implican convocatoria pública y participación de varios oferentes». </w:t>
      </w:r>
    </w:p>
    <w:p w14:paraId="4FD8EEFE" w14:textId="77777777" w:rsidR="00EC3CA7" w:rsidRPr="00EF0380" w:rsidRDefault="00AF30F5" w:rsidP="004821CF">
      <w:pPr>
        <w:spacing w:after="120"/>
        <w:ind w:firstLine="708"/>
        <w:rPr>
          <w:rFonts w:ascii="Arial" w:eastAsia="Arial" w:hAnsi="Arial" w:cs="Arial"/>
          <w:sz w:val="22"/>
          <w:szCs w:val="22"/>
        </w:rPr>
      </w:pPr>
      <w:bookmarkStart w:id="20" w:name="_3j2qqm3" w:colFirst="0" w:colLast="0"/>
      <w:bookmarkEnd w:id="20"/>
      <w:r w:rsidRPr="00EF0380">
        <w:rPr>
          <w:rFonts w:ascii="Arial" w:eastAsia="Arial" w:hAnsi="Arial" w:cs="Arial"/>
          <w:sz w:val="22"/>
          <w:szCs w:val="22"/>
        </w:rPr>
        <w:t>En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EF0380">
        <w:rPr>
          <w:rFonts w:ascii="Arial" w:eastAsia="Arial" w:hAnsi="Arial" w:cs="Arial"/>
          <w:sz w:val="22"/>
          <w:szCs w:val="22"/>
          <w:vertAlign w:val="superscript"/>
        </w:rPr>
        <w:footnoteReference w:id="16"/>
      </w:r>
      <w:r w:rsidRPr="00EF0380">
        <w:rPr>
          <w:rFonts w:ascii="Arial" w:eastAsia="Arial" w:hAnsi="Arial" w:cs="Arial"/>
          <w:sz w:val="22"/>
          <w:szCs w:val="22"/>
        </w:rPr>
        <w:t xml:space="preserve">. </w:t>
      </w:r>
    </w:p>
    <w:p w14:paraId="505553E6" w14:textId="77777777" w:rsidR="00EC3CA7" w:rsidRPr="00EF0380" w:rsidRDefault="00AF30F5" w:rsidP="004821CF">
      <w:pPr>
        <w:spacing w:after="120"/>
        <w:ind w:firstLine="708"/>
        <w:rPr>
          <w:rFonts w:ascii="Arial" w:eastAsia="Arial" w:hAnsi="Arial" w:cs="Arial"/>
          <w:sz w:val="22"/>
          <w:szCs w:val="22"/>
        </w:rPr>
      </w:pPr>
      <w:r w:rsidRPr="00EF0380">
        <w:rPr>
          <w:rFonts w:ascii="Arial" w:eastAsia="Arial" w:hAnsi="Arial" w:cs="Arial"/>
          <w:sz w:val="22"/>
          <w:szCs w:val="22"/>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74807F49" w14:textId="77777777" w:rsidR="00EC3CA7" w:rsidRPr="00EF0380" w:rsidRDefault="00AF30F5" w:rsidP="004821CF">
      <w:pPr>
        <w:spacing w:after="120"/>
        <w:ind w:firstLine="708"/>
        <w:rPr>
          <w:rFonts w:ascii="Arial" w:eastAsia="Arial" w:hAnsi="Arial" w:cs="Arial"/>
          <w:sz w:val="22"/>
          <w:szCs w:val="22"/>
        </w:rPr>
      </w:pPr>
      <w:bookmarkStart w:id="21" w:name="_1y810tw" w:colFirst="0" w:colLast="0"/>
      <w:bookmarkEnd w:id="21"/>
      <w:r w:rsidRPr="00EF0380">
        <w:rPr>
          <w:rFonts w:ascii="Arial" w:eastAsia="Arial" w:hAnsi="Arial" w:cs="Arial"/>
          <w:sz w:val="22"/>
          <w:szCs w:val="22"/>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w:t>
      </w:r>
      <w:r w:rsidRPr="00EF0380">
        <w:rPr>
          <w:rFonts w:ascii="Arial" w:eastAsia="Arial" w:hAnsi="Arial" w:cs="Arial"/>
          <w:sz w:val="22"/>
          <w:szCs w:val="22"/>
        </w:rPr>
        <w:lastRenderedPageBreak/>
        <w:t>pública en alguna de sus etapas, ni permita la participación de una pluralidad de oferentes</w:t>
      </w:r>
      <w:r w:rsidRPr="00EF0380">
        <w:rPr>
          <w:rFonts w:ascii="Arial" w:eastAsia="Arial" w:hAnsi="Arial" w:cs="Arial"/>
          <w:sz w:val="22"/>
          <w:szCs w:val="22"/>
          <w:vertAlign w:val="superscript"/>
        </w:rPr>
        <w:footnoteReference w:id="17"/>
      </w:r>
      <w:r w:rsidRPr="00EF0380">
        <w:rPr>
          <w:rFonts w:ascii="Arial" w:eastAsia="Arial" w:hAnsi="Arial" w:cs="Arial"/>
          <w:sz w:val="22"/>
          <w:szCs w:val="22"/>
        </w:rPr>
        <w:t>.</w:t>
      </w:r>
      <w:r w:rsidRPr="00EF0380">
        <w:rPr>
          <w:rFonts w:ascii="Arial" w:eastAsia="Arial" w:hAnsi="Arial" w:cs="Arial"/>
          <w:sz w:val="22"/>
          <w:szCs w:val="22"/>
          <w:vertAlign w:val="superscript"/>
        </w:rPr>
        <w:t xml:space="preserve"> </w:t>
      </w:r>
    </w:p>
    <w:p w14:paraId="00A00078" w14:textId="77777777" w:rsidR="00EC3CA7" w:rsidRPr="00EF0380" w:rsidRDefault="00AF30F5" w:rsidP="004821CF">
      <w:pPr>
        <w:spacing w:after="120"/>
        <w:ind w:firstLine="708"/>
        <w:rPr>
          <w:rFonts w:ascii="Arial" w:eastAsia="Arial" w:hAnsi="Arial" w:cs="Arial"/>
          <w:sz w:val="22"/>
          <w:szCs w:val="22"/>
        </w:rPr>
      </w:pPr>
      <w:r w:rsidRPr="00EF0380">
        <w:rPr>
          <w:rFonts w:ascii="Arial" w:eastAsia="Arial" w:hAnsi="Arial" w:cs="Arial"/>
          <w:sz w:val="22"/>
          <w:szCs w:val="22"/>
        </w:rPr>
        <w:t>De lo anterior se desprende que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107809F6" w14:textId="44C03918" w:rsidR="00AB38FE" w:rsidRPr="00EF0380" w:rsidRDefault="00AF30F5" w:rsidP="004821CF">
      <w:pPr>
        <w:spacing w:after="120"/>
        <w:ind w:firstLine="708"/>
        <w:rPr>
          <w:rFonts w:ascii="Arial" w:eastAsia="Arial" w:hAnsi="Arial" w:cs="Arial"/>
          <w:sz w:val="22"/>
          <w:szCs w:val="22"/>
        </w:rPr>
      </w:pPr>
      <w:bookmarkStart w:id="22" w:name="_4i7ojhp" w:colFirst="0" w:colLast="0"/>
      <w:bookmarkEnd w:id="22"/>
      <w:r w:rsidRPr="00EF0380">
        <w:rPr>
          <w:rFonts w:ascii="Arial" w:eastAsia="Arial" w:hAnsi="Arial" w:cs="Arial"/>
          <w:sz w:val="22"/>
          <w:szCs w:val="22"/>
        </w:rPr>
        <w:t xml:space="preserve">Como en otras oportunidades lo ha manifestado esta Agencia, las prórrogas, modificaciones o adiciones de los contratos suscritos antes de la </w:t>
      </w:r>
      <w:proofErr w:type="gramStart"/>
      <w:r w:rsidRPr="00EF0380">
        <w:rPr>
          <w:rFonts w:ascii="Arial" w:eastAsia="Arial" w:hAnsi="Arial" w:cs="Arial"/>
          <w:sz w:val="22"/>
          <w:szCs w:val="22"/>
        </w:rPr>
        <w:t>entrada en vigencia</w:t>
      </w:r>
      <w:proofErr w:type="gramEnd"/>
      <w:r w:rsidRPr="00EF0380">
        <w:rPr>
          <w:rFonts w:ascii="Arial" w:eastAsia="Arial" w:hAnsi="Arial" w:cs="Arial"/>
          <w:sz w:val="22"/>
          <w:szCs w:val="22"/>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p>
    <w:p w14:paraId="21700FF9" w14:textId="1DCC0FFF" w:rsidR="00EC3CA7" w:rsidRPr="00EF0380" w:rsidRDefault="00AF30F5" w:rsidP="004821CF">
      <w:pPr>
        <w:spacing w:after="120"/>
        <w:ind w:firstLine="708"/>
        <w:rPr>
          <w:rFonts w:ascii="Arial" w:eastAsia="Arial" w:hAnsi="Arial" w:cs="Arial"/>
          <w:sz w:val="22"/>
          <w:szCs w:val="22"/>
        </w:rPr>
      </w:pPr>
      <w:r w:rsidRPr="00EF0380">
        <w:rPr>
          <w:rFonts w:ascii="Arial" w:eastAsia="Arial" w:hAnsi="Arial" w:cs="Arial"/>
          <w:sz w:val="22"/>
          <w:szCs w:val="22"/>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EF0380">
        <w:rPr>
          <w:rFonts w:ascii="Arial" w:eastAsia="Arial" w:hAnsi="Arial" w:cs="Arial"/>
          <w:sz w:val="22"/>
          <w:szCs w:val="22"/>
        </w:rPr>
        <w:t>ii</w:t>
      </w:r>
      <w:proofErr w:type="spellEnd"/>
      <w:r w:rsidRPr="00EF0380">
        <w:rPr>
          <w:rFonts w:ascii="Arial" w:eastAsia="Arial" w:hAnsi="Arial" w:cs="Arial"/>
          <w:sz w:val="22"/>
          <w:szCs w:val="22"/>
        </w:rPr>
        <w:t xml:space="preserve">) los contratos de crédito público; </w:t>
      </w:r>
      <w:proofErr w:type="spellStart"/>
      <w:r w:rsidRPr="00EF0380">
        <w:rPr>
          <w:rFonts w:ascii="Arial" w:eastAsia="Arial" w:hAnsi="Arial" w:cs="Arial"/>
          <w:sz w:val="22"/>
          <w:szCs w:val="22"/>
        </w:rPr>
        <w:t>iii</w:t>
      </w:r>
      <w:proofErr w:type="spellEnd"/>
      <w:r w:rsidRPr="00EF0380">
        <w:rPr>
          <w:rFonts w:ascii="Arial" w:eastAsia="Arial" w:hAnsi="Arial" w:cs="Arial"/>
          <w:sz w:val="22"/>
          <w:szCs w:val="22"/>
        </w:rPr>
        <w:t xml:space="preserve">) los requeridos para cubrir las emergencias educativas, sanitarias y desastres; </w:t>
      </w:r>
      <w:proofErr w:type="spellStart"/>
      <w:r w:rsidRPr="00EF0380">
        <w:rPr>
          <w:rFonts w:ascii="Arial" w:eastAsia="Arial" w:hAnsi="Arial" w:cs="Arial"/>
          <w:sz w:val="22"/>
          <w:szCs w:val="22"/>
        </w:rPr>
        <w:t>iv</w:t>
      </w:r>
      <w:proofErr w:type="spellEnd"/>
      <w:r w:rsidRPr="00EF0380">
        <w:rPr>
          <w:rFonts w:ascii="Arial" w:eastAsia="Arial" w:hAnsi="Arial" w:cs="Arial"/>
          <w:sz w:val="22"/>
          <w:szCs w:val="22"/>
        </w:rPr>
        <w:t>) los utilizados para la reconstrucción de vías, puentes, carreteras, infraestructura energética y de comunicaciones, en caso de que hayan sido objeto de atentados, acciones terroristas, desastres naturales o casos de fuerza mayor; y, v</w:t>
      </w:r>
      <w:r w:rsidRPr="00EF0380">
        <w:rPr>
          <w:rFonts w:ascii="Arial" w:eastAsia="Arial" w:hAnsi="Arial" w:cs="Arial"/>
          <w:sz w:val="22"/>
          <w:szCs w:val="22"/>
          <w:u w:val="single"/>
        </w:rPr>
        <w:t>) los que deban realizar las entidades sanitarias y hospitalarias.</w:t>
      </w:r>
      <w:r w:rsidRPr="00EF0380">
        <w:rPr>
          <w:rFonts w:ascii="Arial" w:eastAsia="Arial" w:hAnsi="Arial" w:cs="Arial"/>
          <w:sz w:val="22"/>
          <w:szCs w:val="22"/>
        </w:rPr>
        <w:t xml:space="preserve"> E</w:t>
      </w:r>
      <w:r w:rsidR="009006A0" w:rsidRPr="00EF0380">
        <w:rPr>
          <w:rFonts w:ascii="Arial" w:eastAsia="Arial" w:hAnsi="Arial" w:cs="Arial"/>
          <w:sz w:val="22"/>
          <w:szCs w:val="22"/>
        </w:rPr>
        <w:t xml:space="preserve">s </w:t>
      </w:r>
      <w:r w:rsidRPr="00EF0380">
        <w:rPr>
          <w:rFonts w:ascii="Arial" w:eastAsia="Arial" w:hAnsi="Arial" w:cs="Arial"/>
          <w:sz w:val="22"/>
          <w:szCs w:val="22"/>
        </w:rPr>
        <w:t>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5B9643D4" w14:textId="7AD67FA4" w:rsidR="004821CF" w:rsidRPr="00EF0380" w:rsidRDefault="00AF30F5" w:rsidP="004821CF">
      <w:pPr>
        <w:spacing w:after="120"/>
        <w:ind w:firstLine="709"/>
        <w:rPr>
          <w:rFonts w:ascii="Arial" w:eastAsia="Arial" w:hAnsi="Arial" w:cs="Arial"/>
          <w:sz w:val="22"/>
          <w:szCs w:val="22"/>
        </w:rPr>
      </w:pPr>
      <w:bookmarkStart w:id="23" w:name="_2xcytpi" w:colFirst="0" w:colLast="0"/>
      <w:bookmarkEnd w:id="23"/>
      <w:r w:rsidRPr="00EF0380">
        <w:rPr>
          <w:rFonts w:ascii="Arial" w:eastAsia="Arial" w:hAnsi="Arial" w:cs="Arial"/>
          <w:sz w:val="22"/>
          <w:szCs w:val="22"/>
        </w:rPr>
        <w:t>En esta labor es importante tener en cuenta, como lo anotó la Corte Constitucional, en Sentencia C-1153 de noviembre 11 de 2005</w:t>
      </w:r>
      <w:r w:rsidRPr="00EF0380">
        <w:rPr>
          <w:vertAlign w:val="superscript"/>
        </w:rPr>
        <w:t>,</w:t>
      </w:r>
      <w:r w:rsidRPr="00EF0380">
        <w:rPr>
          <w:rFonts w:ascii="Arial" w:eastAsia="Arial" w:hAnsi="Arial" w:cs="Arial"/>
          <w:sz w:val="22"/>
          <w:szCs w:val="22"/>
        </w:rPr>
        <w:t xml:space="preserve"> que «si bien la limitación garantiza la igualdad de condiciones, también es necesario que tal limitación que pretende la igualdad no termine yendo en detrimento de intereses </w:t>
      </w:r>
      <w:r w:rsidRPr="00EF0380">
        <w:rPr>
          <w:rFonts w:ascii="Arial" w:eastAsia="Arial" w:hAnsi="Arial" w:cs="Arial"/>
          <w:sz w:val="22"/>
          <w:szCs w:val="22"/>
        </w:rPr>
        <w:lastRenderedPageBreak/>
        <w:t>públicos, cuya garantía está en cabeza del ejecutivo, como son los inmersos en las excepciones para la prohibición de contratación»</w:t>
      </w:r>
      <w:r w:rsidRPr="00EF0380">
        <w:rPr>
          <w:rFonts w:ascii="Arial" w:eastAsia="Arial" w:hAnsi="Arial" w:cs="Arial"/>
          <w:sz w:val="22"/>
          <w:szCs w:val="22"/>
          <w:vertAlign w:val="superscript"/>
        </w:rPr>
        <w:footnoteReference w:id="18"/>
      </w:r>
      <w:r w:rsidRPr="00EF0380">
        <w:rPr>
          <w:rFonts w:ascii="Arial" w:eastAsia="Arial" w:hAnsi="Arial" w:cs="Arial"/>
          <w:sz w:val="22"/>
          <w:szCs w:val="22"/>
        </w:rPr>
        <w:t>. De ahí que la Corte hizo hincapié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2D7A9DF7" w14:textId="65526A02" w:rsidR="009006A0" w:rsidRPr="00EF0380" w:rsidRDefault="009006A0" w:rsidP="004821CF">
      <w:pPr>
        <w:spacing w:after="120"/>
        <w:ind w:firstLine="709"/>
        <w:rPr>
          <w:rFonts w:ascii="Arial" w:eastAsia="Arial" w:hAnsi="Arial" w:cs="Arial"/>
          <w:sz w:val="22"/>
          <w:szCs w:val="22"/>
        </w:rPr>
      </w:pPr>
      <w:r w:rsidRPr="00EF0380">
        <w:rPr>
          <w:rFonts w:ascii="Arial" w:eastAsia="Arial" w:hAnsi="Arial" w:cs="Arial"/>
          <w:sz w:val="22"/>
          <w:szCs w:val="22"/>
        </w:rPr>
        <w:t xml:space="preserve">Como se </w:t>
      </w:r>
      <w:r w:rsidR="003600AB">
        <w:rPr>
          <w:rFonts w:ascii="Arial" w:eastAsia="Arial" w:hAnsi="Arial" w:cs="Arial"/>
          <w:sz w:val="22"/>
          <w:szCs w:val="22"/>
        </w:rPr>
        <w:t>puede apreciar</w:t>
      </w:r>
      <w:r w:rsidRPr="00EF0380">
        <w:rPr>
          <w:rFonts w:ascii="Arial" w:eastAsia="Arial" w:hAnsi="Arial" w:cs="Arial"/>
          <w:sz w:val="22"/>
          <w:szCs w:val="22"/>
        </w:rPr>
        <w:t xml:space="preserve">, </w:t>
      </w:r>
      <w:r w:rsidR="00096FFD" w:rsidRPr="00096FFD">
        <w:rPr>
          <w:rFonts w:ascii="Arial" w:eastAsia="Arial" w:hAnsi="Arial" w:cs="Arial"/>
          <w:sz w:val="22"/>
          <w:szCs w:val="22"/>
        </w:rPr>
        <w:t>[…] el inciso segundo del artículo 33 dispone de dos grandes grupos de excepciones a la prohibición de contratar directamente en la época preelectoral, por un lado, las que atienden el ejercicio de cierta función o la atención de determinada actividad particular y sin importar la calidad del ente que la cumpla o desarrolle; por otra parte, las que aluden a las entidades sanitarias y hospitalarias acudiendo a un criterio eminentemente subjetivo, pese a que no limita la excepción a un tipo de entidad en particular, sino que ata su aplicación a la función desarrollada por el respectivo ente.</w:t>
      </w:r>
    </w:p>
    <w:p w14:paraId="4A42F5E8" w14:textId="77777777" w:rsidR="00096FFD" w:rsidRDefault="00096FFD" w:rsidP="004821CF">
      <w:pPr>
        <w:spacing w:after="120"/>
        <w:ind w:firstLine="709"/>
        <w:rPr>
          <w:rFonts w:ascii="Arial" w:eastAsia="Arial" w:hAnsi="Arial" w:cs="Arial"/>
          <w:sz w:val="22"/>
          <w:szCs w:val="22"/>
        </w:rPr>
      </w:pPr>
      <w:r w:rsidRPr="00096FFD">
        <w:rPr>
          <w:rFonts w:ascii="Arial" w:eastAsia="Arial" w:hAnsi="Arial" w:cs="Arial"/>
          <w:sz w:val="22"/>
          <w:szCs w:val="22"/>
        </w:rPr>
        <w:t xml:space="preserve">Así, para determinar si la contratación de una entidad pública está exceptuada de la prohibición general para la contratación directa, el intérprete deberá analizar el caso concreto </w:t>
      </w:r>
      <w:proofErr w:type="gramStart"/>
      <w:r w:rsidRPr="00096FFD">
        <w:rPr>
          <w:rFonts w:ascii="Arial" w:eastAsia="Arial" w:hAnsi="Arial" w:cs="Arial"/>
          <w:sz w:val="22"/>
          <w:szCs w:val="22"/>
        </w:rPr>
        <w:t>para  establecer</w:t>
      </w:r>
      <w:proofErr w:type="gramEnd"/>
      <w:r w:rsidRPr="00096FFD">
        <w:rPr>
          <w:rFonts w:ascii="Arial" w:eastAsia="Arial" w:hAnsi="Arial" w:cs="Arial"/>
          <w:sz w:val="22"/>
          <w:szCs w:val="22"/>
        </w:rPr>
        <w:t xml:space="preserve"> que se trata de una de una actividad de las descritas en la norma o que se encuentra frente a una entidad de sanidad u hospitalaria. Para esto último, se hace necesario verificar, primero, si la respectiva entidad tiene entre sus funciones actividades relacionadas con la sanidad pública o el servicio hospitalario, para lo cual deberá acudir a las normas que dispusieron su creación, estatutos orgánicos y funcionales, etc. </w:t>
      </w:r>
    </w:p>
    <w:p w14:paraId="1B298827" w14:textId="77777777" w:rsidR="00096FFD" w:rsidRDefault="00096FFD" w:rsidP="007D161C">
      <w:pPr>
        <w:spacing w:after="120"/>
        <w:ind w:firstLine="709"/>
        <w:rPr>
          <w:rFonts w:ascii="Arial" w:eastAsia="Arial" w:hAnsi="Arial" w:cs="Arial"/>
          <w:sz w:val="22"/>
          <w:szCs w:val="22"/>
        </w:rPr>
      </w:pPr>
      <w:r w:rsidRPr="00096FFD">
        <w:rPr>
          <w:rFonts w:ascii="Arial" w:eastAsia="Arial" w:hAnsi="Arial" w:cs="Arial"/>
          <w:sz w:val="22"/>
          <w:szCs w:val="22"/>
        </w:rPr>
        <w:t xml:space="preserve">En este punto, y dado que la norma no lo establece, no es dable limitar la excepción a cierto tipo de entidades públicas o hacer depender la aplicación de la excepción al nivel u orden administrativo en el que se encuentre, ya que, como se dijo, lo relevante será verificar la función que aquellas desempeñen para así determinar si entre estas se encuentran algunas relacionadas con la sanidad y el servicio hospitalario. </w:t>
      </w:r>
    </w:p>
    <w:p w14:paraId="0BF78726" w14:textId="3EB75AF7" w:rsidR="00FD271F" w:rsidRPr="00EF0380" w:rsidRDefault="00DD7BAB" w:rsidP="007D161C">
      <w:pPr>
        <w:spacing w:after="120"/>
        <w:ind w:firstLine="709"/>
        <w:rPr>
          <w:rFonts w:ascii="Arial" w:eastAsia="Arial" w:hAnsi="Arial" w:cs="Arial"/>
          <w:sz w:val="22"/>
          <w:szCs w:val="22"/>
        </w:rPr>
      </w:pPr>
      <w:r w:rsidRPr="00EF0380">
        <w:rPr>
          <w:rFonts w:ascii="Arial" w:eastAsia="Arial" w:hAnsi="Arial" w:cs="Arial"/>
          <w:sz w:val="22"/>
          <w:szCs w:val="22"/>
        </w:rPr>
        <w:t xml:space="preserve">Ahora bien, no basta con que la respectiva entidad que pretenda contratar cuente de manera </w:t>
      </w:r>
      <w:r w:rsidR="009E0147" w:rsidRPr="00EF0380">
        <w:rPr>
          <w:rFonts w:ascii="Arial" w:eastAsia="Arial" w:hAnsi="Arial" w:cs="Arial"/>
          <w:sz w:val="22"/>
          <w:szCs w:val="22"/>
        </w:rPr>
        <w:t xml:space="preserve">bien sea </w:t>
      </w:r>
      <w:r w:rsidRPr="00EF0380">
        <w:rPr>
          <w:rFonts w:ascii="Arial" w:eastAsia="Arial" w:hAnsi="Arial" w:cs="Arial"/>
          <w:sz w:val="22"/>
          <w:szCs w:val="22"/>
        </w:rPr>
        <w:t>prin</w:t>
      </w:r>
      <w:r w:rsidR="00D2417B" w:rsidRPr="00EF0380">
        <w:rPr>
          <w:rFonts w:ascii="Arial" w:eastAsia="Arial" w:hAnsi="Arial" w:cs="Arial"/>
          <w:sz w:val="22"/>
          <w:szCs w:val="22"/>
        </w:rPr>
        <w:t>cipal</w:t>
      </w:r>
      <w:r w:rsidRPr="00EF0380">
        <w:rPr>
          <w:rFonts w:ascii="Arial" w:eastAsia="Arial" w:hAnsi="Arial" w:cs="Arial"/>
          <w:sz w:val="22"/>
          <w:szCs w:val="22"/>
        </w:rPr>
        <w:t>, mayoritaria</w:t>
      </w:r>
      <w:r w:rsidR="009E0147" w:rsidRPr="00EF0380">
        <w:rPr>
          <w:rFonts w:ascii="Arial" w:eastAsia="Arial" w:hAnsi="Arial" w:cs="Arial"/>
          <w:sz w:val="22"/>
          <w:szCs w:val="22"/>
        </w:rPr>
        <w:t>,</w:t>
      </w:r>
      <w:r w:rsidRPr="00EF0380">
        <w:rPr>
          <w:rFonts w:ascii="Arial" w:eastAsia="Arial" w:hAnsi="Arial" w:cs="Arial"/>
          <w:sz w:val="22"/>
          <w:szCs w:val="22"/>
        </w:rPr>
        <w:t xml:space="preserve"> subsidiaria o minoritaria, con funciones relacionadas con la sanidad y</w:t>
      </w:r>
      <w:r w:rsidR="009E0147" w:rsidRPr="00EF0380">
        <w:rPr>
          <w:rFonts w:ascii="Arial" w:eastAsia="Arial" w:hAnsi="Arial" w:cs="Arial"/>
          <w:sz w:val="22"/>
          <w:szCs w:val="22"/>
        </w:rPr>
        <w:t xml:space="preserve"> </w:t>
      </w:r>
      <w:r w:rsidRPr="00EF0380">
        <w:rPr>
          <w:rFonts w:ascii="Arial" w:eastAsia="Arial" w:hAnsi="Arial" w:cs="Arial"/>
          <w:sz w:val="22"/>
          <w:szCs w:val="22"/>
        </w:rPr>
        <w:t xml:space="preserve">la prestación del servicio hospitalario, sino </w:t>
      </w:r>
      <w:r w:rsidRPr="00EF0380">
        <w:rPr>
          <w:rFonts w:ascii="Arial" w:eastAsia="Arial" w:hAnsi="Arial" w:cs="Arial"/>
          <w:sz w:val="22"/>
          <w:szCs w:val="22"/>
        </w:rPr>
        <w:lastRenderedPageBreak/>
        <w:t>que, además, será necesario que en cada caso concreto se analice el objeto y finalidad del contrato a celebrar.</w:t>
      </w:r>
      <w:r w:rsidR="00FD271F" w:rsidRPr="00EF0380">
        <w:rPr>
          <w:rFonts w:ascii="Arial" w:eastAsia="Arial" w:hAnsi="Arial" w:cs="Arial"/>
          <w:sz w:val="22"/>
          <w:szCs w:val="22"/>
        </w:rPr>
        <w:t xml:space="preserve"> </w:t>
      </w:r>
    </w:p>
    <w:p w14:paraId="066D3D36" w14:textId="0F7ECEE9" w:rsidR="00DD7BAB" w:rsidRPr="00EF0380" w:rsidRDefault="009E0147" w:rsidP="004821CF">
      <w:pPr>
        <w:spacing w:after="120"/>
        <w:ind w:firstLine="708"/>
        <w:rPr>
          <w:rFonts w:ascii="Arial" w:eastAsia="Arial" w:hAnsi="Arial" w:cs="Arial"/>
          <w:sz w:val="22"/>
          <w:szCs w:val="22"/>
        </w:rPr>
      </w:pPr>
      <w:r w:rsidRPr="00EF0380">
        <w:rPr>
          <w:rFonts w:ascii="Arial" w:eastAsia="Arial" w:hAnsi="Arial" w:cs="Arial"/>
          <w:sz w:val="22"/>
          <w:szCs w:val="22"/>
        </w:rPr>
        <w:t>Esto por cuanto las</w:t>
      </w:r>
      <w:r w:rsidR="00B91C46" w:rsidRPr="00EF0380">
        <w:rPr>
          <w:rFonts w:ascii="Arial" w:eastAsia="Arial" w:hAnsi="Arial" w:cs="Arial"/>
          <w:sz w:val="22"/>
          <w:szCs w:val="22"/>
        </w:rPr>
        <w:t xml:space="preserve"> </w:t>
      </w:r>
      <w:r w:rsidRPr="00EF0380">
        <w:rPr>
          <w:rFonts w:ascii="Arial" w:eastAsia="Arial" w:hAnsi="Arial" w:cs="Arial"/>
          <w:sz w:val="22"/>
          <w:szCs w:val="22"/>
        </w:rPr>
        <w:t>«</w:t>
      </w:r>
      <w:r w:rsidR="00B91C46" w:rsidRPr="00EF0380">
        <w:rPr>
          <w:rFonts w:ascii="Arial" w:eastAsia="Arial" w:hAnsi="Arial" w:cs="Arial"/>
          <w:sz w:val="22"/>
          <w:szCs w:val="22"/>
        </w:rPr>
        <w:t>entidades sanitarias y hospitalarias</w:t>
      </w:r>
      <w:r w:rsidRPr="00EF0380">
        <w:rPr>
          <w:rFonts w:ascii="Arial" w:eastAsia="Arial" w:hAnsi="Arial" w:cs="Arial"/>
          <w:sz w:val="22"/>
          <w:szCs w:val="22"/>
        </w:rPr>
        <w:t>»</w:t>
      </w:r>
      <w:r w:rsidR="00B91C46" w:rsidRPr="00EF0380">
        <w:rPr>
          <w:rFonts w:ascii="Arial" w:eastAsia="Arial" w:hAnsi="Arial" w:cs="Arial"/>
          <w:sz w:val="22"/>
          <w:szCs w:val="22"/>
        </w:rPr>
        <w:t xml:space="preserve"> pueden </w:t>
      </w:r>
      <w:r w:rsidRPr="00EF0380">
        <w:rPr>
          <w:rFonts w:ascii="Arial" w:eastAsia="Arial" w:hAnsi="Arial" w:cs="Arial"/>
          <w:sz w:val="22"/>
          <w:szCs w:val="22"/>
        </w:rPr>
        <w:t xml:space="preserve">contar con una gama harto variada </w:t>
      </w:r>
      <w:r w:rsidR="007D161C" w:rsidRPr="00EF0380">
        <w:rPr>
          <w:rFonts w:ascii="Arial" w:eastAsia="Arial" w:hAnsi="Arial" w:cs="Arial"/>
          <w:sz w:val="22"/>
          <w:szCs w:val="22"/>
        </w:rPr>
        <w:t>de</w:t>
      </w:r>
      <w:r w:rsidRPr="00EF0380">
        <w:rPr>
          <w:rFonts w:ascii="Arial" w:eastAsia="Arial" w:hAnsi="Arial" w:cs="Arial"/>
          <w:sz w:val="22"/>
          <w:szCs w:val="22"/>
        </w:rPr>
        <w:t xml:space="preserve"> funciones y, quizás, tener algunas que no se rela</w:t>
      </w:r>
      <w:r w:rsidR="00FD271F" w:rsidRPr="00EF0380">
        <w:rPr>
          <w:rFonts w:ascii="Arial" w:eastAsia="Arial" w:hAnsi="Arial" w:cs="Arial"/>
          <w:sz w:val="22"/>
          <w:szCs w:val="22"/>
        </w:rPr>
        <w:t>c</w:t>
      </w:r>
      <w:r w:rsidRPr="00EF0380">
        <w:rPr>
          <w:rFonts w:ascii="Arial" w:eastAsia="Arial" w:hAnsi="Arial" w:cs="Arial"/>
          <w:sz w:val="22"/>
          <w:szCs w:val="22"/>
        </w:rPr>
        <w:t>ionan ni directa ni indirectamente con la actividad sanitaria y hospitalaria</w:t>
      </w:r>
      <w:r w:rsidR="007D161C" w:rsidRPr="00EF0380">
        <w:rPr>
          <w:rFonts w:ascii="Arial" w:eastAsia="Arial" w:hAnsi="Arial" w:cs="Arial"/>
          <w:sz w:val="22"/>
          <w:szCs w:val="22"/>
        </w:rPr>
        <w:t xml:space="preserve"> propiamente dichas</w:t>
      </w:r>
      <w:r w:rsidRPr="00EF0380">
        <w:rPr>
          <w:rFonts w:ascii="Arial" w:eastAsia="Arial" w:hAnsi="Arial" w:cs="Arial"/>
          <w:sz w:val="22"/>
          <w:szCs w:val="22"/>
        </w:rPr>
        <w:t xml:space="preserve">, de lo cual se deriva la consecuente posibilidad de </w:t>
      </w:r>
      <w:r w:rsidR="00654072" w:rsidRPr="00EF0380">
        <w:rPr>
          <w:rFonts w:ascii="Arial" w:eastAsia="Arial" w:hAnsi="Arial" w:cs="Arial"/>
          <w:sz w:val="22"/>
          <w:szCs w:val="22"/>
        </w:rPr>
        <w:t xml:space="preserve">celebrar y </w:t>
      </w:r>
      <w:r w:rsidR="00B91C46" w:rsidRPr="00EF0380">
        <w:rPr>
          <w:rFonts w:ascii="Arial" w:eastAsia="Arial" w:hAnsi="Arial" w:cs="Arial"/>
          <w:sz w:val="22"/>
          <w:szCs w:val="22"/>
        </w:rPr>
        <w:t>desarrollar contratos que varí</w:t>
      </w:r>
      <w:r w:rsidR="00654072" w:rsidRPr="00EF0380">
        <w:rPr>
          <w:rFonts w:ascii="Arial" w:eastAsia="Arial" w:hAnsi="Arial" w:cs="Arial"/>
          <w:sz w:val="22"/>
          <w:szCs w:val="22"/>
        </w:rPr>
        <w:t>a</w:t>
      </w:r>
      <w:r w:rsidR="00B91C46" w:rsidRPr="00EF0380">
        <w:rPr>
          <w:rFonts w:ascii="Arial" w:eastAsia="Arial" w:hAnsi="Arial" w:cs="Arial"/>
          <w:sz w:val="22"/>
          <w:szCs w:val="22"/>
        </w:rPr>
        <w:t>n ostensible y ampliamente en cuanto a su objeto y finalidades</w:t>
      </w:r>
      <w:r w:rsidRPr="00EF0380">
        <w:rPr>
          <w:rFonts w:ascii="Arial" w:eastAsia="Arial" w:hAnsi="Arial" w:cs="Arial"/>
          <w:sz w:val="22"/>
          <w:szCs w:val="22"/>
        </w:rPr>
        <w:t>. Por esto,</w:t>
      </w:r>
      <w:r w:rsidR="00B91C46" w:rsidRPr="00EF0380">
        <w:rPr>
          <w:rFonts w:ascii="Arial" w:eastAsia="Arial" w:hAnsi="Arial" w:cs="Arial"/>
          <w:sz w:val="22"/>
          <w:szCs w:val="22"/>
        </w:rPr>
        <w:t xml:space="preserve"> también </w:t>
      </w:r>
      <w:r w:rsidRPr="00EF0380">
        <w:rPr>
          <w:rFonts w:ascii="Arial" w:eastAsia="Arial" w:hAnsi="Arial" w:cs="Arial"/>
          <w:sz w:val="22"/>
          <w:szCs w:val="22"/>
        </w:rPr>
        <w:t>será necesario</w:t>
      </w:r>
      <w:r w:rsidR="00B91C46" w:rsidRPr="00EF0380">
        <w:rPr>
          <w:rFonts w:ascii="Arial" w:eastAsia="Arial" w:hAnsi="Arial" w:cs="Arial"/>
          <w:sz w:val="22"/>
          <w:szCs w:val="22"/>
        </w:rPr>
        <w:t xml:space="preserve"> verificar si </w:t>
      </w:r>
      <w:r w:rsidRPr="00EF0380">
        <w:rPr>
          <w:rFonts w:ascii="Arial" w:eastAsia="Arial" w:hAnsi="Arial" w:cs="Arial"/>
          <w:sz w:val="22"/>
          <w:szCs w:val="22"/>
        </w:rPr>
        <w:t xml:space="preserve">entre </w:t>
      </w:r>
      <w:r w:rsidR="00B91C46" w:rsidRPr="00EF0380">
        <w:rPr>
          <w:rFonts w:ascii="Arial" w:eastAsia="Arial" w:hAnsi="Arial" w:cs="Arial"/>
          <w:sz w:val="22"/>
          <w:szCs w:val="22"/>
        </w:rPr>
        <w:t>el contrato que prete</w:t>
      </w:r>
      <w:r w:rsidR="00D2417B" w:rsidRPr="00EF0380">
        <w:rPr>
          <w:rFonts w:ascii="Arial" w:eastAsia="Arial" w:hAnsi="Arial" w:cs="Arial"/>
          <w:sz w:val="22"/>
          <w:szCs w:val="22"/>
        </w:rPr>
        <w:t>n</w:t>
      </w:r>
      <w:r w:rsidR="00B91C46" w:rsidRPr="00EF0380">
        <w:rPr>
          <w:rFonts w:ascii="Arial" w:eastAsia="Arial" w:hAnsi="Arial" w:cs="Arial"/>
          <w:sz w:val="22"/>
          <w:szCs w:val="22"/>
        </w:rPr>
        <w:t>d</w:t>
      </w:r>
      <w:r w:rsidR="00D2417B" w:rsidRPr="00EF0380">
        <w:rPr>
          <w:rFonts w:ascii="Arial" w:eastAsia="Arial" w:hAnsi="Arial" w:cs="Arial"/>
          <w:sz w:val="22"/>
          <w:szCs w:val="22"/>
        </w:rPr>
        <w:t>e</w:t>
      </w:r>
      <w:r w:rsidR="00B91C46" w:rsidRPr="00EF0380">
        <w:rPr>
          <w:rFonts w:ascii="Arial" w:eastAsia="Arial" w:hAnsi="Arial" w:cs="Arial"/>
          <w:sz w:val="22"/>
          <w:szCs w:val="22"/>
        </w:rPr>
        <w:t xml:space="preserve"> ser celebrado </w:t>
      </w:r>
      <w:r w:rsidRPr="00EF0380">
        <w:rPr>
          <w:rFonts w:ascii="Arial" w:eastAsia="Arial" w:hAnsi="Arial" w:cs="Arial"/>
          <w:sz w:val="22"/>
          <w:szCs w:val="22"/>
        </w:rPr>
        <w:t xml:space="preserve">y la actividad sanitaria u hospitalaria existe alguna relación directa o </w:t>
      </w:r>
      <w:proofErr w:type="spellStart"/>
      <w:r w:rsidRPr="00EF0380">
        <w:rPr>
          <w:rFonts w:ascii="Arial" w:eastAsia="Arial" w:hAnsi="Arial" w:cs="Arial"/>
          <w:sz w:val="22"/>
          <w:szCs w:val="22"/>
        </w:rPr>
        <w:t>inidrecta</w:t>
      </w:r>
      <w:proofErr w:type="spellEnd"/>
      <w:r w:rsidRPr="00EF0380">
        <w:rPr>
          <w:rFonts w:ascii="Arial" w:eastAsia="Arial" w:hAnsi="Arial" w:cs="Arial"/>
          <w:sz w:val="22"/>
          <w:szCs w:val="22"/>
        </w:rPr>
        <w:t xml:space="preserve">, </w:t>
      </w:r>
      <w:r w:rsidR="00654072" w:rsidRPr="00EF0380">
        <w:rPr>
          <w:rFonts w:ascii="Arial" w:eastAsia="Arial" w:hAnsi="Arial" w:cs="Arial"/>
          <w:sz w:val="22"/>
          <w:szCs w:val="22"/>
        </w:rPr>
        <w:t xml:space="preserve">para lo cual </w:t>
      </w:r>
      <w:r w:rsidR="00D2417B" w:rsidRPr="00EF0380">
        <w:rPr>
          <w:rFonts w:ascii="Arial" w:eastAsia="Arial" w:hAnsi="Arial" w:cs="Arial"/>
          <w:sz w:val="22"/>
          <w:szCs w:val="22"/>
        </w:rPr>
        <w:t xml:space="preserve">se </w:t>
      </w:r>
      <w:r w:rsidR="00654072" w:rsidRPr="00EF0380">
        <w:rPr>
          <w:rFonts w:ascii="Arial" w:eastAsia="Arial" w:hAnsi="Arial" w:cs="Arial"/>
          <w:sz w:val="22"/>
          <w:szCs w:val="22"/>
        </w:rPr>
        <w:t xml:space="preserve">deberá atender al objeto y finalidades </w:t>
      </w:r>
      <w:r w:rsidR="002B44F9" w:rsidRPr="00EF0380">
        <w:rPr>
          <w:rFonts w:ascii="Arial" w:eastAsia="Arial" w:hAnsi="Arial" w:cs="Arial"/>
          <w:sz w:val="22"/>
          <w:szCs w:val="22"/>
        </w:rPr>
        <w:t xml:space="preserve">perseguidas con la celebración </w:t>
      </w:r>
      <w:proofErr w:type="gramStart"/>
      <w:r w:rsidR="002B44F9" w:rsidRPr="00EF0380">
        <w:rPr>
          <w:rFonts w:ascii="Arial" w:eastAsia="Arial" w:hAnsi="Arial" w:cs="Arial"/>
          <w:sz w:val="22"/>
          <w:szCs w:val="22"/>
        </w:rPr>
        <w:t>del mismo</w:t>
      </w:r>
      <w:proofErr w:type="gramEnd"/>
      <w:r w:rsidR="008F520F" w:rsidRPr="00EF0380">
        <w:rPr>
          <w:rFonts w:ascii="Arial" w:eastAsia="Arial" w:hAnsi="Arial" w:cs="Arial"/>
          <w:sz w:val="22"/>
          <w:szCs w:val="22"/>
        </w:rPr>
        <w:t>,</w:t>
      </w:r>
      <w:r w:rsidRPr="00EF0380">
        <w:rPr>
          <w:rFonts w:ascii="Arial" w:eastAsia="Arial" w:hAnsi="Arial" w:cs="Arial"/>
          <w:sz w:val="22"/>
          <w:szCs w:val="22"/>
        </w:rPr>
        <w:t xml:space="preserve"> de tal manera que logre colegirse claramente que la celebración del contrato tiene como fin la planeación, ejecución, sostenimiento etc. de alguna actividad sanitaria u hospitalaria</w:t>
      </w:r>
      <w:r w:rsidR="00B91C46" w:rsidRPr="00EF0380">
        <w:rPr>
          <w:rFonts w:ascii="Arial" w:eastAsia="Arial" w:hAnsi="Arial" w:cs="Arial"/>
          <w:sz w:val="22"/>
          <w:szCs w:val="22"/>
        </w:rPr>
        <w:t xml:space="preserve">. </w:t>
      </w:r>
    </w:p>
    <w:p w14:paraId="133E04DC" w14:textId="479CB87F" w:rsidR="00091004" w:rsidRPr="00EF0380" w:rsidRDefault="009E0147" w:rsidP="004821CF">
      <w:pPr>
        <w:spacing w:after="120"/>
        <w:rPr>
          <w:rFonts w:ascii="Arial" w:eastAsia="Arial" w:hAnsi="Arial" w:cs="Arial"/>
          <w:sz w:val="22"/>
          <w:szCs w:val="22"/>
        </w:rPr>
      </w:pPr>
      <w:r w:rsidRPr="00EF0380">
        <w:rPr>
          <w:rFonts w:ascii="Arial" w:eastAsia="Arial" w:hAnsi="Arial" w:cs="Arial"/>
          <w:sz w:val="22"/>
          <w:szCs w:val="22"/>
        </w:rPr>
        <w:tab/>
        <w:t>Ahora bien, no debe perderse de vista que</w:t>
      </w:r>
      <w:r w:rsidR="007114C7" w:rsidRPr="00EF0380">
        <w:rPr>
          <w:rFonts w:ascii="Arial" w:eastAsia="Arial" w:hAnsi="Arial" w:cs="Arial"/>
          <w:sz w:val="22"/>
          <w:szCs w:val="22"/>
        </w:rPr>
        <w:t xml:space="preserve"> </w:t>
      </w:r>
      <w:r w:rsidRPr="00EF0380">
        <w:rPr>
          <w:rFonts w:ascii="Arial" w:eastAsia="Arial" w:hAnsi="Arial" w:cs="Arial"/>
          <w:sz w:val="22"/>
          <w:szCs w:val="22"/>
        </w:rPr>
        <w:t xml:space="preserve">el ejercicio de cierta función, así como la prestación de determinado servicio, se </w:t>
      </w:r>
      <w:r w:rsidR="003600AB">
        <w:rPr>
          <w:rFonts w:ascii="Arial" w:eastAsia="Arial" w:hAnsi="Arial" w:cs="Arial"/>
          <w:sz w:val="22"/>
          <w:szCs w:val="22"/>
        </w:rPr>
        <w:t>encuentra</w:t>
      </w:r>
      <w:r w:rsidRPr="00EF0380">
        <w:rPr>
          <w:rFonts w:ascii="Arial" w:eastAsia="Arial" w:hAnsi="Arial" w:cs="Arial"/>
          <w:sz w:val="22"/>
          <w:szCs w:val="22"/>
        </w:rPr>
        <w:t xml:space="preserve"> </w:t>
      </w:r>
      <w:r w:rsidR="003600AB">
        <w:rPr>
          <w:rFonts w:ascii="Arial" w:eastAsia="Arial" w:hAnsi="Arial" w:cs="Arial"/>
          <w:sz w:val="22"/>
          <w:szCs w:val="22"/>
        </w:rPr>
        <w:t>regularmente</w:t>
      </w:r>
      <w:r w:rsidR="007114C7" w:rsidRPr="00EF0380">
        <w:rPr>
          <w:rFonts w:ascii="Arial" w:eastAsia="Arial" w:hAnsi="Arial" w:cs="Arial"/>
          <w:sz w:val="22"/>
          <w:szCs w:val="22"/>
        </w:rPr>
        <w:t xml:space="preserve"> asignado a un gran número de entidades públicas que las desarrollan de manera coordinada y armónica. </w:t>
      </w:r>
      <w:proofErr w:type="gramStart"/>
      <w:r w:rsidR="00064864" w:rsidRPr="00EF0380">
        <w:rPr>
          <w:rFonts w:ascii="Arial" w:eastAsia="Arial" w:hAnsi="Arial" w:cs="Arial"/>
          <w:sz w:val="22"/>
          <w:szCs w:val="22"/>
        </w:rPr>
        <w:t>Ese conjunto de</w:t>
      </w:r>
      <w:r w:rsidR="007114C7" w:rsidRPr="00EF0380">
        <w:rPr>
          <w:rFonts w:ascii="Arial" w:eastAsia="Arial" w:hAnsi="Arial" w:cs="Arial"/>
          <w:sz w:val="22"/>
          <w:szCs w:val="22"/>
        </w:rPr>
        <w:t xml:space="preserve"> entidades </w:t>
      </w:r>
      <w:r w:rsidR="00064864" w:rsidRPr="00EF0380">
        <w:rPr>
          <w:rFonts w:ascii="Arial" w:eastAsia="Arial" w:hAnsi="Arial" w:cs="Arial"/>
          <w:sz w:val="22"/>
          <w:szCs w:val="22"/>
        </w:rPr>
        <w:t>c</w:t>
      </w:r>
      <w:r w:rsidR="007114C7" w:rsidRPr="00EF0380">
        <w:rPr>
          <w:rFonts w:ascii="Arial" w:eastAsia="Arial" w:hAnsi="Arial" w:cs="Arial"/>
          <w:sz w:val="22"/>
          <w:szCs w:val="22"/>
        </w:rPr>
        <w:t>onforman</w:t>
      </w:r>
      <w:proofErr w:type="gramEnd"/>
      <w:r w:rsidR="007114C7" w:rsidRPr="00EF0380">
        <w:rPr>
          <w:rFonts w:ascii="Arial" w:eastAsia="Arial" w:hAnsi="Arial" w:cs="Arial"/>
          <w:sz w:val="22"/>
          <w:szCs w:val="22"/>
        </w:rPr>
        <w:t xml:space="preserve"> </w:t>
      </w:r>
      <w:r w:rsidR="00064864" w:rsidRPr="00EF0380">
        <w:rPr>
          <w:rFonts w:ascii="Arial" w:eastAsia="Arial" w:hAnsi="Arial" w:cs="Arial"/>
          <w:sz w:val="22"/>
          <w:szCs w:val="22"/>
        </w:rPr>
        <w:t xml:space="preserve">al respectivo sector administrativo en el orden territorial correspondiente. Además, las funciones que se reparten entre tales entidades podrán ser de distinta índole, </w:t>
      </w:r>
      <w:r w:rsidR="003600AB">
        <w:rPr>
          <w:rFonts w:ascii="Arial" w:eastAsia="Arial" w:hAnsi="Arial" w:cs="Arial"/>
          <w:sz w:val="22"/>
          <w:szCs w:val="22"/>
        </w:rPr>
        <w:t>reservándose</w:t>
      </w:r>
      <w:r w:rsidR="00064864" w:rsidRPr="00EF0380">
        <w:rPr>
          <w:rFonts w:ascii="Arial" w:eastAsia="Arial" w:hAnsi="Arial" w:cs="Arial"/>
          <w:sz w:val="22"/>
          <w:szCs w:val="22"/>
        </w:rPr>
        <w:t xml:space="preserve"> para algunas las de carácter misional o que corresponde</w:t>
      </w:r>
      <w:r w:rsidR="00091004" w:rsidRPr="00EF0380">
        <w:rPr>
          <w:rFonts w:ascii="Arial" w:eastAsia="Arial" w:hAnsi="Arial" w:cs="Arial"/>
          <w:sz w:val="22"/>
          <w:szCs w:val="22"/>
        </w:rPr>
        <w:t>n</w:t>
      </w:r>
      <w:r w:rsidR="00064864" w:rsidRPr="00EF0380">
        <w:rPr>
          <w:rFonts w:ascii="Arial" w:eastAsia="Arial" w:hAnsi="Arial" w:cs="Arial"/>
          <w:sz w:val="22"/>
          <w:szCs w:val="22"/>
        </w:rPr>
        <w:t xml:space="preserve"> a la prestación efectiva del servicio a</w:t>
      </w:r>
      <w:r w:rsidR="00091004" w:rsidRPr="00EF0380">
        <w:rPr>
          <w:rFonts w:ascii="Arial" w:eastAsia="Arial" w:hAnsi="Arial" w:cs="Arial"/>
          <w:sz w:val="22"/>
          <w:szCs w:val="22"/>
        </w:rPr>
        <w:t xml:space="preserve"> favor del </w:t>
      </w:r>
      <w:r w:rsidR="00064864" w:rsidRPr="00EF0380">
        <w:rPr>
          <w:rFonts w:ascii="Arial" w:eastAsia="Arial" w:hAnsi="Arial" w:cs="Arial"/>
          <w:sz w:val="22"/>
          <w:szCs w:val="22"/>
        </w:rPr>
        <w:t xml:space="preserve">beneficiario final, de supervisión, control y vigilancia, de planeación etc., todas las cuales conforman el ámbito funcional del sector. </w:t>
      </w:r>
    </w:p>
    <w:p w14:paraId="5E8B81D8" w14:textId="3739F500" w:rsidR="00091004" w:rsidRPr="00EF0380" w:rsidRDefault="00091004" w:rsidP="0085660F">
      <w:pPr>
        <w:spacing w:after="120"/>
        <w:ind w:firstLine="720"/>
        <w:rPr>
          <w:rFonts w:ascii="Arial" w:eastAsia="Arial" w:hAnsi="Arial" w:cs="Arial"/>
          <w:sz w:val="22"/>
          <w:szCs w:val="22"/>
        </w:rPr>
      </w:pPr>
      <w:r w:rsidRPr="00EF0380">
        <w:rPr>
          <w:rFonts w:ascii="Arial" w:eastAsia="Arial" w:hAnsi="Arial" w:cs="Arial"/>
          <w:sz w:val="22"/>
          <w:szCs w:val="22"/>
        </w:rPr>
        <w:t xml:space="preserve">Pues bien, en ejercicio de toda es gama de funciones, las entidades competentes deberán celebrar contratos para lograr su cabal cumplimiento. Así, </w:t>
      </w:r>
      <w:r w:rsidR="003600AB">
        <w:rPr>
          <w:rFonts w:ascii="Arial" w:eastAsia="Arial" w:hAnsi="Arial" w:cs="Arial"/>
          <w:sz w:val="22"/>
          <w:szCs w:val="22"/>
        </w:rPr>
        <w:t>sobre el supuesto de que</w:t>
      </w:r>
      <w:r w:rsidRPr="00EF0380">
        <w:rPr>
          <w:rFonts w:ascii="Arial" w:eastAsia="Arial" w:hAnsi="Arial" w:cs="Arial"/>
          <w:sz w:val="22"/>
          <w:szCs w:val="22"/>
        </w:rPr>
        <w:t xml:space="preserve"> el servicio sanitario y hospitalario se preste de manera efectiva y eficiente</w:t>
      </w:r>
      <w:r w:rsidR="003600AB">
        <w:rPr>
          <w:rFonts w:ascii="Arial" w:eastAsia="Arial" w:hAnsi="Arial" w:cs="Arial"/>
          <w:sz w:val="22"/>
          <w:szCs w:val="22"/>
        </w:rPr>
        <w:t xml:space="preserve">, es </w:t>
      </w:r>
      <w:r w:rsidRPr="00EF0380">
        <w:rPr>
          <w:rFonts w:ascii="Arial" w:eastAsia="Arial" w:hAnsi="Arial" w:cs="Arial"/>
          <w:sz w:val="22"/>
          <w:szCs w:val="22"/>
        </w:rPr>
        <w:t>necesari</w:t>
      </w:r>
      <w:r w:rsidR="003600AB">
        <w:rPr>
          <w:rFonts w:ascii="Arial" w:eastAsia="Arial" w:hAnsi="Arial" w:cs="Arial"/>
          <w:sz w:val="22"/>
          <w:szCs w:val="22"/>
        </w:rPr>
        <w:t>o para ello la</w:t>
      </w:r>
      <w:r w:rsidRPr="00EF0380">
        <w:rPr>
          <w:rFonts w:ascii="Arial" w:eastAsia="Arial" w:hAnsi="Arial" w:cs="Arial"/>
          <w:sz w:val="22"/>
          <w:szCs w:val="22"/>
        </w:rPr>
        <w:t xml:space="preserve"> concurrencia de todas y cada una de las dist</w:t>
      </w:r>
      <w:r w:rsidR="00E25BBD">
        <w:rPr>
          <w:rFonts w:ascii="Arial" w:eastAsia="Arial" w:hAnsi="Arial" w:cs="Arial"/>
          <w:sz w:val="22"/>
          <w:szCs w:val="22"/>
        </w:rPr>
        <w:t>intas</w:t>
      </w:r>
      <w:r w:rsidRPr="00EF0380">
        <w:rPr>
          <w:rFonts w:ascii="Arial" w:eastAsia="Arial" w:hAnsi="Arial" w:cs="Arial"/>
          <w:sz w:val="22"/>
          <w:szCs w:val="22"/>
        </w:rPr>
        <w:t xml:space="preserve"> funcionalidades, ya que no basta con la puesta en marcha, verbigracia, de la función del prestado</w:t>
      </w:r>
      <w:r w:rsidR="003600AB">
        <w:rPr>
          <w:rFonts w:ascii="Arial" w:eastAsia="Arial" w:hAnsi="Arial" w:cs="Arial"/>
          <w:sz w:val="22"/>
          <w:szCs w:val="22"/>
        </w:rPr>
        <w:t>r</w:t>
      </w:r>
      <w:r w:rsidRPr="00EF0380">
        <w:rPr>
          <w:rFonts w:ascii="Arial" w:eastAsia="Arial" w:hAnsi="Arial" w:cs="Arial"/>
          <w:sz w:val="22"/>
          <w:szCs w:val="22"/>
        </w:rPr>
        <w:t xml:space="preserve"> de servicio</w:t>
      </w:r>
      <w:r w:rsidR="003600AB">
        <w:rPr>
          <w:rFonts w:ascii="Arial" w:eastAsia="Arial" w:hAnsi="Arial" w:cs="Arial"/>
          <w:sz w:val="22"/>
          <w:szCs w:val="22"/>
        </w:rPr>
        <w:t xml:space="preserve"> -</w:t>
      </w:r>
      <w:r w:rsidRPr="00EF0380">
        <w:rPr>
          <w:rFonts w:ascii="Arial" w:eastAsia="Arial" w:hAnsi="Arial" w:cs="Arial"/>
          <w:sz w:val="22"/>
          <w:szCs w:val="22"/>
        </w:rPr>
        <w:t>empresa social del Estado</w:t>
      </w:r>
      <w:r w:rsidR="003600AB">
        <w:rPr>
          <w:rFonts w:ascii="Arial" w:eastAsia="Arial" w:hAnsi="Arial" w:cs="Arial"/>
          <w:sz w:val="22"/>
          <w:szCs w:val="22"/>
        </w:rPr>
        <w:t>-</w:t>
      </w:r>
      <w:r w:rsidRPr="00EF0380">
        <w:rPr>
          <w:rFonts w:ascii="Arial" w:eastAsia="Arial" w:hAnsi="Arial" w:cs="Arial"/>
          <w:sz w:val="22"/>
          <w:szCs w:val="22"/>
        </w:rPr>
        <w:t xml:space="preserve">, sin que previamente se hayan contratado los insumos básicos para la prestación del servicio, lo cual podría, según el caso, corresponder a una entidad distinta. </w:t>
      </w:r>
    </w:p>
    <w:p w14:paraId="07951253" w14:textId="77777777" w:rsidR="00096FFD" w:rsidRDefault="00096FFD" w:rsidP="004821CF">
      <w:pPr>
        <w:spacing w:after="120"/>
        <w:ind w:firstLine="720"/>
        <w:rPr>
          <w:rFonts w:ascii="Arial" w:eastAsia="Arial" w:hAnsi="Arial" w:cs="Arial"/>
          <w:sz w:val="22"/>
          <w:szCs w:val="22"/>
        </w:rPr>
      </w:pPr>
      <w:r w:rsidRPr="00096FFD">
        <w:rPr>
          <w:rFonts w:ascii="Arial" w:eastAsia="Arial" w:hAnsi="Arial" w:cs="Arial"/>
          <w:sz w:val="22"/>
          <w:szCs w:val="22"/>
        </w:rPr>
        <w:t xml:space="preserve">En ese sentido, la Agencia entiende que la excepción a la prohibición del artículo 33 según la cual se permite la contratación directa a las entidades sanitarias y hospitalarias en época preelectoral, no solo cobija a aquellas que de manera regular y evidente lleven a cabo labores relacionadas con tales actividades, como sucedería con las empresas sociales del Estado, sino también todas aquellas que de alguna manera cuenten con funciones que hagan el servicio en sus distintas fases y sin el </w:t>
      </w:r>
      <w:r w:rsidRPr="00096FFD">
        <w:rPr>
          <w:rFonts w:ascii="Arial" w:eastAsia="Arial" w:hAnsi="Arial" w:cs="Arial"/>
          <w:sz w:val="22"/>
          <w:szCs w:val="22"/>
        </w:rPr>
        <w:lastRenderedPageBreak/>
        <w:t xml:space="preserve">cumplimiento de las cuales la prestación del mismo resultaría imposible o, al menos, poco eficiente. </w:t>
      </w:r>
    </w:p>
    <w:p w14:paraId="6655CFAE" w14:textId="4F4E3D5E" w:rsidR="000A6AE8" w:rsidRPr="00EF0380" w:rsidRDefault="000A6AE8" w:rsidP="004821CF">
      <w:pPr>
        <w:spacing w:after="120"/>
        <w:ind w:firstLine="720"/>
        <w:rPr>
          <w:rFonts w:ascii="Arial" w:eastAsia="Arial" w:hAnsi="Arial" w:cs="Arial"/>
          <w:sz w:val="22"/>
          <w:szCs w:val="22"/>
        </w:rPr>
      </w:pPr>
      <w:r w:rsidRPr="00EF0380">
        <w:rPr>
          <w:rFonts w:ascii="Arial" w:eastAsia="Arial" w:hAnsi="Arial" w:cs="Arial"/>
          <w:sz w:val="22"/>
          <w:szCs w:val="22"/>
        </w:rPr>
        <w:t xml:space="preserve">Sin perjuicio de lo dicho, debe tenerse en cuenta que, además de la verificación del tipo de funciones que realiza la entidad y el cotejo que entre aquellas y el objeto del contrato se haga, es necesario el cumplimiento del requisito de urgencia ínsito en el texto del artículo 33, tal y como lo ha dicho el Consejo de Estado, reiterando lo explicado por la Corte Constitucional, </w:t>
      </w:r>
      <w:proofErr w:type="spellStart"/>
      <w:r w:rsidRPr="00EF0380">
        <w:rPr>
          <w:rFonts w:ascii="Arial" w:eastAsia="Arial" w:hAnsi="Arial" w:cs="Arial"/>
          <w:sz w:val="22"/>
          <w:szCs w:val="22"/>
        </w:rPr>
        <w:t>asi</w:t>
      </w:r>
      <w:proofErr w:type="spellEnd"/>
      <w:r w:rsidRPr="00EF0380">
        <w:rPr>
          <w:rFonts w:ascii="Arial" w:eastAsia="Arial" w:hAnsi="Arial" w:cs="Arial"/>
          <w:sz w:val="22"/>
          <w:szCs w:val="22"/>
        </w:rPr>
        <w:t xml:space="preserve">: </w:t>
      </w:r>
    </w:p>
    <w:p w14:paraId="11F2D41C" w14:textId="2B0CB169" w:rsidR="00064864" w:rsidRPr="00EF0380" w:rsidRDefault="000A6AE8" w:rsidP="004821CF">
      <w:pPr>
        <w:spacing w:after="120"/>
        <w:ind w:left="720"/>
        <w:rPr>
          <w:rFonts w:ascii="Arial" w:eastAsia="Arial" w:hAnsi="Arial" w:cs="Arial"/>
          <w:sz w:val="21"/>
          <w:szCs w:val="21"/>
        </w:rPr>
      </w:pPr>
      <w:r w:rsidRPr="00EF0380">
        <w:rPr>
          <w:rFonts w:ascii="Arial" w:hAnsi="Arial" w:cs="Arial"/>
          <w:color w:val="000000"/>
          <w:sz w:val="21"/>
          <w:szCs w:val="21"/>
        </w:rPr>
        <w:t>«[…] cabe precisar los artículos 32 y  33 de la ley 996 de 2005 no son aplicables a  procesos electorales distintos a los presidenciales y la excepción que habilita las entidades sanitarias y hospitalarias a vincular personal a la nómina estatal y celebrar, durante los cuatro meses anteriores a la elección, contratos directamente,</w:t>
      </w:r>
      <w:r w:rsidRPr="00EF0380">
        <w:rPr>
          <w:rFonts w:ascii="Arial" w:eastAsia="Arial" w:hAnsi="Arial" w:cs="Arial"/>
          <w:sz w:val="21"/>
          <w:szCs w:val="21"/>
        </w:rPr>
        <w:t xml:space="preserve"> </w:t>
      </w:r>
      <w:r w:rsidRPr="00EF0380">
        <w:rPr>
          <w:rFonts w:ascii="Arial" w:hAnsi="Arial" w:cs="Arial"/>
          <w:color w:val="000000"/>
          <w:sz w:val="21"/>
          <w:szCs w:val="21"/>
        </w:rPr>
        <w:t xml:space="preserve">debe entenderse circunscrita a la necesidad de conjurar situaciones de  emergencia que puedan afectar la salubridad pública como elemento del orden público y social, por ejemplo, </w:t>
      </w:r>
      <w:r w:rsidRPr="00EF0380">
        <w:rPr>
          <w:rFonts w:ascii="Arial" w:hAnsi="Arial" w:cs="Arial"/>
          <w:i/>
          <w:color w:val="000000"/>
          <w:sz w:val="21"/>
          <w:szCs w:val="21"/>
        </w:rPr>
        <w:t xml:space="preserve">“la adquisición de un insumo esencial para la prestación de un servicio (…) que mientras se adelanta el trámite de la licitación pública </w:t>
      </w:r>
      <w:r w:rsidRPr="00EF0380">
        <w:rPr>
          <w:rFonts w:ascii="Arial" w:hAnsi="Arial" w:cs="Arial"/>
          <w:color w:val="000000"/>
          <w:sz w:val="21"/>
          <w:szCs w:val="21"/>
        </w:rPr>
        <w:t>(…)”.</w:t>
      </w:r>
      <w:r w:rsidRPr="00EF0380">
        <w:rPr>
          <w:rStyle w:val="Refdenotaalpie"/>
          <w:rFonts w:ascii="Arial" w:hAnsi="Arial" w:cs="Arial"/>
          <w:color w:val="000000"/>
          <w:sz w:val="21"/>
          <w:szCs w:val="21"/>
        </w:rPr>
        <w:footnoteReference w:id="19"/>
      </w:r>
      <w:r w:rsidRPr="00EF0380">
        <w:rPr>
          <w:rFonts w:ascii="Arial" w:hAnsi="Arial" w:cs="Arial"/>
          <w:color w:val="000000"/>
          <w:sz w:val="21"/>
          <w:szCs w:val="21"/>
        </w:rPr>
        <w:t xml:space="preserve">  </w:t>
      </w:r>
      <w:r w:rsidRPr="00EF0380">
        <w:rPr>
          <w:rFonts w:ascii="Arial" w:hAnsi="Arial" w:cs="Arial"/>
          <w:sz w:val="21"/>
          <w:szCs w:val="21"/>
        </w:rPr>
        <w:t xml:space="preserve">Así lo entendió la Corte Constitucional que al estudiar la constitucionalidad de estas normas,  manifestó que las excepciones de limitación protegen </w:t>
      </w:r>
      <w:r w:rsidRPr="00EF0380">
        <w:rPr>
          <w:rFonts w:ascii="Arial" w:hAnsi="Arial" w:cs="Arial"/>
          <w:i/>
          <w:sz w:val="21"/>
          <w:szCs w:val="21"/>
        </w:rPr>
        <w:t xml:space="preserve">“diversos tipos de urgencias de defensa, salud, educación, infraestructura vial y de servicios públicos  y ecológicas” </w:t>
      </w:r>
      <w:r w:rsidRPr="00EF0380">
        <w:rPr>
          <w:rFonts w:ascii="Arial" w:hAnsi="Arial" w:cs="Arial"/>
          <w:sz w:val="21"/>
          <w:szCs w:val="21"/>
        </w:rPr>
        <w:t xml:space="preserve">y declaró inexequible la expresión </w:t>
      </w:r>
      <w:r w:rsidRPr="00EF0380">
        <w:rPr>
          <w:rFonts w:ascii="Arial" w:hAnsi="Arial" w:cs="Arial"/>
          <w:i/>
          <w:iCs/>
          <w:sz w:val="21"/>
          <w:szCs w:val="21"/>
        </w:rPr>
        <w:t xml:space="preserve">“adicionalmente se exceptúan aquellos gastos inaplazables e imprescindibles que afecten el normal funcionamiento de la administración”, </w:t>
      </w:r>
      <w:r w:rsidRPr="00EF0380">
        <w:rPr>
          <w:rFonts w:ascii="Arial" w:hAnsi="Arial" w:cs="Arial"/>
          <w:iCs/>
          <w:sz w:val="21"/>
          <w:szCs w:val="21"/>
        </w:rPr>
        <w:t xml:space="preserve">por ser </w:t>
      </w:r>
      <w:r w:rsidRPr="00EF0380">
        <w:rPr>
          <w:rFonts w:ascii="Arial" w:hAnsi="Arial" w:cs="Arial"/>
          <w:sz w:val="21"/>
          <w:szCs w:val="21"/>
        </w:rPr>
        <w:t>demasiado amplia e indeterminada y permitir incluir  numerosas excepciones que desdibujarían la prohibición original»</w:t>
      </w:r>
      <w:r w:rsidRPr="00EF0380">
        <w:rPr>
          <w:rStyle w:val="Refdenotaalpie"/>
          <w:rFonts w:ascii="Arial" w:hAnsi="Arial" w:cs="Arial"/>
          <w:sz w:val="21"/>
          <w:szCs w:val="21"/>
        </w:rPr>
        <w:footnoteReference w:id="20"/>
      </w:r>
      <w:r w:rsidRPr="00EF0380">
        <w:rPr>
          <w:rFonts w:ascii="Arial" w:hAnsi="Arial" w:cs="Arial"/>
          <w:sz w:val="21"/>
          <w:szCs w:val="21"/>
        </w:rPr>
        <w:t>.</w:t>
      </w:r>
    </w:p>
    <w:p w14:paraId="176D7E75" w14:textId="0615D054" w:rsidR="00EC3CA7" w:rsidRPr="00EF0380" w:rsidRDefault="00064864" w:rsidP="004821CF">
      <w:pPr>
        <w:spacing w:after="120"/>
        <w:ind w:firstLine="708"/>
        <w:rPr>
          <w:rFonts w:ascii="Arial" w:eastAsia="Arial" w:hAnsi="Arial" w:cs="Arial"/>
          <w:sz w:val="22"/>
          <w:szCs w:val="22"/>
        </w:rPr>
      </w:pPr>
      <w:r w:rsidRPr="00EF0380">
        <w:rPr>
          <w:rFonts w:ascii="Arial" w:eastAsia="Arial" w:hAnsi="Arial" w:cs="Arial"/>
          <w:sz w:val="22"/>
          <w:szCs w:val="22"/>
        </w:rPr>
        <w:t>Así, se concluye</w:t>
      </w:r>
      <w:r w:rsidR="008F520F" w:rsidRPr="00EF0380">
        <w:rPr>
          <w:rFonts w:ascii="Arial" w:eastAsia="Arial" w:hAnsi="Arial" w:cs="Arial"/>
          <w:sz w:val="22"/>
          <w:szCs w:val="22"/>
        </w:rPr>
        <w:t>,</w:t>
      </w:r>
      <w:r w:rsidRPr="00EF0380">
        <w:rPr>
          <w:rFonts w:ascii="Arial" w:eastAsia="Arial" w:hAnsi="Arial" w:cs="Arial"/>
          <w:sz w:val="22"/>
          <w:szCs w:val="22"/>
        </w:rPr>
        <w:t xml:space="preserve"> solo en la medida en que el respectivo contrato cuente con un objeto o finalidad que guarden relación directa o indirecta con </w:t>
      </w:r>
      <w:r w:rsidR="00D06DD3" w:rsidRPr="00EF0380">
        <w:rPr>
          <w:rFonts w:ascii="Arial" w:eastAsia="Arial" w:hAnsi="Arial" w:cs="Arial"/>
          <w:sz w:val="22"/>
          <w:szCs w:val="22"/>
        </w:rPr>
        <w:t>situaciones de urgencia</w:t>
      </w:r>
      <w:r w:rsidRPr="00EF0380">
        <w:rPr>
          <w:rFonts w:ascii="Arial" w:eastAsia="Arial" w:hAnsi="Arial" w:cs="Arial"/>
          <w:sz w:val="22"/>
          <w:szCs w:val="22"/>
        </w:rPr>
        <w:t xml:space="preserve"> sanitaria </w:t>
      </w:r>
      <w:r w:rsidR="00D06DD3" w:rsidRPr="00EF0380">
        <w:rPr>
          <w:rFonts w:ascii="Arial" w:eastAsia="Arial" w:hAnsi="Arial" w:cs="Arial"/>
          <w:sz w:val="22"/>
          <w:szCs w:val="22"/>
        </w:rPr>
        <w:t>u</w:t>
      </w:r>
      <w:r w:rsidRPr="00EF0380">
        <w:rPr>
          <w:rFonts w:ascii="Arial" w:eastAsia="Arial" w:hAnsi="Arial" w:cs="Arial"/>
          <w:sz w:val="22"/>
          <w:szCs w:val="22"/>
        </w:rPr>
        <w:t xml:space="preserve"> hospitalaria</w:t>
      </w:r>
      <w:r w:rsidR="00D06DD3" w:rsidRPr="00EF0380">
        <w:rPr>
          <w:rFonts w:ascii="Arial" w:eastAsia="Arial" w:hAnsi="Arial" w:cs="Arial"/>
          <w:sz w:val="22"/>
          <w:szCs w:val="22"/>
        </w:rPr>
        <w:t>,</w:t>
      </w:r>
      <w:r w:rsidRPr="00EF0380">
        <w:rPr>
          <w:rFonts w:ascii="Arial" w:eastAsia="Arial" w:hAnsi="Arial" w:cs="Arial"/>
          <w:sz w:val="22"/>
          <w:szCs w:val="22"/>
        </w:rPr>
        <w:t xml:space="preserve"> se entenderá aplicable la excepción. Esto por cuanto la finalidad de las excepciones a la prohibición d</w:t>
      </w:r>
      <w:r w:rsidR="003600AB">
        <w:rPr>
          <w:rFonts w:ascii="Arial" w:eastAsia="Arial" w:hAnsi="Arial" w:cs="Arial"/>
          <w:sz w:val="22"/>
          <w:szCs w:val="22"/>
        </w:rPr>
        <w:t>e</w:t>
      </w:r>
      <w:r w:rsidRPr="00EF0380">
        <w:rPr>
          <w:rFonts w:ascii="Arial" w:eastAsia="Arial" w:hAnsi="Arial" w:cs="Arial"/>
          <w:sz w:val="22"/>
          <w:szCs w:val="22"/>
        </w:rPr>
        <w:t xml:space="preserve">l artículo 33, </w:t>
      </w:r>
      <w:r w:rsidR="003600AB">
        <w:rPr>
          <w:rFonts w:ascii="Arial" w:eastAsia="Arial" w:hAnsi="Arial" w:cs="Arial"/>
          <w:sz w:val="22"/>
          <w:szCs w:val="22"/>
        </w:rPr>
        <w:t>encuentra</w:t>
      </w:r>
      <w:r w:rsidRPr="00EF0380">
        <w:rPr>
          <w:rFonts w:ascii="Arial" w:eastAsia="Arial" w:hAnsi="Arial" w:cs="Arial"/>
          <w:sz w:val="22"/>
          <w:szCs w:val="22"/>
        </w:rPr>
        <w:t xml:space="preserve"> su razón de ser, precisamente, en la naturaleza de cierto tipo de actividades que</w:t>
      </w:r>
      <w:r w:rsidR="00D06DD3" w:rsidRPr="00EF0380">
        <w:rPr>
          <w:rFonts w:ascii="Arial" w:eastAsia="Arial" w:hAnsi="Arial" w:cs="Arial"/>
          <w:sz w:val="22"/>
          <w:szCs w:val="22"/>
        </w:rPr>
        <w:t>, por lo intereses que preten</w:t>
      </w:r>
      <w:r w:rsidR="003600AB">
        <w:rPr>
          <w:rFonts w:ascii="Arial" w:eastAsia="Arial" w:hAnsi="Arial" w:cs="Arial"/>
          <w:sz w:val="22"/>
          <w:szCs w:val="22"/>
        </w:rPr>
        <w:t>d</w:t>
      </w:r>
      <w:r w:rsidR="00D06DD3" w:rsidRPr="00EF0380">
        <w:rPr>
          <w:rFonts w:ascii="Arial" w:eastAsia="Arial" w:hAnsi="Arial" w:cs="Arial"/>
          <w:sz w:val="22"/>
          <w:szCs w:val="22"/>
        </w:rPr>
        <w:t>en garantizar,</w:t>
      </w:r>
      <w:r w:rsidRPr="00EF0380">
        <w:rPr>
          <w:rFonts w:ascii="Arial" w:eastAsia="Arial" w:hAnsi="Arial" w:cs="Arial"/>
          <w:sz w:val="22"/>
          <w:szCs w:val="22"/>
        </w:rPr>
        <w:t xml:space="preserve"> se tornan relevantes e </w:t>
      </w:r>
      <w:proofErr w:type="spellStart"/>
      <w:r w:rsidRPr="00EF0380">
        <w:rPr>
          <w:rFonts w:ascii="Arial" w:eastAsia="Arial" w:hAnsi="Arial" w:cs="Arial"/>
          <w:sz w:val="22"/>
          <w:szCs w:val="22"/>
        </w:rPr>
        <w:t>impostegrables</w:t>
      </w:r>
      <w:proofErr w:type="spellEnd"/>
      <w:r w:rsidRPr="00EF0380">
        <w:rPr>
          <w:rFonts w:ascii="Arial" w:eastAsia="Arial" w:hAnsi="Arial" w:cs="Arial"/>
          <w:sz w:val="22"/>
          <w:szCs w:val="22"/>
        </w:rPr>
        <w:t>, ante lo cual la no aplicación de la prohibición resulta necesaria y proporcional</w:t>
      </w:r>
      <w:r w:rsidR="008264C1" w:rsidRPr="00EF0380">
        <w:rPr>
          <w:rFonts w:ascii="Arial" w:eastAsia="Arial" w:hAnsi="Arial" w:cs="Arial"/>
          <w:sz w:val="22"/>
          <w:szCs w:val="22"/>
        </w:rPr>
        <w:t>.</w:t>
      </w:r>
      <w:r w:rsidRPr="00EF0380">
        <w:rPr>
          <w:rFonts w:ascii="Arial" w:eastAsia="Arial" w:hAnsi="Arial" w:cs="Arial"/>
          <w:sz w:val="22"/>
          <w:szCs w:val="22"/>
        </w:rPr>
        <w:t xml:space="preserve"> </w:t>
      </w:r>
      <w:r w:rsidR="008264C1" w:rsidRPr="00EF0380">
        <w:rPr>
          <w:rFonts w:ascii="Arial" w:eastAsia="Arial" w:hAnsi="Arial" w:cs="Arial"/>
          <w:sz w:val="22"/>
          <w:szCs w:val="22"/>
        </w:rPr>
        <w:t>P</w:t>
      </w:r>
      <w:r w:rsidRPr="00EF0380">
        <w:rPr>
          <w:rFonts w:ascii="Arial" w:eastAsia="Arial" w:hAnsi="Arial" w:cs="Arial"/>
          <w:sz w:val="22"/>
          <w:szCs w:val="22"/>
        </w:rPr>
        <w:t>or es</w:t>
      </w:r>
      <w:r w:rsidR="003600AB">
        <w:rPr>
          <w:rFonts w:ascii="Arial" w:eastAsia="Arial" w:hAnsi="Arial" w:cs="Arial"/>
          <w:sz w:val="22"/>
          <w:szCs w:val="22"/>
        </w:rPr>
        <w:t>to</w:t>
      </w:r>
      <w:r w:rsidR="008264C1" w:rsidRPr="00EF0380">
        <w:rPr>
          <w:rFonts w:ascii="Arial" w:eastAsia="Arial" w:hAnsi="Arial" w:cs="Arial"/>
          <w:sz w:val="22"/>
          <w:szCs w:val="22"/>
        </w:rPr>
        <w:t xml:space="preserve"> y</w:t>
      </w:r>
      <w:r w:rsidR="003600AB">
        <w:rPr>
          <w:rFonts w:ascii="Arial" w:eastAsia="Arial" w:hAnsi="Arial" w:cs="Arial"/>
          <w:sz w:val="22"/>
          <w:szCs w:val="22"/>
        </w:rPr>
        <w:t>,</w:t>
      </w:r>
      <w:r w:rsidR="008264C1" w:rsidRPr="00EF0380">
        <w:rPr>
          <w:rFonts w:ascii="Arial" w:eastAsia="Arial" w:hAnsi="Arial" w:cs="Arial"/>
          <w:sz w:val="22"/>
          <w:szCs w:val="22"/>
        </w:rPr>
        <w:t xml:space="preserve"> </w:t>
      </w:r>
      <w:r w:rsidR="003600AB">
        <w:rPr>
          <w:rFonts w:ascii="Arial" w:eastAsia="Arial" w:hAnsi="Arial" w:cs="Arial"/>
          <w:sz w:val="22"/>
          <w:szCs w:val="22"/>
        </w:rPr>
        <w:t xml:space="preserve">a </w:t>
      </w:r>
      <w:r w:rsidR="008264C1" w:rsidRPr="00EF0380">
        <w:rPr>
          <w:rFonts w:ascii="Arial" w:eastAsia="Arial" w:hAnsi="Arial" w:cs="Arial"/>
          <w:i/>
          <w:iCs/>
          <w:sz w:val="22"/>
          <w:szCs w:val="22"/>
        </w:rPr>
        <w:t>contrario sensu</w:t>
      </w:r>
      <w:r w:rsidR="008264C1" w:rsidRPr="00EF0380">
        <w:rPr>
          <w:rFonts w:ascii="Arial" w:eastAsia="Arial" w:hAnsi="Arial" w:cs="Arial"/>
          <w:sz w:val="22"/>
          <w:szCs w:val="22"/>
        </w:rPr>
        <w:t>,</w:t>
      </w:r>
      <w:r w:rsidRPr="00EF0380">
        <w:rPr>
          <w:rFonts w:ascii="Arial" w:eastAsia="Arial" w:hAnsi="Arial" w:cs="Arial"/>
          <w:sz w:val="22"/>
          <w:szCs w:val="22"/>
        </w:rPr>
        <w:t xml:space="preserve"> si el respectivo contrato no guarda relación con dichas actividades, aún si la entidad que lo celebra es de aquellas que desarrollen </w:t>
      </w:r>
      <w:proofErr w:type="spellStart"/>
      <w:r w:rsidRPr="00EF0380">
        <w:rPr>
          <w:rFonts w:ascii="Arial" w:eastAsia="Arial" w:hAnsi="Arial" w:cs="Arial"/>
          <w:sz w:val="22"/>
          <w:szCs w:val="22"/>
        </w:rPr>
        <w:t>comunmente</w:t>
      </w:r>
      <w:proofErr w:type="spellEnd"/>
      <w:r w:rsidRPr="00EF0380">
        <w:rPr>
          <w:rFonts w:ascii="Arial" w:eastAsia="Arial" w:hAnsi="Arial" w:cs="Arial"/>
          <w:sz w:val="22"/>
          <w:szCs w:val="22"/>
        </w:rPr>
        <w:t xml:space="preserve"> actividades sanitarias y hospitalarias, no resultaría, entonces, aplicable la excepción. </w:t>
      </w:r>
      <w:r w:rsidR="008264C1" w:rsidRPr="00EF0380">
        <w:rPr>
          <w:rFonts w:ascii="Arial" w:eastAsia="Arial" w:hAnsi="Arial" w:cs="Arial"/>
          <w:sz w:val="22"/>
          <w:szCs w:val="22"/>
        </w:rPr>
        <w:t xml:space="preserve">Lo </w:t>
      </w:r>
      <w:r w:rsidR="008264C1" w:rsidRPr="00EF0380">
        <w:rPr>
          <w:rFonts w:ascii="Arial" w:eastAsia="Arial" w:hAnsi="Arial" w:cs="Arial"/>
          <w:sz w:val="22"/>
          <w:szCs w:val="22"/>
        </w:rPr>
        <w:lastRenderedPageBreak/>
        <w:t>importante, por tanto, es la naturaleza de la actividad a desarrollar o del servicio cuya prestación pretenda ser satisfecha a través del contrato estatal.</w:t>
      </w:r>
    </w:p>
    <w:p w14:paraId="70F6B605" w14:textId="77777777" w:rsidR="004821CF" w:rsidRPr="00EF0380" w:rsidRDefault="004821CF" w:rsidP="004821CF">
      <w:pPr>
        <w:spacing w:after="120"/>
        <w:ind w:firstLine="708"/>
        <w:rPr>
          <w:rFonts w:ascii="Arial" w:eastAsia="Arial" w:hAnsi="Arial" w:cs="Arial"/>
          <w:sz w:val="22"/>
          <w:szCs w:val="22"/>
        </w:rPr>
      </w:pPr>
    </w:p>
    <w:p w14:paraId="5E99153C" w14:textId="77777777" w:rsidR="00EC3CA7" w:rsidRPr="00EF0380" w:rsidRDefault="00AF30F5" w:rsidP="004821CF">
      <w:pPr>
        <w:spacing w:after="0"/>
        <w:rPr>
          <w:rFonts w:ascii="Arial" w:eastAsia="Arial" w:hAnsi="Arial" w:cs="Arial"/>
          <w:b/>
          <w:sz w:val="22"/>
          <w:szCs w:val="22"/>
        </w:rPr>
      </w:pPr>
      <w:r w:rsidRPr="00EF0380">
        <w:rPr>
          <w:rFonts w:ascii="Arial" w:eastAsia="Arial" w:hAnsi="Arial" w:cs="Arial"/>
          <w:b/>
          <w:sz w:val="22"/>
          <w:szCs w:val="22"/>
        </w:rPr>
        <w:t>2.3.  Destinatarios de la restricción del artículo 33 de la Ley 996 de 2005</w:t>
      </w:r>
    </w:p>
    <w:p w14:paraId="31D08A9F" w14:textId="77777777" w:rsidR="00EC3CA7" w:rsidRPr="00EF0380" w:rsidRDefault="00EC3CA7" w:rsidP="004821CF">
      <w:pPr>
        <w:spacing w:after="0"/>
        <w:rPr>
          <w:rFonts w:ascii="Arial" w:eastAsia="Arial" w:hAnsi="Arial" w:cs="Arial"/>
          <w:sz w:val="22"/>
          <w:szCs w:val="22"/>
        </w:rPr>
      </w:pPr>
    </w:p>
    <w:p w14:paraId="2862B7DA" w14:textId="77777777" w:rsidR="00EC3CA7" w:rsidRPr="00EF0380" w:rsidRDefault="00AF30F5" w:rsidP="004821CF">
      <w:pPr>
        <w:spacing w:after="0"/>
        <w:rPr>
          <w:rFonts w:ascii="Arial" w:eastAsia="Arial" w:hAnsi="Arial" w:cs="Arial"/>
          <w:sz w:val="22"/>
          <w:szCs w:val="22"/>
        </w:rPr>
      </w:pPr>
      <w:bookmarkStart w:id="24" w:name="_1ci93xb" w:colFirst="0" w:colLast="0"/>
      <w:bookmarkEnd w:id="24"/>
      <w:r w:rsidRPr="00EF0380">
        <w:rPr>
          <w:rFonts w:ascii="Arial" w:eastAsia="Arial" w:hAnsi="Arial" w:cs="Arial"/>
          <w:sz w:val="22"/>
          <w:szCs w:val="22"/>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EF0380">
        <w:t xml:space="preserve"> </w:t>
      </w:r>
      <w:r w:rsidRPr="00EF0380">
        <w:rPr>
          <w:rFonts w:ascii="Arial" w:eastAsia="Arial" w:hAnsi="Arial" w:cs="Arial"/>
          <w:sz w:val="22"/>
          <w:szCs w:val="22"/>
        </w:rPr>
        <w:t>En efecto, tal como lo ha sostenido el Consejo de Estado, el vocablo «todos» utilizado por el legislador comprende</w:t>
      </w:r>
      <w:r w:rsidRPr="00EF0380">
        <w:t xml:space="preserve"> </w:t>
      </w:r>
      <w:r w:rsidRPr="00EF0380">
        <w:rPr>
          <w:rFonts w:ascii="Arial" w:eastAsia="Arial" w:hAnsi="Arial" w:cs="Arial"/>
          <w:sz w:val="22"/>
          <w:szCs w:val="22"/>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6E33E19C" w14:textId="77777777" w:rsidR="00EC3CA7" w:rsidRPr="00EF0380" w:rsidRDefault="00EC3CA7" w:rsidP="004821CF">
      <w:pPr>
        <w:spacing w:after="0"/>
        <w:ind w:firstLine="708"/>
        <w:rPr>
          <w:rFonts w:ascii="Arial" w:eastAsia="Arial" w:hAnsi="Arial" w:cs="Arial"/>
          <w:sz w:val="22"/>
          <w:szCs w:val="22"/>
        </w:rPr>
      </w:pPr>
    </w:p>
    <w:p w14:paraId="57631F72" w14:textId="77777777" w:rsidR="00EC3CA7" w:rsidRPr="00EF0380" w:rsidRDefault="00AF30F5" w:rsidP="004821CF">
      <w:pPr>
        <w:spacing w:after="0"/>
        <w:ind w:left="708" w:right="709"/>
      </w:pPr>
      <w:bookmarkStart w:id="25" w:name="_3whwml4" w:colFirst="0" w:colLast="0"/>
      <w:bookmarkEnd w:id="25"/>
      <w:r w:rsidRPr="00EF0380">
        <w:rPr>
          <w:rFonts w:ascii="Arial" w:eastAsia="Arial" w:hAnsi="Arial" w:cs="Arial"/>
          <w:sz w:val="21"/>
          <w:szCs w:val="21"/>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EF0380">
        <w:rPr>
          <w:rFonts w:ascii="Arial" w:eastAsia="Arial" w:hAnsi="Arial" w:cs="Arial"/>
          <w:sz w:val="21"/>
          <w:szCs w:val="21"/>
          <w:vertAlign w:val="superscript"/>
        </w:rPr>
        <w:footnoteReference w:id="21"/>
      </w:r>
      <w:r w:rsidRPr="00EF0380">
        <w:rPr>
          <w:rFonts w:ascii="Arial" w:eastAsia="Arial" w:hAnsi="Arial" w:cs="Arial"/>
          <w:sz w:val="21"/>
          <w:szCs w:val="21"/>
        </w:rPr>
        <w:t xml:space="preserve">. </w:t>
      </w:r>
    </w:p>
    <w:p w14:paraId="10BA4956" w14:textId="77777777" w:rsidR="00EC3CA7" w:rsidRPr="00EF0380" w:rsidRDefault="00EC3CA7" w:rsidP="004821CF">
      <w:pPr>
        <w:spacing w:after="0"/>
        <w:ind w:firstLine="708"/>
        <w:rPr>
          <w:rFonts w:ascii="Arial" w:eastAsia="Arial" w:hAnsi="Arial" w:cs="Arial"/>
          <w:sz w:val="22"/>
          <w:szCs w:val="22"/>
        </w:rPr>
      </w:pPr>
    </w:p>
    <w:p w14:paraId="10767D53" w14:textId="1F8805D2" w:rsidR="00EC3CA7" w:rsidRPr="00EF0380" w:rsidRDefault="00AF30F5" w:rsidP="004821CF">
      <w:pPr>
        <w:spacing w:after="0"/>
        <w:ind w:left="708" w:right="709"/>
      </w:pPr>
      <w:bookmarkStart w:id="26" w:name="_2bn6wsx" w:colFirst="0" w:colLast="0"/>
      <w:bookmarkEnd w:id="26"/>
      <w:r w:rsidRPr="00EF0380">
        <w:rPr>
          <w:rFonts w:ascii="Arial" w:eastAsia="Arial" w:hAnsi="Arial" w:cs="Arial"/>
          <w:sz w:val="21"/>
          <w:szCs w:val="21"/>
        </w:rPr>
        <w:lastRenderedPageBreak/>
        <w:t>administración, que incluso podría desconocer los derechos fundamentales</w:t>
      </w:r>
      <w:r w:rsidRPr="00EF0380">
        <w:rPr>
          <w:rFonts w:ascii="Arial" w:eastAsia="Arial" w:hAnsi="Arial" w:cs="Arial"/>
          <w:vertAlign w:val="superscript"/>
        </w:rPr>
        <w:footnoteReference w:id="22"/>
      </w:r>
      <w:r w:rsidRPr="00EF0380">
        <w:rPr>
          <w:rFonts w:ascii="Arial" w:eastAsia="Arial" w:hAnsi="Arial" w:cs="Arial"/>
          <w:sz w:val="22"/>
          <w:szCs w:val="22"/>
        </w:rPr>
        <w:t>.</w:t>
      </w:r>
    </w:p>
    <w:p w14:paraId="2CB29A6B" w14:textId="77777777" w:rsidR="00EC3CA7" w:rsidRPr="00EF0380" w:rsidRDefault="00EC3CA7" w:rsidP="004821CF">
      <w:pPr>
        <w:spacing w:after="0"/>
        <w:rPr>
          <w:rFonts w:ascii="Arial" w:eastAsia="Arial" w:hAnsi="Arial" w:cs="Arial"/>
          <w:sz w:val="22"/>
          <w:szCs w:val="22"/>
        </w:rPr>
      </w:pPr>
    </w:p>
    <w:p w14:paraId="1392F02B" w14:textId="77777777" w:rsidR="00EC3CA7" w:rsidRPr="00EF0380" w:rsidRDefault="00AF30F5" w:rsidP="004821CF">
      <w:pPr>
        <w:spacing w:after="0"/>
        <w:ind w:firstLine="708"/>
        <w:rPr>
          <w:rFonts w:ascii="Arial" w:eastAsia="Arial" w:hAnsi="Arial" w:cs="Arial"/>
          <w:sz w:val="22"/>
          <w:szCs w:val="22"/>
        </w:rPr>
      </w:pPr>
      <w:bookmarkStart w:id="27" w:name="_3as4poj" w:colFirst="0" w:colLast="0"/>
      <w:bookmarkStart w:id="28" w:name="_1pxezwc" w:colFirst="0" w:colLast="0"/>
      <w:bookmarkEnd w:id="27"/>
      <w:bookmarkEnd w:id="28"/>
      <w:r w:rsidRPr="00EF0380">
        <w:rPr>
          <w:rFonts w:ascii="Arial" w:eastAsia="Arial" w:hAnsi="Arial" w:cs="Arial"/>
          <w:sz w:val="22"/>
          <w:szCs w:val="22"/>
        </w:rPr>
        <w:t>Por lo tanto, la restricción prevista en la Ley 996 de 2005, 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0714680F" w14:textId="77777777" w:rsidR="00EC3CA7" w:rsidRPr="00EF0380" w:rsidRDefault="00EC3CA7" w:rsidP="004821CF">
      <w:pPr>
        <w:spacing w:after="0"/>
        <w:rPr>
          <w:rFonts w:ascii="Arial" w:eastAsia="Arial" w:hAnsi="Arial" w:cs="Arial"/>
          <w:bCs/>
          <w:sz w:val="22"/>
          <w:szCs w:val="22"/>
        </w:rPr>
      </w:pPr>
    </w:p>
    <w:p w14:paraId="2E855909" w14:textId="7916F0FC" w:rsidR="00EC3CA7" w:rsidRPr="00EF0380" w:rsidRDefault="00D06DD3" w:rsidP="004821CF">
      <w:pPr>
        <w:spacing w:after="0"/>
        <w:ind w:firstLine="708"/>
        <w:rPr>
          <w:rFonts w:ascii="Arial" w:eastAsia="Arial" w:hAnsi="Arial" w:cs="Arial"/>
          <w:bCs/>
          <w:sz w:val="22"/>
          <w:szCs w:val="22"/>
        </w:rPr>
      </w:pPr>
      <w:bookmarkStart w:id="29" w:name="_49x2ik5" w:colFirst="0" w:colLast="0"/>
      <w:bookmarkEnd w:id="29"/>
      <w:r w:rsidRPr="00EF0380">
        <w:rPr>
          <w:rFonts w:ascii="Arial" w:eastAsia="Arial" w:hAnsi="Arial" w:cs="Arial"/>
          <w:bCs/>
          <w:sz w:val="22"/>
          <w:szCs w:val="22"/>
        </w:rPr>
        <w:t>En este pun</w:t>
      </w:r>
      <w:r w:rsidR="00E442F3" w:rsidRPr="00EF0380">
        <w:rPr>
          <w:rFonts w:ascii="Arial" w:eastAsia="Arial" w:hAnsi="Arial" w:cs="Arial"/>
          <w:bCs/>
          <w:sz w:val="22"/>
          <w:szCs w:val="22"/>
        </w:rPr>
        <w:t>to</w:t>
      </w:r>
      <w:r w:rsidRPr="00EF0380">
        <w:rPr>
          <w:rFonts w:ascii="Arial" w:eastAsia="Arial" w:hAnsi="Arial" w:cs="Arial"/>
          <w:bCs/>
          <w:sz w:val="22"/>
          <w:szCs w:val="22"/>
        </w:rPr>
        <w:t xml:space="preserve">, debe tenerse en cuenta que, en principio, las secretarias departamentales pertenecientes a la </w:t>
      </w:r>
      <w:proofErr w:type="spellStart"/>
      <w:r w:rsidRPr="00EF0380">
        <w:rPr>
          <w:rFonts w:ascii="Arial" w:eastAsia="Arial" w:hAnsi="Arial" w:cs="Arial"/>
          <w:bCs/>
          <w:sz w:val="22"/>
          <w:szCs w:val="22"/>
        </w:rPr>
        <w:t>administracion</w:t>
      </w:r>
      <w:proofErr w:type="spellEnd"/>
      <w:r w:rsidRPr="00EF0380">
        <w:rPr>
          <w:rFonts w:ascii="Arial" w:eastAsia="Arial" w:hAnsi="Arial" w:cs="Arial"/>
          <w:bCs/>
          <w:sz w:val="22"/>
          <w:szCs w:val="22"/>
        </w:rPr>
        <w:t xml:space="preserve"> territorial estarían </w:t>
      </w:r>
      <w:proofErr w:type="spellStart"/>
      <w:r w:rsidRPr="00EF0380">
        <w:rPr>
          <w:rFonts w:ascii="Arial" w:eastAsia="Arial" w:hAnsi="Arial" w:cs="Arial"/>
          <w:bCs/>
          <w:sz w:val="22"/>
          <w:szCs w:val="22"/>
        </w:rPr>
        <w:t>cobjadas</w:t>
      </w:r>
      <w:proofErr w:type="spellEnd"/>
      <w:r w:rsidRPr="00EF0380">
        <w:rPr>
          <w:rFonts w:ascii="Arial" w:eastAsia="Arial" w:hAnsi="Arial" w:cs="Arial"/>
          <w:bCs/>
          <w:sz w:val="22"/>
          <w:szCs w:val="22"/>
        </w:rPr>
        <w:t xml:space="preserve"> por la prohibición para contratar directamente </w:t>
      </w:r>
      <w:r w:rsidR="00E442F3" w:rsidRPr="00EF0380">
        <w:rPr>
          <w:rFonts w:ascii="Arial" w:eastAsia="Arial" w:hAnsi="Arial" w:cs="Arial"/>
          <w:bCs/>
          <w:sz w:val="22"/>
          <w:szCs w:val="22"/>
        </w:rPr>
        <w:t xml:space="preserve">establecida en el artículo 33 de la Ley de Garantías. Sin embargo, debe tenerse en cuenta que el inciso 2 del mismo artículo consagra excepciones a dicha prohibición sin hacer distingo entre entidades </w:t>
      </w:r>
      <w:proofErr w:type="gramStart"/>
      <w:r w:rsidR="00E442F3" w:rsidRPr="00EF0380">
        <w:rPr>
          <w:rFonts w:ascii="Arial" w:eastAsia="Arial" w:hAnsi="Arial" w:cs="Arial"/>
          <w:bCs/>
          <w:sz w:val="22"/>
          <w:szCs w:val="22"/>
        </w:rPr>
        <w:t>sino</w:t>
      </w:r>
      <w:proofErr w:type="gramEnd"/>
      <w:r w:rsidR="00E442F3" w:rsidRPr="00EF0380">
        <w:rPr>
          <w:rFonts w:ascii="Arial" w:eastAsia="Arial" w:hAnsi="Arial" w:cs="Arial"/>
          <w:bCs/>
          <w:sz w:val="22"/>
          <w:szCs w:val="22"/>
        </w:rPr>
        <w:t>, como se dijo, atendiendo a la naturaleza de las funciones y actividades que ellas desarrollen.</w:t>
      </w:r>
    </w:p>
    <w:p w14:paraId="5B90DF40" w14:textId="5FD18BEA" w:rsidR="00E442F3" w:rsidRPr="00EF0380" w:rsidRDefault="00E442F3" w:rsidP="004821CF">
      <w:pPr>
        <w:spacing w:after="0"/>
        <w:ind w:firstLine="708"/>
        <w:rPr>
          <w:rFonts w:ascii="Arial" w:eastAsia="Arial" w:hAnsi="Arial" w:cs="Arial"/>
          <w:bCs/>
          <w:sz w:val="22"/>
          <w:szCs w:val="22"/>
        </w:rPr>
      </w:pPr>
    </w:p>
    <w:p w14:paraId="04F17EE8" w14:textId="33A3CABB" w:rsidR="00E442F3" w:rsidRPr="00EF0380" w:rsidRDefault="00E442F3" w:rsidP="004821CF">
      <w:pPr>
        <w:spacing w:after="0"/>
        <w:ind w:firstLine="708"/>
        <w:rPr>
          <w:rFonts w:ascii="Arial" w:eastAsia="Arial" w:hAnsi="Arial" w:cs="Arial"/>
          <w:bCs/>
          <w:sz w:val="22"/>
          <w:szCs w:val="22"/>
        </w:rPr>
      </w:pPr>
      <w:r w:rsidRPr="00EF0380">
        <w:rPr>
          <w:rFonts w:ascii="Arial" w:eastAsia="Arial" w:hAnsi="Arial" w:cs="Arial"/>
          <w:bCs/>
          <w:sz w:val="22"/>
          <w:szCs w:val="22"/>
        </w:rPr>
        <w:t xml:space="preserve">Así las cosas, no resulta relevante </w:t>
      </w:r>
      <w:r w:rsidR="008F520F" w:rsidRPr="00EF0380">
        <w:rPr>
          <w:rFonts w:ascii="Arial" w:eastAsia="Arial" w:hAnsi="Arial" w:cs="Arial"/>
          <w:bCs/>
          <w:sz w:val="22"/>
          <w:szCs w:val="22"/>
        </w:rPr>
        <w:t xml:space="preserve">ni </w:t>
      </w:r>
      <w:r w:rsidRPr="00EF0380">
        <w:rPr>
          <w:rFonts w:ascii="Arial" w:eastAsia="Arial" w:hAnsi="Arial" w:cs="Arial"/>
          <w:bCs/>
          <w:sz w:val="22"/>
          <w:szCs w:val="22"/>
        </w:rPr>
        <w:t>la nominación</w:t>
      </w:r>
      <w:r w:rsidR="008F520F" w:rsidRPr="00EF0380">
        <w:rPr>
          <w:rFonts w:ascii="Arial" w:eastAsia="Arial" w:hAnsi="Arial" w:cs="Arial"/>
          <w:bCs/>
          <w:sz w:val="22"/>
          <w:szCs w:val="22"/>
        </w:rPr>
        <w:t>, naturaleza o régimen aplicable</w:t>
      </w:r>
      <w:r w:rsidRPr="00EF0380">
        <w:rPr>
          <w:rFonts w:ascii="Arial" w:eastAsia="Arial" w:hAnsi="Arial" w:cs="Arial"/>
          <w:bCs/>
          <w:sz w:val="22"/>
          <w:szCs w:val="22"/>
        </w:rPr>
        <w:t xml:space="preserve"> </w:t>
      </w:r>
      <w:r w:rsidR="008F520F" w:rsidRPr="00EF0380">
        <w:rPr>
          <w:rFonts w:ascii="Arial" w:eastAsia="Arial" w:hAnsi="Arial" w:cs="Arial"/>
          <w:bCs/>
          <w:sz w:val="22"/>
          <w:szCs w:val="22"/>
        </w:rPr>
        <w:t>para</w:t>
      </w:r>
      <w:r w:rsidRPr="00EF0380">
        <w:rPr>
          <w:rFonts w:ascii="Arial" w:eastAsia="Arial" w:hAnsi="Arial" w:cs="Arial"/>
          <w:bCs/>
          <w:sz w:val="22"/>
          <w:szCs w:val="22"/>
        </w:rPr>
        <w:t xml:space="preserve"> la respectiva entidad, sino que </w:t>
      </w:r>
      <w:r w:rsidR="008F520F" w:rsidRPr="00EF0380">
        <w:rPr>
          <w:rFonts w:ascii="Arial" w:eastAsia="Arial" w:hAnsi="Arial" w:cs="Arial"/>
          <w:bCs/>
          <w:sz w:val="22"/>
          <w:szCs w:val="22"/>
        </w:rPr>
        <w:t>basta con que la</w:t>
      </w:r>
      <w:r w:rsidRPr="00EF0380">
        <w:rPr>
          <w:rFonts w:ascii="Arial" w:eastAsia="Arial" w:hAnsi="Arial" w:cs="Arial"/>
          <w:bCs/>
          <w:sz w:val="22"/>
          <w:szCs w:val="22"/>
        </w:rPr>
        <w:t xml:space="preserve"> misma desarrolle cierto tipo de actividades</w:t>
      </w:r>
      <w:r w:rsidR="008F520F" w:rsidRPr="00EF0380">
        <w:rPr>
          <w:rFonts w:ascii="Arial" w:eastAsia="Arial" w:hAnsi="Arial" w:cs="Arial"/>
          <w:bCs/>
          <w:sz w:val="22"/>
          <w:szCs w:val="22"/>
        </w:rPr>
        <w:t xml:space="preserve"> cuya contratación, por su naturaleza especialmente sensible, no admiten postergación</w:t>
      </w:r>
      <w:r w:rsidRPr="00EF0380">
        <w:rPr>
          <w:rFonts w:ascii="Arial" w:eastAsia="Arial" w:hAnsi="Arial" w:cs="Arial"/>
          <w:bCs/>
          <w:sz w:val="22"/>
          <w:szCs w:val="22"/>
        </w:rPr>
        <w:t xml:space="preserve">, entre ellas las que tengan que ver con la sanidad y el servicio hospitalario, y que el respectivo contrato tenga como objeto conjurar o atender una situación apremiante que guarde relación con tales actividades. </w:t>
      </w:r>
    </w:p>
    <w:p w14:paraId="5FD1CAAF" w14:textId="77777777" w:rsidR="00E442F3" w:rsidRPr="00EF0380" w:rsidRDefault="00E442F3" w:rsidP="004821CF">
      <w:pPr>
        <w:spacing w:after="0"/>
      </w:pPr>
    </w:p>
    <w:p w14:paraId="328BA097" w14:textId="301BFE13" w:rsidR="00EC3CA7" w:rsidRPr="00EF0380" w:rsidRDefault="00AF30F5" w:rsidP="004821CF">
      <w:pPr>
        <w:spacing w:after="0"/>
        <w:rPr>
          <w:rFonts w:ascii="Arial" w:eastAsia="Arial" w:hAnsi="Arial" w:cs="Arial"/>
          <w:b/>
          <w:sz w:val="22"/>
          <w:szCs w:val="22"/>
        </w:rPr>
      </w:pPr>
      <w:bookmarkStart w:id="30" w:name="_3fwokq0" w:colFirst="0" w:colLast="0"/>
      <w:bookmarkEnd w:id="30"/>
      <w:r w:rsidRPr="00EF0380">
        <w:rPr>
          <w:rFonts w:ascii="Arial" w:eastAsia="Arial" w:hAnsi="Arial" w:cs="Arial"/>
          <w:b/>
          <w:sz w:val="22"/>
          <w:szCs w:val="22"/>
        </w:rPr>
        <w:t>3. Respuesta</w:t>
      </w:r>
    </w:p>
    <w:p w14:paraId="3CEED8F9" w14:textId="77777777" w:rsidR="00E442F3" w:rsidRPr="00EF0380" w:rsidRDefault="00E442F3" w:rsidP="004821CF">
      <w:pPr>
        <w:spacing w:after="0"/>
        <w:rPr>
          <w:rFonts w:ascii="Arial" w:eastAsia="Arial" w:hAnsi="Arial" w:cs="Arial"/>
          <w:b/>
          <w:sz w:val="21"/>
          <w:szCs w:val="21"/>
        </w:rPr>
      </w:pPr>
    </w:p>
    <w:p w14:paraId="731F1D3F" w14:textId="77777777" w:rsidR="00E442F3" w:rsidRPr="00EF0380" w:rsidRDefault="00E442F3" w:rsidP="004821CF">
      <w:pPr>
        <w:spacing w:after="0"/>
        <w:ind w:left="720"/>
        <w:rPr>
          <w:rFonts w:ascii="Arial" w:hAnsi="Arial" w:cs="Arial"/>
          <w:sz w:val="21"/>
          <w:szCs w:val="21"/>
        </w:rPr>
      </w:pPr>
      <w:r w:rsidRPr="00EF0380">
        <w:rPr>
          <w:rFonts w:ascii="Arial" w:hAnsi="Arial" w:cs="Arial"/>
          <w:sz w:val="21"/>
          <w:szCs w:val="21"/>
        </w:rPr>
        <w:t xml:space="preserve">«¿Las SECRETARÍAS DE SALUD DEPARTAMENTALES se encuentran exceptuadas de la restricción prescrita en el inciso primero del artículo 33 de la </w:t>
      </w:r>
      <w:r w:rsidRPr="00EF0380">
        <w:rPr>
          <w:rFonts w:ascii="Arial" w:hAnsi="Arial" w:cs="Arial"/>
          <w:sz w:val="21"/>
          <w:szCs w:val="21"/>
        </w:rPr>
        <w:lastRenderedPageBreak/>
        <w:t xml:space="preserve">Ley 0996 de 2005, de conformidad con lo establecido en el inciso segundo de la misma normatividad? </w:t>
      </w:r>
    </w:p>
    <w:p w14:paraId="0BB1DFDE" w14:textId="77777777" w:rsidR="00E442F3" w:rsidRPr="00EF0380" w:rsidRDefault="00E442F3" w:rsidP="004821CF">
      <w:pPr>
        <w:spacing w:after="0"/>
        <w:ind w:left="720"/>
        <w:rPr>
          <w:rFonts w:ascii="Arial" w:hAnsi="Arial" w:cs="Arial"/>
          <w:sz w:val="21"/>
          <w:szCs w:val="21"/>
        </w:rPr>
      </w:pPr>
      <w:r w:rsidRPr="00EF0380">
        <w:rPr>
          <w:rFonts w:ascii="Arial" w:hAnsi="Arial" w:cs="Arial"/>
          <w:sz w:val="21"/>
          <w:szCs w:val="21"/>
        </w:rPr>
        <w:t xml:space="preserve"> </w:t>
      </w:r>
    </w:p>
    <w:p w14:paraId="41E6035E" w14:textId="77777777" w:rsidR="00E442F3" w:rsidRPr="00EF0380" w:rsidRDefault="00E442F3" w:rsidP="004821CF">
      <w:pPr>
        <w:spacing w:after="0"/>
        <w:ind w:left="720"/>
        <w:rPr>
          <w:sz w:val="21"/>
          <w:szCs w:val="21"/>
        </w:rPr>
      </w:pPr>
      <w:r w:rsidRPr="00EF0380">
        <w:rPr>
          <w:rFonts w:ascii="Arial" w:hAnsi="Arial" w:cs="Arial"/>
          <w:sz w:val="21"/>
          <w:szCs w:val="21"/>
        </w:rPr>
        <w:t>[…] En consecuencia, ¿las SECRETARÍAS DE SALUD DEPARTAMENTALES, pueden celebrar contratos bajo la modalidad de Contratación Directa durante los 4 meses previos a la elección presidencial e, incluso, hasta la materialización de la elección en la segunda vuelta?»</w:t>
      </w:r>
    </w:p>
    <w:p w14:paraId="7DEE2C9D" w14:textId="77777777" w:rsidR="00EC3CA7" w:rsidRPr="00EF0380" w:rsidRDefault="00EC3CA7" w:rsidP="004821CF">
      <w:pPr>
        <w:spacing w:after="0"/>
        <w:ind w:left="709" w:right="709"/>
        <w:rPr>
          <w:rFonts w:ascii="Arial" w:eastAsia="Arial" w:hAnsi="Arial" w:cs="Arial"/>
          <w:sz w:val="22"/>
          <w:szCs w:val="22"/>
        </w:rPr>
      </w:pPr>
    </w:p>
    <w:p w14:paraId="1315DAB4" w14:textId="77777777" w:rsidR="00EF0380" w:rsidRPr="00EF0380" w:rsidRDefault="00EF0380" w:rsidP="00EF0380">
      <w:pPr>
        <w:spacing w:after="0"/>
        <w:rPr>
          <w:rFonts w:ascii="Arial" w:eastAsia="Arial" w:hAnsi="Arial" w:cs="Arial"/>
          <w:sz w:val="22"/>
          <w:szCs w:val="22"/>
        </w:rPr>
      </w:pPr>
      <w:r w:rsidRPr="00EF0380">
        <w:rPr>
          <w:rFonts w:ascii="Arial" w:eastAsia="Arial" w:hAnsi="Arial" w:cs="Arial"/>
          <w:sz w:val="22"/>
          <w:szCs w:val="22"/>
        </w:rPr>
        <w:t xml:space="preserve">La prohibición para contratar directamente establecida en el artículo 33 de la Ley 996 de 2005, aplica a todas las entidades públicas sin distingo de orden o nivel y de cualquier régimen de contratación. En el mismo sentido, las excepciones a la prohibición consagradas en el inciso segundo de la misma norma, tampoco discrimina entre tipos de </w:t>
      </w:r>
      <w:proofErr w:type="gramStart"/>
      <w:r w:rsidRPr="00EF0380">
        <w:rPr>
          <w:rFonts w:ascii="Arial" w:eastAsia="Arial" w:hAnsi="Arial" w:cs="Arial"/>
          <w:sz w:val="22"/>
          <w:szCs w:val="22"/>
        </w:rPr>
        <w:t>entidades</w:t>
      </w:r>
      <w:proofErr w:type="gramEnd"/>
      <w:r w:rsidRPr="00EF0380">
        <w:rPr>
          <w:rFonts w:ascii="Arial" w:eastAsia="Arial" w:hAnsi="Arial" w:cs="Arial"/>
          <w:sz w:val="22"/>
          <w:szCs w:val="22"/>
        </w:rPr>
        <w:t xml:space="preserve"> sino que exceptúa a ciertas actividades o funciones del régimen general de prohibiciones.</w:t>
      </w:r>
    </w:p>
    <w:p w14:paraId="4873D6A0" w14:textId="77777777" w:rsidR="00EF0380" w:rsidRPr="00EF0380" w:rsidRDefault="00EF0380" w:rsidP="00EF0380">
      <w:pPr>
        <w:spacing w:after="0"/>
        <w:rPr>
          <w:rFonts w:ascii="Arial" w:eastAsia="Arial" w:hAnsi="Arial" w:cs="Arial"/>
          <w:sz w:val="22"/>
          <w:szCs w:val="22"/>
        </w:rPr>
      </w:pPr>
      <w:r w:rsidRPr="00EF0380">
        <w:rPr>
          <w:rFonts w:ascii="Arial" w:eastAsia="Arial" w:hAnsi="Arial" w:cs="Arial"/>
          <w:sz w:val="22"/>
          <w:szCs w:val="22"/>
        </w:rPr>
        <w:t xml:space="preserve"> </w:t>
      </w:r>
    </w:p>
    <w:p w14:paraId="4AE2AF95" w14:textId="1EFD8A8C" w:rsidR="00A47FFD" w:rsidRPr="00EF0380" w:rsidRDefault="00EF0380" w:rsidP="00EF0380">
      <w:pPr>
        <w:spacing w:after="0"/>
        <w:rPr>
          <w:rFonts w:ascii="Arial" w:eastAsia="Arial" w:hAnsi="Arial" w:cs="Arial"/>
          <w:sz w:val="22"/>
          <w:szCs w:val="22"/>
        </w:rPr>
      </w:pPr>
      <w:r w:rsidRPr="00EF0380">
        <w:rPr>
          <w:rFonts w:ascii="Arial" w:eastAsia="Arial" w:hAnsi="Arial" w:cs="Arial"/>
          <w:sz w:val="22"/>
          <w:szCs w:val="22"/>
        </w:rPr>
        <w:t>En ese sentido, la respectiva entidad que pretenda celebrar contratos directamente durante el periodo preelectoral establecido en el artículo 33, deberá verificar las funciones que tiene a su cargo y la actividad que pretenda o servicio que se quiera satisfacer a través del respectivo contrato, para atender una situación relacionada con la sanidad pública o el servicio hospitalario de manera urgente.</w:t>
      </w:r>
    </w:p>
    <w:p w14:paraId="679F1E38" w14:textId="77777777" w:rsidR="00A47FFD" w:rsidRPr="00EF0380" w:rsidRDefault="00A47FFD" w:rsidP="004821CF">
      <w:pPr>
        <w:spacing w:after="0"/>
        <w:rPr>
          <w:rFonts w:ascii="Times New Roman" w:eastAsia="Times New Roman" w:hAnsi="Times New Roman" w:cs="Times New Roman"/>
        </w:rPr>
      </w:pPr>
    </w:p>
    <w:p w14:paraId="5804762A" w14:textId="77777777" w:rsidR="00EC3CA7" w:rsidRPr="00EF0380" w:rsidRDefault="00AF30F5" w:rsidP="004821CF">
      <w:pPr>
        <w:spacing w:after="0"/>
      </w:pPr>
      <w:r w:rsidRPr="00EF0380">
        <w:rPr>
          <w:rFonts w:ascii="Arial" w:eastAsia="Arial" w:hAnsi="Arial" w:cs="Arial"/>
          <w:sz w:val="22"/>
          <w:szCs w:val="22"/>
        </w:rPr>
        <w:t>Este concepto tiene el alcance previsto en el artículo 28 del Código de Procedimiento Administrativo y de lo Contencioso Administrativo.</w:t>
      </w:r>
    </w:p>
    <w:p w14:paraId="3E3602B9" w14:textId="5D617E3D" w:rsidR="00EC3CA7" w:rsidRPr="00EF0380" w:rsidRDefault="00AF30F5" w:rsidP="004821CF">
      <w:pPr>
        <w:spacing w:after="120"/>
        <w:rPr>
          <w:rFonts w:ascii="Arial" w:eastAsia="Arial" w:hAnsi="Arial" w:cs="Arial"/>
          <w:sz w:val="22"/>
          <w:szCs w:val="22"/>
        </w:rPr>
      </w:pPr>
      <w:r w:rsidRPr="00EF0380">
        <w:rPr>
          <w:noProof/>
        </w:rPr>
        <mc:AlternateContent>
          <mc:Choice Requires="wps">
            <w:drawing>
              <wp:anchor distT="0" distB="0" distL="114300" distR="114300" simplePos="0" relativeHeight="251658240" behindDoc="0" locked="0" layoutInCell="1" hidden="0" allowOverlap="1" wp14:anchorId="039BE313" wp14:editId="0E630C13">
                <wp:simplePos x="0" y="0"/>
                <wp:positionH relativeFrom="column">
                  <wp:posOffset>434340</wp:posOffset>
                </wp:positionH>
                <wp:positionV relativeFrom="paragraph">
                  <wp:posOffset>10160</wp:posOffset>
                </wp:positionV>
                <wp:extent cx="4686300" cy="0"/>
                <wp:effectExtent l="0" t="4763" r="0" b="4763"/>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434340</wp:posOffset>
                </wp:positionH>
                <wp:positionV relativeFrom="paragraph">
                  <wp:posOffset>10160</wp:posOffset>
                </wp:positionV>
                <wp:extent cx="4686300" cy="9526"/>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686300" cy="9526"/>
                        </a:xfrm>
                        <a:prstGeom prst="rect"/>
                        <a:ln/>
                      </pic:spPr>
                    </pic:pic>
                  </a:graphicData>
                </a:graphic>
              </wp:anchor>
            </w:drawing>
          </mc:Fallback>
        </mc:AlternateContent>
      </w:r>
    </w:p>
    <w:p w14:paraId="39134867" w14:textId="77777777" w:rsidR="00EC3CA7" w:rsidRPr="00EF0380" w:rsidRDefault="00AF30F5" w:rsidP="004821CF">
      <w:pPr>
        <w:rPr>
          <w:rFonts w:ascii="Arial" w:eastAsia="Arial" w:hAnsi="Arial" w:cs="Arial"/>
          <w:sz w:val="22"/>
          <w:szCs w:val="22"/>
        </w:rPr>
      </w:pPr>
      <w:r w:rsidRPr="00EF0380">
        <w:rPr>
          <w:rFonts w:ascii="Arial" w:eastAsia="Arial" w:hAnsi="Arial" w:cs="Arial"/>
          <w:sz w:val="22"/>
          <w:szCs w:val="22"/>
        </w:rPr>
        <w:t>Atentamente,</w:t>
      </w:r>
    </w:p>
    <w:p w14:paraId="33CD5F0D" w14:textId="7ABD88C9" w:rsidR="00EC3CA7" w:rsidRPr="00EF0380" w:rsidRDefault="00A3629A" w:rsidP="004821CF">
      <w:pPr>
        <w:jc w:val="center"/>
        <w:rPr>
          <w:rFonts w:ascii="Arial" w:eastAsia="Arial" w:hAnsi="Arial" w:cs="Arial"/>
          <w:color w:val="000000"/>
          <w:sz w:val="18"/>
          <w:szCs w:val="18"/>
        </w:rPr>
      </w:pPr>
      <w:r>
        <w:rPr>
          <w:noProof/>
        </w:rPr>
        <w:drawing>
          <wp:inline distT="0" distB="0" distL="0" distR="0" wp14:anchorId="543575D6" wp14:editId="4CCC45A7">
            <wp:extent cx="1597825" cy="708126"/>
            <wp:effectExtent l="0" t="0" r="254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527" cy="715971"/>
                    </a:xfrm>
                    <a:prstGeom prst="rect">
                      <a:avLst/>
                    </a:prstGeom>
                    <a:noFill/>
                    <a:ln>
                      <a:noFill/>
                    </a:ln>
                  </pic:spPr>
                </pic:pic>
              </a:graphicData>
            </a:graphic>
          </wp:inline>
        </w:drawing>
      </w:r>
    </w:p>
    <w:tbl>
      <w:tblPr>
        <w:tblStyle w:val="a0"/>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EC3CA7" w:rsidRPr="00EF0380" w14:paraId="4232E4EA" w14:textId="77777777">
        <w:trPr>
          <w:trHeight w:val="315"/>
        </w:trPr>
        <w:tc>
          <w:tcPr>
            <w:tcW w:w="812" w:type="dxa"/>
            <w:vAlign w:val="center"/>
          </w:tcPr>
          <w:p w14:paraId="68C44213" w14:textId="77777777" w:rsidR="00EC3CA7" w:rsidRPr="00EF0380" w:rsidRDefault="00AF30F5" w:rsidP="004821CF">
            <w:pPr>
              <w:spacing w:line="276" w:lineRule="auto"/>
              <w:rPr>
                <w:rFonts w:ascii="Arial" w:eastAsia="Arial" w:hAnsi="Arial" w:cs="Arial"/>
                <w:color w:val="000000"/>
                <w:sz w:val="16"/>
                <w:szCs w:val="16"/>
              </w:rPr>
            </w:pPr>
            <w:r w:rsidRPr="00EF0380">
              <w:rPr>
                <w:rFonts w:ascii="Arial" w:eastAsia="Arial" w:hAnsi="Arial" w:cs="Arial"/>
                <w:color w:val="000000"/>
                <w:sz w:val="16"/>
                <w:szCs w:val="16"/>
              </w:rPr>
              <w:t>Elaboró:</w:t>
            </w:r>
          </w:p>
        </w:tc>
        <w:tc>
          <w:tcPr>
            <w:tcW w:w="4413" w:type="dxa"/>
            <w:tcBorders>
              <w:top w:val="nil"/>
              <w:left w:val="nil"/>
              <w:bottom w:val="dotted" w:sz="4" w:space="0" w:color="7F7F7F"/>
              <w:right w:val="nil"/>
            </w:tcBorders>
            <w:vAlign w:val="center"/>
          </w:tcPr>
          <w:p w14:paraId="4C27B043" w14:textId="77777777" w:rsidR="00EC3CA7" w:rsidRPr="00EF0380" w:rsidRDefault="00AF30F5" w:rsidP="004821CF">
            <w:pPr>
              <w:spacing w:line="276" w:lineRule="auto"/>
              <w:rPr>
                <w:rFonts w:ascii="Arial" w:eastAsia="Arial" w:hAnsi="Arial" w:cs="Arial"/>
                <w:color w:val="000000"/>
                <w:sz w:val="16"/>
                <w:szCs w:val="16"/>
              </w:rPr>
            </w:pPr>
            <w:r w:rsidRPr="00EF0380">
              <w:rPr>
                <w:rFonts w:ascii="Arial" w:eastAsia="Arial" w:hAnsi="Arial" w:cs="Arial"/>
                <w:color w:val="000000"/>
                <w:sz w:val="16"/>
                <w:szCs w:val="16"/>
              </w:rPr>
              <w:t xml:space="preserve">Álvaro </w:t>
            </w:r>
            <w:proofErr w:type="spellStart"/>
            <w:r w:rsidRPr="00EF0380">
              <w:rPr>
                <w:rFonts w:ascii="Arial" w:eastAsia="Arial" w:hAnsi="Arial" w:cs="Arial"/>
                <w:color w:val="000000"/>
                <w:sz w:val="16"/>
                <w:szCs w:val="16"/>
              </w:rPr>
              <w:t>Namén</w:t>
            </w:r>
            <w:proofErr w:type="spellEnd"/>
            <w:r w:rsidRPr="00EF0380">
              <w:rPr>
                <w:rFonts w:ascii="Arial" w:eastAsia="Arial" w:hAnsi="Arial" w:cs="Arial"/>
                <w:color w:val="000000"/>
                <w:sz w:val="16"/>
                <w:szCs w:val="16"/>
              </w:rPr>
              <w:t xml:space="preserve"> Vargas</w:t>
            </w:r>
          </w:p>
          <w:p w14:paraId="29A1E09E" w14:textId="77777777" w:rsidR="00EC3CA7" w:rsidRPr="00EF0380" w:rsidRDefault="00AF30F5" w:rsidP="004821CF">
            <w:pPr>
              <w:spacing w:line="276" w:lineRule="auto"/>
              <w:rPr>
                <w:rFonts w:ascii="Arial" w:eastAsia="Arial" w:hAnsi="Arial" w:cs="Arial"/>
                <w:color w:val="000000"/>
                <w:sz w:val="16"/>
                <w:szCs w:val="16"/>
              </w:rPr>
            </w:pPr>
            <w:r w:rsidRPr="00EF0380">
              <w:rPr>
                <w:rFonts w:ascii="Arial" w:eastAsia="Arial" w:hAnsi="Arial" w:cs="Arial"/>
                <w:color w:val="000000"/>
                <w:sz w:val="16"/>
                <w:szCs w:val="16"/>
              </w:rPr>
              <w:t>Contratista de la Subdirección de Gestión Contractual</w:t>
            </w:r>
          </w:p>
        </w:tc>
      </w:tr>
      <w:tr w:rsidR="00EC3CA7" w:rsidRPr="00EF0380" w14:paraId="17928E10" w14:textId="77777777">
        <w:trPr>
          <w:trHeight w:val="330"/>
        </w:trPr>
        <w:tc>
          <w:tcPr>
            <w:tcW w:w="812" w:type="dxa"/>
            <w:vAlign w:val="center"/>
          </w:tcPr>
          <w:p w14:paraId="3584C4D8" w14:textId="77777777" w:rsidR="00EC3CA7" w:rsidRPr="00EF0380" w:rsidRDefault="00AF30F5" w:rsidP="004821CF">
            <w:pPr>
              <w:spacing w:line="276" w:lineRule="auto"/>
              <w:rPr>
                <w:rFonts w:ascii="Arial" w:eastAsia="Arial" w:hAnsi="Arial" w:cs="Arial"/>
                <w:color w:val="000000"/>
                <w:sz w:val="16"/>
                <w:szCs w:val="16"/>
              </w:rPr>
            </w:pPr>
            <w:r w:rsidRPr="00EF0380">
              <w:rPr>
                <w:rFonts w:ascii="Arial" w:eastAsia="Arial" w:hAnsi="Arial" w:cs="Arial"/>
                <w:color w:val="000000"/>
                <w:sz w:val="16"/>
                <w:szCs w:val="16"/>
              </w:rPr>
              <w:t>Revisó:</w:t>
            </w:r>
          </w:p>
        </w:tc>
        <w:tc>
          <w:tcPr>
            <w:tcW w:w="4413" w:type="dxa"/>
            <w:tcBorders>
              <w:top w:val="dotted" w:sz="4" w:space="0" w:color="7F7F7F"/>
              <w:left w:val="nil"/>
              <w:bottom w:val="dotted" w:sz="4" w:space="0" w:color="7F7F7F"/>
              <w:right w:val="nil"/>
            </w:tcBorders>
            <w:vAlign w:val="center"/>
          </w:tcPr>
          <w:p w14:paraId="41805228" w14:textId="77777777" w:rsidR="00EC3CA7" w:rsidRPr="00EF0380" w:rsidRDefault="00AF30F5" w:rsidP="004821CF">
            <w:pPr>
              <w:spacing w:line="276" w:lineRule="auto"/>
              <w:rPr>
                <w:rFonts w:ascii="Arial" w:eastAsia="Arial" w:hAnsi="Arial" w:cs="Arial"/>
                <w:color w:val="000000"/>
                <w:sz w:val="16"/>
                <w:szCs w:val="16"/>
              </w:rPr>
            </w:pPr>
            <w:r w:rsidRPr="00EF0380">
              <w:rPr>
                <w:rFonts w:ascii="Arial" w:eastAsia="Arial" w:hAnsi="Arial" w:cs="Arial"/>
                <w:color w:val="000000"/>
                <w:sz w:val="16"/>
                <w:szCs w:val="16"/>
              </w:rPr>
              <w:t>Juan David Montoya Penagos</w:t>
            </w:r>
          </w:p>
          <w:p w14:paraId="72DCB181" w14:textId="77777777" w:rsidR="00EC3CA7" w:rsidRPr="00EF0380" w:rsidRDefault="00AF30F5" w:rsidP="004821CF">
            <w:pPr>
              <w:spacing w:line="276" w:lineRule="auto"/>
              <w:rPr>
                <w:rFonts w:ascii="Arial" w:eastAsia="Arial" w:hAnsi="Arial" w:cs="Arial"/>
                <w:color w:val="000000"/>
                <w:sz w:val="16"/>
                <w:szCs w:val="16"/>
              </w:rPr>
            </w:pPr>
            <w:r w:rsidRPr="00EF0380">
              <w:rPr>
                <w:rFonts w:ascii="Arial" w:eastAsia="Arial" w:hAnsi="Arial" w:cs="Arial"/>
                <w:color w:val="000000"/>
                <w:sz w:val="16"/>
                <w:szCs w:val="16"/>
              </w:rPr>
              <w:t>Gestor T1-15 de la Subdirección de Gestión Contractual</w:t>
            </w:r>
          </w:p>
        </w:tc>
      </w:tr>
      <w:tr w:rsidR="00EC3CA7" w14:paraId="572495CC" w14:textId="77777777">
        <w:trPr>
          <w:trHeight w:val="300"/>
        </w:trPr>
        <w:tc>
          <w:tcPr>
            <w:tcW w:w="812" w:type="dxa"/>
            <w:vAlign w:val="center"/>
          </w:tcPr>
          <w:p w14:paraId="6C60BA60" w14:textId="77777777" w:rsidR="00EC3CA7" w:rsidRPr="00EF0380" w:rsidRDefault="00AF30F5" w:rsidP="004821CF">
            <w:pPr>
              <w:spacing w:line="276" w:lineRule="auto"/>
              <w:rPr>
                <w:rFonts w:ascii="Arial" w:eastAsia="Arial" w:hAnsi="Arial" w:cs="Arial"/>
                <w:color w:val="000000"/>
                <w:sz w:val="16"/>
                <w:szCs w:val="16"/>
              </w:rPr>
            </w:pPr>
            <w:r w:rsidRPr="00EF0380">
              <w:rPr>
                <w:rFonts w:ascii="Arial" w:eastAsia="Arial" w:hAnsi="Arial" w:cs="Arial"/>
                <w:color w:val="000000"/>
                <w:sz w:val="16"/>
                <w:szCs w:val="16"/>
              </w:rPr>
              <w:t>Aprobó:</w:t>
            </w:r>
          </w:p>
        </w:tc>
        <w:tc>
          <w:tcPr>
            <w:tcW w:w="4413" w:type="dxa"/>
            <w:tcBorders>
              <w:top w:val="dotted" w:sz="4" w:space="0" w:color="7F7F7F"/>
              <w:left w:val="nil"/>
              <w:bottom w:val="dotted" w:sz="4" w:space="0" w:color="7F7F7F"/>
              <w:right w:val="nil"/>
            </w:tcBorders>
            <w:vAlign w:val="center"/>
          </w:tcPr>
          <w:p w14:paraId="55DAE86A" w14:textId="77777777" w:rsidR="00EC3CA7" w:rsidRPr="00EF0380" w:rsidRDefault="00AF30F5" w:rsidP="004821CF">
            <w:pPr>
              <w:spacing w:line="276" w:lineRule="auto"/>
              <w:rPr>
                <w:rFonts w:ascii="Arial" w:eastAsia="Arial" w:hAnsi="Arial" w:cs="Arial"/>
                <w:color w:val="000000"/>
                <w:sz w:val="16"/>
                <w:szCs w:val="16"/>
              </w:rPr>
            </w:pPr>
            <w:r w:rsidRPr="00EF0380">
              <w:rPr>
                <w:rFonts w:ascii="Arial" w:eastAsia="Arial" w:hAnsi="Arial" w:cs="Arial"/>
                <w:color w:val="000000"/>
                <w:sz w:val="16"/>
                <w:szCs w:val="16"/>
              </w:rPr>
              <w:t>Jorge Augusto Tirado Navarro</w:t>
            </w:r>
          </w:p>
          <w:p w14:paraId="4A1307F1" w14:textId="77777777" w:rsidR="00EC3CA7" w:rsidRDefault="00AF30F5" w:rsidP="004821CF">
            <w:pPr>
              <w:spacing w:line="276" w:lineRule="auto"/>
              <w:rPr>
                <w:rFonts w:ascii="Arial" w:eastAsia="Arial" w:hAnsi="Arial" w:cs="Arial"/>
                <w:color w:val="000000"/>
                <w:sz w:val="16"/>
                <w:szCs w:val="16"/>
              </w:rPr>
            </w:pPr>
            <w:r w:rsidRPr="00EF0380">
              <w:rPr>
                <w:rFonts w:ascii="Arial" w:eastAsia="Arial" w:hAnsi="Arial" w:cs="Arial"/>
                <w:color w:val="000000"/>
                <w:sz w:val="16"/>
                <w:szCs w:val="16"/>
              </w:rPr>
              <w:t>Subdirector de Gestión Contractual ANCP – CCE</w:t>
            </w:r>
          </w:p>
        </w:tc>
      </w:tr>
    </w:tbl>
    <w:p w14:paraId="31938681" w14:textId="77777777" w:rsidR="00EC3CA7" w:rsidRDefault="00EC3CA7" w:rsidP="004821CF">
      <w:pPr>
        <w:spacing w:after="120"/>
        <w:rPr>
          <w:rFonts w:ascii="Arial" w:eastAsia="Arial" w:hAnsi="Arial" w:cs="Arial"/>
          <w:b/>
          <w:sz w:val="20"/>
          <w:szCs w:val="20"/>
        </w:rPr>
      </w:pPr>
    </w:p>
    <w:sectPr w:rsidR="00EC3CA7">
      <w:headerReference w:type="default" r:id="rId10"/>
      <w:footerReference w:type="default" r:id="rId11"/>
      <w:pgSz w:w="12240" w:h="15840"/>
      <w:pgMar w:top="411" w:right="2317"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43E1" w14:textId="77777777" w:rsidR="00637D37" w:rsidRDefault="00637D37">
      <w:pPr>
        <w:spacing w:after="0" w:line="240" w:lineRule="auto"/>
      </w:pPr>
      <w:r>
        <w:separator/>
      </w:r>
    </w:p>
  </w:endnote>
  <w:endnote w:type="continuationSeparator" w:id="0">
    <w:p w14:paraId="2C4500DC" w14:textId="77777777" w:rsidR="00637D37" w:rsidRDefault="00637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8FC4" w14:textId="77777777" w:rsidR="00EC3CA7" w:rsidRDefault="00EC3CA7">
    <w:pPr>
      <w:pBdr>
        <w:top w:val="nil"/>
        <w:left w:val="nil"/>
        <w:bottom w:val="nil"/>
        <w:right w:val="nil"/>
        <w:between w:val="nil"/>
      </w:pBdr>
      <w:spacing w:after="0" w:line="240" w:lineRule="auto"/>
      <w:rPr>
        <w:rFonts w:ascii="Arial" w:eastAsia="Arial" w:hAnsi="Arial" w:cs="Arial"/>
        <w:color w:val="000000"/>
        <w:sz w:val="18"/>
        <w:szCs w:val="18"/>
      </w:rPr>
    </w:pPr>
  </w:p>
  <w:p w14:paraId="0280FA12" w14:textId="77777777" w:rsidR="00EC3CA7" w:rsidRDefault="00EC3CA7">
    <w:pPr>
      <w:pBdr>
        <w:top w:val="nil"/>
        <w:left w:val="nil"/>
        <w:bottom w:val="nil"/>
        <w:right w:val="nil"/>
        <w:between w:val="nil"/>
      </w:pBdr>
      <w:spacing w:after="0" w:line="240" w:lineRule="auto"/>
      <w:rPr>
        <w:rFonts w:ascii="Arial" w:eastAsia="Arial" w:hAnsi="Arial" w:cs="Arial"/>
        <w:color w:val="000000"/>
        <w:sz w:val="18"/>
        <w:szCs w:val="18"/>
      </w:rPr>
    </w:pPr>
  </w:p>
  <w:p w14:paraId="290629EE" w14:textId="77777777" w:rsidR="00EC3CA7" w:rsidRDefault="00AF30F5">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C715B8">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C715B8">
      <w:rPr>
        <w:rFonts w:ascii="Arial" w:eastAsia="Arial" w:hAnsi="Arial" w:cs="Arial"/>
        <w:b/>
        <w:noProof/>
        <w:color w:val="7F7F7F"/>
        <w:sz w:val="16"/>
        <w:szCs w:val="16"/>
      </w:rPr>
      <w:t>2</w:t>
    </w:r>
    <w:r>
      <w:rPr>
        <w:rFonts w:ascii="Arial" w:eastAsia="Arial" w:hAnsi="Arial" w:cs="Arial"/>
        <w:b/>
        <w:color w:val="7F7F7F"/>
        <w:sz w:val="16"/>
        <w:szCs w:val="16"/>
      </w:rPr>
      <w:fldChar w:fldCharType="end"/>
    </w:r>
  </w:p>
  <w:p w14:paraId="6C835B70" w14:textId="77777777" w:rsidR="00EC3CA7" w:rsidRDefault="00AF30F5">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2BDDACC6" wp14:editId="7239F361">
          <wp:extent cx="4241994" cy="59516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0657CF94" w14:textId="77777777" w:rsidR="00EC3CA7" w:rsidRDefault="00EC3CA7">
    <w:pPr>
      <w:pBdr>
        <w:top w:val="nil"/>
        <w:left w:val="nil"/>
        <w:bottom w:val="nil"/>
        <w:right w:val="nil"/>
        <w:between w:val="nil"/>
      </w:pBdr>
      <w:tabs>
        <w:tab w:val="center" w:pos="4419"/>
        <w:tab w:val="right" w:pos="8838"/>
      </w:tabs>
      <w:jc w:val="center"/>
      <w:rPr>
        <w:color w:val="000000"/>
      </w:rPr>
    </w:pPr>
  </w:p>
  <w:p w14:paraId="71C305DA" w14:textId="77777777" w:rsidR="00EC3CA7" w:rsidRDefault="00EC3CA7">
    <w:pPr>
      <w:pBdr>
        <w:top w:val="nil"/>
        <w:left w:val="nil"/>
        <w:bottom w:val="nil"/>
        <w:right w:val="nil"/>
        <w:between w:val="nil"/>
      </w:pBdr>
      <w:tabs>
        <w:tab w:val="center" w:pos="4419"/>
        <w:tab w:val="right" w:pos="8838"/>
      </w:tabs>
      <w:spacing w:line="1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54AEB" w14:textId="77777777" w:rsidR="00637D37" w:rsidRDefault="00637D37">
      <w:pPr>
        <w:spacing w:after="0" w:line="240" w:lineRule="auto"/>
      </w:pPr>
      <w:r>
        <w:separator/>
      </w:r>
    </w:p>
  </w:footnote>
  <w:footnote w:type="continuationSeparator" w:id="0">
    <w:p w14:paraId="3FB09E12" w14:textId="77777777" w:rsidR="00637D37" w:rsidRDefault="00637D37">
      <w:pPr>
        <w:spacing w:after="0" w:line="240" w:lineRule="auto"/>
      </w:pPr>
      <w:r>
        <w:continuationSeparator/>
      </w:r>
    </w:p>
  </w:footnote>
  <w:footnote w:id="1">
    <w:p w14:paraId="4ED9F6B1"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1AD9C543"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rFonts w:ascii="Arial" w:eastAsia="Arial" w:hAnsi="Arial" w:cs="Arial"/>
          <w:color w:val="000000"/>
          <w:sz w:val="18"/>
          <w:szCs w:val="18"/>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2F715077" w14:textId="77777777" w:rsidR="00EC3CA7" w:rsidRDefault="00EC3CA7">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2">
    <w:p w14:paraId="2928B6C1"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Gaceta del Congreso de la República No. 71 del 2005.</w:t>
      </w:r>
    </w:p>
    <w:p w14:paraId="19F7D592" w14:textId="77777777" w:rsidR="00EC3CA7" w:rsidRDefault="00EC3CA7">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3">
    <w:p w14:paraId="53C8F224"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Corte Constitucional, Sentencia C- 1153 de 2005, M.P. Marco Gerardo Monroy Cabra.</w:t>
      </w:r>
    </w:p>
  </w:footnote>
  <w:footnote w:id="4">
    <w:p w14:paraId="5EFE4071"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5AFB286F" w14:textId="77777777" w:rsidR="00EC3CA7" w:rsidRDefault="00EC3CA7">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5">
    <w:p w14:paraId="0A66FFDD" w14:textId="5DE9E030"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2C726D92" w14:textId="77777777" w:rsidR="00EC3CA7" w:rsidRDefault="00EC3CA7">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6">
    <w:p w14:paraId="3CE23AED"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Consejo de Estado, Sala de Consulta y Servicio Civil de fecha 24 de julio de 2013, radicado 2166, Consejero Ponente: Álvaro Namén Vargas.  </w:t>
      </w:r>
    </w:p>
  </w:footnote>
  <w:footnote w:id="7">
    <w:p w14:paraId="4DFB7B7A" w14:textId="77777777" w:rsidR="00EC3CA7" w:rsidRDefault="00AF30F5">
      <w:pPr>
        <w:spacing w:after="0" w:line="240" w:lineRule="auto"/>
        <w:ind w:firstLine="709"/>
        <w:rPr>
          <w:rFonts w:ascii="Arial" w:eastAsia="Arial" w:hAnsi="Arial" w:cs="Arial"/>
          <w:sz w:val="18"/>
          <w:szCs w:val="18"/>
        </w:rPr>
      </w:pPr>
      <w:r>
        <w:rPr>
          <w:vertAlign w:val="superscript"/>
        </w:rPr>
        <w:footnoteRef/>
      </w:r>
      <w:r>
        <w:rPr>
          <w:rFonts w:ascii="Arial" w:eastAsia="Arial" w:hAnsi="Arial" w:cs="Arial"/>
          <w:sz w:val="18"/>
          <w:szCs w:val="18"/>
        </w:rPr>
        <w:t xml:space="preserve"> </w:t>
      </w:r>
      <w:bookmarkStart w:id="11" w:name="4f1mdlm" w:colFirst="0" w:colLast="0"/>
      <w:bookmarkEnd w:id="11"/>
      <w:r>
        <w:rPr>
          <w:rFonts w:ascii="Arial" w:eastAsia="Arial" w:hAnsi="Arial" w:cs="Arial"/>
          <w:color w:val="000000"/>
          <w:sz w:val="18"/>
          <w:szCs w:val="18"/>
        </w:rPr>
        <w:t>«</w:t>
      </w:r>
      <w:r>
        <w:rPr>
          <w:rFonts w:ascii="Arial" w:eastAsia="Arial" w:hAnsi="Arial" w:cs="Arial"/>
          <w:sz w:val="18"/>
          <w:szCs w:val="18"/>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43BCC7F1" w14:textId="77777777" w:rsidR="00EC3CA7" w:rsidRDefault="00AF30F5">
      <w:pPr>
        <w:spacing w:after="0" w:line="240" w:lineRule="auto"/>
        <w:ind w:firstLine="709"/>
        <w:rPr>
          <w:rFonts w:ascii="Arial" w:eastAsia="Arial" w:hAnsi="Arial" w:cs="Arial"/>
          <w:sz w:val="18"/>
          <w:szCs w:val="18"/>
        </w:rPr>
      </w:pPr>
      <w:r>
        <w:rPr>
          <w:rFonts w:ascii="Arial" w:eastAsia="Arial" w:hAnsi="Arial" w:cs="Arial"/>
          <w:color w:val="000000"/>
          <w:sz w:val="18"/>
          <w:szCs w:val="18"/>
        </w:rPr>
        <w:t>»</w:t>
      </w:r>
      <w:r>
        <w:rPr>
          <w:rFonts w:ascii="Arial" w:eastAsia="Arial" w:hAnsi="Arial" w:cs="Arial"/>
          <w:sz w:val="18"/>
          <w:szCs w:val="18"/>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Pr>
          <w:rFonts w:ascii="Arial" w:eastAsia="Arial" w:hAnsi="Arial" w:cs="Arial"/>
          <w:color w:val="000000"/>
          <w:sz w:val="18"/>
          <w:szCs w:val="18"/>
        </w:rPr>
        <w:t>»</w:t>
      </w:r>
      <w:r>
        <w:rPr>
          <w:rFonts w:ascii="Arial" w:eastAsia="Arial" w:hAnsi="Arial" w:cs="Arial"/>
          <w:sz w:val="18"/>
          <w:szCs w:val="18"/>
        </w:rPr>
        <w:t>.</w:t>
      </w:r>
    </w:p>
  </w:footnote>
  <w:footnote w:id="8">
    <w:p w14:paraId="3C4F5379"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bookmarkStart w:id="12" w:name="2u6wntf" w:colFirst="0" w:colLast="0"/>
      <w:bookmarkEnd w:id="12"/>
      <w:r>
        <w:rPr>
          <w:rFonts w:ascii="Arial" w:eastAsia="Arial" w:hAnsi="Arial" w:cs="Arial"/>
          <w:color w:val="000000"/>
          <w:sz w:val="18"/>
          <w:szCs w:val="18"/>
        </w:rPr>
        <w:t>«Artículo 38. Prohibiciones para los servidores públicos. A los empleados del Estado les está prohibido:</w:t>
      </w:r>
    </w:p>
    <w:p w14:paraId="4A422A83"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rFonts w:ascii="Arial" w:eastAsia="Arial" w:hAnsi="Arial" w:cs="Arial"/>
          <w:color w:val="000000"/>
          <w:sz w:val="18"/>
          <w:szCs w:val="18"/>
        </w:rPr>
        <w:t>» […]</w:t>
      </w:r>
    </w:p>
    <w:p w14:paraId="6765D075"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rFonts w:ascii="Arial" w:eastAsia="Arial" w:hAnsi="Arial" w:cs="Arial"/>
          <w:color w:val="000000"/>
          <w:sz w:val="18"/>
          <w:szCs w:val="18"/>
        </w:rPr>
        <w:t>» Parágrafo.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p w14:paraId="47FB15C9" w14:textId="77777777" w:rsidR="00EC3CA7" w:rsidRDefault="00EC3CA7">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9">
    <w:p w14:paraId="067F8E79" w14:textId="77777777" w:rsidR="00EC3CA7" w:rsidRDefault="00AF30F5">
      <w:pPr>
        <w:spacing w:after="0" w:line="240" w:lineRule="auto"/>
        <w:ind w:left="100" w:right="244" w:firstLine="709"/>
        <w:rPr>
          <w:rFonts w:ascii="Arial" w:eastAsia="Arial" w:hAnsi="Arial" w:cs="Arial"/>
          <w:sz w:val="18"/>
          <w:szCs w:val="18"/>
        </w:rPr>
      </w:pPr>
      <w:r>
        <w:rPr>
          <w:vertAlign w:val="superscript"/>
        </w:rPr>
        <w:footnoteRef/>
      </w:r>
      <w:r>
        <w:rPr>
          <w:rFonts w:ascii="Arial" w:eastAsia="Arial" w:hAnsi="Arial" w:cs="Arial"/>
          <w:sz w:val="18"/>
          <w:szCs w:val="18"/>
        </w:rPr>
        <w:t xml:space="preserve"> Consejo de Estado. Sala de Consulta y Servicio Civil. Concepto del 17 de febrero de 2015. C.P. William Zambrano Cetina. Radicación No. 11001-03-06-000-2015-00164-00(2269).</w:t>
      </w:r>
    </w:p>
    <w:p w14:paraId="66897240" w14:textId="77777777" w:rsidR="00EC3CA7" w:rsidRDefault="00EC3CA7">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10">
    <w:p w14:paraId="41F0E73A" w14:textId="77777777" w:rsidR="00EC3CA7" w:rsidRDefault="00AF30F5">
      <w:pPr>
        <w:pBdr>
          <w:top w:val="nil"/>
          <w:left w:val="nil"/>
          <w:bottom w:val="nil"/>
          <w:right w:val="nil"/>
          <w:between w:val="nil"/>
        </w:pBdr>
        <w:spacing w:after="0" w:line="240" w:lineRule="auto"/>
        <w:ind w:right="51"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«[25] Cfr. Consejo de Estado. Sección Tercera. Sentencia de 3 de diciembre de 2007. Radicados: 24.715, 25.206, 25.409, 24.524, 27.834, 25.410, 26.105, 28.244, 31.447 -acumulados-».</w:t>
      </w:r>
    </w:p>
    <w:p w14:paraId="51E37E13" w14:textId="77777777" w:rsidR="00EC3CA7" w:rsidRDefault="00EC3CA7">
      <w:pPr>
        <w:pBdr>
          <w:top w:val="nil"/>
          <w:left w:val="nil"/>
          <w:bottom w:val="nil"/>
          <w:right w:val="nil"/>
          <w:between w:val="nil"/>
        </w:pBdr>
        <w:spacing w:after="0" w:line="240" w:lineRule="auto"/>
        <w:ind w:right="51" w:firstLine="709"/>
        <w:rPr>
          <w:rFonts w:ascii="Arial" w:eastAsia="Arial" w:hAnsi="Arial" w:cs="Arial"/>
          <w:color w:val="000000"/>
          <w:sz w:val="18"/>
          <w:szCs w:val="18"/>
        </w:rPr>
      </w:pPr>
    </w:p>
  </w:footnote>
  <w:footnote w:id="11">
    <w:p w14:paraId="1F688F39" w14:textId="77777777" w:rsidR="00EC3CA7" w:rsidRDefault="00AF30F5">
      <w:pPr>
        <w:pBdr>
          <w:top w:val="nil"/>
          <w:left w:val="nil"/>
          <w:bottom w:val="nil"/>
          <w:right w:val="nil"/>
          <w:between w:val="nil"/>
        </w:pBdr>
        <w:spacing w:after="0" w:line="240" w:lineRule="auto"/>
        <w:ind w:right="51"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«[26] Al respecto ver el concepto 1712 de 2 de febrero de 2006. Consejo de Estado Sala de Consulta y Servicio Civil».</w:t>
      </w:r>
    </w:p>
    <w:p w14:paraId="094B3BE7" w14:textId="77777777" w:rsidR="00EC3CA7" w:rsidRDefault="00EC3CA7">
      <w:pPr>
        <w:pBdr>
          <w:top w:val="nil"/>
          <w:left w:val="nil"/>
          <w:bottom w:val="nil"/>
          <w:right w:val="nil"/>
          <w:between w:val="nil"/>
        </w:pBdr>
        <w:spacing w:after="0" w:line="240" w:lineRule="auto"/>
        <w:ind w:right="51" w:firstLine="709"/>
        <w:rPr>
          <w:rFonts w:ascii="Arial" w:eastAsia="Arial" w:hAnsi="Arial" w:cs="Arial"/>
          <w:color w:val="000000"/>
          <w:sz w:val="18"/>
          <w:szCs w:val="18"/>
        </w:rPr>
      </w:pPr>
    </w:p>
  </w:footnote>
  <w:footnote w:id="12">
    <w:p w14:paraId="2645B741"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Consejo de Estado. Sala de Consulta y Servicio Civil. Concepto del 2 de septiembre de 2013. Radicación número: 11001-03-06-000-2013-00412-00 (2168). Consejero Ponente: Álvaro Namén Vargas.</w:t>
      </w:r>
    </w:p>
  </w:footnote>
  <w:footnote w:id="13">
    <w:p w14:paraId="5B940424"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Artículo 2. </w:t>
      </w:r>
    </w:p>
    <w:p w14:paraId="586FB683" w14:textId="77777777" w:rsidR="00EC3CA7" w:rsidRDefault="00EC3CA7">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14">
    <w:p w14:paraId="50B9ACD6"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r>
        <w:rPr>
          <w:rFonts w:ascii="Arial" w:eastAsia="Arial" w:hAnsi="Arial" w:cs="Arial"/>
          <w:i/>
          <w:color w:val="000000"/>
          <w:sz w:val="18"/>
          <w:szCs w:val="18"/>
        </w:rPr>
        <w:t>Ídem</w:t>
      </w:r>
      <w:r>
        <w:rPr>
          <w:rFonts w:ascii="Arial" w:eastAsia="Arial" w:hAnsi="Arial" w:cs="Arial"/>
          <w:color w:val="000000"/>
          <w:sz w:val="18"/>
          <w:szCs w:val="18"/>
        </w:rPr>
        <w:t>.</w:t>
      </w:r>
    </w:p>
    <w:p w14:paraId="7E286122" w14:textId="77777777" w:rsidR="00EC3CA7" w:rsidRDefault="00EC3CA7">
      <w:pPr>
        <w:pBdr>
          <w:top w:val="nil"/>
          <w:left w:val="nil"/>
          <w:bottom w:val="nil"/>
          <w:right w:val="nil"/>
          <w:between w:val="nil"/>
        </w:pBdr>
        <w:spacing w:after="0" w:line="240" w:lineRule="auto"/>
        <w:ind w:firstLine="709"/>
        <w:rPr>
          <w:rFonts w:ascii="Arial" w:eastAsia="Arial" w:hAnsi="Arial" w:cs="Arial"/>
          <w:color w:val="000000"/>
          <w:sz w:val="18"/>
          <w:szCs w:val="18"/>
        </w:rPr>
      </w:pPr>
    </w:p>
    <w:bookmarkStart w:id="18" w:name="_28h4qwu" w:colFirst="0" w:colLast="0"/>
    <w:bookmarkEnd w:id="18"/>
  </w:footnote>
  <w:footnote w:id="15">
    <w:p w14:paraId="6E235BEC"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bookmarkStart w:id="19" w:name="_28h4qwu" w:colFirst="0" w:colLast="0"/>
      <w:bookmarkEnd w:id="19"/>
      <w:r>
        <w:rPr>
          <w:vertAlign w:val="superscript"/>
        </w:rPr>
        <w:footnoteRef/>
      </w:r>
      <w:r>
        <w:rPr>
          <w:rFonts w:ascii="Arial" w:eastAsia="Arial" w:hAnsi="Arial" w:cs="Arial"/>
          <w:color w:val="000000"/>
          <w:sz w:val="18"/>
          <w:szCs w:val="18"/>
          <w:vertAlign w:val="superscript"/>
        </w:rPr>
        <w:t xml:space="preserve"> </w:t>
      </w:r>
      <w:r>
        <w:rPr>
          <w:rFonts w:ascii="Arial" w:eastAsia="Arial" w:hAnsi="Arial" w:cs="Arial"/>
          <w:color w:val="000000"/>
          <w:sz w:val="18"/>
          <w:szCs w:val="18"/>
        </w:rPr>
        <w:t xml:space="preserve">«[…] A este respecto, cabe recordar que el artículo 860 del Código de Comercio regula la licitación en el derecho privado». </w:t>
      </w:r>
    </w:p>
    <w:p w14:paraId="5D8A4F43" w14:textId="77777777" w:rsidR="00EC3CA7" w:rsidRDefault="00EC3CA7">
      <w:pPr>
        <w:pBdr>
          <w:top w:val="nil"/>
          <w:left w:val="nil"/>
          <w:bottom w:val="nil"/>
          <w:right w:val="nil"/>
          <w:between w:val="nil"/>
        </w:pBdr>
        <w:spacing w:after="0" w:line="240" w:lineRule="auto"/>
        <w:ind w:firstLine="709"/>
        <w:rPr>
          <w:rFonts w:ascii="Arial" w:eastAsia="Arial" w:hAnsi="Arial" w:cs="Arial"/>
          <w:color w:val="000000"/>
          <w:sz w:val="18"/>
          <w:szCs w:val="18"/>
        </w:rPr>
      </w:pPr>
    </w:p>
  </w:footnote>
  <w:footnote w:id="16">
    <w:p w14:paraId="1E0FB826" w14:textId="77777777" w:rsidR="00EC3CA7" w:rsidRDefault="00AF30F5">
      <w:pPr>
        <w:shd w:val="clear" w:color="auto" w:fill="FFFFFF"/>
        <w:spacing w:after="0" w:line="240" w:lineRule="auto"/>
        <w:ind w:firstLine="709"/>
        <w:rPr>
          <w:rFonts w:ascii="Arial" w:eastAsia="Arial" w:hAnsi="Arial" w:cs="Arial"/>
          <w:sz w:val="18"/>
          <w:szCs w:val="18"/>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Consejo de Estado. Sala de Consulta y Servicio Civil, Concepto de 8 de mayo de 2018. Radicación Número: 11001-03-06-000-2018-00095-00(2382). Consejero Ponente: Álvaro Namén Vargas.</w:t>
      </w:r>
    </w:p>
    <w:p w14:paraId="5C18587A" w14:textId="77777777" w:rsidR="00EC3CA7" w:rsidRDefault="00EC3CA7">
      <w:pPr>
        <w:shd w:val="clear" w:color="auto" w:fill="FFFFFF"/>
        <w:spacing w:after="0" w:line="240" w:lineRule="auto"/>
        <w:ind w:firstLine="709"/>
        <w:rPr>
          <w:rFonts w:ascii="Arial" w:eastAsia="Arial" w:hAnsi="Arial" w:cs="Arial"/>
          <w:sz w:val="18"/>
          <w:szCs w:val="18"/>
        </w:rPr>
      </w:pPr>
    </w:p>
  </w:footnote>
  <w:footnote w:id="17">
    <w:p w14:paraId="2D0735E2"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Consejo de Estado. Sala de Consulta y Servicio Civil. Concepto del 08 de mayo de 2018. Exp. 2.382. C.P. Álvaro Namén Vargas.</w:t>
      </w:r>
    </w:p>
  </w:footnote>
  <w:footnote w:id="18">
    <w:p w14:paraId="08AAF8B8" w14:textId="77777777" w:rsidR="00EC3CA7" w:rsidRDefault="00AF30F5">
      <w:pPr>
        <w:pBdr>
          <w:top w:val="nil"/>
          <w:left w:val="nil"/>
          <w:bottom w:val="nil"/>
          <w:right w:val="nil"/>
          <w:between w:val="nil"/>
        </w:pBdr>
        <w:spacing w:after="0" w:line="240" w:lineRule="auto"/>
        <w:ind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19">
    <w:p w14:paraId="2AC43340" w14:textId="5F3C6E32" w:rsidR="000A6AE8" w:rsidRDefault="000A6AE8" w:rsidP="000A6AE8">
      <w:pPr>
        <w:pStyle w:val="Textonotapie"/>
        <w:rPr>
          <w:i/>
          <w:lang w:val="es-MX"/>
        </w:rPr>
      </w:pPr>
      <w:r>
        <w:rPr>
          <w:rStyle w:val="Refdenotaalpie"/>
          <w:i/>
        </w:rPr>
        <w:footnoteRef/>
      </w:r>
      <w:r>
        <w:rPr>
          <w:i/>
        </w:rPr>
        <w:t xml:space="preserve"> [cita original] </w:t>
      </w:r>
      <w:r>
        <w:rPr>
          <w:i/>
          <w:lang w:val="es-MX"/>
        </w:rPr>
        <w:t>Consejo de Estado. Sala de Consulta y Servicio Civil. Concepto 1727 de 2006.</w:t>
      </w:r>
    </w:p>
  </w:footnote>
  <w:footnote w:id="20">
    <w:p w14:paraId="2AE7300B" w14:textId="16919A03" w:rsidR="000A6AE8" w:rsidRPr="000A6AE8" w:rsidRDefault="000A6AE8">
      <w:pPr>
        <w:pStyle w:val="Textonotapie"/>
        <w:rPr>
          <w:lang w:val="es-ES"/>
        </w:rPr>
      </w:pPr>
      <w:r>
        <w:rPr>
          <w:rStyle w:val="Refdenotaalpie"/>
        </w:rPr>
        <w:footnoteRef/>
      </w:r>
      <w:r>
        <w:t xml:space="preserve"> </w:t>
      </w:r>
      <w:r>
        <w:rPr>
          <w:lang w:val="es-ES"/>
        </w:rPr>
        <w:t xml:space="preserve">Consejo de Estado, Sala de Consulta y Servicio Civil, Concepto del 26 de julio de 2007, </w:t>
      </w:r>
      <w:r w:rsidR="00D06DD3">
        <w:rPr>
          <w:lang w:val="es-ES"/>
        </w:rPr>
        <w:t xml:space="preserve">Exp. 1839, M.P. Gustavo Aponte Santos. </w:t>
      </w:r>
    </w:p>
  </w:footnote>
  <w:footnote w:id="21">
    <w:p w14:paraId="2214679D" w14:textId="77777777" w:rsidR="00EC3CA7" w:rsidRDefault="00AF30F5">
      <w:pPr>
        <w:spacing w:after="0" w:line="240" w:lineRule="auto"/>
        <w:ind w:firstLine="709"/>
        <w:rPr>
          <w:rFonts w:ascii="Arial" w:eastAsia="Arial" w:hAnsi="Arial" w:cs="Arial"/>
          <w:sz w:val="18"/>
          <w:szCs w:val="18"/>
        </w:rPr>
      </w:pPr>
      <w:r>
        <w:rPr>
          <w:vertAlign w:val="superscript"/>
        </w:rPr>
        <w:footnoteRef/>
      </w:r>
      <w:r>
        <w:rPr>
          <w:rFonts w:ascii="Arial" w:eastAsia="Arial" w:hAnsi="Arial" w:cs="Arial"/>
          <w:sz w:val="18"/>
          <w:szCs w:val="18"/>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03D7B16E" w14:textId="77777777" w:rsidR="00EC3CA7" w:rsidRDefault="00EC3CA7">
      <w:pPr>
        <w:spacing w:after="0" w:line="240" w:lineRule="auto"/>
        <w:ind w:firstLine="709"/>
        <w:rPr>
          <w:rFonts w:ascii="Arial" w:eastAsia="Arial" w:hAnsi="Arial" w:cs="Arial"/>
          <w:sz w:val="18"/>
          <w:szCs w:val="18"/>
        </w:rPr>
      </w:pPr>
    </w:p>
  </w:footnote>
  <w:footnote w:id="22">
    <w:p w14:paraId="18CFFC59" w14:textId="77777777" w:rsidR="00EC3CA7" w:rsidRDefault="00AF30F5">
      <w:pPr>
        <w:pBdr>
          <w:top w:val="nil"/>
          <w:left w:val="nil"/>
          <w:bottom w:val="nil"/>
          <w:right w:val="nil"/>
          <w:between w:val="nil"/>
        </w:pBdr>
        <w:spacing w:after="0" w:line="240" w:lineRule="auto"/>
        <w:ind w:right="51" w:firstLine="709"/>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Consejo de Estado. Sala de Consulta y Servicio Civil. Concepto de 6 de abril de 2006. Radicación Número: 11001-03-06-000-2006-00038-00(1738). Consejero Ponente: Enrique José Arboleda Perdomo.</w:t>
      </w:r>
    </w:p>
    <w:p w14:paraId="7E109F65" w14:textId="77777777" w:rsidR="00EC3CA7" w:rsidRDefault="00EC3CA7">
      <w:pPr>
        <w:pBdr>
          <w:top w:val="nil"/>
          <w:left w:val="nil"/>
          <w:bottom w:val="nil"/>
          <w:right w:val="nil"/>
          <w:between w:val="nil"/>
        </w:pBdr>
        <w:spacing w:after="0" w:line="240" w:lineRule="auto"/>
        <w:ind w:right="51" w:firstLine="709"/>
        <w:rPr>
          <w:rFonts w:ascii="Arial" w:eastAsia="Arial" w:hAnsi="Arial" w:cs="Arial"/>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B5D2" w14:textId="77777777" w:rsidR="00EC3CA7" w:rsidRDefault="00AF30F5">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14B0A9A0" wp14:editId="5868143F">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075E0605" w14:textId="77777777" w:rsidR="00EC3CA7" w:rsidRDefault="00EC3CA7">
    <w:pPr>
      <w:pBdr>
        <w:top w:val="nil"/>
        <w:left w:val="nil"/>
        <w:bottom w:val="nil"/>
        <w:right w:val="nil"/>
        <w:between w:val="nil"/>
      </w:pBdr>
      <w:tabs>
        <w:tab w:val="center" w:pos="4252"/>
        <w:tab w:val="right" w:pos="8504"/>
      </w:tabs>
      <w:spacing w:after="0"/>
      <w:rPr>
        <w:color w:val="000000"/>
      </w:rPr>
    </w:pPr>
  </w:p>
  <w:p w14:paraId="3D19A14B" w14:textId="77777777" w:rsidR="00EC3CA7" w:rsidRDefault="00EC3CA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A7"/>
    <w:rsid w:val="00030793"/>
    <w:rsid w:val="00044EAE"/>
    <w:rsid w:val="00064864"/>
    <w:rsid w:val="00082EFF"/>
    <w:rsid w:val="00091004"/>
    <w:rsid w:val="00096FFD"/>
    <w:rsid w:val="000A6AE8"/>
    <w:rsid w:val="000E6F2E"/>
    <w:rsid w:val="00101B73"/>
    <w:rsid w:val="00203C99"/>
    <w:rsid w:val="00236BEB"/>
    <w:rsid w:val="002B44F9"/>
    <w:rsid w:val="002F0EC1"/>
    <w:rsid w:val="00333E5A"/>
    <w:rsid w:val="003600AB"/>
    <w:rsid w:val="004821CF"/>
    <w:rsid w:val="004E4BC2"/>
    <w:rsid w:val="0062449F"/>
    <w:rsid w:val="00637D37"/>
    <w:rsid w:val="00654072"/>
    <w:rsid w:val="007114C7"/>
    <w:rsid w:val="00766F9F"/>
    <w:rsid w:val="007C54F8"/>
    <w:rsid w:val="007D161C"/>
    <w:rsid w:val="007D55CE"/>
    <w:rsid w:val="008264C1"/>
    <w:rsid w:val="008410E4"/>
    <w:rsid w:val="0085660F"/>
    <w:rsid w:val="0089548D"/>
    <w:rsid w:val="008F520F"/>
    <w:rsid w:val="009006A0"/>
    <w:rsid w:val="009E0147"/>
    <w:rsid w:val="00A3123D"/>
    <w:rsid w:val="00A3629A"/>
    <w:rsid w:val="00A47FFD"/>
    <w:rsid w:val="00AB38FE"/>
    <w:rsid w:val="00AD633F"/>
    <w:rsid w:val="00AF30F5"/>
    <w:rsid w:val="00B450B1"/>
    <w:rsid w:val="00B91C46"/>
    <w:rsid w:val="00C715B8"/>
    <w:rsid w:val="00D06DD3"/>
    <w:rsid w:val="00D2417B"/>
    <w:rsid w:val="00DD7BAB"/>
    <w:rsid w:val="00E25BBD"/>
    <w:rsid w:val="00E25C33"/>
    <w:rsid w:val="00E442F3"/>
    <w:rsid w:val="00EA47E1"/>
    <w:rsid w:val="00EC3CA7"/>
    <w:rsid w:val="00EF0380"/>
    <w:rsid w:val="00EF7007"/>
    <w:rsid w:val="00FD27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9AB2"/>
  <w15:docId w15:val="{89CC81D4-983B-8A4A-95C5-A0EC463A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line="240" w:lineRule="auto"/>
      <w:jc w:val="left"/>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60" w:line="240" w:lineRule="auto"/>
      <w:ind w:left="720"/>
      <w:jc w:val="left"/>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60" w:line="240" w:lineRule="auto"/>
      <w:ind w:left="1440"/>
      <w:jc w:val="left"/>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line="240" w:lineRule="auto"/>
      <w:ind w:left="2160"/>
      <w:jc w:val="left"/>
      <w:outlineLvl w:val="3"/>
    </w:pPr>
    <w:rPr>
      <w:rFonts w:ascii="Times New Roman" w:eastAsia="Times New Roman" w:hAnsi="Times New Roman" w:cs="Times New Roman"/>
      <w:b/>
      <w:sz w:val="28"/>
      <w:szCs w:val="28"/>
    </w:rPr>
  </w:style>
  <w:style w:type="paragraph" w:styleId="Ttulo5">
    <w:name w:val="heading 5"/>
    <w:basedOn w:val="Normal"/>
    <w:next w:val="Normal"/>
    <w:uiPriority w:val="9"/>
    <w:semiHidden/>
    <w:unhideWhenUsed/>
    <w:qFormat/>
    <w:pPr>
      <w:spacing w:before="240" w:after="60" w:line="240" w:lineRule="auto"/>
      <w:ind w:left="2880"/>
      <w:jc w:val="left"/>
      <w:outlineLvl w:val="4"/>
    </w:pPr>
    <w:rPr>
      <w:rFonts w:ascii="Times New Roman" w:eastAsia="Times New Roman" w:hAnsi="Times New Roman" w:cs="Times New Roman"/>
      <w:b/>
      <w:i/>
      <w:sz w:val="26"/>
      <w:szCs w:val="26"/>
    </w:rPr>
  </w:style>
  <w:style w:type="paragraph" w:styleId="Ttulo6">
    <w:name w:val="heading 6"/>
    <w:basedOn w:val="Normal"/>
    <w:next w:val="Normal"/>
    <w:uiPriority w:val="9"/>
    <w:semiHidden/>
    <w:unhideWhenUsed/>
    <w:qFormat/>
    <w:pPr>
      <w:spacing w:before="240" w:after="60" w:line="240" w:lineRule="auto"/>
      <w:ind w:left="3600"/>
      <w:jc w:val="left"/>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after="0" w:line="240" w:lineRule="auto"/>
      <w:jc w:val="left"/>
    </w:pPr>
    <w:tblPr>
      <w:tblStyleRowBandSize w:val="1"/>
      <w:tblStyleColBandSize w:val="1"/>
    </w:tblPr>
  </w:style>
  <w:style w:type="table" w:customStyle="1" w:styleId="a0">
    <w:basedOn w:val="TableNormal"/>
    <w:pPr>
      <w:spacing w:before="120" w:after="0" w:line="240" w:lineRule="auto"/>
      <w:jc w:val="left"/>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236BEB"/>
    <w:pPr>
      <w:spacing w:after="0" w:line="240" w:lineRule="auto"/>
      <w:jc w:val="left"/>
    </w:pPr>
  </w:style>
  <w:style w:type="character" w:styleId="Refdenotaalpie">
    <w:name w:val="footnote reference"/>
    <w:basedOn w:val="Fuentedeprrafopredeter"/>
    <w:semiHidden/>
    <w:rsid w:val="000A6AE8"/>
    <w:rPr>
      <w:vertAlign w:val="superscript"/>
    </w:rPr>
  </w:style>
  <w:style w:type="paragraph" w:styleId="Textonotapie">
    <w:name w:val="footnote text"/>
    <w:basedOn w:val="Normal"/>
    <w:link w:val="TextonotapieCar"/>
    <w:semiHidden/>
    <w:rsid w:val="000A6AE8"/>
    <w:pPr>
      <w:overflowPunct w:val="0"/>
      <w:autoSpaceDE w:val="0"/>
      <w:autoSpaceDN w:val="0"/>
      <w:adjustRightInd w:val="0"/>
      <w:spacing w:after="0" w:line="240" w:lineRule="auto"/>
      <w:jc w:val="left"/>
    </w:pPr>
    <w:rPr>
      <w:rFonts w:ascii="Arial" w:eastAsia="Times New Roman" w:hAnsi="Arial" w:cs="Arial"/>
      <w:sz w:val="20"/>
      <w:szCs w:val="20"/>
      <w:lang w:val="es-ES_tradnl" w:eastAsia="es-CO"/>
    </w:rPr>
  </w:style>
  <w:style w:type="character" w:customStyle="1" w:styleId="TextonotapieCar">
    <w:name w:val="Texto nota pie Car"/>
    <w:basedOn w:val="Fuentedeprrafopredeter"/>
    <w:link w:val="Textonotapie"/>
    <w:semiHidden/>
    <w:rsid w:val="000A6AE8"/>
    <w:rPr>
      <w:rFonts w:ascii="Arial" w:eastAsia="Times New Roman" w:hAnsi="Arial" w:cs="Arial"/>
      <w:sz w:val="20"/>
      <w:szCs w:val="20"/>
      <w:lang w:val="es-ES_tradnl" w:eastAsia="es-CO"/>
    </w:rPr>
  </w:style>
  <w:style w:type="character" w:customStyle="1" w:styleId="apple-converted-space">
    <w:name w:val="apple-converted-space"/>
    <w:basedOn w:val="Fuentedeprrafopredeter"/>
    <w:rsid w:val="00FD2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34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6D960D4-040B-0848-8743-95D8B542C980}">
  <ds:schemaRefs>
    <ds:schemaRef ds:uri="http://schemas.openxmlformats.org/officeDocument/2006/bibliography"/>
  </ds:schemaRefs>
</ds:datastoreItem>
</file>

<file path=customXml/itemProps2.xml><?xml version="1.0" encoding="utf-8"?>
<ds:datastoreItem xmlns:ds="http://schemas.openxmlformats.org/officeDocument/2006/customXml" ds:itemID="{8BC48373-67D1-4C6E-AD9F-8E06F253B08D}"/>
</file>

<file path=customXml/itemProps3.xml><?xml version="1.0" encoding="utf-8"?>
<ds:datastoreItem xmlns:ds="http://schemas.openxmlformats.org/officeDocument/2006/customXml" ds:itemID="{EAD5295F-B386-4E61-B605-042DA7C74A9C}"/>
</file>

<file path=customXml/itemProps4.xml><?xml version="1.0" encoding="utf-8"?>
<ds:datastoreItem xmlns:ds="http://schemas.openxmlformats.org/officeDocument/2006/customXml" ds:itemID="{D507573D-4306-4D14-8E76-329C849455AD}"/>
</file>

<file path=docProps/app.xml><?xml version="1.0" encoding="utf-8"?>
<Properties xmlns="http://schemas.openxmlformats.org/officeDocument/2006/extended-properties" xmlns:vt="http://schemas.openxmlformats.org/officeDocument/2006/docPropsVTypes">
  <Template>Normal</Template>
  <TotalTime>4</TotalTime>
  <Pages>21</Pages>
  <Words>6343</Words>
  <Characters>34888</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dc:creator>
  <cp:lastModifiedBy>Alvaro Namen Vargas</cp:lastModifiedBy>
  <cp:revision>2</cp:revision>
  <dcterms:created xsi:type="dcterms:W3CDTF">2022-01-28T15:59:00Z</dcterms:created>
  <dcterms:modified xsi:type="dcterms:W3CDTF">2022-01-28T15:59:00Z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2021-12-23T00:00:00Z</vt:filetime>
  </property>
  <property fmtid="{D5CDD505-2E9C-101B-9397-08002B2CF9AE}" pid="3" name="Created">
    <vt:filetime>2021-12-23T00:00:00Z</vt:filetime>
  </property>
  <property fmtid="{D5CDD505-2E9C-101B-9397-08002B2CF9AE}" pid="4" name="ContentTypeId">
    <vt:lpwstr>0x010100F2E0F32964D9B84EA054B84E5D4157A0</vt:lpwstr>
  </property>
</Properties>
</file>