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90C4" w14:textId="77777777" w:rsidR="00FC1C1E" w:rsidRPr="00077410" w:rsidRDefault="00C02FE0" w:rsidP="00353D32">
      <w:pPr>
        <w:spacing w:after="0" w:line="240" w:lineRule="auto"/>
      </w:pPr>
      <w:bookmarkStart w:id="0" w:name="_gjdgxs" w:colFirst="0" w:colLast="0"/>
      <w:bookmarkEnd w:id="0"/>
      <w:r w:rsidRPr="00077410">
        <w:rPr>
          <w:rFonts w:ascii="Arial" w:eastAsia="Arial" w:hAnsi="Arial" w:cs="Arial"/>
          <w:b/>
          <w:sz w:val="20"/>
          <w:szCs w:val="20"/>
        </w:rPr>
        <w:t>LEY DE GARANTÍAS ELECTORALES – Finalidad</w:t>
      </w:r>
    </w:p>
    <w:p w14:paraId="38A69927" w14:textId="77777777" w:rsidR="00FC1C1E" w:rsidRPr="00077410" w:rsidRDefault="00FC1C1E" w:rsidP="00353D32">
      <w:pPr>
        <w:spacing w:after="0" w:line="240" w:lineRule="auto"/>
      </w:pPr>
    </w:p>
    <w:p w14:paraId="6A4E40DC" w14:textId="77777777" w:rsidR="00FC1C1E" w:rsidRPr="00077410" w:rsidRDefault="00C02FE0" w:rsidP="00353D32">
      <w:pPr>
        <w:tabs>
          <w:tab w:val="left" w:pos="426"/>
        </w:tabs>
        <w:spacing w:after="0" w:line="240" w:lineRule="auto"/>
      </w:pPr>
      <w:bookmarkStart w:id="1" w:name="_30j0zll" w:colFirst="0" w:colLast="0"/>
      <w:bookmarkEnd w:id="1"/>
      <w:r w:rsidRPr="00077410">
        <w:rPr>
          <w:rFonts w:ascii="Arial" w:eastAsia="Arial" w:hAnsi="Arial" w:cs="Arial"/>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571B3401" w14:textId="77777777" w:rsidR="00FC1C1E" w:rsidRPr="00077410" w:rsidRDefault="00FC1C1E" w:rsidP="00353D32">
      <w:pPr>
        <w:tabs>
          <w:tab w:val="left" w:pos="426"/>
        </w:tabs>
        <w:spacing w:after="0" w:line="240" w:lineRule="auto"/>
      </w:pPr>
      <w:bookmarkStart w:id="2" w:name="_1fob9te" w:colFirst="0" w:colLast="0"/>
      <w:bookmarkEnd w:id="2"/>
    </w:p>
    <w:p w14:paraId="49A6DC69" w14:textId="77777777" w:rsidR="00FC1C1E" w:rsidRPr="00077410" w:rsidRDefault="00C02FE0" w:rsidP="00353D32">
      <w:pPr>
        <w:tabs>
          <w:tab w:val="left" w:pos="426"/>
        </w:tabs>
        <w:spacing w:after="0" w:line="240" w:lineRule="auto"/>
      </w:pPr>
      <w:bookmarkStart w:id="3" w:name="_3znysh7" w:colFirst="0" w:colLast="0"/>
      <w:bookmarkEnd w:id="3"/>
      <w:r w:rsidRPr="00077410">
        <w:rPr>
          <w:rFonts w:ascii="Arial" w:eastAsia="Arial" w:hAnsi="Arial" w:cs="Arial"/>
          <w:b/>
          <w:sz w:val="20"/>
          <w:szCs w:val="20"/>
        </w:rPr>
        <w:t xml:space="preserve">LEY DE GARANTÍAS ELECTORALES ‒ Tipos de restricciones ‒ Ámbito temporal </w:t>
      </w:r>
    </w:p>
    <w:p w14:paraId="21627E04" w14:textId="77777777" w:rsidR="00FC1C1E" w:rsidRPr="00077410" w:rsidRDefault="00FC1C1E" w:rsidP="00353D32">
      <w:pPr>
        <w:tabs>
          <w:tab w:val="left" w:pos="426"/>
        </w:tabs>
        <w:spacing w:after="0" w:line="240" w:lineRule="auto"/>
      </w:pPr>
    </w:p>
    <w:p w14:paraId="5A891912" w14:textId="77777777" w:rsidR="00FC1C1E" w:rsidRPr="00077410" w:rsidRDefault="00C02FE0" w:rsidP="00353D32">
      <w:pPr>
        <w:tabs>
          <w:tab w:val="left" w:pos="426"/>
        </w:tabs>
        <w:spacing w:after="0" w:line="240" w:lineRule="auto"/>
      </w:pPr>
      <w:r w:rsidRPr="00077410">
        <w:rPr>
          <w:rFonts w:ascii="Arial" w:eastAsia="Arial" w:hAnsi="Arial" w:cs="Arial"/>
          <w:sz w:val="20"/>
          <w:szCs w:val="20"/>
        </w:rPr>
        <w:t xml:space="preserve">[…]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w:t>
      </w:r>
      <w:proofErr w:type="gramStart"/>
      <w:r w:rsidRPr="00077410">
        <w:rPr>
          <w:rFonts w:ascii="Arial" w:eastAsia="Arial" w:hAnsi="Arial" w:cs="Arial"/>
          <w:sz w:val="20"/>
          <w:szCs w:val="20"/>
        </w:rPr>
        <w:t>las  votaciones</w:t>
      </w:r>
      <w:proofErr w:type="gramEnd"/>
      <w:r w:rsidRPr="00077410">
        <w:rPr>
          <w:rFonts w:ascii="Arial" w:eastAsia="Arial" w:hAnsi="Arial" w:cs="Arial"/>
          <w:sz w:val="20"/>
          <w:szCs w:val="20"/>
        </w:rPr>
        <w:t xml:space="preserve">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893BB87" w14:textId="77777777" w:rsidR="00FC1C1E" w:rsidRPr="00077410" w:rsidRDefault="00FC1C1E" w:rsidP="00353D32">
      <w:pPr>
        <w:tabs>
          <w:tab w:val="left" w:pos="426"/>
        </w:tabs>
        <w:spacing w:after="0" w:line="240" w:lineRule="auto"/>
      </w:pPr>
      <w:bookmarkStart w:id="4" w:name="_2et92p0" w:colFirst="0" w:colLast="0"/>
      <w:bookmarkEnd w:id="4"/>
    </w:p>
    <w:p w14:paraId="368E0AC7" w14:textId="77777777" w:rsidR="00FC1C1E" w:rsidRPr="00077410" w:rsidRDefault="00C02FE0" w:rsidP="00353D32">
      <w:pPr>
        <w:shd w:val="clear" w:color="auto" w:fill="FFFFFF"/>
        <w:spacing w:after="0" w:line="240" w:lineRule="auto"/>
      </w:pPr>
      <w:bookmarkStart w:id="5" w:name="_tyjcwt" w:colFirst="0" w:colLast="0"/>
      <w:bookmarkEnd w:id="5"/>
      <w:r w:rsidRPr="00077410">
        <w:rPr>
          <w:rFonts w:ascii="Arial" w:eastAsia="Arial" w:hAnsi="Arial" w:cs="Arial"/>
          <w:b/>
          <w:sz w:val="20"/>
          <w:szCs w:val="20"/>
        </w:rPr>
        <w:t>LEY DE GARANTÍAS ELECTORALES ‒ Excepciones</w:t>
      </w:r>
      <w:r w:rsidRPr="00077410">
        <w:rPr>
          <w:rFonts w:ascii="Arial" w:eastAsia="Arial" w:hAnsi="Arial" w:cs="Arial"/>
          <w:sz w:val="20"/>
          <w:szCs w:val="20"/>
        </w:rPr>
        <w:t xml:space="preserve"> </w:t>
      </w:r>
    </w:p>
    <w:p w14:paraId="02403AE1" w14:textId="77777777" w:rsidR="00FC1C1E" w:rsidRPr="00077410" w:rsidRDefault="00FC1C1E" w:rsidP="00353D32">
      <w:pPr>
        <w:shd w:val="clear" w:color="auto" w:fill="FFFFFF"/>
        <w:spacing w:after="0" w:line="240" w:lineRule="auto"/>
      </w:pPr>
    </w:p>
    <w:p w14:paraId="751F8142" w14:textId="77777777" w:rsidR="00FC1C1E" w:rsidRPr="00077410" w:rsidRDefault="00C02FE0">
      <w:pPr>
        <w:tabs>
          <w:tab w:val="left" w:pos="426"/>
        </w:tabs>
        <w:spacing w:after="0" w:line="240" w:lineRule="auto"/>
        <w:rPr>
          <w:rFonts w:ascii="Arial" w:eastAsia="Arial" w:hAnsi="Arial" w:cs="Arial"/>
          <w:sz w:val="20"/>
          <w:szCs w:val="20"/>
        </w:rPr>
      </w:pPr>
      <w:r w:rsidRPr="00077410">
        <w:rPr>
          <w:rFonts w:ascii="Arial" w:eastAsia="Arial" w:hAnsi="Arial" w:cs="Arial"/>
          <w:sz w:val="20"/>
          <w:szCs w:val="20"/>
        </w:rPr>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077410">
        <w:rPr>
          <w:rFonts w:ascii="Arial" w:eastAsia="Arial" w:hAnsi="Arial" w:cs="Arial"/>
          <w:sz w:val="20"/>
          <w:szCs w:val="20"/>
        </w:rPr>
        <w:t>ii</w:t>
      </w:r>
      <w:proofErr w:type="spellEnd"/>
      <w:r w:rsidRPr="00077410">
        <w:rPr>
          <w:rFonts w:ascii="Arial" w:eastAsia="Arial" w:hAnsi="Arial" w:cs="Arial"/>
          <w:sz w:val="20"/>
          <w:szCs w:val="20"/>
        </w:rPr>
        <w:t xml:space="preserve">) los contratos de crédito público; </w:t>
      </w:r>
      <w:proofErr w:type="spellStart"/>
      <w:r w:rsidRPr="00077410">
        <w:rPr>
          <w:rFonts w:ascii="Arial" w:eastAsia="Arial" w:hAnsi="Arial" w:cs="Arial"/>
          <w:sz w:val="20"/>
          <w:szCs w:val="20"/>
        </w:rPr>
        <w:t>iii</w:t>
      </w:r>
      <w:proofErr w:type="spellEnd"/>
      <w:r w:rsidRPr="00077410">
        <w:rPr>
          <w:rFonts w:ascii="Arial" w:eastAsia="Arial" w:hAnsi="Arial" w:cs="Arial"/>
          <w:sz w:val="20"/>
          <w:szCs w:val="20"/>
        </w:rPr>
        <w:t xml:space="preserve">) los requeridos para cubrir las emergencias educativas, sanitarias y desastres; </w:t>
      </w:r>
      <w:proofErr w:type="spellStart"/>
      <w:r w:rsidRPr="00077410">
        <w:rPr>
          <w:rFonts w:ascii="Arial" w:eastAsia="Arial" w:hAnsi="Arial" w:cs="Arial"/>
          <w:sz w:val="20"/>
          <w:szCs w:val="20"/>
        </w:rPr>
        <w:t>iv</w:t>
      </w:r>
      <w:proofErr w:type="spellEnd"/>
      <w:r w:rsidRPr="00077410">
        <w:rPr>
          <w:rFonts w:ascii="Arial" w:eastAsia="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54AEB1AC" w14:textId="77777777" w:rsidR="00FC1C1E" w:rsidRPr="00077410" w:rsidRDefault="00FC1C1E" w:rsidP="00353D32">
      <w:pPr>
        <w:tabs>
          <w:tab w:val="left" w:pos="426"/>
        </w:tabs>
        <w:spacing w:after="0" w:line="240" w:lineRule="auto"/>
      </w:pPr>
    </w:p>
    <w:p w14:paraId="4CE2E53B" w14:textId="77777777" w:rsidR="00FC1C1E" w:rsidRPr="00077410" w:rsidRDefault="00C02FE0">
      <w:pPr>
        <w:tabs>
          <w:tab w:val="left" w:pos="426"/>
        </w:tabs>
        <w:spacing w:after="0" w:line="240" w:lineRule="auto"/>
        <w:rPr>
          <w:rFonts w:ascii="Arial" w:eastAsia="Arial" w:hAnsi="Arial" w:cs="Arial"/>
          <w:b/>
          <w:sz w:val="20"/>
          <w:szCs w:val="20"/>
        </w:rPr>
      </w:pPr>
      <w:r w:rsidRPr="00077410">
        <w:rPr>
          <w:rFonts w:ascii="Arial" w:eastAsia="Arial" w:hAnsi="Arial" w:cs="Arial"/>
          <w:b/>
          <w:sz w:val="20"/>
          <w:szCs w:val="20"/>
        </w:rPr>
        <w:t>LEY DE GARANTÍAS ELECTORALES ‒ Prohibición comicios cargos de elección popular – Convenios y contratos interadministrativos</w:t>
      </w:r>
    </w:p>
    <w:p w14:paraId="3780E8CB" w14:textId="77777777" w:rsidR="00FC1C1E" w:rsidRPr="00077410" w:rsidRDefault="00FC1C1E">
      <w:pPr>
        <w:tabs>
          <w:tab w:val="left" w:pos="426"/>
        </w:tabs>
        <w:spacing w:after="0" w:line="240" w:lineRule="auto"/>
        <w:rPr>
          <w:rFonts w:ascii="Arial" w:eastAsia="Arial" w:hAnsi="Arial" w:cs="Arial"/>
          <w:sz w:val="20"/>
          <w:szCs w:val="20"/>
        </w:rPr>
      </w:pPr>
    </w:p>
    <w:p w14:paraId="676F7DD9" w14:textId="77777777" w:rsidR="00FC1C1E" w:rsidRPr="00077410" w:rsidRDefault="00C02FE0">
      <w:pPr>
        <w:tabs>
          <w:tab w:val="left" w:pos="426"/>
        </w:tabs>
        <w:spacing w:after="0" w:line="240" w:lineRule="auto"/>
        <w:rPr>
          <w:rFonts w:ascii="Arial" w:eastAsia="Arial" w:hAnsi="Arial" w:cs="Arial"/>
          <w:sz w:val="20"/>
          <w:szCs w:val="20"/>
        </w:rPr>
      </w:pPr>
      <w:r w:rsidRPr="00077410">
        <w:rPr>
          <w:rFonts w:ascii="Arial" w:eastAsia="Arial" w:hAnsi="Arial" w:cs="Arial"/>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3B3BE053" w14:textId="77777777" w:rsidR="00FC1C1E" w:rsidRPr="00077410" w:rsidRDefault="00FC1C1E">
      <w:pPr>
        <w:spacing w:after="0" w:line="240" w:lineRule="auto"/>
        <w:rPr>
          <w:rFonts w:ascii="Arial" w:eastAsia="Arial" w:hAnsi="Arial" w:cs="Arial"/>
          <w:b/>
          <w:color w:val="000000"/>
          <w:sz w:val="20"/>
          <w:szCs w:val="20"/>
        </w:rPr>
      </w:pPr>
    </w:p>
    <w:p w14:paraId="0319989D" w14:textId="77777777" w:rsidR="00FC1C1E" w:rsidRPr="00077410" w:rsidRDefault="00C02FE0">
      <w:pPr>
        <w:spacing w:after="0" w:line="240" w:lineRule="auto"/>
        <w:rPr>
          <w:rFonts w:ascii="Arial" w:eastAsia="Arial" w:hAnsi="Arial" w:cs="Arial"/>
          <w:b/>
          <w:color w:val="000000"/>
          <w:sz w:val="20"/>
          <w:szCs w:val="20"/>
        </w:rPr>
      </w:pPr>
      <w:r w:rsidRPr="00077410">
        <w:rPr>
          <w:rFonts w:ascii="Arial" w:eastAsia="Arial" w:hAnsi="Arial" w:cs="Arial"/>
          <w:b/>
          <w:color w:val="000000"/>
          <w:sz w:val="20"/>
          <w:szCs w:val="20"/>
        </w:rPr>
        <w:t xml:space="preserve">CONTRATOS Y CONVENIOS INTERADMINISTRATIVOS – Definición – Criterio orgánico </w:t>
      </w:r>
    </w:p>
    <w:p w14:paraId="080064F4" w14:textId="77777777" w:rsidR="00FC1C1E" w:rsidRPr="00077410" w:rsidRDefault="00FC1C1E">
      <w:pPr>
        <w:spacing w:after="0" w:line="240" w:lineRule="auto"/>
        <w:rPr>
          <w:rFonts w:ascii="Arial" w:eastAsia="Arial" w:hAnsi="Arial" w:cs="Arial"/>
          <w:color w:val="000000"/>
          <w:sz w:val="20"/>
          <w:szCs w:val="20"/>
        </w:rPr>
      </w:pPr>
    </w:p>
    <w:p w14:paraId="122D94AD" w14:textId="77777777" w:rsidR="00FC1C1E" w:rsidRPr="00077410" w:rsidRDefault="00C02FE0">
      <w:pPr>
        <w:spacing w:after="0" w:line="240" w:lineRule="auto"/>
        <w:rPr>
          <w:rFonts w:ascii="Arial" w:eastAsia="Arial" w:hAnsi="Arial" w:cs="Arial"/>
          <w:color w:val="000000"/>
          <w:sz w:val="20"/>
          <w:szCs w:val="20"/>
        </w:rPr>
      </w:pPr>
      <w:r w:rsidRPr="00077410">
        <w:rPr>
          <w:rFonts w:ascii="Arial" w:eastAsia="Arial" w:hAnsi="Arial" w:cs="Arial"/>
          <w:color w:val="000000"/>
          <w:sz w:val="20"/>
          <w:szCs w:val="20"/>
        </w:rPr>
        <w:lastRenderedPageBreak/>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9AD6582" w14:textId="77777777" w:rsidR="00FC1C1E" w:rsidRPr="00077410" w:rsidRDefault="00FC1C1E">
      <w:pPr>
        <w:spacing w:after="0" w:line="240" w:lineRule="auto"/>
        <w:rPr>
          <w:rFonts w:ascii="Arial" w:eastAsia="Arial" w:hAnsi="Arial" w:cs="Arial"/>
          <w:color w:val="000000"/>
          <w:sz w:val="20"/>
          <w:szCs w:val="20"/>
        </w:rPr>
      </w:pPr>
    </w:p>
    <w:p w14:paraId="0C1C37C9" w14:textId="77777777" w:rsidR="00FC1C1E" w:rsidRPr="00077410" w:rsidRDefault="00C02FE0">
      <w:pPr>
        <w:spacing w:after="0" w:line="240" w:lineRule="auto"/>
        <w:rPr>
          <w:rFonts w:ascii="Arial" w:eastAsia="Arial" w:hAnsi="Arial" w:cs="Arial"/>
          <w:b/>
          <w:color w:val="000000"/>
          <w:sz w:val="20"/>
          <w:szCs w:val="20"/>
        </w:rPr>
      </w:pPr>
      <w:bookmarkStart w:id="6" w:name="_3dy6vkm" w:colFirst="0" w:colLast="0"/>
      <w:bookmarkEnd w:id="6"/>
      <w:r w:rsidRPr="00077410">
        <w:rPr>
          <w:rFonts w:ascii="Arial" w:eastAsia="Arial" w:hAnsi="Arial" w:cs="Arial"/>
          <w:b/>
          <w:color w:val="000000"/>
          <w:sz w:val="20"/>
          <w:szCs w:val="20"/>
        </w:rPr>
        <w:t>CONTRATOS Y CONVENIOS INTERADMINISTRATIVOS – Entidades con régimen especial de contratación – Procedencia</w:t>
      </w:r>
    </w:p>
    <w:p w14:paraId="3194C627" w14:textId="77777777" w:rsidR="00FC1C1E" w:rsidRPr="00077410" w:rsidRDefault="00FC1C1E">
      <w:pPr>
        <w:spacing w:after="0" w:line="240" w:lineRule="auto"/>
        <w:rPr>
          <w:rFonts w:ascii="Arial" w:eastAsia="Arial" w:hAnsi="Arial" w:cs="Arial"/>
          <w:color w:val="000000"/>
          <w:sz w:val="20"/>
          <w:szCs w:val="20"/>
        </w:rPr>
      </w:pPr>
    </w:p>
    <w:p w14:paraId="33829F7C" w14:textId="77777777" w:rsidR="00FC1C1E" w:rsidRPr="00077410" w:rsidRDefault="00C02FE0">
      <w:pPr>
        <w:tabs>
          <w:tab w:val="left" w:pos="426"/>
        </w:tabs>
        <w:spacing w:after="0" w:line="240" w:lineRule="auto"/>
        <w:rPr>
          <w:rFonts w:ascii="Arial" w:eastAsia="Arial" w:hAnsi="Arial" w:cs="Arial"/>
          <w:sz w:val="20"/>
          <w:szCs w:val="20"/>
        </w:rPr>
      </w:pPr>
      <w:r w:rsidRPr="00077410">
        <w:rPr>
          <w:rFonts w:ascii="Arial" w:eastAsia="Arial" w:hAnsi="Arial" w:cs="Arial"/>
          <w:color w:val="000000"/>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352D1F4E" w14:textId="77777777" w:rsidR="00FC1C1E" w:rsidRPr="00077410" w:rsidRDefault="00FC1C1E">
      <w:pPr>
        <w:spacing w:after="0" w:line="240" w:lineRule="auto"/>
        <w:rPr>
          <w:rFonts w:ascii="Arial" w:eastAsia="Arial" w:hAnsi="Arial" w:cs="Arial"/>
          <w:b/>
          <w:color w:val="000000"/>
          <w:sz w:val="20"/>
          <w:szCs w:val="20"/>
        </w:rPr>
      </w:pPr>
    </w:p>
    <w:p w14:paraId="1F16C336" w14:textId="77777777" w:rsidR="00FC1C1E" w:rsidRPr="00077410" w:rsidRDefault="00C02FE0">
      <w:pPr>
        <w:spacing w:after="0" w:line="240" w:lineRule="auto"/>
        <w:rPr>
          <w:rFonts w:ascii="Arial" w:eastAsia="Arial" w:hAnsi="Arial" w:cs="Arial"/>
          <w:b/>
          <w:color w:val="000000"/>
          <w:sz w:val="20"/>
          <w:szCs w:val="20"/>
        </w:rPr>
      </w:pPr>
      <w:r w:rsidRPr="00077410">
        <w:rPr>
          <w:rFonts w:ascii="Arial" w:eastAsia="Arial" w:hAnsi="Arial" w:cs="Arial"/>
          <w:b/>
          <w:color w:val="000000"/>
          <w:sz w:val="20"/>
          <w:szCs w:val="20"/>
        </w:rPr>
        <w:t>CONTRATOS Y CONVENIOS INTERADMINISTRATIVOS – Modalidad de selección</w:t>
      </w:r>
    </w:p>
    <w:p w14:paraId="474BBA38" w14:textId="77777777" w:rsidR="00FC1C1E" w:rsidRPr="00077410" w:rsidRDefault="00FC1C1E">
      <w:pPr>
        <w:spacing w:after="0" w:line="240" w:lineRule="auto"/>
        <w:rPr>
          <w:rFonts w:ascii="Arial" w:eastAsia="Arial" w:hAnsi="Arial" w:cs="Arial"/>
          <w:b/>
          <w:color w:val="000000"/>
          <w:sz w:val="20"/>
          <w:szCs w:val="20"/>
        </w:rPr>
      </w:pPr>
    </w:p>
    <w:p w14:paraId="3F33DABF" w14:textId="77777777" w:rsidR="00FC1C1E" w:rsidRPr="00077410" w:rsidRDefault="00C02FE0">
      <w:pPr>
        <w:spacing w:after="0" w:line="240" w:lineRule="auto"/>
        <w:rPr>
          <w:rFonts w:ascii="Arial" w:eastAsia="Arial" w:hAnsi="Arial" w:cs="Arial"/>
          <w:color w:val="000000"/>
          <w:sz w:val="20"/>
          <w:szCs w:val="20"/>
        </w:rPr>
      </w:pPr>
      <w:r w:rsidRPr="00077410">
        <w:rPr>
          <w:rFonts w:ascii="Arial" w:eastAsia="Arial" w:hAnsi="Arial" w:cs="Arial"/>
          <w:color w:val="000000"/>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435BBA83" w14:textId="77777777" w:rsidR="00FC1C1E" w:rsidRPr="00077410" w:rsidRDefault="00FC1C1E">
      <w:pPr>
        <w:spacing w:after="0" w:line="240" w:lineRule="auto"/>
        <w:rPr>
          <w:rFonts w:ascii="Arial" w:eastAsia="Arial" w:hAnsi="Arial" w:cs="Arial"/>
          <w:color w:val="000000"/>
          <w:sz w:val="20"/>
          <w:szCs w:val="20"/>
        </w:rPr>
      </w:pPr>
    </w:p>
    <w:p w14:paraId="310F075C" w14:textId="77777777" w:rsidR="00FC1C1E" w:rsidRPr="00077410" w:rsidRDefault="00C02FE0">
      <w:pPr>
        <w:tabs>
          <w:tab w:val="left" w:pos="426"/>
        </w:tabs>
        <w:spacing w:after="0" w:line="240" w:lineRule="auto"/>
        <w:rPr>
          <w:rFonts w:ascii="Arial" w:eastAsia="Arial" w:hAnsi="Arial" w:cs="Arial"/>
          <w:b/>
          <w:sz w:val="20"/>
          <w:szCs w:val="20"/>
        </w:rPr>
      </w:pPr>
      <w:bookmarkStart w:id="7" w:name="_1t3h5sf" w:colFirst="0" w:colLast="0"/>
      <w:bookmarkEnd w:id="7"/>
      <w:r w:rsidRPr="00077410">
        <w:rPr>
          <w:rFonts w:ascii="Arial" w:eastAsia="Arial" w:hAnsi="Arial" w:cs="Arial"/>
          <w:b/>
          <w:sz w:val="20"/>
          <w:szCs w:val="20"/>
        </w:rPr>
        <w:t xml:space="preserve">LEY DE GARANTÍAS ELECTORALES – Prohibición – Celebración convenios o contratos interadministrativos – Orden judicial </w:t>
      </w:r>
    </w:p>
    <w:p w14:paraId="289A311C" w14:textId="77777777" w:rsidR="00FC1C1E" w:rsidRPr="00077410" w:rsidRDefault="00FC1C1E">
      <w:pPr>
        <w:spacing w:after="0" w:line="240" w:lineRule="auto"/>
        <w:rPr>
          <w:rFonts w:ascii="Arial" w:eastAsia="Arial" w:hAnsi="Arial" w:cs="Arial"/>
          <w:sz w:val="20"/>
          <w:szCs w:val="20"/>
        </w:rPr>
      </w:pPr>
    </w:p>
    <w:p w14:paraId="3E5ACD19" w14:textId="336E1D2D" w:rsidR="00FC1C1E" w:rsidRPr="00077410" w:rsidRDefault="00C02FE0">
      <w:pPr>
        <w:spacing w:after="0" w:line="240" w:lineRule="auto"/>
        <w:rPr>
          <w:rFonts w:ascii="Arial" w:eastAsia="Arial" w:hAnsi="Arial" w:cs="Arial"/>
          <w:sz w:val="20"/>
          <w:szCs w:val="20"/>
        </w:rPr>
      </w:pPr>
      <w:r w:rsidRPr="00077410">
        <w:rPr>
          <w:rFonts w:ascii="Arial" w:eastAsia="Arial" w:hAnsi="Arial" w:cs="Arial"/>
          <w:sz w:val="20"/>
          <w:szCs w:val="20"/>
        </w:rPr>
        <w:t xml:space="preserv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 </w:t>
      </w:r>
    </w:p>
    <w:p w14:paraId="2262126E" w14:textId="377C0F70" w:rsidR="00353D32" w:rsidRPr="00077410" w:rsidRDefault="00353D32">
      <w:pPr>
        <w:spacing w:after="0" w:line="240" w:lineRule="auto"/>
        <w:rPr>
          <w:rFonts w:ascii="Arial" w:eastAsia="Arial" w:hAnsi="Arial" w:cs="Arial"/>
          <w:b/>
          <w:bCs/>
          <w:sz w:val="20"/>
          <w:szCs w:val="20"/>
        </w:rPr>
      </w:pPr>
    </w:p>
    <w:p w14:paraId="2D691D9F" w14:textId="7240DEE9" w:rsidR="00353D32" w:rsidRPr="00077410" w:rsidRDefault="00353D32" w:rsidP="00353D32">
      <w:pPr>
        <w:spacing w:after="0" w:line="240" w:lineRule="auto"/>
        <w:rPr>
          <w:rFonts w:ascii="Arial" w:eastAsia="Arial" w:hAnsi="Arial" w:cs="Arial"/>
          <w:b/>
          <w:bCs/>
          <w:sz w:val="20"/>
          <w:szCs w:val="20"/>
        </w:rPr>
      </w:pPr>
      <w:r w:rsidRPr="00077410">
        <w:rPr>
          <w:rFonts w:ascii="Arial" w:eastAsia="Arial" w:hAnsi="Arial" w:cs="Arial"/>
          <w:b/>
          <w:bCs/>
          <w:sz w:val="20"/>
          <w:szCs w:val="20"/>
        </w:rPr>
        <w:t>EMPRESAS DE SERVICIOS PÚBLICOS – Naturaleza especial – aplicación de la ley de garantías electorales</w:t>
      </w:r>
    </w:p>
    <w:p w14:paraId="4AA8CB10" w14:textId="77777777" w:rsidR="00353D32" w:rsidRPr="00077410" w:rsidRDefault="00353D32" w:rsidP="00353D32">
      <w:pPr>
        <w:spacing w:after="0" w:line="240" w:lineRule="auto"/>
        <w:rPr>
          <w:rFonts w:ascii="Arial" w:eastAsia="Arial" w:hAnsi="Arial" w:cs="Arial"/>
          <w:sz w:val="20"/>
          <w:szCs w:val="20"/>
        </w:rPr>
      </w:pPr>
    </w:p>
    <w:p w14:paraId="1E018F1A" w14:textId="3598F685" w:rsidR="00353D32" w:rsidRPr="00077410" w:rsidRDefault="00353D32" w:rsidP="00353D32">
      <w:pPr>
        <w:widowControl w:val="0"/>
        <w:spacing w:after="0" w:line="240" w:lineRule="auto"/>
        <w:ind w:right="107"/>
        <w:rPr>
          <w:sz w:val="20"/>
          <w:szCs w:val="20"/>
        </w:rPr>
      </w:pPr>
      <w:r w:rsidRPr="00077410">
        <w:rPr>
          <w:rFonts w:ascii="Arial" w:eastAsia="Arial" w:hAnsi="Arial" w:cs="Arial"/>
          <w:sz w:val="20"/>
          <w:szCs w:val="20"/>
        </w:rPr>
        <w:t>[…] 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r w:rsidRPr="00077410">
        <w:rPr>
          <w:sz w:val="20"/>
          <w:szCs w:val="20"/>
        </w:rPr>
        <w:t xml:space="preserve"> </w:t>
      </w:r>
      <w:r w:rsidRPr="00077410">
        <w:rPr>
          <w:rFonts w:ascii="Arial" w:eastAsia="Arial" w:hAnsi="Arial" w:cs="Arial"/>
          <w:sz w:val="20"/>
          <w:szCs w:val="20"/>
        </w:rPr>
        <w:t>Así las cosas, los gerentes o directores de las Empresas de Servicios Públicos, oficiales, mixtas o privadas con participación pública, del orden municipal, departamental o distrital, son destinatarios de la prohibición contenida en el parágrafo del artículo 38 de la Ley 996 de 2005, es decir, dentro de los cuatro (4) meses anteriores a las elecciones no pueden celebrar convenios interadministrativos para la ejecución de recursos públicos.</w:t>
      </w:r>
    </w:p>
    <w:p w14:paraId="5205FB31" w14:textId="77777777" w:rsidR="00353D32" w:rsidRPr="00077410" w:rsidRDefault="00353D32">
      <w:pPr>
        <w:spacing w:after="0" w:line="240" w:lineRule="auto"/>
        <w:rPr>
          <w:rFonts w:ascii="Arial" w:eastAsia="Arial" w:hAnsi="Arial" w:cs="Arial"/>
          <w:sz w:val="20"/>
          <w:szCs w:val="20"/>
        </w:rPr>
      </w:pPr>
    </w:p>
    <w:p w14:paraId="3C7B0E53" w14:textId="77777777" w:rsidR="00FC1C1E" w:rsidRPr="00077410" w:rsidRDefault="00FC1C1E">
      <w:pPr>
        <w:spacing w:after="0" w:line="240" w:lineRule="auto"/>
        <w:rPr>
          <w:rFonts w:ascii="Arial" w:eastAsia="Arial" w:hAnsi="Arial" w:cs="Arial"/>
          <w:sz w:val="20"/>
          <w:szCs w:val="20"/>
        </w:rPr>
      </w:pPr>
    </w:p>
    <w:p w14:paraId="57E1629D" w14:textId="5DA75076" w:rsidR="00FC1C1E" w:rsidRPr="00077410" w:rsidRDefault="00C02FE0">
      <w:pPr>
        <w:spacing w:after="0" w:line="240" w:lineRule="auto"/>
        <w:rPr>
          <w:rFonts w:ascii="Arial" w:eastAsia="Arial" w:hAnsi="Arial" w:cs="Arial"/>
          <w:b/>
          <w:sz w:val="20"/>
          <w:szCs w:val="20"/>
        </w:rPr>
      </w:pPr>
      <w:r w:rsidRPr="00077410">
        <w:rPr>
          <w:rFonts w:ascii="Arial" w:eastAsia="Arial" w:hAnsi="Arial" w:cs="Arial"/>
          <w:b/>
          <w:sz w:val="20"/>
          <w:szCs w:val="20"/>
        </w:rPr>
        <w:t>LEY DE GARANTÍAS ELECTORALES – Parágrafo del artículo 38 – Aplicación a universidades públicas</w:t>
      </w:r>
    </w:p>
    <w:p w14:paraId="7C91006A" w14:textId="77777777" w:rsidR="00FC1C1E" w:rsidRPr="00077410" w:rsidRDefault="00FC1C1E">
      <w:pPr>
        <w:spacing w:after="0" w:line="240" w:lineRule="auto"/>
        <w:rPr>
          <w:rFonts w:ascii="Arial" w:eastAsia="Arial" w:hAnsi="Arial" w:cs="Arial"/>
          <w:b/>
          <w:sz w:val="20"/>
          <w:szCs w:val="20"/>
        </w:rPr>
      </w:pPr>
    </w:p>
    <w:p w14:paraId="1A5B82A9" w14:textId="718141E1" w:rsidR="00FC1C1E" w:rsidRPr="00692F46" w:rsidRDefault="00692F46">
      <w:pPr>
        <w:spacing w:after="0" w:line="240" w:lineRule="auto"/>
        <w:rPr>
          <w:rFonts w:ascii="Arial" w:eastAsia="Arial" w:hAnsi="Arial" w:cs="Arial"/>
          <w:color w:val="000000"/>
          <w:sz w:val="20"/>
          <w:szCs w:val="20"/>
        </w:rPr>
      </w:pPr>
      <w:r w:rsidRPr="00692F46">
        <w:rPr>
          <w:rFonts w:ascii="Arial" w:eastAsia="Arial" w:hAnsi="Arial" w:cs="Arial"/>
          <w:sz w:val="20"/>
          <w:szCs w:val="20"/>
        </w:rPr>
        <w:t xml:space="preserve">[…] </w:t>
      </w:r>
      <w:r w:rsidR="00077410" w:rsidRPr="00692F46">
        <w:rPr>
          <w:rFonts w:ascii="Arial" w:eastAsia="Arial" w:hAnsi="Arial" w:cs="Arial"/>
          <w:sz w:val="20"/>
          <w:szCs w:val="20"/>
        </w:rPr>
        <w:t xml:space="preserve">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Lo anterior resulta relevante para efectos de la aplicación de la Ley de Garantías, especialmente, en lo relacionado con la prohibición del parágrafo del artículo 38, ya que los entes universitarios autónomos, de conformidad con lo desarrollado hasta este lugar no se enmarcan dentro de las autoridades incluidas en dicha prohibición, en tanto está dirigida a los «gobernadores, alcaldes municipales y/o distritales, secretarios, gerentes y directores de entidades descentralizadas del orden municipal, departamental o distrital». Sin embargo, al tratarse de «entes del Estado» que es la noción establecida en el artículo 33 de la Ley 996 de 2005 sí quedan incluidas en esta prohibición, toda vez que esta aplica a todos </w:t>
      </w:r>
      <w:r w:rsidR="00077410" w:rsidRPr="00692F46">
        <w:rPr>
          <w:rFonts w:ascii="Arial" w:eastAsia="Arial" w:hAnsi="Arial" w:cs="Arial"/>
          <w:color w:val="000000"/>
          <w:sz w:val="20"/>
          <w:szCs w:val="20"/>
        </w:rPr>
        <w:t>los entes del Estado, sin importar su régimen jurídico, forma de organización o naturaleza, pertenencia a una u otra rama del poder público o su autonomía, por lo que dentro de ella se encuentran las universidades públicas, a quienes les queda prohibida la contratación directa durante los cuatro (4) meses anteriores a la elección presidencial y hasta la realización de la elección en la segunda vuelta, si fuere el caso.</w:t>
      </w:r>
    </w:p>
    <w:p w14:paraId="233C0973" w14:textId="77777777" w:rsidR="00077410" w:rsidRPr="00077410" w:rsidRDefault="00077410">
      <w:pPr>
        <w:spacing w:after="0" w:line="240" w:lineRule="auto"/>
        <w:rPr>
          <w:rFonts w:ascii="Arial" w:eastAsia="Arial" w:hAnsi="Arial" w:cs="Arial"/>
          <w:b/>
          <w:sz w:val="20"/>
          <w:szCs w:val="20"/>
        </w:rPr>
      </w:pPr>
    </w:p>
    <w:p w14:paraId="43B050FB" w14:textId="14F7B37D" w:rsidR="00FC1C1E" w:rsidRPr="00077410" w:rsidRDefault="00C02FE0">
      <w:pPr>
        <w:spacing w:after="0" w:line="240" w:lineRule="auto"/>
        <w:rPr>
          <w:rFonts w:ascii="Arial" w:eastAsia="Arial" w:hAnsi="Arial" w:cs="Arial"/>
          <w:b/>
          <w:sz w:val="20"/>
          <w:szCs w:val="20"/>
        </w:rPr>
      </w:pPr>
      <w:r w:rsidRPr="00077410">
        <w:rPr>
          <w:rFonts w:ascii="Arial" w:eastAsia="Arial" w:hAnsi="Arial" w:cs="Arial"/>
          <w:b/>
          <w:sz w:val="20"/>
          <w:szCs w:val="20"/>
        </w:rPr>
        <w:t>MODIFICACIÓN DE LA LEY 2159 DE 2021 – Ley Anual de Presupuesto – Parágrafo del artículo 38 de la Ley de Garantías – Transitoriedad</w:t>
      </w:r>
    </w:p>
    <w:p w14:paraId="5E1F80E1" w14:textId="77777777" w:rsidR="00FC1C1E" w:rsidRPr="00077410" w:rsidRDefault="00FC1C1E">
      <w:pPr>
        <w:spacing w:after="0" w:line="240" w:lineRule="auto"/>
        <w:rPr>
          <w:rFonts w:ascii="Arial" w:eastAsia="Arial" w:hAnsi="Arial" w:cs="Arial"/>
          <w:b/>
          <w:sz w:val="20"/>
          <w:szCs w:val="20"/>
        </w:rPr>
      </w:pPr>
    </w:p>
    <w:p w14:paraId="79A00D74" w14:textId="77777777" w:rsidR="00FC1C1E" w:rsidRPr="00077410" w:rsidRDefault="00C02FE0">
      <w:pPr>
        <w:shd w:val="clear" w:color="auto" w:fill="FFFFFF"/>
        <w:spacing w:after="0" w:line="240" w:lineRule="auto"/>
        <w:rPr>
          <w:rFonts w:ascii="Arial" w:eastAsia="Arial" w:hAnsi="Arial" w:cs="Arial"/>
          <w:sz w:val="20"/>
          <w:szCs w:val="20"/>
        </w:rPr>
      </w:pPr>
      <w:r w:rsidRPr="00077410">
        <w:rPr>
          <w:rFonts w:ascii="Arial" w:eastAsia="Arial" w:hAnsi="Arial" w:cs="Arial"/>
          <w:sz w:val="20"/>
          <w:szCs w:val="20"/>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0C31138E" w14:textId="77777777" w:rsidR="00FC1C1E" w:rsidRPr="00077410" w:rsidRDefault="00FC1C1E">
      <w:pPr>
        <w:shd w:val="clear" w:color="auto" w:fill="FFFFFF"/>
        <w:spacing w:after="0" w:line="240" w:lineRule="auto"/>
        <w:rPr>
          <w:rFonts w:ascii="Arial" w:eastAsia="Arial" w:hAnsi="Arial" w:cs="Arial"/>
          <w:sz w:val="20"/>
          <w:szCs w:val="20"/>
        </w:rPr>
      </w:pPr>
    </w:p>
    <w:p w14:paraId="51C7DE2A" w14:textId="77777777" w:rsidR="00FC1C1E" w:rsidRPr="00077410" w:rsidRDefault="00C02FE0">
      <w:pPr>
        <w:spacing w:after="0" w:line="240" w:lineRule="auto"/>
        <w:rPr>
          <w:rFonts w:ascii="Arial" w:eastAsia="Arial" w:hAnsi="Arial" w:cs="Arial"/>
          <w:b/>
          <w:sz w:val="20"/>
          <w:szCs w:val="20"/>
        </w:rPr>
      </w:pPr>
      <w:r w:rsidRPr="00077410">
        <w:rPr>
          <w:rFonts w:ascii="Arial" w:eastAsia="Arial" w:hAnsi="Arial" w:cs="Arial"/>
          <w:b/>
          <w:sz w:val="20"/>
          <w:szCs w:val="20"/>
        </w:rPr>
        <w:t>MODIFICACIÓN DE LA LEY 2159 DE 2021 – Ley Anual de Presupuesto - parágrafo del artículo 38 de la Ley de Garantías</w:t>
      </w:r>
    </w:p>
    <w:p w14:paraId="7BA2D835" w14:textId="77777777" w:rsidR="00FC1C1E" w:rsidRPr="00077410" w:rsidRDefault="00FC1C1E">
      <w:pPr>
        <w:spacing w:after="0" w:line="240" w:lineRule="auto"/>
        <w:rPr>
          <w:rFonts w:ascii="Arial" w:eastAsia="Arial" w:hAnsi="Arial" w:cs="Arial"/>
          <w:sz w:val="20"/>
          <w:szCs w:val="20"/>
        </w:rPr>
      </w:pPr>
    </w:p>
    <w:p w14:paraId="314D5920" w14:textId="77777777" w:rsidR="00FC1C1E" w:rsidRPr="00077410" w:rsidRDefault="00C02FE0">
      <w:pPr>
        <w:shd w:val="clear" w:color="auto" w:fill="FFFFFF"/>
        <w:spacing w:after="0" w:line="240" w:lineRule="auto"/>
        <w:rPr>
          <w:rFonts w:ascii="Arial" w:eastAsia="Arial" w:hAnsi="Arial" w:cs="Arial"/>
          <w:sz w:val="20"/>
          <w:szCs w:val="20"/>
        </w:rPr>
      </w:pPr>
      <w:r w:rsidRPr="00077410">
        <w:rPr>
          <w:rFonts w:ascii="Arial" w:eastAsia="Arial" w:hAnsi="Arial" w:cs="Arial"/>
          <w:sz w:val="20"/>
          <w:szCs w:val="20"/>
        </w:rPr>
        <w:t xml:space="preserve">[…]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w:t>
      </w:r>
      <w:r w:rsidRPr="00077410">
        <w:rPr>
          <w:rFonts w:ascii="Arial" w:eastAsia="Arial" w:hAnsi="Arial" w:cs="Arial"/>
          <w:sz w:val="20"/>
          <w:szCs w:val="20"/>
        </w:rPr>
        <w:lastRenderedPageBreak/>
        <w:t>las restricciones a la contratación directa dentro del periodo preelectoral presidencial y vicepresidencial, se mantiene invariado a partir de la publicación de la Ley del Presupuesto.</w:t>
      </w:r>
    </w:p>
    <w:p w14:paraId="7F60DB71" w14:textId="77777777" w:rsidR="00FC1C1E" w:rsidRPr="00077410" w:rsidRDefault="00FC1C1E">
      <w:pPr>
        <w:shd w:val="clear" w:color="auto" w:fill="FFFFFF"/>
        <w:spacing w:after="0" w:line="240" w:lineRule="auto"/>
        <w:rPr>
          <w:rFonts w:ascii="Arial" w:eastAsia="Arial" w:hAnsi="Arial" w:cs="Arial"/>
          <w:sz w:val="20"/>
          <w:szCs w:val="20"/>
        </w:rPr>
      </w:pPr>
    </w:p>
    <w:p w14:paraId="41CF6E72" w14:textId="417D2B11" w:rsidR="00FC1C1E" w:rsidRPr="00077410" w:rsidRDefault="00C02FE0">
      <w:pPr>
        <w:spacing w:after="0" w:line="240" w:lineRule="auto"/>
        <w:rPr>
          <w:rFonts w:ascii="Arial" w:eastAsia="Arial" w:hAnsi="Arial" w:cs="Arial"/>
          <w:b/>
          <w:sz w:val="20"/>
          <w:szCs w:val="20"/>
        </w:rPr>
      </w:pPr>
      <w:r w:rsidRPr="00077410">
        <w:rPr>
          <w:rFonts w:ascii="Arial" w:eastAsia="Arial" w:hAnsi="Arial" w:cs="Arial"/>
          <w:b/>
          <w:sz w:val="20"/>
          <w:szCs w:val="20"/>
        </w:rPr>
        <w:t>MODIFICACIÓN DE LA LEY 2159 DE 2021 – Ley Anual de Presupuesto – Parágrafo del artículo 38 de la Ley de Garantías – Nación – Entidades descentralizadas</w:t>
      </w:r>
    </w:p>
    <w:p w14:paraId="4DCCD093" w14:textId="77777777" w:rsidR="00FC1C1E" w:rsidRPr="00077410" w:rsidRDefault="00FC1C1E">
      <w:pPr>
        <w:spacing w:after="0" w:line="240" w:lineRule="auto"/>
        <w:rPr>
          <w:rFonts w:ascii="Arial" w:eastAsia="Arial" w:hAnsi="Arial" w:cs="Arial"/>
          <w:sz w:val="20"/>
          <w:szCs w:val="20"/>
        </w:rPr>
      </w:pPr>
    </w:p>
    <w:p w14:paraId="456A63FB" w14:textId="79E9F727" w:rsidR="00FC1C1E" w:rsidRPr="00077410" w:rsidRDefault="00C02FE0">
      <w:pPr>
        <w:spacing w:after="0" w:line="240" w:lineRule="auto"/>
        <w:rPr>
          <w:rFonts w:ascii="Arial" w:eastAsia="Arial" w:hAnsi="Arial" w:cs="Arial"/>
          <w:sz w:val="20"/>
          <w:szCs w:val="20"/>
        </w:rPr>
      </w:pPr>
      <w:r w:rsidRPr="00077410">
        <w:rPr>
          <w:rFonts w:ascii="Arial" w:eastAsia="Arial" w:hAnsi="Arial" w:cs="Arial"/>
          <w:sz w:val="20"/>
          <w:szCs w:val="20"/>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1D8A6017" w14:textId="77777777" w:rsidR="00FC1C1E" w:rsidRPr="00077410" w:rsidRDefault="00FC1C1E">
      <w:pPr>
        <w:spacing w:after="0" w:line="240" w:lineRule="auto"/>
        <w:rPr>
          <w:rFonts w:ascii="Arial" w:eastAsia="Arial" w:hAnsi="Arial" w:cs="Arial"/>
          <w:sz w:val="20"/>
          <w:szCs w:val="20"/>
        </w:rPr>
      </w:pPr>
    </w:p>
    <w:p w14:paraId="609505E8" w14:textId="5DD422A7" w:rsidR="00FC1C1E" w:rsidRPr="00077410" w:rsidRDefault="00C02FE0">
      <w:pPr>
        <w:spacing w:after="0" w:line="240" w:lineRule="auto"/>
        <w:rPr>
          <w:rFonts w:ascii="Arial" w:eastAsia="Arial" w:hAnsi="Arial" w:cs="Arial"/>
          <w:b/>
          <w:sz w:val="20"/>
          <w:szCs w:val="20"/>
        </w:rPr>
      </w:pPr>
      <w:r w:rsidRPr="00077410">
        <w:rPr>
          <w:rFonts w:ascii="Arial" w:eastAsia="Arial" w:hAnsi="Arial" w:cs="Arial"/>
          <w:b/>
          <w:sz w:val="20"/>
          <w:szCs w:val="20"/>
        </w:rPr>
        <w:t>MODIFICACIÓN DE LA LEY 2159 DE 2021 – Ley Anual de Presupuesto – Parágrafo del artículo 38 de la Ley de Garantías – Gastos de inversión - Proyectos y programas de inversión – Plan Nacional de Desarrollo</w:t>
      </w:r>
    </w:p>
    <w:p w14:paraId="50106DEC" w14:textId="77777777" w:rsidR="00FC1C1E" w:rsidRPr="00077410" w:rsidRDefault="00FC1C1E">
      <w:pPr>
        <w:spacing w:after="0" w:line="240" w:lineRule="auto"/>
        <w:rPr>
          <w:rFonts w:ascii="Arial" w:eastAsia="Arial" w:hAnsi="Arial" w:cs="Arial"/>
          <w:b/>
          <w:sz w:val="20"/>
          <w:szCs w:val="20"/>
        </w:rPr>
      </w:pPr>
    </w:p>
    <w:p w14:paraId="2155CC01" w14:textId="77777777" w:rsidR="00FC1C1E" w:rsidRPr="00077410" w:rsidRDefault="00C02FE0">
      <w:pPr>
        <w:shd w:val="clear" w:color="auto" w:fill="FFFFFF"/>
        <w:spacing w:after="0" w:line="240" w:lineRule="auto"/>
        <w:rPr>
          <w:rFonts w:ascii="Arial" w:eastAsia="Arial" w:hAnsi="Arial" w:cs="Arial"/>
          <w:sz w:val="20"/>
          <w:szCs w:val="20"/>
        </w:rPr>
      </w:pPr>
      <w:r w:rsidRPr="00077410">
        <w:rPr>
          <w:rFonts w:ascii="Arial" w:eastAsia="Arial" w:hAnsi="Arial" w:cs="Arial"/>
          <w:sz w:val="20"/>
          <w:szCs w:val="20"/>
        </w:rPr>
        <w:t xml:space="preserve">En lo que respecta al elemento teleológico o material de la reforma incluida en el artículo 124 de </w:t>
      </w:r>
      <w:proofErr w:type="gramStart"/>
      <w:r w:rsidRPr="00077410">
        <w:rPr>
          <w:rFonts w:ascii="Arial" w:eastAsia="Arial" w:hAnsi="Arial" w:cs="Arial"/>
          <w:sz w:val="20"/>
          <w:szCs w:val="20"/>
        </w:rPr>
        <w:t>la  2159</w:t>
      </w:r>
      <w:proofErr w:type="gramEnd"/>
      <w:r w:rsidRPr="00077410">
        <w:rPr>
          <w:rFonts w:ascii="Arial" w:eastAsia="Arial" w:hAnsi="Arial" w:cs="Arial"/>
          <w:sz w:val="20"/>
          <w:szCs w:val="20"/>
        </w:rPr>
        <w:t xml:space="preserve"> de 2021, consistente en que los convenios sean celebrados con el fin de ejecutar programas o proyectos que correspondan al Presupuesto General de la Nación, […] partiendo de las consideraciones contenidas en el acápite 2.5. del presente concepto y dados en relación con la estructura y contenido de la ley anual del presupuesto general de la Nación, […]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738010F6" w14:textId="77777777" w:rsidR="00FC1C1E" w:rsidRPr="00077410" w:rsidRDefault="00FC1C1E">
      <w:pPr>
        <w:shd w:val="clear" w:color="auto" w:fill="FFFFFF"/>
        <w:spacing w:after="0"/>
        <w:rPr>
          <w:rFonts w:ascii="Arial" w:eastAsia="Arial" w:hAnsi="Arial" w:cs="Arial"/>
          <w:sz w:val="20"/>
          <w:szCs w:val="20"/>
        </w:rPr>
      </w:pPr>
    </w:p>
    <w:p w14:paraId="13179BF7" w14:textId="77777777" w:rsidR="00FC1C1E" w:rsidRPr="00077410" w:rsidRDefault="00C02FE0">
      <w:pPr>
        <w:rPr>
          <w:rFonts w:ascii="Arial" w:eastAsia="Arial" w:hAnsi="Arial" w:cs="Arial"/>
          <w:b/>
          <w:sz w:val="22"/>
          <w:szCs w:val="22"/>
        </w:rPr>
      </w:pPr>
      <w:r w:rsidRPr="00077410">
        <w:br w:type="page"/>
      </w:r>
    </w:p>
    <w:p w14:paraId="6DDB6A33" w14:textId="415524AE" w:rsidR="00FC1C1E" w:rsidRPr="00077410" w:rsidRDefault="004E0CF3" w:rsidP="004E0CF3">
      <w:pPr>
        <w:jc w:val="right"/>
        <w:rPr>
          <w:rFonts w:ascii="Arial" w:eastAsia="Arial" w:hAnsi="Arial" w:cs="Arial"/>
          <w:b/>
          <w:sz w:val="22"/>
          <w:szCs w:val="22"/>
        </w:rPr>
      </w:pPr>
      <w:bookmarkStart w:id="8" w:name="_4d34og8" w:colFirst="0" w:colLast="0"/>
      <w:bookmarkEnd w:id="8"/>
      <w:r>
        <w:rPr>
          <w:noProof/>
        </w:rPr>
        <w:lastRenderedPageBreak/>
        <w:drawing>
          <wp:inline distT="0" distB="0" distL="0" distR="0" wp14:anchorId="7A6D0D43" wp14:editId="614A6411">
            <wp:extent cx="2609850" cy="1228725"/>
            <wp:effectExtent l="0" t="0" r="0" b="9525"/>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8"/>
                    <a:stretch>
                      <a:fillRect/>
                    </a:stretch>
                  </pic:blipFill>
                  <pic:spPr>
                    <a:xfrm>
                      <a:off x="0" y="0"/>
                      <a:ext cx="2609850" cy="1228725"/>
                    </a:xfrm>
                    <a:prstGeom prst="rect">
                      <a:avLst/>
                    </a:prstGeom>
                  </pic:spPr>
                </pic:pic>
              </a:graphicData>
            </a:graphic>
          </wp:inline>
        </w:drawing>
      </w:r>
    </w:p>
    <w:p w14:paraId="53190D41" w14:textId="77777777" w:rsidR="00FC1C1E" w:rsidRPr="00077410" w:rsidRDefault="00FC1C1E">
      <w:pPr>
        <w:tabs>
          <w:tab w:val="left" w:pos="3374"/>
        </w:tabs>
        <w:spacing w:after="0"/>
        <w:rPr>
          <w:rFonts w:ascii="Arial" w:eastAsia="Arial" w:hAnsi="Arial" w:cs="Arial"/>
        </w:rPr>
      </w:pPr>
    </w:p>
    <w:p w14:paraId="005A0BAA" w14:textId="3E9C38DC" w:rsidR="00FC1C1E" w:rsidRDefault="004E0CF3">
      <w:pPr>
        <w:spacing w:after="0"/>
        <w:rPr>
          <w:rFonts w:ascii="Arial" w:eastAsia="Arial" w:hAnsi="Arial" w:cs="Arial"/>
          <w:sz w:val="22"/>
          <w:szCs w:val="22"/>
        </w:rPr>
      </w:pPr>
      <w:r w:rsidRPr="004E0CF3">
        <w:rPr>
          <w:rFonts w:ascii="Arial" w:eastAsia="Arial" w:hAnsi="Arial" w:cs="Arial"/>
          <w:sz w:val="22"/>
          <w:szCs w:val="22"/>
        </w:rPr>
        <w:t xml:space="preserve">Bogotá, 06 </w:t>
      </w:r>
      <w:proofErr w:type="gramStart"/>
      <w:r w:rsidRPr="004E0CF3">
        <w:rPr>
          <w:rFonts w:ascii="Arial" w:eastAsia="Arial" w:hAnsi="Arial" w:cs="Arial"/>
          <w:sz w:val="22"/>
          <w:szCs w:val="22"/>
        </w:rPr>
        <w:t>Enero</w:t>
      </w:r>
      <w:proofErr w:type="gramEnd"/>
      <w:r w:rsidRPr="004E0CF3">
        <w:rPr>
          <w:rFonts w:ascii="Arial" w:eastAsia="Arial" w:hAnsi="Arial" w:cs="Arial"/>
          <w:sz w:val="22"/>
          <w:szCs w:val="22"/>
        </w:rPr>
        <w:t xml:space="preserve"> 2022</w:t>
      </w:r>
    </w:p>
    <w:p w14:paraId="0A3E2592" w14:textId="77777777" w:rsidR="004E0CF3" w:rsidRPr="00077410" w:rsidRDefault="004E0CF3">
      <w:pPr>
        <w:spacing w:after="0"/>
        <w:rPr>
          <w:rFonts w:ascii="Arial" w:eastAsia="Arial" w:hAnsi="Arial" w:cs="Arial"/>
        </w:rPr>
      </w:pPr>
    </w:p>
    <w:p w14:paraId="197E1921" w14:textId="77777777" w:rsidR="00FC1C1E" w:rsidRPr="00077410" w:rsidRDefault="00FC1C1E">
      <w:pPr>
        <w:spacing w:after="0"/>
        <w:rPr>
          <w:rFonts w:ascii="Arial" w:eastAsia="Arial" w:hAnsi="Arial" w:cs="Arial"/>
        </w:rPr>
      </w:pPr>
    </w:p>
    <w:p w14:paraId="1596CC74" w14:textId="77777777" w:rsidR="00FC1C1E" w:rsidRPr="00077410" w:rsidRDefault="00C02FE0">
      <w:pPr>
        <w:spacing w:after="0"/>
        <w:rPr>
          <w:rFonts w:ascii="Arial" w:eastAsia="Arial" w:hAnsi="Arial" w:cs="Arial"/>
        </w:rPr>
      </w:pPr>
      <w:r w:rsidRPr="00077410">
        <w:rPr>
          <w:rFonts w:ascii="Arial" w:eastAsia="Arial" w:hAnsi="Arial" w:cs="Arial"/>
          <w:sz w:val="22"/>
          <w:szCs w:val="22"/>
        </w:rPr>
        <w:t>Señor</w:t>
      </w:r>
    </w:p>
    <w:p w14:paraId="552E283B" w14:textId="77777777" w:rsidR="00FC1C1E" w:rsidRPr="00077410" w:rsidRDefault="00C02FE0">
      <w:pPr>
        <w:spacing w:after="0"/>
        <w:rPr>
          <w:rFonts w:ascii="Arial" w:eastAsia="Arial" w:hAnsi="Arial" w:cs="Arial"/>
        </w:rPr>
      </w:pPr>
      <w:r w:rsidRPr="00077410">
        <w:rPr>
          <w:rFonts w:ascii="Arial" w:eastAsia="Arial" w:hAnsi="Arial" w:cs="Arial"/>
          <w:b/>
          <w:sz w:val="22"/>
          <w:szCs w:val="22"/>
        </w:rPr>
        <w:t>Juan Carlos Calderón España</w:t>
      </w:r>
    </w:p>
    <w:p w14:paraId="78A9D923" w14:textId="77777777" w:rsidR="00FC1C1E" w:rsidRPr="00077410" w:rsidRDefault="00FC1C1E">
      <w:pPr>
        <w:spacing w:after="0"/>
        <w:rPr>
          <w:rFonts w:ascii="Arial" w:eastAsia="Arial" w:hAnsi="Arial" w:cs="Arial"/>
        </w:rPr>
      </w:pPr>
    </w:p>
    <w:p w14:paraId="26FC1E42" w14:textId="77777777" w:rsidR="00FC1C1E" w:rsidRPr="00077410" w:rsidRDefault="00FC1C1E">
      <w:pPr>
        <w:spacing w:after="0"/>
        <w:rPr>
          <w:rFonts w:ascii="Arial" w:eastAsia="Arial" w:hAnsi="Arial" w:cs="Arial"/>
        </w:rPr>
      </w:pPr>
    </w:p>
    <w:p w14:paraId="31219E46" w14:textId="77777777" w:rsidR="00FC1C1E" w:rsidRPr="00077410" w:rsidRDefault="00C02FE0">
      <w:pPr>
        <w:spacing w:after="0"/>
        <w:rPr>
          <w:rFonts w:ascii="Arial" w:eastAsia="Arial" w:hAnsi="Arial" w:cs="Arial"/>
        </w:rPr>
      </w:pPr>
      <w:r w:rsidRPr="00077410">
        <w:rPr>
          <w:rFonts w:ascii="Arial" w:eastAsia="Arial" w:hAnsi="Arial" w:cs="Arial"/>
          <w:sz w:val="22"/>
          <w:szCs w:val="22"/>
        </w:rPr>
        <w:t xml:space="preserve">                                            </w:t>
      </w:r>
      <w:r w:rsidRPr="00077410">
        <w:rPr>
          <w:rFonts w:ascii="Arial" w:eastAsia="Arial" w:hAnsi="Arial" w:cs="Arial"/>
          <w:b/>
          <w:sz w:val="22"/>
          <w:szCs w:val="22"/>
        </w:rPr>
        <w:t>Concepto C 699 –de 2021</w:t>
      </w:r>
      <w:r w:rsidRPr="00077410">
        <w:rPr>
          <w:rFonts w:ascii="Arial" w:eastAsia="Arial" w:hAnsi="Arial" w:cs="Arial"/>
          <w:sz w:val="22"/>
          <w:szCs w:val="22"/>
        </w:rPr>
        <w:t xml:space="preserve"> </w:t>
      </w:r>
    </w:p>
    <w:p w14:paraId="71C1A42A" w14:textId="77777777" w:rsidR="00FC1C1E" w:rsidRPr="00077410" w:rsidRDefault="00FC1C1E">
      <w:pPr>
        <w:spacing w:after="0"/>
        <w:rPr>
          <w:rFonts w:ascii="Arial" w:eastAsia="Arial" w:hAnsi="Arial" w:cs="Arial"/>
        </w:rPr>
      </w:pPr>
    </w:p>
    <w:tbl>
      <w:tblPr>
        <w:tblStyle w:val="a"/>
        <w:tblW w:w="0" w:type="auto"/>
        <w:tblInd w:w="0" w:type="dxa"/>
        <w:tblLayout w:type="fixed"/>
        <w:tblLook w:val="0400" w:firstRow="0" w:lastRow="0" w:firstColumn="0" w:lastColumn="0" w:noHBand="0" w:noVBand="1"/>
      </w:tblPr>
      <w:tblGrid>
        <w:gridCol w:w="4419"/>
        <w:gridCol w:w="4419"/>
      </w:tblGrid>
      <w:tr w:rsidR="00FC1C1E" w:rsidRPr="00077410" w14:paraId="3D3E58E1" w14:textId="77777777" w:rsidTr="00353D32">
        <w:tc>
          <w:tcPr>
            <w:tcW w:w="4419" w:type="dxa"/>
          </w:tcPr>
          <w:p w14:paraId="2CC3DD10" w14:textId="77777777" w:rsidR="00FC1C1E" w:rsidRPr="00077410" w:rsidRDefault="00C02FE0">
            <w:pPr>
              <w:spacing w:line="276" w:lineRule="auto"/>
              <w:jc w:val="both"/>
              <w:rPr>
                <w:rFonts w:ascii="Arial" w:eastAsia="Arial" w:hAnsi="Arial" w:cs="Arial"/>
                <w:sz w:val="22"/>
                <w:szCs w:val="22"/>
              </w:rPr>
            </w:pPr>
            <w:r w:rsidRPr="00077410">
              <w:rPr>
                <w:rFonts w:ascii="Arial" w:eastAsia="Arial" w:hAnsi="Arial" w:cs="Arial"/>
                <w:b/>
                <w:sz w:val="22"/>
                <w:szCs w:val="22"/>
              </w:rPr>
              <w:t>Temas:</w:t>
            </w:r>
            <w:r w:rsidRPr="00077410">
              <w:rPr>
                <w:rFonts w:ascii="Arial" w:eastAsia="Arial" w:hAnsi="Arial" w:cs="Arial"/>
                <w:sz w:val="22"/>
                <w:szCs w:val="22"/>
              </w:rPr>
              <w:t xml:space="preserve">        </w:t>
            </w:r>
          </w:p>
        </w:tc>
        <w:tc>
          <w:tcPr>
            <w:tcW w:w="4419" w:type="dxa"/>
          </w:tcPr>
          <w:p w14:paraId="710487C0" w14:textId="77777777" w:rsidR="00FC1C1E" w:rsidRPr="00077410" w:rsidRDefault="00C02FE0">
            <w:pPr>
              <w:tabs>
                <w:tab w:val="left" w:pos="426"/>
              </w:tabs>
              <w:spacing w:before="0"/>
              <w:jc w:val="both"/>
              <w:rPr>
                <w:rFonts w:ascii="Arial" w:eastAsia="Arial" w:hAnsi="Arial" w:cs="Arial"/>
                <w:sz w:val="22"/>
                <w:szCs w:val="22"/>
              </w:rPr>
            </w:pPr>
            <w:r w:rsidRPr="00077410">
              <w:rPr>
                <w:rFonts w:ascii="Arial" w:eastAsia="Arial" w:hAnsi="Arial" w:cs="Arial"/>
                <w:sz w:val="22"/>
                <w:szCs w:val="22"/>
              </w:rPr>
              <w:t>LEY DE GARANTÍAS ELECTORALES – Finalidad / LEY DE GARANTÍAS ELECTORALES ‒ Tipos de restricciones /</w:t>
            </w:r>
          </w:p>
          <w:p w14:paraId="55D8C1E4" w14:textId="2145EF9D" w:rsidR="00FC1C1E" w:rsidRPr="00077410" w:rsidRDefault="00C02FE0">
            <w:pPr>
              <w:spacing w:before="0"/>
              <w:jc w:val="both"/>
              <w:rPr>
                <w:rFonts w:ascii="Arial" w:eastAsia="Arial" w:hAnsi="Arial" w:cs="Arial"/>
                <w:sz w:val="22"/>
                <w:szCs w:val="22"/>
              </w:rPr>
            </w:pPr>
            <w:r w:rsidRPr="00077410">
              <w:rPr>
                <w:rFonts w:ascii="Arial" w:eastAsia="Arial" w:hAnsi="Arial" w:cs="Arial"/>
                <w:sz w:val="22"/>
                <w:szCs w:val="22"/>
              </w:rPr>
              <w:t xml:space="preserve">LEY DE GARANTÍAS ELECTORALES ‒ Excepciones / LEY DE GARANTÍAS ELECTORALES ‒ Prohibición comicios cargos de elección popular – Convenios y contratos interadministrativos / </w:t>
            </w:r>
            <w:r w:rsidRPr="00077410">
              <w:rPr>
                <w:rFonts w:ascii="Arial" w:eastAsia="Arial" w:hAnsi="Arial" w:cs="Arial"/>
                <w:color w:val="000000"/>
                <w:sz w:val="22"/>
                <w:szCs w:val="22"/>
              </w:rPr>
              <w:t xml:space="preserve">CONTRATOS Y CONVENIOS INTERADMINISTRATIVOS – Definición – Criterio orgánico / CONTRATOS Y CONVENIOS INTERADMINISTRATIVOS – Entidades con régimen especial de contratación – Procedencia / CONTRATOS Y CONVENIOS INTERADMINISTRATIVOS – Modalidad de selección / </w:t>
            </w:r>
            <w:r w:rsidRPr="00077410">
              <w:rPr>
                <w:rFonts w:ascii="Arial" w:eastAsia="Arial" w:hAnsi="Arial" w:cs="Arial"/>
                <w:sz w:val="22"/>
                <w:szCs w:val="22"/>
              </w:rPr>
              <w:t>LEY DE GARANTÍAS ELECTORALES – Prohibición – Celebración convenios o contratos interadministrativos – Orden judicial  /</w:t>
            </w:r>
            <w:r w:rsidR="00077410">
              <w:rPr>
                <w:rFonts w:ascii="Arial" w:eastAsia="Arial" w:hAnsi="Arial" w:cs="Arial"/>
                <w:sz w:val="22"/>
                <w:szCs w:val="22"/>
              </w:rPr>
              <w:t xml:space="preserve"> EMPRESAS DE SERVICIOS PÚBLICOS – Naturaleza especial – aplicación de la ley de garantías electorales /</w:t>
            </w:r>
            <w:r w:rsidRPr="00077410">
              <w:rPr>
                <w:rFonts w:ascii="Arial" w:eastAsia="Arial" w:hAnsi="Arial" w:cs="Arial"/>
                <w:sz w:val="22"/>
                <w:szCs w:val="22"/>
              </w:rPr>
              <w:t xml:space="preserve"> LEY DE GARANTÍAS ELECTORALES – Parágrafo del artículo 38 -aplicación universidades públicas /</w:t>
            </w:r>
            <w:r w:rsidR="00077410">
              <w:rPr>
                <w:rFonts w:ascii="Arial" w:eastAsia="Arial" w:hAnsi="Arial" w:cs="Arial"/>
                <w:sz w:val="22"/>
                <w:szCs w:val="22"/>
              </w:rPr>
              <w:t xml:space="preserve"> E</w:t>
            </w:r>
            <w:r w:rsidRPr="00077410">
              <w:rPr>
                <w:rFonts w:ascii="Arial" w:eastAsia="Arial" w:hAnsi="Arial" w:cs="Arial"/>
                <w:sz w:val="22"/>
                <w:szCs w:val="22"/>
              </w:rPr>
              <w:t xml:space="preserve"> MODIFICACIÓN DE LA LEY </w:t>
            </w:r>
            <w:r w:rsidRPr="00077410">
              <w:rPr>
                <w:rFonts w:ascii="Arial" w:eastAsia="Arial" w:hAnsi="Arial" w:cs="Arial"/>
                <w:sz w:val="22"/>
                <w:szCs w:val="22"/>
              </w:rPr>
              <w:lastRenderedPageBreak/>
              <w:t>2159 DE 2021 – Ley Anual de Presupuesto - parágrafo del artículo 38 de la Ley de Garantías – transitoriedad / MODIFICACIÓN DE LA LEY 2159 DE 2021 – Ley Anual de Presupuesto - parágrafo del artículo 38 de la Ley de Garantías / MODIFICACIÓN DE LA LEY 2159 DE 2021 – Ley Anual de Presupuesto - parágrafo del artículo 38 de la Ley de Garantías – Nación – entidades descentralizadas / MODIFICACIÓN DE LA LEY 2159 DE 2021 – Ley Anual de Presupuesto - parágrafo del artículo 38 de la Ley de Garantías – gastos de inversión - proyectos y programas de inversión – Plan Nacional de Desarrollo</w:t>
            </w:r>
          </w:p>
          <w:p w14:paraId="5565CB8A" w14:textId="2026D9D0" w:rsidR="00FC1C1E" w:rsidRPr="00077410" w:rsidRDefault="00FC1C1E">
            <w:pPr>
              <w:shd w:val="clear" w:color="auto" w:fill="FFFFFF"/>
              <w:spacing w:before="0"/>
              <w:jc w:val="both"/>
              <w:rPr>
                <w:rFonts w:ascii="Arial" w:eastAsia="Arial" w:hAnsi="Arial" w:cs="Arial"/>
                <w:sz w:val="22"/>
                <w:szCs w:val="22"/>
              </w:rPr>
            </w:pPr>
          </w:p>
        </w:tc>
      </w:tr>
      <w:tr w:rsidR="00FC1C1E" w:rsidRPr="00077410" w14:paraId="6F5106EC" w14:textId="77777777" w:rsidTr="00353D32">
        <w:tc>
          <w:tcPr>
            <w:tcW w:w="4419" w:type="dxa"/>
          </w:tcPr>
          <w:p w14:paraId="1BE49139" w14:textId="77777777" w:rsidR="00FC1C1E" w:rsidRPr="00077410" w:rsidRDefault="00C02FE0">
            <w:pPr>
              <w:spacing w:line="276" w:lineRule="auto"/>
              <w:rPr>
                <w:rFonts w:ascii="Arial" w:eastAsia="Arial" w:hAnsi="Arial" w:cs="Arial"/>
                <w:sz w:val="22"/>
                <w:szCs w:val="22"/>
              </w:rPr>
            </w:pPr>
            <w:r w:rsidRPr="00077410">
              <w:rPr>
                <w:rFonts w:ascii="Arial" w:eastAsia="Arial" w:hAnsi="Arial" w:cs="Arial"/>
                <w:b/>
                <w:sz w:val="22"/>
                <w:szCs w:val="22"/>
              </w:rPr>
              <w:lastRenderedPageBreak/>
              <w:t>Radicación:</w:t>
            </w:r>
            <w:r w:rsidRPr="00077410">
              <w:rPr>
                <w:rFonts w:ascii="Arial" w:eastAsia="Arial" w:hAnsi="Arial" w:cs="Arial"/>
                <w:sz w:val="22"/>
                <w:szCs w:val="22"/>
              </w:rPr>
              <w:t xml:space="preserve">                              </w:t>
            </w:r>
          </w:p>
        </w:tc>
        <w:tc>
          <w:tcPr>
            <w:tcW w:w="4419" w:type="dxa"/>
          </w:tcPr>
          <w:p w14:paraId="2AA3F73F" w14:textId="0D7EC3A0" w:rsidR="00FC1C1E" w:rsidRPr="00077410" w:rsidRDefault="00C02FE0">
            <w:pPr>
              <w:spacing w:line="276" w:lineRule="auto"/>
              <w:jc w:val="both"/>
              <w:rPr>
                <w:rFonts w:ascii="Arial" w:eastAsia="Arial" w:hAnsi="Arial" w:cs="Arial"/>
                <w:sz w:val="22"/>
                <w:szCs w:val="22"/>
              </w:rPr>
            </w:pPr>
            <w:r w:rsidRPr="00077410">
              <w:rPr>
                <w:rFonts w:ascii="Arial" w:eastAsia="Arial" w:hAnsi="Arial" w:cs="Arial"/>
                <w:sz w:val="22"/>
                <w:szCs w:val="22"/>
              </w:rPr>
              <w:t>Respuesta a consulta P20211124010920 y P20211201011113</w:t>
            </w:r>
          </w:p>
        </w:tc>
      </w:tr>
    </w:tbl>
    <w:p w14:paraId="1283802D" w14:textId="77777777" w:rsidR="00FC1C1E" w:rsidRPr="00077410" w:rsidRDefault="00FC1C1E">
      <w:pPr>
        <w:spacing w:after="0"/>
        <w:rPr>
          <w:rFonts w:ascii="Arial" w:eastAsia="Arial" w:hAnsi="Arial" w:cs="Arial"/>
        </w:rPr>
      </w:pPr>
    </w:p>
    <w:p w14:paraId="59D8FC50" w14:textId="77777777" w:rsidR="00FC1C1E" w:rsidRPr="00077410" w:rsidRDefault="00FC1C1E">
      <w:pPr>
        <w:spacing w:after="0"/>
        <w:rPr>
          <w:rFonts w:ascii="Arial" w:eastAsia="Arial" w:hAnsi="Arial" w:cs="Arial"/>
        </w:rPr>
      </w:pPr>
    </w:p>
    <w:p w14:paraId="74546B37" w14:textId="77777777" w:rsidR="00FC1C1E" w:rsidRPr="00077410" w:rsidRDefault="00C02FE0">
      <w:pPr>
        <w:spacing w:after="0"/>
        <w:rPr>
          <w:rFonts w:ascii="Arial" w:eastAsia="Arial" w:hAnsi="Arial" w:cs="Arial"/>
          <w:sz w:val="22"/>
          <w:szCs w:val="22"/>
        </w:rPr>
      </w:pPr>
      <w:r w:rsidRPr="00077410">
        <w:rPr>
          <w:rFonts w:ascii="Arial" w:eastAsia="Arial" w:hAnsi="Arial" w:cs="Arial"/>
          <w:color w:val="000000"/>
          <w:sz w:val="22"/>
          <w:szCs w:val="22"/>
        </w:rPr>
        <w:t>Estimado señor Calderón</w:t>
      </w:r>
      <w:r w:rsidRPr="00077410">
        <w:rPr>
          <w:rFonts w:ascii="Arial" w:eastAsia="Arial" w:hAnsi="Arial" w:cs="Arial"/>
          <w:sz w:val="22"/>
          <w:szCs w:val="22"/>
        </w:rPr>
        <w:t>:</w:t>
      </w:r>
    </w:p>
    <w:p w14:paraId="65A21B3C" w14:textId="77777777" w:rsidR="00FC1C1E" w:rsidRPr="00077410" w:rsidRDefault="00FC1C1E">
      <w:pPr>
        <w:spacing w:after="0"/>
        <w:ind w:firstLine="709"/>
        <w:rPr>
          <w:rFonts w:ascii="Arial" w:eastAsia="Arial" w:hAnsi="Arial" w:cs="Arial"/>
          <w:sz w:val="22"/>
          <w:szCs w:val="22"/>
        </w:rPr>
      </w:pPr>
    </w:p>
    <w:p w14:paraId="16FBA930" w14:textId="17E753FC" w:rsidR="00FC1C1E" w:rsidRPr="00077410" w:rsidRDefault="00C02FE0">
      <w:pPr>
        <w:spacing w:after="0"/>
        <w:ind w:right="51"/>
        <w:rPr>
          <w:rFonts w:ascii="Arial" w:eastAsia="Arial" w:hAnsi="Arial" w:cs="Arial"/>
          <w:sz w:val="22"/>
          <w:szCs w:val="22"/>
        </w:rPr>
      </w:pPr>
      <w:r w:rsidRPr="00077410">
        <w:rPr>
          <w:rFonts w:ascii="Arial" w:eastAsia="Arial" w:hAnsi="Arial" w:cs="Arial"/>
          <w:sz w:val="22"/>
          <w:szCs w:val="22"/>
        </w:rPr>
        <w:t>En ejercicio de la competencia otorgada por el numeral 8 del artículo 11 y el numeral 5 del artículo 3 del Decreto Ley 4170 de 2011, la Agencia Nacional de Contratación Pública – Colombia Compra Eficiente responde la consulta P20211124010920 del 24 de noviembre de 2021 y la consulta P20211201011113 del 30 de noviembre de 2021.</w:t>
      </w:r>
    </w:p>
    <w:p w14:paraId="4F96487D" w14:textId="77777777" w:rsidR="00FC1C1E" w:rsidRPr="00077410" w:rsidRDefault="00FC1C1E">
      <w:pPr>
        <w:spacing w:after="0"/>
        <w:rPr>
          <w:rFonts w:ascii="Arial" w:eastAsia="Arial" w:hAnsi="Arial" w:cs="Arial"/>
          <w:sz w:val="22"/>
          <w:szCs w:val="22"/>
        </w:rPr>
      </w:pPr>
    </w:p>
    <w:p w14:paraId="5367CA23" w14:textId="77777777" w:rsidR="00FC1C1E" w:rsidRPr="00077410" w:rsidRDefault="00C02FE0">
      <w:pPr>
        <w:tabs>
          <w:tab w:val="left" w:pos="284"/>
        </w:tabs>
        <w:spacing w:after="0"/>
        <w:rPr>
          <w:rFonts w:ascii="Arial" w:eastAsia="Arial" w:hAnsi="Arial" w:cs="Arial"/>
          <w:b/>
          <w:sz w:val="22"/>
          <w:szCs w:val="22"/>
        </w:rPr>
      </w:pPr>
      <w:r w:rsidRPr="00077410">
        <w:rPr>
          <w:rFonts w:ascii="Arial" w:eastAsia="Arial" w:hAnsi="Arial" w:cs="Arial"/>
          <w:b/>
          <w:sz w:val="22"/>
          <w:szCs w:val="22"/>
        </w:rPr>
        <w:t xml:space="preserve">1. Problema planteado </w:t>
      </w:r>
    </w:p>
    <w:p w14:paraId="4FC27BAD" w14:textId="77777777" w:rsidR="00FC1C1E" w:rsidRPr="00077410" w:rsidRDefault="00FC1C1E">
      <w:pPr>
        <w:tabs>
          <w:tab w:val="left" w:pos="284"/>
        </w:tabs>
        <w:spacing w:after="0"/>
        <w:rPr>
          <w:rFonts w:ascii="Arial" w:eastAsia="Arial" w:hAnsi="Arial" w:cs="Arial"/>
          <w:b/>
          <w:sz w:val="22"/>
          <w:szCs w:val="22"/>
        </w:rPr>
      </w:pPr>
    </w:p>
    <w:p w14:paraId="730F8951" w14:textId="77777777" w:rsidR="00FC1C1E" w:rsidRPr="00077410" w:rsidRDefault="00C02FE0">
      <w:pPr>
        <w:pBdr>
          <w:top w:val="nil"/>
          <w:left w:val="nil"/>
          <w:bottom w:val="nil"/>
          <w:right w:val="nil"/>
          <w:between w:val="nil"/>
        </w:pBdr>
        <w:spacing w:after="0"/>
        <w:rPr>
          <w:rFonts w:ascii="Arial" w:eastAsia="Arial" w:hAnsi="Arial" w:cs="Arial"/>
          <w:color w:val="000000"/>
          <w:sz w:val="22"/>
          <w:szCs w:val="22"/>
        </w:rPr>
      </w:pPr>
      <w:bookmarkStart w:id="9" w:name="_2s8eyo1" w:colFirst="0" w:colLast="0"/>
      <w:bookmarkEnd w:id="9"/>
      <w:r w:rsidRPr="00077410">
        <w:rPr>
          <w:rFonts w:ascii="Arial" w:eastAsia="Arial" w:hAnsi="Arial" w:cs="Arial"/>
          <w:color w:val="000000"/>
          <w:sz w:val="22"/>
          <w:szCs w:val="22"/>
        </w:rPr>
        <w:t xml:space="preserve">En su consulta, usted plantea los siguientes interrogantes: </w:t>
      </w:r>
    </w:p>
    <w:p w14:paraId="3613D0BA" w14:textId="77777777" w:rsidR="00FC1C1E" w:rsidRPr="00077410" w:rsidRDefault="00FC1C1E">
      <w:pPr>
        <w:pBdr>
          <w:top w:val="nil"/>
          <w:left w:val="nil"/>
          <w:bottom w:val="nil"/>
          <w:right w:val="nil"/>
          <w:between w:val="nil"/>
        </w:pBdr>
        <w:spacing w:after="0"/>
        <w:rPr>
          <w:rFonts w:ascii="Arial" w:eastAsia="Arial" w:hAnsi="Arial" w:cs="Arial"/>
          <w:color w:val="000000"/>
          <w:sz w:val="22"/>
          <w:szCs w:val="22"/>
        </w:rPr>
      </w:pPr>
    </w:p>
    <w:p w14:paraId="313B436B" w14:textId="208DB9F9" w:rsidR="00FC1C1E" w:rsidRPr="00077410" w:rsidRDefault="00C02FE0" w:rsidP="00353D32">
      <w:pPr>
        <w:spacing w:after="0" w:line="240" w:lineRule="auto"/>
        <w:ind w:left="709" w:right="709"/>
      </w:pPr>
      <w:r w:rsidRPr="00077410">
        <w:rPr>
          <w:rFonts w:ascii="Arial" w:eastAsia="Arial" w:hAnsi="Arial" w:cs="Arial"/>
          <w:sz w:val="21"/>
          <w:szCs w:val="21"/>
        </w:rPr>
        <w:t xml:space="preserve">«1. ¿La prohibición de que trata el parágrafo del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38 de la Ley 996 de 2005, en cuanto a su alcance, tendría la vocación de afectar a las entidades públicas descentralizadas indirectas de carácter académico, sin </w:t>
      </w:r>
      <w:proofErr w:type="spellStart"/>
      <w:r w:rsidRPr="00077410">
        <w:rPr>
          <w:rFonts w:ascii="Arial" w:eastAsia="Arial" w:hAnsi="Arial" w:cs="Arial"/>
          <w:sz w:val="21"/>
          <w:szCs w:val="21"/>
        </w:rPr>
        <w:t>animo</w:t>
      </w:r>
      <w:proofErr w:type="spellEnd"/>
      <w:r w:rsidRPr="00077410">
        <w:rPr>
          <w:rFonts w:ascii="Arial" w:eastAsia="Arial" w:hAnsi="Arial" w:cs="Arial"/>
          <w:sz w:val="21"/>
          <w:szCs w:val="21"/>
        </w:rPr>
        <w:t xml:space="preserve"> de lucro, que se conforman por Instituciones de Educación Superior estatales de acuerdo con lo establecido en 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95 de la Ley 489 de 2021? Las cuales, de acuerdo con la jurisprudencia del Consejo de Estado y Corte Constitucional, en cuanto a su régimen jurídico, son investidas con la autonomía universitaria y sus actos y contratos se rigen por el derecho privado, en tanto que, su naturaleza </w:t>
      </w:r>
      <w:proofErr w:type="spellStart"/>
      <w:r w:rsidRPr="00077410">
        <w:rPr>
          <w:rFonts w:ascii="Arial" w:eastAsia="Arial" w:hAnsi="Arial" w:cs="Arial"/>
          <w:sz w:val="21"/>
          <w:szCs w:val="21"/>
        </w:rPr>
        <w:t>jurídica</w:t>
      </w:r>
      <w:proofErr w:type="spellEnd"/>
      <w:r w:rsidRPr="00077410">
        <w:rPr>
          <w:rFonts w:ascii="Arial" w:eastAsia="Arial" w:hAnsi="Arial" w:cs="Arial"/>
          <w:sz w:val="21"/>
          <w:szCs w:val="21"/>
        </w:rPr>
        <w:t xml:space="preserve"> y prerrogativas son las mismas de las universidades públicas. </w:t>
      </w:r>
    </w:p>
    <w:p w14:paraId="49961D2A" w14:textId="77777777" w:rsidR="00FC1C1E" w:rsidRPr="00077410" w:rsidRDefault="00FC1C1E" w:rsidP="00353D32">
      <w:pPr>
        <w:spacing w:after="0" w:line="240" w:lineRule="auto"/>
        <w:ind w:left="709" w:right="709"/>
      </w:pPr>
    </w:p>
    <w:p w14:paraId="1EE99E11" w14:textId="78244D9C" w:rsidR="00FC1C1E" w:rsidRPr="00077410" w:rsidRDefault="00C02FE0" w:rsidP="00353D32">
      <w:pPr>
        <w:spacing w:after="0" w:line="240" w:lineRule="auto"/>
        <w:ind w:left="709" w:right="709"/>
      </w:pPr>
      <w:r w:rsidRPr="00077410">
        <w:rPr>
          <w:rFonts w:ascii="Arial" w:eastAsia="Arial" w:hAnsi="Arial" w:cs="Arial"/>
          <w:sz w:val="21"/>
          <w:szCs w:val="21"/>
        </w:rPr>
        <w:t xml:space="preserve">2. ¿La prohibición de que trata el parágrafo del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38 de la Ley 996 de 2005, en cuanto a su alcance, tendría la vocación de afectar a las empresas </w:t>
      </w:r>
      <w:r w:rsidRPr="00077410">
        <w:rPr>
          <w:rFonts w:ascii="Arial" w:eastAsia="Arial" w:hAnsi="Arial" w:cs="Arial"/>
          <w:sz w:val="21"/>
          <w:szCs w:val="21"/>
        </w:rPr>
        <w:lastRenderedPageBreak/>
        <w:t xml:space="preserve">prestadoras de servicios públicos de carácter mixto cuyo régimen jurídico se encuentra establecido en 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14 de la Ley 142 de 1994? </w:t>
      </w:r>
    </w:p>
    <w:p w14:paraId="0361A26F" w14:textId="77777777" w:rsidR="00FC1C1E" w:rsidRPr="00077410" w:rsidRDefault="00FC1C1E" w:rsidP="00353D32">
      <w:pPr>
        <w:spacing w:after="0" w:line="240" w:lineRule="auto"/>
        <w:ind w:left="709" w:right="709"/>
      </w:pPr>
    </w:p>
    <w:p w14:paraId="53A12EE6" w14:textId="23C256CE" w:rsidR="00FC1C1E" w:rsidRPr="00077410" w:rsidRDefault="00C02FE0" w:rsidP="00353D32">
      <w:pPr>
        <w:spacing w:after="0" w:line="240" w:lineRule="auto"/>
        <w:ind w:left="709" w:right="709"/>
      </w:pPr>
      <w:r w:rsidRPr="00077410">
        <w:rPr>
          <w:rFonts w:ascii="Arial" w:eastAsia="Arial" w:hAnsi="Arial" w:cs="Arial"/>
          <w:sz w:val="21"/>
          <w:szCs w:val="21"/>
        </w:rPr>
        <w:t xml:space="preserve">3. ¿las Corporaciones Autónomas Regionales se encuentran en el ámbito de lo dispuesto en el parágrafo del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38 de la, ley 996 de 2005, modificado por 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124 de la Ley 2159 de 2021?»</w:t>
      </w:r>
    </w:p>
    <w:p w14:paraId="69911EB2" w14:textId="77777777" w:rsidR="00FC1C1E" w:rsidRPr="00077410" w:rsidRDefault="00FC1C1E">
      <w:pPr>
        <w:spacing w:after="0"/>
        <w:ind w:left="357"/>
        <w:rPr>
          <w:rFonts w:ascii="Arial" w:eastAsia="Arial" w:hAnsi="Arial" w:cs="Arial"/>
          <w:sz w:val="21"/>
          <w:szCs w:val="21"/>
        </w:rPr>
      </w:pPr>
    </w:p>
    <w:p w14:paraId="7F537724" w14:textId="77777777" w:rsidR="00FC1C1E" w:rsidRPr="00077410" w:rsidRDefault="00C02FE0">
      <w:pPr>
        <w:tabs>
          <w:tab w:val="left" w:pos="284"/>
        </w:tabs>
        <w:spacing w:after="0"/>
        <w:rPr>
          <w:rFonts w:ascii="Arial" w:eastAsia="Arial" w:hAnsi="Arial" w:cs="Arial"/>
          <w:b/>
          <w:sz w:val="22"/>
          <w:szCs w:val="22"/>
        </w:rPr>
      </w:pPr>
      <w:r w:rsidRPr="00077410">
        <w:rPr>
          <w:rFonts w:ascii="Arial" w:eastAsia="Arial" w:hAnsi="Arial" w:cs="Arial"/>
          <w:b/>
          <w:sz w:val="22"/>
          <w:szCs w:val="22"/>
        </w:rPr>
        <w:t>2. Consideraciones</w:t>
      </w:r>
    </w:p>
    <w:p w14:paraId="400E902C" w14:textId="77777777" w:rsidR="00FC1C1E" w:rsidRPr="00077410" w:rsidRDefault="00FC1C1E">
      <w:pPr>
        <w:tabs>
          <w:tab w:val="left" w:pos="426"/>
        </w:tabs>
        <w:spacing w:after="0"/>
        <w:ind w:firstLine="709"/>
        <w:rPr>
          <w:rFonts w:ascii="Arial" w:eastAsia="Arial" w:hAnsi="Arial" w:cs="Arial"/>
          <w:sz w:val="22"/>
          <w:szCs w:val="22"/>
        </w:rPr>
      </w:pPr>
    </w:p>
    <w:p w14:paraId="09BDB7A3" w14:textId="4823F898" w:rsidR="00FC1C1E" w:rsidRPr="00077410" w:rsidRDefault="00C02FE0">
      <w:pPr>
        <w:spacing w:after="120"/>
        <w:rPr>
          <w:rFonts w:ascii="Arial" w:eastAsia="Arial" w:hAnsi="Arial" w:cs="Arial"/>
          <w:sz w:val="22"/>
          <w:szCs w:val="22"/>
        </w:rPr>
      </w:pPr>
      <w:r w:rsidRPr="00077410">
        <w:rPr>
          <w:rFonts w:ascii="Arial" w:eastAsia="Arial" w:hAnsi="Arial" w:cs="Arial"/>
          <w:sz w:val="22"/>
          <w:szCs w:val="22"/>
        </w:rPr>
        <w:t>Para resolver el problema planteado, la Agencia analizará</w:t>
      </w:r>
      <w:r w:rsidRPr="00077410">
        <w:rPr>
          <w:rFonts w:ascii="Arial" w:eastAsia="Arial" w:hAnsi="Arial" w:cs="Arial"/>
          <w:color w:val="000000"/>
          <w:sz w:val="22"/>
          <w:szCs w:val="22"/>
        </w:rPr>
        <w:t xml:space="preserve"> los siguientes temas:</w:t>
      </w:r>
      <w:r w:rsidRPr="00077410">
        <w:rPr>
          <w:rFonts w:ascii="Arial" w:eastAsia="Arial" w:hAnsi="Arial" w:cs="Arial"/>
          <w:sz w:val="22"/>
          <w:szCs w:val="22"/>
        </w:rPr>
        <w:t xml:space="preserve"> i) definición y finalidad de la Ley de Garantías Electorales, donde se expondrán las restricciones en materia contractual establecidas en dicha Ley; </w:t>
      </w:r>
      <w:proofErr w:type="spellStart"/>
      <w:r w:rsidRPr="00077410">
        <w:rPr>
          <w:rFonts w:ascii="Arial" w:eastAsia="Arial" w:hAnsi="Arial" w:cs="Arial"/>
          <w:sz w:val="22"/>
          <w:szCs w:val="22"/>
        </w:rPr>
        <w:t>ii</w:t>
      </w:r>
      <w:proofErr w:type="spellEnd"/>
      <w:r w:rsidRPr="00077410">
        <w:rPr>
          <w:rFonts w:ascii="Arial" w:eastAsia="Arial" w:hAnsi="Arial" w:cs="Arial"/>
          <w:sz w:val="22"/>
          <w:szCs w:val="22"/>
        </w:rPr>
        <w:t xml:space="preserve">) restricciones para la celebración de contratos y convenios interadministrativos en los comicios para cargos de elección popular; </w:t>
      </w:r>
      <w:proofErr w:type="spellStart"/>
      <w:r w:rsidRPr="00077410">
        <w:rPr>
          <w:rFonts w:ascii="Arial" w:eastAsia="Arial" w:hAnsi="Arial" w:cs="Arial"/>
          <w:sz w:val="22"/>
          <w:szCs w:val="22"/>
        </w:rPr>
        <w:t>iii</w:t>
      </w:r>
      <w:proofErr w:type="spellEnd"/>
      <w:r w:rsidRPr="00077410">
        <w:rPr>
          <w:rFonts w:ascii="Arial" w:eastAsia="Arial" w:hAnsi="Arial" w:cs="Arial"/>
          <w:sz w:val="22"/>
          <w:szCs w:val="22"/>
        </w:rPr>
        <w:t xml:space="preserve">) la aplicación de la Ley de garantías Electorales frente a las Empresas de Servicios Públicos Domiciliarios; </w:t>
      </w:r>
      <w:proofErr w:type="spellStart"/>
      <w:r w:rsidRPr="00077410">
        <w:rPr>
          <w:rFonts w:ascii="Arial" w:eastAsia="Arial" w:hAnsi="Arial" w:cs="Arial"/>
          <w:sz w:val="22"/>
          <w:szCs w:val="22"/>
        </w:rPr>
        <w:t>iv</w:t>
      </w:r>
      <w:proofErr w:type="spellEnd"/>
      <w:r w:rsidRPr="00077410">
        <w:rPr>
          <w:rFonts w:ascii="Arial" w:eastAsia="Arial" w:hAnsi="Arial" w:cs="Arial"/>
          <w:sz w:val="22"/>
          <w:szCs w:val="22"/>
        </w:rPr>
        <w:t xml:space="preserve">) la aplicación de la Ley de Garantías frente a las universidades públicas; y </w:t>
      </w:r>
      <w:proofErr w:type="spellStart"/>
      <w:r w:rsidRPr="00077410">
        <w:rPr>
          <w:rFonts w:ascii="Arial" w:eastAsia="Arial" w:hAnsi="Arial" w:cs="Arial"/>
          <w:sz w:val="22"/>
          <w:szCs w:val="22"/>
        </w:rPr>
        <w:t>iv</w:t>
      </w:r>
      <w:proofErr w:type="spellEnd"/>
      <w:r w:rsidRPr="00077410">
        <w:rPr>
          <w:rFonts w:ascii="Arial" w:eastAsia="Arial" w:hAnsi="Arial" w:cs="Arial"/>
          <w:sz w:val="22"/>
          <w:szCs w:val="22"/>
        </w:rPr>
        <w:t>) las modificaciones realizadas por la Ley 2159 de 2021. En desarrollo de dichos contenidos se abordarán las problemáticas expuestas por el peticionario, aclarando que de conformidad con la competencia consultiva otorgada por el numeral 5 del artículo 3 y el numeral 8 del artículo 11 del Decreto 4170 de 2011, la Agencia Nacional de Contratación Pública – Colombia Compra Eficiente está facultada para atender solicitudes relacionadas con temas contractuales, pero solo para «absolver consultas sobre la aplicación de normas de carácter general»</w:t>
      </w:r>
      <w:r w:rsidRPr="00077410">
        <w:rPr>
          <w:rFonts w:ascii="Arial" w:eastAsia="Arial" w:hAnsi="Arial" w:cs="Arial"/>
          <w:sz w:val="22"/>
          <w:szCs w:val="22"/>
          <w:vertAlign w:val="superscript"/>
        </w:rPr>
        <w:footnoteReference w:id="1"/>
      </w:r>
      <w:r w:rsidRPr="00077410">
        <w:rPr>
          <w:rFonts w:ascii="Arial" w:eastAsia="Arial" w:hAnsi="Arial" w:cs="Arial"/>
          <w:sz w:val="22"/>
          <w:szCs w:val="22"/>
        </w:rPr>
        <w:t xml:space="preserve">. Por ello, la Agencia no tiene atribuciones para resolver casos particulares y concretos, ni para validar las actuaciones de las entidades estatales.  </w:t>
      </w:r>
    </w:p>
    <w:p w14:paraId="4E3A9EE9" w14:textId="77777777" w:rsidR="00FC1C1E" w:rsidRPr="00077410" w:rsidRDefault="00C02FE0">
      <w:pPr>
        <w:tabs>
          <w:tab w:val="left" w:pos="426"/>
        </w:tabs>
        <w:spacing w:after="120"/>
        <w:rPr>
          <w:rFonts w:ascii="Arial" w:eastAsia="Arial" w:hAnsi="Arial" w:cs="Arial"/>
          <w:sz w:val="22"/>
          <w:szCs w:val="22"/>
        </w:rPr>
      </w:pPr>
      <w:r w:rsidRPr="00077410">
        <w:rPr>
          <w:rFonts w:ascii="Arial" w:eastAsia="Arial" w:hAnsi="Arial" w:cs="Arial"/>
          <w:sz w:val="22"/>
          <w:szCs w:val="22"/>
        </w:rPr>
        <w:tab/>
      </w:r>
      <w:r w:rsidRPr="00077410">
        <w:rPr>
          <w:rFonts w:ascii="Arial" w:eastAsia="Arial" w:hAnsi="Arial" w:cs="Arial"/>
          <w:sz w:val="22"/>
          <w:szCs w:val="22"/>
        </w:rPr>
        <w:tab/>
        <w:t xml:space="preserve">Al respecto, es preciso advertir que los conceptos contienen la posición hermenéutica de la Subdirección de Gestión Contractual en relación con determinado aspecto del ordenamiento jurídico. Esta competencia de interpretación de normas generales, por definición, no puede extenderse a la resolución de controversias, ni a brindar asesorías sobre casos puntuales.  En otras palabras, los conceptos de esta Agencia tienen como objeto la interpretación de normas de carácter general, esto es, del ordenamiento jurídico en abstracto, no la resolución de controversias o la asesoría para casos concretos, de acuerdo con lo indicado respecto a las normas que otorgan competencia consultiva a </w:t>
      </w:r>
      <w:r w:rsidRPr="00077410">
        <w:rPr>
          <w:rFonts w:ascii="Arial" w:eastAsia="Arial" w:hAnsi="Arial" w:cs="Arial"/>
          <w:sz w:val="22"/>
          <w:szCs w:val="22"/>
        </w:rPr>
        <w:lastRenderedPageBreak/>
        <w:t>esta Subdirección. Además, no son vinculantes o de obligatorio cumplimiento para el destinatario, sino que expresan la posición interpretativa del ente que elabora el concepto.</w:t>
      </w:r>
    </w:p>
    <w:p w14:paraId="39EF416A" w14:textId="25462F02" w:rsidR="00FC1C1E" w:rsidRPr="00077410" w:rsidRDefault="00C02FE0">
      <w:pPr>
        <w:tabs>
          <w:tab w:val="left" w:pos="426"/>
        </w:tabs>
        <w:spacing w:after="0"/>
        <w:rPr>
          <w:rFonts w:ascii="Arial" w:eastAsia="Arial" w:hAnsi="Arial" w:cs="Arial"/>
          <w:sz w:val="22"/>
          <w:szCs w:val="22"/>
        </w:rPr>
      </w:pPr>
      <w:r w:rsidRPr="00077410">
        <w:rPr>
          <w:rFonts w:ascii="Arial" w:eastAsia="Arial" w:hAnsi="Arial" w:cs="Arial"/>
          <w:sz w:val="22"/>
          <w:szCs w:val="22"/>
        </w:rPr>
        <w:tab/>
      </w:r>
      <w:r w:rsidRPr="00077410">
        <w:rPr>
          <w:rFonts w:ascii="Arial" w:eastAsia="Arial" w:hAnsi="Arial" w:cs="Arial"/>
          <w:sz w:val="22"/>
          <w:szCs w:val="22"/>
        </w:rPr>
        <w:tab/>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y C-636 del 16 de noviembre de 2021. En el mismo sentido, </w:t>
      </w:r>
      <w:r w:rsidRPr="00077410">
        <w:rPr>
          <w:rFonts w:ascii="Arial" w:eastAsia="Arial" w:hAnsi="Arial" w:cs="Arial"/>
          <w:color w:val="000000"/>
          <w:sz w:val="22"/>
          <w:szCs w:val="22"/>
        </w:rPr>
        <w:t xml:space="preserve">en el concepto con C-677 de 2021 se refirió a los alcances de la modificación realizada por la Ley 2159 de 2021. Por su parte, en el Concepto </w:t>
      </w:r>
      <w:r w:rsidRPr="00077410">
        <w:rPr>
          <w:rFonts w:ascii="Arial" w:eastAsia="Arial" w:hAnsi="Arial" w:cs="Arial"/>
          <w:sz w:val="22"/>
          <w:szCs w:val="22"/>
        </w:rPr>
        <w:t xml:space="preserve">2201913000006639 </w:t>
      </w:r>
      <w:r w:rsidRPr="00077410">
        <w:rPr>
          <w:rFonts w:ascii="Arial" w:eastAsia="Arial" w:hAnsi="Arial" w:cs="Arial"/>
          <w:color w:val="000000"/>
          <w:sz w:val="22"/>
          <w:szCs w:val="22"/>
        </w:rPr>
        <w:t>del 9 de septiembre de 2019 la Agencia sentó su posición frente a la aplicación de la prohibición del parágrafo del artículo 38 de la Ley de Garantías frente a las universidades públicas.</w:t>
      </w:r>
      <w:r w:rsidRPr="00077410">
        <w:rPr>
          <w:rFonts w:ascii="Arial" w:eastAsia="Arial" w:hAnsi="Arial" w:cs="Arial"/>
          <w:sz w:val="22"/>
          <w:szCs w:val="22"/>
        </w:rPr>
        <w:t xml:space="preserve"> Las tesis desarrolladas en estos conceptos se reiteran y complementan a continuación.</w:t>
      </w:r>
    </w:p>
    <w:p w14:paraId="2AAD4126" w14:textId="77777777" w:rsidR="00FC1C1E" w:rsidRPr="00077410" w:rsidRDefault="00FC1C1E">
      <w:pPr>
        <w:tabs>
          <w:tab w:val="left" w:pos="426"/>
        </w:tabs>
        <w:spacing w:after="0"/>
        <w:ind w:firstLine="709"/>
        <w:rPr>
          <w:rFonts w:ascii="Arial" w:eastAsia="Arial" w:hAnsi="Arial" w:cs="Arial"/>
          <w:b/>
          <w:sz w:val="22"/>
          <w:szCs w:val="22"/>
        </w:rPr>
      </w:pPr>
    </w:p>
    <w:p w14:paraId="53A906C6" w14:textId="77777777" w:rsidR="00FC1C1E" w:rsidRPr="00077410" w:rsidRDefault="00C02FE0">
      <w:pPr>
        <w:tabs>
          <w:tab w:val="left" w:pos="426"/>
        </w:tabs>
        <w:spacing w:after="0"/>
        <w:rPr>
          <w:rFonts w:ascii="Arial" w:eastAsia="Arial" w:hAnsi="Arial" w:cs="Arial"/>
          <w:b/>
          <w:sz w:val="22"/>
          <w:szCs w:val="22"/>
        </w:rPr>
      </w:pPr>
      <w:r w:rsidRPr="00077410">
        <w:rPr>
          <w:rFonts w:ascii="Arial" w:eastAsia="Arial" w:hAnsi="Arial" w:cs="Arial"/>
          <w:b/>
          <w:sz w:val="22"/>
          <w:szCs w:val="22"/>
        </w:rPr>
        <w:t>2.1. Definición y finalidad de la Ley de Garantías Electorales: alcance de las restricciones</w:t>
      </w:r>
    </w:p>
    <w:p w14:paraId="1675CE12" w14:textId="77777777" w:rsidR="00FC1C1E" w:rsidRPr="00077410" w:rsidRDefault="00FC1C1E">
      <w:pPr>
        <w:tabs>
          <w:tab w:val="left" w:pos="426"/>
        </w:tabs>
        <w:spacing w:after="0"/>
        <w:ind w:firstLine="709"/>
        <w:rPr>
          <w:rFonts w:ascii="Arial" w:eastAsia="Arial" w:hAnsi="Arial" w:cs="Arial"/>
          <w:sz w:val="22"/>
          <w:szCs w:val="22"/>
        </w:rPr>
      </w:pPr>
    </w:p>
    <w:p w14:paraId="406F50D8" w14:textId="77777777" w:rsidR="00FC1C1E" w:rsidRPr="00077410" w:rsidRDefault="00C02FE0">
      <w:pPr>
        <w:tabs>
          <w:tab w:val="left" w:pos="426"/>
        </w:tabs>
        <w:spacing w:after="120"/>
        <w:rPr>
          <w:rFonts w:ascii="Arial" w:eastAsia="Arial" w:hAnsi="Arial" w:cs="Arial"/>
          <w:sz w:val="22"/>
          <w:szCs w:val="22"/>
        </w:rPr>
      </w:pPr>
      <w:r w:rsidRPr="00077410">
        <w:rPr>
          <w:rFonts w:ascii="Arial" w:eastAsia="Arial" w:hAnsi="Arial" w:cs="Arial"/>
          <w:sz w:val="22"/>
          <w:szCs w:val="22"/>
        </w:rPr>
        <w:t>El ordenamiento jurídico colombiano contempla previsiones claras para evitar la obtención de beneficios personales en asuntos propios de la administración pública</w:t>
      </w:r>
      <w:r w:rsidRPr="00077410">
        <w:rPr>
          <w:rFonts w:ascii="Arial" w:eastAsia="Arial" w:hAnsi="Arial" w:cs="Arial"/>
          <w:i/>
          <w:sz w:val="22"/>
          <w:szCs w:val="22"/>
        </w:rPr>
        <w:t xml:space="preserve">. </w:t>
      </w:r>
      <w:r w:rsidRPr="00077410">
        <w:rPr>
          <w:rFonts w:ascii="Arial" w:eastAsia="Arial" w:hAnsi="Arial" w:cs="Arial"/>
          <w:sz w:val="22"/>
          <w:szCs w:val="22"/>
        </w:rPr>
        <w:t>Por ejemplo, el artículo 127 de la Constitución Política establece una prohibición contractual a los servidores públicos y en cuanto a aspectos políticos establece restricciones a ciertos empleados del Estado, incluso en época no electoral</w:t>
      </w:r>
      <w:r w:rsidRPr="00077410">
        <w:rPr>
          <w:rFonts w:ascii="Arial" w:eastAsia="Arial" w:hAnsi="Arial" w:cs="Arial"/>
          <w:sz w:val="22"/>
          <w:szCs w:val="22"/>
          <w:vertAlign w:val="superscript"/>
        </w:rPr>
        <w:footnoteReference w:id="2"/>
      </w:r>
      <w:r w:rsidRPr="00077410">
        <w:rPr>
          <w:rFonts w:ascii="Arial" w:eastAsia="Arial" w:hAnsi="Arial" w:cs="Arial"/>
          <w:sz w:val="22"/>
          <w:szCs w:val="22"/>
        </w:rPr>
        <w:t xml:space="preserve">. </w:t>
      </w:r>
    </w:p>
    <w:p w14:paraId="097D532D" w14:textId="77777777" w:rsidR="00FC1C1E" w:rsidRPr="00077410" w:rsidRDefault="00C02FE0">
      <w:pPr>
        <w:tabs>
          <w:tab w:val="left" w:pos="426"/>
        </w:tabs>
        <w:spacing w:after="0"/>
        <w:ind w:firstLine="709"/>
        <w:rPr>
          <w:rFonts w:ascii="Arial" w:eastAsia="Arial" w:hAnsi="Arial" w:cs="Arial"/>
          <w:sz w:val="22"/>
          <w:szCs w:val="22"/>
        </w:rPr>
      </w:pPr>
      <w:r w:rsidRPr="00077410">
        <w:rPr>
          <w:rFonts w:ascii="Arial" w:eastAsia="Arial" w:hAnsi="Arial" w:cs="Arial"/>
          <w:sz w:val="22"/>
          <w:szCs w:val="22"/>
        </w:rPr>
        <w:lastRenderedPageBreak/>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077410">
        <w:rPr>
          <w:rFonts w:ascii="Arial" w:eastAsia="Arial" w:hAnsi="Arial" w:cs="Arial"/>
          <w:sz w:val="22"/>
          <w:szCs w:val="22"/>
          <w:vertAlign w:val="superscript"/>
        </w:rPr>
        <w:footnoteReference w:id="3"/>
      </w:r>
      <w:r w:rsidRPr="00077410">
        <w:rPr>
          <w:rFonts w:ascii="Arial" w:eastAsia="Arial" w:hAnsi="Arial" w:cs="Arial"/>
          <w:sz w:val="22"/>
          <w:szCs w:val="22"/>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27EC9D9F" w14:textId="77777777" w:rsidR="00FC1C1E" w:rsidRPr="00077410" w:rsidRDefault="00FC1C1E">
      <w:pPr>
        <w:spacing w:after="0"/>
        <w:ind w:right="709"/>
        <w:rPr>
          <w:rFonts w:ascii="Arial" w:eastAsia="Arial" w:hAnsi="Arial" w:cs="Arial"/>
          <w:sz w:val="21"/>
          <w:szCs w:val="21"/>
        </w:rPr>
      </w:pPr>
    </w:p>
    <w:p w14:paraId="3B67A00C" w14:textId="77777777" w:rsidR="00FC1C1E" w:rsidRPr="00077410" w:rsidRDefault="00C02FE0" w:rsidP="00353D32">
      <w:pPr>
        <w:spacing w:after="0" w:line="240" w:lineRule="auto"/>
        <w:ind w:left="709" w:right="709"/>
      </w:pPr>
      <w:r w:rsidRPr="00077410">
        <w:rPr>
          <w:rFonts w:ascii="Arial" w:eastAsia="Arial" w:hAnsi="Arial" w:cs="Arial"/>
          <w:sz w:val="21"/>
          <w:szCs w:val="21"/>
        </w:rPr>
        <w:t>[…] la definición de reglas claras que permitan acceder a los canales de expresión democrática de manera efectiva e igualitaria. El objetivo de una ley de garantías es definir esas reglas.</w:t>
      </w:r>
    </w:p>
    <w:p w14:paraId="1173CA8C" w14:textId="77777777" w:rsidR="00FC1C1E" w:rsidRPr="00077410" w:rsidRDefault="00C02FE0" w:rsidP="00353D32">
      <w:pPr>
        <w:spacing w:after="120" w:line="240" w:lineRule="auto"/>
        <w:ind w:left="709" w:right="709"/>
      </w:pPr>
      <w:r w:rsidRPr="00077410">
        <w:rPr>
          <w:rFonts w:ascii="Arial" w:eastAsia="Arial" w:hAnsi="Arial" w:cs="Arial"/>
          <w:sz w:val="21"/>
          <w:szCs w:val="21"/>
        </w:rPr>
        <w:t xml:space="preserve">[…] </w:t>
      </w:r>
    </w:p>
    <w:p w14:paraId="222E1CB3" w14:textId="77777777" w:rsidR="00FC1C1E" w:rsidRPr="00077410" w:rsidRDefault="00C02FE0" w:rsidP="00353D32">
      <w:pPr>
        <w:spacing w:after="0" w:line="240" w:lineRule="auto"/>
        <w:ind w:left="709" w:right="709"/>
      </w:pPr>
      <w:r w:rsidRPr="00077410">
        <w:rPr>
          <w:rFonts w:ascii="Arial" w:eastAsia="Arial" w:hAnsi="Arial" w:cs="Arial"/>
          <w:sz w:val="21"/>
          <w:szCs w:val="21"/>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077410">
        <w:rPr>
          <w:rFonts w:ascii="Arial" w:eastAsia="Arial" w:hAnsi="Arial" w:cs="Arial"/>
          <w:sz w:val="20"/>
          <w:szCs w:val="20"/>
          <w:vertAlign w:val="superscript"/>
        </w:rPr>
        <w:footnoteReference w:id="4"/>
      </w:r>
    </w:p>
    <w:p w14:paraId="5E0FCF93" w14:textId="77777777" w:rsidR="00FC1C1E" w:rsidRPr="00077410" w:rsidRDefault="00FC1C1E">
      <w:pPr>
        <w:spacing w:after="0"/>
        <w:ind w:left="709" w:right="709"/>
        <w:rPr>
          <w:rFonts w:ascii="Arial" w:eastAsia="Arial" w:hAnsi="Arial" w:cs="Arial"/>
          <w:sz w:val="21"/>
          <w:szCs w:val="21"/>
        </w:rPr>
      </w:pPr>
    </w:p>
    <w:p w14:paraId="1F9B1E5C" w14:textId="77777777" w:rsidR="00FC1C1E" w:rsidRPr="00077410" w:rsidRDefault="00C02FE0">
      <w:pPr>
        <w:spacing w:after="0"/>
        <w:ind w:firstLine="709"/>
        <w:rPr>
          <w:rFonts w:ascii="Arial" w:eastAsia="Arial" w:hAnsi="Arial" w:cs="Arial"/>
          <w:sz w:val="22"/>
          <w:szCs w:val="22"/>
        </w:rPr>
      </w:pPr>
      <w:bookmarkStart w:id="10" w:name="_17dp8vu" w:colFirst="0" w:colLast="0"/>
      <w:bookmarkEnd w:id="10"/>
      <w:r w:rsidRPr="00077410">
        <w:rPr>
          <w:rFonts w:ascii="Arial" w:eastAsia="Arial" w:hAnsi="Arial" w:cs="Arial"/>
          <w:sz w:val="22"/>
          <w:szCs w:val="22"/>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CE86EBD" w14:textId="77777777" w:rsidR="00FC1C1E" w:rsidRPr="00077410" w:rsidRDefault="00FC1C1E">
      <w:pPr>
        <w:spacing w:after="0"/>
        <w:ind w:firstLine="709"/>
        <w:rPr>
          <w:rFonts w:ascii="Arial" w:eastAsia="Arial" w:hAnsi="Arial" w:cs="Arial"/>
          <w:sz w:val="22"/>
          <w:szCs w:val="22"/>
        </w:rPr>
      </w:pPr>
    </w:p>
    <w:p w14:paraId="1BED0ECC" w14:textId="77777777" w:rsidR="00FC1C1E" w:rsidRPr="00077410" w:rsidRDefault="00C02FE0" w:rsidP="00353D32">
      <w:pPr>
        <w:spacing w:after="120" w:line="240" w:lineRule="auto"/>
        <w:ind w:left="709" w:right="709"/>
      </w:pPr>
      <w:r w:rsidRPr="00077410">
        <w:rPr>
          <w:rFonts w:ascii="Arial" w:eastAsia="Arial" w:hAnsi="Arial" w:cs="Arial"/>
          <w:sz w:val="21"/>
          <w:szCs w:val="21"/>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077410">
        <w:rPr>
          <w:rFonts w:ascii="Arial" w:eastAsia="Arial" w:hAnsi="Arial" w:cs="Arial"/>
          <w:sz w:val="21"/>
          <w:szCs w:val="21"/>
        </w:rPr>
        <w:t>legis</w:t>
      </w:r>
      <w:proofErr w:type="spellEnd"/>
      <w:r w:rsidRPr="00077410">
        <w:rPr>
          <w:rFonts w:ascii="Arial" w:eastAsia="Arial" w:hAnsi="Arial" w:cs="Arial"/>
          <w:sz w:val="21"/>
          <w:szCs w:val="21"/>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05D5C2F" w14:textId="77777777" w:rsidR="00FC1C1E" w:rsidRPr="00077410" w:rsidRDefault="00C02FE0" w:rsidP="00353D32">
      <w:pPr>
        <w:spacing w:after="0" w:line="240" w:lineRule="auto"/>
        <w:ind w:left="709" w:right="709"/>
      </w:pPr>
      <w:r w:rsidRPr="00077410">
        <w:rPr>
          <w:rFonts w:ascii="Arial" w:eastAsia="Arial" w:hAnsi="Arial" w:cs="Arial"/>
          <w:sz w:val="21"/>
          <w:szCs w:val="21"/>
        </w:rPr>
        <w:t>La jurisprudencia de la Corte Constitucional</w:t>
      </w:r>
      <w:r w:rsidRPr="00077410">
        <w:rPr>
          <w:rFonts w:ascii="Arial" w:eastAsia="Arial" w:hAnsi="Arial" w:cs="Arial"/>
          <w:sz w:val="21"/>
          <w:szCs w:val="21"/>
          <w:vertAlign w:val="superscript"/>
        </w:rPr>
        <w:footnoteReference w:id="5"/>
      </w:r>
      <w:r w:rsidRPr="00077410">
        <w:rPr>
          <w:rFonts w:ascii="Arial" w:eastAsia="Arial" w:hAnsi="Arial" w:cs="Arial"/>
          <w:sz w:val="21"/>
          <w:szCs w:val="21"/>
        </w:rPr>
        <w:t> y del Consejo de Estado</w:t>
      </w:r>
      <w:r w:rsidRPr="00077410">
        <w:rPr>
          <w:rFonts w:ascii="Arial" w:eastAsia="Arial" w:hAnsi="Arial" w:cs="Arial"/>
          <w:sz w:val="21"/>
          <w:szCs w:val="21"/>
          <w:vertAlign w:val="superscript"/>
        </w:rPr>
        <w:footnoteReference w:id="6"/>
      </w:r>
      <w:r w:rsidRPr="00077410">
        <w:rPr>
          <w:rFonts w:ascii="Arial" w:eastAsia="Arial" w:hAnsi="Arial" w:cs="Arial"/>
          <w:sz w:val="21"/>
          <w:szCs w:val="21"/>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077410">
        <w:rPr>
          <w:rFonts w:ascii="Arial" w:eastAsia="Arial" w:hAnsi="Arial" w:cs="Arial"/>
          <w:sz w:val="22"/>
          <w:szCs w:val="22"/>
          <w:vertAlign w:val="superscript"/>
        </w:rPr>
        <w:footnoteReference w:id="7"/>
      </w:r>
      <w:r w:rsidRPr="00077410">
        <w:rPr>
          <w:rFonts w:ascii="Arial" w:eastAsia="Arial" w:hAnsi="Arial" w:cs="Arial"/>
          <w:sz w:val="21"/>
          <w:szCs w:val="21"/>
        </w:rPr>
        <w:t>.</w:t>
      </w:r>
    </w:p>
    <w:p w14:paraId="48A65A21" w14:textId="77777777" w:rsidR="00FC1C1E" w:rsidRPr="00077410" w:rsidRDefault="00FC1C1E">
      <w:pPr>
        <w:spacing w:after="0"/>
        <w:ind w:right="709"/>
        <w:rPr>
          <w:rFonts w:ascii="Arial" w:eastAsia="Arial" w:hAnsi="Arial" w:cs="Arial"/>
          <w:sz w:val="21"/>
          <w:szCs w:val="21"/>
        </w:rPr>
      </w:pPr>
    </w:p>
    <w:p w14:paraId="30DC82EC" w14:textId="77777777" w:rsidR="00FC1C1E" w:rsidRPr="00077410" w:rsidRDefault="00C02FE0">
      <w:pPr>
        <w:spacing w:after="120"/>
        <w:rPr>
          <w:rFonts w:ascii="Arial" w:eastAsia="Arial" w:hAnsi="Arial" w:cs="Arial"/>
          <w:sz w:val="22"/>
          <w:szCs w:val="22"/>
        </w:rPr>
      </w:pPr>
      <w:bookmarkStart w:id="11" w:name="_3rdcrjn" w:colFirst="0" w:colLast="0"/>
      <w:bookmarkEnd w:id="11"/>
      <w:r w:rsidRPr="00077410">
        <w:rPr>
          <w:rFonts w:ascii="Arial" w:eastAsia="Arial" w:hAnsi="Arial" w:cs="Arial"/>
          <w:sz w:val="22"/>
          <w:szCs w:val="22"/>
        </w:rPr>
        <w:tab/>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169776E5" w14:textId="77777777" w:rsidR="00FC1C1E" w:rsidRPr="00077410" w:rsidRDefault="00C02FE0">
      <w:pPr>
        <w:spacing w:after="120"/>
        <w:ind w:firstLine="708"/>
        <w:rPr>
          <w:rFonts w:ascii="Arial" w:eastAsia="Arial" w:hAnsi="Arial" w:cs="Arial"/>
          <w:sz w:val="22"/>
          <w:szCs w:val="22"/>
        </w:rPr>
      </w:pPr>
      <w:r w:rsidRPr="00077410">
        <w:rPr>
          <w:rFonts w:ascii="Arial" w:eastAsia="Arial" w:hAnsi="Arial" w:cs="Arial"/>
          <w:sz w:val="22"/>
          <w:szCs w:val="22"/>
        </w:rPr>
        <w:t xml:space="preserve">Por un lado, el artículo 33 de la Ley 996 de 2005 prohíbe «[…] la contratación directa por parte de todos los entes del Estado» durante los cuatro (4) meses anteriores a las elecciones presidenciales, salvo «[…] lo referente a la defensa y seguridad del Estado, los </w:t>
      </w:r>
      <w:r w:rsidRPr="00077410">
        <w:rPr>
          <w:rFonts w:ascii="Arial" w:eastAsia="Arial" w:hAnsi="Arial" w:cs="Arial"/>
          <w:sz w:val="22"/>
          <w:szCs w:val="22"/>
        </w:rPr>
        <w:lastRenderedPageBreak/>
        <w:t>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077410">
        <w:rPr>
          <w:rFonts w:ascii="Arial" w:eastAsia="Arial" w:hAnsi="Arial" w:cs="Arial"/>
          <w:sz w:val="22"/>
          <w:szCs w:val="22"/>
          <w:vertAlign w:val="superscript"/>
        </w:rPr>
        <w:footnoteReference w:id="8"/>
      </w:r>
      <w:r w:rsidRPr="00077410">
        <w:rPr>
          <w:rFonts w:ascii="Arial" w:eastAsia="Arial" w:hAnsi="Arial" w:cs="Arial"/>
          <w:sz w:val="22"/>
          <w:szCs w:val="22"/>
        </w:rPr>
        <w:t>.</w:t>
      </w:r>
    </w:p>
    <w:p w14:paraId="4BB8FCE4" w14:textId="108629FC" w:rsidR="00FC1C1E" w:rsidRPr="00077410" w:rsidRDefault="00C02FE0">
      <w:pPr>
        <w:widowControl w:val="0"/>
        <w:spacing w:after="0"/>
        <w:ind w:right="113" w:firstLine="708"/>
        <w:rPr>
          <w:rFonts w:ascii="Arial" w:eastAsia="Arial" w:hAnsi="Arial" w:cs="Arial"/>
          <w:sz w:val="22"/>
          <w:szCs w:val="22"/>
        </w:rPr>
      </w:pPr>
      <w:r w:rsidRPr="00077410">
        <w:rPr>
          <w:rFonts w:ascii="Arial" w:eastAsia="Arial" w:hAnsi="Arial" w:cs="Arial"/>
          <w:sz w:val="22"/>
          <w:szCs w:val="22"/>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077410">
        <w:rPr>
          <w:rFonts w:ascii="Arial" w:eastAsia="Arial" w:hAnsi="Arial" w:cs="Arial"/>
          <w:sz w:val="19"/>
          <w:szCs w:val="19"/>
        </w:rPr>
        <w:t>»</w:t>
      </w:r>
      <w:r w:rsidRPr="00077410">
        <w:rPr>
          <w:rFonts w:ascii="Arial" w:eastAsia="Arial" w:hAnsi="Arial" w:cs="Arial"/>
          <w:sz w:val="19"/>
          <w:szCs w:val="19"/>
          <w:vertAlign w:val="superscript"/>
        </w:rPr>
        <w:footnoteReference w:id="9"/>
      </w:r>
      <w:r w:rsidRPr="00077410">
        <w:rPr>
          <w:rFonts w:ascii="Arial" w:eastAsia="Arial" w:hAnsi="Arial" w:cs="Arial"/>
          <w:sz w:val="22"/>
          <w:szCs w:val="22"/>
        </w:rPr>
        <w:t>. La Sala de Consulta y Servicio Civil del Consejo de Estado ha aclarado la distinción en la aplicación de las prohibiciones de la Ley 996 de 2005, dependiendo del tipo de elección que se trate. Al respecto, considera que:</w:t>
      </w:r>
    </w:p>
    <w:p w14:paraId="12CA9E88" w14:textId="77777777" w:rsidR="00FC1C1E" w:rsidRPr="00077410" w:rsidRDefault="00FC1C1E">
      <w:pPr>
        <w:widowControl w:val="0"/>
        <w:spacing w:after="0"/>
        <w:ind w:left="805" w:right="812"/>
        <w:rPr>
          <w:rFonts w:ascii="Arial" w:eastAsia="Arial" w:hAnsi="Arial" w:cs="Arial"/>
          <w:sz w:val="22"/>
          <w:szCs w:val="22"/>
        </w:rPr>
      </w:pPr>
    </w:p>
    <w:p w14:paraId="023089DF" w14:textId="06055C40" w:rsidR="00FC1C1E" w:rsidRPr="00077410" w:rsidRDefault="00C02FE0" w:rsidP="00353D32">
      <w:pPr>
        <w:widowControl w:val="0"/>
        <w:spacing w:after="0" w:line="240" w:lineRule="auto"/>
        <w:ind w:left="709" w:right="709"/>
      </w:pPr>
      <w:bookmarkStart w:id="14" w:name="_26in1rg" w:colFirst="0" w:colLast="0"/>
      <w:bookmarkEnd w:id="14"/>
      <w:r w:rsidRPr="00077410">
        <w:rPr>
          <w:rFonts w:ascii="Arial" w:eastAsia="Arial" w:hAnsi="Arial" w:cs="Arial"/>
          <w:sz w:val="21"/>
          <w:szCs w:val="21"/>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w:t>
      </w:r>
      <w:r w:rsidRPr="00077410">
        <w:rPr>
          <w:rFonts w:ascii="Arial" w:eastAsia="Arial" w:hAnsi="Arial" w:cs="Arial"/>
          <w:sz w:val="21"/>
          <w:szCs w:val="21"/>
        </w:rPr>
        <w:lastRenderedPageBreak/>
        <w:t xml:space="preserve">excepciones, así como las del parágrafo del artículo 38. En cambio, para elecciones en general, excluyendo las correspondientes a </w:t>
      </w:r>
      <w:proofErr w:type="gramStart"/>
      <w:r w:rsidRPr="00077410">
        <w:rPr>
          <w:rFonts w:ascii="Arial" w:eastAsia="Arial" w:hAnsi="Arial" w:cs="Arial"/>
          <w:sz w:val="21"/>
          <w:szCs w:val="21"/>
        </w:rPr>
        <w:t>Presidente</w:t>
      </w:r>
      <w:proofErr w:type="gramEnd"/>
      <w:r w:rsidRPr="00077410">
        <w:rPr>
          <w:rFonts w:ascii="Arial" w:eastAsia="Arial" w:hAnsi="Arial" w:cs="Arial"/>
          <w:sz w:val="21"/>
          <w:szCs w:val="21"/>
        </w:rPr>
        <w:t xml:space="preserve"> de la República, a las autoridades territoriales allí mencionadas sólo se aplican las restricciones contenidas en el parágrafo del artículo 38</w:t>
      </w:r>
      <w:r w:rsidRPr="00077410">
        <w:rPr>
          <w:rFonts w:ascii="Arial" w:eastAsia="Arial" w:hAnsi="Arial" w:cs="Arial"/>
          <w:sz w:val="21"/>
          <w:szCs w:val="21"/>
          <w:vertAlign w:val="superscript"/>
        </w:rPr>
        <w:footnoteReference w:id="10"/>
      </w:r>
      <w:r w:rsidRPr="00077410">
        <w:rPr>
          <w:rFonts w:ascii="Arial" w:eastAsia="Arial" w:hAnsi="Arial" w:cs="Arial"/>
          <w:sz w:val="21"/>
          <w:szCs w:val="21"/>
        </w:rPr>
        <w:t>.</w:t>
      </w:r>
    </w:p>
    <w:p w14:paraId="1B25E7E9" w14:textId="77777777" w:rsidR="00FC1C1E" w:rsidRPr="00077410" w:rsidRDefault="00FC1C1E">
      <w:pPr>
        <w:widowControl w:val="0"/>
        <w:spacing w:before="8" w:after="0"/>
        <w:jc w:val="left"/>
        <w:rPr>
          <w:rFonts w:ascii="Arial" w:eastAsia="Arial" w:hAnsi="Arial" w:cs="Arial"/>
          <w:sz w:val="22"/>
          <w:szCs w:val="22"/>
        </w:rPr>
      </w:pPr>
    </w:p>
    <w:p w14:paraId="183E9C75" w14:textId="16B0C377" w:rsidR="00FC1C1E" w:rsidRPr="00077410" w:rsidRDefault="00C02FE0">
      <w:pPr>
        <w:spacing w:after="120"/>
        <w:ind w:firstLine="709"/>
        <w:rPr>
          <w:rFonts w:ascii="Arial" w:eastAsia="Arial" w:hAnsi="Arial" w:cs="Arial"/>
          <w:sz w:val="22"/>
          <w:szCs w:val="22"/>
        </w:rPr>
      </w:pPr>
      <w:bookmarkStart w:id="15" w:name="_lnxbz9" w:colFirst="0" w:colLast="0"/>
      <w:bookmarkEnd w:id="15"/>
      <w:r w:rsidRPr="00077410">
        <w:rPr>
          <w:rFonts w:ascii="Arial" w:eastAsia="Arial" w:hAnsi="Arial" w:cs="Arial"/>
          <w:sz w:val="22"/>
          <w:szCs w:val="22"/>
        </w:rPr>
        <w:t xml:space="preserve">De conformidad con lo anterior, la Ley 996 de 2005 establece dos (2) tipos de restricciones en materia de contratación, las cuales coinciden parcialmente. </w:t>
      </w:r>
      <w:r w:rsidRPr="00077410">
        <w:rPr>
          <w:rFonts w:ascii="Arial" w:eastAsia="Arial" w:hAnsi="Arial" w:cs="Arial"/>
          <w:i/>
          <w:sz w:val="22"/>
          <w:szCs w:val="22"/>
        </w:rPr>
        <w:t>En primer lugar</w:t>
      </w:r>
      <w:r w:rsidRPr="00077410">
        <w:rPr>
          <w:rFonts w:ascii="Arial" w:eastAsia="Arial" w:hAnsi="Arial" w:cs="Arial"/>
          <w:sz w:val="22"/>
          <w:szCs w:val="22"/>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w:t>
      </w:r>
      <w:r w:rsidRPr="00077410">
        <w:rPr>
          <w:rFonts w:ascii="Arial" w:eastAsia="Arial" w:hAnsi="Arial" w:cs="Arial"/>
          <w:i/>
          <w:sz w:val="22"/>
          <w:szCs w:val="22"/>
        </w:rPr>
        <w:t>En segundo lugar</w:t>
      </w:r>
      <w:r w:rsidRPr="00077410">
        <w:rPr>
          <w:rFonts w:ascii="Arial" w:eastAsia="Arial" w:hAnsi="Arial" w:cs="Arial"/>
          <w:sz w:val="22"/>
          <w:szCs w:val="22"/>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3504F192" w14:textId="16477942" w:rsidR="00FC1C1E" w:rsidRPr="00077410" w:rsidRDefault="00C02FE0">
      <w:pPr>
        <w:spacing w:after="120"/>
        <w:ind w:firstLine="709"/>
        <w:rPr>
          <w:rFonts w:ascii="Arial" w:eastAsia="Arial" w:hAnsi="Arial" w:cs="Arial"/>
          <w:sz w:val="22"/>
          <w:szCs w:val="22"/>
        </w:rPr>
      </w:pPr>
      <w:r w:rsidRPr="00077410">
        <w:rPr>
          <w:rFonts w:ascii="Arial" w:eastAsia="Arial" w:hAnsi="Arial" w:cs="Arial"/>
          <w:sz w:val="22"/>
          <w:szCs w:val="22"/>
        </w:rPr>
        <w:t xml:space="preserve">Ambas restricciones no son excluyentes, lo que permite concluir que en el período preelectoral para elección de </w:t>
      </w:r>
      <w:proofErr w:type="gramStart"/>
      <w:r w:rsidRPr="00077410">
        <w:rPr>
          <w:rFonts w:ascii="Arial" w:eastAsia="Arial" w:hAnsi="Arial" w:cs="Arial"/>
          <w:sz w:val="22"/>
          <w:szCs w:val="22"/>
        </w:rPr>
        <w:t>Presidente</w:t>
      </w:r>
      <w:proofErr w:type="gramEnd"/>
      <w:r w:rsidRPr="00077410">
        <w:rPr>
          <w:rFonts w:ascii="Arial" w:eastAsia="Arial" w:hAnsi="Arial" w:cs="Arial"/>
          <w:sz w:val="22"/>
          <w:szCs w:val="22"/>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077410">
        <w:rPr>
          <w:rFonts w:ascii="Arial" w:eastAsia="Arial" w:hAnsi="Arial" w:cs="Arial"/>
          <w:sz w:val="22"/>
          <w:szCs w:val="22"/>
        </w:rPr>
        <w:t>Presidente</w:t>
      </w:r>
      <w:proofErr w:type="gramEnd"/>
      <w:r w:rsidRPr="00077410">
        <w:rPr>
          <w:rFonts w:ascii="Arial" w:eastAsia="Arial" w:hAnsi="Arial" w:cs="Arial"/>
          <w:sz w:val="22"/>
          <w:szCs w:val="22"/>
        </w:rPr>
        <w:t xml:space="preserve"> de la República, las autoridades allí mencionadas solo deben aplicar las restricciones contenidas en el parágrafo del artículo 38.</w:t>
      </w:r>
    </w:p>
    <w:p w14:paraId="19B4494E" w14:textId="77777777" w:rsidR="00FC1C1E" w:rsidRPr="00077410" w:rsidRDefault="00C02FE0">
      <w:pPr>
        <w:spacing w:after="0"/>
        <w:ind w:firstLine="708"/>
        <w:rPr>
          <w:rFonts w:ascii="Arial" w:eastAsia="Arial" w:hAnsi="Arial" w:cs="Arial"/>
          <w:sz w:val="22"/>
          <w:szCs w:val="22"/>
        </w:rPr>
      </w:pPr>
      <w:r w:rsidRPr="00077410">
        <w:rPr>
          <w:rFonts w:ascii="Arial" w:eastAsia="Arial" w:hAnsi="Arial" w:cs="Arial"/>
          <w:sz w:val="22"/>
          <w:szCs w:val="22"/>
        </w:rPr>
        <w:t xml:space="preserve">La Corte Constitucional, en la Sentencia C-1153 del 11 de noviembre de 2005, señaló que, para que la garantía sea plena, era necesario que la prohibición se aplicara para el </w:t>
      </w:r>
      <w:proofErr w:type="gramStart"/>
      <w:r w:rsidRPr="00077410">
        <w:rPr>
          <w:rFonts w:ascii="Arial" w:eastAsia="Arial" w:hAnsi="Arial" w:cs="Arial"/>
          <w:sz w:val="22"/>
          <w:szCs w:val="22"/>
        </w:rPr>
        <w:t>Presidente</w:t>
      </w:r>
      <w:proofErr w:type="gramEnd"/>
      <w:r w:rsidRPr="00077410">
        <w:rPr>
          <w:rFonts w:ascii="Arial" w:eastAsia="Arial" w:hAnsi="Arial" w:cs="Arial"/>
          <w:sz w:val="22"/>
          <w:szCs w:val="22"/>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46CF1F4" w14:textId="77777777" w:rsidR="00FC1C1E" w:rsidRPr="00077410" w:rsidRDefault="00FC1C1E">
      <w:pPr>
        <w:spacing w:after="0"/>
        <w:rPr>
          <w:rFonts w:ascii="Arial" w:eastAsia="Arial" w:hAnsi="Arial" w:cs="Arial"/>
          <w:sz w:val="22"/>
          <w:szCs w:val="22"/>
        </w:rPr>
      </w:pPr>
    </w:p>
    <w:p w14:paraId="528AF575" w14:textId="77777777" w:rsidR="00FC1C1E" w:rsidRPr="00077410" w:rsidRDefault="00C02FE0">
      <w:pPr>
        <w:spacing w:after="0"/>
        <w:rPr>
          <w:rFonts w:ascii="Arial" w:eastAsia="Arial" w:hAnsi="Arial" w:cs="Arial"/>
        </w:rPr>
      </w:pPr>
      <w:r w:rsidRPr="00077410">
        <w:rPr>
          <w:rFonts w:ascii="Arial" w:eastAsia="Arial" w:hAnsi="Arial" w:cs="Arial"/>
          <w:b/>
          <w:sz w:val="22"/>
          <w:szCs w:val="22"/>
        </w:rPr>
        <w:t xml:space="preserve">2.2. Restricciones para la celebración de contratos y convenios interadministrativos en los comicios para cargos de elección popular </w:t>
      </w:r>
    </w:p>
    <w:p w14:paraId="37F75ED9" w14:textId="77777777" w:rsidR="00FC1C1E" w:rsidRPr="00077410" w:rsidRDefault="00FC1C1E">
      <w:pPr>
        <w:tabs>
          <w:tab w:val="left" w:pos="426"/>
        </w:tabs>
        <w:spacing w:after="0"/>
        <w:rPr>
          <w:rFonts w:ascii="Arial" w:eastAsia="Arial" w:hAnsi="Arial" w:cs="Arial"/>
        </w:rPr>
      </w:pPr>
      <w:bookmarkStart w:id="16" w:name="_35nkun2" w:colFirst="0" w:colLast="0"/>
      <w:bookmarkEnd w:id="16"/>
    </w:p>
    <w:p w14:paraId="27FE8067" w14:textId="77777777" w:rsidR="00FC1C1E" w:rsidRPr="00077410" w:rsidRDefault="00C02FE0">
      <w:pPr>
        <w:tabs>
          <w:tab w:val="left" w:pos="426"/>
        </w:tabs>
        <w:spacing w:after="120"/>
        <w:rPr>
          <w:rFonts w:ascii="Arial" w:eastAsia="Arial" w:hAnsi="Arial" w:cs="Arial"/>
          <w:sz w:val="22"/>
          <w:szCs w:val="22"/>
        </w:rPr>
      </w:pPr>
      <w:r w:rsidRPr="00077410">
        <w:rPr>
          <w:rFonts w:ascii="Arial" w:eastAsia="Arial" w:hAnsi="Arial" w:cs="Arial"/>
          <w:sz w:val="22"/>
          <w:szCs w:val="22"/>
        </w:rPr>
        <w:t xml:space="preserve">El parágrafo del artículo 38 de la Ley 996 de 2005 dispone que «[l]os Gobernadores, </w:t>
      </w:r>
      <w:proofErr w:type="gramStart"/>
      <w:r w:rsidRPr="00077410">
        <w:rPr>
          <w:rFonts w:ascii="Arial" w:eastAsia="Arial" w:hAnsi="Arial" w:cs="Arial"/>
          <w:sz w:val="22"/>
          <w:szCs w:val="22"/>
        </w:rPr>
        <w:t>Alcaldes</w:t>
      </w:r>
      <w:proofErr w:type="gramEnd"/>
      <w:r w:rsidRPr="00077410">
        <w:rPr>
          <w:rFonts w:ascii="Arial" w:eastAsia="Arial" w:hAnsi="Arial" w:cs="Arial"/>
          <w:sz w:val="22"/>
          <w:szCs w:val="22"/>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077410">
        <w:rPr>
          <w:rFonts w:ascii="Arial" w:eastAsia="Arial" w:hAnsi="Arial" w:cs="Arial"/>
          <w:sz w:val="22"/>
          <w:szCs w:val="22"/>
          <w:vertAlign w:val="superscript"/>
        </w:rPr>
        <w:footnoteReference w:id="11"/>
      </w:r>
      <w:r w:rsidRPr="00077410">
        <w:rPr>
          <w:rFonts w:ascii="Arial" w:eastAsia="Arial" w:hAnsi="Arial" w:cs="Arial"/>
          <w:sz w:val="22"/>
          <w:szCs w:val="22"/>
        </w:rPr>
        <w:t>.</w:t>
      </w:r>
      <w:r w:rsidRPr="00077410">
        <w:rPr>
          <w:rFonts w:ascii="Arial" w:eastAsia="Arial" w:hAnsi="Arial" w:cs="Arial"/>
        </w:rPr>
        <w:t xml:space="preserve"> </w:t>
      </w:r>
    </w:p>
    <w:p w14:paraId="6990B387" w14:textId="77777777" w:rsidR="00FC1C1E" w:rsidRPr="00077410" w:rsidRDefault="00C02FE0">
      <w:pPr>
        <w:widowControl w:val="0"/>
        <w:pBdr>
          <w:top w:val="nil"/>
          <w:left w:val="nil"/>
          <w:bottom w:val="nil"/>
          <w:right w:val="nil"/>
          <w:between w:val="nil"/>
        </w:pBdr>
        <w:spacing w:after="120"/>
        <w:ind w:firstLine="707"/>
        <w:rPr>
          <w:rFonts w:ascii="Arial" w:eastAsia="Arial" w:hAnsi="Arial" w:cs="Arial"/>
          <w:color w:val="000000"/>
          <w:sz w:val="22"/>
          <w:szCs w:val="22"/>
        </w:rPr>
      </w:pPr>
      <w:bookmarkStart w:id="17" w:name="_1ksv4uv" w:colFirst="0" w:colLast="0"/>
      <w:bookmarkEnd w:id="17"/>
      <w:r w:rsidRPr="00077410">
        <w:rPr>
          <w:rFonts w:ascii="Arial" w:eastAsia="Arial" w:hAnsi="Arial" w:cs="Arial"/>
          <w:color w:val="000000"/>
          <w:sz w:val="22"/>
          <w:szCs w:val="22"/>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077410">
        <w:rPr>
          <w:rFonts w:ascii="Arial" w:eastAsia="Arial" w:hAnsi="Arial" w:cs="Arial"/>
          <w:color w:val="000000"/>
          <w:sz w:val="22"/>
          <w:szCs w:val="22"/>
          <w:vertAlign w:val="superscript"/>
        </w:rPr>
        <w:footnoteReference w:id="12"/>
      </w:r>
      <w:r w:rsidRPr="00077410">
        <w:rPr>
          <w:rFonts w:ascii="Arial" w:eastAsia="Arial" w:hAnsi="Arial" w:cs="Arial"/>
          <w:color w:val="000000"/>
          <w:sz w:val="22"/>
          <w:szCs w:val="22"/>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6F442026" w14:textId="77777777" w:rsidR="00FC1C1E" w:rsidRPr="00077410" w:rsidRDefault="00C02FE0">
      <w:pPr>
        <w:widowControl w:val="0"/>
        <w:pBdr>
          <w:top w:val="nil"/>
          <w:left w:val="nil"/>
          <w:bottom w:val="nil"/>
          <w:right w:val="nil"/>
          <w:between w:val="nil"/>
        </w:pBdr>
        <w:spacing w:before="117" w:after="120"/>
        <w:ind w:firstLine="707"/>
        <w:rPr>
          <w:rFonts w:ascii="Arial" w:eastAsia="Arial" w:hAnsi="Arial" w:cs="Arial"/>
          <w:color w:val="000000"/>
          <w:sz w:val="22"/>
          <w:szCs w:val="22"/>
        </w:rPr>
      </w:pPr>
      <w:bookmarkStart w:id="18" w:name="_44sinio" w:colFirst="0" w:colLast="0"/>
      <w:bookmarkEnd w:id="18"/>
      <w:r w:rsidRPr="00077410">
        <w:rPr>
          <w:rFonts w:ascii="Arial" w:eastAsia="Arial" w:hAnsi="Arial" w:cs="Arial"/>
          <w:color w:val="000000"/>
          <w:sz w:val="22"/>
          <w:szCs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23925767" w14:textId="77777777" w:rsidR="00FC1C1E" w:rsidRPr="00077410" w:rsidRDefault="00C02FE0">
      <w:pPr>
        <w:widowControl w:val="0"/>
        <w:pBdr>
          <w:top w:val="nil"/>
          <w:left w:val="nil"/>
          <w:bottom w:val="nil"/>
          <w:right w:val="nil"/>
          <w:between w:val="nil"/>
        </w:pBdr>
        <w:spacing w:before="121" w:after="120"/>
        <w:ind w:firstLine="707"/>
        <w:rPr>
          <w:rFonts w:ascii="Arial" w:eastAsia="Arial" w:hAnsi="Arial" w:cs="Arial"/>
          <w:color w:val="000000"/>
          <w:sz w:val="22"/>
          <w:szCs w:val="22"/>
        </w:rPr>
      </w:pPr>
      <w:r w:rsidRPr="00077410">
        <w:rPr>
          <w:rFonts w:ascii="Arial" w:eastAsia="Arial" w:hAnsi="Arial" w:cs="Arial"/>
          <w:color w:val="000000"/>
          <w:sz w:val="22"/>
          <w:szCs w:val="22"/>
        </w:rPr>
        <w:t xml:space="preserve">Un contrato o convenio interadministrativo no está determinado por la modalidad de selección utilizada para celebrarlo. La Ley 1150 de 2007 establece que pueden celebrarse </w:t>
      </w:r>
      <w:r w:rsidRPr="00077410">
        <w:rPr>
          <w:rFonts w:ascii="Arial" w:eastAsia="Arial" w:hAnsi="Arial" w:cs="Arial"/>
          <w:color w:val="000000"/>
          <w:sz w:val="22"/>
          <w:szCs w:val="22"/>
        </w:rPr>
        <w:lastRenderedPageBreak/>
        <w:t>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077410">
        <w:rPr>
          <w:rFonts w:ascii="Arial" w:eastAsia="Arial" w:hAnsi="Arial" w:cs="Arial"/>
          <w:color w:val="000000"/>
          <w:sz w:val="22"/>
          <w:szCs w:val="22"/>
          <w:vertAlign w:val="superscript"/>
        </w:rPr>
        <w:footnoteReference w:id="13"/>
      </w:r>
      <w:r w:rsidRPr="00077410">
        <w:rPr>
          <w:rFonts w:ascii="Arial" w:eastAsia="Arial" w:hAnsi="Arial" w:cs="Arial"/>
          <w:color w:val="000000"/>
          <w:sz w:val="22"/>
          <w:szCs w:val="22"/>
        </w:rPr>
        <w:t>. Nótese que, en este caso, lo que cambia es la modalidad de selección y no la naturaleza de contrato interadministrativo.</w:t>
      </w:r>
    </w:p>
    <w:p w14:paraId="402FDF2A" w14:textId="77777777" w:rsidR="00FC1C1E" w:rsidRPr="00077410" w:rsidRDefault="00C02FE0">
      <w:pPr>
        <w:widowControl w:val="0"/>
        <w:pBdr>
          <w:top w:val="nil"/>
          <w:left w:val="nil"/>
          <w:bottom w:val="nil"/>
          <w:right w:val="nil"/>
          <w:between w:val="nil"/>
        </w:pBdr>
        <w:spacing w:before="114" w:after="0"/>
        <w:ind w:firstLine="707"/>
        <w:rPr>
          <w:rFonts w:ascii="Arial" w:eastAsia="Arial" w:hAnsi="Arial" w:cs="Arial"/>
          <w:color w:val="000000"/>
          <w:sz w:val="22"/>
          <w:szCs w:val="22"/>
        </w:rPr>
      </w:pPr>
      <w:r w:rsidRPr="00077410">
        <w:rPr>
          <w:rFonts w:ascii="Arial" w:eastAsia="Arial" w:hAnsi="Arial" w:cs="Arial"/>
          <w:color w:val="000000"/>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07911272" w14:textId="77777777" w:rsidR="00FC1C1E" w:rsidRPr="00077410" w:rsidRDefault="00FC1C1E">
      <w:pPr>
        <w:widowControl w:val="0"/>
        <w:pBdr>
          <w:top w:val="nil"/>
          <w:left w:val="nil"/>
          <w:bottom w:val="nil"/>
          <w:right w:val="nil"/>
          <w:between w:val="nil"/>
        </w:pBdr>
        <w:spacing w:after="0"/>
        <w:ind w:firstLine="707"/>
        <w:rPr>
          <w:rFonts w:ascii="Arial" w:eastAsia="Arial" w:hAnsi="Arial" w:cs="Arial"/>
          <w:color w:val="000000"/>
          <w:sz w:val="22"/>
          <w:szCs w:val="22"/>
        </w:rPr>
      </w:pPr>
    </w:p>
    <w:p w14:paraId="637D5E21" w14:textId="77777777" w:rsidR="00FC1C1E" w:rsidRPr="00077410" w:rsidRDefault="00C02FE0" w:rsidP="00353D32">
      <w:pPr>
        <w:spacing w:after="0" w:line="240" w:lineRule="auto"/>
        <w:ind w:left="709" w:right="709"/>
      </w:pPr>
      <w:r w:rsidRPr="00077410">
        <w:rPr>
          <w:rFonts w:ascii="Arial" w:eastAsia="Arial" w:hAnsi="Arial" w:cs="Arial"/>
          <w:sz w:val="21"/>
          <w:szCs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077410">
        <w:rPr>
          <w:rFonts w:ascii="Arial" w:eastAsia="Arial" w:hAnsi="Arial" w:cs="Arial"/>
          <w:sz w:val="21"/>
          <w:szCs w:val="21"/>
        </w:rPr>
        <w:t>ii</w:t>
      </w:r>
      <w:proofErr w:type="spellEnd"/>
      <w:r w:rsidRPr="00077410">
        <w:rPr>
          <w:rFonts w:ascii="Arial" w:eastAsia="Arial" w:hAnsi="Arial" w:cs="Arial"/>
          <w:sz w:val="21"/>
          <w:szCs w:val="21"/>
        </w:rPr>
        <w:t>) tienen como fuente la autonomía contractual; (</w:t>
      </w:r>
      <w:proofErr w:type="spellStart"/>
      <w:r w:rsidRPr="00077410">
        <w:rPr>
          <w:rFonts w:ascii="Arial" w:eastAsia="Arial" w:hAnsi="Arial" w:cs="Arial"/>
          <w:sz w:val="21"/>
          <w:szCs w:val="21"/>
        </w:rPr>
        <w:t>iii</w:t>
      </w:r>
      <w:proofErr w:type="spellEnd"/>
      <w:r w:rsidRPr="00077410">
        <w:rPr>
          <w:rFonts w:ascii="Arial" w:eastAsia="Arial" w:hAnsi="Arial" w:cs="Arial"/>
          <w:sz w:val="21"/>
          <w:szCs w:val="21"/>
        </w:rPr>
        <w:t>) son contratos nominados puesto que están mencionados en la ley; (</w:t>
      </w:r>
      <w:proofErr w:type="spellStart"/>
      <w:r w:rsidRPr="00077410">
        <w:rPr>
          <w:rFonts w:ascii="Arial" w:eastAsia="Arial" w:hAnsi="Arial" w:cs="Arial"/>
          <w:sz w:val="21"/>
          <w:szCs w:val="21"/>
        </w:rPr>
        <w:t>iv</w:t>
      </w:r>
      <w:proofErr w:type="spellEnd"/>
      <w:r w:rsidRPr="00077410">
        <w:rPr>
          <w:rFonts w:ascii="Arial" w:eastAsia="Arial" w:hAnsi="Arial" w:cs="Arial"/>
          <w:sz w:val="21"/>
          <w:szCs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077410">
        <w:rPr>
          <w:rFonts w:ascii="Arial" w:eastAsia="Arial" w:hAnsi="Arial" w:cs="Arial"/>
          <w:sz w:val="21"/>
          <w:szCs w:val="21"/>
        </w:rPr>
        <w:t>vii</w:t>
      </w:r>
      <w:proofErr w:type="spellEnd"/>
      <w:r w:rsidRPr="00077410">
        <w:rPr>
          <w:rFonts w:ascii="Arial" w:eastAsia="Arial" w:hAnsi="Arial" w:cs="Arial"/>
          <w:sz w:val="21"/>
          <w:szCs w:val="21"/>
        </w:rPr>
        <w:t>) persiguen  una finalidad común a través de la realización de intereses compartidos entre las entidades vinculadas; (</w:t>
      </w:r>
      <w:proofErr w:type="spellStart"/>
      <w:r w:rsidRPr="00077410">
        <w:rPr>
          <w:rFonts w:ascii="Arial" w:eastAsia="Arial" w:hAnsi="Arial" w:cs="Arial"/>
          <w:sz w:val="21"/>
          <w:szCs w:val="21"/>
        </w:rPr>
        <w:t>viii</w:t>
      </w:r>
      <w:proofErr w:type="spellEnd"/>
      <w:r w:rsidRPr="00077410">
        <w:rPr>
          <w:rFonts w:ascii="Arial" w:eastAsia="Arial" w:hAnsi="Arial" w:cs="Arial"/>
          <w:sz w:val="21"/>
          <w:szCs w:val="21"/>
        </w:rPr>
        <w:t>) la acción mediante la cual se deben ventilar las diferencias que sobre el particular surjan es la de controversias contractuales</w:t>
      </w:r>
      <w:r w:rsidRPr="00077410">
        <w:rPr>
          <w:rFonts w:ascii="Arial" w:eastAsia="Arial" w:hAnsi="Arial" w:cs="Arial"/>
          <w:sz w:val="21"/>
          <w:szCs w:val="21"/>
          <w:vertAlign w:val="superscript"/>
        </w:rPr>
        <w:footnoteReference w:id="14"/>
      </w:r>
      <w:r w:rsidRPr="00077410">
        <w:rPr>
          <w:rFonts w:ascii="Arial" w:eastAsia="Arial" w:hAnsi="Arial" w:cs="Arial"/>
          <w:sz w:val="21"/>
          <w:szCs w:val="21"/>
        </w:rPr>
        <w:t>.</w:t>
      </w:r>
    </w:p>
    <w:p w14:paraId="5B90F31A" w14:textId="77777777" w:rsidR="00FC1C1E" w:rsidRPr="00077410" w:rsidRDefault="00FC1C1E">
      <w:pPr>
        <w:spacing w:after="0"/>
        <w:ind w:left="709" w:right="709"/>
        <w:rPr>
          <w:rFonts w:ascii="Arial" w:eastAsia="Arial" w:hAnsi="Arial" w:cs="Arial"/>
          <w:sz w:val="22"/>
          <w:szCs w:val="22"/>
        </w:rPr>
      </w:pPr>
    </w:p>
    <w:p w14:paraId="62CB017D" w14:textId="4F03A853" w:rsidR="00FC1C1E" w:rsidRPr="00077410" w:rsidRDefault="00C02FE0">
      <w:pPr>
        <w:widowControl w:val="0"/>
        <w:pBdr>
          <w:top w:val="nil"/>
          <w:left w:val="nil"/>
          <w:bottom w:val="nil"/>
          <w:right w:val="nil"/>
          <w:between w:val="nil"/>
        </w:pBdr>
        <w:spacing w:after="120"/>
        <w:ind w:firstLine="707"/>
        <w:rPr>
          <w:rFonts w:ascii="Arial" w:eastAsia="Arial" w:hAnsi="Arial" w:cs="Arial"/>
          <w:color w:val="000000"/>
          <w:sz w:val="22"/>
          <w:szCs w:val="22"/>
        </w:rPr>
      </w:pPr>
      <w:r w:rsidRPr="00077410">
        <w:rPr>
          <w:rFonts w:ascii="Arial" w:eastAsia="Arial" w:hAnsi="Arial" w:cs="Arial"/>
          <w:color w:val="000000"/>
          <w:sz w:val="22"/>
          <w:szCs w:val="22"/>
        </w:rPr>
        <w:lastRenderedPageBreak/>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para la celebración de los contratos interadministrativos.</w:t>
      </w:r>
    </w:p>
    <w:p w14:paraId="2104F878" w14:textId="5A5D5FB4" w:rsidR="00FC1C1E" w:rsidRPr="00077410" w:rsidRDefault="00C02FE0">
      <w:pPr>
        <w:widowControl w:val="0"/>
        <w:pBdr>
          <w:top w:val="nil"/>
          <w:left w:val="nil"/>
          <w:bottom w:val="nil"/>
          <w:right w:val="nil"/>
          <w:between w:val="nil"/>
        </w:pBdr>
        <w:spacing w:before="119" w:after="120"/>
        <w:ind w:firstLine="707"/>
        <w:rPr>
          <w:rFonts w:ascii="Arial" w:eastAsia="Arial" w:hAnsi="Arial" w:cs="Arial"/>
          <w:color w:val="000000"/>
          <w:sz w:val="22"/>
          <w:szCs w:val="22"/>
        </w:rPr>
      </w:pPr>
      <w:r w:rsidRPr="00077410">
        <w:rPr>
          <w:rFonts w:ascii="Arial" w:eastAsia="Arial" w:hAnsi="Arial" w:cs="Arial"/>
          <w:color w:val="000000"/>
          <w:sz w:val="22"/>
          <w:szCs w:val="22"/>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las partes que lo suscriben, es decir, debe tratarse de entidades estatales.</w:t>
      </w:r>
    </w:p>
    <w:p w14:paraId="56BCE830" w14:textId="77777777" w:rsidR="00FC1C1E" w:rsidRPr="00077410" w:rsidRDefault="00C02FE0">
      <w:pPr>
        <w:widowControl w:val="0"/>
        <w:pBdr>
          <w:top w:val="nil"/>
          <w:left w:val="nil"/>
          <w:bottom w:val="nil"/>
          <w:right w:val="nil"/>
          <w:between w:val="nil"/>
        </w:pBdr>
        <w:spacing w:before="120"/>
        <w:ind w:firstLine="709"/>
        <w:rPr>
          <w:rFonts w:ascii="Arial" w:eastAsia="Arial" w:hAnsi="Arial" w:cs="Arial"/>
          <w:color w:val="000000"/>
          <w:sz w:val="22"/>
          <w:szCs w:val="22"/>
        </w:rPr>
      </w:pPr>
      <w:r w:rsidRPr="00077410">
        <w:rPr>
          <w:rFonts w:ascii="Arial" w:eastAsia="Arial" w:hAnsi="Arial" w:cs="Arial"/>
          <w:color w:val="000000"/>
          <w:sz w:val="22"/>
          <w:szCs w:val="22"/>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2824560D" w14:textId="4B2D5747" w:rsidR="00FC1C1E" w:rsidRPr="00077410" w:rsidRDefault="00C02FE0">
      <w:pPr>
        <w:widowControl w:val="0"/>
        <w:pBdr>
          <w:top w:val="nil"/>
          <w:left w:val="nil"/>
          <w:bottom w:val="nil"/>
          <w:right w:val="nil"/>
          <w:between w:val="nil"/>
        </w:pBdr>
        <w:spacing w:before="122" w:after="120"/>
        <w:ind w:firstLine="708"/>
        <w:rPr>
          <w:rFonts w:ascii="Arial" w:eastAsia="Arial" w:hAnsi="Arial" w:cs="Arial"/>
          <w:color w:val="000000"/>
          <w:sz w:val="22"/>
          <w:szCs w:val="22"/>
        </w:rPr>
      </w:pPr>
      <w:r w:rsidRPr="00077410">
        <w:rPr>
          <w:rFonts w:ascii="Arial" w:eastAsia="Arial" w:hAnsi="Arial" w:cs="Arial"/>
          <w:color w:val="000000"/>
          <w:sz w:val="22"/>
          <w:szCs w:val="22"/>
        </w:rPr>
        <w:t>Es bueno destacar que el Decreto 1082 de 2015 dispone que los convenios o contratos interadministrativos, así denominados en el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505F7AF" w14:textId="77777777" w:rsidR="00FC1C1E" w:rsidRPr="00077410" w:rsidRDefault="00C02FE0">
      <w:pPr>
        <w:widowControl w:val="0"/>
        <w:pBdr>
          <w:top w:val="nil"/>
          <w:left w:val="nil"/>
          <w:bottom w:val="nil"/>
          <w:right w:val="nil"/>
          <w:between w:val="nil"/>
        </w:pBdr>
        <w:spacing w:after="0"/>
        <w:ind w:firstLine="708"/>
        <w:rPr>
          <w:rFonts w:ascii="Arial" w:eastAsia="Arial" w:hAnsi="Arial" w:cs="Arial"/>
          <w:color w:val="000000"/>
          <w:sz w:val="22"/>
          <w:szCs w:val="22"/>
        </w:rPr>
      </w:pPr>
      <w:bookmarkStart w:id="19" w:name="_2jxsxqh" w:colFirst="0" w:colLast="0"/>
      <w:bookmarkEnd w:id="19"/>
      <w:r w:rsidRPr="00077410">
        <w:rPr>
          <w:rFonts w:ascii="Arial" w:eastAsia="Arial" w:hAnsi="Arial" w:cs="Arial"/>
          <w:color w:val="000000"/>
          <w:sz w:val="22"/>
          <w:szCs w:val="22"/>
        </w:rPr>
        <w:t xml:space="preserve">Por tanto, aunque el artículo 95 de la Ley 489 de 1998 dispone que «Las entidades </w:t>
      </w:r>
      <w:r w:rsidRPr="00077410">
        <w:rPr>
          <w:rFonts w:ascii="Arial" w:eastAsia="Arial" w:hAnsi="Arial" w:cs="Arial"/>
          <w:color w:val="000000"/>
          <w:sz w:val="22"/>
          <w:szCs w:val="22"/>
        </w:rPr>
        <w:lastRenderedPageBreak/>
        <w:t>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077410">
        <w:rPr>
          <w:rFonts w:ascii="Arial" w:eastAsia="Arial" w:hAnsi="Arial" w:cs="Arial"/>
          <w:color w:val="000000"/>
          <w:sz w:val="22"/>
          <w:szCs w:val="22"/>
          <w:vertAlign w:val="superscript"/>
        </w:rPr>
        <w:footnoteReference w:id="15"/>
      </w:r>
      <w:r w:rsidRPr="00077410">
        <w:rPr>
          <w:rFonts w:ascii="Arial" w:eastAsia="Arial" w:hAnsi="Arial" w:cs="Arial"/>
          <w:color w:val="000000"/>
          <w:sz w:val="22"/>
          <w:szCs w:val="22"/>
        </w:rPr>
        <w:t>.</w:t>
      </w:r>
    </w:p>
    <w:p w14:paraId="20FBA894" w14:textId="77777777" w:rsidR="00FC1C1E" w:rsidRPr="00077410" w:rsidRDefault="00C02FE0">
      <w:pPr>
        <w:widowControl w:val="0"/>
        <w:pBdr>
          <w:top w:val="nil"/>
          <w:left w:val="nil"/>
          <w:bottom w:val="nil"/>
          <w:right w:val="nil"/>
          <w:between w:val="nil"/>
        </w:pBdr>
        <w:spacing w:before="122" w:after="0"/>
        <w:ind w:firstLine="709"/>
        <w:rPr>
          <w:rFonts w:ascii="Arial" w:eastAsia="Arial" w:hAnsi="Arial" w:cs="Arial"/>
          <w:color w:val="000000"/>
          <w:sz w:val="22"/>
          <w:szCs w:val="22"/>
        </w:rPr>
      </w:pPr>
      <w:r w:rsidRPr="00077410">
        <w:rPr>
          <w:rFonts w:ascii="Arial" w:eastAsia="Arial" w:hAnsi="Arial" w:cs="Arial"/>
          <w:color w:val="000000"/>
          <w:sz w:val="22"/>
          <w:szCs w:val="22"/>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14:paraId="717EEB7D" w14:textId="77777777" w:rsidR="00FC1C1E" w:rsidRPr="00077410" w:rsidRDefault="00FC1C1E">
      <w:pPr>
        <w:widowControl w:val="0"/>
        <w:pBdr>
          <w:top w:val="nil"/>
          <w:left w:val="nil"/>
          <w:bottom w:val="nil"/>
          <w:right w:val="nil"/>
          <w:between w:val="nil"/>
        </w:pBdr>
        <w:spacing w:after="0"/>
        <w:ind w:firstLine="709"/>
        <w:rPr>
          <w:rFonts w:ascii="Arial" w:eastAsia="Arial" w:hAnsi="Arial" w:cs="Arial"/>
          <w:color w:val="000000"/>
          <w:sz w:val="22"/>
          <w:szCs w:val="22"/>
        </w:rPr>
      </w:pPr>
    </w:p>
    <w:p w14:paraId="2D1CFD51" w14:textId="77777777" w:rsidR="00FC1C1E" w:rsidRPr="00077410" w:rsidRDefault="00C02FE0" w:rsidP="00353D32">
      <w:pPr>
        <w:spacing w:after="120" w:line="240" w:lineRule="auto"/>
        <w:ind w:left="709" w:right="709"/>
      </w:pPr>
      <w:r w:rsidRPr="00077410">
        <w:rPr>
          <w:rFonts w:ascii="Arial" w:eastAsia="Arial" w:hAnsi="Arial" w:cs="Arial"/>
          <w:sz w:val="21"/>
          <w:szCs w:val="21"/>
        </w:rPr>
        <w:t>La Sala de Consulta y Servicio Civil</w:t>
      </w:r>
      <w:r w:rsidRPr="00077410">
        <w:rPr>
          <w:rFonts w:ascii="Arial" w:eastAsia="Arial" w:hAnsi="Arial" w:cs="Arial"/>
          <w:sz w:val="21"/>
          <w:szCs w:val="21"/>
          <w:vertAlign w:val="superscript"/>
        </w:rPr>
        <w:footnoteReference w:id="16"/>
      </w:r>
      <w:r w:rsidRPr="00077410">
        <w:rPr>
          <w:rFonts w:ascii="Arial" w:eastAsia="Arial" w:hAnsi="Arial" w:cs="Arial"/>
          <w:sz w:val="21"/>
          <w:szCs w:val="21"/>
        </w:rPr>
        <w:t xml:space="preserve"> de esta Corporación se ha referido a los </w:t>
      </w:r>
      <w:r w:rsidRPr="00077410">
        <w:rPr>
          <w:rFonts w:ascii="Arial" w:eastAsia="Arial" w:hAnsi="Arial" w:cs="Arial"/>
          <w:i/>
          <w:sz w:val="21"/>
          <w:szCs w:val="21"/>
        </w:rPr>
        <w:t>“convenios interadministrativos”</w:t>
      </w:r>
      <w:r w:rsidRPr="00077410">
        <w:rPr>
          <w:rFonts w:ascii="Arial" w:eastAsia="Arial" w:hAnsi="Arial" w:cs="Arial"/>
          <w:sz w:val="21"/>
          <w:szCs w:val="21"/>
        </w:rPr>
        <w:t xml:space="preserve"> a los cuales alude el artículo 95 de la Ley 489 de 1998, calificándolos de </w:t>
      </w:r>
      <w:r w:rsidRPr="00077410">
        <w:rPr>
          <w:rFonts w:ascii="Arial" w:eastAsia="Arial" w:hAnsi="Arial" w:cs="Arial"/>
          <w:i/>
          <w:sz w:val="21"/>
          <w:szCs w:val="21"/>
        </w:rPr>
        <w:t xml:space="preserve">“puros” </w:t>
      </w:r>
      <w:r w:rsidRPr="00077410">
        <w:rPr>
          <w:rFonts w:ascii="Arial" w:eastAsia="Arial" w:hAnsi="Arial" w:cs="Arial"/>
          <w:sz w:val="21"/>
          <w:szCs w:val="21"/>
        </w:rPr>
        <w:t xml:space="preserve">y entendiendo que estos, además de perseguir la finalidad de cooperación antes indicada, no implican intereses contrapuestos ni tampoco se circunscriben a un </w:t>
      </w:r>
      <w:r w:rsidRPr="00077410">
        <w:rPr>
          <w:rFonts w:ascii="Arial" w:eastAsia="Arial" w:hAnsi="Arial" w:cs="Arial"/>
          <w:i/>
          <w:sz w:val="21"/>
          <w:szCs w:val="21"/>
        </w:rPr>
        <w:t>“intercambio patrimonial”</w:t>
      </w:r>
      <w:r w:rsidRPr="00077410">
        <w:rPr>
          <w:rFonts w:ascii="Arial" w:eastAsia="Arial" w:hAnsi="Arial" w:cs="Arial"/>
          <w:sz w:val="21"/>
          <w:szCs w:val="21"/>
        </w:rPr>
        <w:t>. Sin perjuicio de lo anterior, en otra oportunidad, la misma Sala</w:t>
      </w:r>
      <w:r w:rsidRPr="00077410">
        <w:rPr>
          <w:rFonts w:ascii="Arial" w:eastAsia="Arial" w:hAnsi="Arial" w:cs="Arial"/>
          <w:sz w:val="21"/>
          <w:szCs w:val="21"/>
          <w:vertAlign w:val="superscript"/>
        </w:rPr>
        <w:footnoteReference w:id="17"/>
      </w:r>
      <w:r w:rsidRPr="00077410">
        <w:rPr>
          <w:rFonts w:ascii="Arial" w:eastAsia="Arial" w:hAnsi="Arial" w:cs="Arial"/>
          <w:sz w:val="21"/>
          <w:szCs w:val="21"/>
        </w:rPr>
        <w:t xml:space="preserve"> había indicado que, si bien en dichos convenios no se daba un </w:t>
      </w:r>
      <w:r w:rsidRPr="00077410">
        <w:rPr>
          <w:rFonts w:ascii="Arial" w:eastAsia="Arial" w:hAnsi="Arial" w:cs="Arial"/>
          <w:i/>
          <w:sz w:val="21"/>
          <w:szCs w:val="21"/>
        </w:rPr>
        <w:t>“verdadero intercambio de bienes o servicios (contrato conmutativo)”</w:t>
      </w:r>
      <w:r w:rsidRPr="00077410">
        <w:rPr>
          <w:rFonts w:ascii="Arial" w:eastAsia="Arial" w:hAnsi="Arial" w:cs="Arial"/>
          <w:sz w:val="21"/>
          <w:szCs w:val="21"/>
        </w:rPr>
        <w:t>, ello no impedía que se conviniera una remuneración a cargo de alguna(s) entidad(es).</w:t>
      </w:r>
    </w:p>
    <w:p w14:paraId="4C2EDD46" w14:textId="77777777" w:rsidR="00FC1C1E" w:rsidRPr="00077410" w:rsidRDefault="00C02FE0" w:rsidP="00353D32">
      <w:pPr>
        <w:widowControl w:val="0"/>
        <w:pBdr>
          <w:top w:val="nil"/>
          <w:left w:val="nil"/>
          <w:bottom w:val="nil"/>
          <w:right w:val="nil"/>
          <w:between w:val="nil"/>
        </w:pBdr>
        <w:spacing w:after="0" w:line="240" w:lineRule="auto"/>
        <w:ind w:left="709" w:right="709"/>
      </w:pPr>
      <w:r w:rsidRPr="00077410">
        <w:rPr>
          <w:rFonts w:ascii="Arial" w:eastAsia="Arial" w:hAnsi="Arial" w:cs="Arial"/>
          <w:color w:val="000000"/>
          <w:sz w:val="21"/>
          <w:szCs w:val="21"/>
        </w:rPr>
        <w:t xml:space="preserve">Lo expuesto evidencia que, en general, las interpretaciones en torno a los </w:t>
      </w:r>
      <w:r w:rsidRPr="00077410">
        <w:rPr>
          <w:rFonts w:ascii="Arial" w:eastAsia="Arial" w:hAnsi="Arial" w:cs="Arial"/>
          <w:i/>
          <w:color w:val="000000"/>
          <w:sz w:val="21"/>
          <w:szCs w:val="21"/>
        </w:rPr>
        <w:t>“convenios interadministrativos”</w:t>
      </w:r>
      <w:r w:rsidRPr="00077410">
        <w:rPr>
          <w:rFonts w:ascii="Arial" w:eastAsia="Arial" w:hAnsi="Arial" w:cs="Arial"/>
          <w:color w:val="000000"/>
          <w:sz w:val="21"/>
          <w:szCs w:val="21"/>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w:t>
      </w:r>
      <w:r w:rsidRPr="00077410">
        <w:rPr>
          <w:rFonts w:ascii="Arial" w:eastAsia="Arial" w:hAnsi="Arial" w:cs="Arial"/>
          <w:color w:val="000000"/>
          <w:sz w:val="21"/>
          <w:szCs w:val="21"/>
        </w:rPr>
        <w:lastRenderedPageBreak/>
        <w:t>prestaciones patrimoniales</w:t>
      </w:r>
      <w:r w:rsidRPr="00077410">
        <w:rPr>
          <w:rFonts w:ascii="Arial" w:eastAsia="Arial" w:hAnsi="Arial" w:cs="Arial"/>
          <w:color w:val="000000"/>
          <w:sz w:val="21"/>
          <w:szCs w:val="21"/>
          <w:vertAlign w:val="superscript"/>
        </w:rPr>
        <w:footnoteReference w:id="18"/>
      </w:r>
      <w:r w:rsidRPr="00077410">
        <w:rPr>
          <w:rFonts w:ascii="Arial" w:eastAsia="Arial" w:hAnsi="Arial" w:cs="Arial"/>
          <w:color w:val="000000"/>
          <w:sz w:val="21"/>
          <w:szCs w:val="21"/>
          <w:vertAlign w:val="superscript"/>
        </w:rPr>
        <w:footnoteReference w:id="19"/>
      </w:r>
      <w:r w:rsidRPr="00077410">
        <w:rPr>
          <w:rFonts w:ascii="Arial" w:eastAsia="Arial" w:hAnsi="Arial" w:cs="Arial"/>
          <w:color w:val="000000"/>
          <w:sz w:val="21"/>
          <w:szCs w:val="21"/>
        </w:rPr>
        <w:t>.</w:t>
      </w:r>
    </w:p>
    <w:p w14:paraId="3CEB9FE5" w14:textId="77777777" w:rsidR="00FC1C1E" w:rsidRPr="00077410" w:rsidRDefault="00FC1C1E">
      <w:pPr>
        <w:widowControl w:val="0"/>
        <w:pBdr>
          <w:top w:val="nil"/>
          <w:left w:val="nil"/>
          <w:bottom w:val="nil"/>
          <w:right w:val="nil"/>
          <w:between w:val="nil"/>
        </w:pBdr>
        <w:spacing w:after="0"/>
        <w:rPr>
          <w:rFonts w:ascii="Arial" w:eastAsia="Arial" w:hAnsi="Arial" w:cs="Arial"/>
          <w:color w:val="000000"/>
          <w:sz w:val="22"/>
          <w:szCs w:val="22"/>
        </w:rPr>
      </w:pPr>
    </w:p>
    <w:p w14:paraId="3661E963" w14:textId="3E3B6597" w:rsidR="00FC1C1E" w:rsidRPr="00077410" w:rsidRDefault="00C02FE0">
      <w:pPr>
        <w:widowControl w:val="0"/>
        <w:pBdr>
          <w:top w:val="nil"/>
          <w:left w:val="nil"/>
          <w:bottom w:val="nil"/>
          <w:right w:val="nil"/>
          <w:between w:val="nil"/>
        </w:pBdr>
        <w:spacing w:after="120"/>
        <w:rPr>
          <w:rFonts w:ascii="Arial" w:eastAsia="Arial" w:hAnsi="Arial" w:cs="Arial"/>
          <w:color w:val="000000"/>
          <w:sz w:val="22"/>
          <w:szCs w:val="22"/>
        </w:rPr>
      </w:pPr>
      <w:r w:rsidRPr="00077410">
        <w:rPr>
          <w:rFonts w:ascii="Arial" w:eastAsia="Arial" w:hAnsi="Arial" w:cs="Arial"/>
          <w:color w:val="000000"/>
          <w:sz w:val="22"/>
          <w:szCs w:val="22"/>
        </w:rPr>
        <w:tab/>
        <w:t>Sin perjuicio de lo indicado, conviene reiterar que el ordenamiento jurídico en distintas ocasiones utiliza de forma indistinta los conceptos de contrato o convenio para referirse a la misma institución jurídica</w:t>
      </w:r>
      <w:r w:rsidRPr="00077410">
        <w:rPr>
          <w:rFonts w:ascii="Arial" w:eastAsia="Arial" w:hAnsi="Arial" w:cs="Arial"/>
          <w:color w:val="000000"/>
          <w:sz w:val="22"/>
          <w:szCs w:val="22"/>
          <w:vertAlign w:val="superscript"/>
        </w:rPr>
        <w:footnoteReference w:id="20"/>
      </w:r>
      <w:r w:rsidRPr="00077410">
        <w:rPr>
          <w:rFonts w:ascii="Arial" w:eastAsia="Arial" w:hAnsi="Arial" w:cs="Arial"/>
          <w:color w:val="000000"/>
          <w:sz w:val="22"/>
          <w:szCs w:val="22"/>
        </w:rPr>
        <w:t>. Incluso vale la pena tener en cuenta como la Corte Constitucional fundamenta la posibilidad de celebrar convenios interadministrativos de forma directa, con fundamento en la causal establecida en la Ley 1150 de 2007 respecto a los contratos interadministrativos</w:t>
      </w:r>
      <w:r w:rsidRPr="00077410">
        <w:rPr>
          <w:rFonts w:ascii="Arial" w:eastAsia="Arial" w:hAnsi="Arial" w:cs="Arial"/>
          <w:color w:val="000000"/>
          <w:sz w:val="22"/>
          <w:szCs w:val="22"/>
          <w:vertAlign w:val="superscript"/>
        </w:rPr>
        <w:footnoteReference w:id="21"/>
      </w:r>
      <w:r w:rsidRPr="00077410">
        <w:rPr>
          <w:rFonts w:ascii="Arial" w:eastAsia="Arial" w:hAnsi="Arial" w:cs="Arial"/>
          <w:color w:val="000000"/>
          <w:sz w:val="22"/>
          <w:szCs w:val="22"/>
        </w:rPr>
        <w:t>.</w:t>
      </w:r>
    </w:p>
    <w:p w14:paraId="65434298" w14:textId="77777777" w:rsidR="00FC1C1E" w:rsidRPr="00077410" w:rsidRDefault="00C02FE0">
      <w:pPr>
        <w:widowControl w:val="0"/>
        <w:pBdr>
          <w:top w:val="nil"/>
          <w:left w:val="nil"/>
          <w:bottom w:val="nil"/>
          <w:right w:val="nil"/>
          <w:between w:val="nil"/>
        </w:pBdr>
        <w:spacing w:after="0"/>
        <w:rPr>
          <w:rFonts w:ascii="Arial" w:eastAsia="Arial" w:hAnsi="Arial" w:cs="Arial"/>
          <w:color w:val="000000"/>
          <w:sz w:val="22"/>
          <w:szCs w:val="22"/>
        </w:rPr>
      </w:pPr>
      <w:r w:rsidRPr="00077410">
        <w:rPr>
          <w:rFonts w:ascii="Arial" w:eastAsia="Arial" w:hAnsi="Arial" w:cs="Arial"/>
          <w:color w:val="000000"/>
          <w:sz w:val="22"/>
          <w:szCs w:val="22"/>
        </w:rPr>
        <w:tab/>
        <w:t>En desarrollo de lo anterior, se destaca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605EB3EF" w14:textId="77777777" w:rsidR="00FC1C1E" w:rsidRPr="00077410" w:rsidRDefault="00FC1C1E">
      <w:pPr>
        <w:widowControl w:val="0"/>
        <w:pBdr>
          <w:top w:val="nil"/>
          <w:left w:val="nil"/>
          <w:bottom w:val="nil"/>
          <w:right w:val="nil"/>
          <w:between w:val="nil"/>
        </w:pBdr>
        <w:spacing w:after="0"/>
        <w:rPr>
          <w:rFonts w:ascii="Arial" w:eastAsia="Arial" w:hAnsi="Arial" w:cs="Arial"/>
          <w:color w:val="000000"/>
          <w:sz w:val="22"/>
          <w:szCs w:val="22"/>
        </w:rPr>
      </w:pPr>
    </w:p>
    <w:p w14:paraId="2C29B530" w14:textId="77777777" w:rsidR="00FC1C1E" w:rsidRPr="00077410" w:rsidRDefault="00C02FE0" w:rsidP="00353D32">
      <w:pPr>
        <w:spacing w:after="120" w:line="240" w:lineRule="auto"/>
        <w:ind w:left="709" w:right="709"/>
      </w:pPr>
      <w:r w:rsidRPr="00077410">
        <w:rPr>
          <w:rFonts w:ascii="Arial" w:eastAsia="Arial" w:hAnsi="Arial" w:cs="Arial"/>
          <w:sz w:val="21"/>
          <w:szCs w:val="21"/>
        </w:rPr>
        <w:lastRenderedPageBreak/>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5718B25A" w14:textId="77777777" w:rsidR="00FC1C1E" w:rsidRPr="00077410" w:rsidRDefault="00C02FE0" w:rsidP="00353D32">
      <w:pPr>
        <w:spacing w:after="120" w:line="240" w:lineRule="auto"/>
        <w:ind w:left="709" w:right="709"/>
      </w:pPr>
      <w:r w:rsidRPr="00077410">
        <w:rPr>
          <w:rFonts w:ascii="Arial" w:eastAsia="Arial" w:hAnsi="Arial" w:cs="Arial"/>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697EFE36" w14:textId="77777777" w:rsidR="00FC1C1E" w:rsidRPr="00077410" w:rsidRDefault="00C02FE0" w:rsidP="00353D32">
      <w:pPr>
        <w:spacing w:after="0" w:line="240" w:lineRule="auto"/>
        <w:ind w:left="709" w:right="709"/>
      </w:pPr>
      <w:r w:rsidRPr="00077410">
        <w:rPr>
          <w:rFonts w:ascii="Arial" w:eastAsia="Arial" w:hAnsi="Arial" w:cs="Arial"/>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47EB3D73" w14:textId="77777777" w:rsidR="00FC1C1E" w:rsidRPr="00077410" w:rsidRDefault="00FC1C1E">
      <w:pPr>
        <w:widowControl w:val="0"/>
        <w:pBdr>
          <w:top w:val="nil"/>
          <w:left w:val="nil"/>
          <w:bottom w:val="nil"/>
          <w:right w:val="nil"/>
          <w:between w:val="nil"/>
        </w:pBdr>
        <w:spacing w:before="3" w:after="0"/>
        <w:rPr>
          <w:rFonts w:ascii="Arial" w:eastAsia="Arial" w:hAnsi="Arial" w:cs="Arial"/>
          <w:color w:val="000000"/>
          <w:sz w:val="22"/>
          <w:szCs w:val="22"/>
        </w:rPr>
      </w:pPr>
    </w:p>
    <w:p w14:paraId="26A14AD5" w14:textId="77777777" w:rsidR="00FC1C1E" w:rsidRPr="00077410" w:rsidRDefault="00C02FE0">
      <w:pPr>
        <w:widowControl w:val="0"/>
        <w:pBdr>
          <w:top w:val="nil"/>
          <w:left w:val="nil"/>
          <w:bottom w:val="nil"/>
          <w:right w:val="nil"/>
          <w:between w:val="nil"/>
        </w:pBdr>
        <w:spacing w:after="120"/>
        <w:rPr>
          <w:rFonts w:ascii="Arial" w:eastAsia="Arial" w:hAnsi="Arial" w:cs="Arial"/>
          <w:color w:val="000000"/>
          <w:sz w:val="22"/>
          <w:szCs w:val="22"/>
        </w:rPr>
      </w:pPr>
      <w:r w:rsidRPr="00077410">
        <w:rPr>
          <w:rFonts w:ascii="Arial" w:eastAsia="Arial" w:hAnsi="Arial" w:cs="Arial"/>
          <w:color w:val="000000"/>
          <w:sz w:val="25"/>
          <w:szCs w:val="25"/>
        </w:rPr>
        <w:tab/>
      </w:r>
      <w:r w:rsidRPr="00077410">
        <w:rPr>
          <w:rFonts w:ascii="Arial" w:eastAsia="Arial" w:hAnsi="Arial" w:cs="Arial"/>
          <w:color w:val="000000"/>
          <w:sz w:val="22"/>
          <w:szCs w:val="22"/>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14C08FFE" w14:textId="77777777" w:rsidR="00FC1C1E" w:rsidRPr="00077410" w:rsidRDefault="00C02FE0">
      <w:pPr>
        <w:tabs>
          <w:tab w:val="left" w:pos="426"/>
        </w:tabs>
        <w:spacing w:after="120"/>
        <w:ind w:firstLine="709"/>
        <w:rPr>
          <w:rFonts w:ascii="Arial" w:eastAsia="Arial" w:hAnsi="Arial" w:cs="Arial"/>
          <w:sz w:val="22"/>
          <w:szCs w:val="22"/>
        </w:rPr>
      </w:pPr>
      <w:r w:rsidRPr="00077410">
        <w:rPr>
          <w:rFonts w:ascii="Arial" w:eastAsia="Arial" w:hAnsi="Arial" w:cs="Arial"/>
          <w:sz w:val="22"/>
          <w:szCs w:val="22"/>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077410">
        <w:rPr>
          <w:rFonts w:ascii="Arial" w:eastAsia="Arial" w:hAnsi="Arial" w:cs="Arial"/>
          <w:i/>
          <w:sz w:val="22"/>
          <w:szCs w:val="22"/>
        </w:rPr>
        <w:t>ibidem</w:t>
      </w:r>
      <w:r w:rsidRPr="00077410">
        <w:rPr>
          <w:rFonts w:ascii="Arial" w:eastAsia="Arial" w:hAnsi="Arial" w:cs="Arial"/>
          <w:sz w:val="22"/>
          <w:szCs w:val="22"/>
        </w:rPr>
        <w:t xml:space="preserve">, no podrá celebrar tales convenios o contratos durante la aplicación de la ley de garantías, toda vez que la citada disposición hace referencia a dicha tipología contractual sin que el legislador hubiere </w:t>
      </w:r>
      <w:r w:rsidRPr="00077410">
        <w:rPr>
          <w:rFonts w:ascii="Arial" w:eastAsia="Arial" w:hAnsi="Arial" w:cs="Arial"/>
          <w:sz w:val="22"/>
          <w:szCs w:val="22"/>
        </w:rPr>
        <w:lastRenderedPageBreak/>
        <w:t>contemplado excepción alguna frente a la modalidad de selección o naturaleza de su objeto</w:t>
      </w:r>
      <w:r w:rsidRPr="00077410">
        <w:rPr>
          <w:rFonts w:ascii="Arial" w:eastAsia="Arial" w:hAnsi="Arial" w:cs="Arial"/>
          <w:sz w:val="22"/>
          <w:szCs w:val="22"/>
          <w:vertAlign w:val="superscript"/>
        </w:rPr>
        <w:footnoteReference w:id="22"/>
      </w:r>
      <w:r w:rsidRPr="00077410">
        <w:rPr>
          <w:rFonts w:ascii="Arial" w:eastAsia="Arial" w:hAnsi="Arial" w:cs="Arial"/>
          <w:sz w:val="22"/>
          <w:szCs w:val="22"/>
        </w:rPr>
        <w:t xml:space="preserve">. </w:t>
      </w:r>
    </w:p>
    <w:p w14:paraId="3A60C91B" w14:textId="07B53909" w:rsidR="00FC1C1E" w:rsidRPr="00077410" w:rsidRDefault="00C02FE0">
      <w:pPr>
        <w:tabs>
          <w:tab w:val="left" w:pos="426"/>
        </w:tabs>
        <w:spacing w:after="120"/>
        <w:ind w:firstLine="709"/>
        <w:rPr>
          <w:rFonts w:ascii="Arial" w:eastAsia="Arial" w:hAnsi="Arial" w:cs="Arial"/>
          <w:sz w:val="22"/>
          <w:szCs w:val="22"/>
        </w:rPr>
      </w:pPr>
      <w:r w:rsidRPr="00077410">
        <w:rPr>
          <w:rFonts w:ascii="Arial" w:eastAsia="Arial" w:hAnsi="Arial" w:cs="Arial"/>
          <w:sz w:val="22"/>
          <w:szCs w:val="22"/>
        </w:rPr>
        <w:t xml:space="preserve">Así las cosas, y para efectos de la consulta que ahora conoce la Agencia, sin perjuicio de las precisiones que se realizarán más adelante, tanto las corporaciones autónomas regionales como las empresas prestadoras de servicios públicos del orden nacional, no podrán celebrar convenios o contratos interadministrativos cuando la otra parte sea una de las entidades del orden territorial mencionadas en el parágrafo del artículo 38 de la Ley de Garantías Electorales. Lo anterior, como se verá, sin perjuicio de la modificación transitoria realizada por la Ley 2159 de 2021 que se explicará más adelante. </w:t>
      </w:r>
    </w:p>
    <w:p w14:paraId="2E0FF5BD" w14:textId="77777777" w:rsidR="00FC1C1E" w:rsidRPr="00077410" w:rsidRDefault="00C02FE0">
      <w:pPr>
        <w:widowControl w:val="0"/>
        <w:pBdr>
          <w:top w:val="nil"/>
          <w:left w:val="nil"/>
          <w:bottom w:val="nil"/>
          <w:right w:val="nil"/>
          <w:between w:val="nil"/>
        </w:pBdr>
        <w:spacing w:after="0"/>
        <w:ind w:firstLine="709"/>
        <w:rPr>
          <w:rFonts w:ascii="Arial" w:eastAsia="Arial" w:hAnsi="Arial" w:cs="Arial"/>
          <w:color w:val="000000"/>
          <w:sz w:val="22"/>
          <w:szCs w:val="22"/>
        </w:rPr>
      </w:pPr>
      <w:bookmarkStart w:id="20" w:name="_z337ya" w:colFirst="0" w:colLast="0"/>
      <w:bookmarkEnd w:id="20"/>
      <w:r w:rsidRPr="00077410">
        <w:rPr>
          <w:rFonts w:ascii="Arial" w:eastAsia="Arial" w:hAnsi="Arial" w:cs="Arial"/>
          <w:color w:val="000000"/>
          <w:sz w:val="22"/>
          <w:szCs w:val="22"/>
        </w:rPr>
        <w:t>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Pr="00077410">
        <w:rPr>
          <w:rFonts w:ascii="Arial" w:eastAsia="Arial" w:hAnsi="Arial" w:cs="Arial"/>
          <w:color w:val="000000"/>
          <w:sz w:val="22"/>
          <w:szCs w:val="22"/>
          <w:vertAlign w:val="superscript"/>
        </w:rPr>
        <w:footnoteReference w:id="23"/>
      </w:r>
      <w:r w:rsidRPr="00077410">
        <w:rPr>
          <w:rFonts w:ascii="Arial" w:eastAsia="Arial" w:hAnsi="Arial" w:cs="Arial"/>
          <w:color w:val="000000"/>
          <w:sz w:val="22"/>
          <w:szCs w:val="22"/>
        </w:rPr>
        <w:t>.</w:t>
      </w:r>
    </w:p>
    <w:p w14:paraId="355320D6" w14:textId="77777777" w:rsidR="00FC1C1E" w:rsidRPr="00077410" w:rsidRDefault="00FC1C1E">
      <w:pPr>
        <w:widowControl w:val="0"/>
        <w:pBdr>
          <w:top w:val="nil"/>
          <w:left w:val="nil"/>
          <w:bottom w:val="nil"/>
          <w:right w:val="nil"/>
          <w:between w:val="nil"/>
        </w:pBdr>
        <w:spacing w:after="0"/>
        <w:rPr>
          <w:rFonts w:ascii="Arial" w:eastAsia="Arial" w:hAnsi="Arial" w:cs="Arial"/>
          <w:color w:val="000000"/>
          <w:sz w:val="22"/>
          <w:szCs w:val="22"/>
        </w:rPr>
      </w:pPr>
    </w:p>
    <w:p w14:paraId="511F8F07" w14:textId="77777777" w:rsidR="00FC1C1E" w:rsidRPr="00077410" w:rsidRDefault="00C02FE0">
      <w:pPr>
        <w:widowControl w:val="0"/>
        <w:pBdr>
          <w:top w:val="nil"/>
          <w:left w:val="nil"/>
          <w:bottom w:val="nil"/>
          <w:right w:val="nil"/>
          <w:between w:val="nil"/>
        </w:pBdr>
        <w:spacing w:after="0"/>
        <w:rPr>
          <w:rFonts w:ascii="Arial" w:eastAsia="Arial" w:hAnsi="Arial" w:cs="Arial"/>
          <w:b/>
          <w:color w:val="000000"/>
          <w:sz w:val="22"/>
          <w:szCs w:val="22"/>
        </w:rPr>
      </w:pPr>
      <w:r w:rsidRPr="00077410">
        <w:rPr>
          <w:rFonts w:ascii="Arial" w:eastAsia="Arial" w:hAnsi="Arial" w:cs="Arial"/>
          <w:b/>
          <w:color w:val="000000"/>
          <w:sz w:val="22"/>
          <w:szCs w:val="22"/>
        </w:rPr>
        <w:t>2.3. Aplicación de la Ley de Garantías Electorales frente a las Empresas de Servicios Públicos Domiciliarios</w:t>
      </w:r>
    </w:p>
    <w:p w14:paraId="42BEDEDA" w14:textId="77777777" w:rsidR="00FC1C1E" w:rsidRPr="00077410" w:rsidRDefault="00FC1C1E">
      <w:pPr>
        <w:widowControl w:val="0"/>
        <w:spacing w:after="0"/>
        <w:ind w:right="112"/>
        <w:rPr>
          <w:rFonts w:ascii="Arial" w:eastAsia="Arial" w:hAnsi="Arial" w:cs="Arial"/>
          <w:sz w:val="22"/>
          <w:szCs w:val="22"/>
        </w:rPr>
      </w:pPr>
    </w:p>
    <w:p w14:paraId="2F782CD5" w14:textId="77777777" w:rsidR="00FC1C1E" w:rsidRPr="00077410" w:rsidRDefault="00C02FE0">
      <w:pPr>
        <w:widowControl w:val="0"/>
        <w:spacing w:after="0"/>
        <w:ind w:right="112"/>
        <w:rPr>
          <w:rFonts w:ascii="Arial" w:eastAsia="Arial" w:hAnsi="Arial" w:cs="Arial"/>
          <w:sz w:val="20"/>
          <w:szCs w:val="20"/>
        </w:rPr>
      </w:pPr>
      <w:r w:rsidRPr="00077410">
        <w:rPr>
          <w:rFonts w:ascii="Arial" w:eastAsia="Arial" w:hAnsi="Arial" w:cs="Arial"/>
          <w:sz w:val="22"/>
          <w:szCs w:val="22"/>
        </w:rPr>
        <w:t xml:space="preserve">Esta Agencia reiterará la postura sostenida en los conceptos 4201912000004354 –radicado de salida 2201913000006639– del 9 de septiembre de 2019 y 4201913000007243 –radicado de salida 2201913000008999– del 5 de diciembre de 2019. De esta manera, el artículo 14 de la Ley 142 de 1994 contiene las definiciones para la correcta aplicación e interpretación del régimen de servicios públicos domiciliarios. Esta norma define las Empresas de Servicios Públicos Oficial, la mixta y la privada, en los siguientes términos: </w:t>
      </w:r>
    </w:p>
    <w:p w14:paraId="305CC6D7" w14:textId="77777777" w:rsidR="00FC1C1E" w:rsidRPr="00077410" w:rsidRDefault="00FC1C1E">
      <w:pPr>
        <w:widowControl w:val="0"/>
        <w:spacing w:before="5" w:after="0" w:line="240" w:lineRule="auto"/>
        <w:jc w:val="left"/>
        <w:rPr>
          <w:rFonts w:ascii="Arial" w:eastAsia="Arial" w:hAnsi="Arial" w:cs="Arial"/>
          <w:sz w:val="16"/>
          <w:szCs w:val="16"/>
        </w:rPr>
      </w:pPr>
    </w:p>
    <w:p w14:paraId="7244E950" w14:textId="77777777" w:rsidR="00FC1C1E" w:rsidRPr="00077410" w:rsidRDefault="00C02FE0" w:rsidP="00353D32">
      <w:pPr>
        <w:widowControl w:val="0"/>
        <w:numPr>
          <w:ilvl w:val="1"/>
          <w:numId w:val="1"/>
        </w:numPr>
        <w:tabs>
          <w:tab w:val="left" w:pos="1361"/>
        </w:tabs>
        <w:spacing w:before="93" w:after="120" w:line="240" w:lineRule="auto"/>
        <w:ind w:left="709" w:right="709"/>
      </w:pPr>
      <w:r w:rsidRPr="00077410">
        <w:rPr>
          <w:rFonts w:ascii="Arial" w:eastAsia="Arial" w:hAnsi="Arial" w:cs="Arial"/>
          <w:sz w:val="22"/>
          <w:szCs w:val="22"/>
        </w:rPr>
        <w:t>Empresa de servicios públicos oficial. Es aquella en cuyo capital la Nación, las entidades territoriales, o las entidades descentralizadas de aquella o estas tienen el 100% de los aportes.</w:t>
      </w:r>
    </w:p>
    <w:p w14:paraId="58B79FA4" w14:textId="77777777" w:rsidR="00FC1C1E" w:rsidRPr="00077410" w:rsidRDefault="00C02FE0" w:rsidP="00353D32">
      <w:pPr>
        <w:widowControl w:val="0"/>
        <w:numPr>
          <w:ilvl w:val="1"/>
          <w:numId w:val="1"/>
        </w:numPr>
        <w:tabs>
          <w:tab w:val="left" w:pos="1363"/>
        </w:tabs>
        <w:spacing w:after="120" w:line="240" w:lineRule="auto"/>
        <w:ind w:left="709" w:right="709"/>
      </w:pPr>
      <w:r w:rsidRPr="00077410">
        <w:rPr>
          <w:rFonts w:ascii="Arial" w:eastAsia="Arial" w:hAnsi="Arial" w:cs="Arial"/>
          <w:sz w:val="22"/>
          <w:szCs w:val="22"/>
        </w:rPr>
        <w:t>Empresa de servicios públicos mixta. Es aquella en cuyo capital la Nación, las entidades territoriales, o las entidades descentralizadas de aquella o éstas tienen aportes iguales o superiores al 50%.</w:t>
      </w:r>
    </w:p>
    <w:p w14:paraId="177440E7" w14:textId="77777777" w:rsidR="00FC1C1E" w:rsidRPr="00077410" w:rsidRDefault="00C02FE0" w:rsidP="00353D32">
      <w:pPr>
        <w:widowControl w:val="0"/>
        <w:numPr>
          <w:ilvl w:val="1"/>
          <w:numId w:val="1"/>
        </w:numPr>
        <w:tabs>
          <w:tab w:val="left" w:pos="1531"/>
        </w:tabs>
        <w:spacing w:before="1" w:after="120" w:line="240" w:lineRule="auto"/>
        <w:ind w:left="709" w:right="709"/>
      </w:pPr>
      <w:r w:rsidRPr="00077410">
        <w:rPr>
          <w:rFonts w:ascii="Arial" w:eastAsia="Arial" w:hAnsi="Arial" w:cs="Arial"/>
          <w:sz w:val="22"/>
          <w:szCs w:val="22"/>
        </w:rPr>
        <w:lastRenderedPageBreak/>
        <w:t xml:space="preserve">Empresa de servicios </w:t>
      </w:r>
      <w:proofErr w:type="gramStart"/>
      <w:r w:rsidRPr="00077410">
        <w:rPr>
          <w:rFonts w:ascii="Arial" w:eastAsia="Arial" w:hAnsi="Arial" w:cs="Arial"/>
          <w:sz w:val="22"/>
          <w:szCs w:val="22"/>
        </w:rPr>
        <w:t>públicos  privada</w:t>
      </w:r>
      <w:proofErr w:type="gramEnd"/>
      <w:r w:rsidRPr="00077410">
        <w:rPr>
          <w:rFonts w:ascii="Arial" w:eastAsia="Arial" w:hAnsi="Arial" w:cs="Arial"/>
          <w:sz w:val="22"/>
          <w:szCs w:val="22"/>
        </w:rPr>
        <w:t xml:space="preserve">.  </w:t>
      </w:r>
      <w:proofErr w:type="gramStart"/>
      <w:r w:rsidRPr="00077410">
        <w:rPr>
          <w:rFonts w:ascii="Arial" w:eastAsia="Arial" w:hAnsi="Arial" w:cs="Arial"/>
          <w:sz w:val="22"/>
          <w:szCs w:val="22"/>
        </w:rPr>
        <w:t>Es  aquella</w:t>
      </w:r>
      <w:proofErr w:type="gramEnd"/>
      <w:r w:rsidRPr="00077410">
        <w:rPr>
          <w:rFonts w:ascii="Arial" w:eastAsia="Arial" w:hAnsi="Arial" w:cs="Arial"/>
          <w:sz w:val="22"/>
          <w:szCs w:val="22"/>
        </w:rPr>
        <w:t xml:space="preserve">  cuyo  capital  pertenece mayoritariamente a particulares, o a entidades surgidas de convenios internacionales que deseen someterse íntegramente para estos efectos a las reglas a las que se someten los particulares.</w:t>
      </w:r>
    </w:p>
    <w:p w14:paraId="61EAAE17" w14:textId="77777777" w:rsidR="00FC1C1E" w:rsidRPr="00077410" w:rsidRDefault="00FC1C1E">
      <w:pPr>
        <w:widowControl w:val="0"/>
        <w:spacing w:after="0" w:line="240" w:lineRule="auto"/>
        <w:jc w:val="left"/>
        <w:rPr>
          <w:rFonts w:ascii="Arial" w:eastAsia="Arial" w:hAnsi="Arial" w:cs="Arial"/>
        </w:rPr>
      </w:pPr>
    </w:p>
    <w:p w14:paraId="03258FD6" w14:textId="77777777" w:rsidR="00FC1C1E" w:rsidRPr="00077410" w:rsidRDefault="00C02FE0" w:rsidP="00353D32">
      <w:pPr>
        <w:widowControl w:val="0"/>
        <w:spacing w:after="120"/>
        <w:ind w:right="112"/>
      </w:pPr>
      <w:r w:rsidRPr="00077410">
        <w:rPr>
          <w:rFonts w:ascii="Arial" w:eastAsia="Arial" w:hAnsi="Arial" w:cs="Arial"/>
          <w:sz w:val="22"/>
          <w:szCs w:val="22"/>
        </w:rPr>
        <w:t>A su turno, el artículo 17 de la ley citada señala que «las empresas de servicios públicos son sociedades por acciones cuyo objeto es la prestación de los servicios públicos de que trata esta ley». De otro lado, el artículo 38 de la Ley 489 de 1998 determina la integración de la Rama Ejecutiva del Poder Público en el orden nacional, y en su literal d) señala que las empresas sociales del Estado y las empresas oficiales de servicios públicos domiciliarios pertenecen a las entidades de la Rama Ejecutiva del sector descentralizado por servicios. El artículo 68 de esta ley, al listar las entidades descentralizadas del orden nacional, se refirió únicamente a las empresas oficiales de servicios públicos, esto es, aquellas en las que la participación del Estado es del 100%</w:t>
      </w:r>
      <w:r w:rsidRPr="00077410">
        <w:rPr>
          <w:rFonts w:ascii="Arial" w:eastAsia="Arial" w:hAnsi="Arial" w:cs="Arial"/>
          <w:sz w:val="22"/>
          <w:szCs w:val="22"/>
          <w:vertAlign w:val="superscript"/>
        </w:rPr>
        <w:footnoteReference w:id="24"/>
      </w:r>
      <w:r w:rsidRPr="00077410">
        <w:rPr>
          <w:rFonts w:ascii="Arial" w:eastAsia="Arial" w:hAnsi="Arial" w:cs="Arial"/>
          <w:sz w:val="22"/>
          <w:szCs w:val="22"/>
        </w:rPr>
        <w:t>.</w:t>
      </w:r>
    </w:p>
    <w:p w14:paraId="530BB24C" w14:textId="77777777" w:rsidR="00FC1C1E" w:rsidRPr="00077410" w:rsidRDefault="00C02FE0" w:rsidP="00353D32">
      <w:pPr>
        <w:widowControl w:val="0"/>
        <w:spacing w:after="120"/>
        <w:ind w:right="104" w:firstLine="720"/>
      </w:pPr>
      <w:r w:rsidRPr="00077410">
        <w:rPr>
          <w:rFonts w:ascii="Arial" w:eastAsia="Arial" w:hAnsi="Arial" w:cs="Arial"/>
          <w:sz w:val="22"/>
          <w:szCs w:val="22"/>
        </w:rPr>
        <w:t xml:space="preserve">Lo anterior llevó a pensar que el legislador había excluido de la Rama Ejecutiva a las empresas de servicios públicos mixta –capital público superior al 50%– y las privadas –capital público inferior al 50%–. Sin embargo, la Corte Constitucional determinó que tanto las empresas de servicios públicos mixta como las privadas hacían parte de la Rama Ejecutiva, toda vez que el literal g) del artículo 38 de la Ley 489 de 1998 dice: «g) Las demás entidades administrativas nacionales con personería jurídica que cree, organice o autorice la ley para que formen parte de la Rama Ejecutiva del Poder Público». </w:t>
      </w:r>
    </w:p>
    <w:p w14:paraId="02C3F83D" w14:textId="77777777" w:rsidR="00FC1C1E" w:rsidRPr="00077410" w:rsidRDefault="00FC1C1E">
      <w:pPr>
        <w:widowControl w:val="0"/>
        <w:spacing w:after="0"/>
        <w:ind w:right="104"/>
        <w:rPr>
          <w:rFonts w:ascii="Arial" w:eastAsia="Arial" w:hAnsi="Arial" w:cs="Arial"/>
          <w:sz w:val="16"/>
          <w:szCs w:val="16"/>
        </w:rPr>
      </w:pPr>
    </w:p>
    <w:p w14:paraId="3316F27C" w14:textId="77777777" w:rsidR="00FC1C1E" w:rsidRPr="00077410" w:rsidRDefault="00C02FE0" w:rsidP="00353D32">
      <w:pPr>
        <w:widowControl w:val="0"/>
        <w:spacing w:before="93" w:after="0"/>
        <w:ind w:right="106" w:firstLine="720"/>
      </w:pPr>
      <w:r w:rsidRPr="00077410">
        <w:rPr>
          <w:rFonts w:ascii="Arial" w:eastAsia="Arial" w:hAnsi="Arial" w:cs="Arial"/>
          <w:sz w:val="22"/>
          <w:szCs w:val="22"/>
        </w:rPr>
        <w:t>La Corte Constitucional, además de señalar la pertenencia a la Rama Ejecutiva de las empresas de servicios públicos mixtas y privadas, también sostuvo que se trataba de entidades descentralizadas por servicios, en los términos del artículo 68 de la Ley 489 de 1998:</w:t>
      </w:r>
    </w:p>
    <w:p w14:paraId="12614CFA" w14:textId="77777777" w:rsidR="00FC1C1E" w:rsidRPr="00077410" w:rsidRDefault="00FC1C1E">
      <w:pPr>
        <w:widowControl w:val="0"/>
        <w:spacing w:before="1" w:after="0" w:line="240" w:lineRule="auto"/>
        <w:jc w:val="left"/>
        <w:rPr>
          <w:rFonts w:ascii="Arial" w:eastAsia="Arial" w:hAnsi="Arial" w:cs="Arial"/>
          <w:sz w:val="22"/>
          <w:szCs w:val="22"/>
        </w:rPr>
      </w:pPr>
    </w:p>
    <w:p w14:paraId="39D2D9B4" w14:textId="77777777" w:rsidR="00FC1C1E" w:rsidRPr="00077410" w:rsidRDefault="00C02FE0">
      <w:pPr>
        <w:widowControl w:val="0"/>
        <w:spacing w:after="0" w:line="240" w:lineRule="auto"/>
        <w:ind w:left="810" w:right="104"/>
        <w:rPr>
          <w:rFonts w:ascii="Arial" w:eastAsia="Arial" w:hAnsi="Arial" w:cs="Arial"/>
          <w:sz w:val="22"/>
          <w:szCs w:val="22"/>
        </w:rPr>
      </w:pPr>
      <w:r w:rsidRPr="00077410">
        <w:rPr>
          <w:rFonts w:ascii="Arial" w:eastAsia="Arial" w:hAnsi="Arial" w:cs="Arial"/>
          <w:sz w:val="22"/>
          <w:szCs w:val="22"/>
        </w:rPr>
        <w:t xml:space="preserve">Nótese   cómo   una   empresa   de   servicios   públicos   privada   es   aquella   que mayoritariamente pertenece a particulares, lo cual, a contrario sensu, significa que minoritariamente pertenece al Estado o a sus entidades. Y que una empresa </w:t>
      </w:r>
      <w:r w:rsidRPr="00077410">
        <w:rPr>
          <w:rFonts w:ascii="Arial" w:eastAsia="Arial" w:hAnsi="Arial" w:cs="Arial"/>
          <w:sz w:val="22"/>
          <w:szCs w:val="22"/>
        </w:rPr>
        <w:lastRenderedPageBreak/>
        <w:t>de servicios públicos mixta es aquella en la cual el capital público es igual o superior al cincuenta por ciento (50%), lo cual significa que minoritariamente pertenece a particulares. Así las cosas, una y otra se conforman con aporte de capital público, por lo cual su exclusión de la estructura de la Rama Ejecutiva y de la categoría jurídica denominada “entidades descentralizadas” resulta constitucionalmente cuestionable, toda vez que implica, a su vez, la exclusión de las consecuencias jurídicas derivadas de tal naturaleza jurídica, dispuestas expresamente por la Constitución.</w:t>
      </w:r>
    </w:p>
    <w:p w14:paraId="68F6A1C9" w14:textId="77777777" w:rsidR="00FC1C1E" w:rsidRPr="00077410" w:rsidRDefault="00FC1C1E">
      <w:pPr>
        <w:widowControl w:val="0"/>
        <w:spacing w:after="0" w:line="240" w:lineRule="auto"/>
        <w:jc w:val="left"/>
        <w:rPr>
          <w:rFonts w:ascii="Arial" w:eastAsia="Arial" w:hAnsi="Arial" w:cs="Arial"/>
          <w:sz w:val="22"/>
          <w:szCs w:val="22"/>
        </w:rPr>
      </w:pPr>
    </w:p>
    <w:p w14:paraId="58A97C3A" w14:textId="77777777" w:rsidR="00FC1C1E" w:rsidRPr="00077410" w:rsidRDefault="00C02FE0">
      <w:pPr>
        <w:widowControl w:val="0"/>
        <w:spacing w:after="0" w:line="240" w:lineRule="auto"/>
        <w:ind w:left="810" w:right="109"/>
        <w:rPr>
          <w:rFonts w:ascii="Arial" w:eastAsia="Arial" w:hAnsi="Arial" w:cs="Arial"/>
          <w:sz w:val="22"/>
          <w:szCs w:val="22"/>
        </w:rPr>
      </w:pPr>
      <w:r w:rsidRPr="00077410">
        <w:rPr>
          <w:rFonts w:ascii="Arial" w:eastAsia="Arial" w:hAnsi="Arial" w:cs="Arial"/>
          <w:sz w:val="22"/>
          <w:szCs w:val="22"/>
        </w:rPr>
        <w:t>No obstante, la Corte observa que una interpretación armónica del literal d) del artículo 38 de la Ley 489 de 1998, junto con el literal g) de la misma norma, permiten entender que la voluntad legislativa no fue excluir a las empresas de servicios públicos mixtas o privadas de la pertenencia a la Rama Ejecutiva del poder público. […]</w:t>
      </w:r>
    </w:p>
    <w:p w14:paraId="790F9F99" w14:textId="77777777" w:rsidR="00FC1C1E" w:rsidRPr="00077410" w:rsidRDefault="00FC1C1E">
      <w:pPr>
        <w:widowControl w:val="0"/>
        <w:spacing w:before="2" w:after="0" w:line="240" w:lineRule="auto"/>
        <w:jc w:val="left"/>
        <w:rPr>
          <w:rFonts w:ascii="Arial" w:eastAsia="Arial" w:hAnsi="Arial" w:cs="Arial"/>
          <w:sz w:val="22"/>
          <w:szCs w:val="22"/>
        </w:rPr>
      </w:pPr>
    </w:p>
    <w:p w14:paraId="676AAB50" w14:textId="77777777" w:rsidR="00FC1C1E" w:rsidRPr="00077410" w:rsidRDefault="00C02FE0">
      <w:pPr>
        <w:widowControl w:val="0"/>
        <w:spacing w:after="0" w:line="240" w:lineRule="auto"/>
        <w:ind w:left="810" w:right="104"/>
        <w:rPr>
          <w:rFonts w:ascii="Arial" w:eastAsia="Arial" w:hAnsi="Arial" w:cs="Arial"/>
          <w:sz w:val="22"/>
          <w:szCs w:val="22"/>
        </w:rPr>
      </w:pPr>
      <w:r w:rsidRPr="00077410">
        <w:rPr>
          <w:rFonts w:ascii="Arial" w:eastAsia="Arial" w:hAnsi="Arial" w:cs="Arial"/>
          <w:sz w:val="22"/>
          <w:szCs w:val="22"/>
        </w:rPr>
        <w:t xml:space="preserve">Nótese cómo en el literal d) el legislador incluye a las “demás entidades administrativas nacionales con personería jurídica que cree, organice o autorice la ley para que formen parte de la Rama Ejecutiva del Poder Público”, categoría dentro de la cual deben entenderse incluidas las empresas de servicios públicos mixtas o privadas, </w:t>
      </w:r>
      <w:proofErr w:type="gramStart"/>
      <w:r w:rsidRPr="00077410">
        <w:rPr>
          <w:rFonts w:ascii="Arial" w:eastAsia="Arial" w:hAnsi="Arial" w:cs="Arial"/>
          <w:sz w:val="22"/>
          <w:szCs w:val="22"/>
        </w:rPr>
        <w:t>que</w:t>
      </w:r>
      <w:proofErr w:type="gramEnd"/>
      <w:r w:rsidRPr="00077410">
        <w:rPr>
          <w:rFonts w:ascii="Arial" w:eastAsia="Arial" w:hAnsi="Arial" w:cs="Arial"/>
          <w:sz w:val="22"/>
          <w:szCs w:val="22"/>
        </w:rPr>
        <w:t xml:space="preserve"> de esta manera, se entienden como parte de la Rama Ejecutiva en su sector descentralizado nacional.</w:t>
      </w:r>
    </w:p>
    <w:p w14:paraId="023B0A49" w14:textId="77777777" w:rsidR="00FC1C1E" w:rsidRPr="00077410" w:rsidRDefault="00FC1C1E">
      <w:pPr>
        <w:widowControl w:val="0"/>
        <w:spacing w:after="0" w:line="240" w:lineRule="auto"/>
        <w:jc w:val="left"/>
        <w:rPr>
          <w:rFonts w:ascii="Arial" w:eastAsia="Arial" w:hAnsi="Arial" w:cs="Arial"/>
          <w:sz w:val="22"/>
          <w:szCs w:val="22"/>
        </w:rPr>
      </w:pPr>
    </w:p>
    <w:p w14:paraId="2E064D6A" w14:textId="77777777" w:rsidR="00FC1C1E" w:rsidRPr="00077410" w:rsidRDefault="00C02FE0">
      <w:pPr>
        <w:widowControl w:val="0"/>
        <w:spacing w:after="0" w:line="240" w:lineRule="auto"/>
        <w:ind w:left="810" w:right="106"/>
        <w:rPr>
          <w:rFonts w:ascii="Arial" w:eastAsia="Arial" w:hAnsi="Arial" w:cs="Arial"/>
          <w:sz w:val="22"/>
          <w:szCs w:val="22"/>
        </w:rPr>
      </w:pPr>
      <w:r w:rsidRPr="00077410">
        <w:rPr>
          <w:rFonts w:ascii="Arial" w:eastAsia="Arial" w:hAnsi="Arial" w:cs="Arial"/>
          <w:sz w:val="22"/>
          <w:szCs w:val="22"/>
        </w:rPr>
        <w:t xml:space="preserve">Así las cosas, de cara a la constitucionalidad del artículo 38 de la Ley 498 de 1998, y concretamente de la expresión “las empresas oficiales de servicios públicos domiciliarios” contenida en su literal d), la Corte declarará su </w:t>
      </w:r>
      <w:proofErr w:type="spellStart"/>
      <w:r w:rsidRPr="00077410">
        <w:rPr>
          <w:rFonts w:ascii="Arial" w:eastAsia="Arial" w:hAnsi="Arial" w:cs="Arial"/>
          <w:sz w:val="22"/>
          <w:szCs w:val="22"/>
        </w:rPr>
        <w:t>exequibilidad</w:t>
      </w:r>
      <w:proofErr w:type="spellEnd"/>
      <w:r w:rsidRPr="00077410">
        <w:rPr>
          <w:rFonts w:ascii="Arial" w:eastAsia="Arial" w:hAnsi="Arial" w:cs="Arial"/>
          <w:sz w:val="22"/>
          <w:szCs w:val="22"/>
        </w:rPr>
        <w:t>, por considerar que dentro del supuesto normativo del literal g) se comprenden las empresas mixtas o privadas de servicios públicos, que de esta manera viene a conformar también la Rama Ejecutiva del poder público.</w:t>
      </w:r>
    </w:p>
    <w:p w14:paraId="42D4AC82" w14:textId="77777777" w:rsidR="00FC1C1E" w:rsidRPr="00077410" w:rsidRDefault="00C02FE0">
      <w:pPr>
        <w:widowControl w:val="0"/>
        <w:spacing w:after="0" w:line="240" w:lineRule="auto"/>
        <w:ind w:left="810"/>
        <w:jc w:val="left"/>
        <w:rPr>
          <w:rFonts w:ascii="Arial" w:eastAsia="Arial" w:hAnsi="Arial" w:cs="Arial"/>
          <w:sz w:val="22"/>
          <w:szCs w:val="22"/>
        </w:rPr>
      </w:pPr>
      <w:r w:rsidRPr="00077410">
        <w:rPr>
          <w:rFonts w:ascii="Arial" w:eastAsia="Arial" w:hAnsi="Arial" w:cs="Arial"/>
          <w:sz w:val="22"/>
          <w:szCs w:val="22"/>
        </w:rPr>
        <w:t>(…)</w:t>
      </w:r>
    </w:p>
    <w:p w14:paraId="73EACF44" w14:textId="77777777" w:rsidR="00FC1C1E" w:rsidRPr="00077410" w:rsidRDefault="00FC1C1E">
      <w:pPr>
        <w:widowControl w:val="0"/>
        <w:spacing w:before="10" w:after="0" w:line="240" w:lineRule="auto"/>
        <w:jc w:val="left"/>
        <w:rPr>
          <w:rFonts w:ascii="Arial" w:eastAsia="Arial" w:hAnsi="Arial" w:cs="Arial"/>
          <w:sz w:val="21"/>
          <w:szCs w:val="21"/>
        </w:rPr>
      </w:pPr>
    </w:p>
    <w:p w14:paraId="121E4DF4" w14:textId="77777777" w:rsidR="00FC1C1E" w:rsidRPr="00077410" w:rsidRDefault="00C02FE0">
      <w:pPr>
        <w:widowControl w:val="0"/>
        <w:spacing w:after="0" w:line="240" w:lineRule="auto"/>
        <w:ind w:left="810" w:right="105"/>
        <w:rPr>
          <w:rFonts w:ascii="Arial" w:eastAsia="Arial" w:hAnsi="Arial" w:cs="Arial"/>
          <w:sz w:val="22"/>
          <w:szCs w:val="22"/>
        </w:rPr>
      </w:pPr>
      <w:r w:rsidRPr="00077410">
        <w:rPr>
          <w:rFonts w:ascii="Arial" w:eastAsia="Arial" w:hAnsi="Arial" w:cs="Arial"/>
          <w:sz w:val="22"/>
          <w:szCs w:val="22"/>
        </w:rPr>
        <w:t>Obsérvese que si bien el legislador sólo considera explícitamente como entidades descentralizadas a las empresas oficiales de servicios públicos, es decir a aquellas con un capital cien por ciento (100%) estatal, lo cual haría pensar que las mixtas y las privadas no ostentarían esta naturaleza jurídica, a continuación indica que también son entidades descentralizadas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(Subraya la Corte). Así las cosas, de manera implícita incluye a las empresas de servicios públicos mixtas o privadas como entidades descentralizadas, por lo cual la Corte no encuentra obstáculo para declarar su constitucionalidad</w:t>
      </w:r>
      <w:r w:rsidRPr="00077410">
        <w:rPr>
          <w:rFonts w:ascii="Arial" w:eastAsia="Arial" w:hAnsi="Arial" w:cs="Arial"/>
          <w:sz w:val="22"/>
          <w:szCs w:val="22"/>
          <w:vertAlign w:val="superscript"/>
        </w:rPr>
        <w:footnoteReference w:id="25"/>
      </w:r>
      <w:r w:rsidRPr="00077410">
        <w:rPr>
          <w:rFonts w:ascii="Arial" w:eastAsia="Arial" w:hAnsi="Arial" w:cs="Arial"/>
          <w:sz w:val="22"/>
          <w:szCs w:val="22"/>
        </w:rPr>
        <w:t>.</w:t>
      </w:r>
    </w:p>
    <w:p w14:paraId="2FA152FF" w14:textId="77777777" w:rsidR="00FC1C1E" w:rsidRPr="00077410" w:rsidRDefault="00FC1C1E">
      <w:pPr>
        <w:widowControl w:val="0"/>
        <w:spacing w:before="1" w:after="0"/>
        <w:ind w:left="100" w:right="110"/>
        <w:rPr>
          <w:rFonts w:ascii="Arial" w:eastAsia="Arial" w:hAnsi="Arial" w:cs="Arial"/>
          <w:sz w:val="22"/>
          <w:szCs w:val="22"/>
        </w:rPr>
      </w:pPr>
    </w:p>
    <w:p w14:paraId="5AF9D3CE" w14:textId="77777777" w:rsidR="00FC1C1E" w:rsidRPr="00077410" w:rsidRDefault="00C02FE0" w:rsidP="00353D32">
      <w:pPr>
        <w:widowControl w:val="0"/>
        <w:spacing w:before="1" w:after="0"/>
        <w:ind w:right="110" w:firstLine="720"/>
      </w:pPr>
      <w:r w:rsidRPr="00077410">
        <w:rPr>
          <w:rFonts w:ascii="Arial" w:eastAsia="Arial" w:hAnsi="Arial" w:cs="Arial"/>
          <w:sz w:val="22"/>
          <w:szCs w:val="22"/>
        </w:rPr>
        <w:t xml:space="preserve">En esta providencia también se hace una aclaración que resulta importante para </w:t>
      </w:r>
      <w:r w:rsidRPr="00077410">
        <w:rPr>
          <w:rFonts w:ascii="Arial" w:eastAsia="Arial" w:hAnsi="Arial" w:cs="Arial"/>
          <w:sz w:val="22"/>
          <w:szCs w:val="22"/>
        </w:rPr>
        <w:lastRenderedPageBreak/>
        <w:t>efectos de responder la consulta: las empresas prestadoras de servicios públicos, de carácter mixto no deben ser consideradas como empresas de economía mixta. La anterior conclusión fue fundamentada sobre la idea del carácter o naturaleza especial que la Constitución le dio a las Empresas de Servicios Públicos:</w:t>
      </w:r>
    </w:p>
    <w:p w14:paraId="3D3F7781" w14:textId="77777777" w:rsidR="00FC1C1E" w:rsidRPr="00077410" w:rsidRDefault="00FC1C1E">
      <w:pPr>
        <w:widowControl w:val="0"/>
        <w:spacing w:before="3" w:after="0" w:line="240" w:lineRule="auto"/>
        <w:jc w:val="left"/>
        <w:rPr>
          <w:rFonts w:ascii="Arial" w:eastAsia="Arial" w:hAnsi="Arial" w:cs="Arial"/>
          <w:sz w:val="25"/>
          <w:szCs w:val="25"/>
        </w:rPr>
      </w:pPr>
    </w:p>
    <w:p w14:paraId="46D85865" w14:textId="77777777" w:rsidR="00FC1C1E" w:rsidRPr="00077410" w:rsidRDefault="00C02FE0">
      <w:pPr>
        <w:widowControl w:val="0"/>
        <w:spacing w:after="0" w:line="240" w:lineRule="auto"/>
        <w:ind w:left="460" w:right="109"/>
        <w:rPr>
          <w:rFonts w:ascii="Arial" w:eastAsia="Arial" w:hAnsi="Arial" w:cs="Arial"/>
          <w:sz w:val="22"/>
          <w:szCs w:val="22"/>
        </w:rPr>
      </w:pPr>
      <w:r w:rsidRPr="00077410">
        <w:rPr>
          <w:rFonts w:ascii="Arial" w:eastAsia="Arial" w:hAnsi="Arial" w:cs="Arial"/>
          <w:sz w:val="22"/>
          <w:szCs w:val="22"/>
        </w:rPr>
        <w:t>No obstante, después de haber estudiado los conceptos de sociedad de economía mixta y de empresa de servicios públicos, la Corte estima que la naturaleza y el régimen jurídico especial de la prestación de los servicios públicos dispuesto por el constituyente en el artículo 365 de la Carta impiden considerar que las empresas de servicios públicos constituidas bajo la forma de sociedades por acciones, en las cuales concurran en cualquier proporción el capital público y el privado, sean “sociedades de economía mixta”. A juicio de la Corporación, y por lo dicho anteriormente, se trata de entidades de tipología especial expresamente definida por el legislador en desarrollo de las normas superiores antes mencionadas, que señalan las particularidades de esta actividad.</w:t>
      </w:r>
    </w:p>
    <w:p w14:paraId="74C3EDEF" w14:textId="77777777" w:rsidR="00FC1C1E" w:rsidRPr="00077410" w:rsidRDefault="00C02FE0" w:rsidP="00353D32">
      <w:pPr>
        <w:widowControl w:val="0"/>
        <w:spacing w:before="1" w:after="120" w:line="240" w:lineRule="auto"/>
        <w:ind w:left="459"/>
        <w:jc w:val="left"/>
      </w:pPr>
      <w:r w:rsidRPr="00077410">
        <w:rPr>
          <w:rFonts w:ascii="Arial" w:eastAsia="Arial" w:hAnsi="Arial" w:cs="Arial"/>
          <w:sz w:val="22"/>
          <w:szCs w:val="22"/>
        </w:rPr>
        <w:t>[…]</w:t>
      </w:r>
    </w:p>
    <w:p w14:paraId="1B8BE276" w14:textId="77777777" w:rsidR="00FC1C1E" w:rsidRPr="00077410" w:rsidRDefault="00C02FE0">
      <w:pPr>
        <w:widowControl w:val="0"/>
        <w:spacing w:before="1" w:after="0" w:line="240" w:lineRule="auto"/>
        <w:ind w:left="460" w:right="106"/>
        <w:rPr>
          <w:rFonts w:ascii="Arial" w:eastAsia="Arial" w:hAnsi="Arial" w:cs="Arial"/>
          <w:sz w:val="22"/>
          <w:szCs w:val="22"/>
        </w:rPr>
      </w:pPr>
      <w:r w:rsidRPr="00077410">
        <w:rPr>
          <w:rFonts w:ascii="Arial" w:eastAsia="Arial" w:hAnsi="Arial" w:cs="Arial"/>
          <w:sz w:val="22"/>
          <w:szCs w:val="22"/>
        </w:rPr>
        <w:t>Al parecer de la Corte, la interpretación según la cual las empresas de servicios públicos son sociedades de economía mixta resulta contraria a la Constitución. Ciertamente, según se dijo arriba, del artículo 365 superior se desprende que el régimen y la naturaleza jurídica de los prestadores de servicios públicos es especial; además, del numeral 7° del artículo 150 de la Carta, se extrae que el legislador está constitucionalmente autorizado para crear o autorizar la creación de “otras entidades del orden nacional”, distintas de los establecimientos públicos, las empresas comerciales e industriales de Estado y las sociedades de economía mixta</w:t>
      </w:r>
      <w:r w:rsidRPr="00077410">
        <w:rPr>
          <w:rFonts w:ascii="Arial" w:eastAsia="Arial" w:hAnsi="Arial" w:cs="Arial"/>
          <w:sz w:val="22"/>
          <w:szCs w:val="22"/>
          <w:vertAlign w:val="superscript"/>
        </w:rPr>
        <w:footnoteReference w:id="26"/>
      </w:r>
      <w:r w:rsidRPr="00077410">
        <w:rPr>
          <w:rFonts w:ascii="Arial" w:eastAsia="Arial" w:hAnsi="Arial" w:cs="Arial"/>
          <w:sz w:val="22"/>
          <w:szCs w:val="22"/>
        </w:rPr>
        <w:t>.</w:t>
      </w:r>
    </w:p>
    <w:p w14:paraId="607B8D6D" w14:textId="77777777" w:rsidR="00FC1C1E" w:rsidRPr="00077410" w:rsidRDefault="00FC1C1E">
      <w:pPr>
        <w:widowControl w:val="0"/>
        <w:spacing w:before="3" w:after="0" w:line="240" w:lineRule="auto"/>
        <w:jc w:val="left"/>
        <w:rPr>
          <w:rFonts w:ascii="Arial" w:eastAsia="Arial" w:hAnsi="Arial" w:cs="Arial"/>
          <w:sz w:val="25"/>
          <w:szCs w:val="25"/>
        </w:rPr>
      </w:pPr>
    </w:p>
    <w:p w14:paraId="7EED7027" w14:textId="77777777" w:rsidR="00FC1C1E" w:rsidRPr="00077410" w:rsidRDefault="00C02FE0" w:rsidP="00353D32">
      <w:pPr>
        <w:widowControl w:val="0"/>
        <w:spacing w:after="120"/>
        <w:ind w:right="107" w:firstLine="460"/>
      </w:pPr>
      <w:r w:rsidRPr="00077410">
        <w:rPr>
          <w:rFonts w:ascii="Arial" w:eastAsia="Arial" w:hAnsi="Arial" w:cs="Arial"/>
          <w:sz w:val="22"/>
          <w:szCs w:val="22"/>
        </w:rPr>
        <w:t xml:space="preserve">Así las cosas, es impreciso afirmar que existen empresas de servicios públicos, cuya naturaleza jurídica es de sociedad de economía mixta, toda vez que, como quedó visto, </w:t>
      </w:r>
      <w:bookmarkStart w:id="21" w:name="_Hlk92389354"/>
      <w:r w:rsidRPr="00077410">
        <w:rPr>
          <w:rFonts w:ascii="Arial" w:eastAsia="Arial" w:hAnsi="Arial" w:cs="Arial"/>
          <w:sz w:val="22"/>
          <w:szCs w:val="22"/>
        </w:rPr>
        <w:t>las empresas de servicios públicos tienen una naturaleza jurídica especial que viene dada directamente por el artículo 356 de la Constitución Política. Y el hecho de que su composición accionaria esté compartida por recursos públicos y privados no la convierte en sociedad de economía mixta, pues las empresas de servicios públicos tienen su clasificación propia dependiendo de la composición de su capital accionario: empresas de servicios públicos oficiales, mixtas y privadas. Ahora, sin importar su clasificación, todas hacen parte de la Rama Ejecutiva, del sector descentralizado por servicios.</w:t>
      </w:r>
    </w:p>
    <w:p w14:paraId="75F47509" w14:textId="77777777" w:rsidR="00FC1C1E" w:rsidRPr="00077410" w:rsidRDefault="00C02FE0" w:rsidP="00353D32">
      <w:pPr>
        <w:widowControl w:val="0"/>
        <w:spacing w:before="1" w:after="120"/>
        <w:ind w:right="112" w:firstLine="720"/>
      </w:pPr>
      <w:r w:rsidRPr="00077410">
        <w:rPr>
          <w:rFonts w:ascii="Arial" w:eastAsia="Arial" w:hAnsi="Arial" w:cs="Arial"/>
          <w:sz w:val="22"/>
          <w:szCs w:val="22"/>
        </w:rPr>
        <w:t>Así las cosas, los gerentes o directores de las Empresas de Servicios Públicos, oficiales, mixtas o privadas con participación pública, del orden municipal, departamental o distrital, son destinatarios de la prohibición contenida en el parágrafo del artículo 38 de la Ley 996 de 2005, es decir, dentro de los cuatro (4) meses anteriores a las elecciones no pueden celebrar convenios interadministrativos para la ejecución de recursos públicos.</w:t>
      </w:r>
      <w:bookmarkEnd w:id="21"/>
    </w:p>
    <w:p w14:paraId="3E3AD7A0" w14:textId="77777777" w:rsidR="00FC1C1E" w:rsidRPr="00077410" w:rsidRDefault="00C02FE0" w:rsidP="00353D32">
      <w:pPr>
        <w:widowControl w:val="0"/>
        <w:spacing w:after="0"/>
        <w:ind w:right="106" w:firstLine="720"/>
      </w:pPr>
      <w:r w:rsidRPr="00077410">
        <w:rPr>
          <w:rFonts w:ascii="Arial" w:eastAsia="Arial" w:hAnsi="Arial" w:cs="Arial"/>
          <w:sz w:val="22"/>
          <w:szCs w:val="22"/>
        </w:rPr>
        <w:t xml:space="preserve">La Sala de Consulta y Servicio Civil del Consejo de Estado, a propósito de la </w:t>
      </w:r>
      <w:r w:rsidRPr="00077410">
        <w:rPr>
          <w:rFonts w:ascii="Arial" w:eastAsia="Arial" w:hAnsi="Arial" w:cs="Arial"/>
          <w:sz w:val="22"/>
          <w:szCs w:val="22"/>
        </w:rPr>
        <w:lastRenderedPageBreak/>
        <w:t>aplicación de la Ley 996 de 2005 para elecciones presidenciales, resolvió una consulta similar a la aquí estudiada, y señaló que las restricciones del artículo 33</w:t>
      </w:r>
      <w:r w:rsidRPr="00077410">
        <w:rPr>
          <w:rFonts w:ascii="Arial" w:eastAsia="Arial" w:hAnsi="Arial" w:cs="Arial"/>
          <w:sz w:val="22"/>
          <w:szCs w:val="22"/>
          <w:vertAlign w:val="superscript"/>
        </w:rPr>
        <w:footnoteReference w:id="27"/>
      </w:r>
      <w:r w:rsidRPr="00077410">
        <w:rPr>
          <w:rFonts w:ascii="Arial" w:eastAsia="Arial" w:hAnsi="Arial" w:cs="Arial"/>
          <w:sz w:val="22"/>
          <w:szCs w:val="22"/>
        </w:rPr>
        <w:t xml:space="preserve"> de la Ley de Garantías aplicaban también a las empresas de servicios públicos, pues la norma habló de «todos los entes del Estado»:</w:t>
      </w:r>
    </w:p>
    <w:p w14:paraId="726EEA9E" w14:textId="77777777" w:rsidR="00FC1C1E" w:rsidRPr="00077410" w:rsidRDefault="00FC1C1E">
      <w:pPr>
        <w:widowControl w:val="0"/>
        <w:spacing w:before="3" w:after="0" w:line="240" w:lineRule="auto"/>
        <w:jc w:val="left"/>
        <w:rPr>
          <w:rFonts w:ascii="Arial" w:eastAsia="Arial" w:hAnsi="Arial" w:cs="Arial"/>
          <w:sz w:val="25"/>
          <w:szCs w:val="25"/>
        </w:rPr>
      </w:pPr>
    </w:p>
    <w:p w14:paraId="242B92E8" w14:textId="77777777" w:rsidR="00FC1C1E" w:rsidRPr="00077410" w:rsidRDefault="00C02FE0">
      <w:pPr>
        <w:widowControl w:val="0"/>
        <w:spacing w:after="0" w:line="240" w:lineRule="auto"/>
        <w:ind w:left="805" w:right="110"/>
        <w:rPr>
          <w:rFonts w:ascii="Arial" w:eastAsia="Arial" w:hAnsi="Arial" w:cs="Arial"/>
          <w:sz w:val="22"/>
          <w:szCs w:val="22"/>
        </w:rPr>
      </w:pPr>
      <w:r w:rsidRPr="00077410">
        <w:rPr>
          <w:rFonts w:ascii="Arial" w:eastAsia="Arial" w:hAnsi="Arial" w:cs="Arial"/>
          <w:sz w:val="22"/>
          <w:szCs w:val="22"/>
        </w:rPr>
        <w:t xml:space="preserve">En la solicitud de consulta, el Sr. Director Nacional de Planeación plantea la posibilidad de que </w:t>
      </w:r>
      <w:proofErr w:type="gramStart"/>
      <w:r w:rsidRPr="00077410">
        <w:rPr>
          <w:rFonts w:ascii="Arial" w:eastAsia="Arial" w:hAnsi="Arial" w:cs="Arial"/>
          <w:sz w:val="22"/>
          <w:szCs w:val="22"/>
        </w:rPr>
        <w:t>la  expresión</w:t>
      </w:r>
      <w:proofErr w:type="gramEnd"/>
      <w:r w:rsidRPr="00077410">
        <w:rPr>
          <w:rFonts w:ascii="Arial" w:eastAsia="Arial" w:hAnsi="Arial" w:cs="Arial"/>
          <w:sz w:val="22"/>
          <w:szCs w:val="22"/>
        </w:rPr>
        <w:t xml:space="preserve">  que  se  analiza  sea  entendida  como  sinónima de rama ejecutiva en los términos del artículo 38 de la ley 489 de 1998, por lo que, de aceptarse esta interpretación, </w:t>
      </w:r>
      <w:r w:rsidRPr="00077410">
        <w:rPr>
          <w:rFonts w:ascii="Arial" w:eastAsia="Arial" w:hAnsi="Arial" w:cs="Arial"/>
          <w:i/>
          <w:sz w:val="22"/>
          <w:szCs w:val="22"/>
        </w:rPr>
        <w:t>en la prohibición no encajarían las empresas mixtas de servicios públicos domiciliarios</w:t>
      </w:r>
      <w:r w:rsidRPr="00077410">
        <w:rPr>
          <w:rFonts w:ascii="Arial" w:eastAsia="Arial" w:hAnsi="Arial" w:cs="Arial"/>
          <w:sz w:val="22"/>
          <w:szCs w:val="22"/>
        </w:rPr>
        <w:t>.</w:t>
      </w:r>
    </w:p>
    <w:p w14:paraId="36AF8A26" w14:textId="77777777" w:rsidR="00FC1C1E" w:rsidRPr="00077410" w:rsidRDefault="00FC1C1E">
      <w:pPr>
        <w:widowControl w:val="0"/>
        <w:spacing w:after="0" w:line="240" w:lineRule="auto"/>
        <w:jc w:val="left"/>
        <w:rPr>
          <w:rFonts w:ascii="Arial" w:eastAsia="Arial" w:hAnsi="Arial" w:cs="Arial"/>
          <w:sz w:val="22"/>
          <w:szCs w:val="22"/>
        </w:rPr>
      </w:pPr>
    </w:p>
    <w:p w14:paraId="0753B2AB" w14:textId="77777777" w:rsidR="00FC1C1E" w:rsidRPr="00077410" w:rsidRDefault="00C02FE0">
      <w:pPr>
        <w:widowControl w:val="0"/>
        <w:spacing w:after="0" w:line="240" w:lineRule="auto"/>
        <w:ind w:left="808" w:right="103"/>
        <w:rPr>
          <w:rFonts w:ascii="Arial" w:eastAsia="Arial" w:hAnsi="Arial" w:cs="Arial"/>
          <w:sz w:val="20"/>
          <w:szCs w:val="20"/>
        </w:rPr>
      </w:pPr>
      <w:r w:rsidRPr="00077410">
        <w:rPr>
          <w:rFonts w:ascii="Arial" w:eastAsia="Arial" w:hAnsi="Arial" w:cs="Arial"/>
          <w:sz w:val="22"/>
          <w:szCs w:val="22"/>
        </w:rPr>
        <w:t xml:space="preserve">Reitera la Sala que la locución en comento, debe entenderse dentro del contexto de la ley de garantías y de la especial finalidad que ella busca, la igualdad electoral entre candidatos a la Presidencia, de suerte que si el legislador no utilizó la expresión "rama ejecutiva" en el artículo 33 de esta ley, como sí lo hizo en la prohibición del artículo 32, y enunció como obligados por la prohibición a todos los entes del Estado, es claro que no fue su intención excepcionar aquellas que no encajaran dentro de la noción de rama ejecutiva, desarrollada por el artículo 38 de la ley 489 de 1998. </w:t>
      </w:r>
      <w:r w:rsidRPr="00077410">
        <w:rPr>
          <w:rFonts w:ascii="Arial" w:eastAsia="Arial" w:hAnsi="Arial" w:cs="Arial"/>
          <w:i/>
          <w:sz w:val="22"/>
          <w:szCs w:val="22"/>
        </w:rPr>
        <w:t>La frase que se interpreta coincide con la definición legal de "administración pública" del artículo 39 de la misma ley 489, según la cual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r w:rsidRPr="00077410">
        <w:rPr>
          <w:rFonts w:ascii="Arial" w:eastAsia="Arial" w:hAnsi="Arial" w:cs="Arial"/>
          <w:sz w:val="22"/>
          <w:szCs w:val="22"/>
        </w:rPr>
        <w:t>”</w:t>
      </w:r>
      <w:r w:rsidRPr="00077410">
        <w:rPr>
          <w:rFonts w:ascii="Arial" w:eastAsia="Arial" w:hAnsi="Arial" w:cs="Arial"/>
          <w:sz w:val="22"/>
          <w:szCs w:val="22"/>
          <w:vertAlign w:val="superscript"/>
        </w:rPr>
        <w:footnoteReference w:id="28"/>
      </w:r>
      <w:r w:rsidRPr="00077410">
        <w:rPr>
          <w:rFonts w:ascii="Arial" w:eastAsia="Arial" w:hAnsi="Arial" w:cs="Arial"/>
          <w:sz w:val="22"/>
          <w:szCs w:val="22"/>
        </w:rPr>
        <w:t xml:space="preserve">. (Cursivas fuera de texto). </w:t>
      </w:r>
    </w:p>
    <w:p w14:paraId="30F9FBF3" w14:textId="77777777" w:rsidR="00FC1C1E" w:rsidRPr="00077410" w:rsidRDefault="00FC1C1E">
      <w:pPr>
        <w:widowControl w:val="0"/>
        <w:spacing w:before="11" w:after="0" w:line="240" w:lineRule="auto"/>
        <w:jc w:val="left"/>
        <w:rPr>
          <w:rFonts w:ascii="Arial" w:eastAsia="Arial" w:hAnsi="Arial" w:cs="Arial"/>
          <w:sz w:val="21"/>
          <w:szCs w:val="21"/>
        </w:rPr>
      </w:pPr>
    </w:p>
    <w:p w14:paraId="01436B1A" w14:textId="77777777" w:rsidR="00FC1C1E" w:rsidRPr="00077410" w:rsidRDefault="00C02FE0" w:rsidP="00353D32">
      <w:pPr>
        <w:widowControl w:val="0"/>
        <w:spacing w:before="93" w:after="120"/>
        <w:ind w:right="102" w:firstLine="720"/>
      </w:pPr>
      <w:r w:rsidRPr="00077410">
        <w:rPr>
          <w:rFonts w:ascii="Arial" w:eastAsia="Arial" w:hAnsi="Arial" w:cs="Arial"/>
          <w:sz w:val="22"/>
          <w:szCs w:val="22"/>
        </w:rPr>
        <w:t>Este concepto viene a complementarse con lo que posteriormente decidiría la Corte Constitucional en la sentencia C-736 de 2007, según la cual las empresas de servicios públicos mixtas y privadas también hacen parte de la Rama Ejecutiva y, además, son entidades descentralizadas por servicios, realidad ante la cual resulta imperativo concluir que a los gerentes de estas entidades descentralizadas por servicios les son aplicables las restricciones de la Ley de Garantías Electorales.</w:t>
      </w:r>
    </w:p>
    <w:p w14:paraId="12708569" w14:textId="77777777" w:rsidR="00FC1C1E" w:rsidRPr="00077410" w:rsidRDefault="00C02FE0" w:rsidP="00353D32">
      <w:pPr>
        <w:widowControl w:val="0"/>
        <w:spacing w:after="0"/>
        <w:ind w:right="110" w:firstLine="720"/>
      </w:pPr>
      <w:r w:rsidRPr="00077410">
        <w:rPr>
          <w:rFonts w:ascii="Arial" w:eastAsia="Arial" w:hAnsi="Arial" w:cs="Arial"/>
          <w:sz w:val="22"/>
          <w:szCs w:val="22"/>
        </w:rPr>
        <w:t xml:space="preserve">Particularmente, las empresas de servicios públicos del orden municipal o departamental, con independencia del régimen jurídico que les sea aplicable, deben atender las restricciones del parágrafo del artículo 38 de la Ley 996 de 2005, es decir, no pueden celebrar convenios interadministrativos dentro del período de cuatro (4) meses </w:t>
      </w:r>
      <w:r w:rsidRPr="00077410">
        <w:rPr>
          <w:rFonts w:ascii="Arial" w:eastAsia="Arial" w:hAnsi="Arial" w:cs="Arial"/>
          <w:sz w:val="22"/>
          <w:szCs w:val="22"/>
        </w:rPr>
        <w:lastRenderedPageBreak/>
        <w:t>anteriores a la elección.</w:t>
      </w:r>
    </w:p>
    <w:p w14:paraId="01BAD322" w14:textId="77777777" w:rsidR="00FC1C1E" w:rsidRPr="00077410" w:rsidRDefault="00FC1C1E">
      <w:pPr>
        <w:widowControl w:val="0"/>
        <w:pBdr>
          <w:top w:val="nil"/>
          <w:left w:val="nil"/>
          <w:bottom w:val="nil"/>
          <w:right w:val="nil"/>
          <w:between w:val="nil"/>
        </w:pBdr>
        <w:spacing w:after="0"/>
        <w:rPr>
          <w:rFonts w:ascii="Arial" w:eastAsia="Arial" w:hAnsi="Arial" w:cs="Arial"/>
          <w:b/>
          <w:color w:val="000000"/>
          <w:sz w:val="22"/>
          <w:szCs w:val="22"/>
        </w:rPr>
      </w:pPr>
    </w:p>
    <w:p w14:paraId="774270FD" w14:textId="4E59C651" w:rsidR="00FC1C1E" w:rsidRPr="00077410" w:rsidRDefault="00C02FE0">
      <w:pPr>
        <w:rPr>
          <w:rFonts w:ascii="Arial" w:eastAsia="Arial" w:hAnsi="Arial" w:cs="Arial"/>
          <w:b/>
          <w:color w:val="000000"/>
          <w:sz w:val="22"/>
          <w:szCs w:val="22"/>
        </w:rPr>
      </w:pPr>
      <w:r w:rsidRPr="00077410">
        <w:rPr>
          <w:rFonts w:ascii="Arial" w:eastAsia="Arial" w:hAnsi="Arial" w:cs="Arial"/>
          <w:b/>
          <w:color w:val="000000"/>
          <w:sz w:val="22"/>
          <w:szCs w:val="22"/>
        </w:rPr>
        <w:t>2.4.</w:t>
      </w:r>
      <w:r w:rsidRPr="00077410">
        <w:rPr>
          <w:rFonts w:ascii="Arial" w:eastAsia="Arial" w:hAnsi="Arial" w:cs="Arial"/>
          <w:b/>
          <w:color w:val="000000"/>
          <w:sz w:val="22"/>
          <w:szCs w:val="22"/>
        </w:rPr>
        <w:tab/>
        <w:t>Aplicación de la Ley de Garantías Electorales frente a las universidades públicas</w:t>
      </w:r>
    </w:p>
    <w:p w14:paraId="4AF593DC" w14:textId="2D9FEA2C" w:rsidR="00FC1C1E" w:rsidRPr="00077410" w:rsidRDefault="00C02FE0" w:rsidP="00353D32">
      <w:pPr>
        <w:spacing w:after="120"/>
      </w:pPr>
      <w:r w:rsidRPr="00077410">
        <w:rPr>
          <w:rFonts w:ascii="Arial" w:eastAsia="Arial" w:hAnsi="Arial" w:cs="Arial"/>
          <w:color w:val="000000"/>
          <w:sz w:val="22"/>
          <w:szCs w:val="22"/>
        </w:rPr>
        <w:t>En concepto previo</w:t>
      </w:r>
      <w:r w:rsidRPr="00077410">
        <w:rPr>
          <w:rFonts w:ascii="Arial" w:eastAsia="Arial" w:hAnsi="Arial" w:cs="Arial"/>
          <w:color w:val="000000"/>
          <w:sz w:val="22"/>
          <w:szCs w:val="22"/>
          <w:vertAlign w:val="superscript"/>
        </w:rPr>
        <w:footnoteReference w:id="29"/>
      </w:r>
      <w:r w:rsidRPr="00077410">
        <w:rPr>
          <w:rFonts w:ascii="Arial" w:eastAsia="Arial" w:hAnsi="Arial" w:cs="Arial"/>
          <w:color w:val="000000"/>
          <w:sz w:val="22"/>
          <w:szCs w:val="22"/>
        </w:rPr>
        <w:t>, la Agencia planteó su posición frente a la aplicación de la restricción del parágrafo del artículo 38 de la Ley de Garantías Electorales con respecto a las universidades públicas, posición que fue reiterada y complementada en el concepto C-481 del 9 de septiembre de 2021.</w:t>
      </w:r>
    </w:p>
    <w:p w14:paraId="1FBD5882" w14:textId="3A80874A" w:rsidR="00FC1C1E" w:rsidRPr="00077410" w:rsidRDefault="00C02FE0" w:rsidP="00353D32">
      <w:pPr>
        <w:pBdr>
          <w:top w:val="nil"/>
          <w:left w:val="nil"/>
          <w:bottom w:val="nil"/>
          <w:right w:val="nil"/>
          <w:between w:val="nil"/>
        </w:pBdr>
        <w:spacing w:after="120"/>
        <w:ind w:firstLine="720"/>
      </w:pPr>
      <w:r w:rsidRPr="00077410">
        <w:rPr>
          <w:rFonts w:ascii="Arial" w:eastAsia="Arial" w:hAnsi="Arial" w:cs="Arial"/>
          <w:color w:val="000000"/>
          <w:sz w:val="22"/>
          <w:szCs w:val="22"/>
        </w:rPr>
        <w:t>Teniendo en cuenta lo anterior, como se explicó en los numerales anteriores de este concepto, el parágrafo del artículo 38 de la Ley 996 de 2005 establece una prohibición para los gobernadores, alcaldes municipales y/o distritales, secretarios, gerentes y directores de entidades descentralizadas del orden municipal, departamental o distrital, en cuanto a la celebración de convenios o contratos interadministrativos para la ejecución de recursos públicos, dentro de los cuatro (4) meses anteriores a cualquier elección. En este sentido, para verificar si las universidades públicas están cubiertas por dicha prohibición, se hace necesario determinar su naturaleza jurídica, en la medida en que la disposición citada resulta aplicable a dos tipos de entidades públicas: las territoriales y las descentralizadas.</w:t>
      </w:r>
    </w:p>
    <w:p w14:paraId="1C17A481" w14:textId="77777777" w:rsidR="00FC1C1E" w:rsidRPr="00077410" w:rsidRDefault="00C02FE0" w:rsidP="00353D32">
      <w:pPr>
        <w:spacing w:after="0"/>
        <w:ind w:firstLine="708"/>
      </w:pPr>
      <w:r w:rsidRPr="00077410">
        <w:rPr>
          <w:rFonts w:ascii="Arial" w:eastAsia="Arial" w:hAnsi="Arial" w:cs="Arial"/>
          <w:sz w:val="22"/>
          <w:szCs w:val="22"/>
        </w:rPr>
        <w:t>La Constitución Política de Colombia consagra en el artículo 69, por una parte, una garantía de autonomía para que las universidades establezcan sus directivas y sus estatutos de acuerdo con la ley; y por otra, la posibilidad de que cuenten con un régimen especial que corresponde dictar al Congreso</w:t>
      </w:r>
      <w:r w:rsidRPr="00077410">
        <w:rPr>
          <w:rFonts w:ascii="Arial" w:eastAsia="Arial" w:hAnsi="Arial" w:cs="Arial"/>
          <w:sz w:val="22"/>
          <w:szCs w:val="22"/>
          <w:vertAlign w:val="superscript"/>
        </w:rPr>
        <w:footnoteReference w:id="30"/>
      </w:r>
      <w:r w:rsidRPr="00077410">
        <w:rPr>
          <w:rFonts w:ascii="Arial" w:eastAsia="Arial" w:hAnsi="Arial" w:cs="Arial"/>
          <w:sz w:val="22"/>
          <w:szCs w:val="22"/>
          <w:vertAlign w:val="subscript"/>
        </w:rPr>
        <w:t>.</w:t>
      </w:r>
    </w:p>
    <w:p w14:paraId="520E98D1" w14:textId="77777777" w:rsidR="00FC1C1E" w:rsidRPr="00077410" w:rsidRDefault="00C02FE0">
      <w:pPr>
        <w:spacing w:before="120" w:after="0"/>
        <w:ind w:firstLine="708"/>
        <w:rPr>
          <w:rFonts w:ascii="Arial" w:eastAsia="Arial" w:hAnsi="Arial" w:cs="Arial"/>
          <w:sz w:val="22"/>
          <w:szCs w:val="22"/>
        </w:rPr>
      </w:pPr>
      <w:r w:rsidRPr="00077410">
        <w:rPr>
          <w:rFonts w:ascii="Arial" w:eastAsia="Arial" w:hAnsi="Arial" w:cs="Arial"/>
          <w:sz w:val="22"/>
          <w:szCs w:val="22"/>
        </w:rPr>
        <w:t>En desarrollo de lo anterior, se expidió la Ley 30 de 1992, mediante la cual se regularon aspectos como la naturaleza jurídica de las universidades estatales y oficiales, la forma de organizarse y el régimen de contratación aplicable. Así mismo, en el artículo 57 se consignó que el carácter especial del régimen de las universidades estatales u oficiales comprende, entre otros aspectos, el régimen de contratación</w:t>
      </w:r>
      <w:r w:rsidRPr="00077410">
        <w:rPr>
          <w:rFonts w:ascii="Arial" w:eastAsia="Arial" w:hAnsi="Arial" w:cs="Arial"/>
          <w:sz w:val="22"/>
          <w:szCs w:val="22"/>
          <w:vertAlign w:val="superscript"/>
        </w:rPr>
        <w:footnoteReference w:id="31"/>
      </w:r>
      <w:r w:rsidRPr="00077410">
        <w:rPr>
          <w:rFonts w:ascii="Arial" w:eastAsia="Arial" w:hAnsi="Arial" w:cs="Arial"/>
          <w:sz w:val="22"/>
          <w:szCs w:val="22"/>
        </w:rPr>
        <w:t xml:space="preserve">. En el mismo sentido, </w:t>
      </w:r>
      <w:r w:rsidRPr="00077410">
        <w:rPr>
          <w:rFonts w:ascii="Arial" w:eastAsia="Arial" w:hAnsi="Arial" w:cs="Arial"/>
          <w:sz w:val="22"/>
          <w:szCs w:val="22"/>
        </w:rPr>
        <w:lastRenderedPageBreak/>
        <w:t>estableció en el artículo 93 que los contratos que celebren las universidades estatales u oficiales se regirán por las normas del derecho privado</w:t>
      </w:r>
      <w:r w:rsidRPr="00077410">
        <w:rPr>
          <w:rFonts w:ascii="Arial" w:eastAsia="Arial" w:hAnsi="Arial" w:cs="Arial"/>
          <w:sz w:val="22"/>
          <w:szCs w:val="22"/>
          <w:vertAlign w:val="superscript"/>
        </w:rPr>
        <w:footnoteReference w:id="32"/>
      </w:r>
      <w:r w:rsidRPr="00077410">
        <w:rPr>
          <w:rFonts w:ascii="Arial" w:eastAsia="Arial" w:hAnsi="Arial" w:cs="Arial"/>
          <w:sz w:val="22"/>
          <w:szCs w:val="22"/>
        </w:rPr>
        <w:t xml:space="preserve">. </w:t>
      </w:r>
    </w:p>
    <w:p w14:paraId="15096D5C" w14:textId="77777777" w:rsidR="00FC1C1E" w:rsidRPr="00077410" w:rsidRDefault="00C02FE0">
      <w:pPr>
        <w:widowControl w:val="0"/>
        <w:spacing w:before="120" w:after="0"/>
        <w:ind w:right="102" w:firstLine="708"/>
        <w:rPr>
          <w:rFonts w:ascii="Arial" w:eastAsia="Arial" w:hAnsi="Arial" w:cs="Arial"/>
          <w:sz w:val="22"/>
          <w:szCs w:val="22"/>
        </w:rPr>
      </w:pPr>
      <w:r w:rsidRPr="00077410">
        <w:rPr>
          <w:rFonts w:ascii="Arial" w:eastAsia="Arial" w:hAnsi="Arial" w:cs="Arial"/>
          <w:sz w:val="22"/>
          <w:szCs w:val="22"/>
        </w:rPr>
        <w:t>De otro lado, la Ley 489 de 1998, al desarrollar la estructura y organización de la Administración Pública, establece que los entes universitarios hacen parte integral de esta</w:t>
      </w:r>
      <w:r w:rsidRPr="00077410">
        <w:rPr>
          <w:rFonts w:ascii="Arial" w:eastAsia="Arial" w:hAnsi="Arial" w:cs="Arial"/>
          <w:sz w:val="22"/>
          <w:szCs w:val="22"/>
          <w:vertAlign w:val="superscript"/>
        </w:rPr>
        <w:footnoteReference w:id="33"/>
      </w:r>
      <w:r w:rsidRPr="00077410">
        <w:rPr>
          <w:rFonts w:ascii="Arial" w:eastAsia="Arial" w:hAnsi="Arial" w:cs="Arial"/>
          <w:sz w:val="22"/>
          <w:szCs w:val="22"/>
        </w:rPr>
        <w:t>, catalogándolos como entidades públicas de carácter autónomo a las que aplica un régimen especial</w:t>
      </w:r>
      <w:r w:rsidRPr="00077410">
        <w:rPr>
          <w:rFonts w:ascii="Arial" w:eastAsia="Arial" w:hAnsi="Arial" w:cs="Arial"/>
          <w:sz w:val="22"/>
          <w:szCs w:val="22"/>
          <w:vertAlign w:val="superscript"/>
        </w:rPr>
        <w:footnoteReference w:id="34"/>
      </w:r>
      <w:r w:rsidRPr="00077410">
        <w:rPr>
          <w:rFonts w:ascii="Arial" w:eastAsia="Arial" w:hAnsi="Arial" w:cs="Arial"/>
          <w:sz w:val="22"/>
          <w:szCs w:val="22"/>
        </w:rPr>
        <w:t>.  Al respecto, en la sentencia C-1019 de 2012, la Corte Constitucional señaló:</w:t>
      </w:r>
    </w:p>
    <w:p w14:paraId="25B51753" w14:textId="77777777" w:rsidR="00FC1C1E" w:rsidRPr="00077410" w:rsidRDefault="00FC1C1E">
      <w:pPr>
        <w:widowControl w:val="0"/>
        <w:spacing w:before="10" w:after="0" w:line="240" w:lineRule="auto"/>
        <w:jc w:val="left"/>
        <w:rPr>
          <w:rFonts w:ascii="Arial" w:eastAsia="Arial" w:hAnsi="Arial" w:cs="Arial"/>
          <w:sz w:val="19"/>
          <w:szCs w:val="19"/>
        </w:rPr>
      </w:pPr>
    </w:p>
    <w:p w14:paraId="2F4C87C5" w14:textId="77777777" w:rsidR="00FC1C1E" w:rsidRPr="00077410" w:rsidRDefault="00C02FE0">
      <w:pPr>
        <w:widowControl w:val="0"/>
        <w:spacing w:before="120" w:after="120" w:line="240" w:lineRule="auto"/>
        <w:ind w:left="709" w:right="709"/>
        <w:rPr>
          <w:rFonts w:ascii="Arial" w:eastAsia="Arial" w:hAnsi="Arial" w:cs="Arial"/>
          <w:sz w:val="21"/>
          <w:szCs w:val="21"/>
        </w:rPr>
      </w:pPr>
      <w:r w:rsidRPr="00077410">
        <w:rPr>
          <w:rFonts w:ascii="Arial" w:eastAsia="Arial" w:hAnsi="Arial" w:cs="Arial"/>
          <w:sz w:val="21"/>
          <w:szCs w:val="21"/>
        </w:rPr>
        <w:t>El régimen especial de las universidades públicas y oficiales se justifica en el hecho de que estas instituciones manejan recursos públicos y a que a través suyo se promueve directamente el servicio público de la educación, por lo cual es fundamental establecer canales de articulación con el Estado y la sociedad en aras de que esta misión se cumpla adecuadamente. Además, como entes públicos, a las universidades se les exige el cumplimiento de la obligación de colaboración armónica consagrado en el artículo 113 de la C.P. para el cumplimiento de las funciones del Estado.</w:t>
      </w:r>
    </w:p>
    <w:p w14:paraId="26016862" w14:textId="77777777" w:rsidR="00FC1C1E" w:rsidRPr="00077410" w:rsidRDefault="00C02FE0">
      <w:pPr>
        <w:widowControl w:val="0"/>
        <w:spacing w:before="120" w:after="0" w:line="240" w:lineRule="auto"/>
        <w:ind w:left="709" w:right="709"/>
        <w:rPr>
          <w:rFonts w:ascii="Arial" w:eastAsia="Arial" w:hAnsi="Arial" w:cs="Arial"/>
          <w:sz w:val="21"/>
          <w:szCs w:val="21"/>
        </w:rPr>
      </w:pPr>
      <w:r w:rsidRPr="00077410">
        <w:rPr>
          <w:rFonts w:ascii="Arial" w:eastAsia="Arial" w:hAnsi="Arial" w:cs="Arial"/>
          <w:sz w:val="21"/>
          <w:szCs w:val="21"/>
        </w:rPr>
        <w:t xml:space="preserve">Aunque se establezca la participación de representantes del Estado en sus órganos de gobierno, la normatividad y la jurisprudencia han reconocido que lo anterior no significa que dichas instituciones hagan parte de la administración </w:t>
      </w:r>
      <w:r w:rsidRPr="00077410">
        <w:rPr>
          <w:rFonts w:ascii="Arial" w:eastAsia="Arial" w:hAnsi="Arial" w:cs="Arial"/>
          <w:sz w:val="21"/>
          <w:szCs w:val="21"/>
        </w:rPr>
        <w:lastRenderedPageBreak/>
        <w:t>central o descentralizada, o se conviertan por ello en órganos dependientes y bajo el control de tutela del Estado, “pues las universidades estatales por su carácter de entes autónomos no conforman ninguna de las ramas del poder ni pueden formar parte de la administración nacional”</w:t>
      </w:r>
      <w:r w:rsidRPr="00077410">
        <w:rPr>
          <w:rFonts w:ascii="Arial" w:eastAsia="Arial" w:hAnsi="Arial" w:cs="Arial"/>
          <w:sz w:val="21"/>
          <w:szCs w:val="21"/>
          <w:vertAlign w:val="superscript"/>
        </w:rPr>
        <w:footnoteReference w:id="35"/>
      </w:r>
      <w:r w:rsidRPr="00077410">
        <w:rPr>
          <w:rFonts w:ascii="Arial" w:eastAsia="Arial" w:hAnsi="Arial" w:cs="Arial"/>
          <w:sz w:val="21"/>
          <w:szCs w:val="21"/>
        </w:rPr>
        <w:t>. De esta manera se pretende preservar a las universidades públicas y oficiales, de las injerencias e interferencias arbitrarias e indebidas del poder político</w:t>
      </w:r>
      <w:r w:rsidRPr="00077410">
        <w:rPr>
          <w:rFonts w:ascii="Arial" w:eastAsia="Arial" w:hAnsi="Arial" w:cs="Arial"/>
          <w:sz w:val="21"/>
          <w:szCs w:val="21"/>
          <w:vertAlign w:val="superscript"/>
        </w:rPr>
        <w:footnoteReference w:id="36"/>
      </w:r>
      <w:r w:rsidRPr="00077410">
        <w:rPr>
          <w:rFonts w:ascii="Arial" w:eastAsia="Arial" w:hAnsi="Arial" w:cs="Arial"/>
          <w:sz w:val="21"/>
          <w:szCs w:val="21"/>
        </w:rPr>
        <w:t>.</w:t>
      </w:r>
    </w:p>
    <w:p w14:paraId="1F0E4CF2" w14:textId="77777777" w:rsidR="00FC1C1E" w:rsidRPr="00077410" w:rsidRDefault="00FC1C1E">
      <w:pPr>
        <w:widowControl w:val="0"/>
        <w:spacing w:before="120" w:after="0" w:line="240" w:lineRule="auto"/>
        <w:ind w:left="709" w:right="709"/>
        <w:rPr>
          <w:rFonts w:ascii="Arial" w:eastAsia="Arial" w:hAnsi="Arial" w:cs="Arial"/>
          <w:sz w:val="21"/>
          <w:szCs w:val="21"/>
        </w:rPr>
      </w:pPr>
    </w:p>
    <w:p w14:paraId="02AAB57C" w14:textId="77777777" w:rsidR="00FC1C1E" w:rsidRPr="00077410" w:rsidRDefault="00C02FE0">
      <w:pPr>
        <w:widowControl w:val="0"/>
        <w:spacing w:after="0"/>
        <w:ind w:left="181" w:right="108" w:firstLine="527"/>
        <w:rPr>
          <w:rFonts w:ascii="Arial" w:eastAsia="Arial" w:hAnsi="Arial" w:cs="Arial"/>
          <w:sz w:val="22"/>
          <w:szCs w:val="22"/>
        </w:rPr>
      </w:pPr>
      <w:r w:rsidRPr="00077410">
        <w:rPr>
          <w:rFonts w:ascii="Arial" w:eastAsia="Arial" w:hAnsi="Arial" w:cs="Arial"/>
          <w:sz w:val="22"/>
          <w:szCs w:val="22"/>
        </w:rPr>
        <w:t>En armonía con lo anterior, se ha considerado que los entes universitarios no son entidades que hagan parte de la rama ejecutiva, ni pueden, por tanto, considerarse entidades descentralizadas, sino que gozan de un régimen especial. Lo anterior fue señalado por el Consejo de Estado de la siguiente manera</w:t>
      </w:r>
      <w:r w:rsidRPr="00077410">
        <w:rPr>
          <w:rFonts w:ascii="Arial" w:eastAsia="Arial" w:hAnsi="Arial" w:cs="Arial"/>
          <w:sz w:val="22"/>
          <w:szCs w:val="22"/>
          <w:vertAlign w:val="superscript"/>
        </w:rPr>
        <w:footnoteReference w:id="37"/>
      </w:r>
      <w:r w:rsidRPr="00077410">
        <w:rPr>
          <w:rFonts w:ascii="Arial" w:eastAsia="Arial" w:hAnsi="Arial" w:cs="Arial"/>
          <w:sz w:val="22"/>
          <w:szCs w:val="22"/>
        </w:rPr>
        <w:t>:</w:t>
      </w:r>
    </w:p>
    <w:p w14:paraId="6A011A28" w14:textId="77777777" w:rsidR="00FC1C1E" w:rsidRPr="00077410" w:rsidRDefault="00FC1C1E">
      <w:pPr>
        <w:widowControl w:val="0"/>
        <w:spacing w:after="0" w:line="240" w:lineRule="auto"/>
        <w:jc w:val="left"/>
        <w:rPr>
          <w:rFonts w:ascii="Arial" w:eastAsia="Arial" w:hAnsi="Arial" w:cs="Arial"/>
          <w:sz w:val="22"/>
          <w:szCs w:val="22"/>
        </w:rPr>
      </w:pPr>
    </w:p>
    <w:p w14:paraId="47554EA5" w14:textId="77777777" w:rsidR="00FC1C1E" w:rsidRPr="00077410" w:rsidRDefault="00C02FE0">
      <w:pPr>
        <w:widowControl w:val="0"/>
        <w:spacing w:after="120" w:line="240" w:lineRule="auto"/>
        <w:ind w:left="709" w:right="709"/>
        <w:rPr>
          <w:rFonts w:ascii="Arial" w:eastAsia="Arial" w:hAnsi="Arial" w:cs="Arial"/>
          <w:sz w:val="21"/>
          <w:szCs w:val="21"/>
        </w:rPr>
      </w:pPr>
      <w:r w:rsidRPr="00077410">
        <w:rPr>
          <w:rFonts w:ascii="Arial" w:eastAsia="Arial" w:hAnsi="Arial" w:cs="Arial"/>
          <w:sz w:val="21"/>
          <w:szCs w:val="21"/>
        </w:rPr>
        <w:t>Ahora bien, en la disposición legal [art. 57 de la Ley 30/92] se menciona que las universidades estatales u oficiales están vinculadas al Ministerio de Educación Nacional en lo que se refiere a las políticas y planeación del sector educativo, en donde la jurisprudencia constitucional ha dejado en claro que es únicamente para efectos de coordinar y planear el desarrollo de directrices educativas, y no como organismos supeditados al poder ejecutivo, de manera que deben actuar con independencia del mismo, sin estar sujetas a un control de tutela como el concebido para los establecimientos públicos, concepto que por sí mismo niega la autonomía.</w:t>
      </w:r>
    </w:p>
    <w:p w14:paraId="2EB6DFD1" w14:textId="77777777" w:rsidR="00FC1C1E" w:rsidRPr="00077410" w:rsidRDefault="00C02FE0">
      <w:pPr>
        <w:widowControl w:val="0"/>
        <w:spacing w:before="1" w:after="120" w:line="240" w:lineRule="auto"/>
        <w:ind w:left="709" w:right="709"/>
        <w:jc w:val="left"/>
        <w:rPr>
          <w:rFonts w:ascii="Arial" w:eastAsia="Arial" w:hAnsi="Arial" w:cs="Arial"/>
          <w:sz w:val="21"/>
          <w:szCs w:val="21"/>
        </w:rPr>
      </w:pPr>
      <w:r w:rsidRPr="00077410">
        <w:rPr>
          <w:rFonts w:ascii="Arial" w:eastAsia="Arial" w:hAnsi="Arial" w:cs="Arial"/>
          <w:sz w:val="21"/>
          <w:szCs w:val="21"/>
        </w:rPr>
        <w:t>[…]</w:t>
      </w:r>
    </w:p>
    <w:p w14:paraId="38B52087" w14:textId="77777777" w:rsidR="00FC1C1E" w:rsidRPr="00077410" w:rsidRDefault="00C02FE0">
      <w:pPr>
        <w:widowControl w:val="0"/>
        <w:spacing w:after="120" w:line="240" w:lineRule="auto"/>
        <w:ind w:left="709" w:right="709"/>
        <w:rPr>
          <w:rFonts w:ascii="Arial" w:eastAsia="Arial" w:hAnsi="Arial" w:cs="Arial"/>
          <w:sz w:val="21"/>
          <w:szCs w:val="21"/>
        </w:rPr>
      </w:pPr>
      <w:r w:rsidRPr="00077410">
        <w:rPr>
          <w:rFonts w:ascii="Arial" w:eastAsia="Arial" w:hAnsi="Arial" w:cs="Arial"/>
          <w:sz w:val="21"/>
          <w:szCs w:val="21"/>
        </w:rPr>
        <w:t>La situación se modificó con el actual marco constitucional en donde se estableció [art. 69] la garantía a la autonomía universitaria, para que pudieran darse sus directivas y regirse por sus propios estatutos, de acuerdo con el régimen especial que previera la Ley para las universidades del Estado, por lo cual se despojaban del control de tutela que ejercía el ejecutivo sobre ellas, con el fin de garantizar la independencia académica en la educación superior, sin ningún tipo de injerencia del poder público.</w:t>
      </w:r>
    </w:p>
    <w:p w14:paraId="17ADBF73" w14:textId="77777777" w:rsidR="00FC1C1E" w:rsidRPr="00077410" w:rsidRDefault="00C02FE0">
      <w:pPr>
        <w:widowControl w:val="0"/>
        <w:spacing w:after="120" w:line="240" w:lineRule="auto"/>
        <w:ind w:left="709" w:right="709"/>
        <w:rPr>
          <w:rFonts w:ascii="Arial" w:eastAsia="Arial" w:hAnsi="Arial" w:cs="Arial"/>
          <w:sz w:val="21"/>
          <w:szCs w:val="21"/>
        </w:rPr>
      </w:pPr>
      <w:r w:rsidRPr="00077410">
        <w:rPr>
          <w:rFonts w:ascii="Arial" w:eastAsia="Arial" w:hAnsi="Arial" w:cs="Arial"/>
          <w:sz w:val="21"/>
          <w:szCs w:val="21"/>
        </w:rPr>
        <w:t>Lo anterior hizo que dejaran de pertenecer a la rama ejecutiva y por supuesto no hicieran parte de las demás [legislativa y judicial], al convertirse en organismos autónomos que cumplen funciones estatales de trascendental importancia para la nación, sin perder la calidad de entidades públicas […]</w:t>
      </w:r>
      <w:r w:rsidRPr="00077410">
        <w:rPr>
          <w:rFonts w:ascii="Arial" w:eastAsia="Arial" w:hAnsi="Arial" w:cs="Arial"/>
          <w:sz w:val="21"/>
          <w:szCs w:val="21"/>
          <w:vertAlign w:val="superscript"/>
        </w:rPr>
        <w:footnoteReference w:id="38"/>
      </w:r>
      <w:r w:rsidRPr="00077410">
        <w:rPr>
          <w:rFonts w:ascii="Arial" w:eastAsia="Arial" w:hAnsi="Arial" w:cs="Arial"/>
          <w:sz w:val="21"/>
          <w:szCs w:val="21"/>
        </w:rPr>
        <w:t>.</w:t>
      </w:r>
    </w:p>
    <w:p w14:paraId="7F966189" w14:textId="77777777" w:rsidR="00FC1C1E" w:rsidRPr="00077410" w:rsidRDefault="00FC1C1E">
      <w:pPr>
        <w:widowControl w:val="0"/>
        <w:spacing w:after="0" w:line="240" w:lineRule="auto"/>
        <w:ind w:left="748" w:right="535"/>
        <w:rPr>
          <w:rFonts w:ascii="Arial" w:eastAsia="Arial" w:hAnsi="Arial" w:cs="Arial"/>
          <w:sz w:val="21"/>
          <w:szCs w:val="21"/>
        </w:rPr>
      </w:pPr>
    </w:p>
    <w:p w14:paraId="4728BEE7" w14:textId="77777777" w:rsidR="00FC1C1E" w:rsidRPr="00077410" w:rsidRDefault="00C02FE0">
      <w:pPr>
        <w:widowControl w:val="0"/>
        <w:spacing w:after="0"/>
        <w:ind w:left="180" w:right="108" w:firstLine="528"/>
        <w:rPr>
          <w:rFonts w:ascii="Arial" w:eastAsia="Arial" w:hAnsi="Arial" w:cs="Arial"/>
          <w:sz w:val="22"/>
          <w:szCs w:val="22"/>
        </w:rPr>
      </w:pPr>
      <w:r w:rsidRPr="00077410">
        <w:rPr>
          <w:rFonts w:ascii="Arial" w:eastAsia="Arial" w:hAnsi="Arial" w:cs="Arial"/>
          <w:sz w:val="22"/>
          <w:szCs w:val="22"/>
        </w:rPr>
        <w:t>De este modo, la diferenciación entre universidades públicas y entidades descentralizadas radica, entre otras cosas, en la autonomía de la que aquellas gozan. Esto, en la medida en que a las universidades públicas no les aplica un elemento característico de la descentralización denominado control de tutela, sobre el cual, en sentencia C–727 del 21 de junio de 2000, la Corte Constitucional señaló:</w:t>
      </w:r>
    </w:p>
    <w:p w14:paraId="013080C2" w14:textId="77777777" w:rsidR="00FC1C1E" w:rsidRPr="00077410" w:rsidRDefault="00FC1C1E">
      <w:pPr>
        <w:widowControl w:val="0"/>
        <w:spacing w:after="0"/>
        <w:ind w:left="180" w:right="108" w:firstLine="528"/>
        <w:rPr>
          <w:rFonts w:ascii="Arial" w:eastAsia="Arial" w:hAnsi="Arial" w:cs="Arial"/>
          <w:sz w:val="22"/>
          <w:szCs w:val="22"/>
        </w:rPr>
      </w:pPr>
    </w:p>
    <w:p w14:paraId="3CC847FA" w14:textId="77777777" w:rsidR="00FC1C1E" w:rsidRPr="00077410" w:rsidRDefault="00C02FE0">
      <w:pPr>
        <w:widowControl w:val="0"/>
        <w:spacing w:after="0" w:line="240" w:lineRule="auto"/>
        <w:ind w:left="709" w:right="709"/>
        <w:rPr>
          <w:rFonts w:ascii="Arial" w:eastAsia="Arial" w:hAnsi="Arial" w:cs="Arial"/>
          <w:sz w:val="21"/>
          <w:szCs w:val="21"/>
        </w:rPr>
      </w:pPr>
      <w:r w:rsidRPr="00077410">
        <w:rPr>
          <w:rFonts w:ascii="Arial" w:eastAsia="Arial" w:hAnsi="Arial" w:cs="Arial"/>
          <w:sz w:val="21"/>
          <w:szCs w:val="21"/>
        </w:rPr>
        <w:t>La descentralización es una forma de organización administrativa propia de los Estados de forma unitaria, que atenúa la centralización permitiendo la transferencia de competencias a organismos distintos del poder central, que adquieren autonomía en la gestión de las respectivas funciones. No obstante, esta transferencia no implica la ruptura total del vínculo entre el poder central y la entidad descentralizada, sino que, en aras de garantizar el principio de coordinación que gobierna la función administrativa, dicho vínculo permanece vigente a través del llamado control de tutela, existente en nuestra organización administrativa respecto de los entes funcionalmente descentralizados, con definidos perfiles jurídicos, desde la reforma constitucional y administrativa operada en 1968.</w:t>
      </w:r>
    </w:p>
    <w:p w14:paraId="6A7E0FD2" w14:textId="77777777" w:rsidR="00FC1C1E" w:rsidRPr="00077410" w:rsidRDefault="00FC1C1E">
      <w:pPr>
        <w:widowControl w:val="0"/>
        <w:spacing w:after="0" w:line="240" w:lineRule="auto"/>
        <w:ind w:left="748" w:right="533"/>
        <w:rPr>
          <w:rFonts w:ascii="Arial" w:eastAsia="Arial" w:hAnsi="Arial" w:cs="Arial"/>
          <w:sz w:val="21"/>
          <w:szCs w:val="21"/>
        </w:rPr>
      </w:pPr>
    </w:p>
    <w:p w14:paraId="0131D3F8" w14:textId="77777777" w:rsidR="00FC1C1E" w:rsidRPr="00077410" w:rsidRDefault="00C02FE0">
      <w:pPr>
        <w:widowControl w:val="0"/>
        <w:spacing w:after="0"/>
        <w:ind w:firstLine="709"/>
        <w:rPr>
          <w:rFonts w:ascii="Arial" w:eastAsia="Arial" w:hAnsi="Arial" w:cs="Arial"/>
          <w:sz w:val="22"/>
          <w:szCs w:val="22"/>
        </w:rPr>
      </w:pPr>
      <w:r w:rsidRPr="00077410">
        <w:rPr>
          <w:rFonts w:ascii="Arial" w:eastAsia="Arial" w:hAnsi="Arial" w:cs="Arial"/>
          <w:sz w:val="22"/>
          <w:szCs w:val="22"/>
        </w:rPr>
        <w:t>En suma, la descentralización involucra el ejercicio de un control de tutela que no puede aplicarse a los entes universitarios autónomos, motivo por el cual, si bien son entes del Estado, no son ni pueden ser asimiladas a entidades descentralizadas y tampoco encuadran en el concepto de entidad territorial. Lo anterior resulta relevante para efectos de la aplicación de la Ley de Garantías, especialmente, en lo relacionado con la prohibición del parágrafo del artículo 38, ya que los entes universitarios autónomos, de conformidad con lo desarrollado hasta este lugar no se enmarcan dentro de las autoridades incluidas en dicha prohibición, en tanto está dirigida a los «gobernadores, alcaldes municipales y/o distritales, secretarios, gerentes y directores de entidades descentralizadas del orden municipal, departamental o distrital»</w:t>
      </w:r>
      <w:r w:rsidRPr="00077410">
        <w:rPr>
          <w:rFonts w:ascii="Arial" w:eastAsia="Arial" w:hAnsi="Arial" w:cs="Arial"/>
          <w:sz w:val="22"/>
          <w:szCs w:val="22"/>
          <w:vertAlign w:val="superscript"/>
        </w:rPr>
        <w:footnoteReference w:id="39"/>
      </w:r>
      <w:r w:rsidRPr="00077410">
        <w:rPr>
          <w:rFonts w:ascii="Arial" w:eastAsia="Arial" w:hAnsi="Arial" w:cs="Arial"/>
          <w:sz w:val="22"/>
          <w:szCs w:val="22"/>
        </w:rPr>
        <w:t xml:space="preserve">. Sin embargo, al tratarse de «entes del Estado» que es la noción establecida en el artículo 33 de la Ley 996 de 2005 sí quedan incluidas en esta prohibición, toda vez que esta aplica a todos </w:t>
      </w:r>
      <w:r w:rsidRPr="00077410">
        <w:rPr>
          <w:rFonts w:ascii="Arial" w:eastAsia="Arial" w:hAnsi="Arial" w:cs="Arial"/>
          <w:color w:val="000000"/>
          <w:sz w:val="22"/>
          <w:szCs w:val="22"/>
        </w:rPr>
        <w:t>los entes del Estado, sin importar su régimen jurídico, forma de organización o naturaleza, pertenencia a una u otra rama del poder público o su autonomía, por lo que dentro de ella se encuentran las universidades públicas, a quienes les queda prohibida la contratación directa durante los cuatro (4) meses anteriores a la elección presidencial y hasta la realización de la elección en la segunda vuelta, si fuere el caso.</w:t>
      </w:r>
    </w:p>
    <w:p w14:paraId="057A16D5" w14:textId="77777777" w:rsidR="00FC1C1E" w:rsidRPr="00077410" w:rsidRDefault="00FC1C1E">
      <w:pPr>
        <w:widowControl w:val="0"/>
        <w:pBdr>
          <w:top w:val="nil"/>
          <w:left w:val="nil"/>
          <w:bottom w:val="nil"/>
          <w:right w:val="nil"/>
          <w:between w:val="nil"/>
        </w:pBdr>
        <w:spacing w:after="0"/>
        <w:ind w:left="180" w:right="112"/>
        <w:rPr>
          <w:rFonts w:ascii="Arial" w:eastAsia="Arial" w:hAnsi="Arial" w:cs="Arial"/>
          <w:color w:val="000000"/>
          <w:sz w:val="20"/>
          <w:szCs w:val="20"/>
        </w:rPr>
      </w:pPr>
    </w:p>
    <w:p w14:paraId="37CA9DC1" w14:textId="77777777" w:rsidR="00FC1C1E" w:rsidRPr="00077410" w:rsidRDefault="00C02FE0">
      <w:pPr>
        <w:shd w:val="clear" w:color="auto" w:fill="FFFFFF"/>
        <w:spacing w:after="0"/>
        <w:rPr>
          <w:rFonts w:ascii="Arial" w:eastAsia="Arial" w:hAnsi="Arial" w:cs="Arial"/>
          <w:sz w:val="22"/>
          <w:szCs w:val="22"/>
        </w:rPr>
      </w:pPr>
      <w:r w:rsidRPr="00077410">
        <w:rPr>
          <w:rFonts w:ascii="Arial" w:eastAsia="Arial" w:hAnsi="Arial" w:cs="Arial"/>
          <w:b/>
          <w:color w:val="000000"/>
          <w:sz w:val="22"/>
          <w:szCs w:val="22"/>
        </w:rPr>
        <w:lastRenderedPageBreak/>
        <w:t>2.5.</w:t>
      </w:r>
      <w:r w:rsidRPr="00077410">
        <w:rPr>
          <w:rFonts w:ascii="Arial" w:eastAsia="Arial" w:hAnsi="Arial" w:cs="Arial"/>
          <w:color w:val="000000"/>
          <w:sz w:val="22"/>
          <w:szCs w:val="22"/>
        </w:rPr>
        <w:t xml:space="preserve"> </w:t>
      </w:r>
      <w:r w:rsidRPr="00077410">
        <w:rPr>
          <w:rFonts w:ascii="Arial" w:eastAsia="Arial" w:hAnsi="Arial" w:cs="Arial"/>
          <w:b/>
          <w:sz w:val="22"/>
          <w:szCs w:val="22"/>
        </w:rPr>
        <w:t>Modificaciones realizadas por la Ley Anual del Presupuesto para la vigencia fiscal de 2022 a la Ley de Garantías Electorales</w:t>
      </w:r>
      <w:r w:rsidRPr="00077410">
        <w:rPr>
          <w:rFonts w:ascii="Arial" w:eastAsia="Arial" w:hAnsi="Arial" w:cs="Arial"/>
          <w:sz w:val="22"/>
          <w:szCs w:val="22"/>
        </w:rPr>
        <w:t xml:space="preserve"> </w:t>
      </w:r>
    </w:p>
    <w:p w14:paraId="7312CDAD" w14:textId="77777777" w:rsidR="00FC1C1E" w:rsidRPr="00077410" w:rsidRDefault="00FC1C1E">
      <w:pPr>
        <w:shd w:val="clear" w:color="auto" w:fill="FFFFFF"/>
        <w:spacing w:after="0"/>
        <w:rPr>
          <w:rFonts w:ascii="Arial" w:eastAsia="Arial" w:hAnsi="Arial" w:cs="Arial"/>
          <w:sz w:val="22"/>
          <w:szCs w:val="22"/>
        </w:rPr>
      </w:pPr>
    </w:p>
    <w:p w14:paraId="6BC22662" w14:textId="118E2523" w:rsidR="00FC1C1E" w:rsidRPr="00077410" w:rsidRDefault="00C02FE0" w:rsidP="00353D32">
      <w:pPr>
        <w:shd w:val="clear" w:color="auto" w:fill="FFFFFF"/>
        <w:spacing w:after="0"/>
      </w:pPr>
      <w:r w:rsidRPr="00077410">
        <w:rPr>
          <w:rFonts w:ascii="Arial" w:eastAsia="Arial" w:hAnsi="Arial" w:cs="Arial"/>
          <w:sz w:val="22"/>
          <w:szCs w:val="22"/>
        </w:rPr>
        <w:t xml:space="preserve">El análisis que a continuación se realizará, fue efectuado por esta Agencia en el concepto C-674 del 6 de diciembre de 2021, por lo que se reiterará dicha postura complementándola con los cuestionamientos formulados por el peticionario. Partiendo de lo anterior, el 12 de noviembre de 2021 el </w:t>
      </w:r>
      <w:proofErr w:type="gramStart"/>
      <w:r w:rsidRPr="00077410">
        <w:rPr>
          <w:rFonts w:ascii="Arial" w:eastAsia="Arial" w:hAnsi="Arial" w:cs="Arial"/>
          <w:sz w:val="22"/>
          <w:szCs w:val="22"/>
        </w:rPr>
        <w:t>Presidente</w:t>
      </w:r>
      <w:proofErr w:type="gramEnd"/>
      <w:r w:rsidRPr="00077410">
        <w:rPr>
          <w:rFonts w:ascii="Arial" w:eastAsia="Arial" w:hAnsi="Arial" w:cs="Arial"/>
          <w:sz w:val="22"/>
          <w:szCs w:val="22"/>
        </w:rPr>
        <w:t xml:space="preserve"> de la República sancionó la Ley 2159</w:t>
      </w:r>
      <w:r w:rsidRPr="00077410">
        <w:rPr>
          <w:rFonts w:ascii="Arial" w:eastAsia="Arial" w:hAnsi="Arial" w:cs="Arial"/>
          <w:sz w:val="22"/>
          <w:szCs w:val="22"/>
          <w:vertAlign w:val="superscript"/>
        </w:rPr>
        <w:footnoteReference w:id="40"/>
      </w:r>
      <w:r w:rsidRPr="00077410">
        <w:rPr>
          <w:rFonts w:ascii="Arial" w:eastAsia="Arial" w:hAnsi="Arial" w:cs="Arial"/>
          <w:sz w:val="22"/>
          <w:szCs w:val="22"/>
        </w:rPr>
        <w:t>, por la cual se decreta el presupuesto de rentas y recursos de capital y ley de apropiaciones para la vigencia fiscal del 1 de enero al 31 de diciembre de 2022 –Ley Anual del Presupuesto–</w:t>
      </w:r>
      <w:r w:rsidRPr="00077410">
        <w:rPr>
          <w:rFonts w:ascii="Arial" w:eastAsia="Arial" w:hAnsi="Arial" w:cs="Arial"/>
          <w:sz w:val="22"/>
          <w:szCs w:val="22"/>
          <w:vertAlign w:val="superscript"/>
        </w:rPr>
        <w:footnoteReference w:id="41"/>
      </w:r>
      <w:r w:rsidRPr="00077410">
        <w:rPr>
          <w:rFonts w:ascii="Arial" w:eastAsia="Arial" w:hAnsi="Arial" w:cs="Arial"/>
          <w:sz w:val="22"/>
          <w:szCs w:val="22"/>
        </w:rPr>
        <w:t xml:space="preserve">. </w:t>
      </w:r>
      <w:bookmarkStart w:id="22" w:name="_3j2qqm3" w:colFirst="0" w:colLast="0"/>
      <w:bookmarkEnd w:id="22"/>
      <w:r w:rsidRPr="00077410">
        <w:rPr>
          <w:rFonts w:ascii="Arial" w:eastAsia="Arial" w:hAnsi="Arial" w:cs="Arial"/>
          <w:sz w:val="22"/>
          <w:szCs w:val="22"/>
        </w:rPr>
        <w:t xml:space="preserve">Dentro del Capítulo V sobre «disposiciones varias» contenido en la Tercera Parte, «Disposiciones Generales», se destaca la inclusión del artículo 124, a cuyo tenor: </w:t>
      </w:r>
    </w:p>
    <w:p w14:paraId="124772CB" w14:textId="77777777" w:rsidR="00FC1C1E" w:rsidRPr="00077410" w:rsidRDefault="00FC1C1E">
      <w:pPr>
        <w:shd w:val="clear" w:color="auto" w:fill="FFFFFF"/>
        <w:spacing w:after="0"/>
        <w:rPr>
          <w:rFonts w:ascii="Arial" w:eastAsia="Arial" w:hAnsi="Arial" w:cs="Arial"/>
        </w:rPr>
      </w:pPr>
    </w:p>
    <w:p w14:paraId="5A0B8C84" w14:textId="77777777" w:rsidR="00FC1C1E" w:rsidRPr="00077410" w:rsidRDefault="00C02FE0" w:rsidP="00353D32">
      <w:pPr>
        <w:shd w:val="clear" w:color="auto" w:fill="FFFFFF"/>
        <w:spacing w:after="120" w:line="240" w:lineRule="auto"/>
        <w:ind w:left="709" w:right="709"/>
      </w:pPr>
      <w:bookmarkStart w:id="23" w:name="_1y810tw" w:colFirst="0" w:colLast="0"/>
      <w:bookmarkEnd w:id="23"/>
      <w:r w:rsidRPr="00077410">
        <w:rPr>
          <w:rFonts w:ascii="Arial" w:eastAsia="Arial" w:hAnsi="Arial" w:cs="Arial"/>
          <w:sz w:val="21"/>
          <w:szCs w:val="21"/>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7FD392D0" w14:textId="77777777" w:rsidR="00FC1C1E" w:rsidRPr="00077410" w:rsidRDefault="00C02FE0" w:rsidP="00353D32">
      <w:pPr>
        <w:shd w:val="clear" w:color="auto" w:fill="FFFFFF"/>
        <w:spacing w:after="120" w:line="240" w:lineRule="auto"/>
        <w:ind w:left="709" w:right="709"/>
      </w:pPr>
      <w:r w:rsidRPr="00077410">
        <w:rPr>
          <w:rFonts w:ascii="Arial" w:eastAsia="Arial" w:hAnsi="Arial" w:cs="Arial"/>
          <w:sz w:val="21"/>
          <w:szCs w:val="21"/>
        </w:rPr>
        <w:t xml:space="preserve">La presente disposición modifica únicamente en la parte pertinente el inciso primero del parágrafo del artículo 38 de la Ley 996 de 2005. </w:t>
      </w:r>
    </w:p>
    <w:p w14:paraId="073A4979" w14:textId="77777777" w:rsidR="00FC1C1E" w:rsidRPr="00077410" w:rsidRDefault="00C02FE0" w:rsidP="00353D32">
      <w:pPr>
        <w:shd w:val="clear" w:color="auto" w:fill="FFFFFF"/>
        <w:spacing w:after="0" w:line="240" w:lineRule="auto"/>
        <w:ind w:left="709" w:right="709"/>
      </w:pPr>
      <w:r w:rsidRPr="00077410">
        <w:rPr>
          <w:rFonts w:ascii="Arial" w:eastAsia="Arial" w:hAnsi="Arial" w:cs="Arial"/>
          <w:sz w:val="21"/>
          <w:szCs w:val="21"/>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p>
    <w:p w14:paraId="62215ABB" w14:textId="77777777" w:rsidR="00FC1C1E" w:rsidRPr="00077410" w:rsidRDefault="00FC1C1E">
      <w:pPr>
        <w:shd w:val="clear" w:color="auto" w:fill="FFFFFF"/>
        <w:spacing w:after="0"/>
        <w:rPr>
          <w:rFonts w:ascii="Arial" w:eastAsia="Arial" w:hAnsi="Arial" w:cs="Arial"/>
          <w:sz w:val="22"/>
          <w:szCs w:val="22"/>
        </w:rPr>
      </w:pPr>
    </w:p>
    <w:p w14:paraId="34A2A57B" w14:textId="77777777" w:rsidR="00FC1C1E" w:rsidRPr="00077410" w:rsidRDefault="00C02FE0" w:rsidP="00353D32">
      <w:pPr>
        <w:spacing w:after="120"/>
        <w:ind w:firstLine="709"/>
      </w:pPr>
      <w:r w:rsidRPr="00077410">
        <w:rPr>
          <w:rFonts w:ascii="Arial" w:eastAsia="Arial" w:hAnsi="Arial" w:cs="Arial"/>
          <w:sz w:val="22"/>
          <w:szCs w:val="22"/>
        </w:rPr>
        <w:t>Al respecto, es importante señalar que los artículos 345 a 355 de la Constitución Política de 1991 desarrollan los asuntos del presupuesto general</w:t>
      </w:r>
      <w:r w:rsidRPr="00077410">
        <w:rPr>
          <w:rFonts w:ascii="Arial" w:eastAsia="Arial" w:hAnsi="Arial" w:cs="Arial"/>
          <w:sz w:val="22"/>
          <w:szCs w:val="22"/>
          <w:vertAlign w:val="superscript"/>
        </w:rPr>
        <w:footnoteReference w:id="42"/>
      </w:r>
      <w:r w:rsidRPr="00077410">
        <w:rPr>
          <w:rFonts w:ascii="Arial" w:eastAsia="Arial" w:hAnsi="Arial" w:cs="Arial"/>
          <w:sz w:val="22"/>
          <w:szCs w:val="22"/>
        </w:rPr>
        <w:t xml:space="preserve">. En estas normas se </w:t>
      </w:r>
      <w:r w:rsidRPr="00077410">
        <w:rPr>
          <w:rFonts w:ascii="Arial" w:eastAsia="Arial" w:hAnsi="Arial" w:cs="Arial"/>
          <w:sz w:val="22"/>
          <w:szCs w:val="22"/>
        </w:rPr>
        <w:lastRenderedPageBreak/>
        <w:t>regula lo concerniente a la Ley Anual de presupuesto o Presupuesto de Rentas y Ley de Apropiaciones a expedir por el Congreso de la República, la cual debe contener la estimación de las rentas nacionales y la autorización de los gastos del Estado para la respectiva vigencia fiscal anual, comprendida entre el 1° de enero y el 31 de diciembre y guardar correspondencia con el Plan Nacional de Desarrollo.</w:t>
      </w:r>
    </w:p>
    <w:p w14:paraId="1A28F895" w14:textId="77777777" w:rsidR="00FC1C1E" w:rsidRPr="00077410" w:rsidRDefault="00C02FE0" w:rsidP="00353D32">
      <w:pPr>
        <w:spacing w:after="120"/>
        <w:ind w:firstLine="709"/>
      </w:pPr>
      <w:r w:rsidRPr="00077410">
        <w:rPr>
          <w:rFonts w:ascii="Arial" w:eastAsia="Arial" w:hAnsi="Arial" w:cs="Arial"/>
          <w:sz w:val="22"/>
          <w:szCs w:val="22"/>
        </w:rPr>
        <w:t>La Ley Anual de presupuesto o Presupuesto de Rentas y Ley de Apropiaciones, no solo responde a un análisis contable de rubros y gastos, sino que también es el resultado de un debate democrático connatural a la discusión, elaboración y aprobación de las leyes por el Congreso de la República, por cuanto con ella se pretende responder a la realidad económica y a las necesidades sociales de los colombianos y materializar las acciones de política pública</w:t>
      </w:r>
      <w:r w:rsidRPr="00077410">
        <w:rPr>
          <w:rFonts w:ascii="Arial" w:eastAsia="Arial" w:hAnsi="Arial" w:cs="Arial"/>
          <w:vertAlign w:val="superscript"/>
        </w:rPr>
        <w:footnoteReference w:id="43"/>
      </w:r>
      <w:r w:rsidRPr="00077410">
        <w:rPr>
          <w:rFonts w:ascii="Arial" w:eastAsia="Arial" w:hAnsi="Arial" w:cs="Arial"/>
          <w:sz w:val="22"/>
          <w:szCs w:val="22"/>
        </w:rPr>
        <w:t>.</w:t>
      </w:r>
    </w:p>
    <w:p w14:paraId="7CB13D64" w14:textId="77777777" w:rsidR="00FC1C1E" w:rsidRPr="00077410" w:rsidRDefault="00C02FE0" w:rsidP="00353D32">
      <w:pPr>
        <w:spacing w:after="120"/>
        <w:ind w:firstLine="709"/>
      </w:pPr>
      <w:r w:rsidRPr="00077410">
        <w:rPr>
          <w:rFonts w:ascii="Arial" w:eastAsia="Arial" w:hAnsi="Arial" w:cs="Arial"/>
          <w:sz w:val="22"/>
          <w:szCs w:val="22"/>
        </w:rPr>
        <w:t>En este sentido, es diferente analizar la ley desde la posición que concibe el presupuesto como un mero requisito para la ejecución de las partidas que contempla, a examinarla bajo la concepción de que, con base en las razones expuestas, al presupuesto le corresponde un contenido material propio y una indiscutible fuerza normativa ligada al logro de importantes objetivos económicos y sociales</w:t>
      </w:r>
      <w:r w:rsidRPr="00077410">
        <w:rPr>
          <w:rFonts w:ascii="Arial" w:eastAsia="Arial" w:hAnsi="Arial" w:cs="Arial"/>
          <w:sz w:val="22"/>
          <w:szCs w:val="22"/>
          <w:vertAlign w:val="superscript"/>
        </w:rPr>
        <w:footnoteReference w:id="44"/>
      </w:r>
      <w:r w:rsidRPr="00077410">
        <w:rPr>
          <w:rFonts w:ascii="Arial" w:eastAsia="Arial" w:hAnsi="Arial" w:cs="Arial"/>
          <w:sz w:val="22"/>
          <w:szCs w:val="22"/>
        </w:rPr>
        <w:t xml:space="preserve">, que exige atender su trámite en términos de participación democrática directa y representativa. Vista de esta manera, la ley de presupuesto además de su carácter de herramienta </w:t>
      </w:r>
      <w:proofErr w:type="gramStart"/>
      <w:r w:rsidRPr="00077410">
        <w:rPr>
          <w:rFonts w:ascii="Arial" w:eastAsia="Arial" w:hAnsi="Arial" w:cs="Arial"/>
          <w:sz w:val="22"/>
          <w:szCs w:val="22"/>
        </w:rPr>
        <w:t>macroeconómica,</w:t>
      </w:r>
      <w:proofErr w:type="gramEnd"/>
      <w:r w:rsidRPr="00077410">
        <w:rPr>
          <w:rFonts w:ascii="Arial" w:eastAsia="Arial" w:hAnsi="Arial" w:cs="Arial"/>
          <w:sz w:val="22"/>
          <w:szCs w:val="22"/>
        </w:rPr>
        <w:t xml:space="preserve"> tiene una </w:t>
      </w:r>
      <w:r w:rsidRPr="00077410">
        <w:rPr>
          <w:rFonts w:ascii="Arial" w:eastAsia="Arial" w:hAnsi="Arial" w:cs="Arial"/>
          <w:sz w:val="22"/>
          <w:szCs w:val="22"/>
        </w:rPr>
        <w:lastRenderedPageBreak/>
        <w:t>vocación democrática para el manejo de los recursos, la orientación de su gasto y la ejecución de las políticas públicas</w:t>
      </w:r>
      <w:r w:rsidRPr="00077410">
        <w:rPr>
          <w:rFonts w:ascii="Arial" w:eastAsia="Arial" w:hAnsi="Arial" w:cs="Arial"/>
          <w:sz w:val="22"/>
          <w:szCs w:val="22"/>
          <w:vertAlign w:val="superscript"/>
        </w:rPr>
        <w:footnoteReference w:id="45"/>
      </w:r>
      <w:r w:rsidRPr="00077410">
        <w:rPr>
          <w:rFonts w:ascii="Arial" w:eastAsia="Arial" w:hAnsi="Arial" w:cs="Arial"/>
          <w:sz w:val="22"/>
          <w:szCs w:val="22"/>
        </w:rPr>
        <w:t>.</w:t>
      </w:r>
    </w:p>
    <w:p w14:paraId="5C538D47" w14:textId="77777777" w:rsidR="00FC1C1E" w:rsidRPr="00077410" w:rsidRDefault="00C02FE0" w:rsidP="00353D32">
      <w:pPr>
        <w:spacing w:after="120"/>
        <w:ind w:firstLine="709"/>
      </w:pPr>
      <w:r w:rsidRPr="00077410">
        <w:rPr>
          <w:rFonts w:ascii="Arial" w:eastAsia="Arial" w:hAnsi="Arial" w:cs="Arial"/>
          <w:sz w:val="22"/>
          <w:szCs w:val="22"/>
        </w:rPr>
        <w:t xml:space="preserve">Desde la perspectiva más amplia, el Presupuesto General de la Nación está conformado por dos grandes rubros: i) el de los ingresos o rentas y </w:t>
      </w:r>
      <w:proofErr w:type="spellStart"/>
      <w:r w:rsidRPr="00077410">
        <w:rPr>
          <w:rFonts w:ascii="Arial" w:eastAsia="Arial" w:hAnsi="Arial" w:cs="Arial"/>
          <w:sz w:val="22"/>
          <w:szCs w:val="22"/>
        </w:rPr>
        <w:t>ii</w:t>
      </w:r>
      <w:proofErr w:type="spellEnd"/>
      <w:r w:rsidRPr="00077410">
        <w:rPr>
          <w:rFonts w:ascii="Arial" w:eastAsia="Arial" w:hAnsi="Arial" w:cs="Arial"/>
          <w:sz w:val="22"/>
          <w:szCs w:val="22"/>
        </w:rPr>
        <w:t xml:space="preserve">) el de los gastos o apropiaciones, denominados, respectivamente, como presupuesto de rentas y presupuesto de gastos o ley de apropiaciones. </w:t>
      </w:r>
    </w:p>
    <w:p w14:paraId="50D400AB" w14:textId="71232CF1" w:rsidR="00FC1C1E" w:rsidRPr="00077410" w:rsidRDefault="00C02FE0" w:rsidP="00353D32">
      <w:pPr>
        <w:spacing w:after="120"/>
        <w:ind w:firstLine="709"/>
      </w:pPr>
      <w:r w:rsidRPr="00077410">
        <w:rPr>
          <w:rFonts w:ascii="Arial" w:eastAsia="Arial" w:hAnsi="Arial" w:cs="Arial"/>
          <w:sz w:val="22"/>
          <w:szCs w:val="22"/>
        </w:rPr>
        <w:t>En lo que refiere al presupuesto de rentas, de conformidad con el artículo 11 del Decreto 111 de 1996</w:t>
      </w:r>
      <w:r w:rsidRPr="00077410">
        <w:rPr>
          <w:rFonts w:ascii="Arial" w:eastAsia="Arial" w:hAnsi="Arial" w:cs="Arial"/>
          <w:sz w:val="22"/>
          <w:szCs w:val="22"/>
          <w:vertAlign w:val="superscript"/>
        </w:rPr>
        <w:footnoteReference w:id="46"/>
      </w:r>
      <w:r w:rsidRPr="00077410">
        <w:rPr>
          <w:rFonts w:ascii="Arial" w:eastAsia="Arial" w:hAnsi="Arial" w:cs="Arial"/>
          <w:sz w:val="22"/>
          <w:szCs w:val="22"/>
        </w:rPr>
        <w:t xml:space="preserve"> –estatuto orgánico del presupuesto–, aquel está instituido por:</w:t>
      </w:r>
    </w:p>
    <w:p w14:paraId="27A14F09" w14:textId="77777777" w:rsidR="00FC1C1E" w:rsidRPr="00077410" w:rsidRDefault="00C02FE0" w:rsidP="00353D32">
      <w:pPr>
        <w:spacing w:after="120"/>
        <w:ind w:firstLine="709"/>
      </w:pPr>
      <w:r w:rsidRPr="00077410">
        <w:rPr>
          <w:rFonts w:ascii="Arial" w:eastAsia="Arial" w:hAnsi="Arial" w:cs="Arial"/>
          <w:sz w:val="22"/>
          <w:szCs w:val="22"/>
        </w:rPr>
        <w:t xml:space="preserve">i) Los ingresos corrientes que, a su turno, se clasifican en tributarios, directos o indirectos, y no tributarios, estos últimos, subclasificados en tasas y multas (art.27); </w:t>
      </w:r>
    </w:p>
    <w:p w14:paraId="2BB80C0B" w14:textId="77777777" w:rsidR="00FC1C1E" w:rsidRPr="00077410" w:rsidRDefault="00C02FE0" w:rsidP="00353D32">
      <w:pPr>
        <w:spacing w:after="120"/>
        <w:ind w:firstLine="709"/>
      </w:pPr>
      <w:proofErr w:type="spellStart"/>
      <w:r w:rsidRPr="00077410">
        <w:rPr>
          <w:rFonts w:ascii="Arial" w:eastAsia="Arial" w:hAnsi="Arial" w:cs="Arial"/>
          <w:sz w:val="22"/>
          <w:szCs w:val="22"/>
        </w:rPr>
        <w:t>ii</w:t>
      </w:r>
      <w:proofErr w:type="spellEnd"/>
      <w:r w:rsidRPr="00077410">
        <w:rPr>
          <w:rFonts w:ascii="Arial" w:eastAsia="Arial" w:hAnsi="Arial" w:cs="Arial"/>
          <w:sz w:val="22"/>
          <w:szCs w:val="22"/>
        </w:rPr>
        <w:t>) Las contribuciones parafiscales cuando sean administradas por un órgano que haga parte del presupuesto;</w:t>
      </w:r>
    </w:p>
    <w:p w14:paraId="3ACB9EE7" w14:textId="77777777" w:rsidR="00FC1C1E" w:rsidRPr="00077410" w:rsidRDefault="00C02FE0" w:rsidP="00353D32">
      <w:pPr>
        <w:spacing w:after="120"/>
        <w:ind w:firstLine="709"/>
      </w:pPr>
      <w:proofErr w:type="spellStart"/>
      <w:r w:rsidRPr="00077410">
        <w:rPr>
          <w:rFonts w:ascii="Arial" w:eastAsia="Arial" w:hAnsi="Arial" w:cs="Arial"/>
          <w:sz w:val="22"/>
          <w:szCs w:val="22"/>
        </w:rPr>
        <w:t>iii</w:t>
      </w:r>
      <w:proofErr w:type="spellEnd"/>
      <w:r w:rsidRPr="00077410">
        <w:rPr>
          <w:rFonts w:ascii="Arial" w:eastAsia="Arial" w:hAnsi="Arial" w:cs="Arial"/>
          <w:sz w:val="22"/>
          <w:szCs w:val="22"/>
        </w:rPr>
        <w:t>) Los fondos especiales;</w:t>
      </w:r>
    </w:p>
    <w:p w14:paraId="6640F107" w14:textId="77777777" w:rsidR="00FC1C1E" w:rsidRPr="00077410" w:rsidRDefault="00C02FE0" w:rsidP="00353D32">
      <w:pPr>
        <w:spacing w:after="120"/>
        <w:ind w:firstLine="709"/>
      </w:pPr>
      <w:proofErr w:type="spellStart"/>
      <w:r w:rsidRPr="00077410">
        <w:rPr>
          <w:rFonts w:ascii="Arial" w:eastAsia="Arial" w:hAnsi="Arial" w:cs="Arial"/>
          <w:sz w:val="22"/>
          <w:szCs w:val="22"/>
        </w:rPr>
        <w:t>iv</w:t>
      </w:r>
      <w:proofErr w:type="spellEnd"/>
      <w:r w:rsidRPr="00077410">
        <w:rPr>
          <w:rFonts w:ascii="Arial" w:eastAsia="Arial" w:hAnsi="Arial" w:cs="Arial"/>
          <w:sz w:val="22"/>
          <w:szCs w:val="22"/>
        </w:rPr>
        <w:t>) Los recursos de capital, tales como  los recursos del «balance del tesoro nacional, los recursos del crédito externo e interno con vencimiento mayor a un año de acuerdo con los cupos autorizados por el Congreso de la República, los rendimientos financieros, el diferencial cambiario, las donaciones (art. 33), el excedente financiero de los establecimientos públicos del orden nacional y de las empresas industriales y comerciales del Estado del mismo orden, las utilidades del Banco de la República, entre otros (art. 31), y;</w:t>
      </w:r>
    </w:p>
    <w:p w14:paraId="0A6CBA4F" w14:textId="77777777" w:rsidR="00FC1C1E" w:rsidRPr="00077410" w:rsidRDefault="00C02FE0" w:rsidP="00353D32">
      <w:pPr>
        <w:spacing w:after="120"/>
        <w:ind w:firstLine="709"/>
      </w:pPr>
      <w:r w:rsidRPr="00077410">
        <w:rPr>
          <w:rFonts w:ascii="Arial" w:eastAsia="Arial" w:hAnsi="Arial" w:cs="Arial"/>
          <w:sz w:val="22"/>
          <w:szCs w:val="22"/>
        </w:rPr>
        <w:t xml:space="preserve">v) Los ingresos de los establecimientos públicos de origen nacional. </w:t>
      </w:r>
    </w:p>
    <w:p w14:paraId="5462E269" w14:textId="77777777" w:rsidR="00FC1C1E" w:rsidRPr="00077410" w:rsidRDefault="00C02FE0" w:rsidP="00353D32">
      <w:pPr>
        <w:spacing w:after="120"/>
        <w:ind w:firstLine="709"/>
      </w:pPr>
      <w:r w:rsidRPr="00077410">
        <w:rPr>
          <w:rFonts w:ascii="Arial" w:eastAsia="Arial" w:hAnsi="Arial" w:cs="Arial"/>
          <w:sz w:val="22"/>
          <w:szCs w:val="22"/>
        </w:rPr>
        <w:t xml:space="preserve">En lo que respecta al presupuesto de gastos o ley de apropiaciones, el mismo Decreto 111 de 1996, en el artículo 23, determina que aquel está configurado por tres grandes rubros: </w:t>
      </w:r>
    </w:p>
    <w:p w14:paraId="1751F8A1" w14:textId="77777777" w:rsidR="00FC1C1E" w:rsidRPr="00077410" w:rsidRDefault="00C02FE0" w:rsidP="00353D32">
      <w:pPr>
        <w:spacing w:after="120"/>
        <w:ind w:firstLine="709"/>
      </w:pPr>
      <w:r w:rsidRPr="00077410">
        <w:rPr>
          <w:rFonts w:ascii="Arial" w:eastAsia="Arial" w:hAnsi="Arial" w:cs="Arial"/>
          <w:sz w:val="22"/>
          <w:szCs w:val="22"/>
        </w:rPr>
        <w:t>i) Los gastos de funcionamiento que, a su vez, estarán subdivididos en servicios personales, gastos generales y transferencias y gastos de operación;</w:t>
      </w:r>
    </w:p>
    <w:p w14:paraId="4CFE95E2" w14:textId="77777777" w:rsidR="00FC1C1E" w:rsidRPr="00077410" w:rsidRDefault="00C02FE0" w:rsidP="00353D32">
      <w:pPr>
        <w:spacing w:after="120"/>
        <w:ind w:firstLine="709"/>
      </w:pPr>
      <w:r w:rsidRPr="00077410">
        <w:rPr>
          <w:rFonts w:ascii="Arial" w:eastAsia="Arial" w:hAnsi="Arial" w:cs="Arial"/>
          <w:sz w:val="22"/>
          <w:szCs w:val="22"/>
        </w:rPr>
        <w:t xml:space="preserve"> </w:t>
      </w:r>
      <w:proofErr w:type="spellStart"/>
      <w:r w:rsidRPr="00077410">
        <w:rPr>
          <w:rFonts w:ascii="Arial" w:eastAsia="Arial" w:hAnsi="Arial" w:cs="Arial"/>
          <w:sz w:val="22"/>
          <w:szCs w:val="22"/>
        </w:rPr>
        <w:t>ii</w:t>
      </w:r>
      <w:proofErr w:type="spellEnd"/>
      <w:r w:rsidRPr="00077410">
        <w:rPr>
          <w:rFonts w:ascii="Arial" w:eastAsia="Arial" w:hAnsi="Arial" w:cs="Arial"/>
          <w:sz w:val="22"/>
          <w:szCs w:val="22"/>
        </w:rPr>
        <w:t xml:space="preserve">) El servicio a la deuda, conformado por la deuda interna y externa y; </w:t>
      </w:r>
    </w:p>
    <w:p w14:paraId="7B20BF46" w14:textId="77777777" w:rsidR="00FC1C1E" w:rsidRPr="00077410" w:rsidRDefault="00C02FE0" w:rsidP="00353D32">
      <w:pPr>
        <w:spacing w:after="120"/>
        <w:ind w:firstLine="709"/>
      </w:pPr>
      <w:proofErr w:type="spellStart"/>
      <w:r w:rsidRPr="00077410">
        <w:rPr>
          <w:rFonts w:ascii="Arial" w:eastAsia="Arial" w:hAnsi="Arial" w:cs="Arial"/>
          <w:sz w:val="22"/>
          <w:szCs w:val="22"/>
        </w:rPr>
        <w:t>iii</w:t>
      </w:r>
      <w:proofErr w:type="spellEnd"/>
      <w:r w:rsidRPr="00077410">
        <w:rPr>
          <w:rFonts w:ascii="Arial" w:eastAsia="Arial" w:hAnsi="Arial" w:cs="Arial"/>
          <w:sz w:val="22"/>
          <w:szCs w:val="22"/>
        </w:rPr>
        <w:t xml:space="preserve">) Los gastos de inversión, dentro de los cuales se incluirá, según el artículo 36 del Estatuto Orgánico, los proyectos establecidos en el «Plan Operativo Anual de Inversión». Este «Plan Operativo Anual de Inversión» al que hace referencia el artículo 36 mencionado, es, junto al presupuesto anual de la Nación, y al Plan Financiero, uno de los componentes </w:t>
      </w:r>
      <w:r w:rsidRPr="00077410">
        <w:rPr>
          <w:rFonts w:ascii="Arial" w:eastAsia="Arial" w:hAnsi="Arial" w:cs="Arial"/>
          <w:sz w:val="22"/>
          <w:szCs w:val="22"/>
        </w:rPr>
        <w:lastRenderedPageBreak/>
        <w:t>del «Sistema Presupuestal» (art. 6)</w:t>
      </w:r>
      <w:r w:rsidRPr="00077410">
        <w:rPr>
          <w:rFonts w:ascii="Arial" w:eastAsia="Arial" w:hAnsi="Arial" w:cs="Arial"/>
          <w:sz w:val="22"/>
          <w:szCs w:val="22"/>
          <w:vertAlign w:val="superscript"/>
        </w:rPr>
        <w:footnoteReference w:id="47"/>
      </w:r>
      <w:r w:rsidRPr="00077410">
        <w:rPr>
          <w:rFonts w:ascii="Arial" w:eastAsia="Arial" w:hAnsi="Arial" w:cs="Arial"/>
          <w:sz w:val="22"/>
          <w:szCs w:val="22"/>
        </w:rPr>
        <w:t>, y dentro de él se señalarán los proyectos de inversión clasificados por sectores, órganos y programas, siempre en concordancia con el Plan Nacional de Inversiones contenido en el Plan Nacional de Desarrollo</w:t>
      </w:r>
      <w:r w:rsidRPr="00077410">
        <w:rPr>
          <w:rFonts w:ascii="Arial" w:eastAsia="Arial" w:hAnsi="Arial" w:cs="Arial"/>
          <w:sz w:val="22"/>
          <w:szCs w:val="22"/>
          <w:vertAlign w:val="superscript"/>
        </w:rPr>
        <w:footnoteReference w:id="48"/>
      </w:r>
      <w:r w:rsidRPr="00077410">
        <w:rPr>
          <w:rFonts w:ascii="Arial" w:eastAsia="Arial" w:hAnsi="Arial" w:cs="Arial"/>
          <w:sz w:val="22"/>
          <w:szCs w:val="22"/>
        </w:rPr>
        <w:t xml:space="preserve">. </w:t>
      </w:r>
    </w:p>
    <w:p w14:paraId="49C67AAB" w14:textId="6512C22C" w:rsidR="00FC1C1E" w:rsidRPr="00077410" w:rsidRDefault="00C02FE0" w:rsidP="00353D32">
      <w:pPr>
        <w:spacing w:after="120"/>
        <w:ind w:firstLine="709"/>
      </w:pPr>
      <w:r w:rsidRPr="00077410">
        <w:rPr>
          <w:rFonts w:ascii="Arial" w:eastAsia="Arial" w:hAnsi="Arial" w:cs="Arial"/>
          <w:color w:val="4B4949"/>
          <w:sz w:val="18"/>
          <w:szCs w:val="18"/>
        </w:rPr>
        <w:t xml:space="preserve"> </w:t>
      </w:r>
      <w:r w:rsidRPr="00077410">
        <w:rPr>
          <w:rFonts w:ascii="Arial" w:eastAsia="Arial" w:hAnsi="Arial" w:cs="Arial"/>
          <w:color w:val="000000"/>
          <w:sz w:val="22"/>
          <w:szCs w:val="22"/>
        </w:rPr>
        <w:t>De acuerdo con el</w:t>
      </w:r>
      <w:r w:rsidRPr="00077410">
        <w:rPr>
          <w:rFonts w:ascii="Arial" w:eastAsia="Arial" w:hAnsi="Arial" w:cs="Arial"/>
          <w:color w:val="4B4949"/>
          <w:sz w:val="22"/>
          <w:szCs w:val="22"/>
        </w:rPr>
        <w:t xml:space="preserve"> </w:t>
      </w:r>
      <w:r w:rsidRPr="00077410">
        <w:rPr>
          <w:rFonts w:ascii="Arial" w:eastAsia="Arial" w:hAnsi="Arial" w:cs="Arial"/>
          <w:sz w:val="22"/>
          <w:szCs w:val="22"/>
        </w:rPr>
        <w:t>artículo 38 del Estatuto Orgánico del Presupuesto, la ley de gastos o apropiaciones «solo» estará conformada por las apropiaciones que correspondan a los siguientes aspectos:</w:t>
      </w:r>
    </w:p>
    <w:p w14:paraId="2865956A" w14:textId="77777777" w:rsidR="00FC1C1E" w:rsidRPr="00077410" w:rsidRDefault="00C02FE0" w:rsidP="00353D32">
      <w:pPr>
        <w:spacing w:after="120"/>
        <w:ind w:firstLine="709"/>
      </w:pPr>
      <w:r w:rsidRPr="00077410">
        <w:rPr>
          <w:rFonts w:ascii="Arial" w:eastAsia="Arial" w:hAnsi="Arial" w:cs="Arial"/>
          <w:sz w:val="22"/>
          <w:szCs w:val="22"/>
        </w:rPr>
        <w:t>1. Los créditos judicialmente reconocidos;</w:t>
      </w:r>
    </w:p>
    <w:p w14:paraId="15198BDA" w14:textId="77777777" w:rsidR="00FC1C1E" w:rsidRPr="00077410" w:rsidRDefault="00C02FE0" w:rsidP="00353D32">
      <w:pPr>
        <w:spacing w:after="120"/>
        <w:ind w:firstLine="709"/>
      </w:pPr>
      <w:r w:rsidRPr="00077410">
        <w:rPr>
          <w:rFonts w:ascii="Arial" w:eastAsia="Arial" w:hAnsi="Arial" w:cs="Arial"/>
          <w:sz w:val="22"/>
          <w:szCs w:val="22"/>
        </w:rPr>
        <w:t>2. Los gastos decretados conforme a la ley;</w:t>
      </w:r>
    </w:p>
    <w:p w14:paraId="577C8A14" w14:textId="77777777" w:rsidR="00FC1C1E" w:rsidRPr="00077410" w:rsidRDefault="00C02FE0" w:rsidP="00353D32">
      <w:pPr>
        <w:spacing w:after="120"/>
        <w:ind w:firstLine="709"/>
      </w:pPr>
      <w:r w:rsidRPr="00077410">
        <w:rPr>
          <w:rFonts w:ascii="Arial" w:eastAsia="Arial" w:hAnsi="Arial" w:cs="Arial"/>
          <w:i/>
          <w:sz w:val="22"/>
          <w:szCs w:val="22"/>
        </w:rPr>
        <w:t>3. Las destinadas a dar cumplimiento a los planes y programas de desarrollo económico y social y a las obras públicas tratados en los artículos 339 y 341 de la Constitución Política, siempre que hayan sido aprobadas por el Congreso Nacional,</w:t>
      </w:r>
      <w:r w:rsidRPr="00077410">
        <w:rPr>
          <w:rFonts w:ascii="Arial" w:eastAsia="Arial" w:hAnsi="Arial" w:cs="Arial"/>
          <w:sz w:val="22"/>
          <w:szCs w:val="22"/>
        </w:rPr>
        <w:t xml:space="preserve"> y;</w:t>
      </w:r>
    </w:p>
    <w:p w14:paraId="650051F7" w14:textId="77777777" w:rsidR="00FC1C1E" w:rsidRPr="00077410" w:rsidRDefault="00C02FE0" w:rsidP="00353D32">
      <w:pPr>
        <w:spacing w:after="120"/>
        <w:ind w:firstLine="709"/>
      </w:pPr>
      <w:r w:rsidRPr="00077410">
        <w:rPr>
          <w:rFonts w:ascii="Arial" w:eastAsia="Arial" w:hAnsi="Arial" w:cs="Arial"/>
          <w:sz w:val="22"/>
          <w:szCs w:val="22"/>
        </w:rPr>
        <w:t xml:space="preserve">4. </w:t>
      </w:r>
      <w:r w:rsidRPr="00077410">
        <w:rPr>
          <w:rFonts w:ascii="Arial" w:eastAsia="Arial" w:hAnsi="Arial" w:cs="Arial"/>
          <w:color w:val="333333"/>
          <w:sz w:val="22"/>
          <w:szCs w:val="22"/>
        </w:rPr>
        <w:t>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60A974B1" w14:textId="1BB0097F" w:rsidR="00FC1C1E" w:rsidRPr="00077410" w:rsidRDefault="00C02FE0" w:rsidP="00353D32">
      <w:pPr>
        <w:spacing w:after="120"/>
        <w:ind w:firstLine="709"/>
      </w:pPr>
      <w:r w:rsidRPr="00077410">
        <w:rPr>
          <w:rFonts w:ascii="Arial" w:eastAsia="Arial" w:hAnsi="Arial" w:cs="Arial"/>
          <w:sz w:val="22"/>
          <w:szCs w:val="22"/>
        </w:rPr>
        <w:t xml:space="preserve">Como se nota, uno de los aspectos que deberán figurar dentro de la ley de apropiaciones o gastos, serán las partidas destinadas a dar cumplimiento a los planes y programas de desarrollo económico y social y a las obras públicas regulados en los artículos 339 y 341 de la Constitución. En ese sentido, recuérdese que el Plan Nacional de Desarrollo, de acuerdo con el artículo 339 de la Constitución Política, cuenta con dos grandes apartados: </w:t>
      </w:r>
      <w:r w:rsidRPr="00077410">
        <w:rPr>
          <w:rFonts w:ascii="Arial" w:eastAsia="Arial" w:hAnsi="Arial" w:cs="Arial"/>
          <w:i/>
          <w:sz w:val="22"/>
          <w:szCs w:val="22"/>
        </w:rPr>
        <w:t>i)</w:t>
      </w:r>
      <w:r w:rsidRPr="00077410">
        <w:rPr>
          <w:rFonts w:ascii="Arial" w:eastAsia="Arial" w:hAnsi="Arial" w:cs="Arial"/>
          <w:sz w:val="22"/>
          <w:szCs w:val="22"/>
        </w:rPr>
        <w:t xml:space="preserve"> una parte general o estratégica y </w:t>
      </w:r>
      <w:proofErr w:type="spellStart"/>
      <w:r w:rsidRPr="00077410">
        <w:rPr>
          <w:rFonts w:ascii="Arial" w:eastAsia="Arial" w:hAnsi="Arial" w:cs="Arial"/>
          <w:i/>
          <w:sz w:val="22"/>
          <w:szCs w:val="22"/>
        </w:rPr>
        <w:t>ii</w:t>
      </w:r>
      <w:proofErr w:type="spellEnd"/>
      <w:r w:rsidRPr="00077410">
        <w:rPr>
          <w:rFonts w:ascii="Arial" w:eastAsia="Arial" w:hAnsi="Arial" w:cs="Arial"/>
          <w:i/>
          <w:sz w:val="22"/>
          <w:szCs w:val="22"/>
        </w:rPr>
        <w:t>)</w:t>
      </w:r>
      <w:r w:rsidRPr="00077410">
        <w:rPr>
          <w:rFonts w:ascii="Arial" w:eastAsia="Arial" w:hAnsi="Arial" w:cs="Arial"/>
          <w:sz w:val="22"/>
          <w:szCs w:val="22"/>
        </w:rPr>
        <w:t xml:space="preserve"> un Plan Nacional de Inversiones de las entidades públicas del orden nacional. </w:t>
      </w:r>
    </w:p>
    <w:p w14:paraId="60FED4D2" w14:textId="77777777" w:rsidR="00FC1C1E" w:rsidRPr="00077410" w:rsidRDefault="00C02FE0" w:rsidP="00353D32">
      <w:pPr>
        <w:spacing w:after="120"/>
        <w:ind w:firstLine="709"/>
      </w:pPr>
      <w:r w:rsidRPr="00077410">
        <w:rPr>
          <w:rFonts w:ascii="Arial" w:eastAsia="Arial" w:hAnsi="Arial" w:cs="Arial"/>
          <w:sz w:val="22"/>
          <w:szCs w:val="22"/>
        </w:rPr>
        <w:t xml:space="preserve">En la primera parte, se señalarán los propósitos y objetivos nacionales de largo plazo, así como las metas y prioridades estatales a mediano plazo y las estrategias generales de la política social, económica y ambiental que adoptará el Gobierno Nacional. Por su parte, el Plan de Inversiones Públicas, contendrá «los presupuestos plurianuales de </w:t>
      </w:r>
      <w:r w:rsidRPr="00077410">
        <w:rPr>
          <w:rFonts w:ascii="Arial" w:eastAsia="Arial" w:hAnsi="Arial" w:cs="Arial"/>
          <w:i/>
          <w:sz w:val="22"/>
          <w:szCs w:val="22"/>
        </w:rPr>
        <w:lastRenderedPageBreak/>
        <w:t>los principales programas y proyectos de inversión pública nacional</w:t>
      </w:r>
      <w:r w:rsidRPr="00077410">
        <w:rPr>
          <w:rFonts w:ascii="Arial" w:eastAsia="Arial" w:hAnsi="Arial" w:cs="Arial"/>
          <w:sz w:val="22"/>
          <w:szCs w:val="22"/>
        </w:rPr>
        <w:t xml:space="preserve"> y la especificación de los recursos financieros requeridos para su ejecución» (énfasis añadido)</w:t>
      </w:r>
      <w:r w:rsidRPr="00077410">
        <w:rPr>
          <w:rFonts w:ascii="Arial" w:eastAsia="Arial" w:hAnsi="Arial" w:cs="Arial"/>
          <w:color w:val="4B4949"/>
          <w:sz w:val="18"/>
          <w:szCs w:val="18"/>
        </w:rPr>
        <w:t>.</w:t>
      </w:r>
    </w:p>
    <w:p w14:paraId="060C94DC" w14:textId="77777777" w:rsidR="00FC1C1E" w:rsidRPr="00077410" w:rsidRDefault="00C02FE0">
      <w:pPr>
        <w:spacing w:after="0"/>
        <w:rPr>
          <w:rFonts w:ascii="Arial" w:eastAsia="Arial" w:hAnsi="Arial" w:cs="Arial"/>
          <w:sz w:val="22"/>
          <w:szCs w:val="22"/>
        </w:rPr>
      </w:pPr>
      <w:r w:rsidRPr="00077410">
        <w:rPr>
          <w:rFonts w:ascii="Arial" w:eastAsia="Arial" w:hAnsi="Arial" w:cs="Arial"/>
          <w:sz w:val="22"/>
          <w:szCs w:val="22"/>
        </w:rPr>
        <w:tab/>
        <w:t>Por otra parte, como producto natural de la descentralización territorial y la autonomía de las entidades territoriales que rigen la estructura del Estado colombiano, el inciso 2 del artículo 339 de la Constitución Política, autoriza a las autoridades territoriales para que elaboren y adopten, de manera concertada entre ellas y el Gobierno Nacional, sus propios planes de desarrollo. Al igual que el Plan Nacional de Desarrollo, los planes de desarrollo territoriales estarán constituidos por una primera parte estratégica y una segunda contentiva del plan de inversiones a mediano y corto plazo, en los términos y condiciones que, de manera general, establezcan las respectivas asambleas departamentales y concejos municipales o distritales, según el caso</w:t>
      </w:r>
      <w:r w:rsidRPr="00077410">
        <w:rPr>
          <w:rFonts w:ascii="Arial" w:eastAsia="Arial" w:hAnsi="Arial" w:cs="Arial"/>
          <w:sz w:val="22"/>
          <w:szCs w:val="22"/>
          <w:vertAlign w:val="superscript"/>
        </w:rPr>
        <w:footnoteReference w:id="49"/>
      </w:r>
      <w:r w:rsidRPr="00077410">
        <w:rPr>
          <w:rFonts w:ascii="Arial" w:eastAsia="Arial" w:hAnsi="Arial" w:cs="Arial"/>
          <w:sz w:val="22"/>
          <w:szCs w:val="22"/>
        </w:rPr>
        <w:t xml:space="preserve">. </w:t>
      </w:r>
    </w:p>
    <w:p w14:paraId="2BB77CF6" w14:textId="77777777" w:rsidR="00FC1C1E" w:rsidRPr="00077410" w:rsidRDefault="00FC1C1E">
      <w:pPr>
        <w:spacing w:after="0"/>
        <w:rPr>
          <w:rFonts w:ascii="Arial" w:eastAsia="Arial" w:hAnsi="Arial" w:cs="Arial"/>
          <w:sz w:val="22"/>
          <w:szCs w:val="22"/>
        </w:rPr>
      </w:pPr>
    </w:p>
    <w:p w14:paraId="3941B652" w14:textId="77777777" w:rsidR="00FC1C1E" w:rsidRPr="00077410" w:rsidRDefault="00C02FE0">
      <w:pPr>
        <w:spacing w:after="0"/>
        <w:rPr>
          <w:rFonts w:ascii="Arial" w:eastAsia="Arial" w:hAnsi="Arial" w:cs="Arial"/>
          <w:b/>
          <w:sz w:val="22"/>
          <w:szCs w:val="22"/>
        </w:rPr>
      </w:pPr>
      <w:r w:rsidRPr="00077410">
        <w:rPr>
          <w:rFonts w:ascii="Arial" w:eastAsia="Arial" w:hAnsi="Arial" w:cs="Arial"/>
          <w:b/>
          <w:sz w:val="22"/>
          <w:szCs w:val="22"/>
        </w:rPr>
        <w:t>2.5.1.</w:t>
      </w:r>
      <w:r w:rsidRPr="00077410">
        <w:rPr>
          <w:rFonts w:ascii="Arial" w:eastAsia="Arial" w:hAnsi="Arial" w:cs="Arial"/>
          <w:sz w:val="22"/>
          <w:szCs w:val="22"/>
        </w:rPr>
        <w:t xml:space="preserve"> </w:t>
      </w:r>
      <w:r w:rsidRPr="00077410">
        <w:rPr>
          <w:rFonts w:ascii="Arial" w:eastAsia="Arial" w:hAnsi="Arial" w:cs="Arial"/>
          <w:b/>
          <w:sz w:val="22"/>
          <w:szCs w:val="22"/>
        </w:rPr>
        <w:t>Alcances y elementos de la reforma a la Ley de Garantías Electorales</w:t>
      </w:r>
    </w:p>
    <w:p w14:paraId="28FC302C" w14:textId="77777777" w:rsidR="00FC1C1E" w:rsidRPr="00077410" w:rsidRDefault="00FC1C1E">
      <w:pPr>
        <w:shd w:val="clear" w:color="auto" w:fill="FFFFFF"/>
        <w:spacing w:after="0"/>
        <w:rPr>
          <w:rFonts w:ascii="Arial" w:eastAsia="Arial" w:hAnsi="Arial" w:cs="Arial"/>
          <w:sz w:val="22"/>
          <w:szCs w:val="22"/>
        </w:rPr>
      </w:pPr>
    </w:p>
    <w:p w14:paraId="6DD0CD4A" w14:textId="77777777" w:rsidR="00FC1C1E" w:rsidRPr="00077410" w:rsidRDefault="00C02FE0" w:rsidP="00353D32">
      <w:pPr>
        <w:shd w:val="clear" w:color="auto" w:fill="FFFFFF"/>
        <w:spacing w:after="120"/>
      </w:pPr>
      <w:r w:rsidRPr="00077410">
        <w:rPr>
          <w:rFonts w:ascii="Arial" w:eastAsia="Arial" w:hAnsi="Arial" w:cs="Arial"/>
          <w:sz w:val="22"/>
          <w:szCs w:val="22"/>
        </w:rPr>
        <w:t>En este contexto, como se puede apreciar, el artículo 124 de la Ley del Presupuesto para la vigencia fiscal del 2022 que arriba se citó,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2674EDBA" w14:textId="1A68493F" w:rsidR="00FC1C1E" w:rsidRPr="00077410" w:rsidRDefault="00C02FE0">
      <w:pPr>
        <w:shd w:val="clear" w:color="auto" w:fill="FFFFFF"/>
        <w:spacing w:after="0"/>
        <w:ind w:firstLine="708"/>
        <w:rPr>
          <w:rFonts w:ascii="Arial" w:eastAsia="Arial" w:hAnsi="Arial" w:cs="Arial"/>
        </w:rPr>
      </w:pPr>
      <w:r w:rsidRPr="00077410">
        <w:rPr>
          <w:rFonts w:ascii="Arial" w:eastAsia="Arial" w:hAnsi="Arial" w:cs="Arial"/>
          <w:sz w:val="22"/>
          <w:szCs w:val="22"/>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w:t>
      </w:r>
      <w:proofErr w:type="spellStart"/>
      <w:r w:rsidRPr="00077410">
        <w:rPr>
          <w:rFonts w:ascii="Arial" w:eastAsia="Arial" w:hAnsi="Arial" w:cs="Arial"/>
          <w:sz w:val="22"/>
          <w:szCs w:val="22"/>
        </w:rPr>
        <w:t>ii</w:t>
      </w:r>
      <w:proofErr w:type="spellEnd"/>
      <w:r w:rsidRPr="00077410">
        <w:rPr>
          <w:rFonts w:ascii="Arial" w:eastAsia="Arial" w:hAnsi="Arial" w:cs="Arial"/>
          <w:sz w:val="22"/>
          <w:szCs w:val="22"/>
        </w:rPr>
        <w:t xml:space="preserve">) que sean celebrados entre la Nación, por una parte, y las entidades territoriales, por otra, y </w:t>
      </w:r>
      <w:proofErr w:type="spellStart"/>
      <w:r w:rsidRPr="00077410">
        <w:rPr>
          <w:rFonts w:ascii="Arial" w:eastAsia="Arial" w:hAnsi="Arial" w:cs="Arial"/>
          <w:sz w:val="22"/>
          <w:szCs w:val="22"/>
        </w:rPr>
        <w:t>iii</w:t>
      </w:r>
      <w:proofErr w:type="spellEnd"/>
      <w:r w:rsidRPr="00077410">
        <w:rPr>
          <w:rFonts w:ascii="Arial" w:eastAsia="Arial" w:hAnsi="Arial" w:cs="Arial"/>
          <w:sz w:val="22"/>
          <w:szCs w:val="22"/>
        </w:rPr>
        <w:t xml:space="preserve">) que los convenios sean celebrados con el fin de ejecutar programas o proyectos que correspondan al Presupuesto General de la Nación. A continuación, la Agencia se referirá a cada uno de los aspectos o elementos insertos en la mencionada disposición. </w:t>
      </w:r>
    </w:p>
    <w:p w14:paraId="6ED0C6DE" w14:textId="77777777" w:rsidR="00FC1C1E" w:rsidRPr="00077410" w:rsidRDefault="00FC1C1E">
      <w:pPr>
        <w:shd w:val="clear" w:color="auto" w:fill="FFFFFF"/>
        <w:spacing w:after="0"/>
        <w:rPr>
          <w:rFonts w:ascii="Arial" w:eastAsia="Arial" w:hAnsi="Arial" w:cs="Arial"/>
          <w:sz w:val="22"/>
          <w:szCs w:val="22"/>
        </w:rPr>
      </w:pPr>
    </w:p>
    <w:p w14:paraId="5A6A2BBB" w14:textId="77777777" w:rsidR="00FC1C1E" w:rsidRPr="00077410" w:rsidRDefault="00C02FE0">
      <w:pPr>
        <w:shd w:val="clear" w:color="auto" w:fill="FFFFFF"/>
        <w:spacing w:after="0"/>
        <w:rPr>
          <w:rFonts w:ascii="Arial" w:eastAsia="Arial" w:hAnsi="Arial" w:cs="Arial"/>
          <w:b/>
          <w:sz w:val="22"/>
          <w:szCs w:val="22"/>
        </w:rPr>
      </w:pPr>
      <w:r w:rsidRPr="00077410">
        <w:rPr>
          <w:rFonts w:ascii="Arial" w:eastAsia="Arial" w:hAnsi="Arial" w:cs="Arial"/>
          <w:b/>
          <w:sz w:val="22"/>
          <w:szCs w:val="22"/>
        </w:rPr>
        <w:t>2.5.1.1. Aspecto temporal</w:t>
      </w:r>
    </w:p>
    <w:p w14:paraId="361C9327" w14:textId="77777777" w:rsidR="00FC1C1E" w:rsidRPr="00077410" w:rsidRDefault="00FC1C1E">
      <w:pPr>
        <w:shd w:val="clear" w:color="auto" w:fill="FFFFFF"/>
        <w:spacing w:after="0"/>
        <w:rPr>
          <w:rFonts w:ascii="Arial" w:eastAsia="Arial" w:hAnsi="Arial" w:cs="Arial"/>
          <w:sz w:val="22"/>
          <w:szCs w:val="22"/>
        </w:rPr>
      </w:pPr>
    </w:p>
    <w:p w14:paraId="0146206E" w14:textId="77777777" w:rsidR="00FC1C1E" w:rsidRPr="00077410" w:rsidRDefault="00C02FE0" w:rsidP="00353D32">
      <w:pPr>
        <w:shd w:val="clear" w:color="auto" w:fill="FFFFFF"/>
        <w:spacing w:after="120"/>
      </w:pPr>
      <w:r w:rsidRPr="00077410">
        <w:rPr>
          <w:rFonts w:ascii="Arial" w:eastAsia="Arial" w:hAnsi="Arial" w:cs="Arial"/>
          <w:sz w:val="22"/>
          <w:szCs w:val="22"/>
        </w:rPr>
        <w:t xml:space="preserve">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w:t>
      </w:r>
      <w:r w:rsidRPr="00077410">
        <w:rPr>
          <w:rFonts w:ascii="Arial" w:eastAsia="Arial" w:hAnsi="Arial" w:cs="Arial"/>
          <w:sz w:val="22"/>
          <w:szCs w:val="22"/>
        </w:rPr>
        <w:lastRenderedPageBreak/>
        <w:t xml:space="preserve">a un lapso específico, comprendido entre la fecha en que se publique la Ley de Presupuesto y el término de la vigencia fiscal del año 2022. </w:t>
      </w:r>
    </w:p>
    <w:p w14:paraId="6E0D9C9E" w14:textId="77777777" w:rsidR="00FC1C1E" w:rsidRPr="00077410" w:rsidRDefault="00C02FE0">
      <w:pPr>
        <w:shd w:val="clear" w:color="auto" w:fill="FFFFFF"/>
        <w:spacing w:after="0"/>
        <w:ind w:firstLine="709"/>
        <w:rPr>
          <w:rFonts w:ascii="Arial" w:eastAsia="Arial" w:hAnsi="Arial" w:cs="Arial"/>
          <w:sz w:val="22"/>
          <w:szCs w:val="22"/>
        </w:rPr>
      </w:pPr>
      <w:r w:rsidRPr="00077410">
        <w:rPr>
          <w:rFonts w:ascii="Arial" w:eastAsia="Arial" w:hAnsi="Arial" w:cs="Arial"/>
          <w:sz w:val="22"/>
          <w:szCs w:val="22"/>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y parcial de la prohibición,</w:t>
      </w:r>
      <w:r w:rsidRPr="00077410">
        <w:rPr>
          <w:rFonts w:ascii="Arial" w:eastAsia="Arial" w:hAnsi="Arial" w:cs="Arial"/>
        </w:rPr>
        <w:t xml:space="preserve"> </w:t>
      </w:r>
      <w:r w:rsidRPr="00077410">
        <w:rPr>
          <w:rFonts w:ascii="Arial" w:eastAsia="Arial" w:hAnsi="Arial" w:cs="Arial"/>
          <w:sz w:val="22"/>
          <w:szCs w:val="22"/>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1B3E5841" w14:textId="77777777" w:rsidR="00FC1C1E" w:rsidRPr="00077410" w:rsidRDefault="00FC1C1E">
      <w:pPr>
        <w:shd w:val="clear" w:color="auto" w:fill="FFFFFF"/>
        <w:spacing w:after="0"/>
        <w:rPr>
          <w:rFonts w:ascii="Arial" w:eastAsia="Arial" w:hAnsi="Arial" w:cs="Arial"/>
          <w:sz w:val="22"/>
          <w:szCs w:val="22"/>
        </w:rPr>
      </w:pPr>
    </w:p>
    <w:p w14:paraId="41CC7D05" w14:textId="77777777" w:rsidR="00FC1C1E" w:rsidRPr="00077410" w:rsidRDefault="00C02FE0">
      <w:pPr>
        <w:shd w:val="clear" w:color="auto" w:fill="FFFFFF"/>
        <w:spacing w:after="0"/>
        <w:rPr>
          <w:rFonts w:ascii="Arial" w:eastAsia="Arial" w:hAnsi="Arial" w:cs="Arial"/>
          <w:b/>
          <w:sz w:val="22"/>
          <w:szCs w:val="22"/>
        </w:rPr>
      </w:pPr>
      <w:r w:rsidRPr="00077410">
        <w:rPr>
          <w:rFonts w:ascii="Arial" w:eastAsia="Arial" w:hAnsi="Arial" w:cs="Arial"/>
          <w:b/>
          <w:sz w:val="22"/>
          <w:szCs w:val="22"/>
        </w:rPr>
        <w:t>2.5.1.2. Aspecto subjetivo</w:t>
      </w:r>
    </w:p>
    <w:p w14:paraId="5CE506A0" w14:textId="77777777" w:rsidR="00FC1C1E" w:rsidRPr="00077410" w:rsidRDefault="00FC1C1E">
      <w:pPr>
        <w:shd w:val="clear" w:color="auto" w:fill="FFFFFF"/>
        <w:spacing w:after="0"/>
        <w:rPr>
          <w:rFonts w:ascii="Arial" w:eastAsia="Arial" w:hAnsi="Arial" w:cs="Arial"/>
          <w:sz w:val="22"/>
          <w:szCs w:val="22"/>
        </w:rPr>
      </w:pPr>
    </w:p>
    <w:p w14:paraId="593C11D9" w14:textId="77777777" w:rsidR="00FC1C1E" w:rsidRPr="00077410" w:rsidRDefault="00C02FE0" w:rsidP="00353D32">
      <w:pPr>
        <w:shd w:val="clear" w:color="auto" w:fill="FFFFFF"/>
        <w:spacing w:after="120"/>
      </w:pPr>
      <w:r w:rsidRPr="00077410">
        <w:rPr>
          <w:rFonts w:ascii="Arial" w:eastAsia="Arial" w:hAnsi="Arial" w:cs="Arial"/>
          <w:sz w:val="22"/>
          <w:szCs w:val="22"/>
        </w:rPr>
        <w:t xml:space="preserve">Ahora bien, según se señaló atrás, el parágrafo del artículo 38 de la Ley 996 de 2005, en su texto original, establece una prohibición dirigida a los alcaldes, gobernadores, secretarios, gerentes y directores de las entidades del orden municipal, departamental o distrital, quienes no podrán celebrar convenios y contratos interadministrativos para la ejecución de recursos públicos durante el periodo establecido en ese mismo parágrafo, sin hacer diferencia alguna con respecto a la modalidad de selección que se utilice, ante lo cual, es factible que los contratos o convenios interadministrativos sean celebrados entre entidades territoriales, exclusivamente, o entre ellas y entes nacionales. </w:t>
      </w:r>
    </w:p>
    <w:p w14:paraId="4FFE23A1" w14:textId="77777777" w:rsidR="00FC1C1E" w:rsidRPr="00077410" w:rsidRDefault="00C02FE0" w:rsidP="00353D32">
      <w:pPr>
        <w:shd w:val="clear" w:color="auto" w:fill="FFFFFF"/>
        <w:spacing w:after="120"/>
        <w:ind w:firstLine="708"/>
      </w:pPr>
      <w:bookmarkStart w:id="24" w:name="_4i7ojhp" w:colFirst="0" w:colLast="0"/>
      <w:bookmarkEnd w:id="24"/>
      <w:r w:rsidRPr="00077410">
        <w:rPr>
          <w:rFonts w:ascii="Arial" w:eastAsia="Arial" w:hAnsi="Arial" w:cs="Arial"/>
          <w:sz w:val="22"/>
          <w:szCs w:val="22"/>
        </w:rPr>
        <w:t>Como se observa, el artículo 124 de la Ley 2159 de 2021 hace referencia a que la «Nación» podrá celebrar convenios interadministrativos con «las entidades territoriales», razón por la cual en su aplicación resulta relevante el concepto que se tenga de los dos sujetos de derecho autorizados para celebrarlos.</w:t>
      </w:r>
    </w:p>
    <w:p w14:paraId="7EB18472" w14:textId="2DCEBF05" w:rsidR="00FC1C1E" w:rsidRPr="00077410" w:rsidRDefault="00C02FE0" w:rsidP="00353D32">
      <w:pPr>
        <w:shd w:val="clear" w:color="auto" w:fill="FFFFFF"/>
        <w:spacing w:after="120"/>
        <w:ind w:firstLine="708"/>
      </w:pPr>
      <w:r w:rsidRPr="00077410">
        <w:rPr>
          <w:rFonts w:ascii="Arial" w:eastAsia="Arial" w:hAnsi="Arial" w:cs="Arial"/>
          <w:sz w:val="22"/>
          <w:szCs w:val="22"/>
        </w:rPr>
        <w:t>En cuanto a las entidades territoriales, el artículo 286 de la Constitución Política establece claramente que son «los departamentos, los distritos, los municipios y los territorios indígenas» y la «ley podrá darles el carácter de entidades territoriales a las regiones y provincias que se constituyan en los términos de la Constitución y de la ley».</w:t>
      </w:r>
    </w:p>
    <w:p w14:paraId="6E165A63"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Sin embargo, en el derecho constitucional el concepto Nación ha sido de difícil determinación y amplia discusión. La Nación se ha definido de distintas maneras, no obstante, uno de sus sentidos es el que lo identifica con el término de Estado y comprendida en él, es decir, como una estructura política y administrativa</w:t>
      </w:r>
      <w:r w:rsidRPr="00077410">
        <w:rPr>
          <w:rFonts w:ascii="Arial" w:eastAsia="Arial" w:hAnsi="Arial" w:cs="Arial"/>
          <w:sz w:val="22"/>
          <w:szCs w:val="22"/>
          <w:vertAlign w:val="superscript"/>
        </w:rPr>
        <w:footnoteReference w:id="50"/>
      </w:r>
      <w:r w:rsidRPr="00077410">
        <w:rPr>
          <w:rFonts w:ascii="Arial" w:eastAsia="Arial" w:hAnsi="Arial" w:cs="Arial"/>
          <w:sz w:val="22"/>
          <w:szCs w:val="22"/>
        </w:rPr>
        <w:t xml:space="preserve">. </w:t>
      </w:r>
    </w:p>
    <w:p w14:paraId="29ED42A6" w14:textId="77777777" w:rsidR="00FC1C1E" w:rsidRPr="00077410" w:rsidRDefault="00C02FE0">
      <w:pPr>
        <w:shd w:val="clear" w:color="auto" w:fill="FFFFFF"/>
        <w:spacing w:after="0"/>
        <w:ind w:firstLine="708"/>
        <w:rPr>
          <w:rFonts w:ascii="Arial" w:eastAsia="Arial" w:hAnsi="Arial" w:cs="Arial"/>
          <w:sz w:val="22"/>
          <w:szCs w:val="22"/>
        </w:rPr>
      </w:pPr>
      <w:r w:rsidRPr="00077410">
        <w:rPr>
          <w:rFonts w:ascii="Arial" w:eastAsia="Arial" w:hAnsi="Arial" w:cs="Arial"/>
          <w:sz w:val="22"/>
          <w:szCs w:val="22"/>
        </w:rPr>
        <w:lastRenderedPageBreak/>
        <w:t>Bajo esta óptica, es menester recordar que, conforme al artículo 1 de la Constitución Política, Colombia es un Estado social derecho, organizado en forma de República unitaria pero descentralizada y con autonomía de sus entidades territoriales</w:t>
      </w:r>
      <w:r w:rsidRPr="00077410">
        <w:rPr>
          <w:rFonts w:ascii="Arial" w:eastAsia="Arial" w:hAnsi="Arial" w:cs="Arial"/>
          <w:sz w:val="22"/>
          <w:szCs w:val="22"/>
          <w:vertAlign w:val="superscript"/>
        </w:rPr>
        <w:footnoteReference w:id="51"/>
      </w:r>
      <w:r w:rsidRPr="00077410">
        <w:rPr>
          <w:rFonts w:ascii="Arial" w:eastAsia="Arial" w:hAnsi="Arial" w:cs="Arial"/>
          <w:sz w:val="22"/>
          <w:szCs w:val="22"/>
        </w:rPr>
        <w:t>; y que, precisamente, en nuestro ordenamiento jurídico se utiliza la expresión «Nación», en vez de la expresión «Estado», para hacer alusión a las autoridades centrales y diferenciarlas de las autoridades descentralizadas territorialmente y por servicios.</w:t>
      </w:r>
      <w:r w:rsidRPr="00077410">
        <w:rPr>
          <w:rFonts w:ascii="Arial" w:eastAsia="Arial" w:hAnsi="Arial" w:cs="Arial"/>
          <w:sz w:val="22"/>
          <w:szCs w:val="22"/>
          <w:vertAlign w:val="superscript"/>
        </w:rPr>
        <w:footnoteReference w:id="52"/>
      </w:r>
      <w:r w:rsidRPr="00077410">
        <w:rPr>
          <w:rFonts w:ascii="Arial" w:eastAsia="Arial" w:hAnsi="Arial" w:cs="Arial"/>
          <w:sz w:val="22"/>
          <w:szCs w:val="22"/>
        </w:rPr>
        <w:t xml:space="preserve"> Así lo ha manifestado la Corte Constitucional:</w:t>
      </w:r>
    </w:p>
    <w:p w14:paraId="0E22A131" w14:textId="77777777" w:rsidR="00FC1C1E" w:rsidRPr="00077410" w:rsidRDefault="00FC1C1E">
      <w:pPr>
        <w:shd w:val="clear" w:color="auto" w:fill="FFFFFF"/>
        <w:spacing w:after="0"/>
        <w:ind w:firstLine="708"/>
        <w:rPr>
          <w:rFonts w:ascii="Arial" w:eastAsia="Arial" w:hAnsi="Arial" w:cs="Arial"/>
          <w:sz w:val="22"/>
          <w:szCs w:val="22"/>
        </w:rPr>
      </w:pPr>
    </w:p>
    <w:p w14:paraId="618E81D5" w14:textId="77777777" w:rsidR="00FC1C1E" w:rsidRPr="00077410" w:rsidRDefault="00C02FE0" w:rsidP="00353D32">
      <w:pPr>
        <w:shd w:val="clear" w:color="auto" w:fill="FFFFFF"/>
        <w:spacing w:after="0" w:line="240" w:lineRule="auto"/>
        <w:ind w:left="709" w:right="567"/>
      </w:pPr>
      <w:r w:rsidRPr="00077410">
        <w:rPr>
          <w:rFonts w:ascii="Arial" w:eastAsia="Arial" w:hAnsi="Arial" w:cs="Arial"/>
          <w:sz w:val="21"/>
          <w:szCs w:val="21"/>
        </w:rPr>
        <w:t xml:space="preserve">[E]n general nuestra normatividad </w:t>
      </w:r>
      <w:r w:rsidRPr="00077410">
        <w:rPr>
          <w:rFonts w:ascii="Arial" w:eastAsia="Arial" w:hAnsi="Arial" w:cs="Arial"/>
          <w:i/>
          <w:sz w:val="21"/>
          <w:szCs w:val="21"/>
        </w:rPr>
        <w:t>ha reservado la palabra “Nación”</w:t>
      </w:r>
      <w:r w:rsidRPr="00077410">
        <w:rPr>
          <w:rFonts w:ascii="Arial" w:eastAsia="Arial" w:hAnsi="Arial" w:cs="Arial"/>
          <w:sz w:val="21"/>
          <w:szCs w:val="21"/>
        </w:rPr>
        <w:t xml:space="preserve">, en vez de la palabra “Estado”, </w:t>
      </w:r>
      <w:r w:rsidRPr="00077410">
        <w:rPr>
          <w:rFonts w:ascii="Arial" w:eastAsia="Arial" w:hAnsi="Arial" w:cs="Arial"/>
          <w:i/>
          <w:sz w:val="21"/>
          <w:szCs w:val="21"/>
        </w:rPr>
        <w:t>para hacer referencia a las autoridades centrales y distinguirlas de las autoridades descentralizadas</w:t>
      </w:r>
      <w:r w:rsidRPr="00077410">
        <w:rPr>
          <w:rFonts w:ascii="Arial" w:eastAsia="Arial" w:hAnsi="Arial" w:cs="Arial"/>
          <w:sz w:val="21"/>
          <w:szCs w:val="21"/>
        </w:rPr>
        <w:t xml:space="preserve">. Así, el artículo 182 de la Constitución derogada ordenaba a la ley determinar “los servicios a cargo de la Nación y de las entidades descentralizadas”. Ese lenguaje se ha mantenido en la Constitución de 1991, pues </w:t>
      </w:r>
      <w:r w:rsidRPr="00077410">
        <w:rPr>
          <w:rFonts w:ascii="Arial" w:eastAsia="Arial" w:hAnsi="Arial" w:cs="Arial"/>
          <w:i/>
          <w:sz w:val="21"/>
          <w:szCs w:val="21"/>
        </w:rPr>
        <w:t xml:space="preserve">la Carta utiliza la palabra Nación cuando se refiere a las competencias propias de las autoridades centrales, mientras que la palabra Estado denota en general el conjunto de todas las </w:t>
      </w:r>
      <w:proofErr w:type="gramStart"/>
      <w:r w:rsidRPr="00077410">
        <w:rPr>
          <w:rFonts w:ascii="Arial" w:eastAsia="Arial" w:hAnsi="Arial" w:cs="Arial"/>
          <w:i/>
          <w:sz w:val="21"/>
          <w:szCs w:val="21"/>
        </w:rPr>
        <w:t>autoridades públicas</w:t>
      </w:r>
      <w:proofErr w:type="gramEnd"/>
      <w:r w:rsidRPr="00077410">
        <w:rPr>
          <w:rFonts w:ascii="Arial" w:eastAsia="Arial" w:hAnsi="Arial" w:cs="Arial"/>
          <w:sz w:val="21"/>
          <w:szCs w:val="21"/>
        </w:rPr>
        <w:t>. (Cursiva fuera del texto).</w:t>
      </w:r>
    </w:p>
    <w:p w14:paraId="3317A897" w14:textId="77777777" w:rsidR="00FC1C1E" w:rsidRPr="00077410" w:rsidRDefault="00FC1C1E">
      <w:pPr>
        <w:shd w:val="clear" w:color="auto" w:fill="FFFFFF"/>
        <w:spacing w:after="0"/>
        <w:ind w:firstLine="708"/>
        <w:rPr>
          <w:rFonts w:ascii="Arial" w:eastAsia="Arial" w:hAnsi="Arial" w:cs="Arial"/>
          <w:sz w:val="22"/>
          <w:szCs w:val="22"/>
        </w:rPr>
      </w:pPr>
    </w:p>
    <w:p w14:paraId="2DAB6506"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De otro lado, el Estado en su conjunto, esto es, la Nación y otros órganos que realizan las diversas funciones y servicios, actúa en el mundo del Derecho dotado de personalidad jurídica como</w:t>
      </w:r>
      <w:r w:rsidRPr="00077410">
        <w:rPr>
          <w:rFonts w:ascii="Arial" w:eastAsia="Arial" w:hAnsi="Arial" w:cs="Arial"/>
        </w:rPr>
        <w:t xml:space="preserve"> </w:t>
      </w:r>
      <w:r w:rsidRPr="00077410">
        <w:rPr>
          <w:rFonts w:ascii="Arial" w:eastAsia="Arial" w:hAnsi="Arial" w:cs="Arial"/>
          <w:sz w:val="22"/>
          <w:szCs w:val="22"/>
        </w:rPr>
        <w:t xml:space="preserve">sujeto de derechos y obligaciones. En efecto, el artículo 80 de la Ley 153 de 1887 establece que </w:t>
      </w:r>
      <w:r w:rsidRPr="00077410">
        <w:rPr>
          <w:rFonts w:ascii="Arial" w:eastAsia="Arial" w:hAnsi="Arial" w:cs="Arial"/>
          <w:sz w:val="21"/>
          <w:szCs w:val="21"/>
        </w:rPr>
        <w:t>«</w:t>
      </w:r>
      <w:r w:rsidRPr="00077410">
        <w:rPr>
          <w:rFonts w:ascii="Arial" w:eastAsia="Arial" w:hAnsi="Arial" w:cs="Arial"/>
          <w:sz w:val="22"/>
          <w:szCs w:val="22"/>
        </w:rPr>
        <w:t>[l]a Nación, los Departamentos, los Municipios, los establecimientos de beneficencia y los de instrucción pública, y las corporaciones creadas o reconocidas por la ley, son personas jurídicas</w:t>
      </w:r>
      <w:r w:rsidRPr="00077410">
        <w:rPr>
          <w:rFonts w:ascii="Arial" w:eastAsia="Arial" w:hAnsi="Arial" w:cs="Arial"/>
          <w:sz w:val="21"/>
          <w:szCs w:val="21"/>
        </w:rPr>
        <w:t>»</w:t>
      </w:r>
      <w:r w:rsidRPr="00077410">
        <w:rPr>
          <w:rFonts w:ascii="Arial" w:eastAsia="Arial" w:hAnsi="Arial" w:cs="Arial"/>
          <w:sz w:val="22"/>
          <w:szCs w:val="22"/>
        </w:rPr>
        <w:t xml:space="preserve">. </w:t>
      </w:r>
    </w:p>
    <w:p w14:paraId="38DDC7EE" w14:textId="6F82E114" w:rsidR="00FC1C1E" w:rsidRPr="00077410" w:rsidRDefault="00C02FE0" w:rsidP="00353D32">
      <w:pPr>
        <w:shd w:val="clear" w:color="auto" w:fill="FFFFFF"/>
        <w:spacing w:after="120"/>
        <w:ind w:firstLine="708"/>
      </w:pPr>
      <w:r w:rsidRPr="00077410">
        <w:rPr>
          <w:rFonts w:ascii="Arial" w:eastAsia="Arial" w:hAnsi="Arial" w:cs="Arial"/>
          <w:sz w:val="22"/>
          <w:szCs w:val="22"/>
        </w:rPr>
        <w:t>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077410">
        <w:rPr>
          <w:rFonts w:ascii="Arial" w:eastAsia="Arial" w:hAnsi="Arial" w:cs="Arial"/>
          <w:sz w:val="21"/>
          <w:szCs w:val="21"/>
        </w:rPr>
        <w:t>».</w:t>
      </w:r>
      <w:r w:rsidRPr="00077410">
        <w:rPr>
          <w:rFonts w:ascii="Arial" w:eastAsia="Arial" w:hAnsi="Arial" w:cs="Arial"/>
          <w:sz w:val="21"/>
          <w:szCs w:val="21"/>
          <w:vertAlign w:val="superscript"/>
        </w:rPr>
        <w:footnoteReference w:id="53"/>
      </w:r>
      <w:r w:rsidRPr="00077410">
        <w:rPr>
          <w:rFonts w:ascii="Arial" w:eastAsia="Arial" w:hAnsi="Arial" w:cs="Arial"/>
          <w:sz w:val="22"/>
          <w:szCs w:val="22"/>
        </w:rPr>
        <w:t xml:space="preserve">  </w:t>
      </w:r>
    </w:p>
    <w:p w14:paraId="096279E6" w14:textId="77777777" w:rsidR="00FC1C1E" w:rsidRPr="00077410" w:rsidRDefault="00C02FE0">
      <w:pPr>
        <w:shd w:val="clear" w:color="auto" w:fill="FFFFFF"/>
        <w:spacing w:after="0"/>
        <w:ind w:firstLine="709"/>
        <w:rPr>
          <w:rFonts w:ascii="Arial" w:eastAsia="Arial" w:hAnsi="Arial" w:cs="Arial"/>
          <w:sz w:val="22"/>
          <w:szCs w:val="22"/>
        </w:rPr>
      </w:pPr>
      <w:r w:rsidRPr="00077410">
        <w:rPr>
          <w:rFonts w:ascii="Arial" w:eastAsia="Arial" w:hAnsi="Arial" w:cs="Arial"/>
          <w:sz w:val="22"/>
          <w:szCs w:val="22"/>
        </w:rPr>
        <w:t xml:space="preserve">En particular, la Rama Ejecutiva del Poder público se manifiesta en dos órdenes o niveles, por un lado, el nivel nacional, o «administración nacional» que a su turno puede contar con entidades descentralizadas por servicios, y por el otro, el nivel descentralizado por virtud del territorio, o «administración territorial». En efecto, el artículo 38 de la Ley 489 </w:t>
      </w:r>
      <w:r w:rsidRPr="00077410">
        <w:rPr>
          <w:rFonts w:ascii="Arial" w:eastAsia="Arial" w:hAnsi="Arial" w:cs="Arial"/>
          <w:sz w:val="22"/>
          <w:szCs w:val="22"/>
        </w:rPr>
        <w:lastRenderedPageBreak/>
        <w:t xml:space="preserve">de 1998, por medio de la cual se dictan normas sobre la organización y funcionamiento de las entidades del orden nacional, se expiden las disposiciones, principios y reglas para el ejercicio de las atribuciones previstas en los numerales 15 y 16 del artículo 189 de la Constitución, al respecto dispone: </w:t>
      </w:r>
    </w:p>
    <w:p w14:paraId="21EB2CD8" w14:textId="77777777" w:rsidR="00FC1C1E" w:rsidRPr="00077410" w:rsidRDefault="00FC1C1E" w:rsidP="00353D32">
      <w:pPr>
        <w:shd w:val="clear" w:color="auto" w:fill="FFFFFF"/>
        <w:spacing w:after="0"/>
        <w:ind w:firstLine="709"/>
      </w:pPr>
    </w:p>
    <w:p w14:paraId="45175675"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La Rama Ejecutiva del Poder Público del orden nacional, está integrada por los siguientes organismos y entidades:</w:t>
      </w:r>
    </w:p>
    <w:p w14:paraId="1D9C8954"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1. Del Sector Central:</w:t>
      </w:r>
    </w:p>
    <w:p w14:paraId="40D40370"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a) La Presidencia de la República;</w:t>
      </w:r>
    </w:p>
    <w:p w14:paraId="2094C7EA"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b) La Vicepresidencia de la República;</w:t>
      </w:r>
    </w:p>
    <w:p w14:paraId="06C628E3" w14:textId="0B01BA4C" w:rsidR="00FC1C1E" w:rsidRPr="00077410" w:rsidRDefault="00C02FE0" w:rsidP="00353D32">
      <w:pPr>
        <w:shd w:val="clear" w:color="auto" w:fill="FFFFFF"/>
        <w:spacing w:after="120"/>
        <w:ind w:left="709" w:right="709"/>
      </w:pPr>
      <w:r w:rsidRPr="00077410">
        <w:rPr>
          <w:rFonts w:ascii="Arial" w:eastAsia="Arial" w:hAnsi="Arial" w:cs="Arial"/>
          <w:sz w:val="21"/>
          <w:szCs w:val="21"/>
        </w:rPr>
        <w:t>c) Los Consejos Superiores de la administración;</w:t>
      </w:r>
    </w:p>
    <w:p w14:paraId="7B1B4DE0"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d) Los ministerios y departamentos administrativos;</w:t>
      </w:r>
    </w:p>
    <w:p w14:paraId="61877A2B"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e) Las superintendencias y unidades administrativas especiales sin personería jurídica;</w:t>
      </w:r>
    </w:p>
    <w:p w14:paraId="6CBF0905"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2. Del Sector Descentralizado por Servicios:</w:t>
      </w:r>
    </w:p>
    <w:p w14:paraId="19A5BFCB"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a) Los establecimientos públicos;</w:t>
      </w:r>
    </w:p>
    <w:p w14:paraId="06BB9376"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b) Las empresas industriales y comerciales del Estado;</w:t>
      </w:r>
    </w:p>
    <w:p w14:paraId="6514B8A2"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c) Las superintendencias y unidades administrativas especiales con personería jurídica;</w:t>
      </w:r>
    </w:p>
    <w:p w14:paraId="66FC037A"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d) Las empresas sociales del Estado y las empresas oficiales de servicios públicos domiciliarios;</w:t>
      </w:r>
    </w:p>
    <w:p w14:paraId="6D1E5D59"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e) Los institutos científicos y tecnológicos;</w:t>
      </w:r>
    </w:p>
    <w:p w14:paraId="40F00D1A" w14:textId="77777777" w:rsidR="00FC1C1E" w:rsidRPr="00077410" w:rsidRDefault="00C02FE0" w:rsidP="00353D32">
      <w:pPr>
        <w:shd w:val="clear" w:color="auto" w:fill="FFFFFF"/>
        <w:spacing w:after="120"/>
        <w:ind w:left="709" w:right="709"/>
      </w:pPr>
      <w:r w:rsidRPr="00077410">
        <w:rPr>
          <w:rFonts w:ascii="Arial" w:eastAsia="Arial" w:hAnsi="Arial" w:cs="Arial"/>
          <w:sz w:val="21"/>
          <w:szCs w:val="21"/>
        </w:rPr>
        <w:t>f) Las sociedades públicas y las sociedades de economía mixta;</w:t>
      </w:r>
    </w:p>
    <w:p w14:paraId="54337C54" w14:textId="77777777" w:rsidR="00FC1C1E" w:rsidRPr="00077410" w:rsidRDefault="00C02FE0">
      <w:pPr>
        <w:shd w:val="clear" w:color="auto" w:fill="FFFFFF"/>
        <w:spacing w:after="0"/>
        <w:ind w:left="709" w:right="709"/>
        <w:rPr>
          <w:rFonts w:ascii="Arial" w:eastAsia="Arial" w:hAnsi="Arial" w:cs="Arial"/>
          <w:sz w:val="21"/>
          <w:szCs w:val="21"/>
        </w:rPr>
      </w:pPr>
      <w:r w:rsidRPr="00077410">
        <w:rPr>
          <w:rFonts w:ascii="Arial" w:eastAsia="Arial" w:hAnsi="Arial" w:cs="Arial"/>
          <w:sz w:val="21"/>
          <w:szCs w:val="21"/>
        </w:rPr>
        <w:t xml:space="preserve">g) Las demás entidades administrativas nacionales con personería jurídica que cree, organice o autorice la ley para que formen parte de la Rama Ejecutiva del Poder Público. </w:t>
      </w:r>
    </w:p>
    <w:p w14:paraId="56359335" w14:textId="77777777" w:rsidR="00FC1C1E" w:rsidRPr="00077410" w:rsidRDefault="00FC1C1E">
      <w:pPr>
        <w:shd w:val="clear" w:color="auto" w:fill="FFFFFF"/>
        <w:spacing w:after="0"/>
        <w:ind w:left="709" w:right="709"/>
        <w:rPr>
          <w:rFonts w:ascii="Arial" w:eastAsia="Arial" w:hAnsi="Arial" w:cs="Arial"/>
        </w:rPr>
      </w:pPr>
    </w:p>
    <w:p w14:paraId="736B87F9"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Según la norma transcrita, la organización de la Rama Ejecutiva del Poder Público, en su nivel nacional, cuenta con dos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w:t>
      </w:r>
      <w:r w:rsidRPr="00077410">
        <w:rPr>
          <w:rFonts w:ascii="Arial" w:eastAsia="Arial" w:hAnsi="Arial" w:cs="Arial"/>
          <w:sz w:val="22"/>
          <w:szCs w:val="22"/>
        </w:rPr>
        <w:lastRenderedPageBreak/>
        <w:t>sociedades de economía mixta y, en general, las entidades administrativas nacionales que cuenten con personería jurídica diferente a la Nación</w:t>
      </w:r>
      <w:r w:rsidRPr="00077410">
        <w:rPr>
          <w:rFonts w:ascii="Arial" w:eastAsia="Arial" w:hAnsi="Arial" w:cs="Arial"/>
          <w:sz w:val="22"/>
          <w:szCs w:val="22"/>
          <w:vertAlign w:val="superscript"/>
        </w:rPr>
        <w:footnoteReference w:id="54"/>
      </w:r>
      <w:r w:rsidRPr="00077410">
        <w:rPr>
          <w:rFonts w:ascii="Arial" w:eastAsia="Arial" w:hAnsi="Arial" w:cs="Arial"/>
          <w:sz w:val="22"/>
          <w:szCs w:val="22"/>
        </w:rPr>
        <w:t>.</w:t>
      </w:r>
    </w:p>
    <w:p w14:paraId="2D88099C"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A este respecto debe recordarse que la descentralización, como forma de organización administrativa que implica el traslado de competencias a favor de autoridades o personas distintas a la Nación, y a la que hace referencia, entre otros, el artículo 1 de la Constitución arriba aludido, se manifiesta en tres formas o modalidades, a saber: descentralización por territorio, por servicios y por colaboración. </w:t>
      </w:r>
    </w:p>
    <w:p w14:paraId="3D5F5601"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17D8B191"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En ese sentido, y de acuerdo a lo ya dicho, en el nivel nacional de la Rama Ejecutiva existe la posibilidad de que existan entidades que pertenezcan o bien al sector central, precisamente, por no encontrarse descentralizadas y hacer parte, por ende, a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584DBB18" w14:textId="5C54BD2A"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Se destaca, por ser pertinente de acuerdo con la consulta que ahora conoce la Agencia, que las empresas industriales y comerciales del Estado, así como las sociedades de economía mixta, hacen parte del sector descentralizado por servicios del orden nacional, tal y como claramente lo señalan los artículos 38 y 68 de la Ley 489 de 1998, arriba mencionados. </w:t>
      </w:r>
    </w:p>
    <w:p w14:paraId="1FBC6A00"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Además, las normas reguladoras de su régimen se refieren expresamente a su personería jurídica como atributo que les es propio. Así, el artículo 85 de la Ley 489 define a las empresas industriales y comerciales del Estado como organismos creados por la ley o autorizados por esta, que desarrollen actividades de naturaleza industrial y de gestión </w:t>
      </w:r>
      <w:r w:rsidRPr="00077410">
        <w:rPr>
          <w:rFonts w:ascii="Arial" w:eastAsia="Arial" w:hAnsi="Arial" w:cs="Arial"/>
          <w:sz w:val="22"/>
          <w:szCs w:val="22"/>
        </w:rPr>
        <w:lastRenderedPageBreak/>
        <w:t xml:space="preserve">económica conforme a las reglas de Derecho privado […]» y que cuenten con personería jurídica. </w:t>
      </w:r>
    </w:p>
    <w:p w14:paraId="6F7BF897"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Con respecto a las sociedades de economía mixta, como auténticas entidades descentralizadas, también cuentan con personería jurídica, así como, además, por virtud de la aplicación que sobre su actividad se hace del Derecho Privado</w:t>
      </w:r>
      <w:r w:rsidRPr="00077410">
        <w:rPr>
          <w:rFonts w:ascii="Arial" w:eastAsia="Arial" w:hAnsi="Arial" w:cs="Arial"/>
          <w:sz w:val="22"/>
          <w:szCs w:val="22"/>
          <w:vertAlign w:val="superscript"/>
        </w:rPr>
        <w:footnoteReference w:id="55"/>
      </w:r>
      <w:r w:rsidRPr="00077410">
        <w:rPr>
          <w:rFonts w:ascii="Arial" w:eastAsia="Arial" w:hAnsi="Arial" w:cs="Arial"/>
          <w:sz w:val="22"/>
          <w:szCs w:val="22"/>
        </w:rPr>
        <w:t xml:space="preserve">, es pertinente lo dispuesto por el inciso segundo del artículo 98 del Código de Comercio al dictar que «la sociedad, una vez constituida legalmente, forma una persona jurídica distinta de los socios individualmente considerados». </w:t>
      </w:r>
    </w:p>
    <w:p w14:paraId="53F5ECFE"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1CE614F6"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Sin embargo, dichas entidades descentralizadas directamente, por ser personas jurídicas, pueden, a su turno, participar con otras personas en la creación de nuevas entidades, correspondiendo estas, entonces, a las denominadas entidades descentralizadas indirectamente o de segundo grado</w:t>
      </w:r>
      <w:r w:rsidRPr="00077410">
        <w:rPr>
          <w:rFonts w:ascii="Arial" w:eastAsia="Arial" w:hAnsi="Arial" w:cs="Arial"/>
          <w:sz w:val="22"/>
          <w:szCs w:val="22"/>
          <w:vertAlign w:val="superscript"/>
        </w:rPr>
        <w:footnoteReference w:id="56"/>
      </w:r>
      <w:r w:rsidRPr="00077410">
        <w:rPr>
          <w:rFonts w:ascii="Arial" w:eastAsia="Arial" w:hAnsi="Arial" w:cs="Arial"/>
          <w:sz w:val="22"/>
          <w:szCs w:val="22"/>
        </w:rPr>
        <w:t>. En otras palabras, los entes descentralizados indirectamente son aquellos creados, no por la ley, sino a partir de «la voluntad asociativa de los entes públicos, en unión entre sí o con particulares»</w:t>
      </w:r>
      <w:r w:rsidRPr="00077410">
        <w:rPr>
          <w:rFonts w:ascii="Arial" w:eastAsia="Arial" w:hAnsi="Arial" w:cs="Arial"/>
          <w:sz w:val="22"/>
          <w:szCs w:val="22"/>
          <w:vertAlign w:val="superscript"/>
        </w:rPr>
        <w:footnoteReference w:id="57"/>
      </w:r>
      <w:r w:rsidRPr="00077410">
        <w:rPr>
          <w:rFonts w:ascii="Arial" w:eastAsia="Arial" w:hAnsi="Arial" w:cs="Arial"/>
          <w:sz w:val="22"/>
          <w:szCs w:val="22"/>
        </w:rPr>
        <w:t xml:space="preserve">. </w:t>
      </w:r>
    </w:p>
    <w:p w14:paraId="50A7B7C3"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En ese orden de ideas, la descentralización indirecta puede tornar en distintas modalidades, según cual sea la calidad de las entidades participantes. Así, </w:t>
      </w:r>
      <w:proofErr w:type="gramStart"/>
      <w:r w:rsidRPr="00077410">
        <w:rPr>
          <w:rFonts w:ascii="Arial" w:eastAsia="Arial" w:hAnsi="Arial" w:cs="Arial"/>
          <w:sz w:val="22"/>
          <w:szCs w:val="22"/>
        </w:rPr>
        <w:t>habrán</w:t>
      </w:r>
      <w:proofErr w:type="gramEnd"/>
      <w:r w:rsidRPr="00077410">
        <w:rPr>
          <w:rFonts w:ascii="Arial" w:eastAsia="Arial" w:hAnsi="Arial" w:cs="Arial"/>
          <w:sz w:val="22"/>
          <w:szCs w:val="22"/>
        </w:rPr>
        <w:t xml:space="preserve">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077410">
        <w:rPr>
          <w:rFonts w:ascii="Arial" w:eastAsia="Arial" w:hAnsi="Arial" w:cs="Arial"/>
          <w:sz w:val="22"/>
          <w:szCs w:val="22"/>
          <w:vertAlign w:val="superscript"/>
        </w:rPr>
        <w:footnoteReference w:id="58"/>
      </w:r>
      <w:r w:rsidRPr="00077410">
        <w:rPr>
          <w:rFonts w:ascii="Arial" w:eastAsia="Arial" w:hAnsi="Arial" w:cs="Arial"/>
          <w:sz w:val="22"/>
          <w:szCs w:val="22"/>
        </w:rPr>
        <w:t xml:space="preserve">. </w:t>
      </w:r>
    </w:p>
    <w:p w14:paraId="66DF5E24"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lastRenderedPageBreak/>
        <w:t xml:space="preserve">De conformidad con lo anterior, la Ley 489 de 1998 regula lo concerniente a tres tipos de entidades descentralizadas indirectamente en sus artículos 94, 95 y 96, referidos, respectivamente, a las asociaciones entre empresas industriales y comerciales del Estado, o entre estas y entidades territoriales o descentralizadas, a la conformación de personas jurídicas sin ánimo de lucro entre entidades estatales y a la constitución de asociaciones y fundaciones a través de los convenios de asociación suscritos entre entidades estatales y personas jurídicas particulares. </w:t>
      </w:r>
    </w:p>
    <w:p w14:paraId="76F64F97" w14:textId="77777777" w:rsidR="00FC1C1E" w:rsidRPr="00077410" w:rsidRDefault="00C02FE0" w:rsidP="00353D32">
      <w:pPr>
        <w:spacing w:after="120"/>
        <w:ind w:firstLine="708"/>
      </w:pPr>
      <w:r w:rsidRPr="00077410">
        <w:rPr>
          <w:rFonts w:ascii="Arial" w:eastAsia="Arial" w:hAnsi="Arial" w:cs="Arial"/>
          <w:sz w:val="22"/>
          <w:szCs w:val="22"/>
        </w:rPr>
        <w:t xml:space="preserve">Dicho lo anterior, es importante destacar, tal y como lo ha expresado el Consejo de Estado, que las entidades descentralizadas indirectamente, son una especie del género que corresponde a las entidades descentralizadas, y </w:t>
      </w:r>
      <w:r w:rsidRPr="00077410">
        <w:rPr>
          <w:rFonts w:ascii="Arial" w:eastAsia="Arial" w:hAnsi="Arial" w:cs="Arial"/>
          <w:color w:val="333333"/>
          <w:sz w:val="22"/>
          <w:szCs w:val="22"/>
        </w:rPr>
        <w:t>«[…]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077410">
        <w:rPr>
          <w:rFonts w:ascii="Arial" w:eastAsia="Arial" w:hAnsi="Arial" w:cs="Arial"/>
          <w:color w:val="333333"/>
          <w:sz w:val="22"/>
          <w:szCs w:val="22"/>
          <w:vertAlign w:val="superscript"/>
        </w:rPr>
        <w:footnoteReference w:id="59"/>
      </w:r>
      <w:r w:rsidRPr="00077410">
        <w:rPr>
          <w:rFonts w:ascii="Arial" w:eastAsia="Arial" w:hAnsi="Arial" w:cs="Arial"/>
          <w:color w:val="333333"/>
          <w:sz w:val="22"/>
          <w:szCs w:val="22"/>
        </w:rPr>
        <w:t xml:space="preserve">. </w:t>
      </w:r>
    </w:p>
    <w:p w14:paraId="708F615A" w14:textId="51EAB14C"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Ahora bien, la Ley 80 de 1993, Estatuto General de Contratación de Administración Pública –EGCAP–,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EGCAP se separan tales nociones y se admite la posibilidad de que entidades que no cuenten con personería jurídica, puedan, sin embargo, ostentar capacidad jurídica para celebrar contratos. </w:t>
      </w:r>
    </w:p>
    <w:p w14:paraId="78308EB8"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Así, el artículo 2 de la Ley 80 determinó que ciertas entidades que no tienen personalidad jurídica diferente a la Nación, como por ejemplo, los ministerios, departamentos administrativos, las superintendencias y las unidades administrativas especiales sin personería jurídica pueden celebrar contratos y, en su artículo 11, señaló que los funcionarios con competencia para hacerlo en la entidad respectiva son: los ministros, los directores de los departamentos administrativos, los superintendentes y los presidentes de las unidades administrativas especiales, respectivamente. </w:t>
      </w:r>
    </w:p>
    <w:p w14:paraId="29231135" w14:textId="77777777" w:rsidR="00FC1C1E" w:rsidRPr="00077410" w:rsidRDefault="00C02FE0" w:rsidP="00353D32">
      <w:pPr>
        <w:shd w:val="clear" w:color="auto" w:fill="FFFFFF"/>
        <w:spacing w:after="120"/>
        <w:ind w:firstLine="708"/>
      </w:pPr>
      <w:bookmarkStart w:id="26" w:name="_2xcytpi" w:colFirst="0" w:colLast="0"/>
      <w:bookmarkEnd w:id="26"/>
      <w:r w:rsidRPr="00077410">
        <w:rPr>
          <w:rFonts w:ascii="Arial" w:eastAsia="Arial" w:hAnsi="Arial" w:cs="Arial"/>
          <w:sz w:val="22"/>
          <w:szCs w:val="22"/>
        </w:rPr>
        <w:t>En este punto, como lo ha dicho la Corte Constitucional, «[e]s claro que si la Nación, los departamentos, municipios y distritos, son personas jurídicas, y las entidades estatales a que se refiere la ley 80, no lo son, por fuerza los contratos que estas últimas celebren corresponden a la Nación, a los departamentos o a los municipios»</w:t>
      </w:r>
      <w:r w:rsidRPr="00077410">
        <w:rPr>
          <w:rFonts w:ascii="Arial" w:eastAsia="Arial" w:hAnsi="Arial" w:cs="Arial"/>
          <w:sz w:val="22"/>
          <w:szCs w:val="22"/>
          <w:vertAlign w:val="superscript"/>
        </w:rPr>
        <w:footnoteReference w:id="60"/>
      </w:r>
      <w:r w:rsidRPr="00077410">
        <w:rPr>
          <w:rFonts w:ascii="Arial" w:eastAsia="Arial" w:hAnsi="Arial" w:cs="Arial"/>
          <w:sz w:val="22"/>
          <w:szCs w:val="22"/>
        </w:rPr>
        <w:t xml:space="preserve">, lo que implica que la «actuación del funcionario competente, a nombre de la correspondiente entidad estatal, </w:t>
      </w:r>
      <w:r w:rsidRPr="00077410">
        <w:rPr>
          <w:rFonts w:ascii="Arial" w:eastAsia="Arial" w:hAnsi="Arial" w:cs="Arial"/>
          <w:sz w:val="22"/>
          <w:szCs w:val="22"/>
        </w:rPr>
        <w:lastRenderedPageBreak/>
        <w:t>vincula a la Nación, al departamento o al municipio como persona jurídica»</w:t>
      </w:r>
      <w:r w:rsidRPr="00077410">
        <w:rPr>
          <w:rFonts w:ascii="Arial" w:eastAsia="Arial" w:hAnsi="Arial" w:cs="Arial"/>
          <w:sz w:val="22"/>
          <w:szCs w:val="22"/>
          <w:vertAlign w:val="superscript"/>
        </w:rPr>
        <w:footnoteReference w:id="61"/>
      </w:r>
      <w:r w:rsidRPr="00077410">
        <w:rPr>
          <w:rFonts w:ascii="Arial" w:eastAsia="Arial" w:hAnsi="Arial" w:cs="Arial"/>
          <w:sz w:val="22"/>
          <w:szCs w:val="22"/>
        </w:rPr>
        <w:t xml:space="preserve">, respectivamente.  </w:t>
      </w:r>
    </w:p>
    <w:p w14:paraId="6382A8AB"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Por ejemplo, cuando la presidencia de la república, o un ministerio o departamento administrativo celebren contratos públicos,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w:t>
      </w:r>
    </w:p>
    <w:p w14:paraId="2243180D" w14:textId="33A094CA" w:rsidR="00FC1C1E" w:rsidRPr="00077410" w:rsidRDefault="00C02FE0" w:rsidP="00353D32">
      <w:pPr>
        <w:shd w:val="clear" w:color="auto" w:fill="FFFFFF"/>
        <w:spacing w:after="120"/>
        <w:ind w:firstLine="708"/>
      </w:pPr>
      <w:r w:rsidRPr="00077410">
        <w:rPr>
          <w:rFonts w:ascii="Arial" w:eastAsia="Arial" w:hAnsi="Arial" w:cs="Arial"/>
          <w:sz w:val="22"/>
          <w:szCs w:val="22"/>
        </w:rPr>
        <w:t>Igualmente, en la estructura del Estado colombiano existen órganos que no pertenecen a la rama ejecutiva sino a las otras ramas del poder público (legislativa y judicial), así como organismos autónomos e independientes para el cumplimiento de las demás funciones del Estado</w:t>
      </w:r>
      <w:r w:rsidRPr="00077410">
        <w:rPr>
          <w:rFonts w:ascii="Arial" w:eastAsia="Arial" w:hAnsi="Arial" w:cs="Arial"/>
          <w:sz w:val="22"/>
          <w:szCs w:val="22"/>
          <w:vertAlign w:val="superscript"/>
        </w:rPr>
        <w:footnoteReference w:id="62"/>
      </w:r>
      <w:r w:rsidRPr="00077410">
        <w:rPr>
          <w:rFonts w:ascii="Arial" w:eastAsia="Arial" w:hAnsi="Arial" w:cs="Arial"/>
          <w:sz w:val="22"/>
          <w:szCs w:val="22"/>
        </w:rPr>
        <w:t>, los cuales también hacen parte de la Nación y cuentan con capacidad jurídica para contratar, según las normas del EGCAP,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7810E6EA"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Con fundamento en todo lo dicho, la Agencia considera que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75971523" w14:textId="3278DD9A" w:rsidR="00FC1C1E" w:rsidRPr="00077410" w:rsidRDefault="00C02FE0">
      <w:pPr>
        <w:ind w:firstLine="708"/>
        <w:rPr>
          <w:rFonts w:ascii="Arial" w:eastAsia="Arial" w:hAnsi="Arial" w:cs="Arial"/>
          <w:sz w:val="22"/>
          <w:szCs w:val="22"/>
        </w:rPr>
      </w:pPr>
      <w:r w:rsidRPr="00077410">
        <w:rPr>
          <w:rFonts w:ascii="Arial" w:eastAsia="Arial" w:hAnsi="Arial" w:cs="Arial"/>
          <w:sz w:val="22"/>
          <w:szCs w:val="22"/>
        </w:rPr>
        <w:t xml:space="preserve">Aplicando esta conclusión a la consulta que ahora motiva a la Agencia, baste con indicar que, en lo que respecta a las corporaciones autónomas regionales, la Corte Constitucional ha sido clara en indicar que: </w:t>
      </w:r>
    </w:p>
    <w:p w14:paraId="4012CFA8" w14:textId="77777777" w:rsidR="00FC1C1E" w:rsidRPr="00077410" w:rsidRDefault="00C02FE0" w:rsidP="00353D32">
      <w:pPr>
        <w:spacing w:line="240" w:lineRule="auto"/>
        <w:ind w:left="709" w:right="709"/>
      </w:pPr>
      <w:r w:rsidRPr="00077410">
        <w:rPr>
          <w:rFonts w:ascii="Arial" w:eastAsia="Arial" w:hAnsi="Arial" w:cs="Arial"/>
          <w:color w:val="000000"/>
          <w:sz w:val="21"/>
          <w:szCs w:val="21"/>
        </w:rPr>
        <w:t xml:space="preserve">«[…] </w:t>
      </w:r>
      <w:r w:rsidRPr="00077410">
        <w:rPr>
          <w:rFonts w:ascii="Arial" w:eastAsia="Arial" w:hAnsi="Arial" w:cs="Arial"/>
          <w:color w:val="000000"/>
          <w:sz w:val="21"/>
          <w:szCs w:val="21"/>
          <w:u w:val="single"/>
        </w:rPr>
        <w:t>son entidades administrativas del orden nacional que pueden representar a la Nación dentro del régimen de autonomía que les garantiza el numeral 7o. de la Constitución,</w:t>
      </w:r>
      <w:r w:rsidRPr="00077410">
        <w:rPr>
          <w:rFonts w:ascii="Arial" w:eastAsia="Arial" w:hAnsi="Arial" w:cs="Arial"/>
          <w:color w:val="000000"/>
          <w:sz w:val="21"/>
          <w:szCs w:val="21"/>
        </w:rPr>
        <w:t xml:space="preserve"> y están concebidas por el Constituyente para la atención y el cumplimiento autónomo de muy precisos fines asignados por la Constitución misma o por la ley, sin que estén adscritas ni vinculadas a ningún ministerio o departamento administrativo; además, y en la medida definida por el legislador, </w:t>
      </w:r>
      <w:r w:rsidRPr="00077410">
        <w:rPr>
          <w:rFonts w:ascii="Arial" w:eastAsia="Arial" w:hAnsi="Arial" w:cs="Arial"/>
          <w:color w:val="000000"/>
          <w:sz w:val="21"/>
          <w:szCs w:val="21"/>
        </w:rPr>
        <w:lastRenderedPageBreak/>
        <w:t>respetando su autonomía financiera, patrimonial, administrativa y política, pueden ser agentes del Gobierno Nacional, para cumplir determinadas funciones autónomas en los casos señalados por la ley. Aquellas entidades, son organismos administrativos intermedios entre la Nación y las entidades territoriales, y entre la administración central nacional y la descentralizada por servicios y territorialmente, que están encargados, principalmente, aun cuando no exclusivamente, de funciones policivas, de control, de fomento, reglamentarias y ejecutivas relacionadas con la preservación del ambiente y con el aprovechamiento de los recursos naturales renovables»</w:t>
      </w:r>
      <w:r w:rsidRPr="00077410">
        <w:rPr>
          <w:rFonts w:ascii="Arial" w:eastAsia="Arial" w:hAnsi="Arial" w:cs="Arial"/>
          <w:color w:val="000000"/>
          <w:sz w:val="21"/>
          <w:szCs w:val="21"/>
          <w:vertAlign w:val="superscript"/>
        </w:rPr>
        <w:footnoteReference w:id="63"/>
      </w:r>
      <w:r w:rsidRPr="00077410">
        <w:rPr>
          <w:rFonts w:ascii="Arial" w:eastAsia="Arial" w:hAnsi="Arial" w:cs="Arial"/>
          <w:color w:val="000000"/>
          <w:sz w:val="21"/>
          <w:szCs w:val="21"/>
        </w:rPr>
        <w:t xml:space="preserve"> [subraya añadida].</w:t>
      </w:r>
    </w:p>
    <w:p w14:paraId="2CB54842" w14:textId="77777777" w:rsidR="00FC1C1E" w:rsidRPr="00077410" w:rsidRDefault="00C02FE0">
      <w:pPr>
        <w:ind w:firstLine="720"/>
        <w:rPr>
          <w:rFonts w:ascii="Arial" w:eastAsia="Arial" w:hAnsi="Arial" w:cs="Arial"/>
          <w:sz w:val="22"/>
          <w:szCs w:val="22"/>
        </w:rPr>
      </w:pPr>
      <w:r w:rsidRPr="00077410">
        <w:rPr>
          <w:rFonts w:ascii="Arial" w:eastAsia="Arial" w:hAnsi="Arial" w:cs="Arial"/>
          <w:sz w:val="22"/>
          <w:szCs w:val="22"/>
        </w:rPr>
        <w:t xml:space="preserve">Cuestión que fue reiterada, y unificada ante una advertida divergencia entre criterios interpretativos asumidos por la misma Corte Constitucional, a través del Auto 089A de 2009, en los siguientes términos: </w:t>
      </w:r>
    </w:p>
    <w:p w14:paraId="41A1D8DA" w14:textId="77777777" w:rsidR="00FC1C1E" w:rsidRPr="00077410" w:rsidRDefault="00C02FE0">
      <w:pPr>
        <w:spacing w:line="240" w:lineRule="auto"/>
        <w:ind w:left="709" w:right="709"/>
        <w:rPr>
          <w:rFonts w:ascii="Arial" w:eastAsia="Arial" w:hAnsi="Arial" w:cs="Arial"/>
          <w:sz w:val="21"/>
          <w:szCs w:val="21"/>
        </w:rPr>
      </w:pPr>
      <w:r w:rsidRPr="00077410">
        <w:rPr>
          <w:rFonts w:ascii="Arial" w:eastAsia="Arial" w:hAnsi="Arial" w:cs="Arial"/>
          <w:color w:val="2D2D2D"/>
          <w:sz w:val="21"/>
          <w:szCs w:val="21"/>
        </w:rPr>
        <w:t xml:space="preserve">«Como es evidente, hay una disparidad de criterios en la jurisprudencia constitucional, razón por la cual la Sala Plena considera necesario unificar su posición en este tema, acogiendo la primera de las opciones descritas por ser la que más se ajusta al texto constitucional. En efecto, no es posible sostener que las CAR son entidades descentralizadas por servicios pues éstas están siempre adscritas o vinculadas a una entidad del sector central, lo cual no sucede en este caso por la autonomía que el artículo 150, numeral 7, de la Constitución expresamente ha dado a las CAR. </w:t>
      </w:r>
      <w:r w:rsidRPr="00077410">
        <w:rPr>
          <w:rFonts w:ascii="Arial" w:eastAsia="Arial" w:hAnsi="Arial" w:cs="Arial"/>
          <w:color w:val="2D2D2D"/>
          <w:sz w:val="21"/>
          <w:szCs w:val="21"/>
          <w:u w:val="single"/>
        </w:rPr>
        <w:t>En este sentido, las CAR son entidades públicas del orden nacional</w:t>
      </w:r>
      <w:r w:rsidRPr="00077410">
        <w:rPr>
          <w:rFonts w:ascii="Arial" w:eastAsia="Arial" w:hAnsi="Arial" w:cs="Arial"/>
          <w:color w:val="2D2D2D"/>
          <w:sz w:val="21"/>
          <w:szCs w:val="21"/>
        </w:rPr>
        <w:t>»</w:t>
      </w:r>
      <w:r w:rsidRPr="00077410">
        <w:rPr>
          <w:rFonts w:ascii="Arial" w:eastAsia="Arial" w:hAnsi="Arial" w:cs="Arial"/>
          <w:color w:val="2D2D2D"/>
          <w:sz w:val="21"/>
          <w:szCs w:val="21"/>
          <w:vertAlign w:val="superscript"/>
        </w:rPr>
        <w:footnoteReference w:id="64"/>
      </w:r>
      <w:r w:rsidRPr="00077410">
        <w:rPr>
          <w:rFonts w:ascii="Arial" w:eastAsia="Arial" w:hAnsi="Arial" w:cs="Arial"/>
          <w:color w:val="2D2D2D"/>
          <w:sz w:val="21"/>
          <w:szCs w:val="21"/>
        </w:rPr>
        <w:t xml:space="preserve"> [Subraya añadida].</w:t>
      </w:r>
    </w:p>
    <w:p w14:paraId="79090AF8" w14:textId="77777777" w:rsidR="00FC1C1E" w:rsidRPr="00077410" w:rsidRDefault="00C02FE0">
      <w:pPr>
        <w:shd w:val="clear" w:color="auto" w:fill="FFFFFF"/>
        <w:spacing w:after="0"/>
        <w:ind w:firstLine="720"/>
        <w:rPr>
          <w:rFonts w:ascii="Arial" w:eastAsia="Arial" w:hAnsi="Arial" w:cs="Arial"/>
          <w:sz w:val="22"/>
          <w:szCs w:val="22"/>
        </w:rPr>
      </w:pPr>
      <w:r w:rsidRPr="00077410">
        <w:rPr>
          <w:rFonts w:ascii="Arial" w:eastAsia="Arial" w:hAnsi="Arial" w:cs="Arial"/>
          <w:sz w:val="22"/>
          <w:szCs w:val="22"/>
        </w:rPr>
        <w:t xml:space="preserve">Así las cosas, la Agencia observa que, toda vez que las corporaciones autónomas regionales son autoridades del orden nacional, podrían resultar ser de aquellas a las que se refiere el artículo 124 de la Ley 2159 de 2021, siempre y cuando celebren contratos en nombre de la Nación, en cuyo caso, la autorización transitoria que en dicha ley se otorga, podría ser aplicable a dichas corporaciones, siempre y cuando, eso sí, se cumplan con los demás aspectos y requisitos exigidos por la misma norma. </w:t>
      </w:r>
    </w:p>
    <w:p w14:paraId="6AF6BBE2" w14:textId="77777777" w:rsidR="00FC1C1E" w:rsidRPr="00077410" w:rsidRDefault="00FC1C1E">
      <w:pPr>
        <w:shd w:val="clear" w:color="auto" w:fill="FFFFFF"/>
        <w:spacing w:after="0"/>
        <w:rPr>
          <w:rFonts w:ascii="Arial" w:eastAsia="Arial" w:hAnsi="Arial" w:cs="Arial"/>
          <w:sz w:val="22"/>
          <w:szCs w:val="22"/>
        </w:rPr>
      </w:pPr>
    </w:p>
    <w:p w14:paraId="1692CD9B" w14:textId="77777777" w:rsidR="00FC1C1E" w:rsidRPr="00077410" w:rsidRDefault="00C02FE0">
      <w:pPr>
        <w:shd w:val="clear" w:color="auto" w:fill="FFFFFF"/>
        <w:spacing w:after="0"/>
        <w:rPr>
          <w:rFonts w:ascii="Arial" w:eastAsia="Arial" w:hAnsi="Arial" w:cs="Arial"/>
          <w:b/>
          <w:sz w:val="22"/>
          <w:szCs w:val="22"/>
        </w:rPr>
      </w:pPr>
      <w:r w:rsidRPr="00077410">
        <w:rPr>
          <w:rFonts w:ascii="Arial" w:eastAsia="Arial" w:hAnsi="Arial" w:cs="Arial"/>
          <w:b/>
          <w:sz w:val="22"/>
          <w:szCs w:val="22"/>
        </w:rPr>
        <w:t>2.5.1.3. Aspecto teleológico</w:t>
      </w:r>
    </w:p>
    <w:p w14:paraId="18E67A91" w14:textId="77777777" w:rsidR="00FC1C1E" w:rsidRPr="00077410" w:rsidRDefault="00FC1C1E">
      <w:pPr>
        <w:shd w:val="clear" w:color="auto" w:fill="FFFFFF"/>
        <w:spacing w:after="0"/>
        <w:rPr>
          <w:rFonts w:ascii="Arial" w:eastAsia="Arial" w:hAnsi="Arial" w:cs="Arial"/>
          <w:sz w:val="22"/>
          <w:szCs w:val="22"/>
        </w:rPr>
      </w:pPr>
    </w:p>
    <w:p w14:paraId="5CF8DC8C" w14:textId="77777777" w:rsidR="00FC1C1E" w:rsidRPr="00077410" w:rsidRDefault="00C02FE0" w:rsidP="00353D32">
      <w:pPr>
        <w:shd w:val="clear" w:color="auto" w:fill="FFFFFF"/>
        <w:spacing w:after="120"/>
      </w:pPr>
      <w:r w:rsidRPr="00077410">
        <w:rPr>
          <w:rFonts w:ascii="Arial" w:eastAsia="Arial" w:hAnsi="Arial" w:cs="Arial"/>
          <w:sz w:val="22"/>
          <w:szCs w:val="22"/>
        </w:rPr>
        <w:t xml:space="preserve">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dados en relación con la estructura y contenido de la ley anual del presupuesto general de la Nación, que aquel elemento hace referencia a los programas y proyectos de inversión nacional contenidos en el rubro de gastos de inversión de la ley de </w:t>
      </w:r>
      <w:r w:rsidRPr="00077410">
        <w:rPr>
          <w:rFonts w:ascii="Arial" w:eastAsia="Arial" w:hAnsi="Arial" w:cs="Arial"/>
          <w:sz w:val="22"/>
          <w:szCs w:val="22"/>
        </w:rPr>
        <w:lastRenderedPageBreak/>
        <w:t>apropiaciones, y que corresponderán a los determinados como tales en el Plan Nacional de Inversiones incluido en el plan Nacional de Desarrollo.</w:t>
      </w:r>
    </w:p>
    <w:p w14:paraId="5231D8D3" w14:textId="77777777" w:rsidR="00FC1C1E" w:rsidRPr="00077410" w:rsidRDefault="00C02FE0" w:rsidP="00353D32">
      <w:pPr>
        <w:shd w:val="clear" w:color="auto" w:fill="FFFFFF"/>
        <w:spacing w:after="120"/>
        <w:ind w:firstLine="708"/>
      </w:pPr>
      <w:bookmarkStart w:id="27" w:name="_1ci93xb" w:colFirst="0" w:colLast="0"/>
      <w:bookmarkEnd w:id="27"/>
      <w:r w:rsidRPr="00077410">
        <w:rPr>
          <w:rFonts w:ascii="Arial" w:eastAsia="Arial" w:hAnsi="Arial" w:cs="Arial"/>
          <w:sz w:val="22"/>
          <w:szCs w:val="22"/>
        </w:rPr>
        <w:t xml:space="preserve">Como corolario de todo lo anterior, se concluye que la Ley 2159 de 2021 –Ley del Presupuesto– modificó parcial y transitoriamente el parágrafo del artículo 38 de la Ley 996 de 2005, en aspectos temporales, subjetivos, materiales o teleológicos y procedimentales o de control; 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5D57FB0E"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Es de anotar, por ser relevante para la consulta que se resuelve, que la modificación de la ley del Presupuesto opera, únicamente, frente al parágrafo del artículo 38, y no en relación con las prohibiciones del artículo 33 que, como se dijo, resultan ser distintas, aunque concurrentes, a las del parágrafo, por lo cual, las restricciones a la contratación directa dentro del período preelectoral presidencial y vicepresidencial se mantienen invariables a partir de la publicación de la Ley del Presupuesto.</w:t>
      </w:r>
    </w:p>
    <w:p w14:paraId="13473137"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En efecto, la Agencia advierte que para el año 2022 están programadas las elecciones para elegir miembros del Congreso de la República, así como las jornadas para la elección del </w:t>
      </w:r>
      <w:proofErr w:type="gramStart"/>
      <w:r w:rsidRPr="00077410">
        <w:rPr>
          <w:rFonts w:ascii="Arial" w:eastAsia="Arial" w:hAnsi="Arial" w:cs="Arial"/>
          <w:sz w:val="22"/>
          <w:szCs w:val="22"/>
        </w:rPr>
        <w:t>Presidente</w:t>
      </w:r>
      <w:proofErr w:type="gramEnd"/>
      <w:r w:rsidRPr="00077410">
        <w:rPr>
          <w:rFonts w:ascii="Arial" w:eastAsia="Arial" w:hAnsi="Arial" w:cs="Arial"/>
          <w:sz w:val="22"/>
          <w:szCs w:val="22"/>
        </w:rPr>
        <w:t xml:space="preserve"> y Vicepresidente de la República. Las primeras para el domingo 13 de marzo de 2022</w:t>
      </w:r>
      <w:r w:rsidRPr="00077410">
        <w:rPr>
          <w:rFonts w:ascii="Arial" w:eastAsia="Arial" w:hAnsi="Arial" w:cs="Arial"/>
          <w:sz w:val="22"/>
          <w:szCs w:val="22"/>
          <w:vertAlign w:val="superscript"/>
        </w:rPr>
        <w:footnoteReference w:id="65"/>
      </w:r>
      <w:r w:rsidRPr="00077410">
        <w:rPr>
          <w:rFonts w:ascii="Arial" w:eastAsia="Arial" w:hAnsi="Arial" w:cs="Arial"/>
          <w:sz w:val="22"/>
          <w:szCs w:val="22"/>
        </w:rPr>
        <w:t xml:space="preserve"> y las segundas para el 29 de mayo del mismo año</w:t>
      </w:r>
      <w:r w:rsidRPr="00077410">
        <w:rPr>
          <w:rFonts w:ascii="Arial" w:eastAsia="Arial" w:hAnsi="Arial" w:cs="Arial"/>
          <w:sz w:val="22"/>
          <w:szCs w:val="22"/>
          <w:vertAlign w:val="superscript"/>
        </w:rPr>
        <w:footnoteReference w:id="66"/>
      </w:r>
      <w:r w:rsidRPr="00077410">
        <w:rPr>
          <w:rFonts w:ascii="Arial" w:eastAsia="Arial" w:hAnsi="Arial" w:cs="Arial"/>
          <w:sz w:val="22"/>
          <w:szCs w:val="22"/>
        </w:rPr>
        <w:t xml:space="preserve">, respectivamente, de manera que resulta palmario que el periodo preelectoral de restricción de cuatro meses anteriores a la correspondiente elección de que tratan los artículos 33 y 38 de la Ley 996, coincidirán parcialmente. En este sentido, las prohibiciones para la contratación directa y para la celebración de convenios y contratos interadministrativos concurren durante la coincidencia de periodos preelectorales. </w:t>
      </w:r>
    </w:p>
    <w:p w14:paraId="2D37B863"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Así, durante el periodo preelectoral de elección al Congreso de la República aplicará, únicamente, la prohibición del parágrafo 38; sin embargo, una vez inicie el periodo preelectoral para la elección de </w:t>
      </w:r>
      <w:proofErr w:type="gramStart"/>
      <w:r w:rsidRPr="00077410">
        <w:rPr>
          <w:rFonts w:ascii="Arial" w:eastAsia="Arial" w:hAnsi="Arial" w:cs="Arial"/>
          <w:sz w:val="22"/>
          <w:szCs w:val="22"/>
        </w:rPr>
        <w:t>Presidente</w:t>
      </w:r>
      <w:proofErr w:type="gramEnd"/>
      <w:r w:rsidRPr="00077410">
        <w:rPr>
          <w:rFonts w:ascii="Arial" w:eastAsia="Arial" w:hAnsi="Arial" w:cs="Arial"/>
          <w:sz w:val="22"/>
          <w:szCs w:val="22"/>
        </w:rPr>
        <w:t xml:space="preserve"> y Vicepresidente, deberán ser aplicadas ambas restricciones, es decir, la del parágrafo del artículo 38 y la del artículo 33 de la Ley de Garantías. En este punto, atendiendo a la modificación parcial del parágrafo del artículo 38 realizada por la Ley del Presupuesto, cabría preguntarse cómo se aplicarían las mentadas prohibiciones. </w:t>
      </w:r>
    </w:p>
    <w:p w14:paraId="4DA98AA7"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lastRenderedPageBreak/>
        <w:t xml:space="preserve">En opinión de esta Agencia, con el fin de armonizar los textos de los artículos comentados, luego de la modificación realizada por la Ley del Presupuesto, en el evento mencionado en el párrafo anterior se podrán celebrar convenios y contratos interadministrativos, de acuerdo con el parágrafo del artículo 38, siempre y cuando estos se lleven a cabo a través de modalidades de selección que impliquen convocatoria pública y, además, por virtud del artículo 124 de la Ley del Presupuesto cuando dichos contratos y convenios sean suscritos entre entidades del orden nacional y territorial. No sucederá lo mismo cuando sean celebrados entre entidades del orden territorial, en cuyo caso aplicará la prohibición plena sin la modificación en mención. Esto por cuanto, se insiste, la prohibición del artículo 33 de la Ley de Garantías permanece incólume ante la expedición de la Ley del Presupuesto. </w:t>
      </w:r>
    </w:p>
    <w:p w14:paraId="7C38F697" w14:textId="77777777" w:rsidR="00FC1C1E" w:rsidRPr="00077410" w:rsidRDefault="00C02FE0" w:rsidP="00353D32">
      <w:pPr>
        <w:shd w:val="clear" w:color="auto" w:fill="FFFFFF"/>
        <w:spacing w:after="120"/>
        <w:ind w:firstLine="708"/>
      </w:pPr>
      <w:r w:rsidRPr="00077410">
        <w:rPr>
          <w:rFonts w:ascii="Arial" w:eastAsia="Arial" w:hAnsi="Arial" w:cs="Arial"/>
          <w:sz w:val="22"/>
          <w:szCs w:val="22"/>
        </w:rPr>
        <w:t xml:space="preserve">Por ende, cuando empiece el periodo preelectoral de las elecciones presidenciales, se deberá dar aplicación a la prohibición para la contratación directa contenida en el artículo 33 de la Ley de Garantías, así como a la prohibición del parágrafo del artículo 38 que, como se dijo, resulta aplicable a todo tipo de elección popular. </w:t>
      </w:r>
    </w:p>
    <w:p w14:paraId="3058FB76" w14:textId="77777777" w:rsidR="00FC1C1E" w:rsidRPr="00077410" w:rsidRDefault="00C02FE0">
      <w:pPr>
        <w:shd w:val="clear" w:color="auto" w:fill="FFFFFF"/>
        <w:spacing w:after="0"/>
        <w:ind w:firstLine="708"/>
        <w:rPr>
          <w:rFonts w:ascii="Arial" w:eastAsia="Arial" w:hAnsi="Arial" w:cs="Arial"/>
          <w:sz w:val="22"/>
          <w:szCs w:val="22"/>
        </w:rPr>
      </w:pPr>
      <w:r w:rsidRPr="00077410">
        <w:rPr>
          <w:rFonts w:ascii="Arial" w:eastAsia="Arial" w:hAnsi="Arial" w:cs="Arial"/>
          <w:sz w:val="22"/>
          <w:szCs w:val="22"/>
        </w:rPr>
        <w:t xml:space="preserve">En tal sentido, dentro de los cuatro meses anteriores a las elecciones de presidente y vicepresidente de la república no se podrán celebrar convenios y contratos interadministrativos a través de contratación directa, y solo podrán ser suscritos a través de mecanismos de selección que impliquen convocatoria pública y, además, siempre que se cumplan con los requisitos establecidos en el artículo 124 de la Ley 2159 de 2021. </w:t>
      </w:r>
    </w:p>
    <w:p w14:paraId="60B3BA67" w14:textId="77777777" w:rsidR="00FC1C1E" w:rsidRPr="00077410" w:rsidRDefault="00FC1C1E">
      <w:pPr>
        <w:shd w:val="clear" w:color="auto" w:fill="FFFFFF"/>
        <w:spacing w:after="0"/>
        <w:rPr>
          <w:rFonts w:ascii="Arial" w:eastAsia="Arial" w:hAnsi="Arial" w:cs="Arial"/>
          <w:sz w:val="22"/>
          <w:szCs w:val="22"/>
        </w:rPr>
      </w:pPr>
    </w:p>
    <w:p w14:paraId="6A02E7C5" w14:textId="77777777" w:rsidR="00FC1C1E" w:rsidRPr="00077410" w:rsidRDefault="00C02FE0">
      <w:pPr>
        <w:shd w:val="clear" w:color="auto" w:fill="FFFFFF"/>
        <w:spacing w:after="0"/>
        <w:rPr>
          <w:rFonts w:ascii="Arial" w:eastAsia="Arial" w:hAnsi="Arial" w:cs="Arial"/>
          <w:b/>
          <w:sz w:val="22"/>
          <w:szCs w:val="22"/>
        </w:rPr>
      </w:pPr>
      <w:r w:rsidRPr="00077410">
        <w:rPr>
          <w:rFonts w:ascii="Arial" w:eastAsia="Arial" w:hAnsi="Arial" w:cs="Arial"/>
          <w:b/>
          <w:sz w:val="22"/>
          <w:szCs w:val="22"/>
        </w:rPr>
        <w:t>3. Consideración transitoria</w:t>
      </w:r>
    </w:p>
    <w:p w14:paraId="0C824F0E" w14:textId="77777777" w:rsidR="00FC1C1E" w:rsidRPr="00077410" w:rsidRDefault="00FC1C1E">
      <w:pPr>
        <w:shd w:val="clear" w:color="auto" w:fill="FFFFFF"/>
        <w:spacing w:after="0"/>
        <w:rPr>
          <w:rFonts w:ascii="Arial" w:eastAsia="Arial" w:hAnsi="Arial" w:cs="Arial"/>
        </w:rPr>
      </w:pPr>
    </w:p>
    <w:p w14:paraId="7E1F816E" w14:textId="77777777" w:rsidR="00FC1C1E" w:rsidRPr="00077410" w:rsidRDefault="00C02FE0">
      <w:pPr>
        <w:pBdr>
          <w:top w:val="nil"/>
          <w:left w:val="nil"/>
          <w:bottom w:val="nil"/>
          <w:right w:val="nil"/>
          <w:between w:val="nil"/>
        </w:pBdr>
        <w:rPr>
          <w:rFonts w:ascii="Arial" w:eastAsia="Arial" w:hAnsi="Arial" w:cs="Arial"/>
          <w:color w:val="000000"/>
          <w:sz w:val="22"/>
          <w:szCs w:val="22"/>
        </w:rPr>
      </w:pPr>
      <w:r w:rsidRPr="00077410">
        <w:rPr>
          <w:rFonts w:ascii="Arial" w:eastAsia="Arial" w:hAnsi="Arial" w:cs="Arial"/>
          <w:color w:val="000000"/>
          <w:sz w:val="22"/>
          <w:szCs w:val="22"/>
        </w:rPr>
        <w:t>Sin perjuicio de todo lo dicho, debe tenerse en cuenta que en el fallo de tutela proferido dentro del proceso nro. 2021-000324 por parte del Juzgado Tercero Administrativo de Bogotá, se decidió, entre otras cosas:</w:t>
      </w:r>
    </w:p>
    <w:p w14:paraId="19B565C1" w14:textId="77777777" w:rsidR="00FC1C1E" w:rsidRPr="00077410" w:rsidRDefault="00C02FE0">
      <w:pPr>
        <w:pBdr>
          <w:top w:val="nil"/>
          <w:left w:val="nil"/>
          <w:bottom w:val="nil"/>
          <w:right w:val="nil"/>
          <w:between w:val="nil"/>
        </w:pBdr>
        <w:spacing w:after="120" w:line="240" w:lineRule="auto"/>
        <w:ind w:left="709" w:right="709"/>
        <w:rPr>
          <w:rFonts w:ascii="Arial" w:eastAsia="Arial" w:hAnsi="Arial" w:cs="Arial"/>
          <w:color w:val="000000"/>
          <w:sz w:val="21"/>
          <w:szCs w:val="21"/>
        </w:rPr>
      </w:pPr>
      <w:r w:rsidRPr="00077410">
        <w:rPr>
          <w:rFonts w:ascii="Arial" w:eastAsia="Arial" w:hAnsi="Arial" w:cs="Arial"/>
          <w:color w:val="000000"/>
          <w:sz w:val="21"/>
          <w:szCs w:val="21"/>
        </w:rPr>
        <w:t xml:space="preserve">«ORDENAR al presidente de la república y a los representantes legales de las entidades del orden nacional y del sector descentralizado territorialmente, </w:t>
      </w:r>
    </w:p>
    <w:p w14:paraId="5F0D5C47" w14:textId="77777777" w:rsidR="00FC1C1E" w:rsidRPr="00077410" w:rsidRDefault="00C02FE0">
      <w:pPr>
        <w:spacing w:after="120" w:line="240" w:lineRule="auto"/>
        <w:ind w:left="709" w:right="709"/>
        <w:rPr>
          <w:rFonts w:ascii="Arial" w:eastAsia="Arial" w:hAnsi="Arial" w:cs="Arial"/>
          <w:sz w:val="21"/>
          <w:szCs w:val="21"/>
        </w:rPr>
      </w:pPr>
      <w:r w:rsidRPr="00077410">
        <w:rPr>
          <w:rFonts w:ascii="Arial" w:eastAsia="Arial" w:hAnsi="Arial" w:cs="Arial"/>
          <w:sz w:val="21"/>
          <w:szCs w:val="21"/>
        </w:rPr>
        <w:t xml:space="preserve">abstenerse de dar aplicación a la modificación realizada al parágrafo 38 de la Ley 996 de 2005. </w:t>
      </w:r>
    </w:p>
    <w:p w14:paraId="1E99EE5B" w14:textId="77777777" w:rsidR="00FC1C1E" w:rsidRPr="00077410" w:rsidRDefault="00C02FE0">
      <w:pPr>
        <w:spacing w:after="120" w:line="240" w:lineRule="auto"/>
        <w:ind w:left="709" w:right="709"/>
        <w:rPr>
          <w:rFonts w:ascii="Arial" w:eastAsia="Arial" w:hAnsi="Arial" w:cs="Arial"/>
          <w:sz w:val="21"/>
          <w:szCs w:val="21"/>
        </w:rPr>
      </w:pPr>
      <w:r w:rsidRPr="00077410">
        <w:rPr>
          <w:rFonts w:ascii="Arial" w:eastAsia="Arial" w:hAnsi="Arial" w:cs="Arial"/>
          <w:sz w:val="21"/>
          <w:szCs w:val="21"/>
        </w:rPr>
        <w:t xml:space="preserve">La restricción enunciada tiene como efectos garantizar los derechos al debido proceso, igualdad e imparcialidad en el proceso electoral. </w:t>
      </w:r>
    </w:p>
    <w:p w14:paraId="1259D561" w14:textId="77777777" w:rsidR="00FC1C1E" w:rsidRPr="00077410" w:rsidRDefault="00C02FE0">
      <w:pPr>
        <w:spacing w:after="120" w:line="240" w:lineRule="auto"/>
        <w:ind w:left="709" w:right="709"/>
        <w:rPr>
          <w:rFonts w:ascii="Arial" w:eastAsia="Arial" w:hAnsi="Arial" w:cs="Arial"/>
          <w:sz w:val="21"/>
          <w:szCs w:val="21"/>
        </w:rPr>
      </w:pPr>
      <w:r w:rsidRPr="00077410">
        <w:rPr>
          <w:rFonts w:ascii="Arial" w:eastAsia="Arial" w:hAnsi="Arial" w:cs="Arial"/>
          <w:sz w:val="21"/>
          <w:szCs w:val="21"/>
        </w:rPr>
        <w:t xml:space="preserve">La presente restricción solo estará́ vigente hasta que la Corte Constitucional conozca de la demanda de acción pública de inconstitucionalidad que adelantará el señor Miguel Ángel Bravo Gutiérrez o, que, en el ejercicio de ese derecho, radique cualquier ciudadano en los términos que establece el artículo 241 de la Constitución. </w:t>
      </w:r>
    </w:p>
    <w:p w14:paraId="1B5BA62F" w14:textId="77777777" w:rsidR="00FC1C1E" w:rsidRPr="00077410" w:rsidRDefault="00C02FE0">
      <w:pPr>
        <w:spacing w:after="120" w:line="240" w:lineRule="auto"/>
        <w:ind w:left="709" w:right="709"/>
        <w:rPr>
          <w:rFonts w:ascii="Arial" w:eastAsia="Arial" w:hAnsi="Arial" w:cs="Arial"/>
          <w:sz w:val="21"/>
          <w:szCs w:val="21"/>
        </w:rPr>
      </w:pPr>
      <w:r w:rsidRPr="00077410">
        <w:rPr>
          <w:rFonts w:ascii="Arial" w:eastAsia="Arial" w:hAnsi="Arial" w:cs="Arial"/>
          <w:sz w:val="21"/>
          <w:szCs w:val="21"/>
        </w:rPr>
        <w:t xml:space="preserve">En esa medida el amparo transitorio objeto de esta providencia y la restricción enunciada para la celebración de los convenios interadministrativos, la ejecución de recursos públicos, la no participación, promoción y destinación de recursos </w:t>
      </w:r>
      <w:r w:rsidRPr="00077410">
        <w:rPr>
          <w:rFonts w:ascii="Arial" w:eastAsia="Arial" w:hAnsi="Arial" w:cs="Arial"/>
          <w:sz w:val="21"/>
          <w:szCs w:val="21"/>
        </w:rPr>
        <w:lastRenderedPageBreak/>
        <w:t xml:space="preserve">públicos de las entidades a su cargo, en la forma que lo establece el parágrafo 38 de la Ley 996 de 2005, estará́ vigente por el término improrrogable de treinta (30) días hábiles siguientes a la publicación de la ley, dentro de los cuales no se computará el periodo que comprende la vacancia judicial45. </w:t>
      </w:r>
    </w:p>
    <w:p w14:paraId="2603188A" w14:textId="77777777" w:rsidR="00FC1C1E" w:rsidRPr="00077410" w:rsidRDefault="00C02FE0">
      <w:pPr>
        <w:spacing w:after="120" w:line="240" w:lineRule="auto"/>
        <w:ind w:left="709" w:right="709"/>
        <w:rPr>
          <w:rFonts w:ascii="Arial" w:eastAsia="Arial" w:hAnsi="Arial" w:cs="Arial"/>
          <w:sz w:val="21"/>
          <w:szCs w:val="21"/>
        </w:rPr>
      </w:pPr>
      <w:r w:rsidRPr="00077410">
        <w:rPr>
          <w:rFonts w:ascii="Arial" w:eastAsia="Arial" w:hAnsi="Arial" w:cs="Arial"/>
          <w:sz w:val="21"/>
          <w:szCs w:val="21"/>
        </w:rPr>
        <w:t xml:space="preserve">El término referido tiene como única finalidad que la Corte Constitucional conozca y se pronuncie conforme a sus competencias y facultades relativas a la guarda de la integridad y supremacía de la Constitución, conforme a lo precisado en la parte motiva de esta providencia. </w:t>
      </w:r>
    </w:p>
    <w:p w14:paraId="5FD13A33" w14:textId="77777777" w:rsidR="00FC1C1E" w:rsidRPr="00077410" w:rsidRDefault="00C02FE0">
      <w:pPr>
        <w:spacing w:after="120" w:line="240" w:lineRule="auto"/>
        <w:ind w:left="709" w:right="709"/>
        <w:rPr>
          <w:rFonts w:ascii="Arial" w:eastAsia="Arial" w:hAnsi="Arial" w:cs="Arial"/>
          <w:sz w:val="21"/>
          <w:szCs w:val="21"/>
        </w:rPr>
      </w:pPr>
      <w:r w:rsidRPr="00077410">
        <w:rPr>
          <w:rFonts w:ascii="Arial" w:eastAsia="Arial" w:hAnsi="Arial" w:cs="Arial"/>
          <w:sz w:val="21"/>
          <w:szCs w:val="21"/>
        </w:rPr>
        <w:t xml:space="preserve">Superado el término de los treinta (30) días hábiles, que se computarán en la forma anunciada, si no se acude a la acción pública de inconstitucionalidad por el accionante o por otros ciudadanos, o si la Corte Constitucional no asume conocimiento del estudio del proyecto de ley, en las hipótesis referidas el amparo transitorio perderá́ efectos de manera inmediata. </w:t>
      </w:r>
    </w:p>
    <w:p w14:paraId="78B2AF15" w14:textId="77777777" w:rsidR="00FC1C1E" w:rsidRPr="00077410" w:rsidRDefault="00C02FE0">
      <w:pPr>
        <w:spacing w:after="0"/>
        <w:ind w:left="709" w:right="567"/>
        <w:rPr>
          <w:rFonts w:ascii="Arial" w:eastAsia="Arial" w:hAnsi="Arial" w:cs="Arial"/>
          <w:sz w:val="21"/>
          <w:szCs w:val="21"/>
        </w:rPr>
      </w:pPr>
      <w:r w:rsidRPr="00077410">
        <w:rPr>
          <w:rFonts w:ascii="Arial" w:eastAsia="Arial" w:hAnsi="Arial" w:cs="Arial"/>
          <w:sz w:val="21"/>
          <w:szCs w:val="21"/>
        </w:rPr>
        <w:t>La medida de amparo comprende única y exclusivamente al artículo 125 del trámite legislativo del proyecto de la ley 096 de 2021 Senado y 158 de 2021 Cámara, relativo a la modificación del parágrafo del artículo 38 de la Ley Estatutaria 996 de 2005»</w:t>
      </w:r>
      <w:r w:rsidRPr="00077410">
        <w:rPr>
          <w:rFonts w:ascii="Arial" w:eastAsia="Arial" w:hAnsi="Arial" w:cs="Arial"/>
          <w:sz w:val="21"/>
          <w:szCs w:val="21"/>
          <w:vertAlign w:val="superscript"/>
        </w:rPr>
        <w:footnoteReference w:id="67"/>
      </w:r>
      <w:r w:rsidRPr="00077410">
        <w:rPr>
          <w:rFonts w:ascii="Arial" w:eastAsia="Arial" w:hAnsi="Arial" w:cs="Arial"/>
          <w:sz w:val="21"/>
          <w:szCs w:val="21"/>
        </w:rPr>
        <w:t xml:space="preserve">. </w:t>
      </w:r>
    </w:p>
    <w:p w14:paraId="79F3C2CB" w14:textId="77777777" w:rsidR="00FC1C1E" w:rsidRPr="00077410" w:rsidRDefault="00FC1C1E">
      <w:pPr>
        <w:shd w:val="clear" w:color="auto" w:fill="FFFFFF"/>
        <w:spacing w:after="0"/>
        <w:rPr>
          <w:rFonts w:ascii="Arial" w:eastAsia="Arial" w:hAnsi="Arial" w:cs="Arial"/>
          <w:sz w:val="22"/>
          <w:szCs w:val="22"/>
        </w:rPr>
      </w:pPr>
    </w:p>
    <w:p w14:paraId="1784E3DA" w14:textId="77777777" w:rsidR="00FC1C1E" w:rsidRPr="00077410" w:rsidRDefault="00C02FE0">
      <w:pPr>
        <w:rPr>
          <w:rFonts w:ascii="Arial" w:eastAsia="Arial" w:hAnsi="Arial" w:cs="Arial"/>
          <w:color w:val="000000"/>
          <w:sz w:val="22"/>
          <w:szCs w:val="22"/>
        </w:rPr>
      </w:pPr>
      <w:r w:rsidRPr="00077410">
        <w:rPr>
          <w:rFonts w:ascii="Arial" w:eastAsia="Arial" w:hAnsi="Arial" w:cs="Arial"/>
          <w:color w:val="000000"/>
          <w:sz w:val="22"/>
          <w:szCs w:val="22"/>
        </w:rPr>
        <w:t xml:space="preserve">Sin embargo, posteriormente, el Tribunal Administrativo de Cundinamarca, mediante providencia del 29 de noviembre de 2021, decretó la nulidad de todo lo actuado en el trámite de la acción de tutela mencionada. En consecuencia, ordenó la vinculación del señor </w:t>
      </w:r>
      <w:proofErr w:type="gramStart"/>
      <w:r w:rsidRPr="00077410">
        <w:rPr>
          <w:rFonts w:ascii="Arial" w:eastAsia="Arial" w:hAnsi="Arial" w:cs="Arial"/>
          <w:color w:val="000000"/>
          <w:sz w:val="22"/>
          <w:szCs w:val="22"/>
        </w:rPr>
        <w:t>Presidente</w:t>
      </w:r>
      <w:proofErr w:type="gramEnd"/>
      <w:r w:rsidRPr="00077410">
        <w:rPr>
          <w:rFonts w:ascii="Arial" w:eastAsia="Arial" w:hAnsi="Arial" w:cs="Arial"/>
          <w:color w:val="000000"/>
          <w:sz w:val="22"/>
          <w:szCs w:val="22"/>
        </w:rPr>
        <w:t xml:space="preserve"> de la República y dio traslado del expediente al Consejo de Estado, por ser el órgano judicial competente, conforme al artículo 1 del Decreto 333 de 2021.</w:t>
      </w:r>
    </w:p>
    <w:p w14:paraId="6025F0A5" w14:textId="61DA3D14" w:rsidR="00FC1C1E" w:rsidRPr="00077410" w:rsidRDefault="00C02FE0">
      <w:pPr>
        <w:spacing w:after="0"/>
        <w:rPr>
          <w:rFonts w:ascii="Arial" w:eastAsia="Arial" w:hAnsi="Arial" w:cs="Arial"/>
          <w:b/>
          <w:sz w:val="22"/>
          <w:szCs w:val="22"/>
        </w:rPr>
      </w:pPr>
      <w:bookmarkStart w:id="28" w:name="_3whwml4" w:colFirst="0" w:colLast="0"/>
      <w:bookmarkEnd w:id="28"/>
      <w:r w:rsidRPr="00077410">
        <w:rPr>
          <w:rFonts w:ascii="Arial" w:eastAsia="Arial" w:hAnsi="Arial" w:cs="Arial"/>
          <w:b/>
          <w:sz w:val="22"/>
          <w:szCs w:val="22"/>
        </w:rPr>
        <w:t>4. Respuesta</w:t>
      </w:r>
    </w:p>
    <w:p w14:paraId="2A8DCA9A" w14:textId="77777777" w:rsidR="00FC1C1E" w:rsidRPr="00077410" w:rsidRDefault="00FC1C1E">
      <w:pPr>
        <w:spacing w:after="0"/>
        <w:rPr>
          <w:rFonts w:ascii="Arial" w:eastAsia="Arial" w:hAnsi="Arial" w:cs="Arial"/>
        </w:rPr>
      </w:pPr>
    </w:p>
    <w:p w14:paraId="1CA23590" w14:textId="77777777" w:rsidR="00FC1C1E" w:rsidRPr="00077410" w:rsidRDefault="00C02FE0">
      <w:pPr>
        <w:spacing w:after="0" w:line="240" w:lineRule="auto"/>
        <w:ind w:left="709" w:right="709"/>
        <w:rPr>
          <w:rFonts w:ascii="Arial" w:eastAsia="Arial" w:hAnsi="Arial" w:cs="Arial"/>
          <w:sz w:val="21"/>
          <w:szCs w:val="21"/>
        </w:rPr>
      </w:pPr>
      <w:r w:rsidRPr="00077410">
        <w:rPr>
          <w:rFonts w:ascii="Arial" w:eastAsia="Arial" w:hAnsi="Arial" w:cs="Arial"/>
          <w:sz w:val="21"/>
          <w:szCs w:val="21"/>
        </w:rPr>
        <w:t xml:space="preserve">¿La prohibición de que trata el parágrafo del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38 de la Ley 996 de 2005, en cuanto a su alcance, tendría la vocación de afectar a las entidades públicas descentralizadas indirectas de carácter académico, sin </w:t>
      </w:r>
      <w:proofErr w:type="spellStart"/>
      <w:r w:rsidRPr="00077410">
        <w:rPr>
          <w:rFonts w:ascii="Arial" w:eastAsia="Arial" w:hAnsi="Arial" w:cs="Arial"/>
          <w:sz w:val="21"/>
          <w:szCs w:val="21"/>
        </w:rPr>
        <w:t>animo</w:t>
      </w:r>
      <w:proofErr w:type="spellEnd"/>
      <w:r w:rsidRPr="00077410">
        <w:rPr>
          <w:rFonts w:ascii="Arial" w:eastAsia="Arial" w:hAnsi="Arial" w:cs="Arial"/>
          <w:sz w:val="21"/>
          <w:szCs w:val="21"/>
        </w:rPr>
        <w:t xml:space="preserve"> de lucro, que se conforman por Instituciones de Educación Superior estatales de acuerdo con lo establecido en 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95 de la Ley 489 de 2021? Las cuales, de acuerdo con la jurisprudencia del Consejo de Estado y Corte Constitucional, en cuanto a su régimen jurídico, son investidas con la autonomía universitaria y sus actos y contratos se rigen por el derecho privado, en tanto que, su naturaleza </w:t>
      </w:r>
      <w:proofErr w:type="spellStart"/>
      <w:r w:rsidRPr="00077410">
        <w:rPr>
          <w:rFonts w:ascii="Arial" w:eastAsia="Arial" w:hAnsi="Arial" w:cs="Arial"/>
          <w:sz w:val="21"/>
          <w:szCs w:val="21"/>
        </w:rPr>
        <w:t>jurídica</w:t>
      </w:r>
      <w:proofErr w:type="spellEnd"/>
      <w:r w:rsidRPr="00077410">
        <w:rPr>
          <w:rFonts w:ascii="Arial" w:eastAsia="Arial" w:hAnsi="Arial" w:cs="Arial"/>
          <w:sz w:val="21"/>
          <w:szCs w:val="21"/>
        </w:rPr>
        <w:t xml:space="preserve"> y prerrogativas son las mismas de las universidades públicas. </w:t>
      </w:r>
    </w:p>
    <w:p w14:paraId="15ED90F5" w14:textId="77777777" w:rsidR="00FC1C1E" w:rsidRPr="00077410" w:rsidRDefault="00FC1C1E">
      <w:pPr>
        <w:spacing w:after="0"/>
        <w:ind w:left="357"/>
        <w:rPr>
          <w:rFonts w:ascii="Arial" w:eastAsia="Arial" w:hAnsi="Arial" w:cs="Arial"/>
          <w:sz w:val="21"/>
          <w:szCs w:val="21"/>
        </w:rPr>
      </w:pPr>
    </w:p>
    <w:p w14:paraId="55DED0F5" w14:textId="0C6603D5" w:rsidR="00FC1C1E" w:rsidRPr="00077410" w:rsidRDefault="00C02FE0">
      <w:pPr>
        <w:spacing w:after="0"/>
        <w:rPr>
          <w:rFonts w:ascii="Arial" w:eastAsia="Arial" w:hAnsi="Arial" w:cs="Arial"/>
          <w:sz w:val="21"/>
          <w:szCs w:val="21"/>
        </w:rPr>
      </w:pPr>
      <w:r w:rsidRPr="00077410">
        <w:rPr>
          <w:rFonts w:ascii="Arial" w:eastAsia="Arial" w:hAnsi="Arial" w:cs="Arial"/>
          <w:sz w:val="22"/>
          <w:szCs w:val="22"/>
        </w:rPr>
        <w:t xml:space="preserve">El parágrafo del artículo 38 de la ley de garantías electorales, que restringe la celebración de contratos y convenios interadministrativos por entidades estatales del orden territorial y descentralizado, no es aplicable a las universidades públicas del orden nacional y territorial, debido a que, en virtud de su atributo constitucional de autonomía, no son ni pueden </w:t>
      </w:r>
      <w:r w:rsidRPr="00077410">
        <w:rPr>
          <w:rFonts w:ascii="Arial" w:eastAsia="Arial" w:hAnsi="Arial" w:cs="Arial"/>
          <w:sz w:val="22"/>
          <w:szCs w:val="22"/>
        </w:rPr>
        <w:lastRenderedPageBreak/>
        <w:t>asimilarse a las entidades públicas que expresamente prevé la norma, de conformidad con lo señalado en el numeral 2.4 de este concepto.</w:t>
      </w:r>
    </w:p>
    <w:p w14:paraId="60032B8E" w14:textId="77777777" w:rsidR="00FC1C1E" w:rsidRPr="00077410" w:rsidRDefault="00FC1C1E">
      <w:pPr>
        <w:spacing w:after="0"/>
        <w:rPr>
          <w:rFonts w:ascii="Arial" w:eastAsia="Arial" w:hAnsi="Arial" w:cs="Arial"/>
          <w:sz w:val="21"/>
          <w:szCs w:val="21"/>
        </w:rPr>
      </w:pPr>
    </w:p>
    <w:p w14:paraId="74AADDA5" w14:textId="77777777" w:rsidR="00FC1C1E" w:rsidRPr="00077410" w:rsidRDefault="00C02FE0">
      <w:pPr>
        <w:spacing w:after="0" w:line="240" w:lineRule="auto"/>
        <w:ind w:left="709" w:right="709"/>
        <w:rPr>
          <w:rFonts w:ascii="Arial" w:eastAsia="Arial" w:hAnsi="Arial" w:cs="Arial"/>
          <w:sz w:val="21"/>
          <w:szCs w:val="21"/>
        </w:rPr>
      </w:pPr>
      <w:r w:rsidRPr="00077410">
        <w:rPr>
          <w:rFonts w:ascii="Arial" w:eastAsia="Arial" w:hAnsi="Arial" w:cs="Arial"/>
          <w:sz w:val="21"/>
          <w:szCs w:val="21"/>
        </w:rPr>
        <w:t xml:space="preserve">¿La prohibición de que trata el parágrafo del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38 de la Ley 996 de 2005, en cuanto a su alcance, tendría la vocación de afectar a las empresas prestadoras de servicios públicos de carácter mixto cuyo régimen jurídico se encuentra establecido en 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14 de la Ley 142 de 1994? </w:t>
      </w:r>
    </w:p>
    <w:p w14:paraId="5A05F4D5" w14:textId="77777777" w:rsidR="00FC1C1E" w:rsidRPr="00077410" w:rsidRDefault="00FC1C1E">
      <w:pPr>
        <w:spacing w:after="0" w:line="240" w:lineRule="auto"/>
        <w:ind w:right="709"/>
        <w:rPr>
          <w:rFonts w:ascii="Arial" w:eastAsia="Arial" w:hAnsi="Arial" w:cs="Arial"/>
          <w:sz w:val="21"/>
          <w:szCs w:val="21"/>
        </w:rPr>
      </w:pPr>
    </w:p>
    <w:p w14:paraId="318E6CD1" w14:textId="77777777" w:rsidR="00FC1C1E" w:rsidRPr="00077410" w:rsidRDefault="00C02FE0" w:rsidP="00353D32">
      <w:pPr>
        <w:spacing w:after="0" w:line="240" w:lineRule="auto"/>
      </w:pPr>
      <w:r w:rsidRPr="00077410">
        <w:rPr>
          <w:rFonts w:ascii="Arial" w:eastAsia="Arial" w:hAnsi="Arial" w:cs="Arial"/>
          <w:sz w:val="22"/>
          <w:szCs w:val="22"/>
        </w:rPr>
        <w:t>De conformidad con las consideraciones desarrolladas en este concepto, particularmente en el numeral 2.3, los gerentes o directores de las Empresas de Servicios Públicos Mixtas del orden municipal, departamental o distrital, son destinatarios de la prohibición contenida en el parágrafo del artículo 38 de la Ley 996 de 2005, es decir, dentro de los cuatro (4) meses anteriores a las elecciones no pueden celebrar convenios interadministrativos para la ejecución de recursos públicos.</w:t>
      </w:r>
    </w:p>
    <w:p w14:paraId="3FF154CF" w14:textId="77777777" w:rsidR="00FC1C1E" w:rsidRPr="00077410" w:rsidRDefault="00FC1C1E">
      <w:pPr>
        <w:spacing w:after="0" w:line="240" w:lineRule="auto"/>
        <w:ind w:right="709"/>
        <w:rPr>
          <w:rFonts w:ascii="Arial" w:eastAsia="Arial" w:hAnsi="Arial" w:cs="Arial"/>
          <w:sz w:val="21"/>
          <w:szCs w:val="21"/>
        </w:rPr>
      </w:pPr>
    </w:p>
    <w:p w14:paraId="284F5C99" w14:textId="77777777" w:rsidR="00FC1C1E" w:rsidRPr="00077410" w:rsidRDefault="00C02FE0">
      <w:pPr>
        <w:spacing w:after="0" w:line="240" w:lineRule="auto"/>
        <w:ind w:left="709" w:right="709"/>
        <w:rPr>
          <w:rFonts w:ascii="Arial" w:eastAsia="Arial" w:hAnsi="Arial" w:cs="Arial"/>
          <w:sz w:val="21"/>
          <w:szCs w:val="21"/>
        </w:rPr>
      </w:pPr>
      <w:r w:rsidRPr="00077410">
        <w:rPr>
          <w:rFonts w:ascii="Arial" w:eastAsia="Arial" w:hAnsi="Arial" w:cs="Arial"/>
          <w:sz w:val="21"/>
          <w:szCs w:val="21"/>
        </w:rPr>
        <w:t xml:space="preserve">¿las Corporaciones Autónomas Regionales se encuentran en el ámbito de lo dispuesto en el parágrafo del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38 de la, ley 996 de 2005, modificado por el </w:t>
      </w:r>
      <w:proofErr w:type="spellStart"/>
      <w:r w:rsidRPr="00077410">
        <w:rPr>
          <w:rFonts w:ascii="Arial" w:eastAsia="Arial" w:hAnsi="Arial" w:cs="Arial"/>
          <w:sz w:val="21"/>
          <w:szCs w:val="21"/>
        </w:rPr>
        <w:t>artículo</w:t>
      </w:r>
      <w:proofErr w:type="spellEnd"/>
      <w:r w:rsidRPr="00077410">
        <w:rPr>
          <w:rFonts w:ascii="Arial" w:eastAsia="Arial" w:hAnsi="Arial" w:cs="Arial"/>
          <w:sz w:val="21"/>
          <w:szCs w:val="21"/>
        </w:rPr>
        <w:t xml:space="preserve"> 124 de la Ley 2159 de 2021?</w:t>
      </w:r>
    </w:p>
    <w:p w14:paraId="07A0136E" w14:textId="77777777" w:rsidR="00FC1C1E" w:rsidRPr="00077410" w:rsidRDefault="00FC1C1E">
      <w:pPr>
        <w:spacing w:after="0"/>
        <w:rPr>
          <w:rFonts w:ascii="Arial" w:eastAsia="Arial" w:hAnsi="Arial" w:cs="Arial"/>
          <w:sz w:val="21"/>
          <w:szCs w:val="21"/>
        </w:rPr>
      </w:pPr>
    </w:p>
    <w:p w14:paraId="23161F21" w14:textId="77777777" w:rsidR="00FC1C1E" w:rsidRPr="00077410" w:rsidRDefault="00C02FE0">
      <w:pPr>
        <w:spacing w:after="0"/>
        <w:rPr>
          <w:rFonts w:ascii="Arial" w:eastAsia="Arial" w:hAnsi="Arial" w:cs="Arial"/>
          <w:sz w:val="22"/>
          <w:szCs w:val="22"/>
        </w:rPr>
      </w:pPr>
      <w:r w:rsidRPr="00077410">
        <w:rPr>
          <w:rFonts w:ascii="Arial" w:eastAsia="Arial" w:hAnsi="Arial" w:cs="Arial"/>
          <w:sz w:val="22"/>
          <w:szCs w:val="22"/>
        </w:rPr>
        <w:t>El parágrafo del artículo 38 de la Ley 996 de 2005 proscribe la celebración de contratos y convenios interadministrativos mediante los cuales se ejecuten recursos públicos y que tengan como parte a una de las entidades territoriales establecidas en la misma norma. Lo anterior sin perjuicio de la modificación transitoria efectuada por el artículo 124 de la Ley 2159 de 2021, que autoriza la celebración de contratos y convenios interadministrativos entre la Nación y entidades territoriales previo el cumplimiento de ciertos elementos teleológicos, subjetivos y temporales exigidos por la misma norma, según lo explicado en este concepto.</w:t>
      </w:r>
    </w:p>
    <w:p w14:paraId="1634D622" w14:textId="77777777" w:rsidR="00FC1C1E" w:rsidRPr="00077410" w:rsidRDefault="00FC1C1E">
      <w:pPr>
        <w:spacing w:after="0"/>
        <w:rPr>
          <w:rFonts w:ascii="Arial" w:eastAsia="Arial" w:hAnsi="Arial" w:cs="Arial"/>
        </w:rPr>
      </w:pPr>
    </w:p>
    <w:p w14:paraId="04078350" w14:textId="77777777" w:rsidR="00FC1C1E" w:rsidRPr="00077410" w:rsidRDefault="00C02FE0">
      <w:pPr>
        <w:spacing w:after="0"/>
        <w:rPr>
          <w:rFonts w:ascii="Arial" w:eastAsia="Arial" w:hAnsi="Arial" w:cs="Arial"/>
        </w:rPr>
      </w:pPr>
      <w:r w:rsidRPr="00077410">
        <w:rPr>
          <w:rFonts w:ascii="Arial" w:eastAsia="Arial" w:hAnsi="Arial" w:cs="Arial"/>
          <w:sz w:val="22"/>
          <w:szCs w:val="22"/>
        </w:rPr>
        <w:t>Este concepto tiene el alcance previsto en el artículo 28 del Código de Procedimiento Administrativo y de lo Contencioso Administrativo.</w:t>
      </w:r>
    </w:p>
    <w:p w14:paraId="2F4546F1" w14:textId="77777777" w:rsidR="00FC1C1E" w:rsidRPr="00077410" w:rsidRDefault="00C02FE0">
      <w:pPr>
        <w:spacing w:after="120"/>
        <w:rPr>
          <w:rFonts w:ascii="Arial" w:eastAsia="Arial" w:hAnsi="Arial" w:cs="Arial"/>
          <w:sz w:val="22"/>
          <w:szCs w:val="22"/>
        </w:rPr>
      </w:pPr>
      <w:r w:rsidRPr="00077410">
        <w:rPr>
          <w:noProof/>
        </w:rPr>
        <mc:AlternateContent>
          <mc:Choice Requires="wps">
            <w:drawing>
              <wp:anchor distT="0" distB="0" distL="114300" distR="114300" simplePos="0" relativeHeight="251658240" behindDoc="0" locked="0" layoutInCell="1" hidden="0" allowOverlap="1" wp14:anchorId="3D6C7AE4" wp14:editId="05B349C9">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86300" cy="9526"/>
                        </a:xfrm>
                        <a:prstGeom prst="rect"/>
                        <a:ln/>
                      </pic:spPr>
                    </pic:pic>
                  </a:graphicData>
                </a:graphic>
              </wp:anchor>
            </w:drawing>
          </mc:Fallback>
        </mc:AlternateContent>
      </w:r>
    </w:p>
    <w:p w14:paraId="0FBF4BD8" w14:textId="77777777" w:rsidR="00FC1C1E" w:rsidRPr="00077410" w:rsidRDefault="00C02FE0">
      <w:pPr>
        <w:rPr>
          <w:rFonts w:ascii="Arial" w:eastAsia="Arial" w:hAnsi="Arial" w:cs="Arial"/>
          <w:sz w:val="22"/>
          <w:szCs w:val="22"/>
        </w:rPr>
      </w:pPr>
      <w:r w:rsidRPr="00077410">
        <w:rPr>
          <w:rFonts w:ascii="Arial" w:eastAsia="Arial" w:hAnsi="Arial" w:cs="Arial"/>
          <w:sz w:val="22"/>
          <w:szCs w:val="22"/>
        </w:rPr>
        <w:t>Atentamente,</w:t>
      </w:r>
    </w:p>
    <w:p w14:paraId="38CD4B1A" w14:textId="0CBBBA02" w:rsidR="00FC1C1E" w:rsidRPr="00077410" w:rsidRDefault="004E0CF3">
      <w:pPr>
        <w:jc w:val="center"/>
        <w:rPr>
          <w:rFonts w:ascii="Arial" w:eastAsia="Arial" w:hAnsi="Arial" w:cs="Arial"/>
          <w:color w:val="000000"/>
          <w:sz w:val="18"/>
          <w:szCs w:val="18"/>
        </w:rPr>
      </w:pPr>
      <w:r>
        <w:rPr>
          <w:noProof/>
        </w:rPr>
        <w:drawing>
          <wp:inline distT="0" distB="0" distL="0" distR="0" wp14:anchorId="18DB8B89" wp14:editId="37C8BC32">
            <wp:extent cx="1952625" cy="865368"/>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162" cy="870924"/>
                    </a:xfrm>
                    <a:prstGeom prst="rect">
                      <a:avLst/>
                    </a:prstGeom>
                    <a:noFill/>
                    <a:ln>
                      <a:noFill/>
                    </a:ln>
                  </pic:spPr>
                </pic:pic>
              </a:graphicData>
            </a:graphic>
          </wp:inline>
        </w:drawing>
      </w:r>
    </w:p>
    <w:tbl>
      <w:tblPr>
        <w:tblStyle w:val="a1"/>
        <w:tblW w:w="52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23"/>
        <w:gridCol w:w="4475"/>
      </w:tblGrid>
      <w:tr w:rsidR="00FC1C1E" w:rsidRPr="00077410" w14:paraId="5DC3237C" w14:textId="77777777" w:rsidTr="004E0CF3">
        <w:trPr>
          <w:trHeight w:val="300"/>
        </w:trPr>
        <w:tc>
          <w:tcPr>
            <w:tcW w:w="823" w:type="dxa"/>
            <w:vAlign w:val="center"/>
          </w:tcPr>
          <w:p w14:paraId="36C6EFAD" w14:textId="77777777" w:rsidR="00FC1C1E" w:rsidRPr="00077410" w:rsidRDefault="00C02FE0" w:rsidP="00353D32">
            <w:pPr>
              <w:spacing w:before="0"/>
            </w:pPr>
            <w:r w:rsidRPr="00077410">
              <w:rPr>
                <w:rFonts w:ascii="Arial" w:eastAsia="Arial" w:hAnsi="Arial" w:cs="Arial"/>
                <w:color w:val="000000"/>
                <w:sz w:val="16"/>
                <w:szCs w:val="16"/>
              </w:rPr>
              <w:t>Elaboró:</w:t>
            </w:r>
          </w:p>
        </w:tc>
        <w:tc>
          <w:tcPr>
            <w:tcW w:w="4475" w:type="dxa"/>
            <w:tcBorders>
              <w:top w:val="nil"/>
              <w:left w:val="nil"/>
              <w:bottom w:val="dotted" w:sz="4" w:space="0" w:color="7F7F7F"/>
              <w:right w:val="nil"/>
            </w:tcBorders>
            <w:vAlign w:val="center"/>
          </w:tcPr>
          <w:p w14:paraId="08E5816A" w14:textId="77777777" w:rsidR="00FC1C1E" w:rsidRPr="00077410" w:rsidRDefault="00C02FE0" w:rsidP="00353D32">
            <w:pPr>
              <w:spacing w:before="0"/>
            </w:pPr>
            <w:r w:rsidRPr="00077410">
              <w:rPr>
                <w:rFonts w:ascii="Arial" w:eastAsia="Arial" w:hAnsi="Arial" w:cs="Arial"/>
                <w:color w:val="000000"/>
                <w:sz w:val="16"/>
                <w:szCs w:val="16"/>
              </w:rPr>
              <w:t xml:space="preserve">Álvaro </w:t>
            </w:r>
            <w:proofErr w:type="spellStart"/>
            <w:r w:rsidRPr="00077410">
              <w:rPr>
                <w:rFonts w:ascii="Arial" w:eastAsia="Arial" w:hAnsi="Arial" w:cs="Arial"/>
                <w:color w:val="000000"/>
                <w:sz w:val="16"/>
                <w:szCs w:val="16"/>
              </w:rPr>
              <w:t>Namén</w:t>
            </w:r>
            <w:proofErr w:type="spellEnd"/>
            <w:r w:rsidRPr="00077410">
              <w:rPr>
                <w:rFonts w:ascii="Arial" w:eastAsia="Arial" w:hAnsi="Arial" w:cs="Arial"/>
                <w:color w:val="000000"/>
                <w:sz w:val="16"/>
                <w:szCs w:val="16"/>
              </w:rPr>
              <w:t xml:space="preserve"> Vargas</w:t>
            </w:r>
          </w:p>
          <w:p w14:paraId="67A27082" w14:textId="77777777" w:rsidR="00FC1C1E" w:rsidRPr="00077410" w:rsidRDefault="00C02FE0" w:rsidP="00353D32">
            <w:pPr>
              <w:spacing w:before="0"/>
            </w:pPr>
            <w:r w:rsidRPr="00077410">
              <w:rPr>
                <w:rFonts w:ascii="Arial" w:eastAsia="Arial" w:hAnsi="Arial" w:cs="Arial"/>
                <w:color w:val="000000"/>
                <w:sz w:val="16"/>
                <w:szCs w:val="16"/>
              </w:rPr>
              <w:t>Contratista de la Subdirección de Gestión Contractual</w:t>
            </w:r>
          </w:p>
        </w:tc>
      </w:tr>
      <w:tr w:rsidR="00FC1C1E" w:rsidRPr="00077410" w14:paraId="694AD889" w14:textId="77777777" w:rsidTr="004E0CF3">
        <w:trPr>
          <w:trHeight w:val="314"/>
        </w:trPr>
        <w:tc>
          <w:tcPr>
            <w:tcW w:w="823" w:type="dxa"/>
            <w:vAlign w:val="center"/>
          </w:tcPr>
          <w:p w14:paraId="22353A58" w14:textId="77777777" w:rsidR="00FC1C1E" w:rsidRPr="00077410" w:rsidRDefault="00C02FE0" w:rsidP="00353D32">
            <w:pPr>
              <w:spacing w:before="0"/>
            </w:pPr>
            <w:r w:rsidRPr="00077410">
              <w:rPr>
                <w:rFonts w:ascii="Arial" w:eastAsia="Arial" w:hAnsi="Arial" w:cs="Arial"/>
                <w:color w:val="000000"/>
                <w:sz w:val="16"/>
                <w:szCs w:val="16"/>
              </w:rPr>
              <w:t>Revisó:</w:t>
            </w:r>
          </w:p>
        </w:tc>
        <w:tc>
          <w:tcPr>
            <w:tcW w:w="4475" w:type="dxa"/>
            <w:tcBorders>
              <w:top w:val="dotted" w:sz="4" w:space="0" w:color="7F7F7F"/>
              <w:left w:val="nil"/>
              <w:bottom w:val="dotted" w:sz="4" w:space="0" w:color="7F7F7F"/>
              <w:right w:val="nil"/>
            </w:tcBorders>
            <w:vAlign w:val="center"/>
          </w:tcPr>
          <w:p w14:paraId="6F0C03D4" w14:textId="62F2A68E" w:rsidR="00FC1C1E" w:rsidRPr="00077410" w:rsidRDefault="00C02FE0" w:rsidP="00353D32">
            <w:pPr>
              <w:spacing w:before="0"/>
            </w:pPr>
            <w:r w:rsidRPr="00077410">
              <w:rPr>
                <w:rFonts w:ascii="Arial" w:eastAsia="Arial" w:hAnsi="Arial" w:cs="Arial"/>
                <w:color w:val="000000"/>
                <w:sz w:val="16"/>
                <w:szCs w:val="16"/>
              </w:rPr>
              <w:t>Sebastián Ramírez Grisales</w:t>
            </w:r>
          </w:p>
          <w:p w14:paraId="3AFBCF42" w14:textId="77777777" w:rsidR="00FC1C1E" w:rsidRPr="00077410" w:rsidRDefault="00C02FE0" w:rsidP="00353D32">
            <w:pPr>
              <w:spacing w:before="0"/>
            </w:pPr>
            <w:r w:rsidRPr="00077410">
              <w:rPr>
                <w:rFonts w:ascii="Arial" w:eastAsia="Arial" w:hAnsi="Arial" w:cs="Arial"/>
                <w:color w:val="000000"/>
                <w:sz w:val="16"/>
                <w:szCs w:val="16"/>
              </w:rPr>
              <w:t>Gestor T1-15 de la Subdirección de Gestión Contractual</w:t>
            </w:r>
          </w:p>
        </w:tc>
      </w:tr>
      <w:tr w:rsidR="00FC1C1E" w14:paraId="74794CA4" w14:textId="77777777" w:rsidTr="004E0CF3">
        <w:trPr>
          <w:trHeight w:val="286"/>
        </w:trPr>
        <w:tc>
          <w:tcPr>
            <w:tcW w:w="823" w:type="dxa"/>
            <w:vAlign w:val="center"/>
          </w:tcPr>
          <w:p w14:paraId="7761FD7F" w14:textId="77777777" w:rsidR="00FC1C1E" w:rsidRPr="00077410" w:rsidRDefault="00C02FE0" w:rsidP="00353D32">
            <w:pPr>
              <w:spacing w:before="0"/>
            </w:pPr>
            <w:r w:rsidRPr="00077410">
              <w:rPr>
                <w:rFonts w:ascii="Arial" w:eastAsia="Arial" w:hAnsi="Arial" w:cs="Arial"/>
                <w:color w:val="000000"/>
                <w:sz w:val="16"/>
                <w:szCs w:val="16"/>
              </w:rPr>
              <w:t>Aprobó:</w:t>
            </w:r>
          </w:p>
        </w:tc>
        <w:tc>
          <w:tcPr>
            <w:tcW w:w="4475" w:type="dxa"/>
            <w:tcBorders>
              <w:top w:val="dotted" w:sz="4" w:space="0" w:color="7F7F7F"/>
              <w:left w:val="nil"/>
              <w:bottom w:val="dotted" w:sz="4" w:space="0" w:color="7F7F7F"/>
              <w:right w:val="nil"/>
            </w:tcBorders>
            <w:vAlign w:val="center"/>
          </w:tcPr>
          <w:p w14:paraId="0546E967" w14:textId="77777777" w:rsidR="00FC1C1E" w:rsidRPr="00077410" w:rsidRDefault="00C02FE0" w:rsidP="00353D32">
            <w:pPr>
              <w:spacing w:before="0"/>
            </w:pPr>
            <w:r w:rsidRPr="00077410">
              <w:rPr>
                <w:rFonts w:ascii="Arial" w:eastAsia="Arial" w:hAnsi="Arial" w:cs="Arial"/>
                <w:color w:val="000000"/>
                <w:sz w:val="16"/>
                <w:szCs w:val="16"/>
              </w:rPr>
              <w:t>Jorge Augusto Tirado Navarro</w:t>
            </w:r>
          </w:p>
          <w:p w14:paraId="0C74B610" w14:textId="77777777" w:rsidR="00FC1C1E" w:rsidRPr="00353D32" w:rsidRDefault="00C02FE0" w:rsidP="00353D32">
            <w:pPr>
              <w:spacing w:before="0"/>
            </w:pPr>
            <w:r w:rsidRPr="00077410">
              <w:rPr>
                <w:rFonts w:ascii="Arial" w:eastAsia="Arial" w:hAnsi="Arial" w:cs="Arial"/>
                <w:color w:val="000000"/>
                <w:sz w:val="16"/>
                <w:szCs w:val="16"/>
              </w:rPr>
              <w:t>Subdirector de Gestión Contractual ANCP – CCE</w:t>
            </w:r>
          </w:p>
        </w:tc>
      </w:tr>
    </w:tbl>
    <w:p w14:paraId="6C7E1EB2" w14:textId="77777777" w:rsidR="00FC1C1E" w:rsidRDefault="00FC1C1E" w:rsidP="004E0CF3">
      <w:pPr>
        <w:spacing w:after="120"/>
        <w:rPr>
          <w:rFonts w:ascii="Arial" w:eastAsia="Arial" w:hAnsi="Arial" w:cs="Arial"/>
          <w:b/>
          <w:sz w:val="20"/>
          <w:szCs w:val="20"/>
        </w:rPr>
      </w:pPr>
    </w:p>
    <w:sectPr w:rsidR="00FC1C1E" w:rsidSect="00353D32">
      <w:headerReference w:type="default" r:id="rId13"/>
      <w:footerReference w:type="default" r:id="rId14"/>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BC9B" w14:textId="77777777" w:rsidR="0048122F" w:rsidRDefault="0048122F">
      <w:pPr>
        <w:spacing w:after="0" w:line="240" w:lineRule="auto"/>
      </w:pPr>
      <w:r>
        <w:separator/>
      </w:r>
    </w:p>
  </w:endnote>
  <w:endnote w:type="continuationSeparator" w:id="0">
    <w:p w14:paraId="238BCC46" w14:textId="77777777" w:rsidR="0048122F" w:rsidRDefault="0048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E6BE" w14:textId="77777777" w:rsidR="00FC1C1E" w:rsidRDefault="00C02FE0">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353D32">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353D32">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4BD901FB" w14:textId="77777777" w:rsidR="00FC1C1E" w:rsidRDefault="00C02FE0">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7205FEE4" wp14:editId="6B1072E7">
          <wp:extent cx="4241994" cy="59516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5F2DD6DE" w14:textId="77777777" w:rsidR="00FC1C1E" w:rsidRDefault="00FC1C1E">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4EC9" w14:textId="77777777" w:rsidR="0048122F" w:rsidRDefault="0048122F">
      <w:pPr>
        <w:spacing w:after="0" w:line="240" w:lineRule="auto"/>
      </w:pPr>
      <w:r>
        <w:separator/>
      </w:r>
    </w:p>
  </w:footnote>
  <w:footnote w:type="continuationSeparator" w:id="0">
    <w:p w14:paraId="1C58111D" w14:textId="77777777" w:rsidR="0048122F" w:rsidRDefault="0048122F">
      <w:pPr>
        <w:spacing w:after="0" w:line="240" w:lineRule="auto"/>
      </w:pPr>
      <w:r>
        <w:continuationSeparator/>
      </w:r>
    </w:p>
  </w:footnote>
  <w:footnote w:id="1">
    <w:p w14:paraId="7114EE58" w14:textId="77777777" w:rsidR="00FC1C1E" w:rsidRDefault="00C02FE0">
      <w:pPr>
        <w:pBdr>
          <w:top w:val="nil"/>
          <w:left w:val="nil"/>
          <w:bottom w:val="nil"/>
          <w:right w:val="nil"/>
          <w:between w:val="nil"/>
        </w:pBd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ab/>
        <w:t xml:space="preserve"> «Artículo 3°. Funciones. La Agencia Nacional de Contratación Pública –Colombia Compra Eficiente– ejercerá las siguientes funciones: </w:t>
      </w:r>
    </w:p>
    <w:p w14:paraId="4B088B7F"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xml:space="preserve">[...] </w:t>
      </w:r>
    </w:p>
    <w:p w14:paraId="21DC65C6"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5. Absolver consultas sobre la aplicación de normas de carácter general y expedir circulares externas en materia de compras y contratación pública».</w:t>
      </w:r>
    </w:p>
    <w:p w14:paraId="1F392038"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w:t>
      </w:r>
    </w:p>
    <w:p w14:paraId="6D95BC2A"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proofErr w:type="gramStart"/>
      <w:r>
        <w:rPr>
          <w:rFonts w:ascii="Arial" w:eastAsia="Arial" w:hAnsi="Arial" w:cs="Arial"/>
          <w:color w:val="000000"/>
          <w:sz w:val="19"/>
          <w:szCs w:val="19"/>
        </w:rPr>
        <w:t>»Artículo</w:t>
      </w:r>
      <w:proofErr w:type="gramEnd"/>
      <w:r>
        <w:rPr>
          <w:rFonts w:ascii="Arial" w:eastAsia="Arial" w:hAnsi="Arial" w:cs="Arial"/>
          <w:color w:val="000000"/>
          <w:sz w:val="19"/>
          <w:szCs w:val="19"/>
        </w:rPr>
        <w:t xml:space="preserve"> 11. Subdirección de Gestión Contractual. Son funciones de la Subdirección de Gestión Contractual las siguientes: </w:t>
      </w:r>
    </w:p>
    <w:p w14:paraId="24607D76"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xml:space="preserve">[...] </w:t>
      </w:r>
    </w:p>
    <w:p w14:paraId="24B9E86B"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rFonts w:ascii="Arial" w:eastAsia="Arial" w:hAnsi="Arial" w:cs="Arial"/>
          <w:color w:val="000000"/>
          <w:sz w:val="19"/>
          <w:szCs w:val="19"/>
        </w:rPr>
        <w:t xml:space="preserve">»8. Absolver consultas sobre la aplicación de normas de carácter general». </w:t>
      </w:r>
    </w:p>
  </w:footnote>
  <w:footnote w:id="2">
    <w:p w14:paraId="0B160E77"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835AA8B"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proofErr w:type="gramStart"/>
      <w:r>
        <w:rPr>
          <w:rFonts w:ascii="Arial" w:eastAsia="Arial" w:hAnsi="Arial" w:cs="Arial"/>
          <w:color w:val="000000"/>
          <w:sz w:val="19"/>
          <w:szCs w:val="19"/>
        </w:rPr>
        <w:t>»A</w:t>
      </w:r>
      <w:proofErr w:type="gramEnd"/>
      <w:r>
        <w:rPr>
          <w:rFonts w:ascii="Arial" w:eastAsia="Arial" w:hAnsi="Arial" w:cs="Arial"/>
          <w:color w:val="000000"/>
          <w:sz w:val="19"/>
          <w:szCs w:val="19"/>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6DDC82FD"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3">
    <w:p w14:paraId="3F9A24B6"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Gaceta del Congreso de la República No. 71 del 2005.</w:t>
      </w:r>
    </w:p>
    <w:p w14:paraId="177F3D40"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4">
    <w:p w14:paraId="075D7FA5"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C- 1153 de 2005, M.P. Marco Gerardo Monroy Cabra.</w:t>
      </w:r>
    </w:p>
  </w:footnote>
  <w:footnote w:id="5">
    <w:p w14:paraId="28F683AE"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4268088"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6">
    <w:p w14:paraId="241D9E7A"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1F556339"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7">
    <w:p w14:paraId="29CC3E53"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de fecha 24 de julio de 2013, radicado 2166, </w:t>
      </w:r>
      <w:proofErr w:type="gramStart"/>
      <w:r>
        <w:rPr>
          <w:rFonts w:ascii="Arial" w:eastAsia="Arial" w:hAnsi="Arial" w:cs="Arial"/>
          <w:color w:val="000000"/>
          <w:sz w:val="19"/>
          <w:szCs w:val="19"/>
        </w:rPr>
        <w:t>Consejero</w:t>
      </w:r>
      <w:proofErr w:type="gramEnd"/>
      <w:r>
        <w:rPr>
          <w:rFonts w:ascii="Arial" w:eastAsia="Arial" w:hAnsi="Arial" w:cs="Arial"/>
          <w:color w:val="000000"/>
          <w:sz w:val="19"/>
          <w:szCs w:val="19"/>
        </w:rPr>
        <w:t xml:space="preserve"> Ponente: Álvaro </w:t>
      </w:r>
      <w:proofErr w:type="spellStart"/>
      <w:r>
        <w:rPr>
          <w:rFonts w:ascii="Arial" w:eastAsia="Arial" w:hAnsi="Arial" w:cs="Arial"/>
          <w:color w:val="000000"/>
          <w:sz w:val="19"/>
          <w:szCs w:val="19"/>
        </w:rPr>
        <w:t>Namén</w:t>
      </w:r>
      <w:proofErr w:type="spellEnd"/>
      <w:r>
        <w:rPr>
          <w:rFonts w:ascii="Arial" w:eastAsia="Arial" w:hAnsi="Arial" w:cs="Arial"/>
          <w:color w:val="000000"/>
          <w:sz w:val="19"/>
          <w:szCs w:val="19"/>
        </w:rPr>
        <w:t xml:space="preserve"> Vargas.  </w:t>
      </w:r>
    </w:p>
  </w:footnote>
  <w:footnote w:id="8">
    <w:p w14:paraId="1B7FCDF9" w14:textId="77777777" w:rsidR="00FC1C1E" w:rsidRDefault="00C02FE0">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bookmarkStart w:id="12" w:name="2bn6wsx" w:colFirst="0" w:colLast="0"/>
      <w:bookmarkEnd w:id="12"/>
      <w:r>
        <w:rPr>
          <w:rFonts w:ascii="Arial" w:eastAsia="Arial" w:hAnsi="Arial" w:cs="Arial"/>
          <w:color w:val="000000"/>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10D7871" w14:textId="77777777" w:rsidR="00FC1C1E" w:rsidRDefault="00C02FE0">
      <w:pP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9">
    <w:p w14:paraId="4CD23641"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bookmarkStart w:id="13" w:name="qsh70q" w:colFirst="0" w:colLast="0"/>
      <w:bookmarkEnd w:id="13"/>
      <w:r>
        <w:rPr>
          <w:rFonts w:ascii="Arial" w:eastAsia="Arial" w:hAnsi="Arial" w:cs="Arial"/>
          <w:color w:val="000000"/>
          <w:sz w:val="19"/>
          <w:szCs w:val="19"/>
        </w:rPr>
        <w:t>«Artículo 38. Prohibiciones para los servidores públicos. A los empleados del Estado les está prohibido:</w:t>
      </w:r>
    </w:p>
    <w:p w14:paraId="37784616"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w:t>
      </w:r>
    </w:p>
    <w:p w14:paraId="1C25981B"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6948FCAD"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0">
    <w:p w14:paraId="301273E2" w14:textId="77777777" w:rsidR="00FC1C1E" w:rsidRPr="00353D32" w:rsidRDefault="00C02FE0" w:rsidP="00353D32">
      <w:pPr>
        <w:spacing w:after="0" w:line="240" w:lineRule="auto"/>
        <w:ind w:firstLine="709"/>
      </w:pPr>
      <w:r>
        <w:rPr>
          <w:vertAlign w:val="superscript"/>
        </w:rPr>
        <w:footnoteRef/>
      </w:r>
      <w:r>
        <w:rPr>
          <w:rFonts w:ascii="Arial" w:eastAsia="Arial" w:hAnsi="Arial" w:cs="Arial"/>
          <w:color w:val="000000"/>
          <w:sz w:val="19"/>
          <w:szCs w:val="19"/>
        </w:rPr>
        <w:t xml:space="preserve"> Consejo de Estado. Sala de Consulta y Servicio Civil. Concepto del 17 de febrero de 2015. C.P. William Zambrano Cetina. Radicación No. 11001-03-06-000-2015-00164-00(2269).</w:t>
      </w:r>
    </w:p>
    <w:p w14:paraId="4EF46251"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1">
    <w:p w14:paraId="106CA6A1"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Concepto de 20 de febrero de2006. Radicación 11001-03-06-000-2006-00023-00(1724). Consejero Ponente: Flavio Augusto Rodríguez Arce.</w:t>
      </w:r>
    </w:p>
    <w:p w14:paraId="334122DD"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12">
    <w:p w14:paraId="64E350D9" w14:textId="77777777" w:rsidR="00FC1C1E" w:rsidRDefault="00C02FE0">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Decreto 1082 de 2015: «Artículo 2.2.1.2.1.4.4. Convenios o contratos interadministrativos. La modalidad de selección para la contratación entre Entidades Estatales es la contratación directa; </w:t>
      </w:r>
      <w:proofErr w:type="gramStart"/>
      <w:r>
        <w:rPr>
          <w:rFonts w:ascii="Arial" w:eastAsia="Arial" w:hAnsi="Arial" w:cs="Arial"/>
          <w:color w:val="000000"/>
          <w:sz w:val="19"/>
          <w:szCs w:val="19"/>
        </w:rPr>
        <w:t>y</w:t>
      </w:r>
      <w:proofErr w:type="gramEnd"/>
      <w:r>
        <w:rPr>
          <w:rFonts w:ascii="Arial" w:eastAsia="Arial" w:hAnsi="Arial" w:cs="Arial"/>
          <w:color w:val="000000"/>
          <w:sz w:val="19"/>
          <w:szCs w:val="19"/>
        </w:rPr>
        <w:t xml:space="preserve"> en consecuencia, le es aplicable lo establecido en el artículo 2.2.1.2.1.4.1 del presente decreto.</w:t>
      </w:r>
    </w:p>
    <w:p w14:paraId="7FA1897E" w14:textId="77777777" w:rsidR="00FC1C1E" w:rsidRDefault="00C02FE0">
      <w:pPr>
        <w:spacing w:after="0" w:line="240" w:lineRule="auto"/>
        <w:ind w:firstLine="709"/>
        <w:rPr>
          <w:rFonts w:ascii="Arial" w:eastAsia="Arial" w:hAnsi="Arial" w:cs="Arial"/>
          <w:color w:val="000000"/>
          <w:sz w:val="19"/>
          <w:szCs w:val="19"/>
        </w:rPr>
      </w:pPr>
      <w:proofErr w:type="gramStart"/>
      <w:r>
        <w:rPr>
          <w:rFonts w:ascii="Arial" w:eastAsia="Arial" w:hAnsi="Arial" w:cs="Arial"/>
          <w:color w:val="000000"/>
          <w:sz w:val="19"/>
          <w:szCs w:val="19"/>
        </w:rPr>
        <w:t>»Cuando</w:t>
      </w:r>
      <w:proofErr w:type="gramEnd"/>
      <w:r>
        <w:rPr>
          <w:rFonts w:ascii="Arial" w:eastAsia="Arial" w:hAnsi="Arial" w:cs="Arial"/>
          <w:color w:val="000000"/>
          <w:sz w:val="19"/>
          <w:szCs w:val="19"/>
        </w:rPr>
        <w:t xml:space="preserve">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13">
    <w:p w14:paraId="73249FDB" w14:textId="77777777" w:rsidR="00FC1C1E" w:rsidRDefault="00C02FE0">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F1582C7" w14:textId="77777777" w:rsidR="00FC1C1E" w:rsidRDefault="00FC1C1E">
      <w:pPr>
        <w:spacing w:after="0" w:line="240" w:lineRule="auto"/>
        <w:ind w:firstLine="709"/>
        <w:rPr>
          <w:rFonts w:ascii="Arial" w:eastAsia="Arial" w:hAnsi="Arial" w:cs="Arial"/>
          <w:color w:val="000000"/>
          <w:sz w:val="19"/>
          <w:szCs w:val="19"/>
        </w:rPr>
      </w:pPr>
    </w:p>
  </w:footnote>
  <w:footnote w:id="14">
    <w:p w14:paraId="5746EDA0" w14:textId="77777777" w:rsidR="00FC1C1E" w:rsidRPr="00353D32" w:rsidRDefault="00C02FE0" w:rsidP="00353D32">
      <w:pPr>
        <w:spacing w:after="0" w:line="240" w:lineRule="auto"/>
        <w:ind w:firstLine="709"/>
      </w:pPr>
      <w:r>
        <w:rPr>
          <w:vertAlign w:val="superscript"/>
        </w:rPr>
        <w:footnoteRef/>
      </w:r>
      <w:r>
        <w:rPr>
          <w:rFonts w:ascii="Arial" w:eastAsia="Arial" w:hAnsi="Arial" w:cs="Arial"/>
          <w:color w:val="000000"/>
          <w:sz w:val="19"/>
          <w:szCs w:val="19"/>
          <w:vertAlign w:val="superscript"/>
        </w:rPr>
        <w:t xml:space="preserve"> </w:t>
      </w:r>
      <w:r>
        <w:rPr>
          <w:rFonts w:ascii="Arial" w:eastAsia="Arial" w:hAnsi="Arial" w:cs="Arial"/>
          <w:color w:val="000000"/>
          <w:sz w:val="19"/>
          <w:szCs w:val="19"/>
        </w:rPr>
        <w:t>Consejo de Estado. Sección Tercera. Sentencia del 23 de junio de 2010. Radicación No. 66001-23-31-000-1998-00261-01(17.860). Consejero Ponente: Mauricio Fajardo Gómez.</w:t>
      </w:r>
    </w:p>
    <w:p w14:paraId="5716EB17" w14:textId="77777777" w:rsidR="00FC1C1E" w:rsidRDefault="00FC1C1E">
      <w:pPr>
        <w:pBdr>
          <w:top w:val="nil"/>
          <w:left w:val="nil"/>
          <w:bottom w:val="nil"/>
          <w:right w:val="nil"/>
          <w:between w:val="nil"/>
        </w:pBdr>
        <w:spacing w:after="0" w:line="240" w:lineRule="auto"/>
        <w:rPr>
          <w:rFonts w:ascii="Arial" w:eastAsia="Arial" w:hAnsi="Arial" w:cs="Arial"/>
          <w:color w:val="000000"/>
          <w:sz w:val="19"/>
          <w:szCs w:val="19"/>
        </w:rPr>
      </w:pPr>
    </w:p>
  </w:footnote>
  <w:footnote w:id="15">
    <w:p w14:paraId="2545B4A3" w14:textId="77777777" w:rsidR="00FC1C1E" w:rsidRDefault="00C02FE0">
      <w:pP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Tercera. Subsección C. Sentencia del 11 de diciembre de 2019. </w:t>
      </w:r>
      <w:proofErr w:type="spellStart"/>
      <w:r>
        <w:rPr>
          <w:rFonts w:ascii="Arial" w:eastAsia="Arial" w:hAnsi="Arial" w:cs="Arial"/>
          <w:color w:val="000000"/>
          <w:sz w:val="19"/>
          <w:szCs w:val="19"/>
        </w:rPr>
        <w:t>Exp</w:t>
      </w:r>
      <w:proofErr w:type="spellEnd"/>
      <w:r>
        <w:rPr>
          <w:rFonts w:ascii="Arial" w:eastAsia="Arial" w:hAnsi="Arial" w:cs="Arial"/>
          <w:color w:val="000000"/>
          <w:sz w:val="19"/>
          <w:szCs w:val="19"/>
        </w:rPr>
        <w:t>. 46.986. C.P. Jaime Enrique Rodríguez Navas.</w:t>
      </w:r>
    </w:p>
  </w:footnote>
  <w:footnote w:id="16">
    <w:p w14:paraId="7E2F9E8A"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[Referencia propia de la cita] «CE. SCSC. Concepto de 1 de noviembre de 2016 [Rad. 11001-03-06-000-2016-00125-00(2305)]. MP. Germán Alberto Bula Escobar».</w:t>
      </w:r>
    </w:p>
  </w:footnote>
  <w:footnote w:id="17">
    <w:p w14:paraId="03E1FF5C"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[Referencia propia de la cita] «CE. SCSC. Concepto de 30 de abril de 2008 [Rad. 11001-03-06-000-2008-00013-00(1881)]. MP. Enrique José Arboleda Perdomo. En esta oportunidad, la Sala indicó que el contenido </w:t>
      </w:r>
      <w:r>
        <w:rPr>
          <w:rFonts w:ascii="Arial" w:eastAsia="Arial" w:hAnsi="Arial" w:cs="Arial"/>
          <w:i/>
          <w:color w:val="000000"/>
          <w:sz w:val="19"/>
          <w:szCs w:val="19"/>
        </w:rPr>
        <w:t>“obligacional”</w:t>
      </w:r>
      <w:r>
        <w:rPr>
          <w:rFonts w:ascii="Arial" w:eastAsia="Arial" w:hAnsi="Arial" w:cs="Arial"/>
          <w:color w:val="000000"/>
          <w:sz w:val="19"/>
          <w:szCs w:val="19"/>
        </w:rPr>
        <w:t xml:space="preserve"> de los convenios se estructura definiendo el resultado querido por las partes y los medios que cada entidad despliega para la obtención del respectivo objeto».</w:t>
      </w:r>
    </w:p>
  </w:footnote>
  <w:footnote w:id="18">
    <w:p w14:paraId="100E1D34"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[Referencia propia de la cita] «La normativa vigente del EGCAP </w:t>
      </w:r>
      <w:r>
        <w:rPr>
          <w:rFonts w:ascii="Arial" w:eastAsia="Arial" w:hAnsi="Arial" w:cs="Arial"/>
          <w:i/>
          <w:color w:val="000000"/>
          <w:sz w:val="19"/>
          <w:szCs w:val="19"/>
        </w:rPr>
        <w:t>[literal c) del numeral 4. del artículo 2 de la Ley 1150/07]</w:t>
      </w:r>
      <w:r>
        <w:rPr>
          <w:rFonts w:ascii="Arial" w:eastAsia="Arial" w:hAnsi="Arial" w:cs="Arial"/>
          <w:color w:val="000000"/>
          <w:sz w:val="19"/>
          <w:szCs w:val="19"/>
        </w:rPr>
        <w:t xml:space="preserve"> se refiere a </w:t>
      </w:r>
      <w:r>
        <w:rPr>
          <w:rFonts w:ascii="Arial" w:eastAsia="Arial" w:hAnsi="Arial" w:cs="Arial"/>
          <w:i/>
          <w:color w:val="000000"/>
          <w:sz w:val="19"/>
          <w:szCs w:val="19"/>
        </w:rPr>
        <w:t>“contratos interadministrativos”</w:t>
      </w:r>
      <w:r>
        <w:rPr>
          <w:rFonts w:ascii="Arial" w:eastAsia="Arial" w:hAnsi="Arial" w:cs="Arial"/>
          <w:color w:val="000000"/>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19">
    <w:p w14:paraId="088310E3"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Pr>
          <w:rFonts w:ascii="Arial" w:eastAsia="Arial" w:hAnsi="Arial" w:cs="Arial"/>
          <w:color w:val="000000"/>
          <w:sz w:val="19"/>
          <w:szCs w:val="19"/>
        </w:rPr>
        <w:t>Exp</w:t>
      </w:r>
      <w:proofErr w:type="spellEnd"/>
      <w:r>
        <w:rPr>
          <w:rFonts w:ascii="Arial" w:eastAsia="Arial" w:hAnsi="Arial" w:cs="Arial"/>
          <w:color w:val="000000"/>
          <w:sz w:val="19"/>
          <w:szCs w:val="19"/>
        </w:rPr>
        <w:t xml:space="preserve">. 2.257. M.P. Álvaro </w:t>
      </w:r>
      <w:proofErr w:type="spellStart"/>
      <w:r>
        <w:rPr>
          <w:rFonts w:ascii="Arial" w:eastAsia="Arial" w:hAnsi="Arial" w:cs="Arial"/>
          <w:color w:val="000000"/>
          <w:sz w:val="19"/>
          <w:szCs w:val="19"/>
        </w:rPr>
        <w:t>Namén</w:t>
      </w:r>
      <w:proofErr w:type="spellEnd"/>
      <w:r>
        <w:rPr>
          <w:rFonts w:ascii="Arial" w:eastAsia="Arial" w:hAnsi="Arial" w:cs="Arial"/>
          <w:color w:val="000000"/>
          <w:sz w:val="19"/>
          <w:szCs w:val="19"/>
        </w:rPr>
        <w:t xml:space="preserve"> Vargas).</w:t>
      </w:r>
    </w:p>
  </w:footnote>
  <w:footnote w:id="20">
    <w:p w14:paraId="4B3643CB" w14:textId="11EC92CB"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Es lo que sucede, por ejemplo, con el Decreto 092 de 2017, que en su desarrollo hace referencia tanto a los «contratos» como a los «convenios». </w:t>
      </w:r>
    </w:p>
  </w:footnote>
  <w:footnote w:id="21">
    <w:p w14:paraId="7BD39A2F"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22">
    <w:p w14:paraId="7FCEFC4D"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Lo anterior, salvo que se traten de organismos internacionales que se rijan por normas internacionales y se financien con cargo a recursos de esos organismos (Cfr. Colombia Compra Eficiente. Concepto C-559 del 31 de agosto de 2021). </w:t>
      </w:r>
    </w:p>
  </w:footnote>
  <w:footnote w:id="23">
    <w:p w14:paraId="42B2004C"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Sala de Consulta y Servicio Civil. Concepto del 15 de noviembre de 2007. Expediente número 1863. Consejero Ponente: Luis Fernando Álvarez Jaramillo.</w:t>
      </w:r>
    </w:p>
    <w:p w14:paraId="41C233DC"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24">
    <w:p w14:paraId="524C4701" w14:textId="77777777" w:rsidR="00FC1C1E" w:rsidRDefault="00C02FE0">
      <w:pPr>
        <w:spacing w:before="99" w:line="240" w:lineRule="auto"/>
        <w:ind w:left="102" w:right="106" w:firstLine="707"/>
        <w:rPr>
          <w:rFonts w:ascii="Arial" w:eastAsia="Arial" w:hAnsi="Arial" w:cs="Arial"/>
          <w:sz w:val="19"/>
          <w:szCs w:val="19"/>
        </w:rPr>
      </w:pPr>
      <w:r>
        <w:rPr>
          <w:vertAlign w:val="superscript"/>
        </w:rPr>
        <w:footnoteRef/>
      </w:r>
      <w:r>
        <w:rPr>
          <w:rFonts w:ascii="Arial" w:eastAsia="Arial" w:hAnsi="Arial" w:cs="Arial"/>
          <w:sz w:val="19"/>
          <w:szCs w:val="19"/>
        </w:rPr>
        <w:t xml:space="preserve"> Ley 489 de 1998: «Artículo 68: Entidades descentralizadas.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w:t>
      </w:r>
      <w:r>
        <w:rPr>
          <w:rFonts w:ascii="Arial" w:eastAsia="Arial" w:hAnsi="Arial" w:cs="Arial"/>
          <w:b/>
          <w:sz w:val="19"/>
          <w:szCs w:val="19"/>
        </w:rPr>
        <w:t xml:space="preserve">las empresas oficiales de servicios públicos </w:t>
      </w:r>
      <w:r>
        <w:rPr>
          <w:rFonts w:ascii="Arial" w:eastAsia="Arial" w:hAnsi="Arial" w:cs="Arial"/>
          <w:sz w:val="19"/>
          <w:szCs w:val="19"/>
        </w:rPr>
        <w:t>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14:paraId="534CC129" w14:textId="77777777" w:rsidR="00FC1C1E" w:rsidRDefault="00FC1C1E">
      <w:pPr>
        <w:pBdr>
          <w:top w:val="nil"/>
          <w:left w:val="nil"/>
          <w:bottom w:val="nil"/>
          <w:right w:val="nil"/>
          <w:between w:val="nil"/>
        </w:pBdr>
        <w:spacing w:after="0" w:line="240" w:lineRule="auto"/>
        <w:ind w:left="102"/>
        <w:rPr>
          <w:rFonts w:ascii="Arial" w:eastAsia="Arial" w:hAnsi="Arial" w:cs="Arial"/>
          <w:color w:val="000000"/>
          <w:sz w:val="19"/>
          <w:szCs w:val="19"/>
        </w:rPr>
      </w:pPr>
    </w:p>
  </w:footnote>
  <w:footnote w:id="25">
    <w:p w14:paraId="429B2CE4" w14:textId="77777777" w:rsidR="00FC1C1E" w:rsidRDefault="00C02FE0">
      <w:pPr>
        <w:pBdr>
          <w:top w:val="nil"/>
          <w:left w:val="nil"/>
          <w:bottom w:val="nil"/>
          <w:right w:val="nil"/>
          <w:between w:val="nil"/>
        </w:pBdr>
        <w:spacing w:after="0" w:line="240" w:lineRule="auto"/>
        <w:ind w:left="102" w:firstLine="720"/>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C-736 de 2007. C.P. Marco Gerardo Monroy Cabra.</w:t>
      </w:r>
    </w:p>
  </w:footnote>
  <w:footnote w:id="26">
    <w:p w14:paraId="56160F5A" w14:textId="77777777" w:rsidR="00FC1C1E" w:rsidRDefault="00C02FE0">
      <w:pPr>
        <w:pBdr>
          <w:top w:val="nil"/>
          <w:left w:val="nil"/>
          <w:bottom w:val="nil"/>
          <w:right w:val="nil"/>
          <w:between w:val="nil"/>
        </w:pBdr>
        <w:spacing w:after="0" w:line="240" w:lineRule="auto"/>
        <w:ind w:left="102"/>
        <w:rPr>
          <w:rFonts w:ascii="Arial" w:eastAsia="Arial" w:hAnsi="Arial" w:cs="Arial"/>
          <w:color w:val="000000"/>
          <w:sz w:val="19"/>
          <w:szCs w:val="19"/>
        </w:rPr>
      </w:pPr>
      <w:r>
        <w:rPr>
          <w:vertAlign w:val="superscript"/>
        </w:rPr>
        <w:footnoteRef/>
      </w:r>
    </w:p>
  </w:footnote>
  <w:footnote w:id="27">
    <w:p w14:paraId="2757D872" w14:textId="77777777" w:rsidR="00FC1C1E" w:rsidRDefault="00C02FE0">
      <w:pPr>
        <w:pBdr>
          <w:top w:val="nil"/>
          <w:left w:val="nil"/>
          <w:bottom w:val="nil"/>
          <w:right w:val="nil"/>
          <w:between w:val="nil"/>
        </w:pBdr>
        <w:spacing w:after="0" w:line="240" w:lineRule="auto"/>
        <w:ind w:left="102" w:firstLine="720"/>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w:t>
      </w:r>
      <w:hyperlink r:id="rId1" w:history="1">
        <w:r>
          <w:rPr>
            <w:rFonts w:ascii="Arial" w:eastAsia="Arial" w:hAnsi="Arial" w:cs="Arial"/>
            <w:color w:val="000000"/>
            <w:sz w:val="19"/>
            <w:szCs w:val="19"/>
          </w:rPr>
          <w:t>33.</w:t>
        </w:r>
      </w:hyperlink>
      <w:r>
        <w:rPr>
          <w:rFonts w:ascii="Arial" w:eastAsia="Arial" w:hAnsi="Arial" w:cs="Arial"/>
          <w:color w:val="000000"/>
          <w:sz w:val="19"/>
          <w:szCs w:val="19"/>
        </w:rPr>
        <w:t xml:space="preserve"> Restricciones a la contratación pública. Durante los cuatro (4) meses anteriores a la elección presidencial y hasta la realización de la elección en la segunda vuelta, si fuere el caso, queda prohibida la contratación directa por parte de todos los entes del Estado.</w:t>
      </w:r>
    </w:p>
  </w:footnote>
  <w:footnote w:id="28">
    <w:p w14:paraId="701764B4" w14:textId="77777777" w:rsidR="00FC1C1E" w:rsidRDefault="00C02FE0">
      <w:pPr>
        <w:spacing w:line="240" w:lineRule="auto"/>
        <w:ind w:left="102" w:right="114" w:firstLine="707"/>
        <w:rPr>
          <w:rFonts w:ascii="Arial" w:eastAsia="Arial" w:hAnsi="Arial" w:cs="Arial"/>
          <w:sz w:val="19"/>
          <w:szCs w:val="19"/>
        </w:rPr>
      </w:pPr>
      <w:r>
        <w:rPr>
          <w:vertAlign w:val="superscript"/>
        </w:rPr>
        <w:footnoteRef/>
      </w:r>
      <w:r>
        <w:rPr>
          <w:rFonts w:ascii="Arial" w:eastAsia="Arial" w:hAnsi="Arial" w:cs="Arial"/>
          <w:sz w:val="19"/>
          <w:szCs w:val="19"/>
        </w:rPr>
        <w:t xml:space="preserve"> Consejo de Estado. Sala de Consulta y Servicio Civil. Concepto del 20 de febrero de 2006, Rad. 1727. C.P. Enrique José Arboleda Perdomo.</w:t>
      </w:r>
    </w:p>
    <w:p w14:paraId="4C7F3EAF" w14:textId="77777777" w:rsidR="00FC1C1E" w:rsidRDefault="00FC1C1E">
      <w:pPr>
        <w:pBdr>
          <w:top w:val="nil"/>
          <w:left w:val="nil"/>
          <w:bottom w:val="nil"/>
          <w:right w:val="nil"/>
          <w:between w:val="nil"/>
        </w:pBdr>
        <w:spacing w:after="0" w:line="240" w:lineRule="auto"/>
        <w:ind w:left="102"/>
        <w:rPr>
          <w:rFonts w:ascii="Arial" w:eastAsia="Arial" w:hAnsi="Arial" w:cs="Arial"/>
          <w:color w:val="000000"/>
          <w:sz w:val="19"/>
          <w:szCs w:val="19"/>
        </w:rPr>
      </w:pPr>
    </w:p>
  </w:footnote>
  <w:footnote w:id="29">
    <w:p w14:paraId="48948BA0" w14:textId="3BC83D3A" w:rsidR="00FC1C1E" w:rsidRDefault="00C02FE0">
      <w:pPr>
        <w:widowControl w:val="0"/>
        <w:pBdr>
          <w:top w:val="nil"/>
          <w:left w:val="nil"/>
          <w:bottom w:val="nil"/>
          <w:right w:val="nil"/>
          <w:between w:val="nil"/>
        </w:pBdr>
        <w:spacing w:after="0" w:line="240" w:lineRule="auto"/>
        <w:ind w:firstLine="708"/>
        <w:jc w:val="left"/>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Concepto del 9 de septiembre de 2019, Rad. Nro. 2201913000006639. </w:t>
      </w:r>
    </w:p>
    <w:p w14:paraId="05BD60FB" w14:textId="77777777" w:rsidR="00FC1C1E" w:rsidRPr="00353D32" w:rsidRDefault="00FC1C1E" w:rsidP="00353D32">
      <w:pPr>
        <w:widowControl w:val="0"/>
        <w:pBdr>
          <w:top w:val="nil"/>
          <w:left w:val="nil"/>
          <w:bottom w:val="nil"/>
          <w:right w:val="nil"/>
          <w:between w:val="nil"/>
        </w:pBdr>
        <w:spacing w:after="0" w:line="240" w:lineRule="auto"/>
        <w:ind w:firstLine="708"/>
        <w:jc w:val="left"/>
      </w:pPr>
    </w:p>
  </w:footnote>
  <w:footnote w:id="30">
    <w:p w14:paraId="4D3E2738" w14:textId="77777777" w:rsidR="00FC1C1E" w:rsidRDefault="00C02FE0">
      <w:pPr>
        <w:ind w:right="114" w:firstLine="708"/>
        <w:rPr>
          <w:rFonts w:ascii="Arial" w:eastAsia="Arial" w:hAnsi="Arial" w:cs="Arial"/>
          <w:sz w:val="19"/>
          <w:szCs w:val="19"/>
        </w:rPr>
      </w:pPr>
      <w:r>
        <w:rPr>
          <w:vertAlign w:val="superscript"/>
        </w:rPr>
        <w:footnoteRef/>
      </w:r>
      <w:r>
        <w:rPr>
          <w:rFonts w:ascii="Arial" w:eastAsia="Arial" w:hAnsi="Arial" w:cs="Arial"/>
          <w:sz w:val="19"/>
          <w:szCs w:val="19"/>
        </w:rPr>
        <w:t xml:space="preserve"> «Artículo 69. Se garantiza la autonomía universitaria. Las universidades podrán darse sus directivas y regirse por sus propios estatutos, de acuerdo con la ley. La ley establecerá un régimen especial para las universidades del Estado».</w:t>
      </w:r>
    </w:p>
    <w:p w14:paraId="6473655C" w14:textId="77777777" w:rsidR="00FC1C1E" w:rsidRDefault="00FC1C1E">
      <w:pPr>
        <w:pBdr>
          <w:top w:val="nil"/>
          <w:left w:val="nil"/>
          <w:bottom w:val="nil"/>
          <w:right w:val="nil"/>
          <w:between w:val="nil"/>
        </w:pBdr>
        <w:spacing w:after="0" w:line="240" w:lineRule="auto"/>
        <w:rPr>
          <w:rFonts w:ascii="Arial" w:eastAsia="Arial" w:hAnsi="Arial" w:cs="Arial"/>
          <w:color w:val="000000"/>
          <w:sz w:val="19"/>
          <w:szCs w:val="19"/>
        </w:rPr>
      </w:pPr>
    </w:p>
  </w:footnote>
  <w:footnote w:id="31">
    <w:p w14:paraId="3A046858"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57. Las universidades estatales u oficiales deben organizarse como entes universitarios autónomos, con régimen especial y vinculados al Ministerio de Educación Nacional en lo que se refiere a las políticas y la planeación del sector educativo.</w:t>
      </w:r>
    </w:p>
    <w:p w14:paraId="5623BD5A"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proofErr w:type="gramStart"/>
      <w:r>
        <w:rPr>
          <w:rFonts w:ascii="Arial" w:eastAsia="Arial" w:hAnsi="Arial" w:cs="Arial"/>
          <w:color w:val="000000"/>
          <w:sz w:val="19"/>
          <w:szCs w:val="19"/>
        </w:rPr>
        <w:t>»Los</w:t>
      </w:r>
      <w:proofErr w:type="gramEnd"/>
      <w:r>
        <w:rPr>
          <w:rFonts w:ascii="Arial" w:eastAsia="Arial" w:hAnsi="Arial" w:cs="Arial"/>
          <w:color w:val="000000"/>
          <w:sz w:val="19"/>
          <w:szCs w:val="19"/>
        </w:rPr>
        <w:t xml:space="preserve"> entes universitarios autónomos tendrán las siguientes características: Personería jurídica, autonomía académica, administrativa y financiera, patrimonio independiente y podrán elaborar y manejar su presupuesto de acuerdo con las funciones que le corresponden.</w:t>
      </w:r>
    </w:p>
    <w:p w14:paraId="3424072E" w14:textId="77777777" w:rsidR="00FC1C1E" w:rsidRDefault="00C02FE0">
      <w:pPr>
        <w:pBdr>
          <w:top w:val="nil"/>
          <w:left w:val="nil"/>
          <w:bottom w:val="nil"/>
          <w:right w:val="nil"/>
          <w:between w:val="nil"/>
        </w:pBdr>
        <w:spacing w:after="0" w:line="240" w:lineRule="auto"/>
        <w:rPr>
          <w:rFonts w:ascii="Arial" w:eastAsia="Arial" w:hAnsi="Arial" w:cs="Arial"/>
          <w:color w:val="000000"/>
          <w:sz w:val="19"/>
          <w:szCs w:val="19"/>
        </w:rPr>
      </w:pPr>
      <w:r>
        <w:rPr>
          <w:rFonts w:ascii="Arial" w:eastAsia="Arial" w:hAnsi="Arial" w:cs="Arial"/>
          <w:color w:val="000000"/>
          <w:sz w:val="19"/>
          <w:szCs w:val="19"/>
        </w:rPr>
        <w:tab/>
      </w:r>
      <w:proofErr w:type="gramStart"/>
      <w:r>
        <w:rPr>
          <w:rFonts w:ascii="Arial" w:eastAsia="Arial" w:hAnsi="Arial" w:cs="Arial"/>
          <w:color w:val="000000"/>
          <w:sz w:val="19"/>
          <w:szCs w:val="19"/>
        </w:rPr>
        <w:t>»El</w:t>
      </w:r>
      <w:proofErr w:type="gramEnd"/>
      <w:r>
        <w:rPr>
          <w:rFonts w:ascii="Arial" w:eastAsia="Arial" w:hAnsi="Arial" w:cs="Arial"/>
          <w:color w:val="000000"/>
          <w:sz w:val="19"/>
          <w:szCs w:val="19"/>
        </w:rPr>
        <w:t xml:space="preserve"> carácter especial del régimen de las universidades estatales u oficiales, comprenderá la organización y elección de directivas, del personal docente y administrativo, el sistema de las universidades estatales u oficiales, el régimen financiero, el régimen de contratación y control fiscal y su propia seguridad social en salud, de acuerdo con la presente ley».</w:t>
      </w:r>
    </w:p>
    <w:p w14:paraId="65342F40" w14:textId="77777777" w:rsidR="00FC1C1E" w:rsidRDefault="00FC1C1E">
      <w:pPr>
        <w:pBdr>
          <w:top w:val="nil"/>
          <w:left w:val="nil"/>
          <w:bottom w:val="nil"/>
          <w:right w:val="nil"/>
          <w:between w:val="nil"/>
        </w:pBdr>
        <w:spacing w:after="0" w:line="240" w:lineRule="auto"/>
        <w:rPr>
          <w:rFonts w:ascii="Arial" w:eastAsia="Arial" w:hAnsi="Arial" w:cs="Arial"/>
          <w:color w:val="000000"/>
          <w:sz w:val="19"/>
          <w:szCs w:val="19"/>
        </w:rPr>
      </w:pPr>
    </w:p>
  </w:footnote>
  <w:footnote w:id="32">
    <w:p w14:paraId="1E05854A" w14:textId="77777777" w:rsidR="00FC1C1E" w:rsidRDefault="00C02FE0">
      <w:pPr>
        <w:ind w:right="110" w:firstLine="708"/>
        <w:rPr>
          <w:rFonts w:ascii="Arial" w:eastAsia="Arial" w:hAnsi="Arial" w:cs="Arial"/>
          <w:sz w:val="19"/>
          <w:szCs w:val="19"/>
        </w:rPr>
      </w:pPr>
      <w:r>
        <w:rPr>
          <w:vertAlign w:val="superscript"/>
        </w:rPr>
        <w:footnoteRef/>
      </w:r>
      <w:r>
        <w:rPr>
          <w:rFonts w:ascii="Arial" w:eastAsia="Arial" w:hAnsi="Arial" w:cs="Arial"/>
          <w:sz w:val="19"/>
          <w:szCs w:val="19"/>
        </w:rPr>
        <w:t xml:space="preserve"> «Artículo 93.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14:paraId="54D735F5" w14:textId="77777777" w:rsidR="00FC1C1E" w:rsidRDefault="00FC1C1E">
      <w:pPr>
        <w:pBdr>
          <w:top w:val="nil"/>
          <w:left w:val="nil"/>
          <w:bottom w:val="nil"/>
          <w:right w:val="nil"/>
          <w:between w:val="nil"/>
        </w:pBdr>
        <w:spacing w:after="0" w:line="240" w:lineRule="auto"/>
        <w:rPr>
          <w:rFonts w:ascii="Arial" w:eastAsia="Arial" w:hAnsi="Arial" w:cs="Arial"/>
          <w:color w:val="000000"/>
          <w:sz w:val="19"/>
          <w:szCs w:val="19"/>
        </w:rPr>
      </w:pPr>
    </w:p>
  </w:footnote>
  <w:footnote w:id="33">
    <w:p w14:paraId="5F3DDC2E" w14:textId="77777777" w:rsidR="00FC1C1E" w:rsidRDefault="00C02FE0">
      <w:pPr>
        <w:ind w:right="106" w:firstLine="708"/>
        <w:rPr>
          <w:rFonts w:ascii="Arial" w:eastAsia="Arial" w:hAnsi="Arial" w:cs="Arial"/>
          <w:sz w:val="19"/>
          <w:szCs w:val="19"/>
        </w:rPr>
      </w:pPr>
      <w:r>
        <w:rPr>
          <w:vertAlign w:val="superscript"/>
        </w:rPr>
        <w:footnoteRef/>
      </w:r>
      <w:r>
        <w:rPr>
          <w:rFonts w:ascii="Arial" w:eastAsia="Arial" w:hAnsi="Arial" w:cs="Arial"/>
          <w:sz w:val="19"/>
          <w:szCs w:val="19"/>
        </w:rPr>
        <w:t xml:space="preserve"> «Artículo 39. Integración de la Administración Pública. La Administración Pública se integra por los organismos que conforman la Rama Ejecutiva del Poder Público y por todos los demás organismos y entidades de naturaleza pública que de manera permanente tienen a su cargo el ejercicio de las actividades y funciones administrativas o la prestación de servicios públicos del Estado Colombiano».</w:t>
      </w:r>
    </w:p>
    <w:p w14:paraId="6334CB4B" w14:textId="77777777" w:rsidR="00FC1C1E" w:rsidRDefault="00FC1C1E">
      <w:pPr>
        <w:ind w:right="106" w:firstLine="708"/>
        <w:rPr>
          <w:rFonts w:ascii="Arial" w:eastAsia="Arial" w:hAnsi="Arial" w:cs="Arial"/>
          <w:sz w:val="19"/>
          <w:szCs w:val="19"/>
        </w:rPr>
      </w:pPr>
    </w:p>
  </w:footnote>
  <w:footnote w:id="34">
    <w:p w14:paraId="7B67DC60" w14:textId="77777777" w:rsidR="00FC1C1E" w:rsidRDefault="00C02FE0">
      <w:pPr>
        <w:ind w:right="106" w:firstLine="708"/>
        <w:rPr>
          <w:rFonts w:ascii="Arial" w:eastAsia="Arial" w:hAnsi="Arial" w:cs="Arial"/>
          <w:sz w:val="19"/>
          <w:szCs w:val="19"/>
        </w:rPr>
      </w:pPr>
      <w:r>
        <w:rPr>
          <w:vertAlign w:val="superscript"/>
        </w:rPr>
        <w:footnoteRef/>
      </w:r>
      <w:r>
        <w:rPr>
          <w:rFonts w:ascii="Arial" w:eastAsia="Arial" w:hAnsi="Arial" w:cs="Arial"/>
          <w:sz w:val="19"/>
          <w:szCs w:val="19"/>
        </w:rPr>
        <w:t xml:space="preserve"> «Artículo 40. Entidades y organismos estatales sujetos a régimen especial. El Banco de la República, los entes universitarios autónomos, las corporaciones autónomas regionales, la Comisión Nacional de Televisión y los demás organismos y entidades con régimen especial otorgado por la Constitución Política se sujetan a las disposiciones que para ellos establezcan las respectivas leyes».</w:t>
      </w:r>
    </w:p>
    <w:p w14:paraId="5A7E50CD" w14:textId="77777777" w:rsidR="00FC1C1E" w:rsidRDefault="00FC1C1E">
      <w:pPr>
        <w:ind w:right="106" w:firstLine="708"/>
        <w:rPr>
          <w:rFonts w:ascii="Arial" w:eastAsia="Arial" w:hAnsi="Arial" w:cs="Arial"/>
          <w:sz w:val="19"/>
          <w:szCs w:val="19"/>
        </w:rPr>
      </w:pPr>
    </w:p>
  </w:footnote>
  <w:footnote w:id="35">
    <w:p w14:paraId="3AEEA11D" w14:textId="77777777" w:rsidR="00FC1C1E" w:rsidRDefault="00C02FE0">
      <w:pPr>
        <w:ind w:firstLine="708"/>
        <w:rPr>
          <w:rFonts w:ascii="Arial" w:eastAsia="Arial" w:hAnsi="Arial" w:cs="Arial"/>
          <w:sz w:val="19"/>
          <w:szCs w:val="19"/>
        </w:rPr>
      </w:pPr>
      <w:r>
        <w:rPr>
          <w:vertAlign w:val="superscript"/>
        </w:rPr>
        <w:footnoteRef/>
      </w:r>
      <w:r>
        <w:rPr>
          <w:rFonts w:ascii="Arial" w:eastAsia="Arial" w:hAnsi="Arial" w:cs="Arial"/>
          <w:sz w:val="19"/>
          <w:szCs w:val="19"/>
        </w:rPr>
        <w:t xml:space="preserve"> Corte Constitucional. Sentencia C-121 de 2003. M.P. Clara Inés Vargas Hernández.</w:t>
      </w:r>
    </w:p>
    <w:p w14:paraId="6FA7AACD" w14:textId="77777777" w:rsidR="00FC1C1E" w:rsidRDefault="00FC1C1E">
      <w:pPr>
        <w:rPr>
          <w:rFonts w:ascii="Arial" w:eastAsia="Arial" w:hAnsi="Arial" w:cs="Arial"/>
          <w:sz w:val="19"/>
          <w:szCs w:val="19"/>
        </w:rPr>
      </w:pPr>
    </w:p>
  </w:footnote>
  <w:footnote w:id="36">
    <w:p w14:paraId="0E506F70" w14:textId="77777777" w:rsidR="00FC1C1E" w:rsidRDefault="00C02FE0">
      <w:pPr>
        <w:ind w:right="110" w:firstLine="709"/>
        <w:rPr>
          <w:rFonts w:ascii="Arial" w:eastAsia="Arial" w:hAnsi="Arial" w:cs="Arial"/>
          <w:sz w:val="19"/>
          <w:szCs w:val="19"/>
        </w:rPr>
      </w:pPr>
      <w:r>
        <w:rPr>
          <w:vertAlign w:val="superscript"/>
        </w:rPr>
        <w:footnoteRef/>
      </w:r>
      <w:r>
        <w:rPr>
          <w:rFonts w:ascii="Arial" w:eastAsia="Arial" w:hAnsi="Arial" w:cs="Arial"/>
          <w:sz w:val="19"/>
          <w:szCs w:val="19"/>
        </w:rPr>
        <w:t xml:space="preserve"> Corte Constitucional. Sentencia C-1019 del 28 de noviembre de 2012. M.P. Mauricio González.</w:t>
      </w:r>
    </w:p>
    <w:p w14:paraId="3ECFE3FE" w14:textId="77777777" w:rsidR="00FC1C1E" w:rsidRDefault="00FC1C1E">
      <w:pPr>
        <w:pBdr>
          <w:top w:val="nil"/>
          <w:left w:val="nil"/>
          <w:bottom w:val="nil"/>
          <w:right w:val="nil"/>
          <w:between w:val="nil"/>
        </w:pBdr>
        <w:spacing w:after="0" w:line="240" w:lineRule="auto"/>
        <w:rPr>
          <w:rFonts w:ascii="Arial" w:eastAsia="Arial" w:hAnsi="Arial" w:cs="Arial"/>
          <w:color w:val="000000"/>
          <w:sz w:val="19"/>
          <w:szCs w:val="19"/>
        </w:rPr>
      </w:pPr>
    </w:p>
  </w:footnote>
  <w:footnote w:id="37">
    <w:p w14:paraId="486A6BFA"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CONSEJO DE ESTADO. Sección Cuarta. Sentencia del 16 de diciembre de 2008. </w:t>
      </w:r>
      <w:proofErr w:type="spellStart"/>
      <w:r>
        <w:rPr>
          <w:rFonts w:ascii="Arial" w:eastAsia="Arial" w:hAnsi="Arial" w:cs="Arial"/>
          <w:color w:val="000000"/>
          <w:sz w:val="19"/>
          <w:szCs w:val="19"/>
        </w:rPr>
        <w:t>Exp</w:t>
      </w:r>
      <w:proofErr w:type="spellEnd"/>
      <w:r>
        <w:rPr>
          <w:rFonts w:ascii="Arial" w:eastAsia="Arial" w:hAnsi="Arial" w:cs="Arial"/>
          <w:color w:val="000000"/>
          <w:sz w:val="19"/>
          <w:szCs w:val="19"/>
        </w:rPr>
        <w:t>. 16.297. C.P. Martha Teresa Briceño de Valencia</w:t>
      </w:r>
    </w:p>
  </w:footnote>
  <w:footnote w:id="38">
    <w:p w14:paraId="35BD3475" w14:textId="77777777" w:rsidR="00FC1C1E" w:rsidRDefault="00C02FE0">
      <w:pPr>
        <w:pBdr>
          <w:top w:val="nil"/>
          <w:left w:val="nil"/>
          <w:bottom w:val="nil"/>
          <w:right w:val="nil"/>
          <w:between w:val="nil"/>
        </w:pBdr>
        <w:spacing w:after="0" w:line="240" w:lineRule="auto"/>
        <w:rPr>
          <w:rFonts w:ascii="Arial" w:eastAsia="Arial" w:hAnsi="Arial" w:cs="Arial"/>
          <w:color w:val="000000"/>
          <w:sz w:val="19"/>
          <w:szCs w:val="19"/>
        </w:rPr>
      </w:pPr>
      <w:r>
        <w:rPr>
          <w:vertAlign w:val="superscript"/>
        </w:rPr>
        <w:footnoteRef/>
      </w:r>
    </w:p>
  </w:footnote>
  <w:footnote w:id="39">
    <w:p w14:paraId="36922FCA"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Lo anterior también fue señalado por esta Subdirección en el concepto con radicado de entrada 4201912000004354 y radicado de salida 2201913000006639 del 9 de septiembre de 2019: «El parágrafo del artículo 38 de la ley de garantías electorales, que restringe la celebración de contratos y convenios interadministrativos por entidades estatales del orden territorial y descentralizado, no es aplicable a las universidades públicas del orden nacional y territorial, debido a que, en virtud de su atributo constitucional de autonomía, no son ni pueden asimilarse a las entidades públicas que expresamente prevé la norma».</w:t>
      </w:r>
    </w:p>
  </w:footnote>
  <w:footnote w:id="40">
    <w:p w14:paraId="15933C84" w14:textId="0BE1BEDA"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Que en su artículo 141 establece: «La presente Ley rige a partir de la fecha de su publicación y surte efectos fiscales a partir del 1 de enero de 2022».</w:t>
      </w:r>
    </w:p>
  </w:footnote>
  <w:footnote w:id="41">
    <w:p w14:paraId="4C85482D"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Correspondiente al Proyecto de Ley 158/21 Cámara y 096/2021 Senado, cuyo texto definitivo fue aprobado en plenaria del Senado de la República el día 19 de octubre de 2021, según la </w:t>
      </w:r>
      <w:proofErr w:type="gramStart"/>
      <w:r>
        <w:rPr>
          <w:rFonts w:ascii="Arial" w:eastAsia="Arial" w:hAnsi="Arial" w:cs="Arial"/>
          <w:color w:val="000000"/>
          <w:sz w:val="19"/>
          <w:szCs w:val="19"/>
        </w:rPr>
        <w:t>Gaceta  del</w:t>
      </w:r>
      <w:proofErr w:type="gramEnd"/>
      <w:r>
        <w:rPr>
          <w:rFonts w:ascii="Arial" w:eastAsia="Arial" w:hAnsi="Arial" w:cs="Arial"/>
          <w:color w:val="000000"/>
          <w:sz w:val="19"/>
          <w:szCs w:val="19"/>
        </w:rPr>
        <w:t xml:space="preserve"> Congreso de la República nro. 1496. </w:t>
      </w:r>
    </w:p>
  </w:footnote>
  <w:footnote w:id="42">
    <w:p w14:paraId="302ED757"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En su contenido y trámite el proyecto de ley se sujeta a las siguientes reglas: i) no es posible incluir partida alguna que no corresponda a un crédito judicialmente reconocido, a un gasto decretado conforme a ley anterior, a uno propuesto por el gobierno para atender el funcionamiento de las ramas del poder público, al servicio de la deuda, o a dar cumplimiento al plan nacional de desarrollo (artículo 346 C.P.); </w:t>
      </w:r>
      <w:proofErr w:type="spellStart"/>
      <w:r>
        <w:rPr>
          <w:rFonts w:ascii="Arial" w:eastAsia="Arial" w:hAnsi="Arial" w:cs="Arial"/>
          <w:color w:val="000000"/>
          <w:sz w:val="19"/>
          <w:szCs w:val="19"/>
        </w:rPr>
        <w:t>ii</w:t>
      </w:r>
      <w:proofErr w:type="spellEnd"/>
      <w:r>
        <w:rPr>
          <w:rFonts w:ascii="Arial" w:eastAsia="Arial" w:hAnsi="Arial" w:cs="Arial"/>
          <w:color w:val="000000"/>
          <w:sz w:val="19"/>
          <w:szCs w:val="19"/>
        </w:rPr>
        <w:t xml:space="preserve">) el proyecto de ley de apropiaciones deberá contener la totalidad de los gastos que el Estado pretenda realizar durante la vigencia fiscal respectiva (artículo 347 C.P.; </w:t>
      </w:r>
      <w:proofErr w:type="spellStart"/>
      <w:r>
        <w:rPr>
          <w:rFonts w:ascii="Arial" w:eastAsia="Arial" w:hAnsi="Arial" w:cs="Arial"/>
          <w:color w:val="000000"/>
          <w:sz w:val="19"/>
          <w:szCs w:val="19"/>
        </w:rPr>
        <w:t>iii</w:t>
      </w:r>
      <w:proofErr w:type="spellEnd"/>
      <w:r>
        <w:rPr>
          <w:rFonts w:ascii="Arial" w:eastAsia="Arial" w:hAnsi="Arial" w:cs="Arial"/>
          <w:color w:val="000000"/>
          <w:sz w:val="19"/>
          <w:szCs w:val="19"/>
        </w:rPr>
        <w:t xml:space="preserve">) si los ingresos legalmente autorizados no fueren suficientes para atender los gastos proyectados, el Gobierno deberá proponer, en forma separada, ante las comisiones encargadas de estudiar el proyecto de presupuesto, la creación de nuevas rentas o la modificación de las existentes para financiar el monto de gastos contemplados (artículo 347 </w:t>
      </w:r>
      <w:proofErr w:type="spellStart"/>
      <w:r>
        <w:rPr>
          <w:rFonts w:ascii="Arial" w:eastAsia="Arial" w:hAnsi="Arial" w:cs="Arial"/>
          <w:color w:val="000000"/>
          <w:sz w:val="19"/>
          <w:szCs w:val="19"/>
        </w:rPr>
        <w:t>Ibídem</w:t>
      </w:r>
      <w:proofErr w:type="spellEnd"/>
      <w:r>
        <w:rPr>
          <w:rFonts w:ascii="Arial" w:eastAsia="Arial" w:hAnsi="Arial" w:cs="Arial"/>
          <w:color w:val="000000"/>
          <w:sz w:val="19"/>
          <w:szCs w:val="19"/>
        </w:rPr>
        <w:t xml:space="preserve">); </w:t>
      </w:r>
      <w:proofErr w:type="spellStart"/>
      <w:r>
        <w:rPr>
          <w:rFonts w:ascii="Arial" w:eastAsia="Arial" w:hAnsi="Arial" w:cs="Arial"/>
          <w:color w:val="000000"/>
          <w:sz w:val="19"/>
          <w:szCs w:val="19"/>
        </w:rPr>
        <w:t>iv</w:t>
      </w:r>
      <w:proofErr w:type="spellEnd"/>
      <w:r>
        <w:rPr>
          <w:rFonts w:ascii="Arial" w:eastAsia="Arial" w:hAnsi="Arial" w:cs="Arial"/>
          <w:color w:val="000000"/>
          <w:sz w:val="19"/>
          <w:szCs w:val="19"/>
        </w:rPr>
        <w:t xml:space="preserve">) debe contener un componente denominado gasto público social que agrupará las partidas de esa naturaleza (artículo 350 C.P.), </w:t>
      </w:r>
      <w:proofErr w:type="spellStart"/>
      <w:r>
        <w:rPr>
          <w:rFonts w:ascii="Arial" w:eastAsia="Arial" w:hAnsi="Arial" w:cs="Arial"/>
          <w:color w:val="000000"/>
          <w:sz w:val="19"/>
          <w:szCs w:val="19"/>
        </w:rPr>
        <w:t>iv</w:t>
      </w:r>
      <w:proofErr w:type="spellEnd"/>
      <w:r>
        <w:rPr>
          <w:rFonts w:ascii="Arial" w:eastAsia="Arial" w:hAnsi="Arial" w:cs="Arial"/>
          <w:color w:val="000000"/>
          <w:sz w:val="19"/>
          <w:szCs w:val="19"/>
        </w:rPr>
        <w:t xml:space="preserve">) el Congreso no puede “aumentar ninguna de las partidas del presupuesto de gastos propuestas por el gobierno, ni incluir una nueva, sino con la aceptación escrita del ministro del ramo” (artículo 351, inciso 1, C.P.). En cambio, el Congreso “podrá eliminar y reducir partidas de gastos propuestas por el gobierno”, con las excepciones que señala el artículo 351 en su inciso segundo; v) recibido el proyecto respectivo en el Congreso, corresponde a las Comisiones de Asuntos Económicos tanto del Senado como de la Cámara discutirlo y aprobarlo en primer debate, para lo cual la Constitución las autoriza sesionar conjuntamente (artículo 346 inciso 2 C.P.); </w:t>
      </w:r>
      <w:proofErr w:type="spellStart"/>
      <w:r>
        <w:rPr>
          <w:rFonts w:ascii="Arial" w:eastAsia="Arial" w:hAnsi="Arial" w:cs="Arial"/>
          <w:color w:val="000000"/>
          <w:sz w:val="19"/>
          <w:szCs w:val="19"/>
        </w:rPr>
        <w:t>iv</w:t>
      </w:r>
      <w:proofErr w:type="spellEnd"/>
      <w:r>
        <w:rPr>
          <w:rFonts w:ascii="Arial" w:eastAsia="Arial" w:hAnsi="Arial" w:cs="Arial"/>
          <w:color w:val="000000"/>
          <w:sz w:val="19"/>
          <w:szCs w:val="19"/>
        </w:rPr>
        <w:t>) si el Congreso no expide el presupuesto, regirá el presentado por el gobierno en los términos señalados por el artículo 347 Superior, y si el gobierno no lo presenta dentro del plazo constitucional, regirá el del año anterior. Pero el Gobierno podrá reducir gastos, y, en consecuencia, suprimir o refundir empleos, cuando así lo aconsejen los cálculos de rentas del nuevo ejercicio (artículo 348 C.P.).</w:t>
      </w:r>
    </w:p>
  </w:footnote>
  <w:footnote w:id="43">
    <w:p w14:paraId="1007FB27"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La Corte Constitucional ha precisado que es una especie de «contrato democrático anual sobre la asignación de recursos escasos y la fijación de prioridades, mediante el cual el Estado concreta no sólo un instrumento medular en la dirección de la economía y la política macroeconómica, sino la herramienta jurídica que expresa cuantitativamente el cumplimiento de fines esenciales del Estado y la política social para alcanzarlos. De este modo, el servicio a la comunidad, la promoción de la prosperidad general, la garantía y efectividad de los principios, derechos y deberes consagrados en la Constitución, y el aseguramiento en condiciones de igualdad y equidad de un orden justo, tienen un correlato real y específico en la ley de presupuesto que explican la necesidad de un proceso de creación y reforma calificado que permita la discusión amplia y la mayor participación posible a través de los representantes legítimos del pueblo reunidos en el Congreso.»  (Corte Constitucional. Sentencia C - 1064 de 2001. </w:t>
      </w:r>
      <w:proofErr w:type="spellStart"/>
      <w:r>
        <w:rPr>
          <w:rFonts w:ascii="Arial" w:eastAsia="Arial" w:hAnsi="Arial" w:cs="Arial"/>
          <w:color w:val="000000"/>
          <w:sz w:val="19"/>
          <w:szCs w:val="19"/>
        </w:rPr>
        <w:t>MPs</w:t>
      </w:r>
      <w:proofErr w:type="spellEnd"/>
      <w:r>
        <w:rPr>
          <w:rFonts w:ascii="Arial" w:eastAsia="Arial" w:hAnsi="Arial" w:cs="Arial"/>
          <w:color w:val="000000"/>
          <w:sz w:val="19"/>
          <w:szCs w:val="19"/>
        </w:rPr>
        <w:t>. Manuel José Cepeda Espinosa y Jaime Córdoba Triviño).</w:t>
      </w:r>
    </w:p>
  </w:footnote>
  <w:footnote w:id="44">
    <w:p w14:paraId="1D3AB2C7"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C-1124 de 2008 que analizó la constitucionalidad del artículo 61 de la Ley 1169 de 2007.</w:t>
      </w:r>
    </w:p>
  </w:footnote>
  <w:footnote w:id="45">
    <w:p w14:paraId="6FE94B31"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Existe una relación inescindible entre la función democrática, administrativa y política del presupuesto y su carácter de instrumento o herramienta de dirección de la economía y la política macroeconómica. Corte Constitucional, Sentencia C - 438 de 2019, MP: Cristina Pardo Schlesinger.</w:t>
      </w:r>
    </w:p>
  </w:footnote>
  <w:footnote w:id="46">
    <w:p w14:paraId="63F67AE7" w14:textId="77777777" w:rsidR="00FC1C1E" w:rsidRDefault="00C02FE0">
      <w:pPr>
        <w:pBdr>
          <w:top w:val="nil"/>
          <w:left w:val="nil"/>
          <w:bottom w:val="nil"/>
          <w:right w:val="nil"/>
          <w:between w:val="nil"/>
        </w:pBd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«Por medio del cual se compilan las leyes 38 de 1989, 179 de 1994 y 225 de 1995 que conforman el estatuto orgánico del presupuesto».</w:t>
      </w:r>
    </w:p>
  </w:footnote>
  <w:footnote w:id="47">
    <w:p w14:paraId="01D5E389" w14:textId="77777777" w:rsidR="00FC1C1E" w:rsidRDefault="00C02FE0">
      <w:pP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6º: «</w:t>
      </w:r>
      <w:r>
        <w:rPr>
          <w:rFonts w:ascii="Arial" w:eastAsia="Arial" w:hAnsi="Arial" w:cs="Arial"/>
          <w:color w:val="000000"/>
          <w:sz w:val="19"/>
          <w:szCs w:val="19"/>
          <w:highlight w:val="white"/>
        </w:rPr>
        <w:t>Sistema presupuestal. Está constituido por un plan financiero, por un plan operativo anual de inversiones y por el presupuesto anual de la Nación».</w:t>
      </w:r>
    </w:p>
  </w:footnote>
  <w:footnote w:id="48">
    <w:p w14:paraId="0586BCAA" w14:textId="77777777" w:rsidR="00FC1C1E" w:rsidRDefault="00C02FE0">
      <w:pPr>
        <w:spacing w:after="0" w:line="240" w:lineRule="auto"/>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8º: «</w:t>
      </w:r>
      <w:r>
        <w:rPr>
          <w:rFonts w:ascii="Arial" w:eastAsia="Arial" w:hAnsi="Arial" w:cs="Arial"/>
          <w:color w:val="000000"/>
          <w:sz w:val="19"/>
          <w:szCs w:val="19"/>
          <w:highlight w:val="white"/>
        </w:rPr>
        <w:t xml:space="preserve">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1D007A96" w14:textId="77777777" w:rsidR="00FC1C1E" w:rsidRDefault="00FC1C1E">
      <w:pPr>
        <w:spacing w:after="0" w:line="240" w:lineRule="auto"/>
        <w:jc w:val="left"/>
        <w:rPr>
          <w:rFonts w:ascii="Arial" w:eastAsia="Arial" w:hAnsi="Arial" w:cs="Arial"/>
          <w:color w:val="000000"/>
          <w:sz w:val="19"/>
          <w:szCs w:val="19"/>
        </w:rPr>
      </w:pPr>
    </w:p>
    <w:p w14:paraId="366B9923" w14:textId="77777777" w:rsidR="00FC1C1E" w:rsidRDefault="00FC1C1E">
      <w:pPr>
        <w:pBdr>
          <w:top w:val="nil"/>
          <w:left w:val="nil"/>
          <w:bottom w:val="nil"/>
          <w:right w:val="nil"/>
          <w:between w:val="nil"/>
        </w:pBdr>
        <w:spacing w:after="0" w:line="240" w:lineRule="auto"/>
        <w:rPr>
          <w:rFonts w:ascii="Arial" w:eastAsia="Arial" w:hAnsi="Arial" w:cs="Arial"/>
          <w:color w:val="000000"/>
          <w:sz w:val="19"/>
          <w:szCs w:val="19"/>
        </w:rPr>
      </w:pPr>
    </w:p>
  </w:footnote>
  <w:footnote w:id="49">
    <w:p w14:paraId="58DE9756" w14:textId="77DD37D9" w:rsidR="00FC1C1E" w:rsidRPr="00353D32" w:rsidRDefault="00C02FE0" w:rsidP="00353D32">
      <w:pPr>
        <w:pBdr>
          <w:top w:val="nil"/>
          <w:left w:val="nil"/>
          <w:bottom w:val="nil"/>
          <w:right w:val="nil"/>
          <w:between w:val="nil"/>
        </w:pBdr>
        <w:spacing w:after="0" w:line="240" w:lineRule="auto"/>
        <w:ind w:firstLine="709"/>
      </w:pPr>
      <w:r>
        <w:rPr>
          <w:vertAlign w:val="superscript"/>
        </w:rPr>
        <w:footnoteRef/>
      </w:r>
      <w:r>
        <w:rPr>
          <w:rFonts w:ascii="Arial" w:eastAsia="Arial" w:hAnsi="Arial" w:cs="Arial"/>
          <w:color w:val="000000"/>
          <w:sz w:val="19"/>
          <w:szCs w:val="19"/>
        </w:rPr>
        <w:t xml:space="preserve"> Artículo 31 de la Ley 152 de 1994 –por la cual se establece la Ley Orgánica del Presupuesto–. </w:t>
      </w:r>
    </w:p>
  </w:footnote>
  <w:footnote w:id="50">
    <w:p w14:paraId="6E60A8A3"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Aunque el Estado sea un concepto más amplio que comprende al conjunto de órganos que realizan las diversas funciones y servicios estatales, ya sea en el orden nacional, o ya sea en los otros niveles territoriales.</w:t>
      </w:r>
    </w:p>
    <w:p w14:paraId="0D3272B9"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 w:id="51">
    <w:p w14:paraId="6367E046"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 287. Las entidades territoriales gozan de autonomía para la gestión de sus intereses, y dentro de los límites de la Constitución y la ley. En tal virtud tendrán los siguientes derechos: </w:t>
      </w:r>
    </w:p>
    <w:p w14:paraId="2313B8B2"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 1. Gobernarse por autoridades propias. </w:t>
      </w:r>
    </w:p>
    <w:p w14:paraId="46A14148"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xml:space="preserve">» 2. Ejercer las competencias que les correspondan. </w:t>
      </w:r>
    </w:p>
    <w:p w14:paraId="33523EF9" w14:textId="77777777" w:rsidR="00FC1C1E" w:rsidRPr="00353D32" w:rsidRDefault="00C02FE0" w:rsidP="00353D32">
      <w:pPr>
        <w:pBdr>
          <w:top w:val="nil"/>
          <w:left w:val="nil"/>
          <w:bottom w:val="nil"/>
          <w:right w:val="nil"/>
          <w:between w:val="nil"/>
        </w:pBdr>
        <w:spacing w:after="0" w:line="240" w:lineRule="auto"/>
        <w:ind w:firstLine="708"/>
      </w:pPr>
      <w:r>
        <w:rPr>
          <w:rFonts w:ascii="Arial" w:eastAsia="Arial" w:hAnsi="Arial" w:cs="Arial"/>
          <w:color w:val="000000"/>
          <w:sz w:val="19"/>
          <w:szCs w:val="19"/>
        </w:rPr>
        <w:t xml:space="preserve">» 3. Administrar los recursos y establecer los tributos necesarios para el cumplimiento de sus funciones. </w:t>
      </w:r>
    </w:p>
    <w:p w14:paraId="7546ABCC"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rFonts w:ascii="Arial" w:eastAsia="Arial" w:hAnsi="Arial" w:cs="Arial"/>
          <w:color w:val="000000"/>
          <w:sz w:val="19"/>
          <w:szCs w:val="19"/>
        </w:rPr>
        <w:t>» 4. Participar en las rentas nacionales,»</w:t>
      </w:r>
    </w:p>
  </w:footnote>
  <w:footnote w:id="52">
    <w:p w14:paraId="3339AD0B"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C-221 del 29 de abril de 1997. M.P. Alejandro Martínez Caballero.</w:t>
      </w:r>
    </w:p>
  </w:footnote>
  <w:footnote w:id="53">
    <w:p w14:paraId="46B04341" w14:textId="77777777" w:rsidR="00FC1C1E" w:rsidRDefault="00C02FE0">
      <w:pPr>
        <w:shd w:val="clear" w:color="auto" w:fill="FFFFFF"/>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T-247 del 10 de abril de 2007. M.P. Rodrigo Escobar Gil.</w:t>
      </w:r>
    </w:p>
  </w:footnote>
  <w:footnote w:id="54">
    <w:p w14:paraId="731100A8"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El artículo 68 de la Ley 489 de 1998 sobre este sector preceptúa: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footnote>
  <w:footnote w:id="55">
    <w:p w14:paraId="6E532A62" w14:textId="77777777" w:rsidR="00FC1C1E" w:rsidRDefault="00C02FE0">
      <w:pP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ARTÍCULO</w:t>
      </w:r>
      <w:bookmarkStart w:id="25" w:name="3as4poj" w:colFirst="0" w:colLast="0"/>
      <w:bookmarkEnd w:id="25"/>
      <w:r>
        <w:rPr>
          <w:rFonts w:ascii="Arial" w:eastAsia="Arial" w:hAnsi="Arial" w:cs="Arial"/>
          <w:color w:val="000000"/>
          <w:sz w:val="19"/>
          <w:szCs w:val="19"/>
        </w:rPr>
        <w:t>  97.-</w:t>
      </w:r>
      <w:r>
        <w:rPr>
          <w:rFonts w:ascii="Arial" w:eastAsia="Arial" w:hAnsi="Arial" w:cs="Arial"/>
          <w:i/>
          <w:color w:val="000000"/>
          <w:sz w:val="19"/>
          <w:szCs w:val="19"/>
        </w:rPr>
        <w:t> Sociedades de economía mixta</w:t>
      </w:r>
      <w:r>
        <w:rPr>
          <w:rFonts w:ascii="Arial" w:eastAsia="Arial" w:hAnsi="Arial" w:cs="Arial"/>
          <w:b/>
          <w:i/>
          <w:color w:val="000000"/>
          <w:sz w:val="19"/>
          <w:szCs w:val="19"/>
        </w:rPr>
        <w:t>.</w:t>
      </w:r>
      <w:r>
        <w:rPr>
          <w:rFonts w:ascii="Arial" w:eastAsia="Arial" w:hAnsi="Arial" w:cs="Arial"/>
          <w:color w:val="000000"/>
          <w:sz w:val="19"/>
          <w:szCs w:val="19"/>
          <w:highlight w:val="white"/>
        </w:rPr>
        <w:t>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p>
    <w:p w14:paraId="078DED76" w14:textId="77777777" w:rsidR="00FC1C1E" w:rsidRDefault="00FC1C1E">
      <w:pPr>
        <w:pBdr>
          <w:top w:val="nil"/>
          <w:left w:val="nil"/>
          <w:bottom w:val="nil"/>
          <w:right w:val="nil"/>
          <w:between w:val="nil"/>
        </w:pBdr>
        <w:spacing w:after="0" w:line="240" w:lineRule="auto"/>
        <w:rPr>
          <w:rFonts w:ascii="Arial" w:eastAsia="Arial" w:hAnsi="Arial" w:cs="Arial"/>
          <w:color w:val="000000"/>
          <w:sz w:val="19"/>
          <w:szCs w:val="19"/>
        </w:rPr>
      </w:pPr>
    </w:p>
  </w:footnote>
  <w:footnote w:id="56">
    <w:p w14:paraId="6ADB8515"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Rodríguez Libardo, Derecho Administrativo, general y colombiano, Editorial Temis, (2015), Bogotá, Colombia, p. 160.</w:t>
      </w:r>
    </w:p>
  </w:footnote>
  <w:footnote w:id="57">
    <w:p w14:paraId="028D5FD5" w14:textId="77777777" w:rsidR="00FC1C1E" w:rsidRDefault="00C02FE0">
      <w:pP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w:t>
      </w:r>
      <w:r>
        <w:rPr>
          <w:rFonts w:ascii="Arial" w:eastAsia="Arial" w:hAnsi="Arial" w:cs="Arial"/>
          <w:color w:val="000000"/>
          <w:sz w:val="19"/>
          <w:szCs w:val="19"/>
          <w:highlight w:val="white"/>
        </w:rPr>
        <w:t>las que surgen por la voluntad asociativa de los entes públicos entre sí o con la intervención de particulares, previa autorización legal» (Concepto del 26 de octubre de 2000, Rad. 1291, M.P. Augusto Trejos Jaramillo).</w:t>
      </w:r>
    </w:p>
  </w:footnote>
  <w:footnote w:id="58">
    <w:p w14:paraId="04A222C2"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Ver, Tafur Galvis Álvaro, las entidades descentralizadas, Bogotá, Editorial, Montoya y Araujo, (1984), p. 205. </w:t>
      </w:r>
    </w:p>
  </w:footnote>
  <w:footnote w:id="59">
    <w:p w14:paraId="5B1C1EAE" w14:textId="77777777" w:rsidR="00FC1C1E" w:rsidRDefault="00C02FE0">
      <w:pPr>
        <w:pBdr>
          <w:top w:val="nil"/>
          <w:left w:val="nil"/>
          <w:bottom w:val="nil"/>
          <w:right w:val="nil"/>
          <w:between w:val="nil"/>
        </w:pBdr>
        <w:spacing w:after="0" w:line="240" w:lineRule="auto"/>
        <w:ind w:firstLine="708"/>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Sala de Consulta y Servicio Civil, Concepto Rad 1291, Ob. Cit. </w:t>
      </w:r>
    </w:p>
  </w:footnote>
  <w:footnote w:id="60">
    <w:p w14:paraId="60D1DE81"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Corte Constitucional, Sentencia C-374 del 25 de agosto de 1994, M.P. Jorge Arango Mejía. </w:t>
      </w:r>
    </w:p>
  </w:footnote>
  <w:footnote w:id="61">
    <w:p w14:paraId="5562432A" w14:textId="7CB484D4"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w:t>
      </w:r>
      <w:r>
        <w:rPr>
          <w:rFonts w:ascii="Arial" w:eastAsia="Arial" w:hAnsi="Arial" w:cs="Arial"/>
          <w:i/>
          <w:color w:val="000000"/>
          <w:sz w:val="19"/>
          <w:szCs w:val="19"/>
        </w:rPr>
        <w:t>Ibid.</w:t>
      </w:r>
    </w:p>
  </w:footnote>
  <w:footnote w:id="62">
    <w:p w14:paraId="35B7804B"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proofErr w:type="gramStart"/>
      <w:r>
        <w:rPr>
          <w:rFonts w:ascii="Arial" w:eastAsia="Arial" w:hAnsi="Arial" w:cs="Arial"/>
          <w:color w:val="000000"/>
          <w:sz w:val="19"/>
          <w:szCs w:val="19"/>
        </w:rPr>
        <w:t>separadas</w:t>
      </w:r>
      <w:proofErr w:type="gramEnd"/>
      <w:r>
        <w:rPr>
          <w:rFonts w:ascii="Arial" w:eastAsia="Arial" w:hAnsi="Arial" w:cs="Arial"/>
          <w:color w:val="000000"/>
          <w:sz w:val="19"/>
          <w:szCs w:val="19"/>
        </w:rPr>
        <w:t xml:space="preserve"> pero colaboran armónicamente para la realización de sus fines.»</w:t>
      </w:r>
    </w:p>
  </w:footnote>
  <w:footnote w:id="63">
    <w:p w14:paraId="5BC19583" w14:textId="3458A2BE" w:rsidR="00FC1C1E" w:rsidRPr="00353D32" w:rsidRDefault="00C02FE0" w:rsidP="00353D32">
      <w:pPr>
        <w:widowControl w:val="0"/>
        <w:pBdr>
          <w:top w:val="nil"/>
          <w:left w:val="nil"/>
          <w:bottom w:val="nil"/>
          <w:right w:val="nil"/>
          <w:between w:val="nil"/>
        </w:pBdr>
        <w:spacing w:after="0" w:line="240" w:lineRule="auto"/>
        <w:ind w:firstLine="709"/>
        <w:jc w:val="left"/>
        <w:rPr>
          <w:sz w:val="19"/>
          <w:szCs w:val="19"/>
        </w:rPr>
      </w:pPr>
      <w:r>
        <w:rPr>
          <w:vertAlign w:val="superscript"/>
        </w:rPr>
        <w:footnoteRef/>
      </w:r>
      <w:r>
        <w:rPr>
          <w:rFonts w:ascii="Arial" w:eastAsia="Arial" w:hAnsi="Arial" w:cs="Arial"/>
          <w:color w:val="000000"/>
          <w:sz w:val="20"/>
          <w:szCs w:val="20"/>
        </w:rPr>
        <w:t xml:space="preserve"> Corte Constitucional, Sentencia C-593 del 7 de diciembre de 1995, M.P. Fabio Morón Díaz. </w:t>
      </w:r>
    </w:p>
  </w:footnote>
  <w:footnote w:id="64">
    <w:p w14:paraId="2C919B62" w14:textId="77777777" w:rsidR="00FC1C1E" w:rsidRPr="00353D32" w:rsidRDefault="00C02FE0" w:rsidP="00353D32">
      <w:pPr>
        <w:widowControl w:val="0"/>
        <w:pBdr>
          <w:top w:val="nil"/>
          <w:left w:val="nil"/>
          <w:bottom w:val="nil"/>
          <w:right w:val="nil"/>
          <w:between w:val="nil"/>
        </w:pBdr>
        <w:spacing w:after="0" w:line="240" w:lineRule="auto"/>
        <w:ind w:firstLine="709"/>
        <w:jc w:val="left"/>
        <w:rPr>
          <w:sz w:val="19"/>
          <w:szCs w:val="19"/>
        </w:rPr>
      </w:pPr>
      <w:r>
        <w:rPr>
          <w:vertAlign w:val="superscript"/>
        </w:rPr>
        <w:footnoteRef/>
      </w:r>
      <w:r>
        <w:rPr>
          <w:rFonts w:ascii="Arial" w:eastAsia="Arial" w:hAnsi="Arial" w:cs="Arial"/>
          <w:color w:val="000000"/>
          <w:sz w:val="20"/>
          <w:szCs w:val="20"/>
        </w:rPr>
        <w:t xml:space="preserve"> Corte Constitucional, Auto 089A del 24 de febrero de 2009, M.P. Humberto Sierra Porto. </w:t>
      </w:r>
    </w:p>
  </w:footnote>
  <w:footnote w:id="65">
    <w:p w14:paraId="6902BB71"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Registraduría Nacional del Estado Civil, Resolución 2098 del 12 de marzo de 2021, mediante la cual «se fija el calendario electoral del Congreso de la República que se realizarán el 13 de marzo». </w:t>
      </w:r>
    </w:p>
  </w:footnote>
  <w:footnote w:id="66">
    <w:p w14:paraId="5FB8D6E9" w14:textId="476811E3"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Registraduría Nacional del Estado Civil, Resolución 4371 del 18 de mayo de 2021, «por la cual se fija el calendario electoral para las elecciones de </w:t>
      </w:r>
      <w:proofErr w:type="gramStart"/>
      <w:r>
        <w:rPr>
          <w:rFonts w:ascii="Arial" w:eastAsia="Arial" w:hAnsi="Arial" w:cs="Arial"/>
          <w:color w:val="000000"/>
          <w:sz w:val="19"/>
          <w:szCs w:val="19"/>
        </w:rPr>
        <w:t>Presidente</w:t>
      </w:r>
      <w:proofErr w:type="gramEnd"/>
      <w:r>
        <w:rPr>
          <w:rFonts w:ascii="Arial" w:eastAsia="Arial" w:hAnsi="Arial" w:cs="Arial"/>
          <w:color w:val="000000"/>
          <w:sz w:val="19"/>
          <w:szCs w:val="19"/>
        </w:rPr>
        <w:t xml:space="preserve"> y Vicepresidente de la República (primera vuelta) para el periodo constitucional 2022-2026.</w:t>
      </w:r>
    </w:p>
  </w:footnote>
  <w:footnote w:id="67">
    <w:p w14:paraId="51197F56" w14:textId="77777777" w:rsidR="00FC1C1E" w:rsidRDefault="00C02FE0">
      <w:pPr>
        <w:pBdr>
          <w:top w:val="nil"/>
          <w:left w:val="nil"/>
          <w:bottom w:val="nil"/>
          <w:right w:val="nil"/>
          <w:between w:val="nil"/>
        </w:pBdr>
        <w:spacing w:after="0" w:line="240" w:lineRule="auto"/>
        <w:ind w:firstLine="709"/>
        <w:rPr>
          <w:rFonts w:ascii="Arial" w:eastAsia="Arial" w:hAnsi="Arial" w:cs="Arial"/>
          <w:color w:val="000000"/>
          <w:sz w:val="19"/>
          <w:szCs w:val="19"/>
        </w:rPr>
      </w:pPr>
      <w:r>
        <w:rPr>
          <w:vertAlign w:val="superscript"/>
        </w:rPr>
        <w:footnoteRef/>
      </w:r>
      <w:r>
        <w:rPr>
          <w:rFonts w:ascii="Arial" w:eastAsia="Arial" w:hAnsi="Arial" w:cs="Arial"/>
          <w:color w:val="000000"/>
          <w:sz w:val="19"/>
          <w:szCs w:val="19"/>
        </w:rPr>
        <w:t xml:space="preserve"> Cuyo texto completo puede ser consultado en el </w:t>
      </w:r>
      <w:proofErr w:type="gramStart"/>
      <w:r>
        <w:rPr>
          <w:rFonts w:ascii="Arial" w:eastAsia="Arial" w:hAnsi="Arial" w:cs="Arial"/>
          <w:color w:val="000000"/>
          <w:sz w:val="19"/>
          <w:szCs w:val="19"/>
        </w:rPr>
        <w:t>link</w:t>
      </w:r>
      <w:proofErr w:type="gramEnd"/>
      <w:r>
        <w:rPr>
          <w:rFonts w:ascii="Arial" w:eastAsia="Arial" w:hAnsi="Arial" w:cs="Arial"/>
          <w:color w:val="000000"/>
          <w:sz w:val="19"/>
          <w:szCs w:val="19"/>
        </w:rPr>
        <w:t xml:space="preserve"> https:/Iidm.presidencia.gov.co/Documents/2021-354-Fallo-tutela-primera instancia.pdf </w:t>
      </w:r>
    </w:p>
    <w:p w14:paraId="5A36E626" w14:textId="77777777" w:rsidR="00FC1C1E" w:rsidRDefault="00FC1C1E">
      <w:pPr>
        <w:pBdr>
          <w:top w:val="nil"/>
          <w:left w:val="nil"/>
          <w:bottom w:val="nil"/>
          <w:right w:val="nil"/>
          <w:between w:val="nil"/>
        </w:pBdr>
        <w:spacing w:after="0" w:line="240" w:lineRule="auto"/>
        <w:ind w:firstLine="709"/>
        <w:rPr>
          <w:rFonts w:ascii="Arial" w:eastAsia="Arial" w:hAnsi="Arial" w:cs="Arial"/>
          <w:color w:val="000000"/>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A360" w14:textId="77777777" w:rsidR="00FC1C1E" w:rsidRDefault="00C02FE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5FCF780" wp14:editId="54AFA97D">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C7A681A" w14:textId="77777777" w:rsidR="00FC1C1E" w:rsidRDefault="00FC1C1E">
    <w:pPr>
      <w:pBdr>
        <w:top w:val="nil"/>
        <w:left w:val="nil"/>
        <w:bottom w:val="nil"/>
        <w:right w:val="nil"/>
        <w:between w:val="nil"/>
      </w:pBdr>
      <w:tabs>
        <w:tab w:val="center" w:pos="4252"/>
        <w:tab w:val="right" w:pos="8504"/>
      </w:tabs>
      <w:spacing w:after="0"/>
      <w:rPr>
        <w:color w:val="000000"/>
      </w:rPr>
    </w:pPr>
  </w:p>
  <w:p w14:paraId="0EF87933" w14:textId="77777777" w:rsidR="00FC1C1E" w:rsidRDefault="00FC1C1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11A"/>
    <w:multiLevelType w:val="multilevel"/>
    <w:tmpl w:val="A754E2EC"/>
    <w:lvl w:ilvl="0">
      <w:start w:val="14"/>
      <w:numFmt w:val="decimal"/>
      <w:lvlText w:val="%1"/>
      <w:lvlJc w:val="left"/>
      <w:pPr>
        <w:ind w:left="810" w:hanging="550"/>
      </w:pPr>
    </w:lvl>
    <w:lvl w:ilvl="1">
      <w:start w:val="5"/>
      <w:numFmt w:val="decimal"/>
      <w:lvlText w:val="%1.%2."/>
      <w:lvlJc w:val="left"/>
      <w:pPr>
        <w:ind w:left="810" w:hanging="550"/>
      </w:pPr>
      <w:rPr>
        <w:rFonts w:ascii="Arial" w:eastAsia="Arial" w:hAnsi="Arial" w:cs="Arial"/>
        <w:color w:val="000000"/>
        <w:sz w:val="22"/>
        <w:szCs w:val="22"/>
      </w:rPr>
    </w:lvl>
    <w:lvl w:ilvl="2">
      <w:start w:val="1"/>
      <w:numFmt w:val="bullet"/>
      <w:lvlText w:val="•"/>
      <w:lvlJc w:val="left"/>
      <w:pPr>
        <w:ind w:left="2484" w:hanging="550"/>
      </w:pPr>
    </w:lvl>
    <w:lvl w:ilvl="3">
      <w:start w:val="1"/>
      <w:numFmt w:val="bullet"/>
      <w:lvlText w:val="•"/>
      <w:lvlJc w:val="left"/>
      <w:pPr>
        <w:ind w:left="3316" w:hanging="550"/>
      </w:pPr>
    </w:lvl>
    <w:lvl w:ilvl="4">
      <w:start w:val="1"/>
      <w:numFmt w:val="bullet"/>
      <w:lvlText w:val="•"/>
      <w:lvlJc w:val="left"/>
      <w:pPr>
        <w:ind w:left="4148" w:hanging="550"/>
      </w:pPr>
    </w:lvl>
    <w:lvl w:ilvl="5">
      <w:start w:val="1"/>
      <w:numFmt w:val="bullet"/>
      <w:lvlText w:val="•"/>
      <w:lvlJc w:val="left"/>
      <w:pPr>
        <w:ind w:left="4980" w:hanging="550"/>
      </w:pPr>
    </w:lvl>
    <w:lvl w:ilvl="6">
      <w:start w:val="1"/>
      <w:numFmt w:val="bullet"/>
      <w:lvlText w:val="•"/>
      <w:lvlJc w:val="left"/>
      <w:pPr>
        <w:ind w:left="5812" w:hanging="550"/>
      </w:pPr>
    </w:lvl>
    <w:lvl w:ilvl="7">
      <w:start w:val="1"/>
      <w:numFmt w:val="bullet"/>
      <w:lvlText w:val="•"/>
      <w:lvlJc w:val="left"/>
      <w:pPr>
        <w:ind w:left="6644" w:hanging="550"/>
      </w:pPr>
    </w:lvl>
    <w:lvl w:ilvl="8">
      <w:start w:val="1"/>
      <w:numFmt w:val="bullet"/>
      <w:lvlText w:val="•"/>
      <w:lvlJc w:val="left"/>
      <w:pPr>
        <w:ind w:left="7476" w:hanging="5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1E"/>
    <w:rsid w:val="00077410"/>
    <w:rsid w:val="00353D32"/>
    <w:rsid w:val="0048122F"/>
    <w:rsid w:val="004E0CF3"/>
    <w:rsid w:val="00692F46"/>
    <w:rsid w:val="006B14EE"/>
    <w:rsid w:val="00C02FE0"/>
    <w:rsid w:val="00EF7D70"/>
    <w:rsid w:val="00FC1C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6470"/>
  <w15:docId w15:val="{3310208B-4CC6-43AF-A5F4-4605F974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1">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18232&amp;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415E4A4-6255-47B3-A6A0-25A418532A8A}">
  <ds:schemaRefs>
    <ds:schemaRef ds:uri="http://schemas.openxmlformats.org/officeDocument/2006/bibliography"/>
  </ds:schemaRefs>
</ds:datastoreItem>
</file>

<file path=customXml/itemProps2.xml><?xml version="1.0" encoding="utf-8"?>
<ds:datastoreItem xmlns:ds="http://schemas.openxmlformats.org/officeDocument/2006/customXml" ds:itemID="{FF3FC2E9-64B4-4348-B6C6-F82264D49137}"/>
</file>

<file path=customXml/itemProps3.xml><?xml version="1.0" encoding="utf-8"?>
<ds:datastoreItem xmlns:ds="http://schemas.openxmlformats.org/officeDocument/2006/customXml" ds:itemID="{0EA529F0-B9A8-4420-BE09-403F84C54280}"/>
</file>

<file path=customXml/itemProps4.xml><?xml version="1.0" encoding="utf-8"?>
<ds:datastoreItem xmlns:ds="http://schemas.openxmlformats.org/officeDocument/2006/customXml" ds:itemID="{E9678D56-09A7-43F6-B594-BFCBA3551584}"/>
</file>

<file path=docProps/app.xml><?xml version="1.0" encoding="utf-8"?>
<Properties xmlns="http://schemas.openxmlformats.org/officeDocument/2006/extended-properties" xmlns:vt="http://schemas.openxmlformats.org/officeDocument/2006/docPropsVTypes">
  <Template>Normal</Template>
  <TotalTime>1</TotalTime>
  <Pages>45</Pages>
  <Words>16526</Words>
  <Characters>90894</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Eloy Quintero Isaza</dc:creator>
  <cp:lastModifiedBy>Alvaro Namen Vargas</cp:lastModifiedBy>
  <cp:revision>2</cp:revision>
  <dcterms:created xsi:type="dcterms:W3CDTF">2022-01-28T14:50:00Z</dcterms:created>
  <dcterms:modified xsi:type="dcterms:W3CDTF">2022-01-28T14:50:00Z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