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2216" w14:textId="77777777" w:rsidR="00C13C5F" w:rsidRDefault="0059492F">
      <w:pPr>
        <w:spacing w:after="0" w:line="240" w:lineRule="auto"/>
        <w:rPr>
          <w:rFonts w:ascii="Arial" w:eastAsia="Arial" w:hAnsi="Arial" w:cs="Arial"/>
          <w:b/>
          <w:sz w:val="20"/>
          <w:szCs w:val="20"/>
        </w:rPr>
      </w:pPr>
      <w:bookmarkStart w:id="0" w:name="_gjdgxs" w:colFirst="0" w:colLast="0"/>
      <w:bookmarkEnd w:id="0"/>
      <w:r>
        <w:rPr>
          <w:rFonts w:ascii="Arial" w:eastAsia="Arial" w:hAnsi="Arial" w:cs="Arial"/>
          <w:b/>
          <w:sz w:val="20"/>
          <w:szCs w:val="20"/>
        </w:rPr>
        <w:t>LEY DE GARANTÍAS ELECTORALES – Finalidad</w:t>
      </w:r>
    </w:p>
    <w:p w14:paraId="49C9896C" w14:textId="77777777" w:rsidR="00C13C5F" w:rsidRDefault="00C13C5F">
      <w:pPr>
        <w:spacing w:after="0" w:line="240" w:lineRule="auto"/>
        <w:rPr>
          <w:rFonts w:ascii="Arial" w:eastAsia="Arial" w:hAnsi="Arial" w:cs="Arial"/>
          <w:sz w:val="20"/>
          <w:szCs w:val="20"/>
        </w:rPr>
      </w:pPr>
    </w:p>
    <w:p w14:paraId="53A9CF7F" w14:textId="77777777" w:rsidR="00C13C5F" w:rsidRDefault="0059492F">
      <w:pPr>
        <w:tabs>
          <w:tab w:val="left" w:pos="426"/>
        </w:tabs>
        <w:spacing w:after="0" w:line="240" w:lineRule="auto"/>
        <w:rPr>
          <w:rFonts w:ascii="Arial" w:eastAsia="Arial" w:hAnsi="Arial" w:cs="Arial"/>
          <w:sz w:val="20"/>
          <w:szCs w:val="20"/>
        </w:rPr>
      </w:pPr>
      <w:bookmarkStart w:id="1" w:name="_30j0zll" w:colFirst="0" w:colLast="0"/>
      <w:bookmarkEnd w:id="1"/>
      <w:r>
        <w:rPr>
          <w:rFonts w:ascii="Arial" w:eastAsia="Arial" w:hAnsi="Arial" w:cs="Arial"/>
          <w:sz w:val="20"/>
          <w:szCs w:val="20"/>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 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348A1E1E" w14:textId="77777777" w:rsidR="00C13C5F" w:rsidRDefault="00C13C5F">
      <w:pPr>
        <w:tabs>
          <w:tab w:val="left" w:pos="426"/>
        </w:tabs>
        <w:spacing w:after="0" w:line="240" w:lineRule="auto"/>
        <w:rPr>
          <w:rFonts w:ascii="Arial" w:eastAsia="Arial" w:hAnsi="Arial" w:cs="Arial"/>
          <w:sz w:val="20"/>
          <w:szCs w:val="20"/>
        </w:rPr>
      </w:pPr>
      <w:bookmarkStart w:id="2" w:name="_1fob9te" w:colFirst="0" w:colLast="0"/>
      <w:bookmarkEnd w:id="2"/>
    </w:p>
    <w:p w14:paraId="31B23CB7" w14:textId="77777777" w:rsidR="00C13C5F" w:rsidRDefault="0059492F">
      <w:pPr>
        <w:tabs>
          <w:tab w:val="left" w:pos="426"/>
        </w:tabs>
        <w:spacing w:after="0" w:line="240" w:lineRule="auto"/>
        <w:rPr>
          <w:rFonts w:ascii="Arial" w:eastAsia="Arial" w:hAnsi="Arial" w:cs="Arial"/>
          <w:b/>
          <w:sz w:val="20"/>
          <w:szCs w:val="20"/>
        </w:rPr>
      </w:pPr>
      <w:bookmarkStart w:id="3" w:name="_3znysh7" w:colFirst="0" w:colLast="0"/>
      <w:bookmarkEnd w:id="3"/>
      <w:r>
        <w:rPr>
          <w:rFonts w:ascii="Arial" w:eastAsia="Arial" w:hAnsi="Arial" w:cs="Arial"/>
          <w:b/>
          <w:sz w:val="20"/>
          <w:szCs w:val="20"/>
        </w:rPr>
        <w:t xml:space="preserve">LEY DE GARANTÍAS ELECTORALES ‒ Tipos de restricciones ‒ Ámbito temporal </w:t>
      </w:r>
    </w:p>
    <w:p w14:paraId="1DD00DD4" w14:textId="77777777" w:rsidR="00C13C5F" w:rsidRDefault="00C13C5F">
      <w:pPr>
        <w:tabs>
          <w:tab w:val="left" w:pos="426"/>
        </w:tabs>
        <w:spacing w:after="0" w:line="240" w:lineRule="auto"/>
        <w:rPr>
          <w:rFonts w:ascii="Arial" w:eastAsia="Arial" w:hAnsi="Arial" w:cs="Arial"/>
          <w:b/>
          <w:sz w:val="20"/>
          <w:szCs w:val="20"/>
        </w:rPr>
      </w:pPr>
    </w:p>
    <w:p w14:paraId="51AF2D38" w14:textId="77777777" w:rsidR="00C13C5F" w:rsidRDefault="0059492F">
      <w:pPr>
        <w:tabs>
          <w:tab w:val="left" w:pos="426"/>
        </w:tabs>
        <w:spacing w:after="0" w:line="240" w:lineRule="auto"/>
        <w:rPr>
          <w:rFonts w:ascii="Arial" w:eastAsia="Arial" w:hAnsi="Arial" w:cs="Arial"/>
          <w:sz w:val="20"/>
          <w:szCs w:val="20"/>
        </w:rPr>
      </w:pPr>
      <w:r>
        <w:rPr>
          <w:rFonts w:ascii="Arial" w:eastAsia="Arial" w:hAnsi="Arial" w:cs="Arial"/>
          <w:sz w:val="20"/>
          <w:szCs w:val="20"/>
        </w:rPr>
        <w:t xml:space="preserve">[…]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w:t>
      </w:r>
      <w:proofErr w:type="gramStart"/>
      <w:r>
        <w:rPr>
          <w:rFonts w:ascii="Arial" w:eastAsia="Arial" w:hAnsi="Arial" w:cs="Arial"/>
          <w:sz w:val="20"/>
          <w:szCs w:val="20"/>
        </w:rPr>
        <w:t>las  votaciones</w:t>
      </w:r>
      <w:proofErr w:type="gramEnd"/>
      <w:r>
        <w:rPr>
          <w:rFonts w:ascii="Arial" w:eastAsia="Arial" w:hAnsi="Arial" w:cs="Arial"/>
          <w:sz w:val="20"/>
          <w:szCs w:val="20"/>
        </w:rPr>
        <w:t xml:space="preserve">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866A7D1" w14:textId="77777777" w:rsidR="00C13C5F" w:rsidRDefault="00C13C5F">
      <w:pPr>
        <w:tabs>
          <w:tab w:val="left" w:pos="426"/>
        </w:tabs>
        <w:spacing w:after="0" w:line="240" w:lineRule="auto"/>
        <w:rPr>
          <w:rFonts w:ascii="Arial" w:eastAsia="Arial" w:hAnsi="Arial" w:cs="Arial"/>
          <w:sz w:val="20"/>
          <w:szCs w:val="20"/>
        </w:rPr>
      </w:pPr>
    </w:p>
    <w:p w14:paraId="2540DB0A" w14:textId="77777777" w:rsidR="00C13C5F" w:rsidRDefault="0059492F">
      <w:pPr>
        <w:tabs>
          <w:tab w:val="left" w:pos="426"/>
        </w:tabs>
        <w:spacing w:after="0" w:line="240" w:lineRule="auto"/>
        <w:rPr>
          <w:rFonts w:ascii="Arial" w:eastAsia="Arial" w:hAnsi="Arial" w:cs="Arial"/>
          <w:b/>
          <w:sz w:val="20"/>
          <w:szCs w:val="20"/>
        </w:rPr>
      </w:pPr>
      <w:bookmarkStart w:id="4" w:name="_2et92p0" w:colFirst="0" w:colLast="0"/>
      <w:bookmarkEnd w:id="4"/>
      <w:r>
        <w:rPr>
          <w:rFonts w:ascii="Arial" w:eastAsia="Arial" w:hAnsi="Arial" w:cs="Arial"/>
          <w:b/>
          <w:sz w:val="20"/>
          <w:szCs w:val="20"/>
        </w:rPr>
        <w:t xml:space="preserve">LEY DE GARANTÍAS ELECTORALES ─ Prohibición ‒ Contratación directa ‒ Alcance </w:t>
      </w:r>
    </w:p>
    <w:p w14:paraId="441FC781" w14:textId="77777777" w:rsidR="00C13C5F" w:rsidRDefault="00C13C5F">
      <w:pPr>
        <w:tabs>
          <w:tab w:val="left" w:pos="426"/>
        </w:tabs>
        <w:spacing w:after="0" w:line="240" w:lineRule="auto"/>
        <w:rPr>
          <w:rFonts w:ascii="Arial" w:eastAsia="Arial" w:hAnsi="Arial" w:cs="Arial"/>
          <w:sz w:val="20"/>
          <w:szCs w:val="20"/>
        </w:rPr>
      </w:pPr>
    </w:p>
    <w:p w14:paraId="12357489" w14:textId="77777777" w:rsidR="00C13C5F" w:rsidRDefault="0059492F">
      <w:pPr>
        <w:tabs>
          <w:tab w:val="left" w:pos="426"/>
        </w:tabs>
        <w:spacing w:after="0" w:line="240" w:lineRule="auto"/>
        <w:rPr>
          <w:rFonts w:ascii="Arial" w:eastAsia="Arial" w:hAnsi="Arial" w:cs="Arial"/>
          <w:sz w:val="20"/>
          <w:szCs w:val="20"/>
        </w:rPr>
      </w:pPr>
      <w:r>
        <w:rPr>
          <w:rFonts w:ascii="Arial" w:eastAsia="Arial" w:hAnsi="Arial" w:cs="Arial"/>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27C468FD" w14:textId="77777777" w:rsidR="00C13C5F" w:rsidRDefault="0059492F">
      <w:pPr>
        <w:tabs>
          <w:tab w:val="left" w:pos="426"/>
        </w:tabs>
        <w:spacing w:after="0" w:line="240" w:lineRule="auto"/>
        <w:rPr>
          <w:rFonts w:ascii="Arial" w:eastAsia="Arial" w:hAnsi="Arial" w:cs="Arial"/>
          <w:sz w:val="20"/>
          <w:szCs w:val="20"/>
        </w:rPr>
      </w:pPr>
      <w:r>
        <w:rPr>
          <w:rFonts w:ascii="Arial" w:eastAsia="Arial" w:hAnsi="Arial" w:cs="Arial"/>
          <w:sz w:val="20"/>
          <w:szCs w:val="20"/>
        </w:rPr>
        <w:t xml:space="preserve">  </w:t>
      </w:r>
    </w:p>
    <w:p w14:paraId="34FC74BF" w14:textId="77777777" w:rsidR="00C13C5F" w:rsidRDefault="0059492F">
      <w:pPr>
        <w:shd w:val="clear" w:color="auto" w:fill="FFFFFF"/>
        <w:spacing w:after="0" w:line="240" w:lineRule="auto"/>
        <w:rPr>
          <w:rFonts w:ascii="Arial" w:eastAsia="Arial" w:hAnsi="Arial" w:cs="Arial"/>
          <w:sz w:val="20"/>
          <w:szCs w:val="20"/>
        </w:rPr>
      </w:pPr>
      <w:bookmarkStart w:id="5" w:name="_tyjcwt" w:colFirst="0" w:colLast="0"/>
      <w:bookmarkEnd w:id="5"/>
      <w:r>
        <w:rPr>
          <w:rFonts w:ascii="Arial" w:eastAsia="Arial" w:hAnsi="Arial" w:cs="Arial"/>
          <w:b/>
          <w:sz w:val="20"/>
          <w:szCs w:val="20"/>
        </w:rPr>
        <w:t>LEY DE GARANTÍAS ELECTORALES ‒ Excepciones</w:t>
      </w:r>
      <w:r>
        <w:rPr>
          <w:rFonts w:ascii="Arial" w:eastAsia="Arial" w:hAnsi="Arial" w:cs="Arial"/>
          <w:sz w:val="20"/>
          <w:szCs w:val="20"/>
        </w:rPr>
        <w:t xml:space="preserve"> </w:t>
      </w:r>
    </w:p>
    <w:p w14:paraId="54179E20" w14:textId="77777777" w:rsidR="00C13C5F" w:rsidRDefault="00C13C5F">
      <w:pPr>
        <w:shd w:val="clear" w:color="auto" w:fill="FFFFFF"/>
        <w:spacing w:after="0" w:line="240" w:lineRule="auto"/>
        <w:rPr>
          <w:rFonts w:ascii="Arial" w:eastAsia="Arial" w:hAnsi="Arial" w:cs="Arial"/>
          <w:sz w:val="20"/>
          <w:szCs w:val="20"/>
        </w:rPr>
      </w:pPr>
    </w:p>
    <w:p w14:paraId="291A0A31" w14:textId="77777777" w:rsidR="00C13C5F" w:rsidRDefault="0059492F">
      <w:pPr>
        <w:tabs>
          <w:tab w:val="left" w:pos="426"/>
        </w:tabs>
        <w:spacing w:after="0" w:line="240" w:lineRule="auto"/>
        <w:rPr>
          <w:rFonts w:ascii="Arial" w:eastAsia="Arial" w:hAnsi="Arial" w:cs="Arial"/>
          <w:sz w:val="20"/>
          <w:szCs w:val="20"/>
        </w:rPr>
      </w:pPr>
      <w:r>
        <w:rPr>
          <w:rFonts w:ascii="Arial" w:eastAsia="Arial" w:hAnsi="Arial" w:cs="Arial"/>
          <w:sz w:val="20"/>
          <w:szCs w:val="20"/>
        </w:rPr>
        <w:t xml:space="preserve">[…]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Pr>
          <w:rFonts w:ascii="Arial" w:eastAsia="Arial" w:hAnsi="Arial" w:cs="Arial"/>
          <w:sz w:val="20"/>
          <w:szCs w:val="20"/>
        </w:rPr>
        <w:t>ii</w:t>
      </w:r>
      <w:proofErr w:type="spellEnd"/>
      <w:r>
        <w:rPr>
          <w:rFonts w:ascii="Arial" w:eastAsia="Arial" w:hAnsi="Arial" w:cs="Arial"/>
          <w:sz w:val="20"/>
          <w:szCs w:val="20"/>
        </w:rPr>
        <w:t xml:space="preserve">) los contratos de crédito público; </w:t>
      </w:r>
      <w:proofErr w:type="spellStart"/>
      <w:r>
        <w:rPr>
          <w:rFonts w:ascii="Arial" w:eastAsia="Arial" w:hAnsi="Arial" w:cs="Arial"/>
          <w:sz w:val="20"/>
          <w:szCs w:val="20"/>
        </w:rPr>
        <w:t>iii</w:t>
      </w:r>
      <w:proofErr w:type="spellEnd"/>
      <w:r>
        <w:rPr>
          <w:rFonts w:ascii="Arial" w:eastAsia="Arial" w:hAnsi="Arial" w:cs="Arial"/>
          <w:sz w:val="20"/>
          <w:szCs w:val="20"/>
        </w:rPr>
        <w:t xml:space="preserve">) los requeridos para cubrir las emergencias educativas, sanitarias y desastres; </w:t>
      </w:r>
      <w:proofErr w:type="spellStart"/>
      <w:r>
        <w:rPr>
          <w:rFonts w:ascii="Arial" w:eastAsia="Arial" w:hAnsi="Arial" w:cs="Arial"/>
          <w:sz w:val="20"/>
          <w:szCs w:val="20"/>
        </w:rPr>
        <w:t>iv</w:t>
      </w:r>
      <w:proofErr w:type="spellEnd"/>
      <w:r>
        <w:rPr>
          <w:rFonts w:ascii="Arial" w:eastAsia="Arial" w:hAnsi="Arial" w:cs="Arial"/>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6705C819" w14:textId="77777777" w:rsidR="00C13C5F" w:rsidRDefault="00C13C5F">
      <w:pPr>
        <w:tabs>
          <w:tab w:val="left" w:pos="426"/>
        </w:tabs>
        <w:spacing w:after="0" w:line="240" w:lineRule="auto"/>
        <w:rPr>
          <w:rFonts w:ascii="Arial" w:eastAsia="Arial" w:hAnsi="Arial" w:cs="Arial"/>
          <w:sz w:val="20"/>
          <w:szCs w:val="20"/>
        </w:rPr>
      </w:pPr>
    </w:p>
    <w:p w14:paraId="63DA602A" w14:textId="77777777" w:rsidR="00C13C5F" w:rsidRDefault="0059492F">
      <w:pPr>
        <w:spacing w:after="0" w:line="240" w:lineRule="auto"/>
        <w:rPr>
          <w:rFonts w:ascii="Arial" w:eastAsia="Arial" w:hAnsi="Arial" w:cs="Arial"/>
          <w:b/>
          <w:sz w:val="20"/>
          <w:szCs w:val="20"/>
        </w:rPr>
      </w:pPr>
      <w:bookmarkStart w:id="6" w:name="_3dy6vkm" w:colFirst="0" w:colLast="0"/>
      <w:bookmarkEnd w:id="6"/>
      <w:r>
        <w:rPr>
          <w:rFonts w:ascii="Arial" w:eastAsia="Arial" w:hAnsi="Arial" w:cs="Arial"/>
          <w:b/>
          <w:sz w:val="20"/>
          <w:szCs w:val="20"/>
        </w:rPr>
        <w:t>LEY DE GARANTÍAS ELECTORALES ‒ Prohibición del artículo 33 de la Ley de garantías ‒ Destinatarios</w:t>
      </w:r>
    </w:p>
    <w:p w14:paraId="4BA8197A" w14:textId="77777777" w:rsidR="00C13C5F" w:rsidRDefault="00C13C5F">
      <w:pPr>
        <w:tabs>
          <w:tab w:val="left" w:pos="426"/>
        </w:tabs>
        <w:spacing w:after="0" w:line="240" w:lineRule="auto"/>
        <w:rPr>
          <w:rFonts w:ascii="Arial" w:eastAsia="Arial" w:hAnsi="Arial" w:cs="Arial"/>
          <w:sz w:val="20"/>
          <w:szCs w:val="20"/>
        </w:rPr>
      </w:pPr>
    </w:p>
    <w:p w14:paraId="0AE63E95" w14:textId="77777777" w:rsidR="00C13C5F" w:rsidRDefault="0059492F">
      <w:pPr>
        <w:tabs>
          <w:tab w:val="left" w:pos="426"/>
        </w:tabs>
        <w:spacing w:after="0" w:line="240" w:lineRule="auto"/>
        <w:rPr>
          <w:rFonts w:ascii="Arial" w:eastAsia="Arial" w:hAnsi="Arial" w:cs="Arial"/>
          <w:sz w:val="20"/>
          <w:szCs w:val="20"/>
        </w:rPr>
      </w:pPr>
      <w:r>
        <w:rPr>
          <w:rFonts w:ascii="Arial" w:eastAsia="Arial" w:hAnsi="Arial" w:cs="Arial"/>
          <w:sz w:val="20"/>
          <w:szCs w:val="20"/>
        </w:rPr>
        <w:lastRenderedPageBreak/>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3DFB84C3" w14:textId="77777777" w:rsidR="00C13C5F" w:rsidRPr="002760E2" w:rsidRDefault="00C13C5F" w:rsidP="002760E2">
      <w:pPr>
        <w:shd w:val="clear" w:color="auto" w:fill="FFFFFF"/>
        <w:spacing w:after="0" w:line="240" w:lineRule="auto"/>
      </w:pPr>
    </w:p>
    <w:p w14:paraId="7521143D" w14:textId="584EF433" w:rsidR="00C13C5F" w:rsidRPr="002760E2" w:rsidRDefault="0059492F" w:rsidP="002760E2">
      <w:pPr>
        <w:shd w:val="clear" w:color="auto" w:fill="FFFFFF"/>
        <w:spacing w:after="0" w:line="240" w:lineRule="auto"/>
      </w:pPr>
      <w:r>
        <w:rPr>
          <w:rFonts w:ascii="Arial" w:eastAsia="Arial" w:hAnsi="Arial" w:cs="Arial"/>
          <w:b/>
          <w:sz w:val="20"/>
          <w:szCs w:val="20"/>
        </w:rPr>
        <w:t>CONTRATOS DE FINANCIAMIENTO – Ciencia y tecnología – Decreto 591 de 1991</w:t>
      </w:r>
    </w:p>
    <w:p w14:paraId="11125B7A" w14:textId="77777777" w:rsidR="00C13C5F" w:rsidRPr="002760E2" w:rsidRDefault="00C13C5F" w:rsidP="002760E2">
      <w:pPr>
        <w:shd w:val="clear" w:color="auto" w:fill="FFFFFF"/>
        <w:spacing w:after="0" w:line="240" w:lineRule="auto"/>
      </w:pPr>
    </w:p>
    <w:p w14:paraId="084C1FC8" w14:textId="2A37B9B5" w:rsidR="00C13C5F" w:rsidRPr="002760E2" w:rsidRDefault="0059492F" w:rsidP="002760E2">
      <w:pPr>
        <w:spacing w:line="240" w:lineRule="auto"/>
      </w:pPr>
      <w:r>
        <w:rPr>
          <w:rFonts w:ascii="Arial" w:eastAsia="Arial" w:hAnsi="Arial" w:cs="Arial"/>
          <w:color w:val="000000"/>
          <w:sz w:val="20"/>
          <w:szCs w:val="20"/>
        </w:rPr>
        <w:t xml:space="preserve">La Ley 80 de 1993, en el artículo 81, dispone las derogatorias y vigencia de la norma, e incluyó este decreto, y señaló que los artículos que continuarían vigentes son: 2, 8, 9, 17 y 19; por lo que la mayoría de las disposiciones se encuentran derogadas. Así pues, el Decreto 591 de 1991 enlista actividades científicas y tecnológicas y, a pesar de que su propósito principal era regular las modalidades específicas de contratos de fomento de esas actividades, con la derogatoria del artículo 7 que señalaba 10 tipos de contrato, actualmente se encuentran vigentes 3: i) contratos de financiamiento,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xml:space="preserve">) contratos de administración de proyectos y </w:t>
      </w:r>
      <w:proofErr w:type="spellStart"/>
      <w:r>
        <w:rPr>
          <w:rFonts w:ascii="Arial" w:eastAsia="Arial" w:hAnsi="Arial" w:cs="Arial"/>
          <w:color w:val="000000"/>
          <w:sz w:val="20"/>
          <w:szCs w:val="20"/>
        </w:rPr>
        <w:t>iii</w:t>
      </w:r>
      <w:proofErr w:type="spellEnd"/>
      <w:r>
        <w:rPr>
          <w:rFonts w:ascii="Arial" w:eastAsia="Arial" w:hAnsi="Arial" w:cs="Arial"/>
          <w:color w:val="000000"/>
          <w:sz w:val="20"/>
          <w:szCs w:val="20"/>
        </w:rPr>
        <w:t>) convenios especiales de cooperación. El prop</w:t>
      </w:r>
      <w:r w:rsidR="002760E2">
        <w:rPr>
          <w:rFonts w:ascii="Arial" w:eastAsia="Arial" w:hAnsi="Arial" w:cs="Arial"/>
          <w:color w:val="000000"/>
          <w:sz w:val="20"/>
          <w:szCs w:val="20"/>
        </w:rPr>
        <w:t>ó</w:t>
      </w:r>
      <w:r>
        <w:rPr>
          <w:rFonts w:ascii="Arial" w:eastAsia="Arial" w:hAnsi="Arial" w:cs="Arial"/>
          <w:color w:val="000000"/>
          <w:sz w:val="20"/>
          <w:szCs w:val="20"/>
        </w:rPr>
        <w:t xml:space="preserve">sito de los contratos de financiamiento, regulados en el artículo 8 del Decreto 591, es el entregar recursos al </w:t>
      </w:r>
      <w:proofErr w:type="gramStart"/>
      <w:r>
        <w:rPr>
          <w:rFonts w:ascii="Arial" w:eastAsia="Arial" w:hAnsi="Arial" w:cs="Arial"/>
          <w:color w:val="000000"/>
          <w:sz w:val="20"/>
          <w:szCs w:val="20"/>
        </w:rPr>
        <w:t>contratista  ̶</w:t>
      </w:r>
      <w:proofErr w:type="gramEnd"/>
      <w:r>
        <w:rPr>
          <w:rFonts w:ascii="Arial" w:eastAsia="Arial" w:hAnsi="Arial" w:cs="Arial"/>
          <w:color w:val="000000"/>
          <w:sz w:val="20"/>
          <w:szCs w:val="20"/>
        </w:rPr>
        <w:t xml:space="preserve"> particular o entidad estatal ̶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 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xml:space="preserve">) el artículo 8 del Decreto–Ley 591 de 1991». </w:t>
      </w:r>
    </w:p>
    <w:p w14:paraId="6B6BE191" w14:textId="77777777" w:rsidR="00C13C5F" w:rsidRDefault="00C13C5F">
      <w:pPr>
        <w:shd w:val="clear" w:color="auto" w:fill="FFFFFF"/>
        <w:spacing w:after="0"/>
        <w:rPr>
          <w:rFonts w:ascii="Arial" w:eastAsia="Arial" w:hAnsi="Arial" w:cs="Arial"/>
          <w:sz w:val="20"/>
          <w:szCs w:val="20"/>
        </w:rPr>
      </w:pPr>
    </w:p>
    <w:p w14:paraId="24B9746F" w14:textId="77777777" w:rsidR="00C13C5F" w:rsidRDefault="00C13C5F">
      <w:pPr>
        <w:spacing w:after="0"/>
        <w:rPr>
          <w:rFonts w:ascii="Arial" w:eastAsia="Arial" w:hAnsi="Arial" w:cs="Arial"/>
          <w:b/>
          <w:sz w:val="22"/>
          <w:szCs w:val="22"/>
        </w:rPr>
      </w:pPr>
    </w:p>
    <w:p w14:paraId="79B48A6E" w14:textId="77777777" w:rsidR="00C13C5F" w:rsidRDefault="0059492F">
      <w:pPr>
        <w:rPr>
          <w:rFonts w:ascii="Arial" w:eastAsia="Arial" w:hAnsi="Arial" w:cs="Arial"/>
          <w:b/>
          <w:sz w:val="22"/>
          <w:szCs w:val="22"/>
        </w:rPr>
      </w:pPr>
      <w:r>
        <w:br w:type="page"/>
      </w:r>
    </w:p>
    <w:p w14:paraId="24775B8F" w14:textId="600F9433" w:rsidR="00C13C5F" w:rsidRDefault="007978EC" w:rsidP="007978EC">
      <w:pPr>
        <w:tabs>
          <w:tab w:val="left" w:pos="3374"/>
        </w:tabs>
        <w:spacing w:after="0" w:line="240" w:lineRule="auto"/>
        <w:jc w:val="right"/>
      </w:pPr>
      <w:bookmarkStart w:id="7" w:name="_1t3h5sf" w:colFirst="0" w:colLast="0"/>
      <w:bookmarkEnd w:id="7"/>
      <w:r>
        <w:rPr>
          <w:noProof/>
        </w:rPr>
        <w:lastRenderedPageBreak/>
        <w:drawing>
          <wp:inline distT="0" distB="0" distL="0" distR="0" wp14:anchorId="50B54643" wp14:editId="60910529">
            <wp:extent cx="2524125" cy="1228725"/>
            <wp:effectExtent l="0" t="0" r="9525" b="9525"/>
            <wp:docPr id="3" name="Imagen 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Aplicación&#10;&#10;Descripción generada automáticamente"/>
                    <pic:cNvPicPr/>
                  </pic:nvPicPr>
                  <pic:blipFill>
                    <a:blip r:embed="rId6"/>
                    <a:stretch>
                      <a:fillRect/>
                    </a:stretch>
                  </pic:blipFill>
                  <pic:spPr>
                    <a:xfrm>
                      <a:off x="0" y="0"/>
                      <a:ext cx="2524125" cy="1228725"/>
                    </a:xfrm>
                    <a:prstGeom prst="rect">
                      <a:avLst/>
                    </a:prstGeom>
                  </pic:spPr>
                </pic:pic>
              </a:graphicData>
            </a:graphic>
          </wp:inline>
        </w:drawing>
      </w:r>
    </w:p>
    <w:p w14:paraId="1200519F" w14:textId="77777777" w:rsidR="00C13C5F" w:rsidRDefault="00C13C5F">
      <w:pPr>
        <w:tabs>
          <w:tab w:val="left" w:pos="3374"/>
        </w:tabs>
        <w:spacing w:after="0" w:line="240" w:lineRule="auto"/>
      </w:pPr>
    </w:p>
    <w:p w14:paraId="31E74905" w14:textId="0B53CE7A" w:rsidR="00C13C5F" w:rsidRDefault="00A94C8B">
      <w:pPr>
        <w:spacing w:after="0" w:line="240" w:lineRule="auto"/>
      </w:pPr>
      <w:r>
        <w:rPr>
          <w:rFonts w:ascii="Arial" w:hAnsi="Arial" w:cs="Arial"/>
          <w:color w:val="4E4D4D"/>
          <w:sz w:val="22"/>
          <w:szCs w:val="22"/>
          <w:lang w:val="es-CO"/>
        </w:rPr>
        <w:t xml:space="preserve">Bogotá, 06 </w:t>
      </w:r>
      <w:proofErr w:type="gramStart"/>
      <w:r>
        <w:rPr>
          <w:rFonts w:ascii="Arial" w:hAnsi="Arial" w:cs="Arial"/>
          <w:color w:val="4E4D4D"/>
          <w:sz w:val="22"/>
          <w:szCs w:val="22"/>
          <w:lang w:val="es-CO"/>
        </w:rPr>
        <w:t>Enero</w:t>
      </w:r>
      <w:proofErr w:type="gramEnd"/>
      <w:r>
        <w:rPr>
          <w:rFonts w:ascii="Arial" w:hAnsi="Arial" w:cs="Arial"/>
          <w:color w:val="4E4D4D"/>
          <w:sz w:val="22"/>
          <w:szCs w:val="22"/>
          <w:lang w:val="es-CO"/>
        </w:rPr>
        <w:t xml:space="preserve"> 2022</w:t>
      </w:r>
    </w:p>
    <w:p w14:paraId="10E91F8F" w14:textId="77777777" w:rsidR="00C13C5F" w:rsidRDefault="00C13C5F">
      <w:pPr>
        <w:spacing w:after="0" w:line="240" w:lineRule="auto"/>
      </w:pPr>
    </w:p>
    <w:p w14:paraId="5A6C6326" w14:textId="77777777" w:rsidR="00C13C5F" w:rsidRDefault="0059492F">
      <w:pPr>
        <w:spacing w:after="0" w:line="240" w:lineRule="auto"/>
      </w:pPr>
      <w:r>
        <w:rPr>
          <w:rFonts w:ascii="Arial" w:eastAsia="Arial" w:hAnsi="Arial" w:cs="Arial"/>
          <w:sz w:val="22"/>
          <w:szCs w:val="22"/>
        </w:rPr>
        <w:t>Señor</w:t>
      </w:r>
    </w:p>
    <w:p w14:paraId="0B249D79" w14:textId="77777777" w:rsidR="00C13C5F" w:rsidRDefault="0059492F">
      <w:pPr>
        <w:spacing w:after="0" w:line="240" w:lineRule="auto"/>
      </w:pPr>
      <w:r>
        <w:rPr>
          <w:rFonts w:ascii="Arial" w:eastAsia="Arial" w:hAnsi="Arial" w:cs="Arial"/>
          <w:b/>
          <w:sz w:val="22"/>
          <w:szCs w:val="22"/>
        </w:rPr>
        <w:t>Carlos Esteban Cajigas Álvarez</w:t>
      </w:r>
    </w:p>
    <w:p w14:paraId="16B9D751" w14:textId="77777777" w:rsidR="00C13C5F" w:rsidRDefault="0059492F">
      <w:pPr>
        <w:spacing w:after="0" w:line="240" w:lineRule="auto"/>
        <w:rPr>
          <w:rFonts w:ascii="Arial" w:eastAsia="Arial" w:hAnsi="Arial" w:cs="Arial"/>
          <w:sz w:val="22"/>
          <w:szCs w:val="22"/>
        </w:rPr>
      </w:pPr>
      <w:r>
        <w:rPr>
          <w:rFonts w:ascii="Arial" w:eastAsia="Arial" w:hAnsi="Arial" w:cs="Arial"/>
          <w:sz w:val="22"/>
          <w:szCs w:val="22"/>
        </w:rPr>
        <w:t>Estebancajigas@icloud.com</w:t>
      </w:r>
    </w:p>
    <w:p w14:paraId="72860647" w14:textId="77777777" w:rsidR="00C13C5F" w:rsidRDefault="00C13C5F">
      <w:pPr>
        <w:spacing w:after="0" w:line="240" w:lineRule="auto"/>
      </w:pPr>
    </w:p>
    <w:p w14:paraId="1AABD96A" w14:textId="77777777" w:rsidR="00C13C5F" w:rsidRDefault="00C13C5F">
      <w:pPr>
        <w:spacing w:after="0" w:line="240" w:lineRule="auto"/>
      </w:pPr>
    </w:p>
    <w:p w14:paraId="4DC088A8" w14:textId="77777777" w:rsidR="00C13C5F" w:rsidRDefault="0059492F">
      <w:pPr>
        <w:spacing w:after="0" w:line="240" w:lineRule="auto"/>
      </w:pPr>
      <w:r>
        <w:rPr>
          <w:rFonts w:ascii="Arial" w:eastAsia="Arial" w:hAnsi="Arial" w:cs="Arial"/>
          <w:sz w:val="22"/>
          <w:szCs w:val="22"/>
        </w:rPr>
        <w:t xml:space="preserve">                                            </w:t>
      </w:r>
      <w:r>
        <w:rPr>
          <w:rFonts w:ascii="Arial" w:eastAsia="Arial" w:hAnsi="Arial" w:cs="Arial"/>
          <w:b/>
          <w:sz w:val="22"/>
          <w:szCs w:val="22"/>
        </w:rPr>
        <w:t>Concepto C 700 –de 2021</w:t>
      </w:r>
      <w:r>
        <w:rPr>
          <w:rFonts w:ascii="Arial" w:eastAsia="Arial" w:hAnsi="Arial" w:cs="Arial"/>
          <w:sz w:val="22"/>
          <w:szCs w:val="22"/>
        </w:rPr>
        <w:t xml:space="preserve"> </w:t>
      </w:r>
    </w:p>
    <w:p w14:paraId="6E476401" w14:textId="77777777" w:rsidR="00C13C5F" w:rsidRDefault="00C13C5F">
      <w:pPr>
        <w:spacing w:after="0" w:line="240" w:lineRule="auto"/>
      </w:pPr>
    </w:p>
    <w:tbl>
      <w:tblPr>
        <w:tblStyle w:val="a"/>
        <w:tblW w:w="0" w:type="auto"/>
        <w:tblInd w:w="0" w:type="dxa"/>
        <w:tblBorders>
          <w:top w:val="nil"/>
          <w:left w:val="nil"/>
          <w:bottom w:val="nil"/>
          <w:right w:val="nil"/>
          <w:insideH w:val="nil"/>
          <w:insideV w:val="nil"/>
        </w:tblBorders>
        <w:tblLayout w:type="fixed"/>
        <w:tblLook w:val="0400" w:firstRow="0" w:lastRow="0" w:firstColumn="0" w:lastColumn="0" w:noHBand="0" w:noVBand="1"/>
      </w:tblPr>
      <w:tblGrid>
        <w:gridCol w:w="4419"/>
        <w:gridCol w:w="4419"/>
      </w:tblGrid>
      <w:tr w:rsidR="00C13C5F" w14:paraId="46CDF925" w14:textId="77777777">
        <w:trPr>
          <w:trHeight w:val="485"/>
        </w:trPr>
        <w:tc>
          <w:tcPr>
            <w:tcW w:w="4419" w:type="dxa"/>
          </w:tcPr>
          <w:p w14:paraId="43D46570" w14:textId="77777777" w:rsidR="00C13C5F" w:rsidRDefault="0059492F">
            <w:pPr>
              <w:jc w:val="both"/>
              <w:rPr>
                <w:sz w:val="22"/>
                <w:szCs w:val="22"/>
              </w:rPr>
            </w:pPr>
            <w:r>
              <w:rPr>
                <w:rFonts w:ascii="Arial" w:eastAsia="Arial" w:hAnsi="Arial" w:cs="Arial"/>
                <w:sz w:val="22"/>
                <w:szCs w:val="22"/>
              </w:rPr>
              <w:t xml:space="preserve">Temas:        </w:t>
            </w:r>
          </w:p>
        </w:tc>
        <w:tc>
          <w:tcPr>
            <w:tcW w:w="4419" w:type="dxa"/>
          </w:tcPr>
          <w:p w14:paraId="43C7106D" w14:textId="709B98CA" w:rsidR="00C13C5F" w:rsidRPr="002760E2" w:rsidRDefault="0059492F" w:rsidP="002760E2">
            <w:pPr>
              <w:shd w:val="clear" w:color="auto" w:fill="FFFFFF"/>
              <w:jc w:val="both"/>
            </w:pPr>
            <w:r>
              <w:rPr>
                <w:rFonts w:ascii="Arial" w:eastAsia="Arial" w:hAnsi="Arial" w:cs="Arial"/>
                <w:sz w:val="22"/>
                <w:szCs w:val="22"/>
              </w:rPr>
              <w:t>LEY DE GARANTÍAS ELECTORALES – Finalidad / LEY DE GARANTÍAS ELECTORALES ‒ Tipos de restricciones ‒ Ámbito temporal / LEY DE GARANTÍAS ELECTORALES ─ Prohibición ‒ Contratación directa ‒ Alcance / LEY DE GARANTÍAS ELECTORALES ‒ Excepciones / LEY DE GARANTÍAS ELECTORALES ‒ Prohibición del artículo 33 de la Ley de garantías ‒ Destinatarios / LEY DE GARANTÍAS ELECTORALES / CONTRATOS DE FINANCIAMIENTO – Ciencia y tecnología – Decreto 591 de 1991</w:t>
            </w:r>
          </w:p>
        </w:tc>
      </w:tr>
      <w:tr w:rsidR="00C13C5F" w14:paraId="5C0867C1" w14:textId="77777777">
        <w:tc>
          <w:tcPr>
            <w:tcW w:w="4419" w:type="dxa"/>
          </w:tcPr>
          <w:p w14:paraId="66DBC838" w14:textId="77777777" w:rsidR="00C13C5F" w:rsidRPr="002760E2" w:rsidRDefault="0059492F">
            <w:r w:rsidRPr="002760E2">
              <w:rPr>
                <w:rFonts w:ascii="Arial" w:eastAsia="Arial" w:hAnsi="Arial" w:cs="Arial"/>
                <w:b/>
                <w:sz w:val="22"/>
                <w:szCs w:val="22"/>
              </w:rPr>
              <w:t>Radicación:</w:t>
            </w:r>
            <w:r w:rsidRPr="002760E2">
              <w:rPr>
                <w:rFonts w:ascii="Arial" w:eastAsia="Arial" w:hAnsi="Arial" w:cs="Arial"/>
                <w:sz w:val="22"/>
                <w:szCs w:val="22"/>
              </w:rPr>
              <w:t xml:space="preserve">                              </w:t>
            </w:r>
          </w:p>
        </w:tc>
        <w:tc>
          <w:tcPr>
            <w:tcW w:w="4419" w:type="dxa"/>
          </w:tcPr>
          <w:p w14:paraId="189D0D00" w14:textId="1C417C3D" w:rsidR="00C13C5F" w:rsidRDefault="0059492F">
            <w:pPr>
              <w:jc w:val="both"/>
            </w:pPr>
            <w:r w:rsidRPr="002760E2">
              <w:rPr>
                <w:rFonts w:ascii="Arial" w:eastAsia="Arial" w:hAnsi="Arial" w:cs="Arial"/>
                <w:sz w:val="22"/>
                <w:szCs w:val="22"/>
              </w:rPr>
              <w:t xml:space="preserve">Respuesta a consulta </w:t>
            </w:r>
            <w:r>
              <w:rPr>
                <w:rFonts w:ascii="Arial" w:eastAsia="Arial" w:hAnsi="Arial" w:cs="Arial"/>
                <w:sz w:val="22"/>
                <w:szCs w:val="22"/>
              </w:rPr>
              <w:t>P20211125010934</w:t>
            </w:r>
          </w:p>
        </w:tc>
      </w:tr>
    </w:tbl>
    <w:p w14:paraId="49813E24" w14:textId="77777777" w:rsidR="00C13C5F" w:rsidRDefault="00C13C5F">
      <w:pPr>
        <w:spacing w:after="0" w:line="240" w:lineRule="auto"/>
      </w:pPr>
    </w:p>
    <w:p w14:paraId="7E39BB8C" w14:textId="77777777" w:rsidR="00C13C5F" w:rsidRDefault="00C13C5F">
      <w:pPr>
        <w:spacing w:after="0" w:line="240" w:lineRule="auto"/>
      </w:pPr>
    </w:p>
    <w:p w14:paraId="07DCED36" w14:textId="77777777" w:rsidR="00C13C5F" w:rsidRDefault="0059492F">
      <w:pPr>
        <w:spacing w:after="0"/>
        <w:rPr>
          <w:rFonts w:ascii="Arial" w:eastAsia="Arial" w:hAnsi="Arial" w:cs="Arial"/>
          <w:sz w:val="22"/>
          <w:szCs w:val="22"/>
        </w:rPr>
      </w:pPr>
      <w:r>
        <w:rPr>
          <w:rFonts w:ascii="Arial" w:eastAsia="Arial" w:hAnsi="Arial" w:cs="Arial"/>
          <w:color w:val="000000"/>
          <w:sz w:val="22"/>
          <w:szCs w:val="22"/>
        </w:rPr>
        <w:t>Estimado señor Cajigas</w:t>
      </w:r>
      <w:r>
        <w:rPr>
          <w:rFonts w:ascii="Arial" w:eastAsia="Arial" w:hAnsi="Arial" w:cs="Arial"/>
          <w:sz w:val="22"/>
          <w:szCs w:val="22"/>
        </w:rPr>
        <w:t>:</w:t>
      </w:r>
    </w:p>
    <w:p w14:paraId="4184F421" w14:textId="77777777" w:rsidR="00C13C5F" w:rsidRDefault="00C13C5F">
      <w:pPr>
        <w:spacing w:after="0"/>
        <w:ind w:firstLine="709"/>
        <w:rPr>
          <w:rFonts w:ascii="Arial" w:eastAsia="Arial" w:hAnsi="Arial" w:cs="Arial"/>
          <w:sz w:val="22"/>
          <w:szCs w:val="22"/>
        </w:rPr>
      </w:pPr>
    </w:p>
    <w:p w14:paraId="249662B8" w14:textId="77777777" w:rsidR="00C13C5F" w:rsidRDefault="0059492F">
      <w:pPr>
        <w:spacing w:after="0"/>
        <w:ind w:right="51"/>
        <w:rPr>
          <w:rFonts w:ascii="Arial" w:eastAsia="Arial" w:hAnsi="Arial" w:cs="Arial"/>
          <w:sz w:val="22"/>
          <w:szCs w:val="22"/>
        </w:rPr>
      </w:pPr>
      <w:r>
        <w:rPr>
          <w:rFonts w:ascii="Arial" w:eastAsia="Arial" w:hAnsi="Arial" w:cs="Arial"/>
          <w:sz w:val="22"/>
          <w:szCs w:val="22"/>
        </w:rPr>
        <w:t xml:space="preserve">En ejercicio de la competencia otorgada por el numeral 8 del artículo 11 y el numeral 5 del artículo 3 del Decreto Ley 4170 de 2011, la Agencia Nacional de Contratación Pública – Colombia Compra Eficiente responde la consulta radicada el 24 de noviembre de 2021. </w:t>
      </w:r>
    </w:p>
    <w:p w14:paraId="3855E052" w14:textId="77777777" w:rsidR="00C13C5F" w:rsidRDefault="00C13C5F">
      <w:pPr>
        <w:spacing w:after="0"/>
        <w:rPr>
          <w:rFonts w:ascii="Arial" w:eastAsia="Arial" w:hAnsi="Arial" w:cs="Arial"/>
          <w:sz w:val="22"/>
          <w:szCs w:val="22"/>
        </w:rPr>
      </w:pPr>
    </w:p>
    <w:p w14:paraId="518B7B76" w14:textId="77777777" w:rsidR="00C13C5F" w:rsidRDefault="0059492F">
      <w:pPr>
        <w:tabs>
          <w:tab w:val="left" w:pos="284"/>
        </w:tabs>
        <w:spacing w:after="0"/>
        <w:rPr>
          <w:rFonts w:ascii="Arial" w:eastAsia="Arial" w:hAnsi="Arial" w:cs="Arial"/>
          <w:b/>
          <w:sz w:val="22"/>
          <w:szCs w:val="22"/>
        </w:rPr>
      </w:pPr>
      <w:r>
        <w:rPr>
          <w:rFonts w:ascii="Arial" w:eastAsia="Arial" w:hAnsi="Arial" w:cs="Arial"/>
          <w:b/>
          <w:sz w:val="22"/>
          <w:szCs w:val="22"/>
        </w:rPr>
        <w:t xml:space="preserve">1. Problema planteado </w:t>
      </w:r>
    </w:p>
    <w:p w14:paraId="6F0C3741" w14:textId="77777777" w:rsidR="00C13C5F" w:rsidRDefault="00C13C5F">
      <w:pPr>
        <w:pBdr>
          <w:top w:val="nil"/>
          <w:left w:val="nil"/>
          <w:bottom w:val="nil"/>
          <w:right w:val="nil"/>
          <w:between w:val="nil"/>
        </w:pBdr>
        <w:tabs>
          <w:tab w:val="left" w:pos="284"/>
        </w:tabs>
        <w:spacing w:after="0"/>
        <w:ind w:firstLine="709"/>
        <w:rPr>
          <w:rFonts w:ascii="Arial" w:eastAsia="Arial" w:hAnsi="Arial" w:cs="Arial"/>
          <w:b/>
          <w:color w:val="000000"/>
          <w:sz w:val="22"/>
          <w:szCs w:val="22"/>
        </w:rPr>
      </w:pPr>
    </w:p>
    <w:p w14:paraId="42B0AD34" w14:textId="77777777" w:rsidR="00C13C5F" w:rsidRDefault="0059492F">
      <w:pPr>
        <w:pBdr>
          <w:top w:val="nil"/>
          <w:left w:val="nil"/>
          <w:bottom w:val="nil"/>
          <w:right w:val="nil"/>
          <w:between w:val="nil"/>
        </w:pBdr>
        <w:spacing w:line="240" w:lineRule="auto"/>
        <w:rPr>
          <w:rFonts w:ascii="Arial" w:eastAsia="Arial" w:hAnsi="Arial" w:cs="Arial"/>
          <w:color w:val="000000"/>
          <w:sz w:val="22"/>
          <w:szCs w:val="22"/>
        </w:rPr>
      </w:pPr>
      <w:bookmarkStart w:id="8" w:name="_4d34og8" w:colFirst="0" w:colLast="0"/>
      <w:bookmarkEnd w:id="8"/>
      <w:r w:rsidRPr="002760E2">
        <w:rPr>
          <w:rFonts w:ascii="Arial" w:eastAsia="Arial" w:hAnsi="Arial" w:cs="Arial"/>
          <w:color w:val="000000"/>
          <w:sz w:val="22"/>
          <w:szCs w:val="22"/>
        </w:rPr>
        <w:lastRenderedPageBreak/>
        <w:t xml:space="preserve">Usted realiza la siguiente pregunta: </w:t>
      </w:r>
      <w:r>
        <w:rPr>
          <w:rFonts w:ascii="Arial" w:eastAsia="Arial" w:hAnsi="Arial" w:cs="Arial"/>
          <w:color w:val="000000"/>
          <w:sz w:val="22"/>
          <w:szCs w:val="22"/>
        </w:rPr>
        <w:t xml:space="preserve">«¿La ley de garantías es aplicable a los contratos de </w:t>
      </w:r>
      <w:proofErr w:type="spellStart"/>
      <w:r>
        <w:rPr>
          <w:rFonts w:ascii="Arial" w:eastAsia="Arial" w:hAnsi="Arial" w:cs="Arial"/>
          <w:color w:val="000000"/>
          <w:sz w:val="22"/>
          <w:szCs w:val="22"/>
        </w:rPr>
        <w:t>recuperación</w:t>
      </w:r>
      <w:proofErr w:type="spellEnd"/>
      <w:r>
        <w:rPr>
          <w:rFonts w:ascii="Arial" w:eastAsia="Arial" w:hAnsi="Arial" w:cs="Arial"/>
          <w:color w:val="000000"/>
          <w:sz w:val="22"/>
          <w:szCs w:val="22"/>
        </w:rPr>
        <w:t xml:space="preserve"> contingente contemplados en el </w:t>
      </w:r>
      <w:proofErr w:type="spellStart"/>
      <w:r>
        <w:rPr>
          <w:rFonts w:ascii="Arial" w:eastAsia="Arial" w:hAnsi="Arial" w:cs="Arial"/>
          <w:color w:val="000000"/>
          <w:sz w:val="22"/>
          <w:szCs w:val="22"/>
        </w:rPr>
        <w:t>artículo</w:t>
      </w:r>
      <w:proofErr w:type="spellEnd"/>
      <w:r>
        <w:rPr>
          <w:rFonts w:ascii="Arial" w:eastAsia="Arial" w:hAnsi="Arial" w:cs="Arial"/>
          <w:color w:val="000000"/>
          <w:sz w:val="22"/>
          <w:szCs w:val="22"/>
        </w:rPr>
        <w:t xml:space="preserve"> 8 del Decreto 591 de 1991?» </w:t>
      </w:r>
    </w:p>
    <w:p w14:paraId="0EF16FA5" w14:textId="77777777" w:rsidR="00C13C5F" w:rsidRDefault="0059492F">
      <w:pPr>
        <w:tabs>
          <w:tab w:val="left" w:pos="284"/>
        </w:tabs>
        <w:spacing w:after="0"/>
        <w:rPr>
          <w:rFonts w:ascii="Arial" w:eastAsia="Arial" w:hAnsi="Arial" w:cs="Arial"/>
          <w:b/>
          <w:sz w:val="22"/>
          <w:szCs w:val="22"/>
        </w:rPr>
      </w:pPr>
      <w:r>
        <w:rPr>
          <w:rFonts w:ascii="Arial" w:eastAsia="Arial" w:hAnsi="Arial" w:cs="Arial"/>
          <w:b/>
          <w:sz w:val="22"/>
          <w:szCs w:val="22"/>
        </w:rPr>
        <w:t>2. Consideraciones</w:t>
      </w:r>
    </w:p>
    <w:p w14:paraId="5F54D8EB" w14:textId="77777777" w:rsidR="00C13C5F" w:rsidRDefault="00C13C5F">
      <w:pPr>
        <w:tabs>
          <w:tab w:val="left" w:pos="426"/>
        </w:tabs>
        <w:spacing w:after="0"/>
        <w:ind w:firstLine="709"/>
        <w:rPr>
          <w:rFonts w:ascii="Arial" w:eastAsia="Arial" w:hAnsi="Arial" w:cs="Arial"/>
          <w:sz w:val="22"/>
          <w:szCs w:val="22"/>
        </w:rPr>
      </w:pPr>
    </w:p>
    <w:p w14:paraId="55129041" w14:textId="3EF1537D" w:rsidR="00C13C5F" w:rsidRDefault="0059492F">
      <w:pPr>
        <w:tabs>
          <w:tab w:val="left" w:pos="426"/>
        </w:tabs>
        <w:spacing w:after="120"/>
        <w:rPr>
          <w:rFonts w:ascii="Arial" w:eastAsia="Arial" w:hAnsi="Arial" w:cs="Arial"/>
          <w:sz w:val="22"/>
          <w:szCs w:val="22"/>
        </w:rPr>
      </w:pPr>
      <w:r>
        <w:rPr>
          <w:rFonts w:ascii="Arial" w:eastAsia="Arial" w:hAnsi="Arial" w:cs="Arial"/>
          <w:sz w:val="22"/>
          <w:szCs w:val="22"/>
        </w:rPr>
        <w:t>Para resolver el problema planteado la Agencia analizará</w:t>
      </w:r>
      <w:r>
        <w:rPr>
          <w:rFonts w:ascii="Arial" w:eastAsia="Arial" w:hAnsi="Arial" w:cs="Arial"/>
          <w:color w:val="000000"/>
          <w:sz w:val="22"/>
          <w:szCs w:val="22"/>
        </w:rPr>
        <w:t xml:space="preserve"> los siguientes temas:</w:t>
      </w:r>
      <w:r>
        <w:rPr>
          <w:rFonts w:ascii="Arial" w:eastAsia="Arial" w:hAnsi="Arial" w:cs="Arial"/>
          <w:sz w:val="22"/>
          <w:szCs w:val="22"/>
        </w:rPr>
        <w:t xml:space="preserve"> i) definición y finalidad de la Ley de Garantías Electorales, </w:t>
      </w:r>
      <w:proofErr w:type="spellStart"/>
      <w:r>
        <w:rPr>
          <w:rFonts w:ascii="Arial" w:eastAsia="Arial" w:hAnsi="Arial" w:cs="Arial"/>
          <w:sz w:val="22"/>
          <w:szCs w:val="22"/>
        </w:rPr>
        <w:t>ii</w:t>
      </w:r>
      <w:proofErr w:type="spellEnd"/>
      <w:r>
        <w:rPr>
          <w:rFonts w:ascii="Arial" w:eastAsia="Arial" w:hAnsi="Arial" w:cs="Arial"/>
          <w:sz w:val="22"/>
          <w:szCs w:val="22"/>
        </w:rPr>
        <w:t xml:space="preserve">) restricciones para elecciones presidenciales, </w:t>
      </w:r>
      <w:proofErr w:type="spellStart"/>
      <w:r>
        <w:rPr>
          <w:rFonts w:ascii="Arial" w:eastAsia="Arial" w:hAnsi="Arial" w:cs="Arial"/>
          <w:sz w:val="22"/>
          <w:szCs w:val="22"/>
        </w:rPr>
        <w:t>iii</w:t>
      </w:r>
      <w:proofErr w:type="spellEnd"/>
      <w:r>
        <w:rPr>
          <w:rFonts w:ascii="Arial" w:eastAsia="Arial" w:hAnsi="Arial" w:cs="Arial"/>
          <w:sz w:val="22"/>
          <w:szCs w:val="22"/>
        </w:rPr>
        <w:t xml:space="preserve">) destinatarios de la prohibición del artículo 33 de la Ley 996 de 2005 y </w:t>
      </w:r>
      <w:proofErr w:type="spellStart"/>
      <w:r>
        <w:rPr>
          <w:rFonts w:ascii="Arial" w:eastAsia="Arial" w:hAnsi="Arial" w:cs="Arial"/>
          <w:sz w:val="22"/>
          <w:szCs w:val="22"/>
        </w:rPr>
        <w:t>iv</w:t>
      </w:r>
      <w:proofErr w:type="spellEnd"/>
      <w:r>
        <w:rPr>
          <w:rFonts w:ascii="Arial" w:eastAsia="Arial" w:hAnsi="Arial" w:cs="Arial"/>
          <w:sz w:val="22"/>
          <w:szCs w:val="22"/>
        </w:rPr>
        <w:t xml:space="preserve">) la regulación de los contratos de financiamiento para actividades de ciencia y tecnología regulados en el artículo 8 del Decreto 591 de 1991. </w:t>
      </w:r>
    </w:p>
    <w:p w14:paraId="4434E222" w14:textId="77777777" w:rsidR="00C13C5F" w:rsidRDefault="0059492F">
      <w:pPr>
        <w:tabs>
          <w:tab w:val="left" w:pos="426"/>
        </w:tabs>
        <w:spacing w:after="0"/>
        <w:rPr>
          <w:rFonts w:ascii="Arial" w:eastAsia="Arial" w:hAnsi="Arial" w:cs="Arial"/>
          <w:sz w:val="22"/>
          <w:szCs w:val="22"/>
        </w:rPr>
      </w:pPr>
      <w:r>
        <w:rPr>
          <w:rFonts w:ascii="Arial" w:eastAsia="Arial" w:hAnsi="Arial" w:cs="Arial"/>
          <w:sz w:val="22"/>
          <w:szCs w:val="22"/>
        </w:rPr>
        <w:tab/>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C-074 del 17 de marzo de 2021, C-075 del 16 de marzo de 2021, C-227 de 2021 del 5 de mayo de 2021, C-259 del 2 de junio de 2021, C-296 del 22 de junio de 2021, C-337 del 13 de julio de 2021, C-350 del 16 de julio de 2021, C-352 del 27 de julio de 2021, C-374 del 16 de septiembre de 2021, C-381 del 2 de agosto de 2021, C-391 del 11 de agosto de 2021, C-396 del 13 de agosto de 2021, C-401 del 10 de agosto de 2021, C-413 del 17 de agosto de 2021, C-439  del 27 de agosto de 2021, C-456 del 3 de septiembre de 2021, C-481 del 98 de septiembre de 2021, C-495 del 15 de septiembre de 2021, C-497 del 15 de septiembre de 2021, C-499 del 15 de septiembre de 2021, C-523 del 10 de octubre de 2021, C-528 del 27 de septiembre de 2021, C-543 del 9 de noviembre de 2021, C-550 del 5 de octubre de 2021, C-557 del 7 de octubre de 2021, C-563 del 8 de octubre de 2021, C-606 del 3 de noviembre de 2021, C-614 del 2 de noviembre de 2021, C-633 del 11 de noviembre de 2021, C-634 del 11 de noviembre de 2021 y C-636 del 16 de noviembre de 2021. En el mismo sentido, </w:t>
      </w:r>
      <w:r>
        <w:rPr>
          <w:rFonts w:ascii="Arial" w:eastAsia="Arial" w:hAnsi="Arial" w:cs="Arial"/>
          <w:color w:val="000000"/>
          <w:sz w:val="22"/>
          <w:szCs w:val="22"/>
        </w:rPr>
        <w:t>en el concepto con C-066 del 3 de marzo de 2020, reiterado y desarrollado en los conceptos C-084 del 11 de marzo de 2020 y C-236 del 6 de abril de 2020 la Agencia estudió las actividades de ciencia, tecnología e innovación y los contratos y convenios para contratarlas.</w:t>
      </w:r>
      <w:r>
        <w:rPr>
          <w:rFonts w:ascii="Arial" w:eastAsia="Arial" w:hAnsi="Arial" w:cs="Arial"/>
          <w:sz w:val="22"/>
          <w:szCs w:val="22"/>
        </w:rPr>
        <w:t xml:space="preserve"> Las tesis desarrolladas en estos conceptos se reiteran y complementan a continuación:</w:t>
      </w:r>
    </w:p>
    <w:p w14:paraId="3BD407FF" w14:textId="77777777" w:rsidR="00C13C5F" w:rsidRDefault="00C13C5F">
      <w:pPr>
        <w:tabs>
          <w:tab w:val="left" w:pos="426"/>
        </w:tabs>
        <w:spacing w:after="0"/>
        <w:ind w:firstLine="709"/>
        <w:rPr>
          <w:rFonts w:ascii="Arial" w:eastAsia="Arial" w:hAnsi="Arial" w:cs="Arial"/>
          <w:b/>
          <w:sz w:val="22"/>
          <w:szCs w:val="22"/>
        </w:rPr>
      </w:pPr>
    </w:p>
    <w:p w14:paraId="50438CB7" w14:textId="77777777" w:rsidR="00C13C5F" w:rsidRDefault="0059492F">
      <w:pPr>
        <w:tabs>
          <w:tab w:val="left" w:pos="426"/>
        </w:tabs>
        <w:spacing w:after="0"/>
        <w:rPr>
          <w:rFonts w:ascii="Arial" w:eastAsia="Arial" w:hAnsi="Arial" w:cs="Arial"/>
          <w:b/>
          <w:sz w:val="22"/>
          <w:szCs w:val="22"/>
        </w:rPr>
      </w:pPr>
      <w:r>
        <w:rPr>
          <w:rFonts w:ascii="Arial" w:eastAsia="Arial" w:hAnsi="Arial" w:cs="Arial"/>
          <w:b/>
          <w:sz w:val="22"/>
          <w:szCs w:val="22"/>
        </w:rPr>
        <w:t>2.1. Definición y finalidad de la Ley de Garantías Electorales: alcance de las restricciones</w:t>
      </w:r>
    </w:p>
    <w:p w14:paraId="4A7A2278" w14:textId="77777777" w:rsidR="00C13C5F" w:rsidRDefault="00C13C5F">
      <w:pPr>
        <w:tabs>
          <w:tab w:val="left" w:pos="426"/>
        </w:tabs>
        <w:spacing w:after="0"/>
        <w:ind w:firstLine="709"/>
        <w:rPr>
          <w:rFonts w:ascii="Arial" w:eastAsia="Arial" w:hAnsi="Arial" w:cs="Arial"/>
          <w:sz w:val="22"/>
          <w:szCs w:val="22"/>
        </w:rPr>
      </w:pPr>
    </w:p>
    <w:p w14:paraId="4A893534" w14:textId="77777777" w:rsidR="00C13C5F" w:rsidRDefault="0059492F">
      <w:pPr>
        <w:tabs>
          <w:tab w:val="left" w:pos="426"/>
        </w:tabs>
        <w:spacing w:after="120"/>
        <w:rPr>
          <w:rFonts w:ascii="Arial" w:eastAsia="Arial" w:hAnsi="Arial" w:cs="Arial"/>
          <w:sz w:val="22"/>
          <w:szCs w:val="22"/>
        </w:rPr>
      </w:pPr>
      <w:r>
        <w:rPr>
          <w:rFonts w:ascii="Arial" w:eastAsia="Arial" w:hAnsi="Arial" w:cs="Arial"/>
          <w:sz w:val="22"/>
          <w:szCs w:val="22"/>
        </w:rPr>
        <w:t>El ordenamiento jurídico colombiano contempla previsiones claras para evitar la obtención de beneficios personales en asuntos propios de la administración pública</w:t>
      </w:r>
      <w:r>
        <w:rPr>
          <w:rFonts w:ascii="Arial" w:eastAsia="Arial" w:hAnsi="Arial" w:cs="Arial"/>
          <w:i/>
          <w:sz w:val="22"/>
          <w:szCs w:val="22"/>
        </w:rPr>
        <w:t xml:space="preserve">. </w:t>
      </w:r>
      <w:r>
        <w:rPr>
          <w:rFonts w:ascii="Arial" w:eastAsia="Arial" w:hAnsi="Arial" w:cs="Arial"/>
          <w:sz w:val="22"/>
          <w:szCs w:val="22"/>
        </w:rPr>
        <w:t xml:space="preserve">Por ejemplo, el </w:t>
      </w:r>
      <w:r>
        <w:rPr>
          <w:rFonts w:ascii="Arial" w:eastAsia="Arial" w:hAnsi="Arial" w:cs="Arial"/>
          <w:sz w:val="22"/>
          <w:szCs w:val="22"/>
        </w:rPr>
        <w:lastRenderedPageBreak/>
        <w:t>artículo 127 de la Constitución Política establece una prohibición contractual a los servidores públicos y en cuanto a aspectos políticos establece restricciones a ciertos empleados del Estado, incluso en época no electoral</w:t>
      </w:r>
      <w:r>
        <w:rPr>
          <w:rFonts w:ascii="Arial" w:eastAsia="Arial" w:hAnsi="Arial" w:cs="Arial"/>
          <w:sz w:val="22"/>
          <w:szCs w:val="22"/>
          <w:vertAlign w:val="superscript"/>
        </w:rPr>
        <w:footnoteReference w:id="1"/>
      </w:r>
      <w:r>
        <w:rPr>
          <w:rFonts w:ascii="Arial" w:eastAsia="Arial" w:hAnsi="Arial" w:cs="Arial"/>
          <w:sz w:val="22"/>
          <w:szCs w:val="22"/>
        </w:rPr>
        <w:t xml:space="preserve">. </w:t>
      </w:r>
    </w:p>
    <w:p w14:paraId="0CCADD0B" w14:textId="77777777" w:rsidR="00C13C5F" w:rsidRDefault="0059492F">
      <w:pPr>
        <w:tabs>
          <w:tab w:val="left" w:pos="426"/>
        </w:tabs>
        <w:spacing w:after="0"/>
        <w:ind w:firstLine="709"/>
        <w:rPr>
          <w:rFonts w:ascii="Arial" w:eastAsia="Arial" w:hAnsi="Arial" w:cs="Arial"/>
          <w:sz w:val="22"/>
          <w:szCs w:val="22"/>
        </w:rPr>
      </w:pPr>
      <w:r>
        <w:rPr>
          <w:rFonts w:ascii="Arial" w:eastAsia="Arial" w:hAnsi="Arial" w:cs="Arial"/>
          <w:sz w:val="22"/>
          <w:szCs w:val="22"/>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Pr>
          <w:rFonts w:ascii="Arial" w:eastAsia="Arial" w:hAnsi="Arial" w:cs="Arial"/>
          <w:sz w:val="22"/>
          <w:szCs w:val="22"/>
          <w:vertAlign w:val="superscript"/>
        </w:rPr>
        <w:footnoteReference w:id="2"/>
      </w:r>
      <w:r>
        <w:rPr>
          <w:rFonts w:ascii="Arial" w:eastAsia="Arial" w:hAnsi="Arial" w:cs="Arial"/>
          <w:sz w:val="22"/>
          <w:szCs w:val="22"/>
        </w:rPr>
        <w:t>.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 De esta manera, explica que tiene como propósito:</w:t>
      </w:r>
    </w:p>
    <w:p w14:paraId="5D8E979B" w14:textId="77777777" w:rsidR="00C13C5F" w:rsidRDefault="00C13C5F">
      <w:pPr>
        <w:spacing w:after="0"/>
        <w:ind w:right="709"/>
        <w:rPr>
          <w:rFonts w:ascii="Arial" w:eastAsia="Arial" w:hAnsi="Arial" w:cs="Arial"/>
          <w:sz w:val="21"/>
          <w:szCs w:val="21"/>
        </w:rPr>
      </w:pPr>
    </w:p>
    <w:p w14:paraId="425B0062" w14:textId="77777777" w:rsidR="00C13C5F" w:rsidRDefault="0059492F">
      <w:pPr>
        <w:spacing w:after="0" w:line="240" w:lineRule="auto"/>
        <w:ind w:left="709" w:right="709"/>
      </w:pPr>
      <w:r>
        <w:rPr>
          <w:rFonts w:ascii="Arial" w:eastAsia="Arial" w:hAnsi="Arial" w:cs="Arial"/>
          <w:sz w:val="21"/>
          <w:szCs w:val="21"/>
        </w:rPr>
        <w:t>[…] la definición de reglas claras que permitan acceder a los canales de expresión democrática de manera efectiva e igualitaria. El objetivo de una ley de garantías es definir esas reglas.</w:t>
      </w:r>
    </w:p>
    <w:p w14:paraId="382A78BB" w14:textId="77777777" w:rsidR="00C13C5F" w:rsidRDefault="0059492F">
      <w:pPr>
        <w:spacing w:after="120" w:line="240" w:lineRule="auto"/>
        <w:ind w:left="709" w:right="709"/>
      </w:pPr>
      <w:r>
        <w:rPr>
          <w:rFonts w:ascii="Arial" w:eastAsia="Arial" w:hAnsi="Arial" w:cs="Arial"/>
          <w:sz w:val="21"/>
          <w:szCs w:val="21"/>
        </w:rPr>
        <w:t xml:space="preserve">[…] </w:t>
      </w:r>
    </w:p>
    <w:p w14:paraId="50668290" w14:textId="77777777" w:rsidR="00C13C5F" w:rsidRDefault="0059492F">
      <w:pPr>
        <w:spacing w:after="0" w:line="240" w:lineRule="auto"/>
        <w:ind w:left="709" w:right="709"/>
      </w:pPr>
      <w:r>
        <w:rPr>
          <w:rFonts w:ascii="Arial" w:eastAsia="Arial" w:hAnsi="Arial" w:cs="Arial"/>
          <w:sz w:val="21"/>
          <w:szCs w:val="21"/>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Pr>
          <w:rFonts w:ascii="Arial" w:eastAsia="Arial" w:hAnsi="Arial" w:cs="Arial"/>
          <w:sz w:val="20"/>
          <w:szCs w:val="20"/>
          <w:vertAlign w:val="superscript"/>
        </w:rPr>
        <w:footnoteReference w:id="3"/>
      </w:r>
    </w:p>
    <w:p w14:paraId="07ABA5FB" w14:textId="77777777" w:rsidR="00C13C5F" w:rsidRDefault="00C13C5F">
      <w:pPr>
        <w:spacing w:after="0"/>
        <w:ind w:left="709" w:right="709"/>
        <w:rPr>
          <w:rFonts w:ascii="Arial" w:eastAsia="Arial" w:hAnsi="Arial" w:cs="Arial"/>
          <w:sz w:val="21"/>
          <w:szCs w:val="21"/>
        </w:rPr>
      </w:pPr>
    </w:p>
    <w:p w14:paraId="5F0B5597" w14:textId="77777777" w:rsidR="00C13C5F" w:rsidRDefault="0059492F">
      <w:pPr>
        <w:spacing w:after="0"/>
        <w:ind w:firstLine="709"/>
        <w:rPr>
          <w:rFonts w:ascii="Arial" w:eastAsia="Arial" w:hAnsi="Arial" w:cs="Arial"/>
          <w:sz w:val="22"/>
          <w:szCs w:val="22"/>
        </w:rPr>
      </w:pPr>
      <w:bookmarkStart w:id="9" w:name="_2s8eyo1" w:colFirst="0" w:colLast="0"/>
      <w:bookmarkEnd w:id="9"/>
      <w:r>
        <w:rPr>
          <w:rFonts w:ascii="Arial" w:eastAsia="Arial" w:hAnsi="Arial" w:cs="Arial"/>
          <w:sz w:val="22"/>
          <w:szCs w:val="22"/>
        </w:rPr>
        <w:t xml:space="preserve">En este contexto, la Ley de Garantías Electorales establece el marco jurídico para el desarrollo de las elecciones, procurando condiciones de igualdad y transparencia para los aspirantes y paralelamente se incluyen restricciones en el actuar de los servidores </w:t>
      </w:r>
      <w:r>
        <w:rPr>
          <w:rFonts w:ascii="Arial" w:eastAsia="Arial" w:hAnsi="Arial" w:cs="Arial"/>
          <w:sz w:val="22"/>
          <w:szCs w:val="22"/>
        </w:rPr>
        <w:lastRenderedPageBreak/>
        <w:t>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50DF5FAA" w14:textId="77777777" w:rsidR="00C13C5F" w:rsidRDefault="00C13C5F">
      <w:pPr>
        <w:spacing w:after="0"/>
        <w:ind w:firstLine="709"/>
        <w:rPr>
          <w:rFonts w:ascii="Arial" w:eastAsia="Arial" w:hAnsi="Arial" w:cs="Arial"/>
          <w:sz w:val="22"/>
          <w:szCs w:val="22"/>
        </w:rPr>
      </w:pPr>
    </w:p>
    <w:p w14:paraId="2465E67C" w14:textId="77777777" w:rsidR="00C13C5F" w:rsidRDefault="0059492F">
      <w:pPr>
        <w:spacing w:after="120" w:line="240" w:lineRule="auto"/>
        <w:ind w:left="709" w:right="709"/>
      </w:pPr>
      <w:r>
        <w:rPr>
          <w:rFonts w:ascii="Arial" w:eastAsia="Arial" w:hAnsi="Arial" w:cs="Arial"/>
          <w:sz w:val="21"/>
          <w:szCs w:val="21"/>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Pr>
          <w:rFonts w:ascii="Arial" w:eastAsia="Arial" w:hAnsi="Arial" w:cs="Arial"/>
          <w:sz w:val="21"/>
          <w:szCs w:val="21"/>
        </w:rPr>
        <w:t>legis</w:t>
      </w:r>
      <w:proofErr w:type="spellEnd"/>
      <w:r>
        <w:rPr>
          <w:rFonts w:ascii="Arial" w:eastAsia="Arial" w:hAnsi="Arial" w:cs="Arial"/>
          <w:sz w:val="21"/>
          <w:szCs w:val="21"/>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7447E1D5" w14:textId="77777777" w:rsidR="00C13C5F" w:rsidRDefault="0059492F">
      <w:pPr>
        <w:spacing w:after="0" w:line="240" w:lineRule="auto"/>
        <w:ind w:left="709" w:right="709"/>
      </w:pPr>
      <w:r>
        <w:rPr>
          <w:rFonts w:ascii="Arial" w:eastAsia="Arial" w:hAnsi="Arial" w:cs="Arial"/>
          <w:sz w:val="21"/>
          <w:szCs w:val="21"/>
        </w:rPr>
        <w:t>La jurisprudencia de la Corte Constitucional</w:t>
      </w:r>
      <w:r>
        <w:rPr>
          <w:rFonts w:ascii="Arial" w:eastAsia="Arial" w:hAnsi="Arial" w:cs="Arial"/>
          <w:sz w:val="21"/>
          <w:szCs w:val="21"/>
          <w:vertAlign w:val="superscript"/>
        </w:rPr>
        <w:footnoteReference w:id="4"/>
      </w:r>
      <w:r>
        <w:rPr>
          <w:rFonts w:ascii="Arial" w:eastAsia="Arial" w:hAnsi="Arial" w:cs="Arial"/>
          <w:sz w:val="21"/>
          <w:szCs w:val="21"/>
        </w:rPr>
        <w:t> y del Consejo de Estado</w:t>
      </w:r>
      <w:r>
        <w:rPr>
          <w:rFonts w:ascii="Arial" w:eastAsia="Arial" w:hAnsi="Arial" w:cs="Arial"/>
          <w:sz w:val="21"/>
          <w:szCs w:val="21"/>
          <w:vertAlign w:val="superscript"/>
        </w:rPr>
        <w:footnoteReference w:id="5"/>
      </w:r>
      <w:r>
        <w:rPr>
          <w:rFonts w:ascii="Arial" w:eastAsia="Arial" w:hAnsi="Arial" w:cs="Arial"/>
          <w:sz w:val="21"/>
          <w:szCs w:val="21"/>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Pr>
          <w:rFonts w:ascii="Arial" w:eastAsia="Arial" w:hAnsi="Arial" w:cs="Arial"/>
          <w:sz w:val="22"/>
          <w:szCs w:val="22"/>
          <w:vertAlign w:val="superscript"/>
        </w:rPr>
        <w:footnoteReference w:id="6"/>
      </w:r>
      <w:r>
        <w:rPr>
          <w:rFonts w:ascii="Arial" w:eastAsia="Arial" w:hAnsi="Arial" w:cs="Arial"/>
          <w:sz w:val="21"/>
          <w:szCs w:val="21"/>
        </w:rPr>
        <w:t>.</w:t>
      </w:r>
    </w:p>
    <w:p w14:paraId="04AFB0D4" w14:textId="77777777" w:rsidR="00C13C5F" w:rsidRDefault="00C13C5F">
      <w:pPr>
        <w:spacing w:after="0"/>
        <w:ind w:right="709"/>
        <w:rPr>
          <w:rFonts w:ascii="Arial" w:eastAsia="Arial" w:hAnsi="Arial" w:cs="Arial"/>
          <w:sz w:val="21"/>
          <w:szCs w:val="21"/>
        </w:rPr>
      </w:pPr>
    </w:p>
    <w:p w14:paraId="631F5FA6" w14:textId="77777777" w:rsidR="00C13C5F" w:rsidRDefault="0059492F">
      <w:pPr>
        <w:spacing w:after="120"/>
        <w:rPr>
          <w:rFonts w:ascii="Arial" w:eastAsia="Arial" w:hAnsi="Arial" w:cs="Arial"/>
          <w:sz w:val="22"/>
          <w:szCs w:val="22"/>
        </w:rPr>
      </w:pPr>
      <w:bookmarkStart w:id="10" w:name="_17dp8vu" w:colFirst="0" w:colLast="0"/>
      <w:bookmarkEnd w:id="10"/>
      <w:r>
        <w:rPr>
          <w:rFonts w:ascii="Arial" w:eastAsia="Arial" w:hAnsi="Arial" w:cs="Arial"/>
          <w:sz w:val="22"/>
          <w:szCs w:val="22"/>
        </w:rPr>
        <w:tab/>
        <w:t xml:space="preserve">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tipos de campañas electorales claramente diferenciadas: las presidenciales y las </w:t>
      </w:r>
      <w:r>
        <w:rPr>
          <w:rFonts w:ascii="Arial" w:eastAsia="Arial" w:hAnsi="Arial" w:cs="Arial"/>
          <w:sz w:val="22"/>
          <w:szCs w:val="22"/>
        </w:rPr>
        <w:lastRenderedPageBreak/>
        <w:t>demás que se adelanten para la elección de los demás cargos de elección popular, tanto a nivel nacional como a nivel territorial.</w:t>
      </w:r>
    </w:p>
    <w:p w14:paraId="45A54AB5" w14:textId="77777777" w:rsidR="00C13C5F" w:rsidRDefault="0059492F">
      <w:pPr>
        <w:spacing w:after="120"/>
        <w:ind w:firstLine="708"/>
        <w:rPr>
          <w:rFonts w:ascii="Arial" w:eastAsia="Arial" w:hAnsi="Arial" w:cs="Arial"/>
          <w:sz w:val="22"/>
          <w:szCs w:val="22"/>
        </w:rPr>
      </w:pPr>
      <w:r>
        <w:rPr>
          <w:rFonts w:ascii="Arial" w:eastAsia="Arial" w:hAnsi="Arial" w:cs="Arial"/>
          <w:sz w:val="22"/>
          <w:szCs w:val="22"/>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Pr>
          <w:rFonts w:ascii="Arial" w:eastAsia="Arial" w:hAnsi="Arial" w:cs="Arial"/>
          <w:sz w:val="22"/>
          <w:szCs w:val="22"/>
          <w:vertAlign w:val="superscript"/>
        </w:rPr>
        <w:footnoteReference w:id="7"/>
      </w:r>
      <w:r>
        <w:rPr>
          <w:rFonts w:ascii="Arial" w:eastAsia="Arial" w:hAnsi="Arial" w:cs="Arial"/>
          <w:sz w:val="22"/>
          <w:szCs w:val="22"/>
        </w:rPr>
        <w:t>.</w:t>
      </w:r>
    </w:p>
    <w:p w14:paraId="712FCEB4" w14:textId="4B1CA5C5" w:rsidR="00C13C5F" w:rsidRDefault="0059492F">
      <w:pPr>
        <w:widowControl w:val="0"/>
        <w:spacing w:after="0"/>
        <w:ind w:right="113" w:firstLine="708"/>
        <w:rPr>
          <w:rFonts w:ascii="Arial" w:eastAsia="Arial" w:hAnsi="Arial" w:cs="Arial"/>
          <w:sz w:val="22"/>
          <w:szCs w:val="22"/>
        </w:rPr>
      </w:pPr>
      <w:r>
        <w:rPr>
          <w:rFonts w:ascii="Arial" w:eastAsia="Arial" w:hAnsi="Arial" w:cs="Arial"/>
          <w:sz w:val="22"/>
          <w:szCs w:val="22"/>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Pr>
          <w:rFonts w:ascii="Arial" w:eastAsia="Arial" w:hAnsi="Arial" w:cs="Arial"/>
          <w:sz w:val="19"/>
          <w:szCs w:val="19"/>
        </w:rPr>
        <w:t>»</w:t>
      </w:r>
      <w:r>
        <w:rPr>
          <w:rFonts w:ascii="Arial" w:eastAsia="Arial" w:hAnsi="Arial" w:cs="Arial"/>
          <w:sz w:val="19"/>
          <w:szCs w:val="19"/>
          <w:vertAlign w:val="superscript"/>
        </w:rPr>
        <w:footnoteReference w:id="8"/>
      </w:r>
      <w:r>
        <w:rPr>
          <w:rFonts w:ascii="Arial" w:eastAsia="Arial" w:hAnsi="Arial" w:cs="Arial"/>
          <w:sz w:val="22"/>
          <w:szCs w:val="22"/>
        </w:rPr>
        <w:t>. La Sala de Consulta y Servicio Civil del Consejo de Estado ha aclarado la distinción en la aplicación de las prohibiciones de la Ley 996 de 2005, dependiendo del tipo de elección que se trate. Al respecto, considera que:</w:t>
      </w:r>
    </w:p>
    <w:p w14:paraId="5219BE22" w14:textId="77777777" w:rsidR="00C13C5F" w:rsidRDefault="00C13C5F">
      <w:pPr>
        <w:widowControl w:val="0"/>
        <w:spacing w:after="0"/>
        <w:ind w:left="805" w:right="812"/>
        <w:rPr>
          <w:rFonts w:ascii="Arial" w:eastAsia="Arial" w:hAnsi="Arial" w:cs="Arial"/>
          <w:sz w:val="22"/>
          <w:szCs w:val="22"/>
        </w:rPr>
      </w:pPr>
    </w:p>
    <w:p w14:paraId="40A00A2C" w14:textId="77777777" w:rsidR="00C13C5F" w:rsidRDefault="0059492F">
      <w:pPr>
        <w:widowControl w:val="0"/>
        <w:spacing w:after="0" w:line="240" w:lineRule="auto"/>
        <w:ind w:left="709" w:right="709"/>
      </w:pPr>
      <w:bookmarkStart w:id="13" w:name="_3rdcrjn" w:colFirst="0" w:colLast="0"/>
      <w:bookmarkEnd w:id="13"/>
      <w:r>
        <w:rPr>
          <w:rFonts w:ascii="Arial" w:eastAsia="Arial" w:hAnsi="Arial" w:cs="Arial"/>
          <w:sz w:val="21"/>
          <w:szCs w:val="21"/>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w:t>
      </w:r>
      <w:r>
        <w:rPr>
          <w:rFonts w:ascii="Arial" w:eastAsia="Arial" w:hAnsi="Arial" w:cs="Arial"/>
          <w:sz w:val="21"/>
          <w:szCs w:val="21"/>
        </w:rPr>
        <w:lastRenderedPageBreak/>
        <w:t xml:space="preserve">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w:t>
      </w:r>
      <w:proofErr w:type="gramStart"/>
      <w:r>
        <w:rPr>
          <w:rFonts w:ascii="Arial" w:eastAsia="Arial" w:hAnsi="Arial" w:cs="Arial"/>
          <w:sz w:val="21"/>
          <w:szCs w:val="21"/>
        </w:rPr>
        <w:t>Presidente</w:t>
      </w:r>
      <w:proofErr w:type="gramEnd"/>
      <w:r>
        <w:rPr>
          <w:rFonts w:ascii="Arial" w:eastAsia="Arial" w:hAnsi="Arial" w:cs="Arial"/>
          <w:sz w:val="21"/>
          <w:szCs w:val="21"/>
        </w:rPr>
        <w:t xml:space="preserve"> de la República, a las autoridades territoriales allí mencionadas sólo se aplican las restricciones contenidas en el parágrafo del artículo 38.</w:t>
      </w:r>
      <w:r>
        <w:rPr>
          <w:rFonts w:ascii="Arial" w:eastAsia="Arial" w:hAnsi="Arial" w:cs="Arial"/>
          <w:sz w:val="21"/>
          <w:szCs w:val="21"/>
          <w:vertAlign w:val="superscript"/>
        </w:rPr>
        <w:footnoteReference w:id="9"/>
      </w:r>
    </w:p>
    <w:p w14:paraId="56B3226F" w14:textId="77777777" w:rsidR="00C13C5F" w:rsidRDefault="00C13C5F">
      <w:pPr>
        <w:widowControl w:val="0"/>
        <w:spacing w:before="8" w:after="0"/>
        <w:jc w:val="left"/>
        <w:rPr>
          <w:rFonts w:ascii="Arial" w:eastAsia="Arial" w:hAnsi="Arial" w:cs="Arial"/>
          <w:sz w:val="22"/>
          <w:szCs w:val="22"/>
        </w:rPr>
      </w:pPr>
    </w:p>
    <w:p w14:paraId="313CDE1B" w14:textId="77777777" w:rsidR="00C13C5F" w:rsidRDefault="0059492F">
      <w:pPr>
        <w:spacing w:after="120"/>
        <w:ind w:firstLine="709"/>
        <w:rPr>
          <w:rFonts w:ascii="Arial" w:eastAsia="Arial" w:hAnsi="Arial" w:cs="Arial"/>
          <w:sz w:val="22"/>
          <w:szCs w:val="22"/>
        </w:rPr>
      </w:pPr>
      <w:bookmarkStart w:id="14" w:name="_26in1rg" w:colFirst="0" w:colLast="0"/>
      <w:bookmarkEnd w:id="14"/>
      <w:r>
        <w:rPr>
          <w:rFonts w:ascii="Arial" w:eastAsia="Arial" w:hAnsi="Arial" w:cs="Arial"/>
          <w:sz w:val="22"/>
          <w:szCs w:val="22"/>
        </w:rPr>
        <w:t xml:space="preserve">De conformidad con lo anterior, la Ley 996 de 2005 establece dos (2) tipos de restricciones en materia de contratación, las cuales coinciden parcialmente. </w:t>
      </w:r>
      <w:r>
        <w:rPr>
          <w:rFonts w:ascii="Arial" w:eastAsia="Arial" w:hAnsi="Arial" w:cs="Arial"/>
          <w:i/>
          <w:sz w:val="22"/>
          <w:szCs w:val="22"/>
        </w:rPr>
        <w:t>En primer lugar</w:t>
      </w:r>
      <w:r>
        <w:rPr>
          <w:rFonts w:ascii="Arial" w:eastAsia="Arial" w:hAnsi="Arial" w:cs="Arial"/>
          <w:sz w:val="22"/>
          <w:szCs w:val="22"/>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Pr>
          <w:rFonts w:ascii="Arial" w:eastAsia="Arial" w:hAnsi="Arial" w:cs="Arial"/>
          <w:i/>
          <w:sz w:val="22"/>
          <w:szCs w:val="22"/>
        </w:rPr>
        <w:t>En segundo lugar</w:t>
      </w:r>
      <w:r>
        <w:rPr>
          <w:rFonts w:ascii="Arial" w:eastAsia="Arial" w:hAnsi="Arial" w:cs="Arial"/>
          <w:sz w:val="22"/>
          <w:szCs w:val="22"/>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07218D3A" w14:textId="25105BB9" w:rsidR="00C13C5F" w:rsidRDefault="0059492F">
      <w:pPr>
        <w:spacing w:after="120"/>
        <w:ind w:firstLine="709"/>
        <w:rPr>
          <w:rFonts w:ascii="Arial" w:eastAsia="Arial" w:hAnsi="Arial" w:cs="Arial"/>
          <w:sz w:val="22"/>
          <w:szCs w:val="22"/>
        </w:rPr>
      </w:pPr>
      <w:r>
        <w:rPr>
          <w:rFonts w:ascii="Arial" w:eastAsia="Arial" w:hAnsi="Arial" w:cs="Arial"/>
          <w:sz w:val="22"/>
          <w:szCs w:val="22"/>
        </w:rPr>
        <w:t xml:space="preserve">Ambas restricciones no son excluyentes, lo que permite concluir que en el período preelectoral para elección de </w:t>
      </w:r>
      <w:proofErr w:type="gramStart"/>
      <w:r>
        <w:rPr>
          <w:rFonts w:ascii="Arial" w:eastAsia="Arial" w:hAnsi="Arial" w:cs="Arial"/>
          <w:sz w:val="22"/>
          <w:szCs w:val="22"/>
        </w:rPr>
        <w:t>Presidente</w:t>
      </w:r>
      <w:proofErr w:type="gramEnd"/>
      <w:r>
        <w:rPr>
          <w:rFonts w:ascii="Arial" w:eastAsia="Arial" w:hAnsi="Arial" w:cs="Arial"/>
          <w:sz w:val="22"/>
          <w:szCs w:val="22"/>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Pr>
          <w:rFonts w:ascii="Arial" w:eastAsia="Arial" w:hAnsi="Arial" w:cs="Arial"/>
          <w:sz w:val="22"/>
          <w:szCs w:val="22"/>
        </w:rPr>
        <w:t>Presidente</w:t>
      </w:r>
      <w:proofErr w:type="gramEnd"/>
      <w:r>
        <w:rPr>
          <w:rFonts w:ascii="Arial" w:eastAsia="Arial" w:hAnsi="Arial" w:cs="Arial"/>
          <w:sz w:val="22"/>
          <w:szCs w:val="22"/>
        </w:rPr>
        <w:t xml:space="preserve"> de la República, las autoridades allí mencionadas solo deben aplicar las restricciones contenidas en el parágrafo del artículo 38.</w:t>
      </w:r>
    </w:p>
    <w:p w14:paraId="2D338E43" w14:textId="77777777" w:rsidR="00C13C5F" w:rsidRDefault="0059492F">
      <w:pPr>
        <w:spacing w:after="0"/>
        <w:ind w:firstLine="708"/>
        <w:rPr>
          <w:rFonts w:ascii="Arial" w:eastAsia="Arial" w:hAnsi="Arial" w:cs="Arial"/>
          <w:sz w:val="22"/>
          <w:szCs w:val="22"/>
        </w:rPr>
      </w:pPr>
      <w:r>
        <w:rPr>
          <w:rFonts w:ascii="Arial" w:eastAsia="Arial" w:hAnsi="Arial" w:cs="Arial"/>
          <w:sz w:val="22"/>
          <w:szCs w:val="22"/>
        </w:rPr>
        <w:t xml:space="preserve">La Corte Constitucional, en la Sentencia C-1153 del 11 de noviembre de 2005, señaló que, para que la garantía sea plena, era necesario que la prohibición se aplicara para el </w:t>
      </w:r>
      <w:proofErr w:type="gramStart"/>
      <w:r>
        <w:rPr>
          <w:rFonts w:ascii="Arial" w:eastAsia="Arial" w:hAnsi="Arial" w:cs="Arial"/>
          <w:sz w:val="22"/>
          <w:szCs w:val="22"/>
        </w:rPr>
        <w:t>Presidente</w:t>
      </w:r>
      <w:proofErr w:type="gramEnd"/>
      <w:r>
        <w:rPr>
          <w:rFonts w:ascii="Arial" w:eastAsia="Arial" w:hAnsi="Arial" w:cs="Arial"/>
          <w:sz w:val="22"/>
          <w:szCs w:val="22"/>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w:t>
      </w:r>
      <w:r>
        <w:rPr>
          <w:rFonts w:ascii="Arial" w:eastAsia="Arial" w:hAnsi="Arial" w:cs="Arial"/>
          <w:sz w:val="22"/>
          <w:szCs w:val="22"/>
        </w:rPr>
        <w:lastRenderedPageBreak/>
        <w:t xml:space="preserve">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2DE56FEA" w14:textId="77777777" w:rsidR="00C13C5F" w:rsidRDefault="00C13C5F">
      <w:pPr>
        <w:spacing w:after="0"/>
        <w:rPr>
          <w:rFonts w:ascii="Arial" w:eastAsia="Arial" w:hAnsi="Arial" w:cs="Arial"/>
          <w:sz w:val="22"/>
          <w:szCs w:val="22"/>
        </w:rPr>
      </w:pPr>
    </w:p>
    <w:p w14:paraId="56033A19" w14:textId="77777777" w:rsidR="00C13C5F" w:rsidRDefault="0059492F">
      <w:pPr>
        <w:spacing w:after="0"/>
        <w:rPr>
          <w:rFonts w:ascii="Arial" w:eastAsia="Arial" w:hAnsi="Arial" w:cs="Arial"/>
          <w:b/>
          <w:sz w:val="22"/>
          <w:szCs w:val="22"/>
        </w:rPr>
      </w:pPr>
      <w:r>
        <w:rPr>
          <w:rFonts w:ascii="Arial" w:eastAsia="Arial" w:hAnsi="Arial" w:cs="Arial"/>
          <w:b/>
          <w:sz w:val="22"/>
          <w:szCs w:val="22"/>
        </w:rPr>
        <w:t xml:space="preserve">2.2. Restricciones en elecciones presidenciales </w:t>
      </w:r>
    </w:p>
    <w:p w14:paraId="54D8C5F8" w14:textId="77777777" w:rsidR="00C13C5F" w:rsidRDefault="00C13C5F">
      <w:pPr>
        <w:spacing w:after="0"/>
        <w:rPr>
          <w:rFonts w:ascii="Arial" w:eastAsia="Arial" w:hAnsi="Arial" w:cs="Arial"/>
          <w:sz w:val="22"/>
          <w:szCs w:val="22"/>
        </w:rPr>
      </w:pPr>
    </w:p>
    <w:p w14:paraId="1B2FA2B9" w14:textId="77777777" w:rsidR="00C13C5F" w:rsidRDefault="0059492F">
      <w:pPr>
        <w:spacing w:after="0"/>
        <w:rPr>
          <w:rFonts w:ascii="Arial" w:eastAsia="Arial" w:hAnsi="Arial" w:cs="Arial"/>
          <w:sz w:val="22"/>
          <w:szCs w:val="22"/>
        </w:rPr>
      </w:pPr>
      <w:bookmarkStart w:id="15" w:name="_lnxbz9" w:colFirst="0" w:colLast="0"/>
      <w:bookmarkEnd w:id="15"/>
      <w:r>
        <w:rPr>
          <w:rFonts w:ascii="Arial" w:eastAsia="Arial" w:hAnsi="Arial" w:cs="Arial"/>
          <w:sz w:val="22"/>
          <w:szCs w:val="22"/>
        </w:rPr>
        <w:t xml:space="preserve">El ámbito material de la prohibición contenida en el artículo 33 de la ley 996 de 2005 está delimitado por la expresión </w:t>
      </w:r>
      <w:r>
        <w:rPr>
          <w:rFonts w:ascii="Arial" w:eastAsia="Arial" w:hAnsi="Arial" w:cs="Arial"/>
          <w:sz w:val="20"/>
          <w:szCs w:val="20"/>
        </w:rPr>
        <w:t>«</w:t>
      </w:r>
      <w:r>
        <w:rPr>
          <w:rFonts w:ascii="Arial" w:eastAsia="Arial" w:hAnsi="Arial" w:cs="Arial"/>
          <w:sz w:val="22"/>
          <w:szCs w:val="22"/>
        </w:rPr>
        <w:t>queda prohibida la contratación directa</w:t>
      </w:r>
      <w:r>
        <w:rPr>
          <w:rFonts w:ascii="Arial" w:eastAsia="Arial" w:hAnsi="Arial" w:cs="Arial"/>
          <w:sz w:val="20"/>
          <w:szCs w:val="20"/>
        </w:rPr>
        <w:t>»</w:t>
      </w:r>
      <w:r>
        <w:rPr>
          <w:rFonts w:ascii="Arial" w:eastAsia="Arial" w:hAnsi="Arial" w:cs="Arial"/>
          <w:sz w:val="22"/>
          <w:szCs w:val="22"/>
        </w:rPr>
        <w:t>.  A propósito de esta restricción de la Ley de Garantías Electorales, la Sala de Consulta y Servicio Civil del Consejo de Estado ha considerado que:</w:t>
      </w:r>
    </w:p>
    <w:p w14:paraId="0D824EB4" w14:textId="77777777" w:rsidR="00C13C5F" w:rsidRDefault="00C13C5F">
      <w:pPr>
        <w:spacing w:after="0"/>
        <w:ind w:left="708" w:right="709"/>
        <w:rPr>
          <w:rFonts w:ascii="Arial" w:eastAsia="Arial" w:hAnsi="Arial" w:cs="Arial"/>
          <w:sz w:val="21"/>
          <w:szCs w:val="21"/>
        </w:rPr>
      </w:pPr>
    </w:p>
    <w:p w14:paraId="5B120B68" w14:textId="77777777" w:rsidR="00C13C5F" w:rsidRDefault="0059492F">
      <w:pPr>
        <w:spacing w:after="120" w:line="240" w:lineRule="auto"/>
        <w:ind w:left="709" w:right="709"/>
      </w:pPr>
      <w:r>
        <w:rPr>
          <w:rFonts w:ascii="Arial" w:eastAsia="Arial" w:hAnsi="Arial" w:cs="Arial"/>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Pr>
          <w:rFonts w:ascii="Arial" w:eastAsia="Arial" w:hAnsi="Arial" w:cs="Arial"/>
          <w:sz w:val="22"/>
          <w:szCs w:val="22"/>
          <w:vertAlign w:val="superscript"/>
        </w:rPr>
        <w:footnoteReference w:id="10"/>
      </w:r>
      <w:r>
        <w:rPr>
          <w:rFonts w:ascii="Arial" w:eastAsia="Arial" w:hAnsi="Arial" w:cs="Arial"/>
          <w:sz w:val="21"/>
          <w:szCs w:val="21"/>
        </w:rPr>
        <w:t>.</w:t>
      </w:r>
    </w:p>
    <w:p w14:paraId="5E4C8193" w14:textId="77777777" w:rsidR="00C13C5F" w:rsidRDefault="0059492F">
      <w:pPr>
        <w:spacing w:after="0" w:line="240" w:lineRule="auto"/>
        <w:ind w:left="708" w:right="709"/>
      </w:pPr>
      <w:bookmarkStart w:id="16" w:name="_35nkun2" w:colFirst="0" w:colLast="0"/>
      <w:bookmarkEnd w:id="16"/>
      <w:r>
        <w:rPr>
          <w:rFonts w:ascii="Arial" w:eastAsia="Arial" w:hAnsi="Arial" w:cs="Arial"/>
          <w:sz w:val="21"/>
          <w:szCs w:val="21"/>
        </w:rPr>
        <w:t xml:space="preserve">Esta Sala ha entendido </w:t>
      </w:r>
      <w:proofErr w:type="gramStart"/>
      <w:r>
        <w:rPr>
          <w:rFonts w:ascii="Arial" w:eastAsia="Arial" w:hAnsi="Arial" w:cs="Arial"/>
          <w:sz w:val="21"/>
          <w:szCs w:val="21"/>
        </w:rPr>
        <w:t>que</w:t>
      </w:r>
      <w:proofErr w:type="gramEnd"/>
      <w:r>
        <w:rPr>
          <w:rFonts w:ascii="Arial" w:eastAsia="Arial" w:hAnsi="Arial" w:cs="Arial"/>
          <w:sz w:val="21"/>
          <w:szCs w:val="21"/>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Pr>
          <w:rFonts w:ascii="Arial" w:eastAsia="Arial" w:hAnsi="Arial" w:cs="Arial"/>
          <w:sz w:val="21"/>
          <w:szCs w:val="21"/>
          <w:vertAlign w:val="superscript"/>
        </w:rPr>
        <w:footnoteReference w:id="11"/>
      </w:r>
      <w:r>
        <w:rPr>
          <w:rFonts w:ascii="Arial" w:eastAsia="Arial" w:hAnsi="Arial" w:cs="Arial"/>
          <w:sz w:val="21"/>
          <w:szCs w:val="21"/>
          <w:vertAlign w:val="superscript"/>
        </w:rPr>
        <w:t>.</w:t>
      </w:r>
      <w:r>
        <w:rPr>
          <w:rFonts w:ascii="Arial" w:eastAsia="Arial" w:hAnsi="Arial" w:cs="Arial"/>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Pr>
          <w:rFonts w:ascii="Arial" w:eastAsia="Arial" w:hAnsi="Arial" w:cs="Arial"/>
          <w:sz w:val="22"/>
          <w:szCs w:val="22"/>
          <w:vertAlign w:val="superscript"/>
        </w:rPr>
        <w:footnoteReference w:id="12"/>
      </w:r>
      <w:r>
        <w:rPr>
          <w:rFonts w:ascii="Arial" w:eastAsia="Arial" w:hAnsi="Arial" w:cs="Arial"/>
          <w:sz w:val="21"/>
          <w:szCs w:val="21"/>
        </w:rPr>
        <w:t xml:space="preserve"> .</w:t>
      </w:r>
    </w:p>
    <w:p w14:paraId="3813DAB7" w14:textId="77777777" w:rsidR="00C13C5F" w:rsidRDefault="00C13C5F">
      <w:pPr>
        <w:shd w:val="clear" w:color="auto" w:fill="FFFFFF"/>
        <w:spacing w:after="0"/>
        <w:ind w:firstLine="709"/>
        <w:rPr>
          <w:rFonts w:ascii="Arial" w:eastAsia="Arial" w:hAnsi="Arial" w:cs="Arial"/>
          <w:sz w:val="22"/>
          <w:szCs w:val="22"/>
        </w:rPr>
      </w:pPr>
    </w:p>
    <w:p w14:paraId="6CBA710D" w14:textId="7F9B83EC" w:rsidR="00C13C5F" w:rsidRDefault="0059492F">
      <w:pPr>
        <w:spacing w:after="120"/>
        <w:ind w:firstLine="708"/>
        <w:rPr>
          <w:rFonts w:ascii="Arial" w:eastAsia="Arial" w:hAnsi="Arial" w:cs="Arial"/>
          <w:sz w:val="22"/>
          <w:szCs w:val="22"/>
        </w:rPr>
      </w:pPr>
      <w:bookmarkStart w:id="17" w:name="_1ksv4uv" w:colFirst="0" w:colLast="0"/>
      <w:bookmarkEnd w:id="17"/>
      <w:r>
        <w:rPr>
          <w:rFonts w:ascii="Arial" w:eastAsia="Arial" w:hAnsi="Arial" w:cs="Arial"/>
          <w:sz w:val="22"/>
          <w:szCs w:val="22"/>
        </w:rPr>
        <w:t xml:space="preserve">De conformidad con el citado concepto, la prohibición del artículo 33 de la Ley de Garantías Electorales se refiere a </w:t>
      </w:r>
      <w:r>
        <w:rPr>
          <w:rFonts w:ascii="Arial" w:eastAsia="Arial" w:hAnsi="Arial" w:cs="Arial"/>
          <w:sz w:val="19"/>
          <w:szCs w:val="19"/>
        </w:rPr>
        <w:t>«</w:t>
      </w:r>
      <w:r>
        <w:rPr>
          <w:rFonts w:ascii="Arial" w:eastAsia="Arial" w:hAnsi="Arial" w:cs="Arial"/>
          <w:sz w:val="22"/>
          <w:szCs w:val="22"/>
        </w:rPr>
        <w:t xml:space="preserve">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w:t>
      </w:r>
      <w:r>
        <w:rPr>
          <w:rFonts w:ascii="Arial" w:eastAsia="Arial" w:hAnsi="Arial" w:cs="Arial"/>
          <w:sz w:val="22"/>
          <w:szCs w:val="22"/>
        </w:rPr>
        <w:lastRenderedPageBreak/>
        <w:t>la selección abreviada, rediseñó el concurso de méritos</w:t>
      </w:r>
      <w:r>
        <w:rPr>
          <w:rFonts w:ascii="Arial" w:eastAsia="Arial" w:hAnsi="Arial" w:cs="Arial"/>
          <w:sz w:val="22"/>
          <w:szCs w:val="22"/>
          <w:vertAlign w:val="superscript"/>
        </w:rPr>
        <w:footnoteReference w:id="13"/>
      </w:r>
      <w:r>
        <w:rPr>
          <w:rFonts w:ascii="Arial" w:eastAsia="Arial" w:hAnsi="Arial" w:cs="Arial"/>
          <w:sz w:val="22"/>
          <w:szCs w:val="22"/>
        </w:rPr>
        <w:t xml:space="preserve"> y sistematizó las causales de contratación directa</w:t>
      </w:r>
      <w:r>
        <w:rPr>
          <w:rFonts w:ascii="Arial" w:eastAsia="Arial" w:hAnsi="Arial" w:cs="Arial"/>
          <w:sz w:val="22"/>
          <w:szCs w:val="22"/>
          <w:vertAlign w:val="superscript"/>
        </w:rPr>
        <w:footnoteReference w:id="14"/>
      </w:r>
      <w:r>
        <w:rPr>
          <w:rFonts w:ascii="Arial" w:eastAsia="Arial" w:hAnsi="Arial" w:cs="Arial"/>
          <w:sz w:val="22"/>
          <w:szCs w:val="22"/>
        </w:rPr>
        <w:t>, además lo es con la posterior creación de la modalidad de mínima cuantía establecida actualmente en el numeral 5 del artículo 2 de la Ley 1150 de 2007, de acuerdo con las modificaciones realizadas por leyes posteriores.</w:t>
      </w:r>
    </w:p>
    <w:p w14:paraId="478FE001" w14:textId="77777777" w:rsidR="00C13C5F" w:rsidRDefault="0059492F">
      <w:pPr>
        <w:spacing w:after="120"/>
        <w:ind w:firstLine="708"/>
        <w:rPr>
          <w:rFonts w:ascii="Arial" w:eastAsia="Arial" w:hAnsi="Arial" w:cs="Arial"/>
          <w:sz w:val="22"/>
          <w:szCs w:val="22"/>
        </w:rPr>
      </w:pPr>
      <w:r>
        <w:rPr>
          <w:rFonts w:ascii="Arial" w:eastAsia="Arial" w:hAnsi="Arial" w:cs="Arial"/>
          <w:sz w:val="22"/>
          <w:szCs w:val="22"/>
        </w:rPr>
        <w:t xml:space="preserve">De esta forma, con fundamento en la evolución de la normativa sobre la contratación pública, se ha depurado la noción de </w:t>
      </w:r>
      <w:r>
        <w:rPr>
          <w:rFonts w:ascii="Arial" w:eastAsia="Arial" w:hAnsi="Arial" w:cs="Arial"/>
          <w:sz w:val="19"/>
          <w:szCs w:val="19"/>
        </w:rPr>
        <w:t>«</w:t>
      </w:r>
      <w:r>
        <w:rPr>
          <w:rFonts w:ascii="Arial" w:eastAsia="Arial" w:hAnsi="Arial" w:cs="Arial"/>
          <w:sz w:val="22"/>
          <w:szCs w:val="22"/>
        </w:rPr>
        <w:t>contratación directa»,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Pr>
          <w:rFonts w:ascii="Arial" w:eastAsia="Arial" w:hAnsi="Arial" w:cs="Arial"/>
          <w:sz w:val="22"/>
          <w:szCs w:val="22"/>
          <w:vertAlign w:val="superscript"/>
        </w:rPr>
        <w:footnoteReference w:id="15"/>
      </w:r>
      <w:r>
        <w:rPr>
          <w:rFonts w:ascii="Arial" w:eastAsia="Arial" w:hAnsi="Arial" w:cs="Arial"/>
          <w:sz w:val="22"/>
          <w:szCs w:val="22"/>
        </w:rPr>
        <w:t xml:space="preserve">, han establecido sistemas de contratación que implican convocatoria pública y participación de varios oferentes». </w:t>
      </w:r>
    </w:p>
    <w:p w14:paraId="75916FEF" w14:textId="77777777" w:rsidR="00C13C5F" w:rsidRDefault="0059492F">
      <w:pPr>
        <w:spacing w:after="120"/>
        <w:ind w:firstLine="708"/>
        <w:rPr>
          <w:rFonts w:ascii="Arial" w:eastAsia="Arial" w:hAnsi="Arial" w:cs="Arial"/>
          <w:sz w:val="22"/>
          <w:szCs w:val="22"/>
        </w:rPr>
      </w:pPr>
      <w:bookmarkStart w:id="20" w:name="_44sinio" w:colFirst="0" w:colLast="0"/>
      <w:bookmarkEnd w:id="20"/>
      <w:r>
        <w:rPr>
          <w:rFonts w:ascii="Arial" w:eastAsia="Arial" w:hAnsi="Arial" w:cs="Arial"/>
          <w:sz w:val="22"/>
          <w:szCs w:val="22"/>
        </w:rPr>
        <w:t>En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Pr>
          <w:rFonts w:ascii="Arial" w:eastAsia="Arial" w:hAnsi="Arial" w:cs="Arial"/>
          <w:sz w:val="22"/>
          <w:szCs w:val="22"/>
          <w:vertAlign w:val="superscript"/>
        </w:rPr>
        <w:footnoteReference w:id="16"/>
      </w:r>
      <w:r>
        <w:rPr>
          <w:rFonts w:ascii="Arial" w:eastAsia="Arial" w:hAnsi="Arial" w:cs="Arial"/>
          <w:sz w:val="22"/>
          <w:szCs w:val="22"/>
        </w:rPr>
        <w:t xml:space="preserve">. </w:t>
      </w:r>
    </w:p>
    <w:p w14:paraId="67802167" w14:textId="0C20EC06" w:rsidR="00C13C5F" w:rsidRDefault="0059492F">
      <w:pPr>
        <w:spacing w:after="120"/>
        <w:ind w:firstLine="708"/>
        <w:rPr>
          <w:rFonts w:ascii="Arial" w:eastAsia="Arial" w:hAnsi="Arial" w:cs="Arial"/>
          <w:sz w:val="22"/>
          <w:szCs w:val="22"/>
        </w:rPr>
      </w:pPr>
      <w:r>
        <w:rPr>
          <w:rFonts w:ascii="Arial" w:eastAsia="Arial" w:hAnsi="Arial" w:cs="Arial"/>
          <w:sz w:val="22"/>
          <w:szCs w:val="22"/>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«contratación directa».</w:t>
      </w:r>
    </w:p>
    <w:p w14:paraId="398E56BE" w14:textId="660B5C3F" w:rsidR="00C13C5F" w:rsidRDefault="0059492F">
      <w:pPr>
        <w:spacing w:after="120"/>
        <w:ind w:firstLine="708"/>
        <w:rPr>
          <w:rFonts w:ascii="Arial" w:eastAsia="Arial" w:hAnsi="Arial" w:cs="Arial"/>
          <w:sz w:val="22"/>
          <w:szCs w:val="22"/>
        </w:rPr>
      </w:pPr>
      <w:bookmarkStart w:id="21" w:name="_2jxsxqh" w:colFirst="0" w:colLast="0"/>
      <w:bookmarkEnd w:id="21"/>
      <w:r>
        <w:rPr>
          <w:rFonts w:ascii="Arial" w:eastAsia="Arial" w:hAnsi="Arial" w:cs="Arial"/>
          <w:sz w:val="22"/>
          <w:szCs w:val="22"/>
        </w:rPr>
        <w:t xml:space="preserve"> Así las cosas, ha de entenderse que, para efectos de la Ley de Garantías Electorales y, en particular, para la prohibición o restricción temporal contenida en su </w:t>
      </w:r>
      <w:r>
        <w:rPr>
          <w:rFonts w:ascii="Arial" w:eastAsia="Arial" w:hAnsi="Arial" w:cs="Arial"/>
          <w:sz w:val="22"/>
          <w:szCs w:val="22"/>
        </w:rPr>
        <w:lastRenderedPageBreak/>
        <w:t>artículo 33, «contratación directa» es cualquier sistema de selección o procedimiento de contratación utilizado por las entidades estatales que no incluya la convocatoria pública en alguna de sus etapas, ni permita la participación de una pluralidad de oferentes</w:t>
      </w:r>
      <w:r>
        <w:rPr>
          <w:rFonts w:ascii="Arial" w:eastAsia="Arial" w:hAnsi="Arial" w:cs="Arial"/>
          <w:sz w:val="22"/>
          <w:szCs w:val="22"/>
          <w:vertAlign w:val="superscript"/>
        </w:rPr>
        <w:footnoteReference w:id="17"/>
      </w:r>
      <w:r>
        <w:rPr>
          <w:rFonts w:ascii="Arial" w:eastAsia="Arial" w:hAnsi="Arial" w:cs="Arial"/>
          <w:sz w:val="22"/>
          <w:szCs w:val="22"/>
        </w:rPr>
        <w:t>.</w:t>
      </w:r>
      <w:r>
        <w:rPr>
          <w:rFonts w:ascii="Arial" w:eastAsia="Arial" w:hAnsi="Arial" w:cs="Arial"/>
          <w:sz w:val="22"/>
          <w:szCs w:val="22"/>
          <w:vertAlign w:val="superscript"/>
        </w:rPr>
        <w:t xml:space="preserve"> </w:t>
      </w:r>
    </w:p>
    <w:p w14:paraId="24A28733" w14:textId="6B843C28" w:rsidR="00C13C5F" w:rsidRDefault="0059492F">
      <w:pPr>
        <w:spacing w:after="120"/>
        <w:ind w:firstLine="708"/>
        <w:rPr>
          <w:rFonts w:ascii="Arial" w:eastAsia="Arial" w:hAnsi="Arial" w:cs="Arial"/>
          <w:sz w:val="22"/>
          <w:szCs w:val="22"/>
        </w:rPr>
      </w:pPr>
      <w:r>
        <w:rPr>
          <w:rFonts w:ascii="Arial" w:eastAsia="Arial" w:hAnsi="Arial" w:cs="Arial"/>
          <w:sz w:val="22"/>
          <w:szCs w:val="22"/>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estas modalidades.</w:t>
      </w:r>
    </w:p>
    <w:p w14:paraId="0A2970A5" w14:textId="77777777" w:rsidR="00C13C5F" w:rsidRDefault="0059492F">
      <w:pPr>
        <w:spacing w:after="120"/>
        <w:ind w:firstLine="708"/>
        <w:rPr>
          <w:rFonts w:ascii="Arial" w:eastAsia="Arial" w:hAnsi="Arial" w:cs="Arial"/>
          <w:sz w:val="22"/>
          <w:szCs w:val="22"/>
        </w:rPr>
      </w:pPr>
      <w:bookmarkStart w:id="22" w:name="_z337ya" w:colFirst="0" w:colLast="0"/>
      <w:bookmarkEnd w:id="22"/>
      <w:r>
        <w:rPr>
          <w:rFonts w:ascii="Arial" w:eastAsia="Arial" w:hAnsi="Arial" w:cs="Arial"/>
          <w:sz w:val="22"/>
          <w:szCs w:val="22"/>
        </w:rPr>
        <w:t xml:space="preserve">Como en otras oportunidades lo ha manifestado esta Agencia, las prórrogas, modificaciones o adiciones de los contratos suscritos antes de la </w:t>
      </w:r>
      <w:proofErr w:type="gramStart"/>
      <w:r>
        <w:rPr>
          <w:rFonts w:ascii="Arial" w:eastAsia="Arial" w:hAnsi="Arial" w:cs="Arial"/>
          <w:sz w:val="22"/>
          <w:szCs w:val="22"/>
        </w:rPr>
        <w:t>entrada en vigencia</w:t>
      </w:r>
      <w:proofErr w:type="gramEnd"/>
      <w:r>
        <w:rPr>
          <w:rFonts w:ascii="Arial" w:eastAsia="Arial" w:hAnsi="Arial" w:cs="Arial"/>
          <w:sz w:val="22"/>
          <w:szCs w:val="22"/>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72D3177F" w14:textId="4B04B9B9" w:rsidR="00C13C5F" w:rsidRDefault="0059492F">
      <w:pPr>
        <w:spacing w:after="120"/>
        <w:ind w:firstLine="708"/>
        <w:rPr>
          <w:rFonts w:ascii="Arial" w:eastAsia="Arial" w:hAnsi="Arial" w:cs="Arial"/>
          <w:sz w:val="22"/>
          <w:szCs w:val="22"/>
        </w:rPr>
      </w:pPr>
      <w:r>
        <w:rPr>
          <w:rFonts w:ascii="Arial" w:eastAsia="Arial" w:hAnsi="Arial" w:cs="Arial"/>
          <w:sz w:val="22"/>
          <w:szCs w:val="22"/>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w:t>
      </w:r>
      <w:proofErr w:type="spellStart"/>
      <w:r>
        <w:rPr>
          <w:rFonts w:ascii="Arial" w:eastAsia="Arial" w:hAnsi="Arial" w:cs="Arial"/>
          <w:sz w:val="22"/>
          <w:szCs w:val="22"/>
        </w:rPr>
        <w:t>ii</w:t>
      </w:r>
      <w:proofErr w:type="spellEnd"/>
      <w:r>
        <w:rPr>
          <w:rFonts w:ascii="Arial" w:eastAsia="Arial" w:hAnsi="Arial" w:cs="Arial"/>
          <w:sz w:val="22"/>
          <w:szCs w:val="22"/>
        </w:rPr>
        <w:t xml:space="preserve">) los contratos de crédito público; </w:t>
      </w:r>
      <w:proofErr w:type="spellStart"/>
      <w:r>
        <w:rPr>
          <w:rFonts w:ascii="Arial" w:eastAsia="Arial" w:hAnsi="Arial" w:cs="Arial"/>
          <w:sz w:val="22"/>
          <w:szCs w:val="22"/>
        </w:rPr>
        <w:t>iii</w:t>
      </w:r>
      <w:proofErr w:type="spellEnd"/>
      <w:r>
        <w:rPr>
          <w:rFonts w:ascii="Arial" w:eastAsia="Arial" w:hAnsi="Arial" w:cs="Arial"/>
          <w:sz w:val="22"/>
          <w:szCs w:val="22"/>
        </w:rPr>
        <w:t xml:space="preserve">) los requeridos para cubrir las emergencias educativas, sanitarias y desastres; </w:t>
      </w:r>
      <w:proofErr w:type="spellStart"/>
      <w:r>
        <w:rPr>
          <w:rFonts w:ascii="Arial" w:eastAsia="Arial" w:hAnsi="Arial" w:cs="Arial"/>
          <w:sz w:val="22"/>
          <w:szCs w:val="22"/>
        </w:rPr>
        <w:t>iv</w:t>
      </w:r>
      <w:proofErr w:type="spellEnd"/>
      <w:r>
        <w:rPr>
          <w:rFonts w:ascii="Arial" w:eastAsia="Arial" w:hAnsi="Arial" w:cs="Arial"/>
          <w:sz w:val="22"/>
          <w:szCs w:val="22"/>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27394DC3" w14:textId="77777777" w:rsidR="00C13C5F" w:rsidRPr="002760E2" w:rsidRDefault="0059492F" w:rsidP="002760E2">
      <w:pPr>
        <w:spacing w:after="120"/>
        <w:ind w:firstLine="709"/>
      </w:pPr>
      <w:r>
        <w:rPr>
          <w:rFonts w:ascii="Arial" w:eastAsia="Arial" w:hAnsi="Arial" w:cs="Arial"/>
          <w:sz w:val="22"/>
          <w:szCs w:val="22"/>
        </w:rPr>
        <w:t>En esta labor es importante tener en cuenta, como lo anotó la Corte Constitucional, en Sentencia C-1153 de noviembre 11 de 2005</w:t>
      </w:r>
      <w:r>
        <w:rPr>
          <w:vertAlign w:val="superscript"/>
        </w:rPr>
        <w:t>,</w:t>
      </w:r>
      <w:r>
        <w:rPr>
          <w:rFonts w:ascii="Arial" w:eastAsia="Arial" w:hAnsi="Arial" w:cs="Arial"/>
          <w:sz w:val="22"/>
          <w:szCs w:val="22"/>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Pr>
          <w:rFonts w:ascii="Arial" w:eastAsia="Arial" w:hAnsi="Arial" w:cs="Arial"/>
          <w:sz w:val="22"/>
          <w:szCs w:val="22"/>
          <w:vertAlign w:val="superscript"/>
        </w:rPr>
        <w:footnoteReference w:id="18"/>
      </w:r>
      <w:r>
        <w:rPr>
          <w:rFonts w:ascii="Arial" w:eastAsia="Arial" w:hAnsi="Arial" w:cs="Arial"/>
          <w:sz w:val="22"/>
          <w:szCs w:val="22"/>
        </w:rPr>
        <w:t xml:space="preserve">. </w:t>
      </w:r>
      <w:r>
        <w:rPr>
          <w:rFonts w:ascii="Arial" w:eastAsia="Arial" w:hAnsi="Arial" w:cs="Arial"/>
          <w:sz w:val="22"/>
          <w:szCs w:val="22"/>
        </w:rPr>
        <w:lastRenderedPageBreak/>
        <w:t>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23" w:name="_3j2qqm3" w:colFirst="0" w:colLast="0"/>
      <w:bookmarkEnd w:id="23"/>
    </w:p>
    <w:p w14:paraId="5C68F799" w14:textId="77777777" w:rsidR="00C13C5F" w:rsidRDefault="0059492F">
      <w:pPr>
        <w:spacing w:after="0"/>
        <w:ind w:firstLine="708"/>
        <w:rPr>
          <w:rFonts w:ascii="Arial" w:eastAsia="Arial" w:hAnsi="Arial" w:cs="Arial"/>
          <w:sz w:val="22"/>
          <w:szCs w:val="22"/>
        </w:rPr>
      </w:pPr>
      <w:r>
        <w:rPr>
          <w:rFonts w:ascii="Arial" w:eastAsia="Arial" w:hAnsi="Arial" w:cs="Arial"/>
          <w:sz w:val="22"/>
          <w:szCs w:val="22"/>
        </w:rPr>
        <w:t>De conformidad con lo expuesto, se concluye que durante los cuatro (4) meses anteriores a la elección presidencial y hasta la realización de la elección en la segunda vuelta, queda prohibida la contratación directa por parte de todos los entes del Estado, entendido el término contratación directa como cualquier sistema de selección o procedimiento de contratación utilizado por las entidades estatales que no incluya la convocatoria pública en alguna de sus etapas, ni permita la participación de una pluralidad de oferentes. Lo anterior, sin perjuicio de las excepciones contempladas en el ordenamiento jurídico.</w:t>
      </w:r>
    </w:p>
    <w:p w14:paraId="41EF868B" w14:textId="77777777" w:rsidR="00C13C5F" w:rsidRDefault="00C13C5F">
      <w:pPr>
        <w:spacing w:after="0"/>
        <w:ind w:firstLine="708"/>
        <w:rPr>
          <w:rFonts w:ascii="Arial" w:eastAsia="Arial" w:hAnsi="Arial" w:cs="Arial"/>
          <w:sz w:val="22"/>
          <w:szCs w:val="22"/>
        </w:rPr>
      </w:pPr>
    </w:p>
    <w:p w14:paraId="1D0953CC" w14:textId="77777777" w:rsidR="00C13C5F" w:rsidRDefault="0059492F">
      <w:pPr>
        <w:spacing w:after="0"/>
        <w:rPr>
          <w:rFonts w:ascii="Arial" w:eastAsia="Arial" w:hAnsi="Arial" w:cs="Arial"/>
          <w:b/>
          <w:sz w:val="22"/>
          <w:szCs w:val="22"/>
        </w:rPr>
      </w:pPr>
      <w:r>
        <w:rPr>
          <w:rFonts w:ascii="Arial" w:eastAsia="Arial" w:hAnsi="Arial" w:cs="Arial"/>
          <w:b/>
          <w:sz w:val="22"/>
          <w:szCs w:val="22"/>
        </w:rPr>
        <w:t>2.3.  Destinatarios de la restricción del artículo 33 de la Ley 996 de 2005</w:t>
      </w:r>
    </w:p>
    <w:p w14:paraId="09E06FA9" w14:textId="77777777" w:rsidR="00C13C5F" w:rsidRDefault="00C13C5F">
      <w:pPr>
        <w:spacing w:after="0"/>
        <w:rPr>
          <w:rFonts w:ascii="Arial" w:eastAsia="Arial" w:hAnsi="Arial" w:cs="Arial"/>
          <w:sz w:val="22"/>
          <w:szCs w:val="22"/>
        </w:rPr>
      </w:pPr>
    </w:p>
    <w:p w14:paraId="022862DE" w14:textId="77777777" w:rsidR="00C13C5F" w:rsidRDefault="0059492F">
      <w:pPr>
        <w:spacing w:after="0"/>
        <w:rPr>
          <w:rFonts w:ascii="Arial" w:eastAsia="Arial" w:hAnsi="Arial" w:cs="Arial"/>
          <w:sz w:val="22"/>
          <w:szCs w:val="22"/>
        </w:rPr>
      </w:pPr>
      <w:bookmarkStart w:id="24" w:name="_1y810tw" w:colFirst="0" w:colLast="0"/>
      <w:bookmarkEnd w:id="24"/>
      <w:r>
        <w:rPr>
          <w:rFonts w:ascii="Arial" w:eastAsia="Arial" w:hAnsi="Arial" w:cs="Arial"/>
          <w:sz w:val="22"/>
          <w:szCs w:val="22"/>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t xml:space="preserve"> </w:t>
      </w:r>
      <w:r>
        <w:rPr>
          <w:rFonts w:ascii="Arial" w:eastAsia="Arial" w:hAnsi="Arial" w:cs="Arial"/>
          <w:sz w:val="22"/>
          <w:szCs w:val="22"/>
        </w:rPr>
        <w:t>En efecto, tal como lo ha sostenido el Consejo de Estado, el vocablo «todos» utilizado por el legislador comprende</w:t>
      </w:r>
      <w:r>
        <w:t xml:space="preserve"> </w:t>
      </w:r>
      <w:r>
        <w:rPr>
          <w:rFonts w:ascii="Arial" w:eastAsia="Arial" w:hAnsi="Arial" w:cs="Arial"/>
          <w:sz w:val="22"/>
          <w:szCs w:val="22"/>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6265822A" w14:textId="77777777" w:rsidR="00C13C5F" w:rsidRDefault="00C13C5F">
      <w:pPr>
        <w:spacing w:after="0"/>
        <w:ind w:firstLine="708"/>
        <w:rPr>
          <w:rFonts w:ascii="Arial" w:eastAsia="Arial" w:hAnsi="Arial" w:cs="Arial"/>
          <w:sz w:val="22"/>
          <w:szCs w:val="22"/>
        </w:rPr>
      </w:pPr>
    </w:p>
    <w:p w14:paraId="6B3F62D8" w14:textId="77777777" w:rsidR="00C13C5F" w:rsidRDefault="0059492F">
      <w:pPr>
        <w:spacing w:after="0" w:line="240" w:lineRule="auto"/>
        <w:ind w:left="708" w:right="709"/>
      </w:pPr>
      <w:bookmarkStart w:id="25" w:name="_4i7ojhp" w:colFirst="0" w:colLast="0"/>
      <w:bookmarkEnd w:id="25"/>
      <w:r>
        <w:rPr>
          <w:rFonts w:ascii="Arial" w:eastAsia="Arial" w:hAnsi="Arial" w:cs="Arial"/>
          <w:sz w:val="21"/>
          <w:szCs w:val="21"/>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Pr>
          <w:rFonts w:ascii="Arial" w:eastAsia="Arial" w:hAnsi="Arial" w:cs="Arial"/>
          <w:sz w:val="21"/>
          <w:szCs w:val="21"/>
          <w:vertAlign w:val="superscript"/>
        </w:rPr>
        <w:footnoteReference w:id="19"/>
      </w:r>
      <w:r>
        <w:rPr>
          <w:rFonts w:ascii="Arial" w:eastAsia="Arial" w:hAnsi="Arial" w:cs="Arial"/>
          <w:sz w:val="21"/>
          <w:szCs w:val="21"/>
        </w:rPr>
        <w:t xml:space="preserve">. </w:t>
      </w:r>
    </w:p>
    <w:p w14:paraId="79BFE44A" w14:textId="77777777" w:rsidR="00C13C5F" w:rsidRDefault="00C13C5F">
      <w:pPr>
        <w:spacing w:after="0"/>
        <w:ind w:firstLine="708"/>
        <w:rPr>
          <w:rFonts w:ascii="Arial" w:eastAsia="Arial" w:hAnsi="Arial" w:cs="Arial"/>
          <w:sz w:val="22"/>
          <w:szCs w:val="22"/>
        </w:rPr>
      </w:pPr>
    </w:p>
    <w:p w14:paraId="51A5D368" w14:textId="77777777" w:rsidR="00C13C5F" w:rsidRDefault="0059492F">
      <w:pPr>
        <w:spacing w:after="0"/>
        <w:ind w:firstLine="708"/>
        <w:rPr>
          <w:rFonts w:ascii="Arial" w:eastAsia="Arial" w:hAnsi="Arial" w:cs="Arial"/>
          <w:sz w:val="22"/>
          <w:szCs w:val="22"/>
        </w:rPr>
      </w:pPr>
      <w:bookmarkStart w:id="26" w:name="_2xcytpi" w:colFirst="0" w:colLast="0"/>
      <w:bookmarkEnd w:id="26"/>
      <w:r>
        <w:rPr>
          <w:rFonts w:ascii="Arial" w:eastAsia="Arial" w:hAnsi="Arial" w:cs="Arial"/>
          <w:sz w:val="22"/>
          <w:szCs w:val="22"/>
        </w:rPr>
        <w:lastRenderedPageBreak/>
        <w:t>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Pr>
          <w:rFonts w:ascii="Arial" w:eastAsia="Arial" w:hAnsi="Arial" w:cs="Arial"/>
          <w:vertAlign w:val="superscript"/>
        </w:rPr>
        <w:footnoteReference w:id="20"/>
      </w:r>
      <w:r>
        <w:rPr>
          <w:rFonts w:ascii="Arial" w:eastAsia="Arial" w:hAnsi="Arial" w:cs="Arial"/>
          <w:sz w:val="22"/>
          <w:szCs w:val="22"/>
        </w:rPr>
        <w:t>. Sin embargo, debe precisarse el siguiente aspecto que distinguió la Sala de Consulta y Servicio Civil:</w:t>
      </w:r>
    </w:p>
    <w:p w14:paraId="61AC259B" w14:textId="77777777" w:rsidR="00C13C5F" w:rsidRDefault="00C13C5F">
      <w:pPr>
        <w:spacing w:after="0"/>
        <w:rPr>
          <w:rFonts w:ascii="Arial" w:eastAsia="Arial" w:hAnsi="Arial" w:cs="Arial"/>
          <w:sz w:val="22"/>
          <w:szCs w:val="22"/>
        </w:rPr>
      </w:pPr>
    </w:p>
    <w:p w14:paraId="242B8992" w14:textId="77777777" w:rsidR="00C13C5F" w:rsidRDefault="0059492F">
      <w:pPr>
        <w:spacing w:after="0" w:line="240" w:lineRule="auto"/>
        <w:ind w:left="708" w:right="709"/>
      </w:pPr>
      <w:bookmarkStart w:id="27" w:name="_1ci93xb" w:colFirst="0" w:colLast="0"/>
      <w:bookmarkEnd w:id="27"/>
      <w:r>
        <w:rPr>
          <w:rFonts w:ascii="Arial" w:eastAsia="Arial" w:hAnsi="Arial" w:cs="Arial"/>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Pr>
          <w:rFonts w:ascii="Arial" w:eastAsia="Arial" w:hAnsi="Arial" w:cs="Arial"/>
          <w:vertAlign w:val="superscript"/>
        </w:rPr>
        <w:footnoteReference w:id="21"/>
      </w:r>
      <w:r>
        <w:rPr>
          <w:rFonts w:ascii="Arial" w:eastAsia="Arial" w:hAnsi="Arial" w:cs="Arial"/>
          <w:sz w:val="22"/>
          <w:szCs w:val="22"/>
        </w:rPr>
        <w:t>.</w:t>
      </w:r>
    </w:p>
    <w:p w14:paraId="35496CD9" w14:textId="77777777" w:rsidR="00C13C5F" w:rsidRDefault="00C13C5F">
      <w:pPr>
        <w:spacing w:after="0"/>
        <w:rPr>
          <w:rFonts w:ascii="Arial" w:eastAsia="Arial" w:hAnsi="Arial" w:cs="Arial"/>
          <w:sz w:val="22"/>
          <w:szCs w:val="22"/>
        </w:rPr>
      </w:pPr>
    </w:p>
    <w:p w14:paraId="5CE18D42" w14:textId="77777777" w:rsidR="00C13C5F" w:rsidRDefault="0059492F">
      <w:pPr>
        <w:spacing w:after="120"/>
        <w:ind w:firstLine="709"/>
        <w:rPr>
          <w:rFonts w:ascii="Arial" w:eastAsia="Arial" w:hAnsi="Arial" w:cs="Arial"/>
          <w:sz w:val="22"/>
          <w:szCs w:val="22"/>
        </w:rPr>
      </w:pPr>
      <w:bookmarkStart w:id="28" w:name="_3whwml4" w:colFirst="0" w:colLast="0"/>
      <w:bookmarkEnd w:id="28"/>
      <w:r>
        <w:rPr>
          <w:rFonts w:ascii="Arial" w:eastAsia="Arial" w:hAnsi="Arial" w:cs="Arial"/>
          <w:sz w:val="22"/>
          <w:szCs w:val="22"/>
        </w:rPr>
        <w:t>Aplicando este razonamiento,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Pr>
          <w:rFonts w:ascii="Arial" w:eastAsia="Arial" w:hAnsi="Arial" w:cs="Arial"/>
          <w:vertAlign w:val="superscript"/>
        </w:rPr>
        <w:t xml:space="preserve"> </w:t>
      </w:r>
      <w:r>
        <w:rPr>
          <w:rFonts w:ascii="Arial" w:eastAsia="Arial" w:hAnsi="Arial" w:cs="Arial"/>
          <w:sz w:val="22"/>
          <w:szCs w:val="22"/>
          <w:vertAlign w:val="superscript"/>
        </w:rPr>
        <w:footnoteReference w:id="22"/>
      </w:r>
      <w:r>
        <w:rPr>
          <w:rFonts w:ascii="Arial" w:eastAsia="Arial" w:hAnsi="Arial" w:cs="Arial"/>
          <w:sz w:val="22"/>
          <w:szCs w:val="22"/>
        </w:rPr>
        <w:t>.</w:t>
      </w:r>
    </w:p>
    <w:p w14:paraId="53F5014E" w14:textId="77777777" w:rsidR="00C13C5F" w:rsidRDefault="0059492F">
      <w:pPr>
        <w:spacing w:after="0"/>
        <w:ind w:firstLine="708"/>
        <w:rPr>
          <w:rFonts w:ascii="Arial" w:eastAsia="Arial" w:hAnsi="Arial" w:cs="Arial"/>
          <w:sz w:val="22"/>
          <w:szCs w:val="22"/>
        </w:rPr>
      </w:pPr>
      <w:bookmarkStart w:id="29" w:name="_2bn6wsx" w:colFirst="0" w:colLast="0"/>
      <w:bookmarkEnd w:id="29"/>
      <w:r>
        <w:rPr>
          <w:rFonts w:ascii="Arial" w:eastAsia="Arial" w:hAnsi="Arial" w:cs="Arial"/>
          <w:sz w:val="22"/>
          <w:szCs w:val="22"/>
        </w:rPr>
        <w:t xml:space="preserve">Por lo tanto, la restricción prevista en la Ley 996 de 2005, teniendo en cuenta la finalidad de la ley de garantías electorales, cobija a cualquier ente público que pueda a través de la contratación directa romper el equilibrio entre los partidos y los candidatos en </w:t>
      </w:r>
      <w:r>
        <w:rPr>
          <w:rFonts w:ascii="Arial" w:eastAsia="Arial" w:hAnsi="Arial" w:cs="Arial"/>
          <w:sz w:val="22"/>
          <w:szCs w:val="22"/>
        </w:rPr>
        <w:lastRenderedPageBreak/>
        <w:t>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793FEF7D" w14:textId="77777777" w:rsidR="00C13C5F" w:rsidRDefault="00C13C5F">
      <w:pPr>
        <w:spacing w:after="0"/>
        <w:rPr>
          <w:rFonts w:ascii="Arial" w:eastAsia="Arial" w:hAnsi="Arial" w:cs="Arial"/>
          <w:sz w:val="22"/>
          <w:szCs w:val="22"/>
        </w:rPr>
      </w:pPr>
    </w:p>
    <w:p w14:paraId="24D38CAB" w14:textId="0F55DD54" w:rsidR="00C13C5F" w:rsidRDefault="0059492F">
      <w:pPr>
        <w:rPr>
          <w:rFonts w:ascii="Arial" w:eastAsia="Arial" w:hAnsi="Arial" w:cs="Arial"/>
          <w:b/>
          <w:color w:val="000000"/>
          <w:sz w:val="22"/>
          <w:szCs w:val="22"/>
        </w:rPr>
      </w:pPr>
      <w:bookmarkStart w:id="30" w:name="_qsh70q" w:colFirst="0" w:colLast="0"/>
      <w:bookmarkEnd w:id="30"/>
      <w:r>
        <w:rPr>
          <w:rFonts w:ascii="Arial" w:eastAsia="Arial" w:hAnsi="Arial" w:cs="Arial"/>
          <w:b/>
          <w:sz w:val="22"/>
          <w:szCs w:val="22"/>
        </w:rPr>
        <w:t>2.4.</w:t>
      </w:r>
      <w:r>
        <w:rPr>
          <w:rFonts w:ascii="Arial" w:eastAsia="Arial" w:hAnsi="Arial" w:cs="Arial"/>
          <w:b/>
          <w:color w:val="000000"/>
          <w:sz w:val="22"/>
          <w:szCs w:val="22"/>
        </w:rPr>
        <w:t xml:space="preserve"> Contratos de financiamiento regulados en el artículo 8 del Decreto 591 de 1991</w:t>
      </w:r>
    </w:p>
    <w:p w14:paraId="62C83225" w14:textId="77777777" w:rsidR="00C13C5F" w:rsidRDefault="0059492F">
      <w:pPr>
        <w:rPr>
          <w:rFonts w:ascii="Arial" w:eastAsia="Arial" w:hAnsi="Arial" w:cs="Arial"/>
          <w:color w:val="000000"/>
          <w:sz w:val="22"/>
          <w:szCs w:val="22"/>
        </w:rPr>
      </w:pPr>
      <w:r>
        <w:rPr>
          <w:rFonts w:ascii="Arial" w:eastAsia="Arial" w:hAnsi="Arial" w:cs="Arial"/>
          <w:color w:val="000000"/>
          <w:sz w:val="22"/>
          <w:szCs w:val="22"/>
        </w:rPr>
        <w:t xml:space="preserve">La Ley 80 de 1993, en el artículo 81, dispone las derogatorias y vigencia de la norma, e incluyó este decreto, y señaló que los artículos que continuarían vigentes son: 2, 8, 9, 17 y 19; por lo que la mayoría de las disposiciones se encuentran derogadas. Así pues, el Decreto 591 de 1991 enlista actividades científicas y tecnológicas y, a pesar de que su propósito principal era regular las modalidades específicas de contratos de fomento de esas actividades, con la derogatoria del artículo 7 que señalaba 10 tipos de contrato, actualmente se encuentran vigentes 3: i) contratos de financiamiento,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xml:space="preserve">) contratos de administración de proyectos y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convenios especiales de cooperación.</w:t>
      </w:r>
    </w:p>
    <w:p w14:paraId="35388DDC" w14:textId="41B07D7F" w:rsidR="00C13C5F" w:rsidRPr="002760E2" w:rsidRDefault="0059492F" w:rsidP="002760E2">
      <w:pPr>
        <w:spacing w:after="120"/>
        <w:ind w:firstLine="720"/>
      </w:pPr>
      <w:r>
        <w:rPr>
          <w:rFonts w:ascii="Arial" w:eastAsia="Arial" w:hAnsi="Arial" w:cs="Arial"/>
          <w:color w:val="000000"/>
          <w:sz w:val="22"/>
          <w:szCs w:val="22"/>
        </w:rPr>
        <w:t xml:space="preserve">Teniendo en cuenta la pregunta del peticionario, el propósito de los contratos de financiamiento, regulados en el artículo 8 del Decreto 591, es el entregar recursos al </w:t>
      </w:r>
      <w:proofErr w:type="gramStart"/>
      <w:r>
        <w:rPr>
          <w:rFonts w:ascii="Arial" w:eastAsia="Arial" w:hAnsi="Arial" w:cs="Arial"/>
          <w:color w:val="000000"/>
          <w:sz w:val="22"/>
          <w:szCs w:val="22"/>
        </w:rPr>
        <w:t>contratista  ̶</w:t>
      </w:r>
      <w:proofErr w:type="gramEnd"/>
      <w:r>
        <w:rPr>
          <w:rFonts w:ascii="Arial" w:eastAsia="Arial" w:hAnsi="Arial" w:cs="Arial"/>
          <w:color w:val="000000"/>
          <w:sz w:val="22"/>
          <w:szCs w:val="22"/>
        </w:rPr>
        <w:t xml:space="preserve"> particular o entidad estatal ̶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55A6F149" w14:textId="2ACB4129" w:rsidR="00C13C5F" w:rsidRPr="002760E2" w:rsidRDefault="0059492F" w:rsidP="002760E2">
      <w:pPr>
        <w:spacing w:after="120"/>
      </w:pPr>
      <w:r>
        <w:rPr>
          <w:rFonts w:ascii="Arial" w:eastAsia="Arial" w:hAnsi="Arial" w:cs="Arial"/>
          <w:color w:val="000000"/>
          <w:sz w:val="22"/>
          <w:szCs w:val="22"/>
        </w:rPr>
        <w:tab/>
        <w:t>Ahora bien, el Decreto 591 de 1991 no señala el régimen aplicable a este contrato, por lo cual la Circular Externa Única de Colombia Compra Eficiente dispone que</w:t>
      </w:r>
      <w:r>
        <w:rPr>
          <w:color w:val="000000"/>
        </w:rPr>
        <w:t xml:space="preserve"> «</w:t>
      </w:r>
      <w:r>
        <w:rPr>
          <w:rFonts w:ascii="Arial" w:eastAsia="Arial" w:hAnsi="Arial" w:cs="Arial"/>
          <w:color w:val="000000"/>
          <w:sz w:val="22"/>
          <w:szCs w:val="22"/>
        </w:rPr>
        <w:t>están sujetos a (i) las leyes 80 de 1993 y 1150 de 2007 y a sus normas reglamentarias y pueden celebrarse bajo la modalidad de contratación directa; y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el artículo 8 del Decreto–Ley 591 de 1991»</w:t>
      </w:r>
      <w:r>
        <w:rPr>
          <w:rFonts w:ascii="Arial" w:eastAsia="Arial" w:hAnsi="Arial" w:cs="Arial"/>
          <w:color w:val="000000"/>
          <w:sz w:val="22"/>
          <w:szCs w:val="22"/>
          <w:vertAlign w:val="superscript"/>
        </w:rPr>
        <w:footnoteReference w:id="23"/>
      </w:r>
      <w:r>
        <w:rPr>
          <w:rFonts w:ascii="Arial" w:eastAsia="Arial" w:hAnsi="Arial" w:cs="Arial"/>
          <w:color w:val="000000"/>
          <w:sz w:val="22"/>
          <w:szCs w:val="22"/>
        </w:rPr>
        <w:t xml:space="preserve">. </w:t>
      </w:r>
    </w:p>
    <w:p w14:paraId="0083587D" w14:textId="77777777" w:rsidR="00C13C5F" w:rsidRPr="002760E2" w:rsidRDefault="0059492F" w:rsidP="002760E2">
      <w:pPr>
        <w:spacing w:after="0"/>
        <w:ind w:firstLine="720"/>
      </w:pPr>
      <w:r>
        <w:rPr>
          <w:rFonts w:ascii="Arial" w:eastAsia="Arial" w:hAnsi="Arial" w:cs="Arial"/>
          <w:color w:val="000000"/>
          <w:sz w:val="22"/>
          <w:szCs w:val="22"/>
        </w:rPr>
        <w:lastRenderedPageBreak/>
        <w:t xml:space="preserve">Dicho todo lo anterior, la Agencia concluye que siempre y cuando los contratos de financiamiento de que trata el artículo 8 del Decreto 591 de 1991 sean celebrados a través de una modalidad de selección que no implique convocatoria pública, resultará aplicable la restricción a la contratación directa establecida en el artículo 33 de la Ley 996 de 2005. </w:t>
      </w:r>
    </w:p>
    <w:p w14:paraId="49E65427" w14:textId="77777777" w:rsidR="00C13C5F" w:rsidRPr="002760E2" w:rsidRDefault="00C13C5F" w:rsidP="002760E2">
      <w:pPr>
        <w:spacing w:after="0"/>
      </w:pPr>
    </w:p>
    <w:p w14:paraId="24374479" w14:textId="77777777" w:rsidR="00C13C5F" w:rsidRDefault="0059492F">
      <w:pPr>
        <w:spacing w:after="0"/>
        <w:rPr>
          <w:rFonts w:ascii="Arial" w:eastAsia="Arial" w:hAnsi="Arial" w:cs="Arial"/>
          <w:b/>
          <w:sz w:val="22"/>
          <w:szCs w:val="22"/>
        </w:rPr>
      </w:pPr>
      <w:bookmarkStart w:id="31" w:name="_3as4poj" w:colFirst="0" w:colLast="0"/>
      <w:bookmarkEnd w:id="31"/>
      <w:r>
        <w:rPr>
          <w:rFonts w:ascii="Arial" w:eastAsia="Arial" w:hAnsi="Arial" w:cs="Arial"/>
          <w:b/>
          <w:sz w:val="22"/>
          <w:szCs w:val="22"/>
        </w:rPr>
        <w:t>3. Respuesta</w:t>
      </w:r>
    </w:p>
    <w:p w14:paraId="774A8EE6" w14:textId="77777777" w:rsidR="00C13C5F" w:rsidRDefault="00C13C5F">
      <w:pPr>
        <w:spacing w:after="0"/>
      </w:pPr>
    </w:p>
    <w:p w14:paraId="02590F8F" w14:textId="77777777" w:rsidR="00C13C5F" w:rsidRPr="002760E2" w:rsidRDefault="0059492F" w:rsidP="002760E2">
      <w:pPr>
        <w:spacing w:after="0" w:line="240" w:lineRule="auto"/>
        <w:ind w:left="709" w:right="709"/>
      </w:pPr>
      <w:r>
        <w:rPr>
          <w:rFonts w:ascii="Arial" w:eastAsia="Arial" w:hAnsi="Arial" w:cs="Arial"/>
          <w:color w:val="000000"/>
          <w:sz w:val="21"/>
          <w:szCs w:val="21"/>
        </w:rPr>
        <w:t>«</w:t>
      </w:r>
      <w:r>
        <w:rPr>
          <w:rFonts w:ascii="Arial" w:eastAsia="Arial" w:hAnsi="Arial" w:cs="Arial"/>
          <w:sz w:val="21"/>
          <w:szCs w:val="21"/>
        </w:rPr>
        <w:t xml:space="preserve">¿La ley de garantías es aplicable a los contratos de </w:t>
      </w:r>
      <w:proofErr w:type="spellStart"/>
      <w:r>
        <w:rPr>
          <w:rFonts w:ascii="Arial" w:eastAsia="Arial" w:hAnsi="Arial" w:cs="Arial"/>
          <w:sz w:val="21"/>
          <w:szCs w:val="21"/>
        </w:rPr>
        <w:t>recuperación</w:t>
      </w:r>
      <w:proofErr w:type="spellEnd"/>
      <w:r>
        <w:rPr>
          <w:rFonts w:ascii="Arial" w:eastAsia="Arial" w:hAnsi="Arial" w:cs="Arial"/>
          <w:sz w:val="21"/>
          <w:szCs w:val="21"/>
        </w:rPr>
        <w:t xml:space="preserve"> contingente contemplados en el </w:t>
      </w:r>
      <w:proofErr w:type="spellStart"/>
      <w:r>
        <w:rPr>
          <w:rFonts w:ascii="Arial" w:eastAsia="Arial" w:hAnsi="Arial" w:cs="Arial"/>
          <w:sz w:val="21"/>
          <w:szCs w:val="21"/>
        </w:rPr>
        <w:t>artículo</w:t>
      </w:r>
      <w:proofErr w:type="spellEnd"/>
      <w:r>
        <w:rPr>
          <w:rFonts w:ascii="Arial" w:eastAsia="Arial" w:hAnsi="Arial" w:cs="Arial"/>
          <w:sz w:val="21"/>
          <w:szCs w:val="21"/>
        </w:rPr>
        <w:t xml:space="preserve"> 8 del Decreto 591 de 1991?»</w:t>
      </w:r>
    </w:p>
    <w:p w14:paraId="2DB69A1F" w14:textId="77777777" w:rsidR="00C13C5F" w:rsidRDefault="00C13C5F">
      <w:pPr>
        <w:spacing w:after="0"/>
        <w:ind w:left="709" w:right="709"/>
        <w:rPr>
          <w:rFonts w:ascii="Arial" w:eastAsia="Arial" w:hAnsi="Arial" w:cs="Arial"/>
          <w:sz w:val="22"/>
          <w:szCs w:val="22"/>
        </w:rPr>
      </w:pPr>
    </w:p>
    <w:p w14:paraId="51436171" w14:textId="6A4ACD7C" w:rsidR="00C13C5F" w:rsidRDefault="0059492F">
      <w:pPr>
        <w:rPr>
          <w:rFonts w:ascii="Arial" w:eastAsia="Arial" w:hAnsi="Arial" w:cs="Arial"/>
          <w:color w:val="000000"/>
          <w:sz w:val="22"/>
          <w:szCs w:val="22"/>
        </w:rPr>
      </w:pPr>
      <w:r>
        <w:rPr>
          <w:rFonts w:ascii="Arial" w:eastAsia="Arial" w:hAnsi="Arial" w:cs="Arial"/>
          <w:color w:val="000000"/>
          <w:sz w:val="22"/>
          <w:szCs w:val="22"/>
        </w:rPr>
        <w:t xml:space="preserve">En relación con los contratos de financiamiento de que trata el artículo 8 del Decreto 591 de 1991, de acuerdo con las consideraciones, cuando sean celebrados a través de una modalidad de selección que no implique convocatoria pública en alguna de sus etapas, ni permita la participación de una pluralidad de oferentes, resultará aplicable la restricción a la contratación directa establecida en el artículo 33 de la Ley 996 de 2005. </w:t>
      </w:r>
    </w:p>
    <w:p w14:paraId="20FE1627" w14:textId="77777777" w:rsidR="00C13C5F" w:rsidRDefault="00C13C5F">
      <w:pPr>
        <w:spacing w:after="0"/>
        <w:rPr>
          <w:rFonts w:ascii="Times New Roman" w:eastAsia="Times New Roman" w:hAnsi="Times New Roman" w:cs="Times New Roman"/>
        </w:rPr>
      </w:pPr>
    </w:p>
    <w:p w14:paraId="4EA49170" w14:textId="77777777" w:rsidR="00C13C5F" w:rsidRDefault="0059492F">
      <w:pPr>
        <w:spacing w:after="0"/>
      </w:pPr>
      <w:r>
        <w:rPr>
          <w:rFonts w:ascii="Arial" w:eastAsia="Arial" w:hAnsi="Arial" w:cs="Arial"/>
          <w:sz w:val="22"/>
          <w:szCs w:val="22"/>
        </w:rPr>
        <w:t>Este concepto tiene el alcance previsto en el artículo 28 del Código de Procedimiento Administrativo y de lo Contencioso Administrativo.</w:t>
      </w:r>
    </w:p>
    <w:p w14:paraId="1A6C432A" w14:textId="77777777" w:rsidR="00C13C5F" w:rsidRDefault="0059492F">
      <w:pPr>
        <w:spacing w:after="120"/>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14:anchorId="38A40016" wp14:editId="06A4144D">
                <wp:simplePos x="0" y="0"/>
                <wp:positionH relativeFrom="column">
                  <wp:posOffset>434340</wp:posOffset>
                </wp:positionH>
                <wp:positionV relativeFrom="paragraph">
                  <wp:posOffset>10160</wp:posOffset>
                </wp:positionV>
                <wp:extent cx="4686300" cy="0"/>
                <wp:effectExtent l="0" t="4763" r="0" b="4763"/>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434340</wp:posOffset>
                </wp:positionH>
                <wp:positionV relativeFrom="paragraph">
                  <wp:posOffset>10160</wp:posOffset>
                </wp:positionV>
                <wp:extent cx="4686300" cy="9526"/>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686300" cy="9526"/>
                        </a:xfrm>
                        <a:prstGeom prst="rect"/>
                        <a:ln/>
                      </pic:spPr>
                    </pic:pic>
                  </a:graphicData>
                </a:graphic>
              </wp:anchor>
            </w:drawing>
          </mc:Fallback>
        </mc:AlternateContent>
      </w:r>
    </w:p>
    <w:p w14:paraId="4659750E" w14:textId="77777777" w:rsidR="00C13C5F" w:rsidRDefault="0059492F">
      <w:pPr>
        <w:rPr>
          <w:rFonts w:ascii="Arial" w:eastAsia="Arial" w:hAnsi="Arial" w:cs="Arial"/>
          <w:sz w:val="22"/>
          <w:szCs w:val="22"/>
        </w:rPr>
      </w:pPr>
      <w:r>
        <w:rPr>
          <w:rFonts w:ascii="Arial" w:eastAsia="Arial" w:hAnsi="Arial" w:cs="Arial"/>
          <w:sz w:val="22"/>
          <w:szCs w:val="22"/>
        </w:rPr>
        <w:t>Atentamente,</w:t>
      </w:r>
    </w:p>
    <w:p w14:paraId="70EC68E8" w14:textId="64B3899A" w:rsidR="00C13C5F" w:rsidRDefault="00A94C8B">
      <w:pPr>
        <w:jc w:val="center"/>
        <w:rPr>
          <w:rFonts w:ascii="Arial" w:eastAsia="Arial" w:hAnsi="Arial" w:cs="Arial"/>
          <w:color w:val="000000"/>
          <w:sz w:val="18"/>
          <w:szCs w:val="18"/>
        </w:rPr>
      </w:pPr>
      <w:r>
        <w:rPr>
          <w:noProof/>
        </w:rPr>
        <w:drawing>
          <wp:inline distT="0" distB="0" distL="0" distR="0" wp14:anchorId="56B2CDE8" wp14:editId="24922BE1">
            <wp:extent cx="2514600" cy="1114425"/>
            <wp:effectExtent l="0" t="0" r="0" b="952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C13C5F" w14:paraId="400E0CD6" w14:textId="77777777">
        <w:trPr>
          <w:trHeight w:val="315"/>
        </w:trPr>
        <w:tc>
          <w:tcPr>
            <w:tcW w:w="812" w:type="dxa"/>
            <w:vAlign w:val="center"/>
          </w:tcPr>
          <w:p w14:paraId="38818FC8" w14:textId="77777777" w:rsidR="00C13C5F" w:rsidRPr="002760E2" w:rsidRDefault="0059492F" w:rsidP="002760E2">
            <w:pPr>
              <w:spacing w:before="0"/>
            </w:pPr>
            <w:r>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5D75BD1A" w14:textId="77777777" w:rsidR="00C13C5F" w:rsidRPr="002760E2" w:rsidRDefault="0059492F" w:rsidP="002760E2">
            <w:pPr>
              <w:spacing w:before="0"/>
            </w:pPr>
            <w:r>
              <w:rPr>
                <w:rFonts w:ascii="Arial" w:eastAsia="Arial" w:hAnsi="Arial" w:cs="Arial"/>
                <w:color w:val="000000"/>
                <w:sz w:val="16"/>
                <w:szCs w:val="16"/>
              </w:rPr>
              <w:t xml:space="preserve">Álvaro </w:t>
            </w:r>
            <w:proofErr w:type="spellStart"/>
            <w:r>
              <w:rPr>
                <w:rFonts w:ascii="Arial" w:eastAsia="Arial" w:hAnsi="Arial" w:cs="Arial"/>
                <w:color w:val="000000"/>
                <w:sz w:val="16"/>
                <w:szCs w:val="16"/>
              </w:rPr>
              <w:t>Namén</w:t>
            </w:r>
            <w:proofErr w:type="spellEnd"/>
            <w:r>
              <w:rPr>
                <w:rFonts w:ascii="Arial" w:eastAsia="Arial" w:hAnsi="Arial" w:cs="Arial"/>
                <w:color w:val="000000"/>
                <w:sz w:val="16"/>
                <w:szCs w:val="16"/>
              </w:rPr>
              <w:t xml:space="preserve"> Vargas</w:t>
            </w:r>
          </w:p>
          <w:p w14:paraId="08E4794C" w14:textId="77777777" w:rsidR="00C13C5F" w:rsidRPr="002760E2" w:rsidRDefault="0059492F" w:rsidP="002760E2">
            <w:pPr>
              <w:spacing w:before="0"/>
            </w:pPr>
            <w:r>
              <w:rPr>
                <w:rFonts w:ascii="Arial" w:eastAsia="Arial" w:hAnsi="Arial" w:cs="Arial"/>
                <w:color w:val="000000"/>
                <w:sz w:val="16"/>
                <w:szCs w:val="16"/>
              </w:rPr>
              <w:t>Contratista de la Subdirección de Gestión Contractual</w:t>
            </w:r>
          </w:p>
        </w:tc>
      </w:tr>
      <w:tr w:rsidR="00C13C5F" w14:paraId="72B45037" w14:textId="77777777">
        <w:trPr>
          <w:trHeight w:val="330"/>
        </w:trPr>
        <w:tc>
          <w:tcPr>
            <w:tcW w:w="812" w:type="dxa"/>
            <w:vAlign w:val="center"/>
          </w:tcPr>
          <w:p w14:paraId="760F385E" w14:textId="77777777" w:rsidR="00C13C5F" w:rsidRPr="002760E2" w:rsidRDefault="0059492F" w:rsidP="002760E2">
            <w:pPr>
              <w:spacing w:before="0"/>
            </w:pPr>
            <w:r>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40F26B0E" w14:textId="52B9F7EB" w:rsidR="00C13C5F" w:rsidRPr="002760E2" w:rsidRDefault="0059492F" w:rsidP="002760E2">
            <w:pPr>
              <w:spacing w:before="0"/>
            </w:pPr>
            <w:r>
              <w:rPr>
                <w:rFonts w:ascii="Arial" w:eastAsia="Arial" w:hAnsi="Arial" w:cs="Arial"/>
                <w:color w:val="000000"/>
                <w:sz w:val="16"/>
                <w:szCs w:val="16"/>
              </w:rPr>
              <w:t>Sebastián Ramírez Grisales</w:t>
            </w:r>
          </w:p>
          <w:p w14:paraId="2F01CA22" w14:textId="77777777" w:rsidR="00C13C5F" w:rsidRPr="002760E2" w:rsidRDefault="0059492F" w:rsidP="002760E2">
            <w:pPr>
              <w:spacing w:before="0"/>
            </w:pPr>
            <w:r>
              <w:rPr>
                <w:rFonts w:ascii="Arial" w:eastAsia="Arial" w:hAnsi="Arial" w:cs="Arial"/>
                <w:color w:val="000000"/>
                <w:sz w:val="16"/>
                <w:szCs w:val="16"/>
              </w:rPr>
              <w:t>Gestor T1-15 de la Subdirección de Gestión Contractual</w:t>
            </w:r>
          </w:p>
        </w:tc>
      </w:tr>
      <w:tr w:rsidR="00C13C5F" w14:paraId="1906950A" w14:textId="77777777">
        <w:trPr>
          <w:trHeight w:val="300"/>
        </w:trPr>
        <w:tc>
          <w:tcPr>
            <w:tcW w:w="812" w:type="dxa"/>
            <w:vAlign w:val="center"/>
          </w:tcPr>
          <w:p w14:paraId="0A765455" w14:textId="77777777" w:rsidR="00C13C5F" w:rsidRPr="002760E2" w:rsidRDefault="0059492F" w:rsidP="002760E2">
            <w:pPr>
              <w:spacing w:before="0"/>
            </w:pPr>
            <w:r>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788DE837" w14:textId="77777777" w:rsidR="00C13C5F" w:rsidRPr="002760E2" w:rsidRDefault="0059492F" w:rsidP="002760E2">
            <w:pPr>
              <w:spacing w:before="0"/>
            </w:pPr>
            <w:r>
              <w:rPr>
                <w:rFonts w:ascii="Arial" w:eastAsia="Arial" w:hAnsi="Arial" w:cs="Arial"/>
                <w:color w:val="000000"/>
                <w:sz w:val="16"/>
                <w:szCs w:val="16"/>
              </w:rPr>
              <w:t>Jorge Augusto Tirado Navarro</w:t>
            </w:r>
          </w:p>
          <w:p w14:paraId="77126DAE" w14:textId="77777777" w:rsidR="00C13C5F" w:rsidRPr="002760E2" w:rsidRDefault="0059492F" w:rsidP="002760E2">
            <w:pPr>
              <w:spacing w:before="0"/>
            </w:pPr>
            <w:r>
              <w:rPr>
                <w:rFonts w:ascii="Arial" w:eastAsia="Arial" w:hAnsi="Arial" w:cs="Arial"/>
                <w:color w:val="000000"/>
                <w:sz w:val="16"/>
                <w:szCs w:val="16"/>
              </w:rPr>
              <w:t>Subdirector de Gestión Contractual ANCP – CCE</w:t>
            </w:r>
          </w:p>
        </w:tc>
      </w:tr>
    </w:tbl>
    <w:p w14:paraId="2C90589B" w14:textId="77777777" w:rsidR="00C13C5F" w:rsidRDefault="00C13C5F">
      <w:pPr>
        <w:spacing w:after="120"/>
        <w:rPr>
          <w:rFonts w:ascii="Arial" w:eastAsia="Arial" w:hAnsi="Arial" w:cs="Arial"/>
          <w:b/>
          <w:sz w:val="20"/>
          <w:szCs w:val="20"/>
        </w:rPr>
      </w:pPr>
    </w:p>
    <w:sectPr w:rsidR="00C13C5F" w:rsidSect="002760E2">
      <w:headerReference w:type="default" r:id="rId10"/>
      <w:footerReference w:type="default" r:id="rId11"/>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D400" w14:textId="77777777" w:rsidR="008458BE" w:rsidRDefault="008458BE">
      <w:pPr>
        <w:spacing w:after="0" w:line="240" w:lineRule="auto"/>
      </w:pPr>
      <w:r>
        <w:separator/>
      </w:r>
    </w:p>
  </w:endnote>
  <w:endnote w:type="continuationSeparator" w:id="0">
    <w:p w14:paraId="6CB5950C" w14:textId="77777777" w:rsidR="008458BE" w:rsidRDefault="0084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BE08" w14:textId="77777777" w:rsidR="00C13C5F" w:rsidRDefault="00C13C5F">
    <w:pPr>
      <w:pBdr>
        <w:top w:val="nil"/>
        <w:left w:val="nil"/>
        <w:bottom w:val="nil"/>
        <w:right w:val="nil"/>
        <w:between w:val="nil"/>
      </w:pBdr>
      <w:spacing w:after="0" w:line="240" w:lineRule="auto"/>
      <w:rPr>
        <w:rFonts w:ascii="Arial" w:eastAsia="Arial" w:hAnsi="Arial" w:cs="Arial"/>
        <w:color w:val="000000"/>
        <w:sz w:val="18"/>
        <w:szCs w:val="18"/>
      </w:rPr>
    </w:pPr>
  </w:p>
  <w:p w14:paraId="60092BB2" w14:textId="77777777" w:rsidR="00C13C5F" w:rsidRDefault="0059492F">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2760E2">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2760E2">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5ADE2FFE" w14:textId="77777777" w:rsidR="00C13C5F" w:rsidRDefault="0059492F">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215E7757" wp14:editId="40150B43">
          <wp:extent cx="4241994" cy="59516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18E4056F" w14:textId="77777777" w:rsidR="00C13C5F" w:rsidRDefault="00C13C5F">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1A49" w14:textId="77777777" w:rsidR="008458BE" w:rsidRDefault="008458BE">
      <w:pPr>
        <w:spacing w:after="0" w:line="240" w:lineRule="auto"/>
      </w:pPr>
      <w:r>
        <w:separator/>
      </w:r>
    </w:p>
  </w:footnote>
  <w:footnote w:type="continuationSeparator" w:id="0">
    <w:p w14:paraId="756B7373" w14:textId="77777777" w:rsidR="008458BE" w:rsidRDefault="008458BE">
      <w:pPr>
        <w:spacing w:after="0" w:line="240" w:lineRule="auto"/>
      </w:pPr>
      <w:r>
        <w:continuationSeparator/>
      </w:r>
    </w:p>
  </w:footnote>
  <w:footnote w:id="1">
    <w:p w14:paraId="025DEE33" w14:textId="77777777" w:rsidR="00C13C5F" w:rsidRPr="00A94C8B" w:rsidRDefault="0059492F">
      <w:pPr>
        <w:pBdr>
          <w:top w:val="nil"/>
          <w:left w:val="nil"/>
          <w:bottom w:val="nil"/>
          <w:right w:val="nil"/>
          <w:between w:val="nil"/>
        </w:pBdr>
        <w:spacing w:after="0" w:line="240" w:lineRule="auto"/>
        <w:ind w:firstLine="709"/>
        <w:rPr>
          <w:rFonts w:ascii="Arial" w:eastAsia="Arial" w:hAnsi="Arial" w:cs="Arial"/>
          <w:color w:val="000000"/>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887BA5F" w14:textId="77777777" w:rsidR="00C13C5F" w:rsidRPr="00A94C8B" w:rsidRDefault="0059492F">
      <w:pPr>
        <w:pBdr>
          <w:top w:val="nil"/>
          <w:left w:val="nil"/>
          <w:bottom w:val="nil"/>
          <w:right w:val="nil"/>
          <w:between w:val="nil"/>
        </w:pBdr>
        <w:spacing w:after="0" w:line="240" w:lineRule="auto"/>
        <w:ind w:firstLine="709"/>
        <w:rPr>
          <w:rFonts w:ascii="Arial" w:eastAsia="Arial" w:hAnsi="Arial" w:cs="Arial"/>
          <w:color w:val="000000"/>
          <w:sz w:val="17"/>
          <w:szCs w:val="17"/>
        </w:rPr>
      </w:pPr>
      <w:proofErr w:type="gramStart"/>
      <w:r w:rsidRPr="00A94C8B">
        <w:rPr>
          <w:rFonts w:ascii="Arial" w:eastAsia="Arial" w:hAnsi="Arial" w:cs="Arial"/>
          <w:color w:val="000000"/>
          <w:sz w:val="17"/>
          <w:szCs w:val="17"/>
        </w:rPr>
        <w:t>»A</w:t>
      </w:r>
      <w:proofErr w:type="gramEnd"/>
      <w:r w:rsidRPr="00A94C8B">
        <w:rPr>
          <w:rFonts w:ascii="Arial" w:eastAsia="Arial" w:hAnsi="Arial" w:cs="Arial"/>
          <w:color w:val="000000"/>
          <w:sz w:val="17"/>
          <w:szCs w:val="17"/>
        </w:rPr>
        <w:t xml:space="preserve">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3A05AFEC" w14:textId="77777777" w:rsidR="00C13C5F" w:rsidRPr="00A94C8B" w:rsidRDefault="00C13C5F">
      <w:pPr>
        <w:pBdr>
          <w:top w:val="nil"/>
          <w:left w:val="nil"/>
          <w:bottom w:val="nil"/>
          <w:right w:val="nil"/>
          <w:between w:val="nil"/>
        </w:pBdr>
        <w:spacing w:after="0" w:line="240" w:lineRule="auto"/>
        <w:ind w:firstLine="709"/>
        <w:rPr>
          <w:rFonts w:ascii="Arial" w:eastAsia="Arial" w:hAnsi="Arial" w:cs="Arial"/>
          <w:color w:val="000000"/>
          <w:sz w:val="17"/>
          <w:szCs w:val="17"/>
        </w:rPr>
      </w:pPr>
    </w:p>
  </w:footnote>
  <w:footnote w:id="2">
    <w:p w14:paraId="073AC050" w14:textId="77777777" w:rsidR="00C13C5F" w:rsidRPr="00A94C8B" w:rsidRDefault="0059492F">
      <w:pPr>
        <w:pBdr>
          <w:top w:val="nil"/>
          <w:left w:val="nil"/>
          <w:bottom w:val="nil"/>
          <w:right w:val="nil"/>
          <w:between w:val="nil"/>
        </w:pBdr>
        <w:spacing w:after="0" w:line="240" w:lineRule="auto"/>
        <w:ind w:firstLine="709"/>
        <w:rPr>
          <w:rFonts w:ascii="Arial" w:eastAsia="Arial" w:hAnsi="Arial" w:cs="Arial"/>
          <w:color w:val="000000"/>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Gaceta del Congreso de la República No. 71 del 2005.</w:t>
      </w:r>
    </w:p>
    <w:p w14:paraId="73F06CCA" w14:textId="77777777" w:rsidR="00C13C5F" w:rsidRPr="00A94C8B" w:rsidRDefault="00C13C5F">
      <w:pPr>
        <w:pBdr>
          <w:top w:val="nil"/>
          <w:left w:val="nil"/>
          <w:bottom w:val="nil"/>
          <w:right w:val="nil"/>
          <w:between w:val="nil"/>
        </w:pBdr>
        <w:spacing w:after="0" w:line="240" w:lineRule="auto"/>
        <w:ind w:firstLine="709"/>
        <w:rPr>
          <w:rFonts w:ascii="Arial" w:eastAsia="Arial" w:hAnsi="Arial" w:cs="Arial"/>
          <w:color w:val="000000"/>
          <w:sz w:val="17"/>
          <w:szCs w:val="17"/>
        </w:rPr>
      </w:pPr>
    </w:p>
  </w:footnote>
  <w:footnote w:id="3">
    <w:p w14:paraId="698A7645" w14:textId="77777777" w:rsidR="00C13C5F" w:rsidRPr="00A94C8B" w:rsidRDefault="0059492F">
      <w:pPr>
        <w:pBdr>
          <w:top w:val="nil"/>
          <w:left w:val="nil"/>
          <w:bottom w:val="nil"/>
          <w:right w:val="nil"/>
          <w:between w:val="nil"/>
        </w:pBdr>
        <w:spacing w:after="0" w:line="240" w:lineRule="auto"/>
        <w:ind w:firstLine="709"/>
        <w:rPr>
          <w:rFonts w:ascii="Arial" w:eastAsia="Arial" w:hAnsi="Arial" w:cs="Arial"/>
          <w:color w:val="000000"/>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Corte Constitucional, Sentencia C- 1153 de 2005, M.P. Marco Gerardo Monroy Cabra.</w:t>
      </w:r>
    </w:p>
  </w:footnote>
  <w:footnote w:id="4">
    <w:p w14:paraId="7FE81CB0" w14:textId="77777777" w:rsidR="00C13C5F" w:rsidRPr="00A94C8B" w:rsidRDefault="0059492F">
      <w:pPr>
        <w:pBdr>
          <w:top w:val="nil"/>
          <w:left w:val="nil"/>
          <w:bottom w:val="nil"/>
          <w:right w:val="nil"/>
          <w:between w:val="nil"/>
        </w:pBdr>
        <w:spacing w:after="0" w:line="240" w:lineRule="auto"/>
        <w:ind w:firstLine="709"/>
        <w:rPr>
          <w:rFonts w:ascii="Arial" w:eastAsia="Arial" w:hAnsi="Arial" w:cs="Arial"/>
          <w:color w:val="000000"/>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06A19429" w14:textId="77777777" w:rsidR="00C13C5F" w:rsidRPr="00A94C8B" w:rsidRDefault="00C13C5F">
      <w:pPr>
        <w:pBdr>
          <w:top w:val="nil"/>
          <w:left w:val="nil"/>
          <w:bottom w:val="nil"/>
          <w:right w:val="nil"/>
          <w:between w:val="nil"/>
        </w:pBdr>
        <w:spacing w:after="0" w:line="240" w:lineRule="auto"/>
        <w:ind w:firstLine="709"/>
        <w:rPr>
          <w:rFonts w:ascii="Arial" w:eastAsia="Arial" w:hAnsi="Arial" w:cs="Arial"/>
          <w:color w:val="000000"/>
          <w:sz w:val="17"/>
          <w:szCs w:val="17"/>
        </w:rPr>
      </w:pPr>
    </w:p>
  </w:footnote>
  <w:footnote w:id="5">
    <w:p w14:paraId="7FBDA50F" w14:textId="77777777" w:rsidR="00C13C5F" w:rsidRPr="00A94C8B" w:rsidRDefault="0059492F">
      <w:pPr>
        <w:pBdr>
          <w:top w:val="nil"/>
          <w:left w:val="nil"/>
          <w:bottom w:val="nil"/>
          <w:right w:val="nil"/>
          <w:between w:val="nil"/>
        </w:pBdr>
        <w:spacing w:after="0" w:line="240" w:lineRule="auto"/>
        <w:ind w:firstLine="709"/>
        <w:rPr>
          <w:rFonts w:ascii="Arial" w:eastAsia="Arial" w:hAnsi="Arial" w:cs="Arial"/>
          <w:color w:val="000000"/>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9722B2F" w14:textId="77777777" w:rsidR="00C13C5F" w:rsidRPr="00A94C8B" w:rsidRDefault="00C13C5F">
      <w:pPr>
        <w:pBdr>
          <w:top w:val="nil"/>
          <w:left w:val="nil"/>
          <w:bottom w:val="nil"/>
          <w:right w:val="nil"/>
          <w:between w:val="nil"/>
        </w:pBdr>
        <w:spacing w:after="0" w:line="240" w:lineRule="auto"/>
        <w:ind w:firstLine="709"/>
        <w:rPr>
          <w:rFonts w:ascii="Arial" w:eastAsia="Arial" w:hAnsi="Arial" w:cs="Arial"/>
          <w:color w:val="000000"/>
          <w:sz w:val="17"/>
          <w:szCs w:val="17"/>
        </w:rPr>
      </w:pPr>
    </w:p>
  </w:footnote>
  <w:footnote w:id="6">
    <w:p w14:paraId="1BEF71EF" w14:textId="77777777" w:rsidR="00C13C5F" w:rsidRPr="00A94C8B" w:rsidRDefault="0059492F">
      <w:pPr>
        <w:pBdr>
          <w:top w:val="nil"/>
          <w:left w:val="nil"/>
          <w:bottom w:val="nil"/>
          <w:right w:val="nil"/>
          <w:between w:val="nil"/>
        </w:pBdr>
        <w:spacing w:after="0" w:line="240" w:lineRule="auto"/>
        <w:ind w:firstLine="709"/>
        <w:rPr>
          <w:rFonts w:ascii="Arial" w:eastAsia="Arial" w:hAnsi="Arial" w:cs="Arial"/>
          <w:color w:val="000000"/>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Consejo de Estado, Sala de Consulta y Servicio Civil de fecha 24 de julio de 2013, radicado 2166, </w:t>
      </w:r>
      <w:proofErr w:type="gramStart"/>
      <w:r w:rsidRPr="00A94C8B">
        <w:rPr>
          <w:rFonts w:ascii="Arial" w:eastAsia="Arial" w:hAnsi="Arial" w:cs="Arial"/>
          <w:color w:val="000000"/>
          <w:sz w:val="17"/>
          <w:szCs w:val="17"/>
        </w:rPr>
        <w:t>Consejero</w:t>
      </w:r>
      <w:proofErr w:type="gramEnd"/>
      <w:r w:rsidRPr="00A94C8B">
        <w:rPr>
          <w:rFonts w:ascii="Arial" w:eastAsia="Arial" w:hAnsi="Arial" w:cs="Arial"/>
          <w:color w:val="000000"/>
          <w:sz w:val="17"/>
          <w:szCs w:val="17"/>
        </w:rPr>
        <w:t xml:space="preserve"> Ponente: Álvaro </w:t>
      </w:r>
      <w:proofErr w:type="spellStart"/>
      <w:r w:rsidRPr="00A94C8B">
        <w:rPr>
          <w:rFonts w:ascii="Arial" w:eastAsia="Arial" w:hAnsi="Arial" w:cs="Arial"/>
          <w:color w:val="000000"/>
          <w:sz w:val="17"/>
          <w:szCs w:val="17"/>
        </w:rPr>
        <w:t>Namén</w:t>
      </w:r>
      <w:proofErr w:type="spellEnd"/>
      <w:r w:rsidRPr="00A94C8B">
        <w:rPr>
          <w:rFonts w:ascii="Arial" w:eastAsia="Arial" w:hAnsi="Arial" w:cs="Arial"/>
          <w:color w:val="000000"/>
          <w:sz w:val="17"/>
          <w:szCs w:val="17"/>
        </w:rPr>
        <w:t xml:space="preserve"> Vargas.  </w:t>
      </w:r>
    </w:p>
  </w:footnote>
  <w:footnote w:id="7">
    <w:p w14:paraId="4BF298B8" w14:textId="77777777" w:rsidR="00C13C5F" w:rsidRPr="00A94C8B" w:rsidRDefault="0059492F">
      <w:pPr>
        <w:spacing w:after="0" w:line="240" w:lineRule="auto"/>
        <w:ind w:firstLine="709"/>
        <w:rPr>
          <w:rFonts w:ascii="Arial" w:eastAsia="Arial" w:hAnsi="Arial" w:cs="Arial"/>
          <w:sz w:val="17"/>
          <w:szCs w:val="17"/>
        </w:rPr>
      </w:pPr>
      <w:r w:rsidRPr="00A94C8B">
        <w:rPr>
          <w:sz w:val="17"/>
          <w:szCs w:val="17"/>
          <w:vertAlign w:val="superscript"/>
        </w:rPr>
        <w:footnoteRef/>
      </w:r>
      <w:r w:rsidRPr="00A94C8B">
        <w:rPr>
          <w:rFonts w:ascii="Arial" w:eastAsia="Arial" w:hAnsi="Arial" w:cs="Arial"/>
          <w:sz w:val="17"/>
          <w:szCs w:val="17"/>
        </w:rPr>
        <w:t xml:space="preserve"> </w:t>
      </w:r>
      <w:bookmarkStart w:id="11" w:name="1pxezwc" w:colFirst="0" w:colLast="0"/>
      <w:bookmarkEnd w:id="11"/>
      <w:r w:rsidRPr="00A94C8B">
        <w:rPr>
          <w:rFonts w:ascii="Arial" w:eastAsia="Arial" w:hAnsi="Arial" w:cs="Arial"/>
          <w:color w:val="000000"/>
          <w:sz w:val="17"/>
          <w:szCs w:val="17"/>
        </w:rPr>
        <w:t>«</w:t>
      </w:r>
      <w:r w:rsidRPr="00A94C8B">
        <w:rPr>
          <w:rFonts w:ascii="Arial" w:eastAsia="Arial" w:hAnsi="Arial" w:cs="Arial"/>
          <w:sz w:val="17"/>
          <w:szCs w:val="17"/>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34D99BD8" w14:textId="77777777" w:rsidR="00C13C5F" w:rsidRPr="00A94C8B" w:rsidRDefault="0059492F">
      <w:pPr>
        <w:spacing w:after="0" w:line="240" w:lineRule="auto"/>
        <w:ind w:firstLine="709"/>
        <w:rPr>
          <w:rFonts w:ascii="Arial" w:eastAsia="Arial" w:hAnsi="Arial" w:cs="Arial"/>
          <w:sz w:val="17"/>
          <w:szCs w:val="17"/>
        </w:rPr>
      </w:pPr>
      <w:r w:rsidRPr="00A94C8B">
        <w:rPr>
          <w:rFonts w:ascii="Arial" w:eastAsia="Arial" w:hAnsi="Arial" w:cs="Arial"/>
          <w:color w:val="000000"/>
          <w:sz w:val="17"/>
          <w:szCs w:val="17"/>
        </w:rPr>
        <w:t>»</w:t>
      </w:r>
      <w:r w:rsidRPr="00A94C8B">
        <w:rPr>
          <w:rFonts w:ascii="Arial" w:eastAsia="Arial" w:hAnsi="Arial" w:cs="Arial"/>
          <w:sz w:val="17"/>
          <w:szCs w:val="17"/>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A94C8B">
        <w:rPr>
          <w:rFonts w:ascii="Arial" w:eastAsia="Arial" w:hAnsi="Arial" w:cs="Arial"/>
          <w:color w:val="000000"/>
          <w:sz w:val="17"/>
          <w:szCs w:val="17"/>
        </w:rPr>
        <w:t>»</w:t>
      </w:r>
      <w:r w:rsidRPr="00A94C8B">
        <w:rPr>
          <w:rFonts w:ascii="Arial" w:eastAsia="Arial" w:hAnsi="Arial" w:cs="Arial"/>
          <w:sz w:val="17"/>
          <w:szCs w:val="17"/>
        </w:rPr>
        <w:t>.</w:t>
      </w:r>
    </w:p>
  </w:footnote>
  <w:footnote w:id="8">
    <w:p w14:paraId="1B3C6E82" w14:textId="77777777" w:rsidR="00C13C5F" w:rsidRPr="00A94C8B" w:rsidRDefault="0059492F">
      <w:pPr>
        <w:pBdr>
          <w:top w:val="nil"/>
          <w:left w:val="nil"/>
          <w:bottom w:val="nil"/>
          <w:right w:val="nil"/>
          <w:between w:val="nil"/>
        </w:pBdr>
        <w:spacing w:after="0" w:line="240" w:lineRule="auto"/>
        <w:ind w:firstLine="709"/>
        <w:rPr>
          <w:rFonts w:ascii="Arial" w:eastAsia="Arial" w:hAnsi="Arial" w:cs="Arial"/>
          <w:color w:val="000000"/>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w:t>
      </w:r>
      <w:bookmarkStart w:id="12" w:name="49x2ik5" w:colFirst="0" w:colLast="0"/>
      <w:bookmarkEnd w:id="12"/>
      <w:r w:rsidRPr="00A94C8B">
        <w:rPr>
          <w:rFonts w:ascii="Arial" w:eastAsia="Arial" w:hAnsi="Arial" w:cs="Arial"/>
          <w:color w:val="000000"/>
          <w:sz w:val="17"/>
          <w:szCs w:val="17"/>
        </w:rPr>
        <w:t>«Artículo 38. Prohibiciones para los servidores públicos. A los empleados del Estado les está prohibido:</w:t>
      </w:r>
    </w:p>
    <w:p w14:paraId="78683E2D" w14:textId="77777777" w:rsidR="00C13C5F" w:rsidRPr="00A94C8B" w:rsidRDefault="0059492F">
      <w:pPr>
        <w:pBdr>
          <w:top w:val="nil"/>
          <w:left w:val="nil"/>
          <w:bottom w:val="nil"/>
          <w:right w:val="nil"/>
          <w:between w:val="nil"/>
        </w:pBdr>
        <w:spacing w:after="0" w:line="240" w:lineRule="auto"/>
        <w:ind w:firstLine="709"/>
        <w:rPr>
          <w:rFonts w:ascii="Arial" w:eastAsia="Arial" w:hAnsi="Arial" w:cs="Arial"/>
          <w:color w:val="000000"/>
          <w:sz w:val="17"/>
          <w:szCs w:val="17"/>
        </w:rPr>
      </w:pPr>
      <w:r w:rsidRPr="00A94C8B">
        <w:rPr>
          <w:rFonts w:ascii="Arial" w:eastAsia="Arial" w:hAnsi="Arial" w:cs="Arial"/>
          <w:color w:val="000000"/>
          <w:sz w:val="17"/>
          <w:szCs w:val="17"/>
        </w:rPr>
        <w:t>» […]</w:t>
      </w:r>
    </w:p>
    <w:p w14:paraId="52263317" w14:textId="77777777" w:rsidR="00C13C5F" w:rsidRPr="00A94C8B" w:rsidRDefault="0059492F">
      <w:pPr>
        <w:pBdr>
          <w:top w:val="nil"/>
          <w:left w:val="nil"/>
          <w:bottom w:val="nil"/>
          <w:right w:val="nil"/>
          <w:between w:val="nil"/>
        </w:pBdr>
        <w:spacing w:after="0" w:line="240" w:lineRule="auto"/>
        <w:ind w:firstLine="709"/>
        <w:rPr>
          <w:rFonts w:ascii="Arial" w:eastAsia="Arial" w:hAnsi="Arial" w:cs="Arial"/>
          <w:color w:val="000000"/>
          <w:sz w:val="17"/>
          <w:szCs w:val="17"/>
        </w:rPr>
      </w:pPr>
      <w:r w:rsidRPr="00A94C8B">
        <w:rPr>
          <w:rFonts w:ascii="Arial" w:eastAsia="Arial" w:hAnsi="Arial" w:cs="Arial"/>
          <w:color w:val="000000"/>
          <w:sz w:val="17"/>
          <w:szCs w:val="17"/>
        </w:rPr>
        <w:t>» 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1E82E52E" w14:textId="77777777" w:rsidR="00C13C5F" w:rsidRPr="00A94C8B" w:rsidRDefault="00C13C5F">
      <w:pPr>
        <w:pBdr>
          <w:top w:val="nil"/>
          <w:left w:val="nil"/>
          <w:bottom w:val="nil"/>
          <w:right w:val="nil"/>
          <w:between w:val="nil"/>
        </w:pBdr>
        <w:spacing w:after="0" w:line="240" w:lineRule="auto"/>
        <w:ind w:firstLine="709"/>
        <w:rPr>
          <w:rFonts w:ascii="Arial" w:eastAsia="Arial" w:hAnsi="Arial" w:cs="Arial"/>
          <w:color w:val="000000"/>
          <w:sz w:val="17"/>
          <w:szCs w:val="17"/>
        </w:rPr>
      </w:pPr>
    </w:p>
  </w:footnote>
  <w:footnote w:id="9">
    <w:p w14:paraId="1E9ED7CD" w14:textId="77777777" w:rsidR="00C13C5F" w:rsidRPr="00A94C8B" w:rsidRDefault="0059492F" w:rsidP="002760E2">
      <w:pPr>
        <w:spacing w:after="0" w:line="240" w:lineRule="auto"/>
        <w:ind w:firstLine="709"/>
        <w:rPr>
          <w:sz w:val="17"/>
          <w:szCs w:val="17"/>
        </w:rPr>
      </w:pPr>
      <w:r w:rsidRPr="00A94C8B">
        <w:rPr>
          <w:sz w:val="17"/>
          <w:szCs w:val="17"/>
          <w:vertAlign w:val="superscript"/>
        </w:rPr>
        <w:footnoteRef/>
      </w:r>
      <w:r w:rsidRPr="00A94C8B">
        <w:rPr>
          <w:rFonts w:ascii="Arial" w:eastAsia="Arial" w:hAnsi="Arial" w:cs="Arial"/>
          <w:sz w:val="17"/>
          <w:szCs w:val="17"/>
        </w:rPr>
        <w:t xml:space="preserve"> Consejo de Estado. Sala de Consulta y Servicio Civil. Concepto del 17 de febrero de 2015. C.P. William Zambrano Cetina. Radicación No. 11001-03-06-000-2015-00164-00(2269).</w:t>
      </w:r>
    </w:p>
    <w:p w14:paraId="4EC98EE4" w14:textId="77777777" w:rsidR="00C13C5F" w:rsidRPr="00A94C8B" w:rsidRDefault="00C13C5F">
      <w:pPr>
        <w:pBdr>
          <w:top w:val="nil"/>
          <w:left w:val="nil"/>
          <w:bottom w:val="nil"/>
          <w:right w:val="nil"/>
          <w:between w:val="nil"/>
        </w:pBdr>
        <w:spacing w:after="0" w:line="240" w:lineRule="auto"/>
        <w:ind w:firstLine="709"/>
        <w:rPr>
          <w:rFonts w:ascii="Arial" w:eastAsia="Arial" w:hAnsi="Arial" w:cs="Arial"/>
          <w:color w:val="000000"/>
          <w:sz w:val="17"/>
          <w:szCs w:val="17"/>
        </w:rPr>
      </w:pPr>
    </w:p>
  </w:footnote>
  <w:footnote w:id="10">
    <w:p w14:paraId="257B9C3E" w14:textId="77777777" w:rsidR="00C13C5F" w:rsidRPr="00A94C8B" w:rsidRDefault="0059492F" w:rsidP="002760E2">
      <w:pPr>
        <w:pBdr>
          <w:top w:val="nil"/>
          <w:left w:val="nil"/>
          <w:bottom w:val="nil"/>
          <w:right w:val="nil"/>
          <w:between w:val="nil"/>
        </w:pBdr>
        <w:spacing w:after="0" w:line="240" w:lineRule="auto"/>
        <w:ind w:firstLine="709"/>
        <w:rPr>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«[25] Cfr. Consejo de Estado. Sección Tercera. Sentencia de 3 de diciembre de 2007. Radicados: 24.715, 25.206, 25.409, 24.524, 27.834, 25.410, 26.105, 28.244, 31.447 -acumulados-».</w:t>
      </w:r>
    </w:p>
    <w:p w14:paraId="1225C115" w14:textId="77777777" w:rsidR="00C13C5F" w:rsidRPr="00A94C8B" w:rsidRDefault="00C13C5F" w:rsidP="002760E2">
      <w:pPr>
        <w:pBdr>
          <w:top w:val="nil"/>
          <w:left w:val="nil"/>
          <w:bottom w:val="nil"/>
          <w:right w:val="nil"/>
          <w:between w:val="nil"/>
        </w:pBdr>
        <w:spacing w:after="0" w:line="240" w:lineRule="auto"/>
        <w:ind w:firstLine="709"/>
        <w:rPr>
          <w:sz w:val="17"/>
          <w:szCs w:val="17"/>
        </w:rPr>
      </w:pPr>
    </w:p>
  </w:footnote>
  <w:footnote w:id="11">
    <w:p w14:paraId="4D6CEBD7" w14:textId="77777777" w:rsidR="00C13C5F" w:rsidRPr="00A94C8B" w:rsidRDefault="0059492F" w:rsidP="002760E2">
      <w:pPr>
        <w:pBdr>
          <w:top w:val="nil"/>
          <w:left w:val="nil"/>
          <w:bottom w:val="nil"/>
          <w:right w:val="nil"/>
          <w:between w:val="nil"/>
        </w:pBdr>
        <w:spacing w:after="0" w:line="240" w:lineRule="auto"/>
        <w:ind w:firstLine="709"/>
        <w:rPr>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«[26] Al respecto ver el concepto 1712 de 2 de febrero de 2006. Consejo de Estado Sala de Consulta y Servicio Civil».</w:t>
      </w:r>
    </w:p>
    <w:p w14:paraId="66A06D32" w14:textId="77777777" w:rsidR="00C13C5F" w:rsidRPr="00A94C8B" w:rsidRDefault="00C13C5F" w:rsidP="002760E2">
      <w:pPr>
        <w:pBdr>
          <w:top w:val="nil"/>
          <w:left w:val="nil"/>
          <w:bottom w:val="nil"/>
          <w:right w:val="nil"/>
          <w:between w:val="nil"/>
        </w:pBdr>
        <w:spacing w:after="0" w:line="240" w:lineRule="auto"/>
        <w:ind w:firstLine="709"/>
        <w:rPr>
          <w:sz w:val="17"/>
          <w:szCs w:val="17"/>
        </w:rPr>
      </w:pPr>
    </w:p>
  </w:footnote>
  <w:footnote w:id="12">
    <w:p w14:paraId="338A0C0E" w14:textId="77777777" w:rsidR="00C13C5F" w:rsidRPr="00A94C8B" w:rsidRDefault="0059492F">
      <w:pPr>
        <w:pBdr>
          <w:top w:val="nil"/>
          <w:left w:val="nil"/>
          <w:bottom w:val="nil"/>
          <w:right w:val="nil"/>
          <w:between w:val="nil"/>
        </w:pBdr>
        <w:spacing w:after="0" w:line="240" w:lineRule="auto"/>
        <w:ind w:firstLine="709"/>
        <w:rPr>
          <w:rFonts w:ascii="Arial" w:eastAsia="Arial" w:hAnsi="Arial" w:cs="Arial"/>
          <w:color w:val="000000"/>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Consejo de Estado. Sala de Consulta y Servicio Civil. Concepto del 2 de septiembre de 2013. Radicación número: 11001-03-06-000-2013-00412-00 (2168). Consejero Ponente: Álvaro </w:t>
      </w:r>
      <w:proofErr w:type="spellStart"/>
      <w:r w:rsidRPr="00A94C8B">
        <w:rPr>
          <w:rFonts w:ascii="Arial" w:eastAsia="Arial" w:hAnsi="Arial" w:cs="Arial"/>
          <w:color w:val="000000"/>
          <w:sz w:val="17"/>
          <w:szCs w:val="17"/>
        </w:rPr>
        <w:t>Namén</w:t>
      </w:r>
      <w:proofErr w:type="spellEnd"/>
      <w:r w:rsidRPr="00A94C8B">
        <w:rPr>
          <w:rFonts w:ascii="Arial" w:eastAsia="Arial" w:hAnsi="Arial" w:cs="Arial"/>
          <w:color w:val="000000"/>
          <w:sz w:val="17"/>
          <w:szCs w:val="17"/>
        </w:rPr>
        <w:t xml:space="preserve"> Vargas.</w:t>
      </w:r>
    </w:p>
  </w:footnote>
  <w:footnote w:id="13">
    <w:p w14:paraId="51FD3659" w14:textId="77777777" w:rsidR="00C13C5F" w:rsidRPr="00A94C8B" w:rsidRDefault="0059492F">
      <w:pPr>
        <w:pBdr>
          <w:top w:val="nil"/>
          <w:left w:val="nil"/>
          <w:bottom w:val="nil"/>
          <w:right w:val="nil"/>
          <w:between w:val="nil"/>
        </w:pBdr>
        <w:spacing w:after="0" w:line="240" w:lineRule="auto"/>
        <w:ind w:firstLine="709"/>
        <w:rPr>
          <w:rFonts w:ascii="Arial" w:eastAsia="Arial" w:hAnsi="Arial" w:cs="Arial"/>
          <w:color w:val="000000"/>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Artículo 2. </w:t>
      </w:r>
    </w:p>
    <w:p w14:paraId="7A1AD62F" w14:textId="77777777" w:rsidR="00C13C5F" w:rsidRPr="00A94C8B" w:rsidRDefault="00C13C5F">
      <w:pPr>
        <w:pBdr>
          <w:top w:val="nil"/>
          <w:left w:val="nil"/>
          <w:bottom w:val="nil"/>
          <w:right w:val="nil"/>
          <w:between w:val="nil"/>
        </w:pBdr>
        <w:spacing w:after="0" w:line="240" w:lineRule="auto"/>
        <w:ind w:firstLine="709"/>
        <w:rPr>
          <w:rFonts w:ascii="Arial" w:eastAsia="Arial" w:hAnsi="Arial" w:cs="Arial"/>
          <w:color w:val="000000"/>
          <w:sz w:val="17"/>
          <w:szCs w:val="17"/>
        </w:rPr>
      </w:pPr>
    </w:p>
  </w:footnote>
  <w:footnote w:id="14">
    <w:p w14:paraId="7297D1D1" w14:textId="77777777" w:rsidR="00C13C5F" w:rsidRPr="00A94C8B" w:rsidRDefault="0059492F">
      <w:pPr>
        <w:pBdr>
          <w:top w:val="nil"/>
          <w:left w:val="nil"/>
          <w:bottom w:val="nil"/>
          <w:right w:val="nil"/>
          <w:between w:val="nil"/>
        </w:pBdr>
        <w:spacing w:after="0" w:line="240" w:lineRule="auto"/>
        <w:ind w:firstLine="709"/>
        <w:rPr>
          <w:rFonts w:ascii="Arial" w:eastAsia="Arial" w:hAnsi="Arial" w:cs="Arial"/>
          <w:color w:val="000000"/>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w:t>
      </w:r>
      <w:r w:rsidRPr="00A94C8B">
        <w:rPr>
          <w:rFonts w:ascii="Arial" w:eastAsia="Arial" w:hAnsi="Arial" w:cs="Arial"/>
          <w:i/>
          <w:color w:val="000000"/>
          <w:sz w:val="17"/>
          <w:szCs w:val="17"/>
        </w:rPr>
        <w:t>Ídem</w:t>
      </w:r>
      <w:r w:rsidRPr="00A94C8B">
        <w:rPr>
          <w:rFonts w:ascii="Arial" w:eastAsia="Arial" w:hAnsi="Arial" w:cs="Arial"/>
          <w:color w:val="000000"/>
          <w:sz w:val="17"/>
          <w:szCs w:val="17"/>
        </w:rPr>
        <w:t>.</w:t>
      </w:r>
    </w:p>
    <w:p w14:paraId="45592BCC" w14:textId="77777777" w:rsidR="00C13C5F" w:rsidRPr="00A94C8B" w:rsidRDefault="00C13C5F">
      <w:pPr>
        <w:pBdr>
          <w:top w:val="nil"/>
          <w:left w:val="nil"/>
          <w:bottom w:val="nil"/>
          <w:right w:val="nil"/>
          <w:between w:val="nil"/>
        </w:pBdr>
        <w:spacing w:after="0" w:line="240" w:lineRule="auto"/>
        <w:ind w:firstLine="709"/>
        <w:rPr>
          <w:rFonts w:ascii="Arial" w:eastAsia="Arial" w:hAnsi="Arial" w:cs="Arial"/>
          <w:color w:val="000000"/>
          <w:sz w:val="17"/>
          <w:szCs w:val="17"/>
        </w:rPr>
      </w:pPr>
    </w:p>
    <w:bookmarkStart w:id="18" w:name="_2p2csry" w:colFirst="0" w:colLast="0"/>
    <w:bookmarkEnd w:id="18"/>
  </w:footnote>
  <w:footnote w:id="15">
    <w:p w14:paraId="08F2081B" w14:textId="77777777" w:rsidR="00C13C5F" w:rsidRPr="00A94C8B" w:rsidRDefault="0059492F">
      <w:pPr>
        <w:pBdr>
          <w:top w:val="nil"/>
          <w:left w:val="nil"/>
          <w:bottom w:val="nil"/>
          <w:right w:val="nil"/>
          <w:between w:val="nil"/>
        </w:pBdr>
        <w:spacing w:after="0" w:line="240" w:lineRule="auto"/>
        <w:ind w:firstLine="709"/>
        <w:rPr>
          <w:rFonts w:ascii="Arial" w:eastAsia="Arial" w:hAnsi="Arial" w:cs="Arial"/>
          <w:color w:val="000000"/>
          <w:sz w:val="17"/>
          <w:szCs w:val="17"/>
        </w:rPr>
      </w:pPr>
      <w:bookmarkStart w:id="19" w:name="_2p2csry" w:colFirst="0" w:colLast="0"/>
      <w:bookmarkEnd w:id="19"/>
      <w:r w:rsidRPr="00A94C8B">
        <w:rPr>
          <w:sz w:val="17"/>
          <w:szCs w:val="17"/>
          <w:vertAlign w:val="superscript"/>
        </w:rPr>
        <w:footnoteRef/>
      </w:r>
      <w:r w:rsidRPr="00A94C8B">
        <w:rPr>
          <w:rFonts w:ascii="Arial" w:eastAsia="Arial" w:hAnsi="Arial" w:cs="Arial"/>
          <w:color w:val="000000"/>
          <w:sz w:val="17"/>
          <w:szCs w:val="17"/>
          <w:vertAlign w:val="superscript"/>
        </w:rPr>
        <w:t xml:space="preserve"> </w:t>
      </w:r>
      <w:r w:rsidRPr="00A94C8B">
        <w:rPr>
          <w:rFonts w:ascii="Arial" w:eastAsia="Arial" w:hAnsi="Arial" w:cs="Arial"/>
          <w:color w:val="000000"/>
          <w:sz w:val="17"/>
          <w:szCs w:val="17"/>
        </w:rPr>
        <w:t xml:space="preserve">«[…] A este respecto, cabe recordar que el artículo 860 del Código de Comercio regula la licitación en el derecho privado». </w:t>
      </w:r>
    </w:p>
    <w:p w14:paraId="482DA2DD" w14:textId="77777777" w:rsidR="00C13C5F" w:rsidRPr="00A94C8B" w:rsidRDefault="00C13C5F">
      <w:pPr>
        <w:pBdr>
          <w:top w:val="nil"/>
          <w:left w:val="nil"/>
          <w:bottom w:val="nil"/>
          <w:right w:val="nil"/>
          <w:between w:val="nil"/>
        </w:pBdr>
        <w:spacing w:after="0" w:line="240" w:lineRule="auto"/>
        <w:ind w:firstLine="709"/>
        <w:rPr>
          <w:rFonts w:ascii="Arial" w:eastAsia="Arial" w:hAnsi="Arial" w:cs="Arial"/>
          <w:color w:val="000000"/>
          <w:sz w:val="17"/>
          <w:szCs w:val="17"/>
        </w:rPr>
      </w:pPr>
    </w:p>
  </w:footnote>
  <w:footnote w:id="16">
    <w:p w14:paraId="19CDD4D3" w14:textId="77777777" w:rsidR="00C13C5F" w:rsidRPr="00A94C8B" w:rsidRDefault="0059492F">
      <w:pPr>
        <w:shd w:val="clear" w:color="auto" w:fill="FFFFFF"/>
        <w:spacing w:after="0" w:line="240" w:lineRule="auto"/>
        <w:ind w:firstLine="709"/>
        <w:rPr>
          <w:rFonts w:ascii="Arial" w:eastAsia="Arial" w:hAnsi="Arial" w:cs="Arial"/>
          <w:sz w:val="17"/>
          <w:szCs w:val="17"/>
        </w:rPr>
      </w:pPr>
      <w:r w:rsidRPr="00A94C8B">
        <w:rPr>
          <w:sz w:val="17"/>
          <w:szCs w:val="17"/>
          <w:vertAlign w:val="superscript"/>
        </w:rPr>
        <w:footnoteRef/>
      </w:r>
      <w:r w:rsidRPr="00A94C8B">
        <w:rPr>
          <w:rFonts w:ascii="Arial" w:eastAsia="Arial" w:hAnsi="Arial" w:cs="Arial"/>
          <w:sz w:val="17"/>
          <w:szCs w:val="17"/>
          <w:vertAlign w:val="superscript"/>
        </w:rPr>
        <w:t xml:space="preserve"> </w:t>
      </w:r>
      <w:r w:rsidRPr="00A94C8B">
        <w:rPr>
          <w:rFonts w:ascii="Arial" w:eastAsia="Arial" w:hAnsi="Arial" w:cs="Arial"/>
          <w:sz w:val="17"/>
          <w:szCs w:val="17"/>
        </w:rPr>
        <w:t xml:space="preserve">Consejo de Estado. Sala de Consulta y Servicio Civil, Concepto de 8 de mayo de 2018. Radicación Número: 11001-03-06-000-2018-00095-00(2382). Consejero Ponente: Álvaro </w:t>
      </w:r>
      <w:proofErr w:type="spellStart"/>
      <w:r w:rsidRPr="00A94C8B">
        <w:rPr>
          <w:rFonts w:ascii="Arial" w:eastAsia="Arial" w:hAnsi="Arial" w:cs="Arial"/>
          <w:sz w:val="17"/>
          <w:szCs w:val="17"/>
        </w:rPr>
        <w:t>Namén</w:t>
      </w:r>
      <w:proofErr w:type="spellEnd"/>
      <w:r w:rsidRPr="00A94C8B">
        <w:rPr>
          <w:rFonts w:ascii="Arial" w:eastAsia="Arial" w:hAnsi="Arial" w:cs="Arial"/>
          <w:sz w:val="17"/>
          <w:szCs w:val="17"/>
        </w:rPr>
        <w:t xml:space="preserve"> Vargas.</w:t>
      </w:r>
    </w:p>
    <w:p w14:paraId="086A62A5" w14:textId="77777777" w:rsidR="00C13C5F" w:rsidRPr="00A94C8B" w:rsidRDefault="00C13C5F">
      <w:pPr>
        <w:shd w:val="clear" w:color="auto" w:fill="FFFFFF"/>
        <w:spacing w:after="0" w:line="240" w:lineRule="auto"/>
        <w:ind w:firstLine="709"/>
        <w:rPr>
          <w:rFonts w:ascii="Arial" w:eastAsia="Arial" w:hAnsi="Arial" w:cs="Arial"/>
          <w:sz w:val="17"/>
          <w:szCs w:val="17"/>
        </w:rPr>
      </w:pPr>
    </w:p>
  </w:footnote>
  <w:footnote w:id="17">
    <w:p w14:paraId="74570C0F" w14:textId="77777777" w:rsidR="00C13C5F" w:rsidRPr="00A94C8B" w:rsidRDefault="0059492F">
      <w:pPr>
        <w:pBdr>
          <w:top w:val="nil"/>
          <w:left w:val="nil"/>
          <w:bottom w:val="nil"/>
          <w:right w:val="nil"/>
          <w:between w:val="nil"/>
        </w:pBdr>
        <w:spacing w:after="0" w:line="240" w:lineRule="auto"/>
        <w:ind w:firstLine="709"/>
        <w:rPr>
          <w:rFonts w:ascii="Arial" w:eastAsia="Arial" w:hAnsi="Arial" w:cs="Arial"/>
          <w:color w:val="000000"/>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Consejo de Estado. Sala de Consulta y Servicio Civil. Concepto del 08 de mayo de 2018. </w:t>
      </w:r>
      <w:proofErr w:type="spellStart"/>
      <w:r w:rsidRPr="00A94C8B">
        <w:rPr>
          <w:rFonts w:ascii="Arial" w:eastAsia="Arial" w:hAnsi="Arial" w:cs="Arial"/>
          <w:color w:val="000000"/>
          <w:sz w:val="17"/>
          <w:szCs w:val="17"/>
        </w:rPr>
        <w:t>Exp</w:t>
      </w:r>
      <w:proofErr w:type="spellEnd"/>
      <w:r w:rsidRPr="00A94C8B">
        <w:rPr>
          <w:rFonts w:ascii="Arial" w:eastAsia="Arial" w:hAnsi="Arial" w:cs="Arial"/>
          <w:color w:val="000000"/>
          <w:sz w:val="17"/>
          <w:szCs w:val="17"/>
        </w:rPr>
        <w:t xml:space="preserve">. 2.382. C.P. Álvaro </w:t>
      </w:r>
      <w:proofErr w:type="spellStart"/>
      <w:r w:rsidRPr="00A94C8B">
        <w:rPr>
          <w:rFonts w:ascii="Arial" w:eastAsia="Arial" w:hAnsi="Arial" w:cs="Arial"/>
          <w:color w:val="000000"/>
          <w:sz w:val="17"/>
          <w:szCs w:val="17"/>
        </w:rPr>
        <w:t>Namén</w:t>
      </w:r>
      <w:proofErr w:type="spellEnd"/>
      <w:r w:rsidRPr="00A94C8B">
        <w:rPr>
          <w:rFonts w:ascii="Arial" w:eastAsia="Arial" w:hAnsi="Arial" w:cs="Arial"/>
          <w:color w:val="000000"/>
          <w:sz w:val="17"/>
          <w:szCs w:val="17"/>
        </w:rPr>
        <w:t xml:space="preserve"> Vargas.</w:t>
      </w:r>
    </w:p>
  </w:footnote>
  <w:footnote w:id="18">
    <w:p w14:paraId="4A769D86" w14:textId="77777777" w:rsidR="00C13C5F" w:rsidRPr="00A94C8B" w:rsidRDefault="0059492F">
      <w:pPr>
        <w:pBdr>
          <w:top w:val="nil"/>
          <w:left w:val="nil"/>
          <w:bottom w:val="nil"/>
          <w:right w:val="nil"/>
          <w:between w:val="nil"/>
        </w:pBdr>
        <w:spacing w:after="0" w:line="240" w:lineRule="auto"/>
        <w:ind w:firstLine="709"/>
        <w:rPr>
          <w:rFonts w:ascii="Arial" w:eastAsia="Arial" w:hAnsi="Arial" w:cs="Arial"/>
          <w:color w:val="000000"/>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La Corte Constitucional mediante Sentencia C-1153-05 de 11 de noviembre de 2005, Magistrado Ponente Marco Gerardo Monroy Cabra, efectuó el Control constitucional al Proyecto de Ley Estatutaria </w:t>
      </w:r>
      <w:proofErr w:type="spellStart"/>
      <w:r w:rsidRPr="00A94C8B">
        <w:rPr>
          <w:rFonts w:ascii="Arial" w:eastAsia="Arial" w:hAnsi="Arial" w:cs="Arial"/>
          <w:color w:val="000000"/>
          <w:sz w:val="17"/>
          <w:szCs w:val="17"/>
        </w:rPr>
        <w:t>N°</w:t>
      </w:r>
      <w:proofErr w:type="spellEnd"/>
      <w:r w:rsidRPr="00A94C8B">
        <w:rPr>
          <w:rFonts w:ascii="Arial" w:eastAsia="Arial" w:hAnsi="Arial" w:cs="Arial"/>
          <w:color w:val="000000"/>
          <w:sz w:val="17"/>
          <w:szCs w:val="17"/>
        </w:rPr>
        <w:t xml:space="preserve"> 216/05 Senado, </w:t>
      </w:r>
      <w:proofErr w:type="spellStart"/>
      <w:r w:rsidRPr="00A94C8B">
        <w:rPr>
          <w:rFonts w:ascii="Arial" w:eastAsia="Arial" w:hAnsi="Arial" w:cs="Arial"/>
          <w:color w:val="000000"/>
          <w:sz w:val="17"/>
          <w:szCs w:val="17"/>
        </w:rPr>
        <w:t>N°</w:t>
      </w:r>
      <w:proofErr w:type="spellEnd"/>
      <w:r w:rsidRPr="00A94C8B">
        <w:rPr>
          <w:rFonts w:ascii="Arial" w:eastAsia="Arial" w:hAnsi="Arial" w:cs="Arial"/>
          <w:color w:val="000000"/>
          <w:sz w:val="17"/>
          <w:szCs w:val="17"/>
        </w:rPr>
        <w:t xml:space="preserve"> 235-Cámara que dio lugar a la Ley de Garantías Electorales.</w:t>
      </w:r>
    </w:p>
  </w:footnote>
  <w:footnote w:id="19">
    <w:p w14:paraId="4386041B" w14:textId="77777777" w:rsidR="00C13C5F" w:rsidRPr="00A94C8B" w:rsidRDefault="0059492F">
      <w:pPr>
        <w:spacing w:after="0" w:line="240" w:lineRule="auto"/>
        <w:ind w:firstLine="709"/>
        <w:rPr>
          <w:rFonts w:ascii="Arial" w:eastAsia="Arial" w:hAnsi="Arial" w:cs="Arial"/>
          <w:sz w:val="17"/>
          <w:szCs w:val="17"/>
        </w:rPr>
      </w:pPr>
      <w:r w:rsidRPr="00A94C8B">
        <w:rPr>
          <w:sz w:val="17"/>
          <w:szCs w:val="17"/>
          <w:vertAlign w:val="superscript"/>
        </w:rPr>
        <w:footnoteRef/>
      </w:r>
      <w:r w:rsidRPr="00A94C8B">
        <w:rPr>
          <w:rFonts w:ascii="Arial" w:eastAsia="Arial" w:hAnsi="Arial" w:cs="Arial"/>
          <w:sz w:val="17"/>
          <w:szCs w:val="17"/>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07586544" w14:textId="77777777" w:rsidR="00C13C5F" w:rsidRPr="00A94C8B" w:rsidRDefault="00C13C5F">
      <w:pPr>
        <w:spacing w:after="0" w:line="240" w:lineRule="auto"/>
        <w:ind w:firstLine="709"/>
        <w:rPr>
          <w:rFonts w:ascii="Arial" w:eastAsia="Arial" w:hAnsi="Arial" w:cs="Arial"/>
          <w:sz w:val="17"/>
          <w:szCs w:val="17"/>
        </w:rPr>
      </w:pPr>
    </w:p>
  </w:footnote>
  <w:footnote w:id="20">
    <w:p w14:paraId="653192EE" w14:textId="77777777" w:rsidR="00C13C5F" w:rsidRPr="00A94C8B" w:rsidRDefault="0059492F" w:rsidP="002760E2">
      <w:pPr>
        <w:pBdr>
          <w:top w:val="nil"/>
          <w:left w:val="nil"/>
          <w:bottom w:val="nil"/>
          <w:right w:val="nil"/>
          <w:between w:val="nil"/>
        </w:pBdr>
        <w:spacing w:after="0" w:line="240" w:lineRule="auto"/>
        <w:ind w:firstLine="709"/>
        <w:rPr>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Consejo de Estado. Sala de Consulta y Servicio Civil. Concepto de 6 de abril de 2006. Radicación Número: 11001-03-06-000-2006-00038-00(1738). Consejero Ponente: Enrique José Arboleda Perdomo: «Si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p>
  </w:footnote>
  <w:footnote w:id="21">
    <w:p w14:paraId="39DE9B43" w14:textId="77777777" w:rsidR="00C13C5F" w:rsidRPr="00A94C8B" w:rsidRDefault="0059492F" w:rsidP="002760E2">
      <w:pPr>
        <w:pBdr>
          <w:top w:val="nil"/>
          <w:left w:val="nil"/>
          <w:bottom w:val="nil"/>
          <w:right w:val="nil"/>
          <w:between w:val="nil"/>
        </w:pBdr>
        <w:spacing w:after="0" w:line="240" w:lineRule="auto"/>
        <w:ind w:firstLine="709"/>
        <w:rPr>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Consejo de Estado. Sala de Consulta y Servicio Civil. Concepto de 6 de abril de 2006. Radicación Número: 11001-03-06-000-2006-00038-00(1738). Consejero Ponente: Enrique José Arboleda Perdomo.</w:t>
      </w:r>
    </w:p>
    <w:p w14:paraId="2BF73B46" w14:textId="77777777" w:rsidR="00C13C5F" w:rsidRPr="00A94C8B" w:rsidRDefault="00C13C5F" w:rsidP="002760E2">
      <w:pPr>
        <w:pBdr>
          <w:top w:val="nil"/>
          <w:left w:val="nil"/>
          <w:bottom w:val="nil"/>
          <w:right w:val="nil"/>
          <w:between w:val="nil"/>
        </w:pBdr>
        <w:spacing w:after="0" w:line="240" w:lineRule="auto"/>
        <w:ind w:firstLine="709"/>
        <w:rPr>
          <w:sz w:val="17"/>
          <w:szCs w:val="17"/>
        </w:rPr>
      </w:pPr>
    </w:p>
  </w:footnote>
  <w:footnote w:id="22">
    <w:p w14:paraId="46A9AF6A" w14:textId="77777777" w:rsidR="00C13C5F" w:rsidRPr="00A94C8B" w:rsidRDefault="0059492F" w:rsidP="002760E2">
      <w:pPr>
        <w:pBdr>
          <w:top w:val="nil"/>
          <w:left w:val="nil"/>
          <w:bottom w:val="nil"/>
          <w:right w:val="nil"/>
          <w:between w:val="nil"/>
        </w:pBdr>
        <w:spacing w:after="0" w:line="240" w:lineRule="auto"/>
        <w:ind w:firstLine="709"/>
        <w:rPr>
          <w:sz w:val="17"/>
          <w:szCs w:val="17"/>
        </w:rPr>
      </w:pPr>
      <w:r w:rsidRPr="00A94C8B">
        <w:rPr>
          <w:sz w:val="17"/>
          <w:szCs w:val="17"/>
          <w:vertAlign w:val="superscript"/>
        </w:rPr>
        <w:footnoteRef/>
      </w:r>
      <w:r w:rsidRPr="00A94C8B">
        <w:rPr>
          <w:rFonts w:ascii="Arial" w:eastAsia="Arial" w:hAnsi="Arial" w:cs="Arial"/>
          <w:color w:val="000000"/>
          <w:sz w:val="17"/>
          <w:szCs w:val="17"/>
        </w:rPr>
        <w:t xml:space="preserve"> Consejo de Estado. Sala de Consulta y Servicio Civil, ídem.</w:t>
      </w:r>
    </w:p>
  </w:footnote>
  <w:footnote w:id="23">
    <w:p w14:paraId="76BB5E2E" w14:textId="77777777" w:rsidR="00C13C5F" w:rsidRPr="00A94C8B" w:rsidRDefault="0059492F">
      <w:pPr>
        <w:pBdr>
          <w:top w:val="nil"/>
          <w:left w:val="nil"/>
          <w:bottom w:val="nil"/>
          <w:right w:val="nil"/>
          <w:between w:val="nil"/>
        </w:pBdr>
        <w:spacing w:after="0" w:line="240" w:lineRule="auto"/>
        <w:ind w:firstLine="709"/>
        <w:rPr>
          <w:color w:val="000000"/>
          <w:sz w:val="17"/>
          <w:szCs w:val="17"/>
        </w:rPr>
      </w:pPr>
      <w:r w:rsidRPr="00A94C8B">
        <w:rPr>
          <w:sz w:val="17"/>
          <w:szCs w:val="17"/>
          <w:vertAlign w:val="superscript"/>
        </w:rPr>
        <w:footnoteRef/>
      </w:r>
      <w:r w:rsidRPr="00A94C8B">
        <w:rPr>
          <w:color w:val="000000"/>
          <w:sz w:val="17"/>
          <w:szCs w:val="17"/>
        </w:rPr>
        <w:t xml:space="preserve"> COLOMBIA COMPRA EFICIENTE. Circular Externa Única. Numeral 13.2.: «13.2 Régimen contractual. El régimen aplicable a los contratos para actividades de ciencia, tecnología, e innovación, independiente de cuál sea su fuente de financiación, es el que se señala a continuación:</w:t>
      </w:r>
    </w:p>
    <w:p w14:paraId="0D190167" w14:textId="77777777" w:rsidR="00C13C5F" w:rsidRPr="00A94C8B" w:rsidRDefault="0059492F">
      <w:pPr>
        <w:pBdr>
          <w:top w:val="nil"/>
          <w:left w:val="nil"/>
          <w:bottom w:val="nil"/>
          <w:right w:val="nil"/>
          <w:between w:val="nil"/>
        </w:pBdr>
        <w:spacing w:after="0" w:line="240" w:lineRule="auto"/>
        <w:ind w:firstLine="709"/>
        <w:rPr>
          <w:color w:val="000000"/>
          <w:sz w:val="17"/>
          <w:szCs w:val="17"/>
        </w:rPr>
      </w:pPr>
      <w:r w:rsidRPr="00A94C8B">
        <w:rPr>
          <w:color w:val="000000"/>
          <w:sz w:val="17"/>
          <w:szCs w:val="17"/>
        </w:rPr>
        <w:tab/>
        <w:t>[…]</w:t>
      </w:r>
    </w:p>
    <w:p w14:paraId="1357751B" w14:textId="77777777" w:rsidR="00C13C5F" w:rsidRPr="00A94C8B" w:rsidRDefault="0059492F">
      <w:pPr>
        <w:pBdr>
          <w:top w:val="nil"/>
          <w:left w:val="nil"/>
          <w:bottom w:val="nil"/>
          <w:right w:val="nil"/>
          <w:between w:val="nil"/>
        </w:pBdr>
        <w:spacing w:after="0" w:line="240" w:lineRule="auto"/>
        <w:rPr>
          <w:color w:val="000000"/>
          <w:sz w:val="17"/>
          <w:szCs w:val="17"/>
        </w:rPr>
      </w:pPr>
      <w:r w:rsidRPr="00A94C8B">
        <w:rPr>
          <w:color w:val="000000"/>
          <w:sz w:val="17"/>
          <w:szCs w:val="17"/>
        </w:rPr>
        <w:t>«(c) Los contratos de financiamiento están sujetos a (i) las leyes 80 de 1993 y 1150 de 2007 y a sus normas reglamentarias y pueden celebrarse bajo la modalidad de contratación directa; y (</w:t>
      </w:r>
      <w:proofErr w:type="spellStart"/>
      <w:r w:rsidRPr="00A94C8B">
        <w:rPr>
          <w:color w:val="000000"/>
          <w:sz w:val="17"/>
          <w:szCs w:val="17"/>
        </w:rPr>
        <w:t>ii</w:t>
      </w:r>
      <w:proofErr w:type="spellEnd"/>
      <w:r w:rsidRPr="00A94C8B">
        <w:rPr>
          <w:color w:val="000000"/>
          <w:sz w:val="17"/>
          <w:szCs w:val="17"/>
        </w:rPr>
        <w:t>) el artículo 8 del Decreto–Ley 591 de 1991».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8F69" w14:textId="77777777" w:rsidR="00C13C5F" w:rsidRDefault="0059492F">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595D9BAC" wp14:editId="772A0067">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40AC96D8" w14:textId="77777777" w:rsidR="00C13C5F" w:rsidRDefault="00C13C5F">
    <w:pPr>
      <w:pBdr>
        <w:top w:val="nil"/>
        <w:left w:val="nil"/>
        <w:bottom w:val="nil"/>
        <w:right w:val="nil"/>
        <w:between w:val="nil"/>
      </w:pBdr>
      <w:tabs>
        <w:tab w:val="center" w:pos="4252"/>
        <w:tab w:val="right" w:pos="8504"/>
      </w:tabs>
      <w:spacing w:after="0"/>
      <w:rPr>
        <w:color w:val="000000"/>
      </w:rPr>
    </w:pPr>
  </w:p>
  <w:p w14:paraId="3823C54B" w14:textId="77777777" w:rsidR="00C13C5F" w:rsidRDefault="00C13C5F">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5F"/>
    <w:rsid w:val="002760E2"/>
    <w:rsid w:val="0059492F"/>
    <w:rsid w:val="007978EC"/>
    <w:rsid w:val="008458BE"/>
    <w:rsid w:val="00A94C8B"/>
    <w:rsid w:val="00BC09E6"/>
    <w:rsid w:val="00C13C5F"/>
    <w:rsid w:val="00DF05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85DF"/>
  <w15:docId w15:val="{3310208B-4CC6-43AF-A5F4-4605F974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CO"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C9ED72D-288E-45B2-91C6-84F731F71B1D}"/>
</file>

<file path=customXml/itemProps2.xml><?xml version="1.0" encoding="utf-8"?>
<ds:datastoreItem xmlns:ds="http://schemas.openxmlformats.org/officeDocument/2006/customXml" ds:itemID="{DBEFBAA1-ABA6-458F-A688-9DB62A6D6FFF}"/>
</file>

<file path=customXml/itemProps3.xml><?xml version="1.0" encoding="utf-8"?>
<ds:datastoreItem xmlns:ds="http://schemas.openxmlformats.org/officeDocument/2006/customXml" ds:itemID="{A334FF0A-9DBB-40D4-B53A-610D9D97F84C}"/>
</file>

<file path=docProps/app.xml><?xml version="1.0" encoding="utf-8"?>
<Properties xmlns="http://schemas.openxmlformats.org/officeDocument/2006/extended-properties" xmlns:vt="http://schemas.openxmlformats.org/officeDocument/2006/docPropsVTypes">
  <Template>Normal</Template>
  <TotalTime>1</TotalTime>
  <Pages>15</Pages>
  <Words>5652</Words>
  <Characters>31086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Eloy Quintero Isaza</dc:creator>
  <cp:lastModifiedBy>Alvaro Namen Vargas</cp:lastModifiedBy>
  <cp:revision>2</cp:revision>
  <dcterms:created xsi:type="dcterms:W3CDTF">2022-01-28T15:29:00Z</dcterms:created>
  <dcterms:modified xsi:type="dcterms:W3CDTF">2022-01-28T15:29:00Z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