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E191" w14:textId="77777777" w:rsidR="001D6BEE" w:rsidRPr="00BA5EB8" w:rsidRDefault="00C942A4">
      <w:pPr>
        <w:jc w:val="right"/>
        <w:rPr>
          <w:rFonts w:ascii="Arial" w:eastAsia="Arial" w:hAnsi="Arial" w:cs="Arial"/>
          <w:b/>
          <w:color w:val="000000"/>
          <w:sz w:val="16"/>
          <w:szCs w:val="16"/>
        </w:rPr>
      </w:pPr>
      <w:bookmarkStart w:id="0" w:name="_gjdgxs" w:colFirst="0" w:colLast="0"/>
      <w:bookmarkEnd w:id="0"/>
      <w:r>
        <w:rPr>
          <w:rFonts w:ascii="Arial" w:eastAsia="Arial" w:hAnsi="Arial" w:cs="Arial"/>
          <w:b/>
          <w:color w:val="000000"/>
          <w:sz w:val="16"/>
          <w:szCs w:val="16"/>
        </w:rPr>
        <w:tab/>
      </w:r>
      <w:r w:rsidRPr="00BA5EB8">
        <w:rPr>
          <w:rFonts w:ascii="Arial" w:eastAsia="Arial" w:hAnsi="Arial" w:cs="Arial"/>
          <w:b/>
          <w:color w:val="000000"/>
          <w:sz w:val="16"/>
          <w:szCs w:val="16"/>
        </w:rPr>
        <w:t>CCE-DES-FM-17</w:t>
      </w:r>
    </w:p>
    <w:p w14:paraId="686636FD" w14:textId="77777777" w:rsidR="001D6BEE" w:rsidRPr="00BA5EB8" w:rsidRDefault="001D6BEE">
      <w:pPr>
        <w:spacing w:line="276" w:lineRule="auto"/>
        <w:jc w:val="both"/>
        <w:rPr>
          <w:rFonts w:ascii="Arial" w:eastAsia="Arial" w:hAnsi="Arial" w:cs="Arial"/>
          <w:b/>
          <w:color w:val="000000"/>
          <w:sz w:val="16"/>
          <w:szCs w:val="16"/>
        </w:rPr>
      </w:pPr>
    </w:p>
    <w:p w14:paraId="34587468" w14:textId="77777777" w:rsidR="001D6BEE" w:rsidRPr="00BA5EB8" w:rsidRDefault="00C942A4">
      <w:pPr>
        <w:jc w:val="both"/>
        <w:rPr>
          <w:rFonts w:ascii="Arial" w:eastAsia="Arial" w:hAnsi="Arial" w:cs="Arial"/>
          <w:color w:val="000000"/>
          <w:sz w:val="22"/>
          <w:szCs w:val="22"/>
        </w:rPr>
      </w:pPr>
      <w:bookmarkStart w:id="1" w:name="_30j0zll" w:colFirst="0" w:colLast="0"/>
      <w:bookmarkEnd w:id="1"/>
      <w:r w:rsidRPr="00BA5EB8">
        <w:rPr>
          <w:rFonts w:ascii="Arial" w:eastAsia="Arial" w:hAnsi="Arial" w:cs="Arial"/>
          <w:b/>
          <w:color w:val="000000"/>
          <w:sz w:val="22"/>
          <w:szCs w:val="22"/>
        </w:rPr>
        <w:t xml:space="preserve">PRINCIPIO DE SELECCIÓN OBJETIVA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Fundamento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Alcance</w:t>
      </w:r>
    </w:p>
    <w:p w14:paraId="40769438" w14:textId="77777777" w:rsidR="001D6BEE" w:rsidRPr="00BA5EB8" w:rsidRDefault="001D6BEE">
      <w:pPr>
        <w:jc w:val="both"/>
        <w:rPr>
          <w:rFonts w:ascii="Arial" w:eastAsia="Arial" w:hAnsi="Arial" w:cs="Arial"/>
          <w:color w:val="000000"/>
          <w:sz w:val="22"/>
          <w:szCs w:val="22"/>
        </w:rPr>
      </w:pPr>
    </w:p>
    <w:p w14:paraId="20210B67" w14:textId="77777777" w:rsidR="001D6BEE" w:rsidRPr="00BA5EB8" w:rsidRDefault="00C942A4">
      <w:pPr>
        <w:jc w:val="both"/>
        <w:rPr>
          <w:rFonts w:ascii="Arial" w:eastAsia="Arial" w:hAnsi="Arial" w:cs="Arial"/>
          <w:color w:val="000000"/>
          <w:sz w:val="20"/>
          <w:szCs w:val="20"/>
        </w:rPr>
      </w:pPr>
      <w:r w:rsidRPr="00BA5EB8">
        <w:rPr>
          <w:rFonts w:ascii="Arial" w:eastAsia="Arial" w:hAnsi="Arial" w:cs="Arial"/>
          <w:color w:val="000000"/>
          <w:sz w:val="20"/>
          <w:szCs w:val="20"/>
        </w:rPr>
        <w:t>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BA5EB8">
        <w:rPr>
          <w:rFonts w:ascii="Arial" w:eastAsia="Arial" w:hAnsi="Arial" w:cs="Arial"/>
          <w:color w:val="000000"/>
          <w:sz w:val="20"/>
          <w:szCs w:val="20"/>
        </w:rPr>
        <w:tab/>
      </w:r>
    </w:p>
    <w:p w14:paraId="2EBF26D7" w14:textId="77777777" w:rsidR="001D6BEE" w:rsidRPr="00BA5EB8" w:rsidRDefault="001D6BEE">
      <w:pPr>
        <w:jc w:val="both"/>
        <w:rPr>
          <w:rFonts w:ascii="Arial" w:eastAsia="Arial" w:hAnsi="Arial" w:cs="Arial"/>
          <w:color w:val="000000"/>
          <w:sz w:val="22"/>
          <w:szCs w:val="22"/>
        </w:rPr>
      </w:pPr>
    </w:p>
    <w:p w14:paraId="7641D753" w14:textId="77777777" w:rsidR="001D6BEE" w:rsidRPr="00BA5EB8" w:rsidRDefault="00C942A4">
      <w:pPr>
        <w:jc w:val="both"/>
        <w:rPr>
          <w:rFonts w:ascii="Arial" w:eastAsia="Arial" w:hAnsi="Arial" w:cs="Arial"/>
          <w:b/>
          <w:color w:val="000000"/>
          <w:sz w:val="22"/>
          <w:szCs w:val="22"/>
        </w:rPr>
      </w:pPr>
      <w:r w:rsidRPr="00BA5EB8">
        <w:rPr>
          <w:rFonts w:ascii="Arial" w:eastAsia="Arial" w:hAnsi="Arial" w:cs="Arial"/>
          <w:b/>
          <w:color w:val="000000"/>
          <w:sz w:val="22"/>
          <w:szCs w:val="22"/>
        </w:rPr>
        <w:t xml:space="preserve">SUBSANABILIDAD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Concepto de unificación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Aplicación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Improcedencia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Circunstancias posteriores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Cierre del proceso</w:t>
      </w:r>
    </w:p>
    <w:p w14:paraId="56EE8775" w14:textId="77777777" w:rsidR="001D6BEE" w:rsidRPr="00BA5EB8" w:rsidRDefault="001D6BEE">
      <w:pPr>
        <w:jc w:val="both"/>
        <w:rPr>
          <w:rFonts w:ascii="Arial" w:eastAsia="Arial" w:hAnsi="Arial" w:cs="Arial"/>
          <w:color w:val="000000"/>
          <w:sz w:val="22"/>
          <w:szCs w:val="22"/>
        </w:rPr>
      </w:pPr>
    </w:p>
    <w:p w14:paraId="17CF7A88" w14:textId="77777777" w:rsidR="001D6BEE" w:rsidRPr="00BA5EB8" w:rsidRDefault="00C942A4">
      <w:pPr>
        <w:jc w:val="both"/>
        <w:rPr>
          <w:rFonts w:ascii="Arial" w:eastAsia="Arial" w:hAnsi="Arial" w:cs="Arial"/>
          <w:color w:val="000000"/>
          <w:sz w:val="20"/>
          <w:szCs w:val="20"/>
        </w:rPr>
      </w:pPr>
      <w:r w:rsidRPr="00BA5EB8">
        <w:rPr>
          <w:rFonts w:ascii="Arial" w:eastAsia="Arial" w:hAnsi="Arial" w:cs="Arial"/>
          <w:color w:val="000000"/>
          <w:sz w:val="20"/>
          <w:szCs w:val="20"/>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0D9C83E2" w14:textId="77777777" w:rsidR="001D6BEE" w:rsidRPr="00BA5EB8" w:rsidRDefault="001D6BEE">
      <w:pPr>
        <w:jc w:val="both"/>
        <w:rPr>
          <w:rFonts w:ascii="Arial" w:eastAsia="Arial" w:hAnsi="Arial" w:cs="Arial"/>
          <w:color w:val="000000"/>
          <w:sz w:val="20"/>
          <w:szCs w:val="20"/>
        </w:rPr>
      </w:pPr>
    </w:p>
    <w:p w14:paraId="487C2BB9" w14:textId="77777777" w:rsidR="001D6BEE" w:rsidRPr="00BA5EB8" w:rsidRDefault="00C942A4">
      <w:pPr>
        <w:jc w:val="both"/>
        <w:rPr>
          <w:rFonts w:ascii="Arial" w:eastAsia="Arial" w:hAnsi="Arial" w:cs="Arial"/>
          <w:color w:val="000000"/>
          <w:sz w:val="22"/>
          <w:szCs w:val="22"/>
        </w:rPr>
      </w:pPr>
      <w:r w:rsidRPr="00BA5EB8">
        <w:rPr>
          <w:rFonts w:ascii="Arial" w:eastAsia="Arial" w:hAnsi="Arial" w:cs="Arial"/>
          <w:b/>
          <w:color w:val="000000"/>
          <w:sz w:val="22"/>
          <w:szCs w:val="22"/>
        </w:rPr>
        <w:lastRenderedPageBreak/>
        <w:t xml:space="preserve">SUBSANABILIDAD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Oportunidad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Traslado </w:t>
      </w:r>
      <w:r w:rsidRPr="00BA5EB8">
        <w:rPr>
          <w:rFonts w:ascii="Arial" w:eastAsia="Arial" w:hAnsi="Arial" w:cs="Arial"/>
          <w:b/>
          <w:color w:val="000000"/>
          <w:sz w:val="20"/>
          <w:szCs w:val="20"/>
        </w:rPr>
        <w:t>–</w:t>
      </w:r>
      <w:r w:rsidRPr="00BA5EB8">
        <w:rPr>
          <w:rFonts w:ascii="Arial" w:eastAsia="Arial" w:hAnsi="Arial" w:cs="Arial"/>
          <w:b/>
          <w:color w:val="000000"/>
          <w:sz w:val="22"/>
          <w:szCs w:val="22"/>
        </w:rPr>
        <w:t xml:space="preserve"> Informe de evaluación </w:t>
      </w:r>
    </w:p>
    <w:p w14:paraId="5EA64201" w14:textId="77777777" w:rsidR="001D6BEE" w:rsidRPr="00BA5EB8" w:rsidRDefault="001D6BEE">
      <w:pPr>
        <w:jc w:val="both"/>
        <w:rPr>
          <w:rFonts w:ascii="Arial" w:eastAsia="Arial" w:hAnsi="Arial" w:cs="Arial"/>
          <w:color w:val="000000"/>
          <w:sz w:val="20"/>
          <w:szCs w:val="20"/>
        </w:rPr>
      </w:pPr>
    </w:p>
    <w:p w14:paraId="2B3F0C7D" w14:textId="77777777" w:rsidR="001D6BEE" w:rsidRPr="00BA5EB8" w:rsidRDefault="00C942A4">
      <w:pPr>
        <w:spacing w:after="120"/>
        <w:jc w:val="both"/>
        <w:rPr>
          <w:rFonts w:ascii="Arial" w:eastAsia="Arial" w:hAnsi="Arial" w:cs="Arial"/>
          <w:color w:val="000000"/>
          <w:sz w:val="20"/>
          <w:szCs w:val="20"/>
        </w:rPr>
      </w:pPr>
      <w:r w:rsidRPr="00BA5EB8">
        <w:rPr>
          <w:rFonts w:ascii="Arial" w:eastAsia="Arial" w:hAnsi="Arial" w:cs="Arial"/>
          <w:color w:val="000000"/>
          <w:sz w:val="20"/>
          <w:szCs w:val="20"/>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 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 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2CCECF02" w14:textId="77777777" w:rsidR="001D6BEE" w:rsidRPr="00BA5EB8" w:rsidRDefault="00C942A4">
      <w:pPr>
        <w:jc w:val="right"/>
        <w:rPr>
          <w:rFonts w:ascii="Arial" w:eastAsia="Arial" w:hAnsi="Arial" w:cs="Arial"/>
          <w:color w:val="000000"/>
          <w:sz w:val="20"/>
          <w:szCs w:val="20"/>
        </w:rPr>
      </w:pPr>
      <w:r w:rsidRPr="00BA5EB8">
        <w:rPr>
          <w:rFonts w:ascii="Arial" w:eastAsia="Arial" w:hAnsi="Arial" w:cs="Arial"/>
          <w:color w:val="000000"/>
          <w:sz w:val="20"/>
          <w:szCs w:val="20"/>
        </w:rPr>
        <w:tab/>
      </w:r>
    </w:p>
    <w:p w14:paraId="14E85107" w14:textId="77777777" w:rsidR="001D6BEE" w:rsidRPr="00BA5EB8" w:rsidRDefault="001D6BEE">
      <w:pPr>
        <w:jc w:val="right"/>
        <w:rPr>
          <w:rFonts w:ascii="Arial" w:eastAsia="Arial" w:hAnsi="Arial" w:cs="Arial"/>
          <w:color w:val="000000"/>
          <w:sz w:val="20"/>
          <w:szCs w:val="20"/>
        </w:rPr>
      </w:pPr>
    </w:p>
    <w:p w14:paraId="2F793018" w14:textId="77777777" w:rsidR="001D6BEE" w:rsidRPr="00BA5EB8" w:rsidRDefault="001D6BEE">
      <w:pPr>
        <w:jc w:val="right"/>
        <w:rPr>
          <w:rFonts w:ascii="Arial" w:eastAsia="Arial" w:hAnsi="Arial" w:cs="Arial"/>
          <w:color w:val="000000"/>
          <w:sz w:val="20"/>
          <w:szCs w:val="20"/>
        </w:rPr>
      </w:pPr>
    </w:p>
    <w:p w14:paraId="5736C52F" w14:textId="77777777" w:rsidR="001D6BEE" w:rsidRPr="00BA5EB8" w:rsidRDefault="001D6BEE">
      <w:pPr>
        <w:jc w:val="right"/>
        <w:rPr>
          <w:rFonts w:ascii="Arial" w:eastAsia="Arial" w:hAnsi="Arial" w:cs="Arial"/>
          <w:color w:val="000000"/>
          <w:sz w:val="20"/>
          <w:szCs w:val="20"/>
        </w:rPr>
      </w:pPr>
    </w:p>
    <w:p w14:paraId="6B378C51" w14:textId="77777777" w:rsidR="001D6BEE" w:rsidRPr="00BA5EB8" w:rsidRDefault="001D6BEE">
      <w:pPr>
        <w:jc w:val="right"/>
        <w:rPr>
          <w:rFonts w:ascii="Arial" w:eastAsia="Arial" w:hAnsi="Arial" w:cs="Arial"/>
          <w:color w:val="000000"/>
          <w:sz w:val="20"/>
          <w:szCs w:val="20"/>
        </w:rPr>
      </w:pPr>
    </w:p>
    <w:p w14:paraId="4D0EDD03" w14:textId="77777777" w:rsidR="001D6BEE" w:rsidRPr="00BA5EB8" w:rsidRDefault="001D6BEE">
      <w:pPr>
        <w:jc w:val="right"/>
        <w:rPr>
          <w:rFonts w:ascii="Arial" w:eastAsia="Arial" w:hAnsi="Arial" w:cs="Arial"/>
          <w:color w:val="000000"/>
          <w:sz w:val="20"/>
          <w:szCs w:val="20"/>
        </w:rPr>
      </w:pPr>
    </w:p>
    <w:p w14:paraId="4E4190FC" w14:textId="77777777" w:rsidR="001D6BEE" w:rsidRPr="00BA5EB8" w:rsidRDefault="001D6BEE">
      <w:pPr>
        <w:jc w:val="right"/>
        <w:rPr>
          <w:rFonts w:ascii="Arial" w:eastAsia="Arial" w:hAnsi="Arial" w:cs="Arial"/>
          <w:color w:val="000000"/>
          <w:sz w:val="20"/>
          <w:szCs w:val="20"/>
        </w:rPr>
      </w:pPr>
    </w:p>
    <w:p w14:paraId="4463E5AB" w14:textId="77777777" w:rsidR="001D6BEE" w:rsidRPr="00BA5EB8" w:rsidRDefault="001D6BEE">
      <w:pPr>
        <w:jc w:val="right"/>
        <w:rPr>
          <w:rFonts w:ascii="Arial" w:eastAsia="Arial" w:hAnsi="Arial" w:cs="Arial"/>
          <w:color w:val="000000"/>
          <w:sz w:val="20"/>
          <w:szCs w:val="20"/>
        </w:rPr>
      </w:pPr>
    </w:p>
    <w:p w14:paraId="476EADF5" w14:textId="77777777" w:rsidR="001D6BEE" w:rsidRPr="00BA5EB8" w:rsidRDefault="001D6BEE">
      <w:pPr>
        <w:jc w:val="right"/>
        <w:rPr>
          <w:rFonts w:ascii="Arial" w:eastAsia="Arial" w:hAnsi="Arial" w:cs="Arial"/>
          <w:color w:val="000000"/>
          <w:sz w:val="20"/>
          <w:szCs w:val="20"/>
        </w:rPr>
      </w:pPr>
    </w:p>
    <w:p w14:paraId="7C146BDD" w14:textId="77777777" w:rsidR="001D6BEE" w:rsidRPr="00BA5EB8" w:rsidRDefault="001D6BEE">
      <w:pPr>
        <w:jc w:val="right"/>
        <w:rPr>
          <w:rFonts w:ascii="Arial" w:eastAsia="Arial" w:hAnsi="Arial" w:cs="Arial"/>
          <w:color w:val="000000"/>
          <w:sz w:val="20"/>
          <w:szCs w:val="20"/>
        </w:rPr>
      </w:pPr>
    </w:p>
    <w:p w14:paraId="367AF1A6" w14:textId="77777777" w:rsidR="001D6BEE" w:rsidRPr="00BA5EB8" w:rsidRDefault="001D6BEE">
      <w:pPr>
        <w:jc w:val="right"/>
        <w:rPr>
          <w:rFonts w:ascii="Arial" w:eastAsia="Arial" w:hAnsi="Arial" w:cs="Arial"/>
          <w:color w:val="000000"/>
          <w:sz w:val="20"/>
          <w:szCs w:val="20"/>
        </w:rPr>
      </w:pPr>
    </w:p>
    <w:p w14:paraId="25954A98" w14:textId="77777777" w:rsidR="001D6BEE" w:rsidRPr="00BA5EB8" w:rsidRDefault="001D6BEE">
      <w:pPr>
        <w:jc w:val="right"/>
        <w:rPr>
          <w:rFonts w:ascii="Arial" w:eastAsia="Arial" w:hAnsi="Arial" w:cs="Arial"/>
          <w:color w:val="000000"/>
          <w:sz w:val="20"/>
          <w:szCs w:val="20"/>
        </w:rPr>
      </w:pPr>
    </w:p>
    <w:p w14:paraId="6B5B6229" w14:textId="77777777" w:rsidR="001D6BEE" w:rsidRPr="00BA5EB8" w:rsidRDefault="001D6BEE">
      <w:pPr>
        <w:jc w:val="right"/>
        <w:rPr>
          <w:rFonts w:ascii="Arial" w:eastAsia="Arial" w:hAnsi="Arial" w:cs="Arial"/>
          <w:color w:val="000000"/>
          <w:sz w:val="20"/>
          <w:szCs w:val="20"/>
        </w:rPr>
      </w:pPr>
    </w:p>
    <w:p w14:paraId="2BD1C0E6" w14:textId="77777777" w:rsidR="001D6BEE" w:rsidRPr="00BA5EB8" w:rsidRDefault="001D6BEE">
      <w:pPr>
        <w:jc w:val="right"/>
        <w:rPr>
          <w:rFonts w:ascii="Arial" w:eastAsia="Arial" w:hAnsi="Arial" w:cs="Arial"/>
          <w:color w:val="000000"/>
          <w:sz w:val="20"/>
          <w:szCs w:val="20"/>
        </w:rPr>
      </w:pPr>
    </w:p>
    <w:p w14:paraId="28E1F0BA" w14:textId="77777777" w:rsidR="001D6BEE" w:rsidRPr="00BA5EB8" w:rsidRDefault="001D6BEE">
      <w:pPr>
        <w:jc w:val="right"/>
        <w:rPr>
          <w:rFonts w:ascii="Arial" w:eastAsia="Arial" w:hAnsi="Arial" w:cs="Arial"/>
          <w:color w:val="000000"/>
          <w:sz w:val="20"/>
          <w:szCs w:val="20"/>
        </w:rPr>
      </w:pPr>
    </w:p>
    <w:p w14:paraId="7EDCD9BF" w14:textId="77777777" w:rsidR="001D6BEE" w:rsidRPr="00BA5EB8" w:rsidRDefault="001D6BEE">
      <w:pPr>
        <w:jc w:val="right"/>
        <w:rPr>
          <w:rFonts w:ascii="Arial" w:eastAsia="Arial" w:hAnsi="Arial" w:cs="Arial"/>
          <w:color w:val="000000"/>
          <w:sz w:val="20"/>
          <w:szCs w:val="20"/>
        </w:rPr>
      </w:pPr>
    </w:p>
    <w:p w14:paraId="799A6DD8" w14:textId="77777777" w:rsidR="001D6BEE" w:rsidRPr="00BA5EB8" w:rsidRDefault="001D6BEE">
      <w:pPr>
        <w:jc w:val="right"/>
        <w:rPr>
          <w:rFonts w:ascii="Arial" w:eastAsia="Arial" w:hAnsi="Arial" w:cs="Arial"/>
          <w:color w:val="000000"/>
          <w:sz w:val="20"/>
          <w:szCs w:val="20"/>
        </w:rPr>
      </w:pPr>
    </w:p>
    <w:p w14:paraId="3474E23E" w14:textId="77777777" w:rsidR="001D6BEE" w:rsidRPr="00BA5EB8" w:rsidRDefault="001D6BEE">
      <w:pPr>
        <w:jc w:val="right"/>
        <w:rPr>
          <w:rFonts w:ascii="Arial" w:eastAsia="Arial" w:hAnsi="Arial" w:cs="Arial"/>
          <w:color w:val="000000"/>
          <w:sz w:val="20"/>
          <w:szCs w:val="20"/>
        </w:rPr>
      </w:pPr>
    </w:p>
    <w:p w14:paraId="03183839" w14:textId="77777777" w:rsidR="001D6BEE" w:rsidRPr="00BA5EB8" w:rsidRDefault="001D6BEE">
      <w:pPr>
        <w:jc w:val="right"/>
        <w:rPr>
          <w:rFonts w:ascii="Arial" w:eastAsia="Arial" w:hAnsi="Arial" w:cs="Arial"/>
          <w:color w:val="000000"/>
          <w:sz w:val="20"/>
          <w:szCs w:val="20"/>
        </w:rPr>
      </w:pPr>
    </w:p>
    <w:p w14:paraId="53319210" w14:textId="77777777" w:rsidR="001D6BEE" w:rsidRPr="00BA5EB8" w:rsidRDefault="001D6BEE">
      <w:pPr>
        <w:jc w:val="right"/>
        <w:rPr>
          <w:rFonts w:ascii="Arial" w:eastAsia="Arial" w:hAnsi="Arial" w:cs="Arial"/>
          <w:color w:val="000000"/>
          <w:sz w:val="20"/>
          <w:szCs w:val="20"/>
        </w:rPr>
      </w:pPr>
    </w:p>
    <w:p w14:paraId="2FBD41DD" w14:textId="77777777" w:rsidR="001D6BEE" w:rsidRPr="00BA5EB8" w:rsidRDefault="001D6BEE">
      <w:pPr>
        <w:jc w:val="right"/>
        <w:rPr>
          <w:rFonts w:ascii="Arial" w:eastAsia="Arial" w:hAnsi="Arial" w:cs="Arial"/>
          <w:color w:val="000000"/>
          <w:sz w:val="20"/>
          <w:szCs w:val="20"/>
        </w:rPr>
      </w:pPr>
    </w:p>
    <w:p w14:paraId="0A9481CC" w14:textId="77777777" w:rsidR="001D6BEE" w:rsidRPr="00BA5EB8" w:rsidRDefault="001D6BEE">
      <w:pPr>
        <w:jc w:val="right"/>
        <w:rPr>
          <w:rFonts w:ascii="Arial" w:eastAsia="Arial" w:hAnsi="Arial" w:cs="Arial"/>
          <w:color w:val="000000"/>
          <w:sz w:val="20"/>
          <w:szCs w:val="20"/>
        </w:rPr>
      </w:pPr>
    </w:p>
    <w:p w14:paraId="7E441FA9" w14:textId="77777777" w:rsidR="001D6BEE" w:rsidRPr="00BA5EB8" w:rsidRDefault="001D6BEE">
      <w:pPr>
        <w:jc w:val="right"/>
        <w:rPr>
          <w:rFonts w:ascii="Arial" w:eastAsia="Arial" w:hAnsi="Arial" w:cs="Arial"/>
          <w:color w:val="000000"/>
          <w:sz w:val="20"/>
          <w:szCs w:val="20"/>
        </w:rPr>
      </w:pPr>
    </w:p>
    <w:p w14:paraId="167F8B36" w14:textId="77777777" w:rsidR="001D6BEE" w:rsidRPr="00BA5EB8" w:rsidRDefault="001D6BEE">
      <w:pPr>
        <w:jc w:val="right"/>
        <w:rPr>
          <w:rFonts w:ascii="Arial" w:eastAsia="Arial" w:hAnsi="Arial" w:cs="Arial"/>
          <w:color w:val="000000"/>
          <w:sz w:val="20"/>
          <w:szCs w:val="20"/>
        </w:rPr>
      </w:pPr>
    </w:p>
    <w:p w14:paraId="360C50FD" w14:textId="77777777" w:rsidR="001D6BEE" w:rsidRPr="00BA5EB8" w:rsidRDefault="001D6BEE">
      <w:pPr>
        <w:jc w:val="right"/>
        <w:rPr>
          <w:rFonts w:ascii="Arial" w:eastAsia="Arial" w:hAnsi="Arial" w:cs="Arial"/>
          <w:color w:val="000000"/>
          <w:sz w:val="20"/>
          <w:szCs w:val="20"/>
        </w:rPr>
      </w:pPr>
    </w:p>
    <w:p w14:paraId="118BC07F" w14:textId="77777777" w:rsidR="001D6BEE" w:rsidRPr="00BA5EB8" w:rsidRDefault="001D6BEE">
      <w:pPr>
        <w:jc w:val="right"/>
        <w:rPr>
          <w:rFonts w:ascii="Arial" w:eastAsia="Arial" w:hAnsi="Arial" w:cs="Arial"/>
          <w:color w:val="000000"/>
          <w:sz w:val="20"/>
          <w:szCs w:val="20"/>
        </w:rPr>
      </w:pPr>
    </w:p>
    <w:p w14:paraId="5F8240B9" w14:textId="06A98D04" w:rsidR="001D6BEE" w:rsidRDefault="001D6BEE">
      <w:pPr>
        <w:jc w:val="right"/>
        <w:rPr>
          <w:rFonts w:ascii="Arial" w:eastAsia="Arial" w:hAnsi="Arial" w:cs="Arial"/>
          <w:color w:val="000000"/>
          <w:sz w:val="20"/>
          <w:szCs w:val="20"/>
        </w:rPr>
      </w:pPr>
    </w:p>
    <w:p w14:paraId="31938482" w14:textId="080214EE" w:rsidR="00DF178E" w:rsidRDefault="00DF178E">
      <w:pPr>
        <w:jc w:val="right"/>
        <w:rPr>
          <w:rFonts w:ascii="Arial" w:eastAsia="Arial" w:hAnsi="Arial" w:cs="Arial"/>
          <w:color w:val="000000"/>
          <w:sz w:val="20"/>
          <w:szCs w:val="20"/>
        </w:rPr>
      </w:pPr>
      <w:r>
        <w:rPr>
          <w:noProof/>
        </w:rPr>
        <w:drawing>
          <wp:inline distT="0" distB="0" distL="0" distR="0" wp14:anchorId="52E9AA2E" wp14:editId="693277A2">
            <wp:extent cx="2505075" cy="876300"/>
            <wp:effectExtent l="0" t="0" r="9525"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6"/>
                    <a:stretch>
                      <a:fillRect/>
                    </a:stretch>
                  </pic:blipFill>
                  <pic:spPr>
                    <a:xfrm>
                      <a:off x="0" y="0"/>
                      <a:ext cx="2505075" cy="876300"/>
                    </a:xfrm>
                    <a:prstGeom prst="rect">
                      <a:avLst/>
                    </a:prstGeom>
                  </pic:spPr>
                </pic:pic>
              </a:graphicData>
            </a:graphic>
          </wp:inline>
        </w:drawing>
      </w:r>
    </w:p>
    <w:p w14:paraId="0FE18ED2" w14:textId="5B30D566" w:rsidR="00DF178E" w:rsidRDefault="00DF178E">
      <w:pPr>
        <w:jc w:val="right"/>
        <w:rPr>
          <w:rFonts w:ascii="Arial" w:eastAsia="Arial" w:hAnsi="Arial" w:cs="Arial"/>
          <w:color w:val="000000"/>
          <w:sz w:val="20"/>
          <w:szCs w:val="20"/>
        </w:rPr>
      </w:pPr>
    </w:p>
    <w:p w14:paraId="7B7782FE" w14:textId="77777777" w:rsidR="00DF178E" w:rsidRPr="00BA5EB8" w:rsidRDefault="00DF178E">
      <w:pPr>
        <w:jc w:val="right"/>
        <w:rPr>
          <w:rFonts w:ascii="Arial" w:eastAsia="Arial" w:hAnsi="Arial" w:cs="Arial"/>
          <w:color w:val="000000"/>
          <w:sz w:val="20"/>
          <w:szCs w:val="20"/>
        </w:rPr>
      </w:pPr>
    </w:p>
    <w:p w14:paraId="22F9DA3E" w14:textId="77777777" w:rsidR="001D6BEE" w:rsidRPr="00BA5EB8" w:rsidRDefault="001D6BEE">
      <w:pPr>
        <w:rPr>
          <w:rFonts w:ascii="Arial" w:eastAsia="Arial" w:hAnsi="Arial" w:cs="Arial"/>
          <w:color w:val="000000"/>
          <w:sz w:val="20"/>
          <w:szCs w:val="20"/>
        </w:rPr>
      </w:pPr>
    </w:p>
    <w:p w14:paraId="4926D2CD" w14:textId="305481FA" w:rsidR="001D6BEE" w:rsidRDefault="00DF178E">
      <w:pPr>
        <w:rPr>
          <w:rFonts w:ascii="Arial" w:eastAsia="Arial" w:hAnsi="Arial" w:cs="Arial"/>
          <w:color w:val="000000"/>
          <w:sz w:val="22"/>
          <w:szCs w:val="22"/>
        </w:rPr>
      </w:pPr>
      <w:r w:rsidRPr="00DF178E">
        <w:rPr>
          <w:rFonts w:ascii="Arial" w:eastAsia="Arial" w:hAnsi="Arial" w:cs="Arial"/>
          <w:color w:val="000000"/>
          <w:sz w:val="22"/>
          <w:szCs w:val="22"/>
        </w:rPr>
        <w:t xml:space="preserve">Bogotá, 23 </w:t>
      </w:r>
      <w:proofErr w:type="gramStart"/>
      <w:r w:rsidRPr="00DF178E">
        <w:rPr>
          <w:rFonts w:ascii="Arial" w:eastAsia="Arial" w:hAnsi="Arial" w:cs="Arial"/>
          <w:color w:val="000000"/>
          <w:sz w:val="22"/>
          <w:szCs w:val="22"/>
        </w:rPr>
        <w:t>Enero</w:t>
      </w:r>
      <w:proofErr w:type="gramEnd"/>
      <w:r w:rsidRPr="00DF178E">
        <w:rPr>
          <w:rFonts w:ascii="Arial" w:eastAsia="Arial" w:hAnsi="Arial" w:cs="Arial"/>
          <w:color w:val="000000"/>
          <w:sz w:val="22"/>
          <w:szCs w:val="22"/>
        </w:rPr>
        <w:t xml:space="preserve"> 2022</w:t>
      </w:r>
    </w:p>
    <w:p w14:paraId="350B1ADA" w14:textId="77777777" w:rsidR="00DF178E" w:rsidRPr="00BA5EB8" w:rsidRDefault="00DF178E">
      <w:pPr>
        <w:rPr>
          <w:rFonts w:ascii="Arial" w:eastAsia="Arial" w:hAnsi="Arial" w:cs="Arial"/>
          <w:color w:val="000000"/>
        </w:rPr>
      </w:pPr>
    </w:p>
    <w:p w14:paraId="7171CE4C" w14:textId="77777777" w:rsidR="001D6BEE" w:rsidRPr="00BA5EB8" w:rsidRDefault="001D6BEE">
      <w:pPr>
        <w:rPr>
          <w:rFonts w:ascii="Arial" w:eastAsia="Arial" w:hAnsi="Arial" w:cs="Arial"/>
          <w:color w:val="000000"/>
          <w:sz w:val="22"/>
          <w:szCs w:val="22"/>
        </w:rPr>
      </w:pPr>
    </w:p>
    <w:p w14:paraId="360432EB" w14:textId="77777777" w:rsidR="001D6BEE" w:rsidRPr="00BA5EB8" w:rsidRDefault="00C942A4">
      <w:pPr>
        <w:rPr>
          <w:rFonts w:ascii="Arial" w:eastAsia="Arial" w:hAnsi="Arial" w:cs="Arial"/>
          <w:color w:val="000000"/>
          <w:sz w:val="22"/>
          <w:szCs w:val="22"/>
        </w:rPr>
      </w:pPr>
      <w:r w:rsidRPr="00BA5EB8">
        <w:rPr>
          <w:rFonts w:ascii="Arial" w:eastAsia="Arial" w:hAnsi="Arial" w:cs="Arial"/>
          <w:color w:val="000000"/>
          <w:sz w:val="22"/>
          <w:szCs w:val="22"/>
        </w:rPr>
        <w:t>Señor</w:t>
      </w:r>
    </w:p>
    <w:p w14:paraId="5A223E35" w14:textId="77777777" w:rsidR="001D6BEE" w:rsidRPr="00BA5EB8" w:rsidRDefault="00C942A4">
      <w:pPr>
        <w:rPr>
          <w:rFonts w:ascii="Arial" w:eastAsia="Arial" w:hAnsi="Arial" w:cs="Arial"/>
          <w:color w:val="000000"/>
          <w:sz w:val="22"/>
          <w:szCs w:val="22"/>
        </w:rPr>
      </w:pPr>
      <w:r w:rsidRPr="00BA5EB8">
        <w:rPr>
          <w:rFonts w:ascii="Arial" w:eastAsia="Arial" w:hAnsi="Arial" w:cs="Arial"/>
          <w:b/>
          <w:color w:val="000000"/>
          <w:sz w:val="22"/>
          <w:szCs w:val="22"/>
        </w:rPr>
        <w:t>José Ignacio Oñoro Barrios</w:t>
      </w:r>
    </w:p>
    <w:p w14:paraId="6EB9531D" w14:textId="77777777" w:rsidR="001D6BEE" w:rsidRPr="00BA5EB8" w:rsidRDefault="00C942A4">
      <w:pPr>
        <w:rPr>
          <w:rFonts w:ascii="Arial" w:eastAsia="Arial" w:hAnsi="Arial" w:cs="Arial"/>
          <w:color w:val="000000"/>
          <w:sz w:val="22"/>
          <w:szCs w:val="22"/>
        </w:rPr>
      </w:pPr>
      <w:r w:rsidRPr="00BA5EB8">
        <w:rPr>
          <w:rFonts w:ascii="Arial" w:eastAsia="Arial" w:hAnsi="Arial" w:cs="Arial"/>
          <w:color w:val="000000"/>
          <w:sz w:val="22"/>
          <w:szCs w:val="22"/>
        </w:rPr>
        <w:t>Bogotá D.C.</w:t>
      </w:r>
    </w:p>
    <w:p w14:paraId="56B673E6" w14:textId="77777777" w:rsidR="001D6BEE" w:rsidRPr="00BA5EB8" w:rsidRDefault="001D6BEE">
      <w:pPr>
        <w:rPr>
          <w:rFonts w:ascii="Arial" w:eastAsia="Arial" w:hAnsi="Arial" w:cs="Arial"/>
          <w:color w:val="000000"/>
          <w:sz w:val="22"/>
          <w:szCs w:val="22"/>
        </w:rPr>
      </w:pPr>
    </w:p>
    <w:p w14:paraId="30891BD7" w14:textId="77777777" w:rsidR="001D6BEE" w:rsidRPr="00BA5EB8" w:rsidRDefault="001D6BEE">
      <w:pPr>
        <w:rPr>
          <w:rFonts w:ascii="Arial" w:eastAsia="Arial" w:hAnsi="Arial" w:cs="Arial"/>
          <w:color w:val="000000"/>
          <w:sz w:val="22"/>
          <w:szCs w:val="22"/>
        </w:rPr>
      </w:pPr>
    </w:p>
    <w:p w14:paraId="16FDE66B" w14:textId="77777777" w:rsidR="001D6BEE" w:rsidRPr="00BA5EB8" w:rsidRDefault="00C942A4">
      <w:pPr>
        <w:rPr>
          <w:rFonts w:ascii="Arial" w:eastAsia="Arial" w:hAnsi="Arial" w:cs="Arial"/>
          <w:color w:val="000000"/>
        </w:rPr>
      </w:pPr>
      <w:r w:rsidRPr="00BA5EB8">
        <w:rPr>
          <w:rFonts w:ascii="Arial" w:eastAsia="Arial" w:hAnsi="Arial" w:cs="Arial"/>
          <w:color w:val="000000"/>
          <w:sz w:val="22"/>
          <w:szCs w:val="22"/>
        </w:rPr>
        <w:t xml:space="preserve">                                           </w:t>
      </w:r>
      <w:r w:rsidRPr="00BA5EB8">
        <w:rPr>
          <w:rFonts w:ascii="Arial" w:eastAsia="Arial" w:hAnsi="Arial" w:cs="Arial"/>
          <w:b/>
          <w:color w:val="000000"/>
          <w:sz w:val="22"/>
          <w:szCs w:val="22"/>
        </w:rPr>
        <w:t>Concepto C – 716 de 2022</w:t>
      </w:r>
      <w:r w:rsidRPr="00BA5EB8">
        <w:rPr>
          <w:rFonts w:ascii="Arial" w:eastAsia="Arial" w:hAnsi="Arial" w:cs="Arial"/>
          <w:color w:val="000000"/>
          <w:sz w:val="22"/>
          <w:szCs w:val="22"/>
        </w:rPr>
        <w:t xml:space="preserve"> </w:t>
      </w:r>
    </w:p>
    <w:p w14:paraId="257D4C26" w14:textId="77777777" w:rsidR="001D6BEE" w:rsidRPr="00BA5EB8" w:rsidRDefault="001D6BEE">
      <w:pPr>
        <w:rPr>
          <w:rFonts w:ascii="Arial" w:eastAsia="Arial" w:hAnsi="Arial" w:cs="Arial"/>
          <w:color w:val="000000"/>
          <w:sz w:val="22"/>
          <w:szCs w:val="22"/>
        </w:rPr>
      </w:pPr>
    </w:p>
    <w:tbl>
      <w:tblPr>
        <w:tblStyle w:val="a"/>
        <w:tblW w:w="836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2694"/>
        <w:gridCol w:w="5670"/>
      </w:tblGrid>
      <w:tr w:rsidR="001D6BEE" w:rsidRPr="00BA5EB8" w14:paraId="3637BC35" w14:textId="77777777">
        <w:trPr>
          <w:trHeight w:val="485"/>
        </w:trPr>
        <w:tc>
          <w:tcPr>
            <w:tcW w:w="2694" w:type="dxa"/>
          </w:tcPr>
          <w:p w14:paraId="52DF06E6" w14:textId="77777777" w:rsidR="001D6BEE" w:rsidRPr="00BA5EB8" w:rsidRDefault="00C942A4">
            <w:pPr>
              <w:rPr>
                <w:rFonts w:ascii="Arial" w:eastAsia="Arial" w:hAnsi="Arial" w:cs="Arial"/>
                <w:color w:val="000000"/>
              </w:rPr>
            </w:pPr>
            <w:r w:rsidRPr="00BA5EB8">
              <w:rPr>
                <w:rFonts w:ascii="Arial" w:eastAsia="Arial" w:hAnsi="Arial" w:cs="Arial"/>
                <w:b/>
                <w:color w:val="000000"/>
                <w:sz w:val="22"/>
                <w:szCs w:val="22"/>
              </w:rPr>
              <w:t>Temas:</w:t>
            </w:r>
            <w:r w:rsidRPr="00BA5EB8">
              <w:rPr>
                <w:rFonts w:ascii="Arial" w:eastAsia="Arial" w:hAnsi="Arial" w:cs="Arial"/>
                <w:color w:val="000000"/>
                <w:sz w:val="22"/>
                <w:szCs w:val="22"/>
              </w:rPr>
              <w:t xml:space="preserve">        </w:t>
            </w:r>
          </w:p>
        </w:tc>
        <w:tc>
          <w:tcPr>
            <w:tcW w:w="5670" w:type="dxa"/>
          </w:tcPr>
          <w:p w14:paraId="51188F21" w14:textId="77777777" w:rsidR="001D6BEE" w:rsidRPr="00BA5EB8" w:rsidRDefault="00C942A4">
            <w:pPr>
              <w:spacing w:after="120"/>
              <w:jc w:val="both"/>
              <w:rPr>
                <w:rFonts w:ascii="Arial" w:eastAsia="Arial" w:hAnsi="Arial" w:cs="Arial"/>
                <w:color w:val="000000"/>
                <w:sz w:val="22"/>
                <w:szCs w:val="22"/>
              </w:rPr>
            </w:pPr>
            <w:r w:rsidRPr="00BA5EB8">
              <w:rPr>
                <w:rFonts w:ascii="Arial" w:eastAsia="Arial" w:hAnsi="Arial" w:cs="Arial"/>
                <w:color w:val="000000"/>
                <w:sz w:val="22"/>
                <w:szCs w:val="22"/>
              </w:rPr>
              <w:t>PRINCIPIO DE SELECCIÓN OBJETIVA – Fundamento – Alcance / SUBSANABILIDAD – Concepto de unificación – Aplicación – Improcedencia – Circunstancias posteriores – Cierre del proceso / SUBSANABILIDAD – Oportunidad – Traslado – Informe de evaluación</w:t>
            </w:r>
          </w:p>
        </w:tc>
      </w:tr>
      <w:tr w:rsidR="001D6BEE" w:rsidRPr="00BA5EB8" w14:paraId="37A69EA5" w14:textId="77777777">
        <w:tc>
          <w:tcPr>
            <w:tcW w:w="2694" w:type="dxa"/>
          </w:tcPr>
          <w:p w14:paraId="133C0138" w14:textId="77777777" w:rsidR="001D6BEE" w:rsidRPr="00BA5EB8" w:rsidRDefault="00C942A4">
            <w:pPr>
              <w:rPr>
                <w:rFonts w:ascii="Arial" w:eastAsia="Arial" w:hAnsi="Arial" w:cs="Arial"/>
                <w:color w:val="000000"/>
              </w:rPr>
            </w:pPr>
            <w:r w:rsidRPr="00BA5EB8">
              <w:rPr>
                <w:rFonts w:ascii="Arial" w:eastAsia="Arial" w:hAnsi="Arial" w:cs="Arial"/>
                <w:b/>
                <w:color w:val="000000"/>
                <w:sz w:val="22"/>
                <w:szCs w:val="22"/>
              </w:rPr>
              <w:t>Radicación:</w:t>
            </w:r>
            <w:r w:rsidRPr="00BA5EB8">
              <w:rPr>
                <w:rFonts w:ascii="Arial" w:eastAsia="Arial" w:hAnsi="Arial" w:cs="Arial"/>
                <w:color w:val="000000"/>
                <w:sz w:val="22"/>
                <w:szCs w:val="22"/>
              </w:rPr>
              <w:t xml:space="preserve">                              </w:t>
            </w:r>
          </w:p>
        </w:tc>
        <w:tc>
          <w:tcPr>
            <w:tcW w:w="5670" w:type="dxa"/>
          </w:tcPr>
          <w:p w14:paraId="00076B28" w14:textId="77777777" w:rsidR="001D6BEE" w:rsidRPr="00BA5EB8" w:rsidRDefault="00C942A4">
            <w:pPr>
              <w:jc w:val="both"/>
              <w:rPr>
                <w:rFonts w:ascii="Arial" w:eastAsia="Arial" w:hAnsi="Arial" w:cs="Arial"/>
                <w:color w:val="000000"/>
              </w:rPr>
            </w:pPr>
            <w:r w:rsidRPr="00BA5EB8">
              <w:rPr>
                <w:rFonts w:ascii="Arial" w:eastAsia="Arial" w:hAnsi="Arial" w:cs="Arial"/>
                <w:color w:val="000000"/>
                <w:sz w:val="22"/>
                <w:szCs w:val="22"/>
              </w:rPr>
              <w:t>Respuesta a consulta P20211207011332</w:t>
            </w:r>
          </w:p>
        </w:tc>
      </w:tr>
    </w:tbl>
    <w:p w14:paraId="0E20F3DE" w14:textId="77777777" w:rsidR="001D6BEE" w:rsidRPr="00BA5EB8" w:rsidRDefault="001D6BEE">
      <w:pPr>
        <w:rPr>
          <w:rFonts w:ascii="Arial" w:eastAsia="Arial" w:hAnsi="Arial" w:cs="Arial"/>
          <w:color w:val="000000"/>
          <w:sz w:val="22"/>
          <w:szCs w:val="22"/>
        </w:rPr>
      </w:pPr>
    </w:p>
    <w:p w14:paraId="2138372F" w14:textId="77777777" w:rsidR="001D6BEE" w:rsidRPr="00BA5EB8" w:rsidRDefault="001D6BEE">
      <w:pPr>
        <w:rPr>
          <w:rFonts w:ascii="Arial" w:eastAsia="Arial" w:hAnsi="Arial" w:cs="Arial"/>
          <w:color w:val="000000"/>
          <w:sz w:val="22"/>
          <w:szCs w:val="22"/>
        </w:rPr>
      </w:pPr>
    </w:p>
    <w:p w14:paraId="04A9CE02" w14:textId="77777777" w:rsidR="001D6BEE" w:rsidRPr="00BA5EB8" w:rsidRDefault="00C942A4">
      <w:pPr>
        <w:spacing w:line="276" w:lineRule="auto"/>
        <w:rPr>
          <w:rFonts w:ascii="Arial" w:eastAsia="Arial" w:hAnsi="Arial" w:cs="Arial"/>
          <w:color w:val="000000"/>
          <w:sz w:val="22"/>
          <w:szCs w:val="22"/>
        </w:rPr>
      </w:pPr>
      <w:r w:rsidRPr="00BA5EB8">
        <w:rPr>
          <w:rFonts w:ascii="Arial" w:eastAsia="Arial" w:hAnsi="Arial" w:cs="Arial"/>
          <w:color w:val="000000"/>
          <w:sz w:val="22"/>
          <w:szCs w:val="22"/>
        </w:rPr>
        <w:t xml:space="preserve">Estimado señor Oñoro: </w:t>
      </w:r>
    </w:p>
    <w:p w14:paraId="0150E498" w14:textId="77777777" w:rsidR="001D6BEE" w:rsidRPr="00BA5EB8" w:rsidRDefault="001D6BEE">
      <w:pPr>
        <w:spacing w:line="276" w:lineRule="auto"/>
        <w:rPr>
          <w:rFonts w:ascii="Arial" w:eastAsia="Arial" w:hAnsi="Arial" w:cs="Arial"/>
          <w:color w:val="000000"/>
          <w:sz w:val="22"/>
          <w:szCs w:val="22"/>
        </w:rPr>
      </w:pPr>
    </w:p>
    <w:p w14:paraId="175E41BC" w14:textId="77777777" w:rsidR="001D6BEE" w:rsidRPr="00BA5EB8" w:rsidRDefault="00C942A4">
      <w:pPr>
        <w:spacing w:line="276" w:lineRule="auto"/>
        <w:ind w:right="51"/>
        <w:jc w:val="both"/>
        <w:rPr>
          <w:rFonts w:ascii="Arial" w:eastAsia="Arial" w:hAnsi="Arial" w:cs="Arial"/>
          <w:color w:val="000000"/>
          <w:sz w:val="22"/>
          <w:szCs w:val="22"/>
        </w:rPr>
      </w:pPr>
      <w:r w:rsidRPr="00BA5EB8">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radicada el 7 de diciembre de 2021. </w:t>
      </w:r>
    </w:p>
    <w:p w14:paraId="160C8AB7" w14:textId="77777777" w:rsidR="001D6BEE" w:rsidRPr="00BA5EB8" w:rsidRDefault="001D6BEE">
      <w:pPr>
        <w:spacing w:line="276" w:lineRule="auto"/>
        <w:jc w:val="both"/>
        <w:rPr>
          <w:rFonts w:ascii="Arial" w:eastAsia="Arial" w:hAnsi="Arial" w:cs="Arial"/>
          <w:color w:val="000000"/>
          <w:sz w:val="22"/>
          <w:szCs w:val="22"/>
        </w:rPr>
      </w:pPr>
    </w:p>
    <w:p w14:paraId="7A323D0C" w14:textId="77777777" w:rsidR="001D6BEE" w:rsidRPr="00BA5EB8" w:rsidRDefault="00C942A4">
      <w:pPr>
        <w:spacing w:line="276" w:lineRule="auto"/>
        <w:jc w:val="both"/>
        <w:rPr>
          <w:rFonts w:ascii="Arial" w:eastAsia="Arial" w:hAnsi="Arial" w:cs="Arial"/>
          <w:b/>
          <w:color w:val="000000"/>
          <w:sz w:val="22"/>
          <w:szCs w:val="22"/>
        </w:rPr>
      </w:pPr>
      <w:r w:rsidRPr="00BA5EB8">
        <w:rPr>
          <w:rFonts w:ascii="Arial" w:eastAsia="Arial" w:hAnsi="Arial" w:cs="Arial"/>
          <w:b/>
          <w:color w:val="000000"/>
          <w:sz w:val="22"/>
          <w:szCs w:val="22"/>
        </w:rPr>
        <w:t>1. Problemas planteados</w:t>
      </w:r>
    </w:p>
    <w:p w14:paraId="745CDE25" w14:textId="77777777" w:rsidR="001D6BEE" w:rsidRPr="00BA5EB8" w:rsidRDefault="001D6BEE">
      <w:pPr>
        <w:spacing w:line="276" w:lineRule="auto"/>
        <w:jc w:val="both"/>
        <w:rPr>
          <w:rFonts w:ascii="Arial" w:eastAsia="Arial" w:hAnsi="Arial" w:cs="Arial"/>
          <w:color w:val="000000"/>
          <w:sz w:val="22"/>
          <w:szCs w:val="22"/>
        </w:rPr>
      </w:pPr>
    </w:p>
    <w:p w14:paraId="29C31F83" w14:textId="77777777" w:rsidR="001D6BEE" w:rsidRPr="00BA5EB8" w:rsidRDefault="00C942A4">
      <w:pPr>
        <w:spacing w:before="120" w:after="120"/>
        <w:jc w:val="both"/>
        <w:rPr>
          <w:rFonts w:ascii="Arial" w:eastAsia="Arial" w:hAnsi="Arial" w:cs="Arial"/>
          <w:color w:val="000000"/>
          <w:sz w:val="22"/>
          <w:szCs w:val="22"/>
        </w:rPr>
      </w:pPr>
      <w:r w:rsidRPr="00BA5EB8">
        <w:rPr>
          <w:rFonts w:ascii="Arial" w:eastAsia="Arial" w:hAnsi="Arial" w:cs="Arial"/>
          <w:color w:val="000000"/>
          <w:sz w:val="22"/>
          <w:szCs w:val="22"/>
        </w:rPr>
        <w:t>En su consulta, usted plantea los siguientes interrogantes:</w:t>
      </w:r>
    </w:p>
    <w:p w14:paraId="3D9CB7FC"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«1. ¿Qué se entiende por requisito ponderable? </w:t>
      </w:r>
    </w:p>
    <w:p w14:paraId="404B1EC1"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2. ¿Qué se entiende por requisito insubsanable? </w:t>
      </w:r>
    </w:p>
    <w:p w14:paraId="1CE7B4A5"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3. ¿Los requisitos ponderables y, por ende, insubsanables pueden ser aclarados? </w:t>
      </w:r>
    </w:p>
    <w:p w14:paraId="0009F251"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lastRenderedPageBreak/>
        <w:t xml:space="preserve">4. ¿cuál es el fundamento legal y/o jurisprudencial de la imposibilidad de subsanar requisitos ponderables? </w:t>
      </w:r>
    </w:p>
    <w:p w14:paraId="18A1AEC6"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5. ¿Hasta qué momento del proceso de selección de contratistas el proponente puede aclarar y/o subsanar su propuesta económica? </w:t>
      </w:r>
    </w:p>
    <w:p w14:paraId="0DBA8EE4" w14:textId="77777777" w:rsidR="001D6BEE" w:rsidRPr="00BA5EB8" w:rsidRDefault="00C942A4">
      <w:pPr>
        <w:spacing w:before="280" w:after="280"/>
        <w:ind w:left="708"/>
        <w:jc w:val="both"/>
        <w:rPr>
          <w:rFonts w:ascii="Arial" w:eastAsia="Arial" w:hAnsi="Arial" w:cs="Arial"/>
          <w:color w:val="000000"/>
        </w:rPr>
      </w:pPr>
      <w:r w:rsidRPr="00BA5EB8">
        <w:rPr>
          <w:rFonts w:ascii="Arial" w:eastAsia="Arial" w:hAnsi="Arial" w:cs="Arial"/>
          <w:color w:val="000000"/>
          <w:sz w:val="21"/>
          <w:szCs w:val="21"/>
        </w:rPr>
        <w:t xml:space="preserve">6. ¿Cuál es la diferencia entre aclarar y subsanar una propuesta económica?» </w:t>
      </w:r>
    </w:p>
    <w:p w14:paraId="4908815C" w14:textId="77777777" w:rsidR="001D6BEE" w:rsidRPr="00BA5EB8" w:rsidRDefault="00C942A4">
      <w:pPr>
        <w:spacing w:line="276" w:lineRule="auto"/>
        <w:jc w:val="both"/>
        <w:rPr>
          <w:rFonts w:ascii="Arial" w:eastAsia="Arial" w:hAnsi="Arial" w:cs="Arial"/>
          <w:b/>
          <w:color w:val="000000"/>
          <w:sz w:val="22"/>
          <w:szCs w:val="22"/>
        </w:rPr>
      </w:pPr>
      <w:r w:rsidRPr="00BA5EB8">
        <w:rPr>
          <w:rFonts w:ascii="Arial" w:eastAsia="Arial" w:hAnsi="Arial" w:cs="Arial"/>
          <w:b/>
          <w:color w:val="000000"/>
          <w:sz w:val="22"/>
          <w:szCs w:val="22"/>
        </w:rPr>
        <w:t>2. Consideraciones</w:t>
      </w:r>
    </w:p>
    <w:p w14:paraId="66578779" w14:textId="77777777" w:rsidR="001D6BEE" w:rsidRPr="00BA5EB8" w:rsidRDefault="001D6BEE">
      <w:pPr>
        <w:spacing w:line="276" w:lineRule="auto"/>
        <w:jc w:val="both"/>
        <w:rPr>
          <w:rFonts w:ascii="Arial" w:eastAsia="Arial" w:hAnsi="Arial" w:cs="Arial"/>
          <w:b/>
          <w:color w:val="000000"/>
          <w:sz w:val="22"/>
          <w:szCs w:val="22"/>
        </w:rPr>
      </w:pPr>
    </w:p>
    <w:p w14:paraId="412F507D" w14:textId="19E7CB5D" w:rsidR="001D6BEE" w:rsidRPr="00BA5EB8" w:rsidRDefault="00C942A4" w:rsidP="00BA5EB8">
      <w:pPr>
        <w:spacing w:after="120" w:line="276" w:lineRule="auto"/>
        <w:jc w:val="both"/>
      </w:pPr>
      <w:r w:rsidRPr="00BA5EB8">
        <w:rPr>
          <w:rFonts w:ascii="Arial" w:eastAsia="Arial" w:hAnsi="Arial" w:cs="Arial"/>
          <w:color w:val="000000"/>
          <w:sz w:val="22"/>
          <w:szCs w:val="22"/>
        </w:rPr>
        <w:t xml:space="preserve">Para desarrollar los problemas planteados, a continuación, se analizarán los siguientes temas, a saber: i) el principio de selección objetiva en la contratación estatal y ii) el alcance de la regla de subsanabilidad de las ofertas en los procedimientos de selección y su diferencia con la figura de la aclaración de ofertas. </w:t>
      </w:r>
    </w:p>
    <w:p w14:paraId="4F2FA1F4" w14:textId="77777777" w:rsidR="001D6BEE" w:rsidRPr="00BA5EB8" w:rsidRDefault="00C942A4">
      <w:pPr>
        <w:spacing w:line="276" w:lineRule="auto"/>
        <w:ind w:firstLine="708"/>
        <w:jc w:val="both"/>
        <w:rPr>
          <w:rFonts w:ascii="Arial" w:eastAsia="Arial" w:hAnsi="Arial" w:cs="Arial"/>
          <w:color w:val="000000"/>
          <w:sz w:val="22"/>
          <w:szCs w:val="22"/>
        </w:rPr>
      </w:pPr>
      <w:r w:rsidRPr="00BA5EB8">
        <w:rPr>
          <w:rFonts w:ascii="Arial" w:eastAsia="Arial" w:hAnsi="Arial" w:cs="Arial"/>
          <w:color w:val="000000"/>
          <w:sz w:val="22"/>
          <w:szCs w:val="22"/>
        </w:rPr>
        <w:t>La Agencia Nacional de Contratación Pública − Colombia Compra Eficiente se ha pronunciado sobre el principio de selección objetiva y en específico el tema de la subsanabilidad de las ofertas en los conceptos 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y C-282 del 22 de junio de 2021. Las tesis propuestas en dichos conceptos se reiteran y, en lo necesario, se complementan conforme a las siguientes consideraciones. Teniendo en cuenta los antecedentes anteriores, se reiterará particularmente la postura de esta Agencia expuesta en el Concepto de Unificación CU–060 del 24 de febrero de 2020 y se complementará en lo pertinente para responder las preguntas del peticionario.</w:t>
      </w:r>
    </w:p>
    <w:p w14:paraId="7164DF9C" w14:textId="77777777" w:rsidR="001D6BEE" w:rsidRPr="00BA5EB8" w:rsidRDefault="001D6BEE">
      <w:pPr>
        <w:spacing w:line="276" w:lineRule="auto"/>
        <w:jc w:val="both"/>
        <w:rPr>
          <w:rFonts w:ascii="Arial" w:eastAsia="Arial" w:hAnsi="Arial" w:cs="Arial"/>
          <w:color w:val="000000"/>
          <w:sz w:val="22"/>
          <w:szCs w:val="22"/>
        </w:rPr>
      </w:pPr>
    </w:p>
    <w:p w14:paraId="45E358EF" w14:textId="77777777" w:rsidR="001D6BEE" w:rsidRPr="00BA5EB8" w:rsidRDefault="00C942A4">
      <w:pPr>
        <w:spacing w:line="276" w:lineRule="auto"/>
        <w:jc w:val="both"/>
        <w:rPr>
          <w:rFonts w:ascii="Arial" w:eastAsia="Arial" w:hAnsi="Arial" w:cs="Arial"/>
          <w:b/>
          <w:color w:val="000000"/>
          <w:sz w:val="22"/>
          <w:szCs w:val="22"/>
        </w:rPr>
      </w:pPr>
      <w:r w:rsidRPr="00BA5EB8">
        <w:rPr>
          <w:rFonts w:ascii="Arial" w:eastAsia="Arial" w:hAnsi="Arial" w:cs="Arial"/>
          <w:b/>
          <w:color w:val="000000"/>
          <w:sz w:val="22"/>
          <w:szCs w:val="22"/>
        </w:rPr>
        <w:t xml:space="preserve">2.1. Principio de selección objetiva en la contratación estatal </w:t>
      </w:r>
    </w:p>
    <w:p w14:paraId="3805DB43" w14:textId="77777777" w:rsidR="001D6BEE" w:rsidRPr="00BA5EB8" w:rsidRDefault="001D6BEE">
      <w:pPr>
        <w:spacing w:line="276" w:lineRule="auto"/>
        <w:jc w:val="both"/>
        <w:rPr>
          <w:rFonts w:ascii="Arial" w:eastAsia="Arial" w:hAnsi="Arial" w:cs="Arial"/>
          <w:color w:val="000000"/>
          <w:sz w:val="22"/>
          <w:szCs w:val="22"/>
        </w:rPr>
      </w:pPr>
    </w:p>
    <w:p w14:paraId="53B974E7" w14:textId="77777777" w:rsidR="001D6BEE" w:rsidRPr="00BA5EB8" w:rsidRDefault="00C942A4">
      <w:pPr>
        <w:spacing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 xml:space="preserve">Uno de los principios transversales de los procedimientos de selección es el de </w:t>
      </w:r>
      <w:r w:rsidRPr="00BA5EB8">
        <w:rPr>
          <w:rFonts w:ascii="Arial" w:eastAsia="Arial" w:hAnsi="Arial" w:cs="Arial"/>
          <w:i/>
          <w:color w:val="000000"/>
          <w:sz w:val="22"/>
          <w:szCs w:val="22"/>
        </w:rPr>
        <w:t>selección objetiva</w:t>
      </w:r>
      <w:r w:rsidRPr="00BA5EB8">
        <w:rPr>
          <w:rFonts w:ascii="Arial" w:eastAsia="Arial" w:hAnsi="Arial" w:cs="Arial"/>
          <w:color w:val="000000"/>
          <w:sz w:val="22"/>
          <w:szCs w:val="22"/>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0CC69A69" w14:textId="77777777" w:rsidR="001D6BEE" w:rsidRPr="00BA5EB8" w:rsidRDefault="00C942A4">
      <w:pPr>
        <w:spacing w:before="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lastRenderedPageBreak/>
        <w:t>Si bien dentro de la historia de la contratación pública en Colombia, se vislumbran antecedentes normativos que consagraban dicho principio</w:t>
      </w:r>
      <w:r w:rsidRPr="00BA5EB8">
        <w:rPr>
          <w:rFonts w:ascii="Arial" w:eastAsia="Arial" w:hAnsi="Arial" w:cs="Arial"/>
          <w:color w:val="000000"/>
          <w:sz w:val="22"/>
          <w:szCs w:val="22"/>
          <w:vertAlign w:val="superscript"/>
        </w:rPr>
        <w:footnoteReference w:id="1"/>
      </w:r>
      <w:r w:rsidRPr="00BA5EB8">
        <w:rPr>
          <w:rFonts w:ascii="Arial" w:eastAsia="Arial" w:hAnsi="Arial" w:cs="Arial"/>
          <w:color w:val="000000"/>
          <w:sz w:val="22"/>
          <w:szCs w:val="22"/>
        </w:rPr>
        <w:t>, en la actualidad la disposición legal que lo prevé de manera más clara y contundente es el artículo 5 de la Ley 1150 de 2007, modificado por el artículo 88 de la Ley 1474 de 2011 y por el artículo 5 de la Ley 1882 de 2018; enunciado normativo en el que se lee:</w:t>
      </w:r>
    </w:p>
    <w:p w14:paraId="3A1E757A" w14:textId="77777777" w:rsidR="001D6BEE" w:rsidRPr="00BA5EB8" w:rsidRDefault="001D6BEE">
      <w:pPr>
        <w:spacing w:line="276" w:lineRule="auto"/>
        <w:jc w:val="both"/>
        <w:rPr>
          <w:rFonts w:ascii="Arial" w:eastAsia="Arial" w:hAnsi="Arial" w:cs="Arial"/>
          <w:color w:val="000000"/>
          <w:sz w:val="22"/>
          <w:szCs w:val="22"/>
        </w:rPr>
      </w:pPr>
    </w:p>
    <w:p w14:paraId="3D8DA02A"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D4632BC" w14:textId="77777777" w:rsidR="001D6BEE" w:rsidRPr="00BA5EB8" w:rsidRDefault="001D6BEE">
      <w:pPr>
        <w:ind w:left="709" w:right="709"/>
        <w:jc w:val="both"/>
        <w:rPr>
          <w:rFonts w:ascii="Arial" w:eastAsia="Arial" w:hAnsi="Arial" w:cs="Arial"/>
          <w:color w:val="000000"/>
          <w:sz w:val="21"/>
          <w:szCs w:val="21"/>
        </w:rPr>
      </w:pPr>
    </w:p>
    <w:p w14:paraId="09156171"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447EB5E" w14:textId="77777777" w:rsidR="001D6BEE" w:rsidRPr="00BA5EB8" w:rsidRDefault="001D6BEE">
      <w:pPr>
        <w:ind w:left="709" w:right="709"/>
        <w:jc w:val="both"/>
        <w:rPr>
          <w:rFonts w:ascii="Arial" w:eastAsia="Arial" w:hAnsi="Arial" w:cs="Arial"/>
          <w:color w:val="000000"/>
          <w:sz w:val="21"/>
          <w:szCs w:val="21"/>
        </w:rPr>
      </w:pPr>
    </w:p>
    <w:p w14:paraId="261D3B49"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w:t>
      </w:r>
      <w:r w:rsidRPr="00BA5EB8">
        <w:rPr>
          <w:rFonts w:ascii="Arial" w:eastAsia="Arial" w:hAnsi="Arial" w:cs="Arial"/>
          <w:color w:val="000000"/>
          <w:sz w:val="21"/>
          <w:szCs w:val="21"/>
        </w:rPr>
        <w:lastRenderedPageBreak/>
        <w:t>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4A781398" w14:textId="77777777" w:rsidR="001D6BEE" w:rsidRPr="00BA5EB8" w:rsidRDefault="001D6BEE">
      <w:pPr>
        <w:ind w:left="709" w:right="709"/>
        <w:jc w:val="both"/>
        <w:rPr>
          <w:rFonts w:ascii="Arial" w:eastAsia="Arial" w:hAnsi="Arial" w:cs="Arial"/>
          <w:color w:val="000000"/>
          <w:sz w:val="21"/>
          <w:szCs w:val="21"/>
        </w:rPr>
      </w:pPr>
    </w:p>
    <w:p w14:paraId="7B949145"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En los procesos de selección en los que se tenga en cuenta los factores técnicos y económicos, la oferta más ventajosa será la que resulte de aplicar alguna de las siguientes alternativas:</w:t>
      </w:r>
    </w:p>
    <w:p w14:paraId="0D960938" w14:textId="77777777" w:rsidR="001D6BEE" w:rsidRPr="00BA5EB8" w:rsidRDefault="001D6BEE">
      <w:pPr>
        <w:ind w:left="709" w:right="709"/>
        <w:jc w:val="both"/>
        <w:rPr>
          <w:rFonts w:ascii="Arial" w:eastAsia="Arial" w:hAnsi="Arial" w:cs="Arial"/>
          <w:color w:val="000000"/>
          <w:sz w:val="21"/>
          <w:szCs w:val="21"/>
        </w:rPr>
      </w:pPr>
    </w:p>
    <w:p w14:paraId="4FEC5447"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a) La ponderación de los elementos de calidad y precio soportados en puntajes o fórmulas señaladas en el pliego de condiciones; o</w:t>
      </w:r>
    </w:p>
    <w:p w14:paraId="386A04B4" w14:textId="77777777" w:rsidR="001D6BEE" w:rsidRPr="00BA5EB8" w:rsidRDefault="001D6BEE">
      <w:pPr>
        <w:ind w:left="709" w:right="709"/>
        <w:jc w:val="both"/>
        <w:rPr>
          <w:rFonts w:ascii="Arial" w:eastAsia="Arial" w:hAnsi="Arial" w:cs="Arial"/>
          <w:color w:val="000000"/>
          <w:sz w:val="21"/>
          <w:szCs w:val="21"/>
        </w:rPr>
      </w:pPr>
    </w:p>
    <w:p w14:paraId="56435038"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b) La ponderación de los elementos de calidad y precio que representen la mejor relación de costo-beneficio para la entidad.</w:t>
      </w:r>
    </w:p>
    <w:p w14:paraId="6F696495" w14:textId="77777777" w:rsidR="001D6BEE" w:rsidRPr="00BA5EB8" w:rsidRDefault="001D6BEE">
      <w:pPr>
        <w:ind w:left="709" w:right="709"/>
        <w:jc w:val="both"/>
        <w:rPr>
          <w:rFonts w:ascii="Arial" w:eastAsia="Arial" w:hAnsi="Arial" w:cs="Arial"/>
          <w:color w:val="000000"/>
          <w:sz w:val="21"/>
          <w:szCs w:val="21"/>
        </w:rPr>
      </w:pPr>
    </w:p>
    <w:p w14:paraId="3944AC14"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1A8A5029" w14:textId="77777777" w:rsidR="001D6BEE" w:rsidRPr="00BA5EB8" w:rsidRDefault="001D6BEE">
      <w:pPr>
        <w:ind w:left="709" w:right="709"/>
        <w:jc w:val="both"/>
        <w:rPr>
          <w:rFonts w:ascii="Arial" w:eastAsia="Arial" w:hAnsi="Arial" w:cs="Arial"/>
          <w:color w:val="000000"/>
          <w:sz w:val="21"/>
          <w:szCs w:val="21"/>
        </w:rPr>
      </w:pPr>
    </w:p>
    <w:p w14:paraId="47320704"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6544014A" w14:textId="77777777" w:rsidR="001D6BEE" w:rsidRPr="00BA5EB8" w:rsidRDefault="001D6BEE">
      <w:pPr>
        <w:ind w:left="709" w:right="709"/>
        <w:jc w:val="both"/>
        <w:rPr>
          <w:rFonts w:ascii="Arial" w:eastAsia="Arial" w:hAnsi="Arial" w:cs="Arial"/>
          <w:color w:val="000000"/>
          <w:sz w:val="21"/>
          <w:szCs w:val="21"/>
        </w:rPr>
      </w:pPr>
    </w:p>
    <w:p w14:paraId="7CF24FBE"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En ningún caso se podrá incluir el precio, como factor de escogencia para la selección de consultores.</w:t>
      </w:r>
    </w:p>
    <w:p w14:paraId="76EA2062" w14:textId="77777777" w:rsidR="001D6BEE" w:rsidRPr="00BA5EB8" w:rsidRDefault="001D6BEE">
      <w:pPr>
        <w:ind w:left="709" w:right="709"/>
        <w:jc w:val="both"/>
        <w:rPr>
          <w:rFonts w:ascii="Arial" w:eastAsia="Arial" w:hAnsi="Arial" w:cs="Arial"/>
          <w:color w:val="000000"/>
          <w:sz w:val="21"/>
          <w:szCs w:val="21"/>
        </w:rPr>
      </w:pPr>
    </w:p>
    <w:p w14:paraId="0EE95341"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282B9DA3" w14:textId="77777777" w:rsidR="001D6BEE" w:rsidRPr="00BA5EB8" w:rsidRDefault="001D6BEE">
      <w:pPr>
        <w:ind w:left="709" w:right="709"/>
        <w:jc w:val="both"/>
        <w:rPr>
          <w:rFonts w:ascii="Arial" w:eastAsia="Arial" w:hAnsi="Arial" w:cs="Arial"/>
          <w:color w:val="000000"/>
          <w:sz w:val="21"/>
          <w:szCs w:val="21"/>
        </w:rPr>
      </w:pPr>
    </w:p>
    <w:p w14:paraId="2C4B3275"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Durante el término otorgado para subsanar las ofertas, los proponentes no podrán acreditar circunstancias ocurridas con posterioridad al cierre del proceso.</w:t>
      </w:r>
    </w:p>
    <w:p w14:paraId="5BDB8DD7" w14:textId="77777777" w:rsidR="001D6BEE" w:rsidRPr="00BA5EB8" w:rsidRDefault="001D6BEE">
      <w:pPr>
        <w:ind w:left="709" w:right="709"/>
        <w:jc w:val="both"/>
        <w:rPr>
          <w:rFonts w:ascii="Arial" w:eastAsia="Arial" w:hAnsi="Arial" w:cs="Arial"/>
          <w:color w:val="000000"/>
          <w:sz w:val="21"/>
          <w:szCs w:val="21"/>
        </w:rPr>
      </w:pPr>
    </w:p>
    <w:p w14:paraId="10DD5B0F"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lastRenderedPageBreak/>
        <w:t>PARÁGRAFO 2o. Las certificaciones de sistemas de gestión de calidad no serán objeto de calificación, ni podrán establecerse como documento habilitante para participar en licitaciones o concursos.</w:t>
      </w:r>
    </w:p>
    <w:p w14:paraId="16FAFBC9" w14:textId="77777777" w:rsidR="001D6BEE" w:rsidRPr="00BA5EB8" w:rsidRDefault="001D6BEE">
      <w:pPr>
        <w:ind w:left="709" w:right="709"/>
        <w:jc w:val="both"/>
        <w:rPr>
          <w:rFonts w:ascii="Arial" w:eastAsia="Arial" w:hAnsi="Arial" w:cs="Arial"/>
          <w:color w:val="000000"/>
          <w:sz w:val="21"/>
          <w:szCs w:val="21"/>
        </w:rPr>
      </w:pPr>
    </w:p>
    <w:p w14:paraId="3599FD60"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PARÁGRAFO 3o. &lt;Parágrafo adicionado por el artículo 5 de la Ley 1882 de 2018. El nuevo texto es el siguiente:&gt; La no entrega de la garantía de seriedad junto con la propuesta no será subsanable y será causal de rechazo de la misma.</w:t>
      </w:r>
    </w:p>
    <w:p w14:paraId="6F9A1DEB" w14:textId="77777777" w:rsidR="001D6BEE" w:rsidRPr="00BA5EB8" w:rsidRDefault="001D6BEE">
      <w:pPr>
        <w:ind w:left="709" w:right="709"/>
        <w:jc w:val="both"/>
        <w:rPr>
          <w:rFonts w:ascii="Arial" w:eastAsia="Arial" w:hAnsi="Arial" w:cs="Arial"/>
          <w:color w:val="000000"/>
          <w:sz w:val="21"/>
          <w:szCs w:val="21"/>
        </w:rPr>
      </w:pPr>
    </w:p>
    <w:p w14:paraId="067ABC9B"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2DA24014" w14:textId="77777777" w:rsidR="001D6BEE" w:rsidRPr="00BA5EB8" w:rsidRDefault="001D6BEE">
      <w:pPr>
        <w:ind w:left="709" w:right="709"/>
        <w:jc w:val="both"/>
        <w:rPr>
          <w:rFonts w:ascii="Arial" w:eastAsia="Arial" w:hAnsi="Arial" w:cs="Arial"/>
          <w:color w:val="000000"/>
          <w:sz w:val="21"/>
          <w:szCs w:val="21"/>
        </w:rPr>
      </w:pPr>
    </w:p>
    <w:p w14:paraId="44811AD4" w14:textId="77777777" w:rsidR="001D6BEE" w:rsidRPr="00BA5EB8" w:rsidRDefault="00C942A4">
      <w:pPr>
        <w:ind w:left="709" w:right="709"/>
        <w:jc w:val="both"/>
        <w:rPr>
          <w:rFonts w:ascii="Arial" w:eastAsia="Arial" w:hAnsi="Arial" w:cs="Arial"/>
          <w:color w:val="000000"/>
          <w:sz w:val="22"/>
          <w:szCs w:val="22"/>
        </w:rPr>
      </w:pPr>
      <w:r w:rsidRPr="00BA5EB8">
        <w:rPr>
          <w:rFonts w:ascii="Arial" w:eastAsia="Arial" w:hAnsi="Arial" w:cs="Arial"/>
          <w:color w:val="000000"/>
          <w:sz w:val="21"/>
          <w:szCs w:val="21"/>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BA5EB8">
        <w:rPr>
          <w:rFonts w:ascii="Arial" w:eastAsia="Arial" w:hAnsi="Arial" w:cs="Arial"/>
          <w:color w:val="000000"/>
          <w:sz w:val="22"/>
          <w:szCs w:val="22"/>
        </w:rPr>
        <w:t xml:space="preserve"> </w:t>
      </w:r>
    </w:p>
    <w:p w14:paraId="27EF0F82" w14:textId="77777777" w:rsidR="001D6BEE" w:rsidRPr="00BA5EB8" w:rsidRDefault="001D6BEE">
      <w:pPr>
        <w:spacing w:line="276" w:lineRule="auto"/>
        <w:jc w:val="both"/>
        <w:rPr>
          <w:rFonts w:ascii="Arial" w:eastAsia="Arial" w:hAnsi="Arial" w:cs="Arial"/>
          <w:color w:val="000000"/>
          <w:sz w:val="22"/>
          <w:szCs w:val="22"/>
        </w:rPr>
      </w:pPr>
    </w:p>
    <w:p w14:paraId="1932B590" w14:textId="3470E057" w:rsidR="001D6BEE" w:rsidRPr="00BA5EB8" w:rsidRDefault="00C942A4">
      <w:pPr>
        <w:tabs>
          <w:tab w:val="left" w:pos="0"/>
        </w:tabs>
        <w:spacing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 xml:space="preserve">De acuerdo con el artículo 5 de la Ley 1150 de 2007, conforme con lo expresado en el concepto C–166 del 23 de abril de 2021,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496C05CA" w14:textId="7F744831" w:rsidR="001D6BEE" w:rsidRPr="00BA5EB8" w:rsidRDefault="00C942A4">
      <w:pPr>
        <w:tabs>
          <w:tab w:val="left" w:pos="0"/>
        </w:tabs>
        <w:spacing w:after="120" w:line="276" w:lineRule="auto"/>
        <w:jc w:val="both"/>
        <w:rPr>
          <w:rFonts w:ascii="Arial" w:eastAsia="Arial" w:hAnsi="Arial" w:cs="Arial"/>
          <w:color w:val="000000"/>
          <w:sz w:val="22"/>
          <w:szCs w:val="22"/>
        </w:rPr>
      </w:pPr>
      <w:bookmarkStart w:id="2" w:name="_1fob9te" w:colFirst="0" w:colLast="0"/>
      <w:bookmarkEnd w:id="2"/>
      <w:r w:rsidRPr="00BA5EB8">
        <w:rPr>
          <w:rFonts w:ascii="Arial" w:eastAsia="Arial" w:hAnsi="Arial" w:cs="Arial"/>
          <w:color w:val="000000"/>
          <w:sz w:val="22"/>
          <w:szCs w:val="22"/>
        </w:rPr>
        <w:tab/>
        <w:t>Al respecto, el numeral 1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BA5EB8">
        <w:rPr>
          <w:rFonts w:ascii="Arial" w:eastAsia="Arial" w:hAnsi="Arial" w:cs="Arial"/>
          <w:color w:val="000000"/>
          <w:sz w:val="22"/>
          <w:szCs w:val="22"/>
          <w:vertAlign w:val="superscript"/>
        </w:rPr>
        <w:footnoteReference w:id="2"/>
      </w:r>
      <w:r w:rsidRPr="00BA5EB8">
        <w:rPr>
          <w:rFonts w:ascii="Arial" w:eastAsia="Arial" w:hAnsi="Arial" w:cs="Arial"/>
          <w:color w:val="000000"/>
          <w:sz w:val="22"/>
          <w:szCs w:val="22"/>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BA5EB8">
        <w:rPr>
          <w:rFonts w:ascii="Arial" w:eastAsia="Arial" w:hAnsi="Arial" w:cs="Arial"/>
          <w:i/>
          <w:color w:val="000000"/>
          <w:sz w:val="22"/>
          <w:szCs w:val="22"/>
        </w:rPr>
        <w:t xml:space="preserve">habilitantes </w:t>
      </w:r>
      <w:r w:rsidRPr="00BA5EB8">
        <w:rPr>
          <w:rFonts w:ascii="Arial" w:eastAsia="Arial" w:hAnsi="Arial" w:cs="Arial"/>
          <w:color w:val="000000"/>
          <w:sz w:val="22"/>
          <w:szCs w:val="22"/>
        </w:rPr>
        <w:t xml:space="preserve">son aquellos que deben cumplir en igualdad de condiciones los proponentes y cumplido el mínimo establecido en el pliego de condiciones o documento equivalente hacen que los </w:t>
      </w:r>
      <w:r w:rsidRPr="00BA5EB8">
        <w:rPr>
          <w:rFonts w:ascii="Arial" w:eastAsia="Arial" w:hAnsi="Arial" w:cs="Arial"/>
          <w:color w:val="000000"/>
          <w:sz w:val="22"/>
          <w:szCs w:val="22"/>
        </w:rPr>
        <w:lastRenderedPageBreak/>
        <w:t>proponentes se habiliten en el procedimiento de selección y sean susceptibles de ser seleccionados como futuros contratistas.</w:t>
      </w:r>
    </w:p>
    <w:p w14:paraId="5027043A" w14:textId="77777777" w:rsidR="001D6BEE" w:rsidRPr="00BA5EB8" w:rsidRDefault="00C942A4">
      <w:pPr>
        <w:tabs>
          <w:tab w:val="left" w:pos="0"/>
        </w:tabs>
        <w:spacing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 – beneficio para la entidad. </w:t>
      </w:r>
    </w:p>
    <w:p w14:paraId="03DA09DA" w14:textId="77777777" w:rsidR="001D6BEE" w:rsidRPr="00BA5EB8" w:rsidRDefault="00C942A4">
      <w:pPr>
        <w:tabs>
          <w:tab w:val="left" w:pos="0"/>
        </w:tabs>
        <w:spacing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5EB8AF6F" w14:textId="77777777" w:rsidR="001D6BEE" w:rsidRPr="00BA5EB8" w:rsidRDefault="00C942A4">
      <w:pPr>
        <w:tabs>
          <w:tab w:val="left" w:pos="0"/>
        </w:tabs>
        <w:spacing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Conforme a lo anterior, el artículo 5 de la Ley 1150 de 2007, alude a diferentes conceptos como factores de escogencia, de calificación, técnicos y económicos de escogencia, de evaluación y calificación. Además, el artículo alude a unos factores que no otorgan puntaje y de otros que inciden en la comparación de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w:t>
      </w:r>
      <w:r w:rsidRPr="00BA5EB8">
        <w:rPr>
          <w:rFonts w:ascii="Arial" w:eastAsia="Arial" w:hAnsi="Arial" w:cs="Arial"/>
          <w:color w:val="000000"/>
          <w:sz w:val="22"/>
          <w:szCs w:val="22"/>
          <w:vertAlign w:val="superscript"/>
        </w:rPr>
        <w:footnoteReference w:id="3"/>
      </w:r>
      <w:r w:rsidRPr="00BA5EB8">
        <w:rPr>
          <w:rFonts w:ascii="Arial" w:eastAsia="Arial" w:hAnsi="Arial" w:cs="Arial"/>
          <w:color w:val="000000"/>
          <w:sz w:val="22"/>
          <w:szCs w:val="22"/>
        </w:rPr>
        <w:t>. Todas estas categorías designan los «[…] factores a los cuales cabe otorgarles puntajes o que pueden ser ponderados, precisamente, pues estos son los factores que en últimas permiten una comparación de ofertas y una diferenciación entre ellas»</w:t>
      </w:r>
      <w:r w:rsidRPr="00BA5EB8">
        <w:rPr>
          <w:rFonts w:ascii="Arial" w:eastAsia="Arial" w:hAnsi="Arial" w:cs="Arial"/>
          <w:color w:val="000000"/>
          <w:sz w:val="22"/>
          <w:szCs w:val="22"/>
          <w:vertAlign w:val="superscript"/>
        </w:rPr>
        <w:footnoteReference w:id="4"/>
      </w:r>
      <w:r w:rsidRPr="00BA5EB8">
        <w:rPr>
          <w:rFonts w:ascii="Arial" w:eastAsia="Arial" w:hAnsi="Arial" w:cs="Arial"/>
          <w:color w:val="000000"/>
          <w:sz w:val="22"/>
          <w:szCs w:val="22"/>
        </w:rPr>
        <w:t>. Conforme a esto, la doctrina explica que:</w:t>
      </w:r>
    </w:p>
    <w:p w14:paraId="6E2F1AD9" w14:textId="77777777" w:rsidR="001D6BEE" w:rsidRPr="00BA5EB8" w:rsidRDefault="001D6BEE">
      <w:pPr>
        <w:tabs>
          <w:tab w:val="left" w:pos="0"/>
        </w:tabs>
        <w:ind w:left="709" w:right="709"/>
        <w:jc w:val="both"/>
        <w:rPr>
          <w:rFonts w:ascii="Arial" w:eastAsia="Arial" w:hAnsi="Arial" w:cs="Arial"/>
          <w:color w:val="000000"/>
          <w:sz w:val="21"/>
          <w:szCs w:val="21"/>
        </w:rPr>
      </w:pPr>
    </w:p>
    <w:p w14:paraId="2025FBC2" w14:textId="77777777" w:rsidR="001D6BEE" w:rsidRPr="00BA5EB8" w:rsidRDefault="00C942A4">
      <w:pPr>
        <w:tabs>
          <w:tab w:val="left" w:pos="0"/>
        </w:tabs>
        <w:spacing w:after="120"/>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6C37FDF1" w14:textId="77777777" w:rsidR="001D6BEE" w:rsidRPr="00BA5EB8" w:rsidRDefault="00C942A4">
      <w:pPr>
        <w:tabs>
          <w:tab w:val="left" w:pos="0"/>
        </w:tabs>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3B15F6CB" w14:textId="77777777" w:rsidR="001D6BEE" w:rsidRPr="00BA5EB8" w:rsidRDefault="00C942A4">
      <w:pPr>
        <w:tabs>
          <w:tab w:val="left" w:pos="0"/>
        </w:tabs>
        <w:spacing w:after="120"/>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w:t>
      </w:r>
    </w:p>
    <w:p w14:paraId="54A9A77B" w14:textId="77777777" w:rsidR="001D6BEE" w:rsidRPr="00BA5EB8" w:rsidRDefault="00C942A4">
      <w:pPr>
        <w:tabs>
          <w:tab w:val="left" w:pos="0"/>
        </w:tabs>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BA5EB8">
        <w:rPr>
          <w:rFonts w:ascii="Arial" w:eastAsia="Arial" w:hAnsi="Arial" w:cs="Arial"/>
          <w:color w:val="000000"/>
          <w:sz w:val="21"/>
          <w:szCs w:val="21"/>
          <w:vertAlign w:val="superscript"/>
        </w:rPr>
        <w:footnoteReference w:id="5"/>
      </w:r>
      <w:r w:rsidRPr="00BA5EB8">
        <w:rPr>
          <w:rFonts w:ascii="Arial" w:eastAsia="Arial" w:hAnsi="Arial" w:cs="Arial"/>
          <w:color w:val="000000"/>
          <w:sz w:val="21"/>
          <w:szCs w:val="21"/>
        </w:rPr>
        <w:t>.</w:t>
      </w:r>
    </w:p>
    <w:p w14:paraId="0B8AFC71" w14:textId="77777777" w:rsidR="001D6BEE" w:rsidRPr="00BA5EB8" w:rsidRDefault="001D6BEE">
      <w:pPr>
        <w:tabs>
          <w:tab w:val="left" w:pos="0"/>
        </w:tabs>
        <w:ind w:left="709" w:right="709"/>
        <w:jc w:val="both"/>
        <w:rPr>
          <w:rFonts w:ascii="Arial" w:eastAsia="Arial" w:hAnsi="Arial" w:cs="Arial"/>
          <w:color w:val="000000"/>
          <w:sz w:val="21"/>
          <w:szCs w:val="21"/>
        </w:rPr>
      </w:pPr>
    </w:p>
    <w:p w14:paraId="6E033DF6" w14:textId="77777777" w:rsidR="001D6BEE" w:rsidRPr="00BA5EB8" w:rsidRDefault="00C942A4">
      <w:pPr>
        <w:tabs>
          <w:tab w:val="left" w:pos="0"/>
        </w:tabs>
        <w:spacing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0D6CE814" w14:textId="2B027F2E" w:rsidR="001D6BEE" w:rsidRPr="00BA5EB8" w:rsidRDefault="00C942A4">
      <w:pPr>
        <w:tabs>
          <w:tab w:val="left" w:pos="0"/>
        </w:tabs>
        <w:spacing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 xml:space="preserve">En ese sentido, la asignación de puntaje es un mecanismo mediante el cual las entidades ponderan los factores de calificación </w:t>
      </w:r>
      <w:r w:rsidRPr="00BA5EB8">
        <w:rPr>
          <w:rFonts w:ascii="Tahoma" w:eastAsia="Tahoma" w:hAnsi="Tahoma" w:cs="Tahoma"/>
          <w:color w:val="000000"/>
          <w:sz w:val="22"/>
          <w:szCs w:val="22"/>
        </w:rPr>
        <w:t>ꟷ</w:t>
      </w:r>
      <w:r w:rsidRPr="00BA5EB8">
        <w:rPr>
          <w:rFonts w:ascii="Arial" w:eastAsia="Arial" w:hAnsi="Arial" w:cs="Arial"/>
          <w:i/>
          <w:color w:val="000000"/>
          <w:sz w:val="22"/>
          <w:szCs w:val="22"/>
        </w:rPr>
        <w:t>v.g.</w:t>
      </w:r>
      <w:r w:rsidRPr="00BA5EB8">
        <w:rPr>
          <w:rFonts w:ascii="Arial" w:eastAsia="Arial" w:hAnsi="Arial" w:cs="Arial"/>
          <w:color w:val="000000"/>
          <w:sz w:val="22"/>
          <w:szCs w:val="22"/>
        </w:rPr>
        <w:t xml:space="preserve"> técnicos y económicos, de calidad y precio, etc.</w:t>
      </w:r>
      <w:r w:rsidRPr="00BA5EB8">
        <w:rPr>
          <w:rFonts w:ascii="Tahoma" w:eastAsia="Tahoma" w:hAnsi="Tahoma" w:cs="Tahoma"/>
          <w:color w:val="000000"/>
          <w:sz w:val="22"/>
          <w:szCs w:val="22"/>
        </w:rPr>
        <w:t>ꟷ</w:t>
      </w:r>
      <w:r w:rsidRPr="00BA5EB8">
        <w:rPr>
          <w:rFonts w:ascii="Arial" w:eastAsia="Arial" w:hAnsi="Arial" w:cs="Arial"/>
          <w:color w:val="000000"/>
          <w:sz w:val="22"/>
          <w:szCs w:val="22"/>
        </w:rPr>
        <w:t xml:space="preserve"> en un determinado proceso de selección, como se desprende del literal a) del numeral 2 del artículo 5 de la Ley 1150 de 2007, en el que expresamente se alude al puntaje. Sin embargo, no es este el único mecanismo de ponderación que tienen a su alcance las </w:t>
      </w:r>
      <w:r w:rsidRPr="00BA5EB8">
        <w:rPr>
          <w:rFonts w:ascii="Arial" w:eastAsia="Arial" w:hAnsi="Arial" w:cs="Arial"/>
          <w:color w:val="000000"/>
          <w:sz w:val="22"/>
          <w:szCs w:val="22"/>
        </w:rPr>
        <w:lastRenderedPageBreak/>
        <w:t>entidades estatales para determinar el ofrecimiento más favorable, pues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260FF559" w14:textId="77777777" w:rsidR="001D6BEE" w:rsidRPr="00BA5EB8" w:rsidRDefault="00C942A4">
      <w:pPr>
        <w:spacing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ab/>
        <w:t>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Pr="00BA5EB8">
        <w:rPr>
          <w:rFonts w:ascii="Arial" w:eastAsia="Arial" w:hAnsi="Arial" w:cs="Arial"/>
          <w:color w:val="000000"/>
          <w:sz w:val="22"/>
          <w:szCs w:val="22"/>
          <w:vertAlign w:val="superscript"/>
        </w:rPr>
        <w:footnoteReference w:id="6"/>
      </w:r>
      <w:r w:rsidRPr="00BA5EB8">
        <w:rPr>
          <w:rFonts w:ascii="Arial" w:eastAsia="Arial" w:hAnsi="Arial" w:cs="Arial"/>
          <w:color w:val="000000"/>
          <w:sz w:val="22"/>
          <w:szCs w:val="22"/>
        </w:rPr>
        <w:t>.</w:t>
      </w:r>
    </w:p>
    <w:p w14:paraId="4D442602" w14:textId="77777777" w:rsidR="001D6BEE" w:rsidRPr="00BA5EB8" w:rsidRDefault="00C942A4">
      <w:pPr>
        <w:spacing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lastRenderedPageBreak/>
        <w:t>Conforme a lo anterior,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4A72E9ED" w14:textId="19D5D976"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Retomando otros fundamentos jurídicos del deber de «selección objetiva» distintos al artículo 5 de la Ley 1150 de 2007, la Ley 80 de 1993 se refiere a ella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w:t>
      </w:r>
      <w:r w:rsidRPr="00BA5EB8">
        <w:rPr>
          <w:rFonts w:ascii="Arial" w:eastAsia="Arial" w:hAnsi="Arial" w:cs="Arial"/>
          <w:color w:val="000000"/>
          <w:sz w:val="22"/>
          <w:szCs w:val="22"/>
        </w:rPr>
        <w:lastRenderedPageBreak/>
        <w:t xml:space="preserve">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358502B6"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4AC5E33F"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BA5EB8">
        <w:rPr>
          <w:rFonts w:ascii="Arial" w:eastAsia="Arial" w:hAnsi="Arial" w:cs="Arial"/>
          <w:color w:val="000000"/>
          <w:sz w:val="22"/>
          <w:szCs w:val="22"/>
          <w:vertAlign w:val="superscript"/>
        </w:rPr>
        <w:footnoteReference w:id="7"/>
      </w:r>
      <w:r w:rsidRPr="00BA5EB8">
        <w:rPr>
          <w:rFonts w:ascii="Arial" w:eastAsia="Arial" w:hAnsi="Arial" w:cs="Arial"/>
          <w:color w:val="000000"/>
          <w:sz w:val="22"/>
          <w:szCs w:val="22"/>
        </w:rPr>
        <w:t xml:space="preserve">.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w:t>
      </w:r>
      <w:r w:rsidRPr="00BA5EB8">
        <w:rPr>
          <w:rFonts w:ascii="Arial" w:eastAsia="Arial" w:hAnsi="Arial" w:cs="Arial"/>
          <w:color w:val="000000"/>
          <w:sz w:val="22"/>
          <w:szCs w:val="22"/>
        </w:rPr>
        <w:lastRenderedPageBreak/>
        <w:t>a evitar el actuar arbitrario, abusivo o violatorio de norma superior (numeral 8, art. 24, ley 80) por parte de los servidores públicos»</w:t>
      </w:r>
      <w:r w:rsidRPr="00BA5EB8">
        <w:rPr>
          <w:rFonts w:ascii="Arial" w:eastAsia="Arial" w:hAnsi="Arial" w:cs="Arial"/>
          <w:color w:val="000000"/>
          <w:sz w:val="22"/>
          <w:szCs w:val="22"/>
          <w:vertAlign w:val="superscript"/>
        </w:rPr>
        <w:footnoteReference w:id="8"/>
      </w:r>
      <w:r w:rsidRPr="00BA5EB8">
        <w:rPr>
          <w:rFonts w:ascii="Arial" w:eastAsia="Arial" w:hAnsi="Arial" w:cs="Arial"/>
          <w:color w:val="000000"/>
          <w:sz w:val="22"/>
          <w:szCs w:val="22"/>
        </w:rPr>
        <w:t>.</w:t>
      </w:r>
    </w:p>
    <w:p w14:paraId="24ABCDA4" w14:textId="3C043DDD"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6DFCD9AD" w14:textId="77777777" w:rsidR="001D6BEE" w:rsidRPr="00BA5EB8" w:rsidRDefault="001D6BEE">
      <w:pPr>
        <w:spacing w:line="276" w:lineRule="auto"/>
        <w:jc w:val="both"/>
        <w:rPr>
          <w:rFonts w:ascii="Arial" w:eastAsia="Arial" w:hAnsi="Arial" w:cs="Arial"/>
          <w:color w:val="000000"/>
          <w:sz w:val="22"/>
          <w:szCs w:val="22"/>
        </w:rPr>
      </w:pPr>
    </w:p>
    <w:p w14:paraId="1837BE88" w14:textId="77777777" w:rsidR="001D6BEE" w:rsidRPr="00BA5EB8" w:rsidRDefault="00C942A4">
      <w:pPr>
        <w:spacing w:line="276" w:lineRule="auto"/>
        <w:jc w:val="both"/>
        <w:rPr>
          <w:rFonts w:ascii="Arial" w:eastAsia="Arial" w:hAnsi="Arial" w:cs="Arial"/>
          <w:b/>
          <w:color w:val="000000"/>
          <w:sz w:val="22"/>
          <w:szCs w:val="22"/>
        </w:rPr>
      </w:pPr>
      <w:r w:rsidRPr="00BA5EB8">
        <w:rPr>
          <w:rFonts w:ascii="Arial" w:eastAsia="Arial" w:hAnsi="Arial" w:cs="Arial"/>
          <w:b/>
          <w:color w:val="000000"/>
          <w:sz w:val="22"/>
          <w:szCs w:val="22"/>
        </w:rPr>
        <w:t>2.2. Alcance de la regla de la subsanabilidad de las ofertas en los procedimientos de selección y su diferencia con la figura de la aclaración de ofertas</w:t>
      </w:r>
    </w:p>
    <w:p w14:paraId="2D952479" w14:textId="77777777" w:rsidR="001D6BEE" w:rsidRPr="00BA5EB8" w:rsidRDefault="001D6BEE">
      <w:pPr>
        <w:spacing w:line="276" w:lineRule="auto"/>
        <w:jc w:val="both"/>
        <w:rPr>
          <w:rFonts w:ascii="Arial" w:eastAsia="Arial" w:hAnsi="Arial" w:cs="Arial"/>
          <w:color w:val="000000"/>
          <w:sz w:val="22"/>
          <w:szCs w:val="22"/>
        </w:rPr>
      </w:pPr>
    </w:p>
    <w:p w14:paraId="4DA51138" w14:textId="77777777" w:rsidR="001D6BEE" w:rsidRPr="00BA5EB8" w:rsidRDefault="00C942A4">
      <w:pPr>
        <w:pBdr>
          <w:top w:val="nil"/>
          <w:left w:val="nil"/>
          <w:bottom w:val="nil"/>
          <w:right w:val="nil"/>
          <w:between w:val="nil"/>
        </w:pBdr>
        <w:spacing w:after="120" w:line="276" w:lineRule="auto"/>
        <w:jc w:val="both"/>
        <w:rPr>
          <w:rFonts w:ascii="Quattrocento Sans" w:eastAsia="Quattrocento Sans" w:hAnsi="Quattrocento Sans" w:cs="Quattrocento Sans"/>
          <w:color w:val="000000"/>
          <w:sz w:val="18"/>
          <w:szCs w:val="18"/>
        </w:rPr>
      </w:pPr>
      <w:r w:rsidRPr="00BA5EB8">
        <w:rPr>
          <w:rFonts w:ascii="Arial" w:eastAsia="Arial" w:hAnsi="Arial" w:cs="Arial"/>
          <w:color w:val="000000"/>
          <w:sz w:val="22"/>
          <w:szCs w:val="22"/>
        </w:rPr>
        <w:t>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50927453" w14:textId="77777777" w:rsidR="001D6BEE" w:rsidRPr="00BA5EB8" w:rsidRDefault="00C942A4">
      <w:pPr>
        <w:pBdr>
          <w:top w:val="nil"/>
          <w:left w:val="nil"/>
          <w:bottom w:val="nil"/>
          <w:right w:val="nil"/>
          <w:between w:val="nil"/>
        </w:pBdr>
        <w:spacing w:line="276" w:lineRule="auto"/>
        <w:ind w:firstLine="705"/>
        <w:jc w:val="both"/>
        <w:rPr>
          <w:rFonts w:ascii="Quattrocento Sans" w:eastAsia="Quattrocento Sans" w:hAnsi="Quattrocento Sans" w:cs="Quattrocento Sans"/>
          <w:color w:val="000000"/>
          <w:sz w:val="18"/>
          <w:szCs w:val="18"/>
        </w:rPr>
      </w:pPr>
      <w:r w:rsidRPr="00BA5EB8">
        <w:rPr>
          <w:rFonts w:ascii="Arial" w:eastAsia="Arial" w:hAnsi="Arial" w:cs="Arial"/>
          <w:color w:val="000000"/>
          <w:sz w:val="22"/>
          <w:szCs w:val="22"/>
        </w:rPr>
        <w:t xml:space="preserve">En efecto, la Agencia Nacional de Contratación Pública – Colombia Compra Eficiente, en el concepto CU — 060 de 16 de enero de 2020, 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w:t>
      </w:r>
      <w:r w:rsidRPr="00BA5EB8">
        <w:rPr>
          <w:rFonts w:ascii="Arial" w:eastAsia="Arial" w:hAnsi="Arial" w:cs="Arial"/>
          <w:color w:val="000000"/>
          <w:sz w:val="22"/>
          <w:szCs w:val="22"/>
        </w:rPr>
        <w:lastRenderedPageBreak/>
        <w:t xml:space="preserve">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y C-250 del 2 de junio de 2021. La tesis propuesta en estos conceptos es la que se expone a continuación: </w:t>
      </w:r>
    </w:p>
    <w:p w14:paraId="1D856BF9"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La posibilidad de enmendar, corregir o subsanar los errores en los que se incurre en los documentos contentivos de la oferta es un tema que ha tenido diferentes momentos o etapas en el ordenamiento jurídico colombiano. </w:t>
      </w:r>
    </w:p>
    <w:p w14:paraId="228BDE70"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En un </w:t>
      </w:r>
      <w:r w:rsidRPr="00BA5EB8">
        <w:rPr>
          <w:rFonts w:ascii="Arial" w:eastAsia="Arial" w:hAnsi="Arial" w:cs="Arial"/>
          <w:i/>
          <w:color w:val="000000"/>
          <w:sz w:val="22"/>
          <w:szCs w:val="22"/>
        </w:rPr>
        <w:t>primer momento</w:t>
      </w:r>
      <w:r w:rsidRPr="00BA5EB8">
        <w:rPr>
          <w:rFonts w:ascii="Arial" w:eastAsia="Arial" w:hAnsi="Arial" w:cs="Arial"/>
          <w:color w:val="000000"/>
          <w:sz w:val="22"/>
          <w:szCs w:val="22"/>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5F045C16" w14:textId="09C61165" w:rsidR="001D6BEE" w:rsidRPr="00BA5EB8" w:rsidRDefault="00C942A4" w:rsidP="00BA5EB8">
      <w:pPr>
        <w:spacing w:before="120" w:after="120" w:line="276" w:lineRule="auto"/>
        <w:ind w:firstLine="709"/>
        <w:jc w:val="both"/>
      </w:pPr>
      <w:r w:rsidRPr="00BA5EB8">
        <w:rPr>
          <w:rFonts w:ascii="Arial" w:eastAsia="Arial" w:hAnsi="Arial" w:cs="Arial"/>
          <w:color w:val="000000"/>
          <w:sz w:val="22"/>
          <w:szCs w:val="22"/>
        </w:rPr>
        <w:t xml:space="preserve">En un </w:t>
      </w:r>
      <w:r w:rsidRPr="00BA5EB8">
        <w:rPr>
          <w:rFonts w:ascii="Arial" w:eastAsia="Arial" w:hAnsi="Arial" w:cs="Arial"/>
          <w:i/>
          <w:color w:val="000000"/>
          <w:sz w:val="22"/>
          <w:szCs w:val="22"/>
        </w:rPr>
        <w:t>segundo momento</w:t>
      </w:r>
      <w:r w:rsidRPr="00BA5EB8">
        <w:rPr>
          <w:rFonts w:ascii="Arial" w:eastAsia="Arial" w:hAnsi="Arial" w:cs="Arial"/>
          <w:color w:val="000000"/>
          <w:sz w:val="22"/>
          <w:szCs w:val="22"/>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454D962D" w14:textId="77777777" w:rsidR="001D6BEE" w:rsidRPr="00BA5EB8" w:rsidRDefault="001D6BEE">
      <w:pPr>
        <w:spacing w:line="276" w:lineRule="auto"/>
        <w:jc w:val="both"/>
        <w:rPr>
          <w:rFonts w:ascii="Arial" w:eastAsia="Arial" w:hAnsi="Arial" w:cs="Arial"/>
          <w:color w:val="000000"/>
          <w:sz w:val="22"/>
          <w:szCs w:val="22"/>
        </w:rPr>
      </w:pPr>
    </w:p>
    <w:p w14:paraId="4C87228D"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7454BC4"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 </w:t>
      </w:r>
    </w:p>
    <w:p w14:paraId="3878A886"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La ausencia de requisitos o la falta de documentos referentes a la futura contratación o al proponente, no necesarios para la comparación de propuestas, no servirá de título suficiente para el rechazo de los ofrecimientos hechos. </w:t>
      </w:r>
    </w:p>
    <w:p w14:paraId="07E5DC26" w14:textId="77777777" w:rsidR="001D6BEE" w:rsidRPr="00BA5EB8" w:rsidRDefault="001D6BEE">
      <w:pPr>
        <w:spacing w:line="276" w:lineRule="auto"/>
        <w:jc w:val="both"/>
        <w:rPr>
          <w:rFonts w:ascii="Arial" w:eastAsia="Arial" w:hAnsi="Arial" w:cs="Arial"/>
          <w:b/>
          <w:color w:val="000000"/>
          <w:sz w:val="22"/>
          <w:szCs w:val="22"/>
        </w:rPr>
      </w:pPr>
    </w:p>
    <w:p w14:paraId="183B4B84" w14:textId="77777777"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Bajo el amparo de esta norma, el régimen jurídico de subsanabilidad de las ofertas sufre un cambio fundamental, pues ya no era posible rechazar las ofertas por falta de requisitos o documentos que no fueran “</w:t>
      </w:r>
      <w:r w:rsidRPr="00BA5EB8">
        <w:rPr>
          <w:rFonts w:ascii="Arial" w:eastAsia="Arial" w:hAnsi="Arial" w:cs="Arial"/>
          <w:i/>
          <w:color w:val="000000"/>
          <w:sz w:val="22"/>
          <w:szCs w:val="22"/>
        </w:rPr>
        <w:t>necesarios para la comparación de propuestas</w:t>
      </w:r>
      <w:r w:rsidRPr="00BA5EB8">
        <w:rPr>
          <w:rFonts w:ascii="Arial" w:eastAsia="Arial" w:hAnsi="Arial" w:cs="Arial"/>
          <w:color w:val="000000"/>
          <w:sz w:val="22"/>
          <w:szCs w:val="22"/>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5CCB2CA"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lastRenderedPageBreak/>
        <w:t>Esta norma debía leerse en conjunto con otras de la Ley 80 de 1993, particularmente con el artículo 30.7</w:t>
      </w:r>
      <w:r w:rsidRPr="00BA5EB8">
        <w:rPr>
          <w:rFonts w:ascii="Arial" w:eastAsia="Arial" w:hAnsi="Arial" w:cs="Arial"/>
          <w:color w:val="000000"/>
          <w:sz w:val="22"/>
          <w:szCs w:val="22"/>
          <w:vertAlign w:val="superscript"/>
        </w:rPr>
        <w:footnoteReference w:id="9"/>
      </w:r>
      <w:r w:rsidRPr="00BA5EB8">
        <w:rPr>
          <w:rFonts w:ascii="Arial" w:eastAsia="Arial" w:hAnsi="Arial" w:cs="Arial"/>
          <w:color w:val="000000"/>
          <w:sz w:val="22"/>
          <w:szCs w:val="22"/>
        </w:rPr>
        <w:t>, que ordena a la entidad señalar un plazo razonable para evaluar las propuestas y pedir a los proponentes, de ser necesario, que aclaren o expliquen aspectos que ofrezcan dudas y resulten indispensables para hacer la evaluación; y con el artículo 30.8</w:t>
      </w:r>
      <w:r w:rsidRPr="00BA5EB8">
        <w:rPr>
          <w:rFonts w:ascii="Arial" w:eastAsia="Arial" w:hAnsi="Arial" w:cs="Arial"/>
          <w:color w:val="000000"/>
          <w:sz w:val="22"/>
          <w:szCs w:val="22"/>
          <w:vertAlign w:val="superscript"/>
        </w:rPr>
        <w:footnoteReference w:id="10"/>
      </w:r>
      <w:r w:rsidRPr="00BA5EB8">
        <w:rPr>
          <w:rFonts w:ascii="Arial" w:eastAsia="Arial" w:hAnsi="Arial" w:cs="Arial"/>
          <w:color w:val="000000"/>
          <w:sz w:val="22"/>
          <w:szCs w:val="22"/>
        </w:rPr>
        <w:t xml:space="preserve">, que consagró el término de 5 días hábiles para que los oferentes presenten observaciones al informe de evaluación de las propuestas, sin que sea posible completar, adicionar, modificar o mejorar la oferta.  </w:t>
      </w:r>
    </w:p>
    <w:p w14:paraId="08F3ACD4"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0739F266" w14:textId="77777777"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En un </w:t>
      </w:r>
      <w:r w:rsidRPr="00BA5EB8">
        <w:rPr>
          <w:rFonts w:ascii="Arial" w:eastAsia="Arial" w:hAnsi="Arial" w:cs="Arial"/>
          <w:i/>
          <w:color w:val="000000"/>
          <w:sz w:val="22"/>
          <w:szCs w:val="22"/>
        </w:rPr>
        <w:t>tercer momento</w:t>
      </w:r>
      <w:r w:rsidRPr="00BA5EB8">
        <w:rPr>
          <w:rFonts w:ascii="Arial" w:eastAsia="Arial" w:hAnsi="Arial" w:cs="Arial"/>
          <w:color w:val="000000"/>
          <w:sz w:val="22"/>
          <w:szCs w:val="22"/>
        </w:rPr>
        <w:t xml:space="preserve">, y siguiendo la línea trazada por la Ley 80 de 1993, el legislador expidió la Ley 1150 de 2007, que, en el parágrafo 1º del artículo 5, determinó lo siguiente: </w:t>
      </w:r>
    </w:p>
    <w:p w14:paraId="5514DB11" w14:textId="77777777" w:rsidR="001D6BEE" w:rsidRPr="00BA5EB8" w:rsidRDefault="001D6BEE">
      <w:pPr>
        <w:spacing w:line="276" w:lineRule="auto"/>
        <w:jc w:val="both"/>
        <w:rPr>
          <w:rFonts w:ascii="Arial" w:eastAsia="Arial" w:hAnsi="Arial" w:cs="Arial"/>
          <w:color w:val="000000"/>
          <w:sz w:val="22"/>
          <w:szCs w:val="22"/>
        </w:rPr>
      </w:pPr>
    </w:p>
    <w:p w14:paraId="1C24F4DE" w14:textId="77777777" w:rsidR="001D6BEE" w:rsidRPr="00BA5EB8" w:rsidRDefault="00C942A4">
      <w:pPr>
        <w:ind w:left="709" w:right="709"/>
        <w:jc w:val="both"/>
        <w:rPr>
          <w:rFonts w:ascii="Arial" w:eastAsia="Arial" w:hAnsi="Arial" w:cs="Arial"/>
          <w:color w:val="000000"/>
          <w:sz w:val="22"/>
          <w:szCs w:val="22"/>
        </w:rPr>
      </w:pPr>
      <w:r w:rsidRPr="00BA5EB8">
        <w:rPr>
          <w:rFonts w:ascii="Arial" w:eastAsia="Arial" w:hAnsi="Arial" w:cs="Arial"/>
          <w:color w:val="000000"/>
          <w:sz w:val="22"/>
          <w:szCs w:val="22"/>
        </w:rPr>
        <w:t xml:space="preserve">Parágrafo 1°. La ausencia de requisitos o la falta de documentos referentes a la futura </w:t>
      </w:r>
      <w:r w:rsidRPr="00BA5EB8">
        <w:rPr>
          <w:rFonts w:ascii="Arial" w:eastAsia="Arial" w:hAnsi="Arial" w:cs="Arial"/>
          <w:color w:val="000000"/>
          <w:sz w:val="21"/>
          <w:szCs w:val="21"/>
        </w:rPr>
        <w:t>contratación</w:t>
      </w:r>
      <w:r w:rsidRPr="00BA5EB8">
        <w:rPr>
          <w:rFonts w:ascii="Arial" w:eastAsia="Arial" w:hAnsi="Arial" w:cs="Arial"/>
          <w:color w:val="000000"/>
          <w:sz w:val="22"/>
          <w:szCs w:val="22"/>
        </w:rPr>
        <w:t xml:space="preserve"> o al proponente, no necesarios para la comparación de las propuestas no servirán de título suficiente para el rechazo de los ofrecimientos hechos. En consecuencia</w:t>
      </w:r>
      <w:r w:rsidRPr="00BA5EB8">
        <w:rPr>
          <w:rFonts w:ascii="Arial" w:eastAsia="Arial" w:hAnsi="Arial" w:cs="Arial"/>
          <w:b/>
          <w:color w:val="000000"/>
          <w:sz w:val="22"/>
          <w:szCs w:val="22"/>
        </w:rPr>
        <w:t xml:space="preserve">, </w:t>
      </w:r>
      <w:r w:rsidRPr="00BA5EB8">
        <w:rPr>
          <w:rFonts w:ascii="Arial" w:eastAsia="Arial" w:hAnsi="Arial" w:cs="Arial"/>
          <w:color w:val="000000"/>
          <w:sz w:val="22"/>
          <w:szCs w:val="22"/>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50D2AC62" w14:textId="77777777" w:rsidR="001D6BEE" w:rsidRPr="00BA5EB8" w:rsidRDefault="001D6BEE">
      <w:pPr>
        <w:spacing w:line="276" w:lineRule="auto"/>
        <w:jc w:val="both"/>
        <w:rPr>
          <w:rFonts w:ascii="Arial" w:eastAsia="Arial" w:hAnsi="Arial" w:cs="Arial"/>
          <w:b/>
          <w:color w:val="000000"/>
          <w:sz w:val="22"/>
          <w:szCs w:val="22"/>
        </w:rPr>
      </w:pPr>
    </w:p>
    <w:p w14:paraId="6E534439" w14:textId="29F651F6" w:rsidR="001D6BEE" w:rsidRPr="00BA5EB8" w:rsidRDefault="00C942A4" w:rsidP="00BA5EB8">
      <w:pPr>
        <w:spacing w:after="120" w:line="276" w:lineRule="auto"/>
        <w:ind w:firstLine="709"/>
        <w:jc w:val="both"/>
      </w:pPr>
      <w:r w:rsidRPr="00BA5EB8">
        <w:rPr>
          <w:rFonts w:ascii="Arial" w:eastAsia="Arial" w:hAnsi="Arial" w:cs="Arial"/>
          <w:color w:val="000000"/>
          <w:sz w:val="22"/>
          <w:szCs w:val="22"/>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w:t>
      </w:r>
      <w:r w:rsidRPr="00BA5EB8">
        <w:rPr>
          <w:rFonts w:ascii="Arial" w:eastAsia="Arial" w:hAnsi="Arial" w:cs="Arial"/>
          <w:color w:val="000000"/>
          <w:sz w:val="22"/>
          <w:szCs w:val="22"/>
        </w:rPr>
        <w:lastRenderedPageBreak/>
        <w:t xml:space="preserve">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14:paraId="0B6D33E6" w14:textId="77777777"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El artículo 5 de la Ley 1150 de 2007, además de consagrar un criterio más claro, y, de paso, reducir la discrecionalidad de la Administración, fijó un ámbito temporal para la subsanación de las ofertas: “</w:t>
      </w:r>
      <w:r w:rsidRPr="00BA5EB8">
        <w:rPr>
          <w:rFonts w:ascii="Arial" w:eastAsia="Arial" w:hAnsi="Arial" w:cs="Arial"/>
          <w:i/>
          <w:color w:val="000000"/>
          <w:sz w:val="22"/>
          <w:szCs w:val="22"/>
        </w:rPr>
        <w:t>en cualquier momento, hasta la adjudicación</w:t>
      </w:r>
      <w:r w:rsidRPr="00BA5EB8">
        <w:rPr>
          <w:rFonts w:ascii="Arial" w:eastAsia="Arial" w:hAnsi="Arial" w:cs="Arial"/>
          <w:color w:val="000000"/>
          <w:sz w:val="22"/>
          <w:szCs w:val="22"/>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776CB553" w14:textId="77777777" w:rsidR="001D6BEE" w:rsidRPr="00BA5EB8" w:rsidRDefault="001D6BEE">
      <w:pPr>
        <w:spacing w:line="276" w:lineRule="auto"/>
        <w:jc w:val="both"/>
        <w:rPr>
          <w:rFonts w:ascii="Arial" w:eastAsia="Arial" w:hAnsi="Arial" w:cs="Arial"/>
          <w:color w:val="000000"/>
          <w:sz w:val="22"/>
          <w:szCs w:val="22"/>
        </w:rPr>
      </w:pPr>
    </w:p>
    <w:p w14:paraId="207528E4"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BA5EB8">
        <w:rPr>
          <w:rFonts w:ascii="Arial" w:eastAsia="Arial" w:hAnsi="Arial" w:cs="Arial"/>
          <w:color w:val="000000"/>
          <w:sz w:val="21"/>
          <w:szCs w:val="21"/>
          <w:vertAlign w:val="superscript"/>
        </w:rPr>
        <w:footnoteReference w:id="11"/>
      </w:r>
      <w:r w:rsidRPr="00BA5EB8">
        <w:rPr>
          <w:rFonts w:ascii="Arial" w:eastAsia="Arial" w:hAnsi="Arial" w:cs="Arial"/>
          <w:color w:val="000000"/>
          <w:sz w:val="21"/>
          <w:szCs w:val="21"/>
        </w:rPr>
        <w:t>.</w:t>
      </w:r>
    </w:p>
    <w:p w14:paraId="49AE707E" w14:textId="77777777" w:rsidR="001D6BEE" w:rsidRPr="00BA5EB8" w:rsidRDefault="001D6BEE">
      <w:pPr>
        <w:spacing w:line="276" w:lineRule="auto"/>
        <w:jc w:val="both"/>
        <w:rPr>
          <w:rFonts w:ascii="Arial" w:eastAsia="Arial" w:hAnsi="Arial" w:cs="Arial"/>
          <w:b/>
          <w:color w:val="000000"/>
          <w:sz w:val="22"/>
          <w:szCs w:val="22"/>
        </w:rPr>
      </w:pPr>
    </w:p>
    <w:p w14:paraId="441E7E6B" w14:textId="77777777" w:rsidR="001D6BEE" w:rsidRPr="00BA5EB8" w:rsidRDefault="00C942A4">
      <w:pPr>
        <w:pBdr>
          <w:top w:val="nil"/>
          <w:left w:val="nil"/>
          <w:bottom w:val="nil"/>
          <w:right w:val="nil"/>
          <w:between w:val="nil"/>
        </w:pBdr>
        <w:tabs>
          <w:tab w:val="left" w:pos="284"/>
        </w:tabs>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Esa interpretación fue compartida por la Agencia Nacional de Contratación Pública – Colombia Compra Eficiente,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60E4B73F" w14:textId="77777777" w:rsidR="001D6BEE" w:rsidRPr="00BA5EB8" w:rsidRDefault="00C942A4">
      <w:pPr>
        <w:pBdr>
          <w:top w:val="nil"/>
          <w:left w:val="nil"/>
          <w:bottom w:val="nil"/>
          <w:right w:val="nil"/>
          <w:between w:val="nil"/>
        </w:pBdr>
        <w:tabs>
          <w:tab w:val="left" w:pos="284"/>
        </w:tabs>
        <w:spacing w:before="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En un </w:t>
      </w:r>
      <w:r w:rsidRPr="00BA5EB8">
        <w:rPr>
          <w:rFonts w:ascii="Arial" w:eastAsia="Arial" w:hAnsi="Arial" w:cs="Arial"/>
          <w:i/>
          <w:color w:val="000000"/>
          <w:sz w:val="22"/>
          <w:szCs w:val="22"/>
        </w:rPr>
        <w:t>cuarto momento</w:t>
      </w:r>
      <w:r w:rsidRPr="00BA5EB8">
        <w:rPr>
          <w:rFonts w:ascii="Arial" w:eastAsia="Arial" w:hAnsi="Arial" w:cs="Arial"/>
          <w:color w:val="000000"/>
          <w:sz w:val="22"/>
          <w:szCs w:val="22"/>
        </w:rPr>
        <w:t xml:space="preserve">, el legislador expidió la Ley 1882 de 2018, con la finalidad de introducir cambios y ajustes para fortalecer la contratación pública. El artículo 5 modificó el parágrafo 1º del artículo 5 de la Ley 1150 de 2007: </w:t>
      </w:r>
    </w:p>
    <w:p w14:paraId="4156C6B3" w14:textId="77777777" w:rsidR="001D6BEE" w:rsidRPr="00BA5EB8" w:rsidRDefault="001D6BEE">
      <w:pPr>
        <w:spacing w:line="276" w:lineRule="auto"/>
        <w:jc w:val="both"/>
        <w:rPr>
          <w:rFonts w:ascii="Arial" w:eastAsia="Arial" w:hAnsi="Arial" w:cs="Arial"/>
          <w:color w:val="000000"/>
          <w:sz w:val="22"/>
          <w:szCs w:val="22"/>
        </w:rPr>
      </w:pPr>
    </w:p>
    <w:p w14:paraId="3911A090"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Artículo 5°. De la selección objetiva. </w:t>
      </w:r>
    </w:p>
    <w:p w14:paraId="74497E7D"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 ) </w:t>
      </w:r>
    </w:p>
    <w:p w14:paraId="42867ADE" w14:textId="77777777" w:rsidR="001D6BEE" w:rsidRPr="00BA5EB8" w:rsidRDefault="001D6BEE">
      <w:pPr>
        <w:ind w:left="709" w:right="709"/>
        <w:jc w:val="both"/>
        <w:rPr>
          <w:rFonts w:ascii="Arial" w:eastAsia="Arial" w:hAnsi="Arial" w:cs="Arial"/>
          <w:color w:val="000000"/>
          <w:sz w:val="21"/>
          <w:szCs w:val="21"/>
        </w:rPr>
      </w:pPr>
    </w:p>
    <w:p w14:paraId="3C24816C"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Parágrafo 1º. La ausencia de requisitos o la falta de documentos referentes a la futura contratación o al proponente, no necesarios para la comparación de las propuestas no servirán de título suficiente para el rechazo de los ofrecimientos </w:t>
      </w:r>
      <w:r w:rsidRPr="00BA5EB8">
        <w:rPr>
          <w:rFonts w:ascii="Arial" w:eastAsia="Arial" w:hAnsi="Arial" w:cs="Arial"/>
          <w:color w:val="000000"/>
          <w:sz w:val="21"/>
          <w:szCs w:val="21"/>
        </w:rPr>
        <w:lastRenderedPageBreak/>
        <w:t xml:space="preserve">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5F85DFDA" w14:textId="77777777" w:rsidR="001D6BEE" w:rsidRPr="00BA5EB8" w:rsidRDefault="001D6BEE">
      <w:pPr>
        <w:spacing w:line="276" w:lineRule="auto"/>
        <w:jc w:val="both"/>
        <w:rPr>
          <w:rFonts w:ascii="Arial" w:eastAsia="Arial" w:hAnsi="Arial" w:cs="Arial"/>
          <w:b/>
          <w:color w:val="000000"/>
          <w:sz w:val="22"/>
          <w:szCs w:val="22"/>
        </w:rPr>
      </w:pPr>
    </w:p>
    <w:p w14:paraId="2DE9A34F" w14:textId="69B316A4"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cuatro aspectos que se analizarán a continuación. </w:t>
      </w:r>
    </w:p>
    <w:p w14:paraId="772AE3DD"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BA5EB8">
        <w:rPr>
          <w:rFonts w:ascii="Arial" w:eastAsia="Arial" w:hAnsi="Arial" w:cs="Arial"/>
          <w:color w:val="000000"/>
          <w:sz w:val="22"/>
          <w:szCs w:val="22"/>
          <w:vertAlign w:val="superscript"/>
        </w:rPr>
        <w:footnoteReference w:id="12"/>
      </w:r>
      <w:r w:rsidRPr="00BA5EB8">
        <w:rPr>
          <w:rFonts w:ascii="Arial" w:eastAsia="Arial" w:hAnsi="Arial" w:cs="Arial"/>
          <w:color w:val="000000"/>
          <w:sz w:val="22"/>
          <w:szCs w:val="22"/>
        </w:rPr>
        <w:t xml:space="preserve">; en el último los documentos o requisitos subsanables pueden y deben solicitarse hasta el momento previo a su realización.  </w:t>
      </w:r>
    </w:p>
    <w:p w14:paraId="43749124"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69F0F5A8" w14:textId="29F93D4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5C0D173B"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No obstante, de la lectura de este aparte podrían, en la práctica, darse dos interpretaciones que dan lugar a dos formas de proceder en los procesos de selección, en </w:t>
      </w:r>
      <w:r w:rsidRPr="00BA5EB8">
        <w:rPr>
          <w:rFonts w:ascii="Arial" w:eastAsia="Arial" w:hAnsi="Arial" w:cs="Arial"/>
          <w:color w:val="000000"/>
          <w:sz w:val="22"/>
          <w:szCs w:val="22"/>
        </w:rPr>
        <w:lastRenderedPageBreak/>
        <w:t xml:space="preserve">lo que se refiere a la subsanabilidad de las ofertas. </w:t>
      </w:r>
      <w:r w:rsidRPr="00BA5EB8">
        <w:rPr>
          <w:rFonts w:ascii="Arial" w:eastAsia="Arial" w:hAnsi="Arial" w:cs="Arial"/>
          <w:i/>
          <w:color w:val="000000"/>
          <w:sz w:val="22"/>
          <w:szCs w:val="22"/>
        </w:rPr>
        <w:t>Primera</w:t>
      </w:r>
      <w:r w:rsidRPr="00BA5EB8">
        <w:rPr>
          <w:rFonts w:ascii="Arial" w:eastAsia="Arial" w:hAnsi="Arial" w:cs="Arial"/>
          <w:color w:val="000000"/>
          <w:sz w:val="22"/>
          <w:szCs w:val="22"/>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BA5EB8">
        <w:rPr>
          <w:rFonts w:ascii="Arial" w:eastAsia="Arial" w:hAnsi="Arial" w:cs="Arial"/>
          <w:i/>
          <w:color w:val="000000"/>
          <w:sz w:val="22"/>
          <w:szCs w:val="22"/>
        </w:rPr>
        <w:t>segunda</w:t>
      </w:r>
      <w:r w:rsidRPr="00BA5EB8">
        <w:rPr>
          <w:rFonts w:ascii="Arial" w:eastAsia="Arial" w:hAnsi="Arial" w:cs="Arial"/>
          <w:color w:val="000000"/>
          <w:sz w:val="22"/>
          <w:szCs w:val="22"/>
        </w:rPr>
        <w:t xml:space="preserve">, que el término del traslado del informe de evaluación es el límite para la subsanación de ofertas, pero no el único momento para hacerlo. </w:t>
      </w:r>
    </w:p>
    <w:p w14:paraId="7D410D2B"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43A3298D"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657DD4AC"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2754AB25"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76366A0D"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De otro lado, el segundo cambio importante de la Ley 1882 de 2018 fue la introducción de un criterio material, directamente relacionado con los aspectos subsanables: «los proponentes no podrán acreditar circunstancias ocurridas con posterioridad al cierre del proceso»</w:t>
      </w:r>
      <w:r w:rsidRPr="00BA5EB8">
        <w:rPr>
          <w:rFonts w:ascii="Arial" w:eastAsia="Arial" w:hAnsi="Arial" w:cs="Arial"/>
          <w:b/>
          <w:i/>
          <w:color w:val="000000"/>
          <w:sz w:val="22"/>
          <w:szCs w:val="22"/>
        </w:rPr>
        <w:t>.</w:t>
      </w:r>
      <w:r w:rsidRPr="00BA5EB8">
        <w:rPr>
          <w:rFonts w:ascii="Arial" w:eastAsia="Arial" w:hAnsi="Arial" w:cs="Arial"/>
          <w:b/>
          <w:color w:val="000000"/>
          <w:sz w:val="22"/>
          <w:szCs w:val="22"/>
        </w:rPr>
        <w:t xml:space="preserve"> </w:t>
      </w:r>
      <w:r w:rsidRPr="00BA5EB8">
        <w:rPr>
          <w:rFonts w:ascii="Arial" w:eastAsia="Arial" w:hAnsi="Arial" w:cs="Arial"/>
          <w:color w:val="000000"/>
          <w:sz w:val="22"/>
          <w:szCs w:val="22"/>
        </w:rPr>
        <w:t xml:space="preserve">Lo anterior ofrece dos aspectos que merecen </w:t>
      </w:r>
      <w:r w:rsidRPr="00BA5EB8">
        <w:rPr>
          <w:rFonts w:ascii="Arial" w:eastAsia="Arial" w:hAnsi="Arial" w:cs="Arial"/>
          <w:color w:val="000000"/>
          <w:sz w:val="22"/>
          <w:szCs w:val="22"/>
        </w:rPr>
        <w:lastRenderedPageBreak/>
        <w:t xml:space="preserve">clarificación: </w:t>
      </w:r>
      <w:r w:rsidRPr="00BA5EB8">
        <w:rPr>
          <w:rFonts w:ascii="Arial" w:eastAsia="Arial" w:hAnsi="Arial" w:cs="Arial"/>
          <w:i/>
          <w:color w:val="000000"/>
          <w:sz w:val="22"/>
          <w:szCs w:val="22"/>
        </w:rPr>
        <w:t>primero</w:t>
      </w:r>
      <w:r w:rsidRPr="00BA5EB8">
        <w:rPr>
          <w:rFonts w:ascii="Arial" w:eastAsia="Arial" w:hAnsi="Arial" w:cs="Arial"/>
          <w:color w:val="000000"/>
          <w:sz w:val="22"/>
          <w:szCs w:val="22"/>
        </w:rPr>
        <w:t xml:space="preserve">, qué debe entenderse por circunstancias ocurridas con posterioridad; y </w:t>
      </w:r>
      <w:r w:rsidRPr="00BA5EB8">
        <w:rPr>
          <w:rFonts w:ascii="Arial" w:eastAsia="Arial" w:hAnsi="Arial" w:cs="Arial"/>
          <w:i/>
          <w:color w:val="000000"/>
          <w:sz w:val="22"/>
          <w:szCs w:val="22"/>
        </w:rPr>
        <w:t>segundo</w:t>
      </w:r>
      <w:r w:rsidRPr="00BA5EB8">
        <w:rPr>
          <w:rFonts w:ascii="Arial" w:eastAsia="Arial" w:hAnsi="Arial" w:cs="Arial"/>
          <w:color w:val="000000"/>
          <w:sz w:val="22"/>
          <w:szCs w:val="22"/>
        </w:rPr>
        <w:t>, qué es el cierre del proceso.</w:t>
      </w:r>
    </w:p>
    <w:p w14:paraId="208F7D18" w14:textId="77777777"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La Sala de Consulta y Servicio Civil del Consejo de Estado ya había tenido la oportunidad de precisar estas expresiones, a propósito de un concepto en el que se refirió al artículo 10 del derogado Decreto 2474 de 2008</w:t>
      </w:r>
      <w:r w:rsidRPr="00BA5EB8">
        <w:rPr>
          <w:rFonts w:ascii="Arial" w:eastAsia="Arial" w:hAnsi="Arial" w:cs="Arial"/>
          <w:color w:val="000000"/>
          <w:sz w:val="22"/>
          <w:szCs w:val="22"/>
          <w:vertAlign w:val="superscript"/>
        </w:rPr>
        <w:footnoteReference w:id="13"/>
      </w:r>
      <w:r w:rsidRPr="00BA5EB8">
        <w:rPr>
          <w:rFonts w:ascii="Arial" w:eastAsia="Arial" w:hAnsi="Arial" w:cs="Arial"/>
          <w:color w:val="000000"/>
          <w:sz w:val="22"/>
          <w:szCs w:val="22"/>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3BBECBAC" w14:textId="77777777" w:rsidR="001D6BEE" w:rsidRPr="00BA5EB8" w:rsidRDefault="001D6BEE">
      <w:pPr>
        <w:ind w:left="709" w:right="709"/>
        <w:jc w:val="both"/>
        <w:rPr>
          <w:rFonts w:ascii="Arial" w:eastAsia="Arial" w:hAnsi="Arial" w:cs="Arial"/>
          <w:color w:val="000000"/>
          <w:sz w:val="21"/>
          <w:szCs w:val="21"/>
        </w:rPr>
      </w:pPr>
    </w:p>
    <w:p w14:paraId="21986A0A"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6F28D254"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w:t>
      </w:r>
    </w:p>
    <w:p w14:paraId="0C19D269" w14:textId="77777777" w:rsidR="001D6BEE" w:rsidRPr="00BA5EB8" w:rsidRDefault="00C942A4">
      <w:pPr>
        <w:ind w:left="709" w:right="709"/>
        <w:jc w:val="both"/>
        <w:rPr>
          <w:rFonts w:ascii="Arial" w:eastAsia="Arial" w:hAnsi="Arial" w:cs="Arial"/>
          <w:color w:val="000000"/>
          <w:sz w:val="21"/>
          <w:szCs w:val="21"/>
        </w:rPr>
      </w:pPr>
      <w:r w:rsidRPr="00BA5EB8">
        <w:rPr>
          <w:rFonts w:ascii="Arial" w:eastAsia="Arial" w:hAnsi="Arial" w:cs="Arial"/>
          <w:color w:val="000000"/>
          <w:sz w:val="21"/>
          <w:szCs w:val="21"/>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w:t>
      </w:r>
      <w:r w:rsidRPr="00BA5EB8">
        <w:rPr>
          <w:rFonts w:ascii="Arial" w:eastAsia="Arial" w:hAnsi="Arial" w:cs="Arial"/>
          <w:color w:val="000000"/>
          <w:sz w:val="21"/>
          <w:szCs w:val="21"/>
        </w:rPr>
        <w:lastRenderedPageBreak/>
        <w:t>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BA5EB8">
        <w:rPr>
          <w:rFonts w:ascii="Arial" w:eastAsia="Arial" w:hAnsi="Arial" w:cs="Arial"/>
          <w:color w:val="000000"/>
          <w:sz w:val="21"/>
          <w:szCs w:val="21"/>
          <w:vertAlign w:val="superscript"/>
        </w:rPr>
        <w:footnoteReference w:id="14"/>
      </w:r>
      <w:r w:rsidRPr="00BA5EB8">
        <w:rPr>
          <w:rFonts w:ascii="Arial" w:eastAsia="Arial" w:hAnsi="Arial" w:cs="Arial"/>
          <w:color w:val="000000"/>
          <w:sz w:val="21"/>
          <w:szCs w:val="21"/>
        </w:rPr>
        <w:t>.</w:t>
      </w:r>
    </w:p>
    <w:p w14:paraId="55A9BD37" w14:textId="77777777" w:rsidR="001D6BEE" w:rsidRPr="00BA5EB8" w:rsidRDefault="001D6BEE">
      <w:pPr>
        <w:spacing w:line="276" w:lineRule="auto"/>
        <w:jc w:val="both"/>
        <w:rPr>
          <w:rFonts w:ascii="Arial" w:eastAsia="Arial" w:hAnsi="Arial" w:cs="Arial"/>
          <w:color w:val="000000"/>
          <w:sz w:val="22"/>
          <w:szCs w:val="22"/>
        </w:rPr>
      </w:pPr>
    </w:p>
    <w:p w14:paraId="6BCCD439" w14:textId="77777777" w:rsidR="001D6BEE" w:rsidRPr="00BA5EB8" w:rsidRDefault="00C942A4">
      <w:pPr>
        <w:spacing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2BF68878"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530572B8" w14:textId="55FFC859"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BA5EB8">
        <w:rPr>
          <w:rFonts w:ascii="Arial" w:eastAsia="Arial" w:hAnsi="Arial" w:cs="Arial"/>
          <w:color w:val="000000"/>
          <w:sz w:val="22"/>
          <w:szCs w:val="22"/>
          <w:vertAlign w:val="superscript"/>
        </w:rPr>
        <w:footnoteReference w:id="15"/>
      </w:r>
      <w:r w:rsidRPr="00BA5EB8">
        <w:rPr>
          <w:rFonts w:ascii="Arial" w:eastAsia="Arial" w:hAnsi="Arial" w:cs="Arial"/>
          <w:color w:val="000000"/>
          <w:sz w:val="22"/>
          <w:szCs w:val="22"/>
        </w:rPr>
        <w:t>; iii) si un oferente no anexó el certificado de existencia y representación legal, el documento aportado con posterioridad debe dar cuenta de que la sociedad existe desde antes del cierre del proceso</w:t>
      </w:r>
      <w:r w:rsidRPr="00BA5EB8">
        <w:rPr>
          <w:rFonts w:ascii="Arial" w:eastAsia="Arial" w:hAnsi="Arial" w:cs="Arial"/>
          <w:color w:val="000000"/>
          <w:sz w:val="22"/>
          <w:szCs w:val="22"/>
          <w:vertAlign w:val="superscript"/>
        </w:rPr>
        <w:footnoteReference w:id="16"/>
      </w:r>
      <w:r w:rsidRPr="00BA5EB8">
        <w:rPr>
          <w:rFonts w:ascii="Arial" w:eastAsia="Arial" w:hAnsi="Arial" w:cs="Arial"/>
          <w:color w:val="000000"/>
          <w:sz w:val="22"/>
          <w:szCs w:val="22"/>
        </w:rPr>
        <w:t xml:space="preserve">; iv) si un oferente olvidó adjuntar un certificado que demuestra un título universitario, el documento, aunque tenga fecha posterior al cierre del proceso, debe </w:t>
      </w:r>
      <w:r w:rsidRPr="00BA5EB8">
        <w:rPr>
          <w:rFonts w:ascii="Arial" w:eastAsia="Arial" w:hAnsi="Arial" w:cs="Arial"/>
          <w:color w:val="000000"/>
          <w:sz w:val="22"/>
          <w:szCs w:val="22"/>
        </w:rPr>
        <w:lastRenderedPageBreak/>
        <w:t xml:space="preserve">acreditar que el título académico se obtuvo con anterioridad al cierre del proceso; v) si un oferente no aportó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3D87EFA4" w14:textId="50B5E881"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BA5EB8">
        <w:rPr>
          <w:rFonts w:ascii="Arial" w:eastAsia="Arial" w:hAnsi="Arial" w:cs="Arial"/>
          <w:color w:val="000000"/>
          <w:sz w:val="22"/>
          <w:szCs w:val="22"/>
          <w:vertAlign w:val="superscript"/>
        </w:rPr>
        <w:footnoteReference w:id="17"/>
      </w:r>
      <w:r w:rsidRPr="00BA5EB8">
        <w:rPr>
          <w:rFonts w:ascii="Arial" w:eastAsia="Arial" w:hAnsi="Arial" w:cs="Arial"/>
          <w:color w:val="000000"/>
          <w:sz w:val="22"/>
          <w:szCs w:val="22"/>
        </w:rPr>
        <w:t xml:space="preserve">. </w:t>
      </w:r>
    </w:p>
    <w:p w14:paraId="230135A1" w14:textId="6DA58576"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Asimismo, indicó que no es relevante que, al subsanar dichos documentos, su fecha de actualización sea posterior a la del cierre, sino que las circunstancias que acrediten hayan ocurrido antes.</w:t>
      </w:r>
    </w:p>
    <w:p w14:paraId="00732D2C"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5D988FA1"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Una reiteración de la postura de esta Subdirección, según la cual la subsanabilidad procede sobre todos aquellos requisitos que no otorguen puntaje, siempre que no se trate </w:t>
      </w:r>
      <w:r w:rsidRPr="00BA5EB8">
        <w:rPr>
          <w:rFonts w:ascii="Arial" w:eastAsia="Arial" w:hAnsi="Arial" w:cs="Arial"/>
          <w:color w:val="000000"/>
          <w:sz w:val="22"/>
          <w:szCs w:val="22"/>
        </w:rPr>
        <w:lastRenderedPageBreak/>
        <w:t xml:space="preserve">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40CAF87E" w14:textId="77777777" w:rsidR="001D6BEE" w:rsidRPr="00BA5EB8" w:rsidRDefault="00C942A4">
      <w:pPr>
        <w:spacing w:before="120"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6CBF55BF" w14:textId="01FDEF97" w:rsidR="001D6BEE" w:rsidRPr="00BA5EB8" w:rsidRDefault="00C942A4" w:rsidP="00BA5EB8">
      <w:pPr>
        <w:spacing w:after="120" w:line="276" w:lineRule="auto"/>
        <w:ind w:firstLine="709"/>
        <w:jc w:val="both"/>
      </w:pPr>
      <w:r w:rsidRPr="00BA5EB8">
        <w:rPr>
          <w:rFonts w:ascii="Arial" w:eastAsia="Arial" w:hAnsi="Arial" w:cs="Arial"/>
          <w:color w:val="000000"/>
          <w:sz w:val="22"/>
          <w:szCs w:val="22"/>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3436256E" w14:textId="05DD20BE" w:rsidR="001D6BEE" w:rsidRPr="00BA5EB8" w:rsidRDefault="00C942A4" w:rsidP="00BA5EB8">
      <w:pPr>
        <w:spacing w:after="120" w:line="276" w:lineRule="auto"/>
        <w:ind w:firstLine="709"/>
        <w:jc w:val="both"/>
      </w:pPr>
      <w:r w:rsidRPr="00BA5EB8">
        <w:rPr>
          <w:rFonts w:ascii="Arial" w:eastAsia="Arial" w:hAnsi="Arial" w:cs="Arial"/>
          <w:color w:val="000000"/>
          <w:sz w:val="22"/>
          <w:szCs w:val="22"/>
        </w:rPr>
        <w:t>Ahora bien, con el fin de atender algunos de los aspectos consultados por el peticionario la Agencia debe diferenciar entre la regla sobre subsanación de ofertas en los procedimientos de selección que acaba de explicarse, por un lado, y por el otro lo referido a la aclaración de las ofertas, cuestiones que resultan ser distintas, sin perjuicio de que ambas puedan ser considerados como elementos propios del principio de selección objetiva.</w:t>
      </w:r>
    </w:p>
    <w:p w14:paraId="61DB33EE" w14:textId="027EF2BE" w:rsidR="001D6BEE" w:rsidRPr="00BA5EB8" w:rsidRDefault="00C942A4" w:rsidP="00BA5EB8">
      <w:pPr>
        <w:spacing w:after="120" w:line="276" w:lineRule="auto"/>
        <w:ind w:firstLine="708"/>
        <w:jc w:val="both"/>
      </w:pPr>
      <w:r w:rsidRPr="00BA5EB8">
        <w:rPr>
          <w:rFonts w:ascii="Arial" w:eastAsia="Arial" w:hAnsi="Arial" w:cs="Arial"/>
          <w:color w:val="000000"/>
          <w:sz w:val="22"/>
          <w:szCs w:val="22"/>
        </w:rPr>
        <w:lastRenderedPageBreak/>
        <w:t xml:space="preserve">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w:t>
      </w:r>
      <w:r w:rsidRPr="00BA5EB8">
        <w:rPr>
          <w:rFonts w:ascii="Arial" w:eastAsia="Arial" w:hAnsi="Arial" w:cs="Arial"/>
          <w:i/>
          <w:color w:val="000000"/>
          <w:sz w:val="22"/>
          <w:szCs w:val="22"/>
        </w:rPr>
        <w:t>para solicitar a los proponentes las aclaraciones y explicaciones</w:t>
      </w:r>
      <w:r w:rsidRPr="00BA5EB8">
        <w:rPr>
          <w:rFonts w:ascii="Arial" w:eastAsia="Arial" w:hAnsi="Arial" w:cs="Arial"/>
          <w:color w:val="000000"/>
          <w:sz w:val="22"/>
          <w:szCs w:val="22"/>
        </w:rPr>
        <w:t xml:space="preserve"> que se estimen indispensables» (Énfasis fuera de texto).</w:t>
      </w:r>
    </w:p>
    <w:p w14:paraId="6A3FAA88" w14:textId="5A8A102D" w:rsidR="001D6BEE" w:rsidRPr="00BA5EB8" w:rsidRDefault="00C942A4" w:rsidP="00BA5EB8">
      <w:pPr>
        <w:spacing w:after="120" w:line="276" w:lineRule="auto"/>
        <w:ind w:firstLine="708"/>
        <w:jc w:val="both"/>
      </w:pPr>
      <w:r w:rsidRPr="00BA5EB8">
        <w:rPr>
          <w:rFonts w:ascii="Arial" w:eastAsia="Arial" w:hAnsi="Arial" w:cs="Arial"/>
          <w:color w:val="000000"/>
          <w:sz w:val="22"/>
          <w:szCs w:val="22"/>
        </w:rPr>
        <w:t xml:space="preserve">La misma facultad en cabeza de la administración se establece, entre otras, en la disposición del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 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277E24A9" w14:textId="77777777" w:rsidR="001D6BEE" w:rsidRPr="00BA5EB8" w:rsidRDefault="00C942A4">
      <w:pPr>
        <w:spacing w:line="276" w:lineRule="auto"/>
        <w:ind w:firstLine="708"/>
        <w:jc w:val="both"/>
        <w:rPr>
          <w:rFonts w:ascii="Arial" w:eastAsia="Arial" w:hAnsi="Arial" w:cs="Arial"/>
          <w:color w:val="000000"/>
          <w:sz w:val="22"/>
          <w:szCs w:val="22"/>
        </w:rPr>
      </w:pPr>
      <w:r w:rsidRPr="00BA5EB8">
        <w:rPr>
          <w:rFonts w:ascii="Arial" w:eastAsia="Arial" w:hAnsi="Arial" w:cs="Arial"/>
          <w:color w:val="000000"/>
          <w:sz w:val="22"/>
          <w:szCs w:val="22"/>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2D512789" w14:textId="77777777" w:rsidR="001D6BEE" w:rsidRPr="00BA5EB8" w:rsidRDefault="001D6BEE">
      <w:pPr>
        <w:spacing w:line="276" w:lineRule="auto"/>
        <w:ind w:firstLine="708"/>
        <w:jc w:val="both"/>
        <w:rPr>
          <w:rFonts w:ascii="Arial" w:eastAsia="Arial" w:hAnsi="Arial" w:cs="Arial"/>
          <w:color w:val="000000"/>
          <w:sz w:val="22"/>
          <w:szCs w:val="22"/>
        </w:rPr>
      </w:pPr>
    </w:p>
    <w:p w14:paraId="1D6678D4" w14:textId="77777777" w:rsidR="001D6BEE" w:rsidRPr="00BA5EB8" w:rsidRDefault="00C942A4" w:rsidP="00BA5EB8">
      <w:pPr>
        <w:spacing w:after="120"/>
        <w:ind w:left="709" w:right="709"/>
        <w:jc w:val="both"/>
      </w:pPr>
      <w:r w:rsidRPr="00BA5EB8">
        <w:rPr>
          <w:rFonts w:ascii="Arial" w:eastAsia="Arial" w:hAnsi="Arial" w:cs="Arial"/>
          <w:color w:val="000000"/>
          <w:sz w:val="21"/>
          <w:szCs w:val="21"/>
        </w:rPr>
        <w:t xml:space="preserve">Ahora bien, lo anterior no impide que se puedan hacer aclaraciones a las propuestas bien porque la administración las solicite en la etapa de evaluación de las mismas, ora porque las realicen los oferentes en la etapa dispuesta para las observaciones a los informes de evaluación, pero siempre y cuando verse sobre aspectos meramente formales o adjetivos o que en todo caso no comporten una variación o corrección del fondo de la propuesta a favor de quien las presenta y en detrimento de la posición de los demás proponentes en la evaluación, esto es, sujetas a condición de que con las mismas no se altere de manera sustancial la información inicialmente suministrada y la situación de los oferentes en el proceso de licitación. </w:t>
      </w:r>
    </w:p>
    <w:p w14:paraId="7F36307B" w14:textId="77777777" w:rsidR="001D6BEE" w:rsidRPr="00BA5EB8" w:rsidRDefault="00C942A4" w:rsidP="00BA5EB8">
      <w:pPr>
        <w:ind w:left="709" w:right="709"/>
        <w:jc w:val="both"/>
      </w:pPr>
      <w:r w:rsidRPr="00BA5EB8">
        <w:rPr>
          <w:rFonts w:ascii="Arial" w:eastAsia="Arial" w:hAnsi="Arial" w:cs="Arial"/>
          <w:color w:val="000000"/>
          <w:sz w:val="21"/>
          <w:szCs w:val="21"/>
        </w:rPr>
        <w:t xml:space="preserve">Por eso, como es posible que por vía aclaratoria los proponentes intenten modificar o mejorar sus ofertas, hay que distinguir entre las simples aclaraciones de las propuestas y las modificaciones a éstas; las primeras son los medios para que se pueda hacer perceptible, manifiesto, explícito o inteligible algún aspecto </w:t>
      </w:r>
      <w:r w:rsidRPr="00BA5EB8">
        <w:rPr>
          <w:rFonts w:ascii="Arial" w:eastAsia="Arial" w:hAnsi="Arial" w:cs="Arial"/>
          <w:color w:val="000000"/>
          <w:sz w:val="21"/>
          <w:szCs w:val="21"/>
        </w:rPr>
        <w:lastRenderedPageBreak/>
        <w:t>confuso de la propuesta, sin implicar una complementación, adición, modificación o mejora de dicho aspecto, que es precisamente en lo que consisten las segundas.</w:t>
      </w:r>
    </w:p>
    <w:p w14:paraId="5CEEEC39" w14:textId="77777777" w:rsidR="001D6BEE" w:rsidRPr="00BA5EB8" w:rsidRDefault="00C942A4" w:rsidP="00BA5EB8">
      <w:pPr>
        <w:spacing w:line="276" w:lineRule="auto"/>
        <w:ind w:left="708"/>
        <w:jc w:val="both"/>
      </w:pPr>
      <w:r w:rsidRPr="00BA5EB8">
        <w:rPr>
          <w:rFonts w:ascii="Arial" w:eastAsia="Arial" w:hAnsi="Arial" w:cs="Arial"/>
          <w:color w:val="000000"/>
          <w:sz w:val="21"/>
          <w:szCs w:val="21"/>
        </w:rPr>
        <w:t xml:space="preserve"> </w:t>
      </w:r>
    </w:p>
    <w:p w14:paraId="54E92531" w14:textId="4E6BC5F0" w:rsidR="001D6BEE" w:rsidRPr="00BA5EB8" w:rsidRDefault="00C942A4" w:rsidP="00BA5EB8">
      <w:pPr>
        <w:spacing w:line="276" w:lineRule="auto"/>
        <w:ind w:firstLine="709"/>
        <w:jc w:val="both"/>
      </w:pPr>
      <w:r w:rsidRPr="00BA5EB8">
        <w:rPr>
          <w:rFonts w:ascii="Arial" w:eastAsia="Arial" w:hAnsi="Arial" w:cs="Arial"/>
          <w:sz w:val="22"/>
          <w:szCs w:val="22"/>
        </w:rPr>
        <w:t>La solicitud de aclaraciones permite que las entidades requieran a los proponentes esclarecer aspectos de su propuesta que en principio resultan confusos para efectos de la evaluación, diferenciándose de la subsanabilidad, pues no parte del supuesto de la ausencia de requisitos de la oferta sino de la existencia de inconsistencias en la misma, cuya explicación se requiere para la evaluar la propuesta. Esta diferencia es importante, pues es posible aclarar los requisitos que asignan puntaje, tal como lo ha señalado la jurisprudencia en los siguientes términos:</w:t>
      </w:r>
    </w:p>
    <w:p w14:paraId="0F44A484" w14:textId="77777777" w:rsidR="001D6BEE" w:rsidRPr="00BA5EB8" w:rsidRDefault="001D6BEE">
      <w:pPr>
        <w:ind w:left="567" w:right="616"/>
        <w:jc w:val="both"/>
        <w:rPr>
          <w:rFonts w:ascii="Arial" w:eastAsia="Arial" w:hAnsi="Arial" w:cs="Arial"/>
          <w:sz w:val="21"/>
          <w:szCs w:val="21"/>
        </w:rPr>
      </w:pPr>
    </w:p>
    <w:p w14:paraId="57681C04" w14:textId="77777777" w:rsidR="001D6BEE" w:rsidRPr="00BA5EB8" w:rsidRDefault="00C942A4">
      <w:pPr>
        <w:ind w:left="709" w:right="709"/>
        <w:jc w:val="both"/>
        <w:rPr>
          <w:rFonts w:ascii="Arial" w:eastAsia="Arial" w:hAnsi="Arial" w:cs="Arial"/>
          <w:sz w:val="21"/>
          <w:szCs w:val="21"/>
        </w:rPr>
      </w:pPr>
      <w:bookmarkStart w:id="3" w:name="_3znysh7" w:colFirst="0" w:colLast="0"/>
      <w:bookmarkEnd w:id="3"/>
      <w:r w:rsidRPr="00BA5EB8">
        <w:rPr>
          <w:rFonts w:ascii="Arial" w:eastAsia="Arial" w:hAnsi="Arial" w:cs="Arial"/>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BA5EB8">
        <w:rPr>
          <w:rFonts w:ascii="Arial" w:eastAsia="Arial" w:hAnsi="Arial" w:cs="Arial"/>
          <w:sz w:val="21"/>
          <w:szCs w:val="21"/>
          <w:vertAlign w:val="superscript"/>
        </w:rPr>
        <w:footnoteReference w:id="18"/>
      </w:r>
    </w:p>
    <w:p w14:paraId="5007AAE8" w14:textId="77777777" w:rsidR="001D6BEE" w:rsidRPr="00BA5EB8" w:rsidRDefault="001D6BEE">
      <w:pPr>
        <w:spacing w:line="276" w:lineRule="auto"/>
        <w:ind w:firstLine="708"/>
        <w:jc w:val="both"/>
        <w:rPr>
          <w:rFonts w:ascii="Arial" w:eastAsia="Arial" w:hAnsi="Arial" w:cs="Arial"/>
          <w:color w:val="000000"/>
          <w:sz w:val="22"/>
          <w:szCs w:val="22"/>
        </w:rPr>
      </w:pPr>
    </w:p>
    <w:p w14:paraId="51345DDF" w14:textId="77777777" w:rsidR="001D6BEE" w:rsidRPr="00BA5EB8" w:rsidRDefault="00C942A4" w:rsidP="00BA5EB8">
      <w:pPr>
        <w:spacing w:after="120" w:line="276" w:lineRule="auto"/>
        <w:ind w:firstLine="709"/>
        <w:jc w:val="both"/>
      </w:pPr>
      <w:r w:rsidRPr="00BA5EB8">
        <w:rPr>
          <w:rFonts w:ascii="Arial" w:eastAsia="Arial" w:hAnsi="Arial" w:cs="Arial"/>
          <w:color w:val="000000"/>
          <w:sz w:val="22"/>
          <w:szCs w:val="22"/>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distinto es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el mejor entendimiento de los elementos de la oferta, sean o no subsanables, para la correcta verificación y evaluación de los mismos por parte de la entidad pública. </w:t>
      </w:r>
    </w:p>
    <w:p w14:paraId="61021AD0" w14:textId="17955657" w:rsidR="001D6BEE" w:rsidRPr="00BA5EB8" w:rsidRDefault="00C942A4" w:rsidP="00BA5EB8">
      <w:pPr>
        <w:spacing w:after="120" w:line="276" w:lineRule="auto"/>
        <w:ind w:firstLine="709"/>
        <w:jc w:val="both"/>
      </w:pPr>
      <w:r w:rsidRPr="00BA5EB8">
        <w:rPr>
          <w:rFonts w:ascii="Arial" w:eastAsia="Arial" w:hAnsi="Arial" w:cs="Arial"/>
          <w:color w:val="000000"/>
          <w:sz w:val="22"/>
          <w:szCs w:val="22"/>
        </w:rPr>
        <w:lastRenderedPageBreak/>
        <w:t>Finalmente, como dispone el artículo 30.7 de la Ley 80 de 1993, la aclaración de las propuestas se realiza durante la evaluación de estas, pues es necesario esclarecer los aspectos dudosos de las ofertas antes de la adjudicación. Por ello, la jurisprudencia también explica que «[…]</w:t>
      </w:r>
      <w:r w:rsidRPr="00BA5EB8">
        <w:rPr>
          <w:rFonts w:ascii="Arial" w:eastAsia="Arial" w:hAnsi="Arial" w:cs="Arial"/>
          <w:sz w:val="21"/>
          <w:szCs w:val="21"/>
        </w:rPr>
        <w:t xml:space="preserve"> </w:t>
      </w:r>
      <w:r w:rsidRPr="00BA5EB8">
        <w:rPr>
          <w:rFonts w:ascii="Arial" w:eastAsia="Arial" w:hAnsi="Arial" w:cs="Arial"/>
          <w:color w:val="000000"/>
          <w:sz w:val="22"/>
          <w:szCs w:val="22"/>
        </w:rPr>
        <w:t>el proponente debe acogerse al tiempo que le otorga la administración para subsanar o aclarar la oferta, lapso que la entidad no puede extender más allá de la adjudicación […]»</w:t>
      </w:r>
      <w:r w:rsidRPr="00BA5EB8">
        <w:rPr>
          <w:rFonts w:ascii="Arial" w:eastAsia="Arial" w:hAnsi="Arial" w:cs="Arial"/>
          <w:color w:val="000000"/>
          <w:sz w:val="22"/>
          <w:szCs w:val="22"/>
          <w:vertAlign w:val="superscript"/>
        </w:rPr>
        <w:footnoteReference w:id="19"/>
      </w:r>
      <w:r w:rsidRPr="00BA5EB8">
        <w:rPr>
          <w:rFonts w:ascii="Arial" w:eastAsia="Arial" w:hAnsi="Arial" w:cs="Arial"/>
          <w:color w:val="000000"/>
          <w:sz w:val="22"/>
          <w:szCs w:val="22"/>
        </w:rPr>
        <w:t>. De esta manera, «lo ideal en un proceso de selección es que las </w:t>
      </w:r>
      <w:r w:rsidRPr="00BA5EB8">
        <w:rPr>
          <w:rFonts w:ascii="Arial" w:eastAsia="Arial" w:hAnsi="Arial" w:cs="Arial"/>
          <w:i/>
          <w:color w:val="000000"/>
          <w:sz w:val="22"/>
          <w:szCs w:val="22"/>
        </w:rPr>
        <w:t>aclaraciones</w:t>
      </w:r>
      <w:r w:rsidRPr="00BA5EB8">
        <w:rPr>
          <w:rFonts w:ascii="Arial" w:eastAsia="Arial" w:hAnsi="Arial" w:cs="Arial"/>
          <w:color w:val="000000"/>
          <w:sz w:val="22"/>
          <w:szCs w:val="22"/>
        </w:rPr>
        <w:t> y </w:t>
      </w:r>
      <w:r w:rsidRPr="00BA5EB8">
        <w:rPr>
          <w:rFonts w:ascii="Arial" w:eastAsia="Arial" w:hAnsi="Arial" w:cs="Arial"/>
          <w:i/>
          <w:color w:val="000000"/>
          <w:sz w:val="22"/>
          <w:szCs w:val="22"/>
        </w:rPr>
        <w:t>explicaciones</w:t>
      </w:r>
      <w:r w:rsidRPr="00BA5EB8">
        <w:rPr>
          <w:rFonts w:ascii="Arial" w:eastAsia="Arial" w:hAnsi="Arial" w:cs="Arial"/>
          <w:color w:val="000000"/>
          <w:sz w:val="22"/>
          <w:szCs w:val="22"/>
        </w:rPr>
        <w:t> se anticipen y soliciten durante la etapa de </w:t>
      </w:r>
      <w:r w:rsidRPr="00BA5EB8">
        <w:rPr>
          <w:rFonts w:ascii="Arial" w:eastAsia="Arial" w:hAnsi="Arial" w:cs="Arial"/>
          <w:i/>
          <w:color w:val="000000"/>
          <w:sz w:val="22"/>
          <w:szCs w:val="22"/>
        </w:rPr>
        <w:t>evaluación</w:t>
      </w:r>
      <w:r w:rsidRPr="00BA5EB8">
        <w:rPr>
          <w:rFonts w:ascii="Arial" w:eastAsia="Arial" w:hAnsi="Arial" w:cs="Arial"/>
          <w:color w:val="000000"/>
          <w:sz w:val="22"/>
          <w:szCs w:val="22"/>
        </w:rPr>
        <w:t>, lo más pronto posible, es decir, antes de que la entidad elabore el informe respectivo, de tal manera que las tenga en cuenta para producir ese acto administrativo».</w:t>
      </w:r>
      <w:r w:rsidRPr="00BA5EB8">
        <w:rPr>
          <w:rFonts w:ascii="Arial" w:eastAsia="Arial" w:hAnsi="Arial" w:cs="Arial"/>
          <w:color w:val="000000"/>
          <w:sz w:val="22"/>
          <w:szCs w:val="22"/>
          <w:vertAlign w:val="superscript"/>
        </w:rPr>
        <w:footnoteReference w:id="20"/>
      </w:r>
      <w:r w:rsidRPr="00BA5EB8">
        <w:rPr>
          <w:rFonts w:ascii="Arial" w:eastAsia="Arial" w:hAnsi="Arial" w:cs="Arial"/>
          <w:color w:val="000000"/>
          <w:sz w:val="22"/>
          <w:szCs w:val="22"/>
        </w:rPr>
        <w:t xml:space="preserve"> </w:t>
      </w:r>
    </w:p>
    <w:p w14:paraId="28CB7F7F" w14:textId="571E0C63" w:rsidR="001D6BEE" w:rsidRPr="00BA5EB8" w:rsidRDefault="00C942A4">
      <w:pPr>
        <w:spacing w:line="276" w:lineRule="auto"/>
        <w:ind w:firstLine="708"/>
        <w:jc w:val="both"/>
        <w:rPr>
          <w:rFonts w:ascii="Arial" w:eastAsia="Arial" w:hAnsi="Arial" w:cs="Arial"/>
          <w:color w:val="000000"/>
          <w:sz w:val="22"/>
          <w:szCs w:val="22"/>
        </w:rPr>
      </w:pPr>
      <w:r w:rsidRPr="00BA5EB8">
        <w:rPr>
          <w:rFonts w:ascii="Arial" w:eastAsia="Arial" w:hAnsi="Arial" w:cs="Arial"/>
          <w:color w:val="000000"/>
          <w:sz w:val="22"/>
          <w:szCs w:val="22"/>
        </w:rPr>
        <w:t>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w:t>
      </w:r>
      <w:r w:rsidRPr="00BA5EB8">
        <w:t xml:space="preserve">[…] </w:t>
      </w:r>
      <w:r w:rsidRPr="00BA5EB8">
        <w:rPr>
          <w:rFonts w:ascii="Arial" w:eastAsia="Arial" w:hAnsi="Arial" w:cs="Arial"/>
          <w:color w:val="000000"/>
          <w:sz w:val="22"/>
          <w:szCs w:val="22"/>
        </w:rPr>
        <w:t xml:space="preserve">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(Énfasis fuera de texto).    </w:t>
      </w:r>
    </w:p>
    <w:p w14:paraId="334A03F0" w14:textId="77777777" w:rsidR="001D6BEE" w:rsidRPr="00BA5EB8" w:rsidRDefault="001D6BEE">
      <w:pPr>
        <w:spacing w:line="276" w:lineRule="auto"/>
        <w:jc w:val="both"/>
        <w:rPr>
          <w:rFonts w:ascii="Arial" w:eastAsia="Arial" w:hAnsi="Arial" w:cs="Arial"/>
          <w:b/>
          <w:color w:val="000000"/>
          <w:sz w:val="22"/>
          <w:szCs w:val="22"/>
        </w:rPr>
      </w:pPr>
    </w:p>
    <w:p w14:paraId="3985DE83" w14:textId="77777777" w:rsidR="001D6BEE" w:rsidRPr="00BA5EB8" w:rsidRDefault="00C942A4">
      <w:pPr>
        <w:spacing w:line="276" w:lineRule="auto"/>
        <w:jc w:val="both"/>
        <w:rPr>
          <w:rFonts w:ascii="Arial" w:eastAsia="Arial" w:hAnsi="Arial" w:cs="Arial"/>
          <w:b/>
          <w:color w:val="000000"/>
          <w:sz w:val="22"/>
          <w:szCs w:val="22"/>
        </w:rPr>
      </w:pPr>
      <w:r w:rsidRPr="00BA5EB8">
        <w:rPr>
          <w:rFonts w:ascii="Arial" w:eastAsia="Arial" w:hAnsi="Arial" w:cs="Arial"/>
          <w:b/>
          <w:color w:val="000000"/>
          <w:sz w:val="22"/>
          <w:szCs w:val="22"/>
        </w:rPr>
        <w:t>3. Respuestas</w:t>
      </w:r>
    </w:p>
    <w:p w14:paraId="5FB616A3"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«1. ¿Qué se entiende por requisito ponderable? </w:t>
      </w:r>
    </w:p>
    <w:p w14:paraId="678F5D41" w14:textId="1DF1BE1C" w:rsidR="001D6BEE" w:rsidRPr="00BA5EB8" w:rsidRDefault="00C942A4" w:rsidP="00BA5EB8">
      <w:pPr>
        <w:spacing w:before="280" w:after="280" w:line="276" w:lineRule="auto"/>
        <w:jc w:val="both"/>
        <w:rPr>
          <w:sz w:val="22"/>
          <w:szCs w:val="22"/>
        </w:rPr>
      </w:pPr>
      <w:r w:rsidRPr="00BA5EB8">
        <w:rPr>
          <w:rFonts w:ascii="Arial" w:eastAsia="Arial" w:hAnsi="Arial" w:cs="Arial"/>
          <w:color w:val="000000"/>
          <w:sz w:val="21"/>
          <w:szCs w:val="21"/>
        </w:rPr>
        <w:t xml:space="preserve">Los requisitos o factores ponderables con las condiciones o elementos de la oferta que, </w:t>
      </w:r>
      <w:r w:rsidRPr="00BA5EB8">
        <w:rPr>
          <w:rFonts w:ascii="Arial" w:eastAsia="Arial" w:hAnsi="Arial" w:cs="Arial"/>
          <w:color w:val="000000"/>
          <w:sz w:val="22"/>
          <w:szCs w:val="22"/>
        </w:rPr>
        <w:t>de acuerdo con</w:t>
      </w:r>
      <w:r w:rsidRPr="00BA5EB8">
        <w:rPr>
          <w:rFonts w:ascii="Arial" w:eastAsia="Arial" w:hAnsi="Arial" w:cs="Arial"/>
          <w:color w:val="000000"/>
          <w:sz w:val="21"/>
          <w:szCs w:val="21"/>
        </w:rPr>
        <w:t xml:space="preserve"> lo establecido en el respectivo pliego de condiciones y lo regulado con respecto a ciertos tipos de procedimientos de selección u objetos contractuales, serán evaluados por la entidad contratante </w:t>
      </w:r>
      <w:r w:rsidRPr="00BA5EB8">
        <w:rPr>
          <w:rFonts w:ascii="Arial" w:eastAsia="Arial" w:hAnsi="Arial" w:cs="Arial"/>
          <w:color w:val="000000"/>
          <w:sz w:val="22"/>
          <w:szCs w:val="22"/>
        </w:rPr>
        <w:t>de acuerdo con</w:t>
      </w:r>
      <w:r w:rsidRPr="00BA5EB8">
        <w:rPr>
          <w:rFonts w:ascii="Arial" w:eastAsia="Arial" w:hAnsi="Arial" w:cs="Arial"/>
          <w:color w:val="000000"/>
          <w:sz w:val="21"/>
          <w:szCs w:val="21"/>
        </w:rPr>
        <w:t xml:space="preserve"> las reglas del principio de selección objetiva, según lo explicado en este concepto.</w:t>
      </w:r>
    </w:p>
    <w:p w14:paraId="01F971FD"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2. ¿Qué se entiende por requisito insubsanable? </w:t>
      </w:r>
    </w:p>
    <w:p w14:paraId="5996B58D"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4. ¿cuál es el fundamento legal y/o jurisprudencial de la imposibilidad de subsanar requisitos ponderables? </w:t>
      </w:r>
    </w:p>
    <w:p w14:paraId="05BFB660" w14:textId="77777777" w:rsidR="001D6BEE" w:rsidRPr="00BA5EB8" w:rsidRDefault="00C942A4">
      <w:pPr>
        <w:spacing w:before="120" w:after="120" w:line="276" w:lineRule="auto"/>
        <w:jc w:val="both"/>
        <w:rPr>
          <w:rFonts w:ascii="Arial" w:eastAsia="Arial" w:hAnsi="Arial" w:cs="Arial"/>
          <w:color w:val="000000"/>
          <w:sz w:val="22"/>
          <w:szCs w:val="22"/>
        </w:rPr>
      </w:pPr>
      <w:r w:rsidRPr="00BA5EB8">
        <w:rPr>
          <w:rFonts w:ascii="Arial" w:eastAsia="Arial" w:hAnsi="Arial" w:cs="Arial"/>
          <w:color w:val="000000"/>
          <w:sz w:val="21"/>
          <w:szCs w:val="21"/>
        </w:rPr>
        <w:lastRenderedPageBreak/>
        <w:t xml:space="preserve">Con el fin de comprender si determinado elemento de la oferta es o no subsanable, </w:t>
      </w:r>
      <w:r w:rsidRPr="00BA5EB8">
        <w:rPr>
          <w:rFonts w:ascii="Arial" w:eastAsia="Arial" w:hAnsi="Arial" w:cs="Arial"/>
          <w:color w:val="000000"/>
          <w:sz w:val="22"/>
          <w:szCs w:val="22"/>
        </w:rPr>
        <w:t xml:space="preserve">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26C42451" w14:textId="5E16E9D9" w:rsidR="001D6BEE" w:rsidRPr="00BA5EB8" w:rsidRDefault="00C942A4" w:rsidP="00BA5EB8">
      <w:pPr>
        <w:spacing w:before="120" w:after="120" w:line="276" w:lineRule="auto"/>
        <w:ind w:firstLine="708"/>
        <w:jc w:val="both"/>
      </w:pPr>
      <w:r w:rsidRPr="00BA5EB8">
        <w:rPr>
          <w:rFonts w:ascii="Arial" w:eastAsia="Arial" w:hAnsi="Arial" w:cs="Arial"/>
          <w:color w:val="000000"/>
          <w:sz w:val="22"/>
          <w:szCs w:val="22"/>
        </w:rPr>
        <w:t xml:space="preserve">Sin perjuicio de lo anterior,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 </w:t>
      </w:r>
    </w:p>
    <w:p w14:paraId="4DB20E0B" w14:textId="77777777" w:rsidR="001D6BEE" w:rsidRPr="00BA5EB8" w:rsidRDefault="00C942A4" w:rsidP="00BA5EB8">
      <w:pPr>
        <w:spacing w:before="120" w:after="120" w:line="276" w:lineRule="auto"/>
        <w:ind w:firstLine="708"/>
        <w:jc w:val="both"/>
      </w:pPr>
      <w:r w:rsidRPr="00BA5EB8">
        <w:rPr>
          <w:rFonts w:ascii="Arial" w:eastAsia="Arial" w:hAnsi="Arial" w:cs="Arial"/>
          <w:color w:val="000000"/>
          <w:sz w:val="22"/>
          <w:szCs w:val="22"/>
        </w:rPr>
        <w:t xml:space="preserve">En cuanto al fundamento normativo y jurisprudencial de las reglas sobre la subsanación de las ofertas en los procedimientos para la selección objetiva del contratista, se remite al peticionario a las disposiciones y decisiones que a título meramente enunciativo se mencionan en los apartados 2.1. y 2.2. del presente concepto. </w:t>
      </w:r>
    </w:p>
    <w:p w14:paraId="42D194F0" w14:textId="77777777" w:rsidR="001D6BEE" w:rsidRPr="00BA5EB8" w:rsidRDefault="00C942A4">
      <w:pPr>
        <w:spacing w:before="280" w:after="280"/>
        <w:ind w:left="708"/>
        <w:jc w:val="both"/>
        <w:rPr>
          <w:rFonts w:ascii="Arial" w:eastAsia="Arial" w:hAnsi="Arial" w:cs="Arial"/>
          <w:color w:val="000000"/>
          <w:sz w:val="21"/>
          <w:szCs w:val="21"/>
        </w:rPr>
      </w:pPr>
      <w:r w:rsidRPr="00BA5EB8">
        <w:rPr>
          <w:rFonts w:ascii="Arial" w:eastAsia="Arial" w:hAnsi="Arial" w:cs="Arial"/>
          <w:color w:val="000000"/>
          <w:sz w:val="21"/>
          <w:szCs w:val="21"/>
        </w:rPr>
        <w:t xml:space="preserve">3. ¿Los requisitos ponderables y, por ende, insubsanables pueden ser aclarados? </w:t>
      </w:r>
    </w:p>
    <w:p w14:paraId="7D4B85F6" w14:textId="77777777" w:rsidR="001D6BEE" w:rsidRPr="00BA5EB8" w:rsidRDefault="00C942A4">
      <w:pPr>
        <w:spacing w:before="280" w:after="280"/>
        <w:ind w:left="708"/>
        <w:jc w:val="both"/>
        <w:rPr>
          <w:rFonts w:ascii="Arial" w:eastAsia="Arial" w:hAnsi="Arial" w:cs="Arial"/>
          <w:color w:val="000000"/>
        </w:rPr>
      </w:pPr>
      <w:r w:rsidRPr="00BA5EB8">
        <w:rPr>
          <w:rFonts w:ascii="Arial" w:eastAsia="Arial" w:hAnsi="Arial" w:cs="Arial"/>
          <w:color w:val="000000"/>
          <w:sz w:val="21"/>
          <w:szCs w:val="21"/>
        </w:rPr>
        <w:t xml:space="preserve">6. ¿Cuál es la diferencia entre aclarar y subsanar una propuesta económica?» </w:t>
      </w:r>
    </w:p>
    <w:p w14:paraId="4122966C" w14:textId="5A0D32D5" w:rsidR="001D6BEE" w:rsidRPr="00BA5EB8" w:rsidRDefault="00C942A4" w:rsidP="00BA5EB8">
      <w:pPr>
        <w:spacing w:before="280" w:after="280" w:line="276" w:lineRule="auto"/>
        <w:jc w:val="both"/>
      </w:pPr>
      <w:r w:rsidRPr="00BA5EB8">
        <w:rPr>
          <w:rFonts w:ascii="Arial" w:eastAsia="Arial" w:hAnsi="Arial" w:cs="Arial"/>
          <w:color w:val="000000"/>
          <w:sz w:val="22"/>
          <w:szCs w:val="22"/>
        </w:rPr>
        <w:t xml:space="preserve">Aclarar una oferta no puede implicar su alteración sustancial o mejoría de sus componentes, sino limitarse a disipar lo que resulta borroso u otorgar claridad a lo que resulta oscuro o ininteligible. Así las cosas, distinto es aclarar y subsanar una oferta, siendo este último un instituto que procura 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el mejor entendimiento de los elementos de la oferta, sean o no subsanables, para la correcta verificación y evaluación de los mismos por parte de la entidad pública. </w:t>
      </w:r>
    </w:p>
    <w:p w14:paraId="66F183D9" w14:textId="77777777" w:rsidR="001D6BEE" w:rsidRPr="00BA5EB8" w:rsidRDefault="00C942A4" w:rsidP="00BA5EB8">
      <w:pPr>
        <w:spacing w:before="280" w:after="280"/>
        <w:ind w:left="708" w:right="758"/>
        <w:jc w:val="both"/>
      </w:pPr>
      <w:r w:rsidRPr="00BA5EB8">
        <w:rPr>
          <w:rFonts w:ascii="Arial" w:eastAsia="Arial" w:hAnsi="Arial" w:cs="Arial"/>
          <w:color w:val="000000"/>
          <w:sz w:val="21"/>
          <w:szCs w:val="21"/>
        </w:rPr>
        <w:t xml:space="preserve">5. ¿Hasta qué momento del proceso de selección de contratistas el proponente puede aclarar y/o subsanar su propuesta económica? </w:t>
      </w:r>
    </w:p>
    <w:p w14:paraId="5A5C1B22" w14:textId="54DFBFEE" w:rsidR="001D6BEE" w:rsidRPr="00BA5EB8" w:rsidRDefault="00C942A4">
      <w:pPr>
        <w:spacing w:before="120" w:after="120"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 xml:space="preserve">La modificación introducida por el artículo 5 de la Ley 1882 de 2018, si bien pudo significar, en la práctica de los procesos de selección, que el informe de evaluación fuera la oportunidad de la Administración para requerir al proponente para que subsane los requisitos de la oferta no sujetos a la asignación de puntaje, y el término del traslado la oportunidad para hacerlo, lo cierto es que no impide que esto se realice con anterioridad a </w:t>
      </w:r>
      <w:r w:rsidRPr="00BA5EB8">
        <w:rPr>
          <w:rFonts w:ascii="Arial" w:eastAsia="Arial" w:hAnsi="Arial" w:cs="Arial"/>
          <w:color w:val="000000"/>
          <w:sz w:val="22"/>
          <w:szCs w:val="22"/>
        </w:rPr>
        <w:lastRenderedPageBreak/>
        <w:t xml:space="preserve">la publicación del informe. Inclusive, es más adecuado y conveniente que la subsanación de las ofertas se intente con anterioridad, de forma que una vez la Administración advierta el defecto le solicite directamente al oferente que subsane. </w:t>
      </w:r>
    </w:p>
    <w:p w14:paraId="1A89D87F" w14:textId="26D2E7C0" w:rsidR="001D6BEE" w:rsidRPr="00BA5EB8" w:rsidRDefault="00C942A4">
      <w:pPr>
        <w:spacing w:after="120" w:line="276" w:lineRule="auto"/>
        <w:ind w:firstLine="709"/>
        <w:jc w:val="both"/>
        <w:rPr>
          <w:rFonts w:ascii="Arial" w:eastAsia="Arial" w:hAnsi="Arial" w:cs="Arial"/>
          <w:color w:val="000000"/>
          <w:sz w:val="22"/>
          <w:szCs w:val="22"/>
        </w:rPr>
      </w:pPr>
      <w:r w:rsidRPr="00BA5EB8">
        <w:rPr>
          <w:rFonts w:ascii="Arial" w:eastAsia="Arial" w:hAnsi="Arial" w:cs="Arial"/>
          <w:color w:val="000000"/>
          <w:sz w:val="22"/>
          <w:szCs w:val="22"/>
        </w:rPr>
        <w:t>Por otra parte, como dispone el artículo 30.7 de la Ley 80 de 1993, la aclaración de las propuestas se realiza durante la evaluación de estas, pues es necesario esclarecer los aspectos dudosos de las ofertas antes de la adjudicación. Por ello, la jurisprudencia también explica que «[…]</w:t>
      </w:r>
      <w:r w:rsidRPr="00BA5EB8">
        <w:rPr>
          <w:rFonts w:ascii="Arial" w:eastAsia="Arial" w:hAnsi="Arial" w:cs="Arial"/>
          <w:sz w:val="21"/>
          <w:szCs w:val="21"/>
        </w:rPr>
        <w:t xml:space="preserve"> </w:t>
      </w:r>
      <w:r w:rsidRPr="00BA5EB8">
        <w:rPr>
          <w:rFonts w:ascii="Arial" w:eastAsia="Arial" w:hAnsi="Arial" w:cs="Arial"/>
          <w:color w:val="000000"/>
          <w:sz w:val="22"/>
          <w:szCs w:val="22"/>
        </w:rPr>
        <w:t>el proponente debe acogerse al tiempo que le otorga la administración para subsanar o aclarar la oferta, lapso que la entidad no puede extender más allá de la adjudicación». De esta manera, «lo ideal en un proceso de selección es que las </w:t>
      </w:r>
      <w:r w:rsidRPr="00BA5EB8">
        <w:rPr>
          <w:rFonts w:ascii="Arial" w:eastAsia="Arial" w:hAnsi="Arial" w:cs="Arial"/>
          <w:i/>
          <w:color w:val="000000"/>
          <w:sz w:val="22"/>
          <w:szCs w:val="22"/>
        </w:rPr>
        <w:t>aclaraciones</w:t>
      </w:r>
      <w:r w:rsidRPr="00BA5EB8">
        <w:rPr>
          <w:rFonts w:ascii="Arial" w:eastAsia="Arial" w:hAnsi="Arial" w:cs="Arial"/>
          <w:color w:val="000000"/>
          <w:sz w:val="22"/>
          <w:szCs w:val="22"/>
        </w:rPr>
        <w:t> y </w:t>
      </w:r>
      <w:r w:rsidRPr="00BA5EB8">
        <w:rPr>
          <w:rFonts w:ascii="Arial" w:eastAsia="Arial" w:hAnsi="Arial" w:cs="Arial"/>
          <w:i/>
          <w:color w:val="000000"/>
          <w:sz w:val="22"/>
          <w:szCs w:val="22"/>
        </w:rPr>
        <w:t>explicaciones</w:t>
      </w:r>
      <w:r w:rsidRPr="00BA5EB8">
        <w:rPr>
          <w:rFonts w:ascii="Arial" w:eastAsia="Arial" w:hAnsi="Arial" w:cs="Arial"/>
          <w:color w:val="000000"/>
          <w:sz w:val="22"/>
          <w:szCs w:val="22"/>
        </w:rPr>
        <w:t> se anticipen y soliciten durante la etapa de </w:t>
      </w:r>
      <w:r w:rsidRPr="00BA5EB8">
        <w:rPr>
          <w:rFonts w:ascii="Arial" w:eastAsia="Arial" w:hAnsi="Arial" w:cs="Arial"/>
          <w:i/>
          <w:color w:val="000000"/>
          <w:sz w:val="22"/>
          <w:szCs w:val="22"/>
        </w:rPr>
        <w:t>evaluación</w:t>
      </w:r>
      <w:r w:rsidRPr="00BA5EB8">
        <w:rPr>
          <w:rFonts w:ascii="Arial" w:eastAsia="Arial" w:hAnsi="Arial" w:cs="Arial"/>
          <w:color w:val="000000"/>
          <w:sz w:val="22"/>
          <w:szCs w:val="22"/>
        </w:rPr>
        <w:t xml:space="preserve">, lo más pronto posible, es decir, antes de que la entidad elabore el informe respectivo, de tal manera que las tenga en cuenta para producir ese acto administrativo».  </w:t>
      </w:r>
    </w:p>
    <w:p w14:paraId="35433E41" w14:textId="3140C952" w:rsidR="001D6BEE" w:rsidRPr="00BA5EB8" w:rsidRDefault="00C942A4" w:rsidP="00BA5EB8">
      <w:pPr>
        <w:spacing w:before="120" w:after="120" w:line="276" w:lineRule="auto"/>
        <w:ind w:firstLine="708"/>
        <w:jc w:val="both"/>
      </w:pPr>
      <w:r w:rsidRPr="00BA5EB8">
        <w:rPr>
          <w:rFonts w:ascii="Arial" w:eastAsia="Arial" w:hAnsi="Arial" w:cs="Arial"/>
          <w:color w:val="000000"/>
          <w:sz w:val="22"/>
          <w:szCs w:val="22"/>
        </w:rPr>
        <w:t>En todo caso, conforme al parágrafo 3 del artículo 30 del Estatuto General de Contratación de la Administración pública, es necesario tener en cuenta que para los procesos licitación para los contratistas de obra pública la oferta debe entregarse en dos sobres. El sobre numero 2 contiene la propuesta económica, y la norma dispone «</w:t>
      </w:r>
      <w:r w:rsidRPr="00BA5EB8">
        <w:t xml:space="preserve">[…] </w:t>
      </w:r>
      <w:r w:rsidRPr="00BA5EB8">
        <w:rPr>
          <w:rFonts w:ascii="Arial" w:eastAsia="Arial" w:hAnsi="Arial" w:cs="Arial"/>
          <w:color w:val="000000"/>
          <w:sz w:val="22"/>
          <w:szCs w:val="22"/>
        </w:rPr>
        <w:t>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(Énfasis fuera de texto).</w:t>
      </w:r>
    </w:p>
    <w:p w14:paraId="6FB80D57" w14:textId="77777777" w:rsidR="001D6BEE" w:rsidRPr="00BA5EB8" w:rsidRDefault="001D6BEE">
      <w:pPr>
        <w:spacing w:line="276" w:lineRule="auto"/>
        <w:jc w:val="both"/>
        <w:rPr>
          <w:rFonts w:ascii="Arial" w:eastAsia="Arial" w:hAnsi="Arial" w:cs="Arial"/>
          <w:color w:val="000000"/>
          <w:sz w:val="22"/>
          <w:szCs w:val="22"/>
        </w:rPr>
      </w:pPr>
    </w:p>
    <w:p w14:paraId="02E4B89F" w14:textId="77777777" w:rsidR="001D6BEE" w:rsidRPr="00BA5EB8" w:rsidRDefault="00C942A4">
      <w:pPr>
        <w:spacing w:line="276" w:lineRule="auto"/>
        <w:jc w:val="both"/>
        <w:rPr>
          <w:rFonts w:ascii="Arial" w:eastAsia="Arial" w:hAnsi="Arial" w:cs="Arial"/>
          <w:color w:val="000000"/>
          <w:sz w:val="22"/>
          <w:szCs w:val="22"/>
        </w:rPr>
      </w:pPr>
      <w:r w:rsidRPr="00BA5EB8">
        <w:rPr>
          <w:rFonts w:ascii="Arial" w:eastAsia="Arial" w:hAnsi="Arial" w:cs="Arial"/>
          <w:color w:val="000000"/>
          <w:sz w:val="22"/>
          <w:szCs w:val="22"/>
        </w:rPr>
        <w:t>Este concepto tiene el alcance previsto en el artículo 28 del Código de Procedimiento Administrativo y de lo Contencioso Administrativo.</w:t>
      </w:r>
    </w:p>
    <w:p w14:paraId="1B8B6289" w14:textId="77777777" w:rsidR="001D6BEE" w:rsidRPr="00BA5EB8" w:rsidRDefault="001D6BEE">
      <w:pPr>
        <w:spacing w:line="276" w:lineRule="auto"/>
        <w:jc w:val="both"/>
        <w:rPr>
          <w:rFonts w:ascii="Arial" w:eastAsia="Arial" w:hAnsi="Arial" w:cs="Arial"/>
          <w:color w:val="000000"/>
          <w:sz w:val="22"/>
          <w:szCs w:val="22"/>
        </w:rPr>
      </w:pPr>
    </w:p>
    <w:p w14:paraId="4D4FF325" w14:textId="77777777" w:rsidR="001D6BEE" w:rsidRPr="00BA5EB8" w:rsidRDefault="00C942A4">
      <w:pPr>
        <w:spacing w:line="276" w:lineRule="auto"/>
        <w:jc w:val="both"/>
        <w:rPr>
          <w:rFonts w:ascii="Arial" w:eastAsia="Arial" w:hAnsi="Arial" w:cs="Arial"/>
          <w:color w:val="000000"/>
          <w:sz w:val="22"/>
          <w:szCs w:val="22"/>
        </w:rPr>
      </w:pPr>
      <w:r w:rsidRPr="00BA5EB8">
        <w:rPr>
          <w:noProof/>
        </w:rPr>
        <mc:AlternateContent>
          <mc:Choice Requires="wps">
            <w:drawing>
              <wp:anchor distT="0" distB="0" distL="114300" distR="114300" simplePos="0" relativeHeight="251658240" behindDoc="0" locked="0" layoutInCell="1" hidden="0" allowOverlap="1" wp14:anchorId="482A80B7" wp14:editId="2198BD68">
                <wp:simplePos x="0" y="0"/>
                <wp:positionH relativeFrom="column">
                  <wp:posOffset>434340</wp:posOffset>
                </wp:positionH>
                <wp:positionV relativeFrom="paragraph">
                  <wp:posOffset>10160</wp:posOffset>
                </wp:positionV>
                <wp:extent cx="46863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705350" cy="190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05350" cy="19050"/>
                        </a:xfrm>
                        <a:prstGeom prst="rect"/>
                        <a:ln/>
                      </pic:spPr>
                    </pic:pic>
                  </a:graphicData>
                </a:graphic>
              </wp:anchor>
            </w:drawing>
          </mc:Fallback>
        </mc:AlternateContent>
      </w:r>
    </w:p>
    <w:p w14:paraId="0F2FA6F7" w14:textId="77777777" w:rsidR="001D6BEE" w:rsidRPr="00BA5EB8" w:rsidRDefault="00C942A4">
      <w:pPr>
        <w:rPr>
          <w:rFonts w:ascii="Arial" w:eastAsia="Arial" w:hAnsi="Arial" w:cs="Arial"/>
          <w:color w:val="000000"/>
          <w:sz w:val="22"/>
          <w:szCs w:val="22"/>
        </w:rPr>
      </w:pPr>
      <w:r w:rsidRPr="00BA5EB8">
        <w:rPr>
          <w:rFonts w:ascii="Arial" w:eastAsia="Arial" w:hAnsi="Arial" w:cs="Arial"/>
          <w:color w:val="000000"/>
          <w:sz w:val="22"/>
          <w:szCs w:val="22"/>
        </w:rPr>
        <w:t>Atentamente,</w:t>
      </w:r>
    </w:p>
    <w:p w14:paraId="32250103" w14:textId="14C1B0BF" w:rsidR="001D6BEE" w:rsidRPr="00BA5EB8" w:rsidRDefault="00DF178E">
      <w:pPr>
        <w:jc w:val="center"/>
        <w:rPr>
          <w:rFonts w:ascii="Arial" w:eastAsia="Arial" w:hAnsi="Arial" w:cs="Arial"/>
          <w:color w:val="000000"/>
          <w:sz w:val="18"/>
          <w:szCs w:val="18"/>
        </w:rPr>
      </w:pPr>
      <w:r>
        <w:rPr>
          <w:noProof/>
        </w:rPr>
        <w:drawing>
          <wp:inline distT="0" distB="0" distL="0" distR="0" wp14:anchorId="65A641A9" wp14:editId="5780985A">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1D6BEE" w:rsidRPr="00BA5EB8" w14:paraId="3B96C54E" w14:textId="77777777">
        <w:trPr>
          <w:trHeight w:val="315"/>
        </w:trPr>
        <w:tc>
          <w:tcPr>
            <w:tcW w:w="812" w:type="dxa"/>
            <w:vAlign w:val="center"/>
          </w:tcPr>
          <w:p w14:paraId="50A49B2B"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5E19A9C"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Álvaro Namén Vargas</w:t>
            </w:r>
          </w:p>
          <w:p w14:paraId="4AF53248"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Contratista de la Subdirección de Gestión Contractual</w:t>
            </w:r>
          </w:p>
        </w:tc>
      </w:tr>
      <w:tr w:rsidR="001D6BEE" w:rsidRPr="00BA5EB8" w14:paraId="19D27E15" w14:textId="77777777">
        <w:trPr>
          <w:trHeight w:val="330"/>
        </w:trPr>
        <w:tc>
          <w:tcPr>
            <w:tcW w:w="812" w:type="dxa"/>
            <w:vAlign w:val="center"/>
          </w:tcPr>
          <w:p w14:paraId="221C1050"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9AA91C6"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Juan David Montoya Penagos</w:t>
            </w:r>
          </w:p>
          <w:p w14:paraId="0FA72210"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Gestor T1-15 de la Subdirección de Gestión Contractual</w:t>
            </w:r>
          </w:p>
        </w:tc>
      </w:tr>
      <w:tr w:rsidR="001D6BEE" w14:paraId="1A405940" w14:textId="77777777">
        <w:trPr>
          <w:trHeight w:val="300"/>
        </w:trPr>
        <w:tc>
          <w:tcPr>
            <w:tcW w:w="812" w:type="dxa"/>
            <w:vAlign w:val="center"/>
          </w:tcPr>
          <w:p w14:paraId="3B3B9CEF"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7900443A" w14:textId="77777777" w:rsidR="001D6BEE" w:rsidRPr="00BA5EB8"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Jorge Augusto Tirado Navarro</w:t>
            </w:r>
          </w:p>
          <w:p w14:paraId="1A46693F" w14:textId="77777777" w:rsidR="001D6BEE" w:rsidRDefault="00C942A4">
            <w:pPr>
              <w:spacing w:line="276" w:lineRule="auto"/>
              <w:rPr>
                <w:rFonts w:ascii="Arial" w:eastAsia="Arial" w:hAnsi="Arial" w:cs="Arial"/>
                <w:color w:val="000000"/>
                <w:sz w:val="16"/>
                <w:szCs w:val="16"/>
              </w:rPr>
            </w:pPr>
            <w:r w:rsidRPr="00BA5EB8">
              <w:rPr>
                <w:rFonts w:ascii="Arial" w:eastAsia="Arial" w:hAnsi="Arial" w:cs="Arial"/>
                <w:color w:val="000000"/>
                <w:sz w:val="16"/>
                <w:szCs w:val="16"/>
              </w:rPr>
              <w:t>Subdirector de Gestión Contractual ANCP – CCE</w:t>
            </w:r>
          </w:p>
        </w:tc>
      </w:tr>
    </w:tbl>
    <w:p w14:paraId="31ACAB0B" w14:textId="77777777" w:rsidR="001D6BEE" w:rsidRDefault="001D6BEE">
      <w:pPr>
        <w:rPr>
          <w:rFonts w:ascii="Arial" w:eastAsia="Arial" w:hAnsi="Arial" w:cs="Arial"/>
          <w:color w:val="000000"/>
          <w:sz w:val="16"/>
          <w:szCs w:val="16"/>
        </w:rPr>
      </w:pPr>
    </w:p>
    <w:sectPr w:rsidR="001D6BEE">
      <w:headerReference w:type="default" r:id="rId10"/>
      <w:footerReference w:type="default" r:id="rId11"/>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4F2A" w14:textId="77777777" w:rsidR="00733ABC" w:rsidRDefault="00733ABC">
      <w:r>
        <w:separator/>
      </w:r>
    </w:p>
  </w:endnote>
  <w:endnote w:type="continuationSeparator" w:id="0">
    <w:p w14:paraId="5B627697" w14:textId="77777777" w:rsidR="00733ABC" w:rsidRDefault="0073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9538" w14:textId="77777777" w:rsidR="001D6BEE" w:rsidRDefault="001D6BEE">
    <w:pPr>
      <w:pBdr>
        <w:top w:val="nil"/>
        <w:left w:val="nil"/>
        <w:bottom w:val="nil"/>
        <w:right w:val="nil"/>
        <w:between w:val="nil"/>
      </w:pBdr>
      <w:jc w:val="right"/>
      <w:rPr>
        <w:rFonts w:ascii="Arial" w:eastAsia="Arial" w:hAnsi="Arial" w:cs="Arial"/>
        <w:color w:val="000000"/>
        <w:sz w:val="18"/>
        <w:szCs w:val="18"/>
      </w:rPr>
    </w:pPr>
  </w:p>
  <w:p w14:paraId="59663E10" w14:textId="77777777" w:rsidR="001D6BEE" w:rsidRDefault="00C942A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BA5EB8">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BA5EB8">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4267D8E9" w14:textId="77777777" w:rsidR="001D6BEE" w:rsidRDefault="00C942A4">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3FB1664A" wp14:editId="13ADF642">
          <wp:extent cx="3700130" cy="51913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24F9281B" w14:textId="77777777" w:rsidR="001D6BEE" w:rsidRDefault="001D6BEE">
    <w:pPr>
      <w:pBdr>
        <w:top w:val="nil"/>
        <w:left w:val="nil"/>
        <w:bottom w:val="nil"/>
        <w:right w:val="nil"/>
        <w:between w:val="nil"/>
      </w:pBdr>
      <w:tabs>
        <w:tab w:val="center" w:pos="4419"/>
        <w:tab w:val="right" w:pos="8838"/>
      </w:tabs>
      <w:jc w:val="center"/>
      <w:rPr>
        <w:color w:val="000000"/>
      </w:rPr>
    </w:pPr>
  </w:p>
  <w:p w14:paraId="058455E6" w14:textId="77777777" w:rsidR="001D6BEE" w:rsidRDefault="001D6BEE">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4E36" w14:textId="77777777" w:rsidR="00733ABC" w:rsidRDefault="00733ABC">
      <w:r>
        <w:separator/>
      </w:r>
    </w:p>
  </w:footnote>
  <w:footnote w:type="continuationSeparator" w:id="0">
    <w:p w14:paraId="3CDB9325" w14:textId="77777777" w:rsidR="00733ABC" w:rsidRDefault="00733ABC">
      <w:r>
        <w:continuationSeparator/>
      </w:r>
    </w:p>
  </w:footnote>
  <w:footnote w:id="1">
    <w:p w14:paraId="13CCFF7F"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Al respecto, conviene recordar el artículo 29 de la Ley 80 de 1993, derogado por el artículo 32 de la Ley 1150 de 2007, que establecía: «La selección de contratistas será objetiva.</w:t>
      </w:r>
    </w:p>
    <w:p w14:paraId="3A72637C"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rFonts w:ascii="Arial" w:eastAsia="Arial" w:hAnsi="Arial" w:cs="Arial"/>
          <w:color w:val="000000"/>
          <w:sz w:val="19"/>
          <w:szCs w:val="19"/>
        </w:rPr>
        <w:t>»Es objetiva la selección en la cual la escogencia se hace al ofrecimiento más favorable a la entidad y a los fines que ella busca, sin tener en consideración factores de afecto o de interés y, en general, cualquier clase de motivación subjetiva.</w:t>
      </w:r>
    </w:p>
    <w:p w14:paraId="515F564D"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rFonts w:ascii="Arial" w:eastAsia="Arial" w:hAnsi="Arial" w:cs="Arial"/>
          <w:color w:val="000000"/>
          <w:sz w:val="19"/>
          <w:szCs w:val="19"/>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517EA209"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rFonts w:ascii="Arial" w:eastAsia="Arial" w:hAnsi="Arial" w:cs="Arial"/>
          <w:color w:val="000000"/>
          <w:sz w:val="19"/>
          <w:szCs w:val="19"/>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021B19DA"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rFonts w:ascii="Arial" w:eastAsia="Arial" w:hAnsi="Arial" w:cs="Arial"/>
          <w:color w:val="000000"/>
          <w:sz w:val="19"/>
          <w:szCs w:val="19"/>
        </w:rPr>
        <w:t>»En caso de comparación de propuestas nacionales y extranjeras, se incluirán los costos necesarios para la entrega del producto terminado en el lugar de su utilización».</w:t>
      </w:r>
    </w:p>
  </w:footnote>
  <w:footnote w:id="2">
    <w:p w14:paraId="64BB66DB" w14:textId="77777777" w:rsidR="001D6BEE" w:rsidRDefault="00C942A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DÁVILA VINUEZA, Luis Guillermo. Régimen jurídico de la contratación estatal. Tercera edición, Bogotá: Legis, 2016. p. 355.</w:t>
      </w:r>
    </w:p>
    <w:p w14:paraId="0465D547" w14:textId="77777777" w:rsidR="001D6BEE" w:rsidRDefault="001D6BEE">
      <w:pPr>
        <w:pBdr>
          <w:top w:val="nil"/>
          <w:left w:val="nil"/>
          <w:bottom w:val="nil"/>
          <w:right w:val="nil"/>
          <w:between w:val="nil"/>
        </w:pBdr>
        <w:ind w:firstLine="708"/>
        <w:jc w:val="both"/>
        <w:rPr>
          <w:rFonts w:ascii="Arial" w:eastAsia="Arial" w:hAnsi="Arial" w:cs="Arial"/>
          <w:color w:val="000000"/>
          <w:sz w:val="19"/>
          <w:szCs w:val="19"/>
        </w:rPr>
      </w:pPr>
    </w:p>
  </w:footnote>
  <w:footnote w:id="3">
    <w:p w14:paraId="51B3B69F" w14:textId="77777777" w:rsidR="001D6BEE" w:rsidRDefault="00C942A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RODRÍGUEZ TAMAYO, Mauricio F. Evaluación y rechazo de ofertas en la Ley 80 de 1993. Primera edición. Medellín: Librería Jurídica Sánchez, 2016. pp. 110-111.</w:t>
      </w:r>
    </w:p>
    <w:p w14:paraId="7671C395" w14:textId="77777777" w:rsidR="001D6BEE" w:rsidRDefault="001D6BEE">
      <w:pPr>
        <w:pBdr>
          <w:top w:val="nil"/>
          <w:left w:val="nil"/>
          <w:bottom w:val="nil"/>
          <w:right w:val="nil"/>
          <w:between w:val="nil"/>
        </w:pBdr>
        <w:ind w:firstLine="708"/>
        <w:jc w:val="both"/>
        <w:rPr>
          <w:rFonts w:ascii="Arial" w:eastAsia="Arial" w:hAnsi="Arial" w:cs="Arial"/>
          <w:color w:val="000000"/>
          <w:sz w:val="19"/>
          <w:szCs w:val="19"/>
        </w:rPr>
      </w:pPr>
    </w:p>
  </w:footnote>
  <w:footnote w:id="4">
    <w:p w14:paraId="05691275" w14:textId="77777777" w:rsidR="001D6BEE" w:rsidRDefault="00C942A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2AF5D890" w14:textId="77777777" w:rsidR="001D6BEE" w:rsidRDefault="001D6BEE">
      <w:pPr>
        <w:pBdr>
          <w:top w:val="nil"/>
          <w:left w:val="nil"/>
          <w:bottom w:val="nil"/>
          <w:right w:val="nil"/>
          <w:between w:val="nil"/>
        </w:pBdr>
        <w:ind w:firstLine="708"/>
        <w:jc w:val="both"/>
        <w:rPr>
          <w:rFonts w:ascii="Arial" w:eastAsia="Arial" w:hAnsi="Arial" w:cs="Arial"/>
          <w:color w:val="000000"/>
          <w:sz w:val="19"/>
          <w:szCs w:val="19"/>
        </w:rPr>
      </w:pPr>
    </w:p>
  </w:footnote>
  <w:footnote w:id="5">
    <w:p w14:paraId="3481DFC9" w14:textId="77777777" w:rsidR="001D6BEE" w:rsidRDefault="00C942A4">
      <w:pPr>
        <w:pBdr>
          <w:top w:val="nil"/>
          <w:left w:val="nil"/>
          <w:bottom w:val="nil"/>
          <w:right w:val="nil"/>
          <w:between w:val="nil"/>
        </w:pBdr>
        <w:ind w:firstLine="708"/>
        <w:rPr>
          <w:rFonts w:ascii="Arial" w:eastAsia="Arial" w:hAnsi="Arial" w:cs="Arial"/>
          <w:color w:val="000000"/>
          <w:sz w:val="19"/>
          <w:szCs w:val="19"/>
        </w:rPr>
      </w:pPr>
      <w:r>
        <w:rPr>
          <w:vertAlign w:val="superscript"/>
        </w:rPr>
        <w:footnoteRef/>
      </w:r>
      <w:r>
        <w:rPr>
          <w:rFonts w:ascii="Arial" w:eastAsia="Arial" w:hAnsi="Arial" w:cs="Arial"/>
          <w:i/>
          <w:color w:val="000000"/>
          <w:sz w:val="19"/>
          <w:szCs w:val="19"/>
        </w:rPr>
        <w:t xml:space="preserve"> Ibídem.</w:t>
      </w:r>
    </w:p>
  </w:footnote>
  <w:footnote w:id="6">
    <w:p w14:paraId="7572E2D4" w14:textId="77777777" w:rsidR="001D6BEE" w:rsidRDefault="00C942A4">
      <w:pPr>
        <w:ind w:firstLine="708"/>
        <w:jc w:val="both"/>
        <w:rPr>
          <w:rFonts w:ascii="Arial" w:eastAsia="Arial" w:hAnsi="Arial" w:cs="Arial"/>
          <w:sz w:val="19"/>
          <w:szCs w:val="19"/>
        </w:rPr>
      </w:pPr>
      <w:r>
        <w:rPr>
          <w:vertAlign w:val="superscript"/>
        </w:rPr>
        <w:footnoteRef/>
      </w:r>
      <w:r>
        <w:rPr>
          <w:rFonts w:ascii="Arial" w:eastAsia="Arial" w:hAnsi="Arial" w:cs="Arial"/>
          <w:sz w:val="19"/>
          <w:szCs w:val="19"/>
        </w:rPr>
        <w:t xml:space="preserve"> Decreto 1082 de 2015 «Artículo 2.2.1.1.2.2.2. Ofrecimiento más favorable. La Entidad Estatal debe determinar la oferta más favorable teniendo en cuenta las normas aplicables a cada modalidad de selección del contratista. </w:t>
      </w:r>
    </w:p>
    <w:p w14:paraId="5374E3CA"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46539120"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»1. Las condiciones técnicas y económicas mínimas de la oferta. </w:t>
      </w:r>
    </w:p>
    <w:p w14:paraId="0EF3632D"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»2. Las condiciones técnicas adicionales que representan ventajas de calidad o de funcionamiento, tales como el uso de tecnología o materiales que generen mayor eficiencia, rendimiento o duración del bien, obra o servicio. </w:t>
      </w:r>
    </w:p>
    <w:p w14:paraId="2A307410"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E164ED"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»4. El valor en dinero que la Entidad Estatal asigna a cada ofrecimiento técnico o económico adicional, para permitir la ponderación de las ofertas presentadas. </w:t>
      </w:r>
    </w:p>
    <w:p w14:paraId="24E9AD25"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33A41E23" w14:textId="77777777" w:rsidR="001D6BEE" w:rsidRDefault="00C942A4">
      <w:pPr>
        <w:jc w:val="both"/>
        <w:rPr>
          <w:rFonts w:ascii="Arial" w:eastAsia="Arial" w:hAnsi="Arial" w:cs="Arial"/>
          <w:sz w:val="19"/>
          <w:szCs w:val="19"/>
        </w:rPr>
      </w:pPr>
      <w:r>
        <w:rPr>
          <w:rFonts w:ascii="Arial" w:eastAsia="Arial" w:hAnsi="Arial" w:cs="Arial"/>
          <w:sz w:val="19"/>
          <w:szCs w:val="19"/>
        </w:rPr>
        <w:t>  </w:t>
      </w:r>
      <w:r>
        <w:rPr>
          <w:rFonts w:ascii="Arial" w:eastAsia="Arial" w:hAnsi="Arial" w:cs="Arial"/>
          <w:sz w:val="19"/>
          <w:szCs w:val="19"/>
        </w:rPr>
        <w:tab/>
        <w:t>»La Entidad Estatal debe adjudicar al oferente que presentó la oferta con la mejor relación costo-beneficio y suscribir el contrato por el precio total ofrecido». </w:t>
      </w:r>
    </w:p>
  </w:footnote>
  <w:footnote w:id="7">
    <w:p w14:paraId="3A24F94F"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A. Sentencia del 25 de octubre de 2019. Exp. 39.945. Consejera Ponente: María Adriana Marín.</w:t>
      </w:r>
    </w:p>
  </w:footnote>
  <w:footnote w:id="8">
    <w:p w14:paraId="377D2850"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vertAlign w:val="superscript"/>
        </w:rPr>
        <w:t xml:space="preserve"> </w:t>
      </w:r>
      <w:r>
        <w:rPr>
          <w:rFonts w:ascii="Arial" w:eastAsia="Arial" w:hAnsi="Arial" w:cs="Arial"/>
          <w:color w:val="000000"/>
          <w:sz w:val="19"/>
          <w:szCs w:val="19"/>
        </w:rPr>
        <w:t>Consejo de Estado. Sección Tercera. Subsección A. Sentencia del 5 de julio de 2018. Exp. 37.834. Consejero Ponente: Carlos Alberto Zambrano Barrera.</w:t>
      </w:r>
    </w:p>
  </w:footnote>
  <w:footnote w:id="9">
    <w:p w14:paraId="57804C05"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6FF1362D" w14:textId="77777777" w:rsidR="001D6BEE" w:rsidRDefault="001D6BEE">
      <w:pPr>
        <w:pBdr>
          <w:top w:val="nil"/>
          <w:left w:val="nil"/>
          <w:bottom w:val="nil"/>
          <w:right w:val="nil"/>
          <w:between w:val="nil"/>
        </w:pBdr>
        <w:ind w:firstLine="709"/>
        <w:jc w:val="both"/>
        <w:rPr>
          <w:rFonts w:ascii="Arial" w:eastAsia="Arial" w:hAnsi="Arial" w:cs="Arial"/>
          <w:b/>
          <w:color w:val="000000"/>
          <w:sz w:val="19"/>
          <w:szCs w:val="19"/>
        </w:rPr>
      </w:pPr>
    </w:p>
  </w:footnote>
  <w:footnote w:id="10">
    <w:p w14:paraId="13B85ECD"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1">
    <w:p w14:paraId="23199B17"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C. Sentencia del 26 de febrero de 2014. C.P. Enrique Gil Botero, Rad. 1999-00113-01 (25.804). </w:t>
      </w:r>
    </w:p>
  </w:footnote>
  <w:footnote w:id="12">
    <w:p w14:paraId="285F992C"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vertAlign w:val="superscript"/>
        </w:rPr>
        <w:t xml:space="preserve"> </w:t>
      </w:r>
      <w:r>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3">
    <w:p w14:paraId="76840253" w14:textId="77777777" w:rsidR="001D6BEE" w:rsidRDefault="00C942A4">
      <w:pP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r>
          <w:rPr>
            <w:rFonts w:ascii="Arial" w:eastAsia="Arial" w:hAnsi="Arial" w:cs="Arial"/>
            <w:color w:val="000000"/>
            <w:sz w:val="19"/>
            <w:szCs w:val="19"/>
          </w:rPr>
          <w:t>Ley 1150 de 2007</w:t>
        </w:r>
      </w:hyperlink>
      <w:r>
        <w:rPr>
          <w:rFonts w:ascii="Arial" w:eastAsia="Arial" w:hAnsi="Arial" w:cs="Arial"/>
          <w:color w:val="000000"/>
          <w:sz w:val="19"/>
          <w:szCs w:val="19"/>
        </w:rPr>
        <w:t> y en el presente decreto.</w:t>
      </w:r>
    </w:p>
    <w:p w14:paraId="415A2616" w14:textId="77777777" w:rsidR="001D6BEE" w:rsidRDefault="00C942A4">
      <w:pPr>
        <w:ind w:firstLine="709"/>
        <w:jc w:val="both"/>
        <w:rPr>
          <w:rFonts w:ascii="Arial" w:eastAsia="Arial" w:hAnsi="Arial" w:cs="Arial"/>
          <w:color w:val="000000"/>
          <w:sz w:val="19"/>
          <w:szCs w:val="19"/>
        </w:rPr>
      </w:pPr>
      <w:r>
        <w:rPr>
          <w:rFonts w:ascii="Arial" w:eastAsia="Arial" w:hAnsi="Arial" w:cs="Arial"/>
          <w:color w:val="000000"/>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3A73DE41" w14:textId="77777777" w:rsidR="001D6BEE" w:rsidRDefault="00C942A4">
      <w:pPr>
        <w:ind w:firstLine="709"/>
        <w:jc w:val="both"/>
        <w:rPr>
          <w:rFonts w:ascii="Arial" w:eastAsia="Arial" w:hAnsi="Arial" w:cs="Arial"/>
          <w:color w:val="000000"/>
          <w:sz w:val="19"/>
          <w:szCs w:val="19"/>
        </w:rPr>
      </w:pPr>
      <w:r>
        <w:rPr>
          <w:rFonts w:ascii="Arial" w:eastAsia="Arial" w:hAnsi="Arial" w:cs="Arial"/>
          <w:color w:val="000000"/>
          <w:sz w:val="19"/>
          <w:szCs w:val="19"/>
        </w:rPr>
        <w:t>»Será rechazada la oferta del proponente que dentro del término previsto en el pliego o en la solicitud, no responda al requerimiento que le haga la entidad para subsanarla.</w:t>
      </w:r>
    </w:p>
    <w:p w14:paraId="0A22294D" w14:textId="77777777" w:rsidR="001D6BEE" w:rsidRDefault="00C942A4">
      <w:pPr>
        <w:ind w:firstLine="709"/>
        <w:jc w:val="both"/>
        <w:rPr>
          <w:rFonts w:ascii="Arial" w:eastAsia="Arial" w:hAnsi="Arial" w:cs="Arial"/>
          <w:color w:val="000000"/>
          <w:sz w:val="19"/>
          <w:szCs w:val="19"/>
        </w:rPr>
      </w:pPr>
      <w:r>
        <w:rPr>
          <w:rFonts w:ascii="Arial" w:eastAsia="Arial" w:hAnsi="Arial" w:cs="Arial"/>
          <w:color w:val="000000"/>
          <w:sz w:val="19"/>
          <w:szCs w:val="19"/>
        </w:rPr>
        <w:t>»Cuando se utilice el mecanismo de subasta esta posibilidad deberá ejercerse hasta el momento previo a su realización, de conformidad con el artículo 22 del presente decreto.</w:t>
      </w:r>
    </w:p>
    <w:p w14:paraId="5B971F9A" w14:textId="77777777" w:rsidR="001D6BEE" w:rsidRDefault="00C942A4">
      <w:pPr>
        <w:ind w:firstLine="709"/>
        <w:jc w:val="both"/>
        <w:rPr>
          <w:rFonts w:ascii="Arial" w:eastAsia="Arial" w:hAnsi="Arial" w:cs="Arial"/>
          <w:color w:val="000000"/>
          <w:sz w:val="19"/>
          <w:szCs w:val="19"/>
        </w:rPr>
      </w:pPr>
      <w:r>
        <w:rPr>
          <w:rFonts w:ascii="Arial" w:eastAsia="Arial" w:hAnsi="Arial" w:cs="Arial"/>
          <w:color w:val="000000"/>
          <w:sz w:val="19"/>
          <w:szCs w:val="19"/>
        </w:rPr>
        <w:t xml:space="preserve">»En ningún caso la entidad podrá señalar taxativamente los requisitos o documentos subsanables o no subsanables en el pliego de condiciones, </w:t>
      </w:r>
      <w:r>
        <w:rPr>
          <w:rFonts w:ascii="Arial" w:eastAsia="Arial" w:hAnsi="Arial" w:cs="Arial"/>
          <w:i/>
          <w:color w:val="000000"/>
          <w:sz w:val="19"/>
          <w:szCs w:val="19"/>
        </w:rPr>
        <w:t>ni permitir que se subsane la falta de capacidad para presentar la oferta, ni que se acrediten circunstancias ocurridas con posterioridad al cierre del proceso</w:t>
      </w:r>
      <w:r>
        <w:rPr>
          <w:rFonts w:ascii="Arial" w:eastAsia="Arial" w:hAnsi="Arial" w:cs="Arial"/>
          <w:color w:val="000000"/>
          <w:sz w:val="19"/>
          <w:szCs w:val="19"/>
        </w:rPr>
        <w:t xml:space="preserve">». (Cursivas fuera de texto). </w:t>
      </w:r>
    </w:p>
    <w:p w14:paraId="4FA42C5D" w14:textId="77777777" w:rsidR="001D6BEE" w:rsidRDefault="001D6BEE">
      <w:pPr>
        <w:pBdr>
          <w:top w:val="nil"/>
          <w:left w:val="nil"/>
          <w:bottom w:val="nil"/>
          <w:right w:val="nil"/>
          <w:between w:val="nil"/>
        </w:pBdr>
        <w:ind w:firstLine="709"/>
        <w:jc w:val="both"/>
        <w:rPr>
          <w:rFonts w:ascii="Arial" w:eastAsia="Arial" w:hAnsi="Arial" w:cs="Arial"/>
          <w:color w:val="000000"/>
          <w:sz w:val="19"/>
          <w:szCs w:val="19"/>
        </w:rPr>
      </w:pPr>
    </w:p>
  </w:footnote>
  <w:footnote w:id="14">
    <w:p w14:paraId="6846C852"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del 6 de noviembre de 2008. C.P. William Zambrano Cetina. Rad. 2008-00079-00(1927).</w:t>
      </w:r>
    </w:p>
    <w:p w14:paraId="7E7FD823"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rFonts w:ascii="Arial" w:eastAsia="Arial" w:hAnsi="Arial" w:cs="Arial"/>
          <w:color w:val="000000"/>
          <w:sz w:val="19"/>
          <w:szCs w:val="19"/>
        </w:rPr>
        <w:t xml:space="preserve">  </w:t>
      </w:r>
    </w:p>
  </w:footnote>
  <w:footnote w:id="15">
    <w:p w14:paraId="0993BB91"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Ver Consejo de Estado, Sección Tercera, Subsección C. Sentencia del 26 de febrero de 2011. C.P. Jaime Orlando Santofimio. Rad. 36.408.  </w:t>
      </w:r>
    </w:p>
    <w:p w14:paraId="038F5F1B" w14:textId="77777777" w:rsidR="001D6BEE" w:rsidRDefault="001D6BEE">
      <w:pPr>
        <w:pBdr>
          <w:top w:val="nil"/>
          <w:left w:val="nil"/>
          <w:bottom w:val="nil"/>
          <w:right w:val="nil"/>
          <w:between w:val="nil"/>
        </w:pBdr>
        <w:ind w:firstLine="709"/>
        <w:jc w:val="both"/>
        <w:rPr>
          <w:rFonts w:ascii="Arial" w:eastAsia="Arial" w:hAnsi="Arial" w:cs="Arial"/>
          <w:color w:val="000000"/>
          <w:sz w:val="19"/>
          <w:szCs w:val="19"/>
        </w:rPr>
      </w:pPr>
    </w:p>
  </w:footnote>
  <w:footnote w:id="16">
    <w:p w14:paraId="2E402F7B"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Ver Consejo de Estado, Sección Tercera, Subsección C. Sentencia del 26 de febrero de 2014. C.P. Enrique Gil Botero. Rad. 25.804.  </w:t>
      </w:r>
    </w:p>
    <w:p w14:paraId="6F6A3CA6" w14:textId="77777777" w:rsidR="001D6BEE" w:rsidRDefault="001D6BEE">
      <w:pPr>
        <w:pBdr>
          <w:top w:val="nil"/>
          <w:left w:val="nil"/>
          <w:bottom w:val="nil"/>
          <w:right w:val="nil"/>
          <w:between w:val="nil"/>
        </w:pBdr>
        <w:ind w:firstLine="709"/>
        <w:jc w:val="both"/>
        <w:rPr>
          <w:rFonts w:ascii="Arial" w:eastAsia="Arial" w:hAnsi="Arial" w:cs="Arial"/>
          <w:color w:val="000000"/>
          <w:sz w:val="19"/>
          <w:szCs w:val="19"/>
        </w:rPr>
      </w:pPr>
    </w:p>
  </w:footnote>
  <w:footnote w:id="17">
    <w:p w14:paraId="59A5AAA2" w14:textId="77777777" w:rsidR="001D6BEE" w:rsidRDefault="00C942A4">
      <w:pPr>
        <w:pBdr>
          <w:top w:val="nil"/>
          <w:left w:val="nil"/>
          <w:bottom w:val="nil"/>
          <w:right w:val="nil"/>
          <w:between w:val="nil"/>
        </w:pBdr>
        <w:ind w:firstLine="709"/>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del 20 de mayo de 2010. C.P. Enrique José Arboleda Perdomo. Rad. 2010-00034-00(1992).</w:t>
      </w:r>
    </w:p>
    <w:p w14:paraId="438FEC48" w14:textId="77777777" w:rsidR="001D6BEE" w:rsidRDefault="001D6BEE">
      <w:pPr>
        <w:pBdr>
          <w:top w:val="nil"/>
          <w:left w:val="nil"/>
          <w:bottom w:val="nil"/>
          <w:right w:val="nil"/>
          <w:between w:val="nil"/>
        </w:pBdr>
        <w:ind w:firstLine="709"/>
        <w:jc w:val="both"/>
        <w:rPr>
          <w:rFonts w:ascii="Arial" w:eastAsia="Arial" w:hAnsi="Arial" w:cs="Arial"/>
          <w:color w:val="000000"/>
          <w:sz w:val="19"/>
          <w:szCs w:val="19"/>
        </w:rPr>
      </w:pPr>
    </w:p>
  </w:footnote>
  <w:footnote w:id="18">
    <w:p w14:paraId="0368616C" w14:textId="77777777" w:rsidR="001D6BEE" w:rsidRDefault="00C942A4">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C. Sentencia del 12 de noviembre de 2014. Exp. 27.986. C.P. Enrique Gil Botero.</w:t>
      </w:r>
    </w:p>
    <w:p w14:paraId="566E28DA" w14:textId="77777777" w:rsidR="001D6BEE" w:rsidRDefault="001D6BEE">
      <w:pPr>
        <w:pBdr>
          <w:top w:val="nil"/>
          <w:left w:val="nil"/>
          <w:bottom w:val="nil"/>
          <w:right w:val="nil"/>
          <w:between w:val="nil"/>
        </w:pBdr>
        <w:ind w:firstLine="708"/>
        <w:jc w:val="both"/>
        <w:rPr>
          <w:rFonts w:ascii="Arial" w:eastAsia="Arial" w:hAnsi="Arial" w:cs="Arial"/>
          <w:color w:val="000000"/>
          <w:sz w:val="19"/>
          <w:szCs w:val="19"/>
        </w:rPr>
      </w:pPr>
    </w:p>
  </w:footnote>
  <w:footnote w:id="19">
    <w:p w14:paraId="5B220B03" w14:textId="77777777" w:rsidR="001D6BEE" w:rsidRDefault="00C942A4">
      <w:pPr>
        <w:pBdr>
          <w:top w:val="nil"/>
          <w:left w:val="nil"/>
          <w:bottom w:val="nil"/>
          <w:right w:val="nil"/>
          <w:between w:val="nil"/>
        </w:pBdr>
        <w:ind w:firstLine="708"/>
        <w:jc w:val="both"/>
        <w:rPr>
          <w:rFonts w:ascii="Arial" w:eastAsia="Arial" w:hAnsi="Arial" w:cs="Arial"/>
          <w:i/>
          <w:color w:val="000000"/>
          <w:sz w:val="19"/>
          <w:szCs w:val="19"/>
        </w:rPr>
      </w:pPr>
      <w:r>
        <w:rPr>
          <w:vertAlign w:val="superscript"/>
        </w:rPr>
        <w:footnoteRef/>
      </w:r>
      <w:r>
        <w:rPr>
          <w:color w:val="000000"/>
          <w:sz w:val="20"/>
          <w:szCs w:val="20"/>
        </w:rPr>
        <w:t xml:space="preserve"> </w:t>
      </w:r>
      <w:r>
        <w:rPr>
          <w:rFonts w:ascii="Arial" w:eastAsia="Arial" w:hAnsi="Arial" w:cs="Arial"/>
          <w:color w:val="000000"/>
          <w:sz w:val="19"/>
          <w:szCs w:val="19"/>
        </w:rPr>
        <w:t>Ibidem</w:t>
      </w:r>
      <w:r>
        <w:rPr>
          <w:rFonts w:ascii="Arial" w:eastAsia="Arial" w:hAnsi="Arial" w:cs="Arial"/>
          <w:i/>
          <w:color w:val="000000"/>
          <w:sz w:val="19"/>
          <w:szCs w:val="19"/>
        </w:rPr>
        <w:t>.</w:t>
      </w:r>
    </w:p>
    <w:p w14:paraId="440D476F" w14:textId="77777777" w:rsidR="001D6BEE" w:rsidRDefault="001D6BEE">
      <w:pPr>
        <w:pBdr>
          <w:top w:val="nil"/>
          <w:left w:val="nil"/>
          <w:bottom w:val="nil"/>
          <w:right w:val="nil"/>
          <w:between w:val="nil"/>
        </w:pBdr>
        <w:rPr>
          <w:color w:val="000000"/>
          <w:sz w:val="20"/>
          <w:szCs w:val="20"/>
        </w:rPr>
      </w:pPr>
    </w:p>
  </w:footnote>
  <w:footnote w:id="20">
    <w:p w14:paraId="4C7A42E4" w14:textId="77777777" w:rsidR="001D6BEE" w:rsidRDefault="00C942A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EC95" w14:textId="77777777" w:rsidR="001D6BEE" w:rsidRDefault="00C942A4">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9BFBF90" wp14:editId="4C24ED53">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EE"/>
    <w:rsid w:val="001D6BEE"/>
    <w:rsid w:val="00733ABC"/>
    <w:rsid w:val="00B90719"/>
    <w:rsid w:val="00BA5EB8"/>
    <w:rsid w:val="00C942A4"/>
    <w:rsid w:val="00DF1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93DD"/>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D769F62-B343-4A92-9D8B-50EE407AAC93}"/>
</file>

<file path=customXml/itemProps2.xml><?xml version="1.0" encoding="utf-8"?>
<ds:datastoreItem xmlns:ds="http://schemas.openxmlformats.org/officeDocument/2006/customXml" ds:itemID="{DF0C43E0-EA4A-4214-A2E6-A9B003B64536}"/>
</file>

<file path=customXml/itemProps3.xml><?xml version="1.0" encoding="utf-8"?>
<ds:datastoreItem xmlns:ds="http://schemas.openxmlformats.org/officeDocument/2006/customXml" ds:itemID="{3F69BA0A-B8FD-49D3-98F0-6AA2E9317052}"/>
</file>

<file path=docProps/app.xml><?xml version="1.0" encoding="utf-8"?>
<Properties xmlns="http://schemas.openxmlformats.org/officeDocument/2006/extended-properties" xmlns:vt="http://schemas.openxmlformats.org/officeDocument/2006/docPropsVTypes">
  <Template>Normal</Template>
  <TotalTime>1</TotalTime>
  <Pages>27</Pages>
  <Words>10924</Words>
  <Characters>60086</Characters>
  <Application>Microsoft Office Word</Application>
  <DocSecurity>0</DocSecurity>
  <Lines>500</Lines>
  <Paragraphs>141</Paragraphs>
  <ScaleCrop>false</ScaleCrop>
  <Company/>
  <LinksUpToDate>false</LinksUpToDate>
  <CharactersWithSpaces>70869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Alvaro Namen Vargas</cp:lastModifiedBy>
  <cp:revision>2</cp:revision>
  <dcterms:created xsi:type="dcterms:W3CDTF">2022-01-28T19:24:00Z</dcterms:created>
  <dcterms:modified xsi:type="dcterms:W3CDTF">2022-01-28T19:24:00Z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