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04B" w14:textId="760D339E" w:rsidR="00462864" w:rsidRPr="0083037E" w:rsidRDefault="00462864" w:rsidP="00462864">
      <w:pPr>
        <w:jc w:val="right"/>
        <w:rPr>
          <w:rFonts w:ascii="Arial" w:eastAsia="Calibri" w:hAnsi="Arial" w:cs="Arial"/>
          <w:b/>
          <w:lang w:val="es-ES_tradnl"/>
        </w:rPr>
      </w:pPr>
      <w:r w:rsidRPr="0083037E">
        <w:rPr>
          <w:rFonts w:ascii="Arial" w:hAnsi="Arial" w:cs="Arial"/>
          <w:b/>
          <w:sz w:val="16"/>
          <w:szCs w:val="16"/>
          <w:lang w:eastAsia="es-ES"/>
        </w:rPr>
        <w:t>CCE-DES-FM-17</w:t>
      </w:r>
    </w:p>
    <w:p w14:paraId="019FE7B1" w14:textId="77777777" w:rsidR="00462864" w:rsidRPr="0083037E" w:rsidRDefault="00462864" w:rsidP="003C4C74">
      <w:pPr>
        <w:jc w:val="both"/>
        <w:rPr>
          <w:rFonts w:ascii="Arial" w:eastAsia="Calibri" w:hAnsi="Arial" w:cs="Arial"/>
          <w:b/>
          <w:lang w:val="es-ES_tradnl"/>
        </w:rPr>
      </w:pPr>
    </w:p>
    <w:p w14:paraId="7FE8F267" w14:textId="78C03AE2" w:rsidR="004F74AA" w:rsidRPr="0083037E" w:rsidRDefault="004F74AA" w:rsidP="003C4C74">
      <w:pPr>
        <w:jc w:val="both"/>
        <w:rPr>
          <w:rFonts w:ascii="Arial" w:eastAsia="Calibri" w:hAnsi="Arial" w:cs="Arial"/>
          <w:b/>
          <w:lang w:val="es-ES_tradnl"/>
        </w:rPr>
      </w:pPr>
      <w:r w:rsidRPr="0083037E">
        <w:rPr>
          <w:rFonts w:ascii="Arial" w:eastAsia="Calibri" w:hAnsi="Arial" w:cs="Arial"/>
          <w:b/>
          <w:lang w:val="es-ES_tradnl"/>
        </w:rPr>
        <w:t xml:space="preserve">DOCUMENTOS TIPO </w:t>
      </w:r>
      <w:r w:rsidRPr="0083037E">
        <w:rPr>
          <w:rFonts w:ascii="Arial" w:eastAsia="Calibri" w:hAnsi="Arial" w:cs="Arial"/>
          <w:b/>
          <w:color w:val="000000"/>
          <w:lang w:val="es-ES_tradnl"/>
        </w:rPr>
        <w:t>–</w:t>
      </w:r>
      <w:r w:rsidRPr="0083037E">
        <w:rPr>
          <w:rFonts w:ascii="Arial" w:eastAsia="Calibri" w:hAnsi="Arial" w:cs="Arial"/>
          <w:b/>
          <w:lang w:val="es-ES_tradnl"/>
        </w:rPr>
        <w:t xml:space="preserve"> Fundamento normativo </w:t>
      </w:r>
      <w:r w:rsidRPr="0083037E">
        <w:rPr>
          <w:rFonts w:ascii="Arial" w:eastAsia="Calibri" w:hAnsi="Arial" w:cs="Arial"/>
          <w:b/>
          <w:color w:val="000000"/>
          <w:lang w:val="es-ES_tradnl"/>
        </w:rPr>
        <w:t xml:space="preserve">– </w:t>
      </w:r>
      <w:r w:rsidRPr="0083037E">
        <w:rPr>
          <w:rFonts w:ascii="Arial" w:eastAsia="Calibri" w:hAnsi="Arial" w:cs="Arial"/>
          <w:b/>
          <w:lang w:val="es-ES_tradnl"/>
        </w:rPr>
        <w:t>Ley 2022 de 2020</w:t>
      </w:r>
    </w:p>
    <w:p w14:paraId="26A84A09" w14:textId="77777777" w:rsidR="004F74AA" w:rsidRPr="0083037E" w:rsidRDefault="004F74AA" w:rsidP="003C4C74">
      <w:pPr>
        <w:jc w:val="both"/>
        <w:rPr>
          <w:rFonts w:ascii="Arial" w:eastAsia="Calibri" w:hAnsi="Arial" w:cs="Arial"/>
          <w:b/>
          <w:lang w:val="es-ES_tradnl"/>
        </w:rPr>
      </w:pPr>
    </w:p>
    <w:p w14:paraId="212D1569" w14:textId="77777777" w:rsidR="004F74AA" w:rsidRPr="0083037E" w:rsidRDefault="004F74AA" w:rsidP="003C4C74">
      <w:pPr>
        <w:jc w:val="both"/>
        <w:rPr>
          <w:rFonts w:ascii="Arial" w:eastAsia="Calibri" w:hAnsi="Arial" w:cs="Arial"/>
          <w:color w:val="000000"/>
          <w:sz w:val="20"/>
          <w:szCs w:val="20"/>
          <w:lang w:val="es-ES" w:eastAsia="es-ES"/>
        </w:rPr>
      </w:pPr>
      <w:r w:rsidRPr="0083037E">
        <w:rPr>
          <w:rFonts w:ascii="Arial" w:eastAsia="Calibri" w:hAnsi="Arial" w:cs="Arial"/>
          <w:color w:val="000000"/>
          <w:sz w:val="20"/>
          <w:szCs w:val="20"/>
          <w:lang w:val="es-ES" w:eastAsia="es-ES"/>
        </w:rPr>
        <w:t xml:space="preserve">[…] debe tenerse en cuenta que la Ley 2022 de 2020 fue sancionada por el </w:t>
      </w:r>
      <w:proofErr w:type="gramStart"/>
      <w:r w:rsidRPr="0083037E">
        <w:rPr>
          <w:rFonts w:ascii="Arial" w:eastAsia="Calibri" w:hAnsi="Arial" w:cs="Arial"/>
          <w:color w:val="000000"/>
          <w:sz w:val="20"/>
          <w:szCs w:val="20"/>
          <w:lang w:val="es-ES" w:eastAsia="es-ES"/>
        </w:rPr>
        <w:t>Presidente</w:t>
      </w:r>
      <w:proofErr w:type="gramEnd"/>
      <w:r w:rsidRPr="0083037E">
        <w:rPr>
          <w:rFonts w:ascii="Arial" w:eastAsia="Calibri" w:hAnsi="Arial" w:cs="Arial"/>
          <w:color w:val="000000"/>
          <w:sz w:val="20"/>
          <w:szCs w:val="20"/>
          <w:lang w:val="es-ES" w:eastAsia="es-ES"/>
        </w:rPr>
        <w:t xml:space="preserv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14:paraId="3D37308E" w14:textId="77777777" w:rsidR="004F74AA" w:rsidRPr="0083037E" w:rsidRDefault="004F74AA" w:rsidP="003C4C74">
      <w:pPr>
        <w:jc w:val="both"/>
        <w:rPr>
          <w:rFonts w:ascii="Arial" w:eastAsia="Arial" w:hAnsi="Arial" w:cs="Arial"/>
          <w:b/>
          <w:bCs/>
          <w:color w:val="000000"/>
          <w:lang w:val="es-ES_tradnl"/>
        </w:rPr>
      </w:pPr>
    </w:p>
    <w:p w14:paraId="6C6EDBD4" w14:textId="77777777" w:rsidR="004F74AA" w:rsidRPr="0083037E" w:rsidRDefault="004F74AA" w:rsidP="003C4C74">
      <w:pPr>
        <w:tabs>
          <w:tab w:val="left" w:pos="-142"/>
        </w:tabs>
        <w:autoSpaceDE w:val="0"/>
        <w:autoSpaceDN w:val="0"/>
        <w:adjustRightInd w:val="0"/>
        <w:jc w:val="both"/>
        <w:rPr>
          <w:rFonts w:ascii="Arial" w:eastAsia="Calibri" w:hAnsi="Arial" w:cs="Arial"/>
          <w:b/>
          <w:bCs/>
          <w:lang w:val="es-ES_tradnl" w:eastAsia="es-ES"/>
        </w:rPr>
      </w:pPr>
      <w:r w:rsidRPr="0083037E">
        <w:rPr>
          <w:rFonts w:ascii="Arial" w:eastAsia="Calibri" w:hAnsi="Arial" w:cs="Arial"/>
          <w:b/>
          <w:bCs/>
          <w:lang w:val="es-ES_tradnl" w:eastAsia="es-ES"/>
        </w:rPr>
        <w:t xml:space="preserve">DOCUMENTOS TIPO </w:t>
      </w:r>
      <w:bookmarkStart w:id="0" w:name="_Hlk39666823"/>
      <w:r w:rsidRPr="0083037E">
        <w:rPr>
          <w:rFonts w:ascii="Arial" w:eastAsia="Calibri" w:hAnsi="Arial" w:cs="Arial"/>
          <w:b/>
          <w:lang w:val="x-none" w:eastAsia="es-ES"/>
        </w:rPr>
        <w:t>–</w:t>
      </w:r>
      <w:bookmarkEnd w:id="0"/>
      <w:r w:rsidRPr="0083037E">
        <w:rPr>
          <w:rFonts w:ascii="Arial" w:eastAsia="Calibri" w:hAnsi="Arial" w:cs="Arial"/>
          <w:b/>
          <w:bCs/>
          <w:lang w:val="es-ES_tradnl" w:eastAsia="es-ES"/>
        </w:rPr>
        <w:t xml:space="preserve"> Inalterabilidad </w:t>
      </w:r>
    </w:p>
    <w:p w14:paraId="73F43798" w14:textId="77777777" w:rsidR="004F74AA" w:rsidRPr="0083037E" w:rsidRDefault="004F74AA" w:rsidP="003C4C74">
      <w:pPr>
        <w:jc w:val="both"/>
        <w:rPr>
          <w:rFonts w:ascii="Arial" w:eastAsia="Calibri" w:hAnsi="Arial" w:cs="Arial"/>
          <w:b/>
          <w:bCs/>
          <w:sz w:val="20"/>
          <w:szCs w:val="20"/>
          <w:lang w:val="es-ES_tradnl"/>
        </w:rPr>
      </w:pPr>
    </w:p>
    <w:p w14:paraId="2ECEF4A4" w14:textId="012A81B6" w:rsidR="00F41B7F" w:rsidRPr="0083037E" w:rsidRDefault="00F41B7F" w:rsidP="00F41B7F">
      <w:pPr>
        <w:jc w:val="both"/>
        <w:rPr>
          <w:rFonts w:ascii="Arial" w:eastAsia="Calibri" w:hAnsi="Arial" w:cs="Arial"/>
          <w:color w:val="000000"/>
          <w:sz w:val="20"/>
          <w:szCs w:val="20"/>
          <w:lang w:val="es-ES_tradnl"/>
        </w:rPr>
      </w:pPr>
      <w:r w:rsidRPr="0083037E">
        <w:rPr>
          <w:rFonts w:ascii="Arial" w:eastAsia="Calibri" w:hAnsi="Arial" w:cs="Arial"/>
          <w:color w:val="000000"/>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83037E">
        <w:rPr>
          <w:rFonts w:ascii="Arial" w:eastAsia="Calibri" w:hAnsi="Arial" w:cs="Arial"/>
          <w:i/>
          <w:iCs/>
          <w:color w:val="000000"/>
          <w:sz w:val="20"/>
          <w:szCs w:val="20"/>
          <w:lang w:val="es-ES_tradnl"/>
        </w:rPr>
        <w:t>Documentos del Proceso</w:t>
      </w:r>
      <w:r w:rsidRPr="0083037E">
        <w:rPr>
          <w:rFonts w:ascii="Arial" w:eastAsia="Calibri" w:hAnsi="Arial" w:cs="Arial"/>
          <w:color w:val="000000"/>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548BFDDC" w14:textId="77777777" w:rsidR="00F41B7F" w:rsidRPr="0083037E" w:rsidRDefault="00F41B7F" w:rsidP="00F41B7F">
      <w:pPr>
        <w:spacing w:before="120"/>
        <w:jc w:val="both"/>
        <w:rPr>
          <w:rFonts w:ascii="Arial" w:eastAsia="Calibri" w:hAnsi="Arial" w:cs="Arial"/>
          <w:color w:val="000000"/>
          <w:sz w:val="20"/>
          <w:szCs w:val="20"/>
          <w:lang w:val="es-ES_tradnl"/>
        </w:rPr>
      </w:pPr>
      <w:r w:rsidRPr="0083037E">
        <w:rPr>
          <w:rFonts w:ascii="Arial" w:eastAsia="Calibri" w:hAnsi="Arial" w:cs="Arial"/>
          <w:color w:val="000000"/>
          <w:sz w:val="20"/>
          <w:szCs w:val="20"/>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No obstante, ello no significa que antes no rigiera, pues así también lo disponía el artículo 4 de la Ley 1882 de 2018. Por vía reglamentaria, también quedó consignado en su momento el carácter inmodificable de los documentos tipo en el artículo 1 de los Decretos 342 de 2019, Decreto 2096 de 2019 y 594 de 2020, que adicionaron, respectivamente, los artículos 2.2.1.2.6.1.4, 2.2.1.2.6.2.3 y 2.2.1.2.6.3.4 al Decreto 1082 de 2015.</w:t>
      </w:r>
    </w:p>
    <w:p w14:paraId="1996C94D" w14:textId="206B2824" w:rsidR="00F41B7F" w:rsidRPr="0083037E" w:rsidRDefault="00F41B7F" w:rsidP="00F41B7F">
      <w:pPr>
        <w:spacing w:before="120"/>
        <w:jc w:val="both"/>
        <w:rPr>
          <w:rFonts w:ascii="Arial" w:eastAsia="Calibri" w:hAnsi="Arial" w:cs="Arial"/>
          <w:bCs/>
          <w:color w:val="000000"/>
          <w:sz w:val="20"/>
          <w:szCs w:val="20"/>
          <w:lang w:val="es-ES_tradnl"/>
        </w:rPr>
      </w:pPr>
      <w:r w:rsidRPr="0083037E">
        <w:rPr>
          <w:rFonts w:ascii="Arial" w:eastAsia="Calibri" w:hAnsi="Arial" w:cs="Arial"/>
          <w:bCs/>
          <w:color w:val="000000"/>
          <w:sz w:val="20"/>
          <w:szCs w:val="20"/>
          <w:lang w:val="es-ES_tradnl"/>
        </w:rPr>
        <w:t xml:space="preserve">Además, las entidades estatales deben garantizar el </w:t>
      </w:r>
      <w:r w:rsidRPr="0083037E">
        <w:rPr>
          <w:rFonts w:ascii="Arial" w:eastAsia="Calibri" w:hAnsi="Arial" w:cs="Arial"/>
          <w:bCs/>
          <w:i/>
          <w:iCs/>
          <w:color w:val="000000"/>
          <w:sz w:val="20"/>
          <w:szCs w:val="20"/>
          <w:lang w:val="es-ES_tradnl"/>
        </w:rPr>
        <w:t>principio de economía</w:t>
      </w:r>
      <w:r w:rsidRPr="0083037E">
        <w:rPr>
          <w:rFonts w:ascii="Arial" w:eastAsia="Calibri" w:hAnsi="Arial" w:cs="Arial"/>
          <w:bCs/>
          <w:color w:val="000000"/>
          <w:sz w:val="20"/>
          <w:szCs w:val="20"/>
          <w:lang w:val="es-ES_tradnl"/>
        </w:rPr>
        <w:t>, del cual se desprende que no pueden exigir documentos o requisitos más allá de los que permitan la Constitución, la ley y los reglamentos. Este postulado ha sido recogido no solo en la contratación estatal sino además en la normativa antitrámites, pues se inscribe dentro de la tendencia de simplificación y racionalización de los procedimientos administrativos. De ahí que cuando las autoridades solicitan la entrega de documentación innecesaria, desconocen el principio de economía.</w:t>
      </w:r>
    </w:p>
    <w:p w14:paraId="6E9E8A6C" w14:textId="53313D48" w:rsidR="00B749D1" w:rsidRPr="0083037E" w:rsidRDefault="00B749D1" w:rsidP="003C4C74">
      <w:pPr>
        <w:spacing w:line="276" w:lineRule="auto"/>
        <w:jc w:val="both"/>
        <w:rPr>
          <w:rFonts w:ascii="Arial" w:eastAsia="Arial" w:hAnsi="Arial" w:cs="Arial"/>
          <w:b/>
          <w:bCs/>
          <w:color w:val="000000"/>
          <w:lang w:val="es-ES_tradnl"/>
        </w:rPr>
      </w:pPr>
    </w:p>
    <w:p w14:paraId="2F263F83" w14:textId="5A0460DE" w:rsidR="003C4C74" w:rsidRPr="0083037E" w:rsidRDefault="003C4C74" w:rsidP="00F41B7F">
      <w:pPr>
        <w:shd w:val="clear" w:color="auto" w:fill="FFFFFF"/>
        <w:spacing w:line="276" w:lineRule="auto"/>
        <w:jc w:val="both"/>
        <w:rPr>
          <w:rFonts w:ascii="Arial" w:eastAsia="Calibri" w:hAnsi="Arial" w:cs="Arial"/>
          <w:b/>
          <w:color w:val="000000"/>
        </w:rPr>
      </w:pPr>
      <w:r w:rsidRPr="0083037E">
        <w:rPr>
          <w:rFonts w:ascii="Arial" w:eastAsia="Calibri" w:hAnsi="Arial" w:cs="Arial"/>
          <w:b/>
          <w:color w:val="000000"/>
        </w:rPr>
        <w:t>DOCUMENTOS TIPO − Matriz 1 – Experiencia − Aplicación</w:t>
      </w:r>
    </w:p>
    <w:p w14:paraId="695F5B21" w14:textId="77777777" w:rsidR="003C4C74" w:rsidRPr="0083037E" w:rsidRDefault="003C4C74" w:rsidP="00F41B7F">
      <w:pPr>
        <w:spacing w:line="276" w:lineRule="auto"/>
        <w:ind w:right="51"/>
        <w:jc w:val="both"/>
        <w:rPr>
          <w:rFonts w:ascii="Arial" w:eastAsia="Calibri" w:hAnsi="Arial" w:cs="Arial"/>
          <w:lang w:val="es-MX"/>
        </w:rPr>
      </w:pPr>
    </w:p>
    <w:p w14:paraId="4B151586" w14:textId="77777777" w:rsidR="00F41B7F" w:rsidRPr="0083037E" w:rsidRDefault="00F41B7F" w:rsidP="00F41B7F">
      <w:pPr>
        <w:jc w:val="both"/>
        <w:rPr>
          <w:rFonts w:ascii="Arial" w:eastAsia="Calibri" w:hAnsi="Arial" w:cs="Arial"/>
          <w:color w:val="0D0D0D"/>
          <w:sz w:val="20"/>
          <w:szCs w:val="20"/>
          <w:lang w:val="es-MX"/>
        </w:rPr>
      </w:pPr>
      <w:r w:rsidRPr="0083037E">
        <w:rPr>
          <w:rFonts w:ascii="Arial" w:eastAsia="Calibri" w:hAnsi="Arial" w:cs="Arial"/>
          <w:color w:val="0D0D0D"/>
          <w:sz w:val="20"/>
          <w:szCs w:val="20"/>
          <w:lang w:val="es-MX"/>
        </w:rPr>
        <w:t xml:space="preserve">Ahora bien, uno de los elementos comunes a los diferentes documentos tipo es la «Matriz 1 – Experiencia» –en adelante Matriz 1–. Esta consta de unas celdas en las que se describe la experiencia requerida en relación con el objeto a contratar, definiendo además qué tipo de actividades relacionadas con cada sector deben acogerse a los pliegos tipo. Por otro lado, </w:t>
      </w:r>
      <w:r w:rsidRPr="0083037E">
        <w:rPr>
          <w:rFonts w:ascii="Arial" w:eastAsia="Calibri" w:hAnsi="Arial" w:cs="Arial"/>
          <w:color w:val="0D0D0D"/>
          <w:sz w:val="20"/>
          <w:szCs w:val="20"/>
          <w:lang w:val="es-MX"/>
        </w:rPr>
        <w:lastRenderedPageBreak/>
        <w:t>encontramos el «Anexo 3 – Glosario», el cual contiene las definiciones de los términos usados en los documentos del proceso. Utilizando estos dos documentos, la entidad estatal puede definir si el objeto a contratarse debe emplear los documentos tipo adoptados por esta Agencia.</w:t>
      </w:r>
    </w:p>
    <w:p w14:paraId="02E7907F" w14:textId="77777777" w:rsidR="00F41B7F" w:rsidRPr="0083037E" w:rsidRDefault="00F41B7F" w:rsidP="00F41B7F">
      <w:pPr>
        <w:spacing w:before="120" w:after="120"/>
        <w:jc w:val="both"/>
        <w:rPr>
          <w:rFonts w:ascii="Arial" w:eastAsia="Calibri" w:hAnsi="Arial" w:cs="Arial"/>
          <w:color w:val="0D0D0D"/>
          <w:sz w:val="20"/>
          <w:szCs w:val="20"/>
          <w:lang w:val="es-MX"/>
        </w:rPr>
      </w:pPr>
      <w:r w:rsidRPr="0083037E">
        <w:rPr>
          <w:rFonts w:ascii="Arial" w:eastAsia="Calibri" w:hAnsi="Arial" w:cs="Arial"/>
          <w:color w:val="0D0D0D"/>
          <w:sz w:val="20"/>
          <w:szCs w:val="20"/>
          <w:lang w:val="es-MX"/>
        </w:rPr>
        <w:t>Conforme a lo anterior, la Matriz 1, cumple una doble función: Por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089F1150" w14:textId="68A87875" w:rsidR="00F41B7F" w:rsidRPr="0083037E" w:rsidRDefault="00F41B7F" w:rsidP="004A646F">
      <w:pPr>
        <w:spacing w:before="120"/>
        <w:jc w:val="both"/>
        <w:rPr>
          <w:rFonts w:ascii="Arial" w:eastAsia="Calibri" w:hAnsi="Arial" w:cs="Arial"/>
          <w:sz w:val="20"/>
          <w:szCs w:val="20"/>
          <w:lang w:val="es-MX"/>
        </w:rPr>
      </w:pPr>
      <w:r w:rsidRPr="0083037E">
        <w:rPr>
          <w:rFonts w:ascii="Arial" w:eastAsia="Calibri" w:hAnsi="Arial" w:cs="Arial"/>
          <w:color w:val="0D0D0D"/>
          <w:sz w:val="20"/>
          <w:szCs w:val="20"/>
          <w:lang w:val="es-MX"/>
        </w:rPr>
        <w:t>De esta manera, para saber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De esta manera, si el objeto contractual a ejecutar se encuadra materialmente dentro de alguno de los tipos actividades concretas señaladas en cada una de las matrices de experiencia, se tendrán que aplicar los documentos tipo, mientras que en el caso contrario no será forzosa su aplicación. En este sentido, en los documentos base de los documentos tipo</w:t>
      </w:r>
      <w:r w:rsidRPr="0083037E">
        <w:rPr>
          <w:rFonts w:ascii="Arial" w:eastAsia="Calibri" w:hAnsi="Arial" w:cs="Arial"/>
          <w:sz w:val="20"/>
          <w:szCs w:val="20"/>
          <w:lang w:val="es-MX"/>
        </w:rPr>
        <w:t>, se indica que la entidad establecerá las condiciones de experiencia, tanto general como específica en las actividades que van a contratar. En este contexto, la entidad no podrá incluir condiciones distintas a las previstas en la matriz de experiencia y, por tanto, deberá transcribir textualmente lo indicado en ésta.</w:t>
      </w:r>
    </w:p>
    <w:p w14:paraId="620B1745" w14:textId="77777777" w:rsidR="004A646F" w:rsidRPr="0083037E" w:rsidRDefault="004A646F" w:rsidP="004A646F">
      <w:pPr>
        <w:shd w:val="clear" w:color="auto" w:fill="FFFFFF"/>
        <w:spacing w:line="276" w:lineRule="auto"/>
        <w:jc w:val="both"/>
        <w:rPr>
          <w:rFonts w:ascii="Arial" w:eastAsia="Calibri" w:hAnsi="Arial" w:cs="Arial"/>
          <w:b/>
          <w:color w:val="000000"/>
        </w:rPr>
      </w:pPr>
    </w:p>
    <w:p w14:paraId="50DE732F" w14:textId="5F3F358F" w:rsidR="004A646F" w:rsidRPr="0083037E" w:rsidRDefault="004A646F" w:rsidP="004A646F">
      <w:pPr>
        <w:shd w:val="clear" w:color="auto" w:fill="FFFFFF"/>
        <w:spacing w:line="276" w:lineRule="auto"/>
        <w:jc w:val="both"/>
        <w:rPr>
          <w:rFonts w:ascii="Arial" w:eastAsia="Calibri" w:hAnsi="Arial" w:cs="Arial"/>
          <w:b/>
          <w:color w:val="000000"/>
        </w:rPr>
      </w:pPr>
      <w:r w:rsidRPr="0083037E">
        <w:rPr>
          <w:rFonts w:ascii="Arial" w:eastAsia="Calibri" w:hAnsi="Arial" w:cs="Arial"/>
          <w:b/>
          <w:color w:val="000000"/>
        </w:rPr>
        <w:t>MATRIZ 1 – Experiencia – Tipos de consultoría – Criterios de definición</w:t>
      </w:r>
    </w:p>
    <w:p w14:paraId="1D2B0547" w14:textId="77777777" w:rsidR="004A646F" w:rsidRPr="0083037E" w:rsidRDefault="004A646F" w:rsidP="004A646F">
      <w:pPr>
        <w:spacing w:after="120"/>
        <w:jc w:val="both"/>
        <w:rPr>
          <w:rFonts w:ascii="Arial" w:eastAsia="Calibri" w:hAnsi="Arial" w:cs="Arial"/>
          <w:color w:val="0D0D0D"/>
          <w:sz w:val="20"/>
          <w:szCs w:val="20"/>
        </w:rPr>
      </w:pPr>
    </w:p>
    <w:p w14:paraId="02ED31E4" w14:textId="252525E2" w:rsidR="004A646F" w:rsidRPr="0083037E" w:rsidRDefault="004A646F" w:rsidP="004A646F">
      <w:pPr>
        <w:spacing w:after="120"/>
        <w:jc w:val="both"/>
        <w:rPr>
          <w:rFonts w:ascii="Arial" w:eastAsia="Calibri" w:hAnsi="Arial" w:cs="Arial"/>
          <w:color w:val="0D0D0D"/>
          <w:sz w:val="20"/>
          <w:szCs w:val="20"/>
        </w:rPr>
      </w:pPr>
      <w:r w:rsidRPr="0083037E">
        <w:rPr>
          <w:rFonts w:ascii="Arial" w:eastAsia="Calibri" w:hAnsi="Arial" w:cs="Arial"/>
          <w:color w:val="0D0D0D"/>
          <w:sz w:val="20"/>
          <w:szCs w:val="20"/>
        </w:rPr>
        <w:t>Concretamente, la Matriz 1 contempla ocho tipos de consultorías generales a saber: i) consultoría para obras en vías primarias o secundarias; ii) consultoría para obras en vías terciarias; iii) consultoría para obras marítimas y fluviales; iv) consultoría para obras en vías primarias o secundarias o terciarias o urbanas para atención, prevención o mitigación de emergencias diferentes a contratación directa; v) consultoría para obras férreas; vi) consultoría para obras de infraestructura vial urbana; vii) consultoría para obras en puentes; viii) consultoría para obras aeroportuarias.</w:t>
      </w:r>
    </w:p>
    <w:p w14:paraId="6D77CD05" w14:textId="77777777" w:rsidR="004A646F" w:rsidRPr="0083037E" w:rsidRDefault="004A646F" w:rsidP="00F41B7F">
      <w:pPr>
        <w:spacing w:before="120" w:after="120"/>
        <w:jc w:val="both"/>
        <w:rPr>
          <w:rFonts w:ascii="Arial" w:eastAsia="Calibri" w:hAnsi="Arial" w:cs="Arial"/>
          <w:color w:val="0D0D0D"/>
          <w:sz w:val="20"/>
          <w:szCs w:val="20"/>
        </w:rPr>
      </w:pPr>
      <w:r w:rsidRPr="0083037E">
        <w:rPr>
          <w:rFonts w:ascii="Arial" w:eastAsia="Calibri" w:hAnsi="Arial" w:cs="Arial"/>
          <w:color w:val="0D0D0D"/>
          <w:sz w:val="20"/>
          <w:szCs w:val="20"/>
        </w:rPr>
        <w:t>[…]</w:t>
      </w:r>
    </w:p>
    <w:p w14:paraId="7417FD21" w14:textId="53909A2F" w:rsidR="004A646F" w:rsidRPr="0083037E" w:rsidRDefault="004A646F" w:rsidP="00F41B7F">
      <w:pPr>
        <w:spacing w:before="120" w:after="120"/>
        <w:jc w:val="both"/>
        <w:rPr>
          <w:rFonts w:ascii="Arial" w:eastAsia="Calibri" w:hAnsi="Arial" w:cs="Arial"/>
          <w:color w:val="0D0D0D"/>
          <w:sz w:val="20"/>
          <w:szCs w:val="20"/>
        </w:rPr>
      </w:pPr>
      <w:r w:rsidRPr="0083037E">
        <w:rPr>
          <w:rFonts w:ascii="Arial" w:eastAsia="Calibri" w:hAnsi="Arial" w:cs="Arial"/>
          <w:color w:val="0D0D0D"/>
          <w:sz w:val="20"/>
          <w:szCs w:val="20"/>
        </w:rPr>
        <w:t>Por su parte, el numeral 3.8 del documento base establece las «exigencias mínimas de la experiencia del proponente y la experiencia y formación académica del equipo de trabajo». De igual modo, el capítulo IV prevé la forma como se deben definir los «criterios de evaluación, asignación de puntaje y criterios de desempate». En tal sentido, el numeral 4.1. regula la «forma de verificación y asignación del puntaje por la experiencia del proponente». Allí se pueden encontrar los criterios que debe tener en cuenta la entidad para evaluar la experiencia general y específica. Como se observa, la Agencia Nacional de Contratación Pública – Colombia Compra Eficiente ha establecido en el documento tipo de consultoría de estudios de ingeniería de infraestructura de transporte los criterios rectores para exigir la experiencia en estos procedimientos de selección, lo cuales deben respetarse, en armonía con la regla de la inalterabilidad de los documentos tipo.</w:t>
      </w:r>
    </w:p>
    <w:p w14:paraId="1495A8AD" w14:textId="77777777" w:rsidR="003C4C74" w:rsidRPr="0083037E" w:rsidRDefault="003C4C74" w:rsidP="003C4C74">
      <w:pPr>
        <w:spacing w:line="276" w:lineRule="auto"/>
        <w:jc w:val="both"/>
        <w:rPr>
          <w:rFonts w:ascii="Arial" w:eastAsia="Calibri" w:hAnsi="Arial" w:cs="Arial"/>
          <w:color w:val="000000"/>
        </w:rPr>
      </w:pPr>
      <w:r w:rsidRPr="0083037E">
        <w:rPr>
          <w:rFonts w:ascii="Arial" w:eastAsia="Calibri" w:hAnsi="Arial" w:cs="Arial"/>
          <w:lang w:val="es-MX"/>
        </w:rPr>
        <w:tab/>
      </w:r>
    </w:p>
    <w:p w14:paraId="36A03954" w14:textId="77777777" w:rsidR="003C4C74" w:rsidRPr="0083037E" w:rsidRDefault="003C4C74" w:rsidP="003C4C74">
      <w:pPr>
        <w:spacing w:line="276" w:lineRule="auto"/>
        <w:jc w:val="both"/>
        <w:rPr>
          <w:rFonts w:ascii="Arial" w:eastAsia="Calibri" w:hAnsi="Arial" w:cs="Arial"/>
          <w:color w:val="000000"/>
        </w:rPr>
      </w:pPr>
    </w:p>
    <w:p w14:paraId="6D27D942" w14:textId="77777777" w:rsidR="003C4C74" w:rsidRPr="0083037E" w:rsidRDefault="003C4C74" w:rsidP="003C4C74">
      <w:pPr>
        <w:spacing w:line="276" w:lineRule="auto"/>
        <w:jc w:val="both"/>
        <w:rPr>
          <w:rFonts w:ascii="Arial" w:eastAsia="Calibri" w:hAnsi="Arial" w:cs="Arial"/>
          <w:color w:val="000000"/>
        </w:rPr>
      </w:pPr>
    </w:p>
    <w:p w14:paraId="5A2EBFE9" w14:textId="77777777" w:rsidR="003C4C74" w:rsidRPr="0083037E" w:rsidRDefault="003C4C74" w:rsidP="003C4C74">
      <w:pPr>
        <w:spacing w:line="276" w:lineRule="auto"/>
        <w:jc w:val="both"/>
        <w:rPr>
          <w:rFonts w:ascii="Arial" w:eastAsia="Calibri" w:hAnsi="Arial" w:cs="Arial"/>
          <w:color w:val="000000"/>
        </w:rPr>
      </w:pPr>
    </w:p>
    <w:p w14:paraId="6476BB28" w14:textId="77777777" w:rsidR="003C4C74" w:rsidRPr="0083037E" w:rsidRDefault="003C4C74" w:rsidP="003C4C74">
      <w:pPr>
        <w:spacing w:line="276" w:lineRule="auto"/>
        <w:jc w:val="both"/>
        <w:rPr>
          <w:rFonts w:ascii="Arial" w:eastAsia="Calibri" w:hAnsi="Arial" w:cs="Arial"/>
          <w:color w:val="000000"/>
        </w:rPr>
      </w:pPr>
    </w:p>
    <w:p w14:paraId="50110238" w14:textId="77777777" w:rsidR="003C4C74" w:rsidRPr="0083037E" w:rsidRDefault="003C4C74" w:rsidP="003C4C74">
      <w:pPr>
        <w:spacing w:line="276" w:lineRule="auto"/>
        <w:jc w:val="both"/>
        <w:rPr>
          <w:rFonts w:ascii="Arial" w:eastAsia="Calibri" w:hAnsi="Arial" w:cs="Arial"/>
          <w:color w:val="000000"/>
        </w:rPr>
      </w:pPr>
    </w:p>
    <w:p w14:paraId="04BF7EA3" w14:textId="77777777" w:rsidR="003C4C74" w:rsidRPr="0083037E" w:rsidRDefault="003C4C74" w:rsidP="003C4C74">
      <w:pPr>
        <w:spacing w:line="276" w:lineRule="auto"/>
        <w:jc w:val="both"/>
        <w:rPr>
          <w:rFonts w:ascii="Arial" w:eastAsia="Calibri" w:hAnsi="Arial" w:cs="Arial"/>
          <w:color w:val="000000"/>
        </w:rPr>
      </w:pPr>
    </w:p>
    <w:p w14:paraId="14935F32" w14:textId="77777777" w:rsidR="003C4C74" w:rsidRPr="0083037E" w:rsidRDefault="003C4C74" w:rsidP="003C4C74">
      <w:pPr>
        <w:spacing w:line="276" w:lineRule="auto"/>
        <w:jc w:val="both"/>
        <w:rPr>
          <w:rFonts w:ascii="Arial" w:eastAsia="Calibri" w:hAnsi="Arial" w:cs="Arial"/>
          <w:color w:val="000000"/>
        </w:rPr>
      </w:pPr>
    </w:p>
    <w:p w14:paraId="7D784074" w14:textId="77777777" w:rsidR="004A646F" w:rsidRPr="0083037E" w:rsidRDefault="004A646F" w:rsidP="004A646F">
      <w:pPr>
        <w:spacing w:line="276" w:lineRule="auto"/>
        <w:jc w:val="both"/>
        <w:rPr>
          <w:rFonts w:ascii="Arial" w:eastAsia="Calibri" w:hAnsi="Arial" w:cs="Arial"/>
          <w:color w:val="000000"/>
        </w:rPr>
      </w:pPr>
    </w:p>
    <w:p w14:paraId="70898398" w14:textId="531D4347" w:rsidR="00F64793" w:rsidRPr="0083037E" w:rsidRDefault="00F64793" w:rsidP="004A646F">
      <w:pPr>
        <w:spacing w:line="276" w:lineRule="auto"/>
        <w:jc w:val="both"/>
        <w:rPr>
          <w:rFonts w:ascii="Arial" w:hAnsi="Arial" w:cs="Arial"/>
          <w:color w:val="0D0D0D"/>
          <w:bdr w:val="none" w:sz="0" w:space="0" w:color="auto" w:frame="1"/>
          <w:lang w:eastAsia="es-CO"/>
        </w:rPr>
      </w:pPr>
      <w:r w:rsidRPr="0083037E">
        <w:rPr>
          <w:rFonts w:ascii="Arial" w:hAnsi="Arial" w:cs="Arial"/>
          <w:noProof/>
          <w:color w:val="000000" w:themeColor="text1"/>
          <w:lang w:val="es-ES_tradnl"/>
        </w:rPr>
        <w:t xml:space="preserve">Bogotá D.C., </w:t>
      </w:r>
      <w:r w:rsidR="00BD33FE">
        <w:rPr>
          <w:rFonts w:ascii="Arial" w:hAnsi="Arial" w:cs="Arial"/>
          <w:b/>
          <w:color w:val="000000" w:themeColor="text1"/>
          <w:lang w:val="es-ES_tradnl"/>
        </w:rPr>
        <w:t>22/02/2022 11:02:53</w:t>
      </w:r>
    </w:p>
    <w:p w14:paraId="668A4146" w14:textId="77777777" w:rsidR="00F64793" w:rsidRPr="0083037E" w:rsidRDefault="00F64793" w:rsidP="00F64793">
      <w:pPr>
        <w:spacing w:line="276" w:lineRule="auto"/>
        <w:jc w:val="both"/>
        <w:rPr>
          <w:rFonts w:ascii="Arial" w:eastAsia="Calibri" w:hAnsi="Arial" w:cs="Arial"/>
          <w:noProof/>
          <w:color w:val="000000" w:themeColor="text1"/>
          <w:lang w:val="es-ES_tradnl"/>
        </w:rPr>
      </w:pPr>
    </w:p>
    <w:p w14:paraId="38AE9985" w14:textId="5BFA701E" w:rsidR="00BD33FE" w:rsidRDefault="00BD33FE" w:rsidP="00BD33FE">
      <w:pPr>
        <w:jc w:val="right"/>
      </w:pPr>
      <w:r>
        <w:fldChar w:fldCharType="begin"/>
      </w:r>
      <w:r>
        <w:instrText xml:space="preserve"> INCLUDEPICTURE "/var/folders/z2/mpmwzz0s3w31yr1_fh2qtrr80000gn/T/com.microsoft.Word/WebArchiveCopyPasteTempFiles/page1image37146896" \* MERGEFORMATINET </w:instrText>
      </w:r>
      <w:r>
        <w:fldChar w:fldCharType="separate"/>
      </w:r>
      <w:r>
        <w:rPr>
          <w:noProof/>
        </w:rPr>
        <w:drawing>
          <wp:inline distT="0" distB="0" distL="0" distR="0" wp14:anchorId="4DD9D433" wp14:editId="68248475">
            <wp:extent cx="2402205" cy="612140"/>
            <wp:effectExtent l="0" t="0" r="0" b="0"/>
            <wp:docPr id="1" name="Imagen 1" descr="page1image3714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1468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205" cy="612140"/>
                    </a:xfrm>
                    <a:prstGeom prst="rect">
                      <a:avLst/>
                    </a:prstGeom>
                    <a:noFill/>
                    <a:ln>
                      <a:noFill/>
                    </a:ln>
                  </pic:spPr>
                </pic:pic>
              </a:graphicData>
            </a:graphic>
          </wp:inline>
        </w:drawing>
      </w:r>
      <w:r>
        <w:fldChar w:fldCharType="end"/>
      </w:r>
    </w:p>
    <w:p w14:paraId="3DADFBA4" w14:textId="77777777" w:rsidR="0019670B" w:rsidRPr="0083037E" w:rsidRDefault="0019670B" w:rsidP="00932CDB">
      <w:pPr>
        <w:rPr>
          <w:rFonts w:ascii="Arial" w:eastAsia="Calibri" w:hAnsi="Arial" w:cs="Arial"/>
          <w:lang w:val="es-MX"/>
        </w:rPr>
      </w:pPr>
    </w:p>
    <w:p w14:paraId="5D13E289" w14:textId="7D884EDB" w:rsidR="00932CDB" w:rsidRPr="0083037E" w:rsidRDefault="00B749D1" w:rsidP="00932CDB">
      <w:pPr>
        <w:rPr>
          <w:rFonts w:ascii="Arial" w:eastAsia="Calibri" w:hAnsi="Arial" w:cs="Arial"/>
          <w:bCs/>
          <w:lang w:val="es-ES"/>
        </w:rPr>
      </w:pPr>
      <w:r w:rsidRPr="0083037E">
        <w:rPr>
          <w:rFonts w:ascii="Arial" w:eastAsia="Calibri" w:hAnsi="Arial" w:cs="Arial"/>
          <w:lang w:val="es-MX"/>
        </w:rPr>
        <w:t>Señor</w:t>
      </w:r>
    </w:p>
    <w:p w14:paraId="5432362D" w14:textId="01F53B4C" w:rsidR="00B749D1" w:rsidRPr="0083037E" w:rsidRDefault="00B87144" w:rsidP="00932CDB">
      <w:pPr>
        <w:rPr>
          <w:rFonts w:ascii="Arial" w:eastAsia="Calibri" w:hAnsi="Arial" w:cs="Arial"/>
          <w:b/>
          <w:bCs/>
          <w:lang w:val="es-ES"/>
        </w:rPr>
      </w:pPr>
      <w:r w:rsidRPr="0083037E">
        <w:rPr>
          <w:rFonts w:ascii="Arial" w:hAnsi="Arial" w:cs="Arial"/>
          <w:b/>
          <w:bCs/>
        </w:rPr>
        <w:t>Ciudadano anónimo</w:t>
      </w:r>
    </w:p>
    <w:p w14:paraId="5229344E" w14:textId="4F91A1A5" w:rsidR="00B749D1" w:rsidRPr="0083037E" w:rsidRDefault="00484CFD" w:rsidP="00B749D1">
      <w:pPr>
        <w:rPr>
          <w:rFonts w:ascii="Arial" w:eastAsia="Calibri" w:hAnsi="Arial" w:cs="Arial"/>
          <w:b/>
          <w:lang w:val="es-ES"/>
        </w:rPr>
      </w:pPr>
      <w:r w:rsidRPr="0083037E">
        <w:rPr>
          <w:rFonts w:ascii="Arial" w:eastAsia="Calibri" w:hAnsi="Arial" w:cs="Arial"/>
          <w:bCs/>
          <w:lang w:val="es-ES"/>
        </w:rPr>
        <w:t>Ciudad</w:t>
      </w:r>
    </w:p>
    <w:p w14:paraId="51E6256A" w14:textId="77777777" w:rsidR="00B749D1" w:rsidRPr="0083037E" w:rsidRDefault="00B749D1" w:rsidP="00B749D1">
      <w:pPr>
        <w:rPr>
          <w:rFonts w:ascii="Arial" w:eastAsia="Calibri" w:hAnsi="Arial" w:cs="Arial"/>
          <w:lang w:val="es-MX"/>
        </w:rPr>
      </w:pPr>
    </w:p>
    <w:p w14:paraId="05363F2F" w14:textId="16305E69" w:rsidR="00B749D1" w:rsidRPr="0083037E" w:rsidRDefault="00B749D1" w:rsidP="00B749D1">
      <w:pPr>
        <w:ind w:left="2124" w:firstLine="570"/>
        <w:rPr>
          <w:rFonts w:ascii="Arial" w:eastAsia="Calibri" w:hAnsi="Arial" w:cs="Arial"/>
          <w:b/>
          <w:lang w:val="es-MX"/>
        </w:rPr>
      </w:pPr>
      <w:r w:rsidRPr="0083037E">
        <w:rPr>
          <w:rFonts w:ascii="Arial" w:eastAsia="Calibri" w:hAnsi="Arial" w:cs="Arial"/>
          <w:b/>
          <w:lang w:val="es-MX"/>
        </w:rPr>
        <w:t>Concepto C</w:t>
      </w:r>
      <w:r w:rsidR="005E0AA3" w:rsidRPr="0083037E">
        <w:rPr>
          <w:rFonts w:ascii="Arial" w:eastAsia="Calibri" w:hAnsi="Arial" w:cs="Arial"/>
          <w:b/>
          <w:lang w:val="es-MX"/>
        </w:rPr>
        <w:t xml:space="preserve"> </w:t>
      </w:r>
      <w:r w:rsidRPr="0083037E">
        <w:rPr>
          <w:rFonts w:ascii="Arial" w:eastAsia="Calibri" w:hAnsi="Arial" w:cs="Arial"/>
          <w:b/>
          <w:lang w:val="es-MX"/>
        </w:rPr>
        <w:t>–</w:t>
      </w:r>
      <w:r w:rsidR="005E0AA3" w:rsidRPr="0083037E">
        <w:rPr>
          <w:rFonts w:ascii="Arial" w:eastAsia="Calibri" w:hAnsi="Arial" w:cs="Arial"/>
          <w:b/>
          <w:lang w:val="es-MX"/>
        </w:rPr>
        <w:t xml:space="preserve"> </w:t>
      </w:r>
      <w:r w:rsidR="00794BF2" w:rsidRPr="0083037E">
        <w:rPr>
          <w:rFonts w:ascii="Arial" w:eastAsia="Calibri" w:hAnsi="Arial" w:cs="Arial"/>
          <w:b/>
          <w:lang w:val="es-MX"/>
        </w:rPr>
        <w:t>025</w:t>
      </w:r>
      <w:r w:rsidRPr="0083037E">
        <w:rPr>
          <w:rFonts w:ascii="Arial" w:eastAsia="Calibri" w:hAnsi="Arial" w:cs="Arial"/>
          <w:b/>
          <w:lang w:val="es-MX"/>
        </w:rPr>
        <w:t xml:space="preserve"> de 202</w:t>
      </w:r>
      <w:r w:rsidR="00794BF2" w:rsidRPr="0083037E">
        <w:rPr>
          <w:rFonts w:ascii="Arial" w:eastAsia="Calibri" w:hAnsi="Arial" w:cs="Arial"/>
          <w:b/>
          <w:lang w:val="es-MX"/>
        </w:rPr>
        <w:t>2</w:t>
      </w:r>
    </w:p>
    <w:p w14:paraId="1B56FF4F" w14:textId="77777777" w:rsidR="00B922E8" w:rsidRPr="0083037E" w:rsidRDefault="00B922E8" w:rsidP="00B749D1">
      <w:pPr>
        <w:rPr>
          <w:rFonts w:ascii="Arial" w:eastAsia="Calibri" w:hAnsi="Arial" w:cs="Arial"/>
          <w:lang w:val="es-MX"/>
        </w:rPr>
      </w:pPr>
    </w:p>
    <w:tbl>
      <w:tblPr>
        <w:tblStyle w:val="Tablaconcuadrcula2"/>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B749D1" w:rsidRPr="0083037E" w14:paraId="1CAF0548" w14:textId="77777777" w:rsidTr="00932CDB">
        <w:trPr>
          <w:trHeight w:val="866"/>
        </w:trPr>
        <w:tc>
          <w:tcPr>
            <w:tcW w:w="2689" w:type="dxa"/>
            <w:hideMark/>
          </w:tcPr>
          <w:p w14:paraId="60F73698" w14:textId="77777777" w:rsidR="00B749D1" w:rsidRPr="0083037E" w:rsidRDefault="00B749D1" w:rsidP="00B749D1">
            <w:pPr>
              <w:rPr>
                <w:rFonts w:ascii="Arial" w:eastAsia="Calibri" w:hAnsi="Arial" w:cs="Arial"/>
                <w:lang w:val="es-MX"/>
              </w:rPr>
            </w:pPr>
            <w:r w:rsidRPr="0083037E">
              <w:rPr>
                <w:rFonts w:ascii="Arial" w:eastAsia="Calibri" w:hAnsi="Arial" w:cs="Arial"/>
                <w:b/>
                <w:lang w:val="es-MX"/>
              </w:rPr>
              <w:t>Temas:</w:t>
            </w:r>
            <w:r w:rsidRPr="0083037E">
              <w:rPr>
                <w:rFonts w:ascii="Arial" w:eastAsia="Calibri" w:hAnsi="Arial" w:cs="Arial"/>
                <w:lang w:val="es-MX"/>
              </w:rPr>
              <w:t xml:space="preserve">  </w:t>
            </w:r>
          </w:p>
          <w:p w14:paraId="06F65D2F" w14:textId="77777777" w:rsidR="00B749D1" w:rsidRPr="0083037E" w:rsidRDefault="00B749D1" w:rsidP="00B749D1">
            <w:pPr>
              <w:rPr>
                <w:rFonts w:ascii="Arial" w:eastAsia="Calibri" w:hAnsi="Arial" w:cs="Arial"/>
                <w:lang w:val="es-MX"/>
              </w:rPr>
            </w:pPr>
            <w:r w:rsidRPr="0083037E">
              <w:rPr>
                <w:rFonts w:ascii="Arial" w:eastAsia="Calibri" w:hAnsi="Arial" w:cs="Arial"/>
                <w:lang w:val="es-MX"/>
              </w:rPr>
              <w:t xml:space="preserve"> </w:t>
            </w:r>
          </w:p>
        </w:tc>
        <w:tc>
          <w:tcPr>
            <w:tcW w:w="6237" w:type="dxa"/>
            <w:hideMark/>
          </w:tcPr>
          <w:p w14:paraId="6BE3AE10" w14:textId="3F8669D9" w:rsidR="003C4C74" w:rsidRPr="0083037E" w:rsidRDefault="003C4C74" w:rsidP="00C746C4">
            <w:pPr>
              <w:shd w:val="clear" w:color="auto" w:fill="FFFFFF"/>
              <w:spacing w:after="120"/>
              <w:jc w:val="both"/>
              <w:rPr>
                <w:rFonts w:ascii="Arial" w:eastAsia="Calibri" w:hAnsi="Arial" w:cs="Arial"/>
                <w:bCs/>
                <w:color w:val="000000"/>
              </w:rPr>
            </w:pPr>
            <w:r w:rsidRPr="0083037E">
              <w:rPr>
                <w:rFonts w:ascii="Arial" w:eastAsia="Calibri" w:hAnsi="Arial" w:cs="Arial"/>
                <w:bCs/>
                <w:lang w:val="es-ES_tradnl"/>
              </w:rPr>
              <w:t xml:space="preserve">DOCUMENTOS TIPO </w:t>
            </w:r>
            <w:r w:rsidRPr="0083037E">
              <w:rPr>
                <w:rFonts w:ascii="Arial" w:eastAsia="Calibri" w:hAnsi="Arial" w:cs="Arial"/>
                <w:bCs/>
                <w:color w:val="000000"/>
                <w:lang w:val="es-ES_tradnl"/>
              </w:rPr>
              <w:t>–</w:t>
            </w:r>
            <w:r w:rsidRPr="0083037E">
              <w:rPr>
                <w:rFonts w:ascii="Arial" w:eastAsia="Calibri" w:hAnsi="Arial" w:cs="Arial"/>
                <w:bCs/>
                <w:lang w:val="es-ES_tradnl"/>
              </w:rPr>
              <w:t xml:space="preserve"> Fundamento normativo </w:t>
            </w:r>
            <w:r w:rsidRPr="0083037E">
              <w:rPr>
                <w:rFonts w:ascii="Arial" w:eastAsia="Calibri" w:hAnsi="Arial" w:cs="Arial"/>
                <w:bCs/>
                <w:color w:val="000000"/>
                <w:lang w:val="es-ES_tradnl"/>
              </w:rPr>
              <w:t xml:space="preserve">– </w:t>
            </w:r>
            <w:r w:rsidRPr="0083037E">
              <w:rPr>
                <w:rFonts w:ascii="Arial" w:eastAsia="Calibri" w:hAnsi="Arial" w:cs="Arial"/>
                <w:bCs/>
                <w:lang w:val="es-ES_tradnl"/>
              </w:rPr>
              <w:t xml:space="preserve">Ley 2022 de 2020 / </w:t>
            </w:r>
            <w:r w:rsidRPr="0083037E">
              <w:rPr>
                <w:rFonts w:ascii="Arial" w:eastAsia="Calibri" w:hAnsi="Arial" w:cs="Arial"/>
                <w:bCs/>
                <w:lang w:val="es-ES_tradnl" w:eastAsia="es-ES"/>
              </w:rPr>
              <w:t xml:space="preserve">DOCUMENTOS TIPO </w:t>
            </w:r>
            <w:r w:rsidRPr="0083037E">
              <w:rPr>
                <w:rFonts w:ascii="Arial" w:eastAsia="Calibri" w:hAnsi="Arial" w:cs="Arial"/>
                <w:bCs/>
                <w:lang w:val="x-none" w:eastAsia="es-ES"/>
              </w:rPr>
              <w:t>–</w:t>
            </w:r>
            <w:r w:rsidRPr="0083037E">
              <w:rPr>
                <w:rFonts w:ascii="Arial" w:eastAsia="Calibri" w:hAnsi="Arial" w:cs="Arial"/>
                <w:bCs/>
                <w:lang w:val="es-ES_tradnl" w:eastAsia="es-ES"/>
              </w:rPr>
              <w:t xml:space="preserve"> Inalterabilidad / </w:t>
            </w:r>
            <w:r w:rsidRPr="0083037E">
              <w:rPr>
                <w:rFonts w:ascii="Arial" w:eastAsia="Calibri" w:hAnsi="Arial" w:cs="Arial"/>
                <w:bCs/>
                <w:color w:val="000000"/>
              </w:rPr>
              <w:t>DOCUMENTOS TIPO − Matriz 1 – Experiencia – Aplicación</w:t>
            </w:r>
            <w:r w:rsidR="004A646F" w:rsidRPr="0083037E">
              <w:rPr>
                <w:rFonts w:ascii="Arial" w:eastAsia="Calibri" w:hAnsi="Arial" w:cs="Arial"/>
                <w:bCs/>
                <w:color w:val="000000"/>
              </w:rPr>
              <w:t xml:space="preserve"> / MATRIZ 1 – Experiencia – Tipos de consultoría – Criterios de definición</w:t>
            </w:r>
          </w:p>
          <w:p w14:paraId="1B7D6AB3" w14:textId="77777777" w:rsidR="00B749D1" w:rsidRPr="0083037E" w:rsidRDefault="00B749D1" w:rsidP="003C4C74">
            <w:pPr>
              <w:jc w:val="both"/>
              <w:rPr>
                <w:rFonts w:ascii="Arial" w:eastAsia="Calibri" w:hAnsi="Arial" w:cs="Arial"/>
                <w:lang w:val="es-ES_tradnl" w:eastAsia="es-ES"/>
              </w:rPr>
            </w:pPr>
          </w:p>
        </w:tc>
        <w:tc>
          <w:tcPr>
            <w:tcW w:w="6237" w:type="dxa"/>
          </w:tcPr>
          <w:p w14:paraId="35732068" w14:textId="77777777" w:rsidR="00B749D1" w:rsidRPr="0083037E" w:rsidRDefault="00B749D1" w:rsidP="00B749D1">
            <w:pPr>
              <w:spacing w:after="120" w:line="276" w:lineRule="auto"/>
              <w:jc w:val="both"/>
              <w:rPr>
                <w:rFonts w:ascii="Arial" w:eastAsia="Calibri" w:hAnsi="Arial" w:cs="Arial"/>
                <w:lang w:val="es-MX" w:eastAsia="es-ES"/>
              </w:rPr>
            </w:pPr>
          </w:p>
        </w:tc>
      </w:tr>
      <w:tr w:rsidR="00B749D1" w:rsidRPr="0083037E" w14:paraId="161D72BB" w14:textId="77777777" w:rsidTr="00274E27">
        <w:tc>
          <w:tcPr>
            <w:tcW w:w="2689" w:type="dxa"/>
          </w:tcPr>
          <w:p w14:paraId="6A7C1ECD" w14:textId="77777777" w:rsidR="00B749D1" w:rsidRPr="0083037E" w:rsidRDefault="00B749D1" w:rsidP="00B749D1">
            <w:pPr>
              <w:rPr>
                <w:rFonts w:ascii="Arial" w:eastAsia="Calibri" w:hAnsi="Arial" w:cs="Arial"/>
                <w:b/>
                <w:lang w:val="es-MX"/>
              </w:rPr>
            </w:pPr>
            <w:r w:rsidRPr="0083037E">
              <w:rPr>
                <w:rFonts w:ascii="Arial" w:eastAsia="Calibri" w:hAnsi="Arial" w:cs="Arial"/>
                <w:b/>
                <w:lang w:val="es-MX"/>
              </w:rPr>
              <w:t>Radicación:</w:t>
            </w:r>
            <w:r w:rsidRPr="0083037E">
              <w:rPr>
                <w:rFonts w:ascii="Arial" w:eastAsia="Calibri" w:hAnsi="Arial" w:cs="Arial"/>
                <w:lang w:val="es-MX"/>
              </w:rPr>
              <w:t xml:space="preserve"> </w:t>
            </w:r>
          </w:p>
        </w:tc>
        <w:tc>
          <w:tcPr>
            <w:tcW w:w="6237" w:type="dxa"/>
          </w:tcPr>
          <w:p w14:paraId="1334FB0D" w14:textId="10D44ADB" w:rsidR="00B749D1" w:rsidRPr="0083037E" w:rsidRDefault="00B749D1" w:rsidP="00B749D1">
            <w:pPr>
              <w:jc w:val="both"/>
              <w:rPr>
                <w:rFonts w:ascii="Arial" w:eastAsia="Calibri" w:hAnsi="Arial" w:cs="Arial"/>
                <w:lang w:val="es-MX"/>
              </w:rPr>
            </w:pPr>
            <w:r w:rsidRPr="0083037E">
              <w:rPr>
                <w:rFonts w:ascii="Arial" w:eastAsia="Calibri" w:hAnsi="Arial" w:cs="Arial"/>
                <w:lang w:val="es-MX"/>
              </w:rPr>
              <w:t>Respuesta a consulta</w:t>
            </w:r>
            <w:r w:rsidR="00773AA9" w:rsidRPr="0083037E">
              <w:rPr>
                <w:rFonts w:ascii="Arial" w:eastAsia="Calibri" w:hAnsi="Arial" w:cs="Arial"/>
                <w:lang w:val="es-MX"/>
              </w:rPr>
              <w:t xml:space="preserve"> #</w:t>
            </w:r>
            <w:r w:rsidRPr="0083037E">
              <w:rPr>
                <w:rFonts w:ascii="Arial" w:eastAsia="Calibri" w:hAnsi="Arial" w:cs="Arial"/>
                <w:lang w:val="es-MX"/>
              </w:rPr>
              <w:t xml:space="preserve"> </w:t>
            </w:r>
            <w:r w:rsidR="00D96383" w:rsidRPr="0083037E">
              <w:rPr>
                <w:rFonts w:ascii="Arial" w:eastAsia="Calibri" w:hAnsi="Arial" w:cs="Arial"/>
                <w:lang w:val="es-MX"/>
              </w:rPr>
              <w:t>P20220111000140</w:t>
            </w:r>
          </w:p>
        </w:tc>
        <w:tc>
          <w:tcPr>
            <w:tcW w:w="6237" w:type="dxa"/>
          </w:tcPr>
          <w:p w14:paraId="728FEA53" w14:textId="77777777" w:rsidR="00B749D1" w:rsidRPr="0083037E" w:rsidRDefault="00B749D1" w:rsidP="00B749D1">
            <w:pPr>
              <w:jc w:val="both"/>
              <w:rPr>
                <w:rFonts w:ascii="Arial" w:eastAsia="Calibri" w:hAnsi="Arial" w:cs="Arial"/>
                <w:lang w:val="es-MX"/>
              </w:rPr>
            </w:pPr>
          </w:p>
        </w:tc>
      </w:tr>
    </w:tbl>
    <w:p w14:paraId="5B962064" w14:textId="33BA4D75" w:rsidR="00B749D1" w:rsidRPr="0083037E" w:rsidRDefault="00B749D1" w:rsidP="00B749D1">
      <w:pPr>
        <w:spacing w:line="276" w:lineRule="auto"/>
        <w:rPr>
          <w:rFonts w:ascii="Arial" w:eastAsia="Calibri" w:hAnsi="Arial" w:cs="Arial"/>
          <w:lang w:val="es-MX"/>
        </w:rPr>
      </w:pPr>
    </w:p>
    <w:p w14:paraId="0D3A51FB" w14:textId="77777777" w:rsidR="0046135C" w:rsidRPr="0083037E" w:rsidRDefault="0046135C" w:rsidP="00B749D1">
      <w:pPr>
        <w:spacing w:line="276" w:lineRule="auto"/>
        <w:rPr>
          <w:rFonts w:ascii="Arial" w:eastAsia="Calibri" w:hAnsi="Arial" w:cs="Arial"/>
          <w:lang w:val="es-MX"/>
        </w:rPr>
      </w:pPr>
    </w:p>
    <w:p w14:paraId="296593D7" w14:textId="34BA7F8B" w:rsidR="00B749D1" w:rsidRPr="0083037E" w:rsidRDefault="00B749D1" w:rsidP="00B749D1">
      <w:pPr>
        <w:spacing w:line="276" w:lineRule="auto"/>
        <w:rPr>
          <w:rFonts w:ascii="Arial" w:eastAsia="Calibri" w:hAnsi="Arial" w:cs="Arial"/>
          <w:lang w:val="es-MX"/>
        </w:rPr>
      </w:pPr>
      <w:r w:rsidRPr="0083037E">
        <w:rPr>
          <w:rFonts w:ascii="Arial" w:eastAsia="Calibri" w:hAnsi="Arial" w:cs="Arial"/>
          <w:lang w:val="es-MX"/>
        </w:rPr>
        <w:t>Estimad</w:t>
      </w:r>
      <w:r w:rsidR="00F22695" w:rsidRPr="0083037E">
        <w:rPr>
          <w:rFonts w:ascii="Arial" w:eastAsia="Calibri" w:hAnsi="Arial" w:cs="Arial"/>
          <w:lang w:val="es-MX"/>
        </w:rPr>
        <w:t>o ciudadano</w:t>
      </w:r>
      <w:r w:rsidR="00932CDB" w:rsidRPr="0083037E">
        <w:rPr>
          <w:rFonts w:ascii="Arial" w:eastAsia="Calibri" w:hAnsi="Arial" w:cs="Arial"/>
          <w:lang w:val="es-ES"/>
        </w:rPr>
        <w:t>:</w:t>
      </w:r>
    </w:p>
    <w:p w14:paraId="38E56E15" w14:textId="77777777" w:rsidR="00B749D1" w:rsidRPr="0083037E" w:rsidRDefault="00B749D1" w:rsidP="00B749D1">
      <w:pPr>
        <w:spacing w:line="276" w:lineRule="auto"/>
        <w:rPr>
          <w:rFonts w:ascii="Arial" w:eastAsia="Calibri" w:hAnsi="Arial" w:cs="Arial"/>
          <w:lang w:val="es-MX"/>
        </w:rPr>
      </w:pPr>
    </w:p>
    <w:p w14:paraId="54BCE056" w14:textId="4E3F9F5C" w:rsidR="00B749D1" w:rsidRPr="0083037E" w:rsidRDefault="00B749D1" w:rsidP="00932CDB">
      <w:pPr>
        <w:spacing w:line="276" w:lineRule="auto"/>
        <w:jc w:val="both"/>
        <w:rPr>
          <w:rFonts w:ascii="Arial" w:eastAsia="Calibri" w:hAnsi="Arial" w:cs="Arial"/>
          <w:lang w:val="es-MX"/>
        </w:rPr>
      </w:pPr>
      <w:r w:rsidRPr="0083037E">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la consulta del </w:t>
      </w:r>
      <w:r w:rsidR="00A34C8F" w:rsidRPr="0083037E">
        <w:rPr>
          <w:rFonts w:ascii="Arial" w:eastAsia="Calibri" w:hAnsi="Arial" w:cs="Arial"/>
          <w:lang w:val="es-MX"/>
        </w:rPr>
        <w:t>11</w:t>
      </w:r>
      <w:r w:rsidRPr="0083037E">
        <w:rPr>
          <w:rFonts w:ascii="Arial" w:eastAsia="Calibri" w:hAnsi="Arial" w:cs="Arial"/>
          <w:lang w:val="es-MX"/>
        </w:rPr>
        <w:t xml:space="preserve"> de </w:t>
      </w:r>
      <w:r w:rsidR="00A34C8F" w:rsidRPr="0083037E">
        <w:rPr>
          <w:rFonts w:ascii="Arial" w:eastAsia="Calibri" w:hAnsi="Arial" w:cs="Arial"/>
          <w:lang w:val="es-MX"/>
        </w:rPr>
        <w:t>enero</w:t>
      </w:r>
      <w:r w:rsidRPr="0083037E">
        <w:rPr>
          <w:rFonts w:ascii="Arial" w:eastAsia="Calibri" w:hAnsi="Arial" w:cs="Arial"/>
          <w:lang w:val="es-MX"/>
        </w:rPr>
        <w:t xml:space="preserve"> de 202</w:t>
      </w:r>
      <w:r w:rsidR="00A34C8F" w:rsidRPr="0083037E">
        <w:rPr>
          <w:rFonts w:ascii="Arial" w:eastAsia="Calibri" w:hAnsi="Arial" w:cs="Arial"/>
          <w:lang w:val="es-MX"/>
        </w:rPr>
        <w:t>2</w:t>
      </w:r>
      <w:r w:rsidRPr="0083037E">
        <w:rPr>
          <w:rFonts w:ascii="Arial" w:eastAsia="Calibri" w:hAnsi="Arial" w:cs="Arial"/>
          <w:lang w:val="es-MX"/>
        </w:rPr>
        <w:t>.</w:t>
      </w:r>
    </w:p>
    <w:p w14:paraId="6CF732BC" w14:textId="77777777" w:rsidR="00B749D1" w:rsidRPr="0083037E" w:rsidRDefault="00B749D1" w:rsidP="00932CDB">
      <w:pPr>
        <w:spacing w:line="276" w:lineRule="auto"/>
        <w:jc w:val="both"/>
        <w:rPr>
          <w:rFonts w:ascii="Arial" w:eastAsia="Calibri" w:hAnsi="Arial" w:cs="Arial"/>
          <w:lang w:val="es-MX"/>
        </w:rPr>
      </w:pPr>
    </w:p>
    <w:p w14:paraId="62623AEC" w14:textId="77777777" w:rsidR="00B749D1" w:rsidRPr="0083037E" w:rsidRDefault="00B749D1" w:rsidP="00932CDB">
      <w:pPr>
        <w:tabs>
          <w:tab w:val="left" w:pos="284"/>
        </w:tabs>
        <w:spacing w:line="276" w:lineRule="auto"/>
        <w:contextualSpacing/>
        <w:jc w:val="both"/>
        <w:rPr>
          <w:rFonts w:ascii="Arial" w:eastAsia="Calibri" w:hAnsi="Arial" w:cs="Arial"/>
          <w:b/>
          <w:lang w:val="es-MX"/>
        </w:rPr>
      </w:pPr>
      <w:r w:rsidRPr="0083037E">
        <w:rPr>
          <w:rFonts w:ascii="Arial" w:eastAsia="Calibri" w:hAnsi="Arial" w:cs="Arial"/>
          <w:b/>
          <w:lang w:val="es-MX"/>
        </w:rPr>
        <w:t>1. Problema planteado</w:t>
      </w:r>
    </w:p>
    <w:p w14:paraId="0B5E2F18" w14:textId="77777777" w:rsidR="00932CDB" w:rsidRPr="0083037E" w:rsidRDefault="00932CDB" w:rsidP="00932CDB">
      <w:pPr>
        <w:spacing w:line="276" w:lineRule="auto"/>
        <w:ind w:right="709"/>
        <w:rPr>
          <w:rFonts w:ascii="Arial" w:hAnsi="Arial" w:cs="Arial"/>
        </w:rPr>
      </w:pPr>
    </w:p>
    <w:p w14:paraId="04669327" w14:textId="521163EE" w:rsidR="00932CDB" w:rsidRPr="0083037E" w:rsidRDefault="00932CDB" w:rsidP="00932CDB">
      <w:pPr>
        <w:spacing w:line="276" w:lineRule="auto"/>
        <w:jc w:val="both"/>
        <w:rPr>
          <w:rFonts w:ascii="Arial" w:hAnsi="Arial" w:cs="Arial"/>
        </w:rPr>
      </w:pPr>
      <w:r w:rsidRPr="0083037E">
        <w:rPr>
          <w:rFonts w:ascii="Arial" w:hAnsi="Arial" w:cs="Arial"/>
        </w:rPr>
        <w:t>Usted realiza la siguiente pregunta:</w:t>
      </w:r>
    </w:p>
    <w:p w14:paraId="0033716A" w14:textId="50929BB7" w:rsidR="00335DFF" w:rsidRPr="0083037E" w:rsidRDefault="00335DFF" w:rsidP="00932CDB">
      <w:pPr>
        <w:spacing w:line="276" w:lineRule="auto"/>
        <w:jc w:val="both"/>
        <w:rPr>
          <w:rFonts w:ascii="Arial" w:hAnsi="Arial" w:cs="Arial"/>
        </w:rPr>
      </w:pPr>
    </w:p>
    <w:p w14:paraId="236C9BC4" w14:textId="1DD5CF83" w:rsidR="00335DFF" w:rsidRPr="0083037E" w:rsidRDefault="0081507E" w:rsidP="0081507E">
      <w:pPr>
        <w:ind w:left="709" w:right="709"/>
        <w:jc w:val="both"/>
        <w:rPr>
          <w:rFonts w:ascii="Arial" w:eastAsia="Calibri" w:hAnsi="Arial" w:cs="Arial"/>
          <w:bCs/>
          <w:sz w:val="21"/>
          <w:szCs w:val="21"/>
        </w:rPr>
      </w:pPr>
      <w:r w:rsidRPr="0083037E">
        <w:rPr>
          <w:rFonts w:ascii="Arial" w:eastAsia="Calibri" w:hAnsi="Arial" w:cs="Arial"/>
          <w:bCs/>
          <w:sz w:val="21"/>
          <w:szCs w:val="21"/>
        </w:rPr>
        <w:t>«</w:t>
      </w:r>
      <w:r w:rsidR="00335DFF" w:rsidRPr="0083037E">
        <w:rPr>
          <w:rFonts w:ascii="Arial" w:eastAsia="Calibri" w:hAnsi="Arial" w:cs="Arial"/>
          <w:bCs/>
          <w:sz w:val="21"/>
          <w:szCs w:val="21"/>
        </w:rPr>
        <w:t xml:space="preserve">De acuerdo a los Documentos Tipo de </w:t>
      </w:r>
      <w:r w:rsidRPr="0083037E">
        <w:rPr>
          <w:rFonts w:ascii="Arial" w:eastAsia="Calibri" w:hAnsi="Arial" w:cs="Arial"/>
          <w:bCs/>
          <w:sz w:val="21"/>
          <w:szCs w:val="21"/>
        </w:rPr>
        <w:t>Consultoría</w:t>
      </w:r>
      <w:r w:rsidR="00335DFF" w:rsidRPr="0083037E">
        <w:rPr>
          <w:rFonts w:ascii="Arial" w:eastAsia="Calibri" w:hAnsi="Arial" w:cs="Arial"/>
          <w:bCs/>
          <w:sz w:val="21"/>
          <w:szCs w:val="21"/>
        </w:rPr>
        <w:t xml:space="preserve"> de Estudios de </w:t>
      </w:r>
      <w:r w:rsidRPr="0083037E">
        <w:rPr>
          <w:rFonts w:ascii="Arial" w:eastAsia="Calibri" w:hAnsi="Arial" w:cs="Arial"/>
          <w:bCs/>
          <w:sz w:val="21"/>
          <w:szCs w:val="21"/>
        </w:rPr>
        <w:t>Ingeniería</w:t>
      </w:r>
      <w:r w:rsidR="00335DFF" w:rsidRPr="0083037E">
        <w:rPr>
          <w:rFonts w:ascii="Arial" w:eastAsia="Calibri" w:hAnsi="Arial" w:cs="Arial"/>
          <w:bCs/>
          <w:sz w:val="21"/>
          <w:szCs w:val="21"/>
        </w:rPr>
        <w:t xml:space="preserve"> de Infraestructura de Trasporte, </w:t>
      </w:r>
      <w:r w:rsidRPr="0083037E">
        <w:rPr>
          <w:rFonts w:ascii="Arial" w:eastAsia="Calibri" w:hAnsi="Arial" w:cs="Arial"/>
          <w:bCs/>
          <w:sz w:val="21"/>
          <w:szCs w:val="21"/>
        </w:rPr>
        <w:t>específicamente</w:t>
      </w:r>
      <w:r w:rsidR="00335DFF" w:rsidRPr="0083037E">
        <w:rPr>
          <w:rFonts w:ascii="Arial" w:eastAsia="Calibri" w:hAnsi="Arial" w:cs="Arial"/>
          <w:bCs/>
          <w:sz w:val="21"/>
          <w:szCs w:val="21"/>
        </w:rPr>
        <w:t xml:space="preserve"> sobre la matriz de experiencia, solicitamos por favor aclarar con que criterios las Entidades solicitan la experiencia general y especifica de cada uno de los procesos que publican de acuerdo a la matriz de experiencia. igualmente si existe alguna directriz de Colombia Compra Eficiente para que las entidades soliciten una experiencia determinada</w:t>
      </w:r>
      <w:r w:rsidRPr="0083037E">
        <w:rPr>
          <w:rFonts w:ascii="Arial" w:eastAsia="Calibri" w:hAnsi="Arial" w:cs="Arial"/>
          <w:bCs/>
          <w:sz w:val="21"/>
          <w:szCs w:val="21"/>
        </w:rPr>
        <w:t>»</w:t>
      </w:r>
      <w:r w:rsidR="00905858" w:rsidRPr="0083037E">
        <w:rPr>
          <w:rFonts w:ascii="Arial" w:eastAsia="Calibri" w:hAnsi="Arial" w:cs="Arial"/>
          <w:bCs/>
          <w:sz w:val="21"/>
          <w:szCs w:val="21"/>
        </w:rPr>
        <w:t xml:space="preserve"> (sic)</w:t>
      </w:r>
      <w:r w:rsidR="00335DFF" w:rsidRPr="0083037E">
        <w:rPr>
          <w:rFonts w:ascii="Arial" w:eastAsia="Calibri" w:hAnsi="Arial" w:cs="Arial"/>
          <w:bCs/>
          <w:sz w:val="21"/>
          <w:szCs w:val="21"/>
        </w:rPr>
        <w:t>.</w:t>
      </w:r>
    </w:p>
    <w:p w14:paraId="45198716" w14:textId="77777777" w:rsidR="00B749D1" w:rsidRPr="0083037E" w:rsidRDefault="00B749D1" w:rsidP="00932CDB">
      <w:pPr>
        <w:tabs>
          <w:tab w:val="left" w:pos="426"/>
        </w:tabs>
        <w:spacing w:line="276" w:lineRule="auto"/>
        <w:ind w:left="1069" w:right="709"/>
        <w:contextualSpacing/>
        <w:rPr>
          <w:rFonts w:ascii="Arial" w:eastAsia="Calibri" w:hAnsi="Arial" w:cs="Arial"/>
          <w:sz w:val="21"/>
          <w:szCs w:val="21"/>
        </w:rPr>
      </w:pPr>
    </w:p>
    <w:p w14:paraId="7F602537" w14:textId="25C8DFE5" w:rsidR="00B749D1" w:rsidRPr="0083037E" w:rsidRDefault="00B749D1" w:rsidP="00932CDB">
      <w:pPr>
        <w:tabs>
          <w:tab w:val="left" w:pos="426"/>
        </w:tabs>
        <w:spacing w:line="276" w:lineRule="auto"/>
        <w:jc w:val="both"/>
        <w:rPr>
          <w:rFonts w:ascii="Arial" w:eastAsia="Calibri" w:hAnsi="Arial" w:cs="Arial"/>
          <w:b/>
          <w:lang w:val="es-MX"/>
        </w:rPr>
      </w:pPr>
      <w:r w:rsidRPr="0083037E">
        <w:rPr>
          <w:rFonts w:ascii="Arial" w:eastAsia="Calibri" w:hAnsi="Arial" w:cs="Arial"/>
          <w:b/>
          <w:lang w:val="es-MX"/>
        </w:rPr>
        <w:t xml:space="preserve">2. Consideraciones </w:t>
      </w:r>
    </w:p>
    <w:p w14:paraId="264222B8" w14:textId="77777777" w:rsidR="00932CDB" w:rsidRPr="0083037E" w:rsidRDefault="00932CDB" w:rsidP="00932CDB">
      <w:pPr>
        <w:tabs>
          <w:tab w:val="left" w:pos="426"/>
        </w:tabs>
        <w:spacing w:line="276" w:lineRule="auto"/>
        <w:jc w:val="both"/>
        <w:rPr>
          <w:rFonts w:ascii="Arial" w:eastAsia="Calibri" w:hAnsi="Arial" w:cs="Arial"/>
          <w:b/>
          <w:lang w:val="es-MX"/>
        </w:rPr>
      </w:pPr>
    </w:p>
    <w:p w14:paraId="7BAEBBE7" w14:textId="01B2951A" w:rsidR="00932CDB" w:rsidRPr="0083037E" w:rsidRDefault="00B749D1" w:rsidP="00932CDB">
      <w:pPr>
        <w:spacing w:after="120" w:line="276" w:lineRule="auto"/>
        <w:jc w:val="both"/>
        <w:rPr>
          <w:rFonts w:ascii="Arial" w:eastAsia="Calibri" w:hAnsi="Arial" w:cs="Arial"/>
          <w:color w:val="000000"/>
          <w:lang w:val="es-ES_tradnl"/>
        </w:rPr>
      </w:pPr>
      <w:r w:rsidRPr="0083037E">
        <w:rPr>
          <w:rFonts w:ascii="Arial" w:eastAsia="Calibri" w:hAnsi="Arial" w:cs="Arial"/>
          <w:color w:val="000000"/>
          <w:lang w:val="es-ES_tradnl"/>
        </w:rPr>
        <w:t>La Agencia Nacional de Contratación Pública – Colombia Compra Eficiente ha estudiado del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w:t>
      </w:r>
      <w:r w:rsidR="00932CDB" w:rsidRPr="0083037E">
        <w:rPr>
          <w:rFonts w:ascii="Arial" w:eastAsia="Calibri" w:hAnsi="Arial" w:cs="Arial"/>
          <w:color w:val="000000"/>
          <w:lang w:val="es-ES_tradnl"/>
        </w:rPr>
        <w:t xml:space="preserve">, </w:t>
      </w:r>
      <w:r w:rsidRPr="0083037E">
        <w:rPr>
          <w:rFonts w:ascii="Arial" w:eastAsia="Calibri" w:hAnsi="Arial" w:cs="Arial"/>
          <w:color w:val="000000"/>
          <w:lang w:val="es-ES_tradnl"/>
        </w:rPr>
        <w:t>C-380 del 29 de julio de 2021</w:t>
      </w:r>
      <w:r w:rsidR="001D3C22" w:rsidRPr="0083037E">
        <w:rPr>
          <w:rFonts w:ascii="Arial" w:eastAsia="Calibri" w:hAnsi="Arial" w:cs="Arial"/>
          <w:color w:val="000000"/>
          <w:lang w:val="es-ES_tradnl"/>
        </w:rPr>
        <w:t xml:space="preserve">, </w:t>
      </w:r>
      <w:r w:rsidR="00932CDB" w:rsidRPr="0083037E">
        <w:rPr>
          <w:rFonts w:ascii="Arial" w:eastAsia="Calibri" w:hAnsi="Arial" w:cs="Arial"/>
          <w:color w:val="000000"/>
          <w:lang w:val="es-ES_tradnl"/>
        </w:rPr>
        <w:t>C-643 del 17 de noviembre de 2021</w:t>
      </w:r>
      <w:r w:rsidR="001D3C22" w:rsidRPr="0083037E">
        <w:rPr>
          <w:rFonts w:ascii="Arial" w:eastAsia="Calibri" w:hAnsi="Arial" w:cs="Arial"/>
          <w:color w:val="000000"/>
          <w:lang w:val="es-ES_tradnl"/>
        </w:rPr>
        <w:t xml:space="preserve"> y </w:t>
      </w:r>
      <w:r w:rsidR="00720E65" w:rsidRPr="0083037E">
        <w:rPr>
          <w:rFonts w:ascii="Arial" w:eastAsia="Calibri" w:hAnsi="Arial" w:cs="Arial"/>
          <w:color w:val="000000"/>
          <w:lang w:val="es-ES_tradnl"/>
        </w:rPr>
        <w:t xml:space="preserve">C-705 del </w:t>
      </w:r>
      <w:r w:rsidR="006868EC" w:rsidRPr="0083037E">
        <w:rPr>
          <w:rFonts w:ascii="Arial" w:eastAsia="Calibri" w:hAnsi="Arial" w:cs="Arial"/>
          <w:color w:val="000000"/>
          <w:lang w:val="es-ES_tradnl"/>
        </w:rPr>
        <w:t xml:space="preserve">5 de enero de 2022, </w:t>
      </w:r>
      <w:r w:rsidRPr="0083037E">
        <w:rPr>
          <w:rFonts w:ascii="Arial" w:eastAsia="Calibri" w:hAnsi="Arial" w:cs="Arial"/>
          <w:color w:val="000000"/>
          <w:lang w:val="es-ES_tradnl"/>
        </w:rPr>
        <w:t xml:space="preserve">entre otros. </w:t>
      </w:r>
    </w:p>
    <w:p w14:paraId="2680A119" w14:textId="1F3CBEEC" w:rsidR="00B749D1" w:rsidRPr="0083037E" w:rsidRDefault="006B4EF8" w:rsidP="00BC3CF6">
      <w:pPr>
        <w:spacing w:line="276" w:lineRule="auto"/>
        <w:ind w:firstLine="708"/>
        <w:jc w:val="both"/>
        <w:rPr>
          <w:rFonts w:ascii="Arial" w:eastAsia="Calibri" w:hAnsi="Arial" w:cs="Arial"/>
          <w:color w:val="000000"/>
          <w:lang w:val="es-ES_tradnl"/>
        </w:rPr>
      </w:pPr>
      <w:r w:rsidRPr="0083037E">
        <w:rPr>
          <w:rFonts w:ascii="Arial" w:hAnsi="Arial" w:cs="Arial"/>
          <w:color w:val="000000" w:themeColor="text1"/>
        </w:rPr>
        <w:t xml:space="preserve">Así mismo, </w:t>
      </w:r>
      <w:r w:rsidRPr="0083037E">
        <w:rPr>
          <w:rFonts w:ascii="Arial" w:eastAsia="Calibri" w:hAnsi="Arial" w:cs="Arial"/>
          <w:color w:val="000000" w:themeColor="text1"/>
        </w:rPr>
        <w:t xml:space="preserve">la Agencia Nacional de Contratación Pública − Colombia Compra Eficiente se pronunció sobre los pliegos de condiciones en la contratación estatal, así como su inalterabilidad y sus excepciones, entre otros, </w:t>
      </w:r>
      <w:r w:rsidRPr="0083037E">
        <w:rPr>
          <w:rFonts w:ascii="Arial" w:eastAsia="Calibri" w:hAnsi="Arial" w:cs="Arial"/>
        </w:rPr>
        <w:t>e</w:t>
      </w:r>
      <w:r w:rsidRPr="0083037E">
        <w:rPr>
          <w:rFonts w:ascii="Arial" w:hAnsi="Arial" w:cs="Arial"/>
        </w:rPr>
        <w:t>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bookmarkStart w:id="1" w:name="_Hlk75872808"/>
      <w:r w:rsidRPr="0083037E">
        <w:rPr>
          <w:rFonts w:ascii="Arial" w:hAnsi="Arial" w:cs="Arial"/>
        </w:rPr>
        <w:t xml:space="preserve">, </w:t>
      </w:r>
      <w:r w:rsidRPr="0083037E">
        <w:rPr>
          <w:rFonts w:ascii="Arial" w:eastAsia="Arial" w:hAnsi="Arial" w:cs="Arial"/>
          <w:lang w:val="es-ES_tradnl"/>
        </w:rPr>
        <w:t>C-031 del 1 de febrero de 2021,</w:t>
      </w:r>
      <w:r w:rsidRPr="0083037E">
        <w:rPr>
          <w:rFonts w:ascii="Arial" w:hAnsi="Arial" w:cs="Arial"/>
        </w:rPr>
        <w:t xml:space="preserve"> C-027 del 1 de marzo de 2021, C-064 del 8 de marzo 2021, C-157 del 13 de abril de 2021, C-204 del 6 de mayo de 2021</w:t>
      </w:r>
      <w:bookmarkEnd w:id="1"/>
      <w:r w:rsidRPr="0083037E">
        <w:rPr>
          <w:rFonts w:ascii="Arial" w:hAnsi="Arial" w:cs="Arial"/>
        </w:rPr>
        <w:t xml:space="preserve">, C-215 del 12 de mayo de 2021, C-263, C-268 del 3 de junio de 2021, C-287, C-304 del 28 de junio de 2021, C-361 del 2 de agosto de 2021, C-425 del 19 de agosto, C-471 del 30 de agosto de 2021, C-511 del 22 de septiembre de 2021, C-531 del 27 de septiembre de 2021, C-624 del 8 de noviembre de 2021, </w:t>
      </w:r>
      <w:r w:rsidR="00BC3CF6" w:rsidRPr="0083037E">
        <w:rPr>
          <w:rFonts w:ascii="Arial" w:hAnsi="Arial" w:cs="Arial"/>
        </w:rPr>
        <w:t>C</w:t>
      </w:r>
      <w:r w:rsidRPr="0083037E">
        <w:rPr>
          <w:rFonts w:ascii="Arial" w:hAnsi="Arial" w:cs="Arial"/>
        </w:rPr>
        <w:t>-643 del 17 de noviembre de 2021</w:t>
      </w:r>
      <w:r w:rsidR="00BC3CF6" w:rsidRPr="0083037E">
        <w:rPr>
          <w:rFonts w:ascii="Arial" w:hAnsi="Arial" w:cs="Arial"/>
        </w:rPr>
        <w:t xml:space="preserve"> y C-647 del 22 de noviembre de 2021</w:t>
      </w:r>
      <w:r w:rsidRPr="0083037E">
        <w:rPr>
          <w:rFonts w:ascii="Arial" w:hAnsi="Arial" w:cs="Arial"/>
        </w:rPr>
        <w:t>.</w:t>
      </w:r>
      <w:r w:rsidR="00BC3CF6" w:rsidRPr="0083037E">
        <w:rPr>
          <w:rFonts w:ascii="Arial" w:hAnsi="Arial" w:cs="Arial"/>
        </w:rPr>
        <w:t xml:space="preserve"> </w:t>
      </w:r>
      <w:r w:rsidR="00B749D1" w:rsidRPr="0083037E">
        <w:rPr>
          <w:rFonts w:ascii="Arial" w:eastAsia="Calibri" w:hAnsi="Arial" w:cs="Arial"/>
          <w:color w:val="000000"/>
          <w:lang w:val="es-ES_tradnl"/>
        </w:rPr>
        <w:t>En lo pertinente, las tesis expuestas en los conceptos mencionados se reiteran a continuación:</w:t>
      </w:r>
    </w:p>
    <w:p w14:paraId="51F05CB5" w14:textId="77777777" w:rsidR="00B749D1" w:rsidRPr="0083037E" w:rsidRDefault="00B749D1" w:rsidP="00951D2A">
      <w:pPr>
        <w:spacing w:line="276" w:lineRule="auto"/>
        <w:jc w:val="both"/>
        <w:rPr>
          <w:rFonts w:ascii="Arial" w:eastAsia="Arial" w:hAnsi="Arial" w:cs="Arial"/>
          <w:b/>
          <w:bCs/>
          <w:color w:val="000000"/>
          <w:lang w:val="es-ES_tradnl"/>
        </w:rPr>
      </w:pPr>
    </w:p>
    <w:p w14:paraId="24945848" w14:textId="2C7113CE" w:rsidR="00951D2A" w:rsidRPr="0083037E" w:rsidRDefault="00951D2A" w:rsidP="00951D2A">
      <w:pPr>
        <w:spacing w:line="276" w:lineRule="auto"/>
        <w:jc w:val="both"/>
        <w:rPr>
          <w:rFonts w:ascii="Arial" w:eastAsia="Arial" w:hAnsi="Arial" w:cs="Arial"/>
          <w:b/>
          <w:bCs/>
          <w:color w:val="000000"/>
          <w:lang w:val="es-ES_tradnl"/>
        </w:rPr>
      </w:pPr>
      <w:r w:rsidRPr="0083037E">
        <w:rPr>
          <w:rFonts w:ascii="Arial" w:eastAsia="Arial" w:hAnsi="Arial" w:cs="Arial"/>
          <w:b/>
          <w:bCs/>
          <w:color w:val="000000"/>
          <w:lang w:val="es-ES_tradnl"/>
        </w:rPr>
        <w:lastRenderedPageBreak/>
        <w:t xml:space="preserve">2.1. Fundamento normativo de los documentos tipo </w:t>
      </w:r>
    </w:p>
    <w:p w14:paraId="6A0B8836" w14:textId="77777777" w:rsidR="00951D2A" w:rsidRPr="0083037E" w:rsidRDefault="00951D2A" w:rsidP="00951D2A">
      <w:pPr>
        <w:jc w:val="both"/>
        <w:rPr>
          <w:rFonts w:ascii="Arial" w:eastAsia="Calibri" w:hAnsi="Arial" w:cs="Arial"/>
          <w:color w:val="000000"/>
          <w:lang w:val="es-ES_tradnl"/>
        </w:rPr>
      </w:pPr>
    </w:p>
    <w:p w14:paraId="57757973" w14:textId="2236C38E" w:rsidR="00951D2A" w:rsidRPr="0083037E" w:rsidRDefault="00951D2A" w:rsidP="00951D2A">
      <w:pPr>
        <w:spacing w:after="120" w:line="276" w:lineRule="auto"/>
        <w:jc w:val="both"/>
        <w:rPr>
          <w:rFonts w:ascii="Arial" w:eastAsia="Calibri" w:hAnsi="Arial" w:cs="Arial"/>
          <w:color w:val="000000"/>
          <w:lang w:val="es-ES"/>
        </w:rPr>
      </w:pPr>
      <w:r w:rsidRPr="0083037E">
        <w:rPr>
          <w:rFonts w:ascii="Arial" w:eastAsia="Calibri" w:hAnsi="Arial" w:cs="Arial"/>
          <w:color w:val="000000"/>
          <w:lang w:val="es-ES"/>
        </w:rPr>
        <w:t>La adopción de los documentos tipo obligatorios en el ordenamiento jurídico colombiano se incluyó por primera vez en el parágrafo 3 del artículo 2 de la Ley 1150 de 2007</w:t>
      </w:r>
      <w:r w:rsidRPr="0083037E">
        <w:rPr>
          <w:rFonts w:ascii="Arial" w:eastAsia="Calibri" w:hAnsi="Arial" w:cs="Arial"/>
          <w:color w:val="000000"/>
          <w:vertAlign w:val="superscript"/>
          <w:lang w:val="es-ES"/>
        </w:rPr>
        <w:footnoteReference w:id="1"/>
      </w:r>
      <w:r w:rsidRPr="0083037E">
        <w:rPr>
          <w:rFonts w:ascii="Arial" w:eastAsia="Calibri" w:hAnsi="Arial" w:cs="Arial"/>
          <w:color w:val="000000"/>
          <w:lang w:val="es-ES"/>
        </w:rPr>
        <w:t>, que facultó al gobierno nacional para expedirlos, pero solo cuando se tratara de la adquisición o suministro de bienes y servicios de características técnicas uniformes y de común utilización</w:t>
      </w:r>
      <w:r w:rsidR="005E0AA3" w:rsidRPr="0083037E">
        <w:rPr>
          <w:rFonts w:ascii="Arial" w:eastAsia="Calibri" w:hAnsi="Arial" w:cs="Arial"/>
          <w:color w:val="000000"/>
          <w:lang w:val="es-ES"/>
        </w:rPr>
        <w:t>. Sin embargo, esta</w:t>
      </w:r>
      <w:r w:rsidRPr="0083037E">
        <w:rPr>
          <w:rFonts w:ascii="Arial" w:eastAsia="Calibri" w:hAnsi="Arial" w:cs="Arial"/>
          <w:color w:val="000000"/>
          <w:lang w:val="es-ES"/>
        </w:rPr>
        <w:t xml:space="preserve"> facultad no ha sido ejercida hasta la actualidad. </w:t>
      </w:r>
    </w:p>
    <w:p w14:paraId="50C117F4" w14:textId="77777777" w:rsidR="00951D2A" w:rsidRPr="0083037E" w:rsidRDefault="00951D2A" w:rsidP="00951D2A">
      <w:pPr>
        <w:spacing w:line="276" w:lineRule="auto"/>
        <w:ind w:firstLine="708"/>
        <w:jc w:val="both"/>
        <w:rPr>
          <w:rFonts w:ascii="Arial" w:eastAsia="Calibri" w:hAnsi="Arial" w:cs="Arial"/>
          <w:color w:val="000000"/>
          <w:lang w:val="es-ES"/>
        </w:rPr>
      </w:pPr>
      <w:r w:rsidRPr="0083037E">
        <w:rPr>
          <w:rFonts w:ascii="Arial" w:eastAsia="Calibri" w:hAnsi="Arial" w:cs="Arial"/>
          <w:color w:val="000000"/>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AC0CA0E" w14:textId="77777777" w:rsidR="00951D2A" w:rsidRPr="0083037E" w:rsidRDefault="00951D2A" w:rsidP="00951D2A">
      <w:pPr>
        <w:spacing w:before="120" w:after="120" w:line="276" w:lineRule="auto"/>
        <w:ind w:firstLine="708"/>
        <w:jc w:val="both"/>
        <w:rPr>
          <w:rFonts w:ascii="Arial" w:eastAsia="Calibri" w:hAnsi="Arial" w:cs="Arial"/>
          <w:color w:val="000000"/>
          <w:lang w:val="es-ES"/>
        </w:rPr>
      </w:pPr>
      <w:r w:rsidRPr="0083037E">
        <w:rPr>
          <w:rFonts w:ascii="Arial" w:eastAsia="Calibri" w:hAnsi="Arial" w:cs="Arial"/>
          <w:color w:val="000000"/>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3037E">
        <w:rPr>
          <w:rFonts w:ascii="Arial" w:eastAsia="Calibri" w:hAnsi="Arial" w:cs="Arial"/>
          <w:color w:val="000000"/>
          <w:vertAlign w:val="superscript"/>
          <w:lang w:val="es-ES"/>
        </w:rPr>
        <w:footnoteReference w:id="2"/>
      </w:r>
      <w:r w:rsidRPr="0083037E">
        <w:rPr>
          <w:rFonts w:ascii="Arial" w:eastAsia="Calibri" w:hAnsi="Arial" w:cs="Arial"/>
          <w:color w:val="000000"/>
          <w:lang w:val="es-ES"/>
        </w:rPr>
        <w:t>.</w:t>
      </w:r>
    </w:p>
    <w:p w14:paraId="71142977" w14:textId="77777777" w:rsidR="00951D2A" w:rsidRPr="0083037E" w:rsidRDefault="00951D2A" w:rsidP="00951D2A">
      <w:pPr>
        <w:spacing w:before="120" w:after="120" w:line="276" w:lineRule="auto"/>
        <w:jc w:val="both"/>
        <w:rPr>
          <w:rFonts w:ascii="Arial" w:eastAsia="Calibri" w:hAnsi="Arial" w:cs="Arial"/>
          <w:color w:val="000000"/>
          <w:lang w:val="es-ES"/>
        </w:rPr>
      </w:pPr>
      <w:r w:rsidRPr="0083037E">
        <w:rPr>
          <w:rFonts w:ascii="Arial" w:eastAsia="Calibri" w:hAnsi="Arial" w:cs="Arial"/>
          <w:color w:val="000000"/>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D87A4C8" w14:textId="77777777" w:rsidR="00951D2A" w:rsidRPr="0083037E" w:rsidRDefault="00951D2A" w:rsidP="00951D2A">
      <w:pPr>
        <w:spacing w:before="120" w:after="120" w:line="276" w:lineRule="auto"/>
        <w:jc w:val="both"/>
        <w:rPr>
          <w:rFonts w:ascii="Arial" w:eastAsia="Calibri" w:hAnsi="Arial" w:cs="Arial"/>
          <w:color w:val="000000"/>
          <w:lang w:val="es-ES"/>
        </w:rPr>
      </w:pPr>
      <w:r w:rsidRPr="0083037E">
        <w:rPr>
          <w:rFonts w:ascii="Arial" w:eastAsia="Calibri" w:hAnsi="Arial" w:cs="Arial"/>
          <w:color w:val="000000"/>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47C94B85" w14:textId="29F8D07D" w:rsidR="00951D2A" w:rsidRPr="0083037E" w:rsidRDefault="00951D2A" w:rsidP="00951D2A">
      <w:pPr>
        <w:spacing w:before="120" w:after="120" w:line="276" w:lineRule="auto"/>
        <w:jc w:val="both"/>
        <w:rPr>
          <w:rFonts w:ascii="Arial" w:eastAsia="Calibri" w:hAnsi="Arial" w:cs="Arial"/>
          <w:color w:val="000000"/>
          <w:lang w:val="es-ES"/>
        </w:rPr>
      </w:pPr>
      <w:r w:rsidRPr="0083037E">
        <w:rPr>
          <w:rFonts w:ascii="Arial" w:eastAsia="Calibri" w:hAnsi="Arial" w:cs="Arial"/>
          <w:color w:val="000000"/>
          <w:lang w:val="es-ES"/>
        </w:rPr>
        <w:tab/>
        <w:t xml:space="preserve">Esta norma fue estudiada por la Corte Constitucional en la </w:t>
      </w:r>
      <w:r w:rsidR="00D22557" w:rsidRPr="0083037E">
        <w:rPr>
          <w:rFonts w:ascii="Arial" w:eastAsia="Calibri" w:hAnsi="Arial" w:cs="Arial"/>
          <w:color w:val="000000"/>
          <w:lang w:val="es-ES"/>
        </w:rPr>
        <w:t>S</w:t>
      </w:r>
      <w:r w:rsidRPr="0083037E">
        <w:rPr>
          <w:rFonts w:ascii="Arial" w:eastAsia="Calibri" w:hAnsi="Arial" w:cs="Arial"/>
          <w:color w:val="000000"/>
          <w:lang w:val="es-ES"/>
        </w:rPr>
        <w:t>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83037E">
        <w:rPr>
          <w:rFonts w:ascii="Arial" w:eastAsia="Calibri" w:hAnsi="Arial" w:cs="Arial"/>
          <w:color w:val="000000"/>
          <w:vertAlign w:val="superscript"/>
          <w:lang w:val="es-ES"/>
        </w:rPr>
        <w:footnoteReference w:id="3"/>
      </w:r>
      <w:r w:rsidRPr="0083037E">
        <w:rPr>
          <w:rFonts w:ascii="Arial" w:eastAsia="Calibri" w:hAnsi="Arial" w:cs="Arial"/>
          <w:color w:val="000000"/>
          <w:lang w:val="es-ES"/>
        </w:rPr>
        <w:t>.</w:t>
      </w:r>
    </w:p>
    <w:p w14:paraId="608BAB15" w14:textId="7AE4FC1D" w:rsidR="00951D2A" w:rsidRPr="0083037E" w:rsidRDefault="00951D2A" w:rsidP="007B1212">
      <w:pPr>
        <w:spacing w:before="120" w:after="120" w:line="276" w:lineRule="auto"/>
        <w:jc w:val="both"/>
        <w:rPr>
          <w:rFonts w:ascii="Arial" w:eastAsia="Calibri" w:hAnsi="Arial" w:cs="Arial"/>
          <w:color w:val="000000"/>
          <w:lang w:val="es-ES"/>
        </w:rPr>
      </w:pPr>
      <w:r w:rsidRPr="0083037E">
        <w:rPr>
          <w:rFonts w:ascii="Arial" w:eastAsia="Calibri" w:hAnsi="Arial" w:cs="Arial"/>
          <w:color w:val="000000"/>
          <w:lang w:val="es-ES"/>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92F388A" w14:textId="3FCA9316" w:rsidR="00951D2A" w:rsidRPr="0083037E" w:rsidRDefault="00951D2A" w:rsidP="00951D2A">
      <w:pPr>
        <w:spacing w:before="120" w:line="276" w:lineRule="auto"/>
        <w:ind w:firstLine="709"/>
        <w:jc w:val="both"/>
        <w:rPr>
          <w:rFonts w:ascii="Arial" w:eastAsia="Calibri" w:hAnsi="Arial" w:cs="Arial"/>
          <w:color w:val="000000"/>
          <w:lang w:val="es-ES" w:eastAsia="es-ES"/>
        </w:rPr>
      </w:pPr>
      <w:r w:rsidRPr="0083037E">
        <w:rPr>
          <w:rFonts w:ascii="Arial" w:eastAsia="Calibri" w:hAnsi="Arial" w:cs="Arial"/>
          <w:color w:val="000000"/>
          <w:lang w:val="es-ES" w:eastAsia="es-ES"/>
        </w:rPr>
        <w:t>Por otra parte</w:t>
      </w:r>
      <w:r w:rsidRPr="0083037E">
        <w:rPr>
          <w:rFonts w:ascii="Arial" w:eastAsia="Calibri" w:hAnsi="Arial" w:cs="Arial"/>
          <w:i/>
          <w:iCs/>
          <w:color w:val="000000"/>
          <w:lang w:val="es-ES" w:eastAsia="es-ES"/>
        </w:rPr>
        <w:t>,</w:t>
      </w:r>
      <w:r w:rsidRPr="0083037E">
        <w:rPr>
          <w:rFonts w:ascii="Arial" w:eastAsia="Calibri" w:hAnsi="Arial" w:cs="Arial"/>
          <w:color w:val="000000"/>
          <w:lang w:val="es-ES" w:eastAsia="es-ES"/>
        </w:rPr>
        <w:t xml:space="preserve"> debe tenerse en cuenta que la Ley 2022 fue sancionada por el </w:t>
      </w:r>
      <w:proofErr w:type="gramStart"/>
      <w:r w:rsidRPr="0083037E">
        <w:rPr>
          <w:rFonts w:ascii="Arial" w:eastAsia="Calibri" w:hAnsi="Arial" w:cs="Arial"/>
          <w:color w:val="000000"/>
          <w:lang w:val="es-ES" w:eastAsia="es-ES"/>
        </w:rPr>
        <w:t>Presidente</w:t>
      </w:r>
      <w:proofErr w:type="gramEnd"/>
      <w:r w:rsidRPr="0083037E">
        <w:rPr>
          <w:rFonts w:ascii="Arial" w:eastAsia="Calibri" w:hAnsi="Arial" w:cs="Arial"/>
          <w:color w:val="000000"/>
          <w:lang w:val="es-ES" w:eastAsia="es-ES"/>
        </w:rPr>
        <w:t xml:space="preserve"> de la República el 22 de julio </w:t>
      </w:r>
      <w:r w:rsidR="00D22557" w:rsidRPr="0083037E">
        <w:rPr>
          <w:rFonts w:ascii="Arial" w:eastAsia="Calibri" w:hAnsi="Arial" w:cs="Arial"/>
          <w:color w:val="000000"/>
          <w:lang w:val="es-ES" w:eastAsia="es-ES"/>
        </w:rPr>
        <w:t>de 2020</w:t>
      </w:r>
      <w:r w:rsidR="000E1588" w:rsidRPr="0083037E">
        <w:rPr>
          <w:rFonts w:ascii="Arial" w:eastAsia="Calibri" w:hAnsi="Arial" w:cs="Arial"/>
          <w:color w:val="000000"/>
          <w:lang w:val="es-ES" w:eastAsia="es-ES"/>
        </w:rPr>
        <w:t>.</w:t>
      </w:r>
      <w:r w:rsidRPr="0083037E">
        <w:rPr>
          <w:rFonts w:ascii="Arial" w:eastAsia="Calibri" w:hAnsi="Arial" w:cs="Arial"/>
          <w:color w:val="000000"/>
          <w:lang w:val="es-ES" w:eastAsia="es-ES"/>
        </w:rPr>
        <w:t xml:space="preserve"> </w:t>
      </w:r>
      <w:r w:rsidR="000E1588" w:rsidRPr="0083037E">
        <w:rPr>
          <w:rFonts w:ascii="Arial" w:eastAsia="Calibri" w:hAnsi="Arial" w:cs="Arial"/>
          <w:color w:val="000000"/>
          <w:lang w:val="es-ES" w:eastAsia="es-ES"/>
        </w:rPr>
        <w:t>S</w:t>
      </w:r>
      <w:r w:rsidRPr="0083037E">
        <w:rPr>
          <w:rFonts w:ascii="Arial" w:eastAsia="Calibri" w:hAnsi="Arial" w:cs="Arial"/>
          <w:color w:val="000000"/>
          <w:lang w:val="es-ES" w:eastAsia="es-ES"/>
        </w:rPr>
        <w:t>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83037E">
        <w:rPr>
          <w:rFonts w:ascii="Arial" w:eastAsia="Calibri" w:hAnsi="Arial" w:cs="Arial"/>
          <w:color w:val="000000"/>
          <w:vertAlign w:val="superscript"/>
          <w:lang w:val="es-ES" w:eastAsia="es-ES"/>
        </w:rPr>
        <w:footnoteReference w:id="4"/>
      </w:r>
      <w:r w:rsidRPr="0083037E">
        <w:rPr>
          <w:rFonts w:ascii="Arial" w:eastAsia="Calibri" w:hAnsi="Arial"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w:t>
      </w:r>
      <w:r w:rsidRPr="0083037E">
        <w:rPr>
          <w:rFonts w:ascii="Arial" w:eastAsia="Calibri" w:hAnsi="Arial" w:cs="Arial"/>
          <w:color w:val="000000"/>
          <w:lang w:val="es-ES" w:eastAsia="es-ES"/>
        </w:rPr>
        <w:lastRenderedPageBreak/>
        <w:t xml:space="preserve">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3BF63371" w14:textId="42805EEB" w:rsidR="00A81FD1" w:rsidRPr="0083037E" w:rsidRDefault="00E76696" w:rsidP="00FE157D">
      <w:pPr>
        <w:spacing w:before="120" w:line="276" w:lineRule="auto"/>
        <w:ind w:firstLine="709"/>
        <w:jc w:val="both"/>
        <w:rPr>
          <w:rFonts w:ascii="Arial" w:eastAsia="Calibri" w:hAnsi="Arial" w:cs="Arial"/>
          <w:color w:val="000000"/>
          <w:lang w:val="es-ES" w:eastAsia="es-ES"/>
        </w:rPr>
      </w:pPr>
      <w:r w:rsidRPr="0083037E">
        <w:rPr>
          <w:rFonts w:ascii="Arial" w:eastAsia="Calibri" w:hAnsi="Arial" w:cs="Arial"/>
          <w:color w:val="000000"/>
          <w:lang w:val="es-ES" w:eastAsia="es-ES"/>
        </w:rPr>
        <w:t>E</w:t>
      </w:r>
      <w:r w:rsidR="00951D2A" w:rsidRPr="0083037E">
        <w:rPr>
          <w:rFonts w:ascii="Arial" w:eastAsia="Calibri" w:hAnsi="Arial" w:cs="Arial"/>
          <w:color w:val="000000"/>
          <w:lang w:val="es-ES" w:eastAsia="es-ES"/>
        </w:rPr>
        <w:t xml:space="preserv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w:t>
      </w:r>
      <w:r w:rsidR="00756DF3" w:rsidRPr="0083037E">
        <w:rPr>
          <w:rFonts w:ascii="Arial" w:eastAsia="Calibri" w:hAnsi="Arial" w:cs="Arial"/>
          <w:color w:val="000000"/>
          <w:lang w:val="es-ES" w:eastAsia="es-ES"/>
        </w:rPr>
        <w:t xml:space="preserve">La versión actual se encuentra vigente desde el </w:t>
      </w:r>
      <w:r w:rsidR="00DC3578" w:rsidRPr="0083037E">
        <w:rPr>
          <w:rFonts w:ascii="Arial" w:eastAsia="Calibri" w:hAnsi="Arial" w:cs="Arial"/>
          <w:color w:val="000000"/>
          <w:lang w:val="es-ES" w:eastAsia="es-ES"/>
        </w:rPr>
        <w:t>2 de noviembre de 20</w:t>
      </w:r>
      <w:r w:rsidR="00C00E12" w:rsidRPr="0083037E">
        <w:rPr>
          <w:rFonts w:ascii="Arial" w:eastAsia="Calibri" w:hAnsi="Arial" w:cs="Arial"/>
          <w:color w:val="000000"/>
          <w:lang w:val="es-ES" w:eastAsia="es-ES"/>
        </w:rPr>
        <w:t>2</w:t>
      </w:r>
      <w:r w:rsidR="00DC3578" w:rsidRPr="0083037E">
        <w:rPr>
          <w:rFonts w:ascii="Arial" w:eastAsia="Calibri" w:hAnsi="Arial" w:cs="Arial"/>
          <w:color w:val="000000"/>
          <w:lang w:val="es-ES" w:eastAsia="es-ES"/>
        </w:rPr>
        <w:t>1, con las modificaciones introducidas por la Resolución 304 de 2021</w:t>
      </w:r>
      <w:r w:rsidR="00DC3578" w:rsidRPr="0083037E">
        <w:rPr>
          <w:rStyle w:val="Refdenotaalpie"/>
          <w:rFonts w:ascii="Arial" w:eastAsia="Calibri" w:hAnsi="Arial" w:cs="Arial"/>
          <w:color w:val="000000"/>
          <w:lang w:val="es-ES" w:eastAsia="es-ES"/>
        </w:rPr>
        <w:footnoteReference w:id="5"/>
      </w:r>
      <w:r w:rsidR="00DC3578" w:rsidRPr="0083037E">
        <w:rPr>
          <w:rFonts w:ascii="Arial" w:eastAsia="Calibri" w:hAnsi="Arial" w:cs="Arial"/>
          <w:color w:val="000000"/>
          <w:lang w:val="es-ES" w:eastAsia="es-ES"/>
        </w:rPr>
        <w:t>.</w:t>
      </w:r>
    </w:p>
    <w:p w14:paraId="1DFFF3B8" w14:textId="77777777" w:rsidR="00FE157D" w:rsidRPr="0083037E" w:rsidRDefault="00FE157D" w:rsidP="006A5B2F">
      <w:pPr>
        <w:pStyle w:val="xmsonospacing"/>
        <w:spacing w:before="0" w:beforeAutospacing="0" w:after="0" w:afterAutospacing="0" w:line="276" w:lineRule="auto"/>
        <w:jc w:val="both"/>
        <w:rPr>
          <w:rFonts w:ascii="Arial" w:hAnsi="Arial" w:cs="Arial"/>
          <w:b/>
          <w:bCs/>
          <w:color w:val="000000"/>
          <w:sz w:val="22"/>
          <w:szCs w:val="22"/>
          <w:bdr w:val="none" w:sz="0" w:space="0" w:color="auto" w:frame="1"/>
        </w:rPr>
      </w:pPr>
    </w:p>
    <w:p w14:paraId="739DC349" w14:textId="4430C4F0" w:rsidR="006A5B2F" w:rsidRPr="0083037E" w:rsidRDefault="006A5B2F" w:rsidP="006A5B2F">
      <w:pPr>
        <w:pStyle w:val="xmsonospacing"/>
        <w:spacing w:before="0" w:beforeAutospacing="0" w:after="0" w:afterAutospacing="0" w:line="276" w:lineRule="auto"/>
        <w:jc w:val="both"/>
        <w:rPr>
          <w:rFonts w:ascii="Arial" w:eastAsia="Calibri" w:hAnsi="Arial" w:cs="Arial"/>
          <w:b/>
          <w:bCs/>
          <w:sz w:val="22"/>
          <w:szCs w:val="22"/>
          <w:lang w:val="es-ES"/>
        </w:rPr>
      </w:pPr>
      <w:r w:rsidRPr="0083037E">
        <w:rPr>
          <w:rFonts w:ascii="Arial" w:hAnsi="Arial" w:cs="Arial"/>
          <w:b/>
          <w:bCs/>
          <w:color w:val="000000"/>
          <w:sz w:val="22"/>
          <w:szCs w:val="22"/>
          <w:bdr w:val="none" w:sz="0" w:space="0" w:color="auto" w:frame="1"/>
        </w:rPr>
        <w:t xml:space="preserve">2.2. Ámbito de aplicación de los Documentos Tipo </w:t>
      </w:r>
      <w:r w:rsidRPr="0083037E">
        <w:rPr>
          <w:rFonts w:ascii="Arial" w:eastAsia="Calibri" w:hAnsi="Arial" w:cs="Arial"/>
          <w:b/>
          <w:bCs/>
          <w:sz w:val="22"/>
          <w:szCs w:val="22"/>
          <w:lang w:val="es-ES"/>
        </w:rPr>
        <w:t>de consultoría de estudios de ingeniería de infraestructura de transporte</w:t>
      </w:r>
    </w:p>
    <w:p w14:paraId="0659B212" w14:textId="77777777" w:rsidR="006A5B2F" w:rsidRPr="0083037E" w:rsidRDefault="006A5B2F" w:rsidP="006A5B2F">
      <w:pPr>
        <w:pStyle w:val="xmsonospacing"/>
        <w:spacing w:before="0" w:beforeAutospacing="0" w:after="0" w:afterAutospacing="0" w:line="276" w:lineRule="auto"/>
        <w:jc w:val="both"/>
        <w:rPr>
          <w:rFonts w:ascii="Arial" w:eastAsia="Calibri" w:hAnsi="Arial" w:cs="Arial"/>
          <w:b/>
          <w:bCs/>
          <w:sz w:val="22"/>
          <w:szCs w:val="22"/>
          <w:lang w:val="es-ES"/>
        </w:rPr>
      </w:pPr>
    </w:p>
    <w:p w14:paraId="691A6BB1" w14:textId="209D4BA0" w:rsidR="001C4032" w:rsidRPr="0083037E" w:rsidRDefault="00EF53F2" w:rsidP="00BC6958">
      <w:pPr>
        <w:spacing w:line="276" w:lineRule="auto"/>
        <w:jc w:val="both"/>
        <w:rPr>
          <w:rFonts w:ascii="Arial" w:hAnsi="Arial" w:cs="Arial"/>
          <w:lang w:val="es-ES_tradnl"/>
        </w:rPr>
      </w:pPr>
      <w:r w:rsidRPr="0083037E">
        <w:rPr>
          <w:rFonts w:ascii="Arial" w:hAnsi="Arial" w:cs="Arial"/>
          <w:lang w:val="es-ES_tradnl"/>
        </w:rPr>
        <w:t>Como se indicó anteriormente, e</w:t>
      </w:r>
      <w:r w:rsidR="001C4032" w:rsidRPr="0083037E">
        <w:rPr>
          <w:rFonts w:ascii="Arial" w:hAnsi="Arial" w:cs="Arial"/>
          <w:lang w:val="es-ES_tradnl"/>
        </w:rPr>
        <w:t>n ejercicio de la competencia otorgada por el artículo 1 de la Ley 2022 de 2020, la Agencia Nacional de Contratación Pública – Colombia Compra Eficiente expidió la Resolución No. 193 del 14 de julio de 2021, «Por la cual se adoptan los documentos tipo para los procesos de selección de concurso de méritos, para contratar la consultoría de estudios de ingeniería de infraestructura de transporte». El artículo 5 de dicha Resolución dispuso que los documentos tipo que adoptó se deben aplicar «a los procedimientos de selección cuyo aviso de convocatoria se publique el 9 de agosto de 2021 o en una fecha posterior».</w:t>
      </w:r>
    </w:p>
    <w:p w14:paraId="3A111B68" w14:textId="30C8BD31" w:rsidR="006A5B2F" w:rsidRPr="0083037E" w:rsidRDefault="00BC6958" w:rsidP="00BC6958">
      <w:pPr>
        <w:spacing w:before="120" w:line="276" w:lineRule="auto"/>
        <w:ind w:firstLine="703"/>
        <w:jc w:val="both"/>
        <w:textAlignment w:val="baseline"/>
        <w:rPr>
          <w:rFonts w:ascii="Segoe UI" w:hAnsi="Segoe UI" w:cs="Segoe UI"/>
          <w:color w:val="000000"/>
          <w:sz w:val="18"/>
          <w:szCs w:val="18"/>
          <w:lang w:val="es-MX" w:eastAsia="es-MX"/>
        </w:rPr>
      </w:pPr>
      <w:r w:rsidRPr="0083037E">
        <w:rPr>
          <w:rFonts w:ascii="Arial" w:eastAsia="Calibri" w:hAnsi="Arial" w:cs="Arial"/>
          <w:lang w:val="es-ES"/>
        </w:rPr>
        <w:t>Por tanto, e</w:t>
      </w:r>
      <w:r w:rsidR="006A5B2F" w:rsidRPr="0083037E">
        <w:rPr>
          <w:rFonts w:ascii="Arial" w:eastAsia="Calibri" w:hAnsi="Arial" w:cs="Arial"/>
          <w:lang w:val="es-ES"/>
        </w:rPr>
        <w:t xml:space="preserve">l ámbito de aplicación de los Documentos Tipo adoptados por </w:t>
      </w:r>
      <w:r w:rsidR="006A5B2F" w:rsidRPr="0083037E">
        <w:rPr>
          <w:rFonts w:ascii="Arial" w:eastAsia="Calibri" w:hAnsi="Arial" w:cs="Arial"/>
          <w:color w:val="000000"/>
          <w:lang w:val="es-ES" w:eastAsia="es-ES"/>
        </w:rPr>
        <w:t xml:space="preserve">Resolución 193 del 14 de julio de 2021 </w:t>
      </w:r>
      <w:r w:rsidR="006A5B2F" w:rsidRPr="0083037E">
        <w:rPr>
          <w:rFonts w:ascii="Arial" w:eastAsia="Calibri" w:hAnsi="Arial" w:cs="Arial"/>
          <w:lang w:val="es-ES"/>
        </w:rPr>
        <w:t>está determinado por los siguientes aspectos que deberá estudiar cada entidad estatal para definir si procede su aplicación obligatoria</w:t>
      </w:r>
      <w:r w:rsidRPr="0083037E">
        <w:rPr>
          <w:rFonts w:ascii="Arial" w:eastAsia="Calibri" w:hAnsi="Arial" w:cs="Arial"/>
          <w:lang w:val="es-ES"/>
        </w:rPr>
        <w:t>.</w:t>
      </w:r>
      <w:r w:rsidR="006A5B2F" w:rsidRPr="0083037E">
        <w:rPr>
          <w:rFonts w:ascii="Arial" w:eastAsia="Calibri" w:hAnsi="Arial" w:cs="Arial"/>
          <w:lang w:val="es-ES"/>
        </w:rPr>
        <w:t xml:space="preserve"> </w:t>
      </w:r>
      <w:r w:rsidRPr="0083037E">
        <w:rPr>
          <w:rFonts w:ascii="Arial" w:eastAsia="Calibri" w:hAnsi="Arial" w:cs="Arial"/>
          <w:lang w:val="es-ES"/>
        </w:rPr>
        <w:t>E</w:t>
      </w:r>
      <w:r w:rsidR="006A5B2F" w:rsidRPr="0083037E">
        <w:rPr>
          <w:rFonts w:ascii="Arial" w:eastAsia="Calibri" w:hAnsi="Arial" w:cs="Arial"/>
          <w:lang w:val="es-ES"/>
        </w:rPr>
        <w:t xml:space="preserve">n primer lugar, se deberá verificar si el proyecto a contratar corresponde a la ejecución de un contrato de consultoría. Para esto, se considera pertinente remitirse a la definición contenida en el numeral 2º del artículo 32 de la Ley 80 de 1993. Esta consagra lo siguiente: </w:t>
      </w:r>
    </w:p>
    <w:p w14:paraId="60036351" w14:textId="77777777" w:rsidR="00BC6958" w:rsidRPr="0083037E" w:rsidRDefault="00BC6958" w:rsidP="00BC6958">
      <w:pPr>
        <w:pStyle w:val="xmsonospacing"/>
        <w:spacing w:before="0" w:beforeAutospacing="0" w:after="0" w:afterAutospacing="0"/>
        <w:ind w:left="709" w:right="709"/>
        <w:jc w:val="both"/>
        <w:rPr>
          <w:rFonts w:ascii="Arial" w:eastAsia="Calibri" w:hAnsi="Arial" w:cs="Arial"/>
          <w:b/>
          <w:bCs/>
          <w:sz w:val="21"/>
          <w:szCs w:val="21"/>
          <w:lang w:val="es-ES"/>
        </w:rPr>
      </w:pPr>
    </w:p>
    <w:p w14:paraId="3D552778" w14:textId="7338AAF5" w:rsidR="006A5B2F" w:rsidRPr="0083037E" w:rsidRDefault="006A5B2F" w:rsidP="00BC6958">
      <w:pPr>
        <w:pStyle w:val="xmsonospacing"/>
        <w:spacing w:before="0" w:beforeAutospacing="0" w:after="0" w:afterAutospacing="0"/>
        <w:ind w:left="709" w:right="709"/>
        <w:jc w:val="both"/>
        <w:rPr>
          <w:rFonts w:ascii="Arial" w:eastAsia="Calibri" w:hAnsi="Arial" w:cs="Arial"/>
          <w:sz w:val="21"/>
          <w:szCs w:val="21"/>
          <w:lang w:val="es-ES"/>
        </w:rPr>
      </w:pPr>
      <w:r w:rsidRPr="0083037E">
        <w:rPr>
          <w:rFonts w:ascii="Arial" w:eastAsia="Calibri" w:hAnsi="Arial" w:cs="Arial"/>
          <w:sz w:val="21"/>
          <w:szCs w:val="21"/>
          <w:lang w:val="es-ES"/>
        </w:rPr>
        <w:t>2o. Contrato de Consultoría.</w:t>
      </w:r>
    </w:p>
    <w:p w14:paraId="06D7F366" w14:textId="77777777" w:rsidR="006A5B2F" w:rsidRPr="0083037E" w:rsidRDefault="006A5B2F" w:rsidP="006A5B2F">
      <w:pPr>
        <w:pStyle w:val="xmsonospacing"/>
        <w:spacing w:before="120" w:beforeAutospacing="0"/>
        <w:ind w:left="709" w:right="709"/>
        <w:jc w:val="both"/>
        <w:rPr>
          <w:rFonts w:ascii="Arial" w:eastAsia="Calibri" w:hAnsi="Arial" w:cs="Arial"/>
          <w:sz w:val="21"/>
          <w:szCs w:val="21"/>
          <w:lang w:val="es-ES"/>
        </w:rPr>
      </w:pPr>
      <w:r w:rsidRPr="0083037E">
        <w:rPr>
          <w:rFonts w:ascii="Arial" w:eastAsia="Calibri" w:hAnsi="Arial" w:cs="Arial"/>
          <w:sz w:val="21"/>
          <w:szCs w:val="21"/>
          <w:lang w:val="es-ES"/>
        </w:rPr>
        <w:t xml:space="preserve">Son contratos de consultoría los que celebren las entidades estatales referidos a los estudios necesarios para la ejecución de proyectos de inversión, estudios de diagnóstico, prefactibilidad o factibilidad para programas o proyectos </w:t>
      </w:r>
      <w:r w:rsidRPr="0083037E">
        <w:rPr>
          <w:rFonts w:ascii="Arial" w:eastAsia="Calibri" w:hAnsi="Arial" w:cs="Arial"/>
          <w:sz w:val="21"/>
          <w:szCs w:val="21"/>
          <w:lang w:val="es-ES"/>
        </w:rPr>
        <w:lastRenderedPageBreak/>
        <w:t>específicos, así como a las asesorías técnicas de coordinación, control y supervisión.</w:t>
      </w:r>
    </w:p>
    <w:p w14:paraId="25A14A80" w14:textId="77777777" w:rsidR="006A5B2F" w:rsidRPr="0083037E" w:rsidRDefault="006A5B2F" w:rsidP="006A5B2F">
      <w:pPr>
        <w:pStyle w:val="xmsonospacing"/>
        <w:spacing w:before="0" w:beforeAutospacing="0" w:after="0" w:afterAutospacing="0"/>
        <w:ind w:left="709" w:right="709"/>
        <w:jc w:val="both"/>
        <w:rPr>
          <w:rFonts w:ascii="Arial" w:eastAsia="Calibri" w:hAnsi="Arial" w:cs="Arial"/>
          <w:sz w:val="21"/>
          <w:szCs w:val="21"/>
          <w:lang w:val="es-ES"/>
        </w:rPr>
      </w:pPr>
      <w:r w:rsidRPr="0083037E">
        <w:rPr>
          <w:rFonts w:ascii="Arial" w:eastAsia="Calibri" w:hAnsi="Arial" w:cs="Arial"/>
          <w:sz w:val="21"/>
          <w:szCs w:val="21"/>
          <w:lang w:val="es-ES"/>
        </w:rPr>
        <w:t>Son también contratos de consultoría los que tienen por objeto la interventoría, asesoría, gerencia de obra o de proyectos, dirección, programación y la ejecución de diseños, planos, anteproyectos y proyectos.</w:t>
      </w:r>
    </w:p>
    <w:p w14:paraId="37B3DE0D" w14:textId="77777777" w:rsidR="006A5B2F" w:rsidRPr="0083037E" w:rsidRDefault="006A5B2F" w:rsidP="006A5B2F">
      <w:pPr>
        <w:pStyle w:val="xmsonospacing"/>
        <w:spacing w:before="0" w:beforeAutospacing="0" w:after="0" w:afterAutospacing="0"/>
        <w:ind w:left="709" w:right="709"/>
        <w:jc w:val="both"/>
        <w:rPr>
          <w:rFonts w:ascii="Arial" w:eastAsia="Calibri" w:hAnsi="Arial" w:cs="Arial"/>
          <w:sz w:val="21"/>
          <w:szCs w:val="21"/>
          <w:lang w:val="es-ES"/>
        </w:rPr>
      </w:pPr>
    </w:p>
    <w:p w14:paraId="638B7DBE" w14:textId="717609E5" w:rsidR="00BC6958" w:rsidRPr="0083037E" w:rsidRDefault="006A5B2F" w:rsidP="00BC6958">
      <w:pPr>
        <w:pStyle w:val="xmsonospacing"/>
        <w:spacing w:before="0" w:beforeAutospacing="0" w:after="0" w:afterAutospacing="0" w:line="276" w:lineRule="auto"/>
        <w:ind w:firstLine="709"/>
        <w:jc w:val="both"/>
        <w:rPr>
          <w:rFonts w:ascii="Arial" w:eastAsia="Calibri" w:hAnsi="Arial" w:cs="Arial"/>
          <w:bCs/>
          <w:sz w:val="22"/>
          <w:szCs w:val="22"/>
          <w:lang w:val="es-MX"/>
        </w:rPr>
      </w:pPr>
      <w:r w:rsidRPr="0083037E">
        <w:rPr>
          <w:rFonts w:ascii="Arial" w:eastAsia="Calibri" w:hAnsi="Arial" w:cs="Arial"/>
          <w:sz w:val="22"/>
          <w:szCs w:val="22"/>
          <w:lang w:val="es-ES"/>
        </w:rPr>
        <w:t>Como se observa de la norma, si las actividades a desarrollar corresponden, entre otr</w:t>
      </w:r>
      <w:r w:rsidR="00113ADB" w:rsidRPr="0083037E">
        <w:rPr>
          <w:rFonts w:ascii="Arial" w:eastAsia="Calibri" w:hAnsi="Arial" w:cs="Arial"/>
          <w:sz w:val="22"/>
          <w:szCs w:val="22"/>
          <w:lang w:val="es-ES"/>
        </w:rPr>
        <w:t>a</w:t>
      </w:r>
      <w:r w:rsidRPr="0083037E">
        <w:rPr>
          <w:rFonts w:ascii="Arial" w:eastAsia="Calibri" w:hAnsi="Arial" w:cs="Arial"/>
          <w:sz w:val="22"/>
          <w:szCs w:val="22"/>
          <w:lang w:val="es-ES"/>
        </w:rPr>
        <w:t xml:space="preserve">s, a </w:t>
      </w:r>
      <w:r w:rsidRPr="0083037E">
        <w:rPr>
          <w:rFonts w:ascii="Arial" w:eastAsia="Calibri" w:hAnsi="Arial" w:cs="Arial"/>
          <w:sz w:val="22"/>
          <w:szCs w:val="22"/>
        </w:rPr>
        <w:t xml:space="preserve">la </w:t>
      </w:r>
      <w:r w:rsidR="0021678E" w:rsidRPr="0083037E">
        <w:rPr>
          <w:rFonts w:ascii="Arial" w:eastAsia="Calibri" w:hAnsi="Arial" w:cs="Arial"/>
          <w:sz w:val="22"/>
          <w:szCs w:val="22"/>
        </w:rPr>
        <w:t>realización</w:t>
      </w:r>
      <w:r w:rsidRPr="0083037E">
        <w:rPr>
          <w:rFonts w:ascii="Arial" w:eastAsia="Calibri" w:hAnsi="Arial" w:cs="Arial"/>
          <w:sz w:val="22"/>
          <w:szCs w:val="22"/>
        </w:rPr>
        <w:t xml:space="preserve"> de estudios necesarios para la </w:t>
      </w:r>
      <w:r w:rsidR="0021678E" w:rsidRPr="0083037E">
        <w:rPr>
          <w:rFonts w:ascii="Arial" w:eastAsia="Calibri" w:hAnsi="Arial" w:cs="Arial"/>
          <w:sz w:val="22"/>
          <w:szCs w:val="22"/>
        </w:rPr>
        <w:t>ejecución</w:t>
      </w:r>
      <w:r w:rsidRPr="0083037E">
        <w:rPr>
          <w:rFonts w:ascii="Arial" w:eastAsia="Calibri" w:hAnsi="Arial" w:cs="Arial"/>
          <w:sz w:val="22"/>
          <w:szCs w:val="22"/>
        </w:rPr>
        <w:t xml:space="preserve"> de proyectos de </w:t>
      </w:r>
      <w:r w:rsidR="0021678E" w:rsidRPr="0083037E">
        <w:rPr>
          <w:rFonts w:ascii="Arial" w:eastAsia="Calibri" w:hAnsi="Arial" w:cs="Arial"/>
          <w:sz w:val="22"/>
          <w:szCs w:val="22"/>
        </w:rPr>
        <w:t>inversión</w:t>
      </w:r>
      <w:r w:rsidRPr="0083037E">
        <w:rPr>
          <w:rFonts w:ascii="Arial" w:eastAsia="Calibri" w:hAnsi="Arial" w:cs="Arial"/>
          <w:sz w:val="22"/>
          <w:szCs w:val="22"/>
        </w:rPr>
        <w:t xml:space="preserve">, estudios de </w:t>
      </w:r>
      <w:r w:rsidR="0021678E" w:rsidRPr="0083037E">
        <w:rPr>
          <w:rFonts w:ascii="Arial" w:eastAsia="Calibri" w:hAnsi="Arial" w:cs="Arial"/>
          <w:sz w:val="22"/>
          <w:szCs w:val="22"/>
        </w:rPr>
        <w:t>diagnóstico</w:t>
      </w:r>
      <w:r w:rsidRPr="0083037E">
        <w:rPr>
          <w:rFonts w:ascii="Arial" w:eastAsia="Calibri" w:hAnsi="Arial" w:cs="Arial"/>
          <w:sz w:val="22"/>
          <w:szCs w:val="22"/>
        </w:rPr>
        <w:t xml:space="preserve">, prefactibilidad o factibilidad para programas o proyectos </w:t>
      </w:r>
      <w:r w:rsidR="0021678E" w:rsidRPr="0083037E">
        <w:rPr>
          <w:rFonts w:ascii="Arial" w:eastAsia="Calibri" w:hAnsi="Arial" w:cs="Arial"/>
          <w:sz w:val="22"/>
          <w:szCs w:val="22"/>
        </w:rPr>
        <w:t>específicos</w:t>
      </w:r>
      <w:r w:rsidRPr="0083037E">
        <w:rPr>
          <w:rFonts w:ascii="Arial" w:eastAsia="Calibri" w:hAnsi="Arial" w:cs="Arial"/>
          <w:sz w:val="22"/>
          <w:szCs w:val="22"/>
        </w:rPr>
        <w:t xml:space="preserve">, se estará ante un contrato de consultoría. En este punto, no sobra precisar que aunque la interventoría es una especie de contrato de consultoría, Colombia Compra Eficiente adoptó unos Documentos Tipo particulares para estos contratos mediante la Resolución 256 del 11 de diciembre de 2020. En consecuencia, si las actividades a desarrollar consisten «en el control, vigilancia, </w:t>
      </w:r>
      <w:r w:rsidR="00296822" w:rsidRPr="0083037E">
        <w:rPr>
          <w:rFonts w:ascii="Arial" w:eastAsia="Calibri" w:hAnsi="Arial" w:cs="Arial"/>
          <w:sz w:val="22"/>
          <w:szCs w:val="22"/>
        </w:rPr>
        <w:t>inspección</w:t>
      </w:r>
      <w:r w:rsidRPr="0083037E">
        <w:rPr>
          <w:rFonts w:ascii="Arial" w:eastAsia="Calibri" w:hAnsi="Arial" w:cs="Arial"/>
          <w:sz w:val="22"/>
          <w:szCs w:val="22"/>
        </w:rPr>
        <w:t xml:space="preserve"> y </w:t>
      </w:r>
      <w:r w:rsidR="00296822" w:rsidRPr="0083037E">
        <w:rPr>
          <w:rFonts w:ascii="Arial" w:eastAsia="Calibri" w:hAnsi="Arial" w:cs="Arial"/>
          <w:sz w:val="22"/>
          <w:szCs w:val="22"/>
        </w:rPr>
        <w:t>verificación</w:t>
      </w:r>
      <w:r w:rsidRPr="0083037E">
        <w:rPr>
          <w:rFonts w:ascii="Arial" w:eastAsia="Calibri" w:hAnsi="Arial" w:cs="Arial"/>
          <w:sz w:val="22"/>
          <w:szCs w:val="22"/>
        </w:rPr>
        <w:t xml:space="preserve"> del cumplimiento de una, varias o todas las obligaciones derivadas de un contrato celebrado por una entidad estatal, en nombre y </w:t>
      </w:r>
      <w:r w:rsidR="00296822" w:rsidRPr="0083037E">
        <w:rPr>
          <w:rFonts w:ascii="Arial" w:eastAsia="Calibri" w:hAnsi="Arial" w:cs="Arial"/>
          <w:sz w:val="22"/>
          <w:szCs w:val="22"/>
        </w:rPr>
        <w:t>representación</w:t>
      </w:r>
      <w:r w:rsidRPr="0083037E">
        <w:rPr>
          <w:rFonts w:ascii="Arial" w:eastAsia="Calibri" w:hAnsi="Arial" w:cs="Arial"/>
          <w:sz w:val="22"/>
          <w:szCs w:val="22"/>
        </w:rPr>
        <w:t xml:space="preserve"> de ella»</w:t>
      </w:r>
      <w:r w:rsidRPr="0083037E">
        <w:rPr>
          <w:rStyle w:val="Refdenotaalpie"/>
          <w:rFonts w:ascii="Arial" w:eastAsia="Calibri" w:hAnsi="Arial" w:cs="Arial"/>
          <w:sz w:val="22"/>
          <w:szCs w:val="22"/>
        </w:rPr>
        <w:footnoteReference w:id="6"/>
      </w:r>
      <w:r w:rsidRPr="0083037E">
        <w:rPr>
          <w:rFonts w:ascii="Arial" w:eastAsia="Calibri" w:hAnsi="Arial" w:cs="Arial"/>
          <w:sz w:val="22"/>
          <w:szCs w:val="22"/>
        </w:rPr>
        <w:t xml:space="preserve">, la entidad prescindirá del uso de los Documentos Tipo de consultoría, y por ende, deberá estudiar si los Documentos Tipo de </w:t>
      </w:r>
      <w:r w:rsidRPr="0083037E">
        <w:rPr>
          <w:rFonts w:ascii="Arial" w:eastAsia="Calibri" w:hAnsi="Arial" w:cs="Arial"/>
          <w:bCs/>
          <w:sz w:val="22"/>
          <w:szCs w:val="22"/>
          <w:lang w:val="es-MX"/>
        </w:rPr>
        <w:t>interventoría de obra pública de infraestructura de transporte son aplicables al proyecto a contratar.</w:t>
      </w:r>
    </w:p>
    <w:p w14:paraId="736563A1" w14:textId="76F2161F" w:rsidR="001C094D" w:rsidRPr="0083037E" w:rsidRDefault="006A5B2F" w:rsidP="00BC6958">
      <w:pPr>
        <w:pStyle w:val="xmsonospacing"/>
        <w:spacing w:before="120" w:beforeAutospacing="0" w:after="0" w:afterAutospacing="0" w:line="276" w:lineRule="auto"/>
        <w:ind w:firstLine="709"/>
        <w:jc w:val="both"/>
        <w:rPr>
          <w:rFonts w:ascii="Arial" w:eastAsia="Calibri" w:hAnsi="Arial" w:cs="Arial"/>
          <w:bCs/>
          <w:sz w:val="22"/>
          <w:szCs w:val="22"/>
          <w:lang w:val="es-MX"/>
        </w:rPr>
      </w:pPr>
      <w:r w:rsidRPr="0083037E">
        <w:rPr>
          <w:rFonts w:ascii="Arial" w:eastAsia="Calibri" w:hAnsi="Arial" w:cs="Arial"/>
          <w:bCs/>
          <w:sz w:val="22"/>
          <w:szCs w:val="22"/>
          <w:lang w:val="es-MX"/>
        </w:rPr>
        <w:t xml:space="preserve">En segundo lugar, la Entidad Estatal debe analizar si la consultoría a contratar se relaciona con proyectos de infraestructura de transporte. Así, </w:t>
      </w:r>
      <w:r w:rsidRPr="0083037E">
        <w:rPr>
          <w:rFonts w:ascii="Arial" w:eastAsia="Calibri" w:hAnsi="Arial" w:cs="Arial"/>
          <w:color w:val="000000" w:themeColor="text1"/>
          <w:sz w:val="22"/>
          <w:lang w:val="es-ES" w:eastAsia="en-GB"/>
        </w:rPr>
        <w:t xml:space="preserve">la Ley 1682 de 2013 es útil para determinar si se está ante una infraestructura de transporte o no. En efecto, el artículo 2 de la citada ley, definió la infraestructura de transporte como un «[…] sistema de movilidad integrado por un conjunto de bienes tangibles, intangibles y aquellos que se encuentren relacionados con este, el cual está bajo la vigilancia y control del Estado […]». Por su lado, </w:t>
      </w:r>
      <w:r w:rsidR="00A50054" w:rsidRPr="0083037E">
        <w:rPr>
          <w:rFonts w:ascii="Arial" w:eastAsia="Calibri" w:hAnsi="Arial" w:cs="Arial"/>
          <w:color w:val="000000" w:themeColor="text1"/>
          <w:sz w:val="22"/>
          <w:lang w:val="es-ES" w:eastAsia="en-GB"/>
        </w:rPr>
        <w:t>el</w:t>
      </w:r>
      <w:r w:rsidRPr="0083037E">
        <w:rPr>
          <w:rFonts w:ascii="Arial" w:eastAsia="Calibri" w:hAnsi="Arial" w:cs="Arial"/>
          <w:color w:val="000000" w:themeColor="text1"/>
          <w:sz w:val="22"/>
          <w:lang w:val="es-ES" w:eastAsia="en-GB"/>
        </w:rPr>
        <w:t xml:space="preserve"> artículo 4 enumera los elementos que conforman el sistema de infraestructura de transporte. </w:t>
      </w:r>
    </w:p>
    <w:p w14:paraId="20EF1040" w14:textId="7AF3F7C0" w:rsidR="001C094D" w:rsidRPr="0083037E" w:rsidRDefault="006A5B2F" w:rsidP="001C094D">
      <w:pPr>
        <w:pStyle w:val="xmsonospacing"/>
        <w:spacing w:before="120" w:beforeAutospacing="0" w:after="0" w:afterAutospacing="0" w:line="276" w:lineRule="auto"/>
        <w:ind w:firstLine="709"/>
        <w:jc w:val="both"/>
        <w:rPr>
          <w:rFonts w:ascii="Arial" w:eastAsia="Calibri" w:hAnsi="Arial" w:cs="Arial"/>
          <w:bCs/>
          <w:sz w:val="22"/>
          <w:szCs w:val="22"/>
          <w:lang w:val="es-MX"/>
        </w:rPr>
      </w:pPr>
      <w:r w:rsidRPr="0083037E">
        <w:rPr>
          <w:rFonts w:ascii="Arial" w:eastAsia="Calibri" w:hAnsi="Arial" w:cs="Arial"/>
          <w:color w:val="000000" w:themeColor="text1"/>
          <w:sz w:val="22"/>
          <w:lang w:val="es-ES" w:eastAsia="en-GB"/>
        </w:rPr>
        <w:t xml:space="preserve">Bajo ese entendido, si el contrato de consultoría se relaciona con el sistema de infraestructura de transporte, la entidad estatal deberá analizar el aspecto que se va a explicar en el párrafo siguiente. </w:t>
      </w:r>
      <w:r w:rsidR="00EE0955" w:rsidRPr="0083037E">
        <w:rPr>
          <w:rFonts w:ascii="Arial" w:eastAsia="Calibri" w:hAnsi="Arial" w:cs="Arial"/>
          <w:color w:val="000000" w:themeColor="text1"/>
          <w:sz w:val="22"/>
          <w:lang w:val="es-ES" w:eastAsia="en-GB"/>
        </w:rPr>
        <w:t>Lo anterior teniendo en cuent</w:t>
      </w:r>
      <w:r w:rsidR="008E5C9D" w:rsidRPr="0083037E">
        <w:rPr>
          <w:rFonts w:ascii="Arial" w:eastAsia="Calibri" w:hAnsi="Arial" w:cs="Arial"/>
          <w:color w:val="000000" w:themeColor="text1"/>
          <w:sz w:val="22"/>
          <w:lang w:val="es-ES" w:eastAsia="en-GB"/>
        </w:rPr>
        <w:t>a</w:t>
      </w:r>
      <w:r w:rsidR="00EE0955" w:rsidRPr="0083037E">
        <w:rPr>
          <w:rFonts w:ascii="Arial" w:eastAsia="Calibri" w:hAnsi="Arial" w:cs="Arial"/>
          <w:color w:val="000000" w:themeColor="text1"/>
          <w:sz w:val="22"/>
          <w:lang w:val="es-ES" w:eastAsia="en-GB"/>
        </w:rPr>
        <w:t xml:space="preserve"> </w:t>
      </w:r>
      <w:proofErr w:type="gramStart"/>
      <w:r w:rsidRPr="0083037E">
        <w:rPr>
          <w:rFonts w:ascii="Arial" w:eastAsia="Calibri" w:hAnsi="Arial" w:cs="Arial"/>
          <w:color w:val="000000" w:themeColor="text1"/>
          <w:sz w:val="22"/>
          <w:lang w:val="es-ES" w:eastAsia="en-GB"/>
        </w:rPr>
        <w:t>que</w:t>
      </w:r>
      <w:proofErr w:type="gramEnd"/>
      <w:r w:rsidRPr="0083037E">
        <w:rPr>
          <w:rFonts w:ascii="Arial" w:eastAsia="Calibri" w:hAnsi="Arial" w:cs="Arial"/>
          <w:color w:val="000000" w:themeColor="text1"/>
          <w:sz w:val="22"/>
          <w:lang w:val="es-ES" w:eastAsia="en-GB"/>
        </w:rPr>
        <w:t xml:space="preserve"> de no relacionarse con aquel, la entidad no se verá obligada a aplicar los Documentos Tipo adoptados </w:t>
      </w:r>
      <w:r w:rsidRPr="0083037E">
        <w:rPr>
          <w:rFonts w:ascii="Arial" w:eastAsia="Calibri" w:hAnsi="Arial" w:cs="Arial"/>
          <w:sz w:val="22"/>
          <w:szCs w:val="22"/>
          <w:lang w:val="es-ES"/>
        </w:rPr>
        <w:t xml:space="preserve">por la </w:t>
      </w:r>
      <w:r w:rsidRPr="0083037E">
        <w:rPr>
          <w:rFonts w:ascii="Arial" w:eastAsia="Calibri" w:hAnsi="Arial" w:cs="Arial"/>
          <w:color w:val="000000"/>
          <w:sz w:val="22"/>
          <w:lang w:val="es-ES" w:eastAsia="es-ES"/>
        </w:rPr>
        <w:t>Resolución 193 del 14 de julio de 2021, pues su ámbito de aplicación se limita a proyectos de infraestructura de transporte.</w:t>
      </w:r>
    </w:p>
    <w:p w14:paraId="5CD5A835" w14:textId="4047A4F7" w:rsidR="006A5B2F" w:rsidRPr="0083037E" w:rsidRDefault="00A50054" w:rsidP="001C094D">
      <w:pPr>
        <w:pStyle w:val="xmsonospacing"/>
        <w:spacing w:before="120" w:beforeAutospacing="0" w:after="0" w:afterAutospacing="0" w:line="276" w:lineRule="auto"/>
        <w:ind w:firstLine="709"/>
        <w:jc w:val="both"/>
        <w:rPr>
          <w:rFonts w:ascii="Arial" w:eastAsia="Calibri" w:hAnsi="Arial" w:cs="Arial"/>
          <w:bCs/>
          <w:sz w:val="22"/>
          <w:szCs w:val="22"/>
          <w:lang w:val="es-MX"/>
        </w:rPr>
      </w:pPr>
      <w:r w:rsidRPr="0083037E">
        <w:rPr>
          <w:rFonts w:ascii="Arial" w:eastAsia="Calibri" w:hAnsi="Arial" w:cs="Arial"/>
          <w:sz w:val="22"/>
          <w:szCs w:val="22"/>
          <w:lang w:val="es-ES"/>
        </w:rPr>
        <w:t>De forma más precisa, p</w:t>
      </w:r>
      <w:r w:rsidR="006A5B2F" w:rsidRPr="0083037E">
        <w:rPr>
          <w:rFonts w:ascii="Arial" w:hAnsi="Arial" w:cs="Arial"/>
          <w:sz w:val="22"/>
          <w:shd w:val="clear" w:color="auto" w:fill="FFFFFF"/>
          <w:lang w:val="es-ES"/>
        </w:rPr>
        <w:t xml:space="preserve">ara determinar si la entidad regida por el EGCAP está obligada a aplicar los documentos tipo para la respectiva contratación, habrá que determinar si el objeto a contratar se encuadra dentro de los tipos de infraestructura y actividades establecidas dentro de la respectiva Matriz 1, documento que además </w:t>
      </w:r>
      <w:r w:rsidR="006A5B2F" w:rsidRPr="0083037E">
        <w:rPr>
          <w:rFonts w:ascii="Arial" w:hAnsi="Arial" w:cs="Arial"/>
          <w:sz w:val="22"/>
          <w:shd w:val="clear" w:color="auto" w:fill="FFFFFF"/>
          <w:lang w:val="es-ES"/>
        </w:rPr>
        <w:lastRenderedPageBreak/>
        <w:t>estandariza los requisitos de experiencia exigibles para cada uno de los objetos contractuales que deben contratarse aplicando Documentos Tipo</w:t>
      </w:r>
      <w:r w:rsidR="006A5B2F" w:rsidRPr="0083037E">
        <w:rPr>
          <w:rStyle w:val="Refdenotaalpie"/>
          <w:rFonts w:ascii="Arial" w:hAnsi="Arial" w:cs="Arial"/>
          <w:sz w:val="22"/>
          <w:shd w:val="clear" w:color="auto" w:fill="FFFFFF"/>
          <w:lang w:val="es-ES"/>
        </w:rPr>
        <w:footnoteReference w:id="7"/>
      </w:r>
      <w:r w:rsidR="006A5B2F" w:rsidRPr="0083037E">
        <w:rPr>
          <w:rFonts w:ascii="Arial" w:hAnsi="Arial" w:cs="Arial"/>
          <w:sz w:val="22"/>
          <w:shd w:val="clear" w:color="auto" w:fill="FFFFFF"/>
          <w:lang w:val="es-ES"/>
        </w:rPr>
        <w:t>. En tal sentido, la entidad asociará el objeto contractual a una de las «consultorías generales» relacionadas en la Matriz 1, y establecerá si las «actividades»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w:t>
      </w:r>
    </w:p>
    <w:p w14:paraId="19CD4A08" w14:textId="77777777" w:rsidR="006A5B2F" w:rsidRPr="0083037E" w:rsidRDefault="006A5B2F" w:rsidP="006A5B2F">
      <w:pPr>
        <w:shd w:val="clear" w:color="auto" w:fill="FFFFFF"/>
        <w:spacing w:line="276" w:lineRule="auto"/>
        <w:jc w:val="both"/>
        <w:textAlignment w:val="baseline"/>
        <w:rPr>
          <w:rFonts w:ascii="Arial" w:eastAsia="Calibri" w:hAnsi="Arial" w:cs="Arial"/>
          <w:color w:val="000000"/>
          <w:bdr w:val="none" w:sz="0" w:space="0" w:color="auto" w:frame="1"/>
          <w:lang w:val="es-ES"/>
        </w:rPr>
      </w:pPr>
    </w:p>
    <w:p w14:paraId="65C38F9C" w14:textId="742043A0" w:rsidR="00882484" w:rsidRPr="0083037E" w:rsidRDefault="00882484" w:rsidP="00882484">
      <w:pPr>
        <w:spacing w:line="276" w:lineRule="auto"/>
        <w:jc w:val="both"/>
        <w:rPr>
          <w:rFonts w:ascii="Arial" w:eastAsia="Calibri" w:hAnsi="Arial" w:cs="Arial"/>
          <w:b/>
          <w:bCs/>
          <w:color w:val="000000"/>
          <w:lang w:eastAsia="en-GB"/>
        </w:rPr>
      </w:pPr>
      <w:r w:rsidRPr="0083037E">
        <w:rPr>
          <w:rFonts w:ascii="Arial" w:eastAsia="Calibri" w:hAnsi="Arial" w:cs="Arial"/>
          <w:b/>
          <w:bCs/>
          <w:color w:val="000000"/>
          <w:lang w:eastAsia="en-GB"/>
        </w:rPr>
        <w:t>2.</w:t>
      </w:r>
      <w:r w:rsidR="002748DC" w:rsidRPr="0083037E">
        <w:rPr>
          <w:rFonts w:ascii="Arial" w:eastAsia="Calibri" w:hAnsi="Arial" w:cs="Arial"/>
          <w:b/>
          <w:bCs/>
          <w:color w:val="000000"/>
          <w:lang w:eastAsia="en-GB"/>
        </w:rPr>
        <w:t>3</w:t>
      </w:r>
      <w:r w:rsidRPr="0083037E">
        <w:rPr>
          <w:rFonts w:ascii="Arial" w:eastAsia="Calibri" w:hAnsi="Arial" w:cs="Arial"/>
          <w:b/>
          <w:bCs/>
          <w:color w:val="000000"/>
          <w:lang w:eastAsia="en-GB"/>
        </w:rPr>
        <w:t>. Inalterabilidad de los documentos tipo</w:t>
      </w:r>
    </w:p>
    <w:p w14:paraId="1A693F32" w14:textId="77777777" w:rsidR="00882484" w:rsidRPr="0083037E" w:rsidRDefault="00882484" w:rsidP="00882484">
      <w:pPr>
        <w:spacing w:line="276" w:lineRule="auto"/>
        <w:jc w:val="both"/>
        <w:rPr>
          <w:rFonts w:ascii="Arial" w:eastAsia="Calibri" w:hAnsi="Arial" w:cs="Arial"/>
          <w:b/>
          <w:bCs/>
          <w:color w:val="000000"/>
          <w:lang w:eastAsia="en-GB"/>
        </w:rPr>
      </w:pPr>
    </w:p>
    <w:p w14:paraId="52AA2DBD" w14:textId="163E93FE" w:rsidR="00882484" w:rsidRPr="0083037E" w:rsidRDefault="00BC6958" w:rsidP="00882484">
      <w:pPr>
        <w:spacing w:line="276" w:lineRule="auto"/>
        <w:jc w:val="both"/>
        <w:rPr>
          <w:rFonts w:ascii="Arial" w:eastAsia="Calibri" w:hAnsi="Arial" w:cs="Arial"/>
          <w:color w:val="000000"/>
          <w:lang w:val="es-ES_tradnl"/>
        </w:rPr>
      </w:pPr>
      <w:r w:rsidRPr="0083037E">
        <w:rPr>
          <w:rFonts w:ascii="Arial" w:eastAsia="Calibri" w:hAnsi="Arial" w:cs="Arial"/>
          <w:color w:val="000000"/>
          <w:lang w:val="es-ES_tradnl"/>
        </w:rPr>
        <w:t>Teniendo en cuenta que la consulta que se</w:t>
      </w:r>
      <w:r w:rsidR="001B4D7F" w:rsidRPr="0083037E">
        <w:rPr>
          <w:rFonts w:ascii="Arial" w:eastAsia="Calibri" w:hAnsi="Arial" w:cs="Arial"/>
          <w:color w:val="000000"/>
          <w:lang w:val="es-ES_tradnl"/>
        </w:rPr>
        <w:t xml:space="preserve"> analiza</w:t>
      </w:r>
      <w:r w:rsidR="00465423" w:rsidRPr="0083037E">
        <w:rPr>
          <w:rFonts w:ascii="Arial" w:eastAsia="Calibri" w:hAnsi="Arial" w:cs="Arial"/>
          <w:color w:val="000000"/>
          <w:lang w:val="es-ES_tradnl"/>
        </w:rPr>
        <w:t xml:space="preserve"> tiene que ver con la interpretación</w:t>
      </w:r>
      <w:r w:rsidR="00C848D8" w:rsidRPr="0083037E">
        <w:rPr>
          <w:rFonts w:ascii="Arial" w:eastAsia="Calibri" w:hAnsi="Arial" w:cs="Arial"/>
          <w:color w:val="000000"/>
          <w:lang w:val="es-ES_tradnl"/>
        </w:rPr>
        <w:t xml:space="preserve"> y aplicación</w:t>
      </w:r>
      <w:r w:rsidR="00465423" w:rsidRPr="0083037E">
        <w:rPr>
          <w:rFonts w:ascii="Arial" w:eastAsia="Calibri" w:hAnsi="Arial" w:cs="Arial"/>
          <w:color w:val="000000"/>
          <w:lang w:val="es-ES_tradnl"/>
        </w:rPr>
        <w:t xml:space="preserve"> de la Matriz 1, es importante </w:t>
      </w:r>
      <w:r w:rsidR="00024A96" w:rsidRPr="0083037E">
        <w:rPr>
          <w:rFonts w:ascii="Arial" w:eastAsia="Calibri" w:hAnsi="Arial" w:cs="Arial"/>
          <w:color w:val="000000"/>
          <w:lang w:val="es-ES_tradnl"/>
        </w:rPr>
        <w:t>recordar que en los documentos tipo rige la regla de la inalterabilidad. En efecto, t</w:t>
      </w:r>
      <w:r w:rsidR="00882484" w:rsidRPr="0083037E">
        <w:rPr>
          <w:rFonts w:ascii="Arial" w:eastAsia="Calibri" w:hAnsi="Arial" w:cs="Arial"/>
          <w:color w:val="000000"/>
          <w:lang w:val="es-ES_tradnl"/>
        </w:rPr>
        <w:t xml:space="preserve">odas las resoluciones expedidas por la Agencia Nacional de Contratación Pública – Colombia Compra Eficiente, mediante las cuales se han adoptado los documentos tipo, consagran </w:t>
      </w:r>
      <w:r w:rsidR="00C848D8" w:rsidRPr="0083037E">
        <w:rPr>
          <w:rFonts w:ascii="Arial" w:eastAsia="Calibri" w:hAnsi="Arial" w:cs="Arial"/>
          <w:color w:val="000000"/>
          <w:lang w:val="es-ES_tradnl"/>
        </w:rPr>
        <w:t>dicha regla</w:t>
      </w:r>
      <w:r w:rsidR="00882484" w:rsidRPr="0083037E">
        <w:rPr>
          <w:rFonts w:ascii="Arial" w:eastAsia="Calibri" w:hAnsi="Arial" w:cs="Arial"/>
          <w:color w:val="000000"/>
          <w:vertAlign w:val="superscript"/>
          <w:lang w:val="es-ES_tradnl"/>
        </w:rPr>
        <w:footnoteReference w:id="8"/>
      </w:r>
      <w:r w:rsidR="00882484" w:rsidRPr="0083037E">
        <w:rPr>
          <w:rFonts w:ascii="Arial" w:eastAsia="Calibri" w:hAnsi="Arial" w:cs="Arial"/>
          <w:color w:val="000000"/>
          <w:lang w:val="es-ES_tradnl"/>
        </w:rPr>
        <w:t xml:space="preserve">. Esta prohibición consiste en que </w:t>
      </w:r>
      <w:bookmarkStart w:id="2" w:name="_Hlk79403115"/>
      <w:r w:rsidR="00882484" w:rsidRPr="0083037E">
        <w:rPr>
          <w:rFonts w:ascii="Arial" w:eastAsia="Calibri" w:hAnsi="Arial" w:cs="Arial"/>
          <w:color w:val="000000"/>
          <w:lang w:val="es-ES_tradnl"/>
        </w:rPr>
        <w:t xml:space="preserve">las entidades estatales no pueden incluir o modificar en los </w:t>
      </w:r>
      <w:r w:rsidR="00882484" w:rsidRPr="0083037E">
        <w:rPr>
          <w:rFonts w:ascii="Arial" w:eastAsia="Calibri" w:hAnsi="Arial" w:cs="Arial"/>
          <w:i/>
          <w:iCs/>
          <w:color w:val="000000"/>
          <w:lang w:val="es-ES_tradnl"/>
        </w:rPr>
        <w:t>Documentos del Proceso</w:t>
      </w:r>
      <w:r w:rsidR="00882484" w:rsidRPr="0083037E">
        <w:rPr>
          <w:rFonts w:ascii="Arial" w:eastAsia="Calibri" w:hAnsi="Arial" w:cs="Arial"/>
          <w:color w:val="000000"/>
          <w:lang w:val="es-ES_tradnl"/>
        </w:rPr>
        <w:t xml:space="preserve"> las condiciones habilitantes, los factores técnicos y económicos de escogencia y los sistemas de ponderación distintos a los señalados en los documentos tipo</w:t>
      </w:r>
      <w:bookmarkEnd w:id="2"/>
      <w:r w:rsidR="00882484" w:rsidRPr="0083037E">
        <w:rPr>
          <w:rFonts w:ascii="Arial" w:eastAsia="Calibri" w:hAnsi="Arial" w:cs="Arial"/>
          <w:color w:val="000000"/>
          <w:lang w:val="es-ES_tradnl"/>
        </w:rPr>
        <w:t>.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65A99DEC" w14:textId="20DEF884" w:rsidR="00882484" w:rsidRPr="0083037E" w:rsidRDefault="00882484" w:rsidP="00882484">
      <w:pPr>
        <w:spacing w:before="120" w:line="276" w:lineRule="auto"/>
        <w:ind w:firstLine="709"/>
        <w:jc w:val="both"/>
        <w:rPr>
          <w:rFonts w:ascii="Arial" w:eastAsia="Calibri" w:hAnsi="Arial" w:cs="Arial"/>
          <w:color w:val="000000"/>
          <w:lang w:val="es-ES_tradnl"/>
        </w:rPr>
      </w:pPr>
      <w:r w:rsidRPr="0083037E">
        <w:rPr>
          <w:rFonts w:ascii="Arial" w:eastAsia="Calibri" w:hAnsi="Arial" w:cs="Arial"/>
          <w:color w:val="000000"/>
          <w:lang w:val="es-ES_tradnl"/>
        </w:rPr>
        <w:t xml:space="preserve">El fundamento legal vigente de la regla de la inalterabilidad está en </w:t>
      </w:r>
      <w:bookmarkStart w:id="3" w:name="_Hlk79402315"/>
      <w:r w:rsidRPr="0083037E">
        <w:rPr>
          <w:rFonts w:ascii="Arial" w:eastAsia="Calibri" w:hAnsi="Arial" w:cs="Arial"/>
          <w:color w:val="000000"/>
          <w:lang w:val="es-ES_tradnl"/>
        </w:rPr>
        <w:t xml:space="preserve">el artículo 1 de la </w:t>
      </w:r>
      <w:bookmarkEnd w:id="3"/>
      <w:r w:rsidRPr="0083037E">
        <w:rPr>
          <w:rFonts w:ascii="Arial" w:eastAsia="Calibri" w:hAnsi="Arial" w:cs="Arial"/>
          <w:color w:val="000000"/>
          <w:lang w:val="es-ES_tradnl"/>
        </w:rPr>
        <w:t>Ley 2022 de 2020, según el cual «[…] serán de obligatorio cumplimiento en la actividad contractual de todas las entidades sometidas al Estatuto General de Contratación de la Administración Pública»</w:t>
      </w:r>
      <w:r w:rsidR="00611396" w:rsidRPr="0083037E">
        <w:rPr>
          <w:rFonts w:ascii="Arial" w:eastAsia="Calibri" w:hAnsi="Arial" w:cs="Arial"/>
          <w:color w:val="000000"/>
          <w:lang w:val="es-ES_tradnl"/>
        </w:rPr>
        <w:t>. No obstante,</w:t>
      </w:r>
      <w:r w:rsidRPr="0083037E">
        <w:rPr>
          <w:rFonts w:ascii="Arial" w:eastAsia="Calibri" w:hAnsi="Arial" w:cs="Arial"/>
          <w:color w:val="000000"/>
          <w:lang w:val="es-ES_tradnl"/>
        </w:rPr>
        <w:t xml:space="preserve"> ello no significa que antes no rigiera, pues así también lo disponía el artículo 4 de la Ley 1882 de 2018. Por vía </w:t>
      </w:r>
      <w:r w:rsidRPr="0083037E">
        <w:rPr>
          <w:rFonts w:ascii="Arial" w:eastAsia="Calibri" w:hAnsi="Arial" w:cs="Arial"/>
          <w:color w:val="000000"/>
          <w:lang w:val="es-ES_tradnl"/>
        </w:rPr>
        <w:lastRenderedPageBreak/>
        <w:t xml:space="preserve">reglamentaria, también quedó consignado en su momento el carácter inmodificable de los </w:t>
      </w:r>
      <w:r w:rsidR="00611396" w:rsidRPr="0083037E">
        <w:rPr>
          <w:rFonts w:ascii="Arial" w:eastAsia="Calibri" w:hAnsi="Arial" w:cs="Arial"/>
          <w:color w:val="000000"/>
          <w:lang w:val="es-ES_tradnl"/>
        </w:rPr>
        <w:t>documentos</w:t>
      </w:r>
      <w:r w:rsidRPr="0083037E">
        <w:rPr>
          <w:rFonts w:ascii="Arial" w:eastAsia="Calibri" w:hAnsi="Arial" w:cs="Arial"/>
          <w:color w:val="000000"/>
          <w:lang w:val="es-ES_tradnl"/>
        </w:rPr>
        <w:t xml:space="preserve"> tipo en el artículo 1 de los Decretos 342 de 2019, Decreto 2096 de 2019 y 594 de 2020, que adicionaron, respectivamente, los artículos 2.2.1.2.6.1.4, 2.2.1.2.6.2.3 y 2.2.1.2.6.3.4 al Decreto 1082 de 2015.</w:t>
      </w:r>
    </w:p>
    <w:p w14:paraId="371C6703" w14:textId="77777777" w:rsidR="00882484" w:rsidRPr="0083037E" w:rsidRDefault="00882484" w:rsidP="00882484">
      <w:pPr>
        <w:spacing w:before="120" w:line="276" w:lineRule="auto"/>
        <w:ind w:firstLine="709"/>
        <w:jc w:val="both"/>
        <w:rPr>
          <w:rFonts w:ascii="Arial" w:eastAsia="Calibri" w:hAnsi="Arial" w:cs="Arial"/>
          <w:bCs/>
          <w:color w:val="000000"/>
          <w:lang w:val="es-ES_tradnl"/>
        </w:rPr>
      </w:pPr>
      <w:r w:rsidRPr="0083037E">
        <w:rPr>
          <w:rFonts w:ascii="Arial" w:eastAsia="Calibri" w:hAnsi="Arial" w:cs="Arial"/>
          <w:bCs/>
          <w:color w:val="000000"/>
          <w:lang w:val="es-ES_tradnl"/>
        </w:rPr>
        <w:t xml:space="preserve">Además, las entidades estatales deben garantizar el </w:t>
      </w:r>
      <w:r w:rsidRPr="0083037E">
        <w:rPr>
          <w:rFonts w:ascii="Arial" w:eastAsia="Calibri" w:hAnsi="Arial" w:cs="Arial"/>
          <w:bCs/>
          <w:i/>
          <w:iCs/>
          <w:color w:val="000000"/>
          <w:lang w:val="es-ES_tradnl"/>
        </w:rPr>
        <w:t>principio de economía</w:t>
      </w:r>
      <w:r w:rsidRPr="0083037E">
        <w:rPr>
          <w:rFonts w:ascii="Arial" w:eastAsia="Calibri" w:hAnsi="Arial" w:cs="Arial"/>
          <w:bCs/>
          <w:color w:val="000000"/>
          <w:lang w:val="es-ES_tradnl"/>
        </w:rPr>
        <w:t>, del cual se desprende que no pueden exigir documentos o requisitos más allá de los que permitan la Constitución, la ley y los reglamentos. Este postulado ha sido recogido no solo en la contratación estatal</w:t>
      </w:r>
      <w:r w:rsidRPr="0083037E">
        <w:rPr>
          <w:rFonts w:ascii="Arial" w:eastAsia="Calibri" w:hAnsi="Arial" w:cs="Arial"/>
          <w:bCs/>
          <w:color w:val="000000"/>
          <w:vertAlign w:val="superscript"/>
          <w:lang w:val="es-ES_tradnl"/>
        </w:rPr>
        <w:footnoteReference w:id="9"/>
      </w:r>
      <w:r w:rsidRPr="0083037E">
        <w:rPr>
          <w:rFonts w:ascii="Arial" w:eastAsia="Calibri" w:hAnsi="Arial" w:cs="Arial"/>
          <w:bCs/>
          <w:color w:val="000000"/>
          <w:lang w:val="es-ES_tradnl"/>
        </w:rPr>
        <w:t xml:space="preserve"> sino además en la normativa antitrámites</w:t>
      </w:r>
      <w:r w:rsidRPr="0083037E">
        <w:rPr>
          <w:rFonts w:ascii="Arial" w:eastAsia="Calibri" w:hAnsi="Arial" w:cs="Arial"/>
          <w:bCs/>
          <w:color w:val="000000"/>
          <w:vertAlign w:val="superscript"/>
          <w:lang w:val="es-ES_tradnl"/>
        </w:rPr>
        <w:footnoteReference w:id="10"/>
      </w:r>
      <w:r w:rsidRPr="0083037E">
        <w:rPr>
          <w:rFonts w:ascii="Arial" w:eastAsia="Calibri" w:hAnsi="Arial" w:cs="Arial"/>
          <w:bCs/>
          <w:color w:val="000000"/>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57A8B6BB" w14:textId="77777777" w:rsidR="00882484" w:rsidRPr="0083037E" w:rsidRDefault="00882484" w:rsidP="00882484">
      <w:pPr>
        <w:spacing w:before="120" w:line="276" w:lineRule="auto"/>
        <w:ind w:firstLine="709"/>
        <w:jc w:val="both"/>
        <w:rPr>
          <w:rFonts w:ascii="Arial" w:eastAsia="Calibri" w:hAnsi="Arial" w:cs="Arial"/>
          <w:color w:val="000000"/>
          <w:lang w:val="es-MX"/>
        </w:rPr>
      </w:pPr>
      <w:r w:rsidRPr="0083037E">
        <w:rPr>
          <w:rFonts w:ascii="Arial" w:eastAsia="Calibri" w:hAnsi="Arial" w:cs="Arial"/>
          <w:color w:val="000000"/>
          <w:lang w:val="es-MX"/>
        </w:rPr>
        <w:t xml:space="preserve">Adicionalmente, la parte introductoria de los documentos tipo dispone que los aspectos incluidos en corchetes y resaltado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7E76F933" w14:textId="47D2C76F" w:rsidR="00882484" w:rsidRPr="0083037E" w:rsidRDefault="00882484" w:rsidP="00882484">
      <w:pPr>
        <w:spacing w:before="120" w:line="276" w:lineRule="auto"/>
        <w:ind w:firstLine="709"/>
        <w:jc w:val="both"/>
        <w:rPr>
          <w:rFonts w:ascii="Arial" w:eastAsia="Calibri" w:hAnsi="Arial" w:cs="Arial"/>
          <w:lang w:val="es-MX"/>
        </w:rPr>
      </w:pPr>
      <w:r w:rsidRPr="0083037E">
        <w:rPr>
          <w:rFonts w:ascii="Arial" w:eastAsia="Calibri" w:hAnsi="Arial" w:cs="Arial"/>
          <w:lang w:val="es-MX"/>
        </w:rPr>
        <w:t>Asimismo, en los documentos tipo se prevé</w:t>
      </w:r>
      <w:r w:rsidR="000975F3" w:rsidRPr="0083037E">
        <w:rPr>
          <w:rFonts w:ascii="Arial" w:eastAsia="Calibri" w:hAnsi="Arial" w:cs="Arial"/>
          <w:lang w:val="es-MX"/>
        </w:rPr>
        <w:t>n</w:t>
      </w:r>
      <w:r w:rsidRPr="0083037E">
        <w:rPr>
          <w:rFonts w:ascii="Arial" w:eastAsia="Calibri" w:hAnsi="Arial" w:cs="Arial"/>
          <w:lang w:val="es-MX"/>
        </w:rPr>
        <w:t xml:space="preserve"> los eventos en los que el objeto contractual incluye bienes o servicios adicionales. En este caso,</w:t>
      </w:r>
      <w:r w:rsidR="00611396" w:rsidRPr="0083037E">
        <w:rPr>
          <w:rFonts w:ascii="Arial" w:eastAsia="Calibri" w:hAnsi="Arial" w:cs="Arial"/>
          <w:lang w:val="es-MX"/>
        </w:rPr>
        <w:t xml:space="preserve"> de acuerdo con las </w:t>
      </w:r>
      <w:r w:rsidR="00611396" w:rsidRPr="0083037E">
        <w:rPr>
          <w:rFonts w:ascii="Arial" w:eastAsia="Calibri" w:hAnsi="Arial" w:cs="Arial"/>
          <w:lang w:val="es-MX"/>
        </w:rPr>
        <w:lastRenderedPageBreak/>
        <w:t>condiciones que disponga la resolución</w:t>
      </w:r>
      <w:r w:rsidR="00A50054" w:rsidRPr="0083037E">
        <w:rPr>
          <w:rFonts w:ascii="Arial" w:eastAsia="Calibri" w:hAnsi="Arial" w:cs="Arial"/>
          <w:lang w:val="es-MX"/>
        </w:rPr>
        <w:t xml:space="preserve"> que adopta los documentos tipo</w:t>
      </w:r>
      <w:r w:rsidR="00611396" w:rsidRPr="0083037E">
        <w:rPr>
          <w:rFonts w:ascii="Arial" w:eastAsia="Calibri" w:hAnsi="Arial" w:cs="Arial"/>
          <w:lang w:val="es-MX"/>
        </w:rPr>
        <w:t>,</w:t>
      </w:r>
      <w:r w:rsidRPr="0083037E">
        <w:rPr>
          <w:rFonts w:ascii="Arial" w:eastAsia="Calibri" w:hAnsi="Arial" w:cs="Arial"/>
          <w:lang w:val="es-MX"/>
        </w:rPr>
        <w:t xml:space="preserve"> la entidad estatal puede complementar experiencia adicional para evaluar la idoneidad respecto de los bienes o servicios ajenos </w:t>
      </w:r>
      <w:r w:rsidR="00611396" w:rsidRPr="0083037E">
        <w:rPr>
          <w:rFonts w:ascii="Arial" w:eastAsia="Calibri" w:hAnsi="Arial" w:cs="Arial"/>
          <w:lang w:val="es-MX"/>
        </w:rPr>
        <w:t>al objeto del documento tipo</w:t>
      </w:r>
      <w:r w:rsidRPr="0083037E">
        <w:rPr>
          <w:rFonts w:ascii="Arial" w:eastAsia="Calibri" w:hAnsi="Arial" w:cs="Arial"/>
          <w:lang w:val="es-MX"/>
        </w:rPr>
        <w:t>.</w:t>
      </w:r>
      <w:r w:rsidR="00611396" w:rsidRPr="0083037E">
        <w:rPr>
          <w:rFonts w:ascii="Arial" w:eastAsia="Calibri" w:hAnsi="Arial" w:cs="Arial"/>
          <w:lang w:val="es-MX"/>
        </w:rPr>
        <w:t xml:space="preserve"> Por ejemplo</w:t>
      </w:r>
      <w:r w:rsidRPr="0083037E">
        <w:rPr>
          <w:rFonts w:ascii="Arial" w:eastAsia="Calibri" w:hAnsi="Arial" w:cs="Arial"/>
          <w:lang w:val="es-MX"/>
        </w:rPr>
        <w:t>,</w:t>
      </w:r>
      <w:r w:rsidR="00611396" w:rsidRPr="0083037E">
        <w:rPr>
          <w:rFonts w:ascii="Arial" w:eastAsia="Calibri" w:hAnsi="Arial" w:cs="Arial"/>
          <w:lang w:val="es-MX"/>
        </w:rPr>
        <w:t xml:space="preserve"> respecto a los servicios adicionales a la </w:t>
      </w:r>
      <w:r w:rsidR="00A50054" w:rsidRPr="0083037E">
        <w:rPr>
          <w:rFonts w:ascii="Arial" w:eastAsia="Calibri" w:hAnsi="Arial" w:cs="Arial"/>
          <w:lang w:val="es-MX"/>
        </w:rPr>
        <w:t xml:space="preserve">consultoría de estudios de ingeniería de </w:t>
      </w:r>
      <w:r w:rsidR="00611396" w:rsidRPr="0083037E">
        <w:rPr>
          <w:rFonts w:ascii="Arial" w:eastAsia="Calibri" w:hAnsi="Arial" w:cs="Arial"/>
          <w:lang w:val="es-MX"/>
        </w:rPr>
        <w:t>infraestructura de transporte,</w:t>
      </w:r>
      <w:r w:rsidRPr="0083037E">
        <w:rPr>
          <w:rFonts w:ascii="Arial" w:eastAsia="Calibri" w:hAnsi="Arial" w:cs="Arial"/>
          <w:lang w:val="es-MX"/>
        </w:rPr>
        <w:t xml:space="preserve"> </w:t>
      </w:r>
      <w:r w:rsidR="00A50054" w:rsidRPr="0083037E">
        <w:rPr>
          <w:rFonts w:ascii="Arial" w:eastAsia="Calibri" w:hAnsi="Arial" w:cs="Arial"/>
          <w:lang w:val="es-MX"/>
        </w:rPr>
        <w:t xml:space="preserve">en caso que la entidad contratante considere necesario exigir experiencia adicional frente a ellos </w:t>
      </w:r>
      <w:r w:rsidRPr="0083037E">
        <w:rPr>
          <w:rFonts w:ascii="Arial" w:eastAsia="Calibri" w:hAnsi="Arial" w:cs="Arial"/>
          <w:lang w:val="es-MX"/>
        </w:rPr>
        <w:t xml:space="preserve">deberá seguir los siguientes parámetros: i) demostrar en los estudios previos que ha verificado las condiciones de mercado para la adquisición de los bienes o servicios adicionales al componente de </w:t>
      </w:r>
      <w:r w:rsidR="00A50054" w:rsidRPr="0083037E">
        <w:rPr>
          <w:rFonts w:ascii="Arial" w:eastAsia="Calibri" w:hAnsi="Arial" w:cs="Arial"/>
          <w:lang w:val="es-MX"/>
        </w:rPr>
        <w:t>consultoría de estudios de ingeniería</w:t>
      </w:r>
      <w:r w:rsidRPr="0083037E">
        <w:rPr>
          <w:rFonts w:ascii="Arial" w:eastAsia="Calibri" w:hAnsi="Arial" w:cs="Arial"/>
          <w:lang w:val="es-MX"/>
        </w:rPr>
        <w:t>,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w:t>
      </w:r>
      <w:r w:rsidR="00A50054" w:rsidRPr="0083037E">
        <w:rPr>
          <w:rStyle w:val="Refdenotaalpie"/>
          <w:rFonts w:ascii="Arial" w:eastAsia="Calibri" w:hAnsi="Arial" w:cs="Arial"/>
          <w:lang w:val="es-MX"/>
        </w:rPr>
        <w:footnoteReference w:id="11"/>
      </w:r>
      <w:r w:rsidRPr="0083037E">
        <w:rPr>
          <w:rFonts w:ascii="Arial" w:eastAsia="Calibri" w:hAnsi="Arial" w:cs="Arial"/>
          <w:lang w:val="es-MX"/>
        </w:rPr>
        <w:t xml:space="preserve">. </w:t>
      </w:r>
    </w:p>
    <w:p w14:paraId="35430E7E" w14:textId="7C39BFAB" w:rsidR="00882484" w:rsidRPr="0083037E" w:rsidRDefault="00882484" w:rsidP="00882484">
      <w:pPr>
        <w:spacing w:before="120" w:line="276" w:lineRule="auto"/>
        <w:ind w:firstLine="709"/>
        <w:jc w:val="both"/>
        <w:rPr>
          <w:rFonts w:ascii="Arial" w:eastAsia="Calibri" w:hAnsi="Arial" w:cs="Arial"/>
          <w:bCs/>
          <w:lang w:val="es-MX"/>
        </w:rPr>
      </w:pPr>
      <w:r w:rsidRPr="0083037E">
        <w:rPr>
          <w:rFonts w:ascii="Arial" w:eastAsia="Calibri" w:hAnsi="Arial" w:cs="Arial"/>
          <w:bCs/>
          <w:lang w:val="es-MX"/>
        </w:rPr>
        <w:t xml:space="preserve">En suma, la regla general frente la aplicación del «Documento Base» y en general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w:t>
      </w:r>
      <w:r w:rsidR="00FD05E9" w:rsidRPr="0083037E">
        <w:rPr>
          <w:rFonts w:ascii="Arial" w:eastAsia="Calibri" w:hAnsi="Arial" w:cs="Arial"/>
          <w:bCs/>
          <w:lang w:val="es-MX"/>
        </w:rPr>
        <w:t>adicionales, en los términos explicados,</w:t>
      </w:r>
      <w:r w:rsidRPr="0083037E">
        <w:rPr>
          <w:rFonts w:ascii="Arial" w:eastAsia="Calibri" w:hAnsi="Arial" w:cs="Arial"/>
          <w:bCs/>
          <w:lang w:val="es-MX"/>
        </w:rPr>
        <w:t xml:space="preserve"> caso en el que se podrá incluir experiencia adicional; y, además, cuando el pliego tipo de forma expresa lo incluya, es decir, en los aspectos incluidos en corchetes y resaltados en gris.</w:t>
      </w:r>
    </w:p>
    <w:p w14:paraId="688FC014" w14:textId="77777777" w:rsidR="00882484" w:rsidRPr="0083037E" w:rsidRDefault="00882484" w:rsidP="00882484">
      <w:pPr>
        <w:spacing w:before="120" w:line="276" w:lineRule="auto"/>
        <w:ind w:firstLine="709"/>
        <w:jc w:val="both"/>
        <w:rPr>
          <w:rFonts w:ascii="Arial" w:eastAsia="Calibri" w:hAnsi="Arial" w:cs="Arial"/>
          <w:bCs/>
          <w:lang w:val="es-MX"/>
        </w:rPr>
      </w:pPr>
      <w:r w:rsidRPr="0083037E">
        <w:rPr>
          <w:rFonts w:ascii="Arial" w:eastAsia="Calibri" w:hAnsi="Arial" w:cs="Arial"/>
          <w:bCs/>
          <w:lang w:val="es-MX"/>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5473FBA" w14:textId="03D22DC1" w:rsidR="00882484" w:rsidRPr="0083037E" w:rsidRDefault="00882484" w:rsidP="00882484">
      <w:pPr>
        <w:spacing w:before="120" w:line="276" w:lineRule="auto"/>
        <w:ind w:firstLine="709"/>
        <w:jc w:val="both"/>
        <w:rPr>
          <w:rFonts w:ascii="Arial" w:eastAsia="Calibri" w:hAnsi="Arial" w:cs="Arial"/>
        </w:rPr>
      </w:pPr>
      <w:r w:rsidRPr="0083037E">
        <w:rPr>
          <w:rFonts w:ascii="Arial" w:eastAsia="Calibri" w:hAnsi="Arial" w:cs="Arial"/>
          <w:lang w:val="es-MX"/>
        </w:rPr>
        <w:t xml:space="preserve">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w:t>
      </w:r>
      <w:r w:rsidRPr="0083037E">
        <w:rPr>
          <w:rFonts w:ascii="Arial" w:eastAsia="Calibri" w:hAnsi="Arial" w:cs="Arial"/>
          <w:lang w:val="es-MX"/>
        </w:rPr>
        <w:lastRenderedPageBreak/>
        <w:t>Contratación Pública, impide que la entidad que adelanta el proceso contractual le rinda culto a las «formas», pues el deber que le asiste es el de tener en cuenta y aplicar los aspectos sustanciales de los documentos tipo, sin distingo de la formalidad de la que se sirva para ello los actores de la contratación pública</w:t>
      </w:r>
      <w:r w:rsidRPr="0083037E">
        <w:rPr>
          <w:rFonts w:ascii="Arial" w:eastAsia="Calibri" w:hAnsi="Arial" w:cs="Arial"/>
          <w:vertAlign w:val="superscript"/>
        </w:rPr>
        <w:footnoteReference w:id="12"/>
      </w:r>
      <w:r w:rsidRPr="0083037E">
        <w:rPr>
          <w:rFonts w:ascii="Arial" w:eastAsia="Calibri" w:hAnsi="Arial" w:cs="Arial"/>
        </w:rPr>
        <w:t xml:space="preserve">. </w:t>
      </w:r>
    </w:p>
    <w:p w14:paraId="5964AC4B" w14:textId="77777777" w:rsidR="00882484" w:rsidRPr="0083037E" w:rsidRDefault="00882484" w:rsidP="00882484">
      <w:pPr>
        <w:spacing w:before="120" w:line="276" w:lineRule="auto"/>
        <w:ind w:firstLine="709"/>
        <w:jc w:val="both"/>
        <w:rPr>
          <w:rFonts w:ascii="Arial" w:eastAsia="Calibri" w:hAnsi="Arial" w:cs="Arial"/>
          <w:lang w:val="es-MX"/>
        </w:rPr>
      </w:pPr>
      <w:r w:rsidRPr="0083037E">
        <w:rPr>
          <w:rFonts w:ascii="Arial" w:eastAsia="Calibri" w:hAnsi="Arial" w:cs="Arial"/>
          <w:lang w:val="es-MX"/>
        </w:rPr>
        <w:t>El carácter inalterable de los documentos tipo no puede, entonces, hacerse extensivo a los aspectos eminentemente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por lo que no afectan su contenido esencial y, mucho menos, las obligaciones, deberes y derechos que se derivan para los partícipes del proceso contractual.</w:t>
      </w:r>
    </w:p>
    <w:p w14:paraId="31CEB18B" w14:textId="77777777" w:rsidR="008A5692" w:rsidRPr="0083037E" w:rsidRDefault="008A5692" w:rsidP="00882484">
      <w:pPr>
        <w:shd w:val="clear" w:color="auto" w:fill="FFFFFF"/>
        <w:spacing w:line="276" w:lineRule="auto"/>
        <w:jc w:val="both"/>
        <w:textAlignment w:val="baseline"/>
        <w:rPr>
          <w:rFonts w:ascii="Arial" w:eastAsia="Calibri" w:hAnsi="Arial" w:cs="Arial"/>
        </w:rPr>
      </w:pPr>
    </w:p>
    <w:p w14:paraId="47A663AB" w14:textId="711F2D4C" w:rsidR="007A24D3" w:rsidRPr="0083037E" w:rsidRDefault="00300E95" w:rsidP="007A24D3">
      <w:pPr>
        <w:pStyle w:val="xmsonospacing"/>
        <w:spacing w:before="0" w:beforeAutospacing="0" w:after="0" w:afterAutospacing="0" w:line="276" w:lineRule="auto"/>
        <w:jc w:val="both"/>
        <w:rPr>
          <w:rFonts w:ascii="Arial" w:eastAsia="Calibri" w:hAnsi="Arial" w:cs="Arial"/>
          <w:b/>
          <w:bCs/>
          <w:sz w:val="22"/>
          <w:szCs w:val="22"/>
          <w:lang w:val="es-ES"/>
        </w:rPr>
      </w:pPr>
      <w:r w:rsidRPr="0083037E">
        <w:rPr>
          <w:rFonts w:ascii="Arial" w:eastAsia="Calibri" w:hAnsi="Arial" w:cs="Arial"/>
          <w:b/>
          <w:color w:val="000000"/>
          <w:sz w:val="22"/>
          <w:szCs w:val="22"/>
          <w:lang w:eastAsia="es-ES_tradnl"/>
        </w:rPr>
        <w:t>2.</w:t>
      </w:r>
      <w:r w:rsidR="002748DC" w:rsidRPr="0083037E">
        <w:rPr>
          <w:rFonts w:ascii="Arial" w:eastAsia="Calibri" w:hAnsi="Arial" w:cs="Arial"/>
          <w:b/>
          <w:color w:val="000000"/>
          <w:sz w:val="22"/>
          <w:szCs w:val="22"/>
          <w:lang w:eastAsia="es-ES_tradnl"/>
        </w:rPr>
        <w:t>4</w:t>
      </w:r>
      <w:r w:rsidRPr="0083037E">
        <w:rPr>
          <w:rFonts w:ascii="Arial" w:eastAsia="Calibri" w:hAnsi="Arial" w:cs="Arial"/>
          <w:b/>
          <w:color w:val="000000"/>
          <w:sz w:val="22"/>
          <w:szCs w:val="22"/>
          <w:lang w:eastAsia="es-ES_tradnl"/>
        </w:rPr>
        <w:t xml:space="preserve">. Aplicación de la </w:t>
      </w:r>
      <w:r w:rsidR="004A096E" w:rsidRPr="0083037E">
        <w:rPr>
          <w:rFonts w:ascii="Arial" w:eastAsia="Calibri" w:hAnsi="Arial" w:cs="Arial"/>
          <w:b/>
          <w:color w:val="000000"/>
          <w:sz w:val="22"/>
          <w:szCs w:val="22"/>
          <w:lang w:eastAsia="es-ES_tradnl"/>
        </w:rPr>
        <w:t>«</w:t>
      </w:r>
      <w:r w:rsidRPr="0083037E">
        <w:rPr>
          <w:rFonts w:ascii="Arial" w:eastAsia="Calibri" w:hAnsi="Arial" w:cs="Arial"/>
          <w:b/>
          <w:color w:val="000000"/>
          <w:sz w:val="22"/>
          <w:szCs w:val="22"/>
          <w:lang w:eastAsia="es-ES_tradnl"/>
        </w:rPr>
        <w:t>Matriz 1 – Experiencia</w:t>
      </w:r>
      <w:r w:rsidR="004A096E" w:rsidRPr="0083037E">
        <w:rPr>
          <w:rFonts w:ascii="Arial" w:eastAsia="Calibri" w:hAnsi="Arial" w:cs="Arial"/>
          <w:b/>
          <w:color w:val="000000"/>
          <w:sz w:val="22"/>
          <w:szCs w:val="22"/>
          <w:lang w:eastAsia="es-ES_tradnl"/>
        </w:rPr>
        <w:t>»</w:t>
      </w:r>
      <w:r w:rsidRPr="0083037E">
        <w:rPr>
          <w:rFonts w:ascii="Arial" w:eastAsia="Calibri" w:hAnsi="Arial" w:cs="Arial"/>
          <w:b/>
          <w:color w:val="000000"/>
          <w:sz w:val="22"/>
          <w:szCs w:val="22"/>
          <w:lang w:eastAsia="es-ES_tradnl"/>
        </w:rPr>
        <w:t xml:space="preserve"> </w:t>
      </w:r>
      <w:r w:rsidR="00003FFE" w:rsidRPr="0083037E">
        <w:rPr>
          <w:rFonts w:ascii="Arial" w:eastAsia="Calibri" w:hAnsi="Arial" w:cs="Arial"/>
          <w:b/>
          <w:color w:val="000000"/>
          <w:sz w:val="22"/>
          <w:szCs w:val="22"/>
          <w:lang w:eastAsia="es-ES_tradnl"/>
        </w:rPr>
        <w:t>en los documentos tipo</w:t>
      </w:r>
      <w:r w:rsidR="007A24D3" w:rsidRPr="0083037E">
        <w:rPr>
          <w:rFonts w:ascii="Arial" w:eastAsia="Calibri" w:hAnsi="Arial" w:cs="Arial"/>
          <w:b/>
          <w:color w:val="000000"/>
          <w:sz w:val="22"/>
          <w:szCs w:val="22"/>
          <w:lang w:eastAsia="es-ES_tradnl"/>
        </w:rPr>
        <w:t xml:space="preserve"> </w:t>
      </w:r>
      <w:r w:rsidR="007A24D3" w:rsidRPr="0083037E">
        <w:rPr>
          <w:rFonts w:ascii="Arial" w:eastAsia="Calibri" w:hAnsi="Arial" w:cs="Arial"/>
          <w:b/>
          <w:bCs/>
          <w:sz w:val="22"/>
          <w:szCs w:val="22"/>
          <w:lang w:val="es-ES"/>
        </w:rPr>
        <w:t>de consultoría de estudios de ingeniería de infraestructura de transporte</w:t>
      </w:r>
    </w:p>
    <w:p w14:paraId="7AD39ADC" w14:textId="554A6917" w:rsidR="00300E95" w:rsidRPr="0083037E" w:rsidRDefault="00300E95" w:rsidP="00300E95">
      <w:pPr>
        <w:shd w:val="clear" w:color="auto" w:fill="FFFFFF"/>
        <w:spacing w:line="276" w:lineRule="auto"/>
        <w:jc w:val="both"/>
        <w:rPr>
          <w:rFonts w:ascii="Arial" w:eastAsia="Calibri" w:hAnsi="Arial" w:cs="Arial"/>
          <w:b/>
          <w:color w:val="000000"/>
          <w:lang w:val="es-ES"/>
        </w:rPr>
      </w:pPr>
    </w:p>
    <w:p w14:paraId="5B7C0A08" w14:textId="2D66FAE5" w:rsidR="00300E95" w:rsidRPr="0083037E" w:rsidRDefault="00070DEA" w:rsidP="00300E95">
      <w:pPr>
        <w:spacing w:line="276" w:lineRule="auto"/>
        <w:jc w:val="both"/>
        <w:rPr>
          <w:rFonts w:ascii="Arial" w:eastAsia="Calibri" w:hAnsi="Arial" w:cs="Arial"/>
          <w:color w:val="0D0D0D"/>
          <w:lang w:val="es-MX"/>
        </w:rPr>
      </w:pPr>
      <w:r w:rsidRPr="0083037E">
        <w:rPr>
          <w:rFonts w:ascii="Arial" w:eastAsia="Calibri" w:hAnsi="Arial" w:cs="Arial"/>
          <w:color w:val="0D0D0D"/>
          <w:lang w:val="es-MX"/>
        </w:rPr>
        <w:t>L</w:t>
      </w:r>
      <w:r w:rsidR="00300E95" w:rsidRPr="0083037E">
        <w:rPr>
          <w:rFonts w:ascii="Arial" w:eastAsia="Calibri" w:hAnsi="Arial" w:cs="Arial"/>
          <w:color w:val="0D0D0D"/>
          <w:lang w:val="es-MX"/>
        </w:rPr>
        <w:t>os documentos tipo establecen las condiciones habilitantes,</w:t>
      </w:r>
      <w:r w:rsidR="00930CA9" w:rsidRPr="0083037E">
        <w:rPr>
          <w:rFonts w:ascii="Arial" w:eastAsia="Calibri" w:hAnsi="Arial" w:cs="Arial"/>
          <w:color w:val="0D0D0D"/>
          <w:lang w:val="es-MX"/>
        </w:rPr>
        <w:t xml:space="preserve"> </w:t>
      </w:r>
      <w:r w:rsidR="00300E95" w:rsidRPr="0083037E">
        <w:rPr>
          <w:rFonts w:ascii="Arial" w:eastAsia="Calibri" w:hAnsi="Arial" w:cs="Arial"/>
          <w:color w:val="0D0D0D"/>
          <w:lang w:val="es-MX"/>
        </w:rPr>
        <w:t xml:space="preserve">los factores técnicos y económicos de escogencia y los sistemas de ponderación de carácter obligatorio para las entidades estatales sometidas al Estatuto General de la Contratación </w:t>
      </w:r>
      <w:r w:rsidR="00FD05E9" w:rsidRPr="0083037E">
        <w:rPr>
          <w:rFonts w:ascii="Arial" w:eastAsia="Calibri" w:hAnsi="Arial" w:cs="Arial"/>
          <w:color w:val="0D0D0D"/>
          <w:lang w:val="es-MX"/>
        </w:rPr>
        <w:t xml:space="preserve">de la Administración </w:t>
      </w:r>
      <w:r w:rsidR="00300E95" w:rsidRPr="0083037E">
        <w:rPr>
          <w:rFonts w:ascii="Arial" w:eastAsia="Calibri" w:hAnsi="Arial" w:cs="Arial"/>
          <w:color w:val="0D0D0D"/>
          <w:lang w:val="es-MX"/>
        </w:rPr>
        <w:t>Pública que</w:t>
      </w:r>
      <w:r w:rsidR="00D442F0" w:rsidRPr="0083037E">
        <w:rPr>
          <w:rFonts w:ascii="Arial" w:eastAsia="Calibri" w:hAnsi="Arial" w:cs="Arial"/>
          <w:color w:val="000000"/>
          <w:bdr w:val="none" w:sz="0" w:space="0" w:color="auto" w:frame="1"/>
        </w:rPr>
        <w:t xml:space="preserve"> adelanten procesos de contratación mediante la modalidad que establecen los documentos tipo para cada sector</w:t>
      </w:r>
      <w:r w:rsidR="00300E95" w:rsidRPr="0083037E">
        <w:rPr>
          <w:rFonts w:ascii="Arial" w:eastAsia="Calibri" w:hAnsi="Arial" w:cs="Arial"/>
          <w:color w:val="0D0D0D"/>
          <w:lang w:val="es-MX"/>
        </w:rPr>
        <w:t>.</w:t>
      </w:r>
      <w:r w:rsidR="00FA7C56" w:rsidRPr="0083037E">
        <w:rPr>
          <w:rFonts w:ascii="Arial" w:eastAsia="Calibri" w:hAnsi="Arial" w:cs="Arial"/>
          <w:color w:val="0D0D0D"/>
          <w:lang w:val="es-MX"/>
        </w:rPr>
        <w:t xml:space="preserve"> </w:t>
      </w:r>
      <w:r w:rsidR="00300E95" w:rsidRPr="0083037E">
        <w:rPr>
          <w:rFonts w:ascii="Arial" w:eastAsia="Calibri" w:hAnsi="Arial" w:cs="Arial"/>
          <w:color w:val="0D0D0D"/>
          <w:lang w:val="es-MX"/>
        </w:rPr>
        <w:t>Estos consisten en un grupo de documentos, conformados por un documento base, anexos, matrices, formatos y formularios, que sirven tanto a las entidades para elaborar los documentos del proceso, como a los proponentes para conformar y presentar sus ofertas.</w:t>
      </w:r>
    </w:p>
    <w:p w14:paraId="4099AB13" w14:textId="59C8018D" w:rsidR="00300E95" w:rsidRPr="0083037E" w:rsidRDefault="00FA7C56" w:rsidP="00930CA9">
      <w:pPr>
        <w:spacing w:before="120" w:line="276" w:lineRule="auto"/>
        <w:ind w:firstLine="709"/>
        <w:jc w:val="both"/>
        <w:rPr>
          <w:rFonts w:ascii="Arial" w:eastAsia="Calibri" w:hAnsi="Arial" w:cs="Arial"/>
          <w:color w:val="0D0D0D"/>
          <w:lang w:val="es-MX"/>
        </w:rPr>
      </w:pPr>
      <w:r w:rsidRPr="0083037E">
        <w:rPr>
          <w:rFonts w:ascii="Arial" w:eastAsia="Calibri" w:hAnsi="Arial" w:cs="Arial"/>
          <w:color w:val="0D0D0D"/>
          <w:lang w:val="es-MX"/>
        </w:rPr>
        <w:t>Ahora bien, u</w:t>
      </w:r>
      <w:r w:rsidR="00300E95" w:rsidRPr="0083037E">
        <w:rPr>
          <w:rFonts w:ascii="Arial" w:eastAsia="Calibri" w:hAnsi="Arial" w:cs="Arial"/>
          <w:color w:val="0D0D0D"/>
          <w:lang w:val="es-MX"/>
        </w:rPr>
        <w:t xml:space="preserve">no de los elementos comunes a los diferentes documentos tipo es la «Matriz 1 – Experiencia» –en adelante Matriz 1–. Esta consta de unas celdas en las que se describe la experiencia requerida en relación con el objeto a contratar, definiendo además qué tipo de actividades relacionadas con </w:t>
      </w:r>
      <w:r w:rsidRPr="0083037E">
        <w:rPr>
          <w:rFonts w:ascii="Arial" w:eastAsia="Calibri" w:hAnsi="Arial" w:cs="Arial"/>
          <w:color w:val="0D0D0D"/>
          <w:lang w:val="es-MX"/>
        </w:rPr>
        <w:t xml:space="preserve">cada sector </w:t>
      </w:r>
      <w:r w:rsidR="00300E95" w:rsidRPr="0083037E">
        <w:rPr>
          <w:rFonts w:ascii="Arial" w:eastAsia="Calibri" w:hAnsi="Arial" w:cs="Arial"/>
          <w:color w:val="0D0D0D"/>
          <w:lang w:val="es-MX"/>
        </w:rPr>
        <w:t xml:space="preserve">deben acogerse a los pliegos tipo. Por otro lado, encontramos el «Anexo 3 – Glosario», el </w:t>
      </w:r>
      <w:r w:rsidR="00300E95" w:rsidRPr="0083037E">
        <w:rPr>
          <w:rFonts w:ascii="Arial" w:eastAsia="Calibri" w:hAnsi="Arial" w:cs="Arial"/>
          <w:color w:val="0D0D0D"/>
          <w:lang w:val="es-MX"/>
        </w:rPr>
        <w:lastRenderedPageBreak/>
        <w:t>cual contiene las definiciones de los términos usados en los documentos del proceso. Utilizando estos dos documentos, la entidad estatal puede definir si el objeto a contratar debe emplear los documentos tipo</w:t>
      </w:r>
      <w:r w:rsidRPr="0083037E">
        <w:rPr>
          <w:rFonts w:ascii="Arial" w:eastAsia="Calibri" w:hAnsi="Arial" w:cs="Arial"/>
          <w:color w:val="0D0D0D"/>
          <w:lang w:val="es-MX"/>
        </w:rPr>
        <w:t xml:space="preserve"> adoptados por esta Agencia</w:t>
      </w:r>
      <w:r w:rsidR="00300E95" w:rsidRPr="0083037E">
        <w:rPr>
          <w:rFonts w:ascii="Arial" w:eastAsia="Calibri" w:hAnsi="Arial" w:cs="Arial"/>
          <w:color w:val="0D0D0D"/>
          <w:lang w:val="es-MX"/>
        </w:rPr>
        <w:t>.</w:t>
      </w:r>
    </w:p>
    <w:p w14:paraId="0DB1988E" w14:textId="34E97816" w:rsidR="00300E95" w:rsidRPr="0083037E" w:rsidRDefault="00300E95" w:rsidP="00497541">
      <w:pPr>
        <w:spacing w:before="120" w:after="120" w:line="276" w:lineRule="auto"/>
        <w:ind w:firstLine="709"/>
        <w:jc w:val="both"/>
        <w:rPr>
          <w:rFonts w:ascii="Arial" w:eastAsia="Calibri" w:hAnsi="Arial" w:cs="Arial"/>
          <w:color w:val="0D0D0D"/>
          <w:lang w:val="es-MX"/>
        </w:rPr>
      </w:pPr>
      <w:r w:rsidRPr="0083037E">
        <w:rPr>
          <w:rFonts w:ascii="Arial" w:eastAsia="Calibri" w:hAnsi="Arial" w:cs="Arial"/>
          <w:color w:val="0D0D0D"/>
          <w:lang w:val="es-MX"/>
        </w:rPr>
        <w:t>Conforme a lo anterior, la Matriz 1 cumple una doble función</w:t>
      </w:r>
      <w:r w:rsidR="00930CA9" w:rsidRPr="0083037E">
        <w:rPr>
          <w:rFonts w:ascii="Arial" w:eastAsia="Calibri" w:hAnsi="Arial" w:cs="Arial"/>
          <w:color w:val="0D0D0D"/>
          <w:lang w:val="es-MX"/>
        </w:rPr>
        <w:t>:</w:t>
      </w:r>
      <w:r w:rsidRPr="0083037E">
        <w:rPr>
          <w:rFonts w:ascii="Arial" w:eastAsia="Calibri" w:hAnsi="Arial" w:cs="Arial"/>
          <w:color w:val="0D0D0D"/>
          <w:lang w:val="es-MX"/>
        </w:rPr>
        <w:t xml:space="preserve"> </w:t>
      </w:r>
      <w:r w:rsidR="00843C7E" w:rsidRPr="0083037E">
        <w:rPr>
          <w:rFonts w:ascii="Arial" w:eastAsia="Calibri" w:hAnsi="Arial" w:cs="Arial"/>
          <w:color w:val="0D0D0D"/>
          <w:lang w:val="es-MX"/>
        </w:rPr>
        <w:t>p</w:t>
      </w:r>
      <w:r w:rsidRPr="0083037E">
        <w:rPr>
          <w:rFonts w:ascii="Arial" w:eastAsia="Calibri" w:hAnsi="Arial" w:cs="Arial"/>
          <w:color w:val="0D0D0D"/>
          <w:lang w:val="es-MX"/>
        </w:rPr>
        <w:t>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71363169" w14:textId="4E8BD299" w:rsidR="00300E95" w:rsidRPr="0083037E" w:rsidRDefault="00300E95" w:rsidP="00497541">
      <w:pPr>
        <w:spacing w:before="120" w:after="120" w:line="276" w:lineRule="auto"/>
        <w:ind w:firstLine="709"/>
        <w:jc w:val="both"/>
        <w:rPr>
          <w:rFonts w:ascii="Arial" w:eastAsia="Calibri" w:hAnsi="Arial" w:cs="Arial"/>
          <w:lang w:val="es-MX"/>
        </w:rPr>
      </w:pPr>
      <w:r w:rsidRPr="0083037E">
        <w:rPr>
          <w:rFonts w:ascii="Arial" w:eastAsia="Calibri" w:hAnsi="Arial" w:cs="Arial"/>
          <w:color w:val="0D0D0D"/>
          <w:lang w:val="es-MX"/>
        </w:rPr>
        <w:t xml:space="preserve">De esta manera, para saber a </w:t>
      </w:r>
      <w:r w:rsidR="00FA7C56" w:rsidRPr="0083037E">
        <w:rPr>
          <w:rFonts w:ascii="Arial" w:eastAsia="Calibri" w:hAnsi="Arial" w:cs="Arial"/>
          <w:color w:val="0D0D0D"/>
          <w:lang w:val="es-MX"/>
        </w:rPr>
        <w:t>qué</w:t>
      </w:r>
      <w:r w:rsidRPr="0083037E">
        <w:rPr>
          <w:rFonts w:ascii="Arial" w:eastAsia="Calibri" w:hAnsi="Arial" w:cs="Arial"/>
          <w:color w:val="0D0D0D"/>
          <w:lang w:val="es-MX"/>
        </w:rPr>
        <w:t xml:space="preserve">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De esta manera, si el objeto contractual a ejecutar se encuadra materialmente dentro de alguno de los tipos</w:t>
      </w:r>
      <w:r w:rsidR="0081604E" w:rsidRPr="0083037E">
        <w:rPr>
          <w:rFonts w:ascii="Arial" w:eastAsia="Calibri" w:hAnsi="Arial" w:cs="Arial"/>
          <w:color w:val="0D0D0D"/>
          <w:lang w:val="es-MX"/>
        </w:rPr>
        <w:t xml:space="preserve"> de</w:t>
      </w:r>
      <w:r w:rsidRPr="0083037E">
        <w:rPr>
          <w:rFonts w:ascii="Arial" w:eastAsia="Calibri" w:hAnsi="Arial" w:cs="Arial"/>
          <w:color w:val="0D0D0D"/>
          <w:lang w:val="es-MX"/>
        </w:rPr>
        <w:t xml:space="preserve"> actividades concretas señaladas en cada una de las </w:t>
      </w:r>
      <w:r w:rsidR="004A096E" w:rsidRPr="0083037E">
        <w:rPr>
          <w:rFonts w:ascii="Arial" w:eastAsia="Calibri" w:hAnsi="Arial" w:cs="Arial"/>
          <w:color w:val="0D0D0D"/>
          <w:lang w:val="es-MX"/>
        </w:rPr>
        <w:t>m</w:t>
      </w:r>
      <w:r w:rsidRPr="0083037E">
        <w:rPr>
          <w:rFonts w:ascii="Arial" w:eastAsia="Calibri" w:hAnsi="Arial" w:cs="Arial"/>
          <w:color w:val="0D0D0D"/>
          <w:lang w:val="es-MX"/>
        </w:rPr>
        <w:t>atrices de experiencia, se tendrán que aplicar los documentos tipo, mientras que en el caso contrario no será forzosa su aplicación. En este sentido, en los documentos base de los documentos tipo</w:t>
      </w:r>
      <w:r w:rsidRPr="0083037E">
        <w:rPr>
          <w:rFonts w:ascii="Arial" w:eastAsia="Calibri" w:hAnsi="Arial" w:cs="Arial"/>
          <w:lang w:val="es-MX"/>
        </w:rPr>
        <w:t xml:space="preserve">, se indica que la entidad establecerá las condiciones de experiencia, tanto general como específica en las actividades que van a contratar. En este contexto, la entidad no podrá incluir condiciones distintas a las previstas en la </w:t>
      </w:r>
      <w:r w:rsidR="0034715B" w:rsidRPr="0083037E">
        <w:rPr>
          <w:rFonts w:ascii="Arial" w:eastAsia="Calibri" w:hAnsi="Arial" w:cs="Arial"/>
          <w:lang w:val="es-MX"/>
        </w:rPr>
        <w:t>matriz de experiencia</w:t>
      </w:r>
      <w:r w:rsidRPr="0083037E">
        <w:rPr>
          <w:rFonts w:ascii="Arial" w:eastAsia="Calibri" w:hAnsi="Arial" w:cs="Arial"/>
          <w:lang w:val="es-MX"/>
        </w:rPr>
        <w:t xml:space="preserve"> y, por tanto, deberá transcribir textualmente lo indicado en </w:t>
      </w:r>
      <w:r w:rsidR="00232A1C" w:rsidRPr="0083037E">
        <w:rPr>
          <w:rFonts w:ascii="Arial" w:eastAsia="Calibri" w:hAnsi="Arial" w:cs="Arial"/>
          <w:lang w:val="es-MX"/>
        </w:rPr>
        <w:t>e</w:t>
      </w:r>
      <w:r w:rsidRPr="0083037E">
        <w:rPr>
          <w:rFonts w:ascii="Arial" w:eastAsia="Calibri" w:hAnsi="Arial" w:cs="Arial"/>
          <w:lang w:val="es-MX"/>
        </w:rPr>
        <w:t>sta.</w:t>
      </w:r>
    </w:p>
    <w:p w14:paraId="225A0EEC" w14:textId="0DFE72C0" w:rsidR="00FD05E9" w:rsidRPr="0083037E" w:rsidRDefault="00DA14BE" w:rsidP="00DA14BE">
      <w:pPr>
        <w:spacing w:before="120" w:line="276" w:lineRule="auto"/>
        <w:ind w:firstLine="709"/>
        <w:jc w:val="both"/>
        <w:rPr>
          <w:rFonts w:ascii="Arial" w:hAnsi="Arial" w:cs="Arial"/>
          <w:color w:val="000000" w:themeColor="text1"/>
        </w:rPr>
      </w:pPr>
      <w:r w:rsidRPr="0083037E">
        <w:rPr>
          <w:rFonts w:ascii="Arial" w:hAnsi="Arial" w:cs="Arial"/>
          <w:color w:val="000000" w:themeColor="text1"/>
        </w:rPr>
        <w:t>Concretamente, la Matriz 1 contempla ocho tipos de consultorías generales a saber: i) consultoría para obras en vías primarias o secundarias; ii) consultoría para obras en vías terciarias; iii) consultoría para obras marítimas y fluviales; iv) consultoría para obras en vías primarias o secundarias o terciarias o urbanas para atención, prevención o mitigación de emergencias diferentes a contratación directa; v) consultoría para obras férreas; vi) consultoría para obras de infraestructura vial urbana; vii) consultoría para obras en puentes; viii) consultoría para obras aeroportuarias.</w:t>
      </w:r>
      <w:r w:rsidR="00FD05E9" w:rsidRPr="0083037E">
        <w:rPr>
          <w:rFonts w:ascii="Arial" w:hAnsi="Arial" w:cs="Arial"/>
          <w:color w:val="000000" w:themeColor="text1"/>
        </w:rPr>
        <w:t xml:space="preserve"> Dentro de cada una de ellas se establecen las actividades a contratar más precisas que hacen parte de ellas, estableciéndose los requisitos de experiencia respectivos. </w:t>
      </w:r>
    </w:p>
    <w:p w14:paraId="24246EF7" w14:textId="7584DA4E" w:rsidR="00882880" w:rsidRPr="0083037E" w:rsidRDefault="00FD05E9" w:rsidP="00DA14BE">
      <w:pPr>
        <w:spacing w:before="120" w:line="276" w:lineRule="auto"/>
        <w:ind w:firstLine="709"/>
        <w:jc w:val="both"/>
        <w:rPr>
          <w:rFonts w:ascii="Arial" w:hAnsi="Arial" w:cs="Arial"/>
          <w:color w:val="000000" w:themeColor="text1"/>
        </w:rPr>
      </w:pPr>
      <w:r w:rsidRPr="0083037E">
        <w:rPr>
          <w:rFonts w:ascii="Arial" w:hAnsi="Arial" w:cs="Arial"/>
          <w:color w:val="000000" w:themeColor="text1"/>
        </w:rPr>
        <w:t>Además, l</w:t>
      </w:r>
      <w:r w:rsidR="00882880" w:rsidRPr="0083037E">
        <w:rPr>
          <w:rFonts w:ascii="Arial" w:hAnsi="Arial" w:cs="Arial"/>
          <w:color w:val="000000" w:themeColor="text1"/>
        </w:rPr>
        <w:t xml:space="preserve">a Matriz 1 establece las </w:t>
      </w:r>
      <w:r w:rsidR="00FC1712" w:rsidRPr="0083037E">
        <w:rPr>
          <w:rFonts w:ascii="Arial" w:hAnsi="Arial" w:cs="Arial"/>
          <w:color w:val="000000" w:themeColor="text1"/>
        </w:rPr>
        <w:t>«Reglas para definir la experiencia exigible en el proceso de contratación», así:</w:t>
      </w:r>
    </w:p>
    <w:p w14:paraId="597B0386" w14:textId="10070B7F" w:rsidR="00C76DFA" w:rsidRPr="0083037E" w:rsidRDefault="00C76DFA" w:rsidP="005D484C">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A la entidad estatal le corresponde definir la experiencia general y la experiencia espec</w:t>
      </w:r>
      <w:r w:rsidR="00E9395A" w:rsidRPr="0083037E">
        <w:rPr>
          <w:rFonts w:ascii="Arial" w:hAnsi="Arial" w:cs="Arial"/>
          <w:color w:val="000000" w:themeColor="text1"/>
          <w:sz w:val="21"/>
          <w:szCs w:val="21"/>
        </w:rPr>
        <w:t>í</w:t>
      </w:r>
      <w:r w:rsidRPr="0083037E">
        <w:rPr>
          <w:rFonts w:ascii="Arial" w:hAnsi="Arial" w:cs="Arial"/>
          <w:color w:val="000000" w:themeColor="text1"/>
          <w:sz w:val="21"/>
          <w:szCs w:val="21"/>
        </w:rPr>
        <w:t xml:space="preserve">fica del proceso de contratación, de acuerdo con la Matriz 1 – Experiencia, teniendo en cuenta las siguientes reglas: </w:t>
      </w:r>
    </w:p>
    <w:p w14:paraId="5F4322BD" w14:textId="77777777" w:rsidR="00C76DFA" w:rsidRPr="0083037E" w:rsidRDefault="00C76DFA" w:rsidP="005D484C">
      <w:pPr>
        <w:ind w:left="709" w:right="709" w:firstLine="709"/>
        <w:jc w:val="both"/>
        <w:rPr>
          <w:rFonts w:ascii="Arial" w:hAnsi="Arial" w:cs="Arial"/>
          <w:color w:val="000000" w:themeColor="text1"/>
          <w:sz w:val="21"/>
          <w:szCs w:val="21"/>
        </w:rPr>
      </w:pPr>
    </w:p>
    <w:p w14:paraId="2D989E8D" w14:textId="18A21A05" w:rsidR="00C76DFA" w:rsidRPr="0083037E" w:rsidRDefault="00C76DFA" w:rsidP="00E9395A">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lastRenderedPageBreak/>
        <w:t xml:space="preserve">i) La Entidad Estatal no puede modificar, omitir o adicionar las actividades de la experiencia general y especifica definidas en la Matriz 1 – Experiencia para cada </w:t>
      </w:r>
      <w:r w:rsidR="00E9395A" w:rsidRPr="0083037E">
        <w:rPr>
          <w:rFonts w:ascii="Arial" w:hAnsi="Arial" w:cs="Arial"/>
          <w:color w:val="000000" w:themeColor="text1"/>
          <w:sz w:val="21"/>
          <w:szCs w:val="21"/>
        </w:rPr>
        <w:t>«</w:t>
      </w:r>
      <w:r w:rsidRPr="0083037E">
        <w:rPr>
          <w:rFonts w:ascii="Arial" w:hAnsi="Arial" w:cs="Arial"/>
          <w:color w:val="000000" w:themeColor="text1"/>
          <w:sz w:val="21"/>
          <w:szCs w:val="21"/>
        </w:rPr>
        <w:t>actividad a contratar</w:t>
      </w:r>
      <w:r w:rsidR="00E9395A"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Igual previsión aplica para el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DE DIMENSIONAMIENTO (Según la longitud requerida en el proceso de contratación)</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w:t>
      </w:r>
    </w:p>
    <w:p w14:paraId="530764A8" w14:textId="77777777" w:rsidR="00C76DFA" w:rsidRPr="0083037E" w:rsidRDefault="00C76DFA" w:rsidP="005D484C">
      <w:pPr>
        <w:ind w:left="709" w:right="709" w:firstLine="709"/>
        <w:jc w:val="both"/>
        <w:rPr>
          <w:rFonts w:ascii="Arial" w:hAnsi="Arial" w:cs="Arial"/>
          <w:color w:val="000000" w:themeColor="text1"/>
          <w:sz w:val="21"/>
          <w:szCs w:val="21"/>
        </w:rPr>
      </w:pPr>
    </w:p>
    <w:p w14:paraId="5DAD6E46" w14:textId="7D4584B5" w:rsidR="00C76DFA" w:rsidRPr="0083037E" w:rsidRDefault="00C76DFA" w:rsidP="00E9395A">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ii)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Experiencia General</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la experiencia general que solicite la entidad debe respetar toda la descripción prevista en la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Matriz 1 – Experiencia</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para la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actividad a contratar</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incluidas las Notas aclaratorias. </w:t>
      </w:r>
    </w:p>
    <w:p w14:paraId="616C6D30" w14:textId="77777777" w:rsidR="00C76DFA" w:rsidRPr="0083037E" w:rsidRDefault="00C76DFA" w:rsidP="005D484C">
      <w:pPr>
        <w:ind w:left="709" w:right="709" w:firstLine="709"/>
        <w:jc w:val="both"/>
        <w:rPr>
          <w:rFonts w:ascii="Arial" w:hAnsi="Arial" w:cs="Arial"/>
          <w:color w:val="000000" w:themeColor="text1"/>
          <w:sz w:val="21"/>
          <w:szCs w:val="21"/>
        </w:rPr>
      </w:pPr>
    </w:p>
    <w:p w14:paraId="17A5AAA6" w14:textId="54099EEE" w:rsidR="00C76DFA" w:rsidRPr="0083037E" w:rsidRDefault="00C76DFA" w:rsidP="00E9395A">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iii)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Experiencia Específica</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la entidad debe solicitar experiencia especifica cuando la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Matriz 1 – Experiencia</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lo exija, teniendo en cuenta las siguientes variables: 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tipo de infraestructura</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b)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actividad a contratar</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y c)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cuantías del proceso de contratación</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w:t>
      </w:r>
    </w:p>
    <w:p w14:paraId="49905E79" w14:textId="77777777" w:rsidR="00C76DFA" w:rsidRPr="0083037E" w:rsidRDefault="00C76DFA" w:rsidP="005D484C">
      <w:pPr>
        <w:ind w:left="709" w:right="709" w:firstLine="709"/>
        <w:jc w:val="both"/>
        <w:rPr>
          <w:rFonts w:ascii="Arial" w:hAnsi="Arial" w:cs="Arial"/>
          <w:color w:val="000000" w:themeColor="text1"/>
          <w:sz w:val="21"/>
          <w:szCs w:val="21"/>
        </w:rPr>
      </w:pPr>
    </w:p>
    <w:p w14:paraId="46F7054D" w14:textId="18CBDF3F" w:rsidR="00C76DFA" w:rsidRPr="0083037E" w:rsidRDefault="00C76DFA" w:rsidP="00E12F1C">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iv)  Cuando el objeto del proceso de contratación contemple la ejecución de una sola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actividad a contratar</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la entidad estatal, de acuerdo con la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Matriz 1 – Experiencia</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tendrá qué solicitar la experiencia general y la experiencia específica, cuando la cuantía del proceso de contratación lo exija acorde con el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rango en SMMLV del proceso de contratación</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Es decir, en este caso la entidad tiene que solicitar tanto la experiencia general como la experiencia específica en las condiciones previstas en la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Matriz 1- Experiencia</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para la correspondiente actividad a contratar y solo prescindirá de la experiencia especifica cuando la </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Matriz 1- Experiencia</w:t>
      </w:r>
      <w:r w:rsidR="00E12F1C"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así lo indique.</w:t>
      </w:r>
    </w:p>
    <w:p w14:paraId="54E9BDD1" w14:textId="77777777" w:rsidR="00E12F1C" w:rsidRPr="0083037E" w:rsidRDefault="00E12F1C" w:rsidP="00E12F1C">
      <w:pPr>
        <w:ind w:left="709" w:right="709"/>
        <w:jc w:val="both"/>
        <w:rPr>
          <w:rFonts w:ascii="Arial" w:hAnsi="Arial" w:cs="Arial"/>
          <w:color w:val="000000" w:themeColor="text1"/>
          <w:sz w:val="21"/>
          <w:szCs w:val="21"/>
        </w:rPr>
      </w:pPr>
    </w:p>
    <w:p w14:paraId="6C2330C6" w14:textId="6A9B0299" w:rsidR="00B51361" w:rsidRPr="0083037E" w:rsidRDefault="00B51361" w:rsidP="00E12F1C">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v)  Para identificar la experiencia exigible de un proceso de contratación, la entidad estatal debe tener en cuenta: i) el alcance del objeto a contratar, ii) el tipo de infraestructura, iii) las actividades a contratar definidas en la Matriz 1- Experiencia y iv) la cuantía del proceso de contratación. Por lo tanto, debe seguir los siguientes pasos: </w:t>
      </w:r>
    </w:p>
    <w:p w14:paraId="1D130728" w14:textId="77777777" w:rsidR="00B51361" w:rsidRPr="0083037E" w:rsidRDefault="00B51361" w:rsidP="005D484C">
      <w:pPr>
        <w:ind w:left="709" w:right="709" w:firstLine="709"/>
        <w:jc w:val="both"/>
        <w:rPr>
          <w:rFonts w:ascii="Arial" w:hAnsi="Arial" w:cs="Arial"/>
          <w:color w:val="000000" w:themeColor="text1"/>
          <w:sz w:val="21"/>
          <w:szCs w:val="21"/>
        </w:rPr>
      </w:pPr>
    </w:p>
    <w:p w14:paraId="7E063A4E" w14:textId="04CF2BD7" w:rsidR="00B51361" w:rsidRPr="0083037E" w:rsidRDefault="00B51361" w:rsidP="00AA26A3">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a) Identificar en la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Matriz 1- Experiencia</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el tipo de infraestructura sobre el cual recae la consultoría a la obra pública. </w:t>
      </w:r>
    </w:p>
    <w:p w14:paraId="4FF7CC0E" w14:textId="77777777" w:rsidR="00B51361" w:rsidRPr="0083037E" w:rsidRDefault="00B51361" w:rsidP="005D484C">
      <w:pPr>
        <w:ind w:left="709" w:right="709" w:firstLine="709"/>
        <w:jc w:val="both"/>
        <w:rPr>
          <w:rFonts w:ascii="Arial" w:hAnsi="Arial" w:cs="Arial"/>
          <w:color w:val="000000" w:themeColor="text1"/>
          <w:sz w:val="21"/>
          <w:szCs w:val="21"/>
        </w:rPr>
      </w:pPr>
    </w:p>
    <w:p w14:paraId="705C0987" w14:textId="190C9D66" w:rsidR="00B51361" w:rsidRPr="0083037E" w:rsidRDefault="00B51361" w:rsidP="00AA26A3">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b) Identificar la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ACTIVIDAD A CONTRATAR</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acorde con la Matriz 1- Experiencia. </w:t>
      </w:r>
    </w:p>
    <w:p w14:paraId="15E67515" w14:textId="77777777" w:rsidR="00B51361" w:rsidRPr="0083037E" w:rsidRDefault="00B51361" w:rsidP="005D484C">
      <w:pPr>
        <w:ind w:left="709" w:right="709" w:firstLine="709"/>
        <w:jc w:val="both"/>
        <w:rPr>
          <w:rFonts w:ascii="Arial" w:hAnsi="Arial" w:cs="Arial"/>
          <w:color w:val="000000" w:themeColor="text1"/>
          <w:sz w:val="21"/>
          <w:szCs w:val="21"/>
        </w:rPr>
      </w:pPr>
    </w:p>
    <w:p w14:paraId="452675FA" w14:textId="11B319B6" w:rsidR="00B51361" w:rsidRPr="0083037E" w:rsidRDefault="00B51361" w:rsidP="00AA26A3">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c) Identificar el rango de las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Cuantías del proceso de contratación</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de acuerdo con el presupuesto oficial. </w:t>
      </w:r>
    </w:p>
    <w:p w14:paraId="6F88DF5E" w14:textId="77777777" w:rsidR="00B51361" w:rsidRPr="0083037E" w:rsidRDefault="00B51361" w:rsidP="005D484C">
      <w:pPr>
        <w:ind w:left="709" w:right="709" w:firstLine="709"/>
        <w:jc w:val="both"/>
        <w:rPr>
          <w:rFonts w:ascii="Arial" w:hAnsi="Arial" w:cs="Arial"/>
          <w:color w:val="000000" w:themeColor="text1"/>
          <w:sz w:val="21"/>
          <w:szCs w:val="21"/>
        </w:rPr>
      </w:pPr>
    </w:p>
    <w:p w14:paraId="70EE1A66" w14:textId="4DAC63FF" w:rsidR="00B51361" w:rsidRPr="0083037E" w:rsidRDefault="00B51361" w:rsidP="00AA26A3">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d) Identificar la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experiencia general</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y la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experiencia específica</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exigible acorde con la Matriz 1- Experiencia teniendo en cuenta la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actividad a contratar</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y el rango de la cuantía del proceso de contratación. </w:t>
      </w:r>
    </w:p>
    <w:p w14:paraId="7977A1A1" w14:textId="77777777" w:rsidR="00B51361" w:rsidRPr="0083037E" w:rsidRDefault="00B51361" w:rsidP="005D484C">
      <w:pPr>
        <w:ind w:left="709" w:right="709" w:firstLine="709"/>
        <w:jc w:val="both"/>
        <w:rPr>
          <w:rFonts w:ascii="Arial" w:hAnsi="Arial" w:cs="Arial"/>
          <w:color w:val="000000" w:themeColor="text1"/>
          <w:sz w:val="21"/>
          <w:szCs w:val="21"/>
        </w:rPr>
      </w:pPr>
    </w:p>
    <w:p w14:paraId="313EA6A8" w14:textId="77777777" w:rsidR="00F56644" w:rsidRPr="0083037E" w:rsidRDefault="00B51361" w:rsidP="00F56644">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vi) Cuando el objeto del proceso de contratación contemple la ejecución de dos o más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Actividades a Contratar</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(ej.: 1.1 y 7.1), la entidad tiene dos alternativas: a) solicitar únicamente la experiencia de la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actividad a contratar</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de mayor relevancia de acuerdo con el objeto del contrato. La Entidad podrá analizar la relevancia en función del valor de las actividades o por la complejidad técnica; o b) solicitar la experiencia general y la experiencia específica de la </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actividad a </w:t>
      </w:r>
      <w:r w:rsidRPr="0083037E">
        <w:rPr>
          <w:rFonts w:ascii="Arial" w:hAnsi="Arial" w:cs="Arial"/>
          <w:color w:val="000000" w:themeColor="text1"/>
          <w:sz w:val="21"/>
          <w:szCs w:val="21"/>
        </w:rPr>
        <w:lastRenderedPageBreak/>
        <w:t>contratar</w:t>
      </w:r>
      <w:r w:rsidR="00AA26A3"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de mayor relevancia, y para las demás actividades a contratar requerir la experiencia específica de la correspondiente actividad. En el evento en que para las actividades a contratar, diferentes a la de mayor relevancia, la </w:t>
      </w:r>
      <w:r w:rsidR="00F56644" w:rsidRPr="0083037E">
        <w:rPr>
          <w:rFonts w:ascii="Arial" w:hAnsi="Arial" w:cs="Arial"/>
          <w:color w:val="000000" w:themeColor="text1"/>
          <w:sz w:val="21"/>
          <w:szCs w:val="21"/>
        </w:rPr>
        <w:t>«</w:t>
      </w:r>
      <w:r w:rsidRPr="0083037E">
        <w:rPr>
          <w:rFonts w:ascii="Arial" w:hAnsi="Arial" w:cs="Arial"/>
          <w:color w:val="000000" w:themeColor="text1"/>
          <w:sz w:val="21"/>
          <w:szCs w:val="21"/>
        </w:rPr>
        <w:t>Matriz 1- Experiencia</w:t>
      </w:r>
      <w:r w:rsidR="00F56644" w:rsidRPr="0083037E">
        <w:rPr>
          <w:rFonts w:ascii="Arial" w:hAnsi="Arial" w:cs="Arial"/>
          <w:color w:val="000000" w:themeColor="text1"/>
          <w:sz w:val="21"/>
          <w:szCs w:val="21"/>
        </w:rPr>
        <w:t>»</w:t>
      </w:r>
      <w:r w:rsidRPr="0083037E">
        <w:rPr>
          <w:rFonts w:ascii="Arial" w:hAnsi="Arial" w:cs="Arial"/>
          <w:color w:val="000000" w:themeColor="text1"/>
          <w:sz w:val="21"/>
          <w:szCs w:val="21"/>
        </w:rPr>
        <w:t xml:space="preserve"> no contemple la experiencia específica, se podrá solicitar la experiencia general de la actividad, como específica. </w:t>
      </w:r>
    </w:p>
    <w:p w14:paraId="5EFA5F34" w14:textId="77777777" w:rsidR="00F56644" w:rsidRPr="0083037E" w:rsidRDefault="00F56644" w:rsidP="00F56644">
      <w:pPr>
        <w:ind w:left="709" w:right="709"/>
        <w:jc w:val="both"/>
        <w:rPr>
          <w:rFonts w:ascii="Arial" w:hAnsi="Arial" w:cs="Arial"/>
          <w:color w:val="000000" w:themeColor="text1"/>
          <w:sz w:val="21"/>
          <w:szCs w:val="21"/>
        </w:rPr>
      </w:pPr>
    </w:p>
    <w:p w14:paraId="37831742" w14:textId="77777777" w:rsidR="00F56644" w:rsidRPr="0083037E" w:rsidRDefault="00B51361" w:rsidP="00F56644">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Tenga en cuenta que la experiencia se establecerá en función de la desagregación del valor de las actividades en los casos en los cuales sea procedente la combinación de actividades a contratar.</w:t>
      </w:r>
    </w:p>
    <w:p w14:paraId="572E9513" w14:textId="77777777" w:rsidR="00F56644" w:rsidRPr="0083037E" w:rsidRDefault="00F56644" w:rsidP="00F56644">
      <w:pPr>
        <w:ind w:left="709" w:right="709"/>
        <w:jc w:val="both"/>
        <w:rPr>
          <w:rFonts w:ascii="Arial" w:hAnsi="Arial" w:cs="Arial"/>
          <w:color w:val="000000" w:themeColor="text1"/>
          <w:sz w:val="21"/>
          <w:szCs w:val="21"/>
        </w:rPr>
      </w:pPr>
    </w:p>
    <w:p w14:paraId="072AF892" w14:textId="3B200A0E" w:rsidR="00B51361" w:rsidRPr="0083037E" w:rsidRDefault="00B51361" w:rsidP="00F56644">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Adicionalmente, en los casos donde la Entidad opte por la exigencia de la experiencia específica para las actividades distintas a la de mayor relevancia, se deberá incluir la siguiente nota:</w:t>
      </w:r>
    </w:p>
    <w:p w14:paraId="0E4A7AF5" w14:textId="77777777" w:rsidR="004A646F" w:rsidRPr="0083037E" w:rsidRDefault="004A646F" w:rsidP="00F56644">
      <w:pPr>
        <w:ind w:left="709" w:right="709"/>
        <w:jc w:val="both"/>
        <w:rPr>
          <w:rFonts w:ascii="Arial" w:hAnsi="Arial" w:cs="Arial"/>
          <w:color w:val="000000" w:themeColor="text1"/>
          <w:sz w:val="21"/>
          <w:szCs w:val="21"/>
        </w:rPr>
      </w:pPr>
    </w:p>
    <w:p w14:paraId="56ECFAB1" w14:textId="0AC3A2D5" w:rsidR="00C76DFA" w:rsidRPr="0083037E" w:rsidRDefault="00F56644" w:rsidP="00F56644">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w:t>
      </w:r>
      <w:r w:rsidR="00B51361" w:rsidRPr="0083037E">
        <w:rPr>
          <w:rFonts w:ascii="Arial" w:hAnsi="Arial" w:cs="Arial"/>
          <w:color w:val="000000" w:themeColor="text1"/>
          <w:sz w:val="21"/>
          <w:szCs w:val="21"/>
        </w:rPr>
        <w:t>Nota: Tenga en cuenta que la acreditación de las actividades de la Experiencia se podrá hacer a través de mínimo uno (1) y máximo (6) contratos. Para el caso de Experiencias combinadas,</w:t>
      </w:r>
      <w:r w:rsidR="00AD689A" w:rsidRPr="0083037E">
        <w:rPr>
          <w:rFonts w:ascii="Arial" w:hAnsi="Arial" w:cs="Arial"/>
          <w:color w:val="000000" w:themeColor="text1"/>
          <w:sz w:val="21"/>
          <w:szCs w:val="21"/>
        </w:rPr>
        <w:t xml:space="preserve"> </w:t>
      </w:r>
      <w:r w:rsidR="00B51361" w:rsidRPr="0083037E">
        <w:rPr>
          <w:rFonts w:ascii="Arial" w:hAnsi="Arial" w:cs="Arial"/>
          <w:color w:val="000000" w:themeColor="text1"/>
          <w:sz w:val="21"/>
          <w:szCs w:val="21"/>
        </w:rPr>
        <w:t>un Proponente podrá acreditar una o más actividades, con un contrato o con varios de forma independiente (</w:t>
      </w:r>
      <w:proofErr w:type="spellStart"/>
      <w:r w:rsidR="00B51361" w:rsidRPr="0083037E">
        <w:rPr>
          <w:rFonts w:ascii="Arial" w:hAnsi="Arial" w:cs="Arial"/>
          <w:color w:val="000000" w:themeColor="text1"/>
          <w:sz w:val="21"/>
          <w:szCs w:val="21"/>
        </w:rPr>
        <w:t>ej</w:t>
      </w:r>
      <w:proofErr w:type="spellEnd"/>
      <w:r w:rsidR="00B51361" w:rsidRPr="0083037E">
        <w:rPr>
          <w:rFonts w:ascii="Arial" w:hAnsi="Arial" w:cs="Arial"/>
          <w:color w:val="000000" w:themeColor="text1"/>
          <w:sz w:val="21"/>
          <w:szCs w:val="21"/>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r w:rsidR="00AD689A" w:rsidRPr="0083037E">
        <w:rPr>
          <w:rFonts w:ascii="Arial" w:hAnsi="Arial" w:cs="Arial"/>
          <w:color w:val="000000" w:themeColor="text1"/>
          <w:sz w:val="21"/>
          <w:szCs w:val="21"/>
        </w:rPr>
        <w:t>».</w:t>
      </w:r>
    </w:p>
    <w:p w14:paraId="291A5325" w14:textId="77777777" w:rsidR="005D484C" w:rsidRPr="0083037E" w:rsidRDefault="005D484C" w:rsidP="00497541">
      <w:pPr>
        <w:spacing w:line="276" w:lineRule="auto"/>
        <w:ind w:firstLine="708"/>
        <w:jc w:val="both"/>
        <w:rPr>
          <w:rFonts w:ascii="Arial" w:eastAsia="Calibri" w:hAnsi="Arial" w:cs="Arial"/>
          <w:color w:val="000000"/>
        </w:rPr>
      </w:pPr>
    </w:p>
    <w:p w14:paraId="7EB5E003" w14:textId="6D4AA0FF" w:rsidR="00864AE8" w:rsidRPr="0083037E" w:rsidRDefault="006D0807" w:rsidP="00864AE8">
      <w:pPr>
        <w:spacing w:line="276" w:lineRule="auto"/>
        <w:ind w:firstLine="708"/>
        <w:jc w:val="both"/>
        <w:rPr>
          <w:rFonts w:ascii="Arial" w:eastAsia="Calibri" w:hAnsi="Arial" w:cs="Arial"/>
          <w:color w:val="000000"/>
        </w:rPr>
      </w:pPr>
      <w:r w:rsidRPr="0083037E">
        <w:rPr>
          <w:rFonts w:ascii="Arial" w:eastAsia="Calibri" w:hAnsi="Arial" w:cs="Arial"/>
          <w:color w:val="000000"/>
        </w:rPr>
        <w:t xml:space="preserve">Por su parte, el numeral 3.8 del documento base </w:t>
      </w:r>
      <w:r w:rsidR="00F04B86" w:rsidRPr="0083037E">
        <w:rPr>
          <w:rFonts w:ascii="Arial" w:eastAsia="Calibri" w:hAnsi="Arial" w:cs="Arial"/>
          <w:color w:val="000000"/>
        </w:rPr>
        <w:t>establece las «</w:t>
      </w:r>
      <w:r w:rsidR="00483416" w:rsidRPr="0083037E">
        <w:rPr>
          <w:rFonts w:ascii="Arial" w:eastAsia="Calibri" w:hAnsi="Arial" w:cs="Arial"/>
          <w:color w:val="000000"/>
        </w:rPr>
        <w:t>exigencias mínimas de la experiencia del proponente y la experiencia y formación académica del equipo de trabajo</w:t>
      </w:r>
      <w:r w:rsidR="00332A5E" w:rsidRPr="0083037E">
        <w:rPr>
          <w:rFonts w:ascii="Arial" w:eastAsia="Calibri" w:hAnsi="Arial" w:cs="Arial"/>
          <w:color w:val="000000"/>
        </w:rPr>
        <w:t>»</w:t>
      </w:r>
      <w:r w:rsidR="00483416" w:rsidRPr="0083037E">
        <w:rPr>
          <w:rFonts w:ascii="Arial" w:eastAsia="Calibri" w:hAnsi="Arial" w:cs="Arial"/>
          <w:color w:val="000000"/>
        </w:rPr>
        <w:t>.</w:t>
      </w:r>
      <w:r w:rsidR="00F04B86" w:rsidRPr="0083037E">
        <w:rPr>
          <w:rFonts w:ascii="Arial" w:eastAsia="Calibri" w:hAnsi="Arial" w:cs="Arial"/>
          <w:color w:val="000000"/>
        </w:rPr>
        <w:t xml:space="preserve"> </w:t>
      </w:r>
      <w:r w:rsidR="00864AE8" w:rsidRPr="0083037E">
        <w:rPr>
          <w:rFonts w:ascii="Arial" w:eastAsia="Calibri" w:hAnsi="Arial" w:cs="Arial"/>
          <w:color w:val="000000"/>
        </w:rPr>
        <w:t xml:space="preserve">De igual modo, el </w:t>
      </w:r>
      <w:r w:rsidR="00246625" w:rsidRPr="0083037E">
        <w:rPr>
          <w:rFonts w:ascii="Arial" w:eastAsia="Calibri" w:hAnsi="Arial" w:cs="Arial"/>
          <w:color w:val="000000"/>
        </w:rPr>
        <w:t xml:space="preserve">capítulo IV </w:t>
      </w:r>
      <w:r w:rsidR="00904FFC" w:rsidRPr="0083037E">
        <w:rPr>
          <w:rFonts w:ascii="Arial" w:eastAsia="Calibri" w:hAnsi="Arial" w:cs="Arial"/>
          <w:color w:val="000000"/>
        </w:rPr>
        <w:t>prevé</w:t>
      </w:r>
      <w:r w:rsidR="00246625" w:rsidRPr="0083037E">
        <w:rPr>
          <w:rFonts w:ascii="Arial" w:eastAsia="Calibri" w:hAnsi="Arial" w:cs="Arial"/>
          <w:color w:val="000000"/>
        </w:rPr>
        <w:t xml:space="preserve"> </w:t>
      </w:r>
      <w:r w:rsidR="00C5581C" w:rsidRPr="0083037E">
        <w:rPr>
          <w:rFonts w:ascii="Arial" w:eastAsia="Calibri" w:hAnsi="Arial" w:cs="Arial"/>
          <w:color w:val="000000"/>
        </w:rPr>
        <w:t xml:space="preserve">la forma como se deben definir los </w:t>
      </w:r>
      <w:r w:rsidR="004A0365" w:rsidRPr="0083037E">
        <w:rPr>
          <w:rFonts w:ascii="Arial" w:eastAsia="Calibri" w:hAnsi="Arial" w:cs="Arial"/>
          <w:color w:val="000000"/>
        </w:rPr>
        <w:t>«</w:t>
      </w:r>
      <w:r w:rsidR="00C5581C" w:rsidRPr="0083037E">
        <w:rPr>
          <w:rFonts w:ascii="Arial" w:eastAsia="Calibri" w:hAnsi="Arial" w:cs="Arial"/>
          <w:color w:val="000000"/>
        </w:rPr>
        <w:t>criterios de evaluación</w:t>
      </w:r>
      <w:r w:rsidR="004A0365" w:rsidRPr="0083037E">
        <w:rPr>
          <w:rFonts w:ascii="Arial" w:eastAsia="Calibri" w:hAnsi="Arial" w:cs="Arial"/>
          <w:color w:val="000000"/>
        </w:rPr>
        <w:t xml:space="preserve">, asignación de puntaje y criterios de desempate». </w:t>
      </w:r>
      <w:r w:rsidR="001016EB" w:rsidRPr="0083037E">
        <w:rPr>
          <w:rFonts w:ascii="Arial" w:eastAsia="Calibri" w:hAnsi="Arial" w:cs="Arial"/>
          <w:color w:val="000000"/>
        </w:rPr>
        <w:t>En tal sentido</w:t>
      </w:r>
      <w:r w:rsidR="00483416" w:rsidRPr="0083037E">
        <w:rPr>
          <w:rFonts w:ascii="Arial" w:eastAsia="Calibri" w:hAnsi="Arial" w:cs="Arial"/>
          <w:color w:val="000000"/>
        </w:rPr>
        <w:t xml:space="preserve">, </w:t>
      </w:r>
      <w:r w:rsidR="004A0365" w:rsidRPr="0083037E">
        <w:rPr>
          <w:rFonts w:ascii="Arial" w:eastAsia="Calibri" w:hAnsi="Arial" w:cs="Arial"/>
          <w:color w:val="000000"/>
        </w:rPr>
        <w:t>el numer</w:t>
      </w:r>
      <w:r w:rsidR="00615E29" w:rsidRPr="0083037E">
        <w:rPr>
          <w:rFonts w:ascii="Arial" w:eastAsia="Calibri" w:hAnsi="Arial" w:cs="Arial"/>
          <w:color w:val="000000"/>
        </w:rPr>
        <w:t xml:space="preserve">al 4.1. regula la </w:t>
      </w:r>
      <w:r w:rsidR="00D92514" w:rsidRPr="0083037E">
        <w:rPr>
          <w:rFonts w:ascii="Arial" w:eastAsia="Calibri" w:hAnsi="Arial" w:cs="Arial"/>
          <w:color w:val="000000"/>
        </w:rPr>
        <w:t>«forma de verificación</w:t>
      </w:r>
      <w:r w:rsidR="00966142" w:rsidRPr="0083037E">
        <w:rPr>
          <w:rFonts w:ascii="Arial" w:eastAsia="Calibri" w:hAnsi="Arial" w:cs="Arial"/>
          <w:color w:val="000000"/>
        </w:rPr>
        <w:t xml:space="preserve"> y asignación del puntaje por la experiencia del proponente».</w:t>
      </w:r>
      <w:r w:rsidR="00325A1F" w:rsidRPr="0083037E">
        <w:rPr>
          <w:rFonts w:ascii="Arial" w:eastAsia="Calibri" w:hAnsi="Arial" w:cs="Arial"/>
          <w:color w:val="000000"/>
        </w:rPr>
        <w:t xml:space="preserve"> Allí se pueden encontrar los criterios que debe tener en cuenta la entidad para </w:t>
      </w:r>
      <w:r w:rsidR="000B1124" w:rsidRPr="0083037E">
        <w:rPr>
          <w:rFonts w:ascii="Arial" w:eastAsia="Calibri" w:hAnsi="Arial" w:cs="Arial"/>
          <w:color w:val="000000"/>
        </w:rPr>
        <w:t>evaluar</w:t>
      </w:r>
      <w:r w:rsidR="00325A1F" w:rsidRPr="0083037E">
        <w:rPr>
          <w:rFonts w:ascii="Arial" w:eastAsia="Calibri" w:hAnsi="Arial" w:cs="Arial"/>
          <w:color w:val="000000"/>
        </w:rPr>
        <w:t xml:space="preserve"> la experiencia general y específica.</w:t>
      </w:r>
      <w:r w:rsidR="001016EB" w:rsidRPr="0083037E">
        <w:rPr>
          <w:rFonts w:ascii="Arial" w:eastAsia="Calibri" w:hAnsi="Arial" w:cs="Arial"/>
          <w:color w:val="000000"/>
        </w:rPr>
        <w:t xml:space="preserve"> Como se observa, la Agencia Nacional de Contratación Pública – Colombia Compra Eficiente ha establecido en el documento tipo de </w:t>
      </w:r>
      <w:r w:rsidR="00CB6CC9" w:rsidRPr="0083037E">
        <w:rPr>
          <w:rFonts w:ascii="Arial" w:eastAsia="Calibri" w:hAnsi="Arial" w:cs="Arial"/>
          <w:color w:val="000000"/>
        </w:rPr>
        <w:t>consultoría de estudios de ingeniería de infraestructura de transporte los criterios</w:t>
      </w:r>
      <w:r w:rsidR="00DF173A" w:rsidRPr="0083037E">
        <w:rPr>
          <w:rFonts w:ascii="Arial" w:eastAsia="Calibri" w:hAnsi="Arial" w:cs="Arial"/>
          <w:color w:val="000000"/>
        </w:rPr>
        <w:t xml:space="preserve"> rectores</w:t>
      </w:r>
      <w:r w:rsidR="00CB6CC9" w:rsidRPr="0083037E">
        <w:rPr>
          <w:rFonts w:ascii="Arial" w:eastAsia="Calibri" w:hAnsi="Arial" w:cs="Arial"/>
          <w:color w:val="000000"/>
        </w:rPr>
        <w:t xml:space="preserve"> para exigir la experiencia en estos procedimientos de selección</w:t>
      </w:r>
      <w:r w:rsidR="00100D66" w:rsidRPr="0083037E">
        <w:rPr>
          <w:rFonts w:ascii="Arial" w:eastAsia="Calibri" w:hAnsi="Arial" w:cs="Arial"/>
          <w:color w:val="000000"/>
        </w:rPr>
        <w:t>, lo cuales deben respetarse, en armonía con la regla de la inalterabilidad</w:t>
      </w:r>
      <w:r w:rsidR="00F205E2" w:rsidRPr="0083037E">
        <w:rPr>
          <w:rFonts w:ascii="Arial" w:eastAsia="Calibri" w:hAnsi="Arial" w:cs="Arial"/>
          <w:color w:val="000000"/>
        </w:rPr>
        <w:t xml:space="preserve"> de los documentos tipo.</w:t>
      </w:r>
    </w:p>
    <w:p w14:paraId="581C5301" w14:textId="28B98D81" w:rsidR="00300E95" w:rsidRPr="0083037E" w:rsidRDefault="00300E95" w:rsidP="00864AE8">
      <w:pPr>
        <w:spacing w:before="120" w:line="276" w:lineRule="auto"/>
        <w:ind w:firstLine="709"/>
        <w:jc w:val="both"/>
        <w:rPr>
          <w:rFonts w:ascii="Arial" w:eastAsia="Calibri" w:hAnsi="Arial" w:cs="Arial"/>
          <w:color w:val="000000"/>
        </w:rPr>
      </w:pPr>
      <w:r w:rsidRPr="0083037E">
        <w:rPr>
          <w:rFonts w:ascii="Arial" w:eastAsia="Calibri" w:hAnsi="Arial" w:cs="Arial"/>
          <w:color w:val="000000"/>
        </w:rPr>
        <w:t>Sin perjuicio de las aclaraciones anteriores</w:t>
      </w:r>
      <w:r w:rsidRPr="0083037E">
        <w:rPr>
          <w:rFonts w:ascii="Arial" w:hAnsi="Arial" w:cs="Arial"/>
        </w:rPr>
        <w:t xml:space="preserve">, debe advertirse que es la entidad contratante, al momento de adelantar sus actividades de planeación de cada proceso contractual, quien debe determinar si de acuerdo con las particularidades del contrato a ejecutar, este encaja o no dentro de alguna de las actividades de la </w:t>
      </w:r>
      <w:r w:rsidR="0034715B" w:rsidRPr="0083037E">
        <w:rPr>
          <w:rFonts w:ascii="Arial" w:hAnsi="Arial" w:cs="Arial"/>
        </w:rPr>
        <w:t>m</w:t>
      </w:r>
      <w:r w:rsidRPr="0083037E">
        <w:rPr>
          <w:rFonts w:ascii="Arial" w:hAnsi="Arial" w:cs="Arial"/>
        </w:rPr>
        <w:t>atriz 1 de cada documento tipo, y si en consecuencia deben aplicarse o no determinados documentos tipo, conforme a los parámetros indicados en este concepto</w:t>
      </w:r>
      <w:r w:rsidR="0034715B" w:rsidRPr="0083037E">
        <w:rPr>
          <w:rFonts w:ascii="Arial" w:hAnsi="Arial" w:cs="Arial"/>
        </w:rPr>
        <w:t>. Lo anterior s</w:t>
      </w:r>
      <w:r w:rsidRPr="0083037E">
        <w:rPr>
          <w:rFonts w:ascii="Arial" w:hAnsi="Arial" w:cs="Arial"/>
        </w:rPr>
        <w:t xml:space="preserve">in que pueda apartarse de su aplicación cuando materialmente el objeto a contratar corresponde con alguna actividad contemplada </w:t>
      </w:r>
      <w:r w:rsidRPr="0083037E">
        <w:rPr>
          <w:rFonts w:ascii="Arial" w:hAnsi="Arial" w:cs="Arial"/>
        </w:rPr>
        <w:lastRenderedPageBreak/>
        <w:t>en dicha matriz.</w:t>
      </w:r>
      <w:r w:rsidR="00AD689A" w:rsidRPr="0083037E">
        <w:rPr>
          <w:rFonts w:ascii="Arial" w:hAnsi="Arial" w:cs="Arial"/>
        </w:rPr>
        <w:t xml:space="preserve"> Adicionalmente, la entidad estatal debe </w:t>
      </w:r>
      <w:r w:rsidR="009E7B6A" w:rsidRPr="0083037E">
        <w:rPr>
          <w:rFonts w:ascii="Arial" w:hAnsi="Arial" w:cs="Arial"/>
        </w:rPr>
        <w:t>garantizar el principio de selección objetiva, en los términos del artículo 5 de la Ley 1150 de 2007, al momento de definir la experiencia exigible en el procedimiento de selección.</w:t>
      </w:r>
      <w:r w:rsidRPr="0083037E">
        <w:rPr>
          <w:rFonts w:ascii="Arial" w:hAnsi="Arial" w:cs="Arial"/>
        </w:rPr>
        <w:t xml:space="preserve"> </w:t>
      </w:r>
    </w:p>
    <w:p w14:paraId="51A941CD" w14:textId="77777777" w:rsidR="00300E95" w:rsidRPr="0083037E" w:rsidRDefault="00300E95" w:rsidP="005B6262">
      <w:pPr>
        <w:spacing w:line="276" w:lineRule="auto"/>
        <w:jc w:val="both"/>
        <w:rPr>
          <w:rFonts w:ascii="Arial" w:hAnsi="Arial" w:cs="Arial"/>
          <w:color w:val="000000"/>
        </w:rPr>
      </w:pPr>
    </w:p>
    <w:p w14:paraId="1AFFF24B" w14:textId="74C8F312" w:rsidR="00B749D1" w:rsidRPr="0083037E" w:rsidRDefault="00B749D1" w:rsidP="005B6262">
      <w:pPr>
        <w:spacing w:line="276" w:lineRule="auto"/>
        <w:jc w:val="both"/>
        <w:rPr>
          <w:rFonts w:ascii="Arial" w:eastAsia="Calibri" w:hAnsi="Arial" w:cs="Arial"/>
          <w:b/>
        </w:rPr>
      </w:pPr>
      <w:r w:rsidRPr="0083037E">
        <w:rPr>
          <w:rFonts w:ascii="Arial" w:eastAsia="Calibri" w:hAnsi="Arial" w:cs="Arial"/>
          <w:b/>
        </w:rPr>
        <w:t xml:space="preserve">3. Respuesta </w:t>
      </w:r>
    </w:p>
    <w:p w14:paraId="388C9EB0" w14:textId="77777777" w:rsidR="00FA7C56" w:rsidRPr="0083037E" w:rsidRDefault="00FA7C56" w:rsidP="00FA7C56">
      <w:pPr>
        <w:spacing w:line="276" w:lineRule="auto"/>
        <w:ind w:left="709" w:right="709"/>
        <w:jc w:val="center"/>
        <w:rPr>
          <w:rFonts w:ascii="Arial" w:hAnsi="Arial" w:cs="Arial"/>
          <w:sz w:val="21"/>
          <w:szCs w:val="21"/>
        </w:rPr>
      </w:pPr>
    </w:p>
    <w:p w14:paraId="7F302FE9" w14:textId="77777777" w:rsidR="005A5B88" w:rsidRPr="0083037E" w:rsidRDefault="005A5B88" w:rsidP="005A5B88">
      <w:pPr>
        <w:ind w:left="709" w:right="709"/>
        <w:jc w:val="both"/>
        <w:rPr>
          <w:rFonts w:ascii="Arial" w:eastAsia="Calibri" w:hAnsi="Arial" w:cs="Arial"/>
          <w:bCs/>
          <w:sz w:val="21"/>
          <w:szCs w:val="21"/>
        </w:rPr>
      </w:pPr>
      <w:r w:rsidRPr="0083037E">
        <w:rPr>
          <w:rFonts w:ascii="Arial" w:eastAsia="Calibri" w:hAnsi="Arial" w:cs="Arial"/>
          <w:bCs/>
          <w:sz w:val="21"/>
          <w:szCs w:val="21"/>
        </w:rPr>
        <w:t>«De acuerdo a los Documentos Tipo de Consultoría de Estudios de Ingeniería de Infraestructura de Trasporte, específicamente sobre la matriz de experiencia, solicitamos por favor aclarar con que criterios las Entidades solicitan la experiencia general y especifica de cada uno de los procesos que publican de acuerdo a la matriz de experiencia. igualmente si existe alguna directriz de Colombia Compra Eficiente para que las entidades soliciten una experiencia determinada» (sic).</w:t>
      </w:r>
    </w:p>
    <w:p w14:paraId="5C43271C" w14:textId="77777777" w:rsidR="00FA7C56" w:rsidRPr="0083037E" w:rsidRDefault="00FA7C56" w:rsidP="00FA7C56">
      <w:pPr>
        <w:spacing w:line="276" w:lineRule="auto"/>
        <w:ind w:left="709" w:right="709"/>
        <w:jc w:val="both"/>
        <w:rPr>
          <w:rFonts w:ascii="Arial" w:eastAsia="Calibri" w:hAnsi="Arial" w:cs="Arial"/>
          <w:b/>
          <w:sz w:val="21"/>
          <w:szCs w:val="21"/>
        </w:rPr>
      </w:pPr>
    </w:p>
    <w:p w14:paraId="030525EC" w14:textId="57007407" w:rsidR="00A219D6" w:rsidRPr="0083037E" w:rsidRDefault="00A03470" w:rsidP="00384643">
      <w:pPr>
        <w:spacing w:before="120" w:line="276" w:lineRule="auto"/>
        <w:ind w:firstLine="709"/>
        <w:jc w:val="both"/>
        <w:rPr>
          <w:rFonts w:ascii="Arial" w:hAnsi="Arial" w:cs="Arial"/>
          <w:color w:val="000000" w:themeColor="text1"/>
        </w:rPr>
      </w:pPr>
      <w:r w:rsidRPr="0083037E">
        <w:rPr>
          <w:rFonts w:ascii="Arial" w:hAnsi="Arial" w:cs="Arial"/>
          <w:color w:val="000000" w:themeColor="text1"/>
        </w:rPr>
        <w:t>L</w:t>
      </w:r>
      <w:r w:rsidR="00A219D6" w:rsidRPr="0083037E">
        <w:rPr>
          <w:rFonts w:ascii="Arial" w:hAnsi="Arial" w:cs="Arial"/>
          <w:color w:val="000000" w:themeColor="text1"/>
        </w:rPr>
        <w:t xml:space="preserve">a Matriz 1 </w:t>
      </w:r>
      <w:r w:rsidR="00317EF7" w:rsidRPr="0083037E">
        <w:rPr>
          <w:rFonts w:ascii="Arial" w:hAnsi="Arial" w:cs="Arial"/>
          <w:color w:val="000000" w:themeColor="text1"/>
        </w:rPr>
        <w:t xml:space="preserve">de los documentos tipo de consultoría de estudios de ingeniería de infraestructura de transporte </w:t>
      </w:r>
      <w:r w:rsidR="00A219D6" w:rsidRPr="0083037E">
        <w:rPr>
          <w:rFonts w:ascii="Arial" w:hAnsi="Arial" w:cs="Arial"/>
          <w:color w:val="000000" w:themeColor="text1"/>
        </w:rPr>
        <w:t>contempla ocho tipos de consultorías generales a saber: i) consultoría para obras en vías primarias o secundarias; ii) consultoría para obras en vías terciarias; iii) consultoría para obras marítimas y fluviales; iv) consultoría para obras en vías primarias o secundarias o terciarias o urbanas para atención, prevención o mitigación de emergencias diferentes a contratación directa; v) consultoría para obras férreas; vi) consultoría para obras de infraestructura vial urbana; vii) consultoría para obras en puentes; viii) consultoría para obras aeroportuarias.</w:t>
      </w:r>
      <w:r w:rsidR="00384643" w:rsidRPr="0083037E">
        <w:rPr>
          <w:rFonts w:ascii="Arial" w:hAnsi="Arial" w:cs="Arial"/>
          <w:color w:val="000000" w:themeColor="text1"/>
        </w:rPr>
        <w:t xml:space="preserve"> Dentro de cada una de ellas se establecen las actividades a contratar más precisas que hacen parte de ellas, estableciéndose los requisitos de experiencia respectivos. Además, l</w:t>
      </w:r>
      <w:r w:rsidR="00A219D6" w:rsidRPr="0083037E">
        <w:rPr>
          <w:rFonts w:ascii="Arial" w:hAnsi="Arial" w:cs="Arial"/>
          <w:color w:val="000000" w:themeColor="text1"/>
        </w:rPr>
        <w:t>a Matriz 1 establece las «Reglas para definir la experiencia exigible en el proceso de contratación», así:</w:t>
      </w:r>
    </w:p>
    <w:p w14:paraId="778C923E"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A la entidad estatal le corresponde definir la experiencia general y la experiencia específica del proceso de contratación, de acuerdo con la Matriz 1 – Experiencia, teniendo en cuenta las siguientes reglas: </w:t>
      </w:r>
    </w:p>
    <w:p w14:paraId="66D3479D" w14:textId="77777777" w:rsidR="00A219D6" w:rsidRPr="0083037E" w:rsidRDefault="00A219D6" w:rsidP="00A219D6">
      <w:pPr>
        <w:ind w:left="709" w:right="709" w:firstLine="709"/>
        <w:jc w:val="both"/>
        <w:rPr>
          <w:rFonts w:ascii="Arial" w:hAnsi="Arial" w:cs="Arial"/>
          <w:color w:val="000000" w:themeColor="text1"/>
          <w:sz w:val="21"/>
          <w:szCs w:val="21"/>
        </w:rPr>
      </w:pPr>
    </w:p>
    <w:p w14:paraId="526F42F4"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i) La Entidad Estatal no puede modificar, omitir o adicionar las actividades de la experiencia general y especifica definidas en la Matriz 1 – Experiencia para cada «actividad a contratar». Igual previsión aplica para el «% DE DIMENSIONAMIENTO (Según la longitud requerida en el proceso de contratación)».</w:t>
      </w:r>
    </w:p>
    <w:p w14:paraId="11685A38" w14:textId="77777777" w:rsidR="00A219D6" w:rsidRPr="0083037E" w:rsidRDefault="00A219D6" w:rsidP="00A219D6">
      <w:pPr>
        <w:ind w:left="709" w:right="709" w:firstLine="709"/>
        <w:jc w:val="both"/>
        <w:rPr>
          <w:rFonts w:ascii="Arial" w:hAnsi="Arial" w:cs="Arial"/>
          <w:color w:val="000000" w:themeColor="text1"/>
          <w:sz w:val="21"/>
          <w:szCs w:val="21"/>
        </w:rPr>
      </w:pPr>
    </w:p>
    <w:p w14:paraId="6B59C612"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ii) «Experiencia General»: la experiencia general que solicite la entidad debe respetar toda la descripción prevista en la «Matriz 1 – Experiencia» para la «actividad a contratar», incluidas las Notas aclaratorias. </w:t>
      </w:r>
    </w:p>
    <w:p w14:paraId="6E10956D" w14:textId="77777777" w:rsidR="00A219D6" w:rsidRPr="0083037E" w:rsidRDefault="00A219D6" w:rsidP="00A219D6">
      <w:pPr>
        <w:ind w:left="709" w:right="709" w:firstLine="709"/>
        <w:jc w:val="both"/>
        <w:rPr>
          <w:rFonts w:ascii="Arial" w:hAnsi="Arial" w:cs="Arial"/>
          <w:color w:val="000000" w:themeColor="text1"/>
          <w:sz w:val="21"/>
          <w:szCs w:val="21"/>
        </w:rPr>
      </w:pPr>
    </w:p>
    <w:p w14:paraId="0D415E3A"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iii) «Experiencia Específica»: la entidad debe solicitar experiencia especifica cuando la «Matriz 1 – Experiencia» lo exija, teniendo en cuenta las siguientes variables: a) «tipo de infraestructura», b) «actividad a contratar» y c) «cuantías del proceso de contratación». </w:t>
      </w:r>
    </w:p>
    <w:p w14:paraId="1FC892A4" w14:textId="77777777" w:rsidR="00A219D6" w:rsidRPr="0083037E" w:rsidRDefault="00A219D6" w:rsidP="00A219D6">
      <w:pPr>
        <w:ind w:left="709" w:right="709" w:firstLine="709"/>
        <w:jc w:val="both"/>
        <w:rPr>
          <w:rFonts w:ascii="Arial" w:hAnsi="Arial" w:cs="Arial"/>
          <w:color w:val="000000" w:themeColor="text1"/>
          <w:sz w:val="21"/>
          <w:szCs w:val="21"/>
        </w:rPr>
      </w:pPr>
    </w:p>
    <w:p w14:paraId="6CAE6090"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iv)  Cuando el objeto del proceso de contratación contemple la ejecución de una sola «actividad a contratar», la entidad estatal, de acuerdo con la «Matriz 1 – Experiencia», tendrá qué solicitar la experiencia general y la experiencia específica, cuando la cuantía del proceso de contratación lo exija acorde con el «rango en SMMLV del proceso de contratación». Es decir, en este caso la entidad tiene que solicitar tanto la experiencia general como la experiencia específica en las condiciones previstas en la «Matriz 1- Experiencia» para la correspondiente actividad a contratar y solo prescindirá de la experiencia especifica cuando la «Matriz 1- Experiencia» así lo indique.</w:t>
      </w:r>
    </w:p>
    <w:p w14:paraId="78BB5CFC" w14:textId="77777777" w:rsidR="00A219D6" w:rsidRPr="0083037E" w:rsidRDefault="00A219D6" w:rsidP="00A219D6">
      <w:pPr>
        <w:ind w:left="709" w:right="709"/>
        <w:jc w:val="both"/>
        <w:rPr>
          <w:rFonts w:ascii="Arial" w:hAnsi="Arial" w:cs="Arial"/>
          <w:color w:val="000000" w:themeColor="text1"/>
          <w:sz w:val="21"/>
          <w:szCs w:val="21"/>
        </w:rPr>
      </w:pPr>
    </w:p>
    <w:p w14:paraId="46EB264F"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v)  Para identificar la experiencia exigible de un proceso de contratación, la entidad estatal debe tener en cuenta: i) el alcance del objeto a contratar, ii) el tipo de infraestructura, iii) las actividades a contratar definidas en la Matriz 1- Experiencia y iv) la cuantía del proceso de contratación. Por lo tanto, debe seguir los siguientes pasos: </w:t>
      </w:r>
    </w:p>
    <w:p w14:paraId="46297ACB" w14:textId="77777777" w:rsidR="00A219D6" w:rsidRPr="0083037E" w:rsidRDefault="00A219D6" w:rsidP="00A219D6">
      <w:pPr>
        <w:ind w:left="709" w:right="709" w:firstLine="709"/>
        <w:jc w:val="both"/>
        <w:rPr>
          <w:rFonts w:ascii="Arial" w:hAnsi="Arial" w:cs="Arial"/>
          <w:color w:val="000000" w:themeColor="text1"/>
          <w:sz w:val="21"/>
          <w:szCs w:val="21"/>
        </w:rPr>
      </w:pPr>
    </w:p>
    <w:p w14:paraId="40588C45"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a) Identificar en la «Matriz 1- Experiencia», el tipo de infraestructura sobre el cual recae la consultoría a la obra pública. </w:t>
      </w:r>
    </w:p>
    <w:p w14:paraId="200A1AB2" w14:textId="77777777" w:rsidR="00A219D6" w:rsidRPr="0083037E" w:rsidRDefault="00A219D6" w:rsidP="00A219D6">
      <w:pPr>
        <w:ind w:left="709" w:right="709" w:firstLine="709"/>
        <w:jc w:val="both"/>
        <w:rPr>
          <w:rFonts w:ascii="Arial" w:hAnsi="Arial" w:cs="Arial"/>
          <w:color w:val="000000" w:themeColor="text1"/>
          <w:sz w:val="21"/>
          <w:szCs w:val="21"/>
        </w:rPr>
      </w:pPr>
    </w:p>
    <w:p w14:paraId="3EAEDA28"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b) Identificar la «ACTIVIDAD A CONTRATAR» acorde con la Matriz 1- Experiencia. </w:t>
      </w:r>
    </w:p>
    <w:p w14:paraId="54F412E9" w14:textId="77777777" w:rsidR="00A219D6" w:rsidRPr="0083037E" w:rsidRDefault="00A219D6" w:rsidP="00A219D6">
      <w:pPr>
        <w:ind w:left="709" w:right="709" w:firstLine="709"/>
        <w:jc w:val="both"/>
        <w:rPr>
          <w:rFonts w:ascii="Arial" w:hAnsi="Arial" w:cs="Arial"/>
          <w:color w:val="000000" w:themeColor="text1"/>
          <w:sz w:val="21"/>
          <w:szCs w:val="21"/>
        </w:rPr>
      </w:pPr>
    </w:p>
    <w:p w14:paraId="32866171"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c) Identificar el rango de las «Cuantías del proceso de contratación», de acuerdo con el presupuesto oficial. </w:t>
      </w:r>
    </w:p>
    <w:p w14:paraId="6854FBFF" w14:textId="77777777" w:rsidR="00A219D6" w:rsidRPr="0083037E" w:rsidRDefault="00A219D6" w:rsidP="00A219D6">
      <w:pPr>
        <w:ind w:left="709" w:right="709" w:firstLine="709"/>
        <w:jc w:val="both"/>
        <w:rPr>
          <w:rFonts w:ascii="Arial" w:hAnsi="Arial" w:cs="Arial"/>
          <w:color w:val="000000" w:themeColor="text1"/>
          <w:sz w:val="21"/>
          <w:szCs w:val="21"/>
        </w:rPr>
      </w:pPr>
    </w:p>
    <w:p w14:paraId="1F545E93"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d) Identificar la «experiencia general» y la «experiencia específica» exigible acorde con la Matriz 1- Experiencia teniendo en cuenta la «actividad a contratar» y el rango de la cuantía del proceso de contratación. </w:t>
      </w:r>
    </w:p>
    <w:p w14:paraId="02BCE753" w14:textId="77777777" w:rsidR="00A219D6" w:rsidRPr="0083037E" w:rsidRDefault="00A219D6" w:rsidP="00A219D6">
      <w:pPr>
        <w:ind w:left="709" w:right="709" w:firstLine="709"/>
        <w:jc w:val="both"/>
        <w:rPr>
          <w:rFonts w:ascii="Arial" w:hAnsi="Arial" w:cs="Arial"/>
          <w:color w:val="000000" w:themeColor="text1"/>
          <w:sz w:val="21"/>
          <w:szCs w:val="21"/>
        </w:rPr>
      </w:pPr>
    </w:p>
    <w:p w14:paraId="24031E4A"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 xml:space="preserve">vi) 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que para las actividades a contratar, diferentes a la de mayor relevancia, la «Matriz 1- Experiencia» no contemple la experiencia específica, se podrá solicitar la experiencia general de la actividad, como específica. </w:t>
      </w:r>
    </w:p>
    <w:p w14:paraId="26ADCD23" w14:textId="77777777" w:rsidR="00A219D6" w:rsidRPr="0083037E" w:rsidRDefault="00A219D6" w:rsidP="00A219D6">
      <w:pPr>
        <w:ind w:left="709" w:right="709"/>
        <w:jc w:val="both"/>
        <w:rPr>
          <w:rFonts w:ascii="Arial" w:hAnsi="Arial" w:cs="Arial"/>
          <w:color w:val="000000" w:themeColor="text1"/>
          <w:sz w:val="21"/>
          <w:szCs w:val="21"/>
        </w:rPr>
      </w:pPr>
    </w:p>
    <w:p w14:paraId="74A3706F"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Tenga en cuenta que la experiencia se establecerá en función de la desagregación del valor de las actividades en los casos en los cuales sea procedente la combinación de actividades a contratar.</w:t>
      </w:r>
    </w:p>
    <w:p w14:paraId="3D1D3F6C" w14:textId="77777777" w:rsidR="00A219D6" w:rsidRPr="0083037E" w:rsidRDefault="00A219D6" w:rsidP="00A219D6">
      <w:pPr>
        <w:ind w:left="709" w:right="709"/>
        <w:jc w:val="both"/>
        <w:rPr>
          <w:rFonts w:ascii="Arial" w:hAnsi="Arial" w:cs="Arial"/>
          <w:color w:val="000000" w:themeColor="text1"/>
          <w:sz w:val="21"/>
          <w:szCs w:val="21"/>
        </w:rPr>
      </w:pPr>
    </w:p>
    <w:p w14:paraId="2616D7B2"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t>Adicionalmente, en los casos donde la Entidad opte por la exigencia de la experiencia específica para las actividades distintas a la de mayor relevancia, se deberá incluir la siguiente nota:</w:t>
      </w:r>
    </w:p>
    <w:p w14:paraId="555D89C0" w14:textId="77777777" w:rsidR="00A219D6" w:rsidRPr="0083037E" w:rsidRDefault="00A219D6" w:rsidP="00A219D6">
      <w:pPr>
        <w:ind w:left="709" w:right="709"/>
        <w:jc w:val="both"/>
        <w:rPr>
          <w:rFonts w:ascii="Arial" w:hAnsi="Arial" w:cs="Arial"/>
          <w:color w:val="000000" w:themeColor="text1"/>
          <w:sz w:val="21"/>
          <w:szCs w:val="21"/>
        </w:rPr>
      </w:pPr>
      <w:r w:rsidRPr="0083037E">
        <w:rPr>
          <w:rFonts w:ascii="Arial" w:hAnsi="Arial" w:cs="Arial"/>
          <w:color w:val="000000" w:themeColor="text1"/>
          <w:sz w:val="21"/>
          <w:szCs w:val="21"/>
        </w:rPr>
        <w:lastRenderedPageBreak/>
        <w:t>«Nota: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 (</w:t>
      </w:r>
      <w:proofErr w:type="spellStart"/>
      <w:r w:rsidRPr="0083037E">
        <w:rPr>
          <w:rFonts w:ascii="Arial" w:hAnsi="Arial" w:cs="Arial"/>
          <w:color w:val="000000" w:themeColor="text1"/>
          <w:sz w:val="21"/>
          <w:szCs w:val="21"/>
        </w:rPr>
        <w:t>ej</w:t>
      </w:r>
      <w:proofErr w:type="spellEnd"/>
      <w:r w:rsidRPr="0083037E">
        <w:rPr>
          <w:rFonts w:ascii="Arial" w:hAnsi="Arial" w:cs="Arial"/>
          <w:color w:val="000000" w:themeColor="text1"/>
          <w:sz w:val="21"/>
          <w:szCs w:val="21"/>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p>
    <w:p w14:paraId="007A6C89" w14:textId="77777777" w:rsidR="00A219D6" w:rsidRPr="0083037E" w:rsidRDefault="00A219D6" w:rsidP="00A219D6">
      <w:pPr>
        <w:spacing w:line="276" w:lineRule="auto"/>
        <w:ind w:firstLine="708"/>
        <w:jc w:val="both"/>
        <w:rPr>
          <w:rFonts w:ascii="Arial" w:eastAsia="Calibri" w:hAnsi="Arial" w:cs="Arial"/>
          <w:color w:val="000000"/>
        </w:rPr>
      </w:pPr>
    </w:p>
    <w:p w14:paraId="5C21E345" w14:textId="77777777" w:rsidR="00DF173A" w:rsidRPr="0083037E" w:rsidRDefault="00DF173A" w:rsidP="00DF173A">
      <w:pPr>
        <w:spacing w:line="276" w:lineRule="auto"/>
        <w:ind w:firstLine="708"/>
        <w:jc w:val="both"/>
        <w:rPr>
          <w:rFonts w:ascii="Arial" w:eastAsia="Calibri" w:hAnsi="Arial" w:cs="Arial"/>
          <w:color w:val="000000"/>
        </w:rPr>
      </w:pPr>
      <w:r w:rsidRPr="0083037E">
        <w:rPr>
          <w:rFonts w:ascii="Arial" w:eastAsia="Calibri" w:hAnsi="Arial" w:cs="Arial"/>
          <w:color w:val="000000"/>
        </w:rPr>
        <w:t>Por su parte, el numeral 3.8 del documento base establece las «exigencias mínimas de la experiencia del proponente y la experiencia y formación académica del equipo de trabajo». De igual modo, el capítulo IV prevé la forma como se deben definir los «criterios de evaluación, asignación de puntaje y criterios de desempate». En tal sentido, el numeral 4.1. regula la «forma de verificación y asignación del puntaje por la experiencia del proponente». Allí se pueden encontrar los criterios que debe tener en cuenta la entidad para evaluar la experiencia general y específica. Como se observa, la Agencia Nacional de Contratación Pública – Colombia Compra Eficiente ha establecido en el documento tipo de consultoría de estudios de ingeniería de infraestructura de transporte los criterios rectores para exigir la experiencia en estos procedimientos de selección, lo cuales deben respetarse, en armonía con la regla de la inalterabilidad de los documentos tipo.</w:t>
      </w:r>
    </w:p>
    <w:p w14:paraId="73A278D1" w14:textId="7A467CD1" w:rsidR="00A219D6" w:rsidRPr="0083037E" w:rsidRDefault="00A219D6" w:rsidP="00440568">
      <w:pPr>
        <w:spacing w:before="120" w:line="276" w:lineRule="auto"/>
        <w:ind w:firstLine="709"/>
        <w:jc w:val="both"/>
        <w:rPr>
          <w:rFonts w:ascii="Arial" w:hAnsi="Arial" w:cs="Arial"/>
        </w:rPr>
      </w:pPr>
      <w:r w:rsidRPr="0083037E">
        <w:rPr>
          <w:rFonts w:ascii="Arial" w:eastAsia="Calibri" w:hAnsi="Arial" w:cs="Arial"/>
          <w:color w:val="000000"/>
        </w:rPr>
        <w:t>Sin perjuicio de las aclaraciones anteriores</w:t>
      </w:r>
      <w:r w:rsidRPr="0083037E">
        <w:rPr>
          <w:rFonts w:ascii="Arial" w:hAnsi="Arial" w:cs="Arial"/>
        </w:rPr>
        <w:t xml:space="preserve">, debe advertirse que es la entidad contratante, al momento de adelantar sus actividades de planeación de cada proceso contractual, quien debe determinar si de acuerdo con las particularidades del contrato a ejecutar, este encaja o no dentro de alguna de las actividades de la matriz 1 de cada documento tipo, y si en consecuencia deben aplicarse o no determinados documentos tipo, conforme a los parámetros indicados en este concepto. Lo anterior sin que pueda apartarse de su aplicación cuando materialmente el objeto a contratar corresponde con alguna actividad contemplada en dicha matriz. Adicionalmente, la entidad estatal debe garantizar el principio de selección objetiva, en los términos del artículo 5 de la Ley 1150 de 2007, al momento de definir la experiencia exigible en el procedimiento de selección. </w:t>
      </w:r>
    </w:p>
    <w:p w14:paraId="346E3255" w14:textId="77777777" w:rsidR="005A5B88" w:rsidRPr="0083037E" w:rsidRDefault="005A5B88" w:rsidP="00B749D1">
      <w:pPr>
        <w:spacing w:line="276" w:lineRule="auto"/>
        <w:jc w:val="both"/>
        <w:rPr>
          <w:rFonts w:ascii="Arial" w:eastAsia="Calibri" w:hAnsi="Arial" w:cs="Arial"/>
          <w:color w:val="000000"/>
        </w:rPr>
      </w:pPr>
    </w:p>
    <w:p w14:paraId="79D99817" w14:textId="11C457EF" w:rsidR="00B749D1" w:rsidRPr="0083037E" w:rsidRDefault="00B749D1" w:rsidP="00B749D1">
      <w:pPr>
        <w:spacing w:line="276" w:lineRule="auto"/>
        <w:jc w:val="both"/>
        <w:rPr>
          <w:rFonts w:ascii="Arial" w:eastAsia="Calibri" w:hAnsi="Arial" w:cs="Arial"/>
          <w:color w:val="000000"/>
          <w:lang w:val="es-ES_tradnl"/>
        </w:rPr>
      </w:pPr>
      <w:r w:rsidRPr="0083037E">
        <w:rPr>
          <w:rFonts w:ascii="Arial" w:eastAsia="Calibri" w:hAnsi="Arial" w:cs="Arial"/>
          <w:color w:val="000000"/>
          <w:lang w:val="es-ES_tradnl"/>
        </w:rPr>
        <w:t>Este concepto tiene el alcance previsto en el artículo 28 del Código de Procedimiento Administrativo y de lo Contencioso Administrativo.</w:t>
      </w:r>
    </w:p>
    <w:p w14:paraId="2BACA7DD" w14:textId="77777777" w:rsidR="00B749D1" w:rsidRPr="0083037E" w:rsidRDefault="00B749D1" w:rsidP="00B749D1">
      <w:pPr>
        <w:spacing w:line="276" w:lineRule="auto"/>
        <w:jc w:val="both"/>
        <w:rPr>
          <w:rFonts w:ascii="Arial" w:hAnsi="Arial" w:cs="Arial"/>
          <w:color w:val="000000"/>
          <w:lang w:val="es-ES_tradnl" w:eastAsia="es-CO"/>
        </w:rPr>
      </w:pPr>
    </w:p>
    <w:p w14:paraId="19B0865B" w14:textId="77777777" w:rsidR="00B749D1" w:rsidRPr="0083037E" w:rsidRDefault="00B749D1" w:rsidP="00B749D1">
      <w:pPr>
        <w:spacing w:line="276" w:lineRule="auto"/>
        <w:jc w:val="both"/>
        <w:rPr>
          <w:rFonts w:ascii="Arial" w:hAnsi="Arial" w:cs="Arial"/>
          <w:color w:val="000000"/>
          <w:lang w:val="es-ES_tradnl" w:eastAsia="es-CO"/>
        </w:rPr>
      </w:pPr>
    </w:p>
    <w:p w14:paraId="241F05F6" w14:textId="77777777" w:rsidR="00B749D1" w:rsidRPr="0083037E" w:rsidRDefault="00B749D1" w:rsidP="00B749D1">
      <w:pPr>
        <w:spacing w:line="276" w:lineRule="auto"/>
        <w:jc w:val="both"/>
        <w:rPr>
          <w:rFonts w:ascii="Arial" w:hAnsi="Arial" w:cs="Arial"/>
          <w:color w:val="000000"/>
          <w:lang w:val="es-ES_tradnl" w:eastAsia="es-CO"/>
        </w:rPr>
      </w:pPr>
      <w:r w:rsidRPr="0083037E">
        <w:rPr>
          <w:rFonts w:ascii="Arial" w:hAnsi="Arial" w:cs="Arial"/>
          <w:color w:val="000000"/>
          <w:lang w:val="es-ES_tradnl" w:eastAsia="es-CO"/>
        </w:rPr>
        <w:t>Atentamente,</w:t>
      </w:r>
    </w:p>
    <w:p w14:paraId="29703175" w14:textId="77777777" w:rsidR="00F95017" w:rsidRPr="0083037E" w:rsidRDefault="00F95017" w:rsidP="00F9501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0260C47" w14:textId="6445D6EC" w:rsidR="00F95017" w:rsidRPr="0083037E" w:rsidRDefault="00C56F57" w:rsidP="00C56F57">
      <w:pPr>
        <w:pStyle w:val="NormalWeb"/>
        <w:spacing w:before="0" w:beforeAutospacing="0" w:after="0" w:afterAutospacing="0" w:line="276" w:lineRule="auto"/>
        <w:jc w:val="center"/>
        <w:rPr>
          <w:color w:val="000000" w:themeColor="text1"/>
          <w:lang w:val="es-ES_tradnl"/>
        </w:rPr>
      </w:pPr>
      <w:r>
        <w:rPr>
          <w:noProof/>
        </w:rPr>
        <w:lastRenderedPageBreak/>
        <w:drawing>
          <wp:inline distT="0" distB="0" distL="0" distR="0" wp14:anchorId="665302FC" wp14:editId="19A662E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EB1D12A" w14:textId="77777777" w:rsidR="00F95017" w:rsidRPr="0083037E" w:rsidRDefault="00F95017" w:rsidP="00F9501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95017" w:rsidRPr="0083037E" w14:paraId="46581942" w14:textId="77777777" w:rsidTr="000C1AFE">
        <w:trPr>
          <w:trHeight w:val="315"/>
        </w:trPr>
        <w:tc>
          <w:tcPr>
            <w:tcW w:w="812" w:type="dxa"/>
            <w:vAlign w:val="center"/>
            <w:hideMark/>
          </w:tcPr>
          <w:p w14:paraId="66B21C23"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9EE496C"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Cristian Andrés Díaz Díez</w:t>
            </w:r>
          </w:p>
          <w:p w14:paraId="2583A4DB"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Contratista de la Subdirección de Gestión Contractual</w:t>
            </w:r>
          </w:p>
        </w:tc>
      </w:tr>
      <w:tr w:rsidR="00F95017" w:rsidRPr="0083037E" w14:paraId="11D5E428" w14:textId="77777777" w:rsidTr="000C1AFE">
        <w:trPr>
          <w:trHeight w:val="330"/>
        </w:trPr>
        <w:tc>
          <w:tcPr>
            <w:tcW w:w="812" w:type="dxa"/>
            <w:vAlign w:val="center"/>
            <w:hideMark/>
          </w:tcPr>
          <w:p w14:paraId="3CCDDF8E"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06179D"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Sebastián Ramírez Grisales</w:t>
            </w:r>
          </w:p>
          <w:p w14:paraId="21C4B163"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 xml:space="preserve">Contratista de la Subdirección de Gestión Contractual  </w:t>
            </w:r>
          </w:p>
        </w:tc>
      </w:tr>
      <w:tr w:rsidR="00F95017" w:rsidRPr="00494269" w14:paraId="14C9CC7B" w14:textId="77777777" w:rsidTr="000C1AFE">
        <w:trPr>
          <w:trHeight w:val="300"/>
        </w:trPr>
        <w:tc>
          <w:tcPr>
            <w:tcW w:w="812" w:type="dxa"/>
            <w:vAlign w:val="center"/>
            <w:hideMark/>
          </w:tcPr>
          <w:p w14:paraId="559E870E"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B00A97" w14:textId="77777777" w:rsidR="00F95017" w:rsidRPr="0083037E"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Jorge Augusto Tirado Navarro</w:t>
            </w:r>
          </w:p>
          <w:p w14:paraId="259308EA" w14:textId="77777777" w:rsidR="00F95017" w:rsidRPr="00494269" w:rsidRDefault="00F95017" w:rsidP="000C1AFE">
            <w:pPr>
              <w:jc w:val="both"/>
              <w:rPr>
                <w:rFonts w:ascii="Arial" w:hAnsi="Arial" w:cs="Arial"/>
                <w:color w:val="000000" w:themeColor="text1"/>
                <w:sz w:val="16"/>
                <w:szCs w:val="16"/>
                <w:lang w:val="es-ES_tradnl" w:eastAsia="es-ES"/>
              </w:rPr>
            </w:pPr>
            <w:r w:rsidRPr="0083037E">
              <w:rPr>
                <w:rFonts w:ascii="Arial" w:hAnsi="Arial" w:cs="Arial"/>
                <w:color w:val="000000" w:themeColor="text1"/>
                <w:sz w:val="16"/>
                <w:szCs w:val="16"/>
                <w:lang w:val="es-ES_tradnl" w:eastAsia="es-ES"/>
              </w:rPr>
              <w:t>Subdirector de Gestión Contractual ANCP – CCE</w:t>
            </w:r>
          </w:p>
        </w:tc>
      </w:tr>
    </w:tbl>
    <w:p w14:paraId="187B258D" w14:textId="77777777" w:rsidR="00F95017" w:rsidRPr="00494269" w:rsidRDefault="00F95017" w:rsidP="00F95017">
      <w:pPr>
        <w:tabs>
          <w:tab w:val="left" w:pos="3795"/>
        </w:tabs>
        <w:rPr>
          <w:rFonts w:ascii="Arial" w:hAnsi="Arial" w:cs="Arial"/>
          <w:color w:val="000000" w:themeColor="text1"/>
          <w:lang w:val="es-ES_tradnl"/>
        </w:rPr>
      </w:pPr>
      <w:r w:rsidRPr="00494269">
        <w:rPr>
          <w:rFonts w:ascii="Arial" w:hAnsi="Arial" w:cs="Arial"/>
          <w:color w:val="000000" w:themeColor="text1"/>
          <w:lang w:val="es-ES_tradnl"/>
        </w:rPr>
        <w:tab/>
      </w:r>
    </w:p>
    <w:p w14:paraId="4B46E55A" w14:textId="77777777" w:rsidR="00B749D1" w:rsidRPr="00F95017" w:rsidRDefault="00B749D1">
      <w:pPr>
        <w:rPr>
          <w:lang w:val="es-ES_tradnl"/>
        </w:rPr>
      </w:pPr>
    </w:p>
    <w:sectPr w:rsidR="00B749D1" w:rsidRPr="00F95017">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B352" w14:textId="77777777" w:rsidR="005A6BBE" w:rsidRDefault="005A6BBE" w:rsidP="00951D2A">
      <w:r>
        <w:separator/>
      </w:r>
    </w:p>
  </w:endnote>
  <w:endnote w:type="continuationSeparator" w:id="0">
    <w:p w14:paraId="3AC8B906" w14:textId="77777777" w:rsidR="005A6BBE" w:rsidRDefault="005A6BBE" w:rsidP="0095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A665" w14:textId="77777777" w:rsidR="00B922E8" w:rsidRDefault="00B922E8" w:rsidP="00951D2A">
    <w:pPr>
      <w:pStyle w:val="Piedepgina"/>
      <w:jc w:val="right"/>
      <w:rPr>
        <w:rFonts w:ascii="Arial" w:hAnsi="Arial" w:cs="Arial"/>
        <w:bCs/>
        <w:color w:val="7F7F7F" w:themeColor="text1" w:themeTint="80"/>
        <w:sz w:val="16"/>
        <w:szCs w:val="16"/>
      </w:rPr>
    </w:pPr>
  </w:p>
  <w:p w14:paraId="4150242A" w14:textId="55BBC4AB" w:rsidR="00951D2A" w:rsidRPr="008217B7" w:rsidRDefault="00951D2A" w:rsidP="00951D2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27</w:t>
    </w:r>
    <w:r w:rsidRPr="00084B97">
      <w:rPr>
        <w:rFonts w:ascii="Arial" w:hAnsi="Arial" w:cs="Arial"/>
        <w:b/>
        <w:bCs/>
        <w:color w:val="7F7F7F" w:themeColor="text1" w:themeTint="80"/>
        <w:sz w:val="16"/>
        <w:szCs w:val="16"/>
      </w:rPr>
      <w:fldChar w:fldCharType="end"/>
    </w:r>
  </w:p>
  <w:p w14:paraId="3A883BB8" w14:textId="77777777" w:rsidR="00951D2A" w:rsidRDefault="00951D2A" w:rsidP="00951D2A">
    <w:pPr>
      <w:pStyle w:val="Piedepgina"/>
      <w:jc w:val="center"/>
      <w:rPr>
        <w:lang w:val="es-ES"/>
      </w:rPr>
    </w:pPr>
    <w:r>
      <w:rPr>
        <w:noProof/>
        <w:lang w:val="en-US"/>
      </w:rPr>
      <w:drawing>
        <wp:inline distT="0" distB="0" distL="0" distR="0" wp14:anchorId="1767E13B" wp14:editId="073850AE">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8CADCF0" w14:textId="77777777" w:rsidR="00EA0A2C" w:rsidRDefault="00EA0A2C" w:rsidP="00951D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B2BA" w14:textId="77777777" w:rsidR="005A6BBE" w:rsidRDefault="005A6BBE" w:rsidP="00951D2A">
      <w:r>
        <w:separator/>
      </w:r>
    </w:p>
  </w:footnote>
  <w:footnote w:type="continuationSeparator" w:id="0">
    <w:p w14:paraId="7CC99455" w14:textId="77777777" w:rsidR="005A6BBE" w:rsidRDefault="005A6BBE" w:rsidP="00951D2A">
      <w:r>
        <w:continuationSeparator/>
      </w:r>
    </w:p>
  </w:footnote>
  <w:footnote w:id="1">
    <w:p w14:paraId="6FD118FB" w14:textId="77777777" w:rsidR="00951D2A" w:rsidRPr="00A50054" w:rsidRDefault="00951D2A" w:rsidP="00A50054">
      <w:pPr>
        <w:pStyle w:val="Textonotapie"/>
        <w:ind w:firstLine="709"/>
        <w:jc w:val="both"/>
        <w:rPr>
          <w:rFonts w:ascii="Arial" w:hAnsi="Arial" w:cs="Arial"/>
          <w:color w:val="000000"/>
          <w:sz w:val="19"/>
          <w:szCs w:val="19"/>
          <w:lang w:val="es-CO"/>
        </w:rPr>
      </w:pPr>
      <w:r w:rsidRPr="00A50054">
        <w:rPr>
          <w:rStyle w:val="Refdenotaalpie"/>
          <w:rFonts w:ascii="Arial" w:hAnsi="Arial" w:cs="Arial"/>
          <w:color w:val="000000"/>
          <w:sz w:val="19"/>
          <w:szCs w:val="19"/>
        </w:rPr>
        <w:footnoteRef/>
      </w:r>
      <w:r w:rsidRPr="00A50054">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43B84115" w14:textId="77777777" w:rsidR="00951D2A" w:rsidRPr="00A50054" w:rsidRDefault="00951D2A" w:rsidP="00A50054">
      <w:pPr>
        <w:pStyle w:val="Textonotapie"/>
        <w:ind w:firstLine="709"/>
        <w:jc w:val="both"/>
        <w:rPr>
          <w:rFonts w:ascii="Arial" w:hAnsi="Arial" w:cs="Arial"/>
          <w:color w:val="000000"/>
          <w:sz w:val="19"/>
          <w:szCs w:val="19"/>
        </w:rPr>
      </w:pPr>
      <w:r w:rsidRPr="00A50054">
        <w:rPr>
          <w:rStyle w:val="Refdenotaalpie"/>
          <w:rFonts w:ascii="Arial" w:hAnsi="Arial" w:cs="Arial"/>
          <w:color w:val="000000"/>
          <w:sz w:val="19"/>
          <w:szCs w:val="19"/>
        </w:rPr>
        <w:footnoteRef/>
      </w:r>
      <w:r w:rsidRPr="00A50054">
        <w:rPr>
          <w:rFonts w:ascii="Arial" w:hAnsi="Arial" w:cs="Arial"/>
          <w:color w:val="000000"/>
          <w:sz w:val="19"/>
          <w:szCs w:val="19"/>
        </w:rPr>
        <w:t xml:space="preserve"> </w:t>
      </w:r>
      <w:r w:rsidRPr="00A50054">
        <w:rPr>
          <w:rFonts w:ascii="Arial" w:hAnsi="Arial" w:cs="Arial"/>
          <w:color w:val="000000"/>
          <w:sz w:val="19"/>
          <w:szCs w:val="19"/>
          <w:lang w:val="es-CO"/>
        </w:rPr>
        <w:t xml:space="preserve">Ley 1882 de 2018: «Artículo 4. </w:t>
      </w:r>
      <w:r w:rsidRPr="00A50054">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EA58BB0" w14:textId="77777777" w:rsidR="00951D2A" w:rsidRPr="00A50054" w:rsidRDefault="00951D2A" w:rsidP="00A50054">
      <w:pPr>
        <w:pStyle w:val="Textonotapie"/>
        <w:ind w:firstLine="709"/>
        <w:jc w:val="both"/>
        <w:rPr>
          <w:rFonts w:ascii="Arial" w:hAnsi="Arial" w:cs="Arial"/>
          <w:color w:val="000000"/>
          <w:sz w:val="19"/>
          <w:szCs w:val="19"/>
          <w:lang w:val="es-CO"/>
        </w:rPr>
      </w:pPr>
      <w:r w:rsidRPr="00A50054">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7FEC963B" w14:textId="77777777" w:rsidR="00951D2A" w:rsidRPr="00A50054" w:rsidRDefault="00951D2A" w:rsidP="00A50054">
      <w:pPr>
        <w:pStyle w:val="Textonotapie"/>
        <w:ind w:firstLine="709"/>
        <w:jc w:val="both"/>
        <w:rPr>
          <w:rFonts w:ascii="Arial" w:hAnsi="Arial" w:cs="Arial"/>
          <w:color w:val="000000"/>
          <w:sz w:val="19"/>
          <w:szCs w:val="19"/>
          <w:lang w:val="es-CO"/>
        </w:rPr>
      </w:pPr>
      <w:r w:rsidRPr="00A50054">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324C5796" w14:textId="77777777" w:rsidR="00951D2A" w:rsidRPr="00A50054" w:rsidRDefault="00951D2A" w:rsidP="00A50054">
      <w:pPr>
        <w:pStyle w:val="Textonotapie"/>
        <w:ind w:firstLine="709"/>
        <w:jc w:val="both"/>
        <w:rPr>
          <w:rFonts w:ascii="Arial" w:hAnsi="Arial" w:cs="Arial"/>
          <w:color w:val="000000"/>
          <w:sz w:val="19"/>
          <w:szCs w:val="19"/>
          <w:lang w:val="es-CO"/>
        </w:rPr>
      </w:pPr>
    </w:p>
  </w:footnote>
  <w:footnote w:id="3">
    <w:p w14:paraId="35C8DC9A" w14:textId="77777777" w:rsidR="00951D2A" w:rsidRPr="00A50054" w:rsidRDefault="00951D2A" w:rsidP="00A50054">
      <w:pPr>
        <w:pStyle w:val="Textonotapie"/>
        <w:ind w:firstLine="709"/>
        <w:jc w:val="both"/>
        <w:rPr>
          <w:rFonts w:ascii="Arial" w:hAnsi="Arial" w:cs="Arial"/>
          <w:color w:val="000000"/>
          <w:sz w:val="19"/>
          <w:szCs w:val="19"/>
        </w:rPr>
      </w:pPr>
      <w:r w:rsidRPr="00A50054">
        <w:rPr>
          <w:rStyle w:val="Refdenotaalpie"/>
          <w:rFonts w:ascii="Arial" w:hAnsi="Arial" w:cs="Arial"/>
          <w:color w:val="000000"/>
          <w:sz w:val="19"/>
          <w:szCs w:val="19"/>
        </w:rPr>
        <w:footnoteRef/>
      </w:r>
      <w:r w:rsidRPr="00A50054">
        <w:rPr>
          <w:rFonts w:ascii="Arial" w:hAnsi="Arial" w:cs="Arial"/>
          <w:color w:val="000000"/>
          <w:sz w:val="19"/>
          <w:szCs w:val="19"/>
        </w:rPr>
        <w:t xml:space="preserve"> </w:t>
      </w:r>
      <w:r w:rsidRPr="00A50054">
        <w:rPr>
          <w:rFonts w:ascii="Arial" w:hAnsi="Arial" w:cs="Arial"/>
          <w:color w:val="000000"/>
          <w:sz w:val="19"/>
          <w:szCs w:val="19"/>
        </w:rPr>
        <w:t>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5C3C1E1" w14:textId="77777777" w:rsidR="00951D2A" w:rsidRPr="00A50054" w:rsidRDefault="00951D2A" w:rsidP="00A50054">
      <w:pPr>
        <w:pStyle w:val="Textonotapie"/>
        <w:ind w:firstLine="709"/>
        <w:jc w:val="both"/>
        <w:rPr>
          <w:rFonts w:ascii="Arial" w:hAnsi="Arial" w:cs="Arial"/>
          <w:color w:val="000000"/>
          <w:sz w:val="19"/>
          <w:szCs w:val="19"/>
        </w:rPr>
      </w:pPr>
    </w:p>
  </w:footnote>
  <w:footnote w:id="4">
    <w:p w14:paraId="71F1CEF2" w14:textId="77777777" w:rsidR="00951D2A" w:rsidRPr="00A50054" w:rsidRDefault="00951D2A" w:rsidP="00A50054">
      <w:pPr>
        <w:pStyle w:val="Textonotapie"/>
        <w:ind w:firstLine="709"/>
        <w:jc w:val="both"/>
        <w:rPr>
          <w:rFonts w:ascii="Arial" w:hAnsi="Arial" w:cs="Arial"/>
          <w:color w:val="000000"/>
          <w:sz w:val="19"/>
          <w:szCs w:val="19"/>
        </w:rPr>
      </w:pPr>
      <w:r w:rsidRPr="00A50054">
        <w:rPr>
          <w:rStyle w:val="Refdenotaalpie"/>
          <w:rFonts w:ascii="Arial" w:hAnsi="Arial" w:cs="Arial"/>
          <w:color w:val="000000"/>
          <w:sz w:val="19"/>
          <w:szCs w:val="19"/>
        </w:rPr>
        <w:footnoteRef/>
      </w:r>
      <w:r w:rsidRPr="00A50054">
        <w:rPr>
          <w:rFonts w:ascii="Arial" w:hAnsi="Arial" w:cs="Arial"/>
          <w:color w:val="000000"/>
          <w:sz w:val="19"/>
          <w:szCs w:val="19"/>
        </w:rPr>
        <w:t xml:space="preserve"> </w:t>
      </w:r>
      <w:r w:rsidRPr="00A50054">
        <w:rPr>
          <w:rFonts w:ascii="Arial" w:hAnsi="Arial" w:cs="Arial"/>
          <w:color w:val="000000"/>
          <w:sz w:val="19"/>
          <w:szCs w:val="19"/>
        </w:rPr>
        <w:t>«ARTÍCULO 1o. Modifíquese el artículo 4o de la Ley 1882 de 2018, el cual quedará así:</w:t>
      </w:r>
    </w:p>
    <w:p w14:paraId="649CFDA4" w14:textId="77777777" w:rsidR="00951D2A" w:rsidRPr="00A50054" w:rsidRDefault="00951D2A" w:rsidP="00A50054">
      <w:pPr>
        <w:pStyle w:val="Textonotapie"/>
        <w:ind w:firstLine="709"/>
        <w:jc w:val="both"/>
        <w:rPr>
          <w:rFonts w:ascii="Arial" w:hAnsi="Arial" w:cs="Arial"/>
          <w:color w:val="000000"/>
          <w:sz w:val="19"/>
          <w:szCs w:val="19"/>
        </w:rPr>
      </w:pPr>
      <w:r w:rsidRPr="00A50054">
        <w:rPr>
          <w:rFonts w:ascii="Arial" w:hAnsi="Arial" w:cs="Arial"/>
          <w:color w:val="000000"/>
          <w:sz w:val="19"/>
          <w:szCs w:val="19"/>
        </w:rPr>
        <w:t>»Artículo 4o. Adiciónese el siguiente parágrafo al artículo 2o de la Ley 1150 de 2007.</w:t>
      </w:r>
    </w:p>
    <w:p w14:paraId="75BB73C9" w14:textId="77777777" w:rsidR="00951D2A" w:rsidRPr="00A50054" w:rsidRDefault="00951D2A" w:rsidP="00A50054">
      <w:pPr>
        <w:pStyle w:val="Textonotapie"/>
        <w:ind w:firstLine="709"/>
        <w:jc w:val="both"/>
        <w:rPr>
          <w:rFonts w:ascii="Arial" w:hAnsi="Arial" w:cs="Arial"/>
          <w:color w:val="000000"/>
          <w:sz w:val="19"/>
          <w:szCs w:val="19"/>
        </w:rPr>
      </w:pPr>
      <w:r w:rsidRPr="00A50054">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355E5D9" w14:textId="77777777" w:rsidR="00951D2A" w:rsidRPr="00A50054" w:rsidRDefault="00951D2A" w:rsidP="00A50054">
      <w:pPr>
        <w:pStyle w:val="Textonotapie"/>
        <w:ind w:firstLine="709"/>
        <w:jc w:val="both"/>
        <w:rPr>
          <w:rFonts w:ascii="Arial" w:hAnsi="Arial" w:cs="Arial"/>
          <w:color w:val="000000"/>
          <w:sz w:val="19"/>
          <w:szCs w:val="19"/>
        </w:rPr>
      </w:pPr>
      <w:r w:rsidRPr="00A50054">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15F8B2E" w14:textId="77777777" w:rsidR="00951D2A" w:rsidRPr="00A50054" w:rsidRDefault="00951D2A" w:rsidP="00A50054">
      <w:pPr>
        <w:pStyle w:val="Textonotapie"/>
        <w:ind w:firstLine="709"/>
        <w:jc w:val="both"/>
        <w:rPr>
          <w:rFonts w:ascii="Arial" w:hAnsi="Arial" w:cs="Arial"/>
          <w:color w:val="000000"/>
          <w:sz w:val="19"/>
          <w:szCs w:val="19"/>
        </w:rPr>
      </w:pPr>
      <w:r w:rsidRPr="00A50054">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96B12EA" w14:textId="77777777" w:rsidR="00951D2A" w:rsidRPr="00A50054" w:rsidRDefault="00951D2A" w:rsidP="00A50054">
      <w:pPr>
        <w:pStyle w:val="Textonotapie"/>
        <w:ind w:firstLine="709"/>
        <w:jc w:val="both"/>
        <w:rPr>
          <w:rFonts w:ascii="Arial" w:hAnsi="Arial" w:cs="Arial"/>
          <w:color w:val="000000"/>
          <w:sz w:val="19"/>
          <w:szCs w:val="19"/>
        </w:rPr>
      </w:pPr>
      <w:r w:rsidRPr="00A50054">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BC1857C" w14:textId="77777777" w:rsidR="00951D2A" w:rsidRPr="00A50054" w:rsidRDefault="00951D2A" w:rsidP="00A50054">
      <w:pPr>
        <w:pStyle w:val="Textonotapie"/>
        <w:ind w:firstLine="709"/>
        <w:jc w:val="both"/>
        <w:rPr>
          <w:rFonts w:ascii="Arial" w:hAnsi="Arial" w:cs="Arial"/>
          <w:color w:val="000000"/>
          <w:sz w:val="19"/>
          <w:szCs w:val="19"/>
          <w:lang w:val="es-CO"/>
        </w:rPr>
      </w:pPr>
      <w:r w:rsidRPr="00A50054">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47AC4D3D" w14:textId="77777777" w:rsidR="00B944ED" w:rsidRPr="00A50054" w:rsidRDefault="00B944ED" w:rsidP="00A50054">
      <w:pPr>
        <w:pStyle w:val="Textonotapie"/>
        <w:ind w:firstLine="709"/>
        <w:jc w:val="both"/>
        <w:rPr>
          <w:rFonts w:ascii="Arial" w:hAnsi="Arial" w:cs="Arial"/>
          <w:sz w:val="19"/>
          <w:szCs w:val="19"/>
        </w:rPr>
      </w:pPr>
    </w:p>
    <w:p w14:paraId="6D5A42C2" w14:textId="135BE6A7" w:rsidR="00DC3578" w:rsidRPr="00A50054" w:rsidRDefault="00DC3578" w:rsidP="00A50054">
      <w:pPr>
        <w:pStyle w:val="Textonotapie"/>
        <w:ind w:firstLine="709"/>
        <w:jc w:val="both"/>
        <w:rPr>
          <w:rFonts w:ascii="Arial" w:hAnsi="Arial" w:cs="Arial"/>
          <w:sz w:val="19"/>
          <w:szCs w:val="19"/>
        </w:rPr>
      </w:pPr>
      <w:r w:rsidRPr="00A50054">
        <w:rPr>
          <w:rStyle w:val="Refdenotaalpie"/>
          <w:rFonts w:ascii="Arial" w:hAnsi="Arial" w:cs="Arial"/>
          <w:sz w:val="19"/>
          <w:szCs w:val="19"/>
        </w:rPr>
        <w:footnoteRef/>
      </w:r>
      <w:r w:rsidRPr="00A50054">
        <w:rPr>
          <w:rFonts w:ascii="Arial" w:hAnsi="Arial" w:cs="Arial"/>
          <w:sz w:val="19"/>
          <w:szCs w:val="19"/>
        </w:rPr>
        <w:t xml:space="preserve"> </w:t>
      </w:r>
      <w:r w:rsidRPr="00A50054">
        <w:rPr>
          <w:rFonts w:ascii="Arial" w:hAnsi="Arial" w:cs="Arial"/>
          <w:sz w:val="19"/>
          <w:szCs w:val="19"/>
        </w:rPr>
        <w:t xml:space="preserve">Se pueden consultar aquí: </w:t>
      </w:r>
      <w:r w:rsidR="00B944ED" w:rsidRPr="00A50054">
        <w:rPr>
          <w:rFonts w:ascii="Arial" w:hAnsi="Arial" w:cs="Arial"/>
          <w:sz w:val="19"/>
          <w:szCs w:val="19"/>
        </w:rPr>
        <w:t>https://www.colombiacompra.gov.co/content/documentos-tipo-de-consultoria-de-estudios-de-ingenieria-de-infraestructura-de-transporte</w:t>
      </w:r>
    </w:p>
  </w:footnote>
  <w:footnote w:id="6">
    <w:p w14:paraId="0BA2EEE5" w14:textId="77777777" w:rsidR="006A5B2F" w:rsidRPr="00A50054" w:rsidRDefault="006A5B2F" w:rsidP="00A50054">
      <w:pPr>
        <w:pStyle w:val="Textonotapie"/>
        <w:ind w:firstLine="709"/>
        <w:jc w:val="both"/>
        <w:rPr>
          <w:rFonts w:ascii="Arial" w:hAnsi="Arial" w:cs="Arial"/>
          <w:sz w:val="19"/>
          <w:szCs w:val="19"/>
          <w:lang w:val="es-CO"/>
        </w:rPr>
      </w:pPr>
      <w:r w:rsidRPr="00A50054">
        <w:rPr>
          <w:rStyle w:val="Refdenotaalpie"/>
          <w:rFonts w:ascii="Arial" w:hAnsi="Arial" w:cs="Arial"/>
          <w:sz w:val="19"/>
          <w:szCs w:val="19"/>
        </w:rPr>
        <w:footnoteRef/>
      </w:r>
      <w:r w:rsidRPr="00A50054">
        <w:rPr>
          <w:rFonts w:ascii="Arial" w:hAnsi="Arial" w:cs="Arial"/>
          <w:sz w:val="19"/>
          <w:szCs w:val="19"/>
        </w:rPr>
        <w:t xml:space="preserve"> </w:t>
      </w:r>
      <w:r w:rsidRPr="00A50054">
        <w:rPr>
          <w:rFonts w:ascii="Arial" w:hAnsi="Arial" w:cs="Arial"/>
          <w:sz w:val="19"/>
          <w:szCs w:val="19"/>
        </w:rPr>
        <w:t xml:space="preserve">Esta definición del contrato de interventoría fue expuesta por el Consejo de Estado en la siguiente sentencia: </w:t>
      </w:r>
      <w:r w:rsidRPr="00A50054">
        <w:rPr>
          <w:rFonts w:ascii="Arial" w:hAnsi="Arial" w:cs="Arial"/>
          <w:sz w:val="19"/>
          <w:szCs w:val="19"/>
          <w:lang w:val="es-CO"/>
        </w:rPr>
        <w:t xml:space="preserve">Consejo de Estado. </w:t>
      </w:r>
      <w:proofErr w:type="spellStart"/>
      <w:r w:rsidRPr="00A50054">
        <w:rPr>
          <w:rFonts w:ascii="Arial" w:hAnsi="Arial" w:cs="Arial"/>
          <w:sz w:val="19"/>
          <w:szCs w:val="19"/>
          <w:lang w:val="es-CO"/>
        </w:rPr>
        <w:t>Sección</w:t>
      </w:r>
      <w:proofErr w:type="spellEnd"/>
      <w:r w:rsidRPr="00A50054">
        <w:rPr>
          <w:rFonts w:ascii="Arial" w:hAnsi="Arial" w:cs="Arial"/>
          <w:sz w:val="19"/>
          <w:szCs w:val="19"/>
          <w:lang w:val="es-CO"/>
        </w:rPr>
        <w:t xml:space="preserve"> Tercera. Sentencia del 13 de febrero de 2013. </w:t>
      </w:r>
      <w:proofErr w:type="spellStart"/>
      <w:r w:rsidRPr="00A50054">
        <w:rPr>
          <w:rFonts w:ascii="Arial" w:hAnsi="Arial" w:cs="Arial"/>
          <w:sz w:val="19"/>
          <w:szCs w:val="19"/>
          <w:lang w:val="es-CO"/>
        </w:rPr>
        <w:t>Exp</w:t>
      </w:r>
      <w:proofErr w:type="spellEnd"/>
      <w:r w:rsidRPr="00A50054">
        <w:rPr>
          <w:rFonts w:ascii="Arial" w:hAnsi="Arial" w:cs="Arial"/>
          <w:sz w:val="19"/>
          <w:szCs w:val="19"/>
          <w:lang w:val="es-CO"/>
        </w:rPr>
        <w:t xml:space="preserve">. 24996. C.P. Mauricio Fajardo </w:t>
      </w:r>
      <w:proofErr w:type="spellStart"/>
      <w:r w:rsidRPr="00A50054">
        <w:rPr>
          <w:rFonts w:ascii="Arial" w:hAnsi="Arial" w:cs="Arial"/>
          <w:sz w:val="19"/>
          <w:szCs w:val="19"/>
          <w:lang w:val="es-CO"/>
        </w:rPr>
        <w:t>Gómez</w:t>
      </w:r>
      <w:proofErr w:type="spellEnd"/>
      <w:r w:rsidRPr="00A50054">
        <w:rPr>
          <w:rFonts w:ascii="Arial" w:hAnsi="Arial" w:cs="Arial"/>
          <w:sz w:val="19"/>
          <w:szCs w:val="19"/>
          <w:lang w:val="es-CO"/>
        </w:rPr>
        <w:t xml:space="preserve">. </w:t>
      </w:r>
    </w:p>
    <w:p w14:paraId="04B3816A" w14:textId="77777777" w:rsidR="006A5B2F" w:rsidRPr="00A50054" w:rsidRDefault="006A5B2F" w:rsidP="00A50054">
      <w:pPr>
        <w:pStyle w:val="Textonotapie"/>
        <w:ind w:firstLine="709"/>
        <w:jc w:val="both"/>
        <w:rPr>
          <w:rFonts w:ascii="Arial" w:hAnsi="Arial" w:cs="Arial"/>
          <w:sz w:val="19"/>
          <w:szCs w:val="19"/>
          <w:lang w:val="es-ES"/>
        </w:rPr>
      </w:pPr>
    </w:p>
  </w:footnote>
  <w:footnote w:id="7">
    <w:p w14:paraId="75787827" w14:textId="77777777" w:rsidR="006A5B2F" w:rsidRPr="00A50054" w:rsidRDefault="006A5B2F" w:rsidP="00A50054">
      <w:pPr>
        <w:pStyle w:val="Textonotapie"/>
        <w:ind w:firstLine="709"/>
        <w:jc w:val="both"/>
        <w:rPr>
          <w:rFonts w:ascii="Arial" w:hAnsi="Arial" w:cs="Arial"/>
          <w:sz w:val="19"/>
          <w:szCs w:val="19"/>
        </w:rPr>
      </w:pPr>
      <w:r w:rsidRPr="00A50054">
        <w:rPr>
          <w:rStyle w:val="Refdenotaalpie"/>
          <w:rFonts w:ascii="Arial" w:hAnsi="Arial" w:cs="Arial"/>
          <w:sz w:val="19"/>
          <w:szCs w:val="19"/>
        </w:rPr>
        <w:footnoteRef/>
      </w:r>
      <w:r w:rsidRPr="00A50054">
        <w:rPr>
          <w:rFonts w:ascii="Arial" w:hAnsi="Arial" w:cs="Arial"/>
          <w:sz w:val="19"/>
          <w:szCs w:val="19"/>
        </w:rPr>
        <w:t xml:space="preserve"> </w:t>
      </w:r>
      <w:r w:rsidRPr="00A50054">
        <w:rPr>
          <w:rFonts w:ascii="Arial" w:hAnsi="Arial" w:cs="Arial"/>
          <w:sz w:val="19"/>
          <w:szCs w:val="19"/>
        </w:rPr>
        <w:t>En efecto, en la introducción de cada uno de los documentos base de los documentos tipo, se establece una regulación como la siguiente, utilizando de modo ejemplificativo lo señalado frente a los de licitación –Versión 3–: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w:t>
      </w:r>
    </w:p>
  </w:footnote>
  <w:footnote w:id="8">
    <w:p w14:paraId="06329E67" w14:textId="0A1E1E55" w:rsidR="00882484" w:rsidRPr="00A50054" w:rsidRDefault="00882484" w:rsidP="00A50054">
      <w:pPr>
        <w:pStyle w:val="Textonotapie"/>
        <w:ind w:firstLine="709"/>
        <w:jc w:val="both"/>
        <w:rPr>
          <w:rFonts w:ascii="Arial" w:hAnsi="Arial" w:cs="Arial"/>
          <w:sz w:val="19"/>
          <w:szCs w:val="19"/>
          <w:lang w:val="es-ES"/>
        </w:rPr>
      </w:pPr>
      <w:r w:rsidRPr="00A50054">
        <w:rPr>
          <w:rStyle w:val="Refdenotaalpie"/>
          <w:rFonts w:ascii="Arial" w:hAnsi="Arial" w:cs="Arial"/>
          <w:sz w:val="19"/>
          <w:szCs w:val="19"/>
        </w:rPr>
        <w:footnoteRef/>
      </w:r>
      <w:r w:rsidRPr="00A50054">
        <w:rPr>
          <w:rFonts w:ascii="Arial" w:hAnsi="Arial" w:cs="Arial"/>
          <w:sz w:val="19"/>
          <w:szCs w:val="19"/>
        </w:rPr>
        <w:t xml:space="preserve"> </w:t>
      </w:r>
      <w:r w:rsidR="00024A96" w:rsidRPr="00A50054">
        <w:rPr>
          <w:rFonts w:ascii="Arial" w:hAnsi="Arial" w:cs="Arial"/>
          <w:sz w:val="19"/>
          <w:szCs w:val="19"/>
        </w:rPr>
        <w:t xml:space="preserve">Verbigracia, </w:t>
      </w:r>
      <w:r w:rsidRPr="00A50054">
        <w:rPr>
          <w:rFonts w:ascii="Arial" w:hAnsi="Arial" w:cs="Arial"/>
          <w:sz w:val="19"/>
          <w:szCs w:val="19"/>
          <w:lang w:val="es-ES"/>
        </w:rPr>
        <w:t>en el artículo 3 de las Resoluciones 240, 241, 248, 249, 256, 269 de 2020 y 193, 219</w:t>
      </w:r>
      <w:r w:rsidR="004F74AA" w:rsidRPr="00A50054">
        <w:rPr>
          <w:rFonts w:ascii="Arial" w:hAnsi="Arial" w:cs="Arial"/>
          <w:sz w:val="19"/>
          <w:szCs w:val="19"/>
          <w:lang w:val="es-ES"/>
        </w:rPr>
        <w:t xml:space="preserve">, </w:t>
      </w:r>
      <w:r w:rsidRPr="00A50054">
        <w:rPr>
          <w:rFonts w:ascii="Arial" w:hAnsi="Arial" w:cs="Arial"/>
          <w:sz w:val="19"/>
          <w:szCs w:val="19"/>
          <w:lang w:val="es-ES"/>
        </w:rPr>
        <w:t>220</w:t>
      </w:r>
      <w:r w:rsidR="004F74AA" w:rsidRPr="00A50054">
        <w:rPr>
          <w:rFonts w:ascii="Arial" w:hAnsi="Arial" w:cs="Arial"/>
          <w:sz w:val="19"/>
          <w:szCs w:val="19"/>
          <w:lang w:val="es-ES"/>
        </w:rPr>
        <w:t xml:space="preserve">, 392 y </w:t>
      </w:r>
      <w:r w:rsidR="00611396" w:rsidRPr="00A50054">
        <w:rPr>
          <w:rFonts w:ascii="Arial" w:hAnsi="Arial" w:cs="Arial"/>
          <w:sz w:val="19"/>
          <w:szCs w:val="19"/>
          <w:lang w:val="es-ES"/>
        </w:rPr>
        <w:t>454</w:t>
      </w:r>
      <w:r w:rsidRPr="00A50054">
        <w:rPr>
          <w:rFonts w:ascii="Arial" w:hAnsi="Arial" w:cs="Arial"/>
          <w:sz w:val="19"/>
          <w:szCs w:val="19"/>
          <w:lang w:val="es-ES"/>
        </w:rPr>
        <w:t xml:space="preserve"> del 2021, así como en el artículo 2 de la Resolución 094 de 2020.</w:t>
      </w:r>
    </w:p>
    <w:p w14:paraId="279E3998" w14:textId="77777777" w:rsidR="00E1296B" w:rsidRPr="00A50054" w:rsidRDefault="00E1296B" w:rsidP="00A50054">
      <w:pPr>
        <w:pStyle w:val="Textonotapie"/>
        <w:ind w:firstLine="709"/>
        <w:jc w:val="both"/>
        <w:rPr>
          <w:rFonts w:ascii="Arial" w:hAnsi="Arial" w:cs="Arial"/>
          <w:sz w:val="19"/>
          <w:szCs w:val="19"/>
          <w:lang w:val="es-ES"/>
        </w:rPr>
      </w:pPr>
    </w:p>
  </w:footnote>
  <w:footnote w:id="9">
    <w:p w14:paraId="5EF39122" w14:textId="77777777" w:rsidR="00882484" w:rsidRPr="00A50054" w:rsidRDefault="00882484" w:rsidP="00A50054">
      <w:pPr>
        <w:pStyle w:val="Textonotapie"/>
        <w:ind w:firstLine="709"/>
        <w:jc w:val="both"/>
        <w:rPr>
          <w:rFonts w:ascii="Arial" w:hAnsi="Arial" w:cs="Arial"/>
          <w:color w:val="000000"/>
          <w:sz w:val="19"/>
          <w:szCs w:val="19"/>
        </w:rPr>
      </w:pPr>
      <w:r w:rsidRPr="00A50054">
        <w:rPr>
          <w:rStyle w:val="Refdenotaalpie"/>
          <w:rFonts w:ascii="Arial" w:hAnsi="Arial" w:cs="Arial"/>
          <w:color w:val="000000"/>
          <w:sz w:val="19"/>
          <w:szCs w:val="19"/>
        </w:rPr>
        <w:footnoteRef/>
      </w:r>
      <w:r w:rsidRPr="00A50054">
        <w:rPr>
          <w:rFonts w:ascii="Arial" w:hAnsi="Arial" w:cs="Arial"/>
          <w:color w:val="000000"/>
          <w:sz w:val="19"/>
          <w:szCs w:val="19"/>
        </w:rPr>
        <w:t xml:space="preserve"> </w:t>
      </w:r>
      <w:r w:rsidRPr="00A50054">
        <w:rPr>
          <w:rFonts w:ascii="Arial" w:hAnsi="Arial" w:cs="Arial"/>
          <w:color w:val="000000"/>
          <w:sz w:val="19"/>
          <w:szCs w:val="19"/>
        </w:rPr>
        <w:t>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113BCA3" w14:textId="77777777" w:rsidR="00882484" w:rsidRPr="00A50054" w:rsidRDefault="00882484" w:rsidP="00A50054">
      <w:pPr>
        <w:pStyle w:val="Textonotapie"/>
        <w:ind w:firstLine="709"/>
        <w:jc w:val="both"/>
        <w:rPr>
          <w:rFonts w:ascii="Arial" w:hAnsi="Arial" w:cs="Arial"/>
          <w:color w:val="000000"/>
          <w:sz w:val="19"/>
          <w:szCs w:val="19"/>
        </w:rPr>
      </w:pPr>
      <w:r w:rsidRPr="00A50054">
        <w:rPr>
          <w:rFonts w:ascii="Arial" w:hAnsi="Arial" w:cs="Arial"/>
          <w:color w:val="000000"/>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2D3899A6" w14:textId="77777777" w:rsidR="00882484" w:rsidRPr="00A50054" w:rsidRDefault="00882484" w:rsidP="00A50054">
      <w:pPr>
        <w:pStyle w:val="Textonotapie"/>
        <w:ind w:firstLine="709"/>
        <w:jc w:val="both"/>
        <w:rPr>
          <w:rFonts w:ascii="Arial" w:hAnsi="Arial" w:cs="Arial"/>
          <w:color w:val="000000"/>
          <w:sz w:val="19"/>
          <w:szCs w:val="19"/>
        </w:rPr>
      </w:pPr>
    </w:p>
  </w:footnote>
  <w:footnote w:id="10">
    <w:p w14:paraId="6F6B4660" w14:textId="77777777" w:rsidR="00882484" w:rsidRPr="00A50054" w:rsidRDefault="00882484" w:rsidP="00A50054">
      <w:pPr>
        <w:ind w:firstLine="709"/>
        <w:jc w:val="both"/>
        <w:rPr>
          <w:rFonts w:ascii="Arial" w:hAnsi="Arial" w:cs="Arial"/>
          <w:color w:val="000000"/>
          <w:sz w:val="19"/>
          <w:szCs w:val="19"/>
          <w:lang w:val="es-ES"/>
        </w:rPr>
      </w:pPr>
      <w:r w:rsidRPr="00A50054">
        <w:rPr>
          <w:rStyle w:val="Refdenotaalpie"/>
          <w:rFonts w:ascii="Arial" w:hAnsi="Arial" w:cs="Arial"/>
          <w:color w:val="000000"/>
          <w:sz w:val="19"/>
          <w:szCs w:val="19"/>
        </w:rPr>
        <w:footnoteRef/>
      </w:r>
      <w:r w:rsidRPr="00A50054">
        <w:rPr>
          <w:rFonts w:ascii="Arial" w:hAnsi="Arial" w:cs="Arial"/>
          <w:color w:val="000000"/>
          <w:sz w:val="19"/>
          <w:szCs w:val="19"/>
        </w:rPr>
        <w:t xml:space="preserve"> </w:t>
      </w:r>
      <w:r w:rsidRPr="00A50054">
        <w:rPr>
          <w:rFonts w:ascii="Arial" w:hAnsi="Arial" w:cs="Arial"/>
          <w:color w:val="000000"/>
          <w:sz w:val="19"/>
          <w:szCs w:val="19"/>
          <w:lang w:val="es-ES"/>
        </w:rPr>
        <w:t>En efecto, el artículo 5 del Decreto-Ley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177BF40" w14:textId="77777777" w:rsidR="00882484" w:rsidRPr="00A50054" w:rsidRDefault="00882484" w:rsidP="00A50054">
      <w:pPr>
        <w:ind w:firstLine="709"/>
        <w:jc w:val="both"/>
        <w:rPr>
          <w:rFonts w:ascii="Arial" w:hAnsi="Arial" w:cs="Arial"/>
          <w:color w:val="000000"/>
          <w:sz w:val="19"/>
          <w:szCs w:val="19"/>
          <w:lang w:val="es-ES"/>
        </w:rPr>
      </w:pPr>
    </w:p>
  </w:footnote>
  <w:footnote w:id="11">
    <w:p w14:paraId="465B6B5E" w14:textId="0022F85A" w:rsidR="00A50054" w:rsidRPr="0083037E" w:rsidRDefault="00A50054" w:rsidP="0083037E">
      <w:pPr>
        <w:pStyle w:val="Textonotapie"/>
        <w:ind w:firstLine="708"/>
        <w:jc w:val="both"/>
        <w:rPr>
          <w:rFonts w:ascii="Arial" w:hAnsi="Arial" w:cs="Arial"/>
          <w:sz w:val="19"/>
          <w:szCs w:val="19"/>
        </w:rPr>
      </w:pPr>
      <w:r w:rsidRPr="0083037E">
        <w:rPr>
          <w:rStyle w:val="Refdenotaalpie"/>
          <w:rFonts w:ascii="Arial" w:hAnsi="Arial" w:cs="Arial"/>
          <w:sz w:val="19"/>
          <w:szCs w:val="19"/>
        </w:rPr>
        <w:footnoteRef/>
      </w:r>
      <w:r w:rsidRPr="0083037E">
        <w:rPr>
          <w:rFonts w:ascii="Arial" w:hAnsi="Arial" w:cs="Arial"/>
          <w:sz w:val="19"/>
          <w:szCs w:val="19"/>
        </w:rPr>
        <w:t xml:space="preserve"> </w:t>
      </w:r>
      <w:r w:rsidRPr="0083037E">
        <w:rPr>
          <w:rFonts w:ascii="Arial" w:hAnsi="Arial" w:cs="Arial"/>
          <w:sz w:val="19"/>
          <w:szCs w:val="19"/>
        </w:rPr>
        <w:t>COLOMBIA COMPRA EFICIENTE. Resolución 193 del 14 de julio de 2021. «Por la cual se adoptan los documentos tipo para los procesos de selección de concurso de méritos, para contratar La interventoría de obras públicas de infraestructura de transporte».</w:t>
      </w:r>
      <w:r>
        <w:rPr>
          <w:rFonts w:ascii="Arial" w:hAnsi="Arial" w:cs="Arial"/>
          <w:sz w:val="19"/>
          <w:szCs w:val="19"/>
        </w:rPr>
        <w:t xml:space="preserve"> Artículo </w:t>
      </w:r>
      <w:r w:rsidR="00FD05E9">
        <w:rPr>
          <w:rFonts w:ascii="Arial" w:hAnsi="Arial" w:cs="Arial"/>
          <w:sz w:val="19"/>
          <w:szCs w:val="19"/>
        </w:rPr>
        <w:t>4.</w:t>
      </w:r>
    </w:p>
  </w:footnote>
  <w:footnote w:id="12">
    <w:p w14:paraId="69F09CCA" w14:textId="3C68B4EC" w:rsidR="00882484" w:rsidRPr="00A50054" w:rsidRDefault="00882484" w:rsidP="00A50054">
      <w:pPr>
        <w:ind w:firstLine="709"/>
        <w:jc w:val="both"/>
        <w:rPr>
          <w:rFonts w:ascii="Arial" w:hAnsi="Arial" w:cs="Arial"/>
          <w:color w:val="000000"/>
          <w:sz w:val="19"/>
          <w:szCs w:val="19"/>
          <w:lang w:val="es-MX"/>
        </w:rPr>
      </w:pPr>
      <w:r w:rsidRPr="00A50054">
        <w:rPr>
          <w:rStyle w:val="Refdenotaalpie"/>
          <w:rFonts w:ascii="Arial" w:hAnsi="Arial" w:cs="Arial"/>
          <w:color w:val="000000"/>
          <w:sz w:val="19"/>
          <w:szCs w:val="19"/>
        </w:rPr>
        <w:footnoteRef/>
      </w:r>
      <w:r w:rsidRPr="00A50054">
        <w:rPr>
          <w:rFonts w:ascii="Arial" w:hAnsi="Arial" w:cs="Arial"/>
          <w:color w:val="000000"/>
          <w:sz w:val="19"/>
          <w:szCs w:val="19"/>
        </w:rPr>
        <w:t xml:space="preserve"> </w:t>
      </w:r>
      <w:r w:rsidR="00611396" w:rsidRPr="00A50054">
        <w:rPr>
          <w:rFonts w:ascii="Arial" w:hAnsi="Arial" w:cs="Arial"/>
          <w:color w:val="000000"/>
          <w:sz w:val="19"/>
          <w:szCs w:val="19"/>
        </w:rPr>
        <w:t>En relación con el principio constitucional sub examine,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007F565A" w:rsidRPr="00A50054">
        <w:rPr>
          <w:rFonts w:ascii="Arial" w:hAnsi="Arial" w:cs="Arial"/>
          <w:color w:val="000000"/>
          <w:sz w:val="19"/>
          <w:szCs w:val="19"/>
        </w:rPr>
        <w:t xml:space="preserve"> (</w:t>
      </w:r>
      <w:r w:rsidRPr="00A50054">
        <w:rPr>
          <w:rFonts w:ascii="Arial" w:hAnsi="Arial" w:cs="Arial"/>
          <w:color w:val="000000"/>
          <w:sz w:val="19"/>
          <w:szCs w:val="19"/>
        </w:rPr>
        <w:t>Cita tomada de la providencia del 20 de febrero de 2020, dictada por el Consejo de Estado. Sección Tercera. Subsección A, dentro del expediente 47001-23-33-000-2018-00035-01 (63.854), cuya ponente fue Marta Nubia Velásquez Rico</w:t>
      </w:r>
      <w:r w:rsidR="007F565A" w:rsidRPr="00A50054">
        <w:rPr>
          <w:rFonts w:ascii="Arial" w:hAnsi="Arial" w:cs="Arial"/>
          <w:color w:val="000000"/>
          <w:sz w:val="19"/>
          <w:szCs w:val="19"/>
        </w:rPr>
        <w:t>)</w:t>
      </w:r>
      <w:r w:rsidRPr="00A50054">
        <w:rPr>
          <w:rFonts w:ascii="Arial" w:hAnsi="Arial" w:cs="Arial"/>
          <w:color w:val="000000"/>
          <w:sz w:val="19"/>
          <w:szCs w:val="19"/>
        </w:rPr>
        <w:t>.</w:t>
      </w:r>
    </w:p>
    <w:p w14:paraId="4EBBE778" w14:textId="77777777" w:rsidR="00882484" w:rsidRPr="00A50054" w:rsidRDefault="00882484" w:rsidP="00A50054">
      <w:pPr>
        <w:ind w:firstLine="709"/>
        <w:jc w:val="both"/>
        <w:rPr>
          <w:rFonts w:ascii="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C64A" w14:textId="63483025" w:rsidR="00951D2A" w:rsidRDefault="00951D2A">
    <w:pPr>
      <w:pStyle w:val="Encabezado"/>
    </w:pPr>
    <w:r>
      <w:rPr>
        <w:noProof/>
        <w:lang w:val="en-US"/>
      </w:rPr>
      <w:drawing>
        <wp:anchor distT="0" distB="0" distL="114300" distR="114300" simplePos="0" relativeHeight="251659264" behindDoc="1" locked="0" layoutInCell="1" allowOverlap="1" wp14:anchorId="636BE264" wp14:editId="3AF9D8B7">
          <wp:simplePos x="0" y="0"/>
          <wp:positionH relativeFrom="column">
            <wp:posOffset>4606180</wp:posOffset>
          </wp:positionH>
          <wp:positionV relativeFrom="paragraph">
            <wp:posOffset>-105686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8584F" w14:textId="77777777" w:rsidR="00EA0A2C" w:rsidRDefault="00EA0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2A"/>
    <w:rsid w:val="00003FFE"/>
    <w:rsid w:val="00004415"/>
    <w:rsid w:val="00005A38"/>
    <w:rsid w:val="00024A96"/>
    <w:rsid w:val="0006005A"/>
    <w:rsid w:val="00070DEA"/>
    <w:rsid w:val="000975F3"/>
    <w:rsid w:val="000B1124"/>
    <w:rsid w:val="000E1588"/>
    <w:rsid w:val="00100D66"/>
    <w:rsid w:val="001016EB"/>
    <w:rsid w:val="00113ADB"/>
    <w:rsid w:val="00116021"/>
    <w:rsid w:val="001425C6"/>
    <w:rsid w:val="001632C0"/>
    <w:rsid w:val="00181A0F"/>
    <w:rsid w:val="0019670B"/>
    <w:rsid w:val="001A5C14"/>
    <w:rsid w:val="001B3B73"/>
    <w:rsid w:val="001B4D7F"/>
    <w:rsid w:val="001B77EA"/>
    <w:rsid w:val="001C094D"/>
    <w:rsid w:val="001C4032"/>
    <w:rsid w:val="001D3C22"/>
    <w:rsid w:val="0021678E"/>
    <w:rsid w:val="00232A1C"/>
    <w:rsid w:val="00246625"/>
    <w:rsid w:val="002533FF"/>
    <w:rsid w:val="00261906"/>
    <w:rsid w:val="002748DC"/>
    <w:rsid w:val="00296822"/>
    <w:rsid w:val="002F7AD4"/>
    <w:rsid w:val="00300E95"/>
    <w:rsid w:val="00317EF7"/>
    <w:rsid w:val="00325A1F"/>
    <w:rsid w:val="00332A5E"/>
    <w:rsid w:val="00335DFF"/>
    <w:rsid w:val="003429F7"/>
    <w:rsid w:val="0034715B"/>
    <w:rsid w:val="00384643"/>
    <w:rsid w:val="003B3D88"/>
    <w:rsid w:val="003C4C74"/>
    <w:rsid w:val="003C62EB"/>
    <w:rsid w:val="003E1881"/>
    <w:rsid w:val="004145C4"/>
    <w:rsid w:val="00440568"/>
    <w:rsid w:val="0046135C"/>
    <w:rsid w:val="00462864"/>
    <w:rsid w:val="00465423"/>
    <w:rsid w:val="00483416"/>
    <w:rsid w:val="00484CFD"/>
    <w:rsid w:val="00497541"/>
    <w:rsid w:val="004A0365"/>
    <w:rsid w:val="004A096E"/>
    <w:rsid w:val="004A21DA"/>
    <w:rsid w:val="004A646F"/>
    <w:rsid w:val="004E284C"/>
    <w:rsid w:val="004F74AA"/>
    <w:rsid w:val="005572C0"/>
    <w:rsid w:val="005849A6"/>
    <w:rsid w:val="005A3892"/>
    <w:rsid w:val="005A5B88"/>
    <w:rsid w:val="005A6BBE"/>
    <w:rsid w:val="005B489C"/>
    <w:rsid w:val="005B6262"/>
    <w:rsid w:val="005D484C"/>
    <w:rsid w:val="005E0AA3"/>
    <w:rsid w:val="00611396"/>
    <w:rsid w:val="00615E29"/>
    <w:rsid w:val="0064651E"/>
    <w:rsid w:val="006767E0"/>
    <w:rsid w:val="006868EC"/>
    <w:rsid w:val="006A5B2F"/>
    <w:rsid w:val="006B4EF8"/>
    <w:rsid w:val="006D0807"/>
    <w:rsid w:val="006D434B"/>
    <w:rsid w:val="006E05F3"/>
    <w:rsid w:val="00720E65"/>
    <w:rsid w:val="00756DF3"/>
    <w:rsid w:val="00773AA9"/>
    <w:rsid w:val="00794BF2"/>
    <w:rsid w:val="007A24D3"/>
    <w:rsid w:val="007B1212"/>
    <w:rsid w:val="007F3B41"/>
    <w:rsid w:val="007F565A"/>
    <w:rsid w:val="0081507E"/>
    <w:rsid w:val="0081604E"/>
    <w:rsid w:val="0083037E"/>
    <w:rsid w:val="00837079"/>
    <w:rsid w:val="00843C7E"/>
    <w:rsid w:val="00864AE8"/>
    <w:rsid w:val="00882484"/>
    <w:rsid w:val="00882880"/>
    <w:rsid w:val="00886C29"/>
    <w:rsid w:val="008A5692"/>
    <w:rsid w:val="008D512A"/>
    <w:rsid w:val="008D7D11"/>
    <w:rsid w:val="008E5C9D"/>
    <w:rsid w:val="00904FFC"/>
    <w:rsid w:val="00905858"/>
    <w:rsid w:val="00930CA9"/>
    <w:rsid w:val="00932CDB"/>
    <w:rsid w:val="00943A00"/>
    <w:rsid w:val="00951D2A"/>
    <w:rsid w:val="00966142"/>
    <w:rsid w:val="009B617E"/>
    <w:rsid w:val="009E7B6A"/>
    <w:rsid w:val="00A03470"/>
    <w:rsid w:val="00A05913"/>
    <w:rsid w:val="00A219D6"/>
    <w:rsid w:val="00A26564"/>
    <w:rsid w:val="00A34C8F"/>
    <w:rsid w:val="00A50054"/>
    <w:rsid w:val="00A81FD1"/>
    <w:rsid w:val="00A977E4"/>
    <w:rsid w:val="00AA26A3"/>
    <w:rsid w:val="00AA2FF2"/>
    <w:rsid w:val="00AA7EF9"/>
    <w:rsid w:val="00AD689A"/>
    <w:rsid w:val="00B50931"/>
    <w:rsid w:val="00B50C70"/>
    <w:rsid w:val="00B51361"/>
    <w:rsid w:val="00B57024"/>
    <w:rsid w:val="00B749D1"/>
    <w:rsid w:val="00B87144"/>
    <w:rsid w:val="00B9221E"/>
    <w:rsid w:val="00B922E8"/>
    <w:rsid w:val="00B944ED"/>
    <w:rsid w:val="00BC3CF6"/>
    <w:rsid w:val="00BC6958"/>
    <w:rsid w:val="00BD33FE"/>
    <w:rsid w:val="00BE2F2B"/>
    <w:rsid w:val="00C00E12"/>
    <w:rsid w:val="00C5581C"/>
    <w:rsid w:val="00C56F57"/>
    <w:rsid w:val="00C61F1D"/>
    <w:rsid w:val="00C746C4"/>
    <w:rsid w:val="00C76DFA"/>
    <w:rsid w:val="00C7710A"/>
    <w:rsid w:val="00C848D8"/>
    <w:rsid w:val="00C97F22"/>
    <w:rsid w:val="00CA4608"/>
    <w:rsid w:val="00CB6CC9"/>
    <w:rsid w:val="00CF5F85"/>
    <w:rsid w:val="00D22557"/>
    <w:rsid w:val="00D442F0"/>
    <w:rsid w:val="00D73C74"/>
    <w:rsid w:val="00D92514"/>
    <w:rsid w:val="00D96383"/>
    <w:rsid w:val="00DA14BE"/>
    <w:rsid w:val="00DA4877"/>
    <w:rsid w:val="00DC3578"/>
    <w:rsid w:val="00DF173A"/>
    <w:rsid w:val="00E113DB"/>
    <w:rsid w:val="00E1296B"/>
    <w:rsid w:val="00E12F1C"/>
    <w:rsid w:val="00E25C8D"/>
    <w:rsid w:val="00E76696"/>
    <w:rsid w:val="00E851DB"/>
    <w:rsid w:val="00E9395A"/>
    <w:rsid w:val="00EA0A2C"/>
    <w:rsid w:val="00EA22CF"/>
    <w:rsid w:val="00EE0955"/>
    <w:rsid w:val="00EF3191"/>
    <w:rsid w:val="00EF53F2"/>
    <w:rsid w:val="00F04B86"/>
    <w:rsid w:val="00F205E2"/>
    <w:rsid w:val="00F22695"/>
    <w:rsid w:val="00F4074F"/>
    <w:rsid w:val="00F41B7F"/>
    <w:rsid w:val="00F56644"/>
    <w:rsid w:val="00F620FA"/>
    <w:rsid w:val="00F64793"/>
    <w:rsid w:val="00F95017"/>
    <w:rsid w:val="00FA7C56"/>
    <w:rsid w:val="00FB347B"/>
    <w:rsid w:val="00FC1712"/>
    <w:rsid w:val="00FD05E9"/>
    <w:rsid w:val="00FE15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EB38"/>
  <w15:chartTrackingRefBased/>
  <w15:docId w15:val="{BFEA2C65-A057-44CC-AC7F-D911EF62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F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1D2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1D2A"/>
    <w:rPr>
      <w:vertAlign w:val="superscript"/>
    </w:rPr>
  </w:style>
  <w:style w:type="paragraph" w:customStyle="1" w:styleId="Appelnotedebasde">
    <w:name w:val="Appel note de bas de..."/>
    <w:basedOn w:val="Normal"/>
    <w:link w:val="Refdenotaalpie"/>
    <w:uiPriority w:val="99"/>
    <w:rsid w:val="00951D2A"/>
    <w:pPr>
      <w:spacing w:after="160" w:line="240" w:lineRule="exact"/>
    </w:pPr>
    <w:rPr>
      <w:rFonts w:asciiTheme="minorHAnsi" w:eastAsiaTheme="minorHAnsi" w:hAnsiTheme="minorHAnsi" w:cstheme="minorBidi"/>
      <w:sz w:val="22"/>
      <w:szCs w:val="22"/>
      <w:vertAlign w:val="superscript"/>
      <w:lang w:eastAsia="en-US"/>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51D2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1D2A"/>
    <w:rPr>
      <w:sz w:val="20"/>
      <w:szCs w:val="20"/>
    </w:rPr>
  </w:style>
  <w:style w:type="paragraph" w:styleId="Encabezado">
    <w:name w:val="header"/>
    <w:basedOn w:val="Normal"/>
    <w:link w:val="EncabezadoCar"/>
    <w:uiPriority w:val="99"/>
    <w:unhideWhenUsed/>
    <w:rsid w:val="00951D2A"/>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51D2A"/>
  </w:style>
  <w:style w:type="paragraph" w:styleId="Piedepgina">
    <w:name w:val="footer"/>
    <w:basedOn w:val="Normal"/>
    <w:link w:val="PiedepginaCar"/>
    <w:uiPriority w:val="99"/>
    <w:unhideWhenUsed/>
    <w:rsid w:val="00951D2A"/>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51D2A"/>
  </w:style>
  <w:style w:type="paragraph" w:customStyle="1" w:styleId="Default">
    <w:name w:val="Default"/>
    <w:rsid w:val="00A81FD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A5692"/>
    <w:rPr>
      <w:sz w:val="16"/>
      <w:szCs w:val="16"/>
    </w:rPr>
  </w:style>
  <w:style w:type="paragraph" w:styleId="Textocomentario">
    <w:name w:val="annotation text"/>
    <w:basedOn w:val="Normal"/>
    <w:link w:val="TextocomentarioCar"/>
    <w:uiPriority w:val="99"/>
    <w:unhideWhenUsed/>
    <w:rsid w:val="008A5692"/>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A5692"/>
    <w:rPr>
      <w:sz w:val="20"/>
      <w:szCs w:val="20"/>
    </w:rPr>
  </w:style>
  <w:style w:type="paragraph" w:styleId="Asuntodelcomentario">
    <w:name w:val="annotation subject"/>
    <w:basedOn w:val="Textocomentario"/>
    <w:next w:val="Textocomentario"/>
    <w:link w:val="AsuntodelcomentarioCar"/>
    <w:uiPriority w:val="99"/>
    <w:semiHidden/>
    <w:unhideWhenUsed/>
    <w:rsid w:val="008A5692"/>
    <w:rPr>
      <w:b/>
      <w:bCs/>
    </w:rPr>
  </w:style>
  <w:style w:type="character" w:customStyle="1" w:styleId="AsuntodelcomentarioCar">
    <w:name w:val="Asunto del comentario Car"/>
    <w:basedOn w:val="TextocomentarioCar"/>
    <w:link w:val="Asuntodelcomentario"/>
    <w:uiPriority w:val="99"/>
    <w:semiHidden/>
    <w:rsid w:val="008A5692"/>
    <w:rPr>
      <w:b/>
      <w:bCs/>
      <w:sz w:val="20"/>
      <w:szCs w:val="20"/>
    </w:rPr>
  </w:style>
  <w:style w:type="paragraph" w:customStyle="1" w:styleId="xmsonospacing">
    <w:name w:val="x_msonospacing"/>
    <w:basedOn w:val="Normal"/>
    <w:rsid w:val="004F74AA"/>
    <w:pPr>
      <w:spacing w:before="100" w:beforeAutospacing="1" w:after="100" w:afterAutospacing="1"/>
    </w:pPr>
    <w:rPr>
      <w:lang w:eastAsia="es-MX"/>
    </w:rPr>
  </w:style>
  <w:style w:type="table" w:customStyle="1" w:styleId="Tablaconcuadrcula1">
    <w:name w:val="Tabla con cuadrícula1"/>
    <w:basedOn w:val="Tablanormal"/>
    <w:next w:val="Tablaconcuadrcula"/>
    <w:uiPriority w:val="39"/>
    <w:rsid w:val="00B7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B7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7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6135C"/>
    <w:pPr>
      <w:spacing w:after="0" w:line="240" w:lineRule="auto"/>
    </w:pPr>
  </w:style>
  <w:style w:type="paragraph" w:styleId="NormalWeb">
    <w:name w:val="Normal (Web)"/>
    <w:basedOn w:val="Normal"/>
    <w:link w:val="NormalWebCar"/>
    <w:uiPriority w:val="99"/>
    <w:unhideWhenUsed/>
    <w:rsid w:val="00F95017"/>
    <w:pPr>
      <w:spacing w:before="100" w:beforeAutospacing="1" w:after="100" w:afterAutospacing="1"/>
    </w:pPr>
    <w:rPr>
      <w:lang w:eastAsia="es-CO"/>
    </w:rPr>
  </w:style>
  <w:style w:type="character" w:customStyle="1" w:styleId="NormalWebCar">
    <w:name w:val="Normal (Web) Car"/>
    <w:link w:val="NormalWeb"/>
    <w:uiPriority w:val="99"/>
    <w:rsid w:val="00F95017"/>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1C4032"/>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3938">
      <w:bodyDiv w:val="1"/>
      <w:marLeft w:val="0"/>
      <w:marRight w:val="0"/>
      <w:marTop w:val="0"/>
      <w:marBottom w:val="0"/>
      <w:divBdr>
        <w:top w:val="none" w:sz="0" w:space="0" w:color="auto"/>
        <w:left w:val="none" w:sz="0" w:space="0" w:color="auto"/>
        <w:bottom w:val="none" w:sz="0" w:space="0" w:color="auto"/>
        <w:right w:val="none" w:sz="0" w:space="0" w:color="auto"/>
      </w:divBdr>
    </w:div>
    <w:div w:id="350841138">
      <w:bodyDiv w:val="1"/>
      <w:marLeft w:val="0"/>
      <w:marRight w:val="0"/>
      <w:marTop w:val="0"/>
      <w:marBottom w:val="0"/>
      <w:divBdr>
        <w:top w:val="none" w:sz="0" w:space="0" w:color="auto"/>
        <w:left w:val="none" w:sz="0" w:space="0" w:color="auto"/>
        <w:bottom w:val="none" w:sz="0" w:space="0" w:color="auto"/>
        <w:right w:val="none" w:sz="0" w:space="0" w:color="auto"/>
      </w:divBdr>
      <w:divsChild>
        <w:div w:id="1871066426">
          <w:marLeft w:val="0"/>
          <w:marRight w:val="0"/>
          <w:marTop w:val="0"/>
          <w:marBottom w:val="0"/>
          <w:divBdr>
            <w:top w:val="none" w:sz="0" w:space="0" w:color="auto"/>
            <w:left w:val="none" w:sz="0" w:space="0" w:color="auto"/>
            <w:bottom w:val="none" w:sz="0" w:space="0" w:color="auto"/>
            <w:right w:val="none" w:sz="0" w:space="0" w:color="auto"/>
          </w:divBdr>
        </w:div>
      </w:divsChild>
    </w:div>
    <w:div w:id="432743607">
      <w:bodyDiv w:val="1"/>
      <w:marLeft w:val="0"/>
      <w:marRight w:val="0"/>
      <w:marTop w:val="0"/>
      <w:marBottom w:val="0"/>
      <w:divBdr>
        <w:top w:val="none" w:sz="0" w:space="0" w:color="auto"/>
        <w:left w:val="none" w:sz="0" w:space="0" w:color="auto"/>
        <w:bottom w:val="none" w:sz="0" w:space="0" w:color="auto"/>
        <w:right w:val="none" w:sz="0" w:space="0" w:color="auto"/>
      </w:divBdr>
    </w:div>
    <w:div w:id="1879974671">
      <w:bodyDiv w:val="1"/>
      <w:marLeft w:val="0"/>
      <w:marRight w:val="0"/>
      <w:marTop w:val="0"/>
      <w:marBottom w:val="0"/>
      <w:divBdr>
        <w:top w:val="none" w:sz="0" w:space="0" w:color="auto"/>
        <w:left w:val="none" w:sz="0" w:space="0" w:color="auto"/>
        <w:bottom w:val="none" w:sz="0" w:space="0" w:color="auto"/>
        <w:right w:val="none" w:sz="0" w:space="0" w:color="auto"/>
      </w:divBdr>
      <w:divsChild>
        <w:div w:id="364914123">
          <w:marLeft w:val="0"/>
          <w:marRight w:val="0"/>
          <w:marTop w:val="0"/>
          <w:marBottom w:val="0"/>
          <w:divBdr>
            <w:top w:val="none" w:sz="0" w:space="0" w:color="auto"/>
            <w:left w:val="none" w:sz="0" w:space="0" w:color="auto"/>
            <w:bottom w:val="none" w:sz="0" w:space="0" w:color="auto"/>
            <w:right w:val="none" w:sz="0" w:space="0" w:color="auto"/>
          </w:divBdr>
          <w:divsChild>
            <w:div w:id="21130245">
              <w:marLeft w:val="0"/>
              <w:marRight w:val="0"/>
              <w:marTop w:val="0"/>
              <w:marBottom w:val="0"/>
              <w:divBdr>
                <w:top w:val="none" w:sz="0" w:space="0" w:color="auto"/>
                <w:left w:val="none" w:sz="0" w:space="0" w:color="auto"/>
                <w:bottom w:val="none" w:sz="0" w:space="0" w:color="auto"/>
                <w:right w:val="none" w:sz="0" w:space="0" w:color="auto"/>
              </w:divBdr>
              <w:divsChild>
                <w:div w:id="3856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44B7-FCC1-4CDD-A40C-39C0CE312A9B}">
  <ds:schemaRefs>
    <ds:schemaRef ds:uri="http://schemas.microsoft.com/sharepoint/v3/contenttype/forms"/>
  </ds:schemaRefs>
</ds:datastoreItem>
</file>

<file path=customXml/itemProps2.xml><?xml version="1.0" encoding="utf-8"?>
<ds:datastoreItem xmlns:ds="http://schemas.openxmlformats.org/officeDocument/2006/customXml" ds:itemID="{1CC8BACB-FAEC-4B0B-8D44-B94C85FCFB9B}">
  <ds:schemaRefs>
    <ds:schemaRef ds:uri="http://schemas.openxmlformats.org/officeDocument/2006/bibliography"/>
  </ds:schemaRefs>
</ds:datastoreItem>
</file>

<file path=customXml/itemProps3.xml><?xml version="1.0" encoding="utf-8"?>
<ds:datastoreItem xmlns:ds="http://schemas.openxmlformats.org/officeDocument/2006/customXml" ds:itemID="{AAF3B328-A9C3-47F6-B5BD-EFB6BAADA68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180791A-9530-4A67-8B06-029A223E0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7309</Words>
  <Characters>40205</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Cristian Andres Diaz Diez</cp:lastModifiedBy>
  <cp:revision>28</cp:revision>
  <dcterms:created xsi:type="dcterms:W3CDTF">2022-02-22T14:17:00Z</dcterms:created>
  <dcterms:modified xsi:type="dcterms:W3CDTF">2022-02-22T16:11:00Z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